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EE49BA"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EE49BA">
        <w:rPr>
          <w:rFonts w:ascii="Arial" w:hAnsi="Arial" w:cs="Arial"/>
          <w:b/>
          <w:color w:val="000000" w:themeColor="text1"/>
          <w:sz w:val="16"/>
          <w:szCs w:val="16"/>
          <w:lang w:val="es-ES_tradnl" w:eastAsia="es-ES"/>
        </w:rPr>
        <w:tab/>
        <w:t>CCE-DES-FM-17</w:t>
      </w:r>
    </w:p>
    <w:p w14:paraId="6EB4D096" w14:textId="77777777" w:rsidR="000920F0" w:rsidRPr="00394B5E" w:rsidRDefault="000920F0" w:rsidP="000920F0">
      <w:pPr>
        <w:jc w:val="both"/>
        <w:rPr>
          <w:rFonts w:ascii="Arial" w:eastAsia="Calibri" w:hAnsi="Arial" w:cs="Arial"/>
          <w:b/>
          <w:color w:val="000000" w:themeColor="text1"/>
          <w:sz w:val="16"/>
          <w:szCs w:val="16"/>
          <w:lang w:val="es-ES_tradnl"/>
        </w:rPr>
      </w:pPr>
    </w:p>
    <w:p w14:paraId="29B2EED3" w14:textId="6B7751D9" w:rsidR="000920F0" w:rsidRPr="00CC4718" w:rsidRDefault="000920F0" w:rsidP="000920F0">
      <w:pPr>
        <w:spacing w:line="276" w:lineRule="auto"/>
        <w:jc w:val="both"/>
        <w:rPr>
          <w:rFonts w:ascii="Arial" w:eastAsia="Calibri" w:hAnsi="Arial" w:cs="Arial"/>
          <w:bCs/>
          <w:color w:val="000000" w:themeColor="text1"/>
          <w:sz w:val="22"/>
        </w:rPr>
      </w:pPr>
      <w:r w:rsidRPr="00CC4718">
        <w:rPr>
          <w:rFonts w:ascii="Arial" w:eastAsia="Calibri" w:hAnsi="Arial" w:cs="Arial"/>
          <w:b/>
          <w:color w:val="000000" w:themeColor="text1"/>
          <w:sz w:val="22"/>
        </w:rPr>
        <w:t xml:space="preserve">SECOP – Publicidad – Entidades de régimen especial – Reiteración </w:t>
      </w:r>
      <w:r w:rsidR="00F50502">
        <w:rPr>
          <w:rFonts w:ascii="Arial" w:eastAsia="Calibri" w:hAnsi="Arial" w:cs="Arial"/>
          <w:b/>
          <w:color w:val="000000" w:themeColor="text1"/>
          <w:sz w:val="22"/>
        </w:rPr>
        <w:t>–</w:t>
      </w:r>
      <w:r w:rsidR="00F50502">
        <w:rPr>
          <w:rFonts w:ascii="Arial" w:hAnsi="Arial" w:cs="Arial"/>
          <w:b/>
          <w:color w:val="000000" w:themeColor="text1"/>
          <w:sz w:val="22"/>
        </w:rPr>
        <w:t xml:space="preserve"> </w:t>
      </w:r>
      <w:bookmarkStart w:id="3" w:name="_GoBack"/>
      <w:bookmarkEnd w:id="3"/>
      <w:r w:rsidRPr="00CC4718">
        <w:rPr>
          <w:rFonts w:ascii="Arial" w:eastAsia="Calibri" w:hAnsi="Arial" w:cs="Arial"/>
          <w:b/>
          <w:color w:val="000000" w:themeColor="text1"/>
          <w:sz w:val="22"/>
        </w:rPr>
        <w:t xml:space="preserve"> Concepto unificado </w:t>
      </w:r>
      <w:r w:rsidR="00F50502">
        <w:rPr>
          <w:rFonts w:ascii="Arial" w:eastAsia="Calibri" w:hAnsi="Arial" w:cs="Arial"/>
          <w:b/>
          <w:color w:val="000000" w:themeColor="text1"/>
          <w:sz w:val="22"/>
        </w:rPr>
        <w:t>–</w:t>
      </w:r>
      <w:r w:rsidR="00F50502">
        <w:rPr>
          <w:rFonts w:ascii="Arial" w:hAnsi="Arial" w:cs="Arial"/>
          <w:b/>
          <w:color w:val="000000" w:themeColor="text1"/>
          <w:sz w:val="22"/>
        </w:rPr>
        <w:t xml:space="preserve"> </w:t>
      </w:r>
      <w:r w:rsidR="00F50502">
        <w:rPr>
          <w:rFonts w:ascii="Arial" w:eastAsia="Calibri" w:hAnsi="Arial" w:cs="Arial"/>
          <w:b/>
          <w:color w:val="000000" w:themeColor="text1"/>
          <w:sz w:val="22"/>
        </w:rPr>
        <w:t xml:space="preserve">CU </w:t>
      </w:r>
      <w:r w:rsidRPr="00CC4718">
        <w:rPr>
          <w:rFonts w:ascii="Arial" w:eastAsia="Calibri" w:hAnsi="Arial" w:cs="Arial"/>
          <w:b/>
          <w:color w:val="000000" w:themeColor="text1"/>
          <w:sz w:val="22"/>
        </w:rPr>
        <w:t>003 de 2020</w:t>
      </w:r>
    </w:p>
    <w:p w14:paraId="5080D085" w14:textId="77777777" w:rsidR="000920F0" w:rsidRPr="00CC4718" w:rsidRDefault="000920F0" w:rsidP="000920F0">
      <w:pPr>
        <w:spacing w:line="276" w:lineRule="auto"/>
        <w:jc w:val="both"/>
        <w:rPr>
          <w:rFonts w:ascii="Arial" w:hAnsi="Arial" w:cs="Arial"/>
          <w:color w:val="000000" w:themeColor="text1"/>
          <w:sz w:val="22"/>
        </w:rPr>
      </w:pPr>
    </w:p>
    <w:p w14:paraId="78CC5D2C" w14:textId="23F61A22" w:rsidR="000920F0" w:rsidRPr="00CC4718" w:rsidRDefault="00887590" w:rsidP="000920F0">
      <w:pPr>
        <w:jc w:val="both"/>
        <w:rPr>
          <w:rFonts w:ascii="Arial" w:eastAsia="Calibri" w:hAnsi="Arial" w:cs="Arial"/>
          <w:color w:val="000000" w:themeColor="text1"/>
          <w:sz w:val="20"/>
          <w:szCs w:val="20"/>
          <w:lang w:val="es-ES"/>
        </w:rPr>
      </w:pPr>
      <w:r w:rsidRPr="74947599">
        <w:rPr>
          <w:rFonts w:ascii="Arial" w:eastAsia="Calibri" w:hAnsi="Arial" w:cs="Arial"/>
          <w:color w:val="000000" w:themeColor="text1"/>
          <w:sz w:val="20"/>
          <w:szCs w:val="20"/>
        </w:rPr>
        <w:t xml:space="preserve">[…] </w:t>
      </w:r>
      <w:r w:rsidR="29D69137" w:rsidRPr="74947599">
        <w:rPr>
          <w:rFonts w:ascii="Arial" w:eastAsia="Calibri" w:hAnsi="Arial" w:cs="Arial"/>
          <w:color w:val="000000" w:themeColor="text1"/>
          <w:sz w:val="20"/>
          <w:szCs w:val="20"/>
        </w:rPr>
        <w:t>l</w:t>
      </w:r>
      <w:r w:rsidR="000920F0" w:rsidRPr="74947599">
        <w:rPr>
          <w:rFonts w:ascii="Arial" w:eastAsia="Calibri" w:hAnsi="Arial" w:cs="Arial"/>
          <w:color w:val="000000" w:themeColor="text1"/>
          <w:sz w:val="20"/>
          <w:szCs w:val="20"/>
        </w:rPr>
        <w:t xml:space="preserve">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531F5F8A" w14:textId="77777777" w:rsidR="000920F0" w:rsidRPr="00CC4718" w:rsidRDefault="000920F0" w:rsidP="000920F0">
      <w:pPr>
        <w:pStyle w:val="Prrafodelista"/>
        <w:spacing w:line="276" w:lineRule="auto"/>
        <w:ind w:left="0"/>
        <w:jc w:val="both"/>
        <w:rPr>
          <w:rFonts w:ascii="Arial" w:eastAsia="Calibri" w:hAnsi="Arial" w:cs="Arial"/>
          <w:color w:val="000000" w:themeColor="text1"/>
          <w:sz w:val="20"/>
          <w:szCs w:val="20"/>
        </w:rPr>
      </w:pPr>
    </w:p>
    <w:p w14:paraId="75A10307" w14:textId="77777777" w:rsidR="000920F0" w:rsidRPr="00CC4718" w:rsidRDefault="000920F0" w:rsidP="000920F0">
      <w:pPr>
        <w:pStyle w:val="Prrafodelista"/>
        <w:spacing w:line="276" w:lineRule="auto"/>
        <w:ind w:left="0"/>
        <w:jc w:val="both"/>
        <w:rPr>
          <w:rFonts w:ascii="Arial" w:eastAsia="Calibri" w:hAnsi="Arial" w:cs="Arial"/>
          <w:b/>
          <w:color w:val="000000" w:themeColor="text1"/>
          <w:sz w:val="22"/>
          <w:szCs w:val="20"/>
        </w:rPr>
      </w:pPr>
      <w:r w:rsidRPr="00CC4718">
        <w:rPr>
          <w:rFonts w:ascii="Arial" w:eastAsia="Calibri" w:hAnsi="Arial" w:cs="Arial"/>
          <w:b/>
          <w:color w:val="000000" w:themeColor="text1"/>
          <w:sz w:val="22"/>
          <w:szCs w:val="20"/>
        </w:rPr>
        <w:t xml:space="preserve">SECOP – Publicidad </w:t>
      </w:r>
      <w:r w:rsidRPr="00CC4718">
        <w:rPr>
          <w:rFonts w:ascii="Arial" w:eastAsia="Calibri" w:hAnsi="Arial" w:cs="Arial"/>
          <w:b/>
          <w:color w:val="000000" w:themeColor="text1"/>
          <w:sz w:val="22"/>
          <w:szCs w:val="20"/>
        </w:rPr>
        <w:softHyphen/>
        <w:t xml:space="preserve">– Documentos </w:t>
      </w:r>
    </w:p>
    <w:p w14:paraId="3CFE11D7" w14:textId="77777777" w:rsidR="000920F0" w:rsidRPr="00CC4718" w:rsidRDefault="000920F0" w:rsidP="000920F0">
      <w:pPr>
        <w:pStyle w:val="Prrafodelista"/>
        <w:spacing w:line="276" w:lineRule="auto"/>
        <w:ind w:left="0"/>
        <w:jc w:val="both"/>
        <w:rPr>
          <w:rFonts w:ascii="Arial" w:eastAsia="Calibri" w:hAnsi="Arial" w:cs="Arial"/>
          <w:color w:val="000000" w:themeColor="text1"/>
          <w:sz w:val="20"/>
          <w:szCs w:val="20"/>
        </w:rPr>
      </w:pPr>
    </w:p>
    <w:p w14:paraId="7655C2A1" w14:textId="4E159EC8" w:rsidR="00C9160A" w:rsidRPr="000C2F4B" w:rsidRDefault="00C9160A" w:rsidP="74947599">
      <w:pPr>
        <w:spacing w:after="120"/>
        <w:jc w:val="both"/>
        <w:rPr>
          <w:rFonts w:ascii="Arial" w:eastAsia="Calibri" w:hAnsi="Arial" w:cs="Arial"/>
          <w:color w:val="000000" w:themeColor="text1"/>
          <w:sz w:val="20"/>
          <w:szCs w:val="20"/>
        </w:rPr>
      </w:pPr>
      <w:r w:rsidRPr="74947599">
        <w:rPr>
          <w:rFonts w:ascii="Arial" w:eastAsia="Calibri" w:hAnsi="Arial" w:cs="Arial"/>
          <w:color w:val="000000" w:themeColor="text1"/>
          <w:sz w:val="20"/>
          <w:szCs w:val="20"/>
        </w:rPr>
        <w:t xml:space="preserve">[…] </w:t>
      </w:r>
      <w:r w:rsidR="0A9E7CA7" w:rsidRPr="74947599">
        <w:rPr>
          <w:rFonts w:ascii="Arial" w:eastAsia="Calibri" w:hAnsi="Arial" w:cs="Arial"/>
          <w:color w:val="000000" w:themeColor="text1"/>
          <w:sz w:val="20"/>
          <w:szCs w:val="20"/>
        </w:rPr>
        <w:t>e</w:t>
      </w:r>
      <w:r w:rsidR="000920F0" w:rsidRPr="74947599">
        <w:rPr>
          <w:rFonts w:ascii="Arial" w:eastAsia="Calibri" w:hAnsi="Arial" w:cs="Arial"/>
          <w:color w:val="000000" w:themeColor="text1"/>
          <w:sz w:val="20"/>
          <w:szCs w:val="20"/>
        </w:rPr>
        <w:t xml:space="preserve">l Decreto 103 de 2015 señala que los documentos que deberán publicar las entidades estatales, entre estas las empresas </w:t>
      </w:r>
      <w:r w:rsidR="00811577" w:rsidRPr="74947599">
        <w:rPr>
          <w:rFonts w:ascii="Arial" w:eastAsia="Calibri" w:hAnsi="Arial" w:cs="Arial"/>
          <w:color w:val="000000" w:themeColor="text1"/>
          <w:sz w:val="20"/>
          <w:szCs w:val="20"/>
        </w:rPr>
        <w:t>sociales</w:t>
      </w:r>
      <w:r w:rsidR="000920F0" w:rsidRPr="74947599">
        <w:rPr>
          <w:rFonts w:ascii="Arial" w:eastAsia="Calibri" w:hAnsi="Arial" w:cs="Arial"/>
          <w:color w:val="000000" w:themeColor="text1"/>
          <w:sz w:val="20"/>
          <w:szCs w:val="20"/>
        </w:rPr>
        <w:t xml:space="preserve">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79FF26F7" w14:textId="581BD738" w:rsidR="000920F0" w:rsidRPr="00CC4718" w:rsidRDefault="000920F0" w:rsidP="00394B5E">
      <w:pPr>
        <w:jc w:val="both"/>
        <w:rPr>
          <w:rFonts w:ascii="Arial" w:eastAsia="Calibri" w:hAnsi="Arial" w:cs="Arial"/>
          <w:color w:val="000000" w:themeColor="text1"/>
          <w:sz w:val="20"/>
          <w:szCs w:val="20"/>
        </w:rPr>
      </w:pPr>
      <w:r w:rsidRPr="000C2F4B">
        <w:rPr>
          <w:rFonts w:ascii="Arial" w:eastAsia="Calibri" w:hAnsi="Arial" w:cs="Arial"/>
          <w:bCs/>
          <w:color w:val="000000" w:themeColor="text1"/>
          <w:sz w:val="20"/>
          <w:szCs w:val="20"/>
        </w:rPr>
        <w:t>Frente al segundo grupo</w:t>
      </w:r>
      <w:r w:rsidRPr="00CC4718">
        <w:rPr>
          <w:rFonts w:ascii="Arial" w:eastAsia="Calibri" w:hAnsi="Arial" w:cs="Arial"/>
          <w:color w:val="000000" w:themeColor="text1"/>
          <w:sz w:val="20"/>
          <w:szCs w:val="20"/>
        </w:rPr>
        <w:t xml:space="preserve">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4C86C4F8" w14:textId="77777777" w:rsidR="000920F0" w:rsidRPr="002F6784" w:rsidRDefault="000920F0" w:rsidP="00394B5E">
      <w:pPr>
        <w:spacing w:line="276" w:lineRule="auto"/>
        <w:jc w:val="both"/>
        <w:rPr>
          <w:rFonts w:ascii="Arial" w:hAnsi="Arial" w:cs="Arial"/>
          <w:color w:val="000000" w:themeColor="text1"/>
          <w:sz w:val="20"/>
          <w:szCs w:val="20"/>
        </w:rPr>
      </w:pPr>
    </w:p>
    <w:p w14:paraId="3DCD6070" w14:textId="77777777" w:rsidR="002F6784" w:rsidRPr="002F6784" w:rsidRDefault="002F6784" w:rsidP="00394B5E">
      <w:pPr>
        <w:pStyle w:val="Default"/>
        <w:rPr>
          <w:sz w:val="20"/>
          <w:szCs w:val="20"/>
        </w:rPr>
      </w:pPr>
    </w:p>
    <w:p w14:paraId="0AF9744B" w14:textId="4985E1FF" w:rsidR="002F6784" w:rsidRPr="002F6784" w:rsidRDefault="002F6784" w:rsidP="00394B5E">
      <w:pPr>
        <w:pStyle w:val="Default"/>
        <w:rPr>
          <w:sz w:val="22"/>
          <w:szCs w:val="22"/>
        </w:rPr>
      </w:pPr>
      <w:r w:rsidRPr="002F6784">
        <w:rPr>
          <w:sz w:val="22"/>
          <w:szCs w:val="22"/>
        </w:rPr>
        <w:t xml:space="preserve">Bogotá D.C., </w:t>
      </w:r>
      <w:r w:rsidRPr="002F6784">
        <w:rPr>
          <w:b/>
          <w:bCs/>
          <w:sz w:val="22"/>
          <w:szCs w:val="22"/>
        </w:rPr>
        <w:t xml:space="preserve">24/03/2020 Hora 14:49:24s </w:t>
      </w:r>
    </w:p>
    <w:p w14:paraId="15F6C32D" w14:textId="77777777" w:rsidR="002C11FB" w:rsidRDefault="002F6784" w:rsidP="002F6784">
      <w:pPr>
        <w:tabs>
          <w:tab w:val="left" w:pos="3374"/>
        </w:tabs>
        <w:spacing w:line="276" w:lineRule="auto"/>
        <w:jc w:val="right"/>
        <w:rPr>
          <w:rFonts w:ascii="Arial" w:hAnsi="Arial" w:cs="Arial"/>
          <w:b/>
          <w:bCs/>
          <w:sz w:val="22"/>
        </w:rPr>
      </w:pPr>
      <w:r w:rsidRPr="002F6784">
        <w:rPr>
          <w:rFonts w:ascii="Arial" w:hAnsi="Arial" w:cs="Arial"/>
          <w:b/>
          <w:bCs/>
          <w:sz w:val="22"/>
        </w:rPr>
        <w:t>N° Radicado: 2202013000002125</w:t>
      </w:r>
    </w:p>
    <w:p w14:paraId="06C9ADFA" w14:textId="5695D454" w:rsidR="000920F0" w:rsidRPr="00CC4718" w:rsidRDefault="000920F0" w:rsidP="002F6784">
      <w:pPr>
        <w:tabs>
          <w:tab w:val="left" w:pos="3374"/>
        </w:tabs>
        <w:spacing w:line="276" w:lineRule="auto"/>
        <w:jc w:val="right"/>
        <w:rPr>
          <w:rFonts w:ascii="Arial" w:eastAsia="Calibri" w:hAnsi="Arial" w:cs="Arial"/>
          <w:color w:val="000000" w:themeColor="text1"/>
          <w:sz w:val="22"/>
          <w:lang w:val="es-ES_tradnl"/>
        </w:rPr>
      </w:pPr>
    </w:p>
    <w:p w14:paraId="0223F164" w14:textId="77777777" w:rsidR="000920F0" w:rsidRPr="00CC4718" w:rsidRDefault="000920F0" w:rsidP="000920F0">
      <w:pPr>
        <w:spacing w:line="276" w:lineRule="auto"/>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Señor</w:t>
      </w:r>
    </w:p>
    <w:p w14:paraId="37F04B31" w14:textId="6E9D9278" w:rsidR="000920F0" w:rsidRPr="00CC4718" w:rsidRDefault="004755B2" w:rsidP="000920F0">
      <w:pPr>
        <w:spacing w:line="276" w:lineRule="auto"/>
        <w:rPr>
          <w:rFonts w:ascii="Arial" w:eastAsia="Calibri" w:hAnsi="Arial" w:cs="Arial"/>
          <w:b/>
          <w:color w:val="000000" w:themeColor="text1"/>
          <w:sz w:val="22"/>
          <w:lang w:val="es-ES_tradnl"/>
        </w:rPr>
      </w:pPr>
      <w:r w:rsidRPr="00CC4718">
        <w:rPr>
          <w:rFonts w:ascii="Arial" w:eastAsia="Calibri" w:hAnsi="Arial" w:cs="Arial"/>
          <w:b/>
          <w:color w:val="000000" w:themeColor="text1"/>
          <w:sz w:val="22"/>
          <w:lang w:val="es-ES_tradnl"/>
        </w:rPr>
        <w:t>Manuel Euclides Olarte</w:t>
      </w:r>
    </w:p>
    <w:p w14:paraId="188163AF" w14:textId="04AA4F6B" w:rsidR="000920F0" w:rsidRDefault="000920F0" w:rsidP="000920F0">
      <w:pPr>
        <w:spacing w:line="276" w:lineRule="auto"/>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Ciudad</w:t>
      </w:r>
    </w:p>
    <w:p w14:paraId="36D9E2A1" w14:textId="111B6862" w:rsidR="000920F0" w:rsidRDefault="000920F0" w:rsidP="000920F0">
      <w:pPr>
        <w:spacing w:line="276" w:lineRule="auto"/>
        <w:jc w:val="center"/>
        <w:rPr>
          <w:rFonts w:ascii="Arial" w:eastAsia="Calibri" w:hAnsi="Arial" w:cs="Arial"/>
          <w:b/>
          <w:color w:val="000000" w:themeColor="text1"/>
          <w:sz w:val="22"/>
          <w:lang w:val="es-ES_tradnl"/>
        </w:rPr>
      </w:pPr>
      <w:r w:rsidRPr="00CC4718">
        <w:rPr>
          <w:rFonts w:ascii="Arial" w:eastAsia="Calibri" w:hAnsi="Arial" w:cs="Arial"/>
          <w:b/>
          <w:color w:val="000000" w:themeColor="text1"/>
          <w:sz w:val="22"/>
          <w:lang w:val="es-ES_tradnl"/>
        </w:rPr>
        <w:t xml:space="preserve">Concepto C ─ </w:t>
      </w:r>
      <w:r w:rsidR="00551CE1" w:rsidRPr="00CC4718">
        <w:rPr>
          <w:rFonts w:ascii="Arial" w:eastAsia="Calibri" w:hAnsi="Arial" w:cs="Arial"/>
          <w:b/>
          <w:color w:val="000000" w:themeColor="text1"/>
          <w:sz w:val="22"/>
          <w:lang w:val="es-ES_tradnl"/>
        </w:rPr>
        <w:t>149</w:t>
      </w:r>
      <w:r w:rsidRPr="00CC4718">
        <w:rPr>
          <w:rFonts w:ascii="Arial" w:eastAsia="Calibri" w:hAnsi="Arial" w:cs="Arial"/>
          <w:b/>
          <w:color w:val="000000" w:themeColor="text1"/>
          <w:sz w:val="22"/>
          <w:lang w:val="es-ES_tradnl"/>
        </w:rPr>
        <w:t xml:space="preserve"> de 2020</w:t>
      </w:r>
    </w:p>
    <w:p w14:paraId="5FD7FADA" w14:textId="77777777" w:rsidR="000920F0" w:rsidRPr="00CC4718" w:rsidRDefault="000920F0" w:rsidP="000920F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C4718" w:rsidRPr="00CC4718" w14:paraId="16CF89C4" w14:textId="77777777" w:rsidTr="006C2E14">
        <w:tc>
          <w:tcPr>
            <w:tcW w:w="2689" w:type="dxa"/>
            <w:hideMark/>
          </w:tcPr>
          <w:p w14:paraId="7BBF5828" w14:textId="77777777" w:rsidR="000920F0" w:rsidRPr="00CC4718" w:rsidRDefault="000920F0" w:rsidP="006C2E14">
            <w:pPr>
              <w:spacing w:line="276" w:lineRule="auto"/>
              <w:rPr>
                <w:rFonts w:ascii="Arial" w:eastAsia="Calibri" w:hAnsi="Arial" w:cs="Arial"/>
                <w:color w:val="000000" w:themeColor="text1"/>
                <w:sz w:val="22"/>
                <w:lang w:val="es-ES_tradnl"/>
              </w:rPr>
            </w:pPr>
            <w:r w:rsidRPr="00CC4718">
              <w:rPr>
                <w:rFonts w:ascii="Arial" w:eastAsia="Calibri" w:hAnsi="Arial" w:cs="Arial"/>
                <w:b/>
                <w:color w:val="000000" w:themeColor="text1"/>
                <w:sz w:val="22"/>
                <w:lang w:val="es-ES_tradnl"/>
              </w:rPr>
              <w:t>Temas:</w:t>
            </w:r>
            <w:r w:rsidRPr="00CC4718">
              <w:rPr>
                <w:rFonts w:ascii="Arial" w:eastAsia="Calibri" w:hAnsi="Arial" w:cs="Arial"/>
                <w:color w:val="000000" w:themeColor="text1"/>
                <w:sz w:val="22"/>
                <w:lang w:val="es-ES_tradnl"/>
              </w:rPr>
              <w:t xml:space="preserve">           </w:t>
            </w:r>
          </w:p>
          <w:p w14:paraId="76A5E400" w14:textId="77777777" w:rsidR="000920F0" w:rsidRPr="00CC4718" w:rsidRDefault="000920F0" w:rsidP="006C2E14">
            <w:pPr>
              <w:spacing w:line="276" w:lineRule="auto"/>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 xml:space="preserve">                           </w:t>
            </w:r>
          </w:p>
        </w:tc>
        <w:tc>
          <w:tcPr>
            <w:tcW w:w="6237" w:type="dxa"/>
            <w:hideMark/>
          </w:tcPr>
          <w:p w14:paraId="3B4B2649" w14:textId="77777777" w:rsidR="000920F0" w:rsidRDefault="000920F0" w:rsidP="006C2E14">
            <w:pPr>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SECOP – Publicidad – Entidades de régimen especial – Reiteración de Concepto unificado CU-003 de 2020 / SECOP – Publicidad – Documentos.</w:t>
            </w:r>
          </w:p>
          <w:p w14:paraId="5C798239" w14:textId="77777777" w:rsidR="002C11FB" w:rsidRDefault="002C11FB" w:rsidP="006C2E14">
            <w:pPr>
              <w:spacing w:line="276" w:lineRule="auto"/>
              <w:jc w:val="both"/>
              <w:rPr>
                <w:rFonts w:ascii="Arial" w:eastAsia="Calibri" w:hAnsi="Arial" w:cs="Arial"/>
                <w:color w:val="000000" w:themeColor="text1"/>
                <w:sz w:val="22"/>
                <w:lang w:val="es-ES_tradnl"/>
              </w:rPr>
            </w:pPr>
          </w:p>
          <w:p w14:paraId="5528BC60" w14:textId="4D088F97" w:rsidR="002C11FB" w:rsidRPr="00CC4718" w:rsidRDefault="002C11FB" w:rsidP="006C2E14">
            <w:pPr>
              <w:spacing w:line="276" w:lineRule="auto"/>
              <w:jc w:val="both"/>
              <w:rPr>
                <w:rFonts w:ascii="Arial" w:eastAsia="Calibri" w:hAnsi="Arial" w:cs="Arial"/>
                <w:color w:val="000000" w:themeColor="text1"/>
                <w:sz w:val="22"/>
                <w:lang w:val="es-ES_tradnl"/>
              </w:rPr>
            </w:pPr>
          </w:p>
        </w:tc>
      </w:tr>
      <w:tr w:rsidR="000920F0" w:rsidRPr="00CC4718" w14:paraId="5C0B4203" w14:textId="77777777" w:rsidTr="000460C0">
        <w:trPr>
          <w:trHeight w:val="303"/>
        </w:trPr>
        <w:tc>
          <w:tcPr>
            <w:tcW w:w="2689" w:type="dxa"/>
          </w:tcPr>
          <w:p w14:paraId="32E4E458" w14:textId="77777777" w:rsidR="000920F0" w:rsidRPr="00CC4718" w:rsidRDefault="000920F0" w:rsidP="006C2E14">
            <w:pPr>
              <w:spacing w:line="276" w:lineRule="auto"/>
              <w:rPr>
                <w:rFonts w:ascii="Arial" w:eastAsia="Calibri" w:hAnsi="Arial" w:cs="Arial"/>
                <w:b/>
                <w:color w:val="000000" w:themeColor="text1"/>
                <w:sz w:val="22"/>
                <w:lang w:val="es-ES_tradnl"/>
              </w:rPr>
            </w:pPr>
            <w:r w:rsidRPr="00CC4718">
              <w:rPr>
                <w:rFonts w:ascii="Arial" w:eastAsia="Calibri" w:hAnsi="Arial" w:cs="Arial"/>
                <w:b/>
                <w:color w:val="000000" w:themeColor="text1"/>
                <w:sz w:val="22"/>
                <w:lang w:val="es-ES_tradnl"/>
              </w:rPr>
              <w:t>Radicación:</w:t>
            </w:r>
            <w:r w:rsidRPr="00CC4718">
              <w:rPr>
                <w:rFonts w:ascii="Arial" w:eastAsia="Calibri" w:hAnsi="Arial" w:cs="Arial"/>
                <w:color w:val="000000" w:themeColor="text1"/>
                <w:sz w:val="22"/>
                <w:lang w:val="es-ES_tradnl"/>
              </w:rPr>
              <w:t xml:space="preserve">                              </w:t>
            </w:r>
          </w:p>
        </w:tc>
        <w:tc>
          <w:tcPr>
            <w:tcW w:w="6237" w:type="dxa"/>
          </w:tcPr>
          <w:p w14:paraId="1218CA08" w14:textId="0FBB87A3" w:rsidR="000920F0" w:rsidRPr="00CC4718" w:rsidRDefault="000920F0" w:rsidP="006C2E14">
            <w:pPr>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 xml:space="preserve">Respuesta a consulta # </w:t>
            </w:r>
            <w:r w:rsidR="00CC296B" w:rsidRPr="00CC4718">
              <w:rPr>
                <w:rFonts w:ascii="Arial" w:hAnsi="Arial" w:cs="Arial"/>
                <w:color w:val="000000" w:themeColor="text1"/>
                <w:sz w:val="22"/>
                <w:lang w:val="es-ES_tradnl"/>
              </w:rPr>
              <w:t>4202012000001079</w:t>
            </w:r>
          </w:p>
        </w:tc>
      </w:tr>
    </w:tbl>
    <w:p w14:paraId="1EBF4C49" w14:textId="77777777" w:rsidR="00394B5E" w:rsidRDefault="00394B5E" w:rsidP="000920F0">
      <w:pPr>
        <w:spacing w:line="276" w:lineRule="auto"/>
        <w:rPr>
          <w:rFonts w:ascii="Arial" w:eastAsia="Calibri" w:hAnsi="Arial" w:cs="Arial"/>
          <w:color w:val="000000" w:themeColor="text1"/>
          <w:sz w:val="22"/>
          <w:lang w:val="es-ES_tradnl"/>
        </w:rPr>
      </w:pPr>
    </w:p>
    <w:p w14:paraId="1B619448" w14:textId="380479BE" w:rsidR="000920F0" w:rsidRPr="00CC4718" w:rsidRDefault="000920F0" w:rsidP="000920F0">
      <w:pPr>
        <w:spacing w:line="276" w:lineRule="auto"/>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 xml:space="preserve">Estimado señor </w:t>
      </w:r>
      <w:r w:rsidR="00581D03" w:rsidRPr="00CC4718">
        <w:rPr>
          <w:rFonts w:ascii="Arial" w:eastAsia="Calibri" w:hAnsi="Arial" w:cs="Arial"/>
          <w:color w:val="000000" w:themeColor="text1"/>
          <w:sz w:val="22"/>
          <w:lang w:val="es-ES_tradnl"/>
        </w:rPr>
        <w:t>Olarte</w:t>
      </w:r>
      <w:r w:rsidRPr="00CC4718">
        <w:rPr>
          <w:rFonts w:ascii="Arial" w:eastAsia="Calibri" w:hAnsi="Arial" w:cs="Arial"/>
          <w:color w:val="000000" w:themeColor="text1"/>
          <w:sz w:val="22"/>
          <w:lang w:val="es-ES_tradnl"/>
        </w:rPr>
        <w:t>,</w:t>
      </w:r>
    </w:p>
    <w:p w14:paraId="09825258" w14:textId="77777777" w:rsidR="000920F0" w:rsidRPr="00CC4718" w:rsidRDefault="000920F0" w:rsidP="000920F0">
      <w:pPr>
        <w:spacing w:line="276" w:lineRule="auto"/>
        <w:rPr>
          <w:rFonts w:ascii="Arial" w:eastAsia="Calibri" w:hAnsi="Arial" w:cs="Arial"/>
          <w:color w:val="000000" w:themeColor="text1"/>
          <w:sz w:val="22"/>
          <w:lang w:val="es-ES_tradnl"/>
        </w:rPr>
      </w:pPr>
    </w:p>
    <w:p w14:paraId="679DB8AF" w14:textId="0F5483D9" w:rsidR="000920F0" w:rsidRPr="00CC4718" w:rsidRDefault="000920F0" w:rsidP="000920F0">
      <w:pPr>
        <w:tabs>
          <w:tab w:val="left" w:pos="426"/>
        </w:tabs>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lastRenderedPageBreak/>
        <w:t>La Agencia Nacional de Contratación Pública ― Colombia Compra Eficiente responde su consulta del 1</w:t>
      </w:r>
      <w:r w:rsidR="00DC2F65" w:rsidRPr="00CC4718">
        <w:rPr>
          <w:rFonts w:ascii="Arial" w:eastAsia="Calibri" w:hAnsi="Arial" w:cs="Arial"/>
          <w:color w:val="000000" w:themeColor="text1"/>
          <w:sz w:val="22"/>
          <w:lang w:val="es-ES_tradnl"/>
        </w:rPr>
        <w:t>4</w:t>
      </w:r>
      <w:r w:rsidRPr="00CC4718">
        <w:rPr>
          <w:rFonts w:ascii="Arial" w:eastAsia="Calibri" w:hAnsi="Arial" w:cs="Arial"/>
          <w:color w:val="000000" w:themeColor="text1"/>
          <w:sz w:val="22"/>
          <w:lang w:val="es-ES_tradnl"/>
        </w:rPr>
        <w:t xml:space="preserve"> de febrero de 2020, en ejercicio de la competencia otorgada por el numeral 8 del artículo 11 y el numeral 5 del artículo 3 del Decreto Ley 4170 de 2011.</w:t>
      </w:r>
    </w:p>
    <w:p w14:paraId="28C2ECB0" w14:textId="77777777" w:rsidR="000920F0" w:rsidRPr="00CC4718" w:rsidRDefault="000920F0" w:rsidP="000920F0">
      <w:pPr>
        <w:tabs>
          <w:tab w:val="left" w:pos="426"/>
        </w:tabs>
        <w:spacing w:line="276" w:lineRule="auto"/>
        <w:jc w:val="both"/>
        <w:rPr>
          <w:rFonts w:ascii="Arial" w:eastAsia="Calibri" w:hAnsi="Arial" w:cs="Arial"/>
          <w:color w:val="000000" w:themeColor="text1"/>
          <w:sz w:val="22"/>
          <w:lang w:val="es-ES_tradnl"/>
        </w:rPr>
      </w:pPr>
    </w:p>
    <w:p w14:paraId="58FEF0FB" w14:textId="77777777" w:rsidR="000920F0" w:rsidRPr="00CC4718"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CC4718">
        <w:rPr>
          <w:rFonts w:ascii="Arial" w:eastAsia="Calibri" w:hAnsi="Arial" w:cs="Arial"/>
          <w:b/>
          <w:color w:val="000000" w:themeColor="text1"/>
          <w:sz w:val="22"/>
          <w:lang w:val="es-ES_tradnl"/>
        </w:rPr>
        <w:t xml:space="preserve">Problemas planteados </w:t>
      </w:r>
    </w:p>
    <w:p w14:paraId="476FAD3E" w14:textId="77777777" w:rsidR="000920F0" w:rsidRPr="00CC4718"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40665AF9" w14:textId="77777777" w:rsidR="00FF155F" w:rsidRPr="00CC4718" w:rsidRDefault="000920F0" w:rsidP="009E0C7E">
      <w:pPr>
        <w:tabs>
          <w:tab w:val="left" w:pos="426"/>
        </w:tabs>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 xml:space="preserve">Usted realiza la siguiente pregunta: </w:t>
      </w:r>
      <w:r w:rsidR="007B2F1D" w:rsidRPr="00CC4718">
        <w:rPr>
          <w:rFonts w:ascii="Arial" w:eastAsia="Calibri" w:hAnsi="Arial" w:cs="Arial"/>
          <w:color w:val="000000" w:themeColor="text1"/>
          <w:sz w:val="22"/>
          <w:lang w:val="es-ES_tradnl"/>
        </w:rPr>
        <w:t>¿puede una empresa social del Estado establecer en su manual de contratación que el término en el que se debe publicar su actividad contractual en el SECOP será</w:t>
      </w:r>
      <w:r w:rsidR="00902D31" w:rsidRPr="00CC4718">
        <w:rPr>
          <w:rFonts w:ascii="Arial" w:eastAsia="Calibri" w:hAnsi="Arial" w:cs="Arial"/>
          <w:color w:val="000000" w:themeColor="text1"/>
          <w:sz w:val="22"/>
          <w:lang w:val="es-ES_tradnl"/>
        </w:rPr>
        <w:t xml:space="preserve"> mayor a tres días, teniendo en cuenta que se trata de una entidad de régimen especial?</w:t>
      </w:r>
    </w:p>
    <w:p w14:paraId="4287F667" w14:textId="31BCE211" w:rsidR="009E0C7E" w:rsidRPr="00CC4718" w:rsidRDefault="002E0383" w:rsidP="007B7018">
      <w:pPr>
        <w:tabs>
          <w:tab w:val="left" w:pos="426"/>
        </w:tabs>
        <w:spacing w:before="120" w:line="276" w:lineRule="auto"/>
        <w:ind w:firstLine="425"/>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 xml:space="preserve">Lo anterior, a partir de </w:t>
      </w:r>
      <w:r w:rsidR="009E0C7E" w:rsidRPr="00CC4718">
        <w:rPr>
          <w:rFonts w:ascii="Arial" w:eastAsia="Calibri" w:hAnsi="Arial" w:cs="Arial"/>
          <w:color w:val="000000" w:themeColor="text1"/>
          <w:sz w:val="22"/>
          <w:lang w:val="es-ES_tradnl"/>
        </w:rPr>
        <w:t xml:space="preserve">lo conceptuado </w:t>
      </w:r>
      <w:r w:rsidRPr="00CC4718">
        <w:rPr>
          <w:rFonts w:ascii="Arial" w:eastAsia="Calibri" w:hAnsi="Arial" w:cs="Arial"/>
          <w:color w:val="000000" w:themeColor="text1"/>
          <w:sz w:val="22"/>
          <w:lang w:val="es-ES_tradnl"/>
        </w:rPr>
        <w:t>por esta Subdirección en respuesta a la</w:t>
      </w:r>
      <w:r w:rsidR="009E0C7E" w:rsidRPr="00CC4718">
        <w:rPr>
          <w:rFonts w:ascii="Arial" w:eastAsia="Calibri" w:hAnsi="Arial" w:cs="Arial"/>
          <w:color w:val="000000" w:themeColor="text1"/>
          <w:sz w:val="22"/>
          <w:lang w:val="es-ES_tradnl"/>
        </w:rPr>
        <w:t xml:space="preserve"> consulta con </w:t>
      </w:r>
      <w:r w:rsidRPr="00CC4718">
        <w:rPr>
          <w:rFonts w:ascii="Arial" w:eastAsia="Calibri" w:hAnsi="Arial" w:cs="Arial"/>
          <w:color w:val="000000" w:themeColor="text1"/>
          <w:sz w:val="22"/>
          <w:lang w:val="es-ES_tradnl"/>
        </w:rPr>
        <w:t xml:space="preserve">radicado No. </w:t>
      </w:r>
      <w:r w:rsidR="009E0C7E" w:rsidRPr="00CC4718">
        <w:rPr>
          <w:rFonts w:ascii="Arial" w:eastAsia="Calibri" w:hAnsi="Arial" w:cs="Arial"/>
          <w:color w:val="000000" w:themeColor="text1"/>
          <w:sz w:val="22"/>
          <w:lang w:val="es-ES_tradnl"/>
        </w:rPr>
        <w:t xml:space="preserve">4201814000001443, en la </w:t>
      </w:r>
      <w:r w:rsidR="00101355" w:rsidRPr="00CC4718">
        <w:rPr>
          <w:rFonts w:ascii="Arial" w:eastAsia="Calibri" w:hAnsi="Arial" w:cs="Arial"/>
          <w:color w:val="000000" w:themeColor="text1"/>
          <w:sz w:val="22"/>
          <w:lang w:val="es-ES_tradnl"/>
        </w:rPr>
        <w:t xml:space="preserve">cual </w:t>
      </w:r>
      <w:r w:rsidR="009E0C7E" w:rsidRPr="00CC4718">
        <w:rPr>
          <w:rFonts w:ascii="Arial" w:eastAsia="Calibri" w:hAnsi="Arial" w:cs="Arial"/>
          <w:color w:val="000000" w:themeColor="text1"/>
          <w:sz w:val="22"/>
          <w:lang w:val="es-ES_tradnl"/>
        </w:rPr>
        <w:t>afirmó:</w:t>
      </w:r>
      <w:r w:rsidR="00101355" w:rsidRPr="00CC4718">
        <w:rPr>
          <w:rFonts w:ascii="Arial" w:eastAsia="Calibri" w:hAnsi="Arial" w:cs="Arial"/>
          <w:color w:val="000000" w:themeColor="text1"/>
          <w:sz w:val="22"/>
          <w:lang w:val="es-ES_tradnl"/>
        </w:rPr>
        <w:t xml:space="preserve"> </w:t>
      </w:r>
      <w:r w:rsidRPr="00CC4718">
        <w:rPr>
          <w:rFonts w:ascii="Arial" w:eastAsia="Calibri" w:hAnsi="Arial" w:cs="Arial"/>
          <w:color w:val="000000" w:themeColor="text1"/>
          <w:sz w:val="22"/>
          <w:lang w:val="es-ES_tradnl"/>
        </w:rPr>
        <w:t>«</w:t>
      </w:r>
      <w:r w:rsidR="009E0C7E" w:rsidRPr="00CC4718">
        <w:rPr>
          <w:rFonts w:ascii="Arial" w:eastAsia="Calibri" w:hAnsi="Arial" w:cs="Arial"/>
          <w:color w:val="000000" w:themeColor="text1"/>
          <w:sz w:val="22"/>
          <w:lang w:val="es-ES_tradnl"/>
        </w:rPr>
        <w:t xml:space="preserve">Las Entidades Estatales de </w:t>
      </w:r>
      <w:r w:rsidRPr="00CC4718">
        <w:rPr>
          <w:rFonts w:ascii="Arial" w:eastAsia="Calibri" w:hAnsi="Arial" w:cs="Arial"/>
          <w:color w:val="000000" w:themeColor="text1"/>
          <w:sz w:val="22"/>
          <w:lang w:val="es-ES_tradnl"/>
        </w:rPr>
        <w:t>régimen</w:t>
      </w:r>
      <w:r w:rsidR="009E0C7E" w:rsidRPr="00CC4718">
        <w:rPr>
          <w:rFonts w:ascii="Arial" w:eastAsia="Calibri" w:hAnsi="Arial" w:cs="Arial"/>
          <w:color w:val="000000" w:themeColor="text1"/>
          <w:sz w:val="22"/>
          <w:lang w:val="es-ES_tradnl"/>
        </w:rPr>
        <w:t xml:space="preserve"> especial deben publicar su actividad contractual en el SECOP a </w:t>
      </w:r>
      <w:r w:rsidRPr="00CC4718">
        <w:rPr>
          <w:rFonts w:ascii="Arial" w:eastAsia="Calibri" w:hAnsi="Arial" w:cs="Arial"/>
          <w:color w:val="000000" w:themeColor="text1"/>
          <w:sz w:val="22"/>
          <w:lang w:val="es-ES_tradnl"/>
        </w:rPr>
        <w:t>más</w:t>
      </w:r>
      <w:r w:rsidR="009E0C7E" w:rsidRPr="00CC4718">
        <w:rPr>
          <w:rFonts w:ascii="Arial" w:eastAsia="Calibri" w:hAnsi="Arial" w:cs="Arial"/>
          <w:color w:val="000000" w:themeColor="text1"/>
          <w:sz w:val="22"/>
          <w:lang w:val="es-ES_tradnl"/>
        </w:rPr>
        <w:t xml:space="preserve"> tardar en los tres </w:t>
      </w:r>
      <w:r w:rsidRPr="00CC4718">
        <w:rPr>
          <w:rFonts w:ascii="Arial" w:eastAsia="Calibri" w:hAnsi="Arial" w:cs="Arial"/>
          <w:color w:val="000000" w:themeColor="text1"/>
          <w:sz w:val="22"/>
          <w:lang w:val="es-ES_tradnl"/>
        </w:rPr>
        <w:t>días</w:t>
      </w:r>
      <w:r w:rsidR="009E0C7E" w:rsidRPr="00CC4718">
        <w:rPr>
          <w:rFonts w:ascii="Arial" w:eastAsia="Calibri" w:hAnsi="Arial" w:cs="Arial"/>
          <w:color w:val="000000" w:themeColor="text1"/>
          <w:sz w:val="22"/>
          <w:lang w:val="es-ES_tradnl"/>
        </w:rPr>
        <w:t xml:space="preserve"> siguientes a la </w:t>
      </w:r>
      <w:r w:rsidRPr="00CC4718">
        <w:rPr>
          <w:rFonts w:ascii="Arial" w:eastAsia="Calibri" w:hAnsi="Arial" w:cs="Arial"/>
          <w:color w:val="000000" w:themeColor="text1"/>
          <w:sz w:val="22"/>
          <w:lang w:val="es-ES_tradnl"/>
        </w:rPr>
        <w:t>expedición</w:t>
      </w:r>
      <w:r w:rsidR="009E0C7E" w:rsidRPr="00CC4718">
        <w:rPr>
          <w:rFonts w:ascii="Arial" w:eastAsia="Calibri" w:hAnsi="Arial" w:cs="Arial"/>
          <w:color w:val="000000" w:themeColor="text1"/>
          <w:sz w:val="22"/>
          <w:lang w:val="es-ES_tradnl"/>
        </w:rPr>
        <w:t xml:space="preserve"> del documento o en el </w:t>
      </w:r>
      <w:r w:rsidRPr="00CC4718">
        <w:rPr>
          <w:rFonts w:ascii="Arial" w:eastAsia="Calibri" w:hAnsi="Arial" w:cs="Arial"/>
          <w:color w:val="000000" w:themeColor="text1"/>
          <w:sz w:val="22"/>
          <w:lang w:val="es-ES_tradnl"/>
        </w:rPr>
        <w:t>término</w:t>
      </w:r>
      <w:r w:rsidR="009E0C7E" w:rsidRPr="00CC4718">
        <w:rPr>
          <w:rFonts w:ascii="Arial" w:eastAsia="Calibri" w:hAnsi="Arial" w:cs="Arial"/>
          <w:color w:val="000000" w:themeColor="text1"/>
          <w:sz w:val="22"/>
          <w:lang w:val="es-ES_tradnl"/>
        </w:rPr>
        <w:t xml:space="preserve"> establecido en su Manual de </w:t>
      </w:r>
      <w:r w:rsidRPr="00CC4718">
        <w:rPr>
          <w:rFonts w:ascii="Arial" w:eastAsia="Calibri" w:hAnsi="Arial" w:cs="Arial"/>
          <w:color w:val="000000" w:themeColor="text1"/>
          <w:sz w:val="22"/>
          <w:lang w:val="es-ES_tradnl"/>
        </w:rPr>
        <w:t>Contratación</w:t>
      </w:r>
      <w:r w:rsidR="009E0C7E" w:rsidRPr="00CC4718">
        <w:rPr>
          <w:rFonts w:ascii="Arial" w:eastAsia="Calibri" w:hAnsi="Arial" w:cs="Arial"/>
          <w:color w:val="000000" w:themeColor="text1"/>
          <w:sz w:val="22"/>
          <w:lang w:val="es-ES_tradnl"/>
        </w:rPr>
        <w:t xml:space="preserve">, salvo que este </w:t>
      </w:r>
      <w:r w:rsidRPr="00CC4718">
        <w:rPr>
          <w:rFonts w:ascii="Arial" w:eastAsia="Calibri" w:hAnsi="Arial" w:cs="Arial"/>
          <w:color w:val="000000" w:themeColor="text1"/>
          <w:sz w:val="22"/>
          <w:lang w:val="es-ES_tradnl"/>
        </w:rPr>
        <w:t>último</w:t>
      </w:r>
      <w:r w:rsidR="009E0C7E" w:rsidRPr="00CC4718">
        <w:rPr>
          <w:rFonts w:ascii="Arial" w:eastAsia="Calibri" w:hAnsi="Arial" w:cs="Arial"/>
          <w:color w:val="000000" w:themeColor="text1"/>
          <w:sz w:val="22"/>
          <w:lang w:val="es-ES_tradnl"/>
        </w:rPr>
        <w:t xml:space="preserve"> defina un plazo menor al estable</w:t>
      </w:r>
      <w:r w:rsidRPr="00CC4718">
        <w:rPr>
          <w:rFonts w:ascii="Arial" w:eastAsia="Calibri" w:hAnsi="Arial" w:cs="Arial"/>
          <w:color w:val="000000" w:themeColor="text1"/>
          <w:sz w:val="22"/>
          <w:lang w:val="es-ES_tradnl"/>
        </w:rPr>
        <w:t>cido en el Decreto 1082 de 2015»</w:t>
      </w:r>
      <w:r w:rsidR="009E0C7E" w:rsidRPr="00CC4718">
        <w:rPr>
          <w:rFonts w:ascii="Arial" w:eastAsia="Calibri" w:hAnsi="Arial" w:cs="Arial"/>
          <w:color w:val="000000" w:themeColor="text1"/>
          <w:sz w:val="22"/>
          <w:lang w:val="es-ES_tradnl"/>
        </w:rPr>
        <w:t>.</w:t>
      </w:r>
    </w:p>
    <w:p w14:paraId="571C7382" w14:textId="3CE179EB" w:rsidR="000920F0" w:rsidRPr="00CC4718" w:rsidRDefault="000920F0" w:rsidP="000920F0">
      <w:pPr>
        <w:tabs>
          <w:tab w:val="left" w:pos="426"/>
        </w:tabs>
        <w:spacing w:line="276" w:lineRule="auto"/>
        <w:jc w:val="both"/>
        <w:rPr>
          <w:rFonts w:ascii="Arial" w:eastAsia="Calibri" w:hAnsi="Arial" w:cs="Arial"/>
          <w:color w:val="000000" w:themeColor="text1"/>
          <w:sz w:val="22"/>
          <w:lang w:val="es-ES_tradnl"/>
        </w:rPr>
      </w:pPr>
    </w:p>
    <w:p w14:paraId="79882F8B" w14:textId="77777777" w:rsidR="000920F0" w:rsidRPr="00CC4718" w:rsidRDefault="000920F0" w:rsidP="000920F0">
      <w:pPr>
        <w:tabs>
          <w:tab w:val="left" w:pos="426"/>
        </w:tabs>
        <w:spacing w:line="276" w:lineRule="auto"/>
        <w:jc w:val="both"/>
        <w:rPr>
          <w:rFonts w:ascii="Arial" w:eastAsia="Calibri" w:hAnsi="Arial" w:cs="Arial"/>
          <w:b/>
          <w:color w:val="000000" w:themeColor="text1"/>
          <w:sz w:val="22"/>
          <w:lang w:val="es-ES_tradnl"/>
        </w:rPr>
      </w:pPr>
      <w:r w:rsidRPr="00CC4718">
        <w:rPr>
          <w:rFonts w:ascii="Arial" w:eastAsia="Calibri" w:hAnsi="Arial" w:cs="Arial"/>
          <w:b/>
          <w:color w:val="000000" w:themeColor="text1"/>
          <w:sz w:val="22"/>
          <w:lang w:val="es-ES_tradnl"/>
        </w:rPr>
        <w:t>2. Consideraciones</w:t>
      </w:r>
    </w:p>
    <w:bookmarkEnd w:id="0"/>
    <w:bookmarkEnd w:id="1"/>
    <w:p w14:paraId="7894E838" w14:textId="77777777" w:rsidR="000920F0" w:rsidRPr="00CC4718" w:rsidRDefault="000920F0" w:rsidP="000920F0">
      <w:pPr>
        <w:spacing w:line="276" w:lineRule="auto"/>
        <w:jc w:val="both"/>
        <w:rPr>
          <w:rFonts w:ascii="Arial" w:hAnsi="Arial" w:cs="Arial"/>
          <w:color w:val="000000" w:themeColor="text1"/>
          <w:sz w:val="22"/>
          <w:lang w:val="es-ES_tradnl"/>
        </w:rPr>
      </w:pPr>
    </w:p>
    <w:p w14:paraId="7B620844" w14:textId="77777777" w:rsidR="00005156" w:rsidRPr="00CC4718" w:rsidRDefault="000920F0" w:rsidP="00005156">
      <w:pPr>
        <w:spacing w:line="276" w:lineRule="auto"/>
        <w:jc w:val="both"/>
        <w:rPr>
          <w:rFonts w:ascii="Arial" w:eastAsia="Calibri" w:hAnsi="Arial" w:cs="Arial"/>
          <w:color w:val="000000" w:themeColor="text1"/>
          <w:sz w:val="22"/>
        </w:rPr>
      </w:pPr>
      <w:r w:rsidRPr="00CC4718">
        <w:rPr>
          <w:rFonts w:ascii="Arial" w:hAnsi="Arial" w:cs="Arial"/>
          <w:color w:val="000000" w:themeColor="text1"/>
          <w:sz w:val="22"/>
          <w:lang w:val="es-ES_tradnl"/>
        </w:rPr>
        <w:t xml:space="preserve">Para resolver esta consulta se hará un análisis de los siguientes temas: i) </w:t>
      </w:r>
      <w:r w:rsidRPr="00CC4718">
        <w:rPr>
          <w:rFonts w:ascii="Arial" w:eastAsia="Calibri" w:hAnsi="Arial" w:cs="Arial"/>
          <w:color w:val="000000" w:themeColor="text1"/>
          <w:sz w:val="22"/>
        </w:rPr>
        <w:t xml:space="preserve">el SECOP, como plataforma que las entidades deben utilizar para publicar la actividad contractual y ii) documentos contractuales que deben publicar las entidades exceptuadas de la aplicación del Estatuto General de Contratación de la Administración Pública, incluidas </w:t>
      </w:r>
      <w:r w:rsidR="00DB200E" w:rsidRPr="00CC4718">
        <w:rPr>
          <w:rFonts w:ascii="Arial" w:eastAsia="Calibri" w:hAnsi="Arial" w:cs="Arial"/>
          <w:color w:val="000000" w:themeColor="text1"/>
          <w:sz w:val="22"/>
        </w:rPr>
        <w:t>las empresas sociales del Estado</w:t>
      </w:r>
      <w:r w:rsidRPr="00CC4718">
        <w:rPr>
          <w:rFonts w:ascii="Arial" w:eastAsia="Calibri" w:hAnsi="Arial" w:cs="Arial"/>
          <w:color w:val="000000" w:themeColor="text1"/>
          <w:sz w:val="22"/>
        </w:rPr>
        <w:t>, en el SECOP I, así como el momento de su publicación.</w:t>
      </w:r>
    </w:p>
    <w:p w14:paraId="00E2DC3C" w14:textId="7AE40E00" w:rsidR="00005156" w:rsidRPr="00CC4718" w:rsidRDefault="00005156" w:rsidP="00005156">
      <w:pPr>
        <w:spacing w:before="120" w:line="276" w:lineRule="auto"/>
        <w:ind w:firstLine="709"/>
        <w:jc w:val="both"/>
        <w:rPr>
          <w:rFonts w:ascii="Arial" w:eastAsia="Calibri" w:hAnsi="Arial" w:cs="Arial"/>
          <w:color w:val="000000" w:themeColor="text1"/>
          <w:sz w:val="22"/>
        </w:rPr>
      </w:pPr>
      <w:r w:rsidRPr="00CC4718">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14:paraId="534D4478" w14:textId="77777777" w:rsidR="000920F0" w:rsidRPr="00CC4718" w:rsidRDefault="000920F0" w:rsidP="000920F0">
      <w:pPr>
        <w:spacing w:line="276" w:lineRule="auto"/>
        <w:jc w:val="both"/>
        <w:rPr>
          <w:rFonts w:ascii="Arial" w:hAnsi="Arial" w:cs="Arial"/>
          <w:color w:val="000000" w:themeColor="text1"/>
          <w:sz w:val="22"/>
          <w:lang w:val="es-ES_tradnl"/>
        </w:rPr>
      </w:pPr>
    </w:p>
    <w:p w14:paraId="5B3B69C8" w14:textId="77777777" w:rsidR="00005156" w:rsidRPr="00CC4718" w:rsidRDefault="000920F0" w:rsidP="00005156">
      <w:pPr>
        <w:tabs>
          <w:tab w:val="left" w:pos="426"/>
        </w:tabs>
        <w:spacing w:line="276" w:lineRule="auto"/>
        <w:jc w:val="both"/>
        <w:rPr>
          <w:rFonts w:ascii="Arial" w:eastAsia="Calibri" w:hAnsi="Arial" w:cs="Arial"/>
          <w:b/>
          <w:color w:val="000000" w:themeColor="text1"/>
          <w:sz w:val="22"/>
        </w:rPr>
      </w:pPr>
      <w:r w:rsidRPr="00CC4718">
        <w:rPr>
          <w:rFonts w:ascii="Arial" w:eastAsia="Calibri" w:hAnsi="Arial" w:cs="Arial"/>
          <w:b/>
          <w:color w:val="000000" w:themeColor="text1"/>
          <w:sz w:val="22"/>
        </w:rPr>
        <w:t>2.1. Publicidad de la actividad contractual en el Sistema Electrónico de Contratación Pública –SECOP–</w:t>
      </w:r>
    </w:p>
    <w:p w14:paraId="295DDC50" w14:textId="77777777" w:rsidR="00005156" w:rsidRPr="00CC4718" w:rsidRDefault="00005156" w:rsidP="00005156">
      <w:pPr>
        <w:tabs>
          <w:tab w:val="left" w:pos="426"/>
        </w:tabs>
        <w:spacing w:line="276" w:lineRule="auto"/>
        <w:jc w:val="both"/>
        <w:rPr>
          <w:rFonts w:ascii="Arial" w:eastAsia="Calibri" w:hAnsi="Arial" w:cs="Arial"/>
          <w:b/>
          <w:color w:val="000000" w:themeColor="text1"/>
          <w:sz w:val="22"/>
        </w:rPr>
      </w:pPr>
    </w:p>
    <w:p w14:paraId="679CB6FD" w14:textId="08991D53" w:rsidR="000920F0" w:rsidRPr="00CC4718" w:rsidRDefault="000920F0" w:rsidP="00005156">
      <w:pPr>
        <w:tabs>
          <w:tab w:val="left" w:pos="426"/>
        </w:tabs>
        <w:spacing w:line="276" w:lineRule="auto"/>
        <w:jc w:val="both"/>
        <w:rPr>
          <w:rFonts w:ascii="Arial" w:eastAsia="Calibri" w:hAnsi="Arial" w:cs="Arial"/>
          <w:b/>
          <w:color w:val="000000" w:themeColor="text1"/>
          <w:sz w:val="22"/>
        </w:rPr>
      </w:pPr>
      <w:r w:rsidRPr="00CC4718">
        <w:rPr>
          <w:rFonts w:ascii="Arial" w:eastAsia="Calibri" w:hAnsi="Arial" w:cs="Arial"/>
          <w:color w:val="000000" w:themeColor="text1"/>
          <w:sz w:val="22"/>
        </w:rPr>
        <w:t xml:space="preserve">Para la Corte Constitucional, el principio de publicidad es la garantía </w:t>
      </w:r>
      <w:r w:rsidR="00005156" w:rsidRPr="00CC4718">
        <w:rPr>
          <w:rFonts w:ascii="Arial" w:eastAsia="Calibri" w:hAnsi="Arial" w:cs="Arial"/>
          <w:color w:val="000000" w:themeColor="text1"/>
          <w:sz w:val="22"/>
        </w:rPr>
        <w:t>de</w:t>
      </w:r>
      <w:r w:rsidRPr="00CC4718">
        <w:rPr>
          <w:rFonts w:ascii="Arial" w:eastAsia="Calibri" w:hAnsi="Arial" w:cs="Arial"/>
          <w:color w:val="000000" w:themeColor="text1"/>
          <w:sz w:val="22"/>
        </w:rPr>
        <w:t xml:space="preserve"> las personas de conocer las actuaciones judiciales y administrativas y con base en ese conocimiento tener la posibilidad de exigir que se surtan conforme a la ley: </w:t>
      </w:r>
    </w:p>
    <w:p w14:paraId="0224E9C5" w14:textId="77777777" w:rsidR="000920F0" w:rsidRPr="00CC4718" w:rsidRDefault="000920F0" w:rsidP="000920F0">
      <w:pPr>
        <w:ind w:firstLine="709"/>
        <w:jc w:val="both"/>
        <w:rPr>
          <w:rFonts w:ascii="Arial" w:eastAsia="Calibri" w:hAnsi="Arial" w:cs="Arial"/>
          <w:color w:val="000000" w:themeColor="text1"/>
          <w:sz w:val="22"/>
        </w:rPr>
      </w:pPr>
    </w:p>
    <w:p w14:paraId="5D28E695"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 xml:space="preserve">El principio de publicidad se encuentra consagrado en el artículo 209 de la Constitución Política, que señala que la función administrativa está al servicio </w:t>
      </w:r>
      <w:r w:rsidRPr="00CC4718">
        <w:rPr>
          <w:rFonts w:ascii="Arial" w:hAnsi="Arial" w:cs="Arial"/>
          <w:color w:val="000000" w:themeColor="text1"/>
          <w:sz w:val="21"/>
          <w:szCs w:val="21"/>
          <w:lang w:val="es-ES"/>
        </w:rPr>
        <w:lastRenderedPageBreak/>
        <w:t>de los intereses generales y se desarrolla con fundamento entre otros, en el «principio de publicidad», el cual se evidencia en dos dimensiones.</w:t>
      </w:r>
    </w:p>
    <w:p w14:paraId="0522CEEE"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p>
    <w:p w14:paraId="2369410D" w14:textId="77777777" w:rsidR="000920F0" w:rsidRPr="00CC4718" w:rsidRDefault="000920F0" w:rsidP="000920F0">
      <w:pPr>
        <w:tabs>
          <w:tab w:val="left" w:pos="3885"/>
          <w:tab w:val="left" w:pos="8222"/>
        </w:tabs>
        <w:ind w:left="709" w:right="709"/>
        <w:jc w:val="both"/>
        <w:rPr>
          <w:rFonts w:ascii="Arial" w:hAnsi="Arial" w:cs="Arial"/>
          <w:color w:val="000000" w:themeColor="text1"/>
          <w:sz w:val="22"/>
          <w:lang w:val="es-ES"/>
        </w:rPr>
      </w:pPr>
      <w:r w:rsidRPr="00CC4718">
        <w:rPr>
          <w:rFonts w:ascii="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C4718">
        <w:rPr>
          <w:rStyle w:val="Refdenotaalpie"/>
          <w:rFonts w:ascii="Arial" w:eastAsia="Calibri" w:hAnsi="Arial" w:cs="Arial"/>
          <w:color w:val="000000" w:themeColor="text1"/>
          <w:sz w:val="21"/>
          <w:szCs w:val="21"/>
        </w:rPr>
        <w:footnoteReference w:id="1"/>
      </w:r>
      <w:r w:rsidRPr="00CC4718">
        <w:rPr>
          <w:rFonts w:ascii="Arial" w:eastAsia="Calibri" w:hAnsi="Arial" w:cs="Arial"/>
          <w:color w:val="000000" w:themeColor="text1"/>
          <w:sz w:val="21"/>
          <w:szCs w:val="21"/>
        </w:rPr>
        <w:t>.</w:t>
      </w:r>
    </w:p>
    <w:p w14:paraId="17F1593B" w14:textId="77777777" w:rsidR="000920F0" w:rsidRPr="00CC4718" w:rsidRDefault="000920F0" w:rsidP="000920F0">
      <w:pPr>
        <w:spacing w:line="276" w:lineRule="auto"/>
        <w:ind w:right="709"/>
        <w:jc w:val="both"/>
        <w:rPr>
          <w:rFonts w:ascii="Arial" w:eastAsia="Calibri" w:hAnsi="Arial" w:cs="Arial"/>
          <w:color w:val="000000" w:themeColor="text1"/>
          <w:sz w:val="22"/>
        </w:rPr>
      </w:pPr>
    </w:p>
    <w:p w14:paraId="20F8E72E" w14:textId="77777777" w:rsidR="000920F0" w:rsidRPr="00CC4718" w:rsidRDefault="000920F0" w:rsidP="000920F0">
      <w:pPr>
        <w:spacing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07C992C7" w14:textId="77777777" w:rsidR="000920F0" w:rsidRPr="00CC4718" w:rsidRDefault="000920F0" w:rsidP="00F80EF1">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CC4718">
        <w:rPr>
          <w:rStyle w:val="Refdenotaalpie"/>
          <w:rFonts w:ascii="Arial" w:eastAsia="Calibri" w:hAnsi="Arial" w:cs="Arial"/>
          <w:color w:val="000000" w:themeColor="text1"/>
          <w:sz w:val="22"/>
        </w:rPr>
        <w:footnoteReference w:id="2"/>
      </w:r>
      <w:r w:rsidRPr="00CC4718">
        <w:rPr>
          <w:rFonts w:ascii="Arial" w:eastAsia="Calibri" w:hAnsi="Arial" w:cs="Arial"/>
          <w:color w:val="000000" w:themeColor="text1"/>
          <w:sz w:val="22"/>
        </w:rPr>
        <w:t xml:space="preserve">. </w:t>
      </w:r>
    </w:p>
    <w:p w14:paraId="5B107F35" w14:textId="77777777" w:rsidR="000920F0" w:rsidRPr="00CC4718" w:rsidRDefault="000920F0" w:rsidP="00F80EF1">
      <w:pPr>
        <w:spacing w:before="120" w:after="120" w:line="276" w:lineRule="auto"/>
        <w:ind w:firstLine="709"/>
        <w:jc w:val="both"/>
        <w:rPr>
          <w:rFonts w:ascii="Arial" w:eastAsia="Calibri" w:hAnsi="Arial" w:cs="Arial"/>
          <w:color w:val="000000" w:themeColor="text1"/>
          <w:sz w:val="22"/>
        </w:rPr>
      </w:pPr>
      <w:r w:rsidRPr="00CC4718">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C4718">
        <w:rPr>
          <w:rStyle w:val="Refdenotaalpie"/>
          <w:rFonts w:ascii="Arial" w:hAnsi="Arial" w:cs="Arial"/>
          <w:color w:val="000000" w:themeColor="text1"/>
          <w:sz w:val="22"/>
        </w:rPr>
        <w:footnoteReference w:id="3"/>
      </w:r>
      <w:r w:rsidRPr="00CC4718">
        <w:rPr>
          <w:rFonts w:ascii="Arial" w:hAnsi="Arial" w:cs="Arial"/>
          <w:color w:val="000000" w:themeColor="text1"/>
          <w:sz w:val="22"/>
        </w:rPr>
        <w:t xml:space="preserve">. El principio de transparencia en la información alude al deber de </w:t>
      </w:r>
      <w:r w:rsidRPr="00CC4718">
        <w:rPr>
          <w:rFonts w:ascii="Arial" w:hAnsi="Arial" w:cs="Arial"/>
          <w:color w:val="000000" w:themeColor="text1"/>
          <w:sz w:val="22"/>
        </w:rPr>
        <w:lastRenderedPageBreak/>
        <w:t xml:space="preserve">los sujetos de proporcionar y facilitar el acceso a la misma en los términos más amplios posibles, y a través de los medios y procedimientos que establezca la ley. </w:t>
      </w:r>
    </w:p>
    <w:p w14:paraId="22ED06D2" w14:textId="77777777" w:rsidR="000920F0" w:rsidRPr="00CC4718" w:rsidRDefault="000920F0" w:rsidP="00F80EF1">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CC4718">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CC4718">
        <w:rPr>
          <w:rStyle w:val="Refdenotaalpie"/>
          <w:rFonts w:ascii="Arial" w:eastAsiaTheme="minorHAnsi" w:hAnsi="Arial" w:cs="Arial"/>
          <w:color w:val="000000" w:themeColor="text1"/>
          <w:sz w:val="22"/>
          <w:szCs w:val="22"/>
          <w:lang w:val="es-MX" w:eastAsia="en-US"/>
        </w:rPr>
        <w:footnoteReference w:id="4"/>
      </w:r>
      <w:r w:rsidRPr="00CC4718">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CC4718">
        <w:rPr>
          <w:rStyle w:val="Refdenotaalpie"/>
          <w:rFonts w:ascii="Arial" w:eastAsiaTheme="minorHAnsi" w:hAnsi="Arial" w:cs="Arial"/>
          <w:color w:val="000000" w:themeColor="text1"/>
          <w:sz w:val="22"/>
          <w:szCs w:val="22"/>
          <w:lang w:val="es-MX" w:eastAsia="en-US"/>
        </w:rPr>
        <w:footnoteReference w:id="5"/>
      </w:r>
      <w:r w:rsidRPr="00CC4718">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CC4718">
        <w:rPr>
          <w:rFonts w:ascii="Arial" w:eastAsiaTheme="minorHAnsi" w:hAnsi="Arial" w:cs="Arial"/>
          <w:color w:val="000000" w:themeColor="text1"/>
          <w:sz w:val="22"/>
          <w:szCs w:val="22"/>
          <w:lang w:val="es-MX" w:eastAsia="en-US"/>
        </w:rPr>
        <w:softHyphen/>
        <w:t xml:space="preserve"> </w:t>
      </w:r>
      <w:r w:rsidRPr="00CC4718">
        <w:rPr>
          <w:rFonts w:ascii="Arial" w:eastAsiaTheme="minorHAnsi" w:hAnsi="Arial" w:cs="Arial"/>
          <w:color w:val="000000" w:themeColor="text1"/>
          <w:sz w:val="22"/>
          <w:szCs w:val="22"/>
          <w:lang w:val="es-MX" w:eastAsia="en-US"/>
        </w:rPr>
        <w:softHyphen/>
        <w:t>SECOP.</w:t>
      </w:r>
    </w:p>
    <w:p w14:paraId="7A2B75B6" w14:textId="77777777" w:rsidR="000920F0" w:rsidRPr="00CC4718" w:rsidRDefault="000920F0" w:rsidP="00F80EF1">
      <w:pPr>
        <w:spacing w:before="120" w:after="120" w:line="276" w:lineRule="auto"/>
        <w:ind w:firstLine="709"/>
        <w:jc w:val="both"/>
        <w:rPr>
          <w:rFonts w:ascii="Arial" w:hAnsi="Arial" w:cs="Arial"/>
          <w:color w:val="000000" w:themeColor="text1"/>
          <w:sz w:val="22"/>
          <w:lang w:val="es-ES"/>
        </w:rPr>
      </w:pPr>
      <w:r w:rsidRPr="00CC4718">
        <w:rPr>
          <w:rFonts w:ascii="Arial" w:hAnsi="Arial" w:cs="Arial"/>
          <w:color w:val="000000" w:themeColor="text1"/>
          <w:sz w:val="22"/>
        </w:rPr>
        <w:t xml:space="preserve">Asimismo, de </w:t>
      </w:r>
      <w:r w:rsidRPr="00CC4718">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04FB5A2" w14:textId="77777777" w:rsidR="000920F0" w:rsidRPr="00CC4718" w:rsidRDefault="000920F0" w:rsidP="00F80EF1">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C4718">
        <w:rPr>
          <w:rStyle w:val="Refdenotaalpie"/>
          <w:rFonts w:ascii="Arial" w:eastAsia="Calibri" w:hAnsi="Arial" w:cs="Arial"/>
          <w:color w:val="000000" w:themeColor="text1"/>
          <w:sz w:val="22"/>
        </w:rPr>
        <w:footnoteReference w:id="6"/>
      </w:r>
      <w:r w:rsidRPr="00CC4718">
        <w:rPr>
          <w:rFonts w:ascii="Arial" w:eastAsia="Calibri" w:hAnsi="Arial" w:cs="Arial"/>
          <w:color w:val="000000" w:themeColor="text1"/>
          <w:sz w:val="22"/>
        </w:rPr>
        <w:t>.</w:t>
      </w:r>
    </w:p>
    <w:p w14:paraId="3CF8050F" w14:textId="77777777" w:rsidR="000920F0" w:rsidRPr="00CC4718" w:rsidRDefault="000920F0" w:rsidP="00F80EF1">
      <w:pPr>
        <w:spacing w:before="120" w:after="120" w:line="276" w:lineRule="auto"/>
        <w:ind w:firstLine="709"/>
        <w:jc w:val="both"/>
        <w:rPr>
          <w:rFonts w:ascii="Arial" w:hAnsi="Arial" w:cs="Arial"/>
          <w:color w:val="000000" w:themeColor="text1"/>
          <w:sz w:val="22"/>
          <w:lang w:val="es-ES"/>
        </w:rPr>
      </w:pPr>
      <w:r w:rsidRPr="00CC4718">
        <w:rPr>
          <w:rFonts w:ascii="Arial" w:hAnsi="Arial" w:cs="Arial"/>
          <w:color w:val="000000" w:themeColor="text1"/>
          <w:sz w:val="22"/>
          <w:lang w:val="es-ES"/>
        </w:rPr>
        <w:t>Para el año 2013, la Agencia Nacional de Contratación Pública ─ Colombia Compra Eficiente, mediante la Circular Externa No 1 del</w:t>
      </w:r>
      <w:r w:rsidRPr="00CC4718">
        <w:rPr>
          <w:color w:val="000000" w:themeColor="text1"/>
          <w:sz w:val="22"/>
        </w:rPr>
        <w:t xml:space="preserve"> </w:t>
      </w:r>
      <w:r w:rsidRPr="00CC4718">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CC4718">
        <w:rPr>
          <w:rStyle w:val="Refdenotaalpie"/>
          <w:rFonts w:ascii="Arial" w:hAnsi="Arial" w:cs="Arial"/>
          <w:color w:val="000000" w:themeColor="text1"/>
          <w:sz w:val="22"/>
          <w:lang w:val="es-ES"/>
        </w:rPr>
        <w:footnoteReference w:id="7"/>
      </w:r>
      <w:r w:rsidRPr="00CC4718">
        <w:rPr>
          <w:rFonts w:ascii="Arial" w:hAnsi="Arial" w:cs="Arial"/>
          <w:color w:val="000000" w:themeColor="text1"/>
          <w:sz w:val="22"/>
          <w:lang w:val="es-ES"/>
        </w:rPr>
        <w:t xml:space="preserve">. Además, la </w:t>
      </w:r>
      <w:r w:rsidRPr="00CC4718">
        <w:rPr>
          <w:rFonts w:ascii="Arial" w:hAnsi="Arial" w:cs="Arial"/>
          <w:color w:val="000000" w:themeColor="text1"/>
          <w:sz w:val="22"/>
          <w:lang w:val="es-ES"/>
        </w:rPr>
        <w:lastRenderedPageBreak/>
        <w:t>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1E6D802" w14:textId="77777777" w:rsidR="000920F0" w:rsidRPr="00CC4718" w:rsidRDefault="000920F0" w:rsidP="000920F0">
      <w:pPr>
        <w:spacing w:line="276" w:lineRule="auto"/>
        <w:ind w:firstLine="709"/>
        <w:jc w:val="both"/>
        <w:rPr>
          <w:rFonts w:ascii="Arial" w:hAnsi="Arial" w:cs="Arial"/>
          <w:color w:val="000000" w:themeColor="text1"/>
          <w:sz w:val="22"/>
          <w:lang w:val="es-ES"/>
        </w:rPr>
      </w:pPr>
      <w:r w:rsidRPr="00CC4718">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FF98A1C" w14:textId="77777777" w:rsidR="000920F0" w:rsidRPr="00CC4718" w:rsidRDefault="000920F0" w:rsidP="000920F0">
      <w:pPr>
        <w:spacing w:line="276" w:lineRule="auto"/>
        <w:jc w:val="both"/>
        <w:rPr>
          <w:rFonts w:ascii="Arial" w:hAnsi="Arial" w:cs="Arial"/>
          <w:color w:val="000000" w:themeColor="text1"/>
          <w:sz w:val="22"/>
          <w:lang w:val="es-ES"/>
        </w:rPr>
      </w:pPr>
    </w:p>
    <w:p w14:paraId="033435A8"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4FB2D93"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p>
    <w:p w14:paraId="33101515"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B058557"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w:t>
      </w:r>
    </w:p>
    <w:p w14:paraId="6DD9001B"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p>
    <w:p w14:paraId="38E5F56C" w14:textId="77777777" w:rsidR="000920F0" w:rsidRPr="00CC4718" w:rsidRDefault="000920F0" w:rsidP="000920F0">
      <w:pPr>
        <w:tabs>
          <w:tab w:val="left" w:pos="3885"/>
        </w:tabs>
        <w:ind w:left="709"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C4718">
        <w:rPr>
          <w:rStyle w:val="Refdenotaalpie"/>
          <w:rFonts w:ascii="Arial" w:hAnsi="Arial" w:cs="Arial"/>
          <w:color w:val="000000" w:themeColor="text1"/>
          <w:sz w:val="21"/>
          <w:szCs w:val="21"/>
        </w:rPr>
        <w:footnoteReference w:id="8"/>
      </w:r>
      <w:r w:rsidRPr="00CC4718">
        <w:rPr>
          <w:rStyle w:val="Refdenotaalpie"/>
          <w:rFonts w:ascii="Arial" w:hAnsi="Arial" w:cs="Arial"/>
          <w:color w:val="000000" w:themeColor="text1"/>
          <w:sz w:val="21"/>
          <w:szCs w:val="21"/>
        </w:rPr>
        <w:t>.</w:t>
      </w:r>
    </w:p>
    <w:p w14:paraId="6904F7CA" w14:textId="77777777" w:rsidR="000920F0" w:rsidRPr="00CC4718" w:rsidRDefault="000920F0" w:rsidP="000920F0">
      <w:pPr>
        <w:tabs>
          <w:tab w:val="left" w:pos="3885"/>
        </w:tabs>
        <w:spacing w:line="276" w:lineRule="auto"/>
        <w:ind w:left="709" w:right="709"/>
        <w:jc w:val="both"/>
        <w:rPr>
          <w:rFonts w:ascii="Arial" w:eastAsia="Calibri" w:hAnsi="Arial" w:cs="Arial"/>
          <w:color w:val="000000" w:themeColor="text1"/>
          <w:sz w:val="22"/>
        </w:rPr>
      </w:pPr>
    </w:p>
    <w:p w14:paraId="7EA2EC20" w14:textId="77777777" w:rsidR="000920F0" w:rsidRPr="00CC4718" w:rsidRDefault="000920F0" w:rsidP="000920F0">
      <w:pPr>
        <w:spacing w:line="276" w:lineRule="auto"/>
        <w:ind w:firstLine="708"/>
        <w:jc w:val="both"/>
        <w:rPr>
          <w:rFonts w:ascii="Arial" w:hAnsi="Arial" w:cs="Arial"/>
          <w:color w:val="000000" w:themeColor="text1"/>
          <w:sz w:val="22"/>
          <w:lang w:val="es-ES"/>
        </w:rPr>
      </w:pPr>
      <w:r w:rsidRPr="00CC4718">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w:t>
      </w:r>
      <w:r w:rsidRPr="00CC4718">
        <w:rPr>
          <w:rFonts w:ascii="Arial" w:hAnsi="Arial" w:cs="Arial"/>
          <w:color w:val="000000" w:themeColor="text1"/>
          <w:sz w:val="22"/>
          <w:lang w:val="es-ES"/>
        </w:rPr>
        <w:lastRenderedPageBreak/>
        <w:t xml:space="preserve">exceptuados. En particular, sobre el deber de publicidad de estos, el Consejo de Estado sostuvo: </w:t>
      </w:r>
    </w:p>
    <w:p w14:paraId="4B498F78" w14:textId="77777777" w:rsidR="000920F0" w:rsidRPr="00CC4718" w:rsidRDefault="000920F0" w:rsidP="000920F0">
      <w:pPr>
        <w:ind w:leftChars="709" w:left="1702" w:right="709" w:firstLine="2"/>
        <w:jc w:val="both"/>
        <w:rPr>
          <w:rFonts w:ascii="Arial" w:hAnsi="Arial" w:cs="Arial"/>
          <w:color w:val="000000" w:themeColor="text1"/>
          <w:sz w:val="21"/>
          <w:szCs w:val="21"/>
          <w:lang w:val="es-ES"/>
        </w:rPr>
      </w:pPr>
    </w:p>
    <w:p w14:paraId="6011D492" w14:textId="77777777" w:rsidR="000920F0" w:rsidRPr="00CC4718" w:rsidRDefault="000920F0" w:rsidP="000920F0">
      <w:pPr>
        <w:ind w:leftChars="295" w:left="708" w:right="709"/>
        <w:jc w:val="both"/>
        <w:rPr>
          <w:rFonts w:ascii="Arial" w:hAnsi="Arial" w:cs="Arial"/>
          <w:color w:val="000000" w:themeColor="text1"/>
          <w:sz w:val="21"/>
          <w:szCs w:val="21"/>
          <w:lang w:val="es-ES"/>
        </w:rPr>
      </w:pPr>
      <w:r w:rsidRPr="00CC4718">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2714C70C" w14:textId="77777777" w:rsidR="000920F0" w:rsidRPr="00CC4718" w:rsidRDefault="000920F0" w:rsidP="000920F0">
      <w:pPr>
        <w:spacing w:line="276" w:lineRule="auto"/>
        <w:ind w:leftChars="709" w:left="1702" w:right="709"/>
        <w:jc w:val="both"/>
        <w:rPr>
          <w:rFonts w:ascii="Arial" w:hAnsi="Arial" w:cs="Arial"/>
          <w:color w:val="000000" w:themeColor="text1"/>
          <w:sz w:val="21"/>
          <w:szCs w:val="21"/>
          <w:lang w:val="es-ES"/>
        </w:rPr>
      </w:pPr>
    </w:p>
    <w:p w14:paraId="6324E150" w14:textId="290D96CE" w:rsidR="000920F0" w:rsidRPr="00CC4718" w:rsidRDefault="000920F0" w:rsidP="000920F0">
      <w:pPr>
        <w:spacing w:line="276" w:lineRule="auto"/>
        <w:ind w:firstLine="708"/>
        <w:jc w:val="both"/>
        <w:rPr>
          <w:rFonts w:ascii="Arial" w:hAnsi="Arial" w:cs="Arial"/>
          <w:color w:val="000000" w:themeColor="text1"/>
          <w:sz w:val="22"/>
          <w:lang w:val="es-ES"/>
        </w:rPr>
      </w:pPr>
      <w:r w:rsidRPr="00CC4718">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8E49E9E" w14:textId="77777777" w:rsidR="000920F0" w:rsidRPr="00CC4718" w:rsidRDefault="000920F0" w:rsidP="000920F0">
      <w:pPr>
        <w:spacing w:line="276" w:lineRule="auto"/>
        <w:jc w:val="both"/>
        <w:rPr>
          <w:rFonts w:ascii="Arial" w:hAnsi="Arial" w:cs="Arial"/>
          <w:color w:val="000000" w:themeColor="text1"/>
          <w:sz w:val="22"/>
          <w:lang w:val="es-ES"/>
        </w:rPr>
      </w:pPr>
    </w:p>
    <w:p w14:paraId="15A5E419" w14:textId="77777777" w:rsidR="000920F0" w:rsidRPr="00CC4718" w:rsidRDefault="000920F0" w:rsidP="000920F0">
      <w:pPr>
        <w:tabs>
          <w:tab w:val="left" w:pos="284"/>
          <w:tab w:val="left" w:pos="426"/>
        </w:tabs>
        <w:spacing w:line="276" w:lineRule="auto"/>
        <w:jc w:val="both"/>
        <w:rPr>
          <w:rFonts w:ascii="Arial" w:hAnsi="Arial" w:cs="Arial"/>
          <w:b/>
          <w:color w:val="000000" w:themeColor="text1"/>
          <w:sz w:val="22"/>
          <w:lang w:val="es-ES"/>
        </w:rPr>
      </w:pPr>
      <w:r w:rsidRPr="00CC4718">
        <w:rPr>
          <w:rFonts w:ascii="Arial" w:hAnsi="Arial" w:cs="Arial"/>
          <w:b/>
          <w:color w:val="000000" w:themeColor="text1"/>
          <w:sz w:val="22"/>
          <w:lang w:val="es-ES"/>
        </w:rPr>
        <w:t xml:space="preserve">2.2. Precedentes de Colombia Compra Eficiente sobre los documentos que deben publicar en el SECOP las entidades de régimen especial </w:t>
      </w:r>
    </w:p>
    <w:p w14:paraId="182C5E9D" w14:textId="77777777" w:rsidR="000920F0" w:rsidRPr="00CC4718" w:rsidRDefault="000920F0" w:rsidP="000920F0">
      <w:pPr>
        <w:pStyle w:val="Prrafodelista"/>
        <w:spacing w:line="276" w:lineRule="auto"/>
        <w:ind w:left="0"/>
        <w:jc w:val="both"/>
        <w:rPr>
          <w:rFonts w:ascii="Arial" w:hAnsi="Arial" w:cs="Arial"/>
          <w:b/>
          <w:color w:val="000000" w:themeColor="text1"/>
          <w:sz w:val="22"/>
          <w:lang w:val="es-ES"/>
        </w:rPr>
      </w:pPr>
    </w:p>
    <w:p w14:paraId="7936641B" w14:textId="77777777" w:rsidR="000920F0" w:rsidRPr="00CC4718" w:rsidRDefault="000920F0" w:rsidP="000920F0">
      <w:pPr>
        <w:pStyle w:val="Prrafodelista"/>
        <w:spacing w:line="276" w:lineRule="auto"/>
        <w:ind w:left="0"/>
        <w:jc w:val="both"/>
        <w:rPr>
          <w:rFonts w:ascii="Arial" w:eastAsia="Calibri" w:hAnsi="Arial" w:cs="Arial"/>
          <w:color w:val="000000" w:themeColor="text1"/>
          <w:sz w:val="22"/>
          <w:lang w:val="es-ES"/>
        </w:rPr>
      </w:pPr>
      <w:r w:rsidRPr="00CC4718">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CC4718">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36AB4D0E" w14:textId="77777777" w:rsidR="000920F0" w:rsidRPr="00CC4718" w:rsidRDefault="000920F0" w:rsidP="004D04B3">
      <w:pPr>
        <w:spacing w:before="120" w:after="120" w:line="276" w:lineRule="auto"/>
        <w:ind w:firstLine="709"/>
        <w:jc w:val="both"/>
        <w:rPr>
          <w:rFonts w:ascii="Arial" w:hAnsi="Arial" w:cs="Arial"/>
          <w:bCs/>
          <w:color w:val="000000" w:themeColor="text1"/>
          <w:sz w:val="22"/>
          <w:lang w:val="es-ES"/>
        </w:rPr>
      </w:pPr>
      <w:r w:rsidRPr="00CC4718">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CC4718">
        <w:rPr>
          <w:rStyle w:val="Refdenotaalpie"/>
          <w:rFonts w:ascii="Arial" w:hAnsi="Arial" w:cs="Arial"/>
          <w:bCs/>
          <w:color w:val="000000" w:themeColor="text1"/>
          <w:sz w:val="22"/>
          <w:lang w:val="es-ES"/>
        </w:rPr>
        <w:footnoteReference w:id="9"/>
      </w:r>
      <w:r w:rsidRPr="00CC4718">
        <w:rPr>
          <w:rFonts w:ascii="Arial" w:hAnsi="Arial" w:cs="Arial"/>
          <w:bCs/>
          <w:color w:val="000000" w:themeColor="text1"/>
          <w:sz w:val="22"/>
          <w:lang w:val="es-ES"/>
        </w:rPr>
        <w:t>.</w:t>
      </w:r>
    </w:p>
    <w:p w14:paraId="64B7E5A1" w14:textId="77777777" w:rsidR="000920F0" w:rsidRPr="00CC4718" w:rsidRDefault="000920F0" w:rsidP="0040673C">
      <w:pPr>
        <w:pStyle w:val="Prrafodelista"/>
        <w:spacing w:before="120" w:after="120" w:line="276" w:lineRule="auto"/>
        <w:ind w:left="0" w:firstLine="709"/>
        <w:jc w:val="both"/>
        <w:rPr>
          <w:rFonts w:ascii="Arial" w:eastAsia="Calibri" w:hAnsi="Arial" w:cs="Arial"/>
          <w:color w:val="000000" w:themeColor="text1"/>
          <w:sz w:val="22"/>
          <w:lang w:val="es-ES"/>
        </w:rPr>
      </w:pPr>
      <w:r w:rsidRPr="00CC4718">
        <w:rPr>
          <w:rFonts w:ascii="Arial" w:hAnsi="Arial" w:cs="Arial"/>
          <w:color w:val="000000" w:themeColor="text1"/>
          <w:sz w:val="22"/>
          <w:lang w:val="es-ES"/>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CC4718">
        <w:rPr>
          <w:rFonts w:ascii="Arial" w:eastAsia="Calibri" w:hAnsi="Arial" w:cs="Arial"/>
          <w:color w:val="000000" w:themeColor="text1"/>
          <w:sz w:val="22"/>
          <w:lang w:val="es-ES"/>
        </w:rPr>
        <w:t xml:space="preserve">documentos del proceso que se debían publicar. </w:t>
      </w:r>
    </w:p>
    <w:p w14:paraId="7DF13FA1"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lang w:val="es-ES"/>
        </w:rPr>
      </w:pPr>
      <w:r w:rsidRPr="00CC4718">
        <w:rPr>
          <w:rFonts w:ascii="Arial" w:eastAsia="Calibri" w:hAnsi="Arial" w:cs="Arial"/>
          <w:color w:val="000000" w:themeColor="text1"/>
          <w:sz w:val="22"/>
          <w:lang w:val="es-ES"/>
        </w:rPr>
        <w:t xml:space="preserve">Posteriormente, en el año 2018, cambió el fundamento normativo que define los </w:t>
      </w:r>
      <w:r w:rsidRPr="00CC4718">
        <w:rPr>
          <w:rFonts w:ascii="Arial" w:hAnsi="Arial" w:cs="Arial"/>
          <w:color w:val="000000" w:themeColor="text1"/>
          <w:sz w:val="22"/>
          <w:lang w:val="es-ES"/>
        </w:rPr>
        <w:t>documentos</w:t>
      </w:r>
      <w:r w:rsidRPr="00CC4718">
        <w:rPr>
          <w:rFonts w:ascii="Arial" w:eastAsia="Calibri" w:hAnsi="Arial" w:cs="Arial"/>
          <w:color w:val="000000" w:themeColor="text1"/>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CC4718">
        <w:rPr>
          <w:rStyle w:val="Refdenotaalpie"/>
          <w:rFonts w:ascii="Arial" w:eastAsia="Calibri" w:hAnsi="Arial" w:cs="Arial"/>
          <w:color w:val="000000" w:themeColor="text1"/>
          <w:sz w:val="22"/>
          <w:lang w:val="es-ES"/>
        </w:rPr>
        <w:footnoteReference w:id="10"/>
      </w:r>
      <w:r w:rsidRPr="00CC4718">
        <w:rPr>
          <w:rFonts w:ascii="Arial" w:eastAsia="Calibri" w:hAnsi="Arial" w:cs="Arial"/>
          <w:color w:val="000000" w:themeColor="text1"/>
          <w:sz w:val="22"/>
          <w:lang w:val="es-ES"/>
        </w:rPr>
        <w:t xml:space="preserve">. </w:t>
      </w:r>
    </w:p>
    <w:p w14:paraId="2B230424"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lang w:val="es-ES"/>
        </w:rPr>
      </w:pPr>
      <w:r w:rsidRPr="00CC4718">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7962AE45"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CC4718">
        <w:rPr>
          <w:rFonts w:ascii="Arial" w:eastAsia="Calibri" w:hAnsi="Arial" w:cs="Arial"/>
          <w:color w:val="000000" w:themeColor="text1"/>
          <w:sz w:val="22"/>
          <w:lang w:val="es-ES"/>
        </w:rPr>
        <w:t>compras</w:t>
      </w:r>
      <w:r w:rsidRPr="00CC4718">
        <w:rPr>
          <w:rFonts w:ascii="Arial" w:eastAsia="Calibri" w:hAnsi="Arial" w:cs="Arial"/>
          <w:color w:val="000000" w:themeColor="text1"/>
          <w:sz w:val="22"/>
        </w:rPr>
        <w:t xml:space="preserve">, así como todos los datos de adjudicación y ejecución de sus contratos. Lo anterior implica que se deberá publicar cada procedimiento para la </w:t>
      </w:r>
      <w:r w:rsidRPr="00CC4718">
        <w:rPr>
          <w:rFonts w:ascii="Arial" w:eastAsia="Calibri" w:hAnsi="Arial" w:cs="Arial"/>
          <w:color w:val="000000" w:themeColor="text1"/>
          <w:sz w:val="22"/>
        </w:rPr>
        <w:lastRenderedPageBreak/>
        <w:t xml:space="preserve">adquisición de un producto o servicio, incluidos los datos de adjudicación y ejecución del contrato. </w:t>
      </w:r>
    </w:p>
    <w:p w14:paraId="59C47B0F"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CC4718">
        <w:rPr>
          <w:rStyle w:val="Refdenotaalpie"/>
          <w:rFonts w:ascii="Arial" w:eastAsia="Calibri" w:hAnsi="Arial" w:cs="Arial"/>
          <w:color w:val="000000" w:themeColor="text1"/>
          <w:sz w:val="22"/>
        </w:rPr>
        <w:footnoteReference w:id="11"/>
      </w:r>
      <w:r w:rsidRPr="00CC4718">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CC4718">
        <w:rPr>
          <w:rStyle w:val="Refdenotaalpie"/>
          <w:rFonts w:ascii="Arial" w:eastAsia="Calibri" w:hAnsi="Arial" w:cs="Arial"/>
          <w:color w:val="000000" w:themeColor="text1"/>
          <w:sz w:val="22"/>
        </w:rPr>
        <w:footnoteReference w:id="12"/>
      </w:r>
      <w:r w:rsidRPr="00CC4718">
        <w:rPr>
          <w:rFonts w:ascii="Arial" w:eastAsia="Calibri" w:hAnsi="Arial" w:cs="Arial"/>
          <w:color w:val="000000" w:themeColor="text1"/>
          <w:sz w:val="22"/>
        </w:rPr>
        <w:t>. Finalmente, el artículo 10 establece la obligación que tienen las entidades de publicar en el SECOP el Plan Anual de Adquisiciones</w:t>
      </w:r>
      <w:r w:rsidRPr="00CC4718">
        <w:rPr>
          <w:rStyle w:val="Refdenotaalpie"/>
          <w:rFonts w:ascii="Arial" w:eastAsia="Calibri" w:hAnsi="Arial" w:cs="Arial"/>
          <w:color w:val="000000" w:themeColor="text1"/>
          <w:sz w:val="22"/>
        </w:rPr>
        <w:footnoteReference w:id="13"/>
      </w:r>
      <w:r w:rsidRPr="00CC4718">
        <w:rPr>
          <w:rFonts w:ascii="Arial" w:eastAsia="Calibri" w:hAnsi="Arial" w:cs="Arial"/>
          <w:color w:val="000000" w:themeColor="text1"/>
          <w:sz w:val="22"/>
        </w:rPr>
        <w:t xml:space="preserve">.  </w:t>
      </w:r>
    </w:p>
    <w:p w14:paraId="61B1E12A" w14:textId="63E6DF29"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De conformidad con lo anterior, el Decreto 103 de 2015 señala que los documentos que deben publicar las entidades estatales, entre estas las </w:t>
      </w:r>
      <w:r w:rsidR="002A417A" w:rsidRPr="00CC4718">
        <w:rPr>
          <w:rFonts w:ascii="Arial" w:eastAsia="Calibri" w:hAnsi="Arial" w:cs="Arial"/>
          <w:color w:val="000000" w:themeColor="text1"/>
          <w:sz w:val="22"/>
        </w:rPr>
        <w:t>empresas sociales del Estado</w:t>
      </w:r>
      <w:r w:rsidRPr="00CC4718">
        <w:rPr>
          <w:rFonts w:ascii="Arial" w:eastAsia="Calibri" w:hAnsi="Arial" w:cs="Arial"/>
          <w:color w:val="000000" w:themeColor="text1"/>
          <w:sz w:val="22"/>
        </w:rPr>
        <w:t xml:space="preserve"> exceptuadas, independientemente de su régimen contractual aplicable, son: i) las autorizaciones, requerimientos, aprobaciones o informes del supervisor o del interventor, que prueben la ejecución del contrato, ii) los procedimientos, lineamientos y políticas en </w:t>
      </w:r>
      <w:r w:rsidRPr="00CC4718">
        <w:rPr>
          <w:rFonts w:ascii="Arial" w:eastAsia="Calibri" w:hAnsi="Arial" w:cs="Arial"/>
          <w:color w:val="000000" w:themeColor="text1"/>
          <w:sz w:val="22"/>
        </w:rPr>
        <w:lastRenderedPageBreak/>
        <w:t xml:space="preserve">materia de adquisición que corresponden a los  documentos que los conforman, previstos en el manual de contratación de la entidad, y finalmente, iii) el plan anual de adquisiciones. </w:t>
      </w:r>
    </w:p>
    <w:p w14:paraId="0017E59F"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2FD0C4AD" w14:textId="77777777" w:rsidR="000920F0" w:rsidRPr="00CC4718" w:rsidRDefault="000920F0" w:rsidP="0040673C">
      <w:pPr>
        <w:pStyle w:val="Prrafodelista"/>
        <w:spacing w:before="120" w:after="120" w:line="276" w:lineRule="auto"/>
        <w:ind w:left="0"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715F85D" w14:textId="68D74495" w:rsidR="000920F0" w:rsidRPr="00CC4718" w:rsidRDefault="000920F0" w:rsidP="0040673C">
      <w:pPr>
        <w:shd w:val="clear" w:color="auto" w:fill="FFFFFF"/>
        <w:spacing w:before="120" w:after="120" w:line="276" w:lineRule="auto"/>
        <w:ind w:firstLine="709"/>
        <w:jc w:val="both"/>
        <w:rPr>
          <w:rFonts w:ascii="Arial" w:hAnsi="Arial" w:cs="Arial"/>
          <w:color w:val="000000" w:themeColor="text1"/>
          <w:sz w:val="22"/>
          <w:lang w:eastAsia="es-CO"/>
        </w:rPr>
      </w:pPr>
      <w:r w:rsidRPr="00CC4718">
        <w:rPr>
          <w:rFonts w:ascii="Arial" w:eastAsia="Calibri" w:hAnsi="Arial" w:cs="Arial"/>
          <w:color w:val="000000" w:themeColor="text1"/>
          <w:sz w:val="22"/>
        </w:rPr>
        <w:t xml:space="preserve">Por lo tanto, en estos casos aplica la Ley 1712 de 2014 y el Decreto 103 de 2015, no el Decreto 1082 de 2015, porque esta última norma rige a las entidades sometidas al Estatuto General de Contratación de la Administración Pública, y, por lo tanto, no aplica a las </w:t>
      </w:r>
      <w:r w:rsidR="00BB2313" w:rsidRPr="00CC4718">
        <w:rPr>
          <w:rFonts w:ascii="Arial" w:eastAsia="Calibri" w:hAnsi="Arial" w:cs="Arial"/>
          <w:color w:val="000000" w:themeColor="text1"/>
          <w:sz w:val="22"/>
        </w:rPr>
        <w:t>empresas sociales del Estado</w:t>
      </w:r>
      <w:r w:rsidRPr="00CC4718">
        <w:rPr>
          <w:rFonts w:ascii="Arial" w:eastAsia="Calibri" w:hAnsi="Arial" w:cs="Arial"/>
          <w:color w:val="000000" w:themeColor="text1"/>
          <w:sz w:val="22"/>
        </w:rPr>
        <w:t>; ya que en tales casos se rigen por el derecho privado</w:t>
      </w:r>
      <w:r w:rsidRPr="00CC4718">
        <w:rPr>
          <w:rStyle w:val="Refdenotaalpie"/>
          <w:rFonts w:ascii="Arial" w:eastAsia="Calibri" w:hAnsi="Arial" w:cs="Arial"/>
          <w:color w:val="000000" w:themeColor="text1"/>
          <w:sz w:val="22"/>
        </w:rPr>
        <w:footnoteReference w:id="14"/>
      </w:r>
      <w:r w:rsidRPr="00CC4718">
        <w:rPr>
          <w:rFonts w:ascii="Arial" w:eastAsia="Calibri" w:hAnsi="Arial" w:cs="Arial"/>
          <w:color w:val="000000" w:themeColor="text1"/>
          <w:sz w:val="22"/>
        </w:rPr>
        <w:t>. Por su parte, la Ley 1712 de 2014 y el Decreto reglamentario 103 de 2015 rigen a cualquier entidad pública, incluyendo</w:t>
      </w:r>
      <w:r w:rsidRPr="00CC4718">
        <w:rPr>
          <w:rFonts w:ascii="Arial" w:hAnsi="Arial" w:cs="Arial"/>
          <w:color w:val="000000" w:themeColor="text1"/>
          <w:sz w:val="22"/>
        </w:rPr>
        <w:t xml:space="preserve"> </w:t>
      </w:r>
      <w:r w:rsidRPr="00CC4718">
        <w:rPr>
          <w:rFonts w:ascii="Arial" w:hAnsi="Arial" w:cs="Arial"/>
          <w:color w:val="000000" w:themeColor="text1"/>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65A7D360" w14:textId="77777777" w:rsidR="0040673C" w:rsidRPr="00CC4718" w:rsidRDefault="000920F0" w:rsidP="0040673C">
      <w:pPr>
        <w:pStyle w:val="Prrafodelista"/>
        <w:spacing w:before="120" w:after="120" w:line="276" w:lineRule="auto"/>
        <w:ind w:left="0"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30FEA6FD" w14:textId="7264F039"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CC4718">
        <w:rPr>
          <w:rStyle w:val="Refdenotaalpie"/>
          <w:rFonts w:ascii="Arial" w:eastAsia="Calibri" w:hAnsi="Arial" w:cs="Arial"/>
          <w:color w:val="000000" w:themeColor="text1"/>
          <w:sz w:val="22"/>
        </w:rPr>
        <w:footnoteReference w:id="15"/>
      </w:r>
      <w:r w:rsidRPr="00CC4718">
        <w:rPr>
          <w:rFonts w:ascii="Arial" w:eastAsia="Calibri" w:hAnsi="Arial" w:cs="Arial"/>
          <w:color w:val="000000" w:themeColor="text1"/>
          <w:sz w:val="22"/>
        </w:rPr>
        <w:t xml:space="preserve">. Por su parte, en el año 2018, con la expedición </w:t>
      </w:r>
      <w:r w:rsidRPr="00CC4718">
        <w:rPr>
          <w:rFonts w:ascii="Arial" w:eastAsia="Calibri" w:hAnsi="Arial" w:cs="Arial"/>
          <w:color w:val="000000" w:themeColor="text1"/>
          <w:sz w:val="22"/>
        </w:rPr>
        <w:lastRenderedPageBreak/>
        <w:t>de la Circular Externa Única, se cambió la postura y se indica: «las entidades que aun utilizan el SECOP I están obligadas a publicar los documentos del proceso dentro de los tres (3) días siguientes a su expedición</w:t>
      </w:r>
      <w:r w:rsidRPr="00CC4718">
        <w:rPr>
          <w:rStyle w:val="Refdenotaalpie"/>
          <w:rFonts w:ascii="Arial" w:eastAsia="Calibri" w:hAnsi="Arial" w:cs="Arial"/>
          <w:color w:val="000000" w:themeColor="text1"/>
          <w:sz w:val="22"/>
        </w:rPr>
        <w:footnoteReference w:id="16"/>
      </w:r>
      <w:r w:rsidRPr="00CC4718">
        <w:rPr>
          <w:rFonts w:ascii="Arial" w:eastAsia="Calibri" w:hAnsi="Arial" w:cs="Arial"/>
          <w:color w:val="000000" w:themeColor="text1"/>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345912B9" w14:textId="77777777" w:rsidR="000920F0" w:rsidRPr="00CC4718" w:rsidRDefault="000920F0" w:rsidP="004D04B3">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583022BD" w14:textId="77777777" w:rsidR="000920F0" w:rsidRPr="00CC4718" w:rsidRDefault="000920F0" w:rsidP="005152EB">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CC4718">
        <w:rPr>
          <w:rFonts w:ascii="Arial" w:eastAsia="Calibri" w:hAnsi="Arial" w:cs="Arial"/>
          <w:i/>
          <w:color w:val="000000" w:themeColor="text1"/>
          <w:sz w:val="22"/>
        </w:rPr>
        <w:t xml:space="preserve"> </w:t>
      </w:r>
      <w:r w:rsidRPr="00CC4718">
        <w:rPr>
          <w:rFonts w:ascii="Arial" w:eastAsia="Calibri" w:hAnsi="Arial" w:cs="Arial"/>
          <w:color w:val="000000" w:themeColor="text1"/>
          <w:sz w:val="22"/>
        </w:rPr>
        <w:t>razón de ser de la norma»</w:t>
      </w:r>
      <w:r w:rsidRPr="00CC4718">
        <w:rPr>
          <w:rStyle w:val="Refdenotaalpie"/>
          <w:rFonts w:ascii="Arial" w:eastAsia="Calibri" w:hAnsi="Arial" w:cs="Arial"/>
          <w:color w:val="000000" w:themeColor="text1"/>
          <w:sz w:val="22"/>
        </w:rPr>
        <w:footnoteReference w:id="17"/>
      </w:r>
      <w:r w:rsidRPr="00CC4718">
        <w:rPr>
          <w:rFonts w:ascii="Arial" w:eastAsia="Calibri" w:hAnsi="Arial" w:cs="Arial"/>
          <w:color w:val="000000" w:themeColor="text1"/>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49B19D34" w14:textId="77777777" w:rsidR="000920F0" w:rsidRPr="00CC4718" w:rsidRDefault="000920F0" w:rsidP="005152EB">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El Decreto 1082 de 2015, en el artículo 2.2.1.1.1.7.1, normativa que regula la publicidad en el SECOP, establece que las entidades están obligadas a publicar los </w:t>
      </w:r>
      <w:r w:rsidRPr="00CC4718">
        <w:rPr>
          <w:rFonts w:ascii="Arial" w:eastAsia="Calibri" w:hAnsi="Arial" w:cs="Arial"/>
          <w:color w:val="000000" w:themeColor="text1"/>
          <w:sz w:val="22"/>
        </w:rPr>
        <w:lastRenderedPageBreak/>
        <w:t>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CC4718">
        <w:rPr>
          <w:rStyle w:val="Refdenotaalpie"/>
          <w:rFonts w:ascii="Arial" w:eastAsia="Calibri" w:hAnsi="Arial" w:cs="Arial"/>
          <w:color w:val="000000" w:themeColor="text1"/>
          <w:sz w:val="22"/>
        </w:rPr>
        <w:footnoteReference w:id="18"/>
      </w:r>
      <w:r w:rsidRPr="00CC4718">
        <w:rPr>
          <w:rFonts w:ascii="Arial" w:eastAsia="Calibri" w:hAnsi="Arial" w:cs="Arial"/>
          <w:color w:val="000000" w:themeColor="text1"/>
          <w:sz w:val="22"/>
        </w:rPr>
        <w:t xml:space="preserve">. En este sentido, las entidades sometidas al régimen de contratación de Ley 80 de 1993 publicarán en el SECOP sus documentos dentro de los 3 días siguientes a su expedición. </w:t>
      </w:r>
    </w:p>
    <w:p w14:paraId="3DE8A6FD" w14:textId="0CE1C8F1" w:rsidR="000920F0" w:rsidRPr="00CC4718" w:rsidRDefault="000920F0" w:rsidP="005152EB">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t xml:space="preserve">Si bien, como se mencionó en el acápite anterior, el Decreto 1082 de 2015 no aplica a las </w:t>
      </w:r>
      <w:r w:rsidR="00076993" w:rsidRPr="00CC4718">
        <w:rPr>
          <w:rFonts w:ascii="Arial" w:eastAsia="Calibri" w:hAnsi="Arial" w:cs="Arial"/>
          <w:color w:val="000000" w:themeColor="text1"/>
          <w:sz w:val="22"/>
        </w:rPr>
        <w:t>empresas sociales del Estado</w:t>
      </w:r>
      <w:r w:rsidRPr="00CC4718">
        <w:rPr>
          <w:rFonts w:ascii="Arial" w:eastAsia="Calibri" w:hAnsi="Arial" w:cs="Arial"/>
          <w:color w:val="000000" w:themeColor="text1"/>
          <w:sz w:val="22"/>
        </w:rPr>
        <w:t xml:space="preserve">,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1E35E653" w14:textId="508CF7DB" w:rsidR="006956E7" w:rsidRPr="00CC4718" w:rsidRDefault="000920F0" w:rsidP="006956E7">
      <w:pPr>
        <w:tabs>
          <w:tab w:val="left" w:pos="426"/>
        </w:tabs>
        <w:spacing w:before="120" w:line="276" w:lineRule="auto"/>
        <w:ind w:firstLine="425"/>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rPr>
        <w:t>A su vez, no es posible que las entidades definan el momento en el cual publicarán sus documentos contractuales en su manual de contratación, porque este es un asunto que debe definir el legislador o el gobierno por medio de un Decreto reglamentario.</w:t>
      </w:r>
      <w:r w:rsidR="00662755" w:rsidRPr="00CC4718">
        <w:rPr>
          <w:rFonts w:ascii="Arial" w:eastAsia="Calibri" w:hAnsi="Arial" w:cs="Arial"/>
          <w:color w:val="000000" w:themeColor="text1"/>
          <w:sz w:val="22"/>
        </w:rPr>
        <w:t xml:space="preserve"> Si bien en concepto emitido en respuesta a la consulta con radicado </w:t>
      </w:r>
      <w:r w:rsidR="00662755" w:rsidRPr="00CC4718">
        <w:rPr>
          <w:rFonts w:ascii="Arial" w:eastAsia="Calibri" w:hAnsi="Arial" w:cs="Arial"/>
          <w:color w:val="000000" w:themeColor="text1"/>
          <w:sz w:val="22"/>
          <w:lang w:val="es-ES_tradnl"/>
        </w:rPr>
        <w:t>No. 4201814000001443</w:t>
      </w:r>
      <w:r w:rsidR="006956E7" w:rsidRPr="00CC4718">
        <w:rPr>
          <w:rFonts w:ascii="Arial" w:eastAsia="Calibri" w:hAnsi="Arial" w:cs="Arial"/>
          <w:color w:val="000000" w:themeColor="text1"/>
          <w:sz w:val="22"/>
          <w:lang w:val="es-ES_tradnl"/>
        </w:rPr>
        <w:t xml:space="preserve"> del 16 de febrero de 2018</w:t>
      </w:r>
      <w:r w:rsidR="00193089" w:rsidRPr="00CC4718">
        <w:rPr>
          <w:rFonts w:ascii="Arial" w:eastAsia="Calibri" w:hAnsi="Arial" w:cs="Arial"/>
          <w:color w:val="000000" w:themeColor="text1"/>
          <w:sz w:val="22"/>
          <w:lang w:val="es-ES_tradnl"/>
        </w:rPr>
        <w:t>,</w:t>
      </w:r>
      <w:r w:rsidR="006956E7" w:rsidRPr="00CC4718">
        <w:rPr>
          <w:rFonts w:ascii="Arial" w:eastAsia="Calibri" w:hAnsi="Arial" w:cs="Arial"/>
          <w:color w:val="000000" w:themeColor="text1"/>
          <w:sz w:val="22"/>
          <w:lang w:val="es-ES_tradnl"/>
        </w:rPr>
        <w:t xml:space="preserve"> </w:t>
      </w:r>
      <w:r w:rsidR="00193089" w:rsidRPr="00CC4718">
        <w:rPr>
          <w:rFonts w:ascii="Arial" w:eastAsia="Calibri" w:hAnsi="Arial" w:cs="Arial"/>
          <w:color w:val="000000" w:themeColor="text1"/>
          <w:sz w:val="22"/>
          <w:lang w:val="es-ES_tradnl"/>
        </w:rPr>
        <w:t>la Subdirección de Gestión Contractual</w:t>
      </w:r>
      <w:r w:rsidR="006956E7" w:rsidRPr="00CC4718">
        <w:rPr>
          <w:rFonts w:ascii="Arial" w:eastAsia="Calibri" w:hAnsi="Arial" w:cs="Arial"/>
          <w:color w:val="000000" w:themeColor="text1"/>
          <w:sz w:val="22"/>
          <w:lang w:val="es-ES_tradnl"/>
        </w:rPr>
        <w:t xml:space="preserve"> afirmó</w:t>
      </w:r>
      <w:r w:rsidR="009E0E46" w:rsidRPr="00CC4718">
        <w:rPr>
          <w:rFonts w:ascii="Arial" w:eastAsia="Calibri" w:hAnsi="Arial" w:cs="Arial"/>
          <w:color w:val="000000" w:themeColor="text1"/>
          <w:sz w:val="22"/>
          <w:lang w:val="es-ES_tradnl"/>
        </w:rPr>
        <w:t xml:space="preserve">, a modo de </w:t>
      </w:r>
      <w:r w:rsidR="009E0E46" w:rsidRPr="00CC4718">
        <w:rPr>
          <w:rFonts w:ascii="Arial" w:eastAsia="Calibri" w:hAnsi="Arial" w:cs="Arial"/>
          <w:i/>
          <w:color w:val="000000" w:themeColor="text1"/>
          <w:sz w:val="22"/>
          <w:lang w:val="es-ES_tradnl"/>
        </w:rPr>
        <w:t>obiter dicta</w:t>
      </w:r>
      <w:r w:rsidR="009E0E46" w:rsidRPr="00CC4718">
        <w:rPr>
          <w:rFonts w:ascii="Arial" w:eastAsia="Calibri" w:hAnsi="Arial" w:cs="Arial"/>
          <w:color w:val="000000" w:themeColor="text1"/>
          <w:sz w:val="22"/>
          <w:lang w:val="es-ES_tradnl"/>
        </w:rPr>
        <w:t>,</w:t>
      </w:r>
      <w:r w:rsidR="006956E7" w:rsidRPr="00CC4718">
        <w:rPr>
          <w:rFonts w:ascii="Arial" w:eastAsia="Calibri" w:hAnsi="Arial" w:cs="Arial"/>
          <w:color w:val="000000" w:themeColor="text1"/>
          <w:sz w:val="22"/>
          <w:lang w:val="es-ES_tradnl"/>
        </w:rPr>
        <w:t xml:space="preserve"> que </w:t>
      </w:r>
      <w:r w:rsidR="00662755" w:rsidRPr="00CC4718">
        <w:rPr>
          <w:rFonts w:ascii="Arial" w:eastAsia="Calibri" w:hAnsi="Arial" w:cs="Arial"/>
          <w:color w:val="000000" w:themeColor="text1"/>
          <w:sz w:val="22"/>
          <w:lang w:val="es-ES_tradnl"/>
        </w:rPr>
        <w:t>«Las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w:t>
      </w:r>
      <w:r w:rsidR="006956E7" w:rsidRPr="00CC4718">
        <w:rPr>
          <w:rFonts w:ascii="Arial" w:eastAsia="Calibri" w:hAnsi="Arial" w:cs="Arial"/>
          <w:color w:val="000000" w:themeColor="text1"/>
          <w:sz w:val="22"/>
          <w:lang w:val="es-ES_tradnl"/>
        </w:rPr>
        <w:t xml:space="preserve">, en conceptos posteriores, como el expedido en </w:t>
      </w:r>
      <w:r w:rsidR="001E0C6C" w:rsidRPr="00CC4718">
        <w:rPr>
          <w:rFonts w:ascii="Arial" w:eastAsia="Calibri" w:hAnsi="Arial" w:cs="Arial"/>
          <w:color w:val="000000" w:themeColor="text1"/>
          <w:sz w:val="22"/>
          <w:lang w:val="es-ES_tradnl"/>
        </w:rPr>
        <w:t>respuesta a la</w:t>
      </w:r>
      <w:r w:rsidR="00193089" w:rsidRPr="00CC4718">
        <w:rPr>
          <w:rFonts w:ascii="Arial" w:eastAsia="Calibri" w:hAnsi="Arial" w:cs="Arial"/>
          <w:color w:val="000000" w:themeColor="text1"/>
          <w:sz w:val="22"/>
          <w:lang w:val="es-ES_tradnl"/>
        </w:rPr>
        <w:t>s</w:t>
      </w:r>
      <w:r w:rsidR="001E0C6C" w:rsidRPr="00CC4718">
        <w:rPr>
          <w:rFonts w:ascii="Arial" w:eastAsia="Calibri" w:hAnsi="Arial" w:cs="Arial"/>
          <w:color w:val="000000" w:themeColor="text1"/>
          <w:sz w:val="22"/>
          <w:lang w:val="es-ES_tradnl"/>
        </w:rPr>
        <w:t xml:space="preserve"> consulta</w:t>
      </w:r>
      <w:r w:rsidR="00193089" w:rsidRPr="00CC4718">
        <w:rPr>
          <w:rFonts w:ascii="Arial" w:eastAsia="Calibri" w:hAnsi="Arial" w:cs="Arial"/>
          <w:color w:val="000000" w:themeColor="text1"/>
          <w:sz w:val="22"/>
          <w:lang w:val="es-ES_tradnl"/>
        </w:rPr>
        <w:t>s</w:t>
      </w:r>
      <w:r w:rsidR="001E0C6C" w:rsidRPr="00CC4718">
        <w:rPr>
          <w:rFonts w:ascii="Arial" w:eastAsia="Calibri" w:hAnsi="Arial" w:cs="Arial"/>
          <w:color w:val="000000" w:themeColor="text1"/>
          <w:sz w:val="22"/>
          <w:lang w:val="es-ES_tradnl"/>
        </w:rPr>
        <w:t xml:space="preserve"> con radicado No.</w:t>
      </w:r>
      <w:r w:rsidR="00193089" w:rsidRPr="00CC4718">
        <w:rPr>
          <w:rFonts w:ascii="Arial" w:eastAsia="Calibri" w:hAnsi="Arial" w:cs="Arial"/>
          <w:color w:val="000000" w:themeColor="text1"/>
          <w:sz w:val="22"/>
          <w:lang w:val="es-ES_tradnl"/>
        </w:rPr>
        <w:t xml:space="preserve"> </w:t>
      </w:r>
      <w:r w:rsidR="00193089" w:rsidRPr="00CC4718">
        <w:rPr>
          <w:rFonts w:ascii="Arial" w:eastAsia="Calibri" w:hAnsi="Arial" w:cs="Arial"/>
          <w:color w:val="000000" w:themeColor="text1"/>
          <w:sz w:val="22"/>
        </w:rPr>
        <w:t>4201912000008073 del 2 de diciembre de 2019, 420201200000029 del 3 de diciembre de 2019 y</w:t>
      </w:r>
      <w:r w:rsidR="001E0C6C" w:rsidRPr="00CC4718">
        <w:rPr>
          <w:rFonts w:ascii="Arial" w:eastAsia="Calibri" w:hAnsi="Arial" w:cs="Arial"/>
          <w:color w:val="000000" w:themeColor="text1"/>
          <w:sz w:val="22"/>
          <w:lang w:val="es-ES_tradnl"/>
        </w:rPr>
        <w:t xml:space="preserve"> 4202012000000944</w:t>
      </w:r>
      <w:r w:rsidR="004041DC" w:rsidRPr="00CC4718">
        <w:rPr>
          <w:rFonts w:ascii="Arial" w:eastAsia="Calibri" w:hAnsi="Arial" w:cs="Arial"/>
          <w:color w:val="000000" w:themeColor="text1"/>
          <w:sz w:val="22"/>
          <w:lang w:val="es-ES_tradnl"/>
        </w:rPr>
        <w:t xml:space="preserve"> del 10 de febrero de 2020</w:t>
      </w:r>
      <w:r w:rsidR="00193089" w:rsidRPr="00CC4718">
        <w:rPr>
          <w:rFonts w:ascii="Arial" w:eastAsia="Calibri" w:hAnsi="Arial" w:cs="Arial"/>
          <w:color w:val="000000" w:themeColor="text1"/>
          <w:sz w:val="22"/>
          <w:lang w:val="es-ES_tradnl"/>
        </w:rPr>
        <w:t xml:space="preserve">, </w:t>
      </w:r>
      <w:r w:rsidR="009E0E46" w:rsidRPr="00CC4718">
        <w:rPr>
          <w:rFonts w:ascii="Arial" w:eastAsia="Calibri" w:hAnsi="Arial" w:cs="Arial"/>
          <w:color w:val="000000" w:themeColor="text1"/>
          <w:sz w:val="22"/>
          <w:lang w:val="es-ES_tradnl"/>
        </w:rPr>
        <w:t>esta Subdirecció</w:t>
      </w:r>
      <w:r w:rsidR="007A2433" w:rsidRPr="00CC4718">
        <w:rPr>
          <w:rFonts w:ascii="Arial" w:eastAsia="Calibri" w:hAnsi="Arial" w:cs="Arial"/>
          <w:color w:val="000000" w:themeColor="text1"/>
          <w:sz w:val="22"/>
          <w:lang w:val="es-ES_tradnl"/>
        </w:rPr>
        <w:t>n varió dicha consideración, decantándose por la reserva legal y reglamentaria –en decretos del gobierno nacional– que existe sobre esta materia.</w:t>
      </w:r>
      <w:r w:rsidR="004041DC" w:rsidRPr="00CC4718">
        <w:rPr>
          <w:rFonts w:ascii="Arial" w:eastAsia="Calibri" w:hAnsi="Arial" w:cs="Arial"/>
          <w:color w:val="000000" w:themeColor="text1"/>
          <w:sz w:val="22"/>
          <w:lang w:val="es-ES_tradnl"/>
        </w:rPr>
        <w:t xml:space="preserve"> </w:t>
      </w:r>
    </w:p>
    <w:p w14:paraId="3A8BC98A" w14:textId="14D1B2AC" w:rsidR="000920F0" w:rsidRPr="00CC4718" w:rsidRDefault="000920F0" w:rsidP="006956E7">
      <w:pPr>
        <w:tabs>
          <w:tab w:val="left" w:pos="426"/>
        </w:tabs>
        <w:spacing w:before="120" w:line="276" w:lineRule="auto"/>
        <w:ind w:firstLine="425"/>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1FBF8601" w14:textId="2828B472" w:rsidR="000920F0" w:rsidRPr="00CC4718" w:rsidRDefault="000920F0" w:rsidP="005152EB">
      <w:pPr>
        <w:spacing w:before="120" w:after="120" w:line="276" w:lineRule="auto"/>
        <w:ind w:firstLine="709"/>
        <w:jc w:val="both"/>
        <w:rPr>
          <w:rFonts w:ascii="Arial" w:eastAsia="Calibri" w:hAnsi="Arial" w:cs="Arial"/>
          <w:color w:val="000000" w:themeColor="text1"/>
          <w:sz w:val="22"/>
        </w:rPr>
      </w:pPr>
      <w:r w:rsidRPr="00CC4718">
        <w:rPr>
          <w:rFonts w:ascii="Arial" w:eastAsia="Calibri" w:hAnsi="Arial" w:cs="Arial"/>
          <w:color w:val="000000" w:themeColor="text1"/>
          <w:sz w:val="22"/>
        </w:rPr>
        <w:lastRenderedPageBreak/>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1184AA29" w14:textId="77777777" w:rsidR="000920F0" w:rsidRPr="00CC4718" w:rsidRDefault="000920F0" w:rsidP="000920F0">
      <w:pPr>
        <w:spacing w:line="276" w:lineRule="auto"/>
        <w:jc w:val="both"/>
        <w:rPr>
          <w:rFonts w:ascii="Arial" w:hAnsi="Arial" w:cs="Arial"/>
          <w:color w:val="000000" w:themeColor="text1"/>
          <w:sz w:val="22"/>
        </w:rPr>
      </w:pPr>
    </w:p>
    <w:p w14:paraId="2980998C" w14:textId="77777777" w:rsidR="000920F0" w:rsidRPr="00CC4718"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ES_tradnl"/>
        </w:rPr>
      </w:pPr>
      <w:r w:rsidRPr="00CC4718">
        <w:rPr>
          <w:rFonts w:ascii="Arial" w:eastAsia="Calibri" w:hAnsi="Arial" w:cs="Arial"/>
          <w:b/>
          <w:color w:val="000000" w:themeColor="text1"/>
          <w:sz w:val="22"/>
          <w:lang w:val="es-ES_tradnl"/>
        </w:rPr>
        <w:t>3. Respuesta</w:t>
      </w:r>
    </w:p>
    <w:p w14:paraId="458F619B" w14:textId="77777777" w:rsidR="000920F0" w:rsidRPr="00CC4718" w:rsidRDefault="000920F0" w:rsidP="000920F0">
      <w:pPr>
        <w:spacing w:line="276" w:lineRule="auto"/>
        <w:ind w:left="709" w:right="709"/>
        <w:jc w:val="both"/>
        <w:rPr>
          <w:rFonts w:ascii="Arial" w:eastAsia="Calibri" w:hAnsi="Arial" w:cs="Arial"/>
          <w:i/>
          <w:color w:val="000000" w:themeColor="text1"/>
          <w:sz w:val="22"/>
          <w:lang w:val="es-ES_tradnl"/>
        </w:rPr>
      </w:pPr>
    </w:p>
    <w:p w14:paraId="2A50053A" w14:textId="41C935A8" w:rsidR="000920F0" w:rsidRPr="00CC4718" w:rsidRDefault="005152EB" w:rsidP="00D04887">
      <w:pPr>
        <w:spacing w:line="276" w:lineRule="auto"/>
        <w:ind w:left="709" w:right="709"/>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¿P</w:t>
      </w:r>
      <w:r w:rsidR="00D04887" w:rsidRPr="00CC4718">
        <w:rPr>
          <w:rFonts w:ascii="Arial" w:eastAsia="Calibri" w:hAnsi="Arial" w:cs="Arial"/>
          <w:color w:val="000000" w:themeColor="text1"/>
          <w:sz w:val="22"/>
          <w:lang w:val="es-ES_tradnl"/>
        </w:rPr>
        <w:t>uede una empresa social del Estado establecer en su manual de contratación que el término en el que se debe publicar su actividad contractual en el SECOP será mayor a tres días, teniendo en cuenta que se trata de una entidad de régimen especial?</w:t>
      </w:r>
    </w:p>
    <w:p w14:paraId="578CF955" w14:textId="77777777" w:rsidR="00D04887" w:rsidRPr="00CC4718" w:rsidRDefault="00D04887" w:rsidP="000920F0">
      <w:pPr>
        <w:spacing w:line="276" w:lineRule="auto"/>
        <w:ind w:firstLine="709"/>
        <w:jc w:val="both"/>
        <w:rPr>
          <w:rFonts w:ascii="Arial" w:eastAsia="Calibri" w:hAnsi="Arial" w:cs="Arial"/>
          <w:color w:val="000000" w:themeColor="text1"/>
          <w:sz w:val="22"/>
          <w:lang w:val="es-ES_tradnl"/>
        </w:rPr>
      </w:pPr>
    </w:p>
    <w:p w14:paraId="5AE54E32" w14:textId="5BCDA170" w:rsidR="000920F0" w:rsidRPr="00CC4718" w:rsidRDefault="003D29C0" w:rsidP="00D04887">
      <w:pPr>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Las entidades exceptuadas del Estatuto General de Contratación de la Administración Pública –entre ellas las empresas sociales del Estado–</w:t>
      </w:r>
      <w:r w:rsidR="00EC3ADA" w:rsidRPr="00CC4718">
        <w:rPr>
          <w:rFonts w:ascii="Arial" w:eastAsia="Calibri" w:hAnsi="Arial" w:cs="Arial"/>
          <w:color w:val="000000" w:themeColor="text1"/>
          <w:sz w:val="22"/>
          <w:lang w:val="es-ES_tradnl"/>
        </w:rPr>
        <w:t xml:space="preserve"> no pueden regular en su manual o reglamento interno de contratación la oportunidad para </w:t>
      </w:r>
      <w:r w:rsidR="004164A1" w:rsidRPr="00CC4718">
        <w:rPr>
          <w:rFonts w:ascii="Arial" w:eastAsia="Calibri" w:hAnsi="Arial" w:cs="Arial"/>
          <w:color w:val="000000" w:themeColor="text1"/>
          <w:sz w:val="22"/>
          <w:lang w:val="es-ES_tradnl"/>
        </w:rPr>
        <w:t>publicar los documentos en el SECOP; pues, según se expresa en las consideraciones de este concep</w:t>
      </w:r>
      <w:r w:rsidR="00E72FB1" w:rsidRPr="00CC4718">
        <w:rPr>
          <w:rFonts w:ascii="Arial" w:eastAsia="Calibri" w:hAnsi="Arial" w:cs="Arial"/>
          <w:color w:val="000000" w:themeColor="text1"/>
          <w:sz w:val="22"/>
          <w:lang w:val="es-ES_tradnl"/>
        </w:rPr>
        <w:t>to, tal es un asunto que define la ley o un decreto reglamentario del gobierno nacional.</w:t>
      </w:r>
      <w:r w:rsidR="00EC3ADA" w:rsidRPr="00CC4718">
        <w:rPr>
          <w:rFonts w:ascii="Arial" w:eastAsia="Calibri" w:hAnsi="Arial" w:cs="Arial"/>
          <w:color w:val="000000" w:themeColor="text1"/>
          <w:sz w:val="22"/>
          <w:lang w:val="es-ES_tradnl"/>
        </w:rPr>
        <w:t xml:space="preserve"> </w:t>
      </w:r>
      <w:r w:rsidR="007B6A3C" w:rsidRPr="00CC4718">
        <w:rPr>
          <w:rFonts w:ascii="Arial" w:eastAsia="Calibri" w:hAnsi="Arial" w:cs="Arial"/>
          <w:color w:val="000000" w:themeColor="text1"/>
          <w:sz w:val="22"/>
          <w:lang w:val="es-ES_tradnl"/>
        </w:rPr>
        <w:t>Deben publicar</w:t>
      </w:r>
      <w:r w:rsidR="00C120FB" w:rsidRPr="00CC4718">
        <w:rPr>
          <w:rFonts w:ascii="Arial" w:eastAsia="Calibri" w:hAnsi="Arial" w:cs="Arial"/>
          <w:color w:val="000000" w:themeColor="text1"/>
          <w:sz w:val="22"/>
          <w:lang w:val="es-ES_tradnl"/>
        </w:rPr>
        <w:t xml:space="preserve"> entonces </w:t>
      </w:r>
      <w:r w:rsidR="00066BF6" w:rsidRPr="00CC4718">
        <w:rPr>
          <w:rFonts w:ascii="Arial" w:eastAsia="Calibri" w:hAnsi="Arial" w:cs="Arial"/>
          <w:color w:val="000000" w:themeColor="text1"/>
          <w:sz w:val="22"/>
          <w:lang w:val="es-ES_tradnl"/>
        </w:rPr>
        <w:t xml:space="preserve">los </w:t>
      </w:r>
      <w:r w:rsidR="007B6A3C" w:rsidRPr="00CC4718">
        <w:rPr>
          <w:rFonts w:ascii="Arial" w:eastAsia="Calibri" w:hAnsi="Arial" w:cs="Arial"/>
          <w:color w:val="000000" w:themeColor="text1"/>
          <w:sz w:val="22"/>
          <w:lang w:val="es-ES_tradnl"/>
        </w:rPr>
        <w:t>documentos contractuales dentro de los tres (3) días siguientes a su expedición.</w:t>
      </w:r>
    </w:p>
    <w:p w14:paraId="29F5C2FC" w14:textId="77777777" w:rsidR="000920F0" w:rsidRPr="00CC4718" w:rsidRDefault="000920F0" w:rsidP="000920F0">
      <w:pPr>
        <w:spacing w:line="276" w:lineRule="auto"/>
        <w:jc w:val="both"/>
        <w:rPr>
          <w:rFonts w:ascii="Arial" w:eastAsia="Calibri" w:hAnsi="Arial" w:cs="Arial"/>
          <w:color w:val="000000" w:themeColor="text1"/>
          <w:sz w:val="22"/>
          <w:lang w:val="es-ES_tradnl"/>
        </w:rPr>
      </w:pPr>
    </w:p>
    <w:p w14:paraId="544609D3" w14:textId="77777777" w:rsidR="000920F0" w:rsidRPr="00CC4718" w:rsidRDefault="000920F0" w:rsidP="000920F0">
      <w:pPr>
        <w:spacing w:line="276" w:lineRule="auto"/>
        <w:jc w:val="both"/>
        <w:rPr>
          <w:rFonts w:ascii="Arial" w:eastAsia="Calibri" w:hAnsi="Arial" w:cs="Arial"/>
          <w:color w:val="000000" w:themeColor="text1"/>
          <w:sz w:val="22"/>
          <w:lang w:val="es-ES_tradnl"/>
        </w:rPr>
      </w:pPr>
      <w:r w:rsidRPr="00CC471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DF3BA0C" w14:textId="77777777" w:rsidR="000920F0" w:rsidRPr="00CC4718" w:rsidRDefault="000920F0" w:rsidP="000920F0">
      <w:pPr>
        <w:spacing w:line="276" w:lineRule="auto"/>
        <w:jc w:val="both"/>
        <w:rPr>
          <w:rFonts w:ascii="Arial" w:eastAsia="Calibri" w:hAnsi="Arial" w:cs="Arial"/>
          <w:color w:val="000000" w:themeColor="text1"/>
          <w:sz w:val="22"/>
          <w:lang w:val="es-ES_tradnl"/>
        </w:rPr>
      </w:pPr>
    </w:p>
    <w:p w14:paraId="2A352265" w14:textId="77777777" w:rsidR="000920F0" w:rsidRPr="00CC4718" w:rsidRDefault="000920F0" w:rsidP="000920F0">
      <w:pPr>
        <w:spacing w:line="276" w:lineRule="auto"/>
        <w:jc w:val="both"/>
        <w:rPr>
          <w:rFonts w:ascii="Arial" w:eastAsia="Calibri" w:hAnsi="Arial" w:cs="Arial"/>
          <w:color w:val="000000" w:themeColor="text1"/>
          <w:sz w:val="22"/>
          <w:lang w:val="es-ES_tradnl"/>
        </w:rPr>
      </w:pPr>
      <w:r w:rsidRPr="00CC4718">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ED4943">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CC4718" w:rsidRDefault="000920F0" w:rsidP="000920F0">
      <w:pPr>
        <w:spacing w:line="276" w:lineRule="auto"/>
        <w:rPr>
          <w:rFonts w:ascii="Arial" w:hAnsi="Arial" w:cs="Arial"/>
          <w:color w:val="000000" w:themeColor="text1"/>
          <w:sz w:val="22"/>
          <w:lang w:val="es-ES_tradnl" w:eastAsia="es-CO"/>
        </w:rPr>
      </w:pPr>
      <w:r w:rsidRPr="00CC4718">
        <w:rPr>
          <w:rFonts w:ascii="Arial" w:hAnsi="Arial" w:cs="Arial"/>
          <w:color w:val="000000" w:themeColor="text1"/>
          <w:sz w:val="22"/>
          <w:lang w:val="es-ES_tradnl" w:eastAsia="es-CO"/>
        </w:rPr>
        <w:t>Atentamente,</w:t>
      </w:r>
    </w:p>
    <w:p w14:paraId="571DF5BC" w14:textId="692B4F98" w:rsidR="000920F0" w:rsidRPr="00CC4718" w:rsidRDefault="00EE49BA" w:rsidP="000920F0">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3D9966DE" wp14:editId="410C14A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C4718" w:rsidRPr="00CC4718" w14:paraId="5F526272" w14:textId="77777777" w:rsidTr="006C2E14">
        <w:trPr>
          <w:trHeight w:val="315"/>
        </w:trPr>
        <w:tc>
          <w:tcPr>
            <w:tcW w:w="812" w:type="dxa"/>
            <w:vAlign w:val="center"/>
            <w:hideMark/>
          </w:tcPr>
          <w:p w14:paraId="33690198"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Cristian Andrés Díaz Díez</w:t>
            </w:r>
          </w:p>
        </w:tc>
      </w:tr>
      <w:tr w:rsidR="00CC4718" w:rsidRPr="00CC4718" w14:paraId="0C137F1C" w14:textId="77777777" w:rsidTr="006C2E14">
        <w:trPr>
          <w:trHeight w:val="330"/>
        </w:trPr>
        <w:tc>
          <w:tcPr>
            <w:tcW w:w="812" w:type="dxa"/>
            <w:vAlign w:val="center"/>
            <w:hideMark/>
          </w:tcPr>
          <w:p w14:paraId="76978847"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Fabián Gonzalo Marín Cortés</w:t>
            </w:r>
          </w:p>
          <w:p w14:paraId="660FED67"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Subdirector de Gestión Contractual</w:t>
            </w:r>
          </w:p>
        </w:tc>
      </w:tr>
      <w:tr w:rsidR="000920F0" w:rsidRPr="00CC4718" w14:paraId="59D3F9A5" w14:textId="77777777" w:rsidTr="006C2E14">
        <w:trPr>
          <w:trHeight w:val="300"/>
        </w:trPr>
        <w:tc>
          <w:tcPr>
            <w:tcW w:w="812" w:type="dxa"/>
            <w:vAlign w:val="center"/>
            <w:hideMark/>
          </w:tcPr>
          <w:p w14:paraId="62FFFDDB"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Fabián Gonzalo Marín Cortés</w:t>
            </w:r>
          </w:p>
          <w:p w14:paraId="417C54F4" w14:textId="77777777" w:rsidR="000920F0" w:rsidRPr="00CC4718" w:rsidRDefault="000920F0" w:rsidP="006C2E14">
            <w:pPr>
              <w:spacing w:line="276" w:lineRule="auto"/>
              <w:rPr>
                <w:rFonts w:ascii="Arial" w:hAnsi="Arial" w:cs="Arial"/>
                <w:color w:val="000000" w:themeColor="text1"/>
                <w:sz w:val="16"/>
                <w:szCs w:val="16"/>
                <w:lang w:val="es-ES_tradnl" w:eastAsia="es-ES"/>
              </w:rPr>
            </w:pPr>
            <w:r w:rsidRPr="00CC4718">
              <w:rPr>
                <w:rFonts w:ascii="Arial" w:hAnsi="Arial" w:cs="Arial"/>
                <w:color w:val="000000" w:themeColor="text1"/>
                <w:sz w:val="16"/>
                <w:szCs w:val="16"/>
                <w:lang w:val="es-ES_tradnl" w:eastAsia="es-ES"/>
              </w:rPr>
              <w:t>Subdirector de Gestión Contractual</w:t>
            </w:r>
          </w:p>
        </w:tc>
      </w:tr>
    </w:tbl>
    <w:p w14:paraId="341D0316" w14:textId="77777777" w:rsidR="000920F0" w:rsidRPr="00CC4718" w:rsidRDefault="000920F0" w:rsidP="000920F0">
      <w:pPr>
        <w:spacing w:line="276" w:lineRule="auto"/>
        <w:rPr>
          <w:rFonts w:ascii="Arial" w:hAnsi="Arial" w:cs="Arial"/>
          <w:color w:val="000000" w:themeColor="text1"/>
          <w:sz w:val="16"/>
          <w:szCs w:val="16"/>
          <w:lang w:val="es-ES_tradnl" w:eastAsia="es-ES"/>
        </w:rPr>
      </w:pPr>
    </w:p>
    <w:bookmarkEnd w:id="2"/>
    <w:p w14:paraId="7EBF297E" w14:textId="77777777" w:rsidR="007B0854" w:rsidRPr="00CC4718" w:rsidRDefault="007B0854" w:rsidP="000920F0">
      <w:pPr>
        <w:rPr>
          <w:color w:val="000000" w:themeColor="text1"/>
          <w:lang w:val="es-ES_tradnl"/>
        </w:rPr>
      </w:pPr>
    </w:p>
    <w:sectPr w:rsidR="007B0854" w:rsidRPr="00CC4718"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CB16" w14:textId="77777777" w:rsidR="001F1AEF" w:rsidRDefault="001F1AEF">
      <w:r>
        <w:separator/>
      </w:r>
    </w:p>
  </w:endnote>
  <w:endnote w:type="continuationSeparator" w:id="0">
    <w:p w14:paraId="247A6FD5" w14:textId="77777777" w:rsidR="001F1AEF" w:rsidRDefault="001F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5F74" w14:textId="77777777" w:rsidR="00F72936" w:rsidRDefault="00F72936" w:rsidP="00F72936">
    <w:pPr>
      <w:pStyle w:val="Sinespaciado"/>
      <w:jc w:val="right"/>
      <w:rPr>
        <w:rFonts w:ascii="Arial" w:hAnsi="Arial" w:cs="Arial"/>
        <w:sz w:val="18"/>
        <w:szCs w:val="18"/>
      </w:rPr>
    </w:pPr>
  </w:p>
  <w:p w14:paraId="17CC9D90" w14:textId="5791DD09" w:rsidR="00F72936" w:rsidRPr="008217B7" w:rsidRDefault="00F72936"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5050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5050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1FC56E89" w14:textId="77777777" w:rsidR="00F72936" w:rsidRDefault="74947599" w:rsidP="00F72936">
    <w:pPr>
      <w:pStyle w:val="Piedepgina"/>
      <w:jc w:val="center"/>
      <w:rPr>
        <w:lang w:val="es-ES"/>
      </w:rPr>
    </w:pPr>
    <w:r>
      <w:rPr>
        <w:noProof/>
        <w:lang w:val="en-US"/>
      </w:rPr>
      <w:drawing>
        <wp:inline distT="0" distB="0" distL="0" distR="0" wp14:anchorId="29A046D9" wp14:editId="1BA89965">
          <wp:extent cx="3700130" cy="519139"/>
          <wp:effectExtent l="0" t="0" r="0" b="0"/>
          <wp:docPr id="20788834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7FC0032" w14:textId="77777777" w:rsidR="00F72936" w:rsidRPr="00856133" w:rsidRDefault="00F72936" w:rsidP="00F72936">
    <w:pPr>
      <w:pStyle w:val="Piedepgina"/>
    </w:pPr>
  </w:p>
  <w:p w14:paraId="6C0EFC49" w14:textId="77777777" w:rsidR="004A34D2" w:rsidRPr="00F72936" w:rsidRDefault="004A34D2" w:rsidP="00F7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BC94" w14:textId="77777777" w:rsidR="001F1AEF" w:rsidRDefault="001F1AEF">
      <w:r>
        <w:separator/>
      </w:r>
    </w:p>
  </w:footnote>
  <w:footnote w:type="continuationSeparator" w:id="0">
    <w:p w14:paraId="27985231" w14:textId="77777777" w:rsidR="001F1AEF" w:rsidRDefault="001F1AEF">
      <w:r>
        <w:continuationSeparator/>
      </w:r>
    </w:p>
  </w:footnote>
  <w:footnote w:id="1">
    <w:p w14:paraId="30441946"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Corte Constitucional. Sentencia C- 341 del 4 de junio de 2014. M. P. Mauricio González Cuervo.</w:t>
      </w:r>
    </w:p>
    <w:p w14:paraId="3F8A580A"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2">
    <w:p w14:paraId="396047A8"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DA9D192"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»Lo anterior, sin perjuicio de las publicaciones previstas en el numeral 3 del artículo 30 de la Ley 80 de 1993.</w:t>
      </w:r>
    </w:p>
    <w:p w14:paraId="36D9AA34"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 xml:space="preserve">»Con el fin de materializar los objetivos a que se refiere el inciso anterior, el Gobierno Nacional desarrollará el Sistema Electrónico para la Contratación Pública, Secop, el cual: </w:t>
      </w:r>
    </w:p>
    <w:p w14:paraId="57635066"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w:t>
      </w:r>
    </w:p>
    <w:p w14:paraId="18104C26"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4460148" w14:textId="77777777" w:rsidR="000920F0" w:rsidRPr="00B62328" w:rsidRDefault="000920F0" w:rsidP="00F72936">
      <w:pPr>
        <w:pStyle w:val="Textonotapie"/>
        <w:jc w:val="both"/>
        <w:rPr>
          <w:rFonts w:ascii="Arial" w:hAnsi="Arial" w:cs="Arial"/>
          <w:color w:val="404040" w:themeColor="text1" w:themeTint="BF"/>
          <w:sz w:val="19"/>
          <w:szCs w:val="19"/>
        </w:rPr>
      </w:pPr>
    </w:p>
  </w:footnote>
  <w:footnote w:id="3">
    <w:p w14:paraId="4CABF8D4"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C75B667"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4">
    <w:p w14:paraId="4AE38202"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1712 de 2014: «Artículo 5. Ámbito de aplicación. Las disposiciones de esta ley serán aplicables a las siguientes personas en calidad de sujetos obligados: </w:t>
      </w:r>
    </w:p>
    <w:p w14:paraId="14FF527B"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220C04AA"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5">
    <w:p w14:paraId="421BA847"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vertAlign w:val="superscript"/>
          <w:lang w:val="es-ES" w:eastAsia="es-ES"/>
        </w:rPr>
        <w:footnoteRef/>
      </w:r>
      <w:r w:rsidRPr="00B62328">
        <w:rPr>
          <w:rFonts w:ascii="Arial" w:hAnsi="Arial" w:cs="Arial"/>
          <w:color w:val="404040" w:themeColor="text1" w:themeTint="BF"/>
          <w:sz w:val="19"/>
          <w:szCs w:val="19"/>
          <w:vertAlign w:val="superscript"/>
          <w:lang w:val="es-ES" w:eastAsia="es-ES"/>
        </w:rPr>
        <w:t xml:space="preserve"> </w:t>
      </w:r>
      <w:r w:rsidRPr="00B62328">
        <w:rPr>
          <w:rFonts w:ascii="Arial" w:hAnsi="Arial" w:cs="Arial"/>
          <w:color w:val="404040" w:themeColor="text1" w:themeTint="BF"/>
          <w:sz w:val="19"/>
          <w:szCs w:val="19"/>
          <w:lang w:val="es-ES" w:eastAsia="es-ES"/>
        </w:rPr>
        <w:t>«</w:t>
      </w:r>
      <w:r w:rsidRPr="00B62328">
        <w:rPr>
          <w:rFonts w:ascii="Arial" w:hAnsi="Arial" w:cs="Arial"/>
          <w:color w:val="404040" w:themeColor="text1" w:themeTint="BF"/>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A138050" w14:textId="77777777" w:rsidR="000920F0" w:rsidRPr="00B62328" w:rsidRDefault="000920F0" w:rsidP="000920F0">
      <w:pPr>
        <w:pStyle w:val="Textonotapie"/>
        <w:ind w:firstLine="709"/>
        <w:jc w:val="both"/>
        <w:rPr>
          <w:rFonts w:ascii="Arial" w:hAnsi="Arial" w:cs="Arial"/>
          <w:color w:val="404040" w:themeColor="text1" w:themeTint="BF"/>
          <w:sz w:val="19"/>
          <w:szCs w:val="19"/>
          <w:lang w:val="es-ES" w:eastAsia="es-ES"/>
        </w:rPr>
      </w:pPr>
      <w:r w:rsidRPr="00B62328">
        <w:rPr>
          <w:rFonts w:ascii="Arial" w:hAnsi="Arial" w:cs="Arial"/>
          <w:color w:val="404040" w:themeColor="text1" w:themeTint="BF"/>
          <w:sz w:val="19"/>
          <w:szCs w:val="19"/>
        </w:rPr>
        <w:t>[…].</w:t>
      </w:r>
    </w:p>
    <w:p w14:paraId="192E52B5" w14:textId="77777777" w:rsidR="000920F0" w:rsidRPr="00B62328" w:rsidRDefault="000920F0" w:rsidP="000920F0">
      <w:pPr>
        <w:pStyle w:val="Textonotapie"/>
        <w:ind w:firstLine="709"/>
        <w:jc w:val="both"/>
        <w:rPr>
          <w:rFonts w:ascii="Arial" w:hAnsi="Arial" w:cs="Arial"/>
          <w:color w:val="404040" w:themeColor="text1" w:themeTint="BF"/>
          <w:sz w:val="19"/>
          <w:szCs w:val="19"/>
          <w:lang w:val="es-ES" w:eastAsia="es-ES"/>
        </w:rPr>
      </w:pPr>
      <w:r>
        <w:rPr>
          <w:rFonts w:ascii="Arial" w:hAnsi="Arial" w:cs="Arial"/>
          <w:color w:val="404040" w:themeColor="text1" w:themeTint="BF"/>
          <w:sz w:val="19"/>
          <w:szCs w:val="19"/>
          <w:lang w:val="es-ES" w:eastAsia="es-ES"/>
        </w:rPr>
        <w:t>»</w:t>
      </w:r>
      <w:r w:rsidRPr="00B62328">
        <w:rPr>
          <w:rFonts w:ascii="Arial" w:hAnsi="Arial" w:cs="Arial"/>
          <w:color w:val="404040" w:themeColor="text1" w:themeTint="BF"/>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127B4D6" w14:textId="77777777" w:rsidR="000920F0" w:rsidRPr="00B62328" w:rsidRDefault="000920F0" w:rsidP="000920F0">
      <w:pPr>
        <w:pStyle w:val="Textonotapie"/>
        <w:ind w:firstLine="709"/>
        <w:jc w:val="both"/>
        <w:rPr>
          <w:rFonts w:ascii="Arial" w:hAnsi="Arial" w:cs="Arial"/>
          <w:color w:val="404040" w:themeColor="text1" w:themeTint="BF"/>
          <w:sz w:val="19"/>
          <w:szCs w:val="19"/>
          <w:lang w:val="es-ES" w:eastAsia="es-ES"/>
        </w:rPr>
      </w:pPr>
    </w:p>
  </w:footnote>
  <w:footnote w:id="6">
    <w:p w14:paraId="0B51295F"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w:t>
      </w:r>
      <w:r w:rsidRPr="00B62328">
        <w:rPr>
          <w:rFonts w:ascii="Arial" w:hAnsi="Arial" w:cs="Arial"/>
          <w:color w:val="404040" w:themeColor="text1" w:themeTint="BF"/>
          <w:sz w:val="19"/>
          <w:szCs w:val="19"/>
          <w:lang w:val="es-ES" w:eastAsia="es-ES"/>
        </w:rPr>
        <w:t xml:space="preserve">orte Constitucional. Sentencia C-274 de 9 de mayo de 2013. M.P. María Victoria Calle Correa. </w:t>
      </w:r>
    </w:p>
    <w:p w14:paraId="43ACDAC2"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7">
    <w:p w14:paraId="5951159F"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6B76A1A"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8">
    <w:p w14:paraId="156E2C28"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Consejo de Estado. Sección Tercera. Subsección C. Auto del 14 de agosto de 2017. Exp. 58.820. C.P. Jaime Orlando Santofimio Gamboa. </w:t>
      </w:r>
    </w:p>
    <w:p w14:paraId="3EA0C3A9"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9">
    <w:p w14:paraId="387F0F06" w14:textId="77777777" w:rsidR="000920F0" w:rsidRPr="00B62328" w:rsidRDefault="000920F0" w:rsidP="000920F0">
      <w:pPr>
        <w:pStyle w:val="Prrafodelista"/>
        <w:ind w:left="0" w:firstLine="709"/>
        <w:jc w:val="both"/>
        <w:rPr>
          <w:rFonts w:ascii="Arial" w:hAnsi="Arial" w:cs="Arial"/>
          <w:bCs/>
          <w:color w:val="404040" w:themeColor="text1" w:themeTint="BF"/>
          <w:sz w:val="19"/>
          <w:szCs w:val="19"/>
          <w:lang w:val="es-ES"/>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w:t>
      </w:r>
      <w:r w:rsidRPr="00B62328">
        <w:rPr>
          <w:rFonts w:ascii="Arial" w:hAnsi="Arial" w:cs="Arial"/>
          <w:bCs/>
          <w:color w:val="404040" w:themeColor="text1" w:themeTint="BF"/>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D7030D8" w14:textId="77777777" w:rsidR="000920F0" w:rsidRPr="00B62328" w:rsidRDefault="000920F0" w:rsidP="000920F0">
      <w:pPr>
        <w:pStyle w:val="Textonotapie"/>
        <w:ind w:firstLine="709"/>
        <w:jc w:val="both"/>
        <w:rPr>
          <w:rFonts w:ascii="Arial" w:hAnsi="Arial" w:cs="Arial"/>
          <w:color w:val="404040" w:themeColor="text1" w:themeTint="BF"/>
          <w:sz w:val="19"/>
          <w:szCs w:val="19"/>
          <w:lang w:val="es-ES"/>
        </w:rPr>
      </w:pPr>
    </w:p>
  </w:footnote>
  <w:footnote w:id="10">
    <w:p w14:paraId="540EBC3D"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54584E0B"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AB6ECB0"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11">
    <w:p w14:paraId="36A2FCF8"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25CF988D"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12">
    <w:p w14:paraId="281C26A0"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B0293F3"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13">
    <w:p w14:paraId="0CF2CA97"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952B941"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»Los sujetos obligados que no contratan con cargo a recursos públicos no están obligados a publicar su Plan Anual de Adquisiciones.</w:t>
      </w:r>
    </w:p>
    <w:p w14:paraId="5599C782"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0787985A" w14:textId="77777777" w:rsidR="000920F0"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3C99A9FD" w14:textId="77777777" w:rsidR="00732E20" w:rsidRPr="00B62328" w:rsidRDefault="00732E20" w:rsidP="000920F0">
      <w:pPr>
        <w:pStyle w:val="Textonotapie"/>
        <w:ind w:firstLine="709"/>
        <w:jc w:val="both"/>
        <w:rPr>
          <w:rFonts w:ascii="Arial" w:hAnsi="Arial" w:cs="Arial"/>
          <w:color w:val="404040" w:themeColor="text1" w:themeTint="BF"/>
          <w:sz w:val="19"/>
          <w:szCs w:val="19"/>
        </w:rPr>
      </w:pPr>
    </w:p>
  </w:footnote>
  <w:footnote w:id="14">
    <w:p w14:paraId="4D6343EF" w14:textId="77777777" w:rsidR="00FF0FE0"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w:t>
      </w:r>
      <w:r w:rsidR="00BC6CB0">
        <w:rPr>
          <w:rFonts w:ascii="Arial" w:hAnsi="Arial" w:cs="Arial"/>
          <w:color w:val="404040" w:themeColor="text1" w:themeTint="BF"/>
          <w:sz w:val="19"/>
          <w:szCs w:val="19"/>
        </w:rPr>
        <w:t>En efecto, el artículo 195, numeral 6 de la Ley 100 de 1993 establece que</w:t>
      </w:r>
      <w:r w:rsidR="00FF0FE0">
        <w:rPr>
          <w:rFonts w:ascii="Arial" w:hAnsi="Arial" w:cs="Arial"/>
          <w:color w:val="404040" w:themeColor="text1" w:themeTint="BF"/>
          <w:sz w:val="19"/>
          <w:szCs w:val="19"/>
        </w:rPr>
        <w:t xml:space="preserve"> «</w:t>
      </w:r>
      <w:r w:rsidR="00FF0FE0" w:rsidRPr="00FF0FE0">
        <w:rPr>
          <w:rFonts w:ascii="Arial" w:hAnsi="Arial" w:cs="Arial"/>
          <w:color w:val="404040" w:themeColor="text1" w:themeTint="BF"/>
          <w:sz w:val="19"/>
          <w:szCs w:val="19"/>
        </w:rPr>
        <w:t>Las Empresas Sociales de Salud se someterán al siguiente régimen jurídico:</w:t>
      </w:r>
    </w:p>
    <w:p w14:paraId="1C5C089D" w14:textId="3D0D2612" w:rsidR="00FF0FE0" w:rsidRDefault="00FF0FE0" w:rsidP="000920F0">
      <w:pPr>
        <w:pStyle w:val="Textonotapie"/>
        <w:ind w:firstLine="709"/>
        <w:jc w:val="both"/>
        <w:rPr>
          <w:rFonts w:ascii="Arial" w:hAnsi="Arial" w:cs="Arial"/>
          <w:color w:val="404040" w:themeColor="text1" w:themeTint="BF"/>
          <w:sz w:val="19"/>
          <w:szCs w:val="19"/>
        </w:rPr>
      </w:pPr>
      <w:r>
        <w:rPr>
          <w:rFonts w:ascii="Arial" w:hAnsi="Arial" w:cs="Arial"/>
          <w:color w:val="404040" w:themeColor="text1" w:themeTint="BF"/>
          <w:sz w:val="19"/>
          <w:szCs w:val="19"/>
        </w:rPr>
        <w:t>»[…]</w:t>
      </w:r>
    </w:p>
    <w:p w14:paraId="43D82C7C" w14:textId="177E65DA" w:rsidR="000920F0" w:rsidRPr="00B62328" w:rsidRDefault="00FF0FE0" w:rsidP="00FF0FE0">
      <w:pPr>
        <w:pStyle w:val="Textonotapie"/>
        <w:ind w:firstLine="709"/>
        <w:jc w:val="both"/>
        <w:rPr>
          <w:rFonts w:ascii="Arial" w:hAnsi="Arial" w:cs="Arial"/>
          <w:color w:val="404040" w:themeColor="text1" w:themeTint="BF"/>
          <w:sz w:val="19"/>
          <w:szCs w:val="19"/>
        </w:rPr>
      </w:pPr>
      <w:r>
        <w:rPr>
          <w:rFonts w:ascii="Arial" w:hAnsi="Arial" w:cs="Arial"/>
          <w:color w:val="404040" w:themeColor="text1" w:themeTint="BF"/>
          <w:sz w:val="19"/>
          <w:szCs w:val="19"/>
        </w:rPr>
        <w:t>»</w:t>
      </w:r>
      <w:r w:rsidRPr="00FF0FE0">
        <w:rPr>
          <w:rFonts w:ascii="Arial" w:hAnsi="Arial" w:cs="Arial"/>
          <w:color w:val="404040" w:themeColor="text1" w:themeTint="BF"/>
          <w:sz w:val="19"/>
          <w:szCs w:val="19"/>
        </w:rPr>
        <w:t>En materia contractual se regirá por el derecho privado, pero podrá discrecionalmente utilizar las cláusulas exorbitantes previstas en el estatuto general de contratación de la administración pública</w:t>
      </w:r>
      <w:r>
        <w:rPr>
          <w:rFonts w:ascii="Arial" w:hAnsi="Arial" w:cs="Arial"/>
          <w:color w:val="404040" w:themeColor="text1" w:themeTint="BF"/>
          <w:sz w:val="19"/>
          <w:szCs w:val="19"/>
        </w:rPr>
        <w:t>»</w:t>
      </w:r>
      <w:r w:rsidRPr="00FF0FE0">
        <w:rPr>
          <w:rFonts w:ascii="Arial" w:hAnsi="Arial" w:cs="Arial"/>
          <w:color w:val="404040" w:themeColor="text1" w:themeTint="BF"/>
          <w:sz w:val="19"/>
          <w:szCs w:val="19"/>
        </w:rPr>
        <w:t>.</w:t>
      </w:r>
      <w:r w:rsidR="00BC6CB0">
        <w:rPr>
          <w:rFonts w:ascii="Arial" w:hAnsi="Arial" w:cs="Arial"/>
          <w:color w:val="404040" w:themeColor="text1" w:themeTint="BF"/>
          <w:sz w:val="19"/>
          <w:szCs w:val="19"/>
        </w:rPr>
        <w:t xml:space="preserve"> </w:t>
      </w:r>
    </w:p>
  </w:footnote>
  <w:footnote w:id="15">
    <w:p w14:paraId="572F5F32"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4F63EC50"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476D8929"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16">
    <w:p w14:paraId="5033CA67"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DE8A975"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11B9D7C1"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2196D078"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Corte Constitucional. Sentencia C- 083 del 1 de marzo de 1995. M.P. Carlos Gaviria Díaz</w:t>
      </w:r>
      <w:r>
        <w:rPr>
          <w:rFonts w:ascii="Arial" w:hAnsi="Arial" w:cs="Arial"/>
          <w:color w:val="404040" w:themeColor="text1" w:themeTint="BF"/>
          <w:sz w:val="19"/>
          <w:szCs w:val="19"/>
        </w:rPr>
        <w:t>.</w:t>
      </w:r>
    </w:p>
    <w:p w14:paraId="31C85EC4" w14:textId="77777777" w:rsidR="000920F0" w:rsidRPr="00B62328" w:rsidRDefault="000920F0" w:rsidP="000920F0">
      <w:pPr>
        <w:pStyle w:val="Textonotapie"/>
        <w:ind w:firstLine="709"/>
        <w:jc w:val="both"/>
        <w:rPr>
          <w:rFonts w:ascii="Arial" w:hAnsi="Arial" w:cs="Arial"/>
          <w:color w:val="404040" w:themeColor="text1" w:themeTint="BF"/>
          <w:sz w:val="19"/>
          <w:szCs w:val="19"/>
        </w:rPr>
      </w:pPr>
    </w:p>
  </w:footnote>
  <w:footnote w:id="18">
    <w:p w14:paraId="6EE85081"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16553C1" w14:textId="77777777" w:rsidR="000920F0" w:rsidRPr="00B62328" w:rsidRDefault="000920F0" w:rsidP="000920F0">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156"/>
    <w:rsid w:val="00025773"/>
    <w:rsid w:val="000460C0"/>
    <w:rsid w:val="00066BF6"/>
    <w:rsid w:val="00076993"/>
    <w:rsid w:val="000920F0"/>
    <w:rsid w:val="000942EB"/>
    <w:rsid w:val="000B103F"/>
    <w:rsid w:val="000C2F4B"/>
    <w:rsid w:val="000F14E8"/>
    <w:rsid w:val="00101355"/>
    <w:rsid w:val="00103915"/>
    <w:rsid w:val="00122B23"/>
    <w:rsid w:val="00137FFA"/>
    <w:rsid w:val="00193089"/>
    <w:rsid w:val="001D7061"/>
    <w:rsid w:val="001E0C6C"/>
    <w:rsid w:val="001F1AEF"/>
    <w:rsid w:val="00234B84"/>
    <w:rsid w:val="002A417A"/>
    <w:rsid w:val="002C11FB"/>
    <w:rsid w:val="002E0383"/>
    <w:rsid w:val="002F6784"/>
    <w:rsid w:val="003033BA"/>
    <w:rsid w:val="0034680A"/>
    <w:rsid w:val="00386456"/>
    <w:rsid w:val="00394B5E"/>
    <w:rsid w:val="003A581E"/>
    <w:rsid w:val="003C173E"/>
    <w:rsid w:val="003D29C0"/>
    <w:rsid w:val="003D4B59"/>
    <w:rsid w:val="004041DC"/>
    <w:rsid w:val="0040673C"/>
    <w:rsid w:val="004108AC"/>
    <w:rsid w:val="004115E9"/>
    <w:rsid w:val="004164A1"/>
    <w:rsid w:val="00421649"/>
    <w:rsid w:val="004422D6"/>
    <w:rsid w:val="004755B2"/>
    <w:rsid w:val="004A34D2"/>
    <w:rsid w:val="004A571C"/>
    <w:rsid w:val="004D04B3"/>
    <w:rsid w:val="0051074C"/>
    <w:rsid w:val="00513AF2"/>
    <w:rsid w:val="005152EB"/>
    <w:rsid w:val="0054413A"/>
    <w:rsid w:val="00551CE1"/>
    <w:rsid w:val="005564CA"/>
    <w:rsid w:val="00581D03"/>
    <w:rsid w:val="00655371"/>
    <w:rsid w:val="00662755"/>
    <w:rsid w:val="006956E7"/>
    <w:rsid w:val="00697665"/>
    <w:rsid w:val="006A7FD0"/>
    <w:rsid w:val="006D68A5"/>
    <w:rsid w:val="006D7687"/>
    <w:rsid w:val="006E0572"/>
    <w:rsid w:val="00705631"/>
    <w:rsid w:val="00732E20"/>
    <w:rsid w:val="00742DD2"/>
    <w:rsid w:val="0075647A"/>
    <w:rsid w:val="007634AD"/>
    <w:rsid w:val="0078122E"/>
    <w:rsid w:val="007A2433"/>
    <w:rsid w:val="007B0854"/>
    <w:rsid w:val="007B2F1D"/>
    <w:rsid w:val="007B6A3C"/>
    <w:rsid w:val="007B7018"/>
    <w:rsid w:val="007F72CB"/>
    <w:rsid w:val="00811577"/>
    <w:rsid w:val="00812B27"/>
    <w:rsid w:val="0083119B"/>
    <w:rsid w:val="00836EAB"/>
    <w:rsid w:val="0085092D"/>
    <w:rsid w:val="00851E9A"/>
    <w:rsid w:val="008641AF"/>
    <w:rsid w:val="00887590"/>
    <w:rsid w:val="008C0B90"/>
    <w:rsid w:val="008E12EE"/>
    <w:rsid w:val="008E1C15"/>
    <w:rsid w:val="00902D31"/>
    <w:rsid w:val="009047C5"/>
    <w:rsid w:val="0095385A"/>
    <w:rsid w:val="009654FC"/>
    <w:rsid w:val="00985200"/>
    <w:rsid w:val="009E0C7E"/>
    <w:rsid w:val="009E0E46"/>
    <w:rsid w:val="00A20538"/>
    <w:rsid w:val="00A24560"/>
    <w:rsid w:val="00A34538"/>
    <w:rsid w:val="00A6602D"/>
    <w:rsid w:val="00AA442B"/>
    <w:rsid w:val="00AC12F3"/>
    <w:rsid w:val="00B22E22"/>
    <w:rsid w:val="00B525CB"/>
    <w:rsid w:val="00B63CB2"/>
    <w:rsid w:val="00BB2313"/>
    <w:rsid w:val="00BC585F"/>
    <w:rsid w:val="00BC6CB0"/>
    <w:rsid w:val="00BD78FE"/>
    <w:rsid w:val="00C120FB"/>
    <w:rsid w:val="00C9160A"/>
    <w:rsid w:val="00CC00CD"/>
    <w:rsid w:val="00CC296B"/>
    <w:rsid w:val="00CC4718"/>
    <w:rsid w:val="00D04887"/>
    <w:rsid w:val="00D16E39"/>
    <w:rsid w:val="00D52D73"/>
    <w:rsid w:val="00D72E9D"/>
    <w:rsid w:val="00D82CE5"/>
    <w:rsid w:val="00DA5AB1"/>
    <w:rsid w:val="00DB200E"/>
    <w:rsid w:val="00DC2F65"/>
    <w:rsid w:val="00DC62E5"/>
    <w:rsid w:val="00DD735D"/>
    <w:rsid w:val="00DE3119"/>
    <w:rsid w:val="00DF236B"/>
    <w:rsid w:val="00E13AB8"/>
    <w:rsid w:val="00E33B62"/>
    <w:rsid w:val="00E72FB1"/>
    <w:rsid w:val="00EC3ADA"/>
    <w:rsid w:val="00EE49BA"/>
    <w:rsid w:val="00F50502"/>
    <w:rsid w:val="00F72936"/>
    <w:rsid w:val="00F80EF1"/>
    <w:rsid w:val="00F84899"/>
    <w:rsid w:val="00F859F0"/>
    <w:rsid w:val="00FE141E"/>
    <w:rsid w:val="00FF0FE0"/>
    <w:rsid w:val="00FF155F"/>
    <w:rsid w:val="0A9E7CA7"/>
    <w:rsid w:val="29D69137"/>
    <w:rsid w:val="7494759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paragraph" w:customStyle="1" w:styleId="Default">
    <w:name w:val="Default"/>
    <w:rsid w:val="002F67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C3F89F5-A4B1-49F3-B42A-7B1BAE73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7529B-3853-4D63-B82D-6735D014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3812</Words>
  <Characters>21735</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2020-08-10T16:35:00Z</dcterms:created>
  <dcterms:modified xsi:type="dcterms:W3CDTF">2020-08-10T16:35:00Z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