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BA74D" w14:textId="77777777" w:rsidR="006146F2" w:rsidRPr="00965792" w:rsidRDefault="006146F2" w:rsidP="006146F2">
      <w:pPr>
        <w:spacing w:line="276" w:lineRule="auto"/>
        <w:jc w:val="right"/>
        <w:rPr>
          <w:rFonts w:ascii="Arial" w:eastAsia="Times New Roman" w:hAnsi="Arial" w:cs="Arial"/>
          <w:b/>
          <w:bCs/>
          <w:color w:val="000000" w:themeColor="text1"/>
          <w:sz w:val="16"/>
          <w:szCs w:val="16"/>
          <w:lang w:eastAsia="es-ES"/>
        </w:rPr>
      </w:pPr>
      <w:bookmarkStart w:id="0" w:name="_Hlk29890381"/>
      <w:r w:rsidRPr="00965792">
        <w:rPr>
          <w:rFonts w:ascii="Arial" w:eastAsia="Times New Roman" w:hAnsi="Arial" w:cs="Arial"/>
          <w:b/>
          <w:bCs/>
          <w:color w:val="000000" w:themeColor="text1"/>
          <w:sz w:val="16"/>
          <w:szCs w:val="16"/>
          <w:lang w:eastAsia="es-ES"/>
        </w:rPr>
        <w:t>CCE-DES-FM-17</w:t>
      </w:r>
    </w:p>
    <w:p w14:paraId="4FAE2118" w14:textId="77777777" w:rsidR="006146F2" w:rsidRPr="008D15BE" w:rsidRDefault="006146F2" w:rsidP="006146F2">
      <w:pPr>
        <w:spacing w:line="276" w:lineRule="auto"/>
        <w:jc w:val="right"/>
        <w:rPr>
          <w:rFonts w:ascii="Arial" w:eastAsia="Calibri" w:hAnsi="Arial" w:cs="Arial"/>
          <w:b/>
          <w:color w:val="000000" w:themeColor="text1"/>
          <w:sz w:val="16"/>
          <w:szCs w:val="16"/>
        </w:rPr>
      </w:pPr>
    </w:p>
    <w:p w14:paraId="663873AD" w14:textId="3D399FFA" w:rsidR="006146F2" w:rsidRPr="00287B72" w:rsidRDefault="006146F2" w:rsidP="00287B72">
      <w:pPr>
        <w:jc w:val="both"/>
        <w:rPr>
          <w:rFonts w:ascii="Arial" w:eastAsia="Calibri" w:hAnsi="Arial" w:cs="Arial"/>
          <w:b/>
          <w:color w:val="000000" w:themeColor="text1"/>
          <w:sz w:val="22"/>
        </w:rPr>
      </w:pPr>
      <w:r w:rsidRPr="00287B72">
        <w:rPr>
          <w:rFonts w:ascii="Arial" w:eastAsia="Calibri" w:hAnsi="Arial" w:cs="Arial"/>
          <w:b/>
          <w:color w:val="000000" w:themeColor="text1"/>
          <w:sz w:val="22"/>
        </w:rPr>
        <w:t xml:space="preserve">CONTRATO ESTATAL </w:t>
      </w:r>
      <w:r w:rsidR="00965792" w:rsidRPr="006C15D5">
        <w:rPr>
          <w:rFonts w:ascii="Arial" w:eastAsia="Calibri" w:hAnsi="Arial" w:cs="Arial"/>
          <w:b/>
          <w:color w:val="000000" w:themeColor="text1"/>
          <w:sz w:val="22"/>
        </w:rPr>
        <w:t>–</w:t>
      </w:r>
      <w:r w:rsidRPr="00287B72">
        <w:rPr>
          <w:rFonts w:ascii="Arial" w:eastAsia="Calibri" w:hAnsi="Arial" w:cs="Arial"/>
          <w:b/>
          <w:color w:val="000000" w:themeColor="text1"/>
          <w:sz w:val="22"/>
        </w:rPr>
        <w:t xml:space="preserve"> Requisitos de perfeccionamiento </w:t>
      </w:r>
      <w:r w:rsidR="00C609A2">
        <w:rPr>
          <w:rFonts w:ascii="Arial" w:eastAsia="Calibri" w:hAnsi="Arial" w:cs="Arial"/>
          <w:b/>
          <w:color w:val="000000" w:themeColor="text1"/>
          <w:sz w:val="22"/>
        </w:rPr>
        <w:t>–</w:t>
      </w:r>
      <w:r w:rsidR="00C609A2">
        <w:rPr>
          <w:rFonts w:ascii="Arial" w:eastAsia="Calibri" w:hAnsi="Arial" w:cs="Arial"/>
          <w:b/>
          <w:color w:val="000000" w:themeColor="text1"/>
          <w:sz w:val="22"/>
        </w:rPr>
        <w:t xml:space="preserve"> Requisitos de</w:t>
      </w:r>
      <w:bookmarkStart w:id="1" w:name="_GoBack"/>
      <w:bookmarkEnd w:id="1"/>
      <w:r w:rsidRPr="00287B72">
        <w:rPr>
          <w:rFonts w:ascii="Arial" w:eastAsia="Calibri" w:hAnsi="Arial" w:cs="Arial"/>
          <w:b/>
          <w:color w:val="000000" w:themeColor="text1"/>
          <w:sz w:val="22"/>
        </w:rPr>
        <w:t xml:space="preserve"> ejecución </w:t>
      </w:r>
      <w:r w:rsidR="00965792" w:rsidRPr="006C15D5">
        <w:rPr>
          <w:rFonts w:ascii="Arial" w:eastAsia="Calibri" w:hAnsi="Arial" w:cs="Arial"/>
          <w:b/>
          <w:color w:val="000000" w:themeColor="text1"/>
          <w:sz w:val="22"/>
        </w:rPr>
        <w:t>–</w:t>
      </w:r>
      <w:r w:rsidRPr="00287B72">
        <w:rPr>
          <w:rFonts w:ascii="Arial" w:eastAsia="Calibri" w:hAnsi="Arial" w:cs="Arial"/>
          <w:b/>
          <w:color w:val="000000" w:themeColor="text1"/>
          <w:sz w:val="22"/>
        </w:rPr>
        <w:t xml:space="preserve"> Diferencia</w:t>
      </w:r>
    </w:p>
    <w:p w14:paraId="1EBAAB83" w14:textId="77777777" w:rsidR="006146F2" w:rsidRPr="00287B72" w:rsidRDefault="006146F2" w:rsidP="00287B72">
      <w:pPr>
        <w:jc w:val="both"/>
        <w:rPr>
          <w:rFonts w:ascii="Arial" w:hAnsi="Arial" w:cs="Arial"/>
          <w:color w:val="000000" w:themeColor="text1"/>
          <w:sz w:val="20"/>
          <w:szCs w:val="20"/>
        </w:rPr>
      </w:pPr>
    </w:p>
    <w:p w14:paraId="48B15C8C" w14:textId="6055F32D" w:rsidR="006146F2" w:rsidRPr="00287B72" w:rsidRDefault="006146F2" w:rsidP="003260E0">
      <w:pPr>
        <w:spacing w:after="120"/>
        <w:jc w:val="both"/>
        <w:rPr>
          <w:rFonts w:ascii="Arial" w:eastAsia="Calibri" w:hAnsi="Arial" w:cs="Arial"/>
          <w:color w:val="000000" w:themeColor="text1"/>
          <w:sz w:val="20"/>
          <w:szCs w:val="20"/>
        </w:rPr>
      </w:pPr>
      <w:r w:rsidRPr="00287B72">
        <w:rPr>
          <w:rFonts w:ascii="Arial" w:eastAsia="Calibri" w:hAnsi="Arial" w:cs="Arial"/>
          <w:color w:val="000000" w:themeColor="text1"/>
          <w:sz w:val="20"/>
          <w:szCs w:val="20"/>
        </w:rPr>
        <w:t>El Consejo de Estado aclaró la diferencia entre el perfeccionamiento y la ejecución del contrato, de la siguiente manera:</w:t>
      </w:r>
    </w:p>
    <w:p w14:paraId="573830D0" w14:textId="77777777" w:rsidR="006146F2" w:rsidRPr="00287B72" w:rsidRDefault="006146F2" w:rsidP="00287B72">
      <w:pPr>
        <w:pStyle w:val="Prrafodelista"/>
        <w:ind w:left="0"/>
        <w:jc w:val="both"/>
        <w:rPr>
          <w:rFonts w:ascii="Arial" w:eastAsia="Calibri" w:hAnsi="Arial" w:cs="Arial"/>
          <w:color w:val="000000" w:themeColor="text1"/>
          <w:sz w:val="20"/>
          <w:szCs w:val="20"/>
        </w:rPr>
      </w:pPr>
      <w:r w:rsidRPr="00287B72">
        <w:rPr>
          <w:rFonts w:ascii="Arial" w:eastAsia="Calibri" w:hAnsi="Arial" w:cs="Arial"/>
          <w:color w:val="000000" w:themeColor="text1"/>
          <w:sz w:val="20"/>
          <w:szCs w:val="20"/>
        </w:rPr>
        <w:t>La Sala concluyó y ahora se reitera que i) la existencia del contrato no difiere del perfeccionamiento; es decir, cumplidos los elementos esenciales que dan lugar al contrato no queda sino aceptar la relación jurídico contractual; ii) por virtud de lo dispuesto en la Ley 80 de 1993 el contrato estatal existe, esto es, «se perfecciona» cuando «se logra acuerdo sobre el objeto y la contraprestación y éste se eleve a escrito»; iii) es ejecutable cuando se cumplen las condiciones previstas en el inciso segundo del artículo 41 de la ley, interpretado en concordancia con lo dispuesto en el artículo 49 de la Ley 179 de 1994, compilado en el artículo 71 del Estatuto Orgánico de Presupuesto, Decreto Ley 111 de 1996 y iv) el requisito relativo al registro presupuestal no es una condición de existencia del contrato estatal, es un requisito de ejecución.</w:t>
      </w:r>
    </w:p>
    <w:p w14:paraId="21B5801E" w14:textId="77777777" w:rsidR="006146F2" w:rsidRPr="00287B72" w:rsidRDefault="006146F2" w:rsidP="00287B72">
      <w:pPr>
        <w:pStyle w:val="Prrafodelista"/>
        <w:ind w:left="0"/>
        <w:jc w:val="both"/>
        <w:rPr>
          <w:rFonts w:ascii="Arial" w:eastAsia="Calibri" w:hAnsi="Arial" w:cs="Arial"/>
          <w:color w:val="000000" w:themeColor="text1"/>
          <w:sz w:val="20"/>
          <w:szCs w:val="20"/>
          <w:highlight w:val="yellow"/>
        </w:rPr>
      </w:pPr>
    </w:p>
    <w:p w14:paraId="4B00CF99" w14:textId="05431592" w:rsidR="006146F2" w:rsidRPr="00287B72" w:rsidRDefault="006146F2" w:rsidP="00287B72">
      <w:pPr>
        <w:pStyle w:val="Prrafodelista"/>
        <w:ind w:left="0"/>
        <w:jc w:val="both"/>
        <w:rPr>
          <w:rFonts w:ascii="Arial" w:eastAsia="Calibri" w:hAnsi="Arial" w:cs="Arial"/>
          <w:b/>
          <w:color w:val="000000" w:themeColor="text1"/>
          <w:sz w:val="22"/>
        </w:rPr>
      </w:pPr>
      <w:r w:rsidRPr="00287B72">
        <w:rPr>
          <w:rFonts w:ascii="Arial" w:eastAsia="Calibri" w:hAnsi="Arial" w:cs="Arial"/>
          <w:b/>
          <w:color w:val="000000" w:themeColor="text1"/>
          <w:sz w:val="22"/>
        </w:rPr>
        <w:t xml:space="preserve">PUBLICIDAD </w:t>
      </w:r>
      <w:r w:rsidR="00965792" w:rsidRPr="006C15D5">
        <w:rPr>
          <w:rFonts w:ascii="Arial" w:eastAsia="Calibri" w:hAnsi="Arial" w:cs="Arial"/>
          <w:b/>
          <w:color w:val="000000" w:themeColor="text1"/>
          <w:sz w:val="22"/>
        </w:rPr>
        <w:t>–</w:t>
      </w:r>
      <w:r w:rsidRPr="00287B72">
        <w:rPr>
          <w:rFonts w:ascii="Arial" w:eastAsia="Calibri" w:hAnsi="Arial" w:cs="Arial"/>
          <w:b/>
          <w:color w:val="000000" w:themeColor="text1"/>
          <w:sz w:val="22"/>
        </w:rPr>
        <w:t xml:space="preserve"> Obligación </w:t>
      </w:r>
      <w:r w:rsidR="00965792" w:rsidRPr="006C15D5">
        <w:rPr>
          <w:rFonts w:ascii="Arial" w:eastAsia="Calibri" w:hAnsi="Arial" w:cs="Arial"/>
          <w:b/>
          <w:color w:val="000000" w:themeColor="text1"/>
          <w:sz w:val="22"/>
        </w:rPr>
        <w:t>–</w:t>
      </w:r>
      <w:r w:rsidRPr="00287B72">
        <w:rPr>
          <w:rFonts w:ascii="Arial" w:eastAsia="Calibri" w:hAnsi="Arial" w:cs="Arial"/>
          <w:b/>
          <w:color w:val="000000" w:themeColor="text1"/>
          <w:sz w:val="22"/>
        </w:rPr>
        <w:t xml:space="preserve"> SECOP</w:t>
      </w:r>
    </w:p>
    <w:p w14:paraId="7928EC1B" w14:textId="77777777" w:rsidR="006146F2" w:rsidRPr="00287B72" w:rsidRDefault="006146F2" w:rsidP="00287B72">
      <w:pPr>
        <w:pStyle w:val="Prrafodelista"/>
        <w:ind w:left="0"/>
        <w:jc w:val="both"/>
        <w:rPr>
          <w:rFonts w:ascii="Arial" w:eastAsia="Calibri" w:hAnsi="Arial" w:cs="Arial"/>
          <w:color w:val="000000" w:themeColor="text1"/>
          <w:sz w:val="20"/>
          <w:szCs w:val="20"/>
        </w:rPr>
      </w:pPr>
    </w:p>
    <w:p w14:paraId="31F6CB9C" w14:textId="77777777" w:rsidR="006146F2" w:rsidRPr="00287B72" w:rsidRDefault="006146F2" w:rsidP="00287B72">
      <w:pPr>
        <w:jc w:val="both"/>
        <w:rPr>
          <w:rFonts w:ascii="Arial" w:eastAsia="Calibri" w:hAnsi="Arial" w:cs="Arial"/>
          <w:color w:val="000000" w:themeColor="text1"/>
          <w:sz w:val="20"/>
          <w:szCs w:val="20"/>
        </w:rPr>
      </w:pPr>
      <w:r w:rsidRPr="00287B72">
        <w:rPr>
          <w:rFonts w:ascii="Arial" w:eastAsia="Calibri" w:hAnsi="Arial" w:cs="Arial"/>
          <w:color w:val="000000" w:themeColor="text1"/>
          <w:sz w:val="20"/>
          <w:szCs w:val="20"/>
        </w:rPr>
        <w:t>De acuerdo con esto, las entidades deben cumplir con el principio de publicidad respecto de su actividad contractual como garantía para los administrados, para conocer las actuaciones y participar en el control de estas. Por ende, el SECOP es la herramienta que dispuso el Estado para que las entidades cumplan el principio de publicidad, y la Agencia Nacional de Contratación Pública - Colombia Compra Eficiente, mediante la Circular Externa No 1 de 21 de junio de 2013, recopilada en la Circular Externa Única, recordó a todas las entidades del Estado el deber de publicar oportunamente su actividad contractual en el SECOP, sin que sea relevante para la exigencia de esta obligación su régimen jurídico, naturaleza pública o privada, o la pertenencia a una u otra rama del poder público.</w:t>
      </w:r>
    </w:p>
    <w:p w14:paraId="63EDE6A1" w14:textId="77777777" w:rsidR="006146F2" w:rsidRPr="00287B72" w:rsidRDefault="006146F2" w:rsidP="00287B72">
      <w:pPr>
        <w:jc w:val="both"/>
        <w:rPr>
          <w:rFonts w:ascii="Arial" w:eastAsia="Calibri" w:hAnsi="Arial" w:cs="Arial"/>
          <w:b/>
          <w:color w:val="000000" w:themeColor="text1"/>
          <w:sz w:val="20"/>
          <w:szCs w:val="20"/>
          <w:highlight w:val="yellow"/>
        </w:rPr>
      </w:pPr>
    </w:p>
    <w:p w14:paraId="38B588DA" w14:textId="364D621C" w:rsidR="006146F2" w:rsidRPr="00287B72" w:rsidRDefault="006146F2" w:rsidP="00287B72">
      <w:pPr>
        <w:jc w:val="both"/>
        <w:rPr>
          <w:rFonts w:ascii="Arial" w:hAnsi="Arial" w:cs="Arial"/>
          <w:b/>
          <w:color w:val="000000" w:themeColor="text1"/>
          <w:sz w:val="22"/>
        </w:rPr>
      </w:pPr>
      <w:r w:rsidRPr="00287B72">
        <w:rPr>
          <w:rFonts w:ascii="Arial" w:eastAsia="Calibri" w:hAnsi="Arial" w:cs="Arial"/>
          <w:b/>
          <w:color w:val="000000" w:themeColor="text1"/>
          <w:sz w:val="22"/>
        </w:rPr>
        <w:t xml:space="preserve">SECOP II </w:t>
      </w:r>
      <w:r w:rsidR="00965792" w:rsidRPr="006C15D5">
        <w:rPr>
          <w:rFonts w:ascii="Arial" w:eastAsia="Calibri" w:hAnsi="Arial" w:cs="Arial"/>
          <w:b/>
          <w:color w:val="000000" w:themeColor="text1"/>
          <w:sz w:val="22"/>
        </w:rPr>
        <w:t>–</w:t>
      </w:r>
      <w:r w:rsidRPr="00287B72">
        <w:rPr>
          <w:rFonts w:ascii="Arial" w:eastAsia="Calibri" w:hAnsi="Arial" w:cs="Arial"/>
          <w:b/>
          <w:color w:val="000000" w:themeColor="text1"/>
          <w:sz w:val="22"/>
        </w:rPr>
        <w:t xml:space="preserve"> Funcionamiento</w:t>
      </w:r>
    </w:p>
    <w:p w14:paraId="274FEF49" w14:textId="77777777" w:rsidR="006146F2" w:rsidRPr="00287B72" w:rsidRDefault="006146F2" w:rsidP="00287B72">
      <w:pPr>
        <w:jc w:val="both"/>
        <w:rPr>
          <w:rFonts w:ascii="Arial" w:hAnsi="Arial" w:cs="Arial"/>
          <w:color w:val="000000" w:themeColor="text1"/>
          <w:sz w:val="20"/>
          <w:szCs w:val="20"/>
        </w:rPr>
      </w:pPr>
    </w:p>
    <w:p w14:paraId="409B8010" w14:textId="77777777" w:rsidR="006146F2" w:rsidRPr="00287B72" w:rsidRDefault="006146F2" w:rsidP="00287B72">
      <w:pPr>
        <w:jc w:val="both"/>
        <w:rPr>
          <w:rFonts w:ascii="Arial" w:eastAsia="Calibri" w:hAnsi="Arial" w:cs="Arial"/>
          <w:color w:val="000000" w:themeColor="text1"/>
          <w:sz w:val="20"/>
          <w:szCs w:val="20"/>
        </w:rPr>
      </w:pPr>
      <w:r w:rsidRPr="00287B72">
        <w:rPr>
          <w:rFonts w:ascii="Arial" w:eastAsia="Calibri" w:hAnsi="Arial" w:cs="Arial"/>
          <w:color w:val="000000" w:themeColor="text1"/>
          <w:sz w:val="20"/>
          <w:szCs w:val="20"/>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288CB6A9" w14:textId="77777777" w:rsidR="006146F2" w:rsidRPr="00287B72" w:rsidRDefault="006146F2" w:rsidP="00287B72">
      <w:pPr>
        <w:jc w:val="both"/>
        <w:rPr>
          <w:rFonts w:ascii="Arial" w:eastAsia="Calibri" w:hAnsi="Arial" w:cs="Arial"/>
          <w:color w:val="000000" w:themeColor="text1"/>
          <w:sz w:val="20"/>
          <w:szCs w:val="20"/>
          <w:highlight w:val="yellow"/>
        </w:rPr>
      </w:pPr>
    </w:p>
    <w:p w14:paraId="39484ADC" w14:textId="3ABEF3FE" w:rsidR="006146F2" w:rsidRPr="00287B72" w:rsidRDefault="006146F2" w:rsidP="00287B72">
      <w:pPr>
        <w:jc w:val="both"/>
        <w:rPr>
          <w:rFonts w:ascii="Arial" w:hAnsi="Arial" w:cs="Arial"/>
          <w:b/>
          <w:color w:val="000000" w:themeColor="text1"/>
          <w:sz w:val="22"/>
          <w:lang w:val="es-ES"/>
        </w:rPr>
      </w:pPr>
      <w:r w:rsidRPr="00287B72">
        <w:rPr>
          <w:rFonts w:ascii="Arial" w:eastAsia="Calibri" w:hAnsi="Arial" w:cs="Arial"/>
          <w:b/>
          <w:color w:val="000000" w:themeColor="text1"/>
          <w:sz w:val="22"/>
          <w:lang w:val="es-ES"/>
        </w:rPr>
        <w:t xml:space="preserve">SECOP II </w:t>
      </w:r>
      <w:r w:rsidR="00965792" w:rsidRPr="006C15D5">
        <w:rPr>
          <w:rFonts w:ascii="Arial" w:eastAsia="Calibri" w:hAnsi="Arial" w:cs="Arial"/>
          <w:b/>
          <w:color w:val="000000" w:themeColor="text1"/>
          <w:sz w:val="22"/>
        </w:rPr>
        <w:t>–</w:t>
      </w:r>
      <w:r w:rsidRPr="00287B72">
        <w:rPr>
          <w:rFonts w:ascii="Arial" w:eastAsia="Calibri" w:hAnsi="Arial" w:cs="Arial"/>
          <w:b/>
          <w:color w:val="000000" w:themeColor="text1"/>
          <w:sz w:val="22"/>
          <w:lang w:val="es-ES"/>
        </w:rPr>
        <w:t xml:space="preserve"> SECOP I </w:t>
      </w:r>
      <w:r w:rsidR="00965792" w:rsidRPr="006C15D5">
        <w:rPr>
          <w:rFonts w:ascii="Arial" w:eastAsia="Calibri" w:hAnsi="Arial" w:cs="Arial"/>
          <w:b/>
          <w:color w:val="000000" w:themeColor="text1"/>
          <w:sz w:val="22"/>
        </w:rPr>
        <w:t>–</w:t>
      </w:r>
      <w:r w:rsidRPr="00287B72">
        <w:rPr>
          <w:rFonts w:ascii="Arial" w:eastAsia="Calibri" w:hAnsi="Arial" w:cs="Arial"/>
          <w:b/>
          <w:color w:val="000000" w:themeColor="text1"/>
          <w:sz w:val="22"/>
          <w:lang w:val="es-ES"/>
        </w:rPr>
        <w:t xml:space="preserve"> Diferencia</w:t>
      </w:r>
    </w:p>
    <w:p w14:paraId="256CAF1E" w14:textId="77777777" w:rsidR="006146F2" w:rsidRPr="00287B72" w:rsidRDefault="006146F2" w:rsidP="00287B72">
      <w:pPr>
        <w:jc w:val="both"/>
        <w:rPr>
          <w:rFonts w:ascii="Arial" w:hAnsi="Arial" w:cs="Arial"/>
          <w:color w:val="000000" w:themeColor="text1"/>
          <w:sz w:val="20"/>
          <w:szCs w:val="20"/>
          <w:lang w:val="es-ES"/>
        </w:rPr>
      </w:pPr>
    </w:p>
    <w:p w14:paraId="5586D987" w14:textId="77777777" w:rsidR="006146F2" w:rsidRPr="00287B72" w:rsidRDefault="006146F2" w:rsidP="00287B72">
      <w:pPr>
        <w:jc w:val="both"/>
        <w:rPr>
          <w:color w:val="000000" w:themeColor="text1"/>
          <w:sz w:val="20"/>
          <w:szCs w:val="20"/>
        </w:rPr>
      </w:pPr>
      <w:r w:rsidRPr="00287B72">
        <w:rPr>
          <w:rFonts w:ascii="Arial" w:eastAsia="Calibri" w:hAnsi="Arial" w:cs="Arial"/>
          <w:color w:val="000000" w:themeColor="text1"/>
          <w:sz w:val="20"/>
          <w:szCs w:val="20"/>
        </w:rPr>
        <w:t>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que se publican para cumplir las obligaciones de las entidades antes señaladas. Al existir esa diferencia entre las dos versiones del SECOP, no es posible realizar en SECOP II actuaciones por escrito que son propias del SECOP I, sino que los documentos y actuaciones son electrónicas, como se ejemplificará a continuación.</w:t>
      </w:r>
    </w:p>
    <w:p w14:paraId="315402C2" w14:textId="77777777" w:rsidR="006146F2" w:rsidRPr="00287B72" w:rsidRDefault="006146F2" w:rsidP="00287B72">
      <w:pPr>
        <w:jc w:val="both"/>
        <w:rPr>
          <w:color w:val="000000" w:themeColor="text1"/>
          <w:sz w:val="20"/>
          <w:szCs w:val="20"/>
        </w:rPr>
      </w:pPr>
    </w:p>
    <w:p w14:paraId="7EFAA9D5" w14:textId="77777777" w:rsidR="006146F2" w:rsidRPr="00287B72" w:rsidRDefault="006146F2" w:rsidP="00287B72">
      <w:pPr>
        <w:jc w:val="both"/>
        <w:rPr>
          <w:color w:val="000000" w:themeColor="text1"/>
          <w:sz w:val="20"/>
          <w:szCs w:val="20"/>
        </w:rPr>
      </w:pPr>
    </w:p>
    <w:p w14:paraId="71525D04" w14:textId="77777777" w:rsidR="006146F2" w:rsidRPr="00287B72" w:rsidRDefault="006146F2" w:rsidP="00287B72">
      <w:pPr>
        <w:jc w:val="both"/>
        <w:rPr>
          <w:color w:val="000000" w:themeColor="text1"/>
          <w:sz w:val="20"/>
          <w:szCs w:val="20"/>
        </w:rPr>
      </w:pPr>
    </w:p>
    <w:p w14:paraId="7FC76067" w14:textId="579BDAE7" w:rsidR="006146F2" w:rsidRPr="00287B72" w:rsidRDefault="006146F2" w:rsidP="00287B72">
      <w:pPr>
        <w:jc w:val="both"/>
        <w:rPr>
          <w:rFonts w:ascii="Arial" w:hAnsi="Arial" w:cs="Arial"/>
          <w:b/>
          <w:color w:val="000000" w:themeColor="text1"/>
          <w:sz w:val="22"/>
          <w:lang w:val="es-ES"/>
        </w:rPr>
      </w:pPr>
      <w:r w:rsidRPr="00287B72">
        <w:rPr>
          <w:rFonts w:ascii="Arial" w:eastAsia="Calibri" w:hAnsi="Arial" w:cs="Arial"/>
          <w:b/>
          <w:color w:val="000000" w:themeColor="text1"/>
          <w:sz w:val="22"/>
          <w:lang w:val="es-ES"/>
        </w:rPr>
        <w:lastRenderedPageBreak/>
        <w:t xml:space="preserve">SECOP II </w:t>
      </w:r>
      <w:bookmarkStart w:id="2" w:name="_Hlk39669842"/>
      <w:r w:rsidR="00965792" w:rsidRPr="006C15D5">
        <w:rPr>
          <w:rFonts w:ascii="Arial" w:eastAsia="Calibri" w:hAnsi="Arial" w:cs="Arial"/>
          <w:b/>
          <w:color w:val="000000" w:themeColor="text1"/>
          <w:sz w:val="22"/>
        </w:rPr>
        <w:t>–</w:t>
      </w:r>
      <w:bookmarkEnd w:id="2"/>
      <w:r w:rsidRPr="00287B72">
        <w:rPr>
          <w:rFonts w:ascii="Arial" w:eastAsia="Calibri" w:hAnsi="Arial" w:cs="Arial"/>
          <w:b/>
          <w:color w:val="000000" w:themeColor="text1"/>
          <w:sz w:val="22"/>
          <w:lang w:val="es-ES"/>
        </w:rPr>
        <w:t xml:space="preserve"> Contrato electrónico</w:t>
      </w:r>
    </w:p>
    <w:p w14:paraId="1ECA5CA9" w14:textId="77777777" w:rsidR="006146F2" w:rsidRPr="00287B72" w:rsidRDefault="006146F2" w:rsidP="00287B72">
      <w:pPr>
        <w:jc w:val="both"/>
        <w:rPr>
          <w:color w:val="000000" w:themeColor="text1"/>
          <w:sz w:val="20"/>
          <w:szCs w:val="20"/>
          <w:highlight w:val="yellow"/>
        </w:rPr>
      </w:pPr>
    </w:p>
    <w:p w14:paraId="54518201" w14:textId="0CBCC92C" w:rsidR="006146F2" w:rsidRPr="00287B72" w:rsidRDefault="006146F2" w:rsidP="00287B72">
      <w:pPr>
        <w:jc w:val="both"/>
        <w:rPr>
          <w:rFonts w:ascii="Arial" w:hAnsi="Arial" w:cs="Arial"/>
          <w:color w:val="000000" w:themeColor="text1"/>
          <w:sz w:val="22"/>
        </w:rPr>
      </w:pPr>
      <w:r w:rsidRPr="00287B72">
        <w:rPr>
          <w:rFonts w:ascii="Arial" w:eastAsia="Calibri" w:hAnsi="Arial" w:cs="Arial"/>
          <w:color w:val="000000" w:themeColor="text1"/>
          <w:sz w:val="20"/>
          <w:szCs w:val="20"/>
        </w:rPr>
        <w:t>La Guía para hacer la gestión contractual en el SECOP II de Colombia Compra Eficiente señala el contenido de cada sección del contrato electrónico y cómo debe ser diligenciado, y para resolver su consulta se enfatiza en la sección «v) documentos del contrato», donde la entidad debe cargar los documentos soporte del contrato y el clausulado. Sin embargo, al existir un contrato electrónico dentro de la plataforma este es válido y no es necesario cargar un documento escrito, ya que esta actuación no quedaría registrada como contrato por no utilizar el procedimiento dispuesto, y por tanto en la plataforma el procedimiento tendría el estado «adjudicado» y no «firmado», ya que en el SECOP II las actuaciones deben ser electrónicas y no escritas mediante el cargue de documentos, lo cual es propio del SECOP I. Para más información sobre el uso de SECOP II, le recomendamos que consulte nuestra página web http://www.colombiacompra.gov.co/secop/que-es-el-secop-ii</w:t>
      </w:r>
      <w:r w:rsidR="00287B72">
        <w:rPr>
          <w:rFonts w:ascii="Arial" w:eastAsia="Calibri" w:hAnsi="Arial" w:cs="Arial"/>
          <w:color w:val="000000" w:themeColor="text1"/>
          <w:sz w:val="20"/>
          <w:szCs w:val="20"/>
        </w:rPr>
        <w:t>.</w:t>
      </w:r>
    </w:p>
    <w:p w14:paraId="3E86EEE1" w14:textId="77777777" w:rsidR="006146F2" w:rsidRPr="00965792" w:rsidRDefault="006146F2" w:rsidP="006146F2">
      <w:pPr>
        <w:rPr>
          <w:rFonts w:ascii="Arial" w:hAnsi="Arial" w:cs="Arial"/>
          <w:color w:val="000000" w:themeColor="text1"/>
          <w:sz w:val="20"/>
          <w:szCs w:val="20"/>
        </w:rPr>
      </w:pPr>
    </w:p>
    <w:p w14:paraId="186B44DE" w14:textId="77777777" w:rsidR="00287B72" w:rsidRPr="00965792" w:rsidRDefault="00287B72" w:rsidP="00287B72">
      <w:pPr>
        <w:pStyle w:val="Default"/>
        <w:rPr>
          <w:color w:val="000000" w:themeColor="text1"/>
          <w:sz w:val="20"/>
          <w:szCs w:val="20"/>
        </w:rPr>
      </w:pPr>
    </w:p>
    <w:p w14:paraId="663DB26B" w14:textId="5B9F083E" w:rsidR="00287B72" w:rsidRPr="00287B72" w:rsidRDefault="00287B72" w:rsidP="00287B72">
      <w:pPr>
        <w:pStyle w:val="Default"/>
        <w:rPr>
          <w:color w:val="000000" w:themeColor="text1"/>
          <w:sz w:val="22"/>
          <w:szCs w:val="22"/>
        </w:rPr>
      </w:pPr>
      <w:r w:rsidRPr="00287B72">
        <w:rPr>
          <w:color w:val="000000" w:themeColor="text1"/>
          <w:sz w:val="22"/>
          <w:szCs w:val="22"/>
        </w:rPr>
        <w:t xml:space="preserve">Bogotá D.C., </w:t>
      </w:r>
      <w:r w:rsidRPr="00287B72">
        <w:rPr>
          <w:b/>
          <w:bCs/>
          <w:color w:val="000000" w:themeColor="text1"/>
          <w:sz w:val="22"/>
          <w:szCs w:val="22"/>
        </w:rPr>
        <w:t xml:space="preserve">06/04/2020 Hora 3:0:16s </w:t>
      </w:r>
    </w:p>
    <w:p w14:paraId="1061DC8F" w14:textId="67F2A56F" w:rsidR="006146F2" w:rsidRPr="00287B72" w:rsidRDefault="00287B72" w:rsidP="00287B72">
      <w:pPr>
        <w:tabs>
          <w:tab w:val="left" w:pos="3374"/>
        </w:tabs>
        <w:jc w:val="right"/>
        <w:rPr>
          <w:rFonts w:ascii="Arial" w:eastAsia="Calibri" w:hAnsi="Arial" w:cs="Arial"/>
          <w:color w:val="000000" w:themeColor="text1"/>
          <w:sz w:val="22"/>
        </w:rPr>
      </w:pPr>
      <w:r w:rsidRPr="00287B72">
        <w:rPr>
          <w:rFonts w:ascii="Arial" w:hAnsi="Arial" w:cs="Arial"/>
          <w:b/>
          <w:bCs/>
          <w:color w:val="000000" w:themeColor="text1"/>
          <w:sz w:val="22"/>
        </w:rPr>
        <w:t>N° Radicado: 2202013000002450</w:t>
      </w:r>
      <w:r w:rsidR="006146F2" w:rsidRPr="00287B72">
        <w:rPr>
          <w:rFonts w:ascii="Arial" w:eastAsia="Calibri" w:hAnsi="Arial" w:cs="Arial"/>
          <w:color w:val="000000" w:themeColor="text1"/>
          <w:sz w:val="22"/>
        </w:rPr>
        <w:tab/>
      </w:r>
    </w:p>
    <w:p w14:paraId="65F74750" w14:textId="77777777" w:rsidR="008D15BE" w:rsidRDefault="008D15BE" w:rsidP="006146F2">
      <w:pPr>
        <w:rPr>
          <w:rFonts w:ascii="Arial" w:eastAsia="Calibri" w:hAnsi="Arial" w:cs="Arial"/>
          <w:color w:val="000000" w:themeColor="text1"/>
          <w:sz w:val="22"/>
        </w:rPr>
      </w:pPr>
    </w:p>
    <w:p w14:paraId="3BFADC09" w14:textId="77777777" w:rsidR="008D15BE" w:rsidRDefault="008D15BE" w:rsidP="006146F2">
      <w:pPr>
        <w:rPr>
          <w:rFonts w:ascii="Arial" w:eastAsia="Calibri" w:hAnsi="Arial" w:cs="Arial"/>
          <w:color w:val="000000" w:themeColor="text1"/>
          <w:sz w:val="22"/>
        </w:rPr>
      </w:pPr>
    </w:p>
    <w:p w14:paraId="15570F3A" w14:textId="5A77AB7E" w:rsidR="006146F2" w:rsidRPr="00287B72" w:rsidRDefault="006146F2" w:rsidP="006146F2">
      <w:pPr>
        <w:rPr>
          <w:rFonts w:ascii="Arial" w:eastAsia="Calibri" w:hAnsi="Arial" w:cs="Arial"/>
          <w:color w:val="000000" w:themeColor="text1"/>
          <w:sz w:val="22"/>
        </w:rPr>
      </w:pPr>
      <w:r w:rsidRPr="00287B72">
        <w:rPr>
          <w:rFonts w:ascii="Arial" w:eastAsia="Calibri" w:hAnsi="Arial" w:cs="Arial"/>
          <w:color w:val="000000" w:themeColor="text1"/>
          <w:sz w:val="22"/>
        </w:rPr>
        <w:t>Señora</w:t>
      </w:r>
    </w:p>
    <w:p w14:paraId="47EFDD2A" w14:textId="77777777" w:rsidR="006146F2" w:rsidRPr="00287B72" w:rsidRDefault="006146F2" w:rsidP="006146F2">
      <w:pPr>
        <w:rPr>
          <w:rFonts w:ascii="Arial" w:eastAsia="Calibri" w:hAnsi="Arial" w:cs="Arial"/>
          <w:b/>
          <w:color w:val="000000" w:themeColor="text1"/>
          <w:sz w:val="22"/>
        </w:rPr>
      </w:pPr>
      <w:r w:rsidRPr="00287B72">
        <w:rPr>
          <w:rFonts w:ascii="Arial" w:eastAsia="Calibri" w:hAnsi="Arial" w:cs="Arial"/>
          <w:b/>
          <w:color w:val="000000" w:themeColor="text1"/>
          <w:sz w:val="22"/>
        </w:rPr>
        <w:t>Julie Ximena Rueda Montes</w:t>
      </w:r>
    </w:p>
    <w:p w14:paraId="58047DD5" w14:textId="77777777" w:rsidR="006146F2" w:rsidRPr="00287B72" w:rsidRDefault="006146F2" w:rsidP="006146F2">
      <w:pPr>
        <w:rPr>
          <w:rFonts w:ascii="Arial" w:eastAsia="Calibri" w:hAnsi="Arial" w:cs="Arial"/>
          <w:color w:val="000000" w:themeColor="text1"/>
          <w:sz w:val="22"/>
        </w:rPr>
      </w:pPr>
      <w:r w:rsidRPr="00287B72">
        <w:rPr>
          <w:rFonts w:ascii="Arial" w:eastAsia="Calibri" w:hAnsi="Arial" w:cs="Arial"/>
          <w:color w:val="000000" w:themeColor="text1"/>
          <w:sz w:val="22"/>
        </w:rPr>
        <w:t>Ciudad</w:t>
      </w:r>
    </w:p>
    <w:p w14:paraId="7C8CF710" w14:textId="77777777" w:rsidR="008D15BE" w:rsidRDefault="008D15BE" w:rsidP="006146F2">
      <w:pPr>
        <w:jc w:val="center"/>
        <w:rPr>
          <w:rFonts w:ascii="Arial" w:eastAsia="Calibri" w:hAnsi="Arial" w:cs="Arial"/>
          <w:b/>
          <w:color w:val="000000" w:themeColor="text1"/>
          <w:sz w:val="22"/>
        </w:rPr>
      </w:pPr>
    </w:p>
    <w:p w14:paraId="5E25EFF5" w14:textId="77777777" w:rsidR="008D15BE" w:rsidRDefault="008D15BE" w:rsidP="006146F2">
      <w:pPr>
        <w:jc w:val="center"/>
        <w:rPr>
          <w:rFonts w:ascii="Arial" w:eastAsia="Calibri" w:hAnsi="Arial" w:cs="Arial"/>
          <w:b/>
          <w:color w:val="000000" w:themeColor="text1"/>
          <w:sz w:val="22"/>
        </w:rPr>
      </w:pPr>
    </w:p>
    <w:p w14:paraId="3F5C2B99" w14:textId="46EF1C85" w:rsidR="006146F2" w:rsidRPr="00287B72" w:rsidRDefault="006146F2" w:rsidP="006146F2">
      <w:pPr>
        <w:jc w:val="center"/>
        <w:rPr>
          <w:rFonts w:ascii="Arial" w:eastAsia="Calibri" w:hAnsi="Arial" w:cs="Arial"/>
          <w:b/>
          <w:color w:val="000000" w:themeColor="text1"/>
          <w:sz w:val="22"/>
        </w:rPr>
      </w:pPr>
      <w:r w:rsidRPr="00287B72">
        <w:rPr>
          <w:rFonts w:ascii="Arial" w:eastAsia="Calibri" w:hAnsi="Arial" w:cs="Arial"/>
          <w:b/>
          <w:color w:val="000000" w:themeColor="text1"/>
          <w:sz w:val="22"/>
        </w:rPr>
        <w:t>Concepto C ─ 170 de 2020</w:t>
      </w:r>
    </w:p>
    <w:p w14:paraId="4E01508B" w14:textId="70737B71" w:rsidR="006146F2" w:rsidRDefault="006146F2" w:rsidP="006146F2">
      <w:pPr>
        <w:rPr>
          <w:rFonts w:ascii="Arial" w:eastAsia="Calibri" w:hAnsi="Arial" w:cs="Arial"/>
          <w:color w:val="000000" w:themeColor="text1"/>
          <w:sz w:val="22"/>
        </w:rPr>
      </w:pPr>
    </w:p>
    <w:p w14:paraId="28607E90" w14:textId="77777777" w:rsidR="008D15BE" w:rsidRPr="00287B72" w:rsidRDefault="008D15BE" w:rsidP="006146F2">
      <w:pPr>
        <w:rPr>
          <w:rFonts w:ascii="Arial" w:eastAsia="Calibri" w:hAnsi="Arial" w:cs="Arial"/>
          <w:color w:val="000000" w:themeColor="text1"/>
          <w:sz w:val="22"/>
        </w:rPr>
      </w:pPr>
    </w:p>
    <w:tbl>
      <w:tblPr>
        <w:tblStyle w:val="Tablaconcuadrcula"/>
        <w:tblW w:w="8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36"/>
        <w:gridCol w:w="6114"/>
      </w:tblGrid>
      <w:tr w:rsidR="00287B72" w:rsidRPr="00287B72" w14:paraId="73B8B91F" w14:textId="77777777" w:rsidTr="00287B72">
        <w:trPr>
          <w:trHeight w:val="1064"/>
        </w:trPr>
        <w:tc>
          <w:tcPr>
            <w:tcW w:w="2636" w:type="dxa"/>
            <w:hideMark/>
          </w:tcPr>
          <w:p w14:paraId="237BB4AC" w14:textId="77777777" w:rsidR="006146F2" w:rsidRPr="00287B72" w:rsidRDefault="006146F2" w:rsidP="00A12492">
            <w:pPr>
              <w:rPr>
                <w:rFonts w:ascii="Arial" w:eastAsia="Calibri" w:hAnsi="Arial" w:cs="Arial"/>
                <w:color w:val="000000" w:themeColor="text1"/>
                <w:sz w:val="22"/>
              </w:rPr>
            </w:pPr>
            <w:r w:rsidRPr="00287B72">
              <w:rPr>
                <w:rFonts w:ascii="Arial" w:eastAsia="Calibri" w:hAnsi="Arial" w:cs="Arial"/>
                <w:b/>
                <w:color w:val="000000" w:themeColor="text1"/>
                <w:sz w:val="22"/>
              </w:rPr>
              <w:t>Temas:</w:t>
            </w:r>
            <w:r w:rsidRPr="00287B72">
              <w:rPr>
                <w:rFonts w:ascii="Arial" w:eastAsia="Calibri" w:hAnsi="Arial" w:cs="Arial"/>
                <w:color w:val="000000" w:themeColor="text1"/>
                <w:sz w:val="22"/>
              </w:rPr>
              <w:t xml:space="preserve">           </w:t>
            </w:r>
          </w:p>
          <w:p w14:paraId="5BCEEB98" w14:textId="77777777" w:rsidR="006146F2" w:rsidRPr="00287B72" w:rsidRDefault="006146F2" w:rsidP="00A12492">
            <w:pPr>
              <w:rPr>
                <w:rFonts w:ascii="Arial" w:eastAsia="Calibri" w:hAnsi="Arial" w:cs="Arial"/>
                <w:color w:val="000000" w:themeColor="text1"/>
                <w:sz w:val="22"/>
              </w:rPr>
            </w:pPr>
            <w:r w:rsidRPr="00287B72">
              <w:rPr>
                <w:rFonts w:ascii="Arial" w:eastAsia="Calibri" w:hAnsi="Arial" w:cs="Arial"/>
                <w:color w:val="000000" w:themeColor="text1"/>
                <w:sz w:val="22"/>
              </w:rPr>
              <w:t xml:space="preserve">                           </w:t>
            </w:r>
          </w:p>
        </w:tc>
        <w:tc>
          <w:tcPr>
            <w:tcW w:w="6114" w:type="dxa"/>
            <w:hideMark/>
          </w:tcPr>
          <w:p w14:paraId="2C312081" w14:textId="77777777" w:rsidR="006146F2" w:rsidRPr="00287B72" w:rsidRDefault="006146F2" w:rsidP="00A12492">
            <w:pPr>
              <w:jc w:val="both"/>
              <w:rPr>
                <w:rFonts w:ascii="Arial" w:eastAsia="Calibri" w:hAnsi="Arial" w:cs="Arial"/>
                <w:color w:val="000000" w:themeColor="text1"/>
                <w:sz w:val="22"/>
              </w:rPr>
            </w:pPr>
            <w:r w:rsidRPr="00287B72">
              <w:rPr>
                <w:rFonts w:ascii="Arial" w:eastAsia="Calibri" w:hAnsi="Arial" w:cs="Arial"/>
                <w:color w:val="000000" w:themeColor="text1"/>
                <w:sz w:val="22"/>
              </w:rPr>
              <w:t>CONTRATO ESTATAL – Requisitos de perfeccionamiento y ejecución – Diferencia / PUBLICIDAD – Obligación – SECOP / SECOP II – Funcionamiento – SECOP I – Diferencia – Contrato electrónico</w:t>
            </w:r>
          </w:p>
        </w:tc>
      </w:tr>
      <w:tr w:rsidR="00287B72" w:rsidRPr="00287B72" w14:paraId="12CD6A77" w14:textId="77777777" w:rsidTr="00287B72">
        <w:trPr>
          <w:trHeight w:val="262"/>
        </w:trPr>
        <w:tc>
          <w:tcPr>
            <w:tcW w:w="2636" w:type="dxa"/>
          </w:tcPr>
          <w:p w14:paraId="10A2C650" w14:textId="77777777" w:rsidR="006146F2" w:rsidRPr="00287B72" w:rsidRDefault="006146F2" w:rsidP="00A12492">
            <w:pPr>
              <w:rPr>
                <w:rFonts w:ascii="Arial" w:eastAsia="Calibri" w:hAnsi="Arial" w:cs="Arial"/>
                <w:b/>
                <w:color w:val="000000" w:themeColor="text1"/>
                <w:sz w:val="22"/>
              </w:rPr>
            </w:pPr>
            <w:r w:rsidRPr="00287B72">
              <w:rPr>
                <w:rFonts w:ascii="Arial" w:eastAsia="Calibri" w:hAnsi="Arial" w:cs="Arial"/>
                <w:b/>
                <w:color w:val="000000" w:themeColor="text1"/>
                <w:sz w:val="22"/>
              </w:rPr>
              <w:t>Radicación:</w:t>
            </w:r>
            <w:r w:rsidRPr="00287B72">
              <w:rPr>
                <w:rFonts w:ascii="Arial" w:eastAsia="Calibri" w:hAnsi="Arial" w:cs="Arial"/>
                <w:color w:val="000000" w:themeColor="text1"/>
                <w:sz w:val="22"/>
              </w:rPr>
              <w:t xml:space="preserve">                              </w:t>
            </w:r>
          </w:p>
        </w:tc>
        <w:tc>
          <w:tcPr>
            <w:tcW w:w="6114" w:type="dxa"/>
          </w:tcPr>
          <w:p w14:paraId="4F9E9BD7" w14:textId="77777777" w:rsidR="006146F2" w:rsidRPr="00287B72" w:rsidRDefault="006146F2" w:rsidP="00A12492">
            <w:pPr>
              <w:jc w:val="both"/>
              <w:rPr>
                <w:rFonts w:ascii="Arial" w:eastAsia="Calibri" w:hAnsi="Arial" w:cs="Arial"/>
                <w:color w:val="000000" w:themeColor="text1"/>
                <w:sz w:val="22"/>
              </w:rPr>
            </w:pPr>
            <w:r w:rsidRPr="00287B72">
              <w:rPr>
                <w:rFonts w:ascii="Arial" w:eastAsia="Calibri" w:hAnsi="Arial" w:cs="Arial"/>
                <w:color w:val="000000" w:themeColor="text1"/>
                <w:sz w:val="22"/>
              </w:rPr>
              <w:t>Respuesta a consulta # 4202012000001363</w:t>
            </w:r>
          </w:p>
        </w:tc>
      </w:tr>
    </w:tbl>
    <w:p w14:paraId="6D7A0529" w14:textId="77777777" w:rsidR="006146F2" w:rsidRPr="00287B72" w:rsidRDefault="006146F2" w:rsidP="006146F2">
      <w:pPr>
        <w:jc w:val="both"/>
        <w:rPr>
          <w:rFonts w:ascii="Arial" w:eastAsia="Calibri" w:hAnsi="Arial" w:cs="Arial"/>
          <w:color w:val="000000" w:themeColor="text1"/>
          <w:sz w:val="22"/>
        </w:rPr>
      </w:pPr>
    </w:p>
    <w:p w14:paraId="7D24DCFE" w14:textId="77777777" w:rsidR="006146F2" w:rsidRPr="00287B72" w:rsidRDefault="006146F2" w:rsidP="006146F2">
      <w:pPr>
        <w:rPr>
          <w:rFonts w:ascii="Arial" w:eastAsia="Calibri" w:hAnsi="Arial" w:cs="Arial"/>
          <w:color w:val="000000" w:themeColor="text1"/>
          <w:sz w:val="22"/>
        </w:rPr>
      </w:pPr>
    </w:p>
    <w:p w14:paraId="0A3EFA15" w14:textId="77777777" w:rsidR="006146F2" w:rsidRPr="00287B72" w:rsidRDefault="006146F2" w:rsidP="006146F2">
      <w:pPr>
        <w:rPr>
          <w:rFonts w:ascii="Arial" w:eastAsia="Calibri" w:hAnsi="Arial" w:cs="Arial"/>
          <w:color w:val="000000" w:themeColor="text1"/>
          <w:sz w:val="22"/>
        </w:rPr>
      </w:pPr>
      <w:r w:rsidRPr="00287B72">
        <w:rPr>
          <w:rFonts w:ascii="Arial" w:eastAsia="Calibri" w:hAnsi="Arial" w:cs="Arial"/>
          <w:color w:val="000000" w:themeColor="text1"/>
          <w:sz w:val="22"/>
        </w:rPr>
        <w:t>Estimada señora Rueda,</w:t>
      </w:r>
    </w:p>
    <w:p w14:paraId="2D0CAA35" w14:textId="77777777" w:rsidR="006146F2" w:rsidRPr="00287B72" w:rsidRDefault="006146F2" w:rsidP="006146F2">
      <w:pPr>
        <w:rPr>
          <w:rFonts w:ascii="Arial" w:eastAsia="Calibri" w:hAnsi="Arial" w:cs="Arial"/>
          <w:color w:val="000000" w:themeColor="text1"/>
          <w:sz w:val="22"/>
        </w:rPr>
      </w:pPr>
    </w:p>
    <w:p w14:paraId="59EA7E08" w14:textId="77777777" w:rsidR="006146F2" w:rsidRPr="00287B72" w:rsidRDefault="006146F2" w:rsidP="006146F2">
      <w:pPr>
        <w:spacing w:line="276" w:lineRule="auto"/>
        <w:ind w:right="49"/>
        <w:jc w:val="both"/>
        <w:rPr>
          <w:rFonts w:ascii="Arial" w:eastAsia="Calibri" w:hAnsi="Arial" w:cs="Arial"/>
          <w:color w:val="000000" w:themeColor="text1"/>
          <w:sz w:val="22"/>
        </w:rPr>
      </w:pPr>
      <w:r w:rsidRPr="00287B72">
        <w:rPr>
          <w:rFonts w:ascii="Arial" w:eastAsia="Calibri" w:hAnsi="Arial" w:cs="Arial"/>
          <w:color w:val="000000" w:themeColor="text1"/>
          <w:sz w:val="22"/>
        </w:rPr>
        <w:t xml:space="preserve">La Agencia Nacional de Contratación Pública - Colombia Compra Eficiente responde su consulta del 24 de febrero de 2020, en ejercicio de la competencia otorgada por el numeral 8 del artículo 11 y el numeral 5 del artículo 3 del Decreto Ley 4170 de 2011. </w:t>
      </w:r>
    </w:p>
    <w:p w14:paraId="13F1DD63" w14:textId="77777777" w:rsidR="006146F2" w:rsidRPr="00287B72" w:rsidRDefault="006146F2" w:rsidP="006146F2">
      <w:pPr>
        <w:spacing w:line="276" w:lineRule="auto"/>
        <w:jc w:val="both"/>
        <w:rPr>
          <w:rFonts w:ascii="Arial" w:eastAsia="Calibri" w:hAnsi="Arial" w:cs="Arial"/>
          <w:color w:val="000000" w:themeColor="text1"/>
          <w:sz w:val="22"/>
        </w:rPr>
      </w:pPr>
    </w:p>
    <w:p w14:paraId="40C6E8B2" w14:textId="77777777" w:rsidR="006146F2" w:rsidRPr="00287B72" w:rsidRDefault="006146F2" w:rsidP="006146F2">
      <w:pPr>
        <w:tabs>
          <w:tab w:val="left" w:pos="284"/>
        </w:tabs>
        <w:spacing w:line="276" w:lineRule="auto"/>
        <w:jc w:val="both"/>
        <w:rPr>
          <w:rFonts w:ascii="Arial" w:eastAsia="Calibri" w:hAnsi="Arial" w:cs="Arial"/>
          <w:b/>
          <w:color w:val="000000" w:themeColor="text1"/>
          <w:sz w:val="22"/>
        </w:rPr>
      </w:pPr>
      <w:r w:rsidRPr="00287B72">
        <w:rPr>
          <w:rFonts w:ascii="Arial" w:eastAsia="Calibri" w:hAnsi="Arial" w:cs="Arial"/>
          <w:b/>
          <w:color w:val="000000" w:themeColor="text1"/>
          <w:sz w:val="22"/>
        </w:rPr>
        <w:t xml:space="preserve">1. Problema planteado </w:t>
      </w:r>
    </w:p>
    <w:p w14:paraId="29D9C451" w14:textId="77777777" w:rsidR="006146F2" w:rsidRPr="00287B72" w:rsidRDefault="006146F2" w:rsidP="006146F2">
      <w:pPr>
        <w:tabs>
          <w:tab w:val="left" w:pos="426"/>
        </w:tabs>
        <w:spacing w:line="276" w:lineRule="auto"/>
        <w:jc w:val="both"/>
        <w:rPr>
          <w:rFonts w:ascii="Arial" w:eastAsia="Calibri" w:hAnsi="Arial" w:cs="Arial"/>
          <w:b/>
          <w:color w:val="000000" w:themeColor="text1"/>
          <w:sz w:val="22"/>
        </w:rPr>
      </w:pPr>
    </w:p>
    <w:p w14:paraId="36015E9F" w14:textId="5F1CFEEC" w:rsidR="006146F2" w:rsidRPr="00287B72" w:rsidRDefault="006146F2" w:rsidP="006146F2">
      <w:pPr>
        <w:tabs>
          <w:tab w:val="left" w:pos="426"/>
        </w:tabs>
        <w:spacing w:line="276" w:lineRule="auto"/>
        <w:jc w:val="both"/>
        <w:rPr>
          <w:rFonts w:ascii="Arial" w:eastAsia="Calibri" w:hAnsi="Arial" w:cs="Arial"/>
          <w:color w:val="000000" w:themeColor="text1"/>
          <w:sz w:val="22"/>
        </w:rPr>
      </w:pPr>
      <w:r w:rsidRPr="00287B72">
        <w:rPr>
          <w:rFonts w:ascii="Arial" w:eastAsia="Calibri" w:hAnsi="Arial" w:cs="Arial"/>
          <w:color w:val="000000" w:themeColor="text1"/>
          <w:sz w:val="22"/>
        </w:rPr>
        <w:t>Usted realiza la siguiente pregunta: ¿una entidad debe cargar un documento escrito con el clausulado del contrato en SECOP II, a pesar de existir el contrato electrónico?</w:t>
      </w:r>
    </w:p>
    <w:p w14:paraId="70C958B7" w14:textId="77777777" w:rsidR="006146F2" w:rsidRPr="00287B72" w:rsidRDefault="006146F2" w:rsidP="006146F2">
      <w:pPr>
        <w:tabs>
          <w:tab w:val="left" w:pos="426"/>
        </w:tabs>
        <w:spacing w:line="276" w:lineRule="auto"/>
        <w:jc w:val="both"/>
        <w:rPr>
          <w:rFonts w:ascii="Arial" w:eastAsia="Calibri" w:hAnsi="Arial" w:cs="Arial"/>
          <w:color w:val="000000" w:themeColor="text1"/>
          <w:sz w:val="22"/>
        </w:rPr>
      </w:pPr>
    </w:p>
    <w:p w14:paraId="775D5625" w14:textId="77777777" w:rsidR="006146F2" w:rsidRPr="00287B72" w:rsidRDefault="006146F2" w:rsidP="006146F2">
      <w:pPr>
        <w:tabs>
          <w:tab w:val="left" w:pos="426"/>
        </w:tabs>
        <w:spacing w:line="276" w:lineRule="auto"/>
        <w:jc w:val="both"/>
        <w:rPr>
          <w:rFonts w:ascii="Arial" w:eastAsia="Calibri" w:hAnsi="Arial" w:cs="Arial"/>
          <w:b/>
          <w:color w:val="000000" w:themeColor="text1"/>
          <w:sz w:val="22"/>
        </w:rPr>
      </w:pPr>
      <w:r w:rsidRPr="00287B72">
        <w:rPr>
          <w:rFonts w:ascii="Arial" w:eastAsia="Calibri" w:hAnsi="Arial" w:cs="Arial"/>
          <w:b/>
          <w:color w:val="000000" w:themeColor="text1"/>
          <w:sz w:val="22"/>
        </w:rPr>
        <w:t>2. Consideraciones</w:t>
      </w:r>
    </w:p>
    <w:p w14:paraId="52BEB869" w14:textId="77777777" w:rsidR="006146F2" w:rsidRPr="00287B72" w:rsidRDefault="006146F2" w:rsidP="006146F2">
      <w:pPr>
        <w:tabs>
          <w:tab w:val="left" w:pos="426"/>
        </w:tabs>
        <w:spacing w:line="276" w:lineRule="auto"/>
        <w:jc w:val="both"/>
        <w:rPr>
          <w:rFonts w:ascii="Arial" w:eastAsia="Calibri" w:hAnsi="Arial" w:cs="Arial"/>
          <w:b/>
          <w:color w:val="000000" w:themeColor="text1"/>
          <w:sz w:val="22"/>
        </w:rPr>
      </w:pPr>
    </w:p>
    <w:p w14:paraId="79B56E6E" w14:textId="77777777" w:rsidR="006146F2" w:rsidRPr="00287B72" w:rsidRDefault="006146F2" w:rsidP="006146F2">
      <w:pPr>
        <w:tabs>
          <w:tab w:val="left" w:pos="426"/>
        </w:tabs>
        <w:spacing w:line="276" w:lineRule="auto"/>
        <w:jc w:val="both"/>
        <w:rPr>
          <w:rFonts w:ascii="Arial" w:eastAsia="Calibri" w:hAnsi="Arial" w:cs="Arial"/>
          <w:b/>
          <w:color w:val="000000" w:themeColor="text1"/>
          <w:sz w:val="22"/>
        </w:rPr>
      </w:pPr>
      <w:r w:rsidRPr="00287B72">
        <w:rPr>
          <w:rFonts w:ascii="Arial" w:eastAsia="Calibri" w:hAnsi="Arial" w:cs="Arial"/>
          <w:b/>
          <w:color w:val="000000" w:themeColor="text1"/>
          <w:sz w:val="22"/>
        </w:rPr>
        <w:t>2.1. Requisitos de perfeccionamiento y ejecución del contrato</w:t>
      </w:r>
    </w:p>
    <w:p w14:paraId="405A6D71" w14:textId="77777777" w:rsidR="006146F2" w:rsidRPr="00287B72" w:rsidRDefault="006146F2" w:rsidP="006146F2">
      <w:pPr>
        <w:tabs>
          <w:tab w:val="left" w:pos="426"/>
        </w:tabs>
        <w:spacing w:line="276" w:lineRule="auto"/>
        <w:jc w:val="both"/>
        <w:rPr>
          <w:rFonts w:ascii="Arial" w:eastAsia="Calibri" w:hAnsi="Arial" w:cs="Arial"/>
          <w:b/>
          <w:color w:val="000000" w:themeColor="text1"/>
          <w:sz w:val="22"/>
        </w:rPr>
      </w:pPr>
    </w:p>
    <w:p w14:paraId="68256F13" w14:textId="77777777" w:rsidR="006146F2" w:rsidRPr="00287B72" w:rsidRDefault="006146F2" w:rsidP="006146F2">
      <w:pPr>
        <w:spacing w:after="120" w:line="276" w:lineRule="auto"/>
        <w:jc w:val="both"/>
        <w:rPr>
          <w:rFonts w:ascii="Arial" w:eastAsia="Calibri" w:hAnsi="Arial" w:cs="Arial"/>
          <w:color w:val="000000" w:themeColor="text1"/>
          <w:sz w:val="22"/>
        </w:rPr>
      </w:pPr>
      <w:r w:rsidRPr="00287B72">
        <w:rPr>
          <w:rFonts w:ascii="Arial" w:hAnsi="Arial" w:cs="Arial"/>
          <w:color w:val="000000" w:themeColor="text1"/>
          <w:sz w:val="22"/>
        </w:rPr>
        <w:t xml:space="preserve">La Agencia Nacional de Contratación Pública - Colombia Compra Eficiente, </w:t>
      </w:r>
      <w:r w:rsidRPr="00287B72">
        <w:rPr>
          <w:rFonts w:ascii="Arial" w:eastAsia="Calibri" w:hAnsi="Arial" w:cs="Arial"/>
          <w:color w:val="000000" w:themeColor="text1"/>
          <w:sz w:val="22"/>
        </w:rPr>
        <w:t xml:space="preserve">en el concepto con radicado No. 4201913000006907 del 23 de octubre de 2019, reiterado y desarrollado en el concepto C – 110 de 2020, estudió los requisitos para perfeccionar y ejecutar el contrato. La tesis desarrollada se expone a continuación: </w:t>
      </w:r>
    </w:p>
    <w:p w14:paraId="7F2322BC" w14:textId="77777777" w:rsidR="006146F2" w:rsidRPr="00287B72" w:rsidRDefault="006146F2" w:rsidP="006146F2">
      <w:pPr>
        <w:spacing w:after="120" w:line="276" w:lineRule="auto"/>
        <w:ind w:firstLine="708"/>
        <w:jc w:val="both"/>
        <w:rPr>
          <w:rFonts w:ascii="Arial" w:eastAsia="Calibri" w:hAnsi="Arial" w:cs="Arial"/>
          <w:color w:val="000000" w:themeColor="text1"/>
          <w:sz w:val="22"/>
        </w:rPr>
      </w:pPr>
      <w:r w:rsidRPr="00287B72">
        <w:rPr>
          <w:rFonts w:ascii="Arial" w:eastAsia="Calibri" w:hAnsi="Arial" w:cs="Arial"/>
          <w:color w:val="000000" w:themeColor="text1"/>
          <w:sz w:val="22"/>
        </w:rPr>
        <w:t>La Ley 80 de 1993, respecto del principio de economía, que brinda directrices relacionadas con las diferentes etapas de un procedimiento de compra pública, refleja dos aspectos que ocurren en la actividad contractual: i) la apertura del procedimiento y la suscripción del contrato y ii) la ejecución del contrato</w:t>
      </w:r>
      <w:r w:rsidRPr="00287B72">
        <w:rPr>
          <w:rStyle w:val="Refdenotaalpie"/>
          <w:rFonts w:ascii="Arial" w:eastAsia="Calibri" w:hAnsi="Arial" w:cs="Arial"/>
          <w:color w:val="000000" w:themeColor="text1"/>
          <w:sz w:val="22"/>
        </w:rPr>
        <w:footnoteReference w:id="1"/>
      </w:r>
      <w:r w:rsidRPr="00287B72">
        <w:rPr>
          <w:rFonts w:ascii="Arial" w:eastAsia="Calibri" w:hAnsi="Arial" w:cs="Arial"/>
          <w:color w:val="000000" w:themeColor="text1"/>
          <w:sz w:val="22"/>
        </w:rPr>
        <w:t>. Por tanto, para cada etapa del procedimiento, la ley prevé requisitos que deben cumplir la entidad y los oferentes o contratistas, según corresponda, con el fin de que mediante la contratación se satisfaga la necesidad que le dio origen.</w:t>
      </w:r>
    </w:p>
    <w:p w14:paraId="01F889A6" w14:textId="77777777" w:rsidR="006146F2" w:rsidRPr="00287B72" w:rsidRDefault="006146F2" w:rsidP="006146F2">
      <w:pPr>
        <w:spacing w:line="276" w:lineRule="auto"/>
        <w:ind w:firstLine="708"/>
        <w:jc w:val="both"/>
        <w:rPr>
          <w:rFonts w:ascii="Arial" w:eastAsia="Calibri" w:hAnsi="Arial" w:cs="Arial"/>
          <w:color w:val="000000" w:themeColor="text1"/>
          <w:sz w:val="22"/>
        </w:rPr>
      </w:pPr>
      <w:r w:rsidRPr="00287B72">
        <w:rPr>
          <w:rFonts w:ascii="Arial" w:eastAsia="Calibri" w:hAnsi="Arial" w:cs="Arial"/>
          <w:color w:val="000000" w:themeColor="text1"/>
          <w:sz w:val="22"/>
        </w:rPr>
        <w:t>Para resolver su consulta, hay que analizar el artículo 41 de la Ley 80 de 1993 sobre los requisitos de perfeccionamiento y ejecución del contrato</w:t>
      </w:r>
      <w:r w:rsidRPr="00287B72">
        <w:rPr>
          <w:rStyle w:val="Refdenotaalpie"/>
          <w:rFonts w:ascii="Arial" w:eastAsia="Calibri" w:hAnsi="Arial" w:cs="Arial"/>
          <w:color w:val="000000" w:themeColor="text1"/>
          <w:sz w:val="22"/>
        </w:rPr>
        <w:footnoteReference w:id="2"/>
      </w:r>
      <w:r w:rsidRPr="00287B72">
        <w:rPr>
          <w:rFonts w:ascii="Arial" w:eastAsia="Calibri" w:hAnsi="Arial" w:cs="Arial"/>
          <w:color w:val="000000" w:themeColor="text1"/>
          <w:sz w:val="22"/>
        </w:rPr>
        <w:t xml:space="preserve">. El inciso 1 enuncia </w:t>
      </w:r>
      <w:r w:rsidRPr="00287B72">
        <w:rPr>
          <w:rFonts w:ascii="Arial" w:eastAsia="Calibri" w:hAnsi="Arial" w:cs="Arial"/>
          <w:color w:val="000000" w:themeColor="text1"/>
          <w:sz w:val="22"/>
        </w:rPr>
        <w:lastRenderedPageBreak/>
        <w:t>los requisitos de perfeccionamiento, es decir, i) que exista acuerdo sobre el objeto, el precio, y ii) que conste por escrito. El Consejo de Estado se pronunció sobre la solemnidad del contrato estatal y la imposibilidad de modificarla por voluntad de sus destinatarios:</w:t>
      </w:r>
    </w:p>
    <w:p w14:paraId="36C568D1" w14:textId="77777777" w:rsidR="006146F2" w:rsidRPr="00287B72" w:rsidRDefault="006146F2" w:rsidP="006146F2">
      <w:pPr>
        <w:spacing w:line="276" w:lineRule="auto"/>
        <w:ind w:firstLine="708"/>
        <w:jc w:val="both"/>
        <w:rPr>
          <w:rFonts w:ascii="Arial" w:eastAsia="Calibri" w:hAnsi="Arial" w:cs="Arial"/>
          <w:color w:val="000000" w:themeColor="text1"/>
          <w:sz w:val="22"/>
        </w:rPr>
      </w:pPr>
    </w:p>
    <w:p w14:paraId="4E52E6A7" w14:textId="77777777" w:rsidR="006146F2" w:rsidRPr="00287B72" w:rsidRDefault="006146F2" w:rsidP="006146F2">
      <w:pPr>
        <w:ind w:left="709" w:right="709"/>
        <w:jc w:val="both"/>
        <w:rPr>
          <w:rFonts w:ascii="Arial" w:eastAsia="Calibri" w:hAnsi="Arial" w:cs="Arial"/>
          <w:color w:val="000000" w:themeColor="text1"/>
          <w:sz w:val="21"/>
          <w:szCs w:val="21"/>
        </w:rPr>
      </w:pPr>
      <w:r w:rsidRPr="00287B72">
        <w:rPr>
          <w:rFonts w:ascii="Arial" w:eastAsia="Calibri" w:hAnsi="Arial" w:cs="Arial"/>
          <w:color w:val="000000" w:themeColor="text1"/>
          <w:sz w:val="21"/>
          <w:szCs w:val="21"/>
        </w:rPr>
        <w:t>Pues bien,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esta hipótesis, la solemnidad del escrito se sujeta a la regla general expuesta. No se olvide que las normas que exigen solemnidades constitutivas son de orden público e imperativas y por lo tanto inmodificables e inderogables por el querer de sus destinatarios. En consecuencia, sus destinatarios, es decir todos los que pretendan intervenir en la celebración de un contrato estatal, tienen el deber de acatar la exigencia legal del escrito para perfeccionar</w:t>
      </w:r>
      <w:r w:rsidRPr="00287B72">
        <w:rPr>
          <w:rStyle w:val="Refdenotaalpie"/>
          <w:rFonts w:ascii="Arial" w:eastAsia="Calibri" w:hAnsi="Arial" w:cs="Arial"/>
          <w:color w:val="000000" w:themeColor="text1"/>
          <w:sz w:val="21"/>
          <w:szCs w:val="21"/>
        </w:rPr>
        <w:footnoteReference w:id="3"/>
      </w:r>
      <w:r w:rsidRPr="00287B72">
        <w:rPr>
          <w:rFonts w:ascii="Arial" w:eastAsia="Calibri" w:hAnsi="Arial" w:cs="Arial"/>
          <w:color w:val="000000" w:themeColor="text1"/>
          <w:sz w:val="21"/>
          <w:szCs w:val="21"/>
        </w:rPr>
        <w:t>.</w:t>
      </w:r>
    </w:p>
    <w:p w14:paraId="5D678582" w14:textId="77777777" w:rsidR="006146F2" w:rsidRPr="00287B72" w:rsidRDefault="006146F2" w:rsidP="006146F2">
      <w:pPr>
        <w:spacing w:line="276" w:lineRule="auto"/>
        <w:jc w:val="both"/>
        <w:rPr>
          <w:rFonts w:ascii="Arial" w:eastAsia="Calibri" w:hAnsi="Arial" w:cs="Arial"/>
          <w:color w:val="000000" w:themeColor="text1"/>
          <w:sz w:val="22"/>
        </w:rPr>
      </w:pPr>
    </w:p>
    <w:p w14:paraId="6779BB31" w14:textId="77777777" w:rsidR="006146F2" w:rsidRPr="00287B72" w:rsidRDefault="006146F2" w:rsidP="006146F2">
      <w:pPr>
        <w:spacing w:after="120" w:line="276" w:lineRule="auto"/>
        <w:ind w:firstLine="709"/>
        <w:jc w:val="both"/>
        <w:rPr>
          <w:rFonts w:ascii="Arial" w:eastAsia="Calibri" w:hAnsi="Arial" w:cs="Arial"/>
          <w:color w:val="000000" w:themeColor="text1"/>
          <w:sz w:val="22"/>
        </w:rPr>
      </w:pPr>
      <w:r w:rsidRPr="00287B72">
        <w:rPr>
          <w:rFonts w:ascii="Arial" w:eastAsia="Calibri" w:hAnsi="Arial" w:cs="Arial"/>
          <w:color w:val="000000" w:themeColor="text1"/>
          <w:sz w:val="22"/>
        </w:rPr>
        <w:t>De esta manera, la existencia y perfeccionamiento del contrato se producen cuando se cumplen los elementos esenciales y de solemnidad, sin que las partes puedan suprimir los requisitos legales para esto, ya que la autonomía de la voluntad no prevalece sobre las normas de orden público. Sin embargo, para establecer la diferencia con los requisitos para la ejecución del contrato, a continuación se expondrán las reglas y la jurisprudencia sobre el tema.</w:t>
      </w:r>
    </w:p>
    <w:p w14:paraId="440F4761" w14:textId="77777777" w:rsidR="006146F2" w:rsidRPr="00287B72" w:rsidRDefault="006146F2" w:rsidP="006146F2">
      <w:pPr>
        <w:spacing w:before="120" w:after="120" w:line="276" w:lineRule="auto"/>
        <w:ind w:firstLine="709"/>
        <w:jc w:val="both"/>
        <w:rPr>
          <w:rFonts w:ascii="Arial" w:eastAsia="Calibri" w:hAnsi="Arial" w:cs="Arial"/>
          <w:color w:val="000000" w:themeColor="text1"/>
          <w:sz w:val="22"/>
        </w:rPr>
      </w:pPr>
      <w:r w:rsidRPr="00287B72">
        <w:rPr>
          <w:rFonts w:ascii="Arial" w:eastAsia="Calibri" w:hAnsi="Arial" w:cs="Arial"/>
          <w:color w:val="000000" w:themeColor="text1"/>
          <w:sz w:val="22"/>
        </w:rPr>
        <w:t>El inciso 2 del artículo 41 de la Ley 80 de 1993 enuncia los requisitos de ejecución, y específicamente «la aprobación de la garantía». Estos requisitos los deben cumplir las partes antes de iniciar la ejecución del contrato: i) la aprobación de las garantías, ii) que el contratista esté al día en el pago de los aportes al Sistema de Seguridad Social Integral y iii) la existencia de disponibilidad presupuestal [registro presupuestal], salvo que se contrate con recursos de vigencias futuras. Ahora bien, en el marco de la autonomía de la voluntad las partes pueden establecer requisitos adicionales para iniciar la ejecución del contrato, tal es el caso de las actas de inicio, entre otros. El Consejo de Estado aclaró la diferencia entre el perfeccionamiento y la ejecución del contrato, de la siguiente manera:</w:t>
      </w:r>
    </w:p>
    <w:p w14:paraId="19322264" w14:textId="77777777" w:rsidR="006146F2" w:rsidRPr="00287B72" w:rsidRDefault="006146F2" w:rsidP="006146F2">
      <w:pPr>
        <w:ind w:left="709" w:right="709"/>
        <w:jc w:val="both"/>
        <w:rPr>
          <w:rFonts w:ascii="Arial" w:eastAsia="Calibri" w:hAnsi="Arial" w:cs="Arial"/>
          <w:color w:val="000000" w:themeColor="text1"/>
          <w:sz w:val="21"/>
          <w:szCs w:val="21"/>
        </w:rPr>
      </w:pPr>
      <w:r w:rsidRPr="00287B72">
        <w:rPr>
          <w:rFonts w:ascii="Arial" w:eastAsia="Calibri" w:hAnsi="Arial" w:cs="Arial"/>
          <w:color w:val="000000" w:themeColor="text1"/>
          <w:sz w:val="21"/>
          <w:szCs w:val="21"/>
        </w:rPr>
        <w:t xml:space="preserve">La Sala concluyó y ahora se reitera que i) la existencia del contrato no difiere de la perfección, esto es cumplidos los elementos esenciales que dan lugar al contrato no queda sino aceptar la relación jurídico contractual; ii) por virtud de lo dispuesto en la Ley 80 de 1993 el contrato estatal existe, esto es, “se perfecciona” cuando “se logra acuerdo sobre el objeto y la contraprestación y </w:t>
      </w:r>
      <w:r w:rsidRPr="00287B72">
        <w:rPr>
          <w:rFonts w:ascii="Arial" w:eastAsia="Calibri" w:hAnsi="Arial" w:cs="Arial"/>
          <w:color w:val="000000" w:themeColor="text1"/>
          <w:sz w:val="21"/>
          <w:szCs w:val="21"/>
        </w:rPr>
        <w:lastRenderedPageBreak/>
        <w:t>éste se eleve a escrito”; iii) es ejecutable cuando se cumplen las condiciones previstas en el inciso segundo del artículo 41 de la ley, interpretado en concordancia con lo dispuesto en el artículo 49 de la Ley 179 de 1994, compilado en el artículo 71 del Estatuto Orgánico de Presupuesto, Decreto Ley 111 de 1996 y iv) el requisito relativo al registro presupuestal no es una condición de existencia del contrato estatal, es un requisito de ejecución</w:t>
      </w:r>
      <w:r w:rsidRPr="00287B72">
        <w:rPr>
          <w:rStyle w:val="Refdenotaalpie"/>
          <w:rFonts w:ascii="Arial" w:eastAsia="Calibri" w:hAnsi="Arial" w:cs="Arial"/>
          <w:color w:val="000000" w:themeColor="text1"/>
          <w:sz w:val="22"/>
        </w:rPr>
        <w:footnoteReference w:id="4"/>
      </w:r>
      <w:r w:rsidRPr="00287B72">
        <w:rPr>
          <w:rFonts w:ascii="Arial" w:eastAsia="Calibri" w:hAnsi="Arial" w:cs="Arial"/>
          <w:color w:val="000000" w:themeColor="text1"/>
          <w:sz w:val="21"/>
          <w:szCs w:val="21"/>
        </w:rPr>
        <w:t>.</w:t>
      </w:r>
    </w:p>
    <w:p w14:paraId="335E1B1D" w14:textId="77777777" w:rsidR="006146F2" w:rsidRPr="00287B72" w:rsidRDefault="006146F2" w:rsidP="006146F2">
      <w:pPr>
        <w:spacing w:line="276" w:lineRule="auto"/>
        <w:jc w:val="both"/>
        <w:rPr>
          <w:rFonts w:ascii="Arial" w:eastAsia="Calibri" w:hAnsi="Arial" w:cs="Arial"/>
          <w:b/>
          <w:bCs/>
          <w:color w:val="000000" w:themeColor="text1"/>
          <w:sz w:val="22"/>
        </w:rPr>
      </w:pPr>
    </w:p>
    <w:p w14:paraId="3C42F7A2" w14:textId="77777777" w:rsidR="006146F2" w:rsidRPr="00287B72" w:rsidRDefault="006146F2" w:rsidP="006146F2">
      <w:pPr>
        <w:spacing w:after="120" w:line="276" w:lineRule="auto"/>
        <w:ind w:firstLine="709"/>
        <w:jc w:val="both"/>
        <w:rPr>
          <w:rFonts w:ascii="Arial" w:eastAsia="Calibri" w:hAnsi="Arial" w:cs="Arial"/>
          <w:color w:val="000000" w:themeColor="text1"/>
          <w:sz w:val="22"/>
        </w:rPr>
      </w:pPr>
      <w:r w:rsidRPr="00287B72">
        <w:rPr>
          <w:rFonts w:ascii="Arial" w:eastAsia="Calibri" w:hAnsi="Arial" w:cs="Arial"/>
          <w:color w:val="000000" w:themeColor="text1"/>
          <w:sz w:val="22"/>
        </w:rPr>
        <w:t>Se observa que la jurisprudencia asimila los conceptos de existencia y perfeccionamiento del contrato, pero no ocurre lo mismo con la ejecución, puesto que a pesar de estar regulados en la misma norma, se hace una clara diferenciación y se enlistan los requisitos para cada etapa del procedimiento, señalando que tanto la disponibilidad presupuestal, como estar al día con el Sistema de Seguridad Social Integral, como la aprobación de las garantías son propias de la ejecución del contrato.</w:t>
      </w:r>
    </w:p>
    <w:p w14:paraId="7022E25B" w14:textId="77777777" w:rsidR="006146F2" w:rsidRPr="00287B72" w:rsidRDefault="006146F2" w:rsidP="006146F2">
      <w:pPr>
        <w:spacing w:line="276" w:lineRule="auto"/>
        <w:ind w:firstLine="709"/>
        <w:jc w:val="both"/>
        <w:rPr>
          <w:rFonts w:ascii="Arial" w:eastAsia="Calibri" w:hAnsi="Arial" w:cs="Arial"/>
          <w:color w:val="000000" w:themeColor="text1"/>
          <w:sz w:val="22"/>
        </w:rPr>
      </w:pPr>
      <w:r w:rsidRPr="00287B72">
        <w:rPr>
          <w:rFonts w:ascii="Arial" w:eastAsia="Calibri" w:hAnsi="Arial" w:cs="Arial"/>
          <w:color w:val="000000" w:themeColor="text1"/>
          <w:sz w:val="22"/>
        </w:rPr>
        <w:t xml:space="preserve">De esta manera, con la regulación del contrato estatal citada y, particularmente, teniendo en cuenta los requisitos de su perfeccionamiento y ejecución, a continuación se explicará su cumplimiento a través de la plataforma SECOP II, mediante el contrato electrónico –lo cual es el objeto de su consulta–, con el fin de establecer el deber de la entidad de publicar sus procedimientos según las funcionalidades establecidas para esto. </w:t>
      </w:r>
    </w:p>
    <w:p w14:paraId="0552BB77" w14:textId="77777777" w:rsidR="006146F2" w:rsidRPr="00287B72" w:rsidRDefault="006146F2" w:rsidP="006146F2">
      <w:pPr>
        <w:spacing w:line="276" w:lineRule="auto"/>
        <w:ind w:firstLine="709"/>
        <w:jc w:val="both"/>
        <w:rPr>
          <w:rFonts w:ascii="Arial" w:eastAsia="Calibri" w:hAnsi="Arial" w:cs="Arial"/>
          <w:color w:val="000000" w:themeColor="text1"/>
          <w:sz w:val="22"/>
        </w:rPr>
      </w:pPr>
    </w:p>
    <w:p w14:paraId="51EE8831" w14:textId="77777777" w:rsidR="006146F2" w:rsidRPr="00287B72" w:rsidRDefault="006146F2" w:rsidP="006146F2">
      <w:pPr>
        <w:spacing w:line="276" w:lineRule="auto"/>
        <w:jc w:val="both"/>
        <w:rPr>
          <w:rFonts w:ascii="Arial" w:eastAsia="Calibri" w:hAnsi="Arial" w:cs="Arial"/>
          <w:b/>
          <w:color w:val="000000" w:themeColor="text1"/>
          <w:sz w:val="22"/>
        </w:rPr>
      </w:pPr>
      <w:r w:rsidRPr="00287B72">
        <w:rPr>
          <w:rFonts w:ascii="Arial" w:eastAsia="Calibri" w:hAnsi="Arial" w:cs="Arial"/>
          <w:b/>
          <w:bCs/>
          <w:color w:val="000000" w:themeColor="text1"/>
          <w:sz w:val="22"/>
        </w:rPr>
        <w:t xml:space="preserve">2.2. </w:t>
      </w:r>
      <w:r w:rsidRPr="00287B72">
        <w:rPr>
          <w:rFonts w:ascii="Arial" w:eastAsia="Calibri" w:hAnsi="Arial" w:cs="Arial"/>
          <w:b/>
          <w:color w:val="000000" w:themeColor="text1"/>
          <w:sz w:val="22"/>
        </w:rPr>
        <w:t>Procedimientos contractuales y su publicidad: deber de las entidades estatales</w:t>
      </w:r>
    </w:p>
    <w:p w14:paraId="46EB8FF9" w14:textId="77777777" w:rsidR="006146F2" w:rsidRPr="00287B72" w:rsidRDefault="006146F2" w:rsidP="006146F2">
      <w:pPr>
        <w:pStyle w:val="Prrafodelista"/>
        <w:spacing w:line="276" w:lineRule="auto"/>
        <w:ind w:left="360"/>
        <w:jc w:val="both"/>
        <w:rPr>
          <w:rFonts w:ascii="Arial" w:eastAsia="Calibri" w:hAnsi="Arial" w:cs="Arial"/>
          <w:b/>
          <w:color w:val="000000" w:themeColor="text1"/>
          <w:sz w:val="22"/>
        </w:rPr>
      </w:pPr>
    </w:p>
    <w:p w14:paraId="55FF2AEF" w14:textId="77777777" w:rsidR="006146F2" w:rsidRPr="00287B72" w:rsidRDefault="006146F2" w:rsidP="006146F2">
      <w:pPr>
        <w:spacing w:line="276" w:lineRule="auto"/>
        <w:jc w:val="both"/>
        <w:rPr>
          <w:rFonts w:ascii="Arial" w:eastAsia="Calibri" w:hAnsi="Arial" w:cs="Arial"/>
          <w:b/>
          <w:color w:val="000000" w:themeColor="text1"/>
          <w:sz w:val="22"/>
        </w:rPr>
      </w:pPr>
      <w:r w:rsidRPr="00287B72">
        <w:rPr>
          <w:rFonts w:ascii="Arial" w:eastAsia="Calibri" w:hAnsi="Arial" w:cs="Arial"/>
          <w:b/>
          <w:color w:val="000000" w:themeColor="text1"/>
          <w:sz w:val="22"/>
        </w:rPr>
        <w:t>a) Marco normativo</w:t>
      </w:r>
    </w:p>
    <w:p w14:paraId="391EE6BF" w14:textId="77777777" w:rsidR="006146F2" w:rsidRPr="00287B72" w:rsidRDefault="006146F2" w:rsidP="006146F2">
      <w:pPr>
        <w:spacing w:line="276" w:lineRule="auto"/>
        <w:jc w:val="both"/>
        <w:rPr>
          <w:rFonts w:ascii="Arial" w:eastAsia="Calibri" w:hAnsi="Arial" w:cs="Arial"/>
          <w:b/>
          <w:color w:val="000000" w:themeColor="text1"/>
          <w:sz w:val="22"/>
        </w:rPr>
      </w:pPr>
    </w:p>
    <w:p w14:paraId="7186F1A5" w14:textId="77777777" w:rsidR="006146F2" w:rsidRPr="00287B72" w:rsidRDefault="006146F2" w:rsidP="006146F2">
      <w:pPr>
        <w:spacing w:line="276" w:lineRule="auto"/>
        <w:jc w:val="both"/>
        <w:rPr>
          <w:rFonts w:ascii="Arial" w:eastAsia="Calibri" w:hAnsi="Arial" w:cs="Arial"/>
          <w:color w:val="000000" w:themeColor="text1"/>
          <w:sz w:val="22"/>
        </w:rPr>
      </w:pPr>
      <w:r w:rsidRPr="00287B72">
        <w:rPr>
          <w:rFonts w:ascii="Arial" w:eastAsia="Calibri" w:hAnsi="Arial" w:cs="Arial"/>
          <w:color w:val="000000" w:themeColor="text1"/>
          <w:sz w:val="22"/>
        </w:rPr>
        <w:t xml:space="preserve">La Agencia Nacional de Contratación Pública ― Colombia Compra Eficiente, en el concepto con radicado No. 4201912000007253 del 4 de diciembre de 2019, reiterado en el concepto con radicado No. 4201912000007289 de la misma fecha, estudió la publicidad de los procedimientos contractuales de las entidades en el SECOP. La tesis desarrollada se expone a continuación: </w:t>
      </w:r>
    </w:p>
    <w:p w14:paraId="60F132FD" w14:textId="77777777" w:rsidR="006146F2" w:rsidRPr="00287B72" w:rsidRDefault="006146F2" w:rsidP="006146F2">
      <w:pPr>
        <w:spacing w:before="120" w:after="120" w:line="276" w:lineRule="auto"/>
        <w:ind w:firstLine="708"/>
        <w:jc w:val="both"/>
        <w:rPr>
          <w:rFonts w:ascii="Arial" w:eastAsia="Calibri" w:hAnsi="Arial" w:cs="Arial"/>
          <w:color w:val="000000" w:themeColor="text1"/>
          <w:sz w:val="22"/>
        </w:rPr>
      </w:pPr>
      <w:r w:rsidRPr="00287B72">
        <w:rPr>
          <w:rFonts w:ascii="Arial" w:eastAsia="Calibri" w:hAnsi="Arial" w:cs="Arial"/>
          <w:color w:val="000000" w:themeColor="text1"/>
          <w:sz w:val="22"/>
        </w:rPr>
        <w:t>El procedimiento de contratación de las entidades es reglado, es decir, no es discrecional y se deben consultar las normas que lo rigen para determinar la forma que la ley prevé para adelantarlo. Por consiguiente, las principales normas son: la Ley 80 de 1993  ̶ Estatuto General de Contratación de la Administración Pública ̶ , la Ley 1150 de 2007, que regula las modalidades de selección para la escogencia del contratista, y el Decreto 1082 de 2015, que es reglamentario y concreta cada modalidad de selección, señalando las reglas o pasos a seguir para celebrar el contrato estatal</w:t>
      </w:r>
      <w:r w:rsidRPr="00287B72">
        <w:rPr>
          <w:rStyle w:val="Refdenotaalpie"/>
          <w:rFonts w:ascii="Arial" w:eastAsia="Calibri" w:hAnsi="Arial" w:cs="Arial"/>
          <w:color w:val="000000" w:themeColor="text1"/>
          <w:sz w:val="22"/>
        </w:rPr>
        <w:footnoteReference w:id="5"/>
      </w:r>
      <w:r w:rsidRPr="00287B72">
        <w:rPr>
          <w:rFonts w:ascii="Arial" w:eastAsia="Calibri" w:hAnsi="Arial" w:cs="Arial"/>
          <w:color w:val="000000" w:themeColor="text1"/>
          <w:sz w:val="22"/>
        </w:rPr>
        <w:t xml:space="preserve">. Por consiguiente, </w:t>
      </w:r>
      <w:r w:rsidRPr="00287B72">
        <w:rPr>
          <w:rFonts w:ascii="Arial" w:eastAsia="Calibri" w:hAnsi="Arial" w:cs="Arial"/>
          <w:color w:val="000000" w:themeColor="text1"/>
          <w:sz w:val="22"/>
        </w:rPr>
        <w:lastRenderedPageBreak/>
        <w:t>para que los documentos de la actividad contractual se conozcan la entidad debe publicarlos, sin importar la modalidad de selección utilizada. El parágrafo 2 del artículo 2 de la Ley 1150 de 2007</w:t>
      </w:r>
      <w:r w:rsidRPr="00287B72">
        <w:rPr>
          <w:rStyle w:val="Refdenotaalpie"/>
          <w:rFonts w:ascii="Arial" w:eastAsia="Calibri" w:hAnsi="Arial" w:cs="Arial"/>
          <w:color w:val="000000" w:themeColor="text1"/>
          <w:sz w:val="22"/>
        </w:rPr>
        <w:footnoteReference w:id="6"/>
      </w:r>
      <w:r w:rsidRPr="00287B72">
        <w:rPr>
          <w:rFonts w:ascii="Arial" w:eastAsia="Calibri" w:hAnsi="Arial" w:cs="Arial"/>
          <w:color w:val="000000" w:themeColor="text1"/>
          <w:sz w:val="22"/>
        </w:rPr>
        <w:t xml:space="preserve"> y el artículo 2.2.1.1.1.3.1. del Decreto 1082 de 2015 definen cuáles son esos documentos: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203DEB0E" w14:textId="77777777" w:rsidR="006146F2" w:rsidRPr="00287B72" w:rsidRDefault="006146F2" w:rsidP="006146F2">
      <w:pPr>
        <w:spacing w:before="120" w:after="120" w:line="276" w:lineRule="auto"/>
        <w:ind w:firstLine="708"/>
        <w:jc w:val="both"/>
        <w:rPr>
          <w:rFonts w:ascii="Arial" w:eastAsia="Calibri" w:hAnsi="Arial" w:cs="Arial"/>
          <w:color w:val="000000" w:themeColor="text1"/>
          <w:sz w:val="22"/>
        </w:rPr>
      </w:pPr>
      <w:r w:rsidRPr="00287B72">
        <w:rPr>
          <w:rFonts w:ascii="Arial" w:eastAsia="Calibri" w:hAnsi="Arial" w:cs="Arial"/>
          <w:color w:val="000000" w:themeColor="text1"/>
          <w:sz w:val="22"/>
        </w:rPr>
        <w:t>Sobre el deber de publicidad, el artículo 2.2.1.1.1.7.1. del Decreto 1082 de 2015 regula la publicidad en el SECOP, y el deber de las entidades de publicar en dicha plataforma los documentos que resulten de la actividad contractual</w:t>
      </w:r>
      <w:r w:rsidRPr="00287B72">
        <w:rPr>
          <w:rStyle w:val="Refdenotaalpie"/>
          <w:rFonts w:ascii="Arial" w:eastAsia="Calibri" w:hAnsi="Arial" w:cs="Arial"/>
          <w:color w:val="000000" w:themeColor="text1"/>
          <w:sz w:val="22"/>
        </w:rPr>
        <w:footnoteReference w:id="7"/>
      </w:r>
      <w:r w:rsidRPr="00287B72">
        <w:rPr>
          <w:rFonts w:ascii="Arial" w:eastAsia="Calibri" w:hAnsi="Arial" w:cs="Arial"/>
          <w:color w:val="000000" w:themeColor="text1"/>
          <w:sz w:val="22"/>
        </w:rPr>
        <w:t>, lo cual permite controlar las actuaciones y decisiones de la Administración y el cumplimiento de los demás principios de la contratación pública. Así lo confirma el Consejo de Estado, analizando el principio de publicidad:</w:t>
      </w:r>
    </w:p>
    <w:p w14:paraId="026F3515" w14:textId="77777777" w:rsidR="006146F2" w:rsidRPr="00287B72" w:rsidRDefault="006146F2" w:rsidP="006146F2">
      <w:pPr>
        <w:jc w:val="both"/>
        <w:rPr>
          <w:rFonts w:ascii="Arial" w:eastAsia="Calibri" w:hAnsi="Arial" w:cs="Arial"/>
          <w:color w:val="000000" w:themeColor="text1"/>
          <w:sz w:val="22"/>
        </w:rPr>
      </w:pPr>
    </w:p>
    <w:p w14:paraId="7F54148E" w14:textId="77777777" w:rsidR="006146F2" w:rsidRPr="00287B72" w:rsidRDefault="006146F2" w:rsidP="006146F2">
      <w:pPr>
        <w:ind w:left="708" w:right="680"/>
        <w:jc w:val="both"/>
        <w:rPr>
          <w:rFonts w:ascii="Arial" w:eastAsia="Calibri" w:hAnsi="Arial" w:cs="Arial"/>
          <w:color w:val="000000" w:themeColor="text1"/>
          <w:sz w:val="22"/>
        </w:rPr>
      </w:pPr>
      <w:r w:rsidRPr="00287B72">
        <w:rPr>
          <w:rFonts w:ascii="Arial" w:eastAsia="Calibri" w:hAnsi="Arial" w:cs="Arial"/>
          <w:color w:val="000000" w:themeColor="text1"/>
          <w:sz w:val="22"/>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w:t>
      </w:r>
      <w:r w:rsidRPr="00287B72">
        <w:rPr>
          <w:rFonts w:ascii="Arial" w:hAnsi="Arial" w:cs="Arial"/>
          <w:color w:val="000000" w:themeColor="text1"/>
          <w:sz w:val="22"/>
        </w:rPr>
        <w:t xml:space="preserve"> </w:t>
      </w:r>
      <w:r w:rsidRPr="00287B72">
        <w:rPr>
          <w:rFonts w:ascii="Arial" w:eastAsia="Calibri" w:hAnsi="Arial" w:cs="Arial"/>
          <w:color w:val="000000" w:themeColor="text1"/>
          <w:sz w:val="22"/>
        </w:rPr>
        <w:t>hacerlas saber a quiénes va dirigida, de manera que puedan ser obligatorias, controvertibles y controlables.</w:t>
      </w:r>
    </w:p>
    <w:p w14:paraId="57A5990D" w14:textId="77777777" w:rsidR="006146F2" w:rsidRPr="00287B72" w:rsidRDefault="006146F2" w:rsidP="006146F2">
      <w:pPr>
        <w:ind w:left="708" w:right="680"/>
        <w:jc w:val="both"/>
        <w:rPr>
          <w:rFonts w:ascii="Arial" w:eastAsia="Calibri" w:hAnsi="Arial" w:cs="Arial"/>
          <w:color w:val="000000" w:themeColor="text1"/>
          <w:sz w:val="22"/>
        </w:rPr>
      </w:pPr>
    </w:p>
    <w:p w14:paraId="06ED763F" w14:textId="77777777" w:rsidR="006146F2" w:rsidRPr="00287B72" w:rsidRDefault="006146F2" w:rsidP="006146F2">
      <w:pPr>
        <w:ind w:left="708" w:right="680"/>
        <w:jc w:val="both"/>
        <w:rPr>
          <w:rFonts w:ascii="Arial" w:eastAsia="Calibri" w:hAnsi="Arial" w:cs="Arial"/>
          <w:color w:val="000000" w:themeColor="text1"/>
          <w:sz w:val="22"/>
        </w:rPr>
      </w:pPr>
      <w:r w:rsidRPr="00287B72">
        <w:rPr>
          <w:rFonts w:ascii="Arial" w:eastAsia="Calibri" w:hAnsi="Arial" w:cs="Arial"/>
          <w:color w:val="000000" w:themeColor="text1"/>
          <w:sz w:val="22"/>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 Política).</w:t>
      </w:r>
    </w:p>
    <w:p w14:paraId="5EDDFF4A" w14:textId="77777777" w:rsidR="006146F2" w:rsidRPr="00287B72" w:rsidRDefault="006146F2" w:rsidP="006146F2">
      <w:pPr>
        <w:ind w:left="708" w:right="680"/>
        <w:jc w:val="both"/>
        <w:rPr>
          <w:rFonts w:ascii="Arial" w:eastAsia="Calibri" w:hAnsi="Arial" w:cs="Arial"/>
          <w:color w:val="000000" w:themeColor="text1"/>
          <w:sz w:val="22"/>
        </w:rPr>
      </w:pPr>
    </w:p>
    <w:p w14:paraId="0597A0C3" w14:textId="77777777" w:rsidR="006146F2" w:rsidRPr="00287B72" w:rsidRDefault="006146F2" w:rsidP="006146F2">
      <w:pPr>
        <w:ind w:left="708" w:right="680"/>
        <w:jc w:val="both"/>
        <w:rPr>
          <w:rFonts w:ascii="Arial" w:eastAsia="Calibri" w:hAnsi="Arial" w:cs="Arial"/>
          <w:color w:val="000000" w:themeColor="text1"/>
          <w:sz w:val="22"/>
        </w:rPr>
      </w:pPr>
      <w:r w:rsidRPr="00287B72">
        <w:rPr>
          <w:rFonts w:ascii="Arial" w:eastAsia="Calibri" w:hAnsi="Arial" w:cs="Arial"/>
          <w:color w:val="000000" w:themeColor="text1"/>
          <w:sz w:val="22"/>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287B72">
        <w:rPr>
          <w:rStyle w:val="Refdenotaalpie"/>
          <w:rFonts w:ascii="Arial" w:eastAsia="Calibri" w:hAnsi="Arial" w:cs="Arial"/>
          <w:color w:val="000000" w:themeColor="text1"/>
          <w:sz w:val="22"/>
        </w:rPr>
        <w:footnoteReference w:id="8"/>
      </w:r>
      <w:r w:rsidRPr="00287B72">
        <w:rPr>
          <w:rFonts w:ascii="Arial" w:eastAsia="Calibri" w:hAnsi="Arial" w:cs="Arial"/>
          <w:color w:val="000000" w:themeColor="text1"/>
          <w:sz w:val="22"/>
        </w:rPr>
        <w:t>.</w:t>
      </w:r>
    </w:p>
    <w:p w14:paraId="24FF1B61" w14:textId="77777777" w:rsidR="006146F2" w:rsidRPr="00287B72" w:rsidRDefault="006146F2" w:rsidP="006146F2">
      <w:pPr>
        <w:ind w:left="708" w:right="680"/>
        <w:jc w:val="both"/>
        <w:rPr>
          <w:rFonts w:ascii="Arial" w:eastAsia="Calibri" w:hAnsi="Arial" w:cs="Arial"/>
          <w:color w:val="000000" w:themeColor="text1"/>
          <w:sz w:val="22"/>
        </w:rPr>
      </w:pPr>
    </w:p>
    <w:p w14:paraId="69CA171A" w14:textId="77777777" w:rsidR="006146F2" w:rsidRPr="00287B72" w:rsidRDefault="006146F2" w:rsidP="006146F2">
      <w:pPr>
        <w:spacing w:line="276" w:lineRule="auto"/>
        <w:ind w:firstLine="709"/>
        <w:jc w:val="both"/>
        <w:rPr>
          <w:rFonts w:ascii="Arial" w:eastAsia="Calibri" w:hAnsi="Arial" w:cs="Arial"/>
          <w:color w:val="000000" w:themeColor="text1"/>
          <w:sz w:val="22"/>
        </w:rPr>
      </w:pPr>
      <w:r w:rsidRPr="00287B72">
        <w:rPr>
          <w:rFonts w:ascii="Arial" w:eastAsia="Calibri" w:hAnsi="Arial" w:cs="Arial"/>
          <w:color w:val="000000" w:themeColor="text1"/>
          <w:sz w:val="22"/>
        </w:rPr>
        <w:t xml:space="preserve">De acuerdo con esto, las entidades deben cumplir con el principio de publicidad respecto de su actividad contractual como garantía para los administrados, para conocer las actuaciones y participar en el control de estas. Por ende, el SECOP es la herramienta que dispuso el Estado para que las entidades cumplan el principio de publicidad, y la Agencia Nacional de Contratación Pública - Colombia Compra Eficiente, </w:t>
      </w:r>
      <w:bookmarkStart w:id="3" w:name="_Hlk22626097"/>
      <w:r w:rsidRPr="00287B72">
        <w:rPr>
          <w:rFonts w:ascii="Arial" w:eastAsia="Calibri" w:hAnsi="Arial" w:cs="Arial"/>
          <w:color w:val="000000" w:themeColor="text1"/>
          <w:sz w:val="22"/>
        </w:rPr>
        <w:t>mediante la Circular Externa No 1 de 21 de junio de 2013, recopilada en la Circular Externa Única</w:t>
      </w:r>
      <w:r w:rsidRPr="00287B72">
        <w:rPr>
          <w:rFonts w:eastAsia="Calibri"/>
          <w:color w:val="000000" w:themeColor="text1"/>
          <w:vertAlign w:val="superscript"/>
        </w:rPr>
        <w:footnoteReference w:id="9"/>
      </w:r>
      <w:r w:rsidRPr="00287B72">
        <w:rPr>
          <w:rFonts w:ascii="Arial" w:eastAsia="Calibri" w:hAnsi="Arial" w:cs="Arial"/>
          <w:color w:val="000000" w:themeColor="text1"/>
          <w:sz w:val="22"/>
        </w:rPr>
        <w:t>,</w:t>
      </w:r>
      <w:bookmarkEnd w:id="3"/>
      <w:r w:rsidRPr="00287B72">
        <w:rPr>
          <w:rFonts w:ascii="Arial" w:eastAsia="Calibri" w:hAnsi="Arial" w:cs="Arial"/>
          <w:color w:val="000000" w:themeColor="text1"/>
          <w:sz w:val="22"/>
        </w:rPr>
        <w:t xml:space="preserve"> recordó a todas las entidades del Estado el deber de publicar oportunamente su actividad contractual en el SECOP, sin que sea relevante para la exigencia de esta obligación su régimen jurídico, naturaleza pública o privada, o la pertenencia a una u otra rama del poder público. </w:t>
      </w:r>
    </w:p>
    <w:p w14:paraId="08E52980" w14:textId="77777777" w:rsidR="006146F2" w:rsidRPr="00287B72" w:rsidRDefault="006146F2" w:rsidP="006146F2">
      <w:pPr>
        <w:spacing w:line="276" w:lineRule="auto"/>
        <w:jc w:val="both"/>
        <w:rPr>
          <w:rFonts w:ascii="Arial" w:eastAsia="Calibri" w:hAnsi="Arial" w:cs="Arial"/>
          <w:color w:val="000000" w:themeColor="text1"/>
          <w:sz w:val="22"/>
        </w:rPr>
      </w:pPr>
    </w:p>
    <w:p w14:paraId="5A75B9F0" w14:textId="77777777" w:rsidR="006146F2" w:rsidRPr="00287B72" w:rsidRDefault="006146F2" w:rsidP="006146F2">
      <w:pPr>
        <w:spacing w:line="276" w:lineRule="auto"/>
        <w:jc w:val="both"/>
        <w:rPr>
          <w:rFonts w:ascii="Arial" w:eastAsia="Calibri" w:hAnsi="Arial" w:cs="Arial"/>
          <w:b/>
          <w:color w:val="000000" w:themeColor="text1"/>
          <w:sz w:val="22"/>
        </w:rPr>
      </w:pPr>
      <w:r w:rsidRPr="00287B72">
        <w:rPr>
          <w:rFonts w:ascii="Arial" w:eastAsia="Calibri" w:hAnsi="Arial" w:cs="Arial"/>
          <w:b/>
          <w:color w:val="000000" w:themeColor="text1"/>
          <w:sz w:val="22"/>
        </w:rPr>
        <w:t xml:space="preserve">2.3 El Sistema Electrónico de Contratación Pública – SECOP: transformación hacia la tecnología y los medios electrónicos </w:t>
      </w:r>
    </w:p>
    <w:p w14:paraId="716B0CFE" w14:textId="77777777" w:rsidR="006146F2" w:rsidRPr="00287B72" w:rsidRDefault="006146F2" w:rsidP="006146F2">
      <w:pPr>
        <w:spacing w:line="276" w:lineRule="auto"/>
        <w:jc w:val="both"/>
        <w:rPr>
          <w:rFonts w:ascii="Arial" w:eastAsia="Calibri" w:hAnsi="Arial" w:cs="Arial"/>
          <w:color w:val="000000" w:themeColor="text1"/>
          <w:sz w:val="22"/>
        </w:rPr>
      </w:pPr>
    </w:p>
    <w:p w14:paraId="32DE6030" w14:textId="77777777" w:rsidR="006146F2" w:rsidRPr="00287B72" w:rsidRDefault="006146F2" w:rsidP="006146F2">
      <w:pPr>
        <w:spacing w:after="120" w:line="276" w:lineRule="auto"/>
        <w:jc w:val="both"/>
        <w:rPr>
          <w:rFonts w:ascii="Arial" w:eastAsia="Calibri" w:hAnsi="Arial" w:cs="Arial"/>
          <w:color w:val="000000" w:themeColor="text1"/>
          <w:sz w:val="22"/>
        </w:rPr>
      </w:pPr>
      <w:r w:rsidRPr="00287B72">
        <w:rPr>
          <w:rFonts w:ascii="Arial" w:eastAsia="Calibri" w:hAnsi="Arial" w:cs="Arial"/>
          <w:color w:val="000000" w:themeColor="text1"/>
          <w:sz w:val="22"/>
        </w:rPr>
        <w:t xml:space="preserve">El artículo 3 de la Ley 1150 de 2007 señala que los actos relacionados con los procedimientos de contratación de las entidades pueden ser electrónicos, al igual que su publicidad, por lo que el Gobierno nacional debe definir los medios para llevarlo a cabo, y </w:t>
      </w:r>
      <w:r w:rsidRPr="00287B72">
        <w:rPr>
          <w:rFonts w:ascii="Arial" w:eastAsia="Calibri" w:hAnsi="Arial" w:cs="Arial"/>
          <w:color w:val="000000" w:themeColor="text1"/>
          <w:sz w:val="22"/>
        </w:rPr>
        <w:lastRenderedPageBreak/>
        <w:t>tiene la obligación de desarrollar el SECOP</w:t>
      </w:r>
      <w:r w:rsidRPr="00287B72">
        <w:rPr>
          <w:rStyle w:val="Refdenotaalpie"/>
          <w:rFonts w:ascii="Arial" w:eastAsia="Calibri" w:hAnsi="Arial" w:cs="Arial"/>
          <w:color w:val="000000" w:themeColor="text1"/>
          <w:sz w:val="22"/>
        </w:rPr>
        <w:footnoteReference w:id="10"/>
      </w:r>
      <w:r w:rsidRPr="00287B72">
        <w:rPr>
          <w:rFonts w:ascii="Arial" w:eastAsia="Calibri" w:hAnsi="Arial" w:cs="Arial"/>
          <w:color w:val="000000" w:themeColor="text1"/>
          <w:sz w:val="22"/>
        </w:rPr>
        <w:t>. Este sistema debe contar con la información 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p>
    <w:p w14:paraId="181CEB47" w14:textId="77777777" w:rsidR="006146F2" w:rsidRPr="00287B72" w:rsidRDefault="006146F2" w:rsidP="006146F2">
      <w:pPr>
        <w:spacing w:line="276" w:lineRule="auto"/>
        <w:ind w:firstLine="708"/>
        <w:jc w:val="both"/>
        <w:rPr>
          <w:rFonts w:ascii="Arial" w:eastAsia="Calibri" w:hAnsi="Arial" w:cs="Arial"/>
          <w:color w:val="000000" w:themeColor="text1"/>
          <w:sz w:val="22"/>
        </w:rPr>
      </w:pPr>
      <w:r w:rsidRPr="00287B72">
        <w:rPr>
          <w:rFonts w:ascii="Arial" w:eastAsia="Calibri" w:hAnsi="Arial" w:cs="Arial"/>
          <w:color w:val="000000" w:themeColor="text1"/>
          <w:sz w:val="22"/>
        </w:rPr>
        <w:t xml:space="preserve">La norma citada genera un cambio en la contratación pública, donde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 No obstante, la norma no impone como requisito que se deba publicar en el SECOP únicamente cuando se ejecuten recursos públicos, ya que el deber de publicidad es amplio, teniendo en cuenta que está consagrado en una norma que aplica a las entidades, esto es, que son ellas quienes deben publicar las actuaciones relacionadas con su actividad contractual, sin que sea relevante en el cumplimiento de este deber la ejecución o no de recursos públicos, a pesar de que cuando se ejecutan cobra mayor importancia que se cumpla el principio de publicidad, por involucrar un interés principal de la ciudadanía. </w:t>
      </w:r>
    </w:p>
    <w:p w14:paraId="287AD477" w14:textId="77777777" w:rsidR="006146F2" w:rsidRPr="00287B72" w:rsidRDefault="006146F2" w:rsidP="006146F2">
      <w:pPr>
        <w:spacing w:line="276" w:lineRule="auto"/>
        <w:ind w:firstLine="708"/>
        <w:jc w:val="both"/>
        <w:rPr>
          <w:rFonts w:ascii="Arial" w:eastAsia="Calibri" w:hAnsi="Arial" w:cs="Arial"/>
          <w:color w:val="000000" w:themeColor="text1"/>
          <w:sz w:val="22"/>
        </w:rPr>
      </w:pPr>
    </w:p>
    <w:p w14:paraId="0B35B2A0" w14:textId="77777777" w:rsidR="006146F2" w:rsidRPr="00287B72" w:rsidRDefault="006146F2" w:rsidP="006146F2">
      <w:pPr>
        <w:spacing w:line="276" w:lineRule="auto"/>
        <w:jc w:val="both"/>
        <w:rPr>
          <w:rFonts w:ascii="Arial" w:eastAsia="Calibri" w:hAnsi="Arial" w:cs="Arial"/>
          <w:b/>
          <w:color w:val="000000" w:themeColor="text1"/>
          <w:sz w:val="22"/>
          <w:lang w:val="es-ES"/>
        </w:rPr>
      </w:pPr>
      <w:r w:rsidRPr="00287B72">
        <w:rPr>
          <w:rFonts w:ascii="Arial" w:eastAsia="Calibri" w:hAnsi="Arial" w:cs="Arial"/>
          <w:b/>
          <w:color w:val="000000" w:themeColor="text1"/>
          <w:sz w:val="22"/>
          <w:lang w:val="es-ES"/>
        </w:rPr>
        <w:t>a) El SECOP II, su despliegue y utilización como plataforma electrónica transaccional</w:t>
      </w:r>
    </w:p>
    <w:p w14:paraId="26124BFD" w14:textId="77777777" w:rsidR="006146F2" w:rsidRPr="00287B72" w:rsidRDefault="006146F2" w:rsidP="006146F2">
      <w:pPr>
        <w:spacing w:line="276" w:lineRule="auto"/>
        <w:jc w:val="both"/>
        <w:rPr>
          <w:rFonts w:ascii="Arial" w:eastAsia="Calibri" w:hAnsi="Arial" w:cs="Arial"/>
          <w:b/>
          <w:color w:val="000000" w:themeColor="text1"/>
          <w:sz w:val="22"/>
          <w:lang w:val="es-ES"/>
        </w:rPr>
      </w:pPr>
    </w:p>
    <w:p w14:paraId="26F9F4AA" w14:textId="77777777" w:rsidR="006146F2" w:rsidRPr="00287B72" w:rsidRDefault="006146F2" w:rsidP="006146F2">
      <w:pPr>
        <w:spacing w:after="120" w:line="276" w:lineRule="auto"/>
        <w:jc w:val="both"/>
        <w:rPr>
          <w:rFonts w:ascii="Arial" w:eastAsia="Calibri" w:hAnsi="Arial" w:cs="Arial"/>
          <w:color w:val="000000" w:themeColor="text1"/>
          <w:sz w:val="22"/>
          <w:lang w:val="es-ES"/>
        </w:rPr>
      </w:pPr>
      <w:r w:rsidRPr="00287B72">
        <w:rPr>
          <w:rFonts w:ascii="Arial" w:eastAsia="Calibri" w:hAnsi="Arial" w:cs="Arial"/>
          <w:color w:val="000000" w:themeColor="text1"/>
          <w:sz w:val="22"/>
          <w:lang w:val="es-ES"/>
        </w:rPr>
        <w:lastRenderedPageBreak/>
        <w:t>La Agencia Nacional de Contratación Pública – Colombia Compra Eficiente tiene como función la administración del SECOP</w:t>
      </w:r>
      <w:r w:rsidRPr="00287B72">
        <w:rPr>
          <w:rStyle w:val="Refdenotaalpie"/>
          <w:rFonts w:ascii="Arial" w:eastAsia="Calibri" w:hAnsi="Arial" w:cs="Arial"/>
          <w:color w:val="000000" w:themeColor="text1"/>
          <w:sz w:val="22"/>
          <w:lang w:val="es-ES"/>
        </w:rPr>
        <w:footnoteReference w:id="11"/>
      </w:r>
      <w:r w:rsidRPr="00287B72">
        <w:rPr>
          <w:rFonts w:ascii="Arial" w:eastAsia="Calibri" w:hAnsi="Arial" w:cs="Arial"/>
          <w:color w:val="000000" w:themeColor="text1"/>
          <w:sz w:val="22"/>
          <w:lang w:val="es-ES"/>
        </w:rPr>
        <w:t>, por lo cual se desarrolló la primera versión  ̶ SECOP I ̶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5E2BE9BC" w14:textId="77777777" w:rsidR="006146F2" w:rsidRPr="00287B72" w:rsidRDefault="006146F2" w:rsidP="006146F2">
      <w:pPr>
        <w:spacing w:before="120" w:after="120" w:line="276" w:lineRule="auto"/>
        <w:ind w:firstLine="708"/>
        <w:jc w:val="both"/>
        <w:rPr>
          <w:rFonts w:ascii="Arial" w:eastAsia="Calibri" w:hAnsi="Arial" w:cs="Arial"/>
          <w:color w:val="000000" w:themeColor="text1"/>
          <w:sz w:val="22"/>
          <w:lang w:val="es-ES"/>
        </w:rPr>
      </w:pPr>
      <w:r w:rsidRPr="00287B72">
        <w:rPr>
          <w:rFonts w:ascii="Arial" w:eastAsia="Calibri" w:hAnsi="Arial" w:cs="Arial"/>
          <w:color w:val="000000" w:themeColor="text1"/>
          <w:sz w:val="22"/>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55B2B22E" w14:textId="77777777" w:rsidR="006146F2" w:rsidRPr="00287B72" w:rsidRDefault="006146F2" w:rsidP="006146F2">
      <w:pPr>
        <w:spacing w:before="120" w:after="120" w:line="276" w:lineRule="auto"/>
        <w:ind w:firstLine="708"/>
        <w:jc w:val="both"/>
        <w:rPr>
          <w:rFonts w:ascii="Arial" w:eastAsia="Calibri" w:hAnsi="Arial" w:cs="Arial"/>
          <w:color w:val="000000" w:themeColor="text1"/>
          <w:sz w:val="22"/>
          <w:lang w:val="es-ES"/>
        </w:rPr>
      </w:pPr>
      <w:r w:rsidRPr="00287B72">
        <w:rPr>
          <w:rFonts w:ascii="Arial" w:eastAsia="Calibri" w:hAnsi="Arial" w:cs="Arial"/>
          <w:color w:val="000000" w:themeColor="text1"/>
          <w:sz w:val="22"/>
          <w:lang w:val="es-ES"/>
        </w:rPr>
        <w:t>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w:t>
      </w:r>
    </w:p>
    <w:p w14:paraId="436A633B" w14:textId="77777777" w:rsidR="006146F2" w:rsidRPr="00287B72" w:rsidRDefault="006146F2" w:rsidP="006146F2">
      <w:pPr>
        <w:spacing w:line="276" w:lineRule="auto"/>
        <w:ind w:firstLine="708"/>
        <w:jc w:val="both"/>
        <w:rPr>
          <w:rFonts w:ascii="Arial" w:eastAsia="Calibri" w:hAnsi="Arial" w:cs="Arial"/>
          <w:color w:val="000000" w:themeColor="text1"/>
          <w:sz w:val="22"/>
          <w:lang w:val="es-ES"/>
        </w:rPr>
      </w:pPr>
      <w:r w:rsidRPr="00287B72">
        <w:rPr>
          <w:rFonts w:ascii="Arial" w:eastAsia="Calibri" w:hAnsi="Arial" w:cs="Arial"/>
          <w:color w:val="000000" w:themeColor="text1"/>
          <w:sz w:val="22"/>
          <w:lang w:val="es-ES"/>
        </w:rPr>
        <w:t>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que se publican para cumplir las obligaciones de las entidades antes señaladas. Al existir esa diferencia entre las dos versiones del SECOP, no es posible realizar en SECOP II actuaciones por escrito que son propias del SECOP I, sino que los documentos y actuaciones son electrónicas, como se ejemplificará a continuación.</w:t>
      </w:r>
    </w:p>
    <w:p w14:paraId="636DA413" w14:textId="77777777" w:rsidR="006146F2" w:rsidRPr="00287B72" w:rsidRDefault="006146F2" w:rsidP="006146F2">
      <w:pPr>
        <w:spacing w:line="276" w:lineRule="auto"/>
        <w:ind w:firstLine="708"/>
        <w:jc w:val="both"/>
        <w:rPr>
          <w:rFonts w:ascii="Arial" w:eastAsia="Calibri" w:hAnsi="Arial" w:cs="Arial"/>
          <w:color w:val="000000" w:themeColor="text1"/>
          <w:sz w:val="22"/>
          <w:lang w:val="es-ES"/>
        </w:rPr>
      </w:pPr>
    </w:p>
    <w:p w14:paraId="003C5E59" w14:textId="77777777" w:rsidR="006146F2" w:rsidRPr="00287B72" w:rsidRDefault="006146F2" w:rsidP="006146F2">
      <w:pPr>
        <w:spacing w:line="276" w:lineRule="auto"/>
        <w:jc w:val="both"/>
        <w:rPr>
          <w:rFonts w:ascii="Arial" w:eastAsia="Calibri" w:hAnsi="Arial" w:cs="Arial"/>
          <w:b/>
          <w:bCs/>
          <w:color w:val="000000" w:themeColor="text1"/>
          <w:sz w:val="22"/>
          <w:lang w:val="es-ES"/>
        </w:rPr>
      </w:pPr>
      <w:r w:rsidRPr="00287B72">
        <w:rPr>
          <w:rFonts w:ascii="Arial" w:eastAsia="Calibri" w:hAnsi="Arial" w:cs="Arial"/>
          <w:b/>
          <w:bCs/>
          <w:color w:val="000000" w:themeColor="text1"/>
          <w:sz w:val="22"/>
          <w:lang w:val="es-ES"/>
        </w:rPr>
        <w:t>i) Pliego de condiciones electrónico</w:t>
      </w:r>
    </w:p>
    <w:p w14:paraId="26FC2FF6" w14:textId="77777777" w:rsidR="006146F2" w:rsidRPr="00287B72" w:rsidRDefault="006146F2" w:rsidP="006146F2">
      <w:pPr>
        <w:spacing w:line="276" w:lineRule="auto"/>
        <w:jc w:val="both"/>
        <w:rPr>
          <w:rFonts w:ascii="Arial" w:eastAsia="Calibri" w:hAnsi="Arial" w:cs="Arial"/>
          <w:b/>
          <w:bCs/>
          <w:color w:val="000000" w:themeColor="text1"/>
          <w:sz w:val="22"/>
          <w:lang w:val="es-ES"/>
        </w:rPr>
      </w:pPr>
    </w:p>
    <w:p w14:paraId="33C8A99D" w14:textId="77777777" w:rsidR="006146F2" w:rsidRPr="00287B72" w:rsidRDefault="006146F2" w:rsidP="006146F2">
      <w:pPr>
        <w:spacing w:after="120" w:line="276" w:lineRule="auto"/>
        <w:jc w:val="both"/>
        <w:rPr>
          <w:rFonts w:ascii="Arial" w:eastAsia="Calibri" w:hAnsi="Arial" w:cs="Arial"/>
          <w:color w:val="000000" w:themeColor="text1"/>
          <w:sz w:val="22"/>
          <w:lang w:val="es-ES"/>
        </w:rPr>
      </w:pPr>
      <w:r w:rsidRPr="00287B72">
        <w:rPr>
          <w:rFonts w:ascii="Arial" w:eastAsia="Calibri" w:hAnsi="Arial" w:cs="Arial"/>
          <w:color w:val="000000" w:themeColor="text1"/>
          <w:sz w:val="22"/>
          <w:lang w:val="es-ES"/>
        </w:rPr>
        <w:t xml:space="preserve">En primer lugar, es posible referirse al pliego de condiciones que, en el SECOP II, es electrónico y está compuesto por: i) formulario y ii) documentos anexos que cargue la entidad. Después de elegir la modalidad de selección, el SECOP II crea el expediente </w:t>
      </w:r>
      <w:r w:rsidRPr="00287B72">
        <w:rPr>
          <w:rFonts w:ascii="Arial" w:eastAsia="Calibri" w:hAnsi="Arial" w:cs="Arial"/>
          <w:color w:val="000000" w:themeColor="text1"/>
          <w:sz w:val="22"/>
          <w:lang w:val="es-ES"/>
        </w:rPr>
        <w:lastRenderedPageBreak/>
        <w:t>electrónico del procedimiento y habilita la creación del pliego borrador electrónico. Este pliego electrónico es un formulario con seis secciones: i) información general, ii) configuración, iii) cuestionario, iv) evaluación, v) documentos del proceso y vi) documentos de la oferta.</w:t>
      </w:r>
    </w:p>
    <w:p w14:paraId="341FCB92" w14:textId="77777777" w:rsidR="006146F2" w:rsidRPr="00287B72" w:rsidRDefault="006146F2" w:rsidP="006146F2">
      <w:pPr>
        <w:spacing w:before="120" w:after="120" w:line="276" w:lineRule="auto"/>
        <w:ind w:firstLine="709"/>
        <w:jc w:val="both"/>
        <w:rPr>
          <w:rFonts w:ascii="Arial" w:eastAsia="Calibri" w:hAnsi="Arial" w:cs="Arial"/>
          <w:color w:val="000000" w:themeColor="text1"/>
          <w:sz w:val="22"/>
          <w:lang w:val="es-ES"/>
        </w:rPr>
      </w:pPr>
      <w:r w:rsidRPr="00287B72">
        <w:rPr>
          <w:rFonts w:ascii="Arial" w:eastAsia="Calibri" w:hAnsi="Arial" w:cs="Arial"/>
          <w:color w:val="000000" w:themeColor="text1"/>
          <w:sz w:val="22"/>
          <w:lang w:val="es-ES"/>
        </w:rPr>
        <w:t>Los formularios de los pliegos electrónicos abarcan la mayoría de los contenidos mínimos que debe contener un pliego de condiciones, con excepción del análisis de riesgos, las causales de rechazo, la minuta del contrato y la supervisión o interventoría, entre otros, los cuales, al igual que los demás componentes que la entidad considere conveniente incluir, en su autonomía contractual, pueden incluirse en la sección para adjuntar documentos.</w:t>
      </w:r>
    </w:p>
    <w:p w14:paraId="42D16A38" w14:textId="77777777" w:rsidR="006146F2" w:rsidRPr="00287B72" w:rsidRDefault="006146F2" w:rsidP="006146F2">
      <w:pPr>
        <w:spacing w:line="276" w:lineRule="auto"/>
        <w:ind w:firstLine="709"/>
        <w:jc w:val="both"/>
        <w:rPr>
          <w:rFonts w:ascii="Arial" w:eastAsia="Calibri" w:hAnsi="Arial" w:cs="Arial"/>
          <w:color w:val="000000" w:themeColor="text1"/>
          <w:sz w:val="22"/>
          <w:lang w:val="es-ES"/>
        </w:rPr>
      </w:pPr>
      <w:r w:rsidRPr="00287B72">
        <w:rPr>
          <w:rFonts w:ascii="Arial" w:eastAsia="Calibri" w:hAnsi="Arial" w:cs="Arial"/>
          <w:color w:val="000000" w:themeColor="text1"/>
          <w:sz w:val="22"/>
          <w:lang w:val="es-ES"/>
        </w:rPr>
        <w:t>En consecuencia, por el funcionamiento de la plataforma no es posible que exista un pliego de condiciones físico y que no se diligencie el formulario dispuesto en la plataforma, ya que sin esto el SECOP II no habilita el botón «ir a publicar», con el cual se crea formalmente el procedimiento y los interesados pueden conocerlo para presentar observaciones y su oferta. Esto significa que la publicación de un pliego de condiciones físico es bloqueante de las funcionalidades de la plataforma para crear el procedimiento en línea, y para su desarrollo en cumplimiento de la normativa de contratación pública, por lo cual el procedimiento no existiría en el SECOP II y no sería posible conocerlo; pero esto no implica que las entidades no puedan adjuntar los documentos que sean necesarios y que complementen el pliego de condiciones electrónico.</w:t>
      </w:r>
    </w:p>
    <w:p w14:paraId="76E4B970" w14:textId="77777777" w:rsidR="006146F2" w:rsidRPr="00287B72" w:rsidRDefault="006146F2" w:rsidP="006146F2">
      <w:pPr>
        <w:spacing w:line="276" w:lineRule="auto"/>
        <w:jc w:val="both"/>
        <w:rPr>
          <w:rFonts w:ascii="Arial" w:eastAsia="Calibri" w:hAnsi="Arial" w:cs="Arial"/>
          <w:b/>
          <w:bCs/>
          <w:color w:val="000000" w:themeColor="text1"/>
          <w:sz w:val="22"/>
          <w:lang w:val="es-ES"/>
        </w:rPr>
      </w:pPr>
    </w:p>
    <w:p w14:paraId="3FAAE863" w14:textId="77777777" w:rsidR="006146F2" w:rsidRPr="00287B72" w:rsidRDefault="006146F2" w:rsidP="006146F2">
      <w:pPr>
        <w:spacing w:line="276" w:lineRule="auto"/>
        <w:jc w:val="both"/>
        <w:rPr>
          <w:rFonts w:ascii="Arial" w:eastAsia="Calibri" w:hAnsi="Arial" w:cs="Arial"/>
          <w:b/>
          <w:bCs/>
          <w:color w:val="000000" w:themeColor="text1"/>
          <w:sz w:val="22"/>
          <w:lang w:val="es-ES"/>
        </w:rPr>
      </w:pPr>
      <w:r w:rsidRPr="00287B72">
        <w:rPr>
          <w:rFonts w:ascii="Arial" w:eastAsia="Calibri" w:hAnsi="Arial" w:cs="Arial"/>
          <w:b/>
          <w:bCs/>
          <w:color w:val="000000" w:themeColor="text1"/>
          <w:sz w:val="22"/>
          <w:lang w:val="es-ES"/>
        </w:rPr>
        <w:t>ii) Acta de cierre</w:t>
      </w:r>
    </w:p>
    <w:p w14:paraId="1AA1EA9E" w14:textId="77777777" w:rsidR="006146F2" w:rsidRPr="00287B72" w:rsidRDefault="006146F2" w:rsidP="006146F2">
      <w:pPr>
        <w:spacing w:line="276" w:lineRule="auto"/>
        <w:jc w:val="both"/>
        <w:rPr>
          <w:rFonts w:ascii="Arial" w:eastAsia="Calibri" w:hAnsi="Arial" w:cs="Arial"/>
          <w:b/>
          <w:bCs/>
          <w:color w:val="000000" w:themeColor="text1"/>
          <w:sz w:val="22"/>
          <w:lang w:val="es-ES"/>
        </w:rPr>
      </w:pPr>
    </w:p>
    <w:p w14:paraId="50B28245" w14:textId="77777777" w:rsidR="006146F2" w:rsidRPr="00287B72" w:rsidRDefault="006146F2" w:rsidP="006146F2">
      <w:pPr>
        <w:spacing w:after="120" w:line="276" w:lineRule="auto"/>
        <w:jc w:val="both"/>
        <w:rPr>
          <w:color w:val="000000" w:themeColor="text1"/>
        </w:rPr>
      </w:pPr>
      <w:r w:rsidRPr="00287B72">
        <w:rPr>
          <w:rFonts w:ascii="Arial" w:eastAsia="Calibri" w:hAnsi="Arial" w:cs="Arial"/>
          <w:color w:val="000000" w:themeColor="text1"/>
          <w:sz w:val="22"/>
          <w:lang w:val="es-ES"/>
        </w:rPr>
        <w:t>La etapa de apertura y evaluación de ofertas del expediente electrónico conformado en el SECOP II, se habilita cuando se cumple la fecha de cierre dispuesta en el cronograma que se configura en la plataforma. Una vez ocurrida esta fecha, el SECOP II permite abrir las ofertas, ingresando a la sección «lista de ofertas» del área de trabajo del Proceso, donde aparece el botón «Apertura de ofertas». La plataforma muestra un panel con las ofertas presentadas, y es necesario hacer clic en «Iniciar» y luego en «Abrir sobres» para que la plataforma desencripte las ofertas.</w:t>
      </w:r>
      <w:r w:rsidRPr="00287B72">
        <w:rPr>
          <w:color w:val="000000" w:themeColor="text1"/>
        </w:rPr>
        <w:t xml:space="preserve"> </w:t>
      </w:r>
    </w:p>
    <w:p w14:paraId="6B3C66DB" w14:textId="77777777" w:rsidR="006146F2" w:rsidRPr="00287B72" w:rsidRDefault="006146F2" w:rsidP="006146F2">
      <w:pPr>
        <w:spacing w:before="120" w:after="120" w:line="276" w:lineRule="auto"/>
        <w:ind w:firstLine="708"/>
        <w:jc w:val="both"/>
        <w:rPr>
          <w:rFonts w:ascii="Arial" w:eastAsia="Calibri" w:hAnsi="Arial" w:cs="Arial"/>
          <w:color w:val="000000" w:themeColor="text1"/>
          <w:sz w:val="22"/>
          <w:lang w:val="es-ES"/>
        </w:rPr>
      </w:pPr>
      <w:r w:rsidRPr="00287B72">
        <w:rPr>
          <w:rFonts w:ascii="Arial" w:eastAsia="Calibri" w:hAnsi="Arial" w:cs="Arial"/>
          <w:color w:val="000000" w:themeColor="text1"/>
          <w:sz w:val="22"/>
          <w:lang w:val="es-ES"/>
        </w:rPr>
        <w:t xml:space="preserve">Luego de abrir los sobres, la entidad debe publicar el acta de cierre que genera automáticamente la plataforma, haciendo clic en «Publicar lista de oferentes», y se abre una venta emergente con la lista de proveedores que presentaron oferta en el procedimiento y la fecha y hora de llegada de cada oferta; y, al dar clic en el botón «Actualizar/Publicar lista de oferentes», queda publicada el acta de cierre. De esta actuación no queda evidencia en el expediente electrónico, si se realiza con un acta de cierre escrita, ya que la plataforma no la tiene en cuenta por no corresponder con su funcionamiento. Como se estableció para el pliego de condiciones electrónico, existen secciones en el SECOP II para cargue de documentos escritos, lo cual no reemplaza la </w:t>
      </w:r>
      <w:r w:rsidRPr="00287B72">
        <w:rPr>
          <w:rFonts w:ascii="Arial" w:eastAsia="Calibri" w:hAnsi="Arial" w:cs="Arial"/>
          <w:color w:val="000000" w:themeColor="text1"/>
          <w:sz w:val="22"/>
          <w:lang w:val="es-ES"/>
        </w:rPr>
        <w:lastRenderedPageBreak/>
        <w:t>función dentro de la plataforma, sin la cual no existe la actuación que se haya realizado por escrito mediante el cargue de documentos.</w:t>
      </w:r>
    </w:p>
    <w:p w14:paraId="0742DEF1" w14:textId="77777777" w:rsidR="006146F2" w:rsidRPr="00287B72" w:rsidRDefault="006146F2" w:rsidP="006146F2">
      <w:pPr>
        <w:spacing w:before="120" w:line="276" w:lineRule="auto"/>
        <w:ind w:firstLine="708"/>
        <w:jc w:val="both"/>
        <w:rPr>
          <w:rFonts w:ascii="Arial" w:eastAsia="Calibri" w:hAnsi="Arial" w:cs="Arial"/>
          <w:color w:val="000000" w:themeColor="text1"/>
          <w:sz w:val="22"/>
          <w:lang w:val="es-ES"/>
        </w:rPr>
      </w:pPr>
      <w:r w:rsidRPr="00287B72">
        <w:rPr>
          <w:rFonts w:ascii="Arial" w:eastAsia="Calibri" w:hAnsi="Arial" w:cs="Arial"/>
          <w:color w:val="000000" w:themeColor="text1"/>
          <w:sz w:val="22"/>
          <w:lang w:val="es-ES"/>
        </w:rPr>
        <w:t>Al no utilizar el botón «Actualizar/Publicar lista de oferentes», esto no bloquea la continuidad del procedimiento en línea, pero no existirá trazabilidad en la plataforma de que se haya publicado el acta de cierre como lo exige la ley.</w:t>
      </w:r>
    </w:p>
    <w:p w14:paraId="2B6F6EF0" w14:textId="77777777" w:rsidR="006146F2" w:rsidRPr="00287B72" w:rsidRDefault="006146F2" w:rsidP="006146F2">
      <w:pPr>
        <w:spacing w:line="276" w:lineRule="auto"/>
        <w:ind w:firstLine="708"/>
        <w:jc w:val="both"/>
        <w:rPr>
          <w:rFonts w:ascii="Arial" w:eastAsia="Calibri" w:hAnsi="Arial" w:cs="Arial"/>
          <w:color w:val="000000" w:themeColor="text1"/>
          <w:sz w:val="22"/>
          <w:lang w:val="es-ES"/>
        </w:rPr>
      </w:pPr>
    </w:p>
    <w:p w14:paraId="6CFFA72E" w14:textId="77777777" w:rsidR="006146F2" w:rsidRPr="00287B72" w:rsidRDefault="006146F2" w:rsidP="006146F2">
      <w:pPr>
        <w:spacing w:line="276" w:lineRule="auto"/>
        <w:jc w:val="both"/>
        <w:rPr>
          <w:rFonts w:ascii="Arial" w:eastAsia="Calibri" w:hAnsi="Arial" w:cs="Arial"/>
          <w:b/>
          <w:bCs/>
          <w:color w:val="000000" w:themeColor="text1"/>
          <w:sz w:val="22"/>
          <w:lang w:val="es-ES"/>
        </w:rPr>
      </w:pPr>
      <w:r w:rsidRPr="00287B72">
        <w:rPr>
          <w:rFonts w:ascii="Arial" w:eastAsia="Calibri" w:hAnsi="Arial" w:cs="Arial"/>
          <w:b/>
          <w:bCs/>
          <w:color w:val="000000" w:themeColor="text1"/>
          <w:sz w:val="22"/>
          <w:lang w:val="es-ES"/>
        </w:rPr>
        <w:t>iii) Aprobación de las garantías</w:t>
      </w:r>
    </w:p>
    <w:p w14:paraId="26BD802E" w14:textId="77777777" w:rsidR="006146F2" w:rsidRPr="00287B72" w:rsidRDefault="006146F2" w:rsidP="006146F2">
      <w:pPr>
        <w:spacing w:line="276" w:lineRule="auto"/>
        <w:jc w:val="both"/>
        <w:rPr>
          <w:rFonts w:ascii="Arial" w:eastAsia="Calibri" w:hAnsi="Arial" w:cs="Arial"/>
          <w:color w:val="000000" w:themeColor="text1"/>
          <w:sz w:val="22"/>
          <w:lang w:val="es-ES"/>
        </w:rPr>
      </w:pPr>
    </w:p>
    <w:p w14:paraId="4EEB30EA" w14:textId="77777777" w:rsidR="006146F2" w:rsidRPr="00287B72" w:rsidRDefault="006146F2" w:rsidP="006146F2">
      <w:pPr>
        <w:spacing w:line="276" w:lineRule="auto"/>
        <w:jc w:val="both"/>
        <w:rPr>
          <w:rFonts w:ascii="Arial" w:eastAsia="Calibri" w:hAnsi="Arial" w:cs="Arial"/>
          <w:color w:val="000000" w:themeColor="text1"/>
          <w:sz w:val="22"/>
          <w:lang w:val="es-ES"/>
        </w:rPr>
      </w:pPr>
      <w:r w:rsidRPr="00287B72">
        <w:rPr>
          <w:rFonts w:ascii="Arial" w:eastAsia="Calibri" w:hAnsi="Arial" w:cs="Arial"/>
          <w:color w:val="000000" w:themeColor="text1"/>
          <w:sz w:val="22"/>
          <w:lang w:val="es-ES"/>
        </w:rPr>
        <w:t xml:space="preserve">De acuerdo con </w:t>
      </w:r>
      <w:r w:rsidRPr="00287B72">
        <w:rPr>
          <w:rFonts w:ascii="Arial" w:eastAsia="Calibri" w:hAnsi="Arial" w:cs="Arial"/>
          <w:color w:val="000000" w:themeColor="text1"/>
          <w:sz w:val="22"/>
        </w:rPr>
        <w:t>la Guía para hacer la gestión contractual en el SECOP II que expidió la Agencia</w:t>
      </w:r>
      <w:r w:rsidRPr="00287B72">
        <w:rPr>
          <w:rStyle w:val="Refdenotaalpie"/>
          <w:rFonts w:ascii="Arial" w:eastAsia="Calibri" w:hAnsi="Arial" w:cs="Arial"/>
          <w:color w:val="000000" w:themeColor="text1"/>
          <w:sz w:val="22"/>
        </w:rPr>
        <w:footnoteReference w:id="12"/>
      </w:r>
      <w:r w:rsidRPr="00287B72">
        <w:rPr>
          <w:rFonts w:ascii="Arial" w:eastAsia="Calibri" w:hAnsi="Arial" w:cs="Arial"/>
          <w:color w:val="000000" w:themeColor="text1"/>
          <w:sz w:val="22"/>
          <w:lang w:val="es-ES"/>
        </w:rPr>
        <w:t>, después de aprobar y publicar el contrato, el proveedor debe enviar el enlace del expediente del procedimiento contractual a la aseguradora, gestionar las garantías y enviarlas a través de la plataforma. El usuario encargado en la entidad puede aprobar o rechazar las garantías y publicarlas, ingresando a la opción «Contratos» y en el detalle se encuentra la sección de «Condiciones», y luego la de «Garantías del proveedor».</w:t>
      </w:r>
    </w:p>
    <w:p w14:paraId="2FC0506F" w14:textId="77777777" w:rsidR="006146F2" w:rsidRPr="00287B72" w:rsidRDefault="006146F2" w:rsidP="006146F2">
      <w:pPr>
        <w:spacing w:before="120" w:line="276" w:lineRule="auto"/>
        <w:ind w:firstLine="709"/>
        <w:jc w:val="both"/>
        <w:rPr>
          <w:rFonts w:ascii="Arial" w:eastAsia="Calibri" w:hAnsi="Arial" w:cs="Arial"/>
          <w:color w:val="000000" w:themeColor="text1"/>
          <w:sz w:val="22"/>
          <w:lang w:val="es-ES"/>
        </w:rPr>
      </w:pPr>
      <w:r w:rsidRPr="00287B72">
        <w:rPr>
          <w:rFonts w:ascii="Arial" w:eastAsia="Calibri" w:hAnsi="Arial" w:cs="Arial"/>
          <w:color w:val="000000" w:themeColor="text1"/>
          <w:sz w:val="22"/>
          <w:lang w:val="es-ES"/>
        </w:rPr>
        <w:t>La plataforma muestra las garantías en un listado y, al hacer clic en el botón «Detalle» de alguna de las garantías, el SECOP II abre una ventana emergente con los datos de la garantía y las opciones «aprobar» y «rechazar». Una vez seleccionada alguna de las opciones, el usuario encargado en la entidad da clic en «confirmar», ya que sin esto la garantía queda en estado «pendiente», lo cual no es bloqueante, y la entidad puede continuar gestionando el contrato en el expediente electrónico. No obstante, al no aprobar las garantías de acuerdo con el procedimiento establecido en el SECOP II, descrito anteriormente, no existirá trazabilidad en la plataforma del cumplimiento de este requisito de ejecución del contrato como lo exige la ley.</w:t>
      </w:r>
    </w:p>
    <w:p w14:paraId="073C9863" w14:textId="77777777" w:rsidR="006146F2" w:rsidRPr="00287B72" w:rsidRDefault="006146F2" w:rsidP="006146F2">
      <w:pPr>
        <w:spacing w:line="276" w:lineRule="auto"/>
        <w:jc w:val="both"/>
        <w:rPr>
          <w:rFonts w:ascii="Arial" w:eastAsia="Calibri" w:hAnsi="Arial" w:cs="Arial"/>
          <w:b/>
          <w:bCs/>
          <w:color w:val="000000" w:themeColor="text1"/>
          <w:sz w:val="22"/>
          <w:lang w:val="es-ES"/>
        </w:rPr>
      </w:pPr>
    </w:p>
    <w:p w14:paraId="3AAECB8E" w14:textId="77777777" w:rsidR="006146F2" w:rsidRPr="00287B72" w:rsidRDefault="006146F2" w:rsidP="006146F2">
      <w:pPr>
        <w:spacing w:line="276" w:lineRule="auto"/>
        <w:jc w:val="both"/>
        <w:rPr>
          <w:rFonts w:ascii="Arial" w:eastAsia="Calibri" w:hAnsi="Arial" w:cs="Arial"/>
          <w:b/>
          <w:bCs/>
          <w:color w:val="000000" w:themeColor="text1"/>
          <w:sz w:val="22"/>
          <w:lang w:val="es-ES"/>
        </w:rPr>
      </w:pPr>
      <w:r w:rsidRPr="00287B72">
        <w:rPr>
          <w:rFonts w:ascii="Arial" w:eastAsia="Calibri" w:hAnsi="Arial" w:cs="Arial"/>
          <w:b/>
          <w:bCs/>
          <w:color w:val="000000" w:themeColor="text1"/>
          <w:sz w:val="22"/>
          <w:lang w:val="es-ES"/>
        </w:rPr>
        <w:t>iv) Contrato electrónico</w:t>
      </w:r>
    </w:p>
    <w:p w14:paraId="5EC3EC43" w14:textId="77777777" w:rsidR="006146F2" w:rsidRPr="00287B72" w:rsidRDefault="006146F2" w:rsidP="006146F2">
      <w:pPr>
        <w:spacing w:line="276" w:lineRule="auto"/>
        <w:jc w:val="both"/>
        <w:rPr>
          <w:rFonts w:ascii="Arial" w:eastAsia="Calibri" w:hAnsi="Arial" w:cs="Arial"/>
          <w:color w:val="000000" w:themeColor="text1"/>
          <w:sz w:val="22"/>
          <w:lang w:val="es-ES"/>
        </w:rPr>
      </w:pPr>
    </w:p>
    <w:p w14:paraId="1D4BB2D7" w14:textId="77777777" w:rsidR="006146F2" w:rsidRPr="00287B72" w:rsidRDefault="006146F2" w:rsidP="006146F2">
      <w:pPr>
        <w:spacing w:after="120" w:line="276" w:lineRule="auto"/>
        <w:jc w:val="both"/>
        <w:rPr>
          <w:rFonts w:ascii="Arial" w:eastAsia="Calibri" w:hAnsi="Arial" w:cs="Arial"/>
          <w:color w:val="000000" w:themeColor="text1"/>
          <w:sz w:val="22"/>
          <w:lang w:val="es-ES"/>
        </w:rPr>
      </w:pPr>
      <w:r w:rsidRPr="00287B72">
        <w:rPr>
          <w:rFonts w:ascii="Arial" w:eastAsia="Calibri" w:hAnsi="Arial" w:cs="Arial"/>
          <w:color w:val="000000" w:themeColor="text1"/>
          <w:sz w:val="22"/>
          <w:lang w:val="es-ES"/>
        </w:rPr>
        <w:t xml:space="preserve">Después de que se adjudica el procedimiento en la plataforma y se carga el informe de selección, se da clic en «publicar» para que el SECOP II automáticamente cambie el estado del procedimiento a «adjudicado», con lo cual se genera el contrato electrónico en estado «en edición». La entidad debe buscar en la sección «contratos», el contrato electrónico para su configuración, dando clic en «editar», con lo cual se visualizan nueve secciones: i) información general, ii) condiciones, iii) bienes y servicios, iv) documentos del proveedor, v) documentos del contrato, vi) información presupuestal, vii) ejecución del contrato, viii) modificaciones del contrato y ix) incumplimientos. </w:t>
      </w:r>
    </w:p>
    <w:p w14:paraId="7C18962D" w14:textId="77777777" w:rsidR="006146F2" w:rsidRPr="00287B72" w:rsidRDefault="006146F2" w:rsidP="006146F2">
      <w:pPr>
        <w:spacing w:line="276" w:lineRule="auto"/>
        <w:ind w:firstLine="708"/>
        <w:jc w:val="both"/>
        <w:rPr>
          <w:rFonts w:ascii="Arial" w:eastAsia="Calibri" w:hAnsi="Arial" w:cs="Arial"/>
          <w:color w:val="000000" w:themeColor="text1"/>
          <w:sz w:val="22"/>
          <w:lang w:val="es-ES"/>
        </w:rPr>
      </w:pPr>
      <w:r w:rsidRPr="00287B72">
        <w:rPr>
          <w:rFonts w:ascii="Arial" w:eastAsia="Calibri" w:hAnsi="Arial" w:cs="Arial"/>
          <w:color w:val="000000" w:themeColor="text1"/>
          <w:sz w:val="22"/>
        </w:rPr>
        <w:t xml:space="preserve">La Guía para hacer la gestión contractual en el SECOP II de Colombia Compra Eficiente señala el contenido de cada sección del contrato electrónico y cómo debe ser diligenciado, y para resolver su consulta se enfatiza en la sección </w:t>
      </w:r>
      <w:r w:rsidRPr="00287B72">
        <w:rPr>
          <w:rFonts w:ascii="Arial" w:eastAsia="Calibri" w:hAnsi="Arial" w:cs="Arial"/>
          <w:color w:val="000000" w:themeColor="text1"/>
          <w:sz w:val="22"/>
          <w:lang w:val="es-ES"/>
        </w:rPr>
        <w:t xml:space="preserve">«v) documentos del </w:t>
      </w:r>
      <w:r w:rsidRPr="00287B72">
        <w:rPr>
          <w:rFonts w:ascii="Arial" w:eastAsia="Calibri" w:hAnsi="Arial" w:cs="Arial"/>
          <w:color w:val="000000" w:themeColor="text1"/>
          <w:sz w:val="22"/>
          <w:lang w:val="es-ES"/>
        </w:rPr>
        <w:lastRenderedPageBreak/>
        <w:t>contrato», donde la entidad debe cargar los documentos soporte del contrato y el clausulado. Sin embargo, al existir un contrato electrónico dentro de la plataforma este es válido y no es necesario cargar un documento escrito, ya que esta actuación no quedaría registrada como contrato por no utilizar el procedimiento dispuesto, y por tanto en la plataforma el procedimiento tendría el estado «adjudicado» y no «firmado», ya que en el SECOP II las actuaciones deben ser electrónicas y no escritas mediante el cargue de documentos, lo cual es propio del SECOP I. Para más información sobre el uso de SECOP II, le recomendamos que consulte nuestra página web http://www.colombiacompra.gov.co/secop/que-es-el-secop-ii</w:t>
      </w:r>
    </w:p>
    <w:p w14:paraId="564645C4" w14:textId="77777777" w:rsidR="006146F2" w:rsidRPr="00287B72" w:rsidRDefault="006146F2" w:rsidP="006146F2">
      <w:pPr>
        <w:spacing w:line="276" w:lineRule="auto"/>
        <w:ind w:firstLine="709"/>
        <w:jc w:val="both"/>
        <w:rPr>
          <w:rFonts w:ascii="Arial" w:eastAsia="Calibri" w:hAnsi="Arial" w:cs="Arial"/>
          <w:b/>
          <w:color w:val="000000" w:themeColor="text1"/>
          <w:sz w:val="22"/>
          <w:lang w:val="es-ES"/>
        </w:rPr>
      </w:pPr>
    </w:p>
    <w:p w14:paraId="60EF4F23" w14:textId="77777777" w:rsidR="006146F2" w:rsidRPr="00287B72" w:rsidRDefault="006146F2" w:rsidP="006146F2">
      <w:pPr>
        <w:pStyle w:val="Prrafodelista"/>
        <w:tabs>
          <w:tab w:val="left" w:pos="284"/>
        </w:tabs>
        <w:spacing w:line="276" w:lineRule="auto"/>
        <w:ind w:left="0"/>
        <w:jc w:val="both"/>
        <w:rPr>
          <w:rFonts w:ascii="Arial" w:eastAsia="Calibri" w:hAnsi="Arial" w:cs="Arial"/>
          <w:color w:val="000000" w:themeColor="text1"/>
          <w:sz w:val="22"/>
        </w:rPr>
      </w:pPr>
      <w:r w:rsidRPr="00287B72">
        <w:rPr>
          <w:rFonts w:ascii="Arial" w:eastAsia="Calibri" w:hAnsi="Arial" w:cs="Arial"/>
          <w:b/>
          <w:color w:val="000000" w:themeColor="text1"/>
          <w:sz w:val="22"/>
        </w:rPr>
        <w:t>3. Respuesta</w:t>
      </w:r>
    </w:p>
    <w:p w14:paraId="57BBD0DF" w14:textId="77777777" w:rsidR="006146F2" w:rsidRPr="00287B72" w:rsidRDefault="006146F2" w:rsidP="006146F2">
      <w:pPr>
        <w:spacing w:line="276" w:lineRule="auto"/>
        <w:ind w:left="709" w:right="709"/>
        <w:jc w:val="both"/>
        <w:rPr>
          <w:rFonts w:ascii="Arial" w:eastAsia="Calibri" w:hAnsi="Arial" w:cs="Arial"/>
          <w:iCs/>
          <w:color w:val="000000" w:themeColor="text1"/>
          <w:sz w:val="22"/>
        </w:rPr>
      </w:pPr>
    </w:p>
    <w:p w14:paraId="5B48EF13" w14:textId="77777777" w:rsidR="006146F2" w:rsidRPr="00287B72" w:rsidRDefault="006146F2" w:rsidP="006146F2">
      <w:pPr>
        <w:spacing w:line="276" w:lineRule="auto"/>
        <w:ind w:left="708" w:right="709"/>
        <w:jc w:val="both"/>
        <w:rPr>
          <w:rFonts w:ascii="Arial" w:eastAsia="Calibri" w:hAnsi="Arial" w:cs="Arial"/>
          <w:color w:val="000000" w:themeColor="text1"/>
          <w:sz w:val="22"/>
        </w:rPr>
      </w:pPr>
      <w:r w:rsidRPr="00287B72">
        <w:rPr>
          <w:rFonts w:ascii="Arial" w:eastAsia="Calibri" w:hAnsi="Arial" w:cs="Arial"/>
          <w:color w:val="000000" w:themeColor="text1"/>
          <w:sz w:val="22"/>
        </w:rPr>
        <w:t>¿Una entidad debe cargar un documento escrito con el clausulado del contrato en SECOP II, a pesar de existir el contrato electrónico?</w:t>
      </w:r>
    </w:p>
    <w:p w14:paraId="1808939B" w14:textId="77777777" w:rsidR="006146F2" w:rsidRPr="00287B72" w:rsidRDefault="006146F2" w:rsidP="006146F2">
      <w:pPr>
        <w:spacing w:line="276" w:lineRule="auto"/>
        <w:jc w:val="both"/>
        <w:rPr>
          <w:rFonts w:ascii="Arial" w:eastAsia="Calibri" w:hAnsi="Arial" w:cs="Arial"/>
          <w:color w:val="000000" w:themeColor="text1"/>
          <w:sz w:val="22"/>
        </w:rPr>
      </w:pPr>
    </w:p>
    <w:p w14:paraId="1C1363C6" w14:textId="77777777" w:rsidR="006146F2" w:rsidRPr="00287B72" w:rsidRDefault="006146F2" w:rsidP="006146F2">
      <w:pPr>
        <w:spacing w:line="276" w:lineRule="auto"/>
        <w:jc w:val="both"/>
        <w:rPr>
          <w:rFonts w:ascii="Arial" w:eastAsia="Calibri" w:hAnsi="Arial" w:cs="Arial"/>
          <w:color w:val="000000" w:themeColor="text1"/>
          <w:sz w:val="22"/>
        </w:rPr>
      </w:pPr>
      <w:r w:rsidRPr="00287B72">
        <w:rPr>
          <w:rFonts w:ascii="Arial" w:eastAsia="Calibri" w:hAnsi="Arial" w:cs="Arial"/>
          <w:color w:val="000000" w:themeColor="text1"/>
          <w:sz w:val="22"/>
        </w:rPr>
        <w:t>En el SECOP II, la entidad debe configurar el contrato de forma electrónica, como lo prevén las guías de uso de la plataforma, específicamente la Guía para hacer la gestión contractual en el SECOP II publicada por esta Agencia, por lo cual no se requiere realizar la actuación del cargue de documentos escritos, porque esto no es transaccional, lo cual significa que todas las actuaciones y documentos del procedimiento contractual deben ocurrir en línea, utilizando las funcionalidades dispuestas para ello. Sin embargo, en la sección «</w:t>
      </w:r>
      <w:r w:rsidRPr="00287B72">
        <w:rPr>
          <w:rFonts w:ascii="Arial" w:eastAsia="Calibri" w:hAnsi="Arial" w:cs="Arial"/>
          <w:color w:val="000000" w:themeColor="text1"/>
          <w:sz w:val="22"/>
          <w:lang w:val="es-ES"/>
        </w:rPr>
        <w:t>v) documentos del contrato» del contrato electrónico, la entidad puede cargar el clausulado del contrato, en caso de requerirlo, sin que este documento sea obligatorio dentro de la plataforma.</w:t>
      </w:r>
    </w:p>
    <w:p w14:paraId="7C943DD2" w14:textId="77777777" w:rsidR="006146F2" w:rsidRPr="00287B72" w:rsidRDefault="006146F2" w:rsidP="006146F2">
      <w:pPr>
        <w:spacing w:line="276" w:lineRule="auto"/>
        <w:jc w:val="both"/>
        <w:rPr>
          <w:rFonts w:ascii="Arial" w:eastAsia="Calibri" w:hAnsi="Arial" w:cs="Arial"/>
          <w:color w:val="000000" w:themeColor="text1"/>
          <w:sz w:val="22"/>
        </w:rPr>
      </w:pPr>
    </w:p>
    <w:p w14:paraId="5E149414" w14:textId="77777777" w:rsidR="006146F2" w:rsidRPr="00287B72" w:rsidRDefault="006146F2" w:rsidP="006146F2">
      <w:pPr>
        <w:spacing w:line="276" w:lineRule="auto"/>
        <w:jc w:val="both"/>
        <w:rPr>
          <w:rFonts w:ascii="Arial" w:eastAsia="Calibri" w:hAnsi="Arial" w:cs="Arial"/>
          <w:color w:val="000000" w:themeColor="text1"/>
          <w:sz w:val="22"/>
        </w:rPr>
      </w:pPr>
      <w:r w:rsidRPr="00287B72">
        <w:rPr>
          <w:rFonts w:ascii="Arial" w:eastAsia="Calibri" w:hAnsi="Arial" w:cs="Arial"/>
          <w:color w:val="000000" w:themeColor="text1"/>
          <w:sz w:val="22"/>
        </w:rPr>
        <w:t>Este concepto tiene el alcance previsto en el artículo 28 del Código de Procedimiento Administrativo y de lo Contencioso Administrativo.</w:t>
      </w:r>
    </w:p>
    <w:p w14:paraId="5681A798" w14:textId="77777777" w:rsidR="006146F2" w:rsidRPr="00287B72" w:rsidRDefault="006146F2" w:rsidP="006146F2">
      <w:pPr>
        <w:spacing w:line="276" w:lineRule="auto"/>
        <w:jc w:val="both"/>
        <w:rPr>
          <w:rFonts w:ascii="Arial" w:eastAsia="Calibri" w:hAnsi="Arial" w:cs="Arial"/>
          <w:color w:val="000000" w:themeColor="text1"/>
          <w:sz w:val="22"/>
        </w:rPr>
      </w:pPr>
    </w:p>
    <w:p w14:paraId="47075460" w14:textId="77777777" w:rsidR="006146F2" w:rsidRPr="00287B72" w:rsidRDefault="006146F2" w:rsidP="006146F2">
      <w:pPr>
        <w:jc w:val="both"/>
        <w:rPr>
          <w:rFonts w:ascii="Arial" w:eastAsia="Calibri" w:hAnsi="Arial" w:cs="Arial"/>
          <w:color w:val="000000" w:themeColor="text1"/>
          <w:sz w:val="22"/>
        </w:rPr>
      </w:pPr>
      <w:r w:rsidRPr="00287B72">
        <w:rPr>
          <w:noProof/>
          <w:color w:val="000000" w:themeColor="text1"/>
          <w:lang w:val="en-US"/>
        </w:rPr>
        <mc:AlternateContent>
          <mc:Choice Requires="wps">
            <w:drawing>
              <wp:anchor distT="0" distB="0" distL="114300" distR="114300" simplePos="0" relativeHeight="251658240" behindDoc="0" locked="0" layoutInCell="1" allowOverlap="1" wp14:anchorId="188CCC5E" wp14:editId="6C88FB6D">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F9A178E" id="Conector recto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7F3CBEC3" w14:textId="77777777" w:rsidR="006146F2" w:rsidRPr="00287B72" w:rsidRDefault="006146F2" w:rsidP="006146F2">
      <w:pPr>
        <w:rPr>
          <w:rFonts w:ascii="Arial" w:eastAsia="Times New Roman" w:hAnsi="Arial" w:cs="Arial"/>
          <w:color w:val="000000" w:themeColor="text1"/>
          <w:sz w:val="22"/>
          <w:lang w:eastAsia="es-CO"/>
        </w:rPr>
      </w:pPr>
      <w:bookmarkStart w:id="4" w:name="_Hlk34742031"/>
      <w:r w:rsidRPr="00287B72">
        <w:rPr>
          <w:rFonts w:ascii="Arial" w:eastAsia="Times New Roman" w:hAnsi="Arial" w:cs="Arial"/>
          <w:color w:val="000000" w:themeColor="text1"/>
          <w:sz w:val="22"/>
          <w:lang w:eastAsia="es-CO"/>
        </w:rPr>
        <w:t>Atentamente,</w:t>
      </w:r>
    </w:p>
    <w:p w14:paraId="586F4183" w14:textId="62F229B2" w:rsidR="006146F2" w:rsidRPr="00287B72" w:rsidRDefault="00D119B3" w:rsidP="006146F2">
      <w:pPr>
        <w:jc w:val="center"/>
        <w:rPr>
          <w:rFonts w:ascii="Arial" w:eastAsia="Times New Roman" w:hAnsi="Arial" w:cs="Arial"/>
          <w:color w:val="000000" w:themeColor="text1"/>
          <w:sz w:val="22"/>
          <w:lang w:eastAsia="es-CO"/>
        </w:rPr>
      </w:pPr>
      <w:r>
        <w:rPr>
          <w:noProof/>
          <w:lang w:val="en-US"/>
        </w:rPr>
        <w:drawing>
          <wp:inline distT="0" distB="0" distL="0" distR="0" wp14:anchorId="7F368F64" wp14:editId="6B27E796">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3F313667" w14:textId="77777777" w:rsidR="006146F2" w:rsidRPr="00287B72" w:rsidRDefault="006146F2" w:rsidP="006146F2">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87B72" w:rsidRPr="00287B72" w14:paraId="684E0619" w14:textId="77777777" w:rsidTr="00A12492">
        <w:trPr>
          <w:trHeight w:val="315"/>
        </w:trPr>
        <w:tc>
          <w:tcPr>
            <w:tcW w:w="488" w:type="dxa"/>
            <w:vAlign w:val="center"/>
            <w:hideMark/>
          </w:tcPr>
          <w:p w14:paraId="5E00D1E7" w14:textId="77777777" w:rsidR="006146F2" w:rsidRPr="00287B72" w:rsidRDefault="006146F2" w:rsidP="00A12492">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0816581" w14:textId="77777777" w:rsidR="006146F2" w:rsidRPr="00287B72" w:rsidRDefault="006146F2" w:rsidP="00A12492">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Ximena Ríos López</w:t>
            </w:r>
          </w:p>
          <w:p w14:paraId="5F1FF6DB" w14:textId="77777777" w:rsidR="006146F2" w:rsidRPr="00287B72" w:rsidRDefault="006146F2" w:rsidP="00A12492">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Gestor T1-11</w:t>
            </w:r>
          </w:p>
        </w:tc>
      </w:tr>
      <w:tr w:rsidR="00287B72" w:rsidRPr="00287B72" w14:paraId="79ED00BB" w14:textId="77777777" w:rsidTr="00A12492">
        <w:trPr>
          <w:trHeight w:val="330"/>
        </w:trPr>
        <w:tc>
          <w:tcPr>
            <w:tcW w:w="488" w:type="dxa"/>
            <w:vAlign w:val="center"/>
            <w:hideMark/>
          </w:tcPr>
          <w:p w14:paraId="144CE56B" w14:textId="77777777" w:rsidR="006146F2" w:rsidRPr="00287B72" w:rsidRDefault="006146F2" w:rsidP="00A12492">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50A08C5" w14:textId="77777777" w:rsidR="006146F2" w:rsidRPr="00287B72" w:rsidRDefault="006146F2" w:rsidP="00A12492">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Cristian Andrés Díaz Díez</w:t>
            </w:r>
          </w:p>
          <w:p w14:paraId="4CFF51AC" w14:textId="77777777" w:rsidR="006146F2" w:rsidRPr="00287B72" w:rsidRDefault="006146F2" w:rsidP="00A12492">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Contratista Subdirección de Gestión Contractual</w:t>
            </w:r>
          </w:p>
        </w:tc>
      </w:tr>
      <w:tr w:rsidR="00287B72" w:rsidRPr="00287B72" w14:paraId="2A181240" w14:textId="77777777" w:rsidTr="00A12492">
        <w:trPr>
          <w:trHeight w:val="300"/>
        </w:trPr>
        <w:tc>
          <w:tcPr>
            <w:tcW w:w="488" w:type="dxa"/>
            <w:vAlign w:val="center"/>
            <w:hideMark/>
          </w:tcPr>
          <w:p w14:paraId="1442108E" w14:textId="77777777" w:rsidR="006146F2" w:rsidRPr="00287B72" w:rsidRDefault="006146F2" w:rsidP="00A12492">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81CC8F" w14:textId="77777777" w:rsidR="006146F2" w:rsidRPr="00287B72" w:rsidRDefault="006146F2" w:rsidP="00A12492">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Fabián Gonzalo Marín Cortés</w:t>
            </w:r>
          </w:p>
          <w:p w14:paraId="1F9173E6" w14:textId="77777777" w:rsidR="006146F2" w:rsidRPr="00287B72" w:rsidRDefault="006146F2" w:rsidP="00A12492">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Subdirector de Gestión Contractual</w:t>
            </w:r>
          </w:p>
        </w:tc>
      </w:tr>
      <w:tr w:rsidR="006146F2" w:rsidRPr="00287B72" w14:paraId="4481ED05" w14:textId="77777777" w:rsidTr="00A12492">
        <w:trPr>
          <w:trHeight w:val="300"/>
        </w:trPr>
        <w:tc>
          <w:tcPr>
            <w:tcW w:w="488" w:type="dxa"/>
            <w:vAlign w:val="center"/>
            <w:hideMark/>
          </w:tcPr>
          <w:p w14:paraId="7880F6F7" w14:textId="77777777" w:rsidR="006146F2" w:rsidRPr="00287B72" w:rsidRDefault="006146F2" w:rsidP="00A12492">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68F5A25" w14:textId="77777777" w:rsidR="006146F2" w:rsidRPr="00287B72" w:rsidRDefault="006146F2" w:rsidP="00A12492">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0</w:t>
            </w:r>
          </w:p>
        </w:tc>
      </w:tr>
      <w:bookmarkEnd w:id="0"/>
      <w:bookmarkEnd w:id="4"/>
    </w:tbl>
    <w:p w14:paraId="7EBF297E" w14:textId="77777777" w:rsidR="007B0854" w:rsidRPr="00287B72" w:rsidRDefault="007B0854" w:rsidP="006146F2">
      <w:pPr>
        <w:rPr>
          <w:color w:val="000000" w:themeColor="text1"/>
        </w:rPr>
      </w:pPr>
    </w:p>
    <w:sectPr w:rsidR="007B0854" w:rsidRPr="00287B72"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598DC" w14:textId="77777777" w:rsidR="00212653" w:rsidRDefault="00212653">
      <w:r>
        <w:separator/>
      </w:r>
    </w:p>
  </w:endnote>
  <w:endnote w:type="continuationSeparator" w:id="0">
    <w:p w14:paraId="09412401" w14:textId="77777777" w:rsidR="00212653" w:rsidRDefault="0021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4A34D2" w:rsidRDefault="004A34D2" w:rsidP="007B0854">
    <w:pPr>
      <w:pStyle w:val="Sinespaciado"/>
      <w:jc w:val="center"/>
      <w:rPr>
        <w:rFonts w:ascii="Arial" w:hAnsi="Arial" w:cs="Arial"/>
        <w:sz w:val="18"/>
        <w:szCs w:val="18"/>
      </w:rPr>
    </w:pPr>
  </w:p>
  <w:p w14:paraId="312C4A14" w14:textId="1F323A90"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609A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609A2">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BF14B" w14:textId="77777777" w:rsidR="00212653" w:rsidRDefault="00212653">
      <w:r>
        <w:separator/>
      </w:r>
    </w:p>
  </w:footnote>
  <w:footnote w:type="continuationSeparator" w:id="0">
    <w:p w14:paraId="0C85CECE" w14:textId="77777777" w:rsidR="00212653" w:rsidRDefault="00212653">
      <w:r>
        <w:continuationSeparator/>
      </w:r>
    </w:p>
  </w:footnote>
  <w:footnote w:id="1">
    <w:p w14:paraId="6AE0C299"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Ley 80 de 1993:  «Artículo 25. Del principio de economía. En virtud de este principio:</w:t>
      </w:r>
    </w:p>
    <w:p w14:paraId="4B966097"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»1.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6304682E"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w:t>
      </w:r>
    </w:p>
    <w:p w14:paraId="3B1D990F" w14:textId="77777777" w:rsidR="006146F2" w:rsidRPr="00287B72" w:rsidRDefault="006146F2" w:rsidP="006146F2">
      <w:pPr>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»6. Las entidades estatales abrirán licitaciones e iniciarán procesos de suscripción de contratos, cuando existan las respectivas partidas o disponibilidades presupuestales.</w:t>
      </w:r>
    </w:p>
    <w:p w14:paraId="7985A0F3"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w:t>
      </w:r>
    </w:p>
    <w:p w14:paraId="167C7594"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3FB76670" w14:textId="77777777" w:rsidR="006146F2" w:rsidRPr="00287B72" w:rsidRDefault="006146F2" w:rsidP="006146F2">
      <w:pPr>
        <w:pStyle w:val="Textonotapie"/>
        <w:ind w:firstLine="708"/>
        <w:jc w:val="both"/>
        <w:rPr>
          <w:rFonts w:ascii="Arial" w:hAnsi="Arial" w:cs="Arial"/>
          <w:color w:val="000000" w:themeColor="text1"/>
          <w:sz w:val="19"/>
          <w:szCs w:val="19"/>
          <w:lang w:val="es-ES"/>
        </w:rPr>
      </w:pPr>
    </w:p>
  </w:footnote>
  <w:footnote w:id="2">
    <w:p w14:paraId="79E1AEF3"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14:paraId="62019F6E"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734E223D"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»Los contratos estatales son intuito personae &lt;sic&gt; y, en consecuencia, una vez celebrados no podrán cederse sin previa autorización escrita de la entidad contratante.</w:t>
      </w:r>
    </w:p>
    <w:p w14:paraId="178471DA"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»En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w:t>
      </w:r>
    </w:p>
    <w:p w14:paraId="4F107D0E"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»A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w:t>
      </w:r>
    </w:p>
    <w:p w14:paraId="469A5927" w14:textId="77777777" w:rsidR="006146F2" w:rsidRPr="00287B72" w:rsidRDefault="006146F2" w:rsidP="006146F2">
      <w:pPr>
        <w:pStyle w:val="Textonotapie"/>
        <w:ind w:firstLine="708"/>
        <w:jc w:val="both"/>
        <w:rPr>
          <w:rFonts w:ascii="Arial" w:hAnsi="Arial" w:cs="Arial"/>
          <w:color w:val="000000" w:themeColor="text1"/>
          <w:sz w:val="19"/>
          <w:szCs w:val="19"/>
          <w:lang w:val="es-ES"/>
        </w:rPr>
      </w:pPr>
    </w:p>
  </w:footnote>
  <w:footnote w:id="3">
    <w:p w14:paraId="2A5B098E"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Consejo de Estado. Sección tercera. Sentencia del 18 de mayo de 2017. Exp. 48.396. C.P. Jaime Orlando Santofimio Gamboa.</w:t>
      </w:r>
    </w:p>
    <w:p w14:paraId="018A6501" w14:textId="77777777" w:rsidR="006146F2" w:rsidRPr="00287B72" w:rsidRDefault="006146F2" w:rsidP="006146F2">
      <w:pPr>
        <w:pStyle w:val="Textonotapie"/>
        <w:ind w:firstLine="708"/>
        <w:jc w:val="both"/>
        <w:rPr>
          <w:rFonts w:ascii="Arial" w:hAnsi="Arial" w:cs="Arial"/>
          <w:color w:val="000000" w:themeColor="text1"/>
          <w:sz w:val="19"/>
          <w:szCs w:val="19"/>
          <w:lang w:val="es-ES"/>
        </w:rPr>
      </w:pPr>
      <w:r w:rsidRPr="00287B72">
        <w:rPr>
          <w:rFonts w:ascii="Arial" w:hAnsi="Arial" w:cs="Arial"/>
          <w:color w:val="000000" w:themeColor="text1"/>
          <w:sz w:val="19"/>
          <w:szCs w:val="19"/>
        </w:rPr>
        <w:t xml:space="preserve"> </w:t>
      </w:r>
    </w:p>
  </w:footnote>
  <w:footnote w:id="4">
    <w:p w14:paraId="355197BA" w14:textId="77777777" w:rsidR="006146F2" w:rsidRPr="00287B72" w:rsidRDefault="006146F2" w:rsidP="006146F2">
      <w:pPr>
        <w:pStyle w:val="Textonotapie"/>
        <w:ind w:firstLine="708"/>
        <w:jc w:val="both"/>
        <w:rPr>
          <w:rFonts w:ascii="Arial" w:hAnsi="Arial" w:cs="Arial"/>
          <w:color w:val="000000" w:themeColor="text1"/>
          <w:sz w:val="19"/>
          <w:szCs w:val="19"/>
          <w:lang w:val="es-ES"/>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Consejo de Estado. Sección tercera. Sentencia del 10 de mayo de 2018. Exp. 41.186. C.P. Stella Conto Díaz del Castillo.</w:t>
      </w:r>
    </w:p>
  </w:footnote>
  <w:footnote w:id="5">
    <w:p w14:paraId="1636958A"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7137B61"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w:t>
      </w:r>
    </w:p>
    <w:p w14:paraId="517108D3"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786C5ADE"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w:t>
      </w:r>
    </w:p>
    <w:p w14:paraId="6FE6FD24" w14:textId="77777777" w:rsidR="006146F2" w:rsidRPr="00287B72" w:rsidRDefault="006146F2" w:rsidP="006146F2">
      <w:pPr>
        <w:pStyle w:val="Textonotapie"/>
        <w:jc w:val="both"/>
        <w:rPr>
          <w:rFonts w:ascii="Arial" w:hAnsi="Arial" w:cs="Arial"/>
          <w:color w:val="000000" w:themeColor="text1"/>
          <w:sz w:val="19"/>
          <w:szCs w:val="19"/>
          <w:lang w:val="es-ES"/>
        </w:rPr>
      </w:pPr>
    </w:p>
  </w:footnote>
  <w:footnote w:id="6">
    <w:p w14:paraId="0B8A5015"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Ley 1150 de 2007: «Artículo 2. </w:t>
      </w:r>
    </w:p>
    <w:p w14:paraId="542EEECC"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w:t>
      </w:r>
    </w:p>
    <w:p w14:paraId="278BF8A7"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»Parágrafo 2. El procedimiento aplicable para la ejecución de cada una de las causales a que se refiere el numeral 2o del presente artículo, deberá observar los principios de transparencia, economía, responsabilidad y las siguientes reglas:</w:t>
      </w:r>
    </w:p>
    <w:p w14:paraId="3FCEF1C4"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 xml:space="preserve">»1. Se dará publicidad a todos los procedimientos y actos. </w:t>
      </w:r>
    </w:p>
    <w:p w14:paraId="011DB08B"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w:t>
      </w:r>
    </w:p>
    <w:p w14:paraId="6B0A6AC8" w14:textId="77777777" w:rsidR="006146F2" w:rsidRPr="00287B72" w:rsidRDefault="006146F2" w:rsidP="006146F2">
      <w:pPr>
        <w:pStyle w:val="Textonotapie"/>
        <w:jc w:val="both"/>
        <w:rPr>
          <w:rFonts w:ascii="Arial" w:hAnsi="Arial" w:cs="Arial"/>
          <w:color w:val="000000" w:themeColor="text1"/>
          <w:sz w:val="19"/>
          <w:szCs w:val="19"/>
          <w:lang w:val="es-ES"/>
        </w:rPr>
      </w:pPr>
    </w:p>
  </w:footnote>
  <w:footnote w:id="7">
    <w:p w14:paraId="09AF73E5"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2AFDD329"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669AA3DC" w14:textId="77777777" w:rsidR="006146F2" w:rsidRPr="00287B72" w:rsidRDefault="006146F2" w:rsidP="006146F2">
      <w:pPr>
        <w:pStyle w:val="Textonotapie"/>
        <w:jc w:val="both"/>
        <w:rPr>
          <w:rFonts w:ascii="Arial" w:hAnsi="Arial" w:cs="Arial"/>
          <w:color w:val="000000" w:themeColor="text1"/>
          <w:sz w:val="19"/>
          <w:szCs w:val="19"/>
          <w:lang w:val="es-ES"/>
        </w:rPr>
      </w:pPr>
    </w:p>
  </w:footnote>
  <w:footnote w:id="8">
    <w:p w14:paraId="558D1233"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Consejo de Estado. Sección Tercera. Sentencia del 14 de diciembre de 2007. Exp. 24.715. C.P. Ruth Stella Correa Palacio.</w:t>
      </w:r>
    </w:p>
    <w:p w14:paraId="20002238" w14:textId="77777777" w:rsidR="006146F2" w:rsidRPr="00287B72" w:rsidRDefault="006146F2" w:rsidP="006146F2">
      <w:pPr>
        <w:pStyle w:val="Textonotapie"/>
        <w:ind w:firstLine="708"/>
        <w:jc w:val="both"/>
        <w:rPr>
          <w:rFonts w:ascii="Arial" w:hAnsi="Arial" w:cs="Arial"/>
          <w:color w:val="000000" w:themeColor="text1"/>
          <w:sz w:val="19"/>
          <w:szCs w:val="19"/>
          <w:lang w:val="es-ES"/>
        </w:rPr>
      </w:pPr>
      <w:r w:rsidRPr="00287B72">
        <w:rPr>
          <w:rFonts w:ascii="Arial" w:hAnsi="Arial" w:cs="Arial"/>
          <w:color w:val="000000" w:themeColor="text1"/>
          <w:sz w:val="19"/>
          <w:szCs w:val="19"/>
        </w:rPr>
        <w:t xml:space="preserve"> </w:t>
      </w:r>
    </w:p>
  </w:footnote>
  <w:footnote w:id="9">
    <w:p w14:paraId="402D8334"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2D0F38F5" w14:textId="77777777" w:rsidR="006146F2" w:rsidRPr="00287B72" w:rsidRDefault="006146F2" w:rsidP="006146F2">
      <w:pPr>
        <w:pStyle w:val="Textonotapie"/>
        <w:ind w:firstLine="708"/>
        <w:jc w:val="both"/>
        <w:rPr>
          <w:rFonts w:ascii="Arial" w:hAnsi="Arial" w:cs="Arial"/>
          <w:color w:val="000000" w:themeColor="text1"/>
          <w:sz w:val="19"/>
          <w:szCs w:val="19"/>
          <w:lang w:val="es-CO"/>
        </w:rPr>
      </w:pPr>
    </w:p>
  </w:footnote>
  <w:footnote w:id="10">
    <w:p w14:paraId="3C08EB64"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D3B33BE"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»Lo anterior, sin perjuicio de las publicaciones previstas en el numeral 3 del artículo 30 de la Ley 80 de 1993.</w:t>
      </w:r>
    </w:p>
    <w:p w14:paraId="233CE6C1"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»Con el fin de materializar los objetivos a que se refiere el inciso anterior, el Gobierno Nacional desarrollará el Sistema Electrónico para la Contratación Pública, Secop, el cual:</w:t>
      </w:r>
    </w:p>
    <w:p w14:paraId="726D2EB6"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»a) Dispondrá de las funcionalidades tecnológicas para realizar procesos de contratación electrónicos bajo los métodos de selección señalados en el artículo 2o de la presente ley según lo defina el reglamento;</w:t>
      </w:r>
    </w:p>
    <w:p w14:paraId="61A5E996"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»b) Servirá de punto único de ingreso de información y de generación de reportes para las entidades estatales y la ciudadanía;</w:t>
      </w:r>
    </w:p>
    <w:p w14:paraId="34FF07DE"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36DDAA76"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70E15066"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w:t>
      </w:r>
    </w:p>
    <w:p w14:paraId="0ED6499A" w14:textId="77777777" w:rsidR="006146F2" w:rsidRPr="00287B72" w:rsidRDefault="006146F2" w:rsidP="006146F2">
      <w:pPr>
        <w:pStyle w:val="Textonotapie"/>
        <w:jc w:val="both"/>
        <w:rPr>
          <w:rFonts w:ascii="Arial" w:hAnsi="Arial" w:cs="Arial"/>
          <w:color w:val="000000" w:themeColor="text1"/>
          <w:sz w:val="19"/>
          <w:szCs w:val="19"/>
        </w:rPr>
      </w:pPr>
    </w:p>
  </w:footnote>
  <w:footnote w:id="11">
    <w:p w14:paraId="4DD245D4"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p>
    <w:p w14:paraId="16CDA84A" w14:textId="77777777" w:rsidR="006146F2" w:rsidRPr="00287B72" w:rsidRDefault="006146F2" w:rsidP="006146F2">
      <w:pPr>
        <w:pStyle w:val="Textonotapie"/>
        <w:jc w:val="both"/>
        <w:rPr>
          <w:rFonts w:ascii="Arial" w:hAnsi="Arial" w:cs="Arial"/>
          <w:color w:val="000000" w:themeColor="text1"/>
          <w:sz w:val="19"/>
          <w:szCs w:val="19"/>
        </w:rPr>
      </w:pPr>
      <w:r w:rsidRPr="00287B72">
        <w:rPr>
          <w:rFonts w:ascii="Arial" w:hAnsi="Arial" w:cs="Arial"/>
          <w:color w:val="000000" w:themeColor="text1"/>
          <w:sz w:val="19"/>
          <w:szCs w:val="19"/>
        </w:rPr>
        <w:t>»[...]</w:t>
      </w:r>
    </w:p>
    <w:p w14:paraId="6ABDE34A" w14:textId="77777777" w:rsidR="006146F2" w:rsidRPr="00287B72" w:rsidRDefault="006146F2" w:rsidP="006146F2">
      <w:pPr>
        <w:pStyle w:val="Textonotapie"/>
        <w:jc w:val="both"/>
        <w:rPr>
          <w:rFonts w:ascii="Arial" w:hAnsi="Arial" w:cs="Arial"/>
          <w:color w:val="000000" w:themeColor="text1"/>
          <w:sz w:val="19"/>
          <w:szCs w:val="19"/>
        </w:rPr>
      </w:pPr>
      <w:r w:rsidRPr="00287B72">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11C587DF" w14:textId="77777777" w:rsidR="006146F2" w:rsidRPr="00287B72" w:rsidRDefault="006146F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w:t>
      </w:r>
    </w:p>
  </w:footnote>
  <w:footnote w:id="12">
    <w:p w14:paraId="61FA1E65" w14:textId="77777777" w:rsidR="006146F2" w:rsidRPr="00287B72" w:rsidRDefault="006146F2" w:rsidP="006146F2">
      <w:pPr>
        <w:pStyle w:val="Textonotapie"/>
        <w:ind w:firstLine="708"/>
        <w:rPr>
          <w:rFonts w:ascii="Arial" w:hAnsi="Arial" w:cs="Arial"/>
          <w:color w:val="000000" w:themeColor="text1"/>
          <w:sz w:val="19"/>
          <w:szCs w:val="19"/>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Disponible en: https://www.colombiacompra.gov.co/sites/cce_public/files/cce_step/20190821guiagcgestioncontractualentidadestatalv2.pdf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23BDB" w14:textId="23A896A5" w:rsidR="005A79FE" w:rsidRDefault="005A79FE">
    <w:pPr>
      <w:pStyle w:val="Encabezado"/>
    </w:pPr>
  </w:p>
  <w:p w14:paraId="6520770B" w14:textId="15A81082" w:rsidR="007B0854" w:rsidRDefault="008D15BE">
    <w:pPr>
      <w:pStyle w:val="Encabezado"/>
    </w:pPr>
    <w:r>
      <w:rPr>
        <w:noProof/>
        <w:lang w:val="en-US"/>
      </w:rPr>
      <w:drawing>
        <wp:anchor distT="0" distB="0" distL="114300" distR="114300" simplePos="0" relativeHeight="251673600" behindDoc="1" locked="0" layoutInCell="1" allowOverlap="1" wp14:anchorId="1A706351" wp14:editId="05BA3CD5">
          <wp:simplePos x="0" y="0"/>
          <wp:positionH relativeFrom="column">
            <wp:posOffset>4323162</wp:posOffset>
          </wp:positionH>
          <wp:positionV relativeFrom="paragraph">
            <wp:posOffset>88762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14E7"/>
    <w:rsid w:val="000942EB"/>
    <w:rsid w:val="000B103F"/>
    <w:rsid w:val="000B7218"/>
    <w:rsid w:val="000F14E8"/>
    <w:rsid w:val="00103915"/>
    <w:rsid w:val="00122B23"/>
    <w:rsid w:val="00137FFA"/>
    <w:rsid w:val="001D18E8"/>
    <w:rsid w:val="00212653"/>
    <w:rsid w:val="00234B84"/>
    <w:rsid w:val="002551D2"/>
    <w:rsid w:val="00287B72"/>
    <w:rsid w:val="003033BA"/>
    <w:rsid w:val="003260E0"/>
    <w:rsid w:val="0034680A"/>
    <w:rsid w:val="00386456"/>
    <w:rsid w:val="003A581E"/>
    <w:rsid w:val="003D7C63"/>
    <w:rsid w:val="004422D6"/>
    <w:rsid w:val="004925FA"/>
    <w:rsid w:val="004A34D2"/>
    <w:rsid w:val="0051074C"/>
    <w:rsid w:val="00513AF2"/>
    <w:rsid w:val="0054413A"/>
    <w:rsid w:val="005564CA"/>
    <w:rsid w:val="005A79FE"/>
    <w:rsid w:val="006146F2"/>
    <w:rsid w:val="00655371"/>
    <w:rsid w:val="0067107D"/>
    <w:rsid w:val="00697665"/>
    <w:rsid w:val="006A7FD0"/>
    <w:rsid w:val="006D7687"/>
    <w:rsid w:val="006E0572"/>
    <w:rsid w:val="00705631"/>
    <w:rsid w:val="00742DD2"/>
    <w:rsid w:val="00750420"/>
    <w:rsid w:val="0075647A"/>
    <w:rsid w:val="007634AD"/>
    <w:rsid w:val="0078122E"/>
    <w:rsid w:val="007A71CB"/>
    <w:rsid w:val="007B0854"/>
    <w:rsid w:val="007F72CB"/>
    <w:rsid w:val="0083119B"/>
    <w:rsid w:val="00836EAB"/>
    <w:rsid w:val="0085092D"/>
    <w:rsid w:val="008D15BE"/>
    <w:rsid w:val="008E0053"/>
    <w:rsid w:val="008E1C15"/>
    <w:rsid w:val="00901934"/>
    <w:rsid w:val="009047C5"/>
    <w:rsid w:val="0095385A"/>
    <w:rsid w:val="00965792"/>
    <w:rsid w:val="009E7FF9"/>
    <w:rsid w:val="00A10C71"/>
    <w:rsid w:val="00A24560"/>
    <w:rsid w:val="00A34538"/>
    <w:rsid w:val="00A5458B"/>
    <w:rsid w:val="00AA442B"/>
    <w:rsid w:val="00B17D5A"/>
    <w:rsid w:val="00B22E22"/>
    <w:rsid w:val="00B525CB"/>
    <w:rsid w:val="00B63CB2"/>
    <w:rsid w:val="00BD78FE"/>
    <w:rsid w:val="00BD7A10"/>
    <w:rsid w:val="00C609A2"/>
    <w:rsid w:val="00CA287E"/>
    <w:rsid w:val="00CC00CD"/>
    <w:rsid w:val="00D119B3"/>
    <w:rsid w:val="00D16E39"/>
    <w:rsid w:val="00D72E9D"/>
    <w:rsid w:val="00D82CE5"/>
    <w:rsid w:val="00DA5AB1"/>
    <w:rsid w:val="00DC62E5"/>
    <w:rsid w:val="00DD735D"/>
    <w:rsid w:val="00DE3119"/>
    <w:rsid w:val="00DF236B"/>
    <w:rsid w:val="00E13AB8"/>
    <w:rsid w:val="00E33B62"/>
    <w:rsid w:val="00F0302D"/>
    <w:rsid w:val="00F23489"/>
    <w:rsid w:val="00F813D5"/>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customStyle="1" w:styleId="Default">
    <w:name w:val="Default"/>
    <w:rsid w:val="00287B7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96B46D27-B856-4B12-82FD-61550AF73E10}">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35F7C08-050B-48C0-95C6-6EAB82298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417A45-5DD1-44F1-8EA8-05E94ECB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12</Pages>
  <Words>3992</Words>
  <Characters>22760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2020-08-10T21:24:00Z</dcterms:created>
  <dcterms:modified xsi:type="dcterms:W3CDTF">2020-08-10T21:24:00Z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