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E957B" w14:textId="768D39FC" w:rsidR="0034177C" w:rsidRPr="00321FA3" w:rsidRDefault="009F59C2" w:rsidP="0034177C">
      <w:pPr>
        <w:jc w:val="right"/>
        <w:rPr>
          <w:rFonts w:ascii="Arial" w:hAnsi="Arial" w:cs="Arial"/>
          <w:b/>
          <w:color w:val="000000" w:themeColor="text1"/>
          <w:sz w:val="16"/>
          <w:szCs w:val="16"/>
          <w:lang w:eastAsia="es-ES"/>
        </w:rPr>
      </w:pPr>
      <w:bookmarkStart w:id="0" w:name="_Hlk28946138"/>
      <w:bookmarkStart w:id="1" w:name="_Hlk29548183"/>
      <w:r w:rsidRPr="00321FA3">
        <w:rPr>
          <w:rFonts w:ascii="Arial" w:hAnsi="Arial" w:cs="Arial"/>
          <w:b/>
          <w:color w:val="000000" w:themeColor="text1"/>
          <w:sz w:val="16"/>
          <w:szCs w:val="16"/>
          <w:lang w:eastAsia="es-ES"/>
        </w:rPr>
        <w:tab/>
      </w:r>
      <w:r w:rsidR="0034177C" w:rsidRPr="00321FA3">
        <w:rPr>
          <w:rFonts w:ascii="Arial" w:hAnsi="Arial" w:cs="Arial"/>
          <w:b/>
          <w:color w:val="000000" w:themeColor="text1"/>
          <w:sz w:val="16"/>
          <w:szCs w:val="16"/>
          <w:lang w:eastAsia="es-ES"/>
        </w:rPr>
        <w:t>CCE-DES-FM-17</w:t>
      </w:r>
    </w:p>
    <w:p w14:paraId="33FF83A2" w14:textId="77777777" w:rsidR="0034177C" w:rsidRPr="005A3B35" w:rsidRDefault="0034177C" w:rsidP="007F6B46">
      <w:pPr>
        <w:spacing w:line="276" w:lineRule="auto"/>
        <w:jc w:val="both"/>
        <w:rPr>
          <w:rFonts w:ascii="Arial" w:eastAsia="Calibri" w:hAnsi="Arial" w:cs="Arial"/>
          <w:b/>
          <w:color w:val="000000" w:themeColor="text1"/>
          <w:sz w:val="16"/>
          <w:szCs w:val="16"/>
        </w:rPr>
      </w:pPr>
    </w:p>
    <w:bookmarkEnd w:id="0"/>
    <w:bookmarkEnd w:id="1"/>
    <w:p w14:paraId="2A937FDE" w14:textId="2FC8E33C" w:rsidR="00127AF2" w:rsidRPr="00321FA3" w:rsidRDefault="0014502F" w:rsidP="00C82298">
      <w:pPr>
        <w:jc w:val="both"/>
        <w:rPr>
          <w:rFonts w:ascii="Arial" w:eastAsia="Calibri" w:hAnsi="Arial" w:cs="Arial"/>
          <w:color w:val="000000" w:themeColor="text1"/>
          <w:sz w:val="22"/>
          <w:lang w:val="es-ES_tradnl"/>
        </w:rPr>
      </w:pPr>
      <w:r w:rsidRPr="00321FA3">
        <w:rPr>
          <w:rFonts w:ascii="Arial" w:eastAsia="Calibri" w:hAnsi="Arial" w:cs="Arial"/>
          <w:b/>
          <w:color w:val="000000" w:themeColor="text1"/>
          <w:sz w:val="22"/>
          <w:lang w:val="es-ES_tradnl"/>
        </w:rPr>
        <w:t>SOLICITUD DE MUESTRAS</w:t>
      </w:r>
      <w:r w:rsidR="00127AF2" w:rsidRPr="00321FA3">
        <w:rPr>
          <w:rFonts w:ascii="Arial" w:eastAsia="Calibri" w:hAnsi="Arial" w:cs="Arial"/>
          <w:b/>
          <w:color w:val="000000" w:themeColor="text1"/>
          <w:sz w:val="22"/>
          <w:lang w:val="es-ES_tradnl"/>
        </w:rPr>
        <w:t xml:space="preserve"> </w:t>
      </w:r>
      <w:r w:rsidR="005A3B35" w:rsidRPr="006C15D5">
        <w:rPr>
          <w:rFonts w:ascii="Arial" w:eastAsia="Calibri" w:hAnsi="Arial" w:cs="Arial"/>
          <w:b/>
          <w:color w:val="000000" w:themeColor="text1"/>
          <w:sz w:val="22"/>
        </w:rPr>
        <w:t>–</w:t>
      </w:r>
      <w:r w:rsidR="00127AF2" w:rsidRPr="00321FA3">
        <w:rPr>
          <w:rFonts w:ascii="Arial" w:eastAsia="Calibri" w:hAnsi="Arial" w:cs="Arial"/>
          <w:b/>
          <w:color w:val="000000" w:themeColor="text1"/>
          <w:sz w:val="22"/>
          <w:lang w:val="es-ES_tradnl"/>
        </w:rPr>
        <w:t xml:space="preserve"> </w:t>
      </w:r>
      <w:r w:rsidRPr="00321FA3">
        <w:rPr>
          <w:rFonts w:ascii="Arial" w:eastAsia="Calibri" w:hAnsi="Arial" w:cs="Arial"/>
          <w:b/>
          <w:color w:val="000000" w:themeColor="text1"/>
          <w:sz w:val="22"/>
          <w:lang w:val="es-ES_tradnl"/>
        </w:rPr>
        <w:t>Funciones</w:t>
      </w:r>
      <w:r w:rsidR="007616DB" w:rsidRPr="00321FA3">
        <w:rPr>
          <w:rFonts w:ascii="Arial" w:eastAsia="Calibri" w:hAnsi="Arial" w:cs="Arial"/>
          <w:b/>
          <w:color w:val="000000" w:themeColor="text1"/>
          <w:sz w:val="22"/>
          <w:lang w:val="es-ES_tradnl"/>
        </w:rPr>
        <w:t xml:space="preserve"> </w:t>
      </w:r>
      <w:r w:rsidR="00EE0253" w:rsidRPr="00321FA3">
        <w:rPr>
          <w:rFonts w:ascii="Arial" w:eastAsia="Calibri" w:hAnsi="Arial" w:cs="Arial"/>
          <w:b/>
          <w:color w:val="000000" w:themeColor="text1"/>
          <w:sz w:val="22"/>
          <w:lang w:val="es-ES_tradnl"/>
        </w:rPr>
        <w:t xml:space="preserve"> </w:t>
      </w:r>
    </w:p>
    <w:p w14:paraId="779D26A9" w14:textId="77777777" w:rsidR="00127AF2" w:rsidRPr="00321FA3" w:rsidRDefault="00127AF2" w:rsidP="00C82298">
      <w:pPr>
        <w:jc w:val="both"/>
        <w:rPr>
          <w:rFonts w:ascii="Arial" w:eastAsia="Calibri" w:hAnsi="Arial" w:cs="Arial"/>
          <w:color w:val="000000" w:themeColor="text1"/>
          <w:sz w:val="22"/>
          <w:lang w:val="es-ES_tradnl"/>
        </w:rPr>
      </w:pPr>
    </w:p>
    <w:p w14:paraId="33E74A50" w14:textId="77777777" w:rsidR="004C7D70" w:rsidRDefault="0014502F" w:rsidP="00C82298">
      <w:pPr>
        <w:spacing w:after="120"/>
        <w:jc w:val="both"/>
        <w:rPr>
          <w:rFonts w:ascii="Arial" w:eastAsia="Calibri" w:hAnsi="Arial" w:cs="Arial"/>
          <w:color w:val="000000" w:themeColor="text1"/>
          <w:sz w:val="20"/>
          <w:lang w:val="es-ES_tradnl"/>
        </w:rPr>
      </w:pPr>
      <w:r w:rsidRPr="00321FA3">
        <w:rPr>
          <w:rFonts w:ascii="Arial" w:eastAsia="Calibri" w:hAnsi="Arial" w:cs="Arial"/>
          <w:color w:val="000000" w:themeColor="text1"/>
          <w:sz w:val="20"/>
          <w:lang w:val="es-ES_tradnl"/>
        </w:rPr>
        <w:t xml:space="preserve">En concreto, la solicitud de muestras cumple funciones importantes antes y después de la apertura del proceso de selección. </w:t>
      </w:r>
      <w:r w:rsidRPr="00321FA3">
        <w:rPr>
          <w:rFonts w:ascii="Arial" w:eastAsia="Calibri" w:hAnsi="Arial" w:cs="Arial"/>
          <w:i/>
          <w:iCs/>
          <w:color w:val="000000" w:themeColor="text1"/>
          <w:sz w:val="20"/>
          <w:lang w:val="es-ES_tradnl"/>
        </w:rPr>
        <w:t>En primer lugar</w:t>
      </w:r>
      <w:r w:rsidRPr="00321FA3">
        <w:rPr>
          <w:rFonts w:ascii="Arial" w:eastAsia="Calibri" w:hAnsi="Arial" w:cs="Arial"/>
          <w:color w:val="000000" w:themeColor="text1"/>
          <w:sz w:val="20"/>
          <w:lang w:val="es-ES_tradnl"/>
        </w:rPr>
        <w:t xml:space="preserve">, lo usual es que la entidad defina las condiciones de los bienes requeridos y luego solicite las cotizaciones. No obstante, esto supone que –a través del rol técnico– se han comparado diversas especificaciones para determinar cuál satisface mejor las necesidades de la Administración. En esta fase, por ejemplo, el funcionario encargado de realizar los estudios previos puede conocer de antemano los requerimientos técnicos o, por el contrario, determinarlos con visitas </w:t>
      </w:r>
      <w:r w:rsidRPr="00321FA3">
        <w:rPr>
          <w:rFonts w:ascii="Arial" w:eastAsia="Calibri" w:hAnsi="Arial" w:cs="Arial"/>
          <w:i/>
          <w:iCs/>
          <w:color w:val="000000" w:themeColor="text1"/>
          <w:sz w:val="20"/>
          <w:lang w:val="es-ES_tradnl"/>
        </w:rPr>
        <w:t>in situ</w:t>
      </w:r>
      <w:r w:rsidRPr="00321FA3">
        <w:rPr>
          <w:rFonts w:ascii="Arial" w:eastAsia="Calibri" w:hAnsi="Arial" w:cs="Arial"/>
          <w:color w:val="000000" w:themeColor="text1"/>
          <w:sz w:val="20"/>
          <w:lang w:val="es-ES_tradnl"/>
        </w:rPr>
        <w:t xml:space="preserve"> a los establecimientos de comercio de los posibles oferentes. En este último escenario, las muestras voluntariamente facilitadas contribuyen a que la entidad determine el objeto del futuro contrato en la etapa de planeación.</w:t>
      </w:r>
    </w:p>
    <w:p w14:paraId="52313AC0" w14:textId="53516D64" w:rsidR="00844D4F" w:rsidRDefault="004C7D70" w:rsidP="00C82298">
      <w:pPr>
        <w:spacing w:after="120"/>
        <w:jc w:val="both"/>
        <w:rPr>
          <w:rFonts w:ascii="Arial" w:eastAsia="Calibri" w:hAnsi="Arial" w:cs="Arial"/>
          <w:color w:val="000000" w:themeColor="text1"/>
          <w:sz w:val="20"/>
          <w:lang w:val="es-ES_tradnl"/>
        </w:rPr>
      </w:pPr>
      <w:r>
        <w:rPr>
          <w:rFonts w:ascii="Arial" w:eastAsia="Calibri" w:hAnsi="Arial" w:cs="Arial"/>
          <w:color w:val="000000" w:themeColor="text1"/>
          <w:sz w:val="20"/>
          <w:lang w:val="es-ES_tradnl"/>
        </w:rPr>
        <w:t xml:space="preserve">[…] </w:t>
      </w:r>
      <w:r w:rsidR="0014502F" w:rsidRPr="00321FA3">
        <w:rPr>
          <w:rFonts w:ascii="Arial" w:eastAsia="Calibri" w:hAnsi="Arial" w:cs="Arial"/>
          <w:i/>
          <w:iCs/>
          <w:color w:val="000000" w:themeColor="text1"/>
          <w:sz w:val="20"/>
          <w:lang w:val="es-ES_tradnl"/>
        </w:rPr>
        <w:t>En segundo lugar</w:t>
      </w:r>
      <w:r w:rsidR="0014502F" w:rsidRPr="00321FA3">
        <w:rPr>
          <w:rFonts w:ascii="Arial" w:eastAsia="Calibri" w:hAnsi="Arial" w:cs="Arial"/>
          <w:color w:val="000000" w:themeColor="text1"/>
          <w:sz w:val="20"/>
          <w:lang w:val="es-ES_tradnl"/>
        </w:rPr>
        <w:t xml:space="preserve">, las muestras serán obligatorias siempre que el pliego o la invitación se definan como requisito habilitante, caso en el cual se deberán entregar junto con los demás documentos de la oferta. </w:t>
      </w:r>
    </w:p>
    <w:p w14:paraId="75DE72C3" w14:textId="4C5E3A4B" w:rsidR="00885F42" w:rsidRDefault="00885F42" w:rsidP="00C82298">
      <w:pPr>
        <w:spacing w:after="120"/>
        <w:jc w:val="both"/>
        <w:rPr>
          <w:rFonts w:ascii="Arial" w:eastAsia="Calibri" w:hAnsi="Arial" w:cs="Arial"/>
          <w:color w:val="000000" w:themeColor="text1"/>
          <w:sz w:val="20"/>
          <w:lang w:val="es-ES_tradnl"/>
        </w:rPr>
      </w:pPr>
      <w:r>
        <w:rPr>
          <w:rFonts w:ascii="Arial" w:eastAsia="Calibri" w:hAnsi="Arial" w:cs="Arial"/>
          <w:color w:val="000000" w:themeColor="text1"/>
          <w:sz w:val="20"/>
          <w:lang w:val="es-ES_tradnl"/>
        </w:rPr>
        <w:t>[…]</w:t>
      </w:r>
    </w:p>
    <w:p w14:paraId="5C02E3EB" w14:textId="77E6F117" w:rsidR="00CF35D0" w:rsidRDefault="00075B3E" w:rsidP="00C82298">
      <w:pPr>
        <w:spacing w:after="120"/>
        <w:jc w:val="both"/>
        <w:rPr>
          <w:rFonts w:ascii="Arial" w:eastAsia="Calibri" w:hAnsi="Arial" w:cs="Arial"/>
          <w:color w:val="000000" w:themeColor="text1"/>
          <w:sz w:val="20"/>
          <w:lang w:val="es-ES_tradnl"/>
        </w:rPr>
      </w:pPr>
      <w:r w:rsidRPr="00321FA3">
        <w:rPr>
          <w:rFonts w:ascii="Arial" w:eastAsia="Calibri" w:hAnsi="Arial" w:cs="Arial"/>
          <w:i/>
          <w:iCs/>
          <w:color w:val="000000" w:themeColor="text1"/>
          <w:sz w:val="20"/>
          <w:lang w:val="es-ES_tradnl"/>
        </w:rPr>
        <w:t>Finalmente</w:t>
      </w:r>
      <w:r w:rsidRPr="00321FA3">
        <w:rPr>
          <w:rFonts w:ascii="Arial" w:eastAsia="Calibri" w:hAnsi="Arial" w:cs="Arial"/>
          <w:color w:val="000000" w:themeColor="text1"/>
          <w:sz w:val="20"/>
          <w:lang w:val="es-ES_tradnl"/>
        </w:rPr>
        <w:t xml:space="preserve">, también es posible que las muestras entregadas sean un factor de evaluación de las propuestas, motivo por el cual debe definirse clara e inequívocamente en el pliego de condiciones la asignación de puntaje derivada del cumplimiento de condiciones adicionales en la calidad de los bienes solicitados. </w:t>
      </w:r>
    </w:p>
    <w:p w14:paraId="4C2AF929" w14:textId="34AE1E5C" w:rsidR="008B45B9" w:rsidRPr="008B45B9" w:rsidRDefault="008B45B9" w:rsidP="00C82298">
      <w:pPr>
        <w:jc w:val="both"/>
        <w:rPr>
          <w:rFonts w:ascii="Arial" w:eastAsia="Calibri" w:hAnsi="Arial" w:cs="Arial"/>
          <w:b/>
          <w:color w:val="000000" w:themeColor="text1"/>
          <w:sz w:val="22"/>
          <w:lang w:val="es-ES_tradnl"/>
        </w:rPr>
      </w:pPr>
      <w:r w:rsidRPr="008B45B9">
        <w:rPr>
          <w:rFonts w:ascii="Arial" w:eastAsia="Calibri" w:hAnsi="Arial" w:cs="Arial"/>
          <w:b/>
          <w:color w:val="000000" w:themeColor="text1"/>
          <w:sz w:val="22"/>
          <w:lang w:val="es-ES_tradnl"/>
        </w:rPr>
        <w:t xml:space="preserve">SOLICITUD DE MUESTRAS – Excepciones </w:t>
      </w:r>
    </w:p>
    <w:p w14:paraId="7E364C46" w14:textId="77777777" w:rsidR="008B45B9" w:rsidRDefault="008B45B9" w:rsidP="00C82298">
      <w:pPr>
        <w:jc w:val="both"/>
        <w:rPr>
          <w:rFonts w:ascii="Arial" w:eastAsia="Calibri" w:hAnsi="Arial" w:cs="Arial"/>
          <w:color w:val="000000" w:themeColor="text1"/>
          <w:sz w:val="20"/>
          <w:lang w:val="es-ES_tradnl"/>
        </w:rPr>
      </w:pPr>
    </w:p>
    <w:p w14:paraId="1B63BF72" w14:textId="04B3BBBF" w:rsidR="00A10ACA" w:rsidRPr="00321FA3" w:rsidRDefault="00075B3E" w:rsidP="00C82298">
      <w:pPr>
        <w:jc w:val="both"/>
        <w:rPr>
          <w:rFonts w:ascii="Arial" w:eastAsia="Calibri" w:hAnsi="Arial" w:cs="Arial"/>
          <w:color w:val="000000" w:themeColor="text1"/>
          <w:sz w:val="20"/>
          <w:lang w:val="es-ES_tradnl"/>
        </w:rPr>
      </w:pPr>
      <w:r w:rsidRPr="00321FA3">
        <w:rPr>
          <w:rFonts w:ascii="Arial" w:eastAsia="Calibri" w:hAnsi="Arial" w:cs="Arial"/>
          <w:color w:val="000000" w:themeColor="text1"/>
          <w:sz w:val="20"/>
          <w:lang w:val="es-ES_tradnl"/>
        </w:rPr>
        <w:t>Con excepción de los procesos como la selección abreviada por subasta inversa y los de mínima cuantía, lo anterior no obstan para que las muestras sean un factor de evaluación, siempre que se respete el principio de selección objetiva y que los criterios de calidad estén plenamente previstos en el pliego de condiciones. Esto implica que la entidad debe justificar que –pese a las especificaciones adicionales– es posible la pluralidad de oferentes y que los factores de ponderación permiten calificar la propuesta de manera imparcial.</w:t>
      </w:r>
    </w:p>
    <w:p w14:paraId="1AB2ED99" w14:textId="77777777" w:rsidR="007616DB" w:rsidRPr="00321FA3" w:rsidRDefault="007616DB" w:rsidP="00C82298">
      <w:pPr>
        <w:jc w:val="both"/>
        <w:rPr>
          <w:rFonts w:ascii="Arial" w:eastAsia="Calibri" w:hAnsi="Arial" w:cs="Arial"/>
          <w:color w:val="000000" w:themeColor="text1"/>
          <w:sz w:val="20"/>
          <w:lang w:val="es-ES_tradnl"/>
        </w:rPr>
      </w:pPr>
    </w:p>
    <w:p w14:paraId="4A01687E" w14:textId="7A66C57A" w:rsidR="00EE0253" w:rsidRPr="00321FA3" w:rsidRDefault="0014502F" w:rsidP="00C82298">
      <w:pPr>
        <w:jc w:val="both"/>
        <w:rPr>
          <w:rFonts w:ascii="Arial" w:eastAsia="Calibri" w:hAnsi="Arial" w:cs="Arial"/>
          <w:color w:val="000000" w:themeColor="text1"/>
          <w:sz w:val="22"/>
          <w:lang w:val="es-ES_tradnl"/>
        </w:rPr>
      </w:pPr>
      <w:bookmarkStart w:id="2" w:name="_Hlk36048472"/>
      <w:r w:rsidRPr="00321FA3">
        <w:rPr>
          <w:rFonts w:ascii="Arial" w:eastAsia="Calibri" w:hAnsi="Arial" w:cs="Arial"/>
          <w:b/>
          <w:color w:val="000000" w:themeColor="text1"/>
          <w:sz w:val="22"/>
          <w:lang w:val="es-ES_tradnl"/>
        </w:rPr>
        <w:t>SUBSANABILIDAD</w:t>
      </w:r>
      <w:r w:rsidR="00EE0253" w:rsidRPr="00321FA3">
        <w:rPr>
          <w:rFonts w:ascii="Arial" w:eastAsia="Calibri" w:hAnsi="Arial" w:cs="Arial"/>
          <w:b/>
          <w:color w:val="000000" w:themeColor="text1"/>
          <w:sz w:val="22"/>
          <w:lang w:val="es-ES_tradnl"/>
        </w:rPr>
        <w:t xml:space="preserve"> </w:t>
      </w:r>
      <w:bookmarkStart w:id="3" w:name="_Hlk39666823"/>
      <w:r w:rsidR="005A3B35" w:rsidRPr="006C15D5">
        <w:rPr>
          <w:rFonts w:ascii="Arial" w:eastAsia="Calibri" w:hAnsi="Arial" w:cs="Arial"/>
          <w:b/>
          <w:color w:val="000000" w:themeColor="text1"/>
          <w:sz w:val="22"/>
        </w:rPr>
        <w:t>–</w:t>
      </w:r>
      <w:bookmarkEnd w:id="3"/>
      <w:r w:rsidR="00EE0253" w:rsidRPr="00321FA3">
        <w:rPr>
          <w:rFonts w:ascii="Arial" w:eastAsia="Calibri" w:hAnsi="Arial" w:cs="Arial"/>
          <w:b/>
          <w:color w:val="000000" w:themeColor="text1"/>
          <w:sz w:val="22"/>
          <w:lang w:val="es-ES_tradnl"/>
        </w:rPr>
        <w:t xml:space="preserve"> </w:t>
      </w:r>
      <w:r w:rsidR="005F7B6F">
        <w:rPr>
          <w:rFonts w:ascii="Arial" w:eastAsia="Calibri" w:hAnsi="Arial" w:cs="Arial"/>
          <w:b/>
          <w:color w:val="000000" w:themeColor="text1"/>
          <w:sz w:val="22"/>
          <w:lang w:val="es-ES_tradnl"/>
        </w:rPr>
        <w:t xml:space="preserve">Aplicación </w:t>
      </w:r>
      <w:r w:rsidR="005F7B6F">
        <w:rPr>
          <w:rFonts w:ascii="Arial" w:eastAsia="Calibri" w:hAnsi="Arial" w:cs="Arial"/>
          <w:b/>
          <w:color w:val="000000" w:themeColor="text1"/>
          <w:sz w:val="22"/>
        </w:rPr>
        <w:t>–</w:t>
      </w:r>
      <w:r w:rsidR="005F7B6F">
        <w:rPr>
          <w:rFonts w:ascii="Arial" w:eastAsia="Calibri" w:hAnsi="Arial" w:cs="Arial"/>
          <w:b/>
          <w:sz w:val="22"/>
          <w:lang w:val="es-ES_tradnl"/>
        </w:rPr>
        <w:t xml:space="preserve"> </w:t>
      </w:r>
      <w:r w:rsidR="005F7B6F">
        <w:rPr>
          <w:rFonts w:ascii="Arial" w:eastAsia="Calibri" w:hAnsi="Arial" w:cs="Arial"/>
          <w:b/>
          <w:sz w:val="22"/>
          <w:lang w:val="es-ES_tradnl"/>
        </w:rPr>
        <w:t>Re</w:t>
      </w:r>
      <w:bookmarkStart w:id="4" w:name="_GoBack"/>
      <w:bookmarkEnd w:id="4"/>
      <w:r w:rsidRPr="00321FA3">
        <w:rPr>
          <w:rFonts w:ascii="Arial" w:eastAsia="Calibri" w:hAnsi="Arial" w:cs="Arial"/>
          <w:b/>
          <w:color w:val="000000" w:themeColor="text1"/>
          <w:sz w:val="22"/>
          <w:lang w:val="es-ES_tradnl"/>
        </w:rPr>
        <w:t>stricciones</w:t>
      </w:r>
    </w:p>
    <w:bookmarkEnd w:id="2"/>
    <w:p w14:paraId="33129080" w14:textId="77777777" w:rsidR="00EE0253" w:rsidRPr="00844D4F" w:rsidRDefault="00EE0253" w:rsidP="00C82298">
      <w:pPr>
        <w:jc w:val="both"/>
        <w:rPr>
          <w:rFonts w:ascii="Arial" w:eastAsia="Calibri" w:hAnsi="Arial" w:cs="Arial"/>
          <w:color w:val="000000" w:themeColor="text1"/>
          <w:sz w:val="20"/>
          <w:szCs w:val="20"/>
          <w:lang w:val="es-ES_tradnl"/>
        </w:rPr>
      </w:pPr>
    </w:p>
    <w:p w14:paraId="2E032724" w14:textId="6943749A" w:rsidR="00EE0253" w:rsidRPr="00321FA3" w:rsidRDefault="00844D4F" w:rsidP="00C82298">
      <w:pPr>
        <w:jc w:val="both"/>
        <w:rPr>
          <w:rFonts w:ascii="Arial" w:eastAsia="Calibri" w:hAnsi="Arial" w:cs="Arial"/>
          <w:color w:val="000000" w:themeColor="text1"/>
          <w:sz w:val="20"/>
          <w:lang w:val="es-ES_tradnl"/>
        </w:rPr>
      </w:pPr>
      <w:r>
        <w:rPr>
          <w:rFonts w:ascii="Arial" w:eastAsia="Calibri" w:hAnsi="Arial" w:cs="Arial"/>
          <w:color w:val="000000" w:themeColor="text1"/>
          <w:sz w:val="20"/>
          <w:lang w:val="es-ES_tradnl"/>
        </w:rPr>
        <w:t xml:space="preserve">[…] </w:t>
      </w:r>
      <w:r w:rsidR="0014502F" w:rsidRPr="00321FA3">
        <w:rPr>
          <w:rFonts w:ascii="Arial" w:eastAsia="Calibri" w:hAnsi="Arial" w:cs="Arial"/>
          <w:color w:val="000000" w:themeColor="text1"/>
          <w:sz w:val="20"/>
          <w:lang w:val="es-ES_tradnl"/>
        </w:rPr>
        <w:t xml:space="preserve">La regla prevista actualmente en los parágrafos 1o. y 4o. del artículo 5 de la Ley 1150 de 2007, modificado por el artículo 5 de la Ley 1882 de 2018, es el mandato normativo que ordena </w:t>
      </w:r>
      <w:r w:rsidR="007F1E28" w:rsidRPr="00321FA3">
        <w:rPr>
          <w:rFonts w:ascii="Arial" w:eastAsia="Calibri" w:hAnsi="Arial" w:cs="Arial"/>
          <w:color w:val="000000" w:themeColor="text1"/>
          <w:sz w:val="20"/>
          <w:lang w:val="es-ES_tradnl"/>
        </w:rPr>
        <w:t xml:space="preserve">a </w:t>
      </w:r>
      <w:r w:rsidR="0014502F" w:rsidRPr="00321FA3">
        <w:rPr>
          <w:rFonts w:ascii="Arial" w:eastAsia="Calibri" w:hAnsi="Arial" w:cs="Arial"/>
          <w:color w:val="000000" w:themeColor="text1"/>
          <w:sz w:val="20"/>
          <w:lang w:val="es-ES_tradnl"/>
        </w:rPr>
        <w:t>las entidades estatales, al verificar la acreditación de los requisitos habilitantes por parte de los proponentes, permitir, por regla general, que los oferentes aporten o corrijan aquella información relacionada con tales requisitos de participación, de manera que no se rechace</w:t>
      </w:r>
      <w:r w:rsidR="005E1595" w:rsidRPr="00321FA3">
        <w:rPr>
          <w:rFonts w:ascii="Arial" w:eastAsia="Calibri" w:hAnsi="Arial" w:cs="Arial"/>
          <w:color w:val="000000" w:themeColor="text1"/>
          <w:sz w:val="20"/>
          <w:lang w:val="es-ES_tradnl"/>
        </w:rPr>
        <w:t>n</w:t>
      </w:r>
      <w:r w:rsidR="0014502F" w:rsidRPr="00321FA3">
        <w:rPr>
          <w:rFonts w:ascii="Arial" w:eastAsia="Calibri" w:hAnsi="Arial" w:cs="Arial"/>
          <w:color w:val="000000" w:themeColor="text1"/>
          <w:sz w:val="20"/>
          <w:lang w:val="es-ES_tradnl"/>
        </w:rPr>
        <w:t xml:space="preserve"> de plano las ofertas. Si bien esta regla encuentra algunos límites, por ejemplo, el previsto en el segundo inciso del mismo parágrafo, que establece que «Durante el término otorgado para subsanar las ofertas, los proponentes no podrán acreditar circunstancias ocurridas con posterioridad al cierre del proceso» o el consagrado en el parágrafo 3o., adicionado por el artículo 5 de la Ley 1882 de 2018, según el cual «La no entrega de la garantía de seriedad junto con la propuesta no será subsanable y será causal de rechazo de la misma», lo cierto es que la subsanabilidad de las ofertas debe interpretarse como una regla general en relación con la falta de entrega o con los defectos de los requisitos habilitantes. </w:t>
      </w:r>
      <w:r w:rsidR="005B4948" w:rsidRPr="00321FA3">
        <w:rPr>
          <w:rFonts w:ascii="Arial" w:eastAsia="Calibri" w:hAnsi="Arial" w:cs="Arial"/>
          <w:color w:val="000000" w:themeColor="text1"/>
          <w:sz w:val="20"/>
          <w:lang w:val="es-ES_tradnl"/>
        </w:rPr>
        <w:t xml:space="preserve">      </w:t>
      </w:r>
    </w:p>
    <w:p w14:paraId="30F370A1" w14:textId="77777777" w:rsidR="004D4BA1" w:rsidRPr="00321FA3" w:rsidRDefault="004D4BA1" w:rsidP="00F1108B">
      <w:pPr>
        <w:jc w:val="both"/>
        <w:rPr>
          <w:rFonts w:ascii="Arial" w:eastAsia="Calibri" w:hAnsi="Arial" w:cs="Arial"/>
          <w:color w:val="000000" w:themeColor="text1"/>
          <w:sz w:val="20"/>
          <w:lang w:val="es-ES_tradnl"/>
        </w:rPr>
      </w:pPr>
    </w:p>
    <w:p w14:paraId="53E78BD4" w14:textId="72F7B4A7" w:rsidR="008919CF" w:rsidRDefault="008919CF" w:rsidP="008919CF">
      <w:pPr>
        <w:pStyle w:val="Default"/>
        <w:rPr>
          <w:color w:val="000000" w:themeColor="text1"/>
        </w:rPr>
      </w:pPr>
    </w:p>
    <w:p w14:paraId="23DA6674" w14:textId="0C992651" w:rsidR="00885F42" w:rsidRDefault="00885F42" w:rsidP="008919CF">
      <w:pPr>
        <w:pStyle w:val="Default"/>
        <w:rPr>
          <w:color w:val="000000" w:themeColor="text1"/>
        </w:rPr>
      </w:pPr>
    </w:p>
    <w:p w14:paraId="6A5FB16A" w14:textId="77777777" w:rsidR="00885F42" w:rsidRPr="00321FA3" w:rsidRDefault="00885F42" w:rsidP="008919CF">
      <w:pPr>
        <w:pStyle w:val="Default"/>
        <w:rPr>
          <w:color w:val="000000" w:themeColor="text1"/>
        </w:rPr>
      </w:pPr>
    </w:p>
    <w:p w14:paraId="74EC1FF3" w14:textId="13556ED1" w:rsidR="008919CF" w:rsidRPr="00321FA3" w:rsidRDefault="008919CF" w:rsidP="008919CF">
      <w:pPr>
        <w:pStyle w:val="Default"/>
        <w:rPr>
          <w:color w:val="000000" w:themeColor="text1"/>
          <w:sz w:val="22"/>
          <w:szCs w:val="22"/>
        </w:rPr>
      </w:pPr>
      <w:r w:rsidRPr="00321FA3">
        <w:rPr>
          <w:color w:val="000000" w:themeColor="text1"/>
          <w:sz w:val="22"/>
          <w:szCs w:val="22"/>
        </w:rPr>
        <w:lastRenderedPageBreak/>
        <w:t xml:space="preserve">Bogotá D.C., </w:t>
      </w:r>
      <w:r w:rsidRPr="00321FA3">
        <w:rPr>
          <w:b/>
          <w:bCs/>
          <w:color w:val="000000" w:themeColor="text1"/>
          <w:sz w:val="22"/>
          <w:szCs w:val="22"/>
        </w:rPr>
        <w:t xml:space="preserve">17/04/2020 Hora 17:56:2s </w:t>
      </w:r>
    </w:p>
    <w:p w14:paraId="44FC3668" w14:textId="2192A89D" w:rsidR="00F1108B" w:rsidRPr="00F3335E" w:rsidRDefault="008919CF" w:rsidP="008919CF">
      <w:pPr>
        <w:jc w:val="right"/>
        <w:rPr>
          <w:rFonts w:ascii="Arial" w:eastAsia="Calibri" w:hAnsi="Arial" w:cs="Arial"/>
          <w:color w:val="000000" w:themeColor="text1"/>
          <w:sz w:val="20"/>
          <w:szCs w:val="20"/>
        </w:rPr>
      </w:pPr>
      <w:r w:rsidRPr="00F3335E">
        <w:rPr>
          <w:rFonts w:ascii="Arial" w:hAnsi="Arial" w:cs="Arial"/>
          <w:b/>
          <w:bCs/>
          <w:color w:val="000000" w:themeColor="text1"/>
          <w:sz w:val="22"/>
        </w:rPr>
        <w:t>N° Radicado: 2202013000002797</w:t>
      </w:r>
    </w:p>
    <w:p w14:paraId="1AC01C9C" w14:textId="23823EF4" w:rsidR="00F1108B" w:rsidRPr="00321FA3" w:rsidRDefault="00F1108B" w:rsidP="00F1108B">
      <w:pPr>
        <w:rPr>
          <w:rFonts w:ascii="Arial" w:eastAsia="Calibri" w:hAnsi="Arial" w:cs="Arial"/>
          <w:color w:val="000000" w:themeColor="text1"/>
          <w:sz w:val="22"/>
          <w:szCs w:val="20"/>
        </w:rPr>
      </w:pPr>
      <w:r w:rsidRPr="00321FA3">
        <w:rPr>
          <w:rFonts w:ascii="Arial" w:eastAsia="Calibri" w:hAnsi="Arial" w:cs="Arial"/>
          <w:color w:val="000000" w:themeColor="text1"/>
          <w:sz w:val="22"/>
          <w:szCs w:val="20"/>
        </w:rPr>
        <w:t>Señor</w:t>
      </w:r>
      <w:r w:rsidR="00496786" w:rsidRPr="00321FA3">
        <w:rPr>
          <w:rFonts w:ascii="Arial" w:eastAsia="Calibri" w:hAnsi="Arial" w:cs="Arial"/>
          <w:color w:val="000000" w:themeColor="text1"/>
          <w:sz w:val="22"/>
          <w:szCs w:val="20"/>
        </w:rPr>
        <w:t>a</w:t>
      </w:r>
    </w:p>
    <w:p w14:paraId="4384F1EE" w14:textId="00581AAD" w:rsidR="00FE55A7" w:rsidRPr="00321FA3" w:rsidRDefault="00496786" w:rsidP="00F1108B">
      <w:pPr>
        <w:rPr>
          <w:rFonts w:ascii="Arial" w:eastAsia="Calibri" w:hAnsi="Arial" w:cs="Arial"/>
          <w:b/>
          <w:color w:val="000000" w:themeColor="text1"/>
          <w:sz w:val="22"/>
          <w:szCs w:val="20"/>
        </w:rPr>
      </w:pPr>
      <w:r w:rsidRPr="00321FA3">
        <w:rPr>
          <w:rFonts w:ascii="Arial" w:eastAsia="Calibri" w:hAnsi="Arial" w:cs="Arial"/>
          <w:b/>
          <w:color w:val="000000" w:themeColor="text1"/>
          <w:sz w:val="22"/>
          <w:szCs w:val="20"/>
        </w:rPr>
        <w:t xml:space="preserve">NATHALIE PAVA MEDINA </w:t>
      </w:r>
    </w:p>
    <w:p w14:paraId="697E1C63" w14:textId="5E42090E" w:rsidR="00D401BE" w:rsidRPr="00321FA3" w:rsidRDefault="00F1108B" w:rsidP="00F1108B">
      <w:pPr>
        <w:rPr>
          <w:rFonts w:ascii="Arial" w:eastAsia="Calibri" w:hAnsi="Arial" w:cs="Arial"/>
          <w:color w:val="000000" w:themeColor="text1"/>
          <w:sz w:val="22"/>
          <w:szCs w:val="20"/>
        </w:rPr>
      </w:pPr>
      <w:r w:rsidRPr="00321FA3">
        <w:rPr>
          <w:rFonts w:ascii="Arial" w:eastAsia="Calibri" w:hAnsi="Arial" w:cs="Arial"/>
          <w:color w:val="000000" w:themeColor="text1"/>
          <w:sz w:val="22"/>
          <w:szCs w:val="20"/>
        </w:rPr>
        <w:t>Ciudad</w:t>
      </w:r>
    </w:p>
    <w:p w14:paraId="266256DF" w14:textId="77777777" w:rsidR="00FE55A7" w:rsidRPr="00321FA3" w:rsidRDefault="00FE55A7" w:rsidP="00F1108B">
      <w:pPr>
        <w:rPr>
          <w:rFonts w:ascii="Arial" w:eastAsia="Calibri" w:hAnsi="Arial" w:cs="Arial"/>
          <w:color w:val="000000" w:themeColor="text1"/>
          <w:sz w:val="22"/>
          <w:szCs w:val="20"/>
        </w:rPr>
      </w:pPr>
    </w:p>
    <w:p w14:paraId="283D6043" w14:textId="36EAE0C4" w:rsidR="00F1108B" w:rsidRPr="00321FA3" w:rsidRDefault="00F1108B" w:rsidP="00F1108B">
      <w:pPr>
        <w:jc w:val="center"/>
        <w:rPr>
          <w:rFonts w:ascii="Arial" w:eastAsia="Calibri" w:hAnsi="Arial" w:cs="Arial"/>
          <w:b/>
          <w:color w:val="000000" w:themeColor="text1"/>
          <w:sz w:val="22"/>
        </w:rPr>
      </w:pPr>
      <w:r w:rsidRPr="00321FA3">
        <w:rPr>
          <w:rFonts w:ascii="Arial" w:eastAsia="Calibri" w:hAnsi="Arial" w:cs="Arial"/>
          <w:b/>
          <w:color w:val="000000" w:themeColor="text1"/>
          <w:sz w:val="22"/>
        </w:rPr>
        <w:t xml:space="preserve">Concepto C ─ </w:t>
      </w:r>
      <w:r w:rsidR="00496786" w:rsidRPr="00321FA3">
        <w:rPr>
          <w:rFonts w:ascii="Arial" w:eastAsia="Calibri" w:hAnsi="Arial" w:cs="Arial"/>
          <w:b/>
          <w:color w:val="000000" w:themeColor="text1"/>
          <w:sz w:val="22"/>
        </w:rPr>
        <w:t>013</w:t>
      </w:r>
      <w:r w:rsidRPr="00321FA3">
        <w:rPr>
          <w:rFonts w:ascii="Arial" w:eastAsia="Calibri" w:hAnsi="Arial" w:cs="Arial"/>
          <w:b/>
          <w:color w:val="000000" w:themeColor="text1"/>
          <w:sz w:val="22"/>
        </w:rPr>
        <w:t xml:space="preserve"> de 2020</w:t>
      </w:r>
    </w:p>
    <w:p w14:paraId="656B0268" w14:textId="77777777" w:rsidR="00D401BE" w:rsidRPr="00321FA3" w:rsidRDefault="00D401BE" w:rsidP="00F1108B">
      <w:pPr>
        <w:jc w:val="center"/>
        <w:rPr>
          <w:rFonts w:ascii="Arial" w:eastAsia="Calibri" w:hAnsi="Arial" w:cs="Arial"/>
          <w:b/>
          <w:color w:val="000000" w:themeColor="text1"/>
          <w:sz w:val="22"/>
        </w:rPr>
      </w:pPr>
    </w:p>
    <w:p w14:paraId="55A2A84E" w14:textId="77777777" w:rsidR="00F1108B" w:rsidRPr="00321FA3" w:rsidRDefault="00F1108B" w:rsidP="00F1108B">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21FA3" w:rsidRPr="00321FA3" w14:paraId="522C04FC" w14:textId="77777777" w:rsidTr="00AB358D">
        <w:tc>
          <w:tcPr>
            <w:tcW w:w="2689" w:type="dxa"/>
            <w:hideMark/>
          </w:tcPr>
          <w:p w14:paraId="5C1F9A7E" w14:textId="77777777" w:rsidR="00F1108B" w:rsidRPr="00321FA3" w:rsidRDefault="00F1108B" w:rsidP="00AB358D">
            <w:pPr>
              <w:rPr>
                <w:rFonts w:ascii="Arial" w:eastAsia="Calibri" w:hAnsi="Arial" w:cs="Arial"/>
                <w:color w:val="000000" w:themeColor="text1"/>
                <w:sz w:val="22"/>
              </w:rPr>
            </w:pPr>
            <w:r w:rsidRPr="00321FA3">
              <w:rPr>
                <w:rFonts w:ascii="Arial" w:eastAsia="Calibri" w:hAnsi="Arial" w:cs="Arial"/>
                <w:b/>
                <w:color w:val="000000" w:themeColor="text1"/>
                <w:sz w:val="22"/>
              </w:rPr>
              <w:t>Temas:</w:t>
            </w:r>
            <w:r w:rsidRPr="00321FA3">
              <w:rPr>
                <w:rFonts w:ascii="Arial" w:eastAsia="Calibri" w:hAnsi="Arial" w:cs="Arial"/>
                <w:color w:val="000000" w:themeColor="text1"/>
                <w:sz w:val="22"/>
              </w:rPr>
              <w:t xml:space="preserve">           </w:t>
            </w:r>
          </w:p>
          <w:p w14:paraId="4376ABAA" w14:textId="77777777" w:rsidR="00F1108B" w:rsidRPr="00321FA3" w:rsidRDefault="00F1108B" w:rsidP="00AB358D">
            <w:pPr>
              <w:rPr>
                <w:rFonts w:ascii="Arial" w:eastAsia="Calibri" w:hAnsi="Arial" w:cs="Arial"/>
                <w:color w:val="000000" w:themeColor="text1"/>
                <w:sz w:val="22"/>
              </w:rPr>
            </w:pPr>
            <w:r w:rsidRPr="00321FA3">
              <w:rPr>
                <w:rFonts w:ascii="Arial" w:eastAsia="Calibri" w:hAnsi="Arial" w:cs="Arial"/>
                <w:color w:val="000000" w:themeColor="text1"/>
                <w:sz w:val="22"/>
              </w:rPr>
              <w:t xml:space="preserve">                           </w:t>
            </w:r>
          </w:p>
        </w:tc>
        <w:tc>
          <w:tcPr>
            <w:tcW w:w="6237" w:type="dxa"/>
            <w:hideMark/>
          </w:tcPr>
          <w:p w14:paraId="3AA47512" w14:textId="6C8F3983" w:rsidR="00F1108B" w:rsidRPr="00321FA3" w:rsidRDefault="00075B3E" w:rsidP="00AB358D">
            <w:pPr>
              <w:jc w:val="both"/>
              <w:rPr>
                <w:rFonts w:ascii="Arial" w:eastAsia="Calibri" w:hAnsi="Arial" w:cs="Arial"/>
                <w:color w:val="000000" w:themeColor="text1"/>
                <w:sz w:val="22"/>
              </w:rPr>
            </w:pPr>
            <w:r w:rsidRPr="00321FA3">
              <w:rPr>
                <w:rFonts w:ascii="Arial" w:eastAsia="Calibri" w:hAnsi="Arial" w:cs="Arial"/>
                <w:color w:val="000000" w:themeColor="text1"/>
                <w:sz w:val="22"/>
              </w:rPr>
              <w:t xml:space="preserve">SOLICITUD DE MUESTRAS ― Funciones </w:t>
            </w:r>
            <w:r w:rsidR="007C6339" w:rsidRPr="00321FA3">
              <w:rPr>
                <w:rFonts w:ascii="Arial" w:eastAsia="Calibri" w:hAnsi="Arial" w:cs="Arial"/>
                <w:color w:val="000000" w:themeColor="text1"/>
                <w:sz w:val="22"/>
              </w:rPr>
              <w:t xml:space="preserve">/ </w:t>
            </w:r>
            <w:r w:rsidRPr="00321FA3">
              <w:rPr>
                <w:rFonts w:ascii="Arial" w:eastAsia="Calibri" w:hAnsi="Arial" w:cs="Arial"/>
                <w:color w:val="000000" w:themeColor="text1"/>
                <w:sz w:val="22"/>
              </w:rPr>
              <w:t>SUBSANABILIDAD ― Aplicación y restricciones</w:t>
            </w:r>
          </w:p>
        </w:tc>
      </w:tr>
      <w:tr w:rsidR="00F1108B" w:rsidRPr="00321FA3" w14:paraId="7D0D2FDB" w14:textId="77777777" w:rsidTr="00AB358D">
        <w:tc>
          <w:tcPr>
            <w:tcW w:w="2689" w:type="dxa"/>
          </w:tcPr>
          <w:p w14:paraId="7DC82264" w14:textId="77777777" w:rsidR="00F1108B" w:rsidRPr="00321FA3" w:rsidRDefault="00F1108B" w:rsidP="00AB358D">
            <w:pPr>
              <w:rPr>
                <w:rFonts w:ascii="Arial" w:eastAsia="Calibri" w:hAnsi="Arial" w:cs="Arial"/>
                <w:b/>
                <w:color w:val="000000" w:themeColor="text1"/>
                <w:sz w:val="22"/>
              </w:rPr>
            </w:pPr>
            <w:r w:rsidRPr="00321FA3">
              <w:rPr>
                <w:rFonts w:ascii="Arial" w:eastAsia="Calibri" w:hAnsi="Arial" w:cs="Arial"/>
                <w:b/>
                <w:color w:val="000000" w:themeColor="text1"/>
                <w:sz w:val="22"/>
              </w:rPr>
              <w:t>Radicación:</w:t>
            </w:r>
            <w:r w:rsidRPr="00321FA3">
              <w:rPr>
                <w:rFonts w:ascii="Arial" w:eastAsia="Calibri" w:hAnsi="Arial" w:cs="Arial"/>
                <w:color w:val="000000" w:themeColor="text1"/>
                <w:sz w:val="22"/>
              </w:rPr>
              <w:t xml:space="preserve">                              </w:t>
            </w:r>
          </w:p>
        </w:tc>
        <w:tc>
          <w:tcPr>
            <w:tcW w:w="6237" w:type="dxa"/>
          </w:tcPr>
          <w:p w14:paraId="01DC5749" w14:textId="45DBFCE9" w:rsidR="00F1108B" w:rsidRPr="00321FA3" w:rsidRDefault="00F1108B" w:rsidP="007F785F">
            <w:pPr>
              <w:jc w:val="both"/>
              <w:rPr>
                <w:rFonts w:ascii="Arial" w:eastAsia="Calibri" w:hAnsi="Arial" w:cs="Arial"/>
                <w:color w:val="000000" w:themeColor="text1"/>
                <w:sz w:val="22"/>
              </w:rPr>
            </w:pPr>
            <w:r w:rsidRPr="00321FA3">
              <w:rPr>
                <w:rFonts w:ascii="Arial" w:eastAsia="Calibri" w:hAnsi="Arial" w:cs="Arial"/>
                <w:color w:val="000000" w:themeColor="text1"/>
                <w:sz w:val="22"/>
              </w:rPr>
              <w:t>Respuesta</w:t>
            </w:r>
            <w:r w:rsidR="00FE55A7" w:rsidRPr="00321FA3">
              <w:rPr>
                <w:rFonts w:ascii="Arial" w:eastAsia="Calibri" w:hAnsi="Arial" w:cs="Arial"/>
                <w:color w:val="000000" w:themeColor="text1"/>
                <w:sz w:val="22"/>
              </w:rPr>
              <w:t xml:space="preserve"> a la</w:t>
            </w:r>
            <w:r w:rsidR="00496786" w:rsidRPr="00321FA3">
              <w:rPr>
                <w:rFonts w:ascii="Arial" w:eastAsia="Calibri" w:hAnsi="Arial" w:cs="Arial"/>
                <w:color w:val="000000" w:themeColor="text1"/>
                <w:sz w:val="22"/>
              </w:rPr>
              <w:t>s</w:t>
            </w:r>
            <w:r w:rsidRPr="00321FA3">
              <w:rPr>
                <w:rFonts w:ascii="Arial" w:eastAsia="Calibri" w:hAnsi="Arial" w:cs="Arial"/>
                <w:color w:val="000000" w:themeColor="text1"/>
                <w:sz w:val="22"/>
              </w:rPr>
              <w:t xml:space="preserve"> consulta</w:t>
            </w:r>
            <w:r w:rsidR="00496786" w:rsidRPr="00321FA3">
              <w:rPr>
                <w:rFonts w:ascii="Arial" w:eastAsia="Calibri" w:hAnsi="Arial" w:cs="Arial"/>
                <w:color w:val="000000" w:themeColor="text1"/>
                <w:sz w:val="22"/>
              </w:rPr>
              <w:t>s</w:t>
            </w:r>
            <w:r w:rsidRPr="00321FA3">
              <w:rPr>
                <w:rFonts w:ascii="Arial" w:eastAsia="Calibri" w:hAnsi="Arial" w:cs="Arial"/>
                <w:color w:val="000000" w:themeColor="text1"/>
                <w:sz w:val="22"/>
              </w:rPr>
              <w:t xml:space="preserve"> # </w:t>
            </w:r>
            <w:r w:rsidR="00496786" w:rsidRPr="00321FA3">
              <w:rPr>
                <w:rFonts w:ascii="Arial" w:eastAsia="Calibri" w:hAnsi="Arial" w:cs="Arial"/>
                <w:color w:val="000000" w:themeColor="text1"/>
                <w:sz w:val="22"/>
              </w:rPr>
              <w:t>4202013000002321 y 4202013000002326</w:t>
            </w:r>
          </w:p>
        </w:tc>
      </w:tr>
    </w:tbl>
    <w:p w14:paraId="7DF1E86E" w14:textId="77777777" w:rsidR="00F1108B" w:rsidRPr="00321FA3" w:rsidRDefault="00F1108B" w:rsidP="00F1108B">
      <w:pPr>
        <w:jc w:val="both"/>
        <w:rPr>
          <w:rFonts w:ascii="Arial" w:eastAsia="Calibri" w:hAnsi="Arial" w:cs="Arial"/>
          <w:color w:val="000000" w:themeColor="text1"/>
          <w:sz w:val="22"/>
        </w:rPr>
      </w:pPr>
    </w:p>
    <w:p w14:paraId="446ECF41" w14:textId="77777777" w:rsidR="00F1108B" w:rsidRPr="00321FA3" w:rsidRDefault="00F1108B" w:rsidP="00F1108B">
      <w:pPr>
        <w:jc w:val="both"/>
        <w:rPr>
          <w:rFonts w:ascii="Arial" w:eastAsia="Calibri" w:hAnsi="Arial" w:cs="Arial"/>
          <w:color w:val="000000" w:themeColor="text1"/>
          <w:sz w:val="22"/>
        </w:rPr>
      </w:pPr>
    </w:p>
    <w:p w14:paraId="6A11BDDD" w14:textId="3CB9B10A" w:rsidR="00F1108B" w:rsidRPr="00321FA3" w:rsidRDefault="00F1108B" w:rsidP="00F1108B">
      <w:pPr>
        <w:rPr>
          <w:rFonts w:ascii="Arial" w:eastAsia="Calibri" w:hAnsi="Arial" w:cs="Arial"/>
          <w:color w:val="000000" w:themeColor="text1"/>
          <w:sz w:val="22"/>
        </w:rPr>
      </w:pPr>
      <w:r w:rsidRPr="00321FA3">
        <w:rPr>
          <w:rFonts w:ascii="Arial" w:eastAsia="Calibri" w:hAnsi="Arial" w:cs="Arial"/>
          <w:color w:val="000000" w:themeColor="text1"/>
          <w:sz w:val="22"/>
        </w:rPr>
        <w:t>Estimad</w:t>
      </w:r>
      <w:r w:rsidR="00E97F0A" w:rsidRPr="00321FA3">
        <w:rPr>
          <w:rFonts w:ascii="Arial" w:eastAsia="Calibri" w:hAnsi="Arial" w:cs="Arial"/>
          <w:color w:val="000000" w:themeColor="text1"/>
          <w:sz w:val="22"/>
        </w:rPr>
        <w:t>a</w:t>
      </w:r>
      <w:r w:rsidRPr="00321FA3">
        <w:rPr>
          <w:rFonts w:ascii="Arial" w:eastAsia="Calibri" w:hAnsi="Arial" w:cs="Arial"/>
          <w:color w:val="000000" w:themeColor="text1"/>
          <w:sz w:val="22"/>
        </w:rPr>
        <w:t xml:space="preserve"> señor</w:t>
      </w:r>
      <w:r w:rsidR="00E97F0A" w:rsidRPr="00321FA3">
        <w:rPr>
          <w:rFonts w:ascii="Arial" w:eastAsia="Calibri" w:hAnsi="Arial" w:cs="Arial"/>
          <w:color w:val="000000" w:themeColor="text1"/>
          <w:sz w:val="22"/>
        </w:rPr>
        <w:t>a</w:t>
      </w:r>
      <w:r w:rsidRPr="00321FA3">
        <w:rPr>
          <w:rFonts w:ascii="Arial" w:eastAsia="Calibri" w:hAnsi="Arial" w:cs="Arial"/>
          <w:color w:val="000000" w:themeColor="text1"/>
          <w:sz w:val="22"/>
        </w:rPr>
        <w:t xml:space="preserve"> </w:t>
      </w:r>
      <w:r w:rsidR="00E97F0A" w:rsidRPr="00321FA3">
        <w:rPr>
          <w:rFonts w:ascii="Arial" w:eastAsia="Calibri" w:hAnsi="Arial" w:cs="Arial"/>
          <w:color w:val="000000" w:themeColor="text1"/>
          <w:sz w:val="22"/>
        </w:rPr>
        <w:t>Pava Medina</w:t>
      </w:r>
      <w:r w:rsidRPr="00321FA3">
        <w:rPr>
          <w:rFonts w:ascii="Arial" w:eastAsia="Calibri" w:hAnsi="Arial" w:cs="Arial"/>
          <w:color w:val="000000" w:themeColor="text1"/>
          <w:sz w:val="22"/>
        </w:rPr>
        <w:t>,</w:t>
      </w:r>
    </w:p>
    <w:p w14:paraId="45ADAB8A" w14:textId="77777777" w:rsidR="00F1108B" w:rsidRPr="00321FA3" w:rsidRDefault="00F1108B" w:rsidP="00F1108B">
      <w:pPr>
        <w:rPr>
          <w:rFonts w:ascii="Arial" w:eastAsia="Calibri" w:hAnsi="Arial" w:cs="Arial"/>
          <w:color w:val="000000" w:themeColor="text1"/>
          <w:sz w:val="22"/>
        </w:rPr>
      </w:pPr>
    </w:p>
    <w:p w14:paraId="329AA852" w14:textId="5FD6B62B" w:rsidR="00F1108B" w:rsidRPr="00321FA3" w:rsidRDefault="00F1108B" w:rsidP="00F1108B">
      <w:pPr>
        <w:spacing w:line="276" w:lineRule="auto"/>
        <w:ind w:right="49"/>
        <w:jc w:val="both"/>
        <w:rPr>
          <w:rFonts w:ascii="Arial" w:eastAsia="Calibri" w:hAnsi="Arial" w:cs="Arial"/>
          <w:color w:val="000000" w:themeColor="text1"/>
          <w:sz w:val="22"/>
        </w:rPr>
      </w:pPr>
      <w:r w:rsidRPr="00321FA3">
        <w:rPr>
          <w:rFonts w:ascii="Arial" w:eastAsia="Calibri" w:hAnsi="Arial" w:cs="Arial"/>
          <w:color w:val="000000" w:themeColor="text1"/>
          <w:sz w:val="22"/>
        </w:rPr>
        <w:t xml:space="preserve">La Agencia Nacional de Contratación Pública ―Colombia Compra Eficiente― responde su consulta del </w:t>
      </w:r>
      <w:r w:rsidR="00E97F0A" w:rsidRPr="00321FA3">
        <w:rPr>
          <w:rFonts w:ascii="Arial" w:eastAsia="Calibri" w:hAnsi="Arial" w:cs="Arial"/>
          <w:color w:val="000000" w:themeColor="text1"/>
          <w:sz w:val="22"/>
        </w:rPr>
        <w:t>1º de abril</w:t>
      </w:r>
      <w:r w:rsidRPr="00321FA3">
        <w:rPr>
          <w:rFonts w:ascii="Arial" w:eastAsia="Calibri" w:hAnsi="Arial" w:cs="Arial"/>
          <w:color w:val="000000" w:themeColor="text1"/>
          <w:sz w:val="22"/>
        </w:rPr>
        <w:t xml:space="preserve"> de 2020, en ejercicio de la competencia otorgada por el numeral 8 del artículo 11 y el numeral 5 del artículo 3 del Decreto Ley 4170 de 2011. </w:t>
      </w:r>
    </w:p>
    <w:p w14:paraId="72382DCC" w14:textId="77777777" w:rsidR="00F1108B" w:rsidRPr="00321FA3" w:rsidRDefault="00F1108B" w:rsidP="00F1108B">
      <w:pPr>
        <w:pStyle w:val="Prrafodelista"/>
        <w:tabs>
          <w:tab w:val="left" w:pos="284"/>
        </w:tabs>
        <w:spacing w:line="276" w:lineRule="auto"/>
        <w:ind w:left="0"/>
        <w:jc w:val="both"/>
        <w:rPr>
          <w:rFonts w:ascii="Arial" w:eastAsia="Calibri" w:hAnsi="Arial" w:cs="Arial"/>
          <w:color w:val="000000" w:themeColor="text1"/>
          <w:sz w:val="22"/>
        </w:rPr>
      </w:pPr>
    </w:p>
    <w:p w14:paraId="7041ED68" w14:textId="77777777" w:rsidR="00F1108B" w:rsidRPr="00321FA3" w:rsidRDefault="00F1108B" w:rsidP="00F1108B">
      <w:pPr>
        <w:pStyle w:val="Prrafodelista"/>
        <w:tabs>
          <w:tab w:val="left" w:pos="284"/>
        </w:tabs>
        <w:spacing w:line="276" w:lineRule="auto"/>
        <w:ind w:left="0"/>
        <w:jc w:val="both"/>
        <w:rPr>
          <w:rFonts w:ascii="Arial" w:eastAsia="Calibri" w:hAnsi="Arial" w:cs="Arial"/>
          <w:b/>
          <w:color w:val="000000" w:themeColor="text1"/>
          <w:sz w:val="22"/>
        </w:rPr>
      </w:pPr>
      <w:r w:rsidRPr="00321FA3">
        <w:rPr>
          <w:rFonts w:ascii="Arial" w:eastAsia="Calibri" w:hAnsi="Arial" w:cs="Arial"/>
          <w:b/>
          <w:color w:val="000000" w:themeColor="text1"/>
          <w:sz w:val="22"/>
        </w:rPr>
        <w:t>1.</w:t>
      </w:r>
      <w:r w:rsidRPr="00321FA3">
        <w:rPr>
          <w:rFonts w:ascii="Arial" w:eastAsia="Calibri" w:hAnsi="Arial" w:cs="Arial"/>
          <w:color w:val="000000" w:themeColor="text1"/>
          <w:sz w:val="22"/>
        </w:rPr>
        <w:t xml:space="preserve"> </w:t>
      </w:r>
      <w:r w:rsidRPr="00321FA3">
        <w:rPr>
          <w:rFonts w:ascii="Arial" w:eastAsia="Calibri" w:hAnsi="Arial" w:cs="Arial"/>
          <w:b/>
          <w:color w:val="000000" w:themeColor="text1"/>
          <w:sz w:val="22"/>
        </w:rPr>
        <w:t xml:space="preserve">Problemas planteados </w:t>
      </w:r>
    </w:p>
    <w:p w14:paraId="2C3DAA31" w14:textId="77777777" w:rsidR="00F1108B" w:rsidRPr="00321FA3" w:rsidRDefault="00F1108B" w:rsidP="00F1108B">
      <w:pPr>
        <w:tabs>
          <w:tab w:val="left" w:pos="426"/>
        </w:tabs>
        <w:spacing w:line="276" w:lineRule="auto"/>
        <w:jc w:val="both"/>
        <w:rPr>
          <w:rFonts w:ascii="Arial" w:eastAsia="Calibri" w:hAnsi="Arial" w:cs="Arial"/>
          <w:b/>
          <w:color w:val="000000" w:themeColor="text1"/>
          <w:sz w:val="22"/>
        </w:rPr>
      </w:pPr>
    </w:p>
    <w:p w14:paraId="54B6D392" w14:textId="32D13B70" w:rsidR="00F1108B" w:rsidRPr="00321FA3" w:rsidRDefault="00F1108B" w:rsidP="00E97F0A">
      <w:pPr>
        <w:tabs>
          <w:tab w:val="left" w:pos="426"/>
        </w:tabs>
        <w:spacing w:line="276" w:lineRule="auto"/>
        <w:jc w:val="both"/>
        <w:rPr>
          <w:rFonts w:ascii="Arial" w:eastAsia="Calibri" w:hAnsi="Arial" w:cs="Arial"/>
          <w:color w:val="000000" w:themeColor="text1"/>
          <w:sz w:val="22"/>
        </w:rPr>
      </w:pPr>
      <w:r w:rsidRPr="00321FA3">
        <w:rPr>
          <w:rFonts w:ascii="Arial" w:eastAsia="Calibri" w:hAnsi="Arial" w:cs="Arial"/>
          <w:color w:val="000000" w:themeColor="text1"/>
          <w:sz w:val="22"/>
        </w:rPr>
        <w:t>Usted realiza la</w:t>
      </w:r>
      <w:r w:rsidR="00984567" w:rsidRPr="00321FA3">
        <w:rPr>
          <w:rFonts w:ascii="Arial" w:eastAsia="Calibri" w:hAnsi="Arial" w:cs="Arial"/>
          <w:color w:val="000000" w:themeColor="text1"/>
          <w:sz w:val="22"/>
        </w:rPr>
        <w:t>s</w:t>
      </w:r>
      <w:r w:rsidRPr="00321FA3">
        <w:rPr>
          <w:rFonts w:ascii="Arial" w:eastAsia="Calibri" w:hAnsi="Arial" w:cs="Arial"/>
          <w:color w:val="000000" w:themeColor="text1"/>
          <w:sz w:val="22"/>
        </w:rPr>
        <w:t xml:space="preserve"> siguiente</w:t>
      </w:r>
      <w:r w:rsidR="00984567" w:rsidRPr="00321FA3">
        <w:rPr>
          <w:rFonts w:ascii="Arial" w:eastAsia="Calibri" w:hAnsi="Arial" w:cs="Arial"/>
          <w:color w:val="000000" w:themeColor="text1"/>
          <w:sz w:val="22"/>
        </w:rPr>
        <w:t>s</w:t>
      </w:r>
      <w:r w:rsidRPr="00321FA3">
        <w:rPr>
          <w:rFonts w:ascii="Arial" w:eastAsia="Calibri" w:hAnsi="Arial" w:cs="Arial"/>
          <w:color w:val="000000" w:themeColor="text1"/>
          <w:sz w:val="22"/>
        </w:rPr>
        <w:t xml:space="preserve"> pregunta</w:t>
      </w:r>
      <w:r w:rsidR="00984567" w:rsidRPr="00321FA3">
        <w:rPr>
          <w:rFonts w:ascii="Arial" w:eastAsia="Calibri" w:hAnsi="Arial" w:cs="Arial"/>
          <w:color w:val="000000" w:themeColor="text1"/>
          <w:sz w:val="22"/>
        </w:rPr>
        <w:t>s</w:t>
      </w:r>
      <w:r w:rsidRPr="00321FA3">
        <w:rPr>
          <w:rFonts w:ascii="Arial" w:eastAsia="Calibri" w:hAnsi="Arial" w:cs="Arial"/>
          <w:color w:val="000000" w:themeColor="text1"/>
          <w:sz w:val="22"/>
        </w:rPr>
        <w:t xml:space="preserve">: </w:t>
      </w:r>
      <w:bookmarkStart w:id="5" w:name="_Hlk36487304"/>
      <w:bookmarkStart w:id="6" w:name="_Hlk36049018"/>
      <w:bookmarkStart w:id="7" w:name="_Hlk34775390"/>
      <w:r w:rsidR="00013C6B" w:rsidRPr="00321FA3">
        <w:rPr>
          <w:rFonts w:ascii="Arial" w:eastAsia="Calibri" w:hAnsi="Arial" w:cs="Arial"/>
          <w:color w:val="000000" w:themeColor="text1"/>
          <w:sz w:val="22"/>
        </w:rPr>
        <w:t xml:space="preserve">i) </w:t>
      </w:r>
      <w:r w:rsidR="00DE5189" w:rsidRPr="00321FA3">
        <w:rPr>
          <w:rFonts w:ascii="Arial" w:eastAsia="Calibri" w:hAnsi="Arial" w:cs="Arial"/>
          <w:color w:val="000000" w:themeColor="text1"/>
          <w:sz w:val="22"/>
        </w:rPr>
        <w:t>¿</w:t>
      </w:r>
      <w:r w:rsidR="00E97F0A" w:rsidRPr="00321FA3">
        <w:rPr>
          <w:rFonts w:ascii="Arial" w:eastAsia="Calibri" w:hAnsi="Arial" w:cs="Arial"/>
          <w:color w:val="000000" w:themeColor="text1"/>
          <w:sz w:val="22"/>
        </w:rPr>
        <w:t>en un proceso de mínima cuantía,</w:t>
      </w:r>
      <w:r w:rsidR="0021148C" w:rsidRPr="00321FA3">
        <w:rPr>
          <w:rFonts w:ascii="Arial" w:eastAsia="Calibri" w:hAnsi="Arial" w:cs="Arial"/>
          <w:color w:val="000000" w:themeColor="text1"/>
          <w:sz w:val="22"/>
        </w:rPr>
        <w:t xml:space="preserve"> donde se evalúa el menor precio ofertado,</w:t>
      </w:r>
      <w:r w:rsidR="00E97F0A" w:rsidRPr="00321FA3">
        <w:rPr>
          <w:rFonts w:ascii="Arial" w:eastAsia="Calibri" w:hAnsi="Arial" w:cs="Arial"/>
          <w:color w:val="000000" w:themeColor="text1"/>
          <w:sz w:val="22"/>
        </w:rPr>
        <w:t xml:space="preserve"> las entidades estatales pueden rechazar de plano las propuestas </w:t>
      </w:r>
      <w:r w:rsidR="0021148C" w:rsidRPr="00321FA3">
        <w:rPr>
          <w:rFonts w:ascii="Arial" w:eastAsia="Calibri" w:hAnsi="Arial" w:cs="Arial"/>
          <w:color w:val="000000" w:themeColor="text1"/>
          <w:sz w:val="22"/>
        </w:rPr>
        <w:t>por la no presentación de</w:t>
      </w:r>
      <w:r w:rsidR="00E97F0A" w:rsidRPr="00321FA3">
        <w:rPr>
          <w:rFonts w:ascii="Arial" w:eastAsia="Calibri" w:hAnsi="Arial" w:cs="Arial"/>
          <w:color w:val="000000" w:themeColor="text1"/>
          <w:sz w:val="22"/>
        </w:rPr>
        <w:t xml:space="preserve"> las muestras, argumentando que es un requisito técnico </w:t>
      </w:r>
      <w:r w:rsidR="0021148C" w:rsidRPr="00321FA3">
        <w:rPr>
          <w:rFonts w:ascii="Arial" w:eastAsia="Calibri" w:hAnsi="Arial" w:cs="Arial"/>
          <w:color w:val="000000" w:themeColor="text1"/>
          <w:sz w:val="22"/>
        </w:rPr>
        <w:t>in</w:t>
      </w:r>
      <w:r w:rsidR="00E97F0A" w:rsidRPr="00321FA3">
        <w:rPr>
          <w:rFonts w:ascii="Arial" w:eastAsia="Calibri" w:hAnsi="Arial" w:cs="Arial"/>
          <w:color w:val="000000" w:themeColor="text1"/>
          <w:sz w:val="22"/>
        </w:rPr>
        <w:t>subsanable</w:t>
      </w:r>
      <w:r w:rsidR="00DE5189" w:rsidRPr="00321FA3">
        <w:rPr>
          <w:rFonts w:ascii="Arial" w:eastAsia="Calibri" w:hAnsi="Arial" w:cs="Arial"/>
          <w:color w:val="000000" w:themeColor="text1"/>
          <w:sz w:val="22"/>
        </w:rPr>
        <w:t>?</w:t>
      </w:r>
      <w:bookmarkEnd w:id="5"/>
      <w:r w:rsidR="00DE5189" w:rsidRPr="00321FA3">
        <w:rPr>
          <w:rFonts w:ascii="Arial" w:eastAsia="Calibri" w:hAnsi="Arial" w:cs="Arial"/>
          <w:color w:val="000000" w:themeColor="text1"/>
          <w:sz w:val="22"/>
        </w:rPr>
        <w:t xml:space="preserve">, </w:t>
      </w:r>
      <w:bookmarkStart w:id="8" w:name="_Hlk36489662"/>
      <w:r w:rsidR="00013C6B" w:rsidRPr="00321FA3">
        <w:rPr>
          <w:rFonts w:ascii="Arial" w:eastAsia="Calibri" w:hAnsi="Arial" w:cs="Arial"/>
          <w:color w:val="000000" w:themeColor="text1"/>
          <w:sz w:val="22"/>
        </w:rPr>
        <w:t xml:space="preserve">ii) </w:t>
      </w:r>
      <w:bookmarkStart w:id="9" w:name="_Hlk37341356"/>
      <w:r w:rsidR="00DE5189" w:rsidRPr="00321FA3">
        <w:rPr>
          <w:rFonts w:ascii="Arial" w:eastAsia="Calibri" w:hAnsi="Arial" w:cs="Arial"/>
          <w:color w:val="000000" w:themeColor="text1"/>
          <w:sz w:val="22"/>
        </w:rPr>
        <w:t>¿</w:t>
      </w:r>
      <w:r w:rsidR="0021148C" w:rsidRPr="00321FA3">
        <w:rPr>
          <w:rFonts w:ascii="Arial" w:eastAsia="Calibri" w:hAnsi="Arial" w:cs="Arial"/>
          <w:color w:val="000000" w:themeColor="text1"/>
          <w:sz w:val="22"/>
        </w:rPr>
        <w:t>los oferentes tienen derecho a subsanar las muestras en tal situación</w:t>
      </w:r>
      <w:r w:rsidR="00DE5189" w:rsidRPr="00321FA3">
        <w:rPr>
          <w:rFonts w:ascii="Arial" w:eastAsia="Calibri" w:hAnsi="Arial" w:cs="Arial"/>
          <w:color w:val="000000" w:themeColor="text1"/>
          <w:sz w:val="22"/>
        </w:rPr>
        <w:t>?</w:t>
      </w:r>
      <w:bookmarkEnd w:id="8"/>
      <w:bookmarkEnd w:id="9"/>
      <w:r w:rsidR="00DE5189" w:rsidRPr="00321FA3">
        <w:rPr>
          <w:rFonts w:ascii="Arial" w:eastAsia="Calibri" w:hAnsi="Arial" w:cs="Arial"/>
          <w:color w:val="000000" w:themeColor="text1"/>
          <w:sz w:val="22"/>
        </w:rPr>
        <w:t>,</w:t>
      </w:r>
      <w:r w:rsidR="00013C6B" w:rsidRPr="00321FA3">
        <w:rPr>
          <w:rFonts w:ascii="Arial" w:eastAsia="Calibri" w:hAnsi="Arial" w:cs="Arial"/>
          <w:color w:val="000000" w:themeColor="text1"/>
          <w:sz w:val="22"/>
        </w:rPr>
        <w:t xml:space="preserve"> </w:t>
      </w:r>
      <w:bookmarkStart w:id="10" w:name="_Hlk36490801"/>
      <w:r w:rsidR="00013C6B" w:rsidRPr="00321FA3">
        <w:rPr>
          <w:rFonts w:ascii="Arial" w:eastAsia="Calibri" w:hAnsi="Arial" w:cs="Arial"/>
          <w:color w:val="000000" w:themeColor="text1"/>
          <w:sz w:val="22"/>
        </w:rPr>
        <w:t>iii)</w:t>
      </w:r>
      <w:r w:rsidR="00DE5189" w:rsidRPr="00321FA3">
        <w:rPr>
          <w:rFonts w:ascii="Arial" w:eastAsia="Calibri" w:hAnsi="Arial" w:cs="Arial"/>
          <w:color w:val="000000" w:themeColor="text1"/>
          <w:sz w:val="22"/>
        </w:rPr>
        <w:t xml:space="preserve"> </w:t>
      </w:r>
      <w:bookmarkStart w:id="11" w:name="_Hlk37341403"/>
      <w:r w:rsidR="00DE5189" w:rsidRPr="00321FA3">
        <w:rPr>
          <w:rFonts w:ascii="Arial" w:eastAsia="Calibri" w:hAnsi="Arial" w:cs="Arial"/>
          <w:color w:val="000000" w:themeColor="text1"/>
          <w:sz w:val="22"/>
        </w:rPr>
        <w:t>¿</w:t>
      </w:r>
      <w:r w:rsidR="0021148C" w:rsidRPr="00321FA3">
        <w:rPr>
          <w:rFonts w:ascii="Arial" w:eastAsia="Calibri" w:hAnsi="Arial" w:cs="Arial"/>
          <w:color w:val="000000" w:themeColor="text1"/>
          <w:sz w:val="22"/>
        </w:rPr>
        <w:t>Colombia Compra Eficiente tiene alguna guía o manual donde se ilustre el manejo de las muestras en los procesos de selección</w:t>
      </w:r>
      <w:r w:rsidR="00013C6B" w:rsidRPr="00321FA3">
        <w:rPr>
          <w:rFonts w:ascii="Arial" w:eastAsia="Calibri" w:hAnsi="Arial" w:cs="Arial"/>
          <w:color w:val="000000" w:themeColor="text1"/>
          <w:sz w:val="22"/>
        </w:rPr>
        <w:t>?</w:t>
      </w:r>
      <w:bookmarkEnd w:id="11"/>
      <w:r w:rsidR="00DE5189" w:rsidRPr="00321FA3">
        <w:rPr>
          <w:rFonts w:ascii="Arial" w:eastAsia="Calibri" w:hAnsi="Arial" w:cs="Arial"/>
          <w:color w:val="000000" w:themeColor="text1"/>
          <w:sz w:val="22"/>
        </w:rPr>
        <w:t xml:space="preserve"> </w:t>
      </w:r>
      <w:r w:rsidR="00B06595" w:rsidRPr="00321FA3">
        <w:rPr>
          <w:rFonts w:ascii="Arial" w:eastAsia="Calibri" w:hAnsi="Arial" w:cs="Arial"/>
          <w:color w:val="000000" w:themeColor="text1"/>
          <w:sz w:val="22"/>
        </w:rPr>
        <w:t xml:space="preserve"> </w:t>
      </w:r>
      <w:bookmarkEnd w:id="6"/>
      <w:bookmarkEnd w:id="7"/>
      <w:r w:rsidR="007F785F" w:rsidRPr="00321FA3">
        <w:rPr>
          <w:rFonts w:ascii="Arial" w:eastAsia="Calibri" w:hAnsi="Arial" w:cs="Arial"/>
          <w:color w:val="000000" w:themeColor="text1"/>
          <w:sz w:val="22"/>
        </w:rPr>
        <w:t xml:space="preserve">  </w:t>
      </w:r>
      <w:bookmarkEnd w:id="10"/>
    </w:p>
    <w:p w14:paraId="04DF639B" w14:textId="77777777" w:rsidR="00F1108B" w:rsidRPr="00321FA3" w:rsidRDefault="00F1108B" w:rsidP="00F1108B">
      <w:pPr>
        <w:tabs>
          <w:tab w:val="left" w:pos="426"/>
        </w:tabs>
        <w:spacing w:line="276" w:lineRule="auto"/>
        <w:jc w:val="both"/>
        <w:rPr>
          <w:rFonts w:ascii="Arial" w:eastAsia="Calibri" w:hAnsi="Arial" w:cs="Arial"/>
          <w:color w:val="000000" w:themeColor="text1"/>
          <w:sz w:val="22"/>
        </w:rPr>
      </w:pPr>
    </w:p>
    <w:p w14:paraId="68AE0704" w14:textId="1DC77087" w:rsidR="00F1108B" w:rsidRPr="00321FA3" w:rsidRDefault="00F1108B" w:rsidP="00161F1C">
      <w:pPr>
        <w:tabs>
          <w:tab w:val="left" w:pos="426"/>
        </w:tabs>
        <w:spacing w:line="276" w:lineRule="auto"/>
        <w:jc w:val="both"/>
        <w:rPr>
          <w:rFonts w:ascii="Arial" w:eastAsia="Calibri" w:hAnsi="Arial" w:cs="Arial"/>
          <w:b/>
          <w:color w:val="000000" w:themeColor="text1"/>
          <w:sz w:val="22"/>
        </w:rPr>
      </w:pPr>
      <w:r w:rsidRPr="00321FA3">
        <w:rPr>
          <w:rFonts w:ascii="Arial" w:eastAsia="Calibri" w:hAnsi="Arial" w:cs="Arial"/>
          <w:b/>
          <w:color w:val="000000" w:themeColor="text1"/>
          <w:sz w:val="22"/>
        </w:rPr>
        <w:t>2.</w:t>
      </w:r>
      <w:r w:rsidRPr="00321FA3">
        <w:rPr>
          <w:rFonts w:ascii="Arial" w:eastAsia="Calibri" w:hAnsi="Arial" w:cs="Arial"/>
          <w:color w:val="000000" w:themeColor="text1"/>
          <w:sz w:val="22"/>
        </w:rPr>
        <w:t xml:space="preserve"> </w:t>
      </w:r>
      <w:r w:rsidRPr="00321FA3">
        <w:rPr>
          <w:rFonts w:ascii="Arial" w:eastAsia="Calibri" w:hAnsi="Arial" w:cs="Arial"/>
          <w:b/>
          <w:color w:val="000000" w:themeColor="text1"/>
          <w:sz w:val="22"/>
        </w:rPr>
        <w:t>Consideraciones</w:t>
      </w:r>
    </w:p>
    <w:p w14:paraId="0734BEF7" w14:textId="77777777" w:rsidR="00161F1C" w:rsidRPr="00321FA3" w:rsidRDefault="00161F1C" w:rsidP="00161F1C">
      <w:pPr>
        <w:tabs>
          <w:tab w:val="left" w:pos="426"/>
        </w:tabs>
        <w:spacing w:line="276" w:lineRule="auto"/>
        <w:jc w:val="both"/>
        <w:rPr>
          <w:rFonts w:ascii="Arial" w:eastAsia="Calibri" w:hAnsi="Arial" w:cs="Arial"/>
          <w:b/>
          <w:color w:val="000000" w:themeColor="text1"/>
          <w:sz w:val="22"/>
        </w:rPr>
      </w:pPr>
    </w:p>
    <w:p w14:paraId="213B0DA5" w14:textId="4796EA69" w:rsidR="002D5A1B" w:rsidRPr="00321FA3" w:rsidRDefault="00F1108B" w:rsidP="00984567">
      <w:pPr>
        <w:spacing w:before="120" w:after="120" w:line="276" w:lineRule="auto"/>
        <w:jc w:val="both"/>
        <w:rPr>
          <w:rFonts w:ascii="Arial" w:hAnsi="Arial" w:cs="Arial"/>
          <w:color w:val="000000" w:themeColor="text1"/>
          <w:sz w:val="22"/>
          <w:lang w:val="es-ES_tradnl"/>
        </w:rPr>
      </w:pPr>
      <w:r w:rsidRPr="00321FA3">
        <w:rPr>
          <w:rFonts w:ascii="Arial" w:hAnsi="Arial" w:cs="Arial"/>
          <w:color w:val="000000" w:themeColor="text1"/>
          <w:sz w:val="22"/>
          <w:lang w:val="es-ES_tradnl"/>
        </w:rPr>
        <w:t>Para desarrollar los proble</w:t>
      </w:r>
      <w:r w:rsidR="008A796E" w:rsidRPr="00321FA3">
        <w:rPr>
          <w:rFonts w:ascii="Arial" w:hAnsi="Arial" w:cs="Arial"/>
          <w:color w:val="000000" w:themeColor="text1"/>
          <w:sz w:val="22"/>
          <w:lang w:val="es-ES_tradnl"/>
        </w:rPr>
        <w:t>mas planteados</w:t>
      </w:r>
      <w:r w:rsidR="00D32256" w:rsidRPr="00321FA3">
        <w:rPr>
          <w:rFonts w:ascii="Arial" w:hAnsi="Arial" w:cs="Arial"/>
          <w:color w:val="000000" w:themeColor="text1"/>
          <w:sz w:val="22"/>
          <w:lang w:val="es-ES_tradnl"/>
        </w:rPr>
        <w:t>,</w:t>
      </w:r>
      <w:r w:rsidR="008A796E" w:rsidRPr="00321FA3">
        <w:rPr>
          <w:rFonts w:ascii="Arial" w:hAnsi="Arial" w:cs="Arial"/>
          <w:color w:val="000000" w:themeColor="text1"/>
          <w:sz w:val="22"/>
          <w:lang w:val="es-ES_tradnl"/>
        </w:rPr>
        <w:t xml:space="preserve"> </w:t>
      </w:r>
      <w:r w:rsidRPr="00321FA3">
        <w:rPr>
          <w:rFonts w:ascii="Arial" w:hAnsi="Arial" w:cs="Arial"/>
          <w:color w:val="000000" w:themeColor="text1"/>
          <w:sz w:val="22"/>
          <w:lang w:val="es-ES_tradnl"/>
        </w:rPr>
        <w:t xml:space="preserve">se </w:t>
      </w:r>
      <w:r w:rsidR="00AE6582" w:rsidRPr="00321FA3">
        <w:rPr>
          <w:rFonts w:ascii="Arial" w:hAnsi="Arial" w:cs="Arial"/>
          <w:color w:val="000000" w:themeColor="text1"/>
          <w:sz w:val="22"/>
          <w:lang w:val="es-ES_tradnl"/>
        </w:rPr>
        <w:t xml:space="preserve">analizará </w:t>
      </w:r>
      <w:r w:rsidR="00013C6B" w:rsidRPr="00321FA3">
        <w:rPr>
          <w:rFonts w:ascii="Arial" w:hAnsi="Arial" w:cs="Arial"/>
          <w:color w:val="000000" w:themeColor="text1"/>
          <w:sz w:val="22"/>
          <w:lang w:val="es-ES_tradnl"/>
        </w:rPr>
        <w:t>la posibilidad de solicitar muestras en los procesos de selección</w:t>
      </w:r>
      <w:r w:rsidR="00AE6582" w:rsidRPr="00321FA3">
        <w:rPr>
          <w:rFonts w:ascii="Arial" w:hAnsi="Arial" w:cs="Arial"/>
          <w:color w:val="000000" w:themeColor="text1"/>
          <w:sz w:val="22"/>
          <w:lang w:val="es-ES_tradnl"/>
        </w:rPr>
        <w:t xml:space="preserve"> </w:t>
      </w:r>
      <w:r w:rsidR="00D32256" w:rsidRPr="00321FA3">
        <w:rPr>
          <w:rFonts w:ascii="Arial" w:hAnsi="Arial" w:cs="Arial"/>
          <w:color w:val="000000" w:themeColor="text1"/>
          <w:sz w:val="22"/>
          <w:lang w:val="es-ES_tradnl"/>
        </w:rPr>
        <w:t>y</w:t>
      </w:r>
      <w:r w:rsidR="00AE6582" w:rsidRPr="00321FA3">
        <w:rPr>
          <w:rFonts w:ascii="Arial" w:hAnsi="Arial" w:cs="Arial"/>
          <w:color w:val="000000" w:themeColor="text1"/>
          <w:sz w:val="22"/>
          <w:lang w:val="es-ES_tradnl"/>
        </w:rPr>
        <w:t>, a renglón seguido, se explicará</w:t>
      </w:r>
      <w:r w:rsidR="00A60B1F" w:rsidRPr="00321FA3">
        <w:rPr>
          <w:rFonts w:ascii="Arial" w:hAnsi="Arial" w:cs="Arial"/>
          <w:color w:val="000000" w:themeColor="text1"/>
          <w:sz w:val="22"/>
          <w:lang w:val="es-ES_tradnl"/>
        </w:rPr>
        <w:t>n</w:t>
      </w:r>
      <w:r w:rsidR="00013C6B" w:rsidRPr="00321FA3">
        <w:rPr>
          <w:rFonts w:ascii="Arial" w:hAnsi="Arial" w:cs="Arial"/>
          <w:color w:val="000000" w:themeColor="text1"/>
          <w:sz w:val="22"/>
          <w:lang w:val="es-ES_tradnl"/>
        </w:rPr>
        <w:t xml:space="preserve"> las reglas de subsanabilidad de las propuestas</w:t>
      </w:r>
      <w:r w:rsidR="00D32256" w:rsidRPr="00321FA3">
        <w:rPr>
          <w:rFonts w:ascii="Arial" w:hAnsi="Arial" w:cs="Arial"/>
          <w:color w:val="000000" w:themeColor="text1"/>
          <w:sz w:val="22"/>
          <w:lang w:val="es-ES_tradnl"/>
        </w:rPr>
        <w:t>.</w:t>
      </w:r>
      <w:r w:rsidR="008A796E" w:rsidRPr="00321FA3">
        <w:rPr>
          <w:rFonts w:ascii="Arial" w:hAnsi="Arial" w:cs="Arial"/>
          <w:color w:val="000000" w:themeColor="text1"/>
          <w:sz w:val="22"/>
          <w:lang w:val="es-ES_tradnl"/>
        </w:rPr>
        <w:t xml:space="preserve"> </w:t>
      </w:r>
      <w:r w:rsidR="00F87E29" w:rsidRPr="00321FA3">
        <w:rPr>
          <w:rFonts w:ascii="Arial" w:hAnsi="Arial" w:cs="Arial"/>
          <w:color w:val="000000" w:themeColor="text1"/>
          <w:sz w:val="22"/>
          <w:lang w:val="es-ES_tradnl"/>
        </w:rPr>
        <w:t xml:space="preserve"> </w:t>
      </w:r>
    </w:p>
    <w:p w14:paraId="1AB7168B" w14:textId="29B52455" w:rsidR="002D5A1B" w:rsidRPr="00321FA3" w:rsidRDefault="002D5A1B" w:rsidP="00DC1A68">
      <w:pPr>
        <w:spacing w:before="120" w:line="276" w:lineRule="auto"/>
        <w:jc w:val="both"/>
        <w:rPr>
          <w:rFonts w:ascii="Arial" w:hAnsi="Arial" w:cs="Arial"/>
          <w:color w:val="000000" w:themeColor="text1"/>
          <w:sz w:val="22"/>
          <w:lang w:val="es-ES_tradnl"/>
        </w:rPr>
      </w:pPr>
      <w:r w:rsidRPr="00321FA3">
        <w:rPr>
          <w:rFonts w:ascii="Arial" w:hAnsi="Arial" w:cs="Arial"/>
          <w:color w:val="000000" w:themeColor="text1"/>
          <w:sz w:val="22"/>
          <w:lang w:val="es-ES_tradnl"/>
        </w:rPr>
        <w:tab/>
      </w:r>
      <w:bookmarkStart w:id="12" w:name="_Hlk35433708"/>
      <w:r w:rsidRPr="00321FA3">
        <w:rPr>
          <w:rFonts w:ascii="Arial" w:hAnsi="Arial" w:cs="Arial"/>
          <w:color w:val="000000" w:themeColor="text1"/>
          <w:sz w:val="22"/>
          <w:lang w:val="es-ES_tradnl"/>
        </w:rPr>
        <w:t xml:space="preserve">En </w:t>
      </w:r>
      <w:r w:rsidR="00E1482E" w:rsidRPr="00321FA3">
        <w:rPr>
          <w:rFonts w:ascii="Arial" w:hAnsi="Arial" w:cs="Arial"/>
          <w:color w:val="000000" w:themeColor="text1"/>
          <w:sz w:val="22"/>
          <w:lang w:val="es-ES_tradnl"/>
        </w:rPr>
        <w:t xml:space="preserve">otra </w:t>
      </w:r>
      <w:r w:rsidRPr="00321FA3">
        <w:rPr>
          <w:rFonts w:ascii="Arial" w:hAnsi="Arial" w:cs="Arial"/>
          <w:color w:val="000000" w:themeColor="text1"/>
          <w:sz w:val="22"/>
          <w:lang w:val="es-ES_tradnl"/>
        </w:rPr>
        <w:t xml:space="preserve">oportunidad esta Subdirección expidió </w:t>
      </w:r>
      <w:r w:rsidR="00013C6B" w:rsidRPr="00321FA3">
        <w:rPr>
          <w:rFonts w:ascii="Arial" w:hAnsi="Arial" w:cs="Arial"/>
          <w:color w:val="000000" w:themeColor="text1"/>
          <w:sz w:val="22"/>
          <w:lang w:val="es-ES_tradnl"/>
        </w:rPr>
        <w:t xml:space="preserve">los conceptos </w:t>
      </w:r>
      <w:r w:rsidR="000F1BBD" w:rsidRPr="00321FA3">
        <w:rPr>
          <w:rFonts w:ascii="Arial" w:hAnsi="Arial" w:cs="Arial"/>
          <w:color w:val="000000" w:themeColor="text1"/>
          <w:sz w:val="22"/>
          <w:lang w:val="es-ES_tradnl"/>
        </w:rPr>
        <w:t>41613000</w:t>
      </w:r>
      <w:r w:rsidR="00013C6B" w:rsidRPr="00321FA3">
        <w:rPr>
          <w:rFonts w:ascii="Arial" w:hAnsi="Arial" w:cs="Arial"/>
          <w:color w:val="000000" w:themeColor="text1"/>
          <w:sz w:val="22"/>
          <w:lang w:val="es-ES_tradnl"/>
        </w:rPr>
        <w:t xml:space="preserve">2307 del 26 de mayo de 2016, </w:t>
      </w:r>
      <w:r w:rsidR="000F1BBD" w:rsidRPr="00321FA3">
        <w:rPr>
          <w:rFonts w:ascii="Arial" w:hAnsi="Arial" w:cs="Arial"/>
          <w:color w:val="000000" w:themeColor="text1"/>
          <w:sz w:val="22"/>
          <w:lang w:val="es-ES_tradnl"/>
        </w:rPr>
        <w:t>4201714000000</w:t>
      </w:r>
      <w:r w:rsidR="00013C6B" w:rsidRPr="00321FA3">
        <w:rPr>
          <w:rFonts w:ascii="Arial" w:hAnsi="Arial" w:cs="Arial"/>
          <w:color w:val="000000" w:themeColor="text1"/>
          <w:sz w:val="22"/>
          <w:lang w:val="es-ES_tradnl"/>
        </w:rPr>
        <w:t xml:space="preserve">374 de 13 de febrero de 2017, </w:t>
      </w:r>
      <w:r w:rsidR="000F1BBD" w:rsidRPr="00321FA3">
        <w:rPr>
          <w:rFonts w:ascii="Arial" w:hAnsi="Arial" w:cs="Arial"/>
          <w:color w:val="000000" w:themeColor="text1"/>
          <w:sz w:val="22"/>
          <w:lang w:val="es-ES_tradnl"/>
        </w:rPr>
        <w:t>4201911000000</w:t>
      </w:r>
      <w:r w:rsidR="00013C6B" w:rsidRPr="00321FA3">
        <w:rPr>
          <w:rFonts w:ascii="Arial" w:hAnsi="Arial" w:cs="Arial"/>
          <w:color w:val="000000" w:themeColor="text1"/>
          <w:sz w:val="22"/>
          <w:lang w:val="es-ES_tradnl"/>
        </w:rPr>
        <w:t xml:space="preserve">622 del 15 de marzo de 2019 y </w:t>
      </w:r>
      <w:r w:rsidR="000F1BBD" w:rsidRPr="00321FA3">
        <w:rPr>
          <w:rFonts w:ascii="Arial" w:hAnsi="Arial" w:cs="Arial"/>
          <w:color w:val="000000" w:themeColor="text1"/>
          <w:sz w:val="22"/>
          <w:lang w:val="es-ES_tradnl"/>
        </w:rPr>
        <w:t>420191200000</w:t>
      </w:r>
      <w:r w:rsidR="00013C6B" w:rsidRPr="00321FA3">
        <w:rPr>
          <w:rFonts w:ascii="Arial" w:hAnsi="Arial" w:cs="Arial"/>
          <w:color w:val="000000" w:themeColor="text1"/>
          <w:sz w:val="22"/>
          <w:lang w:val="es-ES_tradnl"/>
        </w:rPr>
        <w:t>533 del 3 de septiembre de 2019</w:t>
      </w:r>
      <w:r w:rsidR="001A18D5" w:rsidRPr="00321FA3">
        <w:rPr>
          <w:rFonts w:ascii="Arial" w:hAnsi="Arial" w:cs="Arial"/>
          <w:color w:val="000000" w:themeColor="text1"/>
          <w:sz w:val="22"/>
          <w:lang w:val="es-ES_tradnl"/>
        </w:rPr>
        <w:t xml:space="preserve"> y C-104 del 8 de abril de 2020</w:t>
      </w:r>
      <w:r w:rsidRPr="00321FA3">
        <w:rPr>
          <w:rFonts w:ascii="Arial" w:hAnsi="Arial" w:cs="Arial"/>
          <w:color w:val="000000" w:themeColor="text1"/>
          <w:sz w:val="22"/>
          <w:lang w:val="es-ES_tradnl"/>
        </w:rPr>
        <w:t xml:space="preserve">, </w:t>
      </w:r>
      <w:r w:rsidR="003D0DE5" w:rsidRPr="00321FA3">
        <w:rPr>
          <w:rFonts w:ascii="Arial" w:hAnsi="Arial" w:cs="Arial"/>
          <w:color w:val="000000" w:themeColor="text1"/>
          <w:sz w:val="22"/>
          <w:lang w:val="es-ES_tradnl"/>
        </w:rPr>
        <w:t>donde se</w:t>
      </w:r>
      <w:r w:rsidRPr="00321FA3">
        <w:rPr>
          <w:rFonts w:ascii="Arial" w:hAnsi="Arial" w:cs="Arial"/>
          <w:color w:val="000000" w:themeColor="text1"/>
          <w:sz w:val="22"/>
          <w:lang w:val="es-ES_tradnl"/>
        </w:rPr>
        <w:t xml:space="preserve"> </w:t>
      </w:r>
      <w:bookmarkEnd w:id="12"/>
      <w:r w:rsidR="00E1482E" w:rsidRPr="00321FA3">
        <w:rPr>
          <w:rFonts w:ascii="Arial" w:hAnsi="Arial" w:cs="Arial"/>
          <w:color w:val="000000" w:themeColor="text1"/>
          <w:sz w:val="22"/>
          <w:lang w:val="es-ES_tradnl"/>
        </w:rPr>
        <w:t xml:space="preserve">explicó </w:t>
      </w:r>
      <w:r w:rsidR="000F1BBD" w:rsidRPr="00321FA3">
        <w:rPr>
          <w:rFonts w:ascii="Arial" w:hAnsi="Arial" w:cs="Arial"/>
          <w:color w:val="000000" w:themeColor="text1"/>
          <w:sz w:val="22"/>
          <w:lang w:val="es-ES_tradnl"/>
        </w:rPr>
        <w:t>la posibilidad de solicitar muestras en los procesos de mínima cuantía</w:t>
      </w:r>
      <w:r w:rsidR="00606908" w:rsidRPr="00321FA3">
        <w:rPr>
          <w:rFonts w:ascii="Arial" w:hAnsi="Arial" w:cs="Arial"/>
          <w:color w:val="000000" w:themeColor="text1"/>
          <w:sz w:val="22"/>
          <w:lang w:val="es-ES_tradnl"/>
        </w:rPr>
        <w:t xml:space="preserve"> </w:t>
      </w:r>
      <w:r w:rsidR="001A18D5" w:rsidRPr="00321FA3">
        <w:rPr>
          <w:rFonts w:ascii="Arial" w:hAnsi="Arial" w:cs="Arial"/>
          <w:color w:val="000000" w:themeColor="text1"/>
          <w:sz w:val="22"/>
          <w:lang w:val="es-ES_tradnl"/>
        </w:rPr>
        <w:t>como factor de habilitación; razón por la cual, en caso de requerirse y hallarse plenamente justificada se entrega, será bajo el criterio de ser requisitos que no otorgan puntaje</w:t>
      </w:r>
      <w:r w:rsidR="00F24644" w:rsidRPr="00321FA3">
        <w:rPr>
          <w:rFonts w:ascii="Arial" w:hAnsi="Arial" w:cs="Arial"/>
          <w:color w:val="000000" w:themeColor="text1"/>
          <w:sz w:val="22"/>
          <w:lang w:val="es-ES_tradnl"/>
        </w:rPr>
        <w:t xml:space="preserve">. </w:t>
      </w:r>
      <w:r w:rsidR="00B54D8F" w:rsidRPr="00321FA3">
        <w:rPr>
          <w:rFonts w:ascii="Arial" w:hAnsi="Arial" w:cs="Arial"/>
          <w:color w:val="000000" w:themeColor="text1"/>
          <w:sz w:val="22"/>
          <w:lang w:val="es-ES_tradnl"/>
        </w:rPr>
        <w:t>Además</w:t>
      </w:r>
      <w:r w:rsidR="00F24644" w:rsidRPr="00321FA3">
        <w:rPr>
          <w:rFonts w:ascii="Arial" w:hAnsi="Arial" w:cs="Arial"/>
          <w:color w:val="000000" w:themeColor="text1"/>
          <w:sz w:val="22"/>
          <w:lang w:val="es-ES_tradnl"/>
        </w:rPr>
        <w:t xml:space="preserve">, </w:t>
      </w:r>
      <w:r w:rsidR="000F1BBD" w:rsidRPr="00321FA3">
        <w:rPr>
          <w:rFonts w:ascii="Arial" w:hAnsi="Arial" w:cs="Arial"/>
          <w:color w:val="000000" w:themeColor="text1"/>
          <w:sz w:val="22"/>
          <w:lang w:val="es-ES_tradnl"/>
        </w:rPr>
        <w:t xml:space="preserve">esta Subdirección expidió el Concepto CU─060 de 2020 en </w:t>
      </w:r>
      <w:r w:rsidR="000F1BBD" w:rsidRPr="00321FA3">
        <w:rPr>
          <w:rFonts w:ascii="Arial" w:hAnsi="Arial" w:cs="Arial"/>
          <w:color w:val="000000" w:themeColor="text1"/>
          <w:sz w:val="22"/>
          <w:lang w:val="es-ES_tradnl"/>
        </w:rPr>
        <w:lastRenderedPageBreak/>
        <w:t xml:space="preserve">respuesta a las consultas con radicado 4202012000000282 y 4202012000000283, donde se unificó su criterio sobre el alcance de la regla de la subsanabilidad, contenida actualmente en el artículo 5 de la Ley 1150 de 2007. </w:t>
      </w:r>
      <w:r w:rsidRPr="00321FA3">
        <w:rPr>
          <w:rFonts w:ascii="Arial" w:hAnsi="Arial" w:cs="Arial"/>
          <w:color w:val="000000" w:themeColor="text1"/>
          <w:sz w:val="22"/>
          <w:lang w:val="es-ES_tradnl"/>
        </w:rPr>
        <w:t>La tesis propuesta</w:t>
      </w:r>
      <w:r w:rsidR="000F1BBD" w:rsidRPr="00321FA3">
        <w:rPr>
          <w:rFonts w:ascii="Arial" w:hAnsi="Arial" w:cs="Arial"/>
          <w:color w:val="000000" w:themeColor="text1"/>
          <w:sz w:val="22"/>
          <w:lang w:val="es-ES_tradnl"/>
        </w:rPr>
        <w:t xml:space="preserve"> en</w:t>
      </w:r>
      <w:r w:rsidRPr="00321FA3">
        <w:rPr>
          <w:rFonts w:ascii="Arial" w:hAnsi="Arial" w:cs="Arial"/>
          <w:color w:val="000000" w:themeColor="text1"/>
          <w:sz w:val="22"/>
          <w:lang w:val="es-ES_tradnl"/>
        </w:rPr>
        <w:t xml:space="preserve"> </w:t>
      </w:r>
      <w:r w:rsidR="00E1482E" w:rsidRPr="00321FA3">
        <w:rPr>
          <w:rFonts w:ascii="Arial" w:hAnsi="Arial" w:cs="Arial"/>
          <w:color w:val="000000" w:themeColor="text1"/>
          <w:sz w:val="22"/>
          <w:lang w:val="es-ES_tradnl"/>
        </w:rPr>
        <w:t>dicho</w:t>
      </w:r>
      <w:r w:rsidR="000F1BBD" w:rsidRPr="00321FA3">
        <w:rPr>
          <w:rFonts w:ascii="Arial" w:hAnsi="Arial" w:cs="Arial"/>
          <w:color w:val="000000" w:themeColor="text1"/>
          <w:sz w:val="22"/>
          <w:lang w:val="es-ES_tradnl"/>
        </w:rPr>
        <w:t>s</w:t>
      </w:r>
      <w:r w:rsidRPr="00321FA3">
        <w:rPr>
          <w:rFonts w:ascii="Arial" w:hAnsi="Arial" w:cs="Arial"/>
          <w:color w:val="000000" w:themeColor="text1"/>
          <w:sz w:val="22"/>
          <w:lang w:val="es-ES_tradnl"/>
        </w:rPr>
        <w:t xml:space="preserve"> concepto</w:t>
      </w:r>
      <w:r w:rsidR="000F1BBD" w:rsidRPr="00321FA3">
        <w:rPr>
          <w:rFonts w:ascii="Arial" w:hAnsi="Arial" w:cs="Arial"/>
          <w:color w:val="000000" w:themeColor="text1"/>
          <w:sz w:val="22"/>
          <w:lang w:val="es-ES_tradnl"/>
        </w:rPr>
        <w:t>s</w:t>
      </w:r>
      <w:r w:rsidRPr="00321FA3">
        <w:rPr>
          <w:rFonts w:ascii="Arial" w:hAnsi="Arial" w:cs="Arial"/>
          <w:color w:val="000000" w:themeColor="text1"/>
          <w:sz w:val="22"/>
          <w:lang w:val="es-ES_tradnl"/>
        </w:rPr>
        <w:t xml:space="preserve"> se expone a continuación</w:t>
      </w:r>
      <w:r w:rsidR="00E1482E" w:rsidRPr="00321FA3">
        <w:rPr>
          <w:rFonts w:ascii="Arial" w:hAnsi="Arial" w:cs="Arial"/>
          <w:color w:val="000000" w:themeColor="text1"/>
          <w:sz w:val="22"/>
          <w:lang w:val="es-ES_tradnl"/>
        </w:rPr>
        <w:t>.</w:t>
      </w:r>
      <w:r w:rsidRPr="00321FA3">
        <w:rPr>
          <w:rFonts w:ascii="Arial" w:hAnsi="Arial" w:cs="Arial"/>
          <w:color w:val="000000" w:themeColor="text1"/>
          <w:sz w:val="22"/>
          <w:lang w:val="es-ES_tradnl"/>
        </w:rPr>
        <w:t xml:space="preserve"> </w:t>
      </w:r>
    </w:p>
    <w:p w14:paraId="582817E0" w14:textId="32E3FE2F" w:rsidR="00F1108B" w:rsidRPr="00321FA3" w:rsidRDefault="00F87E29" w:rsidP="00F1108B">
      <w:pPr>
        <w:spacing w:line="276" w:lineRule="auto"/>
        <w:jc w:val="both"/>
        <w:rPr>
          <w:rFonts w:ascii="Arial" w:eastAsia="Calibri" w:hAnsi="Arial" w:cs="Arial"/>
          <w:color w:val="000000" w:themeColor="text1"/>
          <w:sz w:val="22"/>
          <w:lang w:val="es-ES_tradnl"/>
        </w:rPr>
      </w:pPr>
      <w:r w:rsidRPr="00321FA3">
        <w:rPr>
          <w:rFonts w:ascii="Arial" w:eastAsia="Calibri" w:hAnsi="Arial" w:cs="Arial"/>
          <w:color w:val="000000" w:themeColor="text1"/>
          <w:sz w:val="22"/>
          <w:lang w:val="es-ES_tradnl"/>
        </w:rPr>
        <w:t xml:space="preserve"> </w:t>
      </w:r>
    </w:p>
    <w:p w14:paraId="039281DA" w14:textId="3F42AA9D" w:rsidR="0081766B" w:rsidRPr="00321FA3" w:rsidRDefault="00F87E29" w:rsidP="0081766B">
      <w:pPr>
        <w:spacing w:line="276" w:lineRule="auto"/>
        <w:jc w:val="both"/>
        <w:rPr>
          <w:rFonts w:ascii="Arial" w:eastAsia="Calibri" w:hAnsi="Arial" w:cs="Arial"/>
          <w:b/>
          <w:bCs/>
          <w:color w:val="000000" w:themeColor="text1"/>
          <w:sz w:val="22"/>
          <w:lang w:val="es-ES_tradnl"/>
        </w:rPr>
      </w:pPr>
      <w:r w:rsidRPr="00321FA3">
        <w:rPr>
          <w:rFonts w:ascii="Arial" w:eastAsia="Calibri" w:hAnsi="Arial" w:cs="Arial"/>
          <w:b/>
          <w:bCs/>
          <w:color w:val="000000" w:themeColor="text1"/>
          <w:sz w:val="22"/>
          <w:lang w:val="es-ES_tradnl"/>
        </w:rPr>
        <w:t xml:space="preserve">2.1. </w:t>
      </w:r>
      <w:r w:rsidR="000F1BBD" w:rsidRPr="00321FA3">
        <w:rPr>
          <w:rFonts w:ascii="Arial" w:eastAsia="Calibri" w:hAnsi="Arial" w:cs="Arial"/>
          <w:b/>
          <w:bCs/>
          <w:color w:val="000000" w:themeColor="text1"/>
          <w:sz w:val="22"/>
          <w:lang w:val="es-ES_tradnl"/>
        </w:rPr>
        <w:t>Posibilidad de solicitar muestras en los procesos de selección</w:t>
      </w:r>
      <w:r w:rsidR="00AE6582" w:rsidRPr="00321FA3">
        <w:rPr>
          <w:rFonts w:ascii="Arial" w:eastAsia="Calibri" w:hAnsi="Arial" w:cs="Arial"/>
          <w:b/>
          <w:bCs/>
          <w:color w:val="000000" w:themeColor="text1"/>
          <w:sz w:val="22"/>
          <w:lang w:val="es-ES_tradnl"/>
        </w:rPr>
        <w:t xml:space="preserve"> </w:t>
      </w:r>
    </w:p>
    <w:p w14:paraId="268C42B7" w14:textId="77777777" w:rsidR="0081766B" w:rsidRPr="00321FA3" w:rsidRDefault="0081766B" w:rsidP="0081766B">
      <w:pPr>
        <w:spacing w:line="276" w:lineRule="auto"/>
        <w:jc w:val="both"/>
        <w:rPr>
          <w:rFonts w:ascii="Arial" w:eastAsia="Calibri" w:hAnsi="Arial" w:cs="Arial"/>
          <w:color w:val="000000" w:themeColor="text1"/>
          <w:sz w:val="22"/>
          <w:lang w:val="es-ES_tradnl"/>
        </w:rPr>
      </w:pPr>
    </w:p>
    <w:p w14:paraId="5EC0CD6B" w14:textId="223DD083" w:rsidR="00864241" w:rsidRPr="00321FA3" w:rsidRDefault="00703E11" w:rsidP="00DC1A68">
      <w:pPr>
        <w:spacing w:after="120" w:line="276" w:lineRule="auto"/>
        <w:jc w:val="both"/>
        <w:rPr>
          <w:rFonts w:ascii="Arial" w:hAnsi="Arial" w:cs="Arial"/>
          <w:color w:val="000000" w:themeColor="text1"/>
          <w:sz w:val="22"/>
          <w:lang w:val="es-ES_tradnl"/>
        </w:rPr>
      </w:pPr>
      <w:r w:rsidRPr="00321FA3">
        <w:rPr>
          <w:rFonts w:ascii="Arial" w:hAnsi="Arial" w:cs="Arial"/>
          <w:color w:val="000000" w:themeColor="text1"/>
          <w:sz w:val="22"/>
          <w:lang w:val="es-ES_tradnl"/>
        </w:rPr>
        <w:t>Para la celebración de contratos como la compraventa y el suministro, es usual que en el sector privado se soliciten muestras para determinar las características técnicas de los bienes requeridos. Se trata de un proceso dinámico</w:t>
      </w:r>
      <w:r w:rsidR="00091569" w:rsidRPr="00321FA3">
        <w:rPr>
          <w:rFonts w:ascii="Arial" w:hAnsi="Arial" w:cs="Arial"/>
          <w:color w:val="000000" w:themeColor="text1"/>
          <w:sz w:val="22"/>
          <w:lang w:val="es-ES_tradnl"/>
        </w:rPr>
        <w:t xml:space="preserve"> previo al perfeccionamiento del contrato</w:t>
      </w:r>
      <w:r w:rsidRPr="00321FA3">
        <w:rPr>
          <w:rFonts w:ascii="Arial" w:hAnsi="Arial" w:cs="Arial"/>
          <w:color w:val="000000" w:themeColor="text1"/>
          <w:sz w:val="22"/>
          <w:lang w:val="es-ES_tradnl"/>
        </w:rPr>
        <w:t xml:space="preserve">, pues </w:t>
      </w:r>
      <w:r w:rsidR="00091569" w:rsidRPr="00321FA3">
        <w:rPr>
          <w:rFonts w:ascii="Arial" w:hAnsi="Arial" w:cs="Arial"/>
          <w:color w:val="000000" w:themeColor="text1"/>
          <w:sz w:val="22"/>
          <w:lang w:val="es-ES_tradnl"/>
        </w:rPr>
        <w:t>–</w:t>
      </w:r>
      <w:r w:rsidRPr="00321FA3">
        <w:rPr>
          <w:rFonts w:ascii="Arial" w:hAnsi="Arial" w:cs="Arial"/>
          <w:color w:val="000000" w:themeColor="text1"/>
          <w:sz w:val="22"/>
          <w:lang w:val="es-ES_tradnl"/>
        </w:rPr>
        <w:t xml:space="preserve">a través de la </w:t>
      </w:r>
      <w:r w:rsidR="00091569" w:rsidRPr="00321FA3">
        <w:rPr>
          <w:rFonts w:ascii="Arial" w:hAnsi="Arial" w:cs="Arial"/>
          <w:color w:val="000000" w:themeColor="text1"/>
          <w:sz w:val="22"/>
          <w:lang w:val="es-ES_tradnl"/>
        </w:rPr>
        <w:t>comparación entre diferentes especificaciones– se determina</w:t>
      </w:r>
      <w:r w:rsidR="00864241" w:rsidRPr="00321FA3">
        <w:rPr>
          <w:rFonts w:ascii="Arial" w:hAnsi="Arial" w:cs="Arial"/>
          <w:color w:val="000000" w:themeColor="text1"/>
          <w:sz w:val="22"/>
          <w:lang w:val="es-ES_tradnl"/>
        </w:rPr>
        <w:t>n</w:t>
      </w:r>
      <w:r w:rsidR="00091569" w:rsidRPr="00321FA3">
        <w:rPr>
          <w:rFonts w:ascii="Arial" w:hAnsi="Arial" w:cs="Arial"/>
          <w:color w:val="000000" w:themeColor="text1"/>
          <w:sz w:val="22"/>
          <w:lang w:val="es-ES_tradnl"/>
        </w:rPr>
        <w:t xml:space="preserve"> </w:t>
      </w:r>
      <w:r w:rsidR="00864241" w:rsidRPr="00321FA3">
        <w:rPr>
          <w:rFonts w:ascii="Arial" w:hAnsi="Arial" w:cs="Arial"/>
          <w:color w:val="000000" w:themeColor="text1"/>
          <w:sz w:val="22"/>
          <w:lang w:val="es-ES_tradnl"/>
        </w:rPr>
        <w:t>las características</w:t>
      </w:r>
      <w:r w:rsidR="00091569" w:rsidRPr="00321FA3">
        <w:rPr>
          <w:rFonts w:ascii="Arial" w:hAnsi="Arial" w:cs="Arial"/>
          <w:color w:val="000000" w:themeColor="text1"/>
          <w:sz w:val="22"/>
          <w:lang w:val="es-ES_tradnl"/>
        </w:rPr>
        <w:t xml:space="preserve"> que mejor satisface</w:t>
      </w:r>
      <w:r w:rsidR="00864241" w:rsidRPr="00321FA3">
        <w:rPr>
          <w:rFonts w:ascii="Arial" w:hAnsi="Arial" w:cs="Arial"/>
          <w:color w:val="000000" w:themeColor="text1"/>
          <w:sz w:val="22"/>
          <w:lang w:val="es-ES_tradnl"/>
        </w:rPr>
        <w:t>n</w:t>
      </w:r>
      <w:r w:rsidR="00091569" w:rsidRPr="00321FA3">
        <w:rPr>
          <w:rFonts w:ascii="Arial" w:hAnsi="Arial" w:cs="Arial"/>
          <w:color w:val="000000" w:themeColor="text1"/>
          <w:sz w:val="22"/>
          <w:lang w:val="es-ES_tradnl"/>
        </w:rPr>
        <w:t xml:space="preserve"> las necesidades del adquirente</w:t>
      </w:r>
      <w:r w:rsidR="00864241" w:rsidRPr="00321FA3">
        <w:rPr>
          <w:rFonts w:ascii="Arial" w:hAnsi="Arial" w:cs="Arial"/>
          <w:color w:val="000000" w:themeColor="text1"/>
          <w:sz w:val="22"/>
          <w:lang w:val="es-ES_tradnl"/>
        </w:rPr>
        <w:t xml:space="preserve">, permitiendo –posteriormente– la formación del consentimiento a través del acuerdo </w:t>
      </w:r>
      <w:r w:rsidR="001D56E9" w:rsidRPr="00321FA3">
        <w:rPr>
          <w:rFonts w:ascii="Arial" w:hAnsi="Arial" w:cs="Arial"/>
          <w:color w:val="000000" w:themeColor="text1"/>
          <w:sz w:val="22"/>
          <w:lang w:val="es-ES_tradnl"/>
        </w:rPr>
        <w:t xml:space="preserve">sobre </w:t>
      </w:r>
      <w:r w:rsidR="00864241" w:rsidRPr="00321FA3">
        <w:rPr>
          <w:rFonts w:ascii="Arial" w:hAnsi="Arial" w:cs="Arial"/>
          <w:color w:val="000000" w:themeColor="text1"/>
          <w:sz w:val="22"/>
          <w:lang w:val="es-ES_tradnl"/>
        </w:rPr>
        <w:t>el objeto y el precio.</w:t>
      </w:r>
    </w:p>
    <w:p w14:paraId="59E4211C" w14:textId="4104738C" w:rsidR="003A6160" w:rsidRPr="00321FA3" w:rsidRDefault="00864241" w:rsidP="00DC1A68">
      <w:pPr>
        <w:spacing w:before="120" w:line="276" w:lineRule="auto"/>
        <w:jc w:val="both"/>
        <w:rPr>
          <w:rFonts w:ascii="Arial" w:hAnsi="Arial" w:cs="Arial"/>
          <w:color w:val="000000" w:themeColor="text1"/>
          <w:sz w:val="22"/>
          <w:lang w:val="es-ES_tradnl"/>
        </w:rPr>
      </w:pPr>
      <w:r w:rsidRPr="00321FA3">
        <w:rPr>
          <w:rFonts w:ascii="Arial" w:hAnsi="Arial" w:cs="Arial"/>
          <w:color w:val="000000" w:themeColor="text1"/>
          <w:sz w:val="22"/>
          <w:lang w:val="es-ES_tradnl"/>
        </w:rPr>
        <w:tab/>
      </w:r>
      <w:r w:rsidR="007F616E" w:rsidRPr="00321FA3">
        <w:rPr>
          <w:rFonts w:ascii="Arial" w:hAnsi="Arial" w:cs="Arial"/>
          <w:color w:val="000000" w:themeColor="text1"/>
          <w:sz w:val="22"/>
          <w:lang w:val="es-ES_tradnl"/>
        </w:rPr>
        <w:t>En esta medida, la solicitud</w:t>
      </w:r>
      <w:r w:rsidRPr="00321FA3">
        <w:rPr>
          <w:rFonts w:ascii="Arial" w:hAnsi="Arial" w:cs="Arial"/>
          <w:color w:val="000000" w:themeColor="text1"/>
          <w:sz w:val="22"/>
          <w:lang w:val="es-ES_tradnl"/>
        </w:rPr>
        <w:t xml:space="preserve"> de muestras también es posible en la contratación pública</w:t>
      </w:r>
      <w:r w:rsidR="007F616E" w:rsidRPr="00321FA3">
        <w:rPr>
          <w:rFonts w:ascii="Arial" w:hAnsi="Arial" w:cs="Arial"/>
          <w:color w:val="000000" w:themeColor="text1"/>
          <w:sz w:val="22"/>
          <w:lang w:val="es-ES_tradnl"/>
        </w:rPr>
        <w:t xml:space="preserve">, pues –conforme al artículo 32 de la Ley 80 de 1993– la Administración puede celebrar todos los actos jurídicos previstos en el derecho privado, en disposiciones especiales o derivados del ejercicio de la autonomía de la voluntad; razón por la cual, en la medida </w:t>
      </w:r>
      <w:r w:rsidR="005D691D" w:rsidRPr="00321FA3">
        <w:rPr>
          <w:rFonts w:ascii="Arial" w:hAnsi="Arial" w:cs="Arial"/>
          <w:color w:val="000000" w:themeColor="text1"/>
          <w:sz w:val="22"/>
          <w:lang w:val="es-ES_tradnl"/>
        </w:rPr>
        <w:t xml:space="preserve">en </w:t>
      </w:r>
      <w:r w:rsidR="007F616E" w:rsidRPr="00321FA3">
        <w:rPr>
          <w:rFonts w:ascii="Arial" w:hAnsi="Arial" w:cs="Arial"/>
          <w:color w:val="000000" w:themeColor="text1"/>
          <w:sz w:val="22"/>
          <w:lang w:val="es-ES_tradnl"/>
        </w:rPr>
        <w:t>que esta práctica no está expresamente prohibida por el Estatuto General de Contratación</w:t>
      </w:r>
      <w:r w:rsidR="00305FCB" w:rsidRPr="00321FA3">
        <w:rPr>
          <w:rFonts w:ascii="Arial" w:hAnsi="Arial" w:cs="Arial"/>
          <w:color w:val="000000" w:themeColor="text1"/>
          <w:sz w:val="22"/>
          <w:lang w:val="es-ES_tradnl"/>
        </w:rPr>
        <w:t>, se encuentra permitida. No obstante, esta autonomía</w:t>
      </w:r>
      <w:r w:rsidR="003A6160" w:rsidRPr="00321FA3">
        <w:rPr>
          <w:rFonts w:ascii="Arial" w:hAnsi="Arial" w:cs="Arial"/>
          <w:color w:val="000000" w:themeColor="text1"/>
          <w:sz w:val="22"/>
          <w:lang w:val="es-ES_tradnl"/>
        </w:rPr>
        <w:t xml:space="preserve"> para requerirlas</w:t>
      </w:r>
      <w:r w:rsidR="00305FCB" w:rsidRPr="00321FA3">
        <w:rPr>
          <w:rFonts w:ascii="Arial" w:hAnsi="Arial" w:cs="Arial"/>
          <w:color w:val="000000" w:themeColor="text1"/>
          <w:sz w:val="22"/>
          <w:lang w:val="es-ES_tradnl"/>
        </w:rPr>
        <w:t xml:space="preserve"> no es ilimitada y, sin perjuicio de las restricciones para algunos procesos de selección, se sujeta a principios como la planeación y la selección objetiva.</w:t>
      </w:r>
      <w:r w:rsidR="00CB4137" w:rsidRPr="00321FA3">
        <w:rPr>
          <w:rFonts w:ascii="Arial" w:hAnsi="Arial" w:cs="Arial"/>
          <w:color w:val="000000" w:themeColor="text1"/>
          <w:sz w:val="22"/>
          <w:lang w:val="es-ES_tradnl"/>
        </w:rPr>
        <w:t xml:space="preserve"> Al respecto, la doctrina sostiene que:</w:t>
      </w:r>
    </w:p>
    <w:p w14:paraId="2C5E5AA5" w14:textId="77777777" w:rsidR="00914B9A" w:rsidRPr="00321FA3" w:rsidRDefault="00914B9A" w:rsidP="00914B9A">
      <w:pPr>
        <w:spacing w:line="276" w:lineRule="auto"/>
        <w:jc w:val="both"/>
        <w:rPr>
          <w:rFonts w:ascii="Arial" w:hAnsi="Arial" w:cs="Arial"/>
          <w:color w:val="000000" w:themeColor="text1"/>
          <w:sz w:val="22"/>
          <w:lang w:val="es-ES_tradnl"/>
        </w:rPr>
      </w:pPr>
    </w:p>
    <w:p w14:paraId="6A7C4879" w14:textId="0FC0999C" w:rsidR="00CB4137" w:rsidRPr="00321FA3" w:rsidRDefault="00CB4137" w:rsidP="00DC1A68">
      <w:pPr>
        <w:ind w:left="709" w:right="709"/>
        <w:jc w:val="both"/>
        <w:rPr>
          <w:rFonts w:ascii="Arial" w:hAnsi="Arial" w:cs="Arial"/>
          <w:color w:val="000000" w:themeColor="text1"/>
          <w:sz w:val="21"/>
          <w:szCs w:val="21"/>
          <w:lang w:val="es-ES_tradnl"/>
        </w:rPr>
      </w:pPr>
      <w:r w:rsidRPr="00321FA3">
        <w:rPr>
          <w:rFonts w:ascii="Arial" w:hAnsi="Arial" w:cs="Arial"/>
          <w:color w:val="000000" w:themeColor="text1"/>
          <w:sz w:val="21"/>
          <w:szCs w:val="21"/>
          <w:lang w:val="es-ES_tradnl"/>
        </w:rPr>
        <w:t>Un procedimiento que no siempre es usado, no obstante su conveniencia, es el de requerir</w:t>
      </w:r>
      <w:r w:rsidR="00914B9A" w:rsidRPr="00321FA3">
        <w:rPr>
          <w:rFonts w:ascii="Arial" w:hAnsi="Arial" w:cs="Arial"/>
          <w:color w:val="000000" w:themeColor="text1"/>
          <w:sz w:val="21"/>
          <w:szCs w:val="21"/>
          <w:lang w:val="es-ES_tradnl"/>
        </w:rPr>
        <w:t>,</w:t>
      </w:r>
      <w:r w:rsidRPr="00321FA3">
        <w:rPr>
          <w:rFonts w:ascii="Arial" w:hAnsi="Arial" w:cs="Arial"/>
          <w:color w:val="000000" w:themeColor="text1"/>
          <w:sz w:val="21"/>
          <w:szCs w:val="21"/>
          <w:lang w:val="es-ES_tradnl"/>
        </w:rPr>
        <w:t xml:space="preserve"> respecto de ciertas cosas que lo admiten, muestras de los productos que los oferentes</w:t>
      </w:r>
      <w:r w:rsidR="00914B9A" w:rsidRPr="00321FA3">
        <w:rPr>
          <w:rFonts w:ascii="Arial" w:hAnsi="Arial" w:cs="Arial"/>
          <w:color w:val="000000" w:themeColor="text1"/>
          <w:sz w:val="21"/>
          <w:szCs w:val="21"/>
          <w:lang w:val="es-ES_tradnl"/>
        </w:rPr>
        <w:t xml:space="preserve"> </w:t>
      </w:r>
      <w:r w:rsidRPr="00321FA3">
        <w:rPr>
          <w:rFonts w:ascii="Arial" w:hAnsi="Arial" w:cs="Arial"/>
          <w:color w:val="000000" w:themeColor="text1"/>
          <w:sz w:val="21"/>
          <w:szCs w:val="21"/>
          <w:lang w:val="es-ES_tradnl"/>
        </w:rPr>
        <w:t>se obligarán a entregar, lo que facilita, mediante el análisis</w:t>
      </w:r>
      <w:r w:rsidR="00914B9A" w:rsidRPr="00321FA3">
        <w:rPr>
          <w:rFonts w:ascii="Arial" w:hAnsi="Arial" w:cs="Arial"/>
          <w:color w:val="000000" w:themeColor="text1"/>
          <w:sz w:val="21"/>
          <w:szCs w:val="21"/>
          <w:lang w:val="es-ES_tradnl"/>
        </w:rPr>
        <w:t xml:space="preserve"> </w:t>
      </w:r>
      <w:r w:rsidRPr="00321FA3">
        <w:rPr>
          <w:rFonts w:ascii="Arial" w:hAnsi="Arial" w:cs="Arial"/>
          <w:color w:val="000000" w:themeColor="text1"/>
          <w:sz w:val="21"/>
          <w:szCs w:val="21"/>
          <w:lang w:val="es-ES_tradnl"/>
        </w:rPr>
        <w:t>y estudio de ellas, conocer sus condiciones, características,</w:t>
      </w:r>
      <w:r w:rsidR="00914B9A" w:rsidRPr="00321FA3">
        <w:rPr>
          <w:rFonts w:ascii="Arial" w:hAnsi="Arial" w:cs="Arial"/>
          <w:color w:val="000000" w:themeColor="text1"/>
          <w:sz w:val="21"/>
          <w:szCs w:val="21"/>
          <w:lang w:val="es-ES_tradnl"/>
        </w:rPr>
        <w:t xml:space="preserve"> </w:t>
      </w:r>
      <w:r w:rsidRPr="00321FA3">
        <w:rPr>
          <w:rFonts w:ascii="Arial" w:hAnsi="Arial" w:cs="Arial"/>
          <w:color w:val="000000" w:themeColor="text1"/>
          <w:sz w:val="21"/>
          <w:szCs w:val="21"/>
          <w:lang w:val="es-ES_tradnl"/>
        </w:rPr>
        <w:t>resultados, etc. También puede o</w:t>
      </w:r>
      <w:r w:rsidR="00914B9A" w:rsidRPr="00321FA3">
        <w:rPr>
          <w:rFonts w:ascii="Arial" w:hAnsi="Arial" w:cs="Arial"/>
          <w:color w:val="000000" w:themeColor="text1"/>
          <w:sz w:val="21"/>
          <w:szCs w:val="21"/>
          <w:lang w:val="es-ES_tradnl"/>
        </w:rPr>
        <w:t>c</w:t>
      </w:r>
      <w:r w:rsidRPr="00321FA3">
        <w:rPr>
          <w:rFonts w:ascii="Arial" w:hAnsi="Arial" w:cs="Arial"/>
          <w:color w:val="000000" w:themeColor="text1"/>
          <w:sz w:val="21"/>
          <w:szCs w:val="21"/>
          <w:lang w:val="es-ES_tradnl"/>
        </w:rPr>
        <w:t>urrir que sea la administración la que proponga una muestra a los oferentes, a fin</w:t>
      </w:r>
      <w:r w:rsidR="00914B9A" w:rsidRPr="00321FA3">
        <w:rPr>
          <w:rFonts w:ascii="Arial" w:hAnsi="Arial" w:cs="Arial"/>
          <w:color w:val="000000" w:themeColor="text1"/>
          <w:sz w:val="21"/>
          <w:szCs w:val="21"/>
          <w:lang w:val="es-ES_tradnl"/>
        </w:rPr>
        <w:t xml:space="preserve"> </w:t>
      </w:r>
      <w:r w:rsidRPr="00321FA3">
        <w:rPr>
          <w:rFonts w:ascii="Arial" w:hAnsi="Arial" w:cs="Arial"/>
          <w:color w:val="000000" w:themeColor="text1"/>
          <w:sz w:val="21"/>
          <w:szCs w:val="21"/>
          <w:lang w:val="es-ES_tradnl"/>
        </w:rPr>
        <w:t>de informar a éstos, acabadamente, de cómo deben ser las</w:t>
      </w:r>
      <w:r w:rsidR="00914B9A" w:rsidRPr="00321FA3">
        <w:rPr>
          <w:rFonts w:ascii="Arial" w:hAnsi="Arial" w:cs="Arial"/>
          <w:color w:val="000000" w:themeColor="text1"/>
          <w:sz w:val="21"/>
          <w:szCs w:val="21"/>
          <w:lang w:val="es-ES_tradnl"/>
        </w:rPr>
        <w:t xml:space="preserve"> </w:t>
      </w:r>
      <w:r w:rsidRPr="00321FA3">
        <w:rPr>
          <w:rFonts w:ascii="Arial" w:hAnsi="Arial" w:cs="Arial"/>
          <w:color w:val="000000" w:themeColor="text1"/>
          <w:sz w:val="21"/>
          <w:szCs w:val="21"/>
          <w:lang w:val="es-ES_tradnl"/>
        </w:rPr>
        <w:t>cosas a proveerse. En uno y otro caso, las muestras deben</w:t>
      </w:r>
      <w:r w:rsidR="00914B9A" w:rsidRPr="00321FA3">
        <w:rPr>
          <w:rFonts w:ascii="Arial" w:hAnsi="Arial" w:cs="Arial"/>
          <w:color w:val="000000" w:themeColor="text1"/>
          <w:sz w:val="21"/>
          <w:szCs w:val="21"/>
          <w:lang w:val="es-ES_tradnl"/>
        </w:rPr>
        <w:t xml:space="preserve"> </w:t>
      </w:r>
      <w:r w:rsidRPr="00321FA3">
        <w:rPr>
          <w:rFonts w:ascii="Arial" w:hAnsi="Arial" w:cs="Arial"/>
          <w:color w:val="000000" w:themeColor="text1"/>
          <w:sz w:val="21"/>
          <w:szCs w:val="21"/>
          <w:lang w:val="es-ES_tradnl"/>
        </w:rPr>
        <w:t xml:space="preserve">conservarse como testigo, para </w:t>
      </w:r>
      <w:r w:rsidR="00914B9A" w:rsidRPr="00321FA3">
        <w:rPr>
          <w:rFonts w:ascii="Arial" w:hAnsi="Arial" w:cs="Arial"/>
          <w:color w:val="000000" w:themeColor="text1"/>
          <w:sz w:val="21"/>
          <w:szCs w:val="21"/>
          <w:lang w:val="es-ES_tradnl"/>
        </w:rPr>
        <w:t>comprobar,</w:t>
      </w:r>
      <w:r w:rsidRPr="00321FA3">
        <w:rPr>
          <w:rFonts w:ascii="Arial" w:hAnsi="Arial" w:cs="Arial"/>
          <w:color w:val="000000" w:themeColor="text1"/>
          <w:sz w:val="21"/>
          <w:szCs w:val="21"/>
          <w:lang w:val="es-ES_tradnl"/>
        </w:rPr>
        <w:t xml:space="preserve"> cuando sea n</w:t>
      </w:r>
      <w:r w:rsidR="00914B9A" w:rsidRPr="00321FA3">
        <w:rPr>
          <w:rFonts w:ascii="Arial" w:hAnsi="Arial" w:cs="Arial"/>
          <w:color w:val="000000" w:themeColor="text1"/>
          <w:sz w:val="21"/>
          <w:szCs w:val="21"/>
          <w:lang w:val="es-ES_tradnl"/>
        </w:rPr>
        <w:t>ece</w:t>
      </w:r>
      <w:r w:rsidRPr="00321FA3">
        <w:rPr>
          <w:rFonts w:ascii="Arial" w:hAnsi="Arial" w:cs="Arial"/>
          <w:color w:val="000000" w:themeColor="text1"/>
          <w:sz w:val="21"/>
          <w:szCs w:val="21"/>
          <w:lang w:val="es-ES_tradnl"/>
        </w:rPr>
        <w:t>sario, que la provisión entregada se ajusta realm</w:t>
      </w:r>
      <w:r w:rsidR="00914B9A" w:rsidRPr="00321FA3">
        <w:rPr>
          <w:rFonts w:ascii="Arial" w:hAnsi="Arial" w:cs="Arial"/>
          <w:color w:val="000000" w:themeColor="text1"/>
          <w:sz w:val="21"/>
          <w:szCs w:val="21"/>
          <w:lang w:val="es-ES_tradnl"/>
        </w:rPr>
        <w:t>e</w:t>
      </w:r>
      <w:r w:rsidRPr="00321FA3">
        <w:rPr>
          <w:rFonts w:ascii="Arial" w:hAnsi="Arial" w:cs="Arial"/>
          <w:color w:val="000000" w:themeColor="text1"/>
          <w:sz w:val="21"/>
          <w:szCs w:val="21"/>
          <w:lang w:val="es-ES_tradnl"/>
        </w:rPr>
        <w:t>nte a la</w:t>
      </w:r>
      <w:r w:rsidR="00914B9A" w:rsidRPr="00321FA3">
        <w:rPr>
          <w:rFonts w:ascii="Arial" w:hAnsi="Arial" w:cs="Arial"/>
          <w:color w:val="000000" w:themeColor="text1"/>
          <w:sz w:val="21"/>
          <w:szCs w:val="21"/>
          <w:lang w:val="es-ES_tradnl"/>
        </w:rPr>
        <w:t xml:space="preserve"> </w:t>
      </w:r>
      <w:r w:rsidRPr="00321FA3">
        <w:rPr>
          <w:rFonts w:ascii="Arial" w:hAnsi="Arial" w:cs="Arial"/>
          <w:color w:val="000000" w:themeColor="text1"/>
          <w:sz w:val="21"/>
          <w:szCs w:val="21"/>
          <w:lang w:val="es-ES_tradnl"/>
        </w:rPr>
        <w:t>propuesta</w:t>
      </w:r>
      <w:r w:rsidR="00914B9A" w:rsidRPr="00321FA3">
        <w:rPr>
          <w:rStyle w:val="Refdenotaalpie"/>
          <w:rFonts w:ascii="Arial" w:hAnsi="Arial" w:cs="Arial"/>
          <w:color w:val="000000" w:themeColor="text1"/>
          <w:sz w:val="21"/>
          <w:szCs w:val="21"/>
          <w:lang w:val="es-ES_tradnl"/>
        </w:rPr>
        <w:footnoteReference w:id="2"/>
      </w:r>
      <w:r w:rsidRPr="00321FA3">
        <w:rPr>
          <w:rFonts w:ascii="Arial" w:hAnsi="Arial" w:cs="Arial"/>
          <w:color w:val="000000" w:themeColor="text1"/>
          <w:sz w:val="21"/>
          <w:szCs w:val="21"/>
          <w:lang w:val="es-ES_tradnl"/>
        </w:rPr>
        <w:t>.</w:t>
      </w:r>
    </w:p>
    <w:p w14:paraId="2ECE0AFA" w14:textId="77777777" w:rsidR="00914B9A" w:rsidRPr="00321FA3" w:rsidRDefault="00914B9A" w:rsidP="00914B9A">
      <w:pPr>
        <w:spacing w:line="276" w:lineRule="auto"/>
        <w:ind w:left="709" w:right="709"/>
        <w:jc w:val="both"/>
        <w:rPr>
          <w:rFonts w:ascii="Arial" w:hAnsi="Arial" w:cs="Arial"/>
          <w:color w:val="000000" w:themeColor="text1"/>
          <w:sz w:val="22"/>
          <w:lang w:val="es-ES_tradnl"/>
        </w:rPr>
      </w:pPr>
    </w:p>
    <w:p w14:paraId="3A12A279" w14:textId="5141AA8A" w:rsidR="002C704D" w:rsidRPr="00321FA3" w:rsidRDefault="003A6160" w:rsidP="00DC1A68">
      <w:pPr>
        <w:spacing w:after="120" w:line="276" w:lineRule="auto"/>
        <w:jc w:val="both"/>
        <w:rPr>
          <w:rFonts w:ascii="Arial" w:hAnsi="Arial" w:cs="Arial"/>
          <w:color w:val="000000" w:themeColor="text1"/>
          <w:sz w:val="21"/>
          <w:szCs w:val="21"/>
          <w:lang w:val="es-ES_tradnl"/>
        </w:rPr>
      </w:pPr>
      <w:r w:rsidRPr="00321FA3">
        <w:rPr>
          <w:rFonts w:ascii="Arial" w:hAnsi="Arial" w:cs="Arial"/>
          <w:color w:val="000000" w:themeColor="text1"/>
          <w:sz w:val="22"/>
          <w:lang w:val="es-ES_tradnl"/>
        </w:rPr>
        <w:tab/>
      </w:r>
      <w:bookmarkStart w:id="13" w:name="_Hlk36496068"/>
      <w:r w:rsidRPr="00321FA3">
        <w:rPr>
          <w:rFonts w:ascii="Arial" w:hAnsi="Arial" w:cs="Arial"/>
          <w:color w:val="000000" w:themeColor="text1"/>
          <w:sz w:val="22"/>
          <w:lang w:val="es-ES_tradnl"/>
        </w:rPr>
        <w:t xml:space="preserve">En concreto, la solicitud de muestras cumple funciones importantes antes y después de la apertura del proceso de selección. </w:t>
      </w:r>
      <w:r w:rsidR="00C2082C" w:rsidRPr="00321FA3">
        <w:rPr>
          <w:rFonts w:ascii="Arial" w:hAnsi="Arial" w:cs="Arial"/>
          <w:i/>
          <w:iCs/>
          <w:color w:val="000000" w:themeColor="text1"/>
          <w:sz w:val="22"/>
          <w:lang w:val="es-ES_tradnl"/>
        </w:rPr>
        <w:t>En primer lugar</w:t>
      </w:r>
      <w:r w:rsidRPr="00321FA3">
        <w:rPr>
          <w:rFonts w:ascii="Arial" w:hAnsi="Arial" w:cs="Arial"/>
          <w:color w:val="000000" w:themeColor="text1"/>
          <w:sz w:val="22"/>
          <w:lang w:val="es-ES_tradnl"/>
        </w:rPr>
        <w:t>,</w:t>
      </w:r>
      <w:bookmarkEnd w:id="13"/>
      <w:r w:rsidRPr="00321FA3">
        <w:rPr>
          <w:rFonts w:ascii="Arial" w:hAnsi="Arial" w:cs="Arial"/>
          <w:color w:val="000000" w:themeColor="text1"/>
          <w:sz w:val="22"/>
          <w:lang w:val="es-ES_tradnl"/>
        </w:rPr>
        <w:t xml:space="preserve"> las entidades públicas </w:t>
      </w:r>
      <w:r w:rsidR="00631DD0" w:rsidRPr="00321FA3">
        <w:rPr>
          <w:rFonts w:ascii="Arial" w:hAnsi="Arial" w:cs="Arial"/>
          <w:color w:val="000000" w:themeColor="text1"/>
          <w:sz w:val="22"/>
          <w:lang w:val="es-ES_tradnl"/>
        </w:rPr>
        <w:t>deben</w:t>
      </w:r>
      <w:r w:rsidRPr="00321FA3">
        <w:rPr>
          <w:rFonts w:ascii="Arial" w:hAnsi="Arial" w:cs="Arial"/>
          <w:color w:val="000000" w:themeColor="text1"/>
          <w:sz w:val="22"/>
          <w:lang w:val="es-ES_tradnl"/>
        </w:rPr>
        <w:t xml:space="preserve"> definir las características de los </w:t>
      </w:r>
      <w:r w:rsidR="00914B9A" w:rsidRPr="00321FA3">
        <w:rPr>
          <w:rFonts w:ascii="Arial" w:hAnsi="Arial" w:cs="Arial"/>
          <w:color w:val="000000" w:themeColor="text1"/>
          <w:sz w:val="22"/>
          <w:lang w:val="es-ES_tradnl"/>
        </w:rPr>
        <w:t>insumos requeridos</w:t>
      </w:r>
      <w:r w:rsidRPr="00321FA3">
        <w:rPr>
          <w:rFonts w:ascii="Arial" w:hAnsi="Arial" w:cs="Arial"/>
          <w:color w:val="000000" w:themeColor="text1"/>
          <w:sz w:val="22"/>
          <w:lang w:val="es-ES_tradnl"/>
        </w:rPr>
        <w:t xml:space="preserve">, pues </w:t>
      </w:r>
      <w:r w:rsidR="00882E39" w:rsidRPr="00321FA3">
        <w:rPr>
          <w:rFonts w:ascii="Arial" w:hAnsi="Arial" w:cs="Arial"/>
          <w:color w:val="000000" w:themeColor="text1"/>
          <w:sz w:val="22"/>
          <w:lang w:val="es-ES_tradnl"/>
        </w:rPr>
        <w:t xml:space="preserve">ello </w:t>
      </w:r>
      <w:r w:rsidRPr="00321FA3">
        <w:rPr>
          <w:rFonts w:ascii="Arial" w:hAnsi="Arial" w:cs="Arial"/>
          <w:color w:val="000000" w:themeColor="text1"/>
          <w:sz w:val="22"/>
          <w:lang w:val="es-ES_tradnl"/>
        </w:rPr>
        <w:t>contribuye a determinar el objeto del futuro contrato</w:t>
      </w:r>
      <w:r w:rsidR="008B263F" w:rsidRPr="00321FA3">
        <w:rPr>
          <w:rFonts w:ascii="Arial" w:hAnsi="Arial" w:cs="Arial"/>
          <w:color w:val="000000" w:themeColor="text1"/>
          <w:sz w:val="22"/>
          <w:lang w:val="es-ES_tradnl"/>
        </w:rPr>
        <w:t>, el cual juega un papel importante en la participación de los oferentes y en el ajuste de las propuestas a las necesidades de la Administración. Al respecto</w:t>
      </w:r>
      <w:r w:rsidRPr="00321FA3">
        <w:rPr>
          <w:rFonts w:ascii="Arial" w:hAnsi="Arial" w:cs="Arial"/>
          <w:color w:val="000000" w:themeColor="text1"/>
          <w:sz w:val="22"/>
          <w:lang w:val="es-ES_tradnl"/>
        </w:rPr>
        <w:t xml:space="preserve">, el artículo 2.2.1.1.2.1.1 del Decreto 1082 de 2015 dispone que «Los estudios y </w:t>
      </w:r>
      <w:r w:rsidRPr="00321FA3">
        <w:rPr>
          <w:rFonts w:ascii="Arial" w:hAnsi="Arial" w:cs="Arial"/>
          <w:color w:val="000000" w:themeColor="text1"/>
          <w:sz w:val="22"/>
          <w:lang w:val="es-ES_tradnl"/>
        </w:rPr>
        <w:lastRenderedPageBreak/>
        <w:t>documentos previos son el soporte para elaborar el proyecto de pliegos, los pliegos de condiciones, y el contrato […]»</w:t>
      </w:r>
      <w:r w:rsidR="005D2F48" w:rsidRPr="00321FA3">
        <w:rPr>
          <w:rFonts w:ascii="Arial" w:hAnsi="Arial" w:cs="Arial"/>
          <w:color w:val="000000" w:themeColor="text1"/>
          <w:sz w:val="22"/>
          <w:lang w:val="es-ES_tradnl"/>
        </w:rPr>
        <w:t xml:space="preserve"> y, entre otros elementos, debe contener «[…] El objeto a contratar, con sus especificaciones, las autorizaciones, permisos y licencias requeridos para su ejecución, y cuando el contrato incluye diseño y construcción, los documentos técnicos para el desarrollo del proyecto […]». </w:t>
      </w:r>
    </w:p>
    <w:p w14:paraId="1775F1ED" w14:textId="7E079A4D" w:rsidR="000F1BBD" w:rsidRPr="00321FA3" w:rsidRDefault="002C704D" w:rsidP="00606908">
      <w:pPr>
        <w:spacing w:before="120" w:after="120" w:line="276" w:lineRule="auto"/>
        <w:jc w:val="both"/>
        <w:rPr>
          <w:rFonts w:ascii="Arial" w:hAnsi="Arial" w:cs="Arial"/>
          <w:color w:val="000000" w:themeColor="text1"/>
          <w:sz w:val="22"/>
          <w:lang w:val="es-ES_tradnl"/>
        </w:rPr>
      </w:pPr>
      <w:r w:rsidRPr="00321FA3">
        <w:rPr>
          <w:rFonts w:ascii="Arial" w:hAnsi="Arial" w:cs="Arial"/>
          <w:color w:val="000000" w:themeColor="text1"/>
          <w:sz w:val="22"/>
          <w:lang w:val="es-ES_tradnl"/>
        </w:rPr>
        <w:tab/>
      </w:r>
      <w:r w:rsidR="005D2F48" w:rsidRPr="00321FA3">
        <w:rPr>
          <w:rFonts w:ascii="Arial" w:hAnsi="Arial" w:cs="Arial"/>
          <w:color w:val="000000" w:themeColor="text1"/>
          <w:sz w:val="22"/>
          <w:lang w:val="es-ES_tradnl"/>
        </w:rPr>
        <w:t xml:space="preserve">Para este análisis, </w:t>
      </w:r>
      <w:bookmarkStart w:id="14" w:name="_Hlk36496169"/>
      <w:r w:rsidR="005D2F48" w:rsidRPr="00321FA3">
        <w:rPr>
          <w:rFonts w:ascii="Arial" w:hAnsi="Arial" w:cs="Arial"/>
          <w:color w:val="000000" w:themeColor="text1"/>
          <w:sz w:val="22"/>
          <w:lang w:val="es-ES_tradnl"/>
        </w:rPr>
        <w:t xml:space="preserve">lo usual es que la entidad defina las condiciones de los bienes requeridos y luego solicite las cotizaciones. No obstante, </w:t>
      </w:r>
      <w:r w:rsidR="00216264" w:rsidRPr="00321FA3">
        <w:rPr>
          <w:rFonts w:ascii="Arial" w:hAnsi="Arial" w:cs="Arial"/>
          <w:color w:val="000000" w:themeColor="text1"/>
          <w:sz w:val="22"/>
          <w:lang w:val="es-ES_tradnl"/>
        </w:rPr>
        <w:t xml:space="preserve">esto supone que –a través del rol técnico– se han comparado diversas especificaciones para determinar </w:t>
      </w:r>
      <w:r w:rsidR="008B263F" w:rsidRPr="00321FA3">
        <w:rPr>
          <w:rFonts w:ascii="Arial" w:hAnsi="Arial" w:cs="Arial"/>
          <w:color w:val="000000" w:themeColor="text1"/>
          <w:sz w:val="22"/>
          <w:lang w:val="es-ES_tradnl"/>
        </w:rPr>
        <w:t>cuál</w:t>
      </w:r>
      <w:r w:rsidR="00216264" w:rsidRPr="00321FA3">
        <w:rPr>
          <w:rFonts w:ascii="Arial" w:hAnsi="Arial" w:cs="Arial"/>
          <w:color w:val="000000" w:themeColor="text1"/>
          <w:sz w:val="22"/>
          <w:lang w:val="es-ES_tradnl"/>
        </w:rPr>
        <w:t xml:space="preserve"> satisface mejor las necesidades de la Administración. En esta fase,</w:t>
      </w:r>
      <w:r w:rsidR="00CB4137" w:rsidRPr="00321FA3">
        <w:rPr>
          <w:rFonts w:ascii="Arial" w:hAnsi="Arial" w:cs="Arial"/>
          <w:color w:val="000000" w:themeColor="text1"/>
          <w:sz w:val="22"/>
          <w:lang w:val="es-ES_tradnl"/>
        </w:rPr>
        <w:t xml:space="preserve"> por ejemplo,</w:t>
      </w:r>
      <w:r w:rsidR="00216264" w:rsidRPr="00321FA3">
        <w:rPr>
          <w:rFonts w:ascii="Arial" w:hAnsi="Arial" w:cs="Arial"/>
          <w:color w:val="000000" w:themeColor="text1"/>
          <w:sz w:val="22"/>
          <w:lang w:val="es-ES_tradnl"/>
        </w:rPr>
        <w:t xml:space="preserve"> el funcionario encargado de realizar los estudios previos puede conocer de antemano los requerimientos técnicos o, por el contrario, determinarlos </w:t>
      </w:r>
      <w:r w:rsidR="008B263F" w:rsidRPr="00321FA3">
        <w:rPr>
          <w:rFonts w:ascii="Arial" w:hAnsi="Arial" w:cs="Arial"/>
          <w:color w:val="000000" w:themeColor="text1"/>
          <w:sz w:val="22"/>
          <w:lang w:val="es-ES_tradnl"/>
        </w:rPr>
        <w:t>con</w:t>
      </w:r>
      <w:r w:rsidR="00216264" w:rsidRPr="00321FA3">
        <w:rPr>
          <w:rFonts w:ascii="Arial" w:hAnsi="Arial" w:cs="Arial"/>
          <w:color w:val="000000" w:themeColor="text1"/>
          <w:sz w:val="22"/>
          <w:lang w:val="es-ES_tradnl"/>
        </w:rPr>
        <w:t xml:space="preserve"> visita</w:t>
      </w:r>
      <w:r w:rsidR="00B3346C" w:rsidRPr="00321FA3">
        <w:rPr>
          <w:rFonts w:ascii="Arial" w:hAnsi="Arial" w:cs="Arial"/>
          <w:color w:val="000000" w:themeColor="text1"/>
          <w:sz w:val="22"/>
          <w:lang w:val="es-ES_tradnl"/>
        </w:rPr>
        <w:t>s</w:t>
      </w:r>
      <w:r w:rsidR="00216264" w:rsidRPr="00321FA3">
        <w:rPr>
          <w:rFonts w:ascii="Arial" w:hAnsi="Arial" w:cs="Arial"/>
          <w:color w:val="000000" w:themeColor="text1"/>
          <w:sz w:val="22"/>
          <w:lang w:val="es-ES_tradnl"/>
        </w:rPr>
        <w:t xml:space="preserve"> </w:t>
      </w:r>
      <w:r w:rsidR="00216264" w:rsidRPr="00321FA3">
        <w:rPr>
          <w:rFonts w:ascii="Arial" w:hAnsi="Arial" w:cs="Arial"/>
          <w:i/>
          <w:iCs/>
          <w:color w:val="000000" w:themeColor="text1"/>
          <w:sz w:val="22"/>
          <w:lang w:val="es-ES_tradnl"/>
        </w:rPr>
        <w:t>in situ</w:t>
      </w:r>
      <w:r w:rsidR="00216264" w:rsidRPr="00321FA3">
        <w:rPr>
          <w:rFonts w:ascii="Arial" w:hAnsi="Arial" w:cs="Arial"/>
          <w:color w:val="000000" w:themeColor="text1"/>
          <w:sz w:val="22"/>
          <w:lang w:val="es-ES_tradnl"/>
        </w:rPr>
        <w:t xml:space="preserve"> a</w:t>
      </w:r>
      <w:r w:rsidR="00B3346C" w:rsidRPr="00321FA3">
        <w:rPr>
          <w:rFonts w:ascii="Arial" w:hAnsi="Arial" w:cs="Arial"/>
          <w:color w:val="000000" w:themeColor="text1"/>
          <w:sz w:val="22"/>
          <w:lang w:val="es-ES_tradnl"/>
        </w:rPr>
        <w:t xml:space="preserve"> </w:t>
      </w:r>
      <w:r w:rsidR="00216264" w:rsidRPr="00321FA3">
        <w:rPr>
          <w:rFonts w:ascii="Arial" w:hAnsi="Arial" w:cs="Arial"/>
          <w:color w:val="000000" w:themeColor="text1"/>
          <w:sz w:val="22"/>
          <w:lang w:val="es-ES_tradnl"/>
        </w:rPr>
        <w:t>l</w:t>
      </w:r>
      <w:r w:rsidR="00B3346C" w:rsidRPr="00321FA3">
        <w:rPr>
          <w:rFonts w:ascii="Arial" w:hAnsi="Arial" w:cs="Arial"/>
          <w:color w:val="000000" w:themeColor="text1"/>
          <w:sz w:val="22"/>
          <w:lang w:val="es-ES_tradnl"/>
        </w:rPr>
        <w:t>os</w:t>
      </w:r>
      <w:r w:rsidR="00216264" w:rsidRPr="00321FA3">
        <w:rPr>
          <w:rFonts w:ascii="Arial" w:hAnsi="Arial" w:cs="Arial"/>
          <w:color w:val="000000" w:themeColor="text1"/>
          <w:sz w:val="22"/>
          <w:lang w:val="es-ES_tradnl"/>
        </w:rPr>
        <w:t xml:space="preserve"> establecimiento</w:t>
      </w:r>
      <w:r w:rsidR="00B3346C" w:rsidRPr="00321FA3">
        <w:rPr>
          <w:rFonts w:ascii="Arial" w:hAnsi="Arial" w:cs="Arial"/>
          <w:color w:val="000000" w:themeColor="text1"/>
          <w:sz w:val="22"/>
          <w:lang w:val="es-ES_tradnl"/>
        </w:rPr>
        <w:t>s</w:t>
      </w:r>
      <w:r w:rsidR="00216264" w:rsidRPr="00321FA3">
        <w:rPr>
          <w:rFonts w:ascii="Arial" w:hAnsi="Arial" w:cs="Arial"/>
          <w:color w:val="000000" w:themeColor="text1"/>
          <w:sz w:val="22"/>
          <w:lang w:val="es-ES_tradnl"/>
        </w:rPr>
        <w:t xml:space="preserve"> de comercio</w:t>
      </w:r>
      <w:r w:rsidR="008B263F" w:rsidRPr="00321FA3">
        <w:rPr>
          <w:rFonts w:ascii="Arial" w:hAnsi="Arial" w:cs="Arial"/>
          <w:color w:val="000000" w:themeColor="text1"/>
          <w:sz w:val="22"/>
          <w:lang w:val="es-ES_tradnl"/>
        </w:rPr>
        <w:t xml:space="preserve"> de los posibles oferentes</w:t>
      </w:r>
      <w:r w:rsidR="00216264" w:rsidRPr="00321FA3">
        <w:rPr>
          <w:rFonts w:ascii="Arial" w:hAnsi="Arial" w:cs="Arial"/>
          <w:color w:val="000000" w:themeColor="text1"/>
          <w:sz w:val="22"/>
          <w:lang w:val="es-ES_tradnl"/>
        </w:rPr>
        <w:t>. En este último escenario</w:t>
      </w:r>
      <w:r w:rsidR="00B3346C" w:rsidRPr="00321FA3">
        <w:rPr>
          <w:rFonts w:ascii="Arial" w:hAnsi="Arial" w:cs="Arial"/>
          <w:color w:val="000000" w:themeColor="text1"/>
          <w:sz w:val="22"/>
          <w:lang w:val="es-ES_tradnl"/>
        </w:rPr>
        <w:t>,</w:t>
      </w:r>
      <w:r w:rsidR="00216264" w:rsidRPr="00321FA3">
        <w:rPr>
          <w:rFonts w:ascii="Arial" w:hAnsi="Arial" w:cs="Arial"/>
          <w:color w:val="000000" w:themeColor="text1"/>
          <w:sz w:val="22"/>
          <w:lang w:val="es-ES_tradnl"/>
        </w:rPr>
        <w:t xml:space="preserve"> </w:t>
      </w:r>
      <w:r w:rsidR="008B263F" w:rsidRPr="00321FA3">
        <w:rPr>
          <w:rFonts w:ascii="Arial" w:hAnsi="Arial" w:cs="Arial"/>
          <w:color w:val="000000" w:themeColor="text1"/>
          <w:sz w:val="22"/>
          <w:lang w:val="es-ES_tradnl"/>
        </w:rPr>
        <w:t>las muestras voluntariamente facilitadas contribuyen</w:t>
      </w:r>
      <w:r w:rsidR="00B3346C" w:rsidRPr="00321FA3">
        <w:rPr>
          <w:rFonts w:ascii="Arial" w:hAnsi="Arial" w:cs="Arial"/>
          <w:color w:val="000000" w:themeColor="text1"/>
          <w:sz w:val="22"/>
          <w:lang w:val="es-ES_tradnl"/>
        </w:rPr>
        <w:t xml:space="preserve"> a</w:t>
      </w:r>
      <w:r w:rsidR="008B263F" w:rsidRPr="00321FA3">
        <w:rPr>
          <w:rFonts w:ascii="Arial" w:hAnsi="Arial" w:cs="Arial"/>
          <w:color w:val="000000" w:themeColor="text1"/>
          <w:sz w:val="22"/>
          <w:lang w:val="es-ES_tradnl"/>
        </w:rPr>
        <w:t xml:space="preserve"> que la entidad</w:t>
      </w:r>
      <w:r w:rsidR="00B3346C" w:rsidRPr="00321FA3">
        <w:rPr>
          <w:rFonts w:ascii="Arial" w:hAnsi="Arial" w:cs="Arial"/>
          <w:color w:val="000000" w:themeColor="text1"/>
          <w:sz w:val="22"/>
          <w:lang w:val="es-ES_tradnl"/>
        </w:rPr>
        <w:t xml:space="preserve"> determin</w:t>
      </w:r>
      <w:r w:rsidR="008B263F" w:rsidRPr="00321FA3">
        <w:rPr>
          <w:rFonts w:ascii="Arial" w:hAnsi="Arial" w:cs="Arial"/>
          <w:color w:val="000000" w:themeColor="text1"/>
          <w:sz w:val="22"/>
          <w:lang w:val="es-ES_tradnl"/>
        </w:rPr>
        <w:t>e</w:t>
      </w:r>
      <w:r w:rsidR="00B3346C" w:rsidRPr="00321FA3">
        <w:rPr>
          <w:rFonts w:ascii="Arial" w:hAnsi="Arial" w:cs="Arial"/>
          <w:color w:val="000000" w:themeColor="text1"/>
          <w:sz w:val="22"/>
          <w:lang w:val="es-ES_tradnl"/>
        </w:rPr>
        <w:t xml:space="preserve"> el objeto del futuro contrato en la etapa de planeación.</w:t>
      </w:r>
      <w:bookmarkEnd w:id="14"/>
    </w:p>
    <w:p w14:paraId="633EBA8F" w14:textId="7A728AD8" w:rsidR="008B672C" w:rsidRPr="00321FA3" w:rsidRDefault="00CB4137" w:rsidP="00ED3347">
      <w:pPr>
        <w:spacing w:before="120" w:after="120" w:line="276" w:lineRule="auto"/>
        <w:ind w:firstLine="708"/>
        <w:jc w:val="both"/>
        <w:rPr>
          <w:rFonts w:ascii="Arial" w:hAnsi="Arial" w:cs="Arial"/>
          <w:color w:val="000000" w:themeColor="text1"/>
          <w:sz w:val="22"/>
          <w:lang w:val="es-ES_tradnl"/>
        </w:rPr>
      </w:pPr>
      <w:bookmarkStart w:id="15" w:name="_Hlk36496204"/>
      <w:r w:rsidRPr="00321FA3">
        <w:rPr>
          <w:rFonts w:ascii="Arial" w:hAnsi="Arial" w:cs="Arial"/>
          <w:color w:val="000000" w:themeColor="text1"/>
          <w:sz w:val="22"/>
          <w:lang w:val="es-ES_tradnl"/>
        </w:rPr>
        <w:t xml:space="preserve">No obstante, </w:t>
      </w:r>
      <w:r w:rsidR="00C2082C" w:rsidRPr="00321FA3">
        <w:rPr>
          <w:rFonts w:ascii="Arial" w:hAnsi="Arial" w:cs="Arial"/>
          <w:i/>
          <w:iCs/>
          <w:color w:val="000000" w:themeColor="text1"/>
          <w:sz w:val="22"/>
          <w:lang w:val="es-ES_tradnl"/>
        </w:rPr>
        <w:t>en segundo lugar</w:t>
      </w:r>
      <w:r w:rsidRPr="00321FA3">
        <w:rPr>
          <w:rFonts w:ascii="Arial" w:hAnsi="Arial" w:cs="Arial"/>
          <w:color w:val="000000" w:themeColor="text1"/>
          <w:sz w:val="22"/>
          <w:lang w:val="es-ES_tradnl"/>
        </w:rPr>
        <w:t xml:space="preserve">, </w:t>
      </w:r>
      <w:r w:rsidR="00914B9A" w:rsidRPr="00321FA3">
        <w:rPr>
          <w:rFonts w:ascii="Arial" w:hAnsi="Arial" w:cs="Arial"/>
          <w:color w:val="000000" w:themeColor="text1"/>
          <w:sz w:val="22"/>
          <w:lang w:val="es-ES_tradnl"/>
        </w:rPr>
        <w:t xml:space="preserve">las muestras </w:t>
      </w:r>
      <w:r w:rsidRPr="00321FA3">
        <w:rPr>
          <w:rFonts w:ascii="Arial" w:hAnsi="Arial" w:cs="Arial"/>
          <w:color w:val="000000" w:themeColor="text1"/>
          <w:sz w:val="22"/>
          <w:lang w:val="es-ES_tradnl"/>
        </w:rPr>
        <w:t xml:space="preserve">serán obligatorias siempre que el pliego o la invitación </w:t>
      </w:r>
      <w:r w:rsidR="00E26FCF" w:rsidRPr="00321FA3">
        <w:rPr>
          <w:rFonts w:ascii="Arial" w:hAnsi="Arial" w:cs="Arial"/>
          <w:color w:val="000000" w:themeColor="text1"/>
          <w:sz w:val="22"/>
          <w:lang w:val="es-ES_tradnl"/>
        </w:rPr>
        <w:t xml:space="preserve">se </w:t>
      </w:r>
      <w:r w:rsidRPr="00321FA3">
        <w:rPr>
          <w:rFonts w:ascii="Arial" w:hAnsi="Arial" w:cs="Arial"/>
          <w:color w:val="000000" w:themeColor="text1"/>
          <w:sz w:val="22"/>
          <w:lang w:val="es-ES_tradnl"/>
        </w:rPr>
        <w:t>definan como requisito habilitante</w:t>
      </w:r>
      <w:r w:rsidR="001F56AA" w:rsidRPr="00321FA3">
        <w:rPr>
          <w:rFonts w:ascii="Arial" w:hAnsi="Arial" w:cs="Arial"/>
          <w:color w:val="000000" w:themeColor="text1"/>
          <w:sz w:val="22"/>
          <w:lang w:val="es-ES_tradnl"/>
        </w:rPr>
        <w:t xml:space="preserve">, caso </w:t>
      </w:r>
      <w:r w:rsidR="00E613AE" w:rsidRPr="00321FA3">
        <w:rPr>
          <w:rFonts w:ascii="Arial" w:hAnsi="Arial" w:cs="Arial"/>
          <w:color w:val="000000" w:themeColor="text1"/>
          <w:sz w:val="22"/>
          <w:lang w:val="es-ES_tradnl"/>
        </w:rPr>
        <w:t>en el cual se deberán entregar junto con los demás documentos de la oferta</w:t>
      </w:r>
      <w:bookmarkEnd w:id="15"/>
      <w:r w:rsidRPr="00321FA3">
        <w:rPr>
          <w:rFonts w:ascii="Arial" w:hAnsi="Arial" w:cs="Arial"/>
          <w:color w:val="000000" w:themeColor="text1"/>
          <w:sz w:val="22"/>
          <w:lang w:val="es-ES_tradnl"/>
        </w:rPr>
        <w:t>.</w:t>
      </w:r>
      <w:r w:rsidR="00ED3347" w:rsidRPr="00321FA3">
        <w:rPr>
          <w:rFonts w:ascii="Arial" w:hAnsi="Arial" w:cs="Arial"/>
          <w:color w:val="000000" w:themeColor="text1"/>
          <w:sz w:val="22"/>
          <w:lang w:val="es-ES_tradnl"/>
        </w:rPr>
        <w:t xml:space="preserve"> </w:t>
      </w:r>
      <w:r w:rsidR="008B672C" w:rsidRPr="00321FA3">
        <w:rPr>
          <w:rFonts w:ascii="Arial" w:hAnsi="Arial" w:cs="Arial"/>
          <w:color w:val="000000" w:themeColor="text1"/>
          <w:sz w:val="22"/>
          <w:lang w:val="es-ES_tradnl"/>
        </w:rPr>
        <w:t>Al respecto, e</w:t>
      </w:r>
      <w:r w:rsidR="00B65938" w:rsidRPr="00321FA3">
        <w:rPr>
          <w:rFonts w:ascii="Arial" w:hAnsi="Arial" w:cs="Arial"/>
          <w:color w:val="000000" w:themeColor="text1"/>
          <w:sz w:val="22"/>
          <w:lang w:val="es-ES_tradnl"/>
        </w:rPr>
        <w:t xml:space="preserve">l numeral 1 del artículo 5 de la Ley 1150 de 2007 dispone que «La capacidad jurídica y las condiciones de experiencia, capacidad financiera y de organización de los proponentes serán objeto de verificación de cumplimiento como requisitos habilitantes para la participación en el proceso de selección y no otorgarán puntaje […] </w:t>
      </w:r>
      <w:r w:rsidR="00B65938" w:rsidRPr="00321FA3">
        <w:rPr>
          <w:rFonts w:ascii="Arial" w:hAnsi="Arial" w:cs="Arial"/>
          <w:i/>
          <w:iCs/>
          <w:color w:val="000000" w:themeColor="text1"/>
          <w:sz w:val="22"/>
          <w:lang w:val="es-ES_tradnl"/>
        </w:rPr>
        <w:t>La exigencia de tales condiciones debe ser adecuada y proporcional a la naturaleza del contrato a suscribir y a su valor</w:t>
      </w:r>
      <w:r w:rsidR="00B65938" w:rsidRPr="00321FA3">
        <w:rPr>
          <w:rFonts w:ascii="Arial" w:hAnsi="Arial" w:cs="Arial"/>
          <w:color w:val="000000" w:themeColor="text1"/>
          <w:sz w:val="22"/>
          <w:lang w:val="es-ES_tradnl"/>
        </w:rPr>
        <w:t xml:space="preserve"> […]»</w:t>
      </w:r>
      <w:r w:rsidR="00C2082C" w:rsidRPr="00321FA3">
        <w:rPr>
          <w:rFonts w:ascii="Arial" w:hAnsi="Arial" w:cs="Arial"/>
          <w:color w:val="000000" w:themeColor="text1"/>
          <w:sz w:val="22"/>
          <w:lang w:val="es-ES_tradnl"/>
        </w:rPr>
        <w:t xml:space="preserve"> (Cursivas fuera de texto)</w:t>
      </w:r>
      <w:r w:rsidR="00B65938" w:rsidRPr="00321FA3">
        <w:rPr>
          <w:rFonts w:ascii="Arial" w:hAnsi="Arial" w:cs="Arial"/>
          <w:color w:val="000000" w:themeColor="text1"/>
          <w:sz w:val="22"/>
          <w:lang w:val="es-ES_tradnl"/>
        </w:rPr>
        <w:t xml:space="preserve">. </w:t>
      </w:r>
      <w:r w:rsidR="00C2082C" w:rsidRPr="00321FA3">
        <w:rPr>
          <w:rFonts w:ascii="Arial" w:hAnsi="Arial" w:cs="Arial"/>
          <w:color w:val="000000" w:themeColor="text1"/>
          <w:sz w:val="22"/>
          <w:lang w:val="es-ES_tradnl"/>
        </w:rPr>
        <w:t>Bajo estas restricciones</w:t>
      </w:r>
      <w:r w:rsidR="008B672C" w:rsidRPr="00321FA3">
        <w:rPr>
          <w:rFonts w:ascii="Arial" w:hAnsi="Arial" w:cs="Arial"/>
          <w:color w:val="000000" w:themeColor="text1"/>
          <w:sz w:val="22"/>
          <w:lang w:val="es-ES_tradnl"/>
        </w:rPr>
        <w:t xml:space="preserve">, las entidades estatales son libres de solicitar los requisitos que considere pertinentes para </w:t>
      </w:r>
      <w:r w:rsidR="00C2082C" w:rsidRPr="00321FA3">
        <w:rPr>
          <w:rFonts w:ascii="Arial" w:hAnsi="Arial" w:cs="Arial"/>
          <w:color w:val="000000" w:themeColor="text1"/>
          <w:sz w:val="22"/>
          <w:lang w:val="es-ES_tradnl"/>
        </w:rPr>
        <w:t>verificar</w:t>
      </w:r>
      <w:r w:rsidR="008B672C" w:rsidRPr="00321FA3">
        <w:rPr>
          <w:rFonts w:ascii="Arial" w:hAnsi="Arial" w:cs="Arial"/>
          <w:color w:val="000000" w:themeColor="text1"/>
          <w:sz w:val="22"/>
          <w:lang w:val="es-ES_tradnl"/>
        </w:rPr>
        <w:t xml:space="preserve"> las características técnicas mínimas para que la ejecución del objeto contractual resulte eficiente y eficaz frente a la</w:t>
      </w:r>
      <w:r w:rsidR="00C2082C" w:rsidRPr="00321FA3">
        <w:rPr>
          <w:rFonts w:ascii="Arial" w:hAnsi="Arial" w:cs="Arial"/>
          <w:color w:val="000000" w:themeColor="text1"/>
          <w:sz w:val="22"/>
          <w:lang w:val="es-ES_tradnl"/>
        </w:rPr>
        <w:t>s</w:t>
      </w:r>
      <w:r w:rsidR="008B672C" w:rsidRPr="00321FA3">
        <w:rPr>
          <w:rFonts w:ascii="Arial" w:hAnsi="Arial" w:cs="Arial"/>
          <w:color w:val="000000" w:themeColor="text1"/>
          <w:sz w:val="22"/>
          <w:lang w:val="es-ES_tradnl"/>
        </w:rPr>
        <w:t xml:space="preserve"> necesidad</w:t>
      </w:r>
      <w:r w:rsidR="00C2082C" w:rsidRPr="00321FA3">
        <w:rPr>
          <w:rFonts w:ascii="Arial" w:hAnsi="Arial" w:cs="Arial"/>
          <w:color w:val="000000" w:themeColor="text1"/>
          <w:sz w:val="22"/>
          <w:lang w:val="es-ES_tradnl"/>
        </w:rPr>
        <w:t>es</w:t>
      </w:r>
      <w:r w:rsidR="008B672C" w:rsidRPr="00321FA3">
        <w:rPr>
          <w:rFonts w:ascii="Arial" w:hAnsi="Arial" w:cs="Arial"/>
          <w:color w:val="000000" w:themeColor="text1"/>
          <w:sz w:val="22"/>
          <w:lang w:val="es-ES_tradnl"/>
        </w:rPr>
        <w:t xml:space="preserve"> identificada</w:t>
      </w:r>
      <w:r w:rsidR="00C2082C" w:rsidRPr="00321FA3">
        <w:rPr>
          <w:rFonts w:ascii="Arial" w:hAnsi="Arial" w:cs="Arial"/>
          <w:color w:val="000000" w:themeColor="text1"/>
          <w:sz w:val="22"/>
          <w:lang w:val="es-ES_tradnl"/>
        </w:rPr>
        <w:t>s</w:t>
      </w:r>
      <w:r w:rsidR="008B672C" w:rsidRPr="00321FA3">
        <w:rPr>
          <w:rFonts w:ascii="Arial" w:hAnsi="Arial" w:cs="Arial"/>
          <w:color w:val="000000" w:themeColor="text1"/>
          <w:sz w:val="22"/>
          <w:lang w:val="es-ES_tradnl"/>
        </w:rPr>
        <w:t xml:space="preserve">. </w:t>
      </w:r>
      <w:r w:rsidR="00B65938" w:rsidRPr="00321FA3">
        <w:rPr>
          <w:rFonts w:ascii="Arial" w:hAnsi="Arial" w:cs="Arial"/>
          <w:color w:val="000000" w:themeColor="text1"/>
          <w:sz w:val="22"/>
          <w:lang w:val="es-ES_tradnl"/>
        </w:rPr>
        <w:t xml:space="preserve">Por lo anterior, </w:t>
      </w:r>
      <w:r w:rsidR="00672E80" w:rsidRPr="00321FA3">
        <w:rPr>
          <w:rFonts w:ascii="Arial" w:hAnsi="Arial" w:cs="Arial"/>
          <w:color w:val="000000" w:themeColor="text1"/>
          <w:sz w:val="22"/>
          <w:lang w:val="es-ES_tradnl"/>
        </w:rPr>
        <w:t>la Administración</w:t>
      </w:r>
      <w:r w:rsidR="00B65938" w:rsidRPr="00321FA3">
        <w:rPr>
          <w:rFonts w:ascii="Arial" w:hAnsi="Arial" w:cs="Arial"/>
          <w:color w:val="000000" w:themeColor="text1"/>
          <w:sz w:val="22"/>
          <w:lang w:val="es-ES_tradnl"/>
        </w:rPr>
        <w:t xml:space="preserve"> debe establecer los requisitos habilitantes de forma adecuada y proporcional a la naturaleza y valor del </w:t>
      </w:r>
      <w:r w:rsidR="00672E80" w:rsidRPr="00321FA3">
        <w:rPr>
          <w:rFonts w:ascii="Arial" w:hAnsi="Arial" w:cs="Arial"/>
          <w:color w:val="000000" w:themeColor="text1"/>
          <w:sz w:val="22"/>
          <w:lang w:val="es-ES_tradnl"/>
        </w:rPr>
        <w:t>objeto</w:t>
      </w:r>
      <w:r w:rsidR="002E48EC" w:rsidRPr="00321FA3">
        <w:rPr>
          <w:rFonts w:ascii="Arial" w:hAnsi="Arial" w:cs="Arial"/>
          <w:color w:val="000000" w:themeColor="text1"/>
          <w:sz w:val="22"/>
          <w:lang w:val="es-ES_tradnl"/>
        </w:rPr>
        <w:t>,</w:t>
      </w:r>
      <w:r w:rsidR="00672E80" w:rsidRPr="00321FA3">
        <w:rPr>
          <w:rFonts w:ascii="Arial" w:hAnsi="Arial" w:cs="Arial"/>
          <w:color w:val="000000" w:themeColor="text1"/>
          <w:sz w:val="22"/>
          <w:lang w:val="es-ES_tradnl"/>
        </w:rPr>
        <w:t xml:space="preserve"> </w:t>
      </w:r>
      <w:r w:rsidR="00B65938" w:rsidRPr="00321FA3">
        <w:rPr>
          <w:rFonts w:ascii="Arial" w:hAnsi="Arial" w:cs="Arial"/>
          <w:color w:val="000000" w:themeColor="text1"/>
          <w:sz w:val="22"/>
          <w:lang w:val="es-ES_tradnl"/>
        </w:rPr>
        <w:t>busca</w:t>
      </w:r>
      <w:r w:rsidR="00672E80" w:rsidRPr="00321FA3">
        <w:rPr>
          <w:rFonts w:ascii="Arial" w:hAnsi="Arial" w:cs="Arial"/>
          <w:color w:val="000000" w:themeColor="text1"/>
          <w:sz w:val="22"/>
          <w:lang w:val="es-ES_tradnl"/>
        </w:rPr>
        <w:t>ndo</w:t>
      </w:r>
      <w:r w:rsidR="00B65938" w:rsidRPr="00321FA3">
        <w:rPr>
          <w:rFonts w:ascii="Arial" w:hAnsi="Arial" w:cs="Arial"/>
          <w:color w:val="000000" w:themeColor="text1"/>
          <w:sz w:val="22"/>
          <w:lang w:val="es-ES_tradnl"/>
        </w:rPr>
        <w:t xml:space="preserve"> una relación entre el contrato</w:t>
      </w:r>
      <w:r w:rsidR="00C2082C" w:rsidRPr="00321FA3">
        <w:rPr>
          <w:rFonts w:ascii="Arial" w:hAnsi="Arial" w:cs="Arial"/>
          <w:color w:val="000000" w:themeColor="text1"/>
          <w:sz w:val="22"/>
          <w:lang w:val="es-ES_tradnl"/>
        </w:rPr>
        <w:t>, la capacidad y</w:t>
      </w:r>
      <w:r w:rsidR="00B65938" w:rsidRPr="00321FA3">
        <w:rPr>
          <w:rFonts w:ascii="Arial" w:hAnsi="Arial" w:cs="Arial"/>
          <w:color w:val="000000" w:themeColor="text1"/>
          <w:sz w:val="22"/>
          <w:lang w:val="es-ES_tradnl"/>
        </w:rPr>
        <w:t xml:space="preserve"> la experiencia del proponente. </w:t>
      </w:r>
    </w:p>
    <w:p w14:paraId="3969E078" w14:textId="5D335AA7" w:rsidR="00ED3347" w:rsidRPr="00321FA3" w:rsidRDefault="00581B45" w:rsidP="00ED3347">
      <w:pPr>
        <w:spacing w:before="120" w:after="120" w:line="276" w:lineRule="auto"/>
        <w:ind w:firstLine="708"/>
        <w:jc w:val="both"/>
        <w:rPr>
          <w:rFonts w:ascii="Arial" w:hAnsi="Arial" w:cs="Arial"/>
          <w:color w:val="000000" w:themeColor="text1"/>
          <w:sz w:val="22"/>
          <w:lang w:val="es-ES_tradnl"/>
        </w:rPr>
      </w:pPr>
      <w:r w:rsidRPr="00321FA3">
        <w:rPr>
          <w:rFonts w:ascii="Arial" w:hAnsi="Arial" w:cs="Arial"/>
          <w:color w:val="000000" w:themeColor="text1"/>
          <w:sz w:val="22"/>
          <w:lang w:val="es-ES_tradnl"/>
        </w:rPr>
        <w:t>N</w:t>
      </w:r>
      <w:r w:rsidR="00ED3347" w:rsidRPr="00321FA3">
        <w:rPr>
          <w:rFonts w:ascii="Arial" w:hAnsi="Arial" w:cs="Arial"/>
          <w:color w:val="000000" w:themeColor="text1"/>
          <w:sz w:val="22"/>
          <w:lang w:val="es-ES_tradnl"/>
        </w:rPr>
        <w:t xml:space="preserve">o todas las tipologías admiten este requerimiento, pues </w:t>
      </w:r>
      <w:r w:rsidR="00697C9A" w:rsidRPr="00321FA3">
        <w:rPr>
          <w:rFonts w:ascii="Arial" w:hAnsi="Arial" w:cs="Arial"/>
          <w:color w:val="000000" w:themeColor="text1"/>
          <w:sz w:val="22"/>
          <w:lang w:val="es-ES_tradnl"/>
        </w:rPr>
        <w:t xml:space="preserve">es </w:t>
      </w:r>
      <w:r w:rsidR="00ED3347" w:rsidRPr="00321FA3">
        <w:rPr>
          <w:rFonts w:ascii="Arial" w:hAnsi="Arial" w:cs="Arial"/>
          <w:color w:val="000000" w:themeColor="text1"/>
          <w:sz w:val="22"/>
          <w:lang w:val="es-ES_tradnl"/>
        </w:rPr>
        <w:t xml:space="preserve">ajena al contrato de obra, donde en necesaria la ejecución de una serie de actividades previas, de orden material, para lograr el resultado deseado. Incluso, en contratos donde este requisito es previsible –como en la compraventa y el suministro–, no deben imponerse cargas excesivas a los proponentes. </w:t>
      </w:r>
      <w:r w:rsidR="00ED3347" w:rsidRPr="00321FA3">
        <w:rPr>
          <w:rFonts w:ascii="Arial" w:hAnsi="Arial" w:cs="Arial"/>
          <w:i/>
          <w:iCs/>
          <w:color w:val="000000" w:themeColor="text1"/>
          <w:sz w:val="22"/>
          <w:lang w:val="es-ES_tradnl"/>
        </w:rPr>
        <w:t>Verbi gratia</w:t>
      </w:r>
      <w:r w:rsidR="00ED3347" w:rsidRPr="00321FA3">
        <w:rPr>
          <w:rFonts w:ascii="Arial" w:hAnsi="Arial" w:cs="Arial"/>
          <w:color w:val="000000" w:themeColor="text1"/>
          <w:sz w:val="22"/>
          <w:lang w:val="es-ES_tradnl"/>
        </w:rPr>
        <w:t xml:space="preserve">, no es lo mismo solicitar algunas muestras de carpetas, esferos y libros que de computadores, maquinaria o equipos, los cuales –además del riesgo de pérdida– suponen costos adicionales para trasportarlos. Siguiendo con el ejemplo, no es equivalente solicitar muestras de un lote de suvenires de diez (10) ítems que en otro de cien (100), haciendo que la carga sea más onerosa en el segundo caso. Así mismo, tampoco es lo mismo solicitar la muestra de un producto imperecedero que de aquellos que </w:t>
      </w:r>
      <w:r w:rsidR="00ED3347" w:rsidRPr="00321FA3">
        <w:rPr>
          <w:rFonts w:ascii="Arial" w:hAnsi="Arial" w:cs="Arial"/>
          <w:color w:val="000000" w:themeColor="text1"/>
          <w:sz w:val="22"/>
          <w:lang w:val="es-ES_tradnl"/>
        </w:rPr>
        <w:lastRenderedPageBreak/>
        <w:t>se descomponen o pierden su calidad con el tiempo, pues se deterioraría antes de llegar a las manos de la entidad.</w:t>
      </w:r>
    </w:p>
    <w:p w14:paraId="23F2FF04" w14:textId="3BFC5481" w:rsidR="00717ACB" w:rsidRPr="00321FA3" w:rsidRDefault="00987C77" w:rsidP="008B672C">
      <w:pPr>
        <w:spacing w:before="120" w:after="120" w:line="276" w:lineRule="auto"/>
        <w:ind w:firstLine="708"/>
        <w:jc w:val="both"/>
        <w:rPr>
          <w:rFonts w:ascii="Arial" w:hAnsi="Arial" w:cs="Arial"/>
          <w:color w:val="000000" w:themeColor="text1"/>
          <w:sz w:val="22"/>
          <w:lang w:val="es-ES_tradnl"/>
        </w:rPr>
      </w:pPr>
      <w:r w:rsidRPr="00321FA3">
        <w:rPr>
          <w:rFonts w:ascii="Arial" w:hAnsi="Arial" w:cs="Arial"/>
          <w:color w:val="000000" w:themeColor="text1"/>
          <w:sz w:val="22"/>
          <w:lang w:val="es-ES_tradnl"/>
        </w:rPr>
        <w:t>En otras palabras</w:t>
      </w:r>
      <w:r w:rsidR="00B65938" w:rsidRPr="00321FA3">
        <w:rPr>
          <w:rFonts w:ascii="Arial" w:hAnsi="Arial" w:cs="Arial"/>
          <w:color w:val="000000" w:themeColor="text1"/>
          <w:sz w:val="22"/>
          <w:lang w:val="es-ES_tradnl"/>
        </w:rPr>
        <w:t xml:space="preserve">, </w:t>
      </w:r>
      <w:bookmarkStart w:id="16" w:name="_Hlk36496324"/>
      <w:r w:rsidR="00B65938" w:rsidRPr="00321FA3">
        <w:rPr>
          <w:rFonts w:ascii="Arial" w:hAnsi="Arial" w:cs="Arial"/>
          <w:color w:val="000000" w:themeColor="text1"/>
          <w:sz w:val="22"/>
          <w:lang w:val="es-ES_tradnl"/>
        </w:rPr>
        <w:t xml:space="preserve">los requisitos habilitantes exigidos deben guardar proporción con el objeto del contrato, su valor, complejidad, plazo, forma de pago y el </w:t>
      </w:r>
      <w:r w:rsidR="00672E80" w:rsidRPr="00321FA3">
        <w:rPr>
          <w:rFonts w:ascii="Arial" w:hAnsi="Arial" w:cs="Arial"/>
          <w:color w:val="000000" w:themeColor="text1"/>
          <w:sz w:val="22"/>
          <w:lang w:val="es-ES_tradnl"/>
        </w:rPr>
        <w:t>r</w:t>
      </w:r>
      <w:r w:rsidR="00B65938" w:rsidRPr="00321FA3">
        <w:rPr>
          <w:rFonts w:ascii="Arial" w:hAnsi="Arial" w:cs="Arial"/>
          <w:color w:val="000000" w:themeColor="text1"/>
          <w:sz w:val="22"/>
          <w:lang w:val="es-ES_tradnl"/>
        </w:rPr>
        <w:t xml:space="preserve">iesgo asociado al </w:t>
      </w:r>
      <w:r w:rsidR="00672E80" w:rsidRPr="00321FA3">
        <w:rPr>
          <w:rFonts w:ascii="Arial" w:hAnsi="Arial" w:cs="Arial"/>
          <w:color w:val="000000" w:themeColor="text1"/>
          <w:sz w:val="22"/>
          <w:lang w:val="es-ES_tradnl"/>
        </w:rPr>
        <w:t>p</w:t>
      </w:r>
      <w:r w:rsidR="00B65938" w:rsidRPr="00321FA3">
        <w:rPr>
          <w:rFonts w:ascii="Arial" w:hAnsi="Arial" w:cs="Arial"/>
          <w:color w:val="000000" w:themeColor="text1"/>
          <w:sz w:val="22"/>
          <w:lang w:val="es-ES_tradnl"/>
        </w:rPr>
        <w:t xml:space="preserve">roceso de </w:t>
      </w:r>
      <w:r w:rsidR="00672E80" w:rsidRPr="00321FA3">
        <w:rPr>
          <w:rFonts w:ascii="Arial" w:hAnsi="Arial" w:cs="Arial"/>
          <w:color w:val="000000" w:themeColor="text1"/>
          <w:sz w:val="22"/>
          <w:lang w:val="es-ES_tradnl"/>
        </w:rPr>
        <w:t>selección</w:t>
      </w:r>
      <w:r w:rsidR="00B65938" w:rsidRPr="00321FA3">
        <w:rPr>
          <w:rFonts w:ascii="Arial" w:hAnsi="Arial" w:cs="Arial"/>
          <w:color w:val="000000" w:themeColor="text1"/>
          <w:sz w:val="22"/>
          <w:lang w:val="es-ES_tradnl"/>
        </w:rPr>
        <w:t>.</w:t>
      </w:r>
      <w:r w:rsidR="00717ACB" w:rsidRPr="00321FA3">
        <w:rPr>
          <w:rFonts w:ascii="Arial" w:hAnsi="Arial" w:cs="Arial"/>
          <w:color w:val="000000" w:themeColor="text1"/>
          <w:sz w:val="22"/>
          <w:lang w:val="es-ES_tradnl"/>
        </w:rPr>
        <w:t xml:space="preserve"> Una vez ponderadas estas variables, la entidad podrá solicitar muestras</w:t>
      </w:r>
      <w:r w:rsidR="00F843DF" w:rsidRPr="00321FA3">
        <w:rPr>
          <w:rFonts w:ascii="Arial" w:hAnsi="Arial" w:cs="Arial"/>
          <w:color w:val="000000" w:themeColor="text1"/>
          <w:sz w:val="22"/>
          <w:lang w:val="es-ES_tradnl"/>
        </w:rPr>
        <w:t>,</w:t>
      </w:r>
      <w:r w:rsidR="00717ACB" w:rsidRPr="00321FA3">
        <w:rPr>
          <w:rFonts w:ascii="Arial" w:hAnsi="Arial" w:cs="Arial"/>
          <w:color w:val="000000" w:themeColor="text1"/>
          <w:sz w:val="22"/>
          <w:lang w:val="es-ES_tradnl"/>
        </w:rPr>
        <w:t xml:space="preserve"> siempre que se justifique razonablemente </w:t>
      </w:r>
      <w:r w:rsidRPr="00321FA3">
        <w:rPr>
          <w:rFonts w:ascii="Arial" w:hAnsi="Arial" w:cs="Arial"/>
          <w:color w:val="000000" w:themeColor="text1"/>
          <w:sz w:val="22"/>
          <w:lang w:val="es-ES_tradnl"/>
        </w:rPr>
        <w:t>esta</w:t>
      </w:r>
      <w:r w:rsidR="00717ACB" w:rsidRPr="00321FA3">
        <w:rPr>
          <w:rFonts w:ascii="Arial" w:hAnsi="Arial" w:cs="Arial"/>
          <w:color w:val="000000" w:themeColor="text1"/>
          <w:sz w:val="22"/>
          <w:lang w:val="es-ES_tradnl"/>
        </w:rPr>
        <w:t xml:space="preserve"> necesidad en los estudios previos.</w:t>
      </w:r>
      <w:r w:rsidRPr="00321FA3">
        <w:rPr>
          <w:rFonts w:ascii="Arial" w:hAnsi="Arial" w:cs="Arial"/>
          <w:color w:val="000000" w:themeColor="text1"/>
          <w:sz w:val="22"/>
          <w:lang w:val="es-ES_tradnl"/>
        </w:rPr>
        <w:t xml:space="preserve"> </w:t>
      </w:r>
      <w:r w:rsidR="00717ACB" w:rsidRPr="00321FA3">
        <w:rPr>
          <w:rFonts w:ascii="Arial" w:hAnsi="Arial" w:cs="Arial"/>
          <w:color w:val="000000" w:themeColor="text1"/>
          <w:sz w:val="22"/>
          <w:lang w:val="es-ES_tradnl"/>
        </w:rPr>
        <w:t xml:space="preserve">Para estos efectos, </w:t>
      </w:r>
      <w:r w:rsidR="008B672C" w:rsidRPr="00321FA3">
        <w:rPr>
          <w:rFonts w:ascii="Arial" w:hAnsi="Arial" w:cs="Arial"/>
          <w:color w:val="000000" w:themeColor="text1"/>
          <w:sz w:val="22"/>
          <w:lang w:val="es-ES_tradnl"/>
        </w:rPr>
        <w:t>la</w:t>
      </w:r>
      <w:r w:rsidR="002F3601" w:rsidRPr="00321FA3">
        <w:rPr>
          <w:rFonts w:ascii="Arial" w:hAnsi="Arial" w:cs="Arial"/>
          <w:color w:val="000000" w:themeColor="text1"/>
          <w:sz w:val="22"/>
          <w:lang w:val="es-ES_tradnl"/>
        </w:rPr>
        <w:t xml:space="preserve"> entrega</w:t>
      </w:r>
      <w:r w:rsidR="00717ACB" w:rsidRPr="00321FA3">
        <w:rPr>
          <w:rFonts w:ascii="Arial" w:hAnsi="Arial" w:cs="Arial"/>
          <w:color w:val="000000" w:themeColor="text1"/>
          <w:sz w:val="22"/>
          <w:lang w:val="es-ES_tradnl"/>
        </w:rPr>
        <w:t xml:space="preserve"> tiene como objetivo verificar que los bienes solicitados cumplan con las condiciones técnicas del pliego o la invitación</w:t>
      </w:r>
      <w:r w:rsidRPr="00321FA3">
        <w:rPr>
          <w:rFonts w:ascii="Arial" w:hAnsi="Arial" w:cs="Arial"/>
          <w:color w:val="000000" w:themeColor="text1"/>
          <w:sz w:val="22"/>
          <w:lang w:val="es-ES_tradnl"/>
        </w:rPr>
        <w:t>, caso en el cual –antes del perfeccionamiento– se anticipa la tarea a realizar por parte del interventor o supervisor del contrato</w:t>
      </w:r>
      <w:bookmarkEnd w:id="16"/>
      <w:r w:rsidR="008B672C" w:rsidRPr="00321FA3">
        <w:rPr>
          <w:rFonts w:ascii="Arial" w:hAnsi="Arial" w:cs="Arial"/>
          <w:color w:val="000000" w:themeColor="text1"/>
          <w:sz w:val="22"/>
          <w:lang w:val="es-ES_tradnl"/>
        </w:rPr>
        <w:t>.</w:t>
      </w:r>
    </w:p>
    <w:p w14:paraId="3286FDE1" w14:textId="77777777" w:rsidR="00533101" w:rsidRPr="00321FA3" w:rsidRDefault="00C2082C" w:rsidP="00533101">
      <w:pPr>
        <w:spacing w:before="120" w:after="120" w:line="276" w:lineRule="auto"/>
        <w:ind w:firstLine="708"/>
        <w:jc w:val="both"/>
        <w:rPr>
          <w:rFonts w:ascii="Arial" w:hAnsi="Arial" w:cs="Arial"/>
          <w:color w:val="000000" w:themeColor="text1"/>
          <w:sz w:val="22"/>
          <w:lang w:val="es-ES_tradnl"/>
        </w:rPr>
      </w:pPr>
      <w:bookmarkStart w:id="17" w:name="_Hlk36496407"/>
      <w:r w:rsidRPr="00321FA3">
        <w:rPr>
          <w:rFonts w:ascii="Arial" w:hAnsi="Arial" w:cs="Arial"/>
          <w:i/>
          <w:iCs/>
          <w:color w:val="000000" w:themeColor="text1"/>
          <w:sz w:val="22"/>
          <w:lang w:val="es-ES_tradnl"/>
        </w:rPr>
        <w:t>Finalmente</w:t>
      </w:r>
      <w:r w:rsidRPr="00321FA3">
        <w:rPr>
          <w:rFonts w:ascii="Arial" w:hAnsi="Arial" w:cs="Arial"/>
          <w:color w:val="000000" w:themeColor="text1"/>
          <w:sz w:val="22"/>
          <w:lang w:val="es-ES_tradnl"/>
        </w:rPr>
        <w:t xml:space="preserve">, también es posible que las muestras entregadas sean un factor de evaluación de las propuestas, </w:t>
      </w:r>
      <w:r w:rsidR="00FA7A30" w:rsidRPr="00321FA3">
        <w:rPr>
          <w:rFonts w:ascii="Arial" w:hAnsi="Arial" w:cs="Arial"/>
          <w:color w:val="000000" w:themeColor="text1"/>
          <w:sz w:val="22"/>
          <w:lang w:val="es-ES_tradnl"/>
        </w:rPr>
        <w:t>motivo por</w:t>
      </w:r>
      <w:r w:rsidRPr="00321FA3">
        <w:rPr>
          <w:rFonts w:ascii="Arial" w:hAnsi="Arial" w:cs="Arial"/>
          <w:color w:val="000000" w:themeColor="text1"/>
          <w:sz w:val="22"/>
          <w:lang w:val="es-ES_tradnl"/>
        </w:rPr>
        <w:t xml:space="preserve"> el cual debe </w:t>
      </w:r>
      <w:r w:rsidR="00FA7A30" w:rsidRPr="00321FA3">
        <w:rPr>
          <w:rFonts w:ascii="Arial" w:hAnsi="Arial" w:cs="Arial"/>
          <w:color w:val="000000" w:themeColor="text1"/>
          <w:sz w:val="22"/>
          <w:lang w:val="es-ES_tradnl"/>
        </w:rPr>
        <w:t>definirse clara e inequívocamente</w:t>
      </w:r>
      <w:r w:rsidRPr="00321FA3">
        <w:rPr>
          <w:rFonts w:ascii="Arial" w:hAnsi="Arial" w:cs="Arial"/>
          <w:color w:val="000000" w:themeColor="text1"/>
          <w:sz w:val="22"/>
          <w:lang w:val="es-ES_tradnl"/>
        </w:rPr>
        <w:t xml:space="preserve"> en el pliego de condiciones</w:t>
      </w:r>
      <w:r w:rsidR="00FA7A30" w:rsidRPr="00321FA3">
        <w:rPr>
          <w:rFonts w:ascii="Arial" w:hAnsi="Arial" w:cs="Arial"/>
          <w:color w:val="000000" w:themeColor="text1"/>
          <w:sz w:val="22"/>
          <w:lang w:val="es-ES_tradnl"/>
        </w:rPr>
        <w:t xml:space="preserve"> la asignación de puntaje derivada del cumplimiento de condiciones adicionales en la calidad de los bienes solicitados. No obstante, debe considerarse que no todos los procesos de selección permiten la evaluación de este factor. Este es el caso de </w:t>
      </w:r>
      <w:bookmarkStart w:id="18" w:name="_Hlk37342281"/>
      <w:r w:rsidR="00FA7A30" w:rsidRPr="00321FA3">
        <w:rPr>
          <w:rFonts w:ascii="Arial" w:hAnsi="Arial" w:cs="Arial"/>
          <w:color w:val="000000" w:themeColor="text1"/>
          <w:sz w:val="22"/>
          <w:lang w:val="es-ES_tradnl"/>
        </w:rPr>
        <w:t>la selección abreviada por subasta inversa y la mínima cuantía, donde el menor precio ofrecido es el criterio determinante para la adjudicación de contrato o la aceptación de la propuesta, respectivamente</w:t>
      </w:r>
      <w:bookmarkEnd w:id="17"/>
      <w:r w:rsidR="006A59DE" w:rsidRPr="00321FA3">
        <w:rPr>
          <w:rStyle w:val="Refdenotaalpie"/>
          <w:rFonts w:ascii="Arial" w:hAnsi="Arial" w:cs="Arial"/>
          <w:color w:val="000000" w:themeColor="text1"/>
          <w:sz w:val="22"/>
          <w:lang w:val="es-ES_tradnl"/>
        </w:rPr>
        <w:footnoteReference w:id="3"/>
      </w:r>
      <w:r w:rsidR="00FA7A30" w:rsidRPr="00321FA3">
        <w:rPr>
          <w:rFonts w:ascii="Arial" w:hAnsi="Arial" w:cs="Arial"/>
          <w:color w:val="000000" w:themeColor="text1"/>
          <w:sz w:val="22"/>
          <w:lang w:val="es-ES_tradnl"/>
        </w:rPr>
        <w:t>.</w:t>
      </w:r>
      <w:r w:rsidR="003F4599" w:rsidRPr="00321FA3">
        <w:rPr>
          <w:rFonts w:ascii="Arial" w:hAnsi="Arial" w:cs="Arial"/>
          <w:color w:val="000000" w:themeColor="text1"/>
          <w:sz w:val="22"/>
          <w:lang w:val="es-ES_tradnl"/>
        </w:rPr>
        <w:t xml:space="preserve"> </w:t>
      </w:r>
    </w:p>
    <w:p w14:paraId="0410817E" w14:textId="141F41B0" w:rsidR="00533101" w:rsidRPr="00321FA3" w:rsidRDefault="00533101" w:rsidP="002C704D">
      <w:pPr>
        <w:spacing w:before="120" w:line="276" w:lineRule="auto"/>
        <w:ind w:firstLine="709"/>
        <w:jc w:val="both"/>
        <w:rPr>
          <w:rFonts w:ascii="Arial" w:hAnsi="Arial" w:cs="Arial"/>
          <w:color w:val="000000" w:themeColor="text1"/>
          <w:sz w:val="22"/>
          <w:lang w:val="es-ES_tradnl"/>
        </w:rPr>
      </w:pPr>
      <w:r w:rsidRPr="00321FA3">
        <w:rPr>
          <w:rFonts w:ascii="Arial" w:hAnsi="Arial" w:cs="Arial"/>
          <w:color w:val="000000" w:themeColor="text1"/>
          <w:sz w:val="22"/>
          <w:lang w:val="es-ES_tradnl"/>
        </w:rPr>
        <w:t xml:space="preserve">En estas modalidades de selección, el único criterio de evaluación es el precio; razón por la cual, la exigencia de muestras, en caso de requerirse y </w:t>
      </w:r>
      <w:r w:rsidR="00CB52D0" w:rsidRPr="00321FA3">
        <w:rPr>
          <w:rFonts w:ascii="Arial" w:hAnsi="Arial" w:cs="Arial"/>
          <w:color w:val="000000" w:themeColor="text1"/>
          <w:sz w:val="22"/>
          <w:lang w:val="es-ES_tradnl"/>
        </w:rPr>
        <w:t>hallarse</w:t>
      </w:r>
      <w:r w:rsidRPr="00321FA3">
        <w:rPr>
          <w:rFonts w:ascii="Arial" w:hAnsi="Arial" w:cs="Arial"/>
          <w:color w:val="000000" w:themeColor="text1"/>
          <w:sz w:val="22"/>
          <w:lang w:val="es-ES_tradnl"/>
        </w:rPr>
        <w:t xml:space="preserve"> plenamente justificado, será bajo el criterio de</w:t>
      </w:r>
      <w:r w:rsidR="00CB52D0" w:rsidRPr="00321FA3">
        <w:rPr>
          <w:rFonts w:ascii="Arial" w:hAnsi="Arial" w:cs="Arial"/>
          <w:color w:val="000000" w:themeColor="text1"/>
          <w:sz w:val="22"/>
          <w:lang w:val="es-ES_tradnl"/>
        </w:rPr>
        <w:t xml:space="preserve"> </w:t>
      </w:r>
      <w:r w:rsidR="001D56E9" w:rsidRPr="00321FA3">
        <w:rPr>
          <w:rFonts w:ascii="Arial" w:hAnsi="Arial" w:cs="Arial"/>
          <w:color w:val="000000" w:themeColor="text1"/>
          <w:sz w:val="22"/>
          <w:lang w:val="es-ES_tradnl"/>
        </w:rPr>
        <w:t>ser</w:t>
      </w:r>
      <w:r w:rsidRPr="00321FA3">
        <w:rPr>
          <w:rFonts w:ascii="Arial" w:hAnsi="Arial" w:cs="Arial"/>
          <w:color w:val="000000" w:themeColor="text1"/>
          <w:sz w:val="22"/>
          <w:lang w:val="es-ES_tradnl"/>
        </w:rPr>
        <w:t xml:space="preserve"> requisitos que no otorgan puntaje. Es decir, la </w:t>
      </w:r>
      <w:r w:rsidR="00AD463C" w:rsidRPr="00321FA3">
        <w:rPr>
          <w:rFonts w:ascii="Arial" w:hAnsi="Arial" w:cs="Arial"/>
          <w:color w:val="000000" w:themeColor="text1"/>
          <w:sz w:val="22"/>
          <w:lang w:val="es-ES_tradnl"/>
        </w:rPr>
        <w:t>e</w:t>
      </w:r>
      <w:r w:rsidRPr="00321FA3">
        <w:rPr>
          <w:rFonts w:ascii="Arial" w:hAnsi="Arial" w:cs="Arial"/>
          <w:color w:val="000000" w:themeColor="text1"/>
          <w:sz w:val="22"/>
          <w:lang w:val="es-ES_tradnl"/>
        </w:rPr>
        <w:t xml:space="preserve">ntidad </w:t>
      </w:r>
      <w:r w:rsidR="00AD463C" w:rsidRPr="00321FA3">
        <w:rPr>
          <w:rFonts w:ascii="Arial" w:hAnsi="Arial" w:cs="Arial"/>
          <w:color w:val="000000" w:themeColor="text1"/>
          <w:sz w:val="22"/>
          <w:lang w:val="es-ES_tradnl"/>
        </w:rPr>
        <w:t>e</w:t>
      </w:r>
      <w:r w:rsidRPr="00321FA3">
        <w:rPr>
          <w:rFonts w:ascii="Arial" w:hAnsi="Arial" w:cs="Arial"/>
          <w:color w:val="000000" w:themeColor="text1"/>
          <w:sz w:val="22"/>
          <w:lang w:val="es-ES_tradnl"/>
        </w:rPr>
        <w:t xml:space="preserve">statal debe adjudicar el </w:t>
      </w:r>
      <w:r w:rsidR="00AD463C" w:rsidRPr="00321FA3">
        <w:rPr>
          <w:rFonts w:ascii="Arial" w:hAnsi="Arial" w:cs="Arial"/>
          <w:color w:val="000000" w:themeColor="text1"/>
          <w:sz w:val="22"/>
          <w:lang w:val="es-ES_tradnl"/>
        </w:rPr>
        <w:t>p</w:t>
      </w:r>
      <w:r w:rsidRPr="00321FA3">
        <w:rPr>
          <w:rFonts w:ascii="Arial" w:hAnsi="Arial" w:cs="Arial"/>
          <w:color w:val="000000" w:themeColor="text1"/>
          <w:sz w:val="22"/>
          <w:lang w:val="es-ES_tradnl"/>
        </w:rPr>
        <w:t xml:space="preserve">roceso de </w:t>
      </w:r>
      <w:r w:rsidR="00AD463C" w:rsidRPr="00321FA3">
        <w:rPr>
          <w:rFonts w:ascii="Arial" w:hAnsi="Arial" w:cs="Arial"/>
          <w:color w:val="000000" w:themeColor="text1"/>
          <w:sz w:val="22"/>
          <w:lang w:val="es-ES_tradnl"/>
        </w:rPr>
        <w:t>c</w:t>
      </w:r>
      <w:r w:rsidRPr="00321FA3">
        <w:rPr>
          <w:rFonts w:ascii="Arial" w:hAnsi="Arial" w:cs="Arial"/>
          <w:color w:val="000000" w:themeColor="text1"/>
          <w:sz w:val="22"/>
          <w:lang w:val="es-ES_tradnl"/>
        </w:rPr>
        <w:t xml:space="preserve">ontratación al oferente que cumpla con todas las </w:t>
      </w:r>
      <w:r w:rsidRPr="00321FA3">
        <w:rPr>
          <w:rFonts w:ascii="Arial" w:hAnsi="Arial" w:cs="Arial"/>
          <w:color w:val="000000" w:themeColor="text1"/>
          <w:sz w:val="22"/>
          <w:lang w:val="es-ES_tradnl"/>
        </w:rPr>
        <w:lastRenderedPageBreak/>
        <w:t xml:space="preserve">condiciones exigidas en los </w:t>
      </w:r>
      <w:r w:rsidR="00CB52D0" w:rsidRPr="00321FA3">
        <w:rPr>
          <w:rFonts w:ascii="Arial" w:hAnsi="Arial" w:cs="Arial"/>
          <w:color w:val="000000" w:themeColor="text1"/>
          <w:sz w:val="22"/>
          <w:lang w:val="es-ES_tradnl"/>
        </w:rPr>
        <w:t>d</w:t>
      </w:r>
      <w:r w:rsidRPr="00321FA3">
        <w:rPr>
          <w:rFonts w:ascii="Arial" w:hAnsi="Arial" w:cs="Arial"/>
          <w:color w:val="000000" w:themeColor="text1"/>
          <w:sz w:val="22"/>
          <w:lang w:val="es-ES_tradnl"/>
        </w:rPr>
        <w:t xml:space="preserve">ocumentos del </w:t>
      </w:r>
      <w:r w:rsidR="00CB52D0" w:rsidRPr="00321FA3">
        <w:rPr>
          <w:rFonts w:ascii="Arial" w:hAnsi="Arial" w:cs="Arial"/>
          <w:color w:val="000000" w:themeColor="text1"/>
          <w:sz w:val="22"/>
          <w:lang w:val="es-ES_tradnl"/>
        </w:rPr>
        <w:t>p</w:t>
      </w:r>
      <w:r w:rsidRPr="00321FA3">
        <w:rPr>
          <w:rFonts w:ascii="Arial" w:hAnsi="Arial" w:cs="Arial"/>
          <w:color w:val="000000" w:themeColor="text1"/>
          <w:sz w:val="22"/>
          <w:lang w:val="es-ES_tradnl"/>
        </w:rPr>
        <w:t xml:space="preserve">roceso y que ofrezca el menor valor. </w:t>
      </w:r>
      <w:bookmarkStart w:id="19" w:name="_Hlk37343881"/>
      <w:r w:rsidRPr="00321FA3">
        <w:rPr>
          <w:rFonts w:ascii="Arial" w:hAnsi="Arial" w:cs="Arial"/>
          <w:color w:val="000000" w:themeColor="text1"/>
          <w:sz w:val="22"/>
          <w:lang w:val="es-ES_tradnl"/>
        </w:rPr>
        <w:t>No hay lugar a</w:t>
      </w:r>
      <w:r w:rsidR="00CB52D0" w:rsidRPr="00321FA3">
        <w:rPr>
          <w:rFonts w:ascii="Arial" w:hAnsi="Arial" w:cs="Arial"/>
          <w:color w:val="000000" w:themeColor="text1"/>
          <w:sz w:val="22"/>
          <w:lang w:val="es-ES_tradnl"/>
        </w:rPr>
        <w:t xml:space="preserve"> la asignación de</w:t>
      </w:r>
      <w:r w:rsidRPr="00321FA3">
        <w:rPr>
          <w:rFonts w:ascii="Arial" w:hAnsi="Arial" w:cs="Arial"/>
          <w:color w:val="000000" w:themeColor="text1"/>
          <w:sz w:val="22"/>
          <w:lang w:val="es-ES_tradnl"/>
        </w:rPr>
        <w:t xml:space="preserve"> puntaje para evaluar las ofertas sobre las características del objeto a contratar, su calidad o condiciones</w:t>
      </w:r>
      <w:bookmarkEnd w:id="18"/>
      <w:bookmarkEnd w:id="19"/>
      <w:r w:rsidRPr="00321FA3">
        <w:rPr>
          <w:rFonts w:ascii="Arial" w:hAnsi="Arial" w:cs="Arial"/>
          <w:color w:val="000000" w:themeColor="text1"/>
          <w:sz w:val="22"/>
          <w:lang w:val="es-ES_tradnl"/>
        </w:rPr>
        <w:t>.</w:t>
      </w:r>
      <w:r w:rsidR="00B1771D" w:rsidRPr="00321FA3">
        <w:rPr>
          <w:rFonts w:ascii="Arial" w:hAnsi="Arial" w:cs="Arial"/>
          <w:color w:val="000000" w:themeColor="text1"/>
          <w:sz w:val="22"/>
          <w:lang w:val="es-ES_tradnl"/>
        </w:rPr>
        <w:t xml:space="preserve"> Al respecto, considerando el modo de ofertar, la doctrina distingue entre la licitación de «precios sobre muestras» de la licitación de «precio»:</w:t>
      </w:r>
    </w:p>
    <w:p w14:paraId="369D71B4" w14:textId="511FCAA6" w:rsidR="00B1771D" w:rsidRPr="00321FA3" w:rsidRDefault="00B1771D" w:rsidP="00ED3347">
      <w:pPr>
        <w:spacing w:line="276" w:lineRule="auto"/>
        <w:jc w:val="both"/>
        <w:rPr>
          <w:rFonts w:ascii="Arial" w:hAnsi="Arial" w:cs="Arial"/>
          <w:color w:val="000000" w:themeColor="text1"/>
          <w:sz w:val="22"/>
          <w:lang w:val="es-ES_tradnl"/>
        </w:rPr>
      </w:pPr>
    </w:p>
    <w:p w14:paraId="3E25B802" w14:textId="77777777" w:rsidR="00B1771D" w:rsidRPr="00321FA3" w:rsidRDefault="00B1771D" w:rsidP="00DC1A68">
      <w:pPr>
        <w:spacing w:after="120"/>
        <w:ind w:left="709" w:right="709"/>
        <w:jc w:val="both"/>
        <w:rPr>
          <w:rFonts w:ascii="Arial" w:hAnsi="Arial" w:cs="Arial"/>
          <w:color w:val="000000" w:themeColor="text1"/>
          <w:sz w:val="21"/>
          <w:szCs w:val="21"/>
          <w:lang w:val="es-ES_tradnl"/>
        </w:rPr>
      </w:pPr>
      <w:r w:rsidRPr="00321FA3">
        <w:rPr>
          <w:rFonts w:ascii="Arial" w:hAnsi="Arial" w:cs="Arial"/>
          <w:color w:val="000000" w:themeColor="text1"/>
          <w:sz w:val="21"/>
          <w:szCs w:val="21"/>
          <w:lang w:val="es-ES_tradnl"/>
        </w:rPr>
        <w:t>En esta última se tiene en cuenta, para la clasificación de los proponentes y la designación del adjudicatario, sus ofertas de precios, con prescindencia de la calidad de los materiales, objetos o mercaderías que deberán suministrar. Solamente están obligados a suministrar una calidad por lo menos igual a la establecida por el pliego de condiciones […]. En estas licitaciones el precio límite se fija, igualmente, prescindiendo de las muestras de calidad.</w:t>
      </w:r>
    </w:p>
    <w:p w14:paraId="4BAE2E5A" w14:textId="5D79A6B5" w:rsidR="00B1771D" w:rsidRPr="00321FA3" w:rsidRDefault="00B1771D" w:rsidP="00DC1A68">
      <w:pPr>
        <w:spacing w:before="120"/>
        <w:ind w:left="709" w:right="709"/>
        <w:jc w:val="both"/>
        <w:rPr>
          <w:rFonts w:ascii="Arial" w:hAnsi="Arial" w:cs="Arial"/>
          <w:color w:val="000000" w:themeColor="text1"/>
          <w:sz w:val="21"/>
          <w:szCs w:val="21"/>
          <w:lang w:val="es-ES_tradnl"/>
        </w:rPr>
      </w:pPr>
      <w:r w:rsidRPr="00321FA3">
        <w:rPr>
          <w:rFonts w:ascii="Arial" w:hAnsi="Arial" w:cs="Arial"/>
          <w:color w:val="000000" w:themeColor="text1"/>
          <w:sz w:val="21"/>
          <w:szCs w:val="21"/>
          <w:lang w:val="es-ES_tradnl"/>
        </w:rPr>
        <w:t>En las licitaciones por “concurso de muestras y de precios”, en cambio, se tienen en cuenta al mismo tiempo, los ofrecimientos de precio y la calidad de las muestras que han presentado. Los oferentes entregan las muestras hasta una fecha establecida en el pliego de condiciones, y después, en ese mismo acto, formulan su propuesta de precio. La comisión de adjudicación procede al examen de las muestras enviadas y asigna un coeficiente en razón de su calidad relativa y del precio solicitado</w:t>
      </w:r>
      <w:r w:rsidRPr="00321FA3">
        <w:rPr>
          <w:rStyle w:val="Refdenotaalpie"/>
          <w:rFonts w:ascii="Arial" w:hAnsi="Arial" w:cs="Arial"/>
          <w:color w:val="000000" w:themeColor="text1"/>
          <w:sz w:val="21"/>
          <w:szCs w:val="21"/>
          <w:lang w:val="es-ES_tradnl"/>
        </w:rPr>
        <w:footnoteReference w:id="4"/>
      </w:r>
      <w:r w:rsidRPr="00321FA3">
        <w:rPr>
          <w:rFonts w:ascii="Arial" w:hAnsi="Arial" w:cs="Arial"/>
          <w:color w:val="000000" w:themeColor="text1"/>
          <w:sz w:val="21"/>
          <w:szCs w:val="21"/>
          <w:lang w:val="es-ES_tradnl"/>
        </w:rPr>
        <w:t xml:space="preserve">.       </w:t>
      </w:r>
    </w:p>
    <w:p w14:paraId="4FB719C6" w14:textId="77777777" w:rsidR="00B1771D" w:rsidRPr="00321FA3" w:rsidRDefault="00B1771D" w:rsidP="00ED3347">
      <w:pPr>
        <w:spacing w:line="276" w:lineRule="auto"/>
        <w:ind w:firstLine="708"/>
        <w:jc w:val="both"/>
        <w:rPr>
          <w:rFonts w:ascii="Arial" w:hAnsi="Arial" w:cs="Arial"/>
          <w:color w:val="000000" w:themeColor="text1"/>
          <w:sz w:val="22"/>
          <w:lang w:val="es-ES_tradnl"/>
        </w:rPr>
      </w:pPr>
    </w:p>
    <w:p w14:paraId="0D4C4797" w14:textId="52C18047" w:rsidR="00D2531C" w:rsidRPr="00321FA3" w:rsidRDefault="00ED3347" w:rsidP="002C704D">
      <w:pPr>
        <w:spacing w:after="120" w:line="276" w:lineRule="auto"/>
        <w:ind w:firstLine="709"/>
        <w:jc w:val="both"/>
        <w:rPr>
          <w:rFonts w:ascii="Arial" w:hAnsi="Arial" w:cs="Arial"/>
          <w:color w:val="000000" w:themeColor="text1"/>
          <w:sz w:val="22"/>
          <w:lang w:val="es-ES_tradnl"/>
        </w:rPr>
      </w:pPr>
      <w:r w:rsidRPr="00321FA3">
        <w:rPr>
          <w:rFonts w:ascii="Arial" w:hAnsi="Arial" w:cs="Arial"/>
          <w:color w:val="000000" w:themeColor="text1"/>
          <w:sz w:val="22"/>
          <w:lang w:val="es-ES_tradnl"/>
        </w:rPr>
        <w:t>Por ello, f</w:t>
      </w:r>
      <w:r w:rsidR="00D058E9" w:rsidRPr="00321FA3">
        <w:rPr>
          <w:rFonts w:ascii="Arial" w:hAnsi="Arial" w:cs="Arial"/>
          <w:color w:val="000000" w:themeColor="text1"/>
          <w:sz w:val="22"/>
          <w:lang w:val="es-ES_tradnl"/>
        </w:rPr>
        <w:t>uera de los procedimientos donde se proscriben expresamente determinados factores de evaluación, la Administración es libre para asignar puntaje a los bienes que cumplen con las características mínimas de los estudios previos</w:t>
      </w:r>
      <w:bookmarkStart w:id="20" w:name="_Hlk36488964"/>
      <w:r w:rsidR="00D058E9" w:rsidRPr="00321FA3">
        <w:rPr>
          <w:rFonts w:ascii="Arial" w:hAnsi="Arial" w:cs="Arial"/>
          <w:color w:val="000000" w:themeColor="text1"/>
          <w:sz w:val="22"/>
          <w:lang w:val="es-ES_tradnl"/>
        </w:rPr>
        <w:t>, siempre que se respete el principio de selección objetiva y que los criterios de calidad estén plenamente previstos en el pliego de condiciones</w:t>
      </w:r>
      <w:bookmarkEnd w:id="20"/>
      <w:r w:rsidR="00D058E9" w:rsidRPr="00321FA3">
        <w:rPr>
          <w:rFonts w:ascii="Arial" w:hAnsi="Arial" w:cs="Arial"/>
          <w:color w:val="000000" w:themeColor="text1"/>
          <w:sz w:val="22"/>
          <w:lang w:val="es-ES_tradnl"/>
        </w:rPr>
        <w:t>.</w:t>
      </w:r>
      <w:r w:rsidR="00D2531C" w:rsidRPr="00321FA3">
        <w:rPr>
          <w:rFonts w:ascii="Arial" w:hAnsi="Arial" w:cs="Arial"/>
          <w:color w:val="000000" w:themeColor="text1"/>
          <w:sz w:val="22"/>
          <w:lang w:val="es-ES_tradnl"/>
        </w:rPr>
        <w:t xml:space="preserve"> Al respecto, el numeral 2 del artículo 5 de la Ley 1150 de 2007</w:t>
      </w:r>
      <w:r w:rsidR="00653469" w:rsidRPr="00321FA3">
        <w:rPr>
          <w:rFonts w:ascii="Arial" w:hAnsi="Arial" w:cs="Arial"/>
          <w:color w:val="000000" w:themeColor="text1"/>
          <w:sz w:val="22"/>
          <w:lang w:val="es-ES_tradnl"/>
        </w:rPr>
        <w:t>,</w:t>
      </w:r>
      <w:r w:rsidR="00D2531C" w:rsidRPr="00321FA3">
        <w:rPr>
          <w:rFonts w:ascii="Arial" w:hAnsi="Arial" w:cs="Arial"/>
          <w:color w:val="000000" w:themeColor="text1"/>
          <w:sz w:val="22"/>
          <w:lang w:val="es-ES_tradnl"/>
        </w:rPr>
        <w:t xml:space="preserve"> dispone que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w:t>
      </w:r>
      <w:r w:rsidR="00D058E9" w:rsidRPr="00321FA3">
        <w:rPr>
          <w:rFonts w:ascii="Arial" w:hAnsi="Arial" w:cs="Arial"/>
          <w:color w:val="000000" w:themeColor="text1"/>
          <w:sz w:val="22"/>
          <w:lang w:val="es-ES_tradnl"/>
        </w:rPr>
        <w:t xml:space="preserve"> </w:t>
      </w:r>
    </w:p>
    <w:p w14:paraId="5EB542FB" w14:textId="3B5E9A94" w:rsidR="006739E4" w:rsidRPr="00321FA3" w:rsidRDefault="00D2531C" w:rsidP="00DC1A68">
      <w:pPr>
        <w:spacing w:before="120" w:line="276" w:lineRule="auto"/>
        <w:ind w:firstLine="709"/>
        <w:jc w:val="both"/>
        <w:rPr>
          <w:rFonts w:ascii="Arial" w:hAnsi="Arial" w:cs="Arial"/>
          <w:color w:val="000000" w:themeColor="text1"/>
          <w:sz w:val="22"/>
          <w:lang w:val="es-ES_tradnl"/>
        </w:rPr>
      </w:pPr>
      <w:r w:rsidRPr="00321FA3">
        <w:rPr>
          <w:rFonts w:ascii="Arial" w:hAnsi="Arial" w:cs="Arial"/>
          <w:color w:val="000000" w:themeColor="text1"/>
          <w:sz w:val="22"/>
          <w:lang w:val="es-ES_tradnl"/>
        </w:rPr>
        <w:t xml:space="preserve">En esta medida, las exigencias mencionadas en el párrafo precedente </w:t>
      </w:r>
      <w:r w:rsidR="00D058E9" w:rsidRPr="00321FA3">
        <w:rPr>
          <w:rFonts w:ascii="Arial" w:hAnsi="Arial" w:cs="Arial"/>
          <w:color w:val="000000" w:themeColor="text1"/>
          <w:sz w:val="22"/>
          <w:lang w:val="es-ES_tradnl"/>
        </w:rPr>
        <w:t xml:space="preserve">implican una mayor carga justificativa por parte de la entidad, </w:t>
      </w:r>
      <w:bookmarkStart w:id="21" w:name="_Hlk36489062"/>
      <w:r w:rsidR="00D058E9" w:rsidRPr="00321FA3">
        <w:rPr>
          <w:rFonts w:ascii="Arial" w:hAnsi="Arial" w:cs="Arial"/>
          <w:color w:val="000000" w:themeColor="text1"/>
          <w:sz w:val="22"/>
          <w:lang w:val="es-ES_tradnl"/>
        </w:rPr>
        <w:t xml:space="preserve">la cual deberá </w:t>
      </w:r>
      <w:r w:rsidR="00E65074" w:rsidRPr="00321FA3">
        <w:rPr>
          <w:rFonts w:ascii="Arial" w:hAnsi="Arial" w:cs="Arial"/>
          <w:color w:val="000000" w:themeColor="text1"/>
          <w:sz w:val="22"/>
          <w:lang w:val="es-ES_tradnl"/>
        </w:rPr>
        <w:t>explicar</w:t>
      </w:r>
      <w:r w:rsidR="00D058E9" w:rsidRPr="00321FA3">
        <w:rPr>
          <w:rFonts w:ascii="Arial" w:hAnsi="Arial" w:cs="Arial"/>
          <w:color w:val="000000" w:themeColor="text1"/>
          <w:sz w:val="22"/>
          <w:lang w:val="es-ES_tradnl"/>
        </w:rPr>
        <w:t xml:space="preserve"> que </w:t>
      </w:r>
      <w:r w:rsidR="00E65074" w:rsidRPr="00321FA3">
        <w:rPr>
          <w:rFonts w:ascii="Arial" w:hAnsi="Arial" w:cs="Arial"/>
          <w:color w:val="000000" w:themeColor="text1"/>
          <w:sz w:val="22"/>
          <w:lang w:val="es-ES_tradnl"/>
        </w:rPr>
        <w:t xml:space="preserve">–pese a </w:t>
      </w:r>
      <w:r w:rsidR="00D058E9" w:rsidRPr="00321FA3">
        <w:rPr>
          <w:rFonts w:ascii="Arial" w:hAnsi="Arial" w:cs="Arial"/>
          <w:color w:val="000000" w:themeColor="text1"/>
          <w:sz w:val="22"/>
          <w:lang w:val="es-ES_tradnl"/>
        </w:rPr>
        <w:t>las especificaciones adicionales</w:t>
      </w:r>
      <w:r w:rsidR="00E65074" w:rsidRPr="00321FA3">
        <w:rPr>
          <w:rFonts w:ascii="Arial" w:hAnsi="Arial" w:cs="Arial"/>
          <w:color w:val="000000" w:themeColor="text1"/>
          <w:sz w:val="22"/>
          <w:lang w:val="es-ES_tradnl"/>
        </w:rPr>
        <w:t>– es posible la pluralidad de oferentes y que los factores de ponderación permiten calificar la propuesta de forma justa e imparcial</w:t>
      </w:r>
      <w:bookmarkEnd w:id="21"/>
      <w:r w:rsidR="00E65074" w:rsidRPr="00321FA3">
        <w:rPr>
          <w:rFonts w:ascii="Arial" w:hAnsi="Arial" w:cs="Arial"/>
          <w:color w:val="000000" w:themeColor="text1"/>
          <w:sz w:val="22"/>
          <w:lang w:val="es-ES_tradnl"/>
        </w:rPr>
        <w:t>.</w:t>
      </w:r>
      <w:r w:rsidRPr="00321FA3">
        <w:rPr>
          <w:rFonts w:ascii="Arial" w:hAnsi="Arial" w:cs="Arial"/>
          <w:color w:val="000000" w:themeColor="text1"/>
          <w:sz w:val="22"/>
          <w:lang w:val="es-ES_tradnl"/>
        </w:rPr>
        <w:t xml:space="preserve"> No en vano, el artículo 5 de la Ley 1150 de 2007 dispone que en los procesos de selección en los que se tenga en cuenta los factores técnicos y económicos, la oferta más ventajosa será la que resulte de aplicar la ponderación de los elementos de calidad y precio soportados en puntajes o fórmulas señaladas en el pliego de condiciones o que representen la mejor relación de costo-beneficio para la entidad.</w:t>
      </w:r>
      <w:r w:rsidR="00ED3347" w:rsidRPr="00321FA3">
        <w:rPr>
          <w:rFonts w:ascii="Arial" w:hAnsi="Arial" w:cs="Arial"/>
          <w:color w:val="000000" w:themeColor="text1"/>
          <w:sz w:val="22"/>
          <w:lang w:val="es-ES_tradnl"/>
        </w:rPr>
        <w:t xml:space="preserve"> Naturalmente, son obligatorias para la adquisición de bienes realizada fuera de procedimientos como la selección abreviada por </w:t>
      </w:r>
      <w:r w:rsidR="00ED3347" w:rsidRPr="00321FA3">
        <w:rPr>
          <w:rFonts w:ascii="Arial" w:hAnsi="Arial" w:cs="Arial"/>
          <w:color w:val="000000" w:themeColor="text1"/>
          <w:sz w:val="22"/>
          <w:lang w:val="es-ES_tradnl"/>
        </w:rPr>
        <w:lastRenderedPageBreak/>
        <w:t>subasta inversa y de la mínima cuantía</w:t>
      </w:r>
      <w:r w:rsidR="00581B45" w:rsidRPr="00321FA3">
        <w:rPr>
          <w:rFonts w:ascii="Arial" w:hAnsi="Arial" w:cs="Arial"/>
          <w:color w:val="000000" w:themeColor="text1"/>
          <w:sz w:val="22"/>
          <w:lang w:val="es-ES_tradnl"/>
        </w:rPr>
        <w:t xml:space="preserve">, </w:t>
      </w:r>
      <w:r w:rsidR="00F45B91" w:rsidRPr="00321FA3">
        <w:rPr>
          <w:rFonts w:ascii="Arial" w:hAnsi="Arial" w:cs="Arial"/>
          <w:color w:val="000000" w:themeColor="text1"/>
          <w:sz w:val="22"/>
          <w:lang w:val="es-ES_tradnl"/>
        </w:rPr>
        <w:t xml:space="preserve">ya que en </w:t>
      </w:r>
      <w:r w:rsidR="00F4345D" w:rsidRPr="00321FA3">
        <w:rPr>
          <w:rFonts w:ascii="Arial" w:hAnsi="Arial" w:cs="Arial"/>
          <w:color w:val="000000" w:themeColor="text1"/>
          <w:sz w:val="22"/>
          <w:lang w:val="es-ES_tradnl"/>
        </w:rPr>
        <w:t>e</w:t>
      </w:r>
      <w:r w:rsidR="00F45B91" w:rsidRPr="00321FA3">
        <w:rPr>
          <w:rFonts w:ascii="Arial" w:hAnsi="Arial" w:cs="Arial"/>
          <w:color w:val="000000" w:themeColor="text1"/>
          <w:sz w:val="22"/>
          <w:lang w:val="es-ES_tradnl"/>
        </w:rPr>
        <w:t>stos</w:t>
      </w:r>
      <w:r w:rsidR="00606908" w:rsidRPr="00321FA3">
        <w:rPr>
          <w:rFonts w:ascii="Arial" w:hAnsi="Arial" w:cs="Arial"/>
          <w:color w:val="000000" w:themeColor="text1"/>
          <w:sz w:val="22"/>
          <w:lang w:val="es-ES_tradnl"/>
        </w:rPr>
        <w:t xml:space="preserve"> –</w:t>
      </w:r>
      <w:r w:rsidR="005A3E5A" w:rsidRPr="00321FA3">
        <w:rPr>
          <w:rFonts w:ascii="Arial" w:hAnsi="Arial" w:cs="Arial"/>
          <w:color w:val="000000" w:themeColor="text1"/>
          <w:sz w:val="22"/>
          <w:lang w:val="es-ES_tradnl"/>
        </w:rPr>
        <w:t xml:space="preserve">sin perjuicio </w:t>
      </w:r>
      <w:r w:rsidR="001F5EF6" w:rsidRPr="00321FA3">
        <w:rPr>
          <w:rFonts w:ascii="Arial" w:hAnsi="Arial" w:cs="Arial"/>
          <w:color w:val="000000" w:themeColor="text1"/>
          <w:sz w:val="22"/>
          <w:lang w:val="es-ES_tradnl"/>
        </w:rPr>
        <w:t>del cumplimiento de las especificaciones técnicas</w:t>
      </w:r>
      <w:r w:rsidR="00606908" w:rsidRPr="00321FA3">
        <w:rPr>
          <w:rFonts w:ascii="Arial" w:hAnsi="Arial" w:cs="Arial"/>
          <w:color w:val="000000" w:themeColor="text1"/>
          <w:sz w:val="22"/>
          <w:lang w:val="es-ES_tradnl"/>
        </w:rPr>
        <w:t>–</w:t>
      </w:r>
      <w:r w:rsidR="00581B45" w:rsidRPr="00321FA3">
        <w:rPr>
          <w:rFonts w:ascii="Arial" w:hAnsi="Arial" w:cs="Arial"/>
          <w:color w:val="000000" w:themeColor="text1"/>
          <w:sz w:val="22"/>
          <w:lang w:val="es-ES_tradnl"/>
        </w:rPr>
        <w:t xml:space="preserve"> </w:t>
      </w:r>
      <w:r w:rsidR="00EB1910" w:rsidRPr="00321FA3">
        <w:rPr>
          <w:rFonts w:ascii="Arial" w:hAnsi="Arial" w:cs="Arial"/>
          <w:color w:val="000000" w:themeColor="text1"/>
          <w:sz w:val="22"/>
          <w:lang w:val="es-ES_tradnl"/>
        </w:rPr>
        <w:t>se escoge al proponente que ofrezca el menor precio</w:t>
      </w:r>
      <w:r w:rsidR="00ED3347" w:rsidRPr="00321FA3">
        <w:rPr>
          <w:rFonts w:ascii="Arial" w:hAnsi="Arial" w:cs="Arial"/>
          <w:color w:val="000000" w:themeColor="text1"/>
          <w:sz w:val="22"/>
          <w:lang w:val="es-ES_tradnl"/>
        </w:rPr>
        <w:t>.</w:t>
      </w:r>
      <w:r w:rsidRPr="00321FA3">
        <w:rPr>
          <w:rFonts w:ascii="Arial" w:hAnsi="Arial" w:cs="Arial"/>
          <w:color w:val="000000" w:themeColor="text1"/>
          <w:sz w:val="22"/>
          <w:lang w:val="es-ES_tradnl"/>
        </w:rPr>
        <w:t xml:space="preserve"> </w:t>
      </w:r>
      <w:bookmarkStart w:id="22" w:name="_Hlk36048852"/>
      <w:r w:rsidR="00581B45" w:rsidRPr="00321FA3">
        <w:rPr>
          <w:rFonts w:ascii="Arial" w:hAnsi="Arial" w:cs="Arial"/>
          <w:color w:val="000000" w:themeColor="text1"/>
          <w:sz w:val="22"/>
          <w:lang w:val="es-ES_tradnl"/>
        </w:rPr>
        <w:t>Ahora bien</w:t>
      </w:r>
      <w:r w:rsidR="00A20997" w:rsidRPr="00321FA3">
        <w:rPr>
          <w:rFonts w:ascii="Arial" w:hAnsi="Arial" w:cs="Arial"/>
          <w:color w:val="000000" w:themeColor="text1"/>
          <w:sz w:val="22"/>
          <w:lang w:val="es-ES_tradnl"/>
        </w:rPr>
        <w:t>,</w:t>
      </w:r>
      <w:r w:rsidR="00581B45" w:rsidRPr="00321FA3">
        <w:rPr>
          <w:rFonts w:ascii="Arial" w:hAnsi="Arial" w:cs="Arial"/>
          <w:color w:val="000000" w:themeColor="text1"/>
          <w:sz w:val="22"/>
          <w:lang w:val="es-ES_tradnl"/>
        </w:rPr>
        <w:t xml:space="preserve"> teniendo en cuenta que las muestras puede ser un factor de verificación o de evaluación, resulta importante analizar las reglas de subsanabilidad, lo cual se realizará en el siguiente apartado.  </w:t>
      </w:r>
      <w:r w:rsidR="006739E4" w:rsidRPr="00321FA3">
        <w:rPr>
          <w:rFonts w:ascii="Arial" w:hAnsi="Arial" w:cs="Arial"/>
          <w:color w:val="000000" w:themeColor="text1"/>
          <w:sz w:val="22"/>
        </w:rPr>
        <w:t xml:space="preserve"> </w:t>
      </w:r>
    </w:p>
    <w:bookmarkEnd w:id="22"/>
    <w:p w14:paraId="6023D307" w14:textId="77777777" w:rsidR="002C2B3A" w:rsidRPr="00321FA3" w:rsidRDefault="002C2B3A" w:rsidP="002C2B3A">
      <w:pPr>
        <w:spacing w:line="276" w:lineRule="auto"/>
        <w:jc w:val="both"/>
        <w:rPr>
          <w:rFonts w:ascii="Arial" w:eastAsia="Calibri" w:hAnsi="Arial" w:cs="Arial"/>
          <w:color w:val="000000" w:themeColor="text1"/>
          <w:sz w:val="22"/>
          <w:lang w:val="es-ES_tradnl"/>
        </w:rPr>
      </w:pPr>
    </w:p>
    <w:p w14:paraId="38F13223" w14:textId="6560B623" w:rsidR="00581B45" w:rsidRPr="00321FA3" w:rsidRDefault="002C2B3A" w:rsidP="002C2B3A">
      <w:pPr>
        <w:spacing w:line="276" w:lineRule="auto"/>
        <w:jc w:val="both"/>
        <w:rPr>
          <w:rFonts w:ascii="Arial" w:eastAsia="Calibri" w:hAnsi="Arial" w:cs="Arial"/>
          <w:b/>
          <w:bCs/>
          <w:color w:val="000000" w:themeColor="text1"/>
          <w:sz w:val="22"/>
          <w:lang w:val="es-ES_tradnl"/>
        </w:rPr>
      </w:pPr>
      <w:r w:rsidRPr="00321FA3">
        <w:rPr>
          <w:rFonts w:ascii="Arial" w:eastAsia="Calibri" w:hAnsi="Arial" w:cs="Arial"/>
          <w:b/>
          <w:bCs/>
          <w:color w:val="000000" w:themeColor="text1"/>
          <w:sz w:val="22"/>
          <w:lang w:val="es-ES_tradnl"/>
        </w:rPr>
        <w:t xml:space="preserve">2.2. </w:t>
      </w:r>
      <w:r w:rsidR="00581B45" w:rsidRPr="00321FA3">
        <w:rPr>
          <w:rFonts w:ascii="Arial" w:eastAsia="Calibri" w:hAnsi="Arial" w:cs="Arial"/>
          <w:b/>
          <w:bCs/>
          <w:color w:val="000000" w:themeColor="text1"/>
          <w:sz w:val="22"/>
          <w:lang w:val="es-ES_tradnl"/>
        </w:rPr>
        <w:t xml:space="preserve">Reglas de subsanación de las ofertas: </w:t>
      </w:r>
      <w:bookmarkStart w:id="23" w:name="_Hlk36495949"/>
      <w:r w:rsidR="00581B45" w:rsidRPr="00321FA3">
        <w:rPr>
          <w:rFonts w:ascii="Arial" w:eastAsia="Calibri" w:hAnsi="Arial" w:cs="Arial"/>
          <w:b/>
          <w:bCs/>
          <w:color w:val="000000" w:themeColor="text1"/>
          <w:sz w:val="22"/>
          <w:lang w:val="es-ES_tradnl"/>
        </w:rPr>
        <w:t>aplicación y restricciones</w:t>
      </w:r>
      <w:bookmarkEnd w:id="23"/>
    </w:p>
    <w:p w14:paraId="4A383C40" w14:textId="77777777" w:rsidR="00581B45" w:rsidRPr="00321FA3" w:rsidRDefault="00581B45" w:rsidP="002C2B3A">
      <w:pPr>
        <w:spacing w:line="276" w:lineRule="auto"/>
        <w:jc w:val="both"/>
        <w:rPr>
          <w:rFonts w:ascii="Arial" w:eastAsia="Calibri" w:hAnsi="Arial" w:cs="Arial"/>
          <w:b/>
          <w:bCs/>
          <w:color w:val="000000" w:themeColor="text1"/>
          <w:sz w:val="22"/>
          <w:lang w:val="es-ES_tradnl"/>
        </w:rPr>
      </w:pPr>
    </w:p>
    <w:p w14:paraId="2EFE4A67" w14:textId="77777777" w:rsidR="007979AD" w:rsidRPr="00321FA3" w:rsidRDefault="007979AD" w:rsidP="00DC1A68">
      <w:pPr>
        <w:spacing w:after="120" w:line="276" w:lineRule="auto"/>
        <w:jc w:val="both"/>
        <w:rPr>
          <w:rFonts w:ascii="Arial" w:hAnsi="Arial" w:cs="Arial"/>
          <w:color w:val="000000" w:themeColor="text1"/>
          <w:sz w:val="22"/>
          <w:lang w:val="es-ES_tradnl"/>
        </w:rPr>
      </w:pPr>
      <w:r w:rsidRPr="00321FA3">
        <w:rPr>
          <w:rFonts w:ascii="Arial" w:hAnsi="Arial" w:cs="Arial"/>
          <w:color w:val="000000" w:themeColor="text1"/>
          <w:sz w:val="22"/>
          <w:lang w:val="es-ES_tradnl"/>
        </w:rPr>
        <w:t xml:space="preserve">La posibilidad de enmendar, corregir o subsanar los errores en los que se incurre en los documentos contentivos de la oferta es un tema que ha tenido diferentes momentos o etapas en el ordenamiento jurídico colombiano. En un </w:t>
      </w:r>
      <w:r w:rsidRPr="00321FA3">
        <w:rPr>
          <w:rFonts w:ascii="Arial" w:hAnsi="Arial" w:cs="Arial"/>
          <w:i/>
          <w:color w:val="000000" w:themeColor="text1"/>
          <w:sz w:val="22"/>
          <w:lang w:val="es-ES_tradnl"/>
        </w:rPr>
        <w:t>primer momento</w:t>
      </w:r>
      <w:r w:rsidRPr="00321FA3">
        <w:rPr>
          <w:rFonts w:ascii="Arial" w:hAnsi="Arial" w:cs="Arial"/>
          <w:color w:val="000000" w:themeColor="text1"/>
          <w:sz w:val="22"/>
          <w:lang w:val="es-ES_tradnl"/>
        </w:rPr>
        <w:t xml:space="preserve">, antes de la entrada en vigencia de la Constitución Política de 1991, el régimen jurídico de la subsanabilidad de las ofertas estaba compuesto por el Decreto-ley 150 de 1976 y el Decreto-ley 222 de 1983. Bajo el imperio de estas normas, la posibilidad de subsanar errores era prácticamente inexistente, debido al excesivo formalismo procedimental que irradiaba la actuación administrativa. En este contexto, por ejemplo, no era extraordinario que una oferta fuera rechazada por no aportar una copia de esta. </w:t>
      </w:r>
    </w:p>
    <w:p w14:paraId="6C7926E9" w14:textId="77777777" w:rsidR="007979AD" w:rsidRPr="00321FA3" w:rsidRDefault="007979AD" w:rsidP="007979AD">
      <w:pPr>
        <w:spacing w:before="120" w:after="120" w:line="276" w:lineRule="auto"/>
        <w:ind w:firstLine="709"/>
        <w:jc w:val="both"/>
        <w:rPr>
          <w:rFonts w:ascii="Arial" w:hAnsi="Arial" w:cs="Arial"/>
          <w:color w:val="000000" w:themeColor="text1"/>
          <w:sz w:val="22"/>
          <w:lang w:val="es-ES_tradnl"/>
        </w:rPr>
      </w:pPr>
      <w:r w:rsidRPr="00321FA3">
        <w:rPr>
          <w:rFonts w:ascii="Arial" w:hAnsi="Arial" w:cs="Arial"/>
          <w:color w:val="000000" w:themeColor="text1"/>
          <w:sz w:val="22"/>
          <w:lang w:val="es-ES_tradnl"/>
        </w:rPr>
        <w:t xml:space="preserve">En un </w:t>
      </w:r>
      <w:r w:rsidRPr="00321FA3">
        <w:rPr>
          <w:rFonts w:ascii="Arial" w:hAnsi="Arial" w:cs="Arial"/>
          <w:i/>
          <w:color w:val="000000" w:themeColor="text1"/>
          <w:sz w:val="22"/>
          <w:lang w:val="es-ES_tradnl"/>
        </w:rPr>
        <w:t>segundo momento</w:t>
      </w:r>
      <w:r w:rsidRPr="00321FA3">
        <w:rPr>
          <w:rFonts w:ascii="Arial" w:hAnsi="Arial" w:cs="Arial"/>
          <w:color w:val="000000" w:themeColor="text1"/>
          <w:sz w:val="22"/>
          <w:lang w:val="es-ES_tradnl"/>
        </w:rPr>
        <w:t xml:space="preserve"> se expidió la Ley 80 de 1993, bajo el paradigma que supuso la Constitución de 1991, particularmente en la forma como se relaciona lo formal y lo sustancial en las actuaciones judiciales y administrativas. Este cambio ideológico quedó consignado en el artículo 228, que introdujo el principio de supremacía o prevalencia del derecho sustancial sobre el procedimental. En este nuevo escenario constitucional, el numeral 15 del artículo 25 de la Ley 80 de 1993 dispuso lo siguiente: </w:t>
      </w:r>
    </w:p>
    <w:p w14:paraId="7ED69C25" w14:textId="77777777" w:rsidR="007979AD" w:rsidRPr="00321FA3" w:rsidRDefault="007979AD" w:rsidP="007979AD">
      <w:pPr>
        <w:spacing w:line="276" w:lineRule="auto"/>
        <w:jc w:val="both"/>
        <w:rPr>
          <w:rFonts w:ascii="Arial" w:hAnsi="Arial" w:cs="Arial"/>
          <w:color w:val="000000" w:themeColor="text1"/>
          <w:sz w:val="22"/>
          <w:lang w:val="es-ES_tradnl"/>
        </w:rPr>
      </w:pPr>
    </w:p>
    <w:p w14:paraId="0A31400A" w14:textId="7C156B23" w:rsidR="007979AD" w:rsidRPr="00321FA3" w:rsidRDefault="007979AD" w:rsidP="007979AD">
      <w:pPr>
        <w:ind w:left="709" w:right="709"/>
        <w:jc w:val="both"/>
        <w:rPr>
          <w:rFonts w:ascii="Arial" w:hAnsi="Arial" w:cs="Arial"/>
          <w:color w:val="000000" w:themeColor="text1"/>
          <w:sz w:val="21"/>
          <w:szCs w:val="21"/>
          <w:lang w:val="es-ES_tradnl"/>
        </w:rPr>
      </w:pPr>
      <w:r w:rsidRPr="00321FA3">
        <w:rPr>
          <w:rFonts w:ascii="Arial" w:hAnsi="Arial" w:cs="Arial"/>
          <w:color w:val="000000" w:themeColor="text1"/>
          <w:sz w:val="21"/>
          <w:szCs w:val="21"/>
          <w:lang w:val="es-ES_tradnl"/>
        </w:rPr>
        <w:t xml:space="preserve">15. Las autoridades no exigirán sellos, autenticaciones, documentos originales o autenticados, reconocimientos de firmas, traducciones oficiales, ni cualquier otra clase de formalidades o exigencias rituales, salvo cuando en forma perentoria y expresa lo exijan leyes especiales. </w:t>
      </w:r>
    </w:p>
    <w:p w14:paraId="1E727835" w14:textId="77777777" w:rsidR="007979AD" w:rsidRPr="00321FA3" w:rsidRDefault="007979AD" w:rsidP="007979AD">
      <w:pPr>
        <w:ind w:left="709" w:right="709"/>
        <w:jc w:val="both"/>
        <w:rPr>
          <w:rFonts w:ascii="Arial" w:hAnsi="Arial" w:cs="Arial"/>
          <w:color w:val="000000" w:themeColor="text1"/>
          <w:sz w:val="21"/>
          <w:szCs w:val="21"/>
          <w:lang w:val="es-ES_tradnl"/>
        </w:rPr>
      </w:pPr>
      <w:r w:rsidRPr="00321FA3">
        <w:rPr>
          <w:rFonts w:ascii="Arial" w:hAnsi="Arial" w:cs="Arial"/>
          <w:color w:val="000000" w:themeColor="text1"/>
          <w:sz w:val="21"/>
          <w:szCs w:val="21"/>
          <w:lang w:val="es-ES_tradnl"/>
        </w:rPr>
        <w:t xml:space="preserve"> </w:t>
      </w:r>
    </w:p>
    <w:p w14:paraId="287A420D" w14:textId="5CBC0BDC" w:rsidR="007979AD" w:rsidRPr="00321FA3" w:rsidRDefault="007979AD" w:rsidP="007979AD">
      <w:pPr>
        <w:ind w:left="709" w:right="709"/>
        <w:jc w:val="both"/>
        <w:rPr>
          <w:rFonts w:ascii="Arial" w:hAnsi="Arial" w:cs="Arial"/>
          <w:color w:val="000000" w:themeColor="text1"/>
          <w:sz w:val="21"/>
          <w:szCs w:val="21"/>
          <w:lang w:val="es-ES_tradnl"/>
        </w:rPr>
      </w:pPr>
      <w:r w:rsidRPr="00321FA3">
        <w:rPr>
          <w:rFonts w:ascii="Arial" w:hAnsi="Arial" w:cs="Arial"/>
          <w:color w:val="000000" w:themeColor="text1"/>
          <w:sz w:val="21"/>
          <w:szCs w:val="21"/>
          <w:lang w:val="es-ES_tradnl"/>
        </w:rPr>
        <w:t xml:space="preserve">La ausencia de requisitos o la falta de documentos referentes a la futura contratación o al proponente, no necesarios para la comparación de propuestas, no servirá de título suficiente para el rechazo de los ofrecimientos hechos. </w:t>
      </w:r>
    </w:p>
    <w:p w14:paraId="7544BA6C" w14:textId="77777777" w:rsidR="007979AD" w:rsidRPr="00321FA3" w:rsidRDefault="007979AD" w:rsidP="007979AD">
      <w:pPr>
        <w:spacing w:line="276" w:lineRule="auto"/>
        <w:jc w:val="both"/>
        <w:rPr>
          <w:rFonts w:ascii="Arial" w:hAnsi="Arial" w:cs="Arial"/>
          <w:b/>
          <w:color w:val="000000" w:themeColor="text1"/>
          <w:sz w:val="22"/>
          <w:lang w:val="es-ES_tradnl"/>
        </w:rPr>
      </w:pPr>
    </w:p>
    <w:p w14:paraId="68B0A8EF" w14:textId="20AF997B" w:rsidR="007979AD" w:rsidRPr="00321FA3" w:rsidRDefault="007979AD" w:rsidP="007979AD">
      <w:pPr>
        <w:spacing w:line="276" w:lineRule="auto"/>
        <w:ind w:firstLine="709"/>
        <w:jc w:val="both"/>
        <w:rPr>
          <w:rFonts w:ascii="Arial" w:hAnsi="Arial" w:cs="Arial"/>
          <w:color w:val="000000" w:themeColor="text1"/>
          <w:sz w:val="22"/>
          <w:lang w:val="es-ES_tradnl"/>
        </w:rPr>
      </w:pPr>
      <w:r w:rsidRPr="00321FA3">
        <w:rPr>
          <w:rFonts w:ascii="Arial" w:hAnsi="Arial" w:cs="Arial"/>
          <w:color w:val="000000" w:themeColor="text1"/>
          <w:sz w:val="22"/>
          <w:lang w:val="es-ES_tradnl"/>
        </w:rPr>
        <w:t xml:space="preserve">Bajo el amparo de esta norma, el régimen jurídico de subsanabilidad de las ofertas sufre un cambio fundamental, pues ya no era posible rechazar las ofertas por falta de requisitos o documentos que no fueran </w:t>
      </w:r>
      <w:r w:rsidR="00306B44" w:rsidRPr="00321FA3">
        <w:rPr>
          <w:rFonts w:ascii="Arial" w:hAnsi="Arial" w:cs="Arial"/>
          <w:color w:val="000000" w:themeColor="text1"/>
          <w:sz w:val="22"/>
          <w:lang w:val="es-ES_tradnl"/>
        </w:rPr>
        <w:t>«</w:t>
      </w:r>
      <w:r w:rsidRPr="00321FA3">
        <w:rPr>
          <w:rFonts w:ascii="Arial" w:hAnsi="Arial" w:cs="Arial"/>
          <w:color w:val="000000" w:themeColor="text1"/>
          <w:sz w:val="22"/>
          <w:lang w:val="es-ES_tradnl"/>
        </w:rPr>
        <w:t>necesarios para la comparación de propuestas</w:t>
      </w:r>
      <w:r w:rsidR="00306B44" w:rsidRPr="00321FA3">
        <w:rPr>
          <w:rFonts w:ascii="Arial" w:hAnsi="Arial" w:cs="Arial"/>
          <w:color w:val="000000" w:themeColor="text1"/>
          <w:sz w:val="22"/>
          <w:lang w:val="es-ES_tradnl"/>
        </w:rPr>
        <w:t>»</w:t>
      </w:r>
      <w:r w:rsidRPr="00321FA3">
        <w:rPr>
          <w:rFonts w:ascii="Arial" w:hAnsi="Arial" w:cs="Arial"/>
          <w:color w:val="000000" w:themeColor="text1"/>
          <w:sz w:val="22"/>
          <w:lang w:val="es-ES_tradnl"/>
        </w:rPr>
        <w:t xml:space="preserve">. De esta manera, la ley introdujo un primer criterio jurídico, aunque indeterminado, que servía como punto de partida en la posibilidad de subsanar las ofertas, pues, verificada la ausencia de un requisito o documento, previo al rechazo de la oferta, la Administración debía constatar si este era o no necesario para la comparación de las propuestas, y de ese análisis surgiría la decisión sobre su rechazo o la oportunidad de subsanar. </w:t>
      </w:r>
    </w:p>
    <w:p w14:paraId="5C4DC1A6" w14:textId="461E764F" w:rsidR="007979AD" w:rsidRPr="00321FA3" w:rsidRDefault="007979AD" w:rsidP="002C704D">
      <w:pPr>
        <w:spacing w:before="120" w:after="120" w:line="276" w:lineRule="auto"/>
        <w:ind w:firstLine="709"/>
        <w:jc w:val="both"/>
        <w:rPr>
          <w:rFonts w:ascii="Arial" w:hAnsi="Arial" w:cs="Arial"/>
          <w:color w:val="000000" w:themeColor="text1"/>
          <w:sz w:val="22"/>
          <w:lang w:val="es-ES_tradnl"/>
        </w:rPr>
      </w:pPr>
      <w:r w:rsidRPr="00321FA3">
        <w:rPr>
          <w:rFonts w:ascii="Arial" w:hAnsi="Arial" w:cs="Arial"/>
          <w:color w:val="000000" w:themeColor="text1"/>
          <w:sz w:val="22"/>
          <w:lang w:val="es-ES_tradnl"/>
        </w:rPr>
        <w:lastRenderedPageBreak/>
        <w:t>Esta norma debía leerse en conjunto con otras de la Ley 80 de 1993, particularmente con el artículo 30.7</w:t>
      </w:r>
      <w:r w:rsidRPr="00321FA3">
        <w:rPr>
          <w:rStyle w:val="Refdenotaalpie"/>
          <w:rFonts w:ascii="Arial" w:hAnsi="Arial" w:cs="Arial"/>
          <w:color w:val="000000" w:themeColor="text1"/>
          <w:sz w:val="22"/>
          <w:lang w:val="es-ES_tradnl"/>
        </w:rPr>
        <w:footnoteReference w:id="5"/>
      </w:r>
      <w:r w:rsidRPr="00321FA3">
        <w:rPr>
          <w:rFonts w:ascii="Arial" w:hAnsi="Arial" w:cs="Arial"/>
          <w:color w:val="000000" w:themeColor="text1"/>
          <w:sz w:val="22"/>
          <w:lang w:val="es-ES_tradnl"/>
        </w:rPr>
        <w:t>, que ordena a la entidad señalar un plazo razonable para evaluar las propuestas y pedir a los proponentes, de ser necesario, que aclaren o expliquen aspectos que ofrezcan dudas y resulten indispensables para hacer la evaluación; y con el artículo 30.8</w:t>
      </w:r>
      <w:r w:rsidRPr="00321FA3">
        <w:rPr>
          <w:rStyle w:val="Refdenotaalpie"/>
          <w:rFonts w:ascii="Arial" w:hAnsi="Arial" w:cs="Arial"/>
          <w:color w:val="000000" w:themeColor="text1"/>
          <w:sz w:val="22"/>
          <w:lang w:val="es-ES_tradnl"/>
        </w:rPr>
        <w:footnoteReference w:id="6"/>
      </w:r>
      <w:r w:rsidRPr="00321FA3">
        <w:rPr>
          <w:rFonts w:ascii="Arial" w:hAnsi="Arial" w:cs="Arial"/>
          <w:color w:val="000000" w:themeColor="text1"/>
          <w:sz w:val="22"/>
          <w:lang w:val="es-ES_tradnl"/>
        </w:rPr>
        <w:t xml:space="preserve">, que consagró el término de 5 días hábiles para que los oferentes presenten observaciones al informe de evaluación de las propuestas, sin que sea posible completar, adicionar, modificar o mejorar la oferta. A partir de la lectura integrada de estas tres normas debía concluirse que con la Ley 80 de 1993 era posible subsanar las propuestas, y la omisión o el error en algún aspecto de la misma no podía llevar a su rechazo, sin antes verificar que lo omitido fuera un aspecto necesario para la comparación. </w:t>
      </w:r>
    </w:p>
    <w:p w14:paraId="2E0ADB91" w14:textId="77777777" w:rsidR="007979AD" w:rsidRPr="00321FA3" w:rsidRDefault="007979AD" w:rsidP="007979AD">
      <w:pPr>
        <w:spacing w:line="276" w:lineRule="auto"/>
        <w:ind w:firstLine="709"/>
        <w:jc w:val="both"/>
        <w:rPr>
          <w:rFonts w:ascii="Arial" w:hAnsi="Arial" w:cs="Arial"/>
          <w:color w:val="000000" w:themeColor="text1"/>
          <w:sz w:val="22"/>
          <w:lang w:val="es-ES_tradnl"/>
        </w:rPr>
      </w:pPr>
      <w:r w:rsidRPr="00321FA3">
        <w:rPr>
          <w:rFonts w:ascii="Arial" w:hAnsi="Arial" w:cs="Arial"/>
          <w:color w:val="000000" w:themeColor="text1"/>
          <w:sz w:val="22"/>
          <w:lang w:val="es-ES_tradnl"/>
        </w:rPr>
        <w:t xml:space="preserve">En un </w:t>
      </w:r>
      <w:r w:rsidRPr="00321FA3">
        <w:rPr>
          <w:rFonts w:ascii="Arial" w:hAnsi="Arial" w:cs="Arial"/>
          <w:i/>
          <w:color w:val="000000" w:themeColor="text1"/>
          <w:sz w:val="22"/>
          <w:lang w:val="es-ES_tradnl"/>
        </w:rPr>
        <w:t>tercer momento</w:t>
      </w:r>
      <w:r w:rsidRPr="00321FA3">
        <w:rPr>
          <w:rFonts w:ascii="Arial" w:hAnsi="Arial" w:cs="Arial"/>
          <w:color w:val="000000" w:themeColor="text1"/>
          <w:sz w:val="22"/>
          <w:lang w:val="es-ES_tradnl"/>
        </w:rPr>
        <w:t xml:space="preserve">, y siguiendo la línea trazada por la Ley 80 de 1993, el legislador expidió la Ley 1150 de 2007, que, en el parágrafo 1º del artículo 5, determinó lo siguiente: </w:t>
      </w:r>
    </w:p>
    <w:p w14:paraId="7196107B" w14:textId="77777777" w:rsidR="007979AD" w:rsidRPr="00321FA3" w:rsidRDefault="007979AD" w:rsidP="002C704D">
      <w:pPr>
        <w:spacing w:line="276" w:lineRule="auto"/>
        <w:jc w:val="both"/>
        <w:rPr>
          <w:rFonts w:ascii="Arial" w:hAnsi="Arial" w:cs="Arial"/>
          <w:color w:val="000000" w:themeColor="text1"/>
          <w:sz w:val="22"/>
          <w:lang w:val="es-ES_tradnl"/>
        </w:rPr>
      </w:pPr>
    </w:p>
    <w:p w14:paraId="2503317A" w14:textId="32FFCD45" w:rsidR="007979AD" w:rsidRPr="00321FA3" w:rsidRDefault="007979AD" w:rsidP="007979AD">
      <w:pPr>
        <w:ind w:left="709" w:right="709"/>
        <w:jc w:val="both"/>
        <w:rPr>
          <w:rFonts w:ascii="Arial" w:hAnsi="Arial" w:cs="Arial"/>
          <w:color w:val="000000" w:themeColor="text1"/>
          <w:sz w:val="21"/>
          <w:szCs w:val="21"/>
          <w:lang w:val="es-ES_tradnl"/>
        </w:rPr>
      </w:pPr>
      <w:r w:rsidRPr="00321FA3">
        <w:rPr>
          <w:rFonts w:ascii="Arial" w:hAnsi="Arial" w:cs="Arial"/>
          <w:color w:val="000000" w:themeColor="text1"/>
          <w:sz w:val="21"/>
          <w:szCs w:val="21"/>
          <w:lang w:val="es-ES_tradnl"/>
        </w:rPr>
        <w:t>Parágrafo 1°. La ausencia de requisitos o la falta de documentos referentes a la futura contratación o al proponente, no necesarios para la comparación de las propuestas no servirán de título suficiente para el rechazo de los ofrecimientos hechos. En consecuencia</w:t>
      </w:r>
      <w:r w:rsidRPr="00321FA3">
        <w:rPr>
          <w:rFonts w:ascii="Arial" w:hAnsi="Arial" w:cs="Arial"/>
          <w:b/>
          <w:color w:val="000000" w:themeColor="text1"/>
          <w:sz w:val="21"/>
          <w:szCs w:val="21"/>
          <w:lang w:val="es-ES_tradnl"/>
        </w:rPr>
        <w:t xml:space="preserve">, </w:t>
      </w:r>
      <w:r w:rsidRPr="00321FA3">
        <w:rPr>
          <w:rFonts w:ascii="Arial" w:hAnsi="Arial" w:cs="Arial"/>
          <w:color w:val="000000" w:themeColor="text1"/>
          <w:sz w:val="21"/>
          <w:szCs w:val="21"/>
          <w:lang w:val="es-ES_tradnl"/>
        </w:rPr>
        <w:t xml:space="preserve">todos aquellos requisitos de la propuesta que no afecten la asignación de puntaje, podrán ser solicitados por las entidades en cualquier momento, hasta la adjudicación. No obstante lo anterior, en aquellos procesos de selección en los que se utilice el mecanismo de subasta, deberán ser solicitados hasta el momento previo a su realización. </w:t>
      </w:r>
    </w:p>
    <w:p w14:paraId="068DD34A" w14:textId="77777777" w:rsidR="007979AD" w:rsidRPr="00321FA3" w:rsidRDefault="007979AD" w:rsidP="002C704D">
      <w:pPr>
        <w:spacing w:line="276" w:lineRule="auto"/>
        <w:jc w:val="both"/>
        <w:rPr>
          <w:rFonts w:ascii="Arial" w:hAnsi="Arial" w:cs="Arial"/>
          <w:b/>
          <w:color w:val="000000" w:themeColor="text1"/>
          <w:sz w:val="22"/>
          <w:lang w:val="es-ES_tradnl"/>
        </w:rPr>
      </w:pPr>
    </w:p>
    <w:p w14:paraId="09EF79AE" w14:textId="77777777" w:rsidR="007979AD" w:rsidRPr="00321FA3" w:rsidRDefault="007979AD" w:rsidP="007979AD">
      <w:pPr>
        <w:spacing w:line="276" w:lineRule="auto"/>
        <w:ind w:firstLine="709"/>
        <w:jc w:val="both"/>
        <w:rPr>
          <w:rFonts w:ascii="Arial" w:hAnsi="Arial" w:cs="Arial"/>
          <w:color w:val="000000" w:themeColor="text1"/>
          <w:sz w:val="22"/>
          <w:lang w:val="es-ES_tradnl"/>
        </w:rPr>
      </w:pPr>
      <w:r w:rsidRPr="00321FA3">
        <w:rPr>
          <w:rFonts w:ascii="Arial" w:hAnsi="Arial" w:cs="Arial"/>
          <w:color w:val="000000" w:themeColor="text1"/>
          <w:sz w:val="22"/>
          <w:lang w:val="es-ES_tradnl"/>
        </w:rPr>
        <w:t xml:space="preserve">Nótese que esta norma reitera lo que dispuso la Ley 80 de 1993, en el sentido de que los requisitos o documentos que no sean necesarios para la comparación de las ofertas pueden subsanarse, pero además la Ley 1150 de 2007 introdujo otro criterio que le dio mayor claridad al tema: la asignación de puntaje. A partir de esta norma, la Administración contó con un criterio más claro y determinado para saber si la ausencia de documentos o requisitos de la oferta conlleva a su rechazo o al requerimiento del proponente para que lo subsane, pues bastará con un simple ejercicio de verificación que consiste en corroborar si lo omitido hace parte de los aspectos que otorgan puntaje o no.  Si al verificar la Administración encuentra que lo omitido por el proponente es un aspecto que otorga </w:t>
      </w:r>
      <w:r w:rsidRPr="00321FA3">
        <w:rPr>
          <w:rFonts w:ascii="Arial" w:hAnsi="Arial" w:cs="Arial"/>
          <w:color w:val="000000" w:themeColor="text1"/>
          <w:sz w:val="22"/>
          <w:lang w:val="es-ES_tradnl"/>
        </w:rPr>
        <w:lastRenderedPageBreak/>
        <w:t xml:space="preserve">puntaje, no es posible subsanarlo; pero, si no otorga puntaje la Administración debe requerir al proponente para que lo subsane.  </w:t>
      </w:r>
    </w:p>
    <w:p w14:paraId="431BB9BD" w14:textId="3B5781AE" w:rsidR="007979AD" w:rsidRPr="00321FA3" w:rsidRDefault="007979AD" w:rsidP="007979AD">
      <w:pPr>
        <w:spacing w:before="240" w:line="276" w:lineRule="auto"/>
        <w:ind w:firstLine="709"/>
        <w:jc w:val="both"/>
        <w:rPr>
          <w:rFonts w:ascii="Arial" w:hAnsi="Arial" w:cs="Arial"/>
          <w:color w:val="000000" w:themeColor="text1"/>
          <w:sz w:val="22"/>
          <w:lang w:val="es-ES_tradnl"/>
        </w:rPr>
      </w:pPr>
      <w:r w:rsidRPr="00321FA3">
        <w:rPr>
          <w:rFonts w:ascii="Arial" w:hAnsi="Arial" w:cs="Arial"/>
          <w:color w:val="000000" w:themeColor="text1"/>
          <w:sz w:val="22"/>
          <w:lang w:val="es-ES_tradnl"/>
        </w:rPr>
        <w:t xml:space="preserve">El artículo 5 de la Ley 1150 de 2007, además de consagrar un criterio más claro, y, de paso, reducir la discrecionalidad de la Administración, fijó un ámbito temporal para la subsanación de las ofertas: </w:t>
      </w:r>
      <w:r w:rsidR="005B54CC" w:rsidRPr="00321FA3">
        <w:rPr>
          <w:rFonts w:ascii="Arial" w:hAnsi="Arial" w:cs="Arial"/>
          <w:color w:val="000000" w:themeColor="text1"/>
          <w:sz w:val="22"/>
          <w:lang w:val="es-ES_tradnl"/>
        </w:rPr>
        <w:t>«</w:t>
      </w:r>
      <w:r w:rsidRPr="00321FA3">
        <w:rPr>
          <w:rFonts w:ascii="Arial" w:hAnsi="Arial" w:cs="Arial"/>
          <w:color w:val="000000" w:themeColor="text1"/>
          <w:sz w:val="22"/>
          <w:lang w:val="es-ES_tradnl"/>
        </w:rPr>
        <w:t>en cualquier momento, hasta la adjudicación</w:t>
      </w:r>
      <w:r w:rsidR="005B54CC" w:rsidRPr="00321FA3">
        <w:rPr>
          <w:rFonts w:ascii="Arial" w:hAnsi="Arial" w:cs="Arial"/>
          <w:color w:val="000000" w:themeColor="text1"/>
          <w:sz w:val="22"/>
          <w:lang w:val="es-ES_tradnl"/>
        </w:rPr>
        <w:t>»</w:t>
      </w:r>
      <w:r w:rsidRPr="00321FA3">
        <w:rPr>
          <w:rFonts w:ascii="Arial" w:hAnsi="Arial" w:cs="Arial"/>
          <w:color w:val="000000" w:themeColor="text1"/>
          <w:sz w:val="22"/>
          <w:lang w:val="es-ES_tradnl"/>
        </w:rPr>
        <w:t xml:space="preserve">. El Consejo de Estado, con particular sindéresis, concluyó que a partir del parágrafo 1º del artículo 5 de la Ley 1150, la definición de lo que es subsanable y lo que no lo es surge a partir del planteamiento de la pregunta sobre si el defecto asigna puntaje o no, en estos términos: </w:t>
      </w:r>
    </w:p>
    <w:p w14:paraId="19B163F9" w14:textId="77777777" w:rsidR="007979AD" w:rsidRPr="00321FA3" w:rsidRDefault="007979AD" w:rsidP="007979AD">
      <w:pPr>
        <w:spacing w:line="276" w:lineRule="auto"/>
        <w:jc w:val="both"/>
        <w:rPr>
          <w:rFonts w:ascii="Arial" w:hAnsi="Arial" w:cs="Arial"/>
          <w:color w:val="000000" w:themeColor="text1"/>
          <w:sz w:val="22"/>
          <w:lang w:val="es-ES_tradnl"/>
        </w:rPr>
      </w:pPr>
    </w:p>
    <w:p w14:paraId="455518E7" w14:textId="2DDF8297" w:rsidR="007979AD" w:rsidRPr="00321FA3" w:rsidRDefault="007979AD" w:rsidP="007979AD">
      <w:pPr>
        <w:ind w:left="709" w:right="709"/>
        <w:jc w:val="both"/>
        <w:rPr>
          <w:rFonts w:ascii="Arial" w:hAnsi="Arial" w:cs="Arial"/>
          <w:color w:val="000000" w:themeColor="text1"/>
          <w:sz w:val="21"/>
          <w:szCs w:val="21"/>
          <w:lang w:val="es-ES_tradnl"/>
        </w:rPr>
      </w:pPr>
      <w:r w:rsidRPr="00321FA3">
        <w:rPr>
          <w:rFonts w:ascii="Arial" w:hAnsi="Arial" w:cs="Arial"/>
          <w:color w:val="000000" w:themeColor="text1"/>
          <w:sz w:val="21"/>
          <w:szCs w:val="21"/>
          <w:lang w:val="es-ES_tradnl"/>
        </w:rPr>
        <w:t>Esto significa que en adelante las entidades y los oferentes aplican directamente la regla que contempla el art. 5, parágrafo, de la Ley 1150, de manera que lo subsanable o insubsanable se define a partir de una pregunta, que se le formula a cada requisito omitido o cumplido imperfectamente: ¿el defecto asigna puntaje al oferente? Si lo hace no es subsanable, si no lo hace es subsanable; en el último evento la entidad le solicitará al oferente que satisfaga la deficiencia, para poner su oferta en condiciones de ser evaluada, y no importa si se refiere a no a problemas de capacidad o a requisitos cumplidos antes o después de presentadas las ofertas, con la condición de que cuando le pidan la acreditación la satisfaga suficientemente</w:t>
      </w:r>
      <w:r w:rsidRPr="00321FA3">
        <w:rPr>
          <w:rStyle w:val="Refdenotaalpie"/>
          <w:rFonts w:ascii="Arial" w:hAnsi="Arial" w:cs="Arial"/>
          <w:color w:val="000000" w:themeColor="text1"/>
          <w:sz w:val="21"/>
          <w:szCs w:val="21"/>
          <w:lang w:val="es-ES_tradnl"/>
        </w:rPr>
        <w:footnoteReference w:id="7"/>
      </w:r>
      <w:r w:rsidRPr="00321FA3">
        <w:rPr>
          <w:rFonts w:ascii="Arial" w:hAnsi="Arial" w:cs="Arial"/>
          <w:color w:val="000000" w:themeColor="text1"/>
          <w:sz w:val="21"/>
          <w:szCs w:val="21"/>
          <w:lang w:val="es-ES_tradnl"/>
        </w:rPr>
        <w:t>.</w:t>
      </w:r>
    </w:p>
    <w:p w14:paraId="6CA940C3" w14:textId="77777777" w:rsidR="007979AD" w:rsidRPr="00321FA3" w:rsidRDefault="007979AD" w:rsidP="002C704D">
      <w:pPr>
        <w:spacing w:line="276" w:lineRule="auto"/>
        <w:jc w:val="both"/>
        <w:rPr>
          <w:rFonts w:ascii="Arial" w:hAnsi="Arial" w:cs="Arial"/>
          <w:b/>
          <w:color w:val="000000" w:themeColor="text1"/>
          <w:sz w:val="22"/>
          <w:lang w:val="es-ES_tradnl"/>
        </w:rPr>
      </w:pPr>
    </w:p>
    <w:p w14:paraId="342679CB" w14:textId="77777777" w:rsidR="007979AD" w:rsidRPr="00321FA3" w:rsidRDefault="007979AD" w:rsidP="007979AD">
      <w:pPr>
        <w:pStyle w:val="Textoindependiente"/>
        <w:tabs>
          <w:tab w:val="left" w:pos="284"/>
        </w:tabs>
        <w:spacing w:after="0"/>
        <w:ind w:firstLine="709"/>
        <w:jc w:val="both"/>
        <w:rPr>
          <w:rFonts w:ascii="Arial" w:eastAsiaTheme="minorHAnsi" w:hAnsi="Arial" w:cs="Arial"/>
          <w:color w:val="000000" w:themeColor="text1"/>
          <w:lang w:val="es-ES_tradnl" w:eastAsia="en-US"/>
        </w:rPr>
      </w:pPr>
      <w:r w:rsidRPr="00321FA3">
        <w:rPr>
          <w:rFonts w:ascii="Arial" w:eastAsiaTheme="minorHAnsi" w:hAnsi="Arial" w:cs="Arial"/>
          <w:color w:val="000000" w:themeColor="text1"/>
          <w:lang w:val="es-ES_tradnl" w:eastAsia="en-US"/>
        </w:rPr>
        <w:t xml:space="preserve">Esa interpretación fue compartida por la </w:t>
      </w:r>
      <w:r w:rsidRPr="00321FA3">
        <w:rPr>
          <w:rFonts w:ascii="Arial" w:hAnsi="Arial" w:cs="Arial"/>
          <w:color w:val="000000" w:themeColor="text1"/>
          <w:lang w:val="es-ES_tradnl"/>
        </w:rPr>
        <w:t>Agencia Nacional de Contratación Pública – Colombia Compra Eficiente</w:t>
      </w:r>
      <w:r w:rsidRPr="00321FA3">
        <w:rPr>
          <w:rFonts w:ascii="Arial" w:eastAsiaTheme="minorHAnsi" w:hAnsi="Arial" w:cs="Arial"/>
          <w:color w:val="000000" w:themeColor="text1"/>
          <w:lang w:val="es-ES_tradnl" w:eastAsia="en-US"/>
        </w:rPr>
        <w:t>, pues en la Circular Externa Única se precisó que si durante un proceso de contratación hay proponentes que no acreditaron en sus ofertas requisitos que no afectan la asignación de puntaje o la comparación de las mismas, la entidad estatal deberá indicarlo en el informe de evaluación y advertir que la correspondiente oferta no será evaluada hasta que se subsane.</w:t>
      </w:r>
    </w:p>
    <w:p w14:paraId="431B2B73" w14:textId="77777777" w:rsidR="007979AD" w:rsidRPr="00321FA3" w:rsidRDefault="007979AD" w:rsidP="002C704D">
      <w:pPr>
        <w:pStyle w:val="Textoindependiente"/>
        <w:tabs>
          <w:tab w:val="left" w:pos="284"/>
        </w:tabs>
        <w:spacing w:before="120" w:after="0"/>
        <w:ind w:firstLine="709"/>
        <w:jc w:val="both"/>
        <w:rPr>
          <w:rFonts w:ascii="Arial" w:eastAsiaTheme="minorHAnsi" w:hAnsi="Arial" w:cs="Arial"/>
          <w:color w:val="000000" w:themeColor="text1"/>
          <w:lang w:val="es-ES_tradnl" w:eastAsia="en-US"/>
        </w:rPr>
      </w:pPr>
      <w:r w:rsidRPr="00321FA3">
        <w:rPr>
          <w:rFonts w:ascii="Arial" w:hAnsi="Arial" w:cs="Arial"/>
          <w:color w:val="000000" w:themeColor="text1"/>
          <w:lang w:val="es-ES_tradnl"/>
        </w:rPr>
        <w:t xml:space="preserve">En un </w:t>
      </w:r>
      <w:r w:rsidRPr="00321FA3">
        <w:rPr>
          <w:rFonts w:ascii="Arial" w:hAnsi="Arial" w:cs="Arial"/>
          <w:i/>
          <w:color w:val="000000" w:themeColor="text1"/>
          <w:lang w:val="es-ES_tradnl"/>
        </w:rPr>
        <w:t>cuarto momento</w:t>
      </w:r>
      <w:r w:rsidRPr="00321FA3">
        <w:rPr>
          <w:rFonts w:ascii="Arial" w:hAnsi="Arial" w:cs="Arial"/>
          <w:color w:val="000000" w:themeColor="text1"/>
          <w:lang w:val="es-ES_tradnl"/>
        </w:rPr>
        <w:t xml:space="preserve">, el legislador expidió la Ley 1882 de 2018, con la finalidad de introducir cambios y ajustes para fortalecer la contratación pública. El artículo 5 modificó el parágrafo 1º del artículo 5 de la Ley 1150 de 2007: </w:t>
      </w:r>
    </w:p>
    <w:p w14:paraId="045EB84B" w14:textId="77777777" w:rsidR="007979AD" w:rsidRPr="00321FA3" w:rsidRDefault="007979AD" w:rsidP="007979AD">
      <w:pPr>
        <w:spacing w:line="276" w:lineRule="auto"/>
        <w:jc w:val="both"/>
        <w:rPr>
          <w:rFonts w:ascii="Arial" w:hAnsi="Arial" w:cs="Arial"/>
          <w:color w:val="000000" w:themeColor="text1"/>
          <w:sz w:val="22"/>
          <w:lang w:val="es-ES_tradnl"/>
        </w:rPr>
      </w:pPr>
    </w:p>
    <w:p w14:paraId="40D0BCBC" w14:textId="77777777" w:rsidR="007979AD" w:rsidRPr="00321FA3" w:rsidRDefault="007979AD" w:rsidP="007979AD">
      <w:pPr>
        <w:ind w:left="709" w:right="709"/>
        <w:jc w:val="both"/>
        <w:rPr>
          <w:rFonts w:ascii="Arial" w:hAnsi="Arial" w:cs="Arial"/>
          <w:color w:val="000000" w:themeColor="text1"/>
          <w:sz w:val="21"/>
          <w:szCs w:val="21"/>
          <w:lang w:val="es-ES_tradnl"/>
        </w:rPr>
      </w:pPr>
      <w:r w:rsidRPr="00321FA3">
        <w:rPr>
          <w:rFonts w:ascii="Arial" w:hAnsi="Arial" w:cs="Arial"/>
          <w:color w:val="000000" w:themeColor="text1"/>
          <w:sz w:val="21"/>
          <w:szCs w:val="21"/>
          <w:lang w:val="es-ES_tradnl"/>
        </w:rPr>
        <w:t xml:space="preserve">Artículo 5°. De la selección objetiva. </w:t>
      </w:r>
    </w:p>
    <w:p w14:paraId="22E54793" w14:textId="77777777" w:rsidR="007979AD" w:rsidRPr="00321FA3" w:rsidRDefault="007979AD" w:rsidP="007979AD">
      <w:pPr>
        <w:ind w:left="709" w:right="709"/>
        <w:jc w:val="both"/>
        <w:rPr>
          <w:rFonts w:ascii="Arial" w:hAnsi="Arial" w:cs="Arial"/>
          <w:color w:val="000000" w:themeColor="text1"/>
          <w:sz w:val="21"/>
          <w:szCs w:val="21"/>
          <w:lang w:val="es-ES_tradnl"/>
        </w:rPr>
      </w:pPr>
      <w:r w:rsidRPr="00321FA3">
        <w:rPr>
          <w:rFonts w:ascii="Arial" w:hAnsi="Arial" w:cs="Arial"/>
          <w:color w:val="000000" w:themeColor="text1"/>
          <w:sz w:val="21"/>
          <w:szCs w:val="21"/>
          <w:lang w:val="es-ES_tradnl"/>
        </w:rPr>
        <w:t>[... ]</w:t>
      </w:r>
    </w:p>
    <w:p w14:paraId="50F78C9F" w14:textId="77777777" w:rsidR="007979AD" w:rsidRPr="00321FA3" w:rsidRDefault="007979AD" w:rsidP="007979AD">
      <w:pPr>
        <w:ind w:left="709" w:right="709"/>
        <w:jc w:val="both"/>
        <w:rPr>
          <w:rFonts w:ascii="Arial" w:hAnsi="Arial" w:cs="Arial"/>
          <w:color w:val="000000" w:themeColor="text1"/>
          <w:sz w:val="21"/>
          <w:szCs w:val="21"/>
          <w:lang w:val="es-ES_tradnl"/>
        </w:rPr>
      </w:pPr>
    </w:p>
    <w:p w14:paraId="43DA8EC5" w14:textId="77777777" w:rsidR="007979AD" w:rsidRPr="00321FA3" w:rsidRDefault="007979AD" w:rsidP="007979AD">
      <w:pPr>
        <w:ind w:left="709" w:right="709"/>
        <w:jc w:val="both"/>
        <w:rPr>
          <w:rFonts w:ascii="Arial" w:hAnsi="Arial" w:cs="Arial"/>
          <w:color w:val="000000" w:themeColor="text1"/>
          <w:sz w:val="21"/>
          <w:szCs w:val="21"/>
          <w:lang w:val="es-ES_tradnl"/>
        </w:rPr>
      </w:pPr>
      <w:r w:rsidRPr="00321FA3">
        <w:rPr>
          <w:rFonts w:ascii="Arial" w:hAnsi="Arial" w:cs="Arial"/>
          <w:color w:val="000000" w:themeColor="text1"/>
          <w:sz w:val="21"/>
          <w:szCs w:val="21"/>
          <w:lang w:val="es-ES_tradnl"/>
        </w:rPr>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w:t>
      </w:r>
      <w:r w:rsidRPr="00321FA3">
        <w:rPr>
          <w:rFonts w:ascii="Arial" w:hAnsi="Arial" w:cs="Arial"/>
          <w:color w:val="000000" w:themeColor="text1"/>
          <w:sz w:val="21"/>
          <w:szCs w:val="21"/>
          <w:lang w:val="es-ES_tradnl"/>
        </w:rPr>
        <w:lastRenderedPageBreak/>
        <w:t xml:space="preserve">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 </w:t>
      </w:r>
    </w:p>
    <w:p w14:paraId="32A401B2" w14:textId="77777777" w:rsidR="007979AD" w:rsidRPr="00321FA3" w:rsidRDefault="007979AD" w:rsidP="002C704D">
      <w:pPr>
        <w:spacing w:line="276" w:lineRule="auto"/>
        <w:jc w:val="both"/>
        <w:rPr>
          <w:rFonts w:ascii="Arial" w:hAnsi="Arial" w:cs="Arial"/>
          <w:b/>
          <w:color w:val="000000" w:themeColor="text1"/>
          <w:sz w:val="22"/>
          <w:lang w:val="es-ES_tradnl"/>
        </w:rPr>
      </w:pPr>
    </w:p>
    <w:p w14:paraId="58E1D33E" w14:textId="77777777" w:rsidR="007979AD" w:rsidRPr="00321FA3" w:rsidRDefault="007979AD" w:rsidP="007979AD">
      <w:pPr>
        <w:spacing w:line="276" w:lineRule="auto"/>
        <w:ind w:firstLine="709"/>
        <w:jc w:val="both"/>
        <w:rPr>
          <w:rFonts w:ascii="Arial" w:hAnsi="Arial" w:cs="Arial"/>
          <w:color w:val="000000" w:themeColor="text1"/>
          <w:sz w:val="22"/>
          <w:lang w:val="es-ES_tradnl"/>
        </w:rPr>
      </w:pPr>
      <w:r w:rsidRPr="00321FA3">
        <w:rPr>
          <w:rFonts w:ascii="Arial" w:hAnsi="Arial" w:cs="Arial"/>
          <w:color w:val="000000" w:themeColor="text1"/>
          <w:sz w:val="22"/>
          <w:lang w:val="es-ES_tradnl"/>
        </w:rPr>
        <w:t xml:space="preserve">Esta norma: i) mantiene el criterio de la Ley 80 de 1993, relativo a que todo lo que no sea necesario para la comparación de propuestas no es título suficiente para su rechazo; ii) mantiene el criterio aclaratorio de la Ley 1150 de 2007, según el cual todo lo que no afecte la asignación de puntaje puede subsanarse e iii) introduce modificaciones en relación con algunos aspectos que se analizarán a continuación. </w:t>
      </w:r>
    </w:p>
    <w:p w14:paraId="6A71D999" w14:textId="77777777" w:rsidR="007979AD" w:rsidRPr="00321FA3" w:rsidRDefault="007979AD" w:rsidP="007979AD">
      <w:pPr>
        <w:spacing w:before="120" w:after="120" w:line="276" w:lineRule="auto"/>
        <w:ind w:firstLine="709"/>
        <w:jc w:val="both"/>
        <w:rPr>
          <w:rFonts w:ascii="Arial" w:hAnsi="Arial" w:cs="Arial"/>
          <w:color w:val="000000" w:themeColor="text1"/>
          <w:sz w:val="22"/>
          <w:lang w:val="es-ES_tradnl"/>
        </w:rPr>
      </w:pPr>
      <w:r w:rsidRPr="00321FA3">
        <w:rPr>
          <w:rFonts w:ascii="Arial" w:hAnsi="Arial" w:cs="Arial"/>
          <w:color w:val="000000" w:themeColor="text1"/>
          <w:sz w:val="22"/>
          <w:lang w:val="es-ES_tradnl"/>
        </w:rPr>
        <w:t xml:space="preserve">El primero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w:t>
      </w:r>
      <w:r w:rsidRPr="00321FA3">
        <w:rPr>
          <w:rFonts w:ascii="Arial" w:eastAsia="Calibri" w:hAnsi="Arial" w:cs="Arial"/>
          <w:color w:val="000000" w:themeColor="text1"/>
          <w:sz w:val="22"/>
          <w:lang w:val="es-ES_tradnl"/>
        </w:rPr>
        <w:t>de selección a través del sistema de subasta</w:t>
      </w:r>
      <w:r w:rsidRPr="00321FA3">
        <w:rPr>
          <w:rStyle w:val="Refdenotaalpie"/>
          <w:rFonts w:ascii="Arial" w:eastAsia="Calibri" w:hAnsi="Arial" w:cs="Arial"/>
          <w:color w:val="000000" w:themeColor="text1"/>
          <w:sz w:val="22"/>
          <w:lang w:val="es-ES_tradnl"/>
        </w:rPr>
        <w:footnoteReference w:id="8"/>
      </w:r>
      <w:r w:rsidRPr="00321FA3">
        <w:rPr>
          <w:rFonts w:ascii="Arial" w:eastAsia="Calibri" w:hAnsi="Arial" w:cs="Arial"/>
          <w:color w:val="000000" w:themeColor="text1"/>
          <w:sz w:val="22"/>
          <w:lang w:val="es-ES_tradnl"/>
        </w:rPr>
        <w:t xml:space="preserve">; en el último los documentos o requisitos subsanables pueden y deben solicitarse hasta el momento previo a su realización.  </w:t>
      </w:r>
    </w:p>
    <w:p w14:paraId="0D8D98BC" w14:textId="6E8BEA53" w:rsidR="007979AD" w:rsidRPr="00321FA3" w:rsidRDefault="007979AD" w:rsidP="001A66DF">
      <w:pPr>
        <w:spacing w:before="120" w:after="120" w:line="276" w:lineRule="auto"/>
        <w:ind w:firstLine="709"/>
        <w:jc w:val="both"/>
        <w:rPr>
          <w:rFonts w:ascii="Arial" w:hAnsi="Arial" w:cs="Arial"/>
          <w:color w:val="000000" w:themeColor="text1"/>
          <w:sz w:val="22"/>
          <w:lang w:val="es-ES_tradnl"/>
        </w:rPr>
      </w:pPr>
      <w:r w:rsidRPr="00321FA3">
        <w:rPr>
          <w:rFonts w:ascii="Arial" w:eastAsia="Calibri" w:hAnsi="Arial" w:cs="Arial"/>
          <w:color w:val="000000" w:themeColor="text1"/>
          <w:sz w:val="22"/>
          <w:lang w:val="es-ES_tradnl"/>
        </w:rPr>
        <w:t xml:space="preserve">Frente a la regla general, la norma fijó un límite final para que la Administración y los oferentes subsanen los requisitos o documentos que puedan y deban ser subsanados, pero nada impide, y la norma no lo hace, que la Administración requiera al proponente antes de publicar el informe de evaluación. En efecto, la redacción de la norma permite que la Administración solicite a los oferentes subsanar y que estos lo hagan hasta antes del término del traslado del informe de evaluación: </w:t>
      </w:r>
      <w:r w:rsidR="001A66DF" w:rsidRPr="00321FA3">
        <w:rPr>
          <w:rFonts w:ascii="Arial" w:eastAsia="Calibri" w:hAnsi="Arial" w:cs="Arial"/>
          <w:color w:val="000000" w:themeColor="text1"/>
          <w:sz w:val="22"/>
          <w:lang w:val="es-ES_tradnl"/>
        </w:rPr>
        <w:t>«</w:t>
      </w:r>
      <w:r w:rsidRPr="00321FA3">
        <w:rPr>
          <w:rFonts w:ascii="Arial" w:hAnsi="Arial" w:cs="Arial"/>
          <w:color w:val="000000" w:themeColor="text1"/>
          <w:sz w:val="22"/>
          <w:lang w:val="es-ES_tradnl"/>
        </w:rPr>
        <w:t>deberán ser solicitados por las entidades estatales y deberán ser entregados por los proponentes hasta el término de traslado del informe de evaluación que corresponda a cada modalidad de selección</w:t>
      </w:r>
      <w:r w:rsidR="001A66DF" w:rsidRPr="00321FA3">
        <w:rPr>
          <w:rFonts w:ascii="Arial" w:hAnsi="Arial" w:cs="Arial"/>
          <w:color w:val="000000" w:themeColor="text1"/>
          <w:sz w:val="22"/>
          <w:lang w:val="es-ES_tradnl"/>
        </w:rPr>
        <w:t>»</w:t>
      </w:r>
      <w:r w:rsidRPr="00321FA3">
        <w:rPr>
          <w:rFonts w:ascii="Arial" w:hAnsi="Arial" w:cs="Arial"/>
          <w:color w:val="000000" w:themeColor="text1"/>
          <w:sz w:val="22"/>
          <w:lang w:val="es-ES_tradnl"/>
        </w:rPr>
        <w:t xml:space="preserve">.  </w:t>
      </w:r>
    </w:p>
    <w:p w14:paraId="0C292E54" w14:textId="77777777" w:rsidR="007979AD" w:rsidRPr="00321FA3" w:rsidRDefault="007979AD" w:rsidP="007979AD">
      <w:pPr>
        <w:spacing w:before="120" w:after="120" w:line="276" w:lineRule="auto"/>
        <w:ind w:firstLine="709"/>
        <w:jc w:val="both"/>
        <w:rPr>
          <w:rFonts w:ascii="Arial" w:hAnsi="Arial" w:cs="Arial"/>
          <w:color w:val="000000" w:themeColor="text1"/>
          <w:sz w:val="22"/>
          <w:lang w:val="es-ES_tradnl"/>
        </w:rPr>
      </w:pPr>
      <w:r w:rsidRPr="00321FA3">
        <w:rPr>
          <w:rFonts w:ascii="Arial" w:hAnsi="Arial" w:cs="Arial"/>
          <w:color w:val="000000" w:themeColor="text1"/>
          <w:sz w:val="22"/>
          <w:lang w:val="es-ES_tradnl"/>
        </w:rPr>
        <w:t xml:space="preserve">Así pues, la modificación introducida por el artículo 5 de la Ley 1882 de 2018, si bien pudo significar, en la práctica de los procesos de selección, que el informe de evaluación fuera la oportunidad de la Administración para requerir al proponente para que subsane la oferta, y el término del traslado la oportunidad para hacerlo, lo cierto es que no impide que esto se realice con anterioridad a la publicación del informe, inclusive, es más adecuado y conveniente que la subsanación de las ofertas se intente con anterioridad, de forma que una vez la Administración advierta el defecto le solicite directamente al oferente que </w:t>
      </w:r>
      <w:r w:rsidRPr="00321FA3">
        <w:rPr>
          <w:rFonts w:ascii="Arial" w:hAnsi="Arial" w:cs="Arial"/>
          <w:color w:val="000000" w:themeColor="text1"/>
          <w:sz w:val="22"/>
          <w:lang w:val="es-ES_tradnl"/>
        </w:rPr>
        <w:lastRenderedPageBreak/>
        <w:t xml:space="preserve">subsane. Esta interpretación es más consistente con los principios de economía, transparencia y selección objetiva. </w:t>
      </w:r>
    </w:p>
    <w:p w14:paraId="53A64698" w14:textId="66B80497" w:rsidR="007979AD" w:rsidRPr="00321FA3" w:rsidRDefault="007979AD" w:rsidP="001A66DF">
      <w:pPr>
        <w:spacing w:before="120" w:after="120" w:line="276" w:lineRule="auto"/>
        <w:ind w:firstLine="709"/>
        <w:jc w:val="both"/>
        <w:rPr>
          <w:rFonts w:ascii="Arial" w:eastAsia="Calibri" w:hAnsi="Arial" w:cs="Arial"/>
          <w:color w:val="000000" w:themeColor="text1"/>
          <w:sz w:val="22"/>
          <w:lang w:val="es-ES_tradnl"/>
        </w:rPr>
      </w:pPr>
      <w:r w:rsidRPr="00321FA3">
        <w:rPr>
          <w:rFonts w:ascii="Arial" w:eastAsia="Calibri" w:hAnsi="Arial" w:cs="Arial"/>
          <w:color w:val="000000" w:themeColor="text1"/>
          <w:sz w:val="22"/>
          <w:lang w:val="es-ES_tradnl"/>
        </w:rPr>
        <w:t xml:space="preserve">De otro lado, el segundo cambio importante de la Ley 1882 de 2018 fue la introducción de un criterio material, directamente relacionado con los aspectos subsanables: </w:t>
      </w:r>
      <w:r w:rsidRPr="00321FA3">
        <w:rPr>
          <w:rFonts w:ascii="Arial" w:eastAsia="Calibri" w:hAnsi="Arial" w:cs="Arial"/>
          <w:iCs/>
          <w:color w:val="000000" w:themeColor="text1"/>
          <w:sz w:val="22"/>
          <w:lang w:val="es-ES_tradnl"/>
        </w:rPr>
        <w:t>«</w:t>
      </w:r>
      <w:r w:rsidRPr="00321FA3">
        <w:rPr>
          <w:rFonts w:ascii="Arial" w:hAnsi="Arial" w:cs="Arial"/>
          <w:iCs/>
          <w:color w:val="000000" w:themeColor="text1"/>
          <w:sz w:val="22"/>
          <w:lang w:val="es-ES_tradnl"/>
        </w:rPr>
        <w:t>los proponentes no podrán acreditar circunstancias ocurridas con posterioridad al cierre del proceso».</w:t>
      </w:r>
      <w:r w:rsidRPr="00321FA3">
        <w:rPr>
          <w:rFonts w:ascii="Arial" w:hAnsi="Arial" w:cs="Arial"/>
          <w:b/>
          <w:color w:val="000000" w:themeColor="text1"/>
          <w:sz w:val="22"/>
          <w:lang w:val="es-ES_tradnl"/>
        </w:rPr>
        <w:t xml:space="preserve"> </w:t>
      </w:r>
      <w:r w:rsidR="00BB0E9B" w:rsidRPr="00321FA3">
        <w:rPr>
          <w:rFonts w:ascii="Arial" w:hAnsi="Arial" w:cs="Arial"/>
          <w:color w:val="000000" w:themeColor="text1"/>
          <w:sz w:val="22"/>
          <w:lang w:val="es-ES_tradnl"/>
        </w:rPr>
        <w:t>Para estos efectos,</w:t>
      </w:r>
      <w:r w:rsidRPr="00321FA3">
        <w:rPr>
          <w:rFonts w:ascii="Arial" w:eastAsia="Calibri" w:hAnsi="Arial" w:cs="Arial"/>
          <w:color w:val="000000" w:themeColor="text1"/>
          <w:sz w:val="22"/>
          <w:lang w:val="es-ES_tradnl"/>
        </w:rPr>
        <w:t xml:space="preserve"> lo subsanable es la prueba de todas las circunstancias ocurridas antes del vencimiento del término para presentar las ofertas; eso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w:t>
      </w:r>
    </w:p>
    <w:p w14:paraId="1F06DE8C" w14:textId="4092BD73" w:rsidR="007979AD" w:rsidRPr="00321FA3" w:rsidRDefault="007979AD" w:rsidP="001A66DF">
      <w:pPr>
        <w:spacing w:before="120" w:after="120" w:line="276" w:lineRule="auto"/>
        <w:ind w:firstLine="709"/>
        <w:jc w:val="both"/>
        <w:rPr>
          <w:rFonts w:ascii="Arial" w:eastAsia="Calibri" w:hAnsi="Arial" w:cs="Arial"/>
          <w:color w:val="000000" w:themeColor="text1"/>
          <w:sz w:val="22"/>
          <w:lang w:val="es-ES_tradnl"/>
        </w:rPr>
      </w:pPr>
      <w:r w:rsidRPr="00321FA3">
        <w:rPr>
          <w:rFonts w:ascii="Arial" w:eastAsia="Calibri" w:hAnsi="Arial" w:cs="Arial"/>
          <w:color w:val="000000" w:themeColor="text1"/>
          <w:sz w:val="22"/>
          <w:lang w:val="es-ES_tradnl"/>
        </w:rPr>
        <w:t>Un mejor entendimiento del significado de la expresión «circunstancias ocurridas con posterioridad al cierre del proceso» lleva necesariamente a distinguir entre la prueba de un hecho y el hecho mismo. En el caso de la subsanabilidad de las ofertas, una cosa es el requisito habilitante o el elemento de la propuesta y otra su prueba. Lo que prohíbe la norma es que se subsanen requisitos que no estaban cumplidos al momento de presentar la oferta, o en palabras de la ley, que se acrediten hechos que ocurrieron después del cierre del proceso. Lo anterior quiere decir que no es la prueba –usualmente un documento– lo que debe ser anterior al cierre del proceso, sino el hecho que ella acredita, es decir, ante la solicitud de la Administración de subsanar un requisito, el documento podría estar fechado con posterioridad al vencimiento del término para recibir propuestas, siempre y cuando el hecho que acredite haya ocurrido antes, esto es, que no sea una circunstancia ocurrida con posterioridad al cierre del proceso. Es por ello que el Consejo de Estado sostiene que «lo que se subsana es la prueba y no la condición habilitante o un elemento de la propuesta (...) lo que se puede remediar es la prueba y no el requisito: La posibilidad debe recaer exclusivamente sobre circunstancias acaecidas antes del cierre del respectivo proceso, esto es, del vencimiento del plazo para presentar ofertas»</w:t>
      </w:r>
      <w:r w:rsidRPr="00321FA3">
        <w:rPr>
          <w:rFonts w:ascii="Arial" w:eastAsia="Calibri" w:hAnsi="Arial" w:cs="Arial"/>
          <w:color w:val="000000" w:themeColor="text1"/>
          <w:sz w:val="22"/>
          <w:vertAlign w:val="superscript"/>
          <w:lang w:val="es-ES_tradnl"/>
        </w:rPr>
        <w:footnoteReference w:id="9"/>
      </w:r>
      <w:r w:rsidRPr="00321FA3">
        <w:rPr>
          <w:rFonts w:ascii="Arial" w:eastAsia="Calibri" w:hAnsi="Arial" w:cs="Arial"/>
          <w:color w:val="000000" w:themeColor="text1"/>
          <w:sz w:val="22"/>
          <w:lang w:val="es-ES_tradnl"/>
        </w:rPr>
        <w:t xml:space="preserve">. </w:t>
      </w:r>
    </w:p>
    <w:p w14:paraId="659456A8" w14:textId="77777777" w:rsidR="007979AD" w:rsidRPr="00321FA3" w:rsidRDefault="007979AD" w:rsidP="007979AD">
      <w:pPr>
        <w:spacing w:before="120" w:after="120" w:line="276" w:lineRule="auto"/>
        <w:ind w:firstLine="709"/>
        <w:jc w:val="both"/>
        <w:rPr>
          <w:rFonts w:ascii="Arial" w:eastAsia="Calibri" w:hAnsi="Arial" w:cs="Arial"/>
          <w:color w:val="000000" w:themeColor="text1"/>
          <w:sz w:val="22"/>
          <w:lang w:val="es-ES_tradnl"/>
        </w:rPr>
      </w:pPr>
      <w:r w:rsidRPr="00321FA3">
        <w:rPr>
          <w:rFonts w:ascii="Arial" w:eastAsia="Calibri" w:hAnsi="Arial" w:cs="Arial"/>
          <w:color w:val="000000" w:themeColor="text1"/>
          <w:sz w:val="22"/>
          <w:lang w:val="es-ES_tradnl"/>
        </w:rPr>
        <w:t xml:space="preserve">Visto lo anterior, una vez verificada la ausencia de requisitos y/o documentos de la oferta, para saber si se puede subsanar, la Administración se debe preguntar, en primer lugar, si lo que hace falta es un </w:t>
      </w:r>
      <w:r w:rsidRPr="00321FA3">
        <w:rPr>
          <w:rFonts w:ascii="Arial" w:eastAsia="Calibri" w:hAnsi="Arial" w:cs="Arial"/>
          <w:iCs/>
          <w:color w:val="000000" w:themeColor="text1"/>
          <w:sz w:val="22"/>
          <w:lang w:val="es-ES_tradnl"/>
        </w:rPr>
        <w:t>documento o información</w:t>
      </w:r>
      <w:r w:rsidRPr="00321FA3">
        <w:rPr>
          <w:rFonts w:ascii="Arial" w:eastAsia="Calibri" w:hAnsi="Arial" w:cs="Arial"/>
          <w:color w:val="000000" w:themeColor="text1"/>
          <w:sz w:val="22"/>
          <w:lang w:val="es-ES_tradnl"/>
        </w:rPr>
        <w:t xml:space="preserve"> que otorga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otorgue puntaje, y la respuesta al segundo interrogante debe dar cuenta de que lo omitido sea la prueba de una circunstancia o hecho que ocurrió </w:t>
      </w:r>
      <w:r w:rsidRPr="00321FA3">
        <w:rPr>
          <w:rFonts w:ascii="Arial" w:eastAsia="Calibri" w:hAnsi="Arial" w:cs="Arial"/>
          <w:color w:val="000000" w:themeColor="text1"/>
          <w:sz w:val="22"/>
          <w:lang w:val="es-ES_tradnl"/>
        </w:rPr>
        <w:lastRenderedPageBreak/>
        <w:t>con anterioridad al cierre del proceso. Adicionalmente, otro cambio relevante radica en que el parágrafo 3 del artículo 5 de la Ley 1882 de 2018 determinó, de manera expresa, que «la no entrega de la garantía de seriedad junto con la propuesta no será subsanable y será causal de rechazo de la misma», dejando claro que se trata de un documento de obligatoria presentación junto con la propuesta y que materializa los principios de seriedad e irrevocabilidad de la oferta.</w:t>
      </w:r>
    </w:p>
    <w:p w14:paraId="4F43922D" w14:textId="0F038FE6" w:rsidR="00F1108B" w:rsidRPr="00321FA3" w:rsidRDefault="007979AD" w:rsidP="00BB0E9B">
      <w:pPr>
        <w:spacing w:after="120" w:line="276" w:lineRule="auto"/>
        <w:ind w:firstLine="709"/>
        <w:jc w:val="both"/>
        <w:rPr>
          <w:rFonts w:ascii="Arial" w:eastAsia="Calibri" w:hAnsi="Arial" w:cs="Arial"/>
          <w:color w:val="000000" w:themeColor="text1"/>
          <w:sz w:val="22"/>
          <w:lang w:val="es-ES_tradnl"/>
        </w:rPr>
      </w:pPr>
      <w:r w:rsidRPr="00321FA3">
        <w:rPr>
          <w:rFonts w:ascii="Arial" w:eastAsia="Calibri" w:hAnsi="Arial" w:cs="Arial"/>
          <w:color w:val="000000" w:themeColor="text1"/>
          <w:sz w:val="22"/>
          <w:lang w:val="es-ES_tradnl"/>
        </w:rPr>
        <w:t>En resumen</w:t>
      </w:r>
      <w:bookmarkStart w:id="24" w:name="_Hlk35428616"/>
      <w:r w:rsidRPr="00321FA3">
        <w:rPr>
          <w:rFonts w:ascii="Arial" w:eastAsia="Calibri" w:hAnsi="Arial" w:cs="Arial"/>
          <w:color w:val="000000" w:themeColor="text1"/>
          <w:sz w:val="22"/>
          <w:lang w:val="es-ES_tradnl"/>
        </w:rPr>
        <w:t xml:space="preserve">, </w:t>
      </w:r>
      <w:bookmarkStart w:id="25" w:name="_Hlk36495990"/>
      <w:r w:rsidRPr="00321FA3">
        <w:rPr>
          <w:rFonts w:ascii="Arial" w:eastAsia="Calibri" w:hAnsi="Arial" w:cs="Arial"/>
          <w:color w:val="000000" w:themeColor="text1"/>
          <w:sz w:val="22"/>
          <w:lang w:val="es-ES_tradnl"/>
        </w:rPr>
        <w:t>la regla prevista actualmente en los parágrafos 1o. y 4o. del artículo 5 de la Ley 1150 de 2007, modificado por el artículo 5 de la Ley 1882 de 2018, es el mandato normativo que ordena que las entidades estatales, al verificar la acreditación de los requisitos habilitantes por parte de los proponentes, permitir, por regla general, que los oferentes aporten o corrijan aquella información relacionada con tales requisitos de participación, de manera que no se rechace de plano de las ofertas. Si bien esta regla encuentra algunos límites, por ejemplo, el previsto en el segundo inciso del mismo parágrafo, que establece que «Durante el término otorgado para subsanar las ofertas, los proponentes no podrán acreditar circunstancias ocurridas con posterioridad al cierre del proceso» o el consagrado en el parágrafo 3o., adicionado por el artículo 5 de la Ley 1882 de 2018, según el cual «La no entrega de la garantía de seriedad junto con la propuesta no será subsanable y será causal de rechazo de la misma», lo cierto es que la subsanabilidad de las ofertas debe interpretarse como una regla general en relación con la falta de entrega o con los defectos de los requisitos habilitantes.</w:t>
      </w:r>
      <w:bookmarkEnd w:id="24"/>
      <w:r w:rsidRPr="00321FA3">
        <w:rPr>
          <w:rFonts w:ascii="Arial" w:eastAsia="Calibri" w:hAnsi="Arial" w:cs="Arial"/>
          <w:color w:val="000000" w:themeColor="text1"/>
          <w:sz w:val="22"/>
          <w:lang w:val="es-ES_tradnl"/>
        </w:rPr>
        <w:t xml:space="preserve"> </w:t>
      </w:r>
      <w:bookmarkEnd w:id="25"/>
    </w:p>
    <w:p w14:paraId="04E8787A" w14:textId="4F34CF1A" w:rsidR="00831BAE" w:rsidRPr="00321FA3" w:rsidRDefault="00831BAE" w:rsidP="002C704D">
      <w:pPr>
        <w:spacing w:before="120" w:after="120" w:line="276" w:lineRule="auto"/>
        <w:ind w:firstLine="709"/>
        <w:jc w:val="both"/>
        <w:rPr>
          <w:rFonts w:ascii="Arial" w:eastAsia="Calibri" w:hAnsi="Arial" w:cs="Arial"/>
          <w:color w:val="000000" w:themeColor="text1"/>
          <w:sz w:val="22"/>
        </w:rPr>
      </w:pPr>
      <w:r w:rsidRPr="00321FA3">
        <w:rPr>
          <w:rFonts w:ascii="Arial" w:eastAsia="Calibri" w:hAnsi="Arial" w:cs="Arial"/>
          <w:color w:val="000000" w:themeColor="text1"/>
          <w:sz w:val="22"/>
        </w:rPr>
        <w:t xml:space="preserve">Ahora bien, </w:t>
      </w:r>
      <w:r w:rsidR="00712714" w:rsidRPr="00321FA3">
        <w:rPr>
          <w:rFonts w:ascii="Arial" w:eastAsia="Calibri" w:hAnsi="Arial" w:cs="Arial"/>
          <w:color w:val="000000" w:themeColor="text1"/>
          <w:sz w:val="22"/>
        </w:rPr>
        <w:t xml:space="preserve">según lo indicó esta Subdirección en respuesta a la consulta con radicado 44202012000000563 del 27 de enero de 2020, </w:t>
      </w:r>
      <w:r w:rsidRPr="00321FA3">
        <w:rPr>
          <w:rFonts w:ascii="Arial" w:eastAsia="Calibri" w:hAnsi="Arial" w:cs="Arial"/>
          <w:color w:val="000000" w:themeColor="text1"/>
          <w:sz w:val="22"/>
        </w:rPr>
        <w:t xml:space="preserve">teniendo en cuenta que el parágrafo 1 del artículo 5º de la Ley 1150 de 2007, modificado por el artículo 5 de la Ley 1882 de 2018, dispone que los requisitos a subsanar «deberán ser solicitados por las entidades estatales y deberán ser entregados por los proponentes hasta el término de traslado del informe de evaluación que corresponda a cada modalidad de selección, salvo lo dispuesto para el proceso de Mínima cuantía […]», y que no se observa una disposición legal que expresamente disponga un término para aportar tales documentos en esta modalidad de selección, surgen tres posibles interpretaciones: </w:t>
      </w:r>
      <w:r w:rsidRPr="00321FA3">
        <w:rPr>
          <w:rFonts w:ascii="Arial" w:eastAsia="Calibri" w:hAnsi="Arial" w:cs="Arial"/>
          <w:i/>
          <w:iCs/>
          <w:color w:val="000000" w:themeColor="text1"/>
          <w:sz w:val="22"/>
        </w:rPr>
        <w:t>i)</w:t>
      </w:r>
      <w:r w:rsidRPr="00321FA3">
        <w:rPr>
          <w:rFonts w:ascii="Arial" w:eastAsia="Calibri" w:hAnsi="Arial" w:cs="Arial"/>
          <w:color w:val="000000" w:themeColor="text1"/>
          <w:sz w:val="22"/>
        </w:rPr>
        <w:t xml:space="preserve"> que en la mínima cuantía no se permite la subsanabilidad –interpretación que no es acorde con el principio de la prevalencia de lo sustancial sobre lo formal–, </w:t>
      </w:r>
      <w:r w:rsidRPr="00321FA3">
        <w:rPr>
          <w:rFonts w:ascii="Arial" w:eastAsia="Calibri" w:hAnsi="Arial" w:cs="Arial"/>
          <w:i/>
          <w:iCs/>
          <w:color w:val="000000" w:themeColor="text1"/>
          <w:sz w:val="22"/>
        </w:rPr>
        <w:t>ii)</w:t>
      </w:r>
      <w:r w:rsidRPr="00321FA3">
        <w:rPr>
          <w:rFonts w:ascii="Arial" w:eastAsia="Calibri" w:hAnsi="Arial" w:cs="Arial"/>
          <w:color w:val="000000" w:themeColor="text1"/>
          <w:sz w:val="22"/>
        </w:rPr>
        <w:t xml:space="preserve"> que el término para presentar los requisitos subsanados es el mismo de publicación del informe de evaluación, es decir, un (1) día hábil, </w:t>
      </w:r>
      <w:r w:rsidRPr="00321FA3">
        <w:rPr>
          <w:rFonts w:ascii="Arial" w:eastAsia="Calibri" w:hAnsi="Arial" w:cs="Arial"/>
          <w:i/>
          <w:iCs/>
          <w:color w:val="000000" w:themeColor="text1"/>
          <w:sz w:val="22"/>
        </w:rPr>
        <w:t>iii)</w:t>
      </w:r>
      <w:r w:rsidRPr="00321FA3">
        <w:rPr>
          <w:rFonts w:ascii="Arial" w:eastAsia="Calibri" w:hAnsi="Arial" w:cs="Arial"/>
          <w:color w:val="000000" w:themeColor="text1"/>
          <w:sz w:val="22"/>
        </w:rPr>
        <w:t xml:space="preserve"> que existe un vacío y que este puede llenarse discrecionalmente por la entidad estatal, disponiendo de un término razonable de subsanabilidad. Esta Subdirección acoge la tercera opción y, por tanto, lo establecido en el numeral 6.1. de la Circular Externa Única de la Agencia Nacional de Contratación Pública – Colombia Compra Eficiente, que expresa: «Por otra parte, en los procesos de mínima cuantía la Entidad debe establecer en la invitación un plazo para recibir los documentos subsanables, so pena de verificar la oferta con el siguiente proponente que ofrezca el mejor precio. Si la Entidad Estatal no estableció un </w:t>
      </w:r>
      <w:r w:rsidRPr="00321FA3">
        <w:rPr>
          <w:rFonts w:ascii="Arial" w:eastAsia="Calibri" w:hAnsi="Arial" w:cs="Arial"/>
          <w:color w:val="000000" w:themeColor="text1"/>
          <w:sz w:val="22"/>
        </w:rPr>
        <w:lastRenderedPageBreak/>
        <w:t>plazo para subsanar los requisitos, los proponentes podrán hacerlo hasta antes de la aceptación de la oferta»</w:t>
      </w:r>
      <w:r w:rsidRPr="00321FA3">
        <w:rPr>
          <w:rStyle w:val="Refdenotaalpie"/>
          <w:rFonts w:ascii="Arial" w:eastAsia="Calibri" w:hAnsi="Arial" w:cs="Arial"/>
          <w:color w:val="000000" w:themeColor="text1"/>
          <w:sz w:val="22"/>
        </w:rPr>
        <w:footnoteReference w:id="10"/>
      </w:r>
      <w:r w:rsidRPr="00321FA3">
        <w:rPr>
          <w:rFonts w:ascii="Arial" w:eastAsia="Calibri" w:hAnsi="Arial" w:cs="Arial"/>
          <w:color w:val="000000" w:themeColor="text1"/>
          <w:sz w:val="22"/>
        </w:rPr>
        <w:t xml:space="preserve">. Así lo indicó también esta Subdirección en concepto con radicado No. </w:t>
      </w:r>
      <w:r w:rsidRPr="00321FA3">
        <w:rPr>
          <w:rFonts w:ascii="Arial" w:hAnsi="Arial" w:cs="Arial"/>
          <w:color w:val="000000" w:themeColor="text1"/>
          <w:sz w:val="22"/>
        </w:rPr>
        <w:t>4201912000004758</w:t>
      </w:r>
      <w:r w:rsidR="0082239B" w:rsidRPr="00321FA3">
        <w:rPr>
          <w:rFonts w:ascii="Arial" w:hAnsi="Arial" w:cs="Arial"/>
          <w:color w:val="000000" w:themeColor="text1"/>
          <w:sz w:val="22"/>
        </w:rPr>
        <w:t xml:space="preserve"> del 9 de septiembre de 2019</w:t>
      </w:r>
      <w:r w:rsidRPr="00321FA3">
        <w:rPr>
          <w:rFonts w:ascii="Arial" w:hAnsi="Arial" w:cs="Arial"/>
          <w:color w:val="000000" w:themeColor="text1"/>
          <w:sz w:val="22"/>
        </w:rPr>
        <w:t>.</w:t>
      </w:r>
    </w:p>
    <w:p w14:paraId="16B41711" w14:textId="5E5C12A5" w:rsidR="00BB0E9B" w:rsidRPr="00321FA3" w:rsidRDefault="00BB0E9B" w:rsidP="002C704D">
      <w:pPr>
        <w:spacing w:line="276" w:lineRule="auto"/>
        <w:ind w:firstLine="709"/>
        <w:jc w:val="both"/>
        <w:rPr>
          <w:rFonts w:ascii="Arial" w:eastAsia="Calibri" w:hAnsi="Arial" w:cs="Arial"/>
          <w:color w:val="000000" w:themeColor="text1"/>
          <w:sz w:val="22"/>
          <w:lang w:val="es-ES_tradnl"/>
        </w:rPr>
      </w:pPr>
      <w:r w:rsidRPr="00321FA3">
        <w:rPr>
          <w:rFonts w:ascii="Arial" w:eastAsia="Calibri" w:hAnsi="Arial" w:cs="Arial"/>
          <w:color w:val="000000" w:themeColor="text1"/>
          <w:sz w:val="22"/>
          <w:lang w:val="es-ES_tradnl"/>
        </w:rPr>
        <w:t>Con fundamento en las anteriores consideraciones, se responderán los interrogantes planteados.</w:t>
      </w:r>
    </w:p>
    <w:p w14:paraId="1B39A56F" w14:textId="77777777" w:rsidR="007979AD" w:rsidRPr="00321FA3" w:rsidRDefault="007979AD" w:rsidP="00BB0E9B">
      <w:pPr>
        <w:spacing w:line="276" w:lineRule="auto"/>
        <w:jc w:val="both"/>
        <w:rPr>
          <w:rFonts w:ascii="Times New Roman" w:hAnsi="Times New Roman" w:cs="Times New Roman"/>
          <w:color w:val="000000" w:themeColor="text1"/>
          <w:szCs w:val="24"/>
          <w:lang w:val="es-ES" w:eastAsia="es-ES"/>
        </w:rPr>
      </w:pPr>
    </w:p>
    <w:p w14:paraId="69C478A3" w14:textId="59CACD01" w:rsidR="00F1108B" w:rsidRPr="00321FA3" w:rsidRDefault="00F1108B" w:rsidP="00CC0AF3">
      <w:pPr>
        <w:pStyle w:val="Prrafodelista"/>
        <w:tabs>
          <w:tab w:val="left" w:pos="284"/>
        </w:tabs>
        <w:spacing w:line="276" w:lineRule="auto"/>
        <w:ind w:left="0"/>
        <w:jc w:val="both"/>
        <w:rPr>
          <w:rFonts w:ascii="Arial" w:eastAsia="Calibri" w:hAnsi="Arial" w:cs="Arial"/>
          <w:b/>
          <w:color w:val="000000" w:themeColor="text1"/>
          <w:sz w:val="22"/>
        </w:rPr>
      </w:pPr>
      <w:r w:rsidRPr="00321FA3">
        <w:rPr>
          <w:rFonts w:ascii="Arial" w:eastAsia="Calibri" w:hAnsi="Arial" w:cs="Arial"/>
          <w:b/>
          <w:color w:val="000000" w:themeColor="text1"/>
          <w:sz w:val="22"/>
        </w:rPr>
        <w:t>3. Respuestas</w:t>
      </w:r>
    </w:p>
    <w:p w14:paraId="54278EC8" w14:textId="77777777" w:rsidR="00CC0AF3" w:rsidRPr="00321FA3" w:rsidRDefault="00CC0AF3" w:rsidP="00CC0AF3">
      <w:pPr>
        <w:pStyle w:val="Prrafodelista"/>
        <w:tabs>
          <w:tab w:val="left" w:pos="284"/>
        </w:tabs>
        <w:spacing w:line="276" w:lineRule="auto"/>
        <w:ind w:left="0"/>
        <w:jc w:val="both"/>
        <w:rPr>
          <w:rFonts w:ascii="Arial" w:eastAsia="Calibri" w:hAnsi="Arial" w:cs="Arial"/>
          <w:color w:val="000000" w:themeColor="text1"/>
          <w:sz w:val="22"/>
        </w:rPr>
      </w:pPr>
    </w:p>
    <w:p w14:paraId="41228734" w14:textId="14466710" w:rsidR="00CC0AF3" w:rsidRPr="00321FA3" w:rsidRDefault="00C56CC2" w:rsidP="00CC0AF3">
      <w:pPr>
        <w:tabs>
          <w:tab w:val="left" w:pos="426"/>
        </w:tabs>
        <w:spacing w:line="276" w:lineRule="auto"/>
        <w:ind w:left="709" w:right="709"/>
        <w:jc w:val="both"/>
        <w:rPr>
          <w:rFonts w:ascii="Arial" w:eastAsia="Calibri" w:hAnsi="Arial" w:cs="Arial"/>
          <w:color w:val="000000" w:themeColor="text1"/>
          <w:sz w:val="22"/>
        </w:rPr>
      </w:pPr>
      <w:r w:rsidRPr="00321FA3">
        <w:rPr>
          <w:rFonts w:ascii="Arial" w:eastAsia="Calibri" w:hAnsi="Arial" w:cs="Arial"/>
          <w:color w:val="000000" w:themeColor="text1"/>
          <w:sz w:val="22"/>
        </w:rPr>
        <w:t>i) ¿En un proceso de mínima cuantía, las entidades estatales pueden rechazar de plano las propuestas por la no presentación de las muestras, argumentando que es un requisito técnico insubsanable?</w:t>
      </w:r>
    </w:p>
    <w:p w14:paraId="5D597403" w14:textId="77777777" w:rsidR="00CC0AF3" w:rsidRPr="00321FA3" w:rsidRDefault="00CC0AF3" w:rsidP="00CC0AF3">
      <w:pPr>
        <w:tabs>
          <w:tab w:val="left" w:pos="426"/>
        </w:tabs>
        <w:spacing w:line="276" w:lineRule="auto"/>
        <w:ind w:left="709" w:right="709"/>
        <w:jc w:val="both"/>
        <w:rPr>
          <w:rFonts w:ascii="Arial" w:eastAsia="Calibri" w:hAnsi="Arial" w:cs="Arial"/>
          <w:color w:val="000000" w:themeColor="text1"/>
          <w:sz w:val="22"/>
        </w:rPr>
      </w:pPr>
    </w:p>
    <w:p w14:paraId="04CA9552" w14:textId="164D7927" w:rsidR="00A44F54" w:rsidRPr="00321FA3" w:rsidRDefault="004E0742" w:rsidP="00DC1A68">
      <w:pPr>
        <w:spacing w:line="276" w:lineRule="auto"/>
        <w:jc w:val="both"/>
        <w:rPr>
          <w:rFonts w:ascii="Arial" w:hAnsi="Arial" w:cs="Arial"/>
          <w:color w:val="000000" w:themeColor="text1"/>
          <w:sz w:val="22"/>
          <w:lang w:val="es-ES_tradnl"/>
        </w:rPr>
      </w:pPr>
      <w:r w:rsidRPr="00321FA3">
        <w:rPr>
          <w:rFonts w:ascii="Arial" w:hAnsi="Arial" w:cs="Arial"/>
          <w:color w:val="000000" w:themeColor="text1"/>
          <w:sz w:val="22"/>
          <w:lang w:val="es-ES_tradnl"/>
        </w:rPr>
        <w:t>En la mínima cuantía, el único criterio de evaluación es el precio; razón por la cual, la exigencia de muestras, en caso de requerirse y hallarse plenamente justificado, será bajo el criterio de ser requisitos</w:t>
      </w:r>
      <w:r w:rsidR="006C37CA" w:rsidRPr="00321FA3">
        <w:rPr>
          <w:rFonts w:ascii="Arial" w:hAnsi="Arial" w:cs="Arial"/>
          <w:color w:val="000000" w:themeColor="text1"/>
          <w:sz w:val="22"/>
          <w:lang w:val="es-ES_tradnl"/>
        </w:rPr>
        <w:t xml:space="preserve"> habilitantes</w:t>
      </w:r>
      <w:r w:rsidRPr="00321FA3">
        <w:rPr>
          <w:rFonts w:ascii="Arial" w:hAnsi="Arial" w:cs="Arial"/>
          <w:color w:val="000000" w:themeColor="text1"/>
          <w:sz w:val="22"/>
          <w:lang w:val="es-ES_tradnl"/>
        </w:rPr>
        <w:t xml:space="preserve"> que no otorgan puntaje. Es decir, la </w:t>
      </w:r>
      <w:r w:rsidR="00AD463C" w:rsidRPr="00321FA3">
        <w:rPr>
          <w:rFonts w:ascii="Arial" w:hAnsi="Arial" w:cs="Arial"/>
          <w:color w:val="000000" w:themeColor="text1"/>
          <w:sz w:val="22"/>
          <w:lang w:val="es-ES_tradnl"/>
        </w:rPr>
        <w:t>e</w:t>
      </w:r>
      <w:r w:rsidRPr="00321FA3">
        <w:rPr>
          <w:rFonts w:ascii="Arial" w:hAnsi="Arial" w:cs="Arial"/>
          <w:color w:val="000000" w:themeColor="text1"/>
          <w:sz w:val="22"/>
          <w:lang w:val="es-ES_tradnl"/>
        </w:rPr>
        <w:t xml:space="preserve">ntidad </w:t>
      </w:r>
      <w:r w:rsidR="00AD463C" w:rsidRPr="00321FA3">
        <w:rPr>
          <w:rFonts w:ascii="Arial" w:hAnsi="Arial" w:cs="Arial"/>
          <w:color w:val="000000" w:themeColor="text1"/>
          <w:sz w:val="22"/>
          <w:lang w:val="es-ES_tradnl"/>
        </w:rPr>
        <w:t>e</w:t>
      </w:r>
      <w:r w:rsidRPr="00321FA3">
        <w:rPr>
          <w:rFonts w:ascii="Arial" w:hAnsi="Arial" w:cs="Arial"/>
          <w:color w:val="000000" w:themeColor="text1"/>
          <w:sz w:val="22"/>
          <w:lang w:val="es-ES_tradnl"/>
        </w:rPr>
        <w:t xml:space="preserve">statal debe adjudicar el </w:t>
      </w:r>
      <w:r w:rsidR="00AD463C" w:rsidRPr="00321FA3">
        <w:rPr>
          <w:rFonts w:ascii="Arial" w:hAnsi="Arial" w:cs="Arial"/>
          <w:color w:val="000000" w:themeColor="text1"/>
          <w:sz w:val="22"/>
          <w:lang w:val="es-ES_tradnl"/>
        </w:rPr>
        <w:t>p</w:t>
      </w:r>
      <w:r w:rsidRPr="00321FA3">
        <w:rPr>
          <w:rFonts w:ascii="Arial" w:hAnsi="Arial" w:cs="Arial"/>
          <w:color w:val="000000" w:themeColor="text1"/>
          <w:sz w:val="22"/>
          <w:lang w:val="es-ES_tradnl"/>
        </w:rPr>
        <w:t xml:space="preserve">roceso de </w:t>
      </w:r>
      <w:r w:rsidR="00AD463C" w:rsidRPr="00321FA3">
        <w:rPr>
          <w:rFonts w:ascii="Arial" w:hAnsi="Arial" w:cs="Arial"/>
          <w:color w:val="000000" w:themeColor="text1"/>
          <w:sz w:val="22"/>
          <w:lang w:val="es-ES_tradnl"/>
        </w:rPr>
        <w:t>c</w:t>
      </w:r>
      <w:r w:rsidRPr="00321FA3">
        <w:rPr>
          <w:rFonts w:ascii="Arial" w:hAnsi="Arial" w:cs="Arial"/>
          <w:color w:val="000000" w:themeColor="text1"/>
          <w:sz w:val="22"/>
          <w:lang w:val="es-ES_tradnl"/>
        </w:rPr>
        <w:t>ontratación al oferente que cumpla con todas las condiciones exigidas en los documentos del proceso y que ofrezca el menor valor.</w:t>
      </w:r>
      <w:r w:rsidR="00A01E73" w:rsidRPr="00321FA3">
        <w:rPr>
          <w:rFonts w:ascii="Arial" w:hAnsi="Arial" w:cs="Arial"/>
          <w:color w:val="000000" w:themeColor="text1"/>
          <w:sz w:val="22"/>
          <w:lang w:val="es-ES_tradnl"/>
        </w:rPr>
        <w:t xml:space="preserve"> </w:t>
      </w:r>
      <w:r w:rsidR="00AD463C" w:rsidRPr="00321FA3">
        <w:rPr>
          <w:rFonts w:ascii="Arial" w:hAnsi="Arial" w:cs="Arial"/>
          <w:color w:val="000000" w:themeColor="text1"/>
          <w:sz w:val="22"/>
          <w:lang w:val="es-ES_tradnl"/>
        </w:rPr>
        <w:t xml:space="preserve">En esta medida, </w:t>
      </w:r>
      <w:r w:rsidR="00A77168" w:rsidRPr="00321FA3">
        <w:rPr>
          <w:rFonts w:ascii="Arial" w:hAnsi="Arial" w:cs="Arial"/>
          <w:color w:val="000000" w:themeColor="text1"/>
          <w:sz w:val="22"/>
          <w:lang w:val="es-ES_tradnl"/>
        </w:rPr>
        <w:t xml:space="preserve">si la Administración </w:t>
      </w:r>
      <w:r w:rsidR="00750075" w:rsidRPr="00321FA3">
        <w:rPr>
          <w:rFonts w:ascii="Arial" w:hAnsi="Arial" w:cs="Arial"/>
          <w:color w:val="000000" w:themeColor="text1"/>
          <w:sz w:val="22"/>
          <w:lang w:val="es-ES_tradnl"/>
        </w:rPr>
        <w:t>solicita las muestras</w:t>
      </w:r>
      <w:r w:rsidR="00A77168" w:rsidRPr="00321FA3">
        <w:rPr>
          <w:rFonts w:ascii="Arial" w:hAnsi="Arial" w:cs="Arial"/>
          <w:color w:val="000000" w:themeColor="text1"/>
          <w:sz w:val="22"/>
          <w:lang w:val="es-ES_tradnl"/>
        </w:rPr>
        <w:t xml:space="preserve"> y el proponente no las entrega</w:t>
      </w:r>
      <w:r w:rsidR="006C37CA" w:rsidRPr="00321FA3">
        <w:rPr>
          <w:rFonts w:ascii="Arial" w:hAnsi="Arial" w:cs="Arial"/>
          <w:color w:val="000000" w:themeColor="text1"/>
          <w:sz w:val="22"/>
          <w:lang w:val="es-ES_tradnl"/>
        </w:rPr>
        <w:t xml:space="preserve">, </w:t>
      </w:r>
      <w:r w:rsidR="00750075" w:rsidRPr="00321FA3">
        <w:rPr>
          <w:rFonts w:ascii="Arial" w:hAnsi="Arial" w:cs="Arial"/>
          <w:color w:val="000000" w:themeColor="text1"/>
          <w:sz w:val="22"/>
          <w:lang w:val="es-ES_tradnl"/>
        </w:rPr>
        <w:t>es improcedente el rechazo de plano de la oferta.</w:t>
      </w:r>
      <w:r w:rsidR="00A20997" w:rsidRPr="00321FA3">
        <w:rPr>
          <w:rFonts w:ascii="Arial" w:hAnsi="Arial" w:cs="Arial"/>
          <w:color w:val="000000" w:themeColor="text1"/>
          <w:sz w:val="22"/>
          <w:lang w:val="es-ES_tradnl"/>
        </w:rPr>
        <w:t xml:space="preserve"> </w:t>
      </w:r>
      <w:r w:rsidR="00FB630E" w:rsidRPr="00321FA3">
        <w:rPr>
          <w:rFonts w:ascii="Arial" w:hAnsi="Arial" w:cs="Arial"/>
          <w:color w:val="000000" w:themeColor="text1"/>
          <w:sz w:val="22"/>
          <w:lang w:val="es-ES_tradnl"/>
        </w:rPr>
        <w:t xml:space="preserve"> </w:t>
      </w:r>
    </w:p>
    <w:p w14:paraId="4AA6E0E3" w14:textId="77777777" w:rsidR="00A439E5" w:rsidRPr="00321FA3" w:rsidRDefault="00A439E5" w:rsidP="00A439E5">
      <w:pPr>
        <w:spacing w:line="276" w:lineRule="auto"/>
        <w:jc w:val="both"/>
        <w:rPr>
          <w:rFonts w:ascii="Arial" w:hAnsi="Arial" w:cs="Arial"/>
          <w:color w:val="000000" w:themeColor="text1"/>
          <w:sz w:val="22"/>
          <w:lang w:val="es-ES_tradnl"/>
        </w:rPr>
      </w:pPr>
    </w:p>
    <w:p w14:paraId="2EDB9625" w14:textId="448B55D7" w:rsidR="00A44F54" w:rsidRPr="00321FA3" w:rsidRDefault="00A44F54" w:rsidP="00A44F54">
      <w:pPr>
        <w:tabs>
          <w:tab w:val="left" w:pos="426"/>
        </w:tabs>
        <w:spacing w:line="276" w:lineRule="auto"/>
        <w:ind w:left="709" w:right="709"/>
        <w:jc w:val="both"/>
        <w:rPr>
          <w:rFonts w:ascii="Arial" w:eastAsia="Calibri" w:hAnsi="Arial" w:cs="Arial"/>
          <w:color w:val="000000" w:themeColor="text1"/>
          <w:sz w:val="22"/>
        </w:rPr>
      </w:pPr>
      <w:r w:rsidRPr="00321FA3">
        <w:rPr>
          <w:rFonts w:ascii="Arial" w:eastAsia="Calibri" w:hAnsi="Arial" w:cs="Arial"/>
          <w:color w:val="000000" w:themeColor="text1"/>
          <w:sz w:val="22"/>
        </w:rPr>
        <w:t xml:space="preserve">ii) </w:t>
      </w:r>
      <w:r w:rsidR="00C56CC2" w:rsidRPr="00321FA3">
        <w:rPr>
          <w:rFonts w:ascii="Arial" w:eastAsia="Calibri" w:hAnsi="Arial" w:cs="Arial"/>
          <w:color w:val="000000" w:themeColor="text1"/>
          <w:sz w:val="22"/>
        </w:rPr>
        <w:t>¿Los oferentes tienen derecho a subsanar las muestras en tal situación?</w:t>
      </w:r>
    </w:p>
    <w:p w14:paraId="391BE0CF" w14:textId="77777777" w:rsidR="00A44F54" w:rsidRPr="00321FA3" w:rsidRDefault="00A44F54" w:rsidP="00A44F54">
      <w:pPr>
        <w:tabs>
          <w:tab w:val="left" w:pos="426"/>
        </w:tabs>
        <w:spacing w:line="276" w:lineRule="auto"/>
        <w:ind w:left="709" w:right="709"/>
        <w:jc w:val="both"/>
        <w:rPr>
          <w:rFonts w:ascii="Arial" w:eastAsia="Calibri" w:hAnsi="Arial" w:cs="Arial"/>
          <w:color w:val="000000" w:themeColor="text1"/>
          <w:sz w:val="22"/>
        </w:rPr>
      </w:pPr>
    </w:p>
    <w:p w14:paraId="75545DE0" w14:textId="1A3820A0" w:rsidR="00D22DC8" w:rsidRPr="00321FA3" w:rsidRDefault="00D22DC8" w:rsidP="002C704D">
      <w:pPr>
        <w:spacing w:after="120" w:line="276" w:lineRule="auto"/>
        <w:jc w:val="both"/>
        <w:rPr>
          <w:rFonts w:ascii="Arial" w:hAnsi="Arial" w:cs="Arial"/>
          <w:color w:val="000000" w:themeColor="text1"/>
          <w:sz w:val="22"/>
          <w:lang w:val="es-ES_tradnl"/>
        </w:rPr>
      </w:pPr>
      <w:r w:rsidRPr="00321FA3">
        <w:rPr>
          <w:rFonts w:ascii="Arial" w:hAnsi="Arial" w:cs="Arial"/>
          <w:color w:val="000000" w:themeColor="text1"/>
          <w:sz w:val="22"/>
          <w:lang w:val="es-ES_tradnl"/>
        </w:rPr>
        <w:t xml:space="preserve">Dado que en la mínima cuantía </w:t>
      </w:r>
      <w:r w:rsidR="00EF6784" w:rsidRPr="00321FA3">
        <w:rPr>
          <w:rFonts w:ascii="Arial" w:hAnsi="Arial" w:cs="Arial"/>
          <w:color w:val="000000" w:themeColor="text1"/>
          <w:sz w:val="22"/>
          <w:lang w:val="es-ES_tradnl"/>
        </w:rPr>
        <w:t>la entrega de muestras no puede exigirse como criterio de evaluación</w:t>
      </w:r>
      <w:r w:rsidR="00CA5BD4" w:rsidRPr="00321FA3">
        <w:rPr>
          <w:rFonts w:ascii="Arial" w:hAnsi="Arial" w:cs="Arial"/>
          <w:color w:val="000000" w:themeColor="text1"/>
          <w:sz w:val="22"/>
          <w:lang w:val="es-ES_tradnl"/>
        </w:rPr>
        <w:t>, sino como requisito habilitante</w:t>
      </w:r>
      <w:r w:rsidRPr="00321FA3">
        <w:rPr>
          <w:rFonts w:ascii="Arial" w:hAnsi="Arial" w:cs="Arial"/>
          <w:color w:val="000000" w:themeColor="text1"/>
          <w:sz w:val="22"/>
          <w:lang w:val="es-ES_tradnl"/>
        </w:rPr>
        <w:t>, los proponentes pueden subsanar</w:t>
      </w:r>
      <w:r w:rsidR="00BD52FE" w:rsidRPr="00321FA3">
        <w:rPr>
          <w:rFonts w:ascii="Arial" w:hAnsi="Arial" w:cs="Arial"/>
          <w:color w:val="000000" w:themeColor="text1"/>
          <w:sz w:val="22"/>
          <w:lang w:val="es-ES_tradnl"/>
        </w:rPr>
        <w:t>las</w:t>
      </w:r>
      <w:r w:rsidRPr="00321FA3">
        <w:rPr>
          <w:rFonts w:ascii="Arial" w:hAnsi="Arial" w:cs="Arial"/>
          <w:color w:val="000000" w:themeColor="text1"/>
          <w:sz w:val="22"/>
          <w:lang w:val="es-ES_tradnl"/>
        </w:rPr>
        <w:t>. En efecto, el parágrafo 1 del artículo 5 de la Ley 1150 de 2007 solo permite la subsana</w:t>
      </w:r>
      <w:r w:rsidR="00BD52FE" w:rsidRPr="00321FA3">
        <w:rPr>
          <w:rFonts w:ascii="Arial" w:hAnsi="Arial" w:cs="Arial"/>
          <w:color w:val="000000" w:themeColor="text1"/>
          <w:sz w:val="22"/>
          <w:lang w:val="es-ES_tradnl"/>
        </w:rPr>
        <w:t>bilidad de los</w:t>
      </w:r>
      <w:r w:rsidRPr="00321FA3">
        <w:rPr>
          <w:rFonts w:ascii="Arial" w:hAnsi="Arial" w:cs="Arial"/>
          <w:color w:val="000000" w:themeColor="text1"/>
          <w:sz w:val="22"/>
          <w:lang w:val="es-ES_tradnl"/>
        </w:rPr>
        <w:t xml:space="preserve"> requisito</w:t>
      </w:r>
      <w:r w:rsidR="00BD52FE" w:rsidRPr="00321FA3">
        <w:rPr>
          <w:rFonts w:ascii="Arial" w:hAnsi="Arial" w:cs="Arial"/>
          <w:color w:val="000000" w:themeColor="text1"/>
          <w:sz w:val="22"/>
          <w:lang w:val="es-ES_tradnl"/>
        </w:rPr>
        <w:t>s</w:t>
      </w:r>
      <w:r w:rsidRPr="00321FA3">
        <w:rPr>
          <w:rFonts w:ascii="Arial" w:hAnsi="Arial" w:cs="Arial"/>
          <w:color w:val="000000" w:themeColor="text1"/>
          <w:sz w:val="22"/>
          <w:lang w:val="es-ES_tradnl"/>
        </w:rPr>
        <w:t xml:space="preserve"> habilitante</w:t>
      </w:r>
      <w:r w:rsidR="00BD52FE" w:rsidRPr="00321FA3">
        <w:rPr>
          <w:rFonts w:ascii="Arial" w:hAnsi="Arial" w:cs="Arial"/>
          <w:color w:val="000000" w:themeColor="text1"/>
          <w:sz w:val="22"/>
          <w:lang w:val="es-ES_tradnl"/>
        </w:rPr>
        <w:t>s</w:t>
      </w:r>
      <w:r w:rsidRPr="00321FA3">
        <w:rPr>
          <w:rFonts w:ascii="Arial" w:hAnsi="Arial" w:cs="Arial"/>
          <w:color w:val="000000" w:themeColor="text1"/>
          <w:sz w:val="22"/>
          <w:lang w:val="es-ES_tradnl"/>
        </w:rPr>
        <w:t xml:space="preserve">. </w:t>
      </w:r>
      <w:r w:rsidR="00BD52FE" w:rsidRPr="00321FA3">
        <w:rPr>
          <w:rFonts w:ascii="Arial" w:hAnsi="Arial" w:cs="Arial"/>
          <w:color w:val="000000" w:themeColor="text1"/>
          <w:sz w:val="22"/>
          <w:lang w:val="es-ES_tradnl"/>
        </w:rPr>
        <w:t>En consecuencia</w:t>
      </w:r>
      <w:r w:rsidRPr="00321FA3">
        <w:rPr>
          <w:rFonts w:ascii="Arial" w:hAnsi="Arial" w:cs="Arial"/>
          <w:color w:val="000000" w:themeColor="text1"/>
          <w:sz w:val="22"/>
          <w:lang w:val="es-ES_tradnl"/>
        </w:rPr>
        <w:t>, la entidad debe establecer en la invitación un plazo para recibir</w:t>
      </w:r>
      <w:r w:rsidR="00BD52FE" w:rsidRPr="00321FA3">
        <w:rPr>
          <w:rFonts w:ascii="Arial" w:hAnsi="Arial" w:cs="Arial"/>
          <w:color w:val="000000" w:themeColor="text1"/>
          <w:sz w:val="22"/>
          <w:lang w:val="es-ES_tradnl"/>
        </w:rPr>
        <w:t>las</w:t>
      </w:r>
      <w:r w:rsidRPr="00321FA3">
        <w:rPr>
          <w:rFonts w:ascii="Arial" w:hAnsi="Arial" w:cs="Arial"/>
          <w:color w:val="000000" w:themeColor="text1"/>
          <w:sz w:val="22"/>
          <w:lang w:val="es-ES_tradnl"/>
        </w:rPr>
        <w:t xml:space="preserve">. Si no lo hizo, los proponentes podrán </w:t>
      </w:r>
      <w:r w:rsidR="00BD52FE" w:rsidRPr="00321FA3">
        <w:rPr>
          <w:rFonts w:ascii="Arial" w:hAnsi="Arial" w:cs="Arial"/>
          <w:color w:val="000000" w:themeColor="text1"/>
          <w:sz w:val="22"/>
          <w:lang w:val="es-ES_tradnl"/>
        </w:rPr>
        <w:t>entregarlas</w:t>
      </w:r>
      <w:r w:rsidRPr="00321FA3">
        <w:rPr>
          <w:rFonts w:ascii="Arial" w:hAnsi="Arial" w:cs="Arial"/>
          <w:color w:val="000000" w:themeColor="text1"/>
          <w:sz w:val="22"/>
          <w:lang w:val="es-ES_tradnl"/>
        </w:rPr>
        <w:t xml:space="preserve"> hasta antes de la aceptación de la oferta. </w:t>
      </w:r>
    </w:p>
    <w:p w14:paraId="2EA2D8C6" w14:textId="77777777" w:rsidR="001C3E30" w:rsidRPr="00321FA3" w:rsidRDefault="001C3E30" w:rsidP="001C3E30">
      <w:pPr>
        <w:spacing w:line="276" w:lineRule="auto"/>
        <w:jc w:val="both"/>
        <w:rPr>
          <w:rFonts w:ascii="Arial" w:hAnsi="Arial" w:cs="Arial"/>
          <w:color w:val="000000" w:themeColor="text1"/>
          <w:sz w:val="22"/>
          <w:lang w:val="es-ES_tradnl"/>
        </w:rPr>
      </w:pPr>
      <w:bookmarkStart w:id="26" w:name="_Hlk36054726"/>
    </w:p>
    <w:p w14:paraId="3862E98A" w14:textId="01FFDD19" w:rsidR="001C3E30" w:rsidRPr="00321FA3" w:rsidRDefault="001C3E30" w:rsidP="001C3E30">
      <w:pPr>
        <w:tabs>
          <w:tab w:val="left" w:pos="426"/>
        </w:tabs>
        <w:spacing w:line="276" w:lineRule="auto"/>
        <w:ind w:left="709" w:right="709"/>
        <w:jc w:val="both"/>
        <w:rPr>
          <w:rFonts w:ascii="Arial" w:eastAsia="Calibri" w:hAnsi="Arial" w:cs="Arial"/>
          <w:color w:val="000000" w:themeColor="text1"/>
          <w:sz w:val="22"/>
        </w:rPr>
      </w:pPr>
      <w:r w:rsidRPr="00321FA3">
        <w:rPr>
          <w:rFonts w:ascii="Arial" w:eastAsia="Calibri" w:hAnsi="Arial" w:cs="Arial"/>
          <w:color w:val="000000" w:themeColor="text1"/>
          <w:sz w:val="22"/>
        </w:rPr>
        <w:t xml:space="preserve">iii) </w:t>
      </w:r>
      <w:r w:rsidR="00C56CC2" w:rsidRPr="00321FA3">
        <w:rPr>
          <w:rFonts w:ascii="Arial" w:eastAsia="Calibri" w:hAnsi="Arial" w:cs="Arial"/>
          <w:color w:val="000000" w:themeColor="text1"/>
          <w:sz w:val="22"/>
        </w:rPr>
        <w:t>¿Colombia Compra Eficiente tiene alguna guía o manual donde se ilustre el manejo de las muestras en los procesos de selección?</w:t>
      </w:r>
      <w:r w:rsidRPr="00321FA3">
        <w:rPr>
          <w:rFonts w:ascii="Arial" w:eastAsia="Calibri" w:hAnsi="Arial" w:cs="Arial"/>
          <w:color w:val="000000" w:themeColor="text1"/>
          <w:sz w:val="22"/>
        </w:rPr>
        <w:t xml:space="preserve">   </w:t>
      </w:r>
    </w:p>
    <w:p w14:paraId="45A62328" w14:textId="77777777" w:rsidR="001C3E30" w:rsidRPr="00321FA3" w:rsidRDefault="001C3E30" w:rsidP="001C3E30">
      <w:pPr>
        <w:tabs>
          <w:tab w:val="left" w:pos="426"/>
        </w:tabs>
        <w:spacing w:line="276" w:lineRule="auto"/>
        <w:ind w:left="709" w:right="709"/>
        <w:jc w:val="both"/>
        <w:rPr>
          <w:rFonts w:ascii="Arial" w:eastAsia="Calibri" w:hAnsi="Arial" w:cs="Arial"/>
          <w:color w:val="000000" w:themeColor="text1"/>
          <w:sz w:val="22"/>
        </w:rPr>
      </w:pPr>
    </w:p>
    <w:bookmarkEnd w:id="26"/>
    <w:p w14:paraId="5C3AABDD" w14:textId="486D3E5F" w:rsidR="00C56CC2" w:rsidRPr="00321FA3" w:rsidRDefault="00C56CC2" w:rsidP="00C56CC2">
      <w:pPr>
        <w:spacing w:after="120" w:line="276" w:lineRule="auto"/>
        <w:jc w:val="both"/>
        <w:rPr>
          <w:rFonts w:ascii="Arial" w:hAnsi="Arial" w:cs="Arial"/>
          <w:color w:val="000000" w:themeColor="text1"/>
          <w:sz w:val="22"/>
          <w:lang w:val="es-ES_tradnl"/>
        </w:rPr>
      </w:pPr>
      <w:r w:rsidRPr="00321FA3">
        <w:rPr>
          <w:rFonts w:ascii="Arial" w:hAnsi="Arial" w:cs="Arial"/>
          <w:color w:val="000000" w:themeColor="text1"/>
          <w:sz w:val="22"/>
          <w:lang w:val="es-ES_tradnl"/>
        </w:rPr>
        <w:t xml:space="preserve">Actualmente, la Entidad no cuenta una guía o manual </w:t>
      </w:r>
      <w:r w:rsidR="004E0742" w:rsidRPr="00321FA3">
        <w:rPr>
          <w:rFonts w:ascii="Arial" w:hAnsi="Arial" w:cs="Arial"/>
          <w:color w:val="000000" w:themeColor="text1"/>
          <w:sz w:val="22"/>
          <w:lang w:val="es-ES_tradnl"/>
        </w:rPr>
        <w:t>al respecto, pues el tema no fue expresamente regulado por el Estatuto General de Contratación de la Administración Pública</w:t>
      </w:r>
      <w:r w:rsidRPr="00321FA3">
        <w:rPr>
          <w:rFonts w:ascii="Arial" w:hAnsi="Arial" w:cs="Arial"/>
          <w:color w:val="000000" w:themeColor="text1"/>
          <w:sz w:val="22"/>
          <w:lang w:val="es-ES_tradnl"/>
        </w:rPr>
        <w:t xml:space="preserve">. No obstante, en la medida que la exigencia sea adecuada y proporcional, las entidades pueden solicitar muestras de los bienes requeridos en los diferentes procesos de </w:t>
      </w:r>
      <w:r w:rsidRPr="00321FA3">
        <w:rPr>
          <w:rFonts w:ascii="Arial" w:hAnsi="Arial" w:cs="Arial"/>
          <w:color w:val="000000" w:themeColor="text1"/>
          <w:sz w:val="22"/>
          <w:lang w:val="es-ES_tradnl"/>
        </w:rPr>
        <w:lastRenderedPageBreak/>
        <w:t>selección, siempre que la necesidad se justifique satisfactoriamente en los estudios previos. Cuando se consagre como un factor habilitante, la entrega tiene como objetivo verificar que cumpla con las condiciones técnicas mínimas del pliego o la invitación, caso en el cual –antes del perfeccionamiento– se anticipa la tarea a realizar por parte del interventor o supervisor del contrato.</w:t>
      </w:r>
    </w:p>
    <w:p w14:paraId="5C63C359" w14:textId="4EBD280C" w:rsidR="0014502F" w:rsidRPr="00321FA3" w:rsidRDefault="00C56CC2" w:rsidP="00C56CC2">
      <w:pPr>
        <w:spacing w:before="120" w:after="120" w:line="276" w:lineRule="auto"/>
        <w:jc w:val="both"/>
        <w:rPr>
          <w:rFonts w:ascii="Arial" w:hAnsi="Arial" w:cs="Arial"/>
          <w:color w:val="000000" w:themeColor="text1"/>
          <w:sz w:val="22"/>
          <w:lang w:val="es-ES_tradnl"/>
        </w:rPr>
      </w:pPr>
      <w:r w:rsidRPr="00321FA3">
        <w:rPr>
          <w:rFonts w:ascii="Arial" w:hAnsi="Arial" w:cs="Arial"/>
          <w:color w:val="000000" w:themeColor="text1"/>
          <w:sz w:val="22"/>
          <w:lang w:val="es-ES_tradnl"/>
        </w:rPr>
        <w:tab/>
        <w:t xml:space="preserve">Con excepción de procesos como la selección abreviada por subasta inversa y los de mínima cuantía, las muestras pueden ser un factor de evaluación, siempre que se respete el principio de selección objetiva y que los criterios de calidad estén plenamente previstos en el pliego de condiciones. Esto implica que la entidad debe justificar que –pese a las especificaciones adicionales– es posible la pluralidad de oferentes y que los factores de ponderación permiten calificar la propuesta de manera imparcial.    </w:t>
      </w:r>
    </w:p>
    <w:p w14:paraId="49B633BE" w14:textId="77777777" w:rsidR="00C56CC2" w:rsidRPr="00321FA3" w:rsidRDefault="00C56CC2" w:rsidP="00C56CC2">
      <w:pPr>
        <w:spacing w:line="276" w:lineRule="auto"/>
        <w:jc w:val="both"/>
        <w:rPr>
          <w:rFonts w:ascii="Arial" w:hAnsi="Arial" w:cs="Arial"/>
          <w:color w:val="000000" w:themeColor="text1"/>
          <w:sz w:val="22"/>
          <w:lang w:val="es-ES_tradnl"/>
        </w:rPr>
      </w:pPr>
    </w:p>
    <w:p w14:paraId="7CC88A7D" w14:textId="77777777" w:rsidR="00F1108B" w:rsidRPr="00321FA3" w:rsidRDefault="00F1108B" w:rsidP="00EB5779">
      <w:pPr>
        <w:spacing w:before="120" w:line="276" w:lineRule="auto"/>
        <w:jc w:val="both"/>
        <w:rPr>
          <w:rFonts w:ascii="Arial" w:eastAsia="Calibri" w:hAnsi="Arial" w:cs="Arial"/>
          <w:color w:val="000000" w:themeColor="text1"/>
          <w:sz w:val="22"/>
        </w:rPr>
      </w:pPr>
      <w:r w:rsidRPr="00321FA3">
        <w:rPr>
          <w:rFonts w:ascii="Arial" w:eastAsia="Calibri" w:hAnsi="Arial" w:cs="Arial"/>
          <w:color w:val="000000" w:themeColor="text1"/>
          <w:sz w:val="22"/>
        </w:rPr>
        <w:t>Este concepto tiene el alcance previsto en el artículo 28 del Código de Procedimiento Administrativo y de lo Contencioso Administrativo.</w:t>
      </w:r>
    </w:p>
    <w:p w14:paraId="43D2F84E" w14:textId="77777777" w:rsidR="00A37FB6" w:rsidRPr="00321FA3" w:rsidRDefault="00A37FB6" w:rsidP="00D01760">
      <w:pPr>
        <w:spacing w:line="276" w:lineRule="auto"/>
        <w:jc w:val="both"/>
        <w:rPr>
          <w:rFonts w:ascii="Arial" w:eastAsia="Calibri" w:hAnsi="Arial" w:cs="Arial"/>
          <w:color w:val="000000" w:themeColor="text1"/>
          <w:sz w:val="22"/>
        </w:rPr>
      </w:pPr>
    </w:p>
    <w:p w14:paraId="0F8C901F" w14:textId="77777777" w:rsidR="00A37FB6" w:rsidRPr="00321FA3" w:rsidRDefault="00A37FB6" w:rsidP="00D01760">
      <w:pPr>
        <w:jc w:val="both"/>
        <w:rPr>
          <w:rFonts w:ascii="Arial" w:eastAsia="Calibri" w:hAnsi="Arial" w:cs="Arial"/>
          <w:color w:val="000000" w:themeColor="text1"/>
          <w:sz w:val="22"/>
        </w:rPr>
      </w:pPr>
      <w:r w:rsidRPr="00321FA3">
        <w:rPr>
          <w:noProof/>
          <w:color w:val="000000" w:themeColor="text1"/>
          <w:lang w:val="en-US"/>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mo="http://schemas.microsoft.com/office/mac/office/2008/main" xmlns:mv="urn:schemas-microsoft-com:mac:vml"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309E753">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69FD85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">
                <w10:wrap anchorx="page"/>
              </v:line>
            </w:pict>
          </mc:Fallback>
        </mc:AlternateContent>
      </w:r>
    </w:p>
    <w:p w14:paraId="1E81A930" w14:textId="77777777" w:rsidR="00A37FB6" w:rsidRPr="00321FA3" w:rsidRDefault="00A37FB6" w:rsidP="00D01760">
      <w:pPr>
        <w:rPr>
          <w:rFonts w:ascii="Arial" w:eastAsia="Times New Roman" w:hAnsi="Arial" w:cs="Arial"/>
          <w:color w:val="000000" w:themeColor="text1"/>
          <w:sz w:val="22"/>
          <w:lang w:eastAsia="es-CO"/>
        </w:rPr>
      </w:pPr>
      <w:r w:rsidRPr="5129E812">
        <w:rPr>
          <w:rFonts w:ascii="Arial" w:eastAsia="Times New Roman" w:hAnsi="Arial" w:cs="Arial"/>
          <w:color w:val="000000" w:themeColor="text1"/>
          <w:sz w:val="22"/>
          <w:lang w:eastAsia="es-CO"/>
        </w:rPr>
        <w:t>Atentamente,</w:t>
      </w:r>
    </w:p>
    <w:p w14:paraId="57DD1EBD" w14:textId="694A0F55" w:rsidR="00746E08" w:rsidRPr="00321FA3" w:rsidRDefault="6865C1BB" w:rsidP="5129E812">
      <w:pPr>
        <w:jc w:val="center"/>
      </w:pPr>
      <w:r>
        <w:rPr>
          <w:noProof/>
          <w:lang w:val="en-US"/>
        </w:rPr>
        <w:drawing>
          <wp:inline distT="0" distB="0" distL="0" distR="0" wp14:anchorId="5A425072" wp14:editId="6865C1BB">
            <wp:extent cx="2771775" cy="990600"/>
            <wp:effectExtent l="0" t="0" r="0" b="0"/>
            <wp:docPr id="1361700882" name="Imagen 1361700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771775" cy="990600"/>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21FA3" w:rsidRPr="00321FA3" w14:paraId="469202AF" w14:textId="77777777" w:rsidTr="003432C8">
        <w:trPr>
          <w:trHeight w:val="315"/>
        </w:trPr>
        <w:tc>
          <w:tcPr>
            <w:tcW w:w="812" w:type="dxa"/>
            <w:vAlign w:val="center"/>
            <w:hideMark/>
          </w:tcPr>
          <w:p w14:paraId="3F62A0B3" w14:textId="77777777" w:rsidR="00746E08" w:rsidRPr="00321FA3" w:rsidRDefault="00746E08">
            <w:pPr>
              <w:rPr>
                <w:rFonts w:ascii="Arial" w:eastAsia="Times New Roman" w:hAnsi="Arial" w:cs="Arial"/>
                <w:color w:val="000000" w:themeColor="text1"/>
                <w:sz w:val="16"/>
                <w:szCs w:val="16"/>
                <w:lang w:eastAsia="es-ES"/>
              </w:rPr>
            </w:pPr>
            <w:r w:rsidRPr="00321FA3">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0A68E4BD" w14:textId="77777777" w:rsidR="00746E08" w:rsidRPr="00321FA3" w:rsidRDefault="00A668BA">
            <w:pPr>
              <w:rPr>
                <w:rFonts w:ascii="Arial" w:eastAsia="Times New Roman" w:hAnsi="Arial" w:cs="Arial"/>
                <w:color w:val="000000" w:themeColor="text1"/>
                <w:sz w:val="16"/>
                <w:szCs w:val="16"/>
                <w:lang w:eastAsia="es-ES"/>
              </w:rPr>
            </w:pPr>
            <w:r w:rsidRPr="00321FA3">
              <w:rPr>
                <w:rFonts w:ascii="Arial" w:eastAsia="Times New Roman" w:hAnsi="Arial" w:cs="Arial"/>
                <w:color w:val="000000" w:themeColor="text1"/>
                <w:sz w:val="16"/>
                <w:szCs w:val="16"/>
                <w:lang w:eastAsia="es-ES"/>
              </w:rPr>
              <w:t xml:space="preserve">Juan David Montoya Penagos </w:t>
            </w:r>
          </w:p>
          <w:p w14:paraId="51C325E7" w14:textId="751BCAC6" w:rsidR="002C704D" w:rsidRPr="00321FA3" w:rsidRDefault="002C704D">
            <w:pPr>
              <w:rPr>
                <w:rFonts w:ascii="Arial" w:eastAsia="Times New Roman" w:hAnsi="Arial" w:cs="Arial"/>
                <w:color w:val="000000" w:themeColor="text1"/>
                <w:sz w:val="16"/>
                <w:szCs w:val="16"/>
                <w:lang w:eastAsia="es-ES"/>
              </w:rPr>
            </w:pPr>
            <w:r w:rsidRPr="00321FA3">
              <w:rPr>
                <w:rFonts w:ascii="Arial" w:eastAsia="Times New Roman" w:hAnsi="Arial" w:cs="Arial"/>
                <w:color w:val="000000" w:themeColor="text1"/>
                <w:sz w:val="16"/>
                <w:szCs w:val="16"/>
                <w:lang w:eastAsia="es-ES"/>
              </w:rPr>
              <w:t>Contratista, Subdirección de Gestión Contractual</w:t>
            </w:r>
          </w:p>
        </w:tc>
      </w:tr>
      <w:tr w:rsidR="00321FA3" w:rsidRPr="00321FA3" w14:paraId="10BC78E8" w14:textId="77777777" w:rsidTr="003432C8">
        <w:trPr>
          <w:trHeight w:val="330"/>
        </w:trPr>
        <w:tc>
          <w:tcPr>
            <w:tcW w:w="812" w:type="dxa"/>
            <w:vAlign w:val="center"/>
            <w:hideMark/>
          </w:tcPr>
          <w:p w14:paraId="6A7DBF66" w14:textId="77777777" w:rsidR="00746E08" w:rsidRPr="00321FA3" w:rsidRDefault="00746E08">
            <w:pPr>
              <w:rPr>
                <w:rFonts w:ascii="Arial" w:eastAsia="Times New Roman" w:hAnsi="Arial" w:cs="Arial"/>
                <w:color w:val="000000" w:themeColor="text1"/>
                <w:sz w:val="16"/>
                <w:szCs w:val="16"/>
                <w:lang w:eastAsia="es-ES"/>
              </w:rPr>
            </w:pPr>
            <w:r w:rsidRPr="00321FA3">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44949D7" w14:textId="5DEE3623" w:rsidR="00746E08" w:rsidRPr="00321FA3" w:rsidRDefault="0066272D" w:rsidP="00746E08">
            <w:pPr>
              <w:rPr>
                <w:rFonts w:ascii="Arial" w:eastAsia="Times New Roman" w:hAnsi="Arial" w:cs="Arial"/>
                <w:color w:val="000000" w:themeColor="text1"/>
                <w:sz w:val="16"/>
                <w:szCs w:val="16"/>
                <w:lang w:eastAsia="es-ES"/>
              </w:rPr>
            </w:pPr>
            <w:r w:rsidRPr="00321FA3">
              <w:rPr>
                <w:rFonts w:ascii="Arial" w:eastAsia="Times New Roman" w:hAnsi="Arial" w:cs="Arial"/>
                <w:color w:val="000000" w:themeColor="text1"/>
                <w:sz w:val="16"/>
                <w:szCs w:val="16"/>
                <w:lang w:eastAsia="es-ES"/>
              </w:rPr>
              <w:t>Cristian Andrés Díaz Díez</w:t>
            </w:r>
          </w:p>
          <w:p w14:paraId="19E8BD8D" w14:textId="0AEE5772" w:rsidR="00746E08" w:rsidRPr="00321FA3" w:rsidRDefault="0066272D">
            <w:pPr>
              <w:rPr>
                <w:rFonts w:ascii="Arial" w:eastAsia="Times New Roman" w:hAnsi="Arial" w:cs="Arial"/>
                <w:color w:val="000000" w:themeColor="text1"/>
                <w:sz w:val="16"/>
                <w:szCs w:val="16"/>
                <w:lang w:eastAsia="es-ES"/>
              </w:rPr>
            </w:pPr>
            <w:r w:rsidRPr="00321FA3">
              <w:rPr>
                <w:rFonts w:ascii="Arial" w:eastAsia="Times New Roman" w:hAnsi="Arial" w:cs="Arial"/>
                <w:color w:val="000000" w:themeColor="text1"/>
                <w:sz w:val="16"/>
                <w:szCs w:val="16"/>
                <w:lang w:eastAsia="es-ES"/>
              </w:rPr>
              <w:t>Contratista, Subdirección</w:t>
            </w:r>
            <w:r w:rsidR="00746E08" w:rsidRPr="00321FA3">
              <w:rPr>
                <w:rFonts w:ascii="Arial" w:eastAsia="Times New Roman" w:hAnsi="Arial" w:cs="Arial"/>
                <w:color w:val="000000" w:themeColor="text1"/>
                <w:sz w:val="16"/>
                <w:szCs w:val="16"/>
                <w:lang w:eastAsia="es-ES"/>
              </w:rPr>
              <w:t xml:space="preserve"> de Gestión Contractual</w:t>
            </w:r>
          </w:p>
        </w:tc>
      </w:tr>
      <w:tr w:rsidR="00746E08" w:rsidRPr="00321FA3" w14:paraId="50741B38" w14:textId="77777777" w:rsidTr="003432C8">
        <w:trPr>
          <w:trHeight w:val="300"/>
        </w:trPr>
        <w:tc>
          <w:tcPr>
            <w:tcW w:w="812" w:type="dxa"/>
            <w:vAlign w:val="center"/>
            <w:hideMark/>
          </w:tcPr>
          <w:p w14:paraId="297715FA" w14:textId="77777777" w:rsidR="00746E08" w:rsidRPr="00321FA3" w:rsidRDefault="00746E08">
            <w:pPr>
              <w:rPr>
                <w:rFonts w:ascii="Arial" w:eastAsia="Times New Roman" w:hAnsi="Arial" w:cs="Arial"/>
                <w:color w:val="000000" w:themeColor="text1"/>
                <w:sz w:val="16"/>
                <w:szCs w:val="16"/>
                <w:lang w:eastAsia="es-ES"/>
              </w:rPr>
            </w:pPr>
            <w:r w:rsidRPr="00321FA3">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6F6A2F" w14:textId="77777777" w:rsidR="00746E08" w:rsidRPr="00321FA3" w:rsidRDefault="00746E08" w:rsidP="00746E08">
            <w:pPr>
              <w:rPr>
                <w:rFonts w:ascii="Arial" w:eastAsia="Times New Roman" w:hAnsi="Arial" w:cs="Arial"/>
                <w:color w:val="000000" w:themeColor="text1"/>
                <w:sz w:val="16"/>
                <w:szCs w:val="16"/>
                <w:lang w:eastAsia="es-ES"/>
              </w:rPr>
            </w:pPr>
            <w:r w:rsidRPr="00321FA3">
              <w:rPr>
                <w:rFonts w:ascii="Arial" w:eastAsia="Times New Roman" w:hAnsi="Arial" w:cs="Arial"/>
                <w:color w:val="000000" w:themeColor="text1"/>
                <w:sz w:val="16"/>
                <w:szCs w:val="16"/>
                <w:lang w:eastAsia="es-ES"/>
              </w:rPr>
              <w:t>Fabián Gonzalo Marín Cortés</w:t>
            </w:r>
          </w:p>
          <w:p w14:paraId="17847B1F" w14:textId="71EB0D70" w:rsidR="00746E08" w:rsidRPr="00321FA3" w:rsidRDefault="00746E08">
            <w:pPr>
              <w:rPr>
                <w:rFonts w:ascii="Arial" w:eastAsia="Times New Roman" w:hAnsi="Arial" w:cs="Arial"/>
                <w:color w:val="000000" w:themeColor="text1"/>
                <w:sz w:val="16"/>
                <w:szCs w:val="16"/>
                <w:lang w:eastAsia="es-ES"/>
              </w:rPr>
            </w:pPr>
            <w:r w:rsidRPr="00321FA3">
              <w:rPr>
                <w:rFonts w:ascii="Arial" w:eastAsia="Times New Roman" w:hAnsi="Arial" w:cs="Arial"/>
                <w:color w:val="000000" w:themeColor="text1"/>
                <w:sz w:val="16"/>
                <w:szCs w:val="16"/>
                <w:lang w:eastAsia="es-ES"/>
              </w:rPr>
              <w:t>Subdirector de Gestión Contractual</w:t>
            </w:r>
          </w:p>
        </w:tc>
      </w:tr>
    </w:tbl>
    <w:p w14:paraId="35B56F46" w14:textId="77777777" w:rsidR="00746E08" w:rsidRPr="00321FA3" w:rsidRDefault="00746E08" w:rsidP="00095B70">
      <w:pPr>
        <w:rPr>
          <w:rFonts w:ascii="Arial" w:eastAsia="Times New Roman" w:hAnsi="Arial" w:cs="Arial"/>
          <w:color w:val="000000" w:themeColor="text1"/>
          <w:sz w:val="16"/>
          <w:szCs w:val="16"/>
          <w:lang w:eastAsia="es-ES"/>
        </w:rPr>
      </w:pPr>
    </w:p>
    <w:sectPr w:rsidR="00746E08" w:rsidRPr="00321FA3" w:rsidSect="005D791B">
      <w:headerReference w:type="even" r:id="rId12"/>
      <w:headerReference w:type="default" r:id="rId13"/>
      <w:footerReference w:type="even" r:id="rId14"/>
      <w:footerReference w:type="default" r:id="rId15"/>
      <w:headerReference w:type="first" r:id="rId16"/>
      <w:footerReference w:type="first" r:id="rId17"/>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3C8DB" w14:textId="77777777" w:rsidR="00EB7798" w:rsidRDefault="00EB7798">
      <w:r>
        <w:separator/>
      </w:r>
    </w:p>
  </w:endnote>
  <w:endnote w:type="continuationSeparator" w:id="0">
    <w:p w14:paraId="7E71A529" w14:textId="77777777" w:rsidR="00EB7798" w:rsidRDefault="00EB7798">
      <w:r>
        <w:continuationSeparator/>
      </w:r>
    </w:p>
  </w:endnote>
  <w:endnote w:type="continuationNotice" w:id="1">
    <w:p w14:paraId="0E3BB51D" w14:textId="77777777" w:rsidR="00EB7798" w:rsidRDefault="00EB77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C4ECC" w14:textId="77777777" w:rsidR="00C82298" w:rsidRDefault="00C8229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02A34" w14:textId="77777777" w:rsidR="006A59DE" w:rsidRDefault="006A59DE" w:rsidP="00322937">
    <w:pPr>
      <w:pStyle w:val="Sinespaciado"/>
      <w:jc w:val="right"/>
      <w:rPr>
        <w:rFonts w:ascii="Arial" w:hAnsi="Arial" w:cs="Arial"/>
        <w:sz w:val="18"/>
        <w:szCs w:val="18"/>
      </w:rPr>
    </w:pPr>
  </w:p>
  <w:p w14:paraId="7A3785F3" w14:textId="3B113437" w:rsidR="006A59DE" w:rsidRPr="008217B7" w:rsidRDefault="006A59D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F7B6F">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F7B6F">
      <w:rPr>
        <w:rFonts w:ascii="Arial" w:hAnsi="Arial" w:cs="Arial"/>
        <w:b/>
        <w:bCs/>
        <w:noProof/>
        <w:color w:val="7F7F7F" w:themeColor="text1" w:themeTint="80"/>
        <w:sz w:val="16"/>
        <w:szCs w:val="16"/>
      </w:rPr>
      <w:t>14</w:t>
    </w:r>
    <w:r w:rsidRPr="00084B97">
      <w:rPr>
        <w:rFonts w:ascii="Arial" w:hAnsi="Arial" w:cs="Arial"/>
        <w:b/>
        <w:bCs/>
        <w:color w:val="7F7F7F" w:themeColor="text1" w:themeTint="80"/>
        <w:sz w:val="16"/>
        <w:szCs w:val="16"/>
      </w:rPr>
      <w:fldChar w:fldCharType="end"/>
    </w:r>
  </w:p>
  <w:p w14:paraId="48FC6A04" w14:textId="5FD1A7C9" w:rsidR="006A59DE" w:rsidRDefault="5129E812" w:rsidP="00322937">
    <w:pPr>
      <w:pStyle w:val="Piedepgina"/>
      <w:jc w:val="center"/>
      <w:rPr>
        <w:lang w:val="es-ES"/>
      </w:rPr>
    </w:pPr>
    <w:r>
      <w:rPr>
        <w:noProof/>
        <w:lang w:val="en-US"/>
      </w:rPr>
      <w:drawing>
        <wp:inline distT="0" distB="0" distL="0" distR="0" wp14:anchorId="608B196D" wp14:editId="6F80B233">
          <wp:extent cx="3700130" cy="519139"/>
          <wp:effectExtent l="0" t="0" r="0" b="0"/>
          <wp:docPr id="66166210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6A59DE" w:rsidRDefault="006A59DE" w:rsidP="007B0854">
    <w:pPr>
      <w:pStyle w:val="Piedepgina"/>
      <w:jc w:val="center"/>
      <w:rPr>
        <w:lang w:val="es-ES"/>
      </w:rPr>
    </w:pPr>
  </w:p>
  <w:p w14:paraId="6C0EFC49" w14:textId="77777777" w:rsidR="006A59DE" w:rsidRPr="007B0854" w:rsidRDefault="006A59DE" w:rsidP="007B0854">
    <w:pPr>
      <w:pStyle w:val="Piedepgina"/>
      <w:jc w:val="center"/>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239A0" w14:textId="77777777" w:rsidR="00C82298" w:rsidRDefault="00C8229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1CB69" w14:textId="77777777" w:rsidR="00EB7798" w:rsidRDefault="00EB7798">
      <w:r>
        <w:separator/>
      </w:r>
    </w:p>
  </w:footnote>
  <w:footnote w:type="continuationSeparator" w:id="0">
    <w:p w14:paraId="3657F60B" w14:textId="77777777" w:rsidR="00EB7798" w:rsidRDefault="00EB7798">
      <w:r>
        <w:continuationSeparator/>
      </w:r>
    </w:p>
  </w:footnote>
  <w:footnote w:type="continuationNotice" w:id="1">
    <w:p w14:paraId="3AA5FBAD" w14:textId="77777777" w:rsidR="00EB7798" w:rsidRDefault="00EB7798"/>
  </w:footnote>
  <w:footnote w:id="2">
    <w:p w14:paraId="6C8E8321" w14:textId="16205B9D" w:rsidR="006A59DE" w:rsidRPr="00321FA3" w:rsidRDefault="006A59DE" w:rsidP="00E613AE">
      <w:pPr>
        <w:pStyle w:val="Textonotapie"/>
        <w:ind w:firstLine="708"/>
        <w:jc w:val="both"/>
        <w:rPr>
          <w:rFonts w:ascii="Arial" w:hAnsi="Arial" w:cs="Arial"/>
          <w:color w:val="000000" w:themeColor="text1"/>
          <w:sz w:val="19"/>
          <w:szCs w:val="19"/>
        </w:rPr>
      </w:pPr>
      <w:r w:rsidRPr="00321FA3">
        <w:rPr>
          <w:rStyle w:val="Refdenotaalpie"/>
          <w:color w:val="000000" w:themeColor="text1"/>
        </w:rPr>
        <w:footnoteRef/>
      </w:r>
      <w:r w:rsidRPr="00321FA3">
        <w:rPr>
          <w:color w:val="000000" w:themeColor="text1"/>
        </w:rPr>
        <w:t xml:space="preserve"> </w:t>
      </w:r>
      <w:r w:rsidRPr="00321FA3">
        <w:rPr>
          <w:rFonts w:ascii="Arial" w:hAnsi="Arial" w:cs="Arial"/>
          <w:color w:val="000000" w:themeColor="text1"/>
          <w:sz w:val="19"/>
          <w:szCs w:val="19"/>
        </w:rPr>
        <w:t>ESCOLA, Héctor Jorge. Tratado integral de los contratos administrativos. Volumen II. Buenos Aires: Depalma, 2012. p. 529.</w:t>
      </w:r>
    </w:p>
  </w:footnote>
  <w:footnote w:id="3">
    <w:p w14:paraId="36D0EC5C" w14:textId="3532B5C3" w:rsidR="006A59DE" w:rsidRPr="00321FA3" w:rsidRDefault="006A59DE" w:rsidP="006A59DE">
      <w:pPr>
        <w:pStyle w:val="Textonotapie"/>
        <w:ind w:firstLine="708"/>
        <w:jc w:val="both"/>
        <w:rPr>
          <w:rFonts w:ascii="Arial" w:hAnsi="Arial" w:cs="Arial"/>
          <w:color w:val="000000" w:themeColor="text1"/>
          <w:sz w:val="19"/>
          <w:szCs w:val="19"/>
        </w:rPr>
      </w:pPr>
      <w:r w:rsidRPr="00321FA3">
        <w:rPr>
          <w:rStyle w:val="Refdenotaalpie"/>
          <w:color w:val="000000" w:themeColor="text1"/>
        </w:rPr>
        <w:footnoteRef/>
      </w:r>
      <w:r w:rsidRPr="00321FA3">
        <w:rPr>
          <w:color w:val="000000" w:themeColor="text1"/>
        </w:rPr>
        <w:t xml:space="preserve"> </w:t>
      </w:r>
      <w:r w:rsidRPr="00321FA3">
        <w:rPr>
          <w:rFonts w:ascii="Arial" w:hAnsi="Arial" w:cs="Arial"/>
          <w:color w:val="000000" w:themeColor="text1"/>
          <w:sz w:val="19"/>
          <w:szCs w:val="19"/>
        </w:rPr>
        <w:t>Al respecto, el literal a) del numeral 2 del artículo 2 de la Ley 1150 de 2007</w:t>
      </w:r>
      <w:r w:rsidR="00311B47" w:rsidRPr="00321FA3">
        <w:rPr>
          <w:rFonts w:ascii="Arial" w:hAnsi="Arial" w:cs="Arial"/>
          <w:color w:val="000000" w:themeColor="text1"/>
          <w:sz w:val="19"/>
          <w:szCs w:val="19"/>
        </w:rPr>
        <w:t>,</w:t>
      </w:r>
      <w:r w:rsidRPr="00321FA3">
        <w:rPr>
          <w:rFonts w:ascii="Arial" w:hAnsi="Arial" w:cs="Arial"/>
          <w:color w:val="000000" w:themeColor="text1"/>
          <w:sz w:val="19"/>
          <w:szCs w:val="19"/>
        </w:rPr>
        <w:t xml:space="preserve"> dispone que serán causales de selección abreviada, entre otras,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 </w:t>
      </w:r>
    </w:p>
    <w:p w14:paraId="77294E2C" w14:textId="77777777" w:rsidR="006A59DE" w:rsidRPr="00321FA3" w:rsidRDefault="006A59DE" w:rsidP="006A59DE">
      <w:pPr>
        <w:pStyle w:val="Textonotapie"/>
        <w:ind w:firstLine="708"/>
        <w:jc w:val="both"/>
        <w:rPr>
          <w:rFonts w:ascii="Arial" w:hAnsi="Arial" w:cs="Arial"/>
          <w:color w:val="000000" w:themeColor="text1"/>
          <w:sz w:val="19"/>
          <w:szCs w:val="19"/>
        </w:rPr>
      </w:pPr>
      <w:r w:rsidRPr="00321FA3">
        <w:rPr>
          <w:rFonts w:ascii="Arial" w:hAnsi="Arial" w:cs="Arial"/>
          <w:color w:val="000000" w:themeColor="text1"/>
          <w:sz w:val="19"/>
          <w:szCs w:val="19"/>
        </w:rPr>
        <w:t>»Para la adquisición de estos bienes y servicios las entidades deberán, siempre que el reglamento así lo señale, hacer uso de procedimientos de subasta inversa o de instrumentos de compra por catálogo derivados de la celebración de acuerdos marco de precios o de procedimientos de adquisición en bolsas de productos».</w:t>
      </w:r>
    </w:p>
    <w:p w14:paraId="69D05911" w14:textId="5CA9F8A9" w:rsidR="006A59DE" w:rsidRPr="00321FA3" w:rsidRDefault="006A59DE" w:rsidP="006A59DE">
      <w:pPr>
        <w:pStyle w:val="Textonotapie"/>
        <w:ind w:firstLine="708"/>
        <w:jc w:val="both"/>
        <w:rPr>
          <w:rFonts w:ascii="Arial" w:hAnsi="Arial" w:cs="Arial"/>
          <w:color w:val="000000" w:themeColor="text1"/>
          <w:sz w:val="19"/>
          <w:szCs w:val="19"/>
        </w:rPr>
      </w:pPr>
      <w:r w:rsidRPr="00321FA3">
        <w:rPr>
          <w:rFonts w:ascii="Arial" w:hAnsi="Arial" w:cs="Arial"/>
          <w:color w:val="000000" w:themeColor="text1"/>
          <w:sz w:val="19"/>
          <w:szCs w:val="19"/>
        </w:rPr>
        <w:t xml:space="preserve">En concordancia, el artículo 2.2.1.2.1.2.4 del Decreto 1082 de 2015 prescribe: «La subasta termina cuando los oferentes no hagan Lances adicionales durante un período para la presentación de Lances. </w:t>
      </w:r>
      <w:r w:rsidRPr="00321FA3">
        <w:rPr>
          <w:rFonts w:ascii="Arial" w:hAnsi="Arial" w:cs="Arial"/>
          <w:i/>
          <w:iCs/>
          <w:color w:val="000000" w:themeColor="text1"/>
          <w:sz w:val="19"/>
          <w:szCs w:val="19"/>
        </w:rPr>
        <w:t>La Entidad Estatal debe adjudicar el contrato al oferente que haya presentado el Lance más bajo</w:t>
      </w:r>
      <w:r w:rsidRPr="00321FA3">
        <w:rPr>
          <w:rFonts w:ascii="Arial" w:hAnsi="Arial" w:cs="Arial"/>
          <w:color w:val="000000" w:themeColor="text1"/>
          <w:sz w:val="19"/>
          <w:szCs w:val="19"/>
        </w:rPr>
        <w:t>. En el acto de adjudicación, la Entidad Estatal indicará el nombre de los oferentes y el precio del último Lance presentado por cada uno de ellos» (Cursiva fuera de texto).</w:t>
      </w:r>
    </w:p>
    <w:p w14:paraId="485B65D0" w14:textId="5849CE41" w:rsidR="006A59DE" w:rsidRPr="00321FA3" w:rsidRDefault="006A59DE" w:rsidP="006A59DE">
      <w:pPr>
        <w:pStyle w:val="Textonotapie"/>
        <w:ind w:firstLine="708"/>
        <w:jc w:val="both"/>
        <w:rPr>
          <w:color w:val="000000" w:themeColor="text1"/>
        </w:rPr>
      </w:pPr>
      <w:r w:rsidRPr="00321FA3">
        <w:rPr>
          <w:rFonts w:ascii="Arial" w:hAnsi="Arial" w:cs="Arial"/>
          <w:color w:val="000000" w:themeColor="text1"/>
          <w:sz w:val="19"/>
          <w:szCs w:val="19"/>
        </w:rPr>
        <w:t>Por otro lado, el artículo 94 de la Ley 1474 de 2011 dispone «La contratación cuyo valor no excede del 10 por ciento de la menor cuantía de la entidad independientemente de su objeto, se efectuará de conformidad con las siguientes reglas:</w:t>
      </w:r>
      <w:r w:rsidR="00533101" w:rsidRPr="00321FA3">
        <w:rPr>
          <w:rFonts w:ascii="Arial" w:hAnsi="Arial" w:cs="Arial"/>
          <w:color w:val="000000" w:themeColor="text1"/>
          <w:sz w:val="19"/>
          <w:szCs w:val="19"/>
        </w:rPr>
        <w:t xml:space="preserve"> […] </w:t>
      </w:r>
      <w:r w:rsidR="00533101" w:rsidRPr="00321FA3">
        <w:rPr>
          <w:rFonts w:ascii="Arial" w:hAnsi="Arial" w:cs="Arial"/>
          <w:i/>
          <w:iCs/>
          <w:color w:val="000000" w:themeColor="text1"/>
          <w:sz w:val="19"/>
          <w:szCs w:val="19"/>
        </w:rPr>
        <w:t>c) La entidad seleccionará, mediante comunicación de aceptación de la oferta, la propuesta con el menor precio, siempre y cuando cumpla con las condiciones exigidas</w:t>
      </w:r>
      <w:r w:rsidR="00533101" w:rsidRPr="00321FA3">
        <w:rPr>
          <w:rFonts w:ascii="Arial" w:hAnsi="Arial" w:cs="Arial"/>
          <w:color w:val="000000" w:themeColor="text1"/>
          <w:sz w:val="19"/>
          <w:szCs w:val="19"/>
        </w:rPr>
        <w:t xml:space="preserve"> […]» (Cursiva fuera de texto).</w:t>
      </w:r>
      <w:r w:rsidRPr="00321FA3">
        <w:rPr>
          <w:color w:val="000000" w:themeColor="text1"/>
        </w:rPr>
        <w:t xml:space="preserve">         </w:t>
      </w:r>
    </w:p>
  </w:footnote>
  <w:footnote w:id="4">
    <w:p w14:paraId="1EFD5B9A" w14:textId="624613F5" w:rsidR="00B1771D" w:rsidRPr="00321FA3" w:rsidRDefault="00B1771D" w:rsidP="00B1771D">
      <w:pPr>
        <w:pStyle w:val="Textonotapie"/>
        <w:ind w:firstLine="708"/>
        <w:jc w:val="both"/>
        <w:rPr>
          <w:rFonts w:ascii="Arial" w:hAnsi="Arial" w:cs="Arial"/>
          <w:color w:val="000000" w:themeColor="text1"/>
          <w:sz w:val="19"/>
          <w:szCs w:val="19"/>
        </w:rPr>
      </w:pPr>
      <w:r w:rsidRPr="00321FA3">
        <w:rPr>
          <w:rStyle w:val="Refdenotaalpie"/>
          <w:color w:val="000000" w:themeColor="text1"/>
        </w:rPr>
        <w:footnoteRef/>
      </w:r>
      <w:r w:rsidRPr="00321FA3">
        <w:rPr>
          <w:color w:val="000000" w:themeColor="text1"/>
        </w:rPr>
        <w:t xml:space="preserve"> </w:t>
      </w:r>
      <w:r w:rsidRPr="00321FA3">
        <w:rPr>
          <w:rFonts w:ascii="Arial" w:hAnsi="Arial" w:cs="Arial"/>
          <w:color w:val="000000" w:themeColor="text1"/>
          <w:sz w:val="19"/>
          <w:szCs w:val="19"/>
        </w:rPr>
        <w:t>DROMI, José Roberto. La licitación pública. Buenos Aires: Ciudad Argentina, 1980. p</w:t>
      </w:r>
      <w:r w:rsidR="00ED3347" w:rsidRPr="00321FA3">
        <w:rPr>
          <w:rFonts w:ascii="Arial" w:hAnsi="Arial" w:cs="Arial"/>
          <w:color w:val="000000" w:themeColor="text1"/>
          <w:sz w:val="19"/>
          <w:szCs w:val="19"/>
        </w:rPr>
        <w:t>p</w:t>
      </w:r>
      <w:r w:rsidRPr="00321FA3">
        <w:rPr>
          <w:rFonts w:ascii="Arial" w:hAnsi="Arial" w:cs="Arial"/>
          <w:color w:val="000000" w:themeColor="text1"/>
          <w:sz w:val="19"/>
          <w:szCs w:val="19"/>
        </w:rPr>
        <w:t>. 139-140.</w:t>
      </w:r>
    </w:p>
  </w:footnote>
  <w:footnote w:id="5">
    <w:p w14:paraId="0E3F1503" w14:textId="77777777" w:rsidR="007979AD" w:rsidRPr="00321FA3" w:rsidRDefault="007979AD" w:rsidP="007979AD">
      <w:pPr>
        <w:pStyle w:val="Textonotapie"/>
        <w:ind w:firstLine="709"/>
        <w:jc w:val="both"/>
        <w:rPr>
          <w:rFonts w:ascii="Arial" w:hAnsi="Arial" w:cs="Arial"/>
          <w:color w:val="000000" w:themeColor="text1"/>
          <w:sz w:val="19"/>
          <w:szCs w:val="19"/>
        </w:rPr>
      </w:pPr>
      <w:r w:rsidRPr="00321FA3">
        <w:rPr>
          <w:rStyle w:val="Refdenotaalpie"/>
          <w:rFonts w:ascii="Arial" w:hAnsi="Arial" w:cs="Arial"/>
          <w:color w:val="000000" w:themeColor="text1"/>
          <w:sz w:val="19"/>
          <w:szCs w:val="19"/>
        </w:rPr>
        <w:footnoteRef/>
      </w:r>
      <w:r w:rsidRPr="00321FA3">
        <w:rPr>
          <w:rFonts w:ascii="Arial" w:hAnsi="Arial" w:cs="Arial"/>
          <w:color w:val="000000" w:themeColor="text1"/>
          <w:sz w:val="19"/>
          <w:szCs w:val="19"/>
        </w:rPr>
        <w:t xml:space="preserve"> Ley 80 de 1993, art. 30.7: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proponentes las aclaraciones y explicaciones que se estimen indispensables». </w:t>
      </w:r>
    </w:p>
    <w:p w14:paraId="2515C791" w14:textId="77777777" w:rsidR="007979AD" w:rsidRPr="00321FA3" w:rsidRDefault="007979AD" w:rsidP="007979AD">
      <w:pPr>
        <w:pStyle w:val="Textonotapie"/>
        <w:ind w:firstLine="709"/>
        <w:jc w:val="both"/>
        <w:rPr>
          <w:rFonts w:ascii="Arial" w:hAnsi="Arial" w:cs="Arial"/>
          <w:color w:val="000000" w:themeColor="text1"/>
          <w:sz w:val="19"/>
          <w:szCs w:val="19"/>
        </w:rPr>
      </w:pPr>
    </w:p>
  </w:footnote>
  <w:footnote w:id="6">
    <w:p w14:paraId="4F95D759" w14:textId="77777777" w:rsidR="007979AD" w:rsidRPr="00321FA3" w:rsidRDefault="007979AD" w:rsidP="007979AD">
      <w:pPr>
        <w:pStyle w:val="Textonotapie"/>
        <w:ind w:firstLine="709"/>
        <w:jc w:val="both"/>
        <w:rPr>
          <w:rFonts w:ascii="Arial" w:hAnsi="Arial" w:cs="Arial"/>
          <w:color w:val="000000" w:themeColor="text1"/>
          <w:sz w:val="19"/>
          <w:szCs w:val="19"/>
        </w:rPr>
      </w:pPr>
      <w:r w:rsidRPr="00321FA3">
        <w:rPr>
          <w:rStyle w:val="Refdenotaalpie"/>
          <w:rFonts w:ascii="Arial" w:hAnsi="Arial" w:cs="Arial"/>
          <w:color w:val="000000" w:themeColor="text1"/>
          <w:sz w:val="19"/>
          <w:szCs w:val="19"/>
        </w:rPr>
        <w:footnoteRef/>
      </w:r>
      <w:r w:rsidRPr="00321FA3">
        <w:rPr>
          <w:rFonts w:ascii="Arial" w:hAnsi="Arial" w:cs="Arial"/>
          <w:color w:val="000000" w:themeColor="text1"/>
          <w:sz w:val="19"/>
          <w:szCs w:val="19"/>
        </w:rPr>
        <w:t xml:space="preserve"> Ley 80 de 1993, art. 30.8: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footnote>
  <w:footnote w:id="7">
    <w:p w14:paraId="42734AB9" w14:textId="77777777" w:rsidR="007979AD" w:rsidRPr="00321FA3" w:rsidRDefault="007979AD" w:rsidP="007979AD">
      <w:pPr>
        <w:pStyle w:val="Textonotapie"/>
        <w:ind w:firstLine="709"/>
        <w:jc w:val="both"/>
        <w:rPr>
          <w:rFonts w:ascii="Arial" w:hAnsi="Arial" w:cs="Arial"/>
          <w:color w:val="000000" w:themeColor="text1"/>
          <w:sz w:val="19"/>
          <w:szCs w:val="19"/>
        </w:rPr>
      </w:pPr>
      <w:r w:rsidRPr="00321FA3">
        <w:rPr>
          <w:rStyle w:val="Refdenotaalpie"/>
          <w:rFonts w:ascii="Arial" w:hAnsi="Arial" w:cs="Arial"/>
          <w:color w:val="000000" w:themeColor="text1"/>
          <w:sz w:val="19"/>
          <w:szCs w:val="19"/>
        </w:rPr>
        <w:footnoteRef/>
      </w:r>
      <w:r w:rsidRPr="00321FA3">
        <w:rPr>
          <w:rFonts w:ascii="Arial" w:hAnsi="Arial" w:cs="Arial"/>
          <w:color w:val="000000" w:themeColor="text1"/>
          <w:sz w:val="19"/>
          <w:szCs w:val="19"/>
        </w:rPr>
        <w:t xml:space="preserve"> CONSEJO DE ESTADO. Sección Tercera. Subsección C. Sentencia del 26 de febrero de 2014. Rad. 25.804. C.P. Enrique Gil Botero. </w:t>
      </w:r>
    </w:p>
  </w:footnote>
  <w:footnote w:id="8">
    <w:p w14:paraId="5C06696E" w14:textId="77777777" w:rsidR="007979AD" w:rsidRPr="00321FA3" w:rsidRDefault="007979AD" w:rsidP="007979AD">
      <w:pPr>
        <w:pStyle w:val="Textonotapie"/>
        <w:ind w:firstLine="709"/>
        <w:jc w:val="both"/>
        <w:rPr>
          <w:rFonts w:ascii="Arial" w:hAnsi="Arial" w:cs="Arial"/>
          <w:color w:val="000000" w:themeColor="text1"/>
          <w:sz w:val="19"/>
          <w:szCs w:val="19"/>
          <w:lang w:val="es-CO"/>
        </w:rPr>
      </w:pPr>
      <w:r w:rsidRPr="00321FA3">
        <w:rPr>
          <w:rStyle w:val="Refdenotaalpie"/>
          <w:rFonts w:ascii="Arial" w:hAnsi="Arial" w:cs="Arial"/>
          <w:color w:val="000000" w:themeColor="text1"/>
          <w:sz w:val="19"/>
          <w:szCs w:val="19"/>
        </w:rPr>
        <w:footnoteRef/>
      </w:r>
      <w:r w:rsidRPr="00321FA3">
        <w:rPr>
          <w:rStyle w:val="Refdenotaalpie"/>
          <w:rFonts w:ascii="Arial" w:hAnsi="Arial" w:cs="Arial"/>
          <w:color w:val="000000" w:themeColor="text1"/>
          <w:sz w:val="19"/>
          <w:szCs w:val="19"/>
        </w:rPr>
        <w:t xml:space="preserve"> </w:t>
      </w:r>
      <w:r w:rsidRPr="00321FA3">
        <w:rPr>
          <w:rFonts w:ascii="Arial" w:hAnsi="Arial" w:cs="Arial"/>
          <w:color w:val="000000" w:themeColor="text1"/>
          <w:sz w:val="19"/>
          <w:szCs w:val="19"/>
          <w:lang w:val="es-CO"/>
        </w:rPr>
        <w:t>Ley 1150 de 2007, artículo 5, parágrafo 4°: «</w:t>
      </w:r>
      <w:r w:rsidRPr="00321FA3">
        <w:rPr>
          <w:rFonts w:ascii="Arial" w:hAnsi="Arial" w:cs="Arial"/>
          <w:color w:val="000000" w:themeColor="text1"/>
          <w:sz w:val="19"/>
          <w:szCs w:val="19"/>
        </w:rPr>
        <w:t>En aquellos procesos de selección en los que se utilice el mecanismo de subasta, los documentos referentes a la futura contratación o a proponente, no necesarios para la comparación de las propuestas, deberán ser solicitados hasta el momento previo a su realización».</w:t>
      </w:r>
    </w:p>
  </w:footnote>
  <w:footnote w:id="9">
    <w:p w14:paraId="3695E41F" w14:textId="77777777" w:rsidR="007979AD" w:rsidRPr="00321FA3" w:rsidRDefault="007979AD" w:rsidP="007979AD">
      <w:pPr>
        <w:pStyle w:val="Textonotapie"/>
        <w:ind w:firstLine="709"/>
        <w:jc w:val="both"/>
        <w:rPr>
          <w:rFonts w:ascii="Arial" w:hAnsi="Arial" w:cs="Arial"/>
          <w:color w:val="000000" w:themeColor="text1"/>
          <w:sz w:val="19"/>
          <w:szCs w:val="19"/>
          <w:lang w:val="es-CO"/>
        </w:rPr>
      </w:pPr>
      <w:r w:rsidRPr="00321FA3">
        <w:rPr>
          <w:rStyle w:val="Refdenotaalpie"/>
          <w:rFonts w:ascii="Arial" w:hAnsi="Arial" w:cs="Arial"/>
          <w:color w:val="000000" w:themeColor="text1"/>
          <w:sz w:val="19"/>
          <w:szCs w:val="19"/>
        </w:rPr>
        <w:footnoteRef/>
      </w:r>
      <w:r w:rsidRPr="00321FA3">
        <w:rPr>
          <w:rFonts w:ascii="Arial" w:hAnsi="Arial" w:cs="Arial"/>
          <w:color w:val="000000" w:themeColor="text1"/>
          <w:sz w:val="19"/>
          <w:szCs w:val="19"/>
        </w:rPr>
        <w:t xml:space="preserve"> </w:t>
      </w:r>
      <w:r w:rsidRPr="00321FA3">
        <w:rPr>
          <w:rFonts w:ascii="Arial" w:hAnsi="Arial" w:cs="Arial"/>
          <w:color w:val="000000" w:themeColor="text1"/>
          <w:sz w:val="19"/>
          <w:szCs w:val="19"/>
          <w:lang w:val="es-CO"/>
        </w:rPr>
        <w:t>CONSEJO DE ESTADO. Sala de Consulta y Servicio Civil. Concepto del 20 de mayo de 2010. Rad. 1.992. C.P. Enrique José Arboleda Perdomo.</w:t>
      </w:r>
    </w:p>
    <w:p w14:paraId="2F5D4E4F" w14:textId="77777777" w:rsidR="007979AD" w:rsidRPr="00321FA3" w:rsidRDefault="007979AD" w:rsidP="007979AD">
      <w:pPr>
        <w:pStyle w:val="Textonotapie"/>
        <w:ind w:firstLine="709"/>
        <w:jc w:val="both"/>
        <w:rPr>
          <w:rFonts w:ascii="Arial" w:hAnsi="Arial" w:cs="Arial"/>
          <w:color w:val="000000" w:themeColor="text1"/>
          <w:sz w:val="19"/>
          <w:szCs w:val="19"/>
        </w:rPr>
      </w:pPr>
    </w:p>
  </w:footnote>
  <w:footnote w:id="10">
    <w:p w14:paraId="13F1D215" w14:textId="606C2DC3" w:rsidR="00831BAE" w:rsidRPr="00321FA3" w:rsidRDefault="00831BAE" w:rsidP="00517CFB">
      <w:pPr>
        <w:pStyle w:val="Textonotapie"/>
        <w:ind w:firstLine="708"/>
        <w:jc w:val="both"/>
        <w:rPr>
          <w:rFonts w:ascii="Arial" w:hAnsi="Arial" w:cs="Arial"/>
          <w:color w:val="000000" w:themeColor="text1"/>
          <w:sz w:val="19"/>
          <w:szCs w:val="19"/>
          <w:lang w:val="es-ES"/>
        </w:rPr>
      </w:pPr>
      <w:r w:rsidRPr="00321FA3">
        <w:rPr>
          <w:rStyle w:val="Refdenotaalpie"/>
          <w:rFonts w:ascii="Arial" w:hAnsi="Arial" w:cs="Arial"/>
          <w:color w:val="000000" w:themeColor="text1"/>
          <w:sz w:val="19"/>
          <w:szCs w:val="19"/>
        </w:rPr>
        <w:footnoteRef/>
      </w:r>
      <w:r w:rsidRPr="00321FA3">
        <w:rPr>
          <w:rFonts w:ascii="Arial" w:hAnsi="Arial" w:cs="Arial"/>
          <w:color w:val="000000" w:themeColor="text1"/>
          <w:sz w:val="19"/>
          <w:szCs w:val="19"/>
        </w:rPr>
        <w:t xml:space="preserve"> Agencia Nacional de Contratación Pública – </w:t>
      </w:r>
      <w:r w:rsidRPr="00321FA3">
        <w:rPr>
          <w:rFonts w:ascii="Arial" w:hAnsi="Arial" w:cs="Arial"/>
          <w:color w:val="000000" w:themeColor="text1"/>
          <w:sz w:val="19"/>
          <w:szCs w:val="19"/>
          <w:lang w:val="es-ES"/>
        </w:rPr>
        <w:t>Colombia Compra Eficiente. Circular Externa Única. Actualizada el 16 de abril de 2019. En: https://www.colombiacompra.gov.co/sites/cce_public/files/cce_circulares/cce_circular_unica.pdf</w:t>
      </w:r>
      <w:r w:rsidR="00517CFB" w:rsidRPr="00321FA3">
        <w:rPr>
          <w:rFonts w:ascii="Arial" w:hAnsi="Arial" w:cs="Arial"/>
          <w:color w:val="000000" w:themeColor="text1"/>
          <w:sz w:val="19"/>
          <w:szCs w:val="19"/>
          <w:lang w:val="es-ES"/>
        </w:rPr>
        <w:t xml:space="preserve">. </w:t>
      </w:r>
      <w:r w:rsidRPr="00321FA3">
        <w:rPr>
          <w:rFonts w:ascii="Arial" w:hAnsi="Arial" w:cs="Arial"/>
          <w:color w:val="000000" w:themeColor="text1"/>
          <w:sz w:val="19"/>
          <w:szCs w:val="19"/>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B500C" w14:textId="77777777" w:rsidR="00C82298" w:rsidRDefault="00C8229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6A59DE" w:rsidRDefault="006A59DE">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84426" w14:textId="77777777" w:rsidR="00C82298" w:rsidRDefault="00C8229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59D3"/>
    <w:rsid w:val="00007750"/>
    <w:rsid w:val="00007E37"/>
    <w:rsid w:val="00012B9E"/>
    <w:rsid w:val="00013C6B"/>
    <w:rsid w:val="000165AC"/>
    <w:rsid w:val="00075B3E"/>
    <w:rsid w:val="00076456"/>
    <w:rsid w:val="00080ACD"/>
    <w:rsid w:val="00084B97"/>
    <w:rsid w:val="00085F17"/>
    <w:rsid w:val="00091569"/>
    <w:rsid w:val="000942EB"/>
    <w:rsid w:val="00095B70"/>
    <w:rsid w:val="000B103F"/>
    <w:rsid w:val="000B419B"/>
    <w:rsid w:val="000C639D"/>
    <w:rsid w:val="000C7476"/>
    <w:rsid w:val="000D0ED2"/>
    <w:rsid w:val="000D2563"/>
    <w:rsid w:val="000E4596"/>
    <w:rsid w:val="000F14E8"/>
    <w:rsid w:val="000F1BBD"/>
    <w:rsid w:val="001000FB"/>
    <w:rsid w:val="00103915"/>
    <w:rsid w:val="001051E5"/>
    <w:rsid w:val="00113705"/>
    <w:rsid w:val="00122B23"/>
    <w:rsid w:val="00125BED"/>
    <w:rsid w:val="00125C59"/>
    <w:rsid w:val="00127AF2"/>
    <w:rsid w:val="00136BF7"/>
    <w:rsid w:val="00137FFA"/>
    <w:rsid w:val="0014502F"/>
    <w:rsid w:val="00155D08"/>
    <w:rsid w:val="00160401"/>
    <w:rsid w:val="00161F1C"/>
    <w:rsid w:val="0016200B"/>
    <w:rsid w:val="001734E3"/>
    <w:rsid w:val="001742BF"/>
    <w:rsid w:val="0019388B"/>
    <w:rsid w:val="001A18D5"/>
    <w:rsid w:val="001A66DF"/>
    <w:rsid w:val="001B0444"/>
    <w:rsid w:val="001B2456"/>
    <w:rsid w:val="001C3E30"/>
    <w:rsid w:val="001C3E5C"/>
    <w:rsid w:val="001D56E9"/>
    <w:rsid w:val="001F2356"/>
    <w:rsid w:val="001F4773"/>
    <w:rsid w:val="001F56AA"/>
    <w:rsid w:val="001F5EF6"/>
    <w:rsid w:val="0020632A"/>
    <w:rsid w:val="002110EB"/>
    <w:rsid w:val="00211338"/>
    <w:rsid w:val="00211388"/>
    <w:rsid w:val="0021148C"/>
    <w:rsid w:val="00213A1F"/>
    <w:rsid w:val="00216264"/>
    <w:rsid w:val="00234B84"/>
    <w:rsid w:val="00247712"/>
    <w:rsid w:val="00252B35"/>
    <w:rsid w:val="00253A02"/>
    <w:rsid w:val="00256ECF"/>
    <w:rsid w:val="0028106A"/>
    <w:rsid w:val="002C2B3A"/>
    <w:rsid w:val="002C4C0C"/>
    <w:rsid w:val="002C704D"/>
    <w:rsid w:val="002D0933"/>
    <w:rsid w:val="002D5A1B"/>
    <w:rsid w:val="002E055C"/>
    <w:rsid w:val="002E1050"/>
    <w:rsid w:val="002E48EC"/>
    <w:rsid w:val="002F3601"/>
    <w:rsid w:val="002F45F6"/>
    <w:rsid w:val="003033BA"/>
    <w:rsid w:val="00305FCB"/>
    <w:rsid w:val="00306B44"/>
    <w:rsid w:val="00311B47"/>
    <w:rsid w:val="0031720A"/>
    <w:rsid w:val="00321FA3"/>
    <w:rsid w:val="00322937"/>
    <w:rsid w:val="00327A5C"/>
    <w:rsid w:val="0033092C"/>
    <w:rsid w:val="00331932"/>
    <w:rsid w:val="00336729"/>
    <w:rsid w:val="0034177C"/>
    <w:rsid w:val="003432C8"/>
    <w:rsid w:val="0034680A"/>
    <w:rsid w:val="00353DD5"/>
    <w:rsid w:val="00386456"/>
    <w:rsid w:val="00397FF0"/>
    <w:rsid w:val="003A0878"/>
    <w:rsid w:val="003A2447"/>
    <w:rsid w:val="003A581E"/>
    <w:rsid w:val="003A6160"/>
    <w:rsid w:val="003C1AF4"/>
    <w:rsid w:val="003C287F"/>
    <w:rsid w:val="003C622C"/>
    <w:rsid w:val="003D0DE5"/>
    <w:rsid w:val="003D6B8F"/>
    <w:rsid w:val="003F4599"/>
    <w:rsid w:val="00413FFA"/>
    <w:rsid w:val="004170D7"/>
    <w:rsid w:val="00423F9F"/>
    <w:rsid w:val="004273FA"/>
    <w:rsid w:val="00434787"/>
    <w:rsid w:val="004422D6"/>
    <w:rsid w:val="004447CC"/>
    <w:rsid w:val="0045271D"/>
    <w:rsid w:val="00452803"/>
    <w:rsid w:val="00454717"/>
    <w:rsid w:val="00455354"/>
    <w:rsid w:val="00462B10"/>
    <w:rsid w:val="00464030"/>
    <w:rsid w:val="00475C5A"/>
    <w:rsid w:val="0047773C"/>
    <w:rsid w:val="00480050"/>
    <w:rsid w:val="004808DE"/>
    <w:rsid w:val="004861B4"/>
    <w:rsid w:val="0049241A"/>
    <w:rsid w:val="00496786"/>
    <w:rsid w:val="004A08D1"/>
    <w:rsid w:val="004A34D2"/>
    <w:rsid w:val="004B788E"/>
    <w:rsid w:val="004C22F7"/>
    <w:rsid w:val="004C7226"/>
    <w:rsid w:val="004C7D70"/>
    <w:rsid w:val="004D4BA1"/>
    <w:rsid w:val="004D584D"/>
    <w:rsid w:val="004E0742"/>
    <w:rsid w:val="004F66BC"/>
    <w:rsid w:val="0051074C"/>
    <w:rsid w:val="00512C4F"/>
    <w:rsid w:val="00513AF2"/>
    <w:rsid w:val="00514575"/>
    <w:rsid w:val="00517CFB"/>
    <w:rsid w:val="00523903"/>
    <w:rsid w:val="00526431"/>
    <w:rsid w:val="00533101"/>
    <w:rsid w:val="0054413A"/>
    <w:rsid w:val="00551598"/>
    <w:rsid w:val="005564CA"/>
    <w:rsid w:val="00557140"/>
    <w:rsid w:val="0056182B"/>
    <w:rsid w:val="005657A8"/>
    <w:rsid w:val="00570A26"/>
    <w:rsid w:val="005756AA"/>
    <w:rsid w:val="005813DE"/>
    <w:rsid w:val="00581B45"/>
    <w:rsid w:val="00593F75"/>
    <w:rsid w:val="005940A0"/>
    <w:rsid w:val="005A1976"/>
    <w:rsid w:val="005A3B35"/>
    <w:rsid w:val="005A3C4B"/>
    <w:rsid w:val="005A3E5A"/>
    <w:rsid w:val="005A5A3D"/>
    <w:rsid w:val="005B4948"/>
    <w:rsid w:val="005B54CC"/>
    <w:rsid w:val="005B74AD"/>
    <w:rsid w:val="005C5C52"/>
    <w:rsid w:val="005D2F48"/>
    <w:rsid w:val="005D51FA"/>
    <w:rsid w:val="005D691D"/>
    <w:rsid w:val="005D791B"/>
    <w:rsid w:val="005E1595"/>
    <w:rsid w:val="005F305B"/>
    <w:rsid w:val="005F4481"/>
    <w:rsid w:val="005F7B6F"/>
    <w:rsid w:val="00606908"/>
    <w:rsid w:val="00614817"/>
    <w:rsid w:val="006178D1"/>
    <w:rsid w:val="00620719"/>
    <w:rsid w:val="00623AC2"/>
    <w:rsid w:val="00631DD0"/>
    <w:rsid w:val="00633DBF"/>
    <w:rsid w:val="00646D0F"/>
    <w:rsid w:val="00653469"/>
    <w:rsid w:val="00655371"/>
    <w:rsid w:val="0066272D"/>
    <w:rsid w:val="00670B20"/>
    <w:rsid w:val="00672E80"/>
    <w:rsid w:val="006739E4"/>
    <w:rsid w:val="0067426B"/>
    <w:rsid w:val="006754F8"/>
    <w:rsid w:val="00676127"/>
    <w:rsid w:val="006811C9"/>
    <w:rsid w:val="006812CE"/>
    <w:rsid w:val="006908DB"/>
    <w:rsid w:val="00697665"/>
    <w:rsid w:val="00697C9A"/>
    <w:rsid w:val="006A59DE"/>
    <w:rsid w:val="006A7CB5"/>
    <w:rsid w:val="006A7FD0"/>
    <w:rsid w:val="006C37CA"/>
    <w:rsid w:val="006D7687"/>
    <w:rsid w:val="006E0572"/>
    <w:rsid w:val="006E39D1"/>
    <w:rsid w:val="006E602F"/>
    <w:rsid w:val="006F15CC"/>
    <w:rsid w:val="006F4147"/>
    <w:rsid w:val="00703E11"/>
    <w:rsid w:val="00705631"/>
    <w:rsid w:val="007112B1"/>
    <w:rsid w:val="00712714"/>
    <w:rsid w:val="00715C29"/>
    <w:rsid w:val="00715EAA"/>
    <w:rsid w:val="00717ACB"/>
    <w:rsid w:val="00725AFD"/>
    <w:rsid w:val="00726603"/>
    <w:rsid w:val="00730CD6"/>
    <w:rsid w:val="00742DD2"/>
    <w:rsid w:val="007441A2"/>
    <w:rsid w:val="00745035"/>
    <w:rsid w:val="00746E08"/>
    <w:rsid w:val="007473B9"/>
    <w:rsid w:val="00747C96"/>
    <w:rsid w:val="00750075"/>
    <w:rsid w:val="0075094E"/>
    <w:rsid w:val="00750FB5"/>
    <w:rsid w:val="007522E8"/>
    <w:rsid w:val="0075647A"/>
    <w:rsid w:val="00760EB6"/>
    <w:rsid w:val="007616DB"/>
    <w:rsid w:val="007634AD"/>
    <w:rsid w:val="00773BC8"/>
    <w:rsid w:val="007774E7"/>
    <w:rsid w:val="00780F32"/>
    <w:rsid w:val="0078122E"/>
    <w:rsid w:val="0079381F"/>
    <w:rsid w:val="00795647"/>
    <w:rsid w:val="007979AD"/>
    <w:rsid w:val="007B0854"/>
    <w:rsid w:val="007B3659"/>
    <w:rsid w:val="007B4828"/>
    <w:rsid w:val="007B6C64"/>
    <w:rsid w:val="007B6EC8"/>
    <w:rsid w:val="007B7EA2"/>
    <w:rsid w:val="007C6339"/>
    <w:rsid w:val="007D481A"/>
    <w:rsid w:val="007F1E28"/>
    <w:rsid w:val="007F22A0"/>
    <w:rsid w:val="007F3AC1"/>
    <w:rsid w:val="007F616E"/>
    <w:rsid w:val="007F6B46"/>
    <w:rsid w:val="007F72CB"/>
    <w:rsid w:val="007F785F"/>
    <w:rsid w:val="00813A7B"/>
    <w:rsid w:val="0081766B"/>
    <w:rsid w:val="00821489"/>
    <w:rsid w:val="008217B7"/>
    <w:rsid w:val="0082239B"/>
    <w:rsid w:val="0082348D"/>
    <w:rsid w:val="008236BE"/>
    <w:rsid w:val="0083119B"/>
    <w:rsid w:val="00831BAE"/>
    <w:rsid w:val="00836EAB"/>
    <w:rsid w:val="00837937"/>
    <w:rsid w:val="00843615"/>
    <w:rsid w:val="00844D4F"/>
    <w:rsid w:val="0085092D"/>
    <w:rsid w:val="00850F79"/>
    <w:rsid w:val="00864241"/>
    <w:rsid w:val="00867512"/>
    <w:rsid w:val="0088106B"/>
    <w:rsid w:val="0088107D"/>
    <w:rsid w:val="00882E39"/>
    <w:rsid w:val="008850EB"/>
    <w:rsid w:val="00885F42"/>
    <w:rsid w:val="008919CF"/>
    <w:rsid w:val="0089774F"/>
    <w:rsid w:val="008A796E"/>
    <w:rsid w:val="008B088C"/>
    <w:rsid w:val="008B263F"/>
    <w:rsid w:val="008B45B9"/>
    <w:rsid w:val="008B47A6"/>
    <w:rsid w:val="008B672C"/>
    <w:rsid w:val="008C11F0"/>
    <w:rsid w:val="008C45BD"/>
    <w:rsid w:val="008D69B1"/>
    <w:rsid w:val="008E1C15"/>
    <w:rsid w:val="008E7D6E"/>
    <w:rsid w:val="008F538E"/>
    <w:rsid w:val="00902E5C"/>
    <w:rsid w:val="009047C5"/>
    <w:rsid w:val="00914B9A"/>
    <w:rsid w:val="00914C3F"/>
    <w:rsid w:val="00933333"/>
    <w:rsid w:val="00937401"/>
    <w:rsid w:val="00940F3C"/>
    <w:rsid w:val="0095385A"/>
    <w:rsid w:val="0095780A"/>
    <w:rsid w:val="00960BDB"/>
    <w:rsid w:val="00971441"/>
    <w:rsid w:val="009715D4"/>
    <w:rsid w:val="0098427D"/>
    <w:rsid w:val="00984567"/>
    <w:rsid w:val="009865D5"/>
    <w:rsid w:val="00987C77"/>
    <w:rsid w:val="00990345"/>
    <w:rsid w:val="009953AD"/>
    <w:rsid w:val="009A01E4"/>
    <w:rsid w:val="009D1FA0"/>
    <w:rsid w:val="009E2391"/>
    <w:rsid w:val="009E61EA"/>
    <w:rsid w:val="009F59C2"/>
    <w:rsid w:val="00A0188B"/>
    <w:rsid w:val="00A01E73"/>
    <w:rsid w:val="00A03160"/>
    <w:rsid w:val="00A041BC"/>
    <w:rsid w:val="00A10ACA"/>
    <w:rsid w:val="00A127D2"/>
    <w:rsid w:val="00A20264"/>
    <w:rsid w:val="00A20997"/>
    <w:rsid w:val="00A22498"/>
    <w:rsid w:val="00A24560"/>
    <w:rsid w:val="00A31C3E"/>
    <w:rsid w:val="00A34538"/>
    <w:rsid w:val="00A37FB6"/>
    <w:rsid w:val="00A41081"/>
    <w:rsid w:val="00A426F3"/>
    <w:rsid w:val="00A431FE"/>
    <w:rsid w:val="00A439E5"/>
    <w:rsid w:val="00A44F54"/>
    <w:rsid w:val="00A53E79"/>
    <w:rsid w:val="00A56DE7"/>
    <w:rsid w:val="00A60B1F"/>
    <w:rsid w:val="00A668BA"/>
    <w:rsid w:val="00A77168"/>
    <w:rsid w:val="00A8043B"/>
    <w:rsid w:val="00A9766C"/>
    <w:rsid w:val="00A977F8"/>
    <w:rsid w:val="00AA08E7"/>
    <w:rsid w:val="00AA442B"/>
    <w:rsid w:val="00AA46A4"/>
    <w:rsid w:val="00AA61C7"/>
    <w:rsid w:val="00AA669D"/>
    <w:rsid w:val="00AA7416"/>
    <w:rsid w:val="00AB358D"/>
    <w:rsid w:val="00AC2A0B"/>
    <w:rsid w:val="00AD1EFA"/>
    <w:rsid w:val="00AD463C"/>
    <w:rsid w:val="00AD6236"/>
    <w:rsid w:val="00AD7770"/>
    <w:rsid w:val="00AE25E8"/>
    <w:rsid w:val="00AE6582"/>
    <w:rsid w:val="00AF26CF"/>
    <w:rsid w:val="00AF5D53"/>
    <w:rsid w:val="00AF7796"/>
    <w:rsid w:val="00B04400"/>
    <w:rsid w:val="00B05A55"/>
    <w:rsid w:val="00B06595"/>
    <w:rsid w:val="00B13EC0"/>
    <w:rsid w:val="00B14D32"/>
    <w:rsid w:val="00B1771D"/>
    <w:rsid w:val="00B20209"/>
    <w:rsid w:val="00B203C9"/>
    <w:rsid w:val="00B22E22"/>
    <w:rsid w:val="00B245D5"/>
    <w:rsid w:val="00B30EEB"/>
    <w:rsid w:val="00B3346C"/>
    <w:rsid w:val="00B345B4"/>
    <w:rsid w:val="00B525CB"/>
    <w:rsid w:val="00B54D8F"/>
    <w:rsid w:val="00B572F7"/>
    <w:rsid w:val="00B614F8"/>
    <w:rsid w:val="00B63872"/>
    <w:rsid w:val="00B63CB2"/>
    <w:rsid w:val="00B64EDB"/>
    <w:rsid w:val="00B65938"/>
    <w:rsid w:val="00B66349"/>
    <w:rsid w:val="00B7315F"/>
    <w:rsid w:val="00B8695D"/>
    <w:rsid w:val="00B91B8E"/>
    <w:rsid w:val="00BA1382"/>
    <w:rsid w:val="00BA20D8"/>
    <w:rsid w:val="00BA22FC"/>
    <w:rsid w:val="00BA4771"/>
    <w:rsid w:val="00BB0E9B"/>
    <w:rsid w:val="00BB3DF8"/>
    <w:rsid w:val="00BC2898"/>
    <w:rsid w:val="00BD52FE"/>
    <w:rsid w:val="00BD78FE"/>
    <w:rsid w:val="00BE18DA"/>
    <w:rsid w:val="00BE7257"/>
    <w:rsid w:val="00BF23A3"/>
    <w:rsid w:val="00BF7C52"/>
    <w:rsid w:val="00C00713"/>
    <w:rsid w:val="00C165FC"/>
    <w:rsid w:val="00C2082C"/>
    <w:rsid w:val="00C32017"/>
    <w:rsid w:val="00C3322E"/>
    <w:rsid w:val="00C36785"/>
    <w:rsid w:val="00C419E3"/>
    <w:rsid w:val="00C41E6A"/>
    <w:rsid w:val="00C56CC2"/>
    <w:rsid w:val="00C63E99"/>
    <w:rsid w:val="00C733BA"/>
    <w:rsid w:val="00C82298"/>
    <w:rsid w:val="00C9005E"/>
    <w:rsid w:val="00C920E2"/>
    <w:rsid w:val="00C93D8C"/>
    <w:rsid w:val="00CA5BD4"/>
    <w:rsid w:val="00CA7E7B"/>
    <w:rsid w:val="00CB4137"/>
    <w:rsid w:val="00CB52D0"/>
    <w:rsid w:val="00CC00CD"/>
    <w:rsid w:val="00CC0AF3"/>
    <w:rsid w:val="00CC315F"/>
    <w:rsid w:val="00CD205D"/>
    <w:rsid w:val="00CE0566"/>
    <w:rsid w:val="00CE3E14"/>
    <w:rsid w:val="00CE7F26"/>
    <w:rsid w:val="00CF35D0"/>
    <w:rsid w:val="00D012BF"/>
    <w:rsid w:val="00D01760"/>
    <w:rsid w:val="00D0401A"/>
    <w:rsid w:val="00D058E9"/>
    <w:rsid w:val="00D10E7C"/>
    <w:rsid w:val="00D16E39"/>
    <w:rsid w:val="00D21BB5"/>
    <w:rsid w:val="00D223B6"/>
    <w:rsid w:val="00D22DC8"/>
    <w:rsid w:val="00D2531C"/>
    <w:rsid w:val="00D31C6A"/>
    <w:rsid w:val="00D32256"/>
    <w:rsid w:val="00D401BE"/>
    <w:rsid w:val="00D422DB"/>
    <w:rsid w:val="00D57940"/>
    <w:rsid w:val="00D60327"/>
    <w:rsid w:val="00D72E9D"/>
    <w:rsid w:val="00D73419"/>
    <w:rsid w:val="00D75E99"/>
    <w:rsid w:val="00D82CE5"/>
    <w:rsid w:val="00D8342C"/>
    <w:rsid w:val="00D93726"/>
    <w:rsid w:val="00D967CB"/>
    <w:rsid w:val="00DA5989"/>
    <w:rsid w:val="00DA5AB1"/>
    <w:rsid w:val="00DB1AFF"/>
    <w:rsid w:val="00DC0954"/>
    <w:rsid w:val="00DC1A68"/>
    <w:rsid w:val="00DC30B8"/>
    <w:rsid w:val="00DC62E5"/>
    <w:rsid w:val="00DD3885"/>
    <w:rsid w:val="00DD5EC6"/>
    <w:rsid w:val="00DD605F"/>
    <w:rsid w:val="00DD735D"/>
    <w:rsid w:val="00DE3119"/>
    <w:rsid w:val="00DE4105"/>
    <w:rsid w:val="00DE5189"/>
    <w:rsid w:val="00DF236B"/>
    <w:rsid w:val="00DF4451"/>
    <w:rsid w:val="00E027C5"/>
    <w:rsid w:val="00E109DD"/>
    <w:rsid w:val="00E13AB8"/>
    <w:rsid w:val="00E1482E"/>
    <w:rsid w:val="00E25CB3"/>
    <w:rsid w:val="00E26FCF"/>
    <w:rsid w:val="00E33B62"/>
    <w:rsid w:val="00E3403D"/>
    <w:rsid w:val="00E34E6C"/>
    <w:rsid w:val="00E36CEB"/>
    <w:rsid w:val="00E4143A"/>
    <w:rsid w:val="00E56090"/>
    <w:rsid w:val="00E565B9"/>
    <w:rsid w:val="00E613AE"/>
    <w:rsid w:val="00E630C0"/>
    <w:rsid w:val="00E65074"/>
    <w:rsid w:val="00E97F0A"/>
    <w:rsid w:val="00EA3DC2"/>
    <w:rsid w:val="00EB1910"/>
    <w:rsid w:val="00EB5779"/>
    <w:rsid w:val="00EB7798"/>
    <w:rsid w:val="00EC1CE7"/>
    <w:rsid w:val="00EC6014"/>
    <w:rsid w:val="00ED053A"/>
    <w:rsid w:val="00ED3347"/>
    <w:rsid w:val="00ED587F"/>
    <w:rsid w:val="00EE0253"/>
    <w:rsid w:val="00EE59B5"/>
    <w:rsid w:val="00EF45DF"/>
    <w:rsid w:val="00EF6784"/>
    <w:rsid w:val="00F1108B"/>
    <w:rsid w:val="00F24644"/>
    <w:rsid w:val="00F3335E"/>
    <w:rsid w:val="00F368FF"/>
    <w:rsid w:val="00F4345D"/>
    <w:rsid w:val="00F45B91"/>
    <w:rsid w:val="00F51A51"/>
    <w:rsid w:val="00F561E3"/>
    <w:rsid w:val="00F843DF"/>
    <w:rsid w:val="00F84899"/>
    <w:rsid w:val="00F859F0"/>
    <w:rsid w:val="00F87E29"/>
    <w:rsid w:val="00FA015F"/>
    <w:rsid w:val="00FA7A30"/>
    <w:rsid w:val="00FB27B7"/>
    <w:rsid w:val="00FB630E"/>
    <w:rsid w:val="00FB6738"/>
    <w:rsid w:val="00FC1196"/>
    <w:rsid w:val="00FC18DC"/>
    <w:rsid w:val="00FC3AE1"/>
    <w:rsid w:val="00FE141E"/>
    <w:rsid w:val="00FE35D0"/>
    <w:rsid w:val="00FE42ED"/>
    <w:rsid w:val="00FE55A7"/>
    <w:rsid w:val="00FE5C5A"/>
    <w:rsid w:val="00FF045F"/>
    <w:rsid w:val="00FF4D11"/>
    <w:rsid w:val="5129E812"/>
    <w:rsid w:val="6865C1B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5EE89B5A-387C-4F44-8FE8-32A550C78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14</Pages>
  <Words>5481</Words>
  <Characters>31242</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cp:lastPrinted>2020-01-30T15:05:00Z</cp:lastPrinted>
  <dcterms:created xsi:type="dcterms:W3CDTF">2020-08-11T05:01:00Z</dcterms:created>
  <dcterms:modified xsi:type="dcterms:W3CDTF">2020-08-11T05:01:00Z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