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03F9" w14:textId="2B4A3969" w:rsidR="00C8087D" w:rsidRDefault="006967F6" w:rsidP="006967F6">
      <w:pPr>
        <w:spacing w:after="0"/>
        <w:jc w:val="right"/>
        <w:rPr>
          <w:rFonts w:ascii="Arial" w:hAnsi="Arial" w:cs="Arial"/>
          <w:b/>
          <w:color w:val="000000" w:themeColor="text1"/>
          <w:sz w:val="16"/>
          <w:szCs w:val="16"/>
          <w:lang w:eastAsia="es-ES"/>
        </w:rPr>
      </w:pPr>
      <w:bookmarkStart w:id="0" w:name="_Hlk39683314"/>
      <w:bookmarkStart w:id="1" w:name="_Hlk32343291"/>
      <w:bookmarkStart w:id="2" w:name="_Hlk29890381"/>
      <w:r w:rsidRPr="006967F6">
        <w:rPr>
          <w:rFonts w:ascii="Arial" w:hAnsi="Arial" w:cs="Arial"/>
          <w:b/>
          <w:color w:val="000000" w:themeColor="text1"/>
          <w:sz w:val="16"/>
          <w:szCs w:val="16"/>
          <w:lang w:eastAsia="es-ES"/>
        </w:rPr>
        <w:t>CCE-DES-FM-17</w:t>
      </w:r>
      <w:bookmarkEnd w:id="0"/>
    </w:p>
    <w:p w14:paraId="25BC1D54" w14:textId="29E54F96" w:rsidR="00DA5EE5" w:rsidRPr="00607C83" w:rsidRDefault="00C8087D" w:rsidP="00DA5EE5">
      <w:pPr>
        <w:spacing w:after="0"/>
        <w:jc w:val="both"/>
        <w:rPr>
          <w:rFonts w:ascii="Arial" w:eastAsia="Calibri" w:hAnsi="Arial" w:cs="Arial"/>
          <w:b/>
          <w:color w:val="000000" w:themeColor="text1"/>
          <w:sz w:val="22"/>
        </w:rPr>
      </w:pPr>
      <w:r w:rsidRPr="00607C83">
        <w:rPr>
          <w:rFonts w:ascii="Arial" w:eastAsia="Calibri" w:hAnsi="Arial" w:cs="Arial"/>
          <w:b/>
          <w:color w:val="000000" w:themeColor="text1"/>
          <w:sz w:val="22"/>
        </w:rPr>
        <w:t>PERSONAS EN CONDICIÓN DE DISCAPACIDAD</w:t>
      </w:r>
      <w:r w:rsidR="00AE4018" w:rsidRPr="00607C83">
        <w:rPr>
          <w:rFonts w:ascii="Arial" w:eastAsia="Calibri" w:hAnsi="Arial" w:cs="Arial"/>
          <w:b/>
          <w:color w:val="000000" w:themeColor="text1"/>
          <w:sz w:val="22"/>
        </w:rPr>
        <w:t xml:space="preserve"> </w:t>
      </w:r>
      <w:r w:rsidR="006417EA" w:rsidRPr="00607C83">
        <w:rPr>
          <w:rFonts w:ascii="Arial" w:eastAsia="Calibri" w:hAnsi="Arial" w:cs="Arial"/>
          <w:b/>
          <w:color w:val="000000" w:themeColor="text1"/>
          <w:sz w:val="22"/>
        </w:rPr>
        <w:t xml:space="preserve">– </w:t>
      </w:r>
      <w:r w:rsidR="00454C70">
        <w:rPr>
          <w:rFonts w:ascii="Arial" w:eastAsia="Calibri" w:hAnsi="Arial" w:cs="Arial"/>
          <w:b/>
          <w:color w:val="000000" w:themeColor="text1"/>
          <w:sz w:val="22"/>
        </w:rPr>
        <w:t xml:space="preserve">Incentivo legal </w:t>
      </w:r>
      <w:r w:rsidR="00454C70" w:rsidRPr="00607C83">
        <w:rPr>
          <w:rFonts w:ascii="Arial" w:eastAsia="Calibri" w:hAnsi="Arial" w:cs="Arial"/>
          <w:b/>
          <w:color w:val="000000" w:themeColor="text1"/>
          <w:sz w:val="22"/>
        </w:rPr>
        <w:t xml:space="preserve">– </w:t>
      </w:r>
      <w:r w:rsidR="00454C70">
        <w:rPr>
          <w:rFonts w:ascii="Arial" w:eastAsia="Calibri" w:hAnsi="Arial" w:cs="Arial"/>
          <w:b/>
          <w:color w:val="000000" w:themeColor="text1"/>
          <w:sz w:val="22"/>
        </w:rPr>
        <w:t xml:space="preserve"> </w:t>
      </w:r>
      <w:r w:rsidRPr="00607C83">
        <w:rPr>
          <w:rFonts w:ascii="Arial" w:eastAsia="Calibri" w:hAnsi="Arial" w:cs="Arial"/>
          <w:b/>
          <w:color w:val="000000" w:themeColor="text1"/>
          <w:sz w:val="22"/>
        </w:rPr>
        <w:t xml:space="preserve">Puntaje adicional </w:t>
      </w:r>
      <w:r w:rsidR="006417EA" w:rsidRPr="00607C83">
        <w:rPr>
          <w:rFonts w:ascii="Arial" w:eastAsia="Calibri" w:hAnsi="Arial" w:cs="Arial"/>
          <w:b/>
          <w:color w:val="000000" w:themeColor="text1"/>
          <w:sz w:val="22"/>
        </w:rPr>
        <w:t>–</w:t>
      </w:r>
      <w:r w:rsidRPr="00607C83">
        <w:rPr>
          <w:rFonts w:ascii="Arial" w:eastAsia="Calibri" w:hAnsi="Arial" w:cs="Arial"/>
          <w:b/>
          <w:color w:val="000000" w:themeColor="text1"/>
          <w:sz w:val="22"/>
        </w:rPr>
        <w:t xml:space="preserve"> Normativa</w:t>
      </w:r>
    </w:p>
    <w:p w14:paraId="7D025214" w14:textId="29A1A0E5" w:rsidR="00C8087D" w:rsidRPr="00607C83" w:rsidRDefault="00C8087D" w:rsidP="00DA5EE5">
      <w:pPr>
        <w:tabs>
          <w:tab w:val="left" w:pos="1816"/>
        </w:tabs>
        <w:spacing w:after="0"/>
        <w:jc w:val="both"/>
        <w:rPr>
          <w:rFonts w:ascii="Arial" w:eastAsia="Calibri" w:hAnsi="Arial" w:cs="Arial"/>
          <w:b/>
          <w:color w:val="000000" w:themeColor="text1"/>
          <w:sz w:val="22"/>
        </w:rPr>
      </w:pPr>
      <w:r w:rsidRPr="00607C83">
        <w:rPr>
          <w:rFonts w:ascii="Arial" w:eastAsia="Calibri" w:hAnsi="Arial" w:cs="Arial"/>
          <w:b/>
          <w:color w:val="000000" w:themeColor="text1"/>
          <w:sz w:val="22"/>
        </w:rPr>
        <w:t xml:space="preserve"> </w:t>
      </w:r>
      <w:r w:rsidR="00DA5EE5" w:rsidRPr="00607C83">
        <w:rPr>
          <w:rFonts w:ascii="Arial" w:eastAsia="Calibri" w:hAnsi="Arial" w:cs="Arial"/>
          <w:b/>
          <w:color w:val="000000" w:themeColor="text1"/>
          <w:sz w:val="22"/>
        </w:rPr>
        <w:tab/>
      </w:r>
    </w:p>
    <w:p w14:paraId="5D13B563" w14:textId="77777777" w:rsidR="00C8087D" w:rsidRPr="00607C83" w:rsidRDefault="00C8087D" w:rsidP="00C8087D">
      <w:pPr>
        <w:spacing w:after="0"/>
        <w:jc w:val="both"/>
        <w:rPr>
          <w:rFonts w:ascii="Arial" w:eastAsia="Calibri" w:hAnsi="Arial" w:cs="Arial"/>
          <w:b/>
          <w:color w:val="000000" w:themeColor="text1"/>
          <w:sz w:val="20"/>
          <w:szCs w:val="20"/>
        </w:rPr>
      </w:pPr>
      <w:r w:rsidRPr="00607C83">
        <w:rPr>
          <w:rFonts w:ascii="Arial" w:hAnsi="Arial" w:cs="Arial"/>
          <w:color w:val="000000" w:themeColor="text1"/>
          <w:sz w:val="20"/>
          <w:szCs w:val="20"/>
        </w:rPr>
        <w:t xml:space="preserve">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607C83">
        <w:rPr>
          <w:rFonts w:ascii="Arial" w:eastAsia="Calibri" w:hAnsi="Arial" w:cs="Arial"/>
          <w:color w:val="000000" w:themeColor="text1"/>
          <w:sz w:val="20"/>
          <w:szCs w:val="20"/>
          <w:lang w:val="es-ES"/>
        </w:rPr>
        <w:t>Conforme a lo anterior, el Decreto 1082 de 2015, en el artículo 2.2.1.2.4.6, adicionado por el Decreto 392 de 2018, […]establece que debe asignarse un uno por ciento [1%] de puntaje adicional a los proponentes que acrediten la vinculación de trabajadores con discapacidad en los procesos de licitaciones públicas y concursos de méritos.</w:t>
      </w:r>
    </w:p>
    <w:p w14:paraId="58227500" w14:textId="77777777" w:rsidR="00C8087D" w:rsidRPr="00607C83" w:rsidRDefault="00C8087D" w:rsidP="00AE4018">
      <w:pPr>
        <w:spacing w:after="0"/>
        <w:jc w:val="both"/>
        <w:rPr>
          <w:rFonts w:ascii="Arial" w:eastAsia="Calibri" w:hAnsi="Arial" w:cs="Arial"/>
          <w:b/>
          <w:color w:val="000000" w:themeColor="text1"/>
          <w:sz w:val="22"/>
        </w:rPr>
      </w:pPr>
    </w:p>
    <w:p w14:paraId="3CEF5944" w14:textId="1499151E" w:rsidR="00C8087D" w:rsidRPr="00607C83" w:rsidRDefault="00454C70" w:rsidP="00AE4018">
      <w:pPr>
        <w:spacing w:after="0"/>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Pr="00607C83">
        <w:rPr>
          <w:rFonts w:ascii="Arial" w:eastAsia="Calibri" w:hAnsi="Arial" w:cs="Arial"/>
          <w:b/>
          <w:color w:val="000000" w:themeColor="text1"/>
          <w:sz w:val="22"/>
        </w:rPr>
        <w:t xml:space="preserve"> </w:t>
      </w:r>
      <w:r w:rsidR="00AE4018"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Formato 8 </w:t>
      </w:r>
      <w:r w:rsidR="00AE4018"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Vinculación personas en condición de discapacidad </w:t>
      </w:r>
      <w:r w:rsidR="00AE4018"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Requisitos</w:t>
      </w:r>
    </w:p>
    <w:p w14:paraId="06CD8609" w14:textId="77777777" w:rsidR="00AE4018" w:rsidRPr="00607C83" w:rsidRDefault="00AE4018" w:rsidP="00AE4018">
      <w:pPr>
        <w:spacing w:after="0"/>
        <w:jc w:val="both"/>
        <w:rPr>
          <w:rFonts w:ascii="Arial" w:eastAsia="Calibri" w:hAnsi="Arial" w:cs="Arial"/>
          <w:b/>
          <w:color w:val="000000" w:themeColor="text1"/>
          <w:sz w:val="20"/>
          <w:szCs w:val="20"/>
        </w:rPr>
      </w:pPr>
    </w:p>
    <w:p w14:paraId="45405E7E" w14:textId="77777777" w:rsidR="00C8087D" w:rsidRPr="00607C83" w:rsidRDefault="00C8087D" w:rsidP="00C8087D">
      <w:pPr>
        <w:spacing w:after="0"/>
        <w:jc w:val="both"/>
        <w:rPr>
          <w:rFonts w:ascii="Arial" w:eastAsia="Calibri" w:hAnsi="Arial" w:cs="Arial"/>
          <w:color w:val="000000" w:themeColor="text1"/>
          <w:sz w:val="20"/>
          <w:szCs w:val="20"/>
        </w:rPr>
      </w:pPr>
      <w:r w:rsidRPr="00607C83">
        <w:rPr>
          <w:rFonts w:ascii="Arial" w:eastAsia="Calibri" w:hAnsi="Arial" w:cs="Arial"/>
          <w:color w:val="000000" w:themeColor="text1"/>
          <w:sz w:val="20"/>
          <w:szCs w:val="20"/>
        </w:rPr>
        <w:t xml:space="preserve">En los procesos adelantados con Pliegos Tipo, los oferentes que quieran obtener el puntaje adicional por vinculación de personas con discapacidad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14:paraId="5175EAFA" w14:textId="77777777" w:rsidR="00C8087D" w:rsidRPr="00607C83" w:rsidRDefault="00C8087D" w:rsidP="007E6DFD">
      <w:pPr>
        <w:spacing w:after="0"/>
        <w:jc w:val="both"/>
        <w:rPr>
          <w:rFonts w:ascii="Arial" w:eastAsia="Calibri" w:hAnsi="Arial" w:cs="Arial"/>
          <w:b/>
          <w:color w:val="000000" w:themeColor="text1"/>
          <w:sz w:val="20"/>
          <w:szCs w:val="20"/>
        </w:rPr>
      </w:pPr>
    </w:p>
    <w:p w14:paraId="33C4658B" w14:textId="3113F0FD" w:rsidR="00C8087D" w:rsidRPr="00607C83" w:rsidRDefault="00454C70" w:rsidP="007E6DFD">
      <w:pPr>
        <w:spacing w:after="0"/>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00C8087D" w:rsidRPr="00607C83">
        <w:rPr>
          <w:rFonts w:ascii="Arial" w:eastAsia="Calibri" w:hAnsi="Arial" w:cs="Arial"/>
          <w:b/>
          <w:color w:val="000000" w:themeColor="text1"/>
          <w:sz w:val="22"/>
        </w:rPr>
        <w:t xml:space="preserve"> </w:t>
      </w:r>
      <w:r w:rsidR="007E6DFD"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Formato 8 </w:t>
      </w:r>
      <w:r w:rsidR="007E6DFD"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Indebido diligenciamiento</w:t>
      </w:r>
    </w:p>
    <w:p w14:paraId="6FEB5B54" w14:textId="77777777" w:rsidR="007E6DFD" w:rsidRPr="00607C83" w:rsidRDefault="007E6DFD" w:rsidP="007E6DFD">
      <w:pPr>
        <w:spacing w:after="0"/>
        <w:jc w:val="both"/>
        <w:rPr>
          <w:rFonts w:ascii="Arial" w:eastAsia="Calibri" w:hAnsi="Arial" w:cs="Arial"/>
          <w:color w:val="000000" w:themeColor="text1"/>
          <w:sz w:val="20"/>
          <w:szCs w:val="20"/>
        </w:rPr>
      </w:pPr>
    </w:p>
    <w:p w14:paraId="10784E7B" w14:textId="77777777" w:rsidR="00C8087D" w:rsidRPr="00607C83" w:rsidRDefault="00C8087D" w:rsidP="007E6DFD">
      <w:pPr>
        <w:spacing w:after="0"/>
        <w:jc w:val="both"/>
        <w:rPr>
          <w:rFonts w:ascii="Arial" w:eastAsia="Calibri" w:hAnsi="Arial" w:cs="Arial"/>
          <w:color w:val="000000" w:themeColor="text1"/>
          <w:sz w:val="20"/>
          <w:szCs w:val="20"/>
        </w:rPr>
      </w:pPr>
      <w:r w:rsidRPr="00607C83">
        <w:rPr>
          <w:rFonts w:ascii="Arial" w:eastAsia="Calibri" w:hAnsi="Arial" w:cs="Arial"/>
          <w:color w:val="000000" w:themeColor="text1"/>
          <w:sz w:val="20"/>
          <w:szCs w:val="20"/>
        </w:rPr>
        <w:t xml:space="preserve">El indebido diligenciamiento del «Formato 8 ― Vinculación de personas con discapacidad», que amerita que no se otorgue el correspondiente puntaje, no se configura por la suscripción conjunta del representante legal y el revisor fiscal, porque con la firma del revisor fiscal se cumple el requisito del numeral 1 del artículo 2.2.1.2.4.2.6. del Decreto 1082 de 2015, por lo que resulta irrelevante que el respectivo formato también este suscrito por el representante legal. </w:t>
      </w:r>
    </w:p>
    <w:p w14:paraId="72677502" w14:textId="77777777" w:rsidR="00C8087D" w:rsidRPr="00607C83" w:rsidRDefault="00C8087D" w:rsidP="00C8087D">
      <w:pPr>
        <w:spacing w:after="0"/>
        <w:jc w:val="both"/>
        <w:rPr>
          <w:rFonts w:ascii="Arial" w:eastAsia="Calibri" w:hAnsi="Arial" w:cs="Arial"/>
          <w:color w:val="000000" w:themeColor="text1"/>
          <w:sz w:val="20"/>
          <w:szCs w:val="20"/>
        </w:rPr>
      </w:pPr>
    </w:p>
    <w:p w14:paraId="0600D400" w14:textId="738DAD9D" w:rsidR="00C8087D" w:rsidRPr="00607C83" w:rsidRDefault="00454C70" w:rsidP="00C8087D">
      <w:pPr>
        <w:spacing w:after="18"/>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Pr="00607C83">
        <w:rPr>
          <w:rFonts w:ascii="Arial" w:eastAsia="Calibri" w:hAnsi="Arial" w:cs="Arial"/>
          <w:b/>
          <w:color w:val="000000" w:themeColor="text1"/>
          <w:sz w:val="22"/>
        </w:rPr>
        <w:t xml:space="preserve"> </w:t>
      </w:r>
      <w:bookmarkStart w:id="3" w:name="_GoBack"/>
      <w:bookmarkEnd w:id="3"/>
      <w:r w:rsidR="008937F9" w:rsidRPr="00607C83">
        <w:rPr>
          <w:rFonts w:ascii="Arial" w:eastAsia="Calibri" w:hAnsi="Arial" w:cs="Arial"/>
          <w:b/>
          <w:color w:val="000000" w:themeColor="text1"/>
          <w:sz w:val="22"/>
        </w:rPr>
        <w:t xml:space="preserve">– </w:t>
      </w:r>
      <w:r w:rsidR="00C8087D" w:rsidRPr="00607C83">
        <w:rPr>
          <w:rFonts w:ascii="Arial" w:eastAsia="Calibri" w:hAnsi="Arial" w:cs="Arial"/>
          <w:b/>
          <w:color w:val="000000" w:themeColor="text1"/>
          <w:sz w:val="22"/>
        </w:rPr>
        <w:t xml:space="preserve">Formato 8 </w:t>
      </w:r>
      <w:r w:rsidR="008937F9" w:rsidRPr="00607C83">
        <w:rPr>
          <w:rFonts w:ascii="Arial" w:eastAsia="Calibri" w:hAnsi="Arial" w:cs="Arial"/>
          <w:b/>
          <w:color w:val="000000" w:themeColor="text1"/>
          <w:sz w:val="22"/>
        </w:rPr>
        <w:t xml:space="preserve">– </w:t>
      </w:r>
      <w:r w:rsidR="00C8087D" w:rsidRPr="00607C83">
        <w:rPr>
          <w:rFonts w:ascii="Arial" w:eastAsia="Calibri" w:hAnsi="Arial" w:cs="Arial"/>
          <w:b/>
          <w:color w:val="000000" w:themeColor="text1"/>
          <w:sz w:val="22"/>
        </w:rPr>
        <w:t xml:space="preserve">Fecha de suscripción </w:t>
      </w:r>
      <w:r w:rsidR="008937F9" w:rsidRPr="00607C83">
        <w:rPr>
          <w:rFonts w:ascii="Arial" w:eastAsia="Calibri" w:hAnsi="Arial" w:cs="Arial"/>
          <w:b/>
          <w:color w:val="000000" w:themeColor="text1"/>
          <w:sz w:val="22"/>
        </w:rPr>
        <w:t>–</w:t>
      </w:r>
      <w:r w:rsidR="00C8087D" w:rsidRPr="00607C83">
        <w:rPr>
          <w:rFonts w:ascii="Arial" w:eastAsia="Calibri" w:hAnsi="Arial" w:cs="Arial"/>
          <w:b/>
          <w:color w:val="000000" w:themeColor="text1"/>
          <w:sz w:val="22"/>
        </w:rPr>
        <w:t xml:space="preserve"> Aclaración de oferta</w:t>
      </w:r>
    </w:p>
    <w:p w14:paraId="68D1CAA8" w14:textId="77777777" w:rsidR="00C8087D" w:rsidRPr="00607C83" w:rsidRDefault="00C8087D" w:rsidP="00C8087D">
      <w:pPr>
        <w:spacing w:after="18"/>
        <w:jc w:val="both"/>
        <w:rPr>
          <w:rFonts w:ascii="Arial" w:eastAsia="Calibri" w:hAnsi="Arial" w:cs="Arial"/>
          <w:b/>
          <w:color w:val="000000" w:themeColor="text1"/>
          <w:sz w:val="20"/>
          <w:szCs w:val="20"/>
        </w:rPr>
      </w:pPr>
    </w:p>
    <w:p w14:paraId="535873E2" w14:textId="77777777" w:rsidR="00C8087D" w:rsidRPr="00607C83" w:rsidRDefault="00C8087D" w:rsidP="00C8087D">
      <w:pPr>
        <w:spacing w:after="0"/>
        <w:jc w:val="both"/>
        <w:rPr>
          <w:rFonts w:ascii="Arial" w:eastAsia="Calibri" w:hAnsi="Arial" w:cs="Arial"/>
          <w:color w:val="000000" w:themeColor="text1"/>
          <w:sz w:val="20"/>
          <w:szCs w:val="20"/>
        </w:rPr>
      </w:pPr>
      <w:bookmarkStart w:id="4" w:name="_Hlk28946138"/>
      <w:bookmarkStart w:id="5" w:name="_Hlk29548183"/>
      <w:r w:rsidRPr="00607C83">
        <w:rPr>
          <w:rFonts w:ascii="Arial" w:eastAsia="Calibri" w:hAnsi="Arial" w:cs="Arial"/>
          <w:color w:val="000000" w:themeColor="text1"/>
          <w:sz w:val="20"/>
          <w:szCs w:val="20"/>
        </w:rPr>
        <w:t xml:space="preserve">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 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 </w:t>
      </w:r>
    </w:p>
    <w:p w14:paraId="777B54E3" w14:textId="77777777" w:rsidR="00C8087D" w:rsidRPr="00607C83" w:rsidRDefault="00C8087D" w:rsidP="00156341">
      <w:pPr>
        <w:spacing w:after="0"/>
        <w:rPr>
          <w:rFonts w:ascii="Arial" w:hAnsi="Arial" w:cs="Arial"/>
          <w:color w:val="000000" w:themeColor="text1"/>
          <w:sz w:val="22"/>
        </w:rPr>
      </w:pPr>
    </w:p>
    <w:p w14:paraId="7133C417" w14:textId="77777777" w:rsidR="00EB3A11" w:rsidRPr="00607C83" w:rsidRDefault="00EB3A11" w:rsidP="02075A97">
      <w:pPr>
        <w:pStyle w:val="Default"/>
        <w:rPr>
          <w:rFonts w:eastAsia="Arial"/>
          <w:color w:val="000000" w:themeColor="text1"/>
          <w:sz w:val="22"/>
          <w:szCs w:val="22"/>
        </w:rPr>
      </w:pPr>
      <w:r w:rsidRPr="02075A97">
        <w:rPr>
          <w:rFonts w:eastAsia="Arial"/>
          <w:color w:val="000000" w:themeColor="text1"/>
          <w:sz w:val="22"/>
          <w:szCs w:val="22"/>
        </w:rPr>
        <w:t xml:space="preserve">Bogotá D.C., </w:t>
      </w:r>
      <w:r w:rsidRPr="02075A97">
        <w:rPr>
          <w:rFonts w:eastAsia="Arial"/>
          <w:b/>
          <w:bCs/>
          <w:color w:val="000000" w:themeColor="text1"/>
          <w:sz w:val="22"/>
          <w:szCs w:val="22"/>
        </w:rPr>
        <w:t xml:space="preserve">11/02/2020 Hora 20:4:10s </w:t>
      </w:r>
    </w:p>
    <w:p w14:paraId="6FB636C4" w14:textId="6BDD324C" w:rsidR="00C8087D" w:rsidRPr="00607C83" w:rsidRDefault="00EB3A11" w:rsidP="02075A97">
      <w:pPr>
        <w:spacing w:after="18"/>
        <w:jc w:val="right"/>
        <w:rPr>
          <w:rFonts w:ascii="Arial" w:eastAsia="Arial" w:hAnsi="Arial" w:cs="Arial"/>
          <w:b/>
          <w:bCs/>
          <w:color w:val="000000" w:themeColor="text1"/>
          <w:sz w:val="22"/>
        </w:rPr>
      </w:pPr>
      <w:r w:rsidRPr="02075A97">
        <w:rPr>
          <w:rFonts w:ascii="Arial" w:eastAsia="Arial" w:hAnsi="Arial" w:cs="Arial"/>
          <w:b/>
          <w:bCs/>
          <w:color w:val="000000" w:themeColor="text1"/>
          <w:sz w:val="22"/>
        </w:rPr>
        <w:t>N° Radicado: 2202013000000877</w:t>
      </w:r>
    </w:p>
    <w:p w14:paraId="1FDF87E5" w14:textId="5D6D2073" w:rsidR="00EB3A11" w:rsidRPr="00607C83" w:rsidRDefault="00EB3A11" w:rsidP="00EB3A11">
      <w:pPr>
        <w:spacing w:after="18"/>
        <w:jc w:val="right"/>
        <w:rPr>
          <w:b/>
          <w:bCs/>
          <w:color w:val="000000" w:themeColor="text1"/>
          <w:sz w:val="22"/>
        </w:rPr>
      </w:pPr>
    </w:p>
    <w:p w14:paraId="3C5FF46A" w14:textId="77777777" w:rsidR="00C8087D" w:rsidRPr="00607C83" w:rsidRDefault="00C8087D" w:rsidP="00C8087D">
      <w:pPr>
        <w:spacing w:after="18"/>
        <w:rPr>
          <w:rFonts w:ascii="Arial" w:eastAsia="Calibri" w:hAnsi="Arial" w:cs="Arial"/>
          <w:color w:val="000000" w:themeColor="text1"/>
          <w:sz w:val="22"/>
        </w:rPr>
      </w:pPr>
      <w:r w:rsidRPr="00607C83">
        <w:rPr>
          <w:rFonts w:ascii="Arial" w:eastAsia="Calibri" w:hAnsi="Arial" w:cs="Arial"/>
          <w:color w:val="000000" w:themeColor="text1"/>
          <w:sz w:val="22"/>
        </w:rPr>
        <w:t xml:space="preserve">Señor </w:t>
      </w:r>
    </w:p>
    <w:p w14:paraId="4830600C" w14:textId="77777777" w:rsidR="00C8087D" w:rsidRPr="00607C83" w:rsidRDefault="00C8087D" w:rsidP="00C8087D">
      <w:pPr>
        <w:spacing w:after="18"/>
        <w:rPr>
          <w:rFonts w:ascii="Arial" w:eastAsia="Calibri" w:hAnsi="Arial" w:cs="Arial"/>
          <w:b/>
          <w:color w:val="000000" w:themeColor="text1"/>
          <w:sz w:val="22"/>
        </w:rPr>
      </w:pPr>
      <w:r w:rsidRPr="00607C83">
        <w:rPr>
          <w:rFonts w:ascii="Arial" w:eastAsia="Calibri" w:hAnsi="Arial" w:cs="Arial"/>
          <w:b/>
          <w:color w:val="000000" w:themeColor="text1"/>
          <w:sz w:val="22"/>
        </w:rPr>
        <w:t xml:space="preserve">Giovanni Pineda Cortes </w:t>
      </w:r>
    </w:p>
    <w:p w14:paraId="02E18886" w14:textId="77777777" w:rsidR="00C8087D" w:rsidRPr="00607C83" w:rsidRDefault="00C8087D" w:rsidP="00C8087D">
      <w:pPr>
        <w:spacing w:after="18"/>
        <w:rPr>
          <w:rFonts w:ascii="Arial" w:eastAsia="Calibri" w:hAnsi="Arial" w:cs="Arial"/>
          <w:color w:val="000000" w:themeColor="text1"/>
          <w:sz w:val="22"/>
        </w:rPr>
      </w:pPr>
      <w:r w:rsidRPr="00607C83">
        <w:rPr>
          <w:rFonts w:ascii="Arial" w:eastAsia="Calibri" w:hAnsi="Arial" w:cs="Arial"/>
          <w:color w:val="000000" w:themeColor="text1"/>
          <w:sz w:val="22"/>
        </w:rPr>
        <w:t>Villavicencio.</w:t>
      </w:r>
    </w:p>
    <w:p w14:paraId="213F4031" w14:textId="77777777" w:rsidR="00C8087D" w:rsidRPr="00607C83" w:rsidRDefault="00C8087D" w:rsidP="00C8087D">
      <w:pPr>
        <w:spacing w:after="18"/>
        <w:rPr>
          <w:rFonts w:ascii="Arial" w:eastAsia="Calibri" w:hAnsi="Arial" w:cs="Arial"/>
          <w:color w:val="000000" w:themeColor="text1"/>
          <w:sz w:val="22"/>
        </w:rPr>
      </w:pPr>
    </w:p>
    <w:p w14:paraId="128E6488" w14:textId="54DB8545" w:rsidR="00C8087D" w:rsidRPr="00607C83" w:rsidRDefault="00C8087D" w:rsidP="00C8087D">
      <w:pPr>
        <w:spacing w:after="18"/>
        <w:jc w:val="center"/>
        <w:rPr>
          <w:rFonts w:ascii="Arial" w:eastAsia="Calibri" w:hAnsi="Arial" w:cs="Arial"/>
          <w:b/>
          <w:color w:val="000000" w:themeColor="text1"/>
          <w:sz w:val="22"/>
        </w:rPr>
      </w:pPr>
      <w:r w:rsidRPr="00607C83">
        <w:rPr>
          <w:rFonts w:ascii="Arial" w:eastAsia="Calibri" w:hAnsi="Arial" w:cs="Arial"/>
          <w:b/>
          <w:color w:val="000000" w:themeColor="text1"/>
          <w:sz w:val="22"/>
        </w:rPr>
        <w:t>Concepto C ―</w:t>
      </w:r>
      <w:r w:rsidR="007C433E">
        <w:rPr>
          <w:rFonts w:ascii="Arial" w:eastAsia="Calibri" w:hAnsi="Arial" w:cs="Arial"/>
          <w:b/>
          <w:color w:val="000000" w:themeColor="text1"/>
          <w:sz w:val="22"/>
        </w:rPr>
        <w:t xml:space="preserve"> </w:t>
      </w:r>
      <w:r w:rsidRPr="00607C83">
        <w:rPr>
          <w:rFonts w:ascii="Arial" w:eastAsia="Calibri" w:hAnsi="Arial" w:cs="Arial"/>
          <w:b/>
          <w:color w:val="000000" w:themeColor="text1"/>
          <w:sz w:val="22"/>
        </w:rPr>
        <w:t>026 de 2020</w:t>
      </w:r>
    </w:p>
    <w:p w14:paraId="7BB37FE2" w14:textId="77777777" w:rsidR="00C8087D" w:rsidRPr="00607C83" w:rsidRDefault="00C8087D" w:rsidP="00C8087D">
      <w:pPr>
        <w:spacing w:after="18"/>
        <w:jc w:val="center"/>
        <w:rPr>
          <w:rFonts w:ascii="Arial" w:eastAsia="Calibri" w:hAnsi="Arial" w:cs="Arial"/>
          <w:b/>
          <w:color w:val="000000" w:themeColor="text1"/>
          <w:sz w:val="22"/>
        </w:rPr>
      </w:pPr>
    </w:p>
    <w:p w14:paraId="303DF012" w14:textId="77777777" w:rsidR="00C8087D" w:rsidRPr="00607C83" w:rsidRDefault="00C8087D" w:rsidP="00C8087D">
      <w:pPr>
        <w:spacing w:after="18"/>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7C83" w:rsidRPr="00607C83" w14:paraId="3B7D2D41" w14:textId="77777777" w:rsidTr="0005227A">
        <w:tc>
          <w:tcPr>
            <w:tcW w:w="2689" w:type="dxa"/>
            <w:hideMark/>
          </w:tcPr>
          <w:p w14:paraId="532FBCD4" w14:textId="77777777" w:rsidR="00C8087D" w:rsidRPr="00607C83" w:rsidRDefault="00C8087D" w:rsidP="0005227A">
            <w:pPr>
              <w:spacing w:after="18"/>
              <w:rPr>
                <w:rFonts w:ascii="Arial" w:eastAsia="Calibri" w:hAnsi="Arial" w:cs="Arial"/>
                <w:color w:val="000000" w:themeColor="text1"/>
                <w:sz w:val="22"/>
              </w:rPr>
            </w:pPr>
            <w:r w:rsidRPr="00607C83">
              <w:rPr>
                <w:rFonts w:ascii="Arial" w:eastAsia="Calibri" w:hAnsi="Arial" w:cs="Arial"/>
                <w:b/>
                <w:color w:val="000000" w:themeColor="text1"/>
                <w:sz w:val="22"/>
              </w:rPr>
              <w:t>Temas:</w:t>
            </w:r>
            <w:r w:rsidRPr="00607C83">
              <w:rPr>
                <w:rFonts w:ascii="Arial" w:eastAsia="Calibri" w:hAnsi="Arial" w:cs="Arial"/>
                <w:color w:val="000000" w:themeColor="text1"/>
                <w:sz w:val="22"/>
              </w:rPr>
              <w:t xml:space="preserve">           </w:t>
            </w:r>
          </w:p>
          <w:p w14:paraId="696BE622" w14:textId="77777777" w:rsidR="00C8087D" w:rsidRPr="00607C83" w:rsidRDefault="00C8087D" w:rsidP="0005227A">
            <w:pPr>
              <w:spacing w:after="18"/>
              <w:rPr>
                <w:rFonts w:ascii="Arial" w:eastAsia="Calibri" w:hAnsi="Arial" w:cs="Arial"/>
                <w:color w:val="000000" w:themeColor="text1"/>
                <w:sz w:val="22"/>
              </w:rPr>
            </w:pPr>
            <w:r w:rsidRPr="00607C83">
              <w:rPr>
                <w:rFonts w:ascii="Arial" w:eastAsia="Calibri" w:hAnsi="Arial" w:cs="Arial"/>
                <w:color w:val="000000" w:themeColor="text1"/>
                <w:sz w:val="22"/>
              </w:rPr>
              <w:t xml:space="preserve">                           </w:t>
            </w:r>
          </w:p>
        </w:tc>
        <w:tc>
          <w:tcPr>
            <w:tcW w:w="6237" w:type="dxa"/>
            <w:hideMark/>
          </w:tcPr>
          <w:p w14:paraId="6B688D60" w14:textId="77777777" w:rsidR="00C8087D" w:rsidRPr="00607C83" w:rsidRDefault="00C8087D" w:rsidP="0005227A">
            <w:pPr>
              <w:jc w:val="both"/>
              <w:rPr>
                <w:rFonts w:ascii="Arial" w:eastAsia="Calibri" w:hAnsi="Arial" w:cs="Arial"/>
                <w:color w:val="000000" w:themeColor="text1"/>
                <w:sz w:val="22"/>
              </w:rPr>
            </w:pPr>
            <w:r w:rsidRPr="00607C83">
              <w:rPr>
                <w:rFonts w:ascii="Arial" w:eastAsia="Calibri" w:hAnsi="Arial" w:cs="Arial"/>
                <w:color w:val="000000" w:themeColor="text1"/>
                <w:sz w:val="22"/>
              </w:rPr>
              <w:t>INCENTIVO LEGAL PERSONAS EN CONDICIÓN DE DISCAPACIDAD — Puntaje adicional — Normativa PLIEGOS TIPO</w:t>
            </w:r>
            <w:r w:rsidRPr="00607C83">
              <w:rPr>
                <w:rFonts w:ascii="Arial" w:eastAsia="Calibri" w:hAnsi="Arial" w:cs="Arial"/>
                <w:color w:val="000000" w:themeColor="text1"/>
                <w:sz w:val="22"/>
              </w:rPr>
              <w:softHyphen/>
              <w:t xml:space="preserve"> ― Formato 8 — Vinculación personas en condición de discapacidad — Requisitos ― Indebido diligenciamiento ― Fecha de suscripción</w:t>
            </w:r>
          </w:p>
          <w:p w14:paraId="250492B7" w14:textId="77777777" w:rsidR="00C8087D" w:rsidRPr="00607C83" w:rsidRDefault="00C8087D" w:rsidP="0005227A">
            <w:pPr>
              <w:spacing w:after="18"/>
              <w:jc w:val="both"/>
              <w:rPr>
                <w:rFonts w:ascii="Arial" w:eastAsia="Calibri" w:hAnsi="Arial" w:cs="Arial"/>
                <w:color w:val="000000" w:themeColor="text1"/>
                <w:sz w:val="22"/>
              </w:rPr>
            </w:pPr>
          </w:p>
        </w:tc>
      </w:tr>
      <w:tr w:rsidR="00C8087D" w:rsidRPr="00607C83" w14:paraId="6A733E4E" w14:textId="77777777" w:rsidTr="0005227A">
        <w:tc>
          <w:tcPr>
            <w:tcW w:w="2689" w:type="dxa"/>
          </w:tcPr>
          <w:p w14:paraId="4C3DE7FC" w14:textId="77777777" w:rsidR="00C8087D" w:rsidRPr="00607C83" w:rsidRDefault="00C8087D" w:rsidP="0005227A">
            <w:pPr>
              <w:spacing w:after="18"/>
              <w:rPr>
                <w:rFonts w:ascii="Arial" w:eastAsia="Calibri" w:hAnsi="Arial" w:cs="Arial"/>
                <w:b/>
                <w:color w:val="000000" w:themeColor="text1"/>
                <w:sz w:val="22"/>
              </w:rPr>
            </w:pPr>
            <w:r w:rsidRPr="00607C83">
              <w:rPr>
                <w:rFonts w:ascii="Arial" w:eastAsia="Calibri" w:hAnsi="Arial" w:cs="Arial"/>
                <w:b/>
                <w:color w:val="000000" w:themeColor="text1"/>
                <w:sz w:val="22"/>
              </w:rPr>
              <w:t>Radicación:</w:t>
            </w:r>
            <w:r w:rsidRPr="00607C83">
              <w:rPr>
                <w:rFonts w:ascii="Arial" w:eastAsia="Calibri" w:hAnsi="Arial" w:cs="Arial"/>
                <w:color w:val="000000" w:themeColor="text1"/>
                <w:sz w:val="22"/>
              </w:rPr>
              <w:t xml:space="preserve">                              </w:t>
            </w:r>
          </w:p>
        </w:tc>
        <w:tc>
          <w:tcPr>
            <w:tcW w:w="6237" w:type="dxa"/>
          </w:tcPr>
          <w:p w14:paraId="7DF9926C" w14:textId="77777777" w:rsidR="00C8087D" w:rsidRPr="00607C83" w:rsidRDefault="00C8087D" w:rsidP="0005227A">
            <w:pPr>
              <w:spacing w:after="18"/>
              <w:jc w:val="both"/>
              <w:rPr>
                <w:rFonts w:ascii="Arial" w:eastAsia="Calibri" w:hAnsi="Arial" w:cs="Arial"/>
                <w:color w:val="000000" w:themeColor="text1"/>
                <w:sz w:val="22"/>
              </w:rPr>
            </w:pPr>
            <w:r w:rsidRPr="00607C83">
              <w:rPr>
                <w:rFonts w:ascii="Arial" w:eastAsia="Calibri" w:hAnsi="Arial" w:cs="Arial"/>
                <w:color w:val="000000" w:themeColor="text1"/>
                <w:sz w:val="22"/>
              </w:rPr>
              <w:t>Respuesta a consulta # 4202012000000025</w:t>
            </w:r>
          </w:p>
        </w:tc>
      </w:tr>
    </w:tbl>
    <w:p w14:paraId="622A26F4" w14:textId="77777777" w:rsidR="00C8087D" w:rsidRPr="00607C83" w:rsidRDefault="00C8087D" w:rsidP="00C8087D">
      <w:pPr>
        <w:spacing w:after="18"/>
        <w:jc w:val="both"/>
        <w:rPr>
          <w:rFonts w:ascii="Arial" w:eastAsia="Calibri" w:hAnsi="Arial" w:cs="Arial"/>
          <w:color w:val="000000" w:themeColor="text1"/>
          <w:sz w:val="22"/>
        </w:rPr>
      </w:pPr>
    </w:p>
    <w:p w14:paraId="062538B5" w14:textId="77777777" w:rsidR="00C8087D" w:rsidRPr="00607C83" w:rsidRDefault="00C8087D" w:rsidP="00C8087D">
      <w:pPr>
        <w:spacing w:after="18"/>
        <w:rPr>
          <w:rFonts w:ascii="Arial" w:eastAsia="Calibri" w:hAnsi="Arial" w:cs="Arial"/>
          <w:color w:val="000000" w:themeColor="text1"/>
          <w:sz w:val="22"/>
        </w:rPr>
      </w:pPr>
    </w:p>
    <w:p w14:paraId="5CFD37F7" w14:textId="77777777" w:rsidR="00C8087D" w:rsidRPr="00607C83" w:rsidRDefault="00C8087D" w:rsidP="00C8087D">
      <w:pPr>
        <w:spacing w:after="18"/>
        <w:rPr>
          <w:rFonts w:ascii="Arial" w:eastAsia="Calibri" w:hAnsi="Arial" w:cs="Arial"/>
          <w:color w:val="000000" w:themeColor="text1"/>
          <w:sz w:val="22"/>
        </w:rPr>
      </w:pPr>
      <w:r w:rsidRPr="00607C83">
        <w:rPr>
          <w:rFonts w:ascii="Arial" w:eastAsia="Calibri" w:hAnsi="Arial" w:cs="Arial"/>
          <w:color w:val="000000" w:themeColor="text1"/>
          <w:sz w:val="22"/>
        </w:rPr>
        <w:t>Estimado señor,</w:t>
      </w:r>
    </w:p>
    <w:p w14:paraId="7958F21E" w14:textId="77777777" w:rsidR="00C8087D" w:rsidRPr="00607C83" w:rsidRDefault="00C8087D" w:rsidP="00C8087D">
      <w:pPr>
        <w:spacing w:after="18"/>
        <w:rPr>
          <w:rFonts w:ascii="Arial" w:eastAsia="Calibri" w:hAnsi="Arial" w:cs="Arial"/>
          <w:color w:val="000000" w:themeColor="text1"/>
          <w:sz w:val="22"/>
        </w:rPr>
      </w:pPr>
    </w:p>
    <w:p w14:paraId="644D5E9C" w14:textId="77777777" w:rsidR="00C8087D" w:rsidRPr="00607C83" w:rsidRDefault="00C8087D" w:rsidP="00C8087D">
      <w:pPr>
        <w:spacing w:before="120"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La Agencia Nacional de Contratación Pública ― Colombia Compra Eficiente responde su consulta del 2 de enero de 2020, en ejercicio de la competencia otorgada por el numeral 8 del artículo 11 y el numeral 5 del artículo 3 del Decreto Ley 4170 de 2011. </w:t>
      </w:r>
    </w:p>
    <w:p w14:paraId="07336E4D" w14:textId="77777777" w:rsidR="00C8087D" w:rsidRPr="00607C83" w:rsidRDefault="00C8087D" w:rsidP="00C8087D">
      <w:pPr>
        <w:spacing w:before="120" w:line="276" w:lineRule="auto"/>
        <w:jc w:val="both"/>
        <w:rPr>
          <w:rFonts w:ascii="Arial" w:eastAsia="Calibri" w:hAnsi="Arial" w:cs="Arial"/>
          <w:color w:val="000000" w:themeColor="text1"/>
          <w:sz w:val="22"/>
        </w:rPr>
      </w:pPr>
    </w:p>
    <w:p w14:paraId="5B1B3B77" w14:textId="77777777" w:rsidR="00C8087D" w:rsidRPr="00607C83" w:rsidRDefault="00C8087D" w:rsidP="00C8087D">
      <w:pPr>
        <w:pStyle w:val="Prrafodelista"/>
        <w:numPr>
          <w:ilvl w:val="0"/>
          <w:numId w:val="6"/>
        </w:numPr>
        <w:tabs>
          <w:tab w:val="left" w:pos="284"/>
          <w:tab w:val="left" w:pos="426"/>
        </w:tabs>
        <w:spacing w:before="120" w:line="276" w:lineRule="auto"/>
        <w:ind w:left="0" w:firstLine="0"/>
        <w:contextualSpacing w:val="0"/>
        <w:jc w:val="both"/>
        <w:rPr>
          <w:rFonts w:ascii="Arial" w:eastAsia="Calibri" w:hAnsi="Arial" w:cs="Arial"/>
          <w:b/>
          <w:color w:val="000000" w:themeColor="text1"/>
          <w:sz w:val="22"/>
        </w:rPr>
      </w:pPr>
      <w:r w:rsidRPr="00607C83">
        <w:rPr>
          <w:rFonts w:ascii="Arial" w:eastAsia="Calibri" w:hAnsi="Arial" w:cs="Arial"/>
          <w:b/>
          <w:color w:val="000000" w:themeColor="text1"/>
          <w:sz w:val="22"/>
        </w:rPr>
        <w:t xml:space="preserve">Problemas planteados </w:t>
      </w:r>
    </w:p>
    <w:p w14:paraId="3EC5269D" w14:textId="77777777" w:rsidR="00C8087D" w:rsidRPr="00607C83" w:rsidRDefault="00C8087D" w:rsidP="00C8087D">
      <w:pPr>
        <w:tabs>
          <w:tab w:val="left" w:pos="426"/>
        </w:tabs>
        <w:spacing w:before="120"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t>Usted realiza las siguientes preguntas: i) «con respecto al formato de certificación de vinculación de personal con discapacidad de una empresa ¿puede una entidad contratante no aceptarlo o no otorgar los puntos por este concepto aduciendo que el formato está firmado por el representante legal y el revisor fiscal de una empresa?», ii) «¿puede una entidad no dar los puntos aduciendo que la fecha del formato debe ser la programada en el cronograma para el día de cierre?».</w:t>
      </w:r>
    </w:p>
    <w:p w14:paraId="2C671B78" w14:textId="77777777" w:rsidR="00C8087D" w:rsidRPr="00607C83" w:rsidRDefault="00C8087D" w:rsidP="00C8087D">
      <w:pPr>
        <w:tabs>
          <w:tab w:val="left" w:pos="426"/>
        </w:tabs>
        <w:spacing w:before="120" w:line="276" w:lineRule="auto"/>
        <w:jc w:val="both"/>
        <w:rPr>
          <w:rFonts w:ascii="Arial" w:eastAsia="Calibri" w:hAnsi="Arial" w:cs="Arial"/>
          <w:color w:val="000000" w:themeColor="text1"/>
          <w:sz w:val="22"/>
        </w:rPr>
      </w:pPr>
    </w:p>
    <w:p w14:paraId="0A959A8C" w14:textId="77777777" w:rsidR="00C8087D" w:rsidRPr="00607C83" w:rsidRDefault="00C8087D" w:rsidP="00C8087D">
      <w:pPr>
        <w:pStyle w:val="Prrafodelista"/>
        <w:numPr>
          <w:ilvl w:val="0"/>
          <w:numId w:val="6"/>
        </w:numPr>
        <w:tabs>
          <w:tab w:val="left" w:pos="426"/>
        </w:tabs>
        <w:spacing w:before="120" w:line="276" w:lineRule="auto"/>
        <w:ind w:left="284" w:hanging="284"/>
        <w:contextualSpacing w:val="0"/>
        <w:jc w:val="both"/>
        <w:rPr>
          <w:rFonts w:ascii="Arial" w:eastAsia="Calibri" w:hAnsi="Arial" w:cs="Arial"/>
          <w:b/>
          <w:color w:val="000000" w:themeColor="text1"/>
          <w:sz w:val="22"/>
        </w:rPr>
      </w:pPr>
      <w:r w:rsidRPr="00607C83">
        <w:rPr>
          <w:rFonts w:ascii="Arial" w:eastAsia="Calibri" w:hAnsi="Arial" w:cs="Arial"/>
          <w:b/>
          <w:color w:val="000000" w:themeColor="text1"/>
          <w:sz w:val="22"/>
        </w:rPr>
        <w:t>Consideraciones</w:t>
      </w:r>
      <w:bookmarkEnd w:id="4"/>
    </w:p>
    <w:p w14:paraId="28569912" w14:textId="77777777" w:rsidR="00C8087D" w:rsidRPr="00607C83" w:rsidRDefault="00C8087D" w:rsidP="00C8087D">
      <w:pPr>
        <w:spacing w:before="120" w:line="276" w:lineRule="auto"/>
        <w:jc w:val="both"/>
        <w:rPr>
          <w:rFonts w:ascii="Arial" w:eastAsia="Calibri" w:hAnsi="Arial" w:cs="Arial"/>
          <w:color w:val="000000" w:themeColor="text1"/>
          <w:sz w:val="22"/>
        </w:rPr>
      </w:pPr>
      <w:r w:rsidRPr="00607C83">
        <w:rPr>
          <w:rFonts w:ascii="Arial" w:hAnsi="Arial" w:cs="Arial"/>
          <w:color w:val="000000" w:themeColor="text1"/>
          <w:sz w:val="22"/>
        </w:rPr>
        <w:t xml:space="preserve">La Agencia Nacional de Contratación Pública ― Colombia Compra Eficiente </w:t>
      </w:r>
      <w:r w:rsidRPr="00607C83">
        <w:rPr>
          <w:rFonts w:ascii="Arial" w:eastAsia="Calibri" w:hAnsi="Arial" w:cs="Arial"/>
          <w:color w:val="000000" w:themeColor="text1"/>
          <w:sz w:val="22"/>
        </w:rPr>
        <w:t>en el concepto con radicado No.</w:t>
      </w:r>
      <w:r w:rsidRPr="00607C83">
        <w:rPr>
          <w:rFonts w:ascii="Arial" w:hAnsi="Arial" w:cs="Arial"/>
          <w:color w:val="000000" w:themeColor="text1"/>
        </w:rPr>
        <w:t xml:space="preserve"> </w:t>
      </w:r>
      <w:r w:rsidRPr="00607C83">
        <w:rPr>
          <w:rFonts w:ascii="Arial" w:eastAsia="Calibri" w:hAnsi="Arial" w:cs="Arial"/>
          <w:color w:val="000000" w:themeColor="text1"/>
          <w:sz w:val="22"/>
        </w:rPr>
        <w:t xml:space="preserve">4201912000004631 de 10 de julio de 2019, reiterado y desarrollado en los conceptos con radicado No. 4201913000005084 del 23 de julio de 2019 radicado No. 4201913000004446 del 13 de agosto de 2019, radicado No. 4201912000005689 del 16 de </w:t>
      </w:r>
      <w:r w:rsidRPr="00607C83">
        <w:rPr>
          <w:rFonts w:ascii="Arial" w:eastAsia="Calibri" w:hAnsi="Arial" w:cs="Arial"/>
          <w:color w:val="000000" w:themeColor="text1"/>
          <w:sz w:val="22"/>
        </w:rPr>
        <w:lastRenderedPageBreak/>
        <w:t xml:space="preserve">septiembre de 2019, radicado No. </w:t>
      </w:r>
      <w:r w:rsidRPr="00607C83">
        <w:rPr>
          <w:rFonts w:ascii="Arial" w:hAnsi="Arial" w:cs="Arial"/>
          <w:color w:val="000000" w:themeColor="text1"/>
          <w:sz w:val="22"/>
        </w:rPr>
        <w:t xml:space="preserve">4201913000006373 del 18 de septiembre de 2019, </w:t>
      </w:r>
      <w:r w:rsidRPr="00607C83">
        <w:rPr>
          <w:rFonts w:ascii="Arial" w:eastAsia="Calibri" w:hAnsi="Arial" w:cs="Arial"/>
          <w:color w:val="000000" w:themeColor="text1"/>
          <w:sz w:val="22"/>
        </w:rPr>
        <w:t xml:space="preserve">radicado No. 4201912000006258 del 3 de octubre de 2019, radicado No. 4201913000006154 del 10 de octubre de 2019, radicado No. </w:t>
      </w:r>
      <w:r w:rsidRPr="00607C83">
        <w:rPr>
          <w:rFonts w:ascii="Arial" w:hAnsi="Arial" w:cs="Arial"/>
          <w:color w:val="000000" w:themeColor="text1"/>
          <w:sz w:val="22"/>
        </w:rPr>
        <w:t>4201912000007756 del 16 de noviembre de 2019,</w:t>
      </w:r>
      <w:r w:rsidRPr="00607C83">
        <w:rPr>
          <w:rFonts w:ascii="Arial" w:eastAsia="Calibri" w:hAnsi="Arial" w:cs="Arial"/>
          <w:color w:val="000000" w:themeColor="text1"/>
          <w:sz w:val="22"/>
        </w:rPr>
        <w:t xml:space="preserve"> radicado No. 4201913000007151 del 2 de diciembre de 2019 y radicado No. 4201912000008593 de 27 de diciembre de 2019, estudió los requisitos para acreditar el personal en situación de discapacidad, con la finalidad de obtener el incentivo previsto en el Decreto 392 de 2018. La tesis desarrollada se expone a continuación. </w:t>
      </w:r>
    </w:p>
    <w:p w14:paraId="1D3B0176"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Con la expedición de la Ley 1618 de 2013 el legislador estableció las disposiciones para garantizar el ejercicio de los derechos de las personas con discapacidad</w:t>
      </w:r>
      <w:r w:rsidRPr="00607C83">
        <w:rPr>
          <w:rStyle w:val="Refdenotaalpie"/>
          <w:rFonts w:ascii="Arial" w:hAnsi="Arial" w:cs="Arial"/>
          <w:color w:val="000000" w:themeColor="text1"/>
          <w:sz w:val="22"/>
        </w:rPr>
        <w:footnoteReference w:id="1"/>
      </w:r>
      <w:r w:rsidRPr="00607C83">
        <w:rPr>
          <w:rFonts w:ascii="Arial" w:hAnsi="Arial" w:cs="Arial"/>
          <w:color w:val="000000" w:themeColor="text1"/>
          <w:sz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w:t>
      </w:r>
      <w:bookmarkEnd w:id="5"/>
      <w:r w:rsidRPr="00607C83">
        <w:rPr>
          <w:rFonts w:ascii="Arial" w:hAnsi="Arial" w:cs="Arial"/>
          <w:color w:val="000000" w:themeColor="text1"/>
          <w:sz w:val="22"/>
        </w:rPr>
        <w:t>. La Ley 1618 de 2013 dispone:</w:t>
      </w:r>
    </w:p>
    <w:p w14:paraId="7BB3CF00" w14:textId="77777777" w:rsidR="00C8087D" w:rsidRPr="00607C83" w:rsidRDefault="00C8087D" w:rsidP="00C8087D">
      <w:pPr>
        <w:spacing w:after="18"/>
        <w:jc w:val="both"/>
        <w:rPr>
          <w:rFonts w:ascii="Arial" w:hAnsi="Arial" w:cs="Arial"/>
          <w:color w:val="000000" w:themeColor="text1"/>
          <w:sz w:val="22"/>
        </w:rPr>
      </w:pPr>
    </w:p>
    <w:p w14:paraId="3C19299D" w14:textId="77777777" w:rsidR="00C8087D" w:rsidRPr="00607C83" w:rsidRDefault="00C8087D" w:rsidP="00C8087D">
      <w:pPr>
        <w:spacing w:after="18"/>
        <w:ind w:left="709" w:right="709"/>
        <w:jc w:val="both"/>
        <w:rPr>
          <w:rFonts w:ascii="Arial" w:hAnsi="Arial" w:cs="Arial"/>
          <w:color w:val="000000" w:themeColor="text1"/>
          <w:sz w:val="21"/>
          <w:szCs w:val="21"/>
        </w:rPr>
      </w:pPr>
      <w:r w:rsidRPr="00607C83">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C5E3431" w14:textId="77777777" w:rsidR="00C8087D" w:rsidRPr="00607C83" w:rsidRDefault="00C8087D" w:rsidP="00C8087D">
      <w:pPr>
        <w:spacing w:after="18"/>
        <w:ind w:left="709" w:right="709"/>
        <w:jc w:val="both"/>
        <w:rPr>
          <w:rFonts w:ascii="Arial" w:hAnsi="Arial" w:cs="Arial"/>
          <w:color w:val="000000" w:themeColor="text1"/>
          <w:sz w:val="21"/>
          <w:szCs w:val="21"/>
        </w:rPr>
      </w:pPr>
    </w:p>
    <w:p w14:paraId="35051292" w14:textId="77777777" w:rsidR="00C8087D" w:rsidRPr="00607C83" w:rsidRDefault="00C8087D" w:rsidP="00C8087D">
      <w:pPr>
        <w:spacing w:after="18"/>
        <w:ind w:left="709" w:right="709"/>
        <w:jc w:val="both"/>
        <w:rPr>
          <w:rFonts w:ascii="Arial" w:hAnsi="Arial" w:cs="Arial"/>
          <w:color w:val="000000" w:themeColor="text1"/>
          <w:sz w:val="21"/>
          <w:szCs w:val="21"/>
        </w:rPr>
      </w:pPr>
      <w:r w:rsidRPr="00607C83">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EA62B8E" w14:textId="77777777" w:rsidR="00C8087D" w:rsidRPr="00607C83" w:rsidRDefault="00C8087D" w:rsidP="00C8087D">
      <w:pPr>
        <w:spacing w:before="240"/>
        <w:ind w:left="709" w:right="709"/>
        <w:jc w:val="both"/>
        <w:rPr>
          <w:rFonts w:ascii="Arial" w:hAnsi="Arial" w:cs="Arial"/>
          <w:color w:val="000000" w:themeColor="text1"/>
          <w:sz w:val="21"/>
          <w:szCs w:val="21"/>
        </w:rPr>
      </w:pPr>
      <w:r w:rsidRPr="00607C83">
        <w:rPr>
          <w:rFonts w:ascii="Arial" w:hAnsi="Arial" w:cs="Arial"/>
          <w:color w:val="000000" w:themeColor="text1"/>
          <w:sz w:val="21"/>
          <w:szCs w:val="21"/>
        </w:rPr>
        <w:t>[…]</w:t>
      </w:r>
    </w:p>
    <w:p w14:paraId="67E1A91F" w14:textId="77777777" w:rsidR="00C8087D" w:rsidRPr="00607C83" w:rsidRDefault="00C8087D" w:rsidP="00C8087D">
      <w:pPr>
        <w:spacing w:before="240" w:after="0"/>
        <w:ind w:left="709" w:right="709"/>
        <w:jc w:val="both"/>
        <w:rPr>
          <w:rFonts w:ascii="Arial" w:hAnsi="Arial" w:cs="Arial"/>
          <w:color w:val="000000" w:themeColor="text1"/>
          <w:sz w:val="21"/>
          <w:szCs w:val="21"/>
        </w:rPr>
      </w:pPr>
    </w:p>
    <w:p w14:paraId="5721EF7D" w14:textId="77777777" w:rsidR="00C8087D" w:rsidRPr="00607C83" w:rsidRDefault="00C8087D" w:rsidP="00C8087D">
      <w:pPr>
        <w:spacing w:after="18"/>
        <w:ind w:left="708" w:right="709"/>
        <w:jc w:val="both"/>
        <w:rPr>
          <w:rFonts w:ascii="Arial" w:hAnsi="Arial" w:cs="Arial"/>
          <w:color w:val="000000" w:themeColor="text1"/>
          <w:sz w:val="21"/>
          <w:szCs w:val="21"/>
        </w:rPr>
      </w:pPr>
      <w:r w:rsidRPr="00607C83">
        <w:rPr>
          <w:rFonts w:ascii="Arial" w:hAnsi="Arial" w:cs="Arial"/>
          <w:color w:val="000000" w:themeColor="text1"/>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4BED7776" w14:textId="77777777" w:rsidR="00C8087D" w:rsidRPr="00607C83" w:rsidRDefault="00C8087D" w:rsidP="00C8087D">
      <w:pPr>
        <w:spacing w:after="18" w:line="276" w:lineRule="auto"/>
        <w:jc w:val="both"/>
        <w:rPr>
          <w:rFonts w:ascii="Arial" w:hAnsi="Arial" w:cs="Arial"/>
          <w:color w:val="000000" w:themeColor="text1"/>
          <w:sz w:val="22"/>
        </w:rPr>
      </w:pPr>
      <w:r w:rsidRPr="00607C83">
        <w:rPr>
          <w:rFonts w:ascii="Arial" w:hAnsi="Arial" w:cs="Arial"/>
          <w:color w:val="000000" w:themeColor="text1"/>
          <w:sz w:val="22"/>
        </w:rPr>
        <w:lastRenderedPageBreak/>
        <w:t xml:space="preserve">  </w:t>
      </w:r>
    </w:p>
    <w:p w14:paraId="700CB6AB" w14:textId="77777777" w:rsidR="00C8087D" w:rsidRPr="00607C83" w:rsidRDefault="00C8087D" w:rsidP="00C8087D">
      <w:pPr>
        <w:spacing w:line="276" w:lineRule="auto"/>
        <w:ind w:firstLine="709"/>
        <w:jc w:val="both"/>
        <w:rPr>
          <w:rFonts w:ascii="Arial" w:hAnsi="Arial" w:cs="Arial"/>
          <w:color w:val="000000" w:themeColor="text1"/>
          <w:sz w:val="22"/>
        </w:rPr>
      </w:pPr>
      <w:r w:rsidRPr="00607C83">
        <w:rPr>
          <w:rFonts w:ascii="Arial" w:hAnsi="Arial" w:cs="Arial"/>
          <w:color w:val="000000" w:themeColor="text1"/>
          <w:sz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14:paraId="32C89EEE" w14:textId="77777777" w:rsidR="00C8087D" w:rsidRPr="00607C83" w:rsidRDefault="00C8087D" w:rsidP="00C8087D">
      <w:pPr>
        <w:spacing w:before="120" w:line="276" w:lineRule="auto"/>
        <w:ind w:firstLine="709"/>
        <w:jc w:val="both"/>
        <w:rPr>
          <w:rFonts w:ascii="Arial" w:eastAsia="Calibri" w:hAnsi="Arial" w:cs="Arial"/>
          <w:color w:val="000000" w:themeColor="text1"/>
          <w:sz w:val="22"/>
          <w:lang w:val="es-ES"/>
        </w:rPr>
      </w:pPr>
      <w:r w:rsidRPr="00607C83">
        <w:rPr>
          <w:rFonts w:ascii="Arial" w:eastAsia="Calibri" w:hAnsi="Arial" w:cs="Arial"/>
          <w:color w:val="000000" w:themeColor="text1"/>
          <w:sz w:val="22"/>
          <w:lang w:val="es-ES"/>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5585DE03" w14:textId="77777777" w:rsidR="00C8087D" w:rsidRPr="00607C83" w:rsidRDefault="00C8087D" w:rsidP="00C8087D">
      <w:pPr>
        <w:spacing w:after="18"/>
        <w:jc w:val="both"/>
        <w:rPr>
          <w:rFonts w:ascii="Arial" w:hAnsi="Arial" w:cs="Arial"/>
          <w:color w:val="000000" w:themeColor="text1"/>
          <w:sz w:val="20"/>
          <w:szCs w:val="20"/>
        </w:rPr>
      </w:pPr>
    </w:p>
    <w:p w14:paraId="0BA2F2DC"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r w:rsidRPr="00607C83">
        <w:rPr>
          <w:rFonts w:ascii="Arial" w:eastAsia="Times New Roman" w:hAnsi="Arial" w:cs="Arial"/>
          <w:bCs/>
          <w:color w:val="000000" w:themeColor="text1"/>
          <w:sz w:val="21"/>
          <w:szCs w:val="21"/>
          <w:lang w:val="es-CO" w:eastAsia="es-CO"/>
        </w:rPr>
        <w:t>Artículo 2.2.1.2.4.2.6. Puntaje adicional para proponentes con trabajadores con discapacidad</w:t>
      </w:r>
      <w:r w:rsidRPr="00607C83">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54B8644" w14:textId="77777777" w:rsidR="00C8087D" w:rsidRPr="00607C83" w:rsidRDefault="00C8087D" w:rsidP="00C8087D">
      <w:pPr>
        <w:spacing w:after="18"/>
        <w:ind w:left="709" w:right="709"/>
        <w:jc w:val="both"/>
        <w:rPr>
          <w:rFonts w:ascii="Arial" w:hAnsi="Arial" w:cs="Arial"/>
          <w:i/>
          <w:iCs/>
          <w:color w:val="000000" w:themeColor="text1"/>
          <w:sz w:val="21"/>
          <w:szCs w:val="21"/>
        </w:rPr>
      </w:pPr>
    </w:p>
    <w:p w14:paraId="3D6A95DA"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D039A0C"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p>
    <w:p w14:paraId="4E398DA2"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10FB6070"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607C83" w:rsidRPr="00607C83" w14:paraId="6ADF764E" w14:textId="77777777" w:rsidTr="0005227A">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6AF6156" w14:textId="77777777" w:rsidR="00C8087D" w:rsidRPr="00607C83" w:rsidRDefault="00C8087D" w:rsidP="0005227A">
            <w:pPr>
              <w:spacing w:after="0" w:line="254" w:lineRule="atLeast"/>
              <w:jc w:val="center"/>
              <w:rPr>
                <w:rFonts w:ascii="Arial" w:eastAsia="Times New Roman" w:hAnsi="Arial" w:cs="Arial"/>
                <w:b/>
                <w:bCs/>
                <w:color w:val="000000" w:themeColor="text1"/>
                <w:sz w:val="21"/>
                <w:szCs w:val="21"/>
                <w:lang w:val="es-CO" w:eastAsia="es-CO"/>
              </w:rPr>
            </w:pPr>
            <w:r w:rsidRPr="00607C83">
              <w:rPr>
                <w:rFonts w:ascii="Arial" w:eastAsia="Times New Roman" w:hAnsi="Arial" w:cs="Arial"/>
                <w:b/>
                <w:bCs/>
                <w:color w:val="000000" w:themeColor="text1"/>
                <w:sz w:val="21"/>
                <w:szCs w:val="21"/>
                <w:lang w:val="es-CO"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35E001" w14:textId="77777777" w:rsidR="00C8087D" w:rsidRPr="00607C83" w:rsidRDefault="00C8087D" w:rsidP="0005227A">
            <w:pPr>
              <w:spacing w:after="0" w:line="254" w:lineRule="atLeast"/>
              <w:jc w:val="center"/>
              <w:rPr>
                <w:rFonts w:ascii="Arial" w:eastAsia="Times New Roman" w:hAnsi="Arial" w:cs="Arial"/>
                <w:b/>
                <w:bCs/>
                <w:color w:val="000000" w:themeColor="text1"/>
                <w:sz w:val="21"/>
                <w:szCs w:val="21"/>
                <w:lang w:val="es-CO" w:eastAsia="es-CO"/>
              </w:rPr>
            </w:pPr>
            <w:r w:rsidRPr="00607C83">
              <w:rPr>
                <w:rFonts w:ascii="Arial" w:eastAsia="Times New Roman" w:hAnsi="Arial" w:cs="Arial"/>
                <w:b/>
                <w:bCs/>
                <w:color w:val="000000" w:themeColor="text1"/>
                <w:sz w:val="21"/>
                <w:szCs w:val="21"/>
                <w:lang w:val="es-CO" w:eastAsia="es-CO"/>
              </w:rPr>
              <w:t>Número mínimo de trabajadores con discapacidad exigido </w:t>
            </w:r>
          </w:p>
        </w:tc>
      </w:tr>
      <w:tr w:rsidR="00607C83" w:rsidRPr="00607C83" w14:paraId="7782084D"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9CA766A" w14:textId="77777777" w:rsidR="00C8087D" w:rsidRPr="00607C83" w:rsidRDefault="00C8087D" w:rsidP="0005227A">
            <w:pPr>
              <w:spacing w:after="0" w:line="254" w:lineRule="atLeast"/>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2D7F87" w14:textId="77777777" w:rsidR="00C8087D" w:rsidRPr="00607C83" w:rsidRDefault="00C8087D" w:rsidP="0005227A">
            <w:pPr>
              <w:spacing w:after="0" w:line="254" w:lineRule="atLeast"/>
              <w:jc w:val="center"/>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1 </w:t>
            </w:r>
          </w:p>
        </w:tc>
      </w:tr>
      <w:tr w:rsidR="00607C83" w:rsidRPr="00607C83" w14:paraId="605ED220"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2855CE5" w14:textId="77777777" w:rsidR="00C8087D" w:rsidRPr="00607C83" w:rsidRDefault="00C8087D" w:rsidP="0005227A">
            <w:pPr>
              <w:spacing w:after="0" w:line="254" w:lineRule="atLeast"/>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499ED2" w14:textId="77777777" w:rsidR="00C8087D" w:rsidRPr="00607C83" w:rsidRDefault="00C8087D" w:rsidP="0005227A">
            <w:pPr>
              <w:spacing w:after="0" w:line="254" w:lineRule="atLeast"/>
              <w:jc w:val="center"/>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2 </w:t>
            </w:r>
          </w:p>
        </w:tc>
      </w:tr>
      <w:tr w:rsidR="00607C83" w:rsidRPr="00607C83" w14:paraId="7F84529A"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0B00EC9" w14:textId="77777777" w:rsidR="00C8087D" w:rsidRPr="00607C83" w:rsidRDefault="00C8087D" w:rsidP="0005227A">
            <w:pPr>
              <w:spacing w:after="0" w:line="254" w:lineRule="atLeast"/>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lastRenderedPageBreak/>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D3403D7" w14:textId="77777777" w:rsidR="00C8087D" w:rsidRPr="00607C83" w:rsidRDefault="00C8087D" w:rsidP="0005227A">
            <w:pPr>
              <w:spacing w:after="0" w:line="254" w:lineRule="atLeast"/>
              <w:jc w:val="center"/>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3 </w:t>
            </w:r>
          </w:p>
        </w:tc>
      </w:tr>
      <w:tr w:rsidR="00607C83" w:rsidRPr="00607C83" w14:paraId="433C92D4"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261D5C2" w14:textId="77777777" w:rsidR="00C8087D" w:rsidRPr="00607C83" w:rsidRDefault="00C8087D" w:rsidP="0005227A">
            <w:pPr>
              <w:spacing w:after="0" w:line="254" w:lineRule="atLeast"/>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E523809" w14:textId="77777777" w:rsidR="00C8087D" w:rsidRPr="00607C83" w:rsidRDefault="00C8087D" w:rsidP="0005227A">
            <w:pPr>
              <w:spacing w:after="0" w:line="254" w:lineRule="atLeast"/>
              <w:jc w:val="center"/>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4 </w:t>
            </w:r>
          </w:p>
        </w:tc>
      </w:tr>
      <w:tr w:rsidR="00C8087D" w:rsidRPr="00607C83" w14:paraId="3ED21808" w14:textId="77777777" w:rsidTr="0005227A">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5D99587" w14:textId="77777777" w:rsidR="00C8087D" w:rsidRPr="00607C83" w:rsidRDefault="00C8087D" w:rsidP="0005227A">
            <w:pPr>
              <w:spacing w:after="0" w:line="254" w:lineRule="atLeast"/>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4A0C9A" w14:textId="77777777" w:rsidR="00C8087D" w:rsidRPr="00607C83" w:rsidRDefault="00C8087D" w:rsidP="0005227A">
            <w:pPr>
              <w:spacing w:after="0" w:line="254" w:lineRule="atLeast"/>
              <w:jc w:val="center"/>
              <w:rPr>
                <w:rFonts w:ascii="Arial" w:eastAsia="Times New Roman" w:hAnsi="Arial" w:cs="Arial"/>
                <w:color w:val="000000" w:themeColor="text1"/>
                <w:sz w:val="21"/>
                <w:szCs w:val="21"/>
                <w:lang w:val="es-CO" w:eastAsia="es-CO"/>
              </w:rPr>
            </w:pPr>
            <w:r w:rsidRPr="00607C83">
              <w:rPr>
                <w:rFonts w:ascii="Arial" w:eastAsia="Times New Roman" w:hAnsi="Arial" w:cs="Arial"/>
                <w:color w:val="000000" w:themeColor="text1"/>
                <w:sz w:val="21"/>
                <w:szCs w:val="21"/>
                <w:lang w:val="es-CO" w:eastAsia="es-CO"/>
              </w:rPr>
              <w:t>5 </w:t>
            </w:r>
          </w:p>
        </w:tc>
      </w:tr>
    </w:tbl>
    <w:p w14:paraId="1CF0CB91" w14:textId="77777777" w:rsidR="00C8087D" w:rsidRPr="00607C83" w:rsidRDefault="00C8087D" w:rsidP="00C8087D">
      <w:pPr>
        <w:spacing w:after="18"/>
        <w:ind w:left="709" w:right="709"/>
        <w:jc w:val="both"/>
        <w:rPr>
          <w:rFonts w:ascii="Arial" w:eastAsia="Times New Roman" w:hAnsi="Arial" w:cs="Arial"/>
          <w:color w:val="000000" w:themeColor="text1"/>
          <w:sz w:val="21"/>
          <w:szCs w:val="21"/>
          <w:lang w:val="es-CO" w:eastAsia="es-CO"/>
        </w:rPr>
      </w:pPr>
    </w:p>
    <w:p w14:paraId="5CBE394A"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ii) </w:t>
      </w:r>
      <w:bookmarkStart w:id="6" w:name="_Hlk11918325"/>
      <w:r w:rsidRPr="00607C83">
        <w:rPr>
          <w:rFonts w:ascii="Arial" w:hAnsi="Arial" w:cs="Arial"/>
          <w:color w:val="000000" w:themeColor="text1"/>
          <w:sz w:val="22"/>
        </w:rPr>
        <w:t>el número mínimo de personas con discapacidad en su planta de personal</w:t>
      </w:r>
      <w:bookmarkEnd w:id="6"/>
      <w:r w:rsidRPr="00607C83">
        <w:rPr>
          <w:rFonts w:ascii="Arial" w:hAnsi="Arial" w:cs="Arial"/>
          <w:color w:val="000000" w:themeColor="text1"/>
          <w:sz w:val="22"/>
        </w:rPr>
        <w:t xml:space="preserve">. </w:t>
      </w:r>
    </w:p>
    <w:p w14:paraId="08A8ADE5"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4A23CDC8"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 xml:space="preserve">Para el caso de proponentes singulares, la acreditación de tal situación se realizará a través de certificación emitida por: i) la persona natural o ii) el representante legal de la persona jurídica o su revisor fiscal cuando esté obligado a tenerlo. </w:t>
      </w:r>
    </w:p>
    <w:p w14:paraId="5A9A5635"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6DEA2650"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4ACCBCF4"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607C83">
        <w:rPr>
          <w:rFonts w:ascii="Arial" w:eastAsia="Calibri" w:hAnsi="Arial" w:cs="Arial"/>
          <w:i/>
          <w:color w:val="000000" w:themeColor="text1"/>
          <w:sz w:val="22"/>
        </w:rPr>
        <w:t>o</w:t>
      </w:r>
      <w:r w:rsidRPr="00607C83">
        <w:rPr>
          <w:rFonts w:ascii="Arial" w:eastAsia="Calibri" w:hAnsi="Arial" w:cs="Arial"/>
          <w:color w:val="000000" w:themeColor="text1"/>
          <w:sz w:val="22"/>
        </w:rPr>
        <w:t xml:space="preserve"> sus integrantes a la fecha de cierre del proceso de selección.</w:t>
      </w:r>
    </w:p>
    <w:p w14:paraId="2B79BA14"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lastRenderedPageBreak/>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77E45825"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Ahora, según lo previsto en el Decreto 392 de 2018 y en las normas que deben observar los revisores fiscales</w:t>
      </w:r>
      <w:r w:rsidRPr="00607C83">
        <w:rPr>
          <w:rStyle w:val="Refdenotaalpie"/>
          <w:rFonts w:ascii="Arial" w:eastAsia="Calibri" w:hAnsi="Arial" w:cs="Arial"/>
          <w:color w:val="000000" w:themeColor="text1"/>
          <w:sz w:val="22"/>
        </w:rPr>
        <w:footnoteReference w:id="2"/>
      </w:r>
      <w:r w:rsidRPr="00607C83">
        <w:rPr>
          <w:rFonts w:ascii="Arial" w:eastAsia="Calibri" w:hAnsi="Arial" w:cs="Arial"/>
          <w:color w:val="000000" w:themeColor="text1"/>
          <w:sz w:val="22"/>
        </w:rPr>
        <w:t>, tratándose de empresas o sociedades que están obligadas a tener revisor fiscal</w:t>
      </w:r>
      <w:r w:rsidRPr="00607C83">
        <w:rPr>
          <w:rStyle w:val="Refdenotaalpie"/>
          <w:rFonts w:ascii="Arial" w:eastAsia="Calibri" w:hAnsi="Arial" w:cs="Arial"/>
          <w:color w:val="000000" w:themeColor="text1"/>
          <w:sz w:val="22"/>
        </w:rPr>
        <w:footnoteReference w:id="3"/>
      </w:r>
      <w:r w:rsidRPr="00607C83">
        <w:rPr>
          <w:rFonts w:ascii="Arial" w:eastAsia="Calibri" w:hAnsi="Arial" w:cs="Arial"/>
          <w:color w:val="000000" w:themeColor="text1"/>
          <w:sz w:val="22"/>
        </w:rPr>
        <w:t>, este es quien tiene qué certificar el número total de trabajadores vinculados a la planta de personal del proponente o sus integrantes a la fecha de cierre del proceso de selección.</w:t>
      </w:r>
    </w:p>
    <w:p w14:paraId="0E167D34" w14:textId="77777777" w:rsidR="00C8087D" w:rsidRPr="00607C83" w:rsidRDefault="00C8087D" w:rsidP="00C8087D">
      <w:pPr>
        <w:spacing w:before="120" w:line="276" w:lineRule="auto"/>
        <w:ind w:firstLine="708"/>
        <w:jc w:val="both"/>
        <w:rPr>
          <w:rFonts w:ascii="Arial" w:hAnsi="Arial" w:cs="Arial"/>
          <w:color w:val="000000" w:themeColor="text1"/>
          <w:sz w:val="22"/>
        </w:rPr>
      </w:pPr>
      <w:r w:rsidRPr="00607C83">
        <w:rPr>
          <w:rFonts w:ascii="Arial" w:hAnsi="Arial" w:cs="Arial"/>
          <w:color w:val="000000" w:themeColor="text1"/>
          <w:sz w:val="22"/>
        </w:rPr>
        <w:t xml:space="preserve">De otro lado, el parágrafo del artículo 2.2.1.2.4.2.6. establece la siguiente regla para las ofertas presentadas por proponentes plurales: </w:t>
      </w:r>
    </w:p>
    <w:p w14:paraId="0FCDEDD0" w14:textId="77777777" w:rsidR="00C8087D" w:rsidRPr="00607C83" w:rsidRDefault="00C8087D" w:rsidP="00C8087D">
      <w:pPr>
        <w:spacing w:after="0" w:line="276" w:lineRule="auto"/>
        <w:ind w:left="709" w:right="709"/>
        <w:jc w:val="both"/>
        <w:rPr>
          <w:rFonts w:ascii="Arial" w:eastAsia="Times New Roman" w:hAnsi="Arial" w:cs="Arial"/>
          <w:bCs/>
          <w:color w:val="000000" w:themeColor="text1"/>
          <w:sz w:val="21"/>
          <w:szCs w:val="21"/>
          <w:lang w:val="es-CO" w:eastAsia="es-CO"/>
        </w:rPr>
      </w:pPr>
    </w:p>
    <w:p w14:paraId="6A2907B2" w14:textId="77777777" w:rsidR="00C8087D" w:rsidRPr="00607C83" w:rsidRDefault="00C8087D" w:rsidP="00C8087D">
      <w:pPr>
        <w:spacing w:after="0"/>
        <w:ind w:left="709" w:right="709"/>
        <w:jc w:val="both"/>
        <w:rPr>
          <w:rFonts w:ascii="Arial" w:eastAsia="Times New Roman" w:hAnsi="Arial" w:cs="Arial"/>
          <w:color w:val="000000" w:themeColor="text1"/>
          <w:sz w:val="21"/>
          <w:szCs w:val="21"/>
          <w:lang w:val="es-CO" w:eastAsia="es-CO"/>
        </w:rPr>
      </w:pPr>
      <w:r w:rsidRPr="00607C83">
        <w:rPr>
          <w:rFonts w:ascii="Arial" w:eastAsia="Times New Roman" w:hAnsi="Arial" w:cs="Arial"/>
          <w:bCs/>
          <w:color w:val="000000" w:themeColor="text1"/>
          <w:sz w:val="21"/>
          <w:szCs w:val="21"/>
          <w:lang w:val="es-CO" w:eastAsia="es-CO"/>
        </w:rPr>
        <w:t>Parágrafo</w:t>
      </w:r>
      <w:r w:rsidRPr="00607C83">
        <w:rPr>
          <w:rFonts w:ascii="Arial" w:eastAsia="Times New Roman"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43192E47" w14:textId="77777777" w:rsidR="00C8087D" w:rsidRPr="00607C83" w:rsidRDefault="00C8087D" w:rsidP="00C8087D">
      <w:pPr>
        <w:spacing w:line="276" w:lineRule="auto"/>
        <w:ind w:left="709" w:right="709"/>
        <w:jc w:val="both"/>
        <w:rPr>
          <w:rFonts w:ascii="Arial" w:hAnsi="Arial" w:cs="Arial"/>
          <w:color w:val="000000" w:themeColor="text1"/>
          <w:sz w:val="22"/>
        </w:rPr>
      </w:pPr>
    </w:p>
    <w:p w14:paraId="381121E0"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 xml:space="preserve">De acuerdo con esta norma, la entidad estatal tendrá en cuenta la planta de personal del integrante del proponente plural que aporte como mínimo el cuarenta por ciento [40%] </w:t>
      </w:r>
      <w:r w:rsidRPr="00607C83">
        <w:rPr>
          <w:rFonts w:ascii="Arial" w:hAnsi="Arial" w:cs="Arial"/>
          <w:color w:val="000000" w:themeColor="text1"/>
          <w:sz w:val="22"/>
        </w:rPr>
        <w:lastRenderedPageBreak/>
        <w:t xml:space="preserve">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044D5E2D"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Para acreditar el segundo requisito, el número mínimo de personas en condición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2722A8FC"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 xml:space="preserve">De la lectura integral del artículo 2.2.1.2.4.2.6. </w:t>
      </w:r>
      <w:r w:rsidRPr="00607C83">
        <w:rPr>
          <w:rFonts w:ascii="Arial" w:hAnsi="Arial" w:cs="Arial"/>
          <w:i/>
          <w:color w:val="000000" w:themeColor="text1"/>
          <w:sz w:val="22"/>
        </w:rPr>
        <w:t>ibidem</w:t>
      </w:r>
      <w:r w:rsidRPr="00607C83">
        <w:rPr>
          <w:rFonts w:ascii="Arial" w:hAnsi="Arial" w:cs="Arial"/>
          <w:color w:val="000000" w:themeColor="text1"/>
          <w:sz w:val="22"/>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77B98DB5"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Finalmente, tenga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14:paraId="247E4181" w14:textId="77777777" w:rsidR="00C8087D" w:rsidRPr="00607C83" w:rsidRDefault="00C8087D" w:rsidP="00C8087D">
      <w:pPr>
        <w:spacing w:before="120" w:line="276" w:lineRule="auto"/>
        <w:ind w:firstLine="709"/>
        <w:jc w:val="both"/>
        <w:rPr>
          <w:rFonts w:ascii="Arial" w:hAnsi="Arial" w:cs="Arial"/>
          <w:color w:val="000000" w:themeColor="text1"/>
          <w:sz w:val="22"/>
        </w:rPr>
      </w:pPr>
      <w:r w:rsidRPr="00607C83">
        <w:rPr>
          <w:rFonts w:ascii="Arial" w:hAnsi="Arial" w:cs="Arial"/>
          <w:color w:val="000000" w:themeColor="text1"/>
          <w:sz w:val="22"/>
        </w:rPr>
        <w:t>Ahora, usted pregunta si una entidad puede rechazar una oferta o no otorgarle el puntaje correspondiente por la vinculación de personal con discapacidad, con fundamento en que fue suscrito de manera conjunta por el representante legal y el revisor fiscal del proponente.</w:t>
      </w:r>
    </w:p>
    <w:p w14:paraId="1AA3C94F"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La Administración no tiene la facultad de descalificar una oferta de forma discrecional, toda vez que sólo es posible por las causas previamente definidas en la Ley o en el pliego de condiciones. Además, las causales definidas por la entidad deben cumplir los requisitos de razonabilidad y proporcionalidad, so pena que no sean válidas dentro del proceso de contratación. </w:t>
      </w:r>
    </w:p>
    <w:p w14:paraId="186E8E34" w14:textId="77777777" w:rsidR="00C8087D" w:rsidRPr="00607C83" w:rsidRDefault="00C8087D" w:rsidP="00C8087D">
      <w:pPr>
        <w:tabs>
          <w:tab w:val="left" w:pos="709"/>
        </w:tabs>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lastRenderedPageBreak/>
        <w:t>En relación con el rechazo de las ofertas en los procesos adelantados por el Pliego Tipo, en el numeral «1.15 Causales de rechazo» se enuncian de forma taxativa las causales de rechazo, sin incluir el indebido diligenciamiento del «Formato 8 ― Vinculación de personas con discapacidad»</w:t>
      </w:r>
      <w:r w:rsidRPr="00607C83">
        <w:rPr>
          <w:rStyle w:val="Refdenotaalpie"/>
          <w:rFonts w:ascii="Arial" w:eastAsia="Calibri" w:hAnsi="Arial" w:cs="Arial"/>
          <w:color w:val="000000" w:themeColor="text1"/>
          <w:sz w:val="22"/>
        </w:rPr>
        <w:footnoteReference w:id="4"/>
      </w:r>
      <w:r w:rsidRPr="00607C83">
        <w:rPr>
          <w:rFonts w:ascii="Arial" w:eastAsia="Calibri" w:hAnsi="Arial" w:cs="Arial"/>
          <w:color w:val="000000" w:themeColor="text1"/>
          <w:sz w:val="22"/>
        </w:rPr>
        <w:t xml:space="preserve">. Ahora, como la entidad tiene restringida la posibilidad de </w:t>
      </w:r>
      <w:r w:rsidRPr="00607C83">
        <w:rPr>
          <w:rFonts w:ascii="Arial" w:eastAsia="Calibri" w:hAnsi="Arial" w:cs="Arial"/>
          <w:color w:val="000000" w:themeColor="text1"/>
          <w:sz w:val="22"/>
        </w:rPr>
        <w:lastRenderedPageBreak/>
        <w:t>incluir nuevas causales, no es posible rechazarla por este motivo, por lo que en caso de que no se entregue o esté indebidamente diligenciado el referido formato, a la entidad corresponderá no otorgar el puntaje adicional.</w:t>
      </w:r>
    </w:p>
    <w:p w14:paraId="645224B3" w14:textId="77777777" w:rsidR="00C8087D" w:rsidRPr="00607C83" w:rsidRDefault="00C8087D" w:rsidP="00C8087D">
      <w:pPr>
        <w:spacing w:before="120"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 En los procesos adelantados con Pliegos Tipo los oferentes que quieran obtener el puntaje adicional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14:paraId="3E56CFA1" w14:textId="77777777" w:rsidR="00C8087D" w:rsidRPr="00607C83" w:rsidRDefault="00C8087D" w:rsidP="00C8087D">
      <w:pPr>
        <w:tabs>
          <w:tab w:val="left" w:pos="709"/>
        </w:tabs>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Ahora bien, el indebido diligenciamiento del «Formato 8 ― Vinculación de personas con discapacidad», que amerita que no se otorgue el correspondiente puntaje, no se configura por la suscripción conjunta del representante legal y el revisor fiscal, porque con la firma del revisor fiscal se cumple el requisito del numeral 1 del artículo 2.2.1.2.4.2.6. del Decreto 1082 de 2015, por lo que resulta irrelevante que el respectivo formato también este suscrito por el representante legal. </w:t>
      </w:r>
    </w:p>
    <w:p w14:paraId="23681CD8" w14:textId="77777777" w:rsidR="00C8087D" w:rsidRPr="00607C83" w:rsidRDefault="00C8087D" w:rsidP="00C8087D">
      <w:pPr>
        <w:spacing w:before="120"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tab/>
        <w:t xml:space="preserve">En cuanto a la fecha de suscripción del «Formato 8 ― Vinculación de personas con discapacidad», lo que establece el artículo 2.2.1.2.4.2.6. </w:t>
      </w:r>
      <w:r w:rsidRPr="00607C83">
        <w:rPr>
          <w:rFonts w:ascii="Arial" w:eastAsia="Calibri" w:hAnsi="Arial" w:cs="Arial"/>
          <w:i/>
          <w:iCs/>
          <w:color w:val="000000" w:themeColor="text1"/>
          <w:sz w:val="22"/>
        </w:rPr>
        <w:t>ibidem</w:t>
      </w:r>
      <w:r w:rsidRPr="00607C83">
        <w:rPr>
          <w:rFonts w:ascii="Arial" w:eastAsia="Calibri" w:hAnsi="Arial" w:cs="Arial"/>
          <w:color w:val="000000" w:themeColor="text1"/>
          <w:sz w:val="22"/>
        </w:rPr>
        <w:t xml:space="preserve"> es que se debe certificar el «número total de trabajadores vinculados a la planta de personal del proponente o sus integrantes a la fecha de cierre del proceso de selección».</w:t>
      </w:r>
    </w:p>
    <w:p w14:paraId="6C275DA3" w14:textId="77777777" w:rsidR="00C8087D" w:rsidRPr="00607C83" w:rsidRDefault="00C8087D" w:rsidP="00C8087D">
      <w:pPr>
        <w:spacing w:before="120"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Este documento, junto con la certificación expedida por el Ministerio del Trabajo — la cual debe estar vigente para la fecha de cierre del proceso—, permite verificar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citado.</w:t>
      </w:r>
    </w:p>
    <w:p w14:paraId="3D4027E2" w14:textId="77777777" w:rsidR="00C8087D" w:rsidRPr="00607C83" w:rsidRDefault="00C8087D" w:rsidP="00C8087D">
      <w:pPr>
        <w:spacing w:before="120"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Una interpretación exegética de la norma supone que la planta de personal del proponente deba ser certificada en la fecha de cierre del proceso, dado que no resulta posible certificar antes de esa fecha, como quiera que hasta entonces ello sería una circunstancia futura, o cuando menos no consolidada, a la que no asistiría en estricto sentido la certeza que exige la acción de certificar</w:t>
      </w:r>
      <w:r w:rsidRPr="00607C83">
        <w:rPr>
          <w:rFonts w:eastAsia="Calibri"/>
          <w:color w:val="000000" w:themeColor="text1"/>
          <w:vertAlign w:val="superscript"/>
        </w:rPr>
        <w:footnoteReference w:id="5"/>
      </w:r>
      <w:r w:rsidRPr="00607C83">
        <w:rPr>
          <w:rFonts w:ascii="Arial" w:eastAsia="Calibri" w:hAnsi="Arial" w:cs="Arial"/>
          <w:color w:val="000000" w:themeColor="text1"/>
          <w:sz w:val="22"/>
        </w:rPr>
        <w:t xml:space="preserve">.Tal interpretación implica que los </w:t>
      </w:r>
      <w:r w:rsidRPr="00607C83">
        <w:rPr>
          <w:rFonts w:ascii="Arial" w:eastAsia="Calibri" w:hAnsi="Arial" w:cs="Arial"/>
          <w:color w:val="000000" w:themeColor="text1"/>
          <w:sz w:val="22"/>
        </w:rPr>
        <w:lastRenderedPageBreak/>
        <w:t>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14:paraId="6146D1B5"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De otro lado, una interpretación teleológica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proceder a la evaluación no tenga dudas de cuál es el mínimo de trabajadores en situación de discapacidad que resulta aplicable al proponente con ocasión al rango en el que se ubica su planta de personal, para poder determinar si se cumple el segundo requisito.   </w:t>
      </w:r>
    </w:p>
    <w:p w14:paraId="74E7E6F7" w14:textId="77777777" w:rsidR="00C8087D" w:rsidRPr="00607C83" w:rsidRDefault="00C8087D" w:rsidP="00C8087D">
      <w:pPr>
        <w:spacing w:before="120"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 </w:t>
      </w:r>
    </w:p>
    <w:p w14:paraId="7F94863E"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Así pues, el hecho de que un proponente certifique su planta de personal con anterioridad a la fecha de cierre, en sí mismo no atenta contra la finalidad de la norma, ya que este, con la presentación del referido formato, se compromete a mantener tal circunstancia cuando menos hasta la fecha programada para el cierre, para beneficiarse de la asignación del puntaje adicional en los términos en los que su planta de personal se lo permite.</w:t>
      </w:r>
    </w:p>
    <w:p w14:paraId="7FEEE3BE"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Ahora bien, la presentación del formato antes de la fecha de cierre también podría llevar a que al momento de evaluar la propuesta se haga necesario aclarar el hecho certificado, ante la posibilidad de que a la fecha de cierre haya variado la planta de personal en principio acreditada. Ante tal situación, la entidad cuenta con la facultad de «solicitar a </w:t>
      </w:r>
      <w:r w:rsidRPr="00607C83">
        <w:rPr>
          <w:rFonts w:ascii="Arial" w:eastAsia="Calibri" w:hAnsi="Arial" w:cs="Arial"/>
          <w:color w:val="000000" w:themeColor="text1"/>
          <w:sz w:val="22"/>
        </w:rPr>
        <w:lastRenderedPageBreak/>
        <w:t>los proponentes las aclaraciones y explicaciones que se estimen indispensables», establecida en el artículo 30-7 de la Ley 80 de 1993</w:t>
      </w:r>
      <w:r w:rsidRPr="00607C83">
        <w:rPr>
          <w:rFonts w:eastAsia="Calibri"/>
          <w:color w:val="000000" w:themeColor="text1"/>
          <w:vertAlign w:val="superscript"/>
        </w:rPr>
        <w:footnoteReference w:id="6"/>
      </w:r>
      <w:r w:rsidRPr="00607C83">
        <w:rPr>
          <w:rFonts w:ascii="Arial" w:eastAsia="Calibri" w:hAnsi="Arial" w:cs="Arial"/>
          <w:color w:val="000000" w:themeColor="text1"/>
          <w:sz w:val="22"/>
        </w:rPr>
        <w:t xml:space="preserve">. </w:t>
      </w:r>
    </w:p>
    <w:p w14:paraId="0AA3ED88"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El ejercicio de la facultad de solicitar aclaraciones permite que las entidades requieran a los proponentes la aclaración de los aspectos de su propuesta que en principio resultan oscuros o confusos de cara a la evaluación, diferenciándose esta facultad de la subsanabilidad, pues no parte del supuesto de la ausencia de requisitos de la oferta sino de la existencia de inconsistencias en la misma, cuyo esclarecimiento se requiere para la evaluar la propuesta, diferencia que resulta importante ya que la aclaración resulta procedente incluso respecto de requisitos que asignan puntaje, como la ha manifestado el Consejo de Estado:</w:t>
      </w:r>
    </w:p>
    <w:p w14:paraId="4DDC3779" w14:textId="77777777" w:rsidR="00C8087D" w:rsidRPr="00607C83" w:rsidRDefault="00C8087D" w:rsidP="00C8087D">
      <w:pPr>
        <w:spacing w:after="0"/>
        <w:ind w:left="567" w:right="616"/>
        <w:jc w:val="both"/>
        <w:rPr>
          <w:rFonts w:ascii="Arial" w:eastAsia="Calibri" w:hAnsi="Arial" w:cs="Arial"/>
          <w:color w:val="000000" w:themeColor="text1"/>
          <w:sz w:val="21"/>
          <w:szCs w:val="21"/>
        </w:rPr>
      </w:pPr>
    </w:p>
    <w:p w14:paraId="1448F839" w14:textId="77777777" w:rsidR="00C8087D" w:rsidRPr="00607C83" w:rsidRDefault="00C8087D" w:rsidP="00C8087D">
      <w:pPr>
        <w:spacing w:after="0"/>
        <w:ind w:left="567" w:right="616"/>
        <w:jc w:val="both"/>
        <w:rPr>
          <w:rFonts w:ascii="Arial" w:hAnsi="Arial" w:cs="Arial"/>
          <w:color w:val="000000" w:themeColor="text1"/>
          <w:sz w:val="21"/>
          <w:szCs w:val="21"/>
        </w:rPr>
      </w:pPr>
      <w:r w:rsidRPr="00607C83">
        <w:rPr>
          <w:rFonts w:ascii="Arial" w:eastAsia="Calibri" w:hAnsi="Arial" w:cs="Arial"/>
          <w:color w:val="000000" w:themeColor="text1"/>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w:t>
      </w:r>
      <w:bookmarkStart w:id="23" w:name="_Hlk31969520"/>
      <w:r w:rsidRPr="00607C83">
        <w:rPr>
          <w:rFonts w:ascii="Arial" w:eastAsia="Calibri" w:hAnsi="Arial" w:cs="Arial"/>
          <w:color w:val="000000" w:themeColor="text1"/>
          <w:sz w:val="21"/>
          <w:szCs w:val="21"/>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23"/>
      <w:r w:rsidRPr="00607C83">
        <w:rPr>
          <w:rFonts w:ascii="Arial" w:eastAsia="Calibri" w:hAnsi="Arial" w:cs="Arial"/>
          <w:color w:val="000000" w:themeColor="text1"/>
          <w:sz w:val="21"/>
          <w:szCs w:val="21"/>
        </w:rPr>
        <w:t>.[…]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w:t>
      </w:r>
      <w:r w:rsidRPr="00607C83">
        <w:rPr>
          <w:rFonts w:ascii="Arial" w:eastAsia="Calibri" w:hAnsi="Arial" w:cs="Arial"/>
          <w:color w:val="000000" w:themeColor="text1"/>
          <w:sz w:val="21"/>
          <w:szCs w:val="21"/>
          <w:vertAlign w:val="superscript"/>
        </w:rPr>
        <w:footnoteReference w:id="7"/>
      </w:r>
    </w:p>
    <w:p w14:paraId="4E675F53" w14:textId="77777777" w:rsidR="00C8087D" w:rsidRPr="00607C83" w:rsidRDefault="00C8087D" w:rsidP="00C8087D">
      <w:pPr>
        <w:spacing w:line="276" w:lineRule="auto"/>
        <w:ind w:firstLine="708"/>
        <w:jc w:val="both"/>
        <w:rPr>
          <w:rFonts w:ascii="Arial" w:eastAsia="Calibri" w:hAnsi="Arial" w:cs="Arial"/>
          <w:color w:val="000000" w:themeColor="text1"/>
          <w:sz w:val="22"/>
        </w:rPr>
      </w:pPr>
    </w:p>
    <w:p w14:paraId="6EC0CAF7" w14:textId="77777777" w:rsidR="00C8087D" w:rsidRPr="00607C83" w:rsidRDefault="00C8087D" w:rsidP="00C8087D">
      <w:pPr>
        <w:spacing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lastRenderedPageBreak/>
        <w:t xml:space="preserve">En ese orden, a partir del momento 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 Vinculación de personas con discapacidad». </w:t>
      </w:r>
    </w:p>
    <w:p w14:paraId="7537616F" w14:textId="77777777" w:rsidR="00C8087D" w:rsidRPr="00607C83" w:rsidRDefault="00C8087D" w:rsidP="00C8087D">
      <w:pPr>
        <w:spacing w:before="120" w:line="276" w:lineRule="auto"/>
        <w:ind w:firstLine="709"/>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Ya sea que el término para aclarar haya sido previsto en el pliego de condiciones o fijado </w:t>
      </w:r>
      <w:r w:rsidRPr="00607C83">
        <w:rPr>
          <w:rFonts w:ascii="Arial" w:eastAsia="Calibri" w:hAnsi="Arial" w:cs="Arial"/>
          <w:i/>
          <w:iCs/>
          <w:color w:val="000000" w:themeColor="text1"/>
          <w:sz w:val="22"/>
        </w:rPr>
        <w:t>ad hoc</w:t>
      </w:r>
      <w:r w:rsidRPr="00607C83">
        <w:rPr>
          <w:rFonts w:ascii="Arial" w:eastAsia="Calibri" w:hAnsi="Arial" w:cs="Arial"/>
          <w:color w:val="000000" w:themeColor="text1"/>
          <w:sz w:val="22"/>
        </w:rPr>
        <w:t xml:space="preserve"> por la entidad, esta al permitir que, perentoriamente, el proponente tenga la oportunidad de aclarar la planta de personal acreditada con anterioridad del cierre del periodo para presentar ofertas, puede precisar si a dicha fecha se cumplieron o no los requisitos del precitado artículo 2.2.1.2.4.2.6, determinando si corresponde otorgar el puntaje adicional previsto en la ley.</w:t>
      </w:r>
    </w:p>
    <w:p w14:paraId="68A1DB54" w14:textId="77777777" w:rsidR="00C8087D" w:rsidRPr="00607C83" w:rsidRDefault="00C8087D" w:rsidP="00C8087D">
      <w:pPr>
        <w:spacing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Conforme a lo anterior, el hecho de que el certificado expedido por la persona natural, el representante legal de la persona jurídica o el revisor fiscal sea anterior a la fecha del cierre, no es un motivo para que el proponente pierda el puntaje, pues lo requerido es que dicho certificado acredite el número total de trabajadores vinculados a la planta del personal del proponente al momento del cierre del proceso. </w:t>
      </w:r>
    </w:p>
    <w:p w14:paraId="24681709" w14:textId="77777777" w:rsidR="00C8087D" w:rsidRPr="00607C83" w:rsidRDefault="00C8087D" w:rsidP="00C8087D">
      <w:pPr>
        <w:spacing w:line="276" w:lineRule="auto"/>
        <w:ind w:firstLine="708"/>
        <w:jc w:val="both"/>
        <w:rPr>
          <w:rFonts w:ascii="Arial" w:eastAsia="Calibri" w:hAnsi="Arial" w:cs="Arial"/>
          <w:bCs/>
          <w:color w:val="000000" w:themeColor="text1"/>
          <w:sz w:val="22"/>
        </w:rPr>
      </w:pPr>
      <w:r w:rsidRPr="00607C83">
        <w:rPr>
          <w:rFonts w:ascii="Arial" w:eastAsia="Calibri" w:hAnsi="Arial" w:cs="Arial"/>
          <w:color w:val="000000" w:themeColor="text1"/>
          <w:sz w:val="22"/>
        </w:rPr>
        <w:t>Esto en el entendido que, a pesar de que el proponente no puede dar fe de la certeza de un hecho que aún no se ha consolidado, este al certificar su planta de personal con anterioridad al cierre del proceso, se compromete a mantener la misma hasta dicha fecha, contando la entidad con la facultad de solicitar la correspondiente aclaración, en el caso de considerar que tal circunstancia requiere ser aclarada de cara a la evaluación de la oferta</w:t>
      </w:r>
      <w:r w:rsidRPr="00607C83">
        <w:rPr>
          <w:rFonts w:ascii="Arial" w:eastAsia="Calibri" w:hAnsi="Arial" w:cs="Arial"/>
          <w:bCs/>
          <w:color w:val="000000" w:themeColor="text1"/>
          <w:sz w:val="22"/>
        </w:rPr>
        <w:t xml:space="preserve">.  </w:t>
      </w:r>
    </w:p>
    <w:p w14:paraId="48486EDD" w14:textId="77777777" w:rsidR="00C8087D" w:rsidRPr="00607C83" w:rsidRDefault="00C8087D" w:rsidP="00C8087D">
      <w:pPr>
        <w:spacing w:after="18" w:line="276" w:lineRule="auto"/>
        <w:jc w:val="both"/>
        <w:rPr>
          <w:rFonts w:ascii="Arial" w:eastAsia="Calibri" w:hAnsi="Arial" w:cs="Arial"/>
          <w:b/>
          <w:color w:val="000000" w:themeColor="text1"/>
          <w:sz w:val="22"/>
        </w:rPr>
      </w:pPr>
    </w:p>
    <w:p w14:paraId="1DD1EFC6" w14:textId="77777777" w:rsidR="00C8087D" w:rsidRPr="00607C83" w:rsidRDefault="00C8087D" w:rsidP="00C8087D">
      <w:pPr>
        <w:pStyle w:val="Prrafodelista"/>
        <w:numPr>
          <w:ilvl w:val="0"/>
          <w:numId w:val="6"/>
        </w:numPr>
        <w:tabs>
          <w:tab w:val="left" w:pos="284"/>
        </w:tabs>
        <w:spacing w:after="0" w:line="276" w:lineRule="auto"/>
        <w:ind w:left="0" w:hanging="142"/>
        <w:contextualSpacing w:val="0"/>
        <w:jc w:val="both"/>
        <w:rPr>
          <w:rFonts w:ascii="Arial" w:eastAsia="Calibri" w:hAnsi="Arial" w:cs="Arial"/>
          <w:b/>
          <w:bCs/>
          <w:color w:val="000000" w:themeColor="text1"/>
          <w:sz w:val="22"/>
        </w:rPr>
      </w:pPr>
      <w:r w:rsidRPr="00607C83">
        <w:rPr>
          <w:rFonts w:ascii="Arial" w:eastAsia="Calibri" w:hAnsi="Arial" w:cs="Arial"/>
          <w:b/>
          <w:bCs/>
          <w:color w:val="000000" w:themeColor="text1"/>
          <w:sz w:val="22"/>
        </w:rPr>
        <w:t>Respuestas</w:t>
      </w:r>
    </w:p>
    <w:p w14:paraId="19E85074" w14:textId="77777777" w:rsidR="00C8087D" w:rsidRPr="00607C83" w:rsidRDefault="00C8087D" w:rsidP="00C8087D">
      <w:pPr>
        <w:spacing w:after="18" w:line="276" w:lineRule="auto"/>
        <w:ind w:left="709" w:right="709"/>
        <w:jc w:val="both"/>
        <w:rPr>
          <w:rFonts w:ascii="Arial" w:eastAsia="Calibri" w:hAnsi="Arial" w:cs="Arial"/>
          <w:i/>
          <w:color w:val="000000" w:themeColor="text1"/>
          <w:sz w:val="22"/>
        </w:rPr>
      </w:pPr>
    </w:p>
    <w:p w14:paraId="00633D99" w14:textId="77777777" w:rsidR="00C8087D" w:rsidRPr="00607C83" w:rsidRDefault="00C8087D" w:rsidP="00C8087D">
      <w:pPr>
        <w:spacing w:after="0"/>
        <w:ind w:left="709" w:right="709"/>
        <w:jc w:val="both"/>
        <w:rPr>
          <w:rFonts w:ascii="Arial" w:eastAsia="Calibri" w:hAnsi="Arial" w:cs="Arial"/>
          <w:color w:val="000000" w:themeColor="text1"/>
          <w:sz w:val="21"/>
          <w:szCs w:val="21"/>
        </w:rPr>
      </w:pPr>
      <w:r w:rsidRPr="00607C83">
        <w:rPr>
          <w:rFonts w:ascii="Arial" w:eastAsia="Calibri" w:hAnsi="Arial" w:cs="Arial"/>
          <w:color w:val="000000" w:themeColor="text1"/>
          <w:sz w:val="21"/>
          <w:szCs w:val="21"/>
        </w:rPr>
        <w:t>i) «¿con respecto al formato de certificación de vinculación de personal con discapacidad de una empresa, ¿puede una entidad contratante no aceptarlo o no otorgar los puntos por este concepto aduciendo que el formato está firmado por el representante legal y el revisor fiscal de una empresa?».</w:t>
      </w:r>
    </w:p>
    <w:p w14:paraId="7A3EC6AF" w14:textId="77777777" w:rsidR="00C8087D" w:rsidRPr="00607C83" w:rsidRDefault="00C8087D" w:rsidP="00C8087D">
      <w:pPr>
        <w:spacing w:after="18" w:line="276" w:lineRule="auto"/>
        <w:ind w:left="708" w:right="709"/>
        <w:jc w:val="both"/>
        <w:rPr>
          <w:rFonts w:ascii="Arial" w:eastAsia="Calibri" w:hAnsi="Arial" w:cs="Arial"/>
          <w:color w:val="000000" w:themeColor="text1"/>
          <w:sz w:val="22"/>
        </w:rPr>
      </w:pPr>
    </w:p>
    <w:p w14:paraId="555918F1" w14:textId="77777777" w:rsidR="00C8087D" w:rsidRPr="00607C83" w:rsidRDefault="00C8087D" w:rsidP="00C8087D">
      <w:pPr>
        <w:spacing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t xml:space="preserve">La suscripción conjunta del «Formato 8 ― Vinculación de personas con discapacidad», por parte del representante legal y el revisor fiscal de la misma empresa, no constituye un indebido diligenciamiento del formato o una desatención de lo establecido en el numeral 1 del artículo 2.2.1.2.4.2.6. del Decreto 1082 de 2015. </w:t>
      </w:r>
    </w:p>
    <w:p w14:paraId="561EB708" w14:textId="77777777" w:rsidR="00C8087D" w:rsidRPr="00607C83" w:rsidRDefault="00C8087D" w:rsidP="00C8087D">
      <w:pPr>
        <w:spacing w:after="18" w:line="276" w:lineRule="auto"/>
        <w:ind w:left="709" w:right="709"/>
        <w:jc w:val="both"/>
        <w:rPr>
          <w:rFonts w:ascii="Arial" w:eastAsia="Calibri" w:hAnsi="Arial" w:cs="Arial"/>
          <w:color w:val="000000" w:themeColor="text1"/>
          <w:sz w:val="22"/>
        </w:rPr>
      </w:pPr>
    </w:p>
    <w:p w14:paraId="736093CE" w14:textId="77777777" w:rsidR="00C8087D" w:rsidRPr="00607C83" w:rsidRDefault="00C8087D" w:rsidP="00C8087D">
      <w:pPr>
        <w:spacing w:after="18"/>
        <w:ind w:left="709" w:right="709"/>
        <w:jc w:val="both"/>
        <w:rPr>
          <w:rFonts w:ascii="Arial" w:eastAsia="Calibri" w:hAnsi="Arial" w:cs="Arial"/>
          <w:color w:val="000000" w:themeColor="text1"/>
          <w:sz w:val="21"/>
          <w:szCs w:val="21"/>
        </w:rPr>
      </w:pPr>
      <w:r w:rsidRPr="00607C83">
        <w:rPr>
          <w:rFonts w:ascii="Arial" w:eastAsia="Calibri" w:hAnsi="Arial" w:cs="Arial"/>
          <w:color w:val="000000" w:themeColor="text1"/>
          <w:sz w:val="21"/>
          <w:szCs w:val="21"/>
        </w:rPr>
        <w:t>ii) «¿puede una entidad no dar los puntos aduciendo que la fecha del formato debe ser la programada en el cronograma para el día de cierre?».</w:t>
      </w:r>
    </w:p>
    <w:p w14:paraId="5B13473C" w14:textId="77777777" w:rsidR="00C8087D" w:rsidRPr="00607C83" w:rsidRDefault="00C8087D" w:rsidP="00C8087D">
      <w:pPr>
        <w:spacing w:line="276" w:lineRule="auto"/>
        <w:jc w:val="both"/>
        <w:rPr>
          <w:rFonts w:ascii="Arial" w:eastAsia="Calibri" w:hAnsi="Arial" w:cs="Arial"/>
          <w:color w:val="000000" w:themeColor="text1"/>
          <w:sz w:val="22"/>
        </w:rPr>
      </w:pPr>
    </w:p>
    <w:p w14:paraId="0DA0BD50" w14:textId="77777777" w:rsidR="00C8087D" w:rsidRPr="00607C83" w:rsidRDefault="00C8087D" w:rsidP="00C8087D">
      <w:pPr>
        <w:spacing w:before="120"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lastRenderedPageBreak/>
        <w:t>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w:t>
      </w:r>
    </w:p>
    <w:p w14:paraId="6A8B6AD8" w14:textId="77777777" w:rsidR="00C8087D" w:rsidRPr="00607C83" w:rsidRDefault="00C8087D" w:rsidP="00C8087D">
      <w:pPr>
        <w:spacing w:before="120" w:line="276" w:lineRule="auto"/>
        <w:jc w:val="both"/>
        <w:rPr>
          <w:rFonts w:ascii="Arial" w:eastAsia="Calibri" w:hAnsi="Arial" w:cs="Arial"/>
          <w:color w:val="000000" w:themeColor="text1"/>
          <w:sz w:val="22"/>
        </w:rPr>
      </w:pPr>
      <w:r w:rsidRPr="00607C83">
        <w:rPr>
          <w:rFonts w:ascii="Arial" w:eastAsia="Calibri" w:hAnsi="Arial" w:cs="Arial"/>
          <w:color w:val="000000" w:themeColor="text1"/>
          <w:sz w:val="22"/>
        </w:rPr>
        <w:tab/>
        <w:t xml:space="preserve">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 </w:t>
      </w:r>
    </w:p>
    <w:p w14:paraId="018ED6EF" w14:textId="77777777" w:rsidR="00C8087D" w:rsidRPr="00607C83" w:rsidRDefault="00C8087D" w:rsidP="00C8087D">
      <w:pPr>
        <w:spacing w:before="120" w:line="276" w:lineRule="auto"/>
        <w:ind w:firstLine="708"/>
        <w:jc w:val="both"/>
        <w:rPr>
          <w:rFonts w:ascii="Arial" w:eastAsia="Calibri" w:hAnsi="Arial" w:cs="Arial"/>
          <w:color w:val="000000" w:themeColor="text1"/>
          <w:sz w:val="22"/>
        </w:rPr>
      </w:pPr>
      <w:r w:rsidRPr="00607C83">
        <w:rPr>
          <w:rFonts w:ascii="Arial" w:eastAsia="Calibri" w:hAnsi="Arial" w:cs="Arial"/>
          <w:color w:val="000000" w:themeColor="text1"/>
          <w:sz w:val="22"/>
        </w:rPr>
        <w:t>Este concepto tiene el alcance previsto en el artículo 28 del Código de Procedimiento Administrativo y de lo Contencioso Administrativo.</w:t>
      </w:r>
    </w:p>
    <w:p w14:paraId="5FD848F8" w14:textId="2EB72A4F" w:rsidR="00C8087D" w:rsidRPr="00607C83" w:rsidRDefault="00C8087D" w:rsidP="00C8087D">
      <w:pPr>
        <w:spacing w:after="18"/>
        <w:jc w:val="both"/>
        <w:rPr>
          <w:rFonts w:ascii="Arial" w:eastAsia="Calibri" w:hAnsi="Arial" w:cs="Arial"/>
          <w:color w:val="000000" w:themeColor="text1"/>
          <w:sz w:val="22"/>
        </w:rPr>
      </w:pPr>
      <w:r w:rsidRPr="00607C83">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5D15A7C" wp14:editId="43DEF636">
                <wp:simplePos x="0" y="0"/>
                <wp:positionH relativeFrom="page">
                  <wp:posOffset>1080135</wp:posOffset>
                </wp:positionH>
                <wp:positionV relativeFrom="paragraph">
                  <wp:posOffset>-635</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425C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85.05pt,-.05pt"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LZmMDbZAAAABwEAAA8AAABkcnMvZG93bnJldi54&#10;bWxMjs1OwzAQhO9IvIO1SNxau4ifNo1TRYieEWmFODrxNgnE6xA7aXh7Fi5w2hnNaPZLd7PrxIRD&#10;aD1pWC0VCKTK25ZqDcfDfrEGEaIhazpPqOELA+yyy4vUJNaf6QWnItaCRygkRkMTY59IGaoGnQlL&#10;3yNxdvKDM5HtUEs7mDOPu07eKHUvnWmJPzSmx8cGq49idBrG49u+fC/C5pny26lv86e7z1el9fXV&#10;nG9BRJzjXxl+8BkdMmYq/Ug2iI79g1pxVcOCD+cbtWZR/nqZpfI/f/YNAAD//wMAUEsBAi0AFAAG&#10;AAgAAAAhALaDOJL+AAAA4QEAABMAAAAAAAAAAAAAAAAAAAAAAFtDb250ZW50X1R5cGVzXS54bWxQ&#10;SwECLQAUAAYACAAAACEAOP0h/9YAAACUAQAACwAAAAAAAAAAAAAAAAAvAQAAX3JlbHMvLnJlbHNQ&#10;SwECLQAUAAYACAAAACEAhgJpubYBAABZAwAADgAAAAAAAAAAAAAAAAAuAgAAZHJzL2Uyb0RvYy54&#10;bWxQSwECLQAUAAYACAAAACEAtmYwNtkAAAAHAQAADwAAAAAAAAAAAAAAAAAQBAAAZHJzL2Rvd25y&#10;ZXYueG1sUEsFBgAAAAAEAAQA8wAAABYFAAAAAA==&#10;" strokecolor="#dbdbdb">
                <w10:wrap anchorx="page"/>
              </v:line>
            </w:pict>
          </mc:Fallback>
        </mc:AlternateContent>
      </w:r>
    </w:p>
    <w:p w14:paraId="07742A24" w14:textId="77777777" w:rsidR="00C8087D" w:rsidRPr="00607C83" w:rsidRDefault="00C8087D" w:rsidP="00C8087D">
      <w:pPr>
        <w:spacing w:after="18"/>
        <w:rPr>
          <w:rFonts w:ascii="Arial" w:eastAsia="Times New Roman" w:hAnsi="Arial" w:cs="Arial"/>
          <w:color w:val="000000" w:themeColor="text1"/>
          <w:sz w:val="22"/>
          <w:lang w:eastAsia="es-CO"/>
        </w:rPr>
      </w:pPr>
      <w:r w:rsidRPr="00607C83">
        <w:rPr>
          <w:rFonts w:ascii="Arial" w:eastAsia="Times New Roman" w:hAnsi="Arial" w:cs="Arial"/>
          <w:color w:val="000000" w:themeColor="text1"/>
          <w:sz w:val="22"/>
          <w:lang w:eastAsia="es-CO"/>
        </w:rPr>
        <w:t>Atentamente,</w:t>
      </w:r>
    </w:p>
    <w:p w14:paraId="0E815011" w14:textId="77777777" w:rsidR="00C8087D" w:rsidRPr="00607C83" w:rsidRDefault="00C8087D" w:rsidP="00C8087D">
      <w:pPr>
        <w:spacing w:after="18"/>
        <w:rPr>
          <w:rFonts w:ascii="Arial" w:eastAsia="Times New Roman" w:hAnsi="Arial" w:cs="Arial"/>
          <w:color w:val="000000" w:themeColor="text1"/>
          <w:sz w:val="22"/>
          <w:lang w:eastAsia="es-CO"/>
        </w:rPr>
      </w:pPr>
      <w:r w:rsidRPr="00607C83">
        <w:rPr>
          <w:rFonts w:ascii="Arial" w:eastAsia="Times New Roman" w:hAnsi="Arial" w:cs="Arial"/>
          <w:color w:val="000000" w:themeColor="text1"/>
          <w:sz w:val="22"/>
          <w:lang w:eastAsia="es-CO"/>
        </w:rPr>
        <w:t> </w:t>
      </w:r>
    </w:p>
    <w:p w14:paraId="11E95D5E" w14:textId="77777777" w:rsidR="00C8087D" w:rsidRPr="00607C83" w:rsidRDefault="00C8087D" w:rsidP="00C8087D">
      <w:pPr>
        <w:spacing w:after="18"/>
        <w:jc w:val="center"/>
        <w:rPr>
          <w:rFonts w:ascii="Arial" w:eastAsia="Times New Roman" w:hAnsi="Arial" w:cs="Arial"/>
          <w:color w:val="000000" w:themeColor="text1"/>
          <w:sz w:val="20"/>
          <w:szCs w:val="20"/>
          <w:lang w:eastAsia="es-CO"/>
        </w:rPr>
      </w:pPr>
    </w:p>
    <w:p w14:paraId="40AF93AC" w14:textId="77296CD6" w:rsidR="00C8087D" w:rsidRPr="00607C83" w:rsidRDefault="00EA4311" w:rsidP="00C8087D">
      <w:pPr>
        <w:spacing w:after="18"/>
        <w:jc w:val="center"/>
        <w:rPr>
          <w:rFonts w:ascii="Arial" w:eastAsia="Times New Roman" w:hAnsi="Arial" w:cs="Arial"/>
          <w:color w:val="000000" w:themeColor="text1"/>
          <w:sz w:val="18"/>
          <w:szCs w:val="20"/>
          <w:lang w:eastAsia="es-CO"/>
        </w:rPr>
      </w:pPr>
      <w:r>
        <w:rPr>
          <w:noProof/>
          <w:lang w:val="en-US"/>
        </w:rPr>
        <w:drawing>
          <wp:inline distT="0" distB="0" distL="0" distR="0" wp14:anchorId="0B414688" wp14:editId="623B7B63">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DEBDBD1" w14:textId="77777777" w:rsidR="00C8087D" w:rsidRPr="00607C83" w:rsidRDefault="00C8087D" w:rsidP="00C8087D">
      <w:pPr>
        <w:spacing w:after="18"/>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5069"/>
      </w:tblGrid>
      <w:tr w:rsidR="00607C83" w:rsidRPr="00607C83" w14:paraId="4C138559" w14:textId="77777777" w:rsidTr="0005227A">
        <w:trPr>
          <w:trHeight w:val="359"/>
        </w:trPr>
        <w:tc>
          <w:tcPr>
            <w:tcW w:w="932" w:type="dxa"/>
            <w:vAlign w:val="center"/>
          </w:tcPr>
          <w:p w14:paraId="0C5CDC09"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Elaboró:</w:t>
            </w:r>
          </w:p>
        </w:tc>
        <w:tc>
          <w:tcPr>
            <w:tcW w:w="5069" w:type="dxa"/>
            <w:tcBorders>
              <w:bottom w:val="dotted" w:sz="4" w:space="0" w:color="7F7F7F" w:themeColor="text1" w:themeTint="80"/>
            </w:tcBorders>
            <w:vAlign w:val="center"/>
          </w:tcPr>
          <w:p w14:paraId="61720987"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Alejandro Sarmiento Cantillo</w:t>
            </w:r>
          </w:p>
          <w:p w14:paraId="6EE46C16"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Contratista</w:t>
            </w:r>
          </w:p>
        </w:tc>
      </w:tr>
      <w:tr w:rsidR="00607C83" w:rsidRPr="00607C83" w14:paraId="6EBEF5B2" w14:textId="77777777" w:rsidTr="0005227A">
        <w:trPr>
          <w:trHeight w:val="376"/>
        </w:trPr>
        <w:tc>
          <w:tcPr>
            <w:tcW w:w="932" w:type="dxa"/>
            <w:vAlign w:val="center"/>
          </w:tcPr>
          <w:p w14:paraId="23EF7CD4"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Revisó:</w:t>
            </w:r>
          </w:p>
        </w:tc>
        <w:tc>
          <w:tcPr>
            <w:tcW w:w="5069" w:type="dxa"/>
            <w:tcBorders>
              <w:top w:val="dotted" w:sz="4" w:space="0" w:color="7F7F7F" w:themeColor="text1" w:themeTint="80"/>
              <w:bottom w:val="dotted" w:sz="4" w:space="0" w:color="7F7F7F" w:themeColor="text1" w:themeTint="80"/>
            </w:tcBorders>
            <w:vAlign w:val="center"/>
          </w:tcPr>
          <w:p w14:paraId="35948E28"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Leider Gómez Caballero</w:t>
            </w:r>
          </w:p>
          <w:p w14:paraId="1F1E76C4"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Contratista</w:t>
            </w:r>
          </w:p>
        </w:tc>
      </w:tr>
      <w:tr w:rsidR="00C8087D" w:rsidRPr="00607C83" w14:paraId="442B965E" w14:textId="77777777" w:rsidTr="0005227A">
        <w:trPr>
          <w:trHeight w:val="341"/>
        </w:trPr>
        <w:tc>
          <w:tcPr>
            <w:tcW w:w="932" w:type="dxa"/>
            <w:vAlign w:val="center"/>
          </w:tcPr>
          <w:p w14:paraId="2EE4AC38"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Aprobó:</w:t>
            </w:r>
          </w:p>
        </w:tc>
        <w:tc>
          <w:tcPr>
            <w:tcW w:w="5069" w:type="dxa"/>
            <w:tcBorders>
              <w:top w:val="dotted" w:sz="4" w:space="0" w:color="7F7F7F" w:themeColor="text1" w:themeTint="80"/>
              <w:bottom w:val="dotted" w:sz="4" w:space="0" w:color="7F7F7F" w:themeColor="text1" w:themeTint="80"/>
            </w:tcBorders>
            <w:vAlign w:val="center"/>
          </w:tcPr>
          <w:p w14:paraId="15AFB23E"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Fabián Gonzalo Marín Cortés</w:t>
            </w:r>
          </w:p>
          <w:p w14:paraId="1055BC75" w14:textId="77777777" w:rsidR="00C8087D" w:rsidRPr="00607C83" w:rsidRDefault="00C8087D" w:rsidP="0005227A">
            <w:pPr>
              <w:rPr>
                <w:rFonts w:ascii="Arial" w:eastAsia="Times New Roman" w:hAnsi="Arial" w:cs="Arial"/>
                <w:color w:val="000000" w:themeColor="text1"/>
                <w:sz w:val="16"/>
                <w:szCs w:val="16"/>
                <w:lang w:eastAsia="es-ES"/>
              </w:rPr>
            </w:pPr>
            <w:r w:rsidRPr="00607C83">
              <w:rPr>
                <w:rFonts w:ascii="Arial" w:eastAsia="Times New Roman" w:hAnsi="Arial" w:cs="Arial"/>
                <w:color w:val="000000" w:themeColor="text1"/>
                <w:sz w:val="16"/>
                <w:szCs w:val="16"/>
                <w:lang w:eastAsia="es-ES"/>
              </w:rPr>
              <w:t>Subdirector de Gestión Contractual</w:t>
            </w:r>
          </w:p>
        </w:tc>
      </w:tr>
    </w:tbl>
    <w:p w14:paraId="57346106" w14:textId="77777777" w:rsidR="00C8087D" w:rsidRPr="00607C83" w:rsidRDefault="00C8087D" w:rsidP="00C8087D">
      <w:pPr>
        <w:spacing w:after="18"/>
        <w:rPr>
          <w:rFonts w:ascii="Arial" w:hAnsi="Arial" w:cs="Arial"/>
          <w:color w:val="000000" w:themeColor="text1"/>
        </w:rPr>
      </w:pPr>
    </w:p>
    <w:bookmarkEnd w:id="1"/>
    <w:p w14:paraId="0F7B0AF5" w14:textId="77777777" w:rsidR="00C8087D" w:rsidRPr="00607C83" w:rsidRDefault="00C8087D" w:rsidP="00C8087D">
      <w:pPr>
        <w:rPr>
          <w:color w:val="000000" w:themeColor="text1"/>
        </w:rPr>
      </w:pPr>
    </w:p>
    <w:bookmarkEnd w:id="2"/>
    <w:p w14:paraId="7EBF297E" w14:textId="5790A9B7" w:rsidR="007B0854" w:rsidRPr="00607C83" w:rsidRDefault="007B0854" w:rsidP="00C8087D">
      <w:pPr>
        <w:rPr>
          <w:color w:val="000000" w:themeColor="text1"/>
        </w:rPr>
      </w:pPr>
    </w:p>
    <w:sectPr w:rsidR="007B0854" w:rsidRPr="00607C83" w:rsidSect="002E033C">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9DFC" w14:textId="77777777" w:rsidR="000454F2" w:rsidRDefault="000454F2">
      <w:r>
        <w:separator/>
      </w:r>
    </w:p>
  </w:endnote>
  <w:endnote w:type="continuationSeparator" w:id="0">
    <w:p w14:paraId="2EA39D78" w14:textId="77777777" w:rsidR="000454F2" w:rsidRDefault="0004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D3C0" w14:textId="77777777" w:rsidR="00C94877" w:rsidRDefault="00C948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90BF4" w14:textId="77777777" w:rsidR="00607C83" w:rsidRDefault="00607C83" w:rsidP="00FE42ED">
    <w:pPr>
      <w:pStyle w:val="Piedepgina"/>
      <w:jc w:val="right"/>
      <w:rPr>
        <w:rFonts w:ascii="Arial" w:hAnsi="Arial" w:cs="Arial"/>
        <w:bCs/>
        <w:color w:val="7F7F7F" w:themeColor="text1" w:themeTint="80"/>
        <w:sz w:val="16"/>
        <w:szCs w:val="16"/>
      </w:rPr>
    </w:pPr>
  </w:p>
  <w:p w14:paraId="7A3785F3" w14:textId="13F2E100"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54C70">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54C70">
      <w:rPr>
        <w:rFonts w:ascii="Arial" w:hAnsi="Arial" w:cs="Arial"/>
        <w:b/>
        <w:bCs/>
        <w:noProof/>
        <w:color w:val="7F7F7F" w:themeColor="text1" w:themeTint="80"/>
        <w:sz w:val="16"/>
        <w:szCs w:val="16"/>
      </w:rPr>
      <w:t>13</w:t>
    </w:r>
    <w:r w:rsidR="00FE42ED" w:rsidRPr="00084B97">
      <w:rPr>
        <w:rFonts w:ascii="Arial" w:hAnsi="Arial" w:cs="Arial"/>
        <w:b/>
        <w:bCs/>
        <w:color w:val="7F7F7F" w:themeColor="text1" w:themeTint="80"/>
        <w:sz w:val="16"/>
        <w:szCs w:val="16"/>
      </w:rPr>
      <w:fldChar w:fldCharType="end"/>
    </w:r>
  </w:p>
  <w:p w14:paraId="48FC6A04" w14:textId="5FD1A7C9" w:rsidR="009047C5" w:rsidRDefault="02075A97" w:rsidP="00322937">
    <w:pPr>
      <w:pStyle w:val="Piedepgina"/>
      <w:jc w:val="center"/>
      <w:rPr>
        <w:lang w:val="es-ES"/>
      </w:rPr>
    </w:pPr>
    <w:r>
      <w:rPr>
        <w:noProof/>
        <w:lang w:val="en-US"/>
      </w:rPr>
      <w:drawing>
        <wp:inline distT="0" distB="0" distL="0" distR="0" wp14:anchorId="608B196D" wp14:editId="7D9B3B8E">
          <wp:extent cx="3700130" cy="519139"/>
          <wp:effectExtent l="0" t="0" r="0" b="0"/>
          <wp:docPr id="14109920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B9C3AD5" w14:textId="14F0ABBC" w:rsidR="00607C83" w:rsidRPr="007B0854" w:rsidRDefault="00607C83" w:rsidP="00607C83">
    <w:pPr>
      <w:pStyle w:val="Piedepgina"/>
      <w:tabs>
        <w:tab w:val="clear" w:pos="8838"/>
        <w:tab w:val="left" w:pos="6624"/>
      </w:tabs>
      <w:rPr>
        <w:lang w:val="es-ES"/>
      </w:rPr>
    </w:pPr>
    <w:r>
      <w:rPr>
        <w:lang w:val="es-ES"/>
      </w:rPr>
      <w:tab/>
    </w:r>
    <w:r>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837F" w14:textId="77777777" w:rsidR="00C94877" w:rsidRDefault="00C94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F9F8" w14:textId="77777777" w:rsidR="000454F2" w:rsidRDefault="000454F2">
      <w:r>
        <w:separator/>
      </w:r>
    </w:p>
  </w:footnote>
  <w:footnote w:type="continuationSeparator" w:id="0">
    <w:p w14:paraId="0A5A5A93" w14:textId="77777777" w:rsidR="000454F2" w:rsidRDefault="000454F2">
      <w:r>
        <w:continuationSeparator/>
      </w:r>
    </w:p>
  </w:footnote>
  <w:footnote w:id="1">
    <w:p w14:paraId="4B00E51F" w14:textId="77777777" w:rsidR="00C8087D" w:rsidRPr="00607C83" w:rsidRDefault="00C8087D" w:rsidP="00C8087D">
      <w:pPr>
        <w:pStyle w:val="Textonotapie"/>
        <w:ind w:firstLine="708"/>
        <w:jc w:val="both"/>
        <w:rPr>
          <w:rFonts w:ascii="Arial" w:hAnsi="Arial" w:cs="Arial"/>
          <w:color w:val="000000" w:themeColor="text1"/>
          <w:sz w:val="19"/>
          <w:szCs w:val="19"/>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7C62BAAA" w14:textId="77777777" w:rsidR="00C8087D" w:rsidRPr="00607C83" w:rsidRDefault="00C8087D" w:rsidP="00C8087D">
      <w:pPr>
        <w:pStyle w:val="Textonotapie"/>
        <w:jc w:val="both"/>
        <w:rPr>
          <w:rFonts w:ascii="Arial" w:hAnsi="Arial" w:cs="Arial"/>
          <w:color w:val="000000" w:themeColor="text1"/>
          <w:sz w:val="19"/>
          <w:szCs w:val="19"/>
          <w:lang w:val="es-ES"/>
        </w:rPr>
      </w:pPr>
    </w:p>
  </w:footnote>
  <w:footnote w:id="2">
    <w:p w14:paraId="729FF4E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14:paraId="7D8255F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Por razones del cargo.</w:t>
      </w:r>
    </w:p>
    <w:p w14:paraId="0C2808A6"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»a) Para desempeñar las funciones de revisor fiscal, auditor externo, auditor interno en toda clase de sociedades, para las cuales la ley o el contrato social así lo determinan.</w:t>
      </w:r>
    </w:p>
    <w:p w14:paraId="76E072C9"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w:t>
      </w:r>
    </w:p>
    <w:p w14:paraId="1BA088DA"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Por la razón de la naturaleza del asunto. […]</w:t>
      </w:r>
    </w:p>
    <w:p w14:paraId="78AEC22C"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»f) Para todos los demás casos que señala la ley».</w:t>
      </w:r>
    </w:p>
    <w:p w14:paraId="635C0DEA" w14:textId="77777777" w:rsidR="00C8087D" w:rsidRPr="00607C83" w:rsidRDefault="00C8087D" w:rsidP="00C8087D">
      <w:pPr>
        <w:pStyle w:val="Textonotapie"/>
        <w:jc w:val="both"/>
        <w:rPr>
          <w:rFonts w:ascii="Arial" w:hAnsi="Arial" w:cs="Arial"/>
          <w:color w:val="000000" w:themeColor="text1"/>
          <w:sz w:val="19"/>
          <w:szCs w:val="19"/>
          <w:lang w:val="es-ES"/>
        </w:rPr>
      </w:pPr>
    </w:p>
  </w:footnote>
  <w:footnote w:id="3">
    <w:p w14:paraId="5D8EB4A1"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Código de Comercio: </w:t>
      </w:r>
      <w:r w:rsidRPr="00607C83">
        <w:rPr>
          <w:rFonts w:ascii="Arial" w:hAnsi="Arial" w:cs="Arial"/>
          <w:color w:val="000000" w:themeColor="text1"/>
          <w:sz w:val="19"/>
          <w:szCs w:val="19"/>
          <w:lang w:val="es-ES"/>
        </w:rPr>
        <w:t>«Artículo 203. Sociedades que están obligadas a tener revisor fiscal. Deberán tener revisor fiscal:</w:t>
      </w:r>
    </w:p>
    <w:p w14:paraId="46B47089"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Las sociedades por acciones;</w:t>
      </w:r>
    </w:p>
    <w:p w14:paraId="134E0EC4"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Las sucursales de compañías extranjeras, y</w:t>
      </w:r>
    </w:p>
    <w:p w14:paraId="34992442" w14:textId="77777777" w:rsidR="00C8087D" w:rsidRPr="00607C83" w:rsidRDefault="00C8087D" w:rsidP="00C8087D">
      <w:pPr>
        <w:pStyle w:val="Textonotapie"/>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footnote>
  <w:footnote w:id="4">
    <w:p w14:paraId="7210D483" w14:textId="77777777" w:rsidR="00C8087D" w:rsidRPr="00607C83" w:rsidRDefault="00C8087D" w:rsidP="00C8087D">
      <w:pPr>
        <w:pStyle w:val="Capitulo1"/>
        <w:spacing w:before="0" w:after="0" w:line="240" w:lineRule="auto"/>
        <w:ind w:left="0" w:firstLine="709"/>
        <w:jc w:val="both"/>
        <w:rPr>
          <w:b w:val="0"/>
          <w:color w:val="000000" w:themeColor="text1"/>
          <w:sz w:val="19"/>
          <w:szCs w:val="19"/>
        </w:rPr>
      </w:pPr>
      <w:r w:rsidRPr="00607C83">
        <w:rPr>
          <w:rStyle w:val="Refdenotaalpie"/>
          <w:color w:val="000000" w:themeColor="text1"/>
          <w:sz w:val="19"/>
          <w:szCs w:val="19"/>
        </w:rPr>
        <w:footnoteRef/>
      </w:r>
      <w:r w:rsidRPr="00607C83">
        <w:rPr>
          <w:color w:val="000000" w:themeColor="text1"/>
          <w:sz w:val="19"/>
          <w:szCs w:val="19"/>
        </w:rPr>
        <w:t xml:space="preserve"> </w:t>
      </w:r>
      <w:r w:rsidRPr="00607C83">
        <w:rPr>
          <w:b w:val="0"/>
          <w:color w:val="000000" w:themeColor="text1"/>
          <w:sz w:val="19"/>
          <w:szCs w:val="19"/>
        </w:rPr>
        <w:t xml:space="preserve">Pliegos Tipo: «Numeral 1.15: </w:t>
      </w:r>
      <w:bookmarkStart w:id="7" w:name="_Hlk517183910"/>
      <w:bookmarkStart w:id="8" w:name="_Toc508648255"/>
      <w:bookmarkStart w:id="9" w:name="_Ref508649364"/>
      <w:bookmarkStart w:id="10" w:name="_Toc508984039"/>
      <w:bookmarkStart w:id="11" w:name="_Toc509843869"/>
      <w:bookmarkStart w:id="12" w:name="_Toc511924777"/>
      <w:bookmarkStart w:id="13" w:name="_Toc520226866"/>
      <w:bookmarkStart w:id="14" w:name="_Toc520297836"/>
      <w:bookmarkStart w:id="15" w:name="_Toc520317101"/>
      <w:bookmarkStart w:id="16" w:name="_Toc533083702"/>
      <w:bookmarkStart w:id="17" w:name="_Toc5006133"/>
      <w:r w:rsidRPr="00607C83">
        <w:rPr>
          <w:b w:val="0"/>
          <w:color w:val="000000" w:themeColor="text1"/>
          <w:sz w:val="19"/>
          <w:szCs w:val="19"/>
        </w:rPr>
        <w:t>Causales de rechazo</w:t>
      </w:r>
      <w:bookmarkEnd w:id="7"/>
      <w:bookmarkEnd w:id="8"/>
      <w:bookmarkEnd w:id="9"/>
      <w:bookmarkEnd w:id="10"/>
      <w:bookmarkEnd w:id="11"/>
      <w:bookmarkEnd w:id="12"/>
      <w:bookmarkEnd w:id="13"/>
      <w:bookmarkEnd w:id="14"/>
      <w:bookmarkEnd w:id="15"/>
      <w:bookmarkEnd w:id="16"/>
      <w:bookmarkEnd w:id="17"/>
      <w:r w:rsidRPr="00607C83">
        <w:rPr>
          <w:b w:val="0"/>
          <w:color w:val="000000" w:themeColor="text1"/>
          <w:sz w:val="19"/>
          <w:szCs w:val="19"/>
        </w:rPr>
        <w:t>: Son</w:t>
      </w:r>
      <w:r w:rsidRPr="00607C83">
        <w:rPr>
          <w:rFonts w:eastAsia="Arial"/>
          <w:b w:val="0"/>
          <w:color w:val="000000" w:themeColor="text1"/>
          <w:sz w:val="19"/>
          <w:szCs w:val="19"/>
        </w:rPr>
        <w:t xml:space="preserve"> </w:t>
      </w:r>
      <w:r w:rsidRPr="00607C83">
        <w:rPr>
          <w:b w:val="0"/>
          <w:color w:val="000000" w:themeColor="text1"/>
          <w:sz w:val="19"/>
          <w:szCs w:val="19"/>
        </w:rPr>
        <w:t>causales</w:t>
      </w:r>
      <w:r w:rsidRPr="00607C83">
        <w:rPr>
          <w:rFonts w:eastAsia="Arial"/>
          <w:b w:val="0"/>
          <w:color w:val="000000" w:themeColor="text1"/>
          <w:sz w:val="19"/>
          <w:szCs w:val="19"/>
        </w:rPr>
        <w:t xml:space="preserve"> </w:t>
      </w:r>
      <w:r w:rsidRPr="00607C83">
        <w:rPr>
          <w:b w:val="0"/>
          <w:color w:val="000000" w:themeColor="text1"/>
          <w:sz w:val="19"/>
          <w:szCs w:val="19"/>
        </w:rPr>
        <w:t>de</w:t>
      </w:r>
      <w:r w:rsidRPr="00607C83">
        <w:rPr>
          <w:rFonts w:eastAsia="Arial"/>
          <w:b w:val="0"/>
          <w:color w:val="000000" w:themeColor="text1"/>
          <w:sz w:val="19"/>
          <w:szCs w:val="19"/>
        </w:rPr>
        <w:t xml:space="preserve"> </w:t>
      </w:r>
      <w:r w:rsidRPr="00607C83">
        <w:rPr>
          <w:b w:val="0"/>
          <w:color w:val="000000" w:themeColor="text1"/>
          <w:sz w:val="19"/>
          <w:szCs w:val="19"/>
        </w:rPr>
        <w:t>rechazo</w:t>
      </w:r>
      <w:r w:rsidRPr="00607C83">
        <w:rPr>
          <w:rFonts w:eastAsia="Arial"/>
          <w:b w:val="0"/>
          <w:color w:val="000000" w:themeColor="text1"/>
          <w:sz w:val="19"/>
          <w:szCs w:val="19"/>
        </w:rPr>
        <w:t xml:space="preserve"> </w:t>
      </w:r>
      <w:r w:rsidRPr="00607C83">
        <w:rPr>
          <w:b w:val="0"/>
          <w:color w:val="000000" w:themeColor="text1"/>
          <w:sz w:val="19"/>
          <w:szCs w:val="19"/>
        </w:rPr>
        <w:t>las</w:t>
      </w:r>
      <w:r w:rsidRPr="00607C83">
        <w:rPr>
          <w:rFonts w:eastAsia="Arial"/>
          <w:b w:val="0"/>
          <w:color w:val="000000" w:themeColor="text1"/>
          <w:sz w:val="19"/>
          <w:szCs w:val="19"/>
        </w:rPr>
        <w:t xml:space="preserve"> </w:t>
      </w:r>
      <w:r w:rsidRPr="00607C83">
        <w:rPr>
          <w:b w:val="0"/>
          <w:color w:val="000000" w:themeColor="text1"/>
          <w:sz w:val="19"/>
          <w:szCs w:val="19"/>
        </w:rPr>
        <w:t>siguientes. [Las Entidades no podrán incluir causales de rechazo distintas a las incluidas en la presente sección]:</w:t>
      </w:r>
    </w:p>
    <w:p w14:paraId="0AB58BF2" w14:textId="77777777" w:rsidR="00C8087D" w:rsidRPr="00607C83" w:rsidRDefault="00C8087D" w:rsidP="00C8087D">
      <w:pPr>
        <w:pStyle w:val="Prrafodelista"/>
        <w:tabs>
          <w:tab w:val="left" w:pos="142"/>
          <w:tab w:val="left" w:pos="284"/>
        </w:tabs>
        <w:ind w:left="0" w:firstLine="709"/>
        <w:jc w:val="both"/>
        <w:rPr>
          <w:rFonts w:ascii="Arial" w:eastAsia="Times New Roman" w:hAnsi="Arial" w:cs="Arial"/>
          <w:color w:val="000000" w:themeColor="text1"/>
          <w:sz w:val="19"/>
          <w:szCs w:val="19"/>
          <w:lang w:val="es-CO" w:eastAsia="es-CO"/>
        </w:rPr>
      </w:pPr>
      <w:r w:rsidRPr="00607C83">
        <w:rPr>
          <w:rFonts w:ascii="Arial" w:eastAsia="Arial" w:hAnsi="Arial" w:cs="Arial"/>
          <w:color w:val="000000" w:themeColor="text1"/>
          <w:sz w:val="19"/>
          <w:szCs w:val="19"/>
          <w:lang w:val="es-CO" w:eastAsia="es-CO"/>
        </w:rPr>
        <w:t xml:space="preserve">»A. </w:t>
      </w:r>
      <w:r w:rsidRPr="00607C83">
        <w:rPr>
          <w:rFonts w:ascii="Arial" w:eastAsia="Times New Roman" w:hAnsi="Arial" w:cs="Arial"/>
          <w:color w:val="000000" w:themeColor="text1"/>
          <w:sz w:val="19"/>
          <w:szCs w:val="19"/>
          <w:lang w:val="es-CO" w:eastAsia="es-CO"/>
        </w:rPr>
        <w:t>Que el Proponente o alguno de los integrantes del Proponente Plural esté incurso en causal de inhabilidad, incompatibilidad o prohibición previstas en la legislación colombiana para contratar.</w:t>
      </w:r>
    </w:p>
    <w:p w14:paraId="71C67B2F" w14:textId="77777777" w:rsidR="00C8087D" w:rsidRPr="00607C83" w:rsidRDefault="00C8087D" w:rsidP="00C8087D">
      <w:pPr>
        <w:ind w:left="142" w:firstLine="567"/>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»B. </w:t>
      </w:r>
      <w:bookmarkStart w:id="18" w:name="_Hlk517183916"/>
      <w:r w:rsidRPr="00607C83">
        <w:rPr>
          <w:rFonts w:ascii="Arial" w:eastAsia="Times New Roman" w:hAnsi="Arial" w:cs="Arial"/>
          <w:color w:val="000000" w:themeColor="text1"/>
          <w:sz w:val="19"/>
          <w:szCs w:val="19"/>
          <w:lang w:val="es-CO" w:eastAsia="es-CO"/>
        </w:rPr>
        <w:t xml:space="preserve">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8"/>
    </w:p>
    <w:p w14:paraId="6670A3B9"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»C. Que el Proponente o alguno de los integrantes del Proponente Plural esté reportado en el Boletín de Responsables Fiscales emitido por la Contraloría General de la República.</w:t>
      </w:r>
    </w:p>
    <w:p w14:paraId="0A45CE8C"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»D. Que la persona jurídica Proponente individual o integrante del Proponente Plural esté incursa en la situación descrita en el artículo 38 de la ley 1116 de 2006. </w:t>
      </w:r>
    </w:p>
    <w:p w14:paraId="33117846"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»E. Que el Proponente no aclare, subsane o aporte documentos solicitados por la Entidad en los términos establecidos en la sección 1.6</w:t>
      </w:r>
    </w:p>
    <w:p w14:paraId="403FDDBC"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bookmarkStart w:id="19" w:name="_Hlk516133201"/>
      <w:r w:rsidRPr="00607C83">
        <w:rPr>
          <w:rFonts w:ascii="Arial" w:eastAsia="Times New Roman" w:hAnsi="Arial" w:cs="Arial"/>
          <w:color w:val="000000" w:themeColor="text1"/>
          <w:sz w:val="19"/>
          <w:szCs w:val="19"/>
          <w:lang w:val="es-CO" w:eastAsia="es-CO"/>
        </w:rPr>
        <w:t xml:space="preserve">»F. Que la inscripción, renovación o actualización del Registro Único de Proponentes [RUP] no esté en firme al finalizar el término para la subsanación de documentos. </w:t>
      </w:r>
      <w:bookmarkEnd w:id="19"/>
    </w:p>
    <w:p w14:paraId="6D2A5A00"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»G. Que el Proponente aporte información inexacta en los términos de la sección 1.11</w:t>
      </w:r>
    </w:p>
    <w:p w14:paraId="0CCB90A3"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»H. Que el Proponente se encuentre inmerso en conflicto de interés insuperable.</w:t>
      </w:r>
    </w:p>
    <w:p w14:paraId="78788092"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»I. Que el Formulario 1 – Formulario de Presupuesto Oficial no se allegue firmado. </w:t>
      </w:r>
    </w:p>
    <w:p w14:paraId="41E96C8E"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»J. La no entrega de la Garantía de seriedad de la oferta junto con la propuesta.</w:t>
      </w:r>
    </w:p>
    <w:p w14:paraId="32F665D1"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31ACE1C9"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505EB436"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»M. Que el valor total de la oferta o aquel revisado en la audiencia efectiva de adjudicación exceda el Presupuesto Oficial Estimado para el Proceso de Contratación. </w:t>
      </w:r>
    </w:p>
    <w:p w14:paraId="5C344D70"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bookmarkStart w:id="20" w:name="_Hlk516133614"/>
      <w:r w:rsidRPr="00607C83">
        <w:rPr>
          <w:rFonts w:ascii="Arial" w:eastAsia="Times New Roman" w:hAnsi="Arial" w:cs="Arial"/>
          <w:color w:val="000000" w:themeColor="text1"/>
          <w:sz w:val="19"/>
          <w:szCs w:val="19"/>
          <w:lang w:val="es-CO" w:eastAsia="es-CO"/>
        </w:rPr>
        <w:t xml:space="preserve">»N. Presentar la oferta con tachaduras o enmendaduras que no estén convalidadas en la forma indicada en </w:t>
      </w:r>
      <w:bookmarkEnd w:id="20"/>
      <w:r w:rsidRPr="00607C83">
        <w:rPr>
          <w:rFonts w:ascii="Arial" w:eastAsia="Times New Roman" w:hAnsi="Arial" w:cs="Arial"/>
          <w:color w:val="000000" w:themeColor="text1"/>
          <w:sz w:val="19"/>
          <w:szCs w:val="19"/>
          <w:lang w:val="es-CO" w:eastAsia="es-CO"/>
        </w:rPr>
        <w:t>la sección 2.3 del Pliego de Condiciones.</w:t>
      </w:r>
    </w:p>
    <w:p w14:paraId="5D8BA903"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bookmarkStart w:id="21" w:name="_Hlk516133682"/>
      <w:r w:rsidRPr="00607C83">
        <w:rPr>
          <w:rFonts w:ascii="Arial" w:eastAsia="Times New Roman" w:hAnsi="Arial" w:cs="Arial"/>
          <w:color w:val="000000" w:themeColor="text1"/>
          <w:sz w:val="19"/>
          <w:szCs w:val="19"/>
          <w:lang w:val="es-CO" w:eastAsia="es-CO"/>
        </w:rPr>
        <w:t xml:space="preserve">»O. Que el proponente adicione, suprima, cambie, o modifique los ítems, la descripción, las unidades o cantidades señaladas en el </w:t>
      </w:r>
      <w:bookmarkStart w:id="22" w:name="_Hlk511139274"/>
      <w:bookmarkEnd w:id="21"/>
      <w:r w:rsidRPr="00607C83">
        <w:rPr>
          <w:rFonts w:ascii="Arial" w:eastAsia="Times New Roman" w:hAnsi="Arial" w:cs="Arial"/>
          <w:color w:val="000000" w:themeColor="text1"/>
          <w:sz w:val="19"/>
          <w:szCs w:val="19"/>
          <w:lang w:val="es-CO" w:eastAsia="es-CO"/>
        </w:rPr>
        <w:t xml:space="preserve">Formulario 1– Formulario de Presupuesto Oficial </w:t>
      </w:r>
    </w:p>
    <w:p w14:paraId="51DFC46F"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 xml:space="preserve">»P. No ofrecer el valor de un precio unitario u ofrecer como valor de un precio unitario cero (0). [incluir sólo cuando la forma de pago sea por precios unitarios] </w:t>
      </w:r>
      <w:bookmarkEnd w:id="22"/>
    </w:p>
    <w:p w14:paraId="107FC931" w14:textId="77777777" w:rsidR="00C8087D" w:rsidRPr="00607C83" w:rsidRDefault="00C8087D" w:rsidP="00C8087D">
      <w:pPr>
        <w:ind w:firstLine="709"/>
        <w:jc w:val="both"/>
        <w:rPr>
          <w:rFonts w:ascii="Arial" w:eastAsia="Times New Roman" w:hAnsi="Arial" w:cs="Arial"/>
          <w:color w:val="000000" w:themeColor="text1"/>
          <w:sz w:val="19"/>
          <w:szCs w:val="19"/>
          <w:lang w:val="es-CO" w:eastAsia="es-CO"/>
        </w:rPr>
      </w:pPr>
      <w:r w:rsidRPr="00607C83">
        <w:rPr>
          <w:rFonts w:ascii="Arial" w:eastAsia="Times New Roman" w:hAnsi="Arial" w:cs="Arial"/>
          <w:color w:val="000000" w:themeColor="text1"/>
          <w:sz w:val="19"/>
          <w:szCs w:val="19"/>
          <w:lang w:val="es-CO" w:eastAsia="es-CO"/>
        </w:rPr>
        <w:t>»Q. Superar el valor unitario de alguno o algunos de los ítems ofrecidos con respecto al valor establecido para cada ítem del Presupuesto Oficial. [incluir sólo cuando la forma de pago sea por precios unitarios] […]».</w:t>
      </w:r>
    </w:p>
  </w:footnote>
  <w:footnote w:id="5">
    <w:p w14:paraId="115621BD" w14:textId="77777777" w:rsidR="00C8087D" w:rsidRPr="00607C83" w:rsidRDefault="00C8087D" w:rsidP="00C8087D">
      <w:pPr>
        <w:pStyle w:val="Textonotapie"/>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CO"/>
        </w:rPr>
        <w:t>La Real Academia de la Lengua Española ofrece las siguientes acepciones del verbo certificar:</w:t>
      </w:r>
    </w:p>
    <w:p w14:paraId="30590755" w14:textId="77777777" w:rsidR="00C8087D" w:rsidRPr="00607C83" w:rsidRDefault="00C8087D" w:rsidP="00C8087D">
      <w:pPr>
        <w:pStyle w:val="Textonotapie"/>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 xml:space="preserve"> </w:t>
      </w:r>
      <w:r w:rsidRPr="00607C83">
        <w:rPr>
          <w:rFonts w:ascii="Arial" w:hAnsi="Arial" w:cs="Arial"/>
          <w:color w:val="000000" w:themeColor="text1"/>
          <w:sz w:val="19"/>
          <w:szCs w:val="19"/>
          <w:lang w:val="es-CO"/>
        </w:rPr>
        <w:tab/>
        <w:t>«1. tr. Asegurar, afirmar, dar por cierto algo. U. t. c. prnl.</w:t>
      </w:r>
    </w:p>
    <w:p w14:paraId="627B2025" w14:textId="77777777" w:rsidR="00C8087D" w:rsidRPr="00607C83" w:rsidRDefault="00C8087D" w:rsidP="00C8087D">
      <w:pPr>
        <w:pStyle w:val="Textonotapie"/>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«2. tr. Obtener, mediante pago, un certificado o resguardo por el cual el servicio de correos se obliga a «hacer llegar a su destino una carta o un paquete que se ha de remitir por esa vía.</w:t>
      </w:r>
    </w:p>
    <w:p w14:paraId="288D043C" w14:textId="77777777" w:rsidR="00C8087D" w:rsidRPr="00607C83" w:rsidRDefault="00C8087D" w:rsidP="00C8087D">
      <w:pPr>
        <w:pStyle w:val="Textonotapie"/>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«3. tr. Der. Dicho de una autoridad competente: Hacer constar por escrito una realidad de hecho.</w:t>
      </w:r>
    </w:p>
    <w:p w14:paraId="44E82EA4" w14:textId="77777777" w:rsidR="00C8087D" w:rsidRPr="00607C83" w:rsidRDefault="00C8087D" w:rsidP="00C8087D">
      <w:pPr>
        <w:pStyle w:val="Textonotapie"/>
        <w:ind w:firstLine="708"/>
        <w:jc w:val="both"/>
        <w:rPr>
          <w:color w:val="000000" w:themeColor="text1"/>
          <w:lang w:val="es-CO"/>
        </w:rPr>
      </w:pPr>
      <w:r w:rsidRPr="00607C83">
        <w:rPr>
          <w:rFonts w:ascii="Arial" w:hAnsi="Arial" w:cs="Arial"/>
          <w:color w:val="000000" w:themeColor="text1"/>
          <w:sz w:val="19"/>
          <w:szCs w:val="19"/>
          <w:lang w:val="es-CO"/>
        </w:rPr>
        <w:t xml:space="preserve">«4. intr. desus. Fijar, señalar con certeza». Recuperado en: </w:t>
      </w:r>
      <w:hyperlink r:id="rId1" w:history="1">
        <w:r w:rsidRPr="00607C83">
          <w:rPr>
            <w:rStyle w:val="Hipervnculo"/>
            <w:color w:val="000000" w:themeColor="text1"/>
          </w:rPr>
          <w:t>https://dle.rae.es/certificar</w:t>
        </w:r>
      </w:hyperlink>
      <w:r w:rsidRPr="00607C83">
        <w:rPr>
          <w:rFonts w:ascii="Arial" w:hAnsi="Arial" w:cs="Arial"/>
          <w:color w:val="000000" w:themeColor="text1"/>
          <w:sz w:val="19"/>
          <w:szCs w:val="19"/>
          <w:lang w:val="es-CO"/>
        </w:rPr>
        <w:t xml:space="preserve"> </w:t>
      </w:r>
    </w:p>
  </w:footnote>
  <w:footnote w:id="6">
    <w:p w14:paraId="1A520FF0" w14:textId="77777777" w:rsidR="00C8087D" w:rsidRPr="00607C83" w:rsidRDefault="00C8087D" w:rsidP="00C8087D">
      <w:pPr>
        <w:pStyle w:val="Textonotapie"/>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80 de 1993: </w:t>
      </w:r>
      <w:r w:rsidRPr="00607C83">
        <w:rPr>
          <w:rFonts w:ascii="Arial" w:hAnsi="Arial" w:cs="Arial"/>
          <w:color w:val="000000" w:themeColor="text1"/>
          <w:sz w:val="19"/>
          <w:szCs w:val="19"/>
          <w:lang w:val="es-CO"/>
        </w:rPr>
        <w:t>«Artículo 30-</w:t>
      </w:r>
      <w:r w:rsidRPr="00607C83">
        <w:rPr>
          <w:rFonts w:ascii="Arial" w:hAnsi="Arial" w:cs="Arial"/>
          <w:color w:val="000000" w:themeColor="text1"/>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607C83">
        <w:rPr>
          <w:rFonts w:ascii="Arial" w:hAnsi="Arial" w:cs="Arial"/>
          <w:color w:val="000000" w:themeColor="text1"/>
          <w:sz w:val="19"/>
          <w:szCs w:val="19"/>
          <w:lang w:val="es-CO"/>
        </w:rPr>
        <w:t>»</w:t>
      </w:r>
    </w:p>
  </w:footnote>
  <w:footnote w:id="7">
    <w:p w14:paraId="593A332B" w14:textId="77777777" w:rsidR="00C8087D" w:rsidRPr="007518DA" w:rsidRDefault="00C8087D" w:rsidP="00C8087D">
      <w:pPr>
        <w:pStyle w:val="Textonotapie"/>
        <w:ind w:firstLine="708"/>
        <w:jc w:val="both"/>
        <w:rPr>
          <w:color w:val="797979" w:themeColor="accent6" w:themeShade="80"/>
          <w:sz w:val="19"/>
          <w:szCs w:val="19"/>
          <w:lang w:val="es-CO"/>
        </w:rPr>
      </w:pPr>
      <w:r w:rsidRPr="00607C83">
        <w:rPr>
          <w:rStyle w:val="Refdenotaalpie"/>
          <w:color w:val="000000" w:themeColor="text1"/>
          <w:sz w:val="19"/>
          <w:szCs w:val="19"/>
        </w:rPr>
        <w:footnoteRef/>
      </w:r>
      <w:r w:rsidRPr="00607C83">
        <w:rPr>
          <w:color w:val="000000" w:themeColor="text1"/>
          <w:sz w:val="19"/>
          <w:szCs w:val="19"/>
        </w:rPr>
        <w:t xml:space="preserve"> </w:t>
      </w:r>
      <w:r w:rsidRPr="00607C83">
        <w:rPr>
          <w:rFonts w:ascii="Arial" w:hAnsi="Arial" w:cs="Arial"/>
          <w:color w:val="000000" w:themeColor="text1"/>
          <w:sz w:val="19"/>
          <w:szCs w:val="19"/>
        </w:rPr>
        <w:t>Consejo de Estado, Sala de lo Contencioso Administrativo, Sección Tercera, Subsección C. Consejero ponente: Enrique Gil Botero. Sentencia de doce (12) de noviembre dos mil catorce (2014), Radicación número: 25000-23-26-00</w:t>
      </w:r>
      <w:r w:rsidRPr="007518DA">
        <w:rPr>
          <w:rFonts w:ascii="Arial" w:hAnsi="Arial" w:cs="Arial"/>
          <w:color w:val="797979" w:themeColor="accent6" w:themeShade="80"/>
          <w:sz w:val="19"/>
          <w:szCs w:val="19"/>
        </w:rPr>
        <w:t>0-1996-12809-01(27986).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A33E" w14:textId="77777777" w:rsidR="00C94877" w:rsidRDefault="00C948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559B" w14:textId="77777777" w:rsidR="00C94877" w:rsidRDefault="00C94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E1865C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FBD"/>
    <w:rsid w:val="00002E78"/>
    <w:rsid w:val="0000405C"/>
    <w:rsid w:val="00015194"/>
    <w:rsid w:val="000212F5"/>
    <w:rsid w:val="00023305"/>
    <w:rsid w:val="00030A3B"/>
    <w:rsid w:val="0003176C"/>
    <w:rsid w:val="0003198C"/>
    <w:rsid w:val="00037DA7"/>
    <w:rsid w:val="0004152E"/>
    <w:rsid w:val="000417BE"/>
    <w:rsid w:val="00042CA5"/>
    <w:rsid w:val="000454F2"/>
    <w:rsid w:val="00052394"/>
    <w:rsid w:val="00052A6B"/>
    <w:rsid w:val="00053BFB"/>
    <w:rsid w:val="0005493A"/>
    <w:rsid w:val="00054D0A"/>
    <w:rsid w:val="0005658C"/>
    <w:rsid w:val="000603B2"/>
    <w:rsid w:val="000702F2"/>
    <w:rsid w:val="00071BED"/>
    <w:rsid w:val="00074FE7"/>
    <w:rsid w:val="00076EB2"/>
    <w:rsid w:val="00082076"/>
    <w:rsid w:val="0008224F"/>
    <w:rsid w:val="00084B97"/>
    <w:rsid w:val="000914ED"/>
    <w:rsid w:val="0009265A"/>
    <w:rsid w:val="00093417"/>
    <w:rsid w:val="000942EB"/>
    <w:rsid w:val="00095E86"/>
    <w:rsid w:val="00095F0D"/>
    <w:rsid w:val="000A0D65"/>
    <w:rsid w:val="000A16D7"/>
    <w:rsid w:val="000A5526"/>
    <w:rsid w:val="000B103F"/>
    <w:rsid w:val="000B1417"/>
    <w:rsid w:val="000B18E6"/>
    <w:rsid w:val="000B2E27"/>
    <w:rsid w:val="000B3C6C"/>
    <w:rsid w:val="000B3E8B"/>
    <w:rsid w:val="000B5721"/>
    <w:rsid w:val="000C0BB3"/>
    <w:rsid w:val="000C2C85"/>
    <w:rsid w:val="000D0B0E"/>
    <w:rsid w:val="000D241A"/>
    <w:rsid w:val="000D5242"/>
    <w:rsid w:val="000D70A4"/>
    <w:rsid w:val="000D747C"/>
    <w:rsid w:val="000E047C"/>
    <w:rsid w:val="000E379B"/>
    <w:rsid w:val="000F14E8"/>
    <w:rsid w:val="000F1D57"/>
    <w:rsid w:val="00100A11"/>
    <w:rsid w:val="00103915"/>
    <w:rsid w:val="001114EF"/>
    <w:rsid w:val="001171A0"/>
    <w:rsid w:val="001217CF"/>
    <w:rsid w:val="001223CC"/>
    <w:rsid w:val="00122B23"/>
    <w:rsid w:val="00122DAF"/>
    <w:rsid w:val="00123584"/>
    <w:rsid w:val="00123C12"/>
    <w:rsid w:val="00131E2D"/>
    <w:rsid w:val="00136494"/>
    <w:rsid w:val="00137FFA"/>
    <w:rsid w:val="001425E1"/>
    <w:rsid w:val="00150E35"/>
    <w:rsid w:val="0015574D"/>
    <w:rsid w:val="00156341"/>
    <w:rsid w:val="001568E8"/>
    <w:rsid w:val="00156F55"/>
    <w:rsid w:val="00157EC0"/>
    <w:rsid w:val="0016313E"/>
    <w:rsid w:val="0016517B"/>
    <w:rsid w:val="00165ED8"/>
    <w:rsid w:val="00166AC9"/>
    <w:rsid w:val="001713DA"/>
    <w:rsid w:val="00172C2E"/>
    <w:rsid w:val="00173E5A"/>
    <w:rsid w:val="00175228"/>
    <w:rsid w:val="00176D51"/>
    <w:rsid w:val="00180D18"/>
    <w:rsid w:val="00181358"/>
    <w:rsid w:val="0019033F"/>
    <w:rsid w:val="0019059D"/>
    <w:rsid w:val="00190B8F"/>
    <w:rsid w:val="00192497"/>
    <w:rsid w:val="00195CFA"/>
    <w:rsid w:val="001975DB"/>
    <w:rsid w:val="001A5097"/>
    <w:rsid w:val="001A6722"/>
    <w:rsid w:val="001B0444"/>
    <w:rsid w:val="001B1001"/>
    <w:rsid w:val="001C0EF8"/>
    <w:rsid w:val="001C2405"/>
    <w:rsid w:val="001C480F"/>
    <w:rsid w:val="001C5498"/>
    <w:rsid w:val="001C577D"/>
    <w:rsid w:val="001C7D84"/>
    <w:rsid w:val="001D2377"/>
    <w:rsid w:val="001D3D8F"/>
    <w:rsid w:val="001D3E22"/>
    <w:rsid w:val="001D5440"/>
    <w:rsid w:val="001D550C"/>
    <w:rsid w:val="001D5B86"/>
    <w:rsid w:val="001E375D"/>
    <w:rsid w:val="001E4FCD"/>
    <w:rsid w:val="001F5C25"/>
    <w:rsid w:val="001F64FE"/>
    <w:rsid w:val="00200993"/>
    <w:rsid w:val="002019E3"/>
    <w:rsid w:val="00201A0C"/>
    <w:rsid w:val="00201D8F"/>
    <w:rsid w:val="00203BDB"/>
    <w:rsid w:val="0020632A"/>
    <w:rsid w:val="002110EB"/>
    <w:rsid w:val="00211338"/>
    <w:rsid w:val="00213B07"/>
    <w:rsid w:val="0021404C"/>
    <w:rsid w:val="002144E7"/>
    <w:rsid w:val="00216DA7"/>
    <w:rsid w:val="002242BF"/>
    <w:rsid w:val="002244A5"/>
    <w:rsid w:val="00224778"/>
    <w:rsid w:val="002249B5"/>
    <w:rsid w:val="0022511E"/>
    <w:rsid w:val="00232546"/>
    <w:rsid w:val="00234B84"/>
    <w:rsid w:val="00235617"/>
    <w:rsid w:val="00236EB6"/>
    <w:rsid w:val="0024538F"/>
    <w:rsid w:val="00245B23"/>
    <w:rsid w:val="00246B6F"/>
    <w:rsid w:val="0025695B"/>
    <w:rsid w:val="00257B53"/>
    <w:rsid w:val="00264176"/>
    <w:rsid w:val="00265343"/>
    <w:rsid w:val="00270E35"/>
    <w:rsid w:val="002744E1"/>
    <w:rsid w:val="002801AF"/>
    <w:rsid w:val="00284C69"/>
    <w:rsid w:val="00285E92"/>
    <w:rsid w:val="00292F7A"/>
    <w:rsid w:val="00297809"/>
    <w:rsid w:val="002A2139"/>
    <w:rsid w:val="002B276A"/>
    <w:rsid w:val="002C316C"/>
    <w:rsid w:val="002C34E8"/>
    <w:rsid w:val="002C3D48"/>
    <w:rsid w:val="002C3E55"/>
    <w:rsid w:val="002C4C0C"/>
    <w:rsid w:val="002C4C38"/>
    <w:rsid w:val="002D189F"/>
    <w:rsid w:val="002E033C"/>
    <w:rsid w:val="002F7986"/>
    <w:rsid w:val="003033BA"/>
    <w:rsid w:val="003057BC"/>
    <w:rsid w:val="003174C9"/>
    <w:rsid w:val="00322937"/>
    <w:rsid w:val="003272A3"/>
    <w:rsid w:val="003276CE"/>
    <w:rsid w:val="0034177C"/>
    <w:rsid w:val="00341A49"/>
    <w:rsid w:val="00344806"/>
    <w:rsid w:val="0034491A"/>
    <w:rsid w:val="00345AF2"/>
    <w:rsid w:val="0034615D"/>
    <w:rsid w:val="0034680A"/>
    <w:rsid w:val="00347BCA"/>
    <w:rsid w:val="00350670"/>
    <w:rsid w:val="003530BA"/>
    <w:rsid w:val="00353DD5"/>
    <w:rsid w:val="00362FE1"/>
    <w:rsid w:val="003671B2"/>
    <w:rsid w:val="00367E3E"/>
    <w:rsid w:val="00370454"/>
    <w:rsid w:val="00370D63"/>
    <w:rsid w:val="003710A0"/>
    <w:rsid w:val="00374F45"/>
    <w:rsid w:val="00381655"/>
    <w:rsid w:val="003838A2"/>
    <w:rsid w:val="00386456"/>
    <w:rsid w:val="00395F71"/>
    <w:rsid w:val="003A0878"/>
    <w:rsid w:val="003A581E"/>
    <w:rsid w:val="003B0FC3"/>
    <w:rsid w:val="003B153E"/>
    <w:rsid w:val="003B2796"/>
    <w:rsid w:val="003B2FB4"/>
    <w:rsid w:val="003C42F5"/>
    <w:rsid w:val="003C61A7"/>
    <w:rsid w:val="003D4C81"/>
    <w:rsid w:val="003D670F"/>
    <w:rsid w:val="003E3B13"/>
    <w:rsid w:val="003E7F94"/>
    <w:rsid w:val="003F15EB"/>
    <w:rsid w:val="003F2FC8"/>
    <w:rsid w:val="00400435"/>
    <w:rsid w:val="0040230F"/>
    <w:rsid w:val="00403401"/>
    <w:rsid w:val="00403C57"/>
    <w:rsid w:val="00404CEB"/>
    <w:rsid w:val="00413740"/>
    <w:rsid w:val="00413C13"/>
    <w:rsid w:val="00417421"/>
    <w:rsid w:val="00420A73"/>
    <w:rsid w:val="00423F9F"/>
    <w:rsid w:val="004254B9"/>
    <w:rsid w:val="004272BB"/>
    <w:rsid w:val="00427D7A"/>
    <w:rsid w:val="00431F05"/>
    <w:rsid w:val="004331DD"/>
    <w:rsid w:val="00433B92"/>
    <w:rsid w:val="00433BA9"/>
    <w:rsid w:val="00436884"/>
    <w:rsid w:val="0043784B"/>
    <w:rsid w:val="004413A1"/>
    <w:rsid w:val="004422D6"/>
    <w:rsid w:val="00442E9C"/>
    <w:rsid w:val="004534C2"/>
    <w:rsid w:val="00453AD4"/>
    <w:rsid w:val="00454C70"/>
    <w:rsid w:val="004650E1"/>
    <w:rsid w:val="00471EC5"/>
    <w:rsid w:val="004851BA"/>
    <w:rsid w:val="00487082"/>
    <w:rsid w:val="004877B7"/>
    <w:rsid w:val="00490025"/>
    <w:rsid w:val="0049241A"/>
    <w:rsid w:val="00493452"/>
    <w:rsid w:val="00494610"/>
    <w:rsid w:val="00497279"/>
    <w:rsid w:val="004A0EBC"/>
    <w:rsid w:val="004A34D2"/>
    <w:rsid w:val="004B1A4C"/>
    <w:rsid w:val="004B2EC1"/>
    <w:rsid w:val="004B643C"/>
    <w:rsid w:val="004B78A0"/>
    <w:rsid w:val="004D237D"/>
    <w:rsid w:val="004E13C8"/>
    <w:rsid w:val="004F0C56"/>
    <w:rsid w:val="004F21D1"/>
    <w:rsid w:val="004F581B"/>
    <w:rsid w:val="00500AB5"/>
    <w:rsid w:val="00500D8B"/>
    <w:rsid w:val="0050314E"/>
    <w:rsid w:val="0050503E"/>
    <w:rsid w:val="00506A11"/>
    <w:rsid w:val="00506CDC"/>
    <w:rsid w:val="0051074C"/>
    <w:rsid w:val="005129A6"/>
    <w:rsid w:val="00513AF2"/>
    <w:rsid w:val="0052448A"/>
    <w:rsid w:val="00526434"/>
    <w:rsid w:val="00530EC1"/>
    <w:rsid w:val="00537F40"/>
    <w:rsid w:val="00542567"/>
    <w:rsid w:val="0054413A"/>
    <w:rsid w:val="00550338"/>
    <w:rsid w:val="00552C8D"/>
    <w:rsid w:val="00555529"/>
    <w:rsid w:val="005564CA"/>
    <w:rsid w:val="00557069"/>
    <w:rsid w:val="00557C9C"/>
    <w:rsid w:val="0056182B"/>
    <w:rsid w:val="005659DA"/>
    <w:rsid w:val="00566C39"/>
    <w:rsid w:val="005708F4"/>
    <w:rsid w:val="005740AE"/>
    <w:rsid w:val="00574908"/>
    <w:rsid w:val="005756AA"/>
    <w:rsid w:val="005816D8"/>
    <w:rsid w:val="005833B6"/>
    <w:rsid w:val="00583A36"/>
    <w:rsid w:val="00584846"/>
    <w:rsid w:val="00590775"/>
    <w:rsid w:val="00595EF6"/>
    <w:rsid w:val="00597502"/>
    <w:rsid w:val="005A4E4C"/>
    <w:rsid w:val="005B3D0B"/>
    <w:rsid w:val="005B4F04"/>
    <w:rsid w:val="005C38B3"/>
    <w:rsid w:val="005C6C3F"/>
    <w:rsid w:val="005D0690"/>
    <w:rsid w:val="005D51FA"/>
    <w:rsid w:val="005D791B"/>
    <w:rsid w:val="005D7E87"/>
    <w:rsid w:val="005E22D9"/>
    <w:rsid w:val="005F3554"/>
    <w:rsid w:val="005F607B"/>
    <w:rsid w:val="005F6A07"/>
    <w:rsid w:val="005F7190"/>
    <w:rsid w:val="006003E0"/>
    <w:rsid w:val="00600A7A"/>
    <w:rsid w:val="00605ED2"/>
    <w:rsid w:val="00607C83"/>
    <w:rsid w:val="0061031C"/>
    <w:rsid w:val="00610FAE"/>
    <w:rsid w:val="006119AB"/>
    <w:rsid w:val="00614817"/>
    <w:rsid w:val="00615351"/>
    <w:rsid w:val="00622CEA"/>
    <w:rsid w:val="00627565"/>
    <w:rsid w:val="006276DE"/>
    <w:rsid w:val="00633DBF"/>
    <w:rsid w:val="006417EA"/>
    <w:rsid w:val="00642438"/>
    <w:rsid w:val="00650746"/>
    <w:rsid w:val="00652806"/>
    <w:rsid w:val="00655371"/>
    <w:rsid w:val="006565A9"/>
    <w:rsid w:val="006567A5"/>
    <w:rsid w:val="00666D25"/>
    <w:rsid w:val="006678C0"/>
    <w:rsid w:val="00675254"/>
    <w:rsid w:val="006829F4"/>
    <w:rsid w:val="006967F6"/>
    <w:rsid w:val="00696D49"/>
    <w:rsid w:val="006972A1"/>
    <w:rsid w:val="00697665"/>
    <w:rsid w:val="006A7CB5"/>
    <w:rsid w:val="006A7EEF"/>
    <w:rsid w:val="006A7FD0"/>
    <w:rsid w:val="006B5267"/>
    <w:rsid w:val="006B682D"/>
    <w:rsid w:val="006C3009"/>
    <w:rsid w:val="006C32D3"/>
    <w:rsid w:val="006C5CC1"/>
    <w:rsid w:val="006C6A34"/>
    <w:rsid w:val="006C7720"/>
    <w:rsid w:val="006D3BDF"/>
    <w:rsid w:val="006D5A74"/>
    <w:rsid w:val="006D7687"/>
    <w:rsid w:val="006E0572"/>
    <w:rsid w:val="006E7459"/>
    <w:rsid w:val="006F1514"/>
    <w:rsid w:val="00702C19"/>
    <w:rsid w:val="00703476"/>
    <w:rsid w:val="00703AAF"/>
    <w:rsid w:val="007047C5"/>
    <w:rsid w:val="00705631"/>
    <w:rsid w:val="007106E3"/>
    <w:rsid w:val="00712BCF"/>
    <w:rsid w:val="00714E18"/>
    <w:rsid w:val="00715EAA"/>
    <w:rsid w:val="0072367D"/>
    <w:rsid w:val="00741627"/>
    <w:rsid w:val="00741712"/>
    <w:rsid w:val="00742DD2"/>
    <w:rsid w:val="00744F20"/>
    <w:rsid w:val="00747C96"/>
    <w:rsid w:val="0075094E"/>
    <w:rsid w:val="00750DA6"/>
    <w:rsid w:val="007518DA"/>
    <w:rsid w:val="007522E8"/>
    <w:rsid w:val="00754D41"/>
    <w:rsid w:val="0075647A"/>
    <w:rsid w:val="0076035F"/>
    <w:rsid w:val="007628B3"/>
    <w:rsid w:val="007634AD"/>
    <w:rsid w:val="00776C92"/>
    <w:rsid w:val="00777F8F"/>
    <w:rsid w:val="0078122E"/>
    <w:rsid w:val="00795647"/>
    <w:rsid w:val="007A1B12"/>
    <w:rsid w:val="007A2678"/>
    <w:rsid w:val="007A2A15"/>
    <w:rsid w:val="007A57FF"/>
    <w:rsid w:val="007B0854"/>
    <w:rsid w:val="007B194E"/>
    <w:rsid w:val="007B27D6"/>
    <w:rsid w:val="007B58B4"/>
    <w:rsid w:val="007B6125"/>
    <w:rsid w:val="007B76A9"/>
    <w:rsid w:val="007C15BC"/>
    <w:rsid w:val="007C433E"/>
    <w:rsid w:val="007C5C0E"/>
    <w:rsid w:val="007C7B6C"/>
    <w:rsid w:val="007D3158"/>
    <w:rsid w:val="007D4E48"/>
    <w:rsid w:val="007E6DFD"/>
    <w:rsid w:val="007E7C45"/>
    <w:rsid w:val="007F5FA4"/>
    <w:rsid w:val="007F6B46"/>
    <w:rsid w:val="007F72CB"/>
    <w:rsid w:val="00802161"/>
    <w:rsid w:val="0081112C"/>
    <w:rsid w:val="00811E2E"/>
    <w:rsid w:val="00815AA6"/>
    <w:rsid w:val="008217B7"/>
    <w:rsid w:val="00826AD1"/>
    <w:rsid w:val="0083119B"/>
    <w:rsid w:val="0083210A"/>
    <w:rsid w:val="008331EF"/>
    <w:rsid w:val="00836A11"/>
    <w:rsid w:val="00836EAB"/>
    <w:rsid w:val="0084340D"/>
    <w:rsid w:val="0084515C"/>
    <w:rsid w:val="00847004"/>
    <w:rsid w:val="0085092D"/>
    <w:rsid w:val="00850F79"/>
    <w:rsid w:val="00861BD8"/>
    <w:rsid w:val="008642C3"/>
    <w:rsid w:val="008671E0"/>
    <w:rsid w:val="00870183"/>
    <w:rsid w:val="00876F25"/>
    <w:rsid w:val="00877250"/>
    <w:rsid w:val="00880623"/>
    <w:rsid w:val="00884EEC"/>
    <w:rsid w:val="008923B9"/>
    <w:rsid w:val="00892A43"/>
    <w:rsid w:val="008937F9"/>
    <w:rsid w:val="0089774F"/>
    <w:rsid w:val="008A1E29"/>
    <w:rsid w:val="008A3AE5"/>
    <w:rsid w:val="008B65EB"/>
    <w:rsid w:val="008C6999"/>
    <w:rsid w:val="008D295C"/>
    <w:rsid w:val="008E1C15"/>
    <w:rsid w:val="008E6C52"/>
    <w:rsid w:val="008F538E"/>
    <w:rsid w:val="008F555D"/>
    <w:rsid w:val="00903A76"/>
    <w:rsid w:val="009047C5"/>
    <w:rsid w:val="009050B8"/>
    <w:rsid w:val="00912D20"/>
    <w:rsid w:val="0091638E"/>
    <w:rsid w:val="0092426F"/>
    <w:rsid w:val="009376F7"/>
    <w:rsid w:val="009432A6"/>
    <w:rsid w:val="00944113"/>
    <w:rsid w:val="0095188F"/>
    <w:rsid w:val="00951E7F"/>
    <w:rsid w:val="0095385A"/>
    <w:rsid w:val="00954F2B"/>
    <w:rsid w:val="00956D2D"/>
    <w:rsid w:val="00967D1C"/>
    <w:rsid w:val="00967E0E"/>
    <w:rsid w:val="00974479"/>
    <w:rsid w:val="00974B66"/>
    <w:rsid w:val="0097556A"/>
    <w:rsid w:val="00976EA9"/>
    <w:rsid w:val="00977C76"/>
    <w:rsid w:val="00977CD4"/>
    <w:rsid w:val="0098581C"/>
    <w:rsid w:val="00991533"/>
    <w:rsid w:val="00993CCD"/>
    <w:rsid w:val="00996300"/>
    <w:rsid w:val="009976D9"/>
    <w:rsid w:val="009A0A5A"/>
    <w:rsid w:val="009A2F40"/>
    <w:rsid w:val="009A4701"/>
    <w:rsid w:val="009B2528"/>
    <w:rsid w:val="009B3C24"/>
    <w:rsid w:val="009B558B"/>
    <w:rsid w:val="009B58C5"/>
    <w:rsid w:val="009B6396"/>
    <w:rsid w:val="009B6D42"/>
    <w:rsid w:val="009C0CF0"/>
    <w:rsid w:val="009C2442"/>
    <w:rsid w:val="009C4B3D"/>
    <w:rsid w:val="009D077B"/>
    <w:rsid w:val="009D2B3A"/>
    <w:rsid w:val="009E0D38"/>
    <w:rsid w:val="009E3A9B"/>
    <w:rsid w:val="009E7067"/>
    <w:rsid w:val="009E7975"/>
    <w:rsid w:val="009E7EEB"/>
    <w:rsid w:val="009F33A3"/>
    <w:rsid w:val="009F4A5A"/>
    <w:rsid w:val="009F59C2"/>
    <w:rsid w:val="009F66F7"/>
    <w:rsid w:val="009F6A04"/>
    <w:rsid w:val="00A05181"/>
    <w:rsid w:val="00A16EF4"/>
    <w:rsid w:val="00A22590"/>
    <w:rsid w:val="00A24560"/>
    <w:rsid w:val="00A2510B"/>
    <w:rsid w:val="00A26DA8"/>
    <w:rsid w:val="00A27568"/>
    <w:rsid w:val="00A33D8D"/>
    <w:rsid w:val="00A34538"/>
    <w:rsid w:val="00A37FB6"/>
    <w:rsid w:val="00A428D1"/>
    <w:rsid w:val="00A441CB"/>
    <w:rsid w:val="00A46B6F"/>
    <w:rsid w:val="00A51BAB"/>
    <w:rsid w:val="00A57946"/>
    <w:rsid w:val="00A60CC0"/>
    <w:rsid w:val="00A62D51"/>
    <w:rsid w:val="00A646BF"/>
    <w:rsid w:val="00A651A8"/>
    <w:rsid w:val="00A67775"/>
    <w:rsid w:val="00A729F3"/>
    <w:rsid w:val="00A73602"/>
    <w:rsid w:val="00A74713"/>
    <w:rsid w:val="00A77333"/>
    <w:rsid w:val="00A81BAB"/>
    <w:rsid w:val="00A82843"/>
    <w:rsid w:val="00A87B87"/>
    <w:rsid w:val="00A87FEF"/>
    <w:rsid w:val="00A912D2"/>
    <w:rsid w:val="00A92FDF"/>
    <w:rsid w:val="00A9336F"/>
    <w:rsid w:val="00A93BEF"/>
    <w:rsid w:val="00A94CC0"/>
    <w:rsid w:val="00A97A2D"/>
    <w:rsid w:val="00AA08E7"/>
    <w:rsid w:val="00AA3616"/>
    <w:rsid w:val="00AA38D2"/>
    <w:rsid w:val="00AA442B"/>
    <w:rsid w:val="00AA622C"/>
    <w:rsid w:val="00AA669D"/>
    <w:rsid w:val="00AA6E5D"/>
    <w:rsid w:val="00AB39C5"/>
    <w:rsid w:val="00AB44C6"/>
    <w:rsid w:val="00AB7B28"/>
    <w:rsid w:val="00AC07DA"/>
    <w:rsid w:val="00AC100E"/>
    <w:rsid w:val="00AC37E8"/>
    <w:rsid w:val="00AC606B"/>
    <w:rsid w:val="00AC68AB"/>
    <w:rsid w:val="00AD1C9A"/>
    <w:rsid w:val="00AD53EB"/>
    <w:rsid w:val="00AD6429"/>
    <w:rsid w:val="00AE22E2"/>
    <w:rsid w:val="00AE28E6"/>
    <w:rsid w:val="00AE4018"/>
    <w:rsid w:val="00AE6DEF"/>
    <w:rsid w:val="00AE74E7"/>
    <w:rsid w:val="00AE755F"/>
    <w:rsid w:val="00AE78C8"/>
    <w:rsid w:val="00AF2D9C"/>
    <w:rsid w:val="00AF6311"/>
    <w:rsid w:val="00B057ED"/>
    <w:rsid w:val="00B07930"/>
    <w:rsid w:val="00B13674"/>
    <w:rsid w:val="00B13EC0"/>
    <w:rsid w:val="00B21ED3"/>
    <w:rsid w:val="00B22E22"/>
    <w:rsid w:val="00B241A8"/>
    <w:rsid w:val="00B26596"/>
    <w:rsid w:val="00B304A9"/>
    <w:rsid w:val="00B332C8"/>
    <w:rsid w:val="00B34BB6"/>
    <w:rsid w:val="00B3569C"/>
    <w:rsid w:val="00B5219A"/>
    <w:rsid w:val="00B525CB"/>
    <w:rsid w:val="00B54A92"/>
    <w:rsid w:val="00B552BC"/>
    <w:rsid w:val="00B567D1"/>
    <w:rsid w:val="00B63872"/>
    <w:rsid w:val="00B63CB2"/>
    <w:rsid w:val="00B648C1"/>
    <w:rsid w:val="00B64EDB"/>
    <w:rsid w:val="00B73D0D"/>
    <w:rsid w:val="00B77136"/>
    <w:rsid w:val="00B845C6"/>
    <w:rsid w:val="00B908C0"/>
    <w:rsid w:val="00B91B8E"/>
    <w:rsid w:val="00B9314B"/>
    <w:rsid w:val="00B947FC"/>
    <w:rsid w:val="00B95CBA"/>
    <w:rsid w:val="00BA2A07"/>
    <w:rsid w:val="00BA623C"/>
    <w:rsid w:val="00BB6AB7"/>
    <w:rsid w:val="00BC0294"/>
    <w:rsid w:val="00BC29DB"/>
    <w:rsid w:val="00BC3E19"/>
    <w:rsid w:val="00BC6EEA"/>
    <w:rsid w:val="00BC7DB6"/>
    <w:rsid w:val="00BD1EEB"/>
    <w:rsid w:val="00BD2854"/>
    <w:rsid w:val="00BD5BCD"/>
    <w:rsid w:val="00BD78FE"/>
    <w:rsid w:val="00BE1537"/>
    <w:rsid w:val="00BE281F"/>
    <w:rsid w:val="00BF2342"/>
    <w:rsid w:val="00BF2346"/>
    <w:rsid w:val="00BF27EA"/>
    <w:rsid w:val="00C05C62"/>
    <w:rsid w:val="00C12882"/>
    <w:rsid w:val="00C132FB"/>
    <w:rsid w:val="00C20D8A"/>
    <w:rsid w:val="00C26C0F"/>
    <w:rsid w:val="00C30973"/>
    <w:rsid w:val="00C329AA"/>
    <w:rsid w:val="00C338AF"/>
    <w:rsid w:val="00C3488F"/>
    <w:rsid w:val="00C34BDF"/>
    <w:rsid w:val="00C43832"/>
    <w:rsid w:val="00C438E3"/>
    <w:rsid w:val="00C4640E"/>
    <w:rsid w:val="00C52301"/>
    <w:rsid w:val="00C57BF1"/>
    <w:rsid w:val="00C639D5"/>
    <w:rsid w:val="00C63B5E"/>
    <w:rsid w:val="00C6745B"/>
    <w:rsid w:val="00C713A1"/>
    <w:rsid w:val="00C71C14"/>
    <w:rsid w:val="00C722B9"/>
    <w:rsid w:val="00C76A3A"/>
    <w:rsid w:val="00C80150"/>
    <w:rsid w:val="00C8083F"/>
    <w:rsid w:val="00C8087D"/>
    <w:rsid w:val="00C8683F"/>
    <w:rsid w:val="00C87005"/>
    <w:rsid w:val="00C907C0"/>
    <w:rsid w:val="00C914C9"/>
    <w:rsid w:val="00C93BA6"/>
    <w:rsid w:val="00C94877"/>
    <w:rsid w:val="00CA073B"/>
    <w:rsid w:val="00CA0D49"/>
    <w:rsid w:val="00CA3DD9"/>
    <w:rsid w:val="00CA3F3F"/>
    <w:rsid w:val="00CA41E6"/>
    <w:rsid w:val="00CB2409"/>
    <w:rsid w:val="00CB531F"/>
    <w:rsid w:val="00CC00CD"/>
    <w:rsid w:val="00CC40D2"/>
    <w:rsid w:val="00CC631A"/>
    <w:rsid w:val="00CC754F"/>
    <w:rsid w:val="00CD65D4"/>
    <w:rsid w:val="00CD7C28"/>
    <w:rsid w:val="00CE471D"/>
    <w:rsid w:val="00CE561D"/>
    <w:rsid w:val="00CF13D4"/>
    <w:rsid w:val="00CF155A"/>
    <w:rsid w:val="00CF1678"/>
    <w:rsid w:val="00CF2918"/>
    <w:rsid w:val="00CF6B29"/>
    <w:rsid w:val="00CF7B8E"/>
    <w:rsid w:val="00D00CAA"/>
    <w:rsid w:val="00D01760"/>
    <w:rsid w:val="00D01CCC"/>
    <w:rsid w:val="00D01F28"/>
    <w:rsid w:val="00D02B56"/>
    <w:rsid w:val="00D03039"/>
    <w:rsid w:val="00D077D9"/>
    <w:rsid w:val="00D10E4C"/>
    <w:rsid w:val="00D134D5"/>
    <w:rsid w:val="00D15C15"/>
    <w:rsid w:val="00D16E39"/>
    <w:rsid w:val="00D223B6"/>
    <w:rsid w:val="00D23EDE"/>
    <w:rsid w:val="00D257A8"/>
    <w:rsid w:val="00D2632B"/>
    <w:rsid w:val="00D349D0"/>
    <w:rsid w:val="00D34B82"/>
    <w:rsid w:val="00D35E6C"/>
    <w:rsid w:val="00D36146"/>
    <w:rsid w:val="00D36ACB"/>
    <w:rsid w:val="00D37B71"/>
    <w:rsid w:val="00D37BF7"/>
    <w:rsid w:val="00D44E22"/>
    <w:rsid w:val="00D45BC7"/>
    <w:rsid w:val="00D53086"/>
    <w:rsid w:val="00D570B6"/>
    <w:rsid w:val="00D60327"/>
    <w:rsid w:val="00D67C42"/>
    <w:rsid w:val="00D70F5E"/>
    <w:rsid w:val="00D72E9D"/>
    <w:rsid w:val="00D73212"/>
    <w:rsid w:val="00D82CE5"/>
    <w:rsid w:val="00D90037"/>
    <w:rsid w:val="00D92448"/>
    <w:rsid w:val="00D94552"/>
    <w:rsid w:val="00D95644"/>
    <w:rsid w:val="00DA09F4"/>
    <w:rsid w:val="00DA0CBB"/>
    <w:rsid w:val="00DA0EE9"/>
    <w:rsid w:val="00DA2057"/>
    <w:rsid w:val="00DA2A56"/>
    <w:rsid w:val="00DA4F64"/>
    <w:rsid w:val="00DA5AB1"/>
    <w:rsid w:val="00DA5EE5"/>
    <w:rsid w:val="00DB2D27"/>
    <w:rsid w:val="00DB2F44"/>
    <w:rsid w:val="00DB45E3"/>
    <w:rsid w:val="00DC0AA5"/>
    <w:rsid w:val="00DC322B"/>
    <w:rsid w:val="00DC62E5"/>
    <w:rsid w:val="00DC78C0"/>
    <w:rsid w:val="00DD00C3"/>
    <w:rsid w:val="00DD4208"/>
    <w:rsid w:val="00DD735D"/>
    <w:rsid w:val="00DE2B76"/>
    <w:rsid w:val="00DE3119"/>
    <w:rsid w:val="00DE5D23"/>
    <w:rsid w:val="00DF236B"/>
    <w:rsid w:val="00DF5C7A"/>
    <w:rsid w:val="00E00E15"/>
    <w:rsid w:val="00E07892"/>
    <w:rsid w:val="00E12937"/>
    <w:rsid w:val="00E13AB8"/>
    <w:rsid w:val="00E1687A"/>
    <w:rsid w:val="00E21044"/>
    <w:rsid w:val="00E235E8"/>
    <w:rsid w:val="00E25CB3"/>
    <w:rsid w:val="00E32185"/>
    <w:rsid w:val="00E33B62"/>
    <w:rsid w:val="00E40939"/>
    <w:rsid w:val="00E4143A"/>
    <w:rsid w:val="00E609F7"/>
    <w:rsid w:val="00E60CF7"/>
    <w:rsid w:val="00E62340"/>
    <w:rsid w:val="00E62E95"/>
    <w:rsid w:val="00E6404E"/>
    <w:rsid w:val="00E65094"/>
    <w:rsid w:val="00E66A3D"/>
    <w:rsid w:val="00E7326B"/>
    <w:rsid w:val="00E74B60"/>
    <w:rsid w:val="00E74BDE"/>
    <w:rsid w:val="00E74C01"/>
    <w:rsid w:val="00E83449"/>
    <w:rsid w:val="00E86833"/>
    <w:rsid w:val="00E91EC1"/>
    <w:rsid w:val="00E978A9"/>
    <w:rsid w:val="00EA4311"/>
    <w:rsid w:val="00EA68AC"/>
    <w:rsid w:val="00EA7D46"/>
    <w:rsid w:val="00EB3A11"/>
    <w:rsid w:val="00EB3D0E"/>
    <w:rsid w:val="00EB59DF"/>
    <w:rsid w:val="00EB6E6B"/>
    <w:rsid w:val="00EB770F"/>
    <w:rsid w:val="00EB7755"/>
    <w:rsid w:val="00EC2EFE"/>
    <w:rsid w:val="00EC7884"/>
    <w:rsid w:val="00ED0CE3"/>
    <w:rsid w:val="00ED2ADA"/>
    <w:rsid w:val="00ED35EB"/>
    <w:rsid w:val="00ED3A03"/>
    <w:rsid w:val="00ED3B15"/>
    <w:rsid w:val="00ED6F1E"/>
    <w:rsid w:val="00EE59B5"/>
    <w:rsid w:val="00EE7153"/>
    <w:rsid w:val="00EF0311"/>
    <w:rsid w:val="00EF3E7D"/>
    <w:rsid w:val="00EF4765"/>
    <w:rsid w:val="00EF592B"/>
    <w:rsid w:val="00F02E70"/>
    <w:rsid w:val="00F11517"/>
    <w:rsid w:val="00F13FF4"/>
    <w:rsid w:val="00F15384"/>
    <w:rsid w:val="00F1607D"/>
    <w:rsid w:val="00F27F9E"/>
    <w:rsid w:val="00F34D40"/>
    <w:rsid w:val="00F37782"/>
    <w:rsid w:val="00F42615"/>
    <w:rsid w:val="00F45BD1"/>
    <w:rsid w:val="00F503C3"/>
    <w:rsid w:val="00F549CE"/>
    <w:rsid w:val="00F54F5C"/>
    <w:rsid w:val="00F60546"/>
    <w:rsid w:val="00F61091"/>
    <w:rsid w:val="00F62E98"/>
    <w:rsid w:val="00F70CA4"/>
    <w:rsid w:val="00F81EC7"/>
    <w:rsid w:val="00F823D6"/>
    <w:rsid w:val="00F82D78"/>
    <w:rsid w:val="00F84899"/>
    <w:rsid w:val="00F859F0"/>
    <w:rsid w:val="00F85EC7"/>
    <w:rsid w:val="00F862A8"/>
    <w:rsid w:val="00FA1DF8"/>
    <w:rsid w:val="00FA3A87"/>
    <w:rsid w:val="00FA607C"/>
    <w:rsid w:val="00FB00A4"/>
    <w:rsid w:val="00FB0AEC"/>
    <w:rsid w:val="00FB46FD"/>
    <w:rsid w:val="00FB4EF2"/>
    <w:rsid w:val="00FC0592"/>
    <w:rsid w:val="00FD333E"/>
    <w:rsid w:val="00FD4D34"/>
    <w:rsid w:val="00FD7335"/>
    <w:rsid w:val="00FE10D4"/>
    <w:rsid w:val="00FE141E"/>
    <w:rsid w:val="00FE42ED"/>
    <w:rsid w:val="00FF1752"/>
    <w:rsid w:val="00FF4BC4"/>
    <w:rsid w:val="02075A9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D7335"/>
    <w:rPr>
      <w:b/>
      <w:bCs/>
    </w:rPr>
  </w:style>
  <w:style w:type="paragraph" w:customStyle="1" w:styleId="Default">
    <w:name w:val="Default"/>
    <w:rsid w:val="00EB3A11"/>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8332726">
      <w:bodyDiv w:val="1"/>
      <w:marLeft w:val="0"/>
      <w:marRight w:val="0"/>
      <w:marTop w:val="0"/>
      <w:marBottom w:val="0"/>
      <w:divBdr>
        <w:top w:val="none" w:sz="0" w:space="0" w:color="auto"/>
        <w:left w:val="none" w:sz="0" w:space="0" w:color="auto"/>
        <w:bottom w:val="none" w:sz="0" w:space="0" w:color="auto"/>
        <w:right w:val="none" w:sz="0" w:space="0" w:color="auto"/>
      </w:divBdr>
    </w:div>
    <w:div w:id="1315136821">
      <w:bodyDiv w:val="1"/>
      <w:marLeft w:val="0"/>
      <w:marRight w:val="0"/>
      <w:marTop w:val="0"/>
      <w:marBottom w:val="0"/>
      <w:divBdr>
        <w:top w:val="none" w:sz="0" w:space="0" w:color="auto"/>
        <w:left w:val="none" w:sz="0" w:space="0" w:color="auto"/>
        <w:bottom w:val="none" w:sz="0" w:space="0" w:color="auto"/>
        <w:right w:val="none" w:sz="0" w:space="0" w:color="auto"/>
      </w:divBdr>
    </w:div>
    <w:div w:id="19303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805B7E6-CE25-4A78-A853-59646F7D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7A894-D36E-4388-8BE2-10B9535985D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068DAB6-DEFE-4C73-98F6-75508732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Pages>
  <Words>4291</Words>
  <Characters>24460</Characters>
  <Application>Microsoft Office Word</Application>
  <DocSecurity>0</DocSecurity>
  <Lines>203</Lines>
  <Paragraphs>57</Paragraphs>
  <ScaleCrop>false</ScaleCrop>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675</cp:revision>
  <cp:lastPrinted>2020-02-10T14:23:00Z</cp:lastPrinted>
  <dcterms:created xsi:type="dcterms:W3CDTF">2020-02-03T19:05:00Z</dcterms:created>
  <dcterms:modified xsi:type="dcterms:W3CDTF">2020-08-11T21:44:00Z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