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7EB8CFC4" w:rsidR="00DE5124" w:rsidRPr="005A4E9E" w:rsidRDefault="00720281" w:rsidP="00DE5124">
      <w:pPr>
        <w:jc w:val="right"/>
        <w:rPr>
          <w:rFonts w:ascii="Arial" w:hAnsi="Arial" w:cs="Arial"/>
          <w:b/>
          <w:sz w:val="16"/>
          <w:szCs w:val="16"/>
          <w:lang w:eastAsia="es-ES"/>
        </w:rPr>
      </w:pPr>
      <w:bookmarkStart w:id="0" w:name="_Hlk29548183"/>
      <w:bookmarkStart w:id="1" w:name="_Hlk28946138"/>
      <w:r w:rsidRPr="005A4E9E">
        <w:rPr>
          <w:rFonts w:ascii="Arial" w:hAnsi="Arial" w:cs="Arial"/>
          <w:b/>
          <w:sz w:val="16"/>
          <w:szCs w:val="16"/>
          <w:lang w:eastAsia="es-ES"/>
        </w:rPr>
        <w:t>0</w:t>
      </w:r>
      <w:r w:rsidR="00DE5124" w:rsidRPr="005A4E9E">
        <w:rPr>
          <w:rFonts w:ascii="Arial" w:hAnsi="Arial" w:cs="Arial"/>
          <w:b/>
          <w:sz w:val="16"/>
          <w:szCs w:val="16"/>
          <w:lang w:eastAsia="es-ES"/>
        </w:rPr>
        <w:t>CCE-DES-FM-17</w:t>
      </w:r>
      <w:bookmarkEnd w:id="0"/>
      <w:bookmarkEnd w:id="1"/>
    </w:p>
    <w:p w14:paraId="36DCAA96" w14:textId="77777777" w:rsidR="00DB06D2" w:rsidRPr="005A4E9E" w:rsidRDefault="00DB06D2" w:rsidP="00DE5124">
      <w:pPr>
        <w:jc w:val="right"/>
        <w:rPr>
          <w:rFonts w:ascii="Arial" w:hAnsi="Arial" w:cs="Arial"/>
          <w:b/>
          <w:sz w:val="16"/>
          <w:szCs w:val="16"/>
          <w:lang w:eastAsia="es-ES"/>
        </w:rPr>
      </w:pPr>
    </w:p>
    <w:p w14:paraId="41AE6394" w14:textId="5201A90B" w:rsidR="008F6ABB" w:rsidRPr="005A4E9E" w:rsidRDefault="008F6ABB" w:rsidP="00801108">
      <w:pPr>
        <w:jc w:val="both"/>
        <w:rPr>
          <w:rFonts w:ascii="Arial" w:eastAsia="Calibri" w:hAnsi="Arial" w:cs="Arial"/>
          <w:sz w:val="22"/>
          <w:lang w:val="es-ES_tradnl"/>
        </w:rPr>
      </w:pPr>
      <w:r w:rsidRPr="005A4E9E">
        <w:rPr>
          <w:rFonts w:ascii="Arial" w:eastAsia="Calibri" w:hAnsi="Arial" w:cs="Arial"/>
          <w:b/>
          <w:sz w:val="22"/>
          <w:lang w:val="es-ES_tradnl"/>
        </w:rPr>
        <w:t xml:space="preserve">PRINCIPIO DE SELECCIÓN OBJETIVA </w:t>
      </w:r>
      <w:bookmarkStart w:id="2" w:name="_Hlk39676694"/>
      <w:r w:rsidR="00B40EDA" w:rsidRPr="005A4E9E">
        <w:rPr>
          <w:rFonts w:ascii="Arial" w:eastAsia="Calibri" w:hAnsi="Arial" w:cs="Arial"/>
          <w:b/>
          <w:sz w:val="22"/>
        </w:rPr>
        <w:t>–</w:t>
      </w:r>
      <w:bookmarkEnd w:id="2"/>
      <w:r w:rsidRPr="005A4E9E">
        <w:rPr>
          <w:rFonts w:ascii="Arial" w:eastAsia="Calibri" w:hAnsi="Arial" w:cs="Arial"/>
          <w:b/>
          <w:sz w:val="22"/>
          <w:lang w:val="es-ES_tradnl"/>
        </w:rPr>
        <w:t xml:space="preserve"> </w:t>
      </w:r>
      <w:r w:rsidR="00A5144E" w:rsidRPr="005A4E9E">
        <w:rPr>
          <w:rFonts w:ascii="Arial" w:eastAsia="Calibri" w:hAnsi="Arial" w:cs="Arial"/>
          <w:b/>
          <w:sz w:val="22"/>
          <w:lang w:val="es-ES_tradnl"/>
        </w:rPr>
        <w:t>Rechazo de ofertas</w:t>
      </w:r>
      <w:r w:rsidRPr="005A4E9E">
        <w:rPr>
          <w:rFonts w:ascii="Arial" w:eastAsia="Calibri" w:hAnsi="Arial" w:cs="Arial"/>
          <w:b/>
          <w:sz w:val="22"/>
          <w:lang w:val="es-ES_tradnl"/>
        </w:rPr>
        <w:t xml:space="preserve"> </w:t>
      </w:r>
      <w:r w:rsidR="00B40EDA" w:rsidRPr="005A4E9E">
        <w:rPr>
          <w:rFonts w:ascii="Arial" w:eastAsia="Calibri" w:hAnsi="Arial" w:cs="Arial"/>
          <w:b/>
          <w:sz w:val="22"/>
        </w:rPr>
        <w:t>–</w:t>
      </w:r>
      <w:r w:rsidRPr="005A4E9E">
        <w:rPr>
          <w:rFonts w:ascii="Arial" w:eastAsia="Calibri" w:hAnsi="Arial" w:cs="Arial"/>
          <w:b/>
          <w:sz w:val="22"/>
          <w:lang w:val="es-ES_tradnl"/>
        </w:rPr>
        <w:t xml:space="preserve"> </w:t>
      </w:r>
      <w:r w:rsidR="00A5144E" w:rsidRPr="005A4E9E">
        <w:rPr>
          <w:rFonts w:ascii="Arial" w:eastAsia="Calibri" w:hAnsi="Arial" w:cs="Arial"/>
          <w:b/>
          <w:sz w:val="22"/>
          <w:lang w:val="es-ES_tradnl"/>
        </w:rPr>
        <w:t>Subsanabilidad</w:t>
      </w:r>
    </w:p>
    <w:p w14:paraId="5A2F04D3" w14:textId="77777777" w:rsidR="008F6ABB" w:rsidRPr="005A4E9E" w:rsidRDefault="008F6ABB" w:rsidP="00801108">
      <w:pPr>
        <w:jc w:val="both"/>
        <w:rPr>
          <w:rFonts w:ascii="Arial" w:eastAsia="Calibri" w:hAnsi="Arial" w:cs="Arial"/>
          <w:sz w:val="20"/>
          <w:szCs w:val="20"/>
          <w:lang w:val="es-ES_tradnl"/>
        </w:rPr>
      </w:pPr>
    </w:p>
    <w:p w14:paraId="142C3880" w14:textId="7E6A3DD9" w:rsidR="008F6ABB" w:rsidRPr="005A4E9E" w:rsidRDefault="00A5144E" w:rsidP="2AEA3E2A">
      <w:pPr>
        <w:jc w:val="both"/>
        <w:rPr>
          <w:rFonts w:ascii="Arial" w:eastAsia="Calibri" w:hAnsi="Arial" w:cs="Arial"/>
          <w:sz w:val="20"/>
          <w:szCs w:val="20"/>
          <w:lang w:val="es-ES"/>
        </w:rPr>
      </w:pPr>
      <w:r w:rsidRPr="005A4E9E">
        <w:rPr>
          <w:rFonts w:ascii="Arial" w:eastAsia="Calibri" w:hAnsi="Arial" w:cs="Arial"/>
          <w:sz w:val="20"/>
          <w:szCs w:val="20"/>
          <w:lang w:val="es-ES"/>
        </w:rPr>
        <w:t>[</w:t>
      </w:r>
      <w:r w:rsidR="00EB302B" w:rsidRPr="005A4E9E">
        <w:rPr>
          <w:rFonts w:ascii="Arial" w:eastAsia="Calibri" w:hAnsi="Arial" w:cs="Arial"/>
          <w:sz w:val="20"/>
          <w:szCs w:val="20"/>
          <w:lang w:val="es-ES"/>
        </w:rPr>
        <w:t>…</w:t>
      </w:r>
      <w:r w:rsidRPr="005A4E9E">
        <w:rPr>
          <w:rFonts w:ascii="Arial" w:eastAsia="Calibri" w:hAnsi="Arial" w:cs="Arial"/>
          <w:sz w:val="20"/>
          <w:szCs w:val="20"/>
          <w:lang w:val="es-ES"/>
        </w:rPr>
        <w:t>]</w:t>
      </w:r>
      <w:r w:rsidR="00EB302B" w:rsidRPr="005A4E9E">
        <w:rPr>
          <w:rFonts w:ascii="Arial" w:eastAsia="Calibri" w:hAnsi="Arial" w:cs="Arial"/>
          <w:sz w:val="20"/>
          <w:szCs w:val="20"/>
          <w:lang w:val="es-ES"/>
        </w:rPr>
        <w:t xml:space="preserve"> </w:t>
      </w:r>
      <w:r w:rsidR="42CA2299" w:rsidRPr="005A4E9E">
        <w:rPr>
          <w:rFonts w:ascii="Arial" w:eastAsia="Calibri" w:hAnsi="Arial" w:cs="Arial"/>
          <w:sz w:val="20"/>
          <w:szCs w:val="20"/>
          <w:lang w:val="es-ES"/>
        </w:rPr>
        <w:t>p</w:t>
      </w:r>
      <w:r w:rsidRPr="005A4E9E">
        <w:rPr>
          <w:rFonts w:ascii="Arial" w:eastAsia="Calibri" w:hAnsi="Arial" w:cs="Arial"/>
          <w:sz w:val="20"/>
          <w:szCs w:val="20"/>
          <w:lang w:val="es-ES"/>
        </w:rPr>
        <w:t>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76B6C72E" w14:textId="77777777" w:rsidR="00A5144E" w:rsidRPr="005A4E9E" w:rsidRDefault="00A5144E" w:rsidP="00801108">
      <w:pPr>
        <w:jc w:val="both"/>
        <w:rPr>
          <w:rFonts w:ascii="Arial" w:eastAsia="Calibri" w:hAnsi="Arial" w:cs="Arial"/>
          <w:sz w:val="20"/>
          <w:szCs w:val="20"/>
          <w:lang w:val="es-ES_tradnl"/>
        </w:rPr>
      </w:pPr>
    </w:p>
    <w:p w14:paraId="7F804D74" w14:textId="7A98F540" w:rsidR="008F6ABB" w:rsidRPr="005A4E9E" w:rsidRDefault="008F6ABB" w:rsidP="1EB26971">
      <w:pPr>
        <w:jc w:val="both"/>
        <w:rPr>
          <w:rFonts w:ascii="Arial" w:eastAsia="Calibri" w:hAnsi="Arial" w:cs="Arial"/>
          <w:b/>
          <w:bCs/>
          <w:sz w:val="22"/>
          <w:lang w:val="es-ES"/>
        </w:rPr>
      </w:pPr>
      <w:r w:rsidRPr="1EB26971">
        <w:rPr>
          <w:rFonts w:ascii="Arial" w:eastAsia="Calibri" w:hAnsi="Arial" w:cs="Arial"/>
          <w:b/>
          <w:bCs/>
          <w:sz w:val="22"/>
          <w:lang w:val="es-ES"/>
        </w:rPr>
        <w:t xml:space="preserve">SUBSANABILIDAD </w:t>
      </w:r>
      <w:r w:rsidR="00B40EDA" w:rsidRPr="1EB26971">
        <w:rPr>
          <w:rFonts w:ascii="Arial" w:eastAsia="Calibri" w:hAnsi="Arial" w:cs="Arial"/>
          <w:b/>
          <w:bCs/>
          <w:sz w:val="22"/>
        </w:rPr>
        <w:t>–</w:t>
      </w:r>
      <w:r w:rsidRPr="1EB26971">
        <w:rPr>
          <w:rFonts w:ascii="Arial" w:eastAsia="Calibri" w:hAnsi="Arial" w:cs="Arial"/>
          <w:b/>
          <w:bCs/>
          <w:sz w:val="22"/>
          <w:lang w:val="es-ES"/>
        </w:rPr>
        <w:t xml:space="preserve"> Aplicación </w:t>
      </w:r>
      <w:r w:rsidR="00B40EDA" w:rsidRPr="1EB26971">
        <w:rPr>
          <w:rFonts w:ascii="Arial" w:eastAsia="Calibri" w:hAnsi="Arial" w:cs="Arial"/>
          <w:b/>
          <w:bCs/>
          <w:sz w:val="22"/>
        </w:rPr>
        <w:t>–</w:t>
      </w:r>
      <w:r w:rsidRPr="1EB26971">
        <w:rPr>
          <w:rFonts w:ascii="Arial" w:eastAsia="Calibri" w:hAnsi="Arial" w:cs="Arial"/>
          <w:b/>
          <w:bCs/>
          <w:sz w:val="22"/>
          <w:lang w:val="es-ES"/>
        </w:rPr>
        <w:t xml:space="preserve"> Improcedencia </w:t>
      </w:r>
      <w:r w:rsidR="00B40EDA" w:rsidRPr="1EB26971">
        <w:rPr>
          <w:rFonts w:ascii="Arial" w:eastAsia="Calibri" w:hAnsi="Arial" w:cs="Arial"/>
          <w:b/>
          <w:bCs/>
          <w:sz w:val="22"/>
        </w:rPr>
        <w:t>–</w:t>
      </w:r>
      <w:r w:rsidRPr="1EB26971">
        <w:rPr>
          <w:rFonts w:ascii="Arial" w:eastAsia="Calibri" w:hAnsi="Arial" w:cs="Arial"/>
          <w:b/>
          <w:bCs/>
          <w:sz w:val="22"/>
          <w:lang w:val="es-ES"/>
        </w:rPr>
        <w:t xml:space="preserve"> Circunstancias poster</w:t>
      </w:r>
      <w:r w:rsidR="0B1F6D6C" w:rsidRPr="1EB26971">
        <w:rPr>
          <w:rFonts w:ascii="Arial" w:eastAsia="Calibri" w:hAnsi="Arial" w:cs="Arial"/>
          <w:b/>
          <w:bCs/>
          <w:sz w:val="22"/>
          <w:lang w:val="es-ES"/>
        </w:rPr>
        <w:t xml:space="preserve">iores </w:t>
      </w:r>
      <w:r w:rsidR="0B1F6D6C" w:rsidRPr="1EB26971">
        <w:rPr>
          <w:rFonts w:ascii="Arial" w:eastAsia="Calibri" w:hAnsi="Arial" w:cs="Arial"/>
          <w:b/>
          <w:bCs/>
          <w:sz w:val="22"/>
        </w:rPr>
        <w:t>–</w:t>
      </w:r>
      <w:r w:rsidR="0B1F6D6C" w:rsidRPr="1EB26971">
        <w:rPr>
          <w:rFonts w:ascii="Arial" w:eastAsia="Calibri" w:hAnsi="Arial" w:cs="Arial"/>
          <w:b/>
          <w:bCs/>
          <w:sz w:val="22"/>
          <w:lang w:val="es-ES"/>
        </w:rPr>
        <w:t xml:space="preserve"> </w:t>
      </w:r>
      <w:r w:rsidRPr="1EB26971">
        <w:rPr>
          <w:rFonts w:ascii="Arial" w:eastAsia="Calibri" w:hAnsi="Arial" w:cs="Arial"/>
          <w:b/>
          <w:bCs/>
          <w:sz w:val="22"/>
          <w:lang w:val="es-ES"/>
        </w:rPr>
        <w:t xml:space="preserve"> </w:t>
      </w:r>
      <w:r w:rsidR="074C2AD6" w:rsidRPr="1EB26971">
        <w:rPr>
          <w:rFonts w:ascii="Arial" w:eastAsia="Calibri" w:hAnsi="Arial" w:cs="Arial"/>
          <w:b/>
          <w:bCs/>
          <w:sz w:val="22"/>
          <w:lang w:val="es-ES"/>
        </w:rPr>
        <w:t>C</w:t>
      </w:r>
      <w:r w:rsidRPr="1EB26971">
        <w:rPr>
          <w:rFonts w:ascii="Arial" w:eastAsia="Calibri" w:hAnsi="Arial" w:cs="Arial"/>
          <w:b/>
          <w:bCs/>
          <w:sz w:val="22"/>
          <w:lang w:val="es-ES"/>
        </w:rPr>
        <w:t>ierre</w:t>
      </w:r>
      <w:r w:rsidR="7F620054" w:rsidRPr="1EB26971">
        <w:rPr>
          <w:rFonts w:ascii="Arial" w:eastAsia="Calibri" w:hAnsi="Arial" w:cs="Arial"/>
          <w:b/>
          <w:bCs/>
          <w:sz w:val="22"/>
          <w:lang w:val="es-ES"/>
        </w:rPr>
        <w:t xml:space="preserve"> del proceso</w:t>
      </w:r>
    </w:p>
    <w:p w14:paraId="78285BDD" w14:textId="77777777" w:rsidR="008F6ABB" w:rsidRPr="005A4E9E" w:rsidRDefault="008F6ABB" w:rsidP="00801108">
      <w:pPr>
        <w:jc w:val="both"/>
        <w:rPr>
          <w:rFonts w:ascii="Arial" w:eastAsia="Calibri" w:hAnsi="Arial" w:cs="Arial"/>
          <w:sz w:val="20"/>
          <w:szCs w:val="20"/>
          <w:lang w:val="es-ES_tradnl"/>
        </w:rPr>
      </w:pPr>
    </w:p>
    <w:p w14:paraId="3F592FE3" w14:textId="0E0156A7" w:rsidR="008F6ABB" w:rsidRPr="005A4E9E" w:rsidRDefault="008F6ABB" w:rsidP="00801108">
      <w:pPr>
        <w:jc w:val="both"/>
        <w:rPr>
          <w:rFonts w:ascii="Arial" w:eastAsia="Calibri" w:hAnsi="Arial" w:cs="Arial"/>
          <w:sz w:val="20"/>
          <w:szCs w:val="20"/>
          <w:lang w:val="es-ES_tradnl"/>
        </w:rPr>
      </w:pPr>
      <w:r w:rsidRPr="005A4E9E">
        <w:rPr>
          <w:rFonts w:ascii="Arial" w:eastAsia="Calibri" w:hAnsi="Arial" w:cs="Arial"/>
          <w:sz w:val="20"/>
          <w:szCs w:val="20"/>
          <w:lang w:val="es-ES_tradnl"/>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3F632A85" w14:textId="77777777" w:rsidR="009F7B0A" w:rsidRPr="005A4E9E" w:rsidRDefault="009F7B0A" w:rsidP="00801108">
      <w:pPr>
        <w:jc w:val="both"/>
        <w:rPr>
          <w:rFonts w:ascii="Arial" w:eastAsia="Calibri" w:hAnsi="Arial" w:cs="Arial"/>
          <w:sz w:val="20"/>
          <w:szCs w:val="20"/>
          <w:lang w:val="es-ES_tradnl"/>
        </w:rPr>
      </w:pPr>
    </w:p>
    <w:p w14:paraId="2EEE31BA" w14:textId="3AC804CF" w:rsidR="009F7B0A" w:rsidRPr="005A4E9E" w:rsidRDefault="009F7B0A" w:rsidP="00801108">
      <w:pPr>
        <w:jc w:val="both"/>
        <w:rPr>
          <w:rFonts w:ascii="Arial" w:eastAsia="Calibri" w:hAnsi="Arial" w:cs="Arial"/>
          <w:b/>
          <w:bCs/>
          <w:sz w:val="22"/>
          <w:lang w:val="es-ES_tradnl"/>
        </w:rPr>
      </w:pPr>
      <w:bookmarkStart w:id="3" w:name="_GoBack"/>
      <w:bookmarkEnd w:id="3"/>
      <w:r w:rsidRPr="005A4E9E">
        <w:rPr>
          <w:rFonts w:ascii="Arial" w:eastAsia="Calibri" w:hAnsi="Arial" w:cs="Arial"/>
          <w:b/>
          <w:bCs/>
          <w:sz w:val="22"/>
          <w:lang w:val="es-ES_tradnl"/>
        </w:rPr>
        <w:t xml:space="preserve">SUBASTA </w:t>
      </w:r>
      <w:r w:rsidR="00ED7D3C" w:rsidRPr="005A4E9E">
        <w:rPr>
          <w:rFonts w:ascii="Arial" w:eastAsia="Calibri" w:hAnsi="Arial" w:cs="Arial"/>
          <w:b/>
          <w:bCs/>
          <w:sz w:val="22"/>
          <w:lang w:val="es-ES_tradnl"/>
        </w:rPr>
        <w:t xml:space="preserve">INVERSA </w:t>
      </w:r>
      <w:r w:rsidR="00B40EDA" w:rsidRPr="005A4E9E">
        <w:rPr>
          <w:rFonts w:ascii="Arial" w:eastAsia="Calibri" w:hAnsi="Arial" w:cs="Arial"/>
          <w:b/>
          <w:sz w:val="22"/>
        </w:rPr>
        <w:t>–</w:t>
      </w:r>
      <w:r w:rsidRPr="005A4E9E">
        <w:rPr>
          <w:rFonts w:ascii="Arial" w:eastAsia="Calibri" w:hAnsi="Arial" w:cs="Arial"/>
          <w:b/>
          <w:bCs/>
          <w:sz w:val="22"/>
          <w:lang w:val="es-ES_tradnl"/>
        </w:rPr>
        <w:t xml:space="preserve"> Regla de subsanabilidad </w:t>
      </w:r>
    </w:p>
    <w:p w14:paraId="31626472" w14:textId="5A6306C8" w:rsidR="003144A3" w:rsidRPr="005A4E9E" w:rsidRDefault="003144A3" w:rsidP="00801108">
      <w:pPr>
        <w:jc w:val="both"/>
        <w:rPr>
          <w:rFonts w:ascii="Arial" w:hAnsi="Arial" w:cs="Arial"/>
          <w:b/>
          <w:bCs/>
          <w:sz w:val="20"/>
          <w:szCs w:val="20"/>
          <w:lang w:val="es-ES_tradnl"/>
        </w:rPr>
      </w:pPr>
    </w:p>
    <w:p w14:paraId="7541D32A" w14:textId="77777777" w:rsidR="0045437C" w:rsidRPr="005A4E9E" w:rsidRDefault="00A43FA8" w:rsidP="0045437C">
      <w:pPr>
        <w:spacing w:after="120"/>
        <w:jc w:val="both"/>
        <w:rPr>
          <w:rFonts w:ascii="Arial" w:hAnsi="Arial" w:cs="Arial"/>
          <w:sz w:val="20"/>
          <w:szCs w:val="20"/>
          <w:lang w:val="es-ES_tradnl"/>
        </w:rPr>
      </w:pPr>
      <w:r w:rsidRPr="005A4E9E">
        <w:rPr>
          <w:rFonts w:ascii="Arial" w:hAnsi="Arial" w:cs="Arial"/>
          <w:sz w:val="20"/>
          <w:szCs w:val="20"/>
        </w:rPr>
        <w:t xml:space="preserve">De conformidad con lo anterior, la regla </w:t>
      </w:r>
      <w:r w:rsidR="0001254D" w:rsidRPr="005A4E9E">
        <w:rPr>
          <w:rFonts w:ascii="Arial" w:hAnsi="Arial" w:cs="Arial"/>
          <w:sz w:val="20"/>
          <w:szCs w:val="20"/>
        </w:rPr>
        <w:t xml:space="preserve">especial </w:t>
      </w:r>
      <w:r w:rsidRPr="005A4E9E">
        <w:rPr>
          <w:rFonts w:ascii="Arial" w:hAnsi="Arial" w:cs="Arial"/>
          <w:sz w:val="20"/>
          <w:szCs w:val="20"/>
        </w:rPr>
        <w:t xml:space="preserve">de subsanabilidad establecida </w:t>
      </w:r>
      <w:r w:rsidR="0001254D" w:rsidRPr="005A4E9E">
        <w:rPr>
          <w:rFonts w:ascii="Arial" w:hAnsi="Arial" w:cs="Arial"/>
          <w:sz w:val="20"/>
          <w:szCs w:val="20"/>
        </w:rPr>
        <w:t>en</w:t>
      </w:r>
      <w:r w:rsidRPr="005A4E9E">
        <w:rPr>
          <w:rFonts w:ascii="Arial" w:hAnsi="Arial" w:cs="Arial"/>
          <w:sz w:val="20"/>
          <w:szCs w:val="20"/>
        </w:rPr>
        <w:t xml:space="preserve"> el parágrafo 4° del artículo 5 de la Ley 1150 de 2007 para el mecanismo de subasta inversa</w:t>
      </w:r>
      <w:r w:rsidR="007C4C04" w:rsidRPr="005A4E9E">
        <w:rPr>
          <w:rFonts w:ascii="Arial" w:hAnsi="Arial" w:cs="Arial"/>
          <w:sz w:val="20"/>
          <w:szCs w:val="20"/>
        </w:rPr>
        <w:t>,</w:t>
      </w:r>
      <w:r w:rsidRPr="005A4E9E">
        <w:rPr>
          <w:rFonts w:ascii="Arial" w:hAnsi="Arial" w:cs="Arial"/>
          <w:sz w:val="20"/>
          <w:szCs w:val="20"/>
        </w:rPr>
        <w:t xml:space="preserve"> permite a los oferentes subsanar</w:t>
      </w:r>
      <w:r w:rsidR="007C4C04" w:rsidRPr="005A4E9E">
        <w:rPr>
          <w:rFonts w:ascii="Arial" w:hAnsi="Arial" w:cs="Arial"/>
          <w:sz w:val="20"/>
          <w:szCs w:val="20"/>
        </w:rPr>
        <w:t>, es decir, que las entidades soliciten</w:t>
      </w:r>
      <w:r w:rsidRPr="005A4E9E">
        <w:rPr>
          <w:rFonts w:ascii="Arial" w:hAnsi="Arial" w:cs="Arial"/>
          <w:sz w:val="20"/>
          <w:szCs w:val="20"/>
        </w:rPr>
        <w:t xml:space="preserve"> los documentos referentes a la futura contratación o al proponente no necesarios para la comparación de las propuestas, hasta el momento previo a la realización a la audiencia a la que hace referencia el artículo </w:t>
      </w:r>
      <w:r w:rsidRPr="005A4E9E">
        <w:rPr>
          <w:rFonts w:ascii="Arial" w:hAnsi="Arial" w:cs="Arial"/>
          <w:sz w:val="20"/>
          <w:szCs w:val="20"/>
          <w:lang w:val="es-ES_tradnl"/>
        </w:rPr>
        <w:t xml:space="preserve">2.2.1.2.1.2.2 del Decreto 1082 de 2015, momento que además deberá estar señalado en el pliego de condiciones, independientemente de </w:t>
      </w:r>
      <w:r w:rsidRPr="005A4E9E">
        <w:rPr>
          <w:rFonts w:ascii="Arial" w:hAnsi="Arial" w:cs="Arial"/>
          <w:sz w:val="20"/>
          <w:szCs w:val="20"/>
          <w:lang w:val="es-ES_tradnl"/>
        </w:rPr>
        <w:lastRenderedPageBreak/>
        <w:t>que la entidad opte para desarrollar la audiencia de manera presencial o través del algún mecanismos electrónico</w:t>
      </w:r>
      <w:r w:rsidR="0045437C" w:rsidRPr="005A4E9E">
        <w:rPr>
          <w:rFonts w:ascii="Arial" w:hAnsi="Arial" w:cs="Arial"/>
          <w:sz w:val="20"/>
          <w:szCs w:val="20"/>
          <w:lang w:val="es-ES_tradnl"/>
        </w:rPr>
        <w:t>.</w:t>
      </w:r>
    </w:p>
    <w:p w14:paraId="3F2166CB" w14:textId="1A89EB3D" w:rsidR="0033606D" w:rsidRPr="005A4E9E" w:rsidRDefault="00A43FA8" w:rsidP="0033606D">
      <w:pPr>
        <w:spacing w:after="120"/>
        <w:jc w:val="both"/>
        <w:rPr>
          <w:rFonts w:ascii="Arial" w:hAnsi="Arial" w:cs="Arial"/>
          <w:sz w:val="20"/>
          <w:szCs w:val="20"/>
          <w:lang w:val="es-ES_tradnl"/>
        </w:rPr>
      </w:pPr>
      <w:r w:rsidRPr="005A4E9E">
        <w:rPr>
          <w:rFonts w:ascii="Arial" w:hAnsi="Arial" w:cs="Arial"/>
          <w:sz w:val="20"/>
          <w:szCs w:val="20"/>
          <w:lang w:val="es-ES_tradnl"/>
        </w:rPr>
        <w:t>Esto sin perjuicio de que las entidades</w:t>
      </w:r>
      <w:r w:rsidR="0001254D" w:rsidRPr="005A4E9E">
        <w:rPr>
          <w:rFonts w:ascii="Arial" w:hAnsi="Arial" w:cs="Arial"/>
          <w:sz w:val="20"/>
          <w:szCs w:val="20"/>
          <w:lang w:val="es-ES_tradnl"/>
        </w:rPr>
        <w:t>,</w:t>
      </w:r>
      <w:r w:rsidRPr="005A4E9E">
        <w:rPr>
          <w:rFonts w:ascii="Arial" w:hAnsi="Arial" w:cs="Arial"/>
          <w:sz w:val="20"/>
          <w:szCs w:val="20"/>
          <w:lang w:val="es-ES_tradnl"/>
        </w:rPr>
        <w:t xml:space="preserve"> de conformidad con el numeral 3 del artículo 2.2.1.2.1.2.2 del Decreto 1082 de 2015, antes de la realización de la subasta deb</w:t>
      </w:r>
      <w:r w:rsidR="0001254D" w:rsidRPr="005A4E9E">
        <w:rPr>
          <w:rFonts w:ascii="Arial" w:hAnsi="Arial" w:cs="Arial"/>
          <w:sz w:val="20"/>
          <w:szCs w:val="20"/>
          <w:lang w:val="es-ES_tradnl"/>
        </w:rPr>
        <w:t>a</w:t>
      </w:r>
      <w:r w:rsidRPr="005A4E9E">
        <w:rPr>
          <w:rFonts w:ascii="Arial" w:hAnsi="Arial" w:cs="Arial"/>
          <w:sz w:val="20"/>
          <w:szCs w:val="20"/>
          <w:lang w:val="es-ES_tradnl"/>
        </w:rPr>
        <w:t>n «publicar un informe de habilitación de los oferentes, en el cual debe indicar si los bienes o servicios ofrecidos por el interesado cumplen con la ficha técnica y si el oferente se encuentra habilitado», publicación que si bien no pone fin a la oportunidad de los proponentes para percatarse de los yerros susceptibles de subsanación, s</w:t>
      </w:r>
      <w:r w:rsidR="0072749F" w:rsidRPr="005A4E9E">
        <w:rPr>
          <w:rFonts w:ascii="Arial" w:hAnsi="Arial" w:cs="Arial"/>
          <w:sz w:val="20"/>
          <w:szCs w:val="20"/>
          <w:lang w:val="es-ES_tradnl"/>
        </w:rPr>
        <w:t>í</w:t>
      </w:r>
      <w:r w:rsidRPr="005A4E9E">
        <w:rPr>
          <w:rFonts w:ascii="Arial" w:hAnsi="Arial" w:cs="Arial"/>
          <w:sz w:val="20"/>
          <w:szCs w:val="20"/>
          <w:lang w:val="es-ES_tradnl"/>
        </w:rPr>
        <w:t xml:space="preserve"> corresponde </w:t>
      </w:r>
      <w:r w:rsidR="00471772" w:rsidRPr="005A4E9E">
        <w:rPr>
          <w:rFonts w:ascii="Arial" w:hAnsi="Arial" w:cs="Arial"/>
          <w:sz w:val="20"/>
          <w:szCs w:val="20"/>
          <w:lang w:val="es-ES_tradnl"/>
        </w:rPr>
        <w:t xml:space="preserve">a </w:t>
      </w:r>
      <w:r w:rsidRPr="005A4E9E">
        <w:rPr>
          <w:rFonts w:ascii="Arial" w:hAnsi="Arial" w:cs="Arial"/>
          <w:sz w:val="20"/>
          <w:szCs w:val="20"/>
          <w:lang w:val="es-ES_tradnl"/>
        </w:rPr>
        <w:t>la oportunidad idónea para</w:t>
      </w:r>
      <w:r w:rsidR="00471772" w:rsidRPr="005A4E9E">
        <w:rPr>
          <w:rFonts w:ascii="Arial" w:hAnsi="Arial" w:cs="Arial"/>
          <w:sz w:val="20"/>
          <w:szCs w:val="20"/>
          <w:lang w:val="es-ES_tradnl"/>
        </w:rPr>
        <w:t xml:space="preserve"> que los</w:t>
      </w:r>
      <w:r w:rsidRPr="005A4E9E">
        <w:rPr>
          <w:rFonts w:ascii="Arial" w:hAnsi="Arial" w:cs="Arial"/>
          <w:sz w:val="20"/>
          <w:szCs w:val="20"/>
          <w:lang w:val="es-ES_tradnl"/>
        </w:rPr>
        <w:t xml:space="preserve"> </w:t>
      </w:r>
      <w:r w:rsidR="00471772" w:rsidRPr="005A4E9E">
        <w:rPr>
          <w:rFonts w:ascii="Arial" w:hAnsi="Arial" w:cs="Arial"/>
          <w:sz w:val="20"/>
          <w:szCs w:val="20"/>
          <w:lang w:val="es-ES_tradnl"/>
        </w:rPr>
        <w:t xml:space="preserve">proponentes se </w:t>
      </w:r>
      <w:r w:rsidRPr="005A4E9E">
        <w:rPr>
          <w:rFonts w:ascii="Arial" w:hAnsi="Arial" w:cs="Arial"/>
          <w:sz w:val="20"/>
          <w:szCs w:val="20"/>
          <w:lang w:val="es-ES_tradnl"/>
        </w:rPr>
        <w:t>percat</w:t>
      </w:r>
      <w:r w:rsidR="00471772" w:rsidRPr="005A4E9E">
        <w:rPr>
          <w:rFonts w:ascii="Arial" w:hAnsi="Arial" w:cs="Arial"/>
          <w:sz w:val="20"/>
          <w:szCs w:val="20"/>
          <w:lang w:val="es-ES_tradnl"/>
        </w:rPr>
        <w:t>en</w:t>
      </w:r>
      <w:r w:rsidRPr="005A4E9E">
        <w:rPr>
          <w:rFonts w:ascii="Arial" w:hAnsi="Arial" w:cs="Arial"/>
          <w:sz w:val="20"/>
          <w:szCs w:val="20"/>
          <w:lang w:val="es-ES_tradnl"/>
        </w:rPr>
        <w:t xml:space="preserve"> de los mismos y proced</w:t>
      </w:r>
      <w:r w:rsidR="00471772" w:rsidRPr="005A4E9E">
        <w:rPr>
          <w:rFonts w:ascii="Arial" w:hAnsi="Arial" w:cs="Arial"/>
          <w:sz w:val="20"/>
          <w:szCs w:val="20"/>
          <w:lang w:val="es-ES_tradnl"/>
        </w:rPr>
        <w:t>an</w:t>
      </w:r>
      <w:r w:rsidRPr="005A4E9E">
        <w:rPr>
          <w:rFonts w:ascii="Arial" w:hAnsi="Arial" w:cs="Arial"/>
          <w:sz w:val="20"/>
          <w:szCs w:val="20"/>
          <w:lang w:val="es-ES_tradnl"/>
        </w:rPr>
        <w:t xml:space="preserve"> a su corrección</w:t>
      </w:r>
      <w:r w:rsidR="0033606D" w:rsidRPr="005A4E9E">
        <w:rPr>
          <w:rFonts w:ascii="Arial" w:hAnsi="Arial" w:cs="Arial"/>
          <w:sz w:val="20"/>
          <w:szCs w:val="20"/>
          <w:lang w:val="es-ES_tradnl"/>
        </w:rPr>
        <w:t>.</w:t>
      </w:r>
    </w:p>
    <w:p w14:paraId="24081806" w14:textId="18CC3309" w:rsidR="009F7B0A" w:rsidRPr="005A4E9E" w:rsidRDefault="009F7B0A" w:rsidP="00801108">
      <w:pPr>
        <w:jc w:val="both"/>
        <w:rPr>
          <w:rFonts w:ascii="Arial" w:hAnsi="Arial" w:cs="Arial"/>
          <w:sz w:val="20"/>
          <w:szCs w:val="20"/>
          <w:lang w:val="es-ES_tradnl"/>
        </w:rPr>
      </w:pPr>
      <w:r w:rsidRPr="005A4E9E">
        <w:rPr>
          <w:rFonts w:ascii="Arial" w:hAnsi="Arial" w:cs="Arial"/>
          <w:sz w:val="20"/>
          <w:szCs w:val="20"/>
          <w:lang w:val="es-ES_tradnl"/>
        </w:rPr>
        <w:t>En los procesos de escogencia de licitación pública, selección abreviada para la adquisición o suministro de bienes y servicios de características técnicas uniformes y común utilización, así como en los de enajenación de bienes del Estado, en los que se use el mecanismos de subasta, de conformidad con el parágrafo 4° del artículo 5° de la Ley 1150 de 2007, modificado por el artículo 5° de la Ley 1882 de 2018, los documentos referentes a la futura contratación o al proponente, no necesarios para la comparación de ofertas, podrán ser objeto de subsanación hasta antes de la fecha prevista en el pliego de condiciones para el inicio de la subasta.</w:t>
      </w:r>
    </w:p>
    <w:p w14:paraId="6CCEA68D" w14:textId="4ED85799" w:rsidR="00961AEE" w:rsidRPr="005A4E9E" w:rsidRDefault="00961AEE" w:rsidP="00801108">
      <w:pPr>
        <w:jc w:val="both"/>
        <w:rPr>
          <w:rFonts w:ascii="Arial" w:hAnsi="Arial" w:cs="Arial"/>
          <w:sz w:val="20"/>
          <w:szCs w:val="20"/>
          <w:lang w:val="es-ES_tradnl"/>
        </w:rPr>
      </w:pPr>
    </w:p>
    <w:p w14:paraId="36FCB255" w14:textId="0B206D48" w:rsidR="00961AEE" w:rsidRPr="005A4E9E" w:rsidRDefault="00961AEE" w:rsidP="00961AEE">
      <w:pPr>
        <w:jc w:val="both"/>
        <w:rPr>
          <w:rFonts w:ascii="Arial" w:eastAsia="Calibri" w:hAnsi="Arial" w:cs="Arial"/>
          <w:b/>
          <w:sz w:val="22"/>
        </w:rPr>
      </w:pPr>
      <w:r w:rsidRPr="005A4E9E">
        <w:rPr>
          <w:rFonts w:ascii="Arial" w:eastAsia="Calibri" w:hAnsi="Arial" w:cs="Arial"/>
          <w:b/>
          <w:sz w:val="22"/>
        </w:rPr>
        <w:t xml:space="preserve">EXPERIENCIA – Sociedades con menos de 3 años de constitución – </w:t>
      </w:r>
      <w:r w:rsidR="001E04E7" w:rsidRPr="005A4E9E">
        <w:rPr>
          <w:rFonts w:ascii="Arial" w:eastAsia="Calibri" w:hAnsi="Arial" w:cs="Arial"/>
          <w:b/>
          <w:sz w:val="22"/>
        </w:rPr>
        <w:t>Socio inhabilitado – Interpretación restrictiva</w:t>
      </w:r>
    </w:p>
    <w:p w14:paraId="52A6A5AE" w14:textId="77777777" w:rsidR="00961AEE" w:rsidRPr="005A4E9E" w:rsidRDefault="00961AEE" w:rsidP="00961AEE">
      <w:pPr>
        <w:jc w:val="both"/>
        <w:rPr>
          <w:rFonts w:ascii="Arial" w:hAnsi="Arial" w:cs="Arial"/>
          <w:sz w:val="20"/>
          <w:szCs w:val="20"/>
        </w:rPr>
      </w:pPr>
    </w:p>
    <w:p w14:paraId="19BC0931" w14:textId="49AA97D1" w:rsidR="00961AEE" w:rsidRPr="005A4E9E" w:rsidRDefault="00961AEE" w:rsidP="00961AEE">
      <w:pPr>
        <w:spacing w:after="120"/>
        <w:jc w:val="both"/>
        <w:rPr>
          <w:rFonts w:ascii="Arial" w:hAnsi="Arial" w:cs="Arial"/>
          <w:sz w:val="20"/>
          <w:szCs w:val="20"/>
        </w:rPr>
      </w:pPr>
      <w:r w:rsidRPr="005A4E9E">
        <w:rPr>
          <w:rFonts w:ascii="Arial" w:hAnsi="Arial" w:cs="Arial"/>
          <w:sz w:val="20"/>
          <w:szCs w:val="20"/>
          <w:lang w:val="es-ES_tradnl"/>
        </w:rPr>
        <w:t>[…] la aplicación de una interpretación restrictiva a</w:t>
      </w:r>
      <w:r w:rsidRPr="005A4E9E">
        <w:rPr>
          <w:rFonts w:ascii="Arial" w:hAnsi="Arial" w:cs="Arial"/>
          <w:sz w:val="20"/>
          <w:szCs w:val="20"/>
        </w:rPr>
        <w:t xml:space="preserve"> la prerrogativa del numeral 2.5 del artículo 2.2.1.1.1.5.2 del Decreto 1082 de 2015, nos lleva a concluir que el hecho de que una sociedad se encuentre inhabilitada no impide que otra con menos de 3 años de constitución, de la cual aquella es socia, pueda acreditar la experiencia de la sociedad inhabilitada, comoquiera </w:t>
      </w:r>
      <w:r w:rsidR="007D7AA4" w:rsidRPr="005A4E9E">
        <w:rPr>
          <w:rFonts w:ascii="Arial" w:hAnsi="Arial" w:cs="Arial"/>
          <w:sz w:val="20"/>
          <w:szCs w:val="20"/>
        </w:rPr>
        <w:t xml:space="preserve">que </w:t>
      </w:r>
      <w:r w:rsidRPr="005A4E9E">
        <w:rPr>
          <w:rFonts w:ascii="Arial" w:hAnsi="Arial" w:cs="Arial"/>
          <w:sz w:val="20"/>
          <w:szCs w:val="20"/>
        </w:rPr>
        <w:t xml:space="preserve">las inhabilidades consisten en restricciones a la capacidad para contratar o presentar ofertas de una persona natural o jurídica en particular, que no suponen la imposibilidad de que la experiencia del socio inhabilitado pueda ser acreditada por la sociedad de reciente creación en uso del referido beneficio, máxime cuando la sociedad inhabilitada y la de menos de 3 años de constitución son personas jurídicas diferentes e independientes entre sí. </w:t>
      </w:r>
    </w:p>
    <w:p w14:paraId="2AF8B211" w14:textId="6B48B9DA" w:rsidR="00961AEE" w:rsidRPr="005A4E9E" w:rsidRDefault="00961AEE" w:rsidP="00961AEE">
      <w:pPr>
        <w:spacing w:after="120"/>
        <w:jc w:val="both"/>
        <w:rPr>
          <w:rFonts w:ascii="Arial" w:hAnsi="Arial" w:cs="Arial"/>
          <w:sz w:val="20"/>
          <w:szCs w:val="20"/>
        </w:rPr>
      </w:pPr>
      <w:r w:rsidRPr="005A4E9E">
        <w:rPr>
          <w:rFonts w:ascii="Arial" w:hAnsi="Arial" w:cs="Arial"/>
          <w:sz w:val="20"/>
          <w:szCs w:val="20"/>
        </w:rPr>
        <w:t xml:space="preserve">En conclusión, en tanto no exista una prohibición o restricción explicita en el ordenamiento jurídico, que impida que la experiencia de las sociedades inhabilitadas sea acreditada por las sociedades nuevas en las cuales tienen participación, estas últimas podrán acreditar la referida experiencia en los términos del numeral 2.5 del artículo 2.2.1.1.1.5.2 </w:t>
      </w:r>
      <w:r w:rsidRPr="005A4E9E">
        <w:rPr>
          <w:rFonts w:ascii="Arial" w:hAnsi="Arial" w:cs="Arial"/>
          <w:i/>
          <w:iCs/>
          <w:sz w:val="20"/>
          <w:szCs w:val="20"/>
        </w:rPr>
        <w:t>ejusdem</w:t>
      </w:r>
      <w:r w:rsidRPr="005A4E9E">
        <w:rPr>
          <w:rFonts w:ascii="Arial" w:hAnsi="Arial" w:cs="Arial"/>
          <w:sz w:val="20"/>
          <w:szCs w:val="20"/>
        </w:rPr>
        <w:t xml:space="preserve">, en la medida que los efectos de la inhabilidad se predican de la capacidad para contratar del inhabilitado y no de su experiencia, o de la posibilidad de hacer uso de la referida prerrogativa. </w:t>
      </w:r>
    </w:p>
    <w:p w14:paraId="633E0CDC" w14:textId="77777777" w:rsidR="00801108" w:rsidRPr="005A4E9E" w:rsidRDefault="00801108" w:rsidP="00801108">
      <w:pPr>
        <w:autoSpaceDE w:val="0"/>
        <w:autoSpaceDN w:val="0"/>
        <w:adjustRightInd w:val="0"/>
        <w:rPr>
          <w:rFonts w:ascii="Arial" w:hAnsi="Arial" w:cs="Arial"/>
          <w:sz w:val="20"/>
          <w:szCs w:val="20"/>
          <w:lang w:val="es-CO"/>
        </w:rPr>
      </w:pPr>
    </w:p>
    <w:p w14:paraId="4B52012B" w14:textId="77777777" w:rsidR="005A4E9E" w:rsidRPr="005A4E9E" w:rsidRDefault="005A4E9E" w:rsidP="005A4E9E">
      <w:pPr>
        <w:autoSpaceDE w:val="0"/>
        <w:autoSpaceDN w:val="0"/>
        <w:adjustRightInd w:val="0"/>
        <w:rPr>
          <w:rFonts w:ascii="Arial" w:hAnsi="Arial" w:cs="Arial"/>
          <w:color w:val="000000"/>
          <w:szCs w:val="24"/>
          <w:lang w:val="es-CO"/>
        </w:rPr>
      </w:pPr>
      <w:bookmarkStart w:id="4" w:name="_Hlk44409926"/>
    </w:p>
    <w:p w14:paraId="24039D86" w14:textId="77777777" w:rsidR="005A4E9E" w:rsidRPr="005A4E9E" w:rsidRDefault="005A4E9E" w:rsidP="005A4E9E">
      <w:pPr>
        <w:autoSpaceDE w:val="0"/>
        <w:autoSpaceDN w:val="0"/>
        <w:adjustRightInd w:val="0"/>
        <w:rPr>
          <w:rFonts w:ascii="Arial" w:hAnsi="Arial" w:cs="Arial"/>
          <w:color w:val="000000"/>
          <w:sz w:val="22"/>
          <w:lang w:val="es-CO"/>
        </w:rPr>
      </w:pPr>
      <w:r w:rsidRPr="005A4E9E">
        <w:rPr>
          <w:rFonts w:ascii="Arial" w:hAnsi="Arial" w:cs="Arial"/>
          <w:color w:val="000000"/>
          <w:szCs w:val="24"/>
          <w:lang w:val="es-CO"/>
        </w:rPr>
        <w:t xml:space="preserve"> </w:t>
      </w:r>
      <w:r w:rsidRPr="005A4E9E">
        <w:rPr>
          <w:rFonts w:ascii="Arial" w:hAnsi="Arial" w:cs="Arial"/>
          <w:color w:val="000000"/>
          <w:sz w:val="22"/>
          <w:lang w:val="es-CO"/>
        </w:rPr>
        <w:t xml:space="preserve">Bogotá D.C., </w:t>
      </w:r>
      <w:r w:rsidRPr="005A4E9E">
        <w:rPr>
          <w:rFonts w:ascii="Arial" w:hAnsi="Arial" w:cs="Arial"/>
          <w:b/>
          <w:bCs/>
          <w:color w:val="000000"/>
          <w:sz w:val="22"/>
          <w:lang w:val="es-CO"/>
        </w:rPr>
        <w:t xml:space="preserve">30/06/2020 Hora 11:49:44s </w:t>
      </w:r>
    </w:p>
    <w:p w14:paraId="61FA099F" w14:textId="39BEDB6C" w:rsidR="000D6359" w:rsidRPr="005A4E9E" w:rsidRDefault="005A4E9E" w:rsidP="005A4E9E">
      <w:pPr>
        <w:jc w:val="right"/>
        <w:rPr>
          <w:rFonts w:ascii="Arial" w:eastAsia="Calibri" w:hAnsi="Arial" w:cs="Arial"/>
          <w:sz w:val="22"/>
        </w:rPr>
      </w:pPr>
      <w:r w:rsidRPr="005A4E9E">
        <w:rPr>
          <w:rFonts w:ascii="Arial" w:hAnsi="Arial" w:cs="Arial"/>
          <w:b/>
          <w:bCs/>
          <w:color w:val="000000"/>
          <w:sz w:val="22"/>
          <w:lang w:val="es-CO"/>
        </w:rPr>
        <w:t>N° Radicado: 2202013000005528</w:t>
      </w:r>
    </w:p>
    <w:p w14:paraId="105769E9" w14:textId="77777777" w:rsidR="005A4E9E" w:rsidRDefault="005A4E9E" w:rsidP="00B10353">
      <w:pPr>
        <w:rPr>
          <w:rFonts w:ascii="Arial" w:eastAsia="Calibri" w:hAnsi="Arial" w:cs="Arial"/>
          <w:sz w:val="22"/>
        </w:rPr>
      </w:pPr>
    </w:p>
    <w:p w14:paraId="582508E2" w14:textId="77777777" w:rsidR="005A4E9E" w:rsidRDefault="005A4E9E" w:rsidP="00B10353">
      <w:pPr>
        <w:rPr>
          <w:rFonts w:ascii="Arial" w:eastAsia="Calibri" w:hAnsi="Arial" w:cs="Arial"/>
          <w:sz w:val="22"/>
        </w:rPr>
      </w:pPr>
    </w:p>
    <w:p w14:paraId="20147739" w14:textId="20863828" w:rsidR="00BA22A9" w:rsidRPr="005A4E9E" w:rsidRDefault="00BA22A9" w:rsidP="00B10353">
      <w:pPr>
        <w:rPr>
          <w:rFonts w:ascii="Arial" w:eastAsia="Calibri" w:hAnsi="Arial" w:cs="Arial"/>
          <w:sz w:val="22"/>
        </w:rPr>
      </w:pPr>
      <w:r w:rsidRPr="005A4E9E">
        <w:rPr>
          <w:rFonts w:ascii="Arial" w:eastAsia="Calibri" w:hAnsi="Arial" w:cs="Arial"/>
          <w:sz w:val="22"/>
        </w:rPr>
        <w:t>Señor</w:t>
      </w:r>
    </w:p>
    <w:p w14:paraId="7C15AD01" w14:textId="1B7B3B85" w:rsidR="00875469" w:rsidRPr="005A4E9E" w:rsidRDefault="00746528" w:rsidP="00B10353">
      <w:pPr>
        <w:rPr>
          <w:rFonts w:ascii="Arial" w:eastAsia="Calibri" w:hAnsi="Arial" w:cs="Arial"/>
          <w:b/>
          <w:sz w:val="22"/>
        </w:rPr>
      </w:pPr>
      <w:r w:rsidRPr="005A4E9E">
        <w:rPr>
          <w:rFonts w:ascii="Arial" w:eastAsia="Calibri" w:hAnsi="Arial" w:cs="Arial"/>
          <w:b/>
          <w:sz w:val="22"/>
        </w:rPr>
        <w:t>Andrés Felipe Escobar</w:t>
      </w:r>
    </w:p>
    <w:p w14:paraId="31138D68" w14:textId="3BDD6AF6" w:rsidR="00BA22A9" w:rsidRPr="005A4E9E" w:rsidRDefault="00875469" w:rsidP="00B10353">
      <w:pPr>
        <w:rPr>
          <w:rFonts w:ascii="Arial" w:eastAsia="Calibri" w:hAnsi="Arial" w:cs="Arial"/>
          <w:sz w:val="22"/>
        </w:rPr>
      </w:pPr>
      <w:r w:rsidRPr="005A4E9E">
        <w:rPr>
          <w:rFonts w:ascii="Arial" w:eastAsia="Calibri" w:hAnsi="Arial" w:cs="Arial"/>
          <w:sz w:val="22"/>
        </w:rPr>
        <w:t>Ciudad</w:t>
      </w:r>
    </w:p>
    <w:p w14:paraId="1C76F001" w14:textId="4876DFB9" w:rsidR="00765694" w:rsidRPr="005A4E9E" w:rsidRDefault="00765694" w:rsidP="00B10353">
      <w:pPr>
        <w:rPr>
          <w:rFonts w:ascii="Arial" w:eastAsia="Calibri" w:hAnsi="Arial" w:cs="Arial"/>
          <w:sz w:val="22"/>
        </w:rPr>
      </w:pPr>
    </w:p>
    <w:p w14:paraId="56435A7F" w14:textId="2D738C24" w:rsidR="00BA22A9" w:rsidRPr="005A4E9E" w:rsidRDefault="00BA22A9" w:rsidP="00B10353">
      <w:pPr>
        <w:jc w:val="center"/>
        <w:rPr>
          <w:rFonts w:ascii="Arial" w:eastAsia="Calibri" w:hAnsi="Arial" w:cs="Arial"/>
          <w:b/>
          <w:sz w:val="22"/>
        </w:rPr>
      </w:pPr>
      <w:r w:rsidRPr="005A4E9E">
        <w:rPr>
          <w:rFonts w:ascii="Arial" w:eastAsia="Calibri" w:hAnsi="Arial" w:cs="Arial"/>
          <w:b/>
          <w:sz w:val="22"/>
        </w:rPr>
        <w:t>Concepto C</w:t>
      </w:r>
      <w:r w:rsidR="00FA3B3B" w:rsidRPr="005A4E9E">
        <w:rPr>
          <w:rFonts w:ascii="Arial" w:eastAsia="Calibri" w:hAnsi="Arial" w:cs="Arial"/>
          <w:b/>
          <w:sz w:val="22"/>
        </w:rPr>
        <w:t xml:space="preserve"> </w:t>
      </w:r>
      <w:r w:rsidR="00746528" w:rsidRPr="005A4E9E">
        <w:rPr>
          <w:rFonts w:ascii="Arial" w:eastAsia="Calibri" w:hAnsi="Arial" w:cs="Arial"/>
          <w:b/>
          <w:sz w:val="22"/>
        </w:rPr>
        <w:t>–</w:t>
      </w:r>
      <w:r w:rsidR="00FA3B3B" w:rsidRPr="005A4E9E">
        <w:rPr>
          <w:rFonts w:ascii="Arial" w:eastAsia="Calibri" w:hAnsi="Arial" w:cs="Arial"/>
          <w:b/>
          <w:sz w:val="22"/>
        </w:rPr>
        <w:t xml:space="preserve"> </w:t>
      </w:r>
      <w:r w:rsidR="002A6AC7" w:rsidRPr="005A4E9E">
        <w:rPr>
          <w:rFonts w:ascii="Arial" w:eastAsia="Calibri" w:hAnsi="Arial" w:cs="Arial"/>
          <w:b/>
          <w:sz w:val="22"/>
        </w:rPr>
        <w:t xml:space="preserve">365 </w:t>
      </w:r>
      <w:r w:rsidRPr="005A4E9E">
        <w:rPr>
          <w:rFonts w:ascii="Arial" w:eastAsia="Calibri" w:hAnsi="Arial" w:cs="Arial"/>
          <w:b/>
          <w:sz w:val="22"/>
        </w:rPr>
        <w:t>de 2020</w:t>
      </w:r>
    </w:p>
    <w:p w14:paraId="70F38DC1" w14:textId="7AEBF63B" w:rsidR="00BA22A9" w:rsidRPr="005A4E9E" w:rsidRDefault="00BA22A9" w:rsidP="00B10353">
      <w:pPr>
        <w:rPr>
          <w:rFonts w:ascii="Arial" w:eastAsia="Calibri" w:hAnsi="Arial" w:cs="Arial"/>
          <w:sz w:val="22"/>
        </w:rPr>
      </w:pPr>
    </w:p>
    <w:p w14:paraId="49523BB4" w14:textId="72C95569" w:rsidR="000D6359" w:rsidRPr="005A4E9E" w:rsidRDefault="000D6359" w:rsidP="00B10353">
      <w:pPr>
        <w:rPr>
          <w:rFonts w:ascii="Arial" w:eastAsia="Calibri" w:hAnsi="Arial" w:cs="Arial"/>
          <w:sz w:val="22"/>
        </w:rPr>
      </w:pPr>
    </w:p>
    <w:p w14:paraId="30DE8200" w14:textId="77777777" w:rsidR="000D6359" w:rsidRPr="005A4E9E" w:rsidRDefault="000D6359" w:rsidP="00B1035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46528" w:rsidRPr="005A4E9E" w14:paraId="73DD4E85" w14:textId="77777777" w:rsidTr="00B10353">
        <w:tc>
          <w:tcPr>
            <w:tcW w:w="2689" w:type="dxa"/>
            <w:hideMark/>
          </w:tcPr>
          <w:p w14:paraId="4A921A3A" w14:textId="77777777" w:rsidR="00BA22A9" w:rsidRPr="005A4E9E" w:rsidRDefault="00BA22A9" w:rsidP="00BA22A9">
            <w:pPr>
              <w:rPr>
                <w:rFonts w:ascii="Arial" w:eastAsia="Calibri" w:hAnsi="Arial" w:cs="Arial"/>
                <w:sz w:val="22"/>
              </w:rPr>
            </w:pPr>
            <w:r w:rsidRPr="005A4E9E">
              <w:rPr>
                <w:rFonts w:ascii="Arial" w:eastAsia="Calibri" w:hAnsi="Arial" w:cs="Arial"/>
                <w:b/>
                <w:sz w:val="22"/>
              </w:rPr>
              <w:t>Temas:</w:t>
            </w:r>
            <w:r w:rsidRPr="005A4E9E">
              <w:rPr>
                <w:rFonts w:ascii="Arial" w:eastAsia="Calibri" w:hAnsi="Arial" w:cs="Arial"/>
                <w:sz w:val="22"/>
              </w:rPr>
              <w:t xml:space="preserve">              </w:t>
            </w:r>
          </w:p>
        </w:tc>
        <w:tc>
          <w:tcPr>
            <w:tcW w:w="6237" w:type="dxa"/>
            <w:hideMark/>
          </w:tcPr>
          <w:p w14:paraId="6204F950" w14:textId="6BC7DABD" w:rsidR="00BA22A9" w:rsidRPr="005A4E9E" w:rsidRDefault="00A43FA8" w:rsidP="00FB781F">
            <w:pPr>
              <w:jc w:val="both"/>
              <w:rPr>
                <w:rFonts w:ascii="Arial" w:eastAsia="Calibri" w:hAnsi="Arial" w:cs="Arial"/>
                <w:sz w:val="22"/>
                <w:lang w:val="es-ES_tradnl"/>
              </w:rPr>
            </w:pPr>
            <w:r w:rsidRPr="005A4E9E">
              <w:rPr>
                <w:rFonts w:ascii="Arial" w:eastAsia="Calibri" w:hAnsi="Arial" w:cs="Arial"/>
                <w:sz w:val="22"/>
              </w:rPr>
              <w:t xml:space="preserve">PRINCIPIO DE SELECCIÓN OBJETIVA ― Fundamento ― Alcance / SUBSANABILIDAD ― Concepto de unificación ― Aplicación ― Improcedencia ― Circunstancias posteriores al cierre / MECANISMO DE SUBASTA </w:t>
            </w:r>
            <w:r w:rsidR="00ED7D3C" w:rsidRPr="005A4E9E">
              <w:rPr>
                <w:rFonts w:ascii="Arial" w:eastAsia="Calibri" w:hAnsi="Arial" w:cs="Arial"/>
                <w:sz w:val="22"/>
              </w:rPr>
              <w:t>INVERSA</w:t>
            </w:r>
            <w:r w:rsidRPr="005A4E9E">
              <w:rPr>
                <w:rFonts w:ascii="Arial" w:eastAsia="Calibri" w:hAnsi="Arial" w:cs="Arial"/>
                <w:sz w:val="22"/>
              </w:rPr>
              <w:t>— Regla de subsanabilidad</w:t>
            </w:r>
          </w:p>
        </w:tc>
      </w:tr>
      <w:tr w:rsidR="00A43FA8" w:rsidRPr="005A4E9E" w14:paraId="53A30614" w14:textId="77777777" w:rsidTr="00C313BC">
        <w:trPr>
          <w:trHeight w:val="225"/>
        </w:trPr>
        <w:tc>
          <w:tcPr>
            <w:tcW w:w="2689" w:type="dxa"/>
          </w:tcPr>
          <w:p w14:paraId="0C1A4A11" w14:textId="77777777" w:rsidR="00BA22A9" w:rsidRPr="005A4E9E" w:rsidRDefault="00BA22A9" w:rsidP="00BA22A9">
            <w:pPr>
              <w:rPr>
                <w:rFonts w:ascii="Arial" w:eastAsia="Calibri" w:hAnsi="Arial" w:cs="Arial"/>
                <w:b/>
                <w:sz w:val="22"/>
              </w:rPr>
            </w:pPr>
            <w:r w:rsidRPr="005A4E9E">
              <w:rPr>
                <w:rFonts w:ascii="Arial" w:eastAsia="Calibri" w:hAnsi="Arial" w:cs="Arial"/>
                <w:b/>
                <w:sz w:val="22"/>
              </w:rPr>
              <w:t>Radicación:</w:t>
            </w:r>
            <w:r w:rsidRPr="005A4E9E">
              <w:rPr>
                <w:rFonts w:ascii="Arial" w:eastAsia="Calibri" w:hAnsi="Arial" w:cs="Arial"/>
                <w:sz w:val="22"/>
              </w:rPr>
              <w:t xml:space="preserve">                              </w:t>
            </w:r>
          </w:p>
        </w:tc>
        <w:tc>
          <w:tcPr>
            <w:tcW w:w="6237" w:type="dxa"/>
          </w:tcPr>
          <w:p w14:paraId="67982A7E" w14:textId="4CB34B8B" w:rsidR="00BA22A9" w:rsidRPr="005A4E9E" w:rsidRDefault="00BA22A9" w:rsidP="00BA22A9">
            <w:pPr>
              <w:jc w:val="both"/>
              <w:rPr>
                <w:rFonts w:ascii="Arial" w:eastAsia="Calibri" w:hAnsi="Arial" w:cs="Arial"/>
                <w:sz w:val="22"/>
              </w:rPr>
            </w:pPr>
            <w:r w:rsidRPr="005A4E9E">
              <w:rPr>
                <w:rFonts w:ascii="Arial" w:eastAsia="Calibri" w:hAnsi="Arial" w:cs="Arial"/>
                <w:sz w:val="22"/>
              </w:rPr>
              <w:t>Respuesta consulta # 420201</w:t>
            </w:r>
            <w:r w:rsidR="00746528" w:rsidRPr="005A4E9E">
              <w:rPr>
                <w:rFonts w:ascii="Arial" w:eastAsia="Calibri" w:hAnsi="Arial" w:cs="Arial"/>
                <w:sz w:val="22"/>
              </w:rPr>
              <w:t>3</w:t>
            </w:r>
            <w:r w:rsidRPr="005A4E9E">
              <w:rPr>
                <w:rFonts w:ascii="Arial" w:eastAsia="Calibri" w:hAnsi="Arial" w:cs="Arial"/>
                <w:sz w:val="22"/>
              </w:rPr>
              <w:t>00000</w:t>
            </w:r>
            <w:r w:rsidR="00746528" w:rsidRPr="005A4E9E">
              <w:rPr>
                <w:rFonts w:ascii="Arial" w:eastAsia="Calibri" w:hAnsi="Arial" w:cs="Arial"/>
                <w:sz w:val="22"/>
              </w:rPr>
              <w:t>3993</w:t>
            </w:r>
            <w:r w:rsidRPr="005A4E9E">
              <w:rPr>
                <w:rFonts w:ascii="Arial" w:eastAsia="Calibri" w:hAnsi="Arial" w:cs="Arial"/>
                <w:sz w:val="22"/>
              </w:rPr>
              <w:t xml:space="preserve"> </w:t>
            </w:r>
          </w:p>
        </w:tc>
      </w:tr>
    </w:tbl>
    <w:p w14:paraId="3E569C76" w14:textId="632E005B" w:rsidR="000D6359" w:rsidRPr="005A4E9E" w:rsidRDefault="000D6359" w:rsidP="00E549E9">
      <w:pPr>
        <w:spacing w:before="120" w:line="276" w:lineRule="auto"/>
        <w:rPr>
          <w:rFonts w:ascii="Arial" w:eastAsia="Calibri" w:hAnsi="Arial" w:cs="Arial"/>
          <w:sz w:val="22"/>
        </w:rPr>
      </w:pPr>
    </w:p>
    <w:p w14:paraId="4C4253CA" w14:textId="49913486" w:rsidR="00BA22A9" w:rsidRPr="005A4E9E" w:rsidRDefault="00BA22A9" w:rsidP="00E549E9">
      <w:pPr>
        <w:spacing w:before="120" w:line="276" w:lineRule="auto"/>
        <w:rPr>
          <w:rFonts w:ascii="Arial" w:eastAsia="Calibri" w:hAnsi="Arial" w:cs="Arial"/>
          <w:sz w:val="22"/>
        </w:rPr>
      </w:pPr>
      <w:r w:rsidRPr="005A4E9E">
        <w:rPr>
          <w:rFonts w:ascii="Arial" w:eastAsia="Calibri" w:hAnsi="Arial" w:cs="Arial"/>
          <w:sz w:val="22"/>
        </w:rPr>
        <w:t>Estimad</w:t>
      </w:r>
      <w:r w:rsidR="00746528" w:rsidRPr="005A4E9E">
        <w:rPr>
          <w:rFonts w:ascii="Arial" w:eastAsia="Calibri" w:hAnsi="Arial" w:cs="Arial"/>
          <w:sz w:val="22"/>
        </w:rPr>
        <w:t>o</w:t>
      </w:r>
      <w:r w:rsidRPr="005A4E9E">
        <w:rPr>
          <w:rFonts w:ascii="Arial" w:eastAsia="Calibri" w:hAnsi="Arial" w:cs="Arial"/>
          <w:sz w:val="22"/>
        </w:rPr>
        <w:t xml:space="preserve"> señ</w:t>
      </w:r>
      <w:r w:rsidR="003F1E6F" w:rsidRPr="005A4E9E">
        <w:rPr>
          <w:rFonts w:ascii="Arial" w:eastAsia="Calibri" w:hAnsi="Arial" w:cs="Arial"/>
          <w:sz w:val="22"/>
        </w:rPr>
        <w:t xml:space="preserve">or </w:t>
      </w:r>
      <w:r w:rsidR="00746528" w:rsidRPr="005A4E9E">
        <w:rPr>
          <w:rFonts w:ascii="Arial" w:eastAsia="Calibri" w:hAnsi="Arial" w:cs="Arial"/>
          <w:sz w:val="22"/>
        </w:rPr>
        <w:t>Escobar</w:t>
      </w:r>
    </w:p>
    <w:p w14:paraId="7E0DDA0E" w14:textId="77777777" w:rsidR="00D2522E" w:rsidRPr="005A4E9E" w:rsidRDefault="00D2522E" w:rsidP="00D2522E">
      <w:pPr>
        <w:spacing w:line="276" w:lineRule="auto"/>
        <w:jc w:val="both"/>
        <w:rPr>
          <w:rFonts w:ascii="Arial" w:eastAsia="Calibri" w:hAnsi="Arial" w:cs="Arial"/>
          <w:sz w:val="22"/>
        </w:rPr>
      </w:pPr>
    </w:p>
    <w:p w14:paraId="27953E95" w14:textId="427BD5EF" w:rsidR="00BA22A9" w:rsidRPr="005A4E9E" w:rsidRDefault="00BA22A9" w:rsidP="00D2522E">
      <w:pPr>
        <w:spacing w:line="276" w:lineRule="auto"/>
        <w:jc w:val="both"/>
        <w:rPr>
          <w:rFonts w:ascii="Arial" w:eastAsia="Calibri" w:hAnsi="Arial" w:cs="Arial"/>
          <w:sz w:val="22"/>
        </w:rPr>
      </w:pPr>
      <w:r w:rsidRPr="005A4E9E">
        <w:rPr>
          <w:rFonts w:ascii="Arial" w:eastAsia="Calibri" w:hAnsi="Arial" w:cs="Arial"/>
          <w:sz w:val="22"/>
        </w:rPr>
        <w:t>La Agencia Nacional de Contratación Pública — Colombia Compra Eficiente responde su consulta</w:t>
      </w:r>
      <w:r w:rsidR="00B4236B" w:rsidRPr="005A4E9E">
        <w:rPr>
          <w:rFonts w:ascii="Arial" w:eastAsia="Calibri" w:hAnsi="Arial" w:cs="Arial"/>
          <w:sz w:val="22"/>
        </w:rPr>
        <w:t xml:space="preserve"> </w:t>
      </w:r>
      <w:r w:rsidRPr="005A4E9E">
        <w:rPr>
          <w:rFonts w:ascii="Arial" w:eastAsia="Calibri" w:hAnsi="Arial" w:cs="Arial"/>
          <w:sz w:val="22"/>
        </w:rPr>
        <w:t>de</w:t>
      </w:r>
      <w:r w:rsidR="007E6773" w:rsidRPr="005A4E9E">
        <w:rPr>
          <w:rFonts w:ascii="Arial" w:eastAsia="Calibri" w:hAnsi="Arial" w:cs="Arial"/>
          <w:sz w:val="22"/>
        </w:rPr>
        <w:t xml:space="preserve"> </w:t>
      </w:r>
      <w:r w:rsidR="00746528" w:rsidRPr="005A4E9E">
        <w:rPr>
          <w:rFonts w:ascii="Arial" w:eastAsia="Calibri" w:hAnsi="Arial" w:cs="Arial"/>
          <w:sz w:val="22"/>
        </w:rPr>
        <w:t>2</w:t>
      </w:r>
      <w:r w:rsidR="00A90C55" w:rsidRPr="005A4E9E">
        <w:rPr>
          <w:rFonts w:ascii="Arial" w:eastAsia="Calibri" w:hAnsi="Arial" w:cs="Arial"/>
          <w:sz w:val="22"/>
        </w:rPr>
        <w:t>0</w:t>
      </w:r>
      <w:r w:rsidRPr="005A4E9E">
        <w:rPr>
          <w:rFonts w:ascii="Arial" w:eastAsia="Calibri" w:hAnsi="Arial" w:cs="Arial"/>
          <w:sz w:val="22"/>
        </w:rPr>
        <w:t xml:space="preserve"> de </w:t>
      </w:r>
      <w:r w:rsidR="00A90C55" w:rsidRPr="005A4E9E">
        <w:rPr>
          <w:rFonts w:ascii="Arial" w:eastAsia="Calibri" w:hAnsi="Arial" w:cs="Arial"/>
          <w:sz w:val="22"/>
        </w:rPr>
        <w:t>m</w:t>
      </w:r>
      <w:r w:rsidR="00746528" w:rsidRPr="005A4E9E">
        <w:rPr>
          <w:rFonts w:ascii="Arial" w:eastAsia="Calibri" w:hAnsi="Arial" w:cs="Arial"/>
          <w:sz w:val="22"/>
        </w:rPr>
        <w:t>ayo</w:t>
      </w:r>
      <w:r w:rsidRPr="005A4E9E">
        <w:rPr>
          <w:rFonts w:ascii="Arial" w:eastAsia="Calibri" w:hAnsi="Arial" w:cs="Arial"/>
          <w:sz w:val="22"/>
        </w:rPr>
        <w:t xml:space="preserve"> de 2020</w:t>
      </w:r>
      <w:r w:rsidR="00C25D13" w:rsidRPr="005A4E9E">
        <w:rPr>
          <w:rFonts w:ascii="Arial" w:eastAsia="Calibri" w:hAnsi="Arial" w:cs="Arial"/>
          <w:sz w:val="22"/>
        </w:rPr>
        <w:t>, en ejercicio de la competencia otorgada por el numeral</w:t>
      </w:r>
      <w:r w:rsidR="003A6C1F" w:rsidRPr="005A4E9E">
        <w:rPr>
          <w:rFonts w:ascii="Arial" w:eastAsia="Calibri" w:hAnsi="Arial" w:cs="Arial"/>
          <w:sz w:val="22"/>
        </w:rPr>
        <w:t xml:space="preserve"> 5 del </w:t>
      </w:r>
      <w:r w:rsidR="00F55B6E" w:rsidRPr="005A4E9E">
        <w:rPr>
          <w:rFonts w:ascii="Arial" w:eastAsia="Calibri" w:hAnsi="Arial" w:cs="Arial"/>
          <w:sz w:val="22"/>
        </w:rPr>
        <w:t xml:space="preserve">artículo </w:t>
      </w:r>
      <w:r w:rsidR="00AF2089" w:rsidRPr="005A4E9E">
        <w:rPr>
          <w:rFonts w:ascii="Arial" w:eastAsia="Calibri" w:hAnsi="Arial" w:cs="Arial"/>
          <w:sz w:val="22"/>
        </w:rPr>
        <w:t xml:space="preserve">3 y </w:t>
      </w:r>
      <w:r w:rsidR="00BB4E71" w:rsidRPr="005A4E9E">
        <w:rPr>
          <w:rFonts w:ascii="Arial" w:eastAsia="Calibri" w:hAnsi="Arial" w:cs="Arial"/>
          <w:sz w:val="22"/>
        </w:rPr>
        <w:t xml:space="preserve">por </w:t>
      </w:r>
      <w:r w:rsidR="00AF2089" w:rsidRPr="005A4E9E">
        <w:rPr>
          <w:rFonts w:ascii="Arial" w:eastAsia="Calibri" w:hAnsi="Arial" w:cs="Arial"/>
          <w:sz w:val="22"/>
        </w:rPr>
        <w:t>el numeral 8 del artículo</w:t>
      </w:r>
      <w:r w:rsidR="0038689A" w:rsidRPr="005A4E9E">
        <w:rPr>
          <w:rFonts w:ascii="Arial" w:eastAsia="Calibri" w:hAnsi="Arial" w:cs="Arial"/>
          <w:sz w:val="22"/>
        </w:rPr>
        <w:t xml:space="preserve"> 11</w:t>
      </w:r>
      <w:r w:rsidR="005C5EB0" w:rsidRPr="005A4E9E">
        <w:rPr>
          <w:rFonts w:ascii="Arial" w:eastAsia="Calibri" w:hAnsi="Arial" w:cs="Arial"/>
          <w:sz w:val="22"/>
        </w:rPr>
        <w:t xml:space="preserve"> del Decreto 4170 de 2011.</w:t>
      </w:r>
    </w:p>
    <w:p w14:paraId="74D36A29" w14:textId="77777777" w:rsidR="0081775B" w:rsidRPr="005A4E9E" w:rsidRDefault="0081775B" w:rsidP="00610361">
      <w:pPr>
        <w:spacing w:line="276" w:lineRule="auto"/>
        <w:jc w:val="both"/>
        <w:rPr>
          <w:rFonts w:ascii="Arial" w:eastAsia="Calibri" w:hAnsi="Arial" w:cs="Arial"/>
          <w:sz w:val="22"/>
        </w:rPr>
      </w:pPr>
    </w:p>
    <w:p w14:paraId="238E9792" w14:textId="77777777" w:rsidR="00BA22A9" w:rsidRPr="005A4E9E" w:rsidRDefault="00BA22A9" w:rsidP="006B4A03">
      <w:pPr>
        <w:pStyle w:val="Prrafodelista"/>
        <w:numPr>
          <w:ilvl w:val="0"/>
          <w:numId w:val="8"/>
        </w:numPr>
        <w:tabs>
          <w:tab w:val="left" w:pos="284"/>
        </w:tabs>
        <w:spacing w:line="276" w:lineRule="auto"/>
        <w:ind w:left="0" w:firstLine="0"/>
        <w:rPr>
          <w:rFonts w:ascii="Arial" w:eastAsia="Calibri" w:hAnsi="Arial" w:cs="Arial"/>
          <w:b/>
          <w:sz w:val="22"/>
        </w:rPr>
      </w:pPr>
      <w:r w:rsidRPr="005A4E9E">
        <w:rPr>
          <w:rFonts w:ascii="Arial" w:eastAsia="Calibri" w:hAnsi="Arial" w:cs="Arial"/>
          <w:b/>
          <w:sz w:val="22"/>
        </w:rPr>
        <w:t>Problemas planteados</w:t>
      </w:r>
    </w:p>
    <w:p w14:paraId="0CD10723" w14:textId="44D40736" w:rsidR="00746528" w:rsidRPr="005A4E9E" w:rsidRDefault="0018523C" w:rsidP="00A90C55">
      <w:pPr>
        <w:spacing w:before="120" w:line="276" w:lineRule="auto"/>
        <w:jc w:val="both"/>
        <w:rPr>
          <w:rFonts w:ascii="Arial" w:eastAsia="Calibri" w:hAnsi="Arial" w:cs="Arial"/>
          <w:sz w:val="22"/>
        </w:rPr>
      </w:pPr>
      <w:r w:rsidRPr="005A4E9E">
        <w:rPr>
          <w:rFonts w:ascii="Arial" w:eastAsia="Calibri" w:hAnsi="Arial" w:cs="Arial"/>
          <w:sz w:val="22"/>
        </w:rPr>
        <w:t xml:space="preserve">Usted plantea los interrogantes que se transcriben </w:t>
      </w:r>
      <w:r w:rsidRPr="005A4E9E">
        <w:rPr>
          <w:rFonts w:ascii="Arial" w:eastAsia="Calibri" w:hAnsi="Arial" w:cs="Arial"/>
          <w:i/>
          <w:iCs/>
          <w:sz w:val="22"/>
        </w:rPr>
        <w:t>in extenso</w:t>
      </w:r>
      <w:r w:rsidRPr="005A4E9E">
        <w:rPr>
          <w:rFonts w:ascii="Arial" w:eastAsia="Calibri" w:hAnsi="Arial" w:cs="Arial"/>
          <w:sz w:val="22"/>
        </w:rPr>
        <w:t>, relacionados con la regla de subsanabilidad en procesos de selección en los se haga uso del mecanismo de subasta inversa</w:t>
      </w:r>
      <w:r w:rsidR="0081775B" w:rsidRPr="005A4E9E">
        <w:rPr>
          <w:rFonts w:ascii="Arial" w:eastAsia="Calibri" w:hAnsi="Arial" w:cs="Arial"/>
          <w:sz w:val="22"/>
        </w:rPr>
        <w:t xml:space="preserve"> y la posibilidad de que las sociedades de reciente constitución acrediten la experiencia de sus socios</w:t>
      </w:r>
    </w:p>
    <w:p w14:paraId="1689A641" w14:textId="77777777" w:rsidR="00315CA7" w:rsidRPr="005A4E9E" w:rsidRDefault="00315CA7" w:rsidP="0081775B">
      <w:pPr>
        <w:autoSpaceDE w:val="0"/>
        <w:autoSpaceDN w:val="0"/>
        <w:adjustRightInd w:val="0"/>
        <w:ind w:left="709" w:right="709"/>
        <w:jc w:val="both"/>
        <w:rPr>
          <w:rFonts w:ascii="Arial" w:eastAsia="Calibri" w:hAnsi="Arial" w:cs="Arial"/>
          <w:sz w:val="21"/>
          <w:szCs w:val="21"/>
        </w:rPr>
      </w:pPr>
    </w:p>
    <w:p w14:paraId="57DCCFB2" w14:textId="2EA1F6E6" w:rsidR="0018523C" w:rsidRPr="005A4E9E" w:rsidRDefault="00A90C55" w:rsidP="00315CA7">
      <w:pPr>
        <w:autoSpaceDE w:val="0"/>
        <w:autoSpaceDN w:val="0"/>
        <w:adjustRightInd w:val="0"/>
        <w:ind w:left="709" w:right="709"/>
        <w:jc w:val="both"/>
        <w:rPr>
          <w:rFonts w:ascii="Arial" w:eastAsia="Calibri" w:hAnsi="Arial" w:cs="Arial"/>
          <w:sz w:val="21"/>
          <w:szCs w:val="21"/>
        </w:rPr>
      </w:pPr>
      <w:r w:rsidRPr="005A4E9E">
        <w:rPr>
          <w:rFonts w:ascii="Arial" w:eastAsia="Calibri" w:hAnsi="Arial" w:cs="Arial"/>
          <w:sz w:val="21"/>
          <w:szCs w:val="21"/>
        </w:rPr>
        <w:t>«</w:t>
      </w:r>
      <w:r w:rsidR="0018523C" w:rsidRPr="005A4E9E">
        <w:rPr>
          <w:rFonts w:ascii="Arial" w:eastAsia="Calibri" w:hAnsi="Arial" w:cs="Arial"/>
          <w:sz w:val="21"/>
          <w:szCs w:val="21"/>
        </w:rPr>
        <w:t>PREGUNTA No. 1</w:t>
      </w:r>
    </w:p>
    <w:p w14:paraId="38849EB5"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2E6C0283" w14:textId="51BC1BD5"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Pregunta No.1: Existe un término establecido por la Ley o Jurisprudencia que establezca el tiempo exacto que tienen los oferentes para Subsanar previamente a la Subasta Inversa Electrónica?</w:t>
      </w:r>
    </w:p>
    <w:p w14:paraId="4BA3B8BA"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7399FB97" w14:textId="787A4302" w:rsidR="00EE22BA" w:rsidRPr="005A4E9E" w:rsidRDefault="0018523C" w:rsidP="00315CA7">
      <w:pPr>
        <w:autoSpaceDE w:val="0"/>
        <w:autoSpaceDN w:val="0"/>
        <w:adjustRightInd w:val="0"/>
        <w:ind w:left="709" w:right="709"/>
        <w:jc w:val="both"/>
        <w:rPr>
          <w:rFonts w:ascii="Arial" w:eastAsia="Calibri" w:hAnsi="Arial" w:cs="Arial"/>
          <w:sz w:val="21"/>
          <w:szCs w:val="21"/>
        </w:rPr>
      </w:pPr>
      <w:r w:rsidRPr="005A4E9E">
        <w:rPr>
          <w:rFonts w:ascii="Arial" w:hAnsi="Arial" w:cs="Arial"/>
          <w:sz w:val="21"/>
          <w:szCs w:val="21"/>
          <w:lang w:val="es-CO"/>
        </w:rPr>
        <w:t>Pregunta No.1.1: De no encontrarse determinado, manifestar si es posible que la Entidad no</w:t>
      </w:r>
      <w:r w:rsidR="0081775B" w:rsidRPr="005A4E9E">
        <w:rPr>
          <w:rFonts w:ascii="Arial" w:hAnsi="Arial" w:cs="Arial"/>
          <w:sz w:val="21"/>
          <w:szCs w:val="21"/>
          <w:lang w:val="es-CO"/>
        </w:rPr>
        <w:t xml:space="preserve"> </w:t>
      </w:r>
      <w:r w:rsidRPr="005A4E9E">
        <w:rPr>
          <w:rFonts w:ascii="Arial" w:hAnsi="Arial" w:cs="Arial"/>
          <w:sz w:val="21"/>
          <w:szCs w:val="21"/>
          <w:lang w:val="es-CO"/>
        </w:rPr>
        <w:t>permita subsanar nuevas observaciones subsanables presentadas en el Informe de evaluación e</w:t>
      </w:r>
      <w:r w:rsidR="0081775B" w:rsidRPr="005A4E9E">
        <w:rPr>
          <w:rFonts w:ascii="Arial" w:hAnsi="Arial" w:cs="Arial"/>
          <w:sz w:val="21"/>
          <w:szCs w:val="21"/>
          <w:lang w:val="es-CO"/>
        </w:rPr>
        <w:t xml:space="preserve"> </w:t>
      </w:r>
      <w:r w:rsidRPr="005A4E9E">
        <w:rPr>
          <w:rFonts w:ascii="Arial" w:hAnsi="Arial" w:cs="Arial"/>
          <w:sz w:val="21"/>
          <w:szCs w:val="21"/>
          <w:lang w:val="es-CO"/>
        </w:rPr>
        <w:t>inmediatamente proceda a la publicación de la lista de habilitados. Esto, dentro del marco de una</w:t>
      </w:r>
      <w:r w:rsidR="0081775B" w:rsidRPr="005A4E9E">
        <w:rPr>
          <w:rFonts w:ascii="Arial" w:hAnsi="Arial" w:cs="Arial"/>
          <w:sz w:val="21"/>
          <w:szCs w:val="21"/>
          <w:lang w:val="es-CO"/>
        </w:rPr>
        <w:t xml:space="preserve"> </w:t>
      </w:r>
      <w:r w:rsidRPr="005A4E9E">
        <w:rPr>
          <w:rFonts w:ascii="Arial" w:hAnsi="Arial" w:cs="Arial"/>
          <w:sz w:val="21"/>
          <w:szCs w:val="21"/>
          <w:lang w:val="es-CO"/>
        </w:rPr>
        <w:t>Subasta Inversa electrónica. Partiendo del principio que el informe de evaluación observa algo nuevo, no identificado previamente por el Comité Evaluador.</w:t>
      </w:r>
    </w:p>
    <w:p w14:paraId="55CDB0EF"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48F071C9" w14:textId="2854BC6F"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 xml:space="preserve">PREGUNTA No. 2: </w:t>
      </w:r>
    </w:p>
    <w:p w14:paraId="413F7DBF"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4C2EEF26" w14:textId="4F09AD05"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Supuesto de hecho: Supongamos que, dentro del Curso de un Proceso de Selección abreviada por Subasta Inversa electrónica, la Entidad presenta en su primer informe de evaluación presenta distintas observaciones todas subsanables, en el segundo informe de evaluación emite pronunciamiento manifestando que efectivamente el oferente subsano, sin embargo, en el tercer informe el mismo comité se retracta de lo manifestado en el segundo informe y observa algo contrario a este informe.</w:t>
      </w:r>
    </w:p>
    <w:p w14:paraId="7DA5FFC2"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0F50F45A" w14:textId="6164E070" w:rsidR="0018523C" w:rsidRPr="005A4E9E" w:rsidRDefault="0018523C" w:rsidP="00315CA7">
      <w:pPr>
        <w:autoSpaceDE w:val="0"/>
        <w:autoSpaceDN w:val="0"/>
        <w:adjustRightInd w:val="0"/>
        <w:ind w:left="709" w:right="709"/>
        <w:jc w:val="both"/>
        <w:rPr>
          <w:rFonts w:ascii="Arial" w:eastAsia="Calibri" w:hAnsi="Arial" w:cs="Arial"/>
          <w:sz w:val="21"/>
          <w:szCs w:val="21"/>
        </w:rPr>
      </w:pPr>
      <w:r w:rsidRPr="005A4E9E">
        <w:rPr>
          <w:rFonts w:ascii="Arial" w:hAnsi="Arial" w:cs="Arial"/>
          <w:sz w:val="21"/>
          <w:szCs w:val="21"/>
          <w:lang w:val="es-CO"/>
        </w:rPr>
        <w:lastRenderedPageBreak/>
        <w:t>Pregunta: Es legal que no exista coordinación y coherencia entre las distintas observaciones</w:t>
      </w:r>
      <w:r w:rsidR="0081775B" w:rsidRPr="005A4E9E">
        <w:rPr>
          <w:rFonts w:ascii="Arial" w:hAnsi="Arial" w:cs="Arial"/>
          <w:sz w:val="21"/>
          <w:szCs w:val="21"/>
          <w:lang w:val="es-CO"/>
        </w:rPr>
        <w:t xml:space="preserve"> </w:t>
      </w:r>
      <w:r w:rsidRPr="005A4E9E">
        <w:rPr>
          <w:rFonts w:ascii="Arial" w:hAnsi="Arial" w:cs="Arial"/>
          <w:sz w:val="21"/>
          <w:szCs w:val="21"/>
          <w:lang w:val="es-CO"/>
        </w:rPr>
        <w:t>en cada informe de evaluación? O si por el contrario, es arbitrario que la Entidad se contradiga y</w:t>
      </w:r>
      <w:r w:rsidR="0081775B" w:rsidRPr="005A4E9E">
        <w:rPr>
          <w:rFonts w:ascii="Arial" w:hAnsi="Arial" w:cs="Arial"/>
          <w:sz w:val="21"/>
          <w:szCs w:val="21"/>
          <w:lang w:val="es-CO"/>
        </w:rPr>
        <w:t xml:space="preserve"> </w:t>
      </w:r>
      <w:r w:rsidRPr="005A4E9E">
        <w:rPr>
          <w:rFonts w:ascii="Arial" w:hAnsi="Arial" w:cs="Arial"/>
          <w:sz w:val="21"/>
          <w:szCs w:val="21"/>
          <w:lang w:val="es-CO"/>
        </w:rPr>
        <w:t>cada vez le sea exigido subsanar cosas al oferente que para la Entidad ya se encontraban subsanadas y se habían determinado como “CUMPLE”?</w:t>
      </w:r>
    </w:p>
    <w:p w14:paraId="30F6C4CA" w14:textId="53FFD74A" w:rsidR="0018523C" w:rsidRPr="005A4E9E" w:rsidRDefault="0018523C" w:rsidP="00315CA7">
      <w:pPr>
        <w:ind w:left="709" w:right="709"/>
        <w:jc w:val="both"/>
        <w:rPr>
          <w:rFonts w:ascii="Arial" w:eastAsia="Calibri" w:hAnsi="Arial" w:cs="Arial"/>
          <w:sz w:val="21"/>
          <w:szCs w:val="21"/>
        </w:rPr>
      </w:pPr>
    </w:p>
    <w:p w14:paraId="5080B970" w14:textId="77777777" w:rsidR="0081775B" w:rsidRPr="005A4E9E" w:rsidRDefault="0018523C" w:rsidP="00315CA7">
      <w:pPr>
        <w:ind w:left="709" w:right="709"/>
        <w:jc w:val="both"/>
        <w:rPr>
          <w:rFonts w:ascii="Arial" w:eastAsia="Calibri" w:hAnsi="Arial" w:cs="Arial"/>
          <w:sz w:val="21"/>
          <w:szCs w:val="21"/>
        </w:rPr>
      </w:pPr>
      <w:r w:rsidRPr="005A4E9E">
        <w:rPr>
          <w:rFonts w:ascii="Arial" w:eastAsia="Calibri" w:hAnsi="Arial" w:cs="Arial"/>
          <w:sz w:val="21"/>
          <w:szCs w:val="21"/>
        </w:rPr>
        <w:t>PREGUNTA No. 3</w:t>
      </w:r>
    </w:p>
    <w:p w14:paraId="63F6D3AA" w14:textId="501F0146" w:rsidR="0081775B" w:rsidRPr="005A4E9E" w:rsidRDefault="0018523C" w:rsidP="00315CA7">
      <w:pPr>
        <w:ind w:left="709" w:right="709"/>
        <w:jc w:val="both"/>
        <w:rPr>
          <w:rFonts w:ascii="Arial" w:eastAsia="Calibri" w:hAnsi="Arial" w:cs="Arial"/>
          <w:sz w:val="21"/>
          <w:szCs w:val="21"/>
        </w:rPr>
      </w:pPr>
      <w:r w:rsidRPr="005A4E9E">
        <w:rPr>
          <w:rFonts w:ascii="Arial" w:eastAsia="Calibri" w:hAnsi="Arial" w:cs="Arial"/>
          <w:sz w:val="21"/>
          <w:szCs w:val="21"/>
        </w:rPr>
        <w:t xml:space="preserve"> </w:t>
      </w:r>
    </w:p>
    <w:p w14:paraId="127A8B1D" w14:textId="2EADFE05" w:rsidR="0018523C" w:rsidRPr="005A4E9E" w:rsidRDefault="0018523C" w:rsidP="00315CA7">
      <w:pPr>
        <w:ind w:left="709" w:right="709"/>
        <w:jc w:val="both"/>
        <w:rPr>
          <w:rFonts w:ascii="Arial" w:hAnsi="Arial" w:cs="Arial"/>
          <w:sz w:val="21"/>
          <w:szCs w:val="21"/>
          <w:lang w:val="es-CO"/>
        </w:rPr>
      </w:pPr>
      <w:r w:rsidRPr="005A4E9E">
        <w:rPr>
          <w:rFonts w:ascii="Arial" w:hAnsi="Arial" w:cs="Arial"/>
          <w:sz w:val="21"/>
          <w:szCs w:val="21"/>
          <w:lang w:val="es-CO"/>
        </w:rPr>
        <w:t>Supuesto de hecho: Partiendo de la normativa que establece que los oferentes pueden subsanar hasta antes de la Subasta Inversa, la Entidad publica en SECOP II, el tercer informe de evaluación, en este, profiere pronunciamiento en una nueva observación a uno de los oferentes y este oferente, a su vez, procede inmediatamente a enviar por la Plataforma Secop II a enviar mensaje a la Entidad, manifestándole que se encuentra subsanando y que se suspenda la audiencia de Subasta Inversa hasta que subsane.</w:t>
      </w:r>
    </w:p>
    <w:p w14:paraId="027CD589"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7F370962" w14:textId="7F7EDC9A"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El informe es subido a las 3:04 pm, 3:06 se publica la lista de Habilitados para participar en la</w:t>
      </w:r>
      <w:r w:rsidR="0081775B" w:rsidRPr="005A4E9E">
        <w:rPr>
          <w:rFonts w:ascii="Arial" w:hAnsi="Arial" w:cs="Arial"/>
          <w:sz w:val="21"/>
          <w:szCs w:val="21"/>
          <w:lang w:val="es-CO"/>
        </w:rPr>
        <w:t xml:space="preserve"> </w:t>
      </w:r>
      <w:r w:rsidRPr="005A4E9E">
        <w:rPr>
          <w:rFonts w:ascii="Arial" w:hAnsi="Arial" w:cs="Arial"/>
          <w:sz w:val="21"/>
          <w:szCs w:val="21"/>
          <w:lang w:val="es-CO"/>
        </w:rPr>
        <w:t>Subasta, 3:17 pm, envía el oferente el mensaje diciendo que se encuentra subsanando y a las 3:30</w:t>
      </w:r>
      <w:r w:rsidR="0081775B" w:rsidRPr="005A4E9E">
        <w:rPr>
          <w:rFonts w:ascii="Arial" w:hAnsi="Arial" w:cs="Arial"/>
          <w:sz w:val="21"/>
          <w:szCs w:val="21"/>
          <w:lang w:val="es-CO"/>
        </w:rPr>
        <w:t xml:space="preserve"> </w:t>
      </w:r>
      <w:r w:rsidRPr="005A4E9E">
        <w:rPr>
          <w:rFonts w:ascii="Arial" w:hAnsi="Arial" w:cs="Arial"/>
          <w:sz w:val="21"/>
          <w:szCs w:val="21"/>
          <w:lang w:val="es-CO"/>
        </w:rPr>
        <w:t>pm procede la Entidad a la realización de la Subasta Inversa, sin tener en cuenta el mensaje de dicho oferente.</w:t>
      </w:r>
    </w:p>
    <w:p w14:paraId="6B0FA700"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4FE9D1C2" w14:textId="2DCBF234" w:rsidR="0081775B"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Pregunta No.3: Es valido que la Entidad, no haya tenido en cuenta el mensaje enviado por el</w:t>
      </w:r>
      <w:r w:rsidR="0081775B" w:rsidRPr="005A4E9E">
        <w:rPr>
          <w:rFonts w:ascii="Arial" w:hAnsi="Arial" w:cs="Arial"/>
          <w:sz w:val="21"/>
          <w:szCs w:val="21"/>
          <w:lang w:val="es-CO"/>
        </w:rPr>
        <w:t xml:space="preserve"> </w:t>
      </w:r>
      <w:r w:rsidRPr="005A4E9E">
        <w:rPr>
          <w:rFonts w:ascii="Arial" w:hAnsi="Arial" w:cs="Arial"/>
          <w:sz w:val="21"/>
          <w:szCs w:val="21"/>
          <w:lang w:val="es-CO"/>
        </w:rPr>
        <w:t>oferente a sabiendas que (i) su informe de evaluación había solicitado subsanar una nueva</w:t>
      </w:r>
      <w:r w:rsidR="0081775B" w:rsidRPr="005A4E9E">
        <w:rPr>
          <w:rFonts w:ascii="Arial" w:hAnsi="Arial" w:cs="Arial"/>
          <w:sz w:val="21"/>
          <w:szCs w:val="21"/>
          <w:lang w:val="es-CO"/>
        </w:rPr>
        <w:t xml:space="preserve"> </w:t>
      </w:r>
      <w:r w:rsidRPr="005A4E9E">
        <w:rPr>
          <w:rFonts w:ascii="Arial" w:hAnsi="Arial" w:cs="Arial"/>
          <w:sz w:val="21"/>
          <w:szCs w:val="21"/>
          <w:lang w:val="es-CO"/>
        </w:rPr>
        <w:t>observación (ii) La Ley permite que se subsane hasta antes de la Audiencia de Subasta Inversa y (iii) Que dich</w:t>
      </w:r>
      <w:r w:rsidR="0081775B" w:rsidRPr="005A4E9E">
        <w:rPr>
          <w:rFonts w:ascii="Arial" w:hAnsi="Arial" w:cs="Arial"/>
          <w:sz w:val="21"/>
          <w:szCs w:val="21"/>
          <w:lang w:val="es-CO"/>
        </w:rPr>
        <w:t xml:space="preserve">o </w:t>
      </w:r>
      <w:r w:rsidRPr="005A4E9E">
        <w:rPr>
          <w:rFonts w:ascii="Arial" w:hAnsi="Arial" w:cs="Arial"/>
          <w:sz w:val="21"/>
          <w:szCs w:val="21"/>
          <w:lang w:val="es-CO"/>
        </w:rPr>
        <w:t>proceso de subsanación fue informado a la Entidad antes del inicio de la Subasta Inversa?</w:t>
      </w:r>
      <w:r w:rsidR="0081775B" w:rsidRPr="005A4E9E">
        <w:rPr>
          <w:rFonts w:ascii="Arial" w:hAnsi="Arial" w:cs="Arial"/>
          <w:sz w:val="21"/>
          <w:szCs w:val="21"/>
          <w:lang w:val="es-CO"/>
        </w:rPr>
        <w:t xml:space="preserve"> </w:t>
      </w:r>
    </w:p>
    <w:p w14:paraId="7DBF7B4B" w14:textId="77777777" w:rsidR="0081775B" w:rsidRPr="005A4E9E" w:rsidRDefault="0081775B" w:rsidP="00315CA7">
      <w:pPr>
        <w:autoSpaceDE w:val="0"/>
        <w:autoSpaceDN w:val="0"/>
        <w:adjustRightInd w:val="0"/>
        <w:ind w:left="709" w:right="709"/>
        <w:jc w:val="both"/>
        <w:rPr>
          <w:rFonts w:ascii="Arial" w:hAnsi="Arial" w:cs="Arial"/>
          <w:sz w:val="21"/>
          <w:szCs w:val="21"/>
          <w:lang w:val="es-CO"/>
        </w:rPr>
      </w:pPr>
    </w:p>
    <w:p w14:paraId="4E7D403D" w14:textId="5820CF59"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Si la pregunta es negativa, cual debió haber sido el debido actuar de la Entidad?</w:t>
      </w:r>
    </w:p>
    <w:p w14:paraId="5FD08C5C" w14:textId="5EA59A75" w:rsidR="0018523C" w:rsidRPr="005A4E9E" w:rsidRDefault="0018523C" w:rsidP="00315CA7">
      <w:pPr>
        <w:ind w:left="709" w:right="709"/>
        <w:jc w:val="both"/>
        <w:rPr>
          <w:rFonts w:ascii="Arial" w:hAnsi="Arial" w:cs="Arial"/>
          <w:sz w:val="21"/>
          <w:szCs w:val="21"/>
          <w:lang w:val="es-CO"/>
        </w:rPr>
      </w:pPr>
    </w:p>
    <w:p w14:paraId="07A3D8A8" w14:textId="52C967E9"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PREGUNTA No.4</w:t>
      </w:r>
    </w:p>
    <w:p w14:paraId="13A42D8A"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7B3EB9F8" w14:textId="60821F9A"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El Decreto 1510 de 2013, da la potestad a las sociedades que llevan menos de 3 años de constitución, que sus socios o accionistas, le hagan el traslado de la experiencia. Sin embargo, no hace alusión al traslado de experiencia realizada por una sociedad que se encuentre inhabilitada para contratar con el Estado.</w:t>
      </w:r>
    </w:p>
    <w:p w14:paraId="7B034250"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0930AF0C" w14:textId="1E6137A7"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Pregunta No.4: Es valida el traspaso de experiencia de una sociedad inhabilitada a una nueva</w:t>
      </w:r>
      <w:r w:rsidR="002D61A0" w:rsidRPr="005A4E9E">
        <w:rPr>
          <w:rFonts w:ascii="Arial" w:hAnsi="Arial" w:cs="Arial"/>
          <w:sz w:val="21"/>
          <w:szCs w:val="21"/>
          <w:lang w:val="es-CO"/>
        </w:rPr>
        <w:t xml:space="preserve"> </w:t>
      </w:r>
      <w:r w:rsidRPr="005A4E9E">
        <w:rPr>
          <w:rFonts w:ascii="Arial" w:hAnsi="Arial" w:cs="Arial"/>
          <w:sz w:val="21"/>
          <w:szCs w:val="21"/>
          <w:lang w:val="es-CO"/>
        </w:rPr>
        <w:t>sociedad, para su inscripción en el RUP?</w:t>
      </w:r>
    </w:p>
    <w:p w14:paraId="65AE0A1A"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2BB8238C" w14:textId="4714026E"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PREGUNTA No.5</w:t>
      </w:r>
    </w:p>
    <w:p w14:paraId="3B34DE24"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6D58A6FF" w14:textId="3D5E26E1"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Partiendo del supuesto que a una nueva sociedad le fue transferida la experiencia de uno de sus socios o accionistas, dentro de la potestad otorgada en el Decreto 1510 de 2013 y que esta sociedad cumple su termino de constitución en cuatro meses y desea presentarse a un proceso licitatorio.</w:t>
      </w:r>
    </w:p>
    <w:p w14:paraId="0E03F767" w14:textId="77777777" w:rsidR="0018523C" w:rsidRPr="005A4E9E" w:rsidRDefault="0018523C" w:rsidP="00315CA7">
      <w:pPr>
        <w:autoSpaceDE w:val="0"/>
        <w:autoSpaceDN w:val="0"/>
        <w:adjustRightInd w:val="0"/>
        <w:ind w:left="709" w:right="709"/>
        <w:jc w:val="both"/>
        <w:rPr>
          <w:rFonts w:ascii="Arial" w:hAnsi="Arial" w:cs="Arial"/>
          <w:sz w:val="21"/>
          <w:szCs w:val="21"/>
          <w:lang w:val="es-CO"/>
        </w:rPr>
      </w:pPr>
    </w:p>
    <w:p w14:paraId="12237012" w14:textId="6D9CA60C" w:rsidR="0018523C" w:rsidRPr="005A4E9E" w:rsidRDefault="0018523C" w:rsidP="00315CA7">
      <w:pPr>
        <w:autoSpaceDE w:val="0"/>
        <w:autoSpaceDN w:val="0"/>
        <w:adjustRightInd w:val="0"/>
        <w:ind w:left="709" w:right="709"/>
        <w:jc w:val="both"/>
        <w:rPr>
          <w:rFonts w:ascii="Arial" w:hAnsi="Arial" w:cs="Arial"/>
          <w:sz w:val="21"/>
          <w:szCs w:val="21"/>
          <w:lang w:val="es-CO"/>
        </w:rPr>
      </w:pPr>
      <w:r w:rsidRPr="005A4E9E">
        <w:rPr>
          <w:rFonts w:ascii="Arial" w:hAnsi="Arial" w:cs="Arial"/>
          <w:sz w:val="21"/>
          <w:szCs w:val="21"/>
          <w:lang w:val="es-CO"/>
        </w:rPr>
        <w:t xml:space="preserve">Pregunta No.5: es viable o legal que la Entidad aduzca que no le es aceptada su experiencia por estar pronto a cumplir sus tres años de constitución? Respetuosamente solicito a la Entidad sean respuestas cada una de mis </w:t>
      </w:r>
      <w:r w:rsidRPr="005A4E9E">
        <w:rPr>
          <w:rFonts w:ascii="Arial" w:hAnsi="Arial" w:cs="Arial"/>
          <w:sz w:val="21"/>
          <w:szCs w:val="21"/>
          <w:lang w:val="es-CO"/>
        </w:rPr>
        <w:lastRenderedPageBreak/>
        <w:t>preguntas toda vez que son la base de una investigación para un Proyecto de Grado».</w:t>
      </w:r>
    </w:p>
    <w:p w14:paraId="3D0CC089" w14:textId="77777777" w:rsidR="0018523C" w:rsidRPr="005A4E9E" w:rsidRDefault="0018523C" w:rsidP="009A2449">
      <w:pPr>
        <w:spacing w:line="276" w:lineRule="auto"/>
        <w:ind w:left="709" w:right="709"/>
        <w:jc w:val="both"/>
        <w:rPr>
          <w:rFonts w:ascii="Arial" w:eastAsia="Calibri" w:hAnsi="Arial" w:cs="Arial"/>
          <w:sz w:val="21"/>
          <w:szCs w:val="21"/>
        </w:rPr>
      </w:pPr>
    </w:p>
    <w:p w14:paraId="6D620AD0" w14:textId="77777777" w:rsidR="00BA22A9" w:rsidRPr="005A4E9E"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5A4E9E">
        <w:rPr>
          <w:rFonts w:ascii="Arial" w:eastAsia="Calibri" w:hAnsi="Arial" w:cs="Arial"/>
          <w:b/>
          <w:sz w:val="22"/>
        </w:rPr>
        <w:t>Consideraciones</w:t>
      </w:r>
    </w:p>
    <w:p w14:paraId="272943D1" w14:textId="0DF4364C" w:rsidR="00484856" w:rsidRPr="005A4E9E" w:rsidRDefault="00484856" w:rsidP="00B10353">
      <w:pPr>
        <w:spacing w:line="276" w:lineRule="auto"/>
        <w:jc w:val="both"/>
        <w:rPr>
          <w:rFonts w:ascii="Arial" w:eastAsia="Calibri" w:hAnsi="Arial" w:cs="Arial"/>
          <w:sz w:val="22"/>
        </w:rPr>
      </w:pPr>
    </w:p>
    <w:p w14:paraId="655FC997" w14:textId="26C5811F" w:rsidR="002D61A0" w:rsidRPr="005A4E9E" w:rsidRDefault="002D61A0" w:rsidP="002D61A0">
      <w:pPr>
        <w:spacing w:after="120" w:line="276" w:lineRule="auto"/>
        <w:jc w:val="both"/>
        <w:rPr>
          <w:rFonts w:ascii="Arial" w:eastAsia="Times New Roman" w:hAnsi="Arial" w:cs="Arial"/>
          <w:sz w:val="22"/>
          <w:lang w:eastAsia="es-ES_tradnl"/>
        </w:rPr>
      </w:pPr>
      <w:r w:rsidRPr="005A4E9E">
        <w:rPr>
          <w:rFonts w:ascii="Arial" w:hAnsi="Arial" w:cs="Arial"/>
          <w:sz w:val="22"/>
        </w:rPr>
        <w:t>Antes de proceder al estudio de sus inquietudes, es preciso aclarar que de conformidad con la competencia consultiva otorgada por</w:t>
      </w:r>
      <w:r w:rsidRPr="005A4E9E">
        <w:rPr>
          <w:rFonts w:ascii="Arial" w:eastAsia="Times New Roman" w:hAnsi="Arial"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w:t>
      </w:r>
      <w:bookmarkStart w:id="5" w:name="_Hlk36025847"/>
      <w:r w:rsidRPr="005A4E9E">
        <w:rPr>
          <w:rFonts w:ascii="Arial" w:eastAsia="Times New Roman" w:hAnsi="Arial" w:cs="Arial"/>
          <w:sz w:val="22"/>
          <w:lang w:eastAsia="es-ES_tradnl"/>
        </w:rPr>
        <w:t>«</w:t>
      </w:r>
      <w:bookmarkEnd w:id="5"/>
      <w:r w:rsidRPr="005A4E9E">
        <w:rPr>
          <w:rFonts w:ascii="Arial" w:eastAsia="Times New Roman" w:hAnsi="Arial" w:cs="Arial"/>
          <w:sz w:val="22"/>
          <w:lang w:eastAsia="es-ES_tradnl"/>
        </w:rPr>
        <w:t>absolver consultas sobre la aplicación de normas de carácter general</w:t>
      </w:r>
      <w:bookmarkStart w:id="6" w:name="_Hlk36025941"/>
      <w:r w:rsidRPr="005A4E9E">
        <w:rPr>
          <w:rFonts w:ascii="Arial" w:eastAsia="Times New Roman" w:hAnsi="Arial" w:cs="Arial"/>
          <w:sz w:val="22"/>
          <w:lang w:eastAsia="es-ES_tradnl"/>
        </w:rPr>
        <w:t>»</w:t>
      </w:r>
      <w:bookmarkEnd w:id="6"/>
      <w:r w:rsidRPr="005A4E9E">
        <w:rPr>
          <w:rFonts w:ascii="Arial" w:hAnsi="Arial" w:cs="Arial"/>
          <w:sz w:val="22"/>
          <w:vertAlign w:val="superscript"/>
        </w:rPr>
        <w:footnoteReference w:id="1"/>
      </w:r>
      <w:r w:rsidRPr="005A4E9E">
        <w:rPr>
          <w:rFonts w:ascii="Arial" w:eastAsia="Times New Roman" w:hAnsi="Arial" w:cs="Arial"/>
          <w:sz w:val="22"/>
          <w:lang w:eastAsia="es-ES_tradnl"/>
        </w:rPr>
        <w:t xml:space="preserve">. En ese orden, esta Agencia no tiene competencia para resolver problemas jurídicos específicos que no surjan de la aplicación de alguna norma contractual, o para resolver casos concretos. </w:t>
      </w:r>
    </w:p>
    <w:p w14:paraId="01F73EE2" w14:textId="76E40F4F" w:rsidR="002D61A0" w:rsidRPr="005A4E9E" w:rsidRDefault="002D61A0" w:rsidP="002D61A0">
      <w:pPr>
        <w:spacing w:after="120" w:line="276" w:lineRule="auto"/>
        <w:jc w:val="both"/>
        <w:rPr>
          <w:rFonts w:ascii="Arial" w:eastAsia="Times New Roman" w:hAnsi="Arial" w:cs="Arial"/>
          <w:sz w:val="22"/>
          <w:lang w:eastAsia="es-ES_tradnl"/>
        </w:rPr>
      </w:pPr>
      <w:r w:rsidRPr="005A4E9E">
        <w:rPr>
          <w:rFonts w:ascii="Arial" w:eastAsia="Times New Roman" w:hAnsi="Arial" w:cs="Arial"/>
          <w:sz w:val="22"/>
          <w:lang w:eastAsia="es-ES_tradnl"/>
        </w:rPr>
        <w:tab/>
        <w:t xml:space="preserve">Tal precisión resulta pertinente ya que las preguntas </w:t>
      </w:r>
      <w:r w:rsidR="00315CA7" w:rsidRPr="005A4E9E">
        <w:rPr>
          <w:rFonts w:ascii="Arial" w:eastAsia="Times New Roman" w:hAnsi="Arial" w:cs="Arial"/>
          <w:sz w:val="22"/>
          <w:lang w:eastAsia="es-ES_tradnl"/>
        </w:rPr>
        <w:t xml:space="preserve">1.1, </w:t>
      </w:r>
      <w:r w:rsidRPr="005A4E9E">
        <w:rPr>
          <w:rFonts w:ascii="Arial" w:eastAsia="Times New Roman" w:hAnsi="Arial" w:cs="Arial"/>
          <w:sz w:val="22"/>
          <w:lang w:eastAsia="es-ES_tradnl"/>
        </w:rPr>
        <w:t xml:space="preserve">2 y </w:t>
      </w:r>
      <w:r w:rsidR="00315CA7" w:rsidRPr="005A4E9E">
        <w:rPr>
          <w:rFonts w:ascii="Arial" w:eastAsia="Times New Roman" w:hAnsi="Arial" w:cs="Arial"/>
          <w:sz w:val="22"/>
          <w:lang w:eastAsia="es-ES_tradnl"/>
        </w:rPr>
        <w:t xml:space="preserve">3 parten de </w:t>
      </w:r>
      <w:r w:rsidRPr="005A4E9E">
        <w:rPr>
          <w:rFonts w:ascii="Arial" w:eastAsia="Times New Roman" w:hAnsi="Arial" w:cs="Arial"/>
          <w:sz w:val="22"/>
          <w:lang w:eastAsia="es-ES_tradnl"/>
        </w:rPr>
        <w:t xml:space="preserve">supuestos de hecho </w:t>
      </w:r>
      <w:r w:rsidR="00C26B49" w:rsidRPr="005A4E9E">
        <w:rPr>
          <w:rFonts w:ascii="Arial" w:eastAsia="Times New Roman" w:hAnsi="Arial" w:cs="Arial"/>
          <w:sz w:val="22"/>
          <w:lang w:eastAsia="es-ES_tradnl"/>
        </w:rPr>
        <w:t>que,</w:t>
      </w:r>
      <w:r w:rsidRPr="005A4E9E">
        <w:rPr>
          <w:rFonts w:ascii="Arial" w:eastAsia="Times New Roman" w:hAnsi="Arial" w:cs="Arial"/>
          <w:sz w:val="22"/>
          <w:lang w:eastAsia="es-ES_tradnl"/>
        </w:rPr>
        <w:t xml:space="preserve"> si bien no hacen referencia </w:t>
      </w:r>
      <w:r w:rsidR="00FA0BAC" w:rsidRPr="005A4E9E">
        <w:rPr>
          <w:rFonts w:ascii="Arial" w:eastAsia="Times New Roman" w:hAnsi="Arial" w:cs="Arial"/>
          <w:sz w:val="22"/>
          <w:lang w:eastAsia="es-ES_tradnl"/>
        </w:rPr>
        <w:t xml:space="preserve">a </w:t>
      </w:r>
      <w:r w:rsidRPr="005A4E9E">
        <w:rPr>
          <w:rFonts w:ascii="Arial" w:eastAsia="Times New Roman" w:hAnsi="Arial" w:cs="Arial"/>
          <w:sz w:val="22"/>
          <w:lang w:eastAsia="es-ES_tradnl"/>
        </w:rPr>
        <w:t>entidades o personas en particular, plantean situacione</w:t>
      </w:r>
      <w:r w:rsidR="00315CA7" w:rsidRPr="005A4E9E">
        <w:rPr>
          <w:rFonts w:ascii="Arial" w:eastAsia="Times New Roman" w:hAnsi="Arial" w:cs="Arial"/>
          <w:sz w:val="22"/>
          <w:lang w:eastAsia="es-ES_tradnl"/>
        </w:rPr>
        <w:t>s</w:t>
      </w:r>
      <w:r w:rsidRPr="005A4E9E">
        <w:rPr>
          <w:rFonts w:ascii="Arial" w:eastAsia="Times New Roman" w:hAnsi="Arial" w:cs="Arial"/>
          <w:sz w:val="22"/>
          <w:lang w:eastAsia="es-ES_tradnl"/>
        </w:rPr>
        <w:t xml:space="preserve"> específicas correspondientes a casos concretos, por lo que la resolución de estos interrogantes trasciende de la función consultiva asignada a esta entidad para resolver consultas referidas a la aplicación de normas de carácter general en materia de contratación estatal</w:t>
      </w:r>
      <w:r w:rsidR="007C58D2" w:rsidRPr="005A4E9E">
        <w:rPr>
          <w:rFonts w:ascii="Arial" w:eastAsia="Times New Roman" w:hAnsi="Arial" w:cs="Arial"/>
          <w:sz w:val="22"/>
          <w:lang w:eastAsia="es-ES_tradnl"/>
        </w:rPr>
        <w:t>. Por lo anterior, el presente concepto se limitará a responder los demás interrogantes, haciendo un análisis de las normas que resultan relevantes para su solicitud, con el alcance establecido en el artículo 28 del Código de Procedimiento Administrativo y de lo Contencioso Administrativo.</w:t>
      </w:r>
    </w:p>
    <w:p w14:paraId="02D60E6A" w14:textId="15257D0F" w:rsidR="00A90C55" w:rsidRPr="005A4E9E" w:rsidRDefault="00315CA7" w:rsidP="005B4DC8">
      <w:pPr>
        <w:spacing w:line="276" w:lineRule="auto"/>
        <w:jc w:val="both"/>
        <w:rPr>
          <w:rFonts w:ascii="Arial" w:eastAsia="Calibri" w:hAnsi="Arial" w:cs="Arial"/>
          <w:sz w:val="22"/>
          <w:lang w:val="es-ES_tradnl"/>
        </w:rPr>
      </w:pPr>
      <w:r w:rsidRPr="005A4E9E">
        <w:rPr>
          <w:rFonts w:ascii="Arial" w:eastAsia="Times New Roman" w:hAnsi="Arial" w:cs="Arial"/>
          <w:sz w:val="22"/>
          <w:lang w:eastAsia="es-ES_tradnl"/>
        </w:rPr>
        <w:tab/>
      </w:r>
      <w:r w:rsidR="00504CFE" w:rsidRPr="005A4E9E">
        <w:rPr>
          <w:rFonts w:ascii="Arial" w:hAnsi="Arial" w:cs="Arial"/>
          <w:sz w:val="22"/>
        </w:rPr>
        <w:t xml:space="preserve">Para responder </w:t>
      </w:r>
      <w:r w:rsidR="005B4DC8" w:rsidRPr="005A4E9E">
        <w:rPr>
          <w:rFonts w:ascii="Arial" w:hAnsi="Arial" w:cs="Arial"/>
          <w:sz w:val="22"/>
        </w:rPr>
        <w:t>los</w:t>
      </w:r>
      <w:r w:rsidR="00504CFE" w:rsidRPr="005A4E9E">
        <w:rPr>
          <w:rFonts w:ascii="Arial" w:hAnsi="Arial" w:cs="Arial"/>
          <w:sz w:val="22"/>
        </w:rPr>
        <w:t xml:space="preserve"> interrogante</w:t>
      </w:r>
      <w:r w:rsidR="005B4DC8" w:rsidRPr="005A4E9E">
        <w:rPr>
          <w:rFonts w:ascii="Arial" w:hAnsi="Arial" w:cs="Arial"/>
          <w:sz w:val="22"/>
        </w:rPr>
        <w:t>s</w:t>
      </w:r>
      <w:r w:rsidR="00702675" w:rsidRPr="005A4E9E">
        <w:rPr>
          <w:rFonts w:ascii="Arial" w:hAnsi="Arial" w:cs="Arial"/>
          <w:sz w:val="22"/>
        </w:rPr>
        <w:t xml:space="preserve"> s</w:t>
      </w:r>
      <w:r w:rsidR="00504CFE" w:rsidRPr="005A4E9E">
        <w:rPr>
          <w:rFonts w:ascii="Arial" w:hAnsi="Arial" w:cs="Arial"/>
          <w:sz w:val="22"/>
        </w:rPr>
        <w:t xml:space="preserve">e </w:t>
      </w:r>
      <w:r w:rsidR="00731CBB" w:rsidRPr="005A4E9E">
        <w:rPr>
          <w:rFonts w:ascii="Arial" w:hAnsi="Arial" w:cs="Arial"/>
          <w:sz w:val="22"/>
        </w:rPr>
        <w:t>realizarán</w:t>
      </w:r>
      <w:r w:rsidR="00504CFE" w:rsidRPr="005A4E9E">
        <w:rPr>
          <w:rFonts w:ascii="Arial" w:hAnsi="Arial" w:cs="Arial"/>
          <w:sz w:val="22"/>
        </w:rPr>
        <w:t xml:space="preserve"> algunas consideraciones en torno a</w:t>
      </w:r>
      <w:r w:rsidR="001A6036" w:rsidRPr="005A4E9E">
        <w:rPr>
          <w:rFonts w:ascii="Arial" w:hAnsi="Arial" w:cs="Arial"/>
          <w:sz w:val="22"/>
        </w:rPr>
        <w:t>:</w:t>
      </w:r>
      <w:r w:rsidR="00504CFE" w:rsidRPr="005A4E9E">
        <w:rPr>
          <w:rFonts w:ascii="Arial" w:hAnsi="Arial" w:cs="Arial"/>
          <w:sz w:val="22"/>
        </w:rPr>
        <w:t xml:space="preserve"> </w:t>
      </w:r>
      <w:r w:rsidR="007B2571" w:rsidRPr="005A4E9E">
        <w:rPr>
          <w:rFonts w:ascii="Arial" w:hAnsi="Arial" w:cs="Arial"/>
          <w:sz w:val="22"/>
        </w:rPr>
        <w:t>i)</w:t>
      </w:r>
      <w:r w:rsidR="007027E7" w:rsidRPr="005A4E9E">
        <w:rPr>
          <w:rFonts w:ascii="Arial" w:hAnsi="Arial" w:cs="Arial"/>
          <w:sz w:val="22"/>
        </w:rPr>
        <w:t xml:space="preserve"> </w:t>
      </w:r>
      <w:r w:rsidR="005B4DC8" w:rsidRPr="005A4E9E">
        <w:rPr>
          <w:rFonts w:ascii="Arial" w:hAnsi="Arial" w:cs="Arial"/>
          <w:sz w:val="22"/>
        </w:rPr>
        <w:t>el principio de selección objetiva en la contratación estatal</w:t>
      </w:r>
      <w:r w:rsidR="00C227EF" w:rsidRPr="005A4E9E">
        <w:rPr>
          <w:rFonts w:ascii="Arial" w:hAnsi="Arial" w:cs="Arial"/>
          <w:sz w:val="22"/>
        </w:rPr>
        <w:t>; ii)</w:t>
      </w:r>
      <w:r w:rsidR="00E67609" w:rsidRPr="005A4E9E">
        <w:rPr>
          <w:rFonts w:ascii="Arial" w:hAnsi="Arial" w:cs="Arial"/>
          <w:sz w:val="22"/>
        </w:rPr>
        <w:t xml:space="preserve"> </w:t>
      </w:r>
      <w:r w:rsidR="00666303" w:rsidRPr="005A4E9E">
        <w:rPr>
          <w:rFonts w:ascii="Arial" w:eastAsia="Calibri" w:hAnsi="Arial" w:cs="Arial"/>
          <w:sz w:val="22"/>
          <w:lang w:val="es-ES_tradnl"/>
        </w:rPr>
        <w:t>el alcance de la regla de la subsanabilidad</w:t>
      </w:r>
      <w:r w:rsidR="00DC63AA" w:rsidRPr="005A4E9E">
        <w:rPr>
          <w:rFonts w:ascii="Arial" w:eastAsia="Calibri" w:hAnsi="Arial" w:cs="Arial"/>
          <w:sz w:val="22"/>
          <w:lang w:val="es-ES_tradnl"/>
        </w:rPr>
        <w:t>;</w:t>
      </w:r>
      <w:r w:rsidR="00060FA9" w:rsidRPr="005A4E9E">
        <w:rPr>
          <w:rFonts w:ascii="Arial" w:eastAsia="Calibri" w:hAnsi="Arial" w:cs="Arial"/>
          <w:sz w:val="22"/>
          <w:lang w:val="es-ES_tradnl"/>
        </w:rPr>
        <w:t xml:space="preserve"> iii) </w:t>
      </w:r>
      <w:r w:rsidR="005B4DC8" w:rsidRPr="005A4E9E">
        <w:rPr>
          <w:rFonts w:ascii="Arial" w:eastAsia="Calibri" w:hAnsi="Arial" w:cs="Arial"/>
          <w:sz w:val="22"/>
          <w:lang w:val="es-ES_tradnl"/>
        </w:rPr>
        <w:t xml:space="preserve">la regla de </w:t>
      </w:r>
      <w:r w:rsidR="00060FA9" w:rsidRPr="005A4E9E">
        <w:rPr>
          <w:rFonts w:ascii="Arial" w:eastAsia="Calibri" w:hAnsi="Arial" w:cs="Arial"/>
          <w:sz w:val="22"/>
          <w:lang w:val="es-ES_tradnl"/>
        </w:rPr>
        <w:t>subsanabilidad en procedimientos de subasta</w:t>
      </w:r>
      <w:r w:rsidR="005B4DC8" w:rsidRPr="005A4E9E">
        <w:rPr>
          <w:rFonts w:ascii="Arial" w:eastAsia="Calibri" w:hAnsi="Arial" w:cs="Arial"/>
          <w:sz w:val="22"/>
          <w:lang w:val="es-ES_tradnl"/>
        </w:rPr>
        <w:t xml:space="preserve"> inversa; y </w:t>
      </w:r>
      <w:r w:rsidR="003042AA" w:rsidRPr="005A4E9E">
        <w:rPr>
          <w:rFonts w:ascii="Arial" w:eastAsia="Calibri" w:hAnsi="Arial" w:cs="Arial"/>
          <w:sz w:val="22"/>
          <w:lang w:val="es-ES_tradnl"/>
        </w:rPr>
        <w:t>iv) a</w:t>
      </w:r>
      <w:r w:rsidR="005B4DC8" w:rsidRPr="005A4E9E">
        <w:rPr>
          <w:rFonts w:ascii="Arial" w:eastAsia="Calibri" w:hAnsi="Arial" w:cs="Arial"/>
          <w:sz w:val="22"/>
          <w:lang w:val="es-ES_tradnl"/>
        </w:rPr>
        <w:t>creditación de experiencia de sociedades inhabilitadas por parte de sociedades con menos de 3 años de constitución</w:t>
      </w:r>
      <w:r w:rsidR="00666303" w:rsidRPr="005A4E9E">
        <w:rPr>
          <w:rFonts w:ascii="Arial" w:eastAsia="Calibri" w:hAnsi="Arial" w:cs="Arial"/>
          <w:sz w:val="22"/>
          <w:lang w:val="es-ES_tradnl"/>
        </w:rPr>
        <w:t>.</w:t>
      </w:r>
      <w:r w:rsidR="00F443D6" w:rsidRPr="005A4E9E">
        <w:rPr>
          <w:rFonts w:ascii="Arial" w:eastAsia="Calibri" w:hAnsi="Arial" w:cs="Arial"/>
          <w:sz w:val="22"/>
        </w:rPr>
        <w:t xml:space="preserve"> </w:t>
      </w:r>
      <w:r w:rsidR="00F443D6" w:rsidRPr="005A4E9E">
        <w:rPr>
          <w:rFonts w:ascii="Arial" w:eastAsia="Calibri" w:hAnsi="Arial" w:cs="Arial"/>
          <w:sz w:val="22"/>
          <w:lang w:val="es-ES_tradnl"/>
        </w:rPr>
        <w:t xml:space="preserve"> </w:t>
      </w:r>
    </w:p>
    <w:p w14:paraId="4DA33E7E" w14:textId="77777777" w:rsidR="008F6ABB" w:rsidRPr="005A4E9E" w:rsidRDefault="008F6ABB" w:rsidP="00A90C55">
      <w:pPr>
        <w:spacing w:line="276" w:lineRule="auto"/>
        <w:jc w:val="both"/>
        <w:rPr>
          <w:rFonts w:ascii="Arial" w:eastAsia="Calibri" w:hAnsi="Arial" w:cs="Arial"/>
          <w:sz w:val="22"/>
          <w:lang w:val="es-ES_tradnl"/>
        </w:rPr>
      </w:pPr>
    </w:p>
    <w:p w14:paraId="6789CF2D" w14:textId="70EF2ADB" w:rsidR="00A90C55" w:rsidRPr="005A4E9E" w:rsidRDefault="00A90C55" w:rsidP="00A90C55">
      <w:pPr>
        <w:spacing w:line="276" w:lineRule="auto"/>
        <w:jc w:val="both"/>
        <w:rPr>
          <w:rFonts w:ascii="Arial" w:eastAsia="Calibri" w:hAnsi="Arial" w:cs="Arial"/>
          <w:b/>
          <w:bCs/>
          <w:sz w:val="22"/>
          <w:lang w:val="es-ES_tradnl"/>
        </w:rPr>
      </w:pPr>
      <w:r w:rsidRPr="005A4E9E">
        <w:rPr>
          <w:rFonts w:ascii="Arial" w:eastAsia="Calibri" w:hAnsi="Arial" w:cs="Arial"/>
          <w:b/>
          <w:bCs/>
          <w:sz w:val="22"/>
          <w:lang w:val="es-ES_tradnl"/>
        </w:rPr>
        <w:t xml:space="preserve">2.1. </w:t>
      </w:r>
      <w:bookmarkStart w:id="7" w:name="_Hlk41921892"/>
      <w:r w:rsidRPr="005A4E9E">
        <w:rPr>
          <w:rFonts w:ascii="Arial" w:eastAsia="Calibri" w:hAnsi="Arial" w:cs="Arial"/>
          <w:b/>
          <w:bCs/>
          <w:sz w:val="22"/>
          <w:lang w:val="es-ES_tradnl"/>
        </w:rPr>
        <w:t>Principio de selección objetiva en la contratación estatal</w:t>
      </w:r>
      <w:bookmarkEnd w:id="7"/>
    </w:p>
    <w:p w14:paraId="224C01A1" w14:textId="58E750E2" w:rsidR="005B4DC8" w:rsidRPr="005A4E9E" w:rsidRDefault="005B4DC8" w:rsidP="00A90C55">
      <w:pPr>
        <w:spacing w:line="276" w:lineRule="auto"/>
        <w:jc w:val="both"/>
        <w:rPr>
          <w:rFonts w:ascii="Arial" w:eastAsia="Calibri" w:hAnsi="Arial" w:cs="Arial"/>
          <w:b/>
          <w:bCs/>
          <w:sz w:val="22"/>
          <w:lang w:val="es-ES_tradnl"/>
        </w:rPr>
      </w:pPr>
    </w:p>
    <w:p w14:paraId="3D16CE4F" w14:textId="56C039DF" w:rsidR="005B4DC8" w:rsidRPr="005A4E9E" w:rsidRDefault="005B4DC8" w:rsidP="005B4DC8">
      <w:pPr>
        <w:spacing w:after="120" w:line="276" w:lineRule="auto"/>
        <w:jc w:val="both"/>
        <w:rPr>
          <w:rFonts w:ascii="Arial" w:eastAsia="Calibri" w:hAnsi="Arial" w:cs="Arial"/>
          <w:sz w:val="22"/>
          <w:lang w:val="es-ES_tradnl"/>
        </w:rPr>
      </w:pPr>
      <w:r w:rsidRPr="005A4E9E">
        <w:rPr>
          <w:rFonts w:ascii="Arial" w:eastAsia="Calibri" w:hAnsi="Arial" w:cs="Arial"/>
          <w:sz w:val="22"/>
          <w:lang w:val="es-ES_tradnl"/>
        </w:rPr>
        <w:t xml:space="preserve">Se ratificará la tesis expuesta en los conceptos con radicado No. 4201913000006471 del 28 de octubre de 2019, 4201912000006711 del 12 de noviembre de 2019, </w:t>
      </w:r>
      <w:r w:rsidRPr="005A4E9E">
        <w:rPr>
          <w:rFonts w:ascii="Arial" w:eastAsia="Calibri" w:hAnsi="Arial" w:cs="Arial"/>
          <w:sz w:val="22"/>
          <w:lang w:val="es-ES_tradnl"/>
        </w:rPr>
        <w:lastRenderedPageBreak/>
        <w:t>4201912000006496 del 15 de noviembre de 2019, CU – 060 de 16 de enero de 2020, C – 082 de 27 de enero de 2020, C – 127 de 12 de febrero de 2020. La tesis expuesta fue la siguiente:</w:t>
      </w:r>
    </w:p>
    <w:p w14:paraId="561327BA" w14:textId="77777777" w:rsidR="00A90C55" w:rsidRPr="005A4E9E" w:rsidRDefault="00A90C55" w:rsidP="005B4DC8">
      <w:pPr>
        <w:spacing w:line="276" w:lineRule="auto"/>
        <w:ind w:firstLine="708"/>
        <w:jc w:val="both"/>
        <w:rPr>
          <w:rFonts w:ascii="Arial" w:eastAsia="Calibri" w:hAnsi="Arial" w:cs="Arial"/>
          <w:sz w:val="22"/>
          <w:lang w:val="es-ES_tradnl"/>
        </w:rPr>
      </w:pPr>
      <w:r w:rsidRPr="005A4E9E">
        <w:rPr>
          <w:rFonts w:ascii="Arial" w:eastAsia="Calibri" w:hAnsi="Arial" w:cs="Arial"/>
          <w:sz w:val="22"/>
          <w:lang w:val="es-ES_tradnl"/>
        </w:rPr>
        <w:t xml:space="preserve">Uno de los principios transversales de los procedimientos de selección es el de </w:t>
      </w:r>
      <w:r w:rsidRPr="005A4E9E">
        <w:rPr>
          <w:rFonts w:ascii="Arial" w:eastAsia="Calibri" w:hAnsi="Arial" w:cs="Arial"/>
          <w:i/>
          <w:iCs/>
          <w:sz w:val="22"/>
          <w:lang w:val="es-ES_tradnl"/>
        </w:rPr>
        <w:t>selección objetiva</w:t>
      </w:r>
      <w:r w:rsidRPr="005A4E9E">
        <w:rPr>
          <w:rFonts w:ascii="Arial" w:eastAsia="Calibri" w:hAnsi="Arial" w:cs="Arial"/>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7E7E742" w14:textId="77777777" w:rsidR="00A90C55" w:rsidRPr="005A4E9E" w:rsidRDefault="00A90C55" w:rsidP="005B4DC8">
      <w:pPr>
        <w:spacing w:before="120" w:line="276" w:lineRule="auto"/>
        <w:ind w:firstLine="708"/>
        <w:jc w:val="both"/>
        <w:rPr>
          <w:rFonts w:ascii="Arial" w:eastAsia="Calibri" w:hAnsi="Arial" w:cs="Arial"/>
          <w:sz w:val="22"/>
          <w:lang w:val="es-ES_tradnl"/>
        </w:rPr>
      </w:pPr>
      <w:r w:rsidRPr="005A4E9E">
        <w:rPr>
          <w:rFonts w:ascii="Arial" w:eastAsia="Calibri" w:hAnsi="Arial" w:cs="Arial"/>
          <w:sz w:val="22"/>
          <w:lang w:val="es-ES_tradnl"/>
        </w:rPr>
        <w:t>Si bien dentro de la historia de la contratación pública en Colombia, se vislumbran antecedentes normativos que consagraban dicho principio</w:t>
      </w:r>
      <w:r w:rsidRPr="005A4E9E">
        <w:rPr>
          <w:rStyle w:val="Refdenotaalpie"/>
          <w:rFonts w:ascii="Arial" w:eastAsia="Calibri" w:hAnsi="Arial" w:cs="Arial"/>
          <w:sz w:val="22"/>
          <w:lang w:val="es-ES_tradnl"/>
        </w:rPr>
        <w:footnoteReference w:id="2"/>
      </w:r>
      <w:r w:rsidRPr="005A4E9E">
        <w:rPr>
          <w:rFonts w:ascii="Arial" w:eastAsia="Calibri" w:hAnsi="Arial" w:cs="Arial"/>
          <w:sz w:val="22"/>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569F9CE7" w14:textId="77777777" w:rsidR="00A90C55" w:rsidRPr="005A4E9E" w:rsidRDefault="00A90C55" w:rsidP="00A90C55">
      <w:pPr>
        <w:spacing w:line="276" w:lineRule="auto"/>
        <w:jc w:val="both"/>
        <w:rPr>
          <w:rFonts w:ascii="Arial" w:eastAsia="Calibri" w:hAnsi="Arial" w:cs="Arial"/>
          <w:sz w:val="22"/>
          <w:lang w:val="es-ES_tradnl"/>
        </w:rPr>
      </w:pPr>
    </w:p>
    <w:p w14:paraId="44532029" w14:textId="3BDA982D" w:rsidR="00A90C55" w:rsidRPr="005A4E9E" w:rsidRDefault="008F6ABB"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Artículo</w:t>
      </w:r>
      <w:r w:rsidR="00A90C55" w:rsidRPr="005A4E9E">
        <w:rPr>
          <w:rFonts w:ascii="Arial" w:eastAsia="Calibri" w:hAnsi="Arial" w:cs="Arial"/>
          <w:sz w:val="21"/>
          <w:szCs w:val="21"/>
          <w:lang w:val="es-ES_tradnl"/>
        </w:rPr>
        <w:t xml:space="preserve"> 5o. </w:t>
      </w:r>
      <w:r w:rsidRPr="005A4E9E">
        <w:rPr>
          <w:rFonts w:ascii="Arial" w:eastAsia="Calibri" w:hAnsi="Arial" w:cs="Arial"/>
          <w:sz w:val="21"/>
          <w:szCs w:val="21"/>
          <w:lang w:val="es-ES_tradnl"/>
        </w:rPr>
        <w:t xml:space="preserve">De la selección objetiva. </w:t>
      </w:r>
      <w:r w:rsidR="00A90C55" w:rsidRPr="005A4E9E">
        <w:rPr>
          <w:rFonts w:ascii="Arial" w:eastAsia="Calibri" w:hAnsi="Arial" w:cs="Arial"/>
          <w:sz w:val="21"/>
          <w:szCs w:val="21"/>
          <w:lang w:val="es-ES_tradnl"/>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405A15B" w14:textId="77777777" w:rsidR="00A90C55" w:rsidRPr="005A4E9E" w:rsidRDefault="00A90C55" w:rsidP="00A90C55">
      <w:pPr>
        <w:ind w:left="709" w:right="709"/>
        <w:jc w:val="both"/>
        <w:rPr>
          <w:rFonts w:ascii="Arial" w:eastAsia="Calibri" w:hAnsi="Arial" w:cs="Arial"/>
          <w:sz w:val="21"/>
          <w:szCs w:val="21"/>
          <w:lang w:val="es-ES_tradnl"/>
        </w:rPr>
      </w:pPr>
    </w:p>
    <w:p w14:paraId="270BFF72"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w:t>
      </w:r>
      <w:r w:rsidRPr="005A4E9E">
        <w:rPr>
          <w:rFonts w:ascii="Arial" w:eastAsia="Calibri" w:hAnsi="Arial" w:cs="Arial"/>
          <w:sz w:val="21"/>
          <w:szCs w:val="21"/>
          <w:lang w:val="es-ES_tradnl"/>
        </w:rPr>
        <w:lastRenderedPageBreak/>
        <w:t>de Comercio de conformidad con lo establecido en el artículo 6o de la presente ley, de acuerdo con lo cual se expedirá la respectiva certificación.</w:t>
      </w:r>
    </w:p>
    <w:p w14:paraId="125374A9" w14:textId="77777777" w:rsidR="00A90C55" w:rsidRPr="005A4E9E" w:rsidRDefault="00A90C55" w:rsidP="00A90C55">
      <w:pPr>
        <w:ind w:left="709" w:right="709"/>
        <w:jc w:val="both"/>
        <w:rPr>
          <w:rFonts w:ascii="Arial" w:eastAsia="Calibri" w:hAnsi="Arial" w:cs="Arial"/>
          <w:sz w:val="21"/>
          <w:szCs w:val="21"/>
          <w:lang w:val="es-ES_tradnl"/>
        </w:rPr>
      </w:pPr>
    </w:p>
    <w:p w14:paraId="26AF2C5F"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945FC19" w14:textId="77777777" w:rsidR="00A90C55" w:rsidRPr="005A4E9E" w:rsidRDefault="00A90C55" w:rsidP="00A90C55">
      <w:pPr>
        <w:ind w:left="709" w:right="709"/>
        <w:jc w:val="both"/>
        <w:rPr>
          <w:rFonts w:ascii="Arial" w:eastAsia="Calibri" w:hAnsi="Arial" w:cs="Arial"/>
          <w:sz w:val="21"/>
          <w:szCs w:val="21"/>
          <w:lang w:val="es-ES_tradnl"/>
        </w:rPr>
      </w:pPr>
    </w:p>
    <w:p w14:paraId="7CE51EC6"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En los procesos de selección en los que se tenga en cuenta los factores técnicos y económicos, la oferta más ventajosa será la que resulte de aplicar alguna de las siguientes alternativas:</w:t>
      </w:r>
    </w:p>
    <w:p w14:paraId="7CDA8E02" w14:textId="77777777" w:rsidR="00A90C55" w:rsidRPr="005A4E9E" w:rsidRDefault="00A90C55" w:rsidP="00A90C55">
      <w:pPr>
        <w:ind w:left="709" w:right="709"/>
        <w:jc w:val="both"/>
        <w:rPr>
          <w:rFonts w:ascii="Arial" w:eastAsia="Calibri" w:hAnsi="Arial" w:cs="Arial"/>
          <w:sz w:val="21"/>
          <w:szCs w:val="21"/>
          <w:lang w:val="es-ES_tradnl"/>
        </w:rPr>
      </w:pPr>
    </w:p>
    <w:p w14:paraId="6786DB22"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a) La ponderación de los elementos de calidad y precio soportados en puntajes o fórmulas señaladas en el pliego de condiciones; o</w:t>
      </w:r>
    </w:p>
    <w:p w14:paraId="3B91A3A8" w14:textId="77777777" w:rsidR="00A90C55" w:rsidRPr="005A4E9E" w:rsidRDefault="00A90C55" w:rsidP="00A90C55">
      <w:pPr>
        <w:ind w:left="709" w:right="709"/>
        <w:jc w:val="both"/>
        <w:rPr>
          <w:rFonts w:ascii="Arial" w:eastAsia="Calibri" w:hAnsi="Arial" w:cs="Arial"/>
          <w:sz w:val="21"/>
          <w:szCs w:val="21"/>
          <w:lang w:val="es-ES_tradnl"/>
        </w:rPr>
      </w:pPr>
    </w:p>
    <w:p w14:paraId="5D404AFB"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b) La ponderación de los elementos de calidad y precio que representen la mejor relación de costo-beneficio para la entidad.</w:t>
      </w:r>
    </w:p>
    <w:p w14:paraId="06896F0E" w14:textId="77777777" w:rsidR="00A90C55" w:rsidRPr="005A4E9E" w:rsidRDefault="00A90C55" w:rsidP="00A90C55">
      <w:pPr>
        <w:ind w:left="709" w:right="709"/>
        <w:jc w:val="both"/>
        <w:rPr>
          <w:rFonts w:ascii="Arial" w:eastAsia="Calibri" w:hAnsi="Arial" w:cs="Arial"/>
          <w:sz w:val="21"/>
          <w:szCs w:val="21"/>
          <w:lang w:val="es-ES_tradnl"/>
        </w:rPr>
      </w:pPr>
    </w:p>
    <w:p w14:paraId="617626D4"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0CBC7C71" w14:textId="77777777" w:rsidR="00A90C55" w:rsidRPr="005A4E9E" w:rsidRDefault="00A90C55" w:rsidP="00A90C55">
      <w:pPr>
        <w:ind w:left="709" w:right="709"/>
        <w:jc w:val="both"/>
        <w:rPr>
          <w:rFonts w:ascii="Arial" w:eastAsia="Calibri" w:hAnsi="Arial" w:cs="Arial"/>
          <w:sz w:val="21"/>
          <w:szCs w:val="21"/>
          <w:lang w:val="es-ES_tradnl"/>
        </w:rPr>
      </w:pPr>
    </w:p>
    <w:p w14:paraId="35FEC455"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09BEBD16" w14:textId="77777777" w:rsidR="00A90C55" w:rsidRPr="005A4E9E" w:rsidRDefault="00A90C55" w:rsidP="00A90C55">
      <w:pPr>
        <w:ind w:left="709" w:right="709"/>
        <w:jc w:val="both"/>
        <w:rPr>
          <w:rFonts w:ascii="Arial" w:eastAsia="Calibri" w:hAnsi="Arial" w:cs="Arial"/>
          <w:sz w:val="21"/>
          <w:szCs w:val="21"/>
          <w:lang w:val="es-ES_tradnl"/>
        </w:rPr>
      </w:pPr>
    </w:p>
    <w:p w14:paraId="75689E0D"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En ningún caso se podrá incluir el precio, como factor de escogencia para la selección de consultores.</w:t>
      </w:r>
    </w:p>
    <w:p w14:paraId="4984473E" w14:textId="77777777" w:rsidR="00A90C55" w:rsidRPr="005A4E9E" w:rsidRDefault="00A90C55" w:rsidP="00A90C55">
      <w:pPr>
        <w:ind w:left="709" w:right="709"/>
        <w:jc w:val="both"/>
        <w:rPr>
          <w:rFonts w:ascii="Arial" w:eastAsia="Calibri" w:hAnsi="Arial" w:cs="Arial"/>
          <w:sz w:val="21"/>
          <w:szCs w:val="21"/>
          <w:lang w:val="es-ES_tradnl"/>
        </w:rPr>
      </w:pPr>
    </w:p>
    <w:p w14:paraId="72ADEC5D"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w:t>
      </w:r>
      <w:r w:rsidRPr="005A4E9E">
        <w:rPr>
          <w:rFonts w:ascii="Arial" w:eastAsia="Calibri" w:hAnsi="Arial" w:cs="Arial"/>
          <w:sz w:val="21"/>
          <w:szCs w:val="21"/>
          <w:lang w:val="es-ES_tradnl"/>
        </w:rPr>
        <w:lastRenderedPageBreak/>
        <w:t>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155199A2" w14:textId="77777777" w:rsidR="00A90C55" w:rsidRPr="005A4E9E" w:rsidRDefault="00A90C55" w:rsidP="00A90C55">
      <w:pPr>
        <w:ind w:left="709" w:right="709"/>
        <w:jc w:val="both"/>
        <w:rPr>
          <w:rFonts w:ascii="Arial" w:eastAsia="Calibri" w:hAnsi="Arial" w:cs="Arial"/>
          <w:sz w:val="21"/>
          <w:szCs w:val="21"/>
          <w:lang w:val="es-ES_tradnl"/>
        </w:rPr>
      </w:pPr>
    </w:p>
    <w:p w14:paraId="767F9A6A"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Durante el término otorgado para subsanar las ofertas, los proponentes no podrán acreditar circunstancias ocurridas con posterioridad al cierre del proceso.</w:t>
      </w:r>
    </w:p>
    <w:p w14:paraId="1853C80D" w14:textId="77777777" w:rsidR="00A90C55" w:rsidRPr="005A4E9E" w:rsidRDefault="00A90C55" w:rsidP="00A90C55">
      <w:pPr>
        <w:ind w:left="709" w:right="709"/>
        <w:jc w:val="both"/>
        <w:rPr>
          <w:rFonts w:ascii="Arial" w:eastAsia="Calibri" w:hAnsi="Arial" w:cs="Arial"/>
          <w:sz w:val="21"/>
          <w:szCs w:val="21"/>
          <w:lang w:val="es-ES_tradnl"/>
        </w:rPr>
      </w:pPr>
    </w:p>
    <w:p w14:paraId="612E51CB"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PARÁGRAFO 2o. Las certificaciones de sistemas de gestión de calidad no serán objeto de calificación, ni podrán establecerse como documento habilitante para participar en licitaciones o concursos.</w:t>
      </w:r>
    </w:p>
    <w:p w14:paraId="4904C5FE" w14:textId="77777777" w:rsidR="00A90C55" w:rsidRPr="005A4E9E" w:rsidRDefault="00A90C55" w:rsidP="00A90C55">
      <w:pPr>
        <w:ind w:left="709" w:right="709"/>
        <w:jc w:val="both"/>
        <w:rPr>
          <w:rFonts w:ascii="Arial" w:eastAsia="Calibri" w:hAnsi="Arial" w:cs="Arial"/>
          <w:sz w:val="21"/>
          <w:szCs w:val="21"/>
          <w:lang w:val="es-ES_tradnl"/>
        </w:rPr>
      </w:pPr>
    </w:p>
    <w:p w14:paraId="572C74AB"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5F84A454" w14:textId="77777777" w:rsidR="00A90C55" w:rsidRPr="005A4E9E" w:rsidRDefault="00A90C55" w:rsidP="00A90C55">
      <w:pPr>
        <w:ind w:left="709" w:right="709"/>
        <w:jc w:val="both"/>
        <w:rPr>
          <w:rFonts w:ascii="Arial" w:eastAsia="Calibri" w:hAnsi="Arial" w:cs="Arial"/>
          <w:sz w:val="21"/>
          <w:szCs w:val="21"/>
          <w:lang w:val="es-ES_tradnl"/>
        </w:rPr>
      </w:pPr>
    </w:p>
    <w:p w14:paraId="7EA10D0B" w14:textId="77777777" w:rsidR="00A90C55" w:rsidRPr="005A4E9E" w:rsidRDefault="00A90C55" w:rsidP="00A90C55">
      <w:pPr>
        <w:ind w:left="709" w:right="709"/>
        <w:jc w:val="both"/>
        <w:rPr>
          <w:rFonts w:ascii="Arial" w:eastAsia="Calibri" w:hAnsi="Arial" w:cs="Arial"/>
          <w:sz w:val="21"/>
          <w:szCs w:val="21"/>
          <w:lang w:val="es-ES_tradnl"/>
        </w:rPr>
      </w:pPr>
      <w:r w:rsidRPr="005A4E9E">
        <w:rPr>
          <w:rFonts w:ascii="Arial" w:eastAsia="Calibri" w:hAnsi="Arial" w:cs="Arial"/>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037E59BC" w14:textId="77777777" w:rsidR="00A90C55" w:rsidRPr="005A4E9E" w:rsidRDefault="00A90C55" w:rsidP="00A90C55">
      <w:pPr>
        <w:ind w:left="709" w:right="709"/>
        <w:jc w:val="both"/>
        <w:rPr>
          <w:rFonts w:ascii="Arial" w:eastAsia="Calibri" w:hAnsi="Arial" w:cs="Arial"/>
          <w:sz w:val="21"/>
          <w:szCs w:val="21"/>
          <w:lang w:val="es-ES_tradnl"/>
        </w:rPr>
      </w:pPr>
    </w:p>
    <w:p w14:paraId="214522CB" w14:textId="77777777" w:rsidR="00A90C55" w:rsidRPr="005A4E9E" w:rsidRDefault="00A90C55" w:rsidP="00A90C55">
      <w:pPr>
        <w:ind w:left="709" w:right="709"/>
        <w:jc w:val="both"/>
        <w:rPr>
          <w:rFonts w:ascii="Arial" w:eastAsia="Calibri" w:hAnsi="Arial" w:cs="Arial"/>
          <w:sz w:val="22"/>
          <w:lang w:val="es-ES_tradnl"/>
        </w:rPr>
      </w:pPr>
      <w:r w:rsidRPr="005A4E9E">
        <w:rPr>
          <w:rFonts w:ascii="Arial" w:eastAsia="Calibri" w:hAnsi="Arial" w:cs="Arial"/>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5A4E9E">
        <w:rPr>
          <w:rFonts w:ascii="Arial" w:eastAsia="Calibri" w:hAnsi="Arial" w:cs="Arial"/>
          <w:sz w:val="22"/>
          <w:lang w:val="es-ES_tradnl"/>
        </w:rPr>
        <w:t xml:space="preserve"> </w:t>
      </w:r>
    </w:p>
    <w:p w14:paraId="745480A3" w14:textId="77777777" w:rsidR="00A90C55" w:rsidRPr="005A4E9E" w:rsidRDefault="00A90C55" w:rsidP="00A90C55">
      <w:pPr>
        <w:spacing w:line="276" w:lineRule="auto"/>
        <w:jc w:val="both"/>
        <w:rPr>
          <w:rFonts w:ascii="Arial" w:eastAsia="Calibri" w:hAnsi="Arial" w:cs="Arial"/>
          <w:sz w:val="22"/>
          <w:lang w:val="es-ES_tradnl"/>
        </w:rPr>
      </w:pPr>
    </w:p>
    <w:p w14:paraId="68D7E493" w14:textId="77777777" w:rsidR="00A90C55" w:rsidRPr="005A4E9E" w:rsidRDefault="00A90C55" w:rsidP="00A90C55">
      <w:pPr>
        <w:spacing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Así mismo, la Ley 80 de 1993 se refiere a la </w:t>
      </w:r>
      <w:r w:rsidRPr="005A4E9E">
        <w:rPr>
          <w:rFonts w:ascii="Arial" w:eastAsia="Calibri" w:hAnsi="Arial" w:cs="Arial"/>
          <w:i/>
          <w:iCs/>
          <w:sz w:val="22"/>
          <w:lang w:val="es-ES_tradnl"/>
        </w:rPr>
        <w:t>selección objetiva</w:t>
      </w:r>
      <w:r w:rsidRPr="005A4E9E">
        <w:rPr>
          <w:rFonts w:ascii="Arial" w:eastAsia="Calibri" w:hAnsi="Arial" w:cs="Arial"/>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w:t>
      </w:r>
      <w:r w:rsidRPr="005A4E9E">
        <w:rPr>
          <w:rFonts w:ascii="Arial" w:eastAsia="Calibri" w:hAnsi="Arial" w:cs="Arial"/>
          <w:sz w:val="22"/>
          <w:lang w:val="es-ES_tradnl"/>
        </w:rPr>
        <w:lastRenderedPageBreak/>
        <w:t xml:space="preserve">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3D68C2E1" w14:textId="77777777" w:rsidR="00A90C55" w:rsidRPr="005A4E9E" w:rsidRDefault="00A90C55" w:rsidP="00A90C55">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770905A8" w14:textId="77777777" w:rsidR="00A90C55" w:rsidRPr="005A4E9E" w:rsidRDefault="00A90C55" w:rsidP="00A90C55">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5A4E9E">
        <w:rPr>
          <w:rStyle w:val="Refdenotaalpie"/>
          <w:rFonts w:ascii="Arial" w:eastAsia="Calibri" w:hAnsi="Arial" w:cs="Arial"/>
          <w:sz w:val="22"/>
          <w:lang w:val="es-ES_tradnl"/>
        </w:rPr>
        <w:footnoteReference w:id="3"/>
      </w:r>
      <w:r w:rsidRPr="005A4E9E">
        <w:rPr>
          <w:rFonts w:ascii="Arial" w:eastAsia="Calibri" w:hAnsi="Arial" w:cs="Arial"/>
          <w:sz w:val="22"/>
          <w:lang w:val="es-ES_tradnl"/>
        </w:rPr>
        <w:t xml:space="preserve">. Igualmente, ha señalado que «el principio de escogencia o selección </w:t>
      </w:r>
      <w:r w:rsidRPr="005A4E9E">
        <w:rPr>
          <w:rFonts w:ascii="Arial" w:eastAsia="Calibri" w:hAnsi="Arial" w:cs="Arial"/>
          <w:sz w:val="22"/>
          <w:lang w:val="es-ES_tradnl"/>
        </w:rPr>
        <w:lastRenderedPageBreak/>
        <w:t>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5A4E9E">
        <w:rPr>
          <w:rStyle w:val="Refdenotaalpie"/>
          <w:rFonts w:ascii="Arial" w:eastAsia="Calibri" w:hAnsi="Arial" w:cs="Arial"/>
          <w:sz w:val="22"/>
          <w:lang w:val="es-ES_tradnl"/>
        </w:rPr>
        <w:footnoteReference w:id="4"/>
      </w:r>
      <w:r w:rsidRPr="005A4E9E">
        <w:rPr>
          <w:rFonts w:ascii="Arial" w:eastAsia="Calibri" w:hAnsi="Arial" w:cs="Arial"/>
          <w:sz w:val="22"/>
          <w:lang w:val="es-ES_tradnl"/>
        </w:rPr>
        <w:t>.</w:t>
      </w:r>
    </w:p>
    <w:p w14:paraId="302AE8A8" w14:textId="77777777" w:rsidR="00A90C55" w:rsidRPr="005A4E9E" w:rsidRDefault="00A90C55" w:rsidP="00A90C55">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792C3AC9" w14:textId="77777777" w:rsidR="00A90C55" w:rsidRPr="005A4E9E" w:rsidRDefault="00A90C55" w:rsidP="00A90C55">
      <w:pPr>
        <w:spacing w:line="276" w:lineRule="auto"/>
        <w:ind w:firstLine="709"/>
        <w:jc w:val="both"/>
        <w:rPr>
          <w:rFonts w:ascii="Arial" w:eastAsia="Calibri" w:hAnsi="Arial" w:cs="Arial"/>
          <w:sz w:val="22"/>
          <w:lang w:val="es-CO"/>
        </w:rPr>
      </w:pPr>
      <w:r w:rsidRPr="005A4E9E">
        <w:rPr>
          <w:rFonts w:ascii="Arial" w:eastAsia="Calibri" w:hAnsi="Arial" w:cs="Arial"/>
          <w:sz w:val="22"/>
          <w:lang w:val="es-ES_tradnl"/>
        </w:rPr>
        <w:t>Esta regla se explica a continuación.</w:t>
      </w:r>
    </w:p>
    <w:p w14:paraId="30D83558" w14:textId="77777777" w:rsidR="00A90C55" w:rsidRPr="005A4E9E" w:rsidRDefault="00A90C55" w:rsidP="00A90C55">
      <w:pPr>
        <w:spacing w:line="276" w:lineRule="auto"/>
        <w:jc w:val="both"/>
        <w:rPr>
          <w:rFonts w:ascii="Arial" w:eastAsia="Calibri" w:hAnsi="Arial" w:cs="Arial"/>
          <w:sz w:val="22"/>
          <w:lang w:val="es-ES_tradnl"/>
        </w:rPr>
      </w:pPr>
    </w:p>
    <w:p w14:paraId="7183426A" w14:textId="0DB45656" w:rsidR="00A90C55" w:rsidRPr="005A4E9E" w:rsidRDefault="00A90C55" w:rsidP="00A90C55">
      <w:pPr>
        <w:spacing w:line="276" w:lineRule="auto"/>
        <w:jc w:val="both"/>
        <w:rPr>
          <w:rFonts w:ascii="Arial" w:eastAsia="Calibri" w:hAnsi="Arial" w:cs="Arial"/>
          <w:b/>
          <w:bCs/>
          <w:sz w:val="22"/>
          <w:lang w:val="es-ES_tradnl"/>
        </w:rPr>
      </w:pPr>
      <w:r w:rsidRPr="005A4E9E">
        <w:rPr>
          <w:rFonts w:ascii="Arial" w:eastAsia="Calibri" w:hAnsi="Arial" w:cs="Arial"/>
          <w:b/>
          <w:bCs/>
          <w:sz w:val="22"/>
          <w:lang w:val="es-ES_tradnl"/>
        </w:rPr>
        <w:t xml:space="preserve">2.2. Alcance de la regla de la subsanabilidad de las ofertas </w:t>
      </w:r>
    </w:p>
    <w:p w14:paraId="5397C75B" w14:textId="77777777" w:rsidR="00A90C55" w:rsidRPr="005A4E9E" w:rsidRDefault="00A90C55" w:rsidP="00A90C55">
      <w:pPr>
        <w:spacing w:line="276" w:lineRule="auto"/>
        <w:jc w:val="both"/>
        <w:rPr>
          <w:rFonts w:ascii="Arial" w:eastAsia="Calibri" w:hAnsi="Arial" w:cs="Arial"/>
          <w:sz w:val="22"/>
          <w:lang w:val="es-ES_tradnl"/>
        </w:rPr>
      </w:pPr>
    </w:p>
    <w:p w14:paraId="637EB788" w14:textId="643DC859" w:rsidR="00B56B4F" w:rsidRPr="005A4E9E" w:rsidRDefault="00B56B4F" w:rsidP="008F6ABB">
      <w:pPr>
        <w:spacing w:after="120" w:line="276" w:lineRule="auto"/>
        <w:jc w:val="both"/>
        <w:rPr>
          <w:rFonts w:ascii="Arial" w:hAnsi="Arial" w:cs="Arial"/>
          <w:sz w:val="22"/>
          <w:lang w:val="es-ES_tradnl"/>
        </w:rPr>
      </w:pPr>
      <w:r w:rsidRPr="005A4E9E">
        <w:rPr>
          <w:rFonts w:ascii="Arial" w:hAnsi="Arial" w:cs="Arial"/>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00C7C8CD" w14:textId="00F0F5EB" w:rsidR="00A90C55" w:rsidRPr="005A4E9E" w:rsidRDefault="00B56B4F" w:rsidP="008F6ABB">
      <w:pPr>
        <w:spacing w:before="120" w:after="120" w:line="276" w:lineRule="auto"/>
        <w:ind w:firstLine="708"/>
        <w:jc w:val="both"/>
        <w:rPr>
          <w:rFonts w:ascii="Arial" w:hAnsi="Arial" w:cs="Arial"/>
          <w:sz w:val="22"/>
          <w:lang w:val="es-ES_tradnl"/>
        </w:rPr>
      </w:pPr>
      <w:r w:rsidRPr="005A4E9E">
        <w:rPr>
          <w:rFonts w:ascii="Arial" w:hAnsi="Arial" w:cs="Arial"/>
          <w:sz w:val="22"/>
          <w:lang w:val="es-ES_tradnl"/>
        </w:rPr>
        <w:t xml:space="preserve">En efecto, la Agencia Nacional de Contratación Pública – Colombia Compra Eficiente, </w:t>
      </w:r>
      <w:r w:rsidR="00962706" w:rsidRPr="005A4E9E">
        <w:rPr>
          <w:rFonts w:ascii="Arial" w:hAnsi="Arial" w:cs="Arial"/>
          <w:sz w:val="22"/>
          <w:lang w:val="es-ES_tradnl"/>
        </w:rPr>
        <w:t xml:space="preserve">en el concepto CU — 060 de 16 de enero de 2020, unificó </w:t>
      </w:r>
      <w:r w:rsidR="00A90C55" w:rsidRPr="005A4E9E">
        <w:rPr>
          <w:rFonts w:ascii="Arial" w:hAnsi="Arial" w:cs="Arial"/>
          <w:sz w:val="22"/>
          <w:lang w:val="es-ES_tradnl"/>
        </w:rPr>
        <w:t xml:space="preserve">el concepto de </w:t>
      </w:r>
      <w:r w:rsidR="00962706" w:rsidRPr="005A4E9E">
        <w:rPr>
          <w:rFonts w:ascii="Arial" w:hAnsi="Arial" w:cs="Arial"/>
          <w:sz w:val="22"/>
          <w:lang w:val="es-ES_tradnl"/>
        </w:rPr>
        <w:t xml:space="preserve">la Agencia Nacional de Contratación Pública – Colombia Compra Eficiente </w:t>
      </w:r>
      <w:r w:rsidR="00A90C55" w:rsidRPr="005A4E9E">
        <w:rPr>
          <w:rFonts w:ascii="Arial" w:hAnsi="Arial" w:cs="Arial"/>
          <w:sz w:val="22"/>
          <w:lang w:val="es-ES_tradnl"/>
        </w:rPr>
        <w:t xml:space="preserve">en torno al alcance de la regla de la subsanabilidad, contenida actualmente en el artículo 5 de la Ley 1150 de </w:t>
      </w:r>
      <w:r w:rsidR="00A90C55" w:rsidRPr="005A4E9E">
        <w:rPr>
          <w:rFonts w:ascii="Arial" w:hAnsi="Arial" w:cs="Arial"/>
          <w:sz w:val="22"/>
          <w:lang w:val="es-ES_tradnl"/>
        </w:rPr>
        <w:lastRenderedPageBreak/>
        <w:t>2007</w:t>
      </w:r>
      <w:r w:rsidR="00962706" w:rsidRPr="005A4E9E">
        <w:rPr>
          <w:rFonts w:ascii="Arial" w:hAnsi="Arial" w:cs="Arial"/>
          <w:sz w:val="22"/>
          <w:lang w:val="es-ES_tradnl"/>
        </w:rPr>
        <w:t xml:space="preserve">. En dicho concepto se unificó la </w:t>
      </w:r>
      <w:r w:rsidR="00962706" w:rsidRPr="005A4E9E">
        <w:rPr>
          <w:rFonts w:ascii="Arial" w:eastAsia="Calibri" w:hAnsi="Arial" w:cs="Arial"/>
          <w:sz w:val="22"/>
          <w:lang w:val="es-ES_tradnl"/>
        </w:rPr>
        <w:t xml:space="preserve">tesis expuesta en los conceptos con radicado No. 4201913000006471 del 28 de octubre de 2019, 4201912000006711 del 12 de noviembre de 2019 y 4201912000006496 del 15 de noviembre de 2019, la cual fue reiterada en los conceptos </w:t>
      </w:r>
      <w:r w:rsidR="00962706" w:rsidRPr="005A4E9E">
        <w:rPr>
          <w:rFonts w:ascii="Arial" w:eastAsia="Calibri" w:hAnsi="Arial" w:cs="Arial"/>
          <w:sz w:val="22"/>
        </w:rPr>
        <w:t>C — 082 de 27 de enero de 2020 y C — 127 de 12 de febrero de 2020.</w:t>
      </w:r>
      <w:r w:rsidR="00A90C55" w:rsidRPr="005A4E9E">
        <w:rPr>
          <w:rFonts w:ascii="Arial" w:hAnsi="Arial" w:cs="Arial"/>
          <w:sz w:val="22"/>
          <w:lang w:val="es-ES_tradnl"/>
        </w:rPr>
        <w:t xml:space="preserve"> </w:t>
      </w:r>
      <w:r w:rsidR="00962706" w:rsidRPr="005A4E9E">
        <w:rPr>
          <w:rFonts w:ascii="Arial" w:hAnsi="Arial" w:cs="Arial"/>
          <w:sz w:val="22"/>
          <w:lang w:val="es-ES_tradnl"/>
        </w:rPr>
        <w:t xml:space="preserve">De la tesis desarrollada se </w:t>
      </w:r>
      <w:r w:rsidRPr="005A4E9E">
        <w:rPr>
          <w:rFonts w:ascii="Arial" w:hAnsi="Arial" w:cs="Arial"/>
          <w:sz w:val="22"/>
          <w:lang w:val="es-ES_tradnl"/>
        </w:rPr>
        <w:t>tomarán</w:t>
      </w:r>
      <w:r w:rsidR="00962706" w:rsidRPr="005A4E9E">
        <w:rPr>
          <w:rFonts w:ascii="Arial" w:hAnsi="Arial" w:cs="Arial"/>
          <w:sz w:val="22"/>
          <w:lang w:val="es-ES_tradnl"/>
        </w:rPr>
        <w:t xml:space="preserve"> algunas consideraciones para ilustrar el alcance de la regla de subsanabilidad en procesos de selección en los que se use el mecanismo de subasta</w:t>
      </w:r>
      <w:r w:rsidRPr="005A4E9E">
        <w:rPr>
          <w:rFonts w:ascii="Arial" w:hAnsi="Arial" w:cs="Arial"/>
          <w:sz w:val="22"/>
          <w:lang w:val="es-ES_tradnl"/>
        </w:rPr>
        <w:t>.</w:t>
      </w:r>
    </w:p>
    <w:p w14:paraId="406797D2"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61383645"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En un </w:t>
      </w:r>
      <w:r w:rsidRPr="005A4E9E">
        <w:rPr>
          <w:rFonts w:ascii="Arial" w:hAnsi="Arial" w:cs="Arial"/>
          <w:i/>
          <w:sz w:val="22"/>
          <w:lang w:val="es-ES_tradnl"/>
        </w:rPr>
        <w:t>primer momento</w:t>
      </w:r>
      <w:r w:rsidRPr="005A4E9E">
        <w:rPr>
          <w:rFonts w:ascii="Arial" w:hAnsi="Arial" w:cs="Arial"/>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486CCE2"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En un </w:t>
      </w:r>
      <w:r w:rsidRPr="005A4E9E">
        <w:rPr>
          <w:rFonts w:ascii="Arial" w:hAnsi="Arial" w:cs="Arial"/>
          <w:i/>
          <w:sz w:val="22"/>
          <w:lang w:val="es-ES_tradnl"/>
        </w:rPr>
        <w:t>segundo momento</w:t>
      </w:r>
      <w:r w:rsidRPr="005A4E9E">
        <w:rPr>
          <w:rFonts w:ascii="Arial" w:hAnsi="Arial" w:cs="Arial"/>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p>
    <w:p w14:paraId="026ECF73" w14:textId="77777777" w:rsidR="00B56B4F" w:rsidRPr="005A4E9E" w:rsidRDefault="00B56B4F" w:rsidP="008F6ABB">
      <w:pPr>
        <w:spacing w:before="120" w:line="276" w:lineRule="auto"/>
        <w:ind w:firstLine="709"/>
        <w:jc w:val="both"/>
        <w:rPr>
          <w:rFonts w:ascii="Arial" w:hAnsi="Arial" w:cs="Arial"/>
          <w:sz w:val="22"/>
          <w:lang w:val="es-ES_tradnl"/>
        </w:rPr>
      </w:pPr>
      <w:r w:rsidRPr="005A4E9E">
        <w:rPr>
          <w:rFonts w:ascii="Arial" w:hAnsi="Arial" w:cs="Arial"/>
          <w:sz w:val="22"/>
          <w:lang w:val="es-ES_tradnl"/>
        </w:rPr>
        <w:t xml:space="preserve">En este nuevo escenario constitucional, el numeral 15 del artículo 25 de la Ley 80 de 1993 dispuso lo siguiente: </w:t>
      </w:r>
    </w:p>
    <w:p w14:paraId="0EA010AA" w14:textId="77777777" w:rsidR="00B56B4F" w:rsidRPr="005A4E9E" w:rsidRDefault="00B56B4F" w:rsidP="00A5144E">
      <w:pPr>
        <w:spacing w:before="120" w:after="120"/>
        <w:ind w:left="709" w:right="709"/>
        <w:jc w:val="both"/>
        <w:rPr>
          <w:rFonts w:ascii="Arial" w:hAnsi="Arial" w:cs="Arial"/>
          <w:sz w:val="21"/>
          <w:szCs w:val="21"/>
          <w:lang w:val="es-ES_tradnl"/>
        </w:rPr>
      </w:pPr>
      <w:r w:rsidRPr="005A4E9E">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38754B9C" w14:textId="77777777" w:rsidR="00B56B4F" w:rsidRPr="005A4E9E" w:rsidRDefault="00B56B4F" w:rsidP="00A5144E">
      <w:pPr>
        <w:spacing w:before="120"/>
        <w:ind w:left="709" w:right="709"/>
        <w:jc w:val="both"/>
        <w:rPr>
          <w:rFonts w:ascii="Arial" w:hAnsi="Arial" w:cs="Arial"/>
          <w:sz w:val="21"/>
          <w:szCs w:val="21"/>
          <w:lang w:val="es-ES_tradnl"/>
        </w:rPr>
      </w:pPr>
      <w:r w:rsidRPr="005A4E9E">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09836AB6" w14:textId="77777777" w:rsidR="008F6ABB" w:rsidRPr="005A4E9E" w:rsidRDefault="008F6ABB" w:rsidP="008F6ABB">
      <w:pPr>
        <w:spacing w:line="276" w:lineRule="auto"/>
        <w:ind w:firstLine="709"/>
        <w:jc w:val="both"/>
        <w:rPr>
          <w:rFonts w:ascii="Arial" w:hAnsi="Arial" w:cs="Arial"/>
          <w:sz w:val="22"/>
          <w:lang w:val="es-ES_tradnl"/>
        </w:rPr>
      </w:pPr>
    </w:p>
    <w:p w14:paraId="38B5AFC3" w14:textId="3586A562" w:rsidR="00B56B4F" w:rsidRPr="005A4E9E" w:rsidRDefault="00B56B4F" w:rsidP="008F6ABB">
      <w:pPr>
        <w:spacing w:after="120" w:line="276" w:lineRule="auto"/>
        <w:ind w:firstLine="709"/>
        <w:jc w:val="both"/>
        <w:rPr>
          <w:rFonts w:ascii="Arial" w:hAnsi="Arial" w:cs="Arial"/>
          <w:sz w:val="22"/>
          <w:lang w:val="es-ES_tradnl"/>
        </w:rPr>
      </w:pPr>
      <w:r w:rsidRPr="005A4E9E">
        <w:rPr>
          <w:rFonts w:ascii="Arial" w:hAnsi="Arial" w:cs="Arial"/>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D24AE13"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lastRenderedPageBreak/>
        <w:t>Esta norma debía leerse en conjunto con otras de la Ley 80 de 1993, particularmente con el artículo 30.7</w:t>
      </w:r>
      <w:r w:rsidRPr="005A4E9E">
        <w:rPr>
          <w:rStyle w:val="Refdenotaalpie"/>
          <w:rFonts w:ascii="Arial" w:hAnsi="Arial" w:cs="Arial"/>
          <w:sz w:val="22"/>
          <w:lang w:val="es-ES_tradnl"/>
        </w:rPr>
        <w:footnoteReference w:id="5"/>
      </w:r>
      <w:r w:rsidRPr="005A4E9E">
        <w:rPr>
          <w:rFonts w:ascii="Arial" w:hAnsi="Arial" w:cs="Arial"/>
          <w:sz w:val="22"/>
          <w:lang w:val="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5A4E9E">
        <w:rPr>
          <w:rStyle w:val="Refdenotaalpie"/>
          <w:rFonts w:ascii="Arial" w:hAnsi="Arial" w:cs="Arial"/>
          <w:sz w:val="22"/>
          <w:lang w:val="es-ES_tradnl"/>
        </w:rPr>
        <w:footnoteReference w:id="6"/>
      </w:r>
      <w:r w:rsidRPr="005A4E9E">
        <w:rPr>
          <w:rFonts w:ascii="Arial" w:hAnsi="Arial" w:cs="Arial"/>
          <w:sz w:val="22"/>
          <w:lang w:val="es-ES_tradnl"/>
        </w:rPr>
        <w:t xml:space="preserve">, que consagró el término de 5 días hábiles para que los oferentes presenten observaciones al informe de evaluación de las propuestas, sin que sea posible completar, adicionar, modificar o mejorar su oferta.  </w:t>
      </w:r>
    </w:p>
    <w:p w14:paraId="7336C765"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178C6C40" w14:textId="77777777" w:rsidR="00B56B4F" w:rsidRPr="005A4E9E" w:rsidRDefault="00B56B4F" w:rsidP="008F6ABB">
      <w:pPr>
        <w:spacing w:line="276" w:lineRule="auto"/>
        <w:ind w:firstLine="709"/>
        <w:jc w:val="both"/>
        <w:rPr>
          <w:rFonts w:ascii="Arial" w:hAnsi="Arial" w:cs="Arial"/>
          <w:sz w:val="22"/>
          <w:lang w:val="es-ES_tradnl"/>
        </w:rPr>
      </w:pPr>
      <w:r w:rsidRPr="005A4E9E">
        <w:rPr>
          <w:rFonts w:ascii="Arial" w:hAnsi="Arial" w:cs="Arial"/>
          <w:sz w:val="22"/>
          <w:lang w:val="es-ES_tradnl"/>
        </w:rPr>
        <w:t xml:space="preserve">En un </w:t>
      </w:r>
      <w:r w:rsidRPr="005A4E9E">
        <w:rPr>
          <w:rFonts w:ascii="Arial" w:hAnsi="Arial" w:cs="Arial"/>
          <w:i/>
          <w:sz w:val="22"/>
          <w:lang w:val="es-ES_tradnl"/>
        </w:rPr>
        <w:t>tercer momento</w:t>
      </w:r>
      <w:r w:rsidRPr="005A4E9E">
        <w:rPr>
          <w:rFonts w:ascii="Arial" w:hAnsi="Arial" w:cs="Arial"/>
          <w:sz w:val="22"/>
          <w:lang w:val="es-ES_tradnl"/>
        </w:rPr>
        <w:t xml:space="preserve">, y siguiendo la línea trazada por la Ley 80 de 1993, el legislador expidió la Ley 1150 de 2007, que, en el parágrafo 1º del artículo 5, determinó lo siguiente: </w:t>
      </w:r>
    </w:p>
    <w:p w14:paraId="01217ECA" w14:textId="77777777" w:rsidR="00B56B4F" w:rsidRPr="005A4E9E" w:rsidRDefault="00B56B4F" w:rsidP="008F6ABB">
      <w:pPr>
        <w:spacing w:line="276" w:lineRule="auto"/>
        <w:jc w:val="both"/>
        <w:rPr>
          <w:rFonts w:ascii="Arial" w:hAnsi="Arial" w:cs="Arial"/>
          <w:sz w:val="22"/>
          <w:lang w:val="es-ES_tradnl"/>
        </w:rPr>
      </w:pPr>
    </w:p>
    <w:p w14:paraId="7D09ACF3" w14:textId="77777777" w:rsidR="00B56B4F" w:rsidRPr="005A4E9E" w:rsidRDefault="00B56B4F" w:rsidP="00A5144E">
      <w:pPr>
        <w:ind w:left="709" w:right="709"/>
        <w:jc w:val="both"/>
        <w:rPr>
          <w:rFonts w:ascii="Arial" w:hAnsi="Arial" w:cs="Arial"/>
          <w:sz w:val="21"/>
          <w:szCs w:val="21"/>
          <w:lang w:val="es-ES_tradnl"/>
        </w:rPr>
      </w:pPr>
      <w:r w:rsidRPr="005A4E9E">
        <w:rPr>
          <w:rFonts w:ascii="Arial" w:hAnsi="Arial" w:cs="Arial"/>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5A4E9E">
        <w:rPr>
          <w:rFonts w:ascii="Arial" w:hAnsi="Arial" w:cs="Arial"/>
          <w:b/>
          <w:sz w:val="21"/>
          <w:szCs w:val="21"/>
          <w:lang w:val="es-ES_tradnl"/>
        </w:rPr>
        <w:t xml:space="preserve">, </w:t>
      </w:r>
      <w:r w:rsidRPr="005A4E9E">
        <w:rPr>
          <w:rFonts w:ascii="Arial" w:hAnsi="Arial" w:cs="Arial"/>
          <w:sz w:val="21"/>
          <w:szCs w:val="21"/>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773CCE80" w14:textId="77777777" w:rsidR="00B56B4F" w:rsidRPr="005A4E9E" w:rsidRDefault="00B56B4F" w:rsidP="00A5144E">
      <w:pPr>
        <w:spacing w:line="276" w:lineRule="auto"/>
        <w:jc w:val="both"/>
        <w:rPr>
          <w:rFonts w:ascii="Arial" w:hAnsi="Arial" w:cs="Arial"/>
          <w:b/>
          <w:sz w:val="22"/>
          <w:lang w:val="es-ES_tradnl"/>
        </w:rPr>
      </w:pPr>
    </w:p>
    <w:p w14:paraId="72CB035A"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714C8176"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w:t>
      </w:r>
      <w:r w:rsidRPr="005A4E9E">
        <w:rPr>
          <w:rFonts w:ascii="Arial" w:hAnsi="Arial" w:cs="Arial"/>
          <w:sz w:val="22"/>
          <w:lang w:val="es-ES_tradnl"/>
        </w:rPr>
        <w:lastRenderedPageBreak/>
        <w:t xml:space="preserve">simple ejercicio de verificación que consiste en corroborar si lo omitido hace parte de los aspectos que otorgan puntaje o no.  </w:t>
      </w:r>
    </w:p>
    <w:p w14:paraId="1F0F901E"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Si, al verificar la Administración, encuentra que lo omitido por el proponente es un aspecto que otorga puntaje, no es posible subsanarlo; pero, si lo omitido no otorga puntaje, la Administración debe requerir al proponente para que lo subsane.  </w:t>
      </w:r>
    </w:p>
    <w:p w14:paraId="3318994E" w14:textId="77777777" w:rsidR="00B56B4F" w:rsidRPr="005A4E9E" w:rsidRDefault="00B56B4F" w:rsidP="008F6ABB">
      <w:pPr>
        <w:spacing w:before="120" w:line="276" w:lineRule="auto"/>
        <w:ind w:firstLine="709"/>
        <w:jc w:val="both"/>
        <w:rPr>
          <w:rFonts w:ascii="Arial" w:hAnsi="Arial" w:cs="Arial"/>
          <w:sz w:val="22"/>
          <w:lang w:val="es-ES_tradnl"/>
        </w:rPr>
      </w:pPr>
      <w:r w:rsidRPr="005A4E9E">
        <w:rPr>
          <w:rFonts w:ascii="Arial" w:hAnsi="Arial" w:cs="Arial"/>
          <w:sz w:val="22"/>
          <w:lang w:val="es-ES_tradnl"/>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51BE06F9" w14:textId="77777777" w:rsidR="00B56B4F" w:rsidRPr="005A4E9E" w:rsidRDefault="00B56B4F" w:rsidP="008F6ABB">
      <w:pPr>
        <w:spacing w:line="276" w:lineRule="auto"/>
        <w:jc w:val="both"/>
        <w:rPr>
          <w:rFonts w:ascii="Arial" w:hAnsi="Arial" w:cs="Arial"/>
          <w:sz w:val="22"/>
          <w:lang w:val="es-ES_tradnl"/>
        </w:rPr>
      </w:pPr>
    </w:p>
    <w:p w14:paraId="021E5CCC" w14:textId="696B6947" w:rsidR="00B56B4F" w:rsidRPr="005A4E9E" w:rsidRDefault="00B56B4F" w:rsidP="00A5144E">
      <w:pPr>
        <w:ind w:left="709" w:right="709"/>
        <w:jc w:val="both"/>
        <w:rPr>
          <w:rFonts w:ascii="Arial" w:hAnsi="Arial" w:cs="Arial"/>
          <w:sz w:val="21"/>
          <w:szCs w:val="21"/>
          <w:lang w:val="es-ES_tradnl"/>
        </w:rPr>
      </w:pPr>
      <w:r w:rsidRPr="005A4E9E">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5A4E9E">
        <w:rPr>
          <w:rStyle w:val="Refdenotaalpie"/>
          <w:rFonts w:ascii="Arial" w:hAnsi="Arial" w:cs="Arial"/>
          <w:sz w:val="21"/>
          <w:szCs w:val="21"/>
          <w:lang w:val="es-ES_tradnl"/>
        </w:rPr>
        <w:footnoteReference w:id="7"/>
      </w:r>
      <w:r w:rsidRPr="005A4E9E">
        <w:rPr>
          <w:rFonts w:ascii="Arial" w:hAnsi="Arial" w:cs="Arial"/>
          <w:sz w:val="21"/>
          <w:szCs w:val="21"/>
          <w:lang w:val="es-ES_tradnl"/>
        </w:rPr>
        <w:t>.</w:t>
      </w:r>
    </w:p>
    <w:p w14:paraId="4F8E89B6" w14:textId="77777777" w:rsidR="008F6ABB" w:rsidRPr="005A4E9E" w:rsidRDefault="008F6ABB" w:rsidP="008F6ABB">
      <w:pPr>
        <w:pStyle w:val="Textoindependiente"/>
        <w:tabs>
          <w:tab w:val="left" w:pos="284"/>
        </w:tabs>
        <w:spacing w:before="0" w:beforeAutospacing="0" w:after="0" w:afterAutospacing="0" w:line="276" w:lineRule="auto"/>
        <w:ind w:firstLine="709"/>
        <w:jc w:val="both"/>
        <w:rPr>
          <w:rFonts w:ascii="Arial" w:eastAsiaTheme="minorHAnsi" w:hAnsi="Arial" w:cs="Arial"/>
          <w:sz w:val="22"/>
          <w:szCs w:val="22"/>
          <w:lang w:val="es-ES_tradnl" w:eastAsia="en-US"/>
        </w:rPr>
      </w:pPr>
    </w:p>
    <w:p w14:paraId="66E31081" w14:textId="1604C1E1" w:rsidR="00C65C9D" w:rsidRPr="005A4E9E" w:rsidRDefault="00B56B4F" w:rsidP="008F6ABB">
      <w:pPr>
        <w:pStyle w:val="Textoindependiente"/>
        <w:tabs>
          <w:tab w:val="left" w:pos="284"/>
        </w:tabs>
        <w:spacing w:before="120" w:beforeAutospacing="0" w:after="120" w:afterAutospacing="0" w:line="276" w:lineRule="auto"/>
        <w:ind w:firstLine="709"/>
        <w:jc w:val="both"/>
        <w:rPr>
          <w:rFonts w:ascii="Arial" w:eastAsiaTheme="minorHAnsi" w:hAnsi="Arial" w:cs="Arial"/>
          <w:sz w:val="22"/>
          <w:szCs w:val="22"/>
          <w:lang w:val="es-ES_tradnl" w:eastAsia="en-US"/>
        </w:rPr>
      </w:pPr>
      <w:r w:rsidRPr="005A4E9E">
        <w:rPr>
          <w:rFonts w:ascii="Arial" w:eastAsiaTheme="minorHAnsi" w:hAnsi="Arial" w:cs="Arial"/>
          <w:sz w:val="22"/>
          <w:szCs w:val="22"/>
          <w:lang w:val="es-ES_tradnl" w:eastAsia="en-US"/>
        </w:rPr>
        <w:t xml:space="preserve">Esa interpretación fue compartida por la </w:t>
      </w:r>
      <w:r w:rsidRPr="005A4E9E">
        <w:rPr>
          <w:rFonts w:ascii="Arial" w:hAnsi="Arial" w:cs="Arial"/>
          <w:sz w:val="22"/>
          <w:szCs w:val="22"/>
          <w:lang w:val="es-ES_tradnl"/>
        </w:rPr>
        <w:t>Agencia Nacional de Contratación Pública – Colombia Compra Eficiente –</w:t>
      </w:r>
      <w:r w:rsidRPr="005A4E9E">
        <w:rPr>
          <w:rFonts w:ascii="Arial" w:eastAsiaTheme="minorHAnsi" w:hAnsi="Arial" w:cs="Arial"/>
          <w:sz w:val="22"/>
          <w:szCs w:val="22"/>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32473841" w14:textId="2CDE4AA9" w:rsidR="00B56B4F" w:rsidRPr="005A4E9E" w:rsidRDefault="00B56B4F" w:rsidP="00A5144E">
      <w:pPr>
        <w:pStyle w:val="Textoindependiente"/>
        <w:tabs>
          <w:tab w:val="left" w:pos="284"/>
        </w:tabs>
        <w:spacing w:before="120" w:beforeAutospacing="0" w:after="0" w:afterAutospacing="0" w:line="276" w:lineRule="auto"/>
        <w:ind w:firstLine="709"/>
        <w:jc w:val="both"/>
        <w:rPr>
          <w:rFonts w:ascii="Arial" w:eastAsiaTheme="minorHAnsi" w:hAnsi="Arial" w:cs="Arial"/>
          <w:sz w:val="22"/>
          <w:szCs w:val="22"/>
          <w:lang w:val="es-ES_tradnl" w:eastAsia="en-US"/>
        </w:rPr>
      </w:pPr>
      <w:r w:rsidRPr="005A4E9E">
        <w:rPr>
          <w:rFonts w:ascii="Arial" w:hAnsi="Arial" w:cs="Arial"/>
          <w:sz w:val="22"/>
          <w:szCs w:val="22"/>
          <w:lang w:val="es-ES_tradnl"/>
        </w:rPr>
        <w:t xml:space="preserve">En un </w:t>
      </w:r>
      <w:r w:rsidRPr="005A4E9E">
        <w:rPr>
          <w:rFonts w:ascii="Arial" w:hAnsi="Arial" w:cs="Arial"/>
          <w:i/>
          <w:sz w:val="22"/>
          <w:szCs w:val="22"/>
          <w:lang w:val="es-ES_tradnl"/>
        </w:rPr>
        <w:t>cuarto momento</w:t>
      </w:r>
      <w:r w:rsidRPr="005A4E9E">
        <w:rPr>
          <w:rFonts w:ascii="Arial" w:hAnsi="Arial" w:cs="Arial"/>
          <w:sz w:val="22"/>
          <w:szCs w:val="22"/>
          <w:lang w:val="es-ES_tradnl"/>
        </w:rPr>
        <w:t>, el legislador expidió la Ley 1882 de 2018, con la finalidad de introducir cambios y ajustes para fortalecer la contratación pública. El artículo 5 modificó el parágrafo 1º</w:t>
      </w:r>
      <w:r w:rsidR="008003EA" w:rsidRPr="005A4E9E">
        <w:rPr>
          <w:rFonts w:ascii="Arial" w:hAnsi="Arial" w:cs="Arial"/>
          <w:sz w:val="22"/>
          <w:szCs w:val="22"/>
          <w:lang w:val="es-ES_tradnl"/>
        </w:rPr>
        <w:t xml:space="preserve"> y adicionó algunos otros, entre ellos el 4°</w:t>
      </w:r>
      <w:r w:rsidRPr="005A4E9E">
        <w:rPr>
          <w:rFonts w:ascii="Arial" w:hAnsi="Arial" w:cs="Arial"/>
          <w:sz w:val="22"/>
          <w:szCs w:val="22"/>
          <w:lang w:val="es-ES_tradnl"/>
        </w:rPr>
        <w:t xml:space="preserve"> del artículo 5 de la Ley 1150 de 2007: </w:t>
      </w:r>
    </w:p>
    <w:p w14:paraId="258E4286" w14:textId="77777777" w:rsidR="00DD5955" w:rsidRPr="005A4E9E" w:rsidRDefault="00DD5955" w:rsidP="00DD5955">
      <w:pPr>
        <w:spacing w:before="120" w:after="120"/>
        <w:ind w:left="709" w:right="709"/>
        <w:jc w:val="both"/>
        <w:rPr>
          <w:rFonts w:ascii="Arial" w:hAnsi="Arial" w:cs="Arial"/>
          <w:sz w:val="21"/>
          <w:szCs w:val="21"/>
          <w:lang w:val="es-ES_tradnl"/>
        </w:rPr>
      </w:pPr>
    </w:p>
    <w:p w14:paraId="225C2E30" w14:textId="2D295428" w:rsidR="00B56B4F" w:rsidRPr="005A4E9E" w:rsidRDefault="00B56B4F" w:rsidP="00A5144E">
      <w:pPr>
        <w:spacing w:before="120" w:after="120"/>
        <w:ind w:left="709" w:right="709"/>
        <w:jc w:val="both"/>
        <w:rPr>
          <w:rFonts w:ascii="Arial" w:hAnsi="Arial" w:cs="Arial"/>
          <w:sz w:val="21"/>
          <w:szCs w:val="21"/>
          <w:lang w:val="es-ES_tradnl"/>
        </w:rPr>
      </w:pPr>
      <w:r w:rsidRPr="005A4E9E">
        <w:rPr>
          <w:rFonts w:ascii="Arial" w:hAnsi="Arial" w:cs="Arial"/>
          <w:sz w:val="21"/>
          <w:szCs w:val="21"/>
          <w:lang w:val="es-ES_tradnl"/>
        </w:rPr>
        <w:t xml:space="preserve">Artículo 5°. De la selección objetiva. </w:t>
      </w:r>
    </w:p>
    <w:p w14:paraId="45649F42" w14:textId="49F82CD2" w:rsidR="00B56B4F" w:rsidRPr="005A4E9E" w:rsidRDefault="00A26BFD" w:rsidP="00A5144E">
      <w:pPr>
        <w:spacing w:before="120" w:after="120"/>
        <w:ind w:left="709" w:right="709"/>
        <w:jc w:val="both"/>
        <w:rPr>
          <w:rFonts w:ascii="Arial" w:hAnsi="Arial" w:cs="Arial"/>
          <w:sz w:val="21"/>
          <w:szCs w:val="21"/>
          <w:lang w:val="es-ES_tradnl"/>
        </w:rPr>
      </w:pPr>
      <w:r w:rsidRPr="005A4E9E">
        <w:rPr>
          <w:rFonts w:ascii="Arial" w:hAnsi="Arial" w:cs="Arial"/>
          <w:sz w:val="21"/>
          <w:szCs w:val="21"/>
          <w:lang w:val="es-ES_tradnl"/>
        </w:rPr>
        <w:t>[.</w:t>
      </w:r>
      <w:r w:rsidR="00B56B4F" w:rsidRPr="005A4E9E">
        <w:rPr>
          <w:rFonts w:ascii="Arial" w:hAnsi="Arial" w:cs="Arial"/>
          <w:sz w:val="21"/>
          <w:szCs w:val="21"/>
          <w:lang w:val="es-ES_tradnl"/>
        </w:rPr>
        <w:t xml:space="preserve">.. </w:t>
      </w:r>
      <w:r w:rsidRPr="005A4E9E">
        <w:rPr>
          <w:rFonts w:ascii="Arial" w:hAnsi="Arial" w:cs="Arial"/>
          <w:sz w:val="21"/>
          <w:szCs w:val="21"/>
          <w:lang w:val="es-ES_tradnl"/>
        </w:rPr>
        <w:t>]</w:t>
      </w:r>
    </w:p>
    <w:p w14:paraId="3ABAEE42" w14:textId="5DAC61F8" w:rsidR="00B56B4F" w:rsidRPr="005A4E9E" w:rsidRDefault="00B56B4F" w:rsidP="00A5144E">
      <w:pPr>
        <w:ind w:left="709" w:right="709"/>
        <w:jc w:val="both"/>
        <w:rPr>
          <w:rFonts w:ascii="Arial" w:hAnsi="Arial" w:cs="Arial"/>
          <w:sz w:val="21"/>
          <w:szCs w:val="21"/>
          <w:lang w:val="es-ES_tradnl"/>
        </w:rPr>
      </w:pPr>
      <w:r w:rsidRPr="005A4E9E">
        <w:rPr>
          <w:rFonts w:ascii="Arial" w:hAnsi="Arial" w:cs="Arial"/>
          <w:sz w:val="21"/>
          <w:szCs w:val="21"/>
          <w:lang w:val="es-ES_tradnl"/>
        </w:rPr>
        <w:t xml:space="preserve">Parágrafo 1º. La ausencia de requisitos o la falta de documentos referentes a la futura contratación o al proponente, no necesarios para la comparación de las </w:t>
      </w:r>
      <w:r w:rsidRPr="005A4E9E">
        <w:rPr>
          <w:rFonts w:ascii="Arial" w:hAnsi="Arial" w:cs="Arial"/>
          <w:sz w:val="21"/>
          <w:szCs w:val="21"/>
          <w:lang w:val="es-ES_tradnl"/>
        </w:rPr>
        <w:lastRenderedPageBreak/>
        <w:t xml:space="preserve">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0533DEF" w14:textId="77777777" w:rsidR="00B56B4F" w:rsidRPr="005A4E9E" w:rsidRDefault="00B56B4F" w:rsidP="008F6ABB">
      <w:pPr>
        <w:spacing w:line="276" w:lineRule="auto"/>
        <w:jc w:val="both"/>
        <w:rPr>
          <w:rFonts w:ascii="Arial" w:hAnsi="Arial" w:cs="Arial"/>
          <w:b/>
          <w:sz w:val="22"/>
          <w:lang w:val="es-ES_tradnl"/>
        </w:rPr>
      </w:pPr>
    </w:p>
    <w:p w14:paraId="047BB925"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 </w:t>
      </w:r>
    </w:p>
    <w:p w14:paraId="197A6037"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5A4E9E">
        <w:rPr>
          <w:rFonts w:ascii="Arial" w:eastAsia="Calibri" w:hAnsi="Arial" w:cs="Arial"/>
          <w:sz w:val="22"/>
          <w:lang w:val="es-ES_tradnl"/>
        </w:rPr>
        <w:t>de selección a través del sistema de subasta</w:t>
      </w:r>
      <w:r w:rsidRPr="005A4E9E">
        <w:rPr>
          <w:rStyle w:val="Refdenotaalpie"/>
          <w:rFonts w:ascii="Arial" w:eastAsia="Calibri" w:hAnsi="Arial" w:cs="Arial"/>
          <w:sz w:val="22"/>
          <w:lang w:val="es-ES_tradnl"/>
        </w:rPr>
        <w:footnoteReference w:id="8"/>
      </w:r>
      <w:r w:rsidRPr="005A4E9E">
        <w:rPr>
          <w:rFonts w:ascii="Arial" w:eastAsia="Calibri" w:hAnsi="Arial" w:cs="Arial"/>
          <w:sz w:val="22"/>
          <w:lang w:val="es-ES_tradnl"/>
        </w:rPr>
        <w:t xml:space="preserve">; en el último los documentos o requisitos subsanables pueden y deben solicitarse hasta el momento previo a su realización.  </w:t>
      </w:r>
    </w:p>
    <w:p w14:paraId="06C9D20F"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eastAsia="Calibri" w:hAnsi="Arial" w:cs="Arial"/>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078C4625"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eastAsia="Calibri" w:hAnsi="Arial" w:cs="Arial"/>
          <w:sz w:val="22"/>
          <w:lang w:val="es-ES_tradnl"/>
        </w:rPr>
        <w:t>En efecto, la redacción de la norma permite que la Administración solicite a los oferentes subsanar y que estos lo hagan hasta antes del término del traslado del informe de evaluación: «</w:t>
      </w:r>
      <w:r w:rsidRPr="005A4E9E">
        <w:rPr>
          <w:rFonts w:ascii="Arial" w:hAnsi="Arial" w:cs="Arial"/>
          <w:sz w:val="22"/>
          <w:lang w:val="es-ES_tradnl"/>
        </w:rPr>
        <w:t xml:space="preserve">deberán ser solicitados por las entidades estatales y deberán ser entregados por los proponentes hasta el término de traslado del informe de evaluación que corresponda a cada modalidad de selección». </w:t>
      </w:r>
    </w:p>
    <w:p w14:paraId="2B6BB1DD"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lastRenderedPageBreak/>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5D933C82"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74851D2B"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publique el informe ya se encuentren subsanadas las propuestas, sin perjuicio del término límite que concedió la ley.</w:t>
      </w:r>
    </w:p>
    <w:p w14:paraId="31BCE193"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36268E0F"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00249E22"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eastAsia="Calibri" w:hAnsi="Arial" w:cs="Arial"/>
          <w:sz w:val="22"/>
          <w:lang w:val="es-ES_tradnl"/>
        </w:rPr>
        <w:t>De otro lado, el segundo cambio importante de la Ley 1882 de 2018 fue la introducción de un criterio material, directamente relacionado con los aspectos subsanables: «</w:t>
      </w:r>
      <w:r w:rsidRPr="005A4E9E">
        <w:rPr>
          <w:rFonts w:ascii="Arial" w:hAnsi="Arial" w:cs="Arial"/>
          <w:sz w:val="22"/>
          <w:lang w:val="es-ES_tradnl"/>
        </w:rPr>
        <w:t xml:space="preserve">los proponentes no podrán acreditar circunstancias ocurridas con </w:t>
      </w:r>
      <w:r w:rsidRPr="005A4E9E">
        <w:rPr>
          <w:rFonts w:ascii="Arial" w:hAnsi="Arial" w:cs="Arial"/>
          <w:sz w:val="22"/>
          <w:lang w:val="es-ES_tradnl"/>
        </w:rPr>
        <w:lastRenderedPageBreak/>
        <w:t xml:space="preserve">posterioridad al cierre del proceso». Lo anterior nos ofrece dos aspectos que merecen clarificación; primero, qué debe entenderse por circunstancias ocurridas con posterioridad; y segundo, qué es el cierre del proceso. </w:t>
      </w:r>
    </w:p>
    <w:p w14:paraId="17D3392C" w14:textId="77777777" w:rsidR="00B56B4F" w:rsidRPr="005A4E9E" w:rsidRDefault="00B56B4F" w:rsidP="008F6ABB">
      <w:pPr>
        <w:spacing w:before="120" w:after="120" w:line="276" w:lineRule="auto"/>
        <w:ind w:firstLine="709"/>
        <w:jc w:val="both"/>
        <w:rPr>
          <w:rFonts w:ascii="Arial" w:hAnsi="Arial" w:cs="Arial"/>
          <w:sz w:val="22"/>
          <w:lang w:val="es-ES_tradnl"/>
        </w:rPr>
      </w:pPr>
      <w:r w:rsidRPr="005A4E9E">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5A4E9E">
        <w:rPr>
          <w:rStyle w:val="Refdenotaalpie"/>
          <w:rFonts w:ascii="Arial" w:hAnsi="Arial" w:cs="Arial"/>
          <w:sz w:val="22"/>
          <w:lang w:val="es-ES_tradnl"/>
        </w:rPr>
        <w:footnoteReference w:id="9"/>
      </w:r>
      <w:r w:rsidRPr="005A4E9E">
        <w:rPr>
          <w:rFonts w:ascii="Arial" w:hAnsi="Arial" w:cs="Arial"/>
          <w:sz w:val="22"/>
          <w:lang w:val="es-ES_tradnl"/>
        </w:rPr>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5A4E9E">
        <w:rPr>
          <w:rStyle w:val="Refdenotaalpie"/>
          <w:rFonts w:ascii="Arial" w:hAnsi="Arial" w:cs="Arial"/>
          <w:sz w:val="22"/>
          <w:lang w:val="es-ES_tradnl"/>
        </w:rPr>
        <w:footnoteReference w:id="10"/>
      </w:r>
      <w:r w:rsidRPr="005A4E9E">
        <w:rPr>
          <w:rFonts w:ascii="Arial" w:hAnsi="Arial" w:cs="Arial"/>
          <w:sz w:val="22"/>
          <w:lang w:val="es-ES_tradnl"/>
        </w:rPr>
        <w:t>.</w:t>
      </w:r>
    </w:p>
    <w:p w14:paraId="1D451704" w14:textId="77777777" w:rsidR="00B56B4F" w:rsidRPr="005A4E9E" w:rsidRDefault="00B56B4F"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E90C7FA" w14:textId="77777777" w:rsidR="00B56B4F" w:rsidRPr="005A4E9E" w:rsidRDefault="00B56B4F"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 </w:t>
      </w:r>
    </w:p>
    <w:p w14:paraId="1354B7D6" w14:textId="77777777" w:rsidR="00B56B4F" w:rsidRPr="005A4E9E" w:rsidRDefault="00B56B4F"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5A4E9E">
        <w:rPr>
          <w:rStyle w:val="Refdenotaalpie"/>
          <w:rFonts w:ascii="Arial" w:eastAsia="Calibri" w:hAnsi="Arial" w:cs="Arial"/>
          <w:sz w:val="22"/>
          <w:lang w:val="es-ES_tradnl"/>
        </w:rPr>
        <w:footnoteReference w:id="11"/>
      </w:r>
      <w:r w:rsidRPr="005A4E9E">
        <w:rPr>
          <w:rFonts w:ascii="Arial" w:eastAsia="Calibri" w:hAnsi="Arial" w:cs="Arial"/>
          <w:sz w:val="22"/>
          <w:lang w:val="es-ES_tradnl"/>
        </w:rPr>
        <w:t>; iii) si un oferente no anexó el Certificado de existencia y representación legal, el documento aportado con posterioridad debe dar cuenta de que la sociedad existe antes del cierre del proceso</w:t>
      </w:r>
      <w:r w:rsidRPr="005A4E9E">
        <w:rPr>
          <w:rStyle w:val="Refdenotaalpie"/>
          <w:rFonts w:ascii="Arial" w:eastAsia="Calibri" w:hAnsi="Arial" w:cs="Arial"/>
          <w:sz w:val="22"/>
          <w:lang w:val="es-ES_tradnl"/>
        </w:rPr>
        <w:footnoteReference w:id="12"/>
      </w:r>
      <w:r w:rsidRPr="005A4E9E">
        <w:rPr>
          <w:rFonts w:ascii="Arial" w:eastAsia="Calibri" w:hAnsi="Arial" w:cs="Arial"/>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341D4384" w14:textId="77777777" w:rsidR="00B56B4F" w:rsidRPr="005A4E9E" w:rsidRDefault="00B56B4F"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w:t>
      </w:r>
      <w:r w:rsidRPr="005A4E9E">
        <w:rPr>
          <w:rFonts w:ascii="Arial" w:eastAsia="Calibri" w:hAnsi="Arial" w:cs="Arial"/>
          <w:sz w:val="22"/>
          <w:lang w:val="es-ES_tradnl"/>
        </w:rPr>
        <w:lastRenderedPageBreak/>
        <w:t xml:space="preserve">con posterioridad al vencimiento del término para recibir propuestas, siempre y cuando el hecho que acredite haya ocurrido antes, esto es, que no sea una circunstancia ocurrida con posterioridad al cierre del proceso. </w:t>
      </w:r>
    </w:p>
    <w:p w14:paraId="61B3F053" w14:textId="77777777" w:rsidR="00B56B4F" w:rsidRPr="005A4E9E" w:rsidRDefault="00B56B4F"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5A4E9E">
        <w:rPr>
          <w:rFonts w:ascii="Arial" w:eastAsia="Calibri" w:hAnsi="Arial" w:cs="Arial"/>
          <w:sz w:val="22"/>
          <w:vertAlign w:val="superscript"/>
          <w:lang w:val="es-ES_tradnl"/>
        </w:rPr>
        <w:footnoteReference w:id="13"/>
      </w:r>
      <w:r w:rsidRPr="005A4E9E">
        <w:rPr>
          <w:rFonts w:ascii="Arial" w:eastAsia="Calibri" w:hAnsi="Arial" w:cs="Arial"/>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w:t>
      </w:r>
    </w:p>
    <w:p w14:paraId="77B148A6" w14:textId="3ECAD842" w:rsidR="00B56B4F" w:rsidRPr="005A4E9E" w:rsidRDefault="00B56B4F" w:rsidP="00A5144E">
      <w:pPr>
        <w:spacing w:before="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Visto lo anterior, una vez verificada la ausencia de requisitos y/o documentos de la oferta, para efectos de saber si se puede subsanar, la Administración se debe preguntar, en primer lugar, si lo que hace falta es un </w:t>
      </w:r>
      <w:r w:rsidRPr="005A4E9E">
        <w:rPr>
          <w:rFonts w:ascii="Arial" w:eastAsia="Calibri" w:hAnsi="Arial" w:cs="Arial"/>
          <w:i/>
          <w:sz w:val="22"/>
          <w:lang w:val="es-ES_tradnl"/>
        </w:rPr>
        <w:t>ítem</w:t>
      </w:r>
      <w:r w:rsidRPr="005A4E9E">
        <w:rPr>
          <w:rFonts w:ascii="Arial" w:eastAsia="Calibri" w:hAnsi="Arial" w:cs="Arial"/>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06D73153" w14:textId="77777777" w:rsidR="00057B34" w:rsidRPr="005A4E9E" w:rsidRDefault="00057B34" w:rsidP="00A5144E">
      <w:pPr>
        <w:spacing w:line="276" w:lineRule="auto"/>
        <w:ind w:firstLine="709"/>
        <w:jc w:val="both"/>
        <w:rPr>
          <w:rFonts w:ascii="Arial" w:eastAsia="Calibri" w:hAnsi="Arial" w:cs="Arial"/>
          <w:sz w:val="22"/>
          <w:lang w:val="es-ES_tradnl"/>
        </w:rPr>
      </w:pPr>
    </w:p>
    <w:p w14:paraId="5B837C44" w14:textId="6B0506B6" w:rsidR="009F7B0A" w:rsidRPr="005A4E9E" w:rsidRDefault="009F7B0A" w:rsidP="00A5144E">
      <w:pPr>
        <w:spacing w:line="276" w:lineRule="auto"/>
        <w:jc w:val="both"/>
        <w:rPr>
          <w:rFonts w:ascii="Arial" w:eastAsia="Calibri" w:hAnsi="Arial" w:cs="Arial"/>
          <w:b/>
          <w:bCs/>
          <w:sz w:val="22"/>
          <w:lang w:val="es-ES_tradnl"/>
        </w:rPr>
      </w:pPr>
      <w:r w:rsidRPr="005A4E9E">
        <w:rPr>
          <w:rFonts w:ascii="Arial" w:eastAsia="Calibri" w:hAnsi="Arial" w:cs="Arial"/>
          <w:b/>
          <w:bCs/>
          <w:sz w:val="22"/>
          <w:lang w:val="es-ES_tradnl"/>
        </w:rPr>
        <w:t xml:space="preserve">2.3. </w:t>
      </w:r>
      <w:r w:rsidR="00C37652" w:rsidRPr="005A4E9E">
        <w:rPr>
          <w:rFonts w:ascii="Arial" w:eastAsia="Calibri" w:hAnsi="Arial" w:cs="Arial"/>
          <w:b/>
          <w:bCs/>
          <w:sz w:val="22"/>
          <w:lang w:val="es-ES_tradnl"/>
        </w:rPr>
        <w:t>La r</w:t>
      </w:r>
      <w:r w:rsidR="005B4DC8" w:rsidRPr="005A4E9E">
        <w:rPr>
          <w:rFonts w:ascii="Arial" w:eastAsia="Calibri" w:hAnsi="Arial" w:cs="Arial"/>
          <w:b/>
          <w:bCs/>
          <w:sz w:val="22"/>
          <w:lang w:val="es-ES_tradnl"/>
        </w:rPr>
        <w:t>egla de s</w:t>
      </w:r>
      <w:r w:rsidRPr="005A4E9E">
        <w:rPr>
          <w:rFonts w:ascii="Arial" w:eastAsia="Calibri" w:hAnsi="Arial" w:cs="Arial"/>
          <w:b/>
          <w:bCs/>
          <w:sz w:val="22"/>
          <w:lang w:val="es-ES_tradnl"/>
        </w:rPr>
        <w:t>ubsanabilidad en procedimientos de subasta</w:t>
      </w:r>
      <w:r w:rsidR="005B4DC8" w:rsidRPr="005A4E9E">
        <w:rPr>
          <w:rFonts w:ascii="Arial" w:eastAsia="Calibri" w:hAnsi="Arial" w:cs="Arial"/>
          <w:b/>
          <w:bCs/>
          <w:sz w:val="22"/>
          <w:lang w:val="es-ES_tradnl"/>
        </w:rPr>
        <w:t xml:space="preserve"> inversa</w:t>
      </w:r>
    </w:p>
    <w:p w14:paraId="502A8A69" w14:textId="77777777" w:rsidR="00617F1D" w:rsidRPr="005A4E9E" w:rsidRDefault="00617F1D" w:rsidP="00A5144E">
      <w:pPr>
        <w:spacing w:line="276" w:lineRule="auto"/>
        <w:jc w:val="both"/>
        <w:rPr>
          <w:rFonts w:ascii="Arial" w:eastAsia="Calibri" w:hAnsi="Arial" w:cs="Arial"/>
          <w:sz w:val="22"/>
          <w:lang w:val="es-ES_tradnl"/>
        </w:rPr>
      </w:pPr>
    </w:p>
    <w:p w14:paraId="2AFA9A3C" w14:textId="676F0DDB" w:rsidR="009F7B0A" w:rsidRPr="005A4E9E" w:rsidRDefault="009F7B0A" w:rsidP="00A5144E">
      <w:pPr>
        <w:spacing w:after="120" w:line="276" w:lineRule="auto"/>
        <w:jc w:val="both"/>
        <w:rPr>
          <w:rFonts w:ascii="Arial" w:hAnsi="Arial" w:cs="Arial"/>
          <w:sz w:val="22"/>
        </w:rPr>
      </w:pPr>
      <w:r w:rsidRPr="005A4E9E">
        <w:rPr>
          <w:rFonts w:ascii="Arial" w:eastAsia="Calibri" w:hAnsi="Arial" w:cs="Arial"/>
          <w:sz w:val="22"/>
          <w:lang w:val="es-ES_tradnl"/>
        </w:rPr>
        <w:t>La subasta es un mecanismo para la adjudicación de contratos previsto en el artículo 2 de la Ley 1150 de 2007, aplicable a las modalidades de licitación pública, selección abreviada y enajenación de bienes del Estado</w:t>
      </w:r>
      <w:r w:rsidRPr="005A4E9E">
        <w:rPr>
          <w:rFonts w:ascii="Arial" w:eastAsia="Calibri" w:hAnsi="Arial" w:cs="Arial"/>
          <w:sz w:val="22"/>
          <w:vertAlign w:val="superscript"/>
          <w:lang w:val="es-ES_tradnl"/>
        </w:rPr>
        <w:footnoteReference w:id="14"/>
      </w:r>
      <w:r w:rsidRPr="005A4E9E">
        <w:rPr>
          <w:rFonts w:ascii="Arial" w:eastAsia="Calibri" w:hAnsi="Arial" w:cs="Arial"/>
          <w:sz w:val="22"/>
          <w:lang w:val="es-ES_tradnl"/>
        </w:rPr>
        <w:t xml:space="preserve">. Según Ernesto Matallana Camacho </w:t>
      </w:r>
      <w:r w:rsidRPr="005A4E9E">
        <w:rPr>
          <w:rFonts w:ascii="Arial" w:hAnsi="Arial" w:cs="Arial"/>
          <w:sz w:val="22"/>
        </w:rPr>
        <w:t xml:space="preserve">«Se entiende por </w:t>
      </w:r>
      <w:r w:rsidRPr="005A4E9E">
        <w:rPr>
          <w:rFonts w:ascii="Arial" w:hAnsi="Arial" w:cs="Arial"/>
          <w:sz w:val="22"/>
        </w:rPr>
        <w:lastRenderedPageBreak/>
        <w:t>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00A43FA8" w:rsidRPr="005A4E9E">
        <w:rPr>
          <w:rFonts w:ascii="Arial" w:hAnsi="Arial" w:cs="Arial"/>
          <w:sz w:val="22"/>
        </w:rPr>
        <w:t>»</w:t>
      </w:r>
      <w:r w:rsidR="00A43FA8" w:rsidRPr="005A4E9E">
        <w:rPr>
          <w:rStyle w:val="Refdenotaalpie"/>
          <w:rFonts w:ascii="Arial" w:hAnsi="Arial" w:cs="Arial"/>
          <w:sz w:val="22"/>
        </w:rPr>
        <w:footnoteReference w:id="15"/>
      </w:r>
      <w:r w:rsidR="00A43FA8" w:rsidRPr="005A4E9E">
        <w:rPr>
          <w:rFonts w:ascii="Arial" w:hAnsi="Arial" w:cs="Arial"/>
          <w:sz w:val="22"/>
        </w:rPr>
        <w:t>, mientras que Jairo Enrique Solano destaca de este mecanismo que</w:t>
      </w:r>
      <w:r w:rsidR="00805134" w:rsidRPr="005A4E9E">
        <w:rPr>
          <w:rFonts w:ascii="Arial" w:hAnsi="Arial" w:cs="Arial"/>
          <w:sz w:val="22"/>
        </w:rPr>
        <w:t>,</w:t>
      </w:r>
      <w:r w:rsidR="00A43FA8" w:rsidRPr="005A4E9E">
        <w:rPr>
          <w:rFonts w:ascii="Arial" w:hAnsi="Arial" w:cs="Arial"/>
          <w:sz w:val="22"/>
        </w:rPr>
        <w:t xml:space="preserv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00A43FA8" w:rsidRPr="005A4E9E">
        <w:rPr>
          <w:rStyle w:val="Refdenotaalpie"/>
          <w:rFonts w:ascii="Arial" w:hAnsi="Arial" w:cs="Arial"/>
          <w:sz w:val="22"/>
        </w:rPr>
        <w:footnoteReference w:id="16"/>
      </w:r>
      <w:r w:rsidR="00A43FA8" w:rsidRPr="005A4E9E">
        <w:rPr>
          <w:rFonts w:ascii="Arial" w:hAnsi="Arial" w:cs="Arial"/>
          <w:sz w:val="22"/>
        </w:rPr>
        <w:t xml:space="preserve">. </w:t>
      </w:r>
      <w:r w:rsidRPr="005A4E9E">
        <w:rPr>
          <w:rFonts w:ascii="Arial" w:hAnsi="Arial" w:cs="Arial"/>
          <w:sz w:val="22"/>
        </w:rPr>
        <w:t xml:space="preserve"> </w:t>
      </w:r>
    </w:p>
    <w:p w14:paraId="1058CEC7" w14:textId="3FCB15F5" w:rsidR="00A26BFD" w:rsidRPr="005A4E9E" w:rsidRDefault="00A43FA8"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rPr>
        <w:t>E</w:t>
      </w:r>
      <w:r w:rsidR="00A155F8" w:rsidRPr="005A4E9E">
        <w:rPr>
          <w:rFonts w:ascii="Arial" w:eastAsia="Calibri" w:hAnsi="Arial" w:cs="Arial"/>
          <w:sz w:val="22"/>
          <w:lang w:val="es-ES_tradnl"/>
        </w:rPr>
        <w:t>n lo que respecta a</w:t>
      </w:r>
      <w:r w:rsidR="00304EC8" w:rsidRPr="005A4E9E">
        <w:rPr>
          <w:rFonts w:ascii="Arial" w:eastAsia="Calibri" w:hAnsi="Arial" w:cs="Arial"/>
          <w:sz w:val="22"/>
          <w:lang w:val="es-ES_tradnl"/>
        </w:rPr>
        <w:t xml:space="preserve"> la subsanabilidad en procesos de selección en </w:t>
      </w:r>
      <w:r w:rsidR="00EB53C4" w:rsidRPr="005A4E9E">
        <w:rPr>
          <w:rFonts w:ascii="Arial" w:eastAsia="Calibri" w:hAnsi="Arial" w:cs="Arial"/>
          <w:sz w:val="22"/>
          <w:lang w:val="es-ES_tradnl"/>
        </w:rPr>
        <w:t xml:space="preserve">los </w:t>
      </w:r>
      <w:r w:rsidR="00304EC8" w:rsidRPr="005A4E9E">
        <w:rPr>
          <w:rFonts w:ascii="Arial" w:eastAsia="Calibri" w:hAnsi="Arial" w:cs="Arial"/>
          <w:sz w:val="22"/>
          <w:lang w:val="es-ES_tradnl"/>
        </w:rPr>
        <w:t>que se utilice el mecanismo de subasta previsto en el a</w:t>
      </w:r>
      <w:r w:rsidR="00A26BFD" w:rsidRPr="005A4E9E">
        <w:rPr>
          <w:rFonts w:ascii="Arial" w:eastAsia="Calibri" w:hAnsi="Arial" w:cs="Arial"/>
          <w:sz w:val="22"/>
          <w:lang w:val="es-ES_tradnl"/>
        </w:rPr>
        <w:t xml:space="preserve">rtículo 2 de la Ley 1150 de 2007, para las modalidades </w:t>
      </w:r>
      <w:r w:rsidR="00A155F8" w:rsidRPr="005A4E9E">
        <w:rPr>
          <w:rFonts w:ascii="Arial" w:eastAsia="Calibri" w:hAnsi="Arial" w:cs="Arial"/>
          <w:sz w:val="22"/>
          <w:lang w:val="es-ES_tradnl"/>
        </w:rPr>
        <w:t xml:space="preserve">de </w:t>
      </w:r>
      <w:r w:rsidR="00A26BFD" w:rsidRPr="005A4E9E">
        <w:rPr>
          <w:rFonts w:ascii="Arial" w:eastAsia="Calibri" w:hAnsi="Arial" w:cs="Arial"/>
          <w:sz w:val="22"/>
          <w:lang w:val="es-ES_tradnl"/>
        </w:rPr>
        <w:t xml:space="preserve">escogencia </w:t>
      </w:r>
      <w:r w:rsidR="00304EC8" w:rsidRPr="005A4E9E">
        <w:rPr>
          <w:rFonts w:ascii="Arial" w:eastAsia="Calibri" w:hAnsi="Arial" w:cs="Arial"/>
          <w:sz w:val="22"/>
          <w:lang w:val="es-ES_tradnl"/>
        </w:rPr>
        <w:t>de licitación pública</w:t>
      </w:r>
      <w:r w:rsidR="00A26BFD" w:rsidRPr="005A4E9E">
        <w:rPr>
          <w:rFonts w:ascii="Arial" w:eastAsia="Calibri" w:hAnsi="Arial" w:cs="Arial"/>
          <w:sz w:val="22"/>
          <w:lang w:val="es-ES_tradnl"/>
        </w:rPr>
        <w:t xml:space="preserve"> y selección abreviada para la adquisición o suministro de bienes y servicios de características técnicas uniformes y de común </w:t>
      </w:r>
      <w:r w:rsidR="00A26BFD" w:rsidRPr="005A4E9E">
        <w:rPr>
          <w:rFonts w:ascii="Arial" w:eastAsia="Calibri" w:hAnsi="Arial" w:cs="Arial"/>
          <w:sz w:val="22"/>
          <w:lang w:val="es-ES_tradnl"/>
        </w:rPr>
        <w:lastRenderedPageBreak/>
        <w:t>utilización, así como para enajenación de bienes del estado</w:t>
      </w:r>
      <w:r w:rsidR="00A155F8" w:rsidRPr="005A4E9E">
        <w:rPr>
          <w:rFonts w:ascii="Arial" w:eastAsia="Calibri" w:hAnsi="Arial" w:cs="Arial"/>
          <w:sz w:val="22"/>
          <w:lang w:val="es-ES_tradnl"/>
        </w:rPr>
        <w:t xml:space="preserve">, </w:t>
      </w:r>
      <w:r w:rsidR="00A26BFD" w:rsidRPr="005A4E9E">
        <w:rPr>
          <w:rFonts w:ascii="Arial" w:eastAsia="Calibri" w:hAnsi="Arial" w:cs="Arial"/>
          <w:sz w:val="22"/>
          <w:lang w:val="es-ES_tradnl"/>
        </w:rPr>
        <w:t xml:space="preserve">el parágrafo 1 del artículo 5 </w:t>
      </w:r>
      <w:r w:rsidR="00ED54D6" w:rsidRPr="005A4E9E">
        <w:rPr>
          <w:rFonts w:ascii="Arial" w:eastAsia="Calibri" w:hAnsi="Arial" w:cs="Arial"/>
          <w:i/>
          <w:iCs/>
          <w:sz w:val="22"/>
          <w:lang w:val="es-ES_tradnl"/>
        </w:rPr>
        <w:t>i</w:t>
      </w:r>
      <w:r w:rsidR="00A26BFD" w:rsidRPr="005A4E9E">
        <w:rPr>
          <w:rFonts w:ascii="Arial" w:eastAsia="Calibri" w:hAnsi="Arial" w:cs="Arial"/>
          <w:i/>
          <w:iCs/>
          <w:sz w:val="22"/>
          <w:lang w:val="es-ES_tradnl"/>
        </w:rPr>
        <w:t>b</w:t>
      </w:r>
      <w:r w:rsidR="00ED54D6" w:rsidRPr="005A4E9E">
        <w:rPr>
          <w:rFonts w:ascii="Arial" w:eastAsia="Calibri" w:hAnsi="Arial" w:cs="Arial"/>
          <w:i/>
          <w:iCs/>
          <w:sz w:val="22"/>
          <w:lang w:val="es-ES_tradnl"/>
        </w:rPr>
        <w:t>í</w:t>
      </w:r>
      <w:r w:rsidR="00A26BFD" w:rsidRPr="005A4E9E">
        <w:rPr>
          <w:rFonts w:ascii="Arial" w:eastAsia="Calibri" w:hAnsi="Arial" w:cs="Arial"/>
          <w:i/>
          <w:iCs/>
          <w:sz w:val="22"/>
          <w:lang w:val="es-ES_tradnl"/>
        </w:rPr>
        <w:t xml:space="preserve">dem </w:t>
      </w:r>
      <w:r w:rsidR="00A26BFD" w:rsidRPr="005A4E9E">
        <w:rPr>
          <w:rFonts w:ascii="Arial" w:eastAsia="Calibri" w:hAnsi="Arial" w:cs="Arial"/>
          <w:sz w:val="22"/>
          <w:lang w:val="es-ES_tradnl"/>
        </w:rPr>
        <w:t>consagra una excepción a</w:t>
      </w:r>
      <w:r w:rsidR="00EB53C4" w:rsidRPr="005A4E9E">
        <w:rPr>
          <w:rFonts w:ascii="Arial" w:eastAsia="Calibri" w:hAnsi="Arial" w:cs="Arial"/>
          <w:sz w:val="22"/>
          <w:lang w:val="es-ES_tradnl"/>
        </w:rPr>
        <w:t>l término general</w:t>
      </w:r>
      <w:r w:rsidR="00A26BFD" w:rsidRPr="005A4E9E">
        <w:rPr>
          <w:rFonts w:ascii="Arial" w:eastAsia="Calibri" w:hAnsi="Arial" w:cs="Arial"/>
          <w:sz w:val="22"/>
          <w:lang w:val="es-ES_tradnl"/>
        </w:rPr>
        <w:t xml:space="preserve"> de subsanabilidad antes explicad</w:t>
      </w:r>
      <w:r w:rsidR="00EB53C4" w:rsidRPr="005A4E9E">
        <w:rPr>
          <w:rFonts w:ascii="Arial" w:eastAsia="Calibri" w:hAnsi="Arial" w:cs="Arial"/>
          <w:sz w:val="22"/>
          <w:lang w:val="es-ES_tradnl"/>
        </w:rPr>
        <w:t>o</w:t>
      </w:r>
      <w:r w:rsidR="00A26BFD" w:rsidRPr="005A4E9E">
        <w:rPr>
          <w:rFonts w:ascii="Arial" w:eastAsia="Calibri" w:hAnsi="Arial" w:cs="Arial"/>
          <w:sz w:val="22"/>
          <w:lang w:val="es-ES_tradnl"/>
        </w:rPr>
        <w:t xml:space="preserve">, la cual es desarrollada por el parágrafo </w:t>
      </w:r>
      <w:r w:rsidR="00ED54D6" w:rsidRPr="005A4E9E">
        <w:rPr>
          <w:rFonts w:ascii="Arial" w:eastAsia="Calibri" w:hAnsi="Arial" w:cs="Arial"/>
          <w:sz w:val="22"/>
          <w:lang w:val="es-ES_tradnl"/>
        </w:rPr>
        <w:t>4</w:t>
      </w:r>
      <w:r w:rsidR="00A26BFD" w:rsidRPr="005A4E9E">
        <w:rPr>
          <w:rFonts w:ascii="Arial" w:eastAsia="Calibri" w:hAnsi="Arial" w:cs="Arial"/>
          <w:sz w:val="22"/>
          <w:lang w:val="es-ES_tradnl"/>
        </w:rPr>
        <w:t>° adicionado por la Ley 1882 de 2018, en los siguientes términos:</w:t>
      </w:r>
      <w:r w:rsidR="00ED54D6" w:rsidRPr="005A4E9E">
        <w:rPr>
          <w:rFonts w:ascii="Arial" w:eastAsia="Calibri" w:hAnsi="Arial" w:cs="Arial"/>
          <w:sz w:val="22"/>
          <w:lang w:val="es-ES_tradnl"/>
        </w:rPr>
        <w:t xml:space="preserve"> «</w:t>
      </w:r>
      <w:r w:rsidR="00A26BFD" w:rsidRPr="005A4E9E">
        <w:rPr>
          <w:rFonts w:ascii="Arial" w:eastAsia="Calibri" w:hAnsi="Arial" w:cs="Arial"/>
          <w:sz w:val="22"/>
          <w:lang w:val="es-ES_tradnl"/>
        </w:rPr>
        <w:t>Parágrafo 4o. En aquellos procesos de selección en los que se utilice el mecanismo de subasta, los documentos referentes a la futura contratación o al proponente, no necesarios para la comparación de las propuestas, deberán ser solicitados hasta el momento previo a su realización</w:t>
      </w:r>
      <w:r w:rsidR="00ED54D6" w:rsidRPr="005A4E9E">
        <w:rPr>
          <w:rFonts w:ascii="Arial" w:eastAsia="Calibri" w:hAnsi="Arial" w:cs="Arial"/>
          <w:sz w:val="22"/>
          <w:lang w:val="es-ES_tradnl"/>
        </w:rPr>
        <w:t>».</w:t>
      </w:r>
    </w:p>
    <w:p w14:paraId="339FF747" w14:textId="11EA4830" w:rsidR="0000562F" w:rsidRPr="005A4E9E" w:rsidRDefault="00ED54D6" w:rsidP="008F6ABB">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El procedimiento </w:t>
      </w:r>
      <w:r w:rsidR="0000562F" w:rsidRPr="005A4E9E">
        <w:rPr>
          <w:rFonts w:ascii="Arial" w:eastAsia="Calibri" w:hAnsi="Arial" w:cs="Arial"/>
          <w:sz w:val="22"/>
          <w:lang w:val="es-ES_tradnl"/>
        </w:rPr>
        <w:t>aplicable al mecanismo de subasta inversa se encuentra regulado por el artículo 2.2.1.2.1.2.2 del Decreto 1082 de 2015, el cual también es aplicable a procedimientos en los que se</w:t>
      </w:r>
      <w:r w:rsidR="0000562F" w:rsidRPr="005A4E9E">
        <w:rPr>
          <w:rFonts w:ascii="Arial" w:hAnsi="Arial" w:cs="Arial"/>
          <w:sz w:val="22"/>
        </w:rPr>
        <w:t xml:space="preserve"> enajenen bienes del Estado con el mecanismo de subasta pública</w:t>
      </w:r>
      <w:r w:rsidR="00D643A3" w:rsidRPr="005A4E9E">
        <w:rPr>
          <w:rFonts w:ascii="Arial" w:hAnsi="Arial" w:cs="Arial"/>
          <w:sz w:val="22"/>
        </w:rPr>
        <w:t>,</w:t>
      </w:r>
      <w:r w:rsidR="0000562F" w:rsidRPr="005A4E9E">
        <w:rPr>
          <w:rFonts w:ascii="Arial" w:hAnsi="Arial" w:cs="Arial"/>
          <w:sz w:val="22"/>
        </w:rPr>
        <w:t xml:space="preserve"> de conformidad con el artículo 2.2.1.2.2.2.2, con la particularidad de que el respectivo bien deberá ser adjudicado al oferente que haya ofrecido el mayor valor a pagar por los bienes objeto de enajenación y el </w:t>
      </w:r>
      <w:r w:rsidR="00D643A3" w:rsidRPr="005A4E9E">
        <w:rPr>
          <w:rFonts w:ascii="Arial" w:hAnsi="Arial" w:cs="Arial"/>
          <w:sz w:val="22"/>
        </w:rPr>
        <w:t>m</w:t>
      </w:r>
      <w:r w:rsidR="0000562F" w:rsidRPr="005A4E9E">
        <w:rPr>
          <w:rFonts w:ascii="Arial" w:hAnsi="Arial" w:cs="Arial"/>
          <w:sz w:val="22"/>
        </w:rPr>
        <w:t xml:space="preserve">argen </w:t>
      </w:r>
      <w:r w:rsidR="00D643A3" w:rsidRPr="005A4E9E">
        <w:rPr>
          <w:rFonts w:ascii="Arial" w:hAnsi="Arial" w:cs="Arial"/>
          <w:sz w:val="22"/>
        </w:rPr>
        <w:t>m</w:t>
      </w:r>
      <w:r w:rsidR="0000562F" w:rsidRPr="005A4E9E">
        <w:rPr>
          <w:rFonts w:ascii="Arial" w:hAnsi="Arial" w:cs="Arial"/>
          <w:sz w:val="22"/>
        </w:rPr>
        <w:t>ínimo debe ser al alza, a diferencia de la subasta inversa.  </w:t>
      </w:r>
    </w:p>
    <w:p w14:paraId="03C7F28E" w14:textId="1F7A1F95" w:rsidR="00ED54D6" w:rsidRPr="005A4E9E" w:rsidRDefault="0000562F" w:rsidP="008F6ABB">
      <w:pPr>
        <w:spacing w:before="120" w:after="120" w:line="276" w:lineRule="auto"/>
        <w:ind w:firstLine="709"/>
        <w:jc w:val="both"/>
        <w:rPr>
          <w:rFonts w:ascii="Arial" w:eastAsia="Calibri" w:hAnsi="Arial" w:cs="Arial"/>
          <w:sz w:val="22"/>
        </w:rPr>
      </w:pPr>
      <w:r w:rsidRPr="005A4E9E">
        <w:rPr>
          <w:rFonts w:ascii="Arial" w:eastAsia="Calibri" w:hAnsi="Arial" w:cs="Arial"/>
          <w:sz w:val="22"/>
          <w:lang w:val="es-ES_tradnl"/>
        </w:rPr>
        <w:t xml:space="preserve"> Dicha norma estable</w:t>
      </w:r>
      <w:r w:rsidR="00EF21B8" w:rsidRPr="005A4E9E">
        <w:rPr>
          <w:rFonts w:ascii="Arial" w:eastAsia="Calibri" w:hAnsi="Arial" w:cs="Arial"/>
          <w:sz w:val="22"/>
          <w:lang w:val="es-ES_tradnl"/>
        </w:rPr>
        <w:t>ce</w:t>
      </w:r>
      <w:r w:rsidRPr="005A4E9E">
        <w:rPr>
          <w:rFonts w:ascii="Arial" w:eastAsia="Calibri" w:hAnsi="Arial" w:cs="Arial"/>
          <w:sz w:val="22"/>
          <w:lang w:val="es-ES_tradnl"/>
        </w:rPr>
        <w:t xml:space="preserve"> que en l</w:t>
      </w:r>
      <w:r w:rsidRPr="005A4E9E">
        <w:rPr>
          <w:rFonts w:ascii="Arial" w:eastAsia="Calibri" w:hAnsi="Arial" w:cs="Arial"/>
          <w:sz w:val="22"/>
        </w:rPr>
        <w:t>os pliegos de condiciones</w:t>
      </w:r>
      <w:r w:rsidR="00EF21B8" w:rsidRPr="005A4E9E">
        <w:rPr>
          <w:rFonts w:ascii="Arial" w:eastAsia="Calibri" w:hAnsi="Arial" w:cs="Arial"/>
          <w:sz w:val="22"/>
        </w:rPr>
        <w:t xml:space="preserve"> de estos procedimientos se debe</w:t>
      </w:r>
      <w:r w:rsidRPr="005A4E9E">
        <w:rPr>
          <w:rFonts w:ascii="Arial" w:eastAsia="Calibri" w:hAnsi="Arial" w:cs="Arial"/>
          <w:sz w:val="22"/>
        </w:rPr>
        <w:t xml:space="preserve"> indicar: a) la fecha y hora de inicio de la subasta; b) la periodicidad de los </w:t>
      </w:r>
      <w:r w:rsidR="00D643A3" w:rsidRPr="005A4E9E">
        <w:rPr>
          <w:rFonts w:ascii="Arial" w:eastAsia="Calibri" w:hAnsi="Arial" w:cs="Arial"/>
          <w:sz w:val="22"/>
        </w:rPr>
        <w:t>l</w:t>
      </w:r>
      <w:r w:rsidRPr="005A4E9E">
        <w:rPr>
          <w:rFonts w:ascii="Arial" w:eastAsia="Calibri" w:hAnsi="Arial" w:cs="Arial"/>
          <w:sz w:val="22"/>
        </w:rPr>
        <w:t xml:space="preserve">ances; y c) el </w:t>
      </w:r>
      <w:r w:rsidR="00D643A3" w:rsidRPr="005A4E9E">
        <w:rPr>
          <w:rFonts w:ascii="Arial" w:eastAsia="Calibri" w:hAnsi="Arial" w:cs="Arial"/>
          <w:sz w:val="22"/>
        </w:rPr>
        <w:t>m</w:t>
      </w:r>
      <w:r w:rsidRPr="005A4E9E">
        <w:rPr>
          <w:rFonts w:ascii="Arial" w:eastAsia="Calibri" w:hAnsi="Arial" w:cs="Arial"/>
          <w:sz w:val="22"/>
        </w:rPr>
        <w:t xml:space="preserve">argen </w:t>
      </w:r>
      <w:r w:rsidR="00D643A3" w:rsidRPr="005A4E9E">
        <w:rPr>
          <w:rFonts w:ascii="Arial" w:eastAsia="Calibri" w:hAnsi="Arial" w:cs="Arial"/>
          <w:sz w:val="22"/>
        </w:rPr>
        <w:t>m</w:t>
      </w:r>
      <w:r w:rsidRPr="005A4E9E">
        <w:rPr>
          <w:rFonts w:ascii="Arial" w:eastAsia="Calibri" w:hAnsi="Arial" w:cs="Arial"/>
          <w:sz w:val="22"/>
        </w:rPr>
        <w:t>ínimo para mejorar la oferta durante la subasta inversa</w:t>
      </w:r>
      <w:r w:rsidR="00EF21B8" w:rsidRPr="005A4E9E">
        <w:rPr>
          <w:rFonts w:ascii="Arial" w:eastAsia="Calibri" w:hAnsi="Arial" w:cs="Arial"/>
          <w:sz w:val="22"/>
          <w:vertAlign w:val="superscript"/>
          <w:lang w:val="es-ES_tradnl"/>
        </w:rPr>
        <w:footnoteReference w:id="17"/>
      </w:r>
      <w:r w:rsidR="00EF21B8" w:rsidRPr="005A4E9E">
        <w:rPr>
          <w:rFonts w:ascii="Arial" w:eastAsia="Calibri" w:hAnsi="Arial" w:cs="Arial"/>
          <w:sz w:val="22"/>
        </w:rPr>
        <w:t xml:space="preserve">. Así mismo el Decreto 1082 de 2015, contempla la posibilidad de que las entidades realicen procesos de </w:t>
      </w:r>
      <w:r w:rsidR="00EF21B8" w:rsidRPr="005A4E9E">
        <w:rPr>
          <w:rFonts w:ascii="Arial" w:eastAsia="Calibri" w:hAnsi="Arial" w:cs="Arial"/>
          <w:sz w:val="22"/>
        </w:rPr>
        <w:lastRenderedPageBreak/>
        <w:t>subasta de manera presencial o electrónica, precisando que para este último evento el pliego de condiciones deberá establecer el sistema que utilizará y los mecanismos de seguridad para el intercambio de mensaje de datos</w:t>
      </w:r>
      <w:r w:rsidR="00EF21B8" w:rsidRPr="005A4E9E">
        <w:rPr>
          <w:rStyle w:val="Refdenotaalpie"/>
          <w:rFonts w:ascii="Arial" w:eastAsia="Calibri" w:hAnsi="Arial" w:cs="Arial"/>
          <w:sz w:val="22"/>
        </w:rPr>
        <w:footnoteReference w:id="18"/>
      </w:r>
      <w:r w:rsidR="00EF21B8" w:rsidRPr="005A4E9E">
        <w:rPr>
          <w:rFonts w:ascii="Arial" w:eastAsia="Calibri" w:hAnsi="Arial" w:cs="Arial"/>
          <w:sz w:val="22"/>
        </w:rPr>
        <w:t xml:space="preserve">.  </w:t>
      </w:r>
    </w:p>
    <w:p w14:paraId="2026AFFB" w14:textId="77777777" w:rsidR="00315CA7" w:rsidRPr="005A4E9E" w:rsidRDefault="00315CA7" w:rsidP="00315CA7">
      <w:pPr>
        <w:spacing w:before="120" w:line="276" w:lineRule="auto"/>
        <w:ind w:firstLine="709"/>
        <w:jc w:val="both"/>
        <w:rPr>
          <w:rFonts w:ascii="Arial" w:eastAsia="Calibri" w:hAnsi="Arial" w:cs="Arial"/>
          <w:sz w:val="22"/>
        </w:rPr>
      </w:pPr>
      <w:r w:rsidRPr="005A4E9E">
        <w:rPr>
          <w:rFonts w:ascii="Arial" w:eastAsia="Calibri" w:hAnsi="Arial" w:cs="Arial"/>
          <w:sz w:val="22"/>
          <w:lang w:val="es-ES_tradnl"/>
        </w:rPr>
        <w:t>Dicha norma establece que en l</w:t>
      </w:r>
      <w:r w:rsidRPr="005A4E9E">
        <w:rPr>
          <w:rFonts w:ascii="Arial" w:eastAsia="Calibri" w:hAnsi="Arial" w:cs="Arial"/>
          <w:sz w:val="22"/>
        </w:rPr>
        <w:t>os pliegos de condiciones de estos procedimientos se debe indicar: a) la fecha y hora de inicio de la subasta; b) la periodicidad de los lances; y c) el margen mínimo para mejorar la oferta durante la subasta inversa</w:t>
      </w:r>
      <w:r w:rsidRPr="005A4E9E">
        <w:rPr>
          <w:rFonts w:ascii="Arial" w:eastAsia="Calibri" w:hAnsi="Arial" w:cs="Arial"/>
          <w:sz w:val="22"/>
          <w:vertAlign w:val="superscript"/>
          <w:lang w:val="es-ES_tradnl"/>
        </w:rPr>
        <w:footnoteReference w:id="19"/>
      </w:r>
      <w:r w:rsidRPr="005A4E9E">
        <w:rPr>
          <w:rFonts w:ascii="Arial" w:eastAsia="Calibri" w:hAnsi="Arial" w:cs="Arial"/>
          <w:sz w:val="22"/>
        </w:rPr>
        <w:t>. Así mismo el Decreto 1082 de 2015, contempla la posibilidad de que las entidades realicen procesos de subasta de manera presencial o electrónica, precisando que para este último evento el pliego de condiciones deberá establecer el sistema que utilizará y los mecanismos de seguridad para el intercambio de mensaje de datos</w:t>
      </w:r>
      <w:r w:rsidRPr="005A4E9E">
        <w:rPr>
          <w:rFonts w:ascii="Arial" w:eastAsia="Calibri" w:hAnsi="Arial" w:cs="Arial"/>
          <w:sz w:val="22"/>
          <w:vertAlign w:val="superscript"/>
        </w:rPr>
        <w:footnoteReference w:id="20"/>
      </w:r>
      <w:r w:rsidRPr="005A4E9E">
        <w:rPr>
          <w:rFonts w:ascii="Arial" w:eastAsia="Calibri" w:hAnsi="Arial" w:cs="Arial"/>
          <w:sz w:val="22"/>
        </w:rPr>
        <w:t xml:space="preserve">.  </w:t>
      </w:r>
    </w:p>
    <w:p w14:paraId="0739EBD5" w14:textId="15D88639" w:rsidR="00315CA7" w:rsidRPr="005A4E9E" w:rsidRDefault="00315CA7" w:rsidP="00315CA7">
      <w:pPr>
        <w:spacing w:before="120" w:line="276" w:lineRule="auto"/>
        <w:ind w:firstLine="709"/>
        <w:jc w:val="both"/>
        <w:rPr>
          <w:rFonts w:ascii="Arial" w:eastAsia="Calibri" w:hAnsi="Arial" w:cs="Arial"/>
          <w:sz w:val="22"/>
          <w:lang w:val="es-ES_tradnl"/>
        </w:rPr>
      </w:pPr>
      <w:r w:rsidRPr="005A4E9E">
        <w:rPr>
          <w:rFonts w:ascii="Arial" w:eastAsia="Calibri" w:hAnsi="Arial" w:cs="Arial"/>
          <w:sz w:val="22"/>
        </w:rPr>
        <w:lastRenderedPageBreak/>
        <w:t xml:space="preserve">Sobre  la regla especial de subsanabilidad establecida en el parágrafo 4° del artículo 5 de la Ley 1150 de 2007 para el mecanismo de subasta inversa, esta Agencia tuvo la oportunidad de pronunciarse en los conceptos C – 267 y C – 283 del 4 de mayo de 2020 –radicados de salida Nos. 2202013000003319 y 2202013000003320, respectivamente–  precisando que la norma permite a las entidades solicitar a los oferentes que subsanen los documentos referentes a la futura contratación no necesarios para la comparación de las propuestas, hasta el momento previo a la realización a la audiencia a la que hace referencia el artículo </w:t>
      </w:r>
      <w:r w:rsidRPr="005A4E9E">
        <w:rPr>
          <w:rFonts w:ascii="Arial" w:eastAsia="Calibri" w:hAnsi="Arial" w:cs="Arial"/>
          <w:sz w:val="22"/>
          <w:lang w:val="es-ES_tradnl"/>
        </w:rPr>
        <w:t xml:space="preserve">2.2.1.2.1.2.2 del Decreto 1082 de 2015, momento que, además, deberá estar señalado en el pliego de condiciones, independientemente de que la entidad opte para desarrollar la audiencia de manera presencial o través del algún mecanismos electrónico. En defecto de lo anterior, las entidades también podrán </w:t>
      </w:r>
      <w:r w:rsidRPr="005A4E9E">
        <w:rPr>
          <w:rFonts w:ascii="Arial" w:eastAsia="Calibri" w:hAnsi="Arial" w:cs="Arial"/>
          <w:sz w:val="22"/>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5A4E9E">
        <w:rPr>
          <w:rFonts w:ascii="Arial" w:eastAsia="Calibri" w:hAnsi="Arial" w:cs="Arial"/>
          <w:sz w:val="22"/>
          <w:lang w:val="es-ES_tradnl"/>
        </w:rPr>
        <w:t xml:space="preserve"> </w:t>
      </w:r>
    </w:p>
    <w:p w14:paraId="5418EDF8" w14:textId="77777777" w:rsidR="00315CA7" w:rsidRPr="005A4E9E" w:rsidRDefault="00315CA7" w:rsidP="00315CA7">
      <w:pPr>
        <w:spacing w:before="120" w:line="276" w:lineRule="auto"/>
        <w:ind w:firstLine="709"/>
        <w:jc w:val="both"/>
        <w:rPr>
          <w:rFonts w:ascii="Arial" w:eastAsia="Calibri" w:hAnsi="Arial" w:cs="Arial"/>
          <w:sz w:val="22"/>
          <w:lang w:val="es-CO"/>
        </w:rPr>
      </w:pPr>
      <w:r w:rsidRPr="005A4E9E">
        <w:rPr>
          <w:rFonts w:ascii="Arial" w:eastAsia="Calibri" w:hAnsi="Arial" w:cs="Arial"/>
          <w:sz w:val="22"/>
          <w:lang w:val="es-ES_tradnl"/>
        </w:rPr>
        <w:t>Al respecto también se pronunció esta Agencia en el concepto C – 008 del 4 de mayo de 2020 –radicado No.</w:t>
      </w:r>
      <w:r w:rsidRPr="005A4E9E">
        <w:rPr>
          <w:rFonts w:ascii="Arial" w:eastAsia="Calibri" w:hAnsi="Arial" w:cs="Arial"/>
          <w:sz w:val="22"/>
        </w:rPr>
        <w:t xml:space="preserve"> </w:t>
      </w:r>
      <w:r w:rsidRPr="005A4E9E">
        <w:rPr>
          <w:rFonts w:ascii="Arial" w:eastAsia="Calibri" w:hAnsi="Arial" w:cs="Arial"/>
          <w:sz w:val="22"/>
          <w:lang w:val="es-ES_tradnl"/>
        </w:rPr>
        <w:t xml:space="preserve">2202013000003313–, precisando que sin perjuicio de lo anterior, las entidades, de conformidad con el numeral 3 del artículo 2.2.1.2.1.2.2 del Decreto 1082 de 2015, antes de la realización de la subasta deben «publicar un informe de habilitación de los oferentes, en el cual debe indicar si los bienes o servicios ofrecidos por el interesado cumplen con la ficha técnica y si el oferente se encuentra habilitado», publicación que si bien no pone fin a la oportunidad de los proponentes para percatarse de los yerros susceptibles de subsanación, «corresponde a la oportunidad idónea para que los proponentes se percaten de los mismos y procedan a su corrección».  </w:t>
      </w:r>
    </w:p>
    <w:p w14:paraId="5B6E27A5" w14:textId="2A737DA6" w:rsidR="00315CA7" w:rsidRPr="005A4E9E" w:rsidRDefault="00315CA7" w:rsidP="00315CA7">
      <w:pPr>
        <w:spacing w:before="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Ahora, no debe perderse de vista que para este tipo de procedimientos también serán aplicables los criterios arriba desarrollados para determinar si los documentos faltantes son susceptibles de subsanación, como por ejemplo, si tiene</w:t>
      </w:r>
      <w:r w:rsidR="001B6278" w:rsidRPr="005A4E9E">
        <w:rPr>
          <w:rFonts w:ascii="Arial" w:eastAsia="Calibri" w:hAnsi="Arial" w:cs="Arial"/>
          <w:sz w:val="22"/>
          <w:lang w:val="es-ES_tradnl"/>
        </w:rPr>
        <w:t>n</w:t>
      </w:r>
      <w:r w:rsidRPr="005A4E9E">
        <w:rPr>
          <w:rFonts w:ascii="Arial" w:eastAsia="Calibri" w:hAnsi="Arial" w:cs="Arial"/>
          <w:sz w:val="22"/>
          <w:lang w:val="es-ES_tradnl"/>
        </w:rPr>
        <w:t xml:space="preserve"> que ver con el cumplimiento de un requisito que constituye una circunstancia ocurrida con anterioridad o con posterioridad al cierre del proceso. </w:t>
      </w:r>
    </w:p>
    <w:p w14:paraId="1C704341" w14:textId="6C59141C" w:rsidR="00315CA7" w:rsidRPr="005A4E9E" w:rsidRDefault="00315CA7" w:rsidP="00315CA7">
      <w:pPr>
        <w:spacing w:before="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Conforme a lo anterior, a pesar de que no existe un término legal para que los proponentes</w:t>
      </w:r>
      <w:r w:rsidR="00C26B49" w:rsidRPr="005A4E9E">
        <w:rPr>
          <w:rFonts w:ascii="Arial" w:eastAsia="Calibri" w:hAnsi="Arial" w:cs="Arial"/>
          <w:sz w:val="22"/>
          <w:lang w:val="es-ES_tradnl"/>
        </w:rPr>
        <w:t xml:space="preserve"> </w:t>
      </w:r>
      <w:r w:rsidRPr="005A4E9E">
        <w:rPr>
          <w:rFonts w:ascii="Arial" w:eastAsia="Calibri" w:hAnsi="Arial" w:cs="Arial"/>
          <w:sz w:val="22"/>
          <w:lang w:val="es-ES_tradnl"/>
        </w:rPr>
        <w:t xml:space="preserve">subsanen los documentos mediante los cuales </w:t>
      </w:r>
      <w:r w:rsidR="00C26B49" w:rsidRPr="005A4E9E">
        <w:rPr>
          <w:rFonts w:ascii="Arial" w:eastAsia="Calibri" w:hAnsi="Arial" w:cs="Arial"/>
          <w:sz w:val="22"/>
          <w:lang w:val="es-ES_tradnl"/>
        </w:rPr>
        <w:t xml:space="preserve">deben acreditar el cumplimiento de los requisitos </w:t>
      </w:r>
      <w:r w:rsidR="00B77F12" w:rsidRPr="005A4E9E">
        <w:rPr>
          <w:rFonts w:ascii="Arial" w:eastAsia="Calibri" w:hAnsi="Arial" w:cs="Arial"/>
          <w:sz w:val="22"/>
          <w:lang w:val="es-ES_tradnl"/>
        </w:rPr>
        <w:t xml:space="preserve">exigidos </w:t>
      </w:r>
      <w:r w:rsidR="00C26B49" w:rsidRPr="005A4E9E">
        <w:rPr>
          <w:rFonts w:ascii="Arial" w:eastAsia="Calibri" w:hAnsi="Arial" w:cs="Arial"/>
          <w:sz w:val="22"/>
          <w:lang w:val="es-ES_tradnl"/>
        </w:rPr>
        <w:t>para participar en procedimientos de subasta, el parágrafo 4° del artículo 5 de la Ley 1150 de 2007 establece una regla que permite a las entidades solicitar las correspondientes subsanaciones, dotando a estas de cierto margen de discrecionalidad para determinar el término o momento espec</w:t>
      </w:r>
      <w:r w:rsidR="00B42C9D" w:rsidRPr="005A4E9E">
        <w:rPr>
          <w:rFonts w:ascii="Arial" w:eastAsia="Calibri" w:hAnsi="Arial" w:cs="Arial"/>
          <w:sz w:val="22"/>
          <w:lang w:val="es-ES_tradnl"/>
        </w:rPr>
        <w:t>í</w:t>
      </w:r>
      <w:r w:rsidR="00C26B49" w:rsidRPr="005A4E9E">
        <w:rPr>
          <w:rFonts w:ascii="Arial" w:eastAsia="Calibri" w:hAnsi="Arial" w:cs="Arial"/>
          <w:sz w:val="22"/>
          <w:lang w:val="es-ES_tradnl"/>
        </w:rPr>
        <w:t xml:space="preserve">fico dentro del que deberá tener lugar la subsanación, que en todo caso deberá ser previo al inicio de la audiencia de subasta. </w:t>
      </w:r>
    </w:p>
    <w:p w14:paraId="7ACC463A" w14:textId="01E3B46B" w:rsidR="00D56DF2" w:rsidRPr="005A4E9E" w:rsidRDefault="00D56DF2" w:rsidP="005B4DC8">
      <w:pPr>
        <w:spacing w:line="276" w:lineRule="auto"/>
        <w:jc w:val="both"/>
        <w:rPr>
          <w:rFonts w:ascii="Arial" w:eastAsia="Calibri" w:hAnsi="Arial" w:cs="Arial"/>
          <w:sz w:val="22"/>
          <w:lang w:val="es-ES_tradnl"/>
        </w:rPr>
      </w:pPr>
    </w:p>
    <w:p w14:paraId="1ABA580C" w14:textId="7FD502F6" w:rsidR="00D56DF2" w:rsidRPr="005A4E9E" w:rsidRDefault="00D56DF2" w:rsidP="00D56DF2">
      <w:pPr>
        <w:spacing w:line="276" w:lineRule="auto"/>
        <w:jc w:val="both"/>
        <w:rPr>
          <w:rFonts w:ascii="Arial" w:hAnsi="Arial" w:cs="Arial"/>
          <w:b/>
          <w:sz w:val="22"/>
        </w:rPr>
      </w:pPr>
      <w:r w:rsidRPr="005A4E9E">
        <w:rPr>
          <w:rFonts w:ascii="Arial" w:hAnsi="Arial" w:cs="Arial"/>
          <w:b/>
          <w:sz w:val="22"/>
        </w:rPr>
        <w:t>2.</w:t>
      </w:r>
      <w:r w:rsidR="005B4DC8" w:rsidRPr="005A4E9E">
        <w:rPr>
          <w:rFonts w:ascii="Arial" w:hAnsi="Arial" w:cs="Arial"/>
          <w:b/>
          <w:sz w:val="22"/>
        </w:rPr>
        <w:t>4</w:t>
      </w:r>
      <w:r w:rsidRPr="005A4E9E">
        <w:rPr>
          <w:rFonts w:ascii="Arial" w:hAnsi="Arial" w:cs="Arial"/>
          <w:b/>
          <w:sz w:val="22"/>
        </w:rPr>
        <w:t>. Acreditación de experiencia de sociedad</w:t>
      </w:r>
      <w:r w:rsidR="00D96F6F" w:rsidRPr="005A4E9E">
        <w:rPr>
          <w:rFonts w:ascii="Arial" w:hAnsi="Arial" w:cs="Arial"/>
          <w:b/>
          <w:sz w:val="22"/>
        </w:rPr>
        <w:t>es inhabilitadas por parte de sociedades con menos de 3 años de constitución</w:t>
      </w:r>
    </w:p>
    <w:p w14:paraId="79D0744F" w14:textId="77777777" w:rsidR="00D56DF2" w:rsidRPr="005A4E9E" w:rsidRDefault="00D56DF2" w:rsidP="00D56DF2">
      <w:pPr>
        <w:spacing w:line="276" w:lineRule="auto"/>
        <w:jc w:val="both"/>
        <w:rPr>
          <w:rFonts w:ascii="Arial" w:hAnsi="Arial" w:cs="Arial"/>
          <w:b/>
          <w:sz w:val="22"/>
        </w:rPr>
      </w:pPr>
    </w:p>
    <w:p w14:paraId="4A40A9A0" w14:textId="4E8B9163" w:rsidR="00D56DF2" w:rsidRPr="005A4E9E" w:rsidRDefault="00D56DF2" w:rsidP="00D56DF2">
      <w:pPr>
        <w:spacing w:after="120" w:line="276" w:lineRule="auto"/>
        <w:jc w:val="both"/>
        <w:rPr>
          <w:rFonts w:ascii="Arial" w:eastAsia="Calibri" w:hAnsi="Arial" w:cs="Arial"/>
          <w:sz w:val="22"/>
        </w:rPr>
      </w:pPr>
      <w:r w:rsidRPr="005A4E9E">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4201912000004380 del 27 de agosto de 2019, 4201912000004603 del 22 de agosto de 2019, 4201912000004704 del 27 de agosto de 2019, 4201912000004743 del 28 de agosto de 2019, 4201913000005158 del 5 de septiembre de 2019, </w:t>
      </w:r>
      <w:r w:rsidRPr="005A4E9E">
        <w:rPr>
          <w:rFonts w:ascii="Arial" w:hAnsi="Arial" w:cs="Arial"/>
          <w:sz w:val="22"/>
        </w:rPr>
        <w:t xml:space="preserve">4201913000006797 del 19 de noviembre de 2019, </w:t>
      </w:r>
      <w:r w:rsidRPr="005A4E9E">
        <w:rPr>
          <w:rFonts w:ascii="Arial" w:eastAsia="Calibri" w:hAnsi="Arial" w:cs="Arial"/>
          <w:sz w:val="22"/>
        </w:rPr>
        <w:t>4201912000007182 del 3 de diciembre de 2019, 4201912000007512 del 16 de diciembre de 2019, 4201912000007607 del 9 de diciembre de 2019, C – 025 del 16 de marzo de 2020, C - 051 del 2 de marzo de 2020, C – 165 del 1 de abril de 2020 y C – 233 del 16 de abril de 2020 estudió la acreditación de la experiencia de los socios por una sociedad nueva con menos de 3 años de constitución. La tesis desarrollada se expone a continuación.</w:t>
      </w:r>
    </w:p>
    <w:p w14:paraId="4740E91F" w14:textId="3F69D366" w:rsidR="00D56DF2" w:rsidRPr="005A4E9E" w:rsidRDefault="00D56DF2" w:rsidP="00FC7C78">
      <w:pPr>
        <w:spacing w:before="120" w:after="120" w:line="276" w:lineRule="auto"/>
        <w:ind w:firstLine="708"/>
        <w:jc w:val="both"/>
        <w:rPr>
          <w:rFonts w:ascii="Arial" w:hAnsi="Arial" w:cs="Arial"/>
          <w:sz w:val="22"/>
        </w:rPr>
      </w:pPr>
      <w:r w:rsidRPr="005A4E9E">
        <w:rPr>
          <w:rFonts w:ascii="Arial" w:hAnsi="Arial" w:cs="Arial"/>
          <w:sz w:val="22"/>
        </w:rPr>
        <w:t>La Ley 1150 de 2007, en el artículo 5, establece que la capacidad jurídica y las condiciones de experiencia, capacidad financiera y de organización de los proponentes serán objeto de verificación por parte de las entidades como requisitos habilitantes para la</w:t>
      </w:r>
      <w:r w:rsidR="00E14E3E" w:rsidRPr="005A4E9E">
        <w:rPr>
          <w:rFonts w:ascii="Arial" w:hAnsi="Arial" w:cs="Arial"/>
          <w:sz w:val="22"/>
        </w:rPr>
        <w:t xml:space="preserve"> </w:t>
      </w:r>
      <w:r w:rsidRPr="005A4E9E">
        <w:rPr>
          <w:rFonts w:ascii="Arial" w:hAnsi="Arial" w:cs="Arial"/>
          <w:sz w:val="22"/>
        </w:rPr>
        <w:t xml:space="preserve">participación en el proceso de selección y no otorgarán puntaje; con excepción del proceso de selección de consultores, donde es posible otorgar puntaje al criterio de experiencia. </w:t>
      </w:r>
    </w:p>
    <w:p w14:paraId="203C1DF5"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3D5615B9"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5A4E9E">
        <w:rPr>
          <w:rStyle w:val="Refdenotaalpie"/>
          <w:rFonts w:ascii="Arial" w:hAnsi="Arial" w:cs="Arial"/>
          <w:sz w:val="22"/>
        </w:rPr>
        <w:footnoteReference w:id="21"/>
      </w:r>
      <w:r w:rsidRPr="005A4E9E">
        <w:rPr>
          <w:rFonts w:ascii="Arial" w:hAnsi="Arial" w:cs="Arial"/>
          <w:sz w:val="22"/>
        </w:rPr>
        <w:t xml:space="preserve">.  </w:t>
      </w:r>
    </w:p>
    <w:p w14:paraId="2A8C2C41" w14:textId="78401425"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lastRenderedPageBreak/>
        <w:t>El numeral 2.5</w:t>
      </w:r>
      <w:r w:rsidRPr="005A4E9E">
        <w:rPr>
          <w:rStyle w:val="Refdenotaalpie"/>
          <w:rFonts w:ascii="Arial" w:hAnsi="Arial" w:cs="Arial"/>
          <w:sz w:val="22"/>
        </w:rPr>
        <w:footnoteReference w:id="22"/>
      </w:r>
      <w:r w:rsidRPr="005A4E9E">
        <w:rPr>
          <w:rFonts w:ascii="Arial" w:hAnsi="Arial" w:cs="Arial"/>
          <w:sz w:val="22"/>
        </w:rPr>
        <w:t xml:space="preserve"> del mismo artículo señala que la persona jurídica se registrará aportando los certificados de la experiencia en la provisión de los bienes, obras y servicios que ofrecerá a las </w:t>
      </w:r>
      <w:r w:rsidR="005821CF" w:rsidRPr="005A4E9E">
        <w:rPr>
          <w:rFonts w:ascii="Arial" w:hAnsi="Arial" w:cs="Arial"/>
          <w:sz w:val="22"/>
        </w:rPr>
        <w:t>e</w:t>
      </w:r>
      <w:r w:rsidRPr="005A4E9E">
        <w:rPr>
          <w:rFonts w:ascii="Arial" w:hAnsi="Arial" w:cs="Arial"/>
          <w:sz w:val="22"/>
        </w:rPr>
        <w:t xml:space="preserve">ntidades </w:t>
      </w:r>
      <w:r w:rsidR="005821CF" w:rsidRPr="005A4E9E">
        <w:rPr>
          <w:rFonts w:ascii="Arial" w:hAnsi="Arial" w:cs="Arial"/>
          <w:sz w:val="22"/>
        </w:rPr>
        <w:t>e</w:t>
      </w:r>
      <w:r w:rsidRPr="005A4E9E">
        <w:rPr>
          <w:rFonts w:ascii="Arial" w:hAnsi="Arial" w:cs="Arial"/>
          <w:sz w:val="22"/>
        </w:rPr>
        <w:t xml:space="preserve">statales, los cuales deben ser expedidos por terceros que hayan recibido tales bienes, obras o servicios y deben corresponder a contratos ejecutados o copias de los contratos cuando el interesado no puede obtener tal certificado. </w:t>
      </w:r>
    </w:p>
    <w:p w14:paraId="5E8A8F7B"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04AF41AC"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5A4E9E">
        <w:rPr>
          <w:rFonts w:ascii="Arial" w:eastAsia="Calibri" w:hAnsi="Arial" w:cs="Arial"/>
          <w:sz w:val="22"/>
        </w:rPr>
        <w:t>─</w:t>
      </w:r>
      <w:r w:rsidRPr="005A4E9E">
        <w:rPr>
          <w:rFonts w:ascii="Arial" w:hAnsi="Arial" w:cs="Arial"/>
          <w:sz w:val="22"/>
        </w:rPr>
        <w:t>con menos de 3 años de constitución</w:t>
      </w:r>
      <w:r w:rsidRPr="005A4E9E">
        <w:rPr>
          <w:rFonts w:ascii="Arial" w:eastAsia="Calibri" w:hAnsi="Arial" w:cs="Arial"/>
          <w:sz w:val="22"/>
        </w:rPr>
        <w:t>─</w:t>
      </w:r>
      <w:r w:rsidRPr="005A4E9E">
        <w:rPr>
          <w:rFonts w:ascii="Arial" w:hAnsi="Arial" w:cs="Arial"/>
          <w:sz w:val="22"/>
        </w:rPr>
        <w:t xml:space="preserve"> puedan acreditar como experiencia en el RUP la de sus accionistas, socios o constituyentes. </w:t>
      </w:r>
    </w:p>
    <w:p w14:paraId="52770ABF"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BE4221F"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9FDC5D8"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lastRenderedPageBreak/>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579BCD5A"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0F21E664"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Teniendo en cuenta lo anterior, aunque la persona jurídica tenga más de tres años de constituida y haya registrado inicialmente la experiencia de sus socios en el RUP </w:t>
      </w:r>
      <w:r w:rsidRPr="005A4E9E">
        <w:rPr>
          <w:rFonts w:ascii="Arial" w:eastAsia="Calibri" w:hAnsi="Arial" w:cs="Arial"/>
          <w:sz w:val="22"/>
        </w:rPr>
        <w:t>―</w:t>
      </w:r>
      <w:r w:rsidRPr="005A4E9E">
        <w:rPr>
          <w:rFonts w:ascii="Arial" w:hAnsi="Arial" w:cs="Arial"/>
          <w:sz w:val="22"/>
        </w:rPr>
        <w:t>pues su constitución era inferior a tres años</w:t>
      </w:r>
      <w:r w:rsidRPr="005A4E9E">
        <w:rPr>
          <w:rFonts w:ascii="Arial" w:eastAsia="Calibri" w:hAnsi="Arial" w:cs="Arial"/>
          <w:sz w:val="22"/>
        </w:rPr>
        <w:t>―</w:t>
      </w:r>
      <w:r w:rsidRPr="005A4E9E">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2904500"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Posición contraria se adoptó en un concepto identificado con radicado No. 4201814000001418,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13B3CD18"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3CFDF1E"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08AF7418"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E05694D"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w:t>
      </w:r>
      <w:r w:rsidRPr="005A4E9E">
        <w:rPr>
          <w:rFonts w:ascii="Arial" w:hAnsi="Arial" w:cs="Arial"/>
          <w:sz w:val="22"/>
        </w:rPr>
        <w:lastRenderedPageBreak/>
        <w:t xml:space="preserve">constituida la persona jurídica a los que hace referencia la norma, pues no se cumple con el presupuesto normativo para acceder al beneficio que contempla el Decreto 1082. </w:t>
      </w:r>
    </w:p>
    <w:p w14:paraId="40A58BBC"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5A4E9E">
        <w:rPr>
          <w:rFonts w:ascii="Arial" w:eastAsia="Calibri" w:hAnsi="Arial" w:cs="Arial"/>
          <w:sz w:val="22"/>
        </w:rPr>
        <w:t>―</w:t>
      </w:r>
      <w:r w:rsidRPr="005A4E9E">
        <w:rPr>
          <w:rFonts w:ascii="Arial" w:hAnsi="Arial" w:cs="Arial"/>
          <w:sz w:val="22"/>
        </w:rPr>
        <w:t>únicamente para la capacidad jurídica y experiencia</w:t>
      </w:r>
      <w:r w:rsidRPr="005A4E9E">
        <w:rPr>
          <w:rFonts w:ascii="Arial" w:eastAsia="Calibri" w:hAnsi="Arial" w:cs="Arial"/>
          <w:sz w:val="22"/>
        </w:rPr>
        <w:t>―</w:t>
      </w:r>
      <w:r w:rsidRPr="005A4E9E">
        <w:rPr>
          <w:rFonts w:ascii="Arial" w:hAnsi="Arial" w:cs="Arial"/>
          <w:sz w:val="22"/>
        </w:rPr>
        <w:t xml:space="preserve"> y debe ser verificada junto con sus soportes por la Cámara de Comercio correspondiente. </w:t>
      </w:r>
    </w:p>
    <w:p w14:paraId="29EE8031"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 jurídica. </w:t>
      </w:r>
    </w:p>
    <w:p w14:paraId="3DB8A9EC"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más recientes</w:t>
      </w:r>
      <w:r w:rsidRPr="005A4E9E">
        <w:rPr>
          <w:rStyle w:val="Refdenotaalpie"/>
          <w:rFonts w:ascii="Arial" w:hAnsi="Arial" w:cs="Arial"/>
          <w:sz w:val="22"/>
        </w:rPr>
        <w:footnoteReference w:id="23"/>
      </w:r>
      <w:r w:rsidRPr="005A4E9E">
        <w:rPr>
          <w:rFonts w:ascii="Arial" w:hAnsi="Arial" w:cs="Arial"/>
          <w:sz w:val="22"/>
        </w:rPr>
        <w:t xml:space="preserve">, esto es, posteriores a la acogida en el Concepto del 3 de abril de 2018 antes citado. </w:t>
      </w:r>
    </w:p>
    <w:p w14:paraId="705B9F91"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 </w:t>
      </w:r>
    </w:p>
    <w:p w14:paraId="06057FE8" w14:textId="77777777" w:rsidR="00D56DF2" w:rsidRPr="005A4E9E" w:rsidRDefault="00D56DF2" w:rsidP="00D56DF2">
      <w:pPr>
        <w:spacing w:before="120" w:after="120" w:line="276" w:lineRule="auto"/>
        <w:ind w:firstLine="708"/>
        <w:jc w:val="both"/>
        <w:rPr>
          <w:rFonts w:ascii="Arial" w:hAnsi="Arial" w:cs="Arial"/>
          <w:sz w:val="22"/>
        </w:rPr>
      </w:pPr>
      <w:r w:rsidRPr="005A4E9E">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w:t>
      </w:r>
      <w:r w:rsidRPr="005A4E9E">
        <w:rPr>
          <w:rFonts w:ascii="Arial" w:hAnsi="Arial" w:cs="Arial"/>
          <w:sz w:val="22"/>
        </w:rPr>
        <w:lastRenderedPageBreak/>
        <w:t xml:space="preserve">efectos y la Cámara de Comercio tiene que hacer nuevamente la verificación documental de la información presentada al momento de inscribirse en el registro.  </w:t>
      </w:r>
    </w:p>
    <w:p w14:paraId="1C088F12" w14:textId="77777777" w:rsidR="00D56DF2" w:rsidRPr="005A4E9E" w:rsidRDefault="00D56DF2" w:rsidP="00D56DF2">
      <w:pPr>
        <w:spacing w:line="276" w:lineRule="auto"/>
        <w:ind w:firstLine="708"/>
        <w:jc w:val="both"/>
        <w:rPr>
          <w:rFonts w:ascii="Arial" w:hAnsi="Arial" w:cs="Arial"/>
          <w:sz w:val="22"/>
        </w:rPr>
      </w:pPr>
      <w:r w:rsidRPr="005A4E9E">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0F656A54" w14:textId="77777777" w:rsidR="00D56DF2" w:rsidRPr="005A4E9E" w:rsidRDefault="00D56DF2" w:rsidP="00D56DF2">
      <w:pPr>
        <w:spacing w:line="276" w:lineRule="auto"/>
        <w:ind w:firstLine="708"/>
        <w:jc w:val="both"/>
        <w:rPr>
          <w:rFonts w:ascii="Arial" w:hAnsi="Arial" w:cs="Arial"/>
          <w:sz w:val="22"/>
        </w:rPr>
      </w:pPr>
    </w:p>
    <w:p w14:paraId="40ACC240" w14:textId="77777777" w:rsidR="00D56DF2" w:rsidRPr="005A4E9E" w:rsidRDefault="00D56DF2" w:rsidP="00D56DF2">
      <w:pPr>
        <w:ind w:left="709" w:right="709"/>
        <w:jc w:val="both"/>
        <w:rPr>
          <w:rFonts w:ascii="Arial" w:hAnsi="Arial" w:cs="Arial"/>
          <w:sz w:val="21"/>
          <w:szCs w:val="21"/>
        </w:rPr>
      </w:pPr>
      <w:r w:rsidRPr="005A4E9E">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EA4F1C2" w14:textId="77777777" w:rsidR="00D56DF2" w:rsidRPr="005A4E9E" w:rsidRDefault="00D56DF2" w:rsidP="00D56DF2">
      <w:pPr>
        <w:ind w:left="709" w:right="709"/>
        <w:jc w:val="both"/>
        <w:rPr>
          <w:rFonts w:ascii="Arial" w:hAnsi="Arial" w:cs="Arial"/>
          <w:sz w:val="21"/>
          <w:szCs w:val="21"/>
        </w:rPr>
      </w:pPr>
    </w:p>
    <w:p w14:paraId="58DB7784" w14:textId="77777777" w:rsidR="00D56DF2" w:rsidRPr="005A4E9E" w:rsidRDefault="00D56DF2" w:rsidP="00D56DF2">
      <w:pPr>
        <w:spacing w:line="276" w:lineRule="auto"/>
        <w:ind w:firstLine="708"/>
        <w:jc w:val="both"/>
        <w:rPr>
          <w:rFonts w:ascii="Arial" w:hAnsi="Arial" w:cs="Arial"/>
          <w:sz w:val="22"/>
        </w:rPr>
      </w:pPr>
      <w:r w:rsidRPr="005A4E9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7684ED33" w14:textId="502977BD" w:rsidR="00DE257C" w:rsidRPr="005A4E9E" w:rsidRDefault="00D56DF2" w:rsidP="00DE257C">
      <w:pPr>
        <w:spacing w:before="120" w:after="120" w:line="276" w:lineRule="auto"/>
        <w:ind w:firstLine="708"/>
        <w:jc w:val="both"/>
        <w:rPr>
          <w:rFonts w:ascii="Arial" w:hAnsi="Arial" w:cs="Arial"/>
          <w:sz w:val="22"/>
        </w:rPr>
      </w:pPr>
      <w:r w:rsidRPr="005A4E9E">
        <w:rPr>
          <w:rFonts w:ascii="Arial" w:hAnsi="Arial" w:cs="Arial"/>
          <w:sz w:val="22"/>
        </w:rPr>
        <w:t>En este sentido, si bien la norma no dispone qué sucede con la experiencia aportada por los socios, accionistas o constituyentes, después de los 3 años de constituida la persona jurídica, para esta Subdirección sigue siendo válida, por lo que la entidad la deberá tener en cuenta</w:t>
      </w:r>
      <w:r w:rsidR="00DE257C" w:rsidRPr="005A4E9E">
        <w:rPr>
          <w:rFonts w:ascii="Arial" w:hAnsi="Arial" w:cs="Arial"/>
          <w:sz w:val="22"/>
        </w:rPr>
        <w:t>, ya que</w:t>
      </w:r>
      <w:r w:rsidRPr="005A4E9E">
        <w:rPr>
          <w:rFonts w:ascii="Arial" w:hAnsi="Arial" w:cs="Arial"/>
          <w:sz w:val="22"/>
        </w:rPr>
        <w:t xml:space="preserve"> de esta forma se garantiza la pluralidad de oferentes en los procesos de contratación. </w:t>
      </w:r>
    </w:p>
    <w:p w14:paraId="65958413" w14:textId="57B451F5" w:rsidR="00DE257C" w:rsidRPr="005A4E9E" w:rsidRDefault="00DE257C" w:rsidP="00DE257C">
      <w:pPr>
        <w:spacing w:before="120" w:after="120" w:line="276" w:lineRule="auto"/>
        <w:ind w:firstLine="708"/>
        <w:jc w:val="both"/>
        <w:rPr>
          <w:rFonts w:ascii="Arial" w:eastAsia="Calibri" w:hAnsi="Arial" w:cs="Arial"/>
          <w:sz w:val="22"/>
          <w:lang w:val="es-ES_tradnl"/>
        </w:rPr>
      </w:pPr>
      <w:r w:rsidRPr="005A4E9E">
        <w:rPr>
          <w:rFonts w:ascii="Arial" w:hAnsi="Arial" w:cs="Arial"/>
          <w:sz w:val="22"/>
        </w:rPr>
        <w:t>Ahora bien, ¿resulta v</w:t>
      </w:r>
      <w:r w:rsidR="000C60BB" w:rsidRPr="005A4E9E">
        <w:rPr>
          <w:rFonts w:ascii="Arial" w:hAnsi="Arial" w:cs="Arial"/>
          <w:sz w:val="22"/>
        </w:rPr>
        <w:t>á</w:t>
      </w:r>
      <w:r w:rsidRPr="005A4E9E">
        <w:rPr>
          <w:rFonts w:ascii="Arial" w:hAnsi="Arial" w:cs="Arial"/>
          <w:sz w:val="22"/>
        </w:rPr>
        <w:t>lido que una sociedad acredite la experiencia de uno de sus socios</w:t>
      </w:r>
      <w:r w:rsidR="00B07D90" w:rsidRPr="005A4E9E">
        <w:rPr>
          <w:rFonts w:ascii="Arial" w:hAnsi="Arial" w:cs="Arial"/>
          <w:sz w:val="22"/>
        </w:rPr>
        <w:t>,</w:t>
      </w:r>
      <w:r w:rsidRPr="005A4E9E">
        <w:rPr>
          <w:rFonts w:ascii="Arial" w:hAnsi="Arial" w:cs="Arial"/>
          <w:sz w:val="22"/>
        </w:rPr>
        <w:t xml:space="preserve"> siendo este una sociedad inhabilitada? Para responder a este interrogante es necesario precisar que l</w:t>
      </w:r>
      <w:r w:rsidRPr="005A4E9E">
        <w:rPr>
          <w:rFonts w:ascii="Arial" w:eastAsia="Calibri" w:hAnsi="Arial" w:cs="Arial"/>
          <w:sz w:val="22"/>
          <w:lang w:val="es-ES_tradnl"/>
        </w:rPr>
        <w:t>as inhabilidades son prohibiciones para concurrir a los procedimientos de selección y para contratar con el Estado, que se derivan i) de la existencia de comportamientos reprochables o de sanciones anteriormente impuestas</w:t>
      </w:r>
      <w:r w:rsidRPr="005A4E9E">
        <w:rPr>
          <w:rFonts w:ascii="Arial" w:eastAsia="Calibri" w:hAnsi="Arial" w:cs="Arial"/>
          <w:sz w:val="22"/>
          <w:vertAlign w:val="superscript"/>
          <w:lang w:val="es-ES_tradnl"/>
        </w:rPr>
        <w:footnoteReference w:id="24"/>
      </w:r>
      <w:r w:rsidRPr="005A4E9E">
        <w:rPr>
          <w:rFonts w:ascii="Arial" w:eastAsia="Calibri" w:hAnsi="Arial" w:cs="Arial"/>
          <w:sz w:val="22"/>
          <w:lang w:val="es-ES_tradnl"/>
        </w:rPr>
        <w:t xml:space="preserve">, ii) </w:t>
      </w:r>
      <w:r w:rsidRPr="005A4E9E">
        <w:rPr>
          <w:rFonts w:ascii="Arial" w:eastAsia="Calibri" w:hAnsi="Arial" w:cs="Arial"/>
          <w:sz w:val="22"/>
          <w:lang w:val="es-ES_tradnl"/>
        </w:rPr>
        <w:lastRenderedPageBreak/>
        <w:t>de vínculos personales relativos al parentesco o al estado civil</w:t>
      </w:r>
      <w:r w:rsidRPr="005A4E9E">
        <w:rPr>
          <w:rFonts w:ascii="Arial" w:eastAsia="Calibri" w:hAnsi="Arial" w:cs="Arial"/>
          <w:sz w:val="22"/>
          <w:vertAlign w:val="superscript"/>
          <w:lang w:val="es-ES_tradnl"/>
        </w:rPr>
        <w:footnoteReference w:id="25"/>
      </w:r>
      <w:r w:rsidRPr="005A4E9E">
        <w:rPr>
          <w:rFonts w:ascii="Arial" w:eastAsia="Calibri" w:hAnsi="Arial" w:cs="Arial"/>
          <w:sz w:val="22"/>
          <w:lang w:val="es-ES_tradnl"/>
        </w:rPr>
        <w:t xml:space="preserve"> o iii) de una actividad u oficio que se desempeñó en el pasado</w:t>
      </w:r>
      <w:r w:rsidRPr="005A4E9E">
        <w:rPr>
          <w:rFonts w:ascii="Arial" w:eastAsia="Calibri" w:hAnsi="Arial" w:cs="Arial"/>
          <w:sz w:val="22"/>
          <w:vertAlign w:val="superscript"/>
          <w:lang w:val="es-ES_tradnl"/>
        </w:rPr>
        <w:footnoteReference w:id="26"/>
      </w:r>
      <w:r w:rsidRPr="005A4E9E">
        <w:rPr>
          <w:rFonts w:ascii="Arial" w:eastAsia="Calibri" w:hAnsi="Arial" w:cs="Arial"/>
          <w:sz w:val="22"/>
          <w:lang w:val="es-ES_tradnl"/>
        </w:rPr>
        <w:t xml:space="preserve">. </w:t>
      </w:r>
    </w:p>
    <w:p w14:paraId="33F8C5C3" w14:textId="55818907" w:rsidR="00DE257C" w:rsidRPr="005A4E9E" w:rsidRDefault="00DE257C" w:rsidP="00DE257C">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Tal como lo sostuvo esta Agencia en el concepto C – 246 del 3 de abril de 2020 –radicado No. 2202013000002417–</w:t>
      </w:r>
      <w:r w:rsidR="00B07D90" w:rsidRPr="005A4E9E">
        <w:rPr>
          <w:rFonts w:ascii="Arial" w:eastAsia="Calibri" w:hAnsi="Arial" w:cs="Arial"/>
          <w:sz w:val="22"/>
          <w:lang w:val="es-ES_tradnl"/>
        </w:rPr>
        <w:t>,</w:t>
      </w:r>
      <w:r w:rsidRPr="005A4E9E">
        <w:rPr>
          <w:rFonts w:ascii="Arial" w:eastAsia="Calibri" w:hAnsi="Arial" w:cs="Arial"/>
          <w:sz w:val="22"/>
          <w:lang w:val="es-ES_tradnl"/>
        </w:rPr>
        <w:t xml:space="preserve">  el régimen de inhabilidades en la contratación pública </w:t>
      </w:r>
      <w:r w:rsidRPr="005A4E9E">
        <w:rPr>
          <w:rFonts w:ascii="Arial" w:eastAsia="Calibri" w:hAnsi="Arial" w:cs="Arial"/>
          <w:sz w:val="22"/>
          <w:lang w:val="es-ES_tradnl"/>
        </w:rPr>
        <w:lastRenderedPageBreak/>
        <w:t>«responde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w:t>
      </w:r>
      <w:r w:rsidRPr="005A4E9E">
        <w:rPr>
          <w:rFonts w:ascii="Arial" w:eastAsia="Calibri" w:hAnsi="Arial" w:cs="Arial"/>
          <w:sz w:val="22"/>
          <w:vertAlign w:val="superscript"/>
          <w:lang w:val="es-ES_tradnl"/>
        </w:rPr>
        <w:footnoteReference w:id="27"/>
      </w:r>
      <w:r w:rsidRPr="005A4E9E">
        <w:rPr>
          <w:rFonts w:ascii="Arial" w:eastAsia="Calibri" w:hAnsi="Arial" w:cs="Arial"/>
          <w:sz w:val="22"/>
          <w:lang w:val="es-ES_tradnl"/>
        </w:rPr>
        <w:t>. Si bien no todas las causales de inhabilidad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9C7A327" w14:textId="34615721" w:rsidR="00DE257C" w:rsidRPr="005A4E9E" w:rsidRDefault="00DE257C" w:rsidP="00DE257C">
      <w:pPr>
        <w:spacing w:before="120"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Ahora bien, las inhabilidades</w:t>
      </w:r>
      <w:r w:rsidR="00D96F6F" w:rsidRPr="005A4E9E">
        <w:rPr>
          <w:rFonts w:ascii="Arial" w:eastAsia="Calibri" w:hAnsi="Arial" w:cs="Arial"/>
          <w:sz w:val="22"/>
          <w:lang w:val="es-ES_tradnl"/>
        </w:rPr>
        <w:t xml:space="preserve"> </w:t>
      </w:r>
      <w:r w:rsidRPr="005A4E9E">
        <w:rPr>
          <w:rFonts w:ascii="Arial" w:eastAsia="Calibri" w:hAnsi="Arial" w:cs="Arial"/>
          <w:sz w:val="22"/>
          <w:lang w:val="es-ES_tradnl"/>
        </w:rPr>
        <w:t>–como ya se dijo–</w:t>
      </w:r>
      <w:r w:rsidR="00604CF2" w:rsidRPr="005A4E9E">
        <w:rPr>
          <w:rFonts w:ascii="Arial" w:eastAsia="Calibri" w:hAnsi="Arial" w:cs="Arial"/>
          <w:sz w:val="22"/>
          <w:lang w:val="es-ES_tradnl"/>
        </w:rPr>
        <w:t>,</w:t>
      </w:r>
      <w:r w:rsidRPr="005A4E9E">
        <w:rPr>
          <w:rFonts w:ascii="Arial" w:eastAsia="Calibri" w:hAnsi="Arial" w:cs="Arial"/>
          <w:sz w:val="22"/>
          <w:lang w:val="es-ES_tradnl"/>
        </w:rPr>
        <w:t xml:space="preserve"> al ser restricciones o límites especiales a la capacidad para presentar ofertas y celebrar contratos estatales, solo pueden tipificarse en la ley –o sea, deben satisfacer el principio de legalidad– y su interpretación debe ser </w:t>
      </w:r>
      <w:r w:rsidRPr="005A4E9E">
        <w:rPr>
          <w:rFonts w:ascii="Arial" w:eastAsia="Calibri" w:hAnsi="Arial" w:cs="Arial"/>
          <w:i/>
          <w:iCs/>
          <w:sz w:val="22"/>
          <w:lang w:val="es-ES_tradnl"/>
        </w:rPr>
        <w:t>restrictiva</w:t>
      </w:r>
      <w:r w:rsidRPr="005A4E9E">
        <w:rPr>
          <w:rFonts w:ascii="Arial" w:eastAsia="Calibri" w:hAnsi="Arial" w:cs="Arial"/>
          <w:sz w:val="22"/>
          <w:vertAlign w:val="superscript"/>
          <w:lang w:val="es-ES_tradnl"/>
        </w:rPr>
        <w:footnoteReference w:id="28"/>
      </w:r>
      <w:r w:rsidRPr="005A4E9E">
        <w:rPr>
          <w:rFonts w:ascii="Arial" w:eastAsia="Calibri" w:hAnsi="Arial" w:cs="Arial"/>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2ACAFCCA" w14:textId="77777777" w:rsidR="00DE257C" w:rsidRPr="005A4E9E" w:rsidRDefault="00DE257C" w:rsidP="00DE257C">
      <w:pPr>
        <w:spacing w:before="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5A4E9E">
        <w:rPr>
          <w:rFonts w:ascii="Arial" w:eastAsia="Calibri" w:hAnsi="Arial" w:cs="Arial"/>
          <w:sz w:val="22"/>
          <w:vertAlign w:val="superscript"/>
          <w:lang w:val="es-ES_tradnl"/>
        </w:rPr>
        <w:footnoteReference w:id="29"/>
      </w:r>
      <w:r w:rsidRPr="005A4E9E">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5A4E9E">
        <w:rPr>
          <w:rFonts w:ascii="Arial" w:eastAsia="Calibri" w:hAnsi="Arial" w:cs="Arial"/>
          <w:sz w:val="22"/>
          <w:vertAlign w:val="superscript"/>
          <w:lang w:val="es-ES_tradnl"/>
        </w:rPr>
        <w:footnoteReference w:id="30"/>
      </w:r>
      <w:r w:rsidRPr="005A4E9E">
        <w:rPr>
          <w:rFonts w:ascii="Arial" w:eastAsia="Calibri" w:hAnsi="Arial" w:cs="Arial"/>
          <w:sz w:val="22"/>
          <w:lang w:val="es-ES_tradnl"/>
        </w:rPr>
        <w:t>. En tal sentido, la Sección Tercera ha señalado que:</w:t>
      </w:r>
    </w:p>
    <w:p w14:paraId="4850A142" w14:textId="77777777" w:rsidR="00DE257C" w:rsidRPr="005A4E9E" w:rsidRDefault="00DE257C" w:rsidP="00DE257C">
      <w:pPr>
        <w:spacing w:line="276" w:lineRule="auto"/>
        <w:ind w:firstLine="709"/>
        <w:jc w:val="both"/>
        <w:rPr>
          <w:rFonts w:ascii="Arial" w:eastAsia="Calibri" w:hAnsi="Arial" w:cs="Arial"/>
          <w:sz w:val="22"/>
          <w:lang w:val="es-ES_tradnl"/>
        </w:rPr>
      </w:pPr>
    </w:p>
    <w:p w14:paraId="58472C94" w14:textId="77777777" w:rsidR="00DE257C" w:rsidRPr="005A4E9E" w:rsidRDefault="00DE257C" w:rsidP="00DE257C">
      <w:pPr>
        <w:ind w:left="709" w:right="709"/>
        <w:jc w:val="both"/>
        <w:rPr>
          <w:rFonts w:ascii="Arial" w:hAnsi="Arial" w:cs="Arial"/>
          <w:sz w:val="21"/>
          <w:szCs w:val="21"/>
          <w:lang w:val="es-ES_tradnl"/>
        </w:rPr>
      </w:pPr>
      <w:r w:rsidRPr="005A4E9E">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5A4E9E">
        <w:rPr>
          <w:rFonts w:ascii="Arial" w:hAnsi="Arial" w:cs="Arial"/>
          <w:sz w:val="21"/>
          <w:szCs w:val="21"/>
          <w:vertAlign w:val="superscript"/>
          <w:lang w:val="es-ES_tradnl"/>
        </w:rPr>
        <w:footnoteReference w:id="31"/>
      </w:r>
      <w:r w:rsidRPr="005A4E9E">
        <w:rPr>
          <w:rFonts w:ascii="Arial" w:hAnsi="Arial" w:cs="Arial"/>
          <w:sz w:val="21"/>
          <w:szCs w:val="21"/>
          <w:lang w:val="es-ES_tradnl"/>
        </w:rPr>
        <w:t>.</w:t>
      </w:r>
    </w:p>
    <w:p w14:paraId="3D860E2C" w14:textId="77777777" w:rsidR="00DE257C" w:rsidRPr="005A4E9E" w:rsidRDefault="00DE257C" w:rsidP="00DE257C">
      <w:pPr>
        <w:ind w:left="709" w:right="709"/>
        <w:jc w:val="both"/>
        <w:rPr>
          <w:rFonts w:ascii="Arial" w:hAnsi="Arial" w:cs="Arial"/>
          <w:bCs/>
          <w:sz w:val="21"/>
          <w:szCs w:val="21"/>
          <w:lang w:val="es-ES_tradnl"/>
        </w:rPr>
      </w:pPr>
    </w:p>
    <w:p w14:paraId="5ADA70BF" w14:textId="77777777" w:rsidR="00DE257C" w:rsidRPr="005A4E9E" w:rsidRDefault="00DE257C" w:rsidP="00DE257C">
      <w:pPr>
        <w:spacing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También ha dicho que:</w:t>
      </w:r>
    </w:p>
    <w:p w14:paraId="09242329" w14:textId="77777777" w:rsidR="00DE257C" w:rsidRPr="005A4E9E" w:rsidRDefault="00DE257C" w:rsidP="00DE257C">
      <w:pPr>
        <w:ind w:firstLine="709"/>
        <w:jc w:val="both"/>
        <w:rPr>
          <w:rFonts w:ascii="Arial" w:eastAsia="Calibri" w:hAnsi="Arial" w:cs="Arial"/>
          <w:sz w:val="21"/>
          <w:szCs w:val="21"/>
          <w:lang w:val="es-ES_tradnl"/>
        </w:rPr>
      </w:pPr>
    </w:p>
    <w:p w14:paraId="4A659238" w14:textId="77777777" w:rsidR="00DE257C" w:rsidRPr="005A4E9E" w:rsidRDefault="00DE257C" w:rsidP="00DE257C">
      <w:pPr>
        <w:ind w:left="709" w:right="709"/>
        <w:jc w:val="both"/>
        <w:rPr>
          <w:rFonts w:ascii="Arial" w:hAnsi="Arial" w:cs="Arial"/>
          <w:sz w:val="21"/>
          <w:szCs w:val="21"/>
          <w:lang w:val="es-ES_tradnl"/>
        </w:rPr>
      </w:pPr>
      <w:r w:rsidRPr="005A4E9E">
        <w:rPr>
          <w:rFonts w:ascii="Arial" w:hAnsi="Arial" w:cs="Arial"/>
          <w:sz w:val="21"/>
          <w:szCs w:val="21"/>
          <w:lang w:val="es-ES_tradnl"/>
        </w:rPr>
        <w:t xml:space="preserve">[…] la aplicación de estos preceptos exige una interpretación restrictiva, dado que según el principio </w:t>
      </w:r>
      <w:bookmarkStart w:id="8" w:name="_Hlk36113778"/>
      <w:r w:rsidRPr="005A4E9E">
        <w:rPr>
          <w:rFonts w:ascii="Arial" w:hAnsi="Arial" w:cs="Arial"/>
          <w:sz w:val="21"/>
          <w:szCs w:val="21"/>
          <w:lang w:val="es-ES_tradnl"/>
        </w:rPr>
        <w:t xml:space="preserve">hermenéutico </w:t>
      </w:r>
      <w:r w:rsidRPr="005A4E9E">
        <w:rPr>
          <w:rFonts w:ascii="Arial" w:hAnsi="Arial" w:cs="Arial"/>
          <w:i/>
          <w:iCs/>
          <w:sz w:val="21"/>
          <w:szCs w:val="21"/>
          <w:lang w:val="es-ES_tradnl"/>
        </w:rPr>
        <w:t>pro libertate</w:t>
      </w:r>
      <w:r w:rsidRPr="005A4E9E">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w:t>
      </w:r>
      <w:bookmarkEnd w:id="8"/>
      <w:r w:rsidRPr="005A4E9E">
        <w:rPr>
          <w:rFonts w:ascii="Arial" w:hAnsi="Arial" w:cs="Arial"/>
          <w:sz w:val="21"/>
          <w:szCs w:val="21"/>
          <w:lang w:val="es-ES_tradnl"/>
        </w:rPr>
        <w:t>, toda vez que las palabras de la ley son la frontera que no se puede traspasar en el ejercicio hermenéutico de las mismas, pues de hacerlo se vulnerarían los derechos fundamentales al debido proceso (art. 29 CN) y a la igualdad (art. 13 Ibid.); […]</w:t>
      </w:r>
      <w:r w:rsidRPr="005A4E9E">
        <w:rPr>
          <w:rFonts w:ascii="Arial" w:hAnsi="Arial" w:cs="Arial"/>
          <w:sz w:val="21"/>
          <w:szCs w:val="21"/>
          <w:vertAlign w:val="superscript"/>
          <w:lang w:val="es-ES_tradnl"/>
        </w:rPr>
        <w:footnoteReference w:id="32"/>
      </w:r>
      <w:r w:rsidRPr="005A4E9E">
        <w:rPr>
          <w:rFonts w:ascii="Arial" w:hAnsi="Arial" w:cs="Arial"/>
          <w:sz w:val="21"/>
          <w:szCs w:val="21"/>
          <w:lang w:val="es-ES_tradnl"/>
        </w:rPr>
        <w:t>.</w:t>
      </w:r>
    </w:p>
    <w:p w14:paraId="35A73C45" w14:textId="77777777" w:rsidR="00DE257C" w:rsidRPr="005A4E9E" w:rsidRDefault="00DE257C" w:rsidP="00DE257C">
      <w:pPr>
        <w:spacing w:line="276" w:lineRule="auto"/>
        <w:ind w:left="709" w:right="709"/>
        <w:jc w:val="both"/>
        <w:rPr>
          <w:rFonts w:ascii="Arial" w:hAnsi="Arial" w:cs="Arial"/>
          <w:sz w:val="21"/>
          <w:szCs w:val="21"/>
          <w:lang w:val="es-ES_tradnl"/>
        </w:rPr>
      </w:pPr>
    </w:p>
    <w:p w14:paraId="6BBFF94E" w14:textId="4A175FFA" w:rsidR="00DE257C" w:rsidRPr="005A4E9E" w:rsidRDefault="00DE257C" w:rsidP="00DE257C">
      <w:pPr>
        <w:spacing w:after="120" w:line="276" w:lineRule="auto"/>
        <w:ind w:firstLine="709"/>
        <w:jc w:val="both"/>
        <w:rPr>
          <w:rFonts w:ascii="Arial" w:eastAsia="Calibri" w:hAnsi="Arial" w:cs="Arial"/>
          <w:sz w:val="22"/>
          <w:lang w:val="es-ES_tradnl"/>
        </w:rPr>
      </w:pPr>
      <w:r w:rsidRPr="005A4E9E">
        <w:rPr>
          <w:rFonts w:ascii="Arial" w:eastAsia="Calibri" w:hAnsi="Arial" w:cs="Arial"/>
          <w:sz w:val="22"/>
          <w:lang w:val="es-ES_tradnl"/>
        </w:rPr>
        <w:t xml:space="preserve">Como se aprecia, el principio </w:t>
      </w:r>
      <w:r w:rsidRPr="005A4E9E">
        <w:rPr>
          <w:rFonts w:ascii="Arial" w:eastAsia="Calibri" w:hAnsi="Arial" w:cs="Arial"/>
          <w:i/>
          <w:iCs/>
          <w:sz w:val="22"/>
          <w:lang w:val="es-ES_tradnl"/>
        </w:rPr>
        <w:t>pro libertate</w:t>
      </w:r>
      <w:r w:rsidRPr="005A4E9E">
        <w:rPr>
          <w:rFonts w:ascii="Arial" w:eastAsia="Calibri" w:hAnsi="Arial" w:cs="Arial"/>
          <w:sz w:val="22"/>
          <w:lang w:val="es-ES_tradnl"/>
        </w:rPr>
        <w:t xml:space="preserve"> es el que debe dirigir la interpretación de las disposiciones normativas que consagran restricciones de derechos, como sucede con las causales de inhabilidad en la contratación estatal.</w:t>
      </w:r>
    </w:p>
    <w:p w14:paraId="3ECC2829" w14:textId="3A971B4E" w:rsidR="00DE257C" w:rsidRPr="005A4E9E" w:rsidRDefault="00DE257C" w:rsidP="00D96F6F">
      <w:pPr>
        <w:spacing w:before="120" w:after="120" w:line="276" w:lineRule="auto"/>
        <w:jc w:val="both"/>
        <w:rPr>
          <w:rFonts w:ascii="Arial" w:eastAsia="Calibri" w:hAnsi="Arial" w:cs="Arial"/>
          <w:sz w:val="22"/>
          <w:lang w:val="es-ES_tradnl"/>
        </w:rPr>
      </w:pPr>
      <w:r w:rsidRPr="005A4E9E">
        <w:rPr>
          <w:rFonts w:ascii="Arial" w:eastAsia="Calibri" w:hAnsi="Arial" w:cs="Arial"/>
          <w:sz w:val="22"/>
          <w:lang w:val="es-ES_tradnl"/>
        </w:rPr>
        <w:t xml:space="preserve"> </w:t>
      </w:r>
      <w:r w:rsidRPr="005A4E9E">
        <w:rPr>
          <w:rFonts w:ascii="Arial" w:eastAsia="Calibri" w:hAnsi="Arial" w:cs="Arial"/>
          <w:sz w:val="22"/>
          <w:lang w:val="es-ES_tradnl"/>
        </w:rPr>
        <w:tab/>
        <w:t>En conclusión, el régimen de inhabilidades está concebido como un conjunto de restricciones a la capacidad para presentar ofertas y contratar con el Estado, por lo que ninguna persona natural o jurídica que se encuentre incurso en alguna causal 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14:paraId="61C4A225" w14:textId="3BB91958" w:rsidR="004D12A4" w:rsidRPr="005A4E9E" w:rsidRDefault="00D96F6F" w:rsidP="00DE257C">
      <w:pPr>
        <w:spacing w:before="120" w:after="240" w:line="276" w:lineRule="auto"/>
        <w:jc w:val="both"/>
        <w:rPr>
          <w:rFonts w:ascii="Arial" w:eastAsia="Calibri" w:hAnsi="Arial" w:cs="Arial"/>
          <w:sz w:val="22"/>
        </w:rPr>
      </w:pPr>
      <w:r w:rsidRPr="005A4E9E">
        <w:rPr>
          <w:rFonts w:ascii="Arial" w:eastAsia="Calibri" w:hAnsi="Arial" w:cs="Arial"/>
          <w:sz w:val="22"/>
          <w:lang w:val="es-ES_tradnl"/>
        </w:rPr>
        <w:tab/>
      </w:r>
      <w:r w:rsidR="00BC1BFF" w:rsidRPr="005A4E9E">
        <w:rPr>
          <w:rFonts w:ascii="Arial" w:eastAsia="Calibri" w:hAnsi="Arial" w:cs="Arial"/>
          <w:sz w:val="22"/>
          <w:lang w:val="es-ES_tradnl"/>
        </w:rPr>
        <w:t>Ahora, la aplicación de una interpretación restrictiva a</w:t>
      </w:r>
      <w:r w:rsidR="00BC1BFF" w:rsidRPr="005A4E9E">
        <w:rPr>
          <w:rFonts w:ascii="Arial" w:eastAsia="Calibri" w:hAnsi="Arial" w:cs="Arial"/>
          <w:sz w:val="22"/>
        </w:rPr>
        <w:t xml:space="preserve"> la prerrogativa del numeral 2.5 del artículo 2.2.1.1.1.5.2 del Decreto 1082 de 2015 nos lleva </w:t>
      </w:r>
      <w:r w:rsidR="00884185" w:rsidRPr="005A4E9E">
        <w:rPr>
          <w:rFonts w:ascii="Arial" w:eastAsia="Calibri" w:hAnsi="Arial" w:cs="Arial"/>
          <w:sz w:val="22"/>
        </w:rPr>
        <w:t>a concluir que el hecho de que una sociedad se encuentre inhabilitada no impide que otra con menos de 3 años de constitución, de la cual aquella es socia, pueda acreditar la experiencia de la sociedad inhabilitada, comoquiera</w:t>
      </w:r>
      <w:r w:rsidR="008B63FA" w:rsidRPr="005A4E9E">
        <w:rPr>
          <w:rFonts w:ascii="Arial" w:eastAsia="Calibri" w:hAnsi="Arial" w:cs="Arial"/>
          <w:sz w:val="22"/>
        </w:rPr>
        <w:t xml:space="preserve"> que</w:t>
      </w:r>
      <w:r w:rsidR="00884185" w:rsidRPr="005A4E9E">
        <w:rPr>
          <w:rFonts w:ascii="Arial" w:eastAsia="Calibri" w:hAnsi="Arial" w:cs="Arial"/>
          <w:sz w:val="22"/>
        </w:rPr>
        <w:t xml:space="preserve"> las inhabilidades consisten en restricciones a la capacidad para contratar o presentar ofertas de una persona natural o jurídica en particular</w:t>
      </w:r>
      <w:r w:rsidR="004D12A4" w:rsidRPr="005A4E9E">
        <w:rPr>
          <w:rFonts w:ascii="Arial" w:eastAsia="Calibri" w:hAnsi="Arial" w:cs="Arial"/>
          <w:sz w:val="22"/>
        </w:rPr>
        <w:t>, que no suponen la imposibilidad de que la experiencia del socio inhabilitado pueda ser acreditada por la sociedad de reciente creación en uso del referido beneficio</w:t>
      </w:r>
      <w:r w:rsidR="00F45E12" w:rsidRPr="005A4E9E">
        <w:rPr>
          <w:rFonts w:ascii="Arial" w:eastAsia="Calibri" w:hAnsi="Arial" w:cs="Arial"/>
          <w:sz w:val="22"/>
        </w:rPr>
        <w:t xml:space="preserve">, máxime cuando la sociedad inhabilitada y la de menos de 3 años de constitución son personas jurídicas diferentes e independientes entre sí. </w:t>
      </w:r>
    </w:p>
    <w:p w14:paraId="631C2E61" w14:textId="40DB72AA" w:rsidR="00884185" w:rsidRPr="005A4E9E" w:rsidRDefault="004D12A4" w:rsidP="00DE257C">
      <w:pPr>
        <w:spacing w:before="120" w:after="240" w:line="276" w:lineRule="auto"/>
        <w:jc w:val="both"/>
        <w:rPr>
          <w:rFonts w:ascii="Arial" w:eastAsia="Calibri" w:hAnsi="Arial" w:cs="Arial"/>
          <w:sz w:val="22"/>
        </w:rPr>
      </w:pPr>
      <w:r w:rsidRPr="005A4E9E">
        <w:rPr>
          <w:rFonts w:ascii="Arial" w:eastAsia="Calibri" w:hAnsi="Arial" w:cs="Arial"/>
          <w:sz w:val="22"/>
        </w:rPr>
        <w:tab/>
      </w:r>
      <w:r w:rsidR="00AB4260" w:rsidRPr="005A4E9E">
        <w:rPr>
          <w:rFonts w:ascii="Arial" w:eastAsia="Calibri" w:hAnsi="Arial" w:cs="Arial"/>
          <w:sz w:val="22"/>
        </w:rPr>
        <w:t xml:space="preserve">También conviene precisar que mientras que el régimen de inhabilidades corresponde a un conjunto de restricciones que afectan la </w:t>
      </w:r>
      <w:r w:rsidR="00AB4260" w:rsidRPr="005A4E9E">
        <w:rPr>
          <w:rFonts w:ascii="Arial" w:eastAsia="Calibri" w:hAnsi="Arial" w:cs="Arial"/>
          <w:i/>
          <w:iCs/>
          <w:sz w:val="22"/>
        </w:rPr>
        <w:t>capacidad</w:t>
      </w:r>
      <w:r w:rsidR="00AB4260" w:rsidRPr="005A4E9E">
        <w:rPr>
          <w:rFonts w:ascii="Arial" w:eastAsia="Calibri" w:hAnsi="Arial" w:cs="Arial"/>
          <w:sz w:val="22"/>
        </w:rPr>
        <w:t xml:space="preserve"> para contratar con el Estado, la prerrogativa del numeral 2.5 del artículo 2.2.1.1.1.5.2 </w:t>
      </w:r>
      <w:r w:rsidR="00F45E12" w:rsidRPr="005A4E9E">
        <w:rPr>
          <w:rFonts w:ascii="Arial" w:eastAsia="Calibri" w:hAnsi="Arial" w:cs="Arial"/>
          <w:i/>
          <w:iCs/>
          <w:sz w:val="22"/>
        </w:rPr>
        <w:t>Ibídem</w:t>
      </w:r>
      <w:r w:rsidR="00F45E12" w:rsidRPr="005A4E9E">
        <w:rPr>
          <w:rFonts w:ascii="Arial" w:eastAsia="Calibri" w:hAnsi="Arial" w:cs="Arial"/>
          <w:sz w:val="22"/>
        </w:rPr>
        <w:t xml:space="preserve">, </w:t>
      </w:r>
      <w:r w:rsidR="00AB4260" w:rsidRPr="005A4E9E">
        <w:rPr>
          <w:rFonts w:ascii="Arial" w:eastAsia="Calibri" w:hAnsi="Arial" w:cs="Arial"/>
          <w:sz w:val="22"/>
        </w:rPr>
        <w:t xml:space="preserve">se refiere a la posibilidad de que se acredite </w:t>
      </w:r>
      <w:r w:rsidR="00AB4260" w:rsidRPr="005A4E9E">
        <w:rPr>
          <w:rFonts w:ascii="Arial" w:eastAsia="Calibri" w:hAnsi="Arial" w:cs="Arial"/>
          <w:i/>
          <w:iCs/>
          <w:sz w:val="22"/>
        </w:rPr>
        <w:t>experiencia</w:t>
      </w:r>
      <w:r w:rsidR="00AB4260" w:rsidRPr="005A4E9E">
        <w:rPr>
          <w:rFonts w:ascii="Arial" w:eastAsia="Calibri" w:hAnsi="Arial" w:cs="Arial"/>
          <w:sz w:val="22"/>
        </w:rPr>
        <w:t>, tratándose de dos requisitos habilitantes distintos</w:t>
      </w:r>
      <w:r w:rsidR="004464EA" w:rsidRPr="005A4E9E">
        <w:rPr>
          <w:rFonts w:ascii="Arial" w:eastAsia="Calibri" w:hAnsi="Arial" w:cs="Arial"/>
          <w:sz w:val="22"/>
        </w:rPr>
        <w:t>,</w:t>
      </w:r>
      <w:r w:rsidR="00AB4260" w:rsidRPr="005A4E9E">
        <w:rPr>
          <w:rFonts w:ascii="Arial" w:eastAsia="Calibri" w:hAnsi="Arial" w:cs="Arial"/>
          <w:sz w:val="22"/>
        </w:rPr>
        <w:t xml:space="preserve"> regulados de manera disímil, a los que en virtud de una interpretación restrictiva no resulta posible equiparar en cuanto a consecuencias jurídicas. </w:t>
      </w:r>
    </w:p>
    <w:p w14:paraId="3DCAC8B0" w14:textId="0CD88EB8" w:rsidR="00095722" w:rsidRPr="005A4E9E" w:rsidRDefault="00095722" w:rsidP="00DE257C">
      <w:pPr>
        <w:spacing w:before="120" w:after="240" w:line="276" w:lineRule="auto"/>
        <w:jc w:val="both"/>
        <w:rPr>
          <w:rFonts w:ascii="Arial" w:eastAsia="Calibri" w:hAnsi="Arial" w:cs="Arial"/>
          <w:sz w:val="22"/>
        </w:rPr>
      </w:pPr>
      <w:r w:rsidRPr="005A4E9E">
        <w:rPr>
          <w:rFonts w:ascii="Arial" w:eastAsia="Calibri" w:hAnsi="Arial" w:cs="Arial"/>
          <w:sz w:val="22"/>
        </w:rPr>
        <w:tab/>
        <w:t xml:space="preserve">Lo anterior indica que, en tanto no exista una prohibición o restricción explícita en el ordenamiento jurídico, que impida que la experiencia de las sociedades inhabilitadas sea acreditada por las sociedades nuevas en las cuales tienen participación, estas últimas podrán acreditar la referida experiencia en los términos del numeral 2.5 del artículo 2.2.1.1.1.5.2 </w:t>
      </w:r>
      <w:r w:rsidRPr="005A4E9E">
        <w:rPr>
          <w:rFonts w:ascii="Arial" w:eastAsia="Calibri" w:hAnsi="Arial" w:cs="Arial"/>
          <w:i/>
          <w:iCs/>
          <w:sz w:val="22"/>
        </w:rPr>
        <w:t>ejusdem</w:t>
      </w:r>
      <w:r w:rsidRPr="005A4E9E">
        <w:rPr>
          <w:rFonts w:ascii="Arial" w:eastAsia="Calibri" w:hAnsi="Arial" w:cs="Arial"/>
          <w:sz w:val="22"/>
        </w:rPr>
        <w:t>, en la medida que los efectos de la inhabilidad se predican de la capacidad para contratar del inhabilitado y no de su experiencia, o de la posibilidad de hacer uso de la referida prerrogativa. Ello amerita precisar que si bien puede que una sociedad inhabilitada pueda ser sujeto de la aplicación de la prerrogativa del numeral 2.5 del artículo 2.2.1.1.1.5.2, la posibilidad de hacer uso de esta dentro de un proceso de contratación dependerá de los efectos de la inhabilidad en la que se encuentra incurso el socio que adquirió la experiencia, y la</w:t>
      </w:r>
      <w:r w:rsidR="00720281" w:rsidRPr="005A4E9E">
        <w:rPr>
          <w:rFonts w:ascii="Arial" w:eastAsia="Calibri" w:hAnsi="Arial" w:cs="Arial"/>
          <w:sz w:val="22"/>
        </w:rPr>
        <w:t xml:space="preserve"> virtual </w:t>
      </w:r>
      <w:r w:rsidRPr="005A4E9E">
        <w:rPr>
          <w:rFonts w:ascii="Arial" w:eastAsia="Calibri" w:hAnsi="Arial" w:cs="Arial"/>
          <w:sz w:val="22"/>
        </w:rPr>
        <w:t xml:space="preserve">extensión de sus efectos hacia la capacidad para contratar de la sociedad nueva.   </w:t>
      </w:r>
    </w:p>
    <w:p w14:paraId="73EBAB93" w14:textId="616EA5AF" w:rsidR="00BA4ECD" w:rsidRPr="005A4E9E" w:rsidRDefault="00095722" w:rsidP="00DE257C">
      <w:pPr>
        <w:spacing w:before="120" w:after="240" w:line="276" w:lineRule="auto"/>
        <w:jc w:val="both"/>
        <w:rPr>
          <w:rFonts w:ascii="Arial" w:hAnsi="Arial" w:cs="Arial"/>
          <w:color w:val="000000"/>
          <w:sz w:val="22"/>
        </w:rPr>
      </w:pPr>
      <w:r w:rsidRPr="005A4E9E">
        <w:rPr>
          <w:rFonts w:ascii="Arial" w:eastAsia="Calibri" w:hAnsi="Arial" w:cs="Arial"/>
          <w:sz w:val="22"/>
        </w:rPr>
        <w:tab/>
      </w:r>
      <w:r w:rsidR="00BA4ECD" w:rsidRPr="005A4E9E">
        <w:rPr>
          <w:rFonts w:ascii="Arial" w:eastAsia="Calibri" w:hAnsi="Arial" w:cs="Arial"/>
          <w:sz w:val="22"/>
        </w:rPr>
        <w:t>Las inhabilidades establecidas</w:t>
      </w:r>
      <w:r w:rsidR="00BD5F83" w:rsidRPr="005A4E9E">
        <w:rPr>
          <w:rFonts w:ascii="Arial" w:eastAsia="Calibri" w:hAnsi="Arial" w:cs="Arial"/>
          <w:sz w:val="22"/>
        </w:rPr>
        <w:t xml:space="preserve"> en</w:t>
      </w:r>
      <w:r w:rsidR="00BA4ECD" w:rsidRPr="005A4E9E">
        <w:rPr>
          <w:rFonts w:ascii="Arial" w:eastAsia="Calibri" w:hAnsi="Arial" w:cs="Arial"/>
          <w:sz w:val="22"/>
        </w:rPr>
        <w:t xml:space="preserve"> </w:t>
      </w:r>
      <w:r w:rsidR="00BD5F83" w:rsidRPr="005A4E9E">
        <w:rPr>
          <w:rFonts w:ascii="Arial" w:eastAsia="Calibri" w:hAnsi="Arial" w:cs="Arial"/>
          <w:sz w:val="22"/>
        </w:rPr>
        <w:t xml:space="preserve">el literal i) del numeral 1 del artículo 8 de la Ley 80 de 1993, </w:t>
      </w:r>
      <w:r w:rsidR="00BA4ECD" w:rsidRPr="005A4E9E">
        <w:rPr>
          <w:rFonts w:ascii="Arial" w:eastAsia="Calibri" w:hAnsi="Arial" w:cs="Arial"/>
          <w:sz w:val="22"/>
        </w:rPr>
        <w:t>respecto de</w:t>
      </w:r>
      <w:r w:rsidR="00BD5F83" w:rsidRPr="005A4E9E">
        <w:rPr>
          <w:rFonts w:ascii="Arial" w:eastAsia="Calibri" w:hAnsi="Arial" w:cs="Arial"/>
          <w:sz w:val="22"/>
        </w:rPr>
        <w:t xml:space="preserve"> l</w:t>
      </w:r>
      <w:r w:rsidR="00BD5F83" w:rsidRPr="005A4E9E">
        <w:rPr>
          <w:rFonts w:ascii="Arial" w:hAnsi="Arial" w:cs="Arial"/>
          <w:color w:val="000000"/>
          <w:sz w:val="22"/>
        </w:rPr>
        <w:t xml:space="preserve">os socios de sociedades de personas a las cuales se haya declarado la caducidad, </w:t>
      </w:r>
      <w:r w:rsidR="00BA4ECD" w:rsidRPr="005A4E9E">
        <w:rPr>
          <w:rFonts w:ascii="Arial" w:hAnsi="Arial" w:cs="Arial"/>
          <w:color w:val="000000"/>
          <w:sz w:val="22"/>
        </w:rPr>
        <w:t xml:space="preserve"> así como la establecida en el literal j) </w:t>
      </w:r>
      <w:r w:rsidR="00B12F85" w:rsidRPr="005A4E9E">
        <w:rPr>
          <w:rFonts w:ascii="Arial" w:hAnsi="Arial" w:cs="Arial"/>
          <w:color w:val="000000"/>
          <w:sz w:val="22"/>
        </w:rPr>
        <w:t xml:space="preserve">respecto de las personas naturales que hayan sido declaradas responsables en sede judicial por la comisión de delitos contra la Administración pública, o de cualquiera de los delitos o faltas contempladas por la Ley 1474 de 2011 y las personas jurídicas </w:t>
      </w:r>
      <w:r w:rsidR="00BA4ECD" w:rsidRPr="005A4E9E">
        <w:rPr>
          <w:rFonts w:ascii="Arial" w:hAnsi="Arial" w:cs="Arial"/>
          <w:color w:val="000000"/>
          <w:sz w:val="22"/>
        </w:rPr>
        <w:t>declaradas</w:t>
      </w:r>
      <w:r w:rsidR="00B12F85" w:rsidRPr="005A4E9E">
        <w:rPr>
          <w:rFonts w:ascii="Arial" w:hAnsi="Arial" w:cs="Arial"/>
          <w:color w:val="000000"/>
          <w:sz w:val="22"/>
        </w:rPr>
        <w:t xml:space="preserve"> responsables administrativamente por la conducta de soborno transnacional, </w:t>
      </w:r>
      <w:r w:rsidR="00BA4ECD" w:rsidRPr="005A4E9E">
        <w:rPr>
          <w:rFonts w:ascii="Arial" w:hAnsi="Arial" w:cs="Arial"/>
          <w:color w:val="000000"/>
          <w:sz w:val="22"/>
        </w:rPr>
        <w:t xml:space="preserve">son ejemplos de inhabilidades cuyos efectos </w:t>
      </w:r>
      <w:r w:rsidR="00AD3665" w:rsidRPr="005A4E9E">
        <w:rPr>
          <w:rFonts w:ascii="Arial" w:hAnsi="Arial" w:cs="Arial"/>
          <w:color w:val="000000"/>
          <w:sz w:val="22"/>
        </w:rPr>
        <w:t xml:space="preserve">alcanzan a </w:t>
      </w:r>
      <w:r w:rsidR="00FC7C78" w:rsidRPr="005A4E9E">
        <w:rPr>
          <w:rFonts w:ascii="Arial" w:hAnsi="Arial" w:cs="Arial"/>
          <w:color w:val="000000"/>
          <w:sz w:val="22"/>
        </w:rPr>
        <w:t>personas</w:t>
      </w:r>
      <w:r w:rsidR="00AD3665" w:rsidRPr="005A4E9E">
        <w:rPr>
          <w:rFonts w:ascii="Arial" w:hAnsi="Arial" w:cs="Arial"/>
          <w:color w:val="000000"/>
          <w:sz w:val="22"/>
        </w:rPr>
        <w:t xml:space="preserve"> </w:t>
      </w:r>
      <w:r w:rsidR="00FC7C78" w:rsidRPr="005A4E9E">
        <w:rPr>
          <w:rFonts w:ascii="Arial" w:hAnsi="Arial" w:cs="Arial"/>
          <w:color w:val="000000"/>
          <w:sz w:val="22"/>
        </w:rPr>
        <w:t>juridicas</w:t>
      </w:r>
      <w:r w:rsidR="00AD3665" w:rsidRPr="005A4E9E">
        <w:rPr>
          <w:rFonts w:ascii="Arial" w:hAnsi="Arial" w:cs="Arial"/>
          <w:color w:val="000000"/>
          <w:sz w:val="22"/>
        </w:rPr>
        <w:t xml:space="preserve"> en principio distintas de la inicialmente inhabilitada</w:t>
      </w:r>
      <w:r w:rsidR="00D318B7" w:rsidRPr="005A4E9E">
        <w:rPr>
          <w:rStyle w:val="Refdenotaalpie"/>
          <w:rFonts w:ascii="Arial" w:hAnsi="Arial" w:cs="Arial"/>
          <w:color w:val="000000"/>
          <w:sz w:val="22"/>
        </w:rPr>
        <w:footnoteReference w:id="33"/>
      </w:r>
      <w:r w:rsidR="00AD3665" w:rsidRPr="005A4E9E">
        <w:rPr>
          <w:rFonts w:ascii="Arial" w:hAnsi="Arial" w:cs="Arial"/>
          <w:color w:val="000000"/>
          <w:sz w:val="22"/>
        </w:rPr>
        <w:t xml:space="preserve">. </w:t>
      </w:r>
    </w:p>
    <w:p w14:paraId="6337CDCC" w14:textId="66C7CD3A" w:rsidR="00AD3665" w:rsidRPr="005A4E9E" w:rsidRDefault="00FC7C78" w:rsidP="00FC7C78">
      <w:pPr>
        <w:spacing w:before="120" w:after="240" w:line="276" w:lineRule="auto"/>
        <w:ind w:firstLine="708"/>
        <w:jc w:val="both"/>
        <w:rPr>
          <w:rFonts w:ascii="Arial" w:hAnsi="Arial" w:cs="Arial"/>
          <w:color w:val="000000"/>
          <w:sz w:val="22"/>
        </w:rPr>
      </w:pPr>
      <w:r w:rsidRPr="005A4E9E">
        <w:rPr>
          <w:rFonts w:ascii="Arial" w:hAnsi="Arial" w:cs="Arial"/>
          <w:color w:val="000000"/>
          <w:sz w:val="22"/>
        </w:rPr>
        <w:t>En ese orden, s</w:t>
      </w:r>
      <w:r w:rsidR="00AD3665" w:rsidRPr="005A4E9E">
        <w:rPr>
          <w:rFonts w:ascii="Arial" w:hAnsi="Arial" w:cs="Arial"/>
          <w:color w:val="000000"/>
          <w:sz w:val="22"/>
        </w:rPr>
        <w:t>in perjuicio de la inhabilidad del literal c) del numeral 1 del artículo 8 de la Ley 80 de 1993 para quienes den lugar a la declaratoria de caducidad, el literal j) hace extensiva dicha inhabilidad a las socios de las sociedades de personas respecto de quienes se haya declarado la caducidad,  así como a las sociedades de personas que estos conformen, mecanismo consagrado por el le</w:t>
      </w:r>
      <w:r w:rsidRPr="005A4E9E">
        <w:rPr>
          <w:rFonts w:ascii="Arial" w:hAnsi="Arial" w:cs="Arial"/>
          <w:color w:val="000000"/>
          <w:sz w:val="22"/>
        </w:rPr>
        <w:t>gislador con el «objeto [de] evitar que las personas inhabilitadas por razón de la caducidad evadan sus efectos»</w:t>
      </w:r>
      <w:r w:rsidRPr="005A4E9E">
        <w:rPr>
          <w:rStyle w:val="Refdenotaalpie"/>
          <w:rFonts w:ascii="Arial" w:hAnsi="Arial" w:cs="Arial"/>
          <w:color w:val="000000"/>
          <w:sz w:val="22"/>
        </w:rPr>
        <w:footnoteReference w:id="34"/>
      </w:r>
      <w:r w:rsidRPr="005A4E9E">
        <w:rPr>
          <w:rFonts w:ascii="Arial" w:hAnsi="Arial" w:cs="Arial"/>
          <w:color w:val="000000"/>
          <w:sz w:val="22"/>
        </w:rPr>
        <w:t xml:space="preserve">. </w:t>
      </w:r>
    </w:p>
    <w:p w14:paraId="7175E1F0" w14:textId="0D2A9587" w:rsidR="00BD5F83" w:rsidRPr="005A4E9E" w:rsidRDefault="00FC7C78" w:rsidP="00DE257C">
      <w:pPr>
        <w:spacing w:before="120" w:after="240" w:line="276" w:lineRule="auto"/>
        <w:jc w:val="both"/>
        <w:rPr>
          <w:rFonts w:ascii="Arial" w:hAnsi="Arial" w:cs="Arial"/>
          <w:color w:val="000000"/>
          <w:sz w:val="22"/>
        </w:rPr>
      </w:pPr>
      <w:r w:rsidRPr="005A4E9E">
        <w:rPr>
          <w:rFonts w:ascii="Arial" w:hAnsi="Arial" w:cs="Arial"/>
          <w:color w:val="000000"/>
          <w:sz w:val="22"/>
        </w:rPr>
        <w:tab/>
        <w:t xml:space="preserve">Por su parte, el literal </w:t>
      </w:r>
      <w:r w:rsidR="00547D27" w:rsidRPr="005A4E9E">
        <w:rPr>
          <w:rFonts w:ascii="Arial" w:hAnsi="Arial" w:cs="Arial"/>
          <w:color w:val="000000"/>
          <w:sz w:val="22"/>
        </w:rPr>
        <w:t>j</w:t>
      </w:r>
      <w:r w:rsidRPr="005A4E9E">
        <w:rPr>
          <w:rFonts w:ascii="Arial" w:hAnsi="Arial" w:cs="Arial"/>
          <w:color w:val="000000"/>
          <w:sz w:val="22"/>
        </w:rPr>
        <w:t xml:space="preserve">) del numeral 1 del artículo 8 en cita, establece una </w:t>
      </w:r>
      <w:r w:rsidR="008E6DCC" w:rsidRPr="005A4E9E">
        <w:rPr>
          <w:rFonts w:ascii="Arial" w:hAnsi="Arial" w:cs="Arial"/>
          <w:color w:val="000000"/>
          <w:sz w:val="22"/>
        </w:rPr>
        <w:t>inhabilidad de la que son objeto</w:t>
      </w:r>
      <w:r w:rsidRPr="005A4E9E">
        <w:rPr>
          <w:rFonts w:ascii="Arial" w:hAnsi="Arial" w:cs="Arial"/>
          <w:color w:val="000000"/>
          <w:sz w:val="22"/>
        </w:rPr>
        <w:t> </w:t>
      </w:r>
      <w:r w:rsidR="008E6DCC" w:rsidRPr="005A4E9E">
        <w:rPr>
          <w:rFonts w:ascii="Arial" w:hAnsi="Arial" w:cs="Arial"/>
          <w:color w:val="000000"/>
          <w:sz w:val="22"/>
        </w:rPr>
        <w:t>l</w:t>
      </w:r>
      <w:r w:rsidRPr="005A4E9E">
        <w:rPr>
          <w:rFonts w:ascii="Arial" w:hAnsi="Arial" w:cs="Arial"/>
          <w:color w:val="000000"/>
          <w:sz w:val="22"/>
        </w:rPr>
        <w:t>as personas naturales que hayan sido declaradas responsables judicialmente por la comisión de delitos contra la Administración pública, o de cualquiera de los delitos o faltas contempladas por la Ley 1474 de 2011, así como las personas jurídicas que hayan sido declaradas responsables administrativamente por la conducta de soborno transnacional.  </w:t>
      </w:r>
      <w:r w:rsidR="008E6DCC" w:rsidRPr="005A4E9E">
        <w:rPr>
          <w:rFonts w:ascii="Arial" w:hAnsi="Arial" w:cs="Arial"/>
          <w:color w:val="000000"/>
          <w:sz w:val="22"/>
        </w:rPr>
        <w:t xml:space="preserve">Los efectos de esta </w:t>
      </w:r>
      <w:r w:rsidR="00B12F85" w:rsidRPr="005A4E9E">
        <w:rPr>
          <w:rFonts w:ascii="Arial" w:hAnsi="Arial" w:cs="Arial"/>
          <w:color w:val="000000"/>
          <w:sz w:val="22"/>
        </w:rPr>
        <w:t>inhabilidad se extiende</w:t>
      </w:r>
      <w:r w:rsidR="008E6DCC" w:rsidRPr="005A4E9E">
        <w:rPr>
          <w:rFonts w:ascii="Arial" w:hAnsi="Arial" w:cs="Arial"/>
          <w:color w:val="000000"/>
          <w:sz w:val="22"/>
        </w:rPr>
        <w:t>n</w:t>
      </w:r>
      <w:r w:rsidR="00B12F85" w:rsidRPr="005A4E9E">
        <w:rPr>
          <w:rFonts w:ascii="Arial" w:hAnsi="Arial" w:cs="Arial"/>
          <w:color w:val="000000"/>
          <w:sz w:val="22"/>
        </w:rPr>
        <w:t xml:space="preserve"> a las sociedades de las que hagan parte dichas personas en calidad de administradores, represen</w:t>
      </w:r>
      <w:r w:rsidR="00B12F85" w:rsidRPr="005A4E9E">
        <w:rPr>
          <w:rFonts w:ascii="Arial" w:hAnsi="Arial" w:cs="Arial"/>
          <w:color w:val="000000"/>
          <w:sz w:val="22"/>
        </w:rPr>
        <w:softHyphen/>
        <w:t>tantes legales, miembros de junta directiva o de socios controlantes, a sus matrices y a sus subordinadas, a los grupos empresariales a los que estas pertenezcan y a las sucursales de sociedades extranjeras, con ex</w:t>
      </w:r>
      <w:r w:rsidR="00B12F85" w:rsidRPr="005A4E9E">
        <w:rPr>
          <w:rFonts w:ascii="Arial" w:hAnsi="Arial" w:cs="Arial"/>
          <w:color w:val="000000"/>
          <w:sz w:val="22"/>
        </w:rPr>
        <w:softHyphen/>
        <w:t>cepción de las sociedades anónimas abiertas.</w:t>
      </w:r>
    </w:p>
    <w:p w14:paraId="788F66F9" w14:textId="2F44F102" w:rsidR="00B12F85" w:rsidRPr="005A4E9E" w:rsidRDefault="00547D27" w:rsidP="00DE257C">
      <w:pPr>
        <w:spacing w:before="120" w:after="240" w:line="276" w:lineRule="auto"/>
        <w:jc w:val="both"/>
        <w:rPr>
          <w:rFonts w:ascii="Arial" w:eastAsia="Calibri" w:hAnsi="Arial" w:cs="Arial"/>
          <w:sz w:val="22"/>
        </w:rPr>
      </w:pPr>
      <w:r w:rsidRPr="005A4E9E">
        <w:rPr>
          <w:rFonts w:ascii="Arial" w:eastAsia="Calibri" w:hAnsi="Arial" w:cs="Arial"/>
          <w:sz w:val="22"/>
        </w:rPr>
        <w:tab/>
        <w:t xml:space="preserve">Tales inhabilidades sirven para ilustrar como tratándose de la experiencia adquirida por un socio inhabilitado, la posibilidad de hacer uso de la prerrogativa del numeral 2.5 del artículo 2.2.1.1.1.5.2 del Decreto 1082 de 2015 depende de los efectos de la inhabilidad. En el caso de la inhabilidad del literal j), </w:t>
      </w:r>
      <w:r w:rsidR="00720281" w:rsidRPr="005A4E9E">
        <w:rPr>
          <w:rFonts w:ascii="Arial" w:eastAsia="Calibri" w:hAnsi="Arial" w:cs="Arial"/>
          <w:sz w:val="22"/>
        </w:rPr>
        <w:t>si</w:t>
      </w:r>
      <w:r w:rsidRPr="005A4E9E">
        <w:rPr>
          <w:rFonts w:ascii="Arial" w:eastAsia="Calibri" w:hAnsi="Arial" w:cs="Arial"/>
          <w:sz w:val="22"/>
        </w:rPr>
        <w:t xml:space="preserve"> la sociedad nueva en la que es soci</w:t>
      </w:r>
      <w:r w:rsidR="00720281" w:rsidRPr="005A4E9E">
        <w:rPr>
          <w:rFonts w:ascii="Arial" w:eastAsia="Calibri" w:hAnsi="Arial" w:cs="Arial"/>
          <w:sz w:val="22"/>
        </w:rPr>
        <w:t>a</w:t>
      </w:r>
      <w:r w:rsidRPr="005A4E9E">
        <w:rPr>
          <w:rFonts w:ascii="Arial" w:eastAsia="Calibri" w:hAnsi="Arial" w:cs="Arial"/>
          <w:sz w:val="22"/>
        </w:rPr>
        <w:t xml:space="preserve"> </w:t>
      </w:r>
      <w:r w:rsidR="00457115" w:rsidRPr="005A4E9E">
        <w:rPr>
          <w:rFonts w:ascii="Arial" w:eastAsia="Calibri" w:hAnsi="Arial" w:cs="Arial"/>
          <w:sz w:val="22"/>
        </w:rPr>
        <w:t xml:space="preserve">la persona inhabilitada </w:t>
      </w:r>
      <w:r w:rsidR="00720281" w:rsidRPr="005A4E9E">
        <w:rPr>
          <w:rFonts w:ascii="Arial" w:eastAsia="Calibri" w:hAnsi="Arial" w:cs="Arial"/>
          <w:sz w:val="22"/>
        </w:rPr>
        <w:t>es</w:t>
      </w:r>
      <w:r w:rsidR="00457115" w:rsidRPr="005A4E9E">
        <w:rPr>
          <w:rFonts w:ascii="Arial" w:eastAsia="Calibri" w:hAnsi="Arial" w:cs="Arial"/>
          <w:sz w:val="22"/>
        </w:rPr>
        <w:t xml:space="preserve"> una sociedad de personas, como una en comandita simple, la posibilidad de hacer uso del beneficio estará coartada por la restricción a la capacidad para contratar y participar en procesos de selección que se hace extensiva a la sociedad nueva. Lo contrario sucedería en caso de que la sociedad con menos de tres años de creación fuera una sociedad de capital como una sociedad anónima, evento en el cual los efectos de la inhabilidad que afecta al socio cuya experiencia se pretende acreditar no son extensivos a la sociedad, pudiendo esta hacer uso de la referida prerrogativa. </w:t>
      </w:r>
    </w:p>
    <w:p w14:paraId="1ED28F67" w14:textId="60D7DFBA" w:rsidR="00E00827" w:rsidRPr="005A4E9E" w:rsidRDefault="00E00827" w:rsidP="00DE257C">
      <w:pPr>
        <w:spacing w:before="120" w:after="240" w:line="276" w:lineRule="auto"/>
        <w:jc w:val="both"/>
        <w:rPr>
          <w:rFonts w:ascii="Arial" w:eastAsia="Calibri" w:hAnsi="Arial" w:cs="Arial"/>
          <w:sz w:val="22"/>
        </w:rPr>
      </w:pPr>
      <w:r w:rsidRPr="005A4E9E">
        <w:rPr>
          <w:rFonts w:ascii="Arial" w:eastAsia="Calibri" w:hAnsi="Arial" w:cs="Arial"/>
          <w:sz w:val="22"/>
        </w:rPr>
        <w:tab/>
        <w:t xml:space="preserve">En ese mismo sentido, respecto de la inhabilidad del literal j), en el caso de una persona natural condena por un delito contra la Administración pública, al estar esta inhabilitada también lo estarían las sociedades en comanditas simples de las que esta aquella fuera socia, situación que impediría hacer uso del beneficio del numeral 2.5 del artículo 2.2.1.1.1.5.2 </w:t>
      </w:r>
      <w:r w:rsidRPr="005A4E9E">
        <w:rPr>
          <w:rFonts w:ascii="Arial" w:eastAsia="Calibri" w:hAnsi="Arial" w:cs="Arial"/>
          <w:i/>
          <w:iCs/>
          <w:sz w:val="22"/>
        </w:rPr>
        <w:t>Ibídem</w:t>
      </w:r>
      <w:r w:rsidRPr="005A4E9E">
        <w:rPr>
          <w:rFonts w:ascii="Arial" w:eastAsia="Calibri" w:hAnsi="Arial" w:cs="Arial"/>
          <w:sz w:val="22"/>
        </w:rPr>
        <w:t xml:space="preserve"> durante la vigencia de la restricción a la capacidad. Por el contrario, si la persona incursa en la inhabilidad es socia de una sociedad anónima abierta, esta podrá hacer uso de la prerrogativa sin mayor restricción, al encontrarse este tipo de sociedad fuera del ámbito de aplicación de la inhabilidad.</w:t>
      </w:r>
    </w:p>
    <w:p w14:paraId="30597C8E" w14:textId="43710236" w:rsidR="00457115" w:rsidRPr="005A4E9E" w:rsidRDefault="00E00827" w:rsidP="00DE257C">
      <w:pPr>
        <w:spacing w:before="120" w:after="240" w:line="276" w:lineRule="auto"/>
        <w:jc w:val="both"/>
        <w:rPr>
          <w:rFonts w:ascii="Arial" w:eastAsia="Calibri" w:hAnsi="Arial" w:cs="Arial"/>
          <w:sz w:val="22"/>
        </w:rPr>
      </w:pPr>
      <w:r w:rsidRPr="005A4E9E">
        <w:rPr>
          <w:rFonts w:ascii="Arial" w:eastAsia="Calibri" w:hAnsi="Arial" w:cs="Arial"/>
          <w:sz w:val="22"/>
        </w:rPr>
        <w:tab/>
        <w:t xml:space="preserve">En conclusión, la </w:t>
      </w:r>
      <w:r w:rsidR="00610943" w:rsidRPr="005A4E9E">
        <w:rPr>
          <w:rFonts w:ascii="Arial" w:eastAsia="Calibri" w:hAnsi="Arial" w:cs="Arial"/>
          <w:sz w:val="22"/>
        </w:rPr>
        <w:t xml:space="preserve">posibilidad de </w:t>
      </w:r>
      <w:r w:rsidR="00D318B7" w:rsidRPr="005A4E9E">
        <w:rPr>
          <w:rFonts w:ascii="Arial" w:eastAsia="Calibri" w:hAnsi="Arial" w:cs="Arial"/>
          <w:sz w:val="22"/>
        </w:rPr>
        <w:t>recurrir a lo establecido</w:t>
      </w:r>
      <w:r w:rsidR="00610943" w:rsidRPr="005A4E9E">
        <w:rPr>
          <w:rFonts w:ascii="Arial" w:eastAsia="Calibri" w:hAnsi="Arial" w:cs="Arial"/>
          <w:sz w:val="22"/>
        </w:rPr>
        <w:t xml:space="preserve"> </w:t>
      </w:r>
      <w:r w:rsidR="00D318B7" w:rsidRPr="005A4E9E">
        <w:rPr>
          <w:rFonts w:ascii="Arial" w:eastAsia="Calibri" w:hAnsi="Arial" w:cs="Arial"/>
          <w:sz w:val="22"/>
        </w:rPr>
        <w:t xml:space="preserve">en </w:t>
      </w:r>
      <w:r w:rsidR="00610943" w:rsidRPr="005A4E9E">
        <w:rPr>
          <w:rFonts w:ascii="Arial" w:eastAsia="Calibri" w:hAnsi="Arial" w:cs="Arial"/>
          <w:sz w:val="22"/>
        </w:rPr>
        <w:t xml:space="preserve">el numeral 2.5 del artículo 2.2.1.1.1.5.2 </w:t>
      </w:r>
      <w:r w:rsidR="00610943" w:rsidRPr="005A4E9E">
        <w:rPr>
          <w:rFonts w:ascii="Arial" w:eastAsia="Calibri" w:hAnsi="Arial" w:cs="Arial"/>
          <w:i/>
          <w:iCs/>
          <w:sz w:val="22"/>
        </w:rPr>
        <w:t xml:space="preserve">ejusdem, </w:t>
      </w:r>
      <w:r w:rsidR="00610943" w:rsidRPr="005A4E9E">
        <w:rPr>
          <w:rFonts w:ascii="Arial" w:eastAsia="Calibri" w:hAnsi="Arial" w:cs="Arial"/>
          <w:sz w:val="22"/>
        </w:rPr>
        <w:t>en función de acreditar la experiencia de una sociedad inhabilitada</w:t>
      </w:r>
      <w:r w:rsidR="00610943" w:rsidRPr="005A4E9E">
        <w:rPr>
          <w:rFonts w:ascii="Arial" w:eastAsia="Calibri" w:hAnsi="Arial" w:cs="Arial"/>
          <w:i/>
          <w:iCs/>
          <w:sz w:val="22"/>
        </w:rPr>
        <w:t xml:space="preserve"> </w:t>
      </w:r>
      <w:r w:rsidR="00610943" w:rsidRPr="005A4E9E">
        <w:rPr>
          <w:rFonts w:ascii="Arial" w:eastAsia="Calibri" w:hAnsi="Arial" w:cs="Arial"/>
          <w:sz w:val="22"/>
        </w:rPr>
        <w:t xml:space="preserve">por parte de sociedades con menos de tres años de constitución en las que aquella sea socia, dependerá de que los efectos de la inhabilidad no sean extensivos a la sociedad nueva, ya que de encontrarse también inhabilitada esta última no será posible hacer uso de la prerrogativa en algún proceso de contratación </w:t>
      </w:r>
      <w:r w:rsidR="00D318B7" w:rsidRPr="005A4E9E">
        <w:rPr>
          <w:rFonts w:ascii="Arial" w:eastAsia="Calibri" w:hAnsi="Arial" w:cs="Arial"/>
          <w:sz w:val="22"/>
        </w:rPr>
        <w:t>durante la vigencia de la inhabilidad, al estar restringida su capacidad para participar.</w:t>
      </w:r>
      <w:r w:rsidR="00610943" w:rsidRPr="005A4E9E">
        <w:rPr>
          <w:rFonts w:ascii="Arial" w:eastAsia="Calibri" w:hAnsi="Arial" w:cs="Arial"/>
          <w:sz w:val="22"/>
        </w:rPr>
        <w:t xml:space="preserve"> </w:t>
      </w:r>
    </w:p>
    <w:p w14:paraId="0E46DAC8" w14:textId="77777777" w:rsidR="00961AEE" w:rsidRPr="005A4E9E" w:rsidRDefault="00961AEE" w:rsidP="001E04E7">
      <w:pPr>
        <w:spacing w:line="276" w:lineRule="auto"/>
        <w:jc w:val="both"/>
        <w:rPr>
          <w:rFonts w:ascii="Arial" w:eastAsia="Calibri" w:hAnsi="Arial" w:cs="Arial"/>
          <w:sz w:val="22"/>
        </w:rPr>
      </w:pPr>
    </w:p>
    <w:p w14:paraId="1F35E48F" w14:textId="77777777" w:rsidR="00BA22A9" w:rsidRPr="005A4E9E"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5A4E9E">
        <w:rPr>
          <w:rFonts w:ascii="Arial" w:eastAsia="Calibri" w:hAnsi="Arial" w:cs="Arial"/>
          <w:b/>
          <w:sz w:val="22"/>
        </w:rPr>
        <w:t>Respuesta</w:t>
      </w:r>
    </w:p>
    <w:p w14:paraId="718E0C0D" w14:textId="77777777" w:rsidR="00BA22A9" w:rsidRPr="005A4E9E" w:rsidRDefault="00BA22A9" w:rsidP="00B10353">
      <w:pPr>
        <w:spacing w:line="276" w:lineRule="auto"/>
        <w:jc w:val="both"/>
        <w:rPr>
          <w:rFonts w:ascii="Arial" w:eastAsia="Calibri" w:hAnsi="Arial" w:cs="Arial"/>
          <w:sz w:val="22"/>
        </w:rPr>
      </w:pPr>
    </w:p>
    <w:p w14:paraId="1C260313" w14:textId="61835662" w:rsidR="00A577FF" w:rsidRPr="005A4E9E" w:rsidRDefault="00EA22A5" w:rsidP="005E5034">
      <w:pPr>
        <w:spacing w:line="276" w:lineRule="auto"/>
        <w:ind w:left="709" w:right="709"/>
        <w:jc w:val="both"/>
        <w:rPr>
          <w:rFonts w:ascii="Arial" w:eastAsia="Calibri" w:hAnsi="Arial" w:cs="Arial"/>
          <w:sz w:val="21"/>
          <w:szCs w:val="21"/>
          <w:lang w:val="es-CO"/>
        </w:rPr>
      </w:pPr>
      <w:r w:rsidRPr="005A4E9E">
        <w:rPr>
          <w:rFonts w:ascii="Arial" w:eastAsia="Calibri" w:hAnsi="Arial" w:cs="Arial"/>
          <w:sz w:val="21"/>
          <w:szCs w:val="21"/>
        </w:rPr>
        <w:t>«</w:t>
      </w:r>
      <w:r w:rsidR="00A577FF" w:rsidRPr="005A4E9E">
        <w:rPr>
          <w:rFonts w:ascii="Arial" w:eastAsia="Calibri" w:hAnsi="Arial" w:cs="Arial"/>
          <w:sz w:val="21"/>
          <w:szCs w:val="21"/>
          <w:lang w:val="es-CO"/>
        </w:rPr>
        <w:t>Pregunta No.1: Existe un término establecido por la Ley o Jurisprudencia que establezca el tiempo exacto que tienen los oferentes para Subsanar previamente a la Subasta Inversa Electrónica?»</w:t>
      </w:r>
    </w:p>
    <w:p w14:paraId="587D0C8F" w14:textId="77777777" w:rsidR="00A577FF" w:rsidRPr="005A4E9E" w:rsidRDefault="00A577FF" w:rsidP="00A577FF">
      <w:pPr>
        <w:spacing w:line="276" w:lineRule="auto"/>
        <w:ind w:right="709"/>
        <w:jc w:val="both"/>
        <w:rPr>
          <w:rFonts w:ascii="Arial" w:eastAsia="Calibri" w:hAnsi="Arial" w:cs="Arial"/>
          <w:sz w:val="21"/>
          <w:szCs w:val="21"/>
          <w:lang w:val="es-CO"/>
        </w:rPr>
      </w:pPr>
    </w:p>
    <w:p w14:paraId="301F1440" w14:textId="33DB17B0" w:rsidR="00EA22A5" w:rsidRPr="005A4E9E" w:rsidRDefault="00A577FF" w:rsidP="005E5034">
      <w:pPr>
        <w:spacing w:line="276" w:lineRule="auto"/>
        <w:ind w:right="49"/>
        <w:jc w:val="both"/>
        <w:rPr>
          <w:rFonts w:ascii="Arial" w:eastAsia="Calibri" w:hAnsi="Arial" w:cs="Arial"/>
          <w:sz w:val="22"/>
        </w:rPr>
      </w:pPr>
      <w:r w:rsidRPr="005A4E9E">
        <w:rPr>
          <w:rFonts w:ascii="Arial" w:eastAsia="Calibri" w:hAnsi="Arial" w:cs="Arial"/>
          <w:sz w:val="22"/>
          <w:lang w:val="es-CO"/>
        </w:rPr>
        <w:t xml:space="preserve">La Ley 1150 de 2007 no </w:t>
      </w:r>
      <w:r w:rsidR="005E5034" w:rsidRPr="005A4E9E">
        <w:rPr>
          <w:rFonts w:ascii="Arial" w:eastAsia="Calibri" w:hAnsi="Arial" w:cs="Arial"/>
          <w:sz w:val="22"/>
          <w:lang w:val="es-CO"/>
        </w:rPr>
        <w:t>consagra</w:t>
      </w:r>
      <w:r w:rsidRPr="005A4E9E">
        <w:rPr>
          <w:rFonts w:ascii="Arial" w:eastAsia="Calibri" w:hAnsi="Arial" w:cs="Arial"/>
          <w:sz w:val="22"/>
          <w:lang w:val="es-CO"/>
        </w:rPr>
        <w:t xml:space="preserve"> un término específico para que los oferentes subsanen los documentos mediante los cuales acreditan el cumplimiento de los requisitos necesarios para participar en procesos en los que se use el mecanismo de subasta. Sin embargo, el parágrafo 4° del artículo 5 de la Ley 1150 de 2007 establece que las entidades podrán solicitar la subsanación de tales requisitos hasta antes del inicio de la subasta, razón por la que </w:t>
      </w:r>
      <w:r w:rsidR="00961AEE" w:rsidRPr="005A4E9E">
        <w:rPr>
          <w:rFonts w:ascii="Arial" w:eastAsia="Calibri" w:hAnsi="Arial" w:cs="Arial"/>
          <w:sz w:val="22"/>
          <w:lang w:val="es-CO"/>
        </w:rPr>
        <w:t>estas</w:t>
      </w:r>
      <w:r w:rsidRPr="005A4E9E">
        <w:rPr>
          <w:rFonts w:ascii="Arial" w:eastAsia="Calibri" w:hAnsi="Arial" w:cs="Arial"/>
          <w:sz w:val="22"/>
          <w:lang w:val="es-CO"/>
        </w:rPr>
        <w:t xml:space="preserve"> deberán permitir </w:t>
      </w:r>
      <w:r w:rsidR="005E5034" w:rsidRPr="005A4E9E">
        <w:rPr>
          <w:rFonts w:ascii="Arial" w:eastAsia="Calibri" w:hAnsi="Arial" w:cs="Arial"/>
          <w:sz w:val="22"/>
          <w:lang w:val="es-CO"/>
        </w:rPr>
        <w:t>a</w:t>
      </w:r>
      <w:r w:rsidRPr="005A4E9E">
        <w:rPr>
          <w:rFonts w:ascii="Arial" w:eastAsia="Calibri" w:hAnsi="Arial" w:cs="Arial"/>
          <w:sz w:val="22"/>
          <w:lang w:val="es-CO"/>
        </w:rPr>
        <w:t xml:space="preserve"> los proponentes subsanar los documentos que correspondan, para lo cual deberán fijar en el pliego de condiciones un término para que tengan lugar las subsanaciones, o solicitar </w:t>
      </w:r>
      <w:r w:rsidR="005E5034" w:rsidRPr="005A4E9E">
        <w:rPr>
          <w:rFonts w:ascii="Arial" w:eastAsia="Calibri" w:hAnsi="Arial" w:cs="Arial"/>
          <w:sz w:val="22"/>
          <w:lang w:val="es-CO"/>
        </w:rPr>
        <w:t>a los proponentes la realización de las mismas, lo que en todo caso deberá ocurrir antes del inicio de la subasta.</w:t>
      </w:r>
    </w:p>
    <w:p w14:paraId="744CE65F" w14:textId="452EC71E" w:rsidR="00A577FF" w:rsidRPr="005A4E9E" w:rsidRDefault="00A577FF" w:rsidP="008F6ABB">
      <w:pPr>
        <w:spacing w:line="276" w:lineRule="auto"/>
        <w:jc w:val="both"/>
        <w:rPr>
          <w:rFonts w:ascii="Arial" w:hAnsi="Arial" w:cs="Arial"/>
          <w:sz w:val="22"/>
          <w:lang w:val="es-ES_tradnl"/>
        </w:rPr>
      </w:pPr>
    </w:p>
    <w:p w14:paraId="0E88C94F" w14:textId="395427FA" w:rsidR="00A577FF" w:rsidRPr="005A4E9E" w:rsidRDefault="005E5034" w:rsidP="005E5034">
      <w:pPr>
        <w:spacing w:line="276" w:lineRule="auto"/>
        <w:ind w:left="709" w:right="709"/>
        <w:jc w:val="both"/>
        <w:rPr>
          <w:rFonts w:ascii="Arial" w:hAnsi="Arial" w:cs="Arial"/>
          <w:sz w:val="21"/>
          <w:szCs w:val="21"/>
          <w:lang w:val="es-CO"/>
        </w:rPr>
      </w:pPr>
      <w:r w:rsidRPr="005A4E9E">
        <w:rPr>
          <w:rFonts w:ascii="Arial" w:hAnsi="Arial" w:cs="Arial"/>
          <w:sz w:val="21"/>
          <w:szCs w:val="21"/>
          <w:lang w:val="es-CO"/>
        </w:rPr>
        <w:t>«</w:t>
      </w:r>
      <w:r w:rsidR="00A577FF" w:rsidRPr="005A4E9E">
        <w:rPr>
          <w:rFonts w:ascii="Arial" w:hAnsi="Arial" w:cs="Arial"/>
          <w:sz w:val="21"/>
          <w:szCs w:val="21"/>
          <w:lang w:val="es-CO"/>
        </w:rPr>
        <w:t>Pregunta No.4: Es valida el traspaso de experiencia de una sociedad inhabilitada a una nueva sociedad, para su inscripción en el RUP?</w:t>
      </w:r>
      <w:r w:rsidRPr="005A4E9E">
        <w:rPr>
          <w:rFonts w:ascii="Arial" w:hAnsi="Arial" w:cs="Arial"/>
          <w:sz w:val="21"/>
          <w:szCs w:val="21"/>
          <w:lang w:val="es-CO"/>
        </w:rPr>
        <w:t>»</w:t>
      </w:r>
    </w:p>
    <w:p w14:paraId="309FA49B" w14:textId="77777777" w:rsidR="00A577FF" w:rsidRPr="005A4E9E" w:rsidRDefault="00A577FF" w:rsidP="00A577FF">
      <w:pPr>
        <w:spacing w:line="276" w:lineRule="auto"/>
        <w:jc w:val="both"/>
        <w:rPr>
          <w:rFonts w:ascii="Arial" w:hAnsi="Arial" w:cs="Arial"/>
          <w:sz w:val="22"/>
          <w:lang w:val="es-CO"/>
        </w:rPr>
      </w:pPr>
    </w:p>
    <w:p w14:paraId="106B8700" w14:textId="52FEC3C7" w:rsidR="005E5034" w:rsidRPr="005A4E9E" w:rsidRDefault="008B0FC4" w:rsidP="006C717A">
      <w:pPr>
        <w:spacing w:after="120" w:line="276" w:lineRule="auto"/>
        <w:jc w:val="both"/>
        <w:rPr>
          <w:rFonts w:ascii="Arial" w:hAnsi="Arial" w:cs="Arial"/>
          <w:sz w:val="22"/>
          <w:lang w:val="es-CO"/>
        </w:rPr>
      </w:pPr>
      <w:r w:rsidRPr="005A4E9E">
        <w:rPr>
          <w:rFonts w:ascii="Arial" w:hAnsi="Arial" w:cs="Arial"/>
          <w:sz w:val="22"/>
          <w:lang w:val="es-CO"/>
        </w:rPr>
        <w:t>Conforme a</w:t>
      </w:r>
      <w:r w:rsidR="005E5034" w:rsidRPr="005A4E9E">
        <w:rPr>
          <w:rFonts w:ascii="Arial" w:hAnsi="Arial" w:cs="Arial"/>
          <w:sz w:val="22"/>
          <w:lang w:val="es-CO"/>
        </w:rPr>
        <w:t xml:space="preserve"> la interpretación y aplicación restrictiva que corresponde frente a las normas del régimen de inhabilidades, y comoquiera que no existe una prohibición que impida que la experiencia de las sociedades inhabilitadas, en</w:t>
      </w:r>
      <w:r w:rsidRPr="005A4E9E">
        <w:rPr>
          <w:rFonts w:ascii="Arial" w:hAnsi="Arial" w:cs="Arial"/>
          <w:sz w:val="22"/>
          <w:lang w:val="es-CO"/>
        </w:rPr>
        <w:t xml:space="preserve"> virtud</w:t>
      </w:r>
      <w:r w:rsidR="005E5034" w:rsidRPr="005A4E9E">
        <w:rPr>
          <w:rFonts w:ascii="Arial" w:hAnsi="Arial" w:cs="Arial"/>
          <w:sz w:val="22"/>
          <w:lang w:val="es-CO"/>
        </w:rPr>
        <w:t xml:space="preserve"> de la prerrogativa establecida en el </w:t>
      </w:r>
      <w:r w:rsidR="005E5034" w:rsidRPr="005A4E9E">
        <w:rPr>
          <w:rFonts w:ascii="Arial" w:hAnsi="Arial" w:cs="Arial"/>
          <w:sz w:val="22"/>
        </w:rPr>
        <w:t>numeral 2.5 del artículo 2.2.1.1.1.5.2 del Decreto 1082 de 2015,</w:t>
      </w:r>
      <w:r w:rsidR="005E5034" w:rsidRPr="005A4E9E">
        <w:rPr>
          <w:rFonts w:ascii="Arial" w:hAnsi="Arial" w:cs="Arial"/>
          <w:sz w:val="22"/>
          <w:lang w:val="es-CO"/>
        </w:rPr>
        <w:t xml:space="preserve"> sea acreditada por las sociedades nuevas en las cuales aquellas tienen participación, resulta v</w:t>
      </w:r>
      <w:r w:rsidR="00B3203C" w:rsidRPr="005A4E9E">
        <w:rPr>
          <w:rFonts w:ascii="Arial" w:hAnsi="Arial" w:cs="Arial"/>
          <w:sz w:val="22"/>
          <w:lang w:val="es-CO"/>
        </w:rPr>
        <w:t>á</w:t>
      </w:r>
      <w:r w:rsidR="005E5034" w:rsidRPr="005A4E9E">
        <w:rPr>
          <w:rFonts w:ascii="Arial" w:hAnsi="Arial" w:cs="Arial"/>
          <w:sz w:val="22"/>
          <w:lang w:val="es-CO"/>
        </w:rPr>
        <w:t xml:space="preserve">lida la acreditación de experiencia por las sociedades que cuenten con menos de 3 años de constitución. </w:t>
      </w:r>
    </w:p>
    <w:p w14:paraId="1566299C" w14:textId="62113F25" w:rsidR="00D318B7" w:rsidRPr="005A4E9E" w:rsidRDefault="00D318B7" w:rsidP="00A577FF">
      <w:pPr>
        <w:spacing w:line="276" w:lineRule="auto"/>
        <w:jc w:val="both"/>
        <w:rPr>
          <w:rFonts w:ascii="Arial" w:hAnsi="Arial" w:cs="Arial"/>
          <w:sz w:val="22"/>
          <w:lang w:val="es-CO"/>
        </w:rPr>
      </w:pPr>
      <w:r w:rsidRPr="005A4E9E">
        <w:rPr>
          <w:rFonts w:ascii="Arial" w:hAnsi="Arial" w:cs="Arial"/>
          <w:sz w:val="22"/>
          <w:lang w:val="es-CO"/>
        </w:rPr>
        <w:tab/>
        <w:t>No obstante, ello solo será posible en los casos en los que los efectos de la inhabilidad que afecta al socio no sean extensivos a la sociedad con menos de tres años de creación que pretende acreditarlos, en la medida que de estar afectad</w:t>
      </w:r>
      <w:r w:rsidR="006C717A" w:rsidRPr="005A4E9E">
        <w:rPr>
          <w:rFonts w:ascii="Arial" w:hAnsi="Arial" w:cs="Arial"/>
          <w:sz w:val="22"/>
          <w:lang w:val="es-CO"/>
        </w:rPr>
        <w:t>a</w:t>
      </w:r>
      <w:r w:rsidRPr="005A4E9E">
        <w:rPr>
          <w:rFonts w:ascii="Arial" w:hAnsi="Arial" w:cs="Arial"/>
          <w:sz w:val="22"/>
          <w:lang w:val="es-CO"/>
        </w:rPr>
        <w:t xml:space="preserve"> por esta u alguna otra inhabilidad, la posibilidad de hacer uso de la prerrogativa del </w:t>
      </w:r>
      <w:r w:rsidRPr="005A4E9E">
        <w:rPr>
          <w:rFonts w:ascii="Arial" w:hAnsi="Arial" w:cs="Arial"/>
          <w:sz w:val="22"/>
        </w:rPr>
        <w:t>numeral 2.5 del artículo 2.2.1.1.1.5.2 del Decreto 1082 de 2015 estará limitada en tanto tenga vigencia la inhabilidad</w:t>
      </w:r>
      <w:r w:rsidR="006C717A" w:rsidRPr="005A4E9E">
        <w:rPr>
          <w:rFonts w:ascii="Arial" w:hAnsi="Arial" w:cs="Arial"/>
          <w:sz w:val="22"/>
        </w:rPr>
        <w:t>.</w:t>
      </w:r>
    </w:p>
    <w:p w14:paraId="5514F593" w14:textId="77777777" w:rsidR="005E5034" w:rsidRPr="005A4E9E" w:rsidRDefault="005E5034" w:rsidP="00A577FF">
      <w:pPr>
        <w:spacing w:line="276" w:lineRule="auto"/>
        <w:jc w:val="both"/>
        <w:rPr>
          <w:rFonts w:ascii="Arial" w:hAnsi="Arial" w:cs="Arial"/>
          <w:sz w:val="22"/>
          <w:lang w:val="es-CO"/>
        </w:rPr>
      </w:pPr>
    </w:p>
    <w:p w14:paraId="1C53B6CD" w14:textId="78DB01F2" w:rsidR="00A577FF" w:rsidRPr="005A4E9E" w:rsidRDefault="008B0FC4" w:rsidP="008B0FC4">
      <w:pPr>
        <w:spacing w:line="276" w:lineRule="auto"/>
        <w:ind w:left="709" w:right="709"/>
        <w:jc w:val="both"/>
        <w:rPr>
          <w:rFonts w:ascii="Arial" w:hAnsi="Arial" w:cs="Arial"/>
          <w:sz w:val="21"/>
          <w:szCs w:val="21"/>
          <w:lang w:val="es-CO"/>
        </w:rPr>
      </w:pPr>
      <w:r w:rsidRPr="005A4E9E">
        <w:rPr>
          <w:rFonts w:ascii="Arial" w:hAnsi="Arial" w:cs="Arial"/>
          <w:sz w:val="21"/>
          <w:szCs w:val="21"/>
          <w:lang w:val="es-CO"/>
        </w:rPr>
        <w:t>«</w:t>
      </w:r>
      <w:r w:rsidR="00A577FF" w:rsidRPr="005A4E9E">
        <w:rPr>
          <w:rFonts w:ascii="Arial" w:hAnsi="Arial" w:cs="Arial"/>
          <w:sz w:val="21"/>
          <w:szCs w:val="21"/>
          <w:lang w:val="es-CO"/>
        </w:rPr>
        <w:t>Pregunta No.5: es viable o legal que la Entidad aduzca que no le es aceptada su experiencia por estar pronto a cumplir sus tres años de constitución?».</w:t>
      </w:r>
    </w:p>
    <w:p w14:paraId="37428955" w14:textId="77777777" w:rsidR="00A577FF" w:rsidRPr="005A4E9E" w:rsidRDefault="00A577FF" w:rsidP="008F6ABB">
      <w:pPr>
        <w:spacing w:line="276" w:lineRule="auto"/>
        <w:jc w:val="both"/>
        <w:rPr>
          <w:rFonts w:ascii="Arial" w:hAnsi="Arial" w:cs="Arial"/>
          <w:sz w:val="22"/>
          <w:lang w:val="es-CO"/>
        </w:rPr>
      </w:pPr>
    </w:p>
    <w:p w14:paraId="29970DC9" w14:textId="54734182" w:rsidR="008F6ABB" w:rsidRPr="005A4E9E" w:rsidRDefault="008B0FC4" w:rsidP="008B0FC4">
      <w:pPr>
        <w:spacing w:after="120" w:line="276" w:lineRule="auto"/>
        <w:jc w:val="both"/>
        <w:rPr>
          <w:rFonts w:ascii="Arial" w:eastAsia="Calibri" w:hAnsi="Arial" w:cs="Arial"/>
          <w:sz w:val="22"/>
        </w:rPr>
      </w:pPr>
      <w:r w:rsidRPr="005A4E9E">
        <w:rPr>
          <w:rFonts w:ascii="Arial" w:eastAsia="Calibri" w:hAnsi="Arial" w:cs="Arial"/>
          <w:sz w:val="22"/>
        </w:rPr>
        <w:t xml:space="preserve">De conformidad con </w:t>
      </w:r>
      <w:r w:rsidR="001E04E7" w:rsidRPr="005A4E9E">
        <w:rPr>
          <w:rFonts w:ascii="Arial" w:eastAsia="Calibri" w:hAnsi="Arial" w:cs="Arial"/>
          <w:sz w:val="22"/>
        </w:rPr>
        <w:t xml:space="preserve">la posición </w:t>
      </w:r>
      <w:r w:rsidRPr="005A4E9E">
        <w:rPr>
          <w:rFonts w:ascii="Arial" w:eastAsia="Calibri" w:hAnsi="Arial" w:cs="Arial"/>
          <w:sz w:val="22"/>
        </w:rPr>
        <w:t>adoptad</w:t>
      </w:r>
      <w:r w:rsidR="001E04E7" w:rsidRPr="005A4E9E">
        <w:rPr>
          <w:rFonts w:ascii="Arial" w:eastAsia="Calibri" w:hAnsi="Arial" w:cs="Arial"/>
          <w:sz w:val="22"/>
        </w:rPr>
        <w:t>a</w:t>
      </w:r>
      <w:r w:rsidRPr="005A4E9E">
        <w:rPr>
          <w:rFonts w:ascii="Arial" w:eastAsia="Calibri" w:hAnsi="Arial" w:cs="Arial"/>
          <w:sz w:val="22"/>
        </w:rPr>
        <w:t xml:space="preserve">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1082 de 2015, hayan acreditado la experiencia de sus socios o accionistas, lo puedan seguir haciendo aun después de cumplidos los 3 años de constitución, siempre que no hayan cesado los efectos del RUP por el incumplimiento del deber de renovación.</w:t>
      </w:r>
    </w:p>
    <w:p w14:paraId="1554ABA0" w14:textId="74AC62BD" w:rsidR="008B0FC4" w:rsidRPr="005A4E9E" w:rsidRDefault="008B0FC4" w:rsidP="008B0FC4">
      <w:pPr>
        <w:spacing w:line="276" w:lineRule="auto"/>
        <w:jc w:val="both"/>
        <w:rPr>
          <w:rFonts w:ascii="Arial" w:eastAsia="Calibri" w:hAnsi="Arial" w:cs="Arial"/>
          <w:sz w:val="22"/>
        </w:rPr>
      </w:pPr>
      <w:r w:rsidRPr="005A4E9E">
        <w:rPr>
          <w:rFonts w:ascii="Arial" w:eastAsia="Calibri" w:hAnsi="Arial" w:cs="Arial"/>
          <w:sz w:val="22"/>
        </w:rPr>
        <w:tab/>
        <w:t xml:space="preserve">En ese sentido, el hecho de que una sociedad se encuentre pronta a cumplir los 3 años de </w:t>
      </w:r>
      <w:r w:rsidR="00961AEE" w:rsidRPr="005A4E9E">
        <w:rPr>
          <w:rFonts w:ascii="Arial" w:eastAsia="Calibri" w:hAnsi="Arial" w:cs="Arial"/>
          <w:sz w:val="22"/>
        </w:rPr>
        <w:t>creación</w:t>
      </w:r>
      <w:r w:rsidRPr="005A4E9E">
        <w:rPr>
          <w:rFonts w:ascii="Arial" w:eastAsia="Calibri" w:hAnsi="Arial" w:cs="Arial"/>
          <w:sz w:val="22"/>
        </w:rPr>
        <w:t xml:space="preserve"> no </w:t>
      </w:r>
      <w:r w:rsidR="00961AEE" w:rsidRPr="005A4E9E">
        <w:rPr>
          <w:rFonts w:ascii="Arial" w:eastAsia="Calibri" w:hAnsi="Arial" w:cs="Arial"/>
          <w:sz w:val="22"/>
        </w:rPr>
        <w:t xml:space="preserve">es </w:t>
      </w:r>
      <w:r w:rsidRPr="005A4E9E">
        <w:rPr>
          <w:rFonts w:ascii="Arial" w:eastAsia="Calibri" w:hAnsi="Arial" w:cs="Arial"/>
          <w:sz w:val="22"/>
        </w:rPr>
        <w:t>un motivo para que no le sea aceptada la experiencia acredita</w:t>
      </w:r>
      <w:r w:rsidR="00961AEE" w:rsidRPr="005A4E9E">
        <w:rPr>
          <w:rFonts w:ascii="Arial" w:eastAsia="Calibri" w:hAnsi="Arial" w:cs="Arial"/>
          <w:sz w:val="22"/>
        </w:rPr>
        <w:t>d</w:t>
      </w:r>
      <w:r w:rsidRPr="005A4E9E">
        <w:rPr>
          <w:rFonts w:ascii="Arial" w:eastAsia="Calibri" w:hAnsi="Arial" w:cs="Arial"/>
          <w:sz w:val="22"/>
        </w:rPr>
        <w:t>a en uso de la referida prerrogativa</w:t>
      </w:r>
      <w:r w:rsidR="00961AEE" w:rsidRPr="005A4E9E">
        <w:rPr>
          <w:rFonts w:ascii="Arial" w:eastAsia="Calibri" w:hAnsi="Arial" w:cs="Arial"/>
          <w:sz w:val="22"/>
        </w:rPr>
        <w:t xml:space="preserve">, ya que el vencimiento de dicho plazo no cercena la posibilidad de seguir haciendo uso de esta. </w:t>
      </w:r>
    </w:p>
    <w:p w14:paraId="5530735D" w14:textId="77777777" w:rsidR="008B0FC4" w:rsidRPr="005A4E9E" w:rsidRDefault="008B0FC4" w:rsidP="008B0FC4">
      <w:pPr>
        <w:spacing w:line="276" w:lineRule="auto"/>
        <w:jc w:val="both"/>
        <w:rPr>
          <w:rFonts w:ascii="Arial" w:eastAsia="Calibri" w:hAnsi="Arial" w:cs="Arial"/>
          <w:sz w:val="22"/>
        </w:rPr>
      </w:pPr>
    </w:p>
    <w:p w14:paraId="12038E8E" w14:textId="0A2A1DA7" w:rsidR="00BA22A9" w:rsidRPr="005A4E9E" w:rsidRDefault="00BA22A9" w:rsidP="008F6ABB">
      <w:pPr>
        <w:spacing w:line="276" w:lineRule="auto"/>
        <w:jc w:val="both"/>
        <w:rPr>
          <w:rFonts w:ascii="Arial" w:eastAsia="Calibri" w:hAnsi="Arial" w:cs="Arial"/>
          <w:sz w:val="22"/>
        </w:rPr>
      </w:pPr>
      <w:r w:rsidRPr="005A4E9E">
        <w:rPr>
          <w:rFonts w:ascii="Arial" w:eastAsia="Calibri" w:hAnsi="Arial" w:cs="Arial"/>
          <w:sz w:val="22"/>
        </w:rPr>
        <w:t>Este concepto tiene el alcance previsto en el artículo 28 del Código de Procedimiento Administrativo y de lo Contencioso Administrativo.</w:t>
      </w:r>
    </w:p>
    <w:p w14:paraId="0F12EF82" w14:textId="0D0A9793" w:rsidR="00BA22A9" w:rsidRPr="005A4E9E" w:rsidRDefault="009D5015" w:rsidP="00B10353">
      <w:pPr>
        <w:spacing w:line="276" w:lineRule="auto"/>
        <w:jc w:val="both"/>
        <w:rPr>
          <w:rFonts w:ascii="Arial" w:eastAsia="Times New Roman" w:hAnsi="Arial" w:cs="Arial"/>
          <w:sz w:val="22"/>
          <w:lang w:eastAsia="es-CO"/>
        </w:rPr>
      </w:pPr>
      <w:r w:rsidRPr="005A4E9E">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1E0127D7" wp14:editId="587B3028">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322E07D7">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158E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61290C45" w14:textId="454E1B3A" w:rsidR="00BA22A9" w:rsidRPr="005A4E9E" w:rsidRDefault="00BA22A9" w:rsidP="00C61766">
      <w:pPr>
        <w:spacing w:line="276" w:lineRule="auto"/>
        <w:jc w:val="both"/>
        <w:rPr>
          <w:rFonts w:ascii="Arial" w:eastAsia="Times New Roman" w:hAnsi="Arial" w:cs="Arial"/>
          <w:sz w:val="18"/>
          <w:szCs w:val="20"/>
          <w:lang w:eastAsia="es-CO"/>
        </w:rPr>
      </w:pPr>
      <w:r w:rsidRPr="005A4E9E">
        <w:rPr>
          <w:rFonts w:ascii="Arial" w:eastAsia="Times New Roman" w:hAnsi="Arial" w:cs="Arial"/>
          <w:sz w:val="22"/>
          <w:lang w:eastAsia="es-CO"/>
        </w:rPr>
        <w:t>Atentamente,</w:t>
      </w:r>
    </w:p>
    <w:p w14:paraId="4004C20E" w14:textId="286BE441" w:rsidR="00BA22A9" w:rsidRPr="005A4E9E" w:rsidRDefault="00C61766" w:rsidP="00C61766">
      <w:pPr>
        <w:spacing w:after="18"/>
        <w:jc w:val="center"/>
        <w:rPr>
          <w:rFonts w:ascii="Arial" w:hAnsi="Arial" w:cs="Arial"/>
        </w:rPr>
      </w:pPr>
      <w:r>
        <w:rPr>
          <w:noProof/>
          <w:lang w:val="en-US"/>
        </w:rPr>
        <w:drawing>
          <wp:inline distT="0" distB="0" distL="0" distR="0" wp14:anchorId="1945BF34" wp14:editId="7B03302F">
            <wp:extent cx="2773144" cy="988695"/>
            <wp:effectExtent l="0" t="0" r="0" b="0"/>
            <wp:docPr id="191493661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pPr w:leftFromText="141" w:rightFromText="141" w:vertAnchor="text" w:horzAnchor="margin"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C61766" w:rsidRPr="005A4E9E" w14:paraId="67BAB2CF" w14:textId="77777777" w:rsidTr="00C61766">
        <w:trPr>
          <w:trHeight w:val="286"/>
        </w:trPr>
        <w:tc>
          <w:tcPr>
            <w:tcW w:w="817" w:type="dxa"/>
            <w:vAlign w:val="center"/>
          </w:tcPr>
          <w:bookmarkEnd w:id="4"/>
          <w:p w14:paraId="34A55810"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46301D0D"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Alejandro Sarmiento Cantillo</w:t>
            </w:r>
          </w:p>
          <w:p w14:paraId="3ED76140"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Contratista - Subdirección de Gestión Contractual</w:t>
            </w:r>
          </w:p>
        </w:tc>
      </w:tr>
      <w:tr w:rsidR="00C61766" w:rsidRPr="005A4E9E" w14:paraId="03BCBC3A" w14:textId="77777777" w:rsidTr="00C61766">
        <w:trPr>
          <w:trHeight w:val="299"/>
        </w:trPr>
        <w:tc>
          <w:tcPr>
            <w:tcW w:w="817" w:type="dxa"/>
            <w:vAlign w:val="center"/>
          </w:tcPr>
          <w:p w14:paraId="006A91E2"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136B470C"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Cristian Andrés Díaz Díez</w:t>
            </w:r>
          </w:p>
          <w:p w14:paraId="159156D4"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Contratista - Subdirección de Gestión Contractual</w:t>
            </w:r>
          </w:p>
        </w:tc>
      </w:tr>
      <w:tr w:rsidR="00C61766" w:rsidRPr="00780DA3" w14:paraId="74A3C93A" w14:textId="77777777" w:rsidTr="00C61766">
        <w:trPr>
          <w:trHeight w:val="272"/>
        </w:trPr>
        <w:tc>
          <w:tcPr>
            <w:tcW w:w="817" w:type="dxa"/>
            <w:vAlign w:val="center"/>
          </w:tcPr>
          <w:p w14:paraId="7A8DB78C"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29C78071" w14:textId="77777777" w:rsidR="00C61766" w:rsidRPr="005A4E9E"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Fabián Gonzalo Marín Cortés</w:t>
            </w:r>
          </w:p>
          <w:p w14:paraId="6597339C" w14:textId="77777777" w:rsidR="00C61766" w:rsidRPr="00780DA3" w:rsidRDefault="00C61766" w:rsidP="00C61766">
            <w:pPr>
              <w:rPr>
                <w:rFonts w:ascii="Arial" w:eastAsia="Times New Roman" w:hAnsi="Arial" w:cs="Arial"/>
                <w:sz w:val="14"/>
                <w:szCs w:val="14"/>
                <w:lang w:eastAsia="es-ES"/>
              </w:rPr>
            </w:pPr>
            <w:r w:rsidRPr="005A4E9E">
              <w:rPr>
                <w:rFonts w:ascii="Arial" w:eastAsia="Times New Roman" w:hAnsi="Arial" w:cs="Arial"/>
                <w:sz w:val="14"/>
                <w:szCs w:val="14"/>
                <w:lang w:eastAsia="es-ES"/>
              </w:rPr>
              <w:t>Subdirector de Gestión Contractual</w:t>
            </w:r>
          </w:p>
        </w:tc>
      </w:tr>
    </w:tbl>
    <w:p w14:paraId="35B56F46" w14:textId="77777777" w:rsidR="00746E08" w:rsidRPr="00780DA3" w:rsidRDefault="00746E08" w:rsidP="00C61766">
      <w:pPr>
        <w:rPr>
          <w:rFonts w:ascii="Arial" w:eastAsia="Times New Roman" w:hAnsi="Arial" w:cs="Arial"/>
          <w:sz w:val="16"/>
          <w:szCs w:val="16"/>
          <w:lang w:eastAsia="es-ES"/>
        </w:rPr>
      </w:pPr>
    </w:p>
    <w:sectPr w:rsidR="00746E08" w:rsidRPr="00780DA3"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08DF" w16cex:dateUtc="2020-06-18T20:38:00Z"/>
  <w16cex:commentExtensible w16cex:durableId="22987D2A" w16cex:dateUtc="2020-06-20T1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DB69" w14:textId="77777777" w:rsidR="00F62861" w:rsidRDefault="00F62861">
      <w:r>
        <w:separator/>
      </w:r>
    </w:p>
  </w:endnote>
  <w:endnote w:type="continuationSeparator" w:id="0">
    <w:p w14:paraId="55E79DE9" w14:textId="77777777" w:rsidR="00F62861" w:rsidRDefault="00F6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E00827" w:rsidRDefault="00E00827" w:rsidP="00322937">
    <w:pPr>
      <w:pStyle w:val="Sinespaciado"/>
      <w:jc w:val="right"/>
      <w:rPr>
        <w:rFonts w:ascii="Arial" w:hAnsi="Arial" w:cs="Arial"/>
        <w:sz w:val="18"/>
        <w:szCs w:val="18"/>
      </w:rPr>
    </w:pPr>
  </w:p>
  <w:p w14:paraId="7A3785F3" w14:textId="78A44D57" w:rsidR="00E00827" w:rsidRPr="008217B7" w:rsidRDefault="00E0082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32AA6">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32AA6">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E00827" w:rsidRDefault="1EB26971" w:rsidP="00322937">
    <w:pPr>
      <w:pStyle w:val="Piedepgina"/>
      <w:jc w:val="center"/>
      <w:rPr>
        <w:lang w:val="es-ES"/>
      </w:rPr>
    </w:pPr>
    <w:r>
      <w:rPr>
        <w:noProof/>
        <w:lang w:val="en-US"/>
      </w:rPr>
      <w:drawing>
        <wp:inline distT="0" distB="0" distL="0" distR="0" wp14:anchorId="608B196D" wp14:editId="315E5420">
          <wp:extent cx="3700130" cy="519139"/>
          <wp:effectExtent l="0" t="0" r="0" b="0"/>
          <wp:docPr id="13380731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00827" w:rsidRDefault="00E00827" w:rsidP="007B0854">
    <w:pPr>
      <w:pStyle w:val="Piedepgina"/>
      <w:jc w:val="center"/>
      <w:rPr>
        <w:lang w:val="es-ES"/>
      </w:rPr>
    </w:pPr>
  </w:p>
  <w:p w14:paraId="6C0EFC49" w14:textId="77777777" w:rsidR="00E00827" w:rsidRPr="007B0854" w:rsidRDefault="00E0082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C64F" w14:textId="77777777" w:rsidR="00F62861" w:rsidRDefault="00F62861">
      <w:r>
        <w:separator/>
      </w:r>
    </w:p>
  </w:footnote>
  <w:footnote w:type="continuationSeparator" w:id="0">
    <w:p w14:paraId="47469710" w14:textId="77777777" w:rsidR="00F62861" w:rsidRDefault="00F62861">
      <w:r>
        <w:continuationSeparator/>
      </w:r>
    </w:p>
  </w:footnote>
  <w:footnote w:id="1">
    <w:p w14:paraId="6F9655FE" w14:textId="77777777" w:rsidR="00E00827" w:rsidRPr="00FC7C78" w:rsidRDefault="00E00827" w:rsidP="002D61A0">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756DEDF4"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xml:space="preserve">[...] </w:t>
      </w:r>
    </w:p>
    <w:p w14:paraId="154E8D13"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0186C6E1"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w:t>
      </w:r>
    </w:p>
    <w:p w14:paraId="2A886953"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eastAsia="Times New Roman" w:hAnsi="Arial" w:cs="Arial"/>
          <w:color w:val="000000" w:themeColor="text1"/>
          <w:sz w:val="19"/>
          <w:szCs w:val="19"/>
          <w:lang w:val="es-CO" w:eastAsia="es-ES_tradnl"/>
        </w:rPr>
        <w:t>»</w:t>
      </w:r>
      <w:r w:rsidRPr="00FC7C78">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4E3D68D9"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 xml:space="preserve">[...] </w:t>
      </w:r>
    </w:p>
    <w:p w14:paraId="24EC2E0E" w14:textId="77777777" w:rsidR="00E00827" w:rsidRPr="00FC7C78" w:rsidRDefault="00E00827" w:rsidP="002D61A0">
      <w:pPr>
        <w:pStyle w:val="Textonotapie"/>
        <w:ind w:firstLine="708"/>
        <w:jc w:val="both"/>
        <w:rPr>
          <w:rFonts w:ascii="Arial" w:hAnsi="Arial" w:cs="Arial"/>
          <w:color w:val="000000" w:themeColor="text1"/>
          <w:sz w:val="19"/>
          <w:szCs w:val="19"/>
          <w:lang w:val="es-ES"/>
        </w:rPr>
      </w:pPr>
      <w:r w:rsidRPr="00FC7C78">
        <w:rPr>
          <w:rFonts w:ascii="Arial" w:eastAsia="Times New Roman" w:hAnsi="Arial" w:cs="Arial"/>
          <w:color w:val="000000" w:themeColor="text1"/>
          <w:sz w:val="19"/>
          <w:szCs w:val="19"/>
          <w:lang w:val="es-CO" w:eastAsia="es-ES_tradnl"/>
        </w:rPr>
        <w:t>»</w:t>
      </w:r>
      <w:r w:rsidRPr="00FC7C78">
        <w:rPr>
          <w:rFonts w:ascii="Arial" w:hAnsi="Arial" w:cs="Arial"/>
          <w:color w:val="000000" w:themeColor="text1"/>
          <w:sz w:val="19"/>
          <w:szCs w:val="19"/>
          <w:lang w:val="es-ES"/>
        </w:rPr>
        <w:t xml:space="preserve">8. Absolver consultas sobre la aplicación de normas de carácter general». </w:t>
      </w:r>
    </w:p>
  </w:footnote>
  <w:footnote w:id="2">
    <w:p w14:paraId="678FA4FC"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0CB93AC1"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390FC479"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2CF11EF0"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93CB3E1"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3">
    <w:p w14:paraId="68CD9EA5" w14:textId="7777777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Consejo de Estado. Sección Tercera. Subsección A. Sentencia del 25 de octubre de 2019. Exp. 39.945. Consejera Ponente: María Adriana Marín.</w:t>
      </w:r>
    </w:p>
  </w:footnote>
  <w:footnote w:id="4">
    <w:p w14:paraId="35C0280E" w14:textId="77777777" w:rsidR="00E00827" w:rsidRPr="00FC7C78" w:rsidRDefault="00E00827" w:rsidP="00F70A57">
      <w:pPr>
        <w:pStyle w:val="Textonotapie"/>
        <w:ind w:firstLine="709"/>
        <w:jc w:val="both"/>
        <w:rPr>
          <w:rFonts w:ascii="Arial" w:hAnsi="Arial" w:cs="Arial"/>
          <w:color w:val="000000" w:themeColor="text1"/>
          <w:sz w:val="19"/>
          <w:szCs w:val="19"/>
        </w:rPr>
      </w:pPr>
    </w:p>
    <w:p w14:paraId="334C0CF7" w14:textId="23DECF37" w:rsidR="00E00827" w:rsidRPr="00FC7C78" w:rsidRDefault="00E00827" w:rsidP="00F70A57">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Style w:val="Refdenotaalpie"/>
          <w:rFonts w:ascii="Arial" w:hAnsi="Arial" w:cs="Arial"/>
          <w:color w:val="000000" w:themeColor="text1"/>
          <w:sz w:val="19"/>
          <w:szCs w:val="19"/>
        </w:rPr>
        <w:t xml:space="preserve"> </w:t>
      </w:r>
      <w:r w:rsidRPr="00FC7C78">
        <w:rPr>
          <w:rFonts w:ascii="Arial" w:hAnsi="Arial" w:cs="Arial"/>
          <w:color w:val="000000" w:themeColor="text1"/>
          <w:sz w:val="19"/>
          <w:szCs w:val="19"/>
        </w:rPr>
        <w:t>Consejo de Estado. Sección Tercera. Subsección A. Sentencia del 5 de julio de 2018. Exp. 37.834. Consejero Ponente: Carlos Alberto Zambrano Barrera.</w:t>
      </w:r>
    </w:p>
  </w:footnote>
  <w:footnote w:id="5">
    <w:p w14:paraId="134FB559"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3ECC4D0" w14:textId="77777777" w:rsidR="00E00827" w:rsidRPr="00FC7C78" w:rsidRDefault="00E00827" w:rsidP="00F70A57">
      <w:pPr>
        <w:pStyle w:val="Textonotapie"/>
        <w:ind w:firstLine="709"/>
        <w:jc w:val="both"/>
        <w:rPr>
          <w:rFonts w:ascii="Arial" w:hAnsi="Arial" w:cs="Arial"/>
          <w:color w:val="000000" w:themeColor="text1"/>
          <w:sz w:val="19"/>
          <w:szCs w:val="19"/>
        </w:rPr>
      </w:pPr>
    </w:p>
  </w:footnote>
  <w:footnote w:id="6">
    <w:p w14:paraId="5D474337"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11EA854D"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8">
    <w:p w14:paraId="6D089929"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Style w:val="Refdenotaalpie"/>
          <w:rFonts w:ascii="Arial" w:hAnsi="Arial" w:cs="Arial"/>
          <w:color w:val="000000" w:themeColor="text1"/>
          <w:sz w:val="19"/>
          <w:szCs w:val="19"/>
        </w:rPr>
        <w:t xml:space="preserve"> </w:t>
      </w:r>
      <w:r w:rsidRPr="00FC7C78">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9">
    <w:p w14:paraId="7DE8B0F4" w14:textId="77777777" w:rsidR="00E00827" w:rsidRPr="00FC7C78" w:rsidRDefault="00E00827" w:rsidP="00F70A57">
      <w:pPr>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FC7C78">
          <w:rPr>
            <w:rFonts w:ascii="Arial" w:hAnsi="Arial" w:cs="Arial"/>
            <w:color w:val="000000" w:themeColor="text1"/>
            <w:sz w:val="19"/>
            <w:szCs w:val="19"/>
          </w:rPr>
          <w:t>Ley 1150 de 2007</w:t>
        </w:r>
      </w:hyperlink>
      <w:r w:rsidRPr="00FC7C78">
        <w:rPr>
          <w:rFonts w:ascii="Arial" w:hAnsi="Arial" w:cs="Arial"/>
          <w:color w:val="000000" w:themeColor="text1"/>
          <w:sz w:val="19"/>
          <w:szCs w:val="19"/>
        </w:rPr>
        <w:t> y en el presente decreto.</w:t>
      </w:r>
    </w:p>
    <w:p w14:paraId="62D9729B" w14:textId="77777777" w:rsidR="00E00827" w:rsidRPr="00FC7C78" w:rsidRDefault="00E00827" w:rsidP="00F70A57">
      <w:pPr>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4B0E88C9" w14:textId="77777777" w:rsidR="00E00827" w:rsidRPr="00FC7C78" w:rsidRDefault="00E00827" w:rsidP="00F70A57">
      <w:pPr>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07A2771E" w14:textId="77777777" w:rsidR="00E00827" w:rsidRPr="00FC7C78" w:rsidRDefault="00E00827" w:rsidP="00F70A57">
      <w:pPr>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7EC0632E" w14:textId="77777777" w:rsidR="00E00827" w:rsidRPr="00FC7C78" w:rsidRDefault="00E00827" w:rsidP="00F70A57">
      <w:pPr>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35A9DF23" w14:textId="77777777" w:rsidR="00E00827" w:rsidRPr="00FC7C78" w:rsidRDefault="00E00827" w:rsidP="00F70A57">
      <w:pPr>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 xml:space="preserve"> </w:t>
      </w:r>
    </w:p>
  </w:footnote>
  <w:footnote w:id="10">
    <w:p w14:paraId="50E20C45"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0AFD82A5" w14:textId="366C492F" w:rsidR="00E00827" w:rsidRPr="00FC7C78" w:rsidRDefault="00E00827" w:rsidP="00F70A57">
      <w:pPr>
        <w:pStyle w:val="Textonotapie"/>
        <w:ind w:firstLine="709"/>
        <w:jc w:val="both"/>
        <w:rPr>
          <w:rFonts w:ascii="Arial" w:hAnsi="Arial" w:cs="Arial"/>
          <w:color w:val="000000" w:themeColor="text1"/>
          <w:sz w:val="19"/>
          <w:szCs w:val="19"/>
        </w:rPr>
      </w:pPr>
      <w:r w:rsidRPr="00FC7C78">
        <w:rPr>
          <w:rFonts w:ascii="Arial" w:hAnsi="Arial" w:cs="Arial"/>
          <w:color w:val="000000" w:themeColor="text1"/>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73406E2E" w14:textId="77777777" w:rsidR="00E00827" w:rsidRPr="00FC7C78" w:rsidRDefault="00E00827" w:rsidP="00F70A57">
      <w:pPr>
        <w:pStyle w:val="Textonotapie"/>
        <w:ind w:firstLine="709"/>
        <w:jc w:val="both"/>
        <w:rPr>
          <w:rFonts w:ascii="Arial" w:hAnsi="Arial" w:cs="Arial"/>
          <w:color w:val="000000" w:themeColor="text1"/>
          <w:sz w:val="19"/>
          <w:szCs w:val="19"/>
        </w:rPr>
      </w:pPr>
    </w:p>
  </w:footnote>
  <w:footnote w:id="11">
    <w:p w14:paraId="3A89A3AC"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Ver Consejo de Estado, Sección Tercera, Subsección C. Sentencia del 26 de febrero de 2011. C.P. Jaime Orlando Santofimio. Rad. 36.408.  </w:t>
      </w:r>
    </w:p>
    <w:p w14:paraId="4D58CC02" w14:textId="77777777" w:rsidR="00E00827" w:rsidRPr="00FC7C78" w:rsidRDefault="00E00827" w:rsidP="00F70A57">
      <w:pPr>
        <w:pStyle w:val="Textonotapie"/>
        <w:ind w:firstLine="709"/>
        <w:jc w:val="both"/>
        <w:rPr>
          <w:rFonts w:ascii="Arial" w:hAnsi="Arial" w:cs="Arial"/>
          <w:color w:val="000000" w:themeColor="text1"/>
          <w:sz w:val="19"/>
          <w:szCs w:val="19"/>
        </w:rPr>
      </w:pPr>
    </w:p>
  </w:footnote>
  <w:footnote w:id="12">
    <w:p w14:paraId="6297505A" w14:textId="0F2571B3"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Ver Consejo de Estado, Sección Tercera, Subsección C. Sentencia del 26 de febrero de 2014. C.P. Enrique Gil Botero. Rad. 25.804.  </w:t>
      </w:r>
    </w:p>
    <w:p w14:paraId="2A87ABA2" w14:textId="77777777" w:rsidR="00E00827" w:rsidRPr="00FC7C78" w:rsidRDefault="00E00827" w:rsidP="00F70A57">
      <w:pPr>
        <w:pStyle w:val="Textonotapie"/>
        <w:ind w:firstLine="709"/>
        <w:jc w:val="both"/>
        <w:rPr>
          <w:rFonts w:ascii="Arial" w:hAnsi="Arial" w:cs="Arial"/>
          <w:color w:val="000000" w:themeColor="text1"/>
          <w:sz w:val="19"/>
          <w:szCs w:val="19"/>
        </w:rPr>
      </w:pPr>
    </w:p>
  </w:footnote>
  <w:footnote w:id="13">
    <w:p w14:paraId="61F26E8D" w14:textId="77777777" w:rsidR="00E00827" w:rsidRPr="00FC7C78" w:rsidRDefault="00E00827" w:rsidP="00F70A57">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Consejo de Estado. Sala de Consulta y Servicio Civil. Concepto del 20 de mayo de 2010. Expediente: 1992. Consejero Ponente: Enrique José Arboleda Perdomo.</w:t>
      </w:r>
    </w:p>
    <w:p w14:paraId="2C87F99B" w14:textId="77777777" w:rsidR="00E00827" w:rsidRPr="00FC7C78" w:rsidRDefault="00E00827" w:rsidP="00F70A57">
      <w:pPr>
        <w:pStyle w:val="Textonotapie"/>
        <w:ind w:firstLine="709"/>
        <w:jc w:val="both"/>
        <w:rPr>
          <w:rFonts w:ascii="Arial" w:hAnsi="Arial" w:cs="Arial"/>
          <w:color w:val="000000" w:themeColor="text1"/>
          <w:sz w:val="19"/>
          <w:szCs w:val="19"/>
        </w:rPr>
      </w:pPr>
    </w:p>
  </w:footnote>
  <w:footnote w:id="14">
    <w:p w14:paraId="00E48D17"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Ley 1150 de 2007 </w:t>
      </w:r>
      <w:r w:rsidRPr="00FC7C78">
        <w:rPr>
          <w:rFonts w:ascii="Arial" w:hAnsi="Arial" w:cs="Arial"/>
          <w:color w:val="000000" w:themeColor="text1"/>
          <w:sz w:val="19"/>
          <w:szCs w:val="19"/>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5B0560EE"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»1. Licitación pública. La escogencia del contratista se efectuará por regla general a través de licitación pública, con las excepciones que se señalan en los numerales 2, 3 y 4 del presente artículo.</w:t>
      </w:r>
    </w:p>
    <w:p w14:paraId="78645F6D"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Cuando la entidad estatal así lo determine, la oferta en un proceso de la licitación pública podrá ser presentada total o parcialmente de manera dinámica mediante subasta inversa, en las condiciones que fije el reglamento.</w:t>
      </w:r>
    </w:p>
    <w:p w14:paraId="3DADE384"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52FE0FCD"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»El Gobierno Nacional reglamentará la materia.</w:t>
      </w:r>
    </w:p>
    <w:p w14:paraId="77B104EF"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»Serán causales de selección abreviada las siguientes:</w:t>
      </w:r>
    </w:p>
    <w:p w14:paraId="5D174061"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600DB74E" w14:textId="77777777" w:rsidR="00E00827" w:rsidRPr="00FC7C78" w:rsidRDefault="00E00827" w:rsidP="009F7B0A">
      <w:pPr>
        <w:pStyle w:val="Textonotapie"/>
        <w:ind w:firstLine="705"/>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093E2506" w14:textId="77777777" w:rsidR="00E00827" w:rsidRPr="00FC7C78" w:rsidRDefault="00E00827" w:rsidP="009F7B0A">
      <w:pPr>
        <w:pStyle w:val="Textonotapie"/>
        <w:ind w:left="705"/>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w:t>
      </w:r>
    </w:p>
    <w:p w14:paraId="301F0A0F"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»e) La enajenación de bienes del Estado, con excepción de aquellos a que se refiere la Ley 226 de 1995.</w:t>
      </w:r>
    </w:p>
    <w:p w14:paraId="31D1A1BD"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5236A3A7"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w:t>
      </w:r>
    </w:p>
    <w:p w14:paraId="15312F43"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»Las reglas y procedimientos que deberán atender la administración y los promotores y la publicidad del proceso deberán garantizar la libre concurrencia y oportunidad de quienes participen en el mismo.</w:t>
      </w:r>
    </w:p>
    <w:p w14:paraId="1AEEDEE8"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58EA1B48" w14:textId="77777777" w:rsidR="00E00827" w:rsidRPr="00FC7C78" w:rsidRDefault="00E00827" w:rsidP="009F7B0A">
      <w:pPr>
        <w:pStyle w:val="Textonotapie"/>
        <w:ind w:firstLine="708"/>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CO"/>
        </w:rPr>
        <w:t>»La venta implica la publicación previa de los bienes en un diario de amplia circulación nacional, con la determinación del precio base. El interesado en adquirir bienes deberá consignar al menos el 20% del valor base de venta para participar en la oferta; […]».</w:t>
      </w:r>
    </w:p>
  </w:footnote>
  <w:footnote w:id="15">
    <w:p w14:paraId="330F095A" w14:textId="77777777" w:rsidR="00E00827" w:rsidRPr="00FC7C78" w:rsidRDefault="00E00827">
      <w:pPr>
        <w:pStyle w:val="Textonotapie"/>
        <w:rPr>
          <w:rFonts w:ascii="Arial" w:hAnsi="Arial" w:cs="Arial"/>
          <w:color w:val="000000" w:themeColor="text1"/>
          <w:sz w:val="19"/>
          <w:szCs w:val="19"/>
        </w:rPr>
      </w:pPr>
    </w:p>
    <w:p w14:paraId="7DCF5678" w14:textId="686204C5" w:rsidR="00E00827" w:rsidRPr="00FC7C78" w:rsidRDefault="00E00827" w:rsidP="00A43FA8">
      <w:pPr>
        <w:pStyle w:val="Textonotapie"/>
        <w:ind w:firstLine="708"/>
        <w:rPr>
          <w:rFonts w:ascii="Arial" w:hAnsi="Arial" w:cs="Arial"/>
          <w:color w:val="000000" w:themeColor="text1"/>
          <w:sz w:val="19"/>
          <w:szCs w:val="19"/>
          <w:lang w:val="es-CO"/>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MATALLANA CAMACHO, Ernesto (2013). Manual de Contratación de la Administración Pública. 3a ed. Bogotá D. C. Editorial Universidad externado de Colombia. </w:t>
      </w:r>
      <w:r w:rsidRPr="00FC7C78">
        <w:rPr>
          <w:rFonts w:ascii="Arial" w:hAnsi="Arial" w:cs="Arial"/>
          <w:color w:val="000000" w:themeColor="text1"/>
          <w:sz w:val="19"/>
          <w:szCs w:val="19"/>
          <w:highlight w:val="yellow"/>
        </w:rPr>
        <w:t>p.</w:t>
      </w:r>
    </w:p>
  </w:footnote>
  <w:footnote w:id="16">
    <w:p w14:paraId="2C7118AA" w14:textId="77777777" w:rsidR="00E00827" w:rsidRPr="00FC7C78" w:rsidRDefault="00E00827" w:rsidP="00A5144E">
      <w:pPr>
        <w:pStyle w:val="Textonotapie"/>
        <w:ind w:firstLine="708"/>
        <w:jc w:val="both"/>
        <w:rPr>
          <w:rFonts w:ascii="Arial" w:hAnsi="Arial" w:cs="Arial"/>
          <w:color w:val="000000" w:themeColor="text1"/>
          <w:sz w:val="19"/>
          <w:szCs w:val="19"/>
        </w:rPr>
      </w:pPr>
    </w:p>
    <w:p w14:paraId="069F7EE4" w14:textId="58360BD7" w:rsidR="00E00827" w:rsidRPr="00FC7C78" w:rsidRDefault="00E00827" w:rsidP="00A5144E">
      <w:pPr>
        <w:pStyle w:val="Textonotapie"/>
        <w:ind w:firstLine="708"/>
        <w:jc w:val="both"/>
        <w:rPr>
          <w:rFonts w:ascii="Arial" w:hAnsi="Arial" w:cs="Arial"/>
          <w:color w:val="000000" w:themeColor="text1"/>
          <w:sz w:val="19"/>
          <w:szCs w:val="19"/>
          <w:lang w:val="es-CO"/>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SOLANO SIERRA, Jairo E. (2010) Contratación Administrativa, “Modalidades de selección del Contratista. 4a. ed. Bogotá D.C. Editorial Doctrina y Ley Ltda. </w:t>
      </w:r>
      <w:r w:rsidRPr="00FC7C78">
        <w:rPr>
          <w:rFonts w:ascii="Arial" w:hAnsi="Arial" w:cs="Arial"/>
          <w:color w:val="000000" w:themeColor="text1"/>
          <w:sz w:val="19"/>
          <w:szCs w:val="19"/>
          <w:highlight w:val="yellow"/>
        </w:rPr>
        <w:t>p.</w:t>
      </w:r>
      <w:r w:rsidRPr="00FC7C78">
        <w:rPr>
          <w:rFonts w:ascii="Arial" w:hAnsi="Arial" w:cs="Arial"/>
          <w:color w:val="000000" w:themeColor="text1"/>
          <w:sz w:val="19"/>
          <w:szCs w:val="19"/>
        </w:rPr>
        <w:t xml:space="preserve">  </w:t>
      </w:r>
    </w:p>
  </w:footnote>
  <w:footnote w:id="17">
    <w:p w14:paraId="44388853" w14:textId="77777777" w:rsidR="00E00827" w:rsidRPr="00FC7C78" w:rsidRDefault="00E00827" w:rsidP="00F70A57">
      <w:pPr>
        <w:pStyle w:val="NormalWeb"/>
        <w:spacing w:before="0" w:beforeAutospacing="0" w:after="0" w:afterAutospacing="0"/>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b/>
          <w:bCs/>
          <w:color w:val="000000" w:themeColor="text1"/>
          <w:sz w:val="19"/>
          <w:szCs w:val="19"/>
        </w:rPr>
        <w:t>«</w:t>
      </w:r>
      <w:r w:rsidRPr="00FC7C78">
        <w:rPr>
          <w:rStyle w:val="Textoennegrita"/>
          <w:rFonts w:ascii="Arial" w:hAnsi="Arial" w:cs="Arial"/>
          <w:b w:val="0"/>
          <w:bCs w:val="0"/>
          <w:color w:val="000000" w:themeColor="text1"/>
          <w:sz w:val="19"/>
          <w:szCs w:val="19"/>
        </w:rPr>
        <w:t>Artículo 2.2.1.2.1.2.2. </w:t>
      </w:r>
      <w:r w:rsidRPr="00FC7C78">
        <w:rPr>
          <w:rStyle w:val="nfasis"/>
          <w:rFonts w:ascii="Arial" w:hAnsi="Arial" w:cs="Arial"/>
          <w:i w:val="0"/>
          <w:iCs w:val="0"/>
          <w:color w:val="000000" w:themeColor="text1"/>
          <w:sz w:val="19"/>
          <w:szCs w:val="19"/>
        </w:rPr>
        <w:t>Procedimiento para la subasta inversa</w:t>
      </w:r>
      <w:r w:rsidRPr="00FC7C78">
        <w:rPr>
          <w:rStyle w:val="nfasis"/>
          <w:rFonts w:ascii="Arial" w:hAnsi="Arial" w:cs="Arial"/>
          <w:color w:val="000000" w:themeColor="text1"/>
          <w:sz w:val="19"/>
          <w:szCs w:val="19"/>
        </w:rPr>
        <w:t>.</w:t>
      </w:r>
      <w:r w:rsidRPr="00FC7C78">
        <w:rPr>
          <w:rStyle w:val="nfasis"/>
          <w:rFonts w:ascii="Arial" w:hAnsi="Arial" w:cs="Arial"/>
          <w:b/>
          <w:bCs/>
          <w:color w:val="000000" w:themeColor="text1"/>
          <w:sz w:val="19"/>
          <w:szCs w:val="19"/>
        </w:rPr>
        <w:t> </w:t>
      </w:r>
      <w:r w:rsidRPr="00FC7C78">
        <w:rPr>
          <w:rFonts w:ascii="Arial" w:hAnsi="Arial" w:cs="Arial"/>
          <w:color w:val="000000" w:themeColor="text1"/>
          <w:sz w:val="19"/>
          <w:szCs w:val="19"/>
        </w:rPr>
        <w:t>Además de las reglas generales previstas en la ley y en el presente título, las siguientes reglas son aplicables a la subasta inversa: </w:t>
      </w:r>
    </w:p>
    <w:p w14:paraId="47D2A5EE" w14:textId="03E47C6A"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»1. Los pliegos de condiciones deben indicar: a) la fecha y hora de inicio de la subasta; b) la periodicidad de los Lances; y c) el Margen Mínimo para mejorar la oferta durante la subasta inversa. </w:t>
      </w:r>
    </w:p>
    <w:p w14:paraId="773463C4" w14:textId="6F859C96"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»2. La oferta debe contener dos partes, la primera en la cual el interesado acredite su capacidad de participar en el Proceso de Contratación y acredite el cumplimiento de la ficha técnica; y la segunda parte debe contener el precio inicial propuesto por el oferente. </w:t>
      </w:r>
    </w:p>
    <w:p w14:paraId="2FE43AE8" w14:textId="73D51B87"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»3. La Entidad Estatal debe publicar un informe de habilitación de los oferentes, en el cual debe indicar si los bienes o servicios ofrecidos por el interesado cumplen con la ficha técnica y si el oferente se encuentra habilitado. </w:t>
      </w:r>
    </w:p>
    <w:p w14:paraId="61B4B4EA" w14:textId="518DFFC1"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»4. Hay subasta inversa siempre que haya como mínimo dos oferentes habilitados cuyos bienes o servicios cumplen con la ficha técnica. </w:t>
      </w:r>
    </w:p>
    <w:p w14:paraId="6C8D5EA8" w14:textId="4F9976BD"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 </w:t>
      </w:r>
    </w:p>
    <w:p w14:paraId="06753138" w14:textId="4D6D1284"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»6. La subasta debe iniciar con el precio más bajo indicado por los oferentes y en consecuencia, solamente serán válidos los Lances efectuados durante la subasta inversa en los cuales la oferta sea mejorada en por lo menos el Margen Mínimo establecido. </w:t>
      </w:r>
    </w:p>
    <w:p w14:paraId="58EDF142" w14:textId="6C6C3455"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»7. Si los oferentes no presentan Lances durante la subasta, la Entidad Estatal debe adjudicar el contrato al oferente que haya presentado el precio inicial más bajo. </w:t>
      </w:r>
    </w:p>
    <w:p w14:paraId="3B4D487E" w14:textId="0E208DAE"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»8. Al terminar la presentación de cada Lance, la Entidad Estatal debe informar el valor del Lance más bajo. </w:t>
      </w:r>
    </w:p>
    <w:p w14:paraId="1EE2E99C" w14:textId="11E7F5CD" w:rsidR="00E00827" w:rsidRPr="00FC7C78" w:rsidRDefault="00E00827" w:rsidP="00F70A5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»9. Si al terminar la subasta inversa hay empate, la Entidad Estatal debe seleccionar al oferente que presentó el menor precio inicial. En caso de persistir el empate la Entidad Estatal debe aplicar las reglas del numeral 1 al 5 del artículo 2.2.1.1.2.2.9 del presente decreto». </w:t>
      </w:r>
    </w:p>
    <w:p w14:paraId="0228C55D" w14:textId="77777777" w:rsidR="00E00827" w:rsidRPr="00FC7C78" w:rsidRDefault="00E00827" w:rsidP="00F70A57">
      <w:pPr>
        <w:pStyle w:val="Textonotapie"/>
        <w:jc w:val="both"/>
        <w:rPr>
          <w:rFonts w:ascii="Arial" w:hAnsi="Arial" w:cs="Arial"/>
          <w:color w:val="000000" w:themeColor="text1"/>
          <w:sz w:val="19"/>
          <w:szCs w:val="19"/>
          <w:lang w:val="es-CO"/>
        </w:rPr>
      </w:pPr>
    </w:p>
  </w:footnote>
  <w:footnote w:id="18">
    <w:p w14:paraId="11D746FC" w14:textId="50EA9141" w:rsidR="00E00827" w:rsidRPr="00FC7C78" w:rsidRDefault="00E00827" w:rsidP="00F70A57">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2.2.1.2.1.2.5. Subasta inversa electrónica o presencial. La Entidad Estatal puede escoger si adelanta la subasta inversa electrónica o presencialmente. </w:t>
      </w:r>
    </w:p>
    <w:p w14:paraId="74911240" w14:textId="6FFF95F2" w:rsidR="00E00827" w:rsidRPr="00FC7C78" w:rsidRDefault="00E00827" w:rsidP="00F70A57">
      <w:pPr>
        <w:pStyle w:val="Textonotapie"/>
        <w:jc w:val="both"/>
        <w:rPr>
          <w:rFonts w:ascii="Arial" w:hAnsi="Arial" w:cs="Arial"/>
          <w:color w:val="000000" w:themeColor="text1"/>
          <w:sz w:val="19"/>
          <w:szCs w:val="19"/>
          <w:lang w:val="es-CO"/>
        </w:rPr>
      </w:pP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rPr>
        <w:tab/>
        <w:t>»Si la Entidad Estatal decide adelantar la subasta electrónicamente debe fijar en los pliegos de condiciones el sistema que utilizará para la subasta inversa y los mecanismos de seguridad para el intercambio de mensajes de datos».</w:t>
      </w:r>
    </w:p>
  </w:footnote>
  <w:footnote w:id="19">
    <w:p w14:paraId="2BF3DC01" w14:textId="77777777" w:rsidR="00E00827" w:rsidRPr="00FC7C78" w:rsidRDefault="00E00827" w:rsidP="00315CA7">
      <w:pPr>
        <w:pStyle w:val="NormalWeb"/>
        <w:spacing w:before="0" w:beforeAutospacing="0" w:after="0" w:afterAutospacing="0"/>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b/>
          <w:bCs/>
          <w:color w:val="000000" w:themeColor="text1"/>
          <w:sz w:val="19"/>
          <w:szCs w:val="19"/>
        </w:rPr>
        <w:t>«</w:t>
      </w:r>
      <w:r w:rsidRPr="00FC7C78">
        <w:rPr>
          <w:rStyle w:val="Textoennegrita"/>
          <w:rFonts w:ascii="Arial" w:hAnsi="Arial" w:cs="Arial"/>
          <w:b w:val="0"/>
          <w:bCs w:val="0"/>
          <w:color w:val="000000" w:themeColor="text1"/>
          <w:sz w:val="19"/>
          <w:szCs w:val="19"/>
        </w:rPr>
        <w:t>Artículo 2.2.1.2.1.2.2. </w:t>
      </w:r>
      <w:r w:rsidRPr="00FC7C78">
        <w:rPr>
          <w:rStyle w:val="nfasis"/>
          <w:rFonts w:ascii="Arial" w:hAnsi="Arial" w:cs="Arial"/>
          <w:i w:val="0"/>
          <w:iCs w:val="0"/>
          <w:color w:val="000000" w:themeColor="text1"/>
          <w:sz w:val="19"/>
          <w:szCs w:val="19"/>
        </w:rPr>
        <w:t>Procedimiento para la subasta inversa</w:t>
      </w:r>
      <w:r w:rsidRPr="00FC7C78">
        <w:rPr>
          <w:rStyle w:val="nfasis"/>
          <w:rFonts w:ascii="Arial" w:hAnsi="Arial" w:cs="Arial"/>
          <w:color w:val="000000" w:themeColor="text1"/>
          <w:sz w:val="19"/>
          <w:szCs w:val="19"/>
        </w:rPr>
        <w:t>.</w:t>
      </w:r>
      <w:r w:rsidRPr="00FC7C78">
        <w:rPr>
          <w:rStyle w:val="nfasis"/>
          <w:rFonts w:ascii="Arial" w:hAnsi="Arial" w:cs="Arial"/>
          <w:b/>
          <w:bCs/>
          <w:color w:val="000000" w:themeColor="text1"/>
          <w:sz w:val="19"/>
          <w:szCs w:val="19"/>
        </w:rPr>
        <w:t> </w:t>
      </w:r>
      <w:r w:rsidRPr="00FC7C78">
        <w:rPr>
          <w:rFonts w:ascii="Arial" w:hAnsi="Arial" w:cs="Arial"/>
          <w:color w:val="000000" w:themeColor="text1"/>
          <w:sz w:val="19"/>
          <w:szCs w:val="19"/>
        </w:rPr>
        <w:t>Además de las reglas generales previstas en la ley y en el presente título, las siguientes reglas son aplicables a la subasta inversa: </w:t>
      </w:r>
    </w:p>
    <w:p w14:paraId="454BDDE4"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»1. Los pliegos de condiciones deben indicar: a) la fecha y hora de inicio de la subasta; b) la periodicidad de los Lances; y c) el Margen Mínimo para mejorar la oferta durante la subasta inversa. </w:t>
      </w:r>
    </w:p>
    <w:p w14:paraId="0A8C5144"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»2. La oferta debe contener dos partes, la primera en la cual el interesado acredite su capacidad de participar en el Proceso de Contratación y acredite el cumplimiento de la ficha técnica; y la segunda parte debe contener el precio inicial propuesto por el oferente. </w:t>
      </w:r>
    </w:p>
    <w:p w14:paraId="44166496"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»3. La Entidad Estatal debe publicar un informe de habilitación de los oferentes, en el cual debe indicar si los bienes o servicios ofrecidos por el interesado cumplen con la ficha técnica y si el oferente se encuentra habilitado. </w:t>
      </w:r>
    </w:p>
    <w:p w14:paraId="2A1DA1E4"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»4. Hay subasta inversa siempre que haya como mínimo dos oferentes habilitados cuyos bienes o servicios cumplen con la ficha técnica. </w:t>
      </w:r>
    </w:p>
    <w:p w14:paraId="4DD861AC"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 </w:t>
      </w:r>
    </w:p>
    <w:p w14:paraId="0127E605"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»6. La subasta debe iniciar con el precio más bajo indicado por los oferentes y en consecuencia, solamente serán válidos los Lances efectuados durante la subasta inversa en los cuales la oferta sea mejorada en por lo menos el Margen Mínimo establecido. </w:t>
      </w:r>
    </w:p>
    <w:p w14:paraId="72AFFBD2"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»7. Si los oferentes no presentan Lances durante la subasta, la Entidad Estatal debe adjudicar el contrato al oferente que haya presentado el precio inicial más bajo. </w:t>
      </w:r>
    </w:p>
    <w:p w14:paraId="645C955C"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»8. Al terminar la presentación de cada Lance, la Entidad Estatal debe informar el valor del Lance más bajo. </w:t>
      </w:r>
    </w:p>
    <w:p w14:paraId="4EDAC95B" w14:textId="77777777" w:rsidR="00E00827" w:rsidRPr="00FC7C78" w:rsidRDefault="00E00827" w:rsidP="00315CA7">
      <w:pPr>
        <w:pStyle w:val="NormalWeb"/>
        <w:spacing w:before="0" w:beforeAutospacing="0" w:after="0" w:afterAutospacing="0"/>
        <w:jc w:val="both"/>
        <w:rPr>
          <w:rFonts w:ascii="Arial" w:hAnsi="Arial" w:cs="Arial"/>
          <w:color w:val="000000" w:themeColor="text1"/>
          <w:sz w:val="19"/>
          <w:szCs w:val="19"/>
        </w:rPr>
      </w:pPr>
      <w:r w:rsidRPr="00FC7C78">
        <w:rPr>
          <w:rFonts w:ascii="Arial" w:hAnsi="Arial" w:cs="Arial"/>
          <w:color w:val="000000" w:themeColor="text1"/>
          <w:sz w:val="19"/>
          <w:szCs w:val="19"/>
        </w:rPr>
        <w:t>  </w:t>
      </w:r>
      <w:r w:rsidRPr="00FC7C78">
        <w:rPr>
          <w:rFonts w:ascii="Arial" w:hAnsi="Arial" w:cs="Arial"/>
          <w:color w:val="000000" w:themeColor="text1"/>
          <w:sz w:val="19"/>
          <w:szCs w:val="19"/>
        </w:rPr>
        <w:tab/>
        <w:t>»9. Si al terminar la subasta inversa hay empate, la Entidad Estatal debe seleccionar al oferente que presentó el menor precio inicial. En caso de persistir el empate la Entidad Estatal debe aplicar las reglas del numeral 1 al 5 del artículo 2.2.1.1.2.2.9 del presente decreto». </w:t>
      </w:r>
    </w:p>
    <w:p w14:paraId="3A6B8738" w14:textId="77777777" w:rsidR="00E00827" w:rsidRPr="00FC7C78" w:rsidRDefault="00E00827" w:rsidP="00315CA7">
      <w:pPr>
        <w:pStyle w:val="Textonotapie"/>
        <w:jc w:val="both"/>
        <w:rPr>
          <w:rFonts w:ascii="Arial" w:hAnsi="Arial" w:cs="Arial"/>
          <w:color w:val="000000" w:themeColor="text1"/>
          <w:sz w:val="19"/>
          <w:szCs w:val="19"/>
          <w:lang w:val="es-CO"/>
        </w:rPr>
      </w:pPr>
    </w:p>
  </w:footnote>
  <w:footnote w:id="20">
    <w:p w14:paraId="4A2F3D0B" w14:textId="77777777" w:rsidR="00E00827" w:rsidRPr="00FC7C78" w:rsidRDefault="00E00827" w:rsidP="00315CA7">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2.2.1.2.1.2.5. Subasta inversa electrónica o presencial. La Entidad Estatal puede escoger si adelanta la subasta inversa electrónica o presencialmente. </w:t>
      </w:r>
    </w:p>
    <w:p w14:paraId="1145B6B3" w14:textId="77777777" w:rsidR="00E00827" w:rsidRPr="00FC7C78" w:rsidRDefault="00E00827" w:rsidP="00315CA7">
      <w:pPr>
        <w:pStyle w:val="Textonotapie"/>
        <w:jc w:val="both"/>
        <w:rPr>
          <w:rFonts w:ascii="Arial" w:hAnsi="Arial" w:cs="Arial"/>
          <w:color w:val="000000" w:themeColor="text1"/>
          <w:sz w:val="19"/>
          <w:szCs w:val="19"/>
          <w:lang w:val="es-CO"/>
        </w:rPr>
      </w:pP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rPr>
        <w:tab/>
        <w:t>»Si la Entidad Estatal decide adelantar la subasta electrónicamente debe fijar en los pliegos de condiciones el sistema que utilizará para la subasta inversa y los mecanismos de seguridad para el intercambio de mensajes de datos».</w:t>
      </w:r>
    </w:p>
  </w:footnote>
  <w:footnote w:id="21">
    <w:p w14:paraId="44E09FD7" w14:textId="77777777" w:rsidR="00E00827" w:rsidRPr="00FC7C78" w:rsidRDefault="00E00827" w:rsidP="00D56DF2">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860E520" w14:textId="77777777" w:rsidR="00E00827" w:rsidRPr="00FC7C78" w:rsidRDefault="00E00827" w:rsidP="00D56DF2">
      <w:pPr>
        <w:pStyle w:val="Textonotapie"/>
        <w:ind w:firstLine="708"/>
        <w:jc w:val="both"/>
        <w:rPr>
          <w:rFonts w:ascii="Arial" w:hAnsi="Arial" w:cs="Arial"/>
          <w:color w:val="000000" w:themeColor="text1"/>
          <w:sz w:val="19"/>
          <w:szCs w:val="19"/>
        </w:rPr>
      </w:pPr>
      <w:r w:rsidRPr="00FC7C78">
        <w:rPr>
          <w:rFonts w:ascii="Arial" w:hAnsi="Arial" w:cs="Arial"/>
          <w:color w:val="000000" w:themeColor="text1"/>
          <w:sz w:val="19"/>
          <w:szCs w:val="19"/>
        </w:rPr>
        <w:t>[…]</w:t>
      </w:r>
    </w:p>
    <w:p w14:paraId="3842FDA7" w14:textId="77777777" w:rsidR="00E00827" w:rsidRPr="00FC7C78" w:rsidRDefault="00E00827" w:rsidP="00D56DF2">
      <w:pPr>
        <w:pStyle w:val="Textonotapie"/>
        <w:ind w:firstLine="708"/>
        <w:jc w:val="both"/>
        <w:rPr>
          <w:rFonts w:ascii="Arial" w:hAnsi="Arial" w:cs="Arial"/>
          <w:color w:val="000000" w:themeColor="text1"/>
          <w:sz w:val="19"/>
          <w:szCs w:val="19"/>
        </w:rPr>
      </w:pPr>
      <w:r w:rsidRPr="00FC7C78">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FC7C78">
        <w:rPr>
          <w:rFonts w:ascii="Arial" w:hAnsi="Arial" w:cs="Arial"/>
          <w:color w:val="000000" w:themeColor="text1"/>
          <w:sz w:val="19"/>
          <w:szCs w:val="19"/>
        </w:rPr>
        <w:t>»</w:t>
      </w:r>
      <w:r w:rsidRPr="00FC7C78">
        <w:rPr>
          <w:rFonts w:ascii="Arial" w:hAnsi="Arial" w:cs="Arial"/>
          <w:color w:val="000000" w:themeColor="text1"/>
          <w:sz w:val="19"/>
          <w:szCs w:val="19"/>
          <w:shd w:val="clear" w:color="auto" w:fill="FFFFFF"/>
        </w:rPr>
        <w:t>.</w:t>
      </w:r>
    </w:p>
    <w:p w14:paraId="7D09C169" w14:textId="77777777" w:rsidR="00E00827" w:rsidRPr="00FC7C78" w:rsidRDefault="00E00827" w:rsidP="00D56DF2">
      <w:pPr>
        <w:pStyle w:val="Textonotapie"/>
        <w:ind w:firstLine="708"/>
        <w:jc w:val="both"/>
        <w:rPr>
          <w:rFonts w:ascii="Arial" w:hAnsi="Arial" w:cs="Arial"/>
          <w:color w:val="000000" w:themeColor="text1"/>
          <w:sz w:val="19"/>
          <w:szCs w:val="19"/>
          <w:lang w:val="es-CO"/>
        </w:rPr>
      </w:pPr>
    </w:p>
  </w:footnote>
  <w:footnote w:id="22">
    <w:p w14:paraId="7A4DDFDD" w14:textId="77777777" w:rsidR="00E00827" w:rsidRPr="00FC7C78" w:rsidRDefault="00E00827" w:rsidP="00D56DF2">
      <w:pPr>
        <w:pStyle w:val="Textonotapie"/>
        <w:ind w:firstLine="708"/>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9211E8" w14:textId="77777777" w:rsidR="00E00827" w:rsidRPr="00FC7C78" w:rsidRDefault="00E00827" w:rsidP="00D56DF2">
      <w:pPr>
        <w:pStyle w:val="Textonotapie"/>
        <w:ind w:firstLine="708"/>
        <w:jc w:val="both"/>
        <w:rPr>
          <w:rFonts w:ascii="Arial" w:hAnsi="Arial" w:cs="Arial"/>
          <w:color w:val="000000" w:themeColor="text1"/>
          <w:sz w:val="19"/>
          <w:szCs w:val="19"/>
        </w:rPr>
      </w:pPr>
      <w:r w:rsidRPr="00FC7C78">
        <w:rPr>
          <w:rFonts w:ascii="Arial" w:hAnsi="Arial" w:cs="Arial"/>
          <w:color w:val="000000" w:themeColor="text1"/>
          <w:sz w:val="19"/>
          <w:szCs w:val="19"/>
        </w:rPr>
        <w:t>[…]</w:t>
      </w:r>
    </w:p>
    <w:p w14:paraId="36C5A50F" w14:textId="77777777" w:rsidR="00E00827" w:rsidRPr="00FC7C78" w:rsidRDefault="00E00827" w:rsidP="00D56DF2">
      <w:pPr>
        <w:pStyle w:val="Textonotapie"/>
        <w:ind w:firstLine="708"/>
        <w:jc w:val="both"/>
        <w:rPr>
          <w:rFonts w:ascii="Arial" w:hAnsi="Arial" w:cs="Arial"/>
          <w:color w:val="000000" w:themeColor="text1"/>
          <w:sz w:val="19"/>
          <w:szCs w:val="19"/>
          <w:shd w:val="clear" w:color="auto" w:fill="FFFFFF"/>
        </w:rPr>
      </w:pPr>
      <w:r w:rsidRPr="00FC7C78">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FC7C78">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FC7C78">
        <w:rPr>
          <w:rFonts w:ascii="Arial" w:hAnsi="Arial" w:cs="Arial"/>
          <w:color w:val="000000" w:themeColor="text1"/>
          <w:sz w:val="19"/>
          <w:szCs w:val="19"/>
        </w:rPr>
        <w:t>».</w:t>
      </w:r>
    </w:p>
    <w:p w14:paraId="5759F7A1" w14:textId="77777777" w:rsidR="00E00827" w:rsidRPr="00FC7C78" w:rsidRDefault="00E00827" w:rsidP="00D56DF2">
      <w:pPr>
        <w:pStyle w:val="Textonotapie"/>
        <w:ind w:firstLine="708"/>
        <w:jc w:val="both"/>
        <w:rPr>
          <w:rFonts w:ascii="Arial" w:hAnsi="Arial" w:cs="Arial"/>
          <w:color w:val="000000" w:themeColor="text1"/>
          <w:sz w:val="19"/>
          <w:szCs w:val="19"/>
          <w:lang w:val="es-CO"/>
        </w:rPr>
      </w:pPr>
    </w:p>
  </w:footnote>
  <w:footnote w:id="23">
    <w:p w14:paraId="317DCAC2" w14:textId="77777777" w:rsidR="00E00827" w:rsidRPr="00FC7C78" w:rsidRDefault="00E00827" w:rsidP="00D56DF2">
      <w:pPr>
        <w:pStyle w:val="Textonotapie"/>
        <w:ind w:firstLine="708"/>
        <w:jc w:val="both"/>
        <w:rPr>
          <w:rFonts w:ascii="Arial" w:hAnsi="Arial" w:cs="Arial"/>
          <w:color w:val="000000" w:themeColor="text1"/>
          <w:sz w:val="19"/>
          <w:szCs w:val="19"/>
          <w:lang w:val="es-CO"/>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Al respecto, consultar, entre otros: los conceptos identificados con radicado No. 4201912000007512 del 3 de noviembre de 2019, 4201913000007182 del 18 de octubre de 2019 y 4201913000006797 del 3 de octubre de 2019. </w:t>
      </w:r>
    </w:p>
  </w:footnote>
  <w:footnote w:id="24">
    <w:p w14:paraId="392D8C6E" w14:textId="77777777" w:rsidR="00E00827" w:rsidRPr="00FC7C78" w:rsidRDefault="00E00827" w:rsidP="00DE257C">
      <w:pPr>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23712224" w14:textId="77777777" w:rsidR="00E00827" w:rsidRPr="00FC7C78" w:rsidRDefault="00E00827" w:rsidP="00DE257C">
      <w:pPr>
        <w:ind w:firstLine="709"/>
        <w:jc w:val="both"/>
        <w:rPr>
          <w:rFonts w:ascii="Arial" w:hAnsi="Arial" w:cs="Arial"/>
          <w:color w:val="000000" w:themeColor="text1"/>
          <w:sz w:val="19"/>
          <w:szCs w:val="19"/>
          <w:lang w:val="es-ES"/>
        </w:rPr>
      </w:pPr>
    </w:p>
  </w:footnote>
  <w:footnote w:id="25">
    <w:p w14:paraId="4637922C"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5CEF8CAE" w14:textId="77777777" w:rsidR="00E00827" w:rsidRPr="00FC7C78" w:rsidRDefault="00E00827" w:rsidP="00DE257C">
      <w:pPr>
        <w:pStyle w:val="Textonotapie"/>
        <w:ind w:firstLine="709"/>
        <w:jc w:val="both"/>
        <w:rPr>
          <w:rFonts w:ascii="Arial" w:hAnsi="Arial" w:cs="Arial"/>
          <w:color w:val="000000" w:themeColor="text1"/>
          <w:sz w:val="19"/>
          <w:szCs w:val="19"/>
          <w:lang w:val="es-CO"/>
        </w:rPr>
      </w:pPr>
    </w:p>
  </w:footnote>
  <w:footnote w:id="26">
    <w:p w14:paraId="6CF4E239"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09979DF2" w14:textId="77777777" w:rsidR="00E00827" w:rsidRPr="00FC7C78" w:rsidRDefault="00E00827" w:rsidP="00DE257C">
      <w:pPr>
        <w:pStyle w:val="Textonotapie"/>
        <w:ind w:firstLine="709"/>
        <w:jc w:val="both"/>
        <w:rPr>
          <w:rFonts w:ascii="Arial" w:hAnsi="Arial" w:cs="Arial"/>
          <w:color w:val="000000" w:themeColor="text1"/>
          <w:sz w:val="19"/>
          <w:szCs w:val="19"/>
          <w:lang w:val="es-CO"/>
        </w:rPr>
      </w:pPr>
      <w:r w:rsidRPr="00FC7C78">
        <w:rPr>
          <w:rFonts w:ascii="Arial" w:hAnsi="Arial" w:cs="Arial"/>
          <w:color w:val="000000" w:themeColor="text1"/>
          <w:sz w:val="19"/>
          <w:szCs w:val="19"/>
          <w:lang w:val="es-ES"/>
        </w:rPr>
        <w:t xml:space="preserve">  </w:t>
      </w:r>
    </w:p>
  </w:footnote>
  <w:footnote w:id="27">
    <w:p w14:paraId="59ED54B9"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00D82D14"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28">
    <w:p w14:paraId="00461303"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Ibíd., p. 69.</w:t>
      </w:r>
    </w:p>
    <w:p w14:paraId="1B541D28"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29">
    <w:p w14:paraId="04EF35F4"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67F57202"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30">
    <w:p w14:paraId="4E23A28C"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w:t>
      </w:r>
      <w:r w:rsidRPr="00FC7C78">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481FBD4F"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31">
    <w:p w14:paraId="04AE617C" w14:textId="77777777" w:rsidR="00E00827" w:rsidRPr="00FC7C78" w:rsidRDefault="00E00827" w:rsidP="00DE257C">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30DE8719"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32">
    <w:p w14:paraId="63F194A2" w14:textId="77777777" w:rsidR="00E00827" w:rsidRPr="00FC7C78" w:rsidRDefault="00E00827" w:rsidP="00DE257C">
      <w:pPr>
        <w:pStyle w:val="Textonotapie"/>
        <w:ind w:firstLine="709"/>
        <w:jc w:val="both"/>
        <w:rPr>
          <w:rFonts w:ascii="Arial" w:hAnsi="Arial" w:cs="Arial"/>
          <w:color w:val="000000" w:themeColor="text1"/>
          <w:sz w:val="19"/>
          <w:szCs w:val="19"/>
        </w:rPr>
      </w:pPr>
      <w:r w:rsidRPr="00FC7C78">
        <w:rPr>
          <w:rStyle w:val="Refdenotaalpie"/>
          <w:rFonts w:ascii="Arial" w:hAnsi="Arial" w:cs="Arial"/>
          <w:color w:val="000000" w:themeColor="text1"/>
          <w:sz w:val="19"/>
          <w:szCs w:val="19"/>
        </w:rPr>
        <w:footnoteRef/>
      </w:r>
      <w:r w:rsidRPr="00FC7C78">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45E000CA" w14:textId="77777777" w:rsidR="00E00827" w:rsidRPr="00FC7C78" w:rsidRDefault="00E00827" w:rsidP="00DE257C">
      <w:pPr>
        <w:pStyle w:val="Textonotapie"/>
        <w:ind w:firstLine="709"/>
        <w:jc w:val="both"/>
        <w:rPr>
          <w:rFonts w:ascii="Arial" w:hAnsi="Arial" w:cs="Arial"/>
          <w:color w:val="000000" w:themeColor="text1"/>
          <w:sz w:val="19"/>
          <w:szCs w:val="19"/>
          <w:lang w:val="es-ES"/>
        </w:rPr>
      </w:pPr>
    </w:p>
  </w:footnote>
  <w:footnote w:id="33">
    <w:p w14:paraId="355D2FC7" w14:textId="77777777" w:rsidR="00D318B7" w:rsidRDefault="00D318B7" w:rsidP="00D318B7">
      <w:pPr>
        <w:pStyle w:val="NormalWeb"/>
        <w:spacing w:before="0" w:beforeAutospacing="0" w:after="0" w:afterAutospacing="0"/>
        <w:ind w:firstLine="708"/>
        <w:jc w:val="both"/>
        <w:rPr>
          <w:rFonts w:ascii="Arial" w:hAnsi="Arial" w:cs="Arial"/>
          <w:color w:val="000000"/>
          <w:sz w:val="19"/>
          <w:szCs w:val="19"/>
        </w:rPr>
      </w:pPr>
      <w:r w:rsidRPr="00D318B7">
        <w:rPr>
          <w:rStyle w:val="Refdenotaalpie"/>
          <w:rFonts w:ascii="Arial" w:hAnsi="Arial" w:cs="Arial"/>
          <w:sz w:val="19"/>
          <w:szCs w:val="19"/>
        </w:rPr>
        <w:footnoteRef/>
      </w:r>
      <w:r w:rsidRPr="00D318B7">
        <w:rPr>
          <w:rFonts w:ascii="Arial" w:hAnsi="Arial" w:cs="Arial"/>
          <w:sz w:val="19"/>
          <w:szCs w:val="19"/>
        </w:rPr>
        <w:t xml:space="preserve"> «</w:t>
      </w:r>
      <w:r w:rsidRPr="00D318B7">
        <w:rPr>
          <w:rFonts w:ascii="Arial" w:hAnsi="Arial" w:cs="Arial"/>
          <w:color w:val="000000"/>
          <w:sz w:val="19"/>
          <w:szCs w:val="19"/>
        </w:rPr>
        <w:t>Articulo 8o. De las inhabilidades e incompatibilidades para contratar.   </w:t>
      </w:r>
    </w:p>
    <w:p w14:paraId="2F094EF3" w14:textId="5E065E51" w:rsidR="00D318B7" w:rsidRPr="00D318B7" w:rsidRDefault="00D318B7" w:rsidP="00D318B7">
      <w:pPr>
        <w:pStyle w:val="NormalWeb"/>
        <w:spacing w:before="0" w:beforeAutospacing="0" w:after="0" w:afterAutospacing="0"/>
        <w:ind w:firstLine="708"/>
        <w:jc w:val="both"/>
        <w:rPr>
          <w:rFonts w:ascii="Arial" w:hAnsi="Arial" w:cs="Arial"/>
          <w:color w:val="000000"/>
          <w:sz w:val="19"/>
          <w:szCs w:val="19"/>
        </w:rPr>
      </w:pPr>
      <w:r w:rsidRPr="00D318B7">
        <w:rPr>
          <w:rFonts w:ascii="Arial" w:hAnsi="Arial" w:cs="Arial"/>
          <w:color w:val="000000"/>
          <w:sz w:val="19"/>
          <w:szCs w:val="19"/>
        </w:rPr>
        <w:t>»1o. Son inhábiles para participar en licitaciones o concursos y para celebrar contratos con las entidades estatales: </w:t>
      </w:r>
    </w:p>
    <w:p w14:paraId="5280AAC4" w14:textId="3D23827F" w:rsidR="00D318B7" w:rsidRPr="00D318B7" w:rsidRDefault="00D318B7" w:rsidP="00D318B7">
      <w:pPr>
        <w:pStyle w:val="NormalWeb"/>
        <w:spacing w:before="0" w:beforeAutospacing="0" w:after="0" w:afterAutospacing="0"/>
        <w:ind w:firstLine="708"/>
        <w:jc w:val="both"/>
        <w:rPr>
          <w:rFonts w:ascii="Arial" w:hAnsi="Arial" w:cs="Arial"/>
          <w:color w:val="000000"/>
          <w:sz w:val="19"/>
          <w:szCs w:val="19"/>
        </w:rPr>
      </w:pPr>
      <w:r w:rsidRPr="00D318B7">
        <w:rPr>
          <w:rFonts w:ascii="Arial" w:hAnsi="Arial" w:cs="Arial"/>
          <w:color w:val="000000"/>
          <w:sz w:val="19"/>
          <w:szCs w:val="19"/>
        </w:rPr>
        <w:t>[…]</w:t>
      </w:r>
    </w:p>
    <w:p w14:paraId="2DFDC103" w14:textId="608652F7"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w:t>
      </w:r>
      <w:r w:rsidRPr="00D318B7">
        <w:rPr>
          <w:rFonts w:ascii="Arial" w:eastAsia="Times New Roman" w:hAnsi="Arial" w:cs="Arial"/>
          <w:color w:val="000000"/>
          <w:sz w:val="19"/>
          <w:szCs w:val="19"/>
          <w:lang w:val="es-CO" w:eastAsia="es-CO"/>
        </w:rPr>
        <w:tab/>
        <w:t>»i) Los socios de sociedades de personas a las cuales se haya declarado la caducidad, así como las sociedades de personas de las que aquellos formen parte con posterioridad a dicha declaratoria. </w:t>
      </w:r>
    </w:p>
    <w:p w14:paraId="57E4A537" w14:textId="32D2CEE2" w:rsidR="00D318B7" w:rsidRPr="00D318B7" w:rsidRDefault="00D318B7" w:rsidP="00D318B7">
      <w:pPr>
        <w:ind w:firstLine="708"/>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7E5CB48B" w14:textId="3CD05E89"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w:t>
      </w:r>
      <w:r w:rsidRPr="00D318B7">
        <w:rPr>
          <w:rFonts w:ascii="Arial" w:eastAsia="Times New Roman" w:hAnsi="Arial" w:cs="Arial"/>
          <w:color w:val="000000"/>
          <w:sz w:val="19"/>
          <w:szCs w:val="19"/>
          <w:lang w:val="es-CO" w:eastAsia="es-CO"/>
        </w:rPr>
        <w:tab/>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065F376" w14:textId="5A2A9D7D"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w:t>
      </w:r>
      <w:r w:rsidRPr="00D318B7">
        <w:rPr>
          <w:rFonts w:ascii="Arial" w:eastAsia="Times New Roman" w:hAnsi="Arial" w:cs="Arial"/>
          <w:color w:val="000000"/>
          <w:sz w:val="19"/>
          <w:szCs w:val="19"/>
          <w:lang w:val="es-CO" w:eastAsia="es-CO"/>
        </w:rPr>
        <w:tab/>
        <w:t>»Esta inhabilidad procederá preventivamente aún en los casos en los que esté pendiente la decisión sobre la impugnación de la sentencia condenatoria.  </w:t>
      </w:r>
    </w:p>
    <w:p w14:paraId="516327BC" w14:textId="742A4983"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w:t>
      </w:r>
      <w:r w:rsidRPr="00D318B7">
        <w:rPr>
          <w:rFonts w:ascii="Arial" w:eastAsia="Times New Roman" w:hAnsi="Arial" w:cs="Arial"/>
          <w:color w:val="000000"/>
          <w:sz w:val="19"/>
          <w:szCs w:val="19"/>
          <w:lang w:val="es-CO" w:eastAsia="es-CO"/>
        </w:rPr>
        <w:tab/>
        <w:t>»Asimismo, la inhabilidad se extenderá a las sociedades de las que hagan parte dichas personas en calidad de administradores, represen</w:t>
      </w:r>
      <w:r w:rsidRPr="00D318B7">
        <w:rPr>
          <w:rFonts w:ascii="Arial" w:eastAsia="Times New Roman" w:hAnsi="Arial" w:cs="Arial"/>
          <w:color w:val="000000"/>
          <w:sz w:val="19"/>
          <w:szCs w:val="19"/>
          <w:lang w:val="es-CO" w:eastAsia="es-CO"/>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318B7">
        <w:rPr>
          <w:rFonts w:ascii="Arial" w:eastAsia="Times New Roman" w:hAnsi="Arial" w:cs="Arial"/>
          <w:color w:val="000000"/>
          <w:sz w:val="19"/>
          <w:szCs w:val="19"/>
          <w:lang w:val="es-CO" w:eastAsia="es-CO"/>
        </w:rPr>
        <w:softHyphen/>
        <w:t>cepción de las sociedades anónimas abiertas.  </w:t>
      </w:r>
    </w:p>
    <w:p w14:paraId="45C96322" w14:textId="111F1220"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»También se considerarán inhabilitadas para contratar, las personas jurídicas sobre las cuales se haya ordenado la suspensión de la perso</w:t>
      </w:r>
      <w:r w:rsidRPr="00D318B7">
        <w:rPr>
          <w:rFonts w:ascii="Arial" w:eastAsia="Times New Roman" w:hAnsi="Arial" w:cs="Arial"/>
          <w:color w:val="000000"/>
          <w:sz w:val="19"/>
          <w:szCs w:val="19"/>
          <w:lang w:val="es-CO" w:eastAsia="es-CO"/>
        </w:rPr>
        <w:softHyphen/>
        <w:t>nería jurídica en los términos de ley, o cuyos representantes legales, ad</w:t>
      </w:r>
      <w:r w:rsidRPr="00D318B7">
        <w:rPr>
          <w:rFonts w:ascii="Arial" w:eastAsia="Times New Roman" w:hAnsi="Arial" w:cs="Arial"/>
          <w:color w:val="000000"/>
          <w:sz w:val="19"/>
          <w:szCs w:val="19"/>
          <w:lang w:val="es-CO" w:eastAsia="es-CO"/>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w:t>
      </w:r>
    </w:p>
    <w:p w14:paraId="71C62271" w14:textId="19C8EE04" w:rsidR="00D318B7" w:rsidRPr="00D318B7" w:rsidRDefault="00D318B7" w:rsidP="00D318B7">
      <w:pPr>
        <w:jc w:val="both"/>
        <w:rPr>
          <w:rFonts w:ascii="Arial" w:eastAsia="Times New Roman" w:hAnsi="Arial" w:cs="Arial"/>
          <w:color w:val="000000"/>
          <w:sz w:val="19"/>
          <w:szCs w:val="19"/>
          <w:lang w:val="es-CO" w:eastAsia="es-CO"/>
        </w:rPr>
      </w:pPr>
      <w:r w:rsidRPr="00D318B7">
        <w:rPr>
          <w:rFonts w:ascii="Arial" w:eastAsia="Times New Roman" w:hAnsi="Arial" w:cs="Arial"/>
          <w:color w:val="000000"/>
          <w:sz w:val="19"/>
          <w:szCs w:val="19"/>
          <w:lang w:val="es-CO" w:eastAsia="es-CO"/>
        </w:rPr>
        <w:t>  </w:t>
      </w:r>
      <w:r w:rsidRPr="00D318B7">
        <w:rPr>
          <w:rFonts w:ascii="Arial" w:eastAsia="Times New Roman" w:hAnsi="Arial" w:cs="Arial"/>
          <w:color w:val="000000"/>
          <w:sz w:val="19"/>
          <w:szCs w:val="19"/>
          <w:lang w:val="es-CO" w:eastAsia="es-CO"/>
        </w:rPr>
        <w:tab/>
        <w:t>»La inhabilidad prevista en este literal se extenderá de forma perma</w:t>
      </w:r>
      <w:r w:rsidRPr="00D318B7">
        <w:rPr>
          <w:rFonts w:ascii="Arial" w:eastAsia="Times New Roman" w:hAnsi="Arial" w:cs="Arial"/>
          <w:color w:val="000000"/>
          <w:sz w:val="19"/>
          <w:szCs w:val="19"/>
          <w:lang w:val="es-CO" w:eastAsia="es-CO"/>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6CD72322" w14:textId="02C4DD47" w:rsidR="00D318B7" w:rsidRPr="00D318B7" w:rsidRDefault="00D318B7" w:rsidP="00D318B7">
      <w:pPr>
        <w:pStyle w:val="Textonotapie"/>
        <w:rPr>
          <w:rFonts w:ascii="Arial" w:hAnsi="Arial" w:cs="Arial"/>
          <w:sz w:val="19"/>
          <w:szCs w:val="19"/>
          <w:lang w:val="es-CO"/>
        </w:rPr>
      </w:pPr>
    </w:p>
  </w:footnote>
  <w:footnote w:id="34">
    <w:p w14:paraId="77EBD53D" w14:textId="78938406" w:rsidR="00E00827" w:rsidRPr="00FC7C78" w:rsidRDefault="00E00827" w:rsidP="00FC7C78">
      <w:pPr>
        <w:pStyle w:val="Textonotapie"/>
        <w:ind w:firstLine="708"/>
        <w:rPr>
          <w:rFonts w:ascii="Arial" w:hAnsi="Arial" w:cs="Arial"/>
          <w:sz w:val="19"/>
          <w:szCs w:val="19"/>
          <w:lang w:val="es-CO"/>
        </w:rPr>
      </w:pPr>
      <w:r w:rsidRPr="00FC7C78">
        <w:rPr>
          <w:rStyle w:val="Refdenotaalpie"/>
          <w:rFonts w:ascii="Arial" w:hAnsi="Arial" w:cs="Arial"/>
          <w:sz w:val="19"/>
          <w:szCs w:val="19"/>
        </w:rPr>
        <w:footnoteRef/>
      </w:r>
      <w:r w:rsidRPr="00FC7C78">
        <w:rPr>
          <w:rFonts w:ascii="Arial" w:hAnsi="Arial" w:cs="Arial"/>
          <w:sz w:val="19"/>
          <w:szCs w:val="19"/>
        </w:rPr>
        <w:t xml:space="preserve"> Ponencia para segundo debate. Proyecto de ley 149 de 1992. Gaceta del Congreso. Año II. N° 145. pp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E00827" w:rsidRDefault="00E00827">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254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870"/>
    <w:rsid w:val="000339C2"/>
    <w:rsid w:val="00035138"/>
    <w:rsid w:val="00037BB7"/>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4E33"/>
    <w:rsid w:val="00055DFA"/>
    <w:rsid w:val="000562F0"/>
    <w:rsid w:val="00057B34"/>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722"/>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0BB"/>
    <w:rsid w:val="000C6BC4"/>
    <w:rsid w:val="000C6E4B"/>
    <w:rsid w:val="000C739C"/>
    <w:rsid w:val="000C73C7"/>
    <w:rsid w:val="000C7A3B"/>
    <w:rsid w:val="000D0ACC"/>
    <w:rsid w:val="000D22FB"/>
    <w:rsid w:val="000D30A6"/>
    <w:rsid w:val="000D343E"/>
    <w:rsid w:val="000D4370"/>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664D"/>
    <w:rsid w:val="00107A30"/>
    <w:rsid w:val="0011003B"/>
    <w:rsid w:val="001104F6"/>
    <w:rsid w:val="00110B2E"/>
    <w:rsid w:val="001111DD"/>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1B2"/>
    <w:rsid w:val="00174E00"/>
    <w:rsid w:val="001752C6"/>
    <w:rsid w:val="0017578E"/>
    <w:rsid w:val="0017651B"/>
    <w:rsid w:val="0017669C"/>
    <w:rsid w:val="00177618"/>
    <w:rsid w:val="0018028E"/>
    <w:rsid w:val="00180CAE"/>
    <w:rsid w:val="00181312"/>
    <w:rsid w:val="00181B42"/>
    <w:rsid w:val="00181CA0"/>
    <w:rsid w:val="0018230E"/>
    <w:rsid w:val="00184602"/>
    <w:rsid w:val="0018523C"/>
    <w:rsid w:val="001868F6"/>
    <w:rsid w:val="00186FD1"/>
    <w:rsid w:val="00187267"/>
    <w:rsid w:val="001876F7"/>
    <w:rsid w:val="0019180F"/>
    <w:rsid w:val="00192833"/>
    <w:rsid w:val="00193107"/>
    <w:rsid w:val="001945BB"/>
    <w:rsid w:val="00194762"/>
    <w:rsid w:val="00195D3C"/>
    <w:rsid w:val="00195EB8"/>
    <w:rsid w:val="00195F16"/>
    <w:rsid w:val="00196172"/>
    <w:rsid w:val="00196F5B"/>
    <w:rsid w:val="001A0C18"/>
    <w:rsid w:val="001A1BA8"/>
    <w:rsid w:val="001A21C4"/>
    <w:rsid w:val="001A23EA"/>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278"/>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5813"/>
    <w:rsid w:val="001D60D3"/>
    <w:rsid w:val="001D69DD"/>
    <w:rsid w:val="001E0375"/>
    <w:rsid w:val="001E04E7"/>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6F3B"/>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A6AC7"/>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B7CAF"/>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1A0"/>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2AA"/>
    <w:rsid w:val="003049D5"/>
    <w:rsid w:val="00304EC8"/>
    <w:rsid w:val="003057B2"/>
    <w:rsid w:val="0030664E"/>
    <w:rsid w:val="00307459"/>
    <w:rsid w:val="00310F6E"/>
    <w:rsid w:val="00312877"/>
    <w:rsid w:val="00313382"/>
    <w:rsid w:val="003138FF"/>
    <w:rsid w:val="0031396A"/>
    <w:rsid w:val="00313A60"/>
    <w:rsid w:val="003144A3"/>
    <w:rsid w:val="00315CA7"/>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168"/>
    <w:rsid w:val="00335F0E"/>
    <w:rsid w:val="0033606D"/>
    <w:rsid w:val="00336712"/>
    <w:rsid w:val="00336897"/>
    <w:rsid w:val="00337545"/>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543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6487"/>
    <w:rsid w:val="00436701"/>
    <w:rsid w:val="0043673A"/>
    <w:rsid w:val="00436CF2"/>
    <w:rsid w:val="00436EE1"/>
    <w:rsid w:val="0044094B"/>
    <w:rsid w:val="00441949"/>
    <w:rsid w:val="00441E6D"/>
    <w:rsid w:val="0044219E"/>
    <w:rsid w:val="0044228D"/>
    <w:rsid w:val="004422D6"/>
    <w:rsid w:val="00446012"/>
    <w:rsid w:val="00446133"/>
    <w:rsid w:val="004464EA"/>
    <w:rsid w:val="00447189"/>
    <w:rsid w:val="00447914"/>
    <w:rsid w:val="004502C6"/>
    <w:rsid w:val="00450374"/>
    <w:rsid w:val="004503CA"/>
    <w:rsid w:val="00450793"/>
    <w:rsid w:val="004508FF"/>
    <w:rsid w:val="0045122B"/>
    <w:rsid w:val="00451785"/>
    <w:rsid w:val="00451BC2"/>
    <w:rsid w:val="00451F4F"/>
    <w:rsid w:val="0045222D"/>
    <w:rsid w:val="00452602"/>
    <w:rsid w:val="004526D3"/>
    <w:rsid w:val="00452A0D"/>
    <w:rsid w:val="0045437C"/>
    <w:rsid w:val="004558DD"/>
    <w:rsid w:val="004568C7"/>
    <w:rsid w:val="00457115"/>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772"/>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5E8A"/>
    <w:rsid w:val="004C6A5A"/>
    <w:rsid w:val="004C72F9"/>
    <w:rsid w:val="004C7664"/>
    <w:rsid w:val="004C7D8B"/>
    <w:rsid w:val="004D12A4"/>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4B3"/>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27"/>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0CFA"/>
    <w:rsid w:val="00571FD6"/>
    <w:rsid w:val="00572591"/>
    <w:rsid w:val="005728F1"/>
    <w:rsid w:val="00572C3A"/>
    <w:rsid w:val="00572F5F"/>
    <w:rsid w:val="00573D5D"/>
    <w:rsid w:val="00574143"/>
    <w:rsid w:val="00574BA4"/>
    <w:rsid w:val="00574E90"/>
    <w:rsid w:val="005756AA"/>
    <w:rsid w:val="00576BBB"/>
    <w:rsid w:val="005771A5"/>
    <w:rsid w:val="00580B03"/>
    <w:rsid w:val="005821CF"/>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E9E"/>
    <w:rsid w:val="005A4FFA"/>
    <w:rsid w:val="005A555D"/>
    <w:rsid w:val="005A61F1"/>
    <w:rsid w:val="005A7850"/>
    <w:rsid w:val="005A7A24"/>
    <w:rsid w:val="005A7FAA"/>
    <w:rsid w:val="005B0D75"/>
    <w:rsid w:val="005B15CA"/>
    <w:rsid w:val="005B1993"/>
    <w:rsid w:val="005B3CD8"/>
    <w:rsid w:val="005B4756"/>
    <w:rsid w:val="005B4DC8"/>
    <w:rsid w:val="005B5AD6"/>
    <w:rsid w:val="005B5B57"/>
    <w:rsid w:val="005B6879"/>
    <w:rsid w:val="005C0AE8"/>
    <w:rsid w:val="005C162D"/>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034"/>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CF2"/>
    <w:rsid w:val="00604E35"/>
    <w:rsid w:val="006053B5"/>
    <w:rsid w:val="00606400"/>
    <w:rsid w:val="00606CC8"/>
    <w:rsid w:val="00606D1C"/>
    <w:rsid w:val="00606EAE"/>
    <w:rsid w:val="006072D1"/>
    <w:rsid w:val="00607888"/>
    <w:rsid w:val="00610361"/>
    <w:rsid w:val="0061081B"/>
    <w:rsid w:val="00610943"/>
    <w:rsid w:val="006118C9"/>
    <w:rsid w:val="0061304B"/>
    <w:rsid w:val="00613442"/>
    <w:rsid w:val="00613CA4"/>
    <w:rsid w:val="00614817"/>
    <w:rsid w:val="00614AAB"/>
    <w:rsid w:val="006158F0"/>
    <w:rsid w:val="00617C35"/>
    <w:rsid w:val="00617F1D"/>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667D"/>
    <w:rsid w:val="006A6C98"/>
    <w:rsid w:val="006A6CF5"/>
    <w:rsid w:val="006A7CB5"/>
    <w:rsid w:val="006A7FD0"/>
    <w:rsid w:val="006B02DD"/>
    <w:rsid w:val="006B0A01"/>
    <w:rsid w:val="006B2D2D"/>
    <w:rsid w:val="006B340F"/>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C717A"/>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5C24"/>
    <w:rsid w:val="0070611C"/>
    <w:rsid w:val="007065A8"/>
    <w:rsid w:val="00706A51"/>
    <w:rsid w:val="00710305"/>
    <w:rsid w:val="0071288C"/>
    <w:rsid w:val="007132FB"/>
    <w:rsid w:val="0071348C"/>
    <w:rsid w:val="0071390D"/>
    <w:rsid w:val="00714530"/>
    <w:rsid w:val="00714B3E"/>
    <w:rsid w:val="00715E83"/>
    <w:rsid w:val="00715EAA"/>
    <w:rsid w:val="00717566"/>
    <w:rsid w:val="00720281"/>
    <w:rsid w:val="00720AC5"/>
    <w:rsid w:val="0072169F"/>
    <w:rsid w:val="00721B75"/>
    <w:rsid w:val="0072307E"/>
    <w:rsid w:val="00723A7A"/>
    <w:rsid w:val="00723ABB"/>
    <w:rsid w:val="007240C9"/>
    <w:rsid w:val="00724AFD"/>
    <w:rsid w:val="00726A61"/>
    <w:rsid w:val="00726E84"/>
    <w:rsid w:val="0072749F"/>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528"/>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575E7"/>
    <w:rsid w:val="00760526"/>
    <w:rsid w:val="00762634"/>
    <w:rsid w:val="00762AEC"/>
    <w:rsid w:val="00763266"/>
    <w:rsid w:val="007634AD"/>
    <w:rsid w:val="00764D4E"/>
    <w:rsid w:val="00764E67"/>
    <w:rsid w:val="00765694"/>
    <w:rsid w:val="00765B48"/>
    <w:rsid w:val="00767F50"/>
    <w:rsid w:val="00770CEE"/>
    <w:rsid w:val="00770F51"/>
    <w:rsid w:val="0077377C"/>
    <w:rsid w:val="0077470A"/>
    <w:rsid w:val="00775007"/>
    <w:rsid w:val="007759E8"/>
    <w:rsid w:val="00776709"/>
    <w:rsid w:val="00780DA3"/>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2465"/>
    <w:rsid w:val="007A3612"/>
    <w:rsid w:val="007A3911"/>
    <w:rsid w:val="007A399C"/>
    <w:rsid w:val="007A3D08"/>
    <w:rsid w:val="007A5307"/>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4C04"/>
    <w:rsid w:val="007C552A"/>
    <w:rsid w:val="007C58D2"/>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D7AA4"/>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1108"/>
    <w:rsid w:val="00802BF5"/>
    <w:rsid w:val="00802FA2"/>
    <w:rsid w:val="008035BB"/>
    <w:rsid w:val="0080413E"/>
    <w:rsid w:val="00805134"/>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75B"/>
    <w:rsid w:val="00817A08"/>
    <w:rsid w:val="00820AAA"/>
    <w:rsid w:val="00820B4A"/>
    <w:rsid w:val="008217B7"/>
    <w:rsid w:val="00821A69"/>
    <w:rsid w:val="00822CEC"/>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34CF"/>
    <w:rsid w:val="00843A94"/>
    <w:rsid w:val="00843B34"/>
    <w:rsid w:val="00844611"/>
    <w:rsid w:val="00845FC8"/>
    <w:rsid w:val="00846721"/>
    <w:rsid w:val="008502CC"/>
    <w:rsid w:val="008502F9"/>
    <w:rsid w:val="0085092D"/>
    <w:rsid w:val="00850F79"/>
    <w:rsid w:val="0085136E"/>
    <w:rsid w:val="00851933"/>
    <w:rsid w:val="00853B4B"/>
    <w:rsid w:val="00853CE7"/>
    <w:rsid w:val="00854029"/>
    <w:rsid w:val="00854370"/>
    <w:rsid w:val="008548AC"/>
    <w:rsid w:val="00855F56"/>
    <w:rsid w:val="00856420"/>
    <w:rsid w:val="008605DD"/>
    <w:rsid w:val="00861CBE"/>
    <w:rsid w:val="008629DE"/>
    <w:rsid w:val="008639DC"/>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138E"/>
    <w:rsid w:val="008820EF"/>
    <w:rsid w:val="0088288B"/>
    <w:rsid w:val="0088292E"/>
    <w:rsid w:val="00883014"/>
    <w:rsid w:val="0088373F"/>
    <w:rsid w:val="00883844"/>
    <w:rsid w:val="00884185"/>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D56"/>
    <w:rsid w:val="008A113A"/>
    <w:rsid w:val="008A22FB"/>
    <w:rsid w:val="008A24D7"/>
    <w:rsid w:val="008A265E"/>
    <w:rsid w:val="008A2781"/>
    <w:rsid w:val="008A36B6"/>
    <w:rsid w:val="008A4788"/>
    <w:rsid w:val="008A5F52"/>
    <w:rsid w:val="008A66DC"/>
    <w:rsid w:val="008A6EB9"/>
    <w:rsid w:val="008A7F4C"/>
    <w:rsid w:val="008B0FC4"/>
    <w:rsid w:val="008B1B8A"/>
    <w:rsid w:val="008B2228"/>
    <w:rsid w:val="008B2CF7"/>
    <w:rsid w:val="008B365E"/>
    <w:rsid w:val="008B423D"/>
    <w:rsid w:val="008B63FA"/>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53A2"/>
    <w:rsid w:val="008D6624"/>
    <w:rsid w:val="008D672C"/>
    <w:rsid w:val="008D6EC1"/>
    <w:rsid w:val="008D7089"/>
    <w:rsid w:val="008E023A"/>
    <w:rsid w:val="008E0826"/>
    <w:rsid w:val="008E11F9"/>
    <w:rsid w:val="008E121F"/>
    <w:rsid w:val="008E1A00"/>
    <w:rsid w:val="008E1C15"/>
    <w:rsid w:val="008E365E"/>
    <w:rsid w:val="008E3A2A"/>
    <w:rsid w:val="008E52A4"/>
    <w:rsid w:val="008E6DCC"/>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8F717D"/>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4687"/>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596"/>
    <w:rsid w:val="00946F67"/>
    <w:rsid w:val="00947A1C"/>
    <w:rsid w:val="00947A56"/>
    <w:rsid w:val="00950059"/>
    <w:rsid w:val="0095044E"/>
    <w:rsid w:val="00951D95"/>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1AEE"/>
    <w:rsid w:val="00962706"/>
    <w:rsid w:val="0096275E"/>
    <w:rsid w:val="009646C1"/>
    <w:rsid w:val="00964E57"/>
    <w:rsid w:val="009650ED"/>
    <w:rsid w:val="009651B8"/>
    <w:rsid w:val="00966AFD"/>
    <w:rsid w:val="00966E63"/>
    <w:rsid w:val="009673D9"/>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31B4"/>
    <w:rsid w:val="00A13947"/>
    <w:rsid w:val="00A14083"/>
    <w:rsid w:val="00A147D1"/>
    <w:rsid w:val="00A14C37"/>
    <w:rsid w:val="00A155F8"/>
    <w:rsid w:val="00A16471"/>
    <w:rsid w:val="00A16841"/>
    <w:rsid w:val="00A16A18"/>
    <w:rsid w:val="00A211E3"/>
    <w:rsid w:val="00A219D9"/>
    <w:rsid w:val="00A22FBC"/>
    <w:rsid w:val="00A24560"/>
    <w:rsid w:val="00A24CAD"/>
    <w:rsid w:val="00A26277"/>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2001"/>
    <w:rsid w:val="00A43175"/>
    <w:rsid w:val="00A4320E"/>
    <w:rsid w:val="00A43FA8"/>
    <w:rsid w:val="00A44B90"/>
    <w:rsid w:val="00A457F7"/>
    <w:rsid w:val="00A45ACF"/>
    <w:rsid w:val="00A47045"/>
    <w:rsid w:val="00A5091A"/>
    <w:rsid w:val="00A5131D"/>
    <w:rsid w:val="00A5144E"/>
    <w:rsid w:val="00A51711"/>
    <w:rsid w:val="00A52C97"/>
    <w:rsid w:val="00A52D0B"/>
    <w:rsid w:val="00A52E90"/>
    <w:rsid w:val="00A53286"/>
    <w:rsid w:val="00A541CC"/>
    <w:rsid w:val="00A54E33"/>
    <w:rsid w:val="00A575B0"/>
    <w:rsid w:val="00A577FF"/>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17F"/>
    <w:rsid w:val="00A775B0"/>
    <w:rsid w:val="00A77BDA"/>
    <w:rsid w:val="00A82ECC"/>
    <w:rsid w:val="00A83510"/>
    <w:rsid w:val="00A83E3E"/>
    <w:rsid w:val="00A8551A"/>
    <w:rsid w:val="00A85C29"/>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4260"/>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D4C"/>
    <w:rsid w:val="00AC2FC3"/>
    <w:rsid w:val="00AC3C8A"/>
    <w:rsid w:val="00AC3E67"/>
    <w:rsid w:val="00AC48F1"/>
    <w:rsid w:val="00AC52D9"/>
    <w:rsid w:val="00AC56ED"/>
    <w:rsid w:val="00AC621D"/>
    <w:rsid w:val="00AC702B"/>
    <w:rsid w:val="00AD0A12"/>
    <w:rsid w:val="00AD1929"/>
    <w:rsid w:val="00AD3665"/>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07D90"/>
    <w:rsid w:val="00B10353"/>
    <w:rsid w:val="00B1150B"/>
    <w:rsid w:val="00B11581"/>
    <w:rsid w:val="00B11815"/>
    <w:rsid w:val="00B11BEF"/>
    <w:rsid w:val="00B12932"/>
    <w:rsid w:val="00B12F85"/>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03C"/>
    <w:rsid w:val="00B32C12"/>
    <w:rsid w:val="00B3327E"/>
    <w:rsid w:val="00B33898"/>
    <w:rsid w:val="00B33F01"/>
    <w:rsid w:val="00B3580D"/>
    <w:rsid w:val="00B363DE"/>
    <w:rsid w:val="00B36F3E"/>
    <w:rsid w:val="00B37A62"/>
    <w:rsid w:val="00B37FB6"/>
    <w:rsid w:val="00B40230"/>
    <w:rsid w:val="00B40EDA"/>
    <w:rsid w:val="00B42327"/>
    <w:rsid w:val="00B4236B"/>
    <w:rsid w:val="00B42C9D"/>
    <w:rsid w:val="00B43546"/>
    <w:rsid w:val="00B43603"/>
    <w:rsid w:val="00B445F5"/>
    <w:rsid w:val="00B4532B"/>
    <w:rsid w:val="00B46EB2"/>
    <w:rsid w:val="00B473D9"/>
    <w:rsid w:val="00B47BB9"/>
    <w:rsid w:val="00B47D1A"/>
    <w:rsid w:val="00B52581"/>
    <w:rsid w:val="00B525CB"/>
    <w:rsid w:val="00B52E18"/>
    <w:rsid w:val="00B53385"/>
    <w:rsid w:val="00B537CB"/>
    <w:rsid w:val="00B538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F12"/>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4ECD"/>
    <w:rsid w:val="00BA6268"/>
    <w:rsid w:val="00BA6769"/>
    <w:rsid w:val="00BA6CAD"/>
    <w:rsid w:val="00BA6E6A"/>
    <w:rsid w:val="00BA75DE"/>
    <w:rsid w:val="00BB00EC"/>
    <w:rsid w:val="00BB061D"/>
    <w:rsid w:val="00BB07A4"/>
    <w:rsid w:val="00BB17F0"/>
    <w:rsid w:val="00BB18AE"/>
    <w:rsid w:val="00BB21F4"/>
    <w:rsid w:val="00BB2914"/>
    <w:rsid w:val="00BB29E9"/>
    <w:rsid w:val="00BB331F"/>
    <w:rsid w:val="00BB4E71"/>
    <w:rsid w:val="00BB5D66"/>
    <w:rsid w:val="00BB6307"/>
    <w:rsid w:val="00BB63FA"/>
    <w:rsid w:val="00BB658E"/>
    <w:rsid w:val="00BB7EE5"/>
    <w:rsid w:val="00BC03B3"/>
    <w:rsid w:val="00BC0CD1"/>
    <w:rsid w:val="00BC143E"/>
    <w:rsid w:val="00BC1A00"/>
    <w:rsid w:val="00BC1BFF"/>
    <w:rsid w:val="00BC25CD"/>
    <w:rsid w:val="00BC294A"/>
    <w:rsid w:val="00BC2EB7"/>
    <w:rsid w:val="00BC3513"/>
    <w:rsid w:val="00BC3633"/>
    <w:rsid w:val="00BD0148"/>
    <w:rsid w:val="00BD0442"/>
    <w:rsid w:val="00BD1EDA"/>
    <w:rsid w:val="00BD22F7"/>
    <w:rsid w:val="00BD247A"/>
    <w:rsid w:val="00BD25A7"/>
    <w:rsid w:val="00BD57DB"/>
    <w:rsid w:val="00BD5A8C"/>
    <w:rsid w:val="00BD5F83"/>
    <w:rsid w:val="00BD66F4"/>
    <w:rsid w:val="00BD75B7"/>
    <w:rsid w:val="00BD78FE"/>
    <w:rsid w:val="00BE0628"/>
    <w:rsid w:val="00BE2416"/>
    <w:rsid w:val="00BE3274"/>
    <w:rsid w:val="00BE35B3"/>
    <w:rsid w:val="00BE404A"/>
    <w:rsid w:val="00BE43C9"/>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5FF"/>
    <w:rsid w:val="00C00969"/>
    <w:rsid w:val="00C00BB1"/>
    <w:rsid w:val="00C01378"/>
    <w:rsid w:val="00C03ACB"/>
    <w:rsid w:val="00C03EFE"/>
    <w:rsid w:val="00C07794"/>
    <w:rsid w:val="00C07F62"/>
    <w:rsid w:val="00C113FE"/>
    <w:rsid w:val="00C11A27"/>
    <w:rsid w:val="00C1281E"/>
    <w:rsid w:val="00C149B0"/>
    <w:rsid w:val="00C15753"/>
    <w:rsid w:val="00C16697"/>
    <w:rsid w:val="00C17545"/>
    <w:rsid w:val="00C2134D"/>
    <w:rsid w:val="00C227EF"/>
    <w:rsid w:val="00C22BD5"/>
    <w:rsid w:val="00C24368"/>
    <w:rsid w:val="00C251F9"/>
    <w:rsid w:val="00C252EE"/>
    <w:rsid w:val="00C25D13"/>
    <w:rsid w:val="00C260FC"/>
    <w:rsid w:val="00C26B49"/>
    <w:rsid w:val="00C30364"/>
    <w:rsid w:val="00C30E74"/>
    <w:rsid w:val="00C313BC"/>
    <w:rsid w:val="00C3362A"/>
    <w:rsid w:val="00C33983"/>
    <w:rsid w:val="00C34032"/>
    <w:rsid w:val="00C37652"/>
    <w:rsid w:val="00C40657"/>
    <w:rsid w:val="00C407B5"/>
    <w:rsid w:val="00C431CD"/>
    <w:rsid w:val="00C435A3"/>
    <w:rsid w:val="00C43CE3"/>
    <w:rsid w:val="00C440B0"/>
    <w:rsid w:val="00C45E88"/>
    <w:rsid w:val="00C47864"/>
    <w:rsid w:val="00C47AAC"/>
    <w:rsid w:val="00C500EE"/>
    <w:rsid w:val="00C50145"/>
    <w:rsid w:val="00C53019"/>
    <w:rsid w:val="00C546B8"/>
    <w:rsid w:val="00C55BA5"/>
    <w:rsid w:val="00C57C56"/>
    <w:rsid w:val="00C57E7A"/>
    <w:rsid w:val="00C607AA"/>
    <w:rsid w:val="00C61766"/>
    <w:rsid w:val="00C636CC"/>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4162"/>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5E4E"/>
    <w:rsid w:val="00CD6030"/>
    <w:rsid w:val="00CD657A"/>
    <w:rsid w:val="00CD6FDA"/>
    <w:rsid w:val="00CD7D7E"/>
    <w:rsid w:val="00CE0121"/>
    <w:rsid w:val="00CE0956"/>
    <w:rsid w:val="00CE0A8E"/>
    <w:rsid w:val="00CE21E7"/>
    <w:rsid w:val="00CE2CF1"/>
    <w:rsid w:val="00CE3BB4"/>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CF760B"/>
    <w:rsid w:val="00D00C29"/>
    <w:rsid w:val="00D01760"/>
    <w:rsid w:val="00D02423"/>
    <w:rsid w:val="00D02462"/>
    <w:rsid w:val="00D02736"/>
    <w:rsid w:val="00D03FDC"/>
    <w:rsid w:val="00D04ADE"/>
    <w:rsid w:val="00D054B8"/>
    <w:rsid w:val="00D07B71"/>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18B7"/>
    <w:rsid w:val="00D31D48"/>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0767"/>
    <w:rsid w:val="00D514F0"/>
    <w:rsid w:val="00D55DB3"/>
    <w:rsid w:val="00D56875"/>
    <w:rsid w:val="00D56DF2"/>
    <w:rsid w:val="00D60327"/>
    <w:rsid w:val="00D60BFB"/>
    <w:rsid w:val="00D61A5A"/>
    <w:rsid w:val="00D61ACF"/>
    <w:rsid w:val="00D61C81"/>
    <w:rsid w:val="00D643A3"/>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67F"/>
    <w:rsid w:val="00D82C7C"/>
    <w:rsid w:val="00D82CE5"/>
    <w:rsid w:val="00D83799"/>
    <w:rsid w:val="00D83F17"/>
    <w:rsid w:val="00D850E6"/>
    <w:rsid w:val="00D861D6"/>
    <w:rsid w:val="00D86DC5"/>
    <w:rsid w:val="00D9148F"/>
    <w:rsid w:val="00D92BBB"/>
    <w:rsid w:val="00D944DD"/>
    <w:rsid w:val="00D960C0"/>
    <w:rsid w:val="00D96F6F"/>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3AA"/>
    <w:rsid w:val="00DC67B0"/>
    <w:rsid w:val="00DC681B"/>
    <w:rsid w:val="00DC7F2E"/>
    <w:rsid w:val="00DD0A21"/>
    <w:rsid w:val="00DD14A5"/>
    <w:rsid w:val="00DD1DD9"/>
    <w:rsid w:val="00DD2D43"/>
    <w:rsid w:val="00DD4882"/>
    <w:rsid w:val="00DD51BC"/>
    <w:rsid w:val="00DD5670"/>
    <w:rsid w:val="00DD5955"/>
    <w:rsid w:val="00DD734A"/>
    <w:rsid w:val="00DD735D"/>
    <w:rsid w:val="00DE0938"/>
    <w:rsid w:val="00DE1016"/>
    <w:rsid w:val="00DE1175"/>
    <w:rsid w:val="00DE182A"/>
    <w:rsid w:val="00DE1B6D"/>
    <w:rsid w:val="00DE257C"/>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0827"/>
    <w:rsid w:val="00E026BB"/>
    <w:rsid w:val="00E060C4"/>
    <w:rsid w:val="00E06860"/>
    <w:rsid w:val="00E10178"/>
    <w:rsid w:val="00E1071A"/>
    <w:rsid w:val="00E125D0"/>
    <w:rsid w:val="00E13306"/>
    <w:rsid w:val="00E13AB8"/>
    <w:rsid w:val="00E13BC5"/>
    <w:rsid w:val="00E13F51"/>
    <w:rsid w:val="00E14E0D"/>
    <w:rsid w:val="00E14E3E"/>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AA6"/>
    <w:rsid w:val="00E32C94"/>
    <w:rsid w:val="00E32E87"/>
    <w:rsid w:val="00E33260"/>
    <w:rsid w:val="00E33A7D"/>
    <w:rsid w:val="00E33B62"/>
    <w:rsid w:val="00E35C0F"/>
    <w:rsid w:val="00E36C74"/>
    <w:rsid w:val="00E36ED1"/>
    <w:rsid w:val="00E37230"/>
    <w:rsid w:val="00E377D9"/>
    <w:rsid w:val="00E377FA"/>
    <w:rsid w:val="00E379FD"/>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2FF7"/>
    <w:rsid w:val="00E737E5"/>
    <w:rsid w:val="00E74705"/>
    <w:rsid w:val="00E76729"/>
    <w:rsid w:val="00E7782E"/>
    <w:rsid w:val="00E77D59"/>
    <w:rsid w:val="00E814AA"/>
    <w:rsid w:val="00E81A62"/>
    <w:rsid w:val="00E81A75"/>
    <w:rsid w:val="00E830A2"/>
    <w:rsid w:val="00E8343C"/>
    <w:rsid w:val="00E84207"/>
    <w:rsid w:val="00E85D4E"/>
    <w:rsid w:val="00E85ECA"/>
    <w:rsid w:val="00E867F4"/>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CA9"/>
    <w:rsid w:val="00EA5137"/>
    <w:rsid w:val="00EA572E"/>
    <w:rsid w:val="00EA5C4C"/>
    <w:rsid w:val="00EA63D2"/>
    <w:rsid w:val="00EA666F"/>
    <w:rsid w:val="00EB0DE5"/>
    <w:rsid w:val="00EB27F2"/>
    <w:rsid w:val="00EB302B"/>
    <w:rsid w:val="00EB340D"/>
    <w:rsid w:val="00EB53C4"/>
    <w:rsid w:val="00EB5921"/>
    <w:rsid w:val="00EB5CEA"/>
    <w:rsid w:val="00EB7A25"/>
    <w:rsid w:val="00EC628B"/>
    <w:rsid w:val="00EC7EFE"/>
    <w:rsid w:val="00ED068F"/>
    <w:rsid w:val="00ED149A"/>
    <w:rsid w:val="00ED1A52"/>
    <w:rsid w:val="00ED2BE0"/>
    <w:rsid w:val="00ED41B2"/>
    <w:rsid w:val="00ED52D1"/>
    <w:rsid w:val="00ED54D6"/>
    <w:rsid w:val="00ED5626"/>
    <w:rsid w:val="00ED60DF"/>
    <w:rsid w:val="00ED7D3C"/>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5E12"/>
    <w:rsid w:val="00F460D4"/>
    <w:rsid w:val="00F47665"/>
    <w:rsid w:val="00F5172B"/>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861"/>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5D0"/>
    <w:rsid w:val="00F91C32"/>
    <w:rsid w:val="00F91F95"/>
    <w:rsid w:val="00F925F7"/>
    <w:rsid w:val="00F9299C"/>
    <w:rsid w:val="00F92AB5"/>
    <w:rsid w:val="00F952F9"/>
    <w:rsid w:val="00F961C4"/>
    <w:rsid w:val="00F962BF"/>
    <w:rsid w:val="00F96794"/>
    <w:rsid w:val="00F967BB"/>
    <w:rsid w:val="00F971E7"/>
    <w:rsid w:val="00FA0BAC"/>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C7C78"/>
    <w:rsid w:val="00FD0EF2"/>
    <w:rsid w:val="00FD101F"/>
    <w:rsid w:val="00FD1137"/>
    <w:rsid w:val="00FD365C"/>
    <w:rsid w:val="00FD458C"/>
    <w:rsid w:val="00FD4943"/>
    <w:rsid w:val="00FD4B00"/>
    <w:rsid w:val="00FD5759"/>
    <w:rsid w:val="00FD63FB"/>
    <w:rsid w:val="00FD699E"/>
    <w:rsid w:val="00FD6A5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343B"/>
    <w:rsid w:val="00FF4081"/>
    <w:rsid w:val="00FF435B"/>
    <w:rsid w:val="00FF479C"/>
    <w:rsid w:val="00FF543C"/>
    <w:rsid w:val="00FF5A12"/>
    <w:rsid w:val="00FF660C"/>
    <w:rsid w:val="00FF6E90"/>
    <w:rsid w:val="00FF755E"/>
    <w:rsid w:val="074C2AD6"/>
    <w:rsid w:val="0B1F6D6C"/>
    <w:rsid w:val="1347E4A4"/>
    <w:rsid w:val="1EB26971"/>
    <w:rsid w:val="2AEA3E2A"/>
    <w:rsid w:val="42CA2299"/>
    <w:rsid w:val="43BBE174"/>
    <w:rsid w:val="7F6200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13915516">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93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4A00-C6D9-451D-A27D-A5E78A9F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3A6EDF5-9A06-4E14-A15A-2F478443E04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14999BC-70C4-4ADC-BA80-5E4FC1B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29</Pages>
  <Words>12146</Words>
  <Characters>69236</Characters>
  <Application>Microsoft Office Word</Application>
  <DocSecurity>0</DocSecurity>
  <Lines>576</Lines>
  <Paragraphs>162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2020-08-12T17:11:00Z</dcterms:created>
  <dcterms:modified xsi:type="dcterms:W3CDTF">2020-08-12T17:11:00Z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