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71BD4" w14:textId="77777777" w:rsidR="001852D0" w:rsidRPr="00BD0404" w:rsidRDefault="001852D0" w:rsidP="001852D0">
      <w:pPr>
        <w:jc w:val="both"/>
      </w:pPr>
    </w:p>
    <w:p w14:paraId="18B37E6B" w14:textId="77777777" w:rsidR="001852D0" w:rsidRPr="00BD0404" w:rsidRDefault="001852D0" w:rsidP="001852D0">
      <w:pPr>
        <w:jc w:val="both"/>
        <w:rPr>
          <w:b/>
          <w:bCs/>
        </w:rPr>
      </w:pPr>
    </w:p>
    <w:p w14:paraId="39057FA6" w14:textId="176E6286" w:rsidR="001852D0" w:rsidRPr="00BD0404" w:rsidRDefault="001852D0" w:rsidP="00BD0404">
      <w:pPr>
        <w:pStyle w:val="Textoindependiente"/>
        <w:spacing w:line="253" w:lineRule="exact"/>
        <w:ind w:left="300"/>
        <w:jc w:val="both"/>
        <w:rPr>
          <w:b/>
          <w:bCs/>
        </w:rPr>
      </w:pPr>
      <w:r w:rsidRPr="00BD0404">
        <w:rPr>
          <w:b/>
          <w:bCs/>
        </w:rPr>
        <w:t>PR</w:t>
      </w:r>
      <w:r w:rsidR="008A2135">
        <w:rPr>
          <w:b/>
          <w:bCs/>
        </w:rPr>
        <w:t xml:space="preserve">INCIPIO DE PUBLICIDAD – Noción </w:t>
      </w:r>
      <w:r w:rsidR="008A2135" w:rsidRPr="00BD0404">
        <w:rPr>
          <w:b/>
          <w:bCs/>
        </w:rPr>
        <w:t xml:space="preserve">– </w:t>
      </w:r>
      <w:r w:rsidRPr="00BD0404">
        <w:rPr>
          <w:b/>
          <w:bCs/>
        </w:rPr>
        <w:t xml:space="preserve">Corte Constitucional </w:t>
      </w:r>
    </w:p>
    <w:p w14:paraId="22FEE6A9" w14:textId="77777777" w:rsidR="001852D0" w:rsidRPr="00BD0404" w:rsidRDefault="001852D0" w:rsidP="00BD0404">
      <w:pPr>
        <w:jc w:val="both"/>
      </w:pPr>
    </w:p>
    <w:p w14:paraId="57750E3D" w14:textId="73D722FA" w:rsidR="001852D0" w:rsidRDefault="001852D0" w:rsidP="598B2F51">
      <w:pPr>
        <w:pStyle w:val="Textoindependiente"/>
        <w:ind w:left="300"/>
        <w:jc w:val="both"/>
        <w:rPr>
          <w:sz w:val="20"/>
          <w:szCs w:val="20"/>
        </w:rPr>
      </w:pPr>
      <w:r w:rsidRPr="598B2F51">
        <w:rPr>
          <w:sz w:val="20"/>
          <w:szCs w:val="20"/>
        </w:rPr>
        <w:t>Para la Corte Constitucional, el principio de publicidad es la garantía que tienen las personas de conocer las actuaciones judiciales y administrativas y con base en ese conocimiento tener la posibilidad de exigir que s</w:t>
      </w:r>
      <w:r w:rsidR="00952C94" w:rsidRPr="598B2F51">
        <w:rPr>
          <w:sz w:val="20"/>
          <w:szCs w:val="20"/>
        </w:rPr>
        <w:t>e surtan conforme a la ley.</w:t>
      </w:r>
    </w:p>
    <w:p w14:paraId="27E3B5B1" w14:textId="16AEC86F" w:rsidR="001852D0" w:rsidRPr="00BD0404" w:rsidRDefault="001852D0" w:rsidP="008A2135">
      <w:pPr>
        <w:pStyle w:val="Textoindependiente"/>
        <w:ind w:left="300"/>
        <w:jc w:val="both"/>
        <w:rPr>
          <w:sz w:val="20"/>
          <w:szCs w:val="20"/>
        </w:rPr>
      </w:pPr>
      <w:r w:rsidRPr="00BD0404">
        <w:rPr>
          <w:sz w:val="20"/>
          <w:szCs w:val="20"/>
        </w:rPr>
        <w:t>El principio de publicidad impone a las autoridades administrativas el deber de dar a conocer sus actos, contratos y decisiones, para que se divulguen y eventualmente se controlen las actuaciones.</w:t>
      </w:r>
    </w:p>
    <w:p w14:paraId="65BE0809" w14:textId="77777777" w:rsidR="001852D0" w:rsidRPr="00BD0404" w:rsidRDefault="001852D0" w:rsidP="00BD0404">
      <w:pPr>
        <w:jc w:val="both"/>
      </w:pPr>
    </w:p>
    <w:p w14:paraId="46473F13" w14:textId="77777777" w:rsidR="001852D0" w:rsidRPr="00BD0404" w:rsidRDefault="001852D0" w:rsidP="00BD0404">
      <w:pPr>
        <w:pStyle w:val="Textoindependiente"/>
        <w:spacing w:line="253" w:lineRule="exact"/>
        <w:ind w:left="300"/>
        <w:jc w:val="both"/>
        <w:rPr>
          <w:b/>
          <w:bCs/>
        </w:rPr>
      </w:pPr>
      <w:r w:rsidRPr="00BD0404">
        <w:rPr>
          <w:b/>
          <w:bCs/>
        </w:rPr>
        <w:t>PRINCIPIO DE PUBLICIDAD – Normativa</w:t>
      </w:r>
    </w:p>
    <w:p w14:paraId="364B94C5" w14:textId="77777777" w:rsidR="001852D0" w:rsidRPr="00BD0404" w:rsidRDefault="001852D0" w:rsidP="00BD0404">
      <w:pPr>
        <w:jc w:val="both"/>
        <w:rPr>
          <w:b/>
          <w:bCs/>
        </w:rPr>
      </w:pPr>
    </w:p>
    <w:p w14:paraId="63C3AA7C" w14:textId="00E3786C" w:rsidR="001852D0" w:rsidRDefault="001852D0" w:rsidP="598B2F51">
      <w:pPr>
        <w:pStyle w:val="Textoindependiente"/>
        <w:ind w:left="300"/>
        <w:jc w:val="both"/>
        <w:rPr>
          <w:sz w:val="20"/>
          <w:szCs w:val="20"/>
        </w:rPr>
      </w:pPr>
      <w:r w:rsidRPr="598B2F51">
        <w:rPr>
          <w:sz w:val="20"/>
          <w:szCs w:val="20"/>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w:t>
      </w:r>
      <w:r w:rsidR="00952C94" w:rsidRPr="598B2F51">
        <w:rPr>
          <w:sz w:val="20"/>
          <w:szCs w:val="20"/>
        </w:rPr>
        <w:t>és de canales electrónicos».</w:t>
      </w:r>
    </w:p>
    <w:p w14:paraId="0C970D61" w14:textId="33E9BD86" w:rsidR="001852D0" w:rsidRPr="00BD0404" w:rsidRDefault="76C57BE8" w:rsidP="008A2135">
      <w:pPr>
        <w:pStyle w:val="Textoindependiente"/>
        <w:ind w:left="300"/>
        <w:jc w:val="both"/>
        <w:rPr>
          <w:sz w:val="20"/>
          <w:szCs w:val="20"/>
        </w:rPr>
      </w:pPr>
      <w:r w:rsidRPr="598B2F51">
        <w:rPr>
          <w:sz w:val="20"/>
          <w:szCs w:val="20"/>
        </w:rPr>
        <w:t xml:space="preserve">La </w:t>
      </w:r>
      <w:r w:rsidR="001852D0" w:rsidRPr="598B2F51">
        <w:rPr>
          <w:sz w:val="20"/>
          <w:szCs w:val="20"/>
        </w:rPr>
        <w:t>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w:t>
      </w:r>
    </w:p>
    <w:p w14:paraId="19E9047A" w14:textId="77777777" w:rsidR="001852D0" w:rsidRPr="00BD0404" w:rsidRDefault="001852D0" w:rsidP="00BD0404">
      <w:pPr>
        <w:jc w:val="both"/>
      </w:pPr>
    </w:p>
    <w:p w14:paraId="6DDE1104" w14:textId="6222A4BD" w:rsidR="001852D0" w:rsidRPr="00BD0404" w:rsidRDefault="001852D0" w:rsidP="598B2F51">
      <w:pPr>
        <w:pStyle w:val="Textoindependiente"/>
        <w:spacing w:line="253" w:lineRule="exact"/>
        <w:ind w:left="300"/>
        <w:jc w:val="both"/>
        <w:rPr>
          <w:b/>
          <w:bCs/>
        </w:rPr>
      </w:pPr>
      <w:r w:rsidRPr="598B2F51">
        <w:rPr>
          <w:b/>
          <w:bCs/>
        </w:rPr>
        <w:t>PRINCIPIO DE PUBLICIDAD – Sujetos obligados – Entidades</w:t>
      </w:r>
      <w:r w:rsidR="6E73513C" w:rsidRPr="598B2F51">
        <w:rPr>
          <w:b/>
          <w:bCs/>
        </w:rPr>
        <w:t xml:space="preserve"> estatales </w:t>
      </w:r>
      <w:r w:rsidRPr="598B2F51">
        <w:rPr>
          <w:b/>
          <w:bCs/>
        </w:rPr>
        <w:t>– Regula</w:t>
      </w:r>
      <w:r w:rsidR="343C1A00" w:rsidRPr="598B2F51">
        <w:rPr>
          <w:b/>
          <w:bCs/>
        </w:rPr>
        <w:t xml:space="preserve">ción legal </w:t>
      </w:r>
    </w:p>
    <w:p w14:paraId="2225E1E6" w14:textId="1C9ED66B" w:rsidR="598B2F51" w:rsidRDefault="598B2F51" w:rsidP="598B2F51">
      <w:pPr>
        <w:pStyle w:val="Textoindependiente"/>
        <w:spacing w:line="253" w:lineRule="exact"/>
        <w:ind w:left="300"/>
        <w:jc w:val="both"/>
        <w:rPr>
          <w:b/>
          <w:bCs/>
        </w:rPr>
      </w:pPr>
    </w:p>
    <w:p w14:paraId="416DCE73" w14:textId="1C3B6515" w:rsidR="001852D0" w:rsidRDefault="001852D0" w:rsidP="598B2F51">
      <w:pPr>
        <w:pStyle w:val="Textoindependiente"/>
        <w:ind w:left="300"/>
        <w:jc w:val="both"/>
        <w:rPr>
          <w:sz w:val="20"/>
          <w:szCs w:val="20"/>
        </w:rPr>
      </w:pPr>
      <w:r w:rsidRPr="598B2F51">
        <w:rPr>
          <w:sz w:val="20"/>
          <w:szCs w:val="20"/>
        </w:rPr>
        <w:t>[</w:t>
      </w:r>
      <w:r w:rsidR="008A2135" w:rsidRPr="598B2F51">
        <w:rPr>
          <w:sz w:val="20"/>
          <w:szCs w:val="20"/>
        </w:rPr>
        <w:t>…</w:t>
      </w:r>
      <w:r w:rsidRPr="598B2F51">
        <w:rPr>
          <w:sz w:val="20"/>
          <w:szCs w:val="20"/>
        </w:rPr>
        <w:t>]</w:t>
      </w:r>
      <w:r w:rsidR="008A2135" w:rsidRPr="598B2F51">
        <w:rPr>
          <w:sz w:val="20"/>
          <w:szCs w:val="20"/>
        </w:rPr>
        <w:t xml:space="preserve"> </w:t>
      </w:r>
      <w:r w:rsidR="6452EC14" w:rsidRPr="598B2F51">
        <w:rPr>
          <w:sz w:val="20"/>
          <w:szCs w:val="20"/>
        </w:rPr>
        <w:t>L</w:t>
      </w:r>
      <w:r w:rsidRPr="598B2F51">
        <w:rPr>
          <w:sz w:val="20"/>
          <w:szCs w:val="20"/>
        </w:rPr>
        <w:t>os sujetos obligados, que son todas las entidades públicas4, deben publicar la información relativa a su contratación. Esta obligación fue desarrollada por el Decreto Único Reglamentario 1081 de 20155, el cual dispuso que la publicación de la información contractual de los sujetos obligados, que contratan con cargo a recursos públicos, debe hacerse en el Sistema Electrónico de Co</w:t>
      </w:r>
      <w:r w:rsidR="00952C94" w:rsidRPr="598B2F51">
        <w:rPr>
          <w:sz w:val="20"/>
          <w:szCs w:val="20"/>
        </w:rPr>
        <w:t xml:space="preserve">ntratación Pública ─ SECOP. </w:t>
      </w:r>
    </w:p>
    <w:p w14:paraId="7B3FB81E" w14:textId="72907296" w:rsidR="001852D0" w:rsidRPr="00BD0404" w:rsidRDefault="001852D0" w:rsidP="008A2135">
      <w:pPr>
        <w:pStyle w:val="Textoindependiente"/>
        <w:ind w:left="300"/>
        <w:jc w:val="both"/>
        <w:rPr>
          <w:sz w:val="20"/>
          <w:szCs w:val="20"/>
        </w:rPr>
      </w:pPr>
      <w:r w:rsidRPr="00BD0404">
        <w:rPr>
          <w:sz w:val="20"/>
          <w:szCs w:val="20"/>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p>
    <w:p w14:paraId="568745DE" w14:textId="77777777" w:rsidR="001852D0" w:rsidRPr="00BD0404" w:rsidRDefault="001852D0" w:rsidP="00BD0404">
      <w:pPr>
        <w:jc w:val="both"/>
      </w:pPr>
    </w:p>
    <w:p w14:paraId="25199B0A" w14:textId="70E50FA2" w:rsidR="001852D0" w:rsidRDefault="001852D0" w:rsidP="598B2F51">
      <w:pPr>
        <w:pStyle w:val="Textoindependiente"/>
        <w:spacing w:line="253" w:lineRule="exact"/>
        <w:ind w:left="300"/>
        <w:jc w:val="both"/>
        <w:rPr>
          <w:b/>
          <w:bCs/>
        </w:rPr>
      </w:pPr>
      <w:r w:rsidRPr="598B2F51">
        <w:rPr>
          <w:b/>
          <w:bCs/>
        </w:rPr>
        <w:t xml:space="preserve">CIRCULAR EXTERNA </w:t>
      </w:r>
      <w:r w:rsidR="20A34AF4" w:rsidRPr="598B2F51">
        <w:rPr>
          <w:b/>
          <w:bCs/>
        </w:rPr>
        <w:t>Ú</w:t>
      </w:r>
      <w:r w:rsidRPr="598B2F51">
        <w:rPr>
          <w:b/>
          <w:bCs/>
        </w:rPr>
        <w:t xml:space="preserve">NICA – Colombia Compra Eficiente – </w:t>
      </w:r>
      <w:r w:rsidR="3EC55C83" w:rsidRPr="598B2F51">
        <w:rPr>
          <w:b/>
          <w:bCs/>
        </w:rPr>
        <w:t>Deber de publicidad – Recopilación</w:t>
      </w:r>
    </w:p>
    <w:p w14:paraId="1C8BDF4F" w14:textId="77777777" w:rsidR="001852D0" w:rsidRPr="00BD0404" w:rsidRDefault="001852D0" w:rsidP="00BD0404">
      <w:pPr>
        <w:jc w:val="both"/>
        <w:rPr>
          <w:sz w:val="21"/>
          <w:szCs w:val="21"/>
        </w:rPr>
      </w:pPr>
    </w:p>
    <w:p w14:paraId="3D029A5D" w14:textId="77777777" w:rsidR="001852D0" w:rsidRPr="00BD0404" w:rsidRDefault="001852D0" w:rsidP="008A2135">
      <w:pPr>
        <w:pStyle w:val="Textoindependiente"/>
        <w:ind w:left="300"/>
        <w:jc w:val="both"/>
        <w:rPr>
          <w:sz w:val="20"/>
          <w:szCs w:val="20"/>
        </w:rPr>
      </w:pPr>
      <w:r w:rsidRPr="00BD0404">
        <w:rPr>
          <w:sz w:val="20"/>
          <w:szCs w:val="20"/>
        </w:rPr>
        <w:t xml:space="preserve">La Agencia Nacional de Contratación Pública ─ Colombia Compra Eficiente, mediante la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público7.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w:t>
      </w:r>
    </w:p>
    <w:p w14:paraId="27E8B243" w14:textId="77777777" w:rsidR="001852D0" w:rsidRPr="00BD0404" w:rsidRDefault="001852D0" w:rsidP="00BD0404">
      <w:pPr>
        <w:jc w:val="both"/>
      </w:pPr>
    </w:p>
    <w:p w14:paraId="250B6AF7" w14:textId="7E8268C0" w:rsidR="001852D0" w:rsidRPr="00BD0404" w:rsidRDefault="001852D0" w:rsidP="00BD0404">
      <w:pPr>
        <w:pStyle w:val="Textoindependiente"/>
        <w:spacing w:line="253" w:lineRule="exact"/>
        <w:ind w:left="300"/>
        <w:jc w:val="both"/>
        <w:rPr>
          <w:b/>
          <w:bCs/>
        </w:rPr>
      </w:pPr>
      <w:r w:rsidRPr="598B2F51">
        <w:rPr>
          <w:b/>
          <w:bCs/>
        </w:rPr>
        <w:t>R</w:t>
      </w:r>
      <w:r w:rsidR="43BE61DE" w:rsidRPr="598B2F51">
        <w:rPr>
          <w:b/>
          <w:bCs/>
        </w:rPr>
        <w:t>É</w:t>
      </w:r>
      <w:r w:rsidRPr="598B2F51">
        <w:rPr>
          <w:b/>
          <w:bCs/>
        </w:rPr>
        <w:t>GIMEN EXCEPTUADO – Deber de publi</w:t>
      </w:r>
      <w:r w:rsidR="6F71F102" w:rsidRPr="598B2F51">
        <w:rPr>
          <w:b/>
          <w:bCs/>
        </w:rPr>
        <w:t>cidad</w:t>
      </w:r>
      <w:r w:rsidRPr="598B2F51">
        <w:rPr>
          <w:b/>
          <w:bCs/>
        </w:rPr>
        <w:t xml:space="preserve"> – Procesos de contratación </w:t>
      </w:r>
    </w:p>
    <w:p w14:paraId="4213492B" w14:textId="77777777" w:rsidR="001852D0" w:rsidRPr="00BD0404" w:rsidRDefault="001852D0" w:rsidP="00BD0404">
      <w:pPr>
        <w:jc w:val="both"/>
      </w:pPr>
    </w:p>
    <w:p w14:paraId="32AC473D" w14:textId="3D1A4D1D" w:rsidR="001852D0" w:rsidRPr="00BD0404" w:rsidRDefault="001852D0" w:rsidP="598B2F51">
      <w:pPr>
        <w:pStyle w:val="Textoindependiente"/>
        <w:ind w:left="300"/>
        <w:jc w:val="both"/>
        <w:rPr>
          <w:sz w:val="20"/>
          <w:szCs w:val="20"/>
        </w:rPr>
      </w:pPr>
      <w:r w:rsidRPr="598B2F51">
        <w:rPr>
          <w:sz w:val="20"/>
          <w:szCs w:val="20"/>
        </w:rPr>
        <w:t>[</w:t>
      </w:r>
      <w:r w:rsidR="008A2135" w:rsidRPr="598B2F51">
        <w:rPr>
          <w:sz w:val="20"/>
          <w:szCs w:val="20"/>
        </w:rPr>
        <w:t>…</w:t>
      </w:r>
      <w:r w:rsidRPr="598B2F51">
        <w:rPr>
          <w:sz w:val="20"/>
          <w:szCs w:val="20"/>
        </w:rPr>
        <w:t>]</w:t>
      </w:r>
      <w:r w:rsidR="008A2135" w:rsidRPr="598B2F51">
        <w:rPr>
          <w:sz w:val="20"/>
          <w:szCs w:val="20"/>
        </w:rPr>
        <w:t xml:space="preserve"> </w:t>
      </w:r>
      <w:r w:rsidR="629DB30B" w:rsidRPr="598B2F51">
        <w:rPr>
          <w:sz w:val="20"/>
          <w:szCs w:val="20"/>
        </w:rPr>
        <w:t>E</w:t>
      </w:r>
      <w:r w:rsidRPr="598B2F51">
        <w:rPr>
          <w:sz w:val="20"/>
          <w:szCs w:val="20"/>
        </w:rPr>
        <w:t>l deber de hacer pública la información contractual oficial no se determina por la naturaleza de la entidad ejecutora ─pública o privada─, ni del régimen sustantivo contractual que aplique, sea de la Ley 80 de 1993 o</w:t>
      </w:r>
      <w:r w:rsidR="00952C94" w:rsidRPr="598B2F51">
        <w:rPr>
          <w:sz w:val="20"/>
          <w:szCs w:val="20"/>
        </w:rPr>
        <w:t xml:space="preserve"> de los regímenes exceptuados. </w:t>
      </w:r>
    </w:p>
    <w:p w14:paraId="78EABC60" w14:textId="01D39724" w:rsidR="001852D0" w:rsidRPr="00BD0404" w:rsidRDefault="001852D0" w:rsidP="008A2135">
      <w:pPr>
        <w:pStyle w:val="Textoindependiente"/>
        <w:ind w:left="300"/>
        <w:jc w:val="both"/>
        <w:rPr>
          <w:sz w:val="20"/>
          <w:szCs w:val="20"/>
        </w:rPr>
      </w:pPr>
      <w:r w:rsidRPr="598B2F51">
        <w:rPr>
          <w:sz w:val="20"/>
          <w:szCs w:val="20"/>
        </w:rPr>
        <w:t xml:space="preserve">En este sentido, la Agencia Nacional de Contratación Pública, en virtud del literal c) del artículo 3 de la </w:t>
      </w:r>
      <w:r w:rsidRPr="598B2F51">
        <w:rPr>
          <w:sz w:val="20"/>
          <w:szCs w:val="20"/>
        </w:rPr>
        <w:lastRenderedPageBreak/>
        <w:t>Ley 1150 de 2007, reconoció la obligatoriedad, por parte de las entidades de régimen especial, de publicar su actividad contractual en el SECOP.</w:t>
      </w:r>
    </w:p>
    <w:p w14:paraId="6049B332" w14:textId="77777777" w:rsidR="001852D0" w:rsidRPr="00BD0404" w:rsidRDefault="001852D0" w:rsidP="00BD0404">
      <w:pPr>
        <w:jc w:val="both"/>
      </w:pPr>
    </w:p>
    <w:p w14:paraId="066C7CFA" w14:textId="178AC9DB" w:rsidR="001852D0" w:rsidRPr="00BD0404" w:rsidRDefault="001852D0" w:rsidP="00BD0404">
      <w:pPr>
        <w:pStyle w:val="Textoindependiente"/>
        <w:spacing w:line="253" w:lineRule="exact"/>
        <w:ind w:left="300"/>
        <w:jc w:val="both"/>
        <w:rPr>
          <w:b/>
          <w:bCs/>
        </w:rPr>
      </w:pPr>
      <w:r w:rsidRPr="598B2F51">
        <w:rPr>
          <w:b/>
          <w:bCs/>
        </w:rPr>
        <w:t>R</w:t>
      </w:r>
      <w:r w:rsidR="25B48236" w:rsidRPr="598B2F51">
        <w:rPr>
          <w:b/>
          <w:bCs/>
        </w:rPr>
        <w:t>É</w:t>
      </w:r>
      <w:r w:rsidRPr="598B2F51">
        <w:rPr>
          <w:b/>
          <w:bCs/>
        </w:rPr>
        <w:t xml:space="preserve">GIMEN EXCEPTUADO </w:t>
      </w:r>
      <w:r w:rsidR="008A2135" w:rsidRPr="598B2F51">
        <w:rPr>
          <w:b/>
          <w:bCs/>
        </w:rPr>
        <w:t xml:space="preserve">– </w:t>
      </w:r>
      <w:r w:rsidRPr="598B2F51">
        <w:rPr>
          <w:b/>
          <w:bCs/>
        </w:rPr>
        <w:t xml:space="preserve">Documentos </w:t>
      </w:r>
      <w:r w:rsidR="63702C3E" w:rsidRPr="598B2F51">
        <w:rPr>
          <w:b/>
          <w:bCs/>
        </w:rPr>
        <w:t>publicables</w:t>
      </w:r>
      <w:r w:rsidRPr="598B2F51">
        <w:rPr>
          <w:b/>
          <w:bCs/>
        </w:rPr>
        <w:t xml:space="preserve"> – Obligatoriedad – SECOP</w:t>
      </w:r>
    </w:p>
    <w:p w14:paraId="0B03474F" w14:textId="77777777" w:rsidR="001852D0" w:rsidRPr="00BD0404" w:rsidRDefault="001852D0" w:rsidP="00BD0404">
      <w:pPr>
        <w:jc w:val="both"/>
      </w:pPr>
    </w:p>
    <w:p w14:paraId="600B43FD" w14:textId="393FEC4F" w:rsidR="001852D0" w:rsidRPr="00BD0404" w:rsidRDefault="00A754E1" w:rsidP="598B2F51">
      <w:pPr>
        <w:pStyle w:val="Textoindependiente"/>
        <w:ind w:left="300"/>
        <w:jc w:val="both"/>
        <w:rPr>
          <w:sz w:val="20"/>
          <w:szCs w:val="20"/>
        </w:rPr>
      </w:pPr>
      <w:r w:rsidRPr="598B2F51">
        <w:rPr>
          <w:sz w:val="20"/>
          <w:szCs w:val="20"/>
        </w:rPr>
        <w:t>[…</w:t>
      </w:r>
      <w:r w:rsidR="001852D0" w:rsidRPr="598B2F51">
        <w:rPr>
          <w:sz w:val="20"/>
          <w:szCs w:val="20"/>
        </w:rPr>
        <w:t>]</w:t>
      </w:r>
      <w:r w:rsidRPr="598B2F51">
        <w:rPr>
          <w:sz w:val="20"/>
          <w:szCs w:val="20"/>
        </w:rPr>
        <w:t xml:space="preserve"> C</w:t>
      </w:r>
      <w:r w:rsidR="001852D0" w:rsidRPr="598B2F51">
        <w:rPr>
          <w:sz w:val="20"/>
          <w:szCs w:val="20"/>
        </w:rPr>
        <w:t>on fundamento en el artículo 2.2.1.1.1.3.1 del Decreto 1082 de 2015, normativa que aplica a las entidades que se rigen por la Ley 80 de 1993, se enunciaron los documentos del proc</w:t>
      </w:r>
      <w:r w:rsidR="00952C94" w:rsidRPr="598B2F51">
        <w:rPr>
          <w:sz w:val="20"/>
          <w:szCs w:val="20"/>
        </w:rPr>
        <w:t xml:space="preserve">eso que se debían publicar. </w:t>
      </w:r>
    </w:p>
    <w:p w14:paraId="594B6BC5" w14:textId="105DAC14" w:rsidR="001852D0" w:rsidRPr="00BD0404" w:rsidRDefault="00952C94" w:rsidP="598B2F51">
      <w:pPr>
        <w:pStyle w:val="Textoindependiente"/>
        <w:ind w:left="300"/>
        <w:jc w:val="both"/>
        <w:rPr>
          <w:sz w:val="20"/>
          <w:szCs w:val="20"/>
        </w:rPr>
      </w:pPr>
      <w:r w:rsidRPr="598B2F51">
        <w:rPr>
          <w:sz w:val="20"/>
          <w:szCs w:val="20"/>
        </w:rPr>
        <w:t>E</w:t>
      </w:r>
      <w:r w:rsidR="001852D0" w:rsidRPr="598B2F51">
        <w:rPr>
          <w:sz w:val="20"/>
          <w:szCs w:val="20"/>
        </w:rPr>
        <w:t>n el año 2018, cambió el fundamento normativo que define los documentos que las entidades de régimen especial d</w:t>
      </w:r>
      <w:r w:rsidRPr="598B2F51">
        <w:rPr>
          <w:sz w:val="20"/>
          <w:szCs w:val="20"/>
        </w:rPr>
        <w:t xml:space="preserve">ebían publicar en el SECOP. </w:t>
      </w:r>
    </w:p>
    <w:p w14:paraId="17D355ED" w14:textId="431B0269" w:rsidR="001852D0" w:rsidRPr="00BD0404" w:rsidRDefault="00952C94" w:rsidP="008A2135">
      <w:pPr>
        <w:pStyle w:val="Textoindependiente"/>
        <w:ind w:left="300"/>
        <w:jc w:val="both"/>
        <w:rPr>
          <w:sz w:val="20"/>
          <w:szCs w:val="20"/>
        </w:rPr>
      </w:pPr>
      <w:r w:rsidRPr="598B2F51">
        <w:rPr>
          <w:sz w:val="20"/>
          <w:szCs w:val="20"/>
        </w:rPr>
        <w:t>S</w:t>
      </w:r>
      <w:r w:rsidR="001852D0" w:rsidRPr="598B2F51">
        <w:rPr>
          <w:sz w:val="20"/>
          <w:szCs w:val="20"/>
        </w:rPr>
        <w:t>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p>
    <w:p w14:paraId="21942FBA" w14:textId="77777777" w:rsidR="001852D0" w:rsidRPr="00BD0404" w:rsidRDefault="001852D0" w:rsidP="008A2135">
      <w:pPr>
        <w:jc w:val="both"/>
      </w:pPr>
    </w:p>
    <w:p w14:paraId="4CF7C91D" w14:textId="29999381" w:rsidR="001852D0" w:rsidRPr="00BD0404" w:rsidRDefault="001852D0" w:rsidP="00BD0404">
      <w:pPr>
        <w:pStyle w:val="Textoindependiente"/>
        <w:spacing w:line="253" w:lineRule="exact"/>
        <w:ind w:left="300"/>
        <w:jc w:val="both"/>
        <w:rPr>
          <w:b/>
          <w:bCs/>
        </w:rPr>
      </w:pPr>
      <w:r w:rsidRPr="598B2F51">
        <w:rPr>
          <w:b/>
          <w:bCs/>
        </w:rPr>
        <w:t>EMPRESAS INDUSTRIALES Y COMERCIALES DEL ESTADO – Documentos</w:t>
      </w:r>
      <w:r w:rsidR="5CC29F1D" w:rsidRPr="598B2F51">
        <w:rPr>
          <w:b/>
          <w:bCs/>
        </w:rPr>
        <w:t xml:space="preserve"> publicables</w:t>
      </w:r>
      <w:r w:rsidRPr="598B2F51">
        <w:rPr>
          <w:b/>
          <w:bCs/>
        </w:rPr>
        <w:t xml:space="preserve"> – SECOP – Lista taxativa</w:t>
      </w:r>
    </w:p>
    <w:p w14:paraId="58EB2F81" w14:textId="77777777" w:rsidR="001852D0" w:rsidRPr="00BD0404" w:rsidRDefault="001852D0" w:rsidP="00BD0404">
      <w:pPr>
        <w:jc w:val="both"/>
      </w:pPr>
    </w:p>
    <w:p w14:paraId="518A5D20" w14:textId="35E1CE4C" w:rsidR="001852D0" w:rsidRPr="00BD0404" w:rsidRDefault="008A2135" w:rsidP="008A2135">
      <w:pPr>
        <w:pStyle w:val="Textoindependiente"/>
        <w:ind w:left="300"/>
        <w:jc w:val="both"/>
        <w:rPr>
          <w:sz w:val="20"/>
          <w:szCs w:val="20"/>
        </w:rPr>
      </w:pPr>
      <w:r w:rsidRPr="598B2F51">
        <w:rPr>
          <w:sz w:val="20"/>
          <w:szCs w:val="20"/>
        </w:rPr>
        <w:t>[…</w:t>
      </w:r>
      <w:r w:rsidR="001852D0" w:rsidRPr="598B2F51">
        <w:rPr>
          <w:sz w:val="20"/>
          <w:szCs w:val="20"/>
        </w:rPr>
        <w:t>]</w:t>
      </w:r>
      <w:r w:rsidRPr="598B2F51">
        <w:rPr>
          <w:sz w:val="20"/>
          <w:szCs w:val="20"/>
        </w:rPr>
        <w:t xml:space="preserve"> </w:t>
      </w:r>
      <w:r w:rsidR="5CBB9CAC" w:rsidRPr="598B2F51">
        <w:rPr>
          <w:sz w:val="20"/>
          <w:szCs w:val="20"/>
        </w:rPr>
        <w:t>E</w:t>
      </w:r>
      <w:r w:rsidR="001852D0" w:rsidRPr="598B2F51">
        <w:rPr>
          <w:sz w:val="20"/>
          <w:szCs w:val="20"/>
        </w:rPr>
        <w:t>l Decreto 103 de 2015 señala que los documentos que deben publicar las entidades estatales, entre estas las empresas industriales y comerciales del Estado,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w:t>
      </w:r>
    </w:p>
    <w:p w14:paraId="442378BB" w14:textId="77777777" w:rsidR="001852D0" w:rsidRPr="00BD0404" w:rsidRDefault="001852D0" w:rsidP="00BD0404">
      <w:pPr>
        <w:jc w:val="both"/>
      </w:pPr>
    </w:p>
    <w:p w14:paraId="1FDB6B30" w14:textId="4EF159F9" w:rsidR="001852D0" w:rsidRPr="00BD0404" w:rsidRDefault="001852D0" w:rsidP="00BD0404">
      <w:pPr>
        <w:pStyle w:val="Textoindependiente"/>
        <w:spacing w:line="253" w:lineRule="exact"/>
        <w:ind w:left="300"/>
        <w:jc w:val="both"/>
        <w:rPr>
          <w:b/>
          <w:bCs/>
        </w:rPr>
      </w:pPr>
      <w:r w:rsidRPr="598B2F51">
        <w:rPr>
          <w:b/>
          <w:bCs/>
        </w:rPr>
        <w:t>PUBLICIDAD – Plazos – Régimen especial – Colombia Compra Eficiente</w:t>
      </w:r>
      <w:r w:rsidR="0EC4FD59" w:rsidRPr="598B2F51">
        <w:rPr>
          <w:b/>
          <w:bCs/>
        </w:rPr>
        <w:t xml:space="preserve"> – Tesis</w:t>
      </w:r>
    </w:p>
    <w:p w14:paraId="3FABCE54" w14:textId="77777777" w:rsidR="001852D0" w:rsidRPr="00BD0404" w:rsidRDefault="001852D0" w:rsidP="00BD0404">
      <w:pPr>
        <w:jc w:val="both"/>
      </w:pPr>
    </w:p>
    <w:p w14:paraId="3D1747B4" w14:textId="77777777" w:rsidR="001852D0" w:rsidRPr="00BD0404" w:rsidRDefault="001852D0" w:rsidP="008A2135">
      <w:pPr>
        <w:pStyle w:val="Textoindependiente"/>
        <w:ind w:left="300"/>
        <w:jc w:val="both"/>
        <w:rPr>
          <w:sz w:val="20"/>
          <w:szCs w:val="20"/>
        </w:rPr>
      </w:pPr>
      <w:r w:rsidRPr="00BD0404">
        <w:rPr>
          <w:sz w:val="20"/>
          <w:szCs w:val="20"/>
        </w:rPr>
        <w:t>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w:t>
      </w:r>
    </w:p>
    <w:p w14:paraId="4126A067" w14:textId="77777777" w:rsidR="001852D0" w:rsidRPr="00BD0404" w:rsidRDefault="001852D0" w:rsidP="00BD0404">
      <w:pPr>
        <w:pStyle w:val="Textoindependiente"/>
        <w:spacing w:line="253" w:lineRule="exact"/>
        <w:ind w:left="300"/>
        <w:jc w:val="both"/>
      </w:pPr>
    </w:p>
    <w:p w14:paraId="01E46B5C" w14:textId="1B4BAE4A" w:rsidR="001852D0" w:rsidRPr="00BD0404" w:rsidRDefault="001852D0" w:rsidP="00BD0404">
      <w:pPr>
        <w:pStyle w:val="Textoindependiente"/>
        <w:spacing w:line="253" w:lineRule="exact"/>
        <w:ind w:left="300"/>
        <w:jc w:val="both"/>
        <w:rPr>
          <w:b/>
          <w:bCs/>
        </w:rPr>
      </w:pPr>
      <w:r w:rsidRPr="598B2F51">
        <w:rPr>
          <w:b/>
          <w:bCs/>
        </w:rPr>
        <w:t xml:space="preserve">ACTO ADMINISTRATIVO </w:t>
      </w:r>
      <w:r w:rsidR="2C8A11E7" w:rsidRPr="598B2F51">
        <w:rPr>
          <w:b/>
          <w:bCs/>
        </w:rPr>
        <w:t xml:space="preserve">– </w:t>
      </w:r>
      <w:r w:rsidRPr="598B2F51">
        <w:rPr>
          <w:b/>
          <w:bCs/>
        </w:rPr>
        <w:t>S</w:t>
      </w:r>
      <w:r w:rsidR="1FDAC8D7" w:rsidRPr="598B2F51">
        <w:rPr>
          <w:b/>
          <w:bCs/>
        </w:rPr>
        <w:t>in firma</w:t>
      </w:r>
      <w:r w:rsidRPr="598B2F51">
        <w:rPr>
          <w:b/>
          <w:bCs/>
        </w:rPr>
        <w:t xml:space="preserve"> – Validez – Posición doctrinaria </w:t>
      </w:r>
      <w:r w:rsidR="3D4FCAB9" w:rsidRPr="598B2F51">
        <w:rPr>
          <w:b/>
          <w:bCs/>
        </w:rPr>
        <w:t xml:space="preserve">– Posición </w:t>
      </w:r>
      <w:r w:rsidRPr="598B2F51">
        <w:rPr>
          <w:b/>
          <w:bCs/>
        </w:rPr>
        <w:t xml:space="preserve">jurisprudencial </w:t>
      </w:r>
    </w:p>
    <w:p w14:paraId="32F75707" w14:textId="77777777" w:rsidR="001852D0" w:rsidRPr="00BD0404" w:rsidRDefault="001852D0" w:rsidP="00BD0404">
      <w:pPr>
        <w:jc w:val="both"/>
      </w:pPr>
    </w:p>
    <w:p w14:paraId="55D280A2" w14:textId="77777777" w:rsidR="001852D0" w:rsidRPr="00BD0404" w:rsidRDefault="001852D0" w:rsidP="008A2135">
      <w:pPr>
        <w:pStyle w:val="Textoindependiente"/>
        <w:ind w:left="300"/>
        <w:jc w:val="both"/>
        <w:rPr>
          <w:sz w:val="20"/>
          <w:szCs w:val="20"/>
        </w:rPr>
      </w:pPr>
      <w:r w:rsidRPr="00BD0404">
        <w:rPr>
          <w:sz w:val="20"/>
          <w:szCs w:val="20"/>
        </w:rPr>
        <w:t>De la posición de la doctrina y la jurisprudencia se infiere que la firma es un requisito necesario para su existencia. En este sentido, si el acto administrativo no la tiene, en un primer momento se entendería que no existe. Ahora, si se demuestra, a través de otros medios de prueba, que a pesar de no tener firma fue expedido por el funcionario competente no se podrá negar su existencia. En este caso se asume una carga probatoria especial que permita establecer a partir de indicios y otros medios de prueba, si fue proferido por el funcionario competente, pese a que no firmó el documento.</w:t>
      </w:r>
    </w:p>
    <w:p w14:paraId="079DB693" w14:textId="77777777" w:rsidR="001852D0" w:rsidRPr="008A2135" w:rsidRDefault="001852D0" w:rsidP="008A2135">
      <w:pPr>
        <w:pStyle w:val="Textoindependiente"/>
        <w:ind w:left="300"/>
        <w:jc w:val="both"/>
        <w:rPr>
          <w:sz w:val="20"/>
          <w:szCs w:val="20"/>
        </w:rPr>
      </w:pPr>
    </w:p>
    <w:p w14:paraId="4871D236" w14:textId="4134AC91" w:rsidR="001852D0" w:rsidRPr="00BD0404" w:rsidRDefault="001852D0" w:rsidP="00BD0404">
      <w:pPr>
        <w:pStyle w:val="Textoindependiente"/>
        <w:spacing w:line="253" w:lineRule="exact"/>
        <w:ind w:left="300"/>
        <w:jc w:val="both"/>
        <w:rPr>
          <w:b/>
          <w:bCs/>
        </w:rPr>
      </w:pPr>
      <w:r w:rsidRPr="598B2F51">
        <w:rPr>
          <w:b/>
          <w:bCs/>
        </w:rPr>
        <w:t xml:space="preserve">CONTRATO </w:t>
      </w:r>
      <w:r w:rsidR="4EF29153" w:rsidRPr="598B2F51">
        <w:rPr>
          <w:b/>
          <w:bCs/>
        </w:rPr>
        <w:t>ESTATAL</w:t>
      </w:r>
      <w:r w:rsidRPr="598B2F51">
        <w:rPr>
          <w:b/>
          <w:bCs/>
        </w:rPr>
        <w:t xml:space="preserve"> – Empresas Industriales y Comerciales del Estado – Solemnidades </w:t>
      </w:r>
      <w:r w:rsidR="43F2206E" w:rsidRPr="598B2F51">
        <w:rPr>
          <w:b/>
          <w:bCs/>
        </w:rPr>
        <w:lastRenderedPageBreak/>
        <w:t xml:space="preserve">– </w:t>
      </w:r>
      <w:r w:rsidRPr="598B2F51">
        <w:rPr>
          <w:b/>
          <w:bCs/>
        </w:rPr>
        <w:t xml:space="preserve">Validez </w:t>
      </w:r>
      <w:r w:rsidR="0101DFD5" w:rsidRPr="598B2F51">
        <w:rPr>
          <w:b/>
          <w:bCs/>
        </w:rPr>
        <w:t>– Contrato</w:t>
      </w:r>
      <w:r w:rsidR="59BC540A" w:rsidRPr="598B2F51">
        <w:rPr>
          <w:b/>
          <w:bCs/>
        </w:rPr>
        <w:t xml:space="preserve"> </w:t>
      </w:r>
      <w:r w:rsidR="0101DFD5" w:rsidRPr="598B2F51">
        <w:rPr>
          <w:b/>
          <w:bCs/>
        </w:rPr>
        <w:t>sin firma</w:t>
      </w:r>
    </w:p>
    <w:p w14:paraId="519A2CEB" w14:textId="77777777" w:rsidR="001852D0" w:rsidRPr="00BD0404" w:rsidRDefault="001852D0" w:rsidP="00BD0404">
      <w:pPr>
        <w:jc w:val="both"/>
      </w:pPr>
    </w:p>
    <w:p w14:paraId="0A40F1EE" w14:textId="31518FA7" w:rsidR="008A2135" w:rsidRDefault="008A2135" w:rsidP="598B2F51">
      <w:pPr>
        <w:pStyle w:val="Textoindependiente"/>
        <w:spacing w:line="253" w:lineRule="exact"/>
        <w:ind w:left="300"/>
        <w:jc w:val="both"/>
        <w:rPr>
          <w:sz w:val="20"/>
          <w:szCs w:val="20"/>
        </w:rPr>
      </w:pPr>
      <w:r w:rsidRPr="598B2F51">
        <w:rPr>
          <w:sz w:val="20"/>
          <w:szCs w:val="20"/>
        </w:rPr>
        <w:t>[…</w:t>
      </w:r>
      <w:r w:rsidR="001852D0" w:rsidRPr="598B2F51">
        <w:rPr>
          <w:sz w:val="20"/>
          <w:szCs w:val="20"/>
        </w:rPr>
        <w:t>]</w:t>
      </w:r>
      <w:r w:rsidRPr="598B2F51">
        <w:rPr>
          <w:sz w:val="20"/>
          <w:szCs w:val="20"/>
        </w:rPr>
        <w:t xml:space="preserve"> </w:t>
      </w:r>
      <w:r w:rsidR="75EA3694" w:rsidRPr="598B2F51">
        <w:rPr>
          <w:sz w:val="20"/>
          <w:szCs w:val="20"/>
        </w:rPr>
        <w:t>L</w:t>
      </w:r>
      <w:r w:rsidR="001852D0" w:rsidRPr="598B2F51">
        <w:rPr>
          <w:sz w:val="20"/>
          <w:szCs w:val="20"/>
        </w:rPr>
        <w:t>os contratos que celebren las empresas industriales y comerciales del estado, por regla general, se perfeccionan por el sólo acuerdo de voluntades. En estos casos se entiende que para que exista no se requiere firma de quienes celebran el contrato; pero si las partes celebran un contrato escrito sí se necesita para reconoce</w:t>
      </w:r>
      <w:r w:rsidR="0002456E" w:rsidRPr="598B2F51">
        <w:rPr>
          <w:sz w:val="20"/>
          <w:szCs w:val="20"/>
        </w:rPr>
        <w:t>r la autoría del documento.</w:t>
      </w:r>
    </w:p>
    <w:p w14:paraId="22BA2244" w14:textId="2A0F90CD" w:rsidR="001852D0" w:rsidRPr="00BD0404" w:rsidRDefault="001852D0" w:rsidP="00BD0404">
      <w:pPr>
        <w:pStyle w:val="Textoindependiente"/>
        <w:spacing w:line="253" w:lineRule="exact"/>
        <w:ind w:left="300"/>
        <w:jc w:val="both"/>
        <w:rPr>
          <w:sz w:val="20"/>
          <w:szCs w:val="20"/>
        </w:rPr>
      </w:pPr>
      <w:r w:rsidRPr="00BD0404">
        <w:rPr>
          <w:sz w:val="20"/>
          <w:szCs w:val="20"/>
        </w:rPr>
        <w:t>Por lo tanto, en los casos que las empresas industriales y comerciales del estado celebren contratos de forma escrita se requerirá la firma de las partes para que exista; ahora, si el contrato se perfecciona por el solo acuerdo de voluntad, es decir, de forma consensual, no será necesaria la firma.</w:t>
      </w:r>
    </w:p>
    <w:p w14:paraId="59C15DF2" w14:textId="77777777" w:rsidR="001852D0" w:rsidRPr="00BD0404" w:rsidRDefault="001852D0" w:rsidP="00BD0404">
      <w:pPr>
        <w:jc w:val="both"/>
      </w:pPr>
    </w:p>
    <w:p w14:paraId="6A3E058C" w14:textId="0AF9F3AA" w:rsidR="001852D0" w:rsidRPr="00BD0404" w:rsidRDefault="001852D0" w:rsidP="00BD0404">
      <w:pPr>
        <w:pStyle w:val="Textoindependiente"/>
        <w:spacing w:line="253" w:lineRule="exact"/>
        <w:ind w:left="300"/>
        <w:jc w:val="both"/>
        <w:rPr>
          <w:b/>
          <w:bCs/>
        </w:rPr>
      </w:pPr>
      <w:r w:rsidRPr="598B2F51">
        <w:rPr>
          <w:b/>
          <w:bCs/>
        </w:rPr>
        <w:t xml:space="preserve">SECOP I – Plataforma de publicidad – Contratos con firma manuscrita – Documentos </w:t>
      </w:r>
      <w:r w:rsidR="6CACC082" w:rsidRPr="598B2F51">
        <w:rPr>
          <w:b/>
          <w:bCs/>
        </w:rPr>
        <w:t>publicables</w:t>
      </w:r>
    </w:p>
    <w:p w14:paraId="6867B6A1" w14:textId="77777777" w:rsidR="001852D0" w:rsidRPr="00BD0404" w:rsidRDefault="001852D0" w:rsidP="00BD0404">
      <w:pPr>
        <w:jc w:val="both"/>
        <w:rPr>
          <w:sz w:val="21"/>
          <w:szCs w:val="21"/>
        </w:rPr>
      </w:pPr>
    </w:p>
    <w:p w14:paraId="6D8E6078" w14:textId="647BD5C7" w:rsidR="00A754E1" w:rsidRPr="00BD0404" w:rsidRDefault="001852D0" w:rsidP="008A2135">
      <w:pPr>
        <w:pStyle w:val="Textoindependiente"/>
        <w:ind w:left="300"/>
        <w:jc w:val="both"/>
        <w:rPr>
          <w:sz w:val="20"/>
          <w:szCs w:val="20"/>
        </w:rPr>
      </w:pPr>
      <w:r w:rsidRPr="598B2F51">
        <w:rPr>
          <w:sz w:val="20"/>
          <w:szCs w:val="20"/>
        </w:rPr>
        <w:t>Debido a que el SECOP I es una plataforma de publicidad, por medio de la cual, se publican los contratos o documentos del proceso en word o en PDF, deberán estar firmados en manuscrito o digital, siempre y cuando cumplan los requisitos de la Ley 527 de 1999, so pena de que no existan. Ahora, no es posible subirlos con una firma electrónica porque esta plataforma no cumple los requisitos previstos en el artículo 7 de la Ley 527 de 1999; en consecuencia, no es viable firmar un contrato por medio de un mensaje de datos, puesto que esta plataforma no es transacciona</w:t>
      </w:r>
      <w:r w:rsidR="0002456E" w:rsidRPr="598B2F51">
        <w:rPr>
          <w:sz w:val="20"/>
          <w:szCs w:val="20"/>
        </w:rPr>
        <w:t xml:space="preserve">l. </w:t>
      </w:r>
    </w:p>
    <w:p w14:paraId="6DD63878" w14:textId="652EBBAD" w:rsidR="001852D0" w:rsidRPr="00BD0404" w:rsidRDefault="0002456E" w:rsidP="008A2135">
      <w:pPr>
        <w:pStyle w:val="Textoindependiente"/>
        <w:ind w:left="300"/>
        <w:jc w:val="both"/>
        <w:rPr>
          <w:sz w:val="20"/>
          <w:szCs w:val="20"/>
        </w:rPr>
      </w:pPr>
      <w:r w:rsidRPr="00BD0404">
        <w:rPr>
          <w:sz w:val="20"/>
          <w:szCs w:val="20"/>
        </w:rPr>
        <w:t>L</w:t>
      </w:r>
      <w:r w:rsidR="001852D0" w:rsidRPr="00BD0404">
        <w:rPr>
          <w:sz w:val="20"/>
          <w:szCs w:val="20"/>
        </w:rPr>
        <w:t>os documentos que deben publicarse en la plataforma del SECOP I es la copia exacta que consta en el expediente original, por tanto, si aquellos están firmados de forma manuscrita se deberá escanear el documento original y publicar su copia. Por su parte, si el acto tiene firma digital se debe publicar su copia, ya sea en documento escaneado o en PDF.</w:t>
      </w:r>
    </w:p>
    <w:p w14:paraId="4E4148B5" w14:textId="77777777" w:rsidR="001852D0" w:rsidRPr="00BD0404" w:rsidRDefault="001852D0" w:rsidP="00BD0404">
      <w:pPr>
        <w:jc w:val="both"/>
      </w:pPr>
    </w:p>
    <w:p w14:paraId="398F1DFF" w14:textId="31DF6E5A" w:rsidR="001852D0" w:rsidRPr="00BD0404" w:rsidRDefault="001852D0" w:rsidP="00BD0404">
      <w:pPr>
        <w:pStyle w:val="Textoindependiente"/>
        <w:spacing w:line="253" w:lineRule="exact"/>
        <w:ind w:left="300"/>
        <w:jc w:val="both"/>
        <w:rPr>
          <w:b/>
          <w:bCs/>
        </w:rPr>
      </w:pPr>
      <w:r w:rsidRPr="598B2F51">
        <w:rPr>
          <w:b/>
          <w:bCs/>
        </w:rPr>
        <w:t>SECOP II – Plataforma transaccional – Contratos s</w:t>
      </w:r>
      <w:r w:rsidR="1B506DBB" w:rsidRPr="598B2F51">
        <w:rPr>
          <w:b/>
          <w:bCs/>
        </w:rPr>
        <w:t>uscritos –</w:t>
      </w:r>
      <w:r w:rsidR="00EF0C76">
        <w:rPr>
          <w:b/>
          <w:bCs/>
        </w:rPr>
        <w:t xml:space="preserve"> Suscripción electrónica – Acto Administrativo</w:t>
      </w:r>
      <w:bookmarkStart w:id="0" w:name="_GoBack"/>
      <w:bookmarkEnd w:id="0"/>
      <w:r w:rsidR="1B506DBB" w:rsidRPr="598B2F51">
        <w:rPr>
          <w:b/>
          <w:bCs/>
        </w:rPr>
        <w:t xml:space="preserve"> – </w:t>
      </w:r>
      <w:r w:rsidR="057BDE6A" w:rsidRPr="598B2F51">
        <w:rPr>
          <w:b/>
          <w:bCs/>
        </w:rPr>
        <w:t xml:space="preserve">Firma manuscrita </w:t>
      </w:r>
      <w:r w:rsidR="02FFB049" w:rsidRPr="598B2F51">
        <w:rPr>
          <w:b/>
          <w:bCs/>
        </w:rPr>
        <w:t xml:space="preserve">–  Firma </w:t>
      </w:r>
      <w:r w:rsidR="057BDE6A" w:rsidRPr="598B2F51">
        <w:rPr>
          <w:b/>
          <w:bCs/>
        </w:rPr>
        <w:t>digital</w:t>
      </w:r>
    </w:p>
    <w:p w14:paraId="427E9C19" w14:textId="77777777" w:rsidR="001852D0" w:rsidRPr="00BD0404" w:rsidRDefault="001852D0" w:rsidP="00BD0404">
      <w:pPr>
        <w:jc w:val="both"/>
      </w:pPr>
    </w:p>
    <w:p w14:paraId="1DAD234B" w14:textId="74AF70E3" w:rsidR="001852D0" w:rsidRPr="00BD0404" w:rsidRDefault="001852D0" w:rsidP="00BD0404">
      <w:pPr>
        <w:pStyle w:val="Textoindependiente"/>
        <w:spacing w:line="253" w:lineRule="exact"/>
        <w:ind w:left="300"/>
        <w:jc w:val="both"/>
        <w:rPr>
          <w:sz w:val="20"/>
          <w:szCs w:val="20"/>
        </w:rPr>
      </w:pPr>
      <w:r w:rsidRPr="00BD0404">
        <w:rPr>
          <w:sz w:val="20"/>
          <w:szCs w:val="20"/>
        </w:rPr>
        <w:t>Como el SECOP II es una plataforma transaccional, los contratos que se publiquen se firmarán electrónicamente. Por su parte, como no debe existir duplicidad en la información que consta en la plataforma, no será posible que se publiquen en esta plataforma contratos con firma manuscrita o digital. En relación con los actos administrativos, se podrán subir a la plataforma con firma manuscrita o digital, ya que no es posible firmarlos electrónicamente.</w:t>
      </w:r>
    </w:p>
    <w:p w14:paraId="098AAA55" w14:textId="27B527B7" w:rsidR="00BD0404" w:rsidRPr="00BD0404" w:rsidRDefault="00BD0404" w:rsidP="00BD0404">
      <w:pPr>
        <w:pStyle w:val="Textoindependiente"/>
        <w:spacing w:line="253" w:lineRule="exact"/>
        <w:ind w:left="300"/>
        <w:jc w:val="both"/>
        <w:rPr>
          <w:sz w:val="20"/>
          <w:szCs w:val="20"/>
        </w:rPr>
      </w:pPr>
    </w:p>
    <w:p w14:paraId="6BC17118" w14:textId="77777777" w:rsidR="00BD0404" w:rsidRPr="00BD0404" w:rsidRDefault="00BD0404" w:rsidP="00BD0404">
      <w:pPr>
        <w:pStyle w:val="Textoindependiente"/>
        <w:spacing w:line="253" w:lineRule="exact"/>
        <w:ind w:left="300"/>
        <w:jc w:val="both"/>
      </w:pPr>
    </w:p>
    <w:p w14:paraId="162FA88D" w14:textId="77777777" w:rsidR="00C33338" w:rsidRPr="00BD0404" w:rsidRDefault="001852D0" w:rsidP="00C1719F">
      <w:pPr>
        <w:pStyle w:val="Textoindependiente"/>
        <w:spacing w:before="93" w:line="253" w:lineRule="exact"/>
        <w:ind w:left="300"/>
        <w:rPr>
          <w:b/>
        </w:rPr>
      </w:pPr>
      <w:r w:rsidRPr="00BD0404">
        <w:t xml:space="preserve">Bogotá D.C., </w:t>
      </w:r>
      <w:r w:rsidRPr="00BD0404">
        <w:rPr>
          <w:b/>
        </w:rPr>
        <w:t>15/01/2020 Hora 14:33:49s</w:t>
      </w:r>
    </w:p>
    <w:p w14:paraId="3D61D475" w14:textId="77777777" w:rsidR="00C33338" w:rsidRPr="00BD0404" w:rsidRDefault="001852D0">
      <w:pPr>
        <w:pStyle w:val="Ttulo1"/>
        <w:spacing w:before="37"/>
        <w:ind w:left="5839"/>
      </w:pPr>
      <w:r w:rsidRPr="00BD0404">
        <w:t>N° Radicado: 2202013000000164</w:t>
      </w:r>
    </w:p>
    <w:p w14:paraId="6D205EEC" w14:textId="77777777" w:rsidR="00C33338" w:rsidRPr="00BD0404" w:rsidRDefault="00C33338">
      <w:pPr>
        <w:pStyle w:val="Textoindependiente"/>
        <w:spacing w:before="7"/>
        <w:rPr>
          <w:b/>
          <w:sz w:val="20"/>
        </w:rPr>
      </w:pPr>
    </w:p>
    <w:p w14:paraId="0DE67C72" w14:textId="77777777" w:rsidR="00C33338" w:rsidRPr="00BD0404" w:rsidRDefault="001852D0">
      <w:pPr>
        <w:pStyle w:val="Textoindependiente"/>
        <w:spacing w:before="93" w:line="253" w:lineRule="exact"/>
        <w:ind w:left="300"/>
      </w:pPr>
      <w:r w:rsidRPr="00BD0404">
        <w:t>Señor</w:t>
      </w:r>
    </w:p>
    <w:p w14:paraId="5E40ECDE" w14:textId="77777777" w:rsidR="00C33338" w:rsidRPr="00BD0404" w:rsidRDefault="001852D0">
      <w:pPr>
        <w:pStyle w:val="Ttulo1"/>
        <w:spacing w:line="253" w:lineRule="exact"/>
      </w:pPr>
      <w:r w:rsidRPr="00BD0404">
        <w:t>Mario Riascos</w:t>
      </w:r>
    </w:p>
    <w:p w14:paraId="7BCBD71D" w14:textId="77777777" w:rsidR="00C33338" w:rsidRPr="00BD0404" w:rsidRDefault="001852D0">
      <w:pPr>
        <w:pStyle w:val="Textoindependiente"/>
        <w:spacing w:line="253" w:lineRule="exact"/>
        <w:ind w:left="300"/>
      </w:pPr>
      <w:r w:rsidRPr="00BD0404">
        <w:t>Ciudad</w:t>
      </w:r>
    </w:p>
    <w:p w14:paraId="560864E7" w14:textId="77777777" w:rsidR="00C33338" w:rsidRPr="00BD0404" w:rsidRDefault="00C33338">
      <w:pPr>
        <w:pStyle w:val="Textoindependiente"/>
        <w:rPr>
          <w:sz w:val="20"/>
        </w:rPr>
      </w:pPr>
    </w:p>
    <w:p w14:paraId="1B13C504" w14:textId="77777777" w:rsidR="00C33338" w:rsidRPr="00BD0404" w:rsidRDefault="00C33338">
      <w:pPr>
        <w:pStyle w:val="Textoindependiente"/>
        <w:rPr>
          <w:sz w:val="16"/>
        </w:rPr>
      </w:pPr>
    </w:p>
    <w:p w14:paraId="6079EEC9" w14:textId="77777777" w:rsidR="00C33338" w:rsidRPr="00BD0404" w:rsidRDefault="001852D0">
      <w:pPr>
        <w:pStyle w:val="Ttulo1"/>
        <w:spacing w:before="93"/>
        <w:ind w:left="2772" w:right="2782"/>
        <w:jc w:val="center"/>
      </w:pPr>
      <w:r w:rsidRPr="00BD0404">
        <w:t>Concepto unificado CU ─ 003 de 2020</w:t>
      </w:r>
    </w:p>
    <w:p w14:paraId="40CA8809" w14:textId="77777777" w:rsidR="00C33338" w:rsidRPr="00BD0404" w:rsidRDefault="00C33338">
      <w:pPr>
        <w:pStyle w:val="Textoindependiente"/>
        <w:rPr>
          <w:b/>
          <w:sz w:val="20"/>
        </w:rPr>
      </w:pPr>
    </w:p>
    <w:p w14:paraId="34D19424" w14:textId="77777777" w:rsidR="00C33338" w:rsidRPr="00BD0404" w:rsidRDefault="00C33338">
      <w:pPr>
        <w:pStyle w:val="Textoindependiente"/>
        <w:spacing w:before="6"/>
        <w:rPr>
          <w:b/>
          <w:sz w:val="24"/>
        </w:rPr>
      </w:pPr>
    </w:p>
    <w:tbl>
      <w:tblPr>
        <w:tblStyle w:val="NormalTable0"/>
        <w:tblW w:w="0" w:type="auto"/>
        <w:tblInd w:w="108" w:type="dxa"/>
        <w:tblLayout w:type="fixed"/>
        <w:tblLook w:val="01E0" w:firstRow="1" w:lastRow="1" w:firstColumn="1" w:lastColumn="1" w:noHBand="0" w:noVBand="0"/>
      </w:tblPr>
      <w:tblGrid>
        <w:gridCol w:w="2169"/>
        <w:gridCol w:w="7163"/>
      </w:tblGrid>
      <w:tr w:rsidR="00BD0404" w:rsidRPr="00BD0404" w14:paraId="3DEDF73E" w14:textId="77777777">
        <w:trPr>
          <w:trHeight w:val="756"/>
        </w:trPr>
        <w:tc>
          <w:tcPr>
            <w:tcW w:w="2169" w:type="dxa"/>
          </w:tcPr>
          <w:p w14:paraId="672CFEDE" w14:textId="77777777" w:rsidR="00C33338" w:rsidRPr="00BD0404" w:rsidRDefault="001852D0">
            <w:pPr>
              <w:pStyle w:val="TableParagraph"/>
              <w:ind w:left="200"/>
              <w:rPr>
                <w:b/>
              </w:rPr>
            </w:pPr>
            <w:r w:rsidRPr="00BD0404">
              <w:rPr>
                <w:b/>
              </w:rPr>
              <w:t>Temas:</w:t>
            </w:r>
          </w:p>
        </w:tc>
        <w:tc>
          <w:tcPr>
            <w:tcW w:w="7163" w:type="dxa"/>
          </w:tcPr>
          <w:p w14:paraId="443A8A07" w14:textId="77777777" w:rsidR="00C33338" w:rsidRPr="00BD0404" w:rsidRDefault="001852D0">
            <w:pPr>
              <w:pStyle w:val="TableParagraph"/>
            </w:pPr>
            <w:r w:rsidRPr="00BD0404">
              <w:t>PUBLICIDAD SECOP – Entidades de régimen especial –</w:t>
            </w:r>
          </w:p>
          <w:p w14:paraId="14CE004B" w14:textId="77777777" w:rsidR="00C33338" w:rsidRPr="00BD0404" w:rsidRDefault="001852D0">
            <w:pPr>
              <w:pStyle w:val="TableParagraph"/>
              <w:tabs>
                <w:tab w:val="left" w:pos="2195"/>
                <w:tab w:val="left" w:pos="2492"/>
                <w:tab w:val="left" w:pos="3484"/>
                <w:tab w:val="left" w:pos="5740"/>
                <w:tab w:val="left" w:pos="6100"/>
                <w:tab w:val="left" w:pos="6899"/>
              </w:tabs>
              <w:spacing w:before="6" w:line="252" w:lineRule="exact"/>
              <w:ind w:right="200"/>
            </w:pPr>
            <w:r w:rsidRPr="00BD0404">
              <w:t>Documentos</w:t>
            </w:r>
            <w:r w:rsidRPr="00BD0404">
              <w:tab/>
              <w:t>/</w:t>
            </w:r>
            <w:r w:rsidRPr="00BD0404">
              <w:tab/>
              <w:t>ACTOS</w:t>
            </w:r>
            <w:r w:rsidRPr="00BD0404">
              <w:tab/>
              <w:t>ADMINISTRATIVOS</w:t>
            </w:r>
            <w:r w:rsidRPr="00BD0404">
              <w:tab/>
              <w:t>–</w:t>
            </w:r>
            <w:r w:rsidRPr="00BD0404">
              <w:tab/>
              <w:t>Firma</w:t>
            </w:r>
            <w:r w:rsidRPr="00BD0404">
              <w:tab/>
            </w:r>
            <w:r w:rsidRPr="00BD0404">
              <w:rPr>
                <w:spacing w:val="-18"/>
              </w:rPr>
              <w:t xml:space="preserve">/ </w:t>
            </w:r>
            <w:r w:rsidRPr="00BD0404">
              <w:t>CONTRATOS ESTATALES – Firma y</w:t>
            </w:r>
            <w:r w:rsidRPr="00BD0404">
              <w:rPr>
                <w:spacing w:val="-9"/>
              </w:rPr>
              <w:t xml:space="preserve"> </w:t>
            </w:r>
            <w:r w:rsidRPr="00BD0404">
              <w:t>fecha</w:t>
            </w:r>
          </w:p>
        </w:tc>
      </w:tr>
      <w:tr w:rsidR="00C33338" w:rsidRPr="00BD0404" w14:paraId="234DB8DB" w14:textId="77777777">
        <w:trPr>
          <w:trHeight w:val="501"/>
        </w:trPr>
        <w:tc>
          <w:tcPr>
            <w:tcW w:w="2169" w:type="dxa"/>
          </w:tcPr>
          <w:p w14:paraId="6D32CFA0" w14:textId="77777777" w:rsidR="00C33338" w:rsidRPr="00BD0404" w:rsidRDefault="001852D0">
            <w:pPr>
              <w:pStyle w:val="TableParagraph"/>
              <w:spacing w:line="249" w:lineRule="exact"/>
              <w:ind w:left="200"/>
              <w:rPr>
                <w:b/>
              </w:rPr>
            </w:pPr>
            <w:r w:rsidRPr="00BD0404">
              <w:rPr>
                <w:b/>
              </w:rPr>
              <w:lastRenderedPageBreak/>
              <w:t>Radicación:</w:t>
            </w:r>
          </w:p>
        </w:tc>
        <w:tc>
          <w:tcPr>
            <w:tcW w:w="7163" w:type="dxa"/>
          </w:tcPr>
          <w:p w14:paraId="51541F9D" w14:textId="77777777" w:rsidR="00C33338" w:rsidRPr="00BD0404" w:rsidRDefault="001852D0">
            <w:pPr>
              <w:pStyle w:val="TableParagraph"/>
              <w:tabs>
                <w:tab w:val="left" w:pos="2075"/>
                <w:tab w:val="left" w:pos="2500"/>
                <w:tab w:val="left" w:pos="3732"/>
                <w:tab w:val="left" w:pos="4157"/>
                <w:tab w:val="left" w:pos="6418"/>
                <w:tab w:val="left" w:pos="6830"/>
              </w:tabs>
              <w:spacing w:before="1" w:line="252" w:lineRule="exact"/>
              <w:ind w:right="207"/>
            </w:pPr>
            <w:r w:rsidRPr="00BD0404">
              <w:t>Respuesta</w:t>
            </w:r>
            <w:r w:rsidRPr="00BD0404">
              <w:tab/>
              <w:t>a</w:t>
            </w:r>
            <w:r w:rsidRPr="00BD0404">
              <w:tab/>
              <w:t>consultas</w:t>
            </w:r>
            <w:r w:rsidRPr="00BD0404">
              <w:tab/>
              <w:t>#</w:t>
            </w:r>
            <w:r w:rsidRPr="00BD0404">
              <w:tab/>
              <w:t>4201912000008073</w:t>
            </w:r>
            <w:r w:rsidRPr="00BD0404">
              <w:tab/>
              <w:t>y</w:t>
            </w:r>
            <w:r w:rsidRPr="00BD0404">
              <w:tab/>
            </w:r>
            <w:r w:rsidRPr="00BD0404">
              <w:rPr>
                <w:spacing w:val="-17"/>
              </w:rPr>
              <w:t xml:space="preserve"># </w:t>
            </w:r>
            <w:r w:rsidRPr="00BD0404">
              <w:t>420201200000029</w:t>
            </w:r>
          </w:p>
        </w:tc>
      </w:tr>
    </w:tbl>
    <w:p w14:paraId="77B975D5" w14:textId="77777777" w:rsidR="00C33338" w:rsidRPr="00BD0404" w:rsidRDefault="00C33338">
      <w:pPr>
        <w:pStyle w:val="Textoindependiente"/>
        <w:spacing w:before="3"/>
        <w:rPr>
          <w:b/>
          <w:sz w:val="17"/>
        </w:rPr>
      </w:pPr>
    </w:p>
    <w:p w14:paraId="20EA6923" w14:textId="77777777" w:rsidR="00C33338" w:rsidRPr="00BD0404" w:rsidRDefault="001852D0">
      <w:pPr>
        <w:pStyle w:val="Textoindependiente"/>
        <w:spacing w:before="93"/>
        <w:ind w:left="300"/>
        <w:jc w:val="both"/>
      </w:pPr>
      <w:r w:rsidRPr="00BD0404">
        <w:t>Estimado señor Riascos,</w:t>
      </w:r>
    </w:p>
    <w:p w14:paraId="5BD027D3" w14:textId="77777777" w:rsidR="00C33338" w:rsidRPr="00BD0404" w:rsidRDefault="00C33338">
      <w:pPr>
        <w:pStyle w:val="Textoindependiente"/>
        <w:spacing w:before="6"/>
        <w:rPr>
          <w:sz w:val="28"/>
        </w:rPr>
      </w:pPr>
    </w:p>
    <w:p w14:paraId="5B94A7C3" w14:textId="77777777" w:rsidR="00C33338" w:rsidRPr="00BD0404" w:rsidRDefault="001852D0">
      <w:pPr>
        <w:pStyle w:val="Textoindependiente"/>
        <w:spacing w:line="276" w:lineRule="auto"/>
        <w:ind w:left="300" w:right="307"/>
        <w:jc w:val="both"/>
      </w:pPr>
      <w:r w:rsidRPr="00BD0404">
        <w:t>La Agencia Nacional de Contratación Pública ─Colombia Compra Eficiente responde sus consultas del 2 de diciembre de 2019 y 3 de enero de 2020, en ejercicio de la competencia otorgada por el numeral 8 del artículo 11 y el numeral 5 del artículo 3 del Decreto Ley 4170 de 2011.</w:t>
      </w:r>
    </w:p>
    <w:p w14:paraId="70F4C312" w14:textId="77777777" w:rsidR="00C33338" w:rsidRPr="00BD0404" w:rsidRDefault="00C33338">
      <w:pPr>
        <w:pStyle w:val="Textoindependiente"/>
        <w:spacing w:before="4"/>
        <w:rPr>
          <w:sz w:val="25"/>
        </w:rPr>
      </w:pPr>
    </w:p>
    <w:p w14:paraId="78EC8491" w14:textId="77777777" w:rsidR="00C33338" w:rsidRPr="00BD0404" w:rsidRDefault="001852D0">
      <w:pPr>
        <w:pStyle w:val="Ttulo1"/>
        <w:numPr>
          <w:ilvl w:val="0"/>
          <w:numId w:val="3"/>
        </w:numPr>
        <w:tabs>
          <w:tab w:val="left" w:pos="586"/>
        </w:tabs>
        <w:ind w:hanging="286"/>
      </w:pPr>
      <w:r w:rsidRPr="00BD0404">
        <w:t>Problemas</w:t>
      </w:r>
      <w:r w:rsidRPr="00BD0404">
        <w:rPr>
          <w:spacing w:val="-2"/>
        </w:rPr>
        <w:t xml:space="preserve"> </w:t>
      </w:r>
      <w:r w:rsidRPr="00BD0404">
        <w:t>planteados</w:t>
      </w:r>
    </w:p>
    <w:p w14:paraId="24A6B8C5" w14:textId="77777777" w:rsidR="00C33338" w:rsidRPr="00BD0404" w:rsidRDefault="00C33338">
      <w:pPr>
        <w:pStyle w:val="Textoindependiente"/>
        <w:spacing w:before="7"/>
        <w:rPr>
          <w:b/>
          <w:sz w:val="28"/>
        </w:rPr>
      </w:pPr>
    </w:p>
    <w:p w14:paraId="2B0B2E6A" w14:textId="77777777" w:rsidR="00C33338" w:rsidRPr="00BD0404" w:rsidRDefault="001852D0">
      <w:pPr>
        <w:pStyle w:val="Textoindependiente"/>
        <w:spacing w:line="276" w:lineRule="auto"/>
        <w:ind w:left="300" w:right="308"/>
        <w:jc w:val="both"/>
      </w:pPr>
      <w:r w:rsidRPr="00BD0404">
        <w:t>Usted formula las siguientes preguntas: i) ¿cuál es la norma y los documentos de contratación que deben publicar en el SECOP I, las Empresas Industriales y Comerciales del Estado? ii) ¿los contratos y documentos del proceso se pueden publicar sin fechas y sin firmas en el SECOP I? Si es así, ¿cuál es la norma que</w:t>
      </w:r>
      <w:r w:rsidRPr="00BD0404">
        <w:rPr>
          <w:spacing w:val="-19"/>
        </w:rPr>
        <w:t xml:space="preserve"> </w:t>
      </w:r>
      <w:r w:rsidRPr="00BD0404">
        <w:t>autoriza?</w:t>
      </w:r>
    </w:p>
    <w:p w14:paraId="670071F8" w14:textId="77777777" w:rsidR="00C33338" w:rsidRPr="00BD0404" w:rsidRDefault="00C33338">
      <w:pPr>
        <w:pStyle w:val="Textoindependiente"/>
        <w:spacing w:before="4"/>
        <w:rPr>
          <w:sz w:val="25"/>
        </w:rPr>
      </w:pPr>
    </w:p>
    <w:p w14:paraId="172132A7" w14:textId="77777777" w:rsidR="00C33338" w:rsidRPr="00BD0404" w:rsidRDefault="001852D0">
      <w:pPr>
        <w:pStyle w:val="Ttulo1"/>
        <w:numPr>
          <w:ilvl w:val="0"/>
          <w:numId w:val="3"/>
        </w:numPr>
        <w:tabs>
          <w:tab w:val="left" w:pos="586"/>
        </w:tabs>
        <w:spacing w:before="1"/>
        <w:ind w:hanging="286"/>
      </w:pPr>
      <w:r w:rsidRPr="00BD0404">
        <w:t>Consideraciones</w:t>
      </w:r>
    </w:p>
    <w:p w14:paraId="6FA0F84C" w14:textId="77777777" w:rsidR="00C33338" w:rsidRPr="00BD0404" w:rsidRDefault="00C33338">
      <w:pPr>
        <w:pStyle w:val="Textoindependiente"/>
        <w:spacing w:before="7"/>
        <w:rPr>
          <w:b/>
          <w:sz w:val="28"/>
        </w:rPr>
      </w:pPr>
    </w:p>
    <w:p w14:paraId="69C0F55E" w14:textId="2E12A05D" w:rsidR="00C33338" w:rsidRPr="00BD0404" w:rsidRDefault="001852D0" w:rsidP="00BD0404">
      <w:pPr>
        <w:pStyle w:val="Textoindependiente"/>
        <w:spacing w:line="276" w:lineRule="auto"/>
        <w:ind w:left="300" w:right="310"/>
        <w:jc w:val="both"/>
      </w:pPr>
      <w:r w:rsidRPr="00BD0404">
        <w:t>Para desarrollar los problemas planteados se explicará, en primer lugar, cómo el SECOP es la plataforma que las entidades deben utilizar para publicar la actividad contractual, para luego determinar los documentos contractuales que deben publicar las Empresas Industriales</w:t>
      </w:r>
      <w:r w:rsidRPr="00BD0404">
        <w:rPr>
          <w:spacing w:val="10"/>
        </w:rPr>
        <w:t xml:space="preserve"> </w:t>
      </w:r>
      <w:r w:rsidRPr="00BD0404">
        <w:t>y</w:t>
      </w:r>
      <w:r w:rsidRPr="00BD0404">
        <w:rPr>
          <w:spacing w:val="8"/>
        </w:rPr>
        <w:t xml:space="preserve"> </w:t>
      </w:r>
      <w:r w:rsidRPr="00BD0404">
        <w:t>Comerciales</w:t>
      </w:r>
      <w:r w:rsidRPr="00BD0404">
        <w:rPr>
          <w:spacing w:val="10"/>
        </w:rPr>
        <w:t xml:space="preserve"> </w:t>
      </w:r>
      <w:r w:rsidRPr="00BD0404">
        <w:t>del</w:t>
      </w:r>
      <w:r w:rsidRPr="00BD0404">
        <w:rPr>
          <w:spacing w:val="12"/>
        </w:rPr>
        <w:t xml:space="preserve"> </w:t>
      </w:r>
      <w:r w:rsidRPr="00BD0404">
        <w:t>Estado</w:t>
      </w:r>
      <w:r w:rsidRPr="00BD0404">
        <w:rPr>
          <w:spacing w:val="11"/>
        </w:rPr>
        <w:t xml:space="preserve"> </w:t>
      </w:r>
      <w:r w:rsidRPr="00BD0404">
        <w:t>en</w:t>
      </w:r>
      <w:r w:rsidRPr="00BD0404">
        <w:rPr>
          <w:spacing w:val="11"/>
        </w:rPr>
        <w:t xml:space="preserve"> </w:t>
      </w:r>
      <w:r w:rsidRPr="00BD0404">
        <w:t>el</w:t>
      </w:r>
      <w:r w:rsidRPr="00BD0404">
        <w:rPr>
          <w:spacing w:val="11"/>
        </w:rPr>
        <w:t xml:space="preserve"> </w:t>
      </w:r>
      <w:r w:rsidRPr="00BD0404">
        <w:t>SECOP</w:t>
      </w:r>
      <w:r w:rsidRPr="00BD0404">
        <w:rPr>
          <w:spacing w:val="12"/>
        </w:rPr>
        <w:t xml:space="preserve"> </w:t>
      </w:r>
      <w:r w:rsidRPr="00BD0404">
        <w:t>I,</w:t>
      </w:r>
      <w:r w:rsidRPr="00BD0404">
        <w:rPr>
          <w:spacing w:val="12"/>
        </w:rPr>
        <w:t xml:space="preserve"> </w:t>
      </w:r>
      <w:r w:rsidRPr="00BD0404">
        <w:t>y</w:t>
      </w:r>
      <w:r w:rsidRPr="00BD0404">
        <w:rPr>
          <w:spacing w:val="8"/>
        </w:rPr>
        <w:t xml:space="preserve"> </w:t>
      </w:r>
      <w:r w:rsidRPr="00BD0404">
        <w:t>por</w:t>
      </w:r>
      <w:r w:rsidRPr="00BD0404">
        <w:rPr>
          <w:spacing w:val="10"/>
        </w:rPr>
        <w:t xml:space="preserve"> </w:t>
      </w:r>
      <w:r w:rsidRPr="00BD0404">
        <w:t>último,</w:t>
      </w:r>
      <w:r w:rsidRPr="00BD0404">
        <w:rPr>
          <w:spacing w:val="10"/>
        </w:rPr>
        <w:t xml:space="preserve"> </w:t>
      </w:r>
      <w:r w:rsidRPr="00BD0404">
        <w:t>indicar</w:t>
      </w:r>
      <w:r w:rsidRPr="00BD0404">
        <w:rPr>
          <w:spacing w:val="10"/>
        </w:rPr>
        <w:t xml:space="preserve"> </w:t>
      </w:r>
      <w:r w:rsidRPr="00BD0404">
        <w:t>el</w:t>
      </w:r>
      <w:r w:rsidRPr="00BD0404">
        <w:rPr>
          <w:spacing w:val="11"/>
        </w:rPr>
        <w:t xml:space="preserve"> </w:t>
      </w:r>
      <w:r w:rsidRPr="00BD0404">
        <w:t>momento</w:t>
      </w:r>
      <w:r w:rsidRPr="00BD0404">
        <w:rPr>
          <w:spacing w:val="11"/>
        </w:rPr>
        <w:t xml:space="preserve"> </w:t>
      </w:r>
      <w:r w:rsidRPr="00BD0404">
        <w:t>de</w:t>
      </w:r>
      <w:r w:rsidR="00BD0404">
        <w:t xml:space="preserve"> </w:t>
      </w:r>
      <w:r w:rsidRPr="00BD0404">
        <w:t>su publicación. En segundo lugar, se analizará si la firma o la fecha de los actos administrativos o contratos son requisitos de existencia o validez.</w:t>
      </w:r>
    </w:p>
    <w:p w14:paraId="2A9200B9" w14:textId="77777777" w:rsidR="00C33338" w:rsidRPr="00BD0404" w:rsidRDefault="00C33338">
      <w:pPr>
        <w:pStyle w:val="Textoindependiente"/>
        <w:spacing w:before="1"/>
        <w:rPr>
          <w:sz w:val="25"/>
        </w:rPr>
      </w:pPr>
    </w:p>
    <w:p w14:paraId="3E32906D" w14:textId="77777777" w:rsidR="00C33338" w:rsidRPr="00BD0404" w:rsidRDefault="001852D0">
      <w:pPr>
        <w:pStyle w:val="Ttulo1"/>
        <w:numPr>
          <w:ilvl w:val="1"/>
          <w:numId w:val="3"/>
        </w:numPr>
        <w:tabs>
          <w:tab w:val="left" w:pos="738"/>
        </w:tabs>
        <w:spacing w:line="276" w:lineRule="auto"/>
        <w:ind w:right="306" w:firstLine="0"/>
      </w:pPr>
      <w:r w:rsidRPr="00BD0404">
        <w:t>Publicidad de los contratos en el Sistema Electrónico de Contratación Pública – SECOP–</w:t>
      </w:r>
    </w:p>
    <w:p w14:paraId="34DB698F" w14:textId="77777777" w:rsidR="00C33338" w:rsidRPr="00BD0404" w:rsidRDefault="00C33338">
      <w:pPr>
        <w:pStyle w:val="Textoindependiente"/>
        <w:spacing w:before="3"/>
        <w:rPr>
          <w:b/>
          <w:sz w:val="25"/>
        </w:rPr>
      </w:pPr>
    </w:p>
    <w:p w14:paraId="606D631F" w14:textId="77777777" w:rsidR="00C33338" w:rsidRPr="00BD0404" w:rsidRDefault="001852D0">
      <w:pPr>
        <w:pStyle w:val="Textoindependiente"/>
        <w:spacing w:line="276" w:lineRule="auto"/>
        <w:ind w:left="300" w:right="309"/>
        <w:jc w:val="both"/>
      </w:pPr>
      <w:r w:rsidRPr="00BD0404">
        <w:t>La Agencia Nacional de Contratación Pública estudió por primera vez este tema en la consulta No. 4201913000005397 del 9 de agosto de 2019 y reiteró la posición en las siguientes consultas: 4201912000006611 del 25 de septiembre de 2019,</w:t>
      </w:r>
    </w:p>
    <w:p w14:paraId="5F8083BC" w14:textId="77777777" w:rsidR="00C33338" w:rsidRPr="00BD0404" w:rsidRDefault="001852D0">
      <w:pPr>
        <w:pStyle w:val="Textoindependiente"/>
        <w:spacing w:line="276" w:lineRule="auto"/>
        <w:ind w:left="300" w:right="304"/>
        <w:jc w:val="both"/>
      </w:pPr>
      <w:r w:rsidRPr="00BD0404">
        <w:t>4201913000006847 del 4 de octubre de 2019, 4201912000007762 del 18 de noviembre de 2019, y finalmente en la consulta 4201912000007828 del 13 de noviembre de 2019. En todas sostuvo la idea que se reitera a continuación:</w:t>
      </w:r>
    </w:p>
    <w:p w14:paraId="604ABD94" w14:textId="77777777" w:rsidR="00C33338" w:rsidRPr="00BD0404" w:rsidRDefault="001852D0">
      <w:pPr>
        <w:pStyle w:val="Textoindependiente"/>
        <w:spacing w:line="276" w:lineRule="auto"/>
        <w:ind w:left="300" w:right="304" w:firstLine="709"/>
        <w:jc w:val="both"/>
      </w:pPr>
      <w:r w:rsidRPr="00BD0404">
        <w:t>Para la Corte Constitucional, el principio de publicidad es la garantía que tienen las personas de conocer las actuaciones judiciales y administrativas y con base en ese conocimiento tener la posibilidad de exigir que se surtan conforme a la ley:</w:t>
      </w:r>
    </w:p>
    <w:p w14:paraId="2E57C164" w14:textId="77777777" w:rsidR="00C33338" w:rsidRPr="00BD0404" w:rsidRDefault="00C33338">
      <w:pPr>
        <w:pStyle w:val="Textoindependiente"/>
        <w:spacing w:before="10"/>
        <w:rPr>
          <w:sz w:val="21"/>
        </w:rPr>
      </w:pPr>
    </w:p>
    <w:p w14:paraId="77A2DF02" w14:textId="77777777" w:rsidR="00C33338" w:rsidRPr="00BD0404" w:rsidRDefault="001852D0">
      <w:pPr>
        <w:ind w:left="1010" w:right="1019"/>
        <w:jc w:val="both"/>
        <w:rPr>
          <w:sz w:val="21"/>
        </w:rPr>
      </w:pPr>
      <w:r w:rsidRPr="00BD0404">
        <w:rPr>
          <w:sz w:val="21"/>
        </w:rPr>
        <w:t>El principio de publicidad se encuentra consagrado en el artículo 209 de la Constitución Política, que señala que la función administrativa está al servicio de los intereses generales y se desarrolla con fundamento entre otros, en el</w:t>
      </w:r>
    </w:p>
    <w:p w14:paraId="3E524D15" w14:textId="77777777" w:rsidR="00C33338" w:rsidRPr="00BD0404" w:rsidRDefault="001852D0">
      <w:pPr>
        <w:spacing w:before="1"/>
        <w:ind w:left="1010"/>
        <w:jc w:val="both"/>
        <w:rPr>
          <w:sz w:val="21"/>
        </w:rPr>
      </w:pPr>
      <w:r w:rsidRPr="00BD0404">
        <w:rPr>
          <w:sz w:val="21"/>
        </w:rPr>
        <w:lastRenderedPageBreak/>
        <w:t>«principio de publicidad», el cual se evidencia en dos dimensiones.</w:t>
      </w:r>
    </w:p>
    <w:p w14:paraId="7663F41E" w14:textId="77777777" w:rsidR="00C33338" w:rsidRPr="00BD0404" w:rsidRDefault="00C33338">
      <w:pPr>
        <w:pStyle w:val="Textoindependiente"/>
        <w:rPr>
          <w:sz w:val="21"/>
        </w:rPr>
      </w:pPr>
    </w:p>
    <w:p w14:paraId="73992CC3" w14:textId="3413D10F" w:rsidR="00C33338" w:rsidRPr="00BD0404" w:rsidRDefault="001852D0">
      <w:pPr>
        <w:ind w:left="1010" w:right="1012"/>
        <w:jc w:val="both"/>
        <w:rPr>
          <w:sz w:val="21"/>
        </w:rPr>
      </w:pPr>
      <w:r w:rsidRPr="00BD0404">
        <w:rPr>
          <w:sz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w:t>
      </w:r>
      <w:r w:rsidRPr="00BD0404">
        <w:rPr>
          <w:spacing w:val="-9"/>
          <w:sz w:val="21"/>
        </w:rPr>
        <w:t xml:space="preserve"> </w:t>
      </w:r>
      <w:r w:rsidRPr="00BD0404">
        <w:rPr>
          <w:sz w:val="21"/>
        </w:rPr>
        <w:t>ley</w:t>
      </w:r>
      <w:r w:rsidR="00BD0404">
        <w:rPr>
          <w:rStyle w:val="Refdenotaalpie"/>
          <w:sz w:val="21"/>
        </w:rPr>
        <w:footnoteReference w:id="1"/>
      </w:r>
      <w:r w:rsidRPr="00BD0404">
        <w:rPr>
          <w:sz w:val="21"/>
        </w:rPr>
        <w:t>.</w:t>
      </w:r>
    </w:p>
    <w:p w14:paraId="56573D6F" w14:textId="77777777" w:rsidR="00C33338" w:rsidRPr="00BD0404" w:rsidRDefault="00C33338">
      <w:pPr>
        <w:pStyle w:val="Textoindependiente"/>
        <w:rPr>
          <w:sz w:val="25"/>
        </w:rPr>
      </w:pPr>
    </w:p>
    <w:p w14:paraId="6BDCAA42" w14:textId="77777777" w:rsidR="00C33338" w:rsidRPr="00BD0404" w:rsidRDefault="001852D0">
      <w:pPr>
        <w:pStyle w:val="Textoindependiente"/>
        <w:spacing w:line="276" w:lineRule="auto"/>
        <w:ind w:left="300" w:right="309" w:firstLine="709"/>
        <w:jc w:val="both"/>
      </w:pPr>
      <w:r w:rsidRPr="00BD0404">
        <w:t>El principio de publicidad impone a las autoridades administrativas el deber de dar a conocer sus actos, contratos y decisiones, para que se divulguen y eventualmente se controlen las actuaciones.</w:t>
      </w:r>
    </w:p>
    <w:p w14:paraId="5F9D7E45" w14:textId="46BA899A" w:rsidR="00C33338" w:rsidRDefault="001852D0" w:rsidP="00BD0404">
      <w:pPr>
        <w:pStyle w:val="Textoindependiente"/>
        <w:spacing w:line="276" w:lineRule="auto"/>
        <w:ind w:left="300" w:right="311" w:firstLine="709"/>
        <w:jc w:val="both"/>
      </w:pPr>
      <w:r w:rsidRPr="00BD0404">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00BD0404">
        <w:rPr>
          <w:rStyle w:val="Refdenotaalpie"/>
        </w:rPr>
        <w:footnoteReference w:id="2"/>
      </w:r>
      <w:r w:rsidRPr="00BD0404">
        <w:t>.</w:t>
      </w:r>
    </w:p>
    <w:p w14:paraId="7D3DA106" w14:textId="77777777" w:rsidR="00BD0404" w:rsidRPr="00BD0404" w:rsidRDefault="00BD0404" w:rsidP="00BD0404">
      <w:pPr>
        <w:pStyle w:val="Textoindependiente"/>
        <w:spacing w:line="276" w:lineRule="auto"/>
        <w:ind w:left="300" w:right="311" w:firstLine="709"/>
        <w:jc w:val="both"/>
        <w:rPr>
          <w:sz w:val="16"/>
        </w:rPr>
      </w:pPr>
    </w:p>
    <w:p w14:paraId="38020C9E" w14:textId="44F0E6FB" w:rsidR="00C33338" w:rsidRPr="00BD0404" w:rsidRDefault="001852D0">
      <w:pPr>
        <w:pStyle w:val="Textoindependiente"/>
        <w:spacing w:before="93" w:line="276" w:lineRule="auto"/>
        <w:ind w:left="300" w:right="309" w:firstLine="709"/>
        <w:jc w:val="both"/>
      </w:pPr>
      <w:r w:rsidRPr="00BD0404">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00BD0404">
        <w:rPr>
          <w:rStyle w:val="Refdenotaalpie"/>
        </w:rPr>
        <w:footnoteReference w:id="3"/>
      </w:r>
      <w:r w:rsidRPr="00BD0404">
        <w:t xml:space="preserve">. El principio de transparencia en la información alude al deber de los </w:t>
      </w:r>
      <w:r w:rsidRPr="00BD0404">
        <w:lastRenderedPageBreak/>
        <w:t>sujetos de proporcionar y facilitar el acceso a la misma en los términos más amplios posibles, y a través de los medios y procedimientos que establezca la</w:t>
      </w:r>
      <w:r w:rsidRPr="00BD0404">
        <w:rPr>
          <w:spacing w:val="-2"/>
        </w:rPr>
        <w:t xml:space="preserve"> </w:t>
      </w:r>
      <w:r w:rsidRPr="00BD0404">
        <w:t>ley.</w:t>
      </w:r>
    </w:p>
    <w:p w14:paraId="593C5A68" w14:textId="52BCF478" w:rsidR="00C33338" w:rsidRPr="00BD0404" w:rsidRDefault="001852D0" w:rsidP="00BD0404">
      <w:pPr>
        <w:pStyle w:val="Textoindependiente"/>
        <w:spacing w:before="2" w:line="276" w:lineRule="auto"/>
        <w:ind w:left="300" w:right="304" w:firstLine="709"/>
        <w:jc w:val="both"/>
      </w:pPr>
      <w:r w:rsidRPr="00BD0404">
        <w:t>La ley citada establece, en el literal e) del artículo 9, que los sujetos obligados, que son todas las entidades públicas</w:t>
      </w:r>
      <w:r w:rsidR="00BD0404">
        <w:rPr>
          <w:rStyle w:val="Refdenotaalpie"/>
        </w:rPr>
        <w:footnoteReference w:id="4"/>
      </w:r>
      <w:r w:rsidRPr="00BD0404">
        <w:t>, deben publicar la información relativa a su contratación. Esta obligación fue desarrollada por el Decreto Único Reglamentario 1081 de 2015</w:t>
      </w:r>
      <w:r w:rsidR="00BD0404">
        <w:rPr>
          <w:rStyle w:val="Refdenotaalpie"/>
        </w:rPr>
        <w:footnoteReference w:id="5"/>
      </w:r>
      <w:r w:rsidRPr="00BD0404">
        <w:t>, el  cual dispuso que la publicación de la información contractual de los sujetos obligados,</w:t>
      </w:r>
      <w:r w:rsidRPr="00BD0404">
        <w:rPr>
          <w:spacing w:val="3"/>
        </w:rPr>
        <w:t xml:space="preserve"> </w:t>
      </w:r>
      <w:r w:rsidRPr="00BD0404">
        <w:t>que</w:t>
      </w:r>
      <w:r w:rsidR="00BD0404">
        <w:t xml:space="preserve"> </w:t>
      </w:r>
      <w:r w:rsidRPr="00BD0404">
        <w:t>contratan con cargo a recursos públicos, debe hacerse en el Sistema Electrónico de Contratación Pública ─ SECOP.</w:t>
      </w:r>
    </w:p>
    <w:p w14:paraId="7B652CDB" w14:textId="77777777" w:rsidR="00C33338" w:rsidRPr="00BD0404" w:rsidRDefault="001852D0">
      <w:pPr>
        <w:pStyle w:val="Textoindependiente"/>
        <w:spacing w:line="276" w:lineRule="auto"/>
        <w:ind w:left="300" w:right="307" w:firstLine="709"/>
        <w:jc w:val="both"/>
      </w:pPr>
      <w:r w:rsidRPr="00BD0404">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p>
    <w:p w14:paraId="7376CF08" w14:textId="2D3B4B2D" w:rsidR="00C33338" w:rsidRPr="00BD0404" w:rsidRDefault="001852D0">
      <w:pPr>
        <w:pStyle w:val="Textoindependiente"/>
        <w:spacing w:line="276" w:lineRule="auto"/>
        <w:ind w:left="300" w:right="305" w:firstLine="709"/>
        <w:jc w:val="both"/>
      </w:pPr>
      <w:r w:rsidRPr="00BD0404">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00BD0404">
        <w:rPr>
          <w:rStyle w:val="Refdenotaalpie"/>
        </w:rPr>
        <w:footnoteReference w:id="6"/>
      </w:r>
      <w:r w:rsidRPr="00BD0404">
        <w:t>.</w:t>
      </w:r>
    </w:p>
    <w:p w14:paraId="2FF16151" w14:textId="1C1F8E80" w:rsidR="00C33338" w:rsidRPr="00BD0404" w:rsidRDefault="001852D0">
      <w:pPr>
        <w:pStyle w:val="Textoindependiente"/>
        <w:spacing w:line="276" w:lineRule="auto"/>
        <w:ind w:left="300" w:right="304" w:firstLine="709"/>
        <w:jc w:val="both"/>
      </w:pPr>
      <w:r w:rsidRPr="00BD0404">
        <w:t>Para el año 2013, la Agencia Nacional de Contratación Pública ─ Colombia Compra Eficiente, mediante la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00BD0404">
        <w:rPr>
          <w:rStyle w:val="Refdenotaalpie"/>
        </w:rPr>
        <w:footnoteReference w:id="7"/>
      </w:r>
      <w:r w:rsidRPr="00BD0404">
        <w:t xml:space="preserve">. </w:t>
      </w:r>
      <w:r w:rsidRPr="00BD0404">
        <w:lastRenderedPageBreak/>
        <w:t>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w:t>
      </w:r>
      <w:r w:rsidRPr="00BD0404">
        <w:rPr>
          <w:spacing w:val="-23"/>
        </w:rPr>
        <w:t xml:space="preserve"> </w:t>
      </w:r>
      <w:r w:rsidRPr="00BD0404">
        <w:t>contratación».</w:t>
      </w:r>
    </w:p>
    <w:p w14:paraId="5A2F1A32" w14:textId="77777777" w:rsidR="00C33338" w:rsidRPr="00BD0404" w:rsidRDefault="001852D0">
      <w:pPr>
        <w:pStyle w:val="Textoindependiente"/>
        <w:spacing w:line="276" w:lineRule="auto"/>
        <w:ind w:left="300" w:right="306" w:firstLine="709"/>
        <w:jc w:val="both"/>
      </w:pPr>
      <w:r w:rsidRPr="00BD0404">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5C0CCBBA" w14:textId="77777777" w:rsidR="00C33338" w:rsidRPr="00BD0404" w:rsidRDefault="00C33338">
      <w:pPr>
        <w:pStyle w:val="Textoindependiente"/>
        <w:spacing w:before="10"/>
        <w:rPr>
          <w:sz w:val="24"/>
        </w:rPr>
      </w:pPr>
    </w:p>
    <w:p w14:paraId="03BBA023" w14:textId="196DBCC1" w:rsidR="00C33338" w:rsidRPr="00BD0404" w:rsidRDefault="001852D0" w:rsidP="00BD0404">
      <w:pPr>
        <w:spacing w:before="1"/>
        <w:ind w:left="1010" w:right="1012"/>
        <w:jc w:val="both"/>
        <w:rPr>
          <w:sz w:val="21"/>
        </w:rPr>
      </w:pPr>
      <w:r w:rsidRPr="00BD0404">
        <w:rPr>
          <w:sz w:val="21"/>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w:t>
      </w:r>
      <w:r w:rsidRPr="00BD0404">
        <w:rPr>
          <w:spacing w:val="11"/>
          <w:sz w:val="21"/>
        </w:rPr>
        <w:t xml:space="preserve"> </w:t>
      </w:r>
      <w:r w:rsidRPr="00BD0404">
        <w:rPr>
          <w:sz w:val="21"/>
        </w:rPr>
        <w:t>lo</w:t>
      </w:r>
      <w:r w:rsidR="00BD0404">
        <w:rPr>
          <w:sz w:val="21"/>
        </w:rPr>
        <w:t xml:space="preserve"> </w:t>
      </w:r>
      <w:r w:rsidRPr="00BD0404">
        <w:rPr>
          <w:sz w:val="21"/>
        </w:rPr>
        <w:t>que incluye, entonces, todo acto que sea expresión de ejercicio o despliegue de actividad contractual.</w:t>
      </w:r>
    </w:p>
    <w:p w14:paraId="4FFB08C0" w14:textId="77777777" w:rsidR="00C33338" w:rsidRPr="00BD0404" w:rsidRDefault="00C33338">
      <w:pPr>
        <w:pStyle w:val="Textoindependiente"/>
        <w:rPr>
          <w:sz w:val="21"/>
        </w:rPr>
      </w:pPr>
    </w:p>
    <w:p w14:paraId="6C8B83C4" w14:textId="77777777" w:rsidR="00C33338" w:rsidRPr="00BD0404" w:rsidRDefault="001852D0">
      <w:pPr>
        <w:ind w:left="1010" w:right="1020"/>
        <w:jc w:val="both"/>
        <w:rPr>
          <w:sz w:val="21"/>
        </w:rPr>
      </w:pPr>
      <w:r w:rsidRPr="00BD0404">
        <w:rPr>
          <w:sz w:val="21"/>
        </w:rPr>
        <w:t xml:space="preserve">11.5. ─Y es que, si se quiere en términos más detallados el literal c) del artículo 3o  de  la  Ley  en  comento  responde  claramente  las  siguientes </w:t>
      </w:r>
      <w:r w:rsidRPr="00BD0404">
        <w:rPr>
          <w:spacing w:val="45"/>
          <w:sz w:val="21"/>
        </w:rPr>
        <w:t xml:space="preserve"> </w:t>
      </w:r>
      <w:r w:rsidRPr="00BD0404">
        <w:rPr>
          <w:sz w:val="21"/>
        </w:rPr>
        <w:t>inquietudes:</w:t>
      </w:r>
    </w:p>
    <w:p w14:paraId="3F4AE420" w14:textId="77777777" w:rsidR="00C33338" w:rsidRPr="00BD0404" w:rsidRDefault="001852D0">
      <w:pPr>
        <w:spacing w:line="241" w:lineRule="exact"/>
        <w:ind w:left="1010"/>
        <w:jc w:val="both"/>
        <w:rPr>
          <w:sz w:val="21"/>
        </w:rPr>
      </w:pPr>
      <w:r w:rsidRPr="00BD0404">
        <w:rPr>
          <w:sz w:val="21"/>
        </w:rPr>
        <w:t>¿Quiénes</w:t>
      </w:r>
      <w:r w:rsidRPr="00BD0404">
        <w:rPr>
          <w:spacing w:val="17"/>
          <w:sz w:val="21"/>
        </w:rPr>
        <w:t xml:space="preserve"> </w:t>
      </w:r>
      <w:r w:rsidRPr="00BD0404">
        <w:rPr>
          <w:sz w:val="21"/>
        </w:rPr>
        <w:t>están</w:t>
      </w:r>
      <w:r w:rsidRPr="00BD0404">
        <w:rPr>
          <w:spacing w:val="16"/>
          <w:sz w:val="21"/>
        </w:rPr>
        <w:t xml:space="preserve"> </w:t>
      </w:r>
      <w:r w:rsidRPr="00BD0404">
        <w:rPr>
          <w:sz w:val="21"/>
        </w:rPr>
        <w:t>obligados?</w:t>
      </w:r>
      <w:r w:rsidRPr="00BD0404">
        <w:rPr>
          <w:spacing w:val="19"/>
          <w:sz w:val="21"/>
        </w:rPr>
        <w:t xml:space="preserve"> </w:t>
      </w:r>
      <w:r w:rsidRPr="00BD0404">
        <w:rPr>
          <w:sz w:val="21"/>
        </w:rPr>
        <w:t>los</w:t>
      </w:r>
      <w:r w:rsidRPr="00BD0404">
        <w:rPr>
          <w:spacing w:val="18"/>
          <w:sz w:val="21"/>
        </w:rPr>
        <w:t xml:space="preserve"> </w:t>
      </w:r>
      <w:r w:rsidRPr="00BD0404">
        <w:rPr>
          <w:sz w:val="21"/>
        </w:rPr>
        <w:t>que</w:t>
      </w:r>
      <w:r w:rsidRPr="00BD0404">
        <w:rPr>
          <w:spacing w:val="18"/>
          <w:sz w:val="21"/>
        </w:rPr>
        <w:t xml:space="preserve"> </w:t>
      </w:r>
      <w:r w:rsidRPr="00BD0404">
        <w:rPr>
          <w:sz w:val="21"/>
        </w:rPr>
        <w:t>realizan</w:t>
      </w:r>
      <w:r w:rsidRPr="00BD0404">
        <w:rPr>
          <w:spacing w:val="19"/>
          <w:sz w:val="21"/>
        </w:rPr>
        <w:t xml:space="preserve"> </w:t>
      </w:r>
      <w:r w:rsidRPr="00BD0404">
        <w:rPr>
          <w:sz w:val="21"/>
        </w:rPr>
        <w:t>contratación</w:t>
      </w:r>
      <w:r w:rsidRPr="00BD0404">
        <w:rPr>
          <w:spacing w:val="19"/>
          <w:sz w:val="21"/>
        </w:rPr>
        <w:t xml:space="preserve"> </w:t>
      </w:r>
      <w:r w:rsidRPr="00BD0404">
        <w:rPr>
          <w:sz w:val="21"/>
        </w:rPr>
        <w:t>con</w:t>
      </w:r>
      <w:r w:rsidRPr="00BD0404">
        <w:rPr>
          <w:spacing w:val="19"/>
          <w:sz w:val="21"/>
        </w:rPr>
        <w:t xml:space="preserve"> </w:t>
      </w:r>
      <w:r w:rsidRPr="00BD0404">
        <w:rPr>
          <w:sz w:val="21"/>
        </w:rPr>
        <w:t>dineros</w:t>
      </w:r>
      <w:r w:rsidRPr="00BD0404">
        <w:rPr>
          <w:spacing w:val="18"/>
          <w:sz w:val="21"/>
        </w:rPr>
        <w:t xml:space="preserve"> </w:t>
      </w:r>
      <w:r w:rsidRPr="00BD0404">
        <w:rPr>
          <w:sz w:val="21"/>
        </w:rPr>
        <w:t>públicos;</w:t>
      </w:r>
    </w:p>
    <w:p w14:paraId="371E6516" w14:textId="77777777" w:rsidR="00C33338" w:rsidRPr="00BD0404" w:rsidRDefault="001852D0">
      <w:pPr>
        <w:spacing w:before="1"/>
        <w:ind w:left="1010" w:right="1015"/>
        <w:jc w:val="both"/>
        <w:rPr>
          <w:sz w:val="21"/>
        </w:rPr>
      </w:pPr>
      <w:r w:rsidRPr="00BD0404">
        <w:rPr>
          <w:sz w:val="21"/>
        </w:rPr>
        <w:t>¿en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w:t>
      </w:r>
      <w:r w:rsidRPr="00BD0404">
        <w:rPr>
          <w:spacing w:val="-5"/>
          <w:sz w:val="21"/>
        </w:rPr>
        <w:t xml:space="preserve"> </w:t>
      </w:r>
      <w:r w:rsidRPr="00BD0404">
        <w:rPr>
          <w:sz w:val="21"/>
        </w:rPr>
        <w:t>SECOP.</w:t>
      </w:r>
    </w:p>
    <w:p w14:paraId="2418BF15" w14:textId="77777777" w:rsidR="00C33338" w:rsidRPr="00BD0404" w:rsidRDefault="001852D0">
      <w:pPr>
        <w:spacing w:before="2"/>
        <w:ind w:left="1010"/>
        <w:rPr>
          <w:sz w:val="21"/>
        </w:rPr>
      </w:pPr>
      <w:r w:rsidRPr="00BD0404">
        <w:rPr>
          <w:sz w:val="21"/>
        </w:rPr>
        <w:t>[…]</w:t>
      </w:r>
    </w:p>
    <w:p w14:paraId="6467440C" w14:textId="77777777" w:rsidR="00C33338" w:rsidRPr="00BD0404" w:rsidRDefault="00C33338">
      <w:pPr>
        <w:pStyle w:val="Textoindependiente"/>
        <w:spacing w:before="11"/>
        <w:rPr>
          <w:sz w:val="20"/>
        </w:rPr>
      </w:pPr>
    </w:p>
    <w:p w14:paraId="68AA5BC5" w14:textId="58A19AAB" w:rsidR="00C33338" w:rsidRPr="00BD0404" w:rsidRDefault="001852D0">
      <w:pPr>
        <w:ind w:left="1010" w:right="1013"/>
        <w:jc w:val="both"/>
        <w:rPr>
          <w:sz w:val="14"/>
        </w:rPr>
      </w:pPr>
      <w:r w:rsidRPr="00BD0404">
        <w:rPr>
          <w:sz w:val="21"/>
        </w:rPr>
        <w:t xml:space="preserve">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w:t>
      </w:r>
      <w:r w:rsidRPr="00BD0404">
        <w:rPr>
          <w:spacing w:val="3"/>
          <w:sz w:val="21"/>
        </w:rPr>
        <w:t xml:space="preserve">se </w:t>
      </w:r>
      <w:r w:rsidRPr="00BD0404">
        <w:rPr>
          <w:sz w:val="21"/>
        </w:rPr>
        <w:t>promueve este juicio contencioso de legalidad. Y, agrega este Despacho, este deber vino a ser reiterado [no creado] en la Ley 1712 de</w:t>
      </w:r>
      <w:r w:rsidRPr="00BD0404">
        <w:rPr>
          <w:spacing w:val="-15"/>
          <w:sz w:val="21"/>
        </w:rPr>
        <w:t xml:space="preserve"> </w:t>
      </w:r>
      <w:r w:rsidRPr="00BD0404">
        <w:rPr>
          <w:sz w:val="21"/>
        </w:rPr>
        <w:t>2014</w:t>
      </w:r>
      <w:r w:rsidR="00BD0404">
        <w:rPr>
          <w:rStyle w:val="Refdenotaalpie"/>
          <w:sz w:val="21"/>
        </w:rPr>
        <w:footnoteReference w:id="8"/>
      </w:r>
      <w:r w:rsidRPr="00BD0404">
        <w:rPr>
          <w:position w:val="7"/>
          <w:sz w:val="14"/>
        </w:rPr>
        <w:t>.</w:t>
      </w:r>
    </w:p>
    <w:p w14:paraId="6A8F857B" w14:textId="77777777" w:rsidR="00C33338" w:rsidRPr="00BD0404" w:rsidRDefault="00C33338">
      <w:pPr>
        <w:pStyle w:val="Textoindependiente"/>
        <w:spacing w:before="10"/>
        <w:rPr>
          <w:sz w:val="24"/>
        </w:rPr>
      </w:pPr>
    </w:p>
    <w:p w14:paraId="1F00B5A0" w14:textId="77777777" w:rsidR="00C33338" w:rsidRPr="00BD0404" w:rsidRDefault="001852D0">
      <w:pPr>
        <w:pStyle w:val="Textoindependiente"/>
        <w:spacing w:line="276" w:lineRule="auto"/>
        <w:ind w:left="300" w:right="311" w:firstLine="707"/>
        <w:jc w:val="both"/>
      </w:pPr>
      <w:r w:rsidRPr="00BD0404">
        <w:t xml:space="preserve">Adicionalmente, el deber de hacer pública la información contractual oficial no se determina por la naturaleza de la entidad ejecutora ─pública o privada─, ni del régimen sustantivo contractual que aplique, sea de la Ley 80 de 1993 o de los regímenes </w:t>
      </w:r>
      <w:r w:rsidRPr="00BD0404">
        <w:lastRenderedPageBreak/>
        <w:t>exceptuados. En particular, sobre el deber de publicidad de estos, el Consejo de Estado sostuvo:</w:t>
      </w:r>
    </w:p>
    <w:p w14:paraId="79446ADA" w14:textId="77777777" w:rsidR="00C33338" w:rsidRPr="00BD0404" w:rsidRDefault="00C33338">
      <w:pPr>
        <w:pStyle w:val="Textoindependiente"/>
        <w:spacing w:before="1"/>
        <w:rPr>
          <w:sz w:val="21"/>
        </w:rPr>
      </w:pPr>
    </w:p>
    <w:p w14:paraId="50C42215" w14:textId="77777777" w:rsidR="00C33338" w:rsidRPr="00BD0404" w:rsidRDefault="001852D0">
      <w:pPr>
        <w:ind w:left="1008" w:right="1019"/>
        <w:jc w:val="both"/>
        <w:rPr>
          <w:sz w:val="21"/>
        </w:rPr>
      </w:pPr>
      <w:r w:rsidRPr="00BD0404">
        <w:rPr>
          <w:sz w:val="21"/>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w:t>
      </w:r>
      <w:r w:rsidRPr="00BD0404">
        <w:rPr>
          <w:spacing w:val="-13"/>
          <w:sz w:val="21"/>
        </w:rPr>
        <w:t xml:space="preserve"> </w:t>
      </w:r>
      <w:r w:rsidRPr="00BD0404">
        <w:rPr>
          <w:sz w:val="21"/>
        </w:rPr>
        <w:t>índole.</w:t>
      </w:r>
    </w:p>
    <w:p w14:paraId="0F5C6742" w14:textId="77777777" w:rsidR="00C33338" w:rsidRPr="00BD0404" w:rsidRDefault="00C33338">
      <w:pPr>
        <w:pStyle w:val="Textoindependiente"/>
        <w:spacing w:before="2"/>
        <w:rPr>
          <w:sz w:val="24"/>
        </w:rPr>
      </w:pPr>
    </w:p>
    <w:p w14:paraId="46CB6162" w14:textId="4ECDE870" w:rsidR="00C33338" w:rsidRPr="00BD0404" w:rsidRDefault="001852D0" w:rsidP="00BD0404">
      <w:pPr>
        <w:pStyle w:val="Textoindependiente"/>
        <w:spacing w:line="276" w:lineRule="auto"/>
        <w:ind w:left="300" w:right="303" w:firstLine="707"/>
        <w:jc w:val="both"/>
      </w:pPr>
      <w:r w:rsidRPr="00BD0404">
        <w:t>Nótese, entonces, que el Consejo de Estado asumió como criterio para determinar la obligatoriedad de publicar en el SECOP que la contratación se haga con recursos públicos, conclusión que la extrajo del literal c) del artículo 3 de la Ley 1150 de 2007. Así</w:t>
      </w:r>
      <w:r w:rsidR="00BD0404">
        <w:t xml:space="preserve"> </w:t>
      </w:r>
      <w:r w:rsidRPr="00BD0404">
        <w:t>pues, a partir de la anterior decisión, la obligación de publicar en el SECOP, por parte de las entidades con régimen especial, adquirió un elemento normativo adicional a las Leyes 1150 de 2007, 1712 de 2014 y la Circular Externa Única: un pronunciamiento del Consejo de</w:t>
      </w:r>
      <w:r w:rsidRPr="00BD0404">
        <w:rPr>
          <w:spacing w:val="-2"/>
        </w:rPr>
        <w:t xml:space="preserve"> </w:t>
      </w:r>
      <w:r w:rsidRPr="00BD0404">
        <w:t>Estado.</w:t>
      </w:r>
    </w:p>
    <w:p w14:paraId="0363D61B" w14:textId="77777777" w:rsidR="00C33338" w:rsidRPr="00BD0404" w:rsidRDefault="001852D0">
      <w:pPr>
        <w:pStyle w:val="Textoindependiente"/>
        <w:spacing w:before="2" w:line="276" w:lineRule="auto"/>
        <w:ind w:left="300" w:right="307" w:firstLine="707"/>
        <w:jc w:val="both"/>
      </w:pPr>
      <w:r w:rsidRPr="00BD0404">
        <w:t>Dentro de las razones que consideró el máximo tribunal de lo contencioso administrativo no tuvo en cuenta razones de orden fáctico como las planteadas en la solicitud, relativas a las responsabilidades de las entidades o su posible afectación en la competitividad para aquellas que operan en diferentes mercados. La razón relevante es que si la entidad contrata con dineros públicos debe publicar su proceso de contratación en el</w:t>
      </w:r>
      <w:r w:rsidRPr="00BD0404">
        <w:rPr>
          <w:spacing w:val="-1"/>
        </w:rPr>
        <w:t xml:space="preserve"> </w:t>
      </w:r>
      <w:r w:rsidRPr="00BD0404">
        <w:t>SECOP.</w:t>
      </w:r>
    </w:p>
    <w:p w14:paraId="281973B2" w14:textId="77777777" w:rsidR="00C33338" w:rsidRPr="00BD0404" w:rsidRDefault="00C33338">
      <w:pPr>
        <w:pStyle w:val="Textoindependiente"/>
        <w:spacing w:before="2"/>
        <w:rPr>
          <w:sz w:val="25"/>
        </w:rPr>
      </w:pPr>
    </w:p>
    <w:p w14:paraId="73783BBE" w14:textId="77777777" w:rsidR="00C33338" w:rsidRPr="00BD0404" w:rsidRDefault="001852D0">
      <w:pPr>
        <w:pStyle w:val="Ttulo1"/>
        <w:numPr>
          <w:ilvl w:val="1"/>
          <w:numId w:val="2"/>
        </w:numPr>
        <w:tabs>
          <w:tab w:val="left" w:pos="726"/>
        </w:tabs>
        <w:spacing w:line="278" w:lineRule="auto"/>
        <w:ind w:right="313" w:firstLine="0"/>
      </w:pPr>
      <w:r w:rsidRPr="00BD0404">
        <w:t>Precedentes de Colombia Compra Eficiente sobre los documentos que publican en el SECOP las entidades de régimen</w:t>
      </w:r>
      <w:r w:rsidRPr="00BD0404">
        <w:rPr>
          <w:spacing w:val="-10"/>
        </w:rPr>
        <w:t xml:space="preserve"> </w:t>
      </w:r>
      <w:r w:rsidRPr="00BD0404">
        <w:t>especial</w:t>
      </w:r>
    </w:p>
    <w:p w14:paraId="6698DE2F" w14:textId="77777777" w:rsidR="00C33338" w:rsidRPr="00BD0404" w:rsidRDefault="00C33338">
      <w:pPr>
        <w:pStyle w:val="Textoindependiente"/>
        <w:rPr>
          <w:b/>
          <w:sz w:val="25"/>
        </w:rPr>
      </w:pPr>
    </w:p>
    <w:p w14:paraId="11909C26" w14:textId="77777777" w:rsidR="00C33338" w:rsidRPr="00BD0404" w:rsidRDefault="001852D0">
      <w:pPr>
        <w:pStyle w:val="Textoindependiente"/>
        <w:spacing w:before="1" w:line="276" w:lineRule="auto"/>
        <w:ind w:left="300" w:right="305"/>
        <w:jc w:val="both"/>
      </w:pPr>
      <w:r w:rsidRPr="00BD0404">
        <w:t>Determinada la obligación que tienen las entidades sujetas a un régimen especial de publicar su actividad contractual en el SECOP, a continuación se identificarán los documentos que deben publicar, no sin antes explicar la posición que la Agencia Nacional de Contratación Pública ─ Colombia Compra Eficiente ha adoptado desde el 2016 hasta el 2019.</w:t>
      </w:r>
    </w:p>
    <w:p w14:paraId="73C326EF" w14:textId="4F2CD04C" w:rsidR="00C33338" w:rsidRPr="00BD0404" w:rsidRDefault="001852D0">
      <w:pPr>
        <w:pStyle w:val="Textoindependiente"/>
        <w:spacing w:line="276" w:lineRule="auto"/>
        <w:ind w:left="300" w:right="307" w:firstLine="709"/>
        <w:jc w:val="both"/>
      </w:pPr>
      <w:r w:rsidRPr="00BD0404">
        <w:t>En la consulta identificada con el Radicado No. 41612000877 del 15 de febrero de 2016, señaló que las empresas industriales y comerciales del Estado, las empresas de</w:t>
      </w:r>
      <w:r w:rsidR="00BD0404">
        <w:t xml:space="preserve"> </w:t>
      </w:r>
      <w:r w:rsidRPr="00BD0404">
        <w:t xml:space="preserve">servicios públicos domiciliarios y las sociedades de economía mixta, todas sometidas a un régimen especial de contratación, debían publicar en el SECOP todos los documentos del proceso que define el Decreto 1082 de 2015, </w:t>
      </w:r>
      <w:r w:rsidR="00F75DF2" w:rsidRPr="00BD0404">
        <w:t>así</w:t>
      </w:r>
      <w:r w:rsidRPr="00BD0404">
        <w:t xml:space="preserve"> como lo relativo a la ejecución del contrato. Lo anterior se fundamentó en el literal c) del artículo 3 de la Ley 1150 de 2007</w:t>
      </w:r>
      <w:r w:rsidR="00BD0404">
        <w:rPr>
          <w:rStyle w:val="Refdenotaalpie"/>
        </w:rPr>
        <w:footnoteReference w:id="9"/>
      </w:r>
      <w:r w:rsidRPr="00BD0404">
        <w:t>.</w:t>
      </w:r>
    </w:p>
    <w:p w14:paraId="4B5FFC49" w14:textId="20E68EA7" w:rsidR="00C33338" w:rsidRPr="00BD0404" w:rsidRDefault="001852D0" w:rsidP="00BD0404">
      <w:pPr>
        <w:pStyle w:val="Textoindependiente"/>
        <w:spacing w:line="276" w:lineRule="auto"/>
        <w:ind w:left="300" w:right="302" w:firstLine="709"/>
        <w:jc w:val="both"/>
        <w:rPr>
          <w:sz w:val="16"/>
        </w:rPr>
      </w:pPr>
      <w:r w:rsidRPr="00BD0404">
        <w:lastRenderedPageBreak/>
        <w:t>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documentos del proceso que se debían publicar.</w:t>
      </w:r>
    </w:p>
    <w:p w14:paraId="3C5E49FF" w14:textId="1634311E" w:rsidR="00C33338" w:rsidRPr="00BD0404" w:rsidRDefault="001852D0">
      <w:pPr>
        <w:pStyle w:val="Textoindependiente"/>
        <w:spacing w:before="93" w:line="276" w:lineRule="auto"/>
        <w:ind w:left="300" w:right="306" w:firstLine="709"/>
        <w:jc w:val="both"/>
      </w:pPr>
      <w:r w:rsidRPr="00BD0404">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00BD0404">
        <w:rPr>
          <w:rStyle w:val="Refdenotaalpie"/>
        </w:rPr>
        <w:footnoteReference w:id="10"/>
      </w:r>
      <w:r w:rsidRPr="00BD0404">
        <w:t>.</w:t>
      </w:r>
    </w:p>
    <w:p w14:paraId="08498E70" w14:textId="77777777" w:rsidR="00C33338" w:rsidRPr="00BD0404" w:rsidRDefault="001852D0">
      <w:pPr>
        <w:pStyle w:val="Textoindependiente"/>
        <w:spacing w:before="2" w:line="276" w:lineRule="auto"/>
        <w:ind w:left="300" w:right="306" w:firstLine="709"/>
        <w:jc w:val="both"/>
      </w:pPr>
      <w:r w:rsidRPr="00BD0404">
        <w:t>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w:t>
      </w:r>
    </w:p>
    <w:p w14:paraId="08EA0727" w14:textId="77777777" w:rsidR="00C33338" w:rsidRPr="00BD0404" w:rsidRDefault="001852D0">
      <w:pPr>
        <w:pStyle w:val="Textoindependiente"/>
        <w:spacing w:line="276" w:lineRule="auto"/>
        <w:ind w:left="300" w:right="310" w:firstLine="709"/>
        <w:jc w:val="both"/>
      </w:pPr>
      <w:r w:rsidRPr="00BD0404">
        <w:t xml:space="preserve">En efecto, la Ley 1712 de 2014, normativa que creó la Ley de Transparencia y del </w:t>
      </w:r>
      <w:r w:rsidRPr="00BD0404">
        <w:lastRenderedPageBreak/>
        <w:t>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w:t>
      </w:r>
    </w:p>
    <w:p w14:paraId="71DB6C5F" w14:textId="740456C7" w:rsidR="00C33338" w:rsidRPr="00BD0404" w:rsidRDefault="001852D0" w:rsidP="00BD0404">
      <w:pPr>
        <w:pStyle w:val="Textoindependiente"/>
        <w:spacing w:line="276" w:lineRule="auto"/>
        <w:ind w:left="300" w:right="309" w:firstLine="709"/>
        <w:jc w:val="both"/>
      </w:pPr>
      <w:r w:rsidRPr="00BD0404">
        <w:t>Luego, el Decreto reglamentario 103 de 2015, «Por el cual se reglamenta parcialmente la Ley 1712 de 2014 y se dictan otras disposiciones», en el artículo 8, señala, de</w:t>
      </w:r>
      <w:r w:rsidRPr="00BD0404">
        <w:rPr>
          <w:spacing w:val="54"/>
        </w:rPr>
        <w:t xml:space="preserve"> </w:t>
      </w:r>
      <w:r w:rsidRPr="00BD0404">
        <w:t>forma</w:t>
      </w:r>
      <w:r w:rsidRPr="00BD0404">
        <w:rPr>
          <w:spacing w:val="55"/>
        </w:rPr>
        <w:t xml:space="preserve"> </w:t>
      </w:r>
      <w:r w:rsidRPr="00BD0404">
        <w:t>enunciativa,</w:t>
      </w:r>
      <w:r w:rsidRPr="00BD0404">
        <w:rPr>
          <w:spacing w:val="53"/>
        </w:rPr>
        <w:t xml:space="preserve"> </w:t>
      </w:r>
      <w:r w:rsidRPr="00BD0404">
        <w:t>que</w:t>
      </w:r>
      <w:r w:rsidRPr="00BD0404">
        <w:rPr>
          <w:spacing w:val="56"/>
        </w:rPr>
        <w:t xml:space="preserve"> </w:t>
      </w:r>
      <w:r w:rsidRPr="00BD0404">
        <w:t>se</w:t>
      </w:r>
      <w:r w:rsidRPr="00BD0404">
        <w:rPr>
          <w:spacing w:val="55"/>
        </w:rPr>
        <w:t xml:space="preserve"> </w:t>
      </w:r>
      <w:r w:rsidRPr="00BD0404">
        <w:t>debe</w:t>
      </w:r>
      <w:r w:rsidRPr="00BD0404">
        <w:rPr>
          <w:spacing w:val="54"/>
        </w:rPr>
        <w:t xml:space="preserve"> </w:t>
      </w:r>
      <w:r w:rsidRPr="00BD0404">
        <w:t>publicar</w:t>
      </w:r>
      <w:r w:rsidRPr="00BD0404">
        <w:rPr>
          <w:spacing w:val="55"/>
        </w:rPr>
        <w:t xml:space="preserve"> </w:t>
      </w:r>
      <w:r w:rsidRPr="00BD0404">
        <w:t>la</w:t>
      </w:r>
      <w:r w:rsidRPr="00BD0404">
        <w:rPr>
          <w:spacing w:val="53"/>
        </w:rPr>
        <w:t xml:space="preserve"> </w:t>
      </w:r>
      <w:r w:rsidRPr="00BD0404">
        <w:t>información</w:t>
      </w:r>
      <w:r w:rsidRPr="00BD0404">
        <w:rPr>
          <w:spacing w:val="54"/>
        </w:rPr>
        <w:t xml:space="preserve"> </w:t>
      </w:r>
      <w:r w:rsidRPr="00BD0404">
        <w:t>relativa</w:t>
      </w:r>
      <w:r w:rsidRPr="00BD0404">
        <w:rPr>
          <w:spacing w:val="55"/>
        </w:rPr>
        <w:t xml:space="preserve"> </w:t>
      </w:r>
      <w:r w:rsidRPr="00BD0404">
        <w:t>a</w:t>
      </w:r>
      <w:r w:rsidRPr="00BD0404">
        <w:rPr>
          <w:spacing w:val="54"/>
        </w:rPr>
        <w:t xml:space="preserve"> </w:t>
      </w:r>
      <w:r w:rsidRPr="00BD0404">
        <w:t>la</w:t>
      </w:r>
      <w:r w:rsidRPr="00BD0404">
        <w:rPr>
          <w:spacing w:val="52"/>
        </w:rPr>
        <w:t xml:space="preserve"> </w:t>
      </w:r>
      <w:r w:rsidRPr="00BD0404">
        <w:t>ejecución</w:t>
      </w:r>
      <w:r w:rsidRPr="00BD0404">
        <w:rPr>
          <w:spacing w:val="55"/>
        </w:rPr>
        <w:t xml:space="preserve"> </w:t>
      </w:r>
      <w:r w:rsidRPr="00BD0404">
        <w:t>del</w:t>
      </w:r>
      <w:r w:rsidR="00BD0404">
        <w:t xml:space="preserve"> </w:t>
      </w:r>
      <w:r w:rsidRPr="00BD0404">
        <w:t>contrato, como las aprobaciones, autorizaciones, requerimientos o informes del supervisor o interventor, que aprueben la ejecución del contrato</w:t>
      </w:r>
      <w:r w:rsidR="00BD0404">
        <w:rPr>
          <w:rStyle w:val="Refdenotaalpie"/>
        </w:rPr>
        <w:footnoteReference w:id="11"/>
      </w:r>
      <w:r w:rsidRPr="00BD0404">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00BD0404">
        <w:rPr>
          <w:rStyle w:val="Refdenotaalpie"/>
        </w:rPr>
        <w:footnoteReference w:id="12"/>
      </w:r>
      <w:r w:rsidRPr="00BD0404">
        <w:t>. Finalmente, el artículo 10 establece la obligación que tienen las entidades de publicar en el SECOP el Plan Anual de Adquisiciones</w:t>
      </w:r>
      <w:r w:rsidR="00BD0404">
        <w:rPr>
          <w:rStyle w:val="Refdenotaalpie"/>
        </w:rPr>
        <w:footnoteReference w:id="13"/>
      </w:r>
      <w:r w:rsidRPr="00BD0404">
        <w:t>.</w:t>
      </w:r>
    </w:p>
    <w:p w14:paraId="09D96CF4" w14:textId="77777777" w:rsidR="00C33338" w:rsidRPr="00BD0404" w:rsidRDefault="001852D0">
      <w:pPr>
        <w:pStyle w:val="Textoindependiente"/>
        <w:spacing w:before="1" w:line="276" w:lineRule="auto"/>
        <w:ind w:left="300" w:right="304" w:firstLine="709"/>
        <w:jc w:val="both"/>
      </w:pPr>
      <w:r w:rsidRPr="00BD0404">
        <w:t xml:space="preserve">De conformidad con lo anterior, el Decreto 103 de 2015 señala que los documentos que deben publicar las entidades estatales, entre estas las empresas industriales y comerciales del Estado, son: i) las autorizaciones, requerimientos, aprobaciones o informes del supervisor o del interventor, que prueben la ejecución del contrato, ii) los </w:t>
      </w:r>
      <w:r w:rsidRPr="00BD0404">
        <w:lastRenderedPageBreak/>
        <w:t>procedimientos, lineamientos y políticas en materia de adquisición que corresponden a los documentos que los conforman, previstos en el manual de contratación de la entidad, y finalmente, iii) el plan anual de adquisiciones.</w:t>
      </w:r>
    </w:p>
    <w:p w14:paraId="0DA36E35" w14:textId="262763FB" w:rsidR="00C33338" w:rsidRPr="00BD0404" w:rsidRDefault="001852D0" w:rsidP="00BD0404">
      <w:pPr>
        <w:pStyle w:val="Textoindependiente"/>
        <w:spacing w:before="1" w:line="276" w:lineRule="auto"/>
        <w:ind w:left="300" w:right="308" w:firstLine="709"/>
        <w:jc w:val="both"/>
        <w:rPr>
          <w:sz w:val="16"/>
        </w:rPr>
      </w:pPr>
      <w:r w:rsidRPr="00BD0404">
        <w:t>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w:t>
      </w:r>
    </w:p>
    <w:p w14:paraId="51C7B062" w14:textId="50336482" w:rsidR="00C33338" w:rsidRDefault="001852D0">
      <w:pPr>
        <w:pStyle w:val="Textoindependiente"/>
        <w:spacing w:before="93" w:line="276" w:lineRule="auto"/>
        <w:ind w:left="300" w:right="307" w:firstLine="709"/>
        <w:jc w:val="both"/>
      </w:pPr>
      <w:r w:rsidRPr="00BD0404">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w:t>
      </w:r>
    </w:p>
    <w:p w14:paraId="74C6843A" w14:textId="77777777" w:rsidR="00C33338" w:rsidRPr="00BD0404" w:rsidRDefault="001852D0">
      <w:pPr>
        <w:pStyle w:val="Textoindependiente"/>
        <w:spacing w:before="2" w:line="276" w:lineRule="auto"/>
        <w:ind w:left="300" w:right="307" w:firstLine="709"/>
        <w:jc w:val="both"/>
      </w:pPr>
      <w:r w:rsidRPr="00BD0404">
        <w:t>Por lo tanto, en estos casos aplica la Ley 1712 de 2014 y el Decreto 103 de 2015, no el Decreto 1082 de 2015, porque esta última norma rige a las entidades sometidas al Estatuto General de Contratación Pública, y por lo tanto no aplica a las empresas industriales y comerciales del Estado que, por regla general, se rigen por el derecho privado. Por su parte, la Ley 1712 de 2014 y el Decreto reglamentario 103 de 2015 rigen a cualquier entidad pública, incluyendo las pertenecientes a todas las Ramas del Poder Público, en todos los niveles de la estructura estatal, central o descentralizada por servicios o territorialmente, en los órdenes nacional, departamental, municipal y distrital.</w:t>
      </w:r>
    </w:p>
    <w:p w14:paraId="7ECBA319" w14:textId="77777777" w:rsidR="00C33338" w:rsidRPr="00BD0404" w:rsidRDefault="001852D0">
      <w:pPr>
        <w:pStyle w:val="Textoindependiente"/>
        <w:spacing w:line="276" w:lineRule="auto"/>
        <w:ind w:left="300" w:right="311" w:firstLine="709"/>
        <w:jc w:val="both"/>
      </w:pPr>
      <w:r w:rsidRPr="00BD0404">
        <w:t>Identificados los documentos que deben publicar las entidades de régimen especial y su fundamento normativo, a continuación se explicará cuando se deben publicar, no sin antes explicar la posición que Colombia Compra Eficiente ha tenido en relación con este asunto.</w:t>
      </w:r>
    </w:p>
    <w:p w14:paraId="01ADEA18" w14:textId="4ED2AE58" w:rsidR="00C33338" w:rsidRPr="00BD0404" w:rsidRDefault="001852D0" w:rsidP="00BD0404">
      <w:pPr>
        <w:pStyle w:val="Textoindependiente"/>
        <w:spacing w:line="276" w:lineRule="auto"/>
        <w:ind w:left="300" w:right="304" w:firstLine="709"/>
        <w:jc w:val="both"/>
      </w:pPr>
      <w:r w:rsidRPr="00BD0404">
        <w:t>En el año 2017, en la consulta con radicado No. 4201713000005390 se prevé que: el plazo para publicar por parte de las entidades de régimen especial es el que se fije en el manual de contratación de la entidad»</w:t>
      </w:r>
      <w:r w:rsidR="00BD0404">
        <w:rPr>
          <w:rStyle w:val="Refdenotaalpie"/>
        </w:rPr>
        <w:footnoteReference w:id="14"/>
      </w:r>
      <w:r w:rsidRPr="00BD0404">
        <w:t xml:space="preserve">. Por su parte, en el año 2018, con la expedición de la Circular Externa Única, se cambió la postura y se indica: «las entidades que aun utilizan el SECOP I están obligadas a publicar los documentos del proceso dentro de los tres (3) </w:t>
      </w:r>
      <w:r w:rsidRPr="00BD0404">
        <w:lastRenderedPageBreak/>
        <w:t>días siguientes a su expedición</w:t>
      </w:r>
      <w:r w:rsidR="00BD0404">
        <w:rPr>
          <w:rStyle w:val="Refdenotaalpie"/>
        </w:rPr>
        <w:footnoteReference w:id="15"/>
      </w:r>
      <w:r w:rsidRPr="00BD0404">
        <w:t xml:space="preserve"> […]». De lo regulado en la Circular Externa Única se</w:t>
      </w:r>
      <w:r w:rsidR="00BD0404">
        <w:t xml:space="preserve"> </w:t>
      </w:r>
      <w:r w:rsidRPr="00BD0404">
        <w:t>infiere que se otorga un tratamiento igualitario a las entidades, independientemente de su régimen de contratación, por lo tanto, aplica el artículo 2.2.1.1.1.7.1. del Decreto 1082 de 2015.</w:t>
      </w:r>
    </w:p>
    <w:p w14:paraId="07FA4D86" w14:textId="77777777" w:rsidR="00C33338" w:rsidRPr="00BD0404" w:rsidRDefault="001852D0">
      <w:pPr>
        <w:pStyle w:val="Textoindependiente"/>
        <w:spacing w:before="3" w:line="276" w:lineRule="auto"/>
        <w:ind w:left="300" w:right="307" w:firstLine="709"/>
        <w:jc w:val="both"/>
      </w:pPr>
      <w:r w:rsidRPr="00BD0404">
        <w:t>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w:t>
      </w:r>
    </w:p>
    <w:p w14:paraId="287CC701" w14:textId="0297D6C1" w:rsidR="00C33338" w:rsidRPr="00BD0404" w:rsidRDefault="001852D0">
      <w:pPr>
        <w:pStyle w:val="Textoindependiente"/>
        <w:spacing w:line="276" w:lineRule="auto"/>
        <w:ind w:left="300" w:right="308" w:firstLine="709"/>
        <w:jc w:val="both"/>
      </w:pPr>
      <w:r w:rsidRPr="00BD0404">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00E236A5">
        <w:rPr>
          <w:rStyle w:val="Refdenotaalpie"/>
        </w:rPr>
        <w:footnoteReference w:id="16"/>
      </w:r>
      <w:r w:rsidRPr="00BD0404">
        <w:t>. En este sentido, el juez razona por analogía, cuando aplica una ley frente una situación no contemplada explícitamente en ella, a partir del estudio de situaciones fácticas que fueron tratadas por el legislador y guardan similitud con el asunto</w:t>
      </w:r>
      <w:r w:rsidRPr="00BD0404">
        <w:rPr>
          <w:spacing w:val="-4"/>
        </w:rPr>
        <w:t xml:space="preserve"> </w:t>
      </w:r>
      <w:r w:rsidRPr="00BD0404">
        <w:t>tratado.</w:t>
      </w:r>
    </w:p>
    <w:p w14:paraId="75E0B787" w14:textId="10B62070" w:rsidR="00C33338" w:rsidRPr="00BD0404" w:rsidRDefault="001852D0" w:rsidP="00BD0404">
      <w:pPr>
        <w:pStyle w:val="Textoindependiente"/>
        <w:spacing w:line="276" w:lineRule="auto"/>
        <w:ind w:left="300" w:right="305" w:firstLine="709"/>
        <w:jc w:val="both"/>
      </w:pPr>
      <w:r w:rsidRPr="00BD0404">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w:t>
      </w:r>
      <w:r w:rsidR="00BD0404">
        <w:t xml:space="preserve"> </w:t>
      </w:r>
      <w:r w:rsidRPr="00BD0404">
        <w:lastRenderedPageBreak/>
        <w:t>que presenten observaciones o soliciten aclaraciones</w:t>
      </w:r>
      <w:r w:rsidR="00E236A5">
        <w:rPr>
          <w:rStyle w:val="Refdenotaalpie"/>
        </w:rPr>
        <w:footnoteReference w:id="17"/>
      </w:r>
      <w:r w:rsidRPr="00BD0404">
        <w:t>.En este sentido, las entidades sometidas al régimen de contratación de Ley 80 de 1993 publicarán en el SECOP sus documentos dentro de los 3 días siguientes a su expedición.</w:t>
      </w:r>
    </w:p>
    <w:p w14:paraId="48EDAEFA" w14:textId="77777777" w:rsidR="00C33338" w:rsidRPr="00BD0404" w:rsidRDefault="001852D0">
      <w:pPr>
        <w:pStyle w:val="Textoindependiente"/>
        <w:spacing w:before="2" w:line="276" w:lineRule="auto"/>
        <w:ind w:left="300" w:right="310" w:firstLine="709"/>
        <w:jc w:val="both"/>
      </w:pPr>
      <w:r w:rsidRPr="00BD0404">
        <w:t>Si bien, tal y cómo se mencionó en el acápite anterior, el Decreto 1082 de 2015 no aplica a las empresas industriales y comerciales del Estado, porque su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w:t>
      </w:r>
    </w:p>
    <w:p w14:paraId="615E8D40" w14:textId="77777777" w:rsidR="00C33338" w:rsidRPr="00BD0404" w:rsidRDefault="001852D0">
      <w:pPr>
        <w:pStyle w:val="Textoindependiente"/>
        <w:spacing w:line="276" w:lineRule="auto"/>
        <w:ind w:left="300" w:right="312" w:firstLine="707"/>
        <w:jc w:val="both"/>
      </w:pPr>
      <w:r w:rsidRPr="00BD0404">
        <w:t>A su vez, no es posible que las entidades definan el momento en el cual publicarán sus documentos contractuales en su manual de contratación, porque este es un asunto que debe definir el legislador o el gobierno por medio de un Decreto</w:t>
      </w:r>
      <w:r w:rsidRPr="00BD0404">
        <w:rPr>
          <w:spacing w:val="-32"/>
        </w:rPr>
        <w:t xml:space="preserve"> </w:t>
      </w:r>
      <w:r w:rsidRPr="00BD0404">
        <w:t>reglamentario.</w:t>
      </w:r>
    </w:p>
    <w:p w14:paraId="035DC7B1" w14:textId="77777777" w:rsidR="00C33338" w:rsidRPr="00BD0404" w:rsidRDefault="001852D0">
      <w:pPr>
        <w:pStyle w:val="Textoindependiente"/>
        <w:spacing w:line="276" w:lineRule="auto"/>
        <w:ind w:left="300" w:right="309" w:firstLine="707"/>
        <w:jc w:val="both"/>
      </w:pPr>
      <w:r w:rsidRPr="00BD0404">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3FC272F2" w14:textId="77777777" w:rsidR="00C33338" w:rsidRPr="00BD0404" w:rsidRDefault="001852D0">
      <w:pPr>
        <w:pStyle w:val="Textoindependiente"/>
        <w:spacing w:line="276" w:lineRule="auto"/>
        <w:ind w:left="300" w:right="310" w:firstLine="707"/>
        <w:jc w:val="both"/>
      </w:pPr>
      <w:r w:rsidRPr="00BD0404">
        <w:t>En todo caso, si se adoptará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 2.2.1.1.1.7.1.</w:t>
      </w:r>
    </w:p>
    <w:p w14:paraId="21C076BF" w14:textId="77777777" w:rsidR="00C33338" w:rsidRPr="00BD0404" w:rsidRDefault="00C33338">
      <w:pPr>
        <w:pStyle w:val="Textoindependiente"/>
        <w:spacing w:before="3"/>
        <w:rPr>
          <w:sz w:val="25"/>
        </w:rPr>
      </w:pPr>
    </w:p>
    <w:p w14:paraId="6F984624" w14:textId="77777777" w:rsidR="00C33338" w:rsidRPr="00BD0404" w:rsidRDefault="001852D0">
      <w:pPr>
        <w:pStyle w:val="Ttulo1"/>
        <w:numPr>
          <w:ilvl w:val="1"/>
          <w:numId w:val="2"/>
        </w:numPr>
        <w:tabs>
          <w:tab w:val="left" w:pos="661"/>
        </w:tabs>
        <w:ind w:left="660" w:hanging="361"/>
      </w:pPr>
      <w:r w:rsidRPr="00BD0404">
        <w:t>Validez de publicar actos administrativos y contratos sin firma y sin</w:t>
      </w:r>
      <w:r w:rsidRPr="00BD0404">
        <w:rPr>
          <w:spacing w:val="-18"/>
        </w:rPr>
        <w:t xml:space="preserve"> </w:t>
      </w:r>
      <w:r w:rsidRPr="00BD0404">
        <w:t>fecha</w:t>
      </w:r>
    </w:p>
    <w:p w14:paraId="3FC7BB3B" w14:textId="77777777" w:rsidR="00C33338" w:rsidRPr="00BD0404" w:rsidRDefault="00C33338">
      <w:pPr>
        <w:pStyle w:val="Textoindependiente"/>
        <w:spacing w:before="8"/>
        <w:rPr>
          <w:b/>
          <w:sz w:val="28"/>
        </w:rPr>
      </w:pPr>
    </w:p>
    <w:p w14:paraId="6C668C7D" w14:textId="77777777" w:rsidR="00C33338" w:rsidRPr="00BD0404" w:rsidRDefault="001852D0">
      <w:pPr>
        <w:pStyle w:val="Textoindependiente"/>
        <w:spacing w:line="276" w:lineRule="auto"/>
        <w:ind w:left="300" w:right="311"/>
        <w:jc w:val="both"/>
      </w:pPr>
      <w:r w:rsidRPr="00BD0404">
        <w:t>Para desarrollar su segunda pregunta, se analizará si la firma o la fecha del contrato o del acto administrativo son requisitos necesarios para su existencia o validez, para determinar si es posible publicarlos en el SECOP I sin esta información.</w:t>
      </w:r>
    </w:p>
    <w:p w14:paraId="2CD7E8D3" w14:textId="17D4D337" w:rsidR="00C33338" w:rsidRPr="00BD0404" w:rsidRDefault="001852D0" w:rsidP="00E236A5">
      <w:pPr>
        <w:pStyle w:val="Textoindependiente"/>
        <w:spacing w:line="276" w:lineRule="auto"/>
        <w:ind w:left="300" w:right="310" w:firstLine="709"/>
        <w:jc w:val="both"/>
        <w:rPr>
          <w:sz w:val="20"/>
        </w:rPr>
      </w:pPr>
      <w:r w:rsidRPr="00BD0404">
        <w:t>El Consejo de Estado, Sección Cuarta, en la sentencia del 22 de enero de 1987, Consejero Ponente Hernán Guillermo Aldana Duque, explicó que: «el acto administrativo, a</w:t>
      </w:r>
      <w:r w:rsidR="00E236A5">
        <w:t xml:space="preserve"> </w:t>
      </w:r>
    </w:p>
    <w:p w14:paraId="720BBFAA" w14:textId="77777777" w:rsidR="00C33338" w:rsidRPr="00BD0404" w:rsidRDefault="00C33338">
      <w:pPr>
        <w:pStyle w:val="Textoindependiente"/>
        <w:spacing w:before="5"/>
        <w:rPr>
          <w:sz w:val="16"/>
        </w:rPr>
      </w:pPr>
    </w:p>
    <w:p w14:paraId="47C4D4DE" w14:textId="77777777" w:rsidR="00C33338" w:rsidRPr="00BD0404" w:rsidRDefault="001852D0">
      <w:pPr>
        <w:pStyle w:val="Textoindependiente"/>
        <w:spacing w:before="93" w:line="276" w:lineRule="auto"/>
        <w:ind w:left="300" w:right="310"/>
        <w:jc w:val="both"/>
      </w:pPr>
      <w:r w:rsidRPr="00BD0404">
        <w:t xml:space="preserve">la luz de la ley colombiana, es una manifestación de voluntad, mejor se diría de la </w:t>
      </w:r>
      <w:r w:rsidRPr="00BD0404">
        <w:lastRenderedPageBreak/>
        <w:t>intención, ya que ésta supone aquella, en virtud de la cual se dispone, se decide, se resuelve una situación o una cuestión jurídica, para como consecuencia crear, modificar o extinguir una relación de derecho»</w:t>
      </w:r>
      <w:r w:rsidRPr="00BD0404">
        <w:rPr>
          <w:vertAlign w:val="superscript"/>
        </w:rPr>
        <w:t>18</w:t>
      </w:r>
      <w:r w:rsidRPr="00BD0404">
        <w:t>. Por lo tanto, el acto administrativo es una manifestación unilateral de la administración tendiente a producir efectos</w:t>
      </w:r>
      <w:r w:rsidRPr="00BD0404">
        <w:rPr>
          <w:spacing w:val="-24"/>
        </w:rPr>
        <w:t xml:space="preserve"> </w:t>
      </w:r>
      <w:r w:rsidRPr="00BD0404">
        <w:t>jurídicos.</w:t>
      </w:r>
    </w:p>
    <w:p w14:paraId="65272914" w14:textId="77777777" w:rsidR="00C33338" w:rsidRPr="00BD0404" w:rsidRDefault="001852D0">
      <w:pPr>
        <w:pStyle w:val="Textoindependiente"/>
        <w:spacing w:before="1" w:line="276" w:lineRule="auto"/>
        <w:ind w:left="300" w:right="308" w:firstLine="709"/>
        <w:jc w:val="both"/>
      </w:pPr>
      <w:r w:rsidRPr="00BD0404">
        <w:t>Por su parte, la Corte Constitucional, en la sentencia C─069 de 1995, Magistrado Ponente Hernando Herrera Vergara, señaló que los actos administrativos existen en el momento en que la voluntad de la Administración se manifiesta a través de una decisión, en los siguientes</w:t>
      </w:r>
      <w:r w:rsidRPr="00BD0404">
        <w:rPr>
          <w:spacing w:val="-4"/>
        </w:rPr>
        <w:t xml:space="preserve"> </w:t>
      </w:r>
      <w:r w:rsidRPr="00BD0404">
        <w:t>términos:</w:t>
      </w:r>
    </w:p>
    <w:p w14:paraId="2A5FDBB4" w14:textId="77777777" w:rsidR="00C33338" w:rsidRPr="00BD0404" w:rsidRDefault="00C33338">
      <w:pPr>
        <w:pStyle w:val="Textoindependiente"/>
        <w:spacing w:before="3"/>
        <w:rPr>
          <w:sz w:val="25"/>
        </w:rPr>
      </w:pPr>
    </w:p>
    <w:p w14:paraId="3A7C5066" w14:textId="77777777" w:rsidR="00C33338" w:rsidRPr="00BD0404" w:rsidRDefault="001852D0">
      <w:pPr>
        <w:ind w:left="1008" w:right="1014"/>
        <w:jc w:val="both"/>
        <w:rPr>
          <w:sz w:val="21"/>
        </w:rPr>
      </w:pPr>
      <w:r w:rsidRPr="00BD0404">
        <w:rPr>
          <w:i/>
          <w:sz w:val="21"/>
        </w:rPr>
        <w:t>La existencia del acto administrativo está ligada al momento en que la voluntad de la Administración se manifiesta a través de una decisión</w:t>
      </w:r>
      <w:r w:rsidRPr="00BD0404">
        <w:rPr>
          <w:sz w:val="21"/>
        </w:rPr>
        <w:t xml:space="preserve">. El acto administrativo existe, tal como lo señala la doctrina, desde el momento en que es producido por la Administración, y en sí mismo lleva envuelta la prerrogativa de producir efectos jurídicos, es decir, </w:t>
      </w:r>
      <w:r w:rsidRPr="00BD0404">
        <w:rPr>
          <w:spacing w:val="2"/>
          <w:sz w:val="21"/>
        </w:rPr>
        <w:t xml:space="preserve">de </w:t>
      </w:r>
      <w:r w:rsidRPr="00BD0404">
        <w:rPr>
          <w:sz w:val="21"/>
        </w:rPr>
        <w:t>ser eficaz. De igual manera, la existencia del acto administrativo está ligada a su vigencia, la cual se da por regla general desde el momento mismo de su expedición, condicionada, claro está, a la publicación o notificación del acto, según sea de carácter general o individual [Cursiva por fuera del</w:t>
      </w:r>
      <w:r w:rsidRPr="00BD0404">
        <w:rPr>
          <w:spacing w:val="-6"/>
          <w:sz w:val="21"/>
        </w:rPr>
        <w:t xml:space="preserve"> </w:t>
      </w:r>
      <w:r w:rsidRPr="00BD0404">
        <w:rPr>
          <w:sz w:val="21"/>
        </w:rPr>
        <w:t>texto]</w:t>
      </w:r>
      <w:r w:rsidRPr="00BD0404">
        <w:rPr>
          <w:position w:val="7"/>
          <w:sz w:val="14"/>
        </w:rPr>
        <w:t>19</w:t>
      </w:r>
      <w:r w:rsidRPr="00BD0404">
        <w:rPr>
          <w:sz w:val="21"/>
        </w:rPr>
        <w:t>.</w:t>
      </w:r>
    </w:p>
    <w:p w14:paraId="4E2521E2" w14:textId="77777777" w:rsidR="00C33338" w:rsidRPr="00BD0404" w:rsidRDefault="00C33338">
      <w:pPr>
        <w:pStyle w:val="Textoindependiente"/>
        <w:spacing w:before="8"/>
        <w:rPr>
          <w:sz w:val="20"/>
        </w:rPr>
      </w:pPr>
    </w:p>
    <w:p w14:paraId="0191CA39" w14:textId="77777777" w:rsidR="00C33338" w:rsidRPr="00BD0404" w:rsidRDefault="001852D0">
      <w:pPr>
        <w:pStyle w:val="Textoindependiente"/>
        <w:spacing w:before="1" w:line="276" w:lineRule="auto"/>
        <w:ind w:left="300" w:right="307" w:firstLine="709"/>
        <w:jc w:val="both"/>
      </w:pPr>
      <w:r w:rsidRPr="00BD0404">
        <w:t>Por su parte, el Consejo de Estado, en la Sección Segunda, en la sentencia con radicado interno No. 4754─2016, Consejero Ponente César Palomino Cortés, en relación con los requisitos de existencia del acto administrativo, señaló que tiene elementos objetivos y subjetivos, de tal manera que para que nazca el acto se necesita un órgano que lo profiera, una declaración de ese sujeto, un objeto sobre el cual recae tal declaración, un motivo por el cual se realiza, la forma que tiene y la finalidad que persigue</w:t>
      </w:r>
      <w:r w:rsidRPr="00BD0404">
        <w:rPr>
          <w:vertAlign w:val="superscript"/>
        </w:rPr>
        <w:t>20</w:t>
      </w:r>
      <w:r w:rsidRPr="00BD0404">
        <w:t>.</w:t>
      </w:r>
    </w:p>
    <w:p w14:paraId="5107AE7E" w14:textId="77777777" w:rsidR="00C33338" w:rsidRPr="00BD0404" w:rsidRDefault="001852D0">
      <w:pPr>
        <w:pStyle w:val="Textoindependiente"/>
        <w:spacing w:line="276" w:lineRule="auto"/>
        <w:ind w:left="300" w:right="302" w:firstLine="709"/>
        <w:jc w:val="both"/>
      </w:pPr>
      <w:r w:rsidRPr="00BD0404">
        <w:t>En relación con la autoría del acto administrativo, el Consejo de Estado, Sección Primera, Consejero Ponente Oswaldo Giraldo López, en el auto con radicado No. 11001- 03-25-000-2015-00236-00 del 19 de julio de 2019, señaló que la autoría o expedición se materializa con la firma del funcionario o funcionarios, quienes obraron en nombre y</w:t>
      </w:r>
    </w:p>
    <w:p w14:paraId="2EBE040C" w14:textId="77777777" w:rsidR="00C33338" w:rsidRPr="00BD0404" w:rsidRDefault="00C33338">
      <w:pPr>
        <w:pStyle w:val="Textoindependiente"/>
        <w:rPr>
          <w:sz w:val="20"/>
        </w:rPr>
      </w:pPr>
    </w:p>
    <w:p w14:paraId="4AAE115B" w14:textId="77777777" w:rsidR="00C33338" w:rsidRPr="00BD0404" w:rsidRDefault="00C33338">
      <w:pPr>
        <w:pStyle w:val="Textoindependiente"/>
        <w:rPr>
          <w:sz w:val="20"/>
        </w:rPr>
      </w:pPr>
    </w:p>
    <w:p w14:paraId="12DCB776" w14:textId="77777777" w:rsidR="00C33338" w:rsidRPr="00BD0404" w:rsidRDefault="00C33338">
      <w:pPr>
        <w:pStyle w:val="Textoindependiente"/>
        <w:rPr>
          <w:sz w:val="20"/>
        </w:rPr>
      </w:pPr>
    </w:p>
    <w:p w14:paraId="3876F6D2" w14:textId="77777777" w:rsidR="00C33338" w:rsidRPr="00BD0404" w:rsidRDefault="00C33338">
      <w:pPr>
        <w:pStyle w:val="Textoindependiente"/>
        <w:rPr>
          <w:sz w:val="20"/>
        </w:rPr>
      </w:pPr>
    </w:p>
    <w:p w14:paraId="46E79EAB" w14:textId="725B9A69" w:rsidR="00C33338" w:rsidRPr="00BD0404" w:rsidRDefault="00EF0C76">
      <w:pPr>
        <w:pStyle w:val="Textoindependiente"/>
        <w:spacing w:before="5"/>
        <w:rPr>
          <w:sz w:val="19"/>
        </w:rPr>
      </w:pPr>
      <w:r>
        <w:rPr>
          <w:noProof/>
          <w:lang w:val="en-US"/>
        </w:rPr>
        <mc:AlternateContent>
          <mc:Choice Requires="wps">
            <w:drawing>
              <wp:anchor distT="0" distB="0" distL="0" distR="0" simplePos="0" relativeHeight="487593472" behindDoc="1" locked="0" layoutInCell="1" allowOverlap="1" wp14:anchorId="0854A7C4" wp14:editId="4DAC9EF9">
                <wp:simplePos x="0" y="0"/>
                <wp:positionH relativeFrom="page">
                  <wp:posOffset>1080135</wp:posOffset>
                </wp:positionH>
                <wp:positionV relativeFrom="paragraph">
                  <wp:posOffset>167005</wp:posOffset>
                </wp:positionV>
                <wp:extent cx="1828800" cy="9525"/>
                <wp:effectExtent l="0" t="0" r="0" b="0"/>
                <wp:wrapTopAndBottom/>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CB5F0" id="Rectangle 8" o:spid="_x0000_s1026" style="position:absolute;margin-left:85.05pt;margin-top:13.15pt;width:2in;height:.7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" fillcolor="black" stroked="f">
                <w10:wrap type="topAndBottom" anchorx="page"/>
              </v:rect>
            </w:pict>
          </mc:Fallback>
        </mc:AlternateContent>
      </w:r>
    </w:p>
    <w:p w14:paraId="3EBEF1CB" w14:textId="77777777" w:rsidR="00C33338" w:rsidRPr="00BD0404" w:rsidRDefault="001852D0">
      <w:pPr>
        <w:spacing w:before="82" w:line="252" w:lineRule="auto"/>
        <w:ind w:left="300" w:right="346" w:firstLine="707"/>
        <w:rPr>
          <w:sz w:val="19"/>
        </w:rPr>
      </w:pPr>
      <w:r w:rsidRPr="00BD0404">
        <w:rPr>
          <w:rFonts w:ascii="Carlito" w:hAnsi="Carlito"/>
          <w:position w:val="6"/>
          <w:sz w:val="12"/>
        </w:rPr>
        <w:t xml:space="preserve">18 </w:t>
      </w:r>
      <w:r w:rsidRPr="00BD0404">
        <w:rPr>
          <w:sz w:val="19"/>
        </w:rPr>
        <w:t>Consejo de Estado. Sección Cuarta. Sentencia del 22 de enero de 1987. C.P. Hernán Guillermo Aldana</w:t>
      </w:r>
      <w:r w:rsidRPr="00BD0404">
        <w:rPr>
          <w:spacing w:val="-3"/>
          <w:sz w:val="19"/>
        </w:rPr>
        <w:t xml:space="preserve"> </w:t>
      </w:r>
      <w:r w:rsidRPr="00BD0404">
        <w:rPr>
          <w:sz w:val="19"/>
        </w:rPr>
        <w:t>Duque.</w:t>
      </w:r>
    </w:p>
    <w:p w14:paraId="3E4ED343" w14:textId="77777777" w:rsidR="00C33338" w:rsidRPr="00BD0404" w:rsidRDefault="00C33338">
      <w:pPr>
        <w:pStyle w:val="Textoindependiente"/>
        <w:spacing w:before="2"/>
        <w:rPr>
          <w:sz w:val="18"/>
        </w:rPr>
      </w:pPr>
    </w:p>
    <w:p w14:paraId="710B74FF" w14:textId="77777777" w:rsidR="00C33338" w:rsidRPr="00BD0404" w:rsidRDefault="001852D0">
      <w:pPr>
        <w:ind w:left="300" w:firstLine="707"/>
        <w:rPr>
          <w:sz w:val="19"/>
        </w:rPr>
      </w:pPr>
      <w:r w:rsidRPr="00BD0404">
        <w:rPr>
          <w:sz w:val="19"/>
          <w:vertAlign w:val="superscript"/>
        </w:rPr>
        <w:t>19</w:t>
      </w:r>
      <w:r w:rsidRPr="00BD0404">
        <w:rPr>
          <w:sz w:val="19"/>
        </w:rPr>
        <w:t xml:space="preserve"> Corte Constitucional. Sentencia C― 069 de 23 de febrero de 1995. M.P. Hernando Herrera Vergara.</w:t>
      </w:r>
    </w:p>
    <w:p w14:paraId="5F945BA9" w14:textId="77777777" w:rsidR="00C33338" w:rsidRPr="00BD0404" w:rsidRDefault="001852D0">
      <w:pPr>
        <w:spacing w:line="217" w:lineRule="exact"/>
        <w:ind w:left="1008"/>
        <w:rPr>
          <w:sz w:val="19"/>
        </w:rPr>
      </w:pPr>
      <w:r w:rsidRPr="00BD0404">
        <w:rPr>
          <w:sz w:val="19"/>
          <w:vertAlign w:val="superscript"/>
        </w:rPr>
        <w:t>20</w:t>
      </w:r>
      <w:r w:rsidRPr="00BD0404">
        <w:rPr>
          <w:sz w:val="19"/>
        </w:rPr>
        <w:t xml:space="preserve"> Consejo de Estado. Sección Segunda. Sentencia del 31 de enero de 2019. Exp: 4756─16.</w:t>
      </w:r>
    </w:p>
    <w:p w14:paraId="598D5A81" w14:textId="77777777" w:rsidR="00C33338" w:rsidRPr="00BD0404" w:rsidRDefault="001852D0">
      <w:pPr>
        <w:spacing w:before="2"/>
        <w:ind w:left="300"/>
        <w:rPr>
          <w:sz w:val="19"/>
        </w:rPr>
      </w:pPr>
      <w:r w:rsidRPr="00BD0404">
        <w:rPr>
          <w:sz w:val="19"/>
        </w:rPr>
        <w:t>C.P. César Palomino Cortés.</w:t>
      </w:r>
    </w:p>
    <w:p w14:paraId="1ED5E739" w14:textId="77777777" w:rsidR="00C33338" w:rsidRPr="00BD0404" w:rsidRDefault="00C33338">
      <w:pPr>
        <w:rPr>
          <w:sz w:val="19"/>
        </w:rPr>
        <w:sectPr w:rsidR="00C33338" w:rsidRPr="00BD0404">
          <w:headerReference w:type="default" r:id="rId11"/>
          <w:footerReference w:type="default" r:id="rId12"/>
          <w:pgSz w:w="12240" w:h="15840"/>
          <w:pgMar w:top="1560" w:right="1300" w:bottom="2140" w:left="1400" w:header="737" w:footer="1958" w:gutter="0"/>
          <w:cols w:space="720"/>
        </w:sectPr>
      </w:pPr>
    </w:p>
    <w:p w14:paraId="0F143FD0" w14:textId="77777777" w:rsidR="00C33338" w:rsidRPr="00BD0404" w:rsidRDefault="00C33338">
      <w:pPr>
        <w:pStyle w:val="Textoindependiente"/>
        <w:rPr>
          <w:sz w:val="20"/>
        </w:rPr>
      </w:pPr>
    </w:p>
    <w:p w14:paraId="16E0DAB1" w14:textId="77777777" w:rsidR="00C33338" w:rsidRPr="00BD0404" w:rsidRDefault="00C33338">
      <w:pPr>
        <w:pStyle w:val="Textoindependiente"/>
        <w:spacing w:before="5"/>
        <w:rPr>
          <w:sz w:val="16"/>
        </w:rPr>
      </w:pPr>
    </w:p>
    <w:p w14:paraId="4B3280C2" w14:textId="77777777" w:rsidR="00C33338" w:rsidRPr="00BD0404" w:rsidRDefault="001852D0">
      <w:pPr>
        <w:pStyle w:val="Textoindependiente"/>
        <w:spacing w:before="93" w:line="278" w:lineRule="auto"/>
        <w:ind w:left="300" w:right="312"/>
        <w:jc w:val="both"/>
      </w:pPr>
      <w:r w:rsidRPr="00BD0404">
        <w:t>representación de la respectiva entidad pública, que de acuerdo con la ley tienen capacidad para expedir actos</w:t>
      </w:r>
      <w:r w:rsidRPr="00BD0404">
        <w:rPr>
          <w:spacing w:val="-6"/>
        </w:rPr>
        <w:t xml:space="preserve"> </w:t>
      </w:r>
      <w:r w:rsidRPr="00BD0404">
        <w:t>administrativos</w:t>
      </w:r>
      <w:r w:rsidRPr="00BD0404">
        <w:rPr>
          <w:vertAlign w:val="superscript"/>
        </w:rPr>
        <w:t>21</w:t>
      </w:r>
      <w:r w:rsidRPr="00BD0404">
        <w:t>.</w:t>
      </w:r>
    </w:p>
    <w:p w14:paraId="6B825EC0" w14:textId="77777777" w:rsidR="00C33338" w:rsidRPr="00BD0404" w:rsidRDefault="001852D0">
      <w:pPr>
        <w:pStyle w:val="Textoindependiente"/>
        <w:spacing w:line="276" w:lineRule="auto"/>
        <w:ind w:left="300" w:right="306" w:firstLine="709"/>
        <w:jc w:val="both"/>
      </w:pPr>
      <w:r w:rsidRPr="00BD0404">
        <w:t>Por su parte, Agustín Gordillo, en relación con la firma del acto, señala que es un fundamento de este, pues acredita que la voluntad efectivamente ha sido emitida en la forma que tal acto indica. Si falta la firma no hay acto: no se trata de un vicio de forma, sino de la inexistencia de la voluntad administrativa de dictar el acto</w:t>
      </w:r>
      <w:r w:rsidRPr="00BD0404">
        <w:rPr>
          <w:vertAlign w:val="superscript"/>
        </w:rPr>
        <w:t>22</w:t>
      </w:r>
      <w:r w:rsidRPr="00BD0404">
        <w:t>.</w:t>
      </w:r>
    </w:p>
    <w:p w14:paraId="0379E882" w14:textId="77777777" w:rsidR="00C33338" w:rsidRPr="00BD0404" w:rsidRDefault="001852D0">
      <w:pPr>
        <w:pStyle w:val="Textoindependiente"/>
        <w:spacing w:line="276" w:lineRule="auto"/>
        <w:ind w:left="300" w:right="307" w:firstLine="709"/>
        <w:jc w:val="both"/>
      </w:pPr>
      <w:r w:rsidRPr="00BD0404">
        <w:t>De la posición de la doctrina y la jurisprudencia se infiere que la firma es un requisito necesario para su existencia. En este sentido, si el acto administrativo no la tiene, en un primer momento se entendería que no existe. Ahora, si se demuestra, a través de otros medios de prueba, que a pesar de no tener firma fue expedido por el funcionario competente no se podrá negar su existencia. En este caso se asume una carga probatoria especial que permita establecer a partir de indicios y otros medios de prueba, si fue proferido por el funcionario competente, pese a que no firmó el</w:t>
      </w:r>
      <w:r w:rsidRPr="00BD0404">
        <w:rPr>
          <w:spacing w:val="-19"/>
        </w:rPr>
        <w:t xml:space="preserve"> </w:t>
      </w:r>
      <w:r w:rsidRPr="00BD0404">
        <w:t>documento.</w:t>
      </w:r>
    </w:p>
    <w:p w14:paraId="76D98755" w14:textId="77777777" w:rsidR="00C33338" w:rsidRPr="00BD0404" w:rsidRDefault="001852D0">
      <w:pPr>
        <w:pStyle w:val="Textoindependiente"/>
        <w:spacing w:line="276" w:lineRule="auto"/>
        <w:ind w:left="300" w:right="307" w:firstLine="704"/>
        <w:jc w:val="both"/>
      </w:pPr>
      <w:r w:rsidRPr="00BD0404">
        <w:t>Por otro lado, en relación con la necesidad de que el contrato se firme, en virtud del artículo 94 de la Ley 489 de 1998, los contratos que celebran las empresas industriales y comerciales del Estado para el desarrollo de su actividad propia, industrial o comercial o de gestión económica se sujetarán a las disposiciones del derecho privado y, por lo tanto, salvo norma especial, se perfeccionan por el solo acuerdo de voluntad de las partes. Así lo concluyó el Consejo de Estado en la sentencia del 8 de abril de 2014 con ponencia de Enrique Gil Botero:</w:t>
      </w:r>
    </w:p>
    <w:p w14:paraId="1229CC5B" w14:textId="77777777" w:rsidR="00C33338" w:rsidRPr="00BD0404" w:rsidRDefault="00C33338">
      <w:pPr>
        <w:pStyle w:val="Textoindependiente"/>
        <w:spacing w:before="7"/>
        <w:rPr>
          <w:sz w:val="20"/>
        </w:rPr>
      </w:pPr>
    </w:p>
    <w:p w14:paraId="689177ED" w14:textId="77777777" w:rsidR="00C33338" w:rsidRPr="00BD0404" w:rsidRDefault="001852D0">
      <w:pPr>
        <w:ind w:left="1005" w:right="1012"/>
        <w:jc w:val="both"/>
        <w:rPr>
          <w:sz w:val="21"/>
        </w:rPr>
      </w:pPr>
      <w:r w:rsidRPr="00BD0404">
        <w:rPr>
          <w:sz w:val="21"/>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 aunque sí podrían hacerlo para otros efectos, pero no para que exista el acuerdo de</w:t>
      </w:r>
      <w:r w:rsidRPr="00BD0404">
        <w:rPr>
          <w:spacing w:val="-18"/>
          <w:sz w:val="21"/>
        </w:rPr>
        <w:t xml:space="preserve"> </w:t>
      </w:r>
      <w:r w:rsidRPr="00BD0404">
        <w:rPr>
          <w:sz w:val="21"/>
        </w:rPr>
        <w:t>voluntades</w:t>
      </w:r>
    </w:p>
    <w:p w14:paraId="2FB2BA22" w14:textId="77777777" w:rsidR="00C33338" w:rsidRPr="00BD0404" w:rsidRDefault="001852D0">
      <w:pPr>
        <w:spacing w:before="2"/>
        <w:ind w:left="1005"/>
        <w:rPr>
          <w:sz w:val="21"/>
        </w:rPr>
      </w:pPr>
      <w:r w:rsidRPr="00BD0404">
        <w:rPr>
          <w:sz w:val="21"/>
        </w:rPr>
        <w:t>[…]</w:t>
      </w:r>
    </w:p>
    <w:p w14:paraId="769B6791" w14:textId="77777777" w:rsidR="00C33338" w:rsidRPr="00BD0404" w:rsidRDefault="00C33338">
      <w:pPr>
        <w:pStyle w:val="Textoindependiente"/>
        <w:spacing w:before="11"/>
        <w:rPr>
          <w:sz w:val="20"/>
        </w:rPr>
      </w:pPr>
    </w:p>
    <w:p w14:paraId="42E10EE0" w14:textId="77777777" w:rsidR="00C33338" w:rsidRPr="00BD0404" w:rsidRDefault="001852D0">
      <w:pPr>
        <w:ind w:left="1005" w:right="1018"/>
        <w:jc w:val="both"/>
        <w:rPr>
          <w:sz w:val="21"/>
        </w:rPr>
      </w:pPr>
      <w:r w:rsidRPr="00BD0404">
        <w:rPr>
          <w:sz w:val="21"/>
        </w:rPr>
        <w:t>Lo anterior significa que la obligación de que exista acuerdo sobre el objeto y la contraprestación, y que conste por escrito ─art. 41─ es propio de los contratos de Ley 80, en cambio los regidos por el derecho privado exigen simplemente el</w:t>
      </w:r>
    </w:p>
    <w:p w14:paraId="4F04821D" w14:textId="77777777" w:rsidR="00C33338" w:rsidRPr="00BD0404" w:rsidRDefault="00C33338">
      <w:pPr>
        <w:pStyle w:val="Textoindependiente"/>
        <w:rPr>
          <w:sz w:val="20"/>
        </w:rPr>
      </w:pPr>
    </w:p>
    <w:p w14:paraId="7B006B19" w14:textId="7AE5545F" w:rsidR="00C33338" w:rsidRPr="00BD0404" w:rsidRDefault="00EF0C76">
      <w:pPr>
        <w:pStyle w:val="Textoindependiente"/>
        <w:spacing w:before="2"/>
        <w:rPr>
          <w:sz w:val="11"/>
        </w:rPr>
      </w:pPr>
      <w:r>
        <w:rPr>
          <w:noProof/>
          <w:lang w:val="en-US"/>
        </w:rPr>
        <mc:AlternateContent>
          <mc:Choice Requires="wps">
            <w:drawing>
              <wp:anchor distT="0" distB="0" distL="0" distR="0" simplePos="0" relativeHeight="487593984" behindDoc="1" locked="0" layoutInCell="1" allowOverlap="1" wp14:anchorId="32B4B5D0" wp14:editId="5C9FD619">
                <wp:simplePos x="0" y="0"/>
                <wp:positionH relativeFrom="page">
                  <wp:posOffset>1080135</wp:posOffset>
                </wp:positionH>
                <wp:positionV relativeFrom="paragraph">
                  <wp:posOffset>106680</wp:posOffset>
                </wp:positionV>
                <wp:extent cx="1828800" cy="9525"/>
                <wp:effectExtent l="0" t="0" r="0" b="0"/>
                <wp:wrapTopAndBottom/>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916D" id="Rectangle 7" o:spid="_x0000_s1026" style="position:absolute;margin-left:85.05pt;margin-top:8.4pt;width:2in;height:.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" fillcolor="black" stroked="f">
                <w10:wrap type="topAndBottom" anchorx="page"/>
              </v:rect>
            </w:pict>
          </mc:Fallback>
        </mc:AlternateContent>
      </w:r>
    </w:p>
    <w:p w14:paraId="5A1992BE" w14:textId="77777777" w:rsidR="00C33338" w:rsidRPr="00BD0404" w:rsidRDefault="001852D0">
      <w:pPr>
        <w:spacing w:before="82"/>
        <w:ind w:left="300" w:right="307" w:firstLine="707"/>
        <w:rPr>
          <w:sz w:val="19"/>
        </w:rPr>
      </w:pPr>
      <w:r w:rsidRPr="00BD0404">
        <w:rPr>
          <w:sz w:val="19"/>
          <w:vertAlign w:val="superscript"/>
        </w:rPr>
        <w:t>21</w:t>
      </w:r>
      <w:r w:rsidRPr="00BD0404">
        <w:rPr>
          <w:sz w:val="19"/>
        </w:rPr>
        <w:t xml:space="preserve"> Consejo de Estado. Sección Primera. Auto del 19 de julio de 2019. Rad. 11001-03-25-000- 2015-00236-00. C.P. Oswaldo Giraldo López.</w:t>
      </w:r>
    </w:p>
    <w:p w14:paraId="221F7C2F" w14:textId="77777777" w:rsidR="00C33338" w:rsidRPr="00BD0404" w:rsidRDefault="00C33338">
      <w:pPr>
        <w:pStyle w:val="Textoindependiente"/>
        <w:spacing w:before="2"/>
        <w:rPr>
          <w:sz w:val="19"/>
        </w:rPr>
      </w:pPr>
    </w:p>
    <w:p w14:paraId="2CEBE5E6" w14:textId="77777777" w:rsidR="00C33338" w:rsidRPr="00BD0404" w:rsidRDefault="001852D0">
      <w:pPr>
        <w:spacing w:line="249" w:lineRule="auto"/>
        <w:ind w:left="300" w:right="346" w:firstLine="707"/>
        <w:rPr>
          <w:sz w:val="19"/>
        </w:rPr>
      </w:pPr>
      <w:r w:rsidRPr="00BD0404">
        <w:rPr>
          <w:rFonts w:ascii="Carlito" w:hAnsi="Carlito"/>
          <w:position w:val="6"/>
          <w:sz w:val="12"/>
        </w:rPr>
        <w:t xml:space="preserve">22 </w:t>
      </w:r>
      <w:r w:rsidRPr="00BD0404">
        <w:rPr>
          <w:sz w:val="19"/>
        </w:rPr>
        <w:t>GORDILLO, Agustín. Tratado de Derecho Administrativo y obras selectas. Tomo 8. Teoría General del derecho administrativo. Buenos Aires: FDA, 2013. p. 355.</w:t>
      </w:r>
    </w:p>
    <w:p w14:paraId="70DF85B0" w14:textId="77777777" w:rsidR="00C33338" w:rsidRPr="00BD0404" w:rsidRDefault="00C33338">
      <w:pPr>
        <w:spacing w:line="249" w:lineRule="auto"/>
        <w:rPr>
          <w:sz w:val="19"/>
        </w:rPr>
        <w:sectPr w:rsidR="00C33338" w:rsidRPr="00BD0404">
          <w:pgSz w:w="12240" w:h="15840"/>
          <w:pgMar w:top="1560" w:right="1300" w:bottom="2140" w:left="1400" w:header="737" w:footer="1958" w:gutter="0"/>
          <w:cols w:space="720"/>
        </w:sectPr>
      </w:pPr>
    </w:p>
    <w:p w14:paraId="4A18A8AC" w14:textId="77777777" w:rsidR="00C33338" w:rsidRPr="00BD0404" w:rsidRDefault="00C33338">
      <w:pPr>
        <w:pStyle w:val="Textoindependiente"/>
        <w:rPr>
          <w:sz w:val="20"/>
        </w:rPr>
      </w:pPr>
    </w:p>
    <w:p w14:paraId="2F0BB284" w14:textId="77777777" w:rsidR="00C33338" w:rsidRPr="00BD0404" w:rsidRDefault="00C33338">
      <w:pPr>
        <w:pStyle w:val="Textoindependiente"/>
        <w:spacing w:before="4"/>
        <w:rPr>
          <w:sz w:val="16"/>
        </w:rPr>
      </w:pPr>
    </w:p>
    <w:p w14:paraId="6ECC383C" w14:textId="77777777" w:rsidR="00C33338" w:rsidRPr="00BD0404" w:rsidRDefault="001852D0">
      <w:pPr>
        <w:spacing w:before="94"/>
        <w:ind w:left="1005" w:right="1018"/>
        <w:jc w:val="both"/>
        <w:rPr>
          <w:sz w:val="21"/>
        </w:rPr>
      </w:pPr>
      <w:r w:rsidRPr="00BD0404">
        <w:rPr>
          <w:sz w:val="21"/>
        </w:rPr>
        <w:t>acuerdo de voluntades, como regla general consensual, sobre el contrato, pero la ritualidad de la escritura no es necesaria para la existencia, salvo excepciones que la misma ley privada</w:t>
      </w:r>
      <w:r w:rsidRPr="00BD0404">
        <w:rPr>
          <w:spacing w:val="-14"/>
          <w:sz w:val="21"/>
        </w:rPr>
        <w:t xml:space="preserve"> </w:t>
      </w:r>
      <w:r w:rsidRPr="00BD0404">
        <w:rPr>
          <w:sz w:val="21"/>
        </w:rPr>
        <w:t>contempla</w:t>
      </w:r>
      <w:r w:rsidRPr="00BD0404">
        <w:rPr>
          <w:position w:val="7"/>
          <w:sz w:val="14"/>
        </w:rPr>
        <w:t>23</w:t>
      </w:r>
      <w:r w:rsidRPr="00BD0404">
        <w:rPr>
          <w:sz w:val="21"/>
        </w:rPr>
        <w:t>.</w:t>
      </w:r>
    </w:p>
    <w:p w14:paraId="2B963E2C" w14:textId="77777777" w:rsidR="00C33338" w:rsidRPr="00BD0404" w:rsidRDefault="00C33338">
      <w:pPr>
        <w:pStyle w:val="Textoindependiente"/>
        <w:spacing w:before="2"/>
        <w:rPr>
          <w:sz w:val="25"/>
        </w:rPr>
      </w:pPr>
    </w:p>
    <w:p w14:paraId="3DDBF8DF" w14:textId="77777777" w:rsidR="00C33338" w:rsidRPr="00BD0404" w:rsidRDefault="001852D0">
      <w:pPr>
        <w:pStyle w:val="Textoindependiente"/>
        <w:spacing w:line="276" w:lineRule="auto"/>
        <w:ind w:left="300" w:right="310" w:firstLine="709"/>
        <w:jc w:val="both"/>
      </w:pPr>
      <w:r w:rsidRPr="00BD0404">
        <w:t>De conformidad con lo anterior, los contratos que celebren las empresas industriales y comerciales del estado, por regla general, se perfeccionan por el sólo acuerdo de voluntades. En estos casos se entiende que para que exista no se requiere firma de quienes celebran el contrato; pero si las partes celebran un contrato escrito sí se necesita para reconocer la autoría del</w:t>
      </w:r>
      <w:r w:rsidRPr="00BD0404">
        <w:rPr>
          <w:spacing w:val="-6"/>
        </w:rPr>
        <w:t xml:space="preserve"> </w:t>
      </w:r>
      <w:r w:rsidRPr="00BD0404">
        <w:t>documento.</w:t>
      </w:r>
    </w:p>
    <w:p w14:paraId="3AE76984" w14:textId="77777777" w:rsidR="00C33338" w:rsidRPr="00BD0404" w:rsidRDefault="001852D0">
      <w:pPr>
        <w:pStyle w:val="Textoindependiente"/>
        <w:spacing w:line="276" w:lineRule="auto"/>
        <w:ind w:left="300" w:right="312" w:firstLine="709"/>
        <w:jc w:val="both"/>
      </w:pPr>
      <w:r w:rsidRPr="00BD0404">
        <w:t>Al respecto, el Consejo de Estado, Sección Tercera, en sentencia del 6 de marzo de 2013, con ponencia de Jaime Orlando Santofimio Gamboa, estableció la necesidad de que el contrato esté firmado por quienes lo celebran, so pena que no se haya perfeccionado:</w:t>
      </w:r>
    </w:p>
    <w:p w14:paraId="5AC7B303" w14:textId="77777777" w:rsidR="00C33338" w:rsidRPr="00BD0404" w:rsidRDefault="00C33338">
      <w:pPr>
        <w:pStyle w:val="Textoindependiente"/>
        <w:spacing w:before="10"/>
        <w:rPr>
          <w:sz w:val="21"/>
        </w:rPr>
      </w:pPr>
    </w:p>
    <w:p w14:paraId="3A2B4D90" w14:textId="77777777" w:rsidR="00C33338" w:rsidRPr="00BD0404" w:rsidRDefault="001852D0">
      <w:pPr>
        <w:ind w:left="1008" w:right="1018"/>
        <w:jc w:val="both"/>
        <w:rPr>
          <w:sz w:val="21"/>
        </w:rPr>
      </w:pPr>
      <w:r w:rsidRPr="00BD0404">
        <w:rPr>
          <w:sz w:val="21"/>
        </w:rPr>
        <w:t>Los contratos pueden ser solemnes, consensuales o reales, siendo los primeros aquellos en los que para su perfeccionamiento es necesaria una solemnidad que expresamente se pide. Cuando el negocio jurídico es solemne, la solemnidad exigida, amén de perfeccionarlo o hacerlo surgir a la vida jurídica, cumple la función de demostrar su existencia, si esa solemnidad consiste en un escrito o documento, con la característica de ser la única prueba admisible para ello por así disponerlo la</w:t>
      </w:r>
      <w:r w:rsidRPr="00BD0404">
        <w:rPr>
          <w:spacing w:val="-7"/>
          <w:sz w:val="21"/>
        </w:rPr>
        <w:t xml:space="preserve"> </w:t>
      </w:r>
      <w:r w:rsidRPr="00BD0404">
        <w:rPr>
          <w:sz w:val="21"/>
        </w:rPr>
        <w:t>ley.</w:t>
      </w:r>
    </w:p>
    <w:p w14:paraId="2A4B4E21" w14:textId="77777777" w:rsidR="00C33338" w:rsidRPr="00BD0404" w:rsidRDefault="001852D0">
      <w:pPr>
        <w:spacing w:line="241" w:lineRule="exact"/>
        <w:ind w:left="1008"/>
        <w:rPr>
          <w:sz w:val="21"/>
        </w:rPr>
      </w:pPr>
      <w:r w:rsidRPr="00BD0404">
        <w:rPr>
          <w:sz w:val="21"/>
        </w:rPr>
        <w:t>[…]</w:t>
      </w:r>
    </w:p>
    <w:p w14:paraId="26010009" w14:textId="77777777" w:rsidR="00C33338" w:rsidRPr="00BD0404" w:rsidRDefault="00C33338">
      <w:pPr>
        <w:pStyle w:val="Textoindependiente"/>
        <w:rPr>
          <w:sz w:val="21"/>
        </w:rPr>
      </w:pPr>
    </w:p>
    <w:p w14:paraId="0F6B2E04" w14:textId="77777777" w:rsidR="00C33338" w:rsidRPr="00BD0404" w:rsidRDefault="001852D0">
      <w:pPr>
        <w:ind w:left="1008" w:right="1020"/>
        <w:jc w:val="both"/>
        <w:rPr>
          <w:sz w:val="21"/>
        </w:rPr>
      </w:pPr>
      <w:r w:rsidRPr="00BD0404">
        <w:rPr>
          <w:sz w:val="21"/>
        </w:rPr>
        <w:t>Pues bien, todo lo anteriormente expresado y citado lleva a concluir que el contrato del Estado es solemne por regla general y por consiguiente para su perfeccionamiento es necesario que él se plasme en un documento escrito que deberá llevar la firma de quienes lo celebran.</w:t>
      </w:r>
    </w:p>
    <w:p w14:paraId="1DD113A4" w14:textId="77777777" w:rsidR="00C33338" w:rsidRPr="00BD0404" w:rsidRDefault="001852D0">
      <w:pPr>
        <w:spacing w:before="1"/>
        <w:ind w:left="1008" w:right="1012"/>
        <w:jc w:val="both"/>
        <w:rPr>
          <w:sz w:val="21"/>
        </w:rPr>
      </w:pPr>
      <w:r w:rsidRPr="00BD0404">
        <w:rPr>
          <w:sz w:val="21"/>
        </w:rPr>
        <w:t>En consecuencia, salvo algunos casos de urgencia manifiesta, si el contrato del Estado no consta en un documento escrito, o a este le hace falta la firma de alguna o todas las partes contratantes, es conclusión obligada que él no se ha perfeccionado. […] Revisados los documentos que obran en el plenario se observa que no obra un documento idóneo que demuestre la celebración del contrato que la parte demandante alega haber celebrado con la demandada […] en el expediente aparece un documento escrito que sólo está firmado por el aquí demandado o, lo que es lo mismo, en el que se echa de menos la firma del demandante. Como tal cosa no hizo el demandante, es decir no demostró la existencia del contrato de prestación de servicios que dice haber celebrado, se sigue que tampoco probó las obligaciones a cargo del demandado puesto que sólo demostrando aquel se demuestran</w:t>
      </w:r>
      <w:r w:rsidRPr="00BD0404">
        <w:rPr>
          <w:spacing w:val="-8"/>
          <w:sz w:val="21"/>
        </w:rPr>
        <w:t xml:space="preserve"> </w:t>
      </w:r>
      <w:r w:rsidRPr="00BD0404">
        <w:rPr>
          <w:sz w:val="21"/>
        </w:rPr>
        <w:t>estas</w:t>
      </w:r>
      <w:r w:rsidRPr="00BD0404">
        <w:rPr>
          <w:position w:val="7"/>
          <w:sz w:val="14"/>
        </w:rPr>
        <w:t>24</w:t>
      </w:r>
      <w:r w:rsidRPr="00BD0404">
        <w:rPr>
          <w:sz w:val="21"/>
        </w:rPr>
        <w:t>.</w:t>
      </w:r>
    </w:p>
    <w:p w14:paraId="78EB394A" w14:textId="7FCA294E" w:rsidR="00C33338" w:rsidRPr="00BD0404" w:rsidRDefault="00EF0C76">
      <w:pPr>
        <w:pStyle w:val="Textoindependiente"/>
        <w:spacing w:before="10"/>
        <w:rPr>
          <w:sz w:val="26"/>
        </w:rPr>
      </w:pPr>
      <w:r>
        <w:rPr>
          <w:noProof/>
          <w:lang w:val="en-US"/>
        </w:rPr>
        <mc:AlternateContent>
          <mc:Choice Requires="wps">
            <w:drawing>
              <wp:anchor distT="0" distB="0" distL="0" distR="0" simplePos="0" relativeHeight="487594496" behindDoc="1" locked="0" layoutInCell="1" allowOverlap="1" wp14:anchorId="59AFBB76" wp14:editId="1710EFBF">
                <wp:simplePos x="0" y="0"/>
                <wp:positionH relativeFrom="page">
                  <wp:posOffset>1080135</wp:posOffset>
                </wp:positionH>
                <wp:positionV relativeFrom="paragraph">
                  <wp:posOffset>221615</wp:posOffset>
                </wp:positionV>
                <wp:extent cx="1828800" cy="9525"/>
                <wp:effectExtent l="0" t="0" r="0" b="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2714" id="Rectangle 6" o:spid="_x0000_s1026" style="position:absolute;margin-left:85.05pt;margin-top:17.45pt;width:2in;height:.7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" fillcolor="black" stroked="f">
                <w10:wrap type="topAndBottom" anchorx="page"/>
              </v:rect>
            </w:pict>
          </mc:Fallback>
        </mc:AlternateContent>
      </w:r>
    </w:p>
    <w:p w14:paraId="7301CD5B" w14:textId="77777777" w:rsidR="00C33338" w:rsidRPr="00BD0404" w:rsidRDefault="001852D0">
      <w:pPr>
        <w:spacing w:before="82" w:line="252" w:lineRule="auto"/>
        <w:ind w:left="300" w:right="346" w:firstLine="707"/>
        <w:rPr>
          <w:sz w:val="19"/>
        </w:rPr>
      </w:pPr>
      <w:r w:rsidRPr="00BD0404">
        <w:rPr>
          <w:rFonts w:ascii="Carlito" w:hAnsi="Carlito"/>
          <w:position w:val="6"/>
          <w:sz w:val="12"/>
        </w:rPr>
        <w:t xml:space="preserve">23 </w:t>
      </w:r>
      <w:r w:rsidRPr="00BD0404">
        <w:rPr>
          <w:sz w:val="19"/>
        </w:rPr>
        <w:t>Consejo de Estado. Sección Tercera. Subsección C. Sentencia del 8 de abril de 2014. Exp. 25.801. C.P. Enrique Gil Botero.</w:t>
      </w:r>
    </w:p>
    <w:p w14:paraId="27301778" w14:textId="77777777" w:rsidR="00C33338" w:rsidRPr="00BD0404" w:rsidRDefault="001852D0">
      <w:pPr>
        <w:spacing w:line="210" w:lineRule="exact"/>
        <w:ind w:left="1008"/>
        <w:rPr>
          <w:sz w:val="19"/>
        </w:rPr>
      </w:pPr>
      <w:r w:rsidRPr="00BD0404">
        <w:rPr>
          <w:rFonts w:ascii="Carlito" w:hAnsi="Carlito"/>
          <w:position w:val="6"/>
          <w:sz w:val="12"/>
        </w:rPr>
        <w:t xml:space="preserve">24 </w:t>
      </w:r>
      <w:r w:rsidRPr="00BD0404">
        <w:rPr>
          <w:sz w:val="19"/>
        </w:rPr>
        <w:t>Consejo de Estado. Sección Tercera. Subsección C. Sentencia del 6 de marzo de 2013. Exp.</w:t>
      </w:r>
    </w:p>
    <w:p w14:paraId="7B01105C" w14:textId="77777777" w:rsidR="00C33338" w:rsidRPr="00BD0404" w:rsidRDefault="001852D0">
      <w:pPr>
        <w:spacing w:before="12"/>
        <w:ind w:left="300"/>
        <w:rPr>
          <w:sz w:val="19"/>
        </w:rPr>
      </w:pPr>
      <w:r w:rsidRPr="00BD0404">
        <w:rPr>
          <w:sz w:val="19"/>
        </w:rPr>
        <w:t>24.896. C.P. Jaime Orlando Santofimio Gamboa.</w:t>
      </w:r>
    </w:p>
    <w:p w14:paraId="72DD9B58" w14:textId="77777777" w:rsidR="00C33338" w:rsidRPr="00BD0404" w:rsidRDefault="00C33338">
      <w:pPr>
        <w:rPr>
          <w:sz w:val="19"/>
        </w:rPr>
        <w:sectPr w:rsidR="00C33338" w:rsidRPr="00BD0404">
          <w:pgSz w:w="12240" w:h="15840"/>
          <w:pgMar w:top="1560" w:right="1300" w:bottom="2140" w:left="1400" w:header="737" w:footer="1958" w:gutter="0"/>
          <w:cols w:space="720"/>
        </w:sectPr>
      </w:pPr>
    </w:p>
    <w:p w14:paraId="3A9D7DF9" w14:textId="77777777" w:rsidR="00C33338" w:rsidRPr="00BD0404" w:rsidRDefault="00C33338">
      <w:pPr>
        <w:pStyle w:val="Textoindependiente"/>
        <w:rPr>
          <w:sz w:val="20"/>
        </w:rPr>
      </w:pPr>
    </w:p>
    <w:p w14:paraId="46F68ECD" w14:textId="77777777" w:rsidR="00C33338" w:rsidRPr="00BD0404" w:rsidRDefault="00C33338">
      <w:pPr>
        <w:pStyle w:val="Textoindependiente"/>
        <w:rPr>
          <w:sz w:val="20"/>
        </w:rPr>
      </w:pPr>
    </w:p>
    <w:p w14:paraId="7BD1240A" w14:textId="77777777" w:rsidR="00C33338" w:rsidRPr="00BD0404" w:rsidRDefault="00C33338">
      <w:pPr>
        <w:pStyle w:val="Textoindependiente"/>
        <w:spacing w:before="7"/>
        <w:rPr>
          <w:sz w:val="20"/>
        </w:rPr>
      </w:pPr>
    </w:p>
    <w:p w14:paraId="21607E1C" w14:textId="77777777" w:rsidR="00C33338" w:rsidRPr="00BD0404" w:rsidRDefault="001852D0">
      <w:pPr>
        <w:pStyle w:val="Textoindependiente"/>
        <w:spacing w:before="93" w:line="276" w:lineRule="auto"/>
        <w:ind w:left="300" w:right="310" w:firstLine="709"/>
        <w:jc w:val="both"/>
      </w:pPr>
      <w:r w:rsidRPr="00BD0404">
        <w:t>Por lo tanto, en los casos que las empresas industriales y comerciales del estado celebren contratos de forma escrita se requerirá la firma de las partes para que exista; ahora, si el contrato se perfecciona por el solo acuerdo de voluntad, es decir, de forma consensual, no será necesaria la firma.</w:t>
      </w:r>
    </w:p>
    <w:p w14:paraId="0DD2AFFF" w14:textId="77777777" w:rsidR="00C33338" w:rsidRPr="00BD0404" w:rsidRDefault="001852D0">
      <w:pPr>
        <w:pStyle w:val="Textoindependiente"/>
        <w:spacing w:before="1" w:line="276" w:lineRule="auto"/>
        <w:ind w:left="300" w:right="303" w:firstLine="709"/>
        <w:jc w:val="both"/>
      </w:pPr>
      <w:r w:rsidRPr="00BD0404">
        <w:t>El ordenamiento jurídico colombiano, en 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Ahora, el ordenamiento jurídico reconoce la firma manuscrita, digital o electrónica.</w:t>
      </w:r>
    </w:p>
    <w:p w14:paraId="66B68979" w14:textId="77777777" w:rsidR="00C33338" w:rsidRPr="00BD0404" w:rsidRDefault="001852D0">
      <w:pPr>
        <w:pStyle w:val="Textoindependiente"/>
        <w:spacing w:line="276" w:lineRule="auto"/>
        <w:ind w:left="300" w:right="307" w:firstLine="709"/>
        <w:jc w:val="both"/>
      </w:pPr>
      <w:r w:rsidRPr="00BD0404">
        <w:t>La firma manuscrita, pese a no tener una definición legal, Nelson Remolina Angarita y Lisandro Peña Nosa, señalan que es «un rasgo o signo impuesto del puño y letra de una persona, con el cual, de forma general y reiterada se compromete con el contenido de los documentos que la consignan»</w:t>
      </w:r>
      <w:r w:rsidRPr="00BD0404">
        <w:rPr>
          <w:vertAlign w:val="superscript"/>
        </w:rPr>
        <w:t>25</w:t>
      </w:r>
      <w:r w:rsidRPr="00BD0404">
        <w:t>.</w:t>
      </w:r>
    </w:p>
    <w:p w14:paraId="03C4DDDF" w14:textId="77777777" w:rsidR="00C33338" w:rsidRPr="00BD0404" w:rsidRDefault="001852D0">
      <w:pPr>
        <w:pStyle w:val="Textoindependiente"/>
        <w:spacing w:before="1" w:line="276" w:lineRule="auto"/>
        <w:ind w:left="300" w:right="310" w:firstLine="709"/>
        <w:jc w:val="both"/>
      </w:pPr>
      <w:r w:rsidRPr="00BD0404">
        <w:t>Ahora, la Ley 527 de 1999, en el artículo 2, define la firma digital como un valor número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w:t>
      </w:r>
    </w:p>
    <w:p w14:paraId="3280719B" w14:textId="77777777" w:rsidR="00C33338" w:rsidRPr="00BD0404" w:rsidRDefault="001852D0">
      <w:pPr>
        <w:pStyle w:val="Textoindependiente"/>
        <w:spacing w:line="276" w:lineRule="auto"/>
        <w:ind w:left="300" w:right="305" w:firstLine="709"/>
        <w:jc w:val="both"/>
      </w:pPr>
      <w:r w:rsidRPr="00BD0404">
        <w:t>El Decreto 2364 de 2012, artículo 1, define la firma electrónica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w:t>
      </w:r>
    </w:p>
    <w:p w14:paraId="049306A1" w14:textId="77777777" w:rsidR="00C33338" w:rsidRPr="00BD0404" w:rsidRDefault="001852D0">
      <w:pPr>
        <w:pStyle w:val="Textoindependiente"/>
        <w:spacing w:before="2" w:line="276" w:lineRule="auto"/>
        <w:ind w:left="300" w:right="306" w:firstLine="709"/>
        <w:jc w:val="both"/>
      </w:pPr>
      <w:r w:rsidRPr="00BD0404">
        <w:t>En relación con las firmas que se realizan por un mensaje de datos, el artículo 7 de la Ley 527 de 1999 señala que se deben cumplir los siguientes requisitos: i) se ha utilizado un método que permita identificador el iniciador de un mensaje de datos y para indicar que</w:t>
      </w:r>
    </w:p>
    <w:p w14:paraId="1771EE43" w14:textId="77777777" w:rsidR="00C33338" w:rsidRPr="00BD0404" w:rsidRDefault="00C33338">
      <w:pPr>
        <w:pStyle w:val="Textoindependiente"/>
        <w:rPr>
          <w:sz w:val="20"/>
        </w:rPr>
      </w:pPr>
    </w:p>
    <w:p w14:paraId="08CE346B" w14:textId="3F254D3C" w:rsidR="00C33338" w:rsidRPr="00BD0404" w:rsidRDefault="00EF0C76">
      <w:pPr>
        <w:pStyle w:val="Textoindependiente"/>
        <w:rPr>
          <w:sz w:val="11"/>
        </w:rPr>
      </w:pPr>
      <w:r>
        <w:rPr>
          <w:noProof/>
          <w:lang w:val="en-US"/>
        </w:rPr>
        <mc:AlternateContent>
          <mc:Choice Requires="wps">
            <w:drawing>
              <wp:anchor distT="0" distB="0" distL="0" distR="0" simplePos="0" relativeHeight="487595008" behindDoc="1" locked="0" layoutInCell="1" allowOverlap="1" wp14:anchorId="45B781F9" wp14:editId="09BD52FC">
                <wp:simplePos x="0" y="0"/>
                <wp:positionH relativeFrom="page">
                  <wp:posOffset>1080135</wp:posOffset>
                </wp:positionH>
                <wp:positionV relativeFrom="paragraph">
                  <wp:posOffset>105410</wp:posOffset>
                </wp:positionV>
                <wp:extent cx="5671820" cy="9525"/>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604F2" id="Rectangle 5" o:spid="_x0000_s1026" style="position:absolute;margin-left:85.05pt;margin-top:8.3pt;width:446.6pt;height:.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" fillcolor="black" stroked="f">
                <w10:wrap type="topAndBottom" anchorx="page"/>
              </v:rect>
            </w:pict>
          </mc:Fallback>
        </mc:AlternateContent>
      </w:r>
    </w:p>
    <w:p w14:paraId="69BDA990" w14:textId="77777777" w:rsidR="00C33338" w:rsidRPr="00BD0404" w:rsidRDefault="00C33338">
      <w:pPr>
        <w:pStyle w:val="Textoindependiente"/>
        <w:spacing w:before="1"/>
        <w:rPr>
          <w:sz w:val="18"/>
        </w:rPr>
      </w:pPr>
    </w:p>
    <w:p w14:paraId="2C1ED819" w14:textId="77777777" w:rsidR="00C33338" w:rsidRPr="00BD0404" w:rsidRDefault="001852D0">
      <w:pPr>
        <w:spacing w:before="94" w:line="249" w:lineRule="auto"/>
        <w:ind w:left="300" w:right="346" w:firstLine="707"/>
        <w:rPr>
          <w:sz w:val="19"/>
        </w:rPr>
      </w:pPr>
      <w:r w:rsidRPr="00BD0404">
        <w:rPr>
          <w:rFonts w:ascii="Carlito" w:hAnsi="Carlito"/>
          <w:position w:val="6"/>
          <w:sz w:val="12"/>
        </w:rPr>
        <w:t xml:space="preserve">25 </w:t>
      </w:r>
      <w:r w:rsidRPr="00BD0404">
        <w:rPr>
          <w:sz w:val="19"/>
        </w:rPr>
        <w:t>REMOLINA, Nelson. &amp; PEÑA, Lisandro. De los títulos valores y de los valores en el contexto digital. 1° ed. Bogotá: GECTI Universidad de los Andes. Ediciones Uniandinas. Editorial Temis, 2011.</w:t>
      </w:r>
    </w:p>
    <w:p w14:paraId="3655084E" w14:textId="77777777" w:rsidR="00C33338" w:rsidRPr="00BD0404" w:rsidRDefault="00C33338">
      <w:pPr>
        <w:spacing w:line="249" w:lineRule="auto"/>
        <w:rPr>
          <w:sz w:val="19"/>
        </w:rPr>
        <w:sectPr w:rsidR="00C33338" w:rsidRPr="00BD0404">
          <w:pgSz w:w="12240" w:h="15840"/>
          <w:pgMar w:top="1560" w:right="1300" w:bottom="2140" w:left="1400" w:header="737" w:footer="1958" w:gutter="0"/>
          <w:cols w:space="720"/>
        </w:sectPr>
      </w:pPr>
    </w:p>
    <w:p w14:paraId="772C6E47" w14:textId="77777777" w:rsidR="00C33338" w:rsidRPr="00BD0404" w:rsidRDefault="00C33338">
      <w:pPr>
        <w:pStyle w:val="Textoindependiente"/>
        <w:rPr>
          <w:sz w:val="20"/>
        </w:rPr>
      </w:pPr>
    </w:p>
    <w:p w14:paraId="7E8F80BE" w14:textId="77777777" w:rsidR="00C33338" w:rsidRPr="00BD0404" w:rsidRDefault="00C33338">
      <w:pPr>
        <w:pStyle w:val="Textoindependiente"/>
        <w:spacing w:before="5"/>
        <w:rPr>
          <w:sz w:val="16"/>
        </w:rPr>
      </w:pPr>
    </w:p>
    <w:p w14:paraId="624AE90A" w14:textId="77777777" w:rsidR="00C33338" w:rsidRPr="00BD0404" w:rsidRDefault="001852D0">
      <w:pPr>
        <w:pStyle w:val="Textoindependiente"/>
        <w:spacing w:before="93" w:line="276" w:lineRule="auto"/>
        <w:ind w:left="300" w:right="308"/>
        <w:jc w:val="both"/>
      </w:pPr>
      <w:r w:rsidRPr="00BD0404">
        <w:t>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w:t>
      </w:r>
    </w:p>
    <w:p w14:paraId="6EDB13C0" w14:textId="77777777" w:rsidR="00C33338" w:rsidRPr="00BD0404" w:rsidRDefault="001852D0">
      <w:pPr>
        <w:pStyle w:val="Textoindependiente"/>
        <w:spacing w:before="2" w:line="276" w:lineRule="auto"/>
        <w:ind w:left="300" w:right="304" w:firstLine="709"/>
        <w:jc w:val="both"/>
      </w:pPr>
      <w:r w:rsidRPr="00BD0404">
        <w:t>Explicadas las firmas que se reconocen en el ordenamiento jurídico colombiano, en virtud del artículo 3 del Decreto 4170 de 2011, la Agencia Nacional de Contratación Pública ejerce la función de desarrollar y administrar el Sistema Electrónico para la Contratación Pública ―SECOP. Actualmente, existen dos plataformas del SECOP: i) el SECOP I y ii) el SECOP II. El SECOP I es una plataforma de publicidad mediante la cual las entidades estatales publican los documentos del proceso, desde la planeación del contrato hasta su liquidación; por su parte, el SECOP II es una plataforma transaccional con cuentas para las entidades estatales y los proveedores, a través de la cual, desde sus cuentas las entidades crean, evalúan y adjudican procesos de contratación, y los proveedores hacen comentarios al proceso o envían ofertas.</w:t>
      </w:r>
    </w:p>
    <w:p w14:paraId="659194E6" w14:textId="77777777" w:rsidR="00C33338" w:rsidRPr="00BD0404" w:rsidRDefault="001852D0">
      <w:pPr>
        <w:pStyle w:val="Textoindependiente"/>
        <w:spacing w:before="1" w:line="276" w:lineRule="auto"/>
        <w:ind w:left="300" w:right="307" w:firstLine="709"/>
        <w:jc w:val="both"/>
      </w:pPr>
      <w:r w:rsidRPr="00BD0404">
        <w:t>Debido a que el SECOP I es una plataforma de publicidad, por medio de la cual, se publican los contratos o documentos del proceso en word o en PDF, deberán estar firmados en manuscrito o digital, siempre y cuando cumplan los requisitos de la Ley 527 de 1999, so pena de que no existan. Ahora, no es posible subirlos con una firma electrónica porque esta plataforma no cumple los requisitos previstos en el artículo 7 de la Ley 527 de 1999; en consecuencia, no es viable firmar un contrato por medio de un mensaje de datos, puesto que esta plataforma no es</w:t>
      </w:r>
      <w:r w:rsidRPr="00BD0404">
        <w:rPr>
          <w:spacing w:val="-6"/>
        </w:rPr>
        <w:t xml:space="preserve"> </w:t>
      </w:r>
      <w:r w:rsidRPr="00BD0404">
        <w:t>transaccional.</w:t>
      </w:r>
    </w:p>
    <w:p w14:paraId="1D0A27FA" w14:textId="77777777" w:rsidR="00C33338" w:rsidRPr="00BD0404" w:rsidRDefault="001852D0">
      <w:pPr>
        <w:pStyle w:val="Textoindependiente"/>
        <w:spacing w:line="276" w:lineRule="auto"/>
        <w:ind w:left="300" w:right="305" w:firstLine="709"/>
        <w:jc w:val="both"/>
      </w:pPr>
      <w:r w:rsidRPr="00BD0404">
        <w:t>Ahora, los documentos que deben publicarse en la plataforma del SECOP I es la copia exacta que consta en el expediente original, por tanto, si aquellos están firmados de forma manuscrita se deberá escanear el documento original y publicar su copia. Por su parte, si el acto tiene firma digital se debe publicar su copia, ya sea en documento escaneado o en PDF.</w:t>
      </w:r>
    </w:p>
    <w:p w14:paraId="29AC754B" w14:textId="77777777" w:rsidR="00C33338" w:rsidRPr="00BD0404" w:rsidRDefault="001852D0">
      <w:pPr>
        <w:pStyle w:val="Textoindependiente"/>
        <w:spacing w:line="276" w:lineRule="auto"/>
        <w:ind w:left="300" w:right="306" w:firstLine="709"/>
        <w:jc w:val="both"/>
      </w:pPr>
      <w:r w:rsidRPr="00BD0404">
        <w:t>Si bien, en conceptos previos la Agencia Nacional de Contratación Pública permitió la publicidad de documentos sin firma; estos se refieren a casos en los cuales los actos administrativos del expediente original no tienen firma, ya sea porque es un acto administrativo</w:t>
      </w:r>
      <w:r w:rsidRPr="00BD0404">
        <w:rPr>
          <w:spacing w:val="10"/>
        </w:rPr>
        <w:t xml:space="preserve"> </w:t>
      </w:r>
      <w:r w:rsidRPr="00BD0404">
        <w:t>verbal</w:t>
      </w:r>
      <w:r w:rsidRPr="00BD0404">
        <w:rPr>
          <w:spacing w:val="8"/>
        </w:rPr>
        <w:t xml:space="preserve"> </w:t>
      </w:r>
      <w:r w:rsidRPr="00BD0404">
        <w:t>o</w:t>
      </w:r>
      <w:r w:rsidRPr="00BD0404">
        <w:rPr>
          <w:spacing w:val="10"/>
        </w:rPr>
        <w:t xml:space="preserve"> </w:t>
      </w:r>
      <w:r w:rsidRPr="00BD0404">
        <w:rPr>
          <w:i/>
        </w:rPr>
        <w:t>ficto</w:t>
      </w:r>
      <w:r w:rsidRPr="00BD0404">
        <w:rPr>
          <w:i/>
          <w:vertAlign w:val="superscript"/>
        </w:rPr>
        <w:t>26</w:t>
      </w:r>
      <w:r w:rsidRPr="00BD0404">
        <w:t>;</w:t>
      </w:r>
      <w:r w:rsidRPr="00BD0404">
        <w:rPr>
          <w:spacing w:val="7"/>
        </w:rPr>
        <w:t xml:space="preserve"> </w:t>
      </w:r>
      <w:r w:rsidRPr="00BD0404">
        <w:t>o</w:t>
      </w:r>
      <w:r w:rsidRPr="00BD0404">
        <w:rPr>
          <w:spacing w:val="9"/>
        </w:rPr>
        <w:t xml:space="preserve"> </w:t>
      </w:r>
      <w:r w:rsidRPr="00BD0404">
        <w:t>en</w:t>
      </w:r>
      <w:r w:rsidRPr="00BD0404">
        <w:rPr>
          <w:spacing w:val="8"/>
        </w:rPr>
        <w:t xml:space="preserve"> </w:t>
      </w:r>
      <w:r w:rsidRPr="00BD0404">
        <w:t>los</w:t>
      </w:r>
      <w:r w:rsidRPr="00BD0404">
        <w:rPr>
          <w:spacing w:val="8"/>
        </w:rPr>
        <w:t xml:space="preserve"> </w:t>
      </w:r>
      <w:r w:rsidRPr="00BD0404">
        <w:t>casos</w:t>
      </w:r>
      <w:r w:rsidRPr="00BD0404">
        <w:rPr>
          <w:spacing w:val="8"/>
        </w:rPr>
        <w:t xml:space="preserve"> </w:t>
      </w:r>
      <w:r w:rsidRPr="00BD0404">
        <w:t>que</w:t>
      </w:r>
      <w:r w:rsidRPr="00BD0404">
        <w:rPr>
          <w:spacing w:val="10"/>
        </w:rPr>
        <w:t xml:space="preserve"> </w:t>
      </w:r>
      <w:r w:rsidRPr="00BD0404">
        <w:t>en</w:t>
      </w:r>
      <w:r w:rsidRPr="00BD0404">
        <w:rPr>
          <w:spacing w:val="7"/>
        </w:rPr>
        <w:t xml:space="preserve"> </w:t>
      </w:r>
      <w:r w:rsidRPr="00BD0404">
        <w:t>el</w:t>
      </w:r>
      <w:r w:rsidRPr="00BD0404">
        <w:rPr>
          <w:spacing w:val="9"/>
        </w:rPr>
        <w:t xml:space="preserve"> </w:t>
      </w:r>
      <w:r w:rsidRPr="00BD0404">
        <w:t>acto</w:t>
      </w:r>
      <w:r w:rsidRPr="00BD0404">
        <w:rPr>
          <w:spacing w:val="8"/>
        </w:rPr>
        <w:t xml:space="preserve"> </w:t>
      </w:r>
      <w:r w:rsidRPr="00BD0404">
        <w:t>administrativo</w:t>
      </w:r>
      <w:r w:rsidRPr="00BD0404">
        <w:rPr>
          <w:spacing w:val="8"/>
        </w:rPr>
        <w:t xml:space="preserve"> </w:t>
      </w:r>
      <w:r w:rsidRPr="00BD0404">
        <w:t>escrito</w:t>
      </w:r>
      <w:r w:rsidRPr="00BD0404">
        <w:rPr>
          <w:spacing w:val="8"/>
        </w:rPr>
        <w:t xml:space="preserve"> </w:t>
      </w:r>
      <w:r w:rsidRPr="00BD0404">
        <w:t>no</w:t>
      </w:r>
      <w:r w:rsidRPr="00BD0404">
        <w:rPr>
          <w:spacing w:val="8"/>
        </w:rPr>
        <w:t xml:space="preserve"> </w:t>
      </w:r>
      <w:r w:rsidRPr="00BD0404">
        <w:t>tiene</w:t>
      </w:r>
    </w:p>
    <w:p w14:paraId="581C7F0F" w14:textId="77777777" w:rsidR="00C33338" w:rsidRPr="00BD0404" w:rsidRDefault="00C33338">
      <w:pPr>
        <w:pStyle w:val="Textoindependiente"/>
        <w:rPr>
          <w:sz w:val="20"/>
        </w:rPr>
      </w:pPr>
    </w:p>
    <w:p w14:paraId="584340DC" w14:textId="3AFCDAF7" w:rsidR="00C33338" w:rsidRPr="00BD0404" w:rsidRDefault="00EF0C76">
      <w:pPr>
        <w:pStyle w:val="Textoindependiente"/>
        <w:spacing w:before="10"/>
        <w:rPr>
          <w:sz w:val="17"/>
        </w:rPr>
      </w:pPr>
      <w:r>
        <w:rPr>
          <w:noProof/>
          <w:lang w:val="en-US"/>
        </w:rPr>
        <mc:AlternateContent>
          <mc:Choice Requires="wps">
            <w:drawing>
              <wp:anchor distT="0" distB="0" distL="0" distR="0" simplePos="0" relativeHeight="487595520" behindDoc="1" locked="0" layoutInCell="1" allowOverlap="1" wp14:anchorId="2C01FAB6" wp14:editId="0C588542">
                <wp:simplePos x="0" y="0"/>
                <wp:positionH relativeFrom="page">
                  <wp:posOffset>1080135</wp:posOffset>
                </wp:positionH>
                <wp:positionV relativeFrom="paragraph">
                  <wp:posOffset>155575</wp:posOffset>
                </wp:positionV>
                <wp:extent cx="1828800" cy="952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FC855" id="Rectangle 4" o:spid="_x0000_s1026" style="position:absolute;margin-left:85.05pt;margin-top:12.25pt;width:2in;height:.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" fillcolor="black" stroked="f">
                <w10:wrap type="topAndBottom" anchorx="page"/>
              </v:rect>
            </w:pict>
          </mc:Fallback>
        </mc:AlternateContent>
      </w:r>
    </w:p>
    <w:p w14:paraId="271C0CAB" w14:textId="77777777" w:rsidR="00C33338" w:rsidRPr="00BD0404" w:rsidRDefault="001852D0">
      <w:pPr>
        <w:spacing w:before="80"/>
        <w:ind w:left="300" w:right="308" w:firstLine="707"/>
        <w:jc w:val="both"/>
        <w:rPr>
          <w:sz w:val="19"/>
        </w:rPr>
      </w:pPr>
      <w:r w:rsidRPr="00BD0404">
        <w:rPr>
          <w:rFonts w:ascii="Carlito" w:hAnsi="Carlito"/>
          <w:position w:val="5"/>
          <w:sz w:val="12"/>
        </w:rPr>
        <w:t xml:space="preserve">26 </w:t>
      </w:r>
      <w:r w:rsidRPr="00BD0404">
        <w:rPr>
          <w:sz w:val="19"/>
        </w:rPr>
        <w:t>Consulta Rad. No. 4201813000007780 del 31 de agosto de 2018: «Por su parte, le  informamos que los actos administrativos, tales como el acto de adjudicación, de apertura, entre otros, no requieren estar firmados para que tengan plena validez y eficacia en nuestro ordenamiento jurídico, ya que, si bien por regla general, los mismos deben constar por escrito, existen actos administrativos que se profieren de forma verbal; y en este sentido, no se requiere la firma de quien emitió el mencionado acto administrativo, lo que no quiere decir que el acto se profiera sin competencia. A su vez, de acuerdo con la jurisprudencia del Consejo de Estado la falta de firma de un acto administrativo en ningún momento constituye un vicio en la falta de competencia del mismo, si quien lo profirió tenía plena competencia de acuerdo</w:t>
      </w:r>
      <w:r w:rsidRPr="00BD0404">
        <w:rPr>
          <w:spacing w:val="34"/>
          <w:sz w:val="19"/>
        </w:rPr>
        <w:t xml:space="preserve"> </w:t>
      </w:r>
      <w:r w:rsidRPr="00BD0404">
        <w:rPr>
          <w:sz w:val="19"/>
        </w:rPr>
        <w:t>con</w:t>
      </w:r>
      <w:r w:rsidRPr="00BD0404">
        <w:rPr>
          <w:spacing w:val="34"/>
          <w:sz w:val="19"/>
        </w:rPr>
        <w:t xml:space="preserve"> </w:t>
      </w:r>
      <w:r w:rsidRPr="00BD0404">
        <w:rPr>
          <w:sz w:val="19"/>
        </w:rPr>
        <w:t>el</w:t>
      </w:r>
      <w:r w:rsidRPr="00BD0404">
        <w:rPr>
          <w:spacing w:val="38"/>
          <w:sz w:val="19"/>
        </w:rPr>
        <w:t xml:space="preserve"> </w:t>
      </w:r>
      <w:r w:rsidRPr="00BD0404">
        <w:rPr>
          <w:sz w:val="19"/>
        </w:rPr>
        <w:t>ordenamiento</w:t>
      </w:r>
      <w:r w:rsidRPr="00BD0404">
        <w:rPr>
          <w:spacing w:val="34"/>
          <w:sz w:val="19"/>
        </w:rPr>
        <w:t xml:space="preserve"> </w:t>
      </w:r>
      <w:r w:rsidRPr="00BD0404">
        <w:rPr>
          <w:sz w:val="19"/>
        </w:rPr>
        <w:t>jurídico.</w:t>
      </w:r>
      <w:r w:rsidRPr="00BD0404">
        <w:rPr>
          <w:spacing w:val="34"/>
          <w:sz w:val="19"/>
        </w:rPr>
        <w:t xml:space="preserve"> </w:t>
      </w:r>
      <w:r w:rsidRPr="00BD0404">
        <w:rPr>
          <w:sz w:val="19"/>
        </w:rPr>
        <w:t>En</w:t>
      </w:r>
      <w:r w:rsidRPr="00BD0404">
        <w:rPr>
          <w:spacing w:val="37"/>
          <w:sz w:val="19"/>
        </w:rPr>
        <w:t xml:space="preserve"> </w:t>
      </w:r>
      <w:r w:rsidRPr="00BD0404">
        <w:rPr>
          <w:sz w:val="19"/>
        </w:rPr>
        <w:t>este</w:t>
      </w:r>
      <w:r w:rsidRPr="00BD0404">
        <w:rPr>
          <w:spacing w:val="34"/>
          <w:sz w:val="19"/>
        </w:rPr>
        <w:t xml:space="preserve"> </w:t>
      </w:r>
      <w:r w:rsidRPr="00BD0404">
        <w:rPr>
          <w:sz w:val="19"/>
        </w:rPr>
        <w:t>sentido,</w:t>
      </w:r>
      <w:r w:rsidRPr="00BD0404">
        <w:rPr>
          <w:spacing w:val="37"/>
          <w:sz w:val="19"/>
        </w:rPr>
        <w:t xml:space="preserve"> </w:t>
      </w:r>
      <w:r w:rsidRPr="00BD0404">
        <w:rPr>
          <w:sz w:val="19"/>
        </w:rPr>
        <w:t>no</w:t>
      </w:r>
      <w:r w:rsidRPr="00BD0404">
        <w:rPr>
          <w:spacing w:val="34"/>
          <w:sz w:val="19"/>
        </w:rPr>
        <w:t xml:space="preserve"> </w:t>
      </w:r>
      <w:r w:rsidRPr="00BD0404">
        <w:rPr>
          <w:sz w:val="19"/>
        </w:rPr>
        <w:t>tendrá</w:t>
      </w:r>
      <w:r w:rsidRPr="00BD0404">
        <w:rPr>
          <w:spacing w:val="36"/>
          <w:sz w:val="19"/>
        </w:rPr>
        <w:t xml:space="preserve"> </w:t>
      </w:r>
      <w:r w:rsidRPr="00BD0404">
        <w:rPr>
          <w:sz w:val="19"/>
        </w:rPr>
        <w:t>ningún</w:t>
      </w:r>
      <w:r w:rsidRPr="00BD0404">
        <w:rPr>
          <w:spacing w:val="37"/>
          <w:sz w:val="19"/>
        </w:rPr>
        <w:t xml:space="preserve"> </w:t>
      </w:r>
      <w:r w:rsidRPr="00BD0404">
        <w:rPr>
          <w:sz w:val="19"/>
        </w:rPr>
        <w:t>efecto</w:t>
      </w:r>
      <w:r w:rsidRPr="00BD0404">
        <w:rPr>
          <w:spacing w:val="34"/>
          <w:sz w:val="19"/>
        </w:rPr>
        <w:t xml:space="preserve"> </w:t>
      </w:r>
      <w:r w:rsidRPr="00BD0404">
        <w:rPr>
          <w:sz w:val="19"/>
        </w:rPr>
        <w:t>que</w:t>
      </w:r>
      <w:r w:rsidRPr="00BD0404">
        <w:rPr>
          <w:spacing w:val="36"/>
          <w:sz w:val="19"/>
        </w:rPr>
        <w:t xml:space="preserve"> </w:t>
      </w:r>
      <w:r w:rsidRPr="00BD0404">
        <w:rPr>
          <w:sz w:val="19"/>
        </w:rPr>
        <w:t>los</w:t>
      </w:r>
      <w:r w:rsidRPr="00BD0404">
        <w:rPr>
          <w:spacing w:val="34"/>
          <w:sz w:val="19"/>
        </w:rPr>
        <w:t xml:space="preserve"> </w:t>
      </w:r>
      <w:r w:rsidRPr="00BD0404">
        <w:rPr>
          <w:sz w:val="19"/>
        </w:rPr>
        <w:t>documentos</w:t>
      </w:r>
    </w:p>
    <w:p w14:paraId="7A1EC04D" w14:textId="77777777" w:rsidR="00C33338" w:rsidRPr="00BD0404" w:rsidRDefault="00C33338">
      <w:pPr>
        <w:jc w:val="both"/>
        <w:rPr>
          <w:sz w:val="19"/>
        </w:rPr>
        <w:sectPr w:rsidR="00C33338" w:rsidRPr="00BD0404">
          <w:pgSz w:w="12240" w:h="15840"/>
          <w:pgMar w:top="1560" w:right="1300" w:bottom="2140" w:left="1400" w:header="737" w:footer="1958" w:gutter="0"/>
          <w:cols w:space="720"/>
        </w:sectPr>
      </w:pPr>
    </w:p>
    <w:p w14:paraId="08C4556B" w14:textId="77777777" w:rsidR="00C33338" w:rsidRPr="00BD0404" w:rsidRDefault="00C33338">
      <w:pPr>
        <w:pStyle w:val="Textoindependiente"/>
        <w:rPr>
          <w:sz w:val="20"/>
        </w:rPr>
      </w:pPr>
    </w:p>
    <w:p w14:paraId="6F0D9EB1" w14:textId="77777777" w:rsidR="00C33338" w:rsidRPr="00BD0404" w:rsidRDefault="00C33338">
      <w:pPr>
        <w:pStyle w:val="Textoindependiente"/>
        <w:spacing w:before="5"/>
        <w:rPr>
          <w:sz w:val="16"/>
        </w:rPr>
      </w:pPr>
    </w:p>
    <w:p w14:paraId="788DEEAC" w14:textId="77777777" w:rsidR="00C33338" w:rsidRPr="00BD0404" w:rsidRDefault="001852D0">
      <w:pPr>
        <w:pStyle w:val="Textoindependiente"/>
        <w:spacing w:before="93" w:line="278" w:lineRule="auto"/>
        <w:ind w:left="300" w:right="315"/>
        <w:jc w:val="both"/>
      </w:pPr>
      <w:r w:rsidRPr="00BD0404">
        <w:t>firma en el documento original y se debe verificar su autoría mediante indicios u otros medios de prueba</w:t>
      </w:r>
      <w:r w:rsidRPr="00BD0404">
        <w:rPr>
          <w:vertAlign w:val="superscript"/>
        </w:rPr>
        <w:t>27</w:t>
      </w:r>
      <w:r w:rsidRPr="00BD0404">
        <w:t>.</w:t>
      </w:r>
    </w:p>
    <w:p w14:paraId="780A3EC8" w14:textId="77777777" w:rsidR="00C33338" w:rsidRPr="00BD0404" w:rsidRDefault="001852D0">
      <w:pPr>
        <w:pStyle w:val="Textoindependiente"/>
        <w:spacing w:line="276" w:lineRule="auto"/>
        <w:ind w:left="300" w:right="309" w:firstLine="709"/>
        <w:jc w:val="both"/>
      </w:pPr>
      <w:r w:rsidRPr="00BD0404">
        <w:t>Como el SECOP II es una plataforma transaccional, los contratos que se publiquen se firmarán electrónicamente. Por su parte, como no debe existir duplicidad en la información que consta en la plataforma, no será posible que se publiquen en esta plataforma contratos con firma manuscrita o digital. En relación con los actos administrativos, se podrán subir a la plataforma con firma manuscrita o digital, ya que no es posible firmarlos electrónicamente.</w:t>
      </w:r>
    </w:p>
    <w:p w14:paraId="3C177A10" w14:textId="77777777" w:rsidR="00C33338" w:rsidRPr="00BD0404" w:rsidRDefault="001852D0">
      <w:pPr>
        <w:pStyle w:val="Textoindependiente"/>
        <w:spacing w:line="276" w:lineRule="auto"/>
        <w:ind w:left="300" w:right="304" w:firstLine="709"/>
        <w:jc w:val="both"/>
      </w:pPr>
      <w:r w:rsidRPr="00BD0404">
        <w:t>Finalmente, sobre la necesidad de que el acto administrativo o contrato tenga la fecha de creación, la ley no lo prevé para su existencia. Agustín Gordillo, en relación con la fecha del documento, señaló que si bien es un requisito de obvia necesidad, la falta de la fecha se subsana con la forma de publicidad, y en tales casos se tendrá la fecha del acto en que ha sido notificado o publicado</w:t>
      </w:r>
      <w:r w:rsidRPr="00BD0404">
        <w:rPr>
          <w:vertAlign w:val="superscript"/>
        </w:rPr>
        <w:t>28</w:t>
      </w:r>
      <w:r w:rsidRPr="00BD0404">
        <w:t>.</w:t>
      </w:r>
    </w:p>
    <w:p w14:paraId="6BB297F1" w14:textId="77777777" w:rsidR="00C33338" w:rsidRPr="00BD0404" w:rsidRDefault="001852D0">
      <w:pPr>
        <w:pStyle w:val="Textoindependiente"/>
        <w:spacing w:line="276" w:lineRule="auto"/>
        <w:ind w:left="300" w:right="309" w:firstLine="709"/>
        <w:jc w:val="both"/>
      </w:pPr>
      <w:r w:rsidRPr="00BD0404">
        <w:t>Frente a la necesidad de que conste la fecha, se considera que si bien no es un requisito necesario para la existencia del contrato o acto administrativo, las entidades deberían suministrar esta información para garantizar en mayor medida los principios de moralidad, transparencia y publicidad que rige en la función administrativa. Lo anterior, porque de esta forma se realiza un control efectivo a las actuaciones y decisiones de la Administración, y, además, los órganos de control y la veeduría ciudadana podrán saber si la entidad está publicando los documentos dentro del término previsto de la ley, esto es, dentro de los 3 días siguientes a su expedición.</w:t>
      </w:r>
    </w:p>
    <w:p w14:paraId="3D7BFA7A" w14:textId="77777777" w:rsidR="00C33338" w:rsidRPr="00BD0404" w:rsidRDefault="00C33338">
      <w:pPr>
        <w:pStyle w:val="Textoindependiente"/>
        <w:spacing w:before="8"/>
        <w:rPr>
          <w:sz w:val="19"/>
        </w:rPr>
      </w:pPr>
    </w:p>
    <w:p w14:paraId="5844F2F6" w14:textId="77777777" w:rsidR="00C33338" w:rsidRPr="00BD0404" w:rsidRDefault="001852D0">
      <w:pPr>
        <w:pStyle w:val="Ttulo1"/>
        <w:numPr>
          <w:ilvl w:val="0"/>
          <w:numId w:val="3"/>
        </w:numPr>
        <w:tabs>
          <w:tab w:val="left" w:pos="661"/>
        </w:tabs>
        <w:ind w:left="660" w:hanging="361"/>
      </w:pPr>
      <w:r w:rsidRPr="00BD0404">
        <w:t>Respuesta</w:t>
      </w:r>
    </w:p>
    <w:p w14:paraId="68299CA2" w14:textId="77777777" w:rsidR="00C33338" w:rsidRPr="00BD0404" w:rsidRDefault="00C33338">
      <w:pPr>
        <w:pStyle w:val="Textoindependiente"/>
        <w:rPr>
          <w:b/>
          <w:sz w:val="20"/>
        </w:rPr>
      </w:pPr>
    </w:p>
    <w:p w14:paraId="1F6AE7D1" w14:textId="77777777" w:rsidR="00C33338" w:rsidRPr="00BD0404" w:rsidRDefault="001852D0">
      <w:pPr>
        <w:pStyle w:val="Prrafodelista"/>
        <w:numPr>
          <w:ilvl w:val="0"/>
          <w:numId w:val="1"/>
        </w:numPr>
        <w:tabs>
          <w:tab w:val="left" w:pos="1215"/>
        </w:tabs>
        <w:spacing w:line="278" w:lineRule="auto"/>
        <w:ind w:right="1017" w:firstLine="0"/>
      </w:pPr>
      <w:r w:rsidRPr="00BD0404">
        <w:t>¿Cuál es la norma y los documentos de contratación que deben publicar en el SECOP I, las Empresas Industriales y Comerciales del</w:t>
      </w:r>
      <w:r w:rsidRPr="00BD0404">
        <w:rPr>
          <w:spacing w:val="-27"/>
        </w:rPr>
        <w:t xml:space="preserve"> </w:t>
      </w:r>
      <w:r w:rsidRPr="00BD0404">
        <w:t>Estado?</w:t>
      </w:r>
    </w:p>
    <w:p w14:paraId="634C0528" w14:textId="77777777" w:rsidR="00C33338" w:rsidRPr="00BD0404" w:rsidRDefault="00C33338">
      <w:pPr>
        <w:pStyle w:val="Textoindependiente"/>
        <w:spacing w:before="6"/>
        <w:rPr>
          <w:sz w:val="21"/>
        </w:rPr>
      </w:pPr>
    </w:p>
    <w:p w14:paraId="766EAD43" w14:textId="77777777" w:rsidR="00C33338" w:rsidRPr="00BD0404" w:rsidRDefault="001852D0">
      <w:pPr>
        <w:pStyle w:val="Textoindependiente"/>
        <w:spacing w:line="276" w:lineRule="auto"/>
        <w:ind w:left="300" w:right="312"/>
        <w:jc w:val="both"/>
      </w:pPr>
      <w:r w:rsidRPr="00BD0404">
        <w:t>La obligatoriedad de publicar las actuaciones contractuales de las entidades no depende de su régimen de contratación, sino de la ejecución de recursos públicos, pues así lo determinó,</w:t>
      </w:r>
      <w:r w:rsidRPr="00BD0404">
        <w:rPr>
          <w:spacing w:val="8"/>
        </w:rPr>
        <w:t xml:space="preserve"> </w:t>
      </w:r>
      <w:r w:rsidRPr="00BD0404">
        <w:t>provisionalmente,</w:t>
      </w:r>
      <w:r w:rsidRPr="00BD0404">
        <w:rPr>
          <w:spacing w:val="8"/>
        </w:rPr>
        <w:t xml:space="preserve"> </w:t>
      </w:r>
      <w:r w:rsidRPr="00BD0404">
        <w:t>el</w:t>
      </w:r>
      <w:r w:rsidRPr="00BD0404">
        <w:rPr>
          <w:spacing w:val="10"/>
        </w:rPr>
        <w:t xml:space="preserve"> </w:t>
      </w:r>
      <w:r w:rsidRPr="00BD0404">
        <w:t>Consejo</w:t>
      </w:r>
      <w:r w:rsidRPr="00BD0404">
        <w:rPr>
          <w:spacing w:val="9"/>
        </w:rPr>
        <w:t xml:space="preserve"> </w:t>
      </w:r>
      <w:r w:rsidRPr="00BD0404">
        <w:t>de</w:t>
      </w:r>
      <w:r w:rsidRPr="00BD0404">
        <w:rPr>
          <w:spacing w:val="7"/>
        </w:rPr>
        <w:t xml:space="preserve"> </w:t>
      </w:r>
      <w:r w:rsidRPr="00BD0404">
        <w:t>Estado,</w:t>
      </w:r>
      <w:r w:rsidRPr="00BD0404">
        <w:rPr>
          <w:spacing w:val="8"/>
        </w:rPr>
        <w:t xml:space="preserve"> </w:t>
      </w:r>
      <w:r w:rsidRPr="00BD0404">
        <w:t>Sección</w:t>
      </w:r>
      <w:r w:rsidRPr="00BD0404">
        <w:rPr>
          <w:spacing w:val="10"/>
        </w:rPr>
        <w:t xml:space="preserve"> </w:t>
      </w:r>
      <w:r w:rsidRPr="00BD0404">
        <w:t>Tercera,</w:t>
      </w:r>
      <w:r w:rsidRPr="00BD0404">
        <w:rPr>
          <w:spacing w:val="8"/>
        </w:rPr>
        <w:t xml:space="preserve"> </w:t>
      </w:r>
      <w:r w:rsidRPr="00BD0404">
        <w:t>Subsección</w:t>
      </w:r>
      <w:r w:rsidRPr="00BD0404">
        <w:rPr>
          <w:spacing w:val="10"/>
        </w:rPr>
        <w:t xml:space="preserve"> </w:t>
      </w:r>
      <w:r w:rsidRPr="00BD0404">
        <w:t>C,</w:t>
      </w:r>
      <w:r w:rsidRPr="00BD0404">
        <w:rPr>
          <w:spacing w:val="8"/>
        </w:rPr>
        <w:t xml:space="preserve"> </w:t>
      </w:r>
      <w:r w:rsidRPr="00BD0404">
        <w:t>en</w:t>
      </w:r>
      <w:r w:rsidRPr="00BD0404">
        <w:rPr>
          <w:spacing w:val="10"/>
        </w:rPr>
        <w:t xml:space="preserve"> </w:t>
      </w:r>
      <w:r w:rsidRPr="00BD0404">
        <w:t>el</w:t>
      </w:r>
    </w:p>
    <w:p w14:paraId="0EF9EC76" w14:textId="77777777" w:rsidR="00C33338" w:rsidRPr="00BD0404" w:rsidRDefault="00C33338">
      <w:pPr>
        <w:pStyle w:val="Textoindependiente"/>
        <w:rPr>
          <w:sz w:val="20"/>
        </w:rPr>
      </w:pPr>
    </w:p>
    <w:p w14:paraId="24F12DEE" w14:textId="523DE779" w:rsidR="00C33338" w:rsidRPr="00BD0404" w:rsidRDefault="00EF0C76">
      <w:pPr>
        <w:pStyle w:val="Textoindependiente"/>
        <w:spacing w:before="5"/>
        <w:rPr>
          <w:sz w:val="10"/>
        </w:rPr>
      </w:pPr>
      <w:r>
        <w:rPr>
          <w:noProof/>
          <w:lang w:val="en-US"/>
        </w:rPr>
        <mc:AlternateContent>
          <mc:Choice Requires="wps">
            <w:drawing>
              <wp:anchor distT="0" distB="0" distL="0" distR="0" simplePos="0" relativeHeight="487596032" behindDoc="1" locked="0" layoutInCell="1" allowOverlap="1" wp14:anchorId="62FBD602" wp14:editId="294B8BC6">
                <wp:simplePos x="0" y="0"/>
                <wp:positionH relativeFrom="page">
                  <wp:posOffset>1080135</wp:posOffset>
                </wp:positionH>
                <wp:positionV relativeFrom="paragraph">
                  <wp:posOffset>101600</wp:posOffset>
                </wp:positionV>
                <wp:extent cx="567182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AA3BD" id="Rectangle 3" o:spid="_x0000_s1026" style="position:absolute;margin-left:85.05pt;margin-top:8pt;width:446.6pt;height:.7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" fillcolor="black" stroked="f">
                <w10:wrap type="topAndBottom" anchorx="page"/>
              </v:rect>
            </w:pict>
          </mc:Fallback>
        </mc:AlternateContent>
      </w:r>
    </w:p>
    <w:p w14:paraId="537BCCBD" w14:textId="77777777" w:rsidR="00C33338" w:rsidRPr="00BD0404" w:rsidRDefault="001852D0">
      <w:pPr>
        <w:spacing w:before="83"/>
        <w:ind w:left="300"/>
        <w:rPr>
          <w:sz w:val="19"/>
        </w:rPr>
      </w:pPr>
      <w:r w:rsidRPr="00BD0404">
        <w:rPr>
          <w:sz w:val="19"/>
        </w:rPr>
        <w:t>precontractuales se publiquen en la plataforma del SECOP I sin la firma de quien profirió el acto administrativo».</w:t>
      </w:r>
    </w:p>
    <w:p w14:paraId="4F6A613A" w14:textId="77777777" w:rsidR="00C33338" w:rsidRPr="00BD0404" w:rsidRDefault="00C33338">
      <w:pPr>
        <w:pStyle w:val="Textoindependiente"/>
        <w:spacing w:before="1"/>
        <w:rPr>
          <w:sz w:val="21"/>
        </w:rPr>
      </w:pPr>
    </w:p>
    <w:p w14:paraId="3F20BD7F" w14:textId="77777777" w:rsidR="00C33338" w:rsidRPr="00BD0404" w:rsidRDefault="001852D0">
      <w:pPr>
        <w:spacing w:line="242" w:lineRule="auto"/>
        <w:ind w:left="300" w:right="309" w:firstLine="707"/>
        <w:jc w:val="both"/>
        <w:rPr>
          <w:sz w:val="19"/>
        </w:rPr>
      </w:pPr>
      <w:r w:rsidRPr="00BD0404">
        <w:rPr>
          <w:rFonts w:ascii="Carlito" w:hAnsi="Carlito"/>
          <w:position w:val="5"/>
          <w:sz w:val="12"/>
        </w:rPr>
        <w:t xml:space="preserve">27 </w:t>
      </w:r>
      <w:r w:rsidRPr="00BD0404">
        <w:rPr>
          <w:sz w:val="19"/>
        </w:rPr>
        <w:t>Consulta Rad. No. 4201714000000085 del 11 de enero de 2017: «Si. Las Entidades Estatales pueden publicar en el SECOP todos los Documentos del Proceso sin que estos se encuentren firmados, salvo que la normativa disponga lo contrario, como ocurre frente al contrato. Según el Código General del Proceso las copias de los documentos, sean públicos o privados tienen plena validez, salvo prueba en contrario».</w:t>
      </w:r>
    </w:p>
    <w:p w14:paraId="6612794A" w14:textId="77777777" w:rsidR="00C33338" w:rsidRPr="00BD0404" w:rsidRDefault="00C33338">
      <w:pPr>
        <w:pStyle w:val="Textoindependiente"/>
        <w:spacing w:before="3"/>
        <w:rPr>
          <w:sz w:val="21"/>
        </w:rPr>
      </w:pPr>
    </w:p>
    <w:p w14:paraId="6DC40903" w14:textId="77777777" w:rsidR="00C33338" w:rsidRPr="00BD0404" w:rsidRDefault="001852D0">
      <w:pPr>
        <w:ind w:left="1008"/>
        <w:rPr>
          <w:sz w:val="19"/>
        </w:rPr>
      </w:pPr>
      <w:r w:rsidRPr="00BD0404">
        <w:rPr>
          <w:rFonts w:ascii="Carlito" w:hAnsi="Carlito"/>
          <w:position w:val="6"/>
          <w:sz w:val="12"/>
        </w:rPr>
        <w:t xml:space="preserve">28 </w:t>
      </w:r>
      <w:r w:rsidRPr="00BD0404">
        <w:rPr>
          <w:sz w:val="19"/>
        </w:rPr>
        <w:t>GORDILLO, Agustín. Op. Cit., p. 349.</w:t>
      </w:r>
    </w:p>
    <w:p w14:paraId="149A9EF8" w14:textId="77777777" w:rsidR="00C33338" w:rsidRPr="00BD0404" w:rsidRDefault="00C33338">
      <w:pPr>
        <w:rPr>
          <w:sz w:val="19"/>
        </w:rPr>
        <w:sectPr w:rsidR="00C33338" w:rsidRPr="00BD0404">
          <w:pgSz w:w="12240" w:h="15840"/>
          <w:pgMar w:top="1560" w:right="1300" w:bottom="2140" w:left="1400" w:header="737" w:footer="1958" w:gutter="0"/>
          <w:cols w:space="720"/>
        </w:sectPr>
      </w:pPr>
    </w:p>
    <w:p w14:paraId="0AD152B5" w14:textId="77777777" w:rsidR="00C33338" w:rsidRPr="00BD0404" w:rsidRDefault="00C33338">
      <w:pPr>
        <w:pStyle w:val="Textoindependiente"/>
        <w:rPr>
          <w:sz w:val="20"/>
        </w:rPr>
      </w:pPr>
    </w:p>
    <w:p w14:paraId="1B5EAF97" w14:textId="77777777" w:rsidR="00C33338" w:rsidRPr="00BD0404" w:rsidRDefault="00C33338">
      <w:pPr>
        <w:pStyle w:val="Textoindependiente"/>
        <w:spacing w:before="5"/>
        <w:rPr>
          <w:sz w:val="16"/>
        </w:rPr>
      </w:pPr>
    </w:p>
    <w:p w14:paraId="1A82F26C" w14:textId="77777777" w:rsidR="00C33338" w:rsidRPr="00BD0404" w:rsidRDefault="001852D0">
      <w:pPr>
        <w:pStyle w:val="Textoindependiente"/>
        <w:spacing w:before="93" w:line="276" w:lineRule="auto"/>
        <w:ind w:left="300" w:right="306"/>
        <w:jc w:val="both"/>
      </w:pPr>
      <w:r w:rsidRPr="00BD0404">
        <w:t>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w:t>
      </w:r>
    </w:p>
    <w:p w14:paraId="2C9AE669" w14:textId="77777777" w:rsidR="00C33338" w:rsidRPr="00BD0404" w:rsidRDefault="001852D0">
      <w:pPr>
        <w:pStyle w:val="Textoindependiente"/>
        <w:spacing w:before="1" w:line="276" w:lineRule="auto"/>
        <w:ind w:left="300" w:right="303" w:firstLine="707"/>
        <w:jc w:val="both"/>
      </w:pPr>
      <w:r w:rsidRPr="00BD0404">
        <w:t>Ahora, el Decreto 103 de 2015 señala que los documentos que deberán publicar las entidades estatales, entre estas las empresas industriales y comerciales del Estado,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w:t>
      </w:r>
    </w:p>
    <w:p w14:paraId="4D86276E" w14:textId="77777777" w:rsidR="00C33338" w:rsidRPr="00BD0404" w:rsidRDefault="001852D0">
      <w:pPr>
        <w:pStyle w:val="Textoindependiente"/>
        <w:spacing w:before="1" w:line="276" w:lineRule="auto"/>
        <w:ind w:left="300" w:right="306" w:firstLine="709"/>
        <w:jc w:val="both"/>
      </w:pPr>
      <w:r w:rsidRPr="00BD0404">
        <w:t>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w:t>
      </w:r>
    </w:p>
    <w:p w14:paraId="2EA38645" w14:textId="77777777" w:rsidR="00C33338" w:rsidRPr="00BD0404" w:rsidRDefault="00C33338">
      <w:pPr>
        <w:pStyle w:val="Textoindependiente"/>
        <w:spacing w:before="4"/>
        <w:rPr>
          <w:sz w:val="25"/>
        </w:rPr>
      </w:pPr>
    </w:p>
    <w:p w14:paraId="5262E0B4" w14:textId="77777777" w:rsidR="00C33338" w:rsidRPr="00BD0404" w:rsidRDefault="001852D0">
      <w:pPr>
        <w:pStyle w:val="Prrafodelista"/>
        <w:numPr>
          <w:ilvl w:val="0"/>
          <w:numId w:val="1"/>
        </w:numPr>
        <w:tabs>
          <w:tab w:val="left" w:pos="1308"/>
        </w:tabs>
        <w:spacing w:line="276" w:lineRule="auto"/>
        <w:ind w:left="1008" w:right="1021" w:firstLine="0"/>
      </w:pPr>
      <w:r w:rsidRPr="00BD0404">
        <w:t>¿Los contratos y documentos del proceso se pueden publicar en el SECOP I sin fechas y sin firmas? Si es así, ¿cuál es la norma que</w:t>
      </w:r>
      <w:r w:rsidRPr="00BD0404">
        <w:rPr>
          <w:spacing w:val="-41"/>
        </w:rPr>
        <w:t xml:space="preserve"> </w:t>
      </w:r>
      <w:r w:rsidRPr="00BD0404">
        <w:t>autoriza?</w:t>
      </w:r>
    </w:p>
    <w:p w14:paraId="365338DA" w14:textId="77777777" w:rsidR="00C33338" w:rsidRPr="00BD0404" w:rsidRDefault="00C33338">
      <w:pPr>
        <w:pStyle w:val="Textoindependiente"/>
        <w:spacing w:before="4"/>
        <w:rPr>
          <w:sz w:val="25"/>
        </w:rPr>
      </w:pPr>
    </w:p>
    <w:p w14:paraId="31B8C668" w14:textId="77777777" w:rsidR="00C33338" w:rsidRPr="00BD0404" w:rsidRDefault="001852D0">
      <w:pPr>
        <w:pStyle w:val="Textoindependiente"/>
        <w:spacing w:line="276" w:lineRule="auto"/>
        <w:ind w:left="300" w:right="304"/>
        <w:jc w:val="both"/>
      </w:pPr>
      <w:r w:rsidRPr="00BD0404">
        <w:t>Los actos administrativos precontractuales y contractuales no se pueden publicar en el SECOP I sin firma; si bien para la ley no es un requisito necesario para su existencia, de la posición de la doctrina y la jurisprudencia se infiere que la firma es necesaria para su existencia. En este sentido, si el acto administrativo no la tiene, inicialmente se entendería que no existió. Ahora, si se demuestra, a través de otros medios de prueba, que el acto administrativo a pesar de no tener firma fue expedido por el funcionario competente, no se negará su existencia. En este caso, se asume una carga probatoria que, a partir de los indicios y otros medios de prueba, de certeza que el acto administrativo fue proferido por el funcionario, pese a que no firmó el documento.</w:t>
      </w:r>
    </w:p>
    <w:p w14:paraId="18A05B00" w14:textId="77777777" w:rsidR="00C33338" w:rsidRPr="00BD0404" w:rsidRDefault="001852D0">
      <w:pPr>
        <w:pStyle w:val="Textoindependiente"/>
        <w:spacing w:line="276" w:lineRule="auto"/>
        <w:ind w:left="300" w:right="310" w:firstLine="709"/>
        <w:jc w:val="both"/>
      </w:pPr>
      <w:r w:rsidRPr="00BD0404">
        <w:t>En relación con la necesidad que los contratos estatales se encuentren firmados, es importante señalar que si bien, por regla general, los contratos celebrados por las empresas industriales y comerciales del Estado, al someterse al derecho privado, normalmente se perfeccionan por el sólo acuerdo de voluntad de las partes, en estos casos no se necesita la firma. Ahora, si deben celebrarse por escrito sí es necesaria la firma, so pena que el contrato no</w:t>
      </w:r>
      <w:r w:rsidRPr="00BD0404">
        <w:rPr>
          <w:spacing w:val="-9"/>
        </w:rPr>
        <w:t xml:space="preserve"> </w:t>
      </w:r>
      <w:r w:rsidRPr="00BD0404">
        <w:t>exista.</w:t>
      </w:r>
    </w:p>
    <w:p w14:paraId="5ACFD2F5" w14:textId="77777777" w:rsidR="00C33338" w:rsidRPr="00BD0404" w:rsidRDefault="001852D0">
      <w:pPr>
        <w:pStyle w:val="Textoindependiente"/>
        <w:spacing w:line="276" w:lineRule="auto"/>
        <w:ind w:left="300" w:right="308" w:firstLine="709"/>
        <w:jc w:val="both"/>
      </w:pPr>
      <w:r w:rsidRPr="00BD0404">
        <w:t>Finalmente, frente a la posibilidad de que los actos administrativos y contratos se publiquen en la plataforma del SECOP, sin la fecha, es importante destacar que la Ley no prevé la obligatoriedad de que los documentos subidos a la plataforma tengan fecha. Sin embargo, las entidades deberían suministrar esta información para garantizar los principios</w:t>
      </w:r>
    </w:p>
    <w:p w14:paraId="71DCF78A" w14:textId="77777777" w:rsidR="00C33338" w:rsidRPr="00BD0404" w:rsidRDefault="00C33338">
      <w:pPr>
        <w:spacing w:line="276" w:lineRule="auto"/>
        <w:jc w:val="both"/>
        <w:sectPr w:rsidR="00C33338" w:rsidRPr="00BD0404">
          <w:pgSz w:w="12240" w:h="15840"/>
          <w:pgMar w:top="1560" w:right="1300" w:bottom="2140" w:left="1400" w:header="737" w:footer="1958" w:gutter="0"/>
          <w:cols w:space="720"/>
        </w:sectPr>
      </w:pPr>
    </w:p>
    <w:p w14:paraId="4511509C" w14:textId="77777777" w:rsidR="00C33338" w:rsidRPr="00BD0404" w:rsidRDefault="00C33338">
      <w:pPr>
        <w:pStyle w:val="Textoindependiente"/>
        <w:rPr>
          <w:sz w:val="20"/>
        </w:rPr>
      </w:pPr>
    </w:p>
    <w:p w14:paraId="444E44AB" w14:textId="77777777" w:rsidR="00C33338" w:rsidRPr="00BD0404" w:rsidRDefault="00C33338">
      <w:pPr>
        <w:pStyle w:val="Textoindependiente"/>
        <w:spacing w:before="5"/>
        <w:rPr>
          <w:sz w:val="16"/>
        </w:rPr>
      </w:pPr>
    </w:p>
    <w:p w14:paraId="09AD1F5A" w14:textId="77777777" w:rsidR="00C33338" w:rsidRPr="00BD0404" w:rsidRDefault="001852D0">
      <w:pPr>
        <w:pStyle w:val="Textoindependiente"/>
        <w:spacing w:before="93" w:line="276" w:lineRule="auto"/>
        <w:ind w:left="300" w:right="312"/>
        <w:jc w:val="both"/>
      </w:pPr>
      <w:r w:rsidRPr="00BD0404">
        <w:t>de moralidad, transparencia y publicidad que rige en la función administrativa, puesto que de esta forma se podrá realizar un mayor control a las actuaciones y decisiones de la Administración.</w:t>
      </w:r>
    </w:p>
    <w:p w14:paraId="51988142" w14:textId="77777777" w:rsidR="00C33338" w:rsidRPr="00BD0404" w:rsidRDefault="00C33338">
      <w:pPr>
        <w:pStyle w:val="Textoindependiente"/>
        <w:spacing w:before="1"/>
        <w:rPr>
          <w:sz w:val="23"/>
        </w:rPr>
      </w:pPr>
    </w:p>
    <w:p w14:paraId="62A39857" w14:textId="77777777" w:rsidR="00C33338" w:rsidRPr="00BD0404" w:rsidRDefault="001852D0">
      <w:pPr>
        <w:pStyle w:val="Textoindependiente"/>
        <w:spacing w:line="278" w:lineRule="auto"/>
        <w:ind w:left="300" w:right="346" w:firstLine="707"/>
      </w:pPr>
      <w:r w:rsidRPr="00BD0404">
        <w:t>Este concepto tiene el alcance previsto en el artículo 28 del Código de Procedimiento Administrativo y de lo Contencioso Administrativo.</w:t>
      </w:r>
    </w:p>
    <w:p w14:paraId="391839DE" w14:textId="6C765DF7" w:rsidR="00C33338" w:rsidRPr="00BD0404" w:rsidRDefault="00EF0C76">
      <w:pPr>
        <w:pStyle w:val="Textoindependiente"/>
        <w:spacing w:before="5"/>
      </w:pPr>
      <w:r>
        <w:rPr>
          <w:noProof/>
          <w:lang w:val="en-US"/>
        </w:rPr>
        <mc:AlternateContent>
          <mc:Choice Requires="wps">
            <w:drawing>
              <wp:anchor distT="0" distB="0" distL="0" distR="0" simplePos="0" relativeHeight="487596544" behindDoc="1" locked="0" layoutInCell="1" allowOverlap="1" wp14:anchorId="724DE5E9" wp14:editId="62F858DF">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ECA77" id="Freeform 2" o:spid="_x0000_s1026" style="position:absolute;margin-left:119.25pt;margin-top:15.3pt;width:369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" path="m,l7380,e" filled="f" strokecolor="#dbdbdb">
                <v:path arrowok="t" o:connecttype="custom" o:connectlocs="0,0;4686300,0" o:connectangles="0,0"/>
                <w10:wrap type="topAndBottom" anchorx="page"/>
              </v:shape>
            </w:pict>
          </mc:Fallback>
        </mc:AlternateContent>
      </w:r>
    </w:p>
    <w:p w14:paraId="7170C194" w14:textId="77777777" w:rsidR="00C33338" w:rsidRPr="00BD0404" w:rsidRDefault="001852D0">
      <w:pPr>
        <w:pStyle w:val="Textoindependiente"/>
        <w:spacing w:before="197" w:after="25"/>
        <w:ind w:left="300"/>
      </w:pPr>
      <w:r w:rsidRPr="00BD0404">
        <w:t>Atentamente,</w:t>
      </w:r>
    </w:p>
    <w:p w14:paraId="7B140739" w14:textId="46C59DB5" w:rsidR="00C33338" w:rsidRDefault="00E236A5" w:rsidP="00E236A5">
      <w:pPr>
        <w:pStyle w:val="Textoindependiente"/>
        <w:ind w:left="2950"/>
        <w:rPr>
          <w:sz w:val="20"/>
        </w:rPr>
      </w:pPr>
      <w:r>
        <w:rPr>
          <w:noProof/>
          <w:lang w:val="en-US"/>
        </w:rPr>
        <w:drawing>
          <wp:inline distT="0" distB="0" distL="0" distR="0" wp14:anchorId="15EFC708" wp14:editId="2ECA3ADB">
            <wp:extent cx="2773144" cy="988695"/>
            <wp:effectExtent l="0" t="0" r="0" b="0"/>
            <wp:docPr id="75306070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3">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4A660473" w14:textId="77777777" w:rsidR="00C33338" w:rsidRPr="00E236A5" w:rsidRDefault="001852D0" w:rsidP="00E236A5">
      <w:pPr>
        <w:pStyle w:val="Textoindependiente"/>
        <w:spacing w:before="71"/>
        <w:ind w:left="300"/>
      </w:pPr>
      <w:r w:rsidRPr="00E236A5">
        <w:t>Proyectó: Sara Milena Núñez Aldana</w:t>
      </w:r>
    </w:p>
    <w:sectPr w:rsidR="00C33338" w:rsidRPr="00E236A5">
      <w:pgSz w:w="12240" w:h="15840"/>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F57DA" w14:textId="77777777" w:rsidR="000F2CA4" w:rsidRDefault="000F2CA4">
      <w:r>
        <w:separator/>
      </w:r>
    </w:p>
  </w:endnote>
  <w:endnote w:type="continuationSeparator" w:id="0">
    <w:p w14:paraId="38A817AC" w14:textId="77777777" w:rsidR="000F2CA4" w:rsidRDefault="000F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D514" w14:textId="77777777" w:rsidR="00C33338" w:rsidRDefault="001852D0">
    <w:pPr>
      <w:pStyle w:val="Textoindependiente"/>
      <w:spacing w:line="14" w:lineRule="auto"/>
      <w:rPr>
        <w:sz w:val="20"/>
      </w:rPr>
    </w:pPr>
    <w:r>
      <w:rPr>
        <w:noProof/>
        <w:lang w:val="en-US"/>
      </w:rPr>
      <w:drawing>
        <wp:anchor distT="0" distB="0" distL="0" distR="0" simplePos="0" relativeHeight="251681792" behindDoc="1" locked="0" layoutInCell="1" allowOverlap="1" wp14:anchorId="38501AD7" wp14:editId="74228AD6">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9315" w14:textId="77777777" w:rsidR="000F2CA4" w:rsidRDefault="000F2CA4">
      <w:r>
        <w:separator/>
      </w:r>
    </w:p>
  </w:footnote>
  <w:footnote w:type="continuationSeparator" w:id="0">
    <w:p w14:paraId="73BA73A2" w14:textId="77777777" w:rsidR="000F2CA4" w:rsidRDefault="000F2CA4">
      <w:r>
        <w:continuationSeparator/>
      </w:r>
    </w:p>
  </w:footnote>
  <w:footnote w:id="1">
    <w:p w14:paraId="7747F726" w14:textId="41B1B81F" w:rsidR="00BD0404" w:rsidRPr="00BD0404" w:rsidRDefault="00BD0404" w:rsidP="008A2135">
      <w:pPr>
        <w:spacing w:before="80"/>
        <w:ind w:left="1008"/>
        <w:rPr>
          <w:lang w:val="es-MX"/>
        </w:rPr>
      </w:pPr>
      <w:r>
        <w:rPr>
          <w:rStyle w:val="Refdenotaalpie"/>
        </w:rPr>
        <w:footnoteRef/>
      </w:r>
      <w:r>
        <w:t xml:space="preserve"> </w:t>
      </w:r>
      <w:r w:rsidRPr="00BD0404">
        <w:rPr>
          <w:sz w:val="19"/>
        </w:rPr>
        <w:t>Corte Constitucional. Sentencia C- 341 del 4 de junio de 2014. M. P. Mauricio González</w:t>
      </w:r>
      <w:r w:rsidRPr="00BD0404">
        <w:rPr>
          <w:spacing w:val="-29"/>
          <w:sz w:val="19"/>
        </w:rPr>
        <w:t xml:space="preserve"> </w:t>
      </w:r>
      <w:r w:rsidRPr="00BD0404">
        <w:rPr>
          <w:sz w:val="19"/>
        </w:rPr>
        <w:t>Cuervo</w:t>
      </w:r>
    </w:p>
  </w:footnote>
  <w:footnote w:id="2">
    <w:p w14:paraId="2CA6CEE8" w14:textId="77777777" w:rsidR="00BD0404" w:rsidRPr="00BD0404" w:rsidRDefault="00BD0404" w:rsidP="00BD0404">
      <w:pPr>
        <w:spacing w:before="80"/>
        <w:ind w:left="300" w:right="309"/>
        <w:jc w:val="both"/>
        <w:rPr>
          <w:sz w:val="19"/>
        </w:rPr>
      </w:pPr>
      <w:r>
        <w:rPr>
          <w:rStyle w:val="Refdenotaalpie"/>
        </w:rPr>
        <w:footnoteRef/>
      </w:r>
      <w:r>
        <w:t xml:space="preserve"> </w:t>
      </w:r>
      <w:r w:rsidRPr="00BD0404">
        <w:rPr>
          <w:sz w:val="19"/>
        </w:rPr>
        <w:t>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w:t>
      </w:r>
      <w:r w:rsidRPr="00BD0404">
        <w:rPr>
          <w:spacing w:val="7"/>
          <w:sz w:val="19"/>
        </w:rPr>
        <w:t xml:space="preserve"> </w:t>
      </w:r>
      <w:r w:rsidRPr="00BD0404">
        <w:rPr>
          <w:sz w:val="19"/>
        </w:rPr>
        <w:t>Para</w:t>
      </w:r>
      <w:r w:rsidRPr="00BD0404">
        <w:rPr>
          <w:spacing w:val="7"/>
          <w:sz w:val="19"/>
        </w:rPr>
        <w:t xml:space="preserve"> </w:t>
      </w:r>
      <w:r w:rsidRPr="00BD0404">
        <w:rPr>
          <w:sz w:val="19"/>
        </w:rPr>
        <w:t>el</w:t>
      </w:r>
      <w:r w:rsidRPr="00BD0404">
        <w:rPr>
          <w:spacing w:val="8"/>
          <w:sz w:val="19"/>
        </w:rPr>
        <w:t xml:space="preserve"> </w:t>
      </w:r>
      <w:r w:rsidRPr="00BD0404">
        <w:rPr>
          <w:sz w:val="19"/>
        </w:rPr>
        <w:t>trámite,</w:t>
      </w:r>
      <w:r w:rsidRPr="00BD0404">
        <w:rPr>
          <w:spacing w:val="11"/>
          <w:sz w:val="19"/>
        </w:rPr>
        <w:t xml:space="preserve"> </w:t>
      </w:r>
      <w:r w:rsidRPr="00BD0404">
        <w:rPr>
          <w:sz w:val="19"/>
        </w:rPr>
        <w:t>notificación</w:t>
      </w:r>
      <w:r w:rsidRPr="00BD0404">
        <w:rPr>
          <w:spacing w:val="7"/>
          <w:sz w:val="19"/>
        </w:rPr>
        <w:t xml:space="preserve"> </w:t>
      </w:r>
      <w:r w:rsidRPr="00BD0404">
        <w:rPr>
          <w:sz w:val="19"/>
        </w:rPr>
        <w:t>y</w:t>
      </w:r>
      <w:r w:rsidRPr="00BD0404">
        <w:rPr>
          <w:spacing w:val="5"/>
          <w:sz w:val="19"/>
        </w:rPr>
        <w:t xml:space="preserve"> </w:t>
      </w:r>
      <w:r w:rsidRPr="00BD0404">
        <w:rPr>
          <w:sz w:val="19"/>
        </w:rPr>
        <w:t>publicación</w:t>
      </w:r>
      <w:r w:rsidRPr="00BD0404">
        <w:rPr>
          <w:spacing w:val="8"/>
          <w:sz w:val="19"/>
        </w:rPr>
        <w:t xml:space="preserve"> </w:t>
      </w:r>
      <w:r w:rsidRPr="00BD0404">
        <w:rPr>
          <w:sz w:val="19"/>
        </w:rPr>
        <w:t>de</w:t>
      </w:r>
      <w:r w:rsidRPr="00BD0404">
        <w:rPr>
          <w:spacing w:val="7"/>
          <w:sz w:val="19"/>
        </w:rPr>
        <w:t xml:space="preserve"> </w:t>
      </w:r>
      <w:r w:rsidRPr="00BD0404">
        <w:rPr>
          <w:sz w:val="19"/>
        </w:rPr>
        <w:t>tales</w:t>
      </w:r>
      <w:r w:rsidRPr="00BD0404">
        <w:rPr>
          <w:spacing w:val="7"/>
          <w:sz w:val="19"/>
        </w:rPr>
        <w:t xml:space="preserve"> </w:t>
      </w:r>
      <w:r w:rsidRPr="00BD0404">
        <w:rPr>
          <w:sz w:val="19"/>
        </w:rPr>
        <w:t>actos,</w:t>
      </w:r>
      <w:r w:rsidRPr="00BD0404">
        <w:rPr>
          <w:spacing w:val="8"/>
          <w:sz w:val="19"/>
        </w:rPr>
        <w:t xml:space="preserve"> </w:t>
      </w:r>
      <w:r w:rsidRPr="00BD0404">
        <w:rPr>
          <w:sz w:val="19"/>
        </w:rPr>
        <w:t>podrán</w:t>
      </w:r>
      <w:r w:rsidRPr="00BD0404">
        <w:rPr>
          <w:spacing w:val="7"/>
          <w:sz w:val="19"/>
        </w:rPr>
        <w:t xml:space="preserve"> </w:t>
      </w:r>
      <w:r w:rsidRPr="00BD0404">
        <w:rPr>
          <w:sz w:val="19"/>
        </w:rPr>
        <w:t>utilizarse</w:t>
      </w:r>
      <w:r w:rsidRPr="00BD0404">
        <w:rPr>
          <w:spacing w:val="7"/>
          <w:sz w:val="19"/>
        </w:rPr>
        <w:t xml:space="preserve"> </w:t>
      </w:r>
      <w:r w:rsidRPr="00BD0404">
        <w:rPr>
          <w:sz w:val="19"/>
        </w:rPr>
        <w:t>soportes,</w:t>
      </w:r>
      <w:r w:rsidRPr="00BD0404">
        <w:rPr>
          <w:spacing w:val="8"/>
          <w:sz w:val="19"/>
        </w:rPr>
        <w:t xml:space="preserve"> </w:t>
      </w:r>
      <w:r w:rsidRPr="00BD0404">
        <w:rPr>
          <w:sz w:val="19"/>
        </w:rPr>
        <w:t>medios</w:t>
      </w:r>
      <w:r>
        <w:rPr>
          <w:sz w:val="19"/>
        </w:rPr>
        <w:t xml:space="preserve"> </w:t>
      </w:r>
      <w:r w:rsidRPr="00BD0404">
        <w:rPr>
          <w:sz w:val="19"/>
        </w:rPr>
        <w:t>y aplicaciones electrónicas. Los mecanismos e instrumentos por medio de los cuales las entidades cumplirán con las obligaciones de publicidad del proceso contractual serán señalados por el Gobierno Nacional.</w:t>
      </w:r>
    </w:p>
    <w:p w14:paraId="165C5913" w14:textId="77777777" w:rsidR="00BD0404" w:rsidRPr="00BD0404" w:rsidRDefault="00BD0404" w:rsidP="00BD0404">
      <w:pPr>
        <w:spacing w:before="2"/>
        <w:ind w:left="300" w:right="346" w:firstLine="707"/>
        <w:rPr>
          <w:sz w:val="19"/>
        </w:rPr>
      </w:pPr>
      <w:r w:rsidRPr="00BD0404">
        <w:rPr>
          <w:sz w:val="19"/>
        </w:rPr>
        <w:t>»Lo anterior, sin perjuicio de las publicaciones previstas en el numeral 3 del artículo 30 de la Ley 80 de 1993.</w:t>
      </w:r>
    </w:p>
    <w:p w14:paraId="6FD1E99E" w14:textId="77777777" w:rsidR="00BD0404" w:rsidRPr="00BD0404" w:rsidRDefault="00BD0404" w:rsidP="00BD0404">
      <w:pPr>
        <w:ind w:left="300" w:firstLine="707"/>
        <w:rPr>
          <w:sz w:val="19"/>
        </w:rPr>
      </w:pPr>
      <w:r w:rsidRPr="00BD0404">
        <w:rPr>
          <w:sz w:val="19"/>
        </w:rPr>
        <w:t>»Con el fin de materializar los objetivos a que se refiere el inciso anterior, el Gobierno Nacional desarrollará el Sistema Electrónico para la Contratación Pública, Secop, el cual:</w:t>
      </w:r>
    </w:p>
    <w:p w14:paraId="62FC49AF" w14:textId="77777777" w:rsidR="00BD0404" w:rsidRPr="00BD0404" w:rsidRDefault="00BD0404" w:rsidP="00BD0404">
      <w:pPr>
        <w:ind w:left="1008"/>
        <w:rPr>
          <w:sz w:val="19"/>
        </w:rPr>
      </w:pPr>
      <w:r w:rsidRPr="00BD0404">
        <w:rPr>
          <w:sz w:val="19"/>
        </w:rPr>
        <w:t>[…]</w:t>
      </w:r>
    </w:p>
    <w:p w14:paraId="03A39F03" w14:textId="77777777" w:rsidR="00BD0404" w:rsidRPr="00BD0404" w:rsidRDefault="00BD0404" w:rsidP="00BD0404">
      <w:pPr>
        <w:spacing w:before="1"/>
        <w:ind w:left="300" w:right="311" w:firstLine="707"/>
        <w:jc w:val="both"/>
        <w:rPr>
          <w:sz w:val="19"/>
        </w:rPr>
      </w:pPr>
      <w:r w:rsidRPr="00BD0404">
        <w:rPr>
          <w:sz w:val="19"/>
        </w:rPr>
        <w:t>»c) Contará con la información oficial de la contratación realizada con dineros públicos, para lo cual establecerá los patrones a que haya lugar y se encargará de su difusión a través de canales electrónico».</w:t>
      </w:r>
    </w:p>
    <w:p w14:paraId="3717E0CD" w14:textId="77777777" w:rsidR="00BD0404" w:rsidRPr="00BD0404" w:rsidRDefault="00BD0404" w:rsidP="00BD0404">
      <w:pPr>
        <w:pStyle w:val="Textoindependiente"/>
        <w:spacing w:before="10"/>
        <w:rPr>
          <w:sz w:val="18"/>
        </w:rPr>
      </w:pPr>
    </w:p>
    <w:p w14:paraId="113E8EBF" w14:textId="0A8F0B07" w:rsidR="00BD0404" w:rsidRPr="00BD0404" w:rsidRDefault="00BD0404" w:rsidP="00BD0404">
      <w:pPr>
        <w:spacing w:before="1"/>
        <w:ind w:left="300" w:right="307" w:firstLine="707"/>
        <w:jc w:val="both"/>
        <w:rPr>
          <w:sz w:val="19"/>
        </w:rPr>
      </w:pPr>
    </w:p>
    <w:p w14:paraId="0FB17EE7" w14:textId="61E7B603" w:rsidR="00BD0404" w:rsidRPr="00BD0404" w:rsidRDefault="00BD0404">
      <w:pPr>
        <w:pStyle w:val="Textonotapie"/>
      </w:pPr>
    </w:p>
  </w:footnote>
  <w:footnote w:id="3">
    <w:p w14:paraId="67BBD1A3" w14:textId="77777777" w:rsidR="00BD0404" w:rsidRPr="00BD0404" w:rsidRDefault="00BD0404" w:rsidP="00BD0404">
      <w:pPr>
        <w:ind w:left="300" w:right="304" w:firstLine="707"/>
        <w:jc w:val="both"/>
        <w:rPr>
          <w:sz w:val="19"/>
        </w:rPr>
      </w:pPr>
      <w:r>
        <w:rPr>
          <w:rStyle w:val="Refdenotaalpie"/>
        </w:rPr>
        <w:footnoteRef/>
      </w:r>
      <w:r>
        <w:t xml:space="preserve"> </w:t>
      </w:r>
      <w:r w:rsidRPr="00BD0404">
        <w:rPr>
          <w:sz w:val="19"/>
        </w:rPr>
        <w:t>Ley 1712 de 2014: «Artículo 2. Toda información en posesión, bajo control o custodia de un sujeto obligado es pública y no podrá ser reservada o limitada sino por disposición constitucional o legal, de conformidad con la presente ley».</w:t>
      </w:r>
    </w:p>
    <w:p w14:paraId="68D9F80F" w14:textId="769C5D7F" w:rsidR="00BD0404" w:rsidRPr="00BD0404" w:rsidRDefault="00BD0404">
      <w:pPr>
        <w:pStyle w:val="Textonotapie"/>
      </w:pPr>
    </w:p>
  </w:footnote>
  <w:footnote w:id="4">
    <w:p w14:paraId="63349C0F" w14:textId="77777777" w:rsidR="00BD0404" w:rsidRPr="00BD0404" w:rsidRDefault="00BD0404" w:rsidP="00BD0404">
      <w:pPr>
        <w:ind w:left="300" w:right="312" w:firstLine="707"/>
        <w:jc w:val="both"/>
        <w:rPr>
          <w:sz w:val="19"/>
        </w:rPr>
      </w:pPr>
      <w:r>
        <w:rPr>
          <w:rStyle w:val="Refdenotaalpie"/>
        </w:rPr>
        <w:footnoteRef/>
      </w:r>
      <w:r>
        <w:t xml:space="preserve"> </w:t>
      </w:r>
      <w:r w:rsidRPr="00BD0404">
        <w:rPr>
          <w:sz w:val="19"/>
        </w:rPr>
        <w:t>Ley 1712 de 2014: «Artículo 5. Ámbito de aplicación. Las disposiciones de esta ley serán aplicables a las siguientes personas en calidad de sujetos obligados:</w:t>
      </w:r>
    </w:p>
    <w:p w14:paraId="7453C463" w14:textId="77777777" w:rsidR="00BD0404" w:rsidRPr="00BD0404" w:rsidRDefault="00BD0404" w:rsidP="00BD0404">
      <w:pPr>
        <w:ind w:left="300" w:right="313" w:firstLine="707"/>
        <w:jc w:val="both"/>
        <w:rPr>
          <w:sz w:val="19"/>
        </w:rPr>
      </w:pPr>
      <w:r w:rsidRPr="00BD0404">
        <w:rPr>
          <w:sz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322D6D58" w14:textId="0ED38226" w:rsidR="00BD0404" w:rsidRPr="00BD0404" w:rsidRDefault="00BD0404">
      <w:pPr>
        <w:pStyle w:val="Textonotapie"/>
      </w:pPr>
    </w:p>
  </w:footnote>
  <w:footnote w:id="5">
    <w:p w14:paraId="3A15D6ED" w14:textId="77777777" w:rsidR="00BD0404" w:rsidRPr="00BD0404" w:rsidRDefault="00BD0404" w:rsidP="00BD0404">
      <w:pPr>
        <w:ind w:left="300" w:right="303" w:firstLine="709"/>
        <w:jc w:val="both"/>
        <w:rPr>
          <w:sz w:val="19"/>
        </w:rPr>
      </w:pPr>
      <w:r>
        <w:rPr>
          <w:rStyle w:val="Refdenotaalpie"/>
        </w:rPr>
        <w:footnoteRef/>
      </w:r>
      <w:r>
        <w:t xml:space="preserve"> </w:t>
      </w:r>
      <w:r w:rsidRPr="00BD0404">
        <w:rPr>
          <w:sz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72E31830" w14:textId="77777777" w:rsidR="00BD0404" w:rsidRPr="00BD0404" w:rsidRDefault="00BD0404" w:rsidP="00BD0404">
      <w:pPr>
        <w:spacing w:before="1" w:line="218" w:lineRule="exact"/>
        <w:ind w:left="1010"/>
        <w:rPr>
          <w:sz w:val="19"/>
        </w:rPr>
      </w:pPr>
      <w:r w:rsidRPr="00BD0404">
        <w:rPr>
          <w:sz w:val="19"/>
        </w:rPr>
        <w:t>[…].</w:t>
      </w:r>
    </w:p>
    <w:p w14:paraId="0D23DE54" w14:textId="77777777" w:rsidR="00BD0404" w:rsidRPr="00BD0404" w:rsidRDefault="00BD0404" w:rsidP="00BD0404">
      <w:pPr>
        <w:ind w:left="300" w:right="308" w:firstLine="709"/>
        <w:jc w:val="both"/>
        <w:rPr>
          <w:sz w:val="19"/>
        </w:rPr>
      </w:pPr>
      <w:r w:rsidRPr="00BD0404">
        <w:rPr>
          <w:sz w:val="19"/>
        </w:rPr>
        <w:t>«Los sujetos obligados que contratan con recursos públicos y recursos privados, deben publicar la información de su gestión contractual con cargo a recursos públicos en el Sistema Electrónico para la Contratación Pública [SECOP]».</w:t>
      </w:r>
    </w:p>
    <w:p w14:paraId="3EA0A782" w14:textId="2316BB22" w:rsidR="00BD0404" w:rsidRPr="00BD0404" w:rsidRDefault="00BD0404">
      <w:pPr>
        <w:pStyle w:val="Textonotapie"/>
      </w:pPr>
    </w:p>
  </w:footnote>
  <w:footnote w:id="6">
    <w:p w14:paraId="56BFCD25" w14:textId="6C206CD9" w:rsidR="00BD0404" w:rsidRPr="00BD0404" w:rsidRDefault="00BD0404" w:rsidP="00BD0404">
      <w:pPr>
        <w:pStyle w:val="Textonotapie"/>
        <w:ind w:firstLine="720"/>
        <w:rPr>
          <w:lang w:val="es-MX"/>
        </w:rPr>
      </w:pPr>
      <w:r>
        <w:rPr>
          <w:rStyle w:val="Refdenotaalpie"/>
        </w:rPr>
        <w:footnoteRef/>
      </w:r>
      <w:r>
        <w:t xml:space="preserve"> </w:t>
      </w:r>
      <w:r w:rsidRPr="00BD0404">
        <w:rPr>
          <w:sz w:val="19"/>
        </w:rPr>
        <w:t>Corte</w:t>
      </w:r>
      <w:r w:rsidRPr="00BD0404">
        <w:rPr>
          <w:spacing w:val="44"/>
          <w:sz w:val="19"/>
        </w:rPr>
        <w:t xml:space="preserve"> </w:t>
      </w:r>
      <w:r w:rsidRPr="00BD0404">
        <w:rPr>
          <w:sz w:val="19"/>
        </w:rPr>
        <w:t>Constitucional.</w:t>
      </w:r>
      <w:r w:rsidRPr="00BD0404">
        <w:rPr>
          <w:spacing w:val="45"/>
          <w:sz w:val="19"/>
        </w:rPr>
        <w:t xml:space="preserve"> </w:t>
      </w:r>
      <w:r w:rsidRPr="00BD0404">
        <w:rPr>
          <w:sz w:val="19"/>
        </w:rPr>
        <w:t>Sentencia</w:t>
      </w:r>
      <w:r w:rsidRPr="00BD0404">
        <w:rPr>
          <w:spacing w:val="44"/>
          <w:sz w:val="19"/>
        </w:rPr>
        <w:t xml:space="preserve"> </w:t>
      </w:r>
      <w:r w:rsidRPr="00BD0404">
        <w:rPr>
          <w:sz w:val="19"/>
        </w:rPr>
        <w:t>C─274</w:t>
      </w:r>
      <w:r w:rsidRPr="00BD0404">
        <w:rPr>
          <w:spacing w:val="44"/>
          <w:sz w:val="19"/>
        </w:rPr>
        <w:t xml:space="preserve"> </w:t>
      </w:r>
      <w:r w:rsidRPr="00BD0404">
        <w:rPr>
          <w:sz w:val="19"/>
        </w:rPr>
        <w:t>de</w:t>
      </w:r>
      <w:r w:rsidRPr="00BD0404">
        <w:rPr>
          <w:spacing w:val="44"/>
          <w:sz w:val="19"/>
        </w:rPr>
        <w:t xml:space="preserve"> </w:t>
      </w:r>
      <w:r w:rsidRPr="00BD0404">
        <w:rPr>
          <w:sz w:val="19"/>
        </w:rPr>
        <w:t>9</w:t>
      </w:r>
      <w:r w:rsidRPr="00BD0404">
        <w:rPr>
          <w:spacing w:val="44"/>
          <w:sz w:val="19"/>
        </w:rPr>
        <w:t xml:space="preserve"> </w:t>
      </w:r>
      <w:r w:rsidRPr="00BD0404">
        <w:rPr>
          <w:sz w:val="19"/>
        </w:rPr>
        <w:t>de</w:t>
      </w:r>
      <w:r w:rsidRPr="00BD0404">
        <w:rPr>
          <w:spacing w:val="43"/>
          <w:sz w:val="19"/>
        </w:rPr>
        <w:t xml:space="preserve"> </w:t>
      </w:r>
      <w:r w:rsidRPr="00BD0404">
        <w:rPr>
          <w:sz w:val="19"/>
        </w:rPr>
        <w:t>mayo</w:t>
      </w:r>
      <w:r w:rsidRPr="00BD0404">
        <w:rPr>
          <w:spacing w:val="44"/>
          <w:sz w:val="19"/>
        </w:rPr>
        <w:t xml:space="preserve"> </w:t>
      </w:r>
      <w:r w:rsidRPr="00BD0404">
        <w:rPr>
          <w:sz w:val="19"/>
        </w:rPr>
        <w:t>de</w:t>
      </w:r>
      <w:r w:rsidRPr="00BD0404">
        <w:rPr>
          <w:spacing w:val="44"/>
          <w:sz w:val="19"/>
        </w:rPr>
        <w:t xml:space="preserve"> </w:t>
      </w:r>
      <w:r w:rsidRPr="00BD0404">
        <w:rPr>
          <w:sz w:val="19"/>
        </w:rPr>
        <w:t>2013.</w:t>
      </w:r>
      <w:r w:rsidRPr="00BD0404">
        <w:rPr>
          <w:spacing w:val="45"/>
          <w:sz w:val="19"/>
        </w:rPr>
        <w:t xml:space="preserve"> </w:t>
      </w:r>
      <w:r w:rsidRPr="00BD0404">
        <w:rPr>
          <w:sz w:val="19"/>
        </w:rPr>
        <w:t>M.P.</w:t>
      </w:r>
      <w:r w:rsidRPr="00BD0404">
        <w:rPr>
          <w:spacing w:val="45"/>
          <w:sz w:val="19"/>
        </w:rPr>
        <w:t xml:space="preserve"> </w:t>
      </w:r>
      <w:r w:rsidRPr="00BD0404">
        <w:rPr>
          <w:sz w:val="19"/>
        </w:rPr>
        <w:t>María</w:t>
      </w:r>
      <w:r w:rsidRPr="00BD0404">
        <w:rPr>
          <w:spacing w:val="44"/>
          <w:sz w:val="19"/>
        </w:rPr>
        <w:t xml:space="preserve"> </w:t>
      </w:r>
      <w:r w:rsidRPr="00BD0404">
        <w:rPr>
          <w:sz w:val="19"/>
        </w:rPr>
        <w:t>Victoria</w:t>
      </w:r>
      <w:r w:rsidRPr="00BD0404">
        <w:rPr>
          <w:spacing w:val="44"/>
          <w:sz w:val="19"/>
        </w:rPr>
        <w:t xml:space="preserve"> </w:t>
      </w:r>
      <w:r w:rsidRPr="00BD0404">
        <w:rPr>
          <w:sz w:val="19"/>
        </w:rPr>
        <w:t>Calle</w:t>
      </w:r>
      <w:r>
        <w:rPr>
          <w:sz w:val="19"/>
        </w:rPr>
        <w:t xml:space="preserve"> Correa</w:t>
      </w:r>
    </w:p>
  </w:footnote>
  <w:footnote w:id="7">
    <w:p w14:paraId="01AA8F48" w14:textId="3C684ADE" w:rsidR="00BD0404" w:rsidRPr="00BD0404" w:rsidRDefault="00BD0404">
      <w:pPr>
        <w:pStyle w:val="Textonotapie"/>
        <w:rPr>
          <w:lang w:val="es-MX"/>
        </w:rPr>
      </w:pPr>
      <w:r>
        <w:rPr>
          <w:rStyle w:val="Refdenotaalpie"/>
        </w:rPr>
        <w:footnoteRef/>
      </w:r>
      <w:r>
        <w:t xml:space="preserve"> </w:t>
      </w:r>
      <w:r>
        <w:rPr>
          <w:lang w:val="es-MX"/>
        </w:rPr>
        <w:t>Numeral 1.1 […] las entidades que contratan con cargo a recursos públicos están obligados a publicar oportunamente su actividad en el SECOP, sin que sea relevante para la exigencia de esta obligación su régimen jurídico, naturaleza de público o privado o la pertenencia a una u otra rama del poder público</w:t>
      </w:r>
    </w:p>
  </w:footnote>
  <w:footnote w:id="8">
    <w:p w14:paraId="4AB778EC" w14:textId="03AC60EE" w:rsidR="00BD0404" w:rsidRPr="00BD0404" w:rsidRDefault="00BD0404" w:rsidP="00BD0404">
      <w:pPr>
        <w:spacing w:before="80"/>
        <w:ind w:left="300" w:right="346" w:firstLine="707"/>
        <w:rPr>
          <w:lang w:val="es-MX"/>
        </w:rPr>
      </w:pPr>
      <w:r>
        <w:rPr>
          <w:rStyle w:val="Refdenotaalpie"/>
        </w:rPr>
        <w:footnoteRef/>
      </w:r>
      <w:r>
        <w:t xml:space="preserve"> </w:t>
      </w:r>
      <w:r w:rsidRPr="00BD0404">
        <w:rPr>
          <w:sz w:val="19"/>
        </w:rPr>
        <w:t>Consejo de Estado. Sección Tercera. Subsección C. Auto del 14 de agosto de 2017. Exp. 58.820. C.P. Jaime Orlando Santofimio Gamboa.</w:t>
      </w:r>
    </w:p>
  </w:footnote>
  <w:footnote w:id="9">
    <w:p w14:paraId="634C1A7A" w14:textId="1CBAE415" w:rsidR="00BD0404" w:rsidRPr="00BD0404" w:rsidRDefault="00BD0404" w:rsidP="00BD0404">
      <w:pPr>
        <w:spacing w:before="80"/>
        <w:ind w:left="300" w:right="306" w:firstLine="707"/>
        <w:jc w:val="both"/>
      </w:pPr>
      <w:r>
        <w:rPr>
          <w:rStyle w:val="Refdenotaalpie"/>
        </w:rPr>
        <w:footnoteRef/>
      </w:r>
      <w:r>
        <w:t xml:space="preserve"> </w:t>
      </w:r>
      <w:r w:rsidRPr="00BD0404">
        <w:rPr>
          <w:sz w:val="19"/>
        </w:rPr>
        <w:t>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w:t>
      </w:r>
    </w:p>
  </w:footnote>
  <w:footnote w:id="10">
    <w:p w14:paraId="03BA0EEE" w14:textId="71C0D5A4" w:rsidR="00BD0404" w:rsidRPr="00BD0404" w:rsidRDefault="00BD0404" w:rsidP="00BD0404">
      <w:pPr>
        <w:spacing w:before="80"/>
        <w:ind w:left="300" w:right="306" w:firstLine="707"/>
        <w:jc w:val="both"/>
        <w:rPr>
          <w:sz w:val="19"/>
        </w:rPr>
      </w:pPr>
      <w:r>
        <w:rPr>
          <w:rStyle w:val="Refdenotaalpie"/>
        </w:rPr>
        <w:footnoteRef/>
      </w:r>
      <w:r>
        <w:t xml:space="preserve"> </w:t>
      </w:r>
      <w:r w:rsidRPr="00BD0404">
        <w:rPr>
          <w:sz w:val="19"/>
        </w:rPr>
        <w:t>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3DB792F" w14:textId="77777777" w:rsidR="00BD0404" w:rsidRPr="00BD0404" w:rsidRDefault="00BD0404" w:rsidP="00BD0404">
      <w:pPr>
        <w:spacing w:before="1"/>
        <w:ind w:left="300" w:right="308" w:firstLine="707"/>
        <w:jc w:val="both"/>
        <w:rPr>
          <w:sz w:val="19"/>
        </w:rPr>
      </w:pPr>
      <w:r w:rsidRPr="00BD0404">
        <w:rPr>
          <w:sz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6B4D07C4" w14:textId="15414328" w:rsidR="00BD0404" w:rsidRPr="00BD0404" w:rsidRDefault="00BD0404">
      <w:pPr>
        <w:pStyle w:val="Textonotapie"/>
      </w:pPr>
    </w:p>
  </w:footnote>
  <w:footnote w:id="11">
    <w:p w14:paraId="2996DF5A" w14:textId="095544AB" w:rsidR="00BD0404" w:rsidRPr="00BD0404" w:rsidRDefault="00BD0404" w:rsidP="00BD0404">
      <w:pPr>
        <w:spacing w:before="80"/>
        <w:ind w:left="300" w:right="306" w:firstLine="707"/>
        <w:jc w:val="both"/>
      </w:pPr>
      <w:r>
        <w:rPr>
          <w:rStyle w:val="Refdenotaalpie"/>
        </w:rPr>
        <w:footnoteRef/>
      </w:r>
      <w:r>
        <w:t xml:space="preserve"> </w:t>
      </w:r>
      <w:r w:rsidRPr="00BD0404">
        <w:rPr>
          <w:sz w:val="19"/>
        </w:rPr>
        <w:t>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12">
    <w:p w14:paraId="5B8F2D4E" w14:textId="2C105338" w:rsidR="00BD0404" w:rsidRPr="00BD0404" w:rsidRDefault="00BD0404" w:rsidP="00BD0404">
      <w:pPr>
        <w:ind w:left="300" w:right="306" w:firstLine="707"/>
        <w:jc w:val="both"/>
      </w:pPr>
      <w:r>
        <w:rPr>
          <w:rStyle w:val="Refdenotaalpie"/>
        </w:rPr>
        <w:footnoteRef/>
      </w:r>
      <w:r>
        <w:t xml:space="preserve"> </w:t>
      </w:r>
      <w:r w:rsidRPr="00BD0404">
        <w:rPr>
          <w:sz w:val="19"/>
        </w:rPr>
        <w:t>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w:t>
      </w:r>
      <w:r w:rsidRPr="00BD0404">
        <w:rPr>
          <w:spacing w:val="-28"/>
          <w:sz w:val="19"/>
        </w:rPr>
        <w:t xml:space="preserve"> </w:t>
      </w:r>
      <w:r w:rsidRPr="00BD0404">
        <w:rPr>
          <w:sz w:val="19"/>
        </w:rPr>
        <w:t>obligado».</w:t>
      </w:r>
    </w:p>
  </w:footnote>
  <w:footnote w:id="13">
    <w:p w14:paraId="5DCD025C" w14:textId="77777777" w:rsidR="00BD0404" w:rsidRPr="00BD0404" w:rsidRDefault="00BD0404" w:rsidP="00BD0404">
      <w:pPr>
        <w:ind w:left="300" w:right="305" w:firstLine="707"/>
        <w:jc w:val="both"/>
        <w:rPr>
          <w:sz w:val="19"/>
        </w:rPr>
      </w:pPr>
      <w:r>
        <w:rPr>
          <w:rStyle w:val="Refdenotaalpie"/>
        </w:rPr>
        <w:footnoteRef/>
      </w:r>
      <w:r>
        <w:t xml:space="preserve"> </w:t>
      </w:r>
      <w:r w:rsidRPr="00BD0404">
        <w:rPr>
          <w:sz w:val="19"/>
        </w:rPr>
        <w:t>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w:t>
      </w:r>
      <w:r w:rsidRPr="00BD0404">
        <w:rPr>
          <w:spacing w:val="-2"/>
          <w:sz w:val="19"/>
        </w:rPr>
        <w:t xml:space="preserve"> </w:t>
      </w:r>
      <w:r w:rsidRPr="00BD0404">
        <w:rPr>
          <w:sz w:val="19"/>
        </w:rPr>
        <w:t>adicione.</w:t>
      </w:r>
    </w:p>
    <w:p w14:paraId="1CE05F23" w14:textId="77777777" w:rsidR="00BD0404" w:rsidRPr="00BD0404" w:rsidRDefault="00BD0404" w:rsidP="00BD0404">
      <w:pPr>
        <w:spacing w:line="242" w:lineRule="auto"/>
        <w:ind w:left="300" w:right="310"/>
        <w:jc w:val="both"/>
        <w:rPr>
          <w:sz w:val="19"/>
        </w:rPr>
      </w:pPr>
      <w:r w:rsidRPr="00BD0404">
        <w:rPr>
          <w:sz w:val="19"/>
        </w:rPr>
        <w:t>»Los sujetos obligados que no contratan con cargo a recursos públicos no están obligados a publicar su Plan Anual de Adquisiciones.</w:t>
      </w:r>
    </w:p>
    <w:p w14:paraId="66AE81C7" w14:textId="77777777" w:rsidR="00BD0404" w:rsidRPr="00BD0404" w:rsidRDefault="00BD0404" w:rsidP="00BD0404">
      <w:pPr>
        <w:ind w:left="300" w:right="307"/>
        <w:jc w:val="both"/>
        <w:rPr>
          <w:sz w:val="19"/>
        </w:rPr>
      </w:pPr>
      <w:r w:rsidRPr="00BD0404">
        <w:rPr>
          <w:sz w:val="19"/>
        </w:rPr>
        <w:t>»Los sujetos obligados que contratan con cargo a recursos públicos y recursos privados, deben publicar en su página web y en el SECOP el Plan Anual de Adquisiciones para los recursos de carácter público que ejecutarán en el año.</w:t>
      </w:r>
    </w:p>
    <w:p w14:paraId="4FB594BF" w14:textId="77777777" w:rsidR="00BD0404" w:rsidRPr="00BD0404" w:rsidRDefault="00BD0404" w:rsidP="00BD0404">
      <w:pPr>
        <w:ind w:left="300" w:right="306"/>
        <w:jc w:val="both"/>
        <w:rPr>
          <w:sz w:val="19"/>
        </w:rPr>
      </w:pPr>
      <w:r w:rsidRPr="00BD0404">
        <w:rPr>
          <w:sz w:val="19"/>
        </w:rPr>
        <w:t>»Se entenderá como definición de Plan Anual de Adquisiciones respecto a todos los sujetos obligados que contratan con recursos públicos, la prevista en el artículo 3° del Decreto 1510 de 2013, o el que lo modifique, sustituya o adicione».</w:t>
      </w:r>
    </w:p>
    <w:p w14:paraId="65820DB9" w14:textId="68BAB560" w:rsidR="00BD0404" w:rsidRPr="00BD0404" w:rsidRDefault="00BD0404">
      <w:pPr>
        <w:pStyle w:val="Textonotapie"/>
      </w:pPr>
    </w:p>
  </w:footnote>
  <w:footnote w:id="14">
    <w:p w14:paraId="6AF87AB9" w14:textId="77777777" w:rsidR="00BD0404" w:rsidRPr="00BD0404" w:rsidRDefault="00BD0404" w:rsidP="00BD0404">
      <w:pPr>
        <w:spacing w:before="87" w:line="244" w:lineRule="auto"/>
        <w:ind w:left="300" w:right="306" w:firstLine="707"/>
        <w:jc w:val="both"/>
        <w:rPr>
          <w:sz w:val="19"/>
        </w:rPr>
      </w:pPr>
      <w:r>
        <w:rPr>
          <w:rStyle w:val="Refdenotaalpie"/>
        </w:rPr>
        <w:footnoteRef/>
      </w:r>
      <w:r>
        <w:t xml:space="preserve"> </w:t>
      </w:r>
      <w:r w:rsidRPr="00BD0404">
        <w:rPr>
          <w:rFonts w:ascii="Carlito" w:hAnsi="Carlito"/>
          <w:position w:val="6"/>
          <w:sz w:val="13"/>
        </w:rPr>
        <w:t xml:space="preserve">14 </w:t>
      </w:r>
      <w:r w:rsidRPr="00BD0404">
        <w:rPr>
          <w:sz w:val="19"/>
        </w:rPr>
        <w:t>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w:t>
      </w:r>
      <w:r w:rsidRPr="00BD0404">
        <w:rPr>
          <w:spacing w:val="-1"/>
          <w:sz w:val="19"/>
        </w:rPr>
        <w:t xml:space="preserve"> </w:t>
      </w:r>
      <w:r w:rsidRPr="00BD0404">
        <w:rPr>
          <w:sz w:val="19"/>
        </w:rPr>
        <w:t>SECOP.</w:t>
      </w:r>
    </w:p>
    <w:p w14:paraId="5988FE4C" w14:textId="77777777" w:rsidR="00BD0404" w:rsidRPr="00BD0404" w:rsidRDefault="00BD0404" w:rsidP="00BD0404">
      <w:pPr>
        <w:ind w:left="300" w:right="310" w:firstLine="707"/>
        <w:jc w:val="both"/>
        <w:rPr>
          <w:sz w:val="19"/>
        </w:rPr>
      </w:pPr>
      <w:r w:rsidRPr="00BD0404">
        <w:rPr>
          <w:sz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w:t>
      </w:r>
      <w:r w:rsidRPr="00BD0404">
        <w:rPr>
          <w:spacing w:val="-7"/>
          <w:sz w:val="19"/>
        </w:rPr>
        <w:t xml:space="preserve"> </w:t>
      </w:r>
      <w:r w:rsidRPr="00BD0404">
        <w:rPr>
          <w:sz w:val="19"/>
        </w:rPr>
        <w:t>Pública».</w:t>
      </w:r>
    </w:p>
    <w:p w14:paraId="2F4DB81F" w14:textId="5617D2A2" w:rsidR="00BD0404" w:rsidRPr="00BD0404" w:rsidRDefault="00BD0404">
      <w:pPr>
        <w:pStyle w:val="Textonotapie"/>
      </w:pPr>
    </w:p>
  </w:footnote>
  <w:footnote w:id="15">
    <w:p w14:paraId="6B951BEE" w14:textId="77777777" w:rsidR="00BD0404" w:rsidRPr="00BD0404" w:rsidRDefault="00BD0404" w:rsidP="00BD0404">
      <w:pPr>
        <w:spacing w:before="80"/>
        <w:ind w:left="300" w:right="310" w:firstLine="709"/>
        <w:jc w:val="both"/>
        <w:rPr>
          <w:sz w:val="19"/>
        </w:rPr>
      </w:pPr>
      <w:r>
        <w:rPr>
          <w:rStyle w:val="Refdenotaalpie"/>
        </w:rPr>
        <w:footnoteRef/>
      </w:r>
      <w:r>
        <w:t xml:space="preserve"> </w:t>
      </w:r>
      <w:r w:rsidRPr="00BD0404">
        <w:rPr>
          <w:sz w:val="19"/>
        </w:rPr>
        <w:t>Circular Externa Única: «Numeral 1.2 Oportunidad en la publicación de la información en el SECOP: Las Entidades que aún utilizan el SECOP I están obligadas a publicar en el SECOP los Documentos del Proceso dentro de los tres (3) días siguientes a su expedición.</w:t>
      </w:r>
      <w:r>
        <w:rPr>
          <w:sz w:val="19"/>
        </w:rPr>
        <w:t xml:space="preserve"> </w:t>
      </w:r>
      <w:r w:rsidRPr="00BD0404">
        <w:rPr>
          <w:sz w:val="19"/>
        </w:rPr>
        <w:t>»La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p>
    <w:p w14:paraId="2EB724C4" w14:textId="4FA1D6B8" w:rsidR="00BD0404" w:rsidRPr="00BD0404" w:rsidRDefault="00BD0404" w:rsidP="00E236A5">
      <w:pPr>
        <w:ind w:left="300" w:right="312" w:firstLine="709"/>
        <w:jc w:val="both"/>
      </w:pPr>
      <w:r w:rsidRPr="00BD0404">
        <w:rPr>
          <w:sz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6">
    <w:p w14:paraId="7D2F3FF0" w14:textId="7FD39E9B" w:rsidR="00E236A5" w:rsidRPr="00BD0404" w:rsidRDefault="00E236A5" w:rsidP="00E236A5">
      <w:pPr>
        <w:spacing w:before="8"/>
        <w:ind w:left="1008"/>
        <w:jc w:val="both"/>
        <w:rPr>
          <w:sz w:val="19"/>
        </w:rPr>
      </w:pPr>
      <w:r>
        <w:rPr>
          <w:rStyle w:val="Refdenotaalpie"/>
        </w:rPr>
        <w:footnoteRef/>
      </w:r>
      <w:r>
        <w:t xml:space="preserve"> </w:t>
      </w:r>
      <w:r w:rsidRPr="00BD0404">
        <w:rPr>
          <w:sz w:val="19"/>
        </w:rPr>
        <w:t>Corte Constitucional. Sentencia C- 083 del 1 de marzo de 1995. M.P. Carlos Gaviria Díaz</w:t>
      </w:r>
    </w:p>
    <w:p w14:paraId="16166383" w14:textId="7EE047CB" w:rsidR="00E236A5" w:rsidRPr="00E236A5" w:rsidRDefault="00E236A5">
      <w:pPr>
        <w:pStyle w:val="Textonotapie"/>
        <w:rPr>
          <w:lang w:val="es-MX"/>
        </w:rPr>
      </w:pPr>
    </w:p>
  </w:footnote>
  <w:footnote w:id="17">
    <w:p w14:paraId="7C7CED86" w14:textId="39E1D03F" w:rsidR="00E236A5" w:rsidRPr="00BD0404" w:rsidRDefault="00E236A5" w:rsidP="00E236A5">
      <w:pPr>
        <w:spacing w:before="87" w:line="244" w:lineRule="auto"/>
        <w:ind w:left="300" w:right="309" w:firstLine="707"/>
        <w:jc w:val="both"/>
        <w:rPr>
          <w:sz w:val="19"/>
        </w:rPr>
      </w:pPr>
      <w:r>
        <w:rPr>
          <w:rStyle w:val="Refdenotaalpie"/>
        </w:rPr>
        <w:footnoteRef/>
      </w:r>
      <w:r>
        <w:t xml:space="preserve"> </w:t>
      </w:r>
      <w:r w:rsidRPr="00BD0404">
        <w:rPr>
          <w:sz w:val="19"/>
        </w:rPr>
        <w:t>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w:t>
      </w:r>
      <w:r w:rsidRPr="00BD0404">
        <w:rPr>
          <w:spacing w:val="-4"/>
          <w:sz w:val="19"/>
        </w:rPr>
        <w:t xml:space="preserve"> </w:t>
      </w:r>
      <w:r w:rsidRPr="00BD0404">
        <w:rPr>
          <w:sz w:val="19"/>
        </w:rPr>
        <w:t>SECOP.</w:t>
      </w:r>
    </w:p>
    <w:p w14:paraId="5FB12783" w14:textId="77777777" w:rsidR="00E236A5" w:rsidRPr="00BD0404" w:rsidRDefault="00E236A5" w:rsidP="00E236A5">
      <w:pPr>
        <w:ind w:left="300" w:right="307" w:firstLine="707"/>
        <w:jc w:val="both"/>
        <w:rPr>
          <w:sz w:val="19"/>
        </w:rPr>
      </w:pPr>
      <w:r w:rsidRPr="00BD0404">
        <w:rPr>
          <w:sz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360729E0" w14:textId="2AE05DD8" w:rsidR="00E236A5" w:rsidRPr="00E236A5" w:rsidRDefault="00E236A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1AAC" w14:textId="77777777" w:rsidR="00C33338" w:rsidRDefault="001852D0">
    <w:pPr>
      <w:pStyle w:val="Textoindependiente"/>
      <w:spacing w:line="14" w:lineRule="auto"/>
      <w:rPr>
        <w:sz w:val="20"/>
      </w:rPr>
    </w:pPr>
    <w:r>
      <w:rPr>
        <w:noProof/>
        <w:lang w:val="en-US"/>
      </w:rPr>
      <w:drawing>
        <wp:anchor distT="0" distB="0" distL="0" distR="0" simplePos="0" relativeHeight="251657216" behindDoc="1" locked="0" layoutInCell="1" allowOverlap="1" wp14:anchorId="67694AD3" wp14:editId="4D6860A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F0CDF"/>
    <w:multiLevelType w:val="multilevel"/>
    <w:tmpl w:val="8C6221B8"/>
    <w:lvl w:ilvl="0">
      <w:start w:val="2"/>
      <w:numFmt w:val="decimal"/>
      <w:lvlText w:val="%1"/>
      <w:lvlJc w:val="left"/>
      <w:pPr>
        <w:ind w:left="300" w:hanging="425"/>
      </w:pPr>
      <w:rPr>
        <w:rFonts w:hint="default"/>
        <w:lang w:val="es-ES" w:eastAsia="en-US" w:bidi="ar-SA"/>
      </w:rPr>
    </w:lvl>
    <w:lvl w:ilvl="1">
      <w:start w:val="1"/>
      <w:numFmt w:val="decimal"/>
      <w:lvlText w:val="%1.%2"/>
      <w:lvlJc w:val="left"/>
      <w:pPr>
        <w:ind w:left="300" w:hanging="425"/>
      </w:pPr>
      <w:rPr>
        <w:rFonts w:hint="default"/>
        <w:b/>
        <w:bCs/>
        <w:spacing w:val="-3"/>
        <w:w w:val="100"/>
        <w:lang w:val="es-ES" w:eastAsia="en-US" w:bidi="ar-SA"/>
      </w:rPr>
    </w:lvl>
    <w:lvl w:ilvl="2">
      <w:numFmt w:val="bullet"/>
      <w:lvlText w:val="•"/>
      <w:lvlJc w:val="left"/>
      <w:pPr>
        <w:ind w:left="2148" w:hanging="425"/>
      </w:pPr>
      <w:rPr>
        <w:rFonts w:hint="default"/>
        <w:lang w:val="es-ES" w:eastAsia="en-US" w:bidi="ar-SA"/>
      </w:rPr>
    </w:lvl>
    <w:lvl w:ilvl="3">
      <w:numFmt w:val="bullet"/>
      <w:lvlText w:val="•"/>
      <w:lvlJc w:val="left"/>
      <w:pPr>
        <w:ind w:left="3072" w:hanging="425"/>
      </w:pPr>
      <w:rPr>
        <w:rFonts w:hint="default"/>
        <w:lang w:val="es-ES" w:eastAsia="en-US" w:bidi="ar-SA"/>
      </w:rPr>
    </w:lvl>
    <w:lvl w:ilvl="4">
      <w:numFmt w:val="bullet"/>
      <w:lvlText w:val="•"/>
      <w:lvlJc w:val="left"/>
      <w:pPr>
        <w:ind w:left="3996" w:hanging="425"/>
      </w:pPr>
      <w:rPr>
        <w:rFonts w:hint="default"/>
        <w:lang w:val="es-ES" w:eastAsia="en-US" w:bidi="ar-SA"/>
      </w:rPr>
    </w:lvl>
    <w:lvl w:ilvl="5">
      <w:numFmt w:val="bullet"/>
      <w:lvlText w:val="•"/>
      <w:lvlJc w:val="left"/>
      <w:pPr>
        <w:ind w:left="4920" w:hanging="425"/>
      </w:pPr>
      <w:rPr>
        <w:rFonts w:hint="default"/>
        <w:lang w:val="es-ES" w:eastAsia="en-US" w:bidi="ar-SA"/>
      </w:rPr>
    </w:lvl>
    <w:lvl w:ilvl="6">
      <w:numFmt w:val="bullet"/>
      <w:lvlText w:val="•"/>
      <w:lvlJc w:val="left"/>
      <w:pPr>
        <w:ind w:left="5844" w:hanging="425"/>
      </w:pPr>
      <w:rPr>
        <w:rFonts w:hint="default"/>
        <w:lang w:val="es-ES" w:eastAsia="en-US" w:bidi="ar-SA"/>
      </w:rPr>
    </w:lvl>
    <w:lvl w:ilvl="7">
      <w:numFmt w:val="bullet"/>
      <w:lvlText w:val="•"/>
      <w:lvlJc w:val="left"/>
      <w:pPr>
        <w:ind w:left="6768" w:hanging="425"/>
      </w:pPr>
      <w:rPr>
        <w:rFonts w:hint="default"/>
        <w:lang w:val="es-ES" w:eastAsia="en-US" w:bidi="ar-SA"/>
      </w:rPr>
    </w:lvl>
    <w:lvl w:ilvl="8">
      <w:numFmt w:val="bullet"/>
      <w:lvlText w:val="•"/>
      <w:lvlJc w:val="left"/>
      <w:pPr>
        <w:ind w:left="7692" w:hanging="425"/>
      </w:pPr>
      <w:rPr>
        <w:rFonts w:hint="default"/>
        <w:lang w:val="es-ES" w:eastAsia="en-US" w:bidi="ar-SA"/>
      </w:rPr>
    </w:lvl>
  </w:abstractNum>
  <w:abstractNum w:abstractNumId="1" w15:restartNumberingAfterBreak="0">
    <w:nsid w:val="4F14748C"/>
    <w:multiLevelType w:val="multilevel"/>
    <w:tmpl w:val="DB5E4688"/>
    <w:lvl w:ilvl="0">
      <w:start w:val="1"/>
      <w:numFmt w:val="decimal"/>
      <w:lvlText w:val="%1."/>
      <w:lvlJc w:val="left"/>
      <w:pPr>
        <w:ind w:left="585" w:hanging="285"/>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38"/>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575" w:hanging="438"/>
      </w:pPr>
      <w:rPr>
        <w:rFonts w:hint="default"/>
        <w:lang w:val="es-ES" w:eastAsia="en-US" w:bidi="ar-SA"/>
      </w:rPr>
    </w:lvl>
    <w:lvl w:ilvl="3">
      <w:numFmt w:val="bullet"/>
      <w:lvlText w:val="•"/>
      <w:lvlJc w:val="left"/>
      <w:pPr>
        <w:ind w:left="2571" w:hanging="438"/>
      </w:pPr>
      <w:rPr>
        <w:rFonts w:hint="default"/>
        <w:lang w:val="es-ES" w:eastAsia="en-US" w:bidi="ar-SA"/>
      </w:rPr>
    </w:lvl>
    <w:lvl w:ilvl="4">
      <w:numFmt w:val="bullet"/>
      <w:lvlText w:val="•"/>
      <w:lvlJc w:val="left"/>
      <w:pPr>
        <w:ind w:left="3566" w:hanging="438"/>
      </w:pPr>
      <w:rPr>
        <w:rFonts w:hint="default"/>
        <w:lang w:val="es-ES" w:eastAsia="en-US" w:bidi="ar-SA"/>
      </w:rPr>
    </w:lvl>
    <w:lvl w:ilvl="5">
      <w:numFmt w:val="bullet"/>
      <w:lvlText w:val="•"/>
      <w:lvlJc w:val="left"/>
      <w:pPr>
        <w:ind w:left="4562" w:hanging="438"/>
      </w:pPr>
      <w:rPr>
        <w:rFonts w:hint="default"/>
        <w:lang w:val="es-ES" w:eastAsia="en-US" w:bidi="ar-SA"/>
      </w:rPr>
    </w:lvl>
    <w:lvl w:ilvl="6">
      <w:numFmt w:val="bullet"/>
      <w:lvlText w:val="•"/>
      <w:lvlJc w:val="left"/>
      <w:pPr>
        <w:ind w:left="5557" w:hanging="438"/>
      </w:pPr>
      <w:rPr>
        <w:rFonts w:hint="default"/>
        <w:lang w:val="es-ES" w:eastAsia="en-US" w:bidi="ar-SA"/>
      </w:rPr>
    </w:lvl>
    <w:lvl w:ilvl="7">
      <w:numFmt w:val="bullet"/>
      <w:lvlText w:val="•"/>
      <w:lvlJc w:val="left"/>
      <w:pPr>
        <w:ind w:left="6553" w:hanging="438"/>
      </w:pPr>
      <w:rPr>
        <w:rFonts w:hint="default"/>
        <w:lang w:val="es-ES" w:eastAsia="en-US" w:bidi="ar-SA"/>
      </w:rPr>
    </w:lvl>
    <w:lvl w:ilvl="8">
      <w:numFmt w:val="bullet"/>
      <w:lvlText w:val="•"/>
      <w:lvlJc w:val="left"/>
      <w:pPr>
        <w:ind w:left="7548" w:hanging="438"/>
      </w:pPr>
      <w:rPr>
        <w:rFonts w:hint="default"/>
        <w:lang w:val="es-ES" w:eastAsia="en-US" w:bidi="ar-SA"/>
      </w:rPr>
    </w:lvl>
  </w:abstractNum>
  <w:abstractNum w:abstractNumId="2" w15:restartNumberingAfterBreak="0">
    <w:nsid w:val="7747423F"/>
    <w:multiLevelType w:val="hybridMultilevel"/>
    <w:tmpl w:val="6A14112E"/>
    <w:lvl w:ilvl="0" w:tplc="97AACFDA">
      <w:start w:val="1"/>
      <w:numFmt w:val="lowerRoman"/>
      <w:lvlText w:val="%1)"/>
      <w:lvlJc w:val="left"/>
      <w:pPr>
        <w:ind w:left="1010" w:hanging="205"/>
      </w:pPr>
      <w:rPr>
        <w:rFonts w:ascii="Arial" w:eastAsia="Arial" w:hAnsi="Arial" w:cs="Arial" w:hint="default"/>
        <w:color w:val="4E4D4D"/>
        <w:w w:val="100"/>
        <w:sz w:val="22"/>
        <w:szCs w:val="22"/>
        <w:lang w:val="es-ES" w:eastAsia="en-US" w:bidi="ar-SA"/>
      </w:rPr>
    </w:lvl>
    <w:lvl w:ilvl="1" w:tplc="5A5016E4">
      <w:numFmt w:val="bullet"/>
      <w:lvlText w:val="•"/>
      <w:lvlJc w:val="left"/>
      <w:pPr>
        <w:ind w:left="1872" w:hanging="205"/>
      </w:pPr>
      <w:rPr>
        <w:rFonts w:hint="default"/>
        <w:lang w:val="es-ES" w:eastAsia="en-US" w:bidi="ar-SA"/>
      </w:rPr>
    </w:lvl>
    <w:lvl w:ilvl="2" w:tplc="6874B1D0">
      <w:numFmt w:val="bullet"/>
      <w:lvlText w:val="•"/>
      <w:lvlJc w:val="left"/>
      <w:pPr>
        <w:ind w:left="2724" w:hanging="205"/>
      </w:pPr>
      <w:rPr>
        <w:rFonts w:hint="default"/>
        <w:lang w:val="es-ES" w:eastAsia="en-US" w:bidi="ar-SA"/>
      </w:rPr>
    </w:lvl>
    <w:lvl w:ilvl="3" w:tplc="24C60670">
      <w:numFmt w:val="bullet"/>
      <w:lvlText w:val="•"/>
      <w:lvlJc w:val="left"/>
      <w:pPr>
        <w:ind w:left="3576" w:hanging="205"/>
      </w:pPr>
      <w:rPr>
        <w:rFonts w:hint="default"/>
        <w:lang w:val="es-ES" w:eastAsia="en-US" w:bidi="ar-SA"/>
      </w:rPr>
    </w:lvl>
    <w:lvl w:ilvl="4" w:tplc="380805A6">
      <w:numFmt w:val="bullet"/>
      <w:lvlText w:val="•"/>
      <w:lvlJc w:val="left"/>
      <w:pPr>
        <w:ind w:left="4428" w:hanging="205"/>
      </w:pPr>
      <w:rPr>
        <w:rFonts w:hint="default"/>
        <w:lang w:val="es-ES" w:eastAsia="en-US" w:bidi="ar-SA"/>
      </w:rPr>
    </w:lvl>
    <w:lvl w:ilvl="5" w:tplc="16507854">
      <w:numFmt w:val="bullet"/>
      <w:lvlText w:val="•"/>
      <w:lvlJc w:val="left"/>
      <w:pPr>
        <w:ind w:left="5280" w:hanging="205"/>
      </w:pPr>
      <w:rPr>
        <w:rFonts w:hint="default"/>
        <w:lang w:val="es-ES" w:eastAsia="en-US" w:bidi="ar-SA"/>
      </w:rPr>
    </w:lvl>
    <w:lvl w:ilvl="6" w:tplc="9F00497E">
      <w:numFmt w:val="bullet"/>
      <w:lvlText w:val="•"/>
      <w:lvlJc w:val="left"/>
      <w:pPr>
        <w:ind w:left="6132" w:hanging="205"/>
      </w:pPr>
      <w:rPr>
        <w:rFonts w:hint="default"/>
        <w:lang w:val="es-ES" w:eastAsia="en-US" w:bidi="ar-SA"/>
      </w:rPr>
    </w:lvl>
    <w:lvl w:ilvl="7" w:tplc="EFDEB78A">
      <w:numFmt w:val="bullet"/>
      <w:lvlText w:val="•"/>
      <w:lvlJc w:val="left"/>
      <w:pPr>
        <w:ind w:left="6984" w:hanging="205"/>
      </w:pPr>
      <w:rPr>
        <w:rFonts w:hint="default"/>
        <w:lang w:val="es-ES" w:eastAsia="en-US" w:bidi="ar-SA"/>
      </w:rPr>
    </w:lvl>
    <w:lvl w:ilvl="8" w:tplc="BDF4EEA8">
      <w:numFmt w:val="bullet"/>
      <w:lvlText w:val="•"/>
      <w:lvlJc w:val="left"/>
      <w:pPr>
        <w:ind w:left="7836" w:hanging="205"/>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38"/>
    <w:rsid w:val="0002456E"/>
    <w:rsid w:val="000F2CA4"/>
    <w:rsid w:val="001852D0"/>
    <w:rsid w:val="001A1D6D"/>
    <w:rsid w:val="00512B78"/>
    <w:rsid w:val="0077115C"/>
    <w:rsid w:val="008A2135"/>
    <w:rsid w:val="00952C94"/>
    <w:rsid w:val="00A754E1"/>
    <w:rsid w:val="00BD0404"/>
    <w:rsid w:val="00C1719F"/>
    <w:rsid w:val="00C33338"/>
    <w:rsid w:val="00DD5566"/>
    <w:rsid w:val="00E236A5"/>
    <w:rsid w:val="00EF0C76"/>
    <w:rsid w:val="00F75DF2"/>
    <w:rsid w:val="0101DFD5"/>
    <w:rsid w:val="02FFB049"/>
    <w:rsid w:val="04887285"/>
    <w:rsid w:val="057BDE6A"/>
    <w:rsid w:val="06EB6CFE"/>
    <w:rsid w:val="0EC4FD59"/>
    <w:rsid w:val="1720DF48"/>
    <w:rsid w:val="1B506DBB"/>
    <w:rsid w:val="1CC9EF52"/>
    <w:rsid w:val="1F14C209"/>
    <w:rsid w:val="1FDAC8D7"/>
    <w:rsid w:val="20A34AF4"/>
    <w:rsid w:val="2362A604"/>
    <w:rsid w:val="25B48236"/>
    <w:rsid w:val="2A723B3C"/>
    <w:rsid w:val="2B05766B"/>
    <w:rsid w:val="2C8A11E7"/>
    <w:rsid w:val="2ECC4A36"/>
    <w:rsid w:val="343C1A00"/>
    <w:rsid w:val="3A192D1C"/>
    <w:rsid w:val="3D4FCAB9"/>
    <w:rsid w:val="3EC55C83"/>
    <w:rsid w:val="43BE61DE"/>
    <w:rsid w:val="43F2206E"/>
    <w:rsid w:val="447D7479"/>
    <w:rsid w:val="44A28F15"/>
    <w:rsid w:val="4CE03590"/>
    <w:rsid w:val="4EF29153"/>
    <w:rsid w:val="50205B50"/>
    <w:rsid w:val="598B2F51"/>
    <w:rsid w:val="59BC540A"/>
    <w:rsid w:val="5CBB9CAC"/>
    <w:rsid w:val="5CC29F1D"/>
    <w:rsid w:val="5EB20E34"/>
    <w:rsid w:val="5F8B295C"/>
    <w:rsid w:val="60DD2B4D"/>
    <w:rsid w:val="629DB30B"/>
    <w:rsid w:val="63702C3E"/>
    <w:rsid w:val="6452EC14"/>
    <w:rsid w:val="690BBA0C"/>
    <w:rsid w:val="6CACC082"/>
    <w:rsid w:val="6E73513C"/>
    <w:rsid w:val="6EE0CEFA"/>
    <w:rsid w:val="6F71F102"/>
    <w:rsid w:val="73CD9B4B"/>
    <w:rsid w:val="75EA3694"/>
    <w:rsid w:val="76007019"/>
    <w:rsid w:val="76C57B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DDF9"/>
  <w15:docId w15:val="{0481BA86-4F00-4C5E-BEDC-2AD8123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pPr>
  </w:style>
  <w:style w:type="paragraph" w:customStyle="1" w:styleId="TableParagraph">
    <w:name w:val="Table Paragraph"/>
    <w:basedOn w:val="Normal"/>
    <w:uiPriority w:val="1"/>
    <w:qFormat/>
    <w:pPr>
      <w:spacing w:line="246" w:lineRule="exact"/>
      <w:ind w:left="721"/>
    </w:pPr>
  </w:style>
  <w:style w:type="paragraph" w:styleId="Textonotapie">
    <w:name w:val="footnote text"/>
    <w:basedOn w:val="Normal"/>
    <w:link w:val="TextonotapieCar"/>
    <w:uiPriority w:val="99"/>
    <w:semiHidden/>
    <w:unhideWhenUsed/>
    <w:rsid w:val="00BD0404"/>
    <w:rPr>
      <w:sz w:val="20"/>
      <w:szCs w:val="20"/>
    </w:rPr>
  </w:style>
  <w:style w:type="character" w:customStyle="1" w:styleId="TextonotapieCar">
    <w:name w:val="Texto nota pie Car"/>
    <w:basedOn w:val="Fuentedeprrafopredeter"/>
    <w:link w:val="Textonotapie"/>
    <w:uiPriority w:val="99"/>
    <w:semiHidden/>
    <w:rsid w:val="00BD040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D0404"/>
    <w:rPr>
      <w:vertAlign w:val="superscript"/>
    </w:rPr>
  </w:style>
  <w:style w:type="character" w:customStyle="1" w:styleId="TextoindependienteCar">
    <w:name w:val="Texto independiente Car"/>
    <w:basedOn w:val="Fuentedeprrafopredeter"/>
    <w:link w:val="Textoindependiente"/>
    <w:uiPriority w:val="1"/>
    <w:rsid w:val="00E236A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3FF2-03C8-4B3A-A383-943F3E21ECE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625A933-AF21-4135-974F-863BE7E1014D}">
  <ds:schemaRefs>
    <ds:schemaRef ds:uri="http://schemas.microsoft.com/sharepoint/v3/contenttype/forms"/>
  </ds:schemaRefs>
</ds:datastoreItem>
</file>

<file path=customXml/itemProps3.xml><?xml version="1.0" encoding="utf-8"?>
<ds:datastoreItem xmlns:ds="http://schemas.openxmlformats.org/officeDocument/2006/customXml" ds:itemID="{F1F954AC-0D46-4DFA-8A2C-2F7E063F8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D4FFE-B029-4BA8-AA4C-7534644D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7750</Words>
  <Characters>44179</Characters>
  <Application>Microsoft Office Word</Application>
  <DocSecurity>0</DocSecurity>
  <Lines>368</Lines>
  <Paragraphs>103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2020-08-12T20:07:00Z</dcterms:created>
  <dcterms:modified xsi:type="dcterms:W3CDTF">2020-08-12T20:07:00Z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vt:lpwstr>
  </property>
  <property fmtid="{D5CDD505-2E9C-101B-9397-08002B2CF9AE}" pid="4" name="LastSaved">
    <vt:filetime>2020-03-04T00:00:00Z</vt:filetime>
  </property>
  <property fmtid="{D5CDD505-2E9C-101B-9397-08002B2CF9AE}" pid="5" name="ContentTypeId">
    <vt:lpwstr>0x010100F2E0F32964D9B84EA054B84E5D4157A0</vt:lpwstr>
  </property>
</Properties>
</file>