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4A" w:rsidRDefault="00B16C4A" w:rsidP="00F66204">
      <w:pPr>
        <w:ind w:left="301"/>
        <w:jc w:val="both"/>
        <w:rPr>
          <w:b/>
          <w:lang w:val="es-MX"/>
        </w:rPr>
      </w:pPr>
    </w:p>
    <w:p w:rsidR="001D3A49" w:rsidRPr="00F66204" w:rsidRDefault="001D3A49" w:rsidP="00F66204">
      <w:pPr>
        <w:ind w:left="301"/>
        <w:jc w:val="both"/>
        <w:rPr>
          <w:b/>
          <w:lang w:val="es-MX"/>
        </w:rPr>
      </w:pPr>
      <w:r w:rsidRPr="00F66204">
        <w:rPr>
          <w:b/>
          <w:lang w:val="es-MX"/>
        </w:rPr>
        <w:t xml:space="preserve">PUBLICIDAD – Deber </w:t>
      </w:r>
      <w:r w:rsidR="003A1D03" w:rsidRPr="00F66204">
        <w:rPr>
          <w:b/>
          <w:lang w:val="es-MX"/>
        </w:rPr>
        <w:t>–</w:t>
      </w:r>
      <w:r w:rsidR="003A1D03">
        <w:rPr>
          <w:b/>
          <w:lang w:val="es-MX"/>
        </w:rPr>
        <w:t xml:space="preserve"> E</w:t>
      </w:r>
      <w:r w:rsidRPr="00F66204">
        <w:rPr>
          <w:b/>
          <w:lang w:val="es-MX"/>
        </w:rPr>
        <w:t xml:space="preserve">ntidades estatales </w:t>
      </w:r>
    </w:p>
    <w:p w:rsidR="0040610F" w:rsidRPr="00F66204" w:rsidRDefault="0040610F" w:rsidP="00F66204">
      <w:pPr>
        <w:ind w:left="301"/>
        <w:jc w:val="both"/>
        <w:rPr>
          <w:sz w:val="21"/>
          <w:szCs w:val="21"/>
        </w:rPr>
      </w:pPr>
    </w:p>
    <w:p w:rsidR="001D3A49" w:rsidRPr="00F66204" w:rsidRDefault="001D3A49" w:rsidP="00F66204">
      <w:pPr>
        <w:ind w:left="301"/>
        <w:jc w:val="both"/>
        <w:rPr>
          <w:sz w:val="20"/>
          <w:szCs w:val="20"/>
        </w:rPr>
      </w:pPr>
      <w:r w:rsidRPr="00F66204">
        <w:rPr>
          <w:sz w:val="20"/>
          <w:szCs w:val="20"/>
        </w:rPr>
        <w:t>El artículo 3 de la Ley 1150 de 2007establece que los contratos, y en general los actos derivados de la actividad precontractual y contractual, podrán tener lugar por medios electrónicos. Además, señala que la publicación de tales actos puede utilizarse soportes, medios y aplicaciones electrónicas.</w:t>
      </w:r>
    </w:p>
    <w:p w:rsidR="001D3A49" w:rsidRPr="00F66204" w:rsidRDefault="001D3A49" w:rsidP="00F66204">
      <w:pPr>
        <w:ind w:left="301"/>
        <w:jc w:val="both"/>
        <w:rPr>
          <w:b/>
          <w:lang w:val="es-MX"/>
        </w:rPr>
      </w:pPr>
    </w:p>
    <w:p w:rsidR="001D3A49" w:rsidRPr="00F66204" w:rsidRDefault="001D3A49" w:rsidP="00F66204">
      <w:pPr>
        <w:ind w:left="301"/>
        <w:jc w:val="both"/>
        <w:rPr>
          <w:b/>
          <w:lang w:val="es-MX"/>
        </w:rPr>
      </w:pPr>
      <w:r w:rsidRPr="00F66204">
        <w:rPr>
          <w:b/>
        </w:rPr>
        <w:t>PUBLICIDAD – Sujetos obligados</w:t>
      </w:r>
    </w:p>
    <w:p w:rsidR="0040610F" w:rsidRPr="00F66204" w:rsidRDefault="0040610F" w:rsidP="00F66204">
      <w:pPr>
        <w:ind w:left="301"/>
        <w:jc w:val="both"/>
        <w:rPr>
          <w:sz w:val="21"/>
          <w:szCs w:val="21"/>
        </w:rPr>
      </w:pPr>
    </w:p>
    <w:p w:rsidR="001D3A49" w:rsidRPr="00F66204" w:rsidRDefault="001D3A49" w:rsidP="00F66204">
      <w:pPr>
        <w:ind w:left="301"/>
        <w:jc w:val="both"/>
        <w:rPr>
          <w:sz w:val="20"/>
          <w:szCs w:val="20"/>
        </w:rPr>
      </w:pPr>
      <w:r w:rsidRPr="00F66204">
        <w:rPr>
          <w:sz w:val="20"/>
          <w:szCs w:val="20"/>
        </w:rPr>
        <w:t>Los sujetos obligados a publicar su gestión contractual son: i) toda entidad pública, incluyendo las pertenecientes a todas las Ramas del Poder Público, en todos los niveles de la estructura estatal, central o descentralizada por  servicios o territorialmente, en los órdenes nacional, departamental, municipal y distrital, ii) los órganos, organismos y entidades estatales independientes o autónomos y de control  y iii) las personas naturales y jurídicas, públicas o privadas, que presten función pública, que presten servicios públicos respecto de la información directamente relacionada con la prestación  del  servicio  público.  Por lo tanto,</w:t>
      </w:r>
      <w:r w:rsidR="0040610F" w:rsidRPr="00F66204">
        <w:rPr>
          <w:sz w:val="20"/>
          <w:szCs w:val="20"/>
        </w:rPr>
        <w:t xml:space="preserve"> cualquier ente del Estado que </w:t>
      </w:r>
      <w:r w:rsidRPr="00F66204">
        <w:rPr>
          <w:sz w:val="20"/>
          <w:szCs w:val="20"/>
        </w:rPr>
        <w:t>celebre contratos con otra entidad deberá publicar su información precontractual, contractual y post-contractual en un medio electrónico</w:t>
      </w:r>
    </w:p>
    <w:p w:rsidR="001D3A49" w:rsidRPr="00F66204" w:rsidRDefault="001D3A49" w:rsidP="00F66204">
      <w:pPr>
        <w:ind w:left="301"/>
        <w:jc w:val="both"/>
        <w:rPr>
          <w:b/>
          <w:lang w:val="es-MX"/>
        </w:rPr>
      </w:pPr>
    </w:p>
    <w:p w:rsidR="001D3A49" w:rsidRPr="00F66204" w:rsidRDefault="001D3A49" w:rsidP="00F66204">
      <w:pPr>
        <w:ind w:left="301"/>
        <w:jc w:val="both"/>
        <w:rPr>
          <w:b/>
          <w:lang w:val="es-MX"/>
        </w:rPr>
      </w:pPr>
      <w:r w:rsidRPr="00F66204">
        <w:rPr>
          <w:b/>
        </w:rPr>
        <w:t>CONVENIOS INTERAD</w:t>
      </w:r>
      <w:r w:rsidR="003A1D03">
        <w:rPr>
          <w:b/>
        </w:rPr>
        <w:t xml:space="preserve">MINISTRATIVOS – Deber de publicidad </w:t>
      </w:r>
      <w:r w:rsidR="003A1D03" w:rsidRPr="00F66204">
        <w:rPr>
          <w:b/>
          <w:lang w:val="es-MX"/>
        </w:rPr>
        <w:t>–</w:t>
      </w:r>
      <w:r w:rsidR="003A1D03">
        <w:rPr>
          <w:b/>
        </w:rPr>
        <w:t xml:space="preserve"> Actos </w:t>
      </w:r>
      <w:r w:rsidR="003A1D03" w:rsidRPr="00F66204">
        <w:rPr>
          <w:b/>
          <w:lang w:val="es-MX"/>
        </w:rPr>
        <w:t>–</w:t>
      </w:r>
      <w:r w:rsidR="003A1D03">
        <w:rPr>
          <w:b/>
          <w:lang w:val="es-MX"/>
        </w:rPr>
        <w:t xml:space="preserve"> C</w:t>
      </w:r>
      <w:bookmarkStart w:id="0" w:name="_GoBack"/>
      <w:bookmarkEnd w:id="0"/>
      <w:r w:rsidRPr="00F66204">
        <w:rPr>
          <w:b/>
        </w:rPr>
        <w:t xml:space="preserve">ontratos </w:t>
      </w:r>
    </w:p>
    <w:p w:rsidR="0040610F" w:rsidRPr="00F66204" w:rsidRDefault="0040610F" w:rsidP="00F66204">
      <w:pPr>
        <w:ind w:left="301"/>
        <w:jc w:val="both"/>
        <w:rPr>
          <w:sz w:val="21"/>
          <w:szCs w:val="21"/>
        </w:rPr>
      </w:pPr>
    </w:p>
    <w:p w:rsidR="001D3A49" w:rsidRPr="00F66204" w:rsidRDefault="001D3A49" w:rsidP="00F66204">
      <w:pPr>
        <w:ind w:left="301"/>
        <w:jc w:val="both"/>
        <w:rPr>
          <w:sz w:val="20"/>
          <w:szCs w:val="20"/>
        </w:rPr>
      </w:pPr>
      <w:r w:rsidRPr="00F66204">
        <w:rPr>
          <w:sz w:val="20"/>
          <w:szCs w:val="20"/>
        </w:rPr>
        <w:t>La Ley 1150 de 2007, en el artículo 2, numeral 4, establece que la contratación directa procede en los contratos interadministrativos, siempre que las obligaciones derivadas del mismo tengan relación directa con el objeto de la entidad ejecutora señalado en la ley o en sus reglamentos. A su vez, el Decreto 1082 de 2015, en el artículo 2.2.1.2.1.4.4, reitera que la modalidad de selección para la contratación entre entidades estatales es la contratación directa. En este sentido, los contratos interadministrativos se celebran a través de la modalidad de contratación directa, y, de esta forma se deberá publicar en la plataforma. Ahora, el SECOP II permite que los procesos de contratación directa se publiquen, ya sea, a través del módulo con o sin oferta.</w:t>
      </w:r>
    </w:p>
    <w:p w:rsidR="001D3A49" w:rsidRDefault="001D3A49" w:rsidP="001D3A49">
      <w:pPr>
        <w:spacing w:before="93"/>
        <w:ind w:left="300"/>
        <w:jc w:val="both"/>
        <w:rPr>
          <w:sz w:val="21"/>
          <w:szCs w:val="21"/>
        </w:rPr>
      </w:pPr>
    </w:p>
    <w:p w:rsidR="00B16C4A" w:rsidRPr="00F66204" w:rsidRDefault="00B16C4A" w:rsidP="001D3A49">
      <w:pPr>
        <w:spacing w:before="93"/>
        <w:ind w:left="300"/>
        <w:jc w:val="both"/>
        <w:rPr>
          <w:sz w:val="21"/>
          <w:szCs w:val="21"/>
        </w:rPr>
      </w:pPr>
    </w:p>
    <w:p w:rsidR="00966F6C" w:rsidRPr="00F66204" w:rsidRDefault="0056258A">
      <w:pPr>
        <w:spacing w:before="93"/>
        <w:ind w:left="300"/>
        <w:rPr>
          <w:b/>
        </w:rPr>
      </w:pPr>
      <w:r w:rsidRPr="00F66204">
        <w:t xml:space="preserve">Bogotá D.C., </w:t>
      </w:r>
      <w:r w:rsidRPr="00F66204">
        <w:rPr>
          <w:b/>
        </w:rPr>
        <w:t>21/10/2019 Hora 10:35:50s</w:t>
      </w:r>
    </w:p>
    <w:p w:rsidR="00966F6C" w:rsidRPr="00F66204" w:rsidRDefault="0056258A">
      <w:pPr>
        <w:pStyle w:val="Ttulo1"/>
        <w:spacing w:before="40"/>
        <w:ind w:left="5839" w:firstLine="0"/>
      </w:pPr>
      <w:r w:rsidRPr="00F66204">
        <w:t>N° Radicado: 2201913000007819</w:t>
      </w:r>
    </w:p>
    <w:p w:rsidR="00966F6C" w:rsidRPr="00F66204" w:rsidRDefault="00966F6C">
      <w:pPr>
        <w:pStyle w:val="Textoindependiente"/>
        <w:spacing w:before="6"/>
        <w:rPr>
          <w:b/>
          <w:sz w:val="20"/>
        </w:rPr>
      </w:pPr>
    </w:p>
    <w:p w:rsidR="00966F6C" w:rsidRPr="00F66204" w:rsidRDefault="0056258A">
      <w:pPr>
        <w:pStyle w:val="Textoindependiente"/>
        <w:spacing w:before="93"/>
        <w:ind w:left="300"/>
      </w:pPr>
      <w:r w:rsidRPr="00F66204">
        <w:t>Señora</w:t>
      </w:r>
    </w:p>
    <w:p w:rsidR="00966F6C" w:rsidRPr="00F66204" w:rsidRDefault="0056258A">
      <w:pPr>
        <w:pStyle w:val="Ttulo1"/>
        <w:spacing w:before="37"/>
        <w:ind w:left="300" w:firstLine="0"/>
      </w:pPr>
      <w:r w:rsidRPr="00F66204">
        <w:t xml:space="preserve">Dora </w:t>
      </w:r>
      <w:proofErr w:type="spellStart"/>
      <w:r w:rsidRPr="00F66204">
        <w:t>Ilsa</w:t>
      </w:r>
      <w:proofErr w:type="spellEnd"/>
      <w:r w:rsidRPr="00F66204">
        <w:t xml:space="preserve"> Ospina Ocampo</w:t>
      </w:r>
    </w:p>
    <w:p w:rsidR="00966F6C" w:rsidRPr="00F66204" w:rsidRDefault="0056258A">
      <w:pPr>
        <w:pStyle w:val="Textoindependiente"/>
        <w:spacing w:before="37" w:line="278" w:lineRule="auto"/>
        <w:ind w:left="300" w:right="4511"/>
      </w:pPr>
      <w:r w:rsidRPr="00F66204">
        <w:t>Jefe oficina asesora de planeación e informática Ministerio de Defensa</w:t>
      </w:r>
    </w:p>
    <w:p w:rsidR="00966F6C" w:rsidRPr="00F66204" w:rsidRDefault="0056258A">
      <w:pPr>
        <w:pStyle w:val="Textoindependiente"/>
        <w:spacing w:line="249" w:lineRule="exact"/>
        <w:ind w:left="300"/>
      </w:pPr>
      <w:r w:rsidRPr="00F66204">
        <w:t>Ciudad</w:t>
      </w:r>
    </w:p>
    <w:p w:rsidR="00966F6C" w:rsidRPr="00F66204" w:rsidRDefault="00966F6C">
      <w:pPr>
        <w:pStyle w:val="Textoindependiente"/>
        <w:rPr>
          <w:sz w:val="20"/>
        </w:rPr>
      </w:pPr>
    </w:p>
    <w:p w:rsidR="00966F6C" w:rsidRPr="00F66204" w:rsidRDefault="00966F6C">
      <w:pPr>
        <w:pStyle w:val="Textoindependiente"/>
        <w:rPr>
          <w:sz w:val="20"/>
        </w:rPr>
      </w:pPr>
    </w:p>
    <w:p w:rsidR="00966F6C" w:rsidRPr="00F66204" w:rsidRDefault="00966F6C">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6999"/>
      </w:tblGrid>
      <w:tr w:rsidR="00F66204" w:rsidRPr="00F66204">
        <w:trPr>
          <w:trHeight w:val="267"/>
        </w:trPr>
        <w:tc>
          <w:tcPr>
            <w:tcW w:w="2328" w:type="dxa"/>
          </w:tcPr>
          <w:p w:rsidR="00966F6C" w:rsidRPr="00F66204" w:rsidRDefault="0056258A">
            <w:pPr>
              <w:pStyle w:val="TableParagraph"/>
              <w:spacing w:line="246" w:lineRule="exact"/>
              <w:rPr>
                <w:b/>
              </w:rPr>
            </w:pPr>
            <w:r w:rsidRPr="00F66204">
              <w:rPr>
                <w:b/>
              </w:rPr>
              <w:t>Radicación:</w:t>
            </w:r>
          </w:p>
        </w:tc>
        <w:tc>
          <w:tcPr>
            <w:tcW w:w="6999" w:type="dxa"/>
          </w:tcPr>
          <w:p w:rsidR="00966F6C" w:rsidRPr="00F66204" w:rsidRDefault="0056258A">
            <w:pPr>
              <w:pStyle w:val="TableParagraph"/>
              <w:spacing w:line="246" w:lineRule="exact"/>
              <w:ind w:left="562"/>
            </w:pPr>
            <w:r w:rsidRPr="00F66204">
              <w:t>Respuesta a consulta # 4201913000006540</w:t>
            </w:r>
          </w:p>
        </w:tc>
      </w:tr>
      <w:tr w:rsidR="00F66204" w:rsidRPr="00F66204">
        <w:trPr>
          <w:trHeight w:val="291"/>
        </w:trPr>
        <w:tc>
          <w:tcPr>
            <w:tcW w:w="2328" w:type="dxa"/>
          </w:tcPr>
          <w:p w:rsidR="00966F6C" w:rsidRPr="00F66204" w:rsidRDefault="0056258A">
            <w:pPr>
              <w:pStyle w:val="TableParagraph"/>
              <w:spacing w:before="15"/>
              <w:rPr>
                <w:b/>
              </w:rPr>
            </w:pPr>
            <w:r w:rsidRPr="00F66204">
              <w:rPr>
                <w:b/>
              </w:rPr>
              <w:t>Temas:</w:t>
            </w:r>
          </w:p>
        </w:tc>
        <w:tc>
          <w:tcPr>
            <w:tcW w:w="6999" w:type="dxa"/>
          </w:tcPr>
          <w:p w:rsidR="00966F6C" w:rsidRPr="00F66204" w:rsidRDefault="0056258A">
            <w:pPr>
              <w:pStyle w:val="TableParagraph"/>
              <w:spacing w:before="15"/>
              <w:ind w:left="562"/>
            </w:pPr>
            <w:r w:rsidRPr="00F66204">
              <w:t>SECOP</w:t>
            </w:r>
          </w:p>
        </w:tc>
      </w:tr>
      <w:tr w:rsidR="00966F6C" w:rsidRPr="00F66204">
        <w:trPr>
          <w:trHeight w:val="559"/>
        </w:trPr>
        <w:tc>
          <w:tcPr>
            <w:tcW w:w="2328" w:type="dxa"/>
          </w:tcPr>
          <w:p w:rsidR="00966F6C" w:rsidRPr="00F66204" w:rsidRDefault="0056258A">
            <w:pPr>
              <w:pStyle w:val="TableParagraph"/>
              <w:spacing w:before="16"/>
              <w:rPr>
                <w:b/>
              </w:rPr>
            </w:pPr>
            <w:r w:rsidRPr="00F66204">
              <w:rPr>
                <w:b/>
              </w:rPr>
              <w:t>Tipo de asunto</w:t>
            </w:r>
          </w:p>
          <w:p w:rsidR="00966F6C" w:rsidRPr="00F66204" w:rsidRDefault="0056258A">
            <w:pPr>
              <w:pStyle w:val="TableParagraph"/>
              <w:spacing w:before="37" w:line="233" w:lineRule="exact"/>
              <w:rPr>
                <w:b/>
              </w:rPr>
            </w:pPr>
            <w:r w:rsidRPr="00F66204">
              <w:rPr>
                <w:b/>
              </w:rPr>
              <w:t>consultado:</w:t>
            </w:r>
          </w:p>
        </w:tc>
        <w:tc>
          <w:tcPr>
            <w:tcW w:w="6999" w:type="dxa"/>
          </w:tcPr>
          <w:p w:rsidR="00966F6C" w:rsidRPr="00F66204" w:rsidRDefault="0056258A">
            <w:pPr>
              <w:pStyle w:val="TableParagraph"/>
              <w:spacing w:before="16"/>
              <w:ind w:left="562"/>
            </w:pPr>
            <w:r w:rsidRPr="00F66204">
              <w:t>Publicación de los convenios interadministrativos sin</w:t>
            </w:r>
            <w:r w:rsidRPr="00F66204">
              <w:rPr>
                <w:spacing w:val="59"/>
              </w:rPr>
              <w:t xml:space="preserve"> </w:t>
            </w:r>
            <w:r w:rsidRPr="00F66204">
              <w:t>erogación</w:t>
            </w:r>
          </w:p>
          <w:p w:rsidR="00966F6C" w:rsidRPr="00F66204" w:rsidRDefault="0056258A">
            <w:pPr>
              <w:pStyle w:val="TableParagraph"/>
              <w:spacing w:before="37" w:line="233" w:lineRule="exact"/>
              <w:ind w:left="562"/>
            </w:pPr>
            <w:r w:rsidRPr="00F66204">
              <w:t>presupuestal</w:t>
            </w:r>
          </w:p>
        </w:tc>
      </w:tr>
    </w:tbl>
    <w:p w:rsidR="00966F6C" w:rsidRPr="00F66204" w:rsidRDefault="00966F6C">
      <w:pPr>
        <w:pStyle w:val="Textoindependiente"/>
        <w:rPr>
          <w:sz w:val="20"/>
        </w:rPr>
      </w:pPr>
    </w:p>
    <w:p w:rsidR="00966F6C" w:rsidRPr="00F66204" w:rsidRDefault="00966F6C">
      <w:pPr>
        <w:pStyle w:val="Textoindependiente"/>
        <w:spacing w:before="9"/>
        <w:rPr>
          <w:sz w:val="25"/>
        </w:rPr>
      </w:pPr>
    </w:p>
    <w:p w:rsidR="00966F6C" w:rsidRPr="00F66204" w:rsidRDefault="0056258A">
      <w:pPr>
        <w:pStyle w:val="Textoindependiente"/>
        <w:spacing w:before="93"/>
        <w:ind w:left="300"/>
        <w:jc w:val="both"/>
      </w:pPr>
      <w:r w:rsidRPr="00F66204">
        <w:lastRenderedPageBreak/>
        <w:t>Estimada señora Ospina,</w:t>
      </w:r>
    </w:p>
    <w:p w:rsidR="00966F6C" w:rsidRPr="00F66204" w:rsidRDefault="00966F6C">
      <w:pPr>
        <w:pStyle w:val="Textoindependiente"/>
        <w:spacing w:before="8"/>
        <w:rPr>
          <w:sz w:val="28"/>
        </w:rPr>
      </w:pPr>
    </w:p>
    <w:p w:rsidR="00966F6C" w:rsidRPr="00F66204" w:rsidRDefault="0056258A">
      <w:pPr>
        <w:pStyle w:val="Textoindependiente"/>
        <w:spacing w:line="276" w:lineRule="auto"/>
        <w:ind w:left="300" w:right="304"/>
        <w:jc w:val="both"/>
      </w:pPr>
      <w:r w:rsidRPr="00F66204">
        <w:t>La Agencia Nacional de Contratación Pública -Colombia Compra Eficiente- responde su consulta del 23 de septiembre de 2019, en ejercicio de la competencia otorgada por el numeral 8 del artículo 11 y el numeral 5 del artículo 3 del Decreto Ley 4170 de 2011.</w:t>
      </w:r>
    </w:p>
    <w:p w:rsidR="00966F6C" w:rsidRPr="00F66204" w:rsidRDefault="00966F6C">
      <w:pPr>
        <w:pStyle w:val="Textoindependiente"/>
        <w:spacing w:before="4"/>
        <w:rPr>
          <w:sz w:val="25"/>
        </w:rPr>
      </w:pPr>
    </w:p>
    <w:p w:rsidR="00966F6C" w:rsidRPr="00F66204" w:rsidRDefault="0056258A">
      <w:pPr>
        <w:pStyle w:val="Ttulo1"/>
        <w:numPr>
          <w:ilvl w:val="0"/>
          <w:numId w:val="1"/>
        </w:numPr>
        <w:tabs>
          <w:tab w:val="left" w:pos="661"/>
        </w:tabs>
        <w:ind w:hanging="361"/>
      </w:pPr>
      <w:r w:rsidRPr="00F66204">
        <w:t>Problema</w:t>
      </w:r>
      <w:r w:rsidRPr="00F66204">
        <w:rPr>
          <w:spacing w:val="-2"/>
        </w:rPr>
        <w:t xml:space="preserve"> </w:t>
      </w:r>
      <w:r w:rsidRPr="00F66204">
        <w:t>planteado</w:t>
      </w:r>
    </w:p>
    <w:p w:rsidR="00966F6C" w:rsidRPr="00F66204" w:rsidRDefault="00966F6C">
      <w:pPr>
        <w:pStyle w:val="Textoindependiente"/>
        <w:spacing w:before="4"/>
        <w:rPr>
          <w:b/>
          <w:sz w:val="28"/>
        </w:rPr>
      </w:pPr>
    </w:p>
    <w:p w:rsidR="00966F6C" w:rsidRPr="00F66204" w:rsidRDefault="0056258A">
      <w:pPr>
        <w:pStyle w:val="Textoindependiente"/>
        <w:spacing w:before="1" w:line="276" w:lineRule="auto"/>
        <w:ind w:left="300" w:right="306"/>
        <w:jc w:val="both"/>
      </w:pPr>
      <w:r w:rsidRPr="00F66204">
        <w:t>“Teniendo en cuenta que la entidad realiza convenios interadministrativos, sin erogación presupuestal, que le permiten coordinar actividades y adelantar proyectos de diversa índole para alcanzar el logro de sus objetivos misiones, de manera respetuosa me permito solicitar a esa entidad, emitir concepto sobre si existe la obligación de registrar o no dichos convenios en el Sistema Electrónico de Contratación Pública-</w:t>
      </w:r>
      <w:r w:rsidRPr="00F66204">
        <w:rPr>
          <w:spacing w:val="-12"/>
        </w:rPr>
        <w:t xml:space="preserve"> </w:t>
      </w:r>
      <w:r w:rsidRPr="00F66204">
        <w:t>SECOP-II”</w:t>
      </w:r>
    </w:p>
    <w:p w:rsidR="00966F6C" w:rsidRPr="00F66204" w:rsidRDefault="00966F6C">
      <w:pPr>
        <w:pStyle w:val="Textoindependiente"/>
        <w:spacing w:before="5"/>
        <w:rPr>
          <w:sz w:val="25"/>
        </w:rPr>
      </w:pPr>
    </w:p>
    <w:p w:rsidR="00966F6C" w:rsidRPr="00F66204" w:rsidRDefault="0056258A">
      <w:pPr>
        <w:pStyle w:val="Ttulo1"/>
        <w:numPr>
          <w:ilvl w:val="0"/>
          <w:numId w:val="1"/>
        </w:numPr>
        <w:tabs>
          <w:tab w:val="left" w:pos="661"/>
        </w:tabs>
        <w:spacing w:before="0"/>
        <w:ind w:hanging="361"/>
      </w:pPr>
      <w:r w:rsidRPr="00F66204">
        <w:t>Consideraciones</w:t>
      </w:r>
    </w:p>
    <w:p w:rsidR="00966F6C" w:rsidRPr="00F66204" w:rsidRDefault="00966F6C">
      <w:pPr>
        <w:pStyle w:val="Textoindependiente"/>
        <w:spacing w:before="5"/>
        <w:rPr>
          <w:b/>
          <w:sz w:val="28"/>
        </w:rPr>
      </w:pPr>
    </w:p>
    <w:p w:rsidR="00966F6C" w:rsidRPr="00F66204" w:rsidRDefault="0056258A">
      <w:pPr>
        <w:pStyle w:val="Textoindependiente"/>
        <w:spacing w:line="276" w:lineRule="auto"/>
        <w:ind w:left="300" w:right="308"/>
        <w:jc w:val="both"/>
      </w:pPr>
      <w:r w:rsidRPr="00F66204">
        <w:t>Para desarrollar el problema planteado, se explicará la normativa que prevé la obligatoriedad de publicar los contratos estatales por parte de las entidades estatales, y, además, cuál es la modalidad de selección de los contratos interadministrativos para determinar la forma cómo se debe publicar estos contratos en el SECOP II.</w:t>
      </w:r>
    </w:p>
    <w:p w:rsidR="00124759" w:rsidRPr="00F66204" w:rsidRDefault="00124759">
      <w:pPr>
        <w:pStyle w:val="Textoindependiente"/>
        <w:spacing w:before="93" w:line="276" w:lineRule="auto"/>
        <w:ind w:left="300" w:right="305"/>
        <w:jc w:val="both"/>
      </w:pPr>
    </w:p>
    <w:p w:rsidR="00966F6C" w:rsidRPr="00F66204" w:rsidRDefault="0056258A">
      <w:pPr>
        <w:pStyle w:val="Textoindependiente"/>
        <w:spacing w:before="93" w:line="276" w:lineRule="auto"/>
        <w:ind w:left="300" w:right="305"/>
        <w:jc w:val="both"/>
      </w:pPr>
      <w:r w:rsidRPr="00F66204">
        <w:t>El artículo 3 de la Ley 1150 de 2007establece que los contratos, y en general los actos derivados de la actividad precontractual y contractual, podrán tener lugar por medios electrónicos. Además, señala que la publicación de tales actos puede utilizarse soportes, medios y aplicaciones electrónicas</w:t>
      </w:r>
      <w:r w:rsidR="00124759" w:rsidRPr="00F66204">
        <w:rPr>
          <w:rStyle w:val="Refdenotaalpie"/>
        </w:rPr>
        <w:footnoteReference w:id="1"/>
      </w:r>
      <w:r w:rsidRPr="00F66204">
        <w:t>.</w:t>
      </w:r>
    </w:p>
    <w:p w:rsidR="00966F6C" w:rsidRPr="00F66204" w:rsidRDefault="00966F6C">
      <w:pPr>
        <w:pStyle w:val="Textoindependiente"/>
        <w:spacing w:before="11"/>
        <w:rPr>
          <w:sz w:val="24"/>
        </w:rPr>
      </w:pPr>
    </w:p>
    <w:p w:rsidR="00966F6C" w:rsidRPr="00F66204" w:rsidRDefault="0056258A">
      <w:pPr>
        <w:pStyle w:val="Textoindependiente"/>
        <w:spacing w:line="273" w:lineRule="auto"/>
        <w:ind w:left="300" w:right="305"/>
        <w:jc w:val="both"/>
      </w:pPr>
      <w:r w:rsidRPr="00F66204">
        <w:t>Posteriormente, la Ley 1712 de 2014, artículo 11, señala que todo sujeto obligado deberá publicar la siguiente información mínima obligatoria: sus procedimientos, lineamientos, políticas en materia de adquisiciones y compras, así como todos los datos de adjudicación y ejecución de contratos</w:t>
      </w:r>
      <w:r w:rsidR="00124759" w:rsidRPr="00F66204">
        <w:rPr>
          <w:rStyle w:val="Refdenotaalpie"/>
        </w:rPr>
        <w:footnoteReference w:id="2"/>
      </w:r>
      <w:r w:rsidRPr="00F66204">
        <w:t>.</w:t>
      </w:r>
    </w:p>
    <w:p w:rsidR="00966F6C" w:rsidRPr="00F66204" w:rsidRDefault="00966F6C">
      <w:pPr>
        <w:pStyle w:val="Textoindependiente"/>
        <w:spacing w:before="9"/>
        <w:rPr>
          <w:sz w:val="25"/>
        </w:rPr>
      </w:pPr>
    </w:p>
    <w:p w:rsidR="00966F6C" w:rsidRPr="00F66204" w:rsidRDefault="0056258A">
      <w:pPr>
        <w:pStyle w:val="Textoindependiente"/>
        <w:spacing w:line="276" w:lineRule="auto"/>
        <w:ind w:left="300" w:right="302"/>
        <w:jc w:val="both"/>
      </w:pPr>
      <w:r w:rsidRPr="00F66204">
        <w:t xml:space="preserve">Por su parte, el artículo 5 señala que los sujetos obligados a publicar su gestión contractual son: i) toda entidad pública, incluyendo las pertenecientes a todas las Ramas del Poder Público, en todos los niveles de la estructura estatal, central o descentralizada </w:t>
      </w:r>
      <w:proofErr w:type="gramStart"/>
      <w:r w:rsidRPr="00F66204">
        <w:t>por  servicios</w:t>
      </w:r>
      <w:proofErr w:type="gramEnd"/>
      <w:r w:rsidRPr="00F66204">
        <w:t xml:space="preserve"> o territorialmente, en los órdenes nacional, departamental, municipal y distrital, ii) los órganos, organismos y entidades estatales independientes o autónomos y de</w:t>
      </w:r>
      <w:r w:rsidRPr="00F66204">
        <w:rPr>
          <w:spacing w:val="41"/>
        </w:rPr>
        <w:t xml:space="preserve"> </w:t>
      </w:r>
      <w:r w:rsidRPr="00F66204">
        <w:t>control  y</w:t>
      </w:r>
    </w:p>
    <w:p w:rsidR="00966F6C" w:rsidRPr="00F66204" w:rsidRDefault="0056258A" w:rsidP="00F66204">
      <w:pPr>
        <w:pStyle w:val="Textoindependiente"/>
        <w:spacing w:line="273" w:lineRule="auto"/>
        <w:ind w:left="300" w:right="304"/>
        <w:jc w:val="both"/>
      </w:pPr>
      <w:r w:rsidRPr="00F66204">
        <w:t xml:space="preserve">iii) las personas naturales y jurídicas, públicas o privadas, que presten función pública, que presten servicios públicos respecto de la información directamente relacionada con la prestación </w:t>
      </w:r>
      <w:r w:rsidRPr="00F66204">
        <w:rPr>
          <w:spacing w:val="6"/>
        </w:rPr>
        <w:t xml:space="preserve"> </w:t>
      </w:r>
      <w:r w:rsidRPr="00F66204">
        <w:t xml:space="preserve">del </w:t>
      </w:r>
      <w:r w:rsidRPr="00F66204">
        <w:rPr>
          <w:spacing w:val="8"/>
        </w:rPr>
        <w:t xml:space="preserve"> </w:t>
      </w:r>
      <w:r w:rsidRPr="00F66204">
        <w:t xml:space="preserve">servicio </w:t>
      </w:r>
      <w:r w:rsidRPr="00F66204">
        <w:rPr>
          <w:spacing w:val="6"/>
        </w:rPr>
        <w:t xml:space="preserve"> </w:t>
      </w:r>
      <w:r w:rsidRPr="00F66204">
        <w:t>público</w:t>
      </w:r>
      <w:r w:rsidR="00124759" w:rsidRPr="00F66204">
        <w:rPr>
          <w:rStyle w:val="Refdenotaalpie"/>
        </w:rPr>
        <w:footnoteReference w:id="3"/>
      </w:r>
      <w:r w:rsidRPr="00F66204">
        <w:t xml:space="preserve">. </w:t>
      </w:r>
      <w:r w:rsidRPr="00F66204">
        <w:rPr>
          <w:spacing w:val="6"/>
        </w:rPr>
        <w:t xml:space="preserve"> </w:t>
      </w:r>
      <w:proofErr w:type="gramStart"/>
      <w:r w:rsidRPr="00F66204">
        <w:t xml:space="preserve">Por </w:t>
      </w:r>
      <w:r w:rsidRPr="00F66204">
        <w:rPr>
          <w:spacing w:val="6"/>
        </w:rPr>
        <w:t xml:space="preserve"> </w:t>
      </w:r>
      <w:r w:rsidRPr="00F66204">
        <w:t>lo</w:t>
      </w:r>
      <w:proofErr w:type="gramEnd"/>
      <w:r w:rsidRPr="00F66204">
        <w:t xml:space="preserve"> </w:t>
      </w:r>
      <w:r w:rsidRPr="00F66204">
        <w:rPr>
          <w:spacing w:val="6"/>
        </w:rPr>
        <w:t xml:space="preserve"> </w:t>
      </w:r>
      <w:r w:rsidRPr="00F66204">
        <w:t xml:space="preserve">tanto, </w:t>
      </w:r>
      <w:r w:rsidRPr="00F66204">
        <w:rPr>
          <w:spacing w:val="6"/>
        </w:rPr>
        <w:t xml:space="preserve"> </w:t>
      </w:r>
      <w:r w:rsidRPr="00F66204">
        <w:t xml:space="preserve">cualquier </w:t>
      </w:r>
      <w:r w:rsidRPr="00F66204">
        <w:rPr>
          <w:spacing w:val="6"/>
        </w:rPr>
        <w:t xml:space="preserve"> </w:t>
      </w:r>
      <w:r w:rsidRPr="00F66204">
        <w:t xml:space="preserve">ente </w:t>
      </w:r>
      <w:r w:rsidRPr="00F66204">
        <w:rPr>
          <w:spacing w:val="6"/>
        </w:rPr>
        <w:t xml:space="preserve"> </w:t>
      </w:r>
      <w:r w:rsidRPr="00F66204">
        <w:t xml:space="preserve">del </w:t>
      </w:r>
      <w:r w:rsidRPr="00F66204">
        <w:rPr>
          <w:spacing w:val="5"/>
        </w:rPr>
        <w:t xml:space="preserve"> </w:t>
      </w:r>
      <w:r w:rsidRPr="00F66204">
        <w:t xml:space="preserve">Estado </w:t>
      </w:r>
      <w:r w:rsidRPr="00F66204">
        <w:rPr>
          <w:spacing w:val="7"/>
        </w:rPr>
        <w:t xml:space="preserve"> </w:t>
      </w:r>
      <w:r w:rsidRPr="00F66204">
        <w:t xml:space="preserve">que </w:t>
      </w:r>
      <w:r w:rsidRPr="00F66204">
        <w:rPr>
          <w:spacing w:val="7"/>
        </w:rPr>
        <w:t xml:space="preserve"> </w:t>
      </w:r>
      <w:r w:rsidRPr="00F66204">
        <w:t>celebre</w:t>
      </w:r>
      <w:r w:rsidR="00F66204">
        <w:t xml:space="preserve"> </w:t>
      </w:r>
      <w:r w:rsidRPr="00F66204">
        <w:t>contratos con otra entidad deberá publicar su información precontractual, contractual y post-contractual en un medio electrónico,</w:t>
      </w:r>
    </w:p>
    <w:p w:rsidR="00966F6C" w:rsidRPr="00F66204" w:rsidRDefault="00966F6C">
      <w:pPr>
        <w:pStyle w:val="Textoindependiente"/>
        <w:spacing w:before="1"/>
        <w:rPr>
          <w:sz w:val="25"/>
        </w:rPr>
      </w:pPr>
    </w:p>
    <w:p w:rsidR="00966F6C" w:rsidRPr="00F66204" w:rsidRDefault="0056258A">
      <w:pPr>
        <w:pStyle w:val="Textoindependiente"/>
        <w:spacing w:line="273" w:lineRule="auto"/>
        <w:ind w:left="300" w:right="309"/>
        <w:jc w:val="both"/>
      </w:pPr>
      <w:r w:rsidRPr="00F66204">
        <w:t>Ahora, el Decreto 019 de 2012, en el artículo 223, establece que a partir del primero de junio de 2012 los contratos estatales sólo se publicarán en el Sistema Electrónico de Contratación Pública que administra la Agencia Nacional de Contratación Pública</w:t>
      </w:r>
      <w:r w:rsidR="00124759" w:rsidRPr="00F66204">
        <w:rPr>
          <w:rStyle w:val="Refdenotaalpie"/>
        </w:rPr>
        <w:footnoteReference w:id="4"/>
      </w:r>
      <w:r w:rsidRPr="00F66204">
        <w:t>.</w:t>
      </w:r>
    </w:p>
    <w:p w:rsidR="00966F6C" w:rsidRPr="00F66204" w:rsidRDefault="00966F6C">
      <w:pPr>
        <w:pStyle w:val="Textoindependiente"/>
        <w:spacing w:before="5"/>
        <w:rPr>
          <w:sz w:val="25"/>
        </w:rPr>
      </w:pPr>
    </w:p>
    <w:p w:rsidR="00966F6C" w:rsidRPr="00F66204" w:rsidRDefault="0056258A" w:rsidP="00124759">
      <w:pPr>
        <w:pStyle w:val="Textoindependiente"/>
        <w:spacing w:line="273" w:lineRule="auto"/>
        <w:ind w:left="300" w:right="310"/>
        <w:jc w:val="both"/>
      </w:pPr>
      <w:r w:rsidRPr="00F66204">
        <w:t>Finalmente, el Decreto 1082 de 2015, en el artículo 2.2.1.1.1.7.1, establece que la entidad estatal está obligada a publicar en el SECOP los documentos del proceso y los actos administrativos del Proceso de Contratación, dentro de los 3 días siguientes a su expedición</w:t>
      </w:r>
      <w:r w:rsidR="00124759" w:rsidRPr="00F66204">
        <w:rPr>
          <w:rStyle w:val="Refdenotaalpie"/>
        </w:rPr>
        <w:footnoteReference w:id="5"/>
      </w:r>
      <w:r w:rsidRPr="00F66204">
        <w:t>.</w:t>
      </w:r>
    </w:p>
    <w:p w:rsidR="00124759" w:rsidRPr="00F66204" w:rsidRDefault="00124759" w:rsidP="00124759">
      <w:pPr>
        <w:pStyle w:val="Textoindependiente"/>
        <w:spacing w:line="273" w:lineRule="auto"/>
        <w:ind w:left="300" w:right="310"/>
        <w:jc w:val="both"/>
        <w:rPr>
          <w:sz w:val="16"/>
        </w:rPr>
      </w:pPr>
    </w:p>
    <w:p w:rsidR="00966F6C" w:rsidRPr="00F66204" w:rsidRDefault="0056258A">
      <w:pPr>
        <w:pStyle w:val="Textoindependiente"/>
        <w:spacing w:before="93" w:line="276" w:lineRule="auto"/>
        <w:ind w:left="300" w:right="303"/>
        <w:jc w:val="both"/>
      </w:pPr>
      <w:r w:rsidRPr="00F66204">
        <w:t>De la lectura integral de estas normativas se demuestra que en virtud de los principios de publicidad y de transparencia, las entidades estatales tienen el deber de publicar los contratos estatales en la plataforma del SECOP, independientemente si se ejecutan o no recursos públicos. Lo anterior permite realizar un efectivo control de las actuaciones y decisiones de la administración, constituyéndose en la garantía de los demás principios de la contratación estatal.</w:t>
      </w:r>
    </w:p>
    <w:p w:rsidR="00966F6C" w:rsidRPr="00F66204" w:rsidRDefault="00966F6C">
      <w:pPr>
        <w:pStyle w:val="Textoindependiente"/>
        <w:spacing w:before="5"/>
        <w:rPr>
          <w:sz w:val="25"/>
        </w:rPr>
      </w:pPr>
    </w:p>
    <w:p w:rsidR="00966F6C" w:rsidRPr="00F66204" w:rsidRDefault="0056258A">
      <w:pPr>
        <w:pStyle w:val="Textoindependiente"/>
        <w:spacing w:line="276" w:lineRule="auto"/>
        <w:ind w:left="300" w:right="306"/>
        <w:jc w:val="both"/>
      </w:pPr>
      <w:r w:rsidRPr="00F66204">
        <w:t>Establecido que las entidades estatales tienen la obligación de publicar en el SECOP los contratos estatales, aun cuando no ejecuten recursos públicos, se pregunta: ¿cómo se publican los contratos interadministrativos que no tienen erogación presupuestal en la plataforma del SECOP II? Para responder se explicará la modalidad de selección de este contrato.</w:t>
      </w:r>
    </w:p>
    <w:p w:rsidR="00966F6C" w:rsidRPr="00F66204" w:rsidRDefault="00966F6C">
      <w:pPr>
        <w:pStyle w:val="Textoindependiente"/>
        <w:spacing w:before="3"/>
        <w:rPr>
          <w:sz w:val="25"/>
        </w:rPr>
      </w:pPr>
    </w:p>
    <w:p w:rsidR="00966F6C" w:rsidRPr="00F66204" w:rsidRDefault="0056258A">
      <w:pPr>
        <w:pStyle w:val="Textoindependiente"/>
        <w:spacing w:line="276" w:lineRule="auto"/>
        <w:ind w:left="300" w:right="309"/>
        <w:jc w:val="both"/>
      </w:pPr>
      <w:r w:rsidRPr="00F66204">
        <w:t>La Ley 1150 de 2007, en el artículo 2, numeral 4, establece que la contratación directa procede en los contratos interadministrativos, siempre que las obligaciones derivadas del mismo tengan relación directa con el objeto de la entidad ejecutora señalado en la ley o en sus reglamentos</w:t>
      </w:r>
      <w:r w:rsidR="00251AF4">
        <w:rPr>
          <w:rStyle w:val="Refdenotaalpie"/>
        </w:rPr>
        <w:footnoteReference w:id="6"/>
      </w:r>
      <w:r w:rsidRPr="00F66204">
        <w:t xml:space="preserve">. A su vez, el Decreto 1082 de 2015, en el artículo 2.2.1.2.1.4.4, reitera que </w:t>
      </w:r>
      <w:r w:rsidRPr="00F66204">
        <w:lastRenderedPageBreak/>
        <w:t>la modalidad de selección para la contratación entre entidades estatales es la contratación directa.</w:t>
      </w:r>
    </w:p>
    <w:p w:rsidR="00966F6C" w:rsidRPr="00F66204" w:rsidRDefault="00966F6C">
      <w:pPr>
        <w:pStyle w:val="Textoindependiente"/>
        <w:rPr>
          <w:sz w:val="25"/>
        </w:rPr>
      </w:pPr>
    </w:p>
    <w:p w:rsidR="00251AF4" w:rsidRDefault="0056258A" w:rsidP="00251AF4">
      <w:pPr>
        <w:pStyle w:val="Textoindependiente"/>
        <w:spacing w:line="276" w:lineRule="auto"/>
        <w:ind w:left="300" w:right="304"/>
        <w:jc w:val="both"/>
      </w:pPr>
      <w:r w:rsidRPr="00F66204">
        <w:t>En este sentido, los contratos interadministrativos se celebran a través de la modalidad de contratación directa, y, de esta forma se deberá publicar en la plataforma. Ahora, el SECOP II permite que los procesos de contratación directa se publiquen, ya sea, a través del módulo con o sin</w:t>
      </w:r>
      <w:r w:rsidRPr="00F66204">
        <w:rPr>
          <w:spacing w:val="-5"/>
        </w:rPr>
        <w:t xml:space="preserve"> </w:t>
      </w:r>
      <w:r w:rsidRPr="00F66204">
        <w:t>oferta.</w:t>
      </w:r>
      <w:r w:rsidR="00251AF4">
        <w:t xml:space="preserve"> </w:t>
      </w:r>
    </w:p>
    <w:p w:rsidR="00251AF4" w:rsidRDefault="00251AF4" w:rsidP="00251AF4">
      <w:pPr>
        <w:pStyle w:val="Textoindependiente"/>
        <w:spacing w:line="276" w:lineRule="auto"/>
        <w:ind w:left="300" w:right="304"/>
        <w:jc w:val="both"/>
      </w:pPr>
    </w:p>
    <w:p w:rsidR="00966F6C" w:rsidRPr="00F66204" w:rsidRDefault="0056258A" w:rsidP="00251AF4">
      <w:pPr>
        <w:pStyle w:val="Textoindependiente"/>
        <w:spacing w:line="276" w:lineRule="auto"/>
        <w:ind w:left="300" w:right="304"/>
        <w:jc w:val="both"/>
      </w:pPr>
      <w:r w:rsidRPr="00F66204">
        <w:t>En el módulo de contratación directa sin oferta se publican los contratos de prestación de servicios profesionales y de apoyo a la gestión y los interadministrativos sin erogación presupuestal. Ahora, se publicarán en el módulo de contratación directa con oferta los contratos de las demás causales de contratación directa. En este sentido, los contratos interadministrativos sin erogación presupuestal se publicarán en el módulo de contratación directa sin oferta.</w:t>
      </w:r>
    </w:p>
    <w:p w:rsidR="00966F6C" w:rsidRPr="00F66204" w:rsidRDefault="00966F6C">
      <w:pPr>
        <w:pStyle w:val="Textoindependiente"/>
        <w:spacing w:before="2"/>
        <w:rPr>
          <w:sz w:val="25"/>
        </w:rPr>
      </w:pPr>
    </w:p>
    <w:p w:rsidR="00966F6C" w:rsidRPr="00F66204" w:rsidRDefault="0056258A">
      <w:pPr>
        <w:pStyle w:val="Textoindependiente"/>
        <w:spacing w:line="276" w:lineRule="auto"/>
        <w:ind w:left="300" w:right="308"/>
        <w:jc w:val="both"/>
      </w:pPr>
      <w:r w:rsidRPr="00F66204">
        <w:t>Ahora, si bien los contratos interadministrativos se deben publicar en el módulo de contratación directa sin oferta en la plataforma del SECOP II, la Agencia Nacional de Contratación Pública realizó un comunicado a través del cual señala que todos los procesos que se adelanten bajo la modalidad de contratación directa o procesos de régimen especial, adelantados a partir del 11 de marzo de 2019, se deberán duplicar en el SECOP</w:t>
      </w:r>
      <w:r w:rsidRPr="00F66204">
        <w:rPr>
          <w:spacing w:val="-2"/>
        </w:rPr>
        <w:t xml:space="preserve"> </w:t>
      </w:r>
      <w:r w:rsidRPr="00F66204">
        <w:t>I.</w:t>
      </w:r>
    </w:p>
    <w:p w:rsidR="00966F6C" w:rsidRPr="00F66204" w:rsidRDefault="00966F6C">
      <w:pPr>
        <w:pStyle w:val="Textoindependiente"/>
        <w:spacing w:before="4"/>
        <w:rPr>
          <w:sz w:val="25"/>
        </w:rPr>
      </w:pPr>
    </w:p>
    <w:p w:rsidR="00966F6C" w:rsidRPr="00F66204" w:rsidRDefault="0056258A">
      <w:pPr>
        <w:pStyle w:val="Ttulo1"/>
        <w:numPr>
          <w:ilvl w:val="0"/>
          <w:numId w:val="1"/>
        </w:numPr>
        <w:tabs>
          <w:tab w:val="left" w:pos="661"/>
        </w:tabs>
        <w:ind w:hanging="361"/>
      </w:pPr>
      <w:r w:rsidRPr="00F66204">
        <w:t>Respuesta</w:t>
      </w:r>
    </w:p>
    <w:p w:rsidR="00966F6C" w:rsidRPr="00F66204" w:rsidRDefault="00966F6C">
      <w:pPr>
        <w:pStyle w:val="Textoindependiente"/>
        <w:spacing w:before="7"/>
        <w:rPr>
          <w:b/>
          <w:sz w:val="28"/>
        </w:rPr>
      </w:pPr>
    </w:p>
    <w:p w:rsidR="00966F6C" w:rsidRPr="00F66204" w:rsidRDefault="0056258A">
      <w:pPr>
        <w:pStyle w:val="Textoindependiente"/>
        <w:spacing w:line="276" w:lineRule="auto"/>
        <w:ind w:left="300" w:right="306"/>
        <w:jc w:val="both"/>
      </w:pPr>
      <w:r w:rsidRPr="00F66204">
        <w:t>En virtud de los principios de publicidad y transparencia, las entidades estatales deben publicar todos los contratos estatales a través de la plataforma del SECOP, sin importar si se ejecutan o no con recursos públicos.</w:t>
      </w:r>
    </w:p>
    <w:p w:rsidR="00966F6C" w:rsidRPr="00F66204" w:rsidRDefault="00966F6C">
      <w:pPr>
        <w:pStyle w:val="Textoindependiente"/>
        <w:spacing w:before="3"/>
        <w:rPr>
          <w:sz w:val="25"/>
        </w:rPr>
      </w:pPr>
    </w:p>
    <w:p w:rsidR="00966F6C" w:rsidRPr="00F66204" w:rsidRDefault="0056258A">
      <w:pPr>
        <w:pStyle w:val="Textoindependiente"/>
        <w:spacing w:line="276" w:lineRule="auto"/>
        <w:ind w:left="300" w:right="306"/>
        <w:jc w:val="both"/>
      </w:pPr>
      <w:r w:rsidRPr="00F66204">
        <w:t>Ahora, si bien, en un principio, los contratos interadministrativos sin erogación presupuestal se deben publicar en el módulo de contratación directa sin oferta en la plataforma del SECOP II, a partir de 11 de marzo de 2019 estos contratos se publicarán en el SECOP como una medida para descongestionar la plataforma del SECOP II.</w:t>
      </w:r>
    </w:p>
    <w:p w:rsidR="00966F6C" w:rsidRPr="00F66204" w:rsidRDefault="00966F6C">
      <w:pPr>
        <w:pStyle w:val="Textoindependiente"/>
        <w:spacing w:before="4"/>
        <w:rPr>
          <w:sz w:val="25"/>
        </w:rPr>
      </w:pPr>
    </w:p>
    <w:p w:rsidR="00966F6C" w:rsidRPr="00F66204" w:rsidRDefault="0056258A">
      <w:pPr>
        <w:pStyle w:val="Textoindependiente"/>
        <w:spacing w:line="276" w:lineRule="auto"/>
        <w:ind w:left="300" w:right="312"/>
        <w:jc w:val="both"/>
      </w:pPr>
      <w:r w:rsidRPr="00F66204">
        <w:t xml:space="preserve">Este concepto tiene el alcance previsto en el artículo 28 del Código de Procedimiento </w:t>
      </w:r>
      <w:r w:rsidRPr="00F66204">
        <w:lastRenderedPageBreak/>
        <w:t>Administrativo y de lo Contencioso Administrativo.</w:t>
      </w:r>
    </w:p>
    <w:p w:rsidR="00966F6C" w:rsidRPr="00F66204" w:rsidRDefault="00126BAE">
      <w:pPr>
        <w:pStyle w:val="Textoindependiente"/>
        <w:spacing w:before="9"/>
      </w:pPr>
      <w:r w:rsidRPr="00F66204">
        <w:rPr>
          <w:noProof/>
          <w:lang w:val="en-US" w:eastAsia="en-US" w:bidi="ar-SA"/>
        </w:rPr>
        <mc:AlternateContent>
          <mc:Choice Requires="wps">
            <w:drawing>
              <wp:anchor distT="0" distB="0" distL="0" distR="0" simplePos="0" relativeHeight="251662336" behindDoc="1" locked="0" layoutInCell="1" allowOverlap="1" wp14:anchorId="5A9E11E7" wp14:editId="7D21A1FB">
                <wp:simplePos x="0" y="0"/>
                <wp:positionH relativeFrom="page">
                  <wp:posOffset>1514475</wp:posOffset>
                </wp:positionH>
                <wp:positionV relativeFrom="paragraph">
                  <wp:posOffset>196850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29125"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5pt" to="48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" strokecolor="#dbdbdb">
                <w10:wrap type="topAndBottom" anchorx="page"/>
              </v:line>
            </w:pict>
          </mc:Fallback>
        </mc:AlternateContent>
      </w:r>
    </w:p>
    <w:p w:rsidR="00966F6C" w:rsidRPr="00F66204" w:rsidRDefault="00966F6C">
      <w:pPr>
        <w:pStyle w:val="Textoindependiente"/>
        <w:spacing w:before="6"/>
        <w:rPr>
          <w:sz w:val="20"/>
        </w:rPr>
      </w:pPr>
    </w:p>
    <w:p w:rsidR="00966F6C" w:rsidRPr="00F66204" w:rsidRDefault="0056258A">
      <w:pPr>
        <w:pStyle w:val="Textoindependiente"/>
        <w:ind w:left="300"/>
      </w:pPr>
      <w:r w:rsidRPr="00F66204">
        <w:t>Atentamente</w:t>
      </w:r>
    </w:p>
    <w:p w:rsidR="00B16C4A" w:rsidRPr="009D5D6D" w:rsidRDefault="00B16C4A" w:rsidP="00B16C4A">
      <w:pPr>
        <w:pStyle w:val="Textoindependiente"/>
        <w:jc w:val="center"/>
      </w:pPr>
      <w:r>
        <w:rPr>
          <w:noProof/>
          <w:lang w:val="en-US" w:eastAsia="en-US" w:bidi="ar-SA"/>
        </w:rPr>
        <w:drawing>
          <wp:inline distT="0" distB="0" distL="0" distR="0" wp14:anchorId="4BC3C287" wp14:editId="300A899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966F6C" w:rsidRPr="00F66204" w:rsidRDefault="0056258A">
      <w:pPr>
        <w:pStyle w:val="Textoindependiente"/>
        <w:spacing w:before="33"/>
        <w:ind w:left="300"/>
      </w:pPr>
      <w:r w:rsidRPr="00F66204">
        <w:t>Proyectó: Sara Milena Núñez Aldana</w:t>
      </w:r>
    </w:p>
    <w:sectPr w:rsidR="00966F6C" w:rsidRPr="00F66204">
      <w:headerReference w:type="default" r:id="rId12"/>
      <w:footerReference w:type="default" r:id="rId13"/>
      <w:pgSz w:w="12240" w:h="15840"/>
      <w:pgMar w:top="1560" w:right="1300" w:bottom="2080" w:left="1400" w:header="737" w:footer="1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87" w:rsidRDefault="00D40787">
      <w:r>
        <w:separator/>
      </w:r>
    </w:p>
  </w:endnote>
  <w:endnote w:type="continuationSeparator" w:id="0">
    <w:p w:rsidR="00D40787" w:rsidRDefault="00D4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6C" w:rsidRDefault="0056258A">
    <w:pPr>
      <w:pStyle w:val="Textoindependiente"/>
      <w:spacing w:line="14" w:lineRule="auto"/>
      <w:rPr>
        <w:sz w:val="20"/>
      </w:rPr>
    </w:pPr>
    <w:r>
      <w:rPr>
        <w:noProof/>
        <w:lang w:val="en-US" w:eastAsia="en-US" w:bidi="ar-SA"/>
      </w:rPr>
      <w:drawing>
        <wp:anchor distT="0" distB="0" distL="0" distR="0" simplePos="0" relativeHeight="251463680" behindDoc="1" locked="0" layoutInCell="1" allowOverlap="1" wp14:anchorId="293D2A1F" wp14:editId="2A85A2E8">
          <wp:simplePos x="0" y="0"/>
          <wp:positionH relativeFrom="page">
            <wp:posOffset>1137919</wp:posOffset>
          </wp:positionH>
          <wp:positionV relativeFrom="page">
            <wp:posOffset>8688387</wp:posOffset>
          </wp:positionV>
          <wp:extent cx="5612130" cy="787120"/>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87" w:rsidRDefault="00D40787">
      <w:r>
        <w:separator/>
      </w:r>
    </w:p>
  </w:footnote>
  <w:footnote w:type="continuationSeparator" w:id="0">
    <w:p w:rsidR="00D40787" w:rsidRDefault="00D40787">
      <w:r>
        <w:continuationSeparator/>
      </w:r>
    </w:p>
  </w:footnote>
  <w:footnote w:id="1">
    <w:p w:rsidR="00124759" w:rsidRPr="00F66204" w:rsidRDefault="00124759" w:rsidP="00124759">
      <w:pPr>
        <w:spacing w:before="72"/>
        <w:ind w:left="300" w:right="306" w:firstLine="707"/>
        <w:jc w:val="both"/>
        <w:rPr>
          <w:sz w:val="18"/>
        </w:rPr>
      </w:pPr>
      <w:r w:rsidRPr="00F66204">
        <w:rPr>
          <w:rStyle w:val="Refdenotaalpie"/>
        </w:rPr>
        <w:footnoteRef/>
      </w:r>
      <w:r w:rsidRPr="00F66204">
        <w:t xml:space="preserve"> </w:t>
      </w:r>
      <w:r w:rsidRPr="00F66204">
        <w:rPr>
          <w:sz w:val="18"/>
        </w:rPr>
        <w:t>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F66204">
        <w:rPr>
          <w:spacing w:val="-3"/>
          <w:sz w:val="18"/>
        </w:rPr>
        <w:t xml:space="preserve"> </w:t>
      </w:r>
      <w:r w:rsidRPr="00F66204">
        <w:rPr>
          <w:sz w:val="18"/>
        </w:rPr>
        <w:t>Nacional.</w:t>
      </w:r>
    </w:p>
    <w:p w:rsidR="00124759" w:rsidRPr="00F66204" w:rsidRDefault="00124759">
      <w:pPr>
        <w:pStyle w:val="Textonotapie"/>
      </w:pPr>
    </w:p>
  </w:footnote>
  <w:footnote w:id="2">
    <w:p w:rsidR="00124759" w:rsidRPr="00F66204" w:rsidRDefault="00124759" w:rsidP="00124759">
      <w:pPr>
        <w:ind w:left="300" w:right="308" w:firstLine="707"/>
        <w:jc w:val="both"/>
        <w:rPr>
          <w:sz w:val="18"/>
        </w:rPr>
      </w:pPr>
      <w:r w:rsidRPr="00F66204">
        <w:rPr>
          <w:rStyle w:val="Refdenotaalpie"/>
        </w:rPr>
        <w:footnoteRef/>
      </w:r>
      <w:r w:rsidRPr="00F66204">
        <w:t xml:space="preserve"> </w:t>
      </w:r>
      <w:r w:rsidRPr="00F66204">
        <w:rPr>
          <w:sz w:val="18"/>
        </w:rPr>
        <w:t xml:space="preserve">Ley 1712 de 2014: </w:t>
      </w:r>
      <w:r w:rsidRPr="00F66204">
        <w:rPr>
          <w:rFonts w:ascii="Calibri" w:hAnsi="Calibri"/>
          <w:sz w:val="20"/>
        </w:rPr>
        <w:t>“</w:t>
      </w:r>
      <w:r w:rsidRPr="00F66204">
        <w:rPr>
          <w:sz w:val="18"/>
        </w:rPr>
        <w:t>Artículo 11. Información mínima obligatoria respecto a servicios, procedimientos y funcionamiento del sujeto obligado. Todo sujeto obligado deberá publicar la siguiente información mínima obligatoria de manera</w:t>
      </w:r>
      <w:r w:rsidRPr="00F66204">
        <w:rPr>
          <w:spacing w:val="-4"/>
          <w:sz w:val="18"/>
        </w:rPr>
        <w:t xml:space="preserve"> </w:t>
      </w:r>
      <w:r w:rsidRPr="00F66204">
        <w:rPr>
          <w:sz w:val="18"/>
        </w:rPr>
        <w:t>proactiva:</w:t>
      </w:r>
    </w:p>
    <w:p w:rsidR="00124759" w:rsidRPr="00F66204" w:rsidRDefault="00124759" w:rsidP="00124759">
      <w:pPr>
        <w:spacing w:line="205" w:lineRule="exact"/>
        <w:ind w:left="300"/>
        <w:rPr>
          <w:sz w:val="18"/>
        </w:rPr>
      </w:pPr>
      <w:r w:rsidRPr="00F66204">
        <w:rPr>
          <w:sz w:val="18"/>
        </w:rPr>
        <w:t>(...)</w:t>
      </w:r>
    </w:p>
    <w:p w:rsidR="00124759" w:rsidRPr="00F66204" w:rsidRDefault="00124759" w:rsidP="00124759">
      <w:pPr>
        <w:pStyle w:val="Textoindependiente"/>
        <w:spacing w:before="9"/>
        <w:rPr>
          <w:sz w:val="17"/>
        </w:rPr>
      </w:pPr>
    </w:p>
    <w:p w:rsidR="00124759" w:rsidRPr="00F66204" w:rsidRDefault="00124759" w:rsidP="00124759">
      <w:pPr>
        <w:spacing w:before="1"/>
        <w:ind w:left="300" w:right="308"/>
        <w:jc w:val="both"/>
        <w:rPr>
          <w:sz w:val="18"/>
        </w:rPr>
      </w:pPr>
      <w:r w:rsidRPr="00F66204">
        <w:rPr>
          <w:sz w:val="18"/>
        </w:rPr>
        <w:t>“g) Sus procedimientos, lineamientos, políticas en materia de adquisiciones y compras, así como todos los datos de adjudicación y ejecución de contratos, incluidos concursos y licitaciones”.</w:t>
      </w:r>
    </w:p>
    <w:p w:rsidR="00124759" w:rsidRPr="00F66204" w:rsidRDefault="00124759">
      <w:pPr>
        <w:pStyle w:val="Textonotapie"/>
      </w:pPr>
    </w:p>
  </w:footnote>
  <w:footnote w:id="3">
    <w:p w:rsidR="00124759" w:rsidRPr="00F66204" w:rsidRDefault="00124759" w:rsidP="00124759">
      <w:pPr>
        <w:spacing w:line="254" w:lineRule="auto"/>
        <w:ind w:left="300" w:right="308" w:firstLine="707"/>
        <w:jc w:val="both"/>
        <w:rPr>
          <w:sz w:val="18"/>
        </w:rPr>
      </w:pPr>
      <w:r>
        <w:rPr>
          <w:rStyle w:val="Refdenotaalpie"/>
        </w:rPr>
        <w:footnoteRef/>
      </w:r>
      <w:r>
        <w:t xml:space="preserve"> </w:t>
      </w:r>
      <w:r w:rsidRPr="00F66204">
        <w:rPr>
          <w:sz w:val="18"/>
        </w:rPr>
        <w:t xml:space="preserve">Ley 1712 de 2014: “Artículo 5. Ámbito de aplicación.  Las disposiciones de esta ley serán </w:t>
      </w:r>
      <w:proofErr w:type="gramStart"/>
      <w:r w:rsidRPr="00F66204">
        <w:rPr>
          <w:sz w:val="18"/>
        </w:rPr>
        <w:t>aplicables  a</w:t>
      </w:r>
      <w:proofErr w:type="gramEnd"/>
      <w:r w:rsidRPr="00F66204">
        <w:rPr>
          <w:sz w:val="18"/>
        </w:rPr>
        <w:t xml:space="preserve"> las siguientes personas en calidad de sujetos</w:t>
      </w:r>
      <w:r w:rsidRPr="00F66204">
        <w:rPr>
          <w:spacing w:val="-11"/>
          <w:sz w:val="18"/>
        </w:rPr>
        <w:t xml:space="preserve"> </w:t>
      </w:r>
      <w:r w:rsidRPr="00F66204">
        <w:rPr>
          <w:sz w:val="18"/>
        </w:rPr>
        <w:t>obligados:</w:t>
      </w:r>
    </w:p>
    <w:p w:rsidR="00124759" w:rsidRPr="00F66204" w:rsidRDefault="00124759" w:rsidP="00124759">
      <w:pPr>
        <w:pStyle w:val="Textoindependiente"/>
        <w:rPr>
          <w:sz w:val="17"/>
        </w:rPr>
      </w:pPr>
    </w:p>
    <w:p w:rsidR="00124759" w:rsidRPr="00F66204" w:rsidRDefault="00124759" w:rsidP="00124759">
      <w:pPr>
        <w:ind w:left="300" w:right="309"/>
        <w:jc w:val="both"/>
        <w:rPr>
          <w:sz w:val="18"/>
        </w:rPr>
      </w:pPr>
      <w:r w:rsidRPr="00F66204">
        <w:rPr>
          <w:sz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00124759" w:rsidRPr="00F66204" w:rsidRDefault="00124759" w:rsidP="00124759">
      <w:pPr>
        <w:pStyle w:val="Textoindependiente"/>
        <w:rPr>
          <w:sz w:val="18"/>
        </w:rPr>
      </w:pPr>
    </w:p>
    <w:p w:rsidR="00124759" w:rsidRPr="00F66204" w:rsidRDefault="00124759" w:rsidP="00124759">
      <w:pPr>
        <w:ind w:left="300"/>
        <w:jc w:val="both"/>
        <w:rPr>
          <w:sz w:val="18"/>
        </w:rPr>
      </w:pPr>
      <w:r w:rsidRPr="00F66204">
        <w:rPr>
          <w:sz w:val="18"/>
        </w:rPr>
        <w:t>“b) Los órganos, organismos y entidades estatales independientes o autónomos y de control.</w:t>
      </w:r>
    </w:p>
    <w:p w:rsidR="00124759" w:rsidRPr="00F66204" w:rsidRDefault="00124759" w:rsidP="00124759">
      <w:pPr>
        <w:pStyle w:val="Textoindependiente"/>
        <w:spacing w:before="10"/>
        <w:rPr>
          <w:sz w:val="17"/>
        </w:rPr>
      </w:pPr>
    </w:p>
    <w:p w:rsidR="00124759" w:rsidRPr="00F66204" w:rsidRDefault="00124759" w:rsidP="00124759">
      <w:pPr>
        <w:ind w:left="300" w:right="310"/>
        <w:jc w:val="both"/>
        <w:rPr>
          <w:sz w:val="18"/>
        </w:rPr>
      </w:pPr>
      <w:r w:rsidRPr="00F66204">
        <w:rPr>
          <w:sz w:val="18"/>
        </w:rPr>
        <w:t>“c) Las personas naturales y jurídicas, públicas o privadas, que presten función pública, que presten servicios públicos respecto de la información directamente relacionada con la prestación del servicio público.</w:t>
      </w:r>
    </w:p>
    <w:p w:rsidR="00124759" w:rsidRPr="00F66204" w:rsidRDefault="00124759" w:rsidP="00124759">
      <w:pPr>
        <w:spacing w:before="79"/>
        <w:ind w:left="300" w:right="310"/>
        <w:jc w:val="both"/>
        <w:rPr>
          <w:sz w:val="18"/>
        </w:rPr>
      </w:pPr>
      <w:r w:rsidRPr="00F66204">
        <w:rPr>
          <w:sz w:val="18"/>
        </w:rPr>
        <w:t>“d) Cualquier persona natural, jurídica o dependencia de persona jurídica que desempeñe función pública o de autoridad pública, respecto de la información directamente relacionada con el desempeño de su función.</w:t>
      </w:r>
    </w:p>
    <w:p w:rsidR="00124759" w:rsidRPr="00F66204" w:rsidRDefault="00124759" w:rsidP="00124759">
      <w:pPr>
        <w:pStyle w:val="Textoindependiente"/>
        <w:spacing w:before="10"/>
        <w:rPr>
          <w:sz w:val="17"/>
        </w:rPr>
      </w:pPr>
    </w:p>
    <w:p w:rsidR="00124759" w:rsidRPr="00F66204" w:rsidRDefault="00124759" w:rsidP="00124759">
      <w:pPr>
        <w:ind w:left="300" w:right="311"/>
        <w:jc w:val="both"/>
        <w:rPr>
          <w:sz w:val="18"/>
        </w:rPr>
      </w:pPr>
      <w:r w:rsidRPr="00F66204">
        <w:rPr>
          <w:sz w:val="18"/>
        </w:rPr>
        <w:t>“e) Las empresas públicas creadas por ley, las empresas del Estado y sociedades en que este tenga participación.</w:t>
      </w:r>
    </w:p>
    <w:p w:rsidR="00124759" w:rsidRPr="00F66204" w:rsidRDefault="00124759" w:rsidP="00124759">
      <w:pPr>
        <w:pStyle w:val="Textoindependiente"/>
        <w:spacing w:before="11"/>
        <w:rPr>
          <w:sz w:val="17"/>
        </w:rPr>
      </w:pPr>
    </w:p>
    <w:p w:rsidR="00124759" w:rsidRPr="00F66204" w:rsidRDefault="00124759" w:rsidP="00124759">
      <w:pPr>
        <w:ind w:left="300"/>
        <w:jc w:val="both"/>
        <w:rPr>
          <w:sz w:val="18"/>
        </w:rPr>
      </w:pPr>
      <w:r w:rsidRPr="00F66204">
        <w:rPr>
          <w:sz w:val="18"/>
        </w:rPr>
        <w:t>“f) Los partidos o movimientos políticos y los grupos significativos de ciudadanos.</w:t>
      </w:r>
    </w:p>
    <w:p w:rsidR="00124759" w:rsidRPr="00F66204" w:rsidRDefault="00124759" w:rsidP="00124759">
      <w:pPr>
        <w:pStyle w:val="Textoindependiente"/>
        <w:spacing w:before="1"/>
        <w:rPr>
          <w:sz w:val="18"/>
        </w:rPr>
      </w:pPr>
    </w:p>
    <w:p w:rsidR="00124759" w:rsidRPr="00F66204" w:rsidRDefault="00124759" w:rsidP="00124759">
      <w:pPr>
        <w:ind w:left="300"/>
        <w:jc w:val="both"/>
        <w:rPr>
          <w:sz w:val="18"/>
        </w:rPr>
      </w:pPr>
      <w:r w:rsidRPr="00F66204">
        <w:rPr>
          <w:sz w:val="18"/>
        </w:rPr>
        <w:t>“g) Las entidades que administren instituciones parafiscales, fondos o recursos de naturaleza u origen público.</w:t>
      </w:r>
    </w:p>
    <w:p w:rsidR="00124759" w:rsidRPr="00F66204" w:rsidRDefault="00124759" w:rsidP="00124759">
      <w:pPr>
        <w:pStyle w:val="Textoindependiente"/>
        <w:spacing w:before="1"/>
        <w:rPr>
          <w:sz w:val="18"/>
        </w:rPr>
      </w:pPr>
    </w:p>
    <w:p w:rsidR="00124759" w:rsidRPr="00F66204" w:rsidRDefault="00124759" w:rsidP="00124759">
      <w:pPr>
        <w:spacing w:before="1"/>
        <w:ind w:left="300" w:right="309"/>
        <w:jc w:val="both"/>
        <w:rPr>
          <w:sz w:val="18"/>
        </w:rPr>
      </w:pPr>
      <w:r w:rsidRPr="00F66204">
        <w:rPr>
          <w:sz w:val="18"/>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rsidR="00124759" w:rsidRPr="00F66204" w:rsidRDefault="00124759" w:rsidP="00124759">
      <w:pPr>
        <w:pStyle w:val="Textoindependiente"/>
        <w:spacing w:before="11"/>
        <w:rPr>
          <w:sz w:val="17"/>
        </w:rPr>
      </w:pPr>
    </w:p>
    <w:p w:rsidR="00124759" w:rsidRPr="00F66204" w:rsidRDefault="00124759" w:rsidP="00124759">
      <w:pPr>
        <w:ind w:left="300" w:right="304"/>
        <w:jc w:val="both"/>
        <w:rPr>
          <w:sz w:val="18"/>
        </w:rPr>
      </w:pPr>
      <w:r w:rsidRPr="00F66204">
        <w:rPr>
          <w:sz w:val="18"/>
        </w:rPr>
        <w:t>“Parágrafo 1. No serán sujetos obligados aquellas personas naturales o jurídicas de carácter privado que sean usuarios de información pública”.</w:t>
      </w:r>
    </w:p>
    <w:p w:rsidR="00124759" w:rsidRPr="00F66204" w:rsidRDefault="00124759">
      <w:pPr>
        <w:pStyle w:val="Textonotapie"/>
      </w:pPr>
    </w:p>
  </w:footnote>
  <w:footnote w:id="4">
    <w:p w:rsidR="00124759" w:rsidRPr="00F66204" w:rsidRDefault="00124759" w:rsidP="00F66204">
      <w:pPr>
        <w:ind w:left="300" w:right="305" w:firstLine="707"/>
        <w:jc w:val="both"/>
        <w:rPr>
          <w:sz w:val="21"/>
        </w:rPr>
      </w:pPr>
      <w:r w:rsidRPr="00F66204">
        <w:rPr>
          <w:rStyle w:val="Refdenotaalpie"/>
        </w:rPr>
        <w:footnoteRef/>
      </w:r>
      <w:r w:rsidRPr="00F66204">
        <w:t xml:space="preserve"> </w:t>
      </w:r>
      <w:r w:rsidRPr="00F66204">
        <w:rPr>
          <w:rFonts w:ascii="Calibri" w:hAnsi="Calibri"/>
          <w:sz w:val="20"/>
        </w:rPr>
        <w:t>Decr</w:t>
      </w:r>
      <w:r w:rsidRPr="00F66204">
        <w:rPr>
          <w:sz w:val="18"/>
        </w:rPr>
        <w:t xml:space="preserve">eto 019 de 2012: “Artículo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w:t>
      </w:r>
      <w:hyperlink r:id="rId1" w:anchor="41">
        <w:r w:rsidRPr="00F66204">
          <w:rPr>
            <w:sz w:val="18"/>
          </w:rPr>
          <w:t xml:space="preserve">41 </w:t>
        </w:r>
      </w:hyperlink>
      <w:r w:rsidRPr="00F66204">
        <w:rPr>
          <w:sz w:val="18"/>
        </w:rPr>
        <w:t>de  la  Ley   80   de   1993,   los  artículos</w:t>
      </w:r>
      <w:r w:rsidRPr="00F66204">
        <w:rPr>
          <w:spacing w:val="-2"/>
          <w:sz w:val="18"/>
        </w:rPr>
        <w:t xml:space="preserve"> </w:t>
      </w:r>
      <w:hyperlink r:id="rId2" w:anchor="59">
        <w:r w:rsidRPr="00F66204">
          <w:rPr>
            <w:sz w:val="18"/>
          </w:rPr>
          <w:t>59,</w:t>
        </w:r>
        <w:r w:rsidRPr="00F66204">
          <w:rPr>
            <w:spacing w:val="-2"/>
            <w:sz w:val="18"/>
          </w:rPr>
          <w:t xml:space="preserve"> </w:t>
        </w:r>
      </w:hyperlink>
      <w:hyperlink r:id="rId3" w:anchor="60">
        <w:r w:rsidRPr="00F66204">
          <w:rPr>
            <w:sz w:val="18"/>
          </w:rPr>
          <w:t>60,</w:t>
        </w:r>
        <w:r w:rsidRPr="00F66204">
          <w:rPr>
            <w:spacing w:val="-2"/>
            <w:sz w:val="18"/>
          </w:rPr>
          <w:t xml:space="preserve"> </w:t>
        </w:r>
      </w:hyperlink>
      <w:hyperlink r:id="rId4" w:anchor="61">
        <w:r w:rsidRPr="00F66204">
          <w:rPr>
            <w:sz w:val="18"/>
          </w:rPr>
          <w:t>61</w:t>
        </w:r>
        <w:r w:rsidRPr="00F66204">
          <w:rPr>
            <w:spacing w:val="1"/>
            <w:sz w:val="18"/>
          </w:rPr>
          <w:t xml:space="preserve"> </w:t>
        </w:r>
      </w:hyperlink>
      <w:r w:rsidRPr="00F66204">
        <w:rPr>
          <w:sz w:val="18"/>
        </w:rPr>
        <w:t>y</w:t>
      </w:r>
      <w:r w:rsidRPr="00F66204">
        <w:rPr>
          <w:spacing w:val="-4"/>
          <w:sz w:val="18"/>
        </w:rPr>
        <w:t xml:space="preserve"> </w:t>
      </w:r>
      <w:hyperlink r:id="rId5" w:anchor="62">
        <w:r w:rsidRPr="00F66204">
          <w:rPr>
            <w:sz w:val="18"/>
          </w:rPr>
          <w:t>62</w:t>
        </w:r>
        <w:r w:rsidRPr="00F66204">
          <w:rPr>
            <w:spacing w:val="-2"/>
            <w:sz w:val="18"/>
          </w:rPr>
          <w:t xml:space="preserve"> </w:t>
        </w:r>
      </w:hyperlink>
      <w:r w:rsidRPr="00F66204">
        <w:rPr>
          <w:sz w:val="18"/>
        </w:rPr>
        <w:t>de</w:t>
      </w:r>
      <w:r w:rsidRPr="00F66204">
        <w:rPr>
          <w:spacing w:val="-2"/>
          <w:sz w:val="18"/>
        </w:rPr>
        <w:t xml:space="preserve"> </w:t>
      </w:r>
      <w:r w:rsidRPr="00F66204">
        <w:rPr>
          <w:sz w:val="18"/>
        </w:rPr>
        <w:t>la</w:t>
      </w:r>
      <w:r w:rsidRPr="00F66204">
        <w:rPr>
          <w:spacing w:val="-2"/>
          <w:sz w:val="18"/>
        </w:rPr>
        <w:t xml:space="preserve"> </w:t>
      </w:r>
      <w:r w:rsidRPr="00F66204">
        <w:rPr>
          <w:sz w:val="18"/>
        </w:rPr>
        <w:t>Ley</w:t>
      </w:r>
      <w:r w:rsidRPr="00F66204">
        <w:rPr>
          <w:spacing w:val="-4"/>
          <w:sz w:val="18"/>
        </w:rPr>
        <w:t xml:space="preserve"> </w:t>
      </w:r>
      <w:r w:rsidRPr="00F66204">
        <w:rPr>
          <w:sz w:val="18"/>
        </w:rPr>
        <w:t>190</w:t>
      </w:r>
      <w:r w:rsidRPr="00F66204">
        <w:rPr>
          <w:spacing w:val="-2"/>
          <w:sz w:val="18"/>
        </w:rPr>
        <w:t xml:space="preserve"> </w:t>
      </w:r>
      <w:r w:rsidRPr="00F66204">
        <w:rPr>
          <w:sz w:val="18"/>
        </w:rPr>
        <w:t>de</w:t>
      </w:r>
      <w:r w:rsidRPr="00F66204">
        <w:rPr>
          <w:spacing w:val="-2"/>
          <w:sz w:val="18"/>
        </w:rPr>
        <w:t xml:space="preserve"> </w:t>
      </w:r>
      <w:r w:rsidRPr="00F66204">
        <w:rPr>
          <w:sz w:val="18"/>
        </w:rPr>
        <w:t>1995</w:t>
      </w:r>
      <w:r w:rsidRPr="00F66204">
        <w:rPr>
          <w:spacing w:val="1"/>
          <w:sz w:val="18"/>
        </w:rPr>
        <w:t xml:space="preserve"> </w:t>
      </w:r>
      <w:r w:rsidRPr="00F66204">
        <w:rPr>
          <w:sz w:val="18"/>
        </w:rPr>
        <w:t>y</w:t>
      </w:r>
      <w:r w:rsidRPr="00F66204">
        <w:rPr>
          <w:spacing w:val="-4"/>
          <w:sz w:val="18"/>
        </w:rPr>
        <w:t xml:space="preserve"> </w:t>
      </w:r>
      <w:r w:rsidRPr="00F66204">
        <w:rPr>
          <w:sz w:val="18"/>
        </w:rPr>
        <w:t>el</w:t>
      </w:r>
      <w:r w:rsidRPr="00F66204">
        <w:rPr>
          <w:spacing w:val="-2"/>
          <w:sz w:val="18"/>
        </w:rPr>
        <w:t xml:space="preserve"> </w:t>
      </w:r>
      <w:r w:rsidRPr="00F66204">
        <w:rPr>
          <w:sz w:val="18"/>
        </w:rPr>
        <w:t>parágrafo</w:t>
      </w:r>
      <w:r w:rsidRPr="00F66204">
        <w:rPr>
          <w:spacing w:val="-2"/>
          <w:sz w:val="18"/>
        </w:rPr>
        <w:t xml:space="preserve"> </w:t>
      </w:r>
      <w:r w:rsidRPr="00F66204">
        <w:rPr>
          <w:sz w:val="18"/>
        </w:rPr>
        <w:t>2</w:t>
      </w:r>
      <w:r w:rsidRPr="00F66204">
        <w:rPr>
          <w:spacing w:val="-2"/>
          <w:sz w:val="18"/>
        </w:rPr>
        <w:t xml:space="preserve"> </w:t>
      </w:r>
      <w:r w:rsidRPr="00F66204">
        <w:rPr>
          <w:sz w:val="18"/>
        </w:rPr>
        <w:t>del</w:t>
      </w:r>
      <w:r w:rsidRPr="00F66204">
        <w:rPr>
          <w:spacing w:val="-2"/>
          <w:sz w:val="18"/>
        </w:rPr>
        <w:t xml:space="preserve"> </w:t>
      </w:r>
      <w:r w:rsidRPr="00F66204">
        <w:rPr>
          <w:sz w:val="18"/>
        </w:rPr>
        <w:t>artículo</w:t>
      </w:r>
      <w:r w:rsidRPr="00F66204">
        <w:rPr>
          <w:spacing w:val="1"/>
          <w:sz w:val="18"/>
        </w:rPr>
        <w:t xml:space="preserve"> </w:t>
      </w:r>
      <w:hyperlink r:id="rId6" w:anchor="3">
        <w:r w:rsidRPr="00F66204">
          <w:rPr>
            <w:sz w:val="18"/>
          </w:rPr>
          <w:t>3</w:t>
        </w:r>
        <w:r w:rsidRPr="00F66204">
          <w:rPr>
            <w:spacing w:val="-2"/>
            <w:sz w:val="18"/>
          </w:rPr>
          <w:t xml:space="preserve"> </w:t>
        </w:r>
      </w:hyperlink>
      <w:r w:rsidRPr="00F66204">
        <w:rPr>
          <w:sz w:val="18"/>
        </w:rPr>
        <w:t>de</w:t>
      </w:r>
      <w:r w:rsidRPr="00F66204">
        <w:rPr>
          <w:spacing w:val="-2"/>
          <w:sz w:val="18"/>
        </w:rPr>
        <w:t xml:space="preserve"> </w:t>
      </w:r>
      <w:r w:rsidRPr="00F66204">
        <w:rPr>
          <w:sz w:val="18"/>
        </w:rPr>
        <w:t>la</w:t>
      </w:r>
      <w:r w:rsidRPr="00F66204">
        <w:rPr>
          <w:spacing w:val="-2"/>
          <w:sz w:val="18"/>
        </w:rPr>
        <w:t xml:space="preserve"> </w:t>
      </w:r>
      <w:r w:rsidRPr="00F66204">
        <w:rPr>
          <w:sz w:val="18"/>
        </w:rPr>
        <w:t>Ley</w:t>
      </w:r>
      <w:r w:rsidRPr="00F66204">
        <w:rPr>
          <w:spacing w:val="-3"/>
          <w:sz w:val="18"/>
        </w:rPr>
        <w:t xml:space="preserve"> </w:t>
      </w:r>
      <w:r w:rsidRPr="00F66204">
        <w:rPr>
          <w:sz w:val="18"/>
        </w:rPr>
        <w:t>1150</w:t>
      </w:r>
      <w:r w:rsidRPr="00F66204">
        <w:rPr>
          <w:spacing w:val="-2"/>
          <w:sz w:val="18"/>
        </w:rPr>
        <w:t xml:space="preserve"> </w:t>
      </w:r>
      <w:r w:rsidRPr="00F66204">
        <w:rPr>
          <w:sz w:val="18"/>
        </w:rPr>
        <w:t>de</w:t>
      </w:r>
      <w:r w:rsidRPr="00F66204">
        <w:rPr>
          <w:spacing w:val="-2"/>
          <w:sz w:val="18"/>
        </w:rPr>
        <w:t xml:space="preserve"> </w:t>
      </w:r>
      <w:r w:rsidRPr="00F66204">
        <w:rPr>
          <w:sz w:val="18"/>
        </w:rPr>
        <w:t>2007”.</w:t>
      </w:r>
    </w:p>
    <w:p w:rsidR="00124759" w:rsidRPr="00F66204" w:rsidRDefault="00124759">
      <w:pPr>
        <w:pStyle w:val="Textonotapie"/>
      </w:pPr>
    </w:p>
  </w:footnote>
  <w:footnote w:id="5">
    <w:p w:rsidR="00124759" w:rsidRPr="00F66204" w:rsidRDefault="00124759" w:rsidP="00124759">
      <w:pPr>
        <w:spacing w:before="1" w:line="242" w:lineRule="auto"/>
        <w:ind w:left="300" w:right="308" w:firstLine="707"/>
        <w:jc w:val="both"/>
        <w:rPr>
          <w:sz w:val="18"/>
        </w:rPr>
      </w:pPr>
      <w:r w:rsidRPr="00F66204">
        <w:rPr>
          <w:rStyle w:val="Refdenotaalpie"/>
        </w:rPr>
        <w:footnoteRef/>
      </w:r>
      <w:r w:rsidRPr="00F66204">
        <w:t xml:space="preserve"> </w:t>
      </w:r>
      <w:r w:rsidRPr="00F66204">
        <w:rPr>
          <w:sz w:val="18"/>
        </w:rPr>
        <w:t>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00124759" w:rsidRPr="00F66204" w:rsidRDefault="00124759" w:rsidP="00124759">
      <w:pPr>
        <w:spacing w:before="152"/>
        <w:ind w:left="300" w:right="306"/>
        <w:jc w:val="both"/>
        <w:rPr>
          <w:sz w:val="18"/>
        </w:rPr>
      </w:pPr>
      <w:r w:rsidRPr="00F66204">
        <w:rPr>
          <w:sz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w:t>
      </w:r>
      <w:r w:rsidRPr="00F66204">
        <w:rPr>
          <w:spacing w:val="-13"/>
          <w:sz w:val="18"/>
        </w:rPr>
        <w:t xml:space="preserve"> </w:t>
      </w:r>
      <w:r w:rsidRPr="00F66204">
        <w:rPr>
          <w:sz w:val="18"/>
        </w:rPr>
        <w:t>decreto”.</w:t>
      </w:r>
    </w:p>
    <w:p w:rsidR="00124759" w:rsidRPr="00F66204" w:rsidRDefault="00124759">
      <w:pPr>
        <w:pStyle w:val="Textonotapie"/>
      </w:pPr>
    </w:p>
  </w:footnote>
  <w:footnote w:id="6">
    <w:p w:rsidR="00251AF4" w:rsidRPr="00F66204" w:rsidRDefault="00251AF4" w:rsidP="00251AF4">
      <w:pPr>
        <w:spacing w:before="89" w:line="247" w:lineRule="auto"/>
        <w:ind w:left="300" w:right="310" w:firstLine="707"/>
        <w:jc w:val="both"/>
        <w:rPr>
          <w:sz w:val="18"/>
        </w:rPr>
      </w:pPr>
      <w:r>
        <w:rPr>
          <w:rStyle w:val="Refdenotaalpie"/>
        </w:rPr>
        <w:footnoteRef/>
      </w:r>
      <w:r>
        <w:t xml:space="preserve"> </w:t>
      </w:r>
      <w:r w:rsidRPr="00F66204">
        <w:rPr>
          <w:sz w:val="18"/>
        </w:rPr>
        <w:t xml:space="preserve">Ley 1150 de 2007: “Artículo </w:t>
      </w:r>
      <w:r w:rsidRPr="00F66204">
        <w:rPr>
          <w:b/>
          <w:sz w:val="18"/>
        </w:rPr>
        <w:t xml:space="preserve">2. De las modalidades de selección. </w:t>
      </w:r>
      <w:r w:rsidRPr="00F66204">
        <w:rPr>
          <w:sz w:val="18"/>
        </w:rPr>
        <w:t>La escogencia del contratista se efectuará con arreglo a las modalidades de selección de licitación pública, selección abreviada, concurso de méritos y contratación directa, con base en las siguientes reglas:</w:t>
      </w:r>
    </w:p>
    <w:p w:rsidR="00251AF4" w:rsidRPr="00F66204" w:rsidRDefault="00251AF4" w:rsidP="00251AF4">
      <w:pPr>
        <w:spacing w:line="200" w:lineRule="exact"/>
        <w:ind w:left="300"/>
        <w:rPr>
          <w:sz w:val="18"/>
        </w:rPr>
      </w:pPr>
      <w:r w:rsidRPr="00F66204">
        <w:rPr>
          <w:sz w:val="18"/>
        </w:rPr>
        <w:t>(…)</w:t>
      </w:r>
    </w:p>
    <w:p w:rsidR="00251AF4" w:rsidRPr="00F66204" w:rsidRDefault="00251AF4" w:rsidP="00251AF4">
      <w:pPr>
        <w:pStyle w:val="Textoindependiente"/>
        <w:spacing w:before="10"/>
        <w:rPr>
          <w:sz w:val="17"/>
        </w:rPr>
      </w:pPr>
    </w:p>
    <w:p w:rsidR="00251AF4" w:rsidRPr="00F66204" w:rsidRDefault="00251AF4" w:rsidP="00251AF4">
      <w:pPr>
        <w:ind w:left="300" w:right="154"/>
        <w:rPr>
          <w:sz w:val="18"/>
        </w:rPr>
      </w:pPr>
      <w:r w:rsidRPr="00F66204">
        <w:rPr>
          <w:sz w:val="18"/>
        </w:rPr>
        <w:t>“4. Contratación directa. La modalidad de selección de contratación directa, solamente procederá en los siguientes casos:</w:t>
      </w:r>
    </w:p>
    <w:p w:rsidR="00251AF4" w:rsidRPr="00F66204" w:rsidRDefault="00251AF4" w:rsidP="00251AF4">
      <w:pPr>
        <w:spacing w:before="1"/>
        <w:ind w:left="300"/>
        <w:rPr>
          <w:sz w:val="18"/>
        </w:rPr>
      </w:pPr>
      <w:r w:rsidRPr="00F66204">
        <w:rPr>
          <w:sz w:val="18"/>
        </w:rPr>
        <w:t>(…)</w:t>
      </w:r>
    </w:p>
    <w:p w:rsidR="00251AF4" w:rsidRPr="00F66204" w:rsidRDefault="00251AF4" w:rsidP="00251AF4">
      <w:pPr>
        <w:pStyle w:val="Textoindependiente"/>
        <w:spacing w:before="9"/>
        <w:rPr>
          <w:sz w:val="18"/>
        </w:rPr>
      </w:pPr>
    </w:p>
    <w:p w:rsidR="00251AF4" w:rsidRPr="00F66204" w:rsidRDefault="00251AF4" w:rsidP="00251AF4">
      <w:pPr>
        <w:spacing w:line="235" w:lineRule="auto"/>
        <w:ind w:left="300" w:right="313"/>
        <w:jc w:val="both"/>
        <w:rPr>
          <w:sz w:val="18"/>
        </w:rPr>
      </w:pPr>
      <w:r w:rsidRPr="00F66204">
        <w:rPr>
          <w:rFonts w:ascii="Calibri" w:hAnsi="Calibri"/>
          <w:sz w:val="20"/>
        </w:rPr>
        <w:t>“c</w:t>
      </w:r>
      <w:r w:rsidRPr="00F66204">
        <w:rPr>
          <w:sz w:val="18"/>
        </w:rPr>
        <w:t>) Contratos interadministrativos, siempre que las obligaciones derivadas del mismo tengan relación directa con el objeto de la entidad ejecutora señalado en la ley o en sus reglamentos.</w:t>
      </w:r>
    </w:p>
    <w:p w:rsidR="00251AF4" w:rsidRPr="00F66204" w:rsidRDefault="00251AF4" w:rsidP="00251AF4">
      <w:pPr>
        <w:pStyle w:val="Textoindependiente"/>
        <w:spacing w:before="1"/>
        <w:rPr>
          <w:sz w:val="18"/>
        </w:rPr>
      </w:pPr>
    </w:p>
    <w:p w:rsidR="00251AF4" w:rsidRPr="00F66204" w:rsidRDefault="00251AF4" w:rsidP="00251AF4">
      <w:pPr>
        <w:ind w:left="300" w:right="307"/>
        <w:jc w:val="both"/>
        <w:rPr>
          <w:rFonts w:ascii="Calibri" w:hAnsi="Calibri"/>
          <w:sz w:val="20"/>
        </w:rPr>
      </w:pPr>
      <w:r w:rsidRPr="00F66204">
        <w:rPr>
          <w:sz w:val="18"/>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F66204">
        <w:rPr>
          <w:spacing w:val="-9"/>
          <w:sz w:val="18"/>
        </w:rPr>
        <w:t xml:space="preserve"> </w:t>
      </w:r>
      <w:r w:rsidRPr="00F66204">
        <w:rPr>
          <w:sz w:val="18"/>
        </w:rPr>
        <w:t>artículo”</w:t>
      </w:r>
      <w:r w:rsidRPr="00F66204">
        <w:rPr>
          <w:rFonts w:ascii="Calibri" w:hAnsi="Calibri"/>
          <w:sz w:val="20"/>
        </w:rPr>
        <w:t>.</w:t>
      </w:r>
    </w:p>
    <w:p w:rsidR="00251AF4" w:rsidRPr="00251AF4" w:rsidRDefault="00251AF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6C" w:rsidRDefault="0056258A">
    <w:pPr>
      <w:pStyle w:val="Textoindependiente"/>
      <w:spacing w:line="14" w:lineRule="auto"/>
      <w:rPr>
        <w:sz w:val="20"/>
      </w:rPr>
    </w:pPr>
    <w:r>
      <w:rPr>
        <w:noProof/>
        <w:lang w:val="en-US" w:eastAsia="en-US" w:bidi="ar-SA"/>
      </w:rPr>
      <w:drawing>
        <wp:anchor distT="0" distB="0" distL="0" distR="0" simplePos="0" relativeHeight="251462656" behindDoc="1" locked="0" layoutInCell="1" allowOverlap="1" wp14:anchorId="2E5D5C3D" wp14:editId="4EA84A74">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948C0"/>
    <w:multiLevelType w:val="hybridMultilevel"/>
    <w:tmpl w:val="7A56A88A"/>
    <w:lvl w:ilvl="0" w:tplc="45D688DA">
      <w:start w:val="1"/>
      <w:numFmt w:val="decimal"/>
      <w:lvlText w:val="%1."/>
      <w:lvlJc w:val="left"/>
      <w:pPr>
        <w:ind w:left="660" w:hanging="360"/>
      </w:pPr>
      <w:rPr>
        <w:rFonts w:hint="default"/>
        <w:b/>
        <w:bCs/>
        <w:spacing w:val="-8"/>
        <w:w w:val="100"/>
        <w:lang w:val="es-ES" w:eastAsia="es-ES" w:bidi="es-ES"/>
      </w:rPr>
    </w:lvl>
    <w:lvl w:ilvl="1" w:tplc="B9E06334">
      <w:numFmt w:val="bullet"/>
      <w:lvlText w:val="•"/>
      <w:lvlJc w:val="left"/>
      <w:pPr>
        <w:ind w:left="1548" w:hanging="360"/>
      </w:pPr>
      <w:rPr>
        <w:rFonts w:hint="default"/>
        <w:lang w:val="es-ES" w:eastAsia="es-ES" w:bidi="es-ES"/>
      </w:rPr>
    </w:lvl>
    <w:lvl w:ilvl="2" w:tplc="3802F2A2">
      <w:numFmt w:val="bullet"/>
      <w:lvlText w:val="•"/>
      <w:lvlJc w:val="left"/>
      <w:pPr>
        <w:ind w:left="2436" w:hanging="360"/>
      </w:pPr>
      <w:rPr>
        <w:rFonts w:hint="default"/>
        <w:lang w:val="es-ES" w:eastAsia="es-ES" w:bidi="es-ES"/>
      </w:rPr>
    </w:lvl>
    <w:lvl w:ilvl="3" w:tplc="BEEAC232">
      <w:numFmt w:val="bullet"/>
      <w:lvlText w:val="•"/>
      <w:lvlJc w:val="left"/>
      <w:pPr>
        <w:ind w:left="3324" w:hanging="360"/>
      </w:pPr>
      <w:rPr>
        <w:rFonts w:hint="default"/>
        <w:lang w:val="es-ES" w:eastAsia="es-ES" w:bidi="es-ES"/>
      </w:rPr>
    </w:lvl>
    <w:lvl w:ilvl="4" w:tplc="AACA7C60">
      <w:numFmt w:val="bullet"/>
      <w:lvlText w:val="•"/>
      <w:lvlJc w:val="left"/>
      <w:pPr>
        <w:ind w:left="4212" w:hanging="360"/>
      </w:pPr>
      <w:rPr>
        <w:rFonts w:hint="default"/>
        <w:lang w:val="es-ES" w:eastAsia="es-ES" w:bidi="es-ES"/>
      </w:rPr>
    </w:lvl>
    <w:lvl w:ilvl="5" w:tplc="D96CA752">
      <w:numFmt w:val="bullet"/>
      <w:lvlText w:val="•"/>
      <w:lvlJc w:val="left"/>
      <w:pPr>
        <w:ind w:left="5100" w:hanging="360"/>
      </w:pPr>
      <w:rPr>
        <w:rFonts w:hint="default"/>
        <w:lang w:val="es-ES" w:eastAsia="es-ES" w:bidi="es-ES"/>
      </w:rPr>
    </w:lvl>
    <w:lvl w:ilvl="6" w:tplc="988E29A4">
      <w:numFmt w:val="bullet"/>
      <w:lvlText w:val="•"/>
      <w:lvlJc w:val="left"/>
      <w:pPr>
        <w:ind w:left="5988" w:hanging="360"/>
      </w:pPr>
      <w:rPr>
        <w:rFonts w:hint="default"/>
        <w:lang w:val="es-ES" w:eastAsia="es-ES" w:bidi="es-ES"/>
      </w:rPr>
    </w:lvl>
    <w:lvl w:ilvl="7" w:tplc="E500CA50">
      <w:numFmt w:val="bullet"/>
      <w:lvlText w:val="•"/>
      <w:lvlJc w:val="left"/>
      <w:pPr>
        <w:ind w:left="6876" w:hanging="360"/>
      </w:pPr>
      <w:rPr>
        <w:rFonts w:hint="default"/>
        <w:lang w:val="es-ES" w:eastAsia="es-ES" w:bidi="es-ES"/>
      </w:rPr>
    </w:lvl>
    <w:lvl w:ilvl="8" w:tplc="1E24CD46">
      <w:numFmt w:val="bullet"/>
      <w:lvlText w:val="•"/>
      <w:lvlJc w:val="left"/>
      <w:pPr>
        <w:ind w:left="7764"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6C"/>
    <w:rsid w:val="00124759"/>
    <w:rsid w:val="00126BAE"/>
    <w:rsid w:val="001D3A49"/>
    <w:rsid w:val="00251AF4"/>
    <w:rsid w:val="002F7702"/>
    <w:rsid w:val="003A1D03"/>
    <w:rsid w:val="0040610F"/>
    <w:rsid w:val="0056258A"/>
    <w:rsid w:val="00966F6C"/>
    <w:rsid w:val="00B16C4A"/>
    <w:rsid w:val="00D40787"/>
    <w:rsid w:val="00F6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6BE0"/>
  <w15:docId w15:val="{47E74610-583F-40C6-844E-6CF4A58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
      <w:ind w:left="660" w:hanging="361"/>
    </w:pPr>
  </w:style>
  <w:style w:type="paragraph" w:customStyle="1" w:styleId="TableParagraph">
    <w:name w:val="Table Paragraph"/>
    <w:basedOn w:val="Normal"/>
    <w:uiPriority w:val="1"/>
    <w:qFormat/>
    <w:pPr>
      <w:ind w:left="200"/>
    </w:pPr>
  </w:style>
  <w:style w:type="paragraph" w:styleId="Textonotapie">
    <w:name w:val="footnote text"/>
    <w:basedOn w:val="Normal"/>
    <w:link w:val="TextonotapieCar"/>
    <w:uiPriority w:val="99"/>
    <w:semiHidden/>
    <w:unhideWhenUsed/>
    <w:rsid w:val="00124759"/>
    <w:rPr>
      <w:sz w:val="20"/>
      <w:szCs w:val="20"/>
    </w:rPr>
  </w:style>
  <w:style w:type="character" w:customStyle="1" w:styleId="TextonotapieCar">
    <w:name w:val="Texto nota pie Car"/>
    <w:basedOn w:val="Fuentedeprrafopredeter"/>
    <w:link w:val="Textonotapie"/>
    <w:uiPriority w:val="99"/>
    <w:semiHidden/>
    <w:rsid w:val="00124759"/>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124759"/>
    <w:rPr>
      <w:vertAlign w:val="superscript"/>
    </w:rPr>
  </w:style>
  <w:style w:type="character" w:customStyle="1" w:styleId="TextoindependienteCar">
    <w:name w:val="Texto independiente Car"/>
    <w:basedOn w:val="Fuentedeprrafopredeter"/>
    <w:link w:val="Textoindependiente"/>
    <w:uiPriority w:val="1"/>
    <w:rsid w:val="00B16C4A"/>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190_1995_pr001.html" TargetMode="External"/><Relationship Id="rId2" Type="http://schemas.openxmlformats.org/officeDocument/2006/relationships/hyperlink" Target="http://www.secretariasenado.gov.co/senado/basedoc/ley_0190_1995_pr001.html" TargetMode="External"/><Relationship Id="rId1" Type="http://schemas.openxmlformats.org/officeDocument/2006/relationships/hyperlink" Target="http://www.secretariasenado.gov.co/senado/basedoc/ley_0080_1993.html" TargetMode="External"/><Relationship Id="rId6" Type="http://schemas.openxmlformats.org/officeDocument/2006/relationships/hyperlink" Target="http://www.secretariasenado.gov.co/senado/basedoc/ley_1150_2007.html" TargetMode="External"/><Relationship Id="rId5" Type="http://schemas.openxmlformats.org/officeDocument/2006/relationships/hyperlink" Target="http://www.secretariasenado.gov.co/senado/basedoc/ley_0190_1995_pr001.html" TargetMode="External"/><Relationship Id="rId4" Type="http://schemas.openxmlformats.org/officeDocument/2006/relationships/hyperlink" Target="http://www.secretariasenado.gov.co/senado/basedoc/ley_0190_1995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2269-2320-4033-8F87-3D6F4CB1D8E1}">
  <ds:schemaRefs>
    <ds:schemaRef ds:uri="http://schemas.microsoft.com/sharepoint/v3/contenttype/forms"/>
  </ds:schemaRefs>
</ds:datastoreItem>
</file>

<file path=customXml/itemProps2.xml><?xml version="1.0" encoding="utf-8"?>
<ds:datastoreItem xmlns:ds="http://schemas.openxmlformats.org/officeDocument/2006/customXml" ds:itemID="{8B5DD3F1-D956-4240-897A-684B23E8B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337CC-33EF-4854-8A0C-FD24E6B7EF7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5E4FDF8-7457-498A-B7D2-C42BBE48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2020-08-12T20:12:00Z</dcterms:created>
  <dcterms:modified xsi:type="dcterms:W3CDTF">2020-08-12T20:12:00Z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