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4ABDB" w14:textId="77777777" w:rsidR="00E335D4" w:rsidRDefault="00E335D4" w:rsidP="00E335D4">
      <w:pPr>
        <w:jc w:val="right"/>
        <w:rPr>
          <w:rFonts w:ascii="Arial" w:eastAsia="Arial" w:hAnsi="Arial" w:cs="Arial"/>
          <w:b/>
          <w:color w:val="000000"/>
          <w:sz w:val="16"/>
          <w:szCs w:val="16"/>
        </w:rPr>
      </w:pPr>
      <w:bookmarkStart w:id="0" w:name="_gjdgxs" w:colFirst="0" w:colLast="0"/>
      <w:bookmarkEnd w:id="0"/>
      <w:r>
        <w:rPr>
          <w:rFonts w:ascii="Arial" w:eastAsia="Arial" w:hAnsi="Arial" w:cs="Arial"/>
          <w:b/>
          <w:color w:val="000000"/>
          <w:sz w:val="16"/>
          <w:szCs w:val="16"/>
        </w:rPr>
        <w:tab/>
        <w:t>CCE-DES-FM-17</w:t>
      </w:r>
    </w:p>
    <w:p w14:paraId="7C41AA2D" w14:textId="77777777" w:rsidR="00E335D4" w:rsidRPr="00982C15" w:rsidRDefault="00E335D4" w:rsidP="00E335D4">
      <w:pPr>
        <w:jc w:val="both"/>
        <w:rPr>
          <w:rFonts w:ascii="Arial" w:eastAsia="Arial" w:hAnsi="Arial" w:cs="Arial"/>
          <w:b/>
          <w:color w:val="000000"/>
          <w:sz w:val="16"/>
          <w:szCs w:val="16"/>
        </w:rPr>
      </w:pPr>
    </w:p>
    <w:p w14:paraId="7E2A7455" w14:textId="77777777" w:rsidR="00E335D4" w:rsidRDefault="00E335D4" w:rsidP="00E335D4">
      <w:pPr>
        <w:jc w:val="both"/>
        <w:rPr>
          <w:rFonts w:ascii="Arial" w:eastAsia="Arial" w:hAnsi="Arial" w:cs="Arial"/>
          <w:b/>
          <w:sz w:val="20"/>
          <w:szCs w:val="20"/>
        </w:rPr>
      </w:pPr>
      <w:r>
        <w:rPr>
          <w:rFonts w:ascii="Arial" w:eastAsia="Arial" w:hAnsi="Arial" w:cs="Arial"/>
          <w:b/>
          <w:sz w:val="22"/>
          <w:szCs w:val="22"/>
        </w:rPr>
        <w:t>DOCUMENTOS TIPO – Factor de Calidad – Número máximo para ofertar</w:t>
      </w:r>
    </w:p>
    <w:p w14:paraId="3DBDE7FA" w14:textId="77777777" w:rsidR="00E335D4" w:rsidRDefault="00E335D4" w:rsidP="00E335D4">
      <w:pPr>
        <w:jc w:val="both"/>
        <w:rPr>
          <w:rFonts w:ascii="Arial" w:eastAsia="Arial" w:hAnsi="Arial" w:cs="Arial"/>
          <w:b/>
          <w:sz w:val="20"/>
          <w:szCs w:val="20"/>
        </w:rPr>
      </w:pPr>
    </w:p>
    <w:p w14:paraId="7812B52C" w14:textId="1D55EC85" w:rsidR="00E335D4" w:rsidRDefault="00E335D4" w:rsidP="00E335D4">
      <w:pPr>
        <w:jc w:val="both"/>
        <w:rPr>
          <w:rFonts w:ascii="Arial" w:eastAsia="Arial" w:hAnsi="Arial" w:cs="Arial"/>
          <w:sz w:val="20"/>
          <w:szCs w:val="20"/>
        </w:rPr>
      </w:pPr>
      <w:r>
        <w:rPr>
          <w:rFonts w:ascii="Arial" w:eastAsia="Arial" w:hAnsi="Arial" w:cs="Arial"/>
          <w:sz w:val="20"/>
          <w:szCs w:val="20"/>
        </w:rPr>
        <w:t>[…]</w:t>
      </w:r>
      <w:r w:rsidR="00F34478" w:rsidRPr="00F34478">
        <w:rPr>
          <w:rFonts w:ascii="Arial" w:eastAsia="Arial" w:hAnsi="Arial" w:cs="Arial"/>
          <w:sz w:val="20"/>
          <w:szCs w:val="20"/>
        </w:rPr>
        <w:t xml:space="preserve"> el oferente tenía la libertad y autonomía de ofrecer el número de cuadrillas de trabajo y meses de mantenimiento rutinario adicional. Es decir, el Documento Tipo, antes de esa fecha, no limitaba los ofrecimientos realizados por los oferentes, y tampoco la entidad estatal estaba habilitada para establecer dichos topes.  No obstante, en el evento que resultaba adjudicatario del proceso de contratación, los compromisos que se hicieran con ocasión de estos ofrecimientos se conviertían en obligaciones contractuales de obligatorio cumplimiento, so pena de activarse las consecuencias asociadas al incumplimiento, incluyendo el uso de facultades sancionatorias de las entidades estatales.</w:t>
      </w:r>
    </w:p>
    <w:p w14:paraId="045F7D6A" w14:textId="77777777" w:rsidR="005A3619" w:rsidRDefault="005A3619" w:rsidP="00E335D4">
      <w:pPr>
        <w:jc w:val="both"/>
        <w:rPr>
          <w:rFonts w:ascii="Arial" w:eastAsia="Arial" w:hAnsi="Arial" w:cs="Arial"/>
          <w:sz w:val="20"/>
          <w:szCs w:val="20"/>
        </w:rPr>
      </w:pPr>
    </w:p>
    <w:p w14:paraId="00BD458F" w14:textId="77777777" w:rsidR="00E335D4" w:rsidRDefault="00E335D4" w:rsidP="00E335D4">
      <w:pPr>
        <w:jc w:val="both"/>
        <w:rPr>
          <w:rFonts w:ascii="Arial" w:eastAsia="Arial" w:hAnsi="Arial" w:cs="Arial"/>
          <w:b/>
          <w:sz w:val="22"/>
          <w:szCs w:val="22"/>
        </w:rPr>
      </w:pPr>
      <w:r>
        <w:rPr>
          <w:rFonts w:ascii="Arial" w:eastAsia="Arial" w:hAnsi="Arial" w:cs="Arial"/>
          <w:b/>
          <w:sz w:val="22"/>
          <w:szCs w:val="22"/>
        </w:rPr>
        <w:t>FACTORES DE CALIDAD – Facultad de establecer topes</w:t>
      </w:r>
    </w:p>
    <w:p w14:paraId="78223A11" w14:textId="77777777" w:rsidR="00E335D4" w:rsidRDefault="00E335D4" w:rsidP="00E335D4">
      <w:pPr>
        <w:jc w:val="both"/>
        <w:rPr>
          <w:rFonts w:ascii="Arial" w:eastAsia="Arial" w:hAnsi="Arial" w:cs="Arial"/>
          <w:sz w:val="20"/>
          <w:szCs w:val="20"/>
        </w:rPr>
      </w:pPr>
    </w:p>
    <w:p w14:paraId="0DCAB94E" w14:textId="35339823" w:rsidR="000775FD" w:rsidRDefault="000775FD" w:rsidP="000775FD">
      <w:pPr>
        <w:spacing w:before="120"/>
        <w:jc w:val="both"/>
        <w:rPr>
          <w:rFonts w:ascii="Arial" w:eastAsia="Arial" w:hAnsi="Arial" w:cs="Arial"/>
          <w:sz w:val="20"/>
          <w:szCs w:val="20"/>
        </w:rPr>
      </w:pPr>
      <w:r w:rsidRPr="000775FD">
        <w:rPr>
          <w:rFonts w:ascii="Arial" w:eastAsia="Arial" w:hAnsi="Arial" w:cs="Arial"/>
          <w:sz w:val="20"/>
          <w:szCs w:val="20"/>
        </w:rPr>
        <w:t xml:space="preserve">El Documento Tipo, para el momento en el que se formuló la presente consulta, no limitaba al oferente frente al número de cuadrillas de trabajo adicional que se comprometía a otorgar al proyecto, ni tampoco respecto al número de meses de mantenimiento rutinario adicional . Estos ofrecimientos dependían únicamente de las capacidades propias de cada oferente; ya que se realizaban dependiendo de su infraestructura y capacidad financiera y la labor de análisis de las condiciones bajo las cuales presentaría su propuesta, además que cumplir estos ofrecimientos constituía una obligación contractual –lo sigue haciendo–, con todas las consecuencias que ello apareja, de manera que los proponentes ofertaban lo que podían cumplir. </w:t>
      </w:r>
    </w:p>
    <w:p w14:paraId="17605667" w14:textId="61794B0E" w:rsidR="000775FD" w:rsidRDefault="000775FD" w:rsidP="000775FD">
      <w:pPr>
        <w:spacing w:before="120"/>
        <w:jc w:val="both"/>
        <w:rPr>
          <w:rFonts w:ascii="Arial" w:eastAsia="Arial" w:hAnsi="Arial" w:cs="Arial"/>
          <w:sz w:val="20"/>
          <w:szCs w:val="20"/>
        </w:rPr>
      </w:pPr>
      <w:r>
        <w:rPr>
          <w:rFonts w:ascii="Arial" w:eastAsia="Arial" w:hAnsi="Arial" w:cs="Arial"/>
          <w:sz w:val="20"/>
          <w:szCs w:val="20"/>
        </w:rPr>
        <w:t>[…]</w:t>
      </w:r>
    </w:p>
    <w:p w14:paraId="2D1AD77D" w14:textId="1EB7D748" w:rsidR="00E335D4" w:rsidRDefault="000775FD" w:rsidP="000775FD">
      <w:pPr>
        <w:spacing w:before="120"/>
        <w:jc w:val="both"/>
        <w:rPr>
          <w:rFonts w:ascii="Arial" w:eastAsia="Arial" w:hAnsi="Arial" w:cs="Arial"/>
          <w:color w:val="000000"/>
          <w:sz w:val="20"/>
          <w:szCs w:val="20"/>
        </w:rPr>
      </w:pPr>
      <w:r w:rsidRPr="000775FD">
        <w:rPr>
          <w:rFonts w:ascii="Arial" w:eastAsia="Arial" w:hAnsi="Arial" w:cs="Arial"/>
          <w:color w:val="000000"/>
          <w:sz w:val="20"/>
          <w:szCs w:val="20"/>
        </w:rPr>
        <w:t>A similares conclusiones podría arribarse en lo que respecta a la «garantía suplementaria o adicional» y al «mantenimiento adicional», en la medida la entidad, antes de la Resolución 116 del 21 de julio de 2020, tenía proscrito entrar a limitar el ofrecimiento adicional que los oferentes hacen de estos ítems, habida consideración de los beneficios que tales ofrecimientos traen para la estabilidad y durabilidad de la obra a contratar y, por ende, para las personas que se beneficiaran de ella.</w:t>
      </w:r>
    </w:p>
    <w:p w14:paraId="37A606CA" w14:textId="77777777" w:rsidR="000775FD" w:rsidRDefault="000775FD" w:rsidP="00C522D0">
      <w:pPr>
        <w:jc w:val="both"/>
        <w:rPr>
          <w:rFonts w:ascii="Arial" w:eastAsia="Arial" w:hAnsi="Arial" w:cs="Arial"/>
          <w:color w:val="000000"/>
          <w:sz w:val="20"/>
          <w:szCs w:val="20"/>
        </w:rPr>
      </w:pPr>
    </w:p>
    <w:p w14:paraId="79C99798" w14:textId="77777777" w:rsidR="00E335D4" w:rsidRDefault="00E335D4" w:rsidP="00E335D4">
      <w:pPr>
        <w:jc w:val="both"/>
        <w:rPr>
          <w:rFonts w:ascii="Arial" w:eastAsia="Arial" w:hAnsi="Arial" w:cs="Arial"/>
          <w:sz w:val="22"/>
          <w:szCs w:val="22"/>
        </w:rPr>
      </w:pPr>
      <w:r>
        <w:rPr>
          <w:rFonts w:ascii="Arial" w:eastAsia="Arial" w:hAnsi="Arial" w:cs="Arial"/>
          <w:b/>
          <w:sz w:val="22"/>
          <w:szCs w:val="22"/>
        </w:rPr>
        <w:t>CUADRILLA DE TRABAJO ADICIONAL – Noción – Determinación en números enteros</w:t>
      </w:r>
    </w:p>
    <w:p w14:paraId="45C9A378" w14:textId="77777777" w:rsidR="00E335D4" w:rsidRDefault="00E335D4" w:rsidP="00E335D4">
      <w:pPr>
        <w:jc w:val="both"/>
        <w:rPr>
          <w:rFonts w:ascii="Arial" w:eastAsia="Arial" w:hAnsi="Arial" w:cs="Arial"/>
          <w:sz w:val="20"/>
          <w:szCs w:val="20"/>
        </w:rPr>
      </w:pPr>
    </w:p>
    <w:p w14:paraId="26703208" w14:textId="77777777" w:rsidR="000775FD" w:rsidRPr="000775FD" w:rsidRDefault="000775FD" w:rsidP="00982C15">
      <w:pPr>
        <w:spacing w:after="120"/>
        <w:jc w:val="both"/>
        <w:rPr>
          <w:rFonts w:ascii="Arial" w:eastAsia="Arial" w:hAnsi="Arial" w:cs="Arial"/>
          <w:sz w:val="20"/>
          <w:szCs w:val="20"/>
        </w:rPr>
      </w:pPr>
      <w:r w:rsidRPr="000775FD">
        <w:rPr>
          <w:rFonts w:ascii="Arial" w:eastAsia="Arial" w:hAnsi="Arial" w:cs="Arial"/>
          <w:sz w:val="20"/>
          <w:szCs w:val="20"/>
        </w:rPr>
        <w:t>El «Factor de Calidad ― Cuadrilla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tiene que ser de 5 obreros. Asimismo, este ofrecimiento será a costo y riesgo del contratista durante la ejecución del contrato y no podrá ser objeto de cobro adicional alguno a la entidad.</w:t>
      </w:r>
    </w:p>
    <w:p w14:paraId="45789470" w14:textId="54B6FE73" w:rsidR="00E335D4" w:rsidRDefault="000775FD" w:rsidP="00982C15">
      <w:pPr>
        <w:jc w:val="both"/>
        <w:rPr>
          <w:rFonts w:ascii="Arial" w:eastAsia="Arial" w:hAnsi="Arial" w:cs="Arial"/>
          <w:sz w:val="20"/>
          <w:szCs w:val="20"/>
        </w:rPr>
      </w:pPr>
      <w:r w:rsidRPr="000775FD">
        <w:rPr>
          <w:rFonts w:ascii="Arial" w:eastAsia="Arial" w:hAnsi="Arial" w:cs="Arial"/>
          <w:sz w:val="20"/>
          <w:szCs w:val="20"/>
        </w:rPr>
        <w:t>Es importante precisar que las cuadrillas deben ser ofrecidas por el proponente, así como también valoradas por la entidad a la hora de calificar la propuesta, en números enteros, no en decimales. Esto quiere decir que el proponente puede ofrecer, por ejemplo, una cuadrilla, no una cuadrilla y media. De esta forma, si un proponente tiene la capacidad de contar con nueve obreros adicionales, lo cierto es que este proponente únicamente podrá ofrecer a la entidad una cuadrilla adicional, pues los otros cuatro obreros no constituyen una cuadrilla en los términos del documento base, por lo que no es posible tenerlos como una fracción de cuadrilla.</w:t>
      </w:r>
    </w:p>
    <w:p w14:paraId="0B4C52DA" w14:textId="77777777" w:rsidR="000775FD" w:rsidRDefault="000775FD" w:rsidP="00982C15">
      <w:pPr>
        <w:jc w:val="both"/>
        <w:rPr>
          <w:rFonts w:ascii="Arial" w:eastAsia="Arial" w:hAnsi="Arial" w:cs="Arial"/>
          <w:b/>
          <w:color w:val="000000"/>
          <w:sz w:val="20"/>
          <w:szCs w:val="20"/>
        </w:rPr>
      </w:pPr>
    </w:p>
    <w:p w14:paraId="3DE3743D" w14:textId="77777777" w:rsidR="00E335D4" w:rsidRPr="00F34478" w:rsidRDefault="00E335D4" w:rsidP="00982C15">
      <w:pPr>
        <w:jc w:val="both"/>
        <w:rPr>
          <w:rFonts w:ascii="Arial" w:eastAsia="Arial" w:hAnsi="Arial" w:cs="Arial"/>
          <w:b/>
          <w:color w:val="000000"/>
          <w:sz w:val="22"/>
          <w:szCs w:val="22"/>
        </w:rPr>
      </w:pPr>
      <w:r w:rsidRPr="00F34478">
        <w:rPr>
          <w:rFonts w:ascii="Arial" w:eastAsia="Arial" w:hAnsi="Arial" w:cs="Arial"/>
          <w:b/>
          <w:color w:val="000000"/>
          <w:sz w:val="22"/>
          <w:szCs w:val="22"/>
        </w:rPr>
        <w:t>PLIEGOS TIPO ― Inalterabilidad de los documentos</w:t>
      </w:r>
    </w:p>
    <w:p w14:paraId="648A0957" w14:textId="22E93F63" w:rsidR="00E335D4" w:rsidRDefault="00B41C73" w:rsidP="00E335D4">
      <w:pPr>
        <w:jc w:val="both"/>
        <w:rPr>
          <w:rFonts w:ascii="Arial" w:eastAsia="Arial" w:hAnsi="Arial" w:cs="Arial"/>
          <w:color w:val="000000"/>
          <w:sz w:val="20"/>
          <w:szCs w:val="20"/>
        </w:rPr>
      </w:pPr>
      <w:r w:rsidRPr="00B41C73">
        <w:rPr>
          <w:rFonts w:ascii="Arial" w:eastAsia="Arial" w:hAnsi="Arial" w:cs="Arial"/>
          <w:color w:val="000000"/>
          <w:sz w:val="20"/>
          <w:szCs w:val="20"/>
        </w:rPr>
        <w:lastRenderedPageBreak/>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14:paraId="6931726F" w14:textId="77777777" w:rsidR="00B41C73" w:rsidRDefault="00B41C73" w:rsidP="00E335D4">
      <w:pPr>
        <w:jc w:val="both"/>
        <w:rPr>
          <w:rFonts w:ascii="Arial" w:eastAsia="Arial" w:hAnsi="Arial" w:cs="Arial"/>
          <w:b/>
          <w:color w:val="000000"/>
          <w:sz w:val="20"/>
          <w:szCs w:val="20"/>
        </w:rPr>
      </w:pPr>
    </w:p>
    <w:p w14:paraId="1E954871" w14:textId="301606DA" w:rsidR="00E335D4" w:rsidRPr="00F34478" w:rsidRDefault="00E335D4" w:rsidP="00E335D4">
      <w:pPr>
        <w:jc w:val="both"/>
        <w:rPr>
          <w:rFonts w:ascii="Arial" w:eastAsia="Arial" w:hAnsi="Arial" w:cs="Arial"/>
          <w:b/>
          <w:color w:val="000000"/>
          <w:sz w:val="22"/>
          <w:szCs w:val="22"/>
        </w:rPr>
      </w:pPr>
      <w:r w:rsidRPr="00F34478">
        <w:rPr>
          <w:rFonts w:ascii="Arial" w:eastAsia="Arial" w:hAnsi="Arial" w:cs="Arial"/>
          <w:b/>
          <w:color w:val="000000"/>
          <w:sz w:val="22"/>
          <w:szCs w:val="22"/>
        </w:rPr>
        <w:t xml:space="preserve">PLIEGOS TIPO – Matriz 1 – Experiencia general </w:t>
      </w:r>
      <w:r w:rsidR="00FF369B" w:rsidRPr="00F34478">
        <w:rPr>
          <w:rFonts w:ascii="Arial" w:eastAsia="Arial" w:hAnsi="Arial" w:cs="Arial"/>
          <w:b/>
          <w:color w:val="000000"/>
          <w:sz w:val="22"/>
          <w:szCs w:val="22"/>
        </w:rPr>
        <w:t>–</w:t>
      </w:r>
      <w:r w:rsidR="00FF369B">
        <w:rPr>
          <w:rFonts w:ascii="Arial" w:eastAsia="Arial" w:hAnsi="Arial" w:cs="Arial"/>
          <w:b/>
          <w:color w:val="000000"/>
          <w:sz w:val="22"/>
          <w:szCs w:val="22"/>
        </w:rPr>
        <w:t xml:space="preserve"> Experiencia </w:t>
      </w:r>
      <w:r w:rsidRPr="00F34478">
        <w:rPr>
          <w:rFonts w:ascii="Arial" w:eastAsia="Arial" w:hAnsi="Arial" w:cs="Arial"/>
          <w:b/>
          <w:color w:val="000000"/>
          <w:sz w:val="22"/>
          <w:szCs w:val="22"/>
        </w:rPr>
        <w:t>específica</w:t>
      </w:r>
    </w:p>
    <w:p w14:paraId="6008D7DD" w14:textId="77777777" w:rsidR="00E335D4" w:rsidRDefault="00E335D4" w:rsidP="00E335D4">
      <w:pPr>
        <w:jc w:val="both"/>
        <w:rPr>
          <w:rFonts w:ascii="Arial" w:eastAsia="Arial" w:hAnsi="Arial" w:cs="Arial"/>
          <w:b/>
          <w:color w:val="000000"/>
          <w:sz w:val="20"/>
          <w:szCs w:val="20"/>
        </w:rPr>
      </w:pPr>
    </w:p>
    <w:p w14:paraId="4E4E17B2" w14:textId="3E37640C" w:rsidR="00E335D4" w:rsidRDefault="00B41C73" w:rsidP="00E335D4">
      <w:pPr>
        <w:jc w:val="both"/>
        <w:rPr>
          <w:rFonts w:ascii="Arial" w:eastAsia="Arial" w:hAnsi="Arial" w:cs="Arial"/>
          <w:color w:val="000000"/>
          <w:sz w:val="20"/>
          <w:szCs w:val="20"/>
        </w:rPr>
      </w:pPr>
      <w:r>
        <w:rPr>
          <w:rFonts w:ascii="Arial" w:eastAsia="Arial" w:hAnsi="Arial" w:cs="Arial"/>
          <w:color w:val="000000"/>
          <w:sz w:val="20"/>
          <w:szCs w:val="20"/>
        </w:rPr>
        <w:t xml:space="preserve">[…] </w:t>
      </w:r>
      <w:r w:rsidRPr="00B41C73">
        <w:rPr>
          <w:rFonts w:ascii="Arial" w:eastAsia="Arial" w:hAnsi="Arial" w:cs="Arial"/>
          <w:color w:val="000000"/>
          <w:sz w:val="20"/>
          <w:szCs w:val="20"/>
        </w:rPr>
        <w:t>La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p>
    <w:p w14:paraId="24EFDC69" w14:textId="77777777" w:rsidR="00E335D4" w:rsidRDefault="00E335D4" w:rsidP="00E335D4">
      <w:pPr>
        <w:jc w:val="both"/>
        <w:rPr>
          <w:rFonts w:ascii="Arial" w:eastAsia="Arial" w:hAnsi="Arial" w:cs="Arial"/>
          <w:color w:val="000000"/>
          <w:sz w:val="20"/>
          <w:szCs w:val="20"/>
        </w:rPr>
      </w:pPr>
    </w:p>
    <w:p w14:paraId="20E76C55" w14:textId="7F1D1C09" w:rsidR="00E335D4" w:rsidRPr="00F34478" w:rsidRDefault="00E335D4" w:rsidP="00E335D4">
      <w:pPr>
        <w:jc w:val="both"/>
        <w:rPr>
          <w:rFonts w:ascii="Arial" w:eastAsia="Arial" w:hAnsi="Arial" w:cs="Arial"/>
          <w:b/>
          <w:color w:val="000000"/>
          <w:sz w:val="22"/>
          <w:szCs w:val="22"/>
        </w:rPr>
      </w:pPr>
      <w:r w:rsidRPr="00F34478">
        <w:rPr>
          <w:rFonts w:ascii="Arial" w:eastAsia="Arial" w:hAnsi="Arial" w:cs="Arial"/>
          <w:b/>
          <w:color w:val="000000"/>
          <w:sz w:val="22"/>
          <w:szCs w:val="22"/>
        </w:rPr>
        <w:t>PLIEGOS TIPO – Matriz 1 –</w:t>
      </w:r>
      <w:r w:rsidR="00FF369B">
        <w:rPr>
          <w:rFonts w:ascii="Arial" w:eastAsia="Arial" w:hAnsi="Arial" w:cs="Arial"/>
          <w:b/>
          <w:color w:val="000000"/>
          <w:sz w:val="22"/>
          <w:szCs w:val="22"/>
        </w:rPr>
        <w:t xml:space="preserve"> Experiencia </w:t>
      </w:r>
      <w:r w:rsidR="00FF369B" w:rsidRPr="00F34478">
        <w:rPr>
          <w:rFonts w:ascii="Arial" w:eastAsia="Arial" w:hAnsi="Arial" w:cs="Arial"/>
          <w:b/>
          <w:color w:val="000000"/>
          <w:sz w:val="22"/>
          <w:szCs w:val="22"/>
        </w:rPr>
        <w:t>–</w:t>
      </w:r>
      <w:r w:rsidR="00FF369B">
        <w:rPr>
          <w:rFonts w:ascii="Arial" w:eastAsia="Arial" w:hAnsi="Arial" w:cs="Arial"/>
          <w:b/>
          <w:color w:val="000000"/>
          <w:sz w:val="22"/>
          <w:szCs w:val="22"/>
        </w:rPr>
        <w:t xml:space="preserve"> Acreditación </w:t>
      </w:r>
      <w:r w:rsidR="00FF369B" w:rsidRPr="00F34478">
        <w:rPr>
          <w:rFonts w:ascii="Arial" w:eastAsia="Arial" w:hAnsi="Arial" w:cs="Arial"/>
          <w:b/>
          <w:color w:val="000000"/>
          <w:sz w:val="22"/>
          <w:szCs w:val="22"/>
        </w:rPr>
        <w:t>–</w:t>
      </w:r>
      <w:r w:rsidR="00FF369B">
        <w:rPr>
          <w:rFonts w:ascii="Arial" w:eastAsia="Arial" w:hAnsi="Arial" w:cs="Arial"/>
          <w:b/>
          <w:color w:val="000000"/>
          <w:sz w:val="22"/>
          <w:szCs w:val="22"/>
        </w:rPr>
        <w:t xml:space="preserve"> Reglas</w:t>
      </w:r>
      <w:bookmarkStart w:id="1" w:name="_GoBack"/>
      <w:bookmarkEnd w:id="1"/>
    </w:p>
    <w:p w14:paraId="6933B797" w14:textId="77777777" w:rsidR="00E335D4" w:rsidRDefault="00E335D4" w:rsidP="00E335D4">
      <w:pPr>
        <w:jc w:val="both"/>
        <w:rPr>
          <w:rFonts w:ascii="Arial" w:eastAsia="Arial" w:hAnsi="Arial" w:cs="Arial"/>
          <w:b/>
          <w:color w:val="000000"/>
          <w:sz w:val="20"/>
          <w:szCs w:val="20"/>
        </w:rPr>
      </w:pPr>
    </w:p>
    <w:p w14:paraId="00171D56" w14:textId="107D4DB7" w:rsidR="00E335D4" w:rsidRDefault="007270C1" w:rsidP="00E335D4">
      <w:pPr>
        <w:jc w:val="both"/>
        <w:rPr>
          <w:rFonts w:ascii="Arial" w:eastAsia="Arial" w:hAnsi="Arial" w:cs="Arial"/>
          <w:color w:val="000000"/>
          <w:sz w:val="20"/>
          <w:szCs w:val="20"/>
        </w:rPr>
      </w:pPr>
      <w:r>
        <w:rPr>
          <w:rFonts w:ascii="Arial" w:eastAsia="Arial" w:hAnsi="Arial" w:cs="Arial"/>
          <w:color w:val="000000"/>
          <w:sz w:val="20"/>
          <w:szCs w:val="20"/>
        </w:rPr>
        <w:t xml:space="preserve">[…] </w:t>
      </w:r>
      <w:r w:rsidRPr="007270C1">
        <w:rPr>
          <w:rFonts w:ascii="Arial" w:eastAsia="Arial" w:hAnsi="Arial" w:cs="Arial"/>
          <w:color w:val="000000"/>
          <w:sz w:val="20"/>
          <w:szCs w:val="20"/>
        </w:rPr>
        <w:t>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ii)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w:t>
      </w:r>
    </w:p>
    <w:p w14:paraId="1CF94702" w14:textId="77777777" w:rsidR="00E335D4" w:rsidRPr="00982C15" w:rsidRDefault="00E335D4" w:rsidP="00E335D4">
      <w:pPr>
        <w:jc w:val="both"/>
        <w:rPr>
          <w:rFonts w:ascii="Arial" w:eastAsia="Arial" w:hAnsi="Arial" w:cs="Arial"/>
          <w:b/>
          <w:color w:val="000000"/>
          <w:sz w:val="20"/>
          <w:szCs w:val="20"/>
        </w:rPr>
      </w:pPr>
    </w:p>
    <w:p w14:paraId="2225D911" w14:textId="77777777" w:rsidR="00E335D4" w:rsidRPr="00982C15" w:rsidRDefault="00E335D4" w:rsidP="00F34478">
      <w:pPr>
        <w:spacing w:line="259" w:lineRule="auto"/>
        <w:rPr>
          <w:rFonts w:ascii="Arial" w:eastAsia="Arial" w:hAnsi="Arial" w:cs="Arial"/>
          <w:color w:val="000000"/>
          <w:sz w:val="20"/>
          <w:szCs w:val="20"/>
        </w:rPr>
      </w:pPr>
    </w:p>
    <w:p w14:paraId="210523A4" w14:textId="2EB06F6A" w:rsidR="00E335D4" w:rsidRDefault="00E335D4" w:rsidP="00E335D4">
      <w:pPr>
        <w:rPr>
          <w:rFonts w:ascii="Arial" w:eastAsia="Arial" w:hAnsi="Arial" w:cs="Arial"/>
          <w:b/>
          <w:color w:val="000000"/>
          <w:sz w:val="22"/>
          <w:szCs w:val="22"/>
        </w:rPr>
      </w:pPr>
      <w:r>
        <w:rPr>
          <w:rFonts w:ascii="Arial" w:eastAsia="Arial" w:hAnsi="Arial" w:cs="Arial"/>
          <w:color w:val="000000"/>
          <w:sz w:val="22"/>
          <w:szCs w:val="22"/>
        </w:rPr>
        <w:t xml:space="preserve">Bogotá D.C., </w:t>
      </w:r>
      <w:r w:rsidR="003C39B7" w:rsidRPr="003C39B7">
        <w:rPr>
          <w:rFonts w:ascii="Arial" w:eastAsia="Arial" w:hAnsi="Arial" w:cs="Arial"/>
          <w:b/>
          <w:color w:val="000000"/>
          <w:sz w:val="22"/>
          <w:szCs w:val="22"/>
        </w:rPr>
        <w:t>30/07/2020 Hora 16:36:38s</w:t>
      </w:r>
    </w:p>
    <w:p w14:paraId="5D350279" w14:textId="5CD204ED" w:rsidR="00E335D4" w:rsidRDefault="00E335D4" w:rsidP="00E335D4">
      <w:pPr>
        <w:jc w:val="right"/>
        <w:rPr>
          <w:rFonts w:ascii="Arial" w:eastAsia="Arial" w:hAnsi="Arial" w:cs="Arial"/>
          <w:b/>
          <w:color w:val="000000"/>
          <w:sz w:val="22"/>
          <w:szCs w:val="22"/>
        </w:rPr>
      </w:pPr>
      <w:r>
        <w:rPr>
          <w:rFonts w:ascii="Arial" w:eastAsia="Arial" w:hAnsi="Arial" w:cs="Arial"/>
          <w:b/>
          <w:color w:val="000000"/>
          <w:sz w:val="22"/>
          <w:szCs w:val="22"/>
        </w:rPr>
        <w:t xml:space="preserve">N° Radicado: </w:t>
      </w:r>
      <w:r w:rsidR="003C39B7" w:rsidRPr="003C39B7">
        <w:rPr>
          <w:rFonts w:ascii="Arial" w:eastAsia="Arial" w:hAnsi="Arial" w:cs="Arial"/>
          <w:b/>
          <w:color w:val="000000"/>
          <w:sz w:val="22"/>
          <w:szCs w:val="22"/>
        </w:rPr>
        <w:t>2202013000006906</w:t>
      </w:r>
    </w:p>
    <w:p w14:paraId="55ACC920" w14:textId="77777777" w:rsidR="00E335D4" w:rsidRDefault="00E335D4" w:rsidP="00E335D4">
      <w:pPr>
        <w:rPr>
          <w:rFonts w:ascii="Arial" w:eastAsia="Arial" w:hAnsi="Arial" w:cs="Arial"/>
          <w:color w:val="000000"/>
          <w:sz w:val="22"/>
          <w:szCs w:val="22"/>
        </w:rPr>
      </w:pPr>
    </w:p>
    <w:p w14:paraId="7D12DB71" w14:textId="77777777" w:rsidR="00E335D4" w:rsidRDefault="00E335D4" w:rsidP="00E335D4">
      <w:pPr>
        <w:rPr>
          <w:rFonts w:ascii="Arial" w:eastAsia="Arial" w:hAnsi="Arial" w:cs="Arial"/>
          <w:color w:val="000000"/>
          <w:sz w:val="22"/>
          <w:szCs w:val="22"/>
        </w:rPr>
      </w:pPr>
    </w:p>
    <w:p w14:paraId="577980BA" w14:textId="77777777" w:rsidR="00E335D4" w:rsidRDefault="00E335D4" w:rsidP="00E335D4">
      <w:pPr>
        <w:rPr>
          <w:rFonts w:ascii="Arial" w:eastAsia="Arial" w:hAnsi="Arial" w:cs="Arial"/>
          <w:color w:val="000000"/>
          <w:sz w:val="22"/>
          <w:szCs w:val="22"/>
        </w:rPr>
      </w:pPr>
      <w:r>
        <w:rPr>
          <w:rFonts w:ascii="Arial" w:eastAsia="Arial" w:hAnsi="Arial" w:cs="Arial"/>
          <w:color w:val="000000"/>
          <w:sz w:val="22"/>
          <w:szCs w:val="22"/>
        </w:rPr>
        <w:t>Señor</w:t>
      </w:r>
    </w:p>
    <w:p w14:paraId="6B4C3104" w14:textId="77777777" w:rsidR="00E335D4" w:rsidRDefault="00E335D4" w:rsidP="00E335D4">
      <w:pPr>
        <w:rPr>
          <w:rFonts w:ascii="Arial" w:eastAsia="Arial" w:hAnsi="Arial" w:cs="Arial"/>
          <w:b/>
          <w:color w:val="000000"/>
          <w:sz w:val="22"/>
          <w:szCs w:val="22"/>
        </w:rPr>
      </w:pPr>
      <w:r>
        <w:rPr>
          <w:rFonts w:ascii="Arial" w:eastAsia="Arial" w:hAnsi="Arial" w:cs="Arial"/>
          <w:b/>
          <w:color w:val="000000"/>
          <w:sz w:val="22"/>
          <w:szCs w:val="22"/>
        </w:rPr>
        <w:t>Uliaonf Forero Gamboa</w:t>
      </w:r>
    </w:p>
    <w:p w14:paraId="6501514D" w14:textId="77777777" w:rsidR="00E335D4" w:rsidRDefault="00E335D4" w:rsidP="00E335D4">
      <w:pPr>
        <w:rPr>
          <w:rFonts w:ascii="Arial" w:eastAsia="Arial" w:hAnsi="Arial" w:cs="Arial"/>
          <w:color w:val="000000"/>
          <w:sz w:val="22"/>
          <w:szCs w:val="22"/>
        </w:rPr>
      </w:pPr>
      <w:r>
        <w:rPr>
          <w:rFonts w:ascii="Arial" w:eastAsia="Arial" w:hAnsi="Arial" w:cs="Arial"/>
          <w:color w:val="000000"/>
          <w:sz w:val="22"/>
          <w:szCs w:val="22"/>
        </w:rPr>
        <w:t>Bucaramanga, Santander</w:t>
      </w:r>
    </w:p>
    <w:p w14:paraId="7E98D1B5" w14:textId="77777777" w:rsidR="00E335D4" w:rsidRDefault="00E335D4" w:rsidP="00E335D4">
      <w:pPr>
        <w:rPr>
          <w:rFonts w:ascii="Arial" w:eastAsia="Arial" w:hAnsi="Arial" w:cs="Arial"/>
          <w:color w:val="000000"/>
          <w:sz w:val="22"/>
          <w:szCs w:val="22"/>
        </w:rPr>
      </w:pPr>
    </w:p>
    <w:p w14:paraId="14770707" w14:textId="77777777" w:rsidR="00E335D4" w:rsidRDefault="00E335D4" w:rsidP="00E335D4">
      <w:pPr>
        <w:rPr>
          <w:rFonts w:ascii="Arial" w:eastAsia="Arial" w:hAnsi="Arial" w:cs="Arial"/>
          <w:color w:val="000000"/>
          <w:sz w:val="22"/>
          <w:szCs w:val="22"/>
        </w:rPr>
      </w:pPr>
    </w:p>
    <w:p w14:paraId="355551D7" w14:textId="639B468B" w:rsidR="00E335D4" w:rsidRDefault="00E335D4" w:rsidP="00E335D4">
      <w:pPr>
        <w:ind w:firstLine="2694"/>
        <w:rPr>
          <w:rFonts w:ascii="Arial" w:eastAsia="Arial" w:hAnsi="Arial" w:cs="Arial"/>
          <w:b/>
          <w:color w:val="000000"/>
          <w:sz w:val="22"/>
          <w:szCs w:val="22"/>
        </w:rPr>
      </w:pPr>
      <w:r>
        <w:rPr>
          <w:rFonts w:ascii="Arial" w:eastAsia="Arial" w:hAnsi="Arial" w:cs="Arial"/>
          <w:b/>
          <w:color w:val="000000"/>
          <w:sz w:val="22"/>
          <w:szCs w:val="22"/>
        </w:rPr>
        <w:t xml:space="preserve">Concepto C </w:t>
      </w:r>
      <w:r w:rsidR="00A85DB9">
        <w:rPr>
          <w:rFonts w:ascii="Arial" w:eastAsia="Arial" w:hAnsi="Arial" w:cs="Arial"/>
          <w:b/>
          <w:color w:val="000000"/>
          <w:sz w:val="22"/>
          <w:szCs w:val="22"/>
        </w:rPr>
        <w:t>–</w:t>
      </w:r>
      <w:r>
        <w:rPr>
          <w:rFonts w:ascii="Arial" w:eastAsia="Arial" w:hAnsi="Arial" w:cs="Arial"/>
          <w:b/>
          <w:color w:val="000000"/>
          <w:sz w:val="22"/>
          <w:szCs w:val="22"/>
        </w:rPr>
        <w:t xml:space="preserve"> 478 de 2020</w:t>
      </w:r>
    </w:p>
    <w:p w14:paraId="253164B9" w14:textId="77777777" w:rsidR="00E335D4" w:rsidRDefault="00E335D4" w:rsidP="00E335D4">
      <w:pPr>
        <w:rPr>
          <w:rFonts w:ascii="Arial" w:eastAsia="Arial" w:hAnsi="Arial" w:cs="Arial"/>
          <w:color w:val="000000"/>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E335D4" w14:paraId="5F2CBCFD" w14:textId="77777777" w:rsidTr="0049643E">
        <w:tc>
          <w:tcPr>
            <w:tcW w:w="2689" w:type="dxa"/>
          </w:tcPr>
          <w:p w14:paraId="72F1C8D9" w14:textId="77777777" w:rsidR="00E335D4" w:rsidRDefault="00E335D4" w:rsidP="0049643E">
            <w:pPr>
              <w:rPr>
                <w:rFonts w:ascii="Arial" w:eastAsia="Arial" w:hAnsi="Arial" w:cs="Arial"/>
                <w:color w:val="000000"/>
                <w:sz w:val="22"/>
                <w:szCs w:val="22"/>
              </w:rPr>
            </w:pPr>
            <w:r>
              <w:rPr>
                <w:rFonts w:ascii="Arial" w:eastAsia="Arial" w:hAnsi="Arial" w:cs="Arial"/>
                <w:b/>
                <w:color w:val="000000"/>
                <w:sz w:val="22"/>
                <w:szCs w:val="22"/>
              </w:rPr>
              <w:t>Temas:</w:t>
            </w:r>
            <w:r>
              <w:rPr>
                <w:rFonts w:ascii="Arial" w:eastAsia="Arial" w:hAnsi="Arial" w:cs="Arial"/>
                <w:color w:val="000000"/>
                <w:sz w:val="22"/>
                <w:szCs w:val="22"/>
              </w:rPr>
              <w:t xml:space="preserve">           </w:t>
            </w:r>
          </w:p>
          <w:p w14:paraId="40B31D26" w14:textId="77777777" w:rsidR="00E335D4" w:rsidRDefault="00E335D4" w:rsidP="0049643E">
            <w:pPr>
              <w:rPr>
                <w:rFonts w:ascii="Arial" w:eastAsia="Arial" w:hAnsi="Arial" w:cs="Arial"/>
                <w:color w:val="000000"/>
                <w:sz w:val="22"/>
                <w:szCs w:val="22"/>
              </w:rPr>
            </w:pPr>
            <w:r>
              <w:rPr>
                <w:rFonts w:ascii="Arial" w:eastAsia="Arial" w:hAnsi="Arial" w:cs="Arial"/>
                <w:color w:val="000000"/>
                <w:sz w:val="22"/>
                <w:szCs w:val="22"/>
              </w:rPr>
              <w:t xml:space="preserve">                           </w:t>
            </w:r>
          </w:p>
        </w:tc>
        <w:tc>
          <w:tcPr>
            <w:tcW w:w="6237" w:type="dxa"/>
          </w:tcPr>
          <w:p w14:paraId="32721F6F" w14:textId="382335E2" w:rsidR="00E335D4" w:rsidRDefault="00E335D4" w:rsidP="0049643E">
            <w:pPr>
              <w:jc w:val="both"/>
              <w:rPr>
                <w:rFonts w:ascii="Arial" w:eastAsia="Arial" w:hAnsi="Arial" w:cs="Arial"/>
                <w:color w:val="000000"/>
                <w:sz w:val="22"/>
                <w:szCs w:val="22"/>
              </w:rPr>
            </w:pPr>
            <w:r>
              <w:rPr>
                <w:rFonts w:ascii="Arial" w:eastAsia="Arial" w:hAnsi="Arial" w:cs="Arial"/>
                <w:color w:val="000000"/>
                <w:sz w:val="22"/>
                <w:szCs w:val="22"/>
              </w:rPr>
              <w:t xml:space="preserve">DOCUMENTOS TIPO – Factor de Calidad – Número máximo para ofertar / FACTORES DE CALIDAD – Facultad de establecer topes / </w:t>
            </w:r>
            <w:r>
              <w:rPr>
                <w:rFonts w:ascii="Arial" w:eastAsia="Arial" w:hAnsi="Arial" w:cs="Arial"/>
                <w:sz w:val="22"/>
                <w:szCs w:val="22"/>
              </w:rPr>
              <w:t>CUADRILLA</w:t>
            </w:r>
            <w:r>
              <w:rPr>
                <w:rFonts w:ascii="Arial" w:eastAsia="Arial" w:hAnsi="Arial" w:cs="Arial"/>
                <w:color w:val="000000"/>
                <w:sz w:val="22"/>
                <w:szCs w:val="22"/>
              </w:rPr>
              <w:t xml:space="preserve"> DE TRABAJO ADICIONAL – Noción – </w:t>
            </w:r>
            <w:r>
              <w:rPr>
                <w:rFonts w:ascii="Arial" w:eastAsia="Arial" w:hAnsi="Arial" w:cs="Arial"/>
                <w:color w:val="000000"/>
                <w:sz w:val="22"/>
                <w:szCs w:val="22"/>
              </w:rPr>
              <w:lastRenderedPageBreak/>
              <w:t>Determinación en números enteros / PLIEGOS TIPO ― Inalterabilidad de los documentos / PLIEGOS TIPO – Matriz 1 – Experiencia general y específica / PLIEGOS TIPO – Matriz 1 –Reglas para acreditar la experiencia</w:t>
            </w:r>
          </w:p>
        </w:tc>
      </w:tr>
      <w:tr w:rsidR="00E335D4" w14:paraId="4F5EB18A" w14:textId="77777777" w:rsidTr="0049643E">
        <w:tc>
          <w:tcPr>
            <w:tcW w:w="2689" w:type="dxa"/>
          </w:tcPr>
          <w:p w14:paraId="525B23AE" w14:textId="77777777" w:rsidR="00E335D4" w:rsidRDefault="00E335D4" w:rsidP="0049643E">
            <w:pPr>
              <w:spacing w:before="120"/>
              <w:rPr>
                <w:rFonts w:ascii="Arial" w:eastAsia="Arial" w:hAnsi="Arial" w:cs="Arial"/>
                <w:b/>
                <w:color w:val="000000"/>
                <w:sz w:val="22"/>
                <w:szCs w:val="22"/>
              </w:rPr>
            </w:pPr>
            <w:r>
              <w:rPr>
                <w:rFonts w:ascii="Arial" w:eastAsia="Arial" w:hAnsi="Arial" w:cs="Arial"/>
                <w:b/>
                <w:color w:val="000000"/>
                <w:sz w:val="22"/>
                <w:szCs w:val="22"/>
              </w:rPr>
              <w:lastRenderedPageBreak/>
              <w:t>Radicación:</w:t>
            </w:r>
            <w:r>
              <w:rPr>
                <w:rFonts w:ascii="Arial" w:eastAsia="Arial" w:hAnsi="Arial" w:cs="Arial"/>
                <w:color w:val="000000"/>
                <w:sz w:val="22"/>
                <w:szCs w:val="22"/>
              </w:rPr>
              <w:t xml:space="preserve">                              </w:t>
            </w:r>
          </w:p>
        </w:tc>
        <w:tc>
          <w:tcPr>
            <w:tcW w:w="6237" w:type="dxa"/>
          </w:tcPr>
          <w:p w14:paraId="0D74A806" w14:textId="77777777" w:rsidR="00E335D4" w:rsidRDefault="00E335D4" w:rsidP="0049643E">
            <w:pPr>
              <w:spacing w:before="120"/>
              <w:jc w:val="both"/>
              <w:rPr>
                <w:rFonts w:ascii="Arial" w:eastAsia="Arial" w:hAnsi="Arial" w:cs="Arial"/>
                <w:color w:val="000000"/>
                <w:sz w:val="22"/>
                <w:szCs w:val="22"/>
              </w:rPr>
            </w:pPr>
            <w:r>
              <w:rPr>
                <w:rFonts w:ascii="Arial" w:eastAsia="Arial" w:hAnsi="Arial" w:cs="Arial"/>
                <w:color w:val="000000"/>
                <w:sz w:val="22"/>
                <w:szCs w:val="22"/>
              </w:rPr>
              <w:t>Respuesta a consulta 4202012000005678</w:t>
            </w:r>
          </w:p>
        </w:tc>
      </w:tr>
    </w:tbl>
    <w:p w14:paraId="7ECDE048" w14:textId="77777777" w:rsidR="00E335D4" w:rsidRDefault="00E335D4" w:rsidP="00F34478">
      <w:pPr>
        <w:jc w:val="both"/>
        <w:rPr>
          <w:rFonts w:ascii="Arial" w:eastAsia="Arial" w:hAnsi="Arial" w:cs="Arial"/>
          <w:color w:val="000000"/>
          <w:sz w:val="22"/>
          <w:szCs w:val="22"/>
        </w:rPr>
      </w:pPr>
    </w:p>
    <w:p w14:paraId="3B22329A" w14:textId="77777777" w:rsidR="00E335D4" w:rsidRDefault="00E335D4" w:rsidP="00E335D4">
      <w:pPr>
        <w:jc w:val="both"/>
        <w:rPr>
          <w:rFonts w:ascii="Arial" w:eastAsia="Arial" w:hAnsi="Arial" w:cs="Arial"/>
          <w:color w:val="000000"/>
          <w:sz w:val="22"/>
          <w:szCs w:val="22"/>
        </w:rPr>
      </w:pPr>
    </w:p>
    <w:p w14:paraId="29FC0EF2" w14:textId="77777777" w:rsidR="00E335D4" w:rsidRDefault="00E335D4" w:rsidP="00E335D4">
      <w:pPr>
        <w:rPr>
          <w:rFonts w:ascii="Arial" w:eastAsia="Arial" w:hAnsi="Arial" w:cs="Arial"/>
          <w:color w:val="000000"/>
          <w:sz w:val="22"/>
          <w:szCs w:val="22"/>
        </w:rPr>
      </w:pPr>
      <w:r>
        <w:rPr>
          <w:rFonts w:ascii="Arial" w:eastAsia="Arial" w:hAnsi="Arial" w:cs="Arial"/>
          <w:color w:val="000000"/>
          <w:sz w:val="22"/>
          <w:szCs w:val="22"/>
        </w:rPr>
        <w:t>Estimado señor Forero Gamboa:</w:t>
      </w:r>
    </w:p>
    <w:p w14:paraId="45D61AF4" w14:textId="77777777" w:rsidR="00E335D4" w:rsidRDefault="00E335D4" w:rsidP="00E335D4">
      <w:pPr>
        <w:rPr>
          <w:rFonts w:ascii="Arial" w:eastAsia="Arial" w:hAnsi="Arial" w:cs="Arial"/>
          <w:color w:val="000000"/>
          <w:sz w:val="22"/>
          <w:szCs w:val="22"/>
        </w:rPr>
      </w:pPr>
    </w:p>
    <w:p w14:paraId="41D4CF98" w14:textId="77777777" w:rsidR="00E335D4" w:rsidRPr="00610A28" w:rsidRDefault="00E335D4" w:rsidP="00E335D4">
      <w:pPr>
        <w:spacing w:line="276" w:lineRule="auto"/>
        <w:jc w:val="both"/>
        <w:rPr>
          <w:rFonts w:ascii="Arial" w:eastAsia="Arial" w:hAnsi="Arial" w:cs="Arial"/>
          <w:color w:val="000000"/>
          <w:sz w:val="22"/>
          <w:szCs w:val="22"/>
        </w:rPr>
      </w:pPr>
      <w:r w:rsidRPr="00F34478">
        <w:rPr>
          <w:rFonts w:ascii="Arial" w:eastAsia="Arial Unicode MS" w:hAnsi="Arial" w:cs="Arial"/>
          <w:color w:val="000000"/>
          <w:sz w:val="22"/>
          <w:szCs w:val="22"/>
        </w:rPr>
        <w:t xml:space="preserve">En ejercicio de la competencia otorgada por los artículos 11, numeral 8º, y 3º, numeral 5º, del Decreto Ley 4170 de 2011, la Agencia Nacional de Contratación Pública − Colombia Compra Eficiente responde su consulta del 7 de julio de 2020. </w:t>
      </w:r>
    </w:p>
    <w:p w14:paraId="1C2CC29A" w14:textId="77777777" w:rsidR="00E335D4" w:rsidRDefault="00E335D4" w:rsidP="00E335D4">
      <w:pPr>
        <w:spacing w:line="276" w:lineRule="auto"/>
        <w:jc w:val="both"/>
        <w:rPr>
          <w:rFonts w:ascii="Arial" w:eastAsia="Arial" w:hAnsi="Arial" w:cs="Arial"/>
          <w:color w:val="000000"/>
          <w:sz w:val="22"/>
          <w:szCs w:val="22"/>
        </w:rPr>
      </w:pPr>
    </w:p>
    <w:p w14:paraId="7C325340" w14:textId="77777777" w:rsidR="00E335D4" w:rsidRDefault="00E335D4" w:rsidP="00E335D4">
      <w:pPr>
        <w:numPr>
          <w:ilvl w:val="0"/>
          <w:numId w:val="3"/>
        </w:numPr>
        <w:pBdr>
          <w:top w:val="nil"/>
          <w:left w:val="nil"/>
          <w:bottom w:val="nil"/>
          <w:right w:val="nil"/>
          <w:between w:val="nil"/>
        </w:pBdr>
        <w:tabs>
          <w:tab w:val="left" w:pos="284"/>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 xml:space="preserve">Problemas planteados </w:t>
      </w:r>
    </w:p>
    <w:p w14:paraId="31B0BF21" w14:textId="77777777" w:rsidR="00E335D4" w:rsidRDefault="00E335D4" w:rsidP="00E335D4">
      <w:pPr>
        <w:tabs>
          <w:tab w:val="left" w:pos="426"/>
        </w:tabs>
        <w:spacing w:line="276" w:lineRule="auto"/>
        <w:jc w:val="both"/>
        <w:rPr>
          <w:rFonts w:ascii="Arial" w:eastAsia="Arial" w:hAnsi="Arial" w:cs="Arial"/>
          <w:b/>
          <w:color w:val="000000"/>
          <w:sz w:val="22"/>
          <w:szCs w:val="22"/>
        </w:rPr>
      </w:pPr>
    </w:p>
    <w:p w14:paraId="64A118A6" w14:textId="75C87555" w:rsidR="00E335D4" w:rsidRDefault="00E335D4" w:rsidP="00E335D4">
      <w:pPr>
        <w:tabs>
          <w:tab w:val="left" w:pos="426"/>
        </w:tabs>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En relación con un caso hipotético, se realiza las siguientes preguntas: </w:t>
      </w:r>
      <w:bookmarkStart w:id="2" w:name="_Hlk46400389"/>
      <w:r>
        <w:rPr>
          <w:rFonts w:ascii="Arial" w:eastAsia="Arial" w:hAnsi="Arial" w:cs="Arial"/>
          <w:color w:val="000000"/>
          <w:sz w:val="22"/>
          <w:szCs w:val="22"/>
        </w:rPr>
        <w:t>i) «¿La entidad debe recalcular los valores asignados a los demás proponentes por concepto de estos ofrecimientos, debido a que la propuesta de máximo puntaje fue rechazada por error en la propuesta económica? O, por el contrario, [¿]la entidad debe conservar los puntajes asignados hasta antes del rechazo de la propuesta con mayores ofrecimientos de garantías, cuadrillas y/o mantenimientos adicionales?»</w:t>
      </w:r>
      <w:r w:rsidR="002B1A91">
        <w:rPr>
          <w:rFonts w:ascii="Arial" w:eastAsia="Arial" w:hAnsi="Arial" w:cs="Arial"/>
          <w:color w:val="000000"/>
          <w:sz w:val="22"/>
          <w:szCs w:val="22"/>
        </w:rPr>
        <w:t xml:space="preserve"> (Corchetes fuera de texto)</w:t>
      </w:r>
      <w:bookmarkEnd w:id="2"/>
      <w:r>
        <w:rPr>
          <w:rFonts w:ascii="Arial" w:eastAsia="Arial" w:hAnsi="Arial" w:cs="Arial"/>
          <w:color w:val="000000"/>
          <w:sz w:val="22"/>
          <w:szCs w:val="22"/>
        </w:rPr>
        <w:t xml:space="preserve"> y ii) </w:t>
      </w:r>
      <w:bookmarkStart w:id="3" w:name="_Hlk46400416"/>
      <w:r>
        <w:rPr>
          <w:rFonts w:ascii="Arial" w:eastAsia="Arial" w:hAnsi="Arial" w:cs="Arial"/>
          <w:color w:val="000000"/>
          <w:sz w:val="22"/>
          <w:szCs w:val="22"/>
        </w:rPr>
        <w:t>«</w:t>
      </w:r>
      <w:r w:rsidR="002B1A91">
        <w:rPr>
          <w:rFonts w:ascii="Arial" w:eastAsia="Arial" w:hAnsi="Arial" w:cs="Arial"/>
          <w:color w:val="000000"/>
          <w:sz w:val="22"/>
          <w:szCs w:val="22"/>
        </w:rPr>
        <w:t>[¿]</w:t>
      </w:r>
      <w:r>
        <w:rPr>
          <w:rFonts w:ascii="Arial" w:eastAsia="Arial" w:hAnsi="Arial" w:cs="Arial"/>
          <w:color w:val="000000"/>
          <w:sz w:val="22"/>
          <w:szCs w:val="22"/>
        </w:rPr>
        <w:t>Para los ofrecimientos de cuadrillas adicionales se pueden ofertar números con decimales […]? O, por el contrario, [¿]el ofrecimiento siempre debe ser en números enteros?</w:t>
      </w:r>
      <w:r w:rsidR="002B1A91">
        <w:rPr>
          <w:rFonts w:ascii="Arial" w:eastAsia="Arial" w:hAnsi="Arial" w:cs="Arial"/>
          <w:color w:val="000000"/>
          <w:sz w:val="22"/>
          <w:szCs w:val="22"/>
        </w:rPr>
        <w:t>» (Corchetes fuera de texto)</w:t>
      </w:r>
      <w:bookmarkEnd w:id="3"/>
      <w:r w:rsidR="002B1A91">
        <w:rPr>
          <w:rFonts w:ascii="Arial" w:eastAsia="Arial" w:hAnsi="Arial" w:cs="Arial"/>
          <w:color w:val="000000"/>
          <w:sz w:val="22"/>
          <w:szCs w:val="22"/>
        </w:rPr>
        <w:t>.</w:t>
      </w:r>
    </w:p>
    <w:p w14:paraId="133B72F9" w14:textId="49237DAC" w:rsidR="00E335D4" w:rsidRDefault="00E335D4" w:rsidP="00E335D4">
      <w:pPr>
        <w:tabs>
          <w:tab w:val="left" w:pos="426"/>
        </w:tabs>
        <w:spacing w:line="276" w:lineRule="auto"/>
        <w:jc w:val="both"/>
        <w:rPr>
          <w:rFonts w:ascii="Arial" w:eastAsia="Arial" w:hAnsi="Arial" w:cs="Arial"/>
          <w:color w:val="000000"/>
          <w:sz w:val="22"/>
          <w:szCs w:val="22"/>
        </w:rPr>
      </w:pPr>
      <w:r>
        <w:rPr>
          <w:rFonts w:ascii="Arial" w:eastAsia="Arial" w:hAnsi="Arial" w:cs="Arial"/>
          <w:color w:val="000000"/>
          <w:sz w:val="22"/>
          <w:szCs w:val="22"/>
        </w:rPr>
        <w:tab/>
      </w:r>
      <w:r w:rsidR="00A85DB9">
        <w:rPr>
          <w:rFonts w:ascii="Arial" w:eastAsia="Arial" w:hAnsi="Arial" w:cs="Arial"/>
          <w:color w:val="000000"/>
          <w:sz w:val="22"/>
          <w:szCs w:val="22"/>
        </w:rPr>
        <w:tab/>
      </w:r>
      <w:bookmarkStart w:id="4" w:name="_Hlk46400565"/>
      <w:r>
        <w:rPr>
          <w:rFonts w:ascii="Arial" w:eastAsia="Arial" w:hAnsi="Arial" w:cs="Arial"/>
          <w:color w:val="000000"/>
          <w:sz w:val="22"/>
          <w:szCs w:val="22"/>
        </w:rPr>
        <w:t>Igualmente, menciona que «[…] Los pliegos de condiciones estipulan los documentos válidos para la acreditación de la experiencia de un proponente en el numeral 3.5.5 […]» y se agrega que «[…]</w:t>
      </w:r>
      <w:r w:rsidR="002B1A91">
        <w:rPr>
          <w:rFonts w:ascii="Arial" w:eastAsia="Arial" w:hAnsi="Arial" w:cs="Arial"/>
          <w:color w:val="000000"/>
          <w:sz w:val="22"/>
          <w:szCs w:val="22"/>
        </w:rPr>
        <w:t xml:space="preserve"> </w:t>
      </w:r>
      <w:r>
        <w:rPr>
          <w:rFonts w:ascii="Arial" w:eastAsia="Arial" w:hAnsi="Arial" w:cs="Arial"/>
          <w:color w:val="000000"/>
          <w:sz w:val="22"/>
          <w:szCs w:val="22"/>
        </w:rPr>
        <w:t>Dentro de estos documentos no se encuentra relacionado como válido el documento de conformación del consorcio o unión temporal en caso de que el contrato hubiese sido ejecutado por una figura asociativa […]</w:t>
      </w:r>
      <w:r w:rsidR="002B1A91">
        <w:rPr>
          <w:rFonts w:ascii="Arial" w:eastAsia="Arial" w:hAnsi="Arial" w:cs="Arial"/>
          <w:color w:val="000000"/>
          <w:sz w:val="22"/>
          <w:szCs w:val="22"/>
        </w:rPr>
        <w:t>»</w:t>
      </w:r>
      <w:r>
        <w:rPr>
          <w:rFonts w:ascii="Arial" w:eastAsia="Arial" w:hAnsi="Arial" w:cs="Arial"/>
          <w:color w:val="000000"/>
          <w:sz w:val="22"/>
          <w:szCs w:val="22"/>
        </w:rPr>
        <w:t>. En relación con esta situación, pregunta</w:t>
      </w:r>
      <w:r w:rsidR="002B1A91">
        <w:rPr>
          <w:rFonts w:ascii="Arial" w:eastAsia="Arial" w:hAnsi="Arial" w:cs="Arial"/>
          <w:color w:val="000000"/>
          <w:sz w:val="22"/>
          <w:szCs w:val="22"/>
        </w:rPr>
        <w:t xml:space="preserve"> los siguiente:</w:t>
      </w:r>
      <w:r>
        <w:rPr>
          <w:rFonts w:ascii="Arial" w:eastAsia="Arial" w:hAnsi="Arial" w:cs="Arial"/>
          <w:color w:val="000000"/>
          <w:sz w:val="22"/>
          <w:szCs w:val="22"/>
        </w:rPr>
        <w:t xml:space="preserve"> iii) «¿Es válido rechazar una propuesta porque los mencionados documentos no se encuentran dentro de los relacionados por los pliegos tipo?»</w:t>
      </w:r>
      <w:r w:rsidR="002B1A91">
        <w:rPr>
          <w:rFonts w:ascii="Arial" w:eastAsia="Arial" w:hAnsi="Arial" w:cs="Arial"/>
          <w:color w:val="000000"/>
          <w:sz w:val="22"/>
          <w:szCs w:val="22"/>
        </w:rPr>
        <w:t xml:space="preserve"> </w:t>
      </w:r>
      <w:r>
        <w:rPr>
          <w:rFonts w:ascii="Arial" w:eastAsia="Arial" w:hAnsi="Arial" w:cs="Arial"/>
          <w:color w:val="000000"/>
          <w:sz w:val="22"/>
          <w:szCs w:val="22"/>
        </w:rPr>
        <w:t>y iv) «[…] ¿cómo puede un proponente acreditar su participación dentro de una figura asociativa cuando el contrato fue desarrollado por un consorcio o unión temporal?</w:t>
      </w:r>
      <w:bookmarkEnd w:id="4"/>
    </w:p>
    <w:p w14:paraId="6AB665B0" w14:textId="77777777" w:rsidR="00E335D4" w:rsidRDefault="00E335D4" w:rsidP="00F34478">
      <w:pPr>
        <w:tabs>
          <w:tab w:val="left" w:pos="709"/>
        </w:tabs>
        <w:spacing w:line="276" w:lineRule="auto"/>
        <w:jc w:val="both"/>
        <w:rPr>
          <w:rFonts w:ascii="Arial" w:eastAsia="Arial" w:hAnsi="Arial" w:cs="Arial"/>
          <w:color w:val="000000"/>
          <w:sz w:val="22"/>
          <w:szCs w:val="22"/>
        </w:rPr>
      </w:pPr>
    </w:p>
    <w:p w14:paraId="726809B8" w14:textId="77777777" w:rsidR="00E335D4" w:rsidRDefault="00E335D4" w:rsidP="00E335D4">
      <w:pPr>
        <w:numPr>
          <w:ilvl w:val="0"/>
          <w:numId w:val="3"/>
        </w:numPr>
        <w:pBdr>
          <w:top w:val="nil"/>
          <w:left w:val="nil"/>
          <w:bottom w:val="nil"/>
          <w:right w:val="nil"/>
          <w:between w:val="nil"/>
        </w:pBdr>
        <w:tabs>
          <w:tab w:val="left" w:pos="426"/>
        </w:tabs>
        <w:spacing w:line="276" w:lineRule="auto"/>
        <w:ind w:left="284" w:hanging="284"/>
        <w:jc w:val="both"/>
        <w:rPr>
          <w:rFonts w:ascii="Arial" w:eastAsia="Arial" w:hAnsi="Arial" w:cs="Arial"/>
          <w:sz w:val="22"/>
          <w:szCs w:val="22"/>
        </w:rPr>
      </w:pPr>
      <w:r>
        <w:rPr>
          <w:rFonts w:ascii="Arial" w:eastAsia="Arial" w:hAnsi="Arial" w:cs="Arial"/>
          <w:b/>
          <w:color w:val="000000"/>
          <w:sz w:val="22"/>
          <w:szCs w:val="22"/>
        </w:rPr>
        <w:t>Consideraciones</w:t>
      </w:r>
    </w:p>
    <w:p w14:paraId="1C49D08E" w14:textId="77777777" w:rsidR="00E335D4" w:rsidRDefault="00E335D4" w:rsidP="00E335D4">
      <w:pPr>
        <w:spacing w:line="276" w:lineRule="auto"/>
        <w:jc w:val="both"/>
        <w:rPr>
          <w:rFonts w:ascii="Arial" w:eastAsia="Arial" w:hAnsi="Arial" w:cs="Arial"/>
          <w:color w:val="000000"/>
          <w:sz w:val="22"/>
          <w:szCs w:val="22"/>
        </w:rPr>
      </w:pPr>
    </w:p>
    <w:p w14:paraId="56D2A30A" w14:textId="737B06D1" w:rsidR="00E335D4" w:rsidRDefault="00E335D4" w:rsidP="00E335D4">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Para desarrollar los problemas planteados, es necesario explicar los siguientes temas: i) el alcance del factor de calidad como criterio de evaluación, asignación de puntaje y desempate de las propuestas económicas, particularmente, en relación con la garantía suplementaria o adicional por cuenta del contratista, las cuadrillas de trabajo adicional a costo y riesgo de este último y el mantenimiento adicional; y ii) la forma de establecer la </w:t>
      </w:r>
      <w:r>
        <w:rPr>
          <w:rFonts w:ascii="Arial" w:eastAsia="Arial" w:hAnsi="Arial" w:cs="Arial"/>
          <w:color w:val="000000"/>
          <w:sz w:val="22"/>
          <w:szCs w:val="22"/>
        </w:rPr>
        <w:lastRenderedPageBreak/>
        <w:t xml:space="preserve">experiencia exigible en procesos de contratación de licitación de obra pública de infraestructura de transporte que aplican </w:t>
      </w:r>
      <w:r w:rsidR="002B1A91">
        <w:rPr>
          <w:rFonts w:ascii="Arial" w:eastAsia="Arial" w:hAnsi="Arial" w:cs="Arial"/>
          <w:color w:val="000000"/>
          <w:sz w:val="22"/>
          <w:szCs w:val="22"/>
        </w:rPr>
        <w:t>documentos tipo</w:t>
      </w:r>
      <w:r>
        <w:rPr>
          <w:rFonts w:ascii="Arial" w:eastAsia="Arial" w:hAnsi="Arial" w:cs="Arial"/>
          <w:color w:val="000000"/>
          <w:sz w:val="22"/>
          <w:szCs w:val="22"/>
        </w:rPr>
        <w:t xml:space="preserve"> y los supuestos que deben tener en cuenta las entidades para determinar la experiencia de los proponentes.</w:t>
      </w:r>
    </w:p>
    <w:p w14:paraId="69C58D19" w14:textId="59B07478" w:rsidR="00E335D4" w:rsidRPr="00A85DB9" w:rsidRDefault="00E335D4" w:rsidP="00E335D4">
      <w:pPr>
        <w:spacing w:before="120" w:line="276" w:lineRule="auto"/>
        <w:ind w:firstLine="709"/>
        <w:jc w:val="both"/>
        <w:rPr>
          <w:rFonts w:ascii="Arial" w:eastAsia="Arial" w:hAnsi="Arial" w:cs="Arial"/>
          <w:color w:val="000000"/>
          <w:sz w:val="22"/>
          <w:szCs w:val="22"/>
        </w:rPr>
      </w:pPr>
      <w:r w:rsidRPr="00A85DB9">
        <w:rPr>
          <w:rFonts w:ascii="Arial" w:eastAsia="Arial" w:hAnsi="Arial" w:cs="Arial"/>
          <w:color w:val="000000"/>
          <w:sz w:val="22"/>
          <w:szCs w:val="22"/>
        </w:rPr>
        <w:t>Para tales fines, se reiterarán</w:t>
      </w:r>
      <w:r w:rsidRPr="00F34478">
        <w:rPr>
          <w:rFonts w:ascii="Arial" w:eastAsia="Arial Unicode MS" w:hAnsi="Arial" w:cs="Arial"/>
          <w:color w:val="000000"/>
          <w:sz w:val="22"/>
          <w:szCs w:val="22"/>
        </w:rPr>
        <w:t xml:space="preserve"> las tesis expuestas en los siguientes conceptos: en relación con el tema uno, los conceptos C-294 del 18 de mayo de 2020</w:t>
      </w:r>
      <w:r w:rsidR="002B1A91">
        <w:rPr>
          <w:rFonts w:ascii="Arial" w:eastAsia="Arial Unicode MS" w:hAnsi="Arial" w:cs="Arial"/>
          <w:color w:val="000000"/>
          <w:sz w:val="22"/>
          <w:szCs w:val="22"/>
        </w:rPr>
        <w:t>,</w:t>
      </w:r>
      <w:r w:rsidRPr="00F34478">
        <w:rPr>
          <w:rFonts w:ascii="Arial" w:eastAsia="Arial Unicode MS" w:hAnsi="Arial" w:cs="Arial"/>
          <w:color w:val="000000"/>
          <w:sz w:val="22"/>
          <w:szCs w:val="22"/>
        </w:rPr>
        <w:t xml:space="preserve"> C-276 y C-277 del 26 de mayo de 2020</w:t>
      </w:r>
      <w:r w:rsidR="002B1A91">
        <w:rPr>
          <w:rFonts w:ascii="Arial" w:eastAsia="Arial Unicode MS" w:hAnsi="Arial" w:cs="Arial"/>
          <w:color w:val="000000"/>
          <w:sz w:val="22"/>
          <w:szCs w:val="22"/>
        </w:rPr>
        <w:t>,</w:t>
      </w:r>
      <w:r w:rsidRPr="00F34478">
        <w:rPr>
          <w:rFonts w:ascii="Arial" w:eastAsia="Arial Unicode MS" w:hAnsi="Arial" w:cs="Arial"/>
          <w:color w:val="000000"/>
          <w:sz w:val="22"/>
          <w:szCs w:val="22"/>
        </w:rPr>
        <w:t xml:space="preserve"> C–380 y C–381 del 1 de junio de 2020</w:t>
      </w:r>
      <w:r w:rsidR="002B1A91">
        <w:rPr>
          <w:rFonts w:ascii="Arial" w:eastAsia="Arial Unicode MS" w:hAnsi="Arial" w:cs="Arial"/>
          <w:color w:val="000000"/>
          <w:sz w:val="22"/>
          <w:szCs w:val="22"/>
        </w:rPr>
        <w:t>,</w:t>
      </w:r>
      <w:r w:rsidRPr="00F34478">
        <w:rPr>
          <w:rFonts w:ascii="Arial" w:eastAsia="Arial Unicode MS" w:hAnsi="Arial" w:cs="Arial"/>
          <w:color w:val="000000"/>
          <w:sz w:val="22"/>
          <w:szCs w:val="22"/>
        </w:rPr>
        <w:t xml:space="preserve"> C-404 del 12 de junio de 2020 y C-430 del 7 de julio de 2020; y frente al tema dos, los conceptos del 25 de junio, 3 de julio, 6, 9, 10, 15, 16 y 27 de agosto, 9 de septiembre, y del 11 y el 17 de octubre de 2019 −radicados Nos. 4201912000004262, 4201912000004426, 4201912000005320, 4201912000005394, 4201912000005416, 4201912000005548, 4201912000005609, 4201912000005809, , 4201912000006151, 4201912000007034 y 4201912000007124−, así como </w:t>
      </w:r>
      <w:r w:rsidR="002B1A91">
        <w:rPr>
          <w:rFonts w:ascii="Arial" w:eastAsia="Arial Unicode MS" w:hAnsi="Arial" w:cs="Arial"/>
          <w:color w:val="000000"/>
          <w:sz w:val="22"/>
          <w:szCs w:val="22"/>
        </w:rPr>
        <w:t>los</w:t>
      </w:r>
      <w:r w:rsidRPr="00F34478">
        <w:rPr>
          <w:rFonts w:ascii="Arial" w:eastAsia="Arial Unicode MS" w:hAnsi="Arial" w:cs="Arial"/>
          <w:color w:val="000000"/>
          <w:sz w:val="22"/>
          <w:szCs w:val="22"/>
        </w:rPr>
        <w:t xml:space="preserve"> concepto</w:t>
      </w:r>
      <w:r w:rsidR="002B1A91">
        <w:rPr>
          <w:rFonts w:ascii="Arial" w:eastAsia="Arial Unicode MS" w:hAnsi="Arial" w:cs="Arial"/>
          <w:color w:val="000000"/>
          <w:sz w:val="22"/>
          <w:szCs w:val="22"/>
        </w:rPr>
        <w:t>s</w:t>
      </w:r>
      <w:r w:rsidRPr="00F34478">
        <w:rPr>
          <w:rFonts w:ascii="Arial" w:eastAsia="Arial Unicode MS" w:hAnsi="Arial" w:cs="Arial"/>
          <w:color w:val="000000"/>
          <w:sz w:val="22"/>
          <w:szCs w:val="22"/>
        </w:rPr>
        <w:t xml:space="preserve"> C-097 del 3 de marzo de 2020, C-244 del 27 de abril de 2020, C-259 del 15 de abril de 2020, C-316 del 29 de mayo de 2020 y C-400 del 30 de junio de 2020, entre otros.</w:t>
      </w:r>
    </w:p>
    <w:p w14:paraId="5AC2E972" w14:textId="77777777" w:rsidR="00E335D4" w:rsidRDefault="00E335D4" w:rsidP="00E335D4">
      <w:pPr>
        <w:spacing w:line="276" w:lineRule="auto"/>
        <w:ind w:firstLine="709"/>
        <w:jc w:val="both"/>
        <w:rPr>
          <w:rFonts w:ascii="Arial" w:eastAsia="Arial" w:hAnsi="Arial" w:cs="Arial"/>
          <w:color w:val="000000"/>
          <w:sz w:val="22"/>
          <w:szCs w:val="22"/>
        </w:rPr>
      </w:pPr>
    </w:p>
    <w:p w14:paraId="0282B3CD" w14:textId="77777777" w:rsidR="00E335D4" w:rsidRDefault="00E335D4" w:rsidP="00E335D4">
      <w:pPr>
        <w:spacing w:line="276" w:lineRule="auto"/>
        <w:jc w:val="both"/>
        <w:rPr>
          <w:rFonts w:ascii="Arial" w:eastAsia="Arial" w:hAnsi="Arial" w:cs="Arial"/>
          <w:b/>
          <w:color w:val="000000"/>
          <w:sz w:val="22"/>
          <w:szCs w:val="22"/>
        </w:rPr>
      </w:pPr>
      <w:r>
        <w:rPr>
          <w:rFonts w:ascii="Arial" w:eastAsia="Arial" w:hAnsi="Arial" w:cs="Arial"/>
          <w:b/>
          <w:color w:val="000000"/>
          <w:sz w:val="22"/>
          <w:szCs w:val="22"/>
        </w:rPr>
        <w:t>2.1. Cuadrillas trabajo adicional, garantía suplementaria o adicional y mantenimiento adicional como factores de calidad en los pliegos tipo de licitación pública</w:t>
      </w:r>
    </w:p>
    <w:p w14:paraId="6B387CD6" w14:textId="77777777" w:rsidR="00E335D4" w:rsidRDefault="00E335D4" w:rsidP="00E335D4">
      <w:pPr>
        <w:spacing w:line="276" w:lineRule="auto"/>
        <w:jc w:val="both"/>
        <w:rPr>
          <w:rFonts w:ascii="Arial" w:eastAsia="Arial" w:hAnsi="Arial" w:cs="Arial"/>
          <w:b/>
          <w:color w:val="000000"/>
          <w:sz w:val="22"/>
          <w:szCs w:val="22"/>
        </w:rPr>
      </w:pPr>
    </w:p>
    <w:p w14:paraId="14754424" w14:textId="77777777" w:rsidR="00CC79BC" w:rsidRDefault="00CC79BC" w:rsidP="00CC79BC">
      <w:pPr>
        <w:tabs>
          <w:tab w:val="left" w:pos="426"/>
        </w:tabs>
        <w:spacing w:line="276" w:lineRule="auto"/>
        <w:jc w:val="both"/>
        <w:rPr>
          <w:rFonts w:ascii="Arial" w:eastAsia="Arial" w:hAnsi="Arial" w:cs="Arial"/>
          <w:sz w:val="22"/>
          <w:szCs w:val="22"/>
        </w:rPr>
      </w:pPr>
      <w:r>
        <w:rPr>
          <w:rFonts w:ascii="Arial" w:eastAsia="Arial" w:hAnsi="Arial" w:cs="Arial"/>
          <w:sz w:val="22"/>
          <w:szCs w:val="22"/>
        </w:rPr>
        <w:t xml:space="preserve">Antes de desarrollar el tema propuesto, esta entidad estima necesario resaltar que los numerales 4.2.4, 4.2.5. y 4.2.6. del Documento Base de los Documentos Tipo para licitaciones públicas de infraestructura de trasporte –versión 2–, así como también los mismos numerales de los Documentos Tipo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14:paraId="71C3D1A5" w14:textId="77777777" w:rsidR="00CC79BC" w:rsidRDefault="00CC79BC" w:rsidP="00CC79BC">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En términos generales, en la referida resolución se dispuso: i) que e</w:t>
      </w:r>
      <w:r w:rsidRPr="00AF1112">
        <w:rPr>
          <w:rFonts w:ascii="Arial" w:eastAsia="Arial" w:hAnsi="Arial" w:cs="Arial"/>
          <w:sz w:val="22"/>
          <w:szCs w:val="22"/>
          <w:lang w:val="es-CO"/>
        </w:rPr>
        <w:t xml:space="preserve">l ofrecimiento </w:t>
      </w:r>
      <w:r>
        <w:rPr>
          <w:rFonts w:ascii="Arial" w:eastAsia="Arial" w:hAnsi="Arial" w:cs="Arial"/>
          <w:sz w:val="22"/>
          <w:szCs w:val="22"/>
          <w:lang w:val="es-CO"/>
        </w:rPr>
        <w:t>d</w:t>
      </w:r>
      <w:r w:rsidRPr="00AF1112">
        <w:rPr>
          <w:rFonts w:ascii="Arial" w:eastAsia="Arial" w:hAnsi="Arial" w:cs="Arial"/>
          <w:sz w:val="22"/>
          <w:szCs w:val="22"/>
          <w:lang w:val="es-CO"/>
        </w:rPr>
        <w:t xml:space="preserve">el proponente </w:t>
      </w:r>
      <w:r>
        <w:rPr>
          <w:rFonts w:ascii="Arial" w:eastAsia="Arial" w:hAnsi="Arial" w:cs="Arial"/>
          <w:sz w:val="22"/>
          <w:szCs w:val="22"/>
          <w:lang w:val="es-CO"/>
        </w:rPr>
        <w:t xml:space="preserve">sobre la </w:t>
      </w:r>
      <w:r w:rsidRPr="00AF1112">
        <w:rPr>
          <w:rFonts w:ascii="Arial" w:eastAsia="Arial" w:hAnsi="Arial" w:cs="Arial"/>
          <w:sz w:val="22"/>
          <w:szCs w:val="22"/>
          <w:lang w:val="es-CO"/>
        </w:rPr>
        <w:t>«garantía suplementaria o adicional»</w:t>
      </w:r>
      <w:r>
        <w:rPr>
          <w:rFonts w:ascii="Arial" w:eastAsia="Arial" w:hAnsi="Arial" w:cs="Arial"/>
          <w:sz w:val="22"/>
          <w:szCs w:val="22"/>
          <w:lang w:val="es-CO"/>
        </w:rPr>
        <w:t xml:space="preserve"> </w:t>
      </w:r>
      <w:r w:rsidRPr="00AF1112">
        <w:rPr>
          <w:rFonts w:ascii="Arial" w:eastAsia="Arial" w:hAnsi="Arial" w:cs="Arial"/>
          <w:sz w:val="22"/>
          <w:szCs w:val="22"/>
          <w:lang w:val="es-CO"/>
        </w:rPr>
        <w:t>y el «mantenimiento adicional»</w:t>
      </w:r>
      <w:r>
        <w:rPr>
          <w:rFonts w:ascii="Arial" w:eastAsia="Arial" w:hAnsi="Arial" w:cs="Arial"/>
          <w:sz w:val="22"/>
          <w:szCs w:val="22"/>
          <w:lang w:val="es-CO"/>
        </w:rPr>
        <w:t xml:space="preserve">, </w:t>
      </w:r>
      <w:r w:rsidRPr="00AF1112">
        <w:rPr>
          <w:rFonts w:ascii="Arial" w:eastAsia="Arial" w:hAnsi="Arial" w:cs="Arial"/>
          <w:sz w:val="22"/>
          <w:szCs w:val="22"/>
          <w:lang w:val="es-CO"/>
        </w:rPr>
        <w:t>no podrá́ superar</w:t>
      </w:r>
      <w:r>
        <w:rPr>
          <w:rFonts w:ascii="Arial" w:eastAsia="Arial" w:hAnsi="Arial" w:cs="Arial"/>
          <w:sz w:val="22"/>
          <w:szCs w:val="22"/>
          <w:lang w:val="es-CO"/>
        </w:rPr>
        <w:t xml:space="preserve"> </w:t>
      </w:r>
      <w:r>
        <w:rPr>
          <w:rFonts w:ascii="Arial" w:eastAsia="Arial" w:hAnsi="Arial" w:cs="Arial"/>
          <w:sz w:val="22"/>
          <w:szCs w:val="22"/>
        </w:rPr>
        <w:t>el «[…] valor porcentual máximo entre el siguiente rango: entre el 30% y el 50% del plazo establecido por la entidad para la garantía de estabilidad y calidad de la obra […]»</w:t>
      </w:r>
      <w:r>
        <w:rPr>
          <w:rStyle w:val="Refdenotaalpie"/>
          <w:rFonts w:ascii="Arial" w:eastAsia="Arial" w:hAnsi="Arial" w:cs="Arial"/>
          <w:sz w:val="22"/>
          <w:szCs w:val="22"/>
        </w:rPr>
        <w:footnoteReference w:id="1"/>
      </w:r>
      <w:r>
        <w:rPr>
          <w:rFonts w:ascii="Arial" w:eastAsia="Arial" w:hAnsi="Arial" w:cs="Arial"/>
          <w:sz w:val="22"/>
          <w:szCs w:val="22"/>
        </w:rPr>
        <w:t xml:space="preserve">, valor porcentual que fija libremente la autoridad contratante dentro del referido rango; y ii) que, </w:t>
      </w:r>
      <w:r>
        <w:rPr>
          <w:rFonts w:ascii="Arial" w:eastAsia="Arial" w:hAnsi="Arial" w:cs="Arial"/>
          <w:sz w:val="22"/>
          <w:szCs w:val="22"/>
          <w:lang w:val="es-CO"/>
        </w:rPr>
        <w:t xml:space="preserve">en relación con </w:t>
      </w:r>
      <w:r>
        <w:rPr>
          <w:rFonts w:ascii="Arial" w:eastAsia="Arial" w:hAnsi="Arial" w:cs="Arial"/>
          <w:sz w:val="22"/>
          <w:szCs w:val="22"/>
        </w:rPr>
        <w:t>las «cuadrillas de trabajo» adicionales</w:t>
      </w:r>
      <w:r>
        <w:rPr>
          <w:rFonts w:ascii="Arial" w:eastAsia="Arial" w:hAnsi="Arial" w:cs="Arial"/>
          <w:sz w:val="22"/>
          <w:szCs w:val="22"/>
          <w:lang w:val="es-CO"/>
        </w:rPr>
        <w:t>, l</w:t>
      </w:r>
      <w:r>
        <w:rPr>
          <w:rFonts w:ascii="Arial" w:eastAsia="Arial" w:hAnsi="Arial" w:cs="Arial"/>
          <w:sz w:val="22"/>
          <w:szCs w:val="22"/>
        </w:rPr>
        <w:t>as entidades deben elegir si establecen un estimado de frentes de trabajo o si no lo establecen, pues, en el primer evento, «</w:t>
      </w:r>
      <w:r>
        <w:rPr>
          <w:rFonts w:ascii="ArialMT" w:hAnsi="ArialMT"/>
          <w:sz w:val="22"/>
          <w:szCs w:val="22"/>
        </w:rPr>
        <w:t>[e]</w:t>
      </w:r>
      <w:r w:rsidRPr="00FA45E7">
        <w:rPr>
          <w:rFonts w:ascii="ArialMT" w:hAnsi="ArialMT"/>
          <w:sz w:val="22"/>
          <w:szCs w:val="22"/>
        </w:rPr>
        <w:t>l proponente podrá ofrecer hasta máximo 2 cuadrillas por cada frente de trabajo</w:t>
      </w:r>
      <w:r>
        <w:rPr>
          <w:rFonts w:ascii="ArialMT" w:hAnsi="ArialMT"/>
          <w:sz w:val="22"/>
          <w:szCs w:val="22"/>
        </w:rPr>
        <w:t>»</w:t>
      </w:r>
      <w:r>
        <w:rPr>
          <w:rStyle w:val="Refdenotaalpie"/>
          <w:rFonts w:ascii="ArialMT" w:hAnsi="ArialMT"/>
          <w:sz w:val="22"/>
          <w:szCs w:val="22"/>
        </w:rPr>
        <w:footnoteReference w:id="2"/>
      </w:r>
      <w:r>
        <w:rPr>
          <w:rFonts w:ascii="ArialMT" w:hAnsi="ArialMT"/>
          <w:sz w:val="22"/>
          <w:szCs w:val="22"/>
        </w:rPr>
        <w:t>, mientras que en el segundo, «[…]</w:t>
      </w:r>
      <w:r w:rsidRPr="00B21E3B">
        <w:rPr>
          <w:rFonts w:ascii="ArialMT" w:hAnsi="ArialMT"/>
          <w:sz w:val="22"/>
          <w:szCs w:val="22"/>
        </w:rPr>
        <w:t xml:space="preserve"> ofrecerá 1 cuadrilla adicional </w:t>
      </w:r>
      <w:r w:rsidRPr="00B21E3B">
        <w:rPr>
          <w:rFonts w:ascii="ArialMT" w:hAnsi="ArialMT"/>
          <w:sz w:val="22"/>
          <w:szCs w:val="22"/>
        </w:rPr>
        <w:lastRenderedPageBreak/>
        <w:t>por cada 50 obreros que sean requeridos para el proyecto de infraestructura de transporte</w:t>
      </w:r>
      <w:r>
        <w:rPr>
          <w:rFonts w:ascii="ArialMT" w:hAnsi="ArialMT"/>
          <w:sz w:val="22"/>
          <w:szCs w:val="22"/>
        </w:rPr>
        <w:t>»</w:t>
      </w:r>
      <w:r>
        <w:rPr>
          <w:rStyle w:val="Refdenotaalpie"/>
          <w:rFonts w:ascii="ArialMT" w:hAnsi="ArialMT"/>
          <w:sz w:val="22"/>
          <w:szCs w:val="22"/>
        </w:rPr>
        <w:footnoteReference w:id="3"/>
      </w:r>
      <w:r>
        <w:rPr>
          <w:rFonts w:ascii="ArialMT" w:hAnsi="ArialMT"/>
          <w:sz w:val="22"/>
          <w:szCs w:val="22"/>
        </w:rPr>
        <w:t>.</w:t>
      </w:r>
    </w:p>
    <w:p w14:paraId="004EAC78" w14:textId="77777777" w:rsidR="00CC79BC" w:rsidRDefault="00CC79BC" w:rsidP="00CC79BC">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 xml:space="preserve">No obstante lo anterior, teniendo en cuenta que la resolución antes comentada entró en vigencia el 21 de julio de 2020, y que la consulta de la referencia fue radicada el 9 de julio pasado, aquella no se tendrá en cuenta como parámetro para resolver las preguntas </w:t>
      </w:r>
      <w:r>
        <w:rPr>
          <w:rFonts w:ascii="Arial" w:eastAsia="Arial" w:hAnsi="Arial" w:cs="Arial"/>
          <w:i/>
          <w:sz w:val="22"/>
          <w:szCs w:val="22"/>
        </w:rPr>
        <w:t>sub examine</w:t>
      </w:r>
      <w:r>
        <w:rPr>
          <w:rFonts w:ascii="Arial" w:eastAsia="Arial" w:hAnsi="Arial" w:cs="Arial"/>
          <w:sz w:val="22"/>
          <w:szCs w:val="22"/>
        </w:rPr>
        <w:t>.</w:t>
      </w:r>
    </w:p>
    <w:p w14:paraId="711A14E1" w14:textId="3D61594B" w:rsidR="00E335D4" w:rsidRDefault="00CC79BC" w:rsidP="00CC79BC">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Teniendo en cuenta lo anterior, se tiene que, en relación con el «factor de calidad»,</w:t>
      </w:r>
      <w:r w:rsidR="00E335D4">
        <w:rPr>
          <w:rFonts w:ascii="Arial" w:eastAsia="Arial" w:hAnsi="Arial" w:cs="Arial"/>
          <w:sz w:val="22"/>
          <w:szCs w:val="22"/>
        </w:rPr>
        <w:t xml:space="preserve">, la versión 2 de los </w:t>
      </w:r>
      <w:r w:rsidR="002B1A91">
        <w:rPr>
          <w:rFonts w:ascii="Arial" w:eastAsia="Arial" w:hAnsi="Arial" w:cs="Arial"/>
          <w:sz w:val="22"/>
          <w:szCs w:val="22"/>
        </w:rPr>
        <w:t xml:space="preserve">documentos tipo </w:t>
      </w:r>
      <w:r w:rsidR="00E335D4">
        <w:rPr>
          <w:rFonts w:ascii="Arial" w:eastAsia="Arial" w:hAnsi="Arial" w:cs="Arial"/>
          <w:sz w:val="22"/>
          <w:szCs w:val="22"/>
        </w:rPr>
        <w:t xml:space="preserve">para procesos de licitación de obra pública de infraestructura de transporte </w:t>
      </w:r>
      <w:r w:rsidR="002B1A91">
        <w:rPr>
          <w:rFonts w:ascii="Arial" w:eastAsia="Arial" w:hAnsi="Arial" w:cs="Arial"/>
          <w:sz w:val="22"/>
          <w:szCs w:val="22"/>
        </w:rPr>
        <w:t>–</w:t>
      </w:r>
      <w:r w:rsidR="00E335D4">
        <w:rPr>
          <w:rFonts w:ascii="Arial" w:eastAsia="Arial" w:hAnsi="Arial" w:cs="Arial"/>
          <w:sz w:val="22"/>
          <w:szCs w:val="22"/>
        </w:rPr>
        <w:t>Resolución No 045 de 2020</w:t>
      </w:r>
      <w:r w:rsidR="002B1A91">
        <w:rPr>
          <w:rFonts w:ascii="Arial" w:eastAsia="Arial" w:hAnsi="Arial" w:cs="Arial"/>
          <w:sz w:val="22"/>
          <w:szCs w:val="22"/>
        </w:rPr>
        <w:t>–</w:t>
      </w:r>
      <w:r w:rsidR="00E335D4">
        <w:rPr>
          <w:rFonts w:ascii="Arial" w:eastAsia="Arial" w:hAnsi="Arial" w:cs="Arial"/>
          <w:sz w:val="22"/>
          <w:szCs w:val="22"/>
        </w:rPr>
        <w:t>, conserva los tres factores existentes en la versión 1</w:t>
      </w:r>
      <w:r w:rsidR="002B1A91">
        <w:rPr>
          <w:rFonts w:ascii="Arial" w:eastAsia="Arial" w:hAnsi="Arial" w:cs="Arial"/>
          <w:sz w:val="22"/>
          <w:szCs w:val="22"/>
        </w:rPr>
        <w:t xml:space="preserve"> –</w:t>
      </w:r>
      <w:r w:rsidR="00E335D4">
        <w:rPr>
          <w:rFonts w:ascii="Arial" w:eastAsia="Arial" w:hAnsi="Arial" w:cs="Arial"/>
          <w:sz w:val="22"/>
          <w:szCs w:val="22"/>
        </w:rPr>
        <w:t>Resolución No. 1798 de 2019–, e incluyen como nuevas opciones que podrá elegir la entidad: i) la presentación de una garantía adicional o suplementaria, ii) el ofrecimiento de cuadrillas de trabajo adicional a costo y riesgo del contratista y iii) el mantenimiento rutinario adicional por cuenta del contratista. Estos factores además se encuentran incluidos dentro del Documento Tipo para procesos de selección abreviada de menor cuantía –Resolución No. 044 de 2020–.</w:t>
      </w:r>
    </w:p>
    <w:p w14:paraId="109FE551" w14:textId="7E780CFD" w:rsidR="00E335D4" w:rsidRDefault="00E335D4" w:rsidP="00E335D4">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Frente a los nuevos factores es importante resaltar que los </w:t>
      </w:r>
      <w:r w:rsidR="000E61D9">
        <w:rPr>
          <w:rFonts w:ascii="Arial" w:eastAsia="Arial" w:hAnsi="Arial" w:cs="Arial"/>
          <w:sz w:val="22"/>
          <w:szCs w:val="22"/>
        </w:rPr>
        <w:t>d</w:t>
      </w:r>
      <w:r>
        <w:rPr>
          <w:rFonts w:ascii="Arial" w:eastAsia="Arial" w:hAnsi="Arial" w:cs="Arial"/>
          <w:sz w:val="22"/>
          <w:szCs w:val="22"/>
        </w:rPr>
        <w:t xml:space="preserve">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w:t>
      </w:r>
      <w:r w:rsidR="000E61D9">
        <w:rPr>
          <w:rFonts w:ascii="Arial" w:eastAsia="Arial" w:hAnsi="Arial" w:cs="Arial"/>
          <w:sz w:val="22"/>
          <w:szCs w:val="22"/>
        </w:rPr>
        <w:t>d</w:t>
      </w:r>
      <w:r>
        <w:rPr>
          <w:rFonts w:ascii="Arial" w:eastAsia="Arial" w:hAnsi="Arial" w:cs="Arial"/>
          <w:sz w:val="22"/>
          <w:szCs w:val="22"/>
        </w:rPr>
        <w:t>ocumentos.</w:t>
      </w:r>
    </w:p>
    <w:p w14:paraId="612D055A" w14:textId="38DEA149" w:rsidR="00E335D4" w:rsidRDefault="00E335D4" w:rsidP="00E335D4">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Adicionalmente, esta versión de los </w:t>
      </w:r>
      <w:r w:rsidR="000E61D9">
        <w:rPr>
          <w:rFonts w:ascii="Arial" w:eastAsia="Arial" w:hAnsi="Arial" w:cs="Arial"/>
          <w:sz w:val="22"/>
          <w:szCs w:val="22"/>
        </w:rPr>
        <w:t xml:space="preserve">documentos tipo </w:t>
      </w:r>
      <w:r>
        <w:rPr>
          <w:rFonts w:ascii="Arial" w:eastAsia="Arial" w:hAnsi="Arial" w:cs="Arial"/>
          <w:sz w:val="22"/>
          <w:szCs w:val="22"/>
        </w:rPr>
        <w:t>conserva el puntaje establecido para el factor de calidad en la Versión 1, de modo que no se alteró el total de los 19 puntos que puede otorgar la entidad por este criterio de evaluación</w:t>
      </w:r>
      <w:r>
        <w:rPr>
          <w:rFonts w:ascii="Arial" w:eastAsia="Arial" w:hAnsi="Arial" w:cs="Arial"/>
        </w:rPr>
        <w:t xml:space="preserve">. </w:t>
      </w:r>
      <w:r>
        <w:rPr>
          <w:rFonts w:ascii="Arial" w:eastAsia="Arial" w:hAnsi="Arial" w:cs="Arial"/>
          <w:sz w:val="22"/>
          <w:szCs w:val="22"/>
        </w:rPr>
        <w:t xml:space="preserve">Estos 19 puntos corresponderán al total de los puntos que podrán asignarse como puntaje al rubro de factor de calidad, en casos de que se opte por varios factores de calidad estos 19 puntos deberán ser repartidos entre los mismos, de tal manera que la sumatoria del puntaje de los factores de calidad escogidos por la entidad no sobre pase los 19 puntos.  </w:t>
      </w:r>
    </w:p>
    <w:p w14:paraId="17333EFD" w14:textId="77777777" w:rsidR="00E335D4" w:rsidRDefault="00E335D4" w:rsidP="00E335D4">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El </w:t>
      </w:r>
      <w:r>
        <w:rPr>
          <w:rFonts w:ascii="Arial" w:eastAsia="Arial" w:hAnsi="Arial" w:cs="Arial"/>
          <w:sz w:val="20"/>
          <w:szCs w:val="20"/>
        </w:rPr>
        <w:t>«</w:t>
      </w:r>
      <w:r>
        <w:rPr>
          <w:rFonts w:ascii="Arial" w:eastAsia="Arial" w:hAnsi="Arial" w:cs="Arial"/>
          <w:sz w:val="22"/>
          <w:szCs w:val="22"/>
        </w:rPr>
        <w:t xml:space="preserve">Factor de Calidad ― Cuadrilla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tiene que ser de 5 obreros. Asimismo, este ofrecimiento será a costo y riesgo del </w:t>
      </w:r>
      <w:r>
        <w:rPr>
          <w:rFonts w:ascii="Arial" w:eastAsia="Arial" w:hAnsi="Arial" w:cs="Arial"/>
          <w:sz w:val="22"/>
          <w:szCs w:val="22"/>
        </w:rPr>
        <w:lastRenderedPageBreak/>
        <w:t>contratista durante la ejecución del contrato y no podrá ser objeto de cobro adicional alguno a la entidad.</w:t>
      </w:r>
    </w:p>
    <w:p w14:paraId="24043BF7" w14:textId="0CAA322B" w:rsidR="00E335D4" w:rsidRDefault="000E61D9" w:rsidP="00E335D4">
      <w:pPr>
        <w:spacing w:before="120" w:line="276" w:lineRule="auto"/>
        <w:ind w:firstLine="709"/>
        <w:jc w:val="both"/>
        <w:rPr>
          <w:rFonts w:ascii="Arial" w:eastAsia="Arial" w:hAnsi="Arial" w:cs="Arial"/>
          <w:sz w:val="22"/>
          <w:szCs w:val="22"/>
        </w:rPr>
      </w:pPr>
      <w:r>
        <w:rPr>
          <w:rFonts w:ascii="Arial" w:eastAsia="Arial" w:hAnsi="Arial" w:cs="Arial"/>
          <w:sz w:val="22"/>
          <w:szCs w:val="22"/>
        </w:rPr>
        <w:t>Es importante precisar</w:t>
      </w:r>
      <w:r w:rsidR="00E335D4">
        <w:rPr>
          <w:rFonts w:ascii="Arial" w:eastAsia="Arial" w:hAnsi="Arial" w:cs="Arial"/>
          <w:sz w:val="22"/>
          <w:szCs w:val="22"/>
        </w:rPr>
        <w:t xml:space="preserve"> que las cuadrillas deben ser ofrecidas por el proponente, así como también valoradas por la entidad a la hora de calificar la propuesta, en números enteros</w:t>
      </w:r>
      <w:r>
        <w:rPr>
          <w:rFonts w:ascii="Arial" w:eastAsia="Arial" w:hAnsi="Arial" w:cs="Arial"/>
          <w:sz w:val="22"/>
          <w:szCs w:val="22"/>
        </w:rPr>
        <w:t xml:space="preserve">, </w:t>
      </w:r>
      <w:r w:rsidR="00E335D4">
        <w:rPr>
          <w:rFonts w:ascii="Arial" w:eastAsia="Arial" w:hAnsi="Arial" w:cs="Arial"/>
          <w:sz w:val="22"/>
          <w:szCs w:val="22"/>
        </w:rPr>
        <w:t>no en decimales. Esto quiere decir que el proponente puede ofrecer, por ejemplo, una cuadrilla</w:t>
      </w:r>
      <w:r>
        <w:rPr>
          <w:rFonts w:ascii="Arial" w:eastAsia="Arial" w:hAnsi="Arial" w:cs="Arial"/>
          <w:sz w:val="22"/>
          <w:szCs w:val="22"/>
        </w:rPr>
        <w:t>,</w:t>
      </w:r>
      <w:r w:rsidR="00E335D4">
        <w:rPr>
          <w:rFonts w:ascii="Arial" w:eastAsia="Arial" w:hAnsi="Arial" w:cs="Arial"/>
          <w:sz w:val="22"/>
          <w:szCs w:val="22"/>
        </w:rPr>
        <w:t xml:space="preserve"> no una </w:t>
      </w:r>
      <w:r>
        <w:rPr>
          <w:rFonts w:ascii="Arial" w:eastAsia="Arial" w:hAnsi="Arial" w:cs="Arial"/>
          <w:sz w:val="22"/>
          <w:szCs w:val="22"/>
        </w:rPr>
        <w:t>cuadrilla y media</w:t>
      </w:r>
      <w:r w:rsidR="00E335D4">
        <w:rPr>
          <w:rFonts w:ascii="Arial" w:eastAsia="Arial" w:hAnsi="Arial" w:cs="Arial"/>
          <w:sz w:val="22"/>
          <w:szCs w:val="22"/>
        </w:rPr>
        <w:t xml:space="preserve">. De esta forma, si un proponente tiene la capacidad de contar con nueve obreros adicionales, lo cierto es que este proponente únicamente podrá ofrecer a la entidad una cuadrilla adicional, pues los otros cuatro obreros no constituyen una cuadrilla en los términos del </w:t>
      </w:r>
      <w:r>
        <w:rPr>
          <w:rFonts w:ascii="Arial" w:eastAsia="Arial" w:hAnsi="Arial" w:cs="Arial"/>
          <w:sz w:val="22"/>
          <w:szCs w:val="22"/>
        </w:rPr>
        <w:t>documento base</w:t>
      </w:r>
      <w:r w:rsidR="00E335D4">
        <w:rPr>
          <w:rFonts w:ascii="Arial" w:eastAsia="Arial" w:hAnsi="Arial" w:cs="Arial"/>
          <w:sz w:val="22"/>
          <w:szCs w:val="22"/>
        </w:rPr>
        <w:t xml:space="preserve">, por lo que no es posible tenerlos como una fracción de cuadrilla. </w:t>
      </w:r>
    </w:p>
    <w:p w14:paraId="517D3438" w14:textId="78534175" w:rsidR="00E335D4" w:rsidRDefault="00E335D4" w:rsidP="00E335D4">
      <w:pPr>
        <w:spacing w:before="120" w:line="276" w:lineRule="auto"/>
        <w:ind w:firstLine="708"/>
        <w:jc w:val="both"/>
        <w:rPr>
          <w:rFonts w:ascii="Arial" w:eastAsia="Arial" w:hAnsi="Arial" w:cs="Arial"/>
          <w:sz w:val="22"/>
          <w:szCs w:val="22"/>
        </w:rPr>
      </w:pPr>
      <w:r>
        <w:rPr>
          <w:rFonts w:ascii="Arial" w:eastAsia="Arial" w:hAnsi="Arial" w:cs="Arial"/>
          <w:sz w:val="22"/>
          <w:szCs w:val="22"/>
        </w:rPr>
        <w:t xml:space="preserve">Esta consideración encuentra fundamento en tres argumentos: </w:t>
      </w:r>
      <w:r>
        <w:rPr>
          <w:rFonts w:ascii="Arial" w:eastAsia="Arial" w:hAnsi="Arial" w:cs="Arial"/>
          <w:i/>
          <w:sz w:val="22"/>
          <w:szCs w:val="22"/>
        </w:rPr>
        <w:t xml:space="preserve">primero, </w:t>
      </w:r>
      <w:r>
        <w:rPr>
          <w:rFonts w:ascii="Arial" w:eastAsia="Arial" w:hAnsi="Arial" w:cs="Arial"/>
          <w:sz w:val="22"/>
          <w:szCs w:val="22"/>
        </w:rPr>
        <w:t xml:space="preserve">en el </w:t>
      </w:r>
      <w:r w:rsidR="000E61D9">
        <w:rPr>
          <w:rFonts w:ascii="Arial" w:eastAsia="Arial" w:hAnsi="Arial" w:cs="Arial"/>
          <w:sz w:val="22"/>
          <w:szCs w:val="22"/>
        </w:rPr>
        <w:t xml:space="preserve">documento base </w:t>
      </w:r>
      <w:r>
        <w:rPr>
          <w:rFonts w:ascii="Arial" w:eastAsia="Arial" w:hAnsi="Arial" w:cs="Arial"/>
          <w:sz w:val="22"/>
          <w:szCs w:val="22"/>
        </w:rPr>
        <w:t>«Por cuadrilla de trabajo adicional se entiende la configurada por el personal obrero adicional para un frente o unidad de trabajo que requiera el proyecto de infraestructura de trabajo, la cual deberá ser de 5 obreros», esto es, como grupo de personas</w:t>
      </w:r>
      <w:r w:rsidR="000E61D9">
        <w:rPr>
          <w:rFonts w:ascii="Arial" w:eastAsia="Arial" w:hAnsi="Arial" w:cs="Arial"/>
          <w:sz w:val="22"/>
          <w:szCs w:val="22"/>
        </w:rPr>
        <w:t xml:space="preserve">, </w:t>
      </w:r>
      <w:r>
        <w:rPr>
          <w:rFonts w:ascii="Arial" w:eastAsia="Arial" w:hAnsi="Arial" w:cs="Arial"/>
          <w:sz w:val="22"/>
          <w:szCs w:val="22"/>
        </w:rPr>
        <w:t xml:space="preserve">no como personas individualmente consideradas; </w:t>
      </w:r>
      <w:r>
        <w:rPr>
          <w:rFonts w:ascii="Arial" w:eastAsia="Arial" w:hAnsi="Arial" w:cs="Arial"/>
          <w:i/>
          <w:sz w:val="22"/>
          <w:szCs w:val="22"/>
        </w:rPr>
        <w:t>segundo</w:t>
      </w:r>
      <w:r>
        <w:rPr>
          <w:rFonts w:ascii="Arial" w:eastAsia="Arial" w:hAnsi="Arial" w:cs="Arial"/>
          <w:sz w:val="22"/>
          <w:szCs w:val="22"/>
        </w:rPr>
        <w:t xml:space="preserve">, en los criterios de aplicación de la fórmula que sirve para la asignación de puntaje a las propuestas (numeral 4.2.5., III), se hace referencia a «número de cuadrillas», expresión que esta entidad entiende como referida a números enteros por ser la forma común de referirse a estos; y </w:t>
      </w:r>
      <w:r>
        <w:rPr>
          <w:rFonts w:ascii="Arial" w:eastAsia="Arial" w:hAnsi="Arial" w:cs="Arial"/>
          <w:i/>
          <w:sz w:val="22"/>
          <w:szCs w:val="22"/>
        </w:rPr>
        <w:t>tercero</w:t>
      </w:r>
      <w:r>
        <w:rPr>
          <w:rFonts w:ascii="Arial" w:eastAsia="Arial" w:hAnsi="Arial" w:cs="Arial"/>
          <w:sz w:val="22"/>
          <w:szCs w:val="22"/>
        </w:rPr>
        <w:t xml:space="preserve">, porque si la intención era permitir que las cuadrillas de trabajo fuera contabilizadas en números decimales, así se hubiera reconocido expresamente en el </w:t>
      </w:r>
      <w:r w:rsidR="000E61D9">
        <w:rPr>
          <w:rFonts w:ascii="Arial" w:eastAsia="Arial" w:hAnsi="Arial" w:cs="Arial"/>
          <w:sz w:val="22"/>
          <w:szCs w:val="22"/>
        </w:rPr>
        <w:t>documento base</w:t>
      </w:r>
      <w:r>
        <w:rPr>
          <w:rFonts w:ascii="Arial" w:eastAsia="Arial" w:hAnsi="Arial" w:cs="Arial"/>
          <w:sz w:val="22"/>
          <w:szCs w:val="22"/>
        </w:rPr>
        <w:t>.</w:t>
      </w:r>
    </w:p>
    <w:p w14:paraId="4B4918BE" w14:textId="2D031B4B" w:rsidR="00E335D4" w:rsidRDefault="00E335D4" w:rsidP="00E335D4">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De igual manera, es importante señalar que la entidad definirá en el </w:t>
      </w:r>
      <w:r w:rsidR="000E61D9">
        <w:rPr>
          <w:rFonts w:ascii="Arial" w:eastAsia="Arial" w:hAnsi="Arial" w:cs="Arial"/>
          <w:sz w:val="22"/>
          <w:szCs w:val="22"/>
        </w:rPr>
        <w:t>pliego tipo</w:t>
      </w:r>
      <w:r>
        <w:rPr>
          <w:rFonts w:ascii="Arial" w:eastAsia="Arial" w:hAnsi="Arial" w:cs="Arial"/>
          <w:sz w:val="22"/>
          <w:szCs w:val="22"/>
        </w:rPr>
        <w:t xml:space="preserve"> las actividades y el tiempo que se necesitará para las cuadrillas de trabajo 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Este factor de calidad trae beneficios para el adecuado cumplimiento del contrato, incidiendo en la reducción del tiempo de ejecución y previniendo atrasos, de manera que favorece la calidad de la ejecución, en tanto incide, entre otras cosas, en una disminución de los plazos y en la atención oportuna de las contingencias que surjan durante la ejecución del contrato.</w:t>
      </w:r>
    </w:p>
    <w:p w14:paraId="4E47070A" w14:textId="6B3AD466" w:rsidR="00E335D4" w:rsidRDefault="00E335D4" w:rsidP="00E335D4">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Por su parte, el «Factor de Calidad </w:t>
      </w:r>
      <w:r w:rsidR="000E61D9">
        <w:rPr>
          <w:rFonts w:ascii="Arial" w:eastAsia="Arial" w:hAnsi="Arial" w:cs="Arial"/>
          <w:sz w:val="22"/>
          <w:szCs w:val="22"/>
        </w:rPr>
        <w:t>–</w:t>
      </w:r>
      <w:r>
        <w:rPr>
          <w:rFonts w:ascii="Arial" w:eastAsia="Arial" w:hAnsi="Arial" w:cs="Arial"/>
          <w:sz w:val="22"/>
          <w:szCs w:val="22"/>
        </w:rPr>
        <w:t xml:space="preserve">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w:t>
      </w:r>
    </w:p>
    <w:p w14:paraId="15E5F88E" w14:textId="77777777" w:rsidR="00E335D4" w:rsidRDefault="00E335D4" w:rsidP="00E335D4">
      <w:pPr>
        <w:spacing w:before="120" w:line="276" w:lineRule="auto"/>
        <w:ind w:firstLine="709"/>
        <w:jc w:val="both"/>
        <w:rPr>
          <w:rFonts w:ascii="Arial" w:eastAsia="Arial" w:hAnsi="Arial" w:cs="Arial"/>
          <w:sz w:val="22"/>
          <w:szCs w:val="22"/>
        </w:rPr>
      </w:pPr>
      <w:r>
        <w:rPr>
          <w:rFonts w:ascii="Arial" w:eastAsia="Arial" w:hAnsi="Arial" w:cs="Arial"/>
          <w:sz w:val="22"/>
          <w:szCs w:val="22"/>
        </w:rPr>
        <w:lastRenderedPageBreak/>
        <w:t xml:space="preserve">Asimismo, es necesario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14:paraId="327D24F8" w14:textId="77777777" w:rsidR="00E335D4" w:rsidRDefault="00E335D4" w:rsidP="00E335D4">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Conforme a lo anterior, el puntaje otorgado por estos dos factores de calidad depende del ofrecimiento que realice cada proponente en sus ofertas, de acuerdo con sus capacidades y competitividad. En este sentido, el mayor puntaje lo recibirá aquel oferente que ofrezca mayor número de cuadrillas de trabajo adicional y el que se comprometa a realizar durante un plazo mayor labores de mantenimiento rutinario después de la terminación de las obras objeto del proceso de contratación. </w:t>
      </w:r>
    </w:p>
    <w:p w14:paraId="06001F94" w14:textId="77777777" w:rsidR="00E335D4" w:rsidRDefault="00E335D4" w:rsidP="00E335D4">
      <w:pPr>
        <w:spacing w:before="120" w:line="276" w:lineRule="auto"/>
        <w:jc w:val="both"/>
        <w:rPr>
          <w:rFonts w:ascii="Arial" w:eastAsia="Arial" w:hAnsi="Arial" w:cs="Arial"/>
          <w:sz w:val="22"/>
          <w:szCs w:val="22"/>
        </w:rPr>
      </w:pPr>
      <w:r>
        <w:rPr>
          <w:rFonts w:ascii="Arial" w:eastAsia="Arial" w:hAnsi="Arial" w:cs="Arial"/>
          <w:sz w:val="22"/>
          <w:szCs w:val="22"/>
        </w:rPr>
        <w:tab/>
        <w:t xml:space="preserve">En otras palabras, la entidad no puede fijar discrecionalmente un número de meses que den lugar a otorgar el puntaje por mantenimiento adicional o definir cuántas cuadrillas de trabajo adicional se necesitan, o los perfiles de los integrantes de la cuadrilla, sino que depende del proponente ofertar el tiempo de mantenimiento adicional y el número de cuadrillas de trabajo adicional que está en capacidad de ofrecer, lo cual reduce el riesgo de direccionamiento, fomenta la competencia e incrementa las condiciones de calidad para la entidad. </w:t>
      </w:r>
    </w:p>
    <w:p w14:paraId="4DC8304E" w14:textId="77777777" w:rsidR="00E335D4" w:rsidRDefault="00E335D4" w:rsidP="00E335D4">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Es del caso mencionar que para otorgar el puntaje basta con diligenciar los formatos «7E – Cuadrillas de trabajo adicional» y el «7F – Mantenimiento adicional», dependiendo de los criterios de evaluación seleccionados por la entidad. En efecto, al diligenciarlos el proponente debe indicar bajo la gravedad de juramento cuál es el compromiso que asume, ya sea el número de cuadrillas de trabajo adicional o el tiempo durante el cual realizará el mantenimiento rutinario.</w:t>
      </w:r>
    </w:p>
    <w:p w14:paraId="0528F591" w14:textId="77777777" w:rsidR="007A7006" w:rsidRDefault="00E335D4" w:rsidP="007A7006">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 xml:space="preserve"> </w:t>
      </w:r>
      <w:r w:rsidR="007A7006">
        <w:rPr>
          <w:rFonts w:ascii="Arial" w:eastAsia="Arial" w:hAnsi="Arial" w:cs="Arial"/>
          <w:sz w:val="22"/>
          <w:szCs w:val="22"/>
        </w:rPr>
        <w:t>El Documento Tipo, para el momento en el que se formuló la presente consulta, no limitaba al oferente frente al número de cuadrillas de trabajo adicional que se comprometía a otorgar al proyecto, ni tampoco respecto al número de meses de mantenimiento rutinario adicional</w:t>
      </w:r>
      <w:r w:rsidR="007A7006">
        <w:rPr>
          <w:rStyle w:val="Refdenotaalpie"/>
          <w:rFonts w:ascii="Arial" w:eastAsia="Arial" w:hAnsi="Arial" w:cs="Arial"/>
          <w:sz w:val="22"/>
          <w:szCs w:val="22"/>
        </w:rPr>
        <w:footnoteReference w:id="4"/>
      </w:r>
      <w:r w:rsidR="007A7006">
        <w:rPr>
          <w:rFonts w:ascii="Arial" w:eastAsia="Arial" w:hAnsi="Arial" w:cs="Arial"/>
          <w:sz w:val="22"/>
          <w:szCs w:val="22"/>
        </w:rPr>
        <w:t xml:space="preserve">. Estos ofrecimientos dependían únicamente de las capacidades propias de cada oferente; ya que se realizaban dependiendo de su infraestructura y capacidad financiera y la labor de análisis de las condiciones bajo las cuales presentaría su propuesta, además que cumplir estos ofrecimientos constituía una obligación contractual –lo sigue haciendo–, con todas las consecuencias que ello apareja, de manera que los proponentes ofertaban lo que podían cumplir. </w:t>
      </w:r>
    </w:p>
    <w:p w14:paraId="0F616557" w14:textId="77777777" w:rsidR="007A7006" w:rsidRDefault="007A7006" w:rsidP="007A7006">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 xml:space="preserve">En ese sentido, antes de la expedición de la Resolución 116 del 21 de julio de 2020, las entidades estatales que aplican la versión 2 del Documento Tipo para procesos de licitación pública o selección abreviada de menor cuantía, no se encontraban facultadas </w:t>
      </w:r>
      <w:r>
        <w:rPr>
          <w:rFonts w:ascii="Arial" w:eastAsia="Arial" w:hAnsi="Arial" w:cs="Arial"/>
          <w:sz w:val="22"/>
          <w:szCs w:val="22"/>
        </w:rPr>
        <w:lastRenderedPageBreak/>
        <w:t>para fijar topes o un número máximo de cuadrillas que den lugar al otorgamiento del puntaje, ya que, como se sostenía antes de la vigencia de la referida resolución, esto dependía únicamente de los proponentes. Dicha postura se justificaba, además, en que las entidades no tienen la facultad de modificar los formatos «7E – Cuadrillas de trabajo adicional» y «7F – Mantenimiento adicional», en la medida que estos son Documentos Tipo afectados por el principio de inalterabilidad, por lo que solo pueden modificar los apartados entre corchetes y resaltados en gris</w:t>
      </w:r>
      <w:r>
        <w:rPr>
          <w:rFonts w:ascii="Arial" w:eastAsia="Arial" w:hAnsi="Arial" w:cs="Arial"/>
          <w:sz w:val="22"/>
          <w:szCs w:val="22"/>
          <w:vertAlign w:val="superscript"/>
        </w:rPr>
        <w:footnoteReference w:id="5"/>
      </w:r>
      <w:r>
        <w:rPr>
          <w:rFonts w:ascii="Arial" w:eastAsia="Arial" w:hAnsi="Arial" w:cs="Arial"/>
          <w:sz w:val="22"/>
          <w:szCs w:val="22"/>
        </w:rPr>
        <w:t>.</w:t>
      </w:r>
    </w:p>
    <w:p w14:paraId="26796DC9" w14:textId="77777777" w:rsidR="007A7006" w:rsidRDefault="007A7006" w:rsidP="007A7006">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En consecuencia, antes de la publicación de la Resolución 116 del 21 de julio de 2020, el oferente tenía la libertad y autonomía de ofrecer el número de cuadrillas de trabajo y meses de mantenimiento rutinario adicional. Es decir, el Documento Tipo, antes de esa fecha, no limitaba los ofrecimientos realizados por los oferentes, y tampoco la entidad estatal estaba habilitada para establecer dichos topes.  No obstante, en el evento que resultaba adjudicatario del proceso de contratación, los compromisos que se hicieran con ocasión de estos ofrecimientos se conviertían en obligaciones contractuales de obligatorio cumplimiento, so pena de activarse las consecuencias asociadas al incumplimiento, incluyendo el uso de facultades sancionatorias de las entidades estatales.</w:t>
      </w:r>
    </w:p>
    <w:p w14:paraId="493649B9" w14:textId="23D38884" w:rsidR="00E335D4" w:rsidRDefault="00E335D4" w:rsidP="007A7006">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t>En tal sentido, la Ley 1150 de 2007, en el artículo 17, establece que en virtud del derecho al debido proceso y del deber de control y vigilancia sobre los contratos que corresponde a las entidades sometidas al Estatuto General de Contratación de la Administración Pública, estas tienen la facultad de imponer multas que hayan sido pactadas con el objeto de conminar al contratista a cumplir con sus obligaciones</w:t>
      </w:r>
      <w:r>
        <w:rPr>
          <w:rFonts w:ascii="Arial" w:eastAsia="Arial" w:hAnsi="Arial" w:cs="Arial"/>
          <w:sz w:val="22"/>
          <w:szCs w:val="22"/>
          <w:vertAlign w:val="superscript"/>
        </w:rPr>
        <w:footnoteReference w:id="6"/>
      </w:r>
      <w:r>
        <w:rPr>
          <w:rFonts w:ascii="Arial" w:eastAsia="Arial" w:hAnsi="Arial" w:cs="Arial"/>
          <w:sz w:val="22"/>
          <w:szCs w:val="22"/>
        </w:rPr>
        <w:t xml:space="preserve">. Con fundamento en lo anterior, el «Anexo 5 – Minuta del Contrato», en la «Cláusula 15. Multas», numeral 1, </w:t>
      </w:r>
      <w:r>
        <w:rPr>
          <w:rFonts w:ascii="Arial" w:eastAsia="Arial" w:hAnsi="Arial" w:cs="Arial"/>
          <w:sz w:val="22"/>
          <w:szCs w:val="22"/>
        </w:rPr>
        <w:lastRenderedPageBreak/>
        <w:t>prevé, como uno de los contenidos de las cláusulas que las entidades pueden incorporar en sus contratos, que se impondrá una multa por incumplir el ofrecimiento otorgado en cuanto al factor de calidad. Así se indicó en los siguientes términos:</w:t>
      </w:r>
    </w:p>
    <w:p w14:paraId="42B71E57" w14:textId="77777777" w:rsidR="00E335D4" w:rsidRDefault="00E335D4" w:rsidP="00F34478">
      <w:pPr>
        <w:tabs>
          <w:tab w:val="left" w:pos="426"/>
          <w:tab w:val="left" w:pos="7938"/>
        </w:tabs>
        <w:spacing w:line="276" w:lineRule="auto"/>
        <w:jc w:val="both"/>
        <w:rPr>
          <w:rFonts w:ascii="Arial" w:eastAsia="Arial" w:hAnsi="Arial" w:cs="Arial"/>
          <w:sz w:val="22"/>
          <w:szCs w:val="22"/>
        </w:rPr>
      </w:pPr>
    </w:p>
    <w:p w14:paraId="0613CB2C" w14:textId="77777777" w:rsidR="00E335D4" w:rsidRDefault="00E335D4" w:rsidP="00E335D4">
      <w:pPr>
        <w:tabs>
          <w:tab w:val="left" w:pos="426"/>
        </w:tabs>
        <w:ind w:left="680" w:right="680"/>
        <w:jc w:val="both"/>
        <w:rPr>
          <w:rFonts w:ascii="Arial" w:eastAsia="Arial" w:hAnsi="Arial" w:cs="Arial"/>
          <w:b/>
          <w:sz w:val="21"/>
          <w:szCs w:val="21"/>
        </w:rPr>
      </w:pPr>
      <w:r>
        <w:rPr>
          <w:rFonts w:ascii="Arial" w:eastAsia="Arial" w:hAnsi="Arial" w:cs="Arial"/>
          <w:b/>
          <w:sz w:val="22"/>
          <w:szCs w:val="22"/>
        </w:rPr>
        <w:tab/>
      </w:r>
      <w:r>
        <w:rPr>
          <w:rFonts w:ascii="Arial" w:eastAsia="Arial" w:hAnsi="Arial" w:cs="Arial"/>
          <w:b/>
          <w:sz w:val="21"/>
          <w:szCs w:val="21"/>
        </w:rPr>
        <w:t>CLÁUSULA 15. MULTAS</w:t>
      </w:r>
    </w:p>
    <w:p w14:paraId="4066091D" w14:textId="77777777" w:rsidR="00E335D4" w:rsidRDefault="00E335D4" w:rsidP="00F34478">
      <w:pPr>
        <w:tabs>
          <w:tab w:val="left" w:pos="426"/>
        </w:tabs>
        <w:spacing w:after="120"/>
        <w:ind w:left="680" w:right="680"/>
        <w:jc w:val="both"/>
        <w:rPr>
          <w:rFonts w:ascii="Arial" w:eastAsia="Arial" w:hAnsi="Arial" w:cs="Arial"/>
          <w:sz w:val="21"/>
          <w:szCs w:val="21"/>
        </w:rPr>
      </w:pPr>
      <w:r>
        <w:rPr>
          <w:rFonts w:ascii="Arial" w:eastAsia="Arial" w:hAnsi="Arial" w:cs="Arial"/>
          <w:b/>
          <w:sz w:val="21"/>
          <w:szCs w:val="21"/>
        </w:rPr>
        <w:tab/>
      </w:r>
      <w:r>
        <w:rPr>
          <w:rFonts w:ascii="Arial" w:eastAsia="Arial" w:hAnsi="Arial" w:cs="Arial"/>
          <w:sz w:val="21"/>
          <w:szCs w:val="21"/>
        </w:rPr>
        <w:t>[…]</w:t>
      </w:r>
    </w:p>
    <w:p w14:paraId="257864DE" w14:textId="77777777" w:rsidR="00E335D4" w:rsidRDefault="00E335D4" w:rsidP="00E335D4">
      <w:pPr>
        <w:ind w:left="680" w:right="680"/>
        <w:jc w:val="both"/>
        <w:rPr>
          <w:rFonts w:ascii="Arial" w:eastAsia="Arial" w:hAnsi="Arial" w:cs="Arial"/>
          <w:sz w:val="21"/>
          <w:szCs w:val="21"/>
        </w:rPr>
      </w:pPr>
      <w:r>
        <w:rPr>
          <w:rFonts w:ascii="Arial" w:eastAsia="Arial" w:hAnsi="Arial" w:cs="Arial"/>
          <w:sz w:val="21"/>
          <w:szCs w:val="21"/>
        </w:rPr>
        <w:t>Si durante la ejecución del Contrato se generaran incumplimientos del Contratista, se causarán las siguientes multas:</w:t>
      </w:r>
    </w:p>
    <w:p w14:paraId="16C26F7E" w14:textId="77777777" w:rsidR="00E335D4" w:rsidRDefault="00E335D4" w:rsidP="00F34478">
      <w:pPr>
        <w:spacing w:after="120"/>
        <w:ind w:left="680" w:right="680"/>
        <w:rPr>
          <w:rFonts w:ascii="Arial" w:eastAsia="Arial" w:hAnsi="Arial" w:cs="Arial"/>
          <w:sz w:val="21"/>
          <w:szCs w:val="21"/>
        </w:rPr>
      </w:pPr>
      <w:r>
        <w:rPr>
          <w:rFonts w:ascii="Arial" w:eastAsia="Arial" w:hAnsi="Arial" w:cs="Arial"/>
          <w:sz w:val="21"/>
          <w:szCs w:val="21"/>
        </w:rPr>
        <w:t>[…]</w:t>
      </w:r>
    </w:p>
    <w:p w14:paraId="3C3BFC41" w14:textId="77777777" w:rsidR="00E335D4" w:rsidRDefault="00E335D4" w:rsidP="00E335D4">
      <w:pPr>
        <w:pBdr>
          <w:top w:val="nil"/>
          <w:left w:val="nil"/>
          <w:bottom w:val="nil"/>
          <w:right w:val="nil"/>
          <w:between w:val="nil"/>
        </w:pBdr>
        <w:ind w:left="680" w:right="680"/>
        <w:jc w:val="both"/>
        <w:rPr>
          <w:rFonts w:ascii="Arial" w:eastAsia="Arial" w:hAnsi="Arial" w:cs="Arial"/>
          <w:color w:val="000000"/>
          <w:sz w:val="20"/>
          <w:szCs w:val="20"/>
        </w:rPr>
      </w:pPr>
      <w:r>
        <w:rPr>
          <w:rFonts w:ascii="Arial" w:eastAsia="Arial" w:hAnsi="Arial" w:cs="Arial"/>
          <w:color w:val="000000"/>
          <w:sz w:val="20"/>
          <w:szCs w:val="20"/>
        </w:rPr>
        <w:t xml:space="preserve">7. Por </w:t>
      </w:r>
      <w:r>
        <w:rPr>
          <w:rFonts w:ascii="Arial" w:eastAsia="Arial" w:hAnsi="Arial" w:cs="Arial"/>
          <w:color w:val="000000"/>
          <w:sz w:val="21"/>
          <w:szCs w:val="21"/>
        </w:rPr>
        <w:t>incumplir el ofrecimiento otorgado en cuanto al factor calidad, al Contratista se le impondrá una multa equivalente al [0,5%] del valor del contrato, [por cada día calendario de atraso en el cumplimiento de dicha obligación].</w:t>
      </w:r>
    </w:p>
    <w:p w14:paraId="64492E64" w14:textId="77777777" w:rsidR="00E335D4" w:rsidRDefault="00E335D4" w:rsidP="00E335D4">
      <w:pPr>
        <w:pBdr>
          <w:top w:val="nil"/>
          <w:left w:val="nil"/>
          <w:bottom w:val="nil"/>
          <w:right w:val="nil"/>
          <w:between w:val="nil"/>
        </w:pBdr>
        <w:ind w:left="680" w:right="680"/>
        <w:jc w:val="both"/>
        <w:rPr>
          <w:rFonts w:ascii="Arial" w:eastAsia="Arial" w:hAnsi="Arial" w:cs="Arial"/>
          <w:color w:val="000000"/>
          <w:sz w:val="20"/>
          <w:szCs w:val="20"/>
        </w:rPr>
      </w:pPr>
      <w:r>
        <w:rPr>
          <w:rFonts w:ascii="Arial" w:eastAsia="Arial" w:hAnsi="Arial" w:cs="Arial"/>
          <w:color w:val="000000"/>
          <w:sz w:val="22"/>
          <w:szCs w:val="22"/>
        </w:rPr>
        <w:t xml:space="preserve"> </w:t>
      </w:r>
    </w:p>
    <w:p w14:paraId="668597EE" w14:textId="2F251302" w:rsidR="00E335D4" w:rsidRDefault="00E335D4" w:rsidP="00F34478">
      <w:pPr>
        <w:tabs>
          <w:tab w:val="left" w:pos="709"/>
        </w:tabs>
        <w:spacing w:line="276" w:lineRule="auto"/>
        <w:jc w:val="both"/>
        <w:rPr>
          <w:rFonts w:ascii="Arial" w:eastAsia="Arial" w:hAnsi="Arial" w:cs="Arial"/>
          <w:sz w:val="22"/>
          <w:szCs w:val="22"/>
        </w:rPr>
      </w:pPr>
      <w:r>
        <w:rPr>
          <w:rFonts w:ascii="Arial" w:eastAsia="Arial" w:hAnsi="Arial" w:cs="Arial"/>
          <w:sz w:val="22"/>
          <w:szCs w:val="22"/>
        </w:rPr>
        <w:tab/>
        <w:t xml:space="preserve">En este sentido, en caso de que el oferente resulte adjudicatario del proceso de contratación, y en consecuencia celebre el contrato con la entidad estatal, los ofrecimientos realizados en relación con los factores de calidad mencionados se deben cumplir, so pena que se impongan las sanciones pactadas en el contrato, como, por ejemplo, la multa o la cláusula penal. </w:t>
      </w:r>
    </w:p>
    <w:p w14:paraId="6BDFA175" w14:textId="77777777" w:rsidR="007A7006" w:rsidRDefault="00E335D4" w:rsidP="007A7006">
      <w:pPr>
        <w:tabs>
          <w:tab w:val="left" w:pos="426"/>
        </w:tabs>
        <w:spacing w:before="120" w:line="276" w:lineRule="auto"/>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bookmarkStart w:id="5" w:name="_30j0zll" w:colFirst="0" w:colLast="0"/>
      <w:bookmarkEnd w:id="5"/>
      <w:r w:rsidR="007A7006">
        <w:rPr>
          <w:rFonts w:ascii="Arial" w:eastAsia="Arial" w:hAnsi="Arial" w:cs="Arial"/>
          <w:sz w:val="22"/>
          <w:szCs w:val="22"/>
        </w:rPr>
        <w:t>Conforme a lo anterior, antes de la Resolución 116 del 21 de julio de 2020, el oferente tenía la libertad y autonomía de ofrecer el número de cuadrillas de trabajo adicional, o definir el término por el cual realiza las labores de mantenimiento rutinario de acuerdo con sus capacidades. Es decir, el Documento Tipo, para la referida fecha, no limitaba los ofrecimientos realizados por el oferente, ni facultaba a las entidades para hacerlo. No obstante, en el evento que resultara adjudicatario del proceso de contratación, el compromiso del factor de calidad se convertía en una obligación contractual de obligatorio cumplimiento, so pena de activarse las consecuencias asociadas al incumplimiento, incluyendo el uso de facultades sancionatorias de las entidades estatales.</w:t>
      </w:r>
    </w:p>
    <w:p w14:paraId="7D41F884" w14:textId="77777777" w:rsidR="007A7006" w:rsidRDefault="007A7006" w:rsidP="007A7006">
      <w:pPr>
        <w:tabs>
          <w:tab w:val="left" w:pos="709"/>
        </w:tabs>
        <w:spacing w:before="120" w:after="120" w:line="276" w:lineRule="auto"/>
        <w:jc w:val="both"/>
        <w:rPr>
          <w:rFonts w:ascii="Arial" w:eastAsia="Arial" w:hAnsi="Arial" w:cs="Arial"/>
          <w:sz w:val="22"/>
          <w:szCs w:val="22"/>
        </w:rPr>
      </w:pPr>
      <w:r>
        <w:rPr>
          <w:rFonts w:ascii="Arial" w:eastAsia="Arial" w:hAnsi="Arial" w:cs="Arial"/>
          <w:sz w:val="22"/>
          <w:szCs w:val="22"/>
        </w:rPr>
        <w:tab/>
        <w:t xml:space="preserve">A similares conclusiones podría arribarse en lo que respecta a la «garantía suplementaria o adicional» y al «mantenimiento adicional», en la medida la entidad, antes de la Resolución 116 del 21 de julio de 2020, tenía proscrito entrar a limitar el ofrecimiento adicional que los oferentes hacen de estos ítems, habida consideración de los beneficios que tales ofrecimientos traen para la estabilidad y durabilidad de la obra a contratar y, por ende, para las personas que se beneficiaran de ella. </w:t>
      </w:r>
    </w:p>
    <w:p w14:paraId="3D88C046" w14:textId="78A84EB0" w:rsidR="00E335D4" w:rsidRDefault="00E335D4" w:rsidP="007A7006">
      <w:pPr>
        <w:tabs>
          <w:tab w:val="left" w:pos="426"/>
        </w:tabs>
        <w:spacing w:before="120" w:line="276" w:lineRule="auto"/>
        <w:jc w:val="both"/>
        <w:rPr>
          <w:rFonts w:ascii="Arial" w:eastAsia="Arial" w:hAnsi="Arial" w:cs="Arial"/>
          <w:sz w:val="22"/>
          <w:szCs w:val="22"/>
        </w:rPr>
      </w:pPr>
      <w:r>
        <w:rPr>
          <w:rFonts w:ascii="Arial" w:eastAsia="Arial" w:hAnsi="Arial" w:cs="Arial"/>
          <w:sz w:val="22"/>
          <w:szCs w:val="22"/>
        </w:rPr>
        <w:tab/>
        <w:t xml:space="preserve">Finalmente, para los efectos de la consulta </w:t>
      </w:r>
      <w:r>
        <w:rPr>
          <w:rFonts w:ascii="Arial" w:eastAsia="Arial" w:hAnsi="Arial" w:cs="Arial"/>
          <w:i/>
          <w:sz w:val="22"/>
          <w:szCs w:val="22"/>
        </w:rPr>
        <w:t>sub examine</w:t>
      </w:r>
      <w:r>
        <w:rPr>
          <w:rFonts w:ascii="Arial" w:eastAsia="Arial" w:hAnsi="Arial" w:cs="Arial"/>
          <w:sz w:val="22"/>
          <w:szCs w:val="22"/>
        </w:rPr>
        <w:t xml:space="preserve">, se considera del caso precisar que los factores «garantía suplementaria o adicional», «cuadrillas de trabajo adicional» y «mantenimiento adicional», deben ser calculados de acuerdo con las fórmulas que establece el </w:t>
      </w:r>
      <w:r w:rsidR="00637531">
        <w:rPr>
          <w:rFonts w:ascii="Arial" w:eastAsia="Arial" w:hAnsi="Arial" w:cs="Arial"/>
          <w:sz w:val="22"/>
          <w:szCs w:val="22"/>
        </w:rPr>
        <w:t>documento base</w:t>
      </w:r>
      <w:r>
        <w:rPr>
          <w:rFonts w:ascii="Arial" w:eastAsia="Arial" w:hAnsi="Arial" w:cs="Arial"/>
          <w:sz w:val="22"/>
          <w:szCs w:val="22"/>
        </w:rPr>
        <w:t xml:space="preserve"> en los numerales 4.2.4. a 4.2.6., que son las siguientes:</w:t>
      </w:r>
    </w:p>
    <w:p w14:paraId="42451FD0" w14:textId="77777777" w:rsidR="00E335D4" w:rsidRDefault="00E335D4" w:rsidP="00F34478">
      <w:pPr>
        <w:tabs>
          <w:tab w:val="left" w:pos="709"/>
        </w:tabs>
        <w:spacing w:line="276" w:lineRule="auto"/>
        <w:jc w:val="both"/>
        <w:rPr>
          <w:rFonts w:ascii="Arial" w:eastAsia="Arial" w:hAnsi="Arial" w:cs="Arial"/>
        </w:rPr>
      </w:pPr>
    </w:p>
    <w:p w14:paraId="70E234FE" w14:textId="77777777" w:rsidR="00E335D4" w:rsidRDefault="00E335D4" w:rsidP="00E335D4">
      <w:pPr>
        <w:ind w:left="709" w:right="760"/>
        <w:jc w:val="both"/>
        <w:rPr>
          <w:rFonts w:ascii="Arial" w:eastAsia="Arial" w:hAnsi="Arial" w:cs="Arial"/>
          <w:sz w:val="21"/>
          <w:szCs w:val="21"/>
        </w:rPr>
      </w:pPr>
      <w:r>
        <w:rPr>
          <w:rFonts w:ascii="Arial" w:eastAsia="Arial" w:hAnsi="Arial" w:cs="Arial"/>
          <w:sz w:val="21"/>
          <w:szCs w:val="21"/>
        </w:rPr>
        <w:t>[…] Para efectos de la asignación de puntaje se tendrá en cuenta la siguiente fórmula:</w:t>
      </w:r>
    </w:p>
    <w:p w14:paraId="3117EA96" w14:textId="77777777" w:rsidR="00E335D4" w:rsidRDefault="00E335D4" w:rsidP="00E335D4">
      <w:pPr>
        <w:jc w:val="center"/>
        <w:rPr>
          <w:rFonts w:ascii="Cambria Math" w:eastAsia="Cambria Math" w:hAnsi="Cambria Math" w:cs="Cambria Math"/>
          <w:sz w:val="21"/>
          <w:szCs w:val="21"/>
        </w:rPr>
      </w:pPr>
      <w:r>
        <w:rPr>
          <w:rFonts w:ascii="Arial" w:eastAsia="Arial" w:hAnsi="Arial" w:cs="Arial"/>
          <w:sz w:val="21"/>
          <w:szCs w:val="21"/>
        </w:rPr>
        <w:lastRenderedPageBreak/>
        <w:t xml:space="preserve"> </w:t>
      </w:r>
      <m:oMath>
        <m:r>
          <w:rPr>
            <w:rFonts w:ascii="Cambria Math" w:eastAsia="Cambria Math" w:hAnsi="Cambria Math" w:cs="Cambria Math"/>
            <w:sz w:val="21"/>
            <w:szCs w:val="21"/>
          </w:rPr>
          <m:t>P=</m:t>
        </m:r>
        <m:f>
          <m:fPr>
            <m:ctrlPr>
              <w:rPr>
                <w:rFonts w:ascii="Cambria Math" w:eastAsia="Cambria Math" w:hAnsi="Cambria Math" w:cs="Cambria Math"/>
                <w:sz w:val="21"/>
                <w:szCs w:val="21"/>
              </w:rPr>
            </m:ctrlPr>
          </m:fPr>
          <m:num>
            <m:r>
              <w:rPr>
                <w:rFonts w:ascii="Cambria Math" w:eastAsia="Cambria Math" w:hAnsi="Cambria Math" w:cs="Cambria Math"/>
                <w:sz w:val="21"/>
                <w:szCs w:val="21"/>
              </w:rPr>
              <m:t>Tx*Pmax</m:t>
            </m:r>
          </m:num>
          <m:den>
            <m:r>
              <w:rPr>
                <w:rFonts w:ascii="Cambria Math" w:eastAsia="Cambria Math" w:hAnsi="Cambria Math" w:cs="Cambria Math"/>
                <w:sz w:val="21"/>
                <w:szCs w:val="21"/>
              </w:rPr>
              <m:t>Tmax</m:t>
            </m:r>
          </m:den>
        </m:f>
      </m:oMath>
    </w:p>
    <w:p w14:paraId="7D8F4F22" w14:textId="77777777" w:rsidR="00E335D4" w:rsidRDefault="00E335D4" w:rsidP="00E335D4">
      <w:pPr>
        <w:ind w:left="709" w:right="760"/>
        <w:rPr>
          <w:rFonts w:ascii="Arial" w:eastAsia="Arial" w:hAnsi="Arial" w:cs="Arial"/>
          <w:sz w:val="21"/>
          <w:szCs w:val="21"/>
        </w:rPr>
      </w:pPr>
      <w:r>
        <w:rPr>
          <w:rFonts w:ascii="Arial" w:eastAsia="Arial" w:hAnsi="Arial" w:cs="Arial"/>
          <w:sz w:val="21"/>
          <w:szCs w:val="21"/>
        </w:rPr>
        <w:t>Donde:</w:t>
      </w:r>
    </w:p>
    <w:p w14:paraId="7DDBD8F6" w14:textId="77777777" w:rsidR="00E335D4" w:rsidRDefault="00E335D4" w:rsidP="00E335D4">
      <w:pPr>
        <w:ind w:left="709" w:right="760"/>
        <w:rPr>
          <w:rFonts w:ascii="Arial" w:eastAsia="Arial" w:hAnsi="Arial" w:cs="Arial"/>
          <w:sz w:val="21"/>
          <w:szCs w:val="21"/>
        </w:rPr>
      </w:pPr>
      <w:r>
        <w:rPr>
          <w:rFonts w:ascii="Arial" w:eastAsia="Arial" w:hAnsi="Arial" w:cs="Arial"/>
          <w:sz w:val="21"/>
          <w:szCs w:val="21"/>
        </w:rPr>
        <w:t>P                    =        Puntaje a asignar.</w:t>
      </w:r>
    </w:p>
    <w:p w14:paraId="761F6141" w14:textId="77777777" w:rsidR="00E335D4" w:rsidRDefault="00E335D4" w:rsidP="00E335D4">
      <w:pPr>
        <w:ind w:left="709" w:right="760"/>
        <w:rPr>
          <w:rFonts w:ascii="Arial" w:eastAsia="Arial" w:hAnsi="Arial" w:cs="Arial"/>
          <w:sz w:val="21"/>
          <w:szCs w:val="21"/>
        </w:rPr>
      </w:pPr>
      <w:r>
        <w:rPr>
          <w:rFonts w:ascii="Arial" w:eastAsia="Arial" w:hAnsi="Arial" w:cs="Arial"/>
          <w:sz w:val="21"/>
          <w:szCs w:val="21"/>
        </w:rPr>
        <w:t>Tx                  =        Tiempo ofertado por el Proponente en meses “x”.</w:t>
      </w:r>
    </w:p>
    <w:p w14:paraId="2CE2FF9D" w14:textId="77777777" w:rsidR="00E335D4" w:rsidRDefault="00E335D4" w:rsidP="00E335D4">
      <w:pPr>
        <w:ind w:left="709" w:right="760"/>
        <w:rPr>
          <w:rFonts w:ascii="Arial" w:eastAsia="Arial" w:hAnsi="Arial" w:cs="Arial"/>
          <w:sz w:val="21"/>
          <w:szCs w:val="21"/>
        </w:rPr>
      </w:pPr>
      <w:r>
        <w:rPr>
          <w:rFonts w:ascii="Arial" w:eastAsia="Arial" w:hAnsi="Arial" w:cs="Arial"/>
          <w:sz w:val="21"/>
          <w:szCs w:val="21"/>
        </w:rPr>
        <w:t xml:space="preserve">Pmax             =        Puntaje máximo para el respectivo factor de </w:t>
      </w:r>
      <w:r>
        <w:rPr>
          <w:rFonts w:ascii="Arial" w:eastAsia="Arial" w:hAnsi="Arial" w:cs="Arial"/>
          <w:color w:val="FFFFFF"/>
          <w:sz w:val="21"/>
          <w:szCs w:val="21"/>
        </w:rPr>
        <w:t>sssssssssssssssss</w:t>
      </w:r>
      <w:r>
        <w:rPr>
          <w:rFonts w:ascii="Arial" w:eastAsia="Arial" w:hAnsi="Arial" w:cs="Arial"/>
          <w:sz w:val="21"/>
          <w:szCs w:val="21"/>
        </w:rPr>
        <w:t xml:space="preserve"> calificación.</w:t>
      </w:r>
    </w:p>
    <w:p w14:paraId="1B74ED66" w14:textId="77777777" w:rsidR="00E335D4" w:rsidRDefault="00E335D4" w:rsidP="00E335D4">
      <w:pPr>
        <w:ind w:left="709" w:right="760"/>
        <w:rPr>
          <w:rFonts w:ascii="Arial" w:eastAsia="Arial" w:hAnsi="Arial" w:cs="Arial"/>
          <w:sz w:val="21"/>
          <w:szCs w:val="21"/>
        </w:rPr>
      </w:pPr>
      <w:r>
        <w:rPr>
          <w:rFonts w:ascii="Arial" w:eastAsia="Arial" w:hAnsi="Arial" w:cs="Arial"/>
          <w:sz w:val="21"/>
          <w:szCs w:val="21"/>
        </w:rPr>
        <w:t>Tmax             =        Tiempo máximo ofertado.</w:t>
      </w:r>
    </w:p>
    <w:p w14:paraId="6FC420D8" w14:textId="77777777" w:rsidR="00E335D4" w:rsidRDefault="00E335D4" w:rsidP="00E335D4">
      <w:pPr>
        <w:ind w:left="709" w:right="760"/>
        <w:rPr>
          <w:rFonts w:ascii="Arial" w:eastAsia="Arial" w:hAnsi="Arial" w:cs="Arial"/>
          <w:sz w:val="21"/>
          <w:szCs w:val="21"/>
        </w:rPr>
      </w:pPr>
      <w:r>
        <w:rPr>
          <w:rFonts w:ascii="Arial" w:eastAsia="Arial" w:hAnsi="Arial" w:cs="Arial"/>
          <w:sz w:val="21"/>
          <w:szCs w:val="21"/>
        </w:rPr>
        <w:t>[…]</w:t>
      </w:r>
    </w:p>
    <w:p w14:paraId="522CE08D" w14:textId="77777777" w:rsidR="00E335D4" w:rsidRDefault="00E335D4" w:rsidP="00E335D4">
      <w:pPr>
        <w:ind w:left="709" w:right="760"/>
        <w:rPr>
          <w:rFonts w:ascii="Arial" w:eastAsia="Arial" w:hAnsi="Arial" w:cs="Arial"/>
          <w:sz w:val="21"/>
          <w:szCs w:val="21"/>
        </w:rPr>
      </w:pPr>
    </w:p>
    <w:p w14:paraId="1EAF5239" w14:textId="77777777" w:rsidR="00E335D4" w:rsidRDefault="00E335D4" w:rsidP="00E335D4">
      <w:pPr>
        <w:ind w:left="709" w:right="760"/>
        <w:jc w:val="both"/>
        <w:rPr>
          <w:rFonts w:ascii="Arial" w:eastAsia="Arial" w:hAnsi="Arial" w:cs="Arial"/>
          <w:sz w:val="21"/>
          <w:szCs w:val="21"/>
        </w:rPr>
      </w:pPr>
      <w:r>
        <w:rPr>
          <w:rFonts w:ascii="Arial" w:eastAsia="Arial" w:hAnsi="Arial" w:cs="Arial"/>
          <w:sz w:val="21"/>
          <w:szCs w:val="21"/>
        </w:rPr>
        <w:t>Para efectos de la asignación de puntaje se tendrá en cuenta la siguiente fórmula:</w:t>
      </w:r>
    </w:p>
    <w:p w14:paraId="46F215BF" w14:textId="77777777" w:rsidR="00E335D4" w:rsidRDefault="00E335D4" w:rsidP="00E335D4">
      <w:pPr>
        <w:jc w:val="center"/>
        <w:rPr>
          <w:rFonts w:ascii="Cambria Math" w:eastAsia="Cambria Math" w:hAnsi="Cambria Math" w:cs="Cambria Math"/>
          <w:sz w:val="21"/>
          <w:szCs w:val="21"/>
        </w:rPr>
      </w:pPr>
      <m:oMathPara>
        <m:oMath>
          <m:r>
            <w:rPr>
              <w:rFonts w:ascii="Cambria Math" w:eastAsia="Cambria Math" w:hAnsi="Cambria Math" w:cs="Cambria Math"/>
              <w:sz w:val="21"/>
              <w:szCs w:val="21"/>
            </w:rPr>
            <m:t>P=</m:t>
          </m:r>
          <m:f>
            <m:fPr>
              <m:ctrlPr>
                <w:rPr>
                  <w:rFonts w:ascii="Cambria Math" w:eastAsia="Cambria Math" w:hAnsi="Cambria Math" w:cs="Cambria Math"/>
                  <w:sz w:val="21"/>
                  <w:szCs w:val="21"/>
                </w:rPr>
              </m:ctrlPr>
            </m:fPr>
            <m:num>
              <m:r>
                <w:rPr>
                  <w:rFonts w:ascii="Cambria Math" w:eastAsia="Cambria Math" w:hAnsi="Cambria Math" w:cs="Cambria Math"/>
                  <w:sz w:val="21"/>
                  <w:szCs w:val="21"/>
                </w:rPr>
                <m:t>Cx*Pmax</m:t>
              </m:r>
            </m:num>
            <m:den>
              <m:r>
                <w:rPr>
                  <w:rFonts w:ascii="Cambria Math" w:eastAsia="Cambria Math" w:hAnsi="Cambria Math" w:cs="Cambria Math"/>
                  <w:sz w:val="21"/>
                  <w:szCs w:val="21"/>
                </w:rPr>
                <m:t>Cmax</m:t>
              </m:r>
            </m:den>
          </m:f>
        </m:oMath>
      </m:oMathPara>
    </w:p>
    <w:p w14:paraId="50390D56" w14:textId="77777777" w:rsidR="00E335D4" w:rsidRDefault="00E335D4" w:rsidP="00E335D4">
      <w:pPr>
        <w:ind w:left="709" w:right="760"/>
        <w:jc w:val="both"/>
        <w:rPr>
          <w:rFonts w:ascii="Arial" w:eastAsia="Arial" w:hAnsi="Arial" w:cs="Arial"/>
          <w:sz w:val="21"/>
          <w:szCs w:val="21"/>
        </w:rPr>
      </w:pPr>
      <w:r>
        <w:rPr>
          <w:rFonts w:ascii="Arial" w:eastAsia="Arial" w:hAnsi="Arial" w:cs="Arial"/>
          <w:sz w:val="21"/>
          <w:szCs w:val="21"/>
        </w:rPr>
        <w:t>Donde:</w:t>
      </w:r>
    </w:p>
    <w:p w14:paraId="37C18AFD" w14:textId="77777777" w:rsidR="00E335D4" w:rsidRDefault="00E335D4" w:rsidP="00E335D4">
      <w:pPr>
        <w:ind w:left="709" w:right="760"/>
        <w:jc w:val="both"/>
        <w:rPr>
          <w:rFonts w:ascii="Arial" w:eastAsia="Arial" w:hAnsi="Arial" w:cs="Arial"/>
          <w:sz w:val="21"/>
          <w:szCs w:val="21"/>
        </w:rPr>
      </w:pPr>
      <w:r>
        <w:rPr>
          <w:rFonts w:ascii="Arial" w:eastAsia="Arial" w:hAnsi="Arial" w:cs="Arial"/>
          <w:sz w:val="21"/>
          <w:szCs w:val="21"/>
        </w:rPr>
        <w:t>P                    =        Puntaje a asignar.</w:t>
      </w:r>
    </w:p>
    <w:p w14:paraId="16FDD139" w14:textId="77777777" w:rsidR="00E335D4" w:rsidRDefault="00E335D4" w:rsidP="00E335D4">
      <w:pPr>
        <w:ind w:left="709" w:right="760"/>
        <w:jc w:val="both"/>
        <w:rPr>
          <w:rFonts w:ascii="Arial" w:eastAsia="Arial" w:hAnsi="Arial" w:cs="Arial"/>
          <w:sz w:val="21"/>
          <w:szCs w:val="21"/>
        </w:rPr>
      </w:pPr>
      <w:r>
        <w:rPr>
          <w:rFonts w:ascii="Arial" w:eastAsia="Arial" w:hAnsi="Arial" w:cs="Arial"/>
          <w:sz w:val="21"/>
          <w:szCs w:val="21"/>
        </w:rPr>
        <w:t>Cx                  =        Número de cuadrillas ofertadas por el Proponente “x”.</w:t>
      </w:r>
    </w:p>
    <w:p w14:paraId="22502BDC" w14:textId="77777777" w:rsidR="00E335D4" w:rsidRDefault="00E335D4" w:rsidP="00E335D4">
      <w:pPr>
        <w:ind w:left="709" w:right="760"/>
        <w:jc w:val="both"/>
        <w:rPr>
          <w:rFonts w:ascii="Arial" w:eastAsia="Arial" w:hAnsi="Arial" w:cs="Arial"/>
          <w:sz w:val="21"/>
          <w:szCs w:val="21"/>
        </w:rPr>
      </w:pPr>
      <w:r>
        <w:rPr>
          <w:rFonts w:ascii="Arial" w:eastAsia="Arial" w:hAnsi="Arial" w:cs="Arial"/>
          <w:sz w:val="21"/>
          <w:szCs w:val="21"/>
        </w:rPr>
        <w:t>Pmax             =        Puntaje máximo para el respectivo factor de calificación.</w:t>
      </w:r>
    </w:p>
    <w:p w14:paraId="78AF5A94" w14:textId="77777777" w:rsidR="00E335D4" w:rsidRDefault="00E335D4" w:rsidP="00E335D4">
      <w:pPr>
        <w:ind w:left="709" w:right="760"/>
        <w:jc w:val="both"/>
        <w:rPr>
          <w:rFonts w:ascii="Arial" w:eastAsia="Arial" w:hAnsi="Arial" w:cs="Arial"/>
          <w:sz w:val="21"/>
          <w:szCs w:val="21"/>
        </w:rPr>
      </w:pPr>
      <w:r>
        <w:rPr>
          <w:rFonts w:ascii="Arial" w:eastAsia="Arial" w:hAnsi="Arial" w:cs="Arial"/>
          <w:sz w:val="21"/>
          <w:szCs w:val="21"/>
        </w:rPr>
        <w:t>Cmax             =        Número máximo de cuadrillas ofertadas.</w:t>
      </w:r>
    </w:p>
    <w:p w14:paraId="7A32E0CA" w14:textId="2A449702" w:rsidR="00E335D4" w:rsidRDefault="00E335D4" w:rsidP="00E335D4">
      <w:pPr>
        <w:ind w:left="709" w:right="760"/>
        <w:jc w:val="both"/>
        <w:rPr>
          <w:rFonts w:ascii="Arial" w:eastAsia="Arial" w:hAnsi="Arial" w:cs="Arial"/>
          <w:sz w:val="21"/>
          <w:szCs w:val="21"/>
        </w:rPr>
      </w:pPr>
      <w:r>
        <w:rPr>
          <w:rFonts w:ascii="Arial" w:eastAsia="Arial" w:hAnsi="Arial" w:cs="Arial"/>
          <w:sz w:val="21"/>
          <w:szCs w:val="21"/>
        </w:rPr>
        <w:t>[…]</w:t>
      </w:r>
    </w:p>
    <w:p w14:paraId="2461E2B2" w14:textId="77777777" w:rsidR="000C5550" w:rsidRDefault="000C5550" w:rsidP="00E335D4">
      <w:pPr>
        <w:ind w:left="709" w:right="760"/>
        <w:jc w:val="both"/>
        <w:rPr>
          <w:rFonts w:ascii="Arial" w:eastAsia="Arial" w:hAnsi="Arial" w:cs="Arial"/>
          <w:sz w:val="21"/>
          <w:szCs w:val="21"/>
        </w:rPr>
      </w:pPr>
    </w:p>
    <w:p w14:paraId="0CE69D7F" w14:textId="77777777" w:rsidR="00E335D4" w:rsidRDefault="00E335D4" w:rsidP="00E335D4">
      <w:pPr>
        <w:ind w:left="709" w:right="760"/>
        <w:jc w:val="both"/>
        <w:rPr>
          <w:rFonts w:ascii="Arial" w:eastAsia="Arial" w:hAnsi="Arial" w:cs="Arial"/>
          <w:sz w:val="21"/>
          <w:szCs w:val="21"/>
        </w:rPr>
      </w:pPr>
      <w:r>
        <w:rPr>
          <w:rFonts w:ascii="Arial" w:eastAsia="Arial" w:hAnsi="Arial" w:cs="Arial"/>
          <w:sz w:val="21"/>
          <w:szCs w:val="21"/>
        </w:rPr>
        <w:t>Para efectos de la asignación de puntaje se tendrá en cuenta la siguiente fórmula:</w:t>
      </w:r>
    </w:p>
    <w:p w14:paraId="0634CB36" w14:textId="77777777" w:rsidR="00E335D4" w:rsidRDefault="00E335D4" w:rsidP="00E335D4">
      <w:pPr>
        <w:jc w:val="center"/>
        <w:rPr>
          <w:rFonts w:ascii="Cambria Math" w:eastAsia="Cambria Math" w:hAnsi="Cambria Math" w:cs="Cambria Math"/>
          <w:sz w:val="21"/>
          <w:szCs w:val="21"/>
        </w:rPr>
      </w:pPr>
      <w:r>
        <w:rPr>
          <w:rFonts w:ascii="Arial" w:eastAsia="Arial" w:hAnsi="Arial" w:cs="Arial"/>
          <w:sz w:val="21"/>
          <w:szCs w:val="21"/>
        </w:rPr>
        <w:t xml:space="preserve"> </w:t>
      </w:r>
      <m:oMath>
        <m:r>
          <w:rPr>
            <w:rFonts w:ascii="Cambria Math" w:eastAsia="Cambria Math" w:hAnsi="Cambria Math" w:cs="Cambria Math"/>
            <w:sz w:val="21"/>
            <w:szCs w:val="21"/>
          </w:rPr>
          <m:t>P=</m:t>
        </m:r>
        <m:f>
          <m:fPr>
            <m:ctrlPr>
              <w:rPr>
                <w:rFonts w:ascii="Cambria Math" w:eastAsia="Cambria Math" w:hAnsi="Cambria Math" w:cs="Cambria Math"/>
                <w:sz w:val="21"/>
                <w:szCs w:val="21"/>
              </w:rPr>
            </m:ctrlPr>
          </m:fPr>
          <m:num>
            <m:r>
              <w:rPr>
                <w:rFonts w:ascii="Cambria Math" w:eastAsia="Cambria Math" w:hAnsi="Cambria Math" w:cs="Cambria Math"/>
                <w:sz w:val="21"/>
                <w:szCs w:val="21"/>
              </w:rPr>
              <m:t>Tx*Pmax</m:t>
            </m:r>
          </m:num>
          <m:den>
            <m:r>
              <w:rPr>
                <w:rFonts w:ascii="Cambria Math" w:eastAsia="Cambria Math" w:hAnsi="Cambria Math" w:cs="Cambria Math"/>
                <w:sz w:val="21"/>
                <w:szCs w:val="21"/>
              </w:rPr>
              <m:t>Tmax</m:t>
            </m:r>
          </m:den>
        </m:f>
      </m:oMath>
    </w:p>
    <w:p w14:paraId="32648154" w14:textId="77777777" w:rsidR="00E335D4" w:rsidRDefault="00E335D4" w:rsidP="00E335D4">
      <w:pPr>
        <w:ind w:left="709" w:right="760"/>
        <w:rPr>
          <w:rFonts w:ascii="Arial" w:eastAsia="Arial" w:hAnsi="Arial" w:cs="Arial"/>
          <w:sz w:val="21"/>
          <w:szCs w:val="21"/>
        </w:rPr>
      </w:pPr>
      <w:r>
        <w:rPr>
          <w:rFonts w:ascii="Arial" w:eastAsia="Arial" w:hAnsi="Arial" w:cs="Arial"/>
          <w:sz w:val="21"/>
          <w:szCs w:val="21"/>
        </w:rPr>
        <w:t>Donde:</w:t>
      </w:r>
    </w:p>
    <w:p w14:paraId="54C23B85" w14:textId="77777777" w:rsidR="00E335D4" w:rsidRDefault="00E335D4" w:rsidP="00E335D4">
      <w:pPr>
        <w:ind w:left="709" w:right="760"/>
        <w:rPr>
          <w:rFonts w:ascii="Arial" w:eastAsia="Arial" w:hAnsi="Arial" w:cs="Arial"/>
          <w:sz w:val="21"/>
          <w:szCs w:val="21"/>
        </w:rPr>
      </w:pPr>
      <w:r>
        <w:rPr>
          <w:rFonts w:ascii="Arial" w:eastAsia="Arial" w:hAnsi="Arial" w:cs="Arial"/>
          <w:sz w:val="21"/>
          <w:szCs w:val="21"/>
        </w:rPr>
        <w:t>P                    =        Puntaje a asignar.</w:t>
      </w:r>
    </w:p>
    <w:p w14:paraId="3A724C83" w14:textId="77777777" w:rsidR="00E335D4" w:rsidRDefault="00E335D4" w:rsidP="00E335D4">
      <w:pPr>
        <w:ind w:left="709" w:right="760"/>
        <w:rPr>
          <w:rFonts w:ascii="Arial" w:eastAsia="Arial" w:hAnsi="Arial" w:cs="Arial"/>
          <w:sz w:val="21"/>
          <w:szCs w:val="21"/>
        </w:rPr>
      </w:pPr>
      <w:r>
        <w:rPr>
          <w:rFonts w:ascii="Arial" w:eastAsia="Arial" w:hAnsi="Arial" w:cs="Arial"/>
          <w:sz w:val="21"/>
          <w:szCs w:val="21"/>
        </w:rPr>
        <w:t>Tx                  =        Tiempo ofertado por el Proponente en meses “x”.</w:t>
      </w:r>
    </w:p>
    <w:p w14:paraId="4DEE0658" w14:textId="77777777" w:rsidR="00E335D4" w:rsidRDefault="00E335D4" w:rsidP="00E335D4">
      <w:pPr>
        <w:ind w:left="709" w:right="760"/>
        <w:rPr>
          <w:rFonts w:ascii="Arial" w:eastAsia="Arial" w:hAnsi="Arial" w:cs="Arial"/>
          <w:sz w:val="21"/>
          <w:szCs w:val="21"/>
        </w:rPr>
      </w:pPr>
      <w:r>
        <w:rPr>
          <w:rFonts w:ascii="Arial" w:eastAsia="Arial" w:hAnsi="Arial" w:cs="Arial"/>
          <w:sz w:val="21"/>
          <w:szCs w:val="21"/>
        </w:rPr>
        <w:t xml:space="preserve">Pmax             =        Puntaje máximo para el respectivo factor de                         </w:t>
      </w:r>
      <w:r>
        <w:rPr>
          <w:rFonts w:ascii="Arial" w:eastAsia="Arial" w:hAnsi="Arial" w:cs="Arial"/>
          <w:color w:val="FFFFFF"/>
          <w:sz w:val="21"/>
          <w:szCs w:val="21"/>
        </w:rPr>
        <w:t xml:space="preserve">sssssssssssssssss </w:t>
      </w:r>
      <w:r>
        <w:rPr>
          <w:rFonts w:ascii="Arial" w:eastAsia="Arial" w:hAnsi="Arial" w:cs="Arial"/>
          <w:sz w:val="21"/>
          <w:szCs w:val="21"/>
        </w:rPr>
        <w:t>calificación.</w:t>
      </w:r>
    </w:p>
    <w:p w14:paraId="3F76461F" w14:textId="77777777" w:rsidR="00E335D4" w:rsidRDefault="00E335D4" w:rsidP="00E335D4">
      <w:pPr>
        <w:ind w:left="709" w:right="760"/>
        <w:rPr>
          <w:rFonts w:ascii="Arial" w:eastAsia="Arial" w:hAnsi="Arial" w:cs="Arial"/>
          <w:sz w:val="21"/>
          <w:szCs w:val="21"/>
        </w:rPr>
      </w:pPr>
      <w:r>
        <w:rPr>
          <w:rFonts w:ascii="Arial" w:eastAsia="Arial" w:hAnsi="Arial" w:cs="Arial"/>
          <w:sz w:val="21"/>
          <w:szCs w:val="21"/>
        </w:rPr>
        <w:t>Tmax             =        Tiempo máximo ofertado.</w:t>
      </w:r>
    </w:p>
    <w:p w14:paraId="376CD92C" w14:textId="77777777" w:rsidR="00E335D4" w:rsidRDefault="00E335D4" w:rsidP="00E335D4">
      <w:pPr>
        <w:tabs>
          <w:tab w:val="left" w:pos="709"/>
        </w:tabs>
        <w:jc w:val="both"/>
        <w:rPr>
          <w:rFonts w:ascii="Arial" w:eastAsia="Arial" w:hAnsi="Arial" w:cs="Arial"/>
          <w:sz w:val="22"/>
          <w:szCs w:val="22"/>
        </w:rPr>
      </w:pPr>
    </w:p>
    <w:p w14:paraId="65D43284" w14:textId="7C3E48D8" w:rsidR="00E335D4" w:rsidRDefault="00E335D4" w:rsidP="00F34478">
      <w:pPr>
        <w:tabs>
          <w:tab w:val="left" w:pos="709"/>
        </w:tabs>
        <w:spacing w:line="276" w:lineRule="auto"/>
        <w:jc w:val="both"/>
        <w:rPr>
          <w:rFonts w:ascii="Arial" w:eastAsia="Arial" w:hAnsi="Arial" w:cs="Arial"/>
          <w:sz w:val="22"/>
          <w:szCs w:val="22"/>
        </w:rPr>
      </w:pPr>
      <w:r>
        <w:rPr>
          <w:rFonts w:ascii="Arial" w:eastAsia="Arial" w:hAnsi="Arial" w:cs="Arial"/>
          <w:sz w:val="22"/>
          <w:szCs w:val="22"/>
        </w:rPr>
        <w:tab/>
        <w:t>Nótese que, en los tres casos, la fórmula exige definir el «máximo ofertado», esto es, el «Tiempo máximo ofertado», en relación con la «garantía suplementaria o adicional» y «mantenimiento adicional», y el «Número máximo de cuadrillas ofertadas», como su nombre lo indica, frente a las cuadrillas ofertadas. Es indispensable, entonces, establecer quién es el proponente que tiene estos «máximos ofertados» para poder hacer el cálculo respectivo.</w:t>
      </w:r>
    </w:p>
    <w:p w14:paraId="18A2E160" w14:textId="77777777" w:rsidR="00E335D4" w:rsidRDefault="00E335D4" w:rsidP="00E335D4">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r>
      <w:r w:rsidRPr="006A28FA">
        <w:rPr>
          <w:rFonts w:ascii="Arial" w:eastAsia="Arial" w:hAnsi="Arial" w:cs="Arial"/>
          <w:sz w:val="22"/>
          <w:szCs w:val="22"/>
        </w:rPr>
        <w:t>Sin embargo, puede pasar que en el momento de abrir el sobre de la oferta económica sea necesario rechazar a alguno de los proponentes cuya propuesta fue tenida en cuenta para los efectos de las fórmulas antes referidas, por ejemplo, debido a que su propuesta excede el presupuesto de la entidad o porque la misma se considera artificialmente baja. En estas hipótesis, resultaría necesario que la entidad hiciera nuevamente los cálculos con el proponente que tenía el segundo «máximo ofertado», pues el proponente que tenía el primer lugar ya no haría parte del proceso contractual, por ende, su propuesta no puede ser tenida en cuenta para asignar el puntaje de los otros oferentes.</w:t>
      </w:r>
      <w:r>
        <w:rPr>
          <w:rFonts w:ascii="Arial" w:eastAsia="Arial" w:hAnsi="Arial" w:cs="Arial"/>
          <w:sz w:val="22"/>
          <w:szCs w:val="22"/>
        </w:rPr>
        <w:t xml:space="preserve"> </w:t>
      </w:r>
    </w:p>
    <w:p w14:paraId="3BACD72C" w14:textId="77777777" w:rsidR="00E335D4" w:rsidRDefault="00E335D4" w:rsidP="00E335D4">
      <w:pPr>
        <w:jc w:val="both"/>
        <w:rPr>
          <w:rFonts w:ascii="Arial" w:eastAsia="Arial" w:hAnsi="Arial" w:cs="Arial"/>
          <w:b/>
          <w:color w:val="000000"/>
          <w:sz w:val="22"/>
          <w:szCs w:val="22"/>
        </w:rPr>
      </w:pPr>
    </w:p>
    <w:p w14:paraId="70C78EC5" w14:textId="2595CBF6" w:rsidR="00E335D4" w:rsidRDefault="00E335D4" w:rsidP="00E335D4">
      <w:pPr>
        <w:jc w:val="both"/>
        <w:rPr>
          <w:rFonts w:ascii="Times New Roman" w:eastAsia="Times New Roman" w:hAnsi="Times New Roman" w:cs="Times New Roman"/>
          <w:b/>
        </w:rPr>
      </w:pPr>
      <w:r>
        <w:rPr>
          <w:rFonts w:ascii="Arial" w:eastAsia="Arial" w:hAnsi="Arial" w:cs="Arial"/>
          <w:b/>
          <w:color w:val="000000"/>
          <w:sz w:val="22"/>
          <w:szCs w:val="22"/>
        </w:rPr>
        <w:t xml:space="preserve">2.2. </w:t>
      </w:r>
      <w:r>
        <w:rPr>
          <w:rFonts w:ascii="Arial" w:eastAsia="Arial" w:hAnsi="Arial" w:cs="Arial"/>
          <w:b/>
          <w:color w:val="000000"/>
          <w:sz w:val="22"/>
          <w:szCs w:val="22"/>
          <w:highlight w:val="white"/>
        </w:rPr>
        <w:t xml:space="preserve"> Experiencia en la contratación pública: aproximación general al concepto y consideraciones en relación con los </w:t>
      </w:r>
      <w:r w:rsidR="00D66A80">
        <w:rPr>
          <w:rFonts w:ascii="Arial" w:eastAsia="Arial" w:hAnsi="Arial" w:cs="Arial"/>
          <w:b/>
          <w:color w:val="000000"/>
          <w:sz w:val="22"/>
          <w:szCs w:val="22"/>
          <w:highlight w:val="white"/>
        </w:rPr>
        <w:t>pliegos tipo</w:t>
      </w:r>
    </w:p>
    <w:p w14:paraId="32BD08F6" w14:textId="77777777" w:rsidR="00E335D4" w:rsidRDefault="00E335D4" w:rsidP="00E335D4">
      <w:pPr>
        <w:rPr>
          <w:rFonts w:ascii="Times New Roman" w:eastAsia="Times New Roman" w:hAnsi="Times New Roman" w:cs="Times New Roman"/>
        </w:rPr>
      </w:pPr>
    </w:p>
    <w:p w14:paraId="190DA6B4" w14:textId="77777777" w:rsidR="00E335D4" w:rsidRDefault="00E335D4" w:rsidP="00E335D4">
      <w:pP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La Ley 1150 de 2007, en el artículo 5</w:t>
      </w:r>
      <w:r>
        <w:rPr>
          <w:rFonts w:ascii="Arial" w:eastAsia="Arial" w:hAnsi="Arial" w:cs="Arial"/>
          <w:color w:val="000000"/>
          <w:sz w:val="22"/>
          <w:szCs w:val="22"/>
          <w:vertAlign w:val="superscript"/>
        </w:rPr>
        <w:footnoteReference w:id="7"/>
      </w:r>
      <w:r>
        <w:rPr>
          <w:rFonts w:ascii="Arial" w:eastAsia="Arial" w:hAnsi="Arial" w:cs="Arial"/>
          <w:color w:val="000000"/>
          <w:sz w:val="22"/>
          <w:szCs w:val="22"/>
        </w:rPr>
        <w:t>,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Pr>
          <w:rFonts w:ascii="Arial" w:eastAsia="Arial" w:hAnsi="Arial" w:cs="Arial"/>
          <w:color w:val="000000"/>
          <w:sz w:val="22"/>
          <w:szCs w:val="22"/>
          <w:vertAlign w:val="superscript"/>
        </w:rPr>
        <w:footnoteReference w:id="8"/>
      </w:r>
      <w:r>
        <w:rPr>
          <w:rFonts w:ascii="Arial" w:eastAsia="Arial" w:hAnsi="Arial" w:cs="Arial"/>
          <w:color w:val="000000"/>
          <w:sz w:val="22"/>
          <w:szCs w:val="22"/>
        </w:rPr>
        <w:t>.</w:t>
      </w:r>
    </w:p>
    <w:p w14:paraId="3BC0F8FE" w14:textId="7271D419" w:rsidR="00E335D4" w:rsidRDefault="00E335D4" w:rsidP="00E335D4">
      <w:pPr>
        <w:spacing w:before="120" w:after="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 xml:space="preserve">La experiencia que se deriva de los contratos que el proponente ha celebrado y ejecutado con diferentes contratantes, sin importar la naturaleza de estos, se verifica con el Registro Único de Proponentes </w:t>
      </w:r>
      <w:r w:rsidR="004229FA">
        <w:rPr>
          <w:rFonts w:ascii="Arial" w:eastAsia="Arial" w:hAnsi="Arial" w:cs="Arial"/>
          <w:color w:val="000000"/>
          <w:sz w:val="22"/>
          <w:szCs w:val="22"/>
        </w:rPr>
        <w:t>–</w:t>
      </w:r>
      <w:r>
        <w:rPr>
          <w:rFonts w:ascii="Arial" w:eastAsia="Arial" w:hAnsi="Arial" w:cs="Arial"/>
          <w:color w:val="000000"/>
          <w:sz w:val="22"/>
          <w:szCs w:val="22"/>
        </w:rPr>
        <w:t>RUP</w:t>
      </w:r>
      <w:r w:rsidR="004229FA">
        <w:rPr>
          <w:rFonts w:ascii="Arial" w:eastAsia="Arial" w:hAnsi="Arial" w:cs="Arial"/>
          <w:color w:val="000000"/>
          <w:sz w:val="22"/>
          <w:szCs w:val="22"/>
        </w:rPr>
        <w:t>–</w:t>
      </w:r>
      <w:r>
        <w:rPr>
          <w:rFonts w:ascii="Arial" w:eastAsia="Arial" w:hAnsi="Arial" w:cs="Arial"/>
          <w:color w:val="000000"/>
          <w:sz w:val="22"/>
          <w:szCs w:val="22"/>
          <w:vertAlign w:val="superscript"/>
        </w:rPr>
        <w:footnoteReference w:id="9"/>
      </w:r>
      <w:r>
        <w:rPr>
          <w:rFonts w:ascii="Arial" w:eastAsia="Arial" w:hAnsi="Arial" w:cs="Arial"/>
          <w:color w:val="000000"/>
          <w:sz w:val="22"/>
          <w:szCs w:val="22"/>
        </w:rPr>
        <w:t xml:space="preserve">, cuando este certificado sea exigible de acuerdo </w:t>
      </w:r>
      <w:r>
        <w:rPr>
          <w:rFonts w:ascii="Arial" w:eastAsia="Arial" w:hAnsi="Arial" w:cs="Arial"/>
          <w:color w:val="000000"/>
          <w:sz w:val="22"/>
          <w:szCs w:val="22"/>
        </w:rPr>
        <w:lastRenderedPageBreak/>
        <w:t>con la ley, en el cual constan los requisitos habilitantes que se evalúan exclusivamente con este documento, que es su plena prueba, sin que le sea posible a la entidad o al proponente solicitar o aportar otra documentación</w:t>
      </w:r>
      <w:r>
        <w:rPr>
          <w:rFonts w:ascii="Arial" w:eastAsia="Arial" w:hAnsi="Arial" w:cs="Arial"/>
          <w:color w:val="000000"/>
          <w:sz w:val="22"/>
          <w:szCs w:val="22"/>
          <w:vertAlign w:val="superscript"/>
        </w:rPr>
        <w:footnoteReference w:id="10"/>
      </w:r>
      <w:r>
        <w:rPr>
          <w:rFonts w:ascii="Arial" w:eastAsia="Arial" w:hAnsi="Arial" w:cs="Arial"/>
          <w:color w:val="000000"/>
          <w:sz w:val="22"/>
          <w:szCs w:val="22"/>
        </w:rPr>
        <w:t>.</w:t>
      </w:r>
    </w:p>
    <w:p w14:paraId="751D0B8D" w14:textId="77777777" w:rsidR="00E335D4" w:rsidRDefault="00E335D4" w:rsidP="00E335D4">
      <w:pPr>
        <w:spacing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Pr>
          <w:rFonts w:ascii="Arial" w:eastAsia="Arial" w:hAnsi="Arial" w:cs="Arial"/>
          <w:color w:val="000000"/>
          <w:sz w:val="22"/>
          <w:szCs w:val="22"/>
          <w:vertAlign w:val="superscript"/>
        </w:rPr>
        <w:footnoteReference w:id="11"/>
      </w:r>
      <w:r>
        <w:rPr>
          <w:rFonts w:ascii="Arial" w:eastAsia="Arial" w:hAnsi="Arial" w:cs="Arial"/>
          <w:color w:val="000000"/>
          <w:sz w:val="22"/>
          <w:szCs w:val="22"/>
        </w:rPr>
        <w:t xml:space="preserve">.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765113E9" w14:textId="7C034981" w:rsidR="00E335D4" w:rsidRDefault="00E335D4" w:rsidP="00E335D4">
      <w:pPr>
        <w:spacing w:before="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La Agencia Nacional de Contratación Pública ― Colombia Compra Eficiente puso a disposición de los interesados del Sistema de Compra Pública el «Manual para determinar y verificar requisitos habilitantes en los procesos de contratación», donde se establecen las </w:t>
      </w:r>
      <w:r>
        <w:rPr>
          <w:rFonts w:ascii="Arial" w:eastAsia="Arial" w:hAnsi="Arial" w:cs="Arial"/>
          <w:color w:val="000000"/>
          <w:sz w:val="22"/>
          <w:szCs w:val="22"/>
        </w:rPr>
        <w:lastRenderedPageBreak/>
        <w:t>definiciones de cada requisito habilitante y se dan lineamientos orientadores sobre lo que las entidades pueden hacer para establecerlos, en este caso, frente a la experiencia. Sobre el particular, para la experiencia, como requisito habilitante señalado en su consulta, el Manual se centra en una de sus cualidades y es que es personal, lo cual significa que quien tiene la experiencia es en razón a su participación</w:t>
      </w:r>
      <w:r w:rsidR="004229FA">
        <w:rPr>
          <w:rFonts w:ascii="Arial" w:eastAsia="Arial" w:hAnsi="Arial" w:cs="Arial"/>
          <w:color w:val="000000"/>
          <w:sz w:val="22"/>
          <w:szCs w:val="22"/>
        </w:rPr>
        <w:t xml:space="preserve"> previa</w:t>
      </w:r>
      <w:r>
        <w:rPr>
          <w:rFonts w:ascii="Arial" w:eastAsia="Arial" w:hAnsi="Arial" w:cs="Arial"/>
          <w:color w:val="000000"/>
          <w:sz w:val="22"/>
          <w:szCs w:val="22"/>
        </w:rPr>
        <w:t xml:space="preserve"> en actividades que le permitieron conocer cómo ejecutar el objeto contractual que la entidad pretende ejecutar</w:t>
      </w:r>
      <w:r>
        <w:rPr>
          <w:rFonts w:ascii="Arial" w:eastAsia="Arial" w:hAnsi="Arial" w:cs="Arial"/>
          <w:color w:val="000000"/>
          <w:sz w:val="22"/>
          <w:szCs w:val="22"/>
          <w:vertAlign w:val="superscript"/>
        </w:rPr>
        <w:footnoteReference w:id="12"/>
      </w:r>
      <w:r>
        <w:rPr>
          <w:rFonts w:ascii="Arial" w:eastAsia="Arial" w:hAnsi="Arial" w:cs="Arial"/>
          <w:color w:val="000000"/>
          <w:sz w:val="22"/>
          <w:szCs w:val="22"/>
        </w:rPr>
        <w:t>.</w:t>
      </w:r>
    </w:p>
    <w:p w14:paraId="1F75BCDF" w14:textId="415DD857" w:rsidR="00E335D4" w:rsidRDefault="00E335D4" w:rsidP="00E335D4">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ya que garantiza que no existirá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personal, sino que es proporcional a la participación como miembro de un consorcio o unión temporal, en los que la experiencia es compartida</w:t>
      </w:r>
      <w:r w:rsidR="004229FA" w:rsidRPr="004229FA">
        <w:rPr>
          <w:rFonts w:ascii="Arial" w:eastAsia="Arial" w:hAnsi="Arial" w:cs="Arial"/>
          <w:color w:val="000000"/>
          <w:sz w:val="22"/>
          <w:szCs w:val="22"/>
        </w:rPr>
        <w:t xml:space="preserve"> </w:t>
      </w:r>
      <w:r w:rsidR="004229FA">
        <w:rPr>
          <w:rFonts w:ascii="Arial" w:eastAsia="Arial" w:hAnsi="Arial" w:cs="Arial"/>
          <w:color w:val="000000"/>
          <w:sz w:val="22"/>
          <w:szCs w:val="22"/>
        </w:rPr>
        <w:t>por ser esquemas asociativos</w:t>
      </w:r>
      <w:r>
        <w:rPr>
          <w:rFonts w:ascii="Arial" w:eastAsia="Arial" w:hAnsi="Arial" w:cs="Arial"/>
          <w:color w:val="000000"/>
          <w:sz w:val="22"/>
          <w:szCs w:val="22"/>
        </w:rPr>
        <w:t>. Por otra parte, la Agencia recomienda que la experiencia que se solicite sea proporcional y no igual al objeto que se va a contratar, ya que esto limita la participación de los proveedores, por no ejecut</w:t>
      </w:r>
      <w:r w:rsidR="004229FA">
        <w:rPr>
          <w:rFonts w:ascii="Arial" w:eastAsia="Arial" w:hAnsi="Arial" w:cs="Arial"/>
          <w:color w:val="000000"/>
          <w:sz w:val="22"/>
          <w:szCs w:val="22"/>
        </w:rPr>
        <w:t>ar</w:t>
      </w:r>
      <w:r>
        <w:rPr>
          <w:rFonts w:ascii="Arial" w:eastAsia="Arial" w:hAnsi="Arial" w:cs="Arial"/>
          <w:color w:val="000000"/>
          <w:sz w:val="22"/>
          <w:szCs w:val="22"/>
        </w:rPr>
        <w:t xml:space="preserve"> un objeto igual pero sí similar, que puede funcionar para las exigencias de la entidad ayudando a que exista pluralidad de oferentes. Finalmente, se pueden extraer conclusiones relevantes en relación con los rasgos característicos de la experiencia: </w:t>
      </w:r>
    </w:p>
    <w:p w14:paraId="02DB67CB" w14:textId="77777777" w:rsidR="00E335D4" w:rsidRDefault="00E335D4" w:rsidP="00E335D4">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lastRenderedPageBreak/>
        <w:t>i) La experiencia es personal, esto es, se adquiere participando, directa o indirectamente, sin que sea posible no participar y tener una experiencia que no es propia.</w:t>
      </w:r>
    </w:p>
    <w:p w14:paraId="362993BD" w14:textId="249EC8C4" w:rsidR="00E335D4" w:rsidRDefault="00E335D4" w:rsidP="00E335D4">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ii) La experiencia se puede compartir, sin que la compartida se entienda suya, ya que dentro del procedimiento contractual se reflejará que esa persona tiene la experiencia de otra, como es el caso de la que aportan los socios a las sociedades con menos de 3 años de constitución, lo cual constará en el RUP; o de las figuras asociativas  ̶ consorcios y uniones temporales ̶  que se verificará en el documento privado de constitución.</w:t>
      </w:r>
    </w:p>
    <w:p w14:paraId="74158DF4" w14:textId="77777777" w:rsidR="00E335D4" w:rsidRDefault="00E335D4" w:rsidP="00E335D4">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iii) La experiencia se puede transferir, y es diferente a compartir, puesto que implica que la experiencia de una persona se traslada a otra, y esta última acredita esa experiencia como propia, lo cual es el caso de algunas figuras y reformas estatutarias. </w:t>
      </w:r>
    </w:p>
    <w:p w14:paraId="79F3C7BE" w14:textId="77777777" w:rsidR="00E335D4" w:rsidRDefault="00E335D4" w:rsidP="00E335D4">
      <w:pPr>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iv) Cuando la persona que adquirió la experiencia desaparece o se liquida, no es posible que comparta o transfiera su experiencia, porque al ser personal sigue la suerte de quien la adquirió.</w:t>
      </w:r>
    </w:p>
    <w:p w14:paraId="1842B8D7" w14:textId="77777777" w:rsidR="00E335D4" w:rsidRDefault="00E335D4" w:rsidP="00E335D4">
      <w:pPr>
        <w:spacing w:line="276" w:lineRule="auto"/>
        <w:jc w:val="both"/>
        <w:rPr>
          <w:rFonts w:ascii="Arial" w:eastAsia="Arial" w:hAnsi="Arial" w:cs="Arial"/>
          <w:b/>
          <w:color w:val="000000"/>
          <w:sz w:val="22"/>
          <w:szCs w:val="22"/>
        </w:rPr>
      </w:pPr>
      <w:r>
        <w:rPr>
          <w:rFonts w:ascii="Arial" w:eastAsia="Arial" w:hAnsi="Arial" w:cs="Arial"/>
          <w:color w:val="000000"/>
          <w:sz w:val="22"/>
          <w:szCs w:val="22"/>
        </w:rPr>
        <w:tab/>
        <w:t>Ahora bien, el artículo 4 de la Ley 1882 de 2018 establece que al Gobierno Nacional le corresponde adoptar los «documentos tipo para los pliegos de condiciones de los procesos de selección de obras públicas» y que estos «</w:t>
      </w:r>
      <w:r>
        <w:rPr>
          <w:rFonts w:ascii="Arial" w:eastAsia="Arial" w:hAnsi="Arial" w:cs="Arial"/>
          <w:i/>
          <w:color w:val="000000"/>
          <w:sz w:val="22"/>
          <w:szCs w:val="22"/>
        </w:rPr>
        <w:t>deberán</w:t>
      </w:r>
      <w:r>
        <w:rPr>
          <w:rFonts w:ascii="Arial" w:eastAsia="Arial" w:hAnsi="Arial" w:cs="Arial"/>
          <w:color w:val="000000"/>
          <w:sz w:val="22"/>
          <w:szCs w:val="22"/>
        </w:rPr>
        <w:t xml:space="preserve"> ser utilizados por todas las entidades sometidas al Estatuto General de la Contratación de la Administración Pública en los procesos de selección que adelanten». </w:t>
      </w:r>
    </w:p>
    <w:p w14:paraId="52B9CA79" w14:textId="77777777"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 xml:space="preserve">Adicionalmente, señala, frente a su contenido, que «[d]entro de los documentos tipo el Gobierno adoptará de manera general y con </w:t>
      </w:r>
      <w:r>
        <w:rPr>
          <w:rFonts w:ascii="Arial" w:eastAsia="Arial" w:hAnsi="Arial" w:cs="Arial"/>
          <w:i/>
          <w:color w:val="000000"/>
          <w:sz w:val="22"/>
          <w:szCs w:val="22"/>
        </w:rPr>
        <w:t>alcance obligatorio</w:t>
      </w:r>
      <w:r>
        <w:rPr>
          <w:rFonts w:ascii="Arial" w:eastAsia="Arial" w:hAnsi="Arial" w:cs="Arial"/>
          <w:color w:val="000000"/>
          <w:sz w:val="22"/>
          <w:szCs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3C9970E7" w14:textId="0E744870" w:rsidR="00E335D4" w:rsidRDefault="00E335D4" w:rsidP="00E335D4">
      <w:pPr>
        <w:spacing w:before="120" w:line="276" w:lineRule="auto"/>
        <w:ind w:firstLine="708"/>
        <w:jc w:val="both"/>
        <w:rPr>
          <w:rFonts w:ascii="Arial" w:eastAsia="Arial" w:hAnsi="Arial" w:cs="Arial"/>
          <w:color w:val="000000"/>
          <w:sz w:val="22"/>
          <w:szCs w:val="22"/>
          <w:highlight w:val="white"/>
        </w:rPr>
      </w:pPr>
      <w:r>
        <w:rPr>
          <w:rFonts w:ascii="Arial" w:eastAsia="Arial" w:hAnsi="Arial" w:cs="Arial"/>
          <w:color w:val="000000"/>
          <w:sz w:val="22"/>
          <w:szCs w:val="22"/>
        </w:rPr>
        <w:t>Conforme a lo anterior, el Gobierno Nacional adop</w:t>
      </w:r>
      <w:r>
        <w:rPr>
          <w:rFonts w:ascii="Arial" w:eastAsia="Arial" w:hAnsi="Arial" w:cs="Arial"/>
          <w:color w:val="000000"/>
          <w:sz w:val="22"/>
          <w:szCs w:val="22"/>
          <w:highlight w:val="white"/>
        </w:rPr>
        <w:t xml:space="preserve">tó los </w:t>
      </w:r>
      <w:r w:rsidR="004229FA">
        <w:rPr>
          <w:rFonts w:ascii="Arial" w:eastAsia="Arial" w:hAnsi="Arial" w:cs="Arial"/>
          <w:color w:val="000000"/>
          <w:sz w:val="22"/>
          <w:szCs w:val="22"/>
          <w:highlight w:val="white"/>
        </w:rPr>
        <w:t xml:space="preserve">documentos tipo </w:t>
      </w:r>
      <w:r>
        <w:rPr>
          <w:rFonts w:ascii="Arial" w:eastAsia="Arial" w:hAnsi="Arial" w:cs="Arial"/>
          <w:color w:val="000000"/>
          <w:sz w:val="22"/>
          <w:szCs w:val="22"/>
          <w:highlight w:val="white"/>
        </w:rPr>
        <w:t xml:space="preserve">para los pliegos de condiciones de los procesos de selección de licitación de obra pública de infraestructura de transporte, mediante la expedición del Decreto 342 de 2018, el cual adiciona al Decreto 1082 de 2015. </w:t>
      </w:r>
    </w:p>
    <w:p w14:paraId="658D2BCD" w14:textId="5199CD5C" w:rsidR="00E335D4" w:rsidRDefault="00E335D4" w:rsidP="00E335D4">
      <w:pPr>
        <w:spacing w:before="120" w:line="276" w:lineRule="auto"/>
        <w:ind w:firstLine="70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El artículo 2.2.1.2.6.1.4. del Decreto 1082 de 2015 establece la inalterabilidad de los </w:t>
      </w:r>
      <w:r w:rsidR="004229FA">
        <w:rPr>
          <w:rFonts w:ascii="Arial" w:eastAsia="Arial" w:hAnsi="Arial" w:cs="Arial"/>
          <w:color w:val="000000"/>
          <w:sz w:val="22"/>
          <w:szCs w:val="22"/>
          <w:highlight w:val="white"/>
        </w:rPr>
        <w:t>documentos tipo</w:t>
      </w:r>
      <w:r>
        <w:rPr>
          <w:rFonts w:ascii="Arial" w:eastAsia="Arial" w:hAnsi="Arial" w:cs="Arial"/>
          <w:color w:val="000000"/>
          <w:sz w:val="22"/>
          <w:szCs w:val="22"/>
          <w:highlight w:val="white"/>
        </w:rPr>
        <w:t xml:space="preserve">, que consiste en que las entidades estatales no pueden incluir o modificar en los documentos del proceso las condiciones habilitantes, los factores técnicos y económicos de escogencia y los sistemas de ponderación distintos a los señalados en los </w:t>
      </w:r>
      <w:r w:rsidR="00AD2BA4">
        <w:rPr>
          <w:rFonts w:ascii="Arial" w:eastAsia="Arial" w:hAnsi="Arial" w:cs="Arial"/>
          <w:color w:val="000000"/>
          <w:sz w:val="22"/>
          <w:szCs w:val="22"/>
          <w:highlight w:val="white"/>
        </w:rPr>
        <w:t>documentos tipo</w:t>
      </w:r>
      <w:r>
        <w:rPr>
          <w:rFonts w:ascii="Arial" w:eastAsia="Arial" w:hAnsi="Arial" w:cs="Arial"/>
          <w:color w:val="000000"/>
          <w:sz w:val="22"/>
          <w:szCs w:val="22"/>
          <w:highlight w:val="white"/>
        </w:rPr>
        <w:t xml:space="preserve">.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73D64829" w14:textId="0E6695B4" w:rsidR="00E335D4" w:rsidRDefault="00E335D4" w:rsidP="00E335D4">
      <w:pPr>
        <w:spacing w:before="120" w:line="276" w:lineRule="auto"/>
        <w:ind w:firstLine="70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lastRenderedPageBreak/>
        <w:t xml:space="preserve">Con el fin de establecer cuáles son los </w:t>
      </w:r>
      <w:r w:rsidR="004229FA">
        <w:rPr>
          <w:rFonts w:ascii="Arial" w:eastAsia="Arial" w:hAnsi="Arial" w:cs="Arial"/>
          <w:color w:val="000000"/>
          <w:sz w:val="22"/>
          <w:szCs w:val="22"/>
          <w:highlight w:val="white"/>
        </w:rPr>
        <w:t xml:space="preserve">documentos tipo </w:t>
      </w:r>
      <w:r>
        <w:rPr>
          <w:rFonts w:ascii="Arial" w:eastAsia="Arial" w:hAnsi="Arial" w:cs="Arial"/>
          <w:color w:val="000000"/>
          <w:sz w:val="22"/>
          <w:szCs w:val="22"/>
          <w:highlight w:val="white"/>
        </w:rPr>
        <w:t xml:space="preserve">sujetos a esta disposición, el artículo 2.2.1.2.6.1.2. del Decreto 1082 de 2015 establece un listado que determina el alcance de los documentos e incluye expresamente la «Matriz 1 – Experiencia» ─en adelante Matriz 1─. Por su parte, el artículo 2.2.1.2.6.1.3. </w:t>
      </w:r>
      <w:r>
        <w:rPr>
          <w:rFonts w:ascii="Arial" w:eastAsia="Arial" w:hAnsi="Arial" w:cs="Arial"/>
          <w:i/>
          <w:color w:val="000000"/>
          <w:sz w:val="22"/>
          <w:szCs w:val="22"/>
          <w:highlight w:val="white"/>
        </w:rPr>
        <w:t xml:space="preserve">ibidem </w:t>
      </w:r>
      <w:r>
        <w:rPr>
          <w:rFonts w:ascii="Arial" w:eastAsia="Arial" w:hAnsi="Arial" w:cs="Arial"/>
          <w:color w:val="000000"/>
          <w:sz w:val="22"/>
          <w:szCs w:val="22"/>
          <w:highlight w:val="white"/>
        </w:rPr>
        <w:t xml:space="preserve">dispone que, en el desarrollo e implementación de los documentos, la Agencia Nacional de Contratación Pública – Colombia Compra Eficiente, en coordinación con el Departamento Nacional de Planeación </w:t>
      </w:r>
      <w:r w:rsidR="00AD2BA4">
        <w:rPr>
          <w:rFonts w:ascii="Arial" w:eastAsia="Arial" w:hAnsi="Arial" w:cs="Arial"/>
          <w:color w:val="000000"/>
          <w:sz w:val="22"/>
          <w:szCs w:val="22"/>
          <w:highlight w:val="white"/>
        </w:rPr>
        <w:t>–</w:t>
      </w:r>
      <w:r>
        <w:rPr>
          <w:rFonts w:ascii="Arial" w:eastAsia="Arial" w:hAnsi="Arial" w:cs="Arial"/>
          <w:color w:val="000000"/>
          <w:sz w:val="22"/>
          <w:szCs w:val="22"/>
          <w:highlight w:val="white"/>
        </w:rPr>
        <w:t>DNP</w:t>
      </w:r>
      <w:r w:rsidR="00AD2BA4">
        <w:rPr>
          <w:rFonts w:ascii="Arial" w:eastAsia="Arial" w:hAnsi="Arial" w:cs="Arial"/>
          <w:color w:val="000000"/>
          <w:sz w:val="22"/>
          <w:szCs w:val="22"/>
          <w:highlight w:val="white"/>
        </w:rPr>
        <w:t>–</w:t>
      </w:r>
      <w:r>
        <w:rPr>
          <w:rFonts w:ascii="Arial" w:eastAsia="Arial" w:hAnsi="Arial" w:cs="Arial"/>
          <w:color w:val="000000"/>
          <w:sz w:val="22"/>
          <w:szCs w:val="22"/>
          <w:highlight w:val="white"/>
        </w:rPr>
        <w:t xml:space="preserve"> y el Ministerio de Transporte, debe «[s]eñalar las actividades sobre las cuales recaerá la verificación de la experiencia de los proponentes, así como los documentos y criterios de acreditación y verificación de experiencia, teniendo en cuenta la cuantía y el tipo de intervención». </w:t>
      </w:r>
    </w:p>
    <w:p w14:paraId="7E9B5449" w14:textId="1A9FEB6D"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En cumplimiento de este mandato, la</w:t>
      </w:r>
      <w:r w:rsidR="007A7006">
        <w:rPr>
          <w:rFonts w:ascii="Arial" w:eastAsia="Arial" w:hAnsi="Arial" w:cs="Arial"/>
          <w:color w:val="000000"/>
          <w:sz w:val="22"/>
          <w:szCs w:val="22"/>
        </w:rPr>
        <w:t>s</w:t>
      </w:r>
      <w:r>
        <w:rPr>
          <w:rFonts w:ascii="Arial" w:eastAsia="Arial" w:hAnsi="Arial" w:cs="Arial"/>
          <w:color w:val="000000"/>
          <w:sz w:val="22"/>
          <w:szCs w:val="22"/>
        </w:rPr>
        <w:t xml:space="preserve"> Resolución No. 1798 </w:t>
      </w:r>
      <w:r w:rsidR="007A7006">
        <w:rPr>
          <w:rFonts w:ascii="Arial" w:eastAsia="Arial" w:hAnsi="Arial" w:cs="Arial"/>
          <w:color w:val="000000"/>
          <w:sz w:val="22"/>
          <w:szCs w:val="22"/>
        </w:rPr>
        <w:t xml:space="preserve"> </w:t>
      </w:r>
      <w:r>
        <w:rPr>
          <w:rFonts w:ascii="Arial" w:eastAsia="Arial" w:hAnsi="Arial" w:cs="Arial"/>
          <w:color w:val="000000"/>
          <w:sz w:val="22"/>
          <w:szCs w:val="22"/>
        </w:rPr>
        <w:t>del 1 de abril de 2019</w:t>
      </w:r>
      <w:r w:rsidR="007A7006">
        <w:rPr>
          <w:rFonts w:ascii="Arial" w:eastAsia="Arial" w:hAnsi="Arial" w:cs="Arial"/>
          <w:color w:val="000000"/>
          <w:sz w:val="22"/>
          <w:szCs w:val="22"/>
        </w:rPr>
        <w:t xml:space="preserve"> y 045 del 14 de febrero de 2020</w:t>
      </w:r>
      <w:r>
        <w:rPr>
          <w:rFonts w:ascii="Arial" w:eastAsia="Arial" w:hAnsi="Arial" w:cs="Arial"/>
          <w:color w:val="000000"/>
          <w:sz w:val="22"/>
          <w:szCs w:val="22"/>
        </w:rPr>
        <w:t>, mediante la</w:t>
      </w:r>
      <w:r w:rsidR="007A7006">
        <w:rPr>
          <w:rFonts w:ascii="Arial" w:eastAsia="Arial" w:hAnsi="Arial" w:cs="Arial"/>
          <w:color w:val="000000"/>
          <w:sz w:val="22"/>
          <w:szCs w:val="22"/>
        </w:rPr>
        <w:t>s</w:t>
      </w:r>
      <w:r>
        <w:rPr>
          <w:rFonts w:ascii="Arial" w:eastAsia="Arial" w:hAnsi="Arial" w:cs="Arial"/>
          <w:color w:val="000000"/>
          <w:sz w:val="22"/>
          <w:szCs w:val="22"/>
        </w:rPr>
        <w:t xml:space="preserve"> cual</w:t>
      </w:r>
      <w:r w:rsidR="007A7006">
        <w:rPr>
          <w:rFonts w:ascii="Arial" w:eastAsia="Arial" w:hAnsi="Arial" w:cs="Arial"/>
          <w:color w:val="000000"/>
          <w:sz w:val="22"/>
          <w:szCs w:val="22"/>
        </w:rPr>
        <w:t>es</w:t>
      </w:r>
      <w:r>
        <w:rPr>
          <w:rFonts w:ascii="Arial" w:eastAsia="Arial" w:hAnsi="Arial" w:cs="Arial"/>
          <w:color w:val="000000"/>
          <w:sz w:val="22"/>
          <w:szCs w:val="22"/>
        </w:rPr>
        <w:t xml:space="preserve"> </w:t>
      </w:r>
      <w:r>
        <w:rPr>
          <w:rFonts w:ascii="Arial" w:eastAsia="Arial" w:hAnsi="Arial" w:cs="Arial"/>
          <w:color w:val="000000"/>
          <w:sz w:val="22"/>
          <w:szCs w:val="22"/>
          <w:highlight w:val="white"/>
        </w:rPr>
        <w:t>la Agencia Nacional de Contratación Pública – Colombia Compra Eficiente</w:t>
      </w:r>
      <w:r>
        <w:rPr>
          <w:rFonts w:ascii="Arial" w:eastAsia="Arial" w:hAnsi="Arial" w:cs="Arial"/>
          <w:color w:val="000000"/>
          <w:sz w:val="22"/>
          <w:szCs w:val="22"/>
        </w:rPr>
        <w:t xml:space="preserve"> implementó y desarrolló los </w:t>
      </w:r>
      <w:r w:rsidR="00AD2BA4">
        <w:rPr>
          <w:rFonts w:ascii="Arial" w:eastAsia="Arial" w:hAnsi="Arial" w:cs="Arial"/>
          <w:color w:val="000000"/>
          <w:sz w:val="22"/>
          <w:szCs w:val="22"/>
        </w:rPr>
        <w:t>documentos tipo</w:t>
      </w:r>
      <w:r>
        <w:rPr>
          <w:rFonts w:ascii="Arial" w:eastAsia="Arial" w:hAnsi="Arial" w:cs="Arial"/>
          <w:color w:val="000000"/>
          <w:sz w:val="22"/>
          <w:szCs w:val="22"/>
        </w:rPr>
        <w:t xml:space="preserve"> aplicables a los procesos de licitación de obra pública de infraestructura de transporte, determinó los documentos y criterios que debe cumplir el proponente para la acreditación de la experiencia, específicamente en la sección 3.5 del «Documento Base» y en la «Matriz 1 – Experiencia». De igual manera, con el fin de verificar si el objeto a contratar se encuentra enmarcado en las actividades de experiencia, el Anexo 3 – Glosario establece los conceptos propios de la ingeniería civil que deben ser considerados para una adecuada aplicación de los criterios establecidos.</w:t>
      </w:r>
    </w:p>
    <w:p w14:paraId="27FD7D6A" w14:textId="77777777"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 xml:space="preserve">De acuerdo con las condiciones fijadas en el «Documento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14:paraId="42C11FF4" w14:textId="77777777"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ii) la actividad a contratar y iii) la cuantía del proceso de contratación.</w:t>
      </w:r>
    </w:p>
    <w:p w14:paraId="05F3A252" w14:textId="77777777"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lastRenderedPageBreak/>
        <w:t>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14:paraId="6EA6CC9F" w14:textId="77777777"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1004EFBE" w14:textId="77777777"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286E08CB" w14:textId="4EDBEECD"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y, por lo tanto, de obligatorio cumplimiento. Igualmente, se encuentran sometidos a la reglamentación establecida en </w:t>
      </w:r>
      <w:r w:rsidR="00167046">
        <w:rPr>
          <w:rFonts w:ascii="Arial" w:eastAsia="Arial" w:hAnsi="Arial" w:cs="Arial"/>
          <w:color w:val="000000"/>
          <w:sz w:val="22"/>
          <w:szCs w:val="22"/>
        </w:rPr>
        <w:t>los</w:t>
      </w:r>
      <w:r>
        <w:rPr>
          <w:rFonts w:ascii="Arial" w:eastAsia="Arial" w:hAnsi="Arial" w:cs="Arial"/>
          <w:color w:val="000000"/>
          <w:sz w:val="22"/>
          <w:szCs w:val="22"/>
        </w:rPr>
        <w:t xml:space="preserve"> Decreto</w:t>
      </w:r>
      <w:r w:rsidR="00167046">
        <w:rPr>
          <w:rFonts w:ascii="Arial" w:eastAsia="Arial" w:hAnsi="Arial" w:cs="Arial"/>
          <w:color w:val="000000"/>
          <w:sz w:val="22"/>
          <w:szCs w:val="22"/>
        </w:rPr>
        <w:t>s</w:t>
      </w:r>
      <w:r>
        <w:rPr>
          <w:rFonts w:ascii="Arial" w:eastAsia="Arial" w:hAnsi="Arial" w:cs="Arial"/>
          <w:color w:val="000000"/>
          <w:sz w:val="22"/>
          <w:szCs w:val="22"/>
        </w:rPr>
        <w:t xml:space="preserve"> 342 </w:t>
      </w:r>
      <w:r w:rsidR="00167046">
        <w:rPr>
          <w:rFonts w:ascii="Arial" w:eastAsia="Arial" w:hAnsi="Arial" w:cs="Arial"/>
          <w:color w:val="000000"/>
          <w:sz w:val="22"/>
          <w:szCs w:val="22"/>
        </w:rPr>
        <w:t xml:space="preserve">y 2096 </w:t>
      </w:r>
      <w:r>
        <w:rPr>
          <w:rFonts w:ascii="Arial" w:eastAsia="Arial" w:hAnsi="Arial" w:cs="Arial"/>
          <w:color w:val="000000"/>
          <w:sz w:val="22"/>
          <w:szCs w:val="22"/>
        </w:rPr>
        <w:t xml:space="preserve">de 2019 y no pueden ser alterados, modificados o adicionados en su contenido. </w:t>
      </w:r>
    </w:p>
    <w:p w14:paraId="20541323" w14:textId="77777777"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546EF2D1" w14:textId="77777777"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a) Identificar en la Matriz 1 el tipo de infraestructura sobre el cual recae la obra a ejecutar. Al respecto esta matriz contiene ocho (8) secciones que corresponden a los tipos de infraestructura estandarizados.</w:t>
      </w:r>
    </w:p>
    <w:p w14:paraId="3F66123E" w14:textId="77777777"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b) Definido el tipo de infraestructura, identificar la «ACTIVIDAD A CONTRATAR» acorde con la Matriz 1. </w:t>
      </w:r>
    </w:p>
    <w:p w14:paraId="49D6B7F4" w14:textId="77777777"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 xml:space="preserve">c) Identificar el rango en el cual se encuentra el Proceso de Contratación de acuerdo con el presupuesto oficial. </w:t>
      </w:r>
    </w:p>
    <w:p w14:paraId="4D5BE6E7" w14:textId="77777777"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 xml:space="preserve">d) Identificar la «experiencia general» exigible acorde con la Matriz 1 teniendo en cuenta la actividad a contratar y el rango de la cuantía del Proceso de Contratación. </w:t>
      </w:r>
    </w:p>
    <w:p w14:paraId="59B60EE6" w14:textId="77777777"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 xml:space="preserve">e) Identificar la «experiencia específica» exigible y el porcentaje de dimensionamiento que se puede solicitar acorde con la longitud a ejecutar, de acuerdo con la cuantía del proceso de contratación. Cuando en la «experiencia específica» se indiquen las siglas </w:t>
      </w:r>
      <w:r>
        <w:rPr>
          <w:rFonts w:ascii="Arial" w:eastAsia="Arial" w:hAnsi="Arial" w:cs="Arial"/>
          <w:i/>
          <w:color w:val="000000"/>
          <w:sz w:val="22"/>
          <w:szCs w:val="22"/>
        </w:rPr>
        <w:t>N.A</w:t>
      </w:r>
      <w:r>
        <w:rPr>
          <w:rFonts w:ascii="Arial" w:eastAsia="Arial" w:hAnsi="Arial" w:cs="Arial"/>
          <w:color w:val="000000"/>
          <w:sz w:val="22"/>
          <w:szCs w:val="22"/>
        </w:rPr>
        <w:t xml:space="preserve"> significa que la entidad estatal no puede exigir a los proponentes experiencia específica en los procesos de contratación. </w:t>
      </w:r>
    </w:p>
    <w:p w14:paraId="3866655F" w14:textId="77777777" w:rsidR="00E335D4" w:rsidRDefault="00E335D4" w:rsidP="00E335D4">
      <w:p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ab/>
        <w:t>A continuación, se identifica la experiencia general y específica que la entidad estatal solicitará, de acuerdo con las características y parámetros explicados previamente. La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p>
    <w:p w14:paraId="4B4BC2DB" w14:textId="5830738A"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 xml:space="preserve">Es del caso precisar que el hecho de que la entidad exija «experiencia general» y «experiencia específica», de acuerdo con las exigencias del </w:t>
      </w:r>
      <w:r w:rsidR="00AD2BA4">
        <w:rPr>
          <w:rFonts w:ascii="Arial" w:eastAsia="Arial" w:hAnsi="Arial" w:cs="Arial"/>
          <w:color w:val="000000"/>
          <w:sz w:val="22"/>
          <w:szCs w:val="22"/>
        </w:rPr>
        <w:t>documento tipo</w:t>
      </w:r>
      <w:r>
        <w:rPr>
          <w:rFonts w:ascii="Arial" w:eastAsia="Arial" w:hAnsi="Arial" w:cs="Arial"/>
          <w:color w:val="000000"/>
          <w:sz w:val="22"/>
          <w:szCs w:val="22"/>
        </w:rPr>
        <w:t>, no implica que esté exigiendo «doble experiencia», pues se trata de dos cosas distintas. Tampoco es posible concluir que se está pidiendo «doble experiencia», porque la Matriz 1 esté dividida en «títulos y subtítulos».</w:t>
      </w:r>
    </w:p>
    <w:p w14:paraId="347F2121" w14:textId="1089C10F"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Como se señaló en el concepto correspondiente al radicado No. 4201912000006151</w:t>
      </w:r>
      <w:r w:rsidR="00AD2BA4">
        <w:rPr>
          <w:rFonts w:ascii="Arial" w:eastAsia="Arial" w:hAnsi="Arial" w:cs="Arial"/>
          <w:color w:val="000000"/>
          <w:sz w:val="22"/>
          <w:szCs w:val="22"/>
        </w:rPr>
        <w:t xml:space="preserve"> d</w:t>
      </w:r>
      <w:r>
        <w:rPr>
          <w:rFonts w:ascii="Arial" w:eastAsia="Arial" w:hAnsi="Arial" w:cs="Arial"/>
          <w:color w:val="000000"/>
          <w:sz w:val="22"/>
          <w:szCs w:val="22"/>
        </w:rPr>
        <w:t>el 25 de septiembre de 2019</w:t>
      </w:r>
      <w:r>
        <w:rPr>
          <w:rFonts w:ascii="Arial" w:eastAsia="Arial" w:hAnsi="Arial" w:cs="Arial"/>
          <w:color w:val="000000"/>
          <w:sz w:val="22"/>
          <w:szCs w:val="22"/>
          <w:vertAlign w:val="superscript"/>
        </w:rPr>
        <w:footnoteReference w:id="13"/>
      </w:r>
      <w:r>
        <w:rPr>
          <w:rFonts w:ascii="Arial" w:eastAsia="Arial" w:hAnsi="Arial" w:cs="Arial"/>
          <w:color w:val="000000"/>
          <w:sz w:val="22"/>
          <w:szCs w:val="22"/>
        </w:rPr>
        <w:t xml:space="preserve">, 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ii)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w:t>
      </w:r>
      <w:r>
        <w:rPr>
          <w:rFonts w:ascii="Arial" w:eastAsia="Arial" w:hAnsi="Arial" w:cs="Arial"/>
          <w:color w:val="000000"/>
          <w:sz w:val="22"/>
          <w:szCs w:val="22"/>
        </w:rPr>
        <w:lastRenderedPageBreak/>
        <w:t xml:space="preserve">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 </w:t>
      </w:r>
    </w:p>
    <w:p w14:paraId="0C26B31A" w14:textId="77777777"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 xml:space="preserve">El «Documento Base» y la «Matriz 1- Experiencia» permiten evaluar la experiencia a partir del objeto y las actividades ejecutadas, por ejemplo, el literal A del numeral 3.5.1 señala: </w:t>
      </w:r>
    </w:p>
    <w:p w14:paraId="43B1A431" w14:textId="77777777" w:rsidR="00E335D4" w:rsidRDefault="00E335D4" w:rsidP="00E335D4">
      <w:pPr>
        <w:spacing w:line="276" w:lineRule="auto"/>
        <w:jc w:val="both"/>
        <w:rPr>
          <w:rFonts w:ascii="Arial" w:eastAsia="Arial" w:hAnsi="Arial" w:cs="Arial"/>
          <w:color w:val="000000"/>
          <w:sz w:val="22"/>
          <w:szCs w:val="22"/>
        </w:rPr>
      </w:pPr>
    </w:p>
    <w:p w14:paraId="10F4CB0A" w14:textId="77777777" w:rsidR="00E335D4" w:rsidRDefault="00E335D4" w:rsidP="00E335D4">
      <w:pPr>
        <w:numPr>
          <w:ilvl w:val="2"/>
          <w:numId w:val="4"/>
        </w:numPr>
        <w:pBdr>
          <w:top w:val="nil"/>
          <w:left w:val="nil"/>
          <w:bottom w:val="nil"/>
          <w:right w:val="nil"/>
          <w:between w:val="nil"/>
        </w:pBdr>
        <w:tabs>
          <w:tab w:val="left" w:pos="-142"/>
        </w:tabs>
        <w:ind w:left="709" w:right="709" w:firstLine="0"/>
        <w:jc w:val="both"/>
        <w:rPr>
          <w:rFonts w:ascii="Arial" w:eastAsia="Arial" w:hAnsi="Arial" w:cs="Arial"/>
          <w:color w:val="000000"/>
          <w:sz w:val="21"/>
          <w:szCs w:val="21"/>
        </w:rPr>
      </w:pPr>
      <w:r>
        <w:rPr>
          <w:rFonts w:ascii="Arial" w:eastAsia="Arial" w:hAnsi="Arial" w:cs="Arial"/>
          <w:color w:val="000000"/>
          <w:sz w:val="21"/>
          <w:szCs w:val="21"/>
        </w:rPr>
        <w:t xml:space="preserve">CARACTERÍSTICAS DE LOS CONTRATOS PRESENTADOS PARA ACREDITAR LA EXPERIENCIA EXIGIDA </w:t>
      </w:r>
    </w:p>
    <w:p w14:paraId="1A1DECF1" w14:textId="77777777" w:rsidR="00E335D4" w:rsidRDefault="00E335D4" w:rsidP="00E335D4">
      <w:pPr>
        <w:pBdr>
          <w:top w:val="nil"/>
          <w:left w:val="nil"/>
          <w:bottom w:val="nil"/>
          <w:right w:val="nil"/>
          <w:between w:val="nil"/>
        </w:pBdr>
        <w:tabs>
          <w:tab w:val="left" w:pos="-142"/>
        </w:tabs>
        <w:ind w:left="709" w:right="709"/>
        <w:jc w:val="both"/>
        <w:rPr>
          <w:rFonts w:ascii="Arial" w:eastAsia="Arial" w:hAnsi="Arial" w:cs="Arial"/>
          <w:color w:val="000000"/>
          <w:sz w:val="21"/>
          <w:szCs w:val="21"/>
        </w:rPr>
      </w:pPr>
    </w:p>
    <w:p w14:paraId="091796C5" w14:textId="77777777" w:rsidR="00E335D4" w:rsidRDefault="00E335D4" w:rsidP="00E335D4">
      <w:pPr>
        <w:pBdr>
          <w:top w:val="nil"/>
          <w:left w:val="nil"/>
          <w:bottom w:val="nil"/>
          <w:right w:val="nil"/>
          <w:between w:val="nil"/>
        </w:pBdr>
        <w:tabs>
          <w:tab w:val="left" w:pos="-142"/>
        </w:tabs>
        <w:ind w:left="709" w:right="709"/>
        <w:jc w:val="both"/>
        <w:rPr>
          <w:rFonts w:ascii="Arial" w:eastAsia="Arial" w:hAnsi="Arial" w:cs="Arial"/>
          <w:color w:val="000000"/>
          <w:sz w:val="21"/>
          <w:szCs w:val="21"/>
        </w:rPr>
      </w:pPr>
      <w:r>
        <w:rPr>
          <w:rFonts w:ascii="Arial" w:eastAsia="Arial" w:hAnsi="Arial" w:cs="Arial"/>
          <w:color w:val="000000"/>
          <w:sz w:val="21"/>
          <w:szCs w:val="21"/>
        </w:rPr>
        <w:t xml:space="preserve">Los contratos por acreditar deberán cumplir las siguientes características: </w:t>
      </w:r>
    </w:p>
    <w:p w14:paraId="68FFC666" w14:textId="77777777" w:rsidR="00E335D4" w:rsidRDefault="00E335D4" w:rsidP="00E335D4">
      <w:pPr>
        <w:pBdr>
          <w:top w:val="nil"/>
          <w:left w:val="nil"/>
          <w:bottom w:val="nil"/>
          <w:right w:val="nil"/>
          <w:between w:val="nil"/>
        </w:pBdr>
        <w:tabs>
          <w:tab w:val="left" w:pos="-142"/>
        </w:tabs>
        <w:ind w:left="709" w:right="709"/>
        <w:jc w:val="both"/>
        <w:rPr>
          <w:rFonts w:ascii="Arial" w:eastAsia="Arial" w:hAnsi="Arial" w:cs="Arial"/>
          <w:color w:val="000000"/>
          <w:sz w:val="21"/>
          <w:szCs w:val="21"/>
        </w:rPr>
      </w:pPr>
    </w:p>
    <w:p w14:paraId="376B3828" w14:textId="77777777" w:rsidR="00E335D4" w:rsidRDefault="00E335D4" w:rsidP="00E335D4">
      <w:pPr>
        <w:numPr>
          <w:ilvl w:val="0"/>
          <w:numId w:val="5"/>
        </w:numPr>
        <w:pBdr>
          <w:top w:val="nil"/>
          <w:left w:val="nil"/>
          <w:bottom w:val="nil"/>
          <w:right w:val="nil"/>
          <w:between w:val="nil"/>
        </w:pBdr>
        <w:tabs>
          <w:tab w:val="left" w:pos="-142"/>
        </w:tabs>
        <w:ind w:left="709" w:right="709" w:firstLine="0"/>
        <w:jc w:val="both"/>
        <w:rPr>
          <w:rFonts w:ascii="Arial" w:eastAsia="Arial" w:hAnsi="Arial" w:cs="Arial"/>
          <w:color w:val="000000"/>
          <w:sz w:val="21"/>
          <w:szCs w:val="21"/>
        </w:rPr>
      </w:pPr>
      <w:r>
        <w:rPr>
          <w:rFonts w:ascii="Arial" w:eastAsia="Arial" w:hAnsi="Arial" w:cs="Arial"/>
          <w:color w:val="000000"/>
          <w:sz w:val="21"/>
          <w:szCs w:val="21"/>
        </w:rPr>
        <w:t>Que las actividades ejecutadas correspondan a [Actividad o actividades señaladas en la “Matriz 1 - Experiencia] y guarden relación directa con el objeto del contrato.</w:t>
      </w:r>
    </w:p>
    <w:p w14:paraId="27562F19" w14:textId="77777777" w:rsidR="00E335D4" w:rsidRDefault="00E335D4" w:rsidP="00E335D4">
      <w:pPr>
        <w:spacing w:line="276" w:lineRule="auto"/>
        <w:ind w:firstLine="708"/>
        <w:jc w:val="both"/>
        <w:rPr>
          <w:rFonts w:ascii="Arial" w:eastAsia="Arial" w:hAnsi="Arial" w:cs="Arial"/>
          <w:color w:val="000000"/>
          <w:sz w:val="22"/>
          <w:szCs w:val="22"/>
        </w:rPr>
      </w:pPr>
    </w:p>
    <w:p w14:paraId="3059A062" w14:textId="77777777" w:rsidR="00E335D4" w:rsidRDefault="00E335D4" w:rsidP="00F34478">
      <w:pPr>
        <w:spacing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Esta regla exige que los contratos aportados para acreditar la experiencia incluyan «las actividades ejecutadas» definidas en la «Matriz 1- Experiencia», lo cual no impide que se acredite a partir de las actividades ejecutadas, claro está, cuando su descripción permita identificar el alcance de dichas actividades.</w:t>
      </w:r>
    </w:p>
    <w:p w14:paraId="796AA252" w14:textId="77777777" w:rsidR="00E335D4" w:rsidRDefault="00E335D4" w:rsidP="00E335D4">
      <w:pPr>
        <w:spacing w:before="120" w:line="276" w:lineRule="auto"/>
        <w:jc w:val="both"/>
        <w:rPr>
          <w:rFonts w:ascii="Arial" w:eastAsia="Arial" w:hAnsi="Arial" w:cs="Arial"/>
          <w:color w:val="000000"/>
          <w:sz w:val="22"/>
          <w:szCs w:val="22"/>
        </w:rPr>
      </w:pPr>
      <w:r>
        <w:rPr>
          <w:rFonts w:ascii="Arial" w:eastAsia="Arial" w:hAnsi="Arial" w:cs="Arial"/>
          <w:color w:val="000000"/>
          <w:sz w:val="22"/>
          <w:szCs w:val="22"/>
        </w:rPr>
        <w:tab/>
        <w:t xml:space="preserve">El numeral 3.5.4 establece la información que se debe acreditar para cada contrato que se aporte como experiencia: </w:t>
      </w:r>
    </w:p>
    <w:p w14:paraId="0AE21203" w14:textId="77777777" w:rsidR="00E335D4" w:rsidRDefault="00E335D4" w:rsidP="00E335D4">
      <w:pPr>
        <w:jc w:val="both"/>
        <w:rPr>
          <w:rFonts w:ascii="Arial" w:eastAsia="Arial" w:hAnsi="Arial" w:cs="Arial"/>
          <w:color w:val="000000"/>
          <w:sz w:val="22"/>
          <w:szCs w:val="22"/>
        </w:rPr>
      </w:pPr>
    </w:p>
    <w:p w14:paraId="1DD9B810" w14:textId="77777777" w:rsidR="00E335D4" w:rsidRDefault="00E335D4" w:rsidP="00F34478">
      <w:pPr>
        <w:numPr>
          <w:ilvl w:val="2"/>
          <w:numId w:val="1"/>
        </w:numPr>
        <w:pBdr>
          <w:top w:val="nil"/>
          <w:left w:val="nil"/>
          <w:bottom w:val="nil"/>
          <w:right w:val="nil"/>
          <w:between w:val="nil"/>
        </w:pBdr>
        <w:tabs>
          <w:tab w:val="left" w:pos="-142"/>
        </w:tabs>
        <w:ind w:left="709" w:right="709" w:firstLine="0"/>
        <w:jc w:val="both"/>
        <w:rPr>
          <w:rFonts w:ascii="Arial" w:eastAsia="Arial" w:hAnsi="Arial" w:cs="Arial"/>
          <w:color w:val="000000"/>
          <w:sz w:val="21"/>
          <w:szCs w:val="21"/>
        </w:rPr>
      </w:pPr>
      <w:r>
        <w:rPr>
          <w:rFonts w:ascii="Arial" w:eastAsia="Arial" w:hAnsi="Arial" w:cs="Arial"/>
          <w:color w:val="000000"/>
          <w:sz w:val="21"/>
          <w:szCs w:val="21"/>
        </w:rPr>
        <w:t>ACREDITACIÓN DE LA EXPERIENCIA REQUERIDA</w:t>
      </w:r>
    </w:p>
    <w:p w14:paraId="4476EF6A" w14:textId="77777777" w:rsidR="00E335D4" w:rsidRDefault="00E335D4" w:rsidP="00E335D4">
      <w:pPr>
        <w:pBdr>
          <w:top w:val="nil"/>
          <w:left w:val="nil"/>
          <w:bottom w:val="nil"/>
          <w:right w:val="nil"/>
          <w:between w:val="nil"/>
        </w:pBdr>
        <w:tabs>
          <w:tab w:val="left" w:pos="-142"/>
        </w:tabs>
        <w:ind w:left="709" w:right="709"/>
        <w:jc w:val="both"/>
        <w:rPr>
          <w:rFonts w:ascii="Arial" w:eastAsia="Arial" w:hAnsi="Arial" w:cs="Arial"/>
          <w:color w:val="000000"/>
          <w:sz w:val="21"/>
          <w:szCs w:val="21"/>
        </w:rPr>
      </w:pPr>
    </w:p>
    <w:p w14:paraId="21CB98CA" w14:textId="77777777" w:rsidR="00E335D4" w:rsidRDefault="00E335D4" w:rsidP="00E335D4">
      <w:pPr>
        <w:pBdr>
          <w:top w:val="nil"/>
          <w:left w:val="nil"/>
          <w:bottom w:val="nil"/>
          <w:right w:val="nil"/>
          <w:between w:val="nil"/>
        </w:pBdr>
        <w:tabs>
          <w:tab w:val="left" w:pos="-142"/>
        </w:tabs>
        <w:ind w:left="709" w:right="709"/>
        <w:jc w:val="both"/>
        <w:rPr>
          <w:rFonts w:ascii="Arial" w:eastAsia="Arial" w:hAnsi="Arial" w:cs="Arial"/>
          <w:color w:val="000000"/>
          <w:sz w:val="21"/>
          <w:szCs w:val="21"/>
        </w:rPr>
      </w:pPr>
      <w:r>
        <w:rPr>
          <w:rFonts w:ascii="Arial" w:eastAsia="Arial" w:hAnsi="Arial" w:cs="Arial"/>
          <w:color w:val="000000"/>
          <w:sz w:val="21"/>
          <w:szCs w:val="21"/>
        </w:rPr>
        <w:t xml:space="preserve">Los Proponentes acreditarán para cada uno de los contratos aportados la siguiente información mediante alguno de los documentos señalados en la sección 3.5.5 del pliego de condiciones: </w:t>
      </w:r>
    </w:p>
    <w:p w14:paraId="1AB14AB6" w14:textId="77777777" w:rsidR="00E335D4" w:rsidRDefault="00E335D4" w:rsidP="00E335D4">
      <w:pPr>
        <w:pBdr>
          <w:top w:val="nil"/>
          <w:left w:val="nil"/>
          <w:bottom w:val="nil"/>
          <w:right w:val="nil"/>
          <w:between w:val="nil"/>
        </w:pBdr>
        <w:tabs>
          <w:tab w:val="left" w:pos="-142"/>
        </w:tabs>
        <w:ind w:left="709" w:right="709"/>
        <w:jc w:val="both"/>
        <w:rPr>
          <w:rFonts w:ascii="Arial" w:eastAsia="Arial" w:hAnsi="Arial" w:cs="Arial"/>
          <w:color w:val="000000"/>
          <w:sz w:val="21"/>
          <w:szCs w:val="21"/>
        </w:rPr>
      </w:pPr>
    </w:p>
    <w:p w14:paraId="1E8BECFB" w14:textId="77777777" w:rsidR="00E335D4" w:rsidRDefault="00E335D4" w:rsidP="00E335D4">
      <w:pPr>
        <w:numPr>
          <w:ilvl w:val="0"/>
          <w:numId w:val="2"/>
        </w:numPr>
        <w:pBdr>
          <w:top w:val="nil"/>
          <w:left w:val="nil"/>
          <w:bottom w:val="nil"/>
          <w:right w:val="nil"/>
          <w:between w:val="nil"/>
        </w:pBdr>
        <w:tabs>
          <w:tab w:val="left" w:pos="-142"/>
        </w:tabs>
        <w:ind w:left="709" w:right="709" w:firstLine="0"/>
        <w:jc w:val="both"/>
        <w:rPr>
          <w:rFonts w:ascii="Arial" w:eastAsia="Arial" w:hAnsi="Arial" w:cs="Arial"/>
          <w:color w:val="000000"/>
          <w:sz w:val="21"/>
          <w:szCs w:val="21"/>
        </w:rPr>
      </w:pPr>
      <w:r>
        <w:rPr>
          <w:rFonts w:ascii="Arial" w:eastAsia="Arial" w:hAnsi="Arial" w:cs="Arial"/>
          <w:color w:val="000000"/>
          <w:sz w:val="21"/>
          <w:szCs w:val="21"/>
        </w:rPr>
        <w:t>Contratante</w:t>
      </w:r>
    </w:p>
    <w:p w14:paraId="790F09E2" w14:textId="77777777" w:rsidR="00E335D4" w:rsidRDefault="00E335D4" w:rsidP="00E335D4">
      <w:pPr>
        <w:numPr>
          <w:ilvl w:val="0"/>
          <w:numId w:val="2"/>
        </w:numPr>
        <w:pBdr>
          <w:top w:val="nil"/>
          <w:left w:val="nil"/>
          <w:bottom w:val="nil"/>
          <w:right w:val="nil"/>
          <w:between w:val="nil"/>
        </w:pBdr>
        <w:tabs>
          <w:tab w:val="left" w:pos="-142"/>
        </w:tabs>
        <w:ind w:left="709" w:right="709" w:firstLine="0"/>
        <w:jc w:val="both"/>
        <w:rPr>
          <w:rFonts w:ascii="Arial" w:eastAsia="Arial" w:hAnsi="Arial" w:cs="Arial"/>
          <w:color w:val="000000"/>
          <w:sz w:val="21"/>
          <w:szCs w:val="21"/>
        </w:rPr>
      </w:pPr>
      <w:r>
        <w:rPr>
          <w:rFonts w:ascii="Arial" w:eastAsia="Arial" w:hAnsi="Arial" w:cs="Arial"/>
          <w:color w:val="000000"/>
          <w:sz w:val="21"/>
          <w:szCs w:val="21"/>
        </w:rPr>
        <w:t>Objeto del contrato</w:t>
      </w:r>
    </w:p>
    <w:p w14:paraId="50FB25DA" w14:textId="1441731D" w:rsidR="00E335D4" w:rsidRDefault="00E335D4" w:rsidP="00E335D4">
      <w:pPr>
        <w:numPr>
          <w:ilvl w:val="0"/>
          <w:numId w:val="2"/>
        </w:numPr>
        <w:pBdr>
          <w:top w:val="nil"/>
          <w:left w:val="nil"/>
          <w:bottom w:val="nil"/>
          <w:right w:val="nil"/>
          <w:between w:val="nil"/>
        </w:pBdr>
        <w:tabs>
          <w:tab w:val="left" w:pos="-142"/>
        </w:tabs>
        <w:ind w:left="709" w:right="709" w:firstLine="0"/>
        <w:jc w:val="both"/>
        <w:rPr>
          <w:rFonts w:ascii="Arial" w:eastAsia="Arial" w:hAnsi="Arial" w:cs="Arial"/>
          <w:color w:val="000000"/>
          <w:sz w:val="21"/>
          <w:szCs w:val="21"/>
        </w:rPr>
      </w:pPr>
      <w:r>
        <w:rPr>
          <w:rFonts w:ascii="Arial" w:eastAsia="Arial" w:hAnsi="Arial" w:cs="Arial"/>
          <w:color w:val="000000"/>
          <w:sz w:val="21"/>
          <w:szCs w:val="21"/>
        </w:rPr>
        <w:t>Principales actividades ejecutadas</w:t>
      </w:r>
    </w:p>
    <w:p w14:paraId="2DE9D616" w14:textId="320D9E05" w:rsidR="003976E4" w:rsidRDefault="003976E4" w:rsidP="00F34478">
      <w:pPr>
        <w:pBdr>
          <w:top w:val="nil"/>
          <w:left w:val="nil"/>
          <w:bottom w:val="nil"/>
          <w:right w:val="nil"/>
          <w:between w:val="nil"/>
        </w:pBdr>
        <w:tabs>
          <w:tab w:val="left" w:pos="-142"/>
        </w:tabs>
        <w:ind w:left="709" w:right="709"/>
        <w:jc w:val="both"/>
        <w:rPr>
          <w:rFonts w:ascii="Arial" w:eastAsia="Arial" w:hAnsi="Arial" w:cs="Arial"/>
          <w:color w:val="000000"/>
          <w:sz w:val="21"/>
          <w:szCs w:val="21"/>
        </w:rPr>
      </w:pPr>
      <w:r>
        <w:rPr>
          <w:rFonts w:ascii="Arial" w:eastAsia="Arial" w:hAnsi="Arial" w:cs="Arial"/>
          <w:color w:val="000000"/>
          <w:sz w:val="21"/>
          <w:szCs w:val="21"/>
        </w:rPr>
        <w:t>[…]</w:t>
      </w:r>
    </w:p>
    <w:p w14:paraId="4DE7F4AF" w14:textId="77777777" w:rsidR="00E335D4" w:rsidRDefault="00E335D4" w:rsidP="00E335D4">
      <w:pPr>
        <w:spacing w:line="276" w:lineRule="auto"/>
        <w:jc w:val="both"/>
        <w:rPr>
          <w:rFonts w:ascii="Arial" w:eastAsia="Arial" w:hAnsi="Arial" w:cs="Arial"/>
          <w:color w:val="000000"/>
          <w:sz w:val="22"/>
          <w:szCs w:val="22"/>
        </w:rPr>
      </w:pPr>
    </w:p>
    <w:p w14:paraId="56A2CB45" w14:textId="77777777" w:rsidR="00E335D4" w:rsidRDefault="00E335D4" w:rsidP="00E335D4">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Por su parte la Matriz 1 establece en la Columna B del Excel la siguiente nota: </w:t>
      </w:r>
    </w:p>
    <w:p w14:paraId="3E5CECE9" w14:textId="77777777" w:rsidR="00E335D4" w:rsidRDefault="00E335D4" w:rsidP="00E335D4">
      <w:pPr>
        <w:ind w:left="709"/>
        <w:jc w:val="both"/>
        <w:rPr>
          <w:rFonts w:ascii="Arial" w:eastAsia="Arial" w:hAnsi="Arial" w:cs="Arial"/>
          <w:color w:val="000000"/>
          <w:sz w:val="21"/>
          <w:szCs w:val="21"/>
        </w:rPr>
      </w:pPr>
    </w:p>
    <w:p w14:paraId="0DF96E21" w14:textId="77777777" w:rsidR="00E335D4" w:rsidRDefault="00E335D4" w:rsidP="00E335D4">
      <w:pPr>
        <w:pBdr>
          <w:top w:val="nil"/>
          <w:left w:val="nil"/>
          <w:bottom w:val="nil"/>
          <w:right w:val="nil"/>
          <w:between w:val="nil"/>
        </w:pBdr>
        <w:tabs>
          <w:tab w:val="left" w:pos="-142"/>
        </w:tabs>
        <w:ind w:left="709" w:right="709"/>
        <w:jc w:val="both"/>
        <w:rPr>
          <w:rFonts w:ascii="Arial" w:eastAsia="Arial" w:hAnsi="Arial" w:cs="Arial"/>
          <w:color w:val="000000"/>
          <w:sz w:val="21"/>
          <w:szCs w:val="21"/>
        </w:rPr>
      </w:pPr>
      <w:r>
        <w:rPr>
          <w:rFonts w:ascii="Arial" w:eastAsia="Arial" w:hAnsi="Arial" w:cs="Arial"/>
          <w:color w:val="000000"/>
          <w:sz w:val="21"/>
          <w:szCs w:val="21"/>
        </w:rPr>
        <w:t>Que hayan contenido la ejecución de:</w:t>
      </w:r>
    </w:p>
    <w:p w14:paraId="3502A668" w14:textId="77777777" w:rsidR="00E335D4" w:rsidRDefault="00E335D4" w:rsidP="00E335D4">
      <w:pPr>
        <w:pBdr>
          <w:top w:val="nil"/>
          <w:left w:val="nil"/>
          <w:bottom w:val="nil"/>
          <w:right w:val="nil"/>
          <w:between w:val="nil"/>
        </w:pBdr>
        <w:tabs>
          <w:tab w:val="left" w:pos="-142"/>
        </w:tabs>
        <w:ind w:left="709" w:right="709"/>
        <w:jc w:val="both"/>
        <w:rPr>
          <w:rFonts w:ascii="Arial" w:eastAsia="Arial" w:hAnsi="Arial" w:cs="Arial"/>
          <w:color w:val="000000"/>
          <w:sz w:val="21"/>
          <w:szCs w:val="21"/>
        </w:rPr>
      </w:pPr>
    </w:p>
    <w:p w14:paraId="41B6A305" w14:textId="77777777" w:rsidR="00E335D4" w:rsidRDefault="00E335D4" w:rsidP="00E335D4">
      <w:pPr>
        <w:pBdr>
          <w:top w:val="nil"/>
          <w:left w:val="nil"/>
          <w:bottom w:val="nil"/>
          <w:right w:val="nil"/>
          <w:between w:val="nil"/>
        </w:pBdr>
        <w:tabs>
          <w:tab w:val="left" w:pos="-142"/>
        </w:tabs>
        <w:ind w:left="709" w:right="709"/>
        <w:jc w:val="both"/>
        <w:rPr>
          <w:rFonts w:ascii="Arial" w:eastAsia="Arial" w:hAnsi="Arial" w:cs="Arial"/>
          <w:color w:val="000000"/>
          <w:sz w:val="21"/>
          <w:szCs w:val="21"/>
        </w:rPr>
      </w:pPr>
      <w:r>
        <w:rPr>
          <w:rFonts w:ascii="Arial" w:eastAsia="Arial" w:hAnsi="Arial" w:cs="Arial"/>
          <w:color w:val="000000"/>
          <w:sz w:val="21"/>
          <w:szCs w:val="21"/>
        </w:rPr>
        <w:lastRenderedPageBreak/>
        <w:t>(Nota: La ejecución de actividades se pedirán según el requerimiento de cada proceso, se pueden pedir los de cada ACTIVIDAD A CONTRATAR o sus combinaciones.</w:t>
      </w:r>
    </w:p>
    <w:p w14:paraId="1698DC59" w14:textId="77777777" w:rsidR="00E335D4" w:rsidRDefault="00E335D4" w:rsidP="00E335D4">
      <w:pPr>
        <w:jc w:val="both"/>
        <w:rPr>
          <w:rFonts w:ascii="Arial" w:eastAsia="Arial" w:hAnsi="Arial" w:cs="Arial"/>
          <w:color w:val="000000"/>
          <w:sz w:val="22"/>
          <w:szCs w:val="22"/>
        </w:rPr>
      </w:pPr>
    </w:p>
    <w:p w14:paraId="0149FA88" w14:textId="77777777" w:rsidR="00E335D4" w:rsidRDefault="00E335D4" w:rsidP="00F34478">
      <w:pPr>
        <w:spacing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La anterior nota también establece que la verificación de la experiencia se realizará a partir de las actividades requeridas y ejecutadas para cada «actividad a contratar». </w:t>
      </w:r>
    </w:p>
    <w:p w14:paraId="0E1CEFBA" w14:textId="77777777" w:rsidR="00E335D4" w:rsidRDefault="00E335D4" w:rsidP="00E335D4">
      <w:pPr>
        <w:spacing w:before="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El numeral 3.5.5 establece cuáles son los documentos válidos para acreditar la experiencia requerida: </w:t>
      </w:r>
    </w:p>
    <w:p w14:paraId="07256E85" w14:textId="77777777" w:rsidR="00E335D4" w:rsidRDefault="00E335D4" w:rsidP="00E335D4">
      <w:pPr>
        <w:spacing w:line="276" w:lineRule="auto"/>
        <w:jc w:val="both"/>
        <w:rPr>
          <w:rFonts w:ascii="Arial" w:eastAsia="Arial" w:hAnsi="Arial" w:cs="Arial"/>
          <w:color w:val="000000"/>
          <w:sz w:val="22"/>
          <w:szCs w:val="22"/>
        </w:rPr>
      </w:pPr>
    </w:p>
    <w:p w14:paraId="420D88EB" w14:textId="77777777" w:rsidR="00E335D4" w:rsidRDefault="00E335D4" w:rsidP="00E335D4">
      <w:pPr>
        <w:ind w:left="709" w:right="709"/>
        <w:jc w:val="both"/>
        <w:rPr>
          <w:rFonts w:ascii="Arial" w:eastAsia="Arial" w:hAnsi="Arial" w:cs="Arial"/>
          <w:color w:val="000000"/>
          <w:sz w:val="21"/>
          <w:szCs w:val="21"/>
        </w:rPr>
      </w:pPr>
      <w:r>
        <w:rPr>
          <w:rFonts w:ascii="Arial" w:eastAsia="Arial" w:hAnsi="Arial" w:cs="Arial"/>
          <w:color w:val="000000"/>
          <w:sz w:val="21"/>
          <w:szCs w:val="21"/>
        </w:rPr>
        <w:t>El Proponente podrá aportar uno o algunos de los documentos que se establecen a continuación con el fin de complementar la información solicitada. Los mismos deberán estar debidamente diligenciados y suscritos por el contratante. En caso de existir discrepancias entre dos (2) o más documentos aportados por el Proponente para la acreditación de experiencia, se tendrá en cuenta el orden de prevalencia establecido a continuación:</w:t>
      </w:r>
    </w:p>
    <w:p w14:paraId="1C4A8217" w14:textId="77777777" w:rsidR="00E335D4" w:rsidRDefault="00E335D4" w:rsidP="00E335D4">
      <w:pPr>
        <w:ind w:left="709" w:right="709"/>
        <w:jc w:val="both"/>
        <w:rPr>
          <w:rFonts w:ascii="Arial" w:eastAsia="Arial" w:hAnsi="Arial" w:cs="Arial"/>
          <w:color w:val="000000"/>
          <w:sz w:val="21"/>
          <w:szCs w:val="21"/>
        </w:rPr>
      </w:pPr>
    </w:p>
    <w:p w14:paraId="716D7EEC" w14:textId="77777777" w:rsidR="00E335D4" w:rsidRDefault="00E335D4" w:rsidP="00E335D4">
      <w:pPr>
        <w:ind w:left="709" w:right="709"/>
        <w:jc w:val="both"/>
        <w:rPr>
          <w:rFonts w:ascii="Arial" w:eastAsia="Arial" w:hAnsi="Arial" w:cs="Arial"/>
          <w:color w:val="000000"/>
          <w:sz w:val="21"/>
          <w:szCs w:val="21"/>
        </w:rPr>
      </w:pPr>
      <w:r>
        <w:rPr>
          <w:rFonts w:ascii="Arial" w:eastAsia="Arial" w:hAnsi="Arial" w:cs="Arial"/>
          <w:color w:val="000000"/>
          <w:sz w:val="21"/>
          <w:szCs w:val="21"/>
        </w:rPr>
        <w:t>A.</w:t>
      </w:r>
      <w:r>
        <w:rPr>
          <w:rFonts w:ascii="Arial" w:eastAsia="Arial" w:hAnsi="Arial" w:cs="Arial"/>
          <w:color w:val="000000"/>
          <w:sz w:val="21"/>
          <w:szCs w:val="21"/>
        </w:rPr>
        <w:tab/>
        <w:t>Acta de Liquidación</w:t>
      </w:r>
    </w:p>
    <w:p w14:paraId="10AB2A62" w14:textId="77777777" w:rsidR="00E335D4" w:rsidRDefault="00E335D4" w:rsidP="00E335D4">
      <w:pPr>
        <w:ind w:left="709" w:right="709"/>
        <w:jc w:val="both"/>
        <w:rPr>
          <w:rFonts w:ascii="Arial" w:eastAsia="Arial" w:hAnsi="Arial" w:cs="Arial"/>
          <w:color w:val="000000"/>
          <w:sz w:val="21"/>
          <w:szCs w:val="21"/>
        </w:rPr>
      </w:pPr>
    </w:p>
    <w:p w14:paraId="1185B4D1" w14:textId="77777777" w:rsidR="00E335D4" w:rsidRDefault="00E335D4" w:rsidP="00E335D4">
      <w:pPr>
        <w:ind w:left="709" w:right="709"/>
        <w:jc w:val="both"/>
        <w:rPr>
          <w:rFonts w:ascii="Arial" w:eastAsia="Arial" w:hAnsi="Arial" w:cs="Arial"/>
          <w:color w:val="000000"/>
          <w:sz w:val="21"/>
          <w:szCs w:val="21"/>
        </w:rPr>
      </w:pPr>
      <w:r>
        <w:rPr>
          <w:rFonts w:ascii="Arial" w:eastAsia="Arial" w:hAnsi="Arial" w:cs="Arial"/>
          <w:color w:val="000000"/>
          <w:sz w:val="21"/>
          <w:szCs w:val="21"/>
        </w:rPr>
        <w:t>B.</w:t>
      </w:r>
      <w:r>
        <w:rPr>
          <w:rFonts w:ascii="Arial" w:eastAsia="Arial" w:hAnsi="Arial" w:cs="Arial"/>
          <w:color w:val="000000"/>
          <w:sz w:val="21"/>
          <w:szCs w:val="21"/>
        </w:rPr>
        <w:tab/>
        <w:t xml:space="preserve">Acta de entrega, terminación, final o de recibo definitivo. </w:t>
      </w:r>
    </w:p>
    <w:p w14:paraId="517666C7" w14:textId="77777777" w:rsidR="00E335D4" w:rsidRDefault="00E335D4" w:rsidP="00E335D4">
      <w:pPr>
        <w:ind w:left="709" w:right="709"/>
        <w:jc w:val="both"/>
        <w:rPr>
          <w:rFonts w:ascii="Arial" w:eastAsia="Arial" w:hAnsi="Arial" w:cs="Arial"/>
          <w:color w:val="000000"/>
          <w:sz w:val="21"/>
          <w:szCs w:val="21"/>
        </w:rPr>
      </w:pPr>
    </w:p>
    <w:p w14:paraId="4651CA9E" w14:textId="77777777" w:rsidR="00E335D4" w:rsidRDefault="00E335D4" w:rsidP="00E335D4">
      <w:pPr>
        <w:ind w:left="709" w:right="709"/>
        <w:jc w:val="both"/>
        <w:rPr>
          <w:rFonts w:ascii="Arial" w:eastAsia="Arial" w:hAnsi="Arial" w:cs="Arial"/>
          <w:color w:val="000000"/>
          <w:sz w:val="21"/>
          <w:szCs w:val="21"/>
        </w:rPr>
      </w:pPr>
      <w:r>
        <w:rPr>
          <w:rFonts w:ascii="Arial" w:eastAsia="Arial" w:hAnsi="Arial" w:cs="Arial"/>
          <w:color w:val="000000"/>
          <w:sz w:val="21"/>
          <w:szCs w:val="21"/>
        </w:rPr>
        <w:t>C.</w:t>
      </w:r>
      <w:r>
        <w:rPr>
          <w:rFonts w:ascii="Arial" w:eastAsia="Arial" w:hAnsi="Arial" w:cs="Arial"/>
          <w:color w:val="000000"/>
          <w:sz w:val="21"/>
          <w:szCs w:val="21"/>
        </w:rPr>
        <w:tab/>
        <w:t>Certificación de experiencia. Expedida con posterioridad a la fecha de terminación del contrato en la que conste el recibo a satisfacción de la obra contratada debidamente suscrita por quien esté en capacidad u obligación de hacerlo.</w:t>
      </w:r>
    </w:p>
    <w:p w14:paraId="4AD6DF92" w14:textId="77777777" w:rsidR="00E335D4" w:rsidRDefault="00E335D4" w:rsidP="00E335D4">
      <w:pPr>
        <w:ind w:left="709" w:right="709"/>
        <w:jc w:val="both"/>
        <w:rPr>
          <w:rFonts w:ascii="Arial" w:eastAsia="Arial" w:hAnsi="Arial" w:cs="Arial"/>
          <w:color w:val="000000"/>
          <w:sz w:val="21"/>
          <w:szCs w:val="21"/>
        </w:rPr>
      </w:pPr>
    </w:p>
    <w:p w14:paraId="304BCB84" w14:textId="77777777" w:rsidR="00E335D4" w:rsidRDefault="00E335D4" w:rsidP="00E335D4">
      <w:pPr>
        <w:ind w:left="709" w:right="709"/>
        <w:jc w:val="both"/>
        <w:rPr>
          <w:rFonts w:ascii="Arial" w:eastAsia="Arial" w:hAnsi="Arial" w:cs="Arial"/>
          <w:color w:val="000000"/>
          <w:sz w:val="21"/>
          <w:szCs w:val="21"/>
        </w:rPr>
      </w:pPr>
      <w:r>
        <w:rPr>
          <w:rFonts w:ascii="Arial" w:eastAsia="Arial" w:hAnsi="Arial" w:cs="Arial"/>
          <w:color w:val="000000"/>
          <w:sz w:val="21"/>
          <w:szCs w:val="21"/>
        </w:rPr>
        <w:t>D.</w:t>
      </w:r>
      <w:r>
        <w:rPr>
          <w:rFonts w:ascii="Arial" w:eastAsia="Arial" w:hAnsi="Arial" w:cs="Arial"/>
          <w:color w:val="000000"/>
          <w:sz w:val="21"/>
          <w:szCs w:val="21"/>
        </w:rPr>
        <w:tab/>
        <w:t>Acta de inicio o la orden de inicio. La misma sólo será válida para efectos de acreditar la fecha de inicio.</w:t>
      </w:r>
    </w:p>
    <w:p w14:paraId="66CB5ADF" w14:textId="77777777" w:rsidR="00E335D4" w:rsidRDefault="00E335D4" w:rsidP="00E335D4">
      <w:pPr>
        <w:ind w:left="709" w:right="709"/>
        <w:jc w:val="both"/>
        <w:rPr>
          <w:rFonts w:ascii="Arial" w:eastAsia="Arial" w:hAnsi="Arial" w:cs="Arial"/>
          <w:color w:val="000000"/>
          <w:sz w:val="21"/>
          <w:szCs w:val="21"/>
        </w:rPr>
      </w:pPr>
    </w:p>
    <w:p w14:paraId="226A07A3" w14:textId="77777777" w:rsidR="00E335D4" w:rsidRDefault="00E335D4" w:rsidP="00E335D4">
      <w:pPr>
        <w:ind w:left="709" w:right="709"/>
        <w:jc w:val="both"/>
        <w:rPr>
          <w:rFonts w:ascii="Arial" w:eastAsia="Arial" w:hAnsi="Arial" w:cs="Arial"/>
          <w:color w:val="000000"/>
          <w:sz w:val="21"/>
          <w:szCs w:val="21"/>
        </w:rPr>
      </w:pPr>
      <w:r>
        <w:rPr>
          <w:rFonts w:ascii="Arial" w:eastAsia="Arial" w:hAnsi="Arial" w:cs="Arial"/>
          <w:color w:val="000000"/>
          <w:sz w:val="21"/>
          <w:szCs w:val="21"/>
        </w:rPr>
        <w:t>E.</w:t>
      </w:r>
      <w:r>
        <w:rPr>
          <w:rFonts w:ascii="Arial" w:eastAsia="Arial" w:hAnsi="Arial" w:cs="Arial"/>
          <w:color w:val="000000"/>
          <w:sz w:val="21"/>
          <w:szCs w:val="21"/>
        </w:rPr>
        <w:tab/>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58B3BDE6" w14:textId="77777777" w:rsidR="00E335D4" w:rsidRDefault="00E335D4" w:rsidP="00E335D4">
      <w:pPr>
        <w:ind w:left="709" w:right="709"/>
        <w:jc w:val="both"/>
        <w:rPr>
          <w:rFonts w:ascii="Arial" w:eastAsia="Arial" w:hAnsi="Arial" w:cs="Arial"/>
          <w:color w:val="000000"/>
          <w:sz w:val="21"/>
          <w:szCs w:val="21"/>
        </w:rPr>
      </w:pPr>
      <w:r>
        <w:rPr>
          <w:rFonts w:ascii="Arial" w:eastAsia="Arial" w:hAnsi="Arial" w:cs="Arial"/>
          <w:color w:val="000000"/>
          <w:sz w:val="21"/>
          <w:szCs w:val="21"/>
        </w:rPr>
        <w:t>[…]</w:t>
      </w:r>
    </w:p>
    <w:p w14:paraId="0288F78D" w14:textId="77777777" w:rsidR="00E335D4" w:rsidRDefault="00E335D4" w:rsidP="00E335D4">
      <w:pPr>
        <w:spacing w:line="276" w:lineRule="auto"/>
        <w:jc w:val="both"/>
        <w:rPr>
          <w:rFonts w:ascii="Arial" w:eastAsia="Arial" w:hAnsi="Arial" w:cs="Arial"/>
          <w:color w:val="000000"/>
          <w:sz w:val="22"/>
          <w:szCs w:val="22"/>
        </w:rPr>
      </w:pPr>
    </w:p>
    <w:p w14:paraId="5B8D8B47" w14:textId="77777777" w:rsidR="00E335D4" w:rsidRDefault="00E335D4" w:rsidP="00F34478">
      <w:pPr>
        <w:spacing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t>Los documentos relacionados son válidos para que los proponentes acrediten «las actividades ejecutadas» definidas en la «Matriz 1- Experiencia», por supuesto, cuando el contenido de estos permita identificar el alcance de dichas actividades y siempre que la información cumpla con las exigencias del numeral 3.5.4., las cuales, como se señaló en el concepto con radicado No. 4201912000005591, emitido el 16 de septiembre de 2019</w:t>
      </w:r>
      <w:r>
        <w:rPr>
          <w:rFonts w:ascii="Arial" w:eastAsia="Arial" w:hAnsi="Arial" w:cs="Arial"/>
          <w:color w:val="000000"/>
          <w:sz w:val="22"/>
          <w:szCs w:val="22"/>
          <w:vertAlign w:val="superscript"/>
        </w:rPr>
        <w:footnoteReference w:id="14"/>
      </w:r>
      <w:r>
        <w:rPr>
          <w:rFonts w:ascii="Arial" w:eastAsia="Arial" w:hAnsi="Arial" w:cs="Arial"/>
          <w:color w:val="000000"/>
          <w:sz w:val="22"/>
          <w:szCs w:val="22"/>
        </w:rPr>
        <w:t>, no pueden ser modificadas por la entidad pública.</w:t>
      </w:r>
    </w:p>
    <w:p w14:paraId="6024FF55" w14:textId="77777777" w:rsidR="00E335D4" w:rsidRDefault="00E335D4" w:rsidP="00E335D4">
      <w:pPr>
        <w:spacing w:before="120" w:line="276" w:lineRule="auto"/>
        <w:ind w:firstLine="708"/>
        <w:jc w:val="both"/>
        <w:rPr>
          <w:rFonts w:ascii="Arial" w:eastAsia="Arial" w:hAnsi="Arial" w:cs="Arial"/>
          <w:color w:val="000000"/>
          <w:sz w:val="22"/>
          <w:szCs w:val="22"/>
        </w:rPr>
      </w:pPr>
      <w:r>
        <w:rPr>
          <w:rFonts w:ascii="Arial" w:eastAsia="Arial" w:hAnsi="Arial" w:cs="Arial"/>
          <w:color w:val="000000"/>
          <w:sz w:val="22"/>
          <w:szCs w:val="22"/>
        </w:rPr>
        <w:lastRenderedPageBreak/>
        <w:t>Finalmente, se debe precisar que, para efectos de la acreditación de experiencia entre particulares, el proponente deberá aportar, adicionalmente, alguno de estos documentos: i) «Certificación de facturación expedida con posterioridad a la fecha de terminación del contrato emitida por el revisor fiscal o contador público del Proponente que acredita la experiencia, según corresponda con la copia de la tarjeta profesional del contador público o revisor fiscal (según corresponda) y certificado de antecedentes disciplinarios vigente, expedido por la Junta Central de Contadores, o los documentos equivalentes que hagan sus veces en el país donde se expide el documento del profesional» y ii) «Copia de la declaración del impuesto a las ventas (IVA) del Proponente o alguno de sus integrantes, correspondiente al periodo de ejecución del contrato o impuesto de timbre del contrato o licencia de construcción cuando la obra fue realizada en urbanizaciones».</w:t>
      </w:r>
    </w:p>
    <w:p w14:paraId="066436E0" w14:textId="77777777" w:rsidR="00E335D4" w:rsidRDefault="00E335D4" w:rsidP="00E335D4">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Con fundamento en las consideraciones plasmadas en los numerales 2.1. y 2.2. </w:t>
      </w:r>
      <w:r>
        <w:rPr>
          <w:rFonts w:ascii="Arial" w:eastAsia="Arial" w:hAnsi="Arial" w:cs="Arial"/>
          <w:i/>
          <w:sz w:val="22"/>
          <w:szCs w:val="22"/>
        </w:rPr>
        <w:t>supra</w:t>
      </w:r>
      <w:r>
        <w:rPr>
          <w:rFonts w:ascii="Arial" w:eastAsia="Arial" w:hAnsi="Arial" w:cs="Arial"/>
          <w:sz w:val="22"/>
          <w:szCs w:val="22"/>
        </w:rPr>
        <w:t>, se contestarán las inquietudes formuladas.</w:t>
      </w:r>
    </w:p>
    <w:p w14:paraId="4D99DE6E" w14:textId="77777777" w:rsidR="00E335D4" w:rsidRDefault="00E335D4" w:rsidP="00E335D4">
      <w:pPr>
        <w:spacing w:line="276" w:lineRule="auto"/>
        <w:ind w:right="709"/>
        <w:jc w:val="both"/>
        <w:rPr>
          <w:rFonts w:ascii="Arial" w:eastAsia="Arial" w:hAnsi="Arial" w:cs="Arial"/>
          <w:color w:val="000000"/>
          <w:sz w:val="21"/>
          <w:szCs w:val="21"/>
        </w:rPr>
      </w:pPr>
    </w:p>
    <w:p w14:paraId="22F6FE80" w14:textId="77777777" w:rsidR="00E335D4" w:rsidRDefault="00E335D4" w:rsidP="00E335D4">
      <w:pPr>
        <w:numPr>
          <w:ilvl w:val="0"/>
          <w:numId w:val="3"/>
        </w:numPr>
        <w:pBdr>
          <w:top w:val="nil"/>
          <w:left w:val="nil"/>
          <w:bottom w:val="nil"/>
          <w:right w:val="nil"/>
          <w:between w:val="nil"/>
        </w:pBdr>
        <w:tabs>
          <w:tab w:val="left" w:pos="284"/>
        </w:tabs>
        <w:spacing w:line="276" w:lineRule="auto"/>
        <w:ind w:left="0" w:firstLine="0"/>
        <w:rPr>
          <w:rFonts w:ascii="Arial" w:eastAsia="Arial" w:hAnsi="Arial" w:cs="Arial"/>
          <w:sz w:val="22"/>
          <w:szCs w:val="22"/>
        </w:rPr>
      </w:pPr>
      <w:r>
        <w:rPr>
          <w:rFonts w:ascii="Arial" w:eastAsia="Arial" w:hAnsi="Arial" w:cs="Arial"/>
          <w:b/>
          <w:color w:val="000000"/>
          <w:sz w:val="22"/>
          <w:szCs w:val="22"/>
        </w:rPr>
        <w:t>Respuestas</w:t>
      </w:r>
    </w:p>
    <w:p w14:paraId="788E347C" w14:textId="77777777" w:rsidR="00E335D4" w:rsidRDefault="00E335D4" w:rsidP="00E335D4">
      <w:pPr>
        <w:spacing w:line="276" w:lineRule="auto"/>
        <w:ind w:right="709"/>
        <w:jc w:val="both"/>
        <w:rPr>
          <w:rFonts w:ascii="Arial" w:eastAsia="Arial" w:hAnsi="Arial" w:cs="Arial"/>
          <w:color w:val="000000"/>
          <w:sz w:val="21"/>
          <w:szCs w:val="21"/>
        </w:rPr>
      </w:pPr>
    </w:p>
    <w:p w14:paraId="02807DE6" w14:textId="4CDC14C7" w:rsidR="00E335D4" w:rsidRDefault="00E335D4" w:rsidP="00E335D4">
      <w:pPr>
        <w:ind w:left="709" w:right="758"/>
        <w:jc w:val="both"/>
        <w:rPr>
          <w:rFonts w:ascii="Arial" w:eastAsia="Arial" w:hAnsi="Arial" w:cs="Arial"/>
          <w:color w:val="000000"/>
          <w:sz w:val="22"/>
          <w:szCs w:val="22"/>
        </w:rPr>
      </w:pPr>
      <w:r>
        <w:rPr>
          <w:rFonts w:ascii="Arial" w:eastAsia="Arial" w:hAnsi="Arial" w:cs="Arial"/>
          <w:color w:val="000000"/>
          <w:sz w:val="22"/>
          <w:szCs w:val="22"/>
        </w:rPr>
        <w:t xml:space="preserve">i) </w:t>
      </w:r>
      <w:r w:rsidR="00AD2BA4" w:rsidRPr="00AD2BA4">
        <w:rPr>
          <w:rFonts w:ascii="Arial" w:eastAsia="Arial" w:hAnsi="Arial" w:cs="Arial"/>
          <w:color w:val="000000"/>
          <w:sz w:val="22"/>
          <w:szCs w:val="22"/>
        </w:rPr>
        <w:t>«¿La entidad debe recalcular los valores asignados a los demás proponentes por concepto de estos ofrecimientos, debido a que la propuesta de máximo puntaje fue rechazada por error en la propuesta económica? O, por el contrario, [¿]la entidad debe conservar los puntajes asignados hasta antes del rechazo de la propuesta con mayores ofrecimientos de garantías, cuadrillas y/o mantenimientos adicionales?» (Corchetes fuera de texto)</w:t>
      </w:r>
      <w:r w:rsidR="00AD2BA4">
        <w:rPr>
          <w:rFonts w:ascii="Arial" w:eastAsia="Arial" w:hAnsi="Arial" w:cs="Arial"/>
          <w:color w:val="000000"/>
          <w:sz w:val="22"/>
          <w:szCs w:val="22"/>
        </w:rPr>
        <w:t>.</w:t>
      </w:r>
      <w:r>
        <w:rPr>
          <w:rFonts w:ascii="Arial" w:eastAsia="Arial" w:hAnsi="Arial" w:cs="Arial"/>
          <w:color w:val="000000"/>
          <w:sz w:val="22"/>
          <w:szCs w:val="22"/>
        </w:rPr>
        <w:t xml:space="preserve"> </w:t>
      </w:r>
    </w:p>
    <w:p w14:paraId="166A95FB" w14:textId="77777777" w:rsidR="00E335D4" w:rsidRDefault="00E335D4" w:rsidP="00E335D4">
      <w:pPr>
        <w:ind w:right="758"/>
        <w:jc w:val="both"/>
        <w:rPr>
          <w:rFonts w:ascii="Arial" w:eastAsia="Arial" w:hAnsi="Arial" w:cs="Arial"/>
          <w:color w:val="000000"/>
          <w:sz w:val="22"/>
          <w:szCs w:val="22"/>
        </w:rPr>
      </w:pPr>
    </w:p>
    <w:p w14:paraId="12088539" w14:textId="66062883" w:rsidR="00E335D4" w:rsidRDefault="00E335D4" w:rsidP="00E335D4">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 xml:space="preserve">Los factores «garantía suplementaria o adicional», «cuadrillas de trabajo adicional» y «mantenimiento adicional», deben ser calculados de acuerdo con las fórmulas que establece el </w:t>
      </w:r>
      <w:r w:rsidR="00AD2BA4">
        <w:rPr>
          <w:rFonts w:ascii="Arial" w:eastAsia="Arial" w:hAnsi="Arial" w:cs="Arial"/>
          <w:sz w:val="22"/>
          <w:szCs w:val="22"/>
        </w:rPr>
        <w:t>documento base</w:t>
      </w:r>
      <w:r>
        <w:rPr>
          <w:rFonts w:ascii="Arial" w:eastAsia="Arial" w:hAnsi="Arial" w:cs="Arial"/>
          <w:sz w:val="22"/>
          <w:szCs w:val="22"/>
        </w:rPr>
        <w:t xml:space="preserve"> en los numerales 4.2.4. a 4.2.6. En los tres casos, es indispensable establecer quién es el proponente que tiene </w:t>
      </w:r>
      <w:r w:rsidR="006A28FA">
        <w:rPr>
          <w:rFonts w:ascii="Arial" w:eastAsia="Arial" w:hAnsi="Arial" w:cs="Arial"/>
          <w:sz w:val="22"/>
          <w:szCs w:val="22"/>
        </w:rPr>
        <w:t>el</w:t>
      </w:r>
      <w:r>
        <w:rPr>
          <w:rFonts w:ascii="Arial" w:eastAsia="Arial" w:hAnsi="Arial" w:cs="Arial"/>
          <w:sz w:val="22"/>
          <w:szCs w:val="22"/>
        </w:rPr>
        <w:t xml:space="preserve"> «máximo ofertado» para hacer el cálculo respectivo.</w:t>
      </w:r>
    </w:p>
    <w:p w14:paraId="6BEB8750" w14:textId="321600D8" w:rsidR="00E335D4" w:rsidRDefault="00E335D4" w:rsidP="00E335D4">
      <w:pPr>
        <w:tabs>
          <w:tab w:val="left" w:pos="709"/>
        </w:tabs>
        <w:spacing w:before="120" w:line="276" w:lineRule="auto"/>
        <w:jc w:val="both"/>
        <w:rPr>
          <w:rFonts w:ascii="Arial" w:eastAsia="Arial" w:hAnsi="Arial" w:cs="Arial"/>
          <w:sz w:val="22"/>
          <w:szCs w:val="22"/>
        </w:rPr>
      </w:pPr>
      <w:r>
        <w:rPr>
          <w:rFonts w:ascii="Arial" w:eastAsia="Arial" w:hAnsi="Arial" w:cs="Arial"/>
          <w:sz w:val="22"/>
          <w:szCs w:val="22"/>
        </w:rPr>
        <w:tab/>
      </w:r>
      <w:r w:rsidRPr="006A28FA">
        <w:rPr>
          <w:rFonts w:ascii="Arial" w:eastAsia="Arial" w:hAnsi="Arial" w:cs="Arial"/>
          <w:sz w:val="22"/>
          <w:szCs w:val="22"/>
        </w:rPr>
        <w:t>Sin embargo, puede pasar que en el momento de abrir el sobre de la oferta económica sea necesario rechazar a</w:t>
      </w:r>
      <w:r w:rsidR="006A28FA">
        <w:rPr>
          <w:rFonts w:ascii="Arial" w:eastAsia="Arial" w:hAnsi="Arial" w:cs="Arial"/>
          <w:sz w:val="22"/>
          <w:szCs w:val="22"/>
        </w:rPr>
        <w:t xml:space="preserve">l proponente </w:t>
      </w:r>
      <w:r w:rsidRPr="006A28FA">
        <w:rPr>
          <w:rFonts w:ascii="Arial" w:eastAsia="Arial" w:hAnsi="Arial" w:cs="Arial"/>
          <w:sz w:val="22"/>
          <w:szCs w:val="22"/>
        </w:rPr>
        <w:t xml:space="preserve">cuya propuesta fue tenida en cuenta para los efectos de las fórmulas antes referidas, por ejemplo, debido a que su propuesta exceda el presupuesto de la entidad o porque la misma se considera artificialmente baja. En estas hipótesis, resultaría necesario que la entidad hiciera nuevamente los cálculos con el proponente que tenía el segundo «máximo ofertado», pues el proponente que tenía el </w:t>
      </w:r>
      <w:r w:rsidRPr="006A28FA">
        <w:rPr>
          <w:rFonts w:ascii="Arial" w:eastAsia="Arial" w:hAnsi="Arial" w:cs="Arial"/>
          <w:sz w:val="22"/>
          <w:szCs w:val="22"/>
        </w:rPr>
        <w:lastRenderedPageBreak/>
        <w:t>primer lugar ya no haría parte del proceso contractual, por ende, su propuesta no puede ser tenida en cuenta para asignar el puntaje de los otros oferentes.</w:t>
      </w:r>
      <w:r>
        <w:rPr>
          <w:rFonts w:ascii="Arial" w:eastAsia="Arial" w:hAnsi="Arial" w:cs="Arial"/>
          <w:sz w:val="22"/>
          <w:szCs w:val="22"/>
        </w:rPr>
        <w:t xml:space="preserve"> </w:t>
      </w:r>
    </w:p>
    <w:p w14:paraId="45B2FD53" w14:textId="77777777" w:rsidR="00E335D4" w:rsidRDefault="00E335D4" w:rsidP="00E335D4">
      <w:pPr>
        <w:spacing w:line="276" w:lineRule="auto"/>
        <w:jc w:val="both"/>
        <w:rPr>
          <w:rFonts w:ascii="Arial" w:eastAsia="Arial" w:hAnsi="Arial" w:cs="Arial"/>
          <w:color w:val="000000"/>
          <w:sz w:val="22"/>
          <w:szCs w:val="22"/>
        </w:rPr>
      </w:pPr>
    </w:p>
    <w:p w14:paraId="7EAD3D54" w14:textId="3E0B6F30" w:rsidR="00E335D4" w:rsidRDefault="00E335D4" w:rsidP="00E335D4">
      <w:pPr>
        <w:ind w:left="709" w:right="758"/>
        <w:jc w:val="both"/>
        <w:rPr>
          <w:rFonts w:ascii="Arial" w:eastAsia="Arial" w:hAnsi="Arial" w:cs="Arial"/>
          <w:color w:val="000000"/>
          <w:sz w:val="22"/>
          <w:szCs w:val="22"/>
        </w:rPr>
      </w:pPr>
      <w:r>
        <w:rPr>
          <w:rFonts w:ascii="Arial" w:eastAsia="Arial" w:hAnsi="Arial" w:cs="Arial"/>
          <w:color w:val="000000"/>
          <w:sz w:val="22"/>
          <w:szCs w:val="22"/>
        </w:rPr>
        <w:t xml:space="preserve">ii) </w:t>
      </w:r>
      <w:r w:rsidR="00AD2BA4" w:rsidRPr="00AD2BA4">
        <w:rPr>
          <w:rFonts w:ascii="Arial" w:eastAsia="Arial" w:hAnsi="Arial" w:cs="Arial"/>
          <w:color w:val="000000"/>
          <w:sz w:val="22"/>
          <w:szCs w:val="22"/>
        </w:rPr>
        <w:t>«[¿]Para los ofrecimientos de cuadrillas adicionales se pueden ofertar números con decimales […]? O, por el contrario, [¿]el ofrecimiento siempre debe ser en números enteros?» (Corchetes fuera de texto)</w:t>
      </w:r>
    </w:p>
    <w:p w14:paraId="5716BA19" w14:textId="77777777" w:rsidR="00E335D4" w:rsidRDefault="00E335D4" w:rsidP="00E335D4">
      <w:pPr>
        <w:tabs>
          <w:tab w:val="left" w:pos="426"/>
        </w:tabs>
        <w:ind w:right="758"/>
        <w:jc w:val="both"/>
        <w:rPr>
          <w:rFonts w:ascii="Arial" w:eastAsia="Arial" w:hAnsi="Arial" w:cs="Arial"/>
          <w:color w:val="000000"/>
          <w:sz w:val="21"/>
          <w:szCs w:val="21"/>
        </w:rPr>
      </w:pPr>
    </w:p>
    <w:p w14:paraId="1DEE3138" w14:textId="5B1CEA41" w:rsidR="00E335D4" w:rsidRDefault="00E335D4" w:rsidP="00E335D4">
      <w:pPr>
        <w:spacing w:before="120" w:line="276" w:lineRule="auto"/>
        <w:jc w:val="both"/>
        <w:rPr>
          <w:rFonts w:ascii="Arial" w:eastAsia="Arial" w:hAnsi="Arial" w:cs="Arial"/>
          <w:sz w:val="22"/>
          <w:szCs w:val="22"/>
        </w:rPr>
      </w:pPr>
      <w:r>
        <w:rPr>
          <w:rFonts w:ascii="Arial" w:eastAsia="Arial" w:hAnsi="Arial" w:cs="Arial"/>
          <w:sz w:val="22"/>
          <w:szCs w:val="22"/>
        </w:rPr>
        <w:t>No es posible oferta</w:t>
      </w:r>
      <w:r w:rsidR="00AD2BA4">
        <w:rPr>
          <w:rFonts w:ascii="Arial" w:eastAsia="Arial" w:hAnsi="Arial" w:cs="Arial"/>
          <w:sz w:val="22"/>
          <w:szCs w:val="22"/>
        </w:rPr>
        <w:t>r</w:t>
      </w:r>
      <w:r>
        <w:rPr>
          <w:rFonts w:ascii="Arial" w:eastAsia="Arial" w:hAnsi="Arial" w:cs="Arial"/>
          <w:sz w:val="22"/>
          <w:szCs w:val="22"/>
        </w:rPr>
        <w:t xml:space="preserve"> números decimales. Las cuadrillas deben ser ofrecidas por el proponente, así como también valoradas por la entidad a la hora de calificar la propuesta, en números enteros. Esto quiere decir que el proponente puede ofrecer, por ejemplo, una cuadrilla</w:t>
      </w:r>
      <w:r w:rsidR="00AD2BA4">
        <w:rPr>
          <w:rFonts w:ascii="Arial" w:eastAsia="Arial" w:hAnsi="Arial" w:cs="Arial"/>
          <w:sz w:val="22"/>
          <w:szCs w:val="22"/>
        </w:rPr>
        <w:t>,</w:t>
      </w:r>
      <w:r>
        <w:rPr>
          <w:rFonts w:ascii="Arial" w:eastAsia="Arial" w:hAnsi="Arial" w:cs="Arial"/>
          <w:sz w:val="22"/>
          <w:szCs w:val="22"/>
        </w:rPr>
        <w:t xml:space="preserve"> no una cuadrilla</w:t>
      </w:r>
      <w:r w:rsidR="00AD2BA4" w:rsidRPr="00AD2BA4">
        <w:rPr>
          <w:rFonts w:ascii="Arial" w:eastAsia="Arial" w:hAnsi="Arial" w:cs="Arial"/>
          <w:sz w:val="22"/>
          <w:szCs w:val="22"/>
        </w:rPr>
        <w:t xml:space="preserve"> </w:t>
      </w:r>
      <w:r w:rsidR="00AD2BA4">
        <w:rPr>
          <w:rFonts w:ascii="Arial" w:eastAsia="Arial" w:hAnsi="Arial" w:cs="Arial"/>
          <w:sz w:val="22"/>
          <w:szCs w:val="22"/>
        </w:rPr>
        <w:t>y media</w:t>
      </w:r>
      <w:r>
        <w:rPr>
          <w:rFonts w:ascii="Arial" w:eastAsia="Arial" w:hAnsi="Arial" w:cs="Arial"/>
          <w:sz w:val="22"/>
          <w:szCs w:val="22"/>
        </w:rPr>
        <w:t xml:space="preserve">. De esta forma, si un proponente tiene la capacidad de contar con nueve obreros adicionales, únicamente podrá ofrecer a la entidad una cuadrilla adicional, pues los otros cuatro obreros no constituyen una cuadrilla en los términos del </w:t>
      </w:r>
      <w:r w:rsidR="00726D35">
        <w:rPr>
          <w:rFonts w:ascii="Arial" w:eastAsia="Arial" w:hAnsi="Arial" w:cs="Arial"/>
          <w:sz w:val="22"/>
          <w:szCs w:val="22"/>
        </w:rPr>
        <w:t>documento base</w:t>
      </w:r>
      <w:r>
        <w:rPr>
          <w:rFonts w:ascii="Arial" w:eastAsia="Arial" w:hAnsi="Arial" w:cs="Arial"/>
          <w:sz w:val="22"/>
          <w:szCs w:val="22"/>
        </w:rPr>
        <w:t xml:space="preserve">, debido a que no es posible tenerlos como una fracción de cuadrilla. </w:t>
      </w:r>
    </w:p>
    <w:p w14:paraId="55E2E68B" w14:textId="77777777" w:rsidR="00E335D4" w:rsidRDefault="00E335D4" w:rsidP="00E335D4">
      <w:pPr>
        <w:ind w:right="758"/>
        <w:jc w:val="both"/>
        <w:rPr>
          <w:rFonts w:ascii="Arial" w:eastAsia="Arial" w:hAnsi="Arial" w:cs="Arial"/>
          <w:color w:val="000000"/>
          <w:sz w:val="22"/>
          <w:szCs w:val="22"/>
        </w:rPr>
      </w:pPr>
    </w:p>
    <w:p w14:paraId="7CB33AFC" w14:textId="67DAB476" w:rsidR="00E335D4" w:rsidRDefault="00726D35" w:rsidP="00E335D4">
      <w:pPr>
        <w:ind w:left="709" w:right="758"/>
        <w:jc w:val="both"/>
        <w:rPr>
          <w:rFonts w:ascii="Arial" w:eastAsia="Arial" w:hAnsi="Arial" w:cs="Arial"/>
          <w:color w:val="000000"/>
          <w:sz w:val="22"/>
          <w:szCs w:val="22"/>
        </w:rPr>
      </w:pPr>
      <w:r w:rsidRPr="00726D35">
        <w:rPr>
          <w:rFonts w:ascii="Arial" w:eastAsia="Arial" w:hAnsi="Arial" w:cs="Arial"/>
          <w:color w:val="000000"/>
          <w:sz w:val="22"/>
          <w:szCs w:val="22"/>
        </w:rPr>
        <w:t>Igualmente, menciona que «[…] Los pliegos de condiciones estipulan los documentos válidos para la acreditación de la experiencia de un proponente en el numeral 3.5.5 […]» y se agrega que «[…] Dentro de estos documentos no se encuentra relacionado como válido el documento de conformación del consorcio o unión temporal en caso de que el contrato hubiese sido ejecutado por una figura asociativa […]». En relación con esta situación, pregunta los siguiente: iii) «¿Es válido rechazar una propuesta porque los mencionados documentos no se encuentran dentro de los relacionados por los pliegos tipo?» y iv) «[…] ¿cómo puede un proponente acreditar su participación dentro de una figura asociativa cuando el contrato fue desarrollado por un consorcio o unión temporal?</w:t>
      </w:r>
    </w:p>
    <w:p w14:paraId="02EAC33F" w14:textId="77777777" w:rsidR="00E335D4" w:rsidRDefault="00E335D4" w:rsidP="00F34478">
      <w:pPr>
        <w:tabs>
          <w:tab w:val="left" w:pos="709"/>
        </w:tabs>
        <w:jc w:val="both"/>
        <w:rPr>
          <w:rFonts w:ascii="Arial" w:eastAsia="Arial" w:hAnsi="Arial" w:cs="Arial"/>
          <w:color w:val="000000"/>
          <w:sz w:val="22"/>
          <w:szCs w:val="22"/>
        </w:rPr>
      </w:pPr>
    </w:p>
    <w:p w14:paraId="0350F85F" w14:textId="4C2180E1" w:rsidR="00E335D4" w:rsidRDefault="00E335D4" w:rsidP="00F34478">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El numeral 3.5 del «Documento Base o Pliego Tipo» dispone que los Proponentes deben acreditar su experiencia mediante: i) la información consignada en el RUP para quienes estén obligados a tenerlo y ii) la presentación el Formato 3 – Experiencia para todos los Proponentes. Ahora, en aquellos casos en los que, por las características del objeto a contratar, se requiera verificar información adicional a la contenida en el RUP, el proponente podrá aportar uno o algunos de los documentos que se establecen en el numeral 3.5.5 </w:t>
      </w:r>
      <w:r>
        <w:rPr>
          <w:rFonts w:ascii="Arial" w:eastAsia="Arial" w:hAnsi="Arial" w:cs="Arial"/>
          <w:i/>
          <w:color w:val="000000"/>
          <w:sz w:val="22"/>
          <w:szCs w:val="22"/>
        </w:rPr>
        <w:t>ibídem</w:t>
      </w:r>
      <w:r>
        <w:rPr>
          <w:rFonts w:ascii="Arial" w:eastAsia="Arial" w:hAnsi="Arial" w:cs="Arial"/>
          <w:color w:val="000000"/>
          <w:sz w:val="22"/>
          <w:szCs w:val="22"/>
        </w:rPr>
        <w:t>. Estos documentos</w:t>
      </w:r>
      <w:r w:rsidR="00726D35">
        <w:rPr>
          <w:rFonts w:ascii="Arial" w:eastAsia="Arial" w:hAnsi="Arial" w:cs="Arial"/>
          <w:color w:val="000000"/>
          <w:sz w:val="22"/>
          <w:szCs w:val="22"/>
        </w:rPr>
        <w:t>,</w:t>
      </w:r>
      <w:r>
        <w:rPr>
          <w:rFonts w:ascii="Arial" w:eastAsia="Arial" w:hAnsi="Arial" w:cs="Arial"/>
          <w:color w:val="000000"/>
          <w:sz w:val="22"/>
          <w:szCs w:val="22"/>
        </w:rPr>
        <w:t xml:space="preserve"> no otros</w:t>
      </w:r>
      <w:r w:rsidR="00726D35">
        <w:rPr>
          <w:rFonts w:ascii="Arial" w:eastAsia="Arial" w:hAnsi="Arial" w:cs="Arial"/>
          <w:color w:val="000000"/>
          <w:sz w:val="22"/>
          <w:szCs w:val="22"/>
        </w:rPr>
        <w:t>,</w:t>
      </w:r>
      <w:r>
        <w:rPr>
          <w:rFonts w:ascii="Arial" w:eastAsia="Arial" w:hAnsi="Arial" w:cs="Arial"/>
          <w:color w:val="000000"/>
          <w:sz w:val="22"/>
          <w:szCs w:val="22"/>
        </w:rPr>
        <w:t xml:space="preserve"> son los que podrán </w:t>
      </w:r>
      <w:r w:rsidR="00726D35">
        <w:rPr>
          <w:rFonts w:ascii="Arial" w:eastAsia="Arial" w:hAnsi="Arial" w:cs="Arial"/>
          <w:color w:val="000000"/>
          <w:sz w:val="22"/>
          <w:szCs w:val="22"/>
        </w:rPr>
        <w:t>aportar</w:t>
      </w:r>
      <w:r>
        <w:rPr>
          <w:rFonts w:ascii="Arial" w:eastAsia="Arial" w:hAnsi="Arial" w:cs="Arial"/>
          <w:color w:val="000000"/>
          <w:sz w:val="22"/>
          <w:szCs w:val="22"/>
        </w:rPr>
        <w:t xml:space="preserve"> el proponente.</w:t>
      </w:r>
    </w:p>
    <w:p w14:paraId="5454F5A2" w14:textId="3C5A2762" w:rsidR="00E335D4" w:rsidRDefault="00E335D4" w:rsidP="00E335D4">
      <w:pPr>
        <w:spacing w:before="120" w:line="276" w:lineRule="auto"/>
        <w:jc w:val="both"/>
        <w:rPr>
          <w:rFonts w:ascii="Arial" w:eastAsia="Arial" w:hAnsi="Arial" w:cs="Arial"/>
          <w:color w:val="000000"/>
          <w:sz w:val="22"/>
          <w:szCs w:val="22"/>
        </w:rPr>
      </w:pPr>
      <w:r>
        <w:rPr>
          <w:rFonts w:ascii="Arial" w:eastAsia="Arial" w:hAnsi="Arial" w:cs="Arial"/>
          <w:color w:val="000000"/>
          <w:sz w:val="22"/>
          <w:szCs w:val="22"/>
        </w:rPr>
        <w:tab/>
        <w:t xml:space="preserve">De esta forma, si el </w:t>
      </w:r>
      <w:r w:rsidR="00726D35">
        <w:rPr>
          <w:rFonts w:ascii="Arial" w:eastAsia="Arial" w:hAnsi="Arial" w:cs="Arial"/>
          <w:color w:val="000000"/>
          <w:sz w:val="22"/>
          <w:szCs w:val="22"/>
        </w:rPr>
        <w:t xml:space="preserve">oferente </w:t>
      </w:r>
      <w:r>
        <w:rPr>
          <w:rFonts w:ascii="Arial" w:eastAsia="Arial" w:hAnsi="Arial" w:cs="Arial"/>
          <w:color w:val="000000"/>
          <w:sz w:val="22"/>
          <w:szCs w:val="22"/>
        </w:rPr>
        <w:t xml:space="preserve">no aportó la documentación requerida para verificar información adicional a la contenida en el RUP –si esto es necesario–, la entidad lo puede requerir para que subsane la propuesta y aporte dichos documentos, en la medida en que la experiencia es un requisito habilitante que no otorga puntaje. Ahora, si el proponente no aporta los documentos </w:t>
      </w:r>
      <w:r>
        <w:rPr>
          <w:rFonts w:ascii="Arial" w:eastAsia="Arial" w:hAnsi="Arial" w:cs="Arial"/>
          <w:sz w:val="22"/>
          <w:szCs w:val="22"/>
        </w:rPr>
        <w:t>requeridos</w:t>
      </w:r>
      <w:r>
        <w:rPr>
          <w:rFonts w:ascii="Arial" w:eastAsia="Arial" w:hAnsi="Arial" w:cs="Arial"/>
          <w:color w:val="000000"/>
          <w:sz w:val="22"/>
          <w:szCs w:val="22"/>
        </w:rPr>
        <w:t xml:space="preserve"> para subsanar o </w:t>
      </w:r>
      <w:r>
        <w:rPr>
          <w:rFonts w:ascii="Arial" w:eastAsia="Arial" w:hAnsi="Arial" w:cs="Arial"/>
          <w:sz w:val="22"/>
          <w:szCs w:val="22"/>
        </w:rPr>
        <w:t>aportar</w:t>
      </w:r>
      <w:r>
        <w:rPr>
          <w:rFonts w:ascii="Arial" w:eastAsia="Arial" w:hAnsi="Arial" w:cs="Arial"/>
          <w:color w:val="000000"/>
          <w:sz w:val="22"/>
          <w:szCs w:val="22"/>
        </w:rPr>
        <w:t xml:space="preserve"> uno que no está en esa lista que consagra el numeral 3.5.5. «Documento Base o Pliego Tipo», la entidad podría rechazar la propuesta con fundamento en la causal consagrada en el literal E del artículo 1.15 </w:t>
      </w:r>
      <w:r>
        <w:rPr>
          <w:rFonts w:ascii="Arial" w:eastAsia="Arial" w:hAnsi="Arial" w:cs="Arial"/>
          <w:i/>
          <w:color w:val="000000"/>
          <w:sz w:val="22"/>
          <w:szCs w:val="22"/>
        </w:rPr>
        <w:t>ibídem</w:t>
      </w:r>
      <w:r>
        <w:rPr>
          <w:rFonts w:ascii="Arial" w:eastAsia="Arial" w:hAnsi="Arial" w:cs="Arial"/>
          <w:color w:val="000000"/>
          <w:sz w:val="22"/>
          <w:szCs w:val="22"/>
        </w:rPr>
        <w:t>.</w:t>
      </w:r>
    </w:p>
    <w:p w14:paraId="5A601D44" w14:textId="084404E8" w:rsidR="00E335D4" w:rsidRDefault="00E335D4" w:rsidP="00E335D4">
      <w:pPr>
        <w:spacing w:before="12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ab/>
        <w:t>Es importante tener en cuenta: i) que el rechazo no se produce «porque los mencionados documentos no se encuentran dentro de los relacionados por los pliegos tipo», sino porque no se estaría verificando un requisito habilitante, esto es, la experiencia; y ii) que la experiencia como requisito habilitante en el contexto de los documentos tipo, nada tiene que ver con la conformación de un consorcio o una unión temporal, pues una cosa es conformar una de estas figuras asociativas y otra, diferente, la ejecución de los contratos por parte de las mismas. Puede pasar, por ejemplo, que el consorcio o unión temporal esté conformado, pero que nunca hubie</w:t>
      </w:r>
      <w:r w:rsidR="006A28FA">
        <w:rPr>
          <w:rFonts w:ascii="Arial" w:eastAsia="Arial" w:hAnsi="Arial" w:cs="Arial"/>
          <w:color w:val="000000"/>
          <w:sz w:val="22"/>
          <w:szCs w:val="22"/>
        </w:rPr>
        <w:t>ra</w:t>
      </w:r>
      <w:r>
        <w:rPr>
          <w:rFonts w:ascii="Arial" w:eastAsia="Arial" w:hAnsi="Arial" w:cs="Arial"/>
          <w:color w:val="000000"/>
          <w:sz w:val="22"/>
          <w:szCs w:val="22"/>
        </w:rPr>
        <w:t xml:space="preserve"> ejecutado un contrato, evento en el cual no tendría experiencia </w:t>
      </w:r>
      <w:r w:rsidR="006A28FA">
        <w:rPr>
          <w:rFonts w:ascii="Arial" w:eastAsia="Arial" w:hAnsi="Arial" w:cs="Arial"/>
          <w:color w:val="000000"/>
          <w:sz w:val="22"/>
          <w:szCs w:val="22"/>
        </w:rPr>
        <w:t>par</w:t>
      </w:r>
      <w:r>
        <w:rPr>
          <w:rFonts w:ascii="Arial" w:eastAsia="Arial" w:hAnsi="Arial" w:cs="Arial"/>
          <w:color w:val="000000"/>
          <w:sz w:val="22"/>
          <w:szCs w:val="22"/>
        </w:rPr>
        <w:t xml:space="preserve">a acreditar. Teniendo esto en cuenta, se informa que es válido rechazar la propuesta por la mencionada causal, previo requerimiento para subsanar, y cuando el proponente aportó </w:t>
      </w:r>
      <w:r>
        <w:rPr>
          <w:rFonts w:ascii="Arial" w:eastAsia="Arial" w:hAnsi="Arial" w:cs="Arial"/>
          <w:sz w:val="22"/>
          <w:szCs w:val="22"/>
        </w:rPr>
        <w:t>un</w:t>
      </w:r>
      <w:r>
        <w:rPr>
          <w:rFonts w:ascii="Arial" w:eastAsia="Arial" w:hAnsi="Arial" w:cs="Arial"/>
          <w:color w:val="000000"/>
          <w:sz w:val="22"/>
          <w:szCs w:val="22"/>
        </w:rPr>
        <w:t xml:space="preserve"> documento diferente a los que establece el numeral 3.5.5. del «Documento Base o Pliego Tipo».</w:t>
      </w:r>
    </w:p>
    <w:p w14:paraId="344F8E99" w14:textId="347CF8CC" w:rsidR="00E335D4" w:rsidRDefault="00E335D4" w:rsidP="00E335D4">
      <w:pPr>
        <w:spacing w:before="120" w:line="276" w:lineRule="auto"/>
        <w:jc w:val="both"/>
        <w:rPr>
          <w:rFonts w:ascii="Arial" w:eastAsia="Arial" w:hAnsi="Arial" w:cs="Arial"/>
          <w:color w:val="000000"/>
          <w:sz w:val="22"/>
          <w:szCs w:val="22"/>
        </w:rPr>
      </w:pPr>
      <w:r>
        <w:rPr>
          <w:rFonts w:ascii="Arial" w:eastAsia="Arial" w:hAnsi="Arial" w:cs="Arial"/>
          <w:color w:val="000000"/>
          <w:sz w:val="22"/>
          <w:szCs w:val="22"/>
        </w:rPr>
        <w:tab/>
        <w:t>Por último, debe tener en cuenta que la «participación en una figura asociativa» debe probarse por medio del «documento de conformación de Proponentes Plurales», el cual, para los fines de los pliegos tipo, debe cumplir con las exigencias establecidas en el numeral 3.3.3. del «Documento Base o Pliego Tipo».</w:t>
      </w:r>
    </w:p>
    <w:p w14:paraId="05CAB73B" w14:textId="77777777" w:rsidR="00E335D4" w:rsidRDefault="00E335D4" w:rsidP="00E335D4">
      <w:pPr>
        <w:tabs>
          <w:tab w:val="left" w:pos="426"/>
        </w:tabs>
        <w:ind w:right="758"/>
        <w:jc w:val="both"/>
        <w:rPr>
          <w:rFonts w:ascii="Arial" w:eastAsia="Arial" w:hAnsi="Arial" w:cs="Arial"/>
          <w:color w:val="000000"/>
          <w:sz w:val="22"/>
          <w:szCs w:val="22"/>
        </w:rPr>
      </w:pPr>
    </w:p>
    <w:p w14:paraId="4CE40802" w14:textId="77777777" w:rsidR="00E335D4" w:rsidRDefault="00E335D4" w:rsidP="00E335D4">
      <w:pPr>
        <w:spacing w:before="120" w:line="276" w:lineRule="auto"/>
        <w:jc w:val="both"/>
        <w:rPr>
          <w:rFonts w:ascii="Arial" w:eastAsia="Arial" w:hAnsi="Arial" w:cs="Arial"/>
          <w:color w:val="000000"/>
          <w:sz w:val="22"/>
          <w:szCs w:val="22"/>
        </w:rPr>
      </w:pPr>
      <w:r>
        <w:rPr>
          <w:rFonts w:ascii="Arial" w:eastAsia="Arial" w:hAnsi="Arial" w:cs="Arial"/>
          <w:color w:val="000000"/>
          <w:sz w:val="22"/>
          <w:szCs w:val="22"/>
        </w:rPr>
        <w:t>Este concepto tiene el alcance previsto en el artículo 28 del Código de Procedimiento Administrativo y de lo Contencioso Administrativo.</w:t>
      </w:r>
    </w:p>
    <w:p w14:paraId="631409B2" w14:textId="77777777" w:rsidR="00E335D4" w:rsidRDefault="00E335D4" w:rsidP="00E335D4">
      <w:pPr>
        <w:ind w:firstLine="709"/>
        <w:jc w:val="both"/>
        <w:rPr>
          <w:rFonts w:ascii="Arial" w:eastAsia="Arial" w:hAnsi="Arial" w:cs="Arial"/>
          <w:color w:val="000000"/>
          <w:sz w:val="22"/>
          <w:szCs w:val="22"/>
        </w:rPr>
      </w:pPr>
    </w:p>
    <w:p w14:paraId="12C4CAC2" w14:textId="77777777" w:rsidR="00E335D4" w:rsidRDefault="00E335D4" w:rsidP="00E335D4">
      <w:pPr>
        <w:jc w:val="both"/>
        <w:rPr>
          <w:rFonts w:ascii="Arial" w:eastAsia="Arial" w:hAnsi="Arial" w:cs="Arial"/>
          <w:color w:val="000000"/>
          <w:sz w:val="22"/>
          <w:szCs w:val="22"/>
        </w:rPr>
      </w:pPr>
      <w:r>
        <w:rPr>
          <w:rFonts w:ascii="Arial" w:eastAsia="Arial" w:hAnsi="Arial" w:cs="Arial"/>
          <w:color w:val="000000"/>
          <w:sz w:val="22"/>
          <w:szCs w:val="22"/>
        </w:rPr>
        <w:t>Atentamente,</w:t>
      </w:r>
    </w:p>
    <w:p w14:paraId="22A326D5" w14:textId="4C999299" w:rsidR="00E335D4" w:rsidRDefault="00EE2076" w:rsidP="00E335D4">
      <w:pPr>
        <w:jc w:val="center"/>
        <w:rPr>
          <w:rFonts w:ascii="Arial" w:eastAsia="Arial" w:hAnsi="Arial" w:cs="Arial"/>
          <w:color w:val="000000"/>
          <w:sz w:val="18"/>
          <w:szCs w:val="18"/>
        </w:rPr>
      </w:pPr>
      <w:r>
        <w:rPr>
          <w:noProof/>
          <w:lang w:val="en-US" w:eastAsia="en-US"/>
        </w:rPr>
        <w:drawing>
          <wp:inline distT="0" distB="0" distL="0" distR="0" wp14:anchorId="5AC99FF7" wp14:editId="040AB0FC">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A99D8C4" w14:textId="77777777" w:rsidR="00982C15" w:rsidRDefault="00982C15" w:rsidP="00E335D4">
      <w:pPr>
        <w:jc w:val="center"/>
        <w:rPr>
          <w:rFonts w:ascii="Arial" w:eastAsia="Arial" w:hAnsi="Arial" w:cs="Arial"/>
          <w:color w:val="000000"/>
          <w:sz w:val="18"/>
          <w:szCs w:val="18"/>
        </w:rPr>
      </w:pP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E335D4" w14:paraId="01AE7A5F" w14:textId="77777777" w:rsidTr="0049643E">
        <w:trPr>
          <w:trHeight w:val="315"/>
        </w:trPr>
        <w:tc>
          <w:tcPr>
            <w:tcW w:w="812" w:type="dxa"/>
            <w:vAlign w:val="center"/>
          </w:tcPr>
          <w:p w14:paraId="68156F40" w14:textId="77777777" w:rsidR="00E335D4" w:rsidRDefault="00E335D4" w:rsidP="0049643E">
            <w:pPr>
              <w:rPr>
                <w:rFonts w:ascii="Arial" w:eastAsia="Arial" w:hAnsi="Arial" w:cs="Arial"/>
                <w:color w:val="000000"/>
                <w:sz w:val="16"/>
                <w:szCs w:val="16"/>
              </w:rPr>
            </w:pPr>
            <w:r>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1959DB18" w14:textId="77777777" w:rsidR="00E335D4" w:rsidRDefault="00E335D4" w:rsidP="0049643E">
            <w:pPr>
              <w:rPr>
                <w:rFonts w:ascii="Arial" w:eastAsia="Arial" w:hAnsi="Arial" w:cs="Arial"/>
                <w:color w:val="000000"/>
                <w:sz w:val="16"/>
                <w:szCs w:val="16"/>
              </w:rPr>
            </w:pPr>
            <w:r>
              <w:rPr>
                <w:rFonts w:ascii="Arial" w:eastAsia="Arial" w:hAnsi="Arial" w:cs="Arial"/>
                <w:color w:val="000000"/>
                <w:sz w:val="16"/>
                <w:szCs w:val="16"/>
              </w:rPr>
              <w:t>David Castellanos Carreño</w:t>
            </w:r>
          </w:p>
          <w:p w14:paraId="2736F053" w14:textId="39616CA5" w:rsidR="00E335D4" w:rsidRDefault="00E335D4" w:rsidP="0049643E">
            <w:pPr>
              <w:rPr>
                <w:rFonts w:ascii="Arial" w:eastAsia="Arial" w:hAnsi="Arial" w:cs="Arial"/>
                <w:color w:val="000000"/>
                <w:sz w:val="16"/>
                <w:szCs w:val="16"/>
              </w:rPr>
            </w:pPr>
            <w:r>
              <w:rPr>
                <w:rFonts w:ascii="Arial" w:eastAsia="Arial" w:hAnsi="Arial" w:cs="Arial"/>
                <w:color w:val="000000"/>
                <w:sz w:val="16"/>
                <w:szCs w:val="16"/>
              </w:rPr>
              <w:t>Contratista</w:t>
            </w:r>
            <w:r w:rsidR="00A85DB9">
              <w:rPr>
                <w:rFonts w:ascii="Arial" w:eastAsia="Arial" w:hAnsi="Arial" w:cs="Arial"/>
                <w:color w:val="000000"/>
                <w:sz w:val="16"/>
                <w:szCs w:val="16"/>
              </w:rPr>
              <w:t xml:space="preserve"> de la</w:t>
            </w:r>
            <w:r>
              <w:rPr>
                <w:rFonts w:ascii="Arial" w:eastAsia="Arial" w:hAnsi="Arial" w:cs="Arial"/>
                <w:color w:val="000000"/>
                <w:sz w:val="16"/>
                <w:szCs w:val="16"/>
              </w:rPr>
              <w:t xml:space="preserve"> Subdirección de Gestión Contractual</w:t>
            </w:r>
          </w:p>
        </w:tc>
      </w:tr>
      <w:tr w:rsidR="00E335D4" w14:paraId="6631C634" w14:textId="77777777" w:rsidTr="0049643E">
        <w:trPr>
          <w:trHeight w:val="330"/>
        </w:trPr>
        <w:tc>
          <w:tcPr>
            <w:tcW w:w="812" w:type="dxa"/>
            <w:vAlign w:val="center"/>
          </w:tcPr>
          <w:p w14:paraId="1D99364D" w14:textId="77777777" w:rsidR="00E335D4" w:rsidRDefault="00E335D4" w:rsidP="0049643E">
            <w:pPr>
              <w:rPr>
                <w:rFonts w:ascii="Arial" w:eastAsia="Arial" w:hAnsi="Arial" w:cs="Arial"/>
                <w:color w:val="000000"/>
                <w:sz w:val="16"/>
                <w:szCs w:val="16"/>
              </w:rPr>
            </w:pPr>
            <w:r>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19C4ECC3" w14:textId="1B91E9AC" w:rsidR="00E335D4" w:rsidRDefault="00A85DB9" w:rsidP="0049643E">
            <w:pPr>
              <w:rPr>
                <w:rFonts w:ascii="Arial" w:eastAsia="Arial" w:hAnsi="Arial" w:cs="Arial"/>
                <w:color w:val="000000"/>
                <w:sz w:val="16"/>
                <w:szCs w:val="16"/>
              </w:rPr>
            </w:pPr>
            <w:r>
              <w:rPr>
                <w:rFonts w:ascii="Arial" w:eastAsia="Arial" w:hAnsi="Arial" w:cs="Arial"/>
                <w:color w:val="000000"/>
                <w:sz w:val="16"/>
                <w:szCs w:val="16"/>
              </w:rPr>
              <w:t xml:space="preserve">Juan David Montoya Penagos </w:t>
            </w:r>
          </w:p>
          <w:p w14:paraId="32BBB594" w14:textId="47BE3849" w:rsidR="00E335D4" w:rsidRDefault="00E335D4" w:rsidP="0049643E">
            <w:pPr>
              <w:rPr>
                <w:rFonts w:ascii="Arial" w:eastAsia="Arial" w:hAnsi="Arial" w:cs="Arial"/>
                <w:color w:val="000000"/>
                <w:sz w:val="16"/>
                <w:szCs w:val="16"/>
              </w:rPr>
            </w:pPr>
            <w:r>
              <w:rPr>
                <w:rFonts w:ascii="Arial" w:eastAsia="Arial" w:hAnsi="Arial" w:cs="Arial"/>
                <w:color w:val="000000"/>
                <w:sz w:val="16"/>
                <w:szCs w:val="16"/>
              </w:rPr>
              <w:t>Contratista</w:t>
            </w:r>
            <w:r w:rsidR="00A85DB9">
              <w:rPr>
                <w:rFonts w:ascii="Arial" w:eastAsia="Arial" w:hAnsi="Arial" w:cs="Arial"/>
                <w:color w:val="000000"/>
                <w:sz w:val="16"/>
                <w:szCs w:val="16"/>
              </w:rPr>
              <w:t xml:space="preserve"> de la</w:t>
            </w:r>
            <w:r>
              <w:rPr>
                <w:rFonts w:ascii="Arial" w:eastAsia="Arial" w:hAnsi="Arial" w:cs="Arial"/>
                <w:color w:val="000000"/>
                <w:sz w:val="16"/>
                <w:szCs w:val="16"/>
              </w:rPr>
              <w:t xml:space="preserve"> Subdirección de Gestión Contractual</w:t>
            </w:r>
          </w:p>
        </w:tc>
      </w:tr>
      <w:tr w:rsidR="00E335D4" w14:paraId="2B74866F" w14:textId="77777777" w:rsidTr="0049643E">
        <w:trPr>
          <w:trHeight w:val="300"/>
        </w:trPr>
        <w:tc>
          <w:tcPr>
            <w:tcW w:w="812" w:type="dxa"/>
            <w:vAlign w:val="center"/>
          </w:tcPr>
          <w:p w14:paraId="1E8DB81F" w14:textId="77777777" w:rsidR="00E335D4" w:rsidRDefault="00E335D4" w:rsidP="0049643E">
            <w:pPr>
              <w:rPr>
                <w:rFonts w:ascii="Arial" w:eastAsia="Arial" w:hAnsi="Arial" w:cs="Arial"/>
                <w:color w:val="000000"/>
                <w:sz w:val="16"/>
                <w:szCs w:val="16"/>
              </w:rPr>
            </w:pPr>
            <w:r>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3DDD4113" w14:textId="77777777" w:rsidR="00E335D4" w:rsidRDefault="00E335D4" w:rsidP="0049643E">
            <w:pPr>
              <w:rPr>
                <w:rFonts w:ascii="Arial" w:eastAsia="Arial" w:hAnsi="Arial" w:cs="Arial"/>
                <w:color w:val="000000"/>
                <w:sz w:val="16"/>
                <w:szCs w:val="16"/>
              </w:rPr>
            </w:pPr>
            <w:r>
              <w:rPr>
                <w:rFonts w:ascii="Arial" w:eastAsia="Arial" w:hAnsi="Arial" w:cs="Arial"/>
                <w:color w:val="000000"/>
                <w:sz w:val="16"/>
                <w:szCs w:val="16"/>
              </w:rPr>
              <w:t>Fabián Gonzalo Marín Cortés</w:t>
            </w:r>
          </w:p>
          <w:p w14:paraId="6C163823" w14:textId="77777777" w:rsidR="00E335D4" w:rsidRDefault="00E335D4" w:rsidP="0049643E">
            <w:pPr>
              <w:rPr>
                <w:rFonts w:ascii="Arial" w:eastAsia="Arial" w:hAnsi="Arial" w:cs="Arial"/>
                <w:color w:val="000000"/>
                <w:sz w:val="16"/>
                <w:szCs w:val="16"/>
              </w:rPr>
            </w:pPr>
            <w:r>
              <w:rPr>
                <w:rFonts w:ascii="Arial" w:eastAsia="Arial" w:hAnsi="Arial" w:cs="Arial"/>
                <w:color w:val="000000"/>
                <w:sz w:val="16"/>
                <w:szCs w:val="16"/>
              </w:rPr>
              <w:t>Subdirector de Gestión Contractual</w:t>
            </w:r>
          </w:p>
        </w:tc>
      </w:tr>
    </w:tbl>
    <w:p w14:paraId="30562392" w14:textId="77777777" w:rsidR="00E335D4" w:rsidRDefault="00E335D4" w:rsidP="00E335D4">
      <w:pPr>
        <w:rPr>
          <w:rFonts w:ascii="Arial" w:eastAsia="Arial" w:hAnsi="Arial" w:cs="Arial"/>
          <w:color w:val="000000"/>
        </w:rPr>
      </w:pPr>
    </w:p>
    <w:p w14:paraId="45B84722" w14:textId="77777777" w:rsidR="00BA2ACD" w:rsidRPr="00E335D4" w:rsidRDefault="00BA2ACD" w:rsidP="00E335D4"/>
    <w:sectPr w:rsidR="00BA2ACD" w:rsidRPr="00E335D4">
      <w:headerReference w:type="default" r:id="rId11"/>
      <w:footerReference w:type="default" r:id="rId12"/>
      <w:pgSz w:w="12240" w:h="15840"/>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73499" w14:textId="77777777" w:rsidR="005E73C4" w:rsidRDefault="005E73C4">
      <w:r>
        <w:separator/>
      </w:r>
    </w:p>
  </w:endnote>
  <w:endnote w:type="continuationSeparator" w:id="0">
    <w:p w14:paraId="2337AA09" w14:textId="77777777" w:rsidR="005E73C4" w:rsidRDefault="005E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3AEC8" w14:textId="77777777" w:rsidR="00BA2ACD" w:rsidRDefault="00BA2ACD">
    <w:pPr>
      <w:pBdr>
        <w:top w:val="nil"/>
        <w:left w:val="nil"/>
        <w:bottom w:val="nil"/>
        <w:right w:val="nil"/>
        <w:between w:val="nil"/>
      </w:pBdr>
      <w:jc w:val="right"/>
      <w:rPr>
        <w:rFonts w:ascii="Arial" w:eastAsia="Arial" w:hAnsi="Arial" w:cs="Arial"/>
        <w:color w:val="000000"/>
        <w:sz w:val="18"/>
        <w:szCs w:val="18"/>
      </w:rPr>
    </w:pPr>
  </w:p>
  <w:p w14:paraId="3B6C88AE" w14:textId="77777777" w:rsidR="00BA2ACD" w:rsidRDefault="00BA2ACD" w:rsidP="002879AF">
    <w:pPr>
      <w:pBdr>
        <w:top w:val="nil"/>
        <w:left w:val="nil"/>
        <w:bottom w:val="nil"/>
        <w:right w:val="nil"/>
        <w:between w:val="nil"/>
      </w:pBdr>
      <w:tabs>
        <w:tab w:val="center" w:pos="4419"/>
        <w:tab w:val="right" w:pos="8838"/>
      </w:tabs>
      <w:rPr>
        <w:rFonts w:ascii="Arial" w:eastAsia="Arial" w:hAnsi="Arial" w:cs="Arial"/>
        <w:color w:val="7F7F7F"/>
        <w:sz w:val="16"/>
        <w:szCs w:val="16"/>
      </w:rPr>
    </w:pPr>
  </w:p>
  <w:p w14:paraId="4DC44F81" w14:textId="73467283" w:rsidR="00BA2ACD" w:rsidRDefault="00F6149F">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FF369B">
      <w:rPr>
        <w:rFonts w:ascii="Arial" w:eastAsia="Arial" w:hAnsi="Arial" w:cs="Arial"/>
        <w:b/>
        <w:noProof/>
        <w:color w:val="7F7F7F"/>
        <w:sz w:val="16"/>
        <w:szCs w:val="16"/>
      </w:rPr>
      <w:t>2</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FF369B">
      <w:rPr>
        <w:rFonts w:ascii="Arial" w:eastAsia="Arial" w:hAnsi="Arial" w:cs="Arial"/>
        <w:b/>
        <w:noProof/>
        <w:color w:val="7F7F7F"/>
        <w:sz w:val="16"/>
        <w:szCs w:val="16"/>
      </w:rPr>
      <w:t>22</w:t>
    </w:r>
    <w:r>
      <w:rPr>
        <w:rFonts w:ascii="Arial" w:eastAsia="Arial" w:hAnsi="Arial" w:cs="Arial"/>
        <w:b/>
        <w:color w:val="7F7F7F"/>
        <w:sz w:val="16"/>
        <w:szCs w:val="16"/>
      </w:rPr>
      <w:fldChar w:fldCharType="end"/>
    </w:r>
  </w:p>
  <w:p w14:paraId="7F2AEEF6" w14:textId="77777777" w:rsidR="00BA2ACD" w:rsidRDefault="00F6149F">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66F0AFDF" wp14:editId="3A97E7BC">
          <wp:extent cx="3779589" cy="530287"/>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779589" cy="530287"/>
                  </a:xfrm>
                  <a:prstGeom prst="rect">
                    <a:avLst/>
                  </a:prstGeom>
                  <a:ln/>
                </pic:spPr>
              </pic:pic>
            </a:graphicData>
          </a:graphic>
        </wp:inline>
      </w:drawing>
    </w:r>
  </w:p>
  <w:p w14:paraId="2D1E512C" w14:textId="77777777" w:rsidR="00BA2ACD" w:rsidRDefault="00BA2ACD">
    <w:pPr>
      <w:pBdr>
        <w:top w:val="nil"/>
        <w:left w:val="nil"/>
        <w:bottom w:val="nil"/>
        <w:right w:val="nil"/>
        <w:between w:val="nil"/>
      </w:pBdr>
      <w:tabs>
        <w:tab w:val="center" w:pos="4419"/>
        <w:tab w:val="right" w:pos="8838"/>
      </w:tabs>
      <w:jc w:val="center"/>
      <w:rPr>
        <w:color w:val="000000"/>
        <w:sz w:val="18"/>
        <w:szCs w:val="18"/>
      </w:rPr>
    </w:pPr>
  </w:p>
  <w:p w14:paraId="7F1CDDEC" w14:textId="77777777" w:rsidR="00BA2ACD" w:rsidRDefault="00BA2ACD">
    <w:pPr>
      <w:pBdr>
        <w:top w:val="nil"/>
        <w:left w:val="nil"/>
        <w:bottom w:val="nil"/>
        <w:right w:val="nil"/>
        <w:between w:val="nil"/>
      </w:pBdr>
      <w:tabs>
        <w:tab w:val="center" w:pos="4419"/>
        <w:tab w:val="right" w:pos="8838"/>
      </w:tabs>
      <w:jc w:val="cente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506AE" w14:textId="77777777" w:rsidR="005E73C4" w:rsidRDefault="005E73C4">
      <w:r>
        <w:separator/>
      </w:r>
    </w:p>
  </w:footnote>
  <w:footnote w:type="continuationSeparator" w:id="0">
    <w:p w14:paraId="6CDD566D" w14:textId="77777777" w:rsidR="005E73C4" w:rsidRDefault="005E73C4">
      <w:r>
        <w:continuationSeparator/>
      </w:r>
    </w:p>
  </w:footnote>
  <w:footnote w:id="1">
    <w:p w14:paraId="282437E8" w14:textId="77777777" w:rsidR="00CC79BC" w:rsidRPr="00E86699" w:rsidRDefault="00CC79BC" w:rsidP="00CC79BC">
      <w:pPr>
        <w:pStyle w:val="Textonotapie"/>
        <w:ind w:firstLine="708"/>
        <w:jc w:val="both"/>
        <w:rPr>
          <w:rFonts w:ascii="Arial" w:hAnsi="Arial" w:cs="Arial"/>
          <w:sz w:val="19"/>
          <w:szCs w:val="19"/>
        </w:rPr>
      </w:pPr>
    </w:p>
    <w:p w14:paraId="108187E4" w14:textId="67822953" w:rsidR="00CC79BC" w:rsidRDefault="00CC79BC" w:rsidP="00CC79BC">
      <w:pPr>
        <w:pStyle w:val="Textonotapie"/>
        <w:ind w:firstLine="708"/>
        <w:jc w:val="both"/>
        <w:rPr>
          <w:rFonts w:ascii="Arial" w:hAnsi="Arial" w:cs="Arial"/>
          <w:sz w:val="19"/>
          <w:szCs w:val="19"/>
        </w:rPr>
      </w:pPr>
      <w:r w:rsidRPr="00E86699">
        <w:rPr>
          <w:rStyle w:val="Refdenotaalpie"/>
          <w:rFonts w:ascii="Arial" w:hAnsi="Arial" w:cs="Arial"/>
          <w:sz w:val="19"/>
          <w:szCs w:val="19"/>
        </w:rPr>
        <w:footnoteRef/>
      </w:r>
      <w:r w:rsidRPr="00E86699">
        <w:rPr>
          <w:rFonts w:ascii="Arial" w:hAnsi="Arial" w:cs="Arial"/>
          <w:sz w:val="19"/>
          <w:szCs w:val="19"/>
        </w:rPr>
        <w:t xml:space="preserve"> Ibid.</w:t>
      </w:r>
    </w:p>
    <w:p w14:paraId="07784912" w14:textId="77777777" w:rsidR="00F34478" w:rsidRPr="00E86699" w:rsidRDefault="00F34478" w:rsidP="00CC79BC">
      <w:pPr>
        <w:pStyle w:val="Textonotapie"/>
        <w:ind w:firstLine="708"/>
        <w:jc w:val="both"/>
        <w:rPr>
          <w:rFonts w:ascii="Arial" w:hAnsi="Arial" w:cs="Arial"/>
          <w:sz w:val="19"/>
          <w:szCs w:val="19"/>
          <w:lang w:val="es-ES"/>
        </w:rPr>
      </w:pPr>
    </w:p>
  </w:footnote>
  <w:footnote w:id="2">
    <w:p w14:paraId="5446E9AD" w14:textId="77777777" w:rsidR="00CC79BC" w:rsidRPr="00E86699" w:rsidRDefault="00CC79BC" w:rsidP="00CC79BC">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 xml:space="preserve">Resolución 116 de 2020. </w:t>
      </w:r>
    </w:p>
    <w:p w14:paraId="3F7F865D" w14:textId="77777777" w:rsidR="00CC79BC" w:rsidRPr="00E86699" w:rsidRDefault="00CC79BC" w:rsidP="00CC79BC">
      <w:pPr>
        <w:pStyle w:val="Textonotapie"/>
        <w:ind w:firstLine="708"/>
        <w:jc w:val="both"/>
        <w:rPr>
          <w:rFonts w:ascii="Arial" w:hAnsi="Arial" w:cs="Arial"/>
          <w:sz w:val="19"/>
          <w:szCs w:val="19"/>
          <w:lang w:val="es-ES"/>
        </w:rPr>
      </w:pPr>
    </w:p>
  </w:footnote>
  <w:footnote w:id="3">
    <w:p w14:paraId="1A526292" w14:textId="2EEC14AC" w:rsidR="00CC79BC" w:rsidRPr="00E86699" w:rsidRDefault="00CC79BC" w:rsidP="00CC79BC">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Ib</w:t>
      </w:r>
      <w:r w:rsidR="00F34478">
        <w:rPr>
          <w:rFonts w:ascii="Arial" w:hAnsi="Arial" w:cs="Arial"/>
          <w:sz w:val="19"/>
          <w:szCs w:val="19"/>
          <w:lang w:val="es-ES"/>
        </w:rPr>
        <w:t>í</w:t>
      </w:r>
      <w:r w:rsidRPr="00E86699">
        <w:rPr>
          <w:rFonts w:ascii="Arial" w:hAnsi="Arial" w:cs="Arial"/>
          <w:sz w:val="19"/>
          <w:szCs w:val="19"/>
          <w:lang w:val="es-ES"/>
        </w:rPr>
        <w:t>d.</w:t>
      </w:r>
    </w:p>
  </w:footnote>
  <w:footnote w:id="4">
    <w:p w14:paraId="1B756DD2" w14:textId="77777777" w:rsidR="007A7006" w:rsidRPr="00E86699" w:rsidRDefault="007A7006" w:rsidP="007A7006">
      <w:pPr>
        <w:pStyle w:val="Textonotapie"/>
        <w:ind w:firstLine="708"/>
        <w:jc w:val="both"/>
        <w:rPr>
          <w:rFonts w:ascii="Arial" w:hAnsi="Arial" w:cs="Arial"/>
          <w:sz w:val="19"/>
          <w:szCs w:val="19"/>
        </w:rPr>
      </w:pPr>
      <w:r w:rsidRPr="00E86699">
        <w:rPr>
          <w:rStyle w:val="Refdenotaalpie"/>
          <w:rFonts w:ascii="Arial" w:hAnsi="Arial" w:cs="Arial"/>
          <w:sz w:val="19"/>
          <w:szCs w:val="19"/>
        </w:rPr>
        <w:footnoteRef/>
      </w:r>
      <w:r w:rsidRPr="00E86699">
        <w:rPr>
          <w:rFonts w:ascii="Arial" w:hAnsi="Arial" w:cs="Arial"/>
          <w:sz w:val="19"/>
          <w:szCs w:val="19"/>
        </w:rPr>
        <w:t xml:space="preserve"> Ver la aclaración contenida en los dos primeros párrafos del presente numeral (2.3.). </w:t>
      </w:r>
    </w:p>
    <w:p w14:paraId="0302D4CE" w14:textId="77777777" w:rsidR="007A7006" w:rsidRPr="00E86699" w:rsidRDefault="007A7006" w:rsidP="007A7006">
      <w:pPr>
        <w:pStyle w:val="Textonotapie"/>
        <w:ind w:firstLine="708"/>
        <w:jc w:val="both"/>
        <w:rPr>
          <w:rFonts w:ascii="Arial" w:hAnsi="Arial" w:cs="Arial"/>
          <w:sz w:val="19"/>
          <w:szCs w:val="19"/>
          <w:lang w:val="es-ES"/>
        </w:rPr>
      </w:pPr>
      <w:r w:rsidRPr="00E86699">
        <w:rPr>
          <w:rFonts w:ascii="Arial" w:hAnsi="Arial" w:cs="Arial"/>
          <w:sz w:val="19"/>
          <w:szCs w:val="19"/>
        </w:rPr>
        <w:t xml:space="preserve"> </w:t>
      </w:r>
    </w:p>
  </w:footnote>
  <w:footnote w:id="5">
    <w:p w14:paraId="1EAA8934" w14:textId="77777777" w:rsidR="007A7006" w:rsidRPr="00E86699" w:rsidRDefault="007A7006" w:rsidP="007A7006">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0F5E435F" w14:textId="77777777" w:rsidR="007A7006" w:rsidRPr="00E86699" w:rsidRDefault="007A7006" w:rsidP="007A7006">
      <w:pPr>
        <w:pBdr>
          <w:top w:val="nil"/>
          <w:left w:val="nil"/>
          <w:bottom w:val="nil"/>
          <w:right w:val="nil"/>
          <w:between w:val="nil"/>
        </w:pBdr>
        <w:ind w:firstLine="708"/>
        <w:jc w:val="both"/>
        <w:rPr>
          <w:rFonts w:ascii="Arial" w:eastAsia="Arial" w:hAnsi="Arial" w:cs="Arial"/>
          <w:color w:val="000000"/>
          <w:sz w:val="19"/>
          <w:szCs w:val="19"/>
        </w:rPr>
      </w:pPr>
    </w:p>
  </w:footnote>
  <w:footnote w:id="6">
    <w:p w14:paraId="449C7863"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Ley 1150 de 2007: «Artículo 17. Del derecho al debido proceso.  El debido proceso será un principio rector en materia sancionatoria de las actuaciones contractuales.</w:t>
      </w:r>
    </w:p>
    <w:p w14:paraId="41C34003"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8"/>
          <w:szCs w:val="18"/>
        </w:rPr>
      </w:pPr>
      <w:r>
        <w:rPr>
          <w:rFonts w:ascii="Arial" w:eastAsia="Arial" w:hAnsi="Arial" w:cs="Arial"/>
          <w:color w:val="000000"/>
          <w:sz w:val="18"/>
          <w:szCs w:val="18"/>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7A7B88F4"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8"/>
          <w:szCs w:val="18"/>
        </w:rPr>
      </w:pPr>
      <w:r>
        <w:rPr>
          <w:rFonts w:ascii="Arial" w:eastAsia="Arial" w:hAnsi="Arial" w:cs="Arial"/>
          <w:color w:val="000000"/>
          <w:sz w:val="18"/>
          <w:szCs w:val="18"/>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7041FEFC"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8"/>
          <w:szCs w:val="18"/>
        </w:rPr>
      </w:pPr>
      <w:r>
        <w:rPr>
          <w:rFonts w:ascii="Arial" w:eastAsia="Arial" w:hAnsi="Arial" w:cs="Arial"/>
          <w:color w:val="000000"/>
          <w:sz w:val="18"/>
          <w:szCs w:val="18"/>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 w:id="7">
    <w:p w14:paraId="2EDFFD9D" w14:textId="77777777" w:rsidR="00E335D4" w:rsidRDefault="00E335D4" w:rsidP="00E335D4">
      <w:pPr>
        <w:pBdr>
          <w:top w:val="nil"/>
          <w:left w:val="nil"/>
          <w:bottom w:val="nil"/>
          <w:right w:val="nil"/>
          <w:between w:val="nil"/>
        </w:pBdr>
        <w:ind w:firstLine="709"/>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62113172" w14:textId="77777777" w:rsidR="00E335D4" w:rsidRDefault="00E335D4" w:rsidP="00E335D4">
      <w:pPr>
        <w:pBdr>
          <w:top w:val="nil"/>
          <w:left w:val="nil"/>
          <w:bottom w:val="nil"/>
          <w:right w:val="nil"/>
          <w:between w:val="nil"/>
        </w:pBdr>
        <w:ind w:firstLine="709"/>
        <w:jc w:val="both"/>
        <w:rPr>
          <w:rFonts w:ascii="Arial" w:eastAsia="Arial" w:hAnsi="Arial" w:cs="Arial"/>
          <w:color w:val="000000"/>
          <w:sz w:val="19"/>
          <w:szCs w:val="19"/>
        </w:rPr>
      </w:pPr>
      <w:r>
        <w:rPr>
          <w:rFonts w:ascii="Arial" w:eastAsia="Arial" w:hAnsi="Arial" w:cs="Arial"/>
          <w:color w:val="000000"/>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48A2D235" w14:textId="77777777" w:rsidR="00E335D4" w:rsidRDefault="00E335D4" w:rsidP="00E335D4">
      <w:pPr>
        <w:pBdr>
          <w:top w:val="nil"/>
          <w:left w:val="nil"/>
          <w:bottom w:val="nil"/>
          <w:right w:val="nil"/>
          <w:between w:val="nil"/>
        </w:pBdr>
        <w:ind w:firstLine="709"/>
        <w:jc w:val="both"/>
        <w:rPr>
          <w:rFonts w:ascii="Arial" w:eastAsia="Arial" w:hAnsi="Arial" w:cs="Arial"/>
          <w:color w:val="000000"/>
          <w:sz w:val="19"/>
          <w:szCs w:val="19"/>
        </w:rPr>
      </w:pPr>
    </w:p>
  </w:footnote>
  <w:footnote w:id="8">
    <w:p w14:paraId="29671565"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72AC8ADF"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p>
  </w:footnote>
  <w:footnote w:id="9">
    <w:p w14:paraId="60587C47"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3DA4A5F5"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p w14:paraId="707F6CA3"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p>
  </w:footnote>
  <w:footnote w:id="10">
    <w:p w14:paraId="637791BD"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D1EE87B"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 xml:space="preserve">»[…]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 </w:t>
      </w:r>
    </w:p>
    <w:p w14:paraId="25C9BB4F"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 […]».</w:t>
      </w:r>
    </w:p>
    <w:p w14:paraId="47238CA8" w14:textId="77777777" w:rsidR="00E335D4" w:rsidRDefault="00E335D4" w:rsidP="00E335D4">
      <w:pPr>
        <w:pBdr>
          <w:top w:val="nil"/>
          <w:left w:val="nil"/>
          <w:bottom w:val="nil"/>
          <w:right w:val="nil"/>
          <w:between w:val="nil"/>
        </w:pBdr>
        <w:jc w:val="both"/>
        <w:rPr>
          <w:rFonts w:ascii="Arial" w:eastAsia="Arial" w:hAnsi="Arial" w:cs="Arial"/>
          <w:color w:val="000000"/>
          <w:sz w:val="19"/>
          <w:szCs w:val="19"/>
        </w:rPr>
      </w:pPr>
    </w:p>
  </w:footnote>
  <w:footnote w:id="11">
    <w:p w14:paraId="39D7E365"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A3B75C8"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»1.    Si es una persona natural:</w:t>
      </w:r>
    </w:p>
    <w:p w14:paraId="46223633"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»1.1. Bienes, obras y servicios que ofrecerá a las Entidades Estatales, identificados con el Clasificador de Bienes y Servicios en el tercer nivel.</w:t>
      </w:r>
    </w:p>
    <w:p w14:paraId="29861360"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17A22358"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p>
  </w:footnote>
  <w:footnote w:id="12">
    <w:p w14:paraId="423295CD"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29A9A11B"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 xml:space="preserve">»Los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w:t>
      </w:r>
    </w:p>
    <w:p w14:paraId="6B965528" w14:textId="77777777" w:rsidR="00E335D4" w:rsidRDefault="00E335D4" w:rsidP="00E335D4">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color w:val="000000"/>
          <w:sz w:val="19"/>
          <w:szCs w:val="19"/>
        </w:rPr>
        <w:t>la participación en proponentes plurales. Esta experiencia se obtiene con contratantes públicos, privados, nacionales o extranjeros. No hay límite frente al número de contratos o a la fecha en la cual estos fueron celebrados.</w:t>
      </w:r>
    </w:p>
    <w:p w14:paraId="014DE342"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w:t>
      </w:r>
    </w:p>
    <w:p w14:paraId="24141B0B"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325E3417"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63011315" w14:textId="77777777" w:rsidR="00E335D4" w:rsidRDefault="00E335D4" w:rsidP="00E335D4">
      <w:pPr>
        <w:pBdr>
          <w:top w:val="nil"/>
          <w:left w:val="nil"/>
          <w:bottom w:val="nil"/>
          <w:right w:val="nil"/>
          <w:between w:val="nil"/>
        </w:pBdr>
        <w:jc w:val="both"/>
        <w:rPr>
          <w:rFonts w:ascii="Arial" w:eastAsia="Arial" w:hAnsi="Arial" w:cs="Arial"/>
          <w:color w:val="000000"/>
          <w:sz w:val="19"/>
          <w:szCs w:val="19"/>
        </w:rPr>
      </w:pPr>
    </w:p>
  </w:footnote>
  <w:footnote w:id="13">
    <w:p w14:paraId="3B460214" w14:textId="77777777" w:rsidR="00E335D4" w:rsidRDefault="00E335D4" w:rsidP="00E335D4">
      <w:pPr>
        <w:pBdr>
          <w:top w:val="nil"/>
          <w:left w:val="nil"/>
          <w:bottom w:val="nil"/>
          <w:right w:val="nil"/>
          <w:between w:val="nil"/>
        </w:pBdr>
        <w:ind w:firstLine="709"/>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Allí se preguntó, entre otras cosas, si «[¿] para acreditar requisitos de experiencia como puentes un proponente presenta un contrato que dentro su alcance se evidencia esta actividad, pero el objeto es diferente, ¿puede la entidad desagregar el valor y únicamente validar la actividad solicitada o se debe tener en cuenta la totalidad del valor contratado?».</w:t>
      </w:r>
    </w:p>
  </w:footnote>
  <w:footnote w:id="14">
    <w:p w14:paraId="07CA9B93" w14:textId="77777777" w:rsidR="00E335D4" w:rsidRDefault="00E335D4" w:rsidP="00E335D4">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Allí se preguntó, entre otras cuestiones, si «[…] ¿las entidades pueden solicitar para la acreditación de la experiencia a cargo de los proponentes, que en los contratos a través de los cuales se va a acreditar ésta, existan actividades ejecutadas, siempre y cuando las mismas guarden relación con el objeto y las actividades contempladas en el proceso que adelanta la entidad?». Igualmente, «[…] ¿en qué documento y en qué aparte se puede incluir dicha condición? (…) [y] ¿Cuándo se daría aplicación a esa disposición?, en armonía con lo dispuesto en el numeral 3.5.4 de la guía para comprensión e implementación de los documentos tipo”».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4BC26" w14:textId="77777777" w:rsidR="00BA2ACD" w:rsidRDefault="00F6149F">
    <w:pPr>
      <w:pBdr>
        <w:top w:val="nil"/>
        <w:left w:val="nil"/>
        <w:bottom w:val="nil"/>
        <w:right w:val="nil"/>
        <w:between w:val="nil"/>
      </w:pBdr>
      <w:tabs>
        <w:tab w:val="center" w:pos="4252"/>
        <w:tab w:val="right" w:pos="8504"/>
      </w:tabs>
      <w:rPr>
        <w:color w:val="000000"/>
      </w:rPr>
    </w:pPr>
    <w:r>
      <w:rPr>
        <w:noProof/>
        <w:lang w:val="en-US" w:eastAsia="en-US"/>
      </w:rPr>
      <w:drawing>
        <wp:anchor distT="0" distB="0" distL="114300" distR="114300" simplePos="0" relativeHeight="251658240" behindDoc="0" locked="0" layoutInCell="1" hidden="0" allowOverlap="1" wp14:anchorId="442D6B08" wp14:editId="1D6FD951">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4910"/>
    <w:multiLevelType w:val="multilevel"/>
    <w:tmpl w:val="80F6FBFE"/>
    <w:lvl w:ilvl="0">
      <w:start w:val="1"/>
      <w:numFmt w:val="upp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1" w15:restartNumberingAfterBreak="0">
    <w:nsid w:val="3CC76342"/>
    <w:multiLevelType w:val="multilevel"/>
    <w:tmpl w:val="5F580C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280EC8"/>
    <w:multiLevelType w:val="multilevel"/>
    <w:tmpl w:val="85E669D2"/>
    <w:lvl w:ilvl="0">
      <w:start w:val="3"/>
      <w:numFmt w:val="decimal"/>
      <w:lvlText w:val="%1"/>
      <w:lvlJc w:val="left"/>
      <w:pPr>
        <w:ind w:left="435" w:hanging="435"/>
      </w:pPr>
    </w:lvl>
    <w:lvl w:ilvl="1">
      <w:start w:val="5"/>
      <w:numFmt w:val="decimal"/>
      <w:lvlText w:val="%1.%2"/>
      <w:lvlJc w:val="left"/>
      <w:pPr>
        <w:ind w:left="917" w:hanging="435"/>
      </w:pPr>
    </w:lvl>
    <w:lvl w:ilvl="2">
      <w:start w:val="4"/>
      <w:numFmt w:val="decimal"/>
      <w:lvlText w:val="%1.%2.%3"/>
      <w:lvlJc w:val="left"/>
      <w:pPr>
        <w:ind w:left="1684" w:hanging="720"/>
      </w:pPr>
      <w:rPr>
        <w:b w:val="0"/>
      </w:rPr>
    </w:lvl>
    <w:lvl w:ilvl="3">
      <w:start w:val="1"/>
      <w:numFmt w:val="decimal"/>
      <w:lvlText w:val="%1.%2.%3.%4"/>
      <w:lvlJc w:val="left"/>
      <w:pPr>
        <w:ind w:left="2166" w:hanging="720"/>
      </w:pPr>
    </w:lvl>
    <w:lvl w:ilvl="4">
      <w:start w:val="1"/>
      <w:numFmt w:val="decimal"/>
      <w:lvlText w:val="%1.%2.%3.%4.%5"/>
      <w:lvlJc w:val="left"/>
      <w:pPr>
        <w:ind w:left="3008" w:hanging="1080"/>
      </w:pPr>
    </w:lvl>
    <w:lvl w:ilvl="5">
      <w:start w:val="1"/>
      <w:numFmt w:val="decimal"/>
      <w:lvlText w:val="%1.%2.%3.%4.%5.%6"/>
      <w:lvlJc w:val="left"/>
      <w:pPr>
        <w:ind w:left="3490" w:hanging="1080"/>
      </w:pPr>
    </w:lvl>
    <w:lvl w:ilvl="6">
      <w:start w:val="1"/>
      <w:numFmt w:val="decimal"/>
      <w:lvlText w:val="%1.%2.%3.%4.%5.%6.%7"/>
      <w:lvlJc w:val="left"/>
      <w:pPr>
        <w:ind w:left="4332" w:hanging="1440"/>
      </w:pPr>
    </w:lvl>
    <w:lvl w:ilvl="7">
      <w:start w:val="1"/>
      <w:numFmt w:val="decimal"/>
      <w:lvlText w:val="%1.%2.%3.%4.%5.%6.%7.%8"/>
      <w:lvlJc w:val="left"/>
      <w:pPr>
        <w:ind w:left="4814" w:hanging="1440"/>
      </w:pPr>
    </w:lvl>
    <w:lvl w:ilvl="8">
      <w:start w:val="1"/>
      <w:numFmt w:val="decimal"/>
      <w:lvlText w:val="%1.%2.%3.%4.%5.%6.%7.%8.%9"/>
      <w:lvlJc w:val="left"/>
      <w:pPr>
        <w:ind w:left="5656" w:hanging="1800"/>
      </w:pPr>
    </w:lvl>
  </w:abstractNum>
  <w:abstractNum w:abstractNumId="3" w15:restartNumberingAfterBreak="0">
    <w:nsid w:val="51126AA9"/>
    <w:multiLevelType w:val="multilevel"/>
    <w:tmpl w:val="56EABD72"/>
    <w:lvl w:ilvl="0">
      <w:start w:val="1"/>
      <w:numFmt w:val="decimal"/>
      <w:lvlText w:val="%1."/>
      <w:lvlJc w:val="left"/>
      <w:pPr>
        <w:ind w:left="360" w:hanging="360"/>
      </w:pPr>
      <w:rPr>
        <w:color w:val="000000"/>
        <w:sz w:val="20"/>
        <w:szCs w:val="20"/>
      </w:rPr>
    </w:lvl>
    <w:lvl w:ilvl="1">
      <w:start w:val="1"/>
      <w:numFmt w:val="decimal"/>
      <w:lvlText w:val="3.%2."/>
      <w:lvlJc w:val="left"/>
      <w:pPr>
        <w:ind w:left="1004" w:hanging="720"/>
      </w:pPr>
      <w:rPr>
        <w:b/>
        <w:i w:val="0"/>
        <w:color w:val="000000"/>
      </w:rPr>
    </w:lvl>
    <w:lvl w:ilvl="2">
      <w:start w:val="1"/>
      <w:numFmt w:val="decimal"/>
      <w:lvlText w:val="3.5.%3."/>
      <w:lvlJc w:val="left"/>
      <w:pPr>
        <w:ind w:left="964" w:hanging="624"/>
      </w:pPr>
      <w:rPr>
        <w:b w:val="0"/>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6E7F5A08"/>
    <w:multiLevelType w:val="multilevel"/>
    <w:tmpl w:val="2F343588"/>
    <w:lvl w:ilvl="0">
      <w:start w:val="1"/>
      <w:numFmt w:val="decimal"/>
      <w:lvlText w:val="%1."/>
      <w:lvlJc w:val="left"/>
      <w:pPr>
        <w:ind w:left="6601" w:hanging="360"/>
      </w:pPr>
      <w:rPr>
        <w:b/>
        <w:color w:val="auto"/>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CD"/>
    <w:rsid w:val="00024748"/>
    <w:rsid w:val="000775FD"/>
    <w:rsid w:val="000C5550"/>
    <w:rsid w:val="000E61D9"/>
    <w:rsid w:val="00167046"/>
    <w:rsid w:val="002879AF"/>
    <w:rsid w:val="002B1A91"/>
    <w:rsid w:val="00370D1D"/>
    <w:rsid w:val="0037219A"/>
    <w:rsid w:val="003976E4"/>
    <w:rsid w:val="003C39B7"/>
    <w:rsid w:val="004229FA"/>
    <w:rsid w:val="004A0960"/>
    <w:rsid w:val="004B7B35"/>
    <w:rsid w:val="004C7404"/>
    <w:rsid w:val="005A3619"/>
    <w:rsid w:val="005E73C4"/>
    <w:rsid w:val="00610A28"/>
    <w:rsid w:val="00637531"/>
    <w:rsid w:val="006A28FA"/>
    <w:rsid w:val="006C2405"/>
    <w:rsid w:val="00715419"/>
    <w:rsid w:val="00726D35"/>
    <w:rsid w:val="007270C1"/>
    <w:rsid w:val="007A7006"/>
    <w:rsid w:val="008F3828"/>
    <w:rsid w:val="00982C15"/>
    <w:rsid w:val="00A5628E"/>
    <w:rsid w:val="00A85DB9"/>
    <w:rsid w:val="00AD2BA4"/>
    <w:rsid w:val="00AF1F92"/>
    <w:rsid w:val="00B41C73"/>
    <w:rsid w:val="00BA2ACD"/>
    <w:rsid w:val="00C522D0"/>
    <w:rsid w:val="00CC79BC"/>
    <w:rsid w:val="00D441ED"/>
    <w:rsid w:val="00D66A80"/>
    <w:rsid w:val="00E335D4"/>
    <w:rsid w:val="00E50AF5"/>
    <w:rsid w:val="00EE2076"/>
    <w:rsid w:val="00F34478"/>
    <w:rsid w:val="00F6149F"/>
    <w:rsid w:val="00F935DB"/>
    <w:rsid w:val="00FF29D1"/>
    <w:rsid w:val="00FF36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9A16"/>
  <w15:docId w15:val="{E548AF28-7B45-5E46-AAF1-7029D0FC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D66A80"/>
    <w:rPr>
      <w:sz w:val="16"/>
      <w:szCs w:val="16"/>
    </w:rPr>
  </w:style>
  <w:style w:type="paragraph" w:styleId="Textocomentario">
    <w:name w:val="annotation text"/>
    <w:basedOn w:val="Normal"/>
    <w:link w:val="TextocomentarioCar"/>
    <w:uiPriority w:val="99"/>
    <w:semiHidden/>
    <w:unhideWhenUsed/>
    <w:rsid w:val="00D66A80"/>
    <w:rPr>
      <w:sz w:val="20"/>
      <w:szCs w:val="20"/>
    </w:rPr>
  </w:style>
  <w:style w:type="character" w:customStyle="1" w:styleId="TextocomentarioCar">
    <w:name w:val="Texto comentario Car"/>
    <w:basedOn w:val="Fuentedeprrafopredeter"/>
    <w:link w:val="Textocomentario"/>
    <w:uiPriority w:val="99"/>
    <w:semiHidden/>
    <w:rsid w:val="00D66A80"/>
    <w:rPr>
      <w:sz w:val="20"/>
      <w:szCs w:val="20"/>
    </w:rPr>
  </w:style>
  <w:style w:type="paragraph" w:styleId="Asuntodelcomentario">
    <w:name w:val="annotation subject"/>
    <w:basedOn w:val="Textocomentario"/>
    <w:next w:val="Textocomentario"/>
    <w:link w:val="AsuntodelcomentarioCar"/>
    <w:uiPriority w:val="99"/>
    <w:semiHidden/>
    <w:unhideWhenUsed/>
    <w:rsid w:val="00D66A80"/>
    <w:rPr>
      <w:b/>
      <w:bCs/>
    </w:rPr>
  </w:style>
  <w:style w:type="character" w:customStyle="1" w:styleId="AsuntodelcomentarioCar">
    <w:name w:val="Asunto del comentario Car"/>
    <w:basedOn w:val="TextocomentarioCar"/>
    <w:link w:val="Asuntodelcomentario"/>
    <w:uiPriority w:val="99"/>
    <w:semiHidden/>
    <w:rsid w:val="00D66A80"/>
    <w:rPr>
      <w:b/>
      <w:bCs/>
      <w:sz w:val="20"/>
      <w:szCs w:val="20"/>
    </w:rPr>
  </w:style>
  <w:style w:type="paragraph" w:styleId="Textodeglobo">
    <w:name w:val="Balloon Text"/>
    <w:basedOn w:val="Normal"/>
    <w:link w:val="TextodegloboCar"/>
    <w:uiPriority w:val="99"/>
    <w:semiHidden/>
    <w:unhideWhenUsed/>
    <w:rsid w:val="00D66A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6A80"/>
    <w:rPr>
      <w:rFonts w:ascii="Segoe UI" w:hAnsi="Segoe UI" w:cs="Segoe UI"/>
      <w:sz w:val="18"/>
      <w:szCs w:val="18"/>
    </w:rPr>
  </w:style>
  <w:style w:type="paragraph" w:styleId="Textonotapie">
    <w:name w:val="footnote text"/>
    <w:basedOn w:val="Normal"/>
    <w:link w:val="TextonotapieCar"/>
    <w:uiPriority w:val="99"/>
    <w:semiHidden/>
    <w:unhideWhenUsed/>
    <w:rsid w:val="00CC79BC"/>
    <w:rPr>
      <w:sz w:val="20"/>
      <w:szCs w:val="20"/>
    </w:rPr>
  </w:style>
  <w:style w:type="character" w:customStyle="1" w:styleId="TextonotapieCar">
    <w:name w:val="Texto nota pie Car"/>
    <w:basedOn w:val="Fuentedeprrafopredeter"/>
    <w:link w:val="Textonotapie"/>
    <w:uiPriority w:val="99"/>
    <w:semiHidden/>
    <w:rsid w:val="00CC79BC"/>
    <w:rPr>
      <w:sz w:val="20"/>
      <w:szCs w:val="20"/>
    </w:rPr>
  </w:style>
  <w:style w:type="character" w:styleId="Refdenotaalpie">
    <w:name w:val="footnote reference"/>
    <w:basedOn w:val="Fuentedeprrafopredeter"/>
    <w:uiPriority w:val="99"/>
    <w:semiHidden/>
    <w:unhideWhenUsed/>
    <w:rsid w:val="00CC79BC"/>
    <w:rPr>
      <w:vertAlign w:val="superscript"/>
    </w:rPr>
  </w:style>
  <w:style w:type="paragraph" w:styleId="Encabezado">
    <w:name w:val="header"/>
    <w:basedOn w:val="Normal"/>
    <w:link w:val="EncabezadoCar"/>
    <w:uiPriority w:val="99"/>
    <w:unhideWhenUsed/>
    <w:rsid w:val="002879AF"/>
    <w:pPr>
      <w:tabs>
        <w:tab w:val="center" w:pos="4419"/>
        <w:tab w:val="right" w:pos="8838"/>
      </w:tabs>
    </w:pPr>
  </w:style>
  <w:style w:type="character" w:customStyle="1" w:styleId="EncabezadoCar">
    <w:name w:val="Encabezado Car"/>
    <w:basedOn w:val="Fuentedeprrafopredeter"/>
    <w:link w:val="Encabezado"/>
    <w:uiPriority w:val="99"/>
    <w:rsid w:val="002879AF"/>
  </w:style>
  <w:style w:type="paragraph" w:styleId="Piedepgina">
    <w:name w:val="footer"/>
    <w:basedOn w:val="Normal"/>
    <w:link w:val="PiedepginaCar"/>
    <w:uiPriority w:val="99"/>
    <w:unhideWhenUsed/>
    <w:rsid w:val="002879AF"/>
    <w:pPr>
      <w:tabs>
        <w:tab w:val="center" w:pos="4419"/>
        <w:tab w:val="right" w:pos="8838"/>
      </w:tabs>
    </w:pPr>
  </w:style>
  <w:style w:type="character" w:customStyle="1" w:styleId="PiedepginaCar">
    <w:name w:val="Pie de página Car"/>
    <w:basedOn w:val="Fuentedeprrafopredeter"/>
    <w:link w:val="Piedepgina"/>
    <w:uiPriority w:val="99"/>
    <w:rsid w:val="00287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9270">
      <w:bodyDiv w:val="1"/>
      <w:marLeft w:val="0"/>
      <w:marRight w:val="0"/>
      <w:marTop w:val="0"/>
      <w:marBottom w:val="0"/>
      <w:divBdr>
        <w:top w:val="none" w:sz="0" w:space="0" w:color="auto"/>
        <w:left w:val="none" w:sz="0" w:space="0" w:color="auto"/>
        <w:bottom w:val="none" w:sz="0" w:space="0" w:color="auto"/>
        <w:right w:val="none" w:sz="0" w:space="0" w:color="auto"/>
      </w:divBdr>
      <w:divsChild>
        <w:div w:id="382024375">
          <w:marLeft w:val="0"/>
          <w:marRight w:val="0"/>
          <w:marTop w:val="0"/>
          <w:marBottom w:val="0"/>
          <w:divBdr>
            <w:top w:val="none" w:sz="0" w:space="0" w:color="auto"/>
            <w:left w:val="none" w:sz="0" w:space="0" w:color="auto"/>
            <w:bottom w:val="none" w:sz="0" w:space="0" w:color="auto"/>
            <w:right w:val="none" w:sz="0" w:space="0" w:color="auto"/>
          </w:divBdr>
          <w:divsChild>
            <w:div w:id="1690722171">
              <w:marLeft w:val="0"/>
              <w:marRight w:val="0"/>
              <w:marTop w:val="0"/>
              <w:marBottom w:val="0"/>
              <w:divBdr>
                <w:top w:val="none" w:sz="0" w:space="0" w:color="auto"/>
                <w:left w:val="none" w:sz="0" w:space="0" w:color="auto"/>
                <w:bottom w:val="none" w:sz="0" w:space="0" w:color="auto"/>
                <w:right w:val="none" w:sz="0" w:space="0" w:color="auto"/>
              </w:divBdr>
              <w:divsChild>
                <w:div w:id="15811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33186">
      <w:bodyDiv w:val="1"/>
      <w:marLeft w:val="0"/>
      <w:marRight w:val="0"/>
      <w:marTop w:val="0"/>
      <w:marBottom w:val="0"/>
      <w:divBdr>
        <w:top w:val="none" w:sz="0" w:space="0" w:color="auto"/>
        <w:left w:val="none" w:sz="0" w:space="0" w:color="auto"/>
        <w:bottom w:val="none" w:sz="0" w:space="0" w:color="auto"/>
        <w:right w:val="none" w:sz="0" w:space="0" w:color="auto"/>
      </w:divBdr>
      <w:divsChild>
        <w:div w:id="443157779">
          <w:marLeft w:val="0"/>
          <w:marRight w:val="0"/>
          <w:marTop w:val="0"/>
          <w:marBottom w:val="0"/>
          <w:divBdr>
            <w:top w:val="none" w:sz="0" w:space="0" w:color="auto"/>
            <w:left w:val="none" w:sz="0" w:space="0" w:color="auto"/>
            <w:bottom w:val="none" w:sz="0" w:space="0" w:color="auto"/>
            <w:right w:val="none" w:sz="0" w:space="0" w:color="auto"/>
          </w:divBdr>
          <w:divsChild>
            <w:div w:id="219874181">
              <w:marLeft w:val="0"/>
              <w:marRight w:val="0"/>
              <w:marTop w:val="0"/>
              <w:marBottom w:val="0"/>
              <w:divBdr>
                <w:top w:val="none" w:sz="0" w:space="0" w:color="auto"/>
                <w:left w:val="none" w:sz="0" w:space="0" w:color="auto"/>
                <w:bottom w:val="none" w:sz="0" w:space="0" w:color="auto"/>
                <w:right w:val="none" w:sz="0" w:space="0" w:color="auto"/>
              </w:divBdr>
              <w:divsChild>
                <w:div w:id="11067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DBB4C-8B74-4957-B853-6166C7315B5D}">
  <ds:schemaRefs>
    <ds:schemaRef ds:uri="http://schemas.microsoft.com/sharepoint/v3/contenttype/forms"/>
  </ds:schemaRefs>
</ds:datastoreItem>
</file>

<file path=customXml/itemProps2.xml><?xml version="1.0" encoding="utf-8"?>
<ds:datastoreItem xmlns:ds="http://schemas.openxmlformats.org/officeDocument/2006/customXml" ds:itemID="{DAF49270-D014-4E2D-8E97-B9029E6198C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7D4DE85-441B-4237-B2FC-DB6AE9045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8125</Words>
  <Characters>46316</Characters>
  <Application>Microsoft Office Word</Application>
  <DocSecurity>0</DocSecurity>
  <Lines>385</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Padron</dc:creator>
  <cp:lastModifiedBy>Nina María Padrón</cp:lastModifiedBy>
  <cp:revision>2</cp:revision>
  <dcterms:created xsi:type="dcterms:W3CDTF">2020-08-13T15:14:00Z</dcterms:created>
  <dcterms:modified xsi:type="dcterms:W3CDTF">2020-08-13T15:14:00Z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