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1E139" w14:textId="55AF41DE" w:rsidR="009E2BF2" w:rsidRPr="00220775" w:rsidRDefault="0009393A" w:rsidP="003B0E1E">
      <w:pPr>
        <w:spacing w:line="276" w:lineRule="auto"/>
        <w:ind w:right="-142"/>
        <w:jc w:val="right"/>
        <w:rPr>
          <w:rFonts w:ascii="Arial" w:eastAsia="Times New Roman" w:hAnsi="Arial" w:cs="Arial"/>
          <w:b/>
          <w:bCs/>
          <w:sz w:val="16"/>
          <w:szCs w:val="16"/>
          <w:lang w:eastAsia="es-ES"/>
        </w:rPr>
      </w:pPr>
      <w:bookmarkStart w:id="0" w:name="_Hlk38401078"/>
      <w:bookmarkStart w:id="1" w:name="_Hlk29890381"/>
      <w:r>
        <w:rPr>
          <w:rFonts w:ascii="Arial" w:eastAsia="Times New Roman" w:hAnsi="Arial" w:cs="Arial"/>
          <w:sz w:val="16"/>
          <w:szCs w:val="16"/>
          <w:lang w:eastAsia="es-ES"/>
        </w:rPr>
        <w:t xml:space="preserve"> </w:t>
      </w:r>
      <w:r w:rsidR="00646553" w:rsidRPr="00220775">
        <w:rPr>
          <w:rFonts w:ascii="Arial" w:eastAsia="Times New Roman" w:hAnsi="Arial" w:cs="Arial"/>
          <w:b/>
          <w:bCs/>
          <w:sz w:val="16"/>
          <w:szCs w:val="16"/>
          <w:lang w:eastAsia="es-ES"/>
        </w:rPr>
        <w:t>CCE-DES-FM-17</w:t>
      </w:r>
    </w:p>
    <w:p w14:paraId="3F7ECA06" w14:textId="77777777" w:rsidR="00220775" w:rsidRPr="00220775" w:rsidRDefault="00220775" w:rsidP="003B0E1E">
      <w:pPr>
        <w:spacing w:line="276" w:lineRule="auto"/>
        <w:ind w:right="-142"/>
        <w:jc w:val="right"/>
        <w:rPr>
          <w:rFonts w:ascii="Arial" w:eastAsia="Calibri" w:hAnsi="Arial" w:cs="Arial"/>
          <w:b/>
          <w:sz w:val="16"/>
          <w:szCs w:val="16"/>
        </w:rPr>
      </w:pPr>
    </w:p>
    <w:p w14:paraId="2D8009CB" w14:textId="4F21514E" w:rsidR="009E2BF2" w:rsidRPr="00FC298D" w:rsidRDefault="00646553" w:rsidP="003B0E1E">
      <w:pPr>
        <w:ind w:right="-142"/>
        <w:jc w:val="both"/>
        <w:rPr>
          <w:rFonts w:ascii="Arial" w:eastAsia="Calibri" w:hAnsi="Arial" w:cs="Arial"/>
          <w:b/>
          <w:sz w:val="22"/>
        </w:rPr>
      </w:pPr>
      <w:bookmarkStart w:id="2" w:name="_GoBack"/>
      <w:r w:rsidRPr="00FC298D">
        <w:rPr>
          <w:rFonts w:ascii="Arial" w:eastAsia="Calibri" w:hAnsi="Arial" w:cs="Arial"/>
          <w:b/>
          <w:sz w:val="22"/>
        </w:rPr>
        <w:t xml:space="preserve">DOCUMENTOS TIPO </w:t>
      </w:r>
      <w:r w:rsidR="00A06D38" w:rsidRPr="00FC298D">
        <w:rPr>
          <w:rFonts w:ascii="Arial" w:eastAsia="Calibri" w:hAnsi="Arial" w:cs="Arial"/>
          <w:b/>
          <w:sz w:val="22"/>
        </w:rPr>
        <w:t>–</w:t>
      </w:r>
      <w:r w:rsidRPr="00FC298D">
        <w:rPr>
          <w:rFonts w:ascii="Arial" w:eastAsia="Calibri" w:hAnsi="Arial" w:cs="Arial"/>
          <w:b/>
          <w:sz w:val="22"/>
        </w:rPr>
        <w:t xml:space="preserve"> Métodos </w:t>
      </w:r>
      <w:r w:rsidR="00FC298D" w:rsidRPr="00FC298D">
        <w:rPr>
          <w:rFonts w:ascii="Arial" w:eastAsia="Calibri" w:hAnsi="Arial" w:cs="Arial"/>
          <w:b/>
          <w:sz w:val="22"/>
        </w:rPr>
        <w:t xml:space="preserve">ponderación </w:t>
      </w:r>
      <w:r w:rsidR="00FC298D" w:rsidRPr="00FC298D">
        <w:rPr>
          <w:rFonts w:ascii="Arial" w:eastAsia="Calibri" w:hAnsi="Arial" w:cs="Arial"/>
          <w:b/>
          <w:sz w:val="22"/>
        </w:rPr>
        <w:t>–</w:t>
      </w:r>
      <w:r w:rsidR="00FC298D" w:rsidRPr="00FC298D">
        <w:rPr>
          <w:rFonts w:ascii="Arial" w:eastAsia="Calibri" w:hAnsi="Arial" w:cs="Arial"/>
          <w:b/>
          <w:sz w:val="22"/>
        </w:rPr>
        <w:t xml:space="preserve"> P</w:t>
      </w:r>
      <w:r w:rsidRPr="00FC298D">
        <w:rPr>
          <w:rFonts w:ascii="Arial" w:eastAsia="Calibri" w:hAnsi="Arial" w:cs="Arial"/>
          <w:b/>
          <w:sz w:val="22"/>
        </w:rPr>
        <w:t xml:space="preserve">ropuesta económica </w:t>
      </w:r>
      <w:r w:rsidR="00A06D38" w:rsidRPr="00FC298D">
        <w:rPr>
          <w:rFonts w:ascii="Arial" w:eastAsia="Calibri" w:hAnsi="Arial" w:cs="Arial"/>
          <w:b/>
          <w:sz w:val="22"/>
        </w:rPr>
        <w:t>–</w:t>
      </w:r>
      <w:r w:rsidRPr="00FC298D">
        <w:rPr>
          <w:rFonts w:ascii="Arial" w:eastAsia="Calibri" w:hAnsi="Arial" w:cs="Arial"/>
          <w:b/>
          <w:sz w:val="22"/>
        </w:rPr>
        <w:t xml:space="preserve"> Media geométrica</w:t>
      </w:r>
    </w:p>
    <w:bookmarkEnd w:id="2"/>
    <w:p w14:paraId="24046C04" w14:textId="77777777" w:rsidR="009E2BF2" w:rsidRPr="00F52285" w:rsidRDefault="009E2BF2" w:rsidP="003B0E1E">
      <w:pPr>
        <w:ind w:right="-142"/>
        <w:jc w:val="both"/>
        <w:rPr>
          <w:rFonts w:ascii="Arial" w:hAnsi="Arial" w:cs="Arial"/>
          <w:sz w:val="20"/>
          <w:szCs w:val="20"/>
        </w:rPr>
      </w:pPr>
    </w:p>
    <w:p w14:paraId="0B675743" w14:textId="4A5D2E8B" w:rsidR="009E2BF2" w:rsidRDefault="00646553" w:rsidP="003B0E1E">
      <w:pPr>
        <w:ind w:right="-142"/>
        <w:jc w:val="both"/>
        <w:rPr>
          <w:rFonts w:ascii="Arial" w:eastAsia="Calibri" w:hAnsi="Arial" w:cs="Arial"/>
          <w:sz w:val="20"/>
          <w:szCs w:val="20"/>
        </w:rPr>
      </w:pPr>
      <w:r w:rsidRPr="00F52285">
        <w:rPr>
          <w:rFonts w:ascii="Arial" w:eastAsia="Calibri" w:hAnsi="Arial" w:cs="Arial"/>
          <w:sz w:val="20"/>
          <w:szCs w:val="20"/>
        </w:rPr>
        <w:t>Se observa que el cálculo de la media geométrica tiene en cuenta el valor de todas las propuestas hábiles, a pesar de que la definición del factor «MG» indica que se refiere a los tres menores valores, ya que el Documento Base señala que «Para calcular la Media Geométrica se tomará el valor de las propuestas hábiles para el respectivo factor de calificación para asignar el puntaje[...]». Esto significa que todas las propuestas hábiles serán tenidas en cuenta en la aplicación de la fórmula, además de que en esta se observan los factores «V1», «Vn», «n» y puntos suspensivos que indican que se deben agregar todas las ofertas que estén habilitadas.</w:t>
      </w:r>
    </w:p>
    <w:p w14:paraId="73CF65AE" w14:textId="77777777" w:rsidR="003B0E1E" w:rsidRPr="003B0E1E" w:rsidRDefault="003B0E1E" w:rsidP="003B0E1E">
      <w:pPr>
        <w:ind w:right="-142"/>
        <w:jc w:val="both"/>
        <w:rPr>
          <w:rFonts w:ascii="Arial" w:eastAsia="Calibri" w:hAnsi="Arial" w:cs="Arial"/>
          <w:sz w:val="20"/>
          <w:szCs w:val="20"/>
        </w:rPr>
      </w:pPr>
    </w:p>
    <w:p w14:paraId="168B4DCE" w14:textId="77777777" w:rsidR="009E2BF2" w:rsidRPr="00220775" w:rsidRDefault="009E2BF2" w:rsidP="003B0E1E">
      <w:pPr>
        <w:ind w:right="-142"/>
        <w:rPr>
          <w:rFonts w:ascii="Arial" w:hAnsi="Arial" w:cs="Arial"/>
          <w:sz w:val="20"/>
          <w:szCs w:val="20"/>
        </w:rPr>
      </w:pPr>
    </w:p>
    <w:p w14:paraId="79348E9B" w14:textId="32BB8851" w:rsidR="00F74E71" w:rsidRPr="00F52285" w:rsidRDefault="00F74E71" w:rsidP="003B0E1E">
      <w:pPr>
        <w:ind w:right="-142"/>
        <w:rPr>
          <w:rFonts w:ascii="Arial" w:hAnsi="Arial" w:cs="Arial"/>
          <w:b/>
          <w:sz w:val="22"/>
        </w:rPr>
      </w:pPr>
      <w:r w:rsidRPr="00F52285">
        <w:rPr>
          <w:rFonts w:ascii="Arial" w:hAnsi="Arial" w:cs="Arial"/>
          <w:sz w:val="22"/>
        </w:rPr>
        <w:t xml:space="preserve">Bogotá D.C., </w:t>
      </w:r>
      <w:r w:rsidR="000E09DC">
        <w:rPr>
          <w:rFonts w:ascii="Arial" w:hAnsi="Arial" w:cs="Arial"/>
          <w:b/>
          <w:sz w:val="22"/>
        </w:rPr>
        <w:t>23/06/2020 Hora: 19:21:38s</w:t>
      </w:r>
    </w:p>
    <w:p w14:paraId="704FC80B" w14:textId="77777777" w:rsidR="00F74E71" w:rsidRPr="00F52285" w:rsidRDefault="00F74E71" w:rsidP="003B0E1E">
      <w:pPr>
        <w:ind w:right="-142"/>
        <w:jc w:val="right"/>
        <w:rPr>
          <w:rFonts w:ascii="Arial" w:hAnsi="Arial" w:cs="Arial"/>
          <w:b/>
          <w:sz w:val="22"/>
        </w:rPr>
      </w:pPr>
    </w:p>
    <w:p w14:paraId="651DFCE6" w14:textId="5BF50108" w:rsidR="00F74E71" w:rsidRPr="003B0E1E" w:rsidRDefault="00F74E71" w:rsidP="003B0E1E">
      <w:pPr>
        <w:ind w:right="-142"/>
        <w:jc w:val="right"/>
        <w:rPr>
          <w:rFonts w:ascii="Arial" w:hAnsi="Arial" w:cs="Arial"/>
          <w:b/>
          <w:sz w:val="22"/>
        </w:rPr>
      </w:pPr>
      <w:r w:rsidRPr="00F52285">
        <w:rPr>
          <w:rFonts w:ascii="Arial" w:hAnsi="Arial" w:cs="Arial"/>
          <w:b/>
          <w:sz w:val="22"/>
        </w:rPr>
        <w:t xml:space="preserve">N° Radicado: </w:t>
      </w:r>
      <w:r w:rsidR="000E09DC">
        <w:rPr>
          <w:rFonts w:ascii="Arial" w:hAnsi="Arial" w:cs="Arial"/>
          <w:b/>
          <w:sz w:val="22"/>
        </w:rPr>
        <w:t>2202013000005317</w:t>
      </w:r>
    </w:p>
    <w:p w14:paraId="10223840" w14:textId="6E20A0F1" w:rsidR="009E2BF2" w:rsidRPr="00F52285" w:rsidRDefault="00646553" w:rsidP="003B0E1E">
      <w:pPr>
        <w:ind w:right="-142"/>
        <w:rPr>
          <w:rFonts w:ascii="Arial" w:eastAsia="Calibri" w:hAnsi="Arial" w:cs="Arial"/>
          <w:sz w:val="22"/>
        </w:rPr>
      </w:pPr>
      <w:r w:rsidRPr="00F52285">
        <w:rPr>
          <w:rFonts w:ascii="Arial" w:eastAsia="Calibri" w:hAnsi="Arial" w:cs="Arial"/>
          <w:sz w:val="22"/>
        </w:rPr>
        <w:t>Señora</w:t>
      </w:r>
    </w:p>
    <w:p w14:paraId="0BD4A8CC" w14:textId="77777777" w:rsidR="009E2BF2" w:rsidRPr="00F52285" w:rsidRDefault="00F74E71" w:rsidP="003B0E1E">
      <w:pPr>
        <w:ind w:right="-142"/>
        <w:rPr>
          <w:rFonts w:ascii="Arial" w:eastAsia="Calibri" w:hAnsi="Arial" w:cs="Arial"/>
          <w:b/>
          <w:sz w:val="22"/>
        </w:rPr>
      </w:pPr>
      <w:r w:rsidRPr="00F52285">
        <w:rPr>
          <w:rFonts w:ascii="Arial" w:eastAsia="Calibri" w:hAnsi="Arial" w:cs="Arial"/>
          <w:b/>
          <w:sz w:val="22"/>
        </w:rPr>
        <w:t>Diego Agustín Duran</w:t>
      </w:r>
    </w:p>
    <w:p w14:paraId="785C60C3" w14:textId="77777777" w:rsidR="009E2BF2" w:rsidRPr="00F52285" w:rsidRDefault="00F74E71" w:rsidP="003B0E1E">
      <w:pPr>
        <w:ind w:right="-142"/>
        <w:rPr>
          <w:rFonts w:ascii="Arial" w:eastAsia="Calibri" w:hAnsi="Arial" w:cs="Arial"/>
          <w:sz w:val="22"/>
        </w:rPr>
      </w:pPr>
      <w:r w:rsidRPr="00F52285">
        <w:rPr>
          <w:rFonts w:ascii="Arial" w:eastAsia="Calibri" w:hAnsi="Arial" w:cs="Arial"/>
          <w:sz w:val="22"/>
        </w:rPr>
        <w:t>Purificación, Tolima</w:t>
      </w:r>
    </w:p>
    <w:p w14:paraId="1C23DC5F" w14:textId="77777777" w:rsidR="0051032D" w:rsidRPr="00F52285" w:rsidRDefault="0051032D" w:rsidP="003B0E1E">
      <w:pPr>
        <w:ind w:right="-142"/>
        <w:rPr>
          <w:rFonts w:ascii="Arial" w:eastAsia="Calibri" w:hAnsi="Arial" w:cs="Arial"/>
          <w:sz w:val="22"/>
        </w:rPr>
      </w:pPr>
    </w:p>
    <w:p w14:paraId="7365FC52" w14:textId="78F19709" w:rsidR="0051032D" w:rsidRPr="00F52285" w:rsidRDefault="00646553" w:rsidP="003B0E1E">
      <w:pPr>
        <w:ind w:right="-142"/>
        <w:rPr>
          <w:rFonts w:ascii="Arial" w:eastAsia="Calibri" w:hAnsi="Arial" w:cs="Arial"/>
          <w:b/>
          <w:sz w:val="22"/>
        </w:rPr>
      </w:pPr>
      <w:r w:rsidRPr="00F52285">
        <w:rPr>
          <w:rFonts w:ascii="Arial" w:eastAsia="Calibri" w:hAnsi="Arial" w:cs="Arial"/>
          <w:b/>
          <w:sz w:val="22"/>
        </w:rPr>
        <w:t xml:space="preserve">                                           </w:t>
      </w:r>
      <w:r w:rsidR="003B0E1E">
        <w:rPr>
          <w:rFonts w:ascii="Arial" w:eastAsia="Calibri" w:hAnsi="Arial" w:cs="Arial"/>
          <w:b/>
          <w:sz w:val="22"/>
        </w:rPr>
        <w:t xml:space="preserve"> </w:t>
      </w:r>
      <w:r w:rsidRPr="00F52285">
        <w:rPr>
          <w:rFonts w:ascii="Arial" w:eastAsia="Calibri" w:hAnsi="Arial" w:cs="Arial"/>
          <w:b/>
          <w:sz w:val="22"/>
        </w:rPr>
        <w:t xml:space="preserve">Concepto C – </w:t>
      </w:r>
      <w:r w:rsidR="009C6354" w:rsidRPr="00F52285">
        <w:rPr>
          <w:rFonts w:ascii="Arial" w:eastAsia="Calibri" w:hAnsi="Arial" w:cs="Arial"/>
          <w:b/>
          <w:sz w:val="22"/>
        </w:rPr>
        <w:t>394</w:t>
      </w:r>
      <w:r w:rsidRPr="00F52285">
        <w:rPr>
          <w:rFonts w:ascii="Arial" w:eastAsia="Calibri" w:hAnsi="Arial" w:cs="Arial"/>
          <w:b/>
          <w:sz w:val="22"/>
        </w:rPr>
        <w:t xml:space="preserve"> de 2020</w:t>
      </w:r>
    </w:p>
    <w:p w14:paraId="52997953" w14:textId="77777777" w:rsidR="00365324" w:rsidRPr="00F52285" w:rsidRDefault="00365324" w:rsidP="003B0E1E">
      <w:pPr>
        <w:ind w:right="-142"/>
        <w:rPr>
          <w:rFonts w:ascii="Arial" w:eastAsia="Calibri" w:hAnsi="Arial" w:cs="Arial"/>
          <w:sz w:val="22"/>
        </w:rPr>
      </w:pPr>
    </w:p>
    <w:tbl>
      <w:tblPr>
        <w:tblStyle w:val="Tablaconcuadrcula"/>
        <w:tblW w:w="8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2"/>
        <w:gridCol w:w="6246"/>
      </w:tblGrid>
      <w:tr w:rsidR="009E2BF2" w:rsidRPr="00F52285" w14:paraId="07474C88" w14:textId="77777777" w:rsidTr="0051032D">
        <w:trPr>
          <w:trHeight w:val="510"/>
        </w:trPr>
        <w:tc>
          <w:tcPr>
            <w:tcW w:w="2692" w:type="dxa"/>
          </w:tcPr>
          <w:p w14:paraId="64D0522C" w14:textId="77777777" w:rsidR="009E2BF2" w:rsidRPr="00F52285" w:rsidRDefault="00646553" w:rsidP="003B0E1E">
            <w:pPr>
              <w:ind w:right="-142"/>
              <w:rPr>
                <w:rFonts w:ascii="Arial" w:eastAsia="Calibri" w:hAnsi="Arial" w:cs="Arial"/>
                <w:sz w:val="22"/>
              </w:rPr>
            </w:pPr>
            <w:r w:rsidRPr="00F52285">
              <w:rPr>
                <w:rFonts w:ascii="Arial" w:eastAsia="Calibri" w:hAnsi="Arial" w:cs="Arial"/>
                <w:b/>
                <w:sz w:val="22"/>
              </w:rPr>
              <w:t>Temas:</w:t>
            </w:r>
            <w:r w:rsidRPr="00F52285">
              <w:rPr>
                <w:rFonts w:ascii="Arial" w:eastAsia="Calibri" w:hAnsi="Arial" w:cs="Arial"/>
                <w:sz w:val="22"/>
              </w:rPr>
              <w:t xml:space="preserve">           </w:t>
            </w:r>
          </w:p>
          <w:p w14:paraId="26ED46D7" w14:textId="77777777" w:rsidR="009E2BF2" w:rsidRPr="00F52285" w:rsidRDefault="00646553" w:rsidP="003B0E1E">
            <w:pPr>
              <w:ind w:right="-142"/>
              <w:rPr>
                <w:rFonts w:ascii="Arial" w:eastAsia="Calibri" w:hAnsi="Arial" w:cs="Arial"/>
                <w:sz w:val="22"/>
              </w:rPr>
            </w:pPr>
            <w:r w:rsidRPr="00F52285">
              <w:rPr>
                <w:rFonts w:ascii="Arial" w:eastAsia="Calibri" w:hAnsi="Arial" w:cs="Arial"/>
                <w:sz w:val="22"/>
              </w:rPr>
              <w:t xml:space="preserve">                           </w:t>
            </w:r>
          </w:p>
        </w:tc>
        <w:tc>
          <w:tcPr>
            <w:tcW w:w="6246" w:type="dxa"/>
          </w:tcPr>
          <w:p w14:paraId="1F1F1A79" w14:textId="09F66236" w:rsidR="00365324" w:rsidRPr="00F52285" w:rsidRDefault="00646553" w:rsidP="0051032D">
            <w:pPr>
              <w:spacing w:after="120"/>
              <w:ind w:right="-142"/>
              <w:jc w:val="both"/>
              <w:rPr>
                <w:rFonts w:ascii="Arial" w:eastAsia="Calibri" w:hAnsi="Arial" w:cs="Arial"/>
                <w:sz w:val="22"/>
              </w:rPr>
            </w:pPr>
            <w:r w:rsidRPr="00F52285">
              <w:rPr>
                <w:rFonts w:ascii="Arial" w:eastAsia="Calibri" w:hAnsi="Arial" w:cs="Arial"/>
                <w:sz w:val="22"/>
              </w:rPr>
              <w:t>DOCUMENTOS TIPO – Métodos para la ponderación de la propuesta económica – Media geométrica</w:t>
            </w:r>
          </w:p>
        </w:tc>
      </w:tr>
      <w:tr w:rsidR="009E2BF2" w:rsidRPr="00F52285" w14:paraId="1F22A68F" w14:textId="77777777" w:rsidTr="0051032D">
        <w:trPr>
          <w:trHeight w:val="825"/>
        </w:trPr>
        <w:tc>
          <w:tcPr>
            <w:tcW w:w="2692" w:type="dxa"/>
          </w:tcPr>
          <w:p w14:paraId="554FB633" w14:textId="77777777" w:rsidR="009E2BF2" w:rsidRPr="00F52285" w:rsidRDefault="00646553" w:rsidP="003B0E1E">
            <w:pPr>
              <w:ind w:right="-142"/>
              <w:rPr>
                <w:rFonts w:ascii="Arial" w:eastAsia="Calibri" w:hAnsi="Arial" w:cs="Arial"/>
                <w:b/>
                <w:sz w:val="22"/>
              </w:rPr>
            </w:pPr>
            <w:r w:rsidRPr="00F52285">
              <w:rPr>
                <w:rFonts w:ascii="Arial" w:eastAsia="Calibri" w:hAnsi="Arial" w:cs="Arial"/>
                <w:b/>
                <w:sz w:val="22"/>
              </w:rPr>
              <w:t>Radicación:</w:t>
            </w:r>
            <w:r w:rsidRPr="00F52285">
              <w:rPr>
                <w:rFonts w:ascii="Arial" w:eastAsia="Calibri" w:hAnsi="Arial" w:cs="Arial"/>
                <w:sz w:val="22"/>
              </w:rPr>
              <w:t xml:space="preserve">                              </w:t>
            </w:r>
          </w:p>
        </w:tc>
        <w:tc>
          <w:tcPr>
            <w:tcW w:w="6246" w:type="dxa"/>
          </w:tcPr>
          <w:p w14:paraId="29015DDB" w14:textId="77777777" w:rsidR="0009393A" w:rsidRPr="0009393A" w:rsidRDefault="00646553" w:rsidP="003B0E1E">
            <w:pPr>
              <w:ind w:right="-142"/>
              <w:jc w:val="both"/>
              <w:rPr>
                <w:rFonts w:ascii="Arial" w:eastAsia="Calibri" w:hAnsi="Arial" w:cs="Arial"/>
                <w:sz w:val="22"/>
              </w:rPr>
            </w:pPr>
            <w:r w:rsidRPr="00F52285">
              <w:rPr>
                <w:rFonts w:ascii="Arial" w:eastAsia="Calibri" w:hAnsi="Arial" w:cs="Arial"/>
                <w:sz w:val="22"/>
              </w:rPr>
              <w:t xml:space="preserve">Respuesta a consulta # </w:t>
            </w:r>
            <w:r w:rsidR="00A06D38" w:rsidRPr="00F52285">
              <w:rPr>
                <w:rFonts w:ascii="Arial" w:eastAsia="Calibri" w:hAnsi="Arial" w:cs="Arial"/>
                <w:sz w:val="22"/>
              </w:rPr>
              <w:t>4202013000004440–4202013000004443–4202013000004448–4202013000004449–4202013000004450</w:t>
            </w:r>
            <w:r w:rsidR="0009393A">
              <w:rPr>
                <w:rFonts w:ascii="Arial" w:eastAsia="Calibri" w:hAnsi="Arial" w:cs="Arial"/>
                <w:sz w:val="22"/>
              </w:rPr>
              <w:t>–</w:t>
            </w:r>
            <w:r w:rsidR="0009393A" w:rsidRPr="0009393A">
              <w:rPr>
                <w:rFonts w:ascii="Arial" w:eastAsia="Calibri" w:hAnsi="Arial" w:cs="Arial"/>
                <w:sz w:val="22"/>
              </w:rPr>
              <w:t>4202020000004522</w:t>
            </w:r>
          </w:p>
          <w:p w14:paraId="6E0DB697" w14:textId="347A5AC6" w:rsidR="009E2BF2" w:rsidRPr="00F52285" w:rsidRDefault="009E2BF2" w:rsidP="003B0E1E">
            <w:pPr>
              <w:ind w:right="-142"/>
              <w:jc w:val="both"/>
              <w:rPr>
                <w:rFonts w:ascii="Arial" w:eastAsia="Calibri" w:hAnsi="Arial" w:cs="Arial"/>
                <w:sz w:val="22"/>
              </w:rPr>
            </w:pPr>
          </w:p>
        </w:tc>
      </w:tr>
    </w:tbl>
    <w:p w14:paraId="0E013C98" w14:textId="77777777" w:rsidR="009E2BF2" w:rsidRPr="00F52285" w:rsidRDefault="00646553" w:rsidP="003B0E1E">
      <w:pPr>
        <w:ind w:right="-142"/>
        <w:rPr>
          <w:rFonts w:ascii="Arial" w:eastAsia="Calibri" w:hAnsi="Arial" w:cs="Arial"/>
          <w:sz w:val="22"/>
        </w:rPr>
      </w:pPr>
      <w:r w:rsidRPr="00F52285">
        <w:rPr>
          <w:rFonts w:ascii="Arial" w:eastAsia="Calibri" w:hAnsi="Arial" w:cs="Arial"/>
          <w:sz w:val="22"/>
        </w:rPr>
        <w:t>Estimad</w:t>
      </w:r>
      <w:r w:rsidR="00210D4A">
        <w:rPr>
          <w:rFonts w:ascii="Arial" w:eastAsia="Calibri" w:hAnsi="Arial" w:cs="Arial"/>
          <w:sz w:val="22"/>
        </w:rPr>
        <w:t>o</w:t>
      </w:r>
      <w:r w:rsidRPr="00F52285">
        <w:rPr>
          <w:rFonts w:ascii="Arial" w:eastAsia="Calibri" w:hAnsi="Arial" w:cs="Arial"/>
          <w:sz w:val="22"/>
        </w:rPr>
        <w:t xml:space="preserve"> señor </w:t>
      </w:r>
      <w:r w:rsidR="00A06D38" w:rsidRPr="00F52285">
        <w:rPr>
          <w:rFonts w:ascii="Arial" w:eastAsia="Calibri" w:hAnsi="Arial" w:cs="Arial"/>
          <w:sz w:val="22"/>
        </w:rPr>
        <w:t>Durán</w:t>
      </w:r>
      <w:r w:rsidRPr="00F52285">
        <w:rPr>
          <w:rFonts w:ascii="Arial" w:eastAsia="Calibri" w:hAnsi="Arial" w:cs="Arial"/>
          <w:sz w:val="22"/>
        </w:rPr>
        <w:t>,</w:t>
      </w:r>
    </w:p>
    <w:p w14:paraId="607E3948" w14:textId="77777777" w:rsidR="009E2BF2" w:rsidRPr="00F52285" w:rsidRDefault="009E2BF2" w:rsidP="003B0E1E">
      <w:pPr>
        <w:ind w:right="-142"/>
        <w:rPr>
          <w:rFonts w:ascii="Arial" w:eastAsia="Calibri" w:hAnsi="Arial" w:cs="Arial"/>
          <w:sz w:val="22"/>
        </w:rPr>
      </w:pPr>
    </w:p>
    <w:p w14:paraId="6568637C" w14:textId="77777777" w:rsidR="00210D4A" w:rsidRPr="00F52285" w:rsidRDefault="00646553" w:rsidP="003B0E1E">
      <w:pPr>
        <w:spacing w:before="120" w:after="120" w:line="276" w:lineRule="auto"/>
        <w:ind w:right="-142"/>
        <w:jc w:val="both"/>
        <w:rPr>
          <w:rFonts w:ascii="Arial" w:eastAsia="Calibri" w:hAnsi="Arial" w:cs="Arial"/>
          <w:sz w:val="22"/>
        </w:rPr>
      </w:pPr>
      <w:r w:rsidRPr="00F52285">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su consulta del </w:t>
      </w:r>
      <w:r w:rsidR="00263389" w:rsidRPr="00F52285">
        <w:rPr>
          <w:rFonts w:ascii="Arial" w:eastAsia="Calibri" w:hAnsi="Arial" w:cs="Arial"/>
          <w:sz w:val="22"/>
        </w:rPr>
        <w:t xml:space="preserve">2 de </w:t>
      </w:r>
      <w:r w:rsidR="00F52285" w:rsidRPr="00F52285">
        <w:rPr>
          <w:rFonts w:ascii="Arial" w:eastAsia="Calibri" w:hAnsi="Arial" w:cs="Arial"/>
          <w:sz w:val="22"/>
        </w:rPr>
        <w:t>junio de</w:t>
      </w:r>
      <w:r w:rsidRPr="00F52285">
        <w:rPr>
          <w:rFonts w:ascii="Arial" w:eastAsia="Calibri" w:hAnsi="Arial" w:cs="Arial"/>
          <w:sz w:val="22"/>
        </w:rPr>
        <w:t xml:space="preserve"> 2020. </w:t>
      </w:r>
    </w:p>
    <w:p w14:paraId="70BD6E33" w14:textId="33BFD7E5" w:rsidR="009E2BF2" w:rsidRDefault="00210D4A" w:rsidP="00220775">
      <w:pPr>
        <w:spacing w:line="276" w:lineRule="auto"/>
        <w:ind w:right="-142" w:firstLine="709"/>
        <w:jc w:val="both"/>
        <w:rPr>
          <w:rFonts w:ascii="Arial" w:eastAsia="Calibri" w:hAnsi="Arial" w:cs="Arial"/>
          <w:sz w:val="22"/>
        </w:rPr>
      </w:pPr>
      <w:r w:rsidRPr="00F52285">
        <w:rPr>
          <w:rFonts w:ascii="Arial" w:hAnsi="Arial" w:cs="Arial"/>
          <w:sz w:val="22"/>
        </w:rPr>
        <w:t xml:space="preserve">Esta Subdirección se permite informar que mediante radicados </w:t>
      </w:r>
      <w:r w:rsidRPr="00F52285">
        <w:rPr>
          <w:rFonts w:ascii="Arial" w:eastAsia="Calibri" w:hAnsi="Arial" w:cs="Arial"/>
          <w:sz w:val="22"/>
        </w:rPr>
        <w:t>4202013000004440–4202013000004443–4202013000004448–4202013000004449–4202013000004450</w:t>
      </w:r>
      <w:r w:rsidR="0009393A">
        <w:rPr>
          <w:rFonts w:ascii="Arial" w:eastAsia="Calibri" w:hAnsi="Arial" w:cs="Arial"/>
          <w:sz w:val="22"/>
        </w:rPr>
        <w:softHyphen/>
        <w:t>–</w:t>
      </w:r>
      <w:r w:rsidR="0009393A" w:rsidRPr="0009393A">
        <w:rPr>
          <w:rFonts w:ascii="Arial" w:eastAsia="Calibri" w:hAnsi="Arial" w:cs="Arial"/>
          <w:sz w:val="22"/>
        </w:rPr>
        <w:t>4202020000004522</w:t>
      </w:r>
      <w:r w:rsidRPr="00F52285">
        <w:rPr>
          <w:rFonts w:ascii="Arial" w:eastAsia="Calibri" w:hAnsi="Arial" w:cs="Arial"/>
          <w:sz w:val="22"/>
        </w:rPr>
        <w:t xml:space="preserve"> fueron elevadas consultas que versan sobre el mismo objeto y enviadas por el mismo peticionario. Conforme a lo anterior, se procede a responder los radicados citados.</w:t>
      </w:r>
    </w:p>
    <w:p w14:paraId="2E3998C8" w14:textId="77777777" w:rsidR="009E2BF2" w:rsidRPr="00F52285" w:rsidRDefault="00646553" w:rsidP="00220775">
      <w:pPr>
        <w:pStyle w:val="Prrafodelista"/>
        <w:tabs>
          <w:tab w:val="left" w:pos="284"/>
        </w:tabs>
        <w:spacing w:line="276" w:lineRule="auto"/>
        <w:ind w:left="0" w:right="-142"/>
        <w:jc w:val="both"/>
        <w:rPr>
          <w:rFonts w:ascii="Arial" w:eastAsia="Calibri" w:hAnsi="Arial" w:cs="Arial"/>
          <w:b/>
          <w:sz w:val="22"/>
        </w:rPr>
      </w:pPr>
      <w:r w:rsidRPr="00F52285">
        <w:rPr>
          <w:rFonts w:ascii="Arial" w:eastAsia="Calibri" w:hAnsi="Arial" w:cs="Arial"/>
          <w:b/>
          <w:sz w:val="22"/>
        </w:rPr>
        <w:t>1. Problema planteado</w:t>
      </w:r>
    </w:p>
    <w:p w14:paraId="72A70D0A" w14:textId="77777777" w:rsidR="009E2BF2" w:rsidRPr="00F52285" w:rsidRDefault="009E2BF2" w:rsidP="003B0E1E">
      <w:pPr>
        <w:tabs>
          <w:tab w:val="left" w:pos="426"/>
        </w:tabs>
        <w:spacing w:line="276" w:lineRule="auto"/>
        <w:ind w:right="-142"/>
        <w:jc w:val="both"/>
        <w:rPr>
          <w:rFonts w:ascii="Arial" w:eastAsia="Calibri" w:hAnsi="Arial" w:cs="Arial"/>
          <w:b/>
          <w:sz w:val="22"/>
        </w:rPr>
      </w:pPr>
    </w:p>
    <w:p w14:paraId="0DAC376A" w14:textId="10B927E4" w:rsidR="009E2BF2" w:rsidRDefault="00646553" w:rsidP="003B0E1E">
      <w:pPr>
        <w:tabs>
          <w:tab w:val="left" w:pos="426"/>
        </w:tabs>
        <w:spacing w:line="276" w:lineRule="auto"/>
        <w:ind w:right="-142"/>
        <w:jc w:val="both"/>
        <w:rPr>
          <w:rFonts w:ascii="Arial" w:eastAsia="Calibri" w:hAnsi="Arial" w:cs="Arial"/>
          <w:sz w:val="22"/>
        </w:rPr>
      </w:pPr>
      <w:r w:rsidRPr="00F52285">
        <w:rPr>
          <w:rFonts w:ascii="Arial" w:eastAsia="Calibri" w:hAnsi="Arial" w:cs="Arial"/>
          <w:sz w:val="22"/>
        </w:rPr>
        <w:t xml:space="preserve">Usted </w:t>
      </w:r>
      <w:r w:rsidR="007272D9" w:rsidRPr="00F52285">
        <w:rPr>
          <w:rFonts w:ascii="Arial" w:eastAsia="Calibri" w:hAnsi="Arial" w:cs="Arial"/>
          <w:sz w:val="22"/>
        </w:rPr>
        <w:t xml:space="preserve">solicita sea aclarada la interpretación frente a la fórmula de ponderación de la </w:t>
      </w:r>
      <w:r w:rsidR="00B568EA" w:rsidRPr="00F52285">
        <w:rPr>
          <w:rFonts w:ascii="Arial" w:eastAsia="Calibri" w:hAnsi="Arial" w:cs="Arial"/>
          <w:sz w:val="22"/>
        </w:rPr>
        <w:t>propuesta</w:t>
      </w:r>
      <w:r w:rsidR="007272D9" w:rsidRPr="00F52285">
        <w:rPr>
          <w:rFonts w:ascii="Arial" w:eastAsia="Calibri" w:hAnsi="Arial" w:cs="Arial"/>
          <w:sz w:val="22"/>
        </w:rPr>
        <w:t xml:space="preserve"> económica correspondiente a la Media Geométrica, contenida en los documentos tipo.  </w:t>
      </w:r>
    </w:p>
    <w:p w14:paraId="2A3C00D7" w14:textId="77777777" w:rsidR="00964D2A" w:rsidRPr="00F52285" w:rsidRDefault="00964D2A" w:rsidP="003B0E1E">
      <w:pPr>
        <w:tabs>
          <w:tab w:val="left" w:pos="426"/>
        </w:tabs>
        <w:spacing w:line="276" w:lineRule="auto"/>
        <w:ind w:right="-142"/>
        <w:jc w:val="both"/>
        <w:rPr>
          <w:rFonts w:ascii="Arial" w:eastAsia="Calibri" w:hAnsi="Arial" w:cs="Arial"/>
          <w:sz w:val="22"/>
        </w:rPr>
      </w:pPr>
    </w:p>
    <w:p w14:paraId="22D69DE0" w14:textId="77777777" w:rsidR="009E2BF2" w:rsidRPr="00F52285" w:rsidRDefault="00646553" w:rsidP="003B0E1E">
      <w:pPr>
        <w:tabs>
          <w:tab w:val="left" w:pos="426"/>
        </w:tabs>
        <w:spacing w:line="276" w:lineRule="auto"/>
        <w:ind w:right="-142"/>
        <w:jc w:val="both"/>
        <w:rPr>
          <w:rFonts w:ascii="Arial" w:eastAsia="Calibri" w:hAnsi="Arial" w:cs="Arial"/>
          <w:b/>
          <w:sz w:val="22"/>
        </w:rPr>
      </w:pPr>
      <w:r w:rsidRPr="00F52285">
        <w:rPr>
          <w:rFonts w:ascii="Arial" w:eastAsia="Calibri" w:hAnsi="Arial" w:cs="Arial"/>
          <w:b/>
          <w:sz w:val="22"/>
        </w:rPr>
        <w:lastRenderedPageBreak/>
        <w:t>2. Consideraciones</w:t>
      </w:r>
    </w:p>
    <w:p w14:paraId="1E734EFA" w14:textId="77777777" w:rsidR="009E2BF2" w:rsidRPr="00F52285" w:rsidRDefault="00646553" w:rsidP="003B0E1E">
      <w:pPr>
        <w:spacing w:before="120" w:after="120" w:line="276" w:lineRule="auto"/>
        <w:ind w:right="-142"/>
        <w:jc w:val="both"/>
        <w:rPr>
          <w:rFonts w:ascii="Times New Roman" w:eastAsia="Times New Roman" w:hAnsi="Times New Roman" w:cs="Times New Roman"/>
          <w:szCs w:val="24"/>
          <w:lang w:eastAsia="es-ES_tradnl"/>
        </w:rPr>
      </w:pPr>
      <w:r w:rsidRPr="00F52285">
        <w:rPr>
          <w:rFonts w:ascii="Arial" w:eastAsia="Calibri" w:hAnsi="Arial" w:cs="Arial"/>
          <w:bCs/>
          <w:sz w:val="22"/>
        </w:rPr>
        <w:t>Teniendo en cuenta que la consulta se realiza sobre la Versión 2 de los «Documentos Tipo» para licitación de obra pública de infraestructura de transporte, las consideraciones que se presentan a continuación están relacionadas con el «Documento Base».</w:t>
      </w:r>
      <w:r w:rsidRPr="00F52285">
        <w:rPr>
          <w:rFonts w:ascii="Arial" w:hAnsi="Arial" w:cs="Arial"/>
          <w:sz w:val="22"/>
        </w:rPr>
        <w:t xml:space="preserve"> La Agencia Nacional de Contratación Pública - Colombia Compra Eficiente, </w:t>
      </w:r>
      <w:r w:rsidRPr="00F52285">
        <w:rPr>
          <w:rFonts w:ascii="Arial" w:eastAsia="Calibri" w:hAnsi="Arial" w:cs="Arial"/>
          <w:sz w:val="22"/>
        </w:rPr>
        <w:t xml:space="preserve">en el concepto con </w:t>
      </w:r>
      <w:r w:rsidR="00F74E71" w:rsidRPr="00F52285">
        <w:rPr>
          <w:rFonts w:ascii="Arial" w:eastAsia="Times New Roman" w:hAnsi="Arial" w:cs="Arial"/>
          <w:color w:val="000000"/>
          <w:sz w:val="22"/>
          <w:bdr w:val="none" w:sz="0" w:space="0" w:color="auto" w:frame="1"/>
          <w:lang w:eastAsia="es-ES_tradnl"/>
        </w:rPr>
        <w:t xml:space="preserve">No. 4202015000001211 del 3 de marzo de 2020, reiterado en el concepto No. 4202013000001564 del 18 de marzo de </w:t>
      </w:r>
      <w:r w:rsidR="00B568EA" w:rsidRPr="00F52285">
        <w:rPr>
          <w:rFonts w:ascii="Arial" w:eastAsia="Times New Roman" w:hAnsi="Arial" w:cs="Arial"/>
          <w:color w:val="000000"/>
          <w:sz w:val="22"/>
          <w:bdr w:val="none" w:sz="0" w:space="0" w:color="auto" w:frame="1"/>
          <w:lang w:eastAsia="es-ES_tradnl"/>
        </w:rPr>
        <w:t>2020, C</w:t>
      </w:r>
      <w:r w:rsidR="00F74E71" w:rsidRPr="00F52285">
        <w:rPr>
          <w:rFonts w:ascii="Arial" w:eastAsia="Times New Roman" w:hAnsi="Arial" w:cs="Arial"/>
          <w:color w:val="000000"/>
          <w:sz w:val="22"/>
          <w:bdr w:val="none" w:sz="0" w:space="0" w:color="auto" w:frame="1"/>
          <w:lang w:eastAsia="es-ES_tradnl"/>
        </w:rPr>
        <w:t xml:space="preserve">-224 del 21 de abril de 2020, C-347 del 26 de mayo de 2020 </w:t>
      </w:r>
      <w:r w:rsidR="00B568EA" w:rsidRPr="00F52285">
        <w:rPr>
          <w:rFonts w:ascii="Arial" w:eastAsia="Times New Roman" w:hAnsi="Arial" w:cs="Arial"/>
          <w:color w:val="000000"/>
          <w:sz w:val="22"/>
          <w:bdr w:val="none" w:sz="0" w:space="0" w:color="auto" w:frame="1"/>
          <w:lang w:eastAsia="es-ES_tradnl"/>
        </w:rPr>
        <w:t>y C</w:t>
      </w:r>
      <w:r w:rsidR="00F74E71" w:rsidRPr="00F52285">
        <w:rPr>
          <w:rFonts w:ascii="Arial" w:eastAsia="Times New Roman" w:hAnsi="Arial" w:cs="Arial"/>
          <w:color w:val="000000"/>
          <w:sz w:val="22"/>
          <w:bdr w:val="none" w:sz="0" w:space="0" w:color="auto" w:frame="1"/>
          <w:lang w:eastAsia="es-ES_tradnl"/>
        </w:rPr>
        <w:t xml:space="preserve">-315 del 28 de mayo de 2020   </w:t>
      </w:r>
      <w:r w:rsidRPr="00F52285">
        <w:rPr>
          <w:rFonts w:ascii="Arial" w:eastAsia="Calibri" w:hAnsi="Arial" w:cs="Arial"/>
          <w:sz w:val="22"/>
        </w:rPr>
        <w:t xml:space="preserve">estudió los métodos de ponderación de la propuesta económica de los «Documentos Tipo – Versión 2». La tesis desarrollada se expone a continuación. </w:t>
      </w:r>
    </w:p>
    <w:p w14:paraId="48A993ED" w14:textId="5D73B497" w:rsidR="009E2BF2" w:rsidRPr="00F52285" w:rsidRDefault="00646553" w:rsidP="003B0E1E">
      <w:pPr>
        <w:spacing w:after="120" w:line="276" w:lineRule="auto"/>
        <w:ind w:right="-142" w:firstLine="709"/>
        <w:jc w:val="both"/>
        <w:rPr>
          <w:rFonts w:ascii="Arial" w:eastAsia="Calibri" w:hAnsi="Arial" w:cs="Arial"/>
          <w:sz w:val="22"/>
        </w:rPr>
      </w:pPr>
      <w:r w:rsidRPr="00F52285">
        <w:rPr>
          <w:rFonts w:ascii="Arial" w:eastAsia="Calibri" w:hAnsi="Arial" w:cs="Arial"/>
          <w:sz w:val="22"/>
        </w:rPr>
        <w:t>El «Documento Base», en el numeral 4.1.4., dispone los métodos de ponderación de la propuesta económica</w:t>
      </w:r>
      <w:r w:rsidR="00154CD2">
        <w:rPr>
          <w:rFonts w:ascii="Arial" w:eastAsia="Calibri" w:hAnsi="Arial" w:cs="Arial"/>
          <w:sz w:val="22"/>
        </w:rPr>
        <w:t>,</w:t>
      </w:r>
      <w:r w:rsidRPr="00F52285">
        <w:rPr>
          <w:rFonts w:ascii="Arial" w:eastAsia="Calibri" w:hAnsi="Arial" w:cs="Arial"/>
          <w:sz w:val="22"/>
        </w:rPr>
        <w:t xml:space="preserve"> presentando 4 alternativas: i) mediana con valor absoluto, ii) media geométrica, iii) media aritmética baja y iv) menor valor</w:t>
      </w:r>
      <w:r w:rsidRPr="00F52285">
        <w:rPr>
          <w:rStyle w:val="Refdenotaalpie"/>
          <w:rFonts w:ascii="Arial" w:eastAsia="Calibri" w:hAnsi="Arial" w:cs="Arial"/>
          <w:sz w:val="22"/>
        </w:rPr>
        <w:footnoteReference w:id="1"/>
      </w:r>
      <w:r w:rsidRPr="00F52285">
        <w:rPr>
          <w:rFonts w:ascii="Arial" w:eastAsia="Calibri" w:hAnsi="Arial" w:cs="Arial"/>
          <w:sz w:val="22"/>
        </w:rPr>
        <w:t xml:space="preserve">. Respecto de estas fórmulas para asignar puntaje a la propuesta económica, a </w:t>
      </w:r>
      <w:r w:rsidR="00B568EA" w:rsidRPr="00F52285">
        <w:rPr>
          <w:rFonts w:ascii="Arial" w:eastAsia="Calibri" w:hAnsi="Arial" w:cs="Arial"/>
          <w:sz w:val="22"/>
        </w:rPr>
        <w:t>continuación,</w:t>
      </w:r>
      <w:r w:rsidRPr="00F52285">
        <w:rPr>
          <w:rFonts w:ascii="Arial" w:eastAsia="Calibri" w:hAnsi="Arial" w:cs="Arial"/>
          <w:sz w:val="22"/>
        </w:rPr>
        <w:t xml:space="preserve"> se presentan las razones que las soportan. </w:t>
      </w:r>
    </w:p>
    <w:p w14:paraId="5C763235" w14:textId="77777777" w:rsidR="009E2BF2" w:rsidRPr="00F52285" w:rsidRDefault="00646553" w:rsidP="003B0E1E">
      <w:pPr>
        <w:spacing w:after="120" w:line="276" w:lineRule="auto"/>
        <w:ind w:right="-142" w:firstLine="709"/>
        <w:jc w:val="both"/>
        <w:rPr>
          <w:rFonts w:ascii="Arial" w:eastAsia="Calibri" w:hAnsi="Arial" w:cs="Arial"/>
          <w:sz w:val="22"/>
        </w:rPr>
      </w:pPr>
      <w:r w:rsidRPr="00F52285">
        <w:rPr>
          <w:rFonts w:ascii="Arial" w:eastAsia="Calibri" w:hAnsi="Arial" w:cs="Arial"/>
          <w:sz w:val="22"/>
        </w:rPr>
        <w:t>Con el fin de incrementar la participación en los procedimientos de contratación a nivel nacional, y alcanzar los demás beneficios que trae la adopción de los documentos tipo por el Gobierno Nacional, la Agencia Nacional de Contratación Pública lideró mesas técnicas para la estructuración de los documentos de licitación de obra pública de infraestructura de transporte, que contaron con la presencia del Departamento Nacional de Planeación  ̶ DNP ̶ , el Ministerio de Transporte, la Cámara Colombiana de Infraestructura  ̶ CCI ̶ , la Agencia Nacional de Infraestructura  ̶ ANI ̶ , el Instituto Nacional de Vías  ̶ INVIAS ̶ , el Instituto de Desarrollo Urbano  ̶ IDU ̶ y la Sociedad Colombiana de Ingenieros  ̶ SCI ̶ , con el objetivo de determinar la forma y contenido de los pliegos de condiciones tipo. Del trabajo de las mesas se adoptaron los criterios que quedaron consignados en los Documentos Tipo, desarrollados por esta entidad a través de la Resolución No. 1798 de 2019.</w:t>
      </w:r>
    </w:p>
    <w:p w14:paraId="3D710B6C" w14:textId="77777777" w:rsidR="009E2BF2" w:rsidRPr="00F52285" w:rsidRDefault="00646553" w:rsidP="003B0E1E">
      <w:pPr>
        <w:spacing w:line="276" w:lineRule="auto"/>
        <w:ind w:right="-142" w:firstLine="709"/>
        <w:jc w:val="both"/>
        <w:rPr>
          <w:rFonts w:ascii="Arial" w:eastAsia="Calibri" w:hAnsi="Arial" w:cs="Arial"/>
          <w:sz w:val="22"/>
        </w:rPr>
      </w:pPr>
      <w:r w:rsidRPr="00F52285">
        <w:rPr>
          <w:rFonts w:ascii="Arial" w:eastAsia="Calibri" w:hAnsi="Arial" w:cs="Arial"/>
          <w:sz w:val="22"/>
        </w:rPr>
        <w:lastRenderedPageBreak/>
        <w:t>Frente a la estandarización de los criterios de evaluación, el artículo 1º de la Ley 1882 de 2018 dispuso que:</w:t>
      </w:r>
    </w:p>
    <w:p w14:paraId="34D004DA" w14:textId="77777777" w:rsidR="009E2BF2" w:rsidRPr="00F52285" w:rsidRDefault="009E2BF2" w:rsidP="003B0E1E">
      <w:pPr>
        <w:spacing w:line="276" w:lineRule="auto"/>
        <w:ind w:right="-142"/>
        <w:jc w:val="both"/>
        <w:rPr>
          <w:rFonts w:ascii="Arial" w:eastAsia="Calibri" w:hAnsi="Arial" w:cs="Arial"/>
          <w:sz w:val="22"/>
        </w:rPr>
      </w:pPr>
    </w:p>
    <w:p w14:paraId="2B56F823" w14:textId="77777777" w:rsidR="009E2BF2" w:rsidRPr="00F52285" w:rsidRDefault="00646553" w:rsidP="003B0E1E">
      <w:pPr>
        <w:ind w:left="709" w:right="-142"/>
        <w:jc w:val="both"/>
        <w:rPr>
          <w:rFonts w:ascii="Arial" w:eastAsia="Calibri" w:hAnsi="Arial" w:cs="Arial"/>
          <w:sz w:val="21"/>
          <w:szCs w:val="21"/>
        </w:rPr>
      </w:pPr>
      <w:r w:rsidRPr="00F52285">
        <w:rPr>
          <w:rFonts w:ascii="Arial" w:eastAsia="Calibri" w:hAnsi="Arial" w:cs="Arial"/>
          <w:sz w:val="21"/>
          <w:szCs w:val="21"/>
        </w:rPr>
        <w:t xml:space="preserve">[…] Para estos procesos, el segundo sobre, que contiene la oferta económica, se mantendrá cerrado hasta la audiencia efectiva de adjudicación, momento en el cual se podrán hacer observaciones al informe de evaluación. las cuales se decidirán en la misma. Durante esta audiencia se dará apertura al sobre, se evaluará la oferta económica </w:t>
      </w:r>
      <w:r w:rsidRPr="00F52285">
        <w:rPr>
          <w:rFonts w:ascii="Arial" w:eastAsia="Calibri" w:hAnsi="Arial" w:cs="Arial"/>
          <w:i/>
          <w:iCs/>
          <w:sz w:val="21"/>
          <w:szCs w:val="21"/>
        </w:rPr>
        <w:t>a través del mecanismo escogido mediante el método aleatorio que se establezca en los pliegos de condiciones</w:t>
      </w:r>
      <w:r w:rsidRPr="00F52285">
        <w:rPr>
          <w:rFonts w:ascii="Arial" w:eastAsia="Calibri" w:hAnsi="Arial" w:cs="Arial"/>
          <w:sz w:val="21"/>
          <w:szCs w:val="21"/>
        </w:rPr>
        <w:t>, corriendo traslado a los proponentes habilitados en la misma diligencia solo para la revisión del aspecto económico y se establecerá el orden de elegibilidad. (Cursiva fuera del texto original)</w:t>
      </w:r>
    </w:p>
    <w:p w14:paraId="427A217E" w14:textId="77777777" w:rsidR="009E2BF2" w:rsidRPr="00F52285" w:rsidRDefault="009E2BF2" w:rsidP="003B0E1E">
      <w:pPr>
        <w:spacing w:line="276" w:lineRule="auto"/>
        <w:ind w:right="-142"/>
        <w:jc w:val="both"/>
        <w:rPr>
          <w:rFonts w:ascii="Arial" w:eastAsia="Calibri" w:hAnsi="Arial" w:cs="Arial"/>
          <w:sz w:val="22"/>
        </w:rPr>
      </w:pPr>
    </w:p>
    <w:p w14:paraId="6263C340" w14:textId="77777777" w:rsidR="009E2BF2" w:rsidRPr="00F52285" w:rsidRDefault="00646553" w:rsidP="003B0E1E">
      <w:pPr>
        <w:spacing w:after="120" w:line="276" w:lineRule="auto"/>
        <w:ind w:right="-142" w:firstLine="709"/>
        <w:jc w:val="both"/>
        <w:rPr>
          <w:rFonts w:ascii="Arial" w:eastAsia="Calibri" w:hAnsi="Arial" w:cs="Arial"/>
          <w:sz w:val="22"/>
        </w:rPr>
      </w:pPr>
      <w:r w:rsidRPr="00F52285">
        <w:rPr>
          <w:rFonts w:ascii="Arial" w:eastAsia="Calibri" w:hAnsi="Arial" w:cs="Arial"/>
          <w:sz w:val="22"/>
        </w:rPr>
        <w:t>Los «Documentos Tipo» de licitación de obra pública de infraestructura de transporte determinan cuál es el método aleatorio para evaluar la oferta económica con base en los resultados arrojados por las mesas técnicas. La determinación del método obedece a la realización de un estudio y simulación que tuvo en cuenta todas las fórmulas utilizadas y propuestas por la ANI, el INVIAS, el IDU y CCE</w:t>
      </w:r>
      <w:r w:rsidRPr="00F52285">
        <w:rPr>
          <w:rStyle w:val="Refdenotaalpie"/>
          <w:rFonts w:ascii="Arial" w:eastAsia="Calibri" w:hAnsi="Arial" w:cs="Arial"/>
          <w:sz w:val="22"/>
        </w:rPr>
        <w:footnoteReference w:id="2"/>
      </w:r>
      <w:r w:rsidRPr="00F52285">
        <w:rPr>
          <w:rFonts w:ascii="Arial" w:eastAsia="Calibri" w:hAnsi="Arial" w:cs="Arial"/>
          <w:sz w:val="22"/>
        </w:rPr>
        <w:t>, que consistió en: i) estandarización de los nombres y notación de las variables y ii) realización de 200 simulaciones por cada una de las seis fórmulas propuestas con valores aleatorios entre 1 millón y 2 millones distribuidos uniformemente, con el fin de determinar si arrojaban puntajes dentro de los rangos establecidos en los documentos tipo, y si contaban con alguno de los siguientes factores no deseables: Discontinuidades, Valores indeterminados o Valores negativos.</w:t>
      </w:r>
    </w:p>
    <w:p w14:paraId="2E9E259E" w14:textId="77777777" w:rsidR="009E2BF2" w:rsidRPr="00F52285" w:rsidRDefault="00646553" w:rsidP="003B0E1E">
      <w:pPr>
        <w:spacing w:after="120" w:line="276" w:lineRule="auto"/>
        <w:ind w:right="-142" w:firstLine="709"/>
        <w:jc w:val="both"/>
        <w:rPr>
          <w:rFonts w:ascii="Arial" w:eastAsia="Calibri" w:hAnsi="Arial" w:cs="Arial"/>
          <w:sz w:val="22"/>
        </w:rPr>
      </w:pPr>
      <w:r w:rsidRPr="00F52285">
        <w:rPr>
          <w:rFonts w:ascii="Arial" w:eastAsia="Calibri" w:hAnsi="Arial" w:cs="Arial"/>
          <w:sz w:val="22"/>
        </w:rPr>
        <w:t>Las simulaciones arrojaron como resultado que ninguna de las fórmulas propuestas estaba caracterizada por alguno de los factores no deseables. Adicionalmente, el análisis tuvo en cuenta características para determinar el impacto de cada una de las fórmulas frente a la competencia potencial entre los oferentes. Con base en esto, la aleatoriedad del método y la adopción del mínimo de fórmulas establecido en los Documentos Tipo para la evaluación responden a la necesidad de reducir el riesgo de colusión y promover la efectiva competencia en los procedimientos de obra pública, en atención a los criterios establecidos por la Superintendencia de Industria y Comercio</w:t>
      </w:r>
      <w:r w:rsidRPr="00F52285">
        <w:rPr>
          <w:rStyle w:val="Refdenotaalpie"/>
          <w:rFonts w:ascii="Arial" w:eastAsia="Calibri" w:hAnsi="Arial" w:cs="Arial"/>
          <w:sz w:val="22"/>
        </w:rPr>
        <w:footnoteReference w:id="3"/>
      </w:r>
      <w:r w:rsidRPr="00F52285">
        <w:rPr>
          <w:rFonts w:ascii="Arial" w:eastAsia="Calibri" w:hAnsi="Arial" w:cs="Arial"/>
          <w:sz w:val="22"/>
        </w:rPr>
        <w:t xml:space="preserve"> y Colombia Compra Eficiente</w:t>
      </w:r>
      <w:r w:rsidRPr="00F52285">
        <w:rPr>
          <w:rStyle w:val="Refdenotaalpie"/>
          <w:rFonts w:ascii="Arial" w:eastAsia="Calibri" w:hAnsi="Arial" w:cs="Arial"/>
          <w:sz w:val="22"/>
        </w:rPr>
        <w:footnoteReference w:id="4"/>
      </w:r>
      <w:r w:rsidRPr="00F52285">
        <w:rPr>
          <w:rFonts w:ascii="Arial" w:eastAsia="Calibri" w:hAnsi="Arial" w:cs="Arial"/>
          <w:sz w:val="22"/>
        </w:rPr>
        <w:t>.</w:t>
      </w:r>
    </w:p>
    <w:p w14:paraId="2FB04711" w14:textId="77777777" w:rsidR="009E2BF2" w:rsidRPr="00F52285" w:rsidRDefault="00646553" w:rsidP="003B0E1E">
      <w:pPr>
        <w:spacing w:line="276" w:lineRule="auto"/>
        <w:ind w:right="-142" w:firstLine="708"/>
        <w:jc w:val="both"/>
        <w:rPr>
          <w:rFonts w:ascii="Arial" w:eastAsia="Calibri" w:hAnsi="Arial" w:cs="Arial"/>
          <w:sz w:val="22"/>
        </w:rPr>
      </w:pPr>
      <w:r w:rsidRPr="00F52285">
        <w:rPr>
          <w:rFonts w:ascii="Arial" w:eastAsia="Calibri" w:hAnsi="Arial" w:cs="Arial"/>
          <w:sz w:val="22"/>
        </w:rPr>
        <w:lastRenderedPageBreak/>
        <w:t>Así, la entidad escogerá uno u otro método de ponderación, de acuerdo con la Tasa de Cambio Representativa del Mercado –TRM– del día hábil siguiente al día en que efectivamente sea la apertura del segundo sobre de la oferta, que contiene la oferta económica. La entidad debe tener en cuenta los centavos de la TRM para definir el método de ponderación de acuerdo con los rangos del siguiente cuadro:</w:t>
      </w:r>
    </w:p>
    <w:p w14:paraId="4848B05D" w14:textId="77777777" w:rsidR="009E2BF2" w:rsidRPr="00F52285" w:rsidRDefault="009E2BF2" w:rsidP="003B0E1E">
      <w:pPr>
        <w:spacing w:line="276" w:lineRule="auto"/>
        <w:ind w:right="-142"/>
        <w:jc w:val="both"/>
        <w:rPr>
          <w:rFonts w:ascii="Arial" w:eastAsia="Calibri"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99"/>
        <w:gridCol w:w="2503"/>
      </w:tblGrid>
      <w:tr w:rsidR="009E2BF2" w:rsidRPr="00F52285" w14:paraId="511EF418" w14:textId="77777777">
        <w:trPr>
          <w:trHeight w:val="20"/>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tcPr>
          <w:p w14:paraId="27A2CE75" w14:textId="77777777" w:rsidR="009E2BF2" w:rsidRPr="00F52285" w:rsidRDefault="00646553" w:rsidP="003B0E1E">
            <w:pPr>
              <w:spacing w:line="276" w:lineRule="auto"/>
              <w:ind w:right="-142"/>
              <w:jc w:val="center"/>
              <w:rPr>
                <w:rFonts w:eastAsia="Arial,Calibri" w:cs="Arial"/>
                <w:b/>
                <w:bCs/>
                <w:sz w:val="16"/>
                <w:szCs w:val="16"/>
              </w:rPr>
            </w:pPr>
            <w:r w:rsidRPr="00F52285">
              <w:rPr>
                <w:rFonts w:cs="Arial"/>
                <w:b/>
                <w:bCs/>
                <w:sz w:val="16"/>
                <w:szCs w:val="16"/>
              </w:rPr>
              <w:t>Rango</w:t>
            </w:r>
            <w:r w:rsidRPr="00F52285">
              <w:rPr>
                <w:rFonts w:eastAsia="Arial,Calibri" w:cs="Arial"/>
                <w:b/>
                <w:bCs/>
                <w:sz w:val="16"/>
                <w:szCs w:val="16"/>
              </w:rPr>
              <w:t xml:space="preserve"> </w:t>
            </w:r>
            <w:r w:rsidRPr="00F52285">
              <w:rPr>
                <w:rFonts w:cs="Arial"/>
                <w:b/>
                <w:bCs/>
                <w:sz w:val="16"/>
                <w:szCs w:val="16"/>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tcPr>
          <w:p w14:paraId="2BD71CD9" w14:textId="77777777" w:rsidR="009E2BF2" w:rsidRPr="00F52285" w:rsidRDefault="00646553" w:rsidP="003B0E1E">
            <w:pPr>
              <w:spacing w:line="276" w:lineRule="auto"/>
              <w:ind w:right="-142"/>
              <w:jc w:val="center"/>
              <w:rPr>
                <w:rFonts w:eastAsia="Arial,Calibri" w:cs="Arial"/>
                <w:b/>
                <w:bCs/>
                <w:sz w:val="16"/>
                <w:szCs w:val="16"/>
              </w:rPr>
            </w:pPr>
            <w:r w:rsidRPr="00F52285">
              <w:rPr>
                <w:rFonts w:cs="Arial"/>
                <w:b/>
                <w:bCs/>
                <w:sz w:val="16"/>
                <w:szCs w:val="16"/>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tcPr>
          <w:p w14:paraId="767A691A" w14:textId="77777777" w:rsidR="009E2BF2" w:rsidRPr="00F52285" w:rsidRDefault="00646553" w:rsidP="003B0E1E">
            <w:pPr>
              <w:spacing w:line="276" w:lineRule="auto"/>
              <w:ind w:right="-142"/>
              <w:jc w:val="center"/>
              <w:rPr>
                <w:rFonts w:eastAsia="Arial,Calibri" w:cs="Arial"/>
                <w:b/>
                <w:bCs/>
                <w:sz w:val="16"/>
                <w:szCs w:val="16"/>
              </w:rPr>
            </w:pPr>
            <w:r w:rsidRPr="00F52285">
              <w:rPr>
                <w:rFonts w:cs="Arial"/>
                <w:b/>
                <w:bCs/>
                <w:sz w:val="16"/>
                <w:szCs w:val="16"/>
              </w:rPr>
              <w:t>Método</w:t>
            </w:r>
          </w:p>
        </w:tc>
      </w:tr>
      <w:tr w:rsidR="009E2BF2" w:rsidRPr="00F52285" w14:paraId="4B3030A2" w14:textId="77777777">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2B871B0E" w14:textId="77777777" w:rsidR="009E2BF2" w:rsidRPr="00F52285" w:rsidRDefault="00646553" w:rsidP="003B0E1E">
            <w:pPr>
              <w:spacing w:line="276" w:lineRule="auto"/>
              <w:ind w:right="-142"/>
              <w:jc w:val="center"/>
              <w:rPr>
                <w:rFonts w:cs="Arial"/>
                <w:sz w:val="16"/>
                <w:szCs w:val="16"/>
                <w:lang w:eastAsia="es-CO"/>
              </w:rPr>
            </w:pPr>
            <w:r w:rsidRPr="00F52285">
              <w:rPr>
                <w:rFonts w:cs="Arial"/>
                <w:sz w:val="16"/>
                <w:szCs w:val="16"/>
                <w:lang w:eastAsia="es-CO"/>
              </w:rPr>
              <w:t>De 0.00 a 0.24</w:t>
            </w:r>
          </w:p>
        </w:tc>
        <w:tc>
          <w:tcPr>
            <w:tcW w:w="899" w:type="dxa"/>
            <w:tcBorders>
              <w:top w:val="single" w:sz="4" w:space="0" w:color="auto"/>
              <w:left w:val="single" w:sz="4" w:space="0" w:color="auto"/>
              <w:bottom w:val="single" w:sz="4" w:space="0" w:color="auto"/>
              <w:right w:val="single" w:sz="4" w:space="0" w:color="auto"/>
            </w:tcBorders>
            <w:vAlign w:val="center"/>
          </w:tcPr>
          <w:p w14:paraId="7925B5DC" w14:textId="77777777" w:rsidR="009E2BF2" w:rsidRPr="00F52285" w:rsidRDefault="00646553" w:rsidP="003B0E1E">
            <w:pPr>
              <w:spacing w:line="276" w:lineRule="auto"/>
              <w:ind w:right="-142"/>
              <w:jc w:val="center"/>
              <w:rPr>
                <w:rFonts w:eastAsia="Arial,Times New Roman" w:cs="Arial"/>
                <w:sz w:val="16"/>
                <w:szCs w:val="16"/>
                <w:lang w:eastAsia="es-CO"/>
              </w:rPr>
            </w:pPr>
            <w:r w:rsidRPr="00F52285">
              <w:rPr>
                <w:rFonts w:cs="Arial"/>
                <w:sz w:val="16"/>
                <w:szCs w:val="16"/>
                <w:lang w:eastAsia="es-CO"/>
              </w:rPr>
              <w:t>1</w:t>
            </w:r>
          </w:p>
        </w:tc>
        <w:tc>
          <w:tcPr>
            <w:tcW w:w="2503" w:type="dxa"/>
            <w:tcBorders>
              <w:top w:val="single" w:sz="4" w:space="0" w:color="auto"/>
              <w:left w:val="single" w:sz="4" w:space="0" w:color="auto"/>
              <w:bottom w:val="single" w:sz="4" w:space="0" w:color="auto"/>
              <w:right w:val="double" w:sz="4" w:space="0" w:color="auto"/>
            </w:tcBorders>
            <w:vAlign w:val="center"/>
          </w:tcPr>
          <w:p w14:paraId="36BEA798" w14:textId="77777777" w:rsidR="009E2BF2" w:rsidRPr="00F52285" w:rsidRDefault="00646553" w:rsidP="003B0E1E">
            <w:pPr>
              <w:spacing w:line="276" w:lineRule="auto"/>
              <w:ind w:right="-142"/>
              <w:jc w:val="center"/>
              <w:rPr>
                <w:rFonts w:eastAsia="Arial,Times New Roman" w:cs="Arial"/>
                <w:sz w:val="16"/>
                <w:szCs w:val="16"/>
                <w:lang w:eastAsia="es-CO"/>
              </w:rPr>
            </w:pPr>
            <w:r w:rsidRPr="00F52285">
              <w:rPr>
                <w:rFonts w:cs="Arial"/>
                <w:sz w:val="16"/>
                <w:szCs w:val="16"/>
                <w:lang w:eastAsia="es-CO"/>
              </w:rPr>
              <w:t>Mediana con valor absoluto</w:t>
            </w:r>
          </w:p>
        </w:tc>
      </w:tr>
      <w:tr w:rsidR="009E2BF2" w:rsidRPr="00F52285" w14:paraId="68C886E4" w14:textId="77777777">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tcPr>
          <w:p w14:paraId="12C69C75" w14:textId="77777777" w:rsidR="009E2BF2" w:rsidRPr="00F52285" w:rsidRDefault="00646553" w:rsidP="003B0E1E">
            <w:pPr>
              <w:spacing w:line="276" w:lineRule="auto"/>
              <w:ind w:right="-142"/>
              <w:jc w:val="center"/>
              <w:rPr>
                <w:rFonts w:cs="Arial"/>
                <w:sz w:val="16"/>
                <w:szCs w:val="16"/>
                <w:lang w:eastAsia="es-CO"/>
              </w:rPr>
            </w:pPr>
            <w:r w:rsidRPr="00F52285">
              <w:rPr>
                <w:rFonts w:cs="Arial"/>
                <w:sz w:val="16"/>
                <w:szCs w:val="16"/>
                <w:lang w:eastAsia="es-CO"/>
              </w:rPr>
              <w:t>De 0.25 a 0.49</w:t>
            </w:r>
          </w:p>
        </w:tc>
        <w:tc>
          <w:tcPr>
            <w:tcW w:w="899" w:type="dxa"/>
            <w:tcBorders>
              <w:top w:val="single" w:sz="4" w:space="0" w:color="auto"/>
              <w:left w:val="single" w:sz="4" w:space="0" w:color="auto"/>
              <w:bottom w:val="single" w:sz="4" w:space="0" w:color="auto"/>
              <w:right w:val="single" w:sz="4" w:space="0" w:color="auto"/>
            </w:tcBorders>
            <w:vAlign w:val="center"/>
          </w:tcPr>
          <w:p w14:paraId="686CF3AB" w14:textId="77777777" w:rsidR="009E2BF2" w:rsidRPr="00F52285" w:rsidRDefault="00646553" w:rsidP="003B0E1E">
            <w:pPr>
              <w:spacing w:line="276" w:lineRule="auto"/>
              <w:ind w:right="-142"/>
              <w:jc w:val="center"/>
              <w:rPr>
                <w:rFonts w:eastAsia="Arial,Times New Roman" w:cs="Arial"/>
                <w:sz w:val="16"/>
                <w:szCs w:val="16"/>
                <w:lang w:eastAsia="es-CO"/>
              </w:rPr>
            </w:pPr>
            <w:r w:rsidRPr="00F52285">
              <w:rPr>
                <w:rFonts w:eastAsia="Arial,Times New Roman" w:cs="Arial"/>
                <w:sz w:val="16"/>
                <w:szCs w:val="16"/>
                <w:lang w:eastAsia="es-CO"/>
              </w:rPr>
              <w:t>2</w:t>
            </w:r>
          </w:p>
        </w:tc>
        <w:tc>
          <w:tcPr>
            <w:tcW w:w="2503" w:type="dxa"/>
            <w:tcBorders>
              <w:top w:val="single" w:sz="4" w:space="0" w:color="auto"/>
              <w:left w:val="single" w:sz="4" w:space="0" w:color="auto"/>
              <w:bottom w:val="single" w:sz="4" w:space="0" w:color="auto"/>
              <w:right w:val="double" w:sz="4" w:space="0" w:color="auto"/>
            </w:tcBorders>
            <w:vAlign w:val="center"/>
          </w:tcPr>
          <w:p w14:paraId="36CCC5AE" w14:textId="77777777" w:rsidR="009E2BF2" w:rsidRPr="00F52285" w:rsidRDefault="00646553" w:rsidP="003B0E1E">
            <w:pPr>
              <w:spacing w:line="276" w:lineRule="auto"/>
              <w:ind w:right="-142"/>
              <w:jc w:val="center"/>
              <w:rPr>
                <w:rFonts w:eastAsia="Arial,Times New Roman" w:cs="Arial"/>
                <w:sz w:val="16"/>
                <w:szCs w:val="16"/>
                <w:lang w:eastAsia="es-CO"/>
              </w:rPr>
            </w:pPr>
            <w:r w:rsidRPr="00F52285">
              <w:rPr>
                <w:rFonts w:cs="Arial"/>
                <w:sz w:val="16"/>
                <w:szCs w:val="16"/>
                <w:lang w:eastAsia="es-CO"/>
              </w:rPr>
              <w:t>Media geométrica</w:t>
            </w:r>
          </w:p>
        </w:tc>
      </w:tr>
      <w:tr w:rsidR="009E2BF2" w:rsidRPr="00F52285" w14:paraId="650097B9" w14:textId="77777777">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6FEBBB22" w14:textId="77777777" w:rsidR="009E2BF2" w:rsidRPr="00F52285" w:rsidRDefault="00646553" w:rsidP="003B0E1E">
            <w:pPr>
              <w:spacing w:line="276" w:lineRule="auto"/>
              <w:ind w:right="-142"/>
              <w:jc w:val="center"/>
              <w:rPr>
                <w:rFonts w:cs="Arial"/>
                <w:sz w:val="16"/>
                <w:szCs w:val="16"/>
                <w:lang w:eastAsia="es-CO"/>
              </w:rPr>
            </w:pPr>
            <w:r w:rsidRPr="00F52285">
              <w:rPr>
                <w:rFonts w:cs="Arial"/>
                <w:sz w:val="16"/>
                <w:szCs w:val="16"/>
                <w:lang w:eastAsia="es-CO"/>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14:paraId="4176ED2E" w14:textId="77777777" w:rsidR="009E2BF2" w:rsidRPr="00F52285" w:rsidRDefault="00646553" w:rsidP="003B0E1E">
            <w:pPr>
              <w:spacing w:line="276" w:lineRule="auto"/>
              <w:ind w:right="-142"/>
              <w:jc w:val="center"/>
              <w:rPr>
                <w:rFonts w:cs="Arial"/>
                <w:sz w:val="16"/>
                <w:szCs w:val="16"/>
                <w:lang w:eastAsia="es-CO"/>
              </w:rPr>
            </w:pPr>
            <w:r w:rsidRPr="00F52285">
              <w:rPr>
                <w:rFonts w:cs="Arial"/>
                <w:sz w:val="16"/>
                <w:szCs w:val="16"/>
                <w:lang w:eastAsia="es-CO"/>
              </w:rPr>
              <w:t>3</w:t>
            </w:r>
          </w:p>
        </w:tc>
        <w:tc>
          <w:tcPr>
            <w:tcW w:w="2503" w:type="dxa"/>
            <w:tcBorders>
              <w:top w:val="single" w:sz="4" w:space="0" w:color="auto"/>
              <w:left w:val="single" w:sz="4" w:space="0" w:color="auto"/>
              <w:bottom w:val="single" w:sz="4" w:space="0" w:color="auto"/>
              <w:right w:val="double" w:sz="4" w:space="0" w:color="auto"/>
            </w:tcBorders>
            <w:vAlign w:val="center"/>
          </w:tcPr>
          <w:p w14:paraId="0A75D1DC" w14:textId="77777777" w:rsidR="009E2BF2" w:rsidRPr="00F52285" w:rsidRDefault="00646553" w:rsidP="003B0E1E">
            <w:pPr>
              <w:spacing w:line="276" w:lineRule="auto"/>
              <w:ind w:right="-142"/>
              <w:jc w:val="center"/>
              <w:rPr>
                <w:rFonts w:cs="Arial"/>
                <w:sz w:val="16"/>
                <w:szCs w:val="16"/>
                <w:lang w:eastAsia="es-CO"/>
              </w:rPr>
            </w:pPr>
            <w:r w:rsidRPr="00F52285">
              <w:rPr>
                <w:rFonts w:cs="Arial"/>
                <w:sz w:val="16"/>
                <w:szCs w:val="16"/>
                <w:lang w:eastAsia="es-CO"/>
              </w:rPr>
              <w:t>Media aritmética baja</w:t>
            </w:r>
          </w:p>
        </w:tc>
      </w:tr>
      <w:tr w:rsidR="009E2BF2" w:rsidRPr="00F52285" w14:paraId="673A31A6" w14:textId="77777777">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62C973E3" w14:textId="77777777" w:rsidR="009E2BF2" w:rsidRPr="00F52285" w:rsidRDefault="00646553" w:rsidP="003B0E1E">
            <w:pPr>
              <w:spacing w:line="276" w:lineRule="auto"/>
              <w:ind w:right="-142"/>
              <w:jc w:val="center"/>
              <w:rPr>
                <w:rFonts w:cs="Arial"/>
                <w:sz w:val="16"/>
                <w:szCs w:val="16"/>
                <w:lang w:eastAsia="es-CO"/>
              </w:rPr>
            </w:pPr>
            <w:r w:rsidRPr="00F52285">
              <w:rPr>
                <w:rFonts w:cs="Arial"/>
                <w:sz w:val="16"/>
                <w:szCs w:val="16"/>
                <w:lang w:eastAsia="es-CO"/>
              </w:rPr>
              <w:t>De 0.75 a 0.99</w:t>
            </w:r>
          </w:p>
        </w:tc>
        <w:tc>
          <w:tcPr>
            <w:tcW w:w="899" w:type="dxa"/>
            <w:tcBorders>
              <w:top w:val="single" w:sz="4" w:space="0" w:color="auto"/>
              <w:left w:val="single" w:sz="4" w:space="0" w:color="auto"/>
              <w:bottom w:val="double" w:sz="4" w:space="0" w:color="auto"/>
              <w:right w:val="single" w:sz="4" w:space="0" w:color="auto"/>
            </w:tcBorders>
            <w:vAlign w:val="center"/>
          </w:tcPr>
          <w:p w14:paraId="656FC9F1" w14:textId="77777777" w:rsidR="009E2BF2" w:rsidRPr="00F52285" w:rsidRDefault="00646553" w:rsidP="003B0E1E">
            <w:pPr>
              <w:spacing w:line="276" w:lineRule="auto"/>
              <w:ind w:right="-142"/>
              <w:jc w:val="center"/>
              <w:rPr>
                <w:rFonts w:cs="Arial"/>
                <w:sz w:val="16"/>
                <w:szCs w:val="16"/>
                <w:lang w:eastAsia="es-CO"/>
              </w:rPr>
            </w:pPr>
            <w:r w:rsidRPr="00F52285">
              <w:rPr>
                <w:rFonts w:cs="Arial"/>
                <w:sz w:val="16"/>
                <w:szCs w:val="16"/>
                <w:lang w:eastAsia="es-CO"/>
              </w:rPr>
              <w:t>4</w:t>
            </w:r>
          </w:p>
        </w:tc>
        <w:tc>
          <w:tcPr>
            <w:tcW w:w="2503" w:type="dxa"/>
            <w:tcBorders>
              <w:top w:val="single" w:sz="4" w:space="0" w:color="auto"/>
              <w:left w:val="single" w:sz="4" w:space="0" w:color="auto"/>
              <w:bottom w:val="double" w:sz="4" w:space="0" w:color="auto"/>
              <w:right w:val="double" w:sz="4" w:space="0" w:color="auto"/>
            </w:tcBorders>
            <w:vAlign w:val="center"/>
          </w:tcPr>
          <w:p w14:paraId="0CA313C5" w14:textId="77777777" w:rsidR="009E2BF2" w:rsidRPr="00F52285" w:rsidRDefault="00646553" w:rsidP="003B0E1E">
            <w:pPr>
              <w:spacing w:line="276" w:lineRule="auto"/>
              <w:ind w:right="-142"/>
              <w:jc w:val="center"/>
              <w:rPr>
                <w:rFonts w:cs="Arial"/>
                <w:sz w:val="16"/>
                <w:szCs w:val="16"/>
                <w:lang w:eastAsia="es-CO"/>
              </w:rPr>
            </w:pPr>
            <w:r w:rsidRPr="00F52285">
              <w:rPr>
                <w:rFonts w:cs="Arial"/>
                <w:sz w:val="16"/>
                <w:szCs w:val="16"/>
                <w:lang w:eastAsia="es-CO"/>
              </w:rPr>
              <w:t>Menor valor</w:t>
            </w:r>
          </w:p>
        </w:tc>
      </w:tr>
    </w:tbl>
    <w:p w14:paraId="3E8F9947" w14:textId="77777777" w:rsidR="009E2BF2" w:rsidRPr="00F52285" w:rsidRDefault="009E2BF2" w:rsidP="003B0E1E">
      <w:pPr>
        <w:spacing w:line="276" w:lineRule="auto"/>
        <w:ind w:right="-142" w:firstLine="708"/>
        <w:jc w:val="both"/>
        <w:rPr>
          <w:rFonts w:ascii="Arial" w:eastAsia="Calibri" w:hAnsi="Arial" w:cs="Arial"/>
          <w:sz w:val="22"/>
        </w:rPr>
      </w:pPr>
    </w:p>
    <w:p w14:paraId="25F808D1" w14:textId="77777777" w:rsidR="009E2BF2" w:rsidRPr="00F52285" w:rsidRDefault="00646553" w:rsidP="003B0E1E">
      <w:pPr>
        <w:spacing w:after="120" w:line="276" w:lineRule="auto"/>
        <w:ind w:right="-142" w:firstLine="709"/>
        <w:jc w:val="both"/>
        <w:rPr>
          <w:rFonts w:ascii="Arial" w:eastAsia="Calibri" w:hAnsi="Arial" w:cs="Arial"/>
          <w:sz w:val="22"/>
        </w:rPr>
      </w:pPr>
      <w:r w:rsidRPr="00F52285">
        <w:rPr>
          <w:rFonts w:ascii="Arial" w:eastAsia="Calibri" w:hAnsi="Arial" w:cs="Arial"/>
          <w:sz w:val="22"/>
        </w:rPr>
        <w:t>Con lo anterior, se puede concluir que el método aleatorio para seleccionar la fórmula de ponderación de la oferta económica desestimula los actos de corrupción, puesto que no es posible manipular la TRM para conocer con anticipación la fórmula aplicable y poder adjudicar al proponente que la entidad desee. Ahora bien, sobre su pregunta, el numeral 4.1.4. del Documento Base señala como una de las alternativas para escoger el método de ponderación de la propuesta económica, la media geométrica cuya fórmula es:</w:t>
      </w:r>
    </w:p>
    <w:p w14:paraId="37771377" w14:textId="77777777" w:rsidR="009E2BF2" w:rsidRPr="00F52285" w:rsidRDefault="00646553" w:rsidP="003B0E1E">
      <w:pPr>
        <w:spacing w:after="200"/>
        <w:ind w:left="709" w:right="-142"/>
        <w:jc w:val="both"/>
        <w:rPr>
          <w:rFonts w:ascii="Arial" w:hAnsi="Arial" w:cs="Arial"/>
          <w:sz w:val="21"/>
          <w:szCs w:val="21"/>
        </w:rPr>
      </w:pPr>
      <m:oMathPara>
        <m:oMath>
          <m:r>
            <m:rPr>
              <m:sty m:val="p"/>
            </m:rPr>
            <w:rPr>
              <w:rFonts w:ascii="Cambria Math" w:hAnsi="Cambria Math" w:cs="Arial"/>
            </w:rPr>
            <w:br/>
          </m:r>
        </m:oMath>
        <m:oMath>
          <m:r>
            <w:rPr>
              <w:rFonts w:ascii="Cambria Math" w:hAnsi="Cambria Math" w:cs="Arial"/>
              <w:sz w:val="21"/>
              <w:szCs w:val="21"/>
            </w:rPr>
            <m:t>MG=</m:t>
          </m:r>
          <m:rad>
            <m:radPr>
              <m:ctrlPr>
                <w:rPr>
                  <w:rFonts w:ascii="Cambria Math" w:hAnsi="Cambria Math" w:cs="Arial"/>
                  <w:i/>
                  <w:sz w:val="21"/>
                  <w:szCs w:val="21"/>
                </w:rPr>
              </m:ctrlPr>
            </m:radPr>
            <m:deg>
              <m:r>
                <w:rPr>
                  <w:rFonts w:ascii="Cambria Math" w:hAnsi="Cambria Math" w:cs="Arial"/>
                  <w:sz w:val="21"/>
                  <w:szCs w:val="21"/>
                </w:rPr>
                <m:t>n</m:t>
              </m:r>
            </m:deg>
            <m:e>
              <m:sSub>
                <m:sSubPr>
                  <m:ctrlPr>
                    <w:rPr>
                      <w:rFonts w:ascii="Cambria Math" w:hAnsi="Cambria Math" w:cs="Arial"/>
                      <w:i/>
                      <w:sz w:val="21"/>
                      <w:szCs w:val="21"/>
                    </w:rPr>
                  </m:ctrlPr>
                </m:sSubPr>
                <m:e>
                  <m:r>
                    <w:rPr>
                      <w:rFonts w:ascii="Cambria Math" w:hAnsi="Cambria Math" w:cs="Arial"/>
                      <w:sz w:val="21"/>
                      <w:szCs w:val="21"/>
                    </w:rPr>
                    <m:t>V</m:t>
                  </m:r>
                </m:e>
                <m:sub>
                  <m:r>
                    <w:rPr>
                      <w:rFonts w:ascii="Cambria Math" w:hAnsi="Cambria Math" w:cs="Arial"/>
                      <w:sz w:val="21"/>
                      <w:szCs w:val="21"/>
                    </w:rPr>
                    <m:t>1</m:t>
                  </m:r>
                </m:sub>
              </m:sSub>
              <m:r>
                <w:rPr>
                  <w:rFonts w:ascii="Cambria Math" w:hAnsi="Cambria Math" w:cs="Arial"/>
                  <w:sz w:val="21"/>
                  <w:szCs w:val="21"/>
                </w:rPr>
                <m:t>*</m:t>
              </m:r>
              <m:sSub>
                <m:sSubPr>
                  <m:ctrlPr>
                    <w:rPr>
                      <w:rFonts w:ascii="Cambria Math" w:hAnsi="Cambria Math" w:cs="Arial"/>
                      <w:i/>
                      <w:sz w:val="21"/>
                      <w:szCs w:val="21"/>
                    </w:rPr>
                  </m:ctrlPr>
                </m:sSubPr>
                <m:e>
                  <m:r>
                    <w:rPr>
                      <w:rFonts w:ascii="Cambria Math" w:hAnsi="Cambria Math" w:cs="Arial"/>
                      <w:sz w:val="21"/>
                      <w:szCs w:val="21"/>
                    </w:rPr>
                    <m:t>V</m:t>
                  </m:r>
                </m:e>
                <m:sub>
                  <m:r>
                    <w:rPr>
                      <w:rFonts w:ascii="Cambria Math" w:hAnsi="Cambria Math" w:cs="Arial"/>
                      <w:sz w:val="21"/>
                      <w:szCs w:val="21"/>
                    </w:rPr>
                    <m:t>2</m:t>
                  </m:r>
                </m:sub>
              </m:sSub>
              <m:r>
                <w:rPr>
                  <w:rFonts w:ascii="Cambria Math" w:hAnsi="Cambria Math" w:cs="Arial"/>
                  <w:sz w:val="21"/>
                  <w:szCs w:val="21"/>
                </w:rPr>
                <m:t>*</m:t>
              </m:r>
              <m:sSub>
                <m:sSubPr>
                  <m:ctrlPr>
                    <w:rPr>
                      <w:rFonts w:ascii="Cambria Math" w:hAnsi="Cambria Math" w:cs="Arial"/>
                      <w:i/>
                      <w:sz w:val="21"/>
                      <w:szCs w:val="21"/>
                    </w:rPr>
                  </m:ctrlPr>
                </m:sSubPr>
                <m:e>
                  <m:r>
                    <w:rPr>
                      <w:rFonts w:ascii="Cambria Math" w:hAnsi="Cambria Math" w:cs="Arial"/>
                      <w:sz w:val="21"/>
                      <w:szCs w:val="21"/>
                    </w:rPr>
                    <m:t>V</m:t>
                  </m:r>
                </m:e>
                <m:sub>
                  <m:r>
                    <w:rPr>
                      <w:rFonts w:ascii="Cambria Math" w:hAnsi="Cambria Math" w:cs="Arial"/>
                      <w:sz w:val="21"/>
                      <w:szCs w:val="21"/>
                    </w:rPr>
                    <m:t>3</m:t>
                  </m:r>
                </m:sub>
              </m:sSub>
              <m:r>
                <w:rPr>
                  <w:rFonts w:ascii="Cambria Math" w:hAnsi="Cambria Math" w:cs="Arial"/>
                  <w:sz w:val="21"/>
                  <w:szCs w:val="21"/>
                </w:rPr>
                <m:t>*…*</m:t>
              </m:r>
              <m:sSub>
                <m:sSubPr>
                  <m:ctrlPr>
                    <w:rPr>
                      <w:rFonts w:ascii="Cambria Math" w:hAnsi="Cambria Math" w:cs="Arial"/>
                      <w:i/>
                      <w:sz w:val="21"/>
                      <w:szCs w:val="21"/>
                    </w:rPr>
                  </m:ctrlPr>
                </m:sSubPr>
                <m:e>
                  <m:r>
                    <w:rPr>
                      <w:rFonts w:ascii="Cambria Math" w:hAnsi="Cambria Math" w:cs="Arial"/>
                      <w:sz w:val="21"/>
                      <w:szCs w:val="21"/>
                    </w:rPr>
                    <m:t>V</m:t>
                  </m:r>
                </m:e>
                <m:sub>
                  <m:r>
                    <w:rPr>
                      <w:rFonts w:ascii="Cambria Math" w:hAnsi="Cambria Math" w:cs="Arial"/>
                      <w:sz w:val="21"/>
                      <w:szCs w:val="21"/>
                    </w:rPr>
                    <m:t>n</m:t>
                  </m:r>
                </m:sub>
              </m:sSub>
            </m:e>
          </m:rad>
        </m:oMath>
      </m:oMathPara>
    </w:p>
    <w:p w14:paraId="0277E79D" w14:textId="77777777" w:rsidR="009E2BF2" w:rsidRPr="00F52285" w:rsidRDefault="00646553" w:rsidP="003B0E1E">
      <w:pPr>
        <w:spacing w:after="200"/>
        <w:ind w:left="709" w:right="-142"/>
        <w:jc w:val="both"/>
        <w:rPr>
          <w:rFonts w:ascii="Arial" w:hAnsi="Arial" w:cs="Arial"/>
          <w:sz w:val="21"/>
          <w:szCs w:val="21"/>
        </w:rPr>
      </w:pPr>
      <w:r w:rsidRPr="00F52285">
        <w:rPr>
          <w:rFonts w:ascii="Arial" w:eastAsia="Arial" w:hAnsi="Arial" w:cs="Arial"/>
          <w:sz w:val="21"/>
          <w:szCs w:val="21"/>
        </w:rPr>
        <w:t xml:space="preserve">Donde: </w:t>
      </w:r>
    </w:p>
    <w:p w14:paraId="4CFD1BB2" w14:textId="77777777" w:rsidR="009E2BF2" w:rsidRPr="00F52285" w:rsidRDefault="00646553" w:rsidP="003B0E1E">
      <w:pPr>
        <w:pStyle w:val="Prrafodelista"/>
        <w:numPr>
          <w:ilvl w:val="0"/>
          <w:numId w:val="1"/>
        </w:numPr>
        <w:spacing w:after="200"/>
        <w:ind w:left="709" w:right="-142"/>
        <w:jc w:val="both"/>
        <w:rPr>
          <w:rFonts w:ascii="Arial" w:hAnsi="Arial" w:cs="Arial"/>
          <w:sz w:val="21"/>
          <w:szCs w:val="21"/>
        </w:rPr>
      </w:pPr>
      <w:r w:rsidRPr="00F52285">
        <w:rPr>
          <w:rFonts w:ascii="Arial" w:eastAsiaTheme="minorEastAsia" w:hAnsi="Arial" w:cs="Arial"/>
          <w:sz w:val="21"/>
          <w:szCs w:val="21"/>
        </w:rPr>
        <w:t xml:space="preserve">MG: Es la media geométrica de los tres menores valores. </w:t>
      </w:r>
    </w:p>
    <w:p w14:paraId="251C5535" w14:textId="77777777" w:rsidR="009E2BF2" w:rsidRPr="00F52285" w:rsidRDefault="00646553" w:rsidP="003B0E1E">
      <w:pPr>
        <w:pStyle w:val="Prrafodelista"/>
        <w:numPr>
          <w:ilvl w:val="0"/>
          <w:numId w:val="1"/>
        </w:numPr>
        <w:spacing w:after="200"/>
        <w:ind w:left="709" w:right="-142"/>
        <w:jc w:val="both"/>
        <w:rPr>
          <w:rFonts w:ascii="Arial" w:hAnsi="Arial" w:cs="Arial"/>
          <w:sz w:val="21"/>
          <w:szCs w:val="21"/>
        </w:rPr>
      </w:pPr>
      <w:r w:rsidRPr="00F52285">
        <w:rPr>
          <w:rFonts w:ascii="Arial" w:eastAsiaTheme="minorEastAsia" w:hAnsi="Arial" w:cs="Arial"/>
          <w:sz w:val="21"/>
          <w:szCs w:val="21"/>
        </w:rPr>
        <w:t>V1: Es el valor de una propuesta habilitada.</w:t>
      </w:r>
    </w:p>
    <w:p w14:paraId="4AFD9F0E" w14:textId="77777777" w:rsidR="009E2BF2" w:rsidRPr="00F52285" w:rsidRDefault="00646553" w:rsidP="003B0E1E">
      <w:pPr>
        <w:pStyle w:val="Prrafodelista"/>
        <w:numPr>
          <w:ilvl w:val="0"/>
          <w:numId w:val="1"/>
        </w:numPr>
        <w:spacing w:after="200"/>
        <w:ind w:left="709" w:right="-142"/>
        <w:jc w:val="both"/>
        <w:rPr>
          <w:rFonts w:ascii="Arial" w:hAnsi="Arial" w:cs="Arial"/>
          <w:sz w:val="21"/>
          <w:szCs w:val="21"/>
        </w:rPr>
      </w:pPr>
      <w:r w:rsidRPr="00F52285">
        <w:rPr>
          <w:rFonts w:ascii="Arial" w:eastAsiaTheme="minorEastAsia" w:hAnsi="Arial" w:cs="Arial"/>
          <w:sz w:val="21"/>
          <w:szCs w:val="21"/>
        </w:rPr>
        <w:t xml:space="preserve">Vn: Es el valor de la propuesta n habilitada. </w:t>
      </w:r>
    </w:p>
    <w:p w14:paraId="7ECBBCE4" w14:textId="77777777" w:rsidR="009E2BF2" w:rsidRPr="00F52285" w:rsidRDefault="00646553" w:rsidP="003B0E1E">
      <w:pPr>
        <w:pStyle w:val="Prrafodelista"/>
        <w:numPr>
          <w:ilvl w:val="0"/>
          <w:numId w:val="1"/>
        </w:numPr>
        <w:ind w:left="709" w:right="-142"/>
        <w:jc w:val="both"/>
        <w:rPr>
          <w:rFonts w:ascii="Arial" w:hAnsi="Arial" w:cs="Arial"/>
          <w:sz w:val="21"/>
          <w:szCs w:val="21"/>
        </w:rPr>
      </w:pPr>
      <w:r w:rsidRPr="00F52285">
        <w:rPr>
          <w:rFonts w:ascii="Arial" w:eastAsiaTheme="minorEastAsia" w:hAnsi="Arial" w:cs="Arial"/>
          <w:sz w:val="21"/>
          <w:szCs w:val="21"/>
        </w:rPr>
        <w:t xml:space="preserve">n: La cantidad total de propuestas habilitadas. </w:t>
      </w:r>
    </w:p>
    <w:p w14:paraId="691A6ABD" w14:textId="77777777" w:rsidR="009E2BF2" w:rsidRPr="00F52285" w:rsidRDefault="009E2BF2" w:rsidP="003B0E1E">
      <w:pPr>
        <w:spacing w:after="120" w:line="276" w:lineRule="auto"/>
        <w:ind w:left="349" w:right="-142"/>
        <w:jc w:val="both"/>
        <w:rPr>
          <w:rFonts w:ascii="Arial" w:eastAsia="Calibri" w:hAnsi="Arial" w:cs="Arial"/>
          <w:sz w:val="22"/>
        </w:rPr>
      </w:pPr>
    </w:p>
    <w:p w14:paraId="357DD4DD" w14:textId="71955C7C" w:rsidR="009E2BF2" w:rsidRPr="00F52285" w:rsidRDefault="00646553" w:rsidP="003B0E1E">
      <w:pPr>
        <w:spacing w:line="276" w:lineRule="auto"/>
        <w:ind w:right="-142" w:firstLine="708"/>
        <w:jc w:val="both"/>
        <w:rPr>
          <w:rFonts w:ascii="Arial" w:eastAsia="Calibri" w:hAnsi="Arial" w:cs="Arial"/>
          <w:sz w:val="22"/>
        </w:rPr>
      </w:pPr>
      <w:r w:rsidRPr="00F52285">
        <w:rPr>
          <w:rFonts w:ascii="Arial" w:eastAsia="Calibri" w:hAnsi="Arial" w:cs="Arial"/>
          <w:sz w:val="22"/>
        </w:rPr>
        <w:t>Se observa que el cálculo de la media geométrica tiene en cuenta el valor de todas las propuestas hábiles, a pesar de que la definición del factor «MG</w:t>
      </w:r>
      <w:r w:rsidR="00A73702">
        <w:rPr>
          <w:rFonts w:ascii="Arial" w:eastAsia="Calibri" w:hAnsi="Arial" w:cs="Arial"/>
          <w:sz w:val="22"/>
        </w:rPr>
        <w:t>»</w:t>
      </w:r>
      <w:r w:rsidRPr="00F52285">
        <w:rPr>
          <w:rFonts w:ascii="Arial" w:eastAsia="Calibri" w:hAnsi="Arial" w:cs="Arial"/>
          <w:sz w:val="22"/>
        </w:rPr>
        <w:t xml:space="preserve"> indica que se refiere a los tres menores valores, ya que el Documento Base señala que «Para calcular la Media Geométrica se tomará el valor de las propuestas hábiles para el respectivo factor de calificación para asignar el puntaje[...]». Esto significa que todas las propuestas hábiles serán tenidas en cuenta en la aplicación de la fórmula, además de que en esta se observan los factores «V1», «Vn», «n» y puntos suspensivos que indican que se deben agregar todas las ofertas que estén habilitadas.</w:t>
      </w:r>
    </w:p>
    <w:p w14:paraId="375BF3F5" w14:textId="77777777" w:rsidR="009E2BF2" w:rsidRPr="00F52285" w:rsidRDefault="009E2BF2" w:rsidP="003B0E1E">
      <w:pPr>
        <w:pStyle w:val="Prrafodelista"/>
        <w:tabs>
          <w:tab w:val="left" w:pos="284"/>
        </w:tabs>
        <w:spacing w:line="276" w:lineRule="auto"/>
        <w:ind w:left="0" w:right="-142"/>
        <w:jc w:val="both"/>
        <w:rPr>
          <w:rFonts w:ascii="Arial" w:eastAsia="Calibri" w:hAnsi="Arial" w:cs="Arial"/>
          <w:b/>
          <w:sz w:val="22"/>
        </w:rPr>
      </w:pPr>
    </w:p>
    <w:p w14:paraId="5DAAD764" w14:textId="77777777" w:rsidR="009E2BF2" w:rsidRPr="00F52285" w:rsidRDefault="00646553" w:rsidP="003B0E1E">
      <w:pPr>
        <w:pStyle w:val="Prrafodelista"/>
        <w:tabs>
          <w:tab w:val="left" w:pos="284"/>
        </w:tabs>
        <w:spacing w:line="276" w:lineRule="auto"/>
        <w:ind w:left="0" w:right="-142"/>
        <w:jc w:val="both"/>
        <w:rPr>
          <w:rFonts w:ascii="Arial" w:eastAsia="Calibri" w:hAnsi="Arial" w:cs="Arial"/>
          <w:sz w:val="22"/>
        </w:rPr>
      </w:pPr>
      <w:r w:rsidRPr="00F52285">
        <w:rPr>
          <w:rFonts w:ascii="Arial" w:eastAsia="Calibri" w:hAnsi="Arial" w:cs="Arial"/>
          <w:b/>
          <w:sz w:val="22"/>
        </w:rPr>
        <w:t>3. Respuesta</w:t>
      </w:r>
    </w:p>
    <w:p w14:paraId="2ED40220" w14:textId="77777777" w:rsidR="00365324" w:rsidRPr="00F52285" w:rsidRDefault="00365324" w:rsidP="003B0E1E">
      <w:pPr>
        <w:spacing w:line="276" w:lineRule="auto"/>
        <w:ind w:right="-142"/>
        <w:jc w:val="both"/>
        <w:rPr>
          <w:rFonts w:ascii="Arial" w:eastAsia="Calibri" w:hAnsi="Arial" w:cs="Arial"/>
          <w:i/>
          <w:sz w:val="22"/>
        </w:rPr>
      </w:pPr>
    </w:p>
    <w:p w14:paraId="166251AE" w14:textId="77777777" w:rsidR="009E2BF2" w:rsidRPr="00F52285" w:rsidRDefault="0055160F" w:rsidP="003B0E1E">
      <w:pPr>
        <w:tabs>
          <w:tab w:val="left" w:pos="426"/>
        </w:tabs>
        <w:spacing w:line="276" w:lineRule="auto"/>
        <w:ind w:left="709" w:right="-142"/>
        <w:jc w:val="both"/>
        <w:rPr>
          <w:rFonts w:ascii="Arial" w:eastAsia="Calibri" w:hAnsi="Arial" w:cs="Arial"/>
          <w:sz w:val="22"/>
        </w:rPr>
      </w:pPr>
      <w:r w:rsidRPr="00F52285">
        <w:rPr>
          <w:rFonts w:ascii="Arial" w:eastAsia="Calibri" w:hAnsi="Arial" w:cs="Arial"/>
          <w:sz w:val="22"/>
        </w:rPr>
        <w:t xml:space="preserve">«MG: Media geométrica de los tres menores valores. Esto genera confusión e </w:t>
      </w:r>
      <w:r w:rsidR="00B568EA" w:rsidRPr="00F52285">
        <w:rPr>
          <w:rFonts w:ascii="Arial" w:eastAsia="Calibri" w:hAnsi="Arial" w:cs="Arial"/>
          <w:sz w:val="22"/>
        </w:rPr>
        <w:t>induce</w:t>
      </w:r>
      <w:r w:rsidRPr="00F52285">
        <w:rPr>
          <w:rFonts w:ascii="Arial" w:eastAsia="Calibri" w:hAnsi="Arial" w:cs="Arial"/>
          <w:sz w:val="22"/>
        </w:rPr>
        <w:t xml:space="preserve"> a un error de interpretación a los proponentes, debido a que no se sabe si </w:t>
      </w:r>
      <w:r w:rsidRPr="00F52285">
        <w:rPr>
          <w:rFonts w:ascii="Arial" w:eastAsia="Calibri" w:hAnsi="Arial" w:cs="Arial"/>
          <w:sz w:val="22"/>
        </w:rPr>
        <w:lastRenderedPageBreak/>
        <w:t>se calcula la media geométrica con todas las propuestas hábiles o con los tres menores valores que son matemáticamente muy diferentes</w:t>
      </w:r>
      <w:r w:rsidR="00B568EA" w:rsidRPr="00F52285">
        <w:rPr>
          <w:rFonts w:ascii="Arial" w:eastAsia="Calibri" w:hAnsi="Arial" w:cs="Arial"/>
          <w:sz w:val="22"/>
        </w:rPr>
        <w:t>. […] En el proceso de licitación 001 de 2020 de la Alcaldía de Peque, toma la media geométrica de los tres más bajos a sabiendas que éramos los tres habilitados</w:t>
      </w:r>
      <w:r w:rsidRPr="00F52285">
        <w:rPr>
          <w:rFonts w:ascii="Arial" w:eastAsia="Calibri" w:hAnsi="Arial" w:cs="Arial"/>
          <w:sz w:val="22"/>
        </w:rPr>
        <w:t>»</w:t>
      </w:r>
    </w:p>
    <w:p w14:paraId="54E441B3" w14:textId="77777777" w:rsidR="00365324" w:rsidRPr="00F52285" w:rsidRDefault="00365324" w:rsidP="003B0E1E">
      <w:pPr>
        <w:tabs>
          <w:tab w:val="left" w:pos="426"/>
        </w:tabs>
        <w:spacing w:line="276" w:lineRule="auto"/>
        <w:ind w:left="709" w:right="-142"/>
        <w:jc w:val="both"/>
        <w:rPr>
          <w:rFonts w:ascii="Arial" w:eastAsia="Calibri" w:hAnsi="Arial" w:cs="Arial"/>
          <w:sz w:val="22"/>
        </w:rPr>
      </w:pPr>
    </w:p>
    <w:p w14:paraId="53B9406D" w14:textId="3840A36C" w:rsidR="00B568EA" w:rsidRPr="00F52285" w:rsidRDefault="00646553" w:rsidP="003B0E1E">
      <w:pPr>
        <w:spacing w:before="120" w:after="120" w:line="276" w:lineRule="auto"/>
        <w:ind w:right="-142"/>
        <w:jc w:val="both"/>
        <w:rPr>
          <w:rFonts w:ascii="Arial" w:eastAsia="Calibri" w:hAnsi="Arial" w:cs="Arial"/>
          <w:sz w:val="22"/>
        </w:rPr>
      </w:pPr>
      <w:r w:rsidRPr="00F52285">
        <w:rPr>
          <w:rFonts w:ascii="Arial" w:eastAsia="Calibri" w:hAnsi="Arial" w:cs="Arial"/>
          <w:sz w:val="22"/>
        </w:rPr>
        <w:t>El numeral 4.1.4. del «Documento Base» señala los métodos de ponderación de la propuesta económica presentando 4 alternativas, una de las cuales es la media geométrica, la cual será seleccionada de acuerdo con la Tasa Representativa del Mercado –TRM–. La fórmula para calcular la media geométrica define el factor «MG» señalando que hace referencia a los tres menores valores de las ofertas, pero esto no quiere decir que solo se tienen en cuenta esas ofertas, ya que los demás factores de la fórmula y la definición del método de media geométrica establecida en el «Documento Base», indican que se tienen en cuenta los valores de todas las ofertas habilitadas y no solo las ofertas con los 3 menores valores habilitados.</w:t>
      </w:r>
    </w:p>
    <w:p w14:paraId="04E96B9F" w14:textId="77777777" w:rsidR="009E2BF2" w:rsidRPr="00F52285" w:rsidRDefault="00B568EA" w:rsidP="003B0E1E">
      <w:pPr>
        <w:spacing w:before="120" w:after="120" w:line="276" w:lineRule="auto"/>
        <w:ind w:right="-142" w:firstLine="709"/>
        <w:jc w:val="both"/>
        <w:rPr>
          <w:rFonts w:ascii="Arial" w:eastAsia="Arial" w:hAnsi="Arial" w:cs="Arial"/>
          <w:sz w:val="22"/>
        </w:rPr>
      </w:pPr>
      <w:r w:rsidRPr="00F52285">
        <w:rPr>
          <w:rFonts w:ascii="Arial" w:eastAsia="Arial" w:hAnsi="Arial" w:cs="Arial"/>
          <w:sz w:val="22"/>
        </w:rPr>
        <w:t>De conformidad con la competencia otorgada según el numeral 8 del artículo 11 y numeral 5 del artículo 3 del Decreto Ley 4170 de 2011, la Agencia Nacional de Contratación Pública Colombia Compra Eficiente atiende consultas relativas a temas contractuales en lo que se refiere a la aplicación de normas de carácter general en materia de compras y contratación pública; por tal motivo, Colombia Compra Eficiente carece de competencia para decidir sobre la legalidad de las decisiones tomadas por las entidades estatales con ocasión de su actividad contractual, o para pronunciarse respecto de actuaciones contractuales específicas.</w:t>
      </w:r>
    </w:p>
    <w:p w14:paraId="09D253F5" w14:textId="77777777" w:rsidR="009E2BF2" w:rsidRPr="00F52285" w:rsidRDefault="00646553" w:rsidP="003B0E1E">
      <w:pPr>
        <w:spacing w:before="120" w:after="120" w:line="276" w:lineRule="auto"/>
        <w:ind w:right="-142"/>
        <w:jc w:val="both"/>
        <w:rPr>
          <w:rFonts w:ascii="Arial" w:eastAsia="Calibri" w:hAnsi="Arial" w:cs="Arial"/>
          <w:sz w:val="22"/>
        </w:rPr>
      </w:pPr>
      <w:r w:rsidRPr="00F52285">
        <w:rPr>
          <w:rFonts w:ascii="Arial" w:eastAsia="Calibri" w:hAnsi="Arial" w:cs="Arial"/>
          <w:sz w:val="22"/>
        </w:rPr>
        <w:t>Este concepto tiene el alcance previsto en el artículo 28 del Código de Procedimiento Administrativo y de lo Contencioso Administrativo.</w:t>
      </w:r>
    </w:p>
    <w:p w14:paraId="64EBA363" w14:textId="77777777" w:rsidR="009E2BF2" w:rsidRPr="00F52285" w:rsidRDefault="009E2BF2" w:rsidP="003B0E1E">
      <w:pPr>
        <w:spacing w:line="276" w:lineRule="auto"/>
        <w:ind w:right="-142"/>
        <w:jc w:val="both"/>
        <w:rPr>
          <w:rFonts w:ascii="Arial" w:eastAsia="Calibri" w:hAnsi="Arial" w:cs="Arial"/>
          <w:sz w:val="22"/>
        </w:rPr>
      </w:pPr>
    </w:p>
    <w:p w14:paraId="3EE7EE72" w14:textId="77777777" w:rsidR="009E2BF2" w:rsidRPr="00F52285" w:rsidRDefault="00646553" w:rsidP="003B0E1E">
      <w:pPr>
        <w:ind w:right="-142"/>
        <w:jc w:val="both"/>
        <w:rPr>
          <w:rFonts w:ascii="Arial" w:eastAsia="Calibri" w:hAnsi="Arial" w:cs="Arial"/>
          <w:sz w:val="22"/>
        </w:rPr>
      </w:pPr>
      <w:r w:rsidRPr="00F52285">
        <w:rPr>
          <w:noProof/>
          <w:lang w:val="en-US"/>
        </w:rPr>
        <mc:AlternateContent>
          <mc:Choice Requires="wps">
            <w:drawing>
              <wp:anchor distT="0" distB="0" distL="114300" distR="114300" simplePos="0" relativeHeight="251659264" behindDoc="0" locked="0" layoutInCell="1" allowOverlap="1" wp14:anchorId="472A7F5F" wp14:editId="44653B39">
                <wp:simplePos x="0" y="0"/>
                <wp:positionH relativeFrom="page">
                  <wp:posOffset>1514475</wp:posOffset>
                </wp:positionH>
                <wp:positionV relativeFrom="paragraph">
                  <wp:posOffset>10160</wp:posOffset>
                </wp:positionV>
                <wp:extent cx="4686300"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anchor>
            </w:drawing>
          </mc:Choice>
          <mc:Fallback xmlns:wpsCustomData="http://www.wps.cn/officeDocument/2013/wpsCustomData"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_x0000_s1026" o:spid="_x0000_s1026" o:spt="20" style="position:absolute;left:0pt;margin-left:119.25pt;margin-top:0.8pt;height:0pt;width:369pt;mso-position-horizontal-relative:page;z-index:251659264;mso-width-relative:page;mso-height-relative:page;" filled="f" stroked="t" coordsize="21600,21600" o:gfxdata="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cZnV7TAAAA&#10;BwEAAA8AAAAAAAAAAQAgAAAAIgAAAGRycy9kb3ducmV2LnhtbFBLAQIUABQAAAAIAIdO4kCtMqAq&#10;sAEAAFkDAAAOAAAAAAAAAAEAIAAAACIBAABkcnMvZTJvRG9jLnhtbFBLBQYAAAAABgAGAFkBAABE&#10;BQAAAAA=&#10;">
                <v:fill on="f" focussize="0,0"/>
                <v:stroke color="#DBDBDB" joinstyle="round"/>
                <v:imagedata o:title=""/>
                <o:lock v:ext="edit" aspectratio="f"/>
              </v:line>
            </w:pict>
          </mc:Fallback>
        </mc:AlternateContent>
      </w:r>
    </w:p>
    <w:p w14:paraId="62B37151" w14:textId="77777777" w:rsidR="009E2BF2" w:rsidRPr="00F52285" w:rsidRDefault="00646553" w:rsidP="003B0E1E">
      <w:pPr>
        <w:ind w:right="-142"/>
        <w:rPr>
          <w:rFonts w:ascii="Arial" w:eastAsia="Times New Roman" w:hAnsi="Arial" w:cs="Arial"/>
          <w:sz w:val="22"/>
          <w:lang w:eastAsia="es-CO"/>
        </w:rPr>
      </w:pPr>
      <w:r w:rsidRPr="00F52285">
        <w:rPr>
          <w:rFonts w:ascii="Arial" w:eastAsia="Times New Roman" w:hAnsi="Arial" w:cs="Arial"/>
          <w:sz w:val="22"/>
          <w:lang w:eastAsia="es-CO"/>
        </w:rPr>
        <w:t>Atentamente,</w:t>
      </w:r>
    </w:p>
    <w:p w14:paraId="190F0B77" w14:textId="77777777" w:rsidR="009E2BF2" w:rsidRPr="00F52285" w:rsidRDefault="009E2BF2" w:rsidP="003B0E1E">
      <w:pPr>
        <w:ind w:right="-142"/>
        <w:rPr>
          <w:rFonts w:ascii="Arial" w:eastAsia="Times New Roman" w:hAnsi="Arial" w:cs="Arial"/>
          <w:sz w:val="22"/>
          <w:lang w:eastAsia="es-CO"/>
        </w:rPr>
      </w:pPr>
    </w:p>
    <w:p w14:paraId="7137A24E" w14:textId="145A82FC" w:rsidR="009E2BF2" w:rsidRPr="00F52285" w:rsidRDefault="0051032D" w:rsidP="003B0E1E">
      <w:pPr>
        <w:ind w:right="-142"/>
        <w:jc w:val="center"/>
        <w:rPr>
          <w:rFonts w:ascii="Arial" w:eastAsia="Times New Roman" w:hAnsi="Arial" w:cs="Arial"/>
          <w:sz w:val="22"/>
          <w:lang w:eastAsia="es-CO"/>
        </w:rPr>
      </w:pPr>
      <w:r>
        <w:rPr>
          <w:noProof/>
          <w:lang w:val="en-US"/>
        </w:rPr>
        <w:drawing>
          <wp:inline distT="0" distB="0" distL="0" distR="0" wp14:anchorId="6F5FCB3F" wp14:editId="49052E97">
            <wp:extent cx="2773045" cy="98869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7E5A6E83" w14:textId="77777777" w:rsidR="009E2BF2" w:rsidRPr="00F52285" w:rsidRDefault="009E2BF2" w:rsidP="003B0E1E">
      <w:pPr>
        <w:ind w:right="-142"/>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E2BF2" w:rsidRPr="00F52285" w14:paraId="4EB7DE4C" w14:textId="77777777">
        <w:trPr>
          <w:trHeight w:val="315"/>
        </w:trPr>
        <w:tc>
          <w:tcPr>
            <w:tcW w:w="488" w:type="dxa"/>
            <w:vAlign w:val="center"/>
          </w:tcPr>
          <w:p w14:paraId="6E4E923F" w14:textId="77777777" w:rsidR="009E2BF2" w:rsidRPr="00F52285" w:rsidRDefault="00646553" w:rsidP="003B0E1E">
            <w:pPr>
              <w:ind w:right="-142"/>
              <w:rPr>
                <w:rFonts w:ascii="Arial" w:eastAsia="Times New Roman" w:hAnsi="Arial" w:cs="Arial"/>
                <w:sz w:val="16"/>
                <w:szCs w:val="16"/>
                <w:lang w:eastAsia="es-ES"/>
              </w:rPr>
            </w:pPr>
            <w:r w:rsidRPr="00F52285">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tcPr>
          <w:p w14:paraId="574D6210" w14:textId="77777777" w:rsidR="009E2BF2" w:rsidRPr="00F52285" w:rsidRDefault="00646553" w:rsidP="003B0E1E">
            <w:pPr>
              <w:ind w:right="-142"/>
              <w:rPr>
                <w:rFonts w:ascii="Arial" w:eastAsia="Times New Roman" w:hAnsi="Arial" w:cs="Arial"/>
                <w:sz w:val="16"/>
                <w:szCs w:val="16"/>
                <w:lang w:eastAsia="es-ES"/>
              </w:rPr>
            </w:pPr>
            <w:r w:rsidRPr="00F52285">
              <w:rPr>
                <w:rFonts w:ascii="Arial" w:eastAsia="Times New Roman" w:hAnsi="Arial" w:cs="Arial"/>
                <w:sz w:val="16"/>
                <w:szCs w:val="16"/>
                <w:lang w:eastAsia="es-ES"/>
              </w:rPr>
              <w:t>Omar Germán Mejía Olmos</w:t>
            </w:r>
          </w:p>
        </w:tc>
      </w:tr>
      <w:tr w:rsidR="009E2BF2" w:rsidRPr="00F52285" w14:paraId="285639CA" w14:textId="77777777">
        <w:trPr>
          <w:trHeight w:val="330"/>
        </w:trPr>
        <w:tc>
          <w:tcPr>
            <w:tcW w:w="488" w:type="dxa"/>
            <w:vAlign w:val="center"/>
          </w:tcPr>
          <w:p w14:paraId="7ED7E551" w14:textId="77777777" w:rsidR="009E2BF2" w:rsidRPr="00F52285" w:rsidRDefault="00646553" w:rsidP="003B0E1E">
            <w:pPr>
              <w:ind w:right="-142"/>
              <w:rPr>
                <w:rFonts w:ascii="Arial" w:eastAsia="Times New Roman" w:hAnsi="Arial" w:cs="Arial"/>
                <w:sz w:val="16"/>
                <w:szCs w:val="16"/>
                <w:lang w:eastAsia="es-ES"/>
              </w:rPr>
            </w:pPr>
            <w:r w:rsidRPr="00F52285">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tcPr>
          <w:p w14:paraId="3B856137" w14:textId="22CA2A0C" w:rsidR="009E2BF2" w:rsidRPr="00F52285" w:rsidRDefault="00C536A1" w:rsidP="003B0E1E">
            <w:pPr>
              <w:ind w:right="-142"/>
              <w:rPr>
                <w:rFonts w:ascii="Arial" w:eastAsia="Times New Roman" w:hAnsi="Arial" w:cs="Arial"/>
                <w:sz w:val="16"/>
                <w:szCs w:val="16"/>
                <w:lang w:eastAsia="es-ES"/>
              </w:rPr>
            </w:pPr>
            <w:r>
              <w:rPr>
                <w:rFonts w:ascii="Arial" w:eastAsia="Times New Roman" w:hAnsi="Arial" w:cs="Arial"/>
                <w:sz w:val="16"/>
                <w:szCs w:val="16"/>
                <w:lang w:eastAsia="es-ES"/>
              </w:rPr>
              <w:t>Cristian Andrés Díaz Díez</w:t>
            </w:r>
          </w:p>
          <w:p w14:paraId="06EF6083" w14:textId="40BBD099" w:rsidR="009E2BF2" w:rsidRPr="00F52285" w:rsidRDefault="00C536A1" w:rsidP="003B0E1E">
            <w:pPr>
              <w:ind w:right="-142"/>
              <w:rPr>
                <w:rFonts w:ascii="Arial" w:eastAsia="Times New Roman" w:hAnsi="Arial" w:cs="Arial"/>
                <w:sz w:val="16"/>
                <w:szCs w:val="16"/>
                <w:lang w:eastAsia="es-ES"/>
              </w:rPr>
            </w:pPr>
            <w:r>
              <w:rPr>
                <w:rFonts w:ascii="Arial" w:eastAsia="Times New Roman" w:hAnsi="Arial" w:cs="Arial"/>
                <w:sz w:val="16"/>
                <w:szCs w:val="16"/>
                <w:lang w:eastAsia="es-ES"/>
              </w:rPr>
              <w:t xml:space="preserve">Contratista, </w:t>
            </w:r>
            <w:r w:rsidR="00646553" w:rsidRPr="00F52285">
              <w:rPr>
                <w:rFonts w:ascii="Arial" w:eastAsia="Times New Roman" w:hAnsi="Arial" w:cs="Arial"/>
                <w:sz w:val="16"/>
                <w:szCs w:val="16"/>
                <w:lang w:eastAsia="es-ES"/>
              </w:rPr>
              <w:t>Subdirec</w:t>
            </w:r>
            <w:r>
              <w:rPr>
                <w:rFonts w:ascii="Arial" w:eastAsia="Times New Roman" w:hAnsi="Arial" w:cs="Arial"/>
                <w:sz w:val="16"/>
                <w:szCs w:val="16"/>
                <w:lang w:eastAsia="es-ES"/>
              </w:rPr>
              <w:t>ción</w:t>
            </w:r>
            <w:r w:rsidR="00646553" w:rsidRPr="00F52285">
              <w:rPr>
                <w:rFonts w:ascii="Arial" w:eastAsia="Times New Roman" w:hAnsi="Arial" w:cs="Arial"/>
                <w:sz w:val="16"/>
                <w:szCs w:val="16"/>
                <w:lang w:eastAsia="es-ES"/>
              </w:rPr>
              <w:t xml:space="preserve"> de Gestión Contractual</w:t>
            </w:r>
          </w:p>
        </w:tc>
      </w:tr>
      <w:tr w:rsidR="009E2BF2" w:rsidRPr="00F52285" w14:paraId="224478D3" w14:textId="77777777">
        <w:trPr>
          <w:trHeight w:val="300"/>
        </w:trPr>
        <w:tc>
          <w:tcPr>
            <w:tcW w:w="488" w:type="dxa"/>
            <w:vAlign w:val="center"/>
          </w:tcPr>
          <w:p w14:paraId="0EF3B6B4" w14:textId="77777777" w:rsidR="009E2BF2" w:rsidRPr="00F52285" w:rsidRDefault="00646553" w:rsidP="003B0E1E">
            <w:pPr>
              <w:ind w:right="-142"/>
              <w:rPr>
                <w:rFonts w:ascii="Arial" w:eastAsia="Times New Roman" w:hAnsi="Arial" w:cs="Arial"/>
                <w:sz w:val="16"/>
                <w:szCs w:val="16"/>
                <w:lang w:eastAsia="es-ES"/>
              </w:rPr>
            </w:pPr>
            <w:r w:rsidRPr="00F52285">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tcPr>
          <w:p w14:paraId="36B4D356" w14:textId="77777777" w:rsidR="009E2BF2" w:rsidRPr="00F52285" w:rsidRDefault="00646553" w:rsidP="003B0E1E">
            <w:pPr>
              <w:ind w:right="-142"/>
              <w:rPr>
                <w:rFonts w:ascii="Arial" w:eastAsia="Times New Roman" w:hAnsi="Arial" w:cs="Arial"/>
                <w:sz w:val="16"/>
                <w:szCs w:val="16"/>
                <w:lang w:eastAsia="es-ES"/>
              </w:rPr>
            </w:pPr>
            <w:r w:rsidRPr="00F52285">
              <w:rPr>
                <w:rFonts w:ascii="Arial" w:eastAsia="Times New Roman" w:hAnsi="Arial" w:cs="Arial"/>
                <w:sz w:val="16"/>
                <w:szCs w:val="16"/>
                <w:lang w:eastAsia="es-ES"/>
              </w:rPr>
              <w:t>Fabián Gonzalo Marín Cortés</w:t>
            </w:r>
          </w:p>
          <w:p w14:paraId="521C49B5" w14:textId="77777777" w:rsidR="009E2BF2" w:rsidRPr="00F52285" w:rsidRDefault="00646553" w:rsidP="003B0E1E">
            <w:pPr>
              <w:ind w:right="-142"/>
              <w:rPr>
                <w:rFonts w:ascii="Arial" w:eastAsia="Times New Roman" w:hAnsi="Arial" w:cs="Arial"/>
                <w:sz w:val="16"/>
                <w:szCs w:val="16"/>
                <w:lang w:eastAsia="es-ES"/>
              </w:rPr>
            </w:pPr>
            <w:r w:rsidRPr="00F52285">
              <w:rPr>
                <w:rFonts w:ascii="Arial" w:eastAsia="Times New Roman" w:hAnsi="Arial" w:cs="Arial"/>
                <w:sz w:val="16"/>
                <w:szCs w:val="16"/>
                <w:lang w:eastAsia="es-ES"/>
              </w:rPr>
              <w:t>Subdirector de Gestión Contractual</w:t>
            </w:r>
          </w:p>
        </w:tc>
      </w:tr>
      <w:tr w:rsidR="009E2BF2" w:rsidRPr="00F52285" w14:paraId="7DBE54F4" w14:textId="77777777">
        <w:trPr>
          <w:trHeight w:val="300"/>
        </w:trPr>
        <w:tc>
          <w:tcPr>
            <w:tcW w:w="488" w:type="dxa"/>
            <w:vAlign w:val="center"/>
          </w:tcPr>
          <w:p w14:paraId="37DC08D9" w14:textId="77777777" w:rsidR="009E2BF2" w:rsidRPr="00F52285" w:rsidRDefault="00646553" w:rsidP="003B0E1E">
            <w:pPr>
              <w:ind w:right="-142"/>
              <w:rPr>
                <w:rFonts w:ascii="Arial" w:eastAsia="Times New Roman" w:hAnsi="Arial" w:cs="Arial"/>
                <w:sz w:val="16"/>
                <w:szCs w:val="16"/>
                <w:lang w:eastAsia="es-ES"/>
              </w:rPr>
            </w:pPr>
            <w:r w:rsidRPr="00F52285">
              <w:rPr>
                <w:rFonts w:ascii="Arial" w:eastAsia="Times New Roman"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tcPr>
          <w:p w14:paraId="0F4C50A4" w14:textId="77777777" w:rsidR="009E2BF2" w:rsidRPr="00F52285" w:rsidRDefault="00646553" w:rsidP="003B0E1E">
            <w:pPr>
              <w:ind w:right="-142"/>
              <w:rPr>
                <w:rFonts w:ascii="Arial" w:eastAsia="Times New Roman" w:hAnsi="Arial" w:cs="Arial"/>
                <w:sz w:val="16"/>
                <w:szCs w:val="16"/>
                <w:lang w:eastAsia="es-ES"/>
              </w:rPr>
            </w:pPr>
            <w:r w:rsidRPr="00F52285">
              <w:rPr>
                <w:rFonts w:ascii="Arial" w:eastAsia="Times New Roman" w:hAnsi="Arial" w:cs="Arial"/>
                <w:sz w:val="16"/>
                <w:szCs w:val="16"/>
                <w:lang w:eastAsia="es-ES"/>
              </w:rPr>
              <w:t>0</w:t>
            </w:r>
          </w:p>
        </w:tc>
      </w:tr>
      <w:bookmarkEnd w:id="0"/>
      <w:bookmarkEnd w:id="1"/>
    </w:tbl>
    <w:p w14:paraId="0B1ED8F1" w14:textId="77777777" w:rsidR="009E2BF2" w:rsidRPr="00F52285" w:rsidRDefault="009E2BF2" w:rsidP="003B0E1E">
      <w:pPr>
        <w:ind w:right="-142"/>
      </w:pPr>
    </w:p>
    <w:sectPr w:rsidR="009E2BF2" w:rsidRPr="00F52285" w:rsidSect="00365324">
      <w:headerReference w:type="default" r:id="rId13"/>
      <w:footerReference w:type="default" r:id="rId14"/>
      <w:pgSz w:w="12240" w:h="15840"/>
      <w:pgMar w:top="1779" w:right="2034"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46164" w14:textId="77777777" w:rsidR="00085FF8" w:rsidRDefault="00085FF8">
      <w:r>
        <w:separator/>
      </w:r>
    </w:p>
  </w:endnote>
  <w:endnote w:type="continuationSeparator" w:id="0">
    <w:p w14:paraId="29262D58" w14:textId="77777777" w:rsidR="00085FF8" w:rsidRDefault="0008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Calibri">
    <w:altName w:val="Times New Roman"/>
    <w:charset w:val="00"/>
    <w:family w:val="roman"/>
    <w:pitch w:val="default"/>
  </w:font>
  <w:font w:name="Arial,Times New 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87F03" w14:textId="6479DF10" w:rsidR="009E2BF2" w:rsidRDefault="00646553">
    <w:pPr>
      <w:pStyle w:val="Piedepgina"/>
      <w:jc w:val="right"/>
      <w:rPr>
        <w:rFonts w:ascii="Arial" w:hAnsi="Arial" w:cs="Arial"/>
        <w:color w:val="7F7F7F" w:themeColor="text1" w:themeTint="80"/>
        <w:sz w:val="16"/>
        <w:szCs w:val="16"/>
      </w:rPr>
    </w:pPr>
    <w:r>
      <w:rPr>
        <w:rFonts w:ascii="Arial" w:hAnsi="Arial" w:cs="Arial"/>
        <w:bCs/>
        <w:color w:val="7F7F7F" w:themeColor="text1" w:themeTint="80"/>
        <w:sz w:val="16"/>
        <w:szCs w:val="16"/>
      </w:rPr>
      <w:t xml:space="preserve">Página </w:t>
    </w:r>
    <w:r>
      <w:rPr>
        <w:rFonts w:ascii="Arial" w:hAnsi="Arial" w:cs="Arial"/>
        <w:b/>
        <w:bCs/>
        <w:color w:val="7F7F7F" w:themeColor="text1" w:themeTint="80"/>
        <w:sz w:val="16"/>
        <w:szCs w:val="16"/>
      </w:rPr>
      <w:fldChar w:fldCharType="begin"/>
    </w:r>
    <w:r>
      <w:rPr>
        <w:rFonts w:ascii="Arial" w:hAnsi="Arial" w:cs="Arial"/>
        <w:b/>
        <w:bCs/>
        <w:color w:val="7F7F7F" w:themeColor="text1" w:themeTint="80"/>
        <w:sz w:val="16"/>
        <w:szCs w:val="16"/>
      </w:rPr>
      <w:instrText>PAGE  \* Arabic  \* MERGEFORMAT</w:instrText>
    </w:r>
    <w:r>
      <w:rPr>
        <w:rFonts w:ascii="Arial" w:hAnsi="Arial" w:cs="Arial"/>
        <w:b/>
        <w:bCs/>
        <w:color w:val="7F7F7F" w:themeColor="text1" w:themeTint="80"/>
        <w:sz w:val="16"/>
        <w:szCs w:val="16"/>
      </w:rPr>
      <w:fldChar w:fldCharType="separate"/>
    </w:r>
    <w:r w:rsidR="00FC298D">
      <w:rPr>
        <w:rFonts w:ascii="Arial" w:hAnsi="Arial" w:cs="Arial"/>
        <w:b/>
        <w:bCs/>
        <w:noProof/>
        <w:color w:val="7F7F7F" w:themeColor="text1" w:themeTint="80"/>
        <w:sz w:val="16"/>
        <w:szCs w:val="16"/>
      </w:rPr>
      <w:t>1</w:t>
    </w:r>
    <w:r>
      <w:rPr>
        <w:rFonts w:ascii="Arial" w:hAnsi="Arial" w:cs="Arial"/>
        <w:b/>
        <w:bCs/>
        <w:color w:val="7F7F7F" w:themeColor="text1" w:themeTint="80"/>
        <w:sz w:val="16"/>
        <w:szCs w:val="16"/>
      </w:rPr>
      <w:fldChar w:fldCharType="end"/>
    </w:r>
    <w:r>
      <w:rPr>
        <w:rFonts w:ascii="Arial" w:hAnsi="Arial" w:cs="Arial"/>
        <w:color w:val="7F7F7F" w:themeColor="text1" w:themeTint="80"/>
        <w:sz w:val="16"/>
        <w:szCs w:val="16"/>
      </w:rPr>
      <w:t xml:space="preserve"> de </w:t>
    </w:r>
    <w:r>
      <w:rPr>
        <w:rFonts w:ascii="Arial" w:hAnsi="Arial" w:cs="Arial"/>
        <w:b/>
        <w:bCs/>
        <w:color w:val="7F7F7F" w:themeColor="text1" w:themeTint="80"/>
        <w:sz w:val="16"/>
        <w:szCs w:val="16"/>
      </w:rPr>
      <w:fldChar w:fldCharType="begin"/>
    </w:r>
    <w:r>
      <w:rPr>
        <w:rFonts w:ascii="Arial" w:hAnsi="Arial" w:cs="Arial"/>
        <w:b/>
        <w:bCs/>
        <w:color w:val="7F7F7F" w:themeColor="text1" w:themeTint="80"/>
        <w:sz w:val="16"/>
        <w:szCs w:val="16"/>
      </w:rPr>
      <w:instrText>NUMPAGES  \* Arabic  \* MERGEFORMAT</w:instrText>
    </w:r>
    <w:r>
      <w:rPr>
        <w:rFonts w:ascii="Arial" w:hAnsi="Arial" w:cs="Arial"/>
        <w:b/>
        <w:bCs/>
        <w:color w:val="7F7F7F" w:themeColor="text1" w:themeTint="80"/>
        <w:sz w:val="16"/>
        <w:szCs w:val="16"/>
      </w:rPr>
      <w:fldChar w:fldCharType="separate"/>
    </w:r>
    <w:r w:rsidR="00FC298D">
      <w:rPr>
        <w:rFonts w:ascii="Arial" w:hAnsi="Arial" w:cs="Arial"/>
        <w:b/>
        <w:bCs/>
        <w:noProof/>
        <w:color w:val="7F7F7F" w:themeColor="text1" w:themeTint="80"/>
        <w:sz w:val="16"/>
        <w:szCs w:val="16"/>
      </w:rPr>
      <w:t>5</w:t>
    </w:r>
    <w:r>
      <w:rPr>
        <w:rFonts w:ascii="Arial" w:hAnsi="Arial" w:cs="Arial"/>
        <w:b/>
        <w:bCs/>
        <w:color w:val="7F7F7F" w:themeColor="text1" w:themeTint="80"/>
        <w:sz w:val="16"/>
        <w:szCs w:val="16"/>
      </w:rPr>
      <w:fldChar w:fldCharType="end"/>
    </w:r>
  </w:p>
  <w:p w14:paraId="468D52DB" w14:textId="77777777" w:rsidR="009E2BF2" w:rsidRDefault="00646553">
    <w:pPr>
      <w:pStyle w:val="Piedepgina"/>
      <w:jc w:val="center"/>
    </w:pPr>
    <w:r>
      <w:rPr>
        <w:noProof/>
        <w:lang w:val="en-US"/>
      </w:rPr>
      <w:drawing>
        <wp:inline distT="0" distB="0" distL="0" distR="0" wp14:anchorId="48E581C4" wp14:editId="27B0264E">
          <wp:extent cx="4241800" cy="59499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36B08150" w14:textId="685B62F6" w:rsidR="009E2BF2" w:rsidRDefault="009E2BF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5063D" w14:textId="77777777" w:rsidR="00085FF8" w:rsidRDefault="00085FF8">
      <w:r>
        <w:separator/>
      </w:r>
    </w:p>
  </w:footnote>
  <w:footnote w:type="continuationSeparator" w:id="0">
    <w:p w14:paraId="5E0108D0" w14:textId="77777777" w:rsidR="00085FF8" w:rsidRDefault="00085FF8">
      <w:r>
        <w:continuationSeparator/>
      </w:r>
    </w:p>
  </w:footnote>
  <w:footnote w:id="1">
    <w:p w14:paraId="19400345" w14:textId="77777777" w:rsidR="009E2BF2" w:rsidRDefault="00646553">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Documento Base o Pliego Tipo, numeral 4.1.4.: «La Entidad seleccionará el método de ponderación de la propuesta económica de acuerdo con las siguientes alternativas:</w:t>
      </w:r>
    </w:p>
    <w:p w14:paraId="47CA22E4" w14:textId="77777777" w:rsidR="009E2BF2" w:rsidRDefault="009E2BF2">
      <w:pPr>
        <w:pStyle w:val="Textonotapie"/>
        <w:jc w:val="both"/>
        <w:rPr>
          <w:rFonts w:ascii="Arial" w:hAnsi="Arial" w:cs="Arial"/>
          <w:sz w:val="19"/>
          <w:szCs w:val="19"/>
        </w:rPr>
      </w:pPr>
    </w:p>
    <w:tbl>
      <w:tblPr>
        <w:tblStyle w:val="Tablaconcuadrcula"/>
        <w:tblW w:w="0" w:type="auto"/>
        <w:jc w:val="center"/>
        <w:tblLook w:val="04A0" w:firstRow="1" w:lastRow="0" w:firstColumn="1" w:lastColumn="0" w:noHBand="0" w:noVBand="1"/>
      </w:tblPr>
      <w:tblGrid>
        <w:gridCol w:w="1560"/>
        <w:gridCol w:w="1984"/>
      </w:tblGrid>
      <w:tr w:rsidR="009E2BF2" w14:paraId="0C431EF8" w14:textId="77777777">
        <w:trPr>
          <w:trHeight w:val="20"/>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tcPr>
          <w:p w14:paraId="30A960D7" w14:textId="77777777" w:rsidR="009E2BF2" w:rsidRDefault="00646553">
            <w:pPr>
              <w:spacing w:line="276" w:lineRule="auto"/>
              <w:jc w:val="center"/>
              <w:rPr>
                <w:rFonts w:cs="Arial"/>
                <w:b/>
                <w:bCs/>
                <w:color w:val="DBDBDB" w:themeColor="background1"/>
                <w:sz w:val="16"/>
                <w:szCs w:val="16"/>
                <w:lang w:val="es-CO"/>
              </w:rPr>
            </w:pPr>
            <w:bookmarkStart w:id="3" w:name="_Hlk511666058"/>
            <w:r>
              <w:rPr>
                <w:rFonts w:cs="Arial"/>
                <w:b/>
                <w:bCs/>
                <w:color w:val="DBDBDB" w:themeColor="background1"/>
                <w:sz w:val="16"/>
                <w:szCs w:val="16"/>
              </w:rPr>
              <w:t>Concepto</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tcPr>
          <w:p w14:paraId="6CF4F40A" w14:textId="77777777" w:rsidR="009E2BF2" w:rsidRDefault="00646553">
            <w:pPr>
              <w:spacing w:line="276" w:lineRule="auto"/>
              <w:jc w:val="center"/>
              <w:rPr>
                <w:rFonts w:cs="Arial"/>
                <w:b/>
                <w:bCs/>
                <w:color w:val="DBDBDB" w:themeColor="background1"/>
                <w:sz w:val="16"/>
                <w:szCs w:val="16"/>
              </w:rPr>
            </w:pPr>
            <w:r>
              <w:rPr>
                <w:rFonts w:cs="Arial"/>
                <w:b/>
                <w:bCs/>
                <w:color w:val="DBDBDB" w:themeColor="background1"/>
                <w:sz w:val="16"/>
                <w:szCs w:val="16"/>
              </w:rPr>
              <w:t>Método</w:t>
            </w:r>
          </w:p>
        </w:tc>
      </w:tr>
      <w:tr w:rsidR="009E2BF2" w14:paraId="1F0A9562" w14:textId="77777777">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14:paraId="0607C2F9" w14:textId="77777777" w:rsidR="009E2BF2" w:rsidRDefault="00646553">
            <w:pPr>
              <w:spacing w:line="276" w:lineRule="auto"/>
              <w:jc w:val="center"/>
              <w:rPr>
                <w:rFonts w:cs="Arial"/>
                <w:color w:val="3C3C3C" w:themeColor="background2" w:themeShade="40"/>
                <w:sz w:val="16"/>
                <w:szCs w:val="16"/>
              </w:rPr>
            </w:pPr>
            <w:r>
              <w:rPr>
                <w:rFonts w:cs="Arial"/>
                <w:sz w:val="16"/>
                <w:szCs w:val="16"/>
              </w:rPr>
              <w:t>1</w:t>
            </w:r>
          </w:p>
        </w:tc>
        <w:tc>
          <w:tcPr>
            <w:tcW w:w="1984" w:type="dxa"/>
            <w:tcBorders>
              <w:top w:val="single" w:sz="4" w:space="0" w:color="auto"/>
              <w:left w:val="single" w:sz="4" w:space="0" w:color="auto"/>
              <w:bottom w:val="single" w:sz="4" w:space="0" w:color="auto"/>
              <w:right w:val="double" w:sz="4" w:space="0" w:color="auto"/>
            </w:tcBorders>
            <w:vAlign w:val="center"/>
          </w:tcPr>
          <w:p w14:paraId="72CF8ABE" w14:textId="77777777" w:rsidR="009E2BF2" w:rsidRDefault="00646553">
            <w:pPr>
              <w:spacing w:line="276" w:lineRule="auto"/>
              <w:jc w:val="center"/>
              <w:rPr>
                <w:rFonts w:cs="Arial"/>
                <w:sz w:val="16"/>
                <w:szCs w:val="16"/>
              </w:rPr>
            </w:pPr>
            <w:r>
              <w:rPr>
                <w:rFonts w:cs="Arial"/>
                <w:sz w:val="16"/>
                <w:szCs w:val="16"/>
              </w:rPr>
              <w:t>Mediana con valor absoluto</w:t>
            </w:r>
          </w:p>
        </w:tc>
      </w:tr>
      <w:tr w:rsidR="009E2BF2" w14:paraId="507B8DCF" w14:textId="77777777">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14:paraId="74119BE7" w14:textId="77777777" w:rsidR="009E2BF2" w:rsidRDefault="00646553">
            <w:pPr>
              <w:spacing w:line="276" w:lineRule="auto"/>
              <w:jc w:val="center"/>
              <w:rPr>
                <w:rFonts w:cs="Arial"/>
                <w:sz w:val="16"/>
                <w:szCs w:val="16"/>
              </w:rPr>
            </w:pPr>
            <w:r>
              <w:rPr>
                <w:rFonts w:cs="Arial"/>
                <w:sz w:val="16"/>
                <w:szCs w:val="16"/>
              </w:rPr>
              <w:t>2</w:t>
            </w:r>
          </w:p>
        </w:tc>
        <w:tc>
          <w:tcPr>
            <w:tcW w:w="1984" w:type="dxa"/>
            <w:tcBorders>
              <w:top w:val="single" w:sz="4" w:space="0" w:color="auto"/>
              <w:left w:val="single" w:sz="4" w:space="0" w:color="auto"/>
              <w:bottom w:val="single" w:sz="4" w:space="0" w:color="auto"/>
              <w:right w:val="double" w:sz="4" w:space="0" w:color="auto"/>
            </w:tcBorders>
            <w:vAlign w:val="center"/>
          </w:tcPr>
          <w:p w14:paraId="6296DBCF" w14:textId="77777777" w:rsidR="009E2BF2" w:rsidRDefault="00646553">
            <w:pPr>
              <w:spacing w:line="276" w:lineRule="auto"/>
              <w:jc w:val="center"/>
              <w:rPr>
                <w:rFonts w:cs="Arial"/>
                <w:sz w:val="16"/>
                <w:szCs w:val="16"/>
              </w:rPr>
            </w:pPr>
            <w:r>
              <w:rPr>
                <w:rFonts w:cs="Arial"/>
                <w:sz w:val="16"/>
                <w:szCs w:val="16"/>
              </w:rPr>
              <w:t>Media geométrica</w:t>
            </w:r>
          </w:p>
        </w:tc>
      </w:tr>
      <w:tr w:rsidR="009E2BF2" w14:paraId="773107C4" w14:textId="77777777">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14:paraId="2EFC1079" w14:textId="77777777" w:rsidR="009E2BF2" w:rsidRDefault="00646553">
            <w:pPr>
              <w:spacing w:line="276" w:lineRule="auto"/>
              <w:jc w:val="center"/>
              <w:rPr>
                <w:rFonts w:cs="Arial"/>
                <w:sz w:val="16"/>
                <w:szCs w:val="16"/>
              </w:rPr>
            </w:pPr>
            <w:r>
              <w:rPr>
                <w:rFonts w:cs="Arial"/>
                <w:sz w:val="16"/>
                <w:szCs w:val="16"/>
              </w:rPr>
              <w:t>3</w:t>
            </w:r>
          </w:p>
        </w:tc>
        <w:tc>
          <w:tcPr>
            <w:tcW w:w="1984" w:type="dxa"/>
            <w:tcBorders>
              <w:top w:val="single" w:sz="4" w:space="0" w:color="auto"/>
              <w:left w:val="single" w:sz="4" w:space="0" w:color="auto"/>
              <w:bottom w:val="single" w:sz="4" w:space="0" w:color="auto"/>
              <w:right w:val="double" w:sz="4" w:space="0" w:color="auto"/>
            </w:tcBorders>
            <w:vAlign w:val="center"/>
          </w:tcPr>
          <w:p w14:paraId="1710B65F" w14:textId="77777777" w:rsidR="009E2BF2" w:rsidRDefault="00646553">
            <w:pPr>
              <w:spacing w:line="276" w:lineRule="auto"/>
              <w:jc w:val="center"/>
              <w:rPr>
                <w:rFonts w:cs="Arial"/>
                <w:sz w:val="16"/>
                <w:szCs w:val="16"/>
              </w:rPr>
            </w:pPr>
            <w:r>
              <w:rPr>
                <w:rFonts w:cs="Arial"/>
                <w:sz w:val="16"/>
                <w:szCs w:val="16"/>
              </w:rPr>
              <w:t>Media aritmética baja</w:t>
            </w:r>
          </w:p>
        </w:tc>
      </w:tr>
      <w:tr w:rsidR="009E2BF2" w14:paraId="4EDC0895" w14:textId="77777777">
        <w:trPr>
          <w:trHeight w:val="20"/>
          <w:jc w:val="center"/>
        </w:trPr>
        <w:tc>
          <w:tcPr>
            <w:tcW w:w="1560" w:type="dxa"/>
            <w:tcBorders>
              <w:top w:val="single" w:sz="4" w:space="0" w:color="auto"/>
              <w:left w:val="double" w:sz="4" w:space="0" w:color="auto"/>
              <w:bottom w:val="double" w:sz="4" w:space="0" w:color="auto"/>
              <w:right w:val="single" w:sz="4" w:space="0" w:color="auto"/>
            </w:tcBorders>
            <w:vAlign w:val="center"/>
          </w:tcPr>
          <w:p w14:paraId="2F03DF51" w14:textId="77777777" w:rsidR="009E2BF2" w:rsidRDefault="00646553">
            <w:pPr>
              <w:spacing w:line="276" w:lineRule="auto"/>
              <w:jc w:val="center"/>
              <w:rPr>
                <w:rFonts w:cs="Arial"/>
                <w:sz w:val="16"/>
                <w:szCs w:val="16"/>
              </w:rPr>
            </w:pPr>
            <w:r>
              <w:rPr>
                <w:rFonts w:cs="Arial"/>
                <w:sz w:val="16"/>
                <w:szCs w:val="16"/>
              </w:rPr>
              <w:t>4</w:t>
            </w:r>
          </w:p>
        </w:tc>
        <w:tc>
          <w:tcPr>
            <w:tcW w:w="1984" w:type="dxa"/>
            <w:tcBorders>
              <w:top w:val="single" w:sz="4" w:space="0" w:color="auto"/>
              <w:left w:val="single" w:sz="4" w:space="0" w:color="auto"/>
              <w:bottom w:val="double" w:sz="4" w:space="0" w:color="auto"/>
              <w:right w:val="double" w:sz="4" w:space="0" w:color="auto"/>
            </w:tcBorders>
            <w:vAlign w:val="center"/>
          </w:tcPr>
          <w:p w14:paraId="429AFCAB" w14:textId="77777777" w:rsidR="009E2BF2" w:rsidRDefault="00646553">
            <w:pPr>
              <w:spacing w:line="276" w:lineRule="auto"/>
              <w:jc w:val="center"/>
              <w:rPr>
                <w:rFonts w:cs="Arial"/>
                <w:sz w:val="16"/>
                <w:szCs w:val="16"/>
              </w:rPr>
            </w:pPr>
            <w:r>
              <w:rPr>
                <w:rFonts w:cs="Arial"/>
                <w:sz w:val="16"/>
                <w:szCs w:val="16"/>
              </w:rPr>
              <w:t>Menor Valor</w:t>
            </w:r>
          </w:p>
        </w:tc>
        <w:bookmarkEnd w:id="3"/>
      </w:tr>
    </w:tbl>
    <w:p w14:paraId="6A421B83" w14:textId="77777777" w:rsidR="009E2BF2" w:rsidRDefault="009E2BF2">
      <w:pPr>
        <w:pStyle w:val="Textonotapie"/>
        <w:jc w:val="both"/>
        <w:rPr>
          <w:rFonts w:ascii="Arial" w:hAnsi="Arial" w:cs="Arial"/>
          <w:sz w:val="19"/>
          <w:szCs w:val="19"/>
        </w:rPr>
      </w:pPr>
    </w:p>
    <w:p w14:paraId="05265333" w14:textId="77777777" w:rsidR="009E2BF2" w:rsidRDefault="00646553">
      <w:pPr>
        <w:pStyle w:val="Textonotapie"/>
        <w:jc w:val="both"/>
        <w:rPr>
          <w:rFonts w:ascii="Arial" w:hAnsi="Arial" w:cs="Arial"/>
          <w:sz w:val="19"/>
          <w:szCs w:val="19"/>
        </w:rPr>
      </w:pPr>
      <w:r>
        <w:rPr>
          <w:rFonts w:ascii="Arial" w:hAnsi="Arial" w:cs="Arial"/>
          <w:sz w:val="19"/>
          <w:szCs w:val="19"/>
        </w:rPr>
        <w:t xml:space="preserve"> </w:t>
      </w:r>
      <w:r>
        <w:rPr>
          <w:rFonts w:ascii="Arial" w:hAnsi="Arial" w:cs="Arial"/>
          <w:sz w:val="19"/>
          <w:szCs w:val="19"/>
        </w:rPr>
        <w:tab/>
        <w:t>»Para determinar el método de ponderación, la Entidad tomará los centavos de la Tasa de Cambio Representativa del Mercado (TRM), certificada por la Superintendencia Financiera de Colombia (en su sitio web: https://www.superfinanciera.gov.co/publicacion/60819)».</w:t>
      </w:r>
    </w:p>
    <w:p w14:paraId="2A528081" w14:textId="77777777" w:rsidR="009E2BF2" w:rsidRDefault="009E2BF2">
      <w:pPr>
        <w:pStyle w:val="Textonotapie"/>
        <w:jc w:val="both"/>
        <w:rPr>
          <w:rFonts w:ascii="Arial" w:hAnsi="Arial" w:cs="Arial"/>
          <w:sz w:val="19"/>
          <w:szCs w:val="19"/>
        </w:rPr>
      </w:pPr>
    </w:p>
  </w:footnote>
  <w:footnote w:id="2">
    <w:p w14:paraId="3A189873" w14:textId="77777777" w:rsidR="009E2BF2" w:rsidRDefault="00646553">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El estudio incluyó 6 fórmulas: Media aritmética alta, Media Aritmética Baja, Media Geométrica con Presupuesto Oficial, Mediana con Valor Absoluto, Mediana y Menor Valor.</w:t>
      </w:r>
    </w:p>
    <w:p w14:paraId="5C9D4779" w14:textId="77777777" w:rsidR="009E2BF2" w:rsidRDefault="009E2BF2">
      <w:pPr>
        <w:pStyle w:val="Textonotapie"/>
        <w:ind w:firstLine="708"/>
        <w:jc w:val="both"/>
        <w:rPr>
          <w:rFonts w:ascii="Arial" w:hAnsi="Arial" w:cs="Arial"/>
          <w:sz w:val="19"/>
          <w:szCs w:val="19"/>
        </w:rPr>
      </w:pPr>
    </w:p>
  </w:footnote>
  <w:footnote w:id="3">
    <w:p w14:paraId="18CBC2AD" w14:textId="77777777" w:rsidR="009E2BF2" w:rsidRDefault="00646553">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SIC, Guía Práctica para combatir acuerdos colusorios en procesos de contratación estatal. Disponible en: http://www.sic.gov.co/sites/default/files/files/Nuestra_Entidad/Publicaciones/Guia_practica_acuerdos_colusorios_25_01_2016.pdf</w:t>
      </w:r>
    </w:p>
    <w:p w14:paraId="5BF838E5" w14:textId="77777777" w:rsidR="009E2BF2" w:rsidRDefault="009E2BF2">
      <w:pPr>
        <w:pStyle w:val="Textonotapie"/>
        <w:ind w:firstLine="708"/>
        <w:jc w:val="both"/>
        <w:rPr>
          <w:rFonts w:ascii="Arial" w:hAnsi="Arial" w:cs="Arial"/>
          <w:sz w:val="19"/>
          <w:szCs w:val="19"/>
        </w:rPr>
      </w:pPr>
    </w:p>
  </w:footnote>
  <w:footnote w:id="4">
    <w:p w14:paraId="5CAB7F0F" w14:textId="77777777" w:rsidR="009E2BF2" w:rsidRDefault="00646553">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CCE, Guía de competencia en las compras públicas. Disponible en: https://www.colombiacompra.gov.co/sites/cce_public/files/cce_documents/cce_guia_competencia.pdf</w:t>
      </w:r>
    </w:p>
    <w:p w14:paraId="3A36426F" w14:textId="77777777" w:rsidR="009E2BF2" w:rsidRDefault="009E2BF2">
      <w:pPr>
        <w:pStyle w:val="Textonotapie"/>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00A05" w14:textId="77777777" w:rsidR="009E2BF2" w:rsidRDefault="009E2BF2">
    <w:pPr>
      <w:pStyle w:val="Encabezado"/>
    </w:pPr>
  </w:p>
  <w:p w14:paraId="182D422D" w14:textId="77777777" w:rsidR="009E2BF2" w:rsidRDefault="009E2BF2">
    <w:pPr>
      <w:pStyle w:val="Encabezado"/>
    </w:pPr>
  </w:p>
  <w:p w14:paraId="1B50829B" w14:textId="77777777" w:rsidR="009E2BF2" w:rsidRDefault="00646553">
    <w:pPr>
      <w:pStyle w:val="Encabezado"/>
    </w:pPr>
    <w:r>
      <w:rPr>
        <w:noProof/>
        <w:lang w:val="en-US"/>
      </w:rPr>
      <w:drawing>
        <wp:anchor distT="0" distB="0" distL="114300" distR="114300" simplePos="0" relativeHeight="251673600" behindDoc="1" locked="0" layoutInCell="1" allowOverlap="1" wp14:anchorId="10977F95" wp14:editId="1F061F25">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57300" cy="516255"/>
                  </a:xfrm>
                  <a:prstGeom prst="rect">
                    <a:avLst/>
                  </a:prstGeom>
                  <a:ln>
                    <a:noFill/>
                  </a:ln>
                </pic:spPr>
              </pic:pic>
            </a:graphicData>
          </a:graphic>
        </wp:anchor>
      </w:drawing>
    </w:r>
  </w:p>
  <w:p w14:paraId="7AAF2802" w14:textId="77777777" w:rsidR="009E2BF2" w:rsidRDefault="009E2BF2">
    <w:pPr>
      <w:pStyle w:val="Encabezado"/>
    </w:pPr>
  </w:p>
  <w:p w14:paraId="2C9EBB4E" w14:textId="77777777" w:rsidR="009E2BF2" w:rsidRDefault="009E2BF2">
    <w:pPr>
      <w:pStyle w:val="Encabezado"/>
    </w:pPr>
  </w:p>
  <w:p w14:paraId="60846C6F" w14:textId="77777777" w:rsidR="009E2BF2" w:rsidRDefault="009E2B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6709D"/>
    <w:multiLevelType w:val="multilevel"/>
    <w:tmpl w:val="19C67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315BF"/>
    <w:rsid w:val="00042450"/>
    <w:rsid w:val="00042A0C"/>
    <w:rsid w:val="00067C10"/>
    <w:rsid w:val="00085FF8"/>
    <w:rsid w:val="0009393A"/>
    <w:rsid w:val="000942EB"/>
    <w:rsid w:val="000A41AD"/>
    <w:rsid w:val="000B103F"/>
    <w:rsid w:val="000C75F9"/>
    <w:rsid w:val="000E09DC"/>
    <w:rsid w:val="000F14E8"/>
    <w:rsid w:val="00103915"/>
    <w:rsid w:val="00116948"/>
    <w:rsid w:val="00122B23"/>
    <w:rsid w:val="00137FFA"/>
    <w:rsid w:val="0014334D"/>
    <w:rsid w:val="00154CD2"/>
    <w:rsid w:val="00164B3C"/>
    <w:rsid w:val="001A0C50"/>
    <w:rsid w:val="00210D4A"/>
    <w:rsid w:val="00220775"/>
    <w:rsid w:val="00234B84"/>
    <w:rsid w:val="00263389"/>
    <w:rsid w:val="0028550E"/>
    <w:rsid w:val="00294B78"/>
    <w:rsid w:val="00297282"/>
    <w:rsid w:val="002A7810"/>
    <w:rsid w:val="003033BA"/>
    <w:rsid w:val="003156ED"/>
    <w:rsid w:val="0034680A"/>
    <w:rsid w:val="00365324"/>
    <w:rsid w:val="00386456"/>
    <w:rsid w:val="003954B8"/>
    <w:rsid w:val="003A4A23"/>
    <w:rsid w:val="003A581E"/>
    <w:rsid w:val="003B0E1E"/>
    <w:rsid w:val="004422D6"/>
    <w:rsid w:val="00473336"/>
    <w:rsid w:val="00487524"/>
    <w:rsid w:val="00490009"/>
    <w:rsid w:val="004927E3"/>
    <w:rsid w:val="004A34D2"/>
    <w:rsid w:val="004B4530"/>
    <w:rsid w:val="004F3B3F"/>
    <w:rsid w:val="004F5B13"/>
    <w:rsid w:val="0051032D"/>
    <w:rsid w:val="0051074C"/>
    <w:rsid w:val="00513AF2"/>
    <w:rsid w:val="0054413A"/>
    <w:rsid w:val="0055160F"/>
    <w:rsid w:val="005564CA"/>
    <w:rsid w:val="00560929"/>
    <w:rsid w:val="00593124"/>
    <w:rsid w:val="005A0C26"/>
    <w:rsid w:val="005A79FE"/>
    <w:rsid w:val="005F6A42"/>
    <w:rsid w:val="00604392"/>
    <w:rsid w:val="006150D8"/>
    <w:rsid w:val="0061612F"/>
    <w:rsid w:val="006429C5"/>
    <w:rsid w:val="00646553"/>
    <w:rsid w:val="00655371"/>
    <w:rsid w:val="00661373"/>
    <w:rsid w:val="006846FB"/>
    <w:rsid w:val="0068515A"/>
    <w:rsid w:val="00697665"/>
    <w:rsid w:val="006A7FD0"/>
    <w:rsid w:val="006D30A2"/>
    <w:rsid w:val="006D7687"/>
    <w:rsid w:val="006E0572"/>
    <w:rsid w:val="00705631"/>
    <w:rsid w:val="00722AE9"/>
    <w:rsid w:val="007272D9"/>
    <w:rsid w:val="00736F27"/>
    <w:rsid w:val="00742DD2"/>
    <w:rsid w:val="00743256"/>
    <w:rsid w:val="0075647A"/>
    <w:rsid w:val="007634AD"/>
    <w:rsid w:val="00770CF5"/>
    <w:rsid w:val="0078122E"/>
    <w:rsid w:val="007B0854"/>
    <w:rsid w:val="007B2904"/>
    <w:rsid w:val="007F72CB"/>
    <w:rsid w:val="0083119B"/>
    <w:rsid w:val="00831517"/>
    <w:rsid w:val="00836EAB"/>
    <w:rsid w:val="00845FFA"/>
    <w:rsid w:val="0085092D"/>
    <w:rsid w:val="0087527D"/>
    <w:rsid w:val="008E1C15"/>
    <w:rsid w:val="00901D1F"/>
    <w:rsid w:val="009047C5"/>
    <w:rsid w:val="00922AC2"/>
    <w:rsid w:val="0095385A"/>
    <w:rsid w:val="00964D2A"/>
    <w:rsid w:val="00965895"/>
    <w:rsid w:val="00991FC9"/>
    <w:rsid w:val="009B389F"/>
    <w:rsid w:val="009C6354"/>
    <w:rsid w:val="009E2BF2"/>
    <w:rsid w:val="009E7FE0"/>
    <w:rsid w:val="009F2C95"/>
    <w:rsid w:val="00A06D38"/>
    <w:rsid w:val="00A07AC4"/>
    <w:rsid w:val="00A24560"/>
    <w:rsid w:val="00A24BA1"/>
    <w:rsid w:val="00A34538"/>
    <w:rsid w:val="00A73702"/>
    <w:rsid w:val="00AA442B"/>
    <w:rsid w:val="00AD1AEB"/>
    <w:rsid w:val="00AF1E70"/>
    <w:rsid w:val="00AF20DD"/>
    <w:rsid w:val="00B22E22"/>
    <w:rsid w:val="00B525CB"/>
    <w:rsid w:val="00B568EA"/>
    <w:rsid w:val="00B63CB2"/>
    <w:rsid w:val="00B747AE"/>
    <w:rsid w:val="00BA7CCE"/>
    <w:rsid w:val="00BC4321"/>
    <w:rsid w:val="00BD78FE"/>
    <w:rsid w:val="00C3123A"/>
    <w:rsid w:val="00C536A1"/>
    <w:rsid w:val="00C74AA1"/>
    <w:rsid w:val="00C966A5"/>
    <w:rsid w:val="00C971F3"/>
    <w:rsid w:val="00CA287E"/>
    <w:rsid w:val="00CC00CD"/>
    <w:rsid w:val="00CD4FE5"/>
    <w:rsid w:val="00CE343A"/>
    <w:rsid w:val="00D13B14"/>
    <w:rsid w:val="00D16E39"/>
    <w:rsid w:val="00D72E9D"/>
    <w:rsid w:val="00D741C9"/>
    <w:rsid w:val="00D82CE5"/>
    <w:rsid w:val="00D91B81"/>
    <w:rsid w:val="00DA5AB1"/>
    <w:rsid w:val="00DC62E5"/>
    <w:rsid w:val="00DD6EA8"/>
    <w:rsid w:val="00DD735D"/>
    <w:rsid w:val="00DE3119"/>
    <w:rsid w:val="00DF236B"/>
    <w:rsid w:val="00E003AB"/>
    <w:rsid w:val="00E13AB8"/>
    <w:rsid w:val="00E33B62"/>
    <w:rsid w:val="00E414B4"/>
    <w:rsid w:val="00E454A3"/>
    <w:rsid w:val="00EC5992"/>
    <w:rsid w:val="00EF1499"/>
    <w:rsid w:val="00F37A17"/>
    <w:rsid w:val="00F46EEF"/>
    <w:rsid w:val="00F52285"/>
    <w:rsid w:val="00F64E97"/>
    <w:rsid w:val="00F74E71"/>
    <w:rsid w:val="00F84899"/>
    <w:rsid w:val="00F859F0"/>
    <w:rsid w:val="00FC298D"/>
    <w:rsid w:val="00FC43D5"/>
    <w:rsid w:val="00FE1261"/>
    <w:rsid w:val="00FE141E"/>
    <w:rsid w:val="00FE730C"/>
    <w:rsid w:val="56DE2DC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4E5B94CC"/>
  <w15:docId w15:val="{D7454893-DD56-7246-95C0-EE92DE3C4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CO"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qFormat/>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paragraph" w:styleId="Textocomentario">
    <w:name w:val="annotation text"/>
    <w:basedOn w:val="Normal"/>
    <w:link w:val="TextocomentarioCar"/>
    <w:uiPriority w:val="99"/>
    <w:semiHidden/>
    <w:unhideWhenUsed/>
    <w:rPr>
      <w:sz w:val="20"/>
      <w:szCs w:val="20"/>
    </w:rPr>
  </w:style>
  <w:style w:type="paragraph" w:styleId="Textodeglobo">
    <w:name w:val="Balloon Text"/>
    <w:basedOn w:val="Normal"/>
    <w:link w:val="TextodegloboCar"/>
    <w:uiPriority w:val="99"/>
    <w:semiHidden/>
    <w:unhideWhenUsed/>
    <w:qFormat/>
    <w:rPr>
      <w:rFonts w:ascii="Tahoma" w:hAnsi="Tahoma" w:cs="Tahoma"/>
      <w:sz w:val="16"/>
      <w:szCs w:val="16"/>
    </w:rPr>
  </w:style>
  <w:style w:type="paragraph" w:styleId="Encabezado">
    <w:name w:val="header"/>
    <w:basedOn w:val="Normal"/>
    <w:link w:val="EncabezadoCar"/>
    <w:uiPriority w:val="99"/>
    <w:unhideWhenUsed/>
    <w:pPr>
      <w:tabs>
        <w:tab w:val="center" w:pos="4252"/>
        <w:tab w:val="right" w:pos="8504"/>
      </w:tabs>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Cs w:val="24"/>
      <w:lang w:val="es-CO" w:eastAsia="es-CO"/>
    </w:rPr>
  </w:style>
  <w:style w:type="paragraph" w:styleId="Piedepgina">
    <w:name w:val="footer"/>
    <w:basedOn w:val="Normal"/>
    <w:link w:val="PiedepginaCar"/>
    <w:uiPriority w:val="99"/>
    <w:unhideWhenUsed/>
    <w:qFormat/>
    <w:pPr>
      <w:tabs>
        <w:tab w:val="center" w:pos="4419"/>
        <w:tab w:val="right" w:pos="8838"/>
      </w:tabs>
    </w:pPr>
  </w:style>
  <w:style w:type="character" w:styleId="Refdecomentario">
    <w:name w:val="annotation reference"/>
    <w:basedOn w:val="Fuentedeprrafopredeter"/>
    <w:uiPriority w:val="99"/>
    <w:semiHidden/>
    <w:unhideWhenUsed/>
    <w:rPr>
      <w:sz w:val="16"/>
      <w:szCs w:val="16"/>
    </w:rPr>
  </w:style>
  <w:style w:type="character" w:styleId="Refdenotaalpie">
    <w:name w:val="footnote reference"/>
    <w:basedOn w:val="Fuentedeprrafopredeter"/>
    <w:uiPriority w:val="99"/>
    <w:unhideWhenUsed/>
    <w:qFormat/>
    <w:rPr>
      <w:vertAlign w:val="superscript"/>
    </w:rPr>
  </w:style>
  <w:style w:type="character" w:styleId="Hipervnculo">
    <w:name w:val="Hyperlink"/>
    <w:basedOn w:val="Fuentedeprrafopredeter"/>
    <w:uiPriority w:val="99"/>
    <w:unhideWhenUsed/>
    <w:rPr>
      <w:color w:val="F2F2F2" w:themeColor="hyperlink"/>
      <w:u w:val="single"/>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qFormat/>
    <w:rPr>
      <w:sz w:val="24"/>
      <w:lang w:val="es-MX"/>
    </w:rPr>
  </w:style>
  <w:style w:type="character" w:customStyle="1" w:styleId="TextodegloboCar">
    <w:name w:val="Texto de globo Car"/>
    <w:basedOn w:val="Fuentedeprrafopredeter"/>
    <w:link w:val="Textodeglobo"/>
    <w:uiPriority w:val="99"/>
    <w:semiHidden/>
    <w:qFormat/>
    <w:rPr>
      <w:rFonts w:ascii="Tahoma" w:hAnsi="Tahoma" w:cs="Tahoma"/>
      <w:sz w:val="16"/>
      <w:szCs w:val="16"/>
      <w:lang w:val="es-MX"/>
    </w:rPr>
  </w:style>
  <w:style w:type="character" w:customStyle="1" w:styleId="EncabezadoCar">
    <w:name w:val="Encabezado Car"/>
    <w:basedOn w:val="Fuentedeprrafopredeter"/>
    <w:link w:val="Encabezado"/>
    <w:uiPriority w:val="99"/>
    <w:qFormat/>
    <w:rPr>
      <w:sz w:val="24"/>
      <w:lang w:val="es-MX"/>
    </w:rPr>
  </w:style>
  <w:style w:type="paragraph" w:styleId="Prrafodelista">
    <w:name w:val="List Paragraph"/>
    <w:basedOn w:val="Normal"/>
    <w:link w:val="PrrafodelistaCar"/>
    <w:uiPriority w:val="34"/>
    <w:qFormat/>
    <w:pPr>
      <w:ind w:left="720"/>
      <w:contextualSpacing/>
    </w:pPr>
  </w:style>
  <w:style w:type="character" w:customStyle="1" w:styleId="TextocomentarioCar">
    <w:name w:val="Texto comentario Car"/>
    <w:basedOn w:val="Fuentedeprrafopredeter"/>
    <w:link w:val="Textocomentario"/>
    <w:uiPriority w:val="99"/>
    <w:semiHidden/>
    <w:rPr>
      <w:sz w:val="20"/>
      <w:szCs w:val="20"/>
      <w:lang w:val="es-MX"/>
    </w:rPr>
  </w:style>
  <w:style w:type="character" w:customStyle="1" w:styleId="AsuntodelcomentarioCar">
    <w:name w:val="Asunto del comentario Car"/>
    <w:basedOn w:val="TextocomentarioCar"/>
    <w:link w:val="Asuntodelcomentario"/>
    <w:uiPriority w:val="99"/>
    <w:semiHidden/>
    <w:rPr>
      <w:b/>
      <w:bCs/>
      <w:sz w:val="20"/>
      <w:szCs w:val="20"/>
      <w:lang w:val="es-MX"/>
    </w:rPr>
  </w:style>
  <w:style w:type="paragraph" w:styleId="Sinespaciado">
    <w:name w:val="No Spacing"/>
    <w:uiPriority w:val="1"/>
    <w:qFormat/>
    <w:rPr>
      <w:sz w:val="24"/>
      <w:szCs w:val="22"/>
      <w:lang w:val="es-MX" w:eastAsia="en-US"/>
    </w:rPr>
  </w:style>
  <w:style w:type="character" w:customStyle="1" w:styleId="TextonotapieCar">
    <w:name w:val="Texto nota pie Car"/>
    <w:basedOn w:val="Fuentedeprrafopredeter"/>
    <w:link w:val="Textonotapie"/>
    <w:uiPriority w:val="99"/>
    <w:semiHidden/>
    <w:locked/>
    <w:rPr>
      <w:sz w:val="20"/>
      <w:szCs w:val="20"/>
      <w:lang w:val="es-MX"/>
    </w:rPr>
  </w:style>
  <w:style w:type="character" w:customStyle="1" w:styleId="TextonotapieCar1">
    <w:name w:val="Texto nota pie Car1"/>
    <w:basedOn w:val="Fuentedeprrafopredeter"/>
    <w:uiPriority w:val="99"/>
    <w:semiHidden/>
    <w:qFormat/>
    <w:rPr>
      <w:sz w:val="20"/>
      <w:szCs w:val="20"/>
      <w:lang w:val="es-MX"/>
    </w:rPr>
  </w:style>
  <w:style w:type="character" w:customStyle="1" w:styleId="PrrafodelistaCar">
    <w:name w:val="Párrafo de lista Car"/>
    <w:link w:val="Prrafodelista"/>
    <w:uiPriority w:val="34"/>
    <w:qFormat/>
    <w:locked/>
    <w:rPr>
      <w:sz w:val="24"/>
      <w:lang w:val="es-MX"/>
    </w:rPr>
  </w:style>
  <w:style w:type="paragraph" w:customStyle="1" w:styleId="Capitulo1">
    <w:name w:val="Capitulo 1"/>
    <w:basedOn w:val="Normal"/>
    <w:qFormat/>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normaltextrun">
    <w:name w:val="normaltextrun"/>
    <w:basedOn w:val="Fuentedeprrafopredeter"/>
    <w:rsid w:val="00F74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57500">
      <w:bodyDiv w:val="1"/>
      <w:marLeft w:val="0"/>
      <w:marRight w:val="0"/>
      <w:marTop w:val="0"/>
      <w:marBottom w:val="0"/>
      <w:divBdr>
        <w:top w:val="none" w:sz="0" w:space="0" w:color="auto"/>
        <w:left w:val="none" w:sz="0" w:space="0" w:color="auto"/>
        <w:bottom w:val="none" w:sz="0" w:space="0" w:color="auto"/>
        <w:right w:val="none" w:sz="0" w:space="0" w:color="auto"/>
      </w:divBdr>
    </w:div>
    <w:div w:id="1874539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F999C614-D2FC-4AF8-B3FC-481D4BFE2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68DCD02-28AF-4D4E-8312-34AF2BB5009F}">
  <ds:schemaRefs>
    <ds:schemaRef ds:uri="http://schemas.microsoft.com/office/2006/metadata/properties"/>
    <ds:schemaRef ds:uri="http://schemas.microsoft.com/office/infopath/2007/PartnerControls"/>
    <ds:schemaRef ds:uri="9d85dbaf-23eb-4e57-a637-93dcacc8b1a1"/>
  </ds:schemaRefs>
</ds:datastoreItem>
</file>

<file path=customXml/itemProps5.xml><?xml version="1.0" encoding="utf-8"?>
<ds:datastoreItem xmlns:ds="http://schemas.openxmlformats.org/officeDocument/2006/customXml" ds:itemID="{8E78D042-46E7-4773-9A0B-1DD92F322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5</Pages>
  <Words>1585</Words>
  <Characters>9041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2020-08-13T23:51:00Z</dcterms:created>
  <dcterms:modified xsi:type="dcterms:W3CDTF">2020-08-13T23:51:00Z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KSOProductBuildVer">
    <vt:lpwstr>2058-11.2.0.9363</vt:lpwstr>
  </property>
</Properties>
</file>