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75362" w14:textId="77777777" w:rsidR="00750137" w:rsidRPr="00750137" w:rsidRDefault="00750137" w:rsidP="00750137">
      <w:pPr>
        <w:jc w:val="right"/>
        <w:rPr>
          <w:rFonts w:ascii="Arial" w:hAnsi="Arial" w:cs="Arial"/>
          <w:b/>
          <w:color w:val="000000" w:themeColor="text1"/>
          <w:sz w:val="16"/>
          <w:szCs w:val="16"/>
          <w:lang w:eastAsia="es-ES"/>
        </w:rPr>
      </w:pPr>
      <w:bookmarkStart w:id="0" w:name="_Hlk28946138"/>
      <w:bookmarkStart w:id="1" w:name="_Hlk29548183"/>
      <w:r w:rsidRPr="00750137">
        <w:rPr>
          <w:rFonts w:ascii="Arial" w:hAnsi="Arial" w:cs="Arial"/>
          <w:b/>
          <w:color w:val="000000" w:themeColor="text1"/>
          <w:sz w:val="16"/>
          <w:szCs w:val="16"/>
          <w:lang w:eastAsia="es-ES"/>
        </w:rPr>
        <w:t>CCE-DES-FM-17</w:t>
      </w:r>
    </w:p>
    <w:p w14:paraId="02E21D98" w14:textId="77777777" w:rsidR="00010363" w:rsidRPr="00AC42AB" w:rsidRDefault="00010363" w:rsidP="008579B7">
      <w:pPr>
        <w:jc w:val="both"/>
        <w:rPr>
          <w:rFonts w:ascii="Arial" w:eastAsia="Calibri" w:hAnsi="Arial" w:cs="Arial"/>
          <w:color w:val="000000" w:themeColor="text1"/>
          <w:sz w:val="16"/>
          <w:szCs w:val="16"/>
        </w:rPr>
      </w:pPr>
    </w:p>
    <w:p w14:paraId="36B22437" w14:textId="1A5E842C" w:rsidR="008579B7" w:rsidRPr="00750137" w:rsidRDefault="007E2EE2" w:rsidP="001E3455">
      <w:pPr>
        <w:jc w:val="both"/>
        <w:rPr>
          <w:rFonts w:ascii="Arial" w:eastAsia="Calibri" w:hAnsi="Arial" w:cs="Arial"/>
          <w:b/>
          <w:color w:val="000000" w:themeColor="text1"/>
          <w:sz w:val="22"/>
        </w:rPr>
      </w:pPr>
      <w:r w:rsidRPr="00750137">
        <w:rPr>
          <w:rFonts w:ascii="Arial" w:eastAsia="Calibri" w:hAnsi="Arial" w:cs="Arial"/>
          <w:b/>
          <w:color w:val="000000" w:themeColor="text1"/>
          <w:sz w:val="22"/>
        </w:rPr>
        <w:t>PUBLICIDAD</w:t>
      </w:r>
      <w:r w:rsidR="008579B7" w:rsidRPr="00750137">
        <w:rPr>
          <w:rFonts w:ascii="Arial" w:eastAsia="Calibri" w:hAnsi="Arial" w:cs="Arial"/>
          <w:b/>
          <w:color w:val="000000" w:themeColor="text1"/>
          <w:sz w:val="22"/>
        </w:rPr>
        <w:t xml:space="preserve"> </w:t>
      </w:r>
      <w:r w:rsidR="00DF2AE4" w:rsidRPr="006C15D5">
        <w:rPr>
          <w:rFonts w:ascii="Arial" w:eastAsia="Calibri" w:hAnsi="Arial" w:cs="Arial"/>
          <w:b/>
          <w:color w:val="000000" w:themeColor="text1"/>
          <w:sz w:val="22"/>
        </w:rPr>
        <w:t>–</w:t>
      </w:r>
      <w:r w:rsidR="00DF2AE4" w:rsidRPr="00750137">
        <w:rPr>
          <w:rFonts w:ascii="Arial" w:eastAsia="Calibri" w:hAnsi="Arial" w:cs="Arial"/>
          <w:b/>
          <w:color w:val="000000" w:themeColor="text1"/>
          <w:sz w:val="22"/>
        </w:rPr>
        <w:t xml:space="preserve"> </w:t>
      </w:r>
      <w:r w:rsidR="008579B7" w:rsidRPr="00750137">
        <w:rPr>
          <w:rFonts w:ascii="Arial" w:eastAsia="Calibri" w:hAnsi="Arial" w:cs="Arial"/>
          <w:b/>
          <w:color w:val="000000" w:themeColor="text1"/>
          <w:sz w:val="22"/>
        </w:rPr>
        <w:t>SECOP</w:t>
      </w:r>
      <w:r w:rsidR="00767C83">
        <w:rPr>
          <w:rFonts w:ascii="Arial" w:eastAsia="Calibri" w:hAnsi="Arial" w:cs="Arial"/>
          <w:b/>
          <w:color w:val="000000" w:themeColor="text1"/>
          <w:sz w:val="22"/>
        </w:rPr>
        <w:t xml:space="preserve"> </w:t>
      </w:r>
      <w:r w:rsidR="00767C83" w:rsidRPr="006C15D5">
        <w:rPr>
          <w:rFonts w:ascii="Arial" w:eastAsia="Calibri" w:hAnsi="Arial" w:cs="Arial"/>
          <w:b/>
          <w:color w:val="000000" w:themeColor="text1"/>
          <w:sz w:val="22"/>
        </w:rPr>
        <w:t>–</w:t>
      </w:r>
      <w:r w:rsidRPr="00750137">
        <w:rPr>
          <w:rFonts w:ascii="Arial" w:eastAsia="Calibri" w:hAnsi="Arial" w:cs="Arial"/>
          <w:b/>
          <w:color w:val="000000" w:themeColor="text1"/>
          <w:sz w:val="22"/>
        </w:rPr>
        <w:t xml:space="preserve"> E</w:t>
      </w:r>
      <w:r w:rsidR="008C11D5" w:rsidRPr="00750137">
        <w:rPr>
          <w:rFonts w:ascii="Arial" w:eastAsia="Calibri" w:hAnsi="Arial" w:cs="Arial"/>
          <w:b/>
          <w:color w:val="000000" w:themeColor="text1"/>
          <w:sz w:val="22"/>
        </w:rPr>
        <w:t>ntidades de régimen especial</w:t>
      </w:r>
      <w:r w:rsidR="00767C83">
        <w:rPr>
          <w:rFonts w:ascii="Arial" w:eastAsia="Calibri" w:hAnsi="Arial" w:cs="Arial"/>
          <w:b/>
          <w:color w:val="000000" w:themeColor="text1"/>
          <w:sz w:val="22"/>
        </w:rPr>
        <w:t xml:space="preserve"> </w:t>
      </w:r>
      <w:r w:rsidR="00767C83" w:rsidRPr="006C15D5">
        <w:rPr>
          <w:rFonts w:ascii="Arial" w:eastAsia="Calibri" w:hAnsi="Arial" w:cs="Arial"/>
          <w:b/>
          <w:color w:val="000000" w:themeColor="text1"/>
          <w:sz w:val="22"/>
        </w:rPr>
        <w:t>–</w:t>
      </w:r>
      <w:r w:rsidR="008579B7" w:rsidRPr="00750137">
        <w:rPr>
          <w:rFonts w:ascii="Arial" w:eastAsia="Calibri" w:hAnsi="Arial" w:cs="Arial"/>
          <w:b/>
          <w:color w:val="000000" w:themeColor="text1"/>
          <w:sz w:val="22"/>
        </w:rPr>
        <w:t xml:space="preserve"> Fundamento normativo</w:t>
      </w:r>
    </w:p>
    <w:p w14:paraId="6B241018" w14:textId="77777777" w:rsidR="008579B7" w:rsidRPr="001E1D2A" w:rsidRDefault="008579B7" w:rsidP="001E3455">
      <w:pPr>
        <w:jc w:val="both"/>
        <w:rPr>
          <w:rFonts w:ascii="Arial" w:eastAsia="Calibri" w:hAnsi="Arial" w:cs="Arial"/>
          <w:b/>
          <w:color w:val="000000" w:themeColor="text1"/>
          <w:sz w:val="20"/>
          <w:szCs w:val="20"/>
        </w:rPr>
      </w:pPr>
    </w:p>
    <w:p w14:paraId="618A58CF" w14:textId="6D7D2D04" w:rsidR="008579B7" w:rsidRPr="001E3455" w:rsidRDefault="00CA5D70" w:rsidP="001E3455">
      <w:pPr>
        <w:jc w:val="both"/>
        <w:rPr>
          <w:rFonts w:ascii="Arial" w:hAnsi="Arial" w:cs="Arial"/>
          <w:color w:val="000000" w:themeColor="text1"/>
          <w:sz w:val="20"/>
          <w:szCs w:val="20"/>
          <w:lang w:val="es-ES"/>
        </w:rPr>
      </w:pPr>
      <w:r>
        <w:rPr>
          <w:rFonts w:ascii="Arial" w:hAnsi="Arial" w:cs="Arial"/>
          <w:color w:val="000000" w:themeColor="text1"/>
          <w:sz w:val="20"/>
          <w:szCs w:val="20"/>
          <w:lang w:val="es-ES"/>
        </w:rPr>
        <w:t xml:space="preserve">[…] </w:t>
      </w:r>
      <w:r w:rsidR="00A77B83">
        <w:rPr>
          <w:rFonts w:ascii="Arial" w:hAnsi="Arial" w:cs="Arial"/>
          <w:color w:val="000000" w:themeColor="text1"/>
          <w:sz w:val="20"/>
          <w:szCs w:val="20"/>
          <w:lang w:val="es-ES"/>
        </w:rPr>
        <w:t>e</w:t>
      </w:r>
      <w:r w:rsidR="008579B7" w:rsidRPr="001E3455">
        <w:rPr>
          <w:rFonts w:ascii="Arial" w:hAnsi="Arial" w:cs="Arial"/>
          <w:color w:val="000000" w:themeColor="text1"/>
          <w:sz w:val="20"/>
          <w:szCs w:val="20"/>
          <w:lang w:val="es-ES"/>
        </w:rPr>
        <w:t xml:space="preserve">l Consejo de Estado asumió como criterio para determinar la obligatoriedad de publicar en el SECOP que la contratación se haga con recursos públicos, conclusión que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de Colombia Compra Eficiente un pronunciamiento del Consejo de Estado. </w:t>
      </w:r>
    </w:p>
    <w:p w14:paraId="137DF337" w14:textId="77777777" w:rsidR="008579B7" w:rsidRPr="001E1D2A" w:rsidRDefault="008579B7" w:rsidP="001E3455">
      <w:pPr>
        <w:jc w:val="both"/>
        <w:rPr>
          <w:rFonts w:ascii="Arial" w:eastAsia="Calibri" w:hAnsi="Arial" w:cs="Arial"/>
          <w:color w:val="000000" w:themeColor="text1"/>
          <w:sz w:val="20"/>
          <w:szCs w:val="20"/>
          <w:lang w:val="es-ES"/>
        </w:rPr>
      </w:pPr>
      <w:r w:rsidRPr="00750137">
        <w:rPr>
          <w:rFonts w:ascii="Arial" w:eastAsia="Calibri" w:hAnsi="Arial" w:cs="Arial"/>
          <w:color w:val="000000" w:themeColor="text1"/>
          <w:sz w:val="21"/>
          <w:szCs w:val="21"/>
        </w:rPr>
        <w:t xml:space="preserve"> </w:t>
      </w:r>
    </w:p>
    <w:p w14:paraId="61E83BAD" w14:textId="0BB13E7A" w:rsidR="008579B7" w:rsidRPr="00750137" w:rsidRDefault="00DF390C" w:rsidP="001E3455">
      <w:pPr>
        <w:pStyle w:val="Prrafodelista"/>
        <w:ind w:left="0"/>
        <w:contextualSpacing w:val="0"/>
        <w:jc w:val="both"/>
        <w:rPr>
          <w:rFonts w:ascii="Arial" w:eastAsia="Calibri" w:hAnsi="Arial" w:cs="Arial"/>
          <w:b/>
          <w:color w:val="000000" w:themeColor="text1"/>
          <w:sz w:val="22"/>
        </w:rPr>
      </w:pPr>
      <w:r>
        <w:rPr>
          <w:rFonts w:ascii="Arial" w:eastAsia="Calibri" w:hAnsi="Arial" w:cs="Arial"/>
          <w:b/>
          <w:color w:val="000000" w:themeColor="text1"/>
          <w:sz w:val="22"/>
        </w:rPr>
        <w:t xml:space="preserve">PUBLICIDAD </w:t>
      </w:r>
      <w:r w:rsidR="00DF2AE4" w:rsidRPr="006C15D5">
        <w:rPr>
          <w:rFonts w:ascii="Arial" w:eastAsia="Calibri" w:hAnsi="Arial" w:cs="Arial"/>
          <w:b/>
          <w:color w:val="000000" w:themeColor="text1"/>
          <w:sz w:val="22"/>
        </w:rPr>
        <w:t>–</w:t>
      </w:r>
      <w:r w:rsidR="00DF2AE4" w:rsidRPr="00750137">
        <w:rPr>
          <w:rFonts w:ascii="Arial" w:eastAsia="Calibri" w:hAnsi="Arial" w:cs="Arial"/>
          <w:b/>
          <w:color w:val="000000" w:themeColor="text1"/>
          <w:sz w:val="22"/>
        </w:rPr>
        <w:t xml:space="preserve"> </w:t>
      </w:r>
      <w:r w:rsidR="008579B7" w:rsidRPr="00750137">
        <w:rPr>
          <w:rFonts w:ascii="Arial" w:eastAsia="Calibri" w:hAnsi="Arial" w:cs="Arial"/>
          <w:b/>
          <w:color w:val="000000" w:themeColor="text1"/>
          <w:sz w:val="22"/>
        </w:rPr>
        <w:t xml:space="preserve">SECOP </w:t>
      </w:r>
      <w:r w:rsidR="00767C83" w:rsidRPr="006C15D5">
        <w:rPr>
          <w:rFonts w:ascii="Arial" w:eastAsia="Calibri" w:hAnsi="Arial" w:cs="Arial"/>
          <w:b/>
          <w:color w:val="000000" w:themeColor="text1"/>
          <w:sz w:val="22"/>
        </w:rPr>
        <w:t>–</w:t>
      </w:r>
      <w:r w:rsidR="008579B7" w:rsidRPr="00750137">
        <w:rPr>
          <w:rFonts w:ascii="Arial" w:eastAsia="Calibri" w:hAnsi="Arial" w:cs="Arial"/>
          <w:b/>
          <w:color w:val="000000" w:themeColor="text1"/>
          <w:sz w:val="22"/>
        </w:rPr>
        <w:t xml:space="preserve"> </w:t>
      </w:r>
      <w:r>
        <w:rPr>
          <w:rFonts w:ascii="Arial" w:eastAsia="Calibri" w:hAnsi="Arial" w:cs="Arial"/>
          <w:b/>
          <w:color w:val="000000" w:themeColor="text1"/>
          <w:sz w:val="22"/>
        </w:rPr>
        <w:t xml:space="preserve">Documentos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w:t>
      </w:r>
      <w:r w:rsidR="008579B7" w:rsidRPr="00750137">
        <w:rPr>
          <w:rFonts w:ascii="Arial" w:eastAsia="Calibri" w:hAnsi="Arial" w:cs="Arial"/>
          <w:b/>
          <w:color w:val="000000" w:themeColor="text1"/>
          <w:sz w:val="22"/>
        </w:rPr>
        <w:t>Entidades</w:t>
      </w:r>
      <w:r>
        <w:rPr>
          <w:rFonts w:ascii="Arial" w:eastAsia="Calibri" w:hAnsi="Arial" w:cs="Arial"/>
          <w:b/>
          <w:color w:val="000000" w:themeColor="text1"/>
          <w:sz w:val="22"/>
        </w:rPr>
        <w:t xml:space="preserve"> de</w:t>
      </w:r>
      <w:r w:rsidR="008579B7" w:rsidRPr="00750137">
        <w:rPr>
          <w:rFonts w:ascii="Arial" w:eastAsia="Calibri" w:hAnsi="Arial" w:cs="Arial"/>
          <w:b/>
          <w:color w:val="000000" w:themeColor="text1"/>
          <w:sz w:val="22"/>
        </w:rPr>
        <w:t xml:space="preserve"> régimen especial</w:t>
      </w:r>
    </w:p>
    <w:p w14:paraId="25464C9E" w14:textId="77777777" w:rsidR="008579B7" w:rsidRPr="001E1D2A" w:rsidRDefault="008579B7" w:rsidP="001E3455">
      <w:pPr>
        <w:pStyle w:val="Prrafodelista"/>
        <w:ind w:left="0"/>
        <w:contextualSpacing w:val="0"/>
        <w:jc w:val="both"/>
        <w:rPr>
          <w:rFonts w:ascii="Arial" w:eastAsia="Calibri" w:hAnsi="Arial" w:cs="Arial"/>
          <w:color w:val="000000" w:themeColor="text1"/>
          <w:sz w:val="20"/>
          <w:szCs w:val="20"/>
        </w:rPr>
      </w:pPr>
    </w:p>
    <w:p w14:paraId="51D911E7" w14:textId="18FC0D36" w:rsidR="00CA5D70" w:rsidRDefault="00DE0333" w:rsidP="00CA5D70">
      <w:pPr>
        <w:spacing w:after="120"/>
        <w:jc w:val="both"/>
        <w:rPr>
          <w:rFonts w:ascii="Arial" w:eastAsia="Calibri" w:hAnsi="Arial" w:cs="Arial"/>
          <w:color w:val="000000" w:themeColor="text1"/>
          <w:sz w:val="20"/>
          <w:szCs w:val="20"/>
        </w:rPr>
      </w:pPr>
      <w:r>
        <w:rPr>
          <w:rFonts w:ascii="Arial" w:eastAsia="Calibri" w:hAnsi="Arial" w:cs="Arial"/>
          <w:color w:val="000000" w:themeColor="text1"/>
          <w:sz w:val="20"/>
          <w:szCs w:val="20"/>
        </w:rPr>
        <w:t>[…] e</w:t>
      </w:r>
      <w:r w:rsidR="008579B7" w:rsidRPr="001E1D2A">
        <w:rPr>
          <w:rFonts w:ascii="Arial" w:eastAsia="Calibri" w:hAnsi="Arial" w:cs="Arial"/>
          <w:color w:val="000000" w:themeColor="text1"/>
          <w:sz w:val="20"/>
          <w:szCs w:val="20"/>
        </w:rPr>
        <w:t xml:space="preserve">l </w:t>
      </w:r>
      <w:r w:rsidR="00EE1740" w:rsidRPr="001E1D2A">
        <w:rPr>
          <w:rFonts w:ascii="Arial" w:eastAsia="Calibri" w:hAnsi="Arial" w:cs="Arial"/>
          <w:color w:val="000000" w:themeColor="text1"/>
          <w:sz w:val="20"/>
          <w:szCs w:val="20"/>
        </w:rPr>
        <w:t xml:space="preserve">Decreto 103 de 2015 señala que los documentos que deben publicar las entidades estatales a quienes les aplica la Ley 1712 de 2019, entre estas, por ejemplo, las empresas de servicios públicos mixtas, oficiales y privadas con participación pública, son: i) las autorizaciones, requerimientos, aprobaciones o informes del supervisor o del interventor, que prueben la ejecución del contrato, ii) los procedimientos, lineamientos y políticas en materia de adquisición que corresponden a los  documentos que los conforman, previstos en el manual de contratación de la entidad, y finalmente, iii) </w:t>
      </w:r>
      <w:r w:rsidR="008C11D5" w:rsidRPr="001E1D2A">
        <w:rPr>
          <w:rFonts w:ascii="Arial" w:eastAsia="Calibri" w:hAnsi="Arial" w:cs="Arial"/>
          <w:color w:val="000000" w:themeColor="text1"/>
          <w:sz w:val="20"/>
          <w:szCs w:val="20"/>
        </w:rPr>
        <w:t>el plan anual de adquisiciones</w:t>
      </w:r>
      <w:r w:rsidR="00CA5D70">
        <w:rPr>
          <w:rFonts w:ascii="Arial" w:eastAsia="Calibri" w:hAnsi="Arial" w:cs="Arial"/>
          <w:color w:val="000000" w:themeColor="text1"/>
          <w:sz w:val="20"/>
          <w:szCs w:val="20"/>
        </w:rPr>
        <w:t xml:space="preserve">. </w:t>
      </w:r>
    </w:p>
    <w:p w14:paraId="66781704" w14:textId="77777777" w:rsidR="00CA5D70" w:rsidRDefault="008C11D5" w:rsidP="00CA5D70">
      <w:pPr>
        <w:spacing w:after="120"/>
        <w:jc w:val="both"/>
        <w:rPr>
          <w:rFonts w:ascii="Arial" w:eastAsia="Calibri" w:hAnsi="Arial" w:cs="Arial"/>
          <w:color w:val="000000" w:themeColor="text1"/>
          <w:sz w:val="20"/>
          <w:szCs w:val="20"/>
        </w:rPr>
      </w:pPr>
      <w:r w:rsidRPr="001E1D2A">
        <w:rPr>
          <w:rFonts w:ascii="Arial" w:eastAsia="Calibri" w:hAnsi="Arial" w:cs="Arial"/>
          <w:color w:val="000000" w:themeColor="text1"/>
          <w:sz w:val="20"/>
          <w:szCs w:val="20"/>
        </w:rPr>
        <w:t>Frente al segundo grupo de documentos, debido a que estas entidades están sometidas al derecho privado, y por lo tanto no celebran sus procesos de contratación mediante las modalidades previstas en la Ley 80 de 1993, cada una definirá en su manual el procedimiento para contratar sus bienes y servicios.</w:t>
      </w:r>
    </w:p>
    <w:p w14:paraId="39FDB917" w14:textId="77777777" w:rsidR="00274054" w:rsidRPr="001E1D2A" w:rsidRDefault="00274054" w:rsidP="001E3455">
      <w:pPr>
        <w:jc w:val="both"/>
        <w:rPr>
          <w:rFonts w:ascii="Arial" w:eastAsia="Calibri" w:hAnsi="Arial" w:cs="Arial"/>
          <w:color w:val="000000" w:themeColor="text1"/>
          <w:sz w:val="20"/>
          <w:szCs w:val="20"/>
        </w:rPr>
      </w:pPr>
    </w:p>
    <w:p w14:paraId="5BC5A615" w14:textId="259F5E88" w:rsidR="008579B7" w:rsidRPr="00750137" w:rsidRDefault="008579B7" w:rsidP="001E3455">
      <w:pPr>
        <w:jc w:val="both"/>
        <w:rPr>
          <w:rFonts w:ascii="Arial" w:hAnsi="Arial" w:cs="Arial"/>
          <w:b/>
          <w:color w:val="000000" w:themeColor="text1"/>
          <w:sz w:val="22"/>
        </w:rPr>
      </w:pPr>
      <w:r w:rsidRPr="00750137">
        <w:rPr>
          <w:rFonts w:ascii="Arial" w:hAnsi="Arial" w:cs="Arial"/>
          <w:b/>
          <w:color w:val="000000" w:themeColor="text1"/>
          <w:sz w:val="22"/>
        </w:rPr>
        <w:t>PUBLIC</w:t>
      </w:r>
      <w:r w:rsidR="00DF2AE4">
        <w:rPr>
          <w:rFonts w:ascii="Arial" w:hAnsi="Arial" w:cs="Arial"/>
          <w:b/>
          <w:color w:val="000000" w:themeColor="text1"/>
          <w:sz w:val="22"/>
        </w:rPr>
        <w:t xml:space="preserve">IDAD </w:t>
      </w:r>
      <w:r w:rsidR="00DF2AE4" w:rsidRPr="006C15D5">
        <w:rPr>
          <w:rFonts w:ascii="Arial" w:eastAsia="Calibri" w:hAnsi="Arial" w:cs="Arial"/>
          <w:b/>
          <w:color w:val="000000" w:themeColor="text1"/>
          <w:sz w:val="22"/>
        </w:rPr>
        <w:t>–</w:t>
      </w:r>
      <w:r w:rsidR="00DF2AE4" w:rsidRPr="00750137">
        <w:rPr>
          <w:rFonts w:ascii="Arial" w:eastAsia="Calibri" w:hAnsi="Arial" w:cs="Arial"/>
          <w:b/>
          <w:color w:val="000000" w:themeColor="text1"/>
          <w:sz w:val="22"/>
        </w:rPr>
        <w:t xml:space="preserve"> </w:t>
      </w:r>
      <w:r w:rsidRPr="00750137">
        <w:rPr>
          <w:rFonts w:ascii="Arial" w:hAnsi="Arial" w:cs="Arial"/>
          <w:b/>
          <w:color w:val="000000" w:themeColor="text1"/>
          <w:sz w:val="22"/>
        </w:rPr>
        <w:t xml:space="preserve">SECOP </w:t>
      </w:r>
      <w:r w:rsidR="00767C83" w:rsidRPr="006C15D5">
        <w:rPr>
          <w:rFonts w:ascii="Arial" w:eastAsia="Calibri" w:hAnsi="Arial" w:cs="Arial"/>
          <w:b/>
          <w:color w:val="000000" w:themeColor="text1"/>
          <w:sz w:val="22"/>
        </w:rPr>
        <w:t>–</w:t>
      </w:r>
      <w:r w:rsidRPr="00750137">
        <w:rPr>
          <w:rFonts w:ascii="Arial" w:hAnsi="Arial" w:cs="Arial"/>
          <w:b/>
          <w:color w:val="000000" w:themeColor="text1"/>
          <w:sz w:val="22"/>
        </w:rPr>
        <w:t xml:space="preserve"> </w:t>
      </w:r>
      <w:r w:rsidR="00782C98">
        <w:rPr>
          <w:rFonts w:ascii="Arial" w:hAnsi="Arial" w:cs="Arial"/>
          <w:b/>
          <w:color w:val="000000" w:themeColor="text1"/>
          <w:sz w:val="22"/>
        </w:rPr>
        <w:t xml:space="preserve">Plazo </w:t>
      </w:r>
      <w:r w:rsidR="00782C98" w:rsidRPr="006C15D5">
        <w:rPr>
          <w:rFonts w:ascii="Arial" w:eastAsia="Calibri" w:hAnsi="Arial" w:cs="Arial"/>
          <w:b/>
          <w:color w:val="000000" w:themeColor="text1"/>
          <w:sz w:val="22"/>
        </w:rPr>
        <w:t>–</w:t>
      </w:r>
      <w:r w:rsidR="00782C98">
        <w:rPr>
          <w:rFonts w:ascii="Arial" w:eastAsia="Calibri" w:hAnsi="Arial" w:cs="Arial"/>
          <w:b/>
          <w:color w:val="000000" w:themeColor="text1"/>
          <w:sz w:val="22"/>
        </w:rPr>
        <w:t xml:space="preserve"> </w:t>
      </w:r>
      <w:r w:rsidRPr="00750137">
        <w:rPr>
          <w:rFonts w:ascii="Arial" w:hAnsi="Arial" w:cs="Arial"/>
          <w:b/>
          <w:color w:val="000000" w:themeColor="text1"/>
          <w:sz w:val="22"/>
        </w:rPr>
        <w:t>Entidades régimen especial</w:t>
      </w:r>
    </w:p>
    <w:p w14:paraId="4881624C" w14:textId="77777777" w:rsidR="008579B7" w:rsidRPr="001E1D2A" w:rsidRDefault="008579B7" w:rsidP="001E3455">
      <w:pPr>
        <w:jc w:val="both"/>
        <w:rPr>
          <w:rFonts w:ascii="Arial" w:hAnsi="Arial" w:cs="Arial"/>
          <w:color w:val="000000" w:themeColor="text1"/>
          <w:sz w:val="20"/>
          <w:szCs w:val="20"/>
        </w:rPr>
      </w:pPr>
    </w:p>
    <w:p w14:paraId="15A5FDB4" w14:textId="77777777" w:rsidR="00F073FC" w:rsidRDefault="00FA7831" w:rsidP="00F073FC">
      <w:pPr>
        <w:spacing w:after="120"/>
        <w:jc w:val="both"/>
        <w:rPr>
          <w:rFonts w:ascii="Arial" w:hAnsi="Arial" w:cs="Arial"/>
          <w:color w:val="000000" w:themeColor="text1"/>
          <w:sz w:val="20"/>
          <w:szCs w:val="20"/>
        </w:rPr>
      </w:pPr>
      <w:r w:rsidRPr="001E1D2A">
        <w:rPr>
          <w:rFonts w:ascii="Arial" w:hAnsi="Arial" w:cs="Arial"/>
          <w:color w:val="000000" w:themeColor="text1"/>
          <w:sz w:val="20"/>
          <w:szCs w:val="20"/>
        </w:rPr>
        <w:t>Si bien el Decreto 1082 de 2015, en principio no aplica a las entidades estatales exceptuadas del Estatuto General de Contratación de la Administración Pública, porque su régimen de contratación es el derecho privado, es posible aplicarle el artículo 2.2.1.1.1.7.1. en virtud de la analogía. Lo anterior, debido a que esta norma guarda similitud con el asunto tratado ya que regula la publicidad de los documentos del SECOP y, por lo tanto, es viable aplicarle su consecuencia jurídica a las entidades de régimen especial.</w:t>
      </w:r>
    </w:p>
    <w:p w14:paraId="3E569964" w14:textId="710078EB" w:rsidR="00F073FC" w:rsidRDefault="00FA7831" w:rsidP="00F073FC">
      <w:pPr>
        <w:spacing w:after="120"/>
        <w:jc w:val="both"/>
        <w:rPr>
          <w:rFonts w:ascii="Arial" w:hAnsi="Arial" w:cs="Arial"/>
          <w:color w:val="000000" w:themeColor="text1"/>
          <w:sz w:val="20"/>
          <w:szCs w:val="20"/>
        </w:rPr>
      </w:pPr>
      <w:r w:rsidRPr="1F3250CE">
        <w:rPr>
          <w:rFonts w:ascii="Arial" w:hAnsi="Arial" w:cs="Arial"/>
          <w:color w:val="000000" w:themeColor="text1"/>
          <w:sz w:val="20"/>
          <w:szCs w:val="20"/>
        </w:rPr>
        <w:t xml:space="preserve">A su vez, no es posible que las entidades definan en su manual de contratación el momento en el cual publicarán sus documentos contractuales, porque este es un asunto que debe definir el legislador o el gobierno por medio de un reglamento. </w:t>
      </w:r>
    </w:p>
    <w:p w14:paraId="473EB09F" w14:textId="77777777" w:rsidR="00F073FC" w:rsidRDefault="00FA7831" w:rsidP="00F073FC">
      <w:pPr>
        <w:spacing w:after="120"/>
        <w:jc w:val="both"/>
        <w:rPr>
          <w:rFonts w:ascii="Arial" w:hAnsi="Arial" w:cs="Arial"/>
          <w:color w:val="000000" w:themeColor="text1"/>
          <w:sz w:val="20"/>
          <w:szCs w:val="20"/>
        </w:rPr>
      </w:pPr>
      <w:r w:rsidRPr="001E1D2A">
        <w:rPr>
          <w:rFonts w:ascii="Arial" w:hAnsi="Arial" w:cs="Arial"/>
          <w:color w:val="000000" w:themeColor="text1"/>
          <w:sz w:val="20"/>
          <w:szCs w:val="20"/>
        </w:rPr>
        <w:t>Conforme a lo anterior, las entidades de régimen especial deben publicar sus documentos del proceso de contratación dentro de los tres (3) días siguientes a su expedición; porque a pesar de que en principio el artículo 2.2.1.1.1.7.1 del Decreto 1082 de 2015 no les aplica, sí es posible y necesario en virtud de la analogía.</w:t>
      </w:r>
    </w:p>
    <w:p w14:paraId="2F702290" w14:textId="20088657" w:rsidR="00274054" w:rsidRPr="00750137" w:rsidRDefault="00274054" w:rsidP="001E3455">
      <w:pPr>
        <w:jc w:val="both"/>
        <w:rPr>
          <w:rFonts w:ascii="Arial" w:hAnsi="Arial" w:cs="Arial"/>
          <w:color w:val="000000" w:themeColor="text1"/>
          <w:sz w:val="21"/>
          <w:szCs w:val="21"/>
        </w:rPr>
      </w:pPr>
      <w:r w:rsidRPr="001E1D2A">
        <w:rPr>
          <w:rFonts w:ascii="Arial" w:hAnsi="Arial" w:cs="Arial"/>
          <w:color w:val="000000" w:themeColor="text1"/>
          <w:sz w:val="20"/>
          <w:szCs w:val="20"/>
        </w:rPr>
        <w:t>En todo caso, si se adoptara la posición del Consejo de Estado, explicada con anterioridad, es decir, que la obligación de publicar en el SECOP se apoya del literal c) del artículo 3 de la Ley 1150 de 2007, entonces también se debe publicar toda la contratación realizada con recursos públicos, independientemente del régimen de contratación de la entidad, porque el Decreto 1082 de 2015 reglamenta el artículo 3 de la Ley 1150 de 2007, y se aplicaría el artículo 2.2.1.1.1.7.1</w:t>
      </w:r>
      <w:r w:rsidRPr="00750137">
        <w:rPr>
          <w:rFonts w:ascii="Arial" w:hAnsi="Arial" w:cs="Arial"/>
          <w:color w:val="000000" w:themeColor="text1"/>
          <w:sz w:val="21"/>
          <w:szCs w:val="21"/>
        </w:rPr>
        <w:t xml:space="preserve">. </w:t>
      </w:r>
    </w:p>
    <w:p w14:paraId="3CF34060" w14:textId="77777777" w:rsidR="00FA7831" w:rsidRPr="00767C83" w:rsidRDefault="00FA7831" w:rsidP="001E3455">
      <w:pPr>
        <w:jc w:val="both"/>
        <w:rPr>
          <w:rFonts w:ascii="Arial" w:hAnsi="Arial" w:cs="Arial"/>
          <w:color w:val="000000" w:themeColor="text1"/>
          <w:sz w:val="20"/>
          <w:szCs w:val="20"/>
        </w:rPr>
      </w:pPr>
    </w:p>
    <w:p w14:paraId="13C97723" w14:textId="16E25740" w:rsidR="00B90672" w:rsidRPr="00750137" w:rsidRDefault="00DF2AE4" w:rsidP="001E3455">
      <w:pPr>
        <w:jc w:val="both"/>
        <w:rPr>
          <w:rFonts w:ascii="Arial" w:hAnsi="Arial" w:cs="Arial"/>
          <w:b/>
          <w:color w:val="000000" w:themeColor="text1"/>
          <w:sz w:val="22"/>
        </w:rPr>
      </w:pPr>
      <w:r>
        <w:rPr>
          <w:rFonts w:ascii="Arial" w:hAnsi="Arial" w:cs="Arial"/>
          <w:b/>
          <w:color w:val="000000" w:themeColor="text1"/>
          <w:sz w:val="22"/>
        </w:rPr>
        <w:t xml:space="preserve">PUBLICIDAD </w:t>
      </w:r>
      <w:r w:rsidRPr="006C15D5">
        <w:rPr>
          <w:rFonts w:ascii="Arial" w:eastAsia="Calibri" w:hAnsi="Arial" w:cs="Arial"/>
          <w:b/>
          <w:color w:val="000000" w:themeColor="text1"/>
          <w:sz w:val="22"/>
        </w:rPr>
        <w:t>–</w:t>
      </w:r>
      <w:r w:rsidRPr="00750137">
        <w:rPr>
          <w:rFonts w:ascii="Arial" w:eastAsia="Calibri" w:hAnsi="Arial" w:cs="Arial"/>
          <w:b/>
          <w:color w:val="000000" w:themeColor="text1"/>
          <w:sz w:val="22"/>
        </w:rPr>
        <w:t xml:space="preserve"> </w:t>
      </w:r>
      <w:bookmarkStart w:id="2" w:name="_GoBack"/>
      <w:bookmarkEnd w:id="2"/>
      <w:r w:rsidR="000F7989">
        <w:rPr>
          <w:rFonts w:ascii="Arial" w:hAnsi="Arial" w:cs="Arial"/>
          <w:b/>
          <w:color w:val="000000" w:themeColor="text1"/>
          <w:sz w:val="22"/>
        </w:rPr>
        <w:t xml:space="preserve">SECOP II </w:t>
      </w:r>
      <w:r w:rsidR="000F7989" w:rsidRPr="006C15D5">
        <w:rPr>
          <w:rFonts w:ascii="Arial" w:eastAsia="Calibri" w:hAnsi="Arial" w:cs="Arial"/>
          <w:b/>
          <w:color w:val="000000" w:themeColor="text1"/>
          <w:sz w:val="22"/>
        </w:rPr>
        <w:t>–</w:t>
      </w:r>
      <w:r w:rsidR="000F7989">
        <w:rPr>
          <w:rFonts w:ascii="Arial" w:eastAsia="Calibri" w:hAnsi="Arial" w:cs="Arial"/>
          <w:b/>
          <w:color w:val="000000" w:themeColor="text1"/>
          <w:sz w:val="22"/>
        </w:rPr>
        <w:t xml:space="preserve"> </w:t>
      </w:r>
      <w:r w:rsidR="000F7989" w:rsidRPr="00750137">
        <w:rPr>
          <w:rFonts w:ascii="Arial" w:hAnsi="Arial" w:cs="Arial"/>
          <w:b/>
          <w:color w:val="000000" w:themeColor="text1"/>
          <w:sz w:val="22"/>
        </w:rPr>
        <w:t>Entidades Exceptuada</w:t>
      </w:r>
      <w:r w:rsidR="000F7989">
        <w:rPr>
          <w:rFonts w:ascii="Arial" w:hAnsi="Arial" w:cs="Arial"/>
          <w:b/>
          <w:color w:val="000000" w:themeColor="text1"/>
          <w:sz w:val="22"/>
        </w:rPr>
        <w:t xml:space="preserve">s </w:t>
      </w:r>
      <w:r w:rsidR="00767C83" w:rsidRPr="006C15D5">
        <w:rPr>
          <w:rFonts w:ascii="Arial" w:eastAsia="Calibri" w:hAnsi="Arial" w:cs="Arial"/>
          <w:b/>
          <w:color w:val="000000" w:themeColor="text1"/>
          <w:sz w:val="22"/>
        </w:rPr>
        <w:t>–</w:t>
      </w:r>
      <w:r w:rsidR="00B90672" w:rsidRPr="00750137">
        <w:rPr>
          <w:rFonts w:ascii="Arial" w:hAnsi="Arial" w:cs="Arial"/>
          <w:b/>
          <w:color w:val="000000" w:themeColor="text1"/>
          <w:sz w:val="22"/>
        </w:rPr>
        <w:t xml:space="preserve"> Empresas descentralizadas del nivel municipal </w:t>
      </w:r>
    </w:p>
    <w:p w14:paraId="3A2F51FC" w14:textId="77777777" w:rsidR="00B90672" w:rsidRPr="001E1D2A" w:rsidRDefault="00B90672" w:rsidP="001E3455">
      <w:pPr>
        <w:jc w:val="both"/>
        <w:rPr>
          <w:rFonts w:ascii="Arial" w:hAnsi="Arial" w:cs="Arial"/>
          <w:color w:val="000000" w:themeColor="text1"/>
          <w:sz w:val="20"/>
          <w:szCs w:val="20"/>
        </w:rPr>
      </w:pPr>
    </w:p>
    <w:p w14:paraId="7EAD6BBB" w14:textId="11EEBA5D" w:rsidR="00D70422" w:rsidRPr="001E1D2A" w:rsidRDefault="00B57099" w:rsidP="001E3455">
      <w:pPr>
        <w:jc w:val="both"/>
        <w:rPr>
          <w:rFonts w:ascii="Arial" w:hAnsi="Arial" w:cs="Arial"/>
          <w:color w:val="000000" w:themeColor="text1"/>
          <w:sz w:val="20"/>
          <w:szCs w:val="20"/>
        </w:rPr>
      </w:pPr>
      <w:r>
        <w:rPr>
          <w:rFonts w:ascii="Arial" w:eastAsia="Calibri" w:hAnsi="Arial" w:cs="Arial"/>
          <w:color w:val="000000" w:themeColor="text1"/>
          <w:sz w:val="20"/>
          <w:szCs w:val="20"/>
          <w:lang w:val="es-ES"/>
        </w:rPr>
        <w:t xml:space="preserve">[…] </w:t>
      </w:r>
      <w:r w:rsidR="000A38B9">
        <w:rPr>
          <w:rFonts w:ascii="Arial" w:eastAsia="Calibri" w:hAnsi="Arial" w:cs="Arial"/>
          <w:color w:val="000000" w:themeColor="text1"/>
          <w:sz w:val="20"/>
          <w:szCs w:val="20"/>
          <w:lang w:val="es-ES"/>
        </w:rPr>
        <w:t>a</w:t>
      </w:r>
      <w:r w:rsidR="00FA7831" w:rsidRPr="001E1D2A">
        <w:rPr>
          <w:rFonts w:ascii="Arial" w:eastAsia="Calibri" w:hAnsi="Arial" w:cs="Arial"/>
          <w:color w:val="000000" w:themeColor="text1"/>
          <w:sz w:val="20"/>
          <w:szCs w:val="20"/>
          <w:lang w:val="es-ES"/>
        </w:rPr>
        <w:t xml:space="preserve"> la fecha, las entidades descentralizadas del nivel municipal no están obligadas a publicar sus procesos de contratación en el SECOP II, conforme a la salvedad que sobre el particular establece el Anexo 1 de la Circular Externa No. 1 de 2019.  Sin embargo, esta exclusión no relevará a las entidades descentralizadas del nivel municipal de continuar publicando sus procesos de contratación en la plataforma de SECOP I.</w:t>
      </w:r>
    </w:p>
    <w:p w14:paraId="487B633C" w14:textId="77777777" w:rsidR="007B66A7" w:rsidRPr="001C0941" w:rsidRDefault="007B66A7" w:rsidP="00A2021D">
      <w:pPr>
        <w:jc w:val="both"/>
        <w:rPr>
          <w:rFonts w:ascii="Arial" w:hAnsi="Arial" w:cs="Arial"/>
          <w:color w:val="000000" w:themeColor="text1"/>
          <w:sz w:val="20"/>
          <w:szCs w:val="20"/>
        </w:rPr>
      </w:pPr>
    </w:p>
    <w:p w14:paraId="424DCBA3" w14:textId="77777777" w:rsidR="001C0941" w:rsidRPr="001C0941" w:rsidRDefault="001C0941" w:rsidP="00460EF9">
      <w:pPr>
        <w:pStyle w:val="Default"/>
        <w:rPr>
          <w:sz w:val="20"/>
          <w:szCs w:val="20"/>
        </w:rPr>
      </w:pPr>
    </w:p>
    <w:p w14:paraId="3D89FA37" w14:textId="54984DBD" w:rsidR="001C0941" w:rsidRPr="00460EF9" w:rsidRDefault="001C0941" w:rsidP="00460EF9">
      <w:pPr>
        <w:pStyle w:val="Default"/>
        <w:rPr>
          <w:sz w:val="22"/>
          <w:szCs w:val="22"/>
        </w:rPr>
      </w:pPr>
      <w:r w:rsidRPr="00460EF9">
        <w:rPr>
          <w:sz w:val="22"/>
          <w:szCs w:val="22"/>
        </w:rPr>
        <w:t xml:space="preserve">Bogotá D.C., </w:t>
      </w:r>
      <w:r w:rsidRPr="00460EF9">
        <w:rPr>
          <w:b/>
          <w:bCs/>
          <w:sz w:val="22"/>
          <w:szCs w:val="22"/>
        </w:rPr>
        <w:t xml:space="preserve">16/03/2020 Hora 9:8:34s </w:t>
      </w:r>
    </w:p>
    <w:p w14:paraId="26D77BBA" w14:textId="7150ED30" w:rsidR="00A2021D" w:rsidRPr="00750137" w:rsidRDefault="001C0941" w:rsidP="00460EF9">
      <w:pPr>
        <w:tabs>
          <w:tab w:val="left" w:pos="3374"/>
        </w:tabs>
        <w:jc w:val="right"/>
        <w:rPr>
          <w:rFonts w:ascii="Arial" w:eastAsia="Calibri" w:hAnsi="Arial" w:cs="Arial"/>
          <w:b/>
          <w:color w:val="000000" w:themeColor="text1"/>
          <w:sz w:val="22"/>
        </w:rPr>
      </w:pPr>
      <w:r w:rsidRPr="00460EF9">
        <w:rPr>
          <w:rFonts w:ascii="Arial" w:hAnsi="Arial" w:cs="Arial"/>
          <w:b/>
          <w:bCs/>
          <w:sz w:val="22"/>
        </w:rPr>
        <w:t>N° Radicado: 2202013000001877</w:t>
      </w:r>
      <w:r w:rsidR="00A2021D" w:rsidRPr="00750137">
        <w:rPr>
          <w:rFonts w:ascii="Arial" w:eastAsia="Calibri" w:hAnsi="Arial" w:cs="Arial"/>
          <w:color w:val="000000" w:themeColor="text1"/>
          <w:sz w:val="22"/>
        </w:rPr>
        <w:tab/>
      </w:r>
    </w:p>
    <w:p w14:paraId="4187279E" w14:textId="77777777" w:rsidR="00047598" w:rsidRPr="00750137" w:rsidRDefault="00047598" w:rsidP="00047598">
      <w:pPr>
        <w:spacing w:line="276" w:lineRule="auto"/>
        <w:rPr>
          <w:rFonts w:ascii="Arial" w:eastAsia="Calibri" w:hAnsi="Arial" w:cs="Arial"/>
          <w:color w:val="000000" w:themeColor="text1"/>
          <w:sz w:val="22"/>
        </w:rPr>
      </w:pPr>
    </w:p>
    <w:p w14:paraId="7907B754" w14:textId="0F48C949" w:rsidR="00047598" w:rsidRPr="00750137" w:rsidRDefault="00047598" w:rsidP="00047598">
      <w:pPr>
        <w:rPr>
          <w:rFonts w:ascii="Arial" w:eastAsia="Calibri" w:hAnsi="Arial" w:cs="Arial"/>
          <w:color w:val="000000" w:themeColor="text1"/>
          <w:sz w:val="22"/>
        </w:rPr>
      </w:pPr>
      <w:r w:rsidRPr="00750137">
        <w:rPr>
          <w:rFonts w:ascii="Arial" w:eastAsia="Calibri" w:hAnsi="Arial" w:cs="Arial"/>
          <w:color w:val="000000" w:themeColor="text1"/>
          <w:sz w:val="22"/>
        </w:rPr>
        <w:t>Señor</w:t>
      </w:r>
      <w:r w:rsidR="001C2262" w:rsidRPr="00750137">
        <w:rPr>
          <w:rFonts w:ascii="Arial" w:eastAsia="Calibri" w:hAnsi="Arial" w:cs="Arial"/>
          <w:color w:val="000000" w:themeColor="text1"/>
          <w:sz w:val="22"/>
        </w:rPr>
        <w:t>a</w:t>
      </w:r>
      <w:r w:rsidRPr="00750137">
        <w:rPr>
          <w:rFonts w:ascii="Arial" w:eastAsia="Calibri" w:hAnsi="Arial" w:cs="Arial"/>
          <w:color w:val="000000" w:themeColor="text1"/>
          <w:sz w:val="22"/>
        </w:rPr>
        <w:t xml:space="preserve"> </w:t>
      </w:r>
    </w:p>
    <w:p w14:paraId="3811170A" w14:textId="77777777" w:rsidR="00047598" w:rsidRPr="00750137" w:rsidRDefault="00047598" w:rsidP="00047598">
      <w:pPr>
        <w:rPr>
          <w:rFonts w:ascii="Arial" w:eastAsia="Calibri" w:hAnsi="Arial" w:cs="Arial"/>
          <w:b/>
          <w:color w:val="000000" w:themeColor="text1"/>
          <w:sz w:val="22"/>
        </w:rPr>
      </w:pPr>
      <w:r w:rsidRPr="00750137">
        <w:rPr>
          <w:rFonts w:ascii="Arial" w:eastAsia="Calibri" w:hAnsi="Arial" w:cs="Arial"/>
          <w:b/>
          <w:color w:val="000000" w:themeColor="text1"/>
          <w:sz w:val="22"/>
        </w:rPr>
        <w:t xml:space="preserve">Carmenza Niño </w:t>
      </w:r>
    </w:p>
    <w:p w14:paraId="02ADA87D" w14:textId="77777777" w:rsidR="00047598" w:rsidRPr="00750137" w:rsidRDefault="00047598" w:rsidP="00047598">
      <w:pPr>
        <w:rPr>
          <w:rFonts w:ascii="Arial" w:eastAsia="Calibri" w:hAnsi="Arial" w:cs="Arial"/>
          <w:color w:val="000000" w:themeColor="text1"/>
          <w:sz w:val="22"/>
        </w:rPr>
      </w:pPr>
      <w:r w:rsidRPr="00750137">
        <w:rPr>
          <w:rFonts w:ascii="Arial" w:eastAsia="Calibri" w:hAnsi="Arial" w:cs="Arial"/>
          <w:color w:val="000000" w:themeColor="text1"/>
          <w:sz w:val="22"/>
        </w:rPr>
        <w:t>Ciudad</w:t>
      </w:r>
    </w:p>
    <w:p w14:paraId="5B256C52" w14:textId="77777777" w:rsidR="00047598" w:rsidRPr="00750137" w:rsidRDefault="00047598" w:rsidP="00047598">
      <w:pPr>
        <w:rPr>
          <w:rFonts w:ascii="Arial" w:eastAsia="Calibri" w:hAnsi="Arial" w:cs="Arial"/>
          <w:color w:val="000000" w:themeColor="text1"/>
          <w:sz w:val="22"/>
        </w:rPr>
      </w:pPr>
    </w:p>
    <w:p w14:paraId="45B96660" w14:textId="2F37A0C4" w:rsidR="00047598" w:rsidRPr="00750137" w:rsidRDefault="008579B7" w:rsidP="00047598">
      <w:pPr>
        <w:jc w:val="center"/>
        <w:rPr>
          <w:rFonts w:ascii="Arial" w:eastAsia="Calibri" w:hAnsi="Arial" w:cs="Arial"/>
          <w:b/>
          <w:color w:val="000000" w:themeColor="text1"/>
          <w:sz w:val="22"/>
        </w:rPr>
      </w:pPr>
      <w:r w:rsidRPr="00750137">
        <w:rPr>
          <w:rFonts w:ascii="Arial" w:eastAsia="Calibri" w:hAnsi="Arial" w:cs="Arial"/>
          <w:b/>
          <w:color w:val="000000" w:themeColor="text1"/>
          <w:sz w:val="22"/>
        </w:rPr>
        <w:t xml:space="preserve">Concepto C ― </w:t>
      </w:r>
      <w:r w:rsidR="003346F9" w:rsidRPr="00750137">
        <w:rPr>
          <w:rFonts w:ascii="Arial" w:eastAsia="Calibri" w:hAnsi="Arial" w:cs="Arial"/>
          <w:b/>
          <w:color w:val="000000" w:themeColor="text1"/>
          <w:sz w:val="22"/>
        </w:rPr>
        <w:t xml:space="preserve">095 de 2020 </w:t>
      </w:r>
    </w:p>
    <w:p w14:paraId="74994085" w14:textId="77777777" w:rsidR="00047598" w:rsidRPr="00750137" w:rsidRDefault="00047598" w:rsidP="00047598">
      <w:pPr>
        <w:jc w:val="center"/>
        <w:rPr>
          <w:rFonts w:ascii="Arial" w:eastAsia="Calibri" w:hAnsi="Arial" w:cs="Arial"/>
          <w:b/>
          <w:color w:val="000000" w:themeColor="text1"/>
          <w:sz w:val="22"/>
        </w:rPr>
      </w:pPr>
    </w:p>
    <w:tbl>
      <w:tblPr>
        <w:tblStyle w:val="Tablaconcuadrcula"/>
        <w:tblW w:w="8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21"/>
        <w:gridCol w:w="6079"/>
      </w:tblGrid>
      <w:tr w:rsidR="00750137" w:rsidRPr="00750137" w14:paraId="47DACD57" w14:textId="77777777" w:rsidTr="00E81FB3">
        <w:trPr>
          <w:trHeight w:val="1733"/>
        </w:trPr>
        <w:tc>
          <w:tcPr>
            <w:tcW w:w="2621" w:type="dxa"/>
          </w:tcPr>
          <w:p w14:paraId="364D31BE" w14:textId="77777777" w:rsidR="00047598" w:rsidRPr="00750137" w:rsidRDefault="00047598" w:rsidP="001802A9">
            <w:pPr>
              <w:rPr>
                <w:rFonts w:ascii="Arial" w:eastAsia="Calibri" w:hAnsi="Arial" w:cs="Arial"/>
                <w:color w:val="000000" w:themeColor="text1"/>
                <w:sz w:val="22"/>
              </w:rPr>
            </w:pPr>
            <w:r w:rsidRPr="00750137">
              <w:rPr>
                <w:rFonts w:ascii="Arial" w:eastAsia="Calibri" w:hAnsi="Arial" w:cs="Arial"/>
                <w:b/>
                <w:color w:val="000000" w:themeColor="text1"/>
                <w:sz w:val="22"/>
              </w:rPr>
              <w:t>Temas:</w:t>
            </w:r>
            <w:r w:rsidRPr="00750137">
              <w:rPr>
                <w:rFonts w:ascii="Arial" w:eastAsia="Calibri" w:hAnsi="Arial" w:cs="Arial"/>
                <w:color w:val="000000" w:themeColor="text1"/>
                <w:sz w:val="22"/>
              </w:rPr>
              <w:t xml:space="preserve">                                      </w:t>
            </w:r>
          </w:p>
        </w:tc>
        <w:tc>
          <w:tcPr>
            <w:tcW w:w="6079" w:type="dxa"/>
          </w:tcPr>
          <w:p w14:paraId="273F8870" w14:textId="387156CF" w:rsidR="00D70422" w:rsidRPr="00750137" w:rsidRDefault="008579B7" w:rsidP="00D70422">
            <w:pPr>
              <w:jc w:val="both"/>
              <w:rPr>
                <w:rFonts w:ascii="Arial" w:hAnsi="Arial" w:cs="Arial"/>
                <w:b/>
                <w:color w:val="000000" w:themeColor="text1"/>
                <w:sz w:val="22"/>
              </w:rPr>
            </w:pPr>
            <w:r w:rsidRPr="00750137">
              <w:rPr>
                <w:rFonts w:ascii="Arial" w:eastAsia="Calibri" w:hAnsi="Arial" w:cs="Arial"/>
                <w:color w:val="000000" w:themeColor="text1"/>
                <w:sz w:val="22"/>
              </w:rPr>
              <w:t>PUBLICIDAD SECOP ―</w:t>
            </w:r>
            <w:r w:rsidR="008C11D5" w:rsidRPr="00750137">
              <w:rPr>
                <w:rFonts w:ascii="Arial" w:eastAsia="Calibri" w:hAnsi="Arial" w:cs="Arial"/>
                <w:color w:val="000000" w:themeColor="text1"/>
                <w:sz w:val="22"/>
              </w:rPr>
              <w:t xml:space="preserve"> Entidades de régimen especial </w:t>
            </w:r>
            <w:r w:rsidR="008C11D5" w:rsidRPr="00260366">
              <w:rPr>
                <w:rFonts w:ascii="Arial" w:eastAsia="Calibri" w:hAnsi="Arial" w:cs="Arial"/>
                <w:color w:val="000000" w:themeColor="text1"/>
                <w:sz w:val="22"/>
              </w:rPr>
              <w:t>―</w:t>
            </w:r>
            <w:r w:rsidR="008C11D5" w:rsidRPr="00750137">
              <w:rPr>
                <w:rFonts w:ascii="Arial" w:eastAsia="Calibri" w:hAnsi="Arial" w:cs="Arial"/>
                <w:b/>
                <w:color w:val="000000" w:themeColor="text1"/>
                <w:sz w:val="22"/>
              </w:rPr>
              <w:t xml:space="preserve"> </w:t>
            </w:r>
            <w:r w:rsidR="008C11D5" w:rsidRPr="00750137">
              <w:rPr>
                <w:rFonts w:ascii="Arial" w:eastAsia="Calibri" w:hAnsi="Arial" w:cs="Arial"/>
                <w:color w:val="000000" w:themeColor="text1"/>
                <w:sz w:val="22"/>
              </w:rPr>
              <w:t xml:space="preserve">Fundamento normativo </w:t>
            </w:r>
            <w:r w:rsidRPr="00750137">
              <w:rPr>
                <w:rFonts w:ascii="Arial" w:eastAsia="Calibri" w:hAnsi="Arial" w:cs="Arial"/>
                <w:color w:val="000000" w:themeColor="text1"/>
                <w:sz w:val="22"/>
              </w:rPr>
              <w:t>/</w:t>
            </w:r>
            <w:r w:rsidR="007E2EE2" w:rsidRPr="00750137">
              <w:rPr>
                <w:rFonts w:ascii="Arial" w:eastAsia="Calibri" w:hAnsi="Arial" w:cs="Arial"/>
                <w:color w:val="000000" w:themeColor="text1"/>
                <w:sz w:val="22"/>
              </w:rPr>
              <w:t xml:space="preserve"> </w:t>
            </w:r>
            <w:r w:rsidR="00260366">
              <w:rPr>
                <w:rFonts w:ascii="Arial" w:eastAsia="Calibri" w:hAnsi="Arial" w:cs="Arial"/>
                <w:color w:val="000000" w:themeColor="text1"/>
                <w:sz w:val="22"/>
              </w:rPr>
              <w:t>PUBLICIDAD</w:t>
            </w:r>
            <w:r w:rsidRPr="00750137">
              <w:rPr>
                <w:rFonts w:ascii="Arial" w:eastAsia="Calibri" w:hAnsi="Arial" w:cs="Arial"/>
                <w:color w:val="000000" w:themeColor="text1"/>
                <w:sz w:val="22"/>
              </w:rPr>
              <w:t xml:space="preserve"> EN SECOP ― Entidades </w:t>
            </w:r>
            <w:r w:rsidR="007E2EE2" w:rsidRPr="00750137">
              <w:rPr>
                <w:rFonts w:ascii="Arial" w:eastAsia="Calibri" w:hAnsi="Arial" w:cs="Arial"/>
                <w:color w:val="000000" w:themeColor="text1"/>
                <w:sz w:val="22"/>
              </w:rPr>
              <w:t xml:space="preserve">de </w:t>
            </w:r>
            <w:r w:rsidRPr="00750137">
              <w:rPr>
                <w:rFonts w:ascii="Arial" w:eastAsia="Calibri" w:hAnsi="Arial" w:cs="Arial"/>
                <w:color w:val="000000" w:themeColor="text1"/>
                <w:sz w:val="22"/>
              </w:rPr>
              <w:t>régimen especial</w:t>
            </w:r>
            <w:r w:rsidRPr="00260366">
              <w:rPr>
                <w:rFonts w:ascii="Arial" w:eastAsia="Calibri" w:hAnsi="Arial" w:cs="Arial"/>
                <w:color w:val="000000" w:themeColor="text1"/>
                <w:sz w:val="22"/>
              </w:rPr>
              <w:t xml:space="preserve"> /</w:t>
            </w:r>
            <w:r w:rsidR="008C11D5" w:rsidRPr="00260366">
              <w:rPr>
                <w:rFonts w:ascii="Arial" w:eastAsia="Calibri" w:hAnsi="Arial" w:cs="Arial"/>
                <w:color w:val="000000" w:themeColor="text1"/>
                <w:sz w:val="22"/>
              </w:rPr>
              <w:t xml:space="preserve"> </w:t>
            </w:r>
            <w:r w:rsidR="00260366" w:rsidRPr="00260366">
              <w:rPr>
                <w:rFonts w:ascii="Arial" w:eastAsia="Calibri" w:hAnsi="Arial" w:cs="Arial"/>
                <w:color w:val="000000" w:themeColor="text1"/>
                <w:sz w:val="22"/>
              </w:rPr>
              <w:t>PUBLICACIÓN SECOP – Plazo – Entidades régimen especial</w:t>
            </w:r>
            <w:r w:rsidR="00260366">
              <w:rPr>
                <w:rFonts w:ascii="Arial" w:hAnsi="Arial" w:cs="Arial"/>
                <w:b/>
                <w:color w:val="000000" w:themeColor="text1"/>
                <w:sz w:val="22"/>
              </w:rPr>
              <w:t xml:space="preserve"> </w:t>
            </w:r>
            <w:r w:rsidR="00D70422" w:rsidRPr="00750137">
              <w:rPr>
                <w:rFonts w:ascii="Arial" w:eastAsia="Calibri" w:hAnsi="Arial" w:cs="Arial"/>
                <w:color w:val="000000" w:themeColor="text1"/>
                <w:sz w:val="22"/>
              </w:rPr>
              <w:t xml:space="preserve">/ </w:t>
            </w:r>
            <w:r w:rsidR="00311D88">
              <w:rPr>
                <w:rFonts w:ascii="Arial" w:hAnsi="Arial" w:cs="Arial"/>
                <w:color w:val="000000" w:themeColor="text1"/>
                <w:sz w:val="22"/>
              </w:rPr>
              <w:t xml:space="preserve">PUBLICIDAD </w:t>
            </w:r>
            <w:r w:rsidR="00D70422" w:rsidRPr="00750137">
              <w:rPr>
                <w:rFonts w:ascii="Arial" w:hAnsi="Arial" w:cs="Arial"/>
                <w:color w:val="000000" w:themeColor="text1"/>
                <w:sz w:val="22"/>
              </w:rPr>
              <w:t xml:space="preserve">EN SECOP II </w:t>
            </w:r>
            <w:r w:rsidR="00D70422" w:rsidRPr="00750137">
              <w:rPr>
                <w:rFonts w:ascii="Arial" w:eastAsia="Calibri" w:hAnsi="Arial" w:cs="Arial"/>
                <w:color w:val="000000" w:themeColor="text1"/>
                <w:sz w:val="22"/>
              </w:rPr>
              <w:t xml:space="preserve">― </w:t>
            </w:r>
            <w:r w:rsidR="00020A82">
              <w:rPr>
                <w:rFonts w:ascii="Arial" w:eastAsia="Calibri" w:hAnsi="Arial" w:cs="Arial"/>
                <w:color w:val="000000" w:themeColor="text1"/>
                <w:sz w:val="22"/>
              </w:rPr>
              <w:t xml:space="preserve">Entidades exceptuadas - </w:t>
            </w:r>
            <w:r w:rsidR="00D70422" w:rsidRPr="00750137">
              <w:rPr>
                <w:rFonts w:ascii="Arial" w:hAnsi="Arial" w:cs="Arial"/>
                <w:color w:val="000000" w:themeColor="text1"/>
                <w:sz w:val="22"/>
              </w:rPr>
              <w:t>Empresas descentralizadas del nivel municipal</w:t>
            </w:r>
            <w:r w:rsidR="00D70422" w:rsidRPr="00750137">
              <w:rPr>
                <w:rFonts w:ascii="Arial" w:hAnsi="Arial" w:cs="Arial"/>
                <w:b/>
                <w:color w:val="000000" w:themeColor="text1"/>
                <w:sz w:val="22"/>
              </w:rPr>
              <w:t xml:space="preserve"> </w:t>
            </w:r>
          </w:p>
          <w:p w14:paraId="4A7A1094" w14:textId="392DA5D4" w:rsidR="00047598" w:rsidRPr="00750137" w:rsidRDefault="00047598" w:rsidP="007B66A7">
            <w:pPr>
              <w:rPr>
                <w:rFonts w:ascii="Arial" w:eastAsia="Calibri" w:hAnsi="Arial" w:cs="Arial"/>
                <w:color w:val="000000" w:themeColor="text1"/>
                <w:sz w:val="22"/>
              </w:rPr>
            </w:pPr>
          </w:p>
        </w:tc>
      </w:tr>
      <w:tr w:rsidR="00047598" w:rsidRPr="00750137" w14:paraId="6ACE9DD9" w14:textId="77777777" w:rsidTr="00E81FB3">
        <w:trPr>
          <w:trHeight w:val="258"/>
        </w:trPr>
        <w:tc>
          <w:tcPr>
            <w:tcW w:w="2621" w:type="dxa"/>
          </w:tcPr>
          <w:p w14:paraId="300458B3" w14:textId="77777777" w:rsidR="00047598" w:rsidRPr="00750137" w:rsidRDefault="00047598" w:rsidP="001802A9">
            <w:pPr>
              <w:rPr>
                <w:rFonts w:ascii="Arial" w:eastAsia="Calibri" w:hAnsi="Arial" w:cs="Arial"/>
                <w:color w:val="000000" w:themeColor="text1"/>
                <w:sz w:val="22"/>
              </w:rPr>
            </w:pPr>
            <w:r w:rsidRPr="00750137">
              <w:rPr>
                <w:rFonts w:ascii="Arial" w:eastAsia="Calibri" w:hAnsi="Arial" w:cs="Arial"/>
                <w:b/>
                <w:color w:val="000000" w:themeColor="text1"/>
                <w:sz w:val="22"/>
              </w:rPr>
              <w:t>Radicación:</w:t>
            </w:r>
            <w:r w:rsidRPr="00750137">
              <w:rPr>
                <w:rFonts w:ascii="Arial" w:eastAsia="Calibri" w:hAnsi="Arial" w:cs="Arial"/>
                <w:color w:val="000000" w:themeColor="text1"/>
                <w:sz w:val="22"/>
              </w:rPr>
              <w:t xml:space="preserve">                              </w:t>
            </w:r>
          </w:p>
        </w:tc>
        <w:tc>
          <w:tcPr>
            <w:tcW w:w="6079" w:type="dxa"/>
          </w:tcPr>
          <w:p w14:paraId="31CB998E" w14:textId="77777777" w:rsidR="00047598" w:rsidRPr="00750137" w:rsidRDefault="00047598" w:rsidP="001802A9">
            <w:pPr>
              <w:rPr>
                <w:rFonts w:ascii="Arial" w:eastAsia="Calibri" w:hAnsi="Arial" w:cs="Arial"/>
                <w:color w:val="000000" w:themeColor="text1"/>
                <w:sz w:val="22"/>
              </w:rPr>
            </w:pPr>
            <w:r w:rsidRPr="00750137">
              <w:rPr>
                <w:rFonts w:ascii="Arial" w:eastAsia="Calibri" w:hAnsi="Arial" w:cs="Arial"/>
                <w:color w:val="000000" w:themeColor="text1"/>
                <w:sz w:val="22"/>
              </w:rPr>
              <w:t>Respuesta a consulta #  4202013000000741</w:t>
            </w:r>
          </w:p>
        </w:tc>
      </w:tr>
    </w:tbl>
    <w:p w14:paraId="138A6FB1" w14:textId="77777777" w:rsidR="00047598" w:rsidRPr="00750137" w:rsidRDefault="00047598" w:rsidP="00047598">
      <w:pPr>
        <w:spacing w:line="276" w:lineRule="auto"/>
        <w:rPr>
          <w:rFonts w:ascii="Arial" w:eastAsia="Calibri" w:hAnsi="Arial" w:cs="Arial"/>
          <w:color w:val="000000" w:themeColor="text1"/>
          <w:sz w:val="22"/>
        </w:rPr>
      </w:pPr>
    </w:p>
    <w:p w14:paraId="40EB9578" w14:textId="0AAFA48F" w:rsidR="00047598" w:rsidRPr="00750137" w:rsidRDefault="00047598" w:rsidP="00047598">
      <w:pPr>
        <w:tabs>
          <w:tab w:val="left" w:pos="3736"/>
        </w:tabs>
        <w:spacing w:line="276" w:lineRule="auto"/>
        <w:rPr>
          <w:rFonts w:ascii="Arial" w:eastAsia="Calibri" w:hAnsi="Arial" w:cs="Arial"/>
          <w:color w:val="000000" w:themeColor="text1"/>
          <w:sz w:val="22"/>
        </w:rPr>
      </w:pPr>
      <w:r w:rsidRPr="00750137">
        <w:rPr>
          <w:rFonts w:ascii="Arial" w:eastAsia="Calibri" w:hAnsi="Arial" w:cs="Arial"/>
          <w:color w:val="000000" w:themeColor="text1"/>
          <w:sz w:val="22"/>
        </w:rPr>
        <w:t>Estimada señora Niño</w:t>
      </w:r>
      <w:r w:rsidR="001C2262" w:rsidRPr="00750137">
        <w:rPr>
          <w:rFonts w:ascii="Arial" w:eastAsia="Calibri" w:hAnsi="Arial" w:cs="Arial"/>
          <w:color w:val="000000" w:themeColor="text1"/>
          <w:sz w:val="22"/>
        </w:rPr>
        <w:t>:</w:t>
      </w:r>
      <w:r w:rsidRPr="00750137">
        <w:rPr>
          <w:rFonts w:ascii="Arial" w:eastAsia="Calibri" w:hAnsi="Arial" w:cs="Arial"/>
          <w:color w:val="000000" w:themeColor="text1"/>
          <w:sz w:val="22"/>
        </w:rPr>
        <w:tab/>
      </w:r>
    </w:p>
    <w:p w14:paraId="28D1F0F7" w14:textId="77777777" w:rsidR="00047598" w:rsidRPr="00750137" w:rsidRDefault="00047598" w:rsidP="00047598">
      <w:pPr>
        <w:spacing w:line="276" w:lineRule="auto"/>
        <w:rPr>
          <w:rFonts w:ascii="Arial" w:eastAsia="Calibri" w:hAnsi="Arial" w:cs="Arial"/>
          <w:color w:val="000000" w:themeColor="text1"/>
          <w:sz w:val="22"/>
        </w:rPr>
      </w:pPr>
    </w:p>
    <w:p w14:paraId="1915FB71" w14:textId="5453F836" w:rsidR="00047598" w:rsidRPr="00750137" w:rsidRDefault="00047598" w:rsidP="007B66A7">
      <w:pPr>
        <w:spacing w:line="276" w:lineRule="auto"/>
        <w:jc w:val="both"/>
        <w:rPr>
          <w:rFonts w:ascii="Arial" w:eastAsia="Calibri" w:hAnsi="Arial" w:cs="Arial"/>
          <w:color w:val="000000" w:themeColor="text1"/>
          <w:sz w:val="22"/>
        </w:rPr>
      </w:pPr>
      <w:r w:rsidRPr="00750137">
        <w:rPr>
          <w:rFonts w:ascii="Arial" w:eastAsia="Calibri" w:hAnsi="Arial" w:cs="Arial"/>
          <w:color w:val="000000" w:themeColor="text1"/>
          <w:sz w:val="22"/>
        </w:rPr>
        <w:t xml:space="preserve">La Agencia Nacional de Contratación Pública ─Colombia Compra Eficiente responde su consulta del 29 de enero de 2020, remitida por el Departamento Administrativo de la Función </w:t>
      </w:r>
      <w:r w:rsidR="001C2262" w:rsidRPr="00750137">
        <w:rPr>
          <w:rFonts w:ascii="Arial" w:eastAsia="Calibri" w:hAnsi="Arial" w:cs="Arial"/>
          <w:color w:val="000000" w:themeColor="text1"/>
          <w:sz w:val="22"/>
        </w:rPr>
        <w:t>Pública el 31 de enero</w:t>
      </w:r>
      <w:r w:rsidRPr="00750137">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290E401B" w14:textId="77777777" w:rsidR="00B304BA" w:rsidRPr="00750137" w:rsidRDefault="00B304BA" w:rsidP="007B66A7">
      <w:pPr>
        <w:spacing w:line="276" w:lineRule="auto"/>
        <w:jc w:val="both"/>
        <w:rPr>
          <w:rFonts w:ascii="Arial" w:eastAsia="Calibri" w:hAnsi="Arial" w:cs="Arial"/>
          <w:color w:val="000000" w:themeColor="text1"/>
          <w:sz w:val="22"/>
        </w:rPr>
      </w:pPr>
    </w:p>
    <w:p w14:paraId="0B87E4F8" w14:textId="77777777" w:rsidR="00047598" w:rsidRPr="00750137" w:rsidRDefault="00047598" w:rsidP="007B66A7">
      <w:pPr>
        <w:pStyle w:val="Prrafodelista"/>
        <w:numPr>
          <w:ilvl w:val="0"/>
          <w:numId w:val="7"/>
        </w:numPr>
        <w:tabs>
          <w:tab w:val="left" w:pos="0"/>
        </w:tabs>
        <w:spacing w:line="276" w:lineRule="auto"/>
        <w:ind w:left="284" w:hanging="284"/>
        <w:contextualSpacing w:val="0"/>
        <w:jc w:val="both"/>
        <w:rPr>
          <w:rFonts w:ascii="Arial" w:eastAsia="Calibri" w:hAnsi="Arial" w:cs="Arial"/>
          <w:b/>
          <w:color w:val="000000" w:themeColor="text1"/>
          <w:sz w:val="22"/>
        </w:rPr>
      </w:pPr>
      <w:r w:rsidRPr="00750137">
        <w:rPr>
          <w:rFonts w:ascii="Arial" w:eastAsia="Calibri" w:hAnsi="Arial" w:cs="Arial"/>
          <w:b/>
          <w:color w:val="000000" w:themeColor="text1"/>
          <w:sz w:val="22"/>
        </w:rPr>
        <w:t>Problema planteado</w:t>
      </w:r>
    </w:p>
    <w:p w14:paraId="7767BE74" w14:textId="77777777" w:rsidR="00047598" w:rsidRPr="00750137" w:rsidRDefault="00047598" w:rsidP="007B66A7">
      <w:pPr>
        <w:spacing w:line="276" w:lineRule="auto"/>
        <w:jc w:val="both"/>
        <w:rPr>
          <w:rFonts w:ascii="Arial" w:eastAsia="Calibri" w:hAnsi="Arial" w:cs="Arial"/>
          <w:color w:val="000000" w:themeColor="text1"/>
          <w:sz w:val="22"/>
        </w:rPr>
      </w:pPr>
    </w:p>
    <w:p w14:paraId="62026977" w14:textId="77777777" w:rsidR="00047598" w:rsidRPr="00750137" w:rsidRDefault="00047598" w:rsidP="007B66A7">
      <w:pPr>
        <w:spacing w:line="276" w:lineRule="auto"/>
        <w:jc w:val="both"/>
        <w:rPr>
          <w:rFonts w:ascii="Arial" w:eastAsia="Calibri" w:hAnsi="Arial" w:cs="Arial"/>
          <w:color w:val="000000" w:themeColor="text1"/>
          <w:sz w:val="22"/>
        </w:rPr>
      </w:pPr>
      <w:r w:rsidRPr="00750137">
        <w:rPr>
          <w:rFonts w:ascii="Arial" w:eastAsia="Calibri" w:hAnsi="Arial" w:cs="Arial"/>
          <w:color w:val="000000" w:themeColor="text1"/>
          <w:sz w:val="22"/>
        </w:rPr>
        <w:t xml:space="preserve">Usted formula la siguiente pregunta: «en atención a la Circular Externa No. 001 de 2019, una Empresa Industrial y Comercial del Estado, descentralizada por servicios en el orden municipal, que cuenta con un régimen de contratación especial, debe realizar la publicación en el Secop II». </w:t>
      </w:r>
    </w:p>
    <w:p w14:paraId="5A974895" w14:textId="77777777" w:rsidR="007B66A7" w:rsidRPr="00750137" w:rsidRDefault="007B66A7" w:rsidP="007B66A7">
      <w:pPr>
        <w:spacing w:line="276" w:lineRule="auto"/>
        <w:jc w:val="both"/>
        <w:rPr>
          <w:color w:val="000000" w:themeColor="text1"/>
        </w:rPr>
      </w:pPr>
    </w:p>
    <w:bookmarkEnd w:id="0"/>
    <w:bookmarkEnd w:id="1"/>
    <w:p w14:paraId="393FBCED" w14:textId="040F6BED" w:rsidR="007B66A7" w:rsidRPr="00750137" w:rsidRDefault="007B66A7" w:rsidP="001C2262">
      <w:pPr>
        <w:pStyle w:val="Prrafodelista"/>
        <w:numPr>
          <w:ilvl w:val="0"/>
          <w:numId w:val="7"/>
        </w:numPr>
        <w:tabs>
          <w:tab w:val="left" w:pos="426"/>
        </w:tabs>
        <w:spacing w:line="276" w:lineRule="auto"/>
        <w:contextualSpacing w:val="0"/>
        <w:jc w:val="both"/>
        <w:rPr>
          <w:rFonts w:ascii="Arial" w:eastAsia="Calibri" w:hAnsi="Arial" w:cs="Arial"/>
          <w:b/>
          <w:color w:val="000000" w:themeColor="text1"/>
          <w:sz w:val="22"/>
        </w:rPr>
      </w:pPr>
      <w:r w:rsidRPr="00750137">
        <w:rPr>
          <w:rFonts w:ascii="Arial" w:eastAsia="Calibri" w:hAnsi="Arial" w:cs="Arial"/>
          <w:b/>
          <w:color w:val="000000" w:themeColor="text1"/>
          <w:sz w:val="22"/>
        </w:rPr>
        <w:t>Consideraciones</w:t>
      </w:r>
    </w:p>
    <w:p w14:paraId="5D3FA85D" w14:textId="77777777" w:rsidR="007B66A7" w:rsidRPr="00750137" w:rsidRDefault="007B66A7" w:rsidP="007B66A7">
      <w:pPr>
        <w:tabs>
          <w:tab w:val="left" w:pos="426"/>
        </w:tabs>
        <w:spacing w:line="276" w:lineRule="auto"/>
        <w:jc w:val="both"/>
        <w:rPr>
          <w:rFonts w:ascii="Arial" w:eastAsia="Calibri" w:hAnsi="Arial" w:cs="Arial"/>
          <w:b/>
          <w:color w:val="000000" w:themeColor="text1"/>
          <w:sz w:val="22"/>
        </w:rPr>
      </w:pPr>
    </w:p>
    <w:p w14:paraId="3C2B7741" w14:textId="77777777" w:rsidR="001C2262" w:rsidRPr="00750137" w:rsidRDefault="001C2262" w:rsidP="001C2262">
      <w:pPr>
        <w:spacing w:line="276" w:lineRule="auto"/>
        <w:jc w:val="both"/>
        <w:rPr>
          <w:rFonts w:ascii="Arial" w:eastAsia="Calibri" w:hAnsi="Arial" w:cs="Arial"/>
          <w:color w:val="000000" w:themeColor="text1"/>
          <w:sz w:val="22"/>
        </w:rPr>
      </w:pPr>
      <w:r w:rsidRPr="00750137">
        <w:rPr>
          <w:rFonts w:ascii="Arial" w:hAnsi="Arial" w:cs="Arial"/>
          <w:color w:val="000000" w:themeColor="text1"/>
          <w:sz w:val="22"/>
        </w:rPr>
        <w:lastRenderedPageBreak/>
        <w:t xml:space="preserve">La Agencia Nacional de Contratación Pública ― Colombia Compra Eficiente, </w:t>
      </w:r>
      <w:r w:rsidRPr="00750137">
        <w:rPr>
          <w:rFonts w:ascii="Arial" w:eastAsia="Calibri" w:hAnsi="Arial" w:cs="Arial"/>
          <w:color w:val="000000" w:themeColor="text1"/>
          <w:sz w:val="22"/>
        </w:rPr>
        <w:t xml:space="preserve">en el concepto identificado con radicado No. CU </w:t>
      </w:r>
      <w:r w:rsidRPr="00750137">
        <w:rPr>
          <w:rFonts w:ascii="Arial" w:hAnsi="Arial" w:cs="Arial"/>
          <w:color w:val="000000" w:themeColor="text1"/>
          <w:sz w:val="22"/>
        </w:rPr>
        <w:t>― 003 del 15 de enero de 2020</w:t>
      </w:r>
      <w:r w:rsidRPr="00750137">
        <w:rPr>
          <w:rFonts w:ascii="Arial" w:eastAsia="Calibri" w:hAnsi="Arial" w:cs="Arial"/>
          <w:color w:val="000000" w:themeColor="text1"/>
          <w:sz w:val="22"/>
        </w:rPr>
        <w:t>, estudió la obligatoriedad de las entidades con régimen especial de publicar sus contratos en la plataforma del Secop.</w:t>
      </w:r>
    </w:p>
    <w:p w14:paraId="0D3A878C" w14:textId="77777777" w:rsidR="00D70422" w:rsidRPr="00750137" w:rsidRDefault="00D70422" w:rsidP="00D70422">
      <w:pPr>
        <w:spacing w:line="276" w:lineRule="auto"/>
        <w:jc w:val="both"/>
        <w:rPr>
          <w:rFonts w:ascii="Arial" w:eastAsia="Calibri" w:hAnsi="Arial" w:cs="Arial"/>
          <w:color w:val="000000" w:themeColor="text1"/>
          <w:sz w:val="22"/>
        </w:rPr>
      </w:pPr>
    </w:p>
    <w:p w14:paraId="6A8AD812" w14:textId="77777777" w:rsidR="001C2262" w:rsidRPr="00750137" w:rsidRDefault="001C2262" w:rsidP="00D70422">
      <w:pPr>
        <w:spacing w:line="276" w:lineRule="auto"/>
        <w:jc w:val="both"/>
        <w:rPr>
          <w:rFonts w:ascii="Arial" w:eastAsia="Calibri" w:hAnsi="Arial" w:cs="Arial"/>
          <w:color w:val="000000" w:themeColor="text1"/>
          <w:sz w:val="22"/>
        </w:rPr>
      </w:pPr>
      <w:r w:rsidRPr="00750137">
        <w:rPr>
          <w:rFonts w:ascii="Arial" w:eastAsia="Calibri" w:hAnsi="Arial" w:cs="Arial"/>
          <w:color w:val="000000" w:themeColor="text1"/>
          <w:sz w:val="22"/>
        </w:rPr>
        <w:t>Para desarrollar los problemas planteados se explicará cómo el SECOP es la plataforma que las entidades deben utilizar para publicar la actividad contractual, para luego determinar los documentos contractuales que deben publicar las empresas de la naturaleza indicada en la petición, y por último, indicar el momento de su publicación. Finalmente, se informará al peticionario sobre la utilización de la plataforma electrónica SECOP.</w:t>
      </w:r>
    </w:p>
    <w:p w14:paraId="6B90141C" w14:textId="77777777" w:rsidR="001C2262" w:rsidRPr="00750137" w:rsidRDefault="001C2262" w:rsidP="00D70422">
      <w:pPr>
        <w:spacing w:line="276" w:lineRule="auto"/>
        <w:ind w:firstLine="709"/>
        <w:jc w:val="both"/>
        <w:rPr>
          <w:rFonts w:ascii="Arial" w:eastAsia="Calibri" w:hAnsi="Arial" w:cs="Arial"/>
          <w:color w:val="000000" w:themeColor="text1"/>
          <w:sz w:val="22"/>
        </w:rPr>
      </w:pPr>
      <w:r w:rsidRPr="00750137">
        <w:rPr>
          <w:rFonts w:ascii="Arial" w:eastAsia="Calibri" w:hAnsi="Arial" w:cs="Arial"/>
          <w:color w:val="000000" w:themeColor="text1"/>
          <w:sz w:val="22"/>
        </w:rPr>
        <w:t xml:space="preserve"> </w:t>
      </w:r>
    </w:p>
    <w:p w14:paraId="3C457713" w14:textId="0A66F8A5" w:rsidR="001C2262" w:rsidRPr="00750137" w:rsidRDefault="001C2262" w:rsidP="008C11D5">
      <w:pPr>
        <w:tabs>
          <w:tab w:val="left" w:pos="426"/>
        </w:tabs>
        <w:spacing w:line="276" w:lineRule="auto"/>
        <w:jc w:val="both"/>
        <w:rPr>
          <w:rFonts w:ascii="Arial" w:eastAsia="Calibri" w:hAnsi="Arial" w:cs="Arial"/>
          <w:b/>
          <w:color w:val="000000" w:themeColor="text1"/>
          <w:sz w:val="22"/>
        </w:rPr>
      </w:pPr>
      <w:r w:rsidRPr="00750137">
        <w:rPr>
          <w:rFonts w:ascii="Arial" w:eastAsia="Calibri" w:hAnsi="Arial" w:cs="Arial"/>
          <w:b/>
          <w:color w:val="000000" w:themeColor="text1"/>
          <w:sz w:val="22"/>
        </w:rPr>
        <w:t>2.1. Publicidad de los contratos en el Sistema Electrónico de Contratación Pública –SECOP–</w:t>
      </w:r>
    </w:p>
    <w:p w14:paraId="4FF5E413" w14:textId="21F335E3" w:rsidR="001C2262" w:rsidRPr="00750137" w:rsidRDefault="008C11D5" w:rsidP="00D70422">
      <w:pPr>
        <w:spacing w:before="120" w:after="120" w:line="276" w:lineRule="auto"/>
        <w:jc w:val="both"/>
        <w:rPr>
          <w:rFonts w:ascii="Arial" w:hAnsi="Arial" w:cs="Arial"/>
          <w:color w:val="000000" w:themeColor="text1"/>
          <w:sz w:val="22"/>
        </w:rPr>
      </w:pPr>
      <w:r w:rsidRPr="00750137">
        <w:rPr>
          <w:rFonts w:ascii="Arial" w:eastAsia="Calibri" w:hAnsi="Arial" w:cs="Arial"/>
          <w:bCs/>
          <w:color w:val="000000" w:themeColor="text1"/>
          <w:sz w:val="22"/>
        </w:rPr>
        <w:t>La Ag</w:t>
      </w:r>
      <w:r w:rsidR="001C2262" w:rsidRPr="00750137">
        <w:rPr>
          <w:rFonts w:ascii="Arial" w:eastAsia="Calibri" w:hAnsi="Arial" w:cs="Arial"/>
          <w:bCs/>
          <w:color w:val="000000" w:themeColor="text1"/>
          <w:sz w:val="22"/>
        </w:rPr>
        <w:t xml:space="preserve">encia Nacional de Contratación Pública estudió por primera vez este tema en la consulta No. 4201913000005397 del 9 de agosto de 2019 y reiteró la posición en las siguientes consultas: 4201912000006611 del 25 de septiembre de 2019, </w:t>
      </w:r>
      <w:r w:rsidR="001C2262" w:rsidRPr="00750137">
        <w:rPr>
          <w:rFonts w:ascii="Arial" w:hAnsi="Arial" w:cs="Arial"/>
          <w:color w:val="000000" w:themeColor="text1"/>
          <w:sz w:val="22"/>
        </w:rPr>
        <w:t xml:space="preserve">4201913000006847 del 4 de octubre de 2019, </w:t>
      </w:r>
      <w:r w:rsidR="001C2262" w:rsidRPr="00750137">
        <w:rPr>
          <w:rFonts w:ascii="Arial" w:eastAsia="Calibri" w:hAnsi="Arial" w:cs="Arial"/>
          <w:bCs/>
          <w:color w:val="000000" w:themeColor="text1"/>
          <w:sz w:val="22"/>
        </w:rPr>
        <w:t>4201912000007762 del 18 de noviembre de 2019, y en la consulta 4201912000007828 del 13 de noviembre de 2019</w:t>
      </w:r>
      <w:r w:rsidR="001C2262" w:rsidRPr="00750137">
        <w:rPr>
          <w:rFonts w:ascii="Arial" w:hAnsi="Arial" w:cs="Arial"/>
          <w:color w:val="000000" w:themeColor="text1"/>
          <w:sz w:val="22"/>
        </w:rPr>
        <w:t xml:space="preserve">.Finalmente, en el Concepto CU ― 003 de 15 de enero 2020, unificó la tesis sobre el particular. </w:t>
      </w:r>
      <w:r w:rsidR="001C2262" w:rsidRPr="00750137">
        <w:rPr>
          <w:rFonts w:ascii="Arial" w:eastAsia="Calibri" w:hAnsi="Arial" w:cs="Arial"/>
          <w:color w:val="000000" w:themeColor="text1"/>
          <w:sz w:val="22"/>
        </w:rPr>
        <w:t>En esta sostuvo la idea que se reitera a continuación:</w:t>
      </w:r>
    </w:p>
    <w:p w14:paraId="273B9461" w14:textId="77777777" w:rsidR="001C2262" w:rsidRPr="00750137" w:rsidRDefault="001C2262" w:rsidP="007E2EE2">
      <w:pPr>
        <w:spacing w:line="276" w:lineRule="auto"/>
        <w:ind w:firstLine="708"/>
        <w:jc w:val="both"/>
        <w:rPr>
          <w:rFonts w:ascii="Arial" w:hAnsi="Arial" w:cs="Arial"/>
          <w:color w:val="000000" w:themeColor="text1"/>
          <w:sz w:val="22"/>
        </w:rPr>
      </w:pPr>
      <w:r w:rsidRPr="00750137">
        <w:rPr>
          <w:rFonts w:ascii="Arial" w:eastAsia="Calibri" w:hAnsi="Arial" w:cs="Arial"/>
          <w:color w:val="000000" w:themeColor="text1"/>
          <w:sz w:val="22"/>
        </w:rPr>
        <w:t xml:space="preserve">Para la Corte Constitucional, el principio de publicidad es la garantía que tienen las personas de conocer las actuaciones judiciales y administrativas y con base en ese </w:t>
      </w:r>
      <w:r w:rsidRPr="00750137">
        <w:rPr>
          <w:rFonts w:ascii="Arial" w:hAnsi="Arial" w:cs="Arial"/>
          <w:color w:val="000000" w:themeColor="text1"/>
          <w:sz w:val="22"/>
        </w:rPr>
        <w:t xml:space="preserve">conocimiento tener la posibilidad de exigir que se surtan conforme a la ley: </w:t>
      </w:r>
    </w:p>
    <w:p w14:paraId="33B82129" w14:textId="77777777" w:rsidR="001C2262" w:rsidRPr="00750137" w:rsidRDefault="001C2262" w:rsidP="007E2EE2">
      <w:pPr>
        <w:ind w:firstLine="708"/>
        <w:jc w:val="both"/>
        <w:rPr>
          <w:rFonts w:ascii="Arial" w:hAnsi="Arial" w:cs="Arial"/>
          <w:color w:val="000000" w:themeColor="text1"/>
          <w:sz w:val="22"/>
        </w:rPr>
      </w:pPr>
    </w:p>
    <w:p w14:paraId="39DCE628" w14:textId="77777777" w:rsidR="001C2262" w:rsidRPr="00750137" w:rsidRDefault="001C2262" w:rsidP="007E2EE2">
      <w:pPr>
        <w:ind w:left="708"/>
        <w:jc w:val="both"/>
        <w:rPr>
          <w:rFonts w:ascii="Arial" w:hAnsi="Arial" w:cs="Arial"/>
          <w:color w:val="000000" w:themeColor="text1"/>
          <w:sz w:val="21"/>
          <w:szCs w:val="21"/>
        </w:rPr>
      </w:pPr>
      <w:r w:rsidRPr="00750137">
        <w:rPr>
          <w:rFonts w:ascii="Arial" w:hAnsi="Arial" w:cs="Arial"/>
          <w:color w:val="000000" w:themeColor="text1"/>
          <w:sz w:val="21"/>
          <w:szCs w:val="21"/>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6A765236" w14:textId="77777777" w:rsidR="001C2262" w:rsidRPr="00750137" w:rsidRDefault="001C2262" w:rsidP="007E2EE2">
      <w:pPr>
        <w:ind w:left="708"/>
        <w:jc w:val="both"/>
        <w:rPr>
          <w:rFonts w:ascii="Arial" w:hAnsi="Arial" w:cs="Arial"/>
          <w:color w:val="000000" w:themeColor="text1"/>
          <w:sz w:val="21"/>
          <w:szCs w:val="21"/>
        </w:rPr>
      </w:pPr>
      <w:r w:rsidRPr="00750137">
        <w:rPr>
          <w:rFonts w:ascii="Arial" w:hAnsi="Arial" w:cs="Arial"/>
          <w:color w:val="000000" w:themeColor="text1"/>
          <w:sz w:val="21"/>
          <w:szCs w:val="21"/>
        </w:rPr>
        <w:t>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autoridades públicas y, a través de ese conocimiento, a exigir que ellas se surtan conforme a la ley</w:t>
      </w:r>
      <w:r w:rsidRPr="00750137">
        <w:rPr>
          <w:rStyle w:val="Refdenotaalpie"/>
          <w:rFonts w:ascii="Arial" w:hAnsi="Arial" w:cs="Arial"/>
          <w:color w:val="000000" w:themeColor="text1"/>
          <w:sz w:val="21"/>
          <w:szCs w:val="21"/>
        </w:rPr>
        <w:footnoteReference w:id="2"/>
      </w:r>
      <w:r w:rsidRPr="00750137">
        <w:rPr>
          <w:rFonts w:ascii="Arial" w:hAnsi="Arial" w:cs="Arial"/>
          <w:color w:val="000000" w:themeColor="text1"/>
          <w:sz w:val="21"/>
          <w:szCs w:val="21"/>
        </w:rPr>
        <w:t>.</w:t>
      </w:r>
    </w:p>
    <w:p w14:paraId="4BD33CEE" w14:textId="77777777" w:rsidR="007E2EE2" w:rsidRPr="00750137" w:rsidRDefault="007E2EE2" w:rsidP="007E2EE2">
      <w:pPr>
        <w:ind w:firstLine="708"/>
        <w:jc w:val="both"/>
        <w:rPr>
          <w:rFonts w:ascii="Arial" w:hAnsi="Arial" w:cs="Arial"/>
          <w:color w:val="000000" w:themeColor="text1"/>
          <w:sz w:val="21"/>
          <w:szCs w:val="21"/>
        </w:rPr>
      </w:pPr>
    </w:p>
    <w:p w14:paraId="3242CBE0" w14:textId="77777777" w:rsidR="001C2262" w:rsidRPr="00750137" w:rsidRDefault="001C2262" w:rsidP="00D70422">
      <w:pPr>
        <w:spacing w:line="276" w:lineRule="auto"/>
        <w:ind w:firstLine="708"/>
        <w:jc w:val="both"/>
        <w:rPr>
          <w:rFonts w:ascii="Arial" w:eastAsia="Calibri" w:hAnsi="Arial" w:cs="Arial"/>
          <w:color w:val="000000" w:themeColor="text1"/>
          <w:sz w:val="22"/>
        </w:rPr>
      </w:pPr>
      <w:r w:rsidRPr="00750137">
        <w:rPr>
          <w:rFonts w:ascii="Arial" w:hAnsi="Arial" w:cs="Arial"/>
          <w:color w:val="000000" w:themeColor="text1"/>
          <w:sz w:val="22"/>
        </w:rPr>
        <w:t>El principio de publicidad impone a las autoridades administrativas el deber de dar</w:t>
      </w:r>
      <w:r w:rsidRPr="00750137">
        <w:rPr>
          <w:rFonts w:ascii="Arial" w:eastAsia="Calibri" w:hAnsi="Arial" w:cs="Arial"/>
          <w:color w:val="000000" w:themeColor="text1"/>
          <w:sz w:val="22"/>
        </w:rPr>
        <w:t xml:space="preserve"> a conocer sus actos, contratos y decisiones, para que se divulguen y eventualmente se controlen las actuaciones. </w:t>
      </w:r>
    </w:p>
    <w:p w14:paraId="47942CE9" w14:textId="77777777" w:rsidR="001C2262" w:rsidRPr="00750137" w:rsidRDefault="001C2262" w:rsidP="00D70422">
      <w:pPr>
        <w:spacing w:before="120" w:after="120" w:line="276" w:lineRule="auto"/>
        <w:ind w:firstLine="709"/>
        <w:jc w:val="both"/>
        <w:rPr>
          <w:rFonts w:ascii="Arial" w:eastAsia="Calibri" w:hAnsi="Arial" w:cs="Arial"/>
          <w:color w:val="000000" w:themeColor="text1"/>
          <w:sz w:val="22"/>
        </w:rPr>
      </w:pPr>
      <w:r w:rsidRPr="00750137">
        <w:rPr>
          <w:rFonts w:ascii="Arial" w:eastAsia="Calibri" w:hAnsi="Arial" w:cs="Arial"/>
          <w:color w:val="000000" w:themeColor="text1"/>
          <w:sz w:val="22"/>
        </w:rPr>
        <w:lastRenderedPageBreak/>
        <w:t>El literal c) del artículo 3 de la Ley 1150 de 2007 establece que el Sistema Electrónico para la Contratación Pública «contará con la información oficial de la  contratación realizada con dineros públicos, para lo cual establecerá los patrones a que haya lugar y se encargará de su difusión a través de canales electrónicos»</w:t>
      </w:r>
      <w:r w:rsidRPr="00750137">
        <w:rPr>
          <w:rFonts w:ascii="Arial" w:eastAsia="Calibri" w:hAnsi="Arial" w:cs="Arial"/>
          <w:color w:val="000000" w:themeColor="text1"/>
          <w:sz w:val="22"/>
          <w:vertAlign w:val="superscript"/>
        </w:rPr>
        <w:footnoteReference w:id="3"/>
      </w:r>
      <w:r w:rsidRPr="00750137">
        <w:rPr>
          <w:rFonts w:ascii="Arial" w:eastAsia="Calibri" w:hAnsi="Arial" w:cs="Arial"/>
          <w:color w:val="000000" w:themeColor="text1"/>
          <w:sz w:val="22"/>
        </w:rPr>
        <w:t xml:space="preserve">. </w:t>
      </w:r>
    </w:p>
    <w:p w14:paraId="1A8BCD00" w14:textId="77777777" w:rsidR="001C2262" w:rsidRPr="00750137" w:rsidRDefault="001C2262" w:rsidP="00D70422">
      <w:pPr>
        <w:spacing w:before="120" w:after="120" w:line="276" w:lineRule="auto"/>
        <w:ind w:firstLine="709"/>
        <w:jc w:val="both"/>
        <w:rPr>
          <w:rFonts w:ascii="Arial" w:eastAsia="Calibri" w:hAnsi="Arial" w:cs="Arial"/>
          <w:color w:val="000000" w:themeColor="text1"/>
          <w:sz w:val="22"/>
        </w:rPr>
      </w:pPr>
      <w:r w:rsidRPr="00750137">
        <w:rPr>
          <w:rFonts w:ascii="Arial" w:hAnsi="Arial" w:cs="Arial"/>
          <w:color w:val="000000" w:themeColor="text1"/>
          <w:sz w:val="22"/>
        </w:rPr>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750137">
        <w:rPr>
          <w:rFonts w:ascii="Arial" w:hAnsi="Arial" w:cs="Arial"/>
          <w:color w:val="000000" w:themeColor="text1"/>
          <w:sz w:val="22"/>
          <w:vertAlign w:val="superscript"/>
        </w:rPr>
        <w:footnoteReference w:id="4"/>
      </w:r>
      <w:r w:rsidRPr="00750137">
        <w:rPr>
          <w:rFonts w:ascii="Arial" w:hAnsi="Arial" w:cs="Arial"/>
          <w:color w:val="000000" w:themeColor="text1"/>
          <w:sz w:val="22"/>
        </w:rPr>
        <w:t xml:space="preserve">. El principio de transparencia en la información alude al deber de los sujetos de proporcionar y facilitar el acceso a la misma en los términos más amplios posibles, y a través de los medios y procedimientos que establezca la ley. </w:t>
      </w:r>
    </w:p>
    <w:p w14:paraId="531D4DF9" w14:textId="487973C0" w:rsidR="001C2262" w:rsidRPr="00750137" w:rsidRDefault="001C2262" w:rsidP="00D70422">
      <w:pPr>
        <w:spacing w:before="120" w:after="120" w:line="276" w:lineRule="auto"/>
        <w:ind w:firstLine="709"/>
        <w:jc w:val="both"/>
        <w:rPr>
          <w:rFonts w:ascii="Arial" w:hAnsi="Arial" w:cs="Arial"/>
          <w:color w:val="000000" w:themeColor="text1"/>
          <w:sz w:val="22"/>
        </w:rPr>
      </w:pPr>
      <w:r w:rsidRPr="00750137">
        <w:rPr>
          <w:rFonts w:ascii="Arial" w:hAnsi="Arial" w:cs="Arial"/>
          <w:color w:val="000000" w:themeColor="text1"/>
          <w:sz w:val="22"/>
        </w:rPr>
        <w:t>La ley citada establece, en el literal e) del artículo 9, que los sujetos obligados, que son todas las entidades públicas</w:t>
      </w:r>
      <w:r w:rsidRPr="00750137">
        <w:rPr>
          <w:rFonts w:ascii="Arial" w:hAnsi="Arial" w:cs="Arial"/>
          <w:color w:val="000000" w:themeColor="text1"/>
          <w:sz w:val="22"/>
          <w:vertAlign w:val="superscript"/>
        </w:rPr>
        <w:footnoteReference w:id="5"/>
      </w:r>
      <w:r w:rsidRPr="00750137">
        <w:rPr>
          <w:rFonts w:ascii="Arial" w:hAnsi="Arial" w:cs="Arial"/>
          <w:color w:val="000000" w:themeColor="text1"/>
          <w:sz w:val="22"/>
        </w:rPr>
        <w:t>, deben publicar la información relativa a su contratación. Esta obligación fue desarrollada por el Decreto Único Reglamentario 1081 de 2015</w:t>
      </w:r>
      <w:r w:rsidRPr="00750137">
        <w:rPr>
          <w:rFonts w:ascii="Arial" w:hAnsi="Arial" w:cs="Arial"/>
          <w:color w:val="000000" w:themeColor="text1"/>
          <w:sz w:val="22"/>
          <w:vertAlign w:val="superscript"/>
        </w:rPr>
        <w:footnoteReference w:id="6"/>
      </w:r>
      <w:r w:rsidRPr="00750137">
        <w:rPr>
          <w:rFonts w:ascii="Arial" w:hAnsi="Arial" w:cs="Arial"/>
          <w:color w:val="000000" w:themeColor="text1"/>
          <w:sz w:val="22"/>
        </w:rPr>
        <w:t xml:space="preserve">, el cual </w:t>
      </w:r>
      <w:r w:rsidRPr="00750137">
        <w:rPr>
          <w:rFonts w:ascii="Arial" w:hAnsi="Arial" w:cs="Arial"/>
          <w:color w:val="000000" w:themeColor="text1"/>
          <w:sz w:val="22"/>
        </w:rPr>
        <w:lastRenderedPageBreak/>
        <w:t>dispuso que la publicación de la información contractual de los sujetos obligados, que contratan con cargo a recursos públicos, debe hacerse en el Sistema Electrónico de Contratación Pública ─ SECOP.</w:t>
      </w:r>
    </w:p>
    <w:p w14:paraId="26452FE3" w14:textId="77777777" w:rsidR="001C2262" w:rsidRPr="00750137" w:rsidRDefault="001C2262" w:rsidP="00D70422">
      <w:pPr>
        <w:spacing w:before="120" w:after="120" w:line="276" w:lineRule="auto"/>
        <w:ind w:firstLine="709"/>
        <w:jc w:val="both"/>
        <w:rPr>
          <w:rFonts w:ascii="Arial" w:hAnsi="Arial" w:cs="Arial"/>
          <w:color w:val="000000" w:themeColor="text1"/>
          <w:sz w:val="22"/>
          <w:lang w:val="es-ES"/>
        </w:rPr>
      </w:pPr>
      <w:r w:rsidRPr="00750137">
        <w:rPr>
          <w:rFonts w:ascii="Arial" w:hAnsi="Arial" w:cs="Arial"/>
          <w:color w:val="000000" w:themeColor="text1"/>
          <w:sz w:val="22"/>
        </w:rPr>
        <w:t xml:space="preserve">Asimismo, de </w:t>
      </w:r>
      <w:r w:rsidRPr="00750137">
        <w:rPr>
          <w:rFonts w:ascii="Arial" w:hAnsi="Arial" w:cs="Arial"/>
          <w:color w:val="000000" w:themeColor="text1"/>
          <w:sz w:val="22"/>
          <w:lang w:val="es-ES"/>
        </w:rPr>
        <w:t xml:space="preserve">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474AE4F1" w14:textId="77777777" w:rsidR="001C2262" w:rsidRPr="00750137" w:rsidRDefault="001C2262" w:rsidP="00D70422">
      <w:pPr>
        <w:spacing w:before="120" w:after="120" w:line="276" w:lineRule="auto"/>
        <w:ind w:firstLine="709"/>
        <w:jc w:val="both"/>
        <w:rPr>
          <w:rFonts w:ascii="Arial" w:eastAsia="Calibri" w:hAnsi="Arial" w:cs="Arial"/>
          <w:color w:val="000000" w:themeColor="text1"/>
          <w:sz w:val="22"/>
        </w:rPr>
      </w:pPr>
      <w:r w:rsidRPr="00750137">
        <w:rPr>
          <w:rFonts w:ascii="Arial" w:eastAsia="Calibri" w:hAnsi="Arial" w:cs="Arial"/>
          <w:color w:val="000000" w:themeColor="text1"/>
          <w:sz w:val="22"/>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750137">
        <w:rPr>
          <w:rFonts w:ascii="Arial" w:eastAsia="Calibri" w:hAnsi="Arial" w:cs="Arial"/>
          <w:color w:val="000000" w:themeColor="text1"/>
          <w:sz w:val="22"/>
          <w:vertAlign w:val="superscript"/>
        </w:rPr>
        <w:footnoteReference w:id="7"/>
      </w:r>
      <w:r w:rsidRPr="00750137">
        <w:rPr>
          <w:rFonts w:ascii="Arial" w:eastAsia="Calibri" w:hAnsi="Arial" w:cs="Arial"/>
          <w:color w:val="000000" w:themeColor="text1"/>
          <w:sz w:val="22"/>
        </w:rPr>
        <w:t>.</w:t>
      </w:r>
    </w:p>
    <w:p w14:paraId="1F3DC459" w14:textId="77777777" w:rsidR="001C2262" w:rsidRPr="00750137" w:rsidRDefault="001C2262" w:rsidP="00D70422">
      <w:pPr>
        <w:spacing w:before="120" w:after="120" w:line="276" w:lineRule="auto"/>
        <w:ind w:firstLine="709"/>
        <w:jc w:val="both"/>
        <w:rPr>
          <w:rFonts w:ascii="Arial" w:hAnsi="Arial" w:cs="Arial"/>
          <w:color w:val="000000" w:themeColor="text1"/>
          <w:sz w:val="22"/>
          <w:lang w:val="es-ES"/>
        </w:rPr>
      </w:pPr>
      <w:r w:rsidRPr="00750137">
        <w:rPr>
          <w:rFonts w:ascii="Arial" w:hAnsi="Arial" w:cs="Arial"/>
          <w:color w:val="000000" w:themeColor="text1"/>
          <w:sz w:val="22"/>
          <w:lang w:val="es-ES"/>
        </w:rPr>
        <w:t>Para el año 2013, la Agencia Nacional de Contratación Pública ─ Colombia Compra Eficiente, mediante la mediante la Circular Externa No 1 del</w:t>
      </w:r>
      <w:r w:rsidRPr="00750137">
        <w:rPr>
          <w:rFonts w:ascii="Arial" w:hAnsi="Arial" w:cs="Arial"/>
          <w:color w:val="000000" w:themeColor="text1"/>
          <w:sz w:val="22"/>
        </w:rPr>
        <w:t xml:space="preserve"> </w:t>
      </w:r>
      <w:r w:rsidRPr="00750137">
        <w:rPr>
          <w:rFonts w:ascii="Arial" w:hAnsi="Arial" w:cs="Arial"/>
          <w:color w:val="000000" w:themeColor="text1"/>
          <w:sz w:val="22"/>
          <w:lang w:val="es-ES"/>
        </w:rPr>
        <w:t>21 de junio de 2013, recopilada en la Circular Externa Única, recordó a todas las entidades del Estado el deber de publicar oportunamente su actividad contractual en el SECOP, sin distinción de su régimen jurídico, naturaleza jurídica o la pertenencia a una u otra rama del poder público</w:t>
      </w:r>
      <w:r w:rsidRPr="00750137">
        <w:rPr>
          <w:rFonts w:ascii="Arial" w:hAnsi="Arial" w:cs="Arial"/>
          <w:color w:val="000000" w:themeColor="text1"/>
          <w:sz w:val="22"/>
          <w:vertAlign w:val="superscript"/>
          <w:lang w:val="es-ES"/>
        </w:rPr>
        <w:footnoteReference w:id="8"/>
      </w:r>
      <w:r w:rsidRPr="00750137">
        <w:rPr>
          <w:rFonts w:ascii="Arial" w:hAnsi="Arial" w:cs="Arial"/>
          <w:color w:val="000000" w:themeColor="text1"/>
          <w:sz w:val="22"/>
          <w:lang w:val="es-ES"/>
        </w:rPr>
        <w:t>. Además, la Circular Externa Única, en el numeral 1.1., establece,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1FA25929" w14:textId="77777777" w:rsidR="001C2262" w:rsidRPr="00750137" w:rsidRDefault="001C2262" w:rsidP="007E2EE2">
      <w:pPr>
        <w:spacing w:line="276" w:lineRule="auto"/>
        <w:ind w:firstLine="709"/>
        <w:jc w:val="both"/>
        <w:rPr>
          <w:rFonts w:ascii="Arial" w:hAnsi="Arial" w:cs="Arial"/>
          <w:color w:val="000000" w:themeColor="text1"/>
          <w:sz w:val="22"/>
          <w:lang w:val="es-ES"/>
        </w:rPr>
      </w:pPr>
      <w:r w:rsidRPr="00750137">
        <w:rPr>
          <w:rFonts w:ascii="Arial" w:hAnsi="Arial" w:cs="Arial"/>
          <w:color w:val="000000" w:themeColor="text1"/>
          <w:sz w:val="22"/>
          <w:lang w:val="es-ES"/>
        </w:rPr>
        <w:t>El debate sobre la obligatoriedad o no de publicar en el SECOP, para las entidades con régimen especial de contratación, ya fue definido, al menos de manera preliminar, por el Consejo de Estado, que expresó que la obligación prevista en la Circular Externa No. 1 se ajusta a la normativa superior:</w:t>
      </w:r>
    </w:p>
    <w:p w14:paraId="324330AB" w14:textId="77777777" w:rsidR="001C2262" w:rsidRPr="00750137" w:rsidRDefault="001C2262" w:rsidP="007E2EE2">
      <w:pPr>
        <w:ind w:firstLine="709"/>
        <w:jc w:val="both"/>
        <w:rPr>
          <w:rFonts w:ascii="Arial" w:hAnsi="Arial" w:cs="Arial"/>
          <w:color w:val="000000" w:themeColor="text1"/>
          <w:sz w:val="22"/>
          <w:lang w:val="es-ES"/>
        </w:rPr>
      </w:pPr>
    </w:p>
    <w:p w14:paraId="56AEE17E" w14:textId="77777777" w:rsidR="001C2262" w:rsidRPr="00750137" w:rsidRDefault="001C2262" w:rsidP="007E2EE2">
      <w:pPr>
        <w:tabs>
          <w:tab w:val="left" w:pos="3885"/>
        </w:tabs>
        <w:ind w:left="709" w:right="709"/>
        <w:jc w:val="both"/>
        <w:rPr>
          <w:rFonts w:ascii="Arial" w:hAnsi="Arial" w:cs="Arial"/>
          <w:color w:val="000000" w:themeColor="text1"/>
          <w:sz w:val="21"/>
          <w:szCs w:val="21"/>
          <w:lang w:val="es-ES"/>
        </w:rPr>
      </w:pPr>
      <w:r w:rsidRPr="00750137">
        <w:rPr>
          <w:rFonts w:ascii="Arial" w:hAnsi="Arial" w:cs="Arial"/>
          <w:color w:val="000000" w:themeColor="text1"/>
          <w:sz w:val="21"/>
          <w:szCs w:val="21"/>
          <w:lang w:val="es-ES"/>
        </w:rPr>
        <w:lastRenderedPageBreak/>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0E0D82A8" w14:textId="77777777" w:rsidR="001C2262" w:rsidRPr="00750137" w:rsidRDefault="001C2262" w:rsidP="007E2EE2">
      <w:pPr>
        <w:tabs>
          <w:tab w:val="left" w:pos="3885"/>
        </w:tabs>
        <w:ind w:left="709" w:right="709"/>
        <w:jc w:val="both"/>
        <w:rPr>
          <w:rFonts w:ascii="Arial" w:hAnsi="Arial" w:cs="Arial"/>
          <w:color w:val="000000" w:themeColor="text1"/>
          <w:sz w:val="21"/>
          <w:szCs w:val="21"/>
          <w:lang w:val="es-ES"/>
        </w:rPr>
      </w:pPr>
    </w:p>
    <w:p w14:paraId="375A1F61" w14:textId="77777777" w:rsidR="001C2262" w:rsidRPr="00750137" w:rsidRDefault="001C2262" w:rsidP="007E2EE2">
      <w:pPr>
        <w:tabs>
          <w:tab w:val="left" w:pos="3885"/>
        </w:tabs>
        <w:ind w:left="709" w:right="709"/>
        <w:jc w:val="both"/>
        <w:rPr>
          <w:rFonts w:ascii="Arial" w:hAnsi="Arial" w:cs="Arial"/>
          <w:color w:val="000000" w:themeColor="text1"/>
          <w:sz w:val="21"/>
          <w:szCs w:val="21"/>
          <w:lang w:val="es-ES"/>
        </w:rPr>
      </w:pPr>
      <w:r w:rsidRPr="00750137">
        <w:rPr>
          <w:rFonts w:ascii="Arial" w:hAnsi="Arial" w:cs="Arial"/>
          <w:color w:val="000000" w:themeColor="text1"/>
          <w:sz w:val="21"/>
          <w:szCs w:val="21"/>
          <w:lang w:val="es-ES"/>
        </w:rPr>
        <w:t>11.5. ─Y es que, si se quiere en términos más detallados el literal c) del artículo 3o de la Ley en comento responde claramente las siguientes inquietudes: ¿Quiénes están obligados? los que realizan contratación con dineros públicos; ¿en razón de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1772967F" w14:textId="77777777" w:rsidR="001C2262" w:rsidRPr="00750137" w:rsidRDefault="001C2262" w:rsidP="007E2EE2">
      <w:pPr>
        <w:tabs>
          <w:tab w:val="left" w:pos="3885"/>
        </w:tabs>
        <w:ind w:left="709" w:right="709"/>
        <w:jc w:val="both"/>
        <w:rPr>
          <w:rFonts w:ascii="Arial" w:hAnsi="Arial" w:cs="Arial"/>
          <w:color w:val="000000" w:themeColor="text1"/>
          <w:sz w:val="21"/>
          <w:szCs w:val="21"/>
          <w:lang w:val="es-ES"/>
        </w:rPr>
      </w:pPr>
      <w:r w:rsidRPr="00750137">
        <w:rPr>
          <w:rFonts w:ascii="Arial" w:hAnsi="Arial" w:cs="Arial"/>
          <w:color w:val="000000" w:themeColor="text1"/>
          <w:sz w:val="21"/>
          <w:szCs w:val="21"/>
          <w:lang w:val="es-ES"/>
        </w:rPr>
        <w:t>[…]</w:t>
      </w:r>
    </w:p>
    <w:p w14:paraId="220439D7" w14:textId="77777777" w:rsidR="001C2262" w:rsidRPr="00750137" w:rsidRDefault="001C2262" w:rsidP="007E2EE2">
      <w:pPr>
        <w:tabs>
          <w:tab w:val="left" w:pos="3885"/>
        </w:tabs>
        <w:ind w:left="709" w:right="709"/>
        <w:jc w:val="both"/>
        <w:rPr>
          <w:rFonts w:ascii="Arial" w:hAnsi="Arial" w:cs="Arial"/>
          <w:color w:val="000000" w:themeColor="text1"/>
          <w:sz w:val="21"/>
          <w:szCs w:val="21"/>
          <w:lang w:val="es-ES"/>
        </w:rPr>
      </w:pPr>
    </w:p>
    <w:p w14:paraId="172BAD52" w14:textId="77777777" w:rsidR="001C2262" w:rsidRPr="00750137" w:rsidRDefault="001C2262" w:rsidP="007E2EE2">
      <w:pPr>
        <w:tabs>
          <w:tab w:val="left" w:pos="3885"/>
        </w:tabs>
        <w:ind w:left="709" w:right="709"/>
        <w:jc w:val="both"/>
        <w:rPr>
          <w:rFonts w:ascii="Arial" w:hAnsi="Arial" w:cs="Arial"/>
          <w:color w:val="000000" w:themeColor="text1"/>
          <w:sz w:val="21"/>
          <w:szCs w:val="21"/>
          <w:lang w:val="es-ES"/>
        </w:rPr>
      </w:pPr>
      <w:r w:rsidRPr="00750137">
        <w:rPr>
          <w:rFonts w:ascii="Arial" w:hAnsi="Arial" w:cs="Arial"/>
          <w:color w:val="000000" w:themeColor="text1"/>
          <w:sz w:val="21"/>
          <w:szCs w:val="21"/>
          <w:lang w:val="es-ES"/>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750137">
        <w:rPr>
          <w:rFonts w:ascii="Arial" w:hAnsi="Arial" w:cs="Arial"/>
          <w:color w:val="000000" w:themeColor="text1"/>
          <w:sz w:val="21"/>
          <w:szCs w:val="21"/>
          <w:vertAlign w:val="superscript"/>
        </w:rPr>
        <w:footnoteReference w:id="9"/>
      </w:r>
      <w:r w:rsidRPr="00750137">
        <w:rPr>
          <w:rFonts w:ascii="Arial" w:hAnsi="Arial" w:cs="Arial"/>
          <w:color w:val="000000" w:themeColor="text1"/>
          <w:sz w:val="21"/>
          <w:szCs w:val="21"/>
          <w:lang w:val="es-ES"/>
        </w:rPr>
        <w:t>.</w:t>
      </w:r>
    </w:p>
    <w:p w14:paraId="01A4EFD2" w14:textId="77777777" w:rsidR="001C2262" w:rsidRPr="00750137" w:rsidRDefault="001C2262" w:rsidP="007E2EE2">
      <w:pPr>
        <w:tabs>
          <w:tab w:val="left" w:pos="3885"/>
        </w:tabs>
        <w:spacing w:line="276" w:lineRule="auto"/>
        <w:ind w:left="709" w:right="709"/>
        <w:jc w:val="both"/>
        <w:rPr>
          <w:rFonts w:ascii="Arial" w:hAnsi="Arial" w:cs="Arial"/>
          <w:color w:val="000000" w:themeColor="text1"/>
          <w:sz w:val="21"/>
          <w:szCs w:val="21"/>
          <w:lang w:val="es-ES"/>
        </w:rPr>
      </w:pPr>
    </w:p>
    <w:p w14:paraId="2F90F447" w14:textId="77777777" w:rsidR="001C2262" w:rsidRPr="00750137" w:rsidRDefault="001C2262" w:rsidP="007E2EE2">
      <w:pPr>
        <w:spacing w:line="276" w:lineRule="auto"/>
        <w:ind w:firstLine="708"/>
        <w:jc w:val="both"/>
        <w:rPr>
          <w:rFonts w:ascii="Arial" w:hAnsi="Arial" w:cs="Arial"/>
          <w:color w:val="000000" w:themeColor="text1"/>
          <w:sz w:val="22"/>
          <w:lang w:val="es-ES"/>
        </w:rPr>
      </w:pPr>
      <w:r w:rsidRPr="00750137">
        <w:rPr>
          <w:rFonts w:ascii="Arial" w:hAnsi="Arial" w:cs="Arial"/>
          <w:color w:val="000000" w:themeColor="text1"/>
          <w:sz w:val="22"/>
          <w:lang w:val="es-ES"/>
        </w:rPr>
        <w:t xml:space="preserve">Adicionalmente, el deber de hacer pública la información contractual oficial no se determina por la naturaleza de la entidad ejecutora ─pública o privada─, ni del régimen sustantivo contractual que aplique, sea de la Ley 80 de 1993 o de los regímenes exceptuados. En particular, sobre el deber de publicidad de estos, el Consejo de Estado sostuvo: </w:t>
      </w:r>
    </w:p>
    <w:p w14:paraId="66F808FB" w14:textId="77777777" w:rsidR="001C2262" w:rsidRPr="00750137" w:rsidRDefault="001C2262" w:rsidP="001C2262">
      <w:pPr>
        <w:ind w:firstLine="708"/>
        <w:jc w:val="both"/>
        <w:rPr>
          <w:rFonts w:ascii="Arial" w:hAnsi="Arial" w:cs="Arial"/>
          <w:color w:val="000000" w:themeColor="text1"/>
          <w:sz w:val="21"/>
          <w:szCs w:val="21"/>
          <w:lang w:val="es-ES"/>
        </w:rPr>
      </w:pPr>
    </w:p>
    <w:p w14:paraId="547D6B92" w14:textId="77777777" w:rsidR="001C2262" w:rsidRPr="00750137" w:rsidRDefault="001C2262" w:rsidP="001C2262">
      <w:pPr>
        <w:ind w:leftChars="295" w:left="708" w:right="709"/>
        <w:jc w:val="both"/>
        <w:rPr>
          <w:rFonts w:ascii="Arial" w:hAnsi="Arial" w:cs="Arial"/>
          <w:color w:val="000000" w:themeColor="text1"/>
          <w:sz w:val="21"/>
          <w:szCs w:val="21"/>
          <w:lang w:val="es-ES"/>
        </w:rPr>
      </w:pPr>
      <w:r w:rsidRPr="00750137">
        <w:rPr>
          <w:rFonts w:ascii="Arial" w:hAnsi="Arial" w:cs="Arial"/>
          <w:color w:val="000000" w:themeColor="text1"/>
          <w:sz w:val="21"/>
          <w:szCs w:val="21"/>
          <w:lang w:val="es-ES"/>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p>
    <w:p w14:paraId="6A94B53A" w14:textId="77777777" w:rsidR="001C2262" w:rsidRPr="00750137" w:rsidRDefault="001C2262" w:rsidP="001C2262">
      <w:pPr>
        <w:ind w:leftChars="295" w:left="708" w:right="709"/>
        <w:jc w:val="both"/>
        <w:rPr>
          <w:rFonts w:ascii="Arial" w:hAnsi="Arial" w:cs="Arial"/>
          <w:color w:val="000000" w:themeColor="text1"/>
          <w:sz w:val="21"/>
          <w:szCs w:val="21"/>
          <w:lang w:val="es-ES"/>
        </w:rPr>
      </w:pPr>
    </w:p>
    <w:p w14:paraId="286075A1" w14:textId="423FFD6F" w:rsidR="001C2262" w:rsidRPr="00750137" w:rsidRDefault="001C2262" w:rsidP="003C7C85">
      <w:pPr>
        <w:spacing w:before="120" w:after="120" w:line="276" w:lineRule="auto"/>
        <w:ind w:firstLine="709"/>
        <w:jc w:val="both"/>
        <w:rPr>
          <w:rFonts w:ascii="Arial" w:hAnsi="Arial" w:cs="Arial"/>
          <w:color w:val="000000" w:themeColor="text1"/>
          <w:sz w:val="22"/>
          <w:lang w:val="es-ES"/>
        </w:rPr>
      </w:pPr>
      <w:r w:rsidRPr="00750137">
        <w:rPr>
          <w:rFonts w:ascii="Arial" w:hAnsi="Arial" w:cs="Arial"/>
          <w:color w:val="000000" w:themeColor="text1"/>
          <w:sz w:val="22"/>
          <w:lang w:val="es-ES"/>
        </w:rPr>
        <w:lastRenderedPageBreak/>
        <w:t xml:space="preserve">Nótese, entonces, que el Consejo de Estado asumió como criterio para determinar la obligatoriedad de publicar en el SECOP que la contratación se haga con recursos públicos, conclusión que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de Colombia Compra Eficiente, un pronunciamiento del Consejo de Estado. </w:t>
      </w:r>
    </w:p>
    <w:p w14:paraId="178D5F02" w14:textId="77777777" w:rsidR="001C2262" w:rsidRPr="00750137" w:rsidRDefault="001C2262" w:rsidP="001C2262">
      <w:pPr>
        <w:spacing w:line="276" w:lineRule="auto"/>
        <w:ind w:firstLine="709"/>
        <w:jc w:val="both"/>
        <w:rPr>
          <w:rFonts w:ascii="Arial" w:hAnsi="Arial" w:cs="Arial"/>
          <w:color w:val="000000" w:themeColor="text1"/>
          <w:sz w:val="22"/>
          <w:lang w:val="es-ES"/>
        </w:rPr>
      </w:pPr>
      <w:r w:rsidRPr="00750137">
        <w:rPr>
          <w:rFonts w:ascii="Arial" w:hAnsi="Arial" w:cs="Arial"/>
          <w:color w:val="000000" w:themeColor="text1"/>
          <w:sz w:val="22"/>
          <w:lang w:val="es-ES"/>
        </w:rPr>
        <w:t xml:space="preserve">Dentro de los fundamentos que consideró el máximo tribunal de lo contencioso administrativo, no tuvo en cuenta razones de orden fáctico, relativas a las responsabilidades de las entidades o su posible afectación en la competitividad para aquellas que operan en diferentes mercados. La razón relevante es que si la entidad contrata con dineros públicos debe publicar su proceso de contratación en el SECOP. </w:t>
      </w:r>
    </w:p>
    <w:p w14:paraId="32911B1F" w14:textId="77777777" w:rsidR="00FC27EA" w:rsidRPr="00750137" w:rsidRDefault="00FC27EA" w:rsidP="00FC27EA">
      <w:pPr>
        <w:spacing w:line="276" w:lineRule="auto"/>
        <w:ind w:firstLine="709"/>
        <w:jc w:val="both"/>
        <w:rPr>
          <w:rFonts w:ascii="Arial" w:eastAsia="Calibri" w:hAnsi="Arial" w:cs="Arial"/>
          <w:color w:val="000000" w:themeColor="text1"/>
          <w:sz w:val="22"/>
          <w:lang w:val="es-ES"/>
        </w:rPr>
      </w:pPr>
    </w:p>
    <w:p w14:paraId="1BAB0B29" w14:textId="4BDFE21A" w:rsidR="001C2262" w:rsidRPr="00750137" w:rsidRDefault="001C2262" w:rsidP="00FC27EA">
      <w:pPr>
        <w:tabs>
          <w:tab w:val="left" w:pos="284"/>
          <w:tab w:val="left" w:pos="426"/>
        </w:tabs>
        <w:spacing w:line="276" w:lineRule="auto"/>
        <w:jc w:val="both"/>
        <w:rPr>
          <w:rFonts w:ascii="Arial" w:hAnsi="Arial" w:cs="Arial"/>
          <w:b/>
          <w:color w:val="000000" w:themeColor="text1"/>
          <w:sz w:val="22"/>
          <w:lang w:val="es-ES"/>
        </w:rPr>
      </w:pPr>
      <w:r w:rsidRPr="00750137">
        <w:rPr>
          <w:rFonts w:ascii="Arial" w:hAnsi="Arial" w:cs="Arial"/>
          <w:b/>
          <w:color w:val="000000" w:themeColor="text1"/>
          <w:sz w:val="22"/>
          <w:lang w:val="es-ES"/>
        </w:rPr>
        <w:t xml:space="preserve">2.2. </w:t>
      </w:r>
      <w:r w:rsidR="007E2EE2" w:rsidRPr="00750137">
        <w:rPr>
          <w:rFonts w:ascii="Arial" w:hAnsi="Arial" w:cs="Arial"/>
          <w:b/>
          <w:color w:val="000000" w:themeColor="text1"/>
          <w:sz w:val="22"/>
          <w:lang w:val="es-ES"/>
        </w:rPr>
        <w:t>Documentos</w:t>
      </w:r>
      <w:r w:rsidRPr="00750137">
        <w:rPr>
          <w:rFonts w:ascii="Arial" w:hAnsi="Arial" w:cs="Arial"/>
          <w:b/>
          <w:color w:val="000000" w:themeColor="text1"/>
          <w:sz w:val="22"/>
          <w:lang w:val="es-ES"/>
        </w:rPr>
        <w:t xml:space="preserve"> que publican las entidades de régimen especial </w:t>
      </w:r>
      <w:r w:rsidR="007E2EE2" w:rsidRPr="00750137">
        <w:rPr>
          <w:rFonts w:ascii="Arial" w:hAnsi="Arial" w:cs="Arial"/>
          <w:b/>
          <w:color w:val="000000" w:themeColor="text1"/>
          <w:sz w:val="22"/>
          <w:lang w:val="es-ES"/>
        </w:rPr>
        <w:t>en el SECOP y término para hacerlo</w:t>
      </w:r>
    </w:p>
    <w:p w14:paraId="0BD7D799" w14:textId="77777777" w:rsidR="001C2262" w:rsidRPr="00750137" w:rsidRDefault="001C2262" w:rsidP="00FC27EA">
      <w:pPr>
        <w:tabs>
          <w:tab w:val="left" w:pos="284"/>
          <w:tab w:val="left" w:pos="426"/>
        </w:tabs>
        <w:spacing w:line="276" w:lineRule="auto"/>
        <w:ind w:left="142"/>
        <w:jc w:val="both"/>
        <w:rPr>
          <w:rFonts w:ascii="Arial" w:hAnsi="Arial" w:cs="Arial"/>
          <w:b/>
          <w:color w:val="000000" w:themeColor="text1"/>
          <w:sz w:val="22"/>
          <w:lang w:val="es-ES"/>
        </w:rPr>
      </w:pPr>
    </w:p>
    <w:p w14:paraId="7276C8CB" w14:textId="77777777" w:rsidR="001C2262" w:rsidRPr="00750137" w:rsidRDefault="001C2262" w:rsidP="00FC27EA">
      <w:pPr>
        <w:spacing w:line="276" w:lineRule="auto"/>
        <w:jc w:val="both"/>
        <w:rPr>
          <w:rFonts w:ascii="Arial" w:eastAsia="Calibri" w:hAnsi="Arial" w:cs="Arial"/>
          <w:color w:val="000000" w:themeColor="text1"/>
          <w:sz w:val="22"/>
          <w:lang w:val="es-ES"/>
        </w:rPr>
      </w:pPr>
      <w:r w:rsidRPr="00750137">
        <w:rPr>
          <w:rFonts w:ascii="Arial" w:eastAsia="Calibri" w:hAnsi="Arial" w:cs="Arial"/>
          <w:color w:val="000000" w:themeColor="text1"/>
          <w:sz w:val="22"/>
          <w:lang w:val="es-ES"/>
        </w:rPr>
        <w:t>Determinada la obligación que tienen las entidades sujetas a un régimen especial de publicar su actividad contractual en el SECOP, a continuación se identificarán los documentos que deben publicar, n</w:t>
      </w:r>
      <w:r w:rsidRPr="00750137">
        <w:rPr>
          <w:rFonts w:ascii="Arial" w:hAnsi="Arial" w:cs="Arial"/>
          <w:bCs/>
          <w:color w:val="000000" w:themeColor="text1"/>
          <w:sz w:val="22"/>
          <w:lang w:val="es-ES"/>
        </w:rPr>
        <w:t>o sin antes explicar la posición que la Agencia Nacional de Contratación Pública ─ Colombia Compra Eficiente ha adoptado desde el 2016 hasta el 2019.</w:t>
      </w:r>
    </w:p>
    <w:p w14:paraId="52020723" w14:textId="77777777" w:rsidR="001C2262" w:rsidRPr="00750137" w:rsidRDefault="001C2262" w:rsidP="001C2262">
      <w:pPr>
        <w:spacing w:line="276" w:lineRule="auto"/>
        <w:ind w:firstLine="708"/>
        <w:jc w:val="both"/>
        <w:rPr>
          <w:rFonts w:ascii="Arial" w:eastAsia="Calibri" w:hAnsi="Arial" w:cs="Arial"/>
          <w:color w:val="000000" w:themeColor="text1"/>
          <w:sz w:val="22"/>
          <w:lang w:val="es-ES"/>
        </w:rPr>
      </w:pPr>
      <w:r w:rsidRPr="00750137">
        <w:rPr>
          <w:rFonts w:ascii="Arial" w:hAnsi="Arial" w:cs="Arial"/>
          <w:bCs/>
          <w:color w:val="000000" w:themeColor="text1"/>
          <w:sz w:val="22"/>
          <w:lang w:val="es-ES"/>
        </w:rPr>
        <w:t>En la consulta identificada con el Radicado No. 41612000877 del 15 de febrero de 2016, señaló que las empresas industriales y comerciales del Estado, las empresas de servicios públicos domiciliarios y las sociedades de economía mixta, todas sometidas a un régimen especial de contratación, debían publicar en el SECOP todos los documentos del proceso que define el Decreto 1082 de 2015, así como lo relativo a la ejecución del contrato. Lo anterior se fundamentó en el literal c) del artículo 3 de la Ley 1150 de 2007</w:t>
      </w:r>
      <w:r w:rsidRPr="00750137">
        <w:rPr>
          <w:rFonts w:ascii="Arial" w:hAnsi="Arial" w:cs="Arial"/>
          <w:bCs/>
          <w:color w:val="000000" w:themeColor="text1"/>
          <w:sz w:val="22"/>
          <w:vertAlign w:val="superscript"/>
          <w:lang w:val="es-ES"/>
        </w:rPr>
        <w:footnoteReference w:id="10"/>
      </w:r>
      <w:r w:rsidRPr="00750137">
        <w:rPr>
          <w:rFonts w:ascii="Arial" w:hAnsi="Arial" w:cs="Arial"/>
          <w:bCs/>
          <w:color w:val="000000" w:themeColor="text1"/>
          <w:sz w:val="22"/>
          <w:lang w:val="es-ES"/>
        </w:rPr>
        <w:t>.</w:t>
      </w:r>
    </w:p>
    <w:p w14:paraId="32D89911" w14:textId="77777777" w:rsidR="001C2262" w:rsidRPr="00750137" w:rsidRDefault="001C2262" w:rsidP="001C2262">
      <w:pPr>
        <w:spacing w:before="120" w:after="120" w:line="276" w:lineRule="auto"/>
        <w:ind w:firstLine="709"/>
        <w:jc w:val="both"/>
        <w:rPr>
          <w:rFonts w:ascii="Arial" w:eastAsia="Calibri" w:hAnsi="Arial" w:cs="Arial"/>
          <w:color w:val="000000" w:themeColor="text1"/>
          <w:sz w:val="22"/>
          <w:lang w:val="es-ES"/>
        </w:rPr>
      </w:pPr>
      <w:r w:rsidRPr="00750137">
        <w:rPr>
          <w:rFonts w:ascii="Arial" w:hAnsi="Arial" w:cs="Arial"/>
          <w:color w:val="000000" w:themeColor="text1"/>
          <w:sz w:val="22"/>
          <w:lang w:val="es-ES"/>
        </w:rPr>
        <w:t xml:space="preserve">En este sentido, la Agencia Nacional de Contratación Pública, en virtud del literal c) del artículo 3 de la Ley 1150 de 2007, reconoció la obligatoriedad, por parte de las entidades de régimen especial, de publicar su actividad contractual en el SECOP. Ahora, con fundamento en el artículo 2.2.1.1.1.3.1 del Decreto 1082 de 2015, normativa que aplica a </w:t>
      </w:r>
      <w:r w:rsidRPr="00750137">
        <w:rPr>
          <w:rFonts w:ascii="Arial" w:hAnsi="Arial" w:cs="Arial"/>
          <w:color w:val="000000" w:themeColor="text1"/>
          <w:sz w:val="22"/>
          <w:lang w:val="es-ES"/>
        </w:rPr>
        <w:lastRenderedPageBreak/>
        <w:t xml:space="preserve">las entidades que se rigen por la Ley 80 de 1993, se enunciaron los </w:t>
      </w:r>
      <w:r w:rsidRPr="00750137">
        <w:rPr>
          <w:rFonts w:ascii="Arial" w:eastAsia="Calibri" w:hAnsi="Arial" w:cs="Arial"/>
          <w:color w:val="000000" w:themeColor="text1"/>
          <w:sz w:val="22"/>
          <w:lang w:val="es-ES"/>
        </w:rPr>
        <w:t xml:space="preserve">documentos del proceso que se debían publicar. </w:t>
      </w:r>
    </w:p>
    <w:p w14:paraId="3A74E25D" w14:textId="77777777" w:rsidR="001C2262" w:rsidRPr="00750137" w:rsidRDefault="001C2262" w:rsidP="001C2262">
      <w:pPr>
        <w:spacing w:before="120" w:after="120" w:line="276" w:lineRule="auto"/>
        <w:ind w:firstLine="709"/>
        <w:jc w:val="both"/>
        <w:rPr>
          <w:rFonts w:ascii="Arial" w:eastAsia="Calibri" w:hAnsi="Arial" w:cs="Arial"/>
          <w:color w:val="000000" w:themeColor="text1"/>
          <w:sz w:val="22"/>
          <w:lang w:val="es-ES"/>
        </w:rPr>
      </w:pPr>
      <w:r w:rsidRPr="00750137">
        <w:rPr>
          <w:rFonts w:ascii="Arial" w:eastAsia="Calibri" w:hAnsi="Arial" w:cs="Arial"/>
          <w:color w:val="000000" w:themeColor="text1"/>
          <w:sz w:val="22"/>
          <w:lang w:val="es-ES"/>
        </w:rPr>
        <w:t>Posteriormente, en el año 2018, cambió el fundamento normativo que define los documentos que las entidades de régimen especial debían publicar en el SECOP. En el concepto con radicado No. 4201814000008329 del 8 de octubre de 2018 se dijo que en virtud del artículo 11 de la Ley 1712 de 2014, los destinatarios de las normas contenidas en la ley de transparencia deben publicar los procedimientos, lineamientos, políticas en materia de adquisiciones y compras, así como todos los datos de adjudicación y ejecución de contratos, incluidos concursos y licitaciones. Por lo tanto, los documentos que se deben publicar serán los previstos en el manual de contratación de cada entidad de régimen especial para la adquisición de un bien o servicio, y no los que define el artículo 2.2.1.1.1.3.1 del Decreto 1082 de 2015</w:t>
      </w:r>
      <w:r w:rsidRPr="00750137">
        <w:rPr>
          <w:rFonts w:ascii="Arial" w:eastAsia="Calibri" w:hAnsi="Arial" w:cs="Arial"/>
          <w:color w:val="000000" w:themeColor="text1"/>
          <w:sz w:val="22"/>
          <w:vertAlign w:val="superscript"/>
          <w:lang w:val="es-ES"/>
        </w:rPr>
        <w:footnoteReference w:id="11"/>
      </w:r>
      <w:r w:rsidRPr="00750137">
        <w:rPr>
          <w:rFonts w:ascii="Arial" w:eastAsia="Calibri" w:hAnsi="Arial" w:cs="Arial"/>
          <w:color w:val="000000" w:themeColor="text1"/>
          <w:sz w:val="22"/>
          <w:lang w:val="es-ES"/>
        </w:rPr>
        <w:t xml:space="preserve">. </w:t>
      </w:r>
    </w:p>
    <w:p w14:paraId="311CE4AD" w14:textId="77777777" w:rsidR="001C2262" w:rsidRPr="00750137" w:rsidRDefault="001C2262" w:rsidP="001C2262">
      <w:pPr>
        <w:spacing w:before="120" w:after="120" w:line="276" w:lineRule="auto"/>
        <w:ind w:firstLine="709"/>
        <w:jc w:val="both"/>
        <w:rPr>
          <w:rFonts w:ascii="Arial" w:eastAsia="Calibri" w:hAnsi="Arial" w:cs="Arial"/>
          <w:color w:val="000000" w:themeColor="text1"/>
          <w:sz w:val="22"/>
          <w:lang w:val="es-ES"/>
        </w:rPr>
      </w:pPr>
      <w:r w:rsidRPr="00750137">
        <w:rPr>
          <w:rFonts w:ascii="Arial" w:eastAsia="Calibri" w:hAnsi="Arial" w:cs="Arial"/>
          <w:color w:val="000000" w:themeColor="text1"/>
          <w:sz w:val="22"/>
          <w:lang w:val="es-ES"/>
        </w:rPr>
        <w:t xml:space="preserve">Conforme a lo anterior, en un primer momento la Agencia Nacional de Contratación Pública definió los documentos del proceso que las entidades de régimen especial debían publicar en el SECOP, con fundamento en el artículo 2.2.1.1.1.3.1 del Decreto 1082 de 2015; en un segundo momento se identificaron los documentos en virtud del literal g), del artículo 11 de la Ley 1712 de 2014 y lo previsto en el Decreto 103 de 2015. Esta posición es la que se acogerá y desarrollará en esta consulta. </w:t>
      </w:r>
    </w:p>
    <w:p w14:paraId="3C7D80FD" w14:textId="77777777" w:rsidR="001C2262" w:rsidRPr="00750137" w:rsidRDefault="001C2262" w:rsidP="001C2262">
      <w:pPr>
        <w:spacing w:before="120" w:after="120" w:line="276" w:lineRule="auto"/>
        <w:ind w:firstLine="709"/>
        <w:jc w:val="both"/>
        <w:rPr>
          <w:rFonts w:ascii="Arial" w:eastAsia="Calibri" w:hAnsi="Arial" w:cs="Arial"/>
          <w:color w:val="000000" w:themeColor="text1"/>
          <w:sz w:val="22"/>
        </w:rPr>
      </w:pPr>
      <w:r w:rsidRPr="00750137">
        <w:rPr>
          <w:rFonts w:ascii="Arial" w:eastAsia="Calibri" w:hAnsi="Arial" w:cs="Arial"/>
          <w:color w:val="000000" w:themeColor="text1"/>
          <w:sz w:val="22"/>
        </w:rPr>
        <w:t xml:space="preserve">En efecto, la Ley 1712 de 2014 o Ley de Transparencia y del Derecho de Acceso a la Información Pública, señala en el literal g), artículo 11, que todo sujeto obligado 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 </w:t>
      </w:r>
    </w:p>
    <w:p w14:paraId="289F1091" w14:textId="66F1E86B" w:rsidR="001C2262" w:rsidRPr="00750137" w:rsidRDefault="001C2262" w:rsidP="007E2EE2">
      <w:pPr>
        <w:spacing w:before="120" w:after="120" w:line="276" w:lineRule="auto"/>
        <w:ind w:firstLine="709"/>
        <w:jc w:val="both"/>
        <w:rPr>
          <w:rFonts w:ascii="Arial" w:eastAsia="Calibri" w:hAnsi="Arial" w:cs="Arial"/>
          <w:color w:val="000000" w:themeColor="text1"/>
          <w:sz w:val="22"/>
        </w:rPr>
      </w:pPr>
      <w:r w:rsidRPr="00750137">
        <w:rPr>
          <w:rFonts w:ascii="Arial" w:eastAsia="Calibri" w:hAnsi="Arial" w:cs="Arial"/>
          <w:color w:val="000000" w:themeColor="text1"/>
          <w:sz w:val="22"/>
        </w:rPr>
        <w:t xml:space="preserve">Luego, el Decreto reglamentario 103 de 2015, «Por el cual se reglamenta parcialmente la Ley 1712 de 2014 y se dictan otras disposiciones», en el artículo 8, señala, de forma enunciativa, que se debe publicar la información relativa a la ejecución del </w:t>
      </w:r>
      <w:r w:rsidRPr="00750137">
        <w:rPr>
          <w:rFonts w:ascii="Arial" w:eastAsia="Calibri" w:hAnsi="Arial" w:cs="Arial"/>
          <w:color w:val="000000" w:themeColor="text1"/>
          <w:sz w:val="22"/>
        </w:rPr>
        <w:lastRenderedPageBreak/>
        <w:t>contrato, como las aprobaciones, autorizaciones, requerimientos o informes del supervisor o interventor, que aprueben la ejecución del contrato</w:t>
      </w:r>
      <w:r w:rsidRPr="00750137">
        <w:rPr>
          <w:rFonts w:ascii="Arial" w:eastAsia="Calibri" w:hAnsi="Arial" w:cs="Arial"/>
          <w:color w:val="000000" w:themeColor="text1"/>
          <w:sz w:val="22"/>
          <w:vertAlign w:val="superscript"/>
        </w:rPr>
        <w:footnoteReference w:id="12"/>
      </w:r>
      <w:r w:rsidRPr="00750137">
        <w:rPr>
          <w:rFonts w:ascii="Arial" w:eastAsia="Calibri" w:hAnsi="Arial" w:cs="Arial"/>
          <w:color w:val="000000" w:themeColor="text1"/>
          <w:sz w:val="22"/>
        </w:rPr>
        <w:t>. Por su parte, el artículo 9 señala que las entidades deberán publicar los procedimientos, lineamientos y políticas en materia de adquisición, que no son otros que los previstos en el manual de contratación, que se expidió de acuerdo con los lineamientos de la Agencia Nacional de Contratación Pública, el cual debe publicarse en el sitio web del sujeto obligado</w:t>
      </w:r>
      <w:r w:rsidRPr="00750137">
        <w:rPr>
          <w:rFonts w:ascii="Arial" w:eastAsia="Calibri" w:hAnsi="Arial" w:cs="Arial"/>
          <w:color w:val="000000" w:themeColor="text1"/>
          <w:sz w:val="22"/>
          <w:vertAlign w:val="superscript"/>
        </w:rPr>
        <w:footnoteReference w:id="13"/>
      </w:r>
      <w:r w:rsidRPr="00750137">
        <w:rPr>
          <w:rFonts w:ascii="Arial" w:eastAsia="Calibri" w:hAnsi="Arial" w:cs="Arial"/>
          <w:color w:val="000000" w:themeColor="text1"/>
          <w:sz w:val="22"/>
        </w:rPr>
        <w:t>. Finalmente, el artículo 10 establece la obligación que tienen las entidades de publicar en el SECOP el Plan Anual de Adquisiciones</w:t>
      </w:r>
      <w:r w:rsidRPr="00750137">
        <w:rPr>
          <w:rFonts w:ascii="Arial" w:eastAsia="Calibri" w:hAnsi="Arial" w:cs="Arial"/>
          <w:color w:val="000000" w:themeColor="text1"/>
          <w:sz w:val="22"/>
          <w:vertAlign w:val="superscript"/>
        </w:rPr>
        <w:footnoteReference w:id="14"/>
      </w:r>
      <w:r w:rsidRPr="00750137">
        <w:rPr>
          <w:rFonts w:ascii="Arial" w:eastAsia="Calibri" w:hAnsi="Arial" w:cs="Arial"/>
          <w:color w:val="000000" w:themeColor="text1"/>
          <w:sz w:val="22"/>
        </w:rPr>
        <w:t xml:space="preserve">.  </w:t>
      </w:r>
    </w:p>
    <w:p w14:paraId="794B4B7C" w14:textId="3E2D4789" w:rsidR="001C2262" w:rsidRPr="00750137" w:rsidRDefault="001C2262" w:rsidP="001C2262">
      <w:pPr>
        <w:spacing w:before="120" w:after="120" w:line="276" w:lineRule="auto"/>
        <w:ind w:firstLine="709"/>
        <w:jc w:val="both"/>
        <w:rPr>
          <w:rFonts w:ascii="Arial" w:eastAsia="Calibri" w:hAnsi="Arial" w:cs="Arial"/>
          <w:color w:val="000000" w:themeColor="text1"/>
          <w:sz w:val="22"/>
        </w:rPr>
      </w:pPr>
      <w:r w:rsidRPr="00750137">
        <w:rPr>
          <w:rFonts w:ascii="Arial" w:eastAsia="Calibri" w:hAnsi="Arial" w:cs="Arial"/>
          <w:color w:val="000000" w:themeColor="text1"/>
          <w:sz w:val="22"/>
        </w:rPr>
        <w:t>De conformidad con lo anterior, el Decreto 103 de 2015 señala que los documentos que deben publicar las entidades estatales</w:t>
      </w:r>
      <w:r w:rsidR="007E2EE2" w:rsidRPr="00750137">
        <w:rPr>
          <w:rFonts w:ascii="Arial" w:eastAsia="Calibri" w:hAnsi="Arial" w:cs="Arial"/>
          <w:color w:val="000000" w:themeColor="text1"/>
          <w:sz w:val="22"/>
        </w:rPr>
        <w:t xml:space="preserve"> a quienes les aplica la Ley 1712 de 201</w:t>
      </w:r>
      <w:r w:rsidR="008C11D5" w:rsidRPr="00750137">
        <w:rPr>
          <w:rFonts w:ascii="Arial" w:eastAsia="Calibri" w:hAnsi="Arial" w:cs="Arial"/>
          <w:color w:val="000000" w:themeColor="text1"/>
          <w:sz w:val="22"/>
        </w:rPr>
        <w:t>4</w:t>
      </w:r>
      <w:r w:rsidRPr="00750137">
        <w:rPr>
          <w:rFonts w:ascii="Arial" w:eastAsia="Calibri" w:hAnsi="Arial" w:cs="Arial"/>
          <w:color w:val="000000" w:themeColor="text1"/>
          <w:sz w:val="22"/>
        </w:rPr>
        <w:t xml:space="preserve">, entre </w:t>
      </w:r>
      <w:r w:rsidR="007E2EE2" w:rsidRPr="00750137">
        <w:rPr>
          <w:rFonts w:ascii="Arial" w:eastAsia="Calibri" w:hAnsi="Arial" w:cs="Arial"/>
          <w:color w:val="000000" w:themeColor="text1"/>
          <w:sz w:val="22"/>
        </w:rPr>
        <w:t>estas, por ejemplo,</w:t>
      </w:r>
      <w:r w:rsidRPr="00750137">
        <w:rPr>
          <w:rFonts w:ascii="Arial" w:eastAsia="Calibri" w:hAnsi="Arial" w:cs="Arial"/>
          <w:color w:val="000000" w:themeColor="text1"/>
          <w:sz w:val="22"/>
        </w:rPr>
        <w:t xml:space="preserve"> las empresas de servicios públicos mixtas, oficiales y privadas con participación pública, son: i) las autorizaciones, requerimientos, aprobaciones o informes del supervisor o del interventor, que prueben la ejecución del contrato, ii) los procedimientos, lineamientos y políticas en materia de adquisición que corresponden a los  documentos que los conforman, previstos en el manual de contratación de la entidad, y finalmente, iii) el plan anual de adquisiciones. </w:t>
      </w:r>
    </w:p>
    <w:p w14:paraId="589BD8D2" w14:textId="77777777" w:rsidR="001C2262" w:rsidRPr="00750137" w:rsidRDefault="001C2262" w:rsidP="001C2262">
      <w:pPr>
        <w:spacing w:before="120" w:after="120" w:line="276" w:lineRule="auto"/>
        <w:ind w:firstLine="709"/>
        <w:jc w:val="both"/>
        <w:rPr>
          <w:rFonts w:ascii="Arial" w:eastAsia="Calibri" w:hAnsi="Arial" w:cs="Arial"/>
          <w:color w:val="000000" w:themeColor="text1"/>
          <w:sz w:val="22"/>
        </w:rPr>
      </w:pPr>
      <w:r w:rsidRPr="00750137">
        <w:rPr>
          <w:rFonts w:ascii="Arial" w:eastAsia="Calibri" w:hAnsi="Arial" w:cs="Arial"/>
          <w:color w:val="000000" w:themeColor="text1"/>
          <w:sz w:val="22"/>
        </w:rPr>
        <w:t xml:space="preserve">Frente al segundo grupo de documentos, debido a que estas entidades están sometidas al derecho privado, y por lo tanto no celebran sus procesos de contratación </w:t>
      </w:r>
      <w:r w:rsidRPr="00750137">
        <w:rPr>
          <w:rFonts w:ascii="Arial" w:eastAsia="Calibri" w:hAnsi="Arial" w:cs="Arial"/>
          <w:color w:val="000000" w:themeColor="text1"/>
          <w:sz w:val="22"/>
        </w:rPr>
        <w:lastRenderedPageBreak/>
        <w:t xml:space="preserve">mediante las modalidades previstas en la Ley 80 de 1993, cada una definirá en su manual el procedimiento para contratar sus bienes y servicios. </w:t>
      </w:r>
    </w:p>
    <w:p w14:paraId="6DD9C508" w14:textId="77777777" w:rsidR="001C2262" w:rsidRPr="00750137" w:rsidRDefault="001C2262" w:rsidP="001C2262">
      <w:pPr>
        <w:spacing w:before="120" w:after="120" w:line="276" w:lineRule="auto"/>
        <w:ind w:firstLine="709"/>
        <w:jc w:val="both"/>
        <w:rPr>
          <w:rFonts w:ascii="Arial" w:eastAsia="Calibri" w:hAnsi="Arial" w:cs="Arial"/>
          <w:color w:val="000000" w:themeColor="text1"/>
          <w:sz w:val="22"/>
        </w:rPr>
      </w:pPr>
      <w:r w:rsidRPr="00750137">
        <w:rPr>
          <w:rFonts w:ascii="Arial" w:eastAsia="Calibri" w:hAnsi="Arial" w:cs="Arial"/>
          <w:color w:val="000000" w:themeColor="text1"/>
          <w:sz w:val="22"/>
        </w:rPr>
        <w:t>En este sentido, la entidad lo hará ya sea por medio de un procedimiento público, mediante el cual se realice una convocatoria y una evaluación para seleccionar la oferta más favorable; o a través de una contratación directa, cuando no es necesario realizar un proceso competitivo. En estos casos, el manual definirá las etapas y los documentos que forman parte del procedimiento que realicen; y todos se publicarán en la plataforma del SECOP para cada procedimiento de contratación que se adelante, incluido el acto de adjudicación, por expresa disposición del literal g) del artículo 11 de la Ley 1712 de 2014.</w:t>
      </w:r>
    </w:p>
    <w:p w14:paraId="5668AE74" w14:textId="760F2284" w:rsidR="001C2262" w:rsidRPr="00750137" w:rsidRDefault="001C2262" w:rsidP="001C2262">
      <w:pPr>
        <w:spacing w:before="120" w:after="120" w:line="276" w:lineRule="auto"/>
        <w:ind w:firstLine="709"/>
        <w:jc w:val="both"/>
        <w:rPr>
          <w:rFonts w:ascii="Arial" w:eastAsia="Calibri" w:hAnsi="Arial" w:cs="Arial"/>
          <w:color w:val="000000" w:themeColor="text1"/>
          <w:sz w:val="22"/>
        </w:rPr>
      </w:pPr>
      <w:r w:rsidRPr="00750137">
        <w:rPr>
          <w:rFonts w:ascii="Arial" w:eastAsia="Calibri" w:hAnsi="Arial" w:cs="Arial"/>
          <w:color w:val="000000" w:themeColor="text1"/>
          <w:sz w:val="22"/>
        </w:rPr>
        <w:t>Por lo tanto, en estos casos aplica la Ley 1712 de 2014 y el Decreto 103 de 2015, no el Decreto 1082 de 2015, porque esta última norma rige a las entidades sometidas al Estatuto General de Contratación de la Administración Pública, y por lo tanto no aplica</w:t>
      </w:r>
      <w:r w:rsidR="00C94806" w:rsidRPr="00750137">
        <w:rPr>
          <w:rFonts w:ascii="Arial" w:eastAsia="Calibri" w:hAnsi="Arial" w:cs="Arial"/>
          <w:color w:val="000000" w:themeColor="text1"/>
          <w:sz w:val="22"/>
        </w:rPr>
        <w:t>, por ejemplo,</w:t>
      </w:r>
      <w:r w:rsidRPr="00750137">
        <w:rPr>
          <w:rFonts w:ascii="Arial" w:eastAsia="Calibri" w:hAnsi="Arial" w:cs="Arial"/>
          <w:color w:val="000000" w:themeColor="text1"/>
          <w:sz w:val="22"/>
        </w:rPr>
        <w:t xml:space="preserve"> a las empresas de servicios públicos</w:t>
      </w:r>
      <w:r w:rsidR="00C94806" w:rsidRPr="00750137">
        <w:rPr>
          <w:rFonts w:ascii="Arial" w:eastAsia="Calibri" w:hAnsi="Arial" w:cs="Arial"/>
          <w:color w:val="000000" w:themeColor="text1"/>
          <w:sz w:val="22"/>
        </w:rPr>
        <w:t xml:space="preserve"> domiciliarios</w:t>
      </w:r>
      <w:r w:rsidRPr="00750137">
        <w:rPr>
          <w:rFonts w:ascii="Arial" w:eastAsia="Calibri" w:hAnsi="Arial" w:cs="Arial"/>
          <w:color w:val="000000" w:themeColor="text1"/>
          <w:sz w:val="22"/>
        </w:rPr>
        <w:t xml:space="preserve"> que, por regla general, se rigen por el derecho privado. Por su parte, la Ley 1712 de 2014 y el Decreto reglamentario 103 de 2015 rigen a cualquier entidad pública, incluyendo</w:t>
      </w:r>
      <w:r w:rsidRPr="00750137">
        <w:rPr>
          <w:rFonts w:ascii="Arial" w:hAnsi="Arial" w:cs="Arial"/>
          <w:color w:val="000000" w:themeColor="text1"/>
          <w:sz w:val="22"/>
        </w:rPr>
        <w:t xml:space="preserve"> </w:t>
      </w:r>
      <w:r w:rsidRPr="00750137">
        <w:rPr>
          <w:rFonts w:ascii="Arial" w:eastAsia="Times New Roman" w:hAnsi="Arial" w:cs="Arial"/>
          <w:color w:val="000000" w:themeColor="text1"/>
          <w:sz w:val="22"/>
          <w:lang w:val="es-CO" w:eastAsia="es-CO"/>
        </w:rPr>
        <w:t xml:space="preserve">las pertenecientes a todas las Ramas del Poder Público, en todos los niveles de la estructura estatal, central o descentralizada por servicios o territorialmente, en los </w:t>
      </w:r>
      <w:r w:rsidRPr="00750137">
        <w:rPr>
          <w:rFonts w:ascii="Arial" w:eastAsia="Calibri" w:hAnsi="Arial" w:cs="Arial"/>
          <w:color w:val="000000" w:themeColor="text1"/>
          <w:sz w:val="22"/>
        </w:rPr>
        <w:t xml:space="preserve">órdenes nacional, departamental, municipal y distrital. </w:t>
      </w:r>
    </w:p>
    <w:p w14:paraId="08F97D5F" w14:textId="77777777" w:rsidR="001C2262" w:rsidRPr="00750137" w:rsidRDefault="001C2262" w:rsidP="001C2262">
      <w:pPr>
        <w:spacing w:before="120" w:after="120" w:line="276" w:lineRule="auto"/>
        <w:ind w:firstLine="709"/>
        <w:jc w:val="both"/>
        <w:rPr>
          <w:rFonts w:ascii="Arial" w:eastAsia="Calibri" w:hAnsi="Arial" w:cs="Arial"/>
          <w:color w:val="000000" w:themeColor="text1"/>
          <w:sz w:val="22"/>
        </w:rPr>
      </w:pPr>
      <w:r w:rsidRPr="00750137">
        <w:rPr>
          <w:rFonts w:ascii="Arial" w:eastAsia="Calibri" w:hAnsi="Arial" w:cs="Arial"/>
          <w:color w:val="000000" w:themeColor="text1"/>
          <w:sz w:val="22"/>
        </w:rPr>
        <w:t xml:space="preserve">Identificados los documentos que deben publicar las entidades de régimen especial y su fundamento normativo, a continuación se explicará cuando se deben publicar, no sin antes explicar la posición que Colombia Compra Eficiente ha tenido en relación con este asunto. </w:t>
      </w:r>
    </w:p>
    <w:p w14:paraId="75E93953" w14:textId="45755DDF" w:rsidR="001C2262" w:rsidRPr="00750137" w:rsidRDefault="001C2262" w:rsidP="001C2262">
      <w:pPr>
        <w:spacing w:before="120" w:after="120" w:line="276" w:lineRule="auto"/>
        <w:ind w:firstLine="709"/>
        <w:jc w:val="both"/>
        <w:rPr>
          <w:rFonts w:ascii="Arial" w:eastAsia="Calibri" w:hAnsi="Arial" w:cs="Arial"/>
          <w:color w:val="000000" w:themeColor="text1"/>
          <w:sz w:val="22"/>
        </w:rPr>
      </w:pPr>
      <w:r w:rsidRPr="00750137">
        <w:rPr>
          <w:rFonts w:ascii="Arial" w:eastAsia="Calibri" w:hAnsi="Arial" w:cs="Arial"/>
          <w:color w:val="000000" w:themeColor="text1"/>
          <w:sz w:val="22"/>
        </w:rPr>
        <w:t>En el año 2017, en la consulta con radicado No. 4201713000005390 se prevé que: el plazo para publicar por parte de las entidades de régimen especial es el que se fije en el manual de contratación de la entidad</w:t>
      </w:r>
      <w:r w:rsidRPr="00750137">
        <w:rPr>
          <w:rStyle w:val="Refdenotaalpie"/>
          <w:rFonts w:ascii="Arial" w:eastAsia="Calibri" w:hAnsi="Arial" w:cs="Arial"/>
          <w:color w:val="000000" w:themeColor="text1"/>
          <w:sz w:val="22"/>
        </w:rPr>
        <w:footnoteReference w:id="15"/>
      </w:r>
      <w:r w:rsidRPr="00750137">
        <w:rPr>
          <w:rFonts w:ascii="Arial" w:eastAsia="Calibri" w:hAnsi="Arial" w:cs="Arial"/>
          <w:color w:val="000000" w:themeColor="text1"/>
          <w:sz w:val="22"/>
        </w:rPr>
        <w:t>. Por su parte, en el año 2018, con la expedición de la Circular Externa Única, se cambió la postura y se indica: «las entidades que aun utilizan el SECOP I están obligadas a publicar los documentos del proceso dentro de los tres (3) días siguientes a su expedición […]</w:t>
      </w:r>
      <w:r w:rsidRPr="00750137">
        <w:rPr>
          <w:rStyle w:val="Refdenotaalpie"/>
          <w:rFonts w:ascii="Arial" w:eastAsia="Calibri" w:hAnsi="Arial" w:cs="Arial"/>
          <w:color w:val="000000" w:themeColor="text1"/>
          <w:sz w:val="22"/>
        </w:rPr>
        <w:footnoteReference w:id="16"/>
      </w:r>
      <w:r w:rsidRPr="00750137">
        <w:rPr>
          <w:rFonts w:ascii="Arial" w:eastAsia="Calibri" w:hAnsi="Arial" w:cs="Arial"/>
          <w:color w:val="000000" w:themeColor="text1"/>
          <w:sz w:val="22"/>
        </w:rPr>
        <w:t xml:space="preserve">». De lo regulado en la Circular Externa Única se infiere </w:t>
      </w:r>
      <w:r w:rsidRPr="00750137">
        <w:rPr>
          <w:rFonts w:ascii="Arial" w:eastAsia="Calibri" w:hAnsi="Arial" w:cs="Arial"/>
          <w:color w:val="000000" w:themeColor="text1"/>
          <w:sz w:val="22"/>
        </w:rPr>
        <w:lastRenderedPageBreak/>
        <w:t xml:space="preserve">que se otorga un tratamiento igualitario a las entidades, independientemente de su régimen de contratación, por lo tanto, aplica el artículo 2.2.1.1.1.7.1. del Decreto 1082 de 2015. </w:t>
      </w:r>
    </w:p>
    <w:p w14:paraId="0F492C54" w14:textId="77777777" w:rsidR="001C2262" w:rsidRPr="00750137" w:rsidRDefault="001C2262" w:rsidP="001C2262">
      <w:pPr>
        <w:spacing w:before="120" w:after="120" w:line="276" w:lineRule="auto"/>
        <w:ind w:firstLine="709"/>
        <w:jc w:val="both"/>
        <w:rPr>
          <w:rFonts w:ascii="Arial" w:eastAsia="Calibri" w:hAnsi="Arial" w:cs="Arial"/>
          <w:color w:val="000000" w:themeColor="text1"/>
          <w:sz w:val="22"/>
        </w:rPr>
      </w:pPr>
      <w:r w:rsidRPr="00750137">
        <w:rPr>
          <w:rFonts w:ascii="Arial" w:eastAsia="Calibri" w:hAnsi="Arial" w:cs="Arial"/>
          <w:color w:val="000000" w:themeColor="text1"/>
          <w:sz w:val="22"/>
        </w:rPr>
        <w:t xml:space="preserve">En este sentido, se han tenido dos posturas frente a la oportunidad de publicar los documentos en el SECOP. En un primer momento, la entidad tiene autonomía para determinar el plazo en su manual de contratación, debido a que no les aplica el Estatuto General de Contratación de la Administración Pública; en un segundo momento, a partir de la expedición de la Circular Externa Única, tanto las entidades que se rigen por la Ley 80 como aquellas que tienen un estatuto de régimen especial, deberán publicar sus documentos dentro de los tres (3) días siguientes a su expedición, por expresa disposición del artículo 2.2.1.1.1.7.1. del Decreto 1082 de 2015. Esta última posición es la que se acogerá y se desarrollará en esta consulta. </w:t>
      </w:r>
    </w:p>
    <w:p w14:paraId="053639B5" w14:textId="77777777" w:rsidR="001C2262" w:rsidRPr="00750137" w:rsidRDefault="001C2262" w:rsidP="001C2262">
      <w:pPr>
        <w:spacing w:before="120" w:after="120" w:line="276" w:lineRule="auto"/>
        <w:ind w:firstLine="709"/>
        <w:jc w:val="both"/>
        <w:rPr>
          <w:rFonts w:ascii="Arial" w:eastAsia="Calibri" w:hAnsi="Arial" w:cs="Arial"/>
          <w:color w:val="000000" w:themeColor="text1"/>
          <w:sz w:val="22"/>
        </w:rPr>
      </w:pPr>
      <w:r w:rsidRPr="00750137">
        <w:rPr>
          <w:rFonts w:ascii="Arial" w:eastAsia="Calibri" w:hAnsi="Arial" w:cs="Arial"/>
          <w:color w:val="000000" w:themeColor="text1"/>
          <w:sz w:val="22"/>
        </w:rPr>
        <w:t>La Ley 1712 de 2014 y el Decreto reglamentario 103 de 2015, normativas que indican los documentos que se deben publicar, no señalan el momento para su divulgación, y en ese sentido existe un vacío normativo. En los casos que no exista norma aplicable, la Corte Constitucional, en la sentencia C-083 de 1995, reconoce a la analogía como una fuente de derecho autónoma a la que se pueden acudir para suplir el vacío. De esta forma, reconoce que: «la analogía es la aplicación de la ley a situaciones no contempladas expresamente a ellas, pero que sólo difieren a las que sí lo están en aspectos jurídicamente irrelevantes, es decir, ajenos a aquellos que explican y fundamentan la razón de ser de la norma»</w:t>
      </w:r>
      <w:r w:rsidRPr="00750137">
        <w:rPr>
          <w:rStyle w:val="Refdenotaalpie"/>
          <w:rFonts w:ascii="Arial" w:eastAsia="Calibri" w:hAnsi="Arial" w:cs="Arial"/>
          <w:color w:val="000000" w:themeColor="text1"/>
          <w:sz w:val="22"/>
        </w:rPr>
        <w:footnoteReference w:id="17"/>
      </w:r>
      <w:r w:rsidRPr="00750137">
        <w:rPr>
          <w:rFonts w:ascii="Arial" w:eastAsia="Calibri" w:hAnsi="Arial" w:cs="Arial"/>
          <w:color w:val="000000" w:themeColor="text1"/>
          <w:sz w:val="22"/>
        </w:rPr>
        <w:t>. En este sentido, el juez razona por analogía, cuando aplica una ley frente una situación no contemplada explícitamente en ella, a partir del estudio de situaciones fácticas que fueron tratadas por el legislador y guardan similitud con el asunto tratado.</w:t>
      </w:r>
    </w:p>
    <w:p w14:paraId="0C508828" w14:textId="77777777" w:rsidR="001C2262" w:rsidRPr="00750137" w:rsidRDefault="001C2262" w:rsidP="001C2262">
      <w:pPr>
        <w:spacing w:before="120" w:after="120" w:line="276" w:lineRule="auto"/>
        <w:ind w:firstLine="709"/>
        <w:jc w:val="both"/>
        <w:rPr>
          <w:rFonts w:ascii="Arial" w:eastAsia="Calibri" w:hAnsi="Arial" w:cs="Arial"/>
          <w:color w:val="000000" w:themeColor="text1"/>
          <w:sz w:val="22"/>
        </w:rPr>
      </w:pPr>
      <w:r w:rsidRPr="00750137">
        <w:rPr>
          <w:rFonts w:ascii="Arial" w:eastAsia="Calibri" w:hAnsi="Arial" w:cs="Arial"/>
          <w:color w:val="000000" w:themeColor="text1"/>
          <w:sz w:val="22"/>
        </w:rPr>
        <w:t>El Decreto 1082 de 2015, en el artículo 2.2.1.1.1.7.1, normativa que regula la publicidad en el SECOP, establece que las entidades están obligadas a publicar los documentos del proceso y los actos administrativos del proceso de contratación, dentro de los tres (3) días siguientes a su expedición. Además, indica el deber de las entidades de publicar oportunamente el aviso de convocatoria o la invitación en los procesos de contratación de mínima cuantía y el proyecto de pliego de condiciones en el SECOP para que presenten observaciones o soliciten aclaraciones</w:t>
      </w:r>
      <w:r w:rsidRPr="00750137">
        <w:rPr>
          <w:rStyle w:val="Refdenotaalpie"/>
          <w:rFonts w:ascii="Arial" w:eastAsia="Calibri" w:hAnsi="Arial" w:cs="Arial"/>
          <w:color w:val="000000" w:themeColor="text1"/>
          <w:sz w:val="22"/>
        </w:rPr>
        <w:footnoteReference w:id="18"/>
      </w:r>
      <w:r w:rsidRPr="00750137">
        <w:rPr>
          <w:rFonts w:ascii="Arial" w:eastAsia="Calibri" w:hAnsi="Arial" w:cs="Arial"/>
          <w:color w:val="000000" w:themeColor="text1"/>
          <w:sz w:val="22"/>
        </w:rPr>
        <w:t xml:space="preserve">. En este sentido, las entidades </w:t>
      </w:r>
      <w:r w:rsidRPr="00750137">
        <w:rPr>
          <w:rFonts w:ascii="Arial" w:eastAsia="Calibri" w:hAnsi="Arial" w:cs="Arial"/>
          <w:color w:val="000000" w:themeColor="text1"/>
          <w:sz w:val="22"/>
        </w:rPr>
        <w:lastRenderedPageBreak/>
        <w:t xml:space="preserve">sometidas al régimen de contratación de Ley 80 de 1993 publican en el SECOP sus documentos dentro de los 3 días siguientes a su expedición. </w:t>
      </w:r>
    </w:p>
    <w:p w14:paraId="0884313D" w14:textId="43188400" w:rsidR="001C2262" w:rsidRPr="00750137" w:rsidRDefault="001C2262" w:rsidP="00C94806">
      <w:pPr>
        <w:spacing w:before="120" w:after="120" w:line="276" w:lineRule="auto"/>
        <w:ind w:firstLine="709"/>
        <w:jc w:val="both"/>
        <w:rPr>
          <w:rFonts w:ascii="Arial" w:eastAsia="Calibri" w:hAnsi="Arial" w:cs="Arial"/>
          <w:color w:val="000000" w:themeColor="text1"/>
          <w:sz w:val="22"/>
        </w:rPr>
      </w:pPr>
      <w:r w:rsidRPr="00750137">
        <w:rPr>
          <w:rFonts w:ascii="Arial" w:eastAsia="Calibri" w:hAnsi="Arial" w:cs="Arial"/>
          <w:color w:val="000000" w:themeColor="text1"/>
          <w:sz w:val="22"/>
        </w:rPr>
        <w:t>Si bien</w:t>
      </w:r>
      <w:r w:rsidR="00C94806" w:rsidRPr="00750137">
        <w:rPr>
          <w:rFonts w:ascii="Arial" w:eastAsia="Calibri" w:hAnsi="Arial" w:cs="Arial"/>
          <w:color w:val="000000" w:themeColor="text1"/>
          <w:sz w:val="22"/>
        </w:rPr>
        <w:t xml:space="preserve"> </w:t>
      </w:r>
      <w:r w:rsidRPr="00750137">
        <w:rPr>
          <w:rFonts w:ascii="Arial" w:eastAsia="Calibri" w:hAnsi="Arial" w:cs="Arial"/>
          <w:color w:val="000000" w:themeColor="text1"/>
          <w:sz w:val="22"/>
        </w:rPr>
        <w:t>el Decreto 1082 de 2015</w:t>
      </w:r>
      <w:r w:rsidR="00C94806" w:rsidRPr="00750137">
        <w:rPr>
          <w:rFonts w:ascii="Arial" w:eastAsia="Calibri" w:hAnsi="Arial" w:cs="Arial"/>
          <w:color w:val="000000" w:themeColor="text1"/>
          <w:sz w:val="22"/>
        </w:rPr>
        <w:t xml:space="preserve">, en principio no aplica a las entidades estatales exceptuadas del Estatuto General de Contratación de la Administración Pública, </w:t>
      </w:r>
      <w:r w:rsidRPr="00750137">
        <w:rPr>
          <w:rFonts w:ascii="Arial" w:eastAsia="Calibri" w:hAnsi="Arial" w:cs="Arial"/>
          <w:color w:val="000000" w:themeColor="text1"/>
          <w:sz w:val="22"/>
        </w:rPr>
        <w:t xml:space="preserve">porque su régimen de contratación es el derecho privado, es posible aplicarle </w:t>
      </w:r>
      <w:r w:rsidR="00C94806" w:rsidRPr="00750137">
        <w:rPr>
          <w:rFonts w:ascii="Arial" w:eastAsia="Calibri" w:hAnsi="Arial" w:cs="Arial"/>
          <w:color w:val="000000" w:themeColor="text1"/>
          <w:sz w:val="22"/>
        </w:rPr>
        <w:t>el artículo 2.2.1.1.1.7.1.</w:t>
      </w:r>
      <w:r w:rsidRPr="00750137">
        <w:rPr>
          <w:rFonts w:ascii="Arial" w:eastAsia="Calibri" w:hAnsi="Arial" w:cs="Arial"/>
          <w:color w:val="000000" w:themeColor="text1"/>
          <w:sz w:val="22"/>
        </w:rPr>
        <w:t xml:space="preserve"> en virtud de la analogía. Lo anterior, debido a que esta norma guarda similitud con el asunto tratado ya que regula la publicidad de los documentos del SECOP y, por lo tanto, es viable aplicarle su consecuencia jurídica a las entidades de régimen especial. </w:t>
      </w:r>
    </w:p>
    <w:p w14:paraId="5261A84E" w14:textId="77777777" w:rsidR="001C2262" w:rsidRPr="00750137" w:rsidRDefault="001C2262" w:rsidP="001C2262">
      <w:pPr>
        <w:spacing w:before="120" w:after="120" w:line="276" w:lineRule="auto"/>
        <w:ind w:firstLine="709"/>
        <w:jc w:val="both"/>
        <w:rPr>
          <w:rFonts w:ascii="Arial" w:eastAsia="Calibri" w:hAnsi="Arial" w:cs="Arial"/>
          <w:color w:val="000000" w:themeColor="text1"/>
          <w:sz w:val="22"/>
        </w:rPr>
      </w:pPr>
      <w:r w:rsidRPr="00750137">
        <w:rPr>
          <w:rFonts w:ascii="Arial" w:eastAsia="Calibri" w:hAnsi="Arial" w:cs="Arial"/>
          <w:color w:val="000000" w:themeColor="text1"/>
          <w:sz w:val="22"/>
        </w:rPr>
        <w:t xml:space="preserve">A su vez, no es posible que las entidades definan en su manual de contratación el momento en el cual publicarán sus documentos contractuales, porque este es un asunto que debe definir el legislador o el gobierno por medio de un reglamento. </w:t>
      </w:r>
    </w:p>
    <w:p w14:paraId="0782AC8E" w14:textId="77777777" w:rsidR="001C2262" w:rsidRPr="00750137" w:rsidRDefault="001C2262" w:rsidP="001C2262">
      <w:pPr>
        <w:spacing w:before="120" w:after="120" w:line="276" w:lineRule="auto"/>
        <w:ind w:firstLine="709"/>
        <w:jc w:val="both"/>
        <w:rPr>
          <w:rFonts w:ascii="Arial" w:eastAsia="Calibri" w:hAnsi="Arial" w:cs="Arial"/>
          <w:color w:val="000000" w:themeColor="text1"/>
          <w:sz w:val="22"/>
        </w:rPr>
      </w:pPr>
      <w:r w:rsidRPr="00750137">
        <w:rPr>
          <w:rFonts w:ascii="Arial" w:eastAsia="Calibri" w:hAnsi="Arial" w:cs="Arial"/>
          <w:color w:val="000000" w:themeColor="text1"/>
          <w:sz w:val="22"/>
        </w:rPr>
        <w:t>Conforme a lo anterior, las entidades de régimen especial deben publicar sus documentos del proceso de contratación dentro de los tres (3) días siguientes a su expedición; porque a pesar de que en principio el artículo 2.2.1.1.1.7.1 del Decreto 1082 de 2015 no les aplica, sí es posible y necesario en virtud de la analogía.</w:t>
      </w:r>
    </w:p>
    <w:p w14:paraId="3B226C7F" w14:textId="77777777" w:rsidR="001C2262" w:rsidRPr="00750137" w:rsidRDefault="001C2262" w:rsidP="001C2262">
      <w:pPr>
        <w:spacing w:line="276" w:lineRule="auto"/>
        <w:ind w:firstLine="709"/>
        <w:jc w:val="both"/>
        <w:rPr>
          <w:rFonts w:ascii="Arial" w:eastAsia="Calibri" w:hAnsi="Arial" w:cs="Arial"/>
          <w:color w:val="000000" w:themeColor="text1"/>
          <w:sz w:val="22"/>
        </w:rPr>
      </w:pPr>
      <w:r w:rsidRPr="00750137">
        <w:rPr>
          <w:rFonts w:ascii="Arial" w:eastAsia="Calibri" w:hAnsi="Arial" w:cs="Arial"/>
          <w:color w:val="000000" w:themeColor="text1"/>
          <w:sz w:val="22"/>
        </w:rPr>
        <w:t xml:space="preserve">En todo caso, si se adoptara la posición del Consejo de Estado, explicada con anterioridad, es decir, que la obligación de publicar en el SECOP se apoya del literal c) del artículo 3 de la Ley 1150 de 2007, entonces también se debe publicar toda la contratación realizada con recursos públicos, independientemente del régimen de contratación de la entidad, porque el Decreto 1082 de 2015 reglamenta el artículo 3 de la Ley 1150 de 2007, y se aplicaría el artículo 2.2.1.1.1.7.1. </w:t>
      </w:r>
    </w:p>
    <w:p w14:paraId="1E8CBEEE" w14:textId="77777777" w:rsidR="00C94806" w:rsidRPr="00750137" w:rsidRDefault="00C94806" w:rsidP="001C2262">
      <w:pPr>
        <w:spacing w:line="276" w:lineRule="auto"/>
        <w:ind w:firstLine="709"/>
        <w:jc w:val="both"/>
        <w:rPr>
          <w:rFonts w:ascii="Arial" w:eastAsia="Calibri" w:hAnsi="Arial" w:cs="Arial"/>
          <w:color w:val="000000" w:themeColor="text1"/>
          <w:sz w:val="22"/>
        </w:rPr>
      </w:pPr>
    </w:p>
    <w:p w14:paraId="5476E229" w14:textId="77777777" w:rsidR="007E2EE2" w:rsidRPr="00750137" w:rsidRDefault="007E2EE2" w:rsidP="007E2EE2">
      <w:pPr>
        <w:spacing w:line="276" w:lineRule="auto"/>
        <w:jc w:val="both"/>
        <w:rPr>
          <w:rFonts w:ascii="Arial" w:eastAsia="Calibri" w:hAnsi="Arial" w:cs="Arial"/>
          <w:b/>
          <w:color w:val="000000" w:themeColor="text1"/>
          <w:sz w:val="22"/>
        </w:rPr>
      </w:pPr>
    </w:p>
    <w:p w14:paraId="48A72B11" w14:textId="427BCB20" w:rsidR="007E2EE2" w:rsidRPr="00750137" w:rsidRDefault="007E2EE2" w:rsidP="007E2EE2">
      <w:pPr>
        <w:spacing w:line="276" w:lineRule="auto"/>
        <w:jc w:val="both"/>
        <w:rPr>
          <w:rFonts w:ascii="Arial" w:eastAsia="Calibri" w:hAnsi="Arial" w:cs="Arial"/>
          <w:b/>
          <w:color w:val="000000" w:themeColor="text1"/>
          <w:sz w:val="22"/>
        </w:rPr>
      </w:pPr>
      <w:r w:rsidRPr="00750137">
        <w:rPr>
          <w:rFonts w:ascii="Arial" w:eastAsia="Calibri" w:hAnsi="Arial" w:cs="Arial"/>
          <w:b/>
          <w:color w:val="000000" w:themeColor="text1"/>
          <w:sz w:val="22"/>
        </w:rPr>
        <w:t xml:space="preserve">2.3. Publicidad en las plataformas SECOP I y II </w:t>
      </w:r>
    </w:p>
    <w:p w14:paraId="502BFC53" w14:textId="77777777" w:rsidR="007E2EE2" w:rsidRPr="00750137" w:rsidRDefault="007E2EE2" w:rsidP="007E2EE2">
      <w:pPr>
        <w:spacing w:line="276" w:lineRule="auto"/>
        <w:jc w:val="both"/>
        <w:rPr>
          <w:rFonts w:ascii="Arial" w:eastAsia="Calibri" w:hAnsi="Arial" w:cs="Arial"/>
          <w:b/>
          <w:color w:val="000000" w:themeColor="text1"/>
          <w:sz w:val="22"/>
        </w:rPr>
      </w:pPr>
    </w:p>
    <w:p w14:paraId="1EAC1D29" w14:textId="2E412B65" w:rsidR="007E2EE2" w:rsidRPr="00750137" w:rsidRDefault="007E2EE2" w:rsidP="007E2EE2">
      <w:pPr>
        <w:spacing w:before="120" w:after="120" w:line="276" w:lineRule="auto"/>
        <w:jc w:val="both"/>
        <w:rPr>
          <w:rFonts w:ascii="Arial" w:eastAsia="Calibri" w:hAnsi="Arial" w:cs="Arial"/>
          <w:color w:val="000000" w:themeColor="text1"/>
          <w:sz w:val="22"/>
          <w:lang w:val="es-ES"/>
        </w:rPr>
      </w:pPr>
      <w:r w:rsidRPr="00750137">
        <w:rPr>
          <w:rFonts w:ascii="Arial" w:eastAsia="Calibri" w:hAnsi="Arial" w:cs="Arial"/>
          <w:color w:val="000000" w:themeColor="text1"/>
          <w:sz w:val="22"/>
          <w:lang w:val="es-ES"/>
        </w:rPr>
        <w:t xml:space="preserve">La Agencia Nacional de Contratación Pública – Colombia Compra Eficiente realizó el despliegue de SECOP II a nivel territorial en el 2018 y 2019, por lo cual se expidió la Circular Externa No. 1 de 2019 sobre la obligatoriedad del uso del SECOP II en el 2020, que dispone: «A partir del 1 de enero de 2020, todos los procesos de contratación de las entidades relacionadas en el Anexo 1 de esta circular deberán gestionarse, exclusivamente, </w:t>
      </w:r>
      <w:r w:rsidRPr="00750137">
        <w:rPr>
          <w:rFonts w:ascii="Arial" w:eastAsia="Calibri" w:hAnsi="Arial" w:cs="Arial"/>
          <w:color w:val="000000" w:themeColor="text1"/>
          <w:sz w:val="22"/>
          <w:lang w:val="es-ES"/>
        </w:rPr>
        <w:lastRenderedPageBreak/>
        <w:t xml:space="preserve">en el SECOP ll. La medida aplica para los procesos de contratación que se inicien a partir del 1 de enero de 2020.  </w:t>
      </w:r>
    </w:p>
    <w:p w14:paraId="4BE76C29" w14:textId="152A807C" w:rsidR="007E2EE2" w:rsidRPr="00750137" w:rsidRDefault="007E2EE2" w:rsidP="007E2EE2">
      <w:pPr>
        <w:spacing w:before="120" w:after="120" w:line="276" w:lineRule="auto"/>
        <w:ind w:firstLine="709"/>
        <w:jc w:val="both"/>
        <w:rPr>
          <w:rFonts w:ascii="Arial" w:eastAsia="Calibri" w:hAnsi="Arial" w:cs="Arial"/>
          <w:color w:val="000000" w:themeColor="text1"/>
          <w:sz w:val="22"/>
          <w:lang w:val="es-ES"/>
        </w:rPr>
      </w:pPr>
      <w:r w:rsidRPr="00750137">
        <w:rPr>
          <w:rFonts w:ascii="Arial" w:eastAsia="Calibri" w:hAnsi="Arial" w:cs="Arial"/>
          <w:color w:val="000000" w:themeColor="text1"/>
          <w:sz w:val="22"/>
          <w:lang w:val="es-ES"/>
        </w:rPr>
        <w:t>Esta plazo fue prorrogado por la Agencia Nacional de Contratación Pública – Colombia Compra Eficiente, mediante la Circular Externa No. 2 de 2019, a través de la cual se amplió «la entrada en vigencia de la obligatoriedad del SECOP ll. En consecuencia, las alcaldías capitales de departamento (Administración central) y los departamentos (Administración central) gestionarán todos sus procesos de contratación, exclusivamente en el SECOP ll, a partir del 1 de abril de 2020».</w:t>
      </w:r>
    </w:p>
    <w:p w14:paraId="082D3890" w14:textId="77777777" w:rsidR="007E2EE2" w:rsidRPr="00750137" w:rsidRDefault="007E2EE2" w:rsidP="007E2EE2">
      <w:pPr>
        <w:spacing w:before="120" w:after="120" w:line="276" w:lineRule="auto"/>
        <w:ind w:firstLine="709"/>
        <w:jc w:val="both"/>
        <w:rPr>
          <w:rFonts w:ascii="Arial" w:eastAsia="Calibri" w:hAnsi="Arial" w:cs="Arial"/>
          <w:color w:val="000000" w:themeColor="text1"/>
          <w:sz w:val="22"/>
          <w:lang w:val="es-ES"/>
        </w:rPr>
      </w:pPr>
      <w:r w:rsidRPr="00750137">
        <w:rPr>
          <w:rFonts w:ascii="Arial" w:eastAsia="Calibri" w:hAnsi="Arial" w:cs="Arial"/>
          <w:color w:val="000000" w:themeColor="text1"/>
          <w:sz w:val="22"/>
          <w:lang w:val="es-ES"/>
        </w:rPr>
        <w:t>Ahora, en relación con las entidades descentralizadas del nivel municipal, el Anexo 1 de la Circular No. 1 de 2019 las excluyó del deber de publicar en el SECOP II, pues, al indicar las entidades de este nivel con obligación de publicar en esa plataforma, textualmente señaló que «</w:t>
      </w:r>
      <w:r w:rsidRPr="00750137">
        <w:rPr>
          <w:rFonts w:ascii="Arial" w:hAnsi="Arial" w:cs="Arial"/>
          <w:color w:val="000000" w:themeColor="text1"/>
          <w:sz w:val="22"/>
        </w:rPr>
        <w:t xml:space="preserve">sólo incluye el sector central. No incluye entidades descentralizadas del respectivo nivel» y estableció </w:t>
      </w:r>
      <w:r w:rsidRPr="00750137">
        <w:rPr>
          <w:rFonts w:ascii="Arial" w:eastAsia="Calibri" w:hAnsi="Arial" w:cs="Arial"/>
          <w:color w:val="000000" w:themeColor="text1"/>
          <w:sz w:val="22"/>
          <w:lang w:val="es-ES"/>
        </w:rPr>
        <w:t xml:space="preserve">la obligatoriedad del uso del SECOP II únicamente a las alcaldías capitales de departamentos. </w:t>
      </w:r>
    </w:p>
    <w:p w14:paraId="49DFB3B8" w14:textId="77777777" w:rsidR="007E2EE2" w:rsidRPr="00750137" w:rsidRDefault="007E2EE2" w:rsidP="007E2EE2">
      <w:pPr>
        <w:spacing w:line="276" w:lineRule="auto"/>
        <w:ind w:firstLine="709"/>
        <w:jc w:val="both"/>
        <w:rPr>
          <w:rFonts w:ascii="Arial" w:eastAsia="Calibri" w:hAnsi="Arial" w:cs="Arial"/>
          <w:color w:val="000000" w:themeColor="text1"/>
          <w:sz w:val="22"/>
          <w:lang w:val="es-ES"/>
        </w:rPr>
      </w:pPr>
      <w:r w:rsidRPr="00750137">
        <w:rPr>
          <w:rFonts w:ascii="Arial" w:eastAsia="Calibri" w:hAnsi="Arial" w:cs="Arial"/>
          <w:color w:val="000000" w:themeColor="text1"/>
          <w:sz w:val="22"/>
          <w:lang w:val="es-ES"/>
        </w:rPr>
        <w:t xml:space="preserve">Así las cosas, la Subdirección de Gestión Contractual concluye que, a la fecha, las entidades descentralizadas del nivel municipal no están obligadas a publicar sus procesos de contratación en el SECOP II, conforme a la salvedad que sobre el particular establece el Anexo 1 de la Circular Externa No. 1 de 2019.  Sin embargo, esta exclusión no relevará a las entidades descentralizadas del nivel municipal de continuar publicando sus procesos de contratación en la plataforma de SECOP I. </w:t>
      </w:r>
    </w:p>
    <w:p w14:paraId="74A5BA24" w14:textId="77777777" w:rsidR="007B66A7" w:rsidRPr="00750137" w:rsidRDefault="007B66A7" w:rsidP="00FC27EA">
      <w:pPr>
        <w:spacing w:line="276" w:lineRule="auto"/>
        <w:jc w:val="both"/>
        <w:rPr>
          <w:rFonts w:ascii="Arial" w:eastAsia="Calibri" w:hAnsi="Arial" w:cs="Arial"/>
          <w:color w:val="000000" w:themeColor="text1"/>
          <w:sz w:val="22"/>
        </w:rPr>
      </w:pPr>
    </w:p>
    <w:p w14:paraId="362BF644" w14:textId="60201054" w:rsidR="00A2021D" w:rsidRPr="00750137" w:rsidRDefault="000809CC" w:rsidP="00FC27EA">
      <w:pPr>
        <w:spacing w:line="276" w:lineRule="auto"/>
        <w:jc w:val="both"/>
        <w:rPr>
          <w:rFonts w:ascii="Arial" w:eastAsia="Calibri" w:hAnsi="Arial" w:cs="Arial"/>
          <w:b/>
          <w:color w:val="000000" w:themeColor="text1"/>
          <w:sz w:val="22"/>
        </w:rPr>
      </w:pPr>
      <w:r w:rsidRPr="00750137">
        <w:rPr>
          <w:rFonts w:ascii="Arial" w:eastAsia="Calibri" w:hAnsi="Arial" w:cs="Arial"/>
          <w:b/>
          <w:color w:val="000000" w:themeColor="text1"/>
          <w:sz w:val="22"/>
        </w:rPr>
        <w:t xml:space="preserve">3. </w:t>
      </w:r>
      <w:r w:rsidR="00A2021D" w:rsidRPr="00750137">
        <w:rPr>
          <w:rFonts w:ascii="Arial" w:eastAsia="Calibri" w:hAnsi="Arial" w:cs="Arial"/>
          <w:b/>
          <w:color w:val="000000" w:themeColor="text1"/>
          <w:sz w:val="22"/>
        </w:rPr>
        <w:t>Respuesta</w:t>
      </w:r>
    </w:p>
    <w:p w14:paraId="2FB20F13" w14:textId="77777777" w:rsidR="00B32CA6" w:rsidRPr="00750137" w:rsidRDefault="00B32CA6" w:rsidP="00FC27EA">
      <w:pPr>
        <w:spacing w:line="276" w:lineRule="auto"/>
        <w:ind w:left="709" w:right="709"/>
        <w:jc w:val="both"/>
        <w:rPr>
          <w:rFonts w:ascii="Arial" w:eastAsia="Calibri" w:hAnsi="Arial" w:cs="Arial"/>
          <w:color w:val="000000" w:themeColor="text1"/>
          <w:sz w:val="22"/>
        </w:rPr>
      </w:pPr>
    </w:p>
    <w:p w14:paraId="2993473B" w14:textId="425BCD40" w:rsidR="00B32CA6" w:rsidRPr="00750137" w:rsidRDefault="00BF0537" w:rsidP="00FC27EA">
      <w:pPr>
        <w:spacing w:line="276" w:lineRule="auto"/>
        <w:ind w:left="709" w:right="709"/>
        <w:jc w:val="both"/>
        <w:rPr>
          <w:rFonts w:ascii="Arial" w:eastAsia="Calibri" w:hAnsi="Arial" w:cs="Arial"/>
          <w:color w:val="000000" w:themeColor="text1"/>
          <w:sz w:val="22"/>
        </w:rPr>
      </w:pPr>
      <w:r w:rsidRPr="00750137">
        <w:rPr>
          <w:rFonts w:ascii="Arial" w:eastAsia="Calibri" w:hAnsi="Arial" w:cs="Arial"/>
          <w:color w:val="000000" w:themeColor="text1"/>
          <w:sz w:val="22"/>
        </w:rPr>
        <w:t xml:space="preserve">¿Una Empresa Industrial y Comercial del Estado, descentralizada por servicios en el orden municipal, que cuenta con un régimen de contratación especial, debe realizar la publicación en el Secop II? </w:t>
      </w:r>
    </w:p>
    <w:p w14:paraId="7FE2826A" w14:textId="77777777" w:rsidR="00B32CA6" w:rsidRPr="00750137" w:rsidRDefault="00B32CA6" w:rsidP="00FC27EA">
      <w:pPr>
        <w:spacing w:line="276" w:lineRule="auto"/>
        <w:jc w:val="both"/>
        <w:rPr>
          <w:rFonts w:ascii="Arial" w:eastAsia="Calibri" w:hAnsi="Arial" w:cs="Arial"/>
          <w:color w:val="000000" w:themeColor="text1"/>
          <w:sz w:val="22"/>
        </w:rPr>
      </w:pPr>
    </w:p>
    <w:p w14:paraId="650374CB" w14:textId="77777777" w:rsidR="00B745AE" w:rsidRPr="00750137" w:rsidRDefault="001C2262" w:rsidP="00B745AE">
      <w:pPr>
        <w:spacing w:line="276" w:lineRule="auto"/>
        <w:jc w:val="both"/>
        <w:rPr>
          <w:rFonts w:ascii="Arial" w:eastAsia="Calibri" w:hAnsi="Arial" w:cs="Arial"/>
          <w:color w:val="000000" w:themeColor="text1"/>
          <w:sz w:val="22"/>
        </w:rPr>
      </w:pPr>
      <w:r w:rsidRPr="00750137">
        <w:rPr>
          <w:rFonts w:ascii="Arial" w:eastAsia="Calibri" w:hAnsi="Arial" w:cs="Arial"/>
          <w:color w:val="000000" w:themeColor="text1"/>
          <w:sz w:val="22"/>
        </w:rPr>
        <w:t xml:space="preserve">La obligatoriedad de publicar las actuaciones contractuales de las entidades </w:t>
      </w:r>
      <w:r w:rsidR="00C94806" w:rsidRPr="00750137">
        <w:rPr>
          <w:rFonts w:ascii="Arial" w:eastAsia="Calibri" w:hAnsi="Arial" w:cs="Arial"/>
          <w:color w:val="000000" w:themeColor="text1"/>
          <w:sz w:val="22"/>
        </w:rPr>
        <w:t xml:space="preserve"> estatales </w:t>
      </w:r>
      <w:r w:rsidRPr="00750137">
        <w:rPr>
          <w:rFonts w:ascii="Arial" w:eastAsia="Calibri" w:hAnsi="Arial" w:cs="Arial"/>
          <w:color w:val="000000" w:themeColor="text1"/>
          <w:sz w:val="22"/>
        </w:rPr>
        <w:t>no depende de su régimen de contratación, sino de la ejecución de recursos públicos, pues así lo determinó, provisionalmente, el Consejo de Estado</w:t>
      </w:r>
      <w:r w:rsidRPr="00750137">
        <w:rPr>
          <w:rStyle w:val="Refdenotaalpie"/>
          <w:rFonts w:ascii="Arial" w:eastAsia="Calibri" w:hAnsi="Arial" w:cs="Arial"/>
          <w:color w:val="000000" w:themeColor="text1"/>
          <w:sz w:val="22"/>
        </w:rPr>
        <w:footnoteReference w:id="19"/>
      </w:r>
      <w:r w:rsidRPr="00750137">
        <w:rPr>
          <w:rFonts w:ascii="Arial" w:eastAsia="Calibri" w:hAnsi="Arial" w:cs="Arial"/>
          <w:color w:val="000000" w:themeColor="text1"/>
          <w:sz w:val="22"/>
        </w:rPr>
        <w:t>, al indicar que ese deber no atiende a las condiciones fácticas que tengan las entidades excluidas del régimen de contratación estatal, sino ─se reitera─ al hecho de que la contratación implique la ejecución de recursos públicos.</w:t>
      </w:r>
      <w:r w:rsidR="00C94806" w:rsidRPr="00750137">
        <w:rPr>
          <w:rFonts w:ascii="Arial" w:eastAsia="Calibri" w:hAnsi="Arial" w:cs="Arial"/>
          <w:color w:val="000000" w:themeColor="text1"/>
          <w:sz w:val="22"/>
        </w:rPr>
        <w:t xml:space="preserve"> Dicho deber</w:t>
      </w:r>
      <w:r w:rsidR="00274054" w:rsidRPr="00750137">
        <w:rPr>
          <w:rFonts w:ascii="Arial" w:eastAsia="Calibri" w:hAnsi="Arial" w:cs="Arial"/>
          <w:color w:val="000000" w:themeColor="text1"/>
          <w:sz w:val="22"/>
        </w:rPr>
        <w:t xml:space="preserve"> además se </w:t>
      </w:r>
      <w:r w:rsidR="00C94806" w:rsidRPr="00750137">
        <w:rPr>
          <w:rFonts w:ascii="Arial" w:eastAsia="Calibri" w:hAnsi="Arial" w:cs="Arial"/>
          <w:color w:val="000000" w:themeColor="text1"/>
          <w:sz w:val="22"/>
        </w:rPr>
        <w:t>deriva de la Ley 1712 de 2014</w:t>
      </w:r>
      <w:r w:rsidR="00274054" w:rsidRPr="00750137">
        <w:rPr>
          <w:rFonts w:ascii="Arial" w:eastAsia="Calibri" w:hAnsi="Arial" w:cs="Arial"/>
          <w:color w:val="000000" w:themeColor="text1"/>
          <w:sz w:val="22"/>
        </w:rPr>
        <w:t>,</w:t>
      </w:r>
      <w:r w:rsidR="00C94806" w:rsidRPr="00750137">
        <w:rPr>
          <w:rFonts w:ascii="Arial" w:eastAsia="Calibri" w:hAnsi="Arial" w:cs="Arial"/>
          <w:color w:val="000000" w:themeColor="text1"/>
          <w:sz w:val="22"/>
        </w:rPr>
        <w:t xml:space="preserve"> que señala en el literal g), artículo 11, que todo sujeto obligado debe publicar sus procedimientos, lineamientos, políticas en materia de adquisiciones y compras, así como todos los datos de </w:t>
      </w:r>
      <w:r w:rsidR="00C94806" w:rsidRPr="00750137">
        <w:rPr>
          <w:rFonts w:ascii="Arial" w:eastAsia="Calibri" w:hAnsi="Arial" w:cs="Arial"/>
          <w:color w:val="000000" w:themeColor="text1"/>
          <w:sz w:val="22"/>
        </w:rPr>
        <w:lastRenderedPageBreak/>
        <w:t>adjudicación y ejecución de sus contratos</w:t>
      </w:r>
      <w:r w:rsidR="00B745AE" w:rsidRPr="00750137">
        <w:rPr>
          <w:rFonts w:ascii="Arial" w:eastAsia="Calibri" w:hAnsi="Arial" w:cs="Arial"/>
          <w:color w:val="000000" w:themeColor="text1"/>
          <w:sz w:val="22"/>
        </w:rPr>
        <w:t>; y del desarrollo realizado por el Decreto</w:t>
      </w:r>
      <w:r w:rsidR="00C94806" w:rsidRPr="00750137">
        <w:rPr>
          <w:rFonts w:ascii="Arial" w:eastAsia="Calibri" w:hAnsi="Arial" w:cs="Arial"/>
          <w:color w:val="000000" w:themeColor="text1"/>
          <w:sz w:val="22"/>
        </w:rPr>
        <w:t xml:space="preserve"> reglamentario 10</w:t>
      </w:r>
      <w:r w:rsidR="00B745AE" w:rsidRPr="00750137">
        <w:rPr>
          <w:rFonts w:ascii="Arial" w:eastAsia="Calibri" w:hAnsi="Arial" w:cs="Arial"/>
          <w:color w:val="000000" w:themeColor="text1"/>
          <w:sz w:val="22"/>
        </w:rPr>
        <w:t xml:space="preserve">3 de 2015, en los términos desarrollados en las consideraciones. </w:t>
      </w:r>
    </w:p>
    <w:p w14:paraId="5341B9D0" w14:textId="77777777" w:rsidR="00B745AE" w:rsidRPr="00750137" w:rsidRDefault="00B745AE" w:rsidP="00B745AE">
      <w:pPr>
        <w:spacing w:line="276" w:lineRule="auto"/>
        <w:jc w:val="both"/>
        <w:rPr>
          <w:rFonts w:ascii="Arial" w:eastAsia="Calibri" w:hAnsi="Arial" w:cs="Arial"/>
          <w:color w:val="000000" w:themeColor="text1"/>
          <w:sz w:val="22"/>
        </w:rPr>
      </w:pPr>
    </w:p>
    <w:p w14:paraId="554B5128" w14:textId="6E189250" w:rsidR="001C2262" w:rsidRPr="00750137" w:rsidRDefault="00B745AE" w:rsidP="00B745AE">
      <w:pPr>
        <w:spacing w:line="276" w:lineRule="auto"/>
        <w:jc w:val="both"/>
        <w:rPr>
          <w:rFonts w:ascii="Arial" w:eastAsia="Calibri" w:hAnsi="Arial" w:cs="Arial"/>
          <w:color w:val="000000" w:themeColor="text1"/>
          <w:sz w:val="22"/>
        </w:rPr>
      </w:pPr>
      <w:r w:rsidRPr="00750137">
        <w:rPr>
          <w:rFonts w:ascii="Arial" w:eastAsia="Calibri" w:hAnsi="Arial" w:cs="Arial"/>
          <w:color w:val="000000" w:themeColor="text1"/>
          <w:sz w:val="22"/>
        </w:rPr>
        <w:t xml:space="preserve"> Respecto a la publicación del SECOP I o en el SECOP II, l</w:t>
      </w:r>
      <w:r w:rsidR="00FC27EA" w:rsidRPr="00750137">
        <w:rPr>
          <w:rFonts w:ascii="Arial" w:eastAsia="Calibri" w:hAnsi="Arial" w:cs="Arial"/>
          <w:color w:val="000000" w:themeColor="text1"/>
          <w:sz w:val="22"/>
          <w:lang w:val="es-ES"/>
        </w:rPr>
        <w:t xml:space="preserve">a </w:t>
      </w:r>
      <w:r w:rsidR="00956866" w:rsidRPr="00750137">
        <w:rPr>
          <w:rFonts w:ascii="Arial" w:eastAsia="Calibri" w:hAnsi="Arial" w:cs="Arial"/>
          <w:color w:val="000000" w:themeColor="text1"/>
          <w:sz w:val="22"/>
          <w:lang w:val="es-ES"/>
        </w:rPr>
        <w:t xml:space="preserve">Subdirección de Gestión Contractual concluye que, a la fecha, las entidades descentralizadas del nivel municipal no están obligadas a publicar sus procesos de contratación en el SECOP II, conforme a la salvedad que sobre el particular establece el Anexo 1 de la Circular Externa No. 1 de 2019.  Sin embargo, esta exclusión no </w:t>
      </w:r>
      <w:r w:rsidR="00C94806" w:rsidRPr="00750137">
        <w:rPr>
          <w:rFonts w:ascii="Arial" w:eastAsia="Calibri" w:hAnsi="Arial" w:cs="Arial"/>
          <w:color w:val="000000" w:themeColor="text1"/>
          <w:sz w:val="22"/>
          <w:lang w:val="es-ES"/>
        </w:rPr>
        <w:t xml:space="preserve">las releva </w:t>
      </w:r>
      <w:r w:rsidR="00956866" w:rsidRPr="00750137">
        <w:rPr>
          <w:rFonts w:ascii="Arial" w:eastAsia="Calibri" w:hAnsi="Arial" w:cs="Arial"/>
          <w:color w:val="000000" w:themeColor="text1"/>
          <w:sz w:val="22"/>
          <w:lang w:val="es-ES"/>
        </w:rPr>
        <w:t>de continuar publicando sus procesos de contratación en la plataforma de SECOP I.</w:t>
      </w:r>
      <w:r w:rsidR="00FC27EA" w:rsidRPr="00750137">
        <w:rPr>
          <w:rFonts w:ascii="Arial" w:eastAsia="Calibri" w:hAnsi="Arial" w:cs="Arial"/>
          <w:color w:val="000000" w:themeColor="text1"/>
          <w:sz w:val="22"/>
        </w:rPr>
        <w:tab/>
      </w:r>
    </w:p>
    <w:p w14:paraId="1ACDFEE0" w14:textId="77777777" w:rsidR="00C94806" w:rsidRPr="00750137" w:rsidRDefault="00C94806" w:rsidP="00956866">
      <w:pPr>
        <w:spacing w:before="120" w:after="120" w:line="276" w:lineRule="auto"/>
        <w:jc w:val="both"/>
        <w:rPr>
          <w:rFonts w:ascii="Arial" w:eastAsia="Calibri" w:hAnsi="Arial" w:cs="Arial"/>
          <w:color w:val="000000" w:themeColor="text1"/>
          <w:sz w:val="22"/>
        </w:rPr>
      </w:pPr>
    </w:p>
    <w:p w14:paraId="5D83B020" w14:textId="77777777" w:rsidR="00A2021D" w:rsidRPr="00750137" w:rsidRDefault="00A2021D" w:rsidP="00FC27EA">
      <w:pPr>
        <w:spacing w:before="120" w:after="120" w:line="276" w:lineRule="auto"/>
        <w:jc w:val="both"/>
        <w:rPr>
          <w:rFonts w:ascii="Arial" w:eastAsia="Calibri" w:hAnsi="Arial" w:cs="Arial"/>
          <w:color w:val="000000" w:themeColor="text1"/>
          <w:sz w:val="22"/>
        </w:rPr>
      </w:pPr>
      <w:r w:rsidRPr="00750137">
        <w:rPr>
          <w:rFonts w:ascii="Arial" w:eastAsia="Calibri" w:hAnsi="Arial" w:cs="Arial"/>
          <w:color w:val="000000" w:themeColor="text1"/>
          <w:sz w:val="22"/>
        </w:rPr>
        <w:t>Este concepto tiene el alcance previsto en el artículo 28 del Código de Procedimiento Administrativo y de lo Contencioso Administrativo.</w:t>
      </w:r>
    </w:p>
    <w:p w14:paraId="05187F5F" w14:textId="77777777" w:rsidR="00A2021D" w:rsidRPr="00750137" w:rsidRDefault="00A2021D" w:rsidP="0013044F">
      <w:pPr>
        <w:spacing w:before="120" w:after="120" w:line="276" w:lineRule="auto"/>
        <w:contextualSpacing/>
        <w:jc w:val="both"/>
        <w:rPr>
          <w:rFonts w:ascii="Arial" w:eastAsia="Calibri" w:hAnsi="Arial" w:cs="Arial"/>
          <w:color w:val="000000" w:themeColor="text1"/>
          <w:sz w:val="22"/>
        </w:rPr>
      </w:pPr>
      <w:r w:rsidRPr="00750137">
        <w:rPr>
          <w:rFonts w:ascii="Arial" w:eastAsia="Calibri" w:hAnsi="Arial" w:cs="Arial"/>
          <w:noProof/>
          <w:color w:val="000000" w:themeColor="text1"/>
          <w:sz w:val="22"/>
          <w:lang w:val="en-US"/>
        </w:rPr>
        <mc:AlternateContent>
          <mc:Choice Requires="wps">
            <w:drawing>
              <wp:anchor distT="0" distB="0" distL="114300" distR="114300" simplePos="0" relativeHeight="251658240" behindDoc="0" locked="0" layoutInCell="1" allowOverlap="1" wp14:anchorId="03037CE7" wp14:editId="37DB5AC6">
                <wp:simplePos x="0" y="0"/>
                <wp:positionH relativeFrom="page">
                  <wp:posOffset>1514475</wp:posOffset>
                </wp:positionH>
                <wp:positionV relativeFrom="paragraph">
                  <wp:posOffset>10160</wp:posOffset>
                </wp:positionV>
                <wp:extent cx="46863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Conector recto 5"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o:spid="_x0000_s1026" strokecolor="#dbdbdb" from="119.25pt,.8pt" to="488.25pt,.8pt" w14:anchorId="2F1F83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NKZCHu3AQAAWQMAAA4AAAAAAAAAAAAAAAAALgIAAGRycy9lMm9Eb2Mu&#10;eG1sUEsBAi0AFAAGAAgAAAAhANBIUp7ZAAAABwEAAA8AAAAAAAAAAAAAAAAAEQQAAGRycy9kb3du&#10;cmV2LnhtbFBLBQYAAAAABAAEAPMAAAAXBQAAAAA=&#10;">
                <w10:wrap anchorx="page"/>
              </v:line>
            </w:pict>
          </mc:Fallback>
        </mc:AlternateContent>
      </w:r>
    </w:p>
    <w:p w14:paraId="0350BC35" w14:textId="7A8553ED" w:rsidR="00A2021D" w:rsidRPr="00750137" w:rsidRDefault="00A2021D" w:rsidP="002817DE">
      <w:pPr>
        <w:jc w:val="both"/>
        <w:rPr>
          <w:rFonts w:ascii="Arial" w:hAnsi="Arial" w:cs="Arial"/>
          <w:color w:val="000000" w:themeColor="text1"/>
          <w:sz w:val="22"/>
        </w:rPr>
      </w:pPr>
      <w:r w:rsidRPr="00750137">
        <w:rPr>
          <w:rFonts w:ascii="Arial" w:hAnsi="Arial" w:cs="Arial"/>
          <w:color w:val="000000" w:themeColor="text1"/>
          <w:sz w:val="22"/>
        </w:rPr>
        <w:t>Atentamente,</w:t>
      </w:r>
    </w:p>
    <w:p w14:paraId="4B50F7FF" w14:textId="77777777" w:rsidR="00A2021D" w:rsidRPr="00750137" w:rsidRDefault="00A2021D" w:rsidP="00A2021D">
      <w:pPr>
        <w:jc w:val="center"/>
        <w:rPr>
          <w:rFonts w:ascii="Arial" w:hAnsi="Arial" w:cs="Arial"/>
          <w:color w:val="000000" w:themeColor="text1"/>
          <w:sz w:val="22"/>
        </w:rPr>
      </w:pPr>
    </w:p>
    <w:p w14:paraId="7C46DB0F" w14:textId="5F84B2ED" w:rsidR="00A2021D" w:rsidRPr="00750137" w:rsidRDefault="002817DE" w:rsidP="00A2021D">
      <w:pPr>
        <w:jc w:val="center"/>
        <w:rPr>
          <w:rFonts w:ascii="Arial" w:eastAsia="Times New Roman" w:hAnsi="Arial" w:cs="Arial"/>
          <w:color w:val="000000" w:themeColor="text1"/>
          <w:sz w:val="18"/>
          <w:szCs w:val="20"/>
          <w:lang w:eastAsia="es-CO"/>
        </w:rPr>
      </w:pPr>
      <w:r>
        <w:rPr>
          <w:noProof/>
          <w:lang w:val="en-US"/>
        </w:rPr>
        <w:drawing>
          <wp:inline distT="0" distB="0" distL="0" distR="0" wp14:anchorId="00D1210B" wp14:editId="71ED4888">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454ED518" w14:textId="77777777" w:rsidR="00A2021D" w:rsidRPr="00750137" w:rsidRDefault="00A2021D" w:rsidP="00A2021D">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50137" w:rsidRPr="00750137" w14:paraId="7884E00C" w14:textId="77777777" w:rsidTr="001802A9">
        <w:trPr>
          <w:trHeight w:val="315"/>
        </w:trPr>
        <w:tc>
          <w:tcPr>
            <w:tcW w:w="812" w:type="dxa"/>
            <w:vAlign w:val="center"/>
          </w:tcPr>
          <w:p w14:paraId="7C51E34A" w14:textId="77777777" w:rsidR="00A2021D" w:rsidRPr="00750137" w:rsidRDefault="00A2021D" w:rsidP="001802A9">
            <w:pPr>
              <w:rPr>
                <w:rFonts w:ascii="Arial" w:eastAsia="Times New Roman" w:hAnsi="Arial" w:cs="Arial"/>
                <w:color w:val="000000" w:themeColor="text1"/>
                <w:sz w:val="16"/>
                <w:szCs w:val="16"/>
                <w:lang w:eastAsia="es-ES"/>
              </w:rPr>
            </w:pPr>
            <w:r w:rsidRPr="00750137">
              <w:rPr>
                <w:rFonts w:ascii="Arial" w:eastAsia="Times New Roman" w:hAnsi="Arial" w:cs="Arial"/>
                <w:color w:val="000000" w:themeColor="text1"/>
                <w:sz w:val="16"/>
                <w:szCs w:val="16"/>
                <w:lang w:eastAsia="es-ES"/>
              </w:rPr>
              <w:t>Elaboró:</w:t>
            </w:r>
          </w:p>
        </w:tc>
        <w:tc>
          <w:tcPr>
            <w:tcW w:w="4413" w:type="dxa"/>
            <w:tcBorders>
              <w:bottom w:val="dotted" w:sz="4" w:space="0" w:color="7F7F7F" w:themeColor="text1" w:themeTint="80"/>
            </w:tcBorders>
            <w:vAlign w:val="center"/>
          </w:tcPr>
          <w:p w14:paraId="6C898B76" w14:textId="77777777" w:rsidR="00A2021D" w:rsidRPr="00750137" w:rsidRDefault="00A2021D" w:rsidP="001802A9">
            <w:pPr>
              <w:rPr>
                <w:rFonts w:ascii="Arial" w:eastAsia="Times New Roman" w:hAnsi="Arial" w:cs="Arial"/>
                <w:color w:val="000000" w:themeColor="text1"/>
                <w:sz w:val="16"/>
                <w:szCs w:val="16"/>
                <w:lang w:eastAsia="es-ES"/>
              </w:rPr>
            </w:pPr>
            <w:r w:rsidRPr="00750137">
              <w:rPr>
                <w:rFonts w:ascii="Arial" w:eastAsia="Times New Roman" w:hAnsi="Arial" w:cs="Arial"/>
                <w:color w:val="000000" w:themeColor="text1"/>
                <w:sz w:val="16"/>
                <w:szCs w:val="16"/>
                <w:lang w:eastAsia="es-ES"/>
              </w:rPr>
              <w:t xml:space="preserve">Nina María Padrón Ballestas </w:t>
            </w:r>
          </w:p>
          <w:p w14:paraId="73B81830" w14:textId="77777777" w:rsidR="00A2021D" w:rsidRPr="00750137" w:rsidRDefault="00A2021D" w:rsidP="001802A9">
            <w:pPr>
              <w:rPr>
                <w:rFonts w:ascii="Arial" w:eastAsia="Times New Roman" w:hAnsi="Arial" w:cs="Arial"/>
                <w:color w:val="000000" w:themeColor="text1"/>
                <w:sz w:val="16"/>
                <w:szCs w:val="16"/>
                <w:lang w:eastAsia="es-ES"/>
              </w:rPr>
            </w:pPr>
            <w:r w:rsidRPr="00750137">
              <w:rPr>
                <w:rFonts w:ascii="Arial" w:eastAsia="Times New Roman" w:hAnsi="Arial" w:cs="Arial"/>
                <w:color w:val="000000" w:themeColor="text1"/>
                <w:sz w:val="16"/>
                <w:szCs w:val="16"/>
                <w:lang w:eastAsia="es-ES"/>
              </w:rPr>
              <w:t xml:space="preserve">Contratista Subdirección de Gestión Contractual </w:t>
            </w:r>
          </w:p>
        </w:tc>
      </w:tr>
      <w:tr w:rsidR="00750137" w:rsidRPr="00750137" w14:paraId="067F149B" w14:textId="77777777" w:rsidTr="001802A9">
        <w:trPr>
          <w:trHeight w:val="353"/>
        </w:trPr>
        <w:tc>
          <w:tcPr>
            <w:tcW w:w="812" w:type="dxa"/>
            <w:vAlign w:val="center"/>
          </w:tcPr>
          <w:p w14:paraId="1C941AE2" w14:textId="77777777" w:rsidR="00A2021D" w:rsidRPr="00750137" w:rsidRDefault="00A2021D" w:rsidP="001802A9">
            <w:pPr>
              <w:rPr>
                <w:rFonts w:ascii="Arial" w:eastAsia="Times New Roman" w:hAnsi="Arial" w:cs="Arial"/>
                <w:color w:val="000000" w:themeColor="text1"/>
                <w:sz w:val="16"/>
                <w:szCs w:val="16"/>
                <w:lang w:eastAsia="es-ES"/>
              </w:rPr>
            </w:pPr>
            <w:r w:rsidRPr="00750137">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5A0C057C" w14:textId="356D9D4A" w:rsidR="007B66A7" w:rsidRPr="00750137" w:rsidRDefault="0067138C" w:rsidP="001802A9">
            <w:pPr>
              <w:rPr>
                <w:rFonts w:ascii="Arial" w:eastAsia="Times New Roman" w:hAnsi="Arial" w:cs="Arial"/>
                <w:color w:val="000000" w:themeColor="text1"/>
                <w:sz w:val="16"/>
                <w:szCs w:val="16"/>
                <w:lang w:eastAsia="es-ES"/>
              </w:rPr>
            </w:pPr>
            <w:r w:rsidRPr="00750137">
              <w:rPr>
                <w:rFonts w:ascii="Arial" w:eastAsia="Times New Roman" w:hAnsi="Arial" w:cs="Arial"/>
                <w:color w:val="000000" w:themeColor="text1"/>
                <w:sz w:val="16"/>
                <w:szCs w:val="16"/>
                <w:lang w:eastAsia="es-ES"/>
              </w:rPr>
              <w:t xml:space="preserve">Sebastián Ramírez Girsales </w:t>
            </w:r>
          </w:p>
          <w:p w14:paraId="119B1B9D" w14:textId="5FDB2F8B" w:rsidR="00A2021D" w:rsidRPr="00750137" w:rsidRDefault="0067138C" w:rsidP="001802A9">
            <w:pPr>
              <w:rPr>
                <w:rFonts w:ascii="Arial" w:eastAsia="Times New Roman" w:hAnsi="Arial" w:cs="Arial"/>
                <w:color w:val="000000" w:themeColor="text1"/>
                <w:sz w:val="16"/>
                <w:szCs w:val="16"/>
                <w:lang w:eastAsia="es-ES"/>
              </w:rPr>
            </w:pPr>
            <w:r w:rsidRPr="00750137">
              <w:rPr>
                <w:rFonts w:ascii="Arial" w:eastAsia="Times New Roman" w:hAnsi="Arial" w:cs="Arial"/>
                <w:color w:val="000000" w:themeColor="text1"/>
                <w:sz w:val="16"/>
                <w:szCs w:val="16"/>
                <w:lang w:eastAsia="es-ES"/>
              </w:rPr>
              <w:t xml:space="preserve">Contratista Subdirección </w:t>
            </w:r>
            <w:r w:rsidR="00A2021D" w:rsidRPr="00750137">
              <w:rPr>
                <w:rFonts w:ascii="Arial" w:eastAsia="Times New Roman" w:hAnsi="Arial" w:cs="Arial"/>
                <w:color w:val="000000" w:themeColor="text1"/>
                <w:sz w:val="16"/>
                <w:szCs w:val="16"/>
                <w:lang w:eastAsia="es-ES"/>
              </w:rPr>
              <w:t xml:space="preserve">de Gestión Contractual </w:t>
            </w:r>
          </w:p>
        </w:tc>
      </w:tr>
      <w:tr w:rsidR="00A2021D" w:rsidRPr="00750137" w14:paraId="19BB4A43" w14:textId="77777777" w:rsidTr="001802A9">
        <w:trPr>
          <w:trHeight w:val="300"/>
        </w:trPr>
        <w:tc>
          <w:tcPr>
            <w:tcW w:w="812" w:type="dxa"/>
            <w:vAlign w:val="center"/>
          </w:tcPr>
          <w:p w14:paraId="5446251F" w14:textId="1A3B5997" w:rsidR="00A2021D" w:rsidRPr="00750137" w:rsidRDefault="00A2021D" w:rsidP="001802A9">
            <w:pPr>
              <w:rPr>
                <w:rFonts w:ascii="Arial" w:eastAsia="Times New Roman" w:hAnsi="Arial" w:cs="Arial"/>
                <w:color w:val="000000" w:themeColor="text1"/>
                <w:sz w:val="16"/>
                <w:szCs w:val="16"/>
                <w:lang w:eastAsia="es-ES"/>
              </w:rPr>
            </w:pPr>
            <w:r w:rsidRPr="00750137">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220AF38D" w14:textId="77777777" w:rsidR="00A2021D" w:rsidRPr="00750137" w:rsidRDefault="00A2021D" w:rsidP="001802A9">
            <w:pPr>
              <w:rPr>
                <w:rFonts w:ascii="Arial" w:eastAsia="Times New Roman" w:hAnsi="Arial" w:cs="Arial"/>
                <w:color w:val="000000" w:themeColor="text1"/>
                <w:sz w:val="16"/>
                <w:szCs w:val="16"/>
                <w:lang w:eastAsia="es-ES"/>
              </w:rPr>
            </w:pPr>
            <w:r w:rsidRPr="00750137">
              <w:rPr>
                <w:rFonts w:ascii="Arial" w:eastAsia="Times New Roman" w:hAnsi="Arial" w:cs="Arial"/>
                <w:color w:val="000000" w:themeColor="text1"/>
                <w:sz w:val="16"/>
                <w:szCs w:val="16"/>
                <w:lang w:eastAsia="es-ES"/>
              </w:rPr>
              <w:t>Fabián Gonzalo Marín Cortés</w:t>
            </w:r>
          </w:p>
          <w:p w14:paraId="192E212C" w14:textId="77777777" w:rsidR="00A2021D" w:rsidRPr="00750137" w:rsidRDefault="00A2021D" w:rsidP="001802A9">
            <w:pPr>
              <w:rPr>
                <w:rFonts w:ascii="Arial" w:eastAsia="Times New Roman" w:hAnsi="Arial" w:cs="Arial"/>
                <w:color w:val="000000" w:themeColor="text1"/>
                <w:sz w:val="16"/>
                <w:szCs w:val="16"/>
                <w:lang w:eastAsia="es-ES"/>
              </w:rPr>
            </w:pPr>
            <w:r w:rsidRPr="00750137">
              <w:rPr>
                <w:rFonts w:ascii="Arial" w:eastAsia="Times New Roman" w:hAnsi="Arial" w:cs="Arial"/>
                <w:color w:val="000000" w:themeColor="text1"/>
                <w:sz w:val="16"/>
                <w:szCs w:val="16"/>
                <w:lang w:eastAsia="es-ES"/>
              </w:rPr>
              <w:t>Subdirector de Gestión Contractual</w:t>
            </w:r>
          </w:p>
        </w:tc>
      </w:tr>
    </w:tbl>
    <w:p w14:paraId="7EBF297E" w14:textId="5790A9B7" w:rsidR="007B0854" w:rsidRPr="00750137" w:rsidRDefault="007B0854" w:rsidP="00A2021D">
      <w:pPr>
        <w:rPr>
          <w:color w:val="000000" w:themeColor="text1"/>
        </w:rPr>
      </w:pPr>
    </w:p>
    <w:sectPr w:rsidR="007B0854" w:rsidRPr="00750137"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B7FFE" w14:textId="77777777" w:rsidR="00A83D9A" w:rsidRDefault="00A83D9A">
      <w:r>
        <w:separator/>
      </w:r>
    </w:p>
  </w:endnote>
  <w:endnote w:type="continuationSeparator" w:id="0">
    <w:p w14:paraId="553D3931" w14:textId="77777777" w:rsidR="00A83D9A" w:rsidRDefault="00A83D9A">
      <w:r>
        <w:continuationSeparator/>
      </w:r>
    </w:p>
  </w:endnote>
  <w:endnote w:type="continuationNotice" w:id="1">
    <w:p w14:paraId="1957E2B3" w14:textId="77777777" w:rsidR="00A83D9A" w:rsidRDefault="00A83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77777777" w:rsidR="001802A9" w:rsidRDefault="001802A9" w:rsidP="00322937">
    <w:pPr>
      <w:pStyle w:val="Sinespaciado"/>
      <w:jc w:val="right"/>
      <w:rPr>
        <w:rFonts w:ascii="Arial" w:hAnsi="Arial" w:cs="Arial"/>
        <w:sz w:val="18"/>
        <w:szCs w:val="18"/>
      </w:rPr>
    </w:pPr>
  </w:p>
  <w:p w14:paraId="7A3785F3" w14:textId="358419B8" w:rsidR="001802A9" w:rsidRPr="008217B7" w:rsidRDefault="001802A9"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F2AE4">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F2AE4">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p>
  <w:p w14:paraId="48FC6A04" w14:textId="5FD1A7C9" w:rsidR="001802A9" w:rsidRDefault="1F3250CE" w:rsidP="00322937">
    <w:pPr>
      <w:pStyle w:val="Piedepgina"/>
      <w:jc w:val="center"/>
      <w:rPr>
        <w:lang w:val="es-ES"/>
      </w:rPr>
    </w:pPr>
    <w:r>
      <w:rPr>
        <w:noProof/>
        <w:lang w:val="en-US"/>
      </w:rPr>
      <w:drawing>
        <wp:inline distT="0" distB="0" distL="0" distR="0" wp14:anchorId="608B196D" wp14:editId="12FB4A86">
          <wp:extent cx="3700130" cy="519139"/>
          <wp:effectExtent l="0" t="0" r="0" b="0"/>
          <wp:docPr id="52339118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1802A9" w:rsidRPr="00B8011A" w:rsidRDefault="001802A9" w:rsidP="007B0854">
    <w:pPr>
      <w:pStyle w:val="Piedepgina"/>
      <w:jc w:val="center"/>
      <w:rPr>
        <w:sz w:val="20"/>
        <w:szCs w:val="20"/>
        <w:lang w:val="es-ES"/>
      </w:rPr>
    </w:pPr>
  </w:p>
  <w:p w14:paraId="6C0EFC49" w14:textId="77777777" w:rsidR="001802A9" w:rsidRPr="007B0854" w:rsidRDefault="001802A9"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7D3B7" w14:textId="77777777" w:rsidR="00A83D9A" w:rsidRDefault="00A83D9A">
      <w:r>
        <w:separator/>
      </w:r>
    </w:p>
  </w:footnote>
  <w:footnote w:type="continuationSeparator" w:id="0">
    <w:p w14:paraId="283320B1" w14:textId="77777777" w:rsidR="00A83D9A" w:rsidRDefault="00A83D9A">
      <w:r>
        <w:continuationSeparator/>
      </w:r>
    </w:p>
  </w:footnote>
  <w:footnote w:type="continuationNotice" w:id="1">
    <w:p w14:paraId="7DD1C8DA" w14:textId="77777777" w:rsidR="00A83D9A" w:rsidRDefault="00A83D9A"/>
  </w:footnote>
  <w:footnote w:id="2">
    <w:p w14:paraId="32A924B8" w14:textId="77777777" w:rsidR="001C2262" w:rsidRPr="00750137" w:rsidRDefault="001C2262" w:rsidP="001C2262">
      <w:pPr>
        <w:pStyle w:val="Textonotapie"/>
        <w:ind w:firstLine="708"/>
        <w:jc w:val="both"/>
        <w:rPr>
          <w:rFonts w:ascii="Arial" w:hAnsi="Arial" w:cs="Arial"/>
          <w:color w:val="000000" w:themeColor="text1"/>
          <w:sz w:val="19"/>
          <w:szCs w:val="19"/>
        </w:rPr>
      </w:pPr>
      <w:r w:rsidRPr="00750137">
        <w:rPr>
          <w:rStyle w:val="Refdenotaalpie"/>
          <w:rFonts w:ascii="Arial" w:hAnsi="Arial" w:cs="Arial"/>
          <w:color w:val="000000" w:themeColor="text1"/>
          <w:sz w:val="19"/>
          <w:szCs w:val="19"/>
        </w:rPr>
        <w:footnoteRef/>
      </w:r>
      <w:r w:rsidRPr="00750137">
        <w:rPr>
          <w:rFonts w:ascii="Arial" w:hAnsi="Arial" w:cs="Arial"/>
          <w:color w:val="000000" w:themeColor="text1"/>
          <w:sz w:val="19"/>
          <w:szCs w:val="19"/>
        </w:rPr>
        <w:t xml:space="preserve"> Corte Constitucional. Sentencia C- 341 del 4 de junio de 2014. M. P. Mauricio González Cuervo.</w:t>
      </w:r>
    </w:p>
    <w:p w14:paraId="1DF285DB" w14:textId="77777777" w:rsidR="001C2262" w:rsidRPr="00750137" w:rsidRDefault="001C2262" w:rsidP="001C2262">
      <w:pPr>
        <w:pStyle w:val="Textonotapie"/>
        <w:ind w:firstLine="708"/>
        <w:jc w:val="both"/>
        <w:rPr>
          <w:rFonts w:ascii="Arial" w:hAnsi="Arial" w:cs="Arial"/>
          <w:color w:val="000000" w:themeColor="text1"/>
          <w:sz w:val="19"/>
          <w:szCs w:val="19"/>
          <w:lang w:val="es-CO"/>
        </w:rPr>
      </w:pPr>
    </w:p>
  </w:footnote>
  <w:footnote w:id="3">
    <w:p w14:paraId="7C05E252" w14:textId="77777777" w:rsidR="001C2262" w:rsidRPr="00750137" w:rsidRDefault="001C2262" w:rsidP="001C2262">
      <w:pPr>
        <w:pStyle w:val="Textonotapie"/>
        <w:ind w:firstLine="708"/>
        <w:jc w:val="both"/>
        <w:rPr>
          <w:rFonts w:ascii="Arial" w:hAnsi="Arial" w:cs="Arial"/>
          <w:color w:val="000000" w:themeColor="text1"/>
          <w:sz w:val="19"/>
          <w:szCs w:val="19"/>
        </w:rPr>
      </w:pPr>
      <w:r w:rsidRPr="00750137">
        <w:rPr>
          <w:rStyle w:val="Refdenotaalpie"/>
          <w:rFonts w:ascii="Arial" w:hAnsi="Arial" w:cs="Arial"/>
          <w:color w:val="000000" w:themeColor="text1"/>
          <w:sz w:val="19"/>
          <w:szCs w:val="19"/>
        </w:rPr>
        <w:footnoteRef/>
      </w:r>
      <w:r w:rsidRPr="00750137">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08C853BC" w14:textId="77777777" w:rsidR="001C2262" w:rsidRPr="00750137" w:rsidRDefault="001C2262" w:rsidP="001C2262">
      <w:pPr>
        <w:pStyle w:val="Textonotapie"/>
        <w:ind w:firstLine="708"/>
        <w:jc w:val="both"/>
        <w:rPr>
          <w:rFonts w:ascii="Arial" w:hAnsi="Arial" w:cs="Arial"/>
          <w:color w:val="000000" w:themeColor="text1"/>
          <w:sz w:val="19"/>
          <w:szCs w:val="19"/>
        </w:rPr>
      </w:pPr>
      <w:r w:rsidRPr="00750137">
        <w:rPr>
          <w:rFonts w:ascii="Arial" w:hAnsi="Arial" w:cs="Arial"/>
          <w:color w:val="000000" w:themeColor="text1"/>
          <w:sz w:val="19"/>
          <w:szCs w:val="19"/>
        </w:rPr>
        <w:t>»Lo anterior, sin perjuicio de las publicaciones previstas en el numeral 3 del artículo 30 de la Ley 80 de 1993.</w:t>
      </w:r>
    </w:p>
    <w:p w14:paraId="0841152A" w14:textId="77777777" w:rsidR="001C2262" w:rsidRPr="00750137" w:rsidRDefault="001C2262" w:rsidP="001C2262">
      <w:pPr>
        <w:pStyle w:val="Textonotapie"/>
        <w:ind w:firstLine="708"/>
        <w:jc w:val="both"/>
        <w:rPr>
          <w:rFonts w:ascii="Arial" w:hAnsi="Arial" w:cs="Arial"/>
          <w:color w:val="000000" w:themeColor="text1"/>
          <w:sz w:val="19"/>
          <w:szCs w:val="19"/>
        </w:rPr>
      </w:pPr>
      <w:r w:rsidRPr="00750137">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Secop, el cual: </w:t>
      </w:r>
    </w:p>
    <w:p w14:paraId="43D592C5" w14:textId="77777777" w:rsidR="001C2262" w:rsidRPr="00750137" w:rsidRDefault="001C2262" w:rsidP="001C2262">
      <w:pPr>
        <w:pStyle w:val="Textonotapie"/>
        <w:ind w:firstLine="708"/>
        <w:jc w:val="both"/>
        <w:rPr>
          <w:rFonts w:ascii="Arial" w:hAnsi="Arial" w:cs="Arial"/>
          <w:color w:val="000000" w:themeColor="text1"/>
          <w:sz w:val="19"/>
          <w:szCs w:val="19"/>
        </w:rPr>
      </w:pPr>
      <w:r w:rsidRPr="00750137">
        <w:rPr>
          <w:rFonts w:ascii="Arial" w:hAnsi="Arial" w:cs="Arial"/>
          <w:color w:val="000000" w:themeColor="text1"/>
          <w:sz w:val="19"/>
          <w:szCs w:val="19"/>
        </w:rPr>
        <w:t>[…]</w:t>
      </w:r>
    </w:p>
    <w:p w14:paraId="736C7757" w14:textId="77777777" w:rsidR="001C2262" w:rsidRPr="00750137" w:rsidRDefault="001C2262" w:rsidP="001C2262">
      <w:pPr>
        <w:pStyle w:val="Textonotapie"/>
        <w:ind w:firstLine="708"/>
        <w:jc w:val="both"/>
        <w:rPr>
          <w:rFonts w:ascii="Arial" w:hAnsi="Arial" w:cs="Arial"/>
          <w:color w:val="000000" w:themeColor="text1"/>
          <w:sz w:val="19"/>
          <w:szCs w:val="19"/>
        </w:rPr>
      </w:pPr>
      <w:r w:rsidRPr="00750137">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232B3467" w14:textId="77777777" w:rsidR="001C2262" w:rsidRPr="00750137" w:rsidRDefault="001C2262" w:rsidP="001C2262">
      <w:pPr>
        <w:pStyle w:val="Textonotapie"/>
        <w:ind w:firstLine="708"/>
        <w:jc w:val="both"/>
        <w:rPr>
          <w:rFonts w:ascii="Arial" w:hAnsi="Arial" w:cs="Arial"/>
          <w:color w:val="000000" w:themeColor="text1"/>
          <w:sz w:val="19"/>
          <w:szCs w:val="19"/>
        </w:rPr>
      </w:pPr>
    </w:p>
  </w:footnote>
  <w:footnote w:id="4">
    <w:p w14:paraId="4B860731" w14:textId="77777777" w:rsidR="001C2262" w:rsidRPr="00750137" w:rsidRDefault="001C2262" w:rsidP="001C2262">
      <w:pPr>
        <w:pStyle w:val="Textonotapie"/>
        <w:ind w:firstLine="708"/>
        <w:jc w:val="both"/>
        <w:rPr>
          <w:rFonts w:ascii="Arial" w:hAnsi="Arial" w:cs="Arial"/>
          <w:color w:val="000000" w:themeColor="text1"/>
          <w:sz w:val="19"/>
          <w:szCs w:val="19"/>
        </w:rPr>
      </w:pPr>
      <w:r w:rsidRPr="00750137">
        <w:rPr>
          <w:rStyle w:val="Refdenotaalpie"/>
          <w:rFonts w:ascii="Arial" w:hAnsi="Arial" w:cs="Arial"/>
          <w:color w:val="000000" w:themeColor="text1"/>
          <w:sz w:val="19"/>
          <w:szCs w:val="19"/>
        </w:rPr>
        <w:footnoteRef/>
      </w:r>
      <w:r w:rsidRPr="00750137">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6FCED058" w14:textId="77777777" w:rsidR="001C2262" w:rsidRPr="00750137" w:rsidRDefault="001C2262" w:rsidP="001C2262">
      <w:pPr>
        <w:pStyle w:val="Textonotapie"/>
        <w:ind w:firstLine="708"/>
        <w:jc w:val="both"/>
        <w:rPr>
          <w:rFonts w:ascii="Arial" w:hAnsi="Arial" w:cs="Arial"/>
          <w:color w:val="000000" w:themeColor="text1"/>
          <w:sz w:val="19"/>
          <w:szCs w:val="19"/>
        </w:rPr>
      </w:pPr>
    </w:p>
  </w:footnote>
  <w:footnote w:id="5">
    <w:p w14:paraId="6C1BAF3C" w14:textId="77777777" w:rsidR="001C2262" w:rsidRPr="00750137" w:rsidRDefault="001C2262" w:rsidP="001C2262">
      <w:pPr>
        <w:pStyle w:val="Textonotapie"/>
        <w:ind w:firstLine="708"/>
        <w:jc w:val="both"/>
        <w:rPr>
          <w:rFonts w:ascii="Arial" w:hAnsi="Arial" w:cs="Arial"/>
          <w:color w:val="000000" w:themeColor="text1"/>
          <w:sz w:val="19"/>
          <w:szCs w:val="19"/>
        </w:rPr>
      </w:pPr>
      <w:r w:rsidRPr="00750137">
        <w:rPr>
          <w:rStyle w:val="Refdenotaalpie"/>
          <w:rFonts w:ascii="Arial" w:hAnsi="Arial" w:cs="Arial"/>
          <w:color w:val="000000" w:themeColor="text1"/>
          <w:sz w:val="19"/>
          <w:szCs w:val="19"/>
        </w:rPr>
        <w:footnoteRef/>
      </w:r>
      <w:r w:rsidRPr="00750137">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7D1E86F5" w14:textId="77777777" w:rsidR="001C2262" w:rsidRPr="00750137" w:rsidRDefault="001C2262" w:rsidP="001C2262">
      <w:pPr>
        <w:pStyle w:val="Textonotapie"/>
        <w:ind w:firstLine="708"/>
        <w:jc w:val="both"/>
        <w:rPr>
          <w:rFonts w:ascii="Arial" w:hAnsi="Arial" w:cs="Arial"/>
          <w:color w:val="000000" w:themeColor="text1"/>
          <w:sz w:val="19"/>
          <w:szCs w:val="19"/>
        </w:rPr>
      </w:pPr>
      <w:r w:rsidRPr="00750137">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172C5014" w14:textId="77777777" w:rsidR="001C2262" w:rsidRPr="00750137" w:rsidRDefault="001C2262" w:rsidP="001C2262">
      <w:pPr>
        <w:pStyle w:val="Textonotapie"/>
        <w:jc w:val="both"/>
        <w:rPr>
          <w:rFonts w:ascii="Arial" w:hAnsi="Arial" w:cs="Arial"/>
          <w:color w:val="000000" w:themeColor="text1"/>
          <w:sz w:val="19"/>
          <w:szCs w:val="19"/>
          <w:lang w:val="es-CO"/>
        </w:rPr>
      </w:pPr>
    </w:p>
  </w:footnote>
  <w:footnote w:id="6">
    <w:p w14:paraId="1A08D879" w14:textId="77777777" w:rsidR="001C2262" w:rsidRPr="00750137" w:rsidRDefault="001C2262" w:rsidP="001C2262">
      <w:pPr>
        <w:pStyle w:val="Textonotapie"/>
        <w:ind w:firstLine="709"/>
        <w:jc w:val="both"/>
        <w:rPr>
          <w:rFonts w:ascii="Arial" w:hAnsi="Arial" w:cs="Arial"/>
          <w:color w:val="000000" w:themeColor="text1"/>
          <w:sz w:val="19"/>
          <w:szCs w:val="19"/>
        </w:rPr>
      </w:pPr>
      <w:r w:rsidRPr="00750137">
        <w:rPr>
          <w:rFonts w:ascii="Arial" w:eastAsia="Times New Roman" w:hAnsi="Arial" w:cs="Arial"/>
          <w:color w:val="000000" w:themeColor="text1"/>
          <w:sz w:val="19"/>
          <w:szCs w:val="19"/>
          <w:vertAlign w:val="superscript"/>
          <w:lang w:val="es-ES" w:eastAsia="es-ES"/>
        </w:rPr>
        <w:footnoteRef/>
      </w:r>
      <w:r w:rsidRPr="00750137">
        <w:rPr>
          <w:rFonts w:ascii="Arial" w:eastAsia="Times New Roman" w:hAnsi="Arial" w:cs="Arial"/>
          <w:color w:val="000000" w:themeColor="text1"/>
          <w:sz w:val="19"/>
          <w:szCs w:val="19"/>
          <w:vertAlign w:val="superscript"/>
          <w:lang w:val="es-ES" w:eastAsia="es-ES"/>
        </w:rPr>
        <w:t xml:space="preserve"> </w:t>
      </w:r>
      <w:r w:rsidRPr="00750137">
        <w:rPr>
          <w:rFonts w:ascii="Arial" w:eastAsia="Times New Roman" w:hAnsi="Arial" w:cs="Arial"/>
          <w:color w:val="000000" w:themeColor="text1"/>
          <w:sz w:val="19"/>
          <w:szCs w:val="19"/>
          <w:lang w:val="es-ES" w:eastAsia="es-ES"/>
        </w:rPr>
        <w:t>«</w:t>
      </w:r>
      <w:r w:rsidRPr="00750137">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60655F30" w14:textId="77777777" w:rsidR="001C2262" w:rsidRPr="00750137" w:rsidRDefault="001C2262" w:rsidP="001C2262">
      <w:pPr>
        <w:pStyle w:val="Textonotapie"/>
        <w:ind w:firstLine="709"/>
        <w:jc w:val="both"/>
        <w:rPr>
          <w:rFonts w:ascii="Arial" w:hAnsi="Arial" w:cs="Arial"/>
          <w:color w:val="000000" w:themeColor="text1"/>
          <w:sz w:val="19"/>
          <w:szCs w:val="19"/>
        </w:rPr>
      </w:pPr>
      <w:r w:rsidRPr="00750137">
        <w:rPr>
          <w:rFonts w:ascii="Arial" w:hAnsi="Arial" w:cs="Arial"/>
          <w:color w:val="000000" w:themeColor="text1"/>
          <w:sz w:val="19"/>
          <w:szCs w:val="19"/>
        </w:rPr>
        <w:t>[…]</w:t>
      </w:r>
    </w:p>
    <w:p w14:paraId="2C01AE59" w14:textId="77777777" w:rsidR="001C2262" w:rsidRPr="00750137" w:rsidRDefault="001C2262" w:rsidP="001C2262">
      <w:pPr>
        <w:pStyle w:val="Textonotapie"/>
        <w:ind w:firstLine="709"/>
        <w:jc w:val="both"/>
        <w:rPr>
          <w:rFonts w:ascii="Arial" w:hAnsi="Arial" w:cs="Arial"/>
          <w:color w:val="000000" w:themeColor="text1"/>
          <w:sz w:val="19"/>
          <w:szCs w:val="19"/>
        </w:rPr>
      </w:pPr>
    </w:p>
    <w:p w14:paraId="578A541D" w14:textId="77777777" w:rsidR="001C2262" w:rsidRPr="00750137" w:rsidRDefault="001C2262" w:rsidP="001C2262">
      <w:pPr>
        <w:pStyle w:val="Textonotapie"/>
        <w:ind w:firstLine="709"/>
        <w:jc w:val="both"/>
        <w:rPr>
          <w:rFonts w:ascii="Arial" w:eastAsia="Times New Roman" w:hAnsi="Arial" w:cs="Arial"/>
          <w:color w:val="000000" w:themeColor="text1"/>
          <w:sz w:val="19"/>
          <w:szCs w:val="19"/>
          <w:lang w:val="es-ES" w:eastAsia="es-ES"/>
        </w:rPr>
      </w:pPr>
      <w:r w:rsidRPr="00750137">
        <w:rPr>
          <w:rFonts w:ascii="Arial" w:eastAsia="Times New Roman"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70C9B6D2" w14:textId="77777777" w:rsidR="001C2262" w:rsidRPr="00750137" w:rsidRDefault="001C2262" w:rsidP="001C2262">
      <w:pPr>
        <w:pStyle w:val="Textonotapie"/>
        <w:ind w:firstLine="709"/>
        <w:jc w:val="both"/>
        <w:rPr>
          <w:rFonts w:ascii="Arial" w:eastAsia="Times New Roman" w:hAnsi="Arial" w:cs="Arial"/>
          <w:color w:val="000000" w:themeColor="text1"/>
          <w:sz w:val="19"/>
          <w:szCs w:val="19"/>
          <w:lang w:val="es-ES" w:eastAsia="es-ES"/>
        </w:rPr>
      </w:pPr>
    </w:p>
  </w:footnote>
  <w:footnote w:id="7">
    <w:p w14:paraId="057791C6" w14:textId="77777777" w:rsidR="001C2262" w:rsidRPr="00750137" w:rsidRDefault="001C2262" w:rsidP="001C2262">
      <w:pPr>
        <w:pStyle w:val="Textonotapie"/>
        <w:ind w:firstLine="708"/>
        <w:jc w:val="both"/>
        <w:rPr>
          <w:rFonts w:ascii="Arial" w:eastAsia="Times New Roman" w:hAnsi="Arial" w:cs="Arial"/>
          <w:color w:val="000000" w:themeColor="text1"/>
          <w:sz w:val="19"/>
          <w:szCs w:val="19"/>
          <w:lang w:val="es-ES" w:eastAsia="es-ES"/>
        </w:rPr>
      </w:pPr>
      <w:r w:rsidRPr="00750137">
        <w:rPr>
          <w:rStyle w:val="Refdenotaalpie"/>
          <w:rFonts w:ascii="Arial" w:hAnsi="Arial" w:cs="Arial"/>
          <w:color w:val="000000" w:themeColor="text1"/>
          <w:sz w:val="19"/>
          <w:szCs w:val="19"/>
        </w:rPr>
        <w:footnoteRef/>
      </w:r>
      <w:r w:rsidRPr="00750137">
        <w:rPr>
          <w:rFonts w:ascii="Arial" w:hAnsi="Arial" w:cs="Arial"/>
          <w:color w:val="000000" w:themeColor="text1"/>
          <w:sz w:val="19"/>
          <w:szCs w:val="19"/>
        </w:rPr>
        <w:t xml:space="preserve"> C</w:t>
      </w:r>
      <w:r w:rsidRPr="00750137">
        <w:rPr>
          <w:rFonts w:ascii="Arial" w:eastAsia="Times New Roman" w:hAnsi="Arial" w:cs="Arial"/>
          <w:color w:val="000000" w:themeColor="text1"/>
          <w:sz w:val="19"/>
          <w:szCs w:val="19"/>
          <w:lang w:val="es-ES" w:eastAsia="es-ES"/>
        </w:rPr>
        <w:t xml:space="preserve">orte Constitucional. Sentencia C─274 de 9 de mayo de 2013. M.P. María Victoria Calle Correa. </w:t>
      </w:r>
    </w:p>
    <w:p w14:paraId="57201997" w14:textId="77777777" w:rsidR="001C2262" w:rsidRPr="00750137" w:rsidRDefault="001C2262" w:rsidP="001C2262">
      <w:pPr>
        <w:pStyle w:val="Textonotapie"/>
        <w:ind w:firstLine="708"/>
        <w:jc w:val="both"/>
        <w:rPr>
          <w:rFonts w:ascii="Arial" w:eastAsia="Times New Roman" w:hAnsi="Arial" w:cs="Arial"/>
          <w:color w:val="000000" w:themeColor="text1"/>
          <w:sz w:val="19"/>
          <w:szCs w:val="19"/>
          <w:lang w:val="es-ES" w:eastAsia="es-ES"/>
        </w:rPr>
      </w:pPr>
    </w:p>
  </w:footnote>
  <w:footnote w:id="8">
    <w:p w14:paraId="0582ACB2" w14:textId="77777777" w:rsidR="001C2262" w:rsidRPr="00750137" w:rsidRDefault="001C2262" w:rsidP="001C2262">
      <w:pPr>
        <w:pStyle w:val="Textonotapie"/>
        <w:ind w:firstLine="708"/>
        <w:jc w:val="both"/>
        <w:rPr>
          <w:rFonts w:ascii="Arial" w:hAnsi="Arial" w:cs="Arial"/>
          <w:color w:val="000000" w:themeColor="text1"/>
          <w:sz w:val="19"/>
          <w:szCs w:val="19"/>
          <w:lang w:val="es-CO"/>
        </w:rPr>
      </w:pPr>
      <w:r w:rsidRPr="00750137">
        <w:rPr>
          <w:rStyle w:val="Refdenotaalpie"/>
          <w:rFonts w:ascii="Arial" w:hAnsi="Arial" w:cs="Arial"/>
          <w:color w:val="000000" w:themeColor="text1"/>
          <w:sz w:val="19"/>
          <w:szCs w:val="19"/>
        </w:rPr>
        <w:footnoteRef/>
      </w:r>
      <w:r w:rsidRPr="00750137">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footnote>
  <w:footnote w:id="9">
    <w:p w14:paraId="0127DF4A" w14:textId="66C57715" w:rsidR="001C2262" w:rsidRPr="00750137" w:rsidRDefault="001C2262" w:rsidP="001C2262">
      <w:pPr>
        <w:pStyle w:val="Textonotapie"/>
        <w:ind w:firstLine="708"/>
        <w:jc w:val="both"/>
        <w:rPr>
          <w:rFonts w:ascii="Arial" w:hAnsi="Arial" w:cs="Arial"/>
          <w:color w:val="000000" w:themeColor="text1"/>
          <w:sz w:val="19"/>
          <w:szCs w:val="19"/>
        </w:rPr>
      </w:pPr>
      <w:r w:rsidRPr="00750137">
        <w:rPr>
          <w:rStyle w:val="Refdenotaalpie"/>
          <w:rFonts w:ascii="Arial" w:hAnsi="Arial" w:cs="Arial"/>
          <w:color w:val="000000" w:themeColor="text1"/>
          <w:sz w:val="19"/>
          <w:szCs w:val="19"/>
        </w:rPr>
        <w:footnoteRef/>
      </w:r>
      <w:r w:rsidRPr="00750137">
        <w:rPr>
          <w:rFonts w:ascii="Arial" w:hAnsi="Arial" w:cs="Arial"/>
          <w:color w:val="000000" w:themeColor="text1"/>
          <w:sz w:val="19"/>
          <w:szCs w:val="19"/>
        </w:rPr>
        <w:t xml:space="preserve"> </w:t>
      </w:r>
      <w:r w:rsidR="001D2D96" w:rsidRPr="00750137">
        <w:rPr>
          <w:rFonts w:ascii="Arial" w:hAnsi="Arial" w:cs="Arial"/>
          <w:color w:val="000000" w:themeColor="text1"/>
          <w:sz w:val="19"/>
          <w:szCs w:val="19"/>
        </w:rPr>
        <w:t xml:space="preserve">Consejo de Estado. Sección Tercera. </w:t>
      </w:r>
      <w:r w:rsidRPr="00750137">
        <w:rPr>
          <w:rFonts w:ascii="Arial" w:hAnsi="Arial" w:cs="Arial"/>
          <w:color w:val="000000" w:themeColor="text1"/>
          <w:sz w:val="19"/>
          <w:szCs w:val="19"/>
        </w:rPr>
        <w:t xml:space="preserve">Auto del 14 de agosto de 2017.  Exp: 58.820. C.P. Jaime Orlando Santofimio Gamboa. </w:t>
      </w:r>
    </w:p>
    <w:p w14:paraId="71ADDD51" w14:textId="77777777" w:rsidR="001C2262" w:rsidRPr="00750137" w:rsidRDefault="001C2262" w:rsidP="001C2262">
      <w:pPr>
        <w:pStyle w:val="Textonotapie"/>
        <w:ind w:firstLine="708"/>
        <w:jc w:val="both"/>
        <w:rPr>
          <w:rFonts w:ascii="Arial" w:hAnsi="Arial" w:cs="Arial"/>
          <w:color w:val="000000" w:themeColor="text1"/>
          <w:sz w:val="19"/>
          <w:szCs w:val="19"/>
          <w:lang w:val="es-CO"/>
        </w:rPr>
      </w:pPr>
    </w:p>
  </w:footnote>
  <w:footnote w:id="10">
    <w:p w14:paraId="3610588D" w14:textId="77777777" w:rsidR="001C2262" w:rsidRPr="00750137" w:rsidRDefault="001C2262" w:rsidP="001C2262">
      <w:pPr>
        <w:pStyle w:val="Prrafodelista"/>
        <w:ind w:left="0" w:firstLine="708"/>
        <w:contextualSpacing w:val="0"/>
        <w:jc w:val="both"/>
        <w:rPr>
          <w:rFonts w:ascii="Arial" w:hAnsi="Arial" w:cs="Arial"/>
          <w:bCs/>
          <w:color w:val="000000" w:themeColor="text1"/>
          <w:sz w:val="19"/>
          <w:szCs w:val="19"/>
          <w:lang w:val="es-ES"/>
        </w:rPr>
      </w:pPr>
      <w:r w:rsidRPr="00750137">
        <w:rPr>
          <w:rStyle w:val="Refdenotaalpie"/>
          <w:rFonts w:ascii="Arial" w:hAnsi="Arial" w:cs="Arial"/>
          <w:color w:val="000000" w:themeColor="text1"/>
          <w:sz w:val="19"/>
          <w:szCs w:val="19"/>
        </w:rPr>
        <w:footnoteRef/>
      </w:r>
      <w:r w:rsidRPr="00750137">
        <w:rPr>
          <w:rFonts w:ascii="Arial" w:hAnsi="Arial" w:cs="Arial"/>
          <w:color w:val="000000" w:themeColor="text1"/>
          <w:sz w:val="19"/>
          <w:szCs w:val="19"/>
        </w:rPr>
        <w:t xml:space="preserve"> </w:t>
      </w:r>
      <w:r w:rsidRPr="00750137">
        <w:rPr>
          <w:rFonts w:ascii="Arial" w:hAnsi="Arial" w:cs="Arial"/>
          <w:bCs/>
          <w:color w:val="000000" w:themeColor="text1"/>
          <w:sz w:val="19"/>
          <w:szCs w:val="19"/>
          <w:lang w:val="es-ES"/>
        </w:rPr>
        <w:t xml:space="preserve">La anterior posición fue reiterada en las siguientes consultas de los años 2016 y 2017: 416130000999 del 23 de febrero de 2016, 4201613000005457 del 24 de octubre de 2016, 42017000001243 del 15 de marzo de 2017, 4201714000003623 del 21 de julio de 2017, entre otras. En estas consultas se señaló que las entidades con régimen especial de contratación publicarán los documentos del proceso que define el Decreto 1082 de 2015, es decir: a) los estudios y documentos previos, b) el aviso de convocatoria; c) los pliegos de condiciones o la invitación; d) las Adendas; e) la oferta; f) el informe de evaluación; g) el contrato; y cualquier otro documento expedido por la Entidad Estatal durante el Proceso. </w:t>
      </w:r>
    </w:p>
    <w:p w14:paraId="2C21DC6F" w14:textId="77777777" w:rsidR="001C2262" w:rsidRPr="00750137" w:rsidRDefault="001C2262" w:rsidP="001C2262">
      <w:pPr>
        <w:pStyle w:val="Textonotapie"/>
        <w:ind w:firstLine="708"/>
        <w:jc w:val="both"/>
        <w:rPr>
          <w:rFonts w:ascii="Arial" w:hAnsi="Arial" w:cs="Arial"/>
          <w:color w:val="000000" w:themeColor="text1"/>
          <w:sz w:val="19"/>
          <w:szCs w:val="19"/>
          <w:lang w:val="es-ES"/>
        </w:rPr>
      </w:pPr>
    </w:p>
  </w:footnote>
  <w:footnote w:id="11">
    <w:p w14:paraId="2A12658B" w14:textId="77777777" w:rsidR="001C2262" w:rsidRPr="00750137" w:rsidRDefault="001C2262" w:rsidP="001C2262">
      <w:pPr>
        <w:pStyle w:val="Textonotapie"/>
        <w:ind w:firstLine="708"/>
        <w:jc w:val="both"/>
        <w:rPr>
          <w:rFonts w:ascii="Arial" w:hAnsi="Arial" w:cs="Arial"/>
          <w:color w:val="000000" w:themeColor="text1"/>
          <w:sz w:val="19"/>
          <w:szCs w:val="19"/>
        </w:rPr>
      </w:pPr>
      <w:r w:rsidRPr="00750137">
        <w:rPr>
          <w:rStyle w:val="Refdenotaalpie"/>
          <w:rFonts w:ascii="Arial" w:hAnsi="Arial" w:cs="Arial"/>
          <w:color w:val="000000" w:themeColor="text1"/>
          <w:sz w:val="19"/>
          <w:szCs w:val="19"/>
        </w:rPr>
        <w:footnoteRef/>
      </w:r>
      <w:r w:rsidRPr="00750137">
        <w:rPr>
          <w:rFonts w:ascii="Arial" w:hAnsi="Arial" w:cs="Arial"/>
          <w:color w:val="000000" w:themeColor="text1"/>
          <w:sz w:val="19"/>
          <w:szCs w:val="19"/>
        </w:rPr>
        <w:t xml:space="preserve"> Esta posición se reiteró en las siguientes consultas: No. 4201813000006842 del 16 de agosto de 2018, 4201813000010011 del 5 de diciembre de 2018, 4201813000009778 del 29 de octubre de 2018, entre otros, Al respecto se indicó lo siguiente: «Las Entidades con regímenes especiales de contratación están obligadas publicar en el SECOP la información resultante de su actividad contractual en todas sus fases que se ejecute con cargo a recursos públicos, según los procedimientos de selección que tengan definidos en su manual de contratación. Estos documentos incluyen invitaciones a participar, documentos de apertura de procesos, términos de referencia, pliegos de condiciones o sus equivalentes, documentos relativos al procedimiento de selección como observaciones y respuesta, informes de evaluación, ofertas ganadoras, contratos, evidencia del seguimiento a la ejecución, actas de liquidación, entre otros.</w:t>
      </w:r>
    </w:p>
    <w:p w14:paraId="1ECE4975" w14:textId="77777777" w:rsidR="001C2262" w:rsidRPr="00750137" w:rsidRDefault="001C2262" w:rsidP="001C2262">
      <w:pPr>
        <w:pStyle w:val="Textonotapie"/>
        <w:ind w:firstLine="708"/>
        <w:jc w:val="both"/>
        <w:rPr>
          <w:rFonts w:ascii="Arial" w:eastAsia="Times New Roman" w:hAnsi="Arial" w:cs="Arial"/>
          <w:color w:val="000000" w:themeColor="text1"/>
          <w:sz w:val="19"/>
          <w:szCs w:val="19"/>
          <w:lang w:val="es-ES" w:eastAsia="es-ES"/>
        </w:rPr>
      </w:pPr>
      <w:r w:rsidRPr="00750137">
        <w:rPr>
          <w:rFonts w:ascii="Arial" w:hAnsi="Arial" w:cs="Arial"/>
          <w:color w:val="000000" w:themeColor="text1"/>
          <w:sz w:val="19"/>
          <w:szCs w:val="19"/>
          <w:lang w:val="es-ES"/>
        </w:rPr>
        <w:t>»</w:t>
      </w:r>
      <w:r w:rsidRPr="00750137">
        <w:rPr>
          <w:rFonts w:ascii="Arial" w:hAnsi="Arial" w:cs="Arial"/>
          <w:color w:val="000000" w:themeColor="text1"/>
          <w:sz w:val="19"/>
          <w:szCs w:val="19"/>
        </w:rPr>
        <w:t>Así las cosas, se precisa que en la normativa no existe una lista taxativa de los documentos que debe contener cada etapa del Proceso de Contratación, ya que algunos de dichos documentos dependerán de la dinámica en la que se desarrolle la actividad contractual de la Entidad Estatal y de lo establecido en el manual de contratación».</w:t>
      </w:r>
    </w:p>
  </w:footnote>
  <w:footnote w:id="12">
    <w:p w14:paraId="6AE4DDAD" w14:textId="77777777" w:rsidR="001C2262" w:rsidRPr="00750137" w:rsidRDefault="001C2262" w:rsidP="001C2262">
      <w:pPr>
        <w:pStyle w:val="Textonotapie"/>
        <w:ind w:firstLine="708"/>
        <w:jc w:val="both"/>
        <w:rPr>
          <w:rFonts w:ascii="Arial" w:hAnsi="Arial" w:cs="Arial"/>
          <w:color w:val="000000" w:themeColor="text1"/>
          <w:sz w:val="19"/>
          <w:szCs w:val="19"/>
        </w:rPr>
      </w:pPr>
      <w:r w:rsidRPr="00750137">
        <w:rPr>
          <w:rStyle w:val="Refdenotaalpie"/>
          <w:rFonts w:ascii="Arial" w:hAnsi="Arial" w:cs="Arial"/>
          <w:color w:val="000000" w:themeColor="text1"/>
          <w:sz w:val="19"/>
          <w:szCs w:val="19"/>
        </w:rPr>
        <w:footnoteRef/>
      </w:r>
      <w:r w:rsidRPr="00750137">
        <w:rPr>
          <w:rFonts w:ascii="Arial" w:hAnsi="Arial" w:cs="Arial"/>
          <w:color w:val="000000" w:themeColor="text1"/>
          <w:sz w:val="19"/>
          <w:szCs w:val="19"/>
        </w:rPr>
        <w:t xml:space="preserve"> Decreto 103 de 2015: «Artículo 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p w14:paraId="69191D52" w14:textId="77777777" w:rsidR="001C2262" w:rsidRPr="00750137" w:rsidRDefault="001C2262" w:rsidP="001C2262">
      <w:pPr>
        <w:pStyle w:val="Textonotapie"/>
        <w:ind w:firstLine="708"/>
        <w:jc w:val="both"/>
        <w:rPr>
          <w:rFonts w:ascii="Arial" w:hAnsi="Arial" w:cs="Arial"/>
          <w:color w:val="000000" w:themeColor="text1"/>
          <w:sz w:val="19"/>
          <w:szCs w:val="19"/>
        </w:rPr>
      </w:pPr>
    </w:p>
  </w:footnote>
  <w:footnote w:id="13">
    <w:p w14:paraId="0386CD27" w14:textId="77777777" w:rsidR="001C2262" w:rsidRPr="00750137" w:rsidRDefault="001C2262" w:rsidP="001C2262">
      <w:pPr>
        <w:pStyle w:val="Textonotapie"/>
        <w:ind w:firstLine="708"/>
        <w:jc w:val="both"/>
        <w:rPr>
          <w:rFonts w:ascii="Arial" w:hAnsi="Arial" w:cs="Arial"/>
          <w:color w:val="000000" w:themeColor="text1"/>
          <w:sz w:val="19"/>
          <w:szCs w:val="19"/>
        </w:rPr>
      </w:pPr>
      <w:r w:rsidRPr="00750137">
        <w:rPr>
          <w:rStyle w:val="Refdenotaalpie"/>
          <w:rFonts w:ascii="Arial" w:hAnsi="Arial" w:cs="Arial"/>
          <w:color w:val="000000" w:themeColor="text1"/>
          <w:sz w:val="19"/>
          <w:szCs w:val="19"/>
        </w:rPr>
        <w:footnoteRef/>
      </w:r>
      <w:r w:rsidRPr="00750137">
        <w:rPr>
          <w:rFonts w:ascii="Arial" w:hAnsi="Arial" w:cs="Arial"/>
          <w:color w:val="000000" w:themeColor="text1"/>
          <w:sz w:val="19"/>
          <w:szCs w:val="19"/>
        </w:rPr>
        <w:t xml:space="preserve"> Decreto 103 de 2015: «Artículo 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 Colombia Compra Eficiente, el cual debe estar publicado en el sitio web oficial del sujeto obligado».</w:t>
      </w:r>
    </w:p>
    <w:p w14:paraId="6578F608" w14:textId="77777777" w:rsidR="001C2262" w:rsidRPr="00750137" w:rsidRDefault="001C2262" w:rsidP="001C2262">
      <w:pPr>
        <w:pStyle w:val="Textonotapie"/>
        <w:ind w:firstLine="708"/>
        <w:jc w:val="both"/>
        <w:rPr>
          <w:rFonts w:ascii="Arial" w:hAnsi="Arial" w:cs="Arial"/>
          <w:color w:val="000000" w:themeColor="text1"/>
          <w:sz w:val="19"/>
          <w:szCs w:val="19"/>
        </w:rPr>
      </w:pPr>
    </w:p>
  </w:footnote>
  <w:footnote w:id="14">
    <w:p w14:paraId="6C8378D4" w14:textId="77777777" w:rsidR="001C2262" w:rsidRPr="00750137" w:rsidRDefault="001C2262" w:rsidP="001C2262">
      <w:pPr>
        <w:pStyle w:val="Textonotapie"/>
        <w:ind w:firstLine="708"/>
        <w:jc w:val="both"/>
        <w:rPr>
          <w:rFonts w:ascii="Arial" w:hAnsi="Arial" w:cs="Arial"/>
          <w:color w:val="000000" w:themeColor="text1"/>
          <w:sz w:val="19"/>
          <w:szCs w:val="19"/>
        </w:rPr>
      </w:pPr>
      <w:r w:rsidRPr="00750137">
        <w:rPr>
          <w:rStyle w:val="Refdenotaalpie"/>
          <w:rFonts w:ascii="Arial" w:hAnsi="Arial" w:cs="Arial"/>
          <w:color w:val="000000" w:themeColor="text1"/>
          <w:sz w:val="19"/>
          <w:szCs w:val="19"/>
        </w:rPr>
        <w:footnoteRef/>
      </w:r>
      <w:r w:rsidRPr="00750137">
        <w:rPr>
          <w:rFonts w:ascii="Arial" w:hAnsi="Arial" w:cs="Arial"/>
          <w:color w:val="000000" w:themeColor="text1"/>
          <w:sz w:val="19"/>
          <w:szCs w:val="19"/>
        </w:rPr>
        <w:t xml:space="preserve"> Decreto 103 de 2015: «Artículo 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w:t>
      </w:r>
    </w:p>
    <w:p w14:paraId="0ABF5AC0" w14:textId="77777777" w:rsidR="001C2262" w:rsidRPr="00750137" w:rsidRDefault="001C2262" w:rsidP="001C2262">
      <w:pPr>
        <w:pStyle w:val="Textonotapie"/>
        <w:ind w:firstLine="708"/>
        <w:jc w:val="both"/>
        <w:rPr>
          <w:rFonts w:ascii="Arial" w:hAnsi="Arial" w:cs="Arial"/>
          <w:color w:val="000000" w:themeColor="text1"/>
          <w:sz w:val="19"/>
          <w:szCs w:val="19"/>
        </w:rPr>
      </w:pPr>
      <w:r w:rsidRPr="00750137">
        <w:rPr>
          <w:rFonts w:ascii="Arial" w:hAnsi="Arial" w:cs="Arial"/>
          <w:color w:val="000000" w:themeColor="text1"/>
          <w:sz w:val="19"/>
          <w:szCs w:val="19"/>
          <w:lang w:val="es-ES"/>
        </w:rPr>
        <w:t>»</w:t>
      </w:r>
      <w:r w:rsidRPr="00750137">
        <w:rPr>
          <w:rFonts w:ascii="Arial" w:hAnsi="Arial" w:cs="Arial"/>
          <w:color w:val="000000" w:themeColor="text1"/>
          <w:sz w:val="19"/>
          <w:szCs w:val="19"/>
        </w:rPr>
        <w:t>Los sujetos obligados que no contratan con cargo a recursos públicos no están obligados a publicar su Plan Anual de Adquisiciones.</w:t>
      </w:r>
    </w:p>
    <w:p w14:paraId="6A09236E" w14:textId="77777777" w:rsidR="001C2262" w:rsidRPr="00750137" w:rsidRDefault="001C2262" w:rsidP="001C2262">
      <w:pPr>
        <w:pStyle w:val="Textonotapie"/>
        <w:ind w:firstLine="708"/>
        <w:jc w:val="both"/>
        <w:rPr>
          <w:rFonts w:ascii="Arial" w:hAnsi="Arial" w:cs="Arial"/>
          <w:color w:val="000000" w:themeColor="text1"/>
          <w:sz w:val="19"/>
          <w:szCs w:val="19"/>
        </w:rPr>
      </w:pPr>
      <w:r w:rsidRPr="00750137">
        <w:rPr>
          <w:rFonts w:ascii="Arial" w:hAnsi="Arial" w:cs="Arial"/>
          <w:color w:val="000000" w:themeColor="text1"/>
          <w:sz w:val="19"/>
          <w:szCs w:val="19"/>
          <w:lang w:val="es-ES"/>
        </w:rPr>
        <w:t>»</w:t>
      </w:r>
      <w:r w:rsidRPr="00750137">
        <w:rPr>
          <w:rFonts w:ascii="Arial" w:hAnsi="Arial" w:cs="Arial"/>
          <w:color w:val="000000" w:themeColor="text1"/>
          <w:sz w:val="19"/>
          <w:szCs w:val="19"/>
        </w:rPr>
        <w:t>Los sujetos obligados que contratan con cargo a recursos públicos y recursos privados, deben publicar en su página web y en el SECOP el Plan Anual de Adquisiciones para los recursos de carácter público que ejecutarán en el año.</w:t>
      </w:r>
    </w:p>
    <w:p w14:paraId="7BA12F30" w14:textId="77777777" w:rsidR="001C2262" w:rsidRPr="00750137" w:rsidRDefault="001C2262" w:rsidP="001C2262">
      <w:pPr>
        <w:pStyle w:val="Textonotapie"/>
        <w:ind w:firstLine="708"/>
        <w:jc w:val="both"/>
        <w:rPr>
          <w:rFonts w:ascii="Arial" w:hAnsi="Arial" w:cs="Arial"/>
          <w:color w:val="000000" w:themeColor="text1"/>
          <w:sz w:val="19"/>
          <w:szCs w:val="19"/>
        </w:rPr>
      </w:pPr>
      <w:r w:rsidRPr="00750137">
        <w:rPr>
          <w:rFonts w:ascii="Arial" w:hAnsi="Arial" w:cs="Arial"/>
          <w:color w:val="000000" w:themeColor="text1"/>
          <w:sz w:val="19"/>
          <w:szCs w:val="19"/>
          <w:lang w:val="es-ES"/>
        </w:rPr>
        <w:t>»</w:t>
      </w:r>
      <w:r w:rsidRPr="00750137">
        <w:rPr>
          <w:rFonts w:ascii="Arial" w:hAnsi="Arial" w:cs="Arial"/>
          <w:color w:val="000000" w:themeColor="text1"/>
          <w:sz w:val="19"/>
          <w:szCs w:val="19"/>
        </w:rPr>
        <w:t>Se entenderá como definición de Plan Anual de Adquisiciones respecto a todos los sujetos obligados que contratan con recursos públicos, la prevista en el artículo 3° del Decreto 1510 de 2013, o el que lo modifique, sustituya o adicione».</w:t>
      </w:r>
    </w:p>
  </w:footnote>
  <w:footnote w:id="15">
    <w:p w14:paraId="719C4AC8" w14:textId="77777777" w:rsidR="001C2262" w:rsidRPr="00750137" w:rsidRDefault="001C2262" w:rsidP="001C2262">
      <w:pPr>
        <w:pStyle w:val="Textonotapie"/>
        <w:ind w:firstLine="708"/>
        <w:jc w:val="both"/>
        <w:rPr>
          <w:rFonts w:ascii="Arial" w:hAnsi="Arial" w:cs="Arial"/>
          <w:color w:val="000000" w:themeColor="text1"/>
          <w:sz w:val="19"/>
          <w:szCs w:val="19"/>
        </w:rPr>
      </w:pPr>
      <w:r w:rsidRPr="00750137">
        <w:rPr>
          <w:rStyle w:val="Refdenotaalpie"/>
          <w:rFonts w:ascii="Arial" w:hAnsi="Arial" w:cs="Arial"/>
          <w:color w:val="000000" w:themeColor="text1"/>
          <w:sz w:val="19"/>
          <w:szCs w:val="19"/>
        </w:rPr>
        <w:footnoteRef/>
      </w:r>
      <w:r w:rsidRPr="00750137">
        <w:rPr>
          <w:rFonts w:ascii="Arial" w:hAnsi="Arial" w:cs="Arial"/>
          <w:color w:val="000000" w:themeColor="text1"/>
          <w:sz w:val="19"/>
          <w:szCs w:val="19"/>
        </w:rPr>
        <w:t xml:space="preserve"> Esta posición fue acogida en las siguientes consultas Rad. 4201813000006240: «Las Entidades Estatales que cuentan con régimen especial de contratación pueden aplicar las reglas contenidas en su propio manual de contratación, en consecuencia, estas entidades pueden establecer un término diferente a los 3 días que determina el Decreto 1082 de 2015 para publicar su actividad contractual en SECOP.</w:t>
      </w:r>
    </w:p>
    <w:p w14:paraId="13EDCEB9" w14:textId="77777777" w:rsidR="001C2262" w:rsidRPr="00750137" w:rsidRDefault="001C2262" w:rsidP="001C2262">
      <w:pPr>
        <w:pStyle w:val="Textonotapie"/>
        <w:ind w:firstLine="708"/>
        <w:jc w:val="both"/>
        <w:rPr>
          <w:rFonts w:ascii="Arial" w:hAnsi="Arial" w:cs="Arial"/>
          <w:color w:val="000000" w:themeColor="text1"/>
          <w:sz w:val="19"/>
          <w:szCs w:val="19"/>
        </w:rPr>
      </w:pPr>
      <w:r w:rsidRPr="00750137">
        <w:rPr>
          <w:rFonts w:ascii="Arial" w:eastAsia="Calibri" w:hAnsi="Arial" w:cs="Arial"/>
          <w:color w:val="000000" w:themeColor="text1"/>
          <w:sz w:val="19"/>
          <w:szCs w:val="19"/>
        </w:rPr>
        <w:t>»</w:t>
      </w:r>
      <w:r w:rsidRPr="00750137">
        <w:rPr>
          <w:rFonts w:ascii="Arial" w:hAnsi="Arial" w:cs="Arial"/>
          <w:color w:val="000000" w:themeColor="text1"/>
          <w:sz w:val="19"/>
          <w:szCs w:val="19"/>
        </w:rPr>
        <w:t>En todo caso, en virtud del principio de transparencia al cual están sujetas las entidades de régimen especial, el término que establezcan en su manual de contratación debe garantizar que el SECOP cuente con la información del Sistema de Compra Pública de forma oportuna. Recomendamos a las entidades de régimen especial publicar su información contractual una vez la tengan disponible ya que esa información es relevante para el Sistema de Compra Pública».</w:t>
      </w:r>
    </w:p>
    <w:p w14:paraId="2520509F" w14:textId="77777777" w:rsidR="001C2262" w:rsidRPr="00750137" w:rsidRDefault="001C2262" w:rsidP="001C2262">
      <w:pPr>
        <w:pStyle w:val="Textonotapie"/>
        <w:ind w:firstLine="708"/>
        <w:jc w:val="both"/>
        <w:rPr>
          <w:rFonts w:ascii="Arial" w:hAnsi="Arial" w:cs="Arial"/>
          <w:color w:val="000000" w:themeColor="text1"/>
          <w:sz w:val="19"/>
          <w:szCs w:val="19"/>
          <w:lang w:val="es-CO"/>
        </w:rPr>
      </w:pPr>
    </w:p>
  </w:footnote>
  <w:footnote w:id="16">
    <w:p w14:paraId="63C1AD31" w14:textId="77777777" w:rsidR="001C2262" w:rsidRPr="00750137" w:rsidRDefault="001C2262" w:rsidP="001C2262">
      <w:pPr>
        <w:pStyle w:val="Textonotapie"/>
        <w:ind w:firstLine="709"/>
        <w:jc w:val="both"/>
        <w:rPr>
          <w:rFonts w:ascii="Arial" w:hAnsi="Arial" w:cs="Arial"/>
          <w:color w:val="000000" w:themeColor="text1"/>
          <w:sz w:val="19"/>
          <w:szCs w:val="19"/>
        </w:rPr>
      </w:pPr>
      <w:r w:rsidRPr="00750137">
        <w:rPr>
          <w:rStyle w:val="Refdenotaalpie"/>
          <w:rFonts w:ascii="Arial" w:hAnsi="Arial" w:cs="Arial"/>
          <w:color w:val="000000" w:themeColor="text1"/>
          <w:sz w:val="19"/>
          <w:szCs w:val="19"/>
        </w:rPr>
        <w:footnoteRef/>
      </w:r>
      <w:r w:rsidRPr="00750137">
        <w:rPr>
          <w:rFonts w:ascii="Arial" w:hAnsi="Arial" w:cs="Arial"/>
          <w:color w:val="000000" w:themeColor="text1"/>
          <w:sz w:val="19"/>
          <w:szCs w:val="19"/>
        </w:rPr>
        <w:t xml:space="preserve"> Circular Externa Única: «Numeral 1.2 Oportunidad en la publicación de la información en el SECOP: Las Entidades que aún utilizan el SECOP I están obligadas a publicar en el SECOP los Documentos del Proceso dentro de los tres (3) días siguientes a su expedición.</w:t>
      </w:r>
    </w:p>
    <w:p w14:paraId="181E0AF1" w14:textId="77777777" w:rsidR="001C2262" w:rsidRPr="00750137" w:rsidRDefault="001C2262" w:rsidP="001C2262">
      <w:pPr>
        <w:pStyle w:val="Textonotapie"/>
        <w:ind w:firstLine="709"/>
        <w:jc w:val="both"/>
        <w:rPr>
          <w:rFonts w:ascii="Arial" w:hAnsi="Arial" w:cs="Arial"/>
          <w:color w:val="000000" w:themeColor="text1"/>
          <w:sz w:val="19"/>
          <w:szCs w:val="19"/>
        </w:rPr>
      </w:pPr>
      <w:r w:rsidRPr="00750137">
        <w:rPr>
          <w:rFonts w:ascii="Arial" w:eastAsia="Calibri" w:hAnsi="Arial" w:cs="Arial"/>
          <w:color w:val="000000" w:themeColor="text1"/>
          <w:sz w:val="19"/>
          <w:szCs w:val="19"/>
        </w:rPr>
        <w:t>»</w:t>
      </w:r>
      <w:r w:rsidRPr="00750137">
        <w:rPr>
          <w:rFonts w:ascii="Arial" w:hAnsi="Arial" w:cs="Arial"/>
          <w:color w:val="000000" w:themeColor="text1"/>
          <w:sz w:val="19"/>
          <w:szCs w:val="19"/>
        </w:rPr>
        <w:t>La información registrada por las Entidades en el SECOP II y en la Tienda Virtual del Estado Colombiano, está disponible en tiempo real en razón a que las actuaciones del Proceso de Contratación tienen lugar electrónicamente a través de dichas plataformas transaccionales</w:t>
      </w:r>
      <w:r w:rsidRPr="00750137">
        <w:rPr>
          <w:rFonts w:ascii="Arial" w:eastAsia="Calibri" w:hAnsi="Arial" w:cs="Arial"/>
          <w:color w:val="000000" w:themeColor="text1"/>
          <w:sz w:val="19"/>
          <w:szCs w:val="19"/>
        </w:rPr>
        <w:t>»</w:t>
      </w:r>
      <w:r w:rsidRPr="00750137">
        <w:rPr>
          <w:rFonts w:ascii="Arial" w:hAnsi="Arial" w:cs="Arial"/>
          <w:color w:val="000000" w:themeColor="text1"/>
          <w:sz w:val="19"/>
          <w:szCs w:val="19"/>
        </w:rPr>
        <w:t xml:space="preserve">. </w:t>
      </w:r>
    </w:p>
    <w:p w14:paraId="539686BB" w14:textId="77777777" w:rsidR="001C2262" w:rsidRPr="00750137" w:rsidRDefault="001C2262" w:rsidP="001C2262">
      <w:pPr>
        <w:pStyle w:val="Textonotapie"/>
        <w:ind w:firstLine="708"/>
        <w:jc w:val="both"/>
        <w:rPr>
          <w:rFonts w:ascii="Arial" w:hAnsi="Arial" w:cs="Arial"/>
          <w:color w:val="000000" w:themeColor="text1"/>
          <w:sz w:val="19"/>
          <w:szCs w:val="19"/>
        </w:rPr>
      </w:pPr>
      <w:r w:rsidRPr="00750137">
        <w:rPr>
          <w:rFonts w:ascii="Arial" w:eastAsia="Calibri" w:hAnsi="Arial" w:cs="Arial"/>
          <w:color w:val="000000" w:themeColor="text1"/>
          <w:sz w:val="19"/>
          <w:szCs w:val="19"/>
        </w:rPr>
        <w:t>»</w:t>
      </w:r>
      <w:r w:rsidRPr="00750137">
        <w:rPr>
          <w:rFonts w:ascii="Arial" w:hAnsi="Arial" w:cs="Arial"/>
          <w:color w:val="000000" w:themeColor="text1"/>
          <w:sz w:val="19"/>
          <w:szCs w:val="19"/>
        </w:rPr>
        <w:t>Con respecto a los documentos que no son generados electrónicamente, el SECOP II permite publicarlos a través de un “mensaje público” o como un “documento del proceso”, para la publicidad de dichos documentos la Entidad Estatal tiene el plazo de tres días siguientes a su expedición».</w:t>
      </w:r>
    </w:p>
    <w:p w14:paraId="50BBA334" w14:textId="77777777" w:rsidR="001C2262" w:rsidRPr="00750137" w:rsidRDefault="001C2262" w:rsidP="001C2262">
      <w:pPr>
        <w:pStyle w:val="Textonotapie"/>
        <w:ind w:firstLine="708"/>
        <w:jc w:val="both"/>
        <w:rPr>
          <w:rFonts w:ascii="Arial" w:hAnsi="Arial" w:cs="Arial"/>
          <w:color w:val="000000" w:themeColor="text1"/>
          <w:sz w:val="19"/>
          <w:szCs w:val="19"/>
          <w:lang w:val="es-CO"/>
        </w:rPr>
      </w:pPr>
    </w:p>
  </w:footnote>
  <w:footnote w:id="17">
    <w:p w14:paraId="4970D19D" w14:textId="77777777" w:rsidR="001C2262" w:rsidRPr="00750137" w:rsidRDefault="001C2262" w:rsidP="001C2262">
      <w:pPr>
        <w:pStyle w:val="Textonotapie"/>
        <w:ind w:firstLine="708"/>
        <w:jc w:val="both"/>
        <w:rPr>
          <w:rFonts w:ascii="Arial" w:hAnsi="Arial" w:cs="Arial"/>
          <w:color w:val="000000" w:themeColor="text1"/>
          <w:sz w:val="19"/>
          <w:szCs w:val="19"/>
        </w:rPr>
      </w:pPr>
      <w:r w:rsidRPr="00750137">
        <w:rPr>
          <w:rStyle w:val="Refdenotaalpie"/>
          <w:rFonts w:ascii="Arial" w:hAnsi="Arial" w:cs="Arial"/>
          <w:color w:val="000000" w:themeColor="text1"/>
          <w:sz w:val="19"/>
          <w:szCs w:val="19"/>
        </w:rPr>
        <w:footnoteRef/>
      </w:r>
      <w:r w:rsidRPr="00750137">
        <w:rPr>
          <w:rFonts w:ascii="Arial" w:hAnsi="Arial" w:cs="Arial"/>
          <w:color w:val="000000" w:themeColor="text1"/>
          <w:sz w:val="19"/>
          <w:szCs w:val="19"/>
        </w:rPr>
        <w:t xml:space="preserve"> Corte Constitucional. Sentencia C- 083 del 1 de marzo de 1995. M.P. Carlos Gaviria Díaz.</w:t>
      </w:r>
    </w:p>
    <w:p w14:paraId="08265811" w14:textId="77777777" w:rsidR="001C2262" w:rsidRPr="00750137" w:rsidRDefault="001C2262" w:rsidP="001C2262">
      <w:pPr>
        <w:pStyle w:val="Textonotapie"/>
        <w:ind w:firstLine="708"/>
        <w:jc w:val="both"/>
        <w:rPr>
          <w:rFonts w:ascii="Arial" w:hAnsi="Arial" w:cs="Arial"/>
          <w:color w:val="000000" w:themeColor="text1"/>
          <w:sz w:val="19"/>
          <w:szCs w:val="19"/>
          <w:lang w:val="es-CO"/>
        </w:rPr>
      </w:pPr>
    </w:p>
  </w:footnote>
  <w:footnote w:id="18">
    <w:p w14:paraId="420D4A75" w14:textId="77777777" w:rsidR="001C2262" w:rsidRPr="00750137" w:rsidRDefault="001C2262" w:rsidP="001C2262">
      <w:pPr>
        <w:pStyle w:val="Textonotapie"/>
        <w:ind w:firstLine="708"/>
        <w:jc w:val="both"/>
        <w:rPr>
          <w:rFonts w:ascii="Arial" w:hAnsi="Arial" w:cs="Arial"/>
          <w:color w:val="000000" w:themeColor="text1"/>
          <w:sz w:val="19"/>
          <w:szCs w:val="19"/>
        </w:rPr>
      </w:pPr>
      <w:r w:rsidRPr="00750137">
        <w:rPr>
          <w:rStyle w:val="Refdenotaalpie"/>
          <w:rFonts w:ascii="Arial" w:hAnsi="Arial" w:cs="Arial"/>
          <w:color w:val="000000" w:themeColor="text1"/>
          <w:sz w:val="19"/>
          <w:szCs w:val="19"/>
        </w:rPr>
        <w:footnoteRef/>
      </w:r>
      <w:r w:rsidRPr="00750137">
        <w:rPr>
          <w:rFonts w:ascii="Arial" w:hAnsi="Arial" w:cs="Arial"/>
          <w:color w:val="000000" w:themeColor="text1"/>
          <w:sz w:val="19"/>
          <w:szCs w:val="19"/>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12EE52E2" w14:textId="77777777" w:rsidR="001C2262" w:rsidRPr="00750137" w:rsidRDefault="001C2262" w:rsidP="001C2262">
      <w:pPr>
        <w:pStyle w:val="Textonotapie"/>
        <w:ind w:firstLine="708"/>
        <w:jc w:val="both"/>
        <w:rPr>
          <w:rFonts w:ascii="Arial" w:hAnsi="Arial" w:cs="Arial"/>
          <w:color w:val="000000" w:themeColor="text1"/>
          <w:sz w:val="19"/>
          <w:szCs w:val="19"/>
        </w:rPr>
      </w:pPr>
      <w:r w:rsidRPr="00750137">
        <w:rPr>
          <w:rFonts w:ascii="Arial" w:eastAsia="Calibri" w:hAnsi="Arial" w:cs="Arial"/>
          <w:color w:val="000000" w:themeColor="text1"/>
          <w:sz w:val="19"/>
          <w:szCs w:val="19"/>
        </w:rPr>
        <w:t>»</w:t>
      </w:r>
      <w:r w:rsidRPr="00750137">
        <w:rPr>
          <w:rFonts w:ascii="Arial" w:hAnsi="Arial" w:cs="Arial"/>
          <w:color w:val="000000" w:themeColor="text1"/>
          <w:sz w:val="19"/>
          <w:szCs w:val="19"/>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p w14:paraId="5BEE5C8D" w14:textId="77777777" w:rsidR="001C2262" w:rsidRPr="00750137" w:rsidRDefault="001C2262" w:rsidP="001C2262">
      <w:pPr>
        <w:pStyle w:val="Textonotapie"/>
        <w:ind w:firstLine="708"/>
        <w:jc w:val="both"/>
        <w:rPr>
          <w:rFonts w:ascii="Arial" w:hAnsi="Arial" w:cs="Arial"/>
          <w:color w:val="000000" w:themeColor="text1"/>
          <w:sz w:val="19"/>
          <w:szCs w:val="19"/>
          <w:lang w:val="es-CO"/>
        </w:rPr>
      </w:pPr>
    </w:p>
  </w:footnote>
  <w:footnote w:id="19">
    <w:p w14:paraId="7150E12F" w14:textId="77777777" w:rsidR="001C2262" w:rsidRPr="00750137" w:rsidRDefault="001C2262" w:rsidP="001C2262">
      <w:pPr>
        <w:pStyle w:val="Textonotapie"/>
        <w:ind w:firstLine="708"/>
        <w:jc w:val="both"/>
        <w:rPr>
          <w:rFonts w:ascii="Arial" w:hAnsi="Arial" w:cs="Arial"/>
          <w:color w:val="000000" w:themeColor="text1"/>
          <w:sz w:val="19"/>
          <w:szCs w:val="19"/>
        </w:rPr>
      </w:pPr>
      <w:r w:rsidRPr="00750137">
        <w:rPr>
          <w:rStyle w:val="Refdenotaalpie"/>
          <w:rFonts w:ascii="Arial" w:hAnsi="Arial" w:cs="Arial"/>
          <w:color w:val="000000" w:themeColor="text1"/>
          <w:sz w:val="19"/>
          <w:szCs w:val="19"/>
        </w:rPr>
        <w:footnoteRef/>
      </w:r>
      <w:r w:rsidRPr="00750137">
        <w:rPr>
          <w:rFonts w:ascii="Arial" w:hAnsi="Arial" w:cs="Arial"/>
          <w:color w:val="000000" w:themeColor="text1"/>
          <w:sz w:val="19"/>
          <w:szCs w:val="19"/>
        </w:rPr>
        <w:t xml:space="preserve"> Consejo de Estado. Sección Tercera. Subsección. Auto del 17 de agosto de 2017. Exp. 11001-03-26-000-2017-00031-00 (58.820). C.P. Jaime Orlando Santofimio.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1802A9" w:rsidRDefault="001802A9">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C34A93D0"/>
    <w:lvl w:ilvl="0">
      <w:start w:val="1"/>
      <w:numFmt w:val="decimal"/>
      <w:lvlText w:val="%1."/>
      <w:lvlJc w:val="left"/>
      <w:pPr>
        <w:ind w:left="360" w:hanging="360"/>
      </w:pPr>
      <w:rPr>
        <w:rFonts w:hint="default"/>
        <w:b/>
        <w:sz w:val="22"/>
      </w:rPr>
    </w:lvl>
    <w:lvl w:ilvl="1">
      <w:start w:val="1"/>
      <w:numFmt w:val="decimal"/>
      <w:isLgl/>
      <w:lvlText w:val="%1.%2"/>
      <w:lvlJc w:val="left"/>
      <w:pPr>
        <w:ind w:left="502" w:hanging="360"/>
      </w:pPr>
      <w:rPr>
        <w:rFonts w:hint="default"/>
        <w:sz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195E"/>
    <w:rsid w:val="00010363"/>
    <w:rsid w:val="000205FF"/>
    <w:rsid w:val="00020A82"/>
    <w:rsid w:val="00047598"/>
    <w:rsid w:val="000809CC"/>
    <w:rsid w:val="00084B97"/>
    <w:rsid w:val="000942EB"/>
    <w:rsid w:val="000A38B9"/>
    <w:rsid w:val="000B103F"/>
    <w:rsid w:val="000F14E8"/>
    <w:rsid w:val="000F7989"/>
    <w:rsid w:val="00103915"/>
    <w:rsid w:val="00122B23"/>
    <w:rsid w:val="0013044F"/>
    <w:rsid w:val="00137FFA"/>
    <w:rsid w:val="00145510"/>
    <w:rsid w:val="001802A9"/>
    <w:rsid w:val="001B0444"/>
    <w:rsid w:val="001B5FF8"/>
    <w:rsid w:val="001C0941"/>
    <w:rsid w:val="001C2262"/>
    <w:rsid w:val="001D2D96"/>
    <w:rsid w:val="001E0AE2"/>
    <w:rsid w:val="001E1D2A"/>
    <w:rsid w:val="001E3455"/>
    <w:rsid w:val="002012BE"/>
    <w:rsid w:val="0020632A"/>
    <w:rsid w:val="002110EB"/>
    <w:rsid w:val="00211338"/>
    <w:rsid w:val="00234B84"/>
    <w:rsid w:val="00260366"/>
    <w:rsid w:val="00274054"/>
    <w:rsid w:val="00280765"/>
    <w:rsid w:val="002817DE"/>
    <w:rsid w:val="0028437A"/>
    <w:rsid w:val="002C4C0C"/>
    <w:rsid w:val="003033BA"/>
    <w:rsid w:val="00311D88"/>
    <w:rsid w:val="00322937"/>
    <w:rsid w:val="0032355D"/>
    <w:rsid w:val="003346F9"/>
    <w:rsid w:val="00337038"/>
    <w:rsid w:val="0034177C"/>
    <w:rsid w:val="0034680A"/>
    <w:rsid w:val="00353DD5"/>
    <w:rsid w:val="00386456"/>
    <w:rsid w:val="003A0878"/>
    <w:rsid w:val="003A581E"/>
    <w:rsid w:val="003C7001"/>
    <w:rsid w:val="003C7C85"/>
    <w:rsid w:val="003D4DC8"/>
    <w:rsid w:val="003F0375"/>
    <w:rsid w:val="00412DA4"/>
    <w:rsid w:val="00415305"/>
    <w:rsid w:val="00423F9F"/>
    <w:rsid w:val="004422D6"/>
    <w:rsid w:val="00455EFE"/>
    <w:rsid w:val="00460EF9"/>
    <w:rsid w:val="0049241A"/>
    <w:rsid w:val="004A34D2"/>
    <w:rsid w:val="004B4C5D"/>
    <w:rsid w:val="004C6B2C"/>
    <w:rsid w:val="004D08DE"/>
    <w:rsid w:val="004D3867"/>
    <w:rsid w:val="004D7ACD"/>
    <w:rsid w:val="0051074C"/>
    <w:rsid w:val="00513AF2"/>
    <w:rsid w:val="0052153F"/>
    <w:rsid w:val="0054413A"/>
    <w:rsid w:val="005564CA"/>
    <w:rsid w:val="0056182B"/>
    <w:rsid w:val="00564F23"/>
    <w:rsid w:val="005756AA"/>
    <w:rsid w:val="005C0945"/>
    <w:rsid w:val="005D0E68"/>
    <w:rsid w:val="005D51FA"/>
    <w:rsid w:val="005D791B"/>
    <w:rsid w:val="00614817"/>
    <w:rsid w:val="00633DBF"/>
    <w:rsid w:val="00655371"/>
    <w:rsid w:val="0067138C"/>
    <w:rsid w:val="00685CD2"/>
    <w:rsid w:val="00693854"/>
    <w:rsid w:val="00697665"/>
    <w:rsid w:val="006A7CB5"/>
    <w:rsid w:val="006A7FD0"/>
    <w:rsid w:val="006D7687"/>
    <w:rsid w:val="006E0572"/>
    <w:rsid w:val="00705631"/>
    <w:rsid w:val="00715EAA"/>
    <w:rsid w:val="00723A3B"/>
    <w:rsid w:val="00742DD2"/>
    <w:rsid w:val="00747C96"/>
    <w:rsid w:val="00750137"/>
    <w:rsid w:val="0075094E"/>
    <w:rsid w:val="007522E8"/>
    <w:rsid w:val="0075647A"/>
    <w:rsid w:val="007634AD"/>
    <w:rsid w:val="007677CD"/>
    <w:rsid w:val="00767C83"/>
    <w:rsid w:val="00772DFE"/>
    <w:rsid w:val="0078122E"/>
    <w:rsid w:val="00782C98"/>
    <w:rsid w:val="00795647"/>
    <w:rsid w:val="007B0854"/>
    <w:rsid w:val="007B66A7"/>
    <w:rsid w:val="007E2EE2"/>
    <w:rsid w:val="007F6B46"/>
    <w:rsid w:val="007F72CB"/>
    <w:rsid w:val="008217B7"/>
    <w:rsid w:val="0083119B"/>
    <w:rsid w:val="00835158"/>
    <w:rsid w:val="00836EAB"/>
    <w:rsid w:val="0085092D"/>
    <w:rsid w:val="00850F79"/>
    <w:rsid w:val="0085457F"/>
    <w:rsid w:val="008579B7"/>
    <w:rsid w:val="00860C6E"/>
    <w:rsid w:val="00864E82"/>
    <w:rsid w:val="0087643C"/>
    <w:rsid w:val="008921D3"/>
    <w:rsid w:val="008948F0"/>
    <w:rsid w:val="0089774F"/>
    <w:rsid w:val="008C11D5"/>
    <w:rsid w:val="008E1C15"/>
    <w:rsid w:val="008F538E"/>
    <w:rsid w:val="009047C5"/>
    <w:rsid w:val="00905A57"/>
    <w:rsid w:val="0095236E"/>
    <w:rsid w:val="0095385A"/>
    <w:rsid w:val="00956866"/>
    <w:rsid w:val="009A786B"/>
    <w:rsid w:val="009C7E31"/>
    <w:rsid w:val="009F59C2"/>
    <w:rsid w:val="009F6C1B"/>
    <w:rsid w:val="00A2021D"/>
    <w:rsid w:val="00A24560"/>
    <w:rsid w:val="00A34538"/>
    <w:rsid w:val="00A37FB6"/>
    <w:rsid w:val="00A77B83"/>
    <w:rsid w:val="00A83D9A"/>
    <w:rsid w:val="00A93843"/>
    <w:rsid w:val="00AA08E7"/>
    <w:rsid w:val="00AA442B"/>
    <w:rsid w:val="00AA669D"/>
    <w:rsid w:val="00AC42AB"/>
    <w:rsid w:val="00AF1C39"/>
    <w:rsid w:val="00B01C92"/>
    <w:rsid w:val="00B13EC0"/>
    <w:rsid w:val="00B22E22"/>
    <w:rsid w:val="00B304BA"/>
    <w:rsid w:val="00B32CA6"/>
    <w:rsid w:val="00B525CB"/>
    <w:rsid w:val="00B57099"/>
    <w:rsid w:val="00B63872"/>
    <w:rsid w:val="00B63CB2"/>
    <w:rsid w:val="00B64EDB"/>
    <w:rsid w:val="00B745AE"/>
    <w:rsid w:val="00B8011A"/>
    <w:rsid w:val="00B87E81"/>
    <w:rsid w:val="00B90672"/>
    <w:rsid w:val="00B91B8E"/>
    <w:rsid w:val="00BD78FE"/>
    <w:rsid w:val="00BD7D5E"/>
    <w:rsid w:val="00BE4059"/>
    <w:rsid w:val="00BE5FCF"/>
    <w:rsid w:val="00BF0537"/>
    <w:rsid w:val="00C94806"/>
    <w:rsid w:val="00CA5D70"/>
    <w:rsid w:val="00CC00CD"/>
    <w:rsid w:val="00CF1849"/>
    <w:rsid w:val="00D01760"/>
    <w:rsid w:val="00D16E39"/>
    <w:rsid w:val="00D223B6"/>
    <w:rsid w:val="00D60327"/>
    <w:rsid w:val="00D6643F"/>
    <w:rsid w:val="00D70422"/>
    <w:rsid w:val="00D72E9D"/>
    <w:rsid w:val="00D82CE5"/>
    <w:rsid w:val="00DA5AB1"/>
    <w:rsid w:val="00DC62E5"/>
    <w:rsid w:val="00DD735D"/>
    <w:rsid w:val="00DE0333"/>
    <w:rsid w:val="00DE3119"/>
    <w:rsid w:val="00DF236B"/>
    <w:rsid w:val="00DF2AE4"/>
    <w:rsid w:val="00DF390C"/>
    <w:rsid w:val="00E04660"/>
    <w:rsid w:val="00E0693C"/>
    <w:rsid w:val="00E13AB8"/>
    <w:rsid w:val="00E208FA"/>
    <w:rsid w:val="00E238FC"/>
    <w:rsid w:val="00E25CB3"/>
    <w:rsid w:val="00E33B62"/>
    <w:rsid w:val="00E40F5B"/>
    <w:rsid w:val="00E4143A"/>
    <w:rsid w:val="00E81FB3"/>
    <w:rsid w:val="00E8426F"/>
    <w:rsid w:val="00EA32C6"/>
    <w:rsid w:val="00EE1740"/>
    <w:rsid w:val="00EE59B5"/>
    <w:rsid w:val="00F0611C"/>
    <w:rsid w:val="00F073FC"/>
    <w:rsid w:val="00F1332E"/>
    <w:rsid w:val="00F44122"/>
    <w:rsid w:val="00F75CDA"/>
    <w:rsid w:val="00F84899"/>
    <w:rsid w:val="00F859F0"/>
    <w:rsid w:val="00FA7831"/>
    <w:rsid w:val="00FC27EA"/>
    <w:rsid w:val="00FE141E"/>
    <w:rsid w:val="00FE42ED"/>
    <w:rsid w:val="1F3250CE"/>
    <w:rsid w:val="493069D7"/>
    <w:rsid w:val="4C203CA3"/>
    <w:rsid w:val="6DBFD31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7087F2A3-67E7-41B4-A499-C3420CA5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09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17D00-DCAE-42C4-A565-D2C9D0702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F552AC85-965A-4B63-A6C5-C02CA0401A62}">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9E338DFC-0351-4CC3-81A6-6789B067B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14</Pages>
  <Words>4485</Words>
  <Characters>25568</Characters>
  <Application>Microsoft Office Word</Application>
  <DocSecurity>0</DocSecurity>
  <Lines>213</Lines>
  <Paragraphs>59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Nina María Padrón</cp:lastModifiedBy>
  <cp:revision>2</cp:revision>
  <cp:lastPrinted>2020-03-05T08:47:00Z</cp:lastPrinted>
  <dcterms:created xsi:type="dcterms:W3CDTF">2020-08-18T15:47:00Z</dcterms:created>
  <dcterms:modified xsi:type="dcterms:W3CDTF">2020-08-18T15:47:00Z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