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17E75109" w:rsidR="00DE5124" w:rsidRPr="00217435" w:rsidRDefault="00DE5124" w:rsidP="00C33B9E">
      <w:pPr>
        <w:jc w:val="right"/>
        <w:rPr>
          <w:rFonts w:ascii="Arial" w:hAnsi="Arial" w:cs="Arial"/>
          <w:b/>
          <w:sz w:val="16"/>
          <w:szCs w:val="16"/>
          <w:lang w:val="es-ES" w:eastAsia="es-ES"/>
        </w:rPr>
      </w:pPr>
      <w:bookmarkStart w:id="0" w:name="_Hlk29548183"/>
      <w:bookmarkStart w:id="1" w:name="_Hlk28946138"/>
      <w:r w:rsidRPr="00217435">
        <w:rPr>
          <w:rFonts w:ascii="Arial" w:hAnsi="Arial" w:cs="Arial"/>
          <w:b/>
          <w:sz w:val="16"/>
          <w:szCs w:val="16"/>
          <w:lang w:val="es-ES" w:eastAsia="es-ES"/>
        </w:rPr>
        <w:t>CCE-DES-FM-17</w:t>
      </w:r>
      <w:bookmarkEnd w:id="0"/>
      <w:bookmarkEnd w:id="1"/>
    </w:p>
    <w:p w14:paraId="1F85047A" w14:textId="77777777" w:rsidR="001A2559" w:rsidRPr="00217435" w:rsidRDefault="001A2559" w:rsidP="00C33B9E">
      <w:pPr>
        <w:pStyle w:val="Prrafodelista"/>
        <w:ind w:left="0"/>
        <w:jc w:val="both"/>
        <w:rPr>
          <w:rFonts w:ascii="Arial" w:eastAsia="Calibri" w:hAnsi="Arial" w:cs="Arial"/>
          <w:sz w:val="20"/>
          <w:szCs w:val="20"/>
          <w:lang w:val="es-ES"/>
        </w:rPr>
      </w:pPr>
    </w:p>
    <w:p w14:paraId="4D096EBF" w14:textId="130B0380" w:rsidR="001A2559" w:rsidRPr="00217435" w:rsidRDefault="001A2559" w:rsidP="00C33B9E">
      <w:pPr>
        <w:pStyle w:val="Prrafodelista"/>
        <w:ind w:left="0"/>
        <w:jc w:val="both"/>
        <w:rPr>
          <w:rFonts w:ascii="Arial" w:eastAsia="Calibri" w:hAnsi="Arial" w:cs="Arial"/>
          <w:b/>
          <w:sz w:val="22"/>
          <w:szCs w:val="20"/>
          <w:lang w:val="es-ES"/>
        </w:rPr>
      </w:pPr>
      <w:bookmarkStart w:id="2" w:name="_Hlk46401972"/>
      <w:r w:rsidRPr="00217435">
        <w:rPr>
          <w:rFonts w:ascii="Arial" w:eastAsia="Calibri" w:hAnsi="Arial" w:cs="Arial"/>
          <w:b/>
          <w:sz w:val="22"/>
          <w:szCs w:val="20"/>
          <w:lang w:val="es-ES"/>
        </w:rPr>
        <w:t xml:space="preserve">SECOP – </w:t>
      </w:r>
      <w:r w:rsidR="005F2642" w:rsidRPr="00217435">
        <w:rPr>
          <w:rFonts w:ascii="Arial" w:eastAsia="Calibri" w:hAnsi="Arial" w:cs="Arial"/>
          <w:b/>
          <w:sz w:val="22"/>
          <w:szCs w:val="20"/>
          <w:lang w:val="es-ES"/>
        </w:rPr>
        <w:t>Deber de publicación</w:t>
      </w:r>
      <w:r w:rsidRPr="00217435">
        <w:rPr>
          <w:rFonts w:ascii="Arial" w:eastAsia="Calibri" w:hAnsi="Arial" w:cs="Arial"/>
          <w:b/>
          <w:sz w:val="22"/>
          <w:szCs w:val="20"/>
          <w:lang w:val="es-ES"/>
        </w:rPr>
        <w:t xml:space="preserve"> </w:t>
      </w:r>
      <w:r w:rsidR="00830B56" w:rsidRPr="00217435">
        <w:rPr>
          <w:rFonts w:ascii="Arial" w:eastAsia="Calibri" w:hAnsi="Arial" w:cs="Arial"/>
          <w:b/>
          <w:sz w:val="22"/>
          <w:szCs w:val="20"/>
          <w:lang w:val="es-ES"/>
        </w:rPr>
        <w:t>– Finalidad</w:t>
      </w:r>
      <w:r w:rsidR="005F2642" w:rsidRPr="00217435">
        <w:rPr>
          <w:rFonts w:ascii="Arial" w:eastAsia="Calibri" w:hAnsi="Arial" w:cs="Arial"/>
          <w:b/>
          <w:sz w:val="22"/>
          <w:szCs w:val="20"/>
          <w:lang w:val="es-ES"/>
        </w:rPr>
        <w:t xml:space="preserve"> – Principio de publicidad</w:t>
      </w:r>
    </w:p>
    <w:p w14:paraId="25695784" w14:textId="554F2EDB" w:rsidR="005F2642" w:rsidRPr="00217435" w:rsidRDefault="005F2642" w:rsidP="00C33B9E">
      <w:pPr>
        <w:pStyle w:val="Prrafodelista"/>
        <w:ind w:left="0"/>
        <w:jc w:val="both"/>
        <w:rPr>
          <w:rFonts w:ascii="Arial" w:eastAsia="Calibri" w:hAnsi="Arial" w:cs="Arial"/>
          <w:b/>
          <w:sz w:val="22"/>
          <w:szCs w:val="20"/>
          <w:lang w:val="es-ES"/>
        </w:rPr>
      </w:pPr>
    </w:p>
    <w:p w14:paraId="62E00F39" w14:textId="4DB81E65" w:rsidR="00E8373E" w:rsidRPr="00217435" w:rsidRDefault="005F2642" w:rsidP="00E8373E">
      <w:pPr>
        <w:spacing w:after="120"/>
        <w:jc w:val="both"/>
        <w:rPr>
          <w:rFonts w:ascii="Arial" w:hAnsi="Arial" w:cs="Arial"/>
          <w:sz w:val="20"/>
          <w:szCs w:val="20"/>
          <w:lang w:val="es-ES"/>
        </w:rPr>
      </w:pPr>
      <w:r w:rsidRPr="00217435">
        <w:rPr>
          <w:rFonts w:ascii="Arial" w:hAnsi="Arial" w:cs="Arial"/>
          <w:sz w:val="20"/>
          <w:szCs w:val="20"/>
          <w:lang w:val="es-ES"/>
        </w:rPr>
        <w:t xml:space="preserve">[..] </w:t>
      </w:r>
      <w:r w:rsidR="00E8373E" w:rsidRPr="00217435">
        <w:rPr>
          <w:rFonts w:ascii="Arial" w:hAnsi="Arial" w:cs="Arial"/>
          <w:sz w:val="20"/>
          <w:szCs w:val="20"/>
          <w:lang w:val="es-ES"/>
        </w:rPr>
        <w:t xml:space="preserve">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48B4E3D6" w14:textId="603D6546" w:rsidR="00E8373E" w:rsidRPr="00217435" w:rsidRDefault="00E8373E" w:rsidP="006F4334">
      <w:pPr>
        <w:jc w:val="both"/>
        <w:rPr>
          <w:rFonts w:ascii="Arial" w:hAnsi="Arial" w:cs="Arial"/>
          <w:sz w:val="20"/>
          <w:szCs w:val="20"/>
          <w:lang w:val="es-ES"/>
        </w:rPr>
      </w:pPr>
      <w:r w:rsidRPr="00217435">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bookmarkEnd w:id="2"/>
    <w:p w14:paraId="2168D8E5" w14:textId="43139FA3" w:rsidR="005F2642" w:rsidRPr="00217435" w:rsidRDefault="005F2642" w:rsidP="006F4334">
      <w:pPr>
        <w:jc w:val="both"/>
        <w:rPr>
          <w:rFonts w:ascii="Arial" w:hAnsi="Arial" w:cs="Arial"/>
          <w:sz w:val="20"/>
          <w:szCs w:val="20"/>
          <w:lang w:val="es-ES"/>
        </w:rPr>
      </w:pPr>
    </w:p>
    <w:p w14:paraId="419F3227" w14:textId="5A0C46CC" w:rsidR="005F2642" w:rsidRPr="00217435" w:rsidRDefault="000F5338" w:rsidP="006F4334">
      <w:pPr>
        <w:jc w:val="both"/>
        <w:rPr>
          <w:rFonts w:ascii="Arial" w:hAnsi="Arial" w:cs="Arial"/>
          <w:b/>
          <w:bCs/>
          <w:sz w:val="22"/>
          <w:lang w:val="es-ES"/>
        </w:rPr>
      </w:pPr>
      <w:bookmarkStart w:id="3" w:name="_Hlk46402012"/>
      <w:r w:rsidRPr="00217435">
        <w:rPr>
          <w:rFonts w:ascii="Arial" w:hAnsi="Arial" w:cs="Arial"/>
          <w:b/>
          <w:bCs/>
          <w:sz w:val="22"/>
          <w:lang w:val="es-ES"/>
        </w:rPr>
        <w:t>DOCUMENTOS DEL PROCESO – Noción –</w:t>
      </w:r>
      <w:r w:rsidR="007927C6" w:rsidRPr="00217435">
        <w:rPr>
          <w:rFonts w:ascii="Arial" w:hAnsi="Arial" w:cs="Arial"/>
          <w:b/>
          <w:bCs/>
          <w:sz w:val="22"/>
          <w:lang w:val="es-ES"/>
        </w:rPr>
        <w:t xml:space="preserve"> Deber de publicación – Proceso de contratación</w:t>
      </w:r>
    </w:p>
    <w:p w14:paraId="06F471C5" w14:textId="2E6306B2" w:rsidR="00B75E98" w:rsidRPr="00217435" w:rsidRDefault="00B75E98" w:rsidP="000D3918">
      <w:pPr>
        <w:spacing w:before="120" w:after="120"/>
        <w:jc w:val="both"/>
        <w:rPr>
          <w:rFonts w:ascii="Arial" w:eastAsia="Calibri" w:hAnsi="Arial" w:cs="Arial"/>
          <w:sz w:val="20"/>
          <w:szCs w:val="20"/>
          <w:lang w:val="es-ES"/>
        </w:rPr>
      </w:pPr>
      <w:r w:rsidRPr="00217435">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217435">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217435">
        <w:rPr>
          <w:rFonts w:ascii="Arial" w:eastAsia="Arial" w:hAnsi="Arial" w:cs="Arial"/>
          <w:i/>
          <w:iCs/>
          <w:sz w:val="20"/>
          <w:szCs w:val="20"/>
          <w:lang w:val="es-ES"/>
        </w:rPr>
        <w:t xml:space="preserve">Documentos del Procesos </w:t>
      </w:r>
      <w:r w:rsidRPr="00217435">
        <w:rPr>
          <w:rFonts w:ascii="Arial" w:eastAsia="Arial" w:hAnsi="Arial" w:cs="Arial"/>
          <w:sz w:val="20"/>
          <w:szCs w:val="20"/>
          <w:lang w:val="es-ES"/>
        </w:rPr>
        <w:t>expedidos por la entidad estatal.</w:t>
      </w:r>
    </w:p>
    <w:p w14:paraId="7CCCE7CA" w14:textId="77777777" w:rsidR="00B75E98" w:rsidRPr="00217435" w:rsidRDefault="00B75E98" w:rsidP="000D3918">
      <w:pPr>
        <w:spacing w:before="120"/>
        <w:jc w:val="both"/>
        <w:rPr>
          <w:rFonts w:ascii="Arial" w:eastAsia="Calibri" w:hAnsi="Arial" w:cs="Arial"/>
          <w:sz w:val="22"/>
          <w:lang w:val="es-ES"/>
        </w:rPr>
      </w:pPr>
      <w:r w:rsidRPr="00217435">
        <w:rPr>
          <w:rFonts w:ascii="Arial" w:eastAsia="Calibri" w:hAnsi="Arial" w:cs="Arial"/>
          <w:sz w:val="20"/>
          <w:szCs w:val="20"/>
          <w:lang w:val="es-ES"/>
        </w:rPr>
        <w:t xml:space="preserve">Esto quiere decir que las entidades estatales, además de los documentos y actos administrativos que expidan durante el </w:t>
      </w:r>
      <w:r w:rsidRPr="00217435">
        <w:rPr>
          <w:rFonts w:ascii="Arial" w:eastAsia="Calibri" w:hAnsi="Arial" w:cs="Arial"/>
          <w:i/>
          <w:iCs/>
          <w:sz w:val="20"/>
          <w:szCs w:val="20"/>
          <w:lang w:val="es-ES"/>
        </w:rPr>
        <w:t>Proceso de Contratación,</w:t>
      </w:r>
      <w:r w:rsidRPr="00217435">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217435">
        <w:rPr>
          <w:rFonts w:ascii="Arial" w:eastAsia="Calibri" w:hAnsi="Arial" w:cs="Arial"/>
          <w:i/>
          <w:iCs/>
          <w:sz w:val="20"/>
          <w:szCs w:val="20"/>
          <w:lang w:val="es-ES"/>
        </w:rPr>
        <w:t xml:space="preserve"> Documento del Proceso, </w:t>
      </w:r>
      <w:r w:rsidRPr="00217435">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217435">
        <w:rPr>
          <w:rFonts w:ascii="Arial" w:eastAsia="Calibri" w:hAnsi="Arial" w:cs="Arial"/>
          <w:sz w:val="22"/>
          <w:lang w:val="es-ES"/>
        </w:rPr>
        <w:t xml:space="preserve">.   </w:t>
      </w:r>
    </w:p>
    <w:bookmarkEnd w:id="3"/>
    <w:p w14:paraId="0C87E54D" w14:textId="77777777" w:rsidR="007927C6" w:rsidRPr="00217435" w:rsidRDefault="007927C6" w:rsidP="009D3DC3">
      <w:pPr>
        <w:jc w:val="both"/>
        <w:rPr>
          <w:rFonts w:ascii="Arial" w:hAnsi="Arial" w:cs="Arial"/>
          <w:b/>
          <w:bCs/>
          <w:sz w:val="22"/>
          <w:lang w:val="es-ES"/>
        </w:rPr>
      </w:pPr>
    </w:p>
    <w:p w14:paraId="4D6D4E35" w14:textId="6F3CDA19" w:rsidR="005F2642" w:rsidRPr="00217435" w:rsidRDefault="005F2642" w:rsidP="009D3DC3">
      <w:pPr>
        <w:jc w:val="both"/>
        <w:rPr>
          <w:rFonts w:ascii="Arial" w:hAnsi="Arial" w:cs="Arial"/>
          <w:b/>
          <w:bCs/>
          <w:sz w:val="22"/>
          <w:lang w:val="es-ES"/>
        </w:rPr>
      </w:pPr>
      <w:r w:rsidRPr="00217435">
        <w:rPr>
          <w:rFonts w:ascii="Arial" w:hAnsi="Arial" w:cs="Arial"/>
          <w:b/>
          <w:bCs/>
          <w:sz w:val="22"/>
          <w:lang w:val="es-ES"/>
        </w:rPr>
        <w:t>PLAN ANUAL DE ADQUISICIONES – Publicación – Fundamento normativo</w:t>
      </w:r>
    </w:p>
    <w:p w14:paraId="26F5EC95" w14:textId="77777777" w:rsidR="009D3DC3" w:rsidRDefault="009D3DC3" w:rsidP="009D3DC3">
      <w:pPr>
        <w:spacing w:after="120"/>
        <w:jc w:val="both"/>
        <w:rPr>
          <w:rFonts w:ascii="Arial" w:eastAsia="Calibri" w:hAnsi="Arial" w:cs="Arial"/>
          <w:bCs/>
          <w:sz w:val="20"/>
          <w:szCs w:val="20"/>
          <w:lang w:val="es-ES"/>
        </w:rPr>
      </w:pPr>
    </w:p>
    <w:p w14:paraId="0C97D403" w14:textId="1D998E54" w:rsidR="009D3DC3" w:rsidRPr="009D3DC3" w:rsidRDefault="009D3DC3" w:rsidP="009D3DC3">
      <w:pPr>
        <w:spacing w:after="120"/>
        <w:jc w:val="both"/>
        <w:rPr>
          <w:rFonts w:ascii="Arial" w:eastAsia="Calibri" w:hAnsi="Arial" w:cs="Arial"/>
          <w:bCs/>
          <w:sz w:val="20"/>
          <w:szCs w:val="20"/>
          <w:lang w:val="es-ES"/>
        </w:rPr>
      </w:pPr>
      <w:r w:rsidRPr="009D3DC3">
        <w:rPr>
          <w:rFonts w:ascii="Arial" w:eastAsia="Calibri" w:hAnsi="Arial" w:cs="Arial"/>
          <w:bCs/>
          <w:sz w:val="20"/>
          <w:szCs w:val="20"/>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5DB08360" w14:textId="37AD2ACB" w:rsidR="007927C6" w:rsidRPr="00217435" w:rsidRDefault="009D3DC3" w:rsidP="009D3DC3">
      <w:pPr>
        <w:jc w:val="both"/>
        <w:rPr>
          <w:rFonts w:ascii="Arial" w:eastAsia="Calibri" w:hAnsi="Arial" w:cs="Arial"/>
          <w:sz w:val="20"/>
          <w:szCs w:val="20"/>
          <w:lang w:val="es-ES"/>
        </w:rPr>
      </w:pPr>
      <w:r w:rsidRPr="009D3DC3">
        <w:rPr>
          <w:rFonts w:ascii="Arial" w:eastAsia="Calibri" w:hAnsi="Arial" w:cs="Arial"/>
          <w:bCs/>
          <w:sz w:val="20"/>
          <w:szCs w:val="20"/>
          <w:lang w:val="es-ES"/>
        </w:rPr>
        <w:lastRenderedPageBreak/>
        <w:t xml:space="preserve">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w:t>
      </w:r>
      <w:proofErr w:type="spellStart"/>
      <w:r w:rsidRPr="009D3DC3">
        <w:rPr>
          <w:rFonts w:ascii="Arial" w:eastAsia="Calibri" w:hAnsi="Arial" w:cs="Arial"/>
          <w:bCs/>
          <w:sz w:val="20"/>
          <w:szCs w:val="20"/>
          <w:lang w:val="es-ES"/>
        </w:rPr>
        <w:t>Ibídem</w:t>
      </w:r>
      <w:proofErr w:type="spellEnd"/>
      <w:r w:rsidRPr="009D3DC3">
        <w:rPr>
          <w:rFonts w:ascii="Arial" w:eastAsia="Calibri" w:hAnsi="Arial" w:cs="Arial"/>
          <w:bCs/>
          <w:sz w:val="20"/>
          <w:szCs w:val="20"/>
          <w:lang w:val="es-ES"/>
        </w:rPr>
        <w:t>.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3E8A22C9" w14:textId="30012FEC" w:rsidR="007927C6" w:rsidRPr="00217435" w:rsidRDefault="007927C6" w:rsidP="00C33B9E">
      <w:pPr>
        <w:jc w:val="both"/>
        <w:rPr>
          <w:rFonts w:ascii="Arial" w:eastAsia="Calibri" w:hAnsi="Arial" w:cs="Arial"/>
          <w:sz w:val="20"/>
          <w:szCs w:val="20"/>
          <w:lang w:val="es-ES"/>
        </w:rPr>
      </w:pPr>
    </w:p>
    <w:p w14:paraId="389831EC" w14:textId="2925EB00" w:rsidR="007927C6" w:rsidRPr="00217435" w:rsidRDefault="007927C6" w:rsidP="00C33B9E">
      <w:pPr>
        <w:jc w:val="both"/>
        <w:rPr>
          <w:rFonts w:ascii="Arial" w:eastAsia="Calibri" w:hAnsi="Arial" w:cs="Arial"/>
          <w:b/>
          <w:bCs/>
          <w:sz w:val="22"/>
          <w:lang w:val="es-ES"/>
        </w:rPr>
      </w:pPr>
      <w:r w:rsidRPr="00217435">
        <w:rPr>
          <w:rFonts w:ascii="Arial" w:eastAsia="Calibri" w:hAnsi="Arial" w:cs="Arial"/>
          <w:b/>
          <w:bCs/>
          <w:sz w:val="22"/>
          <w:lang w:val="es-ES"/>
        </w:rPr>
        <w:t>SECOP II – Medio de publicidad – Plataforma transaccional</w:t>
      </w:r>
    </w:p>
    <w:p w14:paraId="64348DF6" w14:textId="4F3714B2" w:rsidR="007927C6" w:rsidRPr="00217435" w:rsidRDefault="007927C6" w:rsidP="00C33B9E">
      <w:pPr>
        <w:jc w:val="both"/>
        <w:rPr>
          <w:rFonts w:ascii="Arial" w:eastAsia="Calibri" w:hAnsi="Arial" w:cs="Arial"/>
          <w:sz w:val="20"/>
          <w:szCs w:val="20"/>
          <w:lang w:val="es-ES"/>
        </w:rPr>
      </w:pPr>
    </w:p>
    <w:p w14:paraId="782C3A85" w14:textId="77777777" w:rsidR="00FB25D9" w:rsidRPr="00FB25D9" w:rsidRDefault="00FB25D9" w:rsidP="00FB25D9">
      <w:pPr>
        <w:spacing w:after="120"/>
        <w:jc w:val="both"/>
        <w:rPr>
          <w:rFonts w:ascii="Arial" w:eastAsia="Calibri" w:hAnsi="Arial" w:cs="Arial"/>
          <w:sz w:val="20"/>
          <w:szCs w:val="20"/>
          <w:lang w:val="es-ES"/>
        </w:rPr>
      </w:pPr>
      <w:r w:rsidRPr="00FB25D9">
        <w:rPr>
          <w:rFonts w:ascii="Arial" w:eastAsia="Calibri" w:hAnsi="Arial" w:cs="Arial"/>
          <w:sz w:val="20"/>
          <w:szCs w:val="20"/>
          <w:lang w:val="es-ES"/>
        </w:rPr>
        <w:t>La Agencia Nacional de Contratación Pública – Colombia Compra Eficiente tiene como función  administrar el SECOP , por lo cual se desarrolló la primera versión  de la plataforma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59A33748" w14:textId="1993EA52" w:rsidR="00CA79C6" w:rsidRDefault="00FB25D9" w:rsidP="00FB25D9">
      <w:pPr>
        <w:jc w:val="both"/>
        <w:rPr>
          <w:rFonts w:ascii="Arial" w:eastAsia="Calibri" w:hAnsi="Arial" w:cs="Arial"/>
          <w:sz w:val="20"/>
          <w:szCs w:val="20"/>
          <w:lang w:val="es-ES"/>
        </w:rPr>
      </w:pPr>
      <w:r w:rsidRPr="00FB25D9">
        <w:rPr>
          <w:rFonts w:ascii="Arial" w:eastAsia="Calibri" w:hAnsi="Arial" w:cs="Arial"/>
          <w:sz w:val="20"/>
          <w:szCs w:val="20"/>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A90FA65" w14:textId="77777777" w:rsidR="00FB25D9" w:rsidRPr="00217435" w:rsidRDefault="00FB25D9" w:rsidP="00FB25D9">
      <w:pPr>
        <w:jc w:val="both"/>
        <w:rPr>
          <w:rFonts w:ascii="Arial" w:eastAsia="Calibri" w:hAnsi="Arial" w:cs="Arial"/>
          <w:sz w:val="20"/>
          <w:szCs w:val="20"/>
          <w:lang w:val="es-ES"/>
        </w:rPr>
      </w:pPr>
    </w:p>
    <w:p w14:paraId="63347AD6" w14:textId="2C0D2E3B" w:rsidR="00CA79C6" w:rsidRPr="00217435" w:rsidRDefault="00CA79C6" w:rsidP="00C33B9E">
      <w:pPr>
        <w:jc w:val="both"/>
        <w:rPr>
          <w:rFonts w:ascii="Arial" w:eastAsia="Calibri" w:hAnsi="Arial" w:cs="Arial"/>
          <w:b/>
          <w:bCs/>
          <w:sz w:val="22"/>
          <w:lang w:val="es-ES"/>
        </w:rPr>
      </w:pPr>
      <w:r w:rsidRPr="00217435">
        <w:rPr>
          <w:rFonts w:ascii="Arial" w:eastAsia="Calibri" w:hAnsi="Arial" w:cs="Arial"/>
          <w:b/>
          <w:bCs/>
          <w:sz w:val="22"/>
          <w:lang w:val="es-ES"/>
        </w:rPr>
        <w:t xml:space="preserve">SECOP II – Obligatoriedad </w:t>
      </w:r>
    </w:p>
    <w:p w14:paraId="10B34B41" w14:textId="495AAA78" w:rsidR="00CA79C6" w:rsidRPr="00217435" w:rsidRDefault="00CA79C6" w:rsidP="00C33B9E">
      <w:pPr>
        <w:jc w:val="both"/>
        <w:rPr>
          <w:rFonts w:ascii="Arial" w:eastAsia="Calibri" w:hAnsi="Arial" w:cs="Arial"/>
          <w:sz w:val="20"/>
          <w:szCs w:val="20"/>
          <w:lang w:val="es-ES"/>
        </w:rPr>
      </w:pPr>
    </w:p>
    <w:p w14:paraId="4C047CD0" w14:textId="171A26B8" w:rsidR="00FB25D9" w:rsidRDefault="00563B07" w:rsidP="00C33B9E">
      <w:pPr>
        <w:jc w:val="both"/>
        <w:rPr>
          <w:rFonts w:ascii="Arial" w:eastAsia="Calibri" w:hAnsi="Arial" w:cs="Arial"/>
          <w:sz w:val="20"/>
          <w:szCs w:val="20"/>
          <w:lang w:val="es-ES"/>
        </w:rPr>
      </w:pPr>
      <w:r w:rsidRPr="00563B07">
        <w:rPr>
          <w:rFonts w:ascii="Arial" w:eastAsia="Calibri" w:hAnsi="Arial" w:cs="Arial"/>
          <w:sz w:val="20"/>
          <w:szCs w:val="20"/>
          <w:lang w:val="es-ES"/>
        </w:rPr>
        <w:t>Es del caso precisar que la obligación de realizar procesos de contratación a través de la plataforma SECOP II está asociada a la inclusión de las entidades estatales en los anexos de las referidas circulares, por lo que tratándose de entidades respecto de las cuales la Circular Externa No. 1 de 2019 definió el uso obligatorio de la plataforma, no siendo exceptuadas en circulares subsiguientes, deberán hacer uso de la plataforma. En ese sentido, las entidades estatales incluidas en el Anexo 1 de la Circular Externa No. 1 de 2019, deben cumplir con el deber de evidenciar la actividad contractual con la publicación de los Documentos del Proceso, los actos administrativos y demás documentos expedidos con ocasión del Proceso de Contratación en el SECOP II.</w:t>
      </w:r>
    </w:p>
    <w:p w14:paraId="614C2A1F" w14:textId="77777777" w:rsidR="00563B07" w:rsidRPr="00217435" w:rsidRDefault="00563B07" w:rsidP="00C33B9E">
      <w:pPr>
        <w:jc w:val="both"/>
        <w:rPr>
          <w:rFonts w:ascii="Arial" w:eastAsia="Calibri" w:hAnsi="Arial" w:cs="Arial"/>
          <w:sz w:val="20"/>
          <w:szCs w:val="20"/>
          <w:lang w:val="es-ES"/>
        </w:rPr>
      </w:pPr>
    </w:p>
    <w:p w14:paraId="76E8BFDB" w14:textId="596FB5BE" w:rsidR="00C33B9E" w:rsidRPr="00217435" w:rsidRDefault="00C33B9E" w:rsidP="52988F3A">
      <w:pPr>
        <w:jc w:val="both"/>
        <w:rPr>
          <w:rFonts w:ascii="Arial" w:eastAsia="Calibri" w:hAnsi="Arial" w:cs="Arial"/>
          <w:b/>
          <w:bCs/>
          <w:sz w:val="22"/>
          <w:lang w:val="es-ES"/>
        </w:rPr>
      </w:pPr>
      <w:r w:rsidRPr="52988F3A">
        <w:rPr>
          <w:rFonts w:ascii="Arial" w:eastAsia="Calibri" w:hAnsi="Arial" w:cs="Arial"/>
          <w:b/>
          <w:bCs/>
          <w:sz w:val="22"/>
          <w:lang w:val="es-ES"/>
        </w:rPr>
        <w:t xml:space="preserve">SECOP II – Diferencias </w:t>
      </w:r>
      <w:r w:rsidR="5ED1DC8B" w:rsidRPr="52988F3A">
        <w:rPr>
          <w:rFonts w:ascii="Arial" w:eastAsia="Arial" w:hAnsi="Arial" w:cs="Arial"/>
          <w:b/>
          <w:bCs/>
          <w:sz w:val="22"/>
        </w:rPr>
        <w:t>–</w:t>
      </w:r>
      <w:r w:rsidR="5ED1DC8B" w:rsidRPr="52988F3A">
        <w:rPr>
          <w:rFonts w:ascii="Arial" w:eastAsia="Calibri" w:hAnsi="Arial" w:cs="Arial"/>
          <w:b/>
          <w:bCs/>
          <w:sz w:val="22"/>
          <w:lang w:val="es-ES"/>
        </w:rPr>
        <w:t xml:space="preserve"> </w:t>
      </w:r>
      <w:proofErr w:type="spellStart"/>
      <w:r w:rsidRPr="52988F3A">
        <w:rPr>
          <w:rFonts w:ascii="Arial" w:eastAsia="Calibri" w:hAnsi="Arial" w:cs="Arial"/>
          <w:b/>
          <w:bCs/>
          <w:sz w:val="22"/>
          <w:lang w:val="es-ES"/>
        </w:rPr>
        <w:t>S</w:t>
      </w:r>
      <w:r w:rsidR="52CE80C8" w:rsidRPr="52988F3A">
        <w:rPr>
          <w:rFonts w:ascii="Arial" w:eastAsia="Calibri" w:hAnsi="Arial" w:cs="Arial"/>
          <w:b/>
          <w:bCs/>
          <w:sz w:val="22"/>
          <w:lang w:val="es-ES"/>
        </w:rPr>
        <w:t>ecop</w:t>
      </w:r>
      <w:proofErr w:type="spellEnd"/>
      <w:r w:rsidRPr="52988F3A">
        <w:rPr>
          <w:rFonts w:ascii="Arial" w:eastAsia="Calibri" w:hAnsi="Arial" w:cs="Arial"/>
          <w:b/>
          <w:bCs/>
          <w:sz w:val="22"/>
          <w:lang w:val="es-ES"/>
        </w:rPr>
        <w:t xml:space="preserve"> I – </w:t>
      </w:r>
      <w:r w:rsidR="6C3F7E50" w:rsidRPr="52988F3A">
        <w:rPr>
          <w:rFonts w:ascii="Arial" w:eastAsia="Calibri" w:hAnsi="Arial" w:cs="Arial"/>
          <w:b/>
          <w:bCs/>
          <w:sz w:val="22"/>
          <w:lang w:val="es-ES"/>
        </w:rPr>
        <w:t xml:space="preserve">Publicación </w:t>
      </w:r>
      <w:r w:rsidR="6C3F7E50" w:rsidRPr="52988F3A">
        <w:rPr>
          <w:rFonts w:ascii="Arial" w:eastAsia="Arial" w:hAnsi="Arial" w:cs="Arial"/>
          <w:b/>
          <w:bCs/>
          <w:sz w:val="22"/>
        </w:rPr>
        <w:t>–</w:t>
      </w:r>
      <w:r w:rsidR="6C3F7E50" w:rsidRPr="52988F3A">
        <w:rPr>
          <w:rFonts w:ascii="Arial" w:eastAsia="Calibri" w:hAnsi="Arial" w:cs="Arial"/>
          <w:b/>
          <w:bCs/>
          <w:sz w:val="22"/>
          <w:lang w:val="es-ES"/>
        </w:rPr>
        <w:t xml:space="preserve"> </w:t>
      </w:r>
      <w:r w:rsidRPr="52988F3A">
        <w:rPr>
          <w:rFonts w:ascii="Arial" w:eastAsia="Calibri" w:hAnsi="Arial" w:cs="Arial"/>
          <w:b/>
          <w:bCs/>
          <w:sz w:val="22"/>
          <w:lang w:val="es-ES"/>
        </w:rPr>
        <w:t xml:space="preserve">Término </w:t>
      </w:r>
    </w:p>
    <w:p w14:paraId="5C1E78C8" w14:textId="41678D44" w:rsidR="52988F3A" w:rsidRDefault="52988F3A" w:rsidP="52988F3A">
      <w:pPr>
        <w:jc w:val="both"/>
        <w:rPr>
          <w:rFonts w:ascii="Arial" w:eastAsia="Calibri" w:hAnsi="Arial" w:cs="Arial"/>
          <w:b/>
          <w:bCs/>
          <w:sz w:val="22"/>
          <w:lang w:val="es-ES"/>
        </w:rPr>
      </w:pPr>
    </w:p>
    <w:p w14:paraId="6E130077" w14:textId="6D4F8840" w:rsidR="00C33B9E" w:rsidRPr="00217435" w:rsidRDefault="00C33B9E" w:rsidP="00C33B9E">
      <w:pPr>
        <w:spacing w:after="120"/>
        <w:jc w:val="both"/>
        <w:rPr>
          <w:rFonts w:ascii="Arial" w:eastAsia="Calibri" w:hAnsi="Arial" w:cs="Arial"/>
          <w:sz w:val="20"/>
          <w:szCs w:val="20"/>
          <w:lang w:val="es-ES"/>
        </w:rPr>
      </w:pPr>
      <w:r w:rsidRPr="00217435">
        <w:rPr>
          <w:rFonts w:ascii="Arial" w:eastAsia="Calibri" w:hAnsi="Arial" w:cs="Arial"/>
          <w:sz w:val="20"/>
          <w:szCs w:val="20"/>
          <w:lang w:val="es-ES"/>
        </w:rPr>
        <w:t>Sobre la utilización de SECOP II, es necesario aclarar que el procedimiento contractual se desarrolla en línea y dentro de la plataforma, conformándose un expediente electrónico, lo cual denota una diferencia con el SECOP I, donde el procedimiento es físico, esto es, con documentos escritos que se publican para cumplir las obligaciones de las entidades antes señaladas conforme al artículo 2.2.1.1.1.7.1 del Decreto 1082 de 2015.</w:t>
      </w:r>
      <w:r w:rsidR="00425D39" w:rsidRPr="00217435">
        <w:rPr>
          <w:rFonts w:ascii="Arial" w:eastAsia="Calibri" w:hAnsi="Arial" w:cs="Arial"/>
          <w:sz w:val="20"/>
          <w:szCs w:val="20"/>
          <w:lang w:val="es-ES"/>
        </w:rPr>
        <w:t xml:space="preserve"> </w:t>
      </w:r>
      <w:r w:rsidRPr="00217435">
        <w:rPr>
          <w:rFonts w:ascii="Arial" w:eastAsia="Calibri" w:hAnsi="Arial" w:cs="Arial"/>
          <w:sz w:val="20"/>
          <w:szCs w:val="20"/>
          <w:lang w:val="es-ES"/>
        </w:rPr>
        <w:t xml:space="preserve">Al existir esa diferencia entre las dos versiones del SECOP, el </w:t>
      </w:r>
      <w:r w:rsidR="00471178" w:rsidRPr="00217435">
        <w:rPr>
          <w:rFonts w:ascii="Arial" w:eastAsia="Calibri" w:hAnsi="Arial" w:cs="Arial"/>
          <w:sz w:val="20"/>
          <w:szCs w:val="20"/>
          <w:lang w:val="es-ES"/>
        </w:rPr>
        <w:t>cumplimiento</w:t>
      </w:r>
      <w:r w:rsidRPr="00217435">
        <w:rPr>
          <w:rFonts w:ascii="Arial" w:eastAsia="Calibri" w:hAnsi="Arial" w:cs="Arial"/>
          <w:sz w:val="20"/>
          <w:szCs w:val="20"/>
          <w:lang w:val="es-ES"/>
        </w:rPr>
        <w:t xml:space="preserve"> del deber de publicidad de las actuaciones contractuales en SECOP II se reviste de ciertas particularidades respecto de lo precisado en el acápite anterior sobre la publicación en SECOP I. </w:t>
      </w:r>
    </w:p>
    <w:p w14:paraId="31FC38B9" w14:textId="47460581" w:rsidR="002C0C68" w:rsidRPr="00217435" w:rsidRDefault="002C0C68" w:rsidP="002C0C68">
      <w:pPr>
        <w:jc w:val="both"/>
        <w:rPr>
          <w:rFonts w:ascii="Arial" w:eastAsia="Calibri" w:hAnsi="Arial" w:cs="Arial"/>
          <w:sz w:val="20"/>
          <w:szCs w:val="20"/>
          <w:lang w:val="es-ES"/>
        </w:rPr>
      </w:pPr>
      <w:r w:rsidRPr="00217435">
        <w:rPr>
          <w:rFonts w:ascii="Arial" w:eastAsia="Calibri" w:hAnsi="Arial" w:cs="Arial"/>
          <w:sz w:val="20"/>
          <w:szCs w:val="20"/>
          <w:lang w:val="es-ES"/>
        </w:rPr>
        <w:t xml:space="preserve">Si bien los </w:t>
      </w:r>
      <w:r w:rsidRPr="00217435">
        <w:rPr>
          <w:rFonts w:ascii="Arial" w:eastAsia="Calibri" w:hAnsi="Arial" w:cs="Arial"/>
          <w:i/>
          <w:iCs/>
          <w:sz w:val="20"/>
          <w:szCs w:val="20"/>
          <w:lang w:val="es-ES"/>
        </w:rPr>
        <w:t xml:space="preserve">Documentos del Proceso </w:t>
      </w:r>
      <w:r w:rsidRPr="00217435">
        <w:rPr>
          <w:rFonts w:ascii="Arial" w:eastAsia="Calibri" w:hAnsi="Arial" w:cs="Arial"/>
          <w:sz w:val="20"/>
          <w:szCs w:val="20"/>
          <w:lang w:val="es-ES"/>
        </w:rPr>
        <w:t xml:space="preserve">que deben ser publicados en el SECOP II, corresponden a los mismos antes identificados que deben ser publicados en el SECOP I, esto es, todos los expedidos durante el </w:t>
      </w:r>
      <w:r w:rsidRPr="00217435">
        <w:rPr>
          <w:rFonts w:ascii="Arial" w:eastAsia="Calibri" w:hAnsi="Arial" w:cs="Arial"/>
          <w:i/>
          <w:iCs/>
          <w:sz w:val="20"/>
          <w:szCs w:val="20"/>
          <w:lang w:val="es-ES"/>
        </w:rPr>
        <w:t>Proceso de Contratación</w:t>
      </w:r>
      <w:r w:rsidRPr="00217435">
        <w:rPr>
          <w:rFonts w:ascii="Arial" w:eastAsia="Calibri" w:hAnsi="Arial" w:cs="Arial"/>
          <w:sz w:val="20"/>
          <w:szCs w:val="20"/>
          <w:lang w:val="es-ES"/>
        </w:rPr>
        <w:t xml:space="preserve">, la naturaleza transaccional del SECOP II implica que los procesos contractuales no solo deban ser publicados mediante esta plataforma, sino también </w:t>
      </w:r>
      <w:r w:rsidRPr="00217435">
        <w:rPr>
          <w:rFonts w:ascii="Arial" w:eastAsia="Calibri" w:hAnsi="Arial" w:cs="Arial"/>
          <w:sz w:val="20"/>
          <w:szCs w:val="20"/>
          <w:lang w:val="es-ES"/>
        </w:rPr>
        <w:lastRenderedPageBreak/>
        <w:t xml:space="preserve">gestionados a través de la misma,  al consistir la mayoría de los hitos contractuales en documentos y actuaciones electrónicas generadas en tiempo real, de tal manera que el proceso contractual </w:t>
      </w:r>
      <w:r w:rsidR="00995EF8" w:rsidRPr="00217435">
        <w:rPr>
          <w:rFonts w:ascii="Arial" w:eastAsia="Calibri" w:hAnsi="Arial" w:cs="Arial"/>
          <w:noProof/>
          <w:sz w:val="20"/>
          <w:szCs w:val="20"/>
          <w:lang w:val="es-ES"/>
        </w:rPr>
        <mc:AlternateContent>
          <mc:Choice Requires="wpi">
            <w:drawing>
              <wp:anchor distT="0" distB="0" distL="114300" distR="114300" simplePos="0" relativeHeight="251902976" behindDoc="0" locked="0" layoutInCell="1" allowOverlap="1" wp14:anchorId="28B4B229" wp14:editId="610E2C0B">
                <wp:simplePos x="0" y="0"/>
                <wp:positionH relativeFrom="column">
                  <wp:posOffset>789602</wp:posOffset>
                </wp:positionH>
                <wp:positionV relativeFrom="paragraph">
                  <wp:posOffset>-724346</wp:posOffset>
                </wp:positionV>
                <wp:extent cx="7200" cy="12600"/>
                <wp:effectExtent l="38100" t="38100" r="43815" b="38735"/>
                <wp:wrapNone/>
                <wp:docPr id="242" name="Entrada de lápiz 242"/>
                <wp:cNvGraphicFramePr/>
                <a:graphic xmlns:a="http://schemas.openxmlformats.org/drawingml/2006/main">
                  <a:graphicData uri="http://schemas.microsoft.com/office/word/2010/wordprocessingInk">
                    <w14:contentPart bwMode="auto" r:id="rId11">
                      <w14:nvContentPartPr>
                        <w14:cNvContentPartPr/>
                      </w14:nvContentPartPr>
                      <w14:xfrm>
                        <a:off x="0" y="0"/>
                        <a:ext cx="6985" cy="12065"/>
                      </w14:xfrm>
                    </w14:contentPart>
                  </a:graphicData>
                </a:graphic>
              </wp:anchor>
            </w:drawing>
          </mc:Choice>
          <mc:Fallback xmlns:a14="http://schemas.microsoft.com/office/drawing/2010/main" xmlns:pic="http://schemas.openxmlformats.org/drawingml/2006/picture" xmlns:a="http://schemas.openxmlformats.org/drawingml/2006/main">
            <w:pict w14:anchorId="34D7B92C">
              <v:shape id="Entrada de lápiz 242" style="position:absolute;margin-left:61pt;margin-top:-58.2pt;width:2.9pt;height:3.3pt;z-index:251902976;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" w14:anchorId="7E309A81">
                <v:imagedata o:title="" r:id="rId24"/>
              </v:shape>
            </w:pict>
          </mc:Fallback>
        </mc:AlternateContent>
      </w:r>
      <w:r w:rsidRPr="00217435">
        <w:rPr>
          <w:rFonts w:ascii="Arial" w:eastAsia="Calibri" w:hAnsi="Arial" w:cs="Arial"/>
          <w:sz w:val="20"/>
          <w:szCs w:val="20"/>
          <w:lang w:val="es-ES"/>
        </w:rPr>
        <w:t xml:space="preserve">avanza en la medida en la que se generen y aprueben estos documentos y actuaciones electrónicas en la plataforma, a diferencia de lo sucedido con los procesos publicados en el SECOP I, en los que primero se generan los documentos escritos y luego se publican en la plataforma dentro del plazo de tres días previsto en el artículo 2.2.1.1.1.7.1 del Decreto 1082 de 2015. Esto significa, que el referido término de tres días para publicar no es aplicable a las actuaciones generadas de manera electrónica dentro de los procedimientos gestionados a través de SECOP II, comoquiera que tales documentos son creados o expedidos mediante la propia plataforma, razón por la que una vez estos se aprueban quedan inmediatamente publicados, no habiendo lugar al transcurso del referido término. </w:t>
      </w:r>
    </w:p>
    <w:p w14:paraId="7AA44DDD" w14:textId="687F7F12" w:rsidR="00C33B9E" w:rsidRPr="00217435" w:rsidRDefault="00C33B9E" w:rsidP="00C33B9E">
      <w:pPr>
        <w:jc w:val="both"/>
        <w:rPr>
          <w:rFonts w:ascii="Arial" w:eastAsia="Calibri" w:hAnsi="Arial" w:cs="Arial"/>
          <w:sz w:val="20"/>
          <w:szCs w:val="20"/>
          <w:lang w:val="es-ES"/>
        </w:rPr>
      </w:pPr>
    </w:p>
    <w:p w14:paraId="6674BCEF" w14:textId="3216F6CF" w:rsidR="00C33B9E" w:rsidRPr="00217435" w:rsidRDefault="00C33B9E" w:rsidP="52988F3A">
      <w:pPr>
        <w:spacing w:after="120"/>
        <w:jc w:val="both"/>
        <w:rPr>
          <w:rFonts w:ascii="Arial" w:eastAsia="Calibri" w:hAnsi="Arial" w:cs="Arial"/>
          <w:b/>
          <w:bCs/>
          <w:sz w:val="22"/>
          <w:lang w:val="es-ES"/>
        </w:rPr>
      </w:pPr>
      <w:r w:rsidRPr="52988F3A">
        <w:rPr>
          <w:rFonts w:ascii="Arial" w:eastAsia="Calibri" w:hAnsi="Arial" w:cs="Arial"/>
          <w:b/>
          <w:bCs/>
          <w:sz w:val="22"/>
          <w:lang w:val="es-ES"/>
        </w:rPr>
        <w:t xml:space="preserve">SECOP II – Publicación </w:t>
      </w:r>
      <w:r w:rsidR="24F2FAEE" w:rsidRPr="52988F3A">
        <w:rPr>
          <w:rFonts w:ascii="Arial" w:eastAsia="Arial" w:hAnsi="Arial" w:cs="Arial"/>
          <w:b/>
          <w:bCs/>
          <w:sz w:val="22"/>
        </w:rPr>
        <w:t>–</w:t>
      </w:r>
      <w:r w:rsidRPr="52988F3A">
        <w:rPr>
          <w:rFonts w:ascii="Arial" w:eastAsia="Calibri" w:hAnsi="Arial" w:cs="Arial"/>
          <w:b/>
          <w:bCs/>
          <w:sz w:val="22"/>
          <w:lang w:val="es-ES"/>
        </w:rPr>
        <w:t xml:space="preserve"> </w:t>
      </w:r>
      <w:r w:rsidR="65765398" w:rsidRPr="52988F3A">
        <w:rPr>
          <w:rFonts w:ascii="Arial" w:eastAsia="Calibri" w:hAnsi="Arial" w:cs="Arial"/>
          <w:b/>
          <w:bCs/>
          <w:sz w:val="22"/>
          <w:lang w:val="es-ES"/>
        </w:rPr>
        <w:t>O</w:t>
      </w:r>
      <w:r w:rsidRPr="52988F3A">
        <w:rPr>
          <w:rFonts w:ascii="Arial" w:eastAsia="Calibri" w:hAnsi="Arial" w:cs="Arial"/>
          <w:b/>
          <w:bCs/>
          <w:sz w:val="22"/>
          <w:lang w:val="es-ES"/>
        </w:rPr>
        <w:t>fertas</w:t>
      </w:r>
    </w:p>
    <w:p w14:paraId="4E7AE1DB" w14:textId="1020793F" w:rsidR="00C33B9E" w:rsidRPr="00217435" w:rsidRDefault="00C33B9E" w:rsidP="00C33B9E">
      <w:pPr>
        <w:spacing w:after="120"/>
        <w:jc w:val="both"/>
        <w:rPr>
          <w:rFonts w:ascii="Arial" w:eastAsia="Calibri" w:hAnsi="Arial" w:cs="Arial"/>
          <w:sz w:val="20"/>
          <w:szCs w:val="20"/>
          <w:lang w:val="es-ES"/>
        </w:rPr>
      </w:pPr>
      <w:r w:rsidRPr="00217435">
        <w:rPr>
          <w:rFonts w:ascii="Arial" w:eastAsia="Calibri" w:hAnsi="Arial" w:cs="Arial"/>
          <w:sz w:val="20"/>
          <w:szCs w:val="20"/>
          <w:lang w:val="es-ES"/>
        </w:rPr>
        <w:t xml:space="preserve">Tras publicarse el acta cierre, la plataforma ofrece a las entidades la opción de «Publicar Ofertas», opción que permite que los documentos que conforman la oferta se publiquen y puedan ser consultados por los interesados en el proceso y en general por cualquier persona. El SECOP II, además, permite que las entidades realicen la publicación de la información de las ofertas referida a los requisitos habilitantes </w:t>
      </w:r>
      <w:r w:rsidR="00830B56" w:rsidRPr="00217435">
        <w:rPr>
          <w:rFonts w:ascii="Arial" w:eastAsia="Calibri" w:hAnsi="Arial" w:cs="Arial"/>
          <w:sz w:val="20"/>
          <w:szCs w:val="20"/>
          <w:lang w:val="es-ES"/>
        </w:rPr>
        <w:t>y factores</w:t>
      </w:r>
      <w:r w:rsidRPr="00217435">
        <w:rPr>
          <w:rFonts w:ascii="Arial" w:eastAsia="Calibri" w:hAnsi="Arial" w:cs="Arial"/>
          <w:sz w:val="20"/>
          <w:szCs w:val="20"/>
          <w:lang w:val="es-ES"/>
        </w:rPr>
        <w:t xml:space="preserve"> ponderables distintos de la oferta económica –Sobre No. 1– de manera separada a este último documento, como es el caso de los procesos de licitación de obra pública, </w:t>
      </w:r>
      <w:r w:rsidR="00830B56" w:rsidRPr="00217435">
        <w:rPr>
          <w:rFonts w:ascii="Arial" w:eastAsia="Calibri" w:hAnsi="Arial" w:cs="Arial"/>
          <w:sz w:val="20"/>
          <w:szCs w:val="20"/>
          <w:lang w:val="es-ES"/>
        </w:rPr>
        <w:t>en los</w:t>
      </w:r>
      <w:r w:rsidRPr="00217435">
        <w:rPr>
          <w:rFonts w:ascii="Arial" w:eastAsia="Calibri" w:hAnsi="Arial" w:cs="Arial"/>
          <w:sz w:val="20"/>
          <w:szCs w:val="20"/>
          <w:lang w:val="es-ES"/>
        </w:rPr>
        <w:t xml:space="preserve"> que la oferta económica debe ir contenida en un sobre exclusivo –Sobre No. 2–, de conformidad con lo dispuesto por el parágrafo 2 del artículo 30 de la Ley 80 de 1993, adicionado por la Ley 1882 de 2018. La publicación de la información contenida en cada </w:t>
      </w:r>
      <w:r w:rsidR="00830B56" w:rsidRPr="00217435">
        <w:rPr>
          <w:rFonts w:ascii="Arial" w:eastAsia="Calibri" w:hAnsi="Arial" w:cs="Arial"/>
          <w:sz w:val="20"/>
          <w:szCs w:val="20"/>
          <w:lang w:val="es-ES"/>
        </w:rPr>
        <w:t>sobre</w:t>
      </w:r>
      <w:r w:rsidRPr="00217435">
        <w:rPr>
          <w:rFonts w:ascii="Arial" w:eastAsia="Calibri" w:hAnsi="Arial" w:cs="Arial"/>
          <w:sz w:val="20"/>
          <w:szCs w:val="20"/>
          <w:lang w:val="es-ES"/>
        </w:rPr>
        <w:t xml:space="preserve"> deberá realizarse en los momentos previstos en los respectivos pliegos de condiciones y normas que apliquen a cada proceso de selección.</w:t>
      </w:r>
    </w:p>
    <w:p w14:paraId="76FD8A9D" w14:textId="4C156A84" w:rsidR="00C33B9E" w:rsidRPr="00217435" w:rsidRDefault="00C33B9E" w:rsidP="00C33B9E">
      <w:pPr>
        <w:jc w:val="both"/>
        <w:rPr>
          <w:rFonts w:ascii="Arial" w:eastAsia="Calibri" w:hAnsi="Arial" w:cs="Arial"/>
          <w:sz w:val="20"/>
          <w:szCs w:val="20"/>
          <w:lang w:val="es-ES"/>
        </w:rPr>
      </w:pPr>
      <w:r w:rsidRPr="00217435">
        <w:rPr>
          <w:rFonts w:ascii="Arial" w:eastAsia="Calibri" w:hAnsi="Arial" w:cs="Arial"/>
          <w:sz w:val="20"/>
          <w:szCs w:val="20"/>
          <w:lang w:val="es-ES"/>
        </w:rPr>
        <w:t xml:space="preserve">En todo caso, independiente del momento en que se realice la publicación, la opción de «Publicar Ofertas» da pie a que todas las ofertas de los </w:t>
      </w:r>
      <w:r w:rsidR="00830B56" w:rsidRPr="00217435">
        <w:rPr>
          <w:rFonts w:ascii="Arial" w:eastAsia="Calibri" w:hAnsi="Arial" w:cs="Arial"/>
          <w:sz w:val="20"/>
          <w:szCs w:val="20"/>
          <w:lang w:val="es-ES"/>
        </w:rPr>
        <w:t>proponentes</w:t>
      </w:r>
      <w:r w:rsidRPr="00217435">
        <w:rPr>
          <w:rFonts w:ascii="Arial" w:eastAsia="Calibri" w:hAnsi="Arial" w:cs="Arial"/>
          <w:sz w:val="20"/>
          <w:szCs w:val="20"/>
          <w:lang w:val="es-ES"/>
        </w:rPr>
        <w:t xml:space="preserve"> habilitados sean publicadas, sin la posibilidad de excluir alguno distinto de los que no se habilitaron. Esto plantea una importante diferencia respecto de los procesos publicados en el SECOP I, toda vez que la regulación del deber de </w:t>
      </w:r>
      <w:r w:rsidR="00830B56" w:rsidRPr="00217435">
        <w:rPr>
          <w:rFonts w:ascii="Arial" w:eastAsia="Calibri" w:hAnsi="Arial" w:cs="Arial"/>
          <w:sz w:val="20"/>
          <w:szCs w:val="20"/>
          <w:lang w:val="es-ES"/>
        </w:rPr>
        <w:t>publicidad</w:t>
      </w:r>
      <w:r w:rsidRPr="00217435">
        <w:rPr>
          <w:rFonts w:ascii="Arial" w:eastAsia="Calibri" w:hAnsi="Arial" w:cs="Arial"/>
          <w:sz w:val="20"/>
          <w:szCs w:val="20"/>
          <w:lang w:val="es-ES"/>
        </w:rPr>
        <w:t xml:space="preserve"> que hace el artículo 2.2.1.1.1.7.1 del Decreto 1082 de 2015, establece que </w:t>
      </w:r>
      <w:r w:rsidR="00830B56" w:rsidRPr="00217435">
        <w:rPr>
          <w:rFonts w:ascii="Arial" w:eastAsia="Calibri" w:hAnsi="Arial" w:cs="Arial"/>
          <w:sz w:val="20"/>
          <w:szCs w:val="20"/>
          <w:lang w:val="es-ES"/>
        </w:rPr>
        <w:t>s</w:t>
      </w:r>
      <w:r w:rsidRPr="00217435">
        <w:rPr>
          <w:rFonts w:ascii="Arial" w:eastAsia="Calibri" w:hAnsi="Arial" w:cs="Arial"/>
          <w:sz w:val="20"/>
          <w:szCs w:val="20"/>
          <w:lang w:val="es-ES"/>
        </w:rPr>
        <w:t xml:space="preserve">olo debe publicarse la oferta del adjudicatario, lo cual supone que dicha regla tampoco es aplicable a los procesos adelantados en SECOP II, en los que se publican las ofertas de todos los proponentes habilitados, lo cual supone una aplicación más acentuada del principio de publicidad que la regulada por la referida norma, permitiendo establecer un mayor estándar de transparencia a los procesos de selección que se adelanten a través de esta herramienta. </w:t>
      </w:r>
    </w:p>
    <w:p w14:paraId="631A722D" w14:textId="5AA4D36D" w:rsidR="00402CC5" w:rsidRPr="00217435" w:rsidRDefault="00402CC5" w:rsidP="008F6ABB">
      <w:pPr>
        <w:jc w:val="both"/>
        <w:rPr>
          <w:rFonts w:ascii="Arial" w:eastAsia="Calibri" w:hAnsi="Arial" w:cs="Arial"/>
          <w:sz w:val="20"/>
          <w:szCs w:val="20"/>
          <w:lang w:val="es-ES"/>
        </w:rPr>
      </w:pPr>
    </w:p>
    <w:p w14:paraId="004FE80D" w14:textId="57654C58" w:rsidR="006C05BD" w:rsidRPr="00217435" w:rsidRDefault="006C05BD" w:rsidP="008F6ABB">
      <w:pPr>
        <w:jc w:val="both"/>
        <w:rPr>
          <w:rFonts w:ascii="Arial" w:eastAsia="Calibri" w:hAnsi="Arial" w:cs="Arial"/>
          <w:b/>
          <w:bCs/>
          <w:sz w:val="22"/>
          <w:lang w:val="es-ES"/>
        </w:rPr>
      </w:pPr>
      <w:r w:rsidRPr="00217435">
        <w:rPr>
          <w:rFonts w:ascii="Arial" w:eastAsia="Calibri" w:hAnsi="Arial" w:cs="Arial"/>
          <w:b/>
          <w:bCs/>
          <w:sz w:val="22"/>
          <w:lang w:val="es-ES"/>
        </w:rPr>
        <w:t>SECOP II</w:t>
      </w:r>
      <w:r w:rsidR="002C0C68" w:rsidRPr="00217435">
        <w:rPr>
          <w:rFonts w:ascii="Arial" w:eastAsia="Calibri" w:hAnsi="Arial" w:cs="Arial"/>
          <w:b/>
          <w:bCs/>
          <w:sz w:val="22"/>
          <w:lang w:val="es-ES"/>
        </w:rPr>
        <w:t xml:space="preserve"> – Cargue de documentos – Documentos físico</w:t>
      </w:r>
      <w:r w:rsidR="001961A6" w:rsidRPr="00217435">
        <w:rPr>
          <w:rFonts w:ascii="Arial" w:eastAsia="Calibri" w:hAnsi="Arial" w:cs="Arial"/>
          <w:b/>
          <w:bCs/>
          <w:sz w:val="22"/>
          <w:lang w:val="es-ES"/>
        </w:rPr>
        <w:t>s</w:t>
      </w:r>
      <w:r w:rsidR="002C0C68" w:rsidRPr="00217435">
        <w:rPr>
          <w:rFonts w:ascii="Arial" w:eastAsia="Calibri" w:hAnsi="Arial" w:cs="Arial"/>
          <w:b/>
          <w:bCs/>
          <w:sz w:val="22"/>
          <w:lang w:val="es-ES"/>
        </w:rPr>
        <w:t xml:space="preserve"> </w:t>
      </w:r>
    </w:p>
    <w:p w14:paraId="4DAD87DF" w14:textId="154253C0" w:rsidR="006C05BD" w:rsidRPr="00217435" w:rsidRDefault="006C05BD" w:rsidP="008F6ABB">
      <w:pPr>
        <w:jc w:val="both"/>
        <w:rPr>
          <w:rFonts w:ascii="Arial" w:eastAsia="Calibri" w:hAnsi="Arial" w:cs="Arial"/>
          <w:b/>
          <w:bCs/>
          <w:sz w:val="22"/>
          <w:lang w:val="es-ES"/>
        </w:rPr>
      </w:pPr>
    </w:p>
    <w:p w14:paraId="2534204B" w14:textId="77777777" w:rsidR="006C05BD" w:rsidRPr="00217435" w:rsidRDefault="006C05BD" w:rsidP="006C05BD">
      <w:pPr>
        <w:spacing w:after="120"/>
        <w:jc w:val="both"/>
        <w:rPr>
          <w:rFonts w:ascii="Arial" w:eastAsia="Calibri" w:hAnsi="Arial" w:cs="Arial"/>
          <w:sz w:val="21"/>
          <w:szCs w:val="21"/>
          <w:lang w:val="es-ES"/>
        </w:rPr>
      </w:pPr>
      <w:r w:rsidRPr="00217435">
        <w:rPr>
          <w:rFonts w:ascii="Arial" w:eastAsia="Calibri" w:hAnsi="Arial" w:cs="Arial"/>
          <w:sz w:val="21"/>
          <w:szCs w:val="21"/>
          <w:lang w:val="es-ES"/>
        </w:rPr>
        <w:t xml:space="preserve">A pesar del carácter transaccional de SECOP II, que posibilita que el trámite de gran parte de las actuaciones desarrolladoras del </w:t>
      </w:r>
      <w:proofErr w:type="spellStart"/>
      <w:r w:rsidRPr="00217435">
        <w:rPr>
          <w:rFonts w:ascii="Arial" w:eastAsia="Calibri" w:hAnsi="Arial" w:cs="Arial"/>
          <w:i/>
          <w:iCs/>
          <w:sz w:val="21"/>
          <w:szCs w:val="21"/>
          <w:lang w:val="es-ES"/>
        </w:rPr>
        <w:t>iter</w:t>
      </w:r>
      <w:proofErr w:type="spellEnd"/>
      <w:r w:rsidRPr="00217435">
        <w:rPr>
          <w:rFonts w:ascii="Arial" w:eastAsia="Calibri" w:hAnsi="Arial" w:cs="Arial"/>
          <w:sz w:val="21"/>
          <w:szCs w:val="21"/>
          <w:lang w:val="es-ES"/>
        </w:rPr>
        <w:t xml:space="preserve"> contractual se realicen en línea y de forma concomitante a su publicidad, ello no descarta la necesidad cargar cierta documentación que por las particularidades de su producción no es generada al interior de la plataforma, debiendo en principio ser generada en medio físico y luego cargarse a la plataforma, previa su digitalización, es decir, de manera asimilable a lo acontecido en el uso de SECOP I.</w:t>
      </w:r>
    </w:p>
    <w:p w14:paraId="5BC79A03" w14:textId="46D2E45B" w:rsidR="006C05BD" w:rsidRPr="00217435" w:rsidRDefault="006C05BD" w:rsidP="006C05BD">
      <w:pPr>
        <w:spacing w:after="120"/>
        <w:jc w:val="both"/>
        <w:rPr>
          <w:rFonts w:ascii="Arial" w:eastAsia="Calibri" w:hAnsi="Arial" w:cs="Arial"/>
          <w:sz w:val="21"/>
          <w:szCs w:val="21"/>
          <w:lang w:val="es-ES"/>
        </w:rPr>
      </w:pPr>
      <w:r w:rsidRPr="00217435">
        <w:rPr>
          <w:rFonts w:ascii="Arial" w:eastAsia="Calibri" w:hAnsi="Arial" w:cs="Arial"/>
          <w:sz w:val="21"/>
          <w:szCs w:val="21"/>
          <w:lang w:val="es-ES"/>
        </w:rPr>
        <w:t>Esto ocurre, por ejemplo, con los estudios previos, el informe de evaluación, la resolución de adjudicación, el clausulado del contrato, el acta de inicio, el acta de liquidación, entre otras actuaciones en las que los usuarios quedan habilitados para cargar documentos en la plataforma. Se trata de algo excepcional, pues, se insiste, el SECOP II es una plataforma esencialmente transaccional, distinta de la SECOP I que es una herramienta eminentemente publicitaria.</w:t>
      </w:r>
    </w:p>
    <w:p w14:paraId="136C4AD8" w14:textId="5D3CB9B8" w:rsidR="006C05BD" w:rsidRPr="00217435" w:rsidRDefault="006C05BD" w:rsidP="007C17F4">
      <w:pPr>
        <w:jc w:val="both"/>
        <w:rPr>
          <w:rFonts w:ascii="Arial" w:eastAsia="Calibri" w:hAnsi="Arial" w:cs="Arial"/>
          <w:sz w:val="20"/>
          <w:szCs w:val="20"/>
          <w:lang w:val="es-ES"/>
        </w:rPr>
      </w:pPr>
      <w:r w:rsidRPr="00217435">
        <w:rPr>
          <w:rFonts w:ascii="Arial" w:eastAsia="Calibri" w:hAnsi="Arial" w:cs="Arial"/>
          <w:sz w:val="21"/>
          <w:szCs w:val="21"/>
          <w:lang w:val="es-ES"/>
        </w:rPr>
        <w:lastRenderedPageBreak/>
        <w:t xml:space="preserve">Tales actuaciones al ubicarse dentro de la noción de </w:t>
      </w:r>
      <w:r w:rsidRPr="00217435">
        <w:rPr>
          <w:rFonts w:ascii="Arial" w:eastAsia="Calibri" w:hAnsi="Arial" w:cs="Arial"/>
          <w:i/>
          <w:iCs/>
          <w:sz w:val="21"/>
          <w:szCs w:val="21"/>
          <w:lang w:val="es-ES"/>
        </w:rPr>
        <w:t xml:space="preserve">Documentos del </w:t>
      </w:r>
      <w:proofErr w:type="gramStart"/>
      <w:r w:rsidRPr="00217435">
        <w:rPr>
          <w:rFonts w:ascii="Arial" w:eastAsia="Calibri" w:hAnsi="Arial" w:cs="Arial"/>
          <w:i/>
          <w:iCs/>
          <w:sz w:val="21"/>
          <w:szCs w:val="21"/>
          <w:lang w:val="es-ES"/>
        </w:rPr>
        <w:t>Proceso</w:t>
      </w:r>
      <w:r w:rsidRPr="00217435">
        <w:rPr>
          <w:rFonts w:ascii="Arial" w:eastAsia="Calibri" w:hAnsi="Arial" w:cs="Arial"/>
          <w:sz w:val="21"/>
          <w:szCs w:val="21"/>
          <w:lang w:val="es-ES"/>
        </w:rPr>
        <w:t>,</w:t>
      </w:r>
      <w:proofErr w:type="gramEnd"/>
      <w:r w:rsidRPr="00217435">
        <w:rPr>
          <w:rFonts w:ascii="Arial" w:eastAsia="Calibri" w:hAnsi="Arial" w:cs="Arial"/>
          <w:sz w:val="21"/>
          <w:szCs w:val="21"/>
          <w:lang w:val="es-ES"/>
        </w:rPr>
        <w:t xml:space="preserve"> son objeto del deber de publicidad establecido en el artículo 3 de la Ley 1150 de 2007, regulado por el artículo 2.2.1.1.1.7.1 del Decreto 1082 de 2015, regulación que, conforme a las consideraciones antes expuestas, impone a las entidades la obligación de publicar la documentación correspondiente dentro del término de tres (3) días siguientes a la producción de cada uno de estos documentos.</w:t>
      </w:r>
      <w:r w:rsidRPr="00217435">
        <w:rPr>
          <w:rFonts w:ascii="Arial" w:eastAsia="Calibri" w:hAnsi="Arial" w:cs="Arial"/>
          <w:sz w:val="20"/>
          <w:szCs w:val="20"/>
          <w:lang w:val="es-ES"/>
        </w:rPr>
        <w:t xml:space="preserve">   </w:t>
      </w:r>
    </w:p>
    <w:p w14:paraId="58739623" w14:textId="5FF75539" w:rsidR="00EA3146" w:rsidRPr="00217435" w:rsidRDefault="00EA3146" w:rsidP="008F6ABB">
      <w:pPr>
        <w:jc w:val="both"/>
        <w:rPr>
          <w:rFonts w:ascii="Arial" w:eastAsia="Calibri" w:hAnsi="Arial" w:cs="Arial"/>
          <w:sz w:val="20"/>
          <w:szCs w:val="20"/>
          <w:lang w:val="es-ES"/>
        </w:rPr>
      </w:pPr>
    </w:p>
    <w:p w14:paraId="2F5FE881" w14:textId="77777777" w:rsidR="00AF68BA" w:rsidRPr="006F4334" w:rsidRDefault="00AF68BA" w:rsidP="00AF68BA">
      <w:pPr>
        <w:autoSpaceDE w:val="0"/>
        <w:autoSpaceDN w:val="0"/>
        <w:adjustRightInd w:val="0"/>
        <w:rPr>
          <w:rFonts w:ascii="Arial" w:hAnsi="Arial" w:cs="Arial"/>
          <w:color w:val="000000"/>
          <w:sz w:val="20"/>
          <w:szCs w:val="20"/>
          <w:lang w:val="es-CO"/>
        </w:rPr>
      </w:pPr>
      <w:bookmarkStart w:id="4" w:name="_Hlk38283712"/>
      <w:bookmarkStart w:id="5" w:name="_Hlk38449610"/>
    </w:p>
    <w:p w14:paraId="0D6772F6" w14:textId="34488DD9" w:rsidR="00AF68BA" w:rsidRPr="00AF68BA" w:rsidRDefault="00AF68BA" w:rsidP="00AF68BA">
      <w:pPr>
        <w:autoSpaceDE w:val="0"/>
        <w:autoSpaceDN w:val="0"/>
        <w:adjustRightInd w:val="0"/>
        <w:rPr>
          <w:rFonts w:ascii="Arial" w:hAnsi="Arial" w:cs="Arial"/>
          <w:color w:val="000000"/>
          <w:sz w:val="22"/>
          <w:lang w:val="es-CO"/>
        </w:rPr>
      </w:pPr>
      <w:r w:rsidRPr="00AF68BA">
        <w:rPr>
          <w:rFonts w:ascii="Arial" w:hAnsi="Arial" w:cs="Arial"/>
          <w:color w:val="000000"/>
          <w:sz w:val="22"/>
          <w:lang w:val="es-CO"/>
        </w:rPr>
        <w:t xml:space="preserve">Bogotá D.C., </w:t>
      </w:r>
      <w:r w:rsidRPr="00AF68BA">
        <w:rPr>
          <w:rFonts w:ascii="Arial" w:hAnsi="Arial" w:cs="Arial"/>
          <w:b/>
          <w:bCs/>
          <w:color w:val="000000"/>
          <w:sz w:val="22"/>
          <w:lang w:val="es-CO"/>
        </w:rPr>
        <w:t xml:space="preserve">23/07/2020 Hora 15:24:11s </w:t>
      </w:r>
    </w:p>
    <w:p w14:paraId="39C90A81" w14:textId="54B1EF87" w:rsidR="000D6359" w:rsidRPr="00217435" w:rsidRDefault="00AF68BA" w:rsidP="00AF68BA">
      <w:pPr>
        <w:jc w:val="right"/>
        <w:rPr>
          <w:rFonts w:ascii="Arial" w:eastAsia="Calibri" w:hAnsi="Arial" w:cs="Arial"/>
          <w:sz w:val="22"/>
          <w:lang w:val="es-ES"/>
        </w:rPr>
      </w:pPr>
      <w:proofErr w:type="spellStart"/>
      <w:r w:rsidRPr="00AF68BA">
        <w:rPr>
          <w:rFonts w:ascii="Arial" w:hAnsi="Arial" w:cs="Arial"/>
          <w:b/>
          <w:bCs/>
          <w:color w:val="000000"/>
          <w:sz w:val="22"/>
          <w:lang w:val="es-CO"/>
        </w:rPr>
        <w:t>N°</w:t>
      </w:r>
      <w:proofErr w:type="spellEnd"/>
      <w:r w:rsidRPr="00AF68BA">
        <w:rPr>
          <w:rFonts w:ascii="Arial" w:hAnsi="Arial" w:cs="Arial"/>
          <w:b/>
          <w:bCs/>
          <w:color w:val="000000"/>
          <w:sz w:val="22"/>
          <w:lang w:val="es-CO"/>
        </w:rPr>
        <w:t xml:space="preserve"> Radicado: 2202013000006561</w:t>
      </w:r>
    </w:p>
    <w:p w14:paraId="20147739" w14:textId="5DF05C04" w:rsidR="00BA22A9" w:rsidRPr="00217435" w:rsidRDefault="00BA22A9" w:rsidP="00B10353">
      <w:pPr>
        <w:rPr>
          <w:rFonts w:ascii="Arial" w:eastAsia="Calibri" w:hAnsi="Arial" w:cs="Arial"/>
          <w:sz w:val="22"/>
          <w:lang w:val="es-ES"/>
        </w:rPr>
      </w:pPr>
      <w:r w:rsidRPr="00217435">
        <w:rPr>
          <w:rFonts w:ascii="Arial" w:eastAsia="Calibri" w:hAnsi="Arial" w:cs="Arial"/>
          <w:sz w:val="22"/>
          <w:lang w:val="es-ES"/>
        </w:rPr>
        <w:t>Señor</w:t>
      </w:r>
      <w:r w:rsidR="00667FD6" w:rsidRPr="00217435">
        <w:rPr>
          <w:rFonts w:ascii="Arial" w:eastAsia="Calibri" w:hAnsi="Arial" w:cs="Arial"/>
          <w:sz w:val="22"/>
          <w:lang w:val="es-ES"/>
        </w:rPr>
        <w:t>a</w:t>
      </w:r>
    </w:p>
    <w:p w14:paraId="20D2B5FE" w14:textId="4E44E60F" w:rsidR="00B67CE1" w:rsidRPr="00217435" w:rsidRDefault="00B67CE1" w:rsidP="00B10353">
      <w:pPr>
        <w:rPr>
          <w:rFonts w:ascii="Arial" w:eastAsia="Calibri" w:hAnsi="Arial" w:cs="Arial"/>
          <w:b/>
          <w:sz w:val="22"/>
          <w:lang w:val="es-ES"/>
        </w:rPr>
      </w:pPr>
      <w:r w:rsidRPr="00217435">
        <w:rPr>
          <w:rFonts w:ascii="Arial" w:eastAsia="Calibri" w:hAnsi="Arial" w:cs="Arial"/>
          <w:b/>
          <w:sz w:val="22"/>
          <w:lang w:val="es-ES"/>
        </w:rPr>
        <w:t>María Angélica Nieto</w:t>
      </w:r>
    </w:p>
    <w:p w14:paraId="31138D68" w14:textId="1FD5609C" w:rsidR="00BA22A9" w:rsidRPr="00217435" w:rsidRDefault="00B67CE1" w:rsidP="00B10353">
      <w:pPr>
        <w:rPr>
          <w:rFonts w:ascii="Arial" w:eastAsia="Calibri" w:hAnsi="Arial" w:cs="Arial"/>
          <w:sz w:val="22"/>
          <w:lang w:val="es-ES"/>
        </w:rPr>
      </w:pPr>
      <w:r w:rsidRPr="00217435">
        <w:rPr>
          <w:rFonts w:ascii="Arial" w:eastAsia="Calibri" w:hAnsi="Arial" w:cs="Arial"/>
          <w:sz w:val="22"/>
          <w:lang w:val="es-ES"/>
        </w:rPr>
        <w:t>Ciudad</w:t>
      </w:r>
    </w:p>
    <w:p w14:paraId="1C76F001" w14:textId="4876DFB9" w:rsidR="00765694" w:rsidRPr="00217435" w:rsidRDefault="00765694" w:rsidP="00B10353">
      <w:pPr>
        <w:rPr>
          <w:rFonts w:ascii="Arial" w:eastAsia="Calibri" w:hAnsi="Arial" w:cs="Arial"/>
          <w:sz w:val="22"/>
          <w:lang w:val="es-ES"/>
        </w:rPr>
      </w:pPr>
    </w:p>
    <w:p w14:paraId="56435A7F" w14:textId="74E5FA5C" w:rsidR="00BA22A9" w:rsidRPr="00217435" w:rsidRDefault="00BA22A9" w:rsidP="00B10353">
      <w:pPr>
        <w:jc w:val="center"/>
        <w:rPr>
          <w:rFonts w:ascii="Arial" w:eastAsia="Calibri" w:hAnsi="Arial" w:cs="Arial"/>
          <w:b/>
          <w:sz w:val="22"/>
          <w:lang w:val="es-ES"/>
        </w:rPr>
      </w:pPr>
      <w:r w:rsidRPr="00217435">
        <w:rPr>
          <w:rFonts w:ascii="Arial" w:eastAsia="Calibri" w:hAnsi="Arial" w:cs="Arial"/>
          <w:b/>
          <w:sz w:val="22"/>
          <w:lang w:val="es-ES"/>
        </w:rPr>
        <w:t>Concepto C</w:t>
      </w:r>
      <w:r w:rsidR="0088551C" w:rsidRPr="00217435">
        <w:rPr>
          <w:rFonts w:ascii="Arial" w:eastAsia="Calibri" w:hAnsi="Arial" w:cs="Arial"/>
          <w:b/>
          <w:sz w:val="22"/>
          <w:lang w:val="es-ES"/>
        </w:rPr>
        <w:t>U</w:t>
      </w:r>
      <w:r w:rsidR="00FA3B3B" w:rsidRPr="00217435">
        <w:rPr>
          <w:rFonts w:ascii="Arial" w:eastAsia="Calibri" w:hAnsi="Arial" w:cs="Arial"/>
          <w:b/>
          <w:sz w:val="22"/>
          <w:lang w:val="es-ES"/>
        </w:rPr>
        <w:t xml:space="preserve"> </w:t>
      </w:r>
      <w:r w:rsidR="0088551C" w:rsidRPr="00217435">
        <w:rPr>
          <w:rFonts w:ascii="Arial" w:eastAsia="Calibri" w:hAnsi="Arial" w:cs="Arial"/>
          <w:b/>
          <w:sz w:val="22"/>
          <w:lang w:val="es-ES"/>
        </w:rPr>
        <w:t>–</w:t>
      </w:r>
      <w:r w:rsidR="00FA3B3B" w:rsidRPr="00217435">
        <w:rPr>
          <w:rFonts w:ascii="Arial" w:eastAsia="Calibri" w:hAnsi="Arial" w:cs="Arial"/>
          <w:b/>
          <w:sz w:val="22"/>
          <w:lang w:val="es-ES"/>
        </w:rPr>
        <w:t xml:space="preserve"> </w:t>
      </w:r>
      <w:r w:rsidR="00D25723" w:rsidRPr="00217435">
        <w:rPr>
          <w:rFonts w:ascii="Arial" w:eastAsia="Calibri" w:hAnsi="Arial" w:cs="Arial"/>
          <w:b/>
          <w:sz w:val="22"/>
          <w:lang w:val="es-ES"/>
        </w:rPr>
        <w:t>3</w:t>
      </w:r>
      <w:r w:rsidR="00B67CE1" w:rsidRPr="00217435">
        <w:rPr>
          <w:rFonts w:ascii="Arial" w:eastAsia="Calibri" w:hAnsi="Arial" w:cs="Arial"/>
          <w:b/>
          <w:sz w:val="22"/>
          <w:lang w:val="es-ES"/>
        </w:rPr>
        <w:t>67</w:t>
      </w:r>
      <w:r w:rsidR="001468EF" w:rsidRPr="00217435">
        <w:rPr>
          <w:rFonts w:ascii="Arial" w:eastAsia="Calibri" w:hAnsi="Arial" w:cs="Arial"/>
          <w:b/>
          <w:sz w:val="22"/>
          <w:lang w:val="es-ES"/>
        </w:rPr>
        <w:t xml:space="preserve"> </w:t>
      </w:r>
      <w:r w:rsidRPr="00217435">
        <w:rPr>
          <w:rFonts w:ascii="Arial" w:eastAsia="Calibri" w:hAnsi="Arial" w:cs="Arial"/>
          <w:b/>
          <w:sz w:val="22"/>
          <w:lang w:val="es-ES"/>
        </w:rPr>
        <w:t>de 2020</w:t>
      </w:r>
    </w:p>
    <w:p w14:paraId="70F38DC1" w14:textId="7AEBF63B" w:rsidR="00BA22A9" w:rsidRPr="00217435" w:rsidRDefault="00BA22A9" w:rsidP="00B10353">
      <w:pPr>
        <w:rPr>
          <w:rFonts w:ascii="Arial" w:eastAsia="Calibri" w:hAnsi="Arial" w:cs="Arial"/>
          <w:sz w:val="22"/>
          <w:lang w:val="es-ES"/>
        </w:rPr>
      </w:pPr>
    </w:p>
    <w:p w14:paraId="49523BB4" w14:textId="72C95569" w:rsidR="000D6359" w:rsidRPr="00217435" w:rsidRDefault="000D6359" w:rsidP="00B10353">
      <w:pPr>
        <w:rPr>
          <w:rFonts w:ascii="Arial" w:eastAsia="Calibri" w:hAnsi="Arial" w:cs="Arial"/>
          <w:sz w:val="22"/>
          <w:lang w:val="es-ES"/>
        </w:rPr>
      </w:pPr>
    </w:p>
    <w:p w14:paraId="30DE8200" w14:textId="77777777" w:rsidR="000D6359" w:rsidRPr="00217435" w:rsidRDefault="000D6359" w:rsidP="00B1035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17435" w:rsidRPr="00217435" w14:paraId="73DD4E85" w14:textId="77777777" w:rsidTr="007B2D62">
        <w:trPr>
          <w:trHeight w:val="1029"/>
        </w:trPr>
        <w:tc>
          <w:tcPr>
            <w:tcW w:w="2689" w:type="dxa"/>
            <w:hideMark/>
          </w:tcPr>
          <w:p w14:paraId="4A921A3A" w14:textId="77777777" w:rsidR="00BA22A9" w:rsidRPr="00217435" w:rsidRDefault="00BA22A9" w:rsidP="00BA22A9">
            <w:pPr>
              <w:rPr>
                <w:rFonts w:ascii="Arial" w:eastAsia="Calibri" w:hAnsi="Arial" w:cs="Arial"/>
                <w:sz w:val="22"/>
                <w:lang w:val="es-ES"/>
              </w:rPr>
            </w:pPr>
            <w:r w:rsidRPr="00217435">
              <w:rPr>
                <w:rFonts w:ascii="Arial" w:eastAsia="Calibri" w:hAnsi="Arial" w:cs="Arial"/>
                <w:b/>
                <w:sz w:val="22"/>
                <w:lang w:val="es-ES"/>
              </w:rPr>
              <w:t>Temas:</w:t>
            </w:r>
            <w:r w:rsidRPr="00217435">
              <w:rPr>
                <w:rFonts w:ascii="Arial" w:eastAsia="Calibri" w:hAnsi="Arial" w:cs="Arial"/>
                <w:sz w:val="22"/>
                <w:lang w:val="es-ES"/>
              </w:rPr>
              <w:t xml:space="preserve">              </w:t>
            </w:r>
          </w:p>
        </w:tc>
        <w:tc>
          <w:tcPr>
            <w:tcW w:w="6237" w:type="dxa"/>
            <w:hideMark/>
          </w:tcPr>
          <w:p w14:paraId="6204F950" w14:textId="0CD605E2" w:rsidR="00BA22A9" w:rsidRPr="00217435" w:rsidRDefault="00B67CE1" w:rsidP="00FB781F">
            <w:pPr>
              <w:jc w:val="both"/>
              <w:rPr>
                <w:rFonts w:ascii="Arial" w:eastAsia="Calibri" w:hAnsi="Arial" w:cs="Arial"/>
                <w:sz w:val="22"/>
                <w:lang w:val="es-ES"/>
              </w:rPr>
            </w:pPr>
            <w:r w:rsidRPr="00217435">
              <w:rPr>
                <w:rFonts w:ascii="Arial" w:eastAsia="Calibri" w:hAnsi="Arial" w:cs="Arial"/>
                <w:sz w:val="22"/>
                <w:lang w:val="es-ES"/>
              </w:rPr>
              <w:t xml:space="preserve">SECOP – Deber de publicación – Finalidad – Principio de publicidad – Publicación – Documentos / PLAN ANUAL DE ADQUISICIONES – Publicación – Fundamento normativo / PLAN ANUAL DE ADQUISICIONES – Publicación – Fundamento normativo </w:t>
            </w:r>
            <w:r w:rsidR="001E2378" w:rsidRPr="00217435">
              <w:rPr>
                <w:rFonts w:ascii="Arial" w:eastAsia="Calibri" w:hAnsi="Arial" w:cs="Arial"/>
                <w:sz w:val="22"/>
                <w:lang w:val="es-ES"/>
              </w:rPr>
              <w:t>/ SECOP II – Obligatoriedad</w:t>
            </w:r>
            <w:r w:rsidR="0088551C" w:rsidRPr="00217435">
              <w:rPr>
                <w:rFonts w:ascii="Arial" w:eastAsia="Calibri" w:hAnsi="Arial" w:cs="Arial"/>
                <w:sz w:val="22"/>
                <w:lang w:val="es-ES"/>
              </w:rPr>
              <w:t xml:space="preserve"> / SECOP II – Cargue de documentos – Documentos físico</w:t>
            </w:r>
            <w:r w:rsidR="001961A6" w:rsidRPr="00217435">
              <w:rPr>
                <w:rFonts w:ascii="Arial" w:eastAsia="Calibri" w:hAnsi="Arial" w:cs="Arial"/>
                <w:sz w:val="22"/>
                <w:lang w:val="es-ES"/>
              </w:rPr>
              <w:t>s</w:t>
            </w:r>
          </w:p>
        </w:tc>
      </w:tr>
      <w:tr w:rsidR="00280332" w:rsidRPr="00217435" w14:paraId="53A30614" w14:textId="77777777" w:rsidTr="00667FD6">
        <w:trPr>
          <w:trHeight w:val="264"/>
        </w:trPr>
        <w:tc>
          <w:tcPr>
            <w:tcW w:w="2689" w:type="dxa"/>
          </w:tcPr>
          <w:p w14:paraId="0C1A4A11" w14:textId="77777777" w:rsidR="00BA22A9" w:rsidRPr="00217435" w:rsidRDefault="00BA22A9" w:rsidP="00BA22A9">
            <w:pPr>
              <w:rPr>
                <w:rFonts w:ascii="Arial" w:eastAsia="Calibri" w:hAnsi="Arial" w:cs="Arial"/>
                <w:b/>
                <w:sz w:val="22"/>
                <w:lang w:val="es-ES"/>
              </w:rPr>
            </w:pPr>
            <w:r w:rsidRPr="00217435">
              <w:rPr>
                <w:rFonts w:ascii="Arial" w:eastAsia="Calibri" w:hAnsi="Arial" w:cs="Arial"/>
                <w:b/>
                <w:sz w:val="22"/>
                <w:lang w:val="es-ES"/>
              </w:rPr>
              <w:t>Radicación:</w:t>
            </w:r>
            <w:r w:rsidRPr="00217435">
              <w:rPr>
                <w:rFonts w:ascii="Arial" w:eastAsia="Calibri" w:hAnsi="Arial" w:cs="Arial"/>
                <w:sz w:val="22"/>
                <w:lang w:val="es-ES"/>
              </w:rPr>
              <w:t xml:space="preserve">                              </w:t>
            </w:r>
          </w:p>
        </w:tc>
        <w:tc>
          <w:tcPr>
            <w:tcW w:w="6237" w:type="dxa"/>
          </w:tcPr>
          <w:p w14:paraId="67982A7E" w14:textId="148DD572" w:rsidR="00BA22A9" w:rsidRPr="00217435" w:rsidRDefault="00BA22A9" w:rsidP="00BA22A9">
            <w:pPr>
              <w:jc w:val="both"/>
              <w:rPr>
                <w:rFonts w:ascii="Arial" w:eastAsia="Calibri" w:hAnsi="Arial" w:cs="Arial"/>
                <w:sz w:val="22"/>
                <w:lang w:val="es-ES"/>
              </w:rPr>
            </w:pPr>
            <w:r w:rsidRPr="00217435">
              <w:rPr>
                <w:rFonts w:ascii="Arial" w:eastAsia="Calibri" w:hAnsi="Arial" w:cs="Arial"/>
                <w:sz w:val="22"/>
                <w:lang w:val="es-ES"/>
              </w:rPr>
              <w:t xml:space="preserve">Respuesta consulta # </w:t>
            </w:r>
            <w:r w:rsidR="00B67CE1" w:rsidRPr="00217435">
              <w:rPr>
                <w:rFonts w:ascii="Arial" w:eastAsia="Calibri" w:hAnsi="Arial" w:cs="Arial"/>
                <w:sz w:val="22"/>
                <w:lang w:val="es-ES"/>
              </w:rPr>
              <w:t>42020120</w:t>
            </w:r>
            <w:r w:rsidR="00280332" w:rsidRPr="00217435">
              <w:rPr>
                <w:rFonts w:ascii="Arial" w:eastAsia="Calibri" w:hAnsi="Arial" w:cs="Arial"/>
                <w:sz w:val="22"/>
                <w:lang w:val="es-ES"/>
              </w:rPr>
              <w:t>00003917</w:t>
            </w:r>
          </w:p>
        </w:tc>
      </w:tr>
    </w:tbl>
    <w:p w14:paraId="6F39DDC1" w14:textId="77777777" w:rsidR="00EA3146" w:rsidRPr="00217435" w:rsidRDefault="00EA3146" w:rsidP="00E549E9">
      <w:pPr>
        <w:spacing w:before="120" w:line="276" w:lineRule="auto"/>
        <w:rPr>
          <w:rFonts w:ascii="Arial" w:eastAsia="Calibri" w:hAnsi="Arial" w:cs="Arial"/>
          <w:sz w:val="22"/>
          <w:lang w:val="es-ES"/>
        </w:rPr>
      </w:pPr>
    </w:p>
    <w:p w14:paraId="4C4253CA" w14:textId="4CA8F27D" w:rsidR="00BA22A9" w:rsidRPr="00217435" w:rsidRDefault="00BA22A9" w:rsidP="00E549E9">
      <w:pPr>
        <w:spacing w:before="120" w:line="276" w:lineRule="auto"/>
        <w:rPr>
          <w:rFonts w:ascii="Arial" w:eastAsia="Calibri" w:hAnsi="Arial" w:cs="Arial"/>
          <w:sz w:val="22"/>
          <w:lang w:val="es-ES"/>
        </w:rPr>
      </w:pPr>
      <w:r w:rsidRPr="00217435">
        <w:rPr>
          <w:rFonts w:ascii="Arial" w:eastAsia="Calibri" w:hAnsi="Arial" w:cs="Arial"/>
          <w:sz w:val="22"/>
          <w:lang w:val="es-ES"/>
        </w:rPr>
        <w:t>Estimad</w:t>
      </w:r>
      <w:r w:rsidR="00667FD6" w:rsidRPr="00217435">
        <w:rPr>
          <w:rFonts w:ascii="Arial" w:eastAsia="Calibri" w:hAnsi="Arial" w:cs="Arial"/>
          <w:sz w:val="22"/>
          <w:lang w:val="es-ES"/>
        </w:rPr>
        <w:t>a</w:t>
      </w:r>
      <w:r w:rsidRPr="00217435">
        <w:rPr>
          <w:rFonts w:ascii="Arial" w:eastAsia="Calibri" w:hAnsi="Arial" w:cs="Arial"/>
          <w:sz w:val="22"/>
          <w:lang w:val="es-ES"/>
        </w:rPr>
        <w:t xml:space="preserve"> señ</w:t>
      </w:r>
      <w:r w:rsidR="003F1E6F" w:rsidRPr="00217435">
        <w:rPr>
          <w:rFonts w:ascii="Arial" w:eastAsia="Calibri" w:hAnsi="Arial" w:cs="Arial"/>
          <w:sz w:val="22"/>
          <w:lang w:val="es-ES"/>
        </w:rPr>
        <w:t>or</w:t>
      </w:r>
      <w:r w:rsidR="00667FD6" w:rsidRPr="00217435">
        <w:rPr>
          <w:rFonts w:ascii="Arial" w:eastAsia="Calibri" w:hAnsi="Arial" w:cs="Arial"/>
          <w:sz w:val="22"/>
          <w:lang w:val="es-ES"/>
        </w:rPr>
        <w:t>a</w:t>
      </w:r>
      <w:r w:rsidR="003F1E6F" w:rsidRPr="00217435">
        <w:rPr>
          <w:rFonts w:ascii="Arial" w:eastAsia="Calibri" w:hAnsi="Arial" w:cs="Arial"/>
          <w:sz w:val="22"/>
          <w:lang w:val="es-ES"/>
        </w:rPr>
        <w:t xml:space="preserve"> </w:t>
      </w:r>
      <w:r w:rsidR="00280332" w:rsidRPr="00217435">
        <w:rPr>
          <w:rFonts w:ascii="Arial" w:eastAsia="Calibri" w:hAnsi="Arial" w:cs="Arial"/>
          <w:sz w:val="22"/>
          <w:lang w:val="es-ES"/>
        </w:rPr>
        <w:t>Nieto</w:t>
      </w:r>
    </w:p>
    <w:p w14:paraId="7E0DDA0E" w14:textId="77777777" w:rsidR="00D2522E" w:rsidRPr="00217435" w:rsidRDefault="00D2522E" w:rsidP="00D2522E">
      <w:pPr>
        <w:spacing w:line="276" w:lineRule="auto"/>
        <w:jc w:val="both"/>
        <w:rPr>
          <w:rFonts w:ascii="Arial" w:eastAsia="Calibri" w:hAnsi="Arial" w:cs="Arial"/>
          <w:sz w:val="22"/>
          <w:lang w:val="es-ES"/>
        </w:rPr>
      </w:pPr>
    </w:p>
    <w:p w14:paraId="27953E95" w14:textId="50D4771E" w:rsidR="00BA22A9" w:rsidRPr="00217435" w:rsidRDefault="00BA22A9" w:rsidP="00D2522E">
      <w:pPr>
        <w:spacing w:line="276" w:lineRule="auto"/>
        <w:jc w:val="both"/>
        <w:rPr>
          <w:rFonts w:ascii="Arial" w:eastAsia="Calibri" w:hAnsi="Arial" w:cs="Arial"/>
          <w:sz w:val="22"/>
          <w:lang w:val="es-ES"/>
        </w:rPr>
      </w:pPr>
      <w:r w:rsidRPr="00217435">
        <w:rPr>
          <w:rFonts w:ascii="Arial" w:eastAsia="Calibri" w:hAnsi="Arial" w:cs="Arial"/>
          <w:sz w:val="22"/>
          <w:lang w:val="es-ES"/>
        </w:rPr>
        <w:t>La Agencia Nacional de Contratación Pública — Colombia Compra Eficiente responde su consulta</w:t>
      </w:r>
      <w:r w:rsidR="00B4236B" w:rsidRPr="00217435">
        <w:rPr>
          <w:rFonts w:ascii="Arial" w:eastAsia="Calibri" w:hAnsi="Arial" w:cs="Arial"/>
          <w:sz w:val="22"/>
          <w:lang w:val="es-ES"/>
        </w:rPr>
        <w:t xml:space="preserve"> </w:t>
      </w:r>
      <w:r w:rsidR="0035671F" w:rsidRPr="00217435">
        <w:rPr>
          <w:rFonts w:ascii="Arial" w:eastAsia="Calibri" w:hAnsi="Arial" w:cs="Arial"/>
          <w:sz w:val="22"/>
          <w:lang w:val="es-ES"/>
        </w:rPr>
        <w:t xml:space="preserve">del </w:t>
      </w:r>
      <w:r w:rsidR="00280332" w:rsidRPr="00217435">
        <w:rPr>
          <w:rFonts w:ascii="Arial" w:eastAsia="Calibri" w:hAnsi="Arial" w:cs="Arial"/>
          <w:sz w:val="22"/>
          <w:lang w:val="es-ES"/>
        </w:rPr>
        <w:t>19</w:t>
      </w:r>
      <w:r w:rsidR="0035671F" w:rsidRPr="00217435">
        <w:rPr>
          <w:rFonts w:ascii="Arial" w:eastAsia="Calibri" w:hAnsi="Arial" w:cs="Arial"/>
          <w:sz w:val="22"/>
          <w:lang w:val="es-ES"/>
        </w:rPr>
        <w:t xml:space="preserve"> de </w:t>
      </w:r>
      <w:r w:rsidR="003C010A" w:rsidRPr="00217435">
        <w:rPr>
          <w:rFonts w:ascii="Arial" w:eastAsia="Calibri" w:hAnsi="Arial" w:cs="Arial"/>
          <w:sz w:val="22"/>
          <w:lang w:val="es-ES"/>
        </w:rPr>
        <w:t>mayo</w:t>
      </w:r>
      <w:r w:rsidR="0035671F" w:rsidRPr="00217435">
        <w:rPr>
          <w:rFonts w:ascii="Arial" w:eastAsia="Calibri" w:hAnsi="Arial" w:cs="Arial"/>
          <w:sz w:val="22"/>
          <w:lang w:val="es-ES"/>
        </w:rPr>
        <w:t xml:space="preserve"> de 202</w:t>
      </w:r>
      <w:r w:rsidR="00667FD6" w:rsidRPr="00217435">
        <w:rPr>
          <w:rFonts w:ascii="Arial" w:eastAsia="Calibri" w:hAnsi="Arial" w:cs="Arial"/>
          <w:sz w:val="22"/>
          <w:lang w:val="es-ES"/>
        </w:rPr>
        <w:t>0</w:t>
      </w:r>
      <w:r w:rsidR="0035671F" w:rsidRPr="00217435">
        <w:rPr>
          <w:rFonts w:ascii="Arial" w:eastAsia="Calibri" w:hAnsi="Arial" w:cs="Arial"/>
          <w:sz w:val="22"/>
          <w:lang w:val="es-ES"/>
        </w:rPr>
        <w:t>,</w:t>
      </w:r>
      <w:r w:rsidR="00C25D13" w:rsidRPr="00217435">
        <w:rPr>
          <w:rFonts w:ascii="Arial" w:eastAsia="Calibri" w:hAnsi="Arial" w:cs="Arial"/>
          <w:sz w:val="22"/>
          <w:lang w:val="es-ES"/>
        </w:rPr>
        <w:t xml:space="preserve"> en ejercicio de la competencia otorgada por el numeral</w:t>
      </w:r>
      <w:r w:rsidR="003A6C1F" w:rsidRPr="00217435">
        <w:rPr>
          <w:rFonts w:ascii="Arial" w:eastAsia="Calibri" w:hAnsi="Arial" w:cs="Arial"/>
          <w:sz w:val="22"/>
          <w:lang w:val="es-ES"/>
        </w:rPr>
        <w:t xml:space="preserve"> 5 del </w:t>
      </w:r>
      <w:r w:rsidR="00F55B6E" w:rsidRPr="00217435">
        <w:rPr>
          <w:rFonts w:ascii="Arial" w:eastAsia="Calibri" w:hAnsi="Arial" w:cs="Arial"/>
          <w:sz w:val="22"/>
          <w:lang w:val="es-ES"/>
        </w:rPr>
        <w:t xml:space="preserve">artículo </w:t>
      </w:r>
      <w:r w:rsidR="00AF2089" w:rsidRPr="00217435">
        <w:rPr>
          <w:rFonts w:ascii="Arial" w:eastAsia="Calibri" w:hAnsi="Arial" w:cs="Arial"/>
          <w:sz w:val="22"/>
          <w:lang w:val="es-ES"/>
        </w:rPr>
        <w:t xml:space="preserve">3 y </w:t>
      </w:r>
      <w:r w:rsidR="00BB4E71" w:rsidRPr="00217435">
        <w:rPr>
          <w:rFonts w:ascii="Arial" w:eastAsia="Calibri" w:hAnsi="Arial" w:cs="Arial"/>
          <w:sz w:val="22"/>
          <w:lang w:val="es-ES"/>
        </w:rPr>
        <w:t xml:space="preserve">por </w:t>
      </w:r>
      <w:r w:rsidR="00AF2089" w:rsidRPr="00217435">
        <w:rPr>
          <w:rFonts w:ascii="Arial" w:eastAsia="Calibri" w:hAnsi="Arial" w:cs="Arial"/>
          <w:sz w:val="22"/>
          <w:lang w:val="es-ES"/>
        </w:rPr>
        <w:t>el numeral 8 del artículo</w:t>
      </w:r>
      <w:r w:rsidR="0038689A" w:rsidRPr="00217435">
        <w:rPr>
          <w:rFonts w:ascii="Arial" w:eastAsia="Calibri" w:hAnsi="Arial" w:cs="Arial"/>
          <w:sz w:val="22"/>
          <w:lang w:val="es-ES"/>
        </w:rPr>
        <w:t xml:space="preserve"> 11</w:t>
      </w:r>
      <w:r w:rsidR="005C5EB0" w:rsidRPr="00217435">
        <w:rPr>
          <w:rFonts w:ascii="Arial" w:eastAsia="Calibri" w:hAnsi="Arial" w:cs="Arial"/>
          <w:sz w:val="22"/>
          <w:lang w:val="es-ES"/>
        </w:rPr>
        <w:t xml:space="preserve"> del Decreto 4170 de 2011.</w:t>
      </w:r>
    </w:p>
    <w:p w14:paraId="2E497370" w14:textId="77777777" w:rsidR="007C17F4" w:rsidRPr="00217435" w:rsidRDefault="007C17F4" w:rsidP="00610361">
      <w:pPr>
        <w:spacing w:line="276" w:lineRule="auto"/>
        <w:jc w:val="both"/>
        <w:rPr>
          <w:rFonts w:ascii="Arial" w:eastAsia="Calibri" w:hAnsi="Arial" w:cs="Arial"/>
          <w:sz w:val="22"/>
          <w:lang w:val="es-ES"/>
        </w:rPr>
      </w:pPr>
    </w:p>
    <w:p w14:paraId="238E9792" w14:textId="6FCD2850" w:rsidR="00BA22A9" w:rsidRPr="00217435" w:rsidRDefault="00BA22A9" w:rsidP="006B4A03">
      <w:pPr>
        <w:pStyle w:val="Prrafodelista"/>
        <w:numPr>
          <w:ilvl w:val="0"/>
          <w:numId w:val="8"/>
        </w:numPr>
        <w:tabs>
          <w:tab w:val="left" w:pos="284"/>
        </w:tabs>
        <w:spacing w:line="276" w:lineRule="auto"/>
        <w:ind w:left="0" w:firstLine="0"/>
        <w:rPr>
          <w:rFonts w:ascii="Arial" w:eastAsia="Calibri" w:hAnsi="Arial" w:cs="Arial"/>
          <w:b/>
          <w:sz w:val="22"/>
          <w:lang w:val="es-ES"/>
        </w:rPr>
      </w:pPr>
      <w:r w:rsidRPr="00217435">
        <w:rPr>
          <w:rFonts w:ascii="Arial" w:eastAsia="Calibri" w:hAnsi="Arial" w:cs="Arial"/>
          <w:b/>
          <w:sz w:val="22"/>
          <w:lang w:val="es-ES"/>
        </w:rPr>
        <w:t>Problemas planteados</w:t>
      </w:r>
    </w:p>
    <w:p w14:paraId="35CBFF34" w14:textId="77777777" w:rsidR="007C17F4" w:rsidRPr="00217435" w:rsidRDefault="007C17F4" w:rsidP="002F0E7E">
      <w:pPr>
        <w:pStyle w:val="Default"/>
        <w:spacing w:line="276" w:lineRule="auto"/>
        <w:jc w:val="both"/>
        <w:rPr>
          <w:rFonts w:eastAsia="Calibri"/>
          <w:color w:val="auto"/>
          <w:sz w:val="22"/>
          <w:szCs w:val="22"/>
          <w:lang w:val="es-ES"/>
        </w:rPr>
      </w:pPr>
    </w:p>
    <w:p w14:paraId="0006845D" w14:textId="25512A2E" w:rsidR="00CD4F65" w:rsidRPr="00217435" w:rsidRDefault="007E6773" w:rsidP="002F0E7E">
      <w:pPr>
        <w:pStyle w:val="Default"/>
        <w:spacing w:line="276" w:lineRule="auto"/>
        <w:jc w:val="both"/>
        <w:rPr>
          <w:color w:val="auto"/>
          <w:sz w:val="22"/>
          <w:szCs w:val="22"/>
          <w:lang w:val="es-ES"/>
        </w:rPr>
      </w:pPr>
      <w:r w:rsidRPr="00217435">
        <w:rPr>
          <w:rFonts w:eastAsia="Calibri"/>
          <w:color w:val="auto"/>
          <w:sz w:val="22"/>
          <w:szCs w:val="22"/>
          <w:lang w:val="es-ES"/>
        </w:rPr>
        <w:t xml:space="preserve">Usted plantea </w:t>
      </w:r>
      <w:r w:rsidR="009D531C" w:rsidRPr="00217435">
        <w:rPr>
          <w:rFonts w:eastAsia="Calibri"/>
          <w:color w:val="auto"/>
          <w:sz w:val="22"/>
          <w:szCs w:val="22"/>
          <w:lang w:val="es-ES"/>
        </w:rPr>
        <w:t>l</w:t>
      </w:r>
      <w:r w:rsidR="00280332" w:rsidRPr="00217435">
        <w:rPr>
          <w:rFonts w:eastAsia="Calibri"/>
          <w:color w:val="auto"/>
          <w:sz w:val="22"/>
          <w:szCs w:val="22"/>
          <w:lang w:val="es-ES"/>
        </w:rPr>
        <w:t>os</w:t>
      </w:r>
      <w:r w:rsidR="00A90C55" w:rsidRPr="00217435">
        <w:rPr>
          <w:rFonts w:eastAsia="Calibri"/>
          <w:color w:val="auto"/>
          <w:sz w:val="22"/>
          <w:szCs w:val="22"/>
          <w:lang w:val="es-ES"/>
        </w:rPr>
        <w:t xml:space="preserve"> </w:t>
      </w:r>
      <w:r w:rsidRPr="00217435">
        <w:rPr>
          <w:rFonts w:eastAsia="Calibri"/>
          <w:color w:val="auto"/>
          <w:sz w:val="22"/>
          <w:szCs w:val="22"/>
          <w:lang w:val="es-ES"/>
        </w:rPr>
        <w:t>siguiente</w:t>
      </w:r>
      <w:r w:rsidR="00280332" w:rsidRPr="00217435">
        <w:rPr>
          <w:rFonts w:eastAsia="Calibri"/>
          <w:color w:val="auto"/>
          <w:sz w:val="22"/>
          <w:szCs w:val="22"/>
          <w:lang w:val="es-ES"/>
        </w:rPr>
        <w:t>s</w:t>
      </w:r>
      <w:r w:rsidR="00B93D22" w:rsidRPr="00217435">
        <w:rPr>
          <w:rFonts w:eastAsia="Calibri"/>
          <w:color w:val="auto"/>
          <w:sz w:val="22"/>
          <w:szCs w:val="22"/>
          <w:lang w:val="es-ES"/>
        </w:rPr>
        <w:t xml:space="preserve"> interrogante</w:t>
      </w:r>
      <w:r w:rsidR="00280332" w:rsidRPr="00217435">
        <w:rPr>
          <w:rFonts w:eastAsia="Calibri"/>
          <w:color w:val="auto"/>
          <w:sz w:val="22"/>
          <w:szCs w:val="22"/>
          <w:lang w:val="es-ES"/>
        </w:rPr>
        <w:t>s</w:t>
      </w:r>
      <w:r w:rsidRPr="00217435">
        <w:rPr>
          <w:rFonts w:eastAsia="Calibri"/>
          <w:color w:val="auto"/>
          <w:sz w:val="22"/>
          <w:szCs w:val="22"/>
          <w:lang w:val="es-ES"/>
        </w:rPr>
        <w:t xml:space="preserve"> </w:t>
      </w:r>
      <w:bookmarkStart w:id="6" w:name="_Hlk40095622"/>
      <w:r w:rsidR="00A90C55" w:rsidRPr="00217435">
        <w:rPr>
          <w:rFonts w:eastAsia="Calibri"/>
          <w:color w:val="auto"/>
          <w:sz w:val="22"/>
          <w:szCs w:val="22"/>
          <w:lang w:val="es-ES"/>
        </w:rPr>
        <w:t>«</w:t>
      </w:r>
      <w:bookmarkEnd w:id="6"/>
      <w:r w:rsidR="00280332" w:rsidRPr="00217435">
        <w:rPr>
          <w:color w:val="auto"/>
          <w:sz w:val="22"/>
          <w:szCs w:val="22"/>
          <w:lang w:val="es-ES"/>
        </w:rPr>
        <w:t xml:space="preserve">[…] 1. Dentro de los procesos contractuales ¿qué documentos y actuaciones deben quedar publicados en el SECOP II? 2. ¿Dentro de los documentos y actuaciones que deben ser publicados en el SECOP II se encuentran las observaciones a los informes de evaluación? 3. ¿Deben publicarse en el SECOP II las respuestas a solicitudes de aclaración? 4. ¿Hasta </w:t>
      </w:r>
      <w:r w:rsidR="00830B56" w:rsidRPr="00217435">
        <w:rPr>
          <w:color w:val="auto"/>
          <w:sz w:val="22"/>
          <w:szCs w:val="22"/>
          <w:lang w:val="es-ES"/>
        </w:rPr>
        <w:t>dónde</w:t>
      </w:r>
      <w:r w:rsidR="00280332" w:rsidRPr="00217435">
        <w:rPr>
          <w:color w:val="auto"/>
          <w:sz w:val="22"/>
          <w:szCs w:val="22"/>
          <w:lang w:val="es-ES"/>
        </w:rPr>
        <w:t xml:space="preserve"> llega el deber de publicidad de los documentos y actuaciones del proceso contractual? […]».</w:t>
      </w:r>
    </w:p>
    <w:p w14:paraId="4A33A6E6" w14:textId="74325340" w:rsidR="00EE22BA" w:rsidRPr="00217435" w:rsidRDefault="00EE22BA" w:rsidP="009A2449">
      <w:pPr>
        <w:spacing w:line="276" w:lineRule="auto"/>
        <w:ind w:left="709" w:right="709"/>
        <w:jc w:val="both"/>
        <w:rPr>
          <w:rFonts w:ascii="Arial" w:eastAsia="Calibri" w:hAnsi="Arial" w:cs="Arial"/>
          <w:sz w:val="21"/>
          <w:szCs w:val="21"/>
          <w:lang w:val="es-ES"/>
        </w:rPr>
      </w:pPr>
    </w:p>
    <w:p w14:paraId="6D620AD0" w14:textId="77777777" w:rsidR="00BA22A9" w:rsidRPr="00217435" w:rsidRDefault="00BA22A9" w:rsidP="00BA22A9">
      <w:pPr>
        <w:pStyle w:val="Prrafodelista"/>
        <w:numPr>
          <w:ilvl w:val="0"/>
          <w:numId w:val="8"/>
        </w:numPr>
        <w:tabs>
          <w:tab w:val="left" w:pos="284"/>
        </w:tabs>
        <w:spacing w:line="276" w:lineRule="auto"/>
        <w:ind w:left="0" w:firstLine="0"/>
        <w:rPr>
          <w:rFonts w:ascii="Arial" w:eastAsia="Calibri" w:hAnsi="Arial" w:cs="Arial"/>
          <w:b/>
          <w:sz w:val="22"/>
          <w:lang w:val="es-ES"/>
        </w:rPr>
      </w:pPr>
      <w:r w:rsidRPr="00217435">
        <w:rPr>
          <w:rFonts w:ascii="Arial" w:eastAsia="Calibri" w:hAnsi="Arial" w:cs="Arial"/>
          <w:b/>
          <w:sz w:val="22"/>
          <w:lang w:val="es-ES"/>
        </w:rPr>
        <w:t>Consideraciones</w:t>
      </w:r>
    </w:p>
    <w:p w14:paraId="7AFCE3D9" w14:textId="50A9A993" w:rsidR="00C0464D" w:rsidRPr="00217435" w:rsidRDefault="00C0464D" w:rsidP="001A2559">
      <w:pPr>
        <w:tabs>
          <w:tab w:val="left" w:pos="426"/>
        </w:tabs>
        <w:spacing w:line="276" w:lineRule="auto"/>
        <w:jc w:val="both"/>
        <w:rPr>
          <w:rFonts w:ascii="Arial" w:eastAsia="Calibri" w:hAnsi="Arial" w:cs="Arial"/>
          <w:sz w:val="22"/>
          <w:lang w:val="es-ES"/>
        </w:rPr>
      </w:pPr>
    </w:p>
    <w:p w14:paraId="17DB4FE9" w14:textId="47FAF50C" w:rsidR="00A367A1" w:rsidRPr="00217435" w:rsidRDefault="00A367A1" w:rsidP="001A3521">
      <w:pPr>
        <w:tabs>
          <w:tab w:val="left" w:pos="426"/>
        </w:tabs>
        <w:spacing w:after="120" w:line="276" w:lineRule="auto"/>
        <w:jc w:val="both"/>
        <w:rPr>
          <w:rFonts w:ascii="Arial" w:eastAsia="Calibri" w:hAnsi="Arial" w:cs="Arial"/>
          <w:sz w:val="22"/>
          <w:lang w:val="es-ES"/>
        </w:rPr>
      </w:pPr>
      <w:r w:rsidRPr="00217435">
        <w:rPr>
          <w:rFonts w:ascii="Arial" w:eastAsia="Calibri" w:hAnsi="Arial" w:cs="Arial"/>
          <w:sz w:val="22"/>
          <w:lang w:val="es-ES"/>
        </w:rPr>
        <w:lastRenderedPageBreak/>
        <w:t>La Agencia Nacional de Contratación Pública – Colombia Compra Eficiente ha tenido la oportunidad de estudiar en diferentes ocasiones los temas que se abordar</w:t>
      </w:r>
      <w:r w:rsidR="00AE47B2" w:rsidRPr="00217435">
        <w:rPr>
          <w:rFonts w:ascii="Arial" w:eastAsia="Calibri" w:hAnsi="Arial" w:cs="Arial"/>
          <w:sz w:val="22"/>
          <w:lang w:val="es-ES"/>
        </w:rPr>
        <w:t>á</w:t>
      </w:r>
      <w:r w:rsidR="00BA0A73" w:rsidRPr="00217435">
        <w:rPr>
          <w:rFonts w:ascii="Arial" w:eastAsia="Calibri" w:hAnsi="Arial" w:cs="Arial"/>
          <w:sz w:val="22"/>
          <w:lang w:val="es-ES"/>
        </w:rPr>
        <w:t>n</w:t>
      </w:r>
      <w:r w:rsidRPr="00217435">
        <w:rPr>
          <w:rFonts w:ascii="Arial" w:eastAsia="Calibri" w:hAnsi="Arial" w:cs="Arial"/>
          <w:sz w:val="22"/>
          <w:lang w:val="es-ES"/>
        </w:rPr>
        <w:t xml:space="preserve"> en el presente concepto</w:t>
      </w:r>
      <w:r w:rsidR="00BA0A73" w:rsidRPr="00217435">
        <w:rPr>
          <w:rFonts w:ascii="Arial" w:eastAsia="Calibri" w:hAnsi="Arial" w:cs="Arial"/>
          <w:sz w:val="22"/>
          <w:lang w:val="es-ES"/>
        </w:rPr>
        <w:t>, relacionados con la publicación de documentación contractual en las plataformas SECOP I y SECOP II, posiciones que serán unificadas a continuación.</w:t>
      </w:r>
      <w:r w:rsidRPr="00217435">
        <w:rPr>
          <w:rFonts w:ascii="Arial" w:eastAsia="Calibri" w:hAnsi="Arial" w:cs="Arial"/>
          <w:sz w:val="22"/>
          <w:lang w:val="es-ES"/>
        </w:rPr>
        <w:t xml:space="preserve"> Por una parte, en el concepto con radicado No. 4201912000007253 del 4 de diciembre de 2019, reiterado en el concepto con radicado No. 4201912000007289 de la misma fecha,</w:t>
      </w:r>
      <w:r w:rsidR="00863907" w:rsidRPr="00217435">
        <w:rPr>
          <w:rFonts w:ascii="Arial" w:eastAsia="Calibri" w:hAnsi="Arial" w:cs="Arial"/>
          <w:sz w:val="22"/>
          <w:lang w:val="es-ES"/>
        </w:rPr>
        <w:t xml:space="preserve"> así como en el C-336 del 2 de junio de 2020,</w:t>
      </w:r>
      <w:r w:rsidRPr="00217435">
        <w:rPr>
          <w:rFonts w:ascii="Arial" w:eastAsia="Calibri" w:hAnsi="Arial" w:cs="Arial"/>
          <w:sz w:val="22"/>
          <w:lang w:val="es-ES"/>
        </w:rPr>
        <w:t xml:space="preserve"> </w:t>
      </w:r>
      <w:r w:rsidR="00BA0A73" w:rsidRPr="00217435">
        <w:rPr>
          <w:rFonts w:ascii="Arial" w:eastAsia="Calibri" w:hAnsi="Arial" w:cs="Arial"/>
          <w:sz w:val="22"/>
          <w:lang w:val="es-ES"/>
        </w:rPr>
        <w:t xml:space="preserve">donde se </w:t>
      </w:r>
      <w:r w:rsidRPr="00217435">
        <w:rPr>
          <w:rFonts w:ascii="Arial" w:eastAsia="Calibri" w:hAnsi="Arial" w:cs="Arial"/>
          <w:sz w:val="22"/>
          <w:lang w:val="es-ES"/>
        </w:rPr>
        <w:t>estudió la publicidad de los procedimientos contractuales en el SECOP I</w:t>
      </w:r>
      <w:r w:rsidR="00863907" w:rsidRPr="00217435">
        <w:rPr>
          <w:rFonts w:ascii="Arial" w:eastAsia="Calibri" w:hAnsi="Arial" w:cs="Arial"/>
          <w:sz w:val="22"/>
          <w:lang w:val="es-ES"/>
        </w:rPr>
        <w:t xml:space="preserve"> y SECOP II</w:t>
      </w:r>
      <w:r w:rsidRPr="00217435">
        <w:rPr>
          <w:rFonts w:ascii="Arial" w:eastAsia="Calibri" w:hAnsi="Arial" w:cs="Arial"/>
          <w:sz w:val="22"/>
          <w:lang w:val="es-ES"/>
        </w:rPr>
        <w:t>,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w:t>
      </w:r>
      <w:r w:rsidR="001A3521" w:rsidRPr="00217435">
        <w:rPr>
          <w:rFonts w:ascii="Arial" w:eastAsia="Calibri" w:hAnsi="Arial" w:cs="Arial"/>
          <w:sz w:val="22"/>
          <w:lang w:val="es-ES"/>
        </w:rPr>
        <w:t xml:space="preserve"> y C-015 del 29 de abril de 2020, se estudiaron temas como el SECOP I como medio de publicidad de las actuaciones contractuales, la naturaleza </w:t>
      </w:r>
      <w:r w:rsidR="00830B56" w:rsidRPr="00217435">
        <w:rPr>
          <w:rFonts w:ascii="Arial" w:eastAsia="Calibri" w:hAnsi="Arial" w:cs="Arial"/>
          <w:sz w:val="22"/>
          <w:lang w:val="es-ES"/>
        </w:rPr>
        <w:t>transaccional</w:t>
      </w:r>
      <w:r w:rsidR="001A3521" w:rsidRPr="00217435">
        <w:rPr>
          <w:rFonts w:ascii="Arial" w:eastAsia="Calibri" w:hAnsi="Arial" w:cs="Arial"/>
          <w:sz w:val="22"/>
          <w:lang w:val="es-ES"/>
        </w:rPr>
        <w:t xml:space="preserve"> y </w:t>
      </w:r>
      <w:r w:rsidR="00830B56" w:rsidRPr="00217435">
        <w:rPr>
          <w:rFonts w:ascii="Arial" w:eastAsia="Calibri" w:hAnsi="Arial" w:cs="Arial"/>
          <w:sz w:val="22"/>
          <w:lang w:val="es-ES"/>
        </w:rPr>
        <w:t>obligatoriedad</w:t>
      </w:r>
      <w:r w:rsidR="001A3521" w:rsidRPr="00217435">
        <w:rPr>
          <w:rFonts w:ascii="Arial" w:eastAsia="Calibri" w:hAnsi="Arial" w:cs="Arial"/>
          <w:sz w:val="22"/>
          <w:lang w:val="es-ES"/>
        </w:rPr>
        <w:t xml:space="preserve"> de SECOP II y los documentos que deben publicarse en estas plataformas.</w:t>
      </w:r>
    </w:p>
    <w:p w14:paraId="7F173803" w14:textId="0CA76098" w:rsidR="00863907" w:rsidRPr="00217435" w:rsidRDefault="001A3521" w:rsidP="00857CD9">
      <w:pPr>
        <w:tabs>
          <w:tab w:val="left" w:pos="426"/>
        </w:tabs>
        <w:spacing w:after="120" w:line="276" w:lineRule="auto"/>
        <w:jc w:val="both"/>
        <w:rPr>
          <w:rFonts w:ascii="Arial" w:eastAsia="Calibri" w:hAnsi="Arial" w:cs="Arial"/>
          <w:sz w:val="22"/>
          <w:lang w:val="es-ES"/>
        </w:rPr>
      </w:pPr>
      <w:r w:rsidRPr="00217435">
        <w:rPr>
          <w:rFonts w:ascii="Arial" w:eastAsia="Calibri" w:hAnsi="Arial" w:cs="Arial"/>
          <w:sz w:val="22"/>
          <w:lang w:val="es-ES"/>
        </w:rPr>
        <w:tab/>
      </w:r>
      <w:r w:rsidR="00557C48" w:rsidRPr="00217435">
        <w:rPr>
          <w:rFonts w:ascii="Arial" w:eastAsia="Calibri" w:hAnsi="Arial" w:cs="Arial"/>
          <w:sz w:val="22"/>
          <w:lang w:val="es-ES"/>
        </w:rPr>
        <w:tab/>
        <w:t xml:space="preserve">La Agencia Nacional de Contratación – Colombia Compra Eficiente Pública unificará en el presente concepto las tesis expuestas sobre </w:t>
      </w:r>
      <w:r w:rsidR="0014457C" w:rsidRPr="00217435">
        <w:rPr>
          <w:rFonts w:ascii="Arial" w:eastAsia="Calibri" w:hAnsi="Arial" w:cs="Arial"/>
          <w:sz w:val="22"/>
          <w:lang w:val="es-ES"/>
        </w:rPr>
        <w:t>el deber de publicidad</w:t>
      </w:r>
      <w:r w:rsidR="00557C48" w:rsidRPr="00217435">
        <w:rPr>
          <w:rFonts w:ascii="Arial" w:eastAsia="Calibri" w:hAnsi="Arial" w:cs="Arial"/>
          <w:sz w:val="22"/>
          <w:lang w:val="es-ES"/>
        </w:rPr>
        <w:t xml:space="preserve"> de los procesos de contratación</w:t>
      </w:r>
      <w:r w:rsidR="00857CD9" w:rsidRPr="00217435">
        <w:rPr>
          <w:rFonts w:ascii="Arial" w:eastAsia="Calibri" w:hAnsi="Arial" w:cs="Arial"/>
          <w:sz w:val="22"/>
          <w:lang w:val="es-ES"/>
        </w:rPr>
        <w:t xml:space="preserve"> pública</w:t>
      </w:r>
      <w:r w:rsidR="0014457C" w:rsidRPr="00217435">
        <w:rPr>
          <w:rFonts w:ascii="Arial" w:eastAsia="Calibri" w:hAnsi="Arial" w:cs="Arial"/>
          <w:sz w:val="22"/>
          <w:lang w:val="es-ES"/>
        </w:rPr>
        <w:t>,</w:t>
      </w:r>
      <w:r w:rsidR="00557C48" w:rsidRPr="00217435">
        <w:rPr>
          <w:rFonts w:ascii="Arial" w:eastAsia="Calibri" w:hAnsi="Arial" w:cs="Arial"/>
          <w:sz w:val="22"/>
          <w:lang w:val="es-ES"/>
        </w:rPr>
        <w:t xml:space="preserve"> </w:t>
      </w:r>
      <w:r w:rsidR="0014457C" w:rsidRPr="00217435">
        <w:rPr>
          <w:rFonts w:ascii="Arial" w:eastAsia="Calibri" w:hAnsi="Arial" w:cs="Arial"/>
          <w:sz w:val="22"/>
          <w:lang w:val="es-ES"/>
        </w:rPr>
        <w:t>particularmente</w:t>
      </w:r>
      <w:r w:rsidR="00857CD9" w:rsidRPr="00217435">
        <w:rPr>
          <w:rFonts w:ascii="Arial" w:eastAsia="Calibri" w:hAnsi="Arial" w:cs="Arial"/>
          <w:sz w:val="22"/>
          <w:lang w:val="es-ES"/>
        </w:rPr>
        <w:t>,</w:t>
      </w:r>
      <w:r w:rsidR="0014457C" w:rsidRPr="00217435">
        <w:rPr>
          <w:rFonts w:ascii="Arial" w:eastAsia="Calibri" w:hAnsi="Arial" w:cs="Arial"/>
          <w:sz w:val="22"/>
          <w:lang w:val="es-ES"/>
        </w:rPr>
        <w:t xml:space="preserve"> de los </w:t>
      </w:r>
      <w:r w:rsidR="00557C48" w:rsidRPr="00217435">
        <w:rPr>
          <w:rFonts w:ascii="Arial" w:eastAsia="Calibri" w:hAnsi="Arial" w:cs="Arial"/>
          <w:sz w:val="22"/>
          <w:lang w:val="es-ES"/>
        </w:rPr>
        <w:t>adelantados por las entidades estatales regidas por el Estatuto General de Contratación de la Administración Pública.</w:t>
      </w:r>
      <w:r w:rsidR="00857CD9" w:rsidRPr="00217435">
        <w:rPr>
          <w:rFonts w:ascii="Arial" w:eastAsia="Calibri" w:hAnsi="Arial" w:cs="Arial"/>
          <w:sz w:val="22"/>
          <w:lang w:val="es-ES"/>
        </w:rPr>
        <w:t xml:space="preserve"> En el marco de tal ejercicio de unificación se responderán los interrogantes planteados en la petición de la referencia. </w:t>
      </w:r>
    </w:p>
    <w:p w14:paraId="6F1C9898" w14:textId="5C362BAA" w:rsidR="00E15059" w:rsidRPr="00217435" w:rsidRDefault="00863907" w:rsidP="005F46B6">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r>
      <w:r w:rsidR="00E15059" w:rsidRPr="00217435">
        <w:rPr>
          <w:rFonts w:ascii="Arial" w:eastAsia="Arial" w:hAnsi="Arial" w:cs="Arial"/>
          <w:sz w:val="22"/>
          <w:lang w:val="es-ES"/>
        </w:rPr>
        <w:t xml:space="preserve">La contratación pública comprende, entre otros aspectos, la toma de decisiones del gasto que las entidades realizan como ejecución de los recursos públicos asignados para adquirir bienes, obras o servicios que satisfacen sus necesidades, y en esa medida </w:t>
      </w:r>
      <w:r w:rsidR="00262C67" w:rsidRPr="00217435">
        <w:rPr>
          <w:rFonts w:ascii="Arial" w:eastAsia="Arial" w:hAnsi="Arial" w:cs="Arial"/>
          <w:sz w:val="22"/>
          <w:lang w:val="es-ES"/>
        </w:rPr>
        <w:t>busca la garantía del</w:t>
      </w:r>
      <w:r w:rsidR="00E15059" w:rsidRPr="00217435">
        <w:rPr>
          <w:rFonts w:ascii="Arial" w:eastAsia="Arial" w:hAnsi="Arial" w:cs="Arial"/>
          <w:sz w:val="22"/>
          <w:lang w:val="es-ES"/>
        </w:rPr>
        <w:t xml:space="preserve"> interés general, que es la finalidad que la ley les confía a través de las funciones que se les encomiendan.</w:t>
      </w:r>
    </w:p>
    <w:p w14:paraId="343A142D" w14:textId="32159F49" w:rsidR="00E15059" w:rsidRPr="00217435" w:rsidRDefault="005F46B6" w:rsidP="005F46B6">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r>
      <w:r w:rsidR="00E15059" w:rsidRPr="00217435">
        <w:rPr>
          <w:rFonts w:ascii="Arial" w:eastAsia="Arial" w:hAnsi="Arial" w:cs="Arial"/>
          <w:sz w:val="22"/>
          <w:lang w:val="es-ES"/>
        </w:rPr>
        <w:t xml:space="preserve">En ese sentido, teniendo en cuenta que mediante los procedimientos contractuales las entidades ejecutan recursos públicos y satisfacen el interés general, la normativa </w:t>
      </w:r>
      <w:r w:rsidR="007E1321" w:rsidRPr="00217435">
        <w:rPr>
          <w:rFonts w:ascii="Arial" w:eastAsia="Arial" w:hAnsi="Arial" w:cs="Arial"/>
          <w:sz w:val="22"/>
          <w:lang w:val="es-ES"/>
        </w:rPr>
        <w:t>contractual</w:t>
      </w:r>
      <w:r w:rsidR="00E15059" w:rsidRPr="00217435">
        <w:rPr>
          <w:rFonts w:ascii="Arial" w:eastAsia="Arial" w:hAnsi="Arial" w:cs="Arial"/>
          <w:sz w:val="22"/>
          <w:lang w:val="es-ES"/>
        </w:rPr>
        <w:t xml:space="preserve"> </w:t>
      </w:r>
      <w:r w:rsidR="007E1321" w:rsidRPr="00217435">
        <w:rPr>
          <w:rFonts w:ascii="Arial" w:eastAsia="Arial" w:hAnsi="Arial" w:cs="Arial"/>
          <w:sz w:val="22"/>
          <w:lang w:val="es-ES"/>
        </w:rPr>
        <w:t>–</w:t>
      </w:r>
      <w:r w:rsidR="00E15059" w:rsidRPr="00217435">
        <w:rPr>
          <w:rFonts w:ascii="Arial" w:eastAsia="Arial" w:hAnsi="Arial" w:cs="Arial"/>
          <w:sz w:val="22"/>
          <w:lang w:val="es-ES"/>
        </w:rPr>
        <w:t>Ley 80 de 1993, Ley 1150 de 2007 y Decreto 1082 de 2015</w:t>
      </w:r>
      <w:r w:rsidR="007E1321" w:rsidRPr="00217435">
        <w:rPr>
          <w:rFonts w:ascii="Arial" w:eastAsia="Arial" w:hAnsi="Arial" w:cs="Arial"/>
          <w:sz w:val="22"/>
          <w:lang w:val="es-ES"/>
        </w:rPr>
        <w:t>–</w:t>
      </w:r>
      <w:r w:rsidR="00E15059" w:rsidRPr="00217435">
        <w:rPr>
          <w:rFonts w:ascii="Arial" w:eastAsia="Arial" w:hAnsi="Arial" w:cs="Arial"/>
          <w:sz w:val="22"/>
          <w:lang w:val="es-ES"/>
        </w:rPr>
        <w:t xml:space="preserve">, contiene los principios y procedimientos que rigen los contratos de las entidades estatales. Específicamente, el Estatuto General de Contratación de la Administración Pública </w:t>
      </w:r>
      <w:r w:rsidR="007E1321" w:rsidRPr="00217435">
        <w:rPr>
          <w:rFonts w:ascii="Arial" w:eastAsia="Arial" w:hAnsi="Arial" w:cs="Arial"/>
          <w:sz w:val="22"/>
          <w:lang w:val="es-ES"/>
        </w:rPr>
        <w:t>–</w:t>
      </w:r>
      <w:r w:rsidR="00E15059" w:rsidRPr="00217435">
        <w:rPr>
          <w:rFonts w:ascii="Arial" w:eastAsia="Arial" w:hAnsi="Arial" w:cs="Arial"/>
          <w:sz w:val="22"/>
          <w:lang w:val="es-ES"/>
        </w:rPr>
        <w:t>Ley 80 de 1993</w:t>
      </w:r>
      <w:r w:rsidR="007E1321" w:rsidRPr="00217435">
        <w:rPr>
          <w:rFonts w:ascii="Arial" w:eastAsia="Arial" w:hAnsi="Arial" w:cs="Arial"/>
          <w:sz w:val="22"/>
          <w:lang w:val="es-ES"/>
        </w:rPr>
        <w:t>–</w:t>
      </w:r>
      <w:r w:rsidR="00E15059" w:rsidRPr="00217435">
        <w:rPr>
          <w:rFonts w:ascii="Arial" w:eastAsia="Arial" w:hAnsi="Arial" w:cs="Arial"/>
          <w:sz w:val="22"/>
          <w:lang w:val="es-ES"/>
        </w:rPr>
        <w:t xml:space="preserve"> </w:t>
      </w:r>
      <w:proofErr w:type="gramStart"/>
      <w:r w:rsidR="007E1321" w:rsidRPr="00217435">
        <w:rPr>
          <w:rFonts w:ascii="Arial" w:eastAsia="Arial" w:hAnsi="Arial" w:cs="Arial"/>
          <w:sz w:val="22"/>
          <w:lang w:val="es-ES"/>
        </w:rPr>
        <w:t>le</w:t>
      </w:r>
      <w:proofErr w:type="gramEnd"/>
      <w:r w:rsidR="007E1321" w:rsidRPr="00217435">
        <w:rPr>
          <w:rFonts w:ascii="Arial" w:eastAsia="Arial" w:hAnsi="Arial" w:cs="Arial"/>
          <w:sz w:val="22"/>
          <w:lang w:val="es-ES"/>
        </w:rPr>
        <w:t xml:space="preserve"> aplica</w:t>
      </w:r>
      <w:r w:rsidR="00E15059" w:rsidRPr="00217435">
        <w:rPr>
          <w:rFonts w:ascii="Arial" w:eastAsia="Arial" w:hAnsi="Arial" w:cs="Arial"/>
          <w:sz w:val="22"/>
          <w:lang w:val="es-ES"/>
        </w:rPr>
        <w:t xml:space="preserve"> a las entidades estatales relacionadas en </w:t>
      </w:r>
      <w:r w:rsidR="007E1321" w:rsidRPr="00217435">
        <w:rPr>
          <w:rFonts w:ascii="Arial" w:eastAsia="Arial" w:hAnsi="Arial" w:cs="Arial"/>
          <w:sz w:val="22"/>
          <w:lang w:val="es-ES"/>
        </w:rPr>
        <w:t>el</w:t>
      </w:r>
      <w:r w:rsidR="00E15059" w:rsidRPr="00217435">
        <w:rPr>
          <w:rFonts w:ascii="Arial" w:eastAsia="Arial" w:hAnsi="Arial" w:cs="Arial"/>
          <w:sz w:val="22"/>
          <w:lang w:val="es-ES"/>
        </w:rPr>
        <w:t xml:space="preserve"> artículo 2</w:t>
      </w:r>
      <w:r w:rsidR="00E15059" w:rsidRPr="00217435">
        <w:rPr>
          <w:rFonts w:ascii="Arial" w:eastAsia="Arial" w:hAnsi="Arial" w:cs="Arial"/>
          <w:sz w:val="22"/>
          <w:vertAlign w:val="superscript"/>
          <w:lang w:val="es-ES"/>
        </w:rPr>
        <w:footnoteReference w:id="1"/>
      </w:r>
      <w:r w:rsidR="00E15059" w:rsidRPr="00217435">
        <w:rPr>
          <w:rFonts w:ascii="Arial" w:eastAsia="Arial" w:hAnsi="Arial" w:cs="Arial"/>
          <w:sz w:val="22"/>
          <w:lang w:val="es-ES"/>
        </w:rPr>
        <w:t xml:space="preserve">, </w:t>
      </w:r>
      <w:r w:rsidR="00830B56" w:rsidRPr="00217435">
        <w:rPr>
          <w:rFonts w:ascii="Arial" w:eastAsia="Arial" w:hAnsi="Arial" w:cs="Arial"/>
          <w:sz w:val="22"/>
          <w:lang w:val="es-ES"/>
        </w:rPr>
        <w:t>con lo</w:t>
      </w:r>
      <w:r w:rsidR="00E15059" w:rsidRPr="00217435">
        <w:rPr>
          <w:rFonts w:ascii="Arial" w:eastAsia="Arial" w:hAnsi="Arial" w:cs="Arial"/>
          <w:sz w:val="22"/>
          <w:lang w:val="es-ES"/>
        </w:rPr>
        <w:t xml:space="preserve"> cual se </w:t>
      </w:r>
      <w:r w:rsidR="00E15059" w:rsidRPr="00217435">
        <w:rPr>
          <w:rFonts w:ascii="Arial" w:eastAsia="Arial" w:hAnsi="Arial" w:cs="Arial"/>
          <w:sz w:val="22"/>
          <w:lang w:val="es-ES"/>
        </w:rPr>
        <w:lastRenderedPageBreak/>
        <w:t>puede determinar quiénes deben cumplir los principios y obligaciones señalados en las normas citadas.</w:t>
      </w:r>
    </w:p>
    <w:p w14:paraId="25DE291B" w14:textId="7B721F18" w:rsidR="00E15059" w:rsidRPr="00217435" w:rsidRDefault="005F46B6" w:rsidP="005F46B6">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r>
      <w:r w:rsidR="00E15059" w:rsidRPr="00217435">
        <w:rPr>
          <w:rFonts w:ascii="Arial" w:eastAsia="Arial" w:hAnsi="Arial" w:cs="Arial"/>
          <w:sz w:val="22"/>
          <w:lang w:val="es-ES"/>
        </w:rPr>
        <w:t>El artículo 23 de la Ley 80 de 1993 regula los principios que rigen las actuaciones dentro de los procedimientos contractuales que adelantan las entidades</w:t>
      </w:r>
      <w:r w:rsidR="00E15059" w:rsidRPr="00217435">
        <w:rPr>
          <w:rFonts w:ascii="Arial" w:eastAsia="Arial" w:hAnsi="Arial" w:cs="Arial"/>
          <w:sz w:val="22"/>
          <w:vertAlign w:val="superscript"/>
          <w:lang w:val="es-ES"/>
        </w:rPr>
        <w:footnoteReference w:id="2"/>
      </w:r>
      <w:r w:rsidR="00E15059" w:rsidRPr="00217435">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00E15059" w:rsidRPr="00217435">
        <w:rPr>
          <w:rFonts w:ascii="Arial" w:eastAsia="Arial" w:hAnsi="Arial" w:cs="Arial"/>
          <w:sz w:val="22"/>
          <w:vertAlign w:val="superscript"/>
          <w:lang w:val="es-ES"/>
        </w:rPr>
        <w:footnoteReference w:id="3"/>
      </w:r>
      <w:r w:rsidR="00E15059" w:rsidRPr="00217435">
        <w:rPr>
          <w:rFonts w:ascii="Arial" w:eastAsia="Arial" w:hAnsi="Arial" w:cs="Arial"/>
          <w:sz w:val="22"/>
          <w:lang w:val="es-ES"/>
        </w:rPr>
        <w:t>. De esta forma, las entidades estatales deben publicar sus actuaciones de los procedimientos contractuales en el medio que ha definido el Estado para tal fin.</w:t>
      </w:r>
    </w:p>
    <w:p w14:paraId="29508210" w14:textId="562F4EFE" w:rsidR="00783AEB" w:rsidRPr="00217435" w:rsidRDefault="00D25723" w:rsidP="005F46B6">
      <w:pPr>
        <w:widowControl w:val="0"/>
        <w:tabs>
          <w:tab w:val="left" w:pos="728"/>
        </w:tabs>
        <w:autoSpaceDE w:val="0"/>
        <w:autoSpaceDN w:val="0"/>
        <w:spacing w:line="276" w:lineRule="auto"/>
        <w:jc w:val="both"/>
        <w:rPr>
          <w:rFonts w:ascii="Arial" w:eastAsia="Arial" w:hAnsi="Arial" w:cs="Arial"/>
          <w:sz w:val="22"/>
          <w:lang w:val="es-ES"/>
        </w:rPr>
      </w:pPr>
      <w:r w:rsidRPr="00217435">
        <w:rPr>
          <w:rFonts w:ascii="Arial" w:eastAsia="Arial" w:hAnsi="Arial" w:cs="Arial"/>
          <w:sz w:val="22"/>
          <w:lang w:val="es-ES"/>
        </w:rPr>
        <w:tab/>
      </w:r>
      <w:r w:rsidR="00E15059" w:rsidRPr="00217435">
        <w:rPr>
          <w:rFonts w:ascii="Arial" w:eastAsia="Arial" w:hAnsi="Arial" w:cs="Arial"/>
          <w:sz w:val="22"/>
          <w:lang w:val="es-ES"/>
        </w:rPr>
        <w:t>Para resolver su consulta relacionada con la publicidad en e</w:t>
      </w:r>
      <w:r w:rsidR="003B1829" w:rsidRPr="00217435">
        <w:rPr>
          <w:rFonts w:ascii="Arial" w:eastAsia="Arial" w:hAnsi="Arial" w:cs="Arial"/>
          <w:sz w:val="22"/>
          <w:lang w:val="es-ES"/>
        </w:rPr>
        <w:t>l</w:t>
      </w:r>
      <w:r w:rsidR="00E15059" w:rsidRPr="00217435">
        <w:rPr>
          <w:rFonts w:ascii="Arial" w:eastAsia="Arial" w:hAnsi="Arial" w:cs="Arial"/>
          <w:sz w:val="22"/>
          <w:lang w:val="es-ES"/>
        </w:rPr>
        <w:t xml:space="preserve"> SECOP</w:t>
      </w:r>
      <w:r w:rsidR="003B1829" w:rsidRPr="00217435">
        <w:rPr>
          <w:rFonts w:ascii="Arial" w:eastAsia="Arial" w:hAnsi="Arial" w:cs="Arial"/>
          <w:sz w:val="22"/>
          <w:lang w:val="es-ES"/>
        </w:rPr>
        <w:t xml:space="preserve"> II, </w:t>
      </w:r>
      <w:r w:rsidR="00863907" w:rsidRPr="00217435">
        <w:rPr>
          <w:rFonts w:ascii="Arial" w:eastAsia="Arial" w:hAnsi="Arial" w:cs="Arial"/>
          <w:sz w:val="22"/>
          <w:lang w:val="es-ES"/>
        </w:rPr>
        <w:t>se hace necesario referirnos a varios temas</w:t>
      </w:r>
      <w:r w:rsidR="00907491" w:rsidRPr="00217435">
        <w:rPr>
          <w:rFonts w:ascii="Arial" w:eastAsia="Arial" w:hAnsi="Arial" w:cs="Arial"/>
          <w:sz w:val="22"/>
          <w:lang w:val="es-ES"/>
        </w:rPr>
        <w:t>, por lo que el presente concepto</w:t>
      </w:r>
      <w:r w:rsidR="007E1321" w:rsidRPr="00217435">
        <w:rPr>
          <w:rFonts w:ascii="Arial" w:eastAsia="Arial" w:hAnsi="Arial" w:cs="Arial"/>
          <w:sz w:val="22"/>
          <w:lang w:val="es-ES"/>
        </w:rPr>
        <w:t xml:space="preserve"> se ha dividido</w:t>
      </w:r>
      <w:r w:rsidR="00907491" w:rsidRPr="00217435">
        <w:rPr>
          <w:rFonts w:ascii="Arial" w:eastAsia="Arial" w:hAnsi="Arial" w:cs="Arial"/>
          <w:sz w:val="22"/>
          <w:lang w:val="es-ES"/>
        </w:rPr>
        <w:t xml:space="preserve"> en los </w:t>
      </w:r>
      <w:r w:rsidR="00863907" w:rsidRPr="00217435">
        <w:rPr>
          <w:rFonts w:ascii="Arial" w:eastAsia="Arial" w:hAnsi="Arial" w:cs="Arial"/>
          <w:sz w:val="22"/>
          <w:lang w:val="es-ES"/>
        </w:rPr>
        <w:t xml:space="preserve">siguientes acápites: i) principio de publicidad y acceso a la información pública; </w:t>
      </w:r>
      <w:proofErr w:type="spellStart"/>
      <w:r w:rsidR="004D1F40" w:rsidRPr="00217435">
        <w:rPr>
          <w:rFonts w:ascii="Arial" w:eastAsia="Arial" w:hAnsi="Arial" w:cs="Arial"/>
          <w:sz w:val="22"/>
          <w:lang w:val="es-ES"/>
        </w:rPr>
        <w:t>i</w:t>
      </w:r>
      <w:r w:rsidR="00830B56" w:rsidRPr="00217435">
        <w:rPr>
          <w:rFonts w:ascii="Arial" w:eastAsia="Arial" w:hAnsi="Arial" w:cs="Arial"/>
          <w:sz w:val="22"/>
          <w:lang w:val="es-ES"/>
        </w:rPr>
        <w:t>i</w:t>
      </w:r>
      <w:proofErr w:type="spellEnd"/>
      <w:r w:rsidR="00863907" w:rsidRPr="00217435">
        <w:rPr>
          <w:rFonts w:ascii="Arial" w:eastAsia="Arial" w:hAnsi="Arial" w:cs="Arial"/>
          <w:sz w:val="22"/>
          <w:lang w:val="es-ES"/>
        </w:rPr>
        <w:t xml:space="preserve">) procedimientos contractuales, publicidad y documentos que  deben publicar en el SECOP I las entidades estatales sometidas al Estatuto General de Contratación de la Administración Pública; </w:t>
      </w:r>
      <w:proofErr w:type="spellStart"/>
      <w:r w:rsidR="00830B56" w:rsidRPr="00217435">
        <w:rPr>
          <w:rFonts w:ascii="Arial" w:eastAsia="Arial" w:hAnsi="Arial" w:cs="Arial"/>
          <w:sz w:val="22"/>
          <w:lang w:val="es-ES"/>
        </w:rPr>
        <w:t>iii</w:t>
      </w:r>
      <w:proofErr w:type="spellEnd"/>
      <w:r w:rsidR="007E1321" w:rsidRPr="00217435">
        <w:rPr>
          <w:rFonts w:ascii="Arial" w:eastAsia="Arial" w:hAnsi="Arial" w:cs="Arial"/>
          <w:sz w:val="22"/>
          <w:lang w:val="es-ES"/>
        </w:rPr>
        <w:t xml:space="preserve">) </w:t>
      </w:r>
      <w:r w:rsidR="00907491" w:rsidRPr="00217435">
        <w:rPr>
          <w:rFonts w:ascii="Arial" w:eastAsia="Arial" w:hAnsi="Arial" w:cs="Arial"/>
          <w:sz w:val="22"/>
          <w:lang w:val="es-ES"/>
        </w:rPr>
        <w:t>SECOP II como herramienta transaccional su despliegue y utilización como plataforma electrónica transaccional</w:t>
      </w:r>
      <w:r w:rsidR="0088551C" w:rsidRPr="00217435">
        <w:rPr>
          <w:rFonts w:ascii="Arial" w:eastAsia="Arial" w:hAnsi="Arial" w:cs="Arial"/>
          <w:sz w:val="22"/>
          <w:lang w:val="es-ES"/>
        </w:rPr>
        <w:t>; y</w:t>
      </w:r>
      <w:r w:rsidR="007E1321" w:rsidRPr="00217435">
        <w:rPr>
          <w:rFonts w:ascii="Arial" w:eastAsia="Arial" w:hAnsi="Arial" w:cs="Arial"/>
          <w:sz w:val="22"/>
          <w:lang w:val="es-ES"/>
        </w:rPr>
        <w:t xml:space="preserve"> </w:t>
      </w:r>
      <w:proofErr w:type="spellStart"/>
      <w:r w:rsidR="007E1321" w:rsidRPr="00217435">
        <w:rPr>
          <w:rFonts w:ascii="Arial" w:eastAsia="Arial" w:hAnsi="Arial" w:cs="Arial"/>
          <w:sz w:val="22"/>
          <w:lang w:val="es-ES"/>
        </w:rPr>
        <w:t>iv</w:t>
      </w:r>
      <w:proofErr w:type="spellEnd"/>
      <w:r w:rsidR="007E1321" w:rsidRPr="00217435">
        <w:rPr>
          <w:rFonts w:ascii="Arial" w:eastAsia="Arial" w:hAnsi="Arial" w:cs="Arial"/>
          <w:sz w:val="22"/>
          <w:lang w:val="es-ES"/>
        </w:rPr>
        <w:t>)</w:t>
      </w:r>
      <w:r w:rsidR="007E1321" w:rsidRPr="00217435">
        <w:rPr>
          <w:rFonts w:ascii="Arial" w:hAnsi="Arial" w:cs="Arial"/>
          <w:lang w:val="es-ES"/>
        </w:rPr>
        <w:t xml:space="preserve"> </w:t>
      </w:r>
      <w:r w:rsidR="007E1321" w:rsidRPr="00217435">
        <w:rPr>
          <w:rFonts w:ascii="Arial" w:eastAsia="Arial" w:hAnsi="Arial" w:cs="Arial"/>
          <w:sz w:val="22"/>
          <w:lang w:val="es-ES"/>
        </w:rPr>
        <w:t xml:space="preserve">publicidad de actuaciones en </w:t>
      </w:r>
      <w:r w:rsidR="007E1321" w:rsidRPr="00217435">
        <w:rPr>
          <w:rFonts w:ascii="Arial" w:eastAsia="Arial" w:hAnsi="Arial" w:cs="Arial"/>
          <w:sz w:val="22"/>
          <w:lang w:val="es-ES"/>
        </w:rPr>
        <w:lastRenderedPageBreak/>
        <w:t>principio registradas en medio físico a través de SECOP II y duplicidad de información contradictoria</w:t>
      </w:r>
      <w:r w:rsidR="006134CB" w:rsidRPr="00217435">
        <w:rPr>
          <w:rFonts w:ascii="Arial" w:eastAsia="Arial" w:hAnsi="Arial" w:cs="Arial"/>
          <w:sz w:val="22"/>
          <w:lang w:val="es-ES"/>
        </w:rPr>
        <w:t>.</w:t>
      </w:r>
    </w:p>
    <w:p w14:paraId="3BAAD3F7" w14:textId="77777777" w:rsidR="006134CB" w:rsidRPr="00217435" w:rsidRDefault="006134CB" w:rsidP="005F46B6">
      <w:pPr>
        <w:widowControl w:val="0"/>
        <w:tabs>
          <w:tab w:val="left" w:pos="728"/>
        </w:tabs>
        <w:autoSpaceDE w:val="0"/>
        <w:autoSpaceDN w:val="0"/>
        <w:spacing w:line="276" w:lineRule="auto"/>
        <w:jc w:val="both"/>
        <w:rPr>
          <w:rFonts w:ascii="Arial" w:eastAsia="Arial" w:hAnsi="Arial" w:cs="Arial"/>
          <w:sz w:val="22"/>
          <w:lang w:val="es-ES"/>
        </w:rPr>
      </w:pPr>
    </w:p>
    <w:p w14:paraId="64A9CDB8" w14:textId="23713307" w:rsidR="00783AEB" w:rsidRPr="00217435" w:rsidRDefault="00230AE4" w:rsidP="005F46B6">
      <w:pPr>
        <w:widowControl w:val="0"/>
        <w:tabs>
          <w:tab w:val="left" w:pos="728"/>
        </w:tabs>
        <w:autoSpaceDE w:val="0"/>
        <w:autoSpaceDN w:val="0"/>
        <w:spacing w:line="276" w:lineRule="auto"/>
        <w:jc w:val="both"/>
        <w:rPr>
          <w:rFonts w:ascii="Arial" w:eastAsia="Arial" w:hAnsi="Arial" w:cs="Arial"/>
          <w:b/>
          <w:bCs/>
          <w:sz w:val="22"/>
          <w:lang w:val="es-ES"/>
        </w:rPr>
      </w:pPr>
      <w:r w:rsidRPr="00217435">
        <w:rPr>
          <w:rFonts w:ascii="Arial" w:eastAsia="Arial" w:hAnsi="Arial" w:cs="Arial"/>
          <w:b/>
          <w:bCs/>
          <w:sz w:val="22"/>
          <w:lang w:val="es-ES"/>
        </w:rPr>
        <w:t xml:space="preserve">2.1. Principio de publicidad y acceso a la información pública </w:t>
      </w:r>
    </w:p>
    <w:p w14:paraId="17EFF165" w14:textId="77777777" w:rsidR="00783AEB" w:rsidRPr="00217435" w:rsidRDefault="00783AEB" w:rsidP="00783AEB">
      <w:pPr>
        <w:widowControl w:val="0"/>
        <w:tabs>
          <w:tab w:val="left" w:pos="728"/>
        </w:tabs>
        <w:autoSpaceDE w:val="0"/>
        <w:autoSpaceDN w:val="0"/>
        <w:spacing w:line="276" w:lineRule="auto"/>
        <w:jc w:val="both"/>
        <w:rPr>
          <w:rFonts w:ascii="Arial" w:eastAsia="Arial" w:hAnsi="Arial" w:cs="Arial"/>
          <w:sz w:val="22"/>
          <w:lang w:val="es-ES"/>
        </w:rPr>
      </w:pPr>
    </w:p>
    <w:p w14:paraId="716CC7F5" w14:textId="50C91B98" w:rsidR="00783AEB" w:rsidRPr="00217435" w:rsidRDefault="00783AEB" w:rsidP="00783AEB">
      <w:pPr>
        <w:widowControl w:val="0"/>
        <w:tabs>
          <w:tab w:val="left" w:pos="728"/>
        </w:tabs>
        <w:autoSpaceDE w:val="0"/>
        <w:autoSpaceDN w:val="0"/>
        <w:spacing w:line="276" w:lineRule="auto"/>
        <w:jc w:val="both"/>
        <w:rPr>
          <w:rFonts w:ascii="Arial" w:eastAsia="Arial" w:hAnsi="Arial" w:cs="Arial"/>
          <w:b/>
          <w:sz w:val="22"/>
          <w:lang w:val="es-ES"/>
        </w:rPr>
      </w:pPr>
      <w:r w:rsidRPr="00217435">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w:t>
      </w:r>
      <w:r w:rsidR="006134CB" w:rsidRPr="00217435">
        <w:rPr>
          <w:rFonts w:ascii="Arial" w:eastAsia="Arial" w:hAnsi="Arial" w:cs="Arial"/>
          <w:sz w:val="22"/>
          <w:lang w:val="es-ES"/>
        </w:rPr>
        <w:t>realicen</w:t>
      </w:r>
      <w:r w:rsidRPr="00217435">
        <w:rPr>
          <w:rFonts w:ascii="Arial" w:eastAsia="Arial" w:hAnsi="Arial" w:cs="Arial"/>
          <w:sz w:val="22"/>
          <w:lang w:val="es-ES"/>
        </w:rPr>
        <w:t xml:space="preserve"> conforme a la ley: </w:t>
      </w:r>
    </w:p>
    <w:p w14:paraId="753FEB46" w14:textId="4A0AE105" w:rsidR="00783AEB" w:rsidRPr="00217435" w:rsidRDefault="00783AEB" w:rsidP="00783AEB">
      <w:pPr>
        <w:widowControl w:val="0"/>
        <w:tabs>
          <w:tab w:val="left" w:pos="728"/>
        </w:tabs>
        <w:autoSpaceDE w:val="0"/>
        <w:autoSpaceDN w:val="0"/>
        <w:spacing w:line="276" w:lineRule="auto"/>
        <w:jc w:val="both"/>
        <w:rPr>
          <w:rFonts w:ascii="Arial" w:eastAsia="Arial" w:hAnsi="Arial" w:cs="Arial"/>
          <w:sz w:val="22"/>
          <w:lang w:val="es-ES"/>
        </w:rPr>
      </w:pPr>
    </w:p>
    <w:p w14:paraId="3031E493" w14:textId="77777777" w:rsidR="00783AEB" w:rsidRPr="00217435" w:rsidRDefault="00783AEB" w:rsidP="00783AEB">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051AB6E5" w14:textId="77777777" w:rsidR="00783AEB" w:rsidRPr="00217435" w:rsidRDefault="00783AEB" w:rsidP="00783AEB">
      <w:pPr>
        <w:widowControl w:val="0"/>
        <w:tabs>
          <w:tab w:val="left" w:pos="728"/>
        </w:tabs>
        <w:autoSpaceDE w:val="0"/>
        <w:autoSpaceDN w:val="0"/>
        <w:ind w:left="709" w:right="709"/>
        <w:jc w:val="both"/>
        <w:rPr>
          <w:rFonts w:ascii="Arial" w:eastAsia="Arial" w:hAnsi="Arial" w:cs="Arial"/>
          <w:sz w:val="21"/>
          <w:szCs w:val="21"/>
          <w:lang w:val="es-ES"/>
        </w:rPr>
      </w:pPr>
    </w:p>
    <w:p w14:paraId="6CE71A59" w14:textId="77777777" w:rsidR="00783AEB" w:rsidRPr="00217435" w:rsidRDefault="00783AEB" w:rsidP="00783AEB">
      <w:pPr>
        <w:widowControl w:val="0"/>
        <w:tabs>
          <w:tab w:val="left" w:pos="728"/>
        </w:tabs>
        <w:autoSpaceDE w:val="0"/>
        <w:autoSpaceDN w:val="0"/>
        <w:ind w:left="709" w:right="709"/>
        <w:jc w:val="both"/>
        <w:rPr>
          <w:rFonts w:ascii="Arial" w:eastAsia="Arial" w:hAnsi="Arial" w:cs="Arial"/>
          <w:sz w:val="21"/>
          <w:szCs w:val="21"/>
          <w:lang w:val="es-ES"/>
        </w:rPr>
      </w:pPr>
      <w:r w:rsidRPr="00217435">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como el reconocimiento del derecho que tiene la comunidad de conocer las actuaciones de las </w:t>
      </w:r>
      <w:proofErr w:type="gramStart"/>
      <w:r w:rsidRPr="00217435">
        <w:rPr>
          <w:rFonts w:ascii="Arial" w:eastAsia="Arial" w:hAnsi="Arial" w:cs="Arial"/>
          <w:sz w:val="21"/>
          <w:szCs w:val="21"/>
          <w:lang w:val="es-ES"/>
        </w:rPr>
        <w:t>autoridades públicas</w:t>
      </w:r>
      <w:proofErr w:type="gramEnd"/>
      <w:r w:rsidRPr="00217435">
        <w:rPr>
          <w:rFonts w:ascii="Arial" w:eastAsia="Arial" w:hAnsi="Arial" w:cs="Arial"/>
          <w:sz w:val="21"/>
          <w:szCs w:val="21"/>
          <w:lang w:val="es-ES"/>
        </w:rPr>
        <w:t xml:space="preserve"> y, a través de ese conocimiento, a exigir que ellas se surtan conforme a la ley</w:t>
      </w:r>
      <w:r w:rsidRPr="00217435">
        <w:rPr>
          <w:rFonts w:ascii="Arial" w:eastAsia="Arial" w:hAnsi="Arial" w:cs="Arial"/>
          <w:sz w:val="21"/>
          <w:szCs w:val="21"/>
          <w:vertAlign w:val="superscript"/>
          <w:lang w:val="es-ES"/>
        </w:rPr>
        <w:footnoteReference w:id="4"/>
      </w:r>
      <w:r w:rsidRPr="00217435">
        <w:rPr>
          <w:rFonts w:ascii="Arial" w:eastAsia="Arial" w:hAnsi="Arial" w:cs="Arial"/>
          <w:sz w:val="21"/>
          <w:szCs w:val="21"/>
          <w:lang w:val="es-ES"/>
        </w:rPr>
        <w:t>.</w:t>
      </w:r>
    </w:p>
    <w:p w14:paraId="78EABA25" w14:textId="77777777" w:rsidR="00783AEB" w:rsidRPr="00217435" w:rsidRDefault="00783AEB" w:rsidP="00783AEB">
      <w:pPr>
        <w:widowControl w:val="0"/>
        <w:tabs>
          <w:tab w:val="left" w:pos="728"/>
        </w:tabs>
        <w:autoSpaceDE w:val="0"/>
        <w:autoSpaceDN w:val="0"/>
        <w:spacing w:line="276" w:lineRule="auto"/>
        <w:jc w:val="both"/>
        <w:rPr>
          <w:rFonts w:ascii="Arial" w:eastAsia="Arial" w:hAnsi="Arial" w:cs="Arial"/>
          <w:sz w:val="22"/>
          <w:lang w:val="es-ES"/>
        </w:rPr>
      </w:pPr>
    </w:p>
    <w:p w14:paraId="5FF41A58" w14:textId="0A467530" w:rsidR="00783AEB" w:rsidRPr="00217435" w:rsidRDefault="00783AEB" w:rsidP="00783AEB">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217435">
        <w:rPr>
          <w:rFonts w:ascii="Arial" w:eastAsia="Arial" w:hAnsi="Arial" w:cs="Arial"/>
          <w:sz w:val="22"/>
          <w:vertAlign w:val="superscript"/>
          <w:lang w:val="es-ES"/>
        </w:rPr>
        <w:footnoteReference w:id="5"/>
      </w:r>
      <w:r w:rsidRPr="00217435">
        <w:rPr>
          <w:rFonts w:ascii="Arial" w:eastAsia="Arial" w:hAnsi="Arial" w:cs="Arial"/>
          <w:sz w:val="22"/>
          <w:lang w:val="es-ES"/>
        </w:rPr>
        <w:t xml:space="preserve">. </w:t>
      </w:r>
    </w:p>
    <w:p w14:paraId="32A39A61" w14:textId="42191368" w:rsidR="00783AEB" w:rsidRPr="00217435" w:rsidRDefault="00783AEB" w:rsidP="00783AEB">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lastRenderedPageBreak/>
        <w:tab/>
        <w:t xml:space="preserve">De otra parte, la Ley 1712 de 2014, por medio de la cual </w:t>
      </w:r>
      <w:r w:rsidR="003A5D70" w:rsidRPr="00217435">
        <w:rPr>
          <w:rFonts w:ascii="Arial" w:eastAsia="Arial" w:hAnsi="Arial" w:cs="Arial"/>
          <w:sz w:val="22"/>
          <w:lang w:val="es-ES"/>
        </w:rPr>
        <w:t>se regula la</w:t>
      </w:r>
      <w:r w:rsidRPr="00217435">
        <w:rPr>
          <w:rFonts w:ascii="Arial" w:eastAsia="Arial" w:hAnsi="Arial" w:cs="Arial"/>
          <w:sz w:val="22"/>
          <w:lang w:val="es-ES"/>
        </w:rPr>
        <w:t xml:space="preserve"> </w:t>
      </w:r>
      <w:r w:rsidR="003A5D70" w:rsidRPr="00217435">
        <w:rPr>
          <w:rFonts w:ascii="Arial" w:eastAsia="Arial" w:hAnsi="Arial" w:cs="Arial"/>
          <w:sz w:val="22"/>
          <w:lang w:val="es-ES"/>
        </w:rPr>
        <w:t>t</w:t>
      </w:r>
      <w:r w:rsidRPr="00217435">
        <w:rPr>
          <w:rFonts w:ascii="Arial" w:eastAsia="Arial" w:hAnsi="Arial" w:cs="Arial"/>
          <w:sz w:val="22"/>
          <w:lang w:val="es-ES"/>
        </w:rPr>
        <w:t xml:space="preserve">ransparencia el </w:t>
      </w:r>
      <w:r w:rsidR="003A5D70" w:rsidRPr="00217435">
        <w:rPr>
          <w:rFonts w:ascii="Arial" w:eastAsia="Arial" w:hAnsi="Arial" w:cs="Arial"/>
          <w:sz w:val="22"/>
          <w:lang w:val="es-ES"/>
        </w:rPr>
        <w:t>d</w:t>
      </w:r>
      <w:r w:rsidRPr="00217435">
        <w:rPr>
          <w:rFonts w:ascii="Arial" w:eastAsia="Arial" w:hAnsi="Arial" w:cs="Arial"/>
          <w:sz w:val="22"/>
          <w:lang w:val="es-ES"/>
        </w:rPr>
        <w:t xml:space="preserve">erecho de </w:t>
      </w:r>
      <w:r w:rsidR="003A5D70" w:rsidRPr="00217435">
        <w:rPr>
          <w:rFonts w:ascii="Arial" w:eastAsia="Arial" w:hAnsi="Arial" w:cs="Arial"/>
          <w:sz w:val="22"/>
          <w:lang w:val="es-ES"/>
        </w:rPr>
        <w:t>a</w:t>
      </w:r>
      <w:r w:rsidRPr="00217435">
        <w:rPr>
          <w:rFonts w:ascii="Arial" w:eastAsia="Arial" w:hAnsi="Arial" w:cs="Arial"/>
          <w:sz w:val="22"/>
          <w:lang w:val="es-ES"/>
        </w:rPr>
        <w:t xml:space="preserve">cceso a la </w:t>
      </w:r>
      <w:r w:rsidR="003A5D70" w:rsidRPr="00217435">
        <w:rPr>
          <w:rFonts w:ascii="Arial" w:eastAsia="Arial" w:hAnsi="Arial" w:cs="Arial"/>
          <w:sz w:val="22"/>
          <w:lang w:val="es-ES"/>
        </w:rPr>
        <w:t>i</w:t>
      </w:r>
      <w:r w:rsidRPr="00217435">
        <w:rPr>
          <w:rFonts w:ascii="Arial" w:eastAsia="Arial" w:hAnsi="Arial" w:cs="Arial"/>
          <w:sz w:val="22"/>
          <w:lang w:val="es-ES"/>
        </w:rPr>
        <w:t xml:space="preserve">nformación </w:t>
      </w:r>
      <w:r w:rsidR="003A5D70" w:rsidRPr="00217435">
        <w:rPr>
          <w:rFonts w:ascii="Arial" w:eastAsia="Arial" w:hAnsi="Arial" w:cs="Arial"/>
          <w:sz w:val="22"/>
          <w:lang w:val="es-ES"/>
        </w:rPr>
        <w:t>p</w:t>
      </w:r>
      <w:r w:rsidRPr="00217435">
        <w:rPr>
          <w:rFonts w:ascii="Arial" w:eastAsia="Arial" w:hAnsi="Arial" w:cs="Arial"/>
          <w:sz w:val="22"/>
          <w:lang w:val="es-ES"/>
        </w:rPr>
        <w:t xml:space="preserve">ública </w:t>
      </w:r>
      <w:r w:rsidR="003A5D70" w:rsidRPr="00217435">
        <w:rPr>
          <w:rFonts w:ascii="Arial" w:eastAsia="Arial" w:hAnsi="Arial" w:cs="Arial"/>
          <w:sz w:val="22"/>
          <w:lang w:val="es-ES"/>
        </w:rPr>
        <w:t>n</w:t>
      </w:r>
      <w:r w:rsidRPr="00217435">
        <w:rPr>
          <w:rFonts w:ascii="Arial" w:eastAsia="Arial" w:hAnsi="Arial" w:cs="Arial"/>
          <w:sz w:val="22"/>
          <w:lang w:val="es-ES"/>
        </w:rPr>
        <w:t>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217435">
        <w:rPr>
          <w:rFonts w:ascii="Arial" w:eastAsia="Arial" w:hAnsi="Arial" w:cs="Arial"/>
          <w:sz w:val="22"/>
          <w:vertAlign w:val="superscript"/>
          <w:lang w:val="es-ES"/>
        </w:rPr>
        <w:footnoteReference w:id="6"/>
      </w:r>
      <w:r w:rsidRPr="00217435">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4966511B" w14:textId="70D17D50" w:rsidR="00783AEB" w:rsidRPr="00217435" w:rsidRDefault="00783AEB" w:rsidP="00783AEB">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La ley citada establece, en el literal e) del artículo 9, que los sujetos obligados, que son todas las entidades públicas</w:t>
      </w:r>
      <w:r w:rsidRPr="00217435">
        <w:rPr>
          <w:rFonts w:ascii="Arial" w:eastAsia="Arial" w:hAnsi="Arial" w:cs="Arial"/>
          <w:sz w:val="22"/>
          <w:vertAlign w:val="superscript"/>
          <w:lang w:val="es-ES"/>
        </w:rPr>
        <w:footnoteReference w:id="7"/>
      </w:r>
      <w:r w:rsidRPr="00217435">
        <w:rPr>
          <w:rFonts w:ascii="Arial" w:eastAsia="Arial" w:hAnsi="Arial" w:cs="Arial"/>
          <w:sz w:val="22"/>
          <w:lang w:val="es-ES"/>
        </w:rPr>
        <w:t xml:space="preserve">, deben publicar la información relativa a su contratación. Esta obligación </w:t>
      </w:r>
      <w:proofErr w:type="gramStart"/>
      <w:r w:rsidRPr="00217435">
        <w:rPr>
          <w:rFonts w:ascii="Arial" w:eastAsia="Arial" w:hAnsi="Arial" w:cs="Arial"/>
          <w:sz w:val="22"/>
          <w:lang w:val="es-ES"/>
        </w:rPr>
        <w:t xml:space="preserve">fue </w:t>
      </w:r>
      <w:r w:rsidR="00114C08" w:rsidRPr="00217435">
        <w:rPr>
          <w:rFonts w:ascii="Arial" w:eastAsia="Arial" w:hAnsi="Arial" w:cs="Arial"/>
          <w:sz w:val="22"/>
          <w:lang w:val="es-ES"/>
        </w:rPr>
        <w:t xml:space="preserve"> en</w:t>
      </w:r>
      <w:proofErr w:type="gramEnd"/>
      <w:r w:rsidR="00114C08" w:rsidRPr="00217435">
        <w:rPr>
          <w:rFonts w:ascii="Arial" w:eastAsia="Arial" w:hAnsi="Arial" w:cs="Arial"/>
          <w:sz w:val="22"/>
          <w:lang w:val="es-ES"/>
        </w:rPr>
        <w:t xml:space="preserve"> principio </w:t>
      </w:r>
      <w:r w:rsidRPr="00217435">
        <w:rPr>
          <w:rFonts w:ascii="Arial" w:eastAsia="Arial" w:hAnsi="Arial" w:cs="Arial"/>
          <w:sz w:val="22"/>
          <w:lang w:val="es-ES"/>
        </w:rPr>
        <w:t>desarrollada por el</w:t>
      </w:r>
      <w:r w:rsidR="00114C08" w:rsidRPr="00217435">
        <w:rPr>
          <w:rFonts w:ascii="Arial" w:eastAsia="Arial" w:hAnsi="Arial" w:cs="Arial"/>
          <w:sz w:val="22"/>
          <w:lang w:val="es-ES"/>
        </w:rPr>
        <w:t xml:space="preserve">  Decreto 103 de 2015, hoy compilado en el</w:t>
      </w:r>
      <w:r w:rsidRPr="00217435">
        <w:rPr>
          <w:rFonts w:ascii="Arial" w:eastAsia="Arial" w:hAnsi="Arial" w:cs="Arial"/>
          <w:sz w:val="22"/>
          <w:lang w:val="es-ES"/>
        </w:rPr>
        <w:t xml:space="preserve"> Decreto Único Reglamentario 1081 de 2015</w:t>
      </w:r>
      <w:r w:rsidRPr="00217435">
        <w:rPr>
          <w:rFonts w:ascii="Arial" w:eastAsia="Arial" w:hAnsi="Arial" w:cs="Arial"/>
          <w:sz w:val="22"/>
          <w:vertAlign w:val="superscript"/>
          <w:lang w:val="es-ES"/>
        </w:rPr>
        <w:footnoteReference w:id="8"/>
      </w:r>
      <w:r w:rsidRPr="00217435">
        <w:rPr>
          <w:rFonts w:ascii="Arial" w:eastAsia="Arial" w:hAnsi="Arial" w:cs="Arial"/>
          <w:sz w:val="22"/>
          <w:lang w:val="es-ES"/>
        </w:rPr>
        <w:t xml:space="preserve">, el cual dispuso que la publicación de la información contractual de los sujetos obligados, que contratan con cargo a recursos públicos, debe hacerse en el Sistema Electrónico de Contratación Pública </w:t>
      </w:r>
      <w:r w:rsidR="003A5D70" w:rsidRPr="00217435">
        <w:rPr>
          <w:rFonts w:ascii="Arial" w:eastAsia="Arial" w:hAnsi="Arial" w:cs="Arial"/>
          <w:sz w:val="22"/>
          <w:lang w:val="es-ES"/>
        </w:rPr>
        <w:t>–</w:t>
      </w:r>
      <w:r w:rsidRPr="00217435">
        <w:rPr>
          <w:rFonts w:ascii="Arial" w:eastAsia="Arial" w:hAnsi="Arial" w:cs="Arial"/>
          <w:sz w:val="22"/>
          <w:lang w:val="es-ES"/>
        </w:rPr>
        <w:t>SECOP</w:t>
      </w:r>
      <w:r w:rsidR="003A5D70" w:rsidRPr="00217435">
        <w:rPr>
          <w:rFonts w:ascii="Arial" w:eastAsia="Arial" w:hAnsi="Arial" w:cs="Arial"/>
          <w:sz w:val="22"/>
          <w:lang w:val="es-ES"/>
        </w:rPr>
        <w:t>–</w:t>
      </w:r>
      <w:r w:rsidRPr="00217435">
        <w:rPr>
          <w:rFonts w:ascii="Arial" w:eastAsia="Arial" w:hAnsi="Arial" w:cs="Arial"/>
          <w:sz w:val="22"/>
          <w:lang w:val="es-ES"/>
        </w:rPr>
        <w:t>.</w:t>
      </w:r>
    </w:p>
    <w:p w14:paraId="754258CA" w14:textId="5DD4D5A7" w:rsidR="00783AEB" w:rsidRPr="00217435" w:rsidRDefault="00783AEB" w:rsidP="00783AEB">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0D553160" w14:textId="6B4AC74E" w:rsidR="00783AEB" w:rsidRPr="00217435" w:rsidRDefault="00783AEB" w:rsidP="00783AEB">
      <w:pPr>
        <w:widowControl w:val="0"/>
        <w:tabs>
          <w:tab w:val="left" w:pos="728"/>
        </w:tabs>
        <w:autoSpaceDE w:val="0"/>
        <w:autoSpaceDN w:val="0"/>
        <w:spacing w:after="120" w:line="276" w:lineRule="auto"/>
        <w:jc w:val="both"/>
        <w:rPr>
          <w:rFonts w:ascii="Arial" w:eastAsia="Arial" w:hAnsi="Arial" w:cs="Arial"/>
          <w:sz w:val="22"/>
          <w:lang w:val="es-ES"/>
        </w:rPr>
      </w:pPr>
      <w:r w:rsidRPr="00217435">
        <w:rPr>
          <w:rFonts w:ascii="Arial" w:eastAsia="Arial" w:hAnsi="Arial" w:cs="Arial"/>
          <w:sz w:val="22"/>
          <w:lang w:val="es-ES"/>
        </w:rPr>
        <w:tab/>
        <w:t xml:space="preserve">El derecho de acceso a la información pública o de interés público permite a toda persona, sin necesidad de acreditar calidad, interés o condición particular, conocer la existencia de información pública, acceder a la misma y difundirla o publicarla, según su </w:t>
      </w:r>
      <w:r w:rsidRPr="00217435">
        <w:rPr>
          <w:rFonts w:ascii="Arial" w:eastAsia="Arial" w:hAnsi="Arial" w:cs="Arial"/>
          <w:sz w:val="22"/>
          <w:lang w:val="es-ES"/>
        </w:rPr>
        <w:lastRenderedPageBreak/>
        <w:t>interés</w:t>
      </w:r>
      <w:r w:rsidRPr="00217435">
        <w:rPr>
          <w:rFonts w:ascii="Arial" w:eastAsia="Arial" w:hAnsi="Arial" w:cs="Arial"/>
          <w:sz w:val="22"/>
          <w:vertAlign w:val="superscript"/>
          <w:lang w:val="es-ES"/>
        </w:rPr>
        <w:footnoteReference w:id="9"/>
      </w:r>
      <w:r w:rsidRPr="00217435">
        <w:rPr>
          <w:rFonts w:ascii="Arial" w:eastAsia="Arial" w:hAnsi="Arial" w:cs="Arial"/>
          <w:sz w:val="22"/>
          <w:lang w:val="es-ES"/>
        </w:rPr>
        <w:t>.</w:t>
      </w:r>
    </w:p>
    <w:p w14:paraId="70F4FC58" w14:textId="015C6D4F" w:rsidR="001952FD" w:rsidRPr="00217435" w:rsidRDefault="00783AEB" w:rsidP="007C17F4">
      <w:pPr>
        <w:widowControl w:val="0"/>
        <w:tabs>
          <w:tab w:val="left" w:pos="728"/>
        </w:tabs>
        <w:autoSpaceDE w:val="0"/>
        <w:autoSpaceDN w:val="0"/>
        <w:spacing w:line="276" w:lineRule="auto"/>
        <w:jc w:val="both"/>
        <w:rPr>
          <w:rFonts w:ascii="Arial" w:hAnsi="Arial" w:cs="Arial"/>
          <w:sz w:val="22"/>
          <w:lang w:val="es-ES"/>
        </w:rPr>
      </w:pPr>
      <w:r w:rsidRPr="00217435">
        <w:rPr>
          <w:rFonts w:ascii="Arial" w:eastAsia="Arial" w:hAnsi="Arial" w:cs="Arial"/>
          <w:sz w:val="22"/>
          <w:lang w:val="es-ES"/>
        </w:rPr>
        <w:tab/>
      </w:r>
      <w:r w:rsidR="00C9745F" w:rsidRPr="00217435">
        <w:rPr>
          <w:rFonts w:ascii="Arial" w:hAnsi="Arial" w:cs="Arial"/>
          <w:sz w:val="22"/>
          <w:lang w:val="es-ES"/>
        </w:rPr>
        <w:t xml:space="preserve"> </w:t>
      </w:r>
      <w:r w:rsidR="001952FD" w:rsidRPr="00217435">
        <w:rPr>
          <w:rFonts w:ascii="Arial" w:hAnsi="Arial" w:cs="Arial"/>
          <w:sz w:val="22"/>
          <w:lang w:val="es-ES"/>
        </w:rPr>
        <w:t>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001952FD" w:rsidRPr="00217435">
        <w:rPr>
          <w:rFonts w:ascii="Arial" w:hAnsi="Arial" w:cs="Arial"/>
          <w:sz w:val="22"/>
          <w:vertAlign w:val="superscript"/>
          <w:lang w:val="es-ES"/>
        </w:rPr>
        <w:footnoteReference w:id="10"/>
      </w:r>
      <w:r w:rsidR="00BA0A73" w:rsidRPr="00217435">
        <w:rPr>
          <w:rFonts w:ascii="Arial" w:hAnsi="Arial" w:cs="Arial"/>
          <w:sz w:val="22"/>
          <w:lang w:val="es-ES"/>
        </w:rPr>
        <w:t xml:space="preserve">, </w:t>
      </w:r>
      <w:r w:rsidR="001952FD" w:rsidRPr="00217435">
        <w:rPr>
          <w:rFonts w:ascii="Arial" w:hAnsi="Arial" w:cs="Arial"/>
          <w:sz w:val="22"/>
          <w:lang w:val="es-ES"/>
        </w:rPr>
        <w:t xml:space="preserve"> lo </w:t>
      </w:r>
      <w:r w:rsidR="00C9745F" w:rsidRPr="00217435">
        <w:rPr>
          <w:rFonts w:ascii="Arial" w:hAnsi="Arial" w:cs="Arial"/>
          <w:sz w:val="22"/>
          <w:lang w:val="es-ES"/>
        </w:rPr>
        <w:t>que</w:t>
      </w:r>
      <w:r w:rsidR="001952FD" w:rsidRPr="00217435">
        <w:rPr>
          <w:rFonts w:ascii="Arial" w:hAnsi="Arial" w:cs="Arial"/>
          <w:sz w:val="22"/>
          <w:lang w:val="es-ES"/>
        </w:rPr>
        <w:t xml:space="preserve"> permite controlar las actuaciones y decisiones de la Administración y el cumplimiento de los demás principios de la contratación pública. Así lo confirma el Consejo de Estado, analizando el principio de publicidad:</w:t>
      </w:r>
    </w:p>
    <w:p w14:paraId="4109A33E" w14:textId="5021C616" w:rsidR="001952FD" w:rsidRPr="00217435" w:rsidRDefault="001952FD" w:rsidP="001952FD">
      <w:pPr>
        <w:spacing w:after="120"/>
        <w:ind w:left="709" w:right="709"/>
        <w:jc w:val="both"/>
        <w:rPr>
          <w:rFonts w:ascii="Arial" w:hAnsi="Arial" w:cs="Arial"/>
          <w:sz w:val="21"/>
          <w:szCs w:val="21"/>
          <w:lang w:val="es-ES"/>
        </w:rPr>
      </w:pPr>
    </w:p>
    <w:p w14:paraId="66765440" w14:textId="0FAB7DE6" w:rsidR="001952FD" w:rsidRPr="00217435" w:rsidRDefault="001952FD" w:rsidP="0088551C">
      <w:pPr>
        <w:ind w:left="709" w:right="709"/>
        <w:jc w:val="both"/>
        <w:rPr>
          <w:rFonts w:ascii="Arial" w:hAnsi="Arial" w:cs="Arial"/>
          <w:sz w:val="21"/>
          <w:szCs w:val="21"/>
          <w:lang w:val="es-ES"/>
        </w:rPr>
      </w:pPr>
      <w:r w:rsidRPr="00217435">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398B22C1" w14:textId="77777777" w:rsidR="001952FD" w:rsidRPr="00217435" w:rsidRDefault="001952FD" w:rsidP="001952FD">
      <w:pPr>
        <w:spacing w:after="120"/>
        <w:ind w:left="709" w:right="709"/>
        <w:jc w:val="both"/>
        <w:rPr>
          <w:rFonts w:ascii="Arial" w:hAnsi="Arial" w:cs="Arial"/>
          <w:sz w:val="21"/>
          <w:szCs w:val="21"/>
          <w:lang w:val="es-ES"/>
        </w:rPr>
      </w:pPr>
    </w:p>
    <w:p w14:paraId="44E8CDF6" w14:textId="32AD3305" w:rsidR="001952FD" w:rsidRPr="00217435" w:rsidRDefault="001952FD" w:rsidP="0088551C">
      <w:pPr>
        <w:ind w:left="709" w:right="709"/>
        <w:jc w:val="both"/>
        <w:rPr>
          <w:rFonts w:ascii="Arial" w:hAnsi="Arial" w:cs="Arial"/>
          <w:sz w:val="21"/>
          <w:szCs w:val="21"/>
          <w:lang w:val="es-ES"/>
        </w:rPr>
      </w:pPr>
      <w:r w:rsidRPr="00217435">
        <w:rPr>
          <w:rFonts w:ascii="Arial"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217435">
        <w:rPr>
          <w:rFonts w:ascii="Arial" w:hAnsi="Arial" w:cs="Arial"/>
          <w:sz w:val="21"/>
          <w:szCs w:val="21"/>
          <w:lang w:val="es-ES"/>
        </w:rPr>
        <w:t>ibídem</w:t>
      </w:r>
      <w:proofErr w:type="spellEnd"/>
      <w:r w:rsidRPr="00217435">
        <w:rPr>
          <w:rFonts w:ascii="Arial" w:hAnsi="Arial" w:cs="Arial"/>
          <w:sz w:val="21"/>
          <w:szCs w:val="21"/>
          <w:lang w:val="es-ES"/>
        </w:rPr>
        <w:t xml:space="preserve"> en armonía con el artículo 273 de la Constitución Política).</w:t>
      </w:r>
    </w:p>
    <w:p w14:paraId="51BE0383" w14:textId="77777777" w:rsidR="001952FD" w:rsidRPr="00217435" w:rsidRDefault="001952FD" w:rsidP="001952FD">
      <w:pPr>
        <w:spacing w:after="120"/>
        <w:ind w:left="709" w:right="709"/>
        <w:jc w:val="both"/>
        <w:rPr>
          <w:rFonts w:ascii="Arial" w:hAnsi="Arial" w:cs="Arial"/>
          <w:sz w:val="21"/>
          <w:szCs w:val="21"/>
          <w:lang w:val="es-ES"/>
        </w:rPr>
      </w:pPr>
    </w:p>
    <w:p w14:paraId="4AFFEC76" w14:textId="29C11B15" w:rsidR="001952FD" w:rsidRPr="00217435" w:rsidRDefault="001952FD" w:rsidP="001952FD">
      <w:pPr>
        <w:spacing w:after="120"/>
        <w:ind w:left="709" w:right="709"/>
        <w:jc w:val="both"/>
        <w:rPr>
          <w:rFonts w:ascii="Arial" w:hAnsi="Arial" w:cs="Arial"/>
          <w:sz w:val="21"/>
          <w:szCs w:val="21"/>
          <w:lang w:val="es-ES"/>
        </w:rPr>
      </w:pPr>
      <w:r w:rsidRPr="00217435">
        <w:rPr>
          <w:rFonts w:ascii="Arial" w:hAnsi="Arial" w:cs="Arial"/>
          <w:sz w:val="21"/>
          <w:szCs w:val="21"/>
          <w:lang w:val="es-ES"/>
        </w:rPr>
        <w:t xml:space="preserve">Este principio-deber también se traduce en el correlativo derecho de los interesados de enterarse de esas actuaciones de la administración, pedir por parte de quien demuestre un interés legítimo información y solicitar las copias </w:t>
      </w:r>
      <w:r w:rsidRPr="00217435">
        <w:rPr>
          <w:rFonts w:ascii="Arial" w:hAnsi="Arial" w:cs="Arial"/>
          <w:sz w:val="21"/>
          <w:szCs w:val="21"/>
          <w:lang w:val="es-ES"/>
        </w:rPr>
        <w:lastRenderedPageBreak/>
        <w:t>de los documentos que la integran, con sujeción a la reserva de ley (art. 23 y 74 de la C.P., No. 4 del artículo 24 de la Ley 80 de 1993, entre otros)</w:t>
      </w:r>
      <w:r w:rsidRPr="00217435">
        <w:rPr>
          <w:rFonts w:ascii="Arial" w:hAnsi="Arial" w:cs="Arial"/>
          <w:sz w:val="21"/>
          <w:szCs w:val="21"/>
          <w:vertAlign w:val="superscript"/>
          <w:lang w:val="es-ES"/>
        </w:rPr>
        <w:footnoteReference w:id="11"/>
      </w:r>
      <w:r w:rsidRPr="00217435">
        <w:rPr>
          <w:rFonts w:ascii="Arial" w:hAnsi="Arial" w:cs="Arial"/>
          <w:sz w:val="21"/>
          <w:szCs w:val="21"/>
          <w:lang w:val="es-ES"/>
        </w:rPr>
        <w:t>.</w:t>
      </w:r>
    </w:p>
    <w:p w14:paraId="7038CDB7" w14:textId="77777777" w:rsidR="001952FD" w:rsidRPr="00217435" w:rsidRDefault="001952FD" w:rsidP="001952FD">
      <w:pPr>
        <w:spacing w:after="120"/>
        <w:ind w:left="709" w:right="709"/>
        <w:jc w:val="both"/>
        <w:rPr>
          <w:rFonts w:ascii="Arial" w:hAnsi="Arial" w:cs="Arial"/>
          <w:sz w:val="21"/>
          <w:szCs w:val="21"/>
          <w:lang w:val="es-ES"/>
        </w:rPr>
      </w:pPr>
    </w:p>
    <w:p w14:paraId="63683EC6" w14:textId="10A3B51B" w:rsidR="001952FD" w:rsidRPr="00217435" w:rsidRDefault="001952FD" w:rsidP="001952FD">
      <w:pPr>
        <w:spacing w:after="120" w:line="276" w:lineRule="auto"/>
        <w:ind w:firstLine="709"/>
        <w:jc w:val="both"/>
        <w:rPr>
          <w:rFonts w:ascii="Arial" w:hAnsi="Arial" w:cs="Arial"/>
          <w:sz w:val="22"/>
          <w:lang w:val="es-ES"/>
        </w:rPr>
      </w:pPr>
      <w:r w:rsidRPr="00217435">
        <w:rPr>
          <w:rFonts w:ascii="Arial" w:hAnsi="Arial" w:cs="Arial"/>
          <w:sz w:val="22"/>
          <w:lang w:val="es-ES"/>
        </w:rPr>
        <w:t>De acuerdo con esto, las entidades deben cumplir con el principio de publicidad respecto de su actividad contractual como garantía para los administrados, para conocer las actuaciones y participar en el control de estas</w:t>
      </w:r>
      <w:r w:rsidR="00C9745F" w:rsidRPr="00217435">
        <w:rPr>
          <w:rFonts w:ascii="Arial" w:hAnsi="Arial" w:cs="Arial"/>
          <w:sz w:val="22"/>
          <w:lang w:val="es-ES"/>
        </w:rPr>
        <w:t>, siendo</w:t>
      </w:r>
      <w:r w:rsidRPr="00217435">
        <w:rPr>
          <w:rFonts w:ascii="Arial" w:hAnsi="Arial" w:cs="Arial"/>
          <w:sz w:val="22"/>
          <w:lang w:val="es-ES"/>
        </w:rPr>
        <w:t xml:space="preserve"> el SECOP la herramienta que dispuso el Estado para que las entidades cumplan el principio de publicidad. </w:t>
      </w:r>
    </w:p>
    <w:p w14:paraId="4C1F8D41" w14:textId="357B9B25" w:rsidR="00F95277" w:rsidRPr="00217435" w:rsidRDefault="001952FD" w:rsidP="00F95277">
      <w:pPr>
        <w:spacing w:after="120" w:line="276" w:lineRule="auto"/>
        <w:ind w:firstLine="709"/>
        <w:jc w:val="both"/>
        <w:rPr>
          <w:rFonts w:ascii="Arial" w:hAnsi="Arial" w:cs="Arial"/>
          <w:sz w:val="22"/>
          <w:lang w:val="es-ES"/>
        </w:rPr>
      </w:pPr>
      <w:r w:rsidRPr="00217435">
        <w:rPr>
          <w:rFonts w:ascii="Arial" w:hAnsi="Arial" w:cs="Arial"/>
          <w:sz w:val="22"/>
          <w:lang w:val="es-ES"/>
        </w:rPr>
        <w:t>Conforme a lo anterior,</w:t>
      </w:r>
      <w:r w:rsidR="00F95277" w:rsidRPr="00217435">
        <w:rPr>
          <w:rFonts w:ascii="Arial" w:hAnsi="Arial" w:cs="Arial"/>
          <w:sz w:val="22"/>
          <w:lang w:val="es-ES"/>
        </w:rPr>
        <w:t xml:space="preserve"> la Agencia Nacional de Contratación Pública</w:t>
      </w:r>
      <w:r w:rsidR="00A013D8" w:rsidRPr="00217435">
        <w:rPr>
          <w:rFonts w:ascii="Arial" w:hAnsi="Arial" w:cs="Arial"/>
          <w:sz w:val="22"/>
          <w:lang w:val="es-ES"/>
        </w:rPr>
        <w:t xml:space="preserve"> – Colombia Compra Eficiente</w:t>
      </w:r>
      <w:r w:rsidR="00BA0A73" w:rsidRPr="00217435">
        <w:rPr>
          <w:rFonts w:ascii="Arial" w:hAnsi="Arial" w:cs="Arial"/>
          <w:sz w:val="22"/>
          <w:lang w:val="es-ES"/>
        </w:rPr>
        <w:t>,</w:t>
      </w:r>
      <w:r w:rsidR="00F95277" w:rsidRPr="00217435">
        <w:rPr>
          <w:rFonts w:ascii="Arial" w:hAnsi="Arial" w:cs="Arial"/>
          <w:sz w:val="22"/>
          <w:lang w:val="es-ES"/>
        </w:rPr>
        <w:t xml:space="preserve"> en el concepto de 4 de diciembre de 2019 –4201912000007289–, </w:t>
      </w:r>
      <w:r w:rsidR="00C9745F" w:rsidRPr="00217435">
        <w:rPr>
          <w:rFonts w:ascii="Arial" w:hAnsi="Arial" w:cs="Arial"/>
          <w:sz w:val="22"/>
          <w:lang w:val="es-ES"/>
        </w:rPr>
        <w:t xml:space="preserve">sostuvo que la disposición del artículo 3 de la Ley 1150 de </w:t>
      </w:r>
      <w:r w:rsidR="00830B56" w:rsidRPr="00217435">
        <w:rPr>
          <w:rFonts w:ascii="Arial" w:hAnsi="Arial" w:cs="Arial"/>
          <w:sz w:val="22"/>
          <w:lang w:val="es-ES"/>
        </w:rPr>
        <w:t>2007 debe</w:t>
      </w:r>
      <w:r w:rsidR="00F95277" w:rsidRPr="00217435">
        <w:rPr>
          <w:rFonts w:ascii="Arial" w:hAnsi="Arial" w:cs="Arial"/>
          <w:sz w:val="22"/>
          <w:lang w:val="es-ES"/>
        </w:rPr>
        <w:t xml:space="preserve"> armonizarse con lo dispuesto por el artículo 2.2.1.1.1.7.1. del Decreto 1082 de 2015 citado, donde se relacionan los documentos que se deben publicar en el SECOP, </w:t>
      </w:r>
      <w:r w:rsidR="00F37AA7" w:rsidRPr="00217435">
        <w:rPr>
          <w:rFonts w:ascii="Arial" w:hAnsi="Arial" w:cs="Arial"/>
          <w:sz w:val="22"/>
          <w:lang w:val="es-ES"/>
        </w:rPr>
        <w:t xml:space="preserve">como un </w:t>
      </w:r>
      <w:r w:rsidR="00F95277" w:rsidRPr="00217435">
        <w:rPr>
          <w:rFonts w:ascii="Arial" w:hAnsi="Arial" w:cs="Arial"/>
          <w:sz w:val="22"/>
          <w:lang w:val="es-ES"/>
        </w:rPr>
        <w:t>desarroll</w:t>
      </w:r>
      <w:r w:rsidR="00F37AA7" w:rsidRPr="00217435">
        <w:rPr>
          <w:rFonts w:ascii="Arial" w:hAnsi="Arial" w:cs="Arial"/>
          <w:sz w:val="22"/>
          <w:lang w:val="es-ES"/>
        </w:rPr>
        <w:t>o</w:t>
      </w:r>
      <w:r w:rsidR="00F95277" w:rsidRPr="00217435">
        <w:rPr>
          <w:rFonts w:ascii="Arial" w:hAnsi="Arial" w:cs="Arial"/>
          <w:sz w:val="22"/>
          <w:lang w:val="es-ES"/>
        </w:rPr>
        <w:t xml:space="preserve"> </w:t>
      </w:r>
      <w:r w:rsidR="00F37AA7" w:rsidRPr="00217435">
        <w:rPr>
          <w:rFonts w:ascii="Arial" w:hAnsi="Arial" w:cs="Arial"/>
          <w:sz w:val="22"/>
          <w:lang w:val="es-ES"/>
        </w:rPr>
        <w:t xml:space="preserve">de </w:t>
      </w:r>
      <w:r w:rsidR="00F95277" w:rsidRPr="00217435">
        <w:rPr>
          <w:rFonts w:ascii="Arial" w:hAnsi="Arial" w:cs="Arial"/>
          <w:sz w:val="22"/>
          <w:lang w:val="es-ES"/>
        </w:rPr>
        <w:t xml:space="preserve">los principios de transparencia y publicidad, </w:t>
      </w:r>
      <w:r w:rsidR="00F37AA7" w:rsidRPr="00217435">
        <w:rPr>
          <w:rFonts w:ascii="Arial" w:hAnsi="Arial" w:cs="Arial"/>
          <w:sz w:val="22"/>
          <w:lang w:val="es-ES"/>
        </w:rPr>
        <w:t xml:space="preserve">que busca </w:t>
      </w:r>
      <w:r w:rsidR="00F95277" w:rsidRPr="00217435">
        <w:rPr>
          <w:rFonts w:ascii="Arial" w:hAnsi="Arial" w:cs="Arial"/>
          <w:sz w:val="22"/>
          <w:lang w:val="es-ES"/>
        </w:rPr>
        <w:t>permitir</w:t>
      </w:r>
      <w:r w:rsidR="00BA0A73" w:rsidRPr="00217435">
        <w:rPr>
          <w:rFonts w:ascii="Arial" w:hAnsi="Arial" w:cs="Arial"/>
          <w:sz w:val="22"/>
          <w:lang w:val="es-ES"/>
        </w:rPr>
        <w:t>,</w:t>
      </w:r>
      <w:r w:rsidR="00F95277" w:rsidRPr="00217435">
        <w:rPr>
          <w:rFonts w:ascii="Arial" w:hAnsi="Arial" w:cs="Arial"/>
          <w:sz w:val="22"/>
          <w:lang w:val="es-ES"/>
        </w:rPr>
        <w:t xml:space="preserve"> mediante la publicación</w:t>
      </w:r>
      <w:r w:rsidR="00BA0A73" w:rsidRPr="00217435">
        <w:rPr>
          <w:rFonts w:ascii="Arial" w:hAnsi="Arial" w:cs="Arial"/>
          <w:sz w:val="22"/>
          <w:lang w:val="es-ES"/>
        </w:rPr>
        <w:t>,</w:t>
      </w:r>
      <w:r w:rsidR="00F37AA7" w:rsidRPr="00217435">
        <w:rPr>
          <w:rFonts w:ascii="Arial" w:hAnsi="Arial" w:cs="Arial"/>
          <w:sz w:val="22"/>
          <w:lang w:val="es-ES"/>
        </w:rPr>
        <w:t xml:space="preserve"> que</w:t>
      </w:r>
      <w:r w:rsidR="00F95277" w:rsidRPr="00217435">
        <w:rPr>
          <w:rFonts w:ascii="Arial" w:hAnsi="Arial" w:cs="Arial"/>
          <w:sz w:val="22"/>
          <w:lang w:val="es-ES"/>
        </w:rPr>
        <w:t xml:space="preserve"> la ciudadanía pueda conocer la actividad contractual de las entidades, </w:t>
      </w:r>
      <w:r w:rsidR="00F37AA7" w:rsidRPr="00217435">
        <w:rPr>
          <w:rFonts w:ascii="Arial" w:hAnsi="Arial" w:cs="Arial"/>
          <w:sz w:val="22"/>
          <w:lang w:val="es-ES"/>
        </w:rPr>
        <w:t>comoquiera que tales</w:t>
      </w:r>
      <w:r w:rsidR="00F95277" w:rsidRPr="00217435">
        <w:rPr>
          <w:rFonts w:ascii="Arial" w:hAnsi="Arial" w:cs="Arial"/>
          <w:sz w:val="22"/>
          <w:lang w:val="es-ES"/>
        </w:rPr>
        <w:t xml:space="preserve"> documento</w:t>
      </w:r>
      <w:r w:rsidR="00F37AA7" w:rsidRPr="00217435">
        <w:rPr>
          <w:rFonts w:ascii="Arial" w:hAnsi="Arial" w:cs="Arial"/>
          <w:sz w:val="22"/>
          <w:lang w:val="es-ES"/>
        </w:rPr>
        <w:t>s</w:t>
      </w:r>
      <w:r w:rsidR="00F95277" w:rsidRPr="00217435">
        <w:rPr>
          <w:rFonts w:ascii="Arial" w:hAnsi="Arial" w:cs="Arial"/>
          <w:sz w:val="22"/>
          <w:lang w:val="es-ES"/>
        </w:rPr>
        <w:t xml:space="preserve"> da</w:t>
      </w:r>
      <w:r w:rsidR="00F37AA7" w:rsidRPr="00217435">
        <w:rPr>
          <w:rFonts w:ascii="Arial" w:hAnsi="Arial" w:cs="Arial"/>
          <w:sz w:val="22"/>
          <w:lang w:val="es-ES"/>
        </w:rPr>
        <w:t>n</w:t>
      </w:r>
      <w:r w:rsidR="00F95277" w:rsidRPr="00217435">
        <w:rPr>
          <w:rFonts w:ascii="Arial" w:hAnsi="Arial" w:cs="Arial"/>
          <w:sz w:val="22"/>
          <w:lang w:val="es-ES"/>
        </w:rPr>
        <w:t xml:space="preserve"> cuenta de las decisiones de la Administración pública en beneficio del interés </w:t>
      </w:r>
      <w:proofErr w:type="gramStart"/>
      <w:r w:rsidR="00F95277" w:rsidRPr="00217435">
        <w:rPr>
          <w:rFonts w:ascii="Arial" w:hAnsi="Arial" w:cs="Arial"/>
          <w:sz w:val="22"/>
          <w:lang w:val="es-ES"/>
        </w:rPr>
        <w:t>general</w:t>
      </w:r>
      <w:r w:rsidR="00F37AA7" w:rsidRPr="00217435">
        <w:rPr>
          <w:rFonts w:ascii="Arial" w:hAnsi="Arial" w:cs="Arial"/>
          <w:sz w:val="22"/>
          <w:lang w:val="es-ES"/>
        </w:rPr>
        <w:t xml:space="preserve">  y</w:t>
      </w:r>
      <w:proofErr w:type="gramEnd"/>
      <w:r w:rsidR="00F37AA7" w:rsidRPr="00217435">
        <w:rPr>
          <w:rFonts w:ascii="Arial" w:hAnsi="Arial" w:cs="Arial"/>
          <w:sz w:val="22"/>
          <w:lang w:val="es-ES"/>
        </w:rPr>
        <w:t xml:space="preserve"> que por tanto incumben a la ciudadanía. </w:t>
      </w:r>
      <w:r w:rsidR="00F95277" w:rsidRPr="00217435">
        <w:rPr>
          <w:rFonts w:ascii="Arial" w:hAnsi="Arial" w:cs="Arial"/>
          <w:sz w:val="22"/>
          <w:lang w:val="es-ES"/>
        </w:rPr>
        <w:t xml:space="preserve"> </w:t>
      </w:r>
    </w:p>
    <w:p w14:paraId="78DC6D89" w14:textId="51DB2C2E" w:rsidR="003A0D3D" w:rsidRPr="00217435" w:rsidRDefault="003A0D3D" w:rsidP="00764838">
      <w:pPr>
        <w:spacing w:line="276" w:lineRule="auto"/>
        <w:ind w:firstLine="709"/>
        <w:jc w:val="both"/>
        <w:rPr>
          <w:rFonts w:ascii="Arial" w:hAnsi="Arial" w:cs="Arial"/>
          <w:sz w:val="22"/>
          <w:lang w:val="es-ES"/>
        </w:rPr>
      </w:pPr>
      <w:r w:rsidRPr="00217435">
        <w:rPr>
          <w:rFonts w:ascii="Arial" w:hAnsi="Arial" w:cs="Arial"/>
          <w:sz w:val="22"/>
          <w:lang w:val="es-ES"/>
        </w:rPr>
        <w:t xml:space="preserve"> </w:t>
      </w:r>
      <w:r w:rsidR="00C9745F" w:rsidRPr="00217435">
        <w:rPr>
          <w:rFonts w:ascii="Arial" w:hAnsi="Arial" w:cs="Arial"/>
          <w:sz w:val="22"/>
          <w:lang w:val="es-ES"/>
        </w:rPr>
        <w:t xml:space="preserve">En conclusión, </w:t>
      </w:r>
      <w:r w:rsidRPr="00217435">
        <w:rPr>
          <w:rFonts w:ascii="Arial" w:hAnsi="Arial" w:cs="Arial"/>
          <w:sz w:val="22"/>
          <w:lang w:val="es-ES"/>
        </w:rPr>
        <w:t>el artículo 3 de la Ley 1150 de 2007 desarrolla los principios de publicidad y transparencia de las actuaciones contractuales,</w:t>
      </w:r>
      <w:r w:rsidR="001C0184" w:rsidRPr="00217435">
        <w:rPr>
          <w:rFonts w:ascii="Arial" w:hAnsi="Arial" w:cs="Arial"/>
          <w:sz w:val="22"/>
          <w:lang w:val="es-ES"/>
        </w:rPr>
        <w:t xml:space="preserve"> del cual se desprende un de</w:t>
      </w:r>
      <w:r w:rsidR="003A5D70" w:rsidRPr="00217435">
        <w:rPr>
          <w:rFonts w:ascii="Arial" w:hAnsi="Arial" w:cs="Arial"/>
          <w:sz w:val="22"/>
          <w:lang w:val="es-ES"/>
        </w:rPr>
        <w:t>ber de</w:t>
      </w:r>
      <w:r w:rsidR="001C0184" w:rsidRPr="00217435">
        <w:rPr>
          <w:rFonts w:ascii="Arial" w:hAnsi="Arial" w:cs="Arial"/>
          <w:sz w:val="22"/>
          <w:lang w:val="es-ES"/>
        </w:rPr>
        <w:t xml:space="preserve"> publicar las actuaciones contractuales</w:t>
      </w:r>
      <w:r w:rsidR="003A5D70" w:rsidRPr="00217435">
        <w:rPr>
          <w:rFonts w:ascii="Arial" w:hAnsi="Arial" w:cs="Arial"/>
          <w:sz w:val="22"/>
          <w:lang w:val="es-ES"/>
        </w:rPr>
        <w:t>,</w:t>
      </w:r>
      <w:r w:rsidRPr="00217435">
        <w:rPr>
          <w:rFonts w:ascii="Arial" w:hAnsi="Arial" w:cs="Arial"/>
          <w:sz w:val="22"/>
          <w:lang w:val="es-ES"/>
        </w:rPr>
        <w:t xml:space="preserve"> el</w:t>
      </w:r>
      <w:r w:rsidR="001C0184" w:rsidRPr="00217435">
        <w:rPr>
          <w:rFonts w:ascii="Arial" w:hAnsi="Arial" w:cs="Arial"/>
          <w:sz w:val="22"/>
          <w:lang w:val="es-ES"/>
        </w:rPr>
        <w:t xml:space="preserve"> cual</w:t>
      </w:r>
      <w:r w:rsidRPr="00217435">
        <w:rPr>
          <w:rFonts w:ascii="Arial" w:hAnsi="Arial" w:cs="Arial"/>
          <w:sz w:val="22"/>
          <w:lang w:val="es-ES"/>
        </w:rPr>
        <w:t xml:space="preserve"> implica </w:t>
      </w:r>
      <w:r w:rsidR="001C0184" w:rsidRPr="00217435">
        <w:rPr>
          <w:rFonts w:ascii="Arial" w:hAnsi="Arial" w:cs="Arial"/>
          <w:sz w:val="22"/>
          <w:lang w:val="es-ES"/>
        </w:rPr>
        <w:t>que</w:t>
      </w:r>
      <w:r w:rsidRPr="00217435">
        <w:rPr>
          <w:rFonts w:ascii="Arial" w:hAnsi="Arial" w:cs="Arial"/>
          <w:sz w:val="22"/>
          <w:lang w:val="es-ES"/>
        </w:rPr>
        <w:t xml:space="preserve"> todas las entidades estatales,</w:t>
      </w:r>
      <w:r w:rsidR="003A5D70" w:rsidRPr="00217435">
        <w:rPr>
          <w:rFonts w:ascii="Arial" w:hAnsi="Arial" w:cs="Arial"/>
          <w:sz w:val="22"/>
          <w:lang w:val="es-ES"/>
        </w:rPr>
        <w:t xml:space="preserve"> publiquen los documentos en los que se evidencia el desarrollo de sus procesos de contratación,</w:t>
      </w:r>
      <w:r w:rsidRPr="00217435">
        <w:rPr>
          <w:rFonts w:ascii="Arial" w:hAnsi="Arial" w:cs="Arial"/>
          <w:sz w:val="22"/>
          <w:lang w:val="es-ES"/>
        </w:rPr>
        <w:t xml:space="preserve"> </w:t>
      </w:r>
      <w:r w:rsidR="001C0184" w:rsidRPr="00217435">
        <w:rPr>
          <w:rFonts w:ascii="Arial" w:hAnsi="Arial" w:cs="Arial"/>
          <w:sz w:val="22"/>
          <w:lang w:val="es-ES"/>
        </w:rPr>
        <w:t>esto comoquiera que el</w:t>
      </w:r>
      <w:r w:rsidRPr="00217435">
        <w:rPr>
          <w:rFonts w:ascii="Arial" w:hAnsi="Arial" w:cs="Arial"/>
          <w:sz w:val="22"/>
          <w:lang w:val="es-ES"/>
        </w:rPr>
        <w:t xml:space="preserve"> objetivo </w:t>
      </w:r>
      <w:r w:rsidR="001C0184" w:rsidRPr="00217435">
        <w:rPr>
          <w:rFonts w:ascii="Arial" w:hAnsi="Arial" w:cs="Arial"/>
          <w:sz w:val="22"/>
          <w:lang w:val="es-ES"/>
        </w:rPr>
        <w:t>del deber de dar publicidad a las actuaciones contractuales es materializar el</w:t>
      </w:r>
      <w:r w:rsidRPr="00217435">
        <w:rPr>
          <w:rFonts w:ascii="Arial" w:hAnsi="Arial" w:cs="Arial"/>
          <w:sz w:val="22"/>
          <w:lang w:val="es-ES"/>
        </w:rPr>
        <w:t xml:space="preserve"> derecho a conocer </w:t>
      </w:r>
      <w:r w:rsidR="001C0184" w:rsidRPr="00217435">
        <w:rPr>
          <w:rFonts w:ascii="Arial" w:hAnsi="Arial" w:cs="Arial"/>
          <w:sz w:val="22"/>
          <w:lang w:val="es-ES"/>
        </w:rPr>
        <w:t xml:space="preserve">e intervenir de </w:t>
      </w:r>
      <w:r w:rsidRPr="00217435">
        <w:rPr>
          <w:rFonts w:ascii="Arial" w:hAnsi="Arial" w:cs="Arial"/>
          <w:sz w:val="22"/>
          <w:lang w:val="es-ES"/>
        </w:rPr>
        <w:t xml:space="preserve">las decisiones de la Administración </w:t>
      </w:r>
      <w:r w:rsidR="001C0184" w:rsidRPr="00217435">
        <w:rPr>
          <w:rFonts w:ascii="Arial" w:hAnsi="Arial" w:cs="Arial"/>
          <w:sz w:val="22"/>
          <w:lang w:val="es-ES"/>
        </w:rPr>
        <w:t>P</w:t>
      </w:r>
      <w:r w:rsidRPr="00217435">
        <w:rPr>
          <w:rFonts w:ascii="Arial" w:hAnsi="Arial" w:cs="Arial"/>
          <w:sz w:val="22"/>
          <w:lang w:val="es-ES"/>
        </w:rPr>
        <w:t>ública.</w:t>
      </w:r>
    </w:p>
    <w:p w14:paraId="59C5DECC" w14:textId="7B41E846" w:rsidR="00C4125C" w:rsidRDefault="00C4125C" w:rsidP="00E15059">
      <w:pPr>
        <w:spacing w:line="276" w:lineRule="auto"/>
        <w:jc w:val="both"/>
        <w:rPr>
          <w:rFonts w:ascii="Arial" w:eastAsia="Calibri" w:hAnsi="Arial" w:cs="Arial"/>
          <w:b/>
          <w:bCs/>
          <w:sz w:val="22"/>
          <w:lang w:val="es-ES"/>
        </w:rPr>
      </w:pPr>
    </w:p>
    <w:p w14:paraId="2A78D18C" w14:textId="77777777" w:rsidR="002F3095" w:rsidRPr="00217435" w:rsidRDefault="002F3095" w:rsidP="00E15059">
      <w:pPr>
        <w:spacing w:line="276" w:lineRule="auto"/>
        <w:jc w:val="both"/>
        <w:rPr>
          <w:rFonts w:ascii="Arial" w:eastAsia="Calibri" w:hAnsi="Arial" w:cs="Arial"/>
          <w:b/>
          <w:bCs/>
          <w:sz w:val="22"/>
          <w:lang w:val="es-ES"/>
        </w:rPr>
      </w:pPr>
    </w:p>
    <w:p w14:paraId="089F77D6" w14:textId="0C316749" w:rsidR="00E15059" w:rsidRPr="00217435" w:rsidRDefault="00E15059" w:rsidP="00E15059">
      <w:pPr>
        <w:spacing w:line="276" w:lineRule="auto"/>
        <w:jc w:val="both"/>
        <w:rPr>
          <w:rFonts w:ascii="Arial" w:eastAsia="Calibri" w:hAnsi="Arial" w:cs="Arial"/>
          <w:b/>
          <w:sz w:val="22"/>
          <w:lang w:val="es-ES"/>
        </w:rPr>
      </w:pPr>
      <w:r w:rsidRPr="00217435">
        <w:rPr>
          <w:rFonts w:ascii="Arial" w:eastAsia="Calibri" w:hAnsi="Arial" w:cs="Arial"/>
          <w:b/>
          <w:bCs/>
          <w:sz w:val="22"/>
          <w:lang w:val="es-ES"/>
        </w:rPr>
        <w:t>2.</w:t>
      </w:r>
      <w:r w:rsidR="001C0184" w:rsidRPr="00217435">
        <w:rPr>
          <w:rFonts w:ascii="Arial" w:eastAsia="Calibri" w:hAnsi="Arial" w:cs="Arial"/>
          <w:b/>
          <w:bCs/>
          <w:sz w:val="22"/>
          <w:lang w:val="es-ES"/>
        </w:rPr>
        <w:t>2</w:t>
      </w:r>
      <w:r w:rsidR="005F46B6" w:rsidRPr="00217435">
        <w:rPr>
          <w:rFonts w:ascii="Arial" w:eastAsia="Calibri" w:hAnsi="Arial" w:cs="Arial"/>
          <w:b/>
          <w:bCs/>
          <w:sz w:val="22"/>
          <w:lang w:val="es-ES"/>
        </w:rPr>
        <w:t>.</w:t>
      </w:r>
      <w:r w:rsidRPr="00217435">
        <w:rPr>
          <w:rFonts w:ascii="Arial" w:eastAsia="Calibri" w:hAnsi="Arial" w:cs="Arial"/>
          <w:b/>
          <w:bCs/>
          <w:sz w:val="22"/>
          <w:lang w:val="es-ES"/>
        </w:rPr>
        <w:t xml:space="preserve"> </w:t>
      </w:r>
      <w:r w:rsidRPr="00217435">
        <w:rPr>
          <w:rFonts w:ascii="Arial" w:eastAsia="Calibri" w:hAnsi="Arial" w:cs="Arial"/>
          <w:b/>
          <w:sz w:val="22"/>
          <w:lang w:val="es-ES"/>
        </w:rPr>
        <w:t>Procedimientos contractuales</w:t>
      </w:r>
      <w:r w:rsidR="009E6D63" w:rsidRPr="00217435">
        <w:rPr>
          <w:rFonts w:ascii="Arial" w:eastAsia="Calibri" w:hAnsi="Arial" w:cs="Arial"/>
          <w:b/>
          <w:sz w:val="22"/>
          <w:lang w:val="es-ES"/>
        </w:rPr>
        <w:t>,</w:t>
      </w:r>
      <w:r w:rsidRPr="00217435">
        <w:rPr>
          <w:rFonts w:ascii="Arial" w:eastAsia="Calibri" w:hAnsi="Arial" w:cs="Arial"/>
          <w:b/>
          <w:sz w:val="22"/>
          <w:lang w:val="es-ES"/>
        </w:rPr>
        <w:t xml:space="preserve"> publicidad</w:t>
      </w:r>
      <w:r w:rsidR="009E6D63" w:rsidRPr="00217435">
        <w:rPr>
          <w:rFonts w:ascii="Arial" w:eastAsia="Calibri" w:hAnsi="Arial" w:cs="Arial"/>
          <w:b/>
          <w:sz w:val="22"/>
          <w:lang w:val="es-ES"/>
        </w:rPr>
        <w:t xml:space="preserve"> y documentos </w:t>
      </w:r>
      <w:r w:rsidR="00830B56" w:rsidRPr="00217435">
        <w:rPr>
          <w:rFonts w:ascii="Arial" w:eastAsia="Calibri" w:hAnsi="Arial" w:cs="Arial"/>
          <w:b/>
          <w:sz w:val="22"/>
          <w:lang w:val="es-ES"/>
        </w:rPr>
        <w:t>que deben</w:t>
      </w:r>
      <w:r w:rsidR="009E6D63" w:rsidRPr="00217435">
        <w:rPr>
          <w:rFonts w:ascii="Arial" w:eastAsia="Calibri" w:hAnsi="Arial" w:cs="Arial"/>
          <w:b/>
          <w:sz w:val="22"/>
          <w:lang w:val="es-ES"/>
        </w:rPr>
        <w:t xml:space="preserve"> publicar en el SECOP</w:t>
      </w:r>
      <w:r w:rsidR="00FC7B7C" w:rsidRPr="00217435">
        <w:rPr>
          <w:rFonts w:ascii="Arial" w:eastAsia="Calibri" w:hAnsi="Arial" w:cs="Arial"/>
          <w:b/>
          <w:sz w:val="22"/>
          <w:lang w:val="es-ES"/>
        </w:rPr>
        <w:t xml:space="preserve"> I</w:t>
      </w:r>
      <w:r w:rsidR="00084E3D" w:rsidRPr="00217435">
        <w:rPr>
          <w:rFonts w:ascii="Arial" w:eastAsia="Calibri" w:hAnsi="Arial" w:cs="Arial"/>
          <w:b/>
          <w:sz w:val="22"/>
          <w:lang w:val="es-ES"/>
        </w:rPr>
        <w:t xml:space="preserve"> las entidades estatales sometidas al Estatuto General de </w:t>
      </w:r>
      <w:r w:rsidR="00BC4B52" w:rsidRPr="00217435">
        <w:rPr>
          <w:rFonts w:ascii="Arial" w:eastAsia="Calibri" w:hAnsi="Arial" w:cs="Arial"/>
          <w:b/>
          <w:sz w:val="22"/>
          <w:lang w:val="es-ES"/>
        </w:rPr>
        <w:t>C</w:t>
      </w:r>
      <w:r w:rsidR="00084E3D" w:rsidRPr="00217435">
        <w:rPr>
          <w:rFonts w:ascii="Arial" w:eastAsia="Calibri" w:hAnsi="Arial" w:cs="Arial"/>
          <w:b/>
          <w:sz w:val="22"/>
          <w:lang w:val="es-ES"/>
        </w:rPr>
        <w:t>ontratación de la Administración Pública</w:t>
      </w:r>
    </w:p>
    <w:p w14:paraId="68C510A0" w14:textId="60ED918B" w:rsidR="00E15059" w:rsidRPr="00217435" w:rsidRDefault="00E15059" w:rsidP="00E15059">
      <w:pPr>
        <w:spacing w:line="276" w:lineRule="auto"/>
        <w:ind w:left="360"/>
        <w:contextualSpacing/>
        <w:jc w:val="both"/>
        <w:rPr>
          <w:rFonts w:ascii="Arial" w:hAnsi="Arial" w:cs="Arial"/>
          <w:b/>
          <w:sz w:val="22"/>
          <w:lang w:val="es-ES"/>
        </w:rPr>
      </w:pPr>
    </w:p>
    <w:p w14:paraId="69DEF576" w14:textId="74EF9F3A" w:rsidR="009E6D63" w:rsidRPr="00217435" w:rsidRDefault="009E6D63" w:rsidP="009E6D63">
      <w:pPr>
        <w:spacing w:line="276" w:lineRule="auto"/>
        <w:contextualSpacing/>
        <w:jc w:val="both"/>
        <w:rPr>
          <w:rFonts w:ascii="Arial" w:hAnsi="Arial" w:cs="Arial"/>
          <w:sz w:val="22"/>
          <w:lang w:val="es-ES"/>
        </w:rPr>
      </w:pPr>
      <w:r w:rsidRPr="00217435">
        <w:rPr>
          <w:rFonts w:ascii="Arial" w:hAnsi="Arial" w:cs="Arial"/>
          <w:sz w:val="22"/>
          <w:lang w:val="es-ES"/>
        </w:rPr>
        <w:t>La Agencia Nacional de Contratación Pública ― Colombia Compra Eficiente, en el concepto con radicado No. 4201912000007253 del 4 de diciembre de 2019, reiterado en el concepto con radicado No. 4201912000007289 de la misma fecha,</w:t>
      </w:r>
      <w:r w:rsidR="00530E56" w:rsidRPr="00217435">
        <w:rPr>
          <w:rFonts w:ascii="Arial" w:hAnsi="Arial" w:cs="Arial"/>
          <w:sz w:val="22"/>
          <w:lang w:val="es-ES"/>
        </w:rPr>
        <w:t xml:space="preserve"> </w:t>
      </w:r>
      <w:r w:rsidRPr="00217435">
        <w:rPr>
          <w:rFonts w:ascii="Arial" w:hAnsi="Arial" w:cs="Arial"/>
          <w:sz w:val="22"/>
          <w:lang w:val="es-ES"/>
        </w:rPr>
        <w:t>estudió la publicidad de los procedimientos contractuales de las entidades en el SECOP</w:t>
      </w:r>
      <w:r w:rsidR="006E1CF3" w:rsidRPr="00217435">
        <w:rPr>
          <w:rFonts w:ascii="Arial" w:hAnsi="Arial" w:cs="Arial"/>
          <w:sz w:val="22"/>
          <w:lang w:val="es-ES"/>
        </w:rPr>
        <w:t xml:space="preserve"> I, respecto de entidades </w:t>
      </w:r>
      <w:r w:rsidR="006E1CF3" w:rsidRPr="00217435">
        <w:rPr>
          <w:rFonts w:ascii="Arial" w:hAnsi="Arial" w:cs="Arial"/>
          <w:sz w:val="22"/>
          <w:lang w:val="es-ES"/>
        </w:rPr>
        <w:lastRenderedPageBreak/>
        <w:t>regidas por el Estatuto General de Contratación de la Administración Pública</w:t>
      </w:r>
      <w:r w:rsidRPr="00217435">
        <w:rPr>
          <w:rFonts w:ascii="Arial" w:hAnsi="Arial" w:cs="Arial"/>
          <w:sz w:val="22"/>
          <w:lang w:val="es-ES"/>
        </w:rPr>
        <w:t>. La tesis desarrollada se expone</w:t>
      </w:r>
      <w:r w:rsidR="00A3629B">
        <w:rPr>
          <w:rFonts w:ascii="Arial" w:hAnsi="Arial" w:cs="Arial"/>
          <w:sz w:val="22"/>
          <w:lang w:val="es-ES"/>
        </w:rPr>
        <w:t xml:space="preserve"> y complementa</w:t>
      </w:r>
      <w:r w:rsidRPr="00217435">
        <w:rPr>
          <w:rFonts w:ascii="Arial" w:hAnsi="Arial" w:cs="Arial"/>
          <w:sz w:val="22"/>
          <w:lang w:val="es-ES"/>
        </w:rPr>
        <w:t xml:space="preserve"> a continuación</w:t>
      </w:r>
      <w:r w:rsidR="00553D40" w:rsidRPr="00217435">
        <w:rPr>
          <w:rStyle w:val="Refdenotaalpie"/>
          <w:rFonts w:ascii="Arial" w:hAnsi="Arial" w:cs="Arial"/>
          <w:sz w:val="22"/>
          <w:lang w:val="es-ES"/>
        </w:rPr>
        <w:footnoteReference w:id="12"/>
      </w:r>
      <w:r w:rsidRPr="00217435">
        <w:rPr>
          <w:rFonts w:ascii="Arial" w:hAnsi="Arial" w:cs="Arial"/>
          <w:sz w:val="22"/>
          <w:lang w:val="es-ES"/>
        </w:rPr>
        <w:t>:</w:t>
      </w:r>
    </w:p>
    <w:p w14:paraId="27CCA990" w14:textId="6D9989C4" w:rsidR="009E6D63" w:rsidRPr="00217435" w:rsidRDefault="009E6D63" w:rsidP="009E6D63">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w:t>
      </w:r>
      <w:r w:rsidR="00830B56" w:rsidRPr="00217435">
        <w:rPr>
          <w:rFonts w:ascii="Arial" w:eastAsia="Calibri" w:hAnsi="Arial" w:cs="Arial"/>
          <w:sz w:val="22"/>
          <w:lang w:val="es-ES"/>
        </w:rPr>
        <w:t>1993</w:t>
      </w:r>
      <w:r w:rsidR="00BA0A73" w:rsidRPr="00217435">
        <w:rPr>
          <w:rFonts w:ascii="Arial" w:eastAsia="Calibri" w:hAnsi="Arial" w:cs="Arial"/>
          <w:sz w:val="22"/>
          <w:lang w:val="es-ES"/>
        </w:rPr>
        <w:t xml:space="preserve">, </w:t>
      </w:r>
      <w:r w:rsidRPr="00217435">
        <w:rPr>
          <w:rFonts w:ascii="Arial" w:eastAsia="Calibri" w:hAnsi="Arial" w:cs="Arial"/>
          <w:sz w:val="22"/>
          <w:lang w:val="es-ES"/>
        </w:rPr>
        <w:t xml:space="preserve">la Ley 1150 de </w:t>
      </w:r>
      <w:proofErr w:type="gramStart"/>
      <w:r w:rsidRPr="00217435">
        <w:rPr>
          <w:rFonts w:ascii="Arial" w:eastAsia="Calibri" w:hAnsi="Arial" w:cs="Arial"/>
          <w:sz w:val="22"/>
          <w:lang w:val="es-ES"/>
        </w:rPr>
        <w:t>2007</w:t>
      </w:r>
      <w:r w:rsidR="005503AB" w:rsidRPr="00217435">
        <w:rPr>
          <w:rFonts w:ascii="Arial" w:eastAsia="Calibri" w:hAnsi="Arial" w:cs="Arial"/>
          <w:sz w:val="22"/>
          <w:lang w:val="es-ES"/>
        </w:rPr>
        <w:t xml:space="preserve"> </w:t>
      </w:r>
      <w:r w:rsidR="00BA0A73" w:rsidRPr="00217435">
        <w:rPr>
          <w:rFonts w:ascii="Arial" w:eastAsia="Calibri" w:hAnsi="Arial" w:cs="Arial"/>
          <w:sz w:val="22"/>
          <w:lang w:val="es-ES"/>
        </w:rPr>
        <w:t xml:space="preserve"> ̶</w:t>
      </w:r>
      <w:proofErr w:type="gramEnd"/>
      <w:r w:rsidR="00BA0A73" w:rsidRPr="00217435">
        <w:rPr>
          <w:rFonts w:ascii="Arial" w:eastAsia="Calibri" w:hAnsi="Arial" w:cs="Arial"/>
          <w:sz w:val="22"/>
          <w:lang w:val="es-ES"/>
        </w:rPr>
        <w:t xml:space="preserve"> Estatuto General de Contratación de la Administración Pública ̶</w:t>
      </w:r>
      <w:r w:rsidRPr="00217435">
        <w:rPr>
          <w:rFonts w:ascii="Arial" w:eastAsia="Calibri" w:hAnsi="Arial" w:cs="Arial"/>
          <w:sz w:val="22"/>
          <w:lang w:val="es-ES"/>
        </w:rPr>
        <w:t xml:space="preserve"> </w:t>
      </w:r>
      <w:r w:rsidR="00851936" w:rsidRPr="00217435">
        <w:rPr>
          <w:rFonts w:ascii="Arial" w:eastAsia="Calibri" w:hAnsi="Arial" w:cs="Arial"/>
          <w:sz w:val="22"/>
          <w:lang w:val="es-ES"/>
        </w:rPr>
        <w:t xml:space="preserve"> </w:t>
      </w:r>
      <w:r w:rsidR="00BA0A73" w:rsidRPr="00217435">
        <w:rPr>
          <w:rFonts w:ascii="Arial" w:eastAsia="Calibri" w:hAnsi="Arial" w:cs="Arial"/>
          <w:sz w:val="22"/>
          <w:lang w:val="es-ES"/>
        </w:rPr>
        <w:t xml:space="preserve">y el Decreto 1082 de 2015, </w:t>
      </w:r>
      <w:r w:rsidRPr="00217435">
        <w:rPr>
          <w:rFonts w:ascii="Arial" w:eastAsia="Calibri" w:hAnsi="Arial" w:cs="Arial"/>
          <w:sz w:val="22"/>
          <w:lang w:val="es-ES"/>
        </w:rPr>
        <w:t>que es reglamentario y concreta cada modalidad de selección, señalando las reglas o pasos a seguir para celebrar el contrato estatal</w:t>
      </w:r>
      <w:r w:rsidRPr="00217435">
        <w:rPr>
          <w:rFonts w:ascii="Arial" w:eastAsia="Calibri" w:hAnsi="Arial" w:cs="Arial"/>
          <w:sz w:val="22"/>
          <w:vertAlign w:val="superscript"/>
          <w:lang w:val="es-ES"/>
        </w:rPr>
        <w:footnoteReference w:id="13"/>
      </w:r>
      <w:r w:rsidRPr="00217435">
        <w:rPr>
          <w:rFonts w:ascii="Arial" w:eastAsia="Calibri" w:hAnsi="Arial" w:cs="Arial"/>
          <w:sz w:val="22"/>
          <w:lang w:val="es-ES"/>
        </w:rPr>
        <w:t>. Por consiguiente, para que los documentos de la actividad contractual se conozcan la entidad debe publicarlos, sin importar la modalidad de selección</w:t>
      </w:r>
      <w:r w:rsidR="00BA0A73" w:rsidRPr="00217435">
        <w:rPr>
          <w:rFonts w:ascii="Arial" w:eastAsia="Calibri" w:hAnsi="Arial" w:cs="Arial"/>
          <w:sz w:val="22"/>
          <w:lang w:val="es-ES"/>
        </w:rPr>
        <w:t>.</w:t>
      </w:r>
    </w:p>
    <w:p w14:paraId="28AFEF08" w14:textId="6290F922" w:rsidR="00E15059" w:rsidRPr="00217435" w:rsidRDefault="00E15059" w:rsidP="009E6D63">
      <w:pPr>
        <w:widowControl w:val="0"/>
        <w:autoSpaceDE w:val="0"/>
        <w:autoSpaceDN w:val="0"/>
        <w:spacing w:line="276" w:lineRule="auto"/>
        <w:ind w:right="49" w:firstLine="708"/>
        <w:jc w:val="both"/>
        <w:rPr>
          <w:rFonts w:ascii="Arial" w:eastAsia="Arial" w:hAnsi="Arial" w:cs="Arial"/>
          <w:sz w:val="22"/>
          <w:lang w:val="es-ES"/>
        </w:rPr>
      </w:pPr>
      <w:r w:rsidRPr="00217435">
        <w:rPr>
          <w:rFonts w:ascii="Arial" w:eastAsia="Arial" w:hAnsi="Arial" w:cs="Arial"/>
          <w:sz w:val="22"/>
          <w:lang w:val="es-ES"/>
        </w:rPr>
        <w:t>El artículo 3 de la Ley 1150 de 2007 señala que los actos relacionados con los procedimientos de contratación de las entidades estatales pueden ser electrónicos, al igual que su publicidad, por lo que el Gobierno nacional debe defini</w:t>
      </w:r>
      <w:r w:rsidR="00553D40" w:rsidRPr="00217435">
        <w:rPr>
          <w:rFonts w:ascii="Arial" w:eastAsia="Arial" w:hAnsi="Arial" w:cs="Arial"/>
          <w:sz w:val="22"/>
          <w:lang w:val="es-ES"/>
        </w:rPr>
        <w:t>r</w:t>
      </w:r>
      <w:r w:rsidR="00B474A3" w:rsidRPr="00217435">
        <w:rPr>
          <w:rFonts w:ascii="Arial" w:eastAsia="Arial" w:hAnsi="Arial" w:cs="Arial"/>
          <w:sz w:val="22"/>
          <w:lang w:val="es-ES"/>
        </w:rPr>
        <w:t xml:space="preserve"> los medios para desarrolla dicha publicida</w:t>
      </w:r>
      <w:r w:rsidR="00777DA2" w:rsidRPr="00217435">
        <w:rPr>
          <w:rFonts w:ascii="Arial" w:eastAsia="Arial" w:hAnsi="Arial" w:cs="Arial"/>
          <w:sz w:val="22"/>
          <w:lang w:val="es-ES"/>
        </w:rPr>
        <w:t>d</w:t>
      </w:r>
      <w:r w:rsidRPr="00217435">
        <w:rPr>
          <w:rFonts w:ascii="Arial" w:eastAsia="Arial" w:hAnsi="Arial" w:cs="Arial"/>
          <w:sz w:val="22"/>
          <w:lang w:val="es-ES"/>
        </w:rPr>
        <w:t>, y tiene la obligación de desarrollar el SECOP</w:t>
      </w:r>
      <w:r w:rsidRPr="00217435">
        <w:rPr>
          <w:rFonts w:ascii="Arial" w:eastAsia="Arial" w:hAnsi="Arial" w:cs="Arial"/>
          <w:sz w:val="22"/>
          <w:vertAlign w:val="superscript"/>
          <w:lang w:val="es-ES"/>
        </w:rPr>
        <w:footnoteReference w:id="14"/>
      </w:r>
      <w:r w:rsidRPr="00217435">
        <w:rPr>
          <w:rFonts w:ascii="Arial" w:eastAsia="Arial" w:hAnsi="Arial" w:cs="Arial"/>
          <w:sz w:val="22"/>
          <w:lang w:val="es-ES"/>
        </w:rPr>
        <w:t xml:space="preserve">. Este sistema debe contar </w:t>
      </w:r>
      <w:r w:rsidRPr="00217435">
        <w:rPr>
          <w:rFonts w:ascii="Arial" w:eastAsia="Arial" w:hAnsi="Arial" w:cs="Arial"/>
          <w:sz w:val="22"/>
          <w:lang w:val="es-ES"/>
        </w:rPr>
        <w:lastRenderedPageBreak/>
        <w:t xml:space="preserve">con la información oficial de los procedimientos contractuales de las entidades, de lo cual será la única fuente, </w:t>
      </w:r>
      <w:r w:rsidR="00777DA2" w:rsidRPr="00217435">
        <w:rPr>
          <w:rFonts w:ascii="Arial" w:eastAsia="Arial" w:hAnsi="Arial" w:cs="Arial"/>
          <w:sz w:val="22"/>
          <w:lang w:val="es-ES"/>
        </w:rPr>
        <w:t xml:space="preserve">que </w:t>
      </w:r>
      <w:r w:rsidR="00A3629B">
        <w:rPr>
          <w:rFonts w:ascii="Arial" w:eastAsia="Arial" w:hAnsi="Arial" w:cs="Arial"/>
          <w:sz w:val="22"/>
          <w:lang w:val="es-ES"/>
        </w:rPr>
        <w:t xml:space="preserve">al </w:t>
      </w:r>
      <w:r w:rsidR="00851936" w:rsidRPr="00217435">
        <w:rPr>
          <w:rFonts w:ascii="Arial" w:eastAsia="Arial" w:hAnsi="Arial" w:cs="Arial"/>
          <w:sz w:val="22"/>
          <w:lang w:val="es-ES"/>
        </w:rPr>
        <w:t>ser de</w:t>
      </w:r>
      <w:r w:rsidR="00777DA2" w:rsidRPr="00217435">
        <w:rPr>
          <w:rFonts w:ascii="Arial" w:eastAsia="Arial" w:hAnsi="Arial" w:cs="Arial"/>
          <w:sz w:val="22"/>
          <w:lang w:val="es-ES"/>
        </w:rPr>
        <w:t xml:space="preserve"> </w:t>
      </w:r>
      <w:r w:rsidR="00764838" w:rsidRPr="00217435">
        <w:rPr>
          <w:rFonts w:ascii="Arial" w:eastAsia="Arial" w:hAnsi="Arial" w:cs="Arial"/>
          <w:sz w:val="22"/>
          <w:lang w:val="es-ES"/>
        </w:rPr>
        <w:t>interés</w:t>
      </w:r>
      <w:r w:rsidR="00777DA2" w:rsidRPr="00217435">
        <w:rPr>
          <w:rFonts w:ascii="Arial" w:eastAsia="Arial" w:hAnsi="Arial" w:cs="Arial"/>
          <w:sz w:val="22"/>
          <w:lang w:val="es-ES"/>
        </w:rPr>
        <w:t xml:space="preserve"> público ameritan su conocimiento por parte de </w:t>
      </w:r>
      <w:r w:rsidRPr="00217435">
        <w:rPr>
          <w:rFonts w:ascii="Arial" w:eastAsia="Arial" w:hAnsi="Arial" w:cs="Arial"/>
          <w:sz w:val="22"/>
          <w:lang w:val="es-ES"/>
        </w:rPr>
        <w:t>la ciudadanía</w:t>
      </w:r>
      <w:r w:rsidR="00777DA2" w:rsidRPr="00217435">
        <w:rPr>
          <w:rFonts w:ascii="Arial" w:eastAsia="Arial" w:hAnsi="Arial" w:cs="Arial"/>
          <w:sz w:val="22"/>
          <w:lang w:val="es-ES"/>
        </w:rPr>
        <w:t xml:space="preserve">, más </w:t>
      </w:r>
      <w:r w:rsidR="00851936" w:rsidRPr="00217435">
        <w:rPr>
          <w:rFonts w:ascii="Arial" w:eastAsia="Arial" w:hAnsi="Arial" w:cs="Arial"/>
          <w:sz w:val="22"/>
          <w:lang w:val="es-ES"/>
        </w:rPr>
        <w:t>aún</w:t>
      </w:r>
      <w:r w:rsidR="00777DA2" w:rsidRPr="00217435">
        <w:rPr>
          <w:rFonts w:ascii="Arial" w:eastAsia="Arial" w:hAnsi="Arial" w:cs="Arial"/>
          <w:sz w:val="22"/>
          <w:lang w:val="es-ES"/>
        </w:rPr>
        <w:t xml:space="preserve"> cuando involucra</w:t>
      </w:r>
      <w:r w:rsidR="00851936" w:rsidRPr="00217435">
        <w:rPr>
          <w:rFonts w:ascii="Arial" w:eastAsia="Arial" w:hAnsi="Arial" w:cs="Arial"/>
          <w:sz w:val="22"/>
          <w:lang w:val="es-ES"/>
        </w:rPr>
        <w:t>n</w:t>
      </w:r>
      <w:r w:rsidR="00777DA2" w:rsidRPr="00217435">
        <w:rPr>
          <w:rFonts w:ascii="Arial" w:eastAsia="Arial" w:hAnsi="Arial" w:cs="Arial"/>
          <w:sz w:val="22"/>
          <w:lang w:val="es-ES"/>
        </w:rPr>
        <w:t xml:space="preserve"> la</w:t>
      </w:r>
      <w:r w:rsidR="00764838" w:rsidRPr="00217435">
        <w:rPr>
          <w:rFonts w:ascii="Arial" w:eastAsia="Arial" w:hAnsi="Arial" w:cs="Arial"/>
          <w:sz w:val="22"/>
          <w:lang w:val="es-ES"/>
        </w:rPr>
        <w:t xml:space="preserve"> </w:t>
      </w:r>
      <w:r w:rsidR="00777DA2" w:rsidRPr="00217435">
        <w:rPr>
          <w:rFonts w:ascii="Arial" w:eastAsia="Arial" w:hAnsi="Arial" w:cs="Arial"/>
          <w:sz w:val="22"/>
          <w:lang w:val="es-ES"/>
        </w:rPr>
        <w:t xml:space="preserve">inversión </w:t>
      </w:r>
      <w:r w:rsidR="00E722CB" w:rsidRPr="00217435">
        <w:rPr>
          <w:rFonts w:ascii="Arial" w:eastAsia="Arial" w:hAnsi="Arial" w:cs="Arial"/>
          <w:sz w:val="22"/>
          <w:lang w:val="es-ES"/>
        </w:rPr>
        <w:t>de recursos públicos</w:t>
      </w:r>
      <w:r w:rsidRPr="00217435">
        <w:rPr>
          <w:rFonts w:ascii="Arial" w:eastAsia="Arial" w:hAnsi="Arial" w:cs="Arial"/>
          <w:sz w:val="22"/>
          <w:lang w:val="es-ES"/>
        </w:rPr>
        <w:t xml:space="preserve"> </w:t>
      </w:r>
      <w:r w:rsidR="00E722CB" w:rsidRPr="00217435">
        <w:rPr>
          <w:rFonts w:ascii="Arial" w:eastAsia="Arial" w:hAnsi="Arial" w:cs="Arial"/>
          <w:sz w:val="22"/>
          <w:lang w:val="es-ES"/>
        </w:rPr>
        <w:t>y el correlativo</w:t>
      </w:r>
      <w:r w:rsidRPr="00217435">
        <w:rPr>
          <w:rFonts w:ascii="Arial" w:eastAsia="Arial" w:hAnsi="Arial" w:cs="Arial"/>
          <w:sz w:val="22"/>
          <w:lang w:val="es-ES"/>
        </w:rPr>
        <w:t xml:space="preserve"> derecho </w:t>
      </w:r>
      <w:r w:rsidR="00E722CB" w:rsidRPr="00217435">
        <w:rPr>
          <w:rFonts w:ascii="Arial" w:eastAsia="Arial" w:hAnsi="Arial" w:cs="Arial"/>
          <w:sz w:val="22"/>
          <w:lang w:val="es-ES"/>
        </w:rPr>
        <w:t>de la ciudadanía de</w:t>
      </w:r>
      <w:r w:rsidRPr="00217435">
        <w:rPr>
          <w:rFonts w:ascii="Arial" w:eastAsia="Arial" w:hAnsi="Arial" w:cs="Arial"/>
          <w:sz w:val="22"/>
          <w:lang w:val="es-ES"/>
        </w:rPr>
        <w:t xml:space="preserve"> conocer cómo se invierten y controlar que el objetivo sea la satisfacción de sus necesidades.</w:t>
      </w:r>
    </w:p>
    <w:p w14:paraId="588BFCE1" w14:textId="31C0AF57" w:rsidR="00E15059" w:rsidRPr="00217435" w:rsidRDefault="00E15059" w:rsidP="0049751F">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 xml:space="preserve">La norma citada genera un cambio en la contratación pública, </w:t>
      </w:r>
      <w:r w:rsidR="009F287F" w:rsidRPr="00217435">
        <w:rPr>
          <w:rFonts w:ascii="Arial" w:eastAsia="Arial" w:hAnsi="Arial" w:cs="Arial"/>
          <w:sz w:val="22"/>
          <w:lang w:val="es-ES"/>
        </w:rPr>
        <w:t>ámbito en el que</w:t>
      </w:r>
      <w:r w:rsidRPr="00217435">
        <w:rPr>
          <w:rFonts w:ascii="Arial" w:eastAsia="Arial" w:hAnsi="Arial" w:cs="Arial"/>
          <w:sz w:val="22"/>
          <w:lang w:val="es-ES"/>
        </w:rPr>
        <w:t xml:space="preserve"> las actuaciones de las entidades se realizaban por escrito y en papel, y ahora se crea un mecanismo eficiente que reduce costos</w:t>
      </w:r>
      <w:r w:rsidR="009F287F" w:rsidRPr="00217435">
        <w:rPr>
          <w:rFonts w:ascii="Arial" w:eastAsia="Arial" w:hAnsi="Arial" w:cs="Arial"/>
          <w:sz w:val="22"/>
          <w:lang w:val="es-ES"/>
        </w:rPr>
        <w:t>,</w:t>
      </w:r>
      <w:r w:rsidRPr="00217435">
        <w:rPr>
          <w:rFonts w:ascii="Arial" w:eastAsia="Arial" w:hAnsi="Arial" w:cs="Arial"/>
          <w:sz w:val="22"/>
          <w:lang w:val="es-ES"/>
        </w:rPr>
        <w:t xml:space="preserve"> para que se cumpla el principio de publicidad, como un deber de las </w:t>
      </w:r>
      <w:proofErr w:type="gramStart"/>
      <w:r w:rsidRPr="00217435">
        <w:rPr>
          <w:rFonts w:ascii="Arial" w:eastAsia="Arial" w:hAnsi="Arial" w:cs="Arial"/>
          <w:sz w:val="22"/>
          <w:lang w:val="es-ES"/>
        </w:rPr>
        <w:t>autoridades públicas</w:t>
      </w:r>
      <w:proofErr w:type="gramEnd"/>
      <w:r w:rsidRPr="00217435">
        <w:rPr>
          <w:rFonts w:ascii="Arial" w:eastAsia="Arial" w:hAnsi="Arial" w:cs="Arial"/>
          <w:sz w:val="22"/>
          <w:lang w:val="es-ES"/>
        </w:rPr>
        <w:t xml:space="preserve"> en el ejercicio de las funciones administrativas que la ley les otorga.</w:t>
      </w:r>
    </w:p>
    <w:p w14:paraId="0D712C61" w14:textId="3BDC2C6A" w:rsidR="00E15059" w:rsidRPr="00217435" w:rsidRDefault="00E15059" w:rsidP="0049751F">
      <w:pPr>
        <w:widowControl w:val="0"/>
        <w:autoSpaceDE w:val="0"/>
        <w:autoSpaceDN w:val="0"/>
        <w:spacing w:before="120" w:line="276" w:lineRule="auto"/>
        <w:ind w:right="306" w:firstLine="709"/>
        <w:jc w:val="both"/>
        <w:rPr>
          <w:rFonts w:ascii="Arial" w:eastAsia="Arial" w:hAnsi="Arial" w:cs="Arial"/>
          <w:sz w:val="22"/>
          <w:lang w:val="es-ES"/>
        </w:rPr>
      </w:pPr>
      <w:r w:rsidRPr="00217435">
        <w:rPr>
          <w:rFonts w:ascii="Arial" w:eastAsia="Arial" w:hAnsi="Arial" w:cs="Arial"/>
          <w:sz w:val="22"/>
          <w:lang w:val="es-ES"/>
        </w:rPr>
        <w:t>La Corte Constitucional, en la sentencia C-711 del 1</w:t>
      </w:r>
      <w:r w:rsidR="006105EA" w:rsidRPr="00217435">
        <w:rPr>
          <w:rFonts w:ascii="Arial" w:eastAsia="Arial" w:hAnsi="Arial" w:cs="Arial"/>
          <w:sz w:val="22"/>
          <w:lang w:val="es-ES"/>
        </w:rPr>
        <w:t>2</w:t>
      </w:r>
      <w:r w:rsidRPr="00217435">
        <w:rPr>
          <w:rFonts w:ascii="Arial" w:eastAsia="Arial" w:hAnsi="Arial" w:cs="Arial"/>
          <w:sz w:val="22"/>
          <w:lang w:val="es-ES"/>
        </w:rPr>
        <w:t xml:space="preserve"> de </w:t>
      </w:r>
      <w:r w:rsidR="006105EA" w:rsidRPr="00217435">
        <w:rPr>
          <w:rFonts w:ascii="Arial" w:eastAsia="Arial" w:hAnsi="Arial" w:cs="Arial"/>
          <w:sz w:val="22"/>
          <w:lang w:val="es-ES"/>
        </w:rPr>
        <w:t>septiembre</w:t>
      </w:r>
      <w:r w:rsidRPr="00217435">
        <w:rPr>
          <w:rFonts w:ascii="Arial" w:eastAsia="Arial" w:hAnsi="Arial" w:cs="Arial"/>
          <w:sz w:val="22"/>
          <w:lang w:val="es-ES"/>
        </w:rPr>
        <w:t xml:space="preserve"> de 2011, </w:t>
      </w:r>
      <w:r w:rsidR="006105EA" w:rsidRPr="00217435">
        <w:rPr>
          <w:rFonts w:ascii="Arial" w:eastAsia="Arial" w:hAnsi="Arial" w:cs="Arial"/>
          <w:sz w:val="22"/>
          <w:lang w:val="es-ES"/>
        </w:rPr>
        <w:t>con ponencia del Magistrado</w:t>
      </w:r>
      <w:r w:rsidRPr="00217435">
        <w:rPr>
          <w:rFonts w:ascii="Arial" w:eastAsia="Arial" w:hAnsi="Arial" w:cs="Arial"/>
          <w:sz w:val="22"/>
          <w:lang w:val="es-ES"/>
        </w:rPr>
        <w:t xml:space="preserve"> Mauricio Gonzále</w:t>
      </w:r>
      <w:r w:rsidR="00C4125C" w:rsidRPr="00217435">
        <w:rPr>
          <w:rFonts w:ascii="Arial" w:eastAsia="Arial" w:hAnsi="Arial" w:cs="Arial"/>
          <w:sz w:val="22"/>
          <w:lang w:val="es-ES"/>
        </w:rPr>
        <w:t>z</w:t>
      </w:r>
      <w:r w:rsidRPr="00217435">
        <w:rPr>
          <w:rFonts w:ascii="Arial" w:eastAsia="Arial" w:hAnsi="Arial" w:cs="Arial"/>
          <w:sz w:val="22"/>
          <w:lang w:val="es-ES"/>
        </w:rPr>
        <w:t xml:space="preserve"> Cuervo, hizo énfasis en la transición de la actividad contractual impresa que se publicaba en el Diario Único de Contratación, a una contratación pública electrónica desarrollada mediante el SECOP:</w:t>
      </w:r>
    </w:p>
    <w:p w14:paraId="49C03EEF" w14:textId="77777777" w:rsidR="00E15059" w:rsidRPr="00217435" w:rsidRDefault="00E15059" w:rsidP="00E15059">
      <w:pPr>
        <w:widowControl w:val="0"/>
        <w:autoSpaceDE w:val="0"/>
        <w:autoSpaceDN w:val="0"/>
        <w:rPr>
          <w:rFonts w:ascii="Arial" w:eastAsia="Arial" w:hAnsi="Arial" w:cs="Arial"/>
          <w:sz w:val="25"/>
          <w:lang w:val="es-ES"/>
        </w:rPr>
      </w:pPr>
    </w:p>
    <w:p w14:paraId="6F3B2B6A" w14:textId="23CA989F" w:rsidR="00E15059" w:rsidRPr="00217435" w:rsidRDefault="00E15059" w:rsidP="00B474A3">
      <w:pPr>
        <w:widowControl w:val="0"/>
        <w:autoSpaceDE w:val="0"/>
        <w:autoSpaceDN w:val="0"/>
        <w:ind w:left="709" w:right="709"/>
        <w:jc w:val="both"/>
        <w:rPr>
          <w:rFonts w:ascii="Arial" w:eastAsia="Arial" w:hAnsi="Arial" w:cs="Arial"/>
          <w:sz w:val="21"/>
          <w:lang w:val="es-ES"/>
        </w:rPr>
      </w:pPr>
      <w:r w:rsidRPr="00217435">
        <w:rPr>
          <w:rFonts w:ascii="Arial" w:eastAsia="Arial" w:hAnsi="Arial" w:cs="Arial"/>
          <w:sz w:val="21"/>
          <w:lang w:val="es-ES"/>
        </w:rPr>
        <w:t>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217435">
        <w:rPr>
          <w:rFonts w:ascii="Arial" w:eastAsia="Arial" w:hAnsi="Arial" w:cs="Arial"/>
          <w:spacing w:val="-6"/>
          <w:sz w:val="21"/>
          <w:lang w:val="es-ES"/>
        </w:rPr>
        <w:t xml:space="preserve"> </w:t>
      </w:r>
      <w:r w:rsidRPr="00217435">
        <w:rPr>
          <w:rFonts w:ascii="Arial" w:eastAsia="Arial" w:hAnsi="Arial" w:cs="Arial"/>
          <w:sz w:val="21"/>
          <w:lang w:val="es-ES"/>
        </w:rPr>
        <w:t>estatal.</w:t>
      </w:r>
    </w:p>
    <w:p w14:paraId="4BFD847B" w14:textId="77777777" w:rsidR="00E15059" w:rsidRPr="00217435" w:rsidRDefault="00E15059" w:rsidP="00B474A3">
      <w:pPr>
        <w:widowControl w:val="0"/>
        <w:autoSpaceDE w:val="0"/>
        <w:autoSpaceDN w:val="0"/>
        <w:spacing w:before="10"/>
        <w:ind w:left="709" w:right="709"/>
        <w:rPr>
          <w:rFonts w:ascii="Arial" w:eastAsia="Arial" w:hAnsi="Arial" w:cs="Arial"/>
          <w:sz w:val="20"/>
          <w:lang w:val="es-ES"/>
        </w:rPr>
      </w:pPr>
    </w:p>
    <w:p w14:paraId="57D05001" w14:textId="6E2E925A" w:rsidR="00E15059" w:rsidRPr="00217435" w:rsidRDefault="00E15059" w:rsidP="00B474A3">
      <w:pPr>
        <w:widowControl w:val="0"/>
        <w:autoSpaceDE w:val="0"/>
        <w:autoSpaceDN w:val="0"/>
        <w:spacing w:before="1"/>
        <w:ind w:left="709" w:right="709"/>
        <w:jc w:val="both"/>
        <w:rPr>
          <w:rFonts w:ascii="Arial" w:eastAsia="Arial" w:hAnsi="Arial" w:cs="Arial"/>
          <w:sz w:val="21"/>
          <w:lang w:val="es-ES"/>
        </w:rPr>
      </w:pPr>
      <w:r w:rsidRPr="00217435">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w:t>
      </w:r>
      <w:r w:rsidRPr="00217435">
        <w:rPr>
          <w:rFonts w:ascii="Arial" w:eastAsia="Arial" w:hAnsi="Arial" w:cs="Arial"/>
          <w:sz w:val="21"/>
          <w:lang w:val="es-ES"/>
        </w:rPr>
        <w:lastRenderedPageBreak/>
        <w:t xml:space="preserve">que les afectan. </w:t>
      </w:r>
      <w:r w:rsidRPr="00217435">
        <w:rPr>
          <w:rFonts w:ascii="Arial" w:eastAsia="Arial" w:hAnsi="Arial" w:cs="Arial"/>
          <w:spacing w:val="-3"/>
          <w:sz w:val="21"/>
          <w:lang w:val="es-ES"/>
        </w:rPr>
        <w:t xml:space="preserve">Y, </w:t>
      </w:r>
      <w:r w:rsidRPr="00217435">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217435">
        <w:rPr>
          <w:rFonts w:ascii="Arial" w:eastAsia="Arial" w:hAnsi="Arial" w:cs="Arial"/>
          <w:spacing w:val="-4"/>
          <w:sz w:val="21"/>
          <w:lang w:val="es-ES"/>
        </w:rPr>
        <w:t xml:space="preserve"> </w:t>
      </w:r>
      <w:r w:rsidRPr="00217435">
        <w:rPr>
          <w:rFonts w:ascii="Arial" w:eastAsia="Arial" w:hAnsi="Arial" w:cs="Arial"/>
          <w:sz w:val="21"/>
          <w:lang w:val="es-ES"/>
        </w:rPr>
        <w:t>ciudadanía.</w:t>
      </w:r>
    </w:p>
    <w:p w14:paraId="3F87E00E" w14:textId="77777777" w:rsidR="00E3688E" w:rsidRPr="00217435" w:rsidRDefault="00E3688E" w:rsidP="00E3688E">
      <w:pPr>
        <w:widowControl w:val="0"/>
        <w:autoSpaceDE w:val="0"/>
        <w:autoSpaceDN w:val="0"/>
        <w:spacing w:before="1" w:line="276" w:lineRule="auto"/>
        <w:ind w:right="307"/>
        <w:jc w:val="both"/>
        <w:rPr>
          <w:rFonts w:ascii="Arial" w:eastAsia="Arial" w:hAnsi="Arial" w:cs="Arial"/>
          <w:sz w:val="25"/>
          <w:lang w:val="es-ES"/>
        </w:rPr>
      </w:pPr>
    </w:p>
    <w:p w14:paraId="62D77F25" w14:textId="252C5750" w:rsidR="00FD6B72" w:rsidRPr="00217435" w:rsidRDefault="00FD6B72" w:rsidP="0021372A">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Ahora bien, las entidades estatales, conforme al artículo 2.2.1.1.1.7.1. del Decreto 1082 de 2015, </w:t>
      </w:r>
      <w:r w:rsidR="00BA0A73" w:rsidRPr="00217435">
        <w:rPr>
          <w:rFonts w:ascii="Arial" w:eastAsia="Arial" w:hAnsi="Arial" w:cs="Arial"/>
          <w:sz w:val="22"/>
          <w:lang w:val="es-ES"/>
        </w:rPr>
        <w:t xml:space="preserve">tienen </w:t>
      </w:r>
      <w:r w:rsidRPr="00217435">
        <w:rPr>
          <w:rFonts w:ascii="Arial" w:eastAsia="Arial" w:hAnsi="Arial" w:cs="Arial"/>
          <w:sz w:val="22"/>
          <w:lang w:val="es-ES"/>
        </w:rPr>
        <w:t xml:space="preserve">la obligación de publicar en el SECOP «[…] los Documentos del Proceso y los actos administrativos del Proceso de Contratación, dentro de los tres (3) días siguientes a su expedición […]». </w:t>
      </w:r>
    </w:p>
    <w:p w14:paraId="0035AA61" w14:textId="7B648D0D" w:rsidR="00FD6B72" w:rsidRPr="00217435" w:rsidRDefault="00FD6B72" w:rsidP="0021372A">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La expresión</w:t>
      </w:r>
      <w:r w:rsidR="0021372A" w:rsidRPr="00217435">
        <w:rPr>
          <w:rFonts w:ascii="Arial" w:eastAsia="Arial" w:hAnsi="Arial" w:cs="Arial"/>
          <w:sz w:val="22"/>
          <w:lang w:val="es-ES"/>
        </w:rPr>
        <w:t xml:space="preserve"> </w:t>
      </w:r>
      <w:r w:rsidR="0021372A" w:rsidRPr="00217435">
        <w:rPr>
          <w:rFonts w:ascii="Arial" w:eastAsia="Arial" w:hAnsi="Arial" w:cs="Arial"/>
          <w:i/>
          <w:iCs/>
          <w:sz w:val="22"/>
          <w:lang w:val="es-ES"/>
        </w:rPr>
        <w:t>D</w:t>
      </w:r>
      <w:r w:rsidRPr="00217435">
        <w:rPr>
          <w:rFonts w:ascii="Arial" w:eastAsia="Arial" w:hAnsi="Arial" w:cs="Arial"/>
          <w:i/>
          <w:iCs/>
          <w:sz w:val="22"/>
          <w:lang w:val="es-ES"/>
        </w:rPr>
        <w:t xml:space="preserve">ocumentos del </w:t>
      </w:r>
      <w:r w:rsidR="0021372A" w:rsidRPr="00217435">
        <w:rPr>
          <w:rFonts w:ascii="Arial" w:eastAsia="Arial" w:hAnsi="Arial" w:cs="Arial"/>
          <w:i/>
          <w:iCs/>
          <w:sz w:val="22"/>
          <w:lang w:val="es-ES"/>
        </w:rPr>
        <w:t>P</w:t>
      </w:r>
      <w:r w:rsidRPr="00217435">
        <w:rPr>
          <w:rFonts w:ascii="Arial" w:eastAsia="Arial" w:hAnsi="Arial" w:cs="Arial"/>
          <w:i/>
          <w:iCs/>
          <w:sz w:val="22"/>
          <w:lang w:val="es-ES"/>
        </w:rPr>
        <w:t>roceso</w:t>
      </w:r>
      <w:r w:rsidR="0021372A" w:rsidRPr="00217435">
        <w:rPr>
          <w:rFonts w:ascii="Arial" w:eastAsia="Arial" w:hAnsi="Arial" w:cs="Arial"/>
          <w:sz w:val="22"/>
          <w:lang w:val="es-ES"/>
        </w:rPr>
        <w:t xml:space="preserve"> </w:t>
      </w:r>
      <w:r w:rsidR="00BA0A73" w:rsidRPr="00217435">
        <w:rPr>
          <w:rFonts w:ascii="Arial" w:eastAsia="Arial" w:hAnsi="Arial" w:cs="Arial"/>
          <w:sz w:val="22"/>
          <w:lang w:val="es-ES"/>
        </w:rPr>
        <w:t>está</w:t>
      </w:r>
      <w:r w:rsidRPr="00217435">
        <w:rPr>
          <w:rFonts w:ascii="Arial" w:eastAsia="Arial" w:hAnsi="Arial" w:cs="Arial"/>
          <w:sz w:val="22"/>
          <w:lang w:val="es-ES"/>
        </w:rPr>
        <w:t xml:space="preserve"> definida en el artículo 2.2.1.1.1.3.1. del Decreto 1082 de 2015</w:t>
      </w:r>
      <w:r w:rsidR="00A3629B">
        <w:rPr>
          <w:rFonts w:ascii="Arial" w:eastAsia="Arial" w:hAnsi="Arial" w:cs="Arial"/>
          <w:sz w:val="22"/>
          <w:lang w:val="es-ES"/>
        </w:rPr>
        <w:t>, donde se establece que</w:t>
      </w:r>
      <w:r w:rsidR="00C25CC9" w:rsidRPr="00217435">
        <w:rPr>
          <w:rFonts w:ascii="Arial" w:eastAsia="Arial" w:hAnsi="Arial" w:cs="Arial"/>
          <w:sz w:val="22"/>
          <w:lang w:val="es-ES"/>
        </w:rPr>
        <w:t xml:space="preserve">: </w:t>
      </w:r>
      <w:r w:rsidRPr="00217435">
        <w:rPr>
          <w:rFonts w:ascii="Arial" w:eastAsia="Arial" w:hAnsi="Arial" w:cs="Arial"/>
          <w:sz w:val="22"/>
          <w:lang w:val="es-ES"/>
        </w:rPr>
        <w:t xml:space="preserve">«son: (a) los estudios y documentos previos; (b) el aviso de convocatoria; (c) los pliegos de condiciones o la invitación; (d) las </w:t>
      </w:r>
      <w:r w:rsidR="009615DF" w:rsidRPr="00217435">
        <w:rPr>
          <w:rFonts w:ascii="Arial" w:eastAsia="Arial" w:hAnsi="Arial" w:cs="Arial"/>
          <w:sz w:val="22"/>
          <w:lang w:val="es-ES"/>
        </w:rPr>
        <w:t>a</w:t>
      </w:r>
      <w:r w:rsidRPr="00217435">
        <w:rPr>
          <w:rFonts w:ascii="Arial" w:eastAsia="Arial" w:hAnsi="Arial" w:cs="Arial"/>
          <w:sz w:val="22"/>
          <w:lang w:val="es-ES"/>
        </w:rPr>
        <w:t xml:space="preserve">dendas; (e) la oferta; (f) el informe de evaluación; (g) el contrato; y cualquier otro documento expedido por la Entidad Estatal durante el Proceso de Contratación». </w:t>
      </w:r>
    </w:p>
    <w:p w14:paraId="3C994B56" w14:textId="61F9C0FA" w:rsidR="006C1E20" w:rsidRPr="00217435" w:rsidRDefault="006C1E20" w:rsidP="0021372A">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 xml:space="preserve">No obstante, para </w:t>
      </w:r>
      <w:r w:rsidR="00B474A3" w:rsidRPr="00217435">
        <w:rPr>
          <w:rFonts w:ascii="Arial" w:eastAsia="Arial" w:hAnsi="Arial" w:cs="Arial"/>
          <w:sz w:val="22"/>
          <w:lang w:val="es-ES"/>
        </w:rPr>
        <w:t>identificar</w:t>
      </w:r>
      <w:r w:rsidRPr="00217435">
        <w:rPr>
          <w:rFonts w:ascii="Arial" w:eastAsia="Arial" w:hAnsi="Arial" w:cs="Arial"/>
          <w:sz w:val="22"/>
          <w:lang w:val="es-ES"/>
        </w:rPr>
        <w:t xml:space="preserve"> los documentos que deben public</w:t>
      </w:r>
      <w:r w:rsidR="00B474A3" w:rsidRPr="00217435">
        <w:rPr>
          <w:rFonts w:ascii="Arial" w:eastAsia="Arial" w:hAnsi="Arial" w:cs="Arial"/>
          <w:sz w:val="22"/>
          <w:lang w:val="es-ES"/>
        </w:rPr>
        <w:t>arse</w:t>
      </w:r>
      <w:r w:rsidR="00FD6B72" w:rsidRPr="00217435">
        <w:rPr>
          <w:rFonts w:ascii="Arial" w:eastAsia="Arial" w:hAnsi="Arial" w:cs="Arial"/>
          <w:sz w:val="22"/>
          <w:lang w:val="es-ES"/>
        </w:rPr>
        <w:t>,</w:t>
      </w:r>
      <w:r w:rsidRPr="00217435">
        <w:rPr>
          <w:rFonts w:ascii="Arial" w:eastAsia="Arial" w:hAnsi="Arial" w:cs="Arial"/>
          <w:sz w:val="22"/>
          <w:lang w:val="es-ES"/>
        </w:rPr>
        <w:t xml:space="preserve"> es necesario realizar una interpretación </w:t>
      </w:r>
      <w:r w:rsidR="0021372A" w:rsidRPr="00217435">
        <w:rPr>
          <w:rFonts w:ascii="Arial" w:eastAsia="Arial" w:hAnsi="Arial" w:cs="Arial"/>
          <w:sz w:val="22"/>
          <w:lang w:val="es-ES"/>
        </w:rPr>
        <w:t>sistem</w:t>
      </w:r>
      <w:r w:rsidR="009615DF" w:rsidRPr="00217435">
        <w:rPr>
          <w:rFonts w:ascii="Arial" w:eastAsia="Arial" w:hAnsi="Arial" w:cs="Arial"/>
          <w:sz w:val="22"/>
          <w:lang w:val="es-ES"/>
        </w:rPr>
        <w:t>á</w:t>
      </w:r>
      <w:r w:rsidR="0021372A" w:rsidRPr="00217435">
        <w:rPr>
          <w:rFonts w:ascii="Arial" w:eastAsia="Arial" w:hAnsi="Arial" w:cs="Arial"/>
          <w:sz w:val="22"/>
          <w:lang w:val="es-ES"/>
        </w:rPr>
        <w:t>tica</w:t>
      </w:r>
      <w:r w:rsidRPr="00217435">
        <w:rPr>
          <w:rFonts w:ascii="Arial" w:eastAsia="Arial" w:hAnsi="Arial" w:cs="Arial"/>
          <w:sz w:val="22"/>
          <w:lang w:val="es-ES"/>
        </w:rPr>
        <w:t xml:space="preserve"> de las disposiciones </w:t>
      </w:r>
      <w:r w:rsidR="0021372A" w:rsidRPr="00217435">
        <w:rPr>
          <w:rFonts w:ascii="Arial" w:eastAsia="Arial" w:hAnsi="Arial" w:cs="Arial"/>
          <w:sz w:val="22"/>
          <w:lang w:val="es-ES"/>
        </w:rPr>
        <w:t>d</w:t>
      </w:r>
      <w:r w:rsidRPr="00217435">
        <w:rPr>
          <w:rFonts w:ascii="Arial" w:eastAsia="Arial" w:hAnsi="Arial" w:cs="Arial"/>
          <w:sz w:val="22"/>
          <w:lang w:val="es-ES"/>
        </w:rPr>
        <w:t xml:space="preserve">el Decreto 1082 del 2015, comoquiera que el anterior no es un listado </w:t>
      </w:r>
      <w:r w:rsidR="00FD6B72" w:rsidRPr="00217435">
        <w:rPr>
          <w:rFonts w:ascii="Arial" w:eastAsia="Arial" w:hAnsi="Arial" w:cs="Arial"/>
          <w:sz w:val="22"/>
          <w:lang w:val="es-ES"/>
        </w:rPr>
        <w:t>taxativo</w:t>
      </w:r>
      <w:r w:rsidRPr="00217435">
        <w:rPr>
          <w:rFonts w:ascii="Arial" w:eastAsia="Arial" w:hAnsi="Arial" w:cs="Arial"/>
          <w:sz w:val="22"/>
          <w:lang w:val="es-ES"/>
        </w:rPr>
        <w:t xml:space="preserve">, </w:t>
      </w:r>
      <w:r w:rsidR="00FD6B72" w:rsidRPr="00217435">
        <w:rPr>
          <w:rFonts w:ascii="Arial" w:eastAsia="Arial" w:hAnsi="Arial" w:cs="Arial"/>
          <w:sz w:val="22"/>
          <w:lang w:val="es-ES"/>
        </w:rPr>
        <w:t xml:space="preserve">sino enunciativo, </w:t>
      </w:r>
      <w:r w:rsidR="005503AB" w:rsidRPr="00217435">
        <w:rPr>
          <w:rFonts w:ascii="Arial" w:eastAsia="Arial" w:hAnsi="Arial" w:cs="Arial"/>
          <w:sz w:val="22"/>
          <w:lang w:val="es-ES"/>
        </w:rPr>
        <w:t>por</w:t>
      </w:r>
      <w:r w:rsidR="00FD6B72" w:rsidRPr="00217435">
        <w:rPr>
          <w:rFonts w:ascii="Arial" w:eastAsia="Arial" w:hAnsi="Arial" w:cs="Arial"/>
          <w:sz w:val="22"/>
          <w:lang w:val="es-ES"/>
        </w:rPr>
        <w:t>que</w:t>
      </w:r>
      <w:r w:rsidR="009E6D63" w:rsidRPr="00217435">
        <w:rPr>
          <w:rFonts w:ascii="Arial" w:eastAsia="Arial" w:hAnsi="Arial" w:cs="Arial"/>
          <w:sz w:val="22"/>
          <w:lang w:val="es-ES"/>
        </w:rPr>
        <w:t xml:space="preserve"> </w:t>
      </w:r>
      <w:r w:rsidR="00FD6B72" w:rsidRPr="00217435">
        <w:rPr>
          <w:rFonts w:ascii="Arial" w:eastAsia="Arial" w:hAnsi="Arial" w:cs="Arial"/>
          <w:sz w:val="22"/>
          <w:lang w:val="es-ES"/>
        </w:rPr>
        <w:t>además de los documentos enlistados</w:t>
      </w:r>
      <w:r w:rsidRPr="00217435">
        <w:rPr>
          <w:rFonts w:ascii="Arial" w:eastAsia="Arial" w:hAnsi="Arial" w:cs="Arial"/>
          <w:sz w:val="22"/>
          <w:lang w:val="es-ES"/>
        </w:rPr>
        <w:t>,</w:t>
      </w:r>
      <w:r w:rsidR="00FD6B72" w:rsidRPr="00217435">
        <w:rPr>
          <w:rFonts w:ascii="Arial" w:eastAsia="Arial" w:hAnsi="Arial" w:cs="Arial"/>
          <w:sz w:val="22"/>
          <w:lang w:val="es-ES"/>
        </w:rPr>
        <w:t xml:space="preserve"> el artículo 2.2.1.1.1.3.1 </w:t>
      </w:r>
      <w:proofErr w:type="spellStart"/>
      <w:r w:rsidR="00FD6B72" w:rsidRPr="00217435">
        <w:rPr>
          <w:rFonts w:ascii="Arial" w:eastAsia="Arial" w:hAnsi="Arial" w:cs="Arial"/>
          <w:i/>
          <w:iCs/>
          <w:sz w:val="22"/>
          <w:lang w:val="es-ES"/>
        </w:rPr>
        <w:t>Ibídem</w:t>
      </w:r>
      <w:proofErr w:type="spellEnd"/>
      <w:r w:rsidR="00FD6B72" w:rsidRPr="00217435">
        <w:rPr>
          <w:rFonts w:ascii="Arial" w:eastAsia="Arial" w:hAnsi="Arial" w:cs="Arial"/>
          <w:sz w:val="22"/>
          <w:lang w:val="es-ES"/>
        </w:rPr>
        <w:t xml:space="preserve"> recoge </w:t>
      </w:r>
      <w:r w:rsidR="00B474A3" w:rsidRPr="00217435">
        <w:rPr>
          <w:rFonts w:ascii="Arial" w:eastAsia="Arial" w:hAnsi="Arial" w:cs="Arial"/>
          <w:sz w:val="22"/>
          <w:lang w:val="es-ES"/>
        </w:rPr>
        <w:t>en la</w:t>
      </w:r>
      <w:r w:rsidR="00FD6B72" w:rsidRPr="00217435">
        <w:rPr>
          <w:rFonts w:ascii="Arial" w:eastAsia="Arial" w:hAnsi="Arial" w:cs="Arial"/>
          <w:sz w:val="22"/>
          <w:lang w:val="es-ES"/>
        </w:rPr>
        <w:t xml:space="preserve"> noción de </w:t>
      </w:r>
      <w:r w:rsidR="00FD6B72" w:rsidRPr="00217435">
        <w:rPr>
          <w:rFonts w:ascii="Arial" w:eastAsia="Arial" w:hAnsi="Arial" w:cs="Arial"/>
          <w:i/>
          <w:iCs/>
          <w:sz w:val="22"/>
          <w:lang w:val="es-ES"/>
        </w:rPr>
        <w:t>Documentos del Proceso</w:t>
      </w:r>
      <w:r w:rsidRPr="00217435">
        <w:rPr>
          <w:rFonts w:ascii="Arial" w:eastAsia="Arial" w:hAnsi="Arial" w:cs="Arial"/>
          <w:sz w:val="22"/>
          <w:lang w:val="es-ES"/>
        </w:rPr>
        <w:t xml:space="preserve"> «cualquier otro documento expedido por la Entidad Estatal durante el </w:t>
      </w:r>
      <w:r w:rsidRPr="00217435">
        <w:rPr>
          <w:rFonts w:ascii="Arial" w:eastAsia="Arial" w:hAnsi="Arial" w:cs="Arial"/>
          <w:i/>
          <w:iCs/>
          <w:sz w:val="22"/>
          <w:lang w:val="es-ES"/>
        </w:rPr>
        <w:t>Proceso de Contratación</w:t>
      </w:r>
      <w:r w:rsidR="006105EA" w:rsidRPr="00217435">
        <w:rPr>
          <w:rFonts w:ascii="Arial" w:eastAsia="Arial" w:hAnsi="Arial" w:cs="Arial"/>
          <w:i/>
          <w:iCs/>
          <w:sz w:val="22"/>
          <w:lang w:val="es-ES"/>
        </w:rPr>
        <w:t>»</w:t>
      </w:r>
      <w:r w:rsidRPr="00217435">
        <w:rPr>
          <w:rFonts w:ascii="Arial" w:eastAsia="Arial" w:hAnsi="Arial" w:cs="Arial"/>
          <w:sz w:val="22"/>
          <w:lang w:val="es-ES"/>
        </w:rPr>
        <w:t>. Este mismo artículo define</w:t>
      </w:r>
      <w:r w:rsidR="0021372A" w:rsidRPr="00217435">
        <w:rPr>
          <w:rFonts w:ascii="Arial" w:eastAsia="Arial" w:hAnsi="Arial" w:cs="Arial"/>
          <w:sz w:val="22"/>
          <w:lang w:val="es-ES"/>
        </w:rPr>
        <w:t xml:space="preserve"> la expresión</w:t>
      </w:r>
      <w:r w:rsidRPr="00217435">
        <w:rPr>
          <w:rFonts w:ascii="Arial" w:eastAsia="Arial" w:hAnsi="Arial" w:cs="Arial"/>
          <w:sz w:val="22"/>
          <w:lang w:val="es-ES"/>
        </w:rPr>
        <w:t xml:space="preserve"> </w:t>
      </w:r>
      <w:r w:rsidRPr="00217435">
        <w:rPr>
          <w:rFonts w:ascii="Arial" w:eastAsia="Arial" w:hAnsi="Arial" w:cs="Arial"/>
          <w:i/>
          <w:iCs/>
          <w:sz w:val="22"/>
          <w:lang w:val="es-ES"/>
        </w:rPr>
        <w:t>Proceso de Contratación</w:t>
      </w:r>
      <w:r w:rsidRPr="00217435">
        <w:rPr>
          <w:rFonts w:ascii="Arial" w:eastAsia="Arial" w:hAnsi="Arial" w:cs="Arial"/>
          <w:sz w:val="22"/>
          <w:lang w:val="es-ES"/>
        </w:rPr>
        <w:t xml:space="preserve"> </w:t>
      </w:r>
      <w:r w:rsidR="006105EA" w:rsidRPr="00217435">
        <w:rPr>
          <w:rFonts w:ascii="Arial" w:eastAsia="Arial" w:hAnsi="Arial" w:cs="Arial"/>
          <w:sz w:val="22"/>
          <w:lang w:val="es-ES"/>
        </w:rPr>
        <w:t>como el</w:t>
      </w:r>
      <w:r w:rsidRPr="00217435">
        <w:rPr>
          <w:rFonts w:ascii="Arial" w:eastAsia="Arial" w:hAnsi="Arial" w:cs="Arial"/>
          <w:sz w:val="22"/>
          <w:lang w:val="es-ES"/>
        </w:rPr>
        <w:t xml:space="preserve">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r w:rsidR="00FD6B72" w:rsidRPr="00217435">
        <w:rPr>
          <w:rFonts w:ascii="Arial" w:eastAsia="Arial" w:hAnsi="Arial" w:cs="Arial"/>
          <w:sz w:val="22"/>
          <w:lang w:val="es-ES"/>
        </w:rPr>
        <w:t xml:space="preserve"> </w:t>
      </w:r>
    </w:p>
    <w:p w14:paraId="33774B55" w14:textId="5B843537" w:rsidR="00B474A3" w:rsidRPr="00217435" w:rsidRDefault="007C17F4" w:rsidP="0021372A">
      <w:pPr>
        <w:widowControl w:val="0"/>
        <w:autoSpaceDE w:val="0"/>
        <w:autoSpaceDN w:val="0"/>
        <w:spacing w:after="120" w:line="276" w:lineRule="auto"/>
        <w:ind w:firstLine="709"/>
        <w:jc w:val="both"/>
        <w:rPr>
          <w:rFonts w:ascii="Arial" w:eastAsia="Arial" w:hAnsi="Arial" w:cs="Arial"/>
          <w:sz w:val="22"/>
          <w:lang w:val="es-ES"/>
        </w:rPr>
      </w:pPr>
      <w:r w:rsidRPr="00217435">
        <w:rPr>
          <w:rFonts w:ascii="Arial" w:eastAsia="Arial" w:hAnsi="Arial" w:cs="Arial"/>
          <w:sz w:val="22"/>
          <w:lang w:val="es-ES"/>
        </w:rPr>
        <w:t>Nótese</w:t>
      </w:r>
      <w:r w:rsidR="00B474A3" w:rsidRPr="00217435">
        <w:rPr>
          <w:rFonts w:ascii="Arial" w:eastAsia="Arial" w:hAnsi="Arial" w:cs="Arial"/>
          <w:sz w:val="22"/>
          <w:lang w:val="es-ES"/>
        </w:rPr>
        <w:t xml:space="preserve"> que la norma hace referencia a los documentos </w:t>
      </w:r>
      <w:r w:rsidR="005503AB" w:rsidRPr="00217435">
        <w:rPr>
          <w:rFonts w:ascii="Arial" w:eastAsia="Arial" w:hAnsi="Arial" w:cs="Arial"/>
          <w:sz w:val="22"/>
          <w:lang w:val="es-ES"/>
        </w:rPr>
        <w:t>«</w:t>
      </w:r>
      <w:r w:rsidR="00B474A3" w:rsidRPr="00217435">
        <w:rPr>
          <w:rFonts w:ascii="Arial" w:eastAsia="Arial" w:hAnsi="Arial" w:cs="Arial"/>
          <w:sz w:val="22"/>
          <w:lang w:val="es-ES"/>
        </w:rPr>
        <w:t>expedidos por la entidad estatal</w:t>
      </w:r>
      <w:r w:rsidR="005503AB" w:rsidRPr="00217435">
        <w:rPr>
          <w:rFonts w:ascii="Arial" w:eastAsia="Arial" w:hAnsi="Arial" w:cs="Arial"/>
          <w:sz w:val="22"/>
          <w:lang w:val="es-ES"/>
        </w:rPr>
        <w:t>»</w:t>
      </w:r>
      <w:r w:rsidR="00B474A3" w:rsidRPr="00217435">
        <w:rPr>
          <w:rFonts w:ascii="Arial" w:eastAsia="Arial" w:hAnsi="Arial" w:cs="Arial"/>
          <w:sz w:val="22"/>
          <w:lang w:val="es-ES"/>
        </w:rPr>
        <w:t xml:space="preserve"> durante el proceso de contratación, excluyendo de la noción de </w:t>
      </w:r>
      <w:r w:rsidR="00B474A3" w:rsidRPr="00217435">
        <w:rPr>
          <w:rFonts w:ascii="Arial" w:eastAsia="Arial" w:hAnsi="Arial" w:cs="Arial"/>
          <w:i/>
          <w:iCs/>
          <w:sz w:val="22"/>
          <w:lang w:val="es-ES"/>
        </w:rPr>
        <w:t>Documentos del Proceso</w:t>
      </w:r>
      <w:r w:rsidR="005E4DBD" w:rsidRPr="00217435">
        <w:rPr>
          <w:rFonts w:ascii="Arial" w:eastAsia="Arial" w:hAnsi="Arial" w:cs="Arial"/>
          <w:sz w:val="22"/>
          <w:lang w:val="es-ES"/>
        </w:rPr>
        <w:t xml:space="preserve"> los expedidos por </w:t>
      </w:r>
      <w:r w:rsidR="005503AB" w:rsidRPr="00217435">
        <w:rPr>
          <w:rFonts w:ascii="Arial" w:eastAsia="Arial" w:hAnsi="Arial" w:cs="Arial"/>
          <w:sz w:val="22"/>
          <w:lang w:val="es-ES"/>
        </w:rPr>
        <w:t xml:space="preserve">un sujeto distinto a </w:t>
      </w:r>
      <w:r w:rsidR="005E4DBD" w:rsidRPr="00217435">
        <w:rPr>
          <w:rFonts w:ascii="Arial" w:eastAsia="Arial" w:hAnsi="Arial" w:cs="Arial"/>
          <w:sz w:val="22"/>
          <w:lang w:val="es-ES"/>
        </w:rPr>
        <w:t>la entidad</w:t>
      </w:r>
      <w:r w:rsidR="00C25CC9" w:rsidRPr="00217435">
        <w:rPr>
          <w:rFonts w:ascii="Arial" w:eastAsia="Arial" w:hAnsi="Arial" w:cs="Arial"/>
          <w:sz w:val="22"/>
          <w:lang w:val="es-ES"/>
        </w:rPr>
        <w:t>,</w:t>
      </w:r>
      <w:r w:rsidR="005E4DBD" w:rsidRPr="00217435">
        <w:rPr>
          <w:rFonts w:ascii="Arial" w:eastAsia="Arial" w:hAnsi="Arial" w:cs="Arial"/>
          <w:sz w:val="22"/>
          <w:lang w:val="es-ES"/>
        </w:rPr>
        <w:t xml:space="preserve"> </w:t>
      </w:r>
      <w:r w:rsidR="005503AB" w:rsidRPr="00217435">
        <w:rPr>
          <w:rFonts w:ascii="Arial" w:eastAsia="Arial" w:hAnsi="Arial" w:cs="Arial"/>
          <w:sz w:val="22"/>
          <w:lang w:val="es-ES"/>
        </w:rPr>
        <w:t>salvo l</w:t>
      </w:r>
      <w:r w:rsidR="005E4DBD" w:rsidRPr="00217435">
        <w:rPr>
          <w:rFonts w:ascii="Arial" w:eastAsia="Arial" w:hAnsi="Arial" w:cs="Arial"/>
          <w:sz w:val="22"/>
          <w:lang w:val="es-ES"/>
        </w:rPr>
        <w:t>a oferta, la cual s</w:t>
      </w:r>
      <w:r w:rsidR="005503AB" w:rsidRPr="00217435">
        <w:rPr>
          <w:rFonts w:ascii="Arial" w:eastAsia="Arial" w:hAnsi="Arial" w:cs="Arial"/>
          <w:sz w:val="22"/>
          <w:lang w:val="es-ES"/>
        </w:rPr>
        <w:t>e</w:t>
      </w:r>
      <w:r w:rsidR="005E4DBD" w:rsidRPr="00217435">
        <w:rPr>
          <w:rFonts w:ascii="Arial" w:eastAsia="Arial" w:hAnsi="Arial" w:cs="Arial"/>
          <w:sz w:val="22"/>
          <w:lang w:val="es-ES"/>
        </w:rPr>
        <w:t xml:space="preserve"> inclu</w:t>
      </w:r>
      <w:r w:rsidR="00C25CC9" w:rsidRPr="00217435">
        <w:rPr>
          <w:rFonts w:ascii="Arial" w:eastAsia="Arial" w:hAnsi="Arial" w:cs="Arial"/>
          <w:sz w:val="22"/>
          <w:lang w:val="es-ES"/>
        </w:rPr>
        <w:t>ye</w:t>
      </w:r>
      <w:r w:rsidR="005E4DBD" w:rsidRPr="00217435">
        <w:rPr>
          <w:rFonts w:ascii="Arial" w:eastAsia="Arial" w:hAnsi="Arial" w:cs="Arial"/>
          <w:sz w:val="22"/>
          <w:lang w:val="es-ES"/>
        </w:rPr>
        <w:t xml:space="preserve"> expresamente </w:t>
      </w:r>
      <w:r w:rsidR="00A3629B">
        <w:rPr>
          <w:rFonts w:ascii="Arial" w:eastAsia="Arial" w:hAnsi="Arial" w:cs="Arial"/>
          <w:sz w:val="22"/>
          <w:lang w:val="es-ES"/>
        </w:rPr>
        <w:t>e</w:t>
      </w:r>
      <w:r w:rsidR="005503AB" w:rsidRPr="00217435">
        <w:rPr>
          <w:rFonts w:ascii="Arial" w:eastAsia="Arial" w:hAnsi="Arial" w:cs="Arial"/>
          <w:sz w:val="22"/>
          <w:lang w:val="es-ES"/>
        </w:rPr>
        <w:t xml:space="preserve">n </w:t>
      </w:r>
      <w:r w:rsidR="005E4DBD" w:rsidRPr="00217435">
        <w:rPr>
          <w:rFonts w:ascii="Arial" w:eastAsia="Arial" w:hAnsi="Arial" w:cs="Arial"/>
          <w:sz w:val="22"/>
          <w:lang w:val="es-ES"/>
        </w:rPr>
        <w:t xml:space="preserve">el artículo 2.2.1.1.1.3.1. </w:t>
      </w:r>
    </w:p>
    <w:p w14:paraId="1A57E9A9" w14:textId="227ADE25" w:rsidR="00FD6B72" w:rsidRPr="00217435" w:rsidRDefault="0021372A" w:rsidP="00870E1A">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En ese sentido,</w:t>
      </w:r>
      <w:r w:rsidR="00FD6B72" w:rsidRPr="00217435">
        <w:rPr>
          <w:rFonts w:ascii="Arial" w:eastAsia="Arial" w:hAnsi="Arial" w:cs="Arial"/>
          <w:sz w:val="22"/>
          <w:lang w:val="es-ES"/>
        </w:rPr>
        <w:t xml:space="preserve"> </w:t>
      </w:r>
      <w:r w:rsidRPr="00217435">
        <w:rPr>
          <w:rFonts w:ascii="Arial" w:eastAsia="Arial" w:hAnsi="Arial" w:cs="Arial"/>
          <w:sz w:val="22"/>
          <w:lang w:val="es-ES"/>
        </w:rPr>
        <w:t>la</w:t>
      </w:r>
      <w:r w:rsidR="00FD6B72" w:rsidRPr="00217435">
        <w:rPr>
          <w:rFonts w:ascii="Arial" w:eastAsia="Arial" w:hAnsi="Arial" w:cs="Arial"/>
          <w:sz w:val="22"/>
          <w:lang w:val="es-ES"/>
        </w:rPr>
        <w:t xml:space="preserve"> interpretación sistemática de los preceptos del Decreto 1082 de 2015,</w:t>
      </w:r>
      <w:r w:rsidRPr="00217435">
        <w:rPr>
          <w:rFonts w:ascii="Arial" w:eastAsia="Arial" w:hAnsi="Arial" w:cs="Arial"/>
          <w:sz w:val="22"/>
          <w:lang w:val="es-ES"/>
        </w:rPr>
        <w:t xml:space="preserve"> </w:t>
      </w:r>
      <w:r w:rsidR="005503AB" w:rsidRPr="00217435">
        <w:rPr>
          <w:rFonts w:ascii="Arial" w:eastAsia="Arial" w:hAnsi="Arial" w:cs="Arial"/>
          <w:sz w:val="22"/>
          <w:lang w:val="es-ES"/>
        </w:rPr>
        <w:t xml:space="preserve">de acuerdo con </w:t>
      </w:r>
      <w:r w:rsidR="00A3629B">
        <w:rPr>
          <w:rFonts w:ascii="Arial" w:eastAsia="Arial" w:hAnsi="Arial" w:cs="Arial"/>
          <w:sz w:val="22"/>
          <w:lang w:val="es-ES"/>
        </w:rPr>
        <w:t>el</w:t>
      </w:r>
      <w:r w:rsidRPr="00217435">
        <w:rPr>
          <w:rFonts w:ascii="Arial" w:eastAsia="Arial" w:hAnsi="Arial" w:cs="Arial"/>
          <w:sz w:val="22"/>
          <w:lang w:val="es-ES"/>
        </w:rPr>
        <w:t xml:space="preserve"> principio de publicidad</w:t>
      </w:r>
      <w:r w:rsidR="00090F92" w:rsidRPr="00217435">
        <w:rPr>
          <w:rFonts w:ascii="Arial" w:eastAsia="Arial" w:hAnsi="Arial" w:cs="Arial"/>
          <w:sz w:val="22"/>
          <w:lang w:val="es-ES"/>
        </w:rPr>
        <w:t>,</w:t>
      </w:r>
      <w:r w:rsidR="00407396" w:rsidRPr="00217435">
        <w:rPr>
          <w:rFonts w:ascii="Arial" w:eastAsia="Arial" w:hAnsi="Arial" w:cs="Arial"/>
          <w:sz w:val="22"/>
          <w:lang w:val="es-ES"/>
        </w:rPr>
        <w:t xml:space="preserve"> </w:t>
      </w:r>
      <w:r w:rsidR="005503AB" w:rsidRPr="00217435">
        <w:rPr>
          <w:rFonts w:ascii="Arial" w:eastAsia="Arial" w:hAnsi="Arial" w:cs="Arial"/>
          <w:sz w:val="22"/>
          <w:lang w:val="es-ES"/>
        </w:rPr>
        <w:t>inicialmente</w:t>
      </w:r>
      <w:r w:rsidR="00407396" w:rsidRPr="00217435">
        <w:rPr>
          <w:rFonts w:ascii="Arial" w:eastAsia="Arial" w:hAnsi="Arial" w:cs="Arial"/>
          <w:sz w:val="22"/>
          <w:lang w:val="es-ES"/>
        </w:rPr>
        <w:t>,</w:t>
      </w:r>
      <w:r w:rsidR="00FD6B72" w:rsidRPr="00217435">
        <w:rPr>
          <w:rFonts w:ascii="Arial" w:eastAsia="Arial" w:hAnsi="Arial" w:cs="Arial"/>
          <w:sz w:val="22"/>
          <w:lang w:val="es-ES"/>
        </w:rPr>
        <w:t xml:space="preserve"> </w:t>
      </w:r>
      <w:r w:rsidRPr="00217435">
        <w:rPr>
          <w:rFonts w:ascii="Arial" w:eastAsia="Arial" w:hAnsi="Arial" w:cs="Arial"/>
          <w:sz w:val="22"/>
          <w:lang w:val="es-ES"/>
        </w:rPr>
        <w:t>indica</w:t>
      </w:r>
      <w:r w:rsidR="00FD6B72" w:rsidRPr="00217435">
        <w:rPr>
          <w:rFonts w:ascii="Arial" w:eastAsia="Arial" w:hAnsi="Arial" w:cs="Arial"/>
          <w:sz w:val="22"/>
          <w:lang w:val="es-ES"/>
        </w:rPr>
        <w:t xml:space="preserve"> que las entidades estatales tienen la obligación de publicar todos los documentos </w:t>
      </w:r>
      <w:r w:rsidR="00407396" w:rsidRPr="00217435">
        <w:rPr>
          <w:rFonts w:ascii="Arial" w:eastAsia="Arial" w:hAnsi="Arial" w:cs="Arial"/>
          <w:sz w:val="22"/>
          <w:lang w:val="es-ES"/>
        </w:rPr>
        <w:t xml:space="preserve">que expidan </w:t>
      </w:r>
      <w:r w:rsidR="00FD6B72" w:rsidRPr="00217435">
        <w:rPr>
          <w:rFonts w:ascii="Arial" w:eastAsia="Arial" w:hAnsi="Arial" w:cs="Arial"/>
          <w:sz w:val="22"/>
          <w:lang w:val="es-ES"/>
        </w:rPr>
        <w:t xml:space="preserve">con ocasión del </w:t>
      </w:r>
      <w:r w:rsidRPr="00217435">
        <w:rPr>
          <w:rFonts w:ascii="Arial" w:eastAsia="Arial" w:hAnsi="Arial" w:cs="Arial"/>
          <w:i/>
          <w:iCs/>
          <w:sz w:val="22"/>
          <w:lang w:val="es-ES"/>
        </w:rPr>
        <w:t>P</w:t>
      </w:r>
      <w:r w:rsidR="00FD6B72" w:rsidRPr="00217435">
        <w:rPr>
          <w:rFonts w:ascii="Arial" w:eastAsia="Arial" w:hAnsi="Arial" w:cs="Arial"/>
          <w:i/>
          <w:iCs/>
          <w:sz w:val="22"/>
          <w:lang w:val="es-ES"/>
        </w:rPr>
        <w:t xml:space="preserve">roceso de </w:t>
      </w:r>
      <w:r w:rsidRPr="00217435">
        <w:rPr>
          <w:rFonts w:ascii="Arial" w:eastAsia="Arial" w:hAnsi="Arial" w:cs="Arial"/>
          <w:i/>
          <w:iCs/>
          <w:sz w:val="22"/>
          <w:lang w:val="es-ES"/>
        </w:rPr>
        <w:t>C</w:t>
      </w:r>
      <w:r w:rsidR="00FD6B72" w:rsidRPr="00217435">
        <w:rPr>
          <w:rFonts w:ascii="Arial" w:eastAsia="Arial" w:hAnsi="Arial" w:cs="Arial"/>
          <w:i/>
          <w:iCs/>
          <w:sz w:val="22"/>
          <w:lang w:val="es-ES"/>
        </w:rPr>
        <w:t>ontratación</w:t>
      </w:r>
      <w:r w:rsidR="00FD6B72" w:rsidRPr="00217435">
        <w:rPr>
          <w:rFonts w:ascii="Arial" w:eastAsia="Arial" w:hAnsi="Arial" w:cs="Arial"/>
          <w:sz w:val="22"/>
          <w:lang w:val="es-ES"/>
        </w:rPr>
        <w:t xml:space="preserve">, esto es, desde </w:t>
      </w:r>
      <w:r w:rsidR="005E4DBD" w:rsidRPr="00217435">
        <w:rPr>
          <w:rFonts w:ascii="Arial" w:eastAsia="Arial" w:hAnsi="Arial" w:cs="Arial"/>
          <w:sz w:val="22"/>
          <w:lang w:val="es-ES"/>
        </w:rPr>
        <w:t>la</w:t>
      </w:r>
      <w:r w:rsidR="00FD6B72" w:rsidRPr="00217435">
        <w:rPr>
          <w:rFonts w:ascii="Arial" w:eastAsia="Arial" w:hAnsi="Arial" w:cs="Arial"/>
          <w:sz w:val="22"/>
          <w:lang w:val="es-ES"/>
        </w:rPr>
        <w:t xml:space="preserve"> fase de planeación hasta «el vencimiento de las garantías de calidad, estabilidad y mantenimiento, o las condiciones de disposición final o recuperación ambiental de las obras o bienes o el vencimiento del plazo, lo que ocurra más tarde»</w:t>
      </w:r>
      <w:r w:rsidR="00870E1A" w:rsidRPr="00217435">
        <w:rPr>
          <w:rFonts w:ascii="Arial" w:eastAsia="Arial" w:hAnsi="Arial" w:cs="Arial"/>
          <w:sz w:val="22"/>
          <w:lang w:val="es-ES"/>
        </w:rPr>
        <w:t xml:space="preserve">, lo </w:t>
      </w:r>
      <w:r w:rsidR="00407396" w:rsidRPr="00217435">
        <w:rPr>
          <w:rFonts w:ascii="Arial" w:eastAsia="Arial" w:hAnsi="Arial" w:cs="Arial"/>
          <w:sz w:val="22"/>
          <w:lang w:val="es-ES"/>
        </w:rPr>
        <w:t>que</w:t>
      </w:r>
      <w:r w:rsidR="00870E1A" w:rsidRPr="00217435">
        <w:rPr>
          <w:rFonts w:ascii="Arial" w:eastAsia="Arial" w:hAnsi="Arial" w:cs="Arial"/>
          <w:sz w:val="22"/>
          <w:lang w:val="es-ES"/>
        </w:rPr>
        <w:t xml:space="preserve"> significa que todos los documentos expedidos </w:t>
      </w:r>
      <w:r w:rsidR="005503AB" w:rsidRPr="00217435">
        <w:rPr>
          <w:rFonts w:ascii="Arial" w:eastAsia="Arial" w:hAnsi="Arial" w:cs="Arial"/>
          <w:sz w:val="22"/>
          <w:lang w:val="es-ES"/>
        </w:rPr>
        <w:t xml:space="preserve">por la entidad </w:t>
      </w:r>
      <w:r w:rsidR="00870E1A" w:rsidRPr="00217435">
        <w:rPr>
          <w:rFonts w:ascii="Arial" w:eastAsia="Arial" w:hAnsi="Arial" w:cs="Arial"/>
          <w:sz w:val="22"/>
          <w:lang w:val="es-ES"/>
        </w:rPr>
        <w:t xml:space="preserve">durante las etapas precontractual, de ejecución y </w:t>
      </w:r>
      <w:proofErr w:type="spellStart"/>
      <w:r w:rsidR="00870E1A" w:rsidRPr="00217435">
        <w:rPr>
          <w:rFonts w:ascii="Arial" w:eastAsia="Arial" w:hAnsi="Arial" w:cs="Arial"/>
          <w:sz w:val="22"/>
          <w:lang w:val="es-ES"/>
        </w:rPr>
        <w:t>postcontractual</w:t>
      </w:r>
      <w:proofErr w:type="spellEnd"/>
      <w:r w:rsidR="00870E1A" w:rsidRPr="00217435">
        <w:rPr>
          <w:rFonts w:ascii="Arial" w:eastAsia="Arial" w:hAnsi="Arial" w:cs="Arial"/>
          <w:sz w:val="22"/>
          <w:lang w:val="es-ES"/>
        </w:rPr>
        <w:t xml:space="preserve"> deberán ser publicados en SECOP</w:t>
      </w:r>
      <w:r w:rsidR="00060081" w:rsidRPr="00217435">
        <w:rPr>
          <w:rFonts w:ascii="Arial" w:eastAsia="Arial" w:hAnsi="Arial" w:cs="Arial"/>
          <w:sz w:val="22"/>
          <w:lang w:val="es-ES"/>
        </w:rPr>
        <w:t xml:space="preserve"> dentro de los tres</w:t>
      </w:r>
      <w:r w:rsidR="00E722CB" w:rsidRPr="00217435">
        <w:rPr>
          <w:rFonts w:ascii="Arial" w:eastAsia="Arial" w:hAnsi="Arial" w:cs="Arial"/>
          <w:sz w:val="22"/>
          <w:lang w:val="es-ES"/>
        </w:rPr>
        <w:t xml:space="preserve"> (3)</w:t>
      </w:r>
      <w:r w:rsidR="00060081" w:rsidRPr="00217435">
        <w:rPr>
          <w:rFonts w:ascii="Arial" w:eastAsia="Arial" w:hAnsi="Arial" w:cs="Arial"/>
          <w:sz w:val="22"/>
          <w:lang w:val="es-ES"/>
        </w:rPr>
        <w:t xml:space="preserve"> días siguientes a su expedición</w:t>
      </w:r>
      <w:r w:rsidR="006105EA" w:rsidRPr="00217435">
        <w:rPr>
          <w:rFonts w:ascii="Arial" w:eastAsia="Arial" w:hAnsi="Arial" w:cs="Arial"/>
          <w:sz w:val="22"/>
          <w:lang w:val="es-ES"/>
        </w:rPr>
        <w:t>,</w:t>
      </w:r>
      <w:r w:rsidR="00870E1A" w:rsidRPr="00217435">
        <w:rPr>
          <w:rFonts w:ascii="Arial" w:eastAsia="Arial" w:hAnsi="Arial" w:cs="Arial"/>
          <w:sz w:val="22"/>
          <w:lang w:val="es-ES"/>
        </w:rPr>
        <w:t xml:space="preserve"> </w:t>
      </w:r>
      <w:r w:rsidR="005E4DBD" w:rsidRPr="00217435">
        <w:rPr>
          <w:rFonts w:ascii="Arial" w:eastAsia="Arial" w:hAnsi="Arial" w:cs="Arial"/>
          <w:sz w:val="22"/>
          <w:lang w:val="es-ES"/>
        </w:rPr>
        <w:t xml:space="preserve">para </w:t>
      </w:r>
      <w:r w:rsidR="00870E1A" w:rsidRPr="00217435">
        <w:rPr>
          <w:rFonts w:ascii="Arial" w:eastAsia="Arial" w:hAnsi="Arial" w:cs="Arial"/>
          <w:sz w:val="22"/>
          <w:lang w:val="es-ES"/>
        </w:rPr>
        <w:t xml:space="preserve"> cumplir el deber de publicidad regulado por el artículo 2.2.1.1.1.7.1. del Decreto 1082 de 2015.</w:t>
      </w:r>
    </w:p>
    <w:p w14:paraId="5A1972E1" w14:textId="6EAF4F54" w:rsidR="009E4815" w:rsidRPr="00217435" w:rsidRDefault="005E2358" w:rsidP="00870E1A">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En todo caso, </w:t>
      </w:r>
      <w:r w:rsidR="00F25492" w:rsidRPr="00217435">
        <w:rPr>
          <w:rFonts w:ascii="Arial" w:eastAsia="Arial" w:hAnsi="Arial" w:cs="Arial"/>
          <w:sz w:val="22"/>
          <w:lang w:val="es-ES"/>
        </w:rPr>
        <w:t>de</w:t>
      </w:r>
      <w:r w:rsidR="009E4815" w:rsidRPr="00217435">
        <w:rPr>
          <w:rFonts w:ascii="Arial" w:eastAsia="Arial" w:hAnsi="Arial" w:cs="Arial"/>
          <w:sz w:val="22"/>
          <w:lang w:val="es-ES"/>
        </w:rPr>
        <w:t xml:space="preserve"> conformidad con la segunda parte del inciso primero del artículo 2.2.1.1.1.7.1 </w:t>
      </w:r>
      <w:proofErr w:type="spellStart"/>
      <w:r w:rsidR="009E4815" w:rsidRPr="00217435">
        <w:rPr>
          <w:rFonts w:ascii="Arial" w:eastAsia="Arial" w:hAnsi="Arial" w:cs="Arial"/>
          <w:i/>
          <w:iCs/>
          <w:sz w:val="22"/>
          <w:lang w:val="es-ES"/>
        </w:rPr>
        <w:t>Ibídem</w:t>
      </w:r>
      <w:proofErr w:type="spellEnd"/>
      <w:r w:rsidR="009E4815" w:rsidRPr="00217435">
        <w:rPr>
          <w:rFonts w:ascii="Arial" w:eastAsia="Arial" w:hAnsi="Arial" w:cs="Arial"/>
          <w:sz w:val="22"/>
          <w:lang w:val="es-ES"/>
        </w:rPr>
        <w:t>, el deber de public</w:t>
      </w:r>
      <w:r w:rsidR="007E23F7" w:rsidRPr="00217435">
        <w:rPr>
          <w:rFonts w:ascii="Arial" w:eastAsia="Arial" w:hAnsi="Arial" w:cs="Arial"/>
          <w:sz w:val="22"/>
          <w:lang w:val="es-ES"/>
        </w:rPr>
        <w:t>ar</w:t>
      </w:r>
      <w:r w:rsidR="009E4815" w:rsidRPr="00217435">
        <w:rPr>
          <w:rFonts w:ascii="Arial" w:eastAsia="Arial" w:hAnsi="Arial" w:cs="Arial"/>
          <w:sz w:val="22"/>
          <w:lang w:val="es-ES"/>
        </w:rPr>
        <w:t xml:space="preserve"> las actuaciones </w:t>
      </w:r>
      <w:r w:rsidR="007E23F7" w:rsidRPr="00217435">
        <w:rPr>
          <w:rFonts w:ascii="Arial" w:eastAsia="Arial" w:hAnsi="Arial" w:cs="Arial"/>
          <w:sz w:val="22"/>
          <w:lang w:val="es-ES"/>
        </w:rPr>
        <w:t>realizadas</w:t>
      </w:r>
      <w:r w:rsidR="009E4815" w:rsidRPr="00217435">
        <w:rPr>
          <w:rFonts w:ascii="Arial" w:eastAsia="Arial" w:hAnsi="Arial" w:cs="Arial"/>
          <w:sz w:val="22"/>
          <w:lang w:val="es-ES"/>
        </w:rPr>
        <w:t xml:space="preserve"> en el marco del </w:t>
      </w:r>
      <w:r w:rsidR="005503AB" w:rsidRPr="00217435">
        <w:rPr>
          <w:rFonts w:ascii="Arial" w:eastAsia="Arial" w:hAnsi="Arial" w:cs="Arial"/>
          <w:sz w:val="22"/>
          <w:lang w:val="es-ES"/>
        </w:rPr>
        <w:lastRenderedPageBreak/>
        <w:t>p</w:t>
      </w:r>
      <w:r w:rsidR="009E4815" w:rsidRPr="00217435">
        <w:rPr>
          <w:rFonts w:ascii="Arial" w:eastAsia="Arial" w:hAnsi="Arial" w:cs="Arial"/>
          <w:sz w:val="22"/>
          <w:lang w:val="es-ES"/>
        </w:rPr>
        <w:t xml:space="preserve">roceso de </w:t>
      </w:r>
      <w:r w:rsidR="005503AB" w:rsidRPr="00217435">
        <w:rPr>
          <w:rFonts w:ascii="Arial" w:eastAsia="Arial" w:hAnsi="Arial" w:cs="Arial"/>
          <w:sz w:val="22"/>
          <w:lang w:val="es-ES"/>
        </w:rPr>
        <w:t>c</w:t>
      </w:r>
      <w:r w:rsidR="009E4815" w:rsidRPr="00217435">
        <w:rPr>
          <w:rFonts w:ascii="Arial" w:eastAsia="Arial" w:hAnsi="Arial" w:cs="Arial"/>
          <w:sz w:val="22"/>
          <w:lang w:val="es-ES"/>
        </w:rPr>
        <w:t>ontratación, en lo refe</w:t>
      </w:r>
      <w:r w:rsidR="00830B56" w:rsidRPr="00217435">
        <w:rPr>
          <w:rFonts w:ascii="Arial" w:eastAsia="Arial" w:hAnsi="Arial" w:cs="Arial"/>
          <w:sz w:val="22"/>
          <w:lang w:val="es-ES"/>
        </w:rPr>
        <w:t>rente</w:t>
      </w:r>
      <w:r w:rsidR="009E4815" w:rsidRPr="00217435">
        <w:rPr>
          <w:rFonts w:ascii="Arial" w:eastAsia="Arial" w:hAnsi="Arial" w:cs="Arial"/>
          <w:sz w:val="22"/>
          <w:lang w:val="es-ES"/>
        </w:rPr>
        <w:t xml:space="preserve"> a las ofertas presentadas, solo se predica de la </w:t>
      </w:r>
      <w:r w:rsidRPr="00217435">
        <w:rPr>
          <w:rFonts w:ascii="Arial" w:eastAsia="Arial" w:hAnsi="Arial" w:cs="Arial"/>
          <w:sz w:val="22"/>
          <w:lang w:val="es-ES"/>
        </w:rPr>
        <w:t>propuesta</w:t>
      </w:r>
      <w:r w:rsidR="009E4815" w:rsidRPr="00217435">
        <w:rPr>
          <w:rFonts w:ascii="Arial" w:eastAsia="Arial" w:hAnsi="Arial" w:cs="Arial"/>
          <w:sz w:val="22"/>
          <w:lang w:val="es-ES"/>
        </w:rPr>
        <w:t xml:space="preserve"> del adju</w:t>
      </w:r>
      <w:r w:rsidRPr="00217435">
        <w:rPr>
          <w:rFonts w:ascii="Arial" w:eastAsia="Arial" w:hAnsi="Arial" w:cs="Arial"/>
          <w:sz w:val="22"/>
          <w:lang w:val="es-ES"/>
        </w:rPr>
        <w:t>di</w:t>
      </w:r>
      <w:r w:rsidR="009E4815" w:rsidRPr="00217435">
        <w:rPr>
          <w:rFonts w:ascii="Arial" w:eastAsia="Arial" w:hAnsi="Arial" w:cs="Arial"/>
          <w:sz w:val="22"/>
          <w:lang w:val="es-ES"/>
        </w:rPr>
        <w:t xml:space="preserve">catario, </w:t>
      </w:r>
      <w:r w:rsidRPr="00217435">
        <w:rPr>
          <w:rFonts w:ascii="Arial" w:eastAsia="Arial" w:hAnsi="Arial" w:cs="Arial"/>
          <w:sz w:val="22"/>
          <w:lang w:val="es-ES"/>
        </w:rPr>
        <w:t xml:space="preserve">así </w:t>
      </w:r>
      <w:r w:rsidR="009E4815" w:rsidRPr="00217435">
        <w:rPr>
          <w:rFonts w:ascii="Arial" w:eastAsia="Arial" w:hAnsi="Arial" w:cs="Arial"/>
          <w:sz w:val="22"/>
          <w:lang w:val="es-ES"/>
        </w:rPr>
        <w:t xml:space="preserve">que no </w:t>
      </w:r>
      <w:r w:rsidR="00CB31C7" w:rsidRPr="00217435">
        <w:rPr>
          <w:rFonts w:ascii="Arial" w:eastAsia="Arial" w:hAnsi="Arial" w:cs="Arial"/>
          <w:sz w:val="22"/>
          <w:lang w:val="es-ES"/>
        </w:rPr>
        <w:t>es</w:t>
      </w:r>
      <w:r w:rsidR="009E4815" w:rsidRPr="00217435">
        <w:rPr>
          <w:rFonts w:ascii="Arial" w:eastAsia="Arial" w:hAnsi="Arial" w:cs="Arial"/>
          <w:sz w:val="22"/>
          <w:lang w:val="es-ES"/>
        </w:rPr>
        <w:t xml:space="preserve"> necesario publicar las </w:t>
      </w:r>
      <w:r w:rsidR="00CB31C7" w:rsidRPr="00217435">
        <w:rPr>
          <w:rFonts w:ascii="Arial" w:eastAsia="Arial" w:hAnsi="Arial" w:cs="Arial"/>
          <w:sz w:val="22"/>
          <w:lang w:val="es-ES"/>
        </w:rPr>
        <w:t>demás</w:t>
      </w:r>
      <w:r w:rsidR="007E23F7" w:rsidRPr="00217435">
        <w:rPr>
          <w:rFonts w:ascii="Arial" w:eastAsia="Arial" w:hAnsi="Arial" w:cs="Arial"/>
          <w:sz w:val="22"/>
          <w:lang w:val="es-ES"/>
        </w:rPr>
        <w:t>.</w:t>
      </w:r>
      <w:r w:rsidR="009E4815" w:rsidRPr="00217435">
        <w:rPr>
          <w:rFonts w:ascii="Arial" w:eastAsia="Arial" w:hAnsi="Arial" w:cs="Arial"/>
          <w:sz w:val="22"/>
          <w:lang w:val="es-ES"/>
        </w:rPr>
        <w:t xml:space="preserve"> </w:t>
      </w:r>
      <w:r w:rsidR="009E4815" w:rsidRPr="00217435">
        <w:rPr>
          <w:rFonts w:ascii="Arial" w:eastAsia="Arial" w:hAnsi="Arial" w:cs="Arial"/>
          <w:i/>
          <w:iCs/>
          <w:sz w:val="22"/>
          <w:lang w:val="es-ES"/>
        </w:rPr>
        <w:t xml:space="preserve"> </w:t>
      </w:r>
      <w:r w:rsidR="009E4815" w:rsidRPr="00217435">
        <w:rPr>
          <w:rFonts w:ascii="Arial" w:eastAsia="Arial" w:hAnsi="Arial" w:cs="Arial"/>
          <w:sz w:val="22"/>
          <w:lang w:val="es-ES"/>
        </w:rPr>
        <w:t>De</w:t>
      </w:r>
      <w:r w:rsidR="007E23F7" w:rsidRPr="00217435">
        <w:rPr>
          <w:rFonts w:ascii="Arial" w:eastAsia="Arial" w:hAnsi="Arial" w:cs="Arial"/>
          <w:sz w:val="22"/>
          <w:lang w:val="es-ES"/>
        </w:rPr>
        <w:t>l</w:t>
      </w:r>
      <w:r w:rsidR="009E4815" w:rsidRPr="00217435">
        <w:rPr>
          <w:rFonts w:ascii="Arial" w:eastAsia="Arial" w:hAnsi="Arial" w:cs="Arial"/>
          <w:sz w:val="22"/>
          <w:lang w:val="es-ES"/>
        </w:rPr>
        <w:t xml:space="preserve"> deber de publicidad, de conformidad con la tercera parte del inciso primero de la referida norma, tambi</w:t>
      </w:r>
      <w:r w:rsidR="00345F2B" w:rsidRPr="00217435">
        <w:rPr>
          <w:rFonts w:ascii="Arial" w:eastAsia="Arial" w:hAnsi="Arial" w:cs="Arial"/>
          <w:sz w:val="22"/>
          <w:lang w:val="es-ES"/>
        </w:rPr>
        <w:t>é</w:t>
      </w:r>
      <w:r w:rsidR="009E4815" w:rsidRPr="00217435">
        <w:rPr>
          <w:rFonts w:ascii="Arial" w:eastAsia="Arial" w:hAnsi="Arial" w:cs="Arial"/>
          <w:sz w:val="22"/>
          <w:lang w:val="es-ES"/>
        </w:rPr>
        <w:t xml:space="preserve">n se encuentran </w:t>
      </w:r>
      <w:r w:rsidR="007E23F7" w:rsidRPr="00217435">
        <w:rPr>
          <w:rFonts w:ascii="Arial" w:eastAsia="Arial" w:hAnsi="Arial" w:cs="Arial"/>
          <w:sz w:val="22"/>
          <w:lang w:val="es-ES"/>
        </w:rPr>
        <w:t>exentos</w:t>
      </w:r>
      <w:r w:rsidR="009E4815" w:rsidRPr="00217435">
        <w:rPr>
          <w:rFonts w:ascii="Arial" w:eastAsia="Arial" w:hAnsi="Arial" w:cs="Arial"/>
          <w:sz w:val="22"/>
          <w:lang w:val="es-ES"/>
        </w:rPr>
        <w:t xml:space="preserve"> los documentos de las operaciones que se realicen en bolsa de productos.</w:t>
      </w:r>
    </w:p>
    <w:p w14:paraId="00F4E9FB" w14:textId="1347D909" w:rsidR="009E4815" w:rsidRPr="00217435" w:rsidRDefault="009E4815" w:rsidP="00870E1A">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 xml:space="preserve"> </w:t>
      </w:r>
      <w:r w:rsidR="00F25492" w:rsidRPr="00217435">
        <w:rPr>
          <w:rFonts w:ascii="Arial" w:eastAsia="Arial" w:hAnsi="Arial" w:cs="Arial"/>
          <w:sz w:val="22"/>
          <w:lang w:val="es-ES"/>
        </w:rPr>
        <w:t>E</w:t>
      </w:r>
      <w:r w:rsidRPr="00217435">
        <w:rPr>
          <w:rFonts w:ascii="Arial" w:eastAsia="Arial" w:hAnsi="Arial" w:cs="Arial"/>
          <w:sz w:val="22"/>
          <w:lang w:val="es-ES"/>
        </w:rPr>
        <w:t xml:space="preserve">l inciso segundo del artículo 2.2.1.1.1.7.1 </w:t>
      </w:r>
      <w:proofErr w:type="spellStart"/>
      <w:r w:rsidRPr="00217435">
        <w:rPr>
          <w:rFonts w:ascii="Arial" w:eastAsia="Arial" w:hAnsi="Arial" w:cs="Arial"/>
          <w:i/>
          <w:iCs/>
          <w:sz w:val="22"/>
          <w:lang w:val="es-ES"/>
        </w:rPr>
        <w:t>ejusdem</w:t>
      </w:r>
      <w:proofErr w:type="spellEnd"/>
      <w:r w:rsidRPr="00217435">
        <w:rPr>
          <w:rFonts w:ascii="Arial" w:eastAsia="Arial" w:hAnsi="Arial" w:cs="Arial"/>
          <w:i/>
          <w:iCs/>
          <w:sz w:val="22"/>
          <w:lang w:val="es-ES"/>
        </w:rPr>
        <w:t xml:space="preserve">, </w:t>
      </w:r>
      <w:r w:rsidRPr="00217435">
        <w:rPr>
          <w:rFonts w:ascii="Arial" w:eastAsia="Arial" w:hAnsi="Arial" w:cs="Arial"/>
          <w:sz w:val="22"/>
          <w:lang w:val="es-ES"/>
        </w:rPr>
        <w:t>hace expl</w:t>
      </w:r>
      <w:r w:rsidR="00345F2B" w:rsidRPr="00217435">
        <w:rPr>
          <w:rFonts w:ascii="Arial" w:eastAsia="Arial" w:hAnsi="Arial" w:cs="Arial"/>
          <w:sz w:val="22"/>
          <w:lang w:val="es-ES"/>
        </w:rPr>
        <w:t>í</w:t>
      </w:r>
      <w:r w:rsidRPr="00217435">
        <w:rPr>
          <w:rFonts w:ascii="Arial" w:eastAsia="Arial" w:hAnsi="Arial" w:cs="Arial"/>
          <w:sz w:val="22"/>
          <w:lang w:val="es-ES"/>
        </w:rPr>
        <w:t xml:space="preserve">cito el deber de las entidades estatales de publicar el </w:t>
      </w:r>
      <w:r w:rsidR="009F5E32" w:rsidRPr="00217435">
        <w:rPr>
          <w:rFonts w:ascii="Arial" w:eastAsia="Arial" w:hAnsi="Arial" w:cs="Arial"/>
          <w:sz w:val="22"/>
          <w:lang w:val="es-ES"/>
        </w:rPr>
        <w:t>aviso de convocatoria</w:t>
      </w:r>
      <w:r w:rsidRPr="00217435">
        <w:rPr>
          <w:rFonts w:ascii="Arial" w:eastAsia="Arial" w:hAnsi="Arial" w:cs="Arial"/>
          <w:sz w:val="22"/>
          <w:lang w:val="es-ES"/>
        </w:rPr>
        <w:t xml:space="preserve"> con el objeto de que los interesados formulen observaciones</w:t>
      </w:r>
      <w:r w:rsidR="009F5E32" w:rsidRPr="00217435">
        <w:rPr>
          <w:rFonts w:ascii="Arial" w:eastAsia="Arial" w:hAnsi="Arial" w:cs="Arial"/>
          <w:sz w:val="22"/>
          <w:lang w:val="es-ES"/>
        </w:rPr>
        <w:t xml:space="preserve"> al proyecto de pliego de condiciones o soliciten aclaraciones en los términos del artículo </w:t>
      </w:r>
      <w:r w:rsidR="009F5E32" w:rsidRPr="00217435">
        <w:rPr>
          <w:rFonts w:ascii="Arial" w:hAnsi="Arial" w:cs="Arial"/>
          <w:sz w:val="22"/>
          <w:lang w:val="es-ES"/>
        </w:rPr>
        <w:t xml:space="preserve">2.2.1.1.2.1.4, deber que hace extensivo a la invitación </w:t>
      </w:r>
      <w:r w:rsidR="009F5E32" w:rsidRPr="00217435">
        <w:rPr>
          <w:rFonts w:ascii="Arial" w:eastAsia="Arial" w:hAnsi="Arial" w:cs="Arial"/>
          <w:sz w:val="22"/>
          <w:lang w:val="es-ES"/>
        </w:rPr>
        <w:t>a participar en procesos de mínima cuantía.</w:t>
      </w:r>
      <w:r w:rsidR="00AB6664" w:rsidRPr="00217435">
        <w:rPr>
          <w:rFonts w:ascii="Arial" w:eastAsia="Arial" w:hAnsi="Arial" w:cs="Arial"/>
          <w:sz w:val="22"/>
          <w:lang w:val="es-ES"/>
        </w:rPr>
        <w:t xml:space="preserve"> No obstante, de conformidad con el inciso final del artículo 2.2.1.1.2.1.2 del Decreto 1082 de 2015, la expedición</w:t>
      </w:r>
      <w:r w:rsidR="00BC14FF" w:rsidRPr="00217435">
        <w:rPr>
          <w:rFonts w:ascii="Arial" w:eastAsia="Arial" w:hAnsi="Arial" w:cs="Arial"/>
          <w:sz w:val="22"/>
          <w:lang w:val="es-ES"/>
        </w:rPr>
        <w:t xml:space="preserve"> y publicación en </w:t>
      </w:r>
      <w:r w:rsidR="004F0161" w:rsidRPr="00217435">
        <w:rPr>
          <w:rFonts w:ascii="Arial" w:eastAsia="Arial" w:hAnsi="Arial" w:cs="Arial"/>
          <w:sz w:val="22"/>
          <w:lang w:val="es-ES"/>
        </w:rPr>
        <w:t xml:space="preserve">el </w:t>
      </w:r>
      <w:r w:rsidR="00BC14FF" w:rsidRPr="00217435">
        <w:rPr>
          <w:rFonts w:ascii="Arial" w:eastAsia="Arial" w:hAnsi="Arial" w:cs="Arial"/>
          <w:sz w:val="22"/>
          <w:lang w:val="es-ES"/>
        </w:rPr>
        <w:t>SECOP de</w:t>
      </w:r>
      <w:r w:rsidR="00CB31C7" w:rsidRPr="00217435">
        <w:rPr>
          <w:rFonts w:ascii="Arial" w:eastAsia="Arial" w:hAnsi="Arial" w:cs="Arial"/>
          <w:sz w:val="22"/>
          <w:lang w:val="es-ES"/>
        </w:rPr>
        <w:t>l</w:t>
      </w:r>
      <w:r w:rsidR="00AB6664" w:rsidRPr="00217435">
        <w:rPr>
          <w:rFonts w:ascii="Arial" w:eastAsia="Arial" w:hAnsi="Arial" w:cs="Arial"/>
          <w:sz w:val="22"/>
          <w:lang w:val="es-ES"/>
        </w:rPr>
        <w:t xml:space="preserve"> aviso de convocatoria no </w:t>
      </w:r>
      <w:r w:rsidR="004F0161" w:rsidRPr="00217435">
        <w:rPr>
          <w:rFonts w:ascii="Arial" w:eastAsia="Arial" w:hAnsi="Arial" w:cs="Arial"/>
          <w:sz w:val="22"/>
          <w:lang w:val="es-ES"/>
        </w:rPr>
        <w:t>es</w:t>
      </w:r>
      <w:r w:rsidR="00AB6664" w:rsidRPr="00217435">
        <w:rPr>
          <w:rFonts w:ascii="Arial" w:eastAsia="Arial" w:hAnsi="Arial" w:cs="Arial"/>
          <w:sz w:val="22"/>
          <w:lang w:val="es-ES"/>
        </w:rPr>
        <w:t xml:space="preserve"> necesaria en l</w:t>
      </w:r>
      <w:r w:rsidR="00BC14FF" w:rsidRPr="00217435">
        <w:rPr>
          <w:rFonts w:ascii="Arial" w:eastAsia="Arial" w:hAnsi="Arial" w:cs="Arial"/>
          <w:sz w:val="22"/>
          <w:lang w:val="es-ES"/>
        </w:rPr>
        <w:t>as modalidades de selección de contratación</w:t>
      </w:r>
      <w:r w:rsidR="00AB6664" w:rsidRPr="00217435">
        <w:rPr>
          <w:rFonts w:ascii="Arial" w:eastAsia="Arial" w:hAnsi="Arial" w:cs="Arial"/>
          <w:sz w:val="22"/>
          <w:lang w:val="es-ES"/>
        </w:rPr>
        <w:t xml:space="preserve"> directa y mínima cuantía</w:t>
      </w:r>
      <w:r w:rsidR="00BC14FF" w:rsidRPr="00217435">
        <w:rPr>
          <w:rFonts w:ascii="Arial" w:eastAsia="Arial" w:hAnsi="Arial" w:cs="Arial"/>
          <w:sz w:val="22"/>
          <w:lang w:val="es-ES"/>
        </w:rPr>
        <w:t>.</w:t>
      </w:r>
      <w:r w:rsidR="00AB6664" w:rsidRPr="00217435">
        <w:rPr>
          <w:rFonts w:ascii="Arial" w:eastAsia="Arial" w:hAnsi="Arial" w:cs="Arial"/>
          <w:sz w:val="22"/>
          <w:lang w:val="es-ES"/>
        </w:rPr>
        <w:t xml:space="preserve"> </w:t>
      </w:r>
    </w:p>
    <w:p w14:paraId="3A75D1A8" w14:textId="570C6B4A" w:rsidR="009E6D63" w:rsidRPr="00217435" w:rsidRDefault="009F5E32" w:rsidP="00870E1A">
      <w:pPr>
        <w:widowControl w:val="0"/>
        <w:autoSpaceDE w:val="0"/>
        <w:autoSpaceDN w:val="0"/>
        <w:spacing w:after="120" w:line="276" w:lineRule="auto"/>
        <w:ind w:firstLine="708"/>
        <w:jc w:val="both"/>
        <w:rPr>
          <w:rFonts w:ascii="Arial" w:eastAsia="Arial" w:hAnsi="Arial" w:cs="Arial"/>
          <w:sz w:val="22"/>
          <w:lang w:val="es-ES"/>
        </w:rPr>
      </w:pPr>
      <w:r w:rsidRPr="00217435">
        <w:rPr>
          <w:rFonts w:ascii="Arial" w:eastAsia="Arial" w:hAnsi="Arial" w:cs="Arial"/>
          <w:sz w:val="22"/>
          <w:lang w:val="es-ES"/>
        </w:rPr>
        <w:t>De lo anterior se puede concluir que</w:t>
      </w:r>
      <w:r w:rsidR="004F0161" w:rsidRPr="00217435">
        <w:rPr>
          <w:rFonts w:ascii="Arial" w:eastAsia="Arial" w:hAnsi="Arial" w:cs="Arial"/>
          <w:sz w:val="22"/>
          <w:lang w:val="es-ES"/>
        </w:rPr>
        <w:t>,</w:t>
      </w:r>
      <w:r w:rsidRPr="00217435">
        <w:rPr>
          <w:rFonts w:ascii="Arial" w:eastAsia="Arial" w:hAnsi="Arial" w:cs="Arial"/>
          <w:sz w:val="22"/>
          <w:lang w:val="es-ES"/>
        </w:rPr>
        <w:t xml:space="preserve"> en virtud de lo dispuesto en el artículo 3 de la Ley 1150 de 2007, desarrollado por el artículo 2.2.1.1.1.7.1. del Decreto 1082 de 2015, las entidades están obligadas a publicar en el SECOP todos los documentos relacionados con el </w:t>
      </w:r>
      <w:r w:rsidR="00A3629B" w:rsidRPr="00A3629B">
        <w:rPr>
          <w:rFonts w:ascii="Arial" w:eastAsia="Arial" w:hAnsi="Arial" w:cs="Arial"/>
          <w:i/>
          <w:iCs/>
          <w:sz w:val="22"/>
          <w:lang w:val="es-ES"/>
        </w:rPr>
        <w:t>P</w:t>
      </w:r>
      <w:r w:rsidRPr="00A3629B">
        <w:rPr>
          <w:rFonts w:ascii="Arial" w:eastAsia="Arial" w:hAnsi="Arial" w:cs="Arial"/>
          <w:i/>
          <w:iCs/>
          <w:sz w:val="22"/>
          <w:lang w:val="es-ES"/>
        </w:rPr>
        <w:t xml:space="preserve">roceso de </w:t>
      </w:r>
      <w:r w:rsidR="00A3629B" w:rsidRPr="00A3629B">
        <w:rPr>
          <w:rFonts w:ascii="Arial" w:eastAsia="Arial" w:hAnsi="Arial" w:cs="Arial"/>
          <w:i/>
          <w:iCs/>
          <w:sz w:val="22"/>
          <w:lang w:val="es-ES"/>
        </w:rPr>
        <w:t>C</w:t>
      </w:r>
      <w:r w:rsidRPr="00A3629B">
        <w:rPr>
          <w:rFonts w:ascii="Arial" w:eastAsia="Arial" w:hAnsi="Arial" w:cs="Arial"/>
          <w:i/>
          <w:iCs/>
          <w:sz w:val="22"/>
          <w:lang w:val="es-ES"/>
        </w:rPr>
        <w:t>ontratación</w:t>
      </w:r>
      <w:r w:rsidRPr="00217435">
        <w:rPr>
          <w:rFonts w:ascii="Arial" w:eastAsia="Arial" w:hAnsi="Arial" w:cs="Arial"/>
          <w:sz w:val="22"/>
          <w:lang w:val="es-ES"/>
        </w:rPr>
        <w:t xml:space="preserve"> expedidos durante las etapas precontractual, de ejecución y </w:t>
      </w:r>
      <w:proofErr w:type="spellStart"/>
      <w:r w:rsidRPr="00217435">
        <w:rPr>
          <w:rFonts w:ascii="Arial" w:eastAsia="Arial" w:hAnsi="Arial" w:cs="Arial"/>
          <w:sz w:val="22"/>
          <w:lang w:val="es-ES"/>
        </w:rPr>
        <w:t>pos</w:t>
      </w:r>
      <w:r w:rsidR="00AC676E" w:rsidRPr="00217435">
        <w:rPr>
          <w:rFonts w:ascii="Arial" w:eastAsia="Arial" w:hAnsi="Arial" w:cs="Arial"/>
          <w:sz w:val="22"/>
          <w:lang w:val="es-ES"/>
        </w:rPr>
        <w:t>tcontractual</w:t>
      </w:r>
      <w:proofErr w:type="spellEnd"/>
      <w:r w:rsidR="0038626E" w:rsidRPr="00217435">
        <w:rPr>
          <w:rFonts w:ascii="Arial" w:eastAsia="Arial" w:hAnsi="Arial" w:cs="Arial"/>
          <w:sz w:val="22"/>
          <w:lang w:val="es-ES"/>
        </w:rPr>
        <w:t>,</w:t>
      </w:r>
      <w:r w:rsidR="00184BE6" w:rsidRPr="00217435">
        <w:rPr>
          <w:rFonts w:ascii="Arial" w:eastAsia="Arial" w:hAnsi="Arial" w:cs="Arial"/>
          <w:sz w:val="22"/>
          <w:lang w:val="es-ES"/>
        </w:rPr>
        <w:t xml:space="preserve"> dentro de los tres (3) días hábiles siguientes a su producción</w:t>
      </w:r>
      <w:r w:rsidR="00184BE6" w:rsidRPr="00217435">
        <w:rPr>
          <w:rStyle w:val="Refdenotaalpie"/>
          <w:rFonts w:ascii="Arial" w:eastAsia="Arial" w:hAnsi="Arial" w:cs="Arial"/>
          <w:sz w:val="22"/>
          <w:lang w:val="es-ES"/>
        </w:rPr>
        <w:footnoteReference w:id="15"/>
      </w:r>
      <w:r w:rsidR="00AC676E" w:rsidRPr="00217435">
        <w:rPr>
          <w:rFonts w:ascii="Arial" w:eastAsia="Arial" w:hAnsi="Arial" w:cs="Arial"/>
          <w:sz w:val="22"/>
          <w:lang w:val="es-ES"/>
        </w:rPr>
        <w:t>, deber que a</w:t>
      </w:r>
      <w:r w:rsidR="0038626E" w:rsidRPr="00217435">
        <w:rPr>
          <w:rFonts w:ascii="Arial" w:eastAsia="Arial" w:hAnsi="Arial" w:cs="Arial"/>
          <w:sz w:val="22"/>
          <w:lang w:val="es-ES"/>
        </w:rPr>
        <w:t>plica</w:t>
      </w:r>
      <w:r w:rsidR="00AC676E" w:rsidRPr="00217435">
        <w:rPr>
          <w:rFonts w:ascii="Arial" w:eastAsia="Arial" w:hAnsi="Arial" w:cs="Arial"/>
          <w:sz w:val="22"/>
          <w:lang w:val="es-ES"/>
        </w:rPr>
        <w:t xml:space="preserve"> a todas las modalidades de selección y entidades regidas por el Estatuto General de Contratación de la Administración Pública, y del que solo se encuentran </w:t>
      </w:r>
      <w:r w:rsidR="0038626E" w:rsidRPr="00217435">
        <w:rPr>
          <w:rFonts w:ascii="Arial" w:eastAsia="Arial" w:hAnsi="Arial" w:cs="Arial"/>
          <w:sz w:val="22"/>
          <w:lang w:val="es-ES"/>
        </w:rPr>
        <w:t>excluidas</w:t>
      </w:r>
      <w:r w:rsidR="00AC676E" w:rsidRPr="00217435">
        <w:rPr>
          <w:rFonts w:ascii="Arial" w:eastAsia="Arial" w:hAnsi="Arial" w:cs="Arial"/>
          <w:sz w:val="22"/>
          <w:lang w:val="es-ES"/>
        </w:rPr>
        <w:t xml:space="preserve"> las ofertas ganadoras y los documentos expedidos en el marco de operaciones de bolsa de productos.</w:t>
      </w:r>
    </w:p>
    <w:p w14:paraId="6BE29354" w14:textId="37D3B8B4" w:rsidR="001A2559" w:rsidRPr="00217435" w:rsidRDefault="008576FC"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No obstante, el deber de public</w:t>
      </w:r>
      <w:r w:rsidR="0038626E" w:rsidRPr="00217435">
        <w:rPr>
          <w:rFonts w:ascii="Arial" w:eastAsia="Calibri" w:hAnsi="Arial" w:cs="Arial"/>
          <w:sz w:val="22"/>
          <w:lang w:val="es-ES"/>
        </w:rPr>
        <w:t>ar</w:t>
      </w:r>
      <w:r w:rsidRPr="00217435">
        <w:rPr>
          <w:rFonts w:ascii="Arial" w:eastAsia="Calibri" w:hAnsi="Arial" w:cs="Arial"/>
          <w:sz w:val="22"/>
          <w:lang w:val="es-ES"/>
        </w:rPr>
        <w:t xml:space="preserve"> los documentos relacionados con la contratación no se </w:t>
      </w:r>
      <w:r w:rsidR="00830B56" w:rsidRPr="00217435">
        <w:rPr>
          <w:rFonts w:ascii="Arial" w:eastAsia="Calibri" w:hAnsi="Arial" w:cs="Arial"/>
          <w:sz w:val="22"/>
          <w:lang w:val="es-ES"/>
        </w:rPr>
        <w:t>encuentra</w:t>
      </w:r>
      <w:r w:rsidRPr="00217435">
        <w:rPr>
          <w:rFonts w:ascii="Arial" w:eastAsia="Calibri" w:hAnsi="Arial" w:cs="Arial"/>
          <w:sz w:val="22"/>
          <w:lang w:val="es-ES"/>
        </w:rPr>
        <w:t xml:space="preserve"> regulado</w:t>
      </w:r>
      <w:r w:rsidR="0038626E" w:rsidRPr="00217435">
        <w:rPr>
          <w:rFonts w:ascii="Arial" w:eastAsia="Calibri" w:hAnsi="Arial" w:cs="Arial"/>
          <w:sz w:val="22"/>
          <w:lang w:val="es-ES"/>
        </w:rPr>
        <w:t xml:space="preserve"> solamente</w:t>
      </w:r>
      <w:r w:rsidRPr="00217435">
        <w:rPr>
          <w:rFonts w:ascii="Arial" w:eastAsia="Calibri" w:hAnsi="Arial" w:cs="Arial"/>
          <w:sz w:val="22"/>
          <w:lang w:val="es-ES"/>
        </w:rPr>
        <w:t xml:space="preserve"> por las normas </w:t>
      </w:r>
      <w:r w:rsidR="00CE6987" w:rsidRPr="00217435">
        <w:rPr>
          <w:rFonts w:ascii="Arial" w:eastAsia="Calibri" w:hAnsi="Arial" w:cs="Arial"/>
          <w:sz w:val="22"/>
          <w:lang w:val="es-ES"/>
        </w:rPr>
        <w:t>d</w:t>
      </w:r>
      <w:r w:rsidRPr="00217435">
        <w:rPr>
          <w:rFonts w:ascii="Arial" w:eastAsia="Calibri" w:hAnsi="Arial" w:cs="Arial"/>
          <w:sz w:val="22"/>
          <w:lang w:val="es-ES"/>
        </w:rPr>
        <w:t xml:space="preserve">el </w:t>
      </w:r>
      <w:r w:rsidR="00830B56" w:rsidRPr="00217435">
        <w:rPr>
          <w:rFonts w:ascii="Arial" w:eastAsia="Calibri" w:hAnsi="Arial" w:cs="Arial"/>
          <w:sz w:val="22"/>
          <w:lang w:val="es-ES"/>
        </w:rPr>
        <w:t>Estatuto</w:t>
      </w:r>
      <w:r w:rsidRPr="00217435">
        <w:rPr>
          <w:rFonts w:ascii="Arial" w:eastAsia="Calibri" w:hAnsi="Arial" w:cs="Arial"/>
          <w:sz w:val="22"/>
          <w:lang w:val="es-ES"/>
        </w:rPr>
        <w:t xml:space="preserve"> General de Contratació</w:t>
      </w:r>
      <w:r w:rsidR="00230AE4" w:rsidRPr="00217435">
        <w:rPr>
          <w:rFonts w:ascii="Arial" w:eastAsia="Calibri" w:hAnsi="Arial" w:cs="Arial"/>
          <w:sz w:val="22"/>
          <w:lang w:val="es-ES"/>
        </w:rPr>
        <w:t>n</w:t>
      </w:r>
      <w:r w:rsidRPr="00217435">
        <w:rPr>
          <w:rFonts w:ascii="Arial" w:eastAsia="Calibri" w:hAnsi="Arial" w:cs="Arial"/>
          <w:sz w:val="22"/>
          <w:lang w:val="es-ES"/>
        </w:rPr>
        <w:t xml:space="preserve">  de la Administración Pública, ya que la Ley 1712 de 2014,</w:t>
      </w:r>
      <w:r w:rsidR="001A2559" w:rsidRPr="00217435">
        <w:rPr>
          <w:rFonts w:ascii="Arial" w:eastAsia="Calibri" w:hAnsi="Arial" w:cs="Arial"/>
          <w:sz w:val="22"/>
          <w:lang w:val="es-ES"/>
        </w:rPr>
        <w:t xml:space="preserve"> normativa </w:t>
      </w:r>
      <w:r w:rsidR="0038626E" w:rsidRPr="00217435">
        <w:rPr>
          <w:rFonts w:ascii="Arial" w:eastAsia="Calibri" w:hAnsi="Arial" w:cs="Arial"/>
          <w:sz w:val="22"/>
          <w:lang w:val="es-ES"/>
        </w:rPr>
        <w:t>de</w:t>
      </w:r>
      <w:r w:rsidR="001A2559" w:rsidRPr="00217435">
        <w:rPr>
          <w:rFonts w:ascii="Arial" w:eastAsia="Calibri" w:hAnsi="Arial" w:cs="Arial"/>
          <w:sz w:val="22"/>
          <w:lang w:val="es-ES"/>
        </w:rPr>
        <w:t xml:space="preserve"> la </w:t>
      </w:r>
      <w:r w:rsidR="0038626E" w:rsidRPr="00217435">
        <w:rPr>
          <w:rFonts w:ascii="Arial" w:eastAsia="Calibri" w:hAnsi="Arial" w:cs="Arial"/>
          <w:sz w:val="22"/>
          <w:lang w:val="es-ES"/>
        </w:rPr>
        <w:t>t</w:t>
      </w:r>
      <w:r w:rsidR="001A2559" w:rsidRPr="00217435">
        <w:rPr>
          <w:rFonts w:ascii="Arial" w:eastAsia="Calibri" w:hAnsi="Arial" w:cs="Arial"/>
          <w:sz w:val="22"/>
          <w:lang w:val="es-ES"/>
        </w:rPr>
        <w:t xml:space="preserve">ransparencia y del </w:t>
      </w:r>
      <w:r w:rsidR="0038626E" w:rsidRPr="00217435">
        <w:rPr>
          <w:rFonts w:ascii="Arial" w:eastAsia="Calibri" w:hAnsi="Arial" w:cs="Arial"/>
          <w:sz w:val="22"/>
          <w:lang w:val="es-ES"/>
        </w:rPr>
        <w:t>d</w:t>
      </w:r>
      <w:r w:rsidR="001A2559" w:rsidRPr="00217435">
        <w:rPr>
          <w:rFonts w:ascii="Arial" w:eastAsia="Calibri" w:hAnsi="Arial" w:cs="Arial"/>
          <w:sz w:val="22"/>
          <w:lang w:val="es-ES"/>
        </w:rPr>
        <w:t xml:space="preserve">erecho de </w:t>
      </w:r>
      <w:r w:rsidR="0038626E" w:rsidRPr="00217435">
        <w:rPr>
          <w:rFonts w:ascii="Arial" w:eastAsia="Calibri" w:hAnsi="Arial" w:cs="Arial"/>
          <w:sz w:val="22"/>
          <w:lang w:val="es-ES"/>
        </w:rPr>
        <w:t>a</w:t>
      </w:r>
      <w:r w:rsidR="001A2559" w:rsidRPr="00217435">
        <w:rPr>
          <w:rFonts w:ascii="Arial" w:eastAsia="Calibri" w:hAnsi="Arial" w:cs="Arial"/>
          <w:sz w:val="22"/>
          <w:lang w:val="es-ES"/>
        </w:rPr>
        <w:t xml:space="preserve">cceso a la </w:t>
      </w:r>
      <w:r w:rsidR="0038626E" w:rsidRPr="00217435">
        <w:rPr>
          <w:rFonts w:ascii="Arial" w:eastAsia="Calibri" w:hAnsi="Arial" w:cs="Arial"/>
          <w:sz w:val="22"/>
          <w:lang w:val="es-ES"/>
        </w:rPr>
        <w:t>i</w:t>
      </w:r>
      <w:r w:rsidR="001A2559" w:rsidRPr="00217435">
        <w:rPr>
          <w:rFonts w:ascii="Arial" w:eastAsia="Calibri" w:hAnsi="Arial" w:cs="Arial"/>
          <w:sz w:val="22"/>
          <w:lang w:val="es-ES"/>
        </w:rPr>
        <w:t xml:space="preserve">nformación </w:t>
      </w:r>
      <w:r w:rsidR="0038626E" w:rsidRPr="00217435">
        <w:rPr>
          <w:rFonts w:ascii="Arial" w:eastAsia="Calibri" w:hAnsi="Arial" w:cs="Arial"/>
          <w:sz w:val="22"/>
          <w:lang w:val="es-ES"/>
        </w:rPr>
        <w:t>p</w:t>
      </w:r>
      <w:r w:rsidR="001A2559" w:rsidRPr="00217435">
        <w:rPr>
          <w:rFonts w:ascii="Arial" w:eastAsia="Calibri" w:hAnsi="Arial" w:cs="Arial"/>
          <w:sz w:val="22"/>
          <w:lang w:val="es-ES"/>
        </w:rPr>
        <w:t>ública, señala en el literal g)</w:t>
      </w:r>
      <w:r w:rsidR="00426A47" w:rsidRPr="00217435">
        <w:rPr>
          <w:rFonts w:ascii="Arial" w:eastAsia="Calibri" w:hAnsi="Arial" w:cs="Arial"/>
          <w:sz w:val="22"/>
          <w:lang w:val="es-ES"/>
        </w:rPr>
        <w:t xml:space="preserve"> del</w:t>
      </w:r>
      <w:r w:rsidR="001A2559" w:rsidRPr="00217435">
        <w:rPr>
          <w:rFonts w:ascii="Arial" w:eastAsia="Calibri" w:hAnsi="Arial" w:cs="Arial"/>
          <w:sz w:val="22"/>
          <w:lang w:val="es-ES"/>
        </w:rPr>
        <w:t xml:space="preserve"> artículo 11, que </w:t>
      </w:r>
      <w:r w:rsidR="001A2559" w:rsidRPr="00217435">
        <w:rPr>
          <w:rFonts w:ascii="Arial" w:eastAsia="Calibri" w:hAnsi="Arial" w:cs="Arial"/>
          <w:sz w:val="22"/>
          <w:lang w:val="es-ES"/>
        </w:rPr>
        <w:lastRenderedPageBreak/>
        <w:t>todo sujeto obligado debe publicar sus procedimientos, lineamientos, políticas en materia de adquisiciones y compras, así como todos los datos de adjudicación y ejecución de sus contratos</w:t>
      </w:r>
      <w:r w:rsidR="00426A47" w:rsidRPr="00217435">
        <w:rPr>
          <w:rFonts w:ascii="Arial" w:eastAsia="Calibri" w:hAnsi="Arial" w:cs="Arial"/>
          <w:sz w:val="22"/>
          <w:lang w:val="es-ES"/>
        </w:rPr>
        <w:t>.</w:t>
      </w:r>
      <w:r w:rsidR="001A2559" w:rsidRPr="00217435">
        <w:rPr>
          <w:rFonts w:ascii="Arial" w:eastAsia="Calibri" w:hAnsi="Arial" w:cs="Arial"/>
          <w:sz w:val="22"/>
          <w:lang w:val="es-ES"/>
        </w:rPr>
        <w:t xml:space="preserve"> </w:t>
      </w:r>
      <w:r w:rsidRPr="00217435">
        <w:rPr>
          <w:rFonts w:ascii="Arial" w:eastAsia="Calibri" w:hAnsi="Arial" w:cs="Arial"/>
          <w:sz w:val="22"/>
          <w:lang w:val="es-ES"/>
        </w:rPr>
        <w:t xml:space="preserve">Esta obligación, </w:t>
      </w:r>
      <w:r w:rsidR="0038626E" w:rsidRPr="00217435">
        <w:rPr>
          <w:rFonts w:ascii="Arial" w:eastAsia="Calibri" w:hAnsi="Arial" w:cs="Arial"/>
          <w:sz w:val="22"/>
          <w:lang w:val="es-ES"/>
        </w:rPr>
        <w:t>en principio</w:t>
      </w:r>
      <w:r w:rsidR="00CE6987" w:rsidRPr="00217435">
        <w:rPr>
          <w:rFonts w:ascii="Arial" w:eastAsia="Calibri" w:hAnsi="Arial" w:cs="Arial"/>
          <w:sz w:val="22"/>
          <w:lang w:val="es-ES"/>
        </w:rPr>
        <w:t>,</w:t>
      </w:r>
      <w:r w:rsidR="0038626E" w:rsidRPr="00217435">
        <w:rPr>
          <w:rFonts w:ascii="Arial" w:eastAsia="Calibri" w:hAnsi="Arial" w:cs="Arial"/>
          <w:sz w:val="22"/>
          <w:lang w:val="es-ES"/>
        </w:rPr>
        <w:t xml:space="preserve"> fue reglamentada por el Decreto 103 de </w:t>
      </w:r>
      <w:r w:rsidR="00AD32B3" w:rsidRPr="00217435">
        <w:rPr>
          <w:rFonts w:ascii="Arial" w:eastAsia="Calibri" w:hAnsi="Arial" w:cs="Arial"/>
          <w:sz w:val="22"/>
          <w:lang w:val="es-ES"/>
        </w:rPr>
        <w:t>2015,</w:t>
      </w:r>
      <w:r w:rsidR="00407396" w:rsidRPr="00217435">
        <w:rPr>
          <w:rFonts w:ascii="Arial" w:eastAsia="Calibri" w:hAnsi="Arial" w:cs="Arial"/>
          <w:sz w:val="22"/>
          <w:lang w:val="es-ES"/>
        </w:rPr>
        <w:t xml:space="preserve"> hoy</w:t>
      </w:r>
      <w:r w:rsidR="00AD32B3" w:rsidRPr="00217435">
        <w:rPr>
          <w:rFonts w:ascii="Arial" w:eastAsia="Calibri" w:hAnsi="Arial" w:cs="Arial"/>
          <w:sz w:val="22"/>
          <w:lang w:val="es-ES"/>
        </w:rPr>
        <w:t xml:space="preserve"> compilado</w:t>
      </w:r>
      <w:r w:rsidRPr="00217435">
        <w:rPr>
          <w:rFonts w:ascii="Arial" w:eastAsia="Calibri" w:hAnsi="Arial" w:cs="Arial"/>
          <w:sz w:val="22"/>
          <w:lang w:val="es-ES"/>
        </w:rPr>
        <w:t xml:space="preserve"> </w:t>
      </w:r>
      <w:r w:rsidR="00B362B4" w:rsidRPr="00217435">
        <w:rPr>
          <w:rFonts w:ascii="Arial" w:eastAsia="Calibri" w:hAnsi="Arial" w:cs="Arial"/>
          <w:sz w:val="22"/>
          <w:lang w:val="es-ES"/>
        </w:rPr>
        <w:t>en</w:t>
      </w:r>
      <w:r w:rsidRPr="00217435">
        <w:rPr>
          <w:rFonts w:ascii="Arial" w:eastAsia="Calibri" w:hAnsi="Arial" w:cs="Arial"/>
          <w:sz w:val="22"/>
          <w:lang w:val="es-ES"/>
        </w:rPr>
        <w:t xml:space="preserve"> el</w:t>
      </w:r>
      <w:r w:rsidR="001A2559" w:rsidRPr="00217435">
        <w:rPr>
          <w:rFonts w:ascii="Arial" w:eastAsia="Calibri" w:hAnsi="Arial" w:cs="Arial"/>
          <w:sz w:val="22"/>
          <w:lang w:val="es-ES"/>
        </w:rPr>
        <w:t xml:space="preserve"> Decreto </w:t>
      </w:r>
      <w:r w:rsidR="009222B7" w:rsidRPr="00217435">
        <w:rPr>
          <w:rFonts w:ascii="Arial" w:eastAsia="Calibri" w:hAnsi="Arial" w:cs="Arial"/>
          <w:sz w:val="22"/>
          <w:lang w:val="es-ES"/>
        </w:rPr>
        <w:t>1081 de 2015</w:t>
      </w:r>
      <w:r w:rsidR="00AA3F14" w:rsidRPr="00217435">
        <w:rPr>
          <w:rFonts w:ascii="Arial" w:eastAsia="Calibri" w:hAnsi="Arial" w:cs="Arial"/>
          <w:sz w:val="22"/>
          <w:lang w:val="es-ES"/>
        </w:rPr>
        <w:t xml:space="preserve">. Este último </w:t>
      </w:r>
      <w:r w:rsidRPr="00217435">
        <w:rPr>
          <w:rFonts w:ascii="Arial" w:eastAsia="Calibri" w:hAnsi="Arial" w:cs="Arial"/>
          <w:sz w:val="22"/>
          <w:lang w:val="es-ES"/>
        </w:rPr>
        <w:t>señala</w:t>
      </w:r>
      <w:r w:rsidR="00CE6987" w:rsidRPr="00217435">
        <w:rPr>
          <w:rFonts w:ascii="Arial" w:eastAsia="Calibri" w:hAnsi="Arial" w:cs="Arial"/>
          <w:sz w:val="22"/>
          <w:lang w:val="es-ES"/>
        </w:rPr>
        <w:t>,</w:t>
      </w:r>
      <w:r w:rsidRPr="00217435">
        <w:rPr>
          <w:rFonts w:ascii="Arial" w:eastAsia="Calibri" w:hAnsi="Arial" w:cs="Arial"/>
          <w:sz w:val="22"/>
          <w:lang w:val="es-ES"/>
        </w:rPr>
        <w:t xml:space="preserve"> en el</w:t>
      </w:r>
      <w:r w:rsidR="001A2559" w:rsidRPr="00217435">
        <w:rPr>
          <w:rFonts w:ascii="Arial" w:eastAsia="Calibri" w:hAnsi="Arial" w:cs="Arial"/>
          <w:sz w:val="22"/>
          <w:lang w:val="es-ES"/>
        </w:rPr>
        <w:t xml:space="preserve"> artículo</w:t>
      </w:r>
      <w:r w:rsidR="00426A47" w:rsidRPr="00217435">
        <w:rPr>
          <w:rFonts w:ascii="Arial" w:eastAsia="Calibri" w:hAnsi="Arial" w:cs="Arial"/>
          <w:sz w:val="22"/>
          <w:lang w:val="es-ES"/>
        </w:rPr>
        <w:t xml:space="preserve"> 2.1.1.2.1.7</w:t>
      </w:r>
      <w:r w:rsidR="00CE6987" w:rsidRPr="00217435">
        <w:rPr>
          <w:rFonts w:ascii="Arial" w:eastAsia="Calibri" w:hAnsi="Arial" w:cs="Arial"/>
          <w:sz w:val="22"/>
          <w:lang w:val="es-ES"/>
        </w:rPr>
        <w:t>,</w:t>
      </w:r>
      <w:r w:rsidR="00426A47" w:rsidRPr="00217435">
        <w:rPr>
          <w:rFonts w:ascii="Arial" w:eastAsia="Calibri" w:hAnsi="Arial" w:cs="Arial"/>
          <w:sz w:val="22"/>
          <w:lang w:val="es-ES"/>
        </w:rPr>
        <w:t xml:space="preserve"> que las entidades deberán publicar en el SECOP </w:t>
      </w:r>
      <w:r w:rsidR="00426A47" w:rsidRPr="00217435">
        <w:rPr>
          <w:rFonts w:ascii="Arial" w:hAnsi="Arial" w:cs="Arial"/>
          <w:sz w:val="22"/>
          <w:lang w:val="es-ES"/>
        </w:rPr>
        <w:t>la información de su gestión contractual</w:t>
      </w:r>
      <w:r w:rsidR="00426A47" w:rsidRPr="00217435">
        <w:rPr>
          <w:rStyle w:val="Refdenotaalpie"/>
          <w:rFonts w:ascii="Arial" w:hAnsi="Arial" w:cs="Arial"/>
          <w:sz w:val="22"/>
          <w:lang w:val="es-ES"/>
        </w:rPr>
        <w:footnoteReference w:id="16"/>
      </w:r>
      <w:r w:rsidR="001A2559" w:rsidRPr="00217435">
        <w:rPr>
          <w:rFonts w:ascii="Arial" w:eastAsia="Calibri" w:hAnsi="Arial" w:cs="Arial"/>
          <w:sz w:val="22"/>
          <w:lang w:val="es-ES"/>
        </w:rPr>
        <w:t xml:space="preserve">. Por su parte, el artículo </w:t>
      </w:r>
      <w:r w:rsidR="009222B7" w:rsidRPr="00217435">
        <w:rPr>
          <w:rFonts w:ascii="Arial" w:eastAsia="Calibri" w:hAnsi="Arial" w:cs="Arial"/>
          <w:sz w:val="22"/>
          <w:lang w:val="es-ES"/>
        </w:rPr>
        <w:t>2.1.1.2.1.9</w:t>
      </w:r>
      <w:r w:rsidR="001A2559" w:rsidRPr="00217435">
        <w:rPr>
          <w:rFonts w:ascii="Arial" w:eastAsia="Calibri" w:hAnsi="Arial" w:cs="Arial"/>
          <w:sz w:val="22"/>
          <w:lang w:val="es-ES"/>
        </w:rPr>
        <w:t xml:space="preserve"> </w:t>
      </w:r>
      <w:r w:rsidR="00604F49" w:rsidRPr="00217435">
        <w:rPr>
          <w:rFonts w:ascii="Arial" w:eastAsia="Calibri" w:hAnsi="Arial" w:cs="Arial"/>
          <w:sz w:val="22"/>
          <w:lang w:val="es-ES"/>
        </w:rPr>
        <w:t xml:space="preserve">expresa </w:t>
      </w:r>
      <w:r w:rsidR="001A2559" w:rsidRPr="00217435">
        <w:rPr>
          <w:rFonts w:ascii="Arial" w:eastAsia="Calibri" w:hAnsi="Arial" w:cs="Arial"/>
          <w:sz w:val="22"/>
          <w:lang w:val="es-ES"/>
        </w:rPr>
        <w:t>que las entidades deberán publicar los procedimientos, lineamientos y políticas en materia de adquisición, que no son otros que los previstos en el manual de contratación, el cual debe publicarse en el sitio web del sujeto obligado</w:t>
      </w:r>
      <w:r w:rsidR="001A2559" w:rsidRPr="00217435">
        <w:rPr>
          <w:rStyle w:val="Refdenotaalpie"/>
          <w:rFonts w:ascii="Arial" w:eastAsia="Calibri" w:hAnsi="Arial" w:cs="Arial"/>
          <w:sz w:val="22"/>
          <w:lang w:val="es-ES"/>
        </w:rPr>
        <w:footnoteReference w:id="17"/>
      </w:r>
      <w:r w:rsidR="001A2559" w:rsidRPr="00217435">
        <w:rPr>
          <w:rFonts w:ascii="Arial" w:eastAsia="Calibri" w:hAnsi="Arial" w:cs="Arial"/>
          <w:sz w:val="22"/>
          <w:lang w:val="es-ES"/>
        </w:rPr>
        <w:t xml:space="preserve">. </w:t>
      </w:r>
      <w:r w:rsidR="008B378E" w:rsidRPr="00217435">
        <w:rPr>
          <w:rFonts w:ascii="Arial" w:eastAsia="Calibri" w:hAnsi="Arial" w:cs="Arial"/>
          <w:sz w:val="22"/>
          <w:lang w:val="es-ES"/>
        </w:rPr>
        <w:t>E</w:t>
      </w:r>
      <w:r w:rsidR="001A2559" w:rsidRPr="00217435">
        <w:rPr>
          <w:rFonts w:ascii="Arial" w:eastAsia="Calibri" w:hAnsi="Arial" w:cs="Arial"/>
          <w:sz w:val="22"/>
          <w:lang w:val="es-ES"/>
        </w:rPr>
        <w:t xml:space="preserve">l artículo </w:t>
      </w:r>
      <w:r w:rsidR="009222B7" w:rsidRPr="00217435">
        <w:rPr>
          <w:rFonts w:ascii="Arial" w:eastAsia="Calibri" w:hAnsi="Arial" w:cs="Arial"/>
          <w:sz w:val="22"/>
          <w:lang w:val="es-ES"/>
        </w:rPr>
        <w:t>2.1.1.2.1.10</w:t>
      </w:r>
      <w:r w:rsidR="001A2559" w:rsidRPr="00217435">
        <w:rPr>
          <w:rFonts w:ascii="Arial" w:eastAsia="Calibri" w:hAnsi="Arial" w:cs="Arial"/>
          <w:sz w:val="22"/>
          <w:lang w:val="es-ES"/>
        </w:rPr>
        <w:t xml:space="preserve"> establece la obligación que tienen las entidades de publicar en el SECOP el Plan Anual de Adquisiciones</w:t>
      </w:r>
      <w:r w:rsidR="001A2559" w:rsidRPr="00217435">
        <w:rPr>
          <w:rStyle w:val="Refdenotaalpie"/>
          <w:rFonts w:ascii="Arial" w:eastAsia="Calibri" w:hAnsi="Arial" w:cs="Arial"/>
          <w:sz w:val="22"/>
          <w:lang w:val="es-ES"/>
        </w:rPr>
        <w:footnoteReference w:id="18"/>
      </w:r>
      <w:r w:rsidR="001A2559" w:rsidRPr="00217435">
        <w:rPr>
          <w:rFonts w:ascii="Arial" w:eastAsia="Calibri" w:hAnsi="Arial" w:cs="Arial"/>
          <w:sz w:val="22"/>
          <w:lang w:val="es-ES"/>
        </w:rPr>
        <w:t xml:space="preserve">. </w:t>
      </w:r>
    </w:p>
    <w:p w14:paraId="0EFF14F5" w14:textId="2CE01084" w:rsidR="008B378E" w:rsidRPr="00217435" w:rsidRDefault="008B378E"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De ot</w:t>
      </w:r>
      <w:r w:rsidR="00814881" w:rsidRPr="00217435">
        <w:rPr>
          <w:rFonts w:ascii="Arial" w:eastAsia="Calibri" w:hAnsi="Arial" w:cs="Arial"/>
          <w:sz w:val="22"/>
          <w:lang w:val="es-ES"/>
        </w:rPr>
        <w:t>ro lado</w:t>
      </w:r>
      <w:r w:rsidRPr="00217435">
        <w:rPr>
          <w:rFonts w:ascii="Arial" w:eastAsia="Calibri" w:hAnsi="Arial" w:cs="Arial"/>
          <w:sz w:val="22"/>
          <w:lang w:val="es-ES"/>
        </w:rPr>
        <w:t xml:space="preserve">, el artículo 2.1.1.2.1.8, establece </w:t>
      </w:r>
      <w:r w:rsidR="00814881" w:rsidRPr="00217435">
        <w:rPr>
          <w:rFonts w:ascii="Arial" w:eastAsia="Calibri" w:hAnsi="Arial" w:cs="Arial"/>
          <w:sz w:val="22"/>
          <w:lang w:val="es-ES"/>
        </w:rPr>
        <w:t>los</w:t>
      </w:r>
      <w:r w:rsidRPr="00217435">
        <w:rPr>
          <w:rFonts w:ascii="Arial" w:eastAsia="Calibri" w:hAnsi="Arial" w:cs="Arial"/>
          <w:sz w:val="22"/>
          <w:lang w:val="es-ES"/>
        </w:rPr>
        <w:t xml:space="preserve"> efectos de </w:t>
      </w:r>
      <w:r w:rsidRPr="00217435">
        <w:rPr>
          <w:rFonts w:ascii="Arial" w:hAnsi="Arial" w:cs="Arial"/>
          <w:sz w:val="22"/>
          <w:lang w:val="es-ES"/>
        </w:rPr>
        <w:t>la obligación contenida en el literal g) del artículo 11 de la Ley 1712 de 2014, en rela</w:t>
      </w:r>
      <w:r w:rsidR="00814881" w:rsidRPr="00217435">
        <w:rPr>
          <w:rFonts w:ascii="Arial" w:hAnsi="Arial" w:cs="Arial"/>
          <w:sz w:val="22"/>
          <w:lang w:val="es-ES"/>
        </w:rPr>
        <w:t xml:space="preserve">ción con los </w:t>
      </w:r>
      <w:r w:rsidRPr="00217435">
        <w:rPr>
          <w:rFonts w:ascii="Arial" w:hAnsi="Arial" w:cs="Arial"/>
          <w:sz w:val="22"/>
          <w:lang w:val="es-ES"/>
        </w:rPr>
        <w:t xml:space="preserve">documentos </w:t>
      </w:r>
      <w:r w:rsidR="00372952" w:rsidRPr="00217435">
        <w:rPr>
          <w:rFonts w:ascii="Arial" w:hAnsi="Arial" w:cs="Arial"/>
          <w:sz w:val="22"/>
          <w:lang w:val="es-ES"/>
        </w:rPr>
        <w:t xml:space="preserve">producidos durante </w:t>
      </w:r>
      <w:r w:rsidRPr="00217435">
        <w:rPr>
          <w:rFonts w:ascii="Arial" w:hAnsi="Arial" w:cs="Arial"/>
          <w:sz w:val="22"/>
          <w:lang w:val="es-ES"/>
        </w:rPr>
        <w:t xml:space="preserve">la ejecución del contrato, </w:t>
      </w:r>
      <w:r w:rsidR="00372952" w:rsidRPr="00217435">
        <w:rPr>
          <w:rFonts w:ascii="Arial" w:hAnsi="Arial" w:cs="Arial"/>
          <w:sz w:val="22"/>
          <w:lang w:val="es-ES"/>
        </w:rPr>
        <w:t xml:space="preserve">señalando que </w:t>
      </w:r>
      <w:r w:rsidRPr="00217435">
        <w:rPr>
          <w:rFonts w:ascii="Arial" w:hAnsi="Arial" w:cs="Arial"/>
          <w:sz w:val="22"/>
          <w:lang w:val="es-ES"/>
        </w:rPr>
        <w:t>se</w:t>
      </w:r>
      <w:r w:rsidRPr="00217435">
        <w:rPr>
          <w:rFonts w:ascii="Arial" w:eastAsia="Calibri" w:hAnsi="Arial" w:cs="Arial"/>
          <w:sz w:val="22"/>
          <w:lang w:val="es-ES"/>
        </w:rPr>
        <w:t xml:space="preserve"> deben publicar las </w:t>
      </w:r>
      <w:r w:rsidRPr="00217435">
        <w:rPr>
          <w:rFonts w:ascii="Arial" w:eastAsia="Calibri" w:hAnsi="Arial" w:cs="Arial"/>
          <w:sz w:val="22"/>
          <w:lang w:val="es-ES"/>
        </w:rPr>
        <w:lastRenderedPageBreak/>
        <w:t>aprobaciones, autorizaciones, requerimientos o informes del supervisor o interventor, que prueben la ejecución del contrato</w:t>
      </w:r>
      <w:r w:rsidRPr="00217435">
        <w:rPr>
          <w:rStyle w:val="Refdenotaalpie"/>
          <w:rFonts w:ascii="Arial" w:eastAsia="Calibri" w:hAnsi="Arial" w:cs="Arial"/>
          <w:sz w:val="22"/>
          <w:lang w:val="es-ES"/>
        </w:rPr>
        <w:footnoteReference w:id="19"/>
      </w:r>
      <w:r w:rsidRPr="00217435">
        <w:rPr>
          <w:rFonts w:ascii="Arial" w:eastAsia="Calibri" w:hAnsi="Arial" w:cs="Arial"/>
          <w:sz w:val="22"/>
          <w:lang w:val="es-ES"/>
        </w:rPr>
        <w:t>.</w:t>
      </w:r>
    </w:p>
    <w:p w14:paraId="768B0D18" w14:textId="2F65571C" w:rsidR="00C840E8" w:rsidRPr="00217435" w:rsidRDefault="00C840E8"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En ese orden, el deber de public</w:t>
      </w:r>
      <w:r w:rsidR="00372952" w:rsidRPr="00217435">
        <w:rPr>
          <w:rFonts w:ascii="Arial" w:eastAsia="Calibri" w:hAnsi="Arial" w:cs="Arial"/>
          <w:sz w:val="22"/>
          <w:lang w:val="es-ES"/>
        </w:rPr>
        <w:t>ar l</w:t>
      </w:r>
      <w:r w:rsidRPr="00217435">
        <w:rPr>
          <w:rFonts w:ascii="Arial" w:eastAsia="Calibri" w:hAnsi="Arial" w:cs="Arial"/>
          <w:sz w:val="22"/>
          <w:lang w:val="es-ES"/>
        </w:rPr>
        <w:t xml:space="preserve">a actividad contractual de las entidades estatales no solo </w:t>
      </w:r>
      <w:r w:rsidR="00372952" w:rsidRPr="00217435">
        <w:rPr>
          <w:rFonts w:ascii="Arial" w:eastAsia="Calibri" w:hAnsi="Arial" w:cs="Arial"/>
          <w:sz w:val="22"/>
          <w:lang w:val="es-ES"/>
        </w:rPr>
        <w:t xml:space="preserve">está </w:t>
      </w:r>
      <w:r w:rsidRPr="00217435">
        <w:rPr>
          <w:rFonts w:ascii="Arial" w:eastAsia="Calibri" w:hAnsi="Arial" w:cs="Arial"/>
          <w:sz w:val="22"/>
          <w:lang w:val="es-ES"/>
        </w:rPr>
        <w:t xml:space="preserve">regulado </w:t>
      </w:r>
      <w:r w:rsidR="00372952" w:rsidRPr="00217435">
        <w:rPr>
          <w:rFonts w:ascii="Arial" w:eastAsia="Calibri" w:hAnsi="Arial" w:cs="Arial"/>
          <w:sz w:val="22"/>
          <w:lang w:val="es-ES"/>
        </w:rPr>
        <w:t>en</w:t>
      </w:r>
      <w:r w:rsidRPr="00217435">
        <w:rPr>
          <w:rFonts w:ascii="Arial" w:eastAsia="Calibri" w:hAnsi="Arial" w:cs="Arial"/>
          <w:sz w:val="22"/>
          <w:lang w:val="es-ES"/>
        </w:rPr>
        <w:t xml:space="preserve"> el artículo 3 de la Ley 1150 de 2007</w:t>
      </w:r>
      <w:r w:rsidR="00372952" w:rsidRPr="00217435">
        <w:rPr>
          <w:rFonts w:ascii="Arial" w:eastAsia="Calibri" w:hAnsi="Arial" w:cs="Arial"/>
          <w:sz w:val="22"/>
          <w:lang w:val="es-ES"/>
        </w:rPr>
        <w:t>,</w:t>
      </w:r>
      <w:r w:rsidRPr="00217435">
        <w:rPr>
          <w:rFonts w:ascii="Arial" w:eastAsia="Calibri" w:hAnsi="Arial" w:cs="Arial"/>
          <w:sz w:val="22"/>
          <w:lang w:val="es-ES"/>
        </w:rPr>
        <w:t xml:space="preserve"> y </w:t>
      </w:r>
      <w:r w:rsidR="00372952" w:rsidRPr="00217435">
        <w:rPr>
          <w:rFonts w:ascii="Arial" w:eastAsia="Calibri" w:hAnsi="Arial" w:cs="Arial"/>
          <w:sz w:val="22"/>
          <w:lang w:val="es-ES"/>
        </w:rPr>
        <w:t xml:space="preserve">en </w:t>
      </w:r>
      <w:r w:rsidRPr="00217435">
        <w:rPr>
          <w:rFonts w:ascii="Arial" w:eastAsia="Calibri" w:hAnsi="Arial" w:cs="Arial"/>
          <w:sz w:val="22"/>
          <w:lang w:val="es-ES"/>
        </w:rPr>
        <w:t xml:space="preserve">el </w:t>
      </w:r>
      <w:r w:rsidRPr="00217435">
        <w:rPr>
          <w:rFonts w:ascii="Arial" w:eastAsia="Arial" w:hAnsi="Arial" w:cs="Arial"/>
          <w:sz w:val="22"/>
          <w:lang w:val="es-ES"/>
        </w:rPr>
        <w:t>artículo 2.2.1.1.1.7.1. del Decreto 1082 de 2015, sino también en la Ley 1712 de 2014</w:t>
      </w:r>
      <w:r w:rsidR="00372952" w:rsidRPr="00217435">
        <w:rPr>
          <w:rFonts w:ascii="Arial" w:eastAsia="Arial" w:hAnsi="Arial" w:cs="Arial"/>
          <w:sz w:val="22"/>
          <w:lang w:val="es-ES"/>
        </w:rPr>
        <w:t>,</w:t>
      </w:r>
      <w:r w:rsidRPr="00217435">
        <w:rPr>
          <w:rFonts w:ascii="Arial" w:eastAsia="Arial" w:hAnsi="Arial" w:cs="Arial"/>
          <w:sz w:val="22"/>
          <w:lang w:val="es-ES"/>
        </w:rPr>
        <w:t xml:space="preserve"> y </w:t>
      </w:r>
      <w:r w:rsidR="00372952" w:rsidRPr="00217435">
        <w:rPr>
          <w:rFonts w:ascii="Arial" w:eastAsia="Arial" w:hAnsi="Arial" w:cs="Arial"/>
          <w:sz w:val="22"/>
          <w:lang w:val="es-ES"/>
        </w:rPr>
        <w:t xml:space="preserve">en </w:t>
      </w:r>
      <w:r w:rsidRPr="00217435">
        <w:rPr>
          <w:rFonts w:ascii="Arial" w:eastAsia="Arial" w:hAnsi="Arial" w:cs="Arial"/>
          <w:sz w:val="22"/>
          <w:lang w:val="es-ES"/>
        </w:rPr>
        <w:t xml:space="preserve">el Decreto 1081 de 2015, normas que no solo refuerzan y complementan al régimen de contratación estatal en </w:t>
      </w:r>
      <w:r w:rsidR="00372952" w:rsidRPr="00217435">
        <w:rPr>
          <w:rFonts w:ascii="Arial" w:eastAsia="Arial" w:hAnsi="Arial" w:cs="Arial"/>
          <w:sz w:val="22"/>
          <w:lang w:val="es-ES"/>
        </w:rPr>
        <w:t xml:space="preserve">cuanto a la </w:t>
      </w:r>
      <w:r w:rsidRPr="00217435">
        <w:rPr>
          <w:rFonts w:ascii="Arial" w:eastAsia="Arial" w:hAnsi="Arial" w:cs="Arial"/>
          <w:sz w:val="22"/>
          <w:lang w:val="es-ES"/>
        </w:rPr>
        <w:t xml:space="preserve">publicidad, sino que </w:t>
      </w:r>
      <w:r w:rsidR="00372952" w:rsidRPr="00217435">
        <w:rPr>
          <w:rFonts w:ascii="Arial" w:eastAsia="Arial" w:hAnsi="Arial" w:cs="Arial"/>
          <w:sz w:val="22"/>
          <w:lang w:val="es-ES"/>
        </w:rPr>
        <w:t xml:space="preserve">lo </w:t>
      </w:r>
      <w:r w:rsidRPr="00217435">
        <w:rPr>
          <w:rFonts w:ascii="Arial" w:eastAsia="Arial" w:hAnsi="Arial" w:cs="Arial"/>
          <w:sz w:val="22"/>
          <w:lang w:val="es-ES"/>
        </w:rPr>
        <w:t>amplía</w:t>
      </w:r>
      <w:r w:rsidR="004B414B" w:rsidRPr="00217435">
        <w:rPr>
          <w:rFonts w:ascii="Arial" w:eastAsia="Arial" w:hAnsi="Arial" w:cs="Arial"/>
          <w:sz w:val="22"/>
          <w:lang w:val="es-ES"/>
        </w:rPr>
        <w:t xml:space="preserve">, </w:t>
      </w:r>
      <w:r w:rsidR="00F74BA3" w:rsidRPr="00217435">
        <w:rPr>
          <w:rFonts w:ascii="Arial" w:eastAsia="Arial" w:hAnsi="Arial" w:cs="Arial"/>
          <w:sz w:val="22"/>
          <w:lang w:val="es-ES"/>
        </w:rPr>
        <w:t>p</w:t>
      </w:r>
      <w:r w:rsidR="004B414B" w:rsidRPr="00217435">
        <w:rPr>
          <w:rFonts w:ascii="Arial" w:eastAsia="Arial" w:hAnsi="Arial" w:cs="Arial"/>
          <w:sz w:val="22"/>
          <w:lang w:val="es-ES"/>
        </w:rPr>
        <w:t xml:space="preserve">ara incluir </w:t>
      </w:r>
      <w:r w:rsidRPr="00217435">
        <w:rPr>
          <w:rFonts w:ascii="Arial" w:eastAsia="Arial" w:hAnsi="Arial" w:cs="Arial"/>
          <w:sz w:val="22"/>
          <w:lang w:val="es-ES"/>
        </w:rPr>
        <w:t xml:space="preserve">la publicación </w:t>
      </w:r>
      <w:r w:rsidR="00D723EB" w:rsidRPr="00217435">
        <w:rPr>
          <w:rFonts w:ascii="Arial" w:eastAsia="Arial" w:hAnsi="Arial" w:cs="Arial"/>
          <w:sz w:val="22"/>
          <w:lang w:val="es-ES"/>
        </w:rPr>
        <w:t xml:space="preserve">de los </w:t>
      </w:r>
      <w:r w:rsidR="004B414B" w:rsidRPr="00217435">
        <w:rPr>
          <w:rFonts w:ascii="Arial" w:eastAsia="Arial" w:hAnsi="Arial" w:cs="Arial"/>
          <w:sz w:val="22"/>
          <w:lang w:val="es-ES"/>
        </w:rPr>
        <w:t>«</w:t>
      </w:r>
      <w:r w:rsidR="00D723EB" w:rsidRPr="00217435">
        <w:rPr>
          <w:rFonts w:ascii="Arial" w:eastAsia="Arial" w:hAnsi="Arial" w:cs="Arial"/>
          <w:sz w:val="22"/>
          <w:lang w:val="es-ES"/>
        </w:rPr>
        <w:t>procedimientos</w:t>
      </w:r>
      <w:r w:rsidR="004B414B" w:rsidRPr="00217435">
        <w:rPr>
          <w:rFonts w:ascii="Arial" w:eastAsia="Arial" w:hAnsi="Arial" w:cs="Arial"/>
          <w:sz w:val="22"/>
          <w:lang w:val="es-ES"/>
        </w:rPr>
        <w:t>»</w:t>
      </w:r>
      <w:r w:rsidR="00D723EB" w:rsidRPr="00217435">
        <w:rPr>
          <w:rFonts w:ascii="Arial" w:eastAsia="Arial" w:hAnsi="Arial" w:cs="Arial"/>
          <w:sz w:val="22"/>
          <w:lang w:val="es-ES"/>
        </w:rPr>
        <w:t xml:space="preserve"> y la información relativa a la </w:t>
      </w:r>
      <w:r w:rsidR="004B414B" w:rsidRPr="00217435">
        <w:rPr>
          <w:rFonts w:ascii="Arial" w:eastAsia="Arial" w:hAnsi="Arial" w:cs="Arial"/>
          <w:sz w:val="22"/>
          <w:lang w:val="es-ES"/>
        </w:rPr>
        <w:t>«</w:t>
      </w:r>
      <w:r w:rsidR="00D723EB" w:rsidRPr="00217435">
        <w:rPr>
          <w:rFonts w:ascii="Arial" w:eastAsia="Arial" w:hAnsi="Arial" w:cs="Arial"/>
          <w:sz w:val="22"/>
          <w:lang w:val="es-ES"/>
        </w:rPr>
        <w:t>gestión contractual</w:t>
      </w:r>
      <w:r w:rsidR="004B414B" w:rsidRPr="00217435">
        <w:rPr>
          <w:rFonts w:ascii="Arial" w:eastAsia="Arial" w:hAnsi="Arial" w:cs="Arial"/>
          <w:sz w:val="22"/>
          <w:lang w:val="es-ES"/>
        </w:rPr>
        <w:t>»</w:t>
      </w:r>
      <w:r w:rsidR="00D723EB" w:rsidRPr="00217435">
        <w:rPr>
          <w:rFonts w:ascii="Arial" w:eastAsia="Arial" w:hAnsi="Arial" w:cs="Arial"/>
          <w:sz w:val="22"/>
          <w:lang w:val="es-ES"/>
        </w:rPr>
        <w:t xml:space="preserve">, sin el condicionamiento de tratarse </w:t>
      </w:r>
      <w:r w:rsidR="00372952" w:rsidRPr="00217435">
        <w:rPr>
          <w:rFonts w:ascii="Arial" w:eastAsia="Arial" w:hAnsi="Arial" w:cs="Arial"/>
          <w:sz w:val="22"/>
          <w:lang w:val="es-ES"/>
        </w:rPr>
        <w:t xml:space="preserve">exclusivamente </w:t>
      </w:r>
      <w:r w:rsidR="00D723EB" w:rsidRPr="00217435">
        <w:rPr>
          <w:rFonts w:ascii="Arial" w:eastAsia="Arial" w:hAnsi="Arial" w:cs="Arial"/>
          <w:sz w:val="22"/>
          <w:lang w:val="es-ES"/>
        </w:rPr>
        <w:t xml:space="preserve">de </w:t>
      </w:r>
      <w:r w:rsidR="00372952" w:rsidRPr="00217435">
        <w:rPr>
          <w:rFonts w:ascii="Arial" w:eastAsia="Arial" w:hAnsi="Arial" w:cs="Arial"/>
          <w:sz w:val="22"/>
          <w:lang w:val="es-ES"/>
        </w:rPr>
        <w:t xml:space="preserve">los </w:t>
      </w:r>
      <w:r w:rsidR="00F327C3" w:rsidRPr="00F327C3">
        <w:rPr>
          <w:rFonts w:ascii="Arial" w:eastAsia="Arial" w:hAnsi="Arial" w:cs="Arial"/>
          <w:i/>
          <w:iCs/>
          <w:sz w:val="22"/>
          <w:lang w:val="es-ES"/>
        </w:rPr>
        <w:t>D</w:t>
      </w:r>
      <w:r w:rsidR="00D723EB" w:rsidRPr="00F327C3">
        <w:rPr>
          <w:rFonts w:ascii="Arial" w:eastAsia="Arial" w:hAnsi="Arial" w:cs="Arial"/>
          <w:i/>
          <w:iCs/>
          <w:sz w:val="22"/>
          <w:lang w:val="es-ES"/>
        </w:rPr>
        <w:t xml:space="preserve">ocumentos del </w:t>
      </w:r>
      <w:r w:rsidR="00F327C3" w:rsidRPr="00F327C3">
        <w:rPr>
          <w:rFonts w:ascii="Arial" w:eastAsia="Arial" w:hAnsi="Arial" w:cs="Arial"/>
          <w:i/>
          <w:iCs/>
          <w:sz w:val="22"/>
          <w:lang w:val="es-ES"/>
        </w:rPr>
        <w:t>P</w:t>
      </w:r>
      <w:r w:rsidR="00D723EB" w:rsidRPr="00F327C3">
        <w:rPr>
          <w:rFonts w:ascii="Arial" w:eastAsia="Arial" w:hAnsi="Arial" w:cs="Arial"/>
          <w:i/>
          <w:iCs/>
          <w:sz w:val="22"/>
          <w:lang w:val="es-ES"/>
        </w:rPr>
        <w:t>roceso</w:t>
      </w:r>
      <w:r w:rsidR="00D723EB" w:rsidRPr="00217435">
        <w:rPr>
          <w:rFonts w:ascii="Arial" w:eastAsia="Arial" w:hAnsi="Arial" w:cs="Arial"/>
          <w:i/>
          <w:iCs/>
          <w:sz w:val="22"/>
          <w:lang w:val="es-ES"/>
        </w:rPr>
        <w:t xml:space="preserve"> </w:t>
      </w:r>
      <w:r w:rsidR="00D723EB" w:rsidRPr="00217435">
        <w:rPr>
          <w:rFonts w:ascii="Arial" w:eastAsia="Arial" w:hAnsi="Arial" w:cs="Arial"/>
          <w:sz w:val="22"/>
          <w:lang w:val="es-ES"/>
        </w:rPr>
        <w:t xml:space="preserve">expedidos por la </w:t>
      </w:r>
      <w:r w:rsidR="00372952" w:rsidRPr="00217435">
        <w:rPr>
          <w:rFonts w:ascii="Arial" w:eastAsia="Arial" w:hAnsi="Arial" w:cs="Arial"/>
          <w:sz w:val="22"/>
          <w:lang w:val="es-ES"/>
        </w:rPr>
        <w:t>«</w:t>
      </w:r>
      <w:r w:rsidR="00D723EB" w:rsidRPr="00217435">
        <w:rPr>
          <w:rFonts w:ascii="Arial" w:eastAsia="Arial" w:hAnsi="Arial" w:cs="Arial"/>
          <w:sz w:val="22"/>
          <w:lang w:val="es-ES"/>
        </w:rPr>
        <w:t>entidad estatal</w:t>
      </w:r>
      <w:r w:rsidR="00372952" w:rsidRPr="00217435">
        <w:rPr>
          <w:rFonts w:ascii="Arial" w:eastAsia="Arial" w:hAnsi="Arial" w:cs="Arial"/>
          <w:sz w:val="22"/>
          <w:lang w:val="es-ES"/>
        </w:rPr>
        <w:t>»</w:t>
      </w:r>
      <w:r w:rsidR="00D723EB" w:rsidRPr="00217435">
        <w:rPr>
          <w:rFonts w:ascii="Arial" w:eastAsia="Arial" w:hAnsi="Arial" w:cs="Arial"/>
          <w:sz w:val="22"/>
          <w:lang w:val="es-ES"/>
        </w:rPr>
        <w:t>.</w:t>
      </w:r>
    </w:p>
    <w:p w14:paraId="38DEE78E" w14:textId="70E0C750" w:rsidR="008B378E" w:rsidRPr="00217435" w:rsidRDefault="00D723EB"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L</w:t>
      </w:r>
      <w:r w:rsidR="0048113B" w:rsidRPr="00217435">
        <w:rPr>
          <w:rFonts w:ascii="Arial" w:eastAsia="Calibri" w:hAnsi="Arial" w:cs="Arial"/>
          <w:sz w:val="22"/>
          <w:lang w:val="es-ES"/>
        </w:rPr>
        <w:t>as publicaciones que corresponde efectuar a las entidades estatales, como sujetos obligados por</w:t>
      </w:r>
      <w:r w:rsidR="008B378E" w:rsidRPr="00217435">
        <w:rPr>
          <w:rFonts w:ascii="Arial" w:eastAsia="Calibri" w:hAnsi="Arial" w:cs="Arial"/>
          <w:sz w:val="22"/>
          <w:lang w:val="es-ES"/>
        </w:rPr>
        <w:t xml:space="preserve"> la normativa de</w:t>
      </w:r>
      <w:r w:rsidR="0048113B" w:rsidRPr="00217435">
        <w:rPr>
          <w:rFonts w:ascii="Arial" w:eastAsia="Calibri" w:hAnsi="Arial" w:cs="Arial"/>
          <w:sz w:val="22"/>
          <w:lang w:val="es-ES"/>
        </w:rPr>
        <w:t xml:space="preserve"> la transparencia y acceso a la información pública, en particular en lo re</w:t>
      </w:r>
      <w:r w:rsidR="004F00C1" w:rsidRPr="00217435">
        <w:rPr>
          <w:rFonts w:ascii="Arial" w:eastAsia="Calibri" w:hAnsi="Arial" w:cs="Arial"/>
          <w:sz w:val="22"/>
          <w:lang w:val="es-ES"/>
        </w:rPr>
        <w:t>ferente a</w:t>
      </w:r>
      <w:r w:rsidR="0048113B" w:rsidRPr="00217435">
        <w:rPr>
          <w:rFonts w:ascii="Arial" w:eastAsia="Calibri" w:hAnsi="Arial" w:cs="Arial"/>
          <w:sz w:val="22"/>
          <w:lang w:val="es-ES"/>
        </w:rPr>
        <w:t xml:space="preserve"> la información contractual, antes que una derogación o subrogación del contenido del deber de publicidad regulado por el EGCAP, suponen una ampliación de</w:t>
      </w:r>
      <w:r w:rsidR="004B414B" w:rsidRPr="00217435">
        <w:rPr>
          <w:rFonts w:ascii="Arial" w:eastAsia="Calibri" w:hAnsi="Arial" w:cs="Arial"/>
          <w:sz w:val="22"/>
          <w:lang w:val="es-ES"/>
        </w:rPr>
        <w:t xml:space="preserve"> su</w:t>
      </w:r>
      <w:r w:rsidR="0048113B" w:rsidRPr="00217435">
        <w:rPr>
          <w:rFonts w:ascii="Arial" w:eastAsia="Calibri" w:hAnsi="Arial" w:cs="Arial"/>
          <w:sz w:val="22"/>
          <w:lang w:val="es-ES"/>
        </w:rPr>
        <w:t xml:space="preserve"> alcance</w:t>
      </w:r>
      <w:r w:rsidR="004F00C1" w:rsidRPr="00217435">
        <w:rPr>
          <w:rFonts w:ascii="Arial" w:eastAsia="Calibri" w:hAnsi="Arial" w:cs="Arial"/>
          <w:sz w:val="22"/>
          <w:lang w:val="es-ES"/>
        </w:rPr>
        <w:t>,</w:t>
      </w:r>
      <w:r w:rsidR="0048113B" w:rsidRPr="00217435">
        <w:rPr>
          <w:rFonts w:ascii="Arial" w:eastAsia="Calibri" w:hAnsi="Arial" w:cs="Arial"/>
          <w:sz w:val="22"/>
          <w:lang w:val="es-ES"/>
        </w:rPr>
        <w:t xml:space="preserve"> qu</w:t>
      </w:r>
      <w:r w:rsidR="004F00C1" w:rsidRPr="00217435">
        <w:rPr>
          <w:rFonts w:ascii="Arial" w:eastAsia="Calibri" w:hAnsi="Arial" w:cs="Arial"/>
          <w:sz w:val="22"/>
          <w:lang w:val="es-ES"/>
        </w:rPr>
        <w:t>e lo hace</w:t>
      </w:r>
      <w:r w:rsidR="0048113B" w:rsidRPr="00217435">
        <w:rPr>
          <w:rFonts w:ascii="Arial" w:eastAsia="Calibri" w:hAnsi="Arial" w:cs="Arial"/>
          <w:sz w:val="22"/>
          <w:lang w:val="es-ES"/>
        </w:rPr>
        <w:t xml:space="preserve"> trasc</w:t>
      </w:r>
      <w:r w:rsidR="004F00C1" w:rsidRPr="00217435">
        <w:rPr>
          <w:rFonts w:ascii="Arial" w:eastAsia="Calibri" w:hAnsi="Arial" w:cs="Arial"/>
          <w:sz w:val="22"/>
          <w:lang w:val="es-ES"/>
        </w:rPr>
        <w:t>ender</w:t>
      </w:r>
      <w:r w:rsidR="0048113B" w:rsidRPr="00217435">
        <w:rPr>
          <w:rFonts w:ascii="Arial" w:eastAsia="Calibri" w:hAnsi="Arial" w:cs="Arial"/>
          <w:sz w:val="22"/>
          <w:lang w:val="es-ES"/>
        </w:rPr>
        <w:t xml:space="preserve"> de la </w:t>
      </w:r>
      <w:r w:rsidR="004B414B" w:rsidRPr="00217435">
        <w:rPr>
          <w:rFonts w:ascii="Arial" w:eastAsia="Calibri" w:hAnsi="Arial" w:cs="Arial"/>
          <w:sz w:val="22"/>
          <w:lang w:val="es-ES"/>
        </w:rPr>
        <w:t>simple</w:t>
      </w:r>
      <w:r w:rsidR="0048113B" w:rsidRPr="00217435">
        <w:rPr>
          <w:rFonts w:ascii="Arial" w:eastAsia="Calibri" w:hAnsi="Arial" w:cs="Arial"/>
          <w:sz w:val="22"/>
          <w:lang w:val="es-ES"/>
        </w:rPr>
        <w:t xml:space="preserve"> publicación de l</w:t>
      </w:r>
      <w:r w:rsidR="00212150" w:rsidRPr="00217435">
        <w:rPr>
          <w:rFonts w:ascii="Arial" w:eastAsia="Calibri" w:hAnsi="Arial" w:cs="Arial"/>
          <w:sz w:val="22"/>
          <w:lang w:val="es-ES"/>
        </w:rPr>
        <w:t xml:space="preserve">a información </w:t>
      </w:r>
      <w:r w:rsidR="004B414B" w:rsidRPr="00217435">
        <w:rPr>
          <w:rFonts w:ascii="Arial" w:eastAsia="Calibri" w:hAnsi="Arial" w:cs="Arial"/>
          <w:sz w:val="22"/>
          <w:lang w:val="es-ES"/>
        </w:rPr>
        <w:t>«</w:t>
      </w:r>
      <w:r w:rsidR="00212150" w:rsidRPr="00217435">
        <w:rPr>
          <w:rFonts w:ascii="Arial" w:eastAsia="Calibri" w:hAnsi="Arial" w:cs="Arial"/>
          <w:sz w:val="22"/>
          <w:lang w:val="es-ES"/>
        </w:rPr>
        <w:t>producida por la entidad estatal</w:t>
      </w:r>
      <w:r w:rsidR="004B414B" w:rsidRPr="00217435">
        <w:rPr>
          <w:rFonts w:ascii="Arial" w:eastAsia="Calibri" w:hAnsi="Arial" w:cs="Arial"/>
          <w:sz w:val="22"/>
          <w:lang w:val="es-ES"/>
        </w:rPr>
        <w:t>»</w:t>
      </w:r>
      <w:r w:rsidR="00212150" w:rsidRPr="00217435">
        <w:rPr>
          <w:rFonts w:ascii="Arial" w:eastAsia="Calibri" w:hAnsi="Arial" w:cs="Arial"/>
          <w:sz w:val="22"/>
          <w:lang w:val="es-ES"/>
        </w:rPr>
        <w:t xml:space="preserve"> </w:t>
      </w:r>
      <w:r w:rsidR="0048113B" w:rsidRPr="00217435">
        <w:rPr>
          <w:rFonts w:ascii="Arial" w:eastAsia="Calibri" w:hAnsi="Arial" w:cs="Arial"/>
          <w:sz w:val="22"/>
          <w:lang w:val="es-ES"/>
        </w:rPr>
        <w:t>asociad</w:t>
      </w:r>
      <w:r w:rsidR="00212150" w:rsidRPr="00217435">
        <w:rPr>
          <w:rFonts w:ascii="Arial" w:eastAsia="Calibri" w:hAnsi="Arial" w:cs="Arial"/>
          <w:sz w:val="22"/>
          <w:lang w:val="es-ES"/>
        </w:rPr>
        <w:t>a</w:t>
      </w:r>
      <w:r w:rsidR="0048113B" w:rsidRPr="00217435">
        <w:rPr>
          <w:rFonts w:ascii="Arial" w:eastAsia="Calibri" w:hAnsi="Arial" w:cs="Arial"/>
          <w:sz w:val="22"/>
          <w:lang w:val="es-ES"/>
        </w:rPr>
        <w:t xml:space="preserve"> a la noción de </w:t>
      </w:r>
      <w:r w:rsidR="00F327C3">
        <w:rPr>
          <w:rFonts w:ascii="Arial" w:eastAsia="Calibri" w:hAnsi="Arial" w:cs="Arial"/>
          <w:i/>
          <w:iCs/>
          <w:sz w:val="22"/>
          <w:lang w:val="es-ES"/>
        </w:rPr>
        <w:t>D</w:t>
      </w:r>
      <w:r w:rsidR="0048113B" w:rsidRPr="00217435">
        <w:rPr>
          <w:rFonts w:ascii="Arial" w:eastAsia="Calibri" w:hAnsi="Arial" w:cs="Arial"/>
          <w:i/>
          <w:iCs/>
          <w:sz w:val="22"/>
          <w:lang w:val="es-ES"/>
        </w:rPr>
        <w:t xml:space="preserve">ocumentos del </w:t>
      </w:r>
      <w:r w:rsidR="00F327C3">
        <w:rPr>
          <w:rFonts w:ascii="Arial" w:eastAsia="Calibri" w:hAnsi="Arial" w:cs="Arial"/>
          <w:i/>
          <w:iCs/>
          <w:sz w:val="22"/>
          <w:lang w:val="es-ES"/>
        </w:rPr>
        <w:t>P</w:t>
      </w:r>
      <w:r w:rsidR="0048113B" w:rsidRPr="00217435">
        <w:rPr>
          <w:rFonts w:ascii="Arial" w:eastAsia="Calibri" w:hAnsi="Arial" w:cs="Arial"/>
          <w:i/>
          <w:iCs/>
          <w:sz w:val="22"/>
          <w:lang w:val="es-ES"/>
        </w:rPr>
        <w:t>roceso</w:t>
      </w:r>
      <w:r w:rsidR="00212150" w:rsidRPr="00217435">
        <w:rPr>
          <w:rFonts w:ascii="Arial" w:eastAsia="Calibri" w:hAnsi="Arial" w:cs="Arial"/>
          <w:i/>
          <w:iCs/>
          <w:sz w:val="22"/>
          <w:lang w:val="es-ES"/>
        </w:rPr>
        <w:t>.</w:t>
      </w:r>
      <w:r w:rsidR="00212150" w:rsidRPr="00217435">
        <w:rPr>
          <w:rFonts w:ascii="Arial" w:hAnsi="Arial" w:cs="Arial"/>
          <w:sz w:val="22"/>
          <w:lang w:val="es-ES"/>
        </w:rPr>
        <w:t xml:space="preserve"> Esto</w:t>
      </w:r>
      <w:r w:rsidR="00212150" w:rsidRPr="00217435">
        <w:rPr>
          <w:rFonts w:ascii="Arial" w:eastAsia="Calibri" w:hAnsi="Arial" w:cs="Arial"/>
          <w:i/>
          <w:iCs/>
          <w:sz w:val="22"/>
          <w:lang w:val="es-ES"/>
        </w:rPr>
        <w:t xml:space="preserve"> </w:t>
      </w:r>
      <w:r w:rsidR="00212150" w:rsidRPr="00217435">
        <w:rPr>
          <w:rFonts w:ascii="Arial" w:eastAsia="Calibri" w:hAnsi="Arial" w:cs="Arial"/>
          <w:sz w:val="22"/>
          <w:lang w:val="es-ES"/>
        </w:rPr>
        <w:t xml:space="preserve">en la medida </w:t>
      </w:r>
      <w:r w:rsidRPr="00217435">
        <w:rPr>
          <w:rFonts w:ascii="Arial" w:eastAsia="Calibri" w:hAnsi="Arial" w:cs="Arial"/>
          <w:sz w:val="22"/>
          <w:lang w:val="es-ES"/>
        </w:rPr>
        <w:t xml:space="preserve">en </w:t>
      </w:r>
      <w:r w:rsidR="00212150" w:rsidRPr="00217435">
        <w:rPr>
          <w:rFonts w:ascii="Arial" w:eastAsia="Calibri" w:hAnsi="Arial" w:cs="Arial"/>
          <w:sz w:val="22"/>
          <w:lang w:val="es-ES"/>
        </w:rPr>
        <w:t>que</w:t>
      </w:r>
      <w:r w:rsidRPr="00217435">
        <w:rPr>
          <w:rFonts w:ascii="Arial" w:eastAsia="Calibri" w:hAnsi="Arial" w:cs="Arial"/>
          <w:sz w:val="22"/>
          <w:lang w:val="es-ES"/>
        </w:rPr>
        <w:t>,</w:t>
      </w:r>
      <w:r w:rsidR="00212150" w:rsidRPr="00217435">
        <w:rPr>
          <w:rFonts w:ascii="Arial" w:eastAsia="Calibri" w:hAnsi="Arial" w:cs="Arial"/>
          <w:sz w:val="22"/>
          <w:lang w:val="es-ES"/>
        </w:rPr>
        <w:t xml:space="preserve"> al </w:t>
      </w:r>
      <w:r w:rsidRPr="00217435">
        <w:rPr>
          <w:rFonts w:ascii="Arial" w:eastAsia="Calibri" w:hAnsi="Arial" w:cs="Arial"/>
          <w:sz w:val="22"/>
          <w:lang w:val="es-ES"/>
        </w:rPr>
        <w:t>establecer</w:t>
      </w:r>
      <w:r w:rsidR="004B414B" w:rsidRPr="00217435">
        <w:rPr>
          <w:rFonts w:ascii="Arial" w:eastAsia="Calibri" w:hAnsi="Arial" w:cs="Arial"/>
          <w:sz w:val="22"/>
          <w:lang w:val="es-ES"/>
        </w:rPr>
        <w:t>se</w:t>
      </w:r>
      <w:r w:rsidRPr="00217435">
        <w:rPr>
          <w:rFonts w:ascii="Arial" w:eastAsia="Calibri" w:hAnsi="Arial" w:cs="Arial"/>
          <w:sz w:val="22"/>
          <w:lang w:val="es-ES"/>
        </w:rPr>
        <w:t xml:space="preserve"> la obligación de</w:t>
      </w:r>
      <w:r w:rsidR="00212150" w:rsidRPr="00217435">
        <w:rPr>
          <w:rFonts w:ascii="Arial" w:eastAsia="Calibri" w:hAnsi="Arial" w:cs="Arial"/>
          <w:sz w:val="22"/>
          <w:lang w:val="es-ES"/>
        </w:rPr>
        <w:t xml:space="preserve"> publica</w:t>
      </w:r>
      <w:r w:rsidRPr="00217435">
        <w:rPr>
          <w:rFonts w:ascii="Arial" w:eastAsia="Calibri" w:hAnsi="Arial" w:cs="Arial"/>
          <w:sz w:val="22"/>
          <w:lang w:val="es-ES"/>
        </w:rPr>
        <w:t>r</w:t>
      </w:r>
      <w:r w:rsidR="00212150" w:rsidRPr="00217435">
        <w:rPr>
          <w:rFonts w:ascii="Arial" w:eastAsia="Calibri" w:hAnsi="Arial" w:cs="Arial"/>
          <w:sz w:val="22"/>
          <w:lang w:val="es-ES"/>
        </w:rPr>
        <w:t xml:space="preserve"> los </w:t>
      </w:r>
      <w:r w:rsidR="004B414B" w:rsidRPr="00217435">
        <w:rPr>
          <w:rFonts w:ascii="Arial" w:eastAsia="Calibri" w:hAnsi="Arial" w:cs="Arial"/>
          <w:sz w:val="22"/>
          <w:lang w:val="es-ES"/>
        </w:rPr>
        <w:t>«</w:t>
      </w:r>
      <w:r w:rsidR="00212150" w:rsidRPr="00217435">
        <w:rPr>
          <w:rFonts w:ascii="Arial" w:eastAsia="Calibri" w:hAnsi="Arial" w:cs="Arial"/>
          <w:sz w:val="22"/>
          <w:lang w:val="es-ES"/>
        </w:rPr>
        <w:t>procedimientos</w:t>
      </w:r>
      <w:r w:rsidR="004B414B" w:rsidRPr="00217435">
        <w:rPr>
          <w:rFonts w:ascii="Arial" w:eastAsia="Calibri" w:hAnsi="Arial" w:cs="Arial"/>
          <w:sz w:val="22"/>
          <w:lang w:val="es-ES"/>
        </w:rPr>
        <w:t>»</w:t>
      </w:r>
      <w:r w:rsidRPr="00217435">
        <w:rPr>
          <w:rFonts w:ascii="Arial" w:eastAsia="Calibri" w:hAnsi="Arial" w:cs="Arial"/>
          <w:sz w:val="22"/>
          <w:lang w:val="es-ES"/>
        </w:rPr>
        <w:t xml:space="preserve"> y la </w:t>
      </w:r>
      <w:r w:rsidR="004B414B" w:rsidRPr="00217435">
        <w:rPr>
          <w:rFonts w:ascii="Arial" w:eastAsia="Calibri" w:hAnsi="Arial" w:cs="Arial"/>
          <w:sz w:val="22"/>
          <w:lang w:val="es-ES"/>
        </w:rPr>
        <w:t>«</w:t>
      </w:r>
      <w:r w:rsidRPr="00217435">
        <w:rPr>
          <w:rFonts w:ascii="Arial" w:eastAsia="Calibri" w:hAnsi="Arial" w:cs="Arial"/>
          <w:sz w:val="22"/>
          <w:lang w:val="es-ES"/>
        </w:rPr>
        <w:t>información de la gestión contractual</w:t>
      </w:r>
      <w:r w:rsidR="004B414B" w:rsidRPr="00217435">
        <w:rPr>
          <w:rFonts w:ascii="Arial" w:eastAsia="Calibri" w:hAnsi="Arial" w:cs="Arial"/>
          <w:sz w:val="22"/>
          <w:lang w:val="es-ES"/>
        </w:rPr>
        <w:t>»</w:t>
      </w:r>
      <w:r w:rsidRPr="00217435">
        <w:rPr>
          <w:rFonts w:ascii="Arial" w:eastAsia="Calibri" w:hAnsi="Arial" w:cs="Arial"/>
          <w:sz w:val="22"/>
          <w:lang w:val="es-ES"/>
        </w:rPr>
        <w:t xml:space="preserve"> en el SECOP</w:t>
      </w:r>
      <w:r w:rsidR="00212150" w:rsidRPr="00217435">
        <w:rPr>
          <w:rFonts w:ascii="Arial" w:eastAsia="Calibri" w:hAnsi="Arial" w:cs="Arial"/>
          <w:sz w:val="22"/>
          <w:lang w:val="es-ES"/>
        </w:rPr>
        <w:t xml:space="preserve">, se </w:t>
      </w:r>
      <w:r w:rsidR="004B414B" w:rsidRPr="00217435">
        <w:rPr>
          <w:rFonts w:ascii="Arial" w:eastAsia="Calibri" w:hAnsi="Arial" w:cs="Arial"/>
          <w:sz w:val="22"/>
          <w:lang w:val="es-ES"/>
        </w:rPr>
        <w:t>incorporó</w:t>
      </w:r>
      <w:r w:rsidR="00212150" w:rsidRPr="00217435">
        <w:rPr>
          <w:rFonts w:ascii="Arial" w:eastAsia="Calibri" w:hAnsi="Arial" w:cs="Arial"/>
          <w:sz w:val="22"/>
          <w:lang w:val="es-ES"/>
        </w:rPr>
        <w:t xml:space="preserve"> una visión omnicomprensiva de la actividad contractual que debe publica</w:t>
      </w:r>
      <w:r w:rsidR="004B414B" w:rsidRPr="00217435">
        <w:rPr>
          <w:rFonts w:ascii="Arial" w:eastAsia="Calibri" w:hAnsi="Arial" w:cs="Arial"/>
          <w:sz w:val="22"/>
          <w:lang w:val="es-ES"/>
        </w:rPr>
        <w:t xml:space="preserve">rse, </w:t>
      </w:r>
      <w:r w:rsidR="00212150" w:rsidRPr="00217435">
        <w:rPr>
          <w:rFonts w:ascii="Arial" w:eastAsia="Calibri" w:hAnsi="Arial" w:cs="Arial"/>
          <w:sz w:val="22"/>
          <w:lang w:val="es-ES"/>
        </w:rPr>
        <w:t>comoquiera que la noción de procedimiento debe asimila</w:t>
      </w:r>
      <w:r w:rsidR="004B414B" w:rsidRPr="00217435">
        <w:rPr>
          <w:rFonts w:ascii="Arial" w:eastAsia="Calibri" w:hAnsi="Arial" w:cs="Arial"/>
          <w:sz w:val="22"/>
          <w:lang w:val="es-ES"/>
        </w:rPr>
        <w:t>rse</w:t>
      </w:r>
      <w:r w:rsidR="00212150" w:rsidRPr="00217435">
        <w:rPr>
          <w:rFonts w:ascii="Arial" w:eastAsia="Calibri" w:hAnsi="Arial" w:cs="Arial"/>
          <w:sz w:val="22"/>
          <w:lang w:val="es-ES"/>
        </w:rPr>
        <w:t xml:space="preserve"> a la de </w:t>
      </w:r>
      <w:r w:rsidR="00F327C3" w:rsidRPr="00F327C3">
        <w:rPr>
          <w:rFonts w:ascii="Arial" w:eastAsia="Calibri" w:hAnsi="Arial" w:cs="Arial"/>
          <w:i/>
          <w:iCs/>
          <w:sz w:val="22"/>
          <w:lang w:val="es-ES"/>
        </w:rPr>
        <w:t>P</w:t>
      </w:r>
      <w:r w:rsidR="00212150" w:rsidRPr="00F327C3">
        <w:rPr>
          <w:rFonts w:ascii="Arial" w:eastAsia="Calibri" w:hAnsi="Arial" w:cs="Arial"/>
          <w:i/>
          <w:iCs/>
          <w:sz w:val="22"/>
          <w:lang w:val="es-ES"/>
        </w:rPr>
        <w:t xml:space="preserve">roceso de </w:t>
      </w:r>
      <w:r w:rsidR="00F327C3" w:rsidRPr="00F327C3">
        <w:rPr>
          <w:rFonts w:ascii="Arial" w:eastAsia="Calibri" w:hAnsi="Arial" w:cs="Arial"/>
          <w:i/>
          <w:iCs/>
          <w:sz w:val="22"/>
          <w:lang w:val="es-ES"/>
        </w:rPr>
        <w:t>Co</w:t>
      </w:r>
      <w:r w:rsidR="00212150" w:rsidRPr="00F327C3">
        <w:rPr>
          <w:rFonts w:ascii="Arial" w:eastAsia="Calibri" w:hAnsi="Arial" w:cs="Arial"/>
          <w:i/>
          <w:iCs/>
          <w:sz w:val="22"/>
          <w:lang w:val="es-ES"/>
        </w:rPr>
        <w:t>ntratación,</w:t>
      </w:r>
      <w:r w:rsidR="00212150" w:rsidRPr="00217435">
        <w:rPr>
          <w:rFonts w:ascii="Arial" w:eastAsia="Calibri" w:hAnsi="Arial" w:cs="Arial"/>
          <w:sz w:val="22"/>
          <w:lang w:val="es-ES"/>
        </w:rPr>
        <w:t xml:space="preserve"> lo</w:t>
      </w:r>
      <w:r w:rsidRPr="00217435">
        <w:rPr>
          <w:rFonts w:ascii="Arial" w:eastAsia="Calibri" w:hAnsi="Arial" w:cs="Arial"/>
          <w:sz w:val="22"/>
          <w:lang w:val="es-ES"/>
        </w:rPr>
        <w:t xml:space="preserve"> que</w:t>
      </w:r>
      <w:r w:rsidR="00C840E8" w:rsidRPr="00217435">
        <w:rPr>
          <w:rFonts w:ascii="Arial" w:eastAsia="Calibri" w:hAnsi="Arial" w:cs="Arial"/>
          <w:sz w:val="22"/>
          <w:lang w:val="es-ES"/>
        </w:rPr>
        <w:t xml:space="preserve"> </w:t>
      </w:r>
      <w:r w:rsidR="004B414B" w:rsidRPr="00217435">
        <w:rPr>
          <w:rFonts w:ascii="Arial" w:eastAsia="Calibri" w:hAnsi="Arial" w:cs="Arial"/>
          <w:sz w:val="22"/>
          <w:lang w:val="es-ES"/>
        </w:rPr>
        <w:t xml:space="preserve">implica que </w:t>
      </w:r>
      <w:r w:rsidR="00C840E8" w:rsidRPr="00217435">
        <w:rPr>
          <w:rFonts w:ascii="Arial" w:eastAsia="Calibri" w:hAnsi="Arial" w:cs="Arial"/>
          <w:sz w:val="22"/>
          <w:lang w:val="es-ES"/>
        </w:rPr>
        <w:t>la publicación</w:t>
      </w:r>
      <w:r w:rsidRPr="00217435">
        <w:rPr>
          <w:rFonts w:ascii="Arial" w:eastAsia="Calibri" w:hAnsi="Arial" w:cs="Arial"/>
          <w:sz w:val="22"/>
          <w:lang w:val="es-ES"/>
        </w:rPr>
        <w:t xml:space="preserve"> que corresponde a las entidades estatales</w:t>
      </w:r>
      <w:r w:rsidR="004B414B" w:rsidRPr="00217435">
        <w:rPr>
          <w:rFonts w:ascii="Arial" w:eastAsia="Calibri" w:hAnsi="Arial" w:cs="Arial"/>
          <w:sz w:val="22"/>
          <w:lang w:val="es-ES"/>
        </w:rPr>
        <w:t>,</w:t>
      </w:r>
      <w:r w:rsidRPr="00217435">
        <w:rPr>
          <w:rFonts w:ascii="Arial" w:eastAsia="Calibri" w:hAnsi="Arial" w:cs="Arial"/>
          <w:sz w:val="22"/>
          <w:lang w:val="es-ES"/>
        </w:rPr>
        <w:t xml:space="preserve"> como sujetos obligados en el marco de la Ley 1712 de 2014, se extienda a todo el desarrollo de</w:t>
      </w:r>
      <w:r w:rsidR="004F00C1" w:rsidRPr="00217435">
        <w:rPr>
          <w:rFonts w:ascii="Arial" w:eastAsia="Calibri" w:hAnsi="Arial" w:cs="Arial"/>
          <w:sz w:val="22"/>
          <w:lang w:val="es-ES"/>
        </w:rPr>
        <w:t>l procedimiento</w:t>
      </w:r>
      <w:r w:rsidR="004B414B" w:rsidRPr="00217435">
        <w:rPr>
          <w:rFonts w:ascii="Arial" w:eastAsia="Calibri" w:hAnsi="Arial" w:cs="Arial"/>
          <w:sz w:val="22"/>
          <w:lang w:val="es-ES"/>
        </w:rPr>
        <w:t>,</w:t>
      </w:r>
      <w:r w:rsidR="004F00C1" w:rsidRPr="00217435">
        <w:rPr>
          <w:rFonts w:ascii="Arial" w:eastAsia="Calibri" w:hAnsi="Arial" w:cs="Arial"/>
          <w:sz w:val="22"/>
          <w:lang w:val="es-ES"/>
        </w:rPr>
        <w:t xml:space="preserve"> desde la etapa de planeación hasta el vencimiento de las garantías,</w:t>
      </w:r>
      <w:r w:rsidRPr="00217435">
        <w:rPr>
          <w:rFonts w:ascii="Arial" w:eastAsia="Calibri" w:hAnsi="Arial" w:cs="Arial"/>
          <w:sz w:val="22"/>
          <w:lang w:val="es-ES"/>
        </w:rPr>
        <w:t xml:space="preserve"> incluyendo cada actuaci</w:t>
      </w:r>
      <w:r w:rsidR="004B414B" w:rsidRPr="00217435">
        <w:rPr>
          <w:rFonts w:ascii="Arial" w:eastAsia="Calibri" w:hAnsi="Arial" w:cs="Arial"/>
          <w:sz w:val="22"/>
          <w:lang w:val="es-ES"/>
        </w:rPr>
        <w:t xml:space="preserve">ón </w:t>
      </w:r>
      <w:r w:rsidRPr="00217435">
        <w:rPr>
          <w:rFonts w:ascii="Arial" w:eastAsia="Calibri" w:hAnsi="Arial" w:cs="Arial"/>
          <w:sz w:val="22"/>
          <w:lang w:val="es-ES"/>
        </w:rPr>
        <w:t xml:space="preserve">que </w:t>
      </w:r>
      <w:r w:rsidR="004F00C1" w:rsidRPr="00217435">
        <w:rPr>
          <w:rFonts w:ascii="Arial" w:eastAsia="Calibri" w:hAnsi="Arial" w:cs="Arial"/>
          <w:sz w:val="22"/>
          <w:lang w:val="es-ES"/>
        </w:rPr>
        <w:t>se produ</w:t>
      </w:r>
      <w:r w:rsidR="004B414B" w:rsidRPr="00217435">
        <w:rPr>
          <w:rFonts w:ascii="Arial" w:eastAsia="Calibri" w:hAnsi="Arial" w:cs="Arial"/>
          <w:sz w:val="22"/>
          <w:lang w:val="es-ES"/>
        </w:rPr>
        <w:t>zca</w:t>
      </w:r>
      <w:r w:rsidR="004F00C1" w:rsidRPr="00217435">
        <w:rPr>
          <w:rFonts w:ascii="Arial" w:eastAsia="Calibri" w:hAnsi="Arial" w:cs="Arial"/>
          <w:sz w:val="22"/>
          <w:lang w:val="es-ES"/>
        </w:rPr>
        <w:t xml:space="preserve"> en ese laps</w:t>
      </w:r>
      <w:r w:rsidR="00FF7C01" w:rsidRPr="00217435">
        <w:rPr>
          <w:rFonts w:ascii="Arial" w:eastAsia="Calibri" w:hAnsi="Arial" w:cs="Arial"/>
          <w:sz w:val="22"/>
          <w:lang w:val="es-ES"/>
        </w:rPr>
        <w:t>o.</w:t>
      </w:r>
      <w:r w:rsidRPr="00217435">
        <w:rPr>
          <w:rFonts w:ascii="Arial" w:eastAsia="Calibri" w:hAnsi="Arial" w:cs="Arial"/>
          <w:sz w:val="22"/>
          <w:lang w:val="es-ES"/>
        </w:rPr>
        <w:t xml:space="preserve"> </w:t>
      </w:r>
      <w:r w:rsidR="00C840E8" w:rsidRPr="00217435">
        <w:rPr>
          <w:rFonts w:ascii="Arial" w:eastAsia="Calibri" w:hAnsi="Arial" w:cs="Arial"/>
          <w:sz w:val="22"/>
          <w:lang w:val="es-ES"/>
        </w:rPr>
        <w:t xml:space="preserve"> </w:t>
      </w:r>
    </w:p>
    <w:p w14:paraId="52959182" w14:textId="51BC1B8D" w:rsidR="00D723EB" w:rsidRPr="00217435" w:rsidRDefault="00D723EB"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Esto quiere decir que las entidades estatales, además de los documentos y actos administrativos </w:t>
      </w:r>
      <w:r w:rsidR="001F4E08" w:rsidRPr="00217435">
        <w:rPr>
          <w:rFonts w:ascii="Arial" w:eastAsia="Calibri" w:hAnsi="Arial" w:cs="Arial"/>
          <w:sz w:val="22"/>
          <w:lang w:val="es-ES"/>
        </w:rPr>
        <w:softHyphen/>
      </w:r>
      <w:r w:rsidR="001F4E08" w:rsidRPr="00217435">
        <w:rPr>
          <w:rFonts w:ascii="Arial" w:eastAsia="Calibri" w:hAnsi="Arial" w:cs="Arial"/>
          <w:sz w:val="22"/>
          <w:lang w:val="es-ES"/>
        </w:rPr>
        <w:softHyphen/>
        <w:t xml:space="preserve">–de trámite o definitivos– </w:t>
      </w:r>
      <w:r w:rsidRPr="00217435">
        <w:rPr>
          <w:rFonts w:ascii="Arial" w:eastAsia="Calibri" w:hAnsi="Arial" w:cs="Arial"/>
          <w:sz w:val="22"/>
          <w:lang w:val="es-ES"/>
        </w:rPr>
        <w:t>que expi</w:t>
      </w:r>
      <w:r w:rsidR="00FF7C01" w:rsidRPr="00217435">
        <w:rPr>
          <w:rFonts w:ascii="Arial" w:eastAsia="Calibri" w:hAnsi="Arial" w:cs="Arial"/>
          <w:sz w:val="22"/>
          <w:lang w:val="es-ES"/>
        </w:rPr>
        <w:t>de</w:t>
      </w:r>
      <w:r w:rsidRPr="00217435">
        <w:rPr>
          <w:rFonts w:ascii="Arial" w:eastAsia="Calibri" w:hAnsi="Arial" w:cs="Arial"/>
          <w:sz w:val="22"/>
          <w:lang w:val="es-ES"/>
        </w:rPr>
        <w:t xml:space="preserve">n </w:t>
      </w:r>
      <w:r w:rsidR="00DB6D93" w:rsidRPr="00217435">
        <w:rPr>
          <w:rFonts w:ascii="Arial" w:eastAsia="Calibri" w:hAnsi="Arial" w:cs="Arial"/>
          <w:sz w:val="22"/>
          <w:lang w:val="es-ES"/>
        </w:rPr>
        <w:t xml:space="preserve">durante </w:t>
      </w:r>
      <w:r w:rsidR="00FF7C01" w:rsidRPr="00217435">
        <w:rPr>
          <w:rFonts w:ascii="Arial" w:eastAsia="Calibri" w:hAnsi="Arial" w:cs="Arial"/>
          <w:sz w:val="22"/>
          <w:lang w:val="es-ES"/>
        </w:rPr>
        <w:t>los</w:t>
      </w:r>
      <w:r w:rsidRPr="00217435">
        <w:rPr>
          <w:rFonts w:ascii="Arial" w:eastAsia="Calibri" w:hAnsi="Arial" w:cs="Arial"/>
          <w:sz w:val="22"/>
          <w:lang w:val="es-ES"/>
        </w:rPr>
        <w:t xml:space="preserve"> </w:t>
      </w:r>
      <w:r w:rsidR="00FF7C01" w:rsidRPr="00217435">
        <w:rPr>
          <w:rFonts w:ascii="Arial" w:eastAsia="Calibri" w:hAnsi="Arial" w:cs="Arial"/>
          <w:sz w:val="22"/>
          <w:lang w:val="es-ES"/>
        </w:rPr>
        <w:t>p</w:t>
      </w:r>
      <w:r w:rsidRPr="00217435">
        <w:rPr>
          <w:rFonts w:ascii="Arial" w:eastAsia="Calibri" w:hAnsi="Arial" w:cs="Arial"/>
          <w:sz w:val="22"/>
          <w:lang w:val="es-ES"/>
        </w:rPr>
        <w:t>roce</w:t>
      </w:r>
      <w:r w:rsidR="00FF7C01" w:rsidRPr="00217435">
        <w:rPr>
          <w:rFonts w:ascii="Arial" w:eastAsia="Calibri" w:hAnsi="Arial" w:cs="Arial"/>
          <w:sz w:val="22"/>
          <w:lang w:val="es-ES"/>
        </w:rPr>
        <w:t>dimientos de</w:t>
      </w:r>
      <w:r w:rsidRPr="00217435">
        <w:rPr>
          <w:rFonts w:ascii="Arial" w:eastAsia="Calibri" w:hAnsi="Arial" w:cs="Arial"/>
          <w:sz w:val="22"/>
          <w:lang w:val="es-ES"/>
        </w:rPr>
        <w:t xml:space="preserve"> </w:t>
      </w:r>
      <w:r w:rsidR="00FF7C01" w:rsidRPr="00217435">
        <w:rPr>
          <w:rFonts w:ascii="Arial" w:eastAsia="Calibri" w:hAnsi="Arial" w:cs="Arial"/>
          <w:sz w:val="22"/>
          <w:lang w:val="es-ES"/>
        </w:rPr>
        <w:t>c</w:t>
      </w:r>
      <w:r w:rsidRPr="00217435">
        <w:rPr>
          <w:rFonts w:ascii="Arial" w:eastAsia="Calibri" w:hAnsi="Arial" w:cs="Arial"/>
          <w:sz w:val="22"/>
          <w:lang w:val="es-ES"/>
        </w:rPr>
        <w:t>ontratación</w:t>
      </w:r>
      <w:r w:rsidRPr="00217435">
        <w:rPr>
          <w:rFonts w:ascii="Arial" w:eastAsia="Calibri" w:hAnsi="Arial" w:cs="Arial"/>
          <w:i/>
          <w:iCs/>
          <w:sz w:val="22"/>
          <w:lang w:val="es-ES"/>
        </w:rPr>
        <w:t>,</w:t>
      </w:r>
      <w:r w:rsidRPr="00217435">
        <w:rPr>
          <w:rFonts w:ascii="Arial" w:eastAsia="Calibri" w:hAnsi="Arial" w:cs="Arial"/>
          <w:sz w:val="22"/>
          <w:lang w:val="es-ES"/>
        </w:rPr>
        <w:t xml:space="preserve"> deben publicar los documentos que </w:t>
      </w:r>
      <w:r w:rsidR="00FF7C01" w:rsidRPr="00217435">
        <w:rPr>
          <w:rFonts w:ascii="Arial" w:eastAsia="Calibri" w:hAnsi="Arial" w:cs="Arial"/>
          <w:sz w:val="22"/>
          <w:lang w:val="es-ES"/>
        </w:rPr>
        <w:t>los impulsan y materializan</w:t>
      </w:r>
      <w:r w:rsidR="00DB6D93" w:rsidRPr="00217435">
        <w:rPr>
          <w:rFonts w:ascii="Arial" w:eastAsia="Calibri" w:hAnsi="Arial" w:cs="Arial"/>
          <w:sz w:val="22"/>
          <w:lang w:val="es-ES"/>
        </w:rPr>
        <w:t xml:space="preserve">, incluso </w:t>
      </w:r>
      <w:r w:rsidR="00FF7C01" w:rsidRPr="00217435">
        <w:rPr>
          <w:rFonts w:ascii="Arial" w:eastAsia="Calibri" w:hAnsi="Arial" w:cs="Arial"/>
          <w:sz w:val="22"/>
          <w:lang w:val="es-ES"/>
        </w:rPr>
        <w:t>los que</w:t>
      </w:r>
      <w:r w:rsidR="00DB6D93" w:rsidRPr="00217435">
        <w:rPr>
          <w:rFonts w:ascii="Arial" w:eastAsia="Calibri" w:hAnsi="Arial" w:cs="Arial"/>
          <w:sz w:val="22"/>
          <w:lang w:val="es-ES"/>
        </w:rPr>
        <w:t xml:space="preserve"> no </w:t>
      </w:r>
      <w:r w:rsidR="00FF7C01" w:rsidRPr="00217435">
        <w:rPr>
          <w:rFonts w:ascii="Arial" w:eastAsia="Calibri" w:hAnsi="Arial" w:cs="Arial"/>
          <w:sz w:val="22"/>
          <w:lang w:val="es-ES"/>
        </w:rPr>
        <w:t>produce la entidad,</w:t>
      </w:r>
      <w:r w:rsidR="00DB6D93" w:rsidRPr="00217435">
        <w:rPr>
          <w:rFonts w:ascii="Arial" w:eastAsia="Calibri" w:hAnsi="Arial" w:cs="Arial"/>
          <w:sz w:val="22"/>
          <w:lang w:val="es-ES"/>
        </w:rPr>
        <w:t xml:space="preserve"> pero que hacen parte del proce</w:t>
      </w:r>
      <w:r w:rsidR="00E31C1F" w:rsidRPr="00217435">
        <w:rPr>
          <w:rFonts w:ascii="Arial" w:eastAsia="Calibri" w:hAnsi="Arial" w:cs="Arial"/>
          <w:sz w:val="22"/>
          <w:lang w:val="es-ES"/>
        </w:rPr>
        <w:t>dimiento</w:t>
      </w:r>
      <w:r w:rsidR="00DB6D93" w:rsidRPr="00217435">
        <w:rPr>
          <w:rFonts w:ascii="Arial" w:eastAsia="Calibri" w:hAnsi="Arial" w:cs="Arial"/>
          <w:sz w:val="22"/>
          <w:lang w:val="es-ES"/>
        </w:rPr>
        <w:t xml:space="preserve">, como las observaciones formuladas por la ciudadanía al proyecto de pliego de condiciones, o por los proponentes al informe de evaluación, aclaraciones a las ofertas realizadas por </w:t>
      </w:r>
      <w:r w:rsidR="001F4E08" w:rsidRPr="00217435">
        <w:rPr>
          <w:rFonts w:ascii="Arial" w:eastAsia="Calibri" w:hAnsi="Arial" w:cs="Arial"/>
          <w:sz w:val="22"/>
          <w:lang w:val="es-ES"/>
        </w:rPr>
        <w:t xml:space="preserve">los </w:t>
      </w:r>
      <w:r w:rsidR="00DB6D93" w:rsidRPr="00217435">
        <w:rPr>
          <w:rFonts w:ascii="Arial" w:eastAsia="Calibri" w:hAnsi="Arial" w:cs="Arial"/>
          <w:sz w:val="22"/>
          <w:lang w:val="es-ES"/>
        </w:rPr>
        <w:t xml:space="preserve">oferentes, </w:t>
      </w:r>
      <w:r w:rsidR="001F4E08" w:rsidRPr="00217435">
        <w:rPr>
          <w:rFonts w:ascii="Arial" w:eastAsia="Calibri" w:hAnsi="Arial" w:cs="Arial"/>
          <w:sz w:val="22"/>
          <w:lang w:val="es-ES"/>
        </w:rPr>
        <w:t>y</w:t>
      </w:r>
      <w:r w:rsidR="00DB6D93" w:rsidRPr="00217435">
        <w:rPr>
          <w:rFonts w:ascii="Arial" w:eastAsia="Calibri" w:hAnsi="Arial" w:cs="Arial"/>
          <w:sz w:val="22"/>
          <w:lang w:val="es-ES"/>
        </w:rPr>
        <w:t xml:space="preserve"> cualquier otra actuación que a pesar de no tener origen en la entidad estatal, ni </w:t>
      </w:r>
      <w:r w:rsidR="001F4E08" w:rsidRPr="00217435">
        <w:rPr>
          <w:rFonts w:ascii="Arial" w:eastAsia="Calibri" w:hAnsi="Arial" w:cs="Arial"/>
          <w:sz w:val="22"/>
          <w:lang w:val="es-ES"/>
        </w:rPr>
        <w:t>caber</w:t>
      </w:r>
      <w:r w:rsidR="00DB6D93" w:rsidRPr="00217435">
        <w:rPr>
          <w:rFonts w:ascii="Arial" w:eastAsia="Calibri" w:hAnsi="Arial" w:cs="Arial"/>
          <w:sz w:val="22"/>
          <w:lang w:val="es-ES"/>
        </w:rPr>
        <w:t xml:space="preserve"> en estricto sentido </w:t>
      </w:r>
      <w:r w:rsidR="001F4E08" w:rsidRPr="00217435">
        <w:rPr>
          <w:rFonts w:ascii="Arial" w:eastAsia="Calibri" w:hAnsi="Arial" w:cs="Arial"/>
          <w:sz w:val="22"/>
          <w:lang w:val="es-ES"/>
        </w:rPr>
        <w:t>en</w:t>
      </w:r>
      <w:r w:rsidR="00DB6D93" w:rsidRPr="00217435">
        <w:rPr>
          <w:rFonts w:ascii="Arial" w:eastAsia="Calibri" w:hAnsi="Arial" w:cs="Arial"/>
          <w:sz w:val="22"/>
          <w:lang w:val="es-ES"/>
        </w:rPr>
        <w:t xml:space="preserve"> lo que se entiende </w:t>
      </w:r>
      <w:r w:rsidR="001F4E08" w:rsidRPr="00217435">
        <w:rPr>
          <w:rFonts w:ascii="Arial" w:eastAsia="Calibri" w:hAnsi="Arial" w:cs="Arial"/>
          <w:sz w:val="22"/>
          <w:lang w:val="es-ES"/>
        </w:rPr>
        <w:t>con</w:t>
      </w:r>
      <w:r w:rsidR="00E31C1F" w:rsidRPr="00217435">
        <w:rPr>
          <w:rFonts w:ascii="Arial" w:eastAsia="Calibri" w:hAnsi="Arial" w:cs="Arial"/>
          <w:sz w:val="22"/>
          <w:lang w:val="es-ES"/>
        </w:rPr>
        <w:t xml:space="preserve"> la expresión</w:t>
      </w:r>
      <w:r w:rsidR="00DB6D93" w:rsidRPr="00217435">
        <w:rPr>
          <w:rFonts w:ascii="Arial" w:eastAsia="Calibri" w:hAnsi="Arial" w:cs="Arial"/>
          <w:i/>
          <w:iCs/>
          <w:sz w:val="22"/>
          <w:lang w:val="es-ES"/>
        </w:rPr>
        <w:t xml:space="preserve"> </w:t>
      </w:r>
      <w:r w:rsidR="001F4E08" w:rsidRPr="00217435">
        <w:rPr>
          <w:rFonts w:ascii="Arial" w:eastAsia="Calibri" w:hAnsi="Arial" w:cs="Arial"/>
          <w:i/>
          <w:iCs/>
          <w:sz w:val="22"/>
          <w:lang w:val="es-ES"/>
        </w:rPr>
        <w:t>D</w:t>
      </w:r>
      <w:r w:rsidR="00DB6D93" w:rsidRPr="00217435">
        <w:rPr>
          <w:rFonts w:ascii="Arial" w:eastAsia="Calibri" w:hAnsi="Arial" w:cs="Arial"/>
          <w:i/>
          <w:iCs/>
          <w:sz w:val="22"/>
          <w:lang w:val="es-ES"/>
        </w:rPr>
        <w:t xml:space="preserve">ocumento del Proceso, </w:t>
      </w:r>
      <w:r w:rsidR="00DB6D93" w:rsidRPr="00217435">
        <w:rPr>
          <w:rFonts w:ascii="Arial" w:eastAsia="Calibri" w:hAnsi="Arial" w:cs="Arial"/>
          <w:sz w:val="22"/>
          <w:lang w:val="es-ES"/>
        </w:rPr>
        <w:lastRenderedPageBreak/>
        <w:t>hace parte de</w:t>
      </w:r>
      <w:r w:rsidR="001F4E08" w:rsidRPr="00217435">
        <w:rPr>
          <w:rFonts w:ascii="Arial" w:eastAsia="Calibri" w:hAnsi="Arial" w:cs="Arial"/>
          <w:sz w:val="22"/>
          <w:lang w:val="es-ES"/>
        </w:rPr>
        <w:t xml:space="preserve"> su</w:t>
      </w:r>
      <w:r w:rsidR="00DB6D93" w:rsidRPr="00217435">
        <w:rPr>
          <w:rFonts w:ascii="Arial" w:eastAsia="Calibri" w:hAnsi="Arial" w:cs="Arial"/>
          <w:sz w:val="22"/>
          <w:lang w:val="es-ES"/>
        </w:rPr>
        <w:t xml:space="preserve"> desarrollo, y que por disposición de la Ley de transparencia y acceso a la información pública, debe publica</w:t>
      </w:r>
      <w:r w:rsidR="00E31C1F" w:rsidRPr="00217435">
        <w:rPr>
          <w:rFonts w:ascii="Arial" w:eastAsia="Calibri" w:hAnsi="Arial" w:cs="Arial"/>
          <w:sz w:val="22"/>
          <w:lang w:val="es-ES"/>
        </w:rPr>
        <w:t>r</w:t>
      </w:r>
      <w:r w:rsidR="00DB6D93" w:rsidRPr="00217435">
        <w:rPr>
          <w:rFonts w:ascii="Arial" w:eastAsia="Calibri" w:hAnsi="Arial" w:cs="Arial"/>
          <w:sz w:val="22"/>
          <w:lang w:val="es-ES"/>
        </w:rPr>
        <w:t xml:space="preserve"> </w:t>
      </w:r>
      <w:r w:rsidR="00E31C1F" w:rsidRPr="00217435">
        <w:rPr>
          <w:rFonts w:ascii="Arial" w:eastAsia="Calibri" w:hAnsi="Arial" w:cs="Arial"/>
          <w:sz w:val="22"/>
          <w:lang w:val="es-ES"/>
        </w:rPr>
        <w:t xml:space="preserve">la entidad </w:t>
      </w:r>
      <w:r w:rsidR="00DB6D93" w:rsidRPr="00217435">
        <w:rPr>
          <w:rFonts w:ascii="Arial" w:eastAsia="Calibri" w:hAnsi="Arial" w:cs="Arial"/>
          <w:sz w:val="22"/>
          <w:lang w:val="es-ES"/>
        </w:rPr>
        <w:t xml:space="preserve">de manera proactiva.   </w:t>
      </w:r>
    </w:p>
    <w:p w14:paraId="4B879C3A" w14:textId="3442A8A1" w:rsidR="008B3AC1" w:rsidRPr="00217435" w:rsidRDefault="008B3AC1"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w:t>
      </w:r>
      <w:r w:rsidR="00D0322C" w:rsidRPr="00217435">
        <w:rPr>
          <w:rFonts w:ascii="Arial" w:eastAsia="Calibri" w:hAnsi="Arial" w:cs="Arial"/>
          <w:sz w:val="22"/>
          <w:lang w:val="es-ES"/>
        </w:rPr>
        <w:t>é</w:t>
      </w:r>
      <w:r w:rsidRPr="00217435">
        <w:rPr>
          <w:rFonts w:ascii="Arial" w:eastAsia="Calibri" w:hAnsi="Arial" w:cs="Arial"/>
          <w:sz w:val="22"/>
          <w:lang w:val="es-ES"/>
        </w:rPr>
        <w:t>rmino de publicación y la excepción de publicación de los documentos de las operaciones que se celebre</w:t>
      </w:r>
      <w:r w:rsidR="00D0322C" w:rsidRPr="00217435">
        <w:rPr>
          <w:rFonts w:ascii="Arial" w:eastAsia="Calibri" w:hAnsi="Arial" w:cs="Arial"/>
          <w:sz w:val="22"/>
          <w:lang w:val="es-ES"/>
        </w:rPr>
        <w:t>n</w:t>
      </w:r>
      <w:r w:rsidRPr="00217435">
        <w:rPr>
          <w:rFonts w:ascii="Arial" w:eastAsia="Calibri" w:hAnsi="Arial" w:cs="Arial"/>
          <w:sz w:val="22"/>
          <w:lang w:val="es-ES"/>
        </w:rPr>
        <w:t xml:space="preserve"> en bolsa de productos</w:t>
      </w:r>
      <w:r w:rsidR="00D0322C" w:rsidRPr="00217435">
        <w:rPr>
          <w:rFonts w:ascii="Arial" w:eastAsia="Calibri" w:hAnsi="Arial" w:cs="Arial"/>
          <w:sz w:val="22"/>
          <w:lang w:val="es-ES"/>
        </w:rPr>
        <w:t xml:space="preserve">, conforme al </w:t>
      </w:r>
      <w:r w:rsidR="00D0322C" w:rsidRPr="00217435">
        <w:rPr>
          <w:rFonts w:ascii="Arial" w:eastAsia="Arial" w:hAnsi="Arial" w:cs="Arial"/>
          <w:sz w:val="22"/>
          <w:lang w:val="es-ES"/>
        </w:rPr>
        <w:t>artículo 2.2.1.1.1.7.1. del Decreto 1082 de 2015.</w:t>
      </w:r>
    </w:p>
    <w:p w14:paraId="4FF6D610" w14:textId="2C979460" w:rsidR="00C66798" w:rsidRPr="00217435" w:rsidRDefault="00DF26A7" w:rsidP="008B378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De c</w:t>
      </w:r>
      <w:r w:rsidR="00D0322C" w:rsidRPr="00217435">
        <w:rPr>
          <w:rFonts w:ascii="Arial" w:eastAsia="Calibri" w:hAnsi="Arial" w:cs="Arial"/>
          <w:sz w:val="22"/>
          <w:lang w:val="es-ES"/>
        </w:rPr>
        <w:t>onform</w:t>
      </w:r>
      <w:r w:rsidRPr="00217435">
        <w:rPr>
          <w:rFonts w:ascii="Arial" w:eastAsia="Calibri" w:hAnsi="Arial" w:cs="Arial"/>
          <w:sz w:val="22"/>
          <w:lang w:val="es-ES"/>
        </w:rPr>
        <w:t xml:space="preserve">idad con </w:t>
      </w:r>
      <w:r w:rsidR="00D0322C" w:rsidRPr="00217435">
        <w:rPr>
          <w:rFonts w:ascii="Arial" w:eastAsia="Calibri" w:hAnsi="Arial" w:cs="Arial"/>
          <w:sz w:val="22"/>
          <w:lang w:val="es-ES"/>
        </w:rPr>
        <w:t xml:space="preserve">lo anterior, </w:t>
      </w:r>
      <w:r w:rsidR="00CA72E7" w:rsidRPr="00217435">
        <w:rPr>
          <w:rFonts w:ascii="Arial" w:eastAsia="Calibri" w:hAnsi="Arial" w:cs="Arial"/>
          <w:sz w:val="22"/>
          <w:lang w:val="es-ES"/>
        </w:rPr>
        <w:t>esta</w:t>
      </w:r>
      <w:r w:rsidR="00C66798" w:rsidRPr="00217435">
        <w:rPr>
          <w:rFonts w:ascii="Arial" w:eastAsia="Calibri" w:hAnsi="Arial" w:cs="Arial"/>
          <w:sz w:val="22"/>
          <w:lang w:val="es-ES"/>
        </w:rPr>
        <w:t xml:space="preserve"> interpretación de las disposiciones analizadas permite incorporar al EGCAP importantes principios desarrollados por la normativa de la transparencia y acceso a la información pública, como los de </w:t>
      </w:r>
      <w:r w:rsidR="00C66798" w:rsidRPr="00217435">
        <w:rPr>
          <w:rStyle w:val="nfasis"/>
          <w:rFonts w:ascii="Arial" w:hAnsi="Arial" w:cs="Arial"/>
          <w:sz w:val="22"/>
          <w:lang w:val="es-ES"/>
        </w:rPr>
        <w:t xml:space="preserve">máxima publicidad para </w:t>
      </w:r>
      <w:r w:rsidRPr="00217435">
        <w:rPr>
          <w:rStyle w:val="nfasis"/>
          <w:rFonts w:ascii="Arial" w:hAnsi="Arial" w:cs="Arial"/>
          <w:sz w:val="22"/>
          <w:lang w:val="es-ES"/>
        </w:rPr>
        <w:t xml:space="preserve">un </w:t>
      </w:r>
      <w:r w:rsidR="00C66798" w:rsidRPr="00217435">
        <w:rPr>
          <w:rStyle w:val="nfasis"/>
          <w:rFonts w:ascii="Arial" w:hAnsi="Arial" w:cs="Arial"/>
          <w:sz w:val="22"/>
          <w:lang w:val="es-ES"/>
        </w:rPr>
        <w:t>titular universal</w:t>
      </w:r>
      <w:r w:rsidR="00C66798" w:rsidRPr="00217435">
        <w:rPr>
          <w:rStyle w:val="Refdenotaalpie"/>
          <w:rFonts w:ascii="Arial" w:hAnsi="Arial" w:cs="Arial"/>
          <w:i/>
          <w:iCs/>
          <w:sz w:val="22"/>
          <w:lang w:val="es-ES"/>
        </w:rPr>
        <w:footnoteReference w:id="20"/>
      </w:r>
      <w:r w:rsidR="00C66798" w:rsidRPr="00217435">
        <w:rPr>
          <w:rStyle w:val="nfasis"/>
          <w:rFonts w:ascii="Arial" w:hAnsi="Arial" w:cs="Arial"/>
          <w:sz w:val="22"/>
          <w:lang w:val="es-ES"/>
        </w:rPr>
        <w:t xml:space="preserve">, </w:t>
      </w:r>
      <w:r w:rsidR="008C71CB" w:rsidRPr="00217435">
        <w:rPr>
          <w:rStyle w:val="nfasis"/>
          <w:rFonts w:ascii="Arial" w:hAnsi="Arial" w:cs="Arial"/>
          <w:sz w:val="22"/>
          <w:lang w:val="es-ES"/>
        </w:rPr>
        <w:t>transparencia, facilitación y divulgación proactiva de la información</w:t>
      </w:r>
      <w:r w:rsidR="008C71CB" w:rsidRPr="00217435">
        <w:rPr>
          <w:rStyle w:val="Refdenotaalpie"/>
          <w:rFonts w:ascii="Arial" w:hAnsi="Arial" w:cs="Arial"/>
          <w:i/>
          <w:iCs/>
          <w:sz w:val="22"/>
          <w:lang w:val="es-ES"/>
        </w:rPr>
        <w:footnoteReference w:id="21"/>
      </w:r>
      <w:r w:rsidR="008C71CB" w:rsidRPr="00217435">
        <w:rPr>
          <w:rStyle w:val="nfasis"/>
          <w:rFonts w:ascii="Arial" w:hAnsi="Arial" w:cs="Arial"/>
          <w:sz w:val="22"/>
          <w:lang w:val="es-ES"/>
        </w:rPr>
        <w:t xml:space="preserve">, </w:t>
      </w:r>
      <w:r w:rsidR="008C71CB" w:rsidRPr="00217435">
        <w:rPr>
          <w:rStyle w:val="nfasis"/>
          <w:rFonts w:ascii="Arial" w:hAnsi="Arial" w:cs="Arial"/>
          <w:i w:val="0"/>
          <w:iCs w:val="0"/>
          <w:sz w:val="22"/>
          <w:lang w:val="es-ES"/>
        </w:rPr>
        <w:t xml:space="preserve"> </w:t>
      </w:r>
      <w:r w:rsidR="00293F6D" w:rsidRPr="00217435">
        <w:rPr>
          <w:rStyle w:val="nfasis"/>
          <w:rFonts w:ascii="Arial" w:hAnsi="Arial" w:cs="Arial"/>
          <w:i w:val="0"/>
          <w:iCs w:val="0"/>
          <w:sz w:val="22"/>
          <w:lang w:val="es-ES"/>
        </w:rPr>
        <w:t>por</w:t>
      </w:r>
      <w:r w:rsidR="008C71CB" w:rsidRPr="00217435">
        <w:rPr>
          <w:rStyle w:val="nfasis"/>
          <w:rFonts w:ascii="Arial" w:hAnsi="Arial" w:cs="Arial"/>
          <w:i w:val="0"/>
          <w:iCs w:val="0"/>
          <w:sz w:val="22"/>
          <w:lang w:val="es-ES"/>
        </w:rPr>
        <w:t>que al ampliar</w:t>
      </w:r>
      <w:r w:rsidR="00293F6D" w:rsidRPr="00217435">
        <w:rPr>
          <w:rStyle w:val="nfasis"/>
          <w:rFonts w:ascii="Arial" w:hAnsi="Arial" w:cs="Arial"/>
          <w:i w:val="0"/>
          <w:iCs w:val="0"/>
          <w:sz w:val="22"/>
          <w:lang w:val="es-ES"/>
        </w:rPr>
        <w:t xml:space="preserve">se </w:t>
      </w:r>
      <w:r w:rsidR="008C71CB" w:rsidRPr="00217435">
        <w:rPr>
          <w:rStyle w:val="nfasis"/>
          <w:rFonts w:ascii="Arial" w:hAnsi="Arial" w:cs="Arial"/>
          <w:i w:val="0"/>
          <w:iCs w:val="0"/>
          <w:sz w:val="22"/>
          <w:lang w:val="es-ES"/>
        </w:rPr>
        <w:t xml:space="preserve">la actividad contractual sobre la que recae el deber de publicación, </w:t>
      </w:r>
      <w:r w:rsidR="00AC7C5B" w:rsidRPr="00217435">
        <w:rPr>
          <w:rStyle w:val="nfasis"/>
          <w:rFonts w:ascii="Arial" w:hAnsi="Arial" w:cs="Arial"/>
          <w:i w:val="0"/>
          <w:iCs w:val="0"/>
          <w:sz w:val="22"/>
          <w:lang w:val="es-ES"/>
        </w:rPr>
        <w:t xml:space="preserve">se </w:t>
      </w:r>
      <w:r w:rsidR="00293F6D" w:rsidRPr="00217435">
        <w:rPr>
          <w:rStyle w:val="nfasis"/>
          <w:rFonts w:ascii="Arial" w:hAnsi="Arial" w:cs="Arial"/>
          <w:i w:val="0"/>
          <w:iCs w:val="0"/>
          <w:sz w:val="22"/>
          <w:lang w:val="es-ES"/>
        </w:rPr>
        <w:t>divulga</w:t>
      </w:r>
      <w:r w:rsidRPr="00217435">
        <w:rPr>
          <w:rStyle w:val="nfasis"/>
          <w:rFonts w:ascii="Arial" w:hAnsi="Arial" w:cs="Arial"/>
          <w:i w:val="0"/>
          <w:iCs w:val="0"/>
          <w:sz w:val="22"/>
          <w:lang w:val="es-ES"/>
        </w:rPr>
        <w:t xml:space="preserve"> </w:t>
      </w:r>
      <w:r w:rsidR="008C71CB" w:rsidRPr="00217435">
        <w:rPr>
          <w:rStyle w:val="nfasis"/>
          <w:rFonts w:ascii="Arial" w:hAnsi="Arial" w:cs="Arial"/>
          <w:i w:val="0"/>
          <w:iCs w:val="0"/>
          <w:sz w:val="22"/>
          <w:lang w:val="es-ES"/>
        </w:rPr>
        <w:t>un mayor volumen de información</w:t>
      </w:r>
      <w:r w:rsidRPr="00217435">
        <w:rPr>
          <w:rStyle w:val="nfasis"/>
          <w:rFonts w:ascii="Arial" w:hAnsi="Arial" w:cs="Arial"/>
          <w:i w:val="0"/>
          <w:iCs w:val="0"/>
          <w:sz w:val="22"/>
          <w:lang w:val="es-ES"/>
        </w:rPr>
        <w:t>,</w:t>
      </w:r>
      <w:r w:rsidR="008C71CB" w:rsidRPr="00217435">
        <w:rPr>
          <w:rStyle w:val="nfasis"/>
          <w:rFonts w:ascii="Arial" w:hAnsi="Arial" w:cs="Arial"/>
          <w:i w:val="0"/>
          <w:iCs w:val="0"/>
          <w:sz w:val="22"/>
          <w:lang w:val="es-ES"/>
        </w:rPr>
        <w:t xml:space="preserve"> que de por s</w:t>
      </w:r>
      <w:r w:rsidRPr="00217435">
        <w:rPr>
          <w:rStyle w:val="nfasis"/>
          <w:rFonts w:ascii="Arial" w:hAnsi="Arial" w:cs="Arial"/>
          <w:i w:val="0"/>
          <w:iCs w:val="0"/>
          <w:sz w:val="22"/>
          <w:lang w:val="es-ES"/>
        </w:rPr>
        <w:t>í</w:t>
      </w:r>
      <w:r w:rsidR="008C71CB" w:rsidRPr="00217435">
        <w:rPr>
          <w:rStyle w:val="nfasis"/>
          <w:rFonts w:ascii="Arial" w:hAnsi="Arial" w:cs="Arial"/>
          <w:i w:val="0"/>
          <w:iCs w:val="0"/>
          <w:sz w:val="22"/>
          <w:lang w:val="es-ES"/>
        </w:rPr>
        <w:t xml:space="preserve"> es pública, </w:t>
      </w:r>
      <w:r w:rsidR="00AC7C5B" w:rsidRPr="00217435">
        <w:rPr>
          <w:rStyle w:val="nfasis"/>
          <w:rFonts w:ascii="Arial" w:hAnsi="Arial" w:cs="Arial"/>
          <w:i w:val="0"/>
          <w:iCs w:val="0"/>
          <w:sz w:val="22"/>
          <w:lang w:val="es-ES"/>
        </w:rPr>
        <w:t>mediante un mecanismo  como el SECOP</w:t>
      </w:r>
      <w:r w:rsidRPr="00217435">
        <w:rPr>
          <w:rStyle w:val="nfasis"/>
          <w:rFonts w:ascii="Arial" w:hAnsi="Arial" w:cs="Arial"/>
          <w:i w:val="0"/>
          <w:iCs w:val="0"/>
          <w:sz w:val="22"/>
          <w:lang w:val="es-ES"/>
        </w:rPr>
        <w:t>,</w:t>
      </w:r>
      <w:r w:rsidR="00AC7C5B" w:rsidRPr="00217435">
        <w:rPr>
          <w:rStyle w:val="nfasis"/>
          <w:rFonts w:ascii="Arial" w:hAnsi="Arial" w:cs="Arial"/>
          <w:i w:val="0"/>
          <w:iCs w:val="0"/>
          <w:sz w:val="22"/>
          <w:lang w:val="es-ES"/>
        </w:rPr>
        <w:t xml:space="preserve"> que facilita el acceso a la misma desde cualquier dispositivo con acceso a internet, </w:t>
      </w:r>
      <w:r w:rsidR="00CA72E7" w:rsidRPr="00217435">
        <w:rPr>
          <w:rStyle w:val="nfasis"/>
          <w:rFonts w:ascii="Arial" w:hAnsi="Arial" w:cs="Arial"/>
          <w:i w:val="0"/>
          <w:iCs w:val="0"/>
          <w:sz w:val="22"/>
          <w:lang w:val="es-ES"/>
        </w:rPr>
        <w:t>g</w:t>
      </w:r>
      <w:r w:rsidR="00246E90" w:rsidRPr="00217435">
        <w:rPr>
          <w:rStyle w:val="nfasis"/>
          <w:rFonts w:ascii="Arial" w:hAnsi="Arial" w:cs="Arial"/>
          <w:i w:val="0"/>
          <w:iCs w:val="0"/>
          <w:sz w:val="22"/>
          <w:lang w:val="es-ES"/>
        </w:rPr>
        <w:t>a</w:t>
      </w:r>
      <w:r w:rsidR="00CA72E7" w:rsidRPr="00217435">
        <w:rPr>
          <w:rStyle w:val="nfasis"/>
          <w:rFonts w:ascii="Arial" w:hAnsi="Arial" w:cs="Arial"/>
          <w:i w:val="0"/>
          <w:iCs w:val="0"/>
          <w:sz w:val="22"/>
          <w:lang w:val="es-ES"/>
        </w:rPr>
        <w:t>ran</w:t>
      </w:r>
      <w:r w:rsidR="00246E90" w:rsidRPr="00217435">
        <w:rPr>
          <w:rStyle w:val="nfasis"/>
          <w:rFonts w:ascii="Arial" w:hAnsi="Arial" w:cs="Arial"/>
          <w:i w:val="0"/>
          <w:iCs w:val="0"/>
          <w:sz w:val="22"/>
          <w:lang w:val="es-ES"/>
        </w:rPr>
        <w:t>t</w:t>
      </w:r>
      <w:r w:rsidR="00CA72E7" w:rsidRPr="00217435">
        <w:rPr>
          <w:rStyle w:val="nfasis"/>
          <w:rFonts w:ascii="Arial" w:hAnsi="Arial" w:cs="Arial"/>
          <w:i w:val="0"/>
          <w:iCs w:val="0"/>
          <w:sz w:val="22"/>
          <w:lang w:val="es-ES"/>
        </w:rPr>
        <w:t xml:space="preserve">izando mayor </w:t>
      </w:r>
      <w:r w:rsidR="00AC7C5B" w:rsidRPr="00217435">
        <w:rPr>
          <w:rStyle w:val="nfasis"/>
          <w:rFonts w:ascii="Arial" w:hAnsi="Arial" w:cs="Arial"/>
          <w:i w:val="0"/>
          <w:iCs w:val="0"/>
          <w:sz w:val="22"/>
          <w:lang w:val="es-ES"/>
        </w:rPr>
        <w:t>transparencia</w:t>
      </w:r>
      <w:r w:rsidRPr="00217435">
        <w:rPr>
          <w:rStyle w:val="nfasis"/>
          <w:rFonts w:ascii="Arial" w:hAnsi="Arial" w:cs="Arial"/>
          <w:i w:val="0"/>
          <w:iCs w:val="0"/>
          <w:sz w:val="22"/>
          <w:lang w:val="es-ES"/>
        </w:rPr>
        <w:t>,</w:t>
      </w:r>
      <w:r w:rsidR="00AC7C5B" w:rsidRPr="00217435">
        <w:rPr>
          <w:rStyle w:val="nfasis"/>
          <w:rFonts w:ascii="Arial" w:hAnsi="Arial" w:cs="Arial"/>
          <w:i w:val="0"/>
          <w:iCs w:val="0"/>
          <w:sz w:val="22"/>
          <w:lang w:val="es-ES"/>
        </w:rPr>
        <w:t xml:space="preserve"> al obligarse a las entidades estatales </w:t>
      </w:r>
      <w:r w:rsidRPr="00217435">
        <w:rPr>
          <w:rStyle w:val="nfasis"/>
          <w:rFonts w:ascii="Arial" w:hAnsi="Arial" w:cs="Arial"/>
          <w:i w:val="0"/>
          <w:iCs w:val="0"/>
          <w:sz w:val="22"/>
          <w:lang w:val="es-ES"/>
        </w:rPr>
        <w:t xml:space="preserve">a </w:t>
      </w:r>
      <w:r w:rsidR="00AC7C5B" w:rsidRPr="00217435">
        <w:rPr>
          <w:rStyle w:val="nfasis"/>
          <w:rFonts w:ascii="Arial" w:hAnsi="Arial" w:cs="Arial"/>
          <w:i w:val="0"/>
          <w:iCs w:val="0"/>
          <w:sz w:val="22"/>
          <w:lang w:val="es-ES"/>
        </w:rPr>
        <w:lastRenderedPageBreak/>
        <w:t>public</w:t>
      </w:r>
      <w:r w:rsidRPr="00217435">
        <w:rPr>
          <w:rStyle w:val="nfasis"/>
          <w:rFonts w:ascii="Arial" w:hAnsi="Arial" w:cs="Arial"/>
          <w:i w:val="0"/>
          <w:iCs w:val="0"/>
          <w:sz w:val="22"/>
          <w:lang w:val="es-ES"/>
        </w:rPr>
        <w:t xml:space="preserve">ar </w:t>
      </w:r>
      <w:r w:rsidR="00AC7C5B" w:rsidRPr="00217435">
        <w:rPr>
          <w:rStyle w:val="nfasis"/>
          <w:rFonts w:ascii="Arial" w:hAnsi="Arial" w:cs="Arial"/>
          <w:i w:val="0"/>
          <w:iCs w:val="0"/>
          <w:sz w:val="22"/>
          <w:lang w:val="es-ES"/>
        </w:rPr>
        <w:t>sus actuaciones de manera proactiva y rutinaria, lo que permite que la ciudadanía cono</w:t>
      </w:r>
      <w:r w:rsidR="00F926D5" w:rsidRPr="00217435">
        <w:rPr>
          <w:rStyle w:val="nfasis"/>
          <w:rFonts w:ascii="Arial" w:hAnsi="Arial" w:cs="Arial"/>
          <w:i w:val="0"/>
          <w:iCs w:val="0"/>
          <w:sz w:val="22"/>
          <w:lang w:val="es-ES"/>
        </w:rPr>
        <w:t>zca</w:t>
      </w:r>
      <w:r w:rsidR="00AC7C5B" w:rsidRPr="00217435">
        <w:rPr>
          <w:rStyle w:val="nfasis"/>
          <w:rFonts w:ascii="Arial" w:hAnsi="Arial" w:cs="Arial"/>
          <w:i w:val="0"/>
          <w:iCs w:val="0"/>
          <w:sz w:val="22"/>
          <w:lang w:val="es-ES"/>
        </w:rPr>
        <w:t xml:space="preserve"> con detalle y actualidad el desarrollo de la gestión contractual de la Administración, </w:t>
      </w:r>
      <w:r w:rsidR="00293F6D" w:rsidRPr="00217435">
        <w:rPr>
          <w:rStyle w:val="nfasis"/>
          <w:rFonts w:ascii="Arial" w:hAnsi="Arial" w:cs="Arial"/>
          <w:i w:val="0"/>
          <w:iCs w:val="0"/>
          <w:sz w:val="22"/>
          <w:lang w:val="es-ES"/>
        </w:rPr>
        <w:t>fomentándose</w:t>
      </w:r>
      <w:r w:rsidR="00F926D5" w:rsidRPr="00217435">
        <w:rPr>
          <w:rStyle w:val="nfasis"/>
          <w:rFonts w:ascii="Arial" w:hAnsi="Arial" w:cs="Arial"/>
          <w:i w:val="0"/>
          <w:iCs w:val="0"/>
          <w:sz w:val="22"/>
          <w:lang w:val="es-ES"/>
        </w:rPr>
        <w:t xml:space="preserve"> en </w:t>
      </w:r>
      <w:r w:rsidR="00AC7C5B" w:rsidRPr="00217435">
        <w:rPr>
          <w:rStyle w:val="nfasis"/>
          <w:rFonts w:ascii="Arial" w:hAnsi="Arial" w:cs="Arial"/>
          <w:i w:val="0"/>
          <w:iCs w:val="0"/>
          <w:sz w:val="22"/>
          <w:lang w:val="es-ES"/>
        </w:rPr>
        <w:t xml:space="preserve">la contratación pública estándares </w:t>
      </w:r>
      <w:r w:rsidR="00293F6D" w:rsidRPr="00217435">
        <w:rPr>
          <w:rStyle w:val="nfasis"/>
          <w:rFonts w:ascii="Arial" w:hAnsi="Arial" w:cs="Arial"/>
          <w:i w:val="0"/>
          <w:iCs w:val="0"/>
          <w:sz w:val="22"/>
          <w:lang w:val="es-ES"/>
        </w:rPr>
        <w:t xml:space="preserve">altos </w:t>
      </w:r>
      <w:r w:rsidR="00AC7C5B" w:rsidRPr="00217435">
        <w:rPr>
          <w:rStyle w:val="nfasis"/>
          <w:rFonts w:ascii="Arial" w:hAnsi="Arial" w:cs="Arial"/>
          <w:i w:val="0"/>
          <w:iCs w:val="0"/>
          <w:sz w:val="22"/>
          <w:lang w:val="es-ES"/>
        </w:rPr>
        <w:t xml:space="preserve">de transparencia.   </w:t>
      </w:r>
    </w:p>
    <w:p w14:paraId="36576ED0" w14:textId="61D019AF" w:rsidR="003D741C" w:rsidRPr="00217435" w:rsidRDefault="003D741C" w:rsidP="00AC676E">
      <w:pPr>
        <w:spacing w:before="120" w:after="120" w:line="276" w:lineRule="auto"/>
        <w:ind w:firstLine="709"/>
        <w:jc w:val="both"/>
        <w:rPr>
          <w:rFonts w:ascii="Arial" w:eastAsia="Calibri" w:hAnsi="Arial" w:cs="Arial"/>
          <w:sz w:val="22"/>
          <w:lang w:val="es-ES"/>
        </w:rPr>
      </w:pPr>
      <w:r w:rsidRPr="00217435">
        <w:rPr>
          <w:rFonts w:ascii="Arial" w:eastAsia="Calibri" w:hAnsi="Arial" w:cs="Arial"/>
          <w:bCs/>
          <w:sz w:val="22"/>
          <w:lang w:val="es-ES"/>
        </w:rPr>
        <w:t>E</w:t>
      </w:r>
      <w:r w:rsidR="002D12FC" w:rsidRPr="00217435">
        <w:rPr>
          <w:rFonts w:ascii="Arial" w:eastAsia="Calibri" w:hAnsi="Arial" w:cs="Arial"/>
          <w:bCs/>
          <w:sz w:val="22"/>
          <w:lang w:val="es-ES"/>
        </w:rPr>
        <w:t xml:space="preserve">n </w:t>
      </w:r>
      <w:r w:rsidR="003D3BB9" w:rsidRPr="00217435">
        <w:rPr>
          <w:rFonts w:ascii="Arial" w:eastAsia="Calibri" w:hAnsi="Arial" w:cs="Arial"/>
          <w:bCs/>
          <w:sz w:val="22"/>
          <w:lang w:val="es-ES"/>
        </w:rPr>
        <w:t>cuanto</w:t>
      </w:r>
      <w:r w:rsidR="002D12FC" w:rsidRPr="00217435">
        <w:rPr>
          <w:rFonts w:ascii="Arial" w:eastAsia="Calibri" w:hAnsi="Arial" w:cs="Arial"/>
          <w:bCs/>
          <w:sz w:val="22"/>
          <w:lang w:val="es-ES"/>
        </w:rPr>
        <w:t xml:space="preserve"> al Plan Anual de Adquisiciones</w:t>
      </w:r>
      <w:r w:rsidRPr="00217435">
        <w:rPr>
          <w:rFonts w:ascii="Arial" w:eastAsia="Calibri" w:hAnsi="Arial" w:cs="Arial"/>
          <w:bCs/>
          <w:sz w:val="22"/>
          <w:lang w:val="es-ES"/>
        </w:rPr>
        <w:t xml:space="preserve">, </w:t>
      </w:r>
      <w:r w:rsidR="003D3BB9" w:rsidRPr="00217435">
        <w:rPr>
          <w:rFonts w:ascii="Arial" w:eastAsia="Calibri" w:hAnsi="Arial" w:cs="Arial"/>
          <w:bCs/>
          <w:sz w:val="22"/>
          <w:lang w:val="es-ES"/>
        </w:rPr>
        <w:t>se</w:t>
      </w:r>
      <w:r w:rsidR="00060081" w:rsidRPr="00217435">
        <w:rPr>
          <w:rFonts w:ascii="Arial" w:eastAsia="Calibri" w:hAnsi="Arial" w:cs="Arial"/>
          <w:bCs/>
          <w:sz w:val="22"/>
          <w:lang w:val="es-ES"/>
        </w:rPr>
        <w:t xml:space="preserve"> aclara que </w:t>
      </w:r>
      <w:r w:rsidRPr="00217435">
        <w:rPr>
          <w:rFonts w:ascii="Arial" w:eastAsia="Calibri" w:hAnsi="Arial" w:cs="Arial"/>
          <w:bCs/>
          <w:sz w:val="22"/>
          <w:lang w:val="es-ES"/>
        </w:rPr>
        <w:t>si bien es una herramienta de planeación para los procesos de contratación</w:t>
      </w:r>
      <w:r w:rsidR="003D3BB9" w:rsidRPr="00217435">
        <w:rPr>
          <w:rFonts w:ascii="Arial" w:eastAsia="Calibri" w:hAnsi="Arial" w:cs="Arial"/>
          <w:bCs/>
          <w:sz w:val="22"/>
          <w:lang w:val="es-ES"/>
        </w:rPr>
        <w:t xml:space="preserve">, cuya naturaleza corresponde a la de </w:t>
      </w:r>
      <w:r w:rsidRPr="00217435">
        <w:rPr>
          <w:rFonts w:ascii="Arial" w:eastAsia="Calibri" w:hAnsi="Arial" w:cs="Arial"/>
          <w:bCs/>
          <w:sz w:val="22"/>
          <w:lang w:val="es-ES"/>
        </w:rPr>
        <w:t xml:space="preserve">un acto administrativo, de conformidad con lo expuesto por esta </w:t>
      </w:r>
      <w:r w:rsidR="003D3BB9" w:rsidRPr="00217435">
        <w:rPr>
          <w:rFonts w:ascii="Arial" w:eastAsia="Calibri" w:hAnsi="Arial" w:cs="Arial"/>
          <w:bCs/>
          <w:sz w:val="22"/>
          <w:lang w:val="es-ES"/>
        </w:rPr>
        <w:t>Subdirección</w:t>
      </w:r>
      <w:r w:rsidRPr="00217435">
        <w:rPr>
          <w:rFonts w:ascii="Arial" w:eastAsia="Calibri" w:hAnsi="Arial" w:cs="Arial"/>
          <w:bCs/>
          <w:sz w:val="22"/>
          <w:lang w:val="es-ES"/>
        </w:rPr>
        <w:t xml:space="preserve"> en el concepto C–237 del 24 de abril de 2020 –</w:t>
      </w:r>
      <w:r w:rsidR="003D3BB9" w:rsidRPr="00217435">
        <w:rPr>
          <w:rFonts w:ascii="Arial" w:hAnsi="Arial" w:cs="Arial"/>
          <w:sz w:val="22"/>
          <w:lang w:val="es-ES"/>
        </w:rPr>
        <w:t xml:space="preserve">radicado </w:t>
      </w:r>
      <w:r w:rsidR="007C17F4" w:rsidRPr="00217435">
        <w:rPr>
          <w:rFonts w:ascii="Arial" w:hAnsi="Arial" w:cs="Arial"/>
          <w:sz w:val="22"/>
          <w:lang w:val="es-ES"/>
        </w:rPr>
        <w:t>interno No.</w:t>
      </w:r>
      <w:r w:rsidR="003D3BB9" w:rsidRPr="00217435">
        <w:rPr>
          <w:rFonts w:ascii="Arial" w:hAnsi="Arial" w:cs="Arial"/>
          <w:lang w:val="es-ES"/>
        </w:rPr>
        <w:t xml:space="preserve"> </w:t>
      </w:r>
      <w:r w:rsidR="007C17F4" w:rsidRPr="00217435">
        <w:rPr>
          <w:rFonts w:ascii="Arial" w:eastAsia="Calibri" w:hAnsi="Arial" w:cs="Arial"/>
          <w:bCs/>
          <w:sz w:val="22"/>
          <w:lang w:val="es-ES"/>
        </w:rPr>
        <w:t>2202013000003074</w:t>
      </w:r>
      <w:r w:rsidRPr="00217435">
        <w:rPr>
          <w:rFonts w:ascii="Arial" w:eastAsia="Calibri" w:hAnsi="Arial" w:cs="Arial"/>
          <w:bCs/>
          <w:sz w:val="22"/>
          <w:lang w:val="es-ES"/>
        </w:rPr>
        <w:t xml:space="preserve">–, </w:t>
      </w:r>
      <w:r w:rsidRPr="00217435">
        <w:rPr>
          <w:rFonts w:ascii="Arial" w:eastAsia="Calibri" w:hAnsi="Arial" w:cs="Arial"/>
          <w:sz w:val="22"/>
          <w:lang w:val="es-ES"/>
        </w:rPr>
        <w:t>este es un acto jurídico independiente</w:t>
      </w:r>
      <w:r w:rsidR="00F855B7" w:rsidRPr="00217435">
        <w:rPr>
          <w:rFonts w:ascii="Arial" w:eastAsia="Calibri" w:hAnsi="Arial" w:cs="Arial"/>
          <w:sz w:val="22"/>
          <w:lang w:val="es-ES"/>
        </w:rPr>
        <w:t xml:space="preserve"> de los objetos contractuales a los que se refiere, el cual contiene </w:t>
      </w:r>
      <w:r w:rsidRPr="00217435">
        <w:rPr>
          <w:rFonts w:ascii="Arial" w:eastAsia="Calibri" w:hAnsi="Arial" w:cs="Arial"/>
          <w:sz w:val="22"/>
          <w:lang w:val="es-ES"/>
        </w:rPr>
        <w:t>decisiones relevantes para quienes aspiren a contratar con el Estado</w:t>
      </w:r>
      <w:r w:rsidR="00F855B7" w:rsidRPr="00217435">
        <w:rPr>
          <w:rFonts w:ascii="Arial" w:eastAsia="Calibri" w:hAnsi="Arial" w:cs="Arial"/>
          <w:sz w:val="22"/>
          <w:lang w:val="es-ES"/>
        </w:rPr>
        <w:t xml:space="preserve"> y tiene por finalidad</w:t>
      </w:r>
      <w:r w:rsidRPr="00217435">
        <w:rPr>
          <w:rFonts w:ascii="Arial" w:eastAsia="Calibri" w:hAnsi="Arial" w:cs="Arial"/>
          <w:sz w:val="22"/>
          <w:lang w:val="es-ES"/>
        </w:rPr>
        <w:t xml:space="preserve"> informa</w:t>
      </w:r>
      <w:r w:rsidR="00F855B7" w:rsidRPr="00217435">
        <w:rPr>
          <w:rFonts w:ascii="Arial" w:eastAsia="Calibri" w:hAnsi="Arial" w:cs="Arial"/>
          <w:sz w:val="22"/>
          <w:lang w:val="es-ES"/>
        </w:rPr>
        <w:t>r</w:t>
      </w:r>
      <w:r w:rsidRPr="00217435">
        <w:rPr>
          <w:rFonts w:ascii="Arial" w:eastAsia="Calibri" w:hAnsi="Arial" w:cs="Arial"/>
          <w:sz w:val="22"/>
          <w:lang w:val="es-ES"/>
        </w:rPr>
        <w:t xml:space="preserve"> a los potenciales proveedores</w:t>
      </w:r>
      <w:r w:rsidR="00F855B7" w:rsidRPr="00217435">
        <w:rPr>
          <w:rFonts w:ascii="Arial" w:eastAsia="Calibri" w:hAnsi="Arial" w:cs="Arial"/>
          <w:sz w:val="22"/>
          <w:lang w:val="es-ES"/>
        </w:rPr>
        <w:t xml:space="preserve"> de</w:t>
      </w:r>
      <w:r w:rsidRPr="00217435">
        <w:rPr>
          <w:rFonts w:ascii="Arial" w:eastAsia="Calibri" w:hAnsi="Arial" w:cs="Arial"/>
          <w:sz w:val="22"/>
          <w:lang w:val="es-ES"/>
        </w:rPr>
        <w:t xml:space="preserve"> una estimación de las obras, bienes y servicios requeridos por cada entidad.</w:t>
      </w:r>
    </w:p>
    <w:p w14:paraId="708FD5A9" w14:textId="357444E9" w:rsidR="00F855B7" w:rsidRPr="00217435" w:rsidRDefault="00F855B7" w:rsidP="00BC14FF">
      <w:pPr>
        <w:spacing w:after="120" w:line="276" w:lineRule="auto"/>
        <w:ind w:firstLine="709"/>
        <w:jc w:val="both"/>
        <w:rPr>
          <w:rStyle w:val="Textoennegrita"/>
          <w:rFonts w:ascii="Arial" w:hAnsi="Arial" w:cs="Arial"/>
          <w:b w:val="0"/>
          <w:bCs w:val="0"/>
          <w:sz w:val="22"/>
          <w:lang w:val="es-ES"/>
        </w:rPr>
      </w:pPr>
      <w:r w:rsidRPr="00217435">
        <w:rPr>
          <w:rFonts w:ascii="Arial" w:eastAsia="Calibri" w:hAnsi="Arial" w:cs="Arial"/>
          <w:sz w:val="22"/>
          <w:lang w:val="es-ES"/>
        </w:rPr>
        <w:t xml:space="preserve">En ese sentido, el Plan Anual de Adquisiciones no </w:t>
      </w:r>
      <w:r w:rsidR="004E0A12" w:rsidRPr="00217435">
        <w:rPr>
          <w:rFonts w:ascii="Arial" w:eastAsia="Calibri" w:hAnsi="Arial" w:cs="Arial"/>
          <w:sz w:val="22"/>
          <w:lang w:val="es-ES"/>
        </w:rPr>
        <w:t>forma parte</w:t>
      </w:r>
      <w:r w:rsidRPr="00217435">
        <w:rPr>
          <w:rFonts w:ascii="Arial" w:eastAsia="Calibri" w:hAnsi="Arial" w:cs="Arial"/>
          <w:sz w:val="22"/>
          <w:lang w:val="es-ES"/>
        </w:rPr>
        <w:t xml:space="preserve"> de la noción de </w:t>
      </w:r>
      <w:r w:rsidRPr="00217435">
        <w:rPr>
          <w:rFonts w:ascii="Arial" w:eastAsia="Calibri" w:hAnsi="Arial" w:cs="Arial"/>
          <w:i/>
          <w:iCs/>
          <w:sz w:val="22"/>
          <w:lang w:val="es-ES"/>
        </w:rPr>
        <w:t>Documentos del Proceso</w:t>
      </w:r>
      <w:r w:rsidR="000325C5" w:rsidRPr="00217435">
        <w:rPr>
          <w:rFonts w:ascii="Arial" w:eastAsia="Calibri" w:hAnsi="Arial" w:cs="Arial"/>
          <w:i/>
          <w:iCs/>
          <w:sz w:val="22"/>
          <w:lang w:val="es-ES"/>
        </w:rPr>
        <w:t>,</w:t>
      </w:r>
      <w:r w:rsidRPr="00217435">
        <w:rPr>
          <w:rFonts w:ascii="Arial" w:eastAsia="Calibri" w:hAnsi="Arial" w:cs="Arial"/>
          <w:i/>
          <w:iCs/>
          <w:sz w:val="22"/>
          <w:lang w:val="es-ES"/>
        </w:rPr>
        <w:t xml:space="preserve"> </w:t>
      </w:r>
      <w:r w:rsidR="00246E90" w:rsidRPr="00217435">
        <w:rPr>
          <w:rFonts w:ascii="Arial" w:eastAsia="Calibri" w:hAnsi="Arial" w:cs="Arial"/>
          <w:sz w:val="22"/>
          <w:lang w:val="es-ES"/>
        </w:rPr>
        <w:t xml:space="preserve">ni hace parte del </w:t>
      </w:r>
      <w:r w:rsidR="00246E90" w:rsidRPr="00217435">
        <w:rPr>
          <w:rFonts w:ascii="Arial" w:eastAsia="Calibri" w:hAnsi="Arial" w:cs="Arial"/>
          <w:i/>
          <w:iCs/>
          <w:sz w:val="22"/>
          <w:lang w:val="es-ES"/>
        </w:rPr>
        <w:t>Proce</w:t>
      </w:r>
      <w:r w:rsidR="00246E90" w:rsidRPr="00217435">
        <w:rPr>
          <w:rFonts w:ascii="Arial" w:eastAsia="Calibri" w:hAnsi="Arial" w:cs="Arial"/>
          <w:sz w:val="22"/>
          <w:lang w:val="es-ES"/>
        </w:rPr>
        <w:t xml:space="preserve">so </w:t>
      </w:r>
      <w:r w:rsidR="00246E90" w:rsidRPr="00217435">
        <w:rPr>
          <w:rFonts w:ascii="Arial" w:eastAsia="Calibri" w:hAnsi="Arial" w:cs="Arial"/>
          <w:i/>
          <w:iCs/>
          <w:sz w:val="22"/>
          <w:lang w:val="es-ES"/>
        </w:rPr>
        <w:t>de Contratación</w:t>
      </w:r>
      <w:r w:rsidR="000325C5" w:rsidRPr="00217435">
        <w:rPr>
          <w:rFonts w:ascii="Arial" w:eastAsia="Calibri" w:hAnsi="Arial" w:cs="Arial"/>
          <w:i/>
          <w:iCs/>
          <w:sz w:val="22"/>
          <w:lang w:val="es-ES"/>
        </w:rPr>
        <w:t>,</w:t>
      </w:r>
      <w:r w:rsidR="00246E90" w:rsidRPr="00217435">
        <w:rPr>
          <w:rFonts w:ascii="Arial" w:eastAsia="Calibri" w:hAnsi="Arial" w:cs="Arial"/>
          <w:sz w:val="22"/>
          <w:lang w:val="es-ES"/>
        </w:rPr>
        <w:t xml:space="preserve"> conforme a</w:t>
      </w:r>
      <w:r w:rsidRPr="00217435">
        <w:rPr>
          <w:rFonts w:ascii="Arial" w:eastAsia="Calibri" w:hAnsi="Arial" w:cs="Arial"/>
          <w:sz w:val="22"/>
          <w:lang w:val="es-ES"/>
        </w:rPr>
        <w:t>l artículo 2.2.1.1.1.3.1 del Decreto 1082 de 2015, por lo que el deber de</w:t>
      </w:r>
      <w:r w:rsidR="004E0A12" w:rsidRPr="00217435">
        <w:rPr>
          <w:rFonts w:ascii="Arial" w:eastAsia="Calibri" w:hAnsi="Arial" w:cs="Arial"/>
          <w:sz w:val="22"/>
          <w:lang w:val="es-ES"/>
        </w:rPr>
        <w:t xml:space="preserve"> </w:t>
      </w:r>
      <w:r w:rsidRPr="00217435">
        <w:rPr>
          <w:rFonts w:ascii="Arial" w:eastAsia="Calibri" w:hAnsi="Arial" w:cs="Arial"/>
          <w:sz w:val="22"/>
          <w:lang w:val="es-ES"/>
        </w:rPr>
        <w:t>publica</w:t>
      </w:r>
      <w:r w:rsidR="004E0A12" w:rsidRPr="00217435">
        <w:rPr>
          <w:rFonts w:ascii="Arial" w:eastAsia="Calibri" w:hAnsi="Arial" w:cs="Arial"/>
          <w:sz w:val="22"/>
          <w:lang w:val="es-ES"/>
        </w:rPr>
        <w:t>r</w:t>
      </w:r>
      <w:r w:rsidR="00246E90" w:rsidRPr="00217435">
        <w:rPr>
          <w:rFonts w:ascii="Arial" w:eastAsia="Calibri" w:hAnsi="Arial" w:cs="Arial"/>
          <w:sz w:val="22"/>
          <w:lang w:val="es-ES"/>
        </w:rPr>
        <w:t>lo</w:t>
      </w:r>
      <w:r w:rsidRPr="00217435">
        <w:rPr>
          <w:rFonts w:ascii="Arial" w:eastAsia="Calibri" w:hAnsi="Arial" w:cs="Arial"/>
          <w:sz w:val="22"/>
          <w:lang w:val="es-ES"/>
        </w:rPr>
        <w:t xml:space="preserve"> encuentra </w:t>
      </w:r>
      <w:r w:rsidR="004E0A12" w:rsidRPr="00217435">
        <w:rPr>
          <w:rFonts w:ascii="Arial" w:eastAsia="Calibri" w:hAnsi="Arial" w:cs="Arial"/>
          <w:sz w:val="22"/>
          <w:lang w:val="es-ES"/>
        </w:rPr>
        <w:t xml:space="preserve">apoyo </w:t>
      </w:r>
      <w:r w:rsidRPr="00217435">
        <w:rPr>
          <w:rFonts w:ascii="Arial" w:eastAsia="Calibri" w:hAnsi="Arial" w:cs="Arial"/>
          <w:sz w:val="22"/>
          <w:lang w:val="es-ES"/>
        </w:rPr>
        <w:t xml:space="preserve">en normas distintas del artículo 2.2.1.1.1.7.1 </w:t>
      </w:r>
      <w:proofErr w:type="spellStart"/>
      <w:r w:rsidRPr="00217435">
        <w:rPr>
          <w:rFonts w:ascii="Arial" w:eastAsia="Calibri" w:hAnsi="Arial" w:cs="Arial"/>
          <w:i/>
          <w:iCs/>
          <w:sz w:val="22"/>
          <w:lang w:val="es-ES"/>
        </w:rPr>
        <w:t>Ibídem</w:t>
      </w:r>
      <w:proofErr w:type="spellEnd"/>
      <w:r w:rsidR="000325C5" w:rsidRPr="00217435">
        <w:rPr>
          <w:rFonts w:ascii="Arial" w:eastAsia="Calibri" w:hAnsi="Arial" w:cs="Arial"/>
          <w:i/>
          <w:iCs/>
          <w:sz w:val="22"/>
          <w:lang w:val="es-ES"/>
        </w:rPr>
        <w:t>.</w:t>
      </w:r>
      <w:r w:rsidRPr="00217435">
        <w:rPr>
          <w:rFonts w:ascii="Arial" w:eastAsia="Calibri" w:hAnsi="Arial" w:cs="Arial"/>
          <w:i/>
          <w:iCs/>
          <w:sz w:val="22"/>
          <w:lang w:val="es-ES"/>
        </w:rPr>
        <w:t xml:space="preserve"> </w:t>
      </w:r>
      <w:r w:rsidR="000325C5" w:rsidRPr="00217435">
        <w:rPr>
          <w:rFonts w:ascii="Arial" w:eastAsia="Calibri" w:hAnsi="Arial" w:cs="Arial"/>
          <w:sz w:val="22"/>
          <w:lang w:val="es-ES"/>
        </w:rPr>
        <w:t>Es el art</w:t>
      </w:r>
      <w:r w:rsidR="00F327C3">
        <w:rPr>
          <w:rFonts w:ascii="Arial" w:eastAsia="Calibri" w:hAnsi="Arial" w:cs="Arial"/>
          <w:sz w:val="22"/>
          <w:lang w:val="es-ES"/>
        </w:rPr>
        <w:t>ículo</w:t>
      </w:r>
      <w:r w:rsidR="000325C5" w:rsidRPr="00217435">
        <w:rPr>
          <w:rFonts w:ascii="Arial" w:eastAsia="Calibri" w:hAnsi="Arial" w:cs="Arial"/>
          <w:sz w:val="22"/>
          <w:lang w:val="es-ES"/>
        </w:rPr>
        <w:t xml:space="preserve"> </w:t>
      </w:r>
      <w:r w:rsidRPr="00217435">
        <w:rPr>
          <w:rFonts w:ascii="Arial" w:eastAsia="Calibri" w:hAnsi="Arial" w:cs="Arial"/>
          <w:sz w:val="22"/>
          <w:lang w:val="es-ES"/>
        </w:rPr>
        <w:t>74 de la Ley 1474 de 2011</w:t>
      </w:r>
      <w:r w:rsidR="00402B9F" w:rsidRPr="00217435">
        <w:rPr>
          <w:rStyle w:val="Refdenotaalpie"/>
          <w:rFonts w:ascii="Arial" w:eastAsia="Calibri" w:hAnsi="Arial" w:cs="Arial"/>
          <w:sz w:val="22"/>
          <w:lang w:val="es-ES"/>
        </w:rPr>
        <w:footnoteReference w:id="22"/>
      </w:r>
      <w:r w:rsidRPr="00217435">
        <w:rPr>
          <w:rFonts w:ascii="Arial" w:eastAsia="Calibri" w:hAnsi="Arial" w:cs="Arial"/>
          <w:sz w:val="22"/>
          <w:lang w:val="es-ES"/>
        </w:rPr>
        <w:t xml:space="preserve"> </w:t>
      </w:r>
      <w:r w:rsidR="000325C5" w:rsidRPr="00217435">
        <w:rPr>
          <w:rFonts w:ascii="Arial" w:eastAsia="Calibri" w:hAnsi="Arial" w:cs="Arial"/>
          <w:sz w:val="22"/>
          <w:lang w:val="es-ES"/>
        </w:rPr>
        <w:t xml:space="preserve">el </w:t>
      </w:r>
      <w:r w:rsidRPr="00217435">
        <w:rPr>
          <w:rFonts w:ascii="Arial" w:eastAsia="Calibri" w:hAnsi="Arial" w:cs="Arial"/>
          <w:sz w:val="22"/>
          <w:lang w:val="es-ES"/>
        </w:rPr>
        <w:t xml:space="preserve">que dispone </w:t>
      </w:r>
      <w:r w:rsidR="00781EE9" w:rsidRPr="00217435">
        <w:rPr>
          <w:rFonts w:ascii="Arial" w:eastAsia="Calibri" w:hAnsi="Arial" w:cs="Arial"/>
          <w:sz w:val="22"/>
          <w:lang w:val="es-ES"/>
        </w:rPr>
        <w:t xml:space="preserve">que </w:t>
      </w:r>
      <w:r w:rsidRPr="00217435">
        <w:rPr>
          <w:rFonts w:ascii="Arial" w:hAnsi="Arial" w:cs="Arial"/>
          <w:sz w:val="22"/>
          <w:lang w:val="es-ES"/>
        </w:rPr>
        <w:t xml:space="preserve">a más tardar el 31 de enero de cada año </w:t>
      </w:r>
      <w:r w:rsidR="00402B9F" w:rsidRPr="00217435">
        <w:rPr>
          <w:rFonts w:ascii="Arial" w:hAnsi="Arial" w:cs="Arial"/>
          <w:sz w:val="22"/>
          <w:lang w:val="es-ES"/>
        </w:rPr>
        <w:t>las entidades deben</w:t>
      </w:r>
      <w:r w:rsidRPr="00217435">
        <w:rPr>
          <w:rFonts w:ascii="Arial" w:hAnsi="Arial" w:cs="Arial"/>
          <w:sz w:val="22"/>
          <w:lang w:val="es-ES"/>
        </w:rPr>
        <w:t xml:space="preserve"> </w:t>
      </w:r>
      <w:r w:rsidR="00781EE9" w:rsidRPr="00217435">
        <w:rPr>
          <w:rFonts w:ascii="Arial" w:hAnsi="Arial" w:cs="Arial"/>
          <w:sz w:val="22"/>
          <w:lang w:val="es-ES"/>
        </w:rPr>
        <w:t>publicar</w:t>
      </w:r>
      <w:r w:rsidR="000325C5" w:rsidRPr="00217435">
        <w:rPr>
          <w:rFonts w:ascii="Arial" w:hAnsi="Arial" w:cs="Arial"/>
          <w:sz w:val="22"/>
          <w:lang w:val="es-ES"/>
        </w:rPr>
        <w:t>,</w:t>
      </w:r>
      <w:r w:rsidR="00781EE9" w:rsidRPr="00217435">
        <w:rPr>
          <w:rFonts w:ascii="Arial" w:hAnsi="Arial" w:cs="Arial"/>
          <w:sz w:val="22"/>
          <w:lang w:val="es-ES"/>
        </w:rPr>
        <w:t xml:space="preserve"> </w:t>
      </w:r>
      <w:r w:rsidRPr="00217435">
        <w:rPr>
          <w:rFonts w:ascii="Arial" w:hAnsi="Arial" w:cs="Arial"/>
          <w:sz w:val="22"/>
          <w:lang w:val="es-ES"/>
        </w:rPr>
        <w:t>en s</w:t>
      </w:r>
      <w:r w:rsidR="004E0A12" w:rsidRPr="00217435">
        <w:rPr>
          <w:rFonts w:ascii="Arial" w:hAnsi="Arial" w:cs="Arial"/>
          <w:sz w:val="22"/>
          <w:lang w:val="es-ES"/>
        </w:rPr>
        <w:t>u</w:t>
      </w:r>
      <w:r w:rsidRPr="00217435">
        <w:rPr>
          <w:rFonts w:ascii="Arial" w:hAnsi="Arial" w:cs="Arial"/>
          <w:sz w:val="22"/>
          <w:lang w:val="es-ES"/>
        </w:rPr>
        <w:t xml:space="preserve"> página web</w:t>
      </w:r>
      <w:r w:rsidR="000325C5" w:rsidRPr="00217435">
        <w:rPr>
          <w:rFonts w:ascii="Arial" w:hAnsi="Arial" w:cs="Arial"/>
          <w:sz w:val="22"/>
          <w:lang w:val="es-ES"/>
        </w:rPr>
        <w:t>,</w:t>
      </w:r>
      <w:r w:rsidRPr="00217435">
        <w:rPr>
          <w:rFonts w:ascii="Arial" w:hAnsi="Arial" w:cs="Arial"/>
          <w:sz w:val="22"/>
          <w:lang w:val="es-ES"/>
        </w:rPr>
        <w:t xml:space="preserve"> el Plan de Acción para el año siguiente</w:t>
      </w:r>
      <w:r w:rsidR="00402B9F" w:rsidRPr="00217435">
        <w:rPr>
          <w:rFonts w:ascii="Arial" w:hAnsi="Arial" w:cs="Arial"/>
          <w:sz w:val="22"/>
          <w:lang w:val="es-ES"/>
        </w:rPr>
        <w:t xml:space="preserve">; </w:t>
      </w:r>
      <w:r w:rsidR="000325C5" w:rsidRPr="00217435">
        <w:rPr>
          <w:rFonts w:ascii="Arial" w:hAnsi="Arial" w:cs="Arial"/>
          <w:sz w:val="22"/>
          <w:lang w:val="es-ES"/>
        </w:rPr>
        <w:t xml:space="preserve">y </w:t>
      </w:r>
      <w:r w:rsidR="00402B9F" w:rsidRPr="00217435">
        <w:rPr>
          <w:rFonts w:ascii="Arial" w:hAnsi="Arial" w:cs="Arial"/>
          <w:sz w:val="22"/>
          <w:lang w:val="es-ES"/>
        </w:rPr>
        <w:t xml:space="preserve">el artículo </w:t>
      </w:r>
      <w:r w:rsidR="00402B9F" w:rsidRPr="00217435">
        <w:rPr>
          <w:rStyle w:val="Textoennegrita"/>
          <w:rFonts w:ascii="Arial" w:hAnsi="Arial" w:cs="Arial"/>
          <w:b w:val="0"/>
          <w:bCs w:val="0"/>
          <w:sz w:val="22"/>
          <w:lang w:val="es-ES"/>
        </w:rPr>
        <w:t>2.2.1.1.1.4.3</w:t>
      </w:r>
      <w:r w:rsidR="00402B9F" w:rsidRPr="00217435">
        <w:rPr>
          <w:rStyle w:val="Refdenotaalpie"/>
          <w:rFonts w:ascii="Arial" w:hAnsi="Arial" w:cs="Arial"/>
          <w:sz w:val="22"/>
          <w:lang w:val="es-ES"/>
        </w:rPr>
        <w:footnoteReference w:id="23"/>
      </w:r>
      <w:r w:rsidR="00402B9F" w:rsidRPr="00217435">
        <w:rPr>
          <w:rStyle w:val="Textoennegrita"/>
          <w:rFonts w:ascii="Arial" w:hAnsi="Arial" w:cs="Arial"/>
          <w:sz w:val="22"/>
          <w:lang w:val="es-ES"/>
        </w:rPr>
        <w:t xml:space="preserve"> </w:t>
      </w:r>
      <w:r w:rsidR="00402B9F" w:rsidRPr="00217435">
        <w:rPr>
          <w:rStyle w:val="Textoennegrita"/>
          <w:rFonts w:ascii="Arial" w:hAnsi="Arial" w:cs="Arial"/>
          <w:b w:val="0"/>
          <w:bCs w:val="0"/>
          <w:sz w:val="22"/>
          <w:lang w:val="es-ES"/>
        </w:rPr>
        <w:t>del Decreto 1082 de 2015</w:t>
      </w:r>
      <w:r w:rsidR="000325C5" w:rsidRPr="00217435">
        <w:rPr>
          <w:rStyle w:val="Textoennegrita"/>
          <w:rFonts w:ascii="Arial" w:hAnsi="Arial" w:cs="Arial"/>
          <w:b w:val="0"/>
          <w:bCs w:val="0"/>
          <w:sz w:val="22"/>
          <w:lang w:val="es-ES"/>
        </w:rPr>
        <w:t xml:space="preserve"> también exige </w:t>
      </w:r>
      <w:r w:rsidR="00402B9F" w:rsidRPr="00217435">
        <w:rPr>
          <w:rStyle w:val="Textoennegrita"/>
          <w:rFonts w:ascii="Arial" w:hAnsi="Arial" w:cs="Arial"/>
          <w:b w:val="0"/>
          <w:bCs w:val="0"/>
          <w:sz w:val="22"/>
          <w:lang w:val="es-ES"/>
        </w:rPr>
        <w:t>p</w:t>
      </w:r>
      <w:r w:rsidR="00781EE9" w:rsidRPr="00217435">
        <w:rPr>
          <w:rStyle w:val="Textoennegrita"/>
          <w:rFonts w:ascii="Arial" w:hAnsi="Arial" w:cs="Arial"/>
          <w:b w:val="0"/>
          <w:bCs w:val="0"/>
          <w:sz w:val="22"/>
          <w:lang w:val="es-ES"/>
        </w:rPr>
        <w:t>u</w:t>
      </w:r>
      <w:r w:rsidR="00402B9F" w:rsidRPr="00217435">
        <w:rPr>
          <w:rStyle w:val="Textoennegrita"/>
          <w:rFonts w:ascii="Arial" w:hAnsi="Arial" w:cs="Arial"/>
          <w:b w:val="0"/>
          <w:bCs w:val="0"/>
          <w:sz w:val="22"/>
          <w:lang w:val="es-ES"/>
        </w:rPr>
        <w:t>blicar</w:t>
      </w:r>
      <w:r w:rsidR="000325C5" w:rsidRPr="00217435">
        <w:rPr>
          <w:rStyle w:val="Textoennegrita"/>
          <w:rFonts w:ascii="Arial" w:hAnsi="Arial" w:cs="Arial"/>
          <w:b w:val="0"/>
          <w:bCs w:val="0"/>
          <w:sz w:val="22"/>
          <w:lang w:val="es-ES"/>
        </w:rPr>
        <w:t xml:space="preserve">lo en la página web de la entidad y además </w:t>
      </w:r>
      <w:r w:rsidR="00402B9F" w:rsidRPr="00217435">
        <w:rPr>
          <w:rStyle w:val="Textoennegrita"/>
          <w:rFonts w:ascii="Arial" w:hAnsi="Arial" w:cs="Arial"/>
          <w:b w:val="0"/>
          <w:bCs w:val="0"/>
          <w:sz w:val="22"/>
          <w:lang w:val="es-ES"/>
        </w:rPr>
        <w:t xml:space="preserve">en el SECOP; </w:t>
      </w:r>
      <w:r w:rsidR="000325C5" w:rsidRPr="00217435">
        <w:rPr>
          <w:rStyle w:val="Textoennegrita"/>
          <w:rFonts w:ascii="Arial" w:hAnsi="Arial" w:cs="Arial"/>
          <w:b w:val="0"/>
          <w:bCs w:val="0"/>
          <w:sz w:val="22"/>
          <w:lang w:val="es-ES"/>
        </w:rPr>
        <w:t xml:space="preserve">así como también lo indica el </w:t>
      </w:r>
      <w:r w:rsidR="00402B9F" w:rsidRPr="00217435">
        <w:rPr>
          <w:rStyle w:val="Textoennegrita"/>
          <w:rFonts w:ascii="Arial" w:hAnsi="Arial" w:cs="Arial"/>
          <w:b w:val="0"/>
          <w:bCs w:val="0"/>
          <w:sz w:val="22"/>
          <w:lang w:val="es-ES"/>
        </w:rPr>
        <w:t>citado artículo 2.1.1.2.1.10 del Decreto 1081 de 2015.</w:t>
      </w:r>
    </w:p>
    <w:p w14:paraId="5D986039" w14:textId="7D05ACA5" w:rsidR="00676398" w:rsidRPr="00217435" w:rsidRDefault="00BC14FF" w:rsidP="00676398">
      <w:pPr>
        <w:spacing w:after="120" w:line="276" w:lineRule="auto"/>
        <w:ind w:firstLine="709"/>
        <w:jc w:val="both"/>
        <w:rPr>
          <w:rFonts w:ascii="Arial" w:hAnsi="Arial" w:cs="Arial"/>
          <w:sz w:val="22"/>
          <w:lang w:val="es-ES"/>
        </w:rPr>
      </w:pPr>
      <w:r w:rsidRPr="00217435">
        <w:rPr>
          <w:rStyle w:val="Textoennegrita"/>
          <w:rFonts w:ascii="Arial" w:hAnsi="Arial" w:cs="Arial"/>
          <w:b w:val="0"/>
          <w:bCs w:val="0"/>
          <w:sz w:val="22"/>
          <w:lang w:val="es-ES"/>
        </w:rPr>
        <w:t xml:space="preserve">En conclusión, </w:t>
      </w:r>
      <w:r w:rsidR="00C3164B" w:rsidRPr="00217435">
        <w:rPr>
          <w:rStyle w:val="Textoennegrita"/>
          <w:rFonts w:ascii="Arial" w:hAnsi="Arial" w:cs="Arial"/>
          <w:b w:val="0"/>
          <w:bCs w:val="0"/>
          <w:sz w:val="22"/>
          <w:lang w:val="es-ES"/>
        </w:rPr>
        <w:t>con base en los fundamentos normativos y argumentos expuestos,</w:t>
      </w:r>
      <w:r w:rsidR="00482453" w:rsidRPr="00217435">
        <w:rPr>
          <w:rStyle w:val="Textoennegrita"/>
          <w:rFonts w:ascii="Arial" w:hAnsi="Arial" w:cs="Arial"/>
          <w:b w:val="0"/>
          <w:bCs w:val="0"/>
          <w:sz w:val="22"/>
          <w:lang w:val="es-ES"/>
        </w:rPr>
        <w:t xml:space="preserve"> además del Plan Anual de Adquisiciones, las entidades estatales regidas por el EGCAP deberán publicar en SECOP, entre otros, los siguientes</w:t>
      </w:r>
      <w:r w:rsidR="00C3164B" w:rsidRPr="00217435">
        <w:rPr>
          <w:rStyle w:val="Textoennegrita"/>
          <w:rFonts w:ascii="Arial" w:hAnsi="Arial" w:cs="Arial"/>
          <w:b w:val="0"/>
          <w:bCs w:val="0"/>
          <w:sz w:val="22"/>
          <w:lang w:val="es-ES"/>
        </w:rPr>
        <w:t xml:space="preserve"> documentos </w:t>
      </w:r>
      <w:r w:rsidR="00F327C3">
        <w:rPr>
          <w:rStyle w:val="Textoennegrita"/>
          <w:rFonts w:ascii="Arial" w:hAnsi="Arial" w:cs="Arial"/>
          <w:b w:val="0"/>
          <w:bCs w:val="0"/>
          <w:sz w:val="22"/>
          <w:lang w:val="es-ES"/>
        </w:rPr>
        <w:t xml:space="preserve">expedidos con ocasión del </w:t>
      </w:r>
      <w:r w:rsidR="00F327C3" w:rsidRPr="00F327C3">
        <w:rPr>
          <w:rStyle w:val="Textoennegrita"/>
          <w:rFonts w:ascii="Arial" w:hAnsi="Arial" w:cs="Arial"/>
          <w:b w:val="0"/>
          <w:bCs w:val="0"/>
          <w:i/>
          <w:iCs/>
          <w:sz w:val="22"/>
          <w:lang w:val="es-ES"/>
        </w:rPr>
        <w:t>p</w:t>
      </w:r>
      <w:r w:rsidR="00C3164B" w:rsidRPr="00F327C3">
        <w:rPr>
          <w:rStyle w:val="Textoennegrita"/>
          <w:rFonts w:ascii="Arial" w:hAnsi="Arial" w:cs="Arial"/>
          <w:b w:val="0"/>
          <w:bCs w:val="0"/>
          <w:i/>
          <w:iCs/>
          <w:sz w:val="22"/>
          <w:lang w:val="es-ES"/>
        </w:rPr>
        <w:t>roceso de contratación</w:t>
      </w:r>
      <w:r w:rsidR="00F0624A" w:rsidRPr="00217435">
        <w:rPr>
          <w:rStyle w:val="Textoennegrita"/>
          <w:rFonts w:ascii="Arial" w:hAnsi="Arial" w:cs="Arial"/>
          <w:b w:val="0"/>
          <w:bCs w:val="0"/>
          <w:sz w:val="22"/>
          <w:lang w:val="es-ES"/>
        </w:rPr>
        <w:t>:</w:t>
      </w:r>
      <w:r w:rsidR="00C3164B" w:rsidRPr="00217435">
        <w:rPr>
          <w:rStyle w:val="Textoennegrita"/>
          <w:rFonts w:ascii="Arial" w:hAnsi="Arial" w:cs="Arial"/>
          <w:b w:val="0"/>
          <w:bCs w:val="0"/>
          <w:sz w:val="22"/>
          <w:lang w:val="es-ES"/>
        </w:rPr>
        <w:t xml:space="preserve"> </w:t>
      </w:r>
      <w:r w:rsidR="00676398" w:rsidRPr="00217435">
        <w:rPr>
          <w:rStyle w:val="Textoennegrita"/>
          <w:rFonts w:ascii="Arial" w:hAnsi="Arial" w:cs="Arial"/>
          <w:b w:val="0"/>
          <w:bCs w:val="0"/>
          <w:sz w:val="22"/>
          <w:lang w:val="es-ES"/>
        </w:rPr>
        <w:t>i)</w:t>
      </w:r>
      <w:r w:rsidR="00246E90" w:rsidRPr="00217435">
        <w:rPr>
          <w:rStyle w:val="Textoennegrita"/>
          <w:rFonts w:ascii="Arial" w:hAnsi="Arial" w:cs="Arial"/>
          <w:b w:val="0"/>
          <w:bCs w:val="0"/>
          <w:sz w:val="22"/>
          <w:lang w:val="es-ES"/>
        </w:rPr>
        <w:t xml:space="preserve"> </w:t>
      </w:r>
      <w:r w:rsidR="00D27E0D" w:rsidRPr="00217435">
        <w:rPr>
          <w:rStyle w:val="Textoennegrita"/>
          <w:rFonts w:ascii="Arial" w:hAnsi="Arial" w:cs="Arial"/>
          <w:b w:val="0"/>
          <w:bCs w:val="0"/>
          <w:sz w:val="22"/>
          <w:lang w:val="es-ES"/>
        </w:rPr>
        <w:t>el</w:t>
      </w:r>
      <w:r w:rsidR="00246E90" w:rsidRPr="00217435">
        <w:rPr>
          <w:rStyle w:val="Textoennegrita"/>
          <w:rFonts w:ascii="Arial" w:hAnsi="Arial" w:cs="Arial"/>
          <w:b w:val="0"/>
          <w:bCs w:val="0"/>
          <w:sz w:val="22"/>
          <w:lang w:val="es-ES"/>
        </w:rPr>
        <w:t xml:space="preserve"> estudio de oportunidad y conveniencia; </w:t>
      </w:r>
      <w:proofErr w:type="spellStart"/>
      <w:r w:rsidR="00246E90" w:rsidRPr="00217435">
        <w:rPr>
          <w:rStyle w:val="Textoennegrita"/>
          <w:rFonts w:ascii="Arial" w:hAnsi="Arial" w:cs="Arial"/>
          <w:b w:val="0"/>
          <w:bCs w:val="0"/>
          <w:sz w:val="22"/>
          <w:lang w:val="es-ES"/>
        </w:rPr>
        <w:t>ii</w:t>
      </w:r>
      <w:proofErr w:type="spellEnd"/>
      <w:r w:rsidR="00246E90" w:rsidRPr="00217435">
        <w:rPr>
          <w:rStyle w:val="Textoennegrita"/>
          <w:rFonts w:ascii="Arial" w:hAnsi="Arial" w:cs="Arial"/>
          <w:b w:val="0"/>
          <w:bCs w:val="0"/>
          <w:sz w:val="22"/>
          <w:lang w:val="es-ES"/>
        </w:rPr>
        <w:t>)</w:t>
      </w:r>
      <w:r w:rsidR="00676398" w:rsidRPr="00217435">
        <w:rPr>
          <w:rStyle w:val="Textoennegrita"/>
          <w:rFonts w:ascii="Arial" w:hAnsi="Arial" w:cs="Arial"/>
          <w:b w:val="0"/>
          <w:bCs w:val="0"/>
          <w:sz w:val="22"/>
          <w:lang w:val="es-ES"/>
        </w:rPr>
        <w:t xml:space="preserve"> </w:t>
      </w:r>
      <w:r w:rsidR="00C3164B" w:rsidRPr="00217435">
        <w:rPr>
          <w:rFonts w:ascii="Arial" w:hAnsi="Arial" w:cs="Arial"/>
          <w:sz w:val="22"/>
          <w:lang w:val="es-ES"/>
        </w:rPr>
        <w:t>los estudios y documentos previos</w:t>
      </w:r>
      <w:r w:rsidR="00D27E0D" w:rsidRPr="00217435">
        <w:rPr>
          <w:rFonts w:ascii="Arial" w:hAnsi="Arial" w:cs="Arial"/>
          <w:sz w:val="22"/>
          <w:lang w:val="es-ES"/>
        </w:rPr>
        <w:t xml:space="preserve"> –técnicos o no–</w:t>
      </w:r>
      <w:r w:rsidR="00C3164B" w:rsidRPr="00217435">
        <w:rPr>
          <w:rFonts w:ascii="Arial" w:hAnsi="Arial" w:cs="Arial"/>
          <w:sz w:val="22"/>
          <w:lang w:val="es-ES"/>
        </w:rPr>
        <w:t xml:space="preserve">; </w:t>
      </w:r>
      <w:proofErr w:type="spellStart"/>
      <w:r w:rsidR="00676398" w:rsidRPr="00217435">
        <w:rPr>
          <w:rFonts w:ascii="Arial" w:hAnsi="Arial" w:cs="Arial"/>
          <w:sz w:val="22"/>
          <w:lang w:val="es-ES"/>
        </w:rPr>
        <w:t>i</w:t>
      </w:r>
      <w:r w:rsidR="006E2F98" w:rsidRPr="00217435">
        <w:rPr>
          <w:rFonts w:ascii="Arial" w:hAnsi="Arial" w:cs="Arial"/>
          <w:sz w:val="22"/>
          <w:lang w:val="es-ES"/>
        </w:rPr>
        <w:t>ii</w:t>
      </w:r>
      <w:proofErr w:type="spellEnd"/>
      <w:r w:rsidR="00246E90" w:rsidRPr="00217435">
        <w:rPr>
          <w:rFonts w:ascii="Arial" w:hAnsi="Arial" w:cs="Arial"/>
          <w:sz w:val="22"/>
          <w:lang w:val="es-ES"/>
        </w:rPr>
        <w:t>)</w:t>
      </w:r>
      <w:r w:rsidR="00676398" w:rsidRPr="00217435">
        <w:rPr>
          <w:rFonts w:ascii="Arial" w:hAnsi="Arial" w:cs="Arial"/>
          <w:sz w:val="22"/>
          <w:lang w:val="es-ES"/>
        </w:rPr>
        <w:t xml:space="preserve"> </w:t>
      </w:r>
      <w:r w:rsidR="00D27E0D" w:rsidRPr="00217435">
        <w:rPr>
          <w:rFonts w:ascii="Arial" w:hAnsi="Arial" w:cs="Arial"/>
          <w:sz w:val="22"/>
          <w:lang w:val="es-ES"/>
        </w:rPr>
        <w:t>el</w:t>
      </w:r>
      <w:r w:rsidR="00676398" w:rsidRPr="00217435">
        <w:rPr>
          <w:rFonts w:ascii="Arial" w:hAnsi="Arial" w:cs="Arial"/>
          <w:sz w:val="22"/>
          <w:lang w:val="es-ES"/>
        </w:rPr>
        <w:t xml:space="preserve"> </w:t>
      </w:r>
      <w:r w:rsidR="00C3164B" w:rsidRPr="00217435">
        <w:rPr>
          <w:rFonts w:ascii="Arial" w:hAnsi="Arial" w:cs="Arial"/>
          <w:sz w:val="22"/>
          <w:lang w:val="es-ES"/>
        </w:rPr>
        <w:t xml:space="preserve"> aviso de convocatoria; </w:t>
      </w:r>
      <w:proofErr w:type="spellStart"/>
      <w:r w:rsidR="006E2F98" w:rsidRPr="00217435">
        <w:rPr>
          <w:rFonts w:ascii="Arial" w:hAnsi="Arial" w:cs="Arial"/>
          <w:sz w:val="22"/>
          <w:lang w:val="es-ES"/>
        </w:rPr>
        <w:t>i</w:t>
      </w:r>
      <w:r w:rsidR="00246E90" w:rsidRPr="00217435">
        <w:rPr>
          <w:rFonts w:ascii="Arial" w:hAnsi="Arial" w:cs="Arial"/>
          <w:sz w:val="22"/>
          <w:lang w:val="es-ES"/>
        </w:rPr>
        <w:t>v</w:t>
      </w:r>
      <w:proofErr w:type="spellEnd"/>
      <w:r w:rsidR="00246E90" w:rsidRPr="00217435">
        <w:rPr>
          <w:rFonts w:ascii="Arial" w:hAnsi="Arial" w:cs="Arial"/>
          <w:sz w:val="22"/>
          <w:lang w:val="es-ES"/>
        </w:rPr>
        <w:t xml:space="preserve">) </w:t>
      </w:r>
      <w:r w:rsidR="00D27E0D" w:rsidRPr="00217435">
        <w:rPr>
          <w:rFonts w:ascii="Arial" w:hAnsi="Arial" w:cs="Arial"/>
          <w:sz w:val="22"/>
          <w:lang w:val="es-ES"/>
        </w:rPr>
        <w:t>el</w:t>
      </w:r>
      <w:r w:rsidR="00246E90" w:rsidRPr="00217435">
        <w:rPr>
          <w:rFonts w:ascii="Arial" w:hAnsi="Arial" w:cs="Arial"/>
          <w:sz w:val="22"/>
          <w:lang w:val="es-ES"/>
        </w:rPr>
        <w:t xml:space="preserve"> proyecto de pliego de condiciones y las observaciones que le formulen; v)</w:t>
      </w:r>
      <w:r w:rsidR="00676398" w:rsidRPr="00217435">
        <w:rPr>
          <w:rFonts w:ascii="Arial" w:hAnsi="Arial" w:cs="Arial"/>
          <w:sz w:val="22"/>
          <w:lang w:val="es-ES"/>
        </w:rPr>
        <w:t xml:space="preserve"> </w:t>
      </w:r>
      <w:r w:rsidR="00D27E0D" w:rsidRPr="00217435">
        <w:rPr>
          <w:rFonts w:ascii="Arial" w:hAnsi="Arial" w:cs="Arial"/>
          <w:sz w:val="22"/>
          <w:lang w:val="es-ES"/>
        </w:rPr>
        <w:t>el</w:t>
      </w:r>
      <w:r w:rsidR="00C3164B" w:rsidRPr="00217435">
        <w:rPr>
          <w:rFonts w:ascii="Arial" w:hAnsi="Arial" w:cs="Arial"/>
          <w:sz w:val="22"/>
          <w:lang w:val="es-ES"/>
        </w:rPr>
        <w:t xml:space="preserve"> pliego de condiciones o la invitación</w:t>
      </w:r>
      <w:r w:rsidR="00482453" w:rsidRPr="00217435">
        <w:rPr>
          <w:rFonts w:ascii="Arial" w:hAnsi="Arial" w:cs="Arial"/>
          <w:sz w:val="22"/>
          <w:lang w:val="es-ES"/>
        </w:rPr>
        <w:t>, así como las observaciones que se les realicen</w:t>
      </w:r>
      <w:r w:rsidR="00C3164B" w:rsidRPr="00217435">
        <w:rPr>
          <w:rFonts w:ascii="Arial" w:hAnsi="Arial" w:cs="Arial"/>
          <w:sz w:val="22"/>
          <w:lang w:val="es-ES"/>
        </w:rPr>
        <w:t>;</w:t>
      </w:r>
      <w:r w:rsidR="00676398" w:rsidRPr="00217435">
        <w:rPr>
          <w:rFonts w:ascii="Arial" w:hAnsi="Arial" w:cs="Arial"/>
          <w:sz w:val="22"/>
          <w:lang w:val="es-ES"/>
        </w:rPr>
        <w:t xml:space="preserve"> </w:t>
      </w:r>
      <w:r w:rsidR="00246E90" w:rsidRPr="00217435">
        <w:rPr>
          <w:rFonts w:ascii="Arial" w:hAnsi="Arial" w:cs="Arial"/>
          <w:sz w:val="22"/>
          <w:lang w:val="es-ES"/>
        </w:rPr>
        <w:t>vi)</w:t>
      </w:r>
      <w:r w:rsidR="00676398" w:rsidRPr="00217435">
        <w:rPr>
          <w:rFonts w:ascii="Arial" w:hAnsi="Arial" w:cs="Arial"/>
          <w:sz w:val="22"/>
          <w:lang w:val="es-ES"/>
        </w:rPr>
        <w:t xml:space="preserve"> las actas de la audiencia de </w:t>
      </w:r>
      <w:r w:rsidR="00676398" w:rsidRPr="00217435">
        <w:rPr>
          <w:rFonts w:ascii="Arial" w:hAnsi="Arial" w:cs="Arial"/>
          <w:sz w:val="22"/>
          <w:lang w:val="es-ES"/>
        </w:rPr>
        <w:lastRenderedPageBreak/>
        <w:t xml:space="preserve">asignación de riesgos; </w:t>
      </w:r>
      <w:proofErr w:type="spellStart"/>
      <w:r w:rsidR="00676398" w:rsidRPr="00217435">
        <w:rPr>
          <w:rFonts w:ascii="Arial" w:hAnsi="Arial" w:cs="Arial"/>
          <w:sz w:val="22"/>
          <w:lang w:val="es-ES"/>
        </w:rPr>
        <w:t>vi</w:t>
      </w:r>
      <w:r w:rsidR="00246E90" w:rsidRPr="00217435">
        <w:rPr>
          <w:rFonts w:ascii="Arial" w:hAnsi="Arial" w:cs="Arial"/>
          <w:sz w:val="22"/>
          <w:lang w:val="es-ES"/>
        </w:rPr>
        <w:t>i</w:t>
      </w:r>
      <w:proofErr w:type="spellEnd"/>
      <w:r w:rsidR="00676398" w:rsidRPr="00217435">
        <w:rPr>
          <w:rFonts w:ascii="Arial" w:hAnsi="Arial" w:cs="Arial"/>
          <w:sz w:val="22"/>
          <w:lang w:val="es-ES"/>
        </w:rPr>
        <w:t xml:space="preserve">) </w:t>
      </w:r>
      <w:r w:rsidR="00D27E0D" w:rsidRPr="00217435">
        <w:rPr>
          <w:rFonts w:ascii="Arial" w:hAnsi="Arial" w:cs="Arial"/>
          <w:sz w:val="22"/>
          <w:lang w:val="es-ES"/>
        </w:rPr>
        <w:t>e</w:t>
      </w:r>
      <w:r w:rsidR="00676398" w:rsidRPr="00217435">
        <w:rPr>
          <w:rFonts w:ascii="Arial" w:hAnsi="Arial" w:cs="Arial"/>
          <w:sz w:val="22"/>
          <w:lang w:val="es-ES"/>
        </w:rPr>
        <w:t>l acta de cierre</w:t>
      </w:r>
      <w:r w:rsidR="005365B9" w:rsidRPr="00217435">
        <w:rPr>
          <w:rFonts w:ascii="Arial" w:hAnsi="Arial" w:cs="Arial"/>
          <w:sz w:val="22"/>
          <w:lang w:val="es-ES"/>
        </w:rPr>
        <w:t xml:space="preserve"> del</w:t>
      </w:r>
      <w:r w:rsidR="00AD08AD" w:rsidRPr="00217435">
        <w:rPr>
          <w:rFonts w:ascii="Arial" w:hAnsi="Arial" w:cs="Arial"/>
          <w:sz w:val="22"/>
          <w:lang w:val="es-ES"/>
        </w:rPr>
        <w:t xml:space="preserve"> plazo para presentar ofertas</w:t>
      </w:r>
      <w:r w:rsidR="00676398" w:rsidRPr="00217435">
        <w:rPr>
          <w:rFonts w:ascii="Arial" w:hAnsi="Arial" w:cs="Arial"/>
          <w:sz w:val="22"/>
          <w:lang w:val="es-ES"/>
        </w:rPr>
        <w:t>;</w:t>
      </w:r>
      <w:r w:rsidR="00C3164B" w:rsidRPr="00217435">
        <w:rPr>
          <w:rFonts w:ascii="Arial" w:hAnsi="Arial" w:cs="Arial"/>
          <w:sz w:val="22"/>
          <w:lang w:val="es-ES"/>
        </w:rPr>
        <w:t xml:space="preserve"> </w:t>
      </w:r>
      <w:proofErr w:type="spellStart"/>
      <w:r w:rsidR="006E2F98" w:rsidRPr="00217435">
        <w:rPr>
          <w:rFonts w:ascii="Arial" w:hAnsi="Arial" w:cs="Arial"/>
          <w:sz w:val="22"/>
          <w:lang w:val="es-ES"/>
        </w:rPr>
        <w:t>viii</w:t>
      </w:r>
      <w:proofErr w:type="spellEnd"/>
      <w:r w:rsidR="00246E90" w:rsidRPr="00217435">
        <w:rPr>
          <w:rFonts w:ascii="Arial" w:hAnsi="Arial" w:cs="Arial"/>
          <w:sz w:val="22"/>
          <w:lang w:val="es-ES"/>
        </w:rPr>
        <w:t>)</w:t>
      </w:r>
      <w:r w:rsidR="00676398" w:rsidRPr="00217435">
        <w:rPr>
          <w:rFonts w:ascii="Arial" w:hAnsi="Arial" w:cs="Arial"/>
          <w:sz w:val="22"/>
          <w:lang w:val="es-ES"/>
        </w:rPr>
        <w:t xml:space="preserve"> </w:t>
      </w:r>
      <w:r w:rsidR="00C3164B" w:rsidRPr="00217435">
        <w:rPr>
          <w:rFonts w:ascii="Arial" w:hAnsi="Arial" w:cs="Arial"/>
          <w:sz w:val="22"/>
          <w:lang w:val="es-ES"/>
        </w:rPr>
        <w:t>las adendas;</w:t>
      </w:r>
      <w:r w:rsidR="00676398" w:rsidRPr="00217435">
        <w:rPr>
          <w:rFonts w:ascii="Arial" w:hAnsi="Arial" w:cs="Arial"/>
          <w:sz w:val="22"/>
          <w:lang w:val="es-ES"/>
        </w:rPr>
        <w:t xml:space="preserve"> </w:t>
      </w:r>
      <w:proofErr w:type="spellStart"/>
      <w:r w:rsidR="006E2F98" w:rsidRPr="00217435">
        <w:rPr>
          <w:rFonts w:ascii="Arial" w:hAnsi="Arial" w:cs="Arial"/>
          <w:sz w:val="22"/>
          <w:lang w:val="es-ES"/>
        </w:rPr>
        <w:t>i</w:t>
      </w:r>
      <w:r w:rsidR="00246E90" w:rsidRPr="00217435">
        <w:rPr>
          <w:rFonts w:ascii="Arial" w:hAnsi="Arial" w:cs="Arial"/>
          <w:sz w:val="22"/>
          <w:lang w:val="es-ES"/>
        </w:rPr>
        <w:t>x</w:t>
      </w:r>
      <w:proofErr w:type="spellEnd"/>
      <w:r w:rsidR="00676398" w:rsidRPr="00217435">
        <w:rPr>
          <w:rFonts w:ascii="Arial" w:hAnsi="Arial" w:cs="Arial"/>
          <w:sz w:val="22"/>
          <w:lang w:val="es-ES"/>
        </w:rPr>
        <w:t xml:space="preserve">) </w:t>
      </w:r>
      <w:r w:rsidR="005365B9" w:rsidRPr="00217435">
        <w:rPr>
          <w:rFonts w:ascii="Arial" w:hAnsi="Arial" w:cs="Arial"/>
          <w:sz w:val="22"/>
          <w:lang w:val="es-ES"/>
        </w:rPr>
        <w:t xml:space="preserve">en </w:t>
      </w:r>
      <w:r w:rsidR="00AD08AD" w:rsidRPr="00217435">
        <w:rPr>
          <w:rFonts w:ascii="Arial" w:hAnsi="Arial" w:cs="Arial"/>
          <w:sz w:val="22"/>
          <w:lang w:val="es-ES"/>
        </w:rPr>
        <w:t xml:space="preserve"> procesos cuya publicación deba realizarse en </w:t>
      </w:r>
      <w:r w:rsidR="005365B9" w:rsidRPr="00217435">
        <w:rPr>
          <w:rFonts w:ascii="Arial" w:hAnsi="Arial" w:cs="Arial"/>
          <w:sz w:val="22"/>
          <w:lang w:val="es-ES"/>
        </w:rPr>
        <w:t>SECOP I</w:t>
      </w:r>
      <w:r w:rsidR="00AD08AD" w:rsidRPr="00217435">
        <w:rPr>
          <w:rFonts w:ascii="Arial" w:hAnsi="Arial" w:cs="Arial"/>
          <w:sz w:val="22"/>
          <w:lang w:val="es-ES"/>
        </w:rPr>
        <w:t>,</w:t>
      </w:r>
      <w:r w:rsidR="005365B9" w:rsidRPr="00217435">
        <w:rPr>
          <w:rFonts w:ascii="Arial" w:hAnsi="Arial" w:cs="Arial"/>
          <w:sz w:val="22"/>
          <w:lang w:val="es-ES"/>
        </w:rPr>
        <w:t xml:space="preserve"> </w:t>
      </w:r>
      <w:r w:rsidR="00C3164B" w:rsidRPr="00217435">
        <w:rPr>
          <w:rFonts w:ascii="Arial" w:hAnsi="Arial" w:cs="Arial"/>
          <w:sz w:val="22"/>
          <w:lang w:val="es-ES"/>
        </w:rPr>
        <w:t>la oferta</w:t>
      </w:r>
      <w:r w:rsidR="005365B9" w:rsidRPr="00217435">
        <w:rPr>
          <w:rFonts w:ascii="Arial" w:hAnsi="Arial" w:cs="Arial"/>
          <w:sz w:val="22"/>
          <w:lang w:val="es-ES"/>
        </w:rPr>
        <w:t xml:space="preserve"> del adjudicatario</w:t>
      </w:r>
      <w:r w:rsidR="00246E90" w:rsidRPr="00217435">
        <w:rPr>
          <w:rFonts w:ascii="Arial" w:hAnsi="Arial" w:cs="Arial"/>
          <w:sz w:val="22"/>
          <w:lang w:val="es-ES"/>
        </w:rPr>
        <w:t xml:space="preserve"> y las aclaraciones que </w:t>
      </w:r>
      <w:r w:rsidR="00482453" w:rsidRPr="00217435">
        <w:rPr>
          <w:rFonts w:ascii="Arial" w:hAnsi="Arial" w:cs="Arial"/>
          <w:sz w:val="22"/>
          <w:lang w:val="es-ES"/>
        </w:rPr>
        <w:t>se le realicen</w:t>
      </w:r>
      <w:r w:rsidR="00C3164B" w:rsidRPr="00217435">
        <w:rPr>
          <w:rFonts w:ascii="Arial" w:hAnsi="Arial" w:cs="Arial"/>
          <w:sz w:val="22"/>
          <w:lang w:val="es-ES"/>
        </w:rPr>
        <w:t xml:space="preserve">; </w:t>
      </w:r>
      <w:r w:rsidR="00676398" w:rsidRPr="00217435">
        <w:rPr>
          <w:rFonts w:ascii="Arial" w:hAnsi="Arial" w:cs="Arial"/>
          <w:sz w:val="22"/>
          <w:lang w:val="es-ES"/>
        </w:rPr>
        <w:t>x)</w:t>
      </w:r>
      <w:r w:rsidR="00C3164B" w:rsidRPr="00217435">
        <w:rPr>
          <w:rFonts w:ascii="Arial" w:hAnsi="Arial" w:cs="Arial"/>
          <w:sz w:val="22"/>
          <w:lang w:val="es-ES"/>
        </w:rPr>
        <w:t xml:space="preserve"> </w:t>
      </w:r>
      <w:r w:rsidR="00D077DE" w:rsidRPr="00217435">
        <w:rPr>
          <w:rFonts w:ascii="Arial" w:hAnsi="Arial" w:cs="Arial"/>
          <w:sz w:val="22"/>
          <w:lang w:val="es-ES"/>
        </w:rPr>
        <w:t>el</w:t>
      </w:r>
      <w:r w:rsidR="00676398" w:rsidRPr="00217435">
        <w:rPr>
          <w:rFonts w:ascii="Arial" w:hAnsi="Arial" w:cs="Arial"/>
          <w:sz w:val="22"/>
          <w:lang w:val="es-ES"/>
        </w:rPr>
        <w:t xml:space="preserve"> informe de precalificación</w:t>
      </w:r>
      <w:r w:rsidR="00246E90" w:rsidRPr="00217435">
        <w:rPr>
          <w:rFonts w:ascii="Arial" w:hAnsi="Arial" w:cs="Arial"/>
          <w:sz w:val="22"/>
          <w:lang w:val="es-ES"/>
        </w:rPr>
        <w:t xml:space="preserve"> y las observaciones que se formulen</w:t>
      </w:r>
      <w:r w:rsidR="00676398" w:rsidRPr="00217435">
        <w:rPr>
          <w:rFonts w:ascii="Arial" w:hAnsi="Arial" w:cs="Arial"/>
          <w:sz w:val="22"/>
          <w:lang w:val="es-ES"/>
        </w:rPr>
        <w:t>; x</w:t>
      </w:r>
      <w:r w:rsidR="00246E90" w:rsidRPr="00217435">
        <w:rPr>
          <w:rFonts w:ascii="Arial" w:hAnsi="Arial" w:cs="Arial"/>
          <w:sz w:val="22"/>
          <w:lang w:val="es-ES"/>
        </w:rPr>
        <w:t>i</w:t>
      </w:r>
      <w:r w:rsidR="00676398" w:rsidRPr="00217435">
        <w:rPr>
          <w:rFonts w:ascii="Arial" w:hAnsi="Arial" w:cs="Arial"/>
          <w:sz w:val="22"/>
          <w:lang w:val="es-ES"/>
        </w:rPr>
        <w:t>)</w:t>
      </w:r>
      <w:r w:rsidR="00517E33" w:rsidRPr="00217435">
        <w:rPr>
          <w:rFonts w:ascii="Arial" w:hAnsi="Arial" w:cs="Arial"/>
          <w:sz w:val="22"/>
          <w:lang w:val="es-ES"/>
        </w:rPr>
        <w:t xml:space="preserve"> </w:t>
      </w:r>
      <w:r w:rsidR="00D077DE" w:rsidRPr="00217435">
        <w:rPr>
          <w:rFonts w:ascii="Arial" w:hAnsi="Arial" w:cs="Arial"/>
          <w:sz w:val="22"/>
          <w:lang w:val="es-ES"/>
        </w:rPr>
        <w:t>el</w:t>
      </w:r>
      <w:r w:rsidR="00C3164B" w:rsidRPr="00217435">
        <w:rPr>
          <w:rFonts w:ascii="Arial" w:hAnsi="Arial" w:cs="Arial"/>
          <w:sz w:val="22"/>
          <w:lang w:val="es-ES"/>
        </w:rPr>
        <w:t xml:space="preserve"> informe de evaluación</w:t>
      </w:r>
      <w:r w:rsidR="00246E90" w:rsidRPr="00217435">
        <w:rPr>
          <w:rFonts w:ascii="Arial" w:hAnsi="Arial" w:cs="Arial"/>
          <w:sz w:val="22"/>
          <w:lang w:val="es-ES"/>
        </w:rPr>
        <w:t xml:space="preserve"> y las observaciones que se formulen</w:t>
      </w:r>
      <w:r w:rsidR="00C3164B" w:rsidRPr="00217435">
        <w:rPr>
          <w:rFonts w:ascii="Arial" w:hAnsi="Arial" w:cs="Arial"/>
          <w:sz w:val="22"/>
          <w:lang w:val="es-ES"/>
        </w:rPr>
        <w:t xml:space="preserve">; </w:t>
      </w:r>
      <w:proofErr w:type="spellStart"/>
      <w:r w:rsidR="00676398" w:rsidRPr="00217435">
        <w:rPr>
          <w:rFonts w:ascii="Arial" w:hAnsi="Arial" w:cs="Arial"/>
          <w:sz w:val="22"/>
          <w:lang w:val="es-ES"/>
        </w:rPr>
        <w:t>xi</w:t>
      </w:r>
      <w:r w:rsidR="00246E90" w:rsidRPr="00217435">
        <w:rPr>
          <w:rFonts w:ascii="Arial" w:hAnsi="Arial" w:cs="Arial"/>
          <w:sz w:val="22"/>
          <w:lang w:val="es-ES"/>
        </w:rPr>
        <w:t>i</w:t>
      </w:r>
      <w:proofErr w:type="spellEnd"/>
      <w:r w:rsidR="00676398" w:rsidRPr="00217435">
        <w:rPr>
          <w:rFonts w:ascii="Arial" w:hAnsi="Arial" w:cs="Arial"/>
          <w:sz w:val="22"/>
          <w:lang w:val="es-ES"/>
        </w:rPr>
        <w:t xml:space="preserve">) </w:t>
      </w:r>
      <w:r w:rsidR="00C3164B" w:rsidRPr="00217435">
        <w:rPr>
          <w:rFonts w:ascii="Arial" w:hAnsi="Arial" w:cs="Arial"/>
          <w:sz w:val="22"/>
          <w:lang w:val="es-ES"/>
        </w:rPr>
        <w:t>las respuestas a las</w:t>
      </w:r>
      <w:r w:rsidR="00246E90" w:rsidRPr="00217435">
        <w:rPr>
          <w:rFonts w:ascii="Arial" w:hAnsi="Arial" w:cs="Arial"/>
          <w:sz w:val="22"/>
          <w:lang w:val="es-ES"/>
        </w:rPr>
        <w:t xml:space="preserve"> observaciones</w:t>
      </w:r>
      <w:r w:rsidR="00676398" w:rsidRPr="00217435">
        <w:rPr>
          <w:rFonts w:ascii="Arial" w:hAnsi="Arial" w:cs="Arial"/>
          <w:sz w:val="22"/>
          <w:lang w:val="es-ES"/>
        </w:rPr>
        <w:t>;</w:t>
      </w:r>
      <w:r w:rsidR="00C3164B" w:rsidRPr="00217435">
        <w:rPr>
          <w:rFonts w:ascii="Arial" w:hAnsi="Arial" w:cs="Arial"/>
          <w:sz w:val="22"/>
          <w:lang w:val="es-ES"/>
        </w:rPr>
        <w:t xml:space="preserve"> </w:t>
      </w:r>
      <w:proofErr w:type="spellStart"/>
      <w:r w:rsidR="00676398" w:rsidRPr="00217435">
        <w:rPr>
          <w:rFonts w:ascii="Arial" w:hAnsi="Arial" w:cs="Arial"/>
          <w:sz w:val="22"/>
          <w:lang w:val="es-ES"/>
        </w:rPr>
        <w:t>xi</w:t>
      </w:r>
      <w:r w:rsidR="006E2F98" w:rsidRPr="00217435">
        <w:rPr>
          <w:rFonts w:ascii="Arial" w:hAnsi="Arial" w:cs="Arial"/>
          <w:sz w:val="22"/>
          <w:lang w:val="es-ES"/>
        </w:rPr>
        <w:t>ii</w:t>
      </w:r>
      <w:proofErr w:type="spellEnd"/>
      <w:r w:rsidR="00676398" w:rsidRPr="00217435">
        <w:rPr>
          <w:rFonts w:ascii="Arial" w:hAnsi="Arial" w:cs="Arial"/>
          <w:sz w:val="22"/>
          <w:lang w:val="es-ES"/>
        </w:rPr>
        <w:t xml:space="preserve">) </w:t>
      </w:r>
      <w:r w:rsidR="00C3164B" w:rsidRPr="00217435">
        <w:rPr>
          <w:rFonts w:ascii="Arial" w:hAnsi="Arial" w:cs="Arial"/>
          <w:sz w:val="22"/>
          <w:lang w:val="es-ES"/>
        </w:rPr>
        <w:t>el contrato</w:t>
      </w:r>
      <w:r w:rsidR="00246E90" w:rsidRPr="00217435">
        <w:rPr>
          <w:rFonts w:ascii="Arial" w:hAnsi="Arial" w:cs="Arial"/>
          <w:sz w:val="22"/>
          <w:lang w:val="es-ES"/>
        </w:rPr>
        <w:t xml:space="preserve"> y los </w:t>
      </w:r>
      <w:r w:rsidR="00851936" w:rsidRPr="00217435">
        <w:rPr>
          <w:rFonts w:ascii="Arial" w:hAnsi="Arial" w:cs="Arial"/>
          <w:sz w:val="22"/>
          <w:lang w:val="es-ES"/>
        </w:rPr>
        <w:t>otrosíes</w:t>
      </w:r>
      <w:r w:rsidR="00D077DE" w:rsidRPr="00217435">
        <w:rPr>
          <w:rFonts w:ascii="Arial" w:hAnsi="Arial" w:cs="Arial"/>
          <w:sz w:val="22"/>
          <w:lang w:val="es-ES"/>
        </w:rPr>
        <w:t xml:space="preserve"> o modificaciones</w:t>
      </w:r>
      <w:r w:rsidR="00C3164B" w:rsidRPr="00217435">
        <w:rPr>
          <w:rFonts w:ascii="Arial" w:hAnsi="Arial" w:cs="Arial"/>
          <w:sz w:val="22"/>
          <w:lang w:val="es-ES"/>
        </w:rPr>
        <w:t>;</w:t>
      </w:r>
      <w:r w:rsidR="00676398" w:rsidRPr="00217435">
        <w:rPr>
          <w:rFonts w:ascii="Arial" w:hAnsi="Arial" w:cs="Arial"/>
          <w:sz w:val="22"/>
          <w:lang w:val="es-ES"/>
        </w:rPr>
        <w:t xml:space="preserve"> </w:t>
      </w:r>
      <w:proofErr w:type="spellStart"/>
      <w:r w:rsidR="00676398" w:rsidRPr="00217435">
        <w:rPr>
          <w:rFonts w:ascii="Arial" w:hAnsi="Arial" w:cs="Arial"/>
          <w:sz w:val="22"/>
          <w:lang w:val="es-ES"/>
        </w:rPr>
        <w:t>x</w:t>
      </w:r>
      <w:r w:rsidR="006E2F98" w:rsidRPr="00217435">
        <w:rPr>
          <w:rFonts w:ascii="Arial" w:hAnsi="Arial" w:cs="Arial"/>
          <w:sz w:val="22"/>
          <w:lang w:val="es-ES"/>
        </w:rPr>
        <w:t>i</w:t>
      </w:r>
      <w:r w:rsidR="00676398" w:rsidRPr="00217435">
        <w:rPr>
          <w:rFonts w:ascii="Arial" w:hAnsi="Arial" w:cs="Arial"/>
          <w:sz w:val="22"/>
          <w:lang w:val="es-ES"/>
        </w:rPr>
        <w:t>v</w:t>
      </w:r>
      <w:proofErr w:type="spellEnd"/>
      <w:r w:rsidR="00676398" w:rsidRPr="00217435">
        <w:rPr>
          <w:rFonts w:ascii="Arial" w:hAnsi="Arial" w:cs="Arial"/>
          <w:sz w:val="22"/>
          <w:lang w:val="es-ES"/>
        </w:rPr>
        <w:t xml:space="preserve">) el acta de inicio; </w:t>
      </w:r>
      <w:proofErr w:type="spellStart"/>
      <w:r w:rsidR="00676398" w:rsidRPr="00217435">
        <w:rPr>
          <w:rFonts w:ascii="Arial" w:hAnsi="Arial" w:cs="Arial"/>
          <w:sz w:val="22"/>
          <w:lang w:val="es-ES"/>
        </w:rPr>
        <w:t>xv</w:t>
      </w:r>
      <w:proofErr w:type="spellEnd"/>
      <w:r w:rsidR="00676398" w:rsidRPr="00217435">
        <w:rPr>
          <w:rFonts w:ascii="Arial" w:hAnsi="Arial" w:cs="Arial"/>
          <w:sz w:val="22"/>
          <w:lang w:val="es-ES"/>
        </w:rPr>
        <w:t xml:space="preserve">) las garantías; </w:t>
      </w:r>
      <w:proofErr w:type="spellStart"/>
      <w:r w:rsidR="00676398" w:rsidRPr="00217435">
        <w:rPr>
          <w:rFonts w:ascii="Arial" w:hAnsi="Arial" w:cs="Arial"/>
          <w:sz w:val="22"/>
          <w:lang w:val="es-ES"/>
        </w:rPr>
        <w:t>xvi</w:t>
      </w:r>
      <w:proofErr w:type="spellEnd"/>
      <w:r w:rsidR="00676398" w:rsidRPr="00217435">
        <w:rPr>
          <w:rFonts w:ascii="Arial" w:hAnsi="Arial" w:cs="Arial"/>
          <w:sz w:val="22"/>
          <w:lang w:val="es-ES"/>
        </w:rPr>
        <w:t>)</w:t>
      </w:r>
      <w:r w:rsidR="00517E33" w:rsidRPr="00217435">
        <w:rPr>
          <w:rFonts w:ascii="Arial" w:hAnsi="Arial" w:cs="Arial"/>
          <w:sz w:val="22"/>
          <w:lang w:val="es-ES"/>
        </w:rPr>
        <w:t xml:space="preserve"> </w:t>
      </w:r>
      <w:r w:rsidR="006E2F98" w:rsidRPr="00217435">
        <w:rPr>
          <w:rFonts w:ascii="Arial" w:hAnsi="Arial" w:cs="Arial"/>
          <w:sz w:val="22"/>
          <w:lang w:val="es-ES"/>
        </w:rPr>
        <w:t xml:space="preserve">el </w:t>
      </w:r>
      <w:r w:rsidR="00676398" w:rsidRPr="00217435">
        <w:rPr>
          <w:rFonts w:ascii="Arial" w:hAnsi="Arial" w:cs="Arial"/>
          <w:sz w:val="22"/>
          <w:lang w:val="es-ES"/>
        </w:rPr>
        <w:t xml:space="preserve">acta de liquidación; </w:t>
      </w:r>
      <w:proofErr w:type="spellStart"/>
      <w:r w:rsidR="00676398" w:rsidRPr="00217435">
        <w:rPr>
          <w:rFonts w:ascii="Arial" w:hAnsi="Arial" w:cs="Arial"/>
          <w:sz w:val="22"/>
          <w:lang w:val="es-ES"/>
        </w:rPr>
        <w:t>xvii</w:t>
      </w:r>
      <w:proofErr w:type="spellEnd"/>
      <w:r w:rsidR="00676398" w:rsidRPr="00217435">
        <w:rPr>
          <w:rFonts w:ascii="Arial" w:hAnsi="Arial" w:cs="Arial"/>
          <w:sz w:val="22"/>
          <w:lang w:val="es-ES"/>
        </w:rPr>
        <w:t>) los actos administrativos expedidos con ocasión del proce</w:t>
      </w:r>
      <w:r w:rsidR="00D077DE" w:rsidRPr="00217435">
        <w:rPr>
          <w:rFonts w:ascii="Arial" w:hAnsi="Arial" w:cs="Arial"/>
          <w:sz w:val="22"/>
          <w:lang w:val="es-ES"/>
        </w:rPr>
        <w:t xml:space="preserve">dimiento de </w:t>
      </w:r>
      <w:r w:rsidR="00F0624A" w:rsidRPr="00217435">
        <w:rPr>
          <w:rFonts w:ascii="Arial" w:hAnsi="Arial" w:cs="Arial"/>
          <w:sz w:val="22"/>
          <w:lang w:val="es-ES"/>
        </w:rPr>
        <w:t>selección</w:t>
      </w:r>
      <w:r w:rsidR="00676398" w:rsidRPr="00217435">
        <w:rPr>
          <w:rFonts w:ascii="Arial" w:hAnsi="Arial" w:cs="Arial"/>
          <w:sz w:val="22"/>
          <w:lang w:val="es-ES"/>
        </w:rPr>
        <w:t xml:space="preserve"> o </w:t>
      </w:r>
      <w:r w:rsidR="00D077DE" w:rsidRPr="00217435">
        <w:rPr>
          <w:rFonts w:ascii="Arial" w:hAnsi="Arial" w:cs="Arial"/>
          <w:sz w:val="22"/>
          <w:lang w:val="es-ES"/>
        </w:rPr>
        <w:t>la ejecución</w:t>
      </w:r>
      <w:r w:rsidR="00676398" w:rsidRPr="00217435">
        <w:rPr>
          <w:rFonts w:ascii="Arial" w:hAnsi="Arial" w:cs="Arial"/>
          <w:sz w:val="22"/>
          <w:lang w:val="es-ES"/>
        </w:rPr>
        <w:t xml:space="preserve"> del contrato</w:t>
      </w:r>
      <w:r w:rsidR="006E2F98" w:rsidRPr="00217435">
        <w:rPr>
          <w:rFonts w:ascii="Arial" w:hAnsi="Arial" w:cs="Arial"/>
          <w:sz w:val="22"/>
          <w:lang w:val="es-ES"/>
        </w:rPr>
        <w:t>,</w:t>
      </w:r>
      <w:r w:rsidR="00676398" w:rsidRPr="00217435">
        <w:rPr>
          <w:rFonts w:ascii="Arial" w:hAnsi="Arial" w:cs="Arial"/>
          <w:sz w:val="22"/>
          <w:lang w:val="es-ES"/>
        </w:rPr>
        <w:t xml:space="preserve"> como las resoluciones de apertura, de adjudicación, las que se </w:t>
      </w:r>
      <w:r w:rsidR="00CB02F8" w:rsidRPr="00217435">
        <w:rPr>
          <w:rFonts w:ascii="Arial" w:hAnsi="Arial" w:cs="Arial"/>
          <w:sz w:val="22"/>
          <w:lang w:val="es-ES"/>
        </w:rPr>
        <w:t>impongan</w:t>
      </w:r>
      <w:r w:rsidR="00676398" w:rsidRPr="00217435">
        <w:rPr>
          <w:rFonts w:ascii="Arial" w:hAnsi="Arial" w:cs="Arial"/>
          <w:sz w:val="22"/>
          <w:lang w:val="es-ES"/>
        </w:rPr>
        <w:t xml:space="preserve"> multas</w:t>
      </w:r>
      <w:r w:rsidR="00D077DE" w:rsidRPr="00217435">
        <w:rPr>
          <w:rFonts w:ascii="Arial" w:hAnsi="Arial" w:cs="Arial"/>
          <w:sz w:val="22"/>
          <w:lang w:val="es-ES"/>
        </w:rPr>
        <w:t>, la cláusula penal</w:t>
      </w:r>
      <w:r w:rsidR="00676398" w:rsidRPr="00217435">
        <w:rPr>
          <w:rFonts w:ascii="Arial" w:hAnsi="Arial" w:cs="Arial"/>
          <w:sz w:val="22"/>
          <w:lang w:val="es-ES"/>
        </w:rPr>
        <w:t xml:space="preserve"> o declare</w:t>
      </w:r>
      <w:r w:rsidR="00D077DE" w:rsidRPr="00217435">
        <w:rPr>
          <w:rFonts w:ascii="Arial" w:hAnsi="Arial" w:cs="Arial"/>
          <w:sz w:val="22"/>
          <w:lang w:val="es-ES"/>
        </w:rPr>
        <w:t>n</w:t>
      </w:r>
      <w:r w:rsidR="00676398" w:rsidRPr="00217435">
        <w:rPr>
          <w:rFonts w:ascii="Arial" w:hAnsi="Arial" w:cs="Arial"/>
          <w:sz w:val="22"/>
          <w:lang w:val="es-ES"/>
        </w:rPr>
        <w:t xml:space="preserve"> la caducidad del contrato</w:t>
      </w:r>
      <w:r w:rsidR="00CB02F8" w:rsidRPr="00217435">
        <w:rPr>
          <w:rFonts w:ascii="Arial" w:hAnsi="Arial" w:cs="Arial"/>
          <w:sz w:val="22"/>
          <w:lang w:val="es-ES"/>
        </w:rPr>
        <w:t>;</w:t>
      </w:r>
      <w:r w:rsidR="00246E90" w:rsidRPr="00217435">
        <w:rPr>
          <w:rFonts w:ascii="Arial" w:hAnsi="Arial" w:cs="Arial"/>
          <w:sz w:val="22"/>
          <w:lang w:val="es-ES"/>
        </w:rPr>
        <w:t xml:space="preserve"> </w:t>
      </w:r>
      <w:proofErr w:type="spellStart"/>
      <w:r w:rsidR="006E2F98" w:rsidRPr="00217435">
        <w:rPr>
          <w:rFonts w:ascii="Arial" w:hAnsi="Arial" w:cs="Arial"/>
          <w:sz w:val="22"/>
          <w:lang w:val="es-ES"/>
        </w:rPr>
        <w:t>xviii</w:t>
      </w:r>
      <w:proofErr w:type="spellEnd"/>
      <w:r w:rsidR="00246E90" w:rsidRPr="00217435">
        <w:rPr>
          <w:rFonts w:ascii="Arial" w:hAnsi="Arial" w:cs="Arial"/>
          <w:sz w:val="22"/>
          <w:lang w:val="es-ES"/>
        </w:rPr>
        <w:t xml:space="preserve">) </w:t>
      </w:r>
      <w:r w:rsidR="00482453" w:rsidRPr="00217435">
        <w:rPr>
          <w:rFonts w:ascii="Arial" w:hAnsi="Arial" w:cs="Arial"/>
          <w:sz w:val="22"/>
          <w:lang w:val="es-ES"/>
        </w:rPr>
        <w:t>l</w:t>
      </w:r>
      <w:r w:rsidR="00231103" w:rsidRPr="00217435">
        <w:rPr>
          <w:rFonts w:ascii="Arial" w:hAnsi="Arial" w:cs="Arial"/>
          <w:sz w:val="22"/>
          <w:lang w:val="es-ES"/>
        </w:rPr>
        <w:t>o</w:t>
      </w:r>
      <w:r w:rsidR="00482453" w:rsidRPr="00217435">
        <w:rPr>
          <w:rFonts w:ascii="Arial" w:hAnsi="Arial" w:cs="Arial"/>
          <w:sz w:val="22"/>
          <w:lang w:val="es-ES"/>
        </w:rPr>
        <w:t xml:space="preserve">s </w:t>
      </w:r>
      <w:r w:rsidR="00231103" w:rsidRPr="00217435">
        <w:rPr>
          <w:rFonts w:ascii="Arial" w:hAnsi="Arial" w:cs="Arial"/>
          <w:sz w:val="22"/>
          <w:lang w:val="es-ES"/>
        </w:rPr>
        <w:t>documentos</w:t>
      </w:r>
      <w:r w:rsidR="00482453" w:rsidRPr="00217435">
        <w:rPr>
          <w:rFonts w:ascii="Arial" w:hAnsi="Arial" w:cs="Arial"/>
          <w:sz w:val="22"/>
          <w:lang w:val="es-ES"/>
        </w:rPr>
        <w:t xml:space="preserve"> de los procesos </w:t>
      </w:r>
      <w:r w:rsidR="00231103" w:rsidRPr="00217435">
        <w:rPr>
          <w:rFonts w:ascii="Arial" w:hAnsi="Arial" w:cs="Arial"/>
          <w:sz w:val="22"/>
          <w:lang w:val="es-ES"/>
        </w:rPr>
        <w:t>por incumplimiento contractual que se lleven a cabo conforme al artículo 86 de la Ley 1474 de 2011, como la citación, las pruebas que se practiquen, la resolución que resuelve la actuación y demás documentos que se produzcan</w:t>
      </w:r>
      <w:r w:rsidR="00AD08AD" w:rsidRPr="00217435">
        <w:rPr>
          <w:rFonts w:ascii="Arial" w:hAnsi="Arial" w:cs="Arial"/>
          <w:sz w:val="22"/>
          <w:lang w:val="es-ES"/>
        </w:rPr>
        <w:t xml:space="preserve">; </w:t>
      </w:r>
      <w:proofErr w:type="spellStart"/>
      <w:r w:rsidR="00AD08AD" w:rsidRPr="00217435">
        <w:rPr>
          <w:rFonts w:ascii="Arial" w:hAnsi="Arial" w:cs="Arial"/>
          <w:sz w:val="22"/>
          <w:lang w:val="es-ES"/>
        </w:rPr>
        <w:t>ix</w:t>
      </w:r>
      <w:proofErr w:type="spellEnd"/>
      <w:r w:rsidR="00AD08AD" w:rsidRPr="00217435">
        <w:rPr>
          <w:rFonts w:ascii="Arial" w:hAnsi="Arial" w:cs="Arial"/>
          <w:sz w:val="22"/>
          <w:lang w:val="es-ES"/>
        </w:rPr>
        <w:t xml:space="preserve">) las reclamaciones que presenten las partes y las respuestas que se expidan a las mismas; </w:t>
      </w:r>
      <w:proofErr w:type="spellStart"/>
      <w:r w:rsidR="00AD08AD" w:rsidRPr="00217435">
        <w:rPr>
          <w:rFonts w:ascii="Arial" w:hAnsi="Arial" w:cs="Arial"/>
          <w:sz w:val="22"/>
          <w:lang w:val="es-ES"/>
        </w:rPr>
        <w:t>xx</w:t>
      </w:r>
      <w:proofErr w:type="spellEnd"/>
      <w:r w:rsidR="00AD08AD" w:rsidRPr="00217435">
        <w:rPr>
          <w:rFonts w:ascii="Arial" w:hAnsi="Arial" w:cs="Arial"/>
          <w:sz w:val="22"/>
          <w:lang w:val="es-ES"/>
        </w:rPr>
        <w:t xml:space="preserve">) </w:t>
      </w:r>
      <w:r w:rsidR="00246E90" w:rsidRPr="00217435">
        <w:rPr>
          <w:rFonts w:ascii="Arial" w:hAnsi="Arial" w:cs="Arial"/>
          <w:sz w:val="22"/>
          <w:lang w:val="es-ES"/>
        </w:rPr>
        <w:t xml:space="preserve">las actas de entrega </w:t>
      </w:r>
      <w:r w:rsidR="00CB02F8" w:rsidRPr="00217435">
        <w:rPr>
          <w:rFonts w:ascii="Arial" w:hAnsi="Arial" w:cs="Arial"/>
          <w:sz w:val="22"/>
          <w:lang w:val="es-ES"/>
        </w:rPr>
        <w:t xml:space="preserve">o recibo, </w:t>
      </w:r>
      <w:proofErr w:type="spellStart"/>
      <w:r w:rsidR="00CB02F8" w:rsidRPr="00217435">
        <w:rPr>
          <w:rFonts w:ascii="Arial" w:hAnsi="Arial" w:cs="Arial"/>
          <w:sz w:val="22"/>
          <w:lang w:val="es-ES"/>
        </w:rPr>
        <w:t>xx</w:t>
      </w:r>
      <w:r w:rsidR="00AD08AD" w:rsidRPr="00217435">
        <w:rPr>
          <w:rFonts w:ascii="Arial" w:hAnsi="Arial" w:cs="Arial"/>
          <w:sz w:val="22"/>
          <w:lang w:val="es-ES"/>
        </w:rPr>
        <w:t>i</w:t>
      </w:r>
      <w:proofErr w:type="spellEnd"/>
      <w:r w:rsidR="00CB02F8" w:rsidRPr="00217435">
        <w:rPr>
          <w:rFonts w:ascii="Arial" w:hAnsi="Arial" w:cs="Arial"/>
          <w:sz w:val="22"/>
          <w:lang w:val="es-ES"/>
        </w:rPr>
        <w:t xml:space="preserve">) los informes de supervisión y/o interventoría; </w:t>
      </w:r>
      <w:proofErr w:type="spellStart"/>
      <w:r w:rsidR="00CB02F8" w:rsidRPr="00217435">
        <w:rPr>
          <w:rFonts w:ascii="Arial" w:hAnsi="Arial" w:cs="Arial"/>
          <w:sz w:val="22"/>
          <w:lang w:val="es-ES"/>
        </w:rPr>
        <w:t>xx</w:t>
      </w:r>
      <w:r w:rsidR="00AD08AD" w:rsidRPr="00217435">
        <w:rPr>
          <w:rFonts w:ascii="Arial" w:hAnsi="Arial" w:cs="Arial"/>
          <w:sz w:val="22"/>
          <w:lang w:val="es-ES"/>
        </w:rPr>
        <w:t>ii</w:t>
      </w:r>
      <w:proofErr w:type="spellEnd"/>
      <w:r w:rsidR="00CB02F8" w:rsidRPr="00217435">
        <w:rPr>
          <w:rFonts w:ascii="Arial" w:hAnsi="Arial" w:cs="Arial"/>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00CB02F8" w:rsidRPr="00217435">
        <w:rPr>
          <w:rFonts w:ascii="Arial" w:hAnsi="Arial" w:cs="Arial"/>
          <w:sz w:val="22"/>
          <w:lang w:val="es-ES"/>
        </w:rPr>
        <w:t>xxi</w:t>
      </w:r>
      <w:r w:rsidR="00AD08AD" w:rsidRPr="00217435">
        <w:rPr>
          <w:rFonts w:ascii="Arial" w:hAnsi="Arial" w:cs="Arial"/>
          <w:sz w:val="22"/>
          <w:lang w:val="es-ES"/>
        </w:rPr>
        <w:t>ii</w:t>
      </w:r>
      <w:proofErr w:type="spellEnd"/>
      <w:r w:rsidR="00CB02F8" w:rsidRPr="00217435">
        <w:rPr>
          <w:rFonts w:ascii="Arial" w:hAnsi="Arial" w:cs="Arial"/>
          <w:sz w:val="22"/>
          <w:lang w:val="es-ES"/>
        </w:rPr>
        <w:t xml:space="preserve">) </w:t>
      </w:r>
      <w:r w:rsidR="005365B9" w:rsidRPr="00217435">
        <w:rPr>
          <w:rFonts w:ascii="Arial" w:hAnsi="Arial" w:cs="Arial"/>
          <w:sz w:val="22"/>
          <w:lang w:val="es-ES"/>
        </w:rPr>
        <w:t>la liquidación unilateral</w:t>
      </w:r>
      <w:r w:rsidR="007B3CCC" w:rsidRPr="00217435">
        <w:rPr>
          <w:rFonts w:ascii="Arial" w:hAnsi="Arial" w:cs="Arial"/>
          <w:sz w:val="22"/>
          <w:lang w:val="es-ES"/>
        </w:rPr>
        <w:t>;</w:t>
      </w:r>
      <w:r w:rsidR="005365B9" w:rsidRPr="00217435">
        <w:rPr>
          <w:rFonts w:ascii="Arial" w:hAnsi="Arial" w:cs="Arial"/>
          <w:sz w:val="22"/>
          <w:lang w:val="es-ES"/>
        </w:rPr>
        <w:t xml:space="preserve"> </w:t>
      </w:r>
      <w:r w:rsidR="006E2F98" w:rsidRPr="00217435">
        <w:rPr>
          <w:rFonts w:ascii="Arial" w:hAnsi="Arial" w:cs="Arial"/>
          <w:sz w:val="22"/>
          <w:lang w:val="es-ES"/>
        </w:rPr>
        <w:t xml:space="preserve">y </w:t>
      </w:r>
      <w:proofErr w:type="spellStart"/>
      <w:r w:rsidR="006E2F98" w:rsidRPr="00217435">
        <w:rPr>
          <w:rFonts w:ascii="Arial" w:hAnsi="Arial" w:cs="Arial"/>
          <w:sz w:val="22"/>
          <w:lang w:val="es-ES"/>
        </w:rPr>
        <w:t>xx</w:t>
      </w:r>
      <w:r w:rsidR="00AD08AD" w:rsidRPr="00217435">
        <w:rPr>
          <w:rFonts w:ascii="Arial" w:hAnsi="Arial" w:cs="Arial"/>
          <w:sz w:val="22"/>
          <w:lang w:val="es-ES"/>
        </w:rPr>
        <w:t>iv</w:t>
      </w:r>
      <w:proofErr w:type="spellEnd"/>
      <w:r w:rsidR="006E2F98" w:rsidRPr="00217435">
        <w:rPr>
          <w:rFonts w:ascii="Arial" w:hAnsi="Arial" w:cs="Arial"/>
          <w:sz w:val="22"/>
          <w:lang w:val="es-ES"/>
        </w:rPr>
        <w:t>)</w:t>
      </w:r>
      <w:r w:rsidR="00AD08AD" w:rsidRPr="00217435">
        <w:rPr>
          <w:rFonts w:ascii="Arial" w:hAnsi="Arial" w:cs="Arial"/>
          <w:sz w:val="22"/>
          <w:lang w:val="es-ES"/>
        </w:rPr>
        <w:t xml:space="preserve"> </w:t>
      </w:r>
      <w:r w:rsidR="006E2F98" w:rsidRPr="00217435">
        <w:rPr>
          <w:rFonts w:ascii="Arial" w:hAnsi="Arial" w:cs="Arial"/>
          <w:sz w:val="22"/>
          <w:lang w:val="es-ES"/>
        </w:rPr>
        <w:t xml:space="preserve">en general </w:t>
      </w:r>
      <w:r w:rsidR="00F0624A" w:rsidRPr="00217435">
        <w:rPr>
          <w:rFonts w:ascii="Arial" w:hAnsi="Arial" w:cs="Arial"/>
          <w:sz w:val="22"/>
          <w:lang w:val="es-ES"/>
        </w:rPr>
        <w:t xml:space="preserve">cualquier otro </w:t>
      </w:r>
      <w:r w:rsidR="00C3164B" w:rsidRPr="00217435">
        <w:rPr>
          <w:rFonts w:ascii="Arial" w:hAnsi="Arial" w:cs="Arial"/>
          <w:sz w:val="22"/>
          <w:lang w:val="es-ES"/>
        </w:rPr>
        <w:t xml:space="preserve">documento </w:t>
      </w:r>
      <w:r w:rsidR="006E2F98" w:rsidRPr="00217435">
        <w:rPr>
          <w:rFonts w:ascii="Arial" w:hAnsi="Arial" w:cs="Arial"/>
          <w:sz w:val="22"/>
          <w:lang w:val="es-ES"/>
        </w:rPr>
        <w:t>producido o expedido</w:t>
      </w:r>
      <w:r w:rsidR="00F0624A" w:rsidRPr="00217435">
        <w:rPr>
          <w:rFonts w:ascii="Arial" w:hAnsi="Arial" w:cs="Arial"/>
          <w:sz w:val="22"/>
          <w:lang w:val="es-ES"/>
        </w:rPr>
        <w:t xml:space="preserve"> </w:t>
      </w:r>
      <w:r w:rsidR="00B75E98" w:rsidRPr="00217435">
        <w:rPr>
          <w:rFonts w:ascii="Arial" w:hAnsi="Arial" w:cs="Arial"/>
          <w:sz w:val="22"/>
          <w:lang w:val="es-ES"/>
        </w:rPr>
        <w:t xml:space="preserve">con ocasión del </w:t>
      </w:r>
      <w:r w:rsidR="00B75E98" w:rsidRPr="00217435">
        <w:rPr>
          <w:rFonts w:ascii="Arial" w:hAnsi="Arial" w:cs="Arial"/>
          <w:i/>
          <w:iCs/>
          <w:sz w:val="22"/>
          <w:lang w:val="es-ES"/>
        </w:rPr>
        <w:t>Proceso de Contratación</w:t>
      </w:r>
      <w:r w:rsidR="00CB02F8" w:rsidRPr="00217435">
        <w:rPr>
          <w:rFonts w:ascii="Arial" w:hAnsi="Arial" w:cs="Arial"/>
          <w:sz w:val="22"/>
          <w:lang w:val="es-ES"/>
        </w:rPr>
        <w:t xml:space="preserve">, </w:t>
      </w:r>
      <w:r w:rsidR="00D077DE" w:rsidRPr="00217435">
        <w:rPr>
          <w:rFonts w:ascii="Arial" w:hAnsi="Arial" w:cs="Arial"/>
          <w:sz w:val="22"/>
          <w:lang w:val="es-ES"/>
        </w:rPr>
        <w:t xml:space="preserve">sin importar quién sea su autor –la Administración o el contratista–, </w:t>
      </w:r>
      <w:r w:rsidR="00CB02F8" w:rsidRPr="00217435">
        <w:rPr>
          <w:rFonts w:ascii="Arial" w:hAnsi="Arial" w:cs="Arial"/>
          <w:sz w:val="22"/>
          <w:lang w:val="es-ES"/>
        </w:rPr>
        <w:t xml:space="preserve">con excepción de los </w:t>
      </w:r>
      <w:r w:rsidR="006E2F98" w:rsidRPr="00217435">
        <w:rPr>
          <w:rFonts w:ascii="Arial" w:hAnsi="Arial" w:cs="Arial"/>
          <w:sz w:val="22"/>
          <w:lang w:val="es-ES"/>
        </w:rPr>
        <w:t>que pertenecen a</w:t>
      </w:r>
      <w:r w:rsidR="00CB02F8" w:rsidRPr="00217435">
        <w:rPr>
          <w:rFonts w:ascii="Arial" w:eastAsia="Arial" w:hAnsi="Arial" w:cs="Arial"/>
          <w:sz w:val="22"/>
          <w:lang w:val="es-ES"/>
        </w:rPr>
        <w:t>l marco de operaciones de bolsa de productos, expresamente excluidos de publicación por el artículo 2.2.1.1.1.7.1. del Decreto 1082 de 2015</w:t>
      </w:r>
      <w:r w:rsidR="00851936" w:rsidRPr="00217435">
        <w:rPr>
          <w:rFonts w:ascii="Arial" w:eastAsia="Arial" w:hAnsi="Arial" w:cs="Arial"/>
          <w:sz w:val="22"/>
          <w:lang w:val="es-ES"/>
        </w:rPr>
        <w:t>.</w:t>
      </w:r>
      <w:r w:rsidR="00CB02F8" w:rsidRPr="00217435">
        <w:rPr>
          <w:rFonts w:ascii="Arial" w:eastAsia="Arial" w:hAnsi="Arial" w:cs="Arial"/>
          <w:sz w:val="22"/>
          <w:lang w:val="es-ES"/>
        </w:rPr>
        <w:t xml:space="preserve"> </w:t>
      </w:r>
    </w:p>
    <w:p w14:paraId="3D561D19" w14:textId="66703E8C" w:rsidR="00676398" w:rsidRPr="00217435" w:rsidRDefault="00CB02F8" w:rsidP="00971D28">
      <w:pPr>
        <w:spacing w:line="276" w:lineRule="auto"/>
        <w:ind w:firstLine="709"/>
        <w:jc w:val="both"/>
        <w:rPr>
          <w:rFonts w:ascii="Arial" w:hAnsi="Arial" w:cs="Arial"/>
          <w:sz w:val="22"/>
          <w:lang w:val="es-ES"/>
        </w:rPr>
      </w:pPr>
      <w:r w:rsidRPr="00217435">
        <w:rPr>
          <w:rFonts w:ascii="Arial" w:hAnsi="Arial" w:cs="Arial"/>
          <w:sz w:val="22"/>
          <w:lang w:val="es-ES"/>
        </w:rPr>
        <w:t>Sin perjuicio de lo anterior,</w:t>
      </w:r>
      <w:r w:rsidR="00F0624A" w:rsidRPr="00217435">
        <w:rPr>
          <w:rFonts w:ascii="Arial" w:hAnsi="Arial" w:cs="Arial"/>
          <w:sz w:val="22"/>
          <w:lang w:val="es-ES"/>
        </w:rPr>
        <w:t xml:space="preserve"> no debe perderse de vista que en virtud del principio de </w:t>
      </w:r>
      <w:r w:rsidRPr="00217435">
        <w:rPr>
          <w:rFonts w:ascii="Arial" w:hAnsi="Arial" w:cs="Arial"/>
          <w:sz w:val="22"/>
          <w:lang w:val="es-ES"/>
        </w:rPr>
        <w:t>transparencia</w:t>
      </w:r>
      <w:r w:rsidR="00F0624A" w:rsidRPr="00217435">
        <w:rPr>
          <w:rFonts w:ascii="Arial" w:hAnsi="Arial" w:cs="Arial"/>
          <w:sz w:val="22"/>
          <w:lang w:val="es-ES"/>
        </w:rPr>
        <w:t>, específicamente por cuenta de lo dispuesto en el numeral 4 del artículo 24 de la Ley 80 de 1993</w:t>
      </w:r>
      <w:r w:rsidR="005E47E9" w:rsidRPr="00217435">
        <w:rPr>
          <w:rStyle w:val="Refdenotaalpie"/>
          <w:rFonts w:ascii="Arial" w:hAnsi="Arial" w:cs="Arial"/>
          <w:sz w:val="22"/>
          <w:lang w:val="es-ES"/>
        </w:rPr>
        <w:footnoteReference w:id="24"/>
      </w:r>
      <w:r w:rsidR="00F0624A" w:rsidRPr="00217435">
        <w:rPr>
          <w:rFonts w:ascii="Arial" w:hAnsi="Arial" w:cs="Arial"/>
          <w:sz w:val="22"/>
          <w:lang w:val="es-ES"/>
        </w:rPr>
        <w:t>, así como por el principio de máxima publicidad establecido en el artículo 2 de la Ley 1712 de 2014</w:t>
      </w:r>
      <w:r w:rsidR="005E47E9" w:rsidRPr="00217435">
        <w:rPr>
          <w:rStyle w:val="Refdenotaalpie"/>
          <w:rFonts w:ascii="Arial" w:hAnsi="Arial" w:cs="Arial"/>
          <w:sz w:val="22"/>
          <w:lang w:val="es-ES"/>
        </w:rPr>
        <w:footnoteReference w:id="25"/>
      </w:r>
      <w:r w:rsidR="005E47E9" w:rsidRPr="00217435">
        <w:rPr>
          <w:rFonts w:ascii="Arial" w:hAnsi="Arial" w:cs="Arial"/>
          <w:sz w:val="22"/>
          <w:lang w:val="es-ES"/>
        </w:rPr>
        <w:t xml:space="preserve">, el contenido del expediente en el que reposa la actuación es información pública, independientemente de si </w:t>
      </w:r>
      <w:r w:rsidR="004043D2" w:rsidRPr="00217435">
        <w:rPr>
          <w:rFonts w:ascii="Arial" w:hAnsi="Arial" w:cs="Arial"/>
          <w:sz w:val="22"/>
          <w:lang w:val="es-ES"/>
        </w:rPr>
        <w:t>se trata de documentos que deban</w:t>
      </w:r>
      <w:r w:rsidR="005E47E9" w:rsidRPr="00217435">
        <w:rPr>
          <w:rFonts w:ascii="Arial" w:hAnsi="Arial" w:cs="Arial"/>
          <w:sz w:val="22"/>
          <w:lang w:val="es-ES"/>
        </w:rPr>
        <w:t xml:space="preserve"> </w:t>
      </w:r>
      <w:r w:rsidR="004043D2" w:rsidRPr="00217435">
        <w:rPr>
          <w:rFonts w:ascii="Arial" w:hAnsi="Arial" w:cs="Arial"/>
          <w:sz w:val="22"/>
          <w:lang w:val="es-ES"/>
        </w:rPr>
        <w:t xml:space="preserve"> ser </w:t>
      </w:r>
      <w:r w:rsidR="005E47E9" w:rsidRPr="00217435">
        <w:rPr>
          <w:rFonts w:ascii="Arial" w:hAnsi="Arial" w:cs="Arial"/>
          <w:sz w:val="22"/>
          <w:lang w:val="es-ES"/>
        </w:rPr>
        <w:t>publica</w:t>
      </w:r>
      <w:r w:rsidR="004043D2" w:rsidRPr="00217435">
        <w:rPr>
          <w:rFonts w:ascii="Arial" w:hAnsi="Arial" w:cs="Arial"/>
          <w:sz w:val="22"/>
          <w:lang w:val="es-ES"/>
        </w:rPr>
        <w:t>dos</w:t>
      </w:r>
      <w:r w:rsidR="005E47E9" w:rsidRPr="00217435">
        <w:rPr>
          <w:rFonts w:ascii="Arial" w:hAnsi="Arial" w:cs="Arial"/>
          <w:sz w:val="22"/>
          <w:lang w:val="es-ES"/>
        </w:rPr>
        <w:t xml:space="preserve"> en SECOP, razón por </w:t>
      </w:r>
      <w:r w:rsidR="00CB31C7" w:rsidRPr="00217435">
        <w:rPr>
          <w:rFonts w:ascii="Arial" w:hAnsi="Arial" w:cs="Arial"/>
          <w:sz w:val="22"/>
          <w:lang w:val="es-ES"/>
        </w:rPr>
        <w:t xml:space="preserve">la </w:t>
      </w:r>
      <w:r w:rsidR="005E47E9" w:rsidRPr="00217435">
        <w:rPr>
          <w:rFonts w:ascii="Arial" w:hAnsi="Arial" w:cs="Arial"/>
          <w:sz w:val="22"/>
          <w:lang w:val="es-ES"/>
        </w:rPr>
        <w:t>que pueden ser objeto de solicitud de copias</w:t>
      </w:r>
      <w:r w:rsidR="007F2320" w:rsidRPr="00217435">
        <w:rPr>
          <w:rFonts w:ascii="Arial" w:hAnsi="Arial" w:cs="Arial"/>
          <w:sz w:val="22"/>
          <w:lang w:val="es-ES"/>
        </w:rPr>
        <w:t>,</w:t>
      </w:r>
      <w:r w:rsidR="005E47E9" w:rsidRPr="00217435">
        <w:rPr>
          <w:rFonts w:ascii="Arial" w:hAnsi="Arial" w:cs="Arial"/>
          <w:sz w:val="22"/>
          <w:lang w:val="es-ES"/>
        </w:rPr>
        <w:t xml:space="preserve"> en ejercicio del derecho de petición</w:t>
      </w:r>
      <w:r w:rsidR="007F2320" w:rsidRPr="00217435">
        <w:rPr>
          <w:rFonts w:ascii="Arial" w:hAnsi="Arial" w:cs="Arial"/>
          <w:sz w:val="22"/>
          <w:lang w:val="es-ES"/>
        </w:rPr>
        <w:t>,</w:t>
      </w:r>
      <w:r w:rsidR="005E47E9" w:rsidRPr="00217435">
        <w:rPr>
          <w:rFonts w:ascii="Arial" w:hAnsi="Arial" w:cs="Arial"/>
          <w:sz w:val="22"/>
          <w:lang w:val="es-ES"/>
        </w:rPr>
        <w:t xml:space="preserve"> en cualquier momento del proceso de selección, en la medida</w:t>
      </w:r>
      <w:r w:rsidR="00CB31C7" w:rsidRPr="00217435">
        <w:rPr>
          <w:rFonts w:ascii="Arial" w:hAnsi="Arial" w:cs="Arial"/>
          <w:sz w:val="22"/>
          <w:lang w:val="es-ES"/>
        </w:rPr>
        <w:t xml:space="preserve"> en</w:t>
      </w:r>
      <w:r w:rsidR="005E47E9" w:rsidRPr="00217435">
        <w:rPr>
          <w:rFonts w:ascii="Arial" w:hAnsi="Arial" w:cs="Arial"/>
          <w:sz w:val="22"/>
          <w:lang w:val="es-ES"/>
        </w:rPr>
        <w:t xml:space="preserve"> que las normas señaladas no imponen ningún condicionamiento, </w:t>
      </w:r>
      <w:r w:rsidR="007F2320" w:rsidRPr="00217435">
        <w:rPr>
          <w:rFonts w:ascii="Arial" w:hAnsi="Arial" w:cs="Arial"/>
          <w:sz w:val="22"/>
          <w:lang w:val="es-ES"/>
        </w:rPr>
        <w:t>así</w:t>
      </w:r>
      <w:r w:rsidR="005E47E9" w:rsidRPr="00217435">
        <w:rPr>
          <w:rFonts w:ascii="Arial" w:hAnsi="Arial" w:cs="Arial"/>
          <w:sz w:val="22"/>
          <w:lang w:val="es-ES"/>
        </w:rPr>
        <w:t xml:space="preserve"> que podrán solicita</w:t>
      </w:r>
      <w:r w:rsidR="007F2320" w:rsidRPr="00217435">
        <w:rPr>
          <w:rFonts w:ascii="Arial" w:hAnsi="Arial" w:cs="Arial"/>
          <w:sz w:val="22"/>
          <w:lang w:val="es-ES"/>
        </w:rPr>
        <w:t>rlas</w:t>
      </w:r>
      <w:r w:rsidR="005E47E9" w:rsidRPr="00217435">
        <w:rPr>
          <w:rFonts w:ascii="Arial" w:hAnsi="Arial" w:cs="Arial"/>
          <w:sz w:val="22"/>
          <w:lang w:val="es-ES"/>
        </w:rPr>
        <w:t xml:space="preserve"> cualquier persona, </w:t>
      </w:r>
      <w:r w:rsidR="004043D2" w:rsidRPr="00217435">
        <w:rPr>
          <w:rFonts w:ascii="Arial" w:hAnsi="Arial" w:cs="Arial"/>
          <w:sz w:val="22"/>
          <w:lang w:val="es-ES"/>
        </w:rPr>
        <w:t xml:space="preserve">dentro de lo que cabe la vigilancia de la contratación pública, </w:t>
      </w:r>
      <w:r w:rsidR="004043D2" w:rsidRPr="00217435">
        <w:rPr>
          <w:rFonts w:ascii="Arial" w:hAnsi="Arial" w:cs="Arial"/>
          <w:sz w:val="22"/>
          <w:lang w:val="es-ES"/>
        </w:rPr>
        <w:lastRenderedPageBreak/>
        <w:t>cuestión que podría</w:t>
      </w:r>
      <w:r w:rsidR="00CB31C7" w:rsidRPr="00217435">
        <w:rPr>
          <w:rFonts w:ascii="Arial" w:hAnsi="Arial" w:cs="Arial"/>
          <w:sz w:val="22"/>
          <w:lang w:val="es-ES"/>
        </w:rPr>
        <w:t xml:space="preserve"> interesar</w:t>
      </w:r>
      <w:r w:rsidR="004043D2" w:rsidRPr="00217435">
        <w:rPr>
          <w:rFonts w:ascii="Arial" w:hAnsi="Arial" w:cs="Arial"/>
          <w:sz w:val="22"/>
          <w:lang w:val="es-ES"/>
        </w:rPr>
        <w:t xml:space="preserve"> a cualquier ciudadano</w:t>
      </w:r>
      <w:r w:rsidR="004043D2" w:rsidRPr="00217435">
        <w:rPr>
          <w:rStyle w:val="Refdenotaalpie"/>
          <w:rFonts w:ascii="Arial" w:hAnsi="Arial" w:cs="Arial"/>
          <w:sz w:val="22"/>
          <w:lang w:val="es-ES"/>
        </w:rPr>
        <w:footnoteReference w:id="26"/>
      </w:r>
      <w:r w:rsidR="007F2320" w:rsidRPr="00217435">
        <w:rPr>
          <w:rFonts w:ascii="Arial" w:hAnsi="Arial" w:cs="Arial"/>
          <w:sz w:val="22"/>
          <w:lang w:val="es-ES"/>
        </w:rPr>
        <w:t xml:space="preserve">. </w:t>
      </w:r>
      <w:r w:rsidR="004043D2" w:rsidRPr="00217435">
        <w:rPr>
          <w:rFonts w:ascii="Arial" w:hAnsi="Arial" w:cs="Arial"/>
          <w:sz w:val="22"/>
          <w:lang w:val="es-ES"/>
        </w:rPr>
        <w:t>E</w:t>
      </w:r>
      <w:r w:rsidR="007F2320" w:rsidRPr="00217435">
        <w:rPr>
          <w:rFonts w:ascii="Arial" w:hAnsi="Arial" w:cs="Arial"/>
          <w:sz w:val="22"/>
          <w:lang w:val="es-ES"/>
        </w:rPr>
        <w:t xml:space="preserve">sta posibilidad </w:t>
      </w:r>
      <w:r w:rsidR="004043D2" w:rsidRPr="00217435">
        <w:rPr>
          <w:rFonts w:ascii="Arial" w:hAnsi="Arial" w:cs="Arial"/>
          <w:sz w:val="22"/>
          <w:lang w:val="es-ES"/>
        </w:rPr>
        <w:t>solo se encuentra limitad</w:t>
      </w:r>
      <w:r w:rsidR="007F2320" w:rsidRPr="00217435">
        <w:rPr>
          <w:rFonts w:ascii="Arial" w:hAnsi="Arial" w:cs="Arial"/>
          <w:sz w:val="22"/>
          <w:lang w:val="es-ES"/>
        </w:rPr>
        <w:t>a</w:t>
      </w:r>
      <w:r w:rsidR="004043D2" w:rsidRPr="00217435">
        <w:rPr>
          <w:rFonts w:ascii="Arial" w:hAnsi="Arial" w:cs="Arial"/>
          <w:sz w:val="22"/>
          <w:lang w:val="es-ES"/>
        </w:rPr>
        <w:t xml:space="preserve"> respecto de la documentación que tenga </w:t>
      </w:r>
      <w:r w:rsidR="007F2320" w:rsidRPr="00217435">
        <w:rPr>
          <w:rFonts w:ascii="Arial" w:hAnsi="Arial" w:cs="Arial"/>
          <w:sz w:val="22"/>
          <w:lang w:val="es-ES"/>
        </w:rPr>
        <w:t xml:space="preserve">la </w:t>
      </w:r>
      <w:r w:rsidR="004043D2" w:rsidRPr="00217435">
        <w:rPr>
          <w:rFonts w:ascii="Arial" w:hAnsi="Arial" w:cs="Arial"/>
          <w:sz w:val="22"/>
          <w:lang w:val="es-ES"/>
        </w:rPr>
        <w:t>calidad de reservada</w:t>
      </w:r>
      <w:r w:rsidR="00E72C7B" w:rsidRPr="00217435">
        <w:rPr>
          <w:rFonts w:ascii="Arial" w:hAnsi="Arial" w:cs="Arial"/>
          <w:sz w:val="22"/>
          <w:vertAlign w:val="superscript"/>
          <w:lang w:val="es-ES"/>
        </w:rPr>
        <w:footnoteReference w:id="27"/>
      </w:r>
      <w:r w:rsidR="007F2320" w:rsidRPr="00217435">
        <w:rPr>
          <w:rFonts w:ascii="Arial" w:hAnsi="Arial" w:cs="Arial"/>
          <w:sz w:val="22"/>
          <w:lang w:val="es-ES"/>
        </w:rPr>
        <w:t>,</w:t>
      </w:r>
      <w:r w:rsidR="004043D2" w:rsidRPr="00217435">
        <w:rPr>
          <w:rFonts w:ascii="Arial" w:hAnsi="Arial" w:cs="Arial"/>
          <w:sz w:val="22"/>
          <w:lang w:val="es-ES"/>
        </w:rPr>
        <w:t xml:space="preserve"> </w:t>
      </w:r>
      <w:r w:rsidR="00E72C7B" w:rsidRPr="00217435">
        <w:rPr>
          <w:rFonts w:ascii="Arial" w:hAnsi="Arial" w:cs="Arial"/>
          <w:sz w:val="22"/>
          <w:lang w:val="es-ES"/>
        </w:rPr>
        <w:t>que deberá someterse al tratamiento establecido en el artículo 36 del CPACA, en lo relativo a la formación de cuadernos separados</w:t>
      </w:r>
      <w:r w:rsidR="004043D2" w:rsidRPr="00217435">
        <w:rPr>
          <w:rFonts w:ascii="Arial" w:hAnsi="Arial" w:cs="Arial"/>
          <w:sz w:val="22"/>
          <w:vertAlign w:val="superscript"/>
          <w:lang w:val="es-ES"/>
        </w:rPr>
        <w:footnoteReference w:id="28"/>
      </w:r>
      <w:r w:rsidR="00517E33" w:rsidRPr="00217435">
        <w:rPr>
          <w:rFonts w:ascii="Arial" w:hAnsi="Arial" w:cs="Arial"/>
          <w:sz w:val="22"/>
          <w:lang w:val="es-ES"/>
        </w:rPr>
        <w:t>.</w:t>
      </w:r>
    </w:p>
    <w:p w14:paraId="050D1AF8" w14:textId="758F792C" w:rsidR="006E1CF3" w:rsidRPr="00217435" w:rsidRDefault="000F706C" w:rsidP="00E72C7B">
      <w:pPr>
        <w:spacing w:line="276" w:lineRule="auto"/>
        <w:jc w:val="both"/>
        <w:rPr>
          <w:rFonts w:ascii="Arial" w:eastAsia="Calibri" w:hAnsi="Arial" w:cs="Arial"/>
          <w:b/>
          <w:sz w:val="22"/>
          <w:lang w:val="es-ES"/>
        </w:rPr>
      </w:pPr>
      <w:bookmarkStart w:id="8" w:name="_Hlk46401280"/>
      <w:r w:rsidRPr="00217435">
        <w:rPr>
          <w:rFonts w:ascii="Arial" w:eastAsia="Calibri" w:hAnsi="Arial" w:cs="Arial"/>
          <w:b/>
          <w:sz w:val="22"/>
          <w:lang w:val="es-ES"/>
        </w:rPr>
        <w:t>2.</w:t>
      </w:r>
      <w:r w:rsidR="00FA4849" w:rsidRPr="00217435">
        <w:rPr>
          <w:rFonts w:ascii="Arial" w:eastAsia="Calibri" w:hAnsi="Arial" w:cs="Arial"/>
          <w:b/>
          <w:sz w:val="22"/>
          <w:lang w:val="es-ES"/>
        </w:rPr>
        <w:t>3</w:t>
      </w:r>
      <w:r w:rsidRPr="00217435">
        <w:rPr>
          <w:rFonts w:ascii="Arial" w:eastAsia="Calibri" w:hAnsi="Arial" w:cs="Arial"/>
          <w:b/>
          <w:sz w:val="22"/>
          <w:lang w:val="es-ES"/>
        </w:rPr>
        <w:t xml:space="preserve">. </w:t>
      </w:r>
      <w:r w:rsidR="006E1CF3" w:rsidRPr="00217435">
        <w:rPr>
          <w:rFonts w:ascii="Arial" w:eastAsia="Calibri" w:hAnsi="Arial" w:cs="Arial"/>
          <w:b/>
          <w:sz w:val="22"/>
          <w:lang w:val="es-ES"/>
        </w:rPr>
        <w:t>SECOP II</w:t>
      </w:r>
      <w:r w:rsidR="00107A91" w:rsidRPr="00217435">
        <w:rPr>
          <w:rFonts w:ascii="Arial" w:eastAsia="Calibri" w:hAnsi="Arial" w:cs="Arial"/>
          <w:b/>
          <w:sz w:val="22"/>
          <w:lang w:val="es-ES"/>
        </w:rPr>
        <w:t xml:space="preserve"> como herramienta </w:t>
      </w:r>
      <w:r w:rsidR="00DB55D0" w:rsidRPr="00217435">
        <w:rPr>
          <w:rFonts w:ascii="Arial" w:eastAsia="Calibri" w:hAnsi="Arial" w:cs="Arial"/>
          <w:b/>
          <w:sz w:val="22"/>
          <w:lang w:val="es-ES"/>
        </w:rPr>
        <w:t>para la gestión contractual</w:t>
      </w:r>
      <w:r w:rsidR="006E1CF3" w:rsidRPr="00217435">
        <w:rPr>
          <w:rFonts w:ascii="Arial" w:eastAsia="Calibri" w:hAnsi="Arial" w:cs="Arial"/>
          <w:b/>
          <w:sz w:val="22"/>
          <w:lang w:val="es-ES"/>
        </w:rPr>
        <w:t>, su despliegue y utilización como plataforma electrónica transaccional</w:t>
      </w:r>
    </w:p>
    <w:p w14:paraId="62D05C4E" w14:textId="77777777" w:rsidR="006E1CF3" w:rsidRPr="00217435" w:rsidRDefault="006E1CF3" w:rsidP="006E1CF3">
      <w:pPr>
        <w:spacing w:line="276" w:lineRule="auto"/>
        <w:jc w:val="both"/>
        <w:rPr>
          <w:rFonts w:ascii="Arial" w:eastAsia="Calibri" w:hAnsi="Arial" w:cs="Arial"/>
          <w:b/>
          <w:sz w:val="22"/>
          <w:lang w:val="es-ES"/>
        </w:rPr>
      </w:pPr>
    </w:p>
    <w:p w14:paraId="6E720FB9" w14:textId="56B712A4" w:rsidR="006E1CF3" w:rsidRPr="00217435" w:rsidRDefault="006E1CF3" w:rsidP="006E1CF3">
      <w:pPr>
        <w:spacing w:after="120" w:line="276" w:lineRule="auto"/>
        <w:jc w:val="both"/>
        <w:rPr>
          <w:rFonts w:ascii="Arial" w:eastAsia="Calibri" w:hAnsi="Arial" w:cs="Arial"/>
          <w:sz w:val="22"/>
          <w:lang w:val="es-ES"/>
        </w:rPr>
      </w:pPr>
      <w:r w:rsidRPr="00217435">
        <w:rPr>
          <w:rFonts w:ascii="Arial" w:eastAsia="Calibri" w:hAnsi="Arial" w:cs="Arial"/>
          <w:sz w:val="22"/>
          <w:lang w:val="es-ES"/>
        </w:rPr>
        <w:t>La Agencia Nacional de Contratación Pública – Colombia Compra Eficiente tiene como función  administra</w:t>
      </w:r>
      <w:r w:rsidR="004E0A12" w:rsidRPr="00217435">
        <w:rPr>
          <w:rFonts w:ascii="Arial" w:eastAsia="Calibri" w:hAnsi="Arial" w:cs="Arial"/>
          <w:sz w:val="22"/>
          <w:lang w:val="es-ES"/>
        </w:rPr>
        <w:t xml:space="preserve">r </w:t>
      </w:r>
      <w:r w:rsidRPr="00217435">
        <w:rPr>
          <w:rFonts w:ascii="Arial" w:eastAsia="Calibri" w:hAnsi="Arial" w:cs="Arial"/>
          <w:sz w:val="22"/>
          <w:lang w:val="es-ES"/>
        </w:rPr>
        <w:t>el SECOP</w:t>
      </w:r>
      <w:r w:rsidRPr="00217435">
        <w:rPr>
          <w:rStyle w:val="Refdenotaalpie"/>
          <w:rFonts w:ascii="Arial" w:eastAsia="Calibri" w:hAnsi="Arial" w:cs="Arial"/>
          <w:sz w:val="22"/>
          <w:lang w:val="es-ES"/>
        </w:rPr>
        <w:footnoteReference w:id="29"/>
      </w:r>
      <w:r w:rsidRPr="00217435">
        <w:rPr>
          <w:rFonts w:ascii="Arial" w:eastAsia="Calibri" w:hAnsi="Arial" w:cs="Arial"/>
          <w:sz w:val="22"/>
          <w:lang w:val="es-ES"/>
        </w:rPr>
        <w:t xml:space="preserve">, por lo cual se desarrolló la primera versión </w:t>
      </w:r>
      <w:r w:rsidR="00A16D8E" w:rsidRPr="00217435">
        <w:rPr>
          <w:rFonts w:ascii="Arial" w:eastAsia="Calibri" w:hAnsi="Arial" w:cs="Arial"/>
          <w:sz w:val="22"/>
          <w:lang w:val="es-ES"/>
        </w:rPr>
        <w:t xml:space="preserve"> de la </w:t>
      </w:r>
      <w:r w:rsidR="00A16D8E" w:rsidRPr="00217435">
        <w:rPr>
          <w:rFonts w:ascii="Arial" w:eastAsia="Calibri" w:hAnsi="Arial" w:cs="Arial"/>
          <w:sz w:val="22"/>
          <w:lang w:val="es-ES"/>
        </w:rPr>
        <w:lastRenderedPageBreak/>
        <w:t>plataforma</w:t>
      </w:r>
      <w:r w:rsidRPr="00217435">
        <w:rPr>
          <w:rFonts w:ascii="Arial" w:eastAsia="Calibri" w:hAnsi="Arial" w:cs="Arial"/>
          <w:sz w:val="22"/>
          <w:lang w:val="es-ES"/>
        </w:rPr>
        <w:t xml:space="preserve"> ̶ SECOP I ̶  ,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28D221EC" w14:textId="2C57F641" w:rsidR="006E1CF3" w:rsidRPr="00217435" w:rsidRDefault="006E1CF3" w:rsidP="006E1CF3">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El SECOP II es una plataforma transaccional, que permite gestionar en línea todos los procedimientos de contratación, con cuentas y usuarios asociados a estas,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5B587533" w14:textId="77777777" w:rsidR="00E72C7B" w:rsidRPr="00217435" w:rsidRDefault="006E1CF3" w:rsidP="006E1CF3">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La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w:t>
      </w:r>
      <w:r w:rsidR="00A16D8E" w:rsidRPr="00217435">
        <w:rPr>
          <w:rFonts w:ascii="Arial" w:eastAsia="Calibri" w:hAnsi="Arial" w:cs="Arial"/>
          <w:sz w:val="22"/>
          <w:lang w:val="es-ES"/>
        </w:rPr>
        <w:t xml:space="preserve"> </w:t>
      </w:r>
    </w:p>
    <w:p w14:paraId="206C1C00" w14:textId="2EFB318A" w:rsidR="006E1CF3" w:rsidRPr="00217435" w:rsidRDefault="00A16D8E" w:rsidP="006E1CF3">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Con anterioridad a estas circulares se </w:t>
      </w:r>
      <w:r w:rsidR="00AD32B3" w:rsidRPr="00217435">
        <w:rPr>
          <w:rFonts w:ascii="Arial" w:eastAsia="Calibri" w:hAnsi="Arial" w:cs="Arial"/>
          <w:sz w:val="22"/>
          <w:lang w:val="es-ES"/>
        </w:rPr>
        <w:t>expidieron</w:t>
      </w:r>
      <w:r w:rsidRPr="00217435">
        <w:rPr>
          <w:rFonts w:ascii="Arial" w:eastAsia="Calibri" w:hAnsi="Arial" w:cs="Arial"/>
          <w:sz w:val="22"/>
          <w:lang w:val="es-ES"/>
        </w:rPr>
        <w:t xml:space="preserve"> la </w:t>
      </w:r>
      <w:r w:rsidR="00AD32B3" w:rsidRPr="00217435">
        <w:rPr>
          <w:rFonts w:ascii="Arial" w:eastAsia="Calibri" w:hAnsi="Arial" w:cs="Arial"/>
          <w:sz w:val="22"/>
          <w:lang w:val="es-ES"/>
        </w:rPr>
        <w:t>Circular</w:t>
      </w:r>
      <w:r w:rsidRPr="00217435">
        <w:rPr>
          <w:rFonts w:ascii="Arial" w:eastAsia="Calibri" w:hAnsi="Arial" w:cs="Arial"/>
          <w:sz w:val="22"/>
          <w:lang w:val="es-ES"/>
        </w:rPr>
        <w:t xml:space="preserve"> Externa No. 1 de 2013, que regula la publicación </w:t>
      </w:r>
      <w:r w:rsidR="00AA5F37" w:rsidRPr="00217435">
        <w:rPr>
          <w:rFonts w:ascii="Arial" w:eastAsia="Calibri" w:hAnsi="Arial" w:cs="Arial"/>
          <w:sz w:val="22"/>
          <w:lang w:val="es-ES"/>
        </w:rPr>
        <w:t xml:space="preserve">en </w:t>
      </w:r>
      <w:r w:rsidRPr="00217435">
        <w:rPr>
          <w:rFonts w:ascii="Arial" w:eastAsia="Calibri" w:hAnsi="Arial" w:cs="Arial"/>
          <w:sz w:val="22"/>
          <w:lang w:val="es-ES"/>
        </w:rPr>
        <w:t xml:space="preserve">SECOP I de las entidades que contratan con cargo a recursos públicos, </w:t>
      </w:r>
      <w:r w:rsidR="00097EFA" w:rsidRPr="00217435">
        <w:rPr>
          <w:rFonts w:ascii="Arial" w:eastAsia="Calibri" w:hAnsi="Arial" w:cs="Arial"/>
          <w:sz w:val="22"/>
          <w:lang w:val="es-ES"/>
        </w:rPr>
        <w:t>y la Circular Externa No. 20 de 2015</w:t>
      </w:r>
      <w:r w:rsidR="00AA5F37" w:rsidRPr="00217435">
        <w:rPr>
          <w:rFonts w:ascii="Arial" w:eastAsia="Calibri" w:hAnsi="Arial" w:cs="Arial"/>
          <w:sz w:val="22"/>
          <w:lang w:val="es-ES"/>
        </w:rPr>
        <w:t>,</w:t>
      </w:r>
      <w:r w:rsidR="00097EFA" w:rsidRPr="00217435">
        <w:rPr>
          <w:rFonts w:ascii="Arial" w:eastAsia="Calibri" w:hAnsi="Arial" w:cs="Arial"/>
          <w:sz w:val="22"/>
          <w:lang w:val="es-ES"/>
        </w:rPr>
        <w:t xml:space="preserve"> que </w:t>
      </w:r>
      <w:r w:rsidR="00AA5F37" w:rsidRPr="00217435">
        <w:rPr>
          <w:rFonts w:ascii="Arial" w:eastAsia="Calibri" w:hAnsi="Arial" w:cs="Arial"/>
          <w:sz w:val="22"/>
          <w:lang w:val="es-ES"/>
        </w:rPr>
        <w:t>reguló</w:t>
      </w:r>
      <w:r w:rsidR="00097EFA" w:rsidRPr="00217435">
        <w:rPr>
          <w:rFonts w:ascii="Arial" w:eastAsia="Calibri" w:hAnsi="Arial" w:cs="Arial"/>
          <w:sz w:val="22"/>
          <w:lang w:val="es-ES"/>
        </w:rPr>
        <w:t xml:space="preserve"> la </w:t>
      </w:r>
      <w:r w:rsidR="00097EFA" w:rsidRPr="00217435">
        <w:rPr>
          <w:rFonts w:ascii="Arial" w:hAnsi="Arial" w:cs="Arial"/>
          <w:sz w:val="22"/>
          <w:lang w:val="es-ES"/>
        </w:rPr>
        <w:t>publicidad de la actividad contractual de las empresas industriales y comerciales del Estado, las sociedades de economía mixta y las empresas de servicios públicos domiciliarios que en su actividad comercial están en situación de competencia.</w:t>
      </w:r>
    </w:p>
    <w:p w14:paraId="2B3EAD88" w14:textId="50F8CFF6" w:rsidR="003C4B47" w:rsidRPr="00217435" w:rsidRDefault="003C4B47" w:rsidP="003C4B47">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El SECOP II, entonces, empezó a ser de uso obligatorio solo para las entidades mencionadas en el Anexo 1 de la Circular Externa No. 1 de 2019, y por ende el SECOP I cumple únicamente la función de repositorio de información.</w:t>
      </w:r>
    </w:p>
    <w:p w14:paraId="69C5063E" w14:textId="30058A24" w:rsidR="00DB55D0" w:rsidRPr="00217435" w:rsidRDefault="003C4B47" w:rsidP="003C4B47">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Este plazo fue prorrogado por la Agencia Nacional de Contratación Pública – Colombia Compra Eficiente, mediante la Circular Externa No. 2 de 2019, a través de la cual se amplió la </w:t>
      </w:r>
      <w:proofErr w:type="gramStart"/>
      <w:r w:rsidRPr="00217435">
        <w:rPr>
          <w:rFonts w:ascii="Arial" w:eastAsia="Calibri" w:hAnsi="Arial" w:cs="Arial"/>
          <w:sz w:val="22"/>
          <w:lang w:val="es-ES"/>
        </w:rPr>
        <w:t>entrada en vigencia</w:t>
      </w:r>
      <w:proofErr w:type="gramEnd"/>
      <w:r w:rsidRPr="00217435">
        <w:rPr>
          <w:rFonts w:ascii="Arial" w:eastAsia="Calibri" w:hAnsi="Arial" w:cs="Arial"/>
          <w:sz w:val="22"/>
          <w:lang w:val="es-ES"/>
        </w:rPr>
        <w:t xml:space="preserve"> de la obligatoriedad del SECOP ll. En consecuencia, las alcaldías capitales de departamento</w:t>
      </w:r>
      <w:r w:rsidR="00097EFA" w:rsidRPr="00217435">
        <w:rPr>
          <w:rFonts w:ascii="Arial" w:eastAsia="Calibri" w:hAnsi="Arial" w:cs="Arial"/>
          <w:sz w:val="22"/>
          <w:lang w:val="es-ES"/>
        </w:rPr>
        <w:t>,</w:t>
      </w:r>
      <w:r w:rsidRPr="00217435">
        <w:rPr>
          <w:rFonts w:ascii="Arial" w:eastAsia="Calibri" w:hAnsi="Arial" w:cs="Arial"/>
          <w:sz w:val="22"/>
          <w:lang w:val="es-ES"/>
        </w:rPr>
        <w:t xml:space="preserve"> Administración central y los departamentos</w:t>
      </w:r>
      <w:r w:rsidR="00AA5F37" w:rsidRPr="00217435">
        <w:rPr>
          <w:rFonts w:ascii="Arial" w:eastAsia="Calibri" w:hAnsi="Arial" w:cs="Arial"/>
          <w:sz w:val="22"/>
          <w:lang w:val="es-ES"/>
        </w:rPr>
        <w:t xml:space="preserve"> (</w:t>
      </w:r>
      <w:r w:rsidRPr="00217435">
        <w:rPr>
          <w:rFonts w:ascii="Arial" w:eastAsia="Calibri" w:hAnsi="Arial" w:cs="Arial"/>
          <w:sz w:val="22"/>
          <w:lang w:val="es-ES"/>
        </w:rPr>
        <w:t xml:space="preserve">Administración central) gestionarán todos sus procesos de contratación, exclusivamente en el SECOP ll, a partir del 1 de abril de 2020. </w:t>
      </w:r>
    </w:p>
    <w:p w14:paraId="62C0876D" w14:textId="253FC7E4" w:rsidR="001D6A27" w:rsidRPr="00217435" w:rsidRDefault="003C4B47" w:rsidP="001D6A27">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Con todo, </w:t>
      </w:r>
      <w:r w:rsidR="00830B56" w:rsidRPr="00217435">
        <w:rPr>
          <w:rFonts w:ascii="Arial" w:eastAsia="Calibri" w:hAnsi="Arial" w:cs="Arial"/>
          <w:sz w:val="22"/>
          <w:lang w:val="es-ES"/>
        </w:rPr>
        <w:t>de acuerdo con</w:t>
      </w:r>
      <w:r w:rsidRPr="00217435">
        <w:rPr>
          <w:rFonts w:ascii="Arial" w:eastAsia="Calibri" w:hAnsi="Arial" w:cs="Arial"/>
          <w:sz w:val="22"/>
          <w:lang w:val="es-ES"/>
        </w:rPr>
        <w:t xml:space="preserve"> lo que se dispuso en la Circular Externa No. 3 de 2020, existen dos grupos de entidades </w:t>
      </w:r>
      <w:r w:rsidR="001D6A27" w:rsidRPr="00217435">
        <w:rPr>
          <w:rFonts w:ascii="Arial" w:eastAsia="Calibri" w:hAnsi="Arial" w:cs="Arial"/>
          <w:sz w:val="22"/>
          <w:lang w:val="es-ES"/>
        </w:rPr>
        <w:t>que se excluyer</w:t>
      </w:r>
      <w:r w:rsidR="00097EFA" w:rsidRPr="00217435">
        <w:rPr>
          <w:rFonts w:ascii="Arial" w:eastAsia="Calibri" w:hAnsi="Arial" w:cs="Arial"/>
          <w:sz w:val="22"/>
          <w:lang w:val="es-ES"/>
        </w:rPr>
        <w:t>o</w:t>
      </w:r>
      <w:r w:rsidR="001D6A27" w:rsidRPr="00217435">
        <w:rPr>
          <w:rFonts w:ascii="Arial" w:eastAsia="Calibri" w:hAnsi="Arial" w:cs="Arial"/>
          <w:sz w:val="22"/>
          <w:lang w:val="es-ES"/>
        </w:rPr>
        <w:t>n de dicho plazo. Por un lado</w:t>
      </w:r>
      <w:r w:rsidRPr="00217435">
        <w:rPr>
          <w:rFonts w:ascii="Arial" w:eastAsia="Calibri" w:hAnsi="Arial" w:cs="Arial"/>
          <w:sz w:val="22"/>
          <w:lang w:val="es-ES"/>
        </w:rPr>
        <w:t xml:space="preserve">, la </w:t>
      </w:r>
      <w:r w:rsidRPr="00217435">
        <w:rPr>
          <w:rFonts w:ascii="Arial" w:eastAsia="Calibri" w:hAnsi="Arial" w:cs="Arial"/>
          <w:sz w:val="22"/>
          <w:lang w:val="es-ES"/>
        </w:rPr>
        <w:lastRenderedPageBreak/>
        <w:t>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r w:rsidR="001D6A27" w:rsidRPr="00217435">
        <w:rPr>
          <w:rFonts w:ascii="Arial" w:eastAsia="Calibri" w:hAnsi="Arial" w:cs="Arial"/>
          <w:sz w:val="22"/>
          <w:lang w:val="es-ES"/>
        </w:rPr>
        <w:t xml:space="preserve"> Los primeros, porque a la fecha de </w:t>
      </w:r>
      <w:r w:rsidR="00D0322C" w:rsidRPr="00217435">
        <w:rPr>
          <w:rFonts w:ascii="Arial" w:eastAsia="Calibri" w:hAnsi="Arial" w:cs="Arial"/>
          <w:sz w:val="22"/>
          <w:lang w:val="es-ES"/>
        </w:rPr>
        <w:t>expedición de</w:t>
      </w:r>
      <w:r w:rsidR="001D6A27" w:rsidRPr="00217435">
        <w:rPr>
          <w:rFonts w:ascii="Arial" w:eastAsia="Calibri" w:hAnsi="Arial" w:cs="Arial"/>
          <w:sz w:val="22"/>
          <w:lang w:val="es-ES"/>
        </w:rPr>
        <w:t xml:space="preserve"> la Circular Externa No. 3 no alcanzaron a capacitarse en el uso de la plataforma SECOP II, por lo que se prorrogó el plazo para que se capacitar</w:t>
      </w:r>
      <w:r w:rsidR="004043D2" w:rsidRPr="00217435">
        <w:rPr>
          <w:rFonts w:ascii="Arial" w:eastAsia="Calibri" w:hAnsi="Arial" w:cs="Arial"/>
          <w:sz w:val="22"/>
          <w:lang w:val="es-ES"/>
        </w:rPr>
        <w:t>a</w:t>
      </w:r>
      <w:r w:rsidR="001D6A27" w:rsidRPr="00217435">
        <w:rPr>
          <w:rFonts w:ascii="Arial" w:eastAsia="Calibri" w:hAnsi="Arial" w:cs="Arial"/>
          <w:sz w:val="22"/>
          <w:lang w:val="es-ES"/>
        </w:rPr>
        <w:t xml:space="preserve">n en dos meses, correspondiéndoles gestionar sus </w:t>
      </w:r>
      <w:r w:rsidR="00D0322C" w:rsidRPr="00217435">
        <w:rPr>
          <w:rFonts w:ascii="Arial" w:eastAsia="Calibri" w:hAnsi="Arial" w:cs="Arial"/>
          <w:sz w:val="22"/>
          <w:lang w:val="es-ES"/>
        </w:rPr>
        <w:t>procesos</w:t>
      </w:r>
      <w:r w:rsidR="001D6A27" w:rsidRPr="00217435">
        <w:rPr>
          <w:rFonts w:ascii="Arial" w:eastAsia="Calibri" w:hAnsi="Arial" w:cs="Arial"/>
          <w:sz w:val="22"/>
          <w:lang w:val="es-ES"/>
        </w:rPr>
        <w:t xml:space="preserve"> en SECOP II a partir del 1 de junio de 2020. Los segundos tienen en común un contexto de conectividad en el que «las velocidades de carga son insuficientes para operar la plataforma en [sus] territorios», esto es, problemas de capacidad técnica de las redes, razón por la que se le permitió seguir gestionando sus procesos en medio físico, pero cumpliendo con el deber de publicidad a través de SECOP I.</w:t>
      </w:r>
    </w:p>
    <w:p w14:paraId="14525C44" w14:textId="3D865E5D" w:rsidR="00BD19AC" w:rsidRPr="00217435" w:rsidRDefault="007927C6" w:rsidP="00BD19AC">
      <w:pPr>
        <w:spacing w:before="120" w:after="120" w:line="276" w:lineRule="auto"/>
        <w:ind w:firstLine="708"/>
        <w:jc w:val="both"/>
        <w:rPr>
          <w:rFonts w:ascii="Arial" w:eastAsia="Calibri" w:hAnsi="Arial" w:cs="Arial"/>
          <w:b/>
          <w:sz w:val="22"/>
          <w:lang w:val="es-ES"/>
        </w:rPr>
      </w:pPr>
      <w:r w:rsidRPr="00217435">
        <w:rPr>
          <w:rFonts w:ascii="Arial" w:eastAsia="Calibri" w:hAnsi="Arial" w:cs="Arial"/>
          <w:sz w:val="22"/>
          <w:lang w:val="es-ES"/>
        </w:rPr>
        <w:t>E</w:t>
      </w:r>
      <w:r w:rsidR="00BD19AC" w:rsidRPr="00217435">
        <w:rPr>
          <w:rFonts w:ascii="Arial" w:eastAsia="Calibri" w:hAnsi="Arial" w:cs="Arial"/>
          <w:sz w:val="22"/>
          <w:lang w:val="es-ES"/>
        </w:rPr>
        <w:t>s del caso precisar que la obligación de realizar procesos de contratación a través de la plataforma SECOP II</w:t>
      </w:r>
      <w:r w:rsidR="00097EFA" w:rsidRPr="00217435">
        <w:rPr>
          <w:rFonts w:ascii="Arial" w:eastAsia="Calibri" w:hAnsi="Arial" w:cs="Arial"/>
          <w:sz w:val="22"/>
          <w:lang w:val="es-ES"/>
        </w:rPr>
        <w:t xml:space="preserve"> está asociada</w:t>
      </w:r>
      <w:r w:rsidR="00BD19AC" w:rsidRPr="00217435">
        <w:rPr>
          <w:rFonts w:ascii="Arial" w:eastAsia="Calibri" w:hAnsi="Arial" w:cs="Arial"/>
          <w:sz w:val="22"/>
          <w:lang w:val="es-ES"/>
        </w:rPr>
        <w:t xml:space="preserve"> a</w:t>
      </w:r>
      <w:r w:rsidR="00097EFA" w:rsidRPr="00217435">
        <w:rPr>
          <w:rFonts w:ascii="Arial" w:eastAsia="Calibri" w:hAnsi="Arial" w:cs="Arial"/>
          <w:sz w:val="22"/>
          <w:lang w:val="es-ES"/>
        </w:rPr>
        <w:t xml:space="preserve"> la inclusión</w:t>
      </w:r>
      <w:r w:rsidR="00BD19AC" w:rsidRPr="00217435">
        <w:rPr>
          <w:rFonts w:ascii="Arial" w:eastAsia="Calibri" w:hAnsi="Arial" w:cs="Arial"/>
          <w:sz w:val="22"/>
          <w:lang w:val="es-ES"/>
        </w:rPr>
        <w:t xml:space="preserve"> </w:t>
      </w:r>
      <w:r w:rsidR="00097EFA" w:rsidRPr="00217435">
        <w:rPr>
          <w:rFonts w:ascii="Arial" w:eastAsia="Calibri" w:hAnsi="Arial" w:cs="Arial"/>
          <w:sz w:val="22"/>
          <w:lang w:val="es-ES"/>
        </w:rPr>
        <w:t xml:space="preserve">de </w:t>
      </w:r>
      <w:r w:rsidR="00BD19AC" w:rsidRPr="00217435">
        <w:rPr>
          <w:rFonts w:ascii="Arial" w:eastAsia="Calibri" w:hAnsi="Arial" w:cs="Arial"/>
          <w:sz w:val="22"/>
          <w:lang w:val="es-ES"/>
        </w:rPr>
        <w:t xml:space="preserve">las entidades estatales </w:t>
      </w:r>
      <w:r w:rsidR="00DD483A">
        <w:rPr>
          <w:rFonts w:ascii="Arial" w:eastAsia="Calibri" w:hAnsi="Arial" w:cs="Arial"/>
          <w:sz w:val="22"/>
          <w:lang w:val="es-ES"/>
        </w:rPr>
        <w:t xml:space="preserve">en los anexos de </w:t>
      </w:r>
      <w:r w:rsidR="00BD19AC" w:rsidRPr="00217435">
        <w:rPr>
          <w:rFonts w:ascii="Arial" w:eastAsia="Calibri" w:hAnsi="Arial" w:cs="Arial"/>
          <w:sz w:val="22"/>
          <w:lang w:val="es-ES"/>
        </w:rPr>
        <w:t xml:space="preserve">las referidas circulares, por lo que tratándose de entidades respecto de las cuales la Circular Externa No. 1 de 2019 definió el uso obligatorio de la plataforma, no siendo exceptuadas </w:t>
      </w:r>
      <w:r w:rsidR="00830B56" w:rsidRPr="00217435">
        <w:rPr>
          <w:rFonts w:ascii="Arial" w:eastAsia="Calibri" w:hAnsi="Arial" w:cs="Arial"/>
          <w:sz w:val="22"/>
          <w:lang w:val="es-ES"/>
        </w:rPr>
        <w:t>en circulares</w:t>
      </w:r>
      <w:r w:rsidR="00BD19AC" w:rsidRPr="00217435">
        <w:rPr>
          <w:rFonts w:ascii="Arial" w:eastAsia="Calibri" w:hAnsi="Arial" w:cs="Arial"/>
          <w:sz w:val="22"/>
          <w:lang w:val="es-ES"/>
        </w:rPr>
        <w:t xml:space="preserve"> subsiguientes,</w:t>
      </w:r>
      <w:r w:rsidR="00097EFA" w:rsidRPr="00217435">
        <w:rPr>
          <w:rFonts w:ascii="Arial" w:eastAsia="Calibri" w:hAnsi="Arial" w:cs="Arial"/>
          <w:sz w:val="22"/>
          <w:lang w:val="es-ES"/>
        </w:rPr>
        <w:t xml:space="preserve"> deberán hacer uso de la plataforma</w:t>
      </w:r>
      <w:r w:rsidR="00BD19AC" w:rsidRPr="00217435">
        <w:rPr>
          <w:rFonts w:ascii="Arial" w:eastAsia="Calibri" w:hAnsi="Arial" w:cs="Arial"/>
          <w:sz w:val="22"/>
          <w:lang w:val="es-ES"/>
        </w:rPr>
        <w:t xml:space="preserve">. En ese sentido, las entidades estatales incluidas en el Anexo 1 de la Circular Externa No. 1 de </w:t>
      </w:r>
      <w:r w:rsidR="00830B56" w:rsidRPr="00217435">
        <w:rPr>
          <w:rFonts w:ascii="Arial" w:eastAsia="Calibri" w:hAnsi="Arial" w:cs="Arial"/>
          <w:sz w:val="22"/>
          <w:lang w:val="es-ES"/>
        </w:rPr>
        <w:t xml:space="preserve">2019, </w:t>
      </w:r>
      <w:r w:rsidR="00097EFA" w:rsidRPr="00217435">
        <w:rPr>
          <w:rFonts w:ascii="Arial" w:eastAsia="Calibri" w:hAnsi="Arial" w:cs="Arial"/>
          <w:sz w:val="22"/>
          <w:lang w:val="es-ES"/>
        </w:rPr>
        <w:t>debe</w:t>
      </w:r>
      <w:r w:rsidR="00AA5F37" w:rsidRPr="00217435">
        <w:rPr>
          <w:rFonts w:ascii="Arial" w:eastAsia="Calibri" w:hAnsi="Arial" w:cs="Arial"/>
          <w:sz w:val="22"/>
          <w:lang w:val="es-ES"/>
        </w:rPr>
        <w:t>n</w:t>
      </w:r>
      <w:r w:rsidR="00BD19AC" w:rsidRPr="00217435">
        <w:rPr>
          <w:rFonts w:ascii="Arial" w:eastAsia="Calibri" w:hAnsi="Arial" w:cs="Arial"/>
          <w:sz w:val="22"/>
          <w:lang w:val="es-ES"/>
        </w:rPr>
        <w:t xml:space="preserve"> cumplir con el deber de </w:t>
      </w:r>
      <w:r w:rsidR="00097EFA" w:rsidRPr="00217435">
        <w:rPr>
          <w:rFonts w:ascii="Arial" w:eastAsia="Calibri" w:hAnsi="Arial" w:cs="Arial"/>
          <w:sz w:val="22"/>
          <w:lang w:val="es-ES"/>
        </w:rPr>
        <w:t>evidenciar</w:t>
      </w:r>
      <w:r w:rsidR="00BD19AC" w:rsidRPr="00217435">
        <w:rPr>
          <w:rFonts w:ascii="Arial" w:eastAsia="Calibri" w:hAnsi="Arial" w:cs="Arial"/>
          <w:sz w:val="22"/>
          <w:lang w:val="es-ES"/>
        </w:rPr>
        <w:t xml:space="preserve"> la actividad contractual con la publicación de los</w:t>
      </w:r>
      <w:r w:rsidR="00BD19AC" w:rsidRPr="00217435">
        <w:rPr>
          <w:rFonts w:ascii="Arial" w:eastAsia="Calibri" w:hAnsi="Arial" w:cs="Arial"/>
          <w:i/>
          <w:iCs/>
          <w:sz w:val="22"/>
          <w:lang w:val="es-ES"/>
        </w:rPr>
        <w:t xml:space="preserve"> Documentos del Proceso</w:t>
      </w:r>
      <w:r w:rsidR="00F327C3">
        <w:rPr>
          <w:rFonts w:ascii="Arial" w:eastAsia="Calibri" w:hAnsi="Arial" w:cs="Arial"/>
          <w:i/>
          <w:iCs/>
          <w:sz w:val="22"/>
          <w:lang w:val="es-ES"/>
        </w:rPr>
        <w:t>,</w:t>
      </w:r>
      <w:r w:rsidR="00830B56" w:rsidRPr="00217435">
        <w:rPr>
          <w:rFonts w:ascii="Arial" w:eastAsia="Calibri" w:hAnsi="Arial" w:cs="Arial"/>
          <w:sz w:val="22"/>
          <w:lang w:val="es-ES"/>
        </w:rPr>
        <w:t xml:space="preserve"> los</w:t>
      </w:r>
      <w:r w:rsidR="00BD19AC" w:rsidRPr="00217435">
        <w:rPr>
          <w:rFonts w:ascii="Arial" w:eastAsia="Calibri" w:hAnsi="Arial" w:cs="Arial"/>
          <w:sz w:val="22"/>
          <w:lang w:val="es-ES"/>
        </w:rPr>
        <w:t xml:space="preserve"> actos administrativos </w:t>
      </w:r>
      <w:r w:rsidR="00F327C3">
        <w:rPr>
          <w:rFonts w:ascii="Arial" w:eastAsia="Calibri" w:hAnsi="Arial" w:cs="Arial"/>
          <w:sz w:val="22"/>
          <w:lang w:val="es-ES"/>
        </w:rPr>
        <w:t xml:space="preserve">y demás documentos expedidos con ocasión </w:t>
      </w:r>
      <w:r w:rsidR="00BD19AC" w:rsidRPr="00217435">
        <w:rPr>
          <w:rFonts w:ascii="Arial" w:eastAsia="Calibri" w:hAnsi="Arial" w:cs="Arial"/>
          <w:sz w:val="22"/>
          <w:lang w:val="es-ES"/>
        </w:rPr>
        <w:t>del</w:t>
      </w:r>
      <w:r w:rsidR="00BD19AC" w:rsidRPr="00217435">
        <w:rPr>
          <w:rFonts w:ascii="Arial" w:eastAsia="Calibri" w:hAnsi="Arial" w:cs="Arial"/>
          <w:i/>
          <w:iCs/>
          <w:sz w:val="22"/>
          <w:lang w:val="es-ES"/>
        </w:rPr>
        <w:t xml:space="preserve"> Proceso de Contratación </w:t>
      </w:r>
      <w:r w:rsidR="00BD19AC" w:rsidRPr="00217435">
        <w:rPr>
          <w:rFonts w:ascii="Arial" w:eastAsia="Calibri" w:hAnsi="Arial" w:cs="Arial"/>
          <w:sz w:val="22"/>
          <w:lang w:val="es-ES"/>
        </w:rPr>
        <w:t>en el SECOP II.</w:t>
      </w:r>
    </w:p>
    <w:p w14:paraId="3408BBDC" w14:textId="4D5B17D3" w:rsidR="00363687" w:rsidRPr="00217435" w:rsidRDefault="006E1CF3" w:rsidP="00363687">
      <w:pPr>
        <w:spacing w:line="276" w:lineRule="auto"/>
        <w:ind w:firstLine="708"/>
        <w:jc w:val="both"/>
        <w:rPr>
          <w:rFonts w:ascii="Arial" w:eastAsia="Calibri" w:hAnsi="Arial" w:cs="Arial"/>
          <w:sz w:val="22"/>
          <w:lang w:val="es-ES"/>
        </w:rPr>
      </w:pPr>
      <w:r w:rsidRPr="00217435">
        <w:rPr>
          <w:rFonts w:ascii="Arial" w:eastAsia="Calibri" w:hAnsi="Arial" w:cs="Arial"/>
          <w:sz w:val="22"/>
          <w:lang w:val="es-ES"/>
        </w:rPr>
        <w:t>Sobre la utilización de SECOP II, es necesar</w:t>
      </w:r>
      <w:r w:rsidR="00DB55D0" w:rsidRPr="00217435">
        <w:rPr>
          <w:rFonts w:ascii="Arial" w:eastAsia="Calibri" w:hAnsi="Arial" w:cs="Arial"/>
          <w:sz w:val="22"/>
          <w:lang w:val="es-ES"/>
        </w:rPr>
        <w:t>i</w:t>
      </w:r>
      <w:r w:rsidRPr="00217435">
        <w:rPr>
          <w:rFonts w:ascii="Arial" w:eastAsia="Calibri" w:hAnsi="Arial" w:cs="Arial"/>
          <w:sz w:val="22"/>
          <w:lang w:val="es-ES"/>
        </w:rPr>
        <w:t>o aclarar que el procedimiento contractual se desarrolla en línea y dentro de la plataforma, conformándose un expediente electrónico, lo cual denota una diferencia con el SECOP I, donde el procedimiento es físico, esto es, con documentos escritos</w:t>
      </w:r>
      <w:r w:rsidR="00097EFA" w:rsidRPr="00217435">
        <w:rPr>
          <w:rFonts w:ascii="Arial" w:eastAsia="Calibri" w:hAnsi="Arial" w:cs="Arial"/>
          <w:sz w:val="22"/>
          <w:lang w:val="es-ES"/>
        </w:rPr>
        <w:t xml:space="preserve"> y físicos</w:t>
      </w:r>
      <w:r w:rsidRPr="00217435">
        <w:rPr>
          <w:rFonts w:ascii="Arial" w:eastAsia="Calibri" w:hAnsi="Arial" w:cs="Arial"/>
          <w:sz w:val="22"/>
          <w:lang w:val="es-ES"/>
        </w:rPr>
        <w:t xml:space="preserve"> que se publican para cumplir las obligaciones de las entidades antes señaladas</w:t>
      </w:r>
      <w:r w:rsidR="00783678" w:rsidRPr="00217435">
        <w:rPr>
          <w:rFonts w:ascii="Arial" w:eastAsia="Calibri" w:hAnsi="Arial" w:cs="Arial"/>
          <w:sz w:val="22"/>
          <w:lang w:val="es-ES"/>
        </w:rPr>
        <w:t xml:space="preserve"> conforme al artículo 2.2.1.1.1.7.1 del Decreto 1082 de 2015.</w:t>
      </w:r>
      <w:r w:rsidR="00A36F39" w:rsidRPr="00217435">
        <w:rPr>
          <w:rFonts w:ascii="Arial" w:eastAsia="Calibri" w:hAnsi="Arial" w:cs="Arial"/>
          <w:sz w:val="22"/>
          <w:lang w:val="es-ES"/>
        </w:rPr>
        <w:t xml:space="preserve"> </w:t>
      </w:r>
      <w:r w:rsidRPr="00217435">
        <w:rPr>
          <w:rFonts w:ascii="Arial" w:eastAsia="Calibri" w:hAnsi="Arial" w:cs="Arial"/>
          <w:sz w:val="22"/>
          <w:lang w:val="es-ES"/>
        </w:rPr>
        <w:t xml:space="preserve">Al existir esa diferencia entre las dos versiones del SECOP, </w:t>
      </w:r>
      <w:r w:rsidR="00783678" w:rsidRPr="00217435">
        <w:rPr>
          <w:rFonts w:ascii="Arial" w:eastAsia="Calibri" w:hAnsi="Arial" w:cs="Arial"/>
          <w:sz w:val="22"/>
          <w:lang w:val="es-ES"/>
        </w:rPr>
        <w:t xml:space="preserve">el </w:t>
      </w:r>
      <w:r w:rsidR="00830B56" w:rsidRPr="00217435">
        <w:rPr>
          <w:rFonts w:ascii="Arial" w:eastAsia="Calibri" w:hAnsi="Arial" w:cs="Arial"/>
          <w:sz w:val="22"/>
          <w:lang w:val="es-ES"/>
        </w:rPr>
        <w:t>cumplimiento</w:t>
      </w:r>
      <w:r w:rsidR="00783678" w:rsidRPr="00217435">
        <w:rPr>
          <w:rFonts w:ascii="Arial" w:eastAsia="Calibri" w:hAnsi="Arial" w:cs="Arial"/>
          <w:sz w:val="22"/>
          <w:lang w:val="es-ES"/>
        </w:rPr>
        <w:t xml:space="preserve"> del debe</w:t>
      </w:r>
      <w:r w:rsidR="00DD7363" w:rsidRPr="00217435">
        <w:rPr>
          <w:rFonts w:ascii="Arial" w:eastAsia="Calibri" w:hAnsi="Arial" w:cs="Arial"/>
          <w:sz w:val="22"/>
          <w:lang w:val="es-ES"/>
        </w:rPr>
        <w:t xml:space="preserve">r de publicidad de las actuaciones contractuales en SECOP II </w:t>
      </w:r>
      <w:r w:rsidR="00097EFA" w:rsidRPr="00217435">
        <w:rPr>
          <w:rFonts w:ascii="Arial" w:eastAsia="Calibri" w:hAnsi="Arial" w:cs="Arial"/>
          <w:sz w:val="22"/>
          <w:lang w:val="es-ES"/>
        </w:rPr>
        <w:t>tiene</w:t>
      </w:r>
      <w:r w:rsidR="00DD7363" w:rsidRPr="00217435">
        <w:rPr>
          <w:rFonts w:ascii="Arial" w:eastAsia="Calibri" w:hAnsi="Arial" w:cs="Arial"/>
          <w:sz w:val="22"/>
          <w:lang w:val="es-ES"/>
        </w:rPr>
        <w:t xml:space="preserve"> ciertas particularidades respecto de lo precisado en el acápite anterior sobre la publicación en SECOP I. </w:t>
      </w:r>
    </w:p>
    <w:p w14:paraId="590F0E23" w14:textId="454F479B" w:rsidR="00E5296F" w:rsidRPr="00217435" w:rsidRDefault="00281454" w:rsidP="00DD6DCE">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S</w:t>
      </w:r>
      <w:r w:rsidR="00E5296F" w:rsidRPr="00217435">
        <w:rPr>
          <w:rFonts w:ascii="Arial" w:eastAsia="Calibri" w:hAnsi="Arial" w:cs="Arial"/>
          <w:sz w:val="22"/>
          <w:lang w:val="es-ES"/>
        </w:rPr>
        <w:t xml:space="preserve">i </w:t>
      </w:r>
      <w:r w:rsidR="00DD7363" w:rsidRPr="00217435">
        <w:rPr>
          <w:rFonts w:ascii="Arial" w:eastAsia="Calibri" w:hAnsi="Arial" w:cs="Arial"/>
          <w:sz w:val="22"/>
          <w:lang w:val="es-ES"/>
        </w:rPr>
        <w:t xml:space="preserve">bien </w:t>
      </w:r>
      <w:r w:rsidR="00563B07">
        <w:rPr>
          <w:rFonts w:ascii="Arial" w:eastAsia="Calibri" w:hAnsi="Arial" w:cs="Arial"/>
          <w:sz w:val="22"/>
          <w:lang w:val="es-ES"/>
        </w:rPr>
        <w:t>los documentos</w:t>
      </w:r>
      <w:r w:rsidR="00DD7363" w:rsidRPr="00217435">
        <w:rPr>
          <w:rFonts w:ascii="Arial" w:eastAsia="Calibri" w:hAnsi="Arial" w:cs="Arial"/>
          <w:i/>
          <w:iCs/>
          <w:sz w:val="22"/>
          <w:lang w:val="es-ES"/>
        </w:rPr>
        <w:t xml:space="preserve"> </w:t>
      </w:r>
      <w:r w:rsidR="00DD7363" w:rsidRPr="00217435">
        <w:rPr>
          <w:rFonts w:ascii="Arial" w:eastAsia="Calibri" w:hAnsi="Arial" w:cs="Arial"/>
          <w:sz w:val="22"/>
          <w:lang w:val="es-ES"/>
        </w:rPr>
        <w:t xml:space="preserve">que deben </w:t>
      </w:r>
      <w:r w:rsidR="00830B56" w:rsidRPr="00217435">
        <w:rPr>
          <w:rFonts w:ascii="Arial" w:eastAsia="Calibri" w:hAnsi="Arial" w:cs="Arial"/>
          <w:sz w:val="22"/>
          <w:lang w:val="es-ES"/>
        </w:rPr>
        <w:t>publica</w:t>
      </w:r>
      <w:r w:rsidR="00097EFA" w:rsidRPr="00217435">
        <w:rPr>
          <w:rFonts w:ascii="Arial" w:eastAsia="Calibri" w:hAnsi="Arial" w:cs="Arial"/>
          <w:sz w:val="22"/>
          <w:lang w:val="es-ES"/>
        </w:rPr>
        <w:t>rse</w:t>
      </w:r>
      <w:r w:rsidR="00DD7363" w:rsidRPr="00217435">
        <w:rPr>
          <w:rFonts w:ascii="Arial" w:eastAsia="Calibri" w:hAnsi="Arial" w:cs="Arial"/>
          <w:sz w:val="22"/>
          <w:lang w:val="es-ES"/>
        </w:rPr>
        <w:t xml:space="preserve"> en </w:t>
      </w:r>
      <w:r w:rsidR="00BA66BE" w:rsidRPr="00217435">
        <w:rPr>
          <w:rFonts w:ascii="Arial" w:eastAsia="Calibri" w:hAnsi="Arial" w:cs="Arial"/>
          <w:sz w:val="22"/>
          <w:lang w:val="es-ES"/>
        </w:rPr>
        <w:t xml:space="preserve">el </w:t>
      </w:r>
      <w:r w:rsidR="00DD7363" w:rsidRPr="00217435">
        <w:rPr>
          <w:rFonts w:ascii="Arial" w:eastAsia="Calibri" w:hAnsi="Arial" w:cs="Arial"/>
          <w:sz w:val="22"/>
          <w:lang w:val="es-ES"/>
        </w:rPr>
        <w:t>SECOP II, corresponden a los mi</w:t>
      </w:r>
      <w:r w:rsidR="001D6A27" w:rsidRPr="00217435">
        <w:rPr>
          <w:rFonts w:ascii="Arial" w:eastAsia="Calibri" w:hAnsi="Arial" w:cs="Arial"/>
          <w:sz w:val="22"/>
          <w:lang w:val="es-ES"/>
        </w:rPr>
        <w:t>s</w:t>
      </w:r>
      <w:r w:rsidR="00DD7363" w:rsidRPr="00217435">
        <w:rPr>
          <w:rFonts w:ascii="Arial" w:eastAsia="Calibri" w:hAnsi="Arial" w:cs="Arial"/>
          <w:sz w:val="22"/>
          <w:lang w:val="es-ES"/>
        </w:rPr>
        <w:t>mos</w:t>
      </w:r>
      <w:r w:rsidR="00363687" w:rsidRPr="00217435">
        <w:rPr>
          <w:rFonts w:ascii="Arial" w:eastAsia="Calibri" w:hAnsi="Arial" w:cs="Arial"/>
          <w:sz w:val="22"/>
          <w:lang w:val="es-ES"/>
        </w:rPr>
        <w:t xml:space="preserve"> antes identificados </w:t>
      </w:r>
      <w:r w:rsidR="00BA66BE" w:rsidRPr="00217435">
        <w:rPr>
          <w:rFonts w:ascii="Arial" w:eastAsia="Calibri" w:hAnsi="Arial" w:cs="Arial"/>
          <w:sz w:val="22"/>
          <w:lang w:val="es-ES"/>
        </w:rPr>
        <w:t xml:space="preserve">que </w:t>
      </w:r>
      <w:r w:rsidR="00DD7363" w:rsidRPr="00217435">
        <w:rPr>
          <w:rFonts w:ascii="Arial" w:eastAsia="Calibri" w:hAnsi="Arial" w:cs="Arial"/>
          <w:sz w:val="22"/>
          <w:lang w:val="es-ES"/>
        </w:rPr>
        <w:t>deben publica</w:t>
      </w:r>
      <w:r w:rsidR="00097EFA" w:rsidRPr="00217435">
        <w:rPr>
          <w:rFonts w:ascii="Arial" w:eastAsia="Calibri" w:hAnsi="Arial" w:cs="Arial"/>
          <w:sz w:val="22"/>
          <w:lang w:val="es-ES"/>
        </w:rPr>
        <w:t xml:space="preserve">rse </w:t>
      </w:r>
      <w:r w:rsidR="00DD7363" w:rsidRPr="00217435">
        <w:rPr>
          <w:rFonts w:ascii="Arial" w:eastAsia="Calibri" w:hAnsi="Arial" w:cs="Arial"/>
          <w:sz w:val="22"/>
          <w:lang w:val="es-ES"/>
        </w:rPr>
        <w:t xml:space="preserve">en </w:t>
      </w:r>
      <w:r w:rsidR="00BA66BE" w:rsidRPr="00217435">
        <w:rPr>
          <w:rFonts w:ascii="Arial" w:eastAsia="Calibri" w:hAnsi="Arial" w:cs="Arial"/>
          <w:sz w:val="22"/>
          <w:lang w:val="es-ES"/>
        </w:rPr>
        <w:t xml:space="preserve">el </w:t>
      </w:r>
      <w:r w:rsidR="00DD7363" w:rsidRPr="00217435">
        <w:rPr>
          <w:rFonts w:ascii="Arial" w:eastAsia="Calibri" w:hAnsi="Arial" w:cs="Arial"/>
          <w:sz w:val="22"/>
          <w:lang w:val="es-ES"/>
        </w:rPr>
        <w:t>SECOP I,</w:t>
      </w:r>
      <w:r w:rsidR="00363687" w:rsidRPr="00217435">
        <w:rPr>
          <w:rFonts w:ascii="Arial" w:eastAsia="Calibri" w:hAnsi="Arial" w:cs="Arial"/>
          <w:sz w:val="22"/>
          <w:lang w:val="es-ES"/>
        </w:rPr>
        <w:t xml:space="preserve"> esto es, </w:t>
      </w:r>
      <w:r w:rsidR="00563B07">
        <w:rPr>
          <w:rFonts w:ascii="Arial" w:eastAsia="Calibri" w:hAnsi="Arial" w:cs="Arial"/>
          <w:sz w:val="22"/>
          <w:lang w:val="es-ES"/>
        </w:rPr>
        <w:t xml:space="preserve">todos </w:t>
      </w:r>
      <w:r w:rsidR="00363687" w:rsidRPr="00217435">
        <w:rPr>
          <w:rFonts w:ascii="Arial" w:eastAsia="Calibri" w:hAnsi="Arial" w:cs="Arial"/>
          <w:sz w:val="22"/>
          <w:lang w:val="es-ES"/>
        </w:rPr>
        <w:t xml:space="preserve">los expedidos </w:t>
      </w:r>
      <w:r w:rsidR="00563B07">
        <w:rPr>
          <w:rFonts w:ascii="Arial" w:eastAsia="Calibri" w:hAnsi="Arial" w:cs="Arial"/>
          <w:sz w:val="22"/>
          <w:lang w:val="es-ES"/>
        </w:rPr>
        <w:t xml:space="preserve">con ocasión </w:t>
      </w:r>
      <w:r w:rsidR="00363687" w:rsidRPr="00217435">
        <w:rPr>
          <w:rFonts w:ascii="Arial" w:eastAsia="Calibri" w:hAnsi="Arial" w:cs="Arial"/>
          <w:sz w:val="22"/>
          <w:lang w:val="es-ES"/>
        </w:rPr>
        <w:t xml:space="preserve">el </w:t>
      </w:r>
      <w:r w:rsidR="00363687" w:rsidRPr="00217435">
        <w:rPr>
          <w:rFonts w:ascii="Arial" w:eastAsia="Calibri" w:hAnsi="Arial" w:cs="Arial"/>
          <w:i/>
          <w:iCs/>
          <w:sz w:val="22"/>
          <w:lang w:val="es-ES"/>
        </w:rPr>
        <w:t>Proceso de Contratación</w:t>
      </w:r>
      <w:r w:rsidR="00563B07">
        <w:rPr>
          <w:rFonts w:ascii="Arial" w:eastAsia="Calibri" w:hAnsi="Arial" w:cs="Arial"/>
          <w:i/>
          <w:iCs/>
          <w:sz w:val="22"/>
          <w:lang w:val="es-ES"/>
        </w:rPr>
        <w:t xml:space="preserve"> </w:t>
      </w:r>
      <w:r w:rsidR="00563B07" w:rsidRPr="00563B07">
        <w:rPr>
          <w:rFonts w:ascii="Arial" w:eastAsia="Calibri" w:hAnsi="Arial" w:cs="Arial"/>
          <w:sz w:val="22"/>
          <w:lang w:val="es-ES"/>
        </w:rPr>
        <w:t>con excepción de los expresamente excluidos</w:t>
      </w:r>
      <w:r w:rsidR="00363687" w:rsidRPr="00217435">
        <w:rPr>
          <w:rFonts w:ascii="Arial" w:eastAsia="Calibri" w:hAnsi="Arial" w:cs="Arial"/>
          <w:sz w:val="22"/>
          <w:lang w:val="es-ES"/>
        </w:rPr>
        <w:t>,</w:t>
      </w:r>
      <w:r w:rsidR="00DD7363" w:rsidRPr="00217435">
        <w:rPr>
          <w:rFonts w:ascii="Arial" w:eastAsia="Calibri" w:hAnsi="Arial" w:cs="Arial"/>
          <w:sz w:val="22"/>
          <w:lang w:val="es-ES"/>
        </w:rPr>
        <w:t xml:space="preserve"> la naturaleza transaccional de</w:t>
      </w:r>
      <w:r w:rsidR="00BA66BE" w:rsidRPr="00217435">
        <w:rPr>
          <w:rFonts w:ascii="Arial" w:eastAsia="Calibri" w:hAnsi="Arial" w:cs="Arial"/>
          <w:sz w:val="22"/>
          <w:lang w:val="es-ES"/>
        </w:rPr>
        <w:t>l</w:t>
      </w:r>
      <w:r w:rsidR="00DD7363" w:rsidRPr="00217435">
        <w:rPr>
          <w:rFonts w:ascii="Arial" w:eastAsia="Calibri" w:hAnsi="Arial" w:cs="Arial"/>
          <w:sz w:val="22"/>
          <w:lang w:val="es-ES"/>
        </w:rPr>
        <w:t xml:space="preserve"> SECOP II implica que los procesos contractuales no solo deban ser </w:t>
      </w:r>
      <w:r w:rsidR="00BA66BE" w:rsidRPr="00217435">
        <w:rPr>
          <w:rFonts w:ascii="Arial" w:eastAsia="Calibri" w:hAnsi="Arial" w:cs="Arial"/>
          <w:sz w:val="22"/>
          <w:lang w:val="es-ES"/>
        </w:rPr>
        <w:t xml:space="preserve">publicados </w:t>
      </w:r>
      <w:r w:rsidR="00BC19D6" w:rsidRPr="00217435">
        <w:rPr>
          <w:rFonts w:ascii="Arial" w:eastAsia="Calibri" w:hAnsi="Arial" w:cs="Arial"/>
          <w:sz w:val="22"/>
          <w:lang w:val="es-ES"/>
        </w:rPr>
        <w:t>mediante</w:t>
      </w:r>
      <w:r w:rsidR="00DD7363" w:rsidRPr="00217435">
        <w:rPr>
          <w:rFonts w:ascii="Arial" w:eastAsia="Calibri" w:hAnsi="Arial" w:cs="Arial"/>
          <w:sz w:val="22"/>
          <w:lang w:val="es-ES"/>
        </w:rPr>
        <w:t xml:space="preserve"> esta plataforma</w:t>
      </w:r>
      <w:r w:rsidR="00BA66BE" w:rsidRPr="00217435">
        <w:rPr>
          <w:rFonts w:ascii="Arial" w:eastAsia="Calibri" w:hAnsi="Arial" w:cs="Arial"/>
          <w:sz w:val="22"/>
          <w:lang w:val="es-ES"/>
        </w:rPr>
        <w:t>,</w:t>
      </w:r>
      <w:r w:rsidR="00E5296F" w:rsidRPr="00217435">
        <w:rPr>
          <w:rFonts w:ascii="Arial" w:eastAsia="Calibri" w:hAnsi="Arial" w:cs="Arial"/>
          <w:sz w:val="22"/>
          <w:lang w:val="es-ES"/>
        </w:rPr>
        <w:t xml:space="preserve"> sino </w:t>
      </w:r>
      <w:r w:rsidR="00830B56" w:rsidRPr="00217435">
        <w:rPr>
          <w:rFonts w:ascii="Arial" w:eastAsia="Calibri" w:hAnsi="Arial" w:cs="Arial"/>
          <w:sz w:val="22"/>
          <w:lang w:val="es-ES"/>
        </w:rPr>
        <w:t>también</w:t>
      </w:r>
      <w:r w:rsidR="00E5296F" w:rsidRPr="00217435">
        <w:rPr>
          <w:rFonts w:ascii="Arial" w:eastAsia="Calibri" w:hAnsi="Arial" w:cs="Arial"/>
          <w:sz w:val="22"/>
          <w:lang w:val="es-ES"/>
        </w:rPr>
        <w:t xml:space="preserve"> gestionados a través de </w:t>
      </w:r>
      <w:r w:rsidR="000657E6" w:rsidRPr="00217435">
        <w:rPr>
          <w:rFonts w:ascii="Arial" w:eastAsia="Calibri" w:hAnsi="Arial" w:cs="Arial"/>
          <w:sz w:val="22"/>
          <w:lang w:val="es-ES"/>
        </w:rPr>
        <w:t>ella</w:t>
      </w:r>
      <w:r w:rsidR="00E5296F" w:rsidRPr="00217435">
        <w:rPr>
          <w:rFonts w:ascii="Arial" w:eastAsia="Calibri" w:hAnsi="Arial" w:cs="Arial"/>
          <w:sz w:val="22"/>
          <w:lang w:val="es-ES"/>
        </w:rPr>
        <w:t xml:space="preserve">,  </w:t>
      </w:r>
      <w:r w:rsidR="0031267C" w:rsidRPr="00217435">
        <w:rPr>
          <w:rFonts w:ascii="Arial" w:eastAsia="Calibri" w:hAnsi="Arial" w:cs="Arial"/>
          <w:sz w:val="22"/>
          <w:lang w:val="es-ES"/>
        </w:rPr>
        <w:t>al consistir la mayoría de los hitos contractuales en</w:t>
      </w:r>
      <w:r w:rsidR="006E1CF3" w:rsidRPr="00217435">
        <w:rPr>
          <w:rFonts w:ascii="Arial" w:eastAsia="Calibri" w:hAnsi="Arial" w:cs="Arial"/>
          <w:sz w:val="22"/>
          <w:lang w:val="es-ES"/>
        </w:rPr>
        <w:t xml:space="preserve"> documentos y actuaciones electrónicas</w:t>
      </w:r>
      <w:r w:rsidR="00E5296F" w:rsidRPr="00217435">
        <w:rPr>
          <w:rFonts w:ascii="Arial" w:eastAsia="Calibri" w:hAnsi="Arial" w:cs="Arial"/>
          <w:sz w:val="22"/>
          <w:lang w:val="es-ES"/>
        </w:rPr>
        <w:t xml:space="preserve"> generadas en tiempo real, de tal manera que el proceso contractual avanza en la medida en la que se generen y aprueben estos documentos </w:t>
      </w:r>
      <w:r w:rsidR="00BC19D6" w:rsidRPr="00217435">
        <w:rPr>
          <w:rFonts w:ascii="Arial" w:eastAsia="Calibri" w:hAnsi="Arial" w:cs="Arial"/>
          <w:sz w:val="22"/>
          <w:lang w:val="es-ES"/>
        </w:rPr>
        <w:t xml:space="preserve">y actuaciones </w:t>
      </w:r>
      <w:r w:rsidR="00830B56" w:rsidRPr="00217435">
        <w:rPr>
          <w:rFonts w:ascii="Arial" w:eastAsia="Calibri" w:hAnsi="Arial" w:cs="Arial"/>
          <w:sz w:val="22"/>
          <w:lang w:val="es-ES"/>
        </w:rPr>
        <w:t>electrónicas</w:t>
      </w:r>
      <w:r w:rsidR="00BC19D6" w:rsidRPr="00217435">
        <w:rPr>
          <w:rFonts w:ascii="Arial" w:eastAsia="Calibri" w:hAnsi="Arial" w:cs="Arial"/>
          <w:sz w:val="22"/>
          <w:lang w:val="es-ES"/>
        </w:rPr>
        <w:t xml:space="preserve"> </w:t>
      </w:r>
      <w:r w:rsidR="00BC19D6" w:rsidRPr="00217435">
        <w:rPr>
          <w:rFonts w:ascii="Arial" w:eastAsia="Calibri" w:hAnsi="Arial" w:cs="Arial"/>
          <w:sz w:val="22"/>
          <w:lang w:val="es-ES"/>
        </w:rPr>
        <w:lastRenderedPageBreak/>
        <w:t>en la plataforma, a diferencia</w:t>
      </w:r>
      <w:r w:rsidR="000657E6" w:rsidRPr="00217435">
        <w:rPr>
          <w:rFonts w:ascii="Arial" w:eastAsia="Calibri" w:hAnsi="Arial" w:cs="Arial"/>
          <w:sz w:val="22"/>
          <w:lang w:val="es-ES"/>
        </w:rPr>
        <w:t xml:space="preserve"> de</w:t>
      </w:r>
      <w:r w:rsidR="00BC19D6" w:rsidRPr="00217435">
        <w:rPr>
          <w:rFonts w:ascii="Arial" w:eastAsia="Calibri" w:hAnsi="Arial" w:cs="Arial"/>
          <w:sz w:val="22"/>
          <w:lang w:val="es-ES"/>
        </w:rPr>
        <w:t xml:space="preserve"> los procesos publi</w:t>
      </w:r>
      <w:r w:rsidR="00363687" w:rsidRPr="00217435">
        <w:rPr>
          <w:rFonts w:ascii="Arial" w:eastAsia="Calibri" w:hAnsi="Arial" w:cs="Arial"/>
          <w:sz w:val="22"/>
          <w:lang w:val="es-ES"/>
        </w:rPr>
        <w:t>cados</w:t>
      </w:r>
      <w:r w:rsidR="00BC19D6" w:rsidRPr="00217435">
        <w:rPr>
          <w:rFonts w:ascii="Arial" w:eastAsia="Calibri" w:hAnsi="Arial" w:cs="Arial"/>
          <w:sz w:val="22"/>
          <w:lang w:val="es-ES"/>
        </w:rPr>
        <w:t xml:space="preserve"> </w:t>
      </w:r>
      <w:r w:rsidR="00363687" w:rsidRPr="00217435">
        <w:rPr>
          <w:rFonts w:ascii="Arial" w:eastAsia="Calibri" w:hAnsi="Arial" w:cs="Arial"/>
          <w:sz w:val="22"/>
          <w:lang w:val="es-ES"/>
        </w:rPr>
        <w:t>en</w:t>
      </w:r>
      <w:r w:rsidR="00BC19D6" w:rsidRPr="00217435">
        <w:rPr>
          <w:rFonts w:ascii="Arial" w:eastAsia="Calibri" w:hAnsi="Arial" w:cs="Arial"/>
          <w:sz w:val="22"/>
          <w:lang w:val="es-ES"/>
        </w:rPr>
        <w:t xml:space="preserve"> </w:t>
      </w:r>
      <w:r w:rsidR="00BA66BE" w:rsidRPr="00217435">
        <w:rPr>
          <w:rFonts w:ascii="Arial" w:eastAsia="Calibri" w:hAnsi="Arial" w:cs="Arial"/>
          <w:sz w:val="22"/>
          <w:lang w:val="es-ES"/>
        </w:rPr>
        <w:t xml:space="preserve">el </w:t>
      </w:r>
      <w:r w:rsidR="00BC19D6" w:rsidRPr="00217435">
        <w:rPr>
          <w:rFonts w:ascii="Arial" w:eastAsia="Calibri" w:hAnsi="Arial" w:cs="Arial"/>
          <w:sz w:val="22"/>
          <w:lang w:val="es-ES"/>
        </w:rPr>
        <w:t xml:space="preserve">SECOP I, </w:t>
      </w:r>
      <w:r w:rsidR="00363687" w:rsidRPr="00217435">
        <w:rPr>
          <w:rFonts w:ascii="Arial" w:eastAsia="Calibri" w:hAnsi="Arial" w:cs="Arial"/>
          <w:sz w:val="22"/>
          <w:lang w:val="es-ES"/>
        </w:rPr>
        <w:t>en los que</w:t>
      </w:r>
      <w:r w:rsidR="00BC19D6" w:rsidRPr="00217435">
        <w:rPr>
          <w:rFonts w:ascii="Arial" w:eastAsia="Calibri" w:hAnsi="Arial" w:cs="Arial"/>
          <w:sz w:val="22"/>
          <w:lang w:val="es-ES"/>
        </w:rPr>
        <w:t xml:space="preserve"> primero se generan los documentos escritos y luego se publican en la plataforma dentro del plazo de tres</w:t>
      </w:r>
      <w:r w:rsidR="000657E6" w:rsidRPr="00217435">
        <w:rPr>
          <w:rFonts w:ascii="Arial" w:eastAsia="Calibri" w:hAnsi="Arial" w:cs="Arial"/>
          <w:sz w:val="22"/>
          <w:lang w:val="es-ES"/>
        </w:rPr>
        <w:t>(3)</w:t>
      </w:r>
      <w:r w:rsidR="00BC19D6" w:rsidRPr="00217435">
        <w:rPr>
          <w:rFonts w:ascii="Arial" w:eastAsia="Calibri" w:hAnsi="Arial" w:cs="Arial"/>
          <w:sz w:val="22"/>
          <w:lang w:val="es-ES"/>
        </w:rPr>
        <w:t xml:space="preserve"> días previsto en el artículo 2.2.1.1.1.7.1 del Decreto 1082 de 2015. Esto significa, que el término de tres</w:t>
      </w:r>
      <w:r w:rsidR="000657E6" w:rsidRPr="00217435">
        <w:rPr>
          <w:rFonts w:ascii="Arial" w:eastAsia="Calibri" w:hAnsi="Arial" w:cs="Arial"/>
          <w:sz w:val="22"/>
          <w:lang w:val="es-ES"/>
        </w:rPr>
        <w:t xml:space="preserve"> (3)</w:t>
      </w:r>
      <w:r w:rsidR="00BC19D6" w:rsidRPr="00217435">
        <w:rPr>
          <w:rFonts w:ascii="Arial" w:eastAsia="Calibri" w:hAnsi="Arial" w:cs="Arial"/>
          <w:sz w:val="22"/>
          <w:lang w:val="es-ES"/>
        </w:rPr>
        <w:t xml:space="preserve"> días para publicar no es aplicable a l</w:t>
      </w:r>
      <w:r w:rsidR="0031267C" w:rsidRPr="00217435">
        <w:rPr>
          <w:rFonts w:ascii="Arial" w:eastAsia="Calibri" w:hAnsi="Arial" w:cs="Arial"/>
          <w:sz w:val="22"/>
          <w:lang w:val="es-ES"/>
        </w:rPr>
        <w:t>as actuaciones generadas de manera electrónica dentro</w:t>
      </w:r>
      <w:r w:rsidR="00BC19D6" w:rsidRPr="00217435">
        <w:rPr>
          <w:rFonts w:ascii="Arial" w:eastAsia="Calibri" w:hAnsi="Arial" w:cs="Arial"/>
          <w:sz w:val="22"/>
          <w:lang w:val="es-ES"/>
        </w:rPr>
        <w:t xml:space="preserve"> </w:t>
      </w:r>
      <w:r w:rsidR="0031267C" w:rsidRPr="00217435">
        <w:rPr>
          <w:rFonts w:ascii="Arial" w:eastAsia="Calibri" w:hAnsi="Arial" w:cs="Arial"/>
          <w:sz w:val="22"/>
          <w:lang w:val="es-ES"/>
        </w:rPr>
        <w:t xml:space="preserve">de los </w:t>
      </w:r>
      <w:r w:rsidR="00BC19D6" w:rsidRPr="00217435">
        <w:rPr>
          <w:rFonts w:ascii="Arial" w:eastAsia="Calibri" w:hAnsi="Arial" w:cs="Arial"/>
          <w:sz w:val="22"/>
          <w:lang w:val="es-ES"/>
        </w:rPr>
        <w:t>proce</w:t>
      </w:r>
      <w:r w:rsidR="00363687" w:rsidRPr="00217435">
        <w:rPr>
          <w:rFonts w:ascii="Arial" w:eastAsia="Calibri" w:hAnsi="Arial" w:cs="Arial"/>
          <w:sz w:val="22"/>
          <w:lang w:val="es-ES"/>
        </w:rPr>
        <w:t>dimientos</w:t>
      </w:r>
      <w:r w:rsidR="00BC19D6" w:rsidRPr="00217435">
        <w:rPr>
          <w:rFonts w:ascii="Arial" w:eastAsia="Calibri" w:hAnsi="Arial" w:cs="Arial"/>
          <w:sz w:val="22"/>
          <w:lang w:val="es-ES"/>
        </w:rPr>
        <w:t xml:space="preserve"> gestionados a través de SECOP II, comoquiera que </w:t>
      </w:r>
      <w:r w:rsidR="0031267C" w:rsidRPr="00217435">
        <w:rPr>
          <w:rFonts w:ascii="Arial" w:eastAsia="Calibri" w:hAnsi="Arial" w:cs="Arial"/>
          <w:sz w:val="22"/>
          <w:lang w:val="es-ES"/>
        </w:rPr>
        <w:t>tales</w:t>
      </w:r>
      <w:r w:rsidR="00BC19D6" w:rsidRPr="00217435">
        <w:rPr>
          <w:rFonts w:ascii="Arial" w:eastAsia="Calibri" w:hAnsi="Arial" w:cs="Arial"/>
          <w:sz w:val="22"/>
          <w:lang w:val="es-ES"/>
        </w:rPr>
        <w:t xml:space="preserve"> documentos son creados o expedidos mediante la propia plataforma, razón por la que una vez estos se aprueban quedan inmediatamente publicados, </w:t>
      </w:r>
      <w:r w:rsidR="00AA5F37" w:rsidRPr="00217435">
        <w:rPr>
          <w:rFonts w:ascii="Arial" w:eastAsia="Calibri" w:hAnsi="Arial" w:cs="Arial"/>
          <w:sz w:val="22"/>
          <w:lang w:val="es-ES"/>
        </w:rPr>
        <w:t xml:space="preserve">sin que </w:t>
      </w:r>
      <w:r w:rsidR="00BC19D6" w:rsidRPr="00217435">
        <w:rPr>
          <w:rFonts w:ascii="Arial" w:eastAsia="Calibri" w:hAnsi="Arial" w:cs="Arial"/>
          <w:sz w:val="22"/>
          <w:lang w:val="es-ES"/>
        </w:rPr>
        <w:t>transcu</w:t>
      </w:r>
      <w:r w:rsidR="00AA5F37" w:rsidRPr="00217435">
        <w:rPr>
          <w:rFonts w:ascii="Arial" w:eastAsia="Calibri" w:hAnsi="Arial" w:cs="Arial"/>
          <w:sz w:val="22"/>
          <w:lang w:val="es-ES"/>
        </w:rPr>
        <w:t>rra</w:t>
      </w:r>
      <w:r w:rsidR="00BC19D6" w:rsidRPr="00217435">
        <w:rPr>
          <w:rFonts w:ascii="Arial" w:eastAsia="Calibri" w:hAnsi="Arial" w:cs="Arial"/>
          <w:sz w:val="22"/>
          <w:lang w:val="es-ES"/>
        </w:rPr>
        <w:t xml:space="preserve"> el referido término. </w:t>
      </w:r>
    </w:p>
    <w:p w14:paraId="55693154" w14:textId="5AD652CE" w:rsidR="00BC19D6" w:rsidRPr="00217435" w:rsidRDefault="0031267C" w:rsidP="00AB5EEC">
      <w:pPr>
        <w:spacing w:line="276" w:lineRule="auto"/>
        <w:ind w:firstLine="708"/>
        <w:jc w:val="both"/>
        <w:rPr>
          <w:rFonts w:ascii="Arial" w:eastAsia="Calibri" w:hAnsi="Arial" w:cs="Arial"/>
          <w:sz w:val="22"/>
          <w:lang w:val="es-ES"/>
        </w:rPr>
      </w:pPr>
      <w:bookmarkStart w:id="9" w:name="_Hlk46402307"/>
      <w:bookmarkEnd w:id="8"/>
      <w:r w:rsidRPr="00217435">
        <w:rPr>
          <w:rFonts w:ascii="Arial" w:eastAsia="Calibri" w:hAnsi="Arial" w:cs="Arial"/>
          <w:sz w:val="22"/>
          <w:lang w:val="es-ES"/>
        </w:rPr>
        <w:t>En ese orden</w:t>
      </w:r>
      <w:r w:rsidR="00363687" w:rsidRPr="00217435">
        <w:rPr>
          <w:rFonts w:ascii="Arial" w:eastAsia="Calibri" w:hAnsi="Arial" w:cs="Arial"/>
          <w:sz w:val="22"/>
          <w:lang w:val="es-ES"/>
        </w:rPr>
        <w:t>,</w:t>
      </w:r>
      <w:r w:rsidR="00281454" w:rsidRPr="00217435">
        <w:rPr>
          <w:rFonts w:ascii="Arial" w:eastAsia="Calibri" w:hAnsi="Arial" w:cs="Arial"/>
          <w:sz w:val="22"/>
          <w:lang w:val="es-ES"/>
        </w:rPr>
        <w:t xml:space="preserve"> el carácter transaccional de SECOP II</w:t>
      </w:r>
      <w:r w:rsidR="000657E6" w:rsidRPr="00217435">
        <w:rPr>
          <w:rFonts w:ascii="Arial" w:eastAsia="Calibri" w:hAnsi="Arial" w:cs="Arial"/>
          <w:sz w:val="22"/>
          <w:lang w:val="es-ES"/>
        </w:rPr>
        <w:t>,</w:t>
      </w:r>
      <w:r w:rsidR="00281454" w:rsidRPr="00217435">
        <w:rPr>
          <w:rFonts w:ascii="Arial" w:eastAsia="Calibri" w:hAnsi="Arial" w:cs="Arial"/>
          <w:sz w:val="22"/>
          <w:lang w:val="es-ES"/>
        </w:rPr>
        <w:t xml:space="preserve"> como herramienta </w:t>
      </w:r>
      <w:r w:rsidR="00830B56" w:rsidRPr="00217435">
        <w:rPr>
          <w:rFonts w:ascii="Arial" w:eastAsia="Calibri" w:hAnsi="Arial" w:cs="Arial"/>
          <w:sz w:val="22"/>
          <w:lang w:val="es-ES"/>
        </w:rPr>
        <w:t>que permite</w:t>
      </w:r>
      <w:r w:rsidR="00281454" w:rsidRPr="00217435">
        <w:rPr>
          <w:rFonts w:ascii="Arial" w:eastAsia="Calibri" w:hAnsi="Arial" w:cs="Arial"/>
          <w:sz w:val="22"/>
          <w:lang w:val="es-ES"/>
        </w:rPr>
        <w:t xml:space="preserve"> no solo publicar sino también gestionar y crear </w:t>
      </w:r>
      <w:r w:rsidR="00281454" w:rsidRPr="00217435">
        <w:rPr>
          <w:rFonts w:ascii="Arial" w:eastAsia="Calibri" w:hAnsi="Arial" w:cs="Arial"/>
          <w:i/>
          <w:iCs/>
          <w:sz w:val="22"/>
          <w:lang w:val="es-ES"/>
        </w:rPr>
        <w:t>Documentos del Proceso</w:t>
      </w:r>
      <w:r w:rsidR="000657E6" w:rsidRPr="00217435">
        <w:rPr>
          <w:rFonts w:ascii="Arial" w:eastAsia="Calibri" w:hAnsi="Arial" w:cs="Arial"/>
          <w:i/>
          <w:iCs/>
          <w:sz w:val="22"/>
          <w:lang w:val="es-ES"/>
        </w:rPr>
        <w:t>,</w:t>
      </w:r>
      <w:r w:rsidR="00281454" w:rsidRPr="00217435">
        <w:rPr>
          <w:rFonts w:ascii="Arial" w:eastAsia="Calibri" w:hAnsi="Arial" w:cs="Arial"/>
          <w:i/>
          <w:iCs/>
          <w:sz w:val="22"/>
          <w:lang w:val="es-ES"/>
        </w:rPr>
        <w:t xml:space="preserve"> </w:t>
      </w:r>
      <w:r w:rsidR="00281454" w:rsidRPr="00217435">
        <w:rPr>
          <w:rFonts w:ascii="Arial" w:eastAsia="Calibri" w:hAnsi="Arial" w:cs="Arial"/>
          <w:sz w:val="22"/>
          <w:lang w:val="es-ES"/>
        </w:rPr>
        <w:t xml:space="preserve">de manera electrónica al interior de la </w:t>
      </w:r>
      <w:r w:rsidR="00830B56" w:rsidRPr="00217435">
        <w:rPr>
          <w:rFonts w:ascii="Arial" w:eastAsia="Calibri" w:hAnsi="Arial" w:cs="Arial"/>
          <w:sz w:val="22"/>
          <w:lang w:val="es-ES"/>
        </w:rPr>
        <w:t>plataforma, implica</w:t>
      </w:r>
      <w:r w:rsidR="00281454" w:rsidRPr="00217435">
        <w:rPr>
          <w:rFonts w:ascii="Arial" w:eastAsia="Calibri" w:hAnsi="Arial" w:cs="Arial"/>
          <w:sz w:val="22"/>
          <w:lang w:val="es-ES"/>
        </w:rPr>
        <w:t xml:space="preserve"> </w:t>
      </w:r>
      <w:r w:rsidRPr="00217435">
        <w:rPr>
          <w:rFonts w:ascii="Arial" w:eastAsia="Calibri" w:hAnsi="Arial" w:cs="Arial"/>
          <w:sz w:val="22"/>
          <w:lang w:val="es-ES"/>
        </w:rPr>
        <w:t xml:space="preserve">que el deber de publicidad respecto de estas actuaciones se cumpla de manera distinta a como </w:t>
      </w:r>
      <w:r w:rsidR="000657E6" w:rsidRPr="00217435">
        <w:rPr>
          <w:rFonts w:ascii="Arial" w:eastAsia="Calibri" w:hAnsi="Arial" w:cs="Arial"/>
          <w:sz w:val="22"/>
          <w:lang w:val="es-ES"/>
        </w:rPr>
        <w:t>sucede</w:t>
      </w:r>
      <w:r w:rsidRPr="00217435">
        <w:rPr>
          <w:rFonts w:ascii="Arial" w:eastAsia="Calibri" w:hAnsi="Arial" w:cs="Arial"/>
          <w:sz w:val="22"/>
          <w:lang w:val="es-ES"/>
        </w:rPr>
        <w:t xml:space="preserve"> en SECOP I, donde los </w:t>
      </w:r>
      <w:r w:rsidR="000657E6" w:rsidRPr="00217435">
        <w:rPr>
          <w:rFonts w:ascii="Arial" w:eastAsia="Calibri" w:hAnsi="Arial" w:cs="Arial"/>
          <w:sz w:val="22"/>
          <w:lang w:val="es-ES"/>
        </w:rPr>
        <w:t>documentos</w:t>
      </w:r>
      <w:r w:rsidRPr="00217435">
        <w:rPr>
          <w:rFonts w:ascii="Arial" w:eastAsia="Calibri" w:hAnsi="Arial" w:cs="Arial"/>
          <w:sz w:val="22"/>
          <w:lang w:val="es-ES"/>
        </w:rPr>
        <w:t xml:space="preserve"> contractuales se </w:t>
      </w:r>
      <w:r w:rsidR="000657E6" w:rsidRPr="00217435">
        <w:rPr>
          <w:rFonts w:ascii="Arial" w:eastAsia="Calibri" w:hAnsi="Arial" w:cs="Arial"/>
          <w:sz w:val="22"/>
          <w:lang w:val="es-ES"/>
        </w:rPr>
        <w:t>expiden</w:t>
      </w:r>
      <w:r w:rsidRPr="00217435">
        <w:rPr>
          <w:rFonts w:ascii="Arial" w:eastAsia="Calibri" w:hAnsi="Arial" w:cs="Arial"/>
          <w:sz w:val="22"/>
          <w:lang w:val="es-ES"/>
        </w:rPr>
        <w:t xml:space="preserve"> primero en un medio </w:t>
      </w:r>
      <w:r w:rsidR="00D0322C" w:rsidRPr="00217435">
        <w:rPr>
          <w:rFonts w:ascii="Arial" w:eastAsia="Calibri" w:hAnsi="Arial" w:cs="Arial"/>
          <w:sz w:val="22"/>
          <w:lang w:val="es-ES"/>
        </w:rPr>
        <w:t>físico</w:t>
      </w:r>
      <w:r w:rsidRPr="00217435">
        <w:rPr>
          <w:rFonts w:ascii="Arial" w:eastAsia="Calibri" w:hAnsi="Arial" w:cs="Arial"/>
          <w:sz w:val="22"/>
          <w:lang w:val="es-ES"/>
        </w:rPr>
        <w:t xml:space="preserve"> que posteriormente es cargado en la plataforma.</w:t>
      </w:r>
      <w:r w:rsidR="00281454" w:rsidRPr="00217435">
        <w:rPr>
          <w:rFonts w:ascii="Arial" w:eastAsia="Calibri" w:hAnsi="Arial" w:cs="Arial"/>
          <w:sz w:val="22"/>
          <w:lang w:val="es-ES"/>
        </w:rPr>
        <w:t xml:space="preserve"> En ese sentido, la Agencia Nacional de Contratación Pública</w:t>
      </w:r>
      <w:r w:rsidR="000657E6" w:rsidRPr="00217435">
        <w:rPr>
          <w:rFonts w:ascii="Arial" w:eastAsia="Calibri" w:hAnsi="Arial" w:cs="Arial"/>
          <w:sz w:val="22"/>
          <w:lang w:val="es-ES"/>
        </w:rPr>
        <w:t>,</w:t>
      </w:r>
      <w:r w:rsidR="00281454" w:rsidRPr="00217435">
        <w:rPr>
          <w:rFonts w:ascii="Arial" w:eastAsia="Calibri" w:hAnsi="Arial" w:cs="Arial"/>
          <w:sz w:val="22"/>
          <w:lang w:val="es-ES"/>
        </w:rPr>
        <w:t xml:space="preserve"> en los conceptos </w:t>
      </w:r>
      <w:r w:rsidR="00AB5EEC" w:rsidRPr="00217435">
        <w:rPr>
          <w:rFonts w:ascii="Arial" w:eastAsia="Calibri" w:hAnsi="Arial" w:cs="Arial"/>
          <w:sz w:val="22"/>
          <w:lang w:val="es-ES"/>
        </w:rPr>
        <w:t xml:space="preserve">C–110 del 13 de marzo de 2020, </w:t>
      </w:r>
      <w:r w:rsidR="00281454" w:rsidRPr="00217435">
        <w:rPr>
          <w:rFonts w:ascii="Arial" w:eastAsia="Calibri" w:hAnsi="Arial" w:cs="Arial"/>
          <w:sz w:val="22"/>
          <w:lang w:val="es-ES"/>
        </w:rPr>
        <w:t>C–170</w:t>
      </w:r>
      <w:r w:rsidR="00AB5EEC" w:rsidRPr="00217435">
        <w:rPr>
          <w:rFonts w:ascii="Arial" w:eastAsia="Calibri" w:hAnsi="Arial" w:cs="Arial"/>
          <w:sz w:val="22"/>
          <w:lang w:val="es-ES"/>
        </w:rPr>
        <w:t xml:space="preserve"> y C–172</w:t>
      </w:r>
      <w:r w:rsidR="00281454" w:rsidRPr="00217435">
        <w:rPr>
          <w:rFonts w:ascii="Arial" w:eastAsia="Calibri" w:hAnsi="Arial" w:cs="Arial"/>
          <w:sz w:val="22"/>
          <w:lang w:val="es-ES"/>
        </w:rPr>
        <w:t xml:space="preserve"> del 6 de abril de 2020 –radicado</w:t>
      </w:r>
      <w:r w:rsidR="00AB5EEC" w:rsidRPr="00217435">
        <w:rPr>
          <w:rFonts w:ascii="Arial" w:eastAsia="Calibri" w:hAnsi="Arial" w:cs="Arial"/>
          <w:sz w:val="22"/>
          <w:lang w:val="es-ES"/>
        </w:rPr>
        <w:t>s</w:t>
      </w:r>
      <w:r w:rsidR="00281454" w:rsidRPr="00217435">
        <w:rPr>
          <w:rFonts w:ascii="Arial" w:eastAsia="Calibri" w:hAnsi="Arial" w:cs="Arial"/>
          <w:sz w:val="22"/>
          <w:lang w:val="es-ES"/>
        </w:rPr>
        <w:t xml:space="preserve"> No.</w:t>
      </w:r>
      <w:r w:rsidR="00AB5EEC" w:rsidRPr="00217435">
        <w:rPr>
          <w:rFonts w:ascii="Arial" w:hAnsi="Arial" w:cs="Arial"/>
          <w:lang w:val="es-ES"/>
        </w:rPr>
        <w:t xml:space="preserve"> </w:t>
      </w:r>
      <w:r w:rsidR="00AB5EEC" w:rsidRPr="00217435">
        <w:rPr>
          <w:rFonts w:ascii="Arial" w:eastAsia="Calibri" w:hAnsi="Arial" w:cs="Arial"/>
          <w:sz w:val="22"/>
          <w:lang w:val="es-ES"/>
        </w:rPr>
        <w:t>2202013000001886,</w:t>
      </w:r>
      <w:r w:rsidR="00281454" w:rsidRPr="00217435">
        <w:rPr>
          <w:rFonts w:ascii="Arial" w:eastAsia="Calibri" w:hAnsi="Arial" w:cs="Arial"/>
          <w:sz w:val="22"/>
          <w:lang w:val="es-ES"/>
        </w:rPr>
        <w:t xml:space="preserve"> </w:t>
      </w:r>
      <w:r w:rsidR="00830B56" w:rsidRPr="00217435">
        <w:rPr>
          <w:rFonts w:ascii="Arial" w:eastAsia="Calibri" w:hAnsi="Arial" w:cs="Arial"/>
          <w:sz w:val="22"/>
          <w:lang w:val="es-ES"/>
        </w:rPr>
        <w:t>2202013000002450 y</w:t>
      </w:r>
      <w:r w:rsidR="00AB5EEC" w:rsidRPr="00217435">
        <w:rPr>
          <w:rFonts w:ascii="Arial" w:eastAsia="Calibri" w:hAnsi="Arial" w:cs="Arial"/>
          <w:sz w:val="22"/>
          <w:lang w:val="es-ES"/>
        </w:rPr>
        <w:t xml:space="preserve"> 2202013000002449, respectivamente</w:t>
      </w:r>
      <w:r w:rsidR="00281454" w:rsidRPr="00217435">
        <w:rPr>
          <w:rFonts w:ascii="Arial" w:eastAsia="Calibri" w:hAnsi="Arial" w:cs="Arial"/>
          <w:sz w:val="22"/>
          <w:lang w:val="es-ES"/>
        </w:rPr>
        <w:t>–</w:t>
      </w:r>
      <w:r w:rsidR="00AB5EEC" w:rsidRPr="00217435">
        <w:rPr>
          <w:rFonts w:ascii="Arial" w:eastAsia="Calibri" w:hAnsi="Arial" w:cs="Arial"/>
          <w:sz w:val="22"/>
          <w:lang w:val="es-ES"/>
        </w:rPr>
        <w:t>,</w:t>
      </w:r>
      <w:r w:rsidR="000B6B96" w:rsidRPr="00217435">
        <w:rPr>
          <w:rFonts w:ascii="Arial" w:eastAsia="Calibri" w:hAnsi="Arial" w:cs="Arial"/>
          <w:sz w:val="22"/>
          <w:lang w:val="es-ES"/>
        </w:rPr>
        <w:t xml:space="preserve"> </w:t>
      </w:r>
      <w:r w:rsidR="00AB5EEC" w:rsidRPr="00217435">
        <w:rPr>
          <w:rFonts w:ascii="Arial" w:eastAsia="Calibri" w:hAnsi="Arial" w:cs="Arial"/>
          <w:sz w:val="22"/>
          <w:lang w:val="es-ES"/>
        </w:rPr>
        <w:t>ejemplific</w:t>
      </w:r>
      <w:r w:rsidR="000657E6" w:rsidRPr="00217435">
        <w:rPr>
          <w:rFonts w:ascii="Arial" w:eastAsia="Calibri" w:hAnsi="Arial" w:cs="Arial"/>
          <w:sz w:val="22"/>
          <w:lang w:val="es-ES"/>
        </w:rPr>
        <w:t>ó</w:t>
      </w:r>
      <w:r w:rsidR="00AB5EEC" w:rsidRPr="00217435">
        <w:rPr>
          <w:rFonts w:ascii="Arial" w:eastAsia="Calibri" w:hAnsi="Arial" w:cs="Arial"/>
          <w:sz w:val="22"/>
          <w:lang w:val="es-ES"/>
        </w:rPr>
        <w:t xml:space="preserve"> </w:t>
      </w:r>
      <w:r w:rsidR="00DB55D0" w:rsidRPr="00217435">
        <w:rPr>
          <w:rFonts w:ascii="Arial" w:eastAsia="Calibri" w:hAnsi="Arial" w:cs="Arial"/>
          <w:sz w:val="22"/>
          <w:lang w:val="es-ES"/>
        </w:rPr>
        <w:t>algunas de estas</w:t>
      </w:r>
      <w:r w:rsidR="00AB5EEC" w:rsidRPr="00217435">
        <w:rPr>
          <w:rFonts w:ascii="Arial" w:eastAsia="Calibri" w:hAnsi="Arial" w:cs="Arial"/>
          <w:sz w:val="22"/>
          <w:lang w:val="es-ES"/>
        </w:rPr>
        <w:t xml:space="preserve"> actuaciones identificando </w:t>
      </w:r>
      <w:r w:rsidR="00AA5F37" w:rsidRPr="00217435">
        <w:rPr>
          <w:rFonts w:ascii="Arial" w:eastAsia="Calibri" w:hAnsi="Arial" w:cs="Arial"/>
          <w:sz w:val="22"/>
          <w:lang w:val="es-ES"/>
        </w:rPr>
        <w:t xml:space="preserve">las </w:t>
      </w:r>
      <w:r w:rsidR="00DB55D0" w:rsidRPr="00217435">
        <w:rPr>
          <w:rFonts w:ascii="Arial" w:eastAsia="Calibri" w:hAnsi="Arial" w:cs="Arial"/>
          <w:sz w:val="22"/>
          <w:lang w:val="es-ES"/>
        </w:rPr>
        <w:t>que pasan</w:t>
      </w:r>
      <w:r w:rsidR="00084E3D" w:rsidRPr="00217435">
        <w:rPr>
          <w:rFonts w:ascii="Arial" w:eastAsia="Calibri" w:hAnsi="Arial" w:cs="Arial"/>
          <w:sz w:val="22"/>
          <w:lang w:val="es-ES"/>
        </w:rPr>
        <w:t xml:space="preserve"> </w:t>
      </w:r>
      <w:r w:rsidR="00DB55D0" w:rsidRPr="00217435">
        <w:rPr>
          <w:rFonts w:ascii="Arial" w:eastAsia="Calibri" w:hAnsi="Arial" w:cs="Arial"/>
          <w:sz w:val="22"/>
          <w:lang w:val="es-ES"/>
        </w:rPr>
        <w:t>a</w:t>
      </w:r>
      <w:r w:rsidR="00AB5EEC" w:rsidRPr="00217435">
        <w:rPr>
          <w:rFonts w:ascii="Arial" w:eastAsia="Calibri" w:hAnsi="Arial" w:cs="Arial"/>
          <w:sz w:val="22"/>
          <w:lang w:val="es-ES"/>
        </w:rPr>
        <w:t xml:space="preserve"> señala</w:t>
      </w:r>
      <w:r w:rsidR="00DB55D0" w:rsidRPr="00217435">
        <w:rPr>
          <w:rFonts w:ascii="Arial" w:eastAsia="Calibri" w:hAnsi="Arial" w:cs="Arial"/>
          <w:sz w:val="22"/>
          <w:lang w:val="es-ES"/>
        </w:rPr>
        <w:t>rse</w:t>
      </w:r>
      <w:r w:rsidR="00AB5EEC" w:rsidRPr="00217435">
        <w:rPr>
          <w:rFonts w:ascii="Arial" w:eastAsia="Calibri" w:hAnsi="Arial" w:cs="Arial"/>
          <w:sz w:val="22"/>
          <w:lang w:val="es-ES"/>
        </w:rPr>
        <w:t xml:space="preserve"> </w:t>
      </w:r>
      <w:r w:rsidR="00DB55D0" w:rsidRPr="00217435">
        <w:rPr>
          <w:rFonts w:ascii="Arial" w:eastAsia="Calibri" w:hAnsi="Arial" w:cs="Arial"/>
          <w:sz w:val="22"/>
          <w:lang w:val="es-ES"/>
        </w:rPr>
        <w:t>a t</w:t>
      </w:r>
      <w:r w:rsidR="000657E6" w:rsidRPr="00217435">
        <w:rPr>
          <w:rFonts w:ascii="Arial" w:eastAsia="Calibri" w:hAnsi="Arial" w:cs="Arial"/>
          <w:sz w:val="22"/>
          <w:lang w:val="es-ES"/>
        </w:rPr>
        <w:t>í</w:t>
      </w:r>
      <w:r w:rsidR="00DB55D0" w:rsidRPr="00217435">
        <w:rPr>
          <w:rFonts w:ascii="Arial" w:eastAsia="Calibri" w:hAnsi="Arial" w:cs="Arial"/>
          <w:sz w:val="22"/>
          <w:lang w:val="es-ES"/>
        </w:rPr>
        <w:t>tulo enunciativo y con el propósito de ilustrar</w:t>
      </w:r>
      <w:r w:rsidR="00AA5F37" w:rsidRPr="00217435">
        <w:rPr>
          <w:rFonts w:ascii="Arial" w:eastAsia="Calibri" w:hAnsi="Arial" w:cs="Arial"/>
          <w:sz w:val="22"/>
          <w:lang w:val="es-ES"/>
        </w:rPr>
        <w:t xml:space="preserve">, </w:t>
      </w:r>
      <w:r w:rsidR="00DB55D0" w:rsidRPr="00217435">
        <w:rPr>
          <w:rFonts w:ascii="Arial" w:eastAsia="Calibri" w:hAnsi="Arial" w:cs="Arial"/>
          <w:sz w:val="22"/>
          <w:lang w:val="es-ES"/>
        </w:rPr>
        <w:t>con mayor claridad</w:t>
      </w:r>
      <w:r w:rsidR="00AA5F37" w:rsidRPr="00217435">
        <w:rPr>
          <w:rFonts w:ascii="Arial" w:eastAsia="Calibri" w:hAnsi="Arial" w:cs="Arial"/>
          <w:sz w:val="22"/>
          <w:lang w:val="es-ES"/>
        </w:rPr>
        <w:t>,</w:t>
      </w:r>
      <w:r w:rsidR="00DB55D0" w:rsidRPr="00217435">
        <w:rPr>
          <w:rFonts w:ascii="Arial" w:eastAsia="Calibri" w:hAnsi="Arial" w:cs="Arial"/>
          <w:sz w:val="22"/>
          <w:lang w:val="es-ES"/>
        </w:rPr>
        <w:t xml:space="preserve"> las particularidades del deber de publicidad de las actuaciones contractuales en la plataforma SECOP II</w:t>
      </w:r>
      <w:r w:rsidR="005201CA" w:rsidRPr="00217435">
        <w:rPr>
          <w:rFonts w:ascii="Arial" w:eastAsia="Calibri" w:hAnsi="Arial" w:cs="Arial"/>
          <w:sz w:val="22"/>
          <w:lang w:val="es-ES"/>
        </w:rPr>
        <w:t xml:space="preserve">, sin perjuicio de que existan otras situaciones que </w:t>
      </w:r>
      <w:r w:rsidR="000657E6" w:rsidRPr="00217435">
        <w:rPr>
          <w:rFonts w:ascii="Arial" w:eastAsia="Calibri" w:hAnsi="Arial" w:cs="Arial"/>
          <w:sz w:val="22"/>
          <w:lang w:val="es-ES"/>
        </w:rPr>
        <w:t>además</w:t>
      </w:r>
      <w:r w:rsidR="005201CA" w:rsidRPr="00217435">
        <w:rPr>
          <w:rFonts w:ascii="Arial" w:eastAsia="Calibri" w:hAnsi="Arial" w:cs="Arial"/>
          <w:sz w:val="22"/>
          <w:lang w:val="es-ES"/>
        </w:rPr>
        <w:t xml:space="preserve"> de su generación electrónica ameriten una publicación distinta de la realizada a través de SECOP I.</w:t>
      </w:r>
      <w:r w:rsidR="00DB55D0" w:rsidRPr="00217435">
        <w:rPr>
          <w:rFonts w:ascii="Arial" w:eastAsia="Calibri" w:hAnsi="Arial" w:cs="Arial"/>
          <w:sz w:val="22"/>
          <w:lang w:val="es-ES"/>
        </w:rPr>
        <w:t xml:space="preserve"> </w:t>
      </w:r>
    </w:p>
    <w:bookmarkEnd w:id="9"/>
    <w:p w14:paraId="7C0FAF27" w14:textId="2FF97332" w:rsidR="006E1CF3" w:rsidRDefault="006E1CF3" w:rsidP="006E1CF3">
      <w:pPr>
        <w:spacing w:line="276" w:lineRule="auto"/>
        <w:ind w:firstLine="708"/>
        <w:jc w:val="both"/>
        <w:rPr>
          <w:rFonts w:ascii="Arial" w:eastAsia="Calibri" w:hAnsi="Arial" w:cs="Arial"/>
          <w:sz w:val="22"/>
          <w:lang w:val="es-ES"/>
        </w:rPr>
      </w:pPr>
    </w:p>
    <w:p w14:paraId="0FC517F7" w14:textId="77777777" w:rsidR="00FB25D9" w:rsidRPr="00217435" w:rsidRDefault="00FB25D9" w:rsidP="006E1CF3">
      <w:pPr>
        <w:spacing w:line="276" w:lineRule="auto"/>
        <w:ind w:firstLine="708"/>
        <w:jc w:val="both"/>
        <w:rPr>
          <w:rFonts w:ascii="Arial" w:eastAsia="Calibri" w:hAnsi="Arial" w:cs="Arial"/>
          <w:sz w:val="22"/>
          <w:lang w:val="es-ES"/>
        </w:rPr>
      </w:pPr>
    </w:p>
    <w:p w14:paraId="00BF580B" w14:textId="77777777" w:rsidR="006E1CF3" w:rsidRPr="00217435" w:rsidRDefault="006E1CF3" w:rsidP="006E1CF3">
      <w:pPr>
        <w:spacing w:line="276" w:lineRule="auto"/>
        <w:jc w:val="both"/>
        <w:rPr>
          <w:rFonts w:ascii="Arial" w:eastAsia="Calibri" w:hAnsi="Arial" w:cs="Arial"/>
          <w:b/>
          <w:bCs/>
          <w:sz w:val="22"/>
          <w:lang w:val="es-ES"/>
        </w:rPr>
      </w:pPr>
      <w:r w:rsidRPr="00217435">
        <w:rPr>
          <w:rFonts w:ascii="Arial" w:eastAsia="Calibri" w:hAnsi="Arial" w:cs="Arial"/>
          <w:b/>
          <w:bCs/>
          <w:sz w:val="22"/>
          <w:lang w:val="es-ES"/>
        </w:rPr>
        <w:t>i) Pliego de condiciones electrónico</w:t>
      </w:r>
    </w:p>
    <w:p w14:paraId="47A14EA0" w14:textId="77777777" w:rsidR="006E1CF3" w:rsidRPr="00217435" w:rsidRDefault="006E1CF3" w:rsidP="006E1CF3">
      <w:pPr>
        <w:spacing w:line="276" w:lineRule="auto"/>
        <w:jc w:val="both"/>
        <w:rPr>
          <w:rFonts w:ascii="Arial" w:eastAsia="Calibri" w:hAnsi="Arial" w:cs="Arial"/>
          <w:b/>
          <w:bCs/>
          <w:sz w:val="22"/>
          <w:lang w:val="es-ES"/>
        </w:rPr>
      </w:pPr>
    </w:p>
    <w:p w14:paraId="1252258C" w14:textId="38DB9075" w:rsidR="006E1CF3" w:rsidRPr="00217435" w:rsidRDefault="006E1CF3" w:rsidP="006E1CF3">
      <w:pPr>
        <w:spacing w:after="120" w:line="276" w:lineRule="auto"/>
        <w:jc w:val="both"/>
        <w:rPr>
          <w:rFonts w:ascii="Arial" w:eastAsia="Calibri" w:hAnsi="Arial" w:cs="Arial"/>
          <w:sz w:val="22"/>
          <w:lang w:val="es-ES"/>
        </w:rPr>
      </w:pPr>
      <w:r w:rsidRPr="00217435">
        <w:rPr>
          <w:rFonts w:ascii="Arial" w:eastAsia="Calibri" w:hAnsi="Arial" w:cs="Arial"/>
          <w:sz w:val="22"/>
          <w:lang w:val="es-ES"/>
        </w:rPr>
        <w:t xml:space="preserve">En primer lugar, es posible referirse al pliego de condiciones que, en el SECOP II, es electrónico y está compuesto por: i) formulario y </w:t>
      </w:r>
      <w:proofErr w:type="spellStart"/>
      <w:r w:rsidRPr="00217435">
        <w:rPr>
          <w:rFonts w:ascii="Arial" w:eastAsia="Calibri" w:hAnsi="Arial" w:cs="Arial"/>
          <w:sz w:val="22"/>
          <w:lang w:val="es-ES"/>
        </w:rPr>
        <w:t>ii</w:t>
      </w:r>
      <w:proofErr w:type="spellEnd"/>
      <w:r w:rsidRPr="00217435">
        <w:rPr>
          <w:rFonts w:ascii="Arial" w:eastAsia="Calibri" w:hAnsi="Arial" w:cs="Arial"/>
          <w:sz w:val="22"/>
          <w:lang w:val="es-ES"/>
        </w:rPr>
        <w:t xml:space="preserve">) documentos anexos que cargue la entidad. Después de elegir la modalidad de selección, el SECOP II crea el expediente electrónico del procedimiento y habilita la creación del pliego borrador electrónico. Este pliego electrónico es un formulario con seis secciones: i) información general, </w:t>
      </w:r>
      <w:proofErr w:type="spellStart"/>
      <w:r w:rsidRPr="00217435">
        <w:rPr>
          <w:rFonts w:ascii="Arial" w:eastAsia="Calibri" w:hAnsi="Arial" w:cs="Arial"/>
          <w:sz w:val="22"/>
          <w:lang w:val="es-ES"/>
        </w:rPr>
        <w:t>ii</w:t>
      </w:r>
      <w:proofErr w:type="spellEnd"/>
      <w:r w:rsidRPr="00217435">
        <w:rPr>
          <w:rFonts w:ascii="Arial" w:eastAsia="Calibri" w:hAnsi="Arial" w:cs="Arial"/>
          <w:sz w:val="22"/>
          <w:lang w:val="es-ES"/>
        </w:rPr>
        <w:t xml:space="preserve">) configuración, </w:t>
      </w:r>
      <w:proofErr w:type="spellStart"/>
      <w:r w:rsidRPr="00217435">
        <w:rPr>
          <w:rFonts w:ascii="Arial" w:eastAsia="Calibri" w:hAnsi="Arial" w:cs="Arial"/>
          <w:sz w:val="22"/>
          <w:lang w:val="es-ES"/>
        </w:rPr>
        <w:t>iii</w:t>
      </w:r>
      <w:proofErr w:type="spellEnd"/>
      <w:r w:rsidRPr="00217435">
        <w:rPr>
          <w:rFonts w:ascii="Arial" w:eastAsia="Calibri" w:hAnsi="Arial" w:cs="Arial"/>
          <w:sz w:val="22"/>
          <w:lang w:val="es-ES"/>
        </w:rPr>
        <w:t xml:space="preserve">) cuestionario, </w:t>
      </w:r>
      <w:proofErr w:type="spellStart"/>
      <w:r w:rsidRPr="00217435">
        <w:rPr>
          <w:rFonts w:ascii="Arial" w:eastAsia="Calibri" w:hAnsi="Arial" w:cs="Arial"/>
          <w:sz w:val="22"/>
          <w:lang w:val="es-ES"/>
        </w:rPr>
        <w:t>iv</w:t>
      </w:r>
      <w:proofErr w:type="spellEnd"/>
      <w:r w:rsidRPr="00217435">
        <w:rPr>
          <w:rFonts w:ascii="Arial" w:eastAsia="Calibri" w:hAnsi="Arial" w:cs="Arial"/>
          <w:sz w:val="22"/>
          <w:lang w:val="es-ES"/>
        </w:rPr>
        <w:t>) evaluación, v) documentos del proceso y vi) documentos de la oferta.</w:t>
      </w:r>
    </w:p>
    <w:p w14:paraId="74772D7E" w14:textId="394245AE" w:rsidR="006E1CF3" w:rsidRPr="00217435" w:rsidRDefault="006E1CF3" w:rsidP="006E1CF3">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Los formularios de los pliegos electrónicos </w:t>
      </w:r>
      <w:r w:rsidR="000657E6" w:rsidRPr="00217435">
        <w:rPr>
          <w:rFonts w:ascii="Arial" w:eastAsia="Calibri" w:hAnsi="Arial" w:cs="Arial"/>
          <w:sz w:val="22"/>
          <w:lang w:val="es-ES"/>
        </w:rPr>
        <w:t>incluyen</w:t>
      </w:r>
      <w:r w:rsidRPr="00217435">
        <w:rPr>
          <w:rFonts w:ascii="Arial" w:eastAsia="Calibri" w:hAnsi="Arial" w:cs="Arial"/>
          <w:sz w:val="22"/>
          <w:lang w:val="es-ES"/>
        </w:rPr>
        <w:t xml:space="preserve"> la mayoría de los contenidos mínimos que debe contener un pliego de condiciones, con excepción del análisis de riesgos, las causales de rechazo, la minuta del contrato y la supervisión o interventoría, entre otros, los cuales, al igual que los demás componentes que la entidad considere conveniente incluir, en su autonomía contractual, pueden incluirse en la sección para adjuntar documentos.</w:t>
      </w:r>
    </w:p>
    <w:p w14:paraId="1B193F79" w14:textId="6464887C" w:rsidR="006E1CF3" w:rsidRPr="00217435" w:rsidRDefault="006E1CF3" w:rsidP="006E1CF3">
      <w:pPr>
        <w:spacing w:line="276" w:lineRule="auto"/>
        <w:ind w:firstLine="709"/>
        <w:jc w:val="both"/>
        <w:rPr>
          <w:rFonts w:ascii="Arial" w:eastAsia="Calibri" w:hAnsi="Arial" w:cs="Arial"/>
          <w:sz w:val="22"/>
          <w:lang w:val="es-ES"/>
        </w:rPr>
      </w:pPr>
      <w:r w:rsidRPr="00217435">
        <w:rPr>
          <w:rFonts w:ascii="Arial" w:eastAsia="Calibri" w:hAnsi="Arial" w:cs="Arial"/>
          <w:sz w:val="22"/>
          <w:lang w:val="es-ES"/>
        </w:rPr>
        <w:lastRenderedPageBreak/>
        <w:t xml:space="preserve">En consecuencia, por el funcionamiento de la plataforma no es posible que exista un pliego de condiciones físico y que no se diligencie el formulario dispuesto en la plataforma, ya que sin esto el SECOP II no habilita el botón «ir a publicar», con el cual se crea formalmente el procedimiento y los interesados pueden conocerlo para presentar observaciones y su oferta. Esto significa que la publicación de un pliego de condiciones físico </w:t>
      </w:r>
      <w:r w:rsidR="000657E6" w:rsidRPr="00217435">
        <w:rPr>
          <w:rFonts w:ascii="Arial" w:eastAsia="Calibri" w:hAnsi="Arial" w:cs="Arial"/>
          <w:sz w:val="22"/>
          <w:lang w:val="es-ES"/>
        </w:rPr>
        <w:t>bloquea</w:t>
      </w:r>
      <w:r w:rsidRPr="00217435">
        <w:rPr>
          <w:rFonts w:ascii="Arial" w:eastAsia="Calibri" w:hAnsi="Arial" w:cs="Arial"/>
          <w:sz w:val="22"/>
          <w:lang w:val="es-ES"/>
        </w:rPr>
        <w:t xml:space="preserve"> las funcionalidades de la plataforma para crear el procedimiento en línea, y para su desarrollo en cumplimiento de la normativa de contratación pública, por lo cual el procedimiento no existiría en el SECOP II y no sería posible conocerlo; pero esto no implica que las entidades no puedan adjuntar los documentos que sean necesarios y que complementen el pliego de condiciones electrónico.</w:t>
      </w:r>
    </w:p>
    <w:p w14:paraId="690FDA93" w14:textId="77777777" w:rsidR="007B3CCC" w:rsidRPr="00217435" w:rsidRDefault="007B3CCC" w:rsidP="006E1CF3">
      <w:pPr>
        <w:spacing w:line="276" w:lineRule="auto"/>
        <w:jc w:val="both"/>
        <w:rPr>
          <w:rFonts w:ascii="Arial" w:eastAsia="Calibri" w:hAnsi="Arial" w:cs="Arial"/>
          <w:b/>
          <w:bCs/>
          <w:sz w:val="22"/>
          <w:lang w:val="es-ES"/>
        </w:rPr>
      </w:pPr>
    </w:p>
    <w:p w14:paraId="78381E78" w14:textId="692E6A3D" w:rsidR="006E1CF3" w:rsidRPr="00217435" w:rsidRDefault="006E1CF3" w:rsidP="006E1CF3">
      <w:pPr>
        <w:spacing w:line="276" w:lineRule="auto"/>
        <w:jc w:val="both"/>
        <w:rPr>
          <w:rFonts w:ascii="Arial" w:eastAsia="Calibri" w:hAnsi="Arial" w:cs="Arial"/>
          <w:b/>
          <w:bCs/>
          <w:sz w:val="22"/>
          <w:lang w:val="es-ES"/>
        </w:rPr>
      </w:pPr>
      <w:proofErr w:type="spellStart"/>
      <w:r w:rsidRPr="00217435">
        <w:rPr>
          <w:rFonts w:ascii="Arial" w:eastAsia="Calibri" w:hAnsi="Arial" w:cs="Arial"/>
          <w:b/>
          <w:bCs/>
          <w:sz w:val="22"/>
          <w:lang w:val="es-ES"/>
        </w:rPr>
        <w:t>ii</w:t>
      </w:r>
      <w:proofErr w:type="spellEnd"/>
      <w:r w:rsidRPr="00217435">
        <w:rPr>
          <w:rFonts w:ascii="Arial" w:eastAsia="Calibri" w:hAnsi="Arial" w:cs="Arial"/>
          <w:b/>
          <w:bCs/>
          <w:sz w:val="22"/>
          <w:lang w:val="es-ES"/>
        </w:rPr>
        <w:t>) Acta de cierre</w:t>
      </w:r>
      <w:r w:rsidR="00E30C62" w:rsidRPr="00217435">
        <w:rPr>
          <w:rFonts w:ascii="Arial" w:eastAsia="Calibri" w:hAnsi="Arial" w:cs="Arial"/>
          <w:b/>
          <w:bCs/>
          <w:sz w:val="22"/>
          <w:lang w:val="es-ES"/>
        </w:rPr>
        <w:t xml:space="preserve"> </w:t>
      </w:r>
    </w:p>
    <w:p w14:paraId="1BF5E88B" w14:textId="77777777" w:rsidR="006E1CF3" w:rsidRPr="00217435" w:rsidRDefault="006E1CF3" w:rsidP="006E1CF3">
      <w:pPr>
        <w:spacing w:line="276" w:lineRule="auto"/>
        <w:jc w:val="both"/>
        <w:rPr>
          <w:rFonts w:ascii="Arial" w:eastAsia="Calibri" w:hAnsi="Arial" w:cs="Arial"/>
          <w:b/>
          <w:bCs/>
          <w:sz w:val="22"/>
          <w:lang w:val="es-ES"/>
        </w:rPr>
      </w:pPr>
    </w:p>
    <w:p w14:paraId="43E6D538" w14:textId="404DD793" w:rsidR="006E1CF3" w:rsidRPr="00217435" w:rsidRDefault="006E1CF3" w:rsidP="006E1CF3">
      <w:pPr>
        <w:spacing w:after="120" w:line="276" w:lineRule="auto"/>
        <w:jc w:val="both"/>
        <w:rPr>
          <w:rFonts w:ascii="Arial" w:hAnsi="Arial" w:cs="Arial"/>
          <w:lang w:val="es-ES"/>
        </w:rPr>
      </w:pPr>
      <w:r w:rsidRPr="00217435">
        <w:rPr>
          <w:rFonts w:ascii="Arial" w:eastAsia="Calibri" w:hAnsi="Arial" w:cs="Arial"/>
          <w:sz w:val="22"/>
          <w:lang w:val="es-ES"/>
        </w:rPr>
        <w:t xml:space="preserve">La etapa de apertura y evaluación de ofertas del expediente electrónico conformado en el SECOP II, se habilita cuando se cumple la fecha de cierre dispuesta en el cronograma que se configura en la plataforma. </w:t>
      </w:r>
      <w:r w:rsidR="000657E6" w:rsidRPr="00217435">
        <w:rPr>
          <w:rFonts w:ascii="Arial" w:eastAsia="Calibri" w:hAnsi="Arial" w:cs="Arial"/>
          <w:sz w:val="22"/>
          <w:lang w:val="es-ES"/>
        </w:rPr>
        <w:t>Llegada la</w:t>
      </w:r>
      <w:r w:rsidRPr="00217435">
        <w:rPr>
          <w:rFonts w:ascii="Arial" w:eastAsia="Calibri" w:hAnsi="Arial" w:cs="Arial"/>
          <w:sz w:val="22"/>
          <w:lang w:val="es-ES"/>
        </w:rPr>
        <w:t xml:space="preserve"> fecha, el SECOP II permite abrir las ofertas, ingresando a la sección «lista de ofertas» del área de trabajo del Proceso, donde aparece el botón «Apertura de ofertas». La plataforma muestra un panel con las ofertas presentadas, y es necesario hacer clic en «Iniciar» y luego en «Abrir sobres» para que la plataforma desencripte las ofertas.</w:t>
      </w:r>
      <w:r w:rsidRPr="00217435">
        <w:rPr>
          <w:rFonts w:ascii="Arial" w:hAnsi="Arial" w:cs="Arial"/>
          <w:lang w:val="es-ES"/>
        </w:rPr>
        <w:t xml:space="preserve"> </w:t>
      </w:r>
    </w:p>
    <w:p w14:paraId="098E8C14" w14:textId="0820F8AB" w:rsidR="006E1CF3" w:rsidRPr="00217435" w:rsidRDefault="006E1CF3" w:rsidP="006E1CF3">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Luego de abrir los sobres, la entidad debe publicar el acta de cierre que genera automáticamente la plataforma, haciendo clic en «Publicar</w:t>
      </w:r>
      <w:r w:rsidR="00C2668B" w:rsidRPr="00217435">
        <w:rPr>
          <w:rFonts w:ascii="Arial" w:eastAsia="Calibri" w:hAnsi="Arial" w:cs="Arial"/>
          <w:sz w:val="22"/>
          <w:lang w:val="es-ES"/>
        </w:rPr>
        <w:t>/Actualizar</w:t>
      </w:r>
      <w:r w:rsidRPr="00217435">
        <w:rPr>
          <w:rFonts w:ascii="Arial" w:eastAsia="Calibri" w:hAnsi="Arial" w:cs="Arial"/>
          <w:sz w:val="22"/>
          <w:lang w:val="es-ES"/>
        </w:rPr>
        <w:t xml:space="preserve"> lista de oferentes», y se abre una venta</w:t>
      </w:r>
      <w:r w:rsidR="00AB5EEC" w:rsidRPr="00217435">
        <w:rPr>
          <w:rFonts w:ascii="Arial" w:eastAsia="Calibri" w:hAnsi="Arial" w:cs="Arial"/>
          <w:sz w:val="22"/>
          <w:lang w:val="es-ES"/>
        </w:rPr>
        <w:t>na</w:t>
      </w:r>
      <w:r w:rsidRPr="00217435">
        <w:rPr>
          <w:rFonts w:ascii="Arial" w:eastAsia="Calibri" w:hAnsi="Arial" w:cs="Arial"/>
          <w:sz w:val="22"/>
          <w:lang w:val="es-ES"/>
        </w:rPr>
        <w:t xml:space="preserve"> emergente con la lista de proveedores que presentaron oferta en el procedimiento y la fecha y hora de llegada de cada oferta; y al dar </w:t>
      </w:r>
      <w:r w:rsidR="00B339EC" w:rsidRPr="00217435">
        <w:rPr>
          <w:rFonts w:ascii="Arial" w:eastAsia="Calibri" w:hAnsi="Arial" w:cs="Arial"/>
          <w:sz w:val="22"/>
          <w:lang w:val="es-ES"/>
        </w:rPr>
        <w:t>«</w:t>
      </w:r>
      <w:r w:rsidRPr="00217435">
        <w:rPr>
          <w:rFonts w:ascii="Arial" w:eastAsia="Calibri" w:hAnsi="Arial" w:cs="Arial"/>
          <w:sz w:val="22"/>
          <w:lang w:val="es-ES"/>
        </w:rPr>
        <w:t>clic</w:t>
      </w:r>
      <w:r w:rsidR="00B339EC" w:rsidRPr="00217435">
        <w:rPr>
          <w:rFonts w:ascii="Arial" w:eastAsia="Calibri" w:hAnsi="Arial" w:cs="Arial"/>
          <w:sz w:val="22"/>
          <w:lang w:val="es-ES"/>
        </w:rPr>
        <w:t>»</w:t>
      </w:r>
      <w:r w:rsidRPr="00217435">
        <w:rPr>
          <w:rFonts w:ascii="Arial" w:eastAsia="Calibri" w:hAnsi="Arial" w:cs="Arial"/>
          <w:sz w:val="22"/>
          <w:lang w:val="es-ES"/>
        </w:rPr>
        <w:t xml:space="preserve"> en el botón «</w:t>
      </w:r>
      <w:r w:rsidR="00C2668B" w:rsidRPr="00217435">
        <w:rPr>
          <w:rFonts w:ascii="Arial" w:eastAsia="Calibri" w:hAnsi="Arial" w:cs="Arial"/>
          <w:sz w:val="22"/>
          <w:lang w:val="es-ES"/>
        </w:rPr>
        <w:t>Publicar</w:t>
      </w:r>
      <w:r w:rsidR="00136769" w:rsidRPr="00217435">
        <w:rPr>
          <w:rFonts w:ascii="Arial" w:eastAsia="Calibri" w:hAnsi="Arial" w:cs="Arial"/>
          <w:sz w:val="22"/>
          <w:lang w:val="es-ES"/>
        </w:rPr>
        <w:t>/Actualizar</w:t>
      </w:r>
      <w:r w:rsidRPr="00217435">
        <w:rPr>
          <w:rFonts w:ascii="Arial" w:eastAsia="Calibri" w:hAnsi="Arial" w:cs="Arial"/>
          <w:sz w:val="22"/>
          <w:lang w:val="es-ES"/>
        </w:rPr>
        <w:t xml:space="preserve"> lista de oferentes», queda publicada el acta de cierre. De esta actuación no queda evidencia en el expediente electrónico, si se realiza con un acta de cierre escrita, ya que la plataforma no la tiene en cuenta por no corresponder con su funcionamiento. Como se estableció para el pliego de condiciones electrónico, existen secciones en el SECOP II para cargue de documentos escritos, lo cual no reemplaza la función dentro de la plataforma, sin la cual no existe la actuación que se haya realizado por escrito mediante el cargue de documentos.</w:t>
      </w:r>
    </w:p>
    <w:p w14:paraId="3CA0A0BA" w14:textId="2DFC247F" w:rsidR="006E1CF3" w:rsidRPr="00217435" w:rsidRDefault="0033592F" w:rsidP="006E1CF3">
      <w:pPr>
        <w:spacing w:before="120" w:line="276" w:lineRule="auto"/>
        <w:ind w:firstLine="708"/>
        <w:jc w:val="both"/>
        <w:rPr>
          <w:rFonts w:ascii="Arial" w:eastAsia="Calibri" w:hAnsi="Arial" w:cs="Arial"/>
          <w:sz w:val="22"/>
          <w:lang w:val="es-ES"/>
        </w:rPr>
      </w:pPr>
      <w:r w:rsidRPr="00217435">
        <w:rPr>
          <w:rFonts w:ascii="Arial" w:eastAsia="Calibri" w:hAnsi="Arial" w:cs="Arial"/>
          <w:sz w:val="22"/>
          <w:lang w:val="es-ES"/>
        </w:rPr>
        <w:t>El hecho de</w:t>
      </w:r>
      <w:r w:rsidR="006E1CF3" w:rsidRPr="00217435">
        <w:rPr>
          <w:rFonts w:ascii="Arial" w:eastAsia="Calibri" w:hAnsi="Arial" w:cs="Arial"/>
          <w:sz w:val="22"/>
          <w:lang w:val="es-ES"/>
        </w:rPr>
        <w:t xml:space="preserve"> no utilizar el botón «Actualizar/Publicar lista de </w:t>
      </w:r>
      <w:proofErr w:type="gramStart"/>
      <w:r w:rsidR="006E1CF3" w:rsidRPr="00217435">
        <w:rPr>
          <w:rFonts w:ascii="Arial" w:eastAsia="Calibri" w:hAnsi="Arial" w:cs="Arial"/>
          <w:sz w:val="22"/>
          <w:lang w:val="es-ES"/>
        </w:rPr>
        <w:t xml:space="preserve">oferentes»  </w:t>
      </w:r>
      <w:r w:rsidR="005201CA" w:rsidRPr="00217435">
        <w:rPr>
          <w:rFonts w:ascii="Arial" w:eastAsia="Calibri" w:hAnsi="Arial" w:cs="Arial"/>
          <w:sz w:val="22"/>
          <w:lang w:val="es-ES"/>
        </w:rPr>
        <w:t>no</w:t>
      </w:r>
      <w:proofErr w:type="gramEnd"/>
      <w:r w:rsidR="005201CA" w:rsidRPr="00217435">
        <w:rPr>
          <w:rFonts w:ascii="Arial" w:eastAsia="Calibri" w:hAnsi="Arial" w:cs="Arial"/>
          <w:sz w:val="22"/>
          <w:lang w:val="es-ES"/>
        </w:rPr>
        <w:t xml:space="preserve"> </w:t>
      </w:r>
      <w:r w:rsidR="006E1CF3" w:rsidRPr="00217435">
        <w:rPr>
          <w:rFonts w:ascii="Arial" w:eastAsia="Calibri" w:hAnsi="Arial" w:cs="Arial"/>
          <w:sz w:val="22"/>
          <w:lang w:val="es-ES"/>
        </w:rPr>
        <w:t xml:space="preserve">bloquea la continuidad del procedimiento en línea, </w:t>
      </w:r>
      <w:r w:rsidRPr="00217435">
        <w:rPr>
          <w:rFonts w:ascii="Arial" w:eastAsia="Calibri" w:hAnsi="Arial" w:cs="Arial"/>
          <w:sz w:val="22"/>
          <w:lang w:val="es-ES"/>
        </w:rPr>
        <w:t xml:space="preserve">sin </w:t>
      </w:r>
      <w:r w:rsidR="00830B56" w:rsidRPr="00217435">
        <w:rPr>
          <w:rFonts w:ascii="Arial" w:eastAsia="Calibri" w:hAnsi="Arial" w:cs="Arial"/>
          <w:sz w:val="22"/>
          <w:lang w:val="es-ES"/>
        </w:rPr>
        <w:t>embargo,</w:t>
      </w:r>
      <w:r w:rsidRPr="00217435">
        <w:rPr>
          <w:rFonts w:ascii="Arial" w:eastAsia="Calibri" w:hAnsi="Arial" w:cs="Arial"/>
          <w:sz w:val="22"/>
          <w:lang w:val="es-ES"/>
        </w:rPr>
        <w:t xml:space="preserve"> no</w:t>
      </w:r>
      <w:r w:rsidR="006E1CF3" w:rsidRPr="00217435">
        <w:rPr>
          <w:rFonts w:ascii="Arial" w:eastAsia="Calibri" w:hAnsi="Arial" w:cs="Arial"/>
          <w:sz w:val="22"/>
          <w:lang w:val="es-ES"/>
        </w:rPr>
        <w:t xml:space="preserve"> existirá trazabilidad en la plataforma de que se haya publicado el acta de cierre como lo exige la ley.</w:t>
      </w:r>
      <w:r w:rsidR="005201CA" w:rsidRPr="00217435">
        <w:rPr>
          <w:rFonts w:ascii="Arial" w:eastAsia="Calibri" w:hAnsi="Arial" w:cs="Arial"/>
          <w:sz w:val="22"/>
          <w:lang w:val="es-ES"/>
        </w:rPr>
        <w:t xml:space="preserve"> De no publicarse la lista de oferentes o acta de cierre, la plataforma no permitirá que se publiquen las ofertas.</w:t>
      </w:r>
    </w:p>
    <w:p w14:paraId="4DAB39DD" w14:textId="77777777" w:rsidR="004B3798" w:rsidRPr="00217435" w:rsidRDefault="004B3798" w:rsidP="004B3798">
      <w:pPr>
        <w:spacing w:line="276" w:lineRule="auto"/>
        <w:jc w:val="both"/>
        <w:rPr>
          <w:rFonts w:ascii="Arial" w:eastAsia="Calibri" w:hAnsi="Arial" w:cs="Arial"/>
          <w:b/>
          <w:bCs/>
          <w:sz w:val="22"/>
          <w:lang w:val="es-ES"/>
        </w:rPr>
      </w:pPr>
    </w:p>
    <w:p w14:paraId="0726020F" w14:textId="3033C8CD" w:rsidR="00683B3E" w:rsidRPr="00217435" w:rsidRDefault="00683B3E" w:rsidP="004B3798">
      <w:pPr>
        <w:spacing w:line="276" w:lineRule="auto"/>
        <w:jc w:val="both"/>
        <w:rPr>
          <w:rFonts w:ascii="Arial" w:eastAsia="Calibri" w:hAnsi="Arial" w:cs="Arial"/>
          <w:b/>
          <w:bCs/>
          <w:sz w:val="22"/>
          <w:lang w:val="es-ES"/>
        </w:rPr>
      </w:pPr>
      <w:proofErr w:type="spellStart"/>
      <w:r w:rsidRPr="00217435">
        <w:rPr>
          <w:rFonts w:ascii="Arial" w:eastAsia="Calibri" w:hAnsi="Arial" w:cs="Arial"/>
          <w:b/>
          <w:bCs/>
          <w:sz w:val="22"/>
          <w:lang w:val="es-ES"/>
        </w:rPr>
        <w:t>iii</w:t>
      </w:r>
      <w:proofErr w:type="spellEnd"/>
      <w:r w:rsidRPr="00217435">
        <w:rPr>
          <w:rFonts w:ascii="Arial" w:eastAsia="Calibri" w:hAnsi="Arial" w:cs="Arial"/>
          <w:b/>
          <w:bCs/>
          <w:sz w:val="22"/>
          <w:lang w:val="es-ES"/>
        </w:rPr>
        <w:t>) Publicación de ofertas</w:t>
      </w:r>
    </w:p>
    <w:p w14:paraId="51989DFB" w14:textId="14DE0714" w:rsidR="00683B3E" w:rsidRPr="00217435" w:rsidRDefault="00683B3E" w:rsidP="00683B3E">
      <w:pPr>
        <w:spacing w:line="276" w:lineRule="auto"/>
        <w:jc w:val="both"/>
        <w:rPr>
          <w:rFonts w:ascii="Arial" w:eastAsia="Calibri" w:hAnsi="Arial" w:cs="Arial"/>
          <w:sz w:val="22"/>
          <w:lang w:val="es-ES"/>
        </w:rPr>
      </w:pPr>
    </w:p>
    <w:p w14:paraId="47E8F27F" w14:textId="3BE6D516" w:rsidR="00DF2A00" w:rsidRPr="00217435" w:rsidRDefault="00DF2A00" w:rsidP="00683B3E">
      <w:pPr>
        <w:spacing w:after="120" w:line="276" w:lineRule="auto"/>
        <w:jc w:val="both"/>
        <w:rPr>
          <w:rFonts w:ascii="Arial" w:eastAsia="Calibri" w:hAnsi="Arial" w:cs="Arial"/>
          <w:sz w:val="22"/>
          <w:lang w:val="es-ES"/>
        </w:rPr>
      </w:pPr>
      <w:r w:rsidRPr="00217435">
        <w:rPr>
          <w:rFonts w:ascii="Arial" w:eastAsia="Calibri" w:hAnsi="Arial" w:cs="Arial"/>
          <w:sz w:val="22"/>
          <w:lang w:val="es-ES"/>
        </w:rPr>
        <w:t>Tras publicarse</w:t>
      </w:r>
      <w:r w:rsidR="003323EB" w:rsidRPr="00217435">
        <w:rPr>
          <w:rFonts w:ascii="Arial" w:eastAsia="Calibri" w:hAnsi="Arial" w:cs="Arial"/>
          <w:sz w:val="22"/>
          <w:lang w:val="es-ES"/>
        </w:rPr>
        <w:t xml:space="preserve"> el acta cierre, la plataforma ofrece a las entidades la opción de «Publicar Ofertas»,</w:t>
      </w:r>
      <w:r w:rsidRPr="00217435">
        <w:rPr>
          <w:rFonts w:ascii="Arial" w:eastAsia="Calibri" w:hAnsi="Arial" w:cs="Arial"/>
          <w:sz w:val="22"/>
          <w:lang w:val="es-ES"/>
        </w:rPr>
        <w:t xml:space="preserve"> opción que permite que los documentos que conforman la oferta</w:t>
      </w:r>
      <w:r w:rsidR="0016087E" w:rsidRPr="00217435">
        <w:rPr>
          <w:rFonts w:ascii="Arial" w:eastAsia="Calibri" w:hAnsi="Arial" w:cs="Arial"/>
          <w:sz w:val="22"/>
          <w:lang w:val="es-ES"/>
        </w:rPr>
        <w:t xml:space="preserve"> se publiquen y</w:t>
      </w:r>
      <w:r w:rsidRPr="00217435">
        <w:rPr>
          <w:rFonts w:ascii="Arial" w:eastAsia="Calibri" w:hAnsi="Arial" w:cs="Arial"/>
          <w:sz w:val="22"/>
          <w:lang w:val="es-ES"/>
        </w:rPr>
        <w:t xml:space="preserve"> </w:t>
      </w:r>
      <w:r w:rsidRPr="00217435">
        <w:rPr>
          <w:rFonts w:ascii="Arial" w:eastAsia="Calibri" w:hAnsi="Arial" w:cs="Arial"/>
          <w:sz w:val="22"/>
          <w:lang w:val="es-ES"/>
        </w:rPr>
        <w:lastRenderedPageBreak/>
        <w:t xml:space="preserve">puedan ser consultados por los interesados en el proceso y en general por cualquier persona. El SECOP II, además, permite que las entidades realicen la publicación de la información de las ofertas referida a los requisitos habilitantes </w:t>
      </w:r>
      <w:r w:rsidR="00830B56" w:rsidRPr="00217435">
        <w:rPr>
          <w:rFonts w:ascii="Arial" w:eastAsia="Calibri" w:hAnsi="Arial" w:cs="Arial"/>
          <w:sz w:val="22"/>
          <w:lang w:val="es-ES"/>
        </w:rPr>
        <w:t>y factores</w:t>
      </w:r>
      <w:r w:rsidRPr="00217435">
        <w:rPr>
          <w:rFonts w:ascii="Arial" w:eastAsia="Calibri" w:hAnsi="Arial" w:cs="Arial"/>
          <w:sz w:val="22"/>
          <w:lang w:val="es-ES"/>
        </w:rPr>
        <w:t xml:space="preserve"> ponderables distintos de la oferta económica</w:t>
      </w:r>
      <w:r w:rsidR="006C1557" w:rsidRPr="00217435">
        <w:rPr>
          <w:rFonts w:ascii="Arial" w:eastAsia="Calibri" w:hAnsi="Arial" w:cs="Arial"/>
          <w:sz w:val="22"/>
          <w:lang w:val="es-ES"/>
        </w:rPr>
        <w:t xml:space="preserve"> –Sobre No. 1–</w:t>
      </w:r>
      <w:r w:rsidRPr="00217435">
        <w:rPr>
          <w:rFonts w:ascii="Arial" w:eastAsia="Calibri" w:hAnsi="Arial" w:cs="Arial"/>
          <w:sz w:val="22"/>
          <w:lang w:val="es-ES"/>
        </w:rPr>
        <w:t xml:space="preserve"> de manera separada a este último documento, como es el caso de los procesos de licitación de obra pública, en </w:t>
      </w:r>
      <w:r w:rsidR="006C1557" w:rsidRPr="00217435">
        <w:rPr>
          <w:rFonts w:ascii="Arial" w:eastAsia="Calibri" w:hAnsi="Arial" w:cs="Arial"/>
          <w:sz w:val="22"/>
          <w:lang w:val="es-ES"/>
        </w:rPr>
        <w:t xml:space="preserve"> los que </w:t>
      </w:r>
      <w:r w:rsidRPr="00217435">
        <w:rPr>
          <w:rFonts w:ascii="Arial" w:eastAsia="Calibri" w:hAnsi="Arial" w:cs="Arial"/>
          <w:sz w:val="22"/>
          <w:lang w:val="es-ES"/>
        </w:rPr>
        <w:t>la oferta económica debe ir contenida en un sobre exclusivo</w:t>
      </w:r>
      <w:r w:rsidR="006C1557" w:rsidRPr="00217435">
        <w:rPr>
          <w:rFonts w:ascii="Arial" w:eastAsia="Calibri" w:hAnsi="Arial" w:cs="Arial"/>
          <w:sz w:val="22"/>
          <w:lang w:val="es-ES"/>
        </w:rPr>
        <w:t xml:space="preserve"> –Sobre No. 2–</w:t>
      </w:r>
      <w:r w:rsidRPr="00217435">
        <w:rPr>
          <w:rFonts w:ascii="Arial" w:eastAsia="Calibri" w:hAnsi="Arial" w:cs="Arial"/>
          <w:sz w:val="22"/>
          <w:lang w:val="es-ES"/>
        </w:rPr>
        <w:t>, de conformidad con lo dispuesto por el parágrafo 2 del artículo 30 de la Ley 80 de 1993, adicionado por la Ley 1882 de 2018</w:t>
      </w:r>
      <w:r w:rsidR="006C1557" w:rsidRPr="00217435">
        <w:rPr>
          <w:rStyle w:val="Refdenotaalpie"/>
          <w:rFonts w:ascii="Arial" w:eastAsia="Calibri" w:hAnsi="Arial" w:cs="Arial"/>
          <w:sz w:val="22"/>
          <w:lang w:val="es-ES"/>
        </w:rPr>
        <w:footnoteReference w:id="30"/>
      </w:r>
      <w:r w:rsidRPr="00217435">
        <w:rPr>
          <w:rFonts w:ascii="Arial" w:eastAsia="Calibri" w:hAnsi="Arial" w:cs="Arial"/>
          <w:sz w:val="22"/>
          <w:lang w:val="es-ES"/>
        </w:rPr>
        <w:t>.</w:t>
      </w:r>
      <w:r w:rsidR="006C1557" w:rsidRPr="00217435">
        <w:rPr>
          <w:rFonts w:ascii="Arial" w:eastAsia="Calibri" w:hAnsi="Arial" w:cs="Arial"/>
          <w:sz w:val="22"/>
          <w:lang w:val="es-ES"/>
        </w:rPr>
        <w:t xml:space="preserve"> La publicación de la información </w:t>
      </w:r>
      <w:r w:rsidR="00D0322C" w:rsidRPr="00217435">
        <w:rPr>
          <w:rFonts w:ascii="Arial" w:eastAsia="Calibri" w:hAnsi="Arial" w:cs="Arial"/>
          <w:sz w:val="22"/>
          <w:lang w:val="es-ES"/>
        </w:rPr>
        <w:t>de cada</w:t>
      </w:r>
      <w:r w:rsidR="006C1557" w:rsidRPr="00217435">
        <w:rPr>
          <w:rFonts w:ascii="Arial" w:eastAsia="Calibri" w:hAnsi="Arial" w:cs="Arial"/>
          <w:sz w:val="22"/>
          <w:lang w:val="es-ES"/>
        </w:rPr>
        <w:t xml:space="preserve"> </w:t>
      </w:r>
      <w:r w:rsidR="00830B56" w:rsidRPr="00217435">
        <w:rPr>
          <w:rFonts w:ascii="Arial" w:eastAsia="Calibri" w:hAnsi="Arial" w:cs="Arial"/>
          <w:sz w:val="22"/>
          <w:lang w:val="es-ES"/>
        </w:rPr>
        <w:t>sobre</w:t>
      </w:r>
      <w:r w:rsidR="006C1557" w:rsidRPr="00217435">
        <w:rPr>
          <w:rFonts w:ascii="Arial" w:eastAsia="Calibri" w:hAnsi="Arial" w:cs="Arial"/>
          <w:sz w:val="22"/>
          <w:lang w:val="es-ES"/>
        </w:rPr>
        <w:t xml:space="preserve"> debe realizarse en los momentos previstos en los respectivos </w:t>
      </w:r>
      <w:r w:rsidR="005E4159" w:rsidRPr="00217435">
        <w:rPr>
          <w:rFonts w:ascii="Arial" w:eastAsia="Calibri" w:hAnsi="Arial" w:cs="Arial"/>
          <w:sz w:val="22"/>
          <w:lang w:val="es-ES"/>
        </w:rPr>
        <w:t xml:space="preserve">pliegos </w:t>
      </w:r>
      <w:r w:rsidR="006C1557" w:rsidRPr="00217435">
        <w:rPr>
          <w:rFonts w:ascii="Arial" w:eastAsia="Calibri" w:hAnsi="Arial" w:cs="Arial"/>
          <w:sz w:val="22"/>
          <w:lang w:val="es-ES"/>
        </w:rPr>
        <w:t>de condiciones y normas que apliquen a cada proceso de selección</w:t>
      </w:r>
      <w:r w:rsidR="009C51AC" w:rsidRPr="00217435">
        <w:rPr>
          <w:rFonts w:ascii="Arial" w:eastAsia="Calibri" w:hAnsi="Arial" w:cs="Arial"/>
          <w:sz w:val="22"/>
          <w:vertAlign w:val="superscript"/>
          <w:lang w:val="es-ES"/>
        </w:rPr>
        <w:footnoteReference w:id="31"/>
      </w:r>
      <w:r w:rsidR="00084E3D" w:rsidRPr="00217435">
        <w:rPr>
          <w:rFonts w:ascii="Arial" w:eastAsia="Calibri" w:hAnsi="Arial" w:cs="Arial"/>
          <w:sz w:val="22"/>
          <w:lang w:val="es-ES"/>
        </w:rPr>
        <w:t>.</w:t>
      </w:r>
    </w:p>
    <w:p w14:paraId="61D98ACD" w14:textId="460B6DC5" w:rsidR="009C51AC" w:rsidRPr="00217435" w:rsidRDefault="009C51AC" w:rsidP="00683B3E">
      <w:pPr>
        <w:spacing w:after="120" w:line="276" w:lineRule="auto"/>
        <w:jc w:val="both"/>
        <w:rPr>
          <w:rFonts w:ascii="Arial" w:eastAsia="Calibri" w:hAnsi="Arial" w:cs="Arial"/>
          <w:sz w:val="22"/>
          <w:lang w:val="es-ES"/>
        </w:rPr>
      </w:pPr>
      <w:r w:rsidRPr="00217435">
        <w:rPr>
          <w:rFonts w:ascii="Arial" w:eastAsia="Calibri" w:hAnsi="Arial" w:cs="Arial"/>
          <w:sz w:val="22"/>
          <w:lang w:val="es-ES"/>
        </w:rPr>
        <w:lastRenderedPageBreak/>
        <w:tab/>
      </w:r>
      <w:r w:rsidR="00A64511" w:rsidRPr="00217435">
        <w:rPr>
          <w:rFonts w:ascii="Arial" w:eastAsia="Calibri" w:hAnsi="Arial" w:cs="Arial"/>
          <w:sz w:val="22"/>
          <w:lang w:val="es-ES"/>
        </w:rPr>
        <w:t>E</w:t>
      </w:r>
      <w:r w:rsidRPr="00217435">
        <w:rPr>
          <w:rFonts w:ascii="Arial" w:eastAsia="Calibri" w:hAnsi="Arial" w:cs="Arial"/>
          <w:sz w:val="22"/>
          <w:lang w:val="es-ES"/>
        </w:rPr>
        <w:t>l uso del botón «Publicar ofertas»</w:t>
      </w:r>
      <w:r w:rsidR="00B339EC" w:rsidRPr="00217435">
        <w:rPr>
          <w:rFonts w:ascii="Arial" w:eastAsia="Calibri" w:hAnsi="Arial" w:cs="Arial"/>
          <w:sz w:val="22"/>
          <w:lang w:val="es-ES"/>
        </w:rPr>
        <w:t>,</w:t>
      </w:r>
      <w:r w:rsidRPr="00217435">
        <w:rPr>
          <w:rFonts w:ascii="Arial" w:eastAsia="Calibri" w:hAnsi="Arial" w:cs="Arial"/>
          <w:sz w:val="22"/>
          <w:lang w:val="es-ES"/>
        </w:rPr>
        <w:t xml:space="preserve"> en </w:t>
      </w:r>
      <w:r w:rsidR="00830B56" w:rsidRPr="00217435">
        <w:rPr>
          <w:rFonts w:ascii="Arial" w:eastAsia="Calibri" w:hAnsi="Arial" w:cs="Arial"/>
          <w:sz w:val="22"/>
          <w:lang w:val="es-ES"/>
        </w:rPr>
        <w:t>relación con</w:t>
      </w:r>
      <w:r w:rsidRPr="00217435">
        <w:rPr>
          <w:rFonts w:ascii="Arial" w:eastAsia="Calibri" w:hAnsi="Arial" w:cs="Arial"/>
          <w:sz w:val="22"/>
          <w:lang w:val="es-ES"/>
        </w:rPr>
        <w:t xml:space="preserve"> el Sobre No. 2, realiza un control </w:t>
      </w:r>
      <w:r w:rsidR="00830B56" w:rsidRPr="00217435">
        <w:rPr>
          <w:rFonts w:ascii="Arial" w:eastAsia="Calibri" w:hAnsi="Arial" w:cs="Arial"/>
          <w:sz w:val="22"/>
          <w:lang w:val="es-ES"/>
        </w:rPr>
        <w:t>automático</w:t>
      </w:r>
      <w:r w:rsidRPr="00217435">
        <w:rPr>
          <w:rFonts w:ascii="Arial" w:eastAsia="Calibri" w:hAnsi="Arial" w:cs="Arial"/>
          <w:sz w:val="22"/>
          <w:lang w:val="es-ES"/>
        </w:rPr>
        <w:t xml:space="preserve"> de las ofertas que serán objeto de publicación, excluyendo de la publicación a las ofertas de los oferentes que no resultaron habilitados.  </w:t>
      </w:r>
    </w:p>
    <w:p w14:paraId="7942C1A7" w14:textId="046B08EC" w:rsidR="006E1CF3" w:rsidRPr="00217435" w:rsidRDefault="006C1557" w:rsidP="0039284C">
      <w:pPr>
        <w:spacing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En todo caso,</w:t>
      </w:r>
      <w:r w:rsidR="00077134" w:rsidRPr="00217435">
        <w:rPr>
          <w:rFonts w:ascii="Arial" w:eastAsia="Calibri" w:hAnsi="Arial" w:cs="Arial"/>
          <w:sz w:val="22"/>
          <w:lang w:val="es-ES"/>
        </w:rPr>
        <w:t xml:space="preserve"> independiente del momento en que se </w:t>
      </w:r>
      <w:r w:rsidR="00B339EC" w:rsidRPr="00217435">
        <w:rPr>
          <w:rFonts w:ascii="Arial" w:eastAsia="Calibri" w:hAnsi="Arial" w:cs="Arial"/>
          <w:sz w:val="22"/>
          <w:lang w:val="es-ES"/>
        </w:rPr>
        <w:t xml:space="preserve">haga </w:t>
      </w:r>
      <w:r w:rsidR="00077134" w:rsidRPr="00217435">
        <w:rPr>
          <w:rFonts w:ascii="Arial" w:eastAsia="Calibri" w:hAnsi="Arial" w:cs="Arial"/>
          <w:sz w:val="22"/>
          <w:lang w:val="es-ES"/>
        </w:rPr>
        <w:t>la publicación,</w:t>
      </w:r>
      <w:r w:rsidRPr="00217435">
        <w:rPr>
          <w:rFonts w:ascii="Arial" w:eastAsia="Calibri" w:hAnsi="Arial" w:cs="Arial"/>
          <w:sz w:val="22"/>
          <w:lang w:val="es-ES"/>
        </w:rPr>
        <w:t xml:space="preserve"> la opción de «Publicar Ofertas» </w:t>
      </w:r>
      <w:r w:rsidR="00B339EC" w:rsidRPr="00217435">
        <w:rPr>
          <w:rFonts w:ascii="Arial" w:eastAsia="Calibri" w:hAnsi="Arial" w:cs="Arial"/>
          <w:sz w:val="22"/>
          <w:lang w:val="es-ES"/>
        </w:rPr>
        <w:t>permite</w:t>
      </w:r>
      <w:r w:rsidR="00077134" w:rsidRPr="00217435">
        <w:rPr>
          <w:rFonts w:ascii="Arial" w:eastAsia="Calibri" w:hAnsi="Arial" w:cs="Arial"/>
          <w:sz w:val="22"/>
          <w:lang w:val="es-ES"/>
        </w:rPr>
        <w:t xml:space="preserve"> que</w:t>
      </w:r>
      <w:r w:rsidRPr="00217435">
        <w:rPr>
          <w:rFonts w:ascii="Arial" w:eastAsia="Calibri" w:hAnsi="Arial" w:cs="Arial"/>
          <w:sz w:val="22"/>
          <w:lang w:val="es-ES"/>
        </w:rPr>
        <w:t xml:space="preserve"> todas las ofertas</w:t>
      </w:r>
      <w:r w:rsidR="009C51AC" w:rsidRPr="00217435">
        <w:rPr>
          <w:rFonts w:ascii="Arial" w:eastAsia="Calibri" w:hAnsi="Arial" w:cs="Arial"/>
          <w:sz w:val="22"/>
          <w:lang w:val="es-ES"/>
        </w:rPr>
        <w:t xml:space="preserve"> de los </w:t>
      </w:r>
      <w:r w:rsidR="00830B56" w:rsidRPr="00217435">
        <w:rPr>
          <w:rFonts w:ascii="Arial" w:eastAsia="Calibri" w:hAnsi="Arial" w:cs="Arial"/>
          <w:sz w:val="22"/>
          <w:lang w:val="es-ES"/>
        </w:rPr>
        <w:t>proponentes</w:t>
      </w:r>
      <w:r w:rsidR="009C51AC" w:rsidRPr="00217435">
        <w:rPr>
          <w:rFonts w:ascii="Arial" w:eastAsia="Calibri" w:hAnsi="Arial" w:cs="Arial"/>
          <w:sz w:val="22"/>
          <w:lang w:val="es-ES"/>
        </w:rPr>
        <w:t xml:space="preserve"> habilitados sean publicadas, sin la posibilidad de excluir alguno distinto de los que no se habilitaron.</w:t>
      </w:r>
      <w:r w:rsidR="00077134" w:rsidRPr="00217435">
        <w:rPr>
          <w:rFonts w:ascii="Arial" w:eastAsia="Calibri" w:hAnsi="Arial" w:cs="Arial"/>
          <w:sz w:val="22"/>
          <w:lang w:val="es-ES"/>
        </w:rPr>
        <w:t xml:space="preserve"> Esto plantea una importante diferencia respecto de los procesos publicados en el SECOP I, toda vez que la regulación del deber de </w:t>
      </w:r>
      <w:r w:rsidR="00830B56" w:rsidRPr="00217435">
        <w:rPr>
          <w:rFonts w:ascii="Arial" w:eastAsia="Calibri" w:hAnsi="Arial" w:cs="Arial"/>
          <w:sz w:val="22"/>
          <w:lang w:val="es-ES"/>
        </w:rPr>
        <w:t>publicidad</w:t>
      </w:r>
      <w:r w:rsidR="00077134" w:rsidRPr="00217435">
        <w:rPr>
          <w:rFonts w:ascii="Arial" w:eastAsia="Calibri" w:hAnsi="Arial" w:cs="Arial"/>
          <w:sz w:val="22"/>
          <w:lang w:val="es-ES"/>
        </w:rPr>
        <w:t xml:space="preserve"> que hace el artículo 2.2.1.1.1.7.1 del Decreto 1082 de 2015, establece que solo debe publicarse la oferta del adjudicatario, lo cual supone que dicha regla tampoco es aplicable a los procesos adelantados en SECOP II, en los que </w:t>
      </w:r>
      <w:r w:rsidR="00683B3E" w:rsidRPr="00217435">
        <w:rPr>
          <w:rFonts w:ascii="Arial" w:eastAsia="Calibri" w:hAnsi="Arial" w:cs="Arial"/>
          <w:sz w:val="22"/>
          <w:lang w:val="es-ES"/>
        </w:rPr>
        <w:t>se</w:t>
      </w:r>
      <w:r w:rsidR="00077134" w:rsidRPr="00217435">
        <w:rPr>
          <w:rFonts w:ascii="Arial" w:eastAsia="Calibri" w:hAnsi="Arial" w:cs="Arial"/>
          <w:sz w:val="22"/>
          <w:lang w:val="es-ES"/>
        </w:rPr>
        <w:t xml:space="preserve"> publica</w:t>
      </w:r>
      <w:r w:rsidR="00683B3E" w:rsidRPr="00217435">
        <w:rPr>
          <w:rFonts w:ascii="Arial" w:eastAsia="Calibri" w:hAnsi="Arial" w:cs="Arial"/>
          <w:sz w:val="22"/>
          <w:lang w:val="es-ES"/>
        </w:rPr>
        <w:t>n</w:t>
      </w:r>
      <w:r w:rsidR="009C51AC" w:rsidRPr="00217435">
        <w:rPr>
          <w:rFonts w:ascii="Arial" w:eastAsia="Calibri" w:hAnsi="Arial" w:cs="Arial"/>
          <w:sz w:val="22"/>
          <w:lang w:val="es-ES"/>
        </w:rPr>
        <w:t xml:space="preserve"> las ofertas de todos los proponentes habilitados</w:t>
      </w:r>
      <w:r w:rsidR="00084E3D" w:rsidRPr="00217435">
        <w:rPr>
          <w:rFonts w:ascii="Arial" w:eastAsia="Calibri" w:hAnsi="Arial" w:cs="Arial"/>
          <w:sz w:val="22"/>
          <w:lang w:val="es-ES"/>
        </w:rPr>
        <w:t>, lo cual supone una aplicación más acentuada del principio de publicidad que la regulada por la referida norma, permitiendo establecer un mayor estándar de transparencia a los procesos de selección que se adelanten a través de esta herramienta.</w:t>
      </w:r>
      <w:r w:rsidR="00077134" w:rsidRPr="00217435">
        <w:rPr>
          <w:rFonts w:ascii="Arial" w:eastAsia="Calibri" w:hAnsi="Arial" w:cs="Arial"/>
          <w:sz w:val="22"/>
          <w:lang w:val="es-ES"/>
        </w:rPr>
        <w:t xml:space="preserve"> </w:t>
      </w:r>
    </w:p>
    <w:p w14:paraId="684B85FA" w14:textId="1941EEA6" w:rsidR="00A64511" w:rsidRPr="00217435" w:rsidRDefault="00A64511" w:rsidP="006E1CF3">
      <w:pPr>
        <w:spacing w:line="276" w:lineRule="auto"/>
        <w:ind w:firstLine="708"/>
        <w:jc w:val="both"/>
        <w:rPr>
          <w:rFonts w:ascii="Arial" w:hAnsi="Arial" w:cs="Arial"/>
          <w:sz w:val="22"/>
          <w:lang w:val="es-ES"/>
        </w:rPr>
      </w:pPr>
      <w:r w:rsidRPr="00217435">
        <w:rPr>
          <w:rFonts w:ascii="Arial" w:eastAsia="Calibri" w:hAnsi="Arial" w:cs="Arial"/>
          <w:sz w:val="22"/>
          <w:lang w:val="es-ES"/>
        </w:rPr>
        <w:t>Vale la pena aclarar que el  cumplimiento del deber de publicación de las ofertas debe armonizarse con las normas aplicables al tipo de información que estas contienen, lo que significa que respecto de datos sensibles, información sometida a reserva o de la cual proceda un tratamiento especial que impida su publicidad, las entidades deberán proceder de conformidad con el tratamiento que impongan tales normas, absteniéndose, de ser el caso, de publicar las ofertas</w:t>
      </w:r>
      <w:r w:rsidR="00B339EC" w:rsidRPr="00217435">
        <w:rPr>
          <w:rFonts w:ascii="Arial" w:eastAsia="Calibri" w:hAnsi="Arial" w:cs="Arial"/>
          <w:sz w:val="22"/>
          <w:lang w:val="es-ES"/>
        </w:rPr>
        <w:t xml:space="preserve">, o las partes pertinentes </w:t>
      </w:r>
      <w:r w:rsidRPr="00217435">
        <w:rPr>
          <w:rFonts w:ascii="Arial" w:eastAsia="Calibri" w:hAnsi="Arial" w:cs="Arial"/>
          <w:sz w:val="22"/>
          <w:lang w:val="es-ES"/>
        </w:rPr>
        <w:t xml:space="preserve"> en las que se evidencie este tipo de información.  Para dichos </w:t>
      </w:r>
      <w:proofErr w:type="gramStart"/>
      <w:r w:rsidRPr="00217435">
        <w:rPr>
          <w:rFonts w:ascii="Arial" w:eastAsia="Calibri" w:hAnsi="Arial" w:cs="Arial"/>
          <w:sz w:val="22"/>
          <w:lang w:val="es-ES"/>
        </w:rPr>
        <w:t xml:space="preserve">eventos, </w:t>
      </w:r>
      <w:r w:rsidR="00B2664A" w:rsidRPr="00217435">
        <w:rPr>
          <w:rFonts w:ascii="Arial" w:eastAsia="Calibri" w:hAnsi="Arial" w:cs="Arial"/>
          <w:sz w:val="22"/>
          <w:lang w:val="es-ES"/>
        </w:rPr>
        <w:t xml:space="preserve"> la</w:t>
      </w:r>
      <w:proofErr w:type="gramEnd"/>
      <w:r w:rsidR="00B2664A" w:rsidRPr="00217435">
        <w:rPr>
          <w:rFonts w:ascii="Arial" w:eastAsia="Calibri" w:hAnsi="Arial" w:cs="Arial"/>
          <w:sz w:val="22"/>
          <w:lang w:val="es-ES"/>
        </w:rPr>
        <w:t xml:space="preserve"> plataforma SECOP II, </w:t>
      </w:r>
      <w:r w:rsidRPr="00217435">
        <w:rPr>
          <w:rFonts w:ascii="Arial" w:hAnsi="Arial" w:cs="Arial"/>
          <w:sz w:val="22"/>
          <w:lang w:val="es-ES"/>
        </w:rPr>
        <w:t xml:space="preserve">antes de publicar las ofertas, </w:t>
      </w:r>
      <w:r w:rsidR="00B2664A" w:rsidRPr="00217435">
        <w:rPr>
          <w:rFonts w:ascii="Arial" w:hAnsi="Arial" w:cs="Arial"/>
          <w:sz w:val="22"/>
          <w:lang w:val="es-ES"/>
        </w:rPr>
        <w:t xml:space="preserve">brinda a </w:t>
      </w:r>
      <w:r w:rsidRPr="00217435">
        <w:rPr>
          <w:rFonts w:ascii="Arial" w:hAnsi="Arial" w:cs="Arial"/>
          <w:sz w:val="22"/>
          <w:lang w:val="es-ES"/>
        </w:rPr>
        <w:t xml:space="preserve">las entidades </w:t>
      </w:r>
      <w:r w:rsidR="00B2664A" w:rsidRPr="00217435">
        <w:rPr>
          <w:rFonts w:ascii="Arial" w:hAnsi="Arial" w:cs="Arial"/>
          <w:sz w:val="22"/>
          <w:lang w:val="es-ES"/>
        </w:rPr>
        <w:t xml:space="preserve">la opción de </w:t>
      </w:r>
      <w:r w:rsidR="00FA4849" w:rsidRPr="00217435">
        <w:rPr>
          <w:rFonts w:ascii="Arial" w:hAnsi="Arial" w:cs="Arial"/>
          <w:sz w:val="22"/>
          <w:lang w:val="es-ES"/>
        </w:rPr>
        <w:t>calificar</w:t>
      </w:r>
      <w:r w:rsidR="00B2664A" w:rsidRPr="00217435">
        <w:rPr>
          <w:rFonts w:ascii="Arial" w:hAnsi="Arial" w:cs="Arial"/>
          <w:sz w:val="22"/>
          <w:lang w:val="es-ES"/>
        </w:rPr>
        <w:t xml:space="preserve"> dicha información</w:t>
      </w:r>
      <w:r w:rsidRPr="00217435">
        <w:rPr>
          <w:rFonts w:ascii="Arial" w:hAnsi="Arial" w:cs="Arial"/>
          <w:sz w:val="22"/>
          <w:lang w:val="es-ES"/>
        </w:rPr>
        <w:t xml:space="preserve"> como confidencial</w:t>
      </w:r>
      <w:r w:rsidR="004B79D3" w:rsidRPr="00217435">
        <w:rPr>
          <w:rFonts w:ascii="Arial" w:hAnsi="Arial" w:cs="Arial"/>
          <w:sz w:val="22"/>
          <w:lang w:val="es-ES"/>
        </w:rPr>
        <w:t>, l</w:t>
      </w:r>
      <w:r w:rsidR="00FA4849" w:rsidRPr="00217435">
        <w:rPr>
          <w:rFonts w:ascii="Arial" w:hAnsi="Arial" w:cs="Arial"/>
          <w:sz w:val="22"/>
          <w:lang w:val="es-ES"/>
        </w:rPr>
        <w:t>o</w:t>
      </w:r>
      <w:r w:rsidR="004B79D3" w:rsidRPr="00217435">
        <w:rPr>
          <w:rFonts w:ascii="Arial" w:hAnsi="Arial" w:cs="Arial"/>
          <w:sz w:val="22"/>
          <w:lang w:val="es-ES"/>
        </w:rPr>
        <w:t xml:space="preserve"> cual impide que los documentos </w:t>
      </w:r>
      <w:r w:rsidR="00FA4849" w:rsidRPr="00217435">
        <w:rPr>
          <w:rFonts w:ascii="Arial" w:hAnsi="Arial" w:cs="Arial"/>
          <w:sz w:val="22"/>
          <w:lang w:val="es-ES"/>
        </w:rPr>
        <w:t>se publiquen.</w:t>
      </w:r>
    </w:p>
    <w:p w14:paraId="3F95EFA2" w14:textId="5849C720" w:rsidR="006C1557" w:rsidRPr="00217435" w:rsidRDefault="006C1557" w:rsidP="006E1CF3">
      <w:pPr>
        <w:spacing w:line="276" w:lineRule="auto"/>
        <w:ind w:firstLine="708"/>
        <w:jc w:val="both"/>
        <w:rPr>
          <w:rFonts w:ascii="Arial" w:eastAsia="Calibri" w:hAnsi="Arial" w:cs="Arial"/>
          <w:sz w:val="22"/>
          <w:lang w:val="es-ES"/>
        </w:rPr>
      </w:pPr>
    </w:p>
    <w:p w14:paraId="656AD04D" w14:textId="77777777" w:rsidR="00B770B4" w:rsidRPr="00217435" w:rsidRDefault="00B770B4" w:rsidP="00FA4849">
      <w:pPr>
        <w:spacing w:line="276" w:lineRule="auto"/>
        <w:jc w:val="both"/>
        <w:rPr>
          <w:rFonts w:ascii="Arial" w:eastAsia="Calibri" w:hAnsi="Arial" w:cs="Arial"/>
          <w:b/>
          <w:bCs/>
          <w:sz w:val="22"/>
          <w:lang w:val="es-ES"/>
        </w:rPr>
      </w:pPr>
      <w:proofErr w:type="spellStart"/>
      <w:r w:rsidRPr="00217435">
        <w:rPr>
          <w:rFonts w:ascii="Arial" w:eastAsia="Calibri" w:hAnsi="Arial" w:cs="Arial"/>
          <w:b/>
          <w:bCs/>
          <w:sz w:val="22"/>
          <w:lang w:val="es-ES"/>
        </w:rPr>
        <w:t>iv</w:t>
      </w:r>
      <w:proofErr w:type="spellEnd"/>
      <w:r w:rsidRPr="00217435">
        <w:rPr>
          <w:rFonts w:ascii="Arial" w:eastAsia="Calibri" w:hAnsi="Arial" w:cs="Arial"/>
          <w:b/>
          <w:bCs/>
          <w:sz w:val="22"/>
          <w:lang w:val="es-ES"/>
        </w:rPr>
        <w:t>) Contrato electrónico</w:t>
      </w:r>
    </w:p>
    <w:p w14:paraId="4DC600A0" w14:textId="51B2F6E2" w:rsidR="00B770B4" w:rsidRPr="00217435" w:rsidRDefault="00B770B4" w:rsidP="00B770B4">
      <w:pPr>
        <w:spacing w:line="276" w:lineRule="auto"/>
        <w:ind w:firstLine="708"/>
        <w:jc w:val="both"/>
        <w:rPr>
          <w:rFonts w:ascii="Arial" w:eastAsia="Calibri" w:hAnsi="Arial" w:cs="Arial"/>
          <w:sz w:val="22"/>
          <w:lang w:val="es-ES"/>
        </w:rPr>
      </w:pPr>
    </w:p>
    <w:p w14:paraId="4012CE1F" w14:textId="4169552A" w:rsidR="00B770B4" w:rsidRPr="00217435" w:rsidRDefault="00B770B4" w:rsidP="00FA4849">
      <w:pPr>
        <w:spacing w:after="120" w:line="276" w:lineRule="auto"/>
        <w:jc w:val="both"/>
        <w:rPr>
          <w:rFonts w:ascii="Arial" w:eastAsia="Calibri" w:hAnsi="Arial" w:cs="Arial"/>
          <w:sz w:val="22"/>
          <w:lang w:val="es-ES"/>
        </w:rPr>
      </w:pPr>
      <w:r w:rsidRPr="00217435">
        <w:rPr>
          <w:rFonts w:ascii="Arial" w:eastAsia="Calibri" w:hAnsi="Arial" w:cs="Arial"/>
          <w:sz w:val="22"/>
          <w:lang w:val="es-ES"/>
        </w:rPr>
        <w:t xml:space="preserve">Después de que se adjudica el procedimiento en la plataforma y se carga el informe de selección, se da </w:t>
      </w:r>
      <w:r w:rsidR="00FA4849" w:rsidRPr="00217435">
        <w:rPr>
          <w:rFonts w:ascii="Arial" w:eastAsia="Calibri" w:hAnsi="Arial" w:cs="Arial"/>
          <w:sz w:val="22"/>
          <w:lang w:val="es-ES"/>
        </w:rPr>
        <w:t>«</w:t>
      </w:r>
      <w:r w:rsidRPr="00217435">
        <w:rPr>
          <w:rFonts w:ascii="Arial" w:eastAsia="Calibri" w:hAnsi="Arial" w:cs="Arial"/>
          <w:sz w:val="22"/>
          <w:lang w:val="es-ES"/>
        </w:rPr>
        <w:t>clic</w:t>
      </w:r>
      <w:r w:rsidR="00FA4849" w:rsidRPr="00217435">
        <w:rPr>
          <w:rFonts w:ascii="Arial" w:eastAsia="Calibri" w:hAnsi="Arial" w:cs="Arial"/>
          <w:sz w:val="22"/>
          <w:lang w:val="es-ES"/>
        </w:rPr>
        <w:t>»</w:t>
      </w:r>
      <w:r w:rsidRPr="00217435">
        <w:rPr>
          <w:rFonts w:ascii="Arial" w:eastAsia="Calibri" w:hAnsi="Arial" w:cs="Arial"/>
          <w:sz w:val="22"/>
          <w:lang w:val="es-ES"/>
        </w:rPr>
        <w:t xml:space="preserve"> en «publicar» para que el SECOP II automáticamente cambie el estado del procedimiento a «adjudicado», con lo cual se genera el contrato electrónico en estado «en edición». La entidad debe buscar en la sección «contratos», el contrato electrónico para su configuración, dando </w:t>
      </w:r>
      <w:r w:rsidR="00FA4849" w:rsidRPr="00217435">
        <w:rPr>
          <w:rFonts w:ascii="Arial" w:eastAsia="Calibri" w:hAnsi="Arial" w:cs="Arial"/>
          <w:sz w:val="22"/>
          <w:lang w:val="es-ES"/>
        </w:rPr>
        <w:t>«</w:t>
      </w:r>
      <w:r w:rsidRPr="00217435">
        <w:rPr>
          <w:rFonts w:ascii="Arial" w:eastAsia="Calibri" w:hAnsi="Arial" w:cs="Arial"/>
          <w:sz w:val="22"/>
          <w:lang w:val="es-ES"/>
        </w:rPr>
        <w:t>clic</w:t>
      </w:r>
      <w:r w:rsidR="00FA4849" w:rsidRPr="00217435">
        <w:rPr>
          <w:rFonts w:ascii="Arial" w:eastAsia="Calibri" w:hAnsi="Arial" w:cs="Arial"/>
          <w:sz w:val="22"/>
          <w:lang w:val="es-ES"/>
        </w:rPr>
        <w:t>»</w:t>
      </w:r>
      <w:r w:rsidRPr="00217435">
        <w:rPr>
          <w:rFonts w:ascii="Arial" w:eastAsia="Calibri" w:hAnsi="Arial" w:cs="Arial"/>
          <w:sz w:val="22"/>
          <w:lang w:val="es-ES"/>
        </w:rPr>
        <w:t xml:space="preserve"> en «editar», con lo cual se visualizan nueve secciones: i) información general, </w:t>
      </w:r>
      <w:proofErr w:type="spellStart"/>
      <w:r w:rsidRPr="00217435">
        <w:rPr>
          <w:rFonts w:ascii="Arial" w:eastAsia="Calibri" w:hAnsi="Arial" w:cs="Arial"/>
          <w:sz w:val="22"/>
          <w:lang w:val="es-ES"/>
        </w:rPr>
        <w:t>ii</w:t>
      </w:r>
      <w:proofErr w:type="spellEnd"/>
      <w:r w:rsidRPr="00217435">
        <w:rPr>
          <w:rFonts w:ascii="Arial" w:eastAsia="Calibri" w:hAnsi="Arial" w:cs="Arial"/>
          <w:sz w:val="22"/>
          <w:lang w:val="es-ES"/>
        </w:rPr>
        <w:t xml:space="preserve">) condiciones, </w:t>
      </w:r>
      <w:proofErr w:type="spellStart"/>
      <w:r w:rsidRPr="00217435">
        <w:rPr>
          <w:rFonts w:ascii="Arial" w:eastAsia="Calibri" w:hAnsi="Arial" w:cs="Arial"/>
          <w:sz w:val="22"/>
          <w:lang w:val="es-ES"/>
        </w:rPr>
        <w:t>iii</w:t>
      </w:r>
      <w:proofErr w:type="spellEnd"/>
      <w:r w:rsidRPr="00217435">
        <w:rPr>
          <w:rFonts w:ascii="Arial" w:eastAsia="Calibri" w:hAnsi="Arial" w:cs="Arial"/>
          <w:sz w:val="22"/>
          <w:lang w:val="es-ES"/>
        </w:rPr>
        <w:t xml:space="preserve">) bienes y servicios, </w:t>
      </w:r>
      <w:proofErr w:type="spellStart"/>
      <w:r w:rsidRPr="00217435">
        <w:rPr>
          <w:rFonts w:ascii="Arial" w:eastAsia="Calibri" w:hAnsi="Arial" w:cs="Arial"/>
          <w:sz w:val="22"/>
          <w:lang w:val="es-ES"/>
        </w:rPr>
        <w:t>iv</w:t>
      </w:r>
      <w:proofErr w:type="spellEnd"/>
      <w:r w:rsidRPr="00217435">
        <w:rPr>
          <w:rFonts w:ascii="Arial" w:eastAsia="Calibri" w:hAnsi="Arial" w:cs="Arial"/>
          <w:sz w:val="22"/>
          <w:lang w:val="es-ES"/>
        </w:rPr>
        <w:t xml:space="preserve">) documentos del proveedor, v) documentos del contrato, vi) información presupuestal, </w:t>
      </w:r>
      <w:proofErr w:type="spellStart"/>
      <w:r w:rsidRPr="00217435">
        <w:rPr>
          <w:rFonts w:ascii="Arial" w:eastAsia="Calibri" w:hAnsi="Arial" w:cs="Arial"/>
          <w:sz w:val="22"/>
          <w:lang w:val="es-ES"/>
        </w:rPr>
        <w:t>vii</w:t>
      </w:r>
      <w:proofErr w:type="spellEnd"/>
      <w:r w:rsidRPr="00217435">
        <w:rPr>
          <w:rFonts w:ascii="Arial" w:eastAsia="Calibri" w:hAnsi="Arial" w:cs="Arial"/>
          <w:sz w:val="22"/>
          <w:lang w:val="es-ES"/>
        </w:rPr>
        <w:t xml:space="preserve">) ejecución del contrato, </w:t>
      </w:r>
      <w:proofErr w:type="spellStart"/>
      <w:r w:rsidRPr="00217435">
        <w:rPr>
          <w:rFonts w:ascii="Arial" w:eastAsia="Calibri" w:hAnsi="Arial" w:cs="Arial"/>
          <w:sz w:val="22"/>
          <w:lang w:val="es-ES"/>
        </w:rPr>
        <w:t>viii</w:t>
      </w:r>
      <w:proofErr w:type="spellEnd"/>
      <w:r w:rsidRPr="00217435">
        <w:rPr>
          <w:rFonts w:ascii="Arial" w:eastAsia="Calibri" w:hAnsi="Arial" w:cs="Arial"/>
          <w:sz w:val="22"/>
          <w:lang w:val="es-ES"/>
        </w:rPr>
        <w:t xml:space="preserve">) modificaciones del contrato y </w:t>
      </w:r>
      <w:proofErr w:type="spellStart"/>
      <w:r w:rsidRPr="00217435">
        <w:rPr>
          <w:rFonts w:ascii="Arial" w:eastAsia="Calibri" w:hAnsi="Arial" w:cs="Arial"/>
          <w:sz w:val="22"/>
          <w:lang w:val="es-ES"/>
        </w:rPr>
        <w:t>ix</w:t>
      </w:r>
      <w:proofErr w:type="spellEnd"/>
      <w:r w:rsidRPr="00217435">
        <w:rPr>
          <w:rFonts w:ascii="Arial" w:eastAsia="Calibri" w:hAnsi="Arial" w:cs="Arial"/>
          <w:sz w:val="22"/>
          <w:lang w:val="es-ES"/>
        </w:rPr>
        <w:t xml:space="preserve">) incumplimientos. </w:t>
      </w:r>
    </w:p>
    <w:p w14:paraId="69447ABE" w14:textId="201FC3B1" w:rsidR="00B770B4" w:rsidRPr="00217435" w:rsidRDefault="00B770B4" w:rsidP="00B770B4">
      <w:pPr>
        <w:spacing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La Guía para hacer la gestión contractual en el SECOP II de Colombia Compra Eficiente señala el contenido de cada sección del contrato electrónico y cómo debe ser </w:t>
      </w:r>
      <w:r w:rsidRPr="00217435">
        <w:rPr>
          <w:rFonts w:ascii="Arial" w:eastAsia="Calibri" w:hAnsi="Arial" w:cs="Arial"/>
          <w:sz w:val="22"/>
          <w:lang w:val="es-ES"/>
        </w:rPr>
        <w:lastRenderedPageBreak/>
        <w:t>diligenciado. Se enfatiza que en la sección «v) documentos del contrato» es donde la entidad debe cargar los documentos soporte del contrato y el clausulado. Sin embargo, al existir un contrato electrónico dentro de la plataforma este es válido y no es necesario cargar un documento escrito, ya que esta actuación no quedaría registrada como contrato por no utilizar el procedimiento dispuesto, y por tanto en la plataforma el procedimiento tendría el estado «adjudicado» y no «firmado», ya que, se itera, en el SECOP II las actuaciones deben ser electrónicas y no escritas mediante el cargue de documentos, lo cual es propio del SECOP I. Para más información sobre el uso de SECOP II, le recomendamos que consulte nuestra página web http://www.colombiacompra.gov.co/secop/que-es-el-secop-ii</w:t>
      </w:r>
    </w:p>
    <w:p w14:paraId="24840F9D" w14:textId="77777777" w:rsidR="004B3798" w:rsidRPr="00217435" w:rsidRDefault="004B3798" w:rsidP="006E1CF3">
      <w:pPr>
        <w:spacing w:line="276" w:lineRule="auto"/>
        <w:ind w:firstLine="708"/>
        <w:jc w:val="both"/>
        <w:rPr>
          <w:rFonts w:ascii="Arial" w:eastAsia="Calibri" w:hAnsi="Arial" w:cs="Arial"/>
          <w:sz w:val="22"/>
          <w:lang w:val="es-ES"/>
        </w:rPr>
      </w:pPr>
    </w:p>
    <w:p w14:paraId="110C2BD1" w14:textId="66745689" w:rsidR="006E1CF3" w:rsidRPr="00217435" w:rsidRDefault="00B770B4" w:rsidP="006E1CF3">
      <w:pPr>
        <w:spacing w:line="276" w:lineRule="auto"/>
        <w:jc w:val="both"/>
        <w:rPr>
          <w:rFonts w:ascii="Arial" w:eastAsia="Calibri" w:hAnsi="Arial" w:cs="Arial"/>
          <w:b/>
          <w:bCs/>
          <w:sz w:val="22"/>
          <w:lang w:val="es-ES"/>
        </w:rPr>
      </w:pPr>
      <w:r w:rsidRPr="00217435">
        <w:rPr>
          <w:rFonts w:ascii="Arial" w:eastAsia="Calibri" w:hAnsi="Arial" w:cs="Arial"/>
          <w:b/>
          <w:bCs/>
          <w:sz w:val="22"/>
          <w:lang w:val="es-ES"/>
        </w:rPr>
        <w:t>v</w:t>
      </w:r>
      <w:r w:rsidR="006E1CF3" w:rsidRPr="00217435">
        <w:rPr>
          <w:rFonts w:ascii="Arial" w:eastAsia="Calibri" w:hAnsi="Arial" w:cs="Arial"/>
          <w:b/>
          <w:bCs/>
          <w:sz w:val="22"/>
          <w:lang w:val="es-ES"/>
        </w:rPr>
        <w:t>) Aprobación de las garantías</w:t>
      </w:r>
    </w:p>
    <w:p w14:paraId="1AF9A60D" w14:textId="4C6E6125" w:rsidR="006E1CF3" w:rsidRPr="00217435" w:rsidRDefault="006E1CF3" w:rsidP="006E1CF3">
      <w:pPr>
        <w:spacing w:line="276" w:lineRule="auto"/>
        <w:jc w:val="both"/>
        <w:rPr>
          <w:rFonts w:ascii="Arial" w:eastAsia="Calibri" w:hAnsi="Arial" w:cs="Arial"/>
          <w:sz w:val="22"/>
          <w:lang w:val="es-ES"/>
        </w:rPr>
      </w:pPr>
    </w:p>
    <w:p w14:paraId="7664123E" w14:textId="7DA31D10" w:rsidR="006E1CF3" w:rsidRPr="00217435" w:rsidRDefault="006E1CF3" w:rsidP="006E1CF3">
      <w:pPr>
        <w:spacing w:line="276" w:lineRule="auto"/>
        <w:jc w:val="both"/>
        <w:rPr>
          <w:rFonts w:ascii="Arial" w:eastAsia="Calibri" w:hAnsi="Arial" w:cs="Arial"/>
          <w:sz w:val="22"/>
          <w:lang w:val="es-ES"/>
        </w:rPr>
      </w:pPr>
      <w:r w:rsidRPr="00217435">
        <w:rPr>
          <w:rFonts w:ascii="Arial" w:eastAsia="Calibri" w:hAnsi="Arial" w:cs="Arial"/>
          <w:sz w:val="22"/>
          <w:lang w:val="es-ES"/>
        </w:rPr>
        <w:t>De acuerdo con la Guía para la gestión contractual en el SECOP II</w:t>
      </w:r>
      <w:r w:rsidR="00FA4849" w:rsidRPr="00217435">
        <w:rPr>
          <w:rFonts w:ascii="Arial" w:eastAsia="Calibri" w:hAnsi="Arial" w:cs="Arial"/>
          <w:sz w:val="22"/>
          <w:lang w:val="es-ES"/>
        </w:rPr>
        <w:t>,</w:t>
      </w:r>
      <w:r w:rsidRPr="00217435">
        <w:rPr>
          <w:rFonts w:ascii="Arial" w:eastAsia="Calibri" w:hAnsi="Arial" w:cs="Arial"/>
          <w:sz w:val="22"/>
          <w:lang w:val="es-ES"/>
        </w:rPr>
        <w:t xml:space="preserve"> que expidió la Agencia</w:t>
      </w:r>
      <w:r w:rsidRPr="00217435">
        <w:rPr>
          <w:rStyle w:val="Refdenotaalpie"/>
          <w:rFonts w:ascii="Arial" w:eastAsia="Calibri" w:hAnsi="Arial" w:cs="Arial"/>
          <w:sz w:val="22"/>
          <w:lang w:val="es-ES"/>
        </w:rPr>
        <w:footnoteReference w:id="32"/>
      </w:r>
      <w:r w:rsidRPr="00217435">
        <w:rPr>
          <w:rFonts w:ascii="Arial" w:eastAsia="Calibri" w:hAnsi="Arial" w:cs="Arial"/>
          <w:sz w:val="22"/>
          <w:lang w:val="es-ES"/>
        </w:rPr>
        <w:t>, después de aprobar y publicar el contrato el proveedor debe enviar el enlace del expediente del procedimiento contractual a la aseguradora, gestionar las garantías y enviarlas a través de la plataforma. El usuario encargado en la entidad puede aprobar o rechazar las garantías y publicarlas, ingresando a la opción «Contratos» y en el detalle se encuentra la sección de «Condiciones», y luego la de «Garantías del proveedor».</w:t>
      </w:r>
    </w:p>
    <w:p w14:paraId="6BA764F7" w14:textId="29C698F9" w:rsidR="0070782A" w:rsidRPr="00217435" w:rsidRDefault="006E1CF3" w:rsidP="006E1CF3">
      <w:pPr>
        <w:spacing w:before="120" w:line="276" w:lineRule="auto"/>
        <w:ind w:firstLine="709"/>
        <w:jc w:val="both"/>
        <w:rPr>
          <w:rFonts w:ascii="Arial" w:eastAsia="Calibri" w:hAnsi="Arial" w:cs="Arial"/>
          <w:sz w:val="22"/>
          <w:lang w:val="es-ES"/>
        </w:rPr>
      </w:pPr>
      <w:r w:rsidRPr="00217435">
        <w:rPr>
          <w:rFonts w:ascii="Arial" w:eastAsia="Calibri" w:hAnsi="Arial" w:cs="Arial"/>
          <w:sz w:val="22"/>
          <w:lang w:val="es-ES"/>
        </w:rPr>
        <w:t>La plataforma muestra las garantías en un listado</w:t>
      </w:r>
      <w:r w:rsidR="00AA5F37" w:rsidRPr="00217435">
        <w:rPr>
          <w:rFonts w:ascii="Arial" w:eastAsia="Calibri" w:hAnsi="Arial" w:cs="Arial"/>
          <w:sz w:val="22"/>
          <w:lang w:val="es-ES"/>
        </w:rPr>
        <w:t>,</w:t>
      </w:r>
      <w:r w:rsidRPr="00217435">
        <w:rPr>
          <w:rFonts w:ascii="Arial" w:eastAsia="Calibri" w:hAnsi="Arial" w:cs="Arial"/>
          <w:sz w:val="22"/>
          <w:lang w:val="es-ES"/>
        </w:rPr>
        <w:t xml:space="preserve"> y al hacer </w:t>
      </w:r>
      <w:r w:rsidR="00FA4849" w:rsidRPr="00217435">
        <w:rPr>
          <w:rFonts w:ascii="Arial" w:eastAsia="Calibri" w:hAnsi="Arial" w:cs="Arial"/>
          <w:sz w:val="22"/>
          <w:lang w:val="es-ES"/>
        </w:rPr>
        <w:t>«</w:t>
      </w:r>
      <w:r w:rsidRPr="00217435">
        <w:rPr>
          <w:rFonts w:ascii="Arial" w:eastAsia="Calibri" w:hAnsi="Arial" w:cs="Arial"/>
          <w:sz w:val="22"/>
          <w:lang w:val="es-ES"/>
        </w:rPr>
        <w:t>clic</w:t>
      </w:r>
      <w:r w:rsidR="00FA4849" w:rsidRPr="00217435">
        <w:rPr>
          <w:rFonts w:ascii="Arial" w:eastAsia="Calibri" w:hAnsi="Arial" w:cs="Arial"/>
          <w:sz w:val="22"/>
          <w:lang w:val="es-ES"/>
        </w:rPr>
        <w:t>»</w:t>
      </w:r>
      <w:r w:rsidRPr="00217435">
        <w:rPr>
          <w:rFonts w:ascii="Arial" w:eastAsia="Calibri" w:hAnsi="Arial" w:cs="Arial"/>
          <w:sz w:val="22"/>
          <w:lang w:val="es-ES"/>
        </w:rPr>
        <w:t xml:space="preserve"> en el botón «Detalle» de alguna de las garantías, el SECOP II abre una ventana emergente con los datos de la garantía y las opciones «aprobar» y «rechazar». Una vez seleccionada alguna de las opciones, el usuario encargado en la entidad da </w:t>
      </w:r>
      <w:r w:rsidR="00AA5F37" w:rsidRPr="00217435">
        <w:rPr>
          <w:rFonts w:ascii="Arial" w:eastAsia="Calibri" w:hAnsi="Arial" w:cs="Arial"/>
          <w:sz w:val="22"/>
          <w:lang w:val="es-ES"/>
        </w:rPr>
        <w:t>«</w:t>
      </w:r>
      <w:r w:rsidRPr="00217435">
        <w:rPr>
          <w:rFonts w:ascii="Arial" w:eastAsia="Calibri" w:hAnsi="Arial" w:cs="Arial"/>
          <w:sz w:val="22"/>
          <w:lang w:val="es-ES"/>
        </w:rPr>
        <w:t>clic</w:t>
      </w:r>
      <w:r w:rsidR="00AA5F37" w:rsidRPr="00217435">
        <w:rPr>
          <w:rFonts w:ascii="Arial" w:eastAsia="Calibri" w:hAnsi="Arial" w:cs="Arial"/>
          <w:sz w:val="22"/>
          <w:lang w:val="es-ES"/>
        </w:rPr>
        <w:t>»</w:t>
      </w:r>
      <w:r w:rsidRPr="00217435">
        <w:rPr>
          <w:rFonts w:ascii="Arial" w:eastAsia="Calibri" w:hAnsi="Arial" w:cs="Arial"/>
          <w:sz w:val="22"/>
          <w:lang w:val="es-ES"/>
        </w:rPr>
        <w:t xml:space="preserve"> en «confirmar», </w:t>
      </w:r>
      <w:r w:rsidR="00AA5F37" w:rsidRPr="00217435">
        <w:rPr>
          <w:rFonts w:ascii="Arial" w:eastAsia="Calibri" w:hAnsi="Arial" w:cs="Arial"/>
          <w:sz w:val="22"/>
          <w:lang w:val="es-ES"/>
        </w:rPr>
        <w:t>por</w:t>
      </w:r>
      <w:r w:rsidRPr="00217435">
        <w:rPr>
          <w:rFonts w:ascii="Arial" w:eastAsia="Calibri" w:hAnsi="Arial" w:cs="Arial"/>
          <w:sz w:val="22"/>
          <w:lang w:val="es-ES"/>
        </w:rPr>
        <w:t>que sin esto la garantía queda en estado «pendiente»</w:t>
      </w:r>
      <w:r w:rsidR="0070782A" w:rsidRPr="00217435">
        <w:rPr>
          <w:rFonts w:ascii="Arial" w:eastAsia="Calibri" w:hAnsi="Arial" w:cs="Arial"/>
          <w:sz w:val="22"/>
          <w:lang w:val="es-ES"/>
        </w:rPr>
        <w:t xml:space="preserve">. </w:t>
      </w:r>
    </w:p>
    <w:p w14:paraId="781CC656" w14:textId="3B84B6CD" w:rsidR="006E1CF3" w:rsidRPr="00217435" w:rsidRDefault="0070782A" w:rsidP="006E1CF3">
      <w:pPr>
        <w:spacing w:before="120" w:line="276" w:lineRule="auto"/>
        <w:ind w:firstLine="709"/>
        <w:jc w:val="both"/>
        <w:rPr>
          <w:rFonts w:ascii="Arial" w:eastAsia="Calibri" w:hAnsi="Arial" w:cs="Arial"/>
          <w:sz w:val="22"/>
          <w:lang w:val="es-ES"/>
        </w:rPr>
      </w:pPr>
      <w:r w:rsidRPr="00217435">
        <w:rPr>
          <w:rFonts w:ascii="Arial" w:eastAsia="Calibri" w:hAnsi="Arial" w:cs="Arial"/>
          <w:sz w:val="22"/>
          <w:lang w:val="es-ES"/>
        </w:rPr>
        <w:t xml:space="preserve">Ahora bien, la última actualización de SECOP II </w:t>
      </w:r>
      <w:r w:rsidR="00FA4849" w:rsidRPr="00217435">
        <w:rPr>
          <w:rFonts w:ascii="Arial" w:eastAsia="Calibri" w:hAnsi="Arial" w:cs="Arial"/>
          <w:sz w:val="22"/>
          <w:lang w:val="es-ES"/>
        </w:rPr>
        <w:t>(</w:t>
      </w:r>
      <w:proofErr w:type="spellStart"/>
      <w:r w:rsidRPr="00217435">
        <w:rPr>
          <w:rFonts w:ascii="Arial" w:eastAsia="Calibri" w:hAnsi="Arial" w:cs="Arial"/>
          <w:sz w:val="22"/>
          <w:lang w:val="es-ES"/>
        </w:rPr>
        <w:t>Release</w:t>
      </w:r>
      <w:proofErr w:type="spellEnd"/>
      <w:r w:rsidRPr="00217435">
        <w:rPr>
          <w:rFonts w:ascii="Arial" w:eastAsia="Calibri" w:hAnsi="Arial" w:cs="Arial"/>
          <w:sz w:val="22"/>
          <w:lang w:val="es-ES"/>
        </w:rPr>
        <w:t xml:space="preserve"> 20.2</w:t>
      </w:r>
      <w:r w:rsidR="00FA4849" w:rsidRPr="00217435">
        <w:rPr>
          <w:rFonts w:ascii="Arial" w:eastAsia="Calibri" w:hAnsi="Arial" w:cs="Arial"/>
          <w:sz w:val="22"/>
          <w:lang w:val="es-ES"/>
        </w:rPr>
        <w:t>)</w:t>
      </w:r>
      <w:r w:rsidRPr="00217435">
        <w:rPr>
          <w:rFonts w:ascii="Arial" w:eastAsia="Calibri" w:hAnsi="Arial" w:cs="Arial"/>
          <w:sz w:val="22"/>
          <w:lang w:val="es-ES"/>
        </w:rPr>
        <w:t xml:space="preserve"> tiene una particular implicación respecto de esta actuación. Tal actualización</w:t>
      </w:r>
      <w:r w:rsidR="00B770B4" w:rsidRPr="00217435">
        <w:rPr>
          <w:rFonts w:ascii="Arial" w:eastAsia="Calibri" w:hAnsi="Arial" w:cs="Arial"/>
          <w:sz w:val="22"/>
          <w:lang w:val="es-ES"/>
        </w:rPr>
        <w:t>,</w:t>
      </w:r>
      <w:r w:rsidRPr="00217435">
        <w:rPr>
          <w:rFonts w:ascii="Arial" w:eastAsia="Calibri" w:hAnsi="Arial" w:cs="Arial"/>
          <w:sz w:val="22"/>
          <w:lang w:val="es-ES"/>
        </w:rPr>
        <w:t xml:space="preserve"> en procura de armonizar el funcionamiento de la plataforma con los requisitos </w:t>
      </w:r>
      <w:r w:rsidR="00B770B4" w:rsidRPr="00217435">
        <w:rPr>
          <w:rFonts w:ascii="Arial" w:eastAsia="Calibri" w:hAnsi="Arial" w:cs="Arial"/>
          <w:sz w:val="22"/>
          <w:lang w:val="es-ES"/>
        </w:rPr>
        <w:t>necesarios para comenzar la ejecución del contrato, ha establecido que para poder avanzar en el desarrollo del proceso contractual y proceder hacia la etapa de ejecución, es necesario que se aprueben las garantías correspondientes y se cargue en la plataforma el registro presupuestal. Sin tales actuaciones la plataforma bloquea la posibilidad de continuar hacía la etapa de ejecución</w:t>
      </w:r>
      <w:r w:rsidR="006E1CF3" w:rsidRPr="00217435">
        <w:rPr>
          <w:rFonts w:ascii="Arial" w:eastAsia="Calibri" w:hAnsi="Arial" w:cs="Arial"/>
          <w:sz w:val="22"/>
          <w:lang w:val="es-ES"/>
        </w:rPr>
        <w:t>.</w:t>
      </w:r>
    </w:p>
    <w:p w14:paraId="34B8A309" w14:textId="77777777" w:rsidR="00D0322C" w:rsidRPr="00217435" w:rsidRDefault="00D0322C" w:rsidP="006E1CF3">
      <w:pPr>
        <w:spacing w:line="276" w:lineRule="auto"/>
        <w:jc w:val="both"/>
        <w:rPr>
          <w:rFonts w:ascii="Arial" w:eastAsia="Calibri" w:hAnsi="Arial" w:cs="Arial"/>
          <w:b/>
          <w:bCs/>
          <w:sz w:val="22"/>
          <w:lang w:val="es-ES"/>
        </w:rPr>
      </w:pPr>
    </w:p>
    <w:p w14:paraId="19519513" w14:textId="531C181D" w:rsidR="00B770B4" w:rsidRPr="00217435" w:rsidRDefault="00B770B4" w:rsidP="006E1CF3">
      <w:pPr>
        <w:spacing w:line="276" w:lineRule="auto"/>
        <w:jc w:val="both"/>
        <w:rPr>
          <w:rFonts w:ascii="Arial" w:eastAsia="Calibri" w:hAnsi="Arial" w:cs="Arial"/>
          <w:b/>
          <w:bCs/>
          <w:sz w:val="22"/>
          <w:lang w:val="es-ES"/>
        </w:rPr>
      </w:pPr>
      <w:r w:rsidRPr="00217435">
        <w:rPr>
          <w:rFonts w:ascii="Arial" w:eastAsia="Calibri" w:hAnsi="Arial" w:cs="Arial"/>
          <w:b/>
          <w:bCs/>
          <w:sz w:val="22"/>
          <w:lang w:val="es-ES"/>
        </w:rPr>
        <w:t>2.</w:t>
      </w:r>
      <w:r w:rsidR="00FA4849" w:rsidRPr="00217435">
        <w:rPr>
          <w:rFonts w:ascii="Arial" w:eastAsia="Calibri" w:hAnsi="Arial" w:cs="Arial"/>
          <w:b/>
          <w:bCs/>
          <w:sz w:val="22"/>
          <w:lang w:val="es-ES"/>
        </w:rPr>
        <w:t>4</w:t>
      </w:r>
      <w:r w:rsidRPr="00217435">
        <w:rPr>
          <w:rFonts w:ascii="Arial" w:eastAsia="Calibri" w:hAnsi="Arial" w:cs="Arial"/>
          <w:b/>
          <w:bCs/>
          <w:sz w:val="22"/>
          <w:lang w:val="es-ES"/>
        </w:rPr>
        <w:t xml:space="preserve">. </w:t>
      </w:r>
      <w:r w:rsidR="00056AB7" w:rsidRPr="00217435">
        <w:rPr>
          <w:rFonts w:ascii="Arial" w:eastAsia="Calibri" w:hAnsi="Arial" w:cs="Arial"/>
          <w:b/>
          <w:bCs/>
          <w:sz w:val="22"/>
          <w:lang w:val="es-ES"/>
        </w:rPr>
        <w:t>Publicidad de actuaciones</w:t>
      </w:r>
      <w:r w:rsidR="00F56B7C" w:rsidRPr="00217435">
        <w:rPr>
          <w:rFonts w:ascii="Arial" w:eastAsia="Calibri" w:hAnsi="Arial" w:cs="Arial"/>
          <w:b/>
          <w:bCs/>
          <w:sz w:val="22"/>
          <w:lang w:val="es-ES"/>
        </w:rPr>
        <w:t xml:space="preserve"> en principio</w:t>
      </w:r>
      <w:r w:rsidR="00056AB7" w:rsidRPr="00217435">
        <w:rPr>
          <w:rFonts w:ascii="Arial" w:eastAsia="Calibri" w:hAnsi="Arial" w:cs="Arial"/>
          <w:b/>
          <w:bCs/>
          <w:sz w:val="22"/>
          <w:lang w:val="es-ES"/>
        </w:rPr>
        <w:t xml:space="preserve"> registradas en medio físico a través de SECOP II</w:t>
      </w:r>
      <w:r w:rsidR="00BA373A" w:rsidRPr="00217435">
        <w:rPr>
          <w:rFonts w:ascii="Arial" w:eastAsia="Calibri" w:hAnsi="Arial" w:cs="Arial"/>
          <w:b/>
          <w:bCs/>
          <w:sz w:val="22"/>
          <w:lang w:val="es-ES"/>
        </w:rPr>
        <w:t xml:space="preserve"> y duplicidad de información contradictoria</w:t>
      </w:r>
    </w:p>
    <w:p w14:paraId="0A4690B1" w14:textId="4DFEAED9" w:rsidR="00056AB7" w:rsidRPr="00217435" w:rsidRDefault="00056AB7" w:rsidP="006E1CF3">
      <w:pPr>
        <w:spacing w:line="276" w:lineRule="auto"/>
        <w:jc w:val="both"/>
        <w:rPr>
          <w:rFonts w:ascii="Arial" w:eastAsia="Calibri" w:hAnsi="Arial" w:cs="Arial"/>
          <w:b/>
          <w:bCs/>
          <w:sz w:val="22"/>
          <w:lang w:val="es-ES"/>
        </w:rPr>
      </w:pPr>
    </w:p>
    <w:p w14:paraId="3E86A7C7" w14:textId="4AA473E1" w:rsidR="00056AB7" w:rsidRPr="00217435" w:rsidRDefault="00710196" w:rsidP="00710196">
      <w:pPr>
        <w:spacing w:after="120" w:line="276" w:lineRule="auto"/>
        <w:jc w:val="both"/>
        <w:rPr>
          <w:rFonts w:ascii="Arial" w:eastAsia="Calibri" w:hAnsi="Arial" w:cs="Arial"/>
          <w:sz w:val="22"/>
          <w:lang w:val="es-ES"/>
        </w:rPr>
      </w:pPr>
      <w:r w:rsidRPr="00217435">
        <w:rPr>
          <w:rFonts w:ascii="Arial" w:eastAsia="Calibri" w:hAnsi="Arial" w:cs="Arial"/>
          <w:sz w:val="22"/>
          <w:lang w:val="es-ES"/>
        </w:rPr>
        <w:t>A pesar</w:t>
      </w:r>
      <w:r w:rsidR="009E65CF" w:rsidRPr="00217435">
        <w:rPr>
          <w:rFonts w:ascii="Arial" w:eastAsia="Calibri" w:hAnsi="Arial" w:cs="Arial"/>
          <w:sz w:val="22"/>
          <w:lang w:val="es-ES"/>
        </w:rPr>
        <w:t xml:space="preserve"> del carácter transaccional de</w:t>
      </w:r>
      <w:r w:rsidR="00056AB7" w:rsidRPr="00217435">
        <w:rPr>
          <w:rFonts w:ascii="Arial" w:eastAsia="Calibri" w:hAnsi="Arial" w:cs="Arial"/>
          <w:sz w:val="22"/>
          <w:lang w:val="es-ES"/>
        </w:rPr>
        <w:t xml:space="preserve"> SECOP II</w:t>
      </w:r>
      <w:r w:rsidR="009E65CF" w:rsidRPr="00217435">
        <w:rPr>
          <w:rFonts w:ascii="Arial" w:eastAsia="Calibri" w:hAnsi="Arial" w:cs="Arial"/>
          <w:sz w:val="22"/>
          <w:lang w:val="es-ES"/>
        </w:rPr>
        <w:t xml:space="preserve">, que posibilita que el trámite de gran parte de las actuaciones desarrolladoras del </w:t>
      </w:r>
      <w:proofErr w:type="spellStart"/>
      <w:r w:rsidR="009E65CF" w:rsidRPr="00217435">
        <w:rPr>
          <w:rFonts w:ascii="Arial" w:eastAsia="Calibri" w:hAnsi="Arial" w:cs="Arial"/>
          <w:i/>
          <w:iCs/>
          <w:sz w:val="22"/>
          <w:lang w:val="es-ES"/>
        </w:rPr>
        <w:t>iter</w:t>
      </w:r>
      <w:proofErr w:type="spellEnd"/>
      <w:r w:rsidR="009E65CF" w:rsidRPr="00217435">
        <w:rPr>
          <w:rFonts w:ascii="Arial" w:eastAsia="Calibri" w:hAnsi="Arial" w:cs="Arial"/>
          <w:sz w:val="22"/>
          <w:lang w:val="es-ES"/>
        </w:rPr>
        <w:t xml:space="preserve"> contractual se realicen en línea y de forma </w:t>
      </w:r>
      <w:r w:rsidR="009E65CF" w:rsidRPr="00217435">
        <w:rPr>
          <w:rFonts w:ascii="Arial" w:eastAsia="Calibri" w:hAnsi="Arial" w:cs="Arial"/>
          <w:sz w:val="22"/>
          <w:lang w:val="es-ES"/>
        </w:rPr>
        <w:lastRenderedPageBreak/>
        <w:t>concomitante a su publicidad, no</w:t>
      </w:r>
      <w:r w:rsidR="00FA4849" w:rsidRPr="00217435">
        <w:rPr>
          <w:rFonts w:ascii="Arial" w:eastAsia="Calibri" w:hAnsi="Arial" w:cs="Arial"/>
          <w:sz w:val="22"/>
          <w:lang w:val="es-ES"/>
        </w:rPr>
        <w:t xml:space="preserve"> se</w:t>
      </w:r>
      <w:r w:rsidR="009E65CF" w:rsidRPr="00217435">
        <w:rPr>
          <w:rFonts w:ascii="Arial" w:eastAsia="Calibri" w:hAnsi="Arial" w:cs="Arial"/>
          <w:sz w:val="22"/>
          <w:lang w:val="es-ES"/>
        </w:rPr>
        <w:t xml:space="preserve"> descarta la necesidad cargar cierta documentación</w:t>
      </w:r>
      <w:r w:rsidR="00FA4849" w:rsidRPr="00217435">
        <w:rPr>
          <w:rFonts w:ascii="Arial" w:eastAsia="Calibri" w:hAnsi="Arial" w:cs="Arial"/>
          <w:sz w:val="22"/>
          <w:lang w:val="es-ES"/>
        </w:rPr>
        <w:t>,</w:t>
      </w:r>
      <w:r w:rsidR="009E65CF" w:rsidRPr="00217435">
        <w:rPr>
          <w:rFonts w:ascii="Arial" w:eastAsia="Calibri" w:hAnsi="Arial" w:cs="Arial"/>
          <w:sz w:val="22"/>
          <w:lang w:val="es-ES"/>
        </w:rPr>
        <w:t xml:space="preserve"> que por las particularidades de su producción no es generada al interior de la plataforma, debiendo</w:t>
      </w:r>
      <w:r w:rsidR="00FA4849" w:rsidRPr="00217435">
        <w:rPr>
          <w:rFonts w:ascii="Arial" w:eastAsia="Calibri" w:hAnsi="Arial" w:cs="Arial"/>
          <w:sz w:val="22"/>
          <w:lang w:val="es-ES"/>
        </w:rPr>
        <w:t>,</w:t>
      </w:r>
      <w:r w:rsidR="009E65CF" w:rsidRPr="00217435">
        <w:rPr>
          <w:rFonts w:ascii="Arial" w:eastAsia="Calibri" w:hAnsi="Arial" w:cs="Arial"/>
          <w:sz w:val="22"/>
          <w:lang w:val="es-ES"/>
        </w:rPr>
        <w:t xml:space="preserve"> </w:t>
      </w:r>
      <w:r w:rsidR="00BA373A" w:rsidRPr="00217435">
        <w:rPr>
          <w:rFonts w:ascii="Arial" w:eastAsia="Calibri" w:hAnsi="Arial" w:cs="Arial"/>
          <w:sz w:val="22"/>
          <w:lang w:val="es-ES"/>
        </w:rPr>
        <w:t>en principio</w:t>
      </w:r>
      <w:r w:rsidR="00FA4849" w:rsidRPr="00217435">
        <w:rPr>
          <w:rFonts w:ascii="Arial" w:eastAsia="Calibri" w:hAnsi="Arial" w:cs="Arial"/>
          <w:sz w:val="22"/>
          <w:lang w:val="es-ES"/>
        </w:rPr>
        <w:t>,</w:t>
      </w:r>
      <w:r w:rsidR="00BA373A" w:rsidRPr="00217435">
        <w:rPr>
          <w:rFonts w:ascii="Arial" w:eastAsia="Calibri" w:hAnsi="Arial" w:cs="Arial"/>
          <w:sz w:val="22"/>
          <w:lang w:val="es-ES"/>
        </w:rPr>
        <w:t xml:space="preserve"> ser</w:t>
      </w:r>
      <w:r w:rsidR="009E65CF" w:rsidRPr="00217435">
        <w:rPr>
          <w:rFonts w:ascii="Arial" w:eastAsia="Calibri" w:hAnsi="Arial" w:cs="Arial"/>
          <w:sz w:val="22"/>
          <w:lang w:val="es-ES"/>
        </w:rPr>
        <w:t xml:space="preserve"> generada en medio físico y luego cargarse a la plataforma, previa su digitalización, es decir, de manera asimilable a lo acontecido en el uso de SECOP I.</w:t>
      </w:r>
    </w:p>
    <w:p w14:paraId="736FEB63" w14:textId="2C456BC3" w:rsidR="00056AB7" w:rsidRPr="00217435" w:rsidRDefault="00710196" w:rsidP="00710196">
      <w:pPr>
        <w:spacing w:after="120" w:line="276" w:lineRule="auto"/>
        <w:jc w:val="both"/>
        <w:rPr>
          <w:rFonts w:ascii="Arial" w:eastAsia="Calibri" w:hAnsi="Arial" w:cs="Arial"/>
          <w:sz w:val="22"/>
          <w:lang w:val="es-ES"/>
        </w:rPr>
      </w:pPr>
      <w:r w:rsidRPr="00217435">
        <w:rPr>
          <w:rFonts w:ascii="Arial" w:eastAsia="Calibri" w:hAnsi="Arial" w:cs="Arial"/>
          <w:sz w:val="22"/>
          <w:lang w:val="es-ES"/>
        </w:rPr>
        <w:tab/>
      </w:r>
      <w:r w:rsidR="00056AB7" w:rsidRPr="00217435">
        <w:rPr>
          <w:rFonts w:ascii="Arial" w:eastAsia="Calibri" w:hAnsi="Arial" w:cs="Arial"/>
          <w:sz w:val="22"/>
          <w:lang w:val="es-ES"/>
        </w:rPr>
        <w:t>Esto ocurre, por ejemplo, con los estudios previos, el informe de evaluación, la resolución de adjudicación</w:t>
      </w:r>
      <w:r w:rsidRPr="00217435">
        <w:rPr>
          <w:rFonts w:ascii="Arial" w:eastAsia="Calibri" w:hAnsi="Arial" w:cs="Arial"/>
          <w:sz w:val="22"/>
          <w:lang w:val="es-ES"/>
        </w:rPr>
        <w:t xml:space="preserve">, </w:t>
      </w:r>
      <w:r w:rsidR="00056AB7" w:rsidRPr="00217435">
        <w:rPr>
          <w:rFonts w:ascii="Arial" w:eastAsia="Calibri" w:hAnsi="Arial" w:cs="Arial"/>
          <w:sz w:val="22"/>
          <w:lang w:val="es-ES"/>
        </w:rPr>
        <w:t>el clausulado del contrato,</w:t>
      </w:r>
      <w:r w:rsidRPr="00217435">
        <w:rPr>
          <w:rFonts w:ascii="Arial" w:eastAsia="Calibri" w:hAnsi="Arial" w:cs="Arial"/>
          <w:sz w:val="22"/>
          <w:lang w:val="es-ES"/>
        </w:rPr>
        <w:t xml:space="preserve"> el acta de inicio, el acta de liquidación,</w:t>
      </w:r>
      <w:r w:rsidR="00056AB7" w:rsidRPr="00217435">
        <w:rPr>
          <w:rFonts w:ascii="Arial" w:eastAsia="Calibri" w:hAnsi="Arial" w:cs="Arial"/>
          <w:sz w:val="22"/>
          <w:lang w:val="es-ES"/>
        </w:rPr>
        <w:t xml:space="preserve"> entre otras actuaciones en </w:t>
      </w:r>
      <w:r w:rsidR="00FA4849" w:rsidRPr="00217435">
        <w:rPr>
          <w:rFonts w:ascii="Arial" w:eastAsia="Calibri" w:hAnsi="Arial" w:cs="Arial"/>
          <w:sz w:val="22"/>
          <w:lang w:val="es-ES"/>
        </w:rPr>
        <w:t>donde</w:t>
      </w:r>
      <w:r w:rsidR="00056AB7" w:rsidRPr="00217435">
        <w:rPr>
          <w:rFonts w:ascii="Arial" w:eastAsia="Calibri" w:hAnsi="Arial" w:cs="Arial"/>
          <w:sz w:val="22"/>
          <w:lang w:val="es-ES"/>
        </w:rPr>
        <w:t xml:space="preserve"> los usuarios quedan habilitados para cargar documentos en la plataforma. Se trata de algo excepcional, pues, se insiste, el SECOP II es una plataforma esencialmente transaccional, distinta de la SECOP I que es una herramienta eminentemente publicitaria.</w:t>
      </w:r>
    </w:p>
    <w:p w14:paraId="3AA5F526" w14:textId="7B846CD1" w:rsidR="00710196" w:rsidRPr="00217435" w:rsidRDefault="00710196" w:rsidP="00710196">
      <w:pPr>
        <w:spacing w:line="276" w:lineRule="auto"/>
        <w:jc w:val="both"/>
        <w:rPr>
          <w:rFonts w:ascii="Arial" w:eastAsia="Calibri" w:hAnsi="Arial" w:cs="Arial"/>
          <w:sz w:val="22"/>
          <w:lang w:val="es-ES"/>
        </w:rPr>
      </w:pPr>
      <w:r w:rsidRPr="00217435">
        <w:rPr>
          <w:rFonts w:ascii="Arial" w:eastAsia="Calibri" w:hAnsi="Arial" w:cs="Arial"/>
          <w:sz w:val="22"/>
          <w:lang w:val="es-ES"/>
        </w:rPr>
        <w:tab/>
        <w:t xml:space="preserve">Tales actuaciones al </w:t>
      </w:r>
      <w:r w:rsidR="00563B07">
        <w:rPr>
          <w:rFonts w:ascii="Arial" w:eastAsia="Calibri" w:hAnsi="Arial" w:cs="Arial"/>
          <w:sz w:val="22"/>
          <w:lang w:val="es-ES"/>
        </w:rPr>
        <w:t xml:space="preserve">ser expedidas con ocasión del </w:t>
      </w:r>
      <w:r w:rsidR="00563B07">
        <w:rPr>
          <w:rFonts w:ascii="Arial" w:eastAsia="Calibri" w:hAnsi="Arial" w:cs="Arial"/>
          <w:i/>
          <w:iCs/>
          <w:sz w:val="22"/>
          <w:lang w:val="es-ES"/>
        </w:rPr>
        <w:t>Proceso de Contratación</w:t>
      </w:r>
      <w:r w:rsidRPr="00217435">
        <w:rPr>
          <w:rFonts w:ascii="Arial" w:eastAsia="Calibri" w:hAnsi="Arial" w:cs="Arial"/>
          <w:sz w:val="22"/>
          <w:lang w:val="es-ES"/>
        </w:rPr>
        <w:t xml:space="preserve"> son objeto del deber de publicidad establecido en el artículo 3 de la Ley 1150 de 2007, regulado por el artículo 2.2.1.1.1.7.1 del Decreto 1082 de 2015, regulación que, conforme a las consideraciones antes expuestas, impone a las entidades la obligación de publicar la documentación correspondiente dentro del término de tres (3) días siguientes a la producción de cada uno de estos documentos.   </w:t>
      </w:r>
    </w:p>
    <w:p w14:paraId="10146577" w14:textId="078B41FA" w:rsidR="00B90B2C" w:rsidRPr="00217435" w:rsidRDefault="00056AB7" w:rsidP="00B90B2C">
      <w:pPr>
        <w:spacing w:before="120" w:line="276" w:lineRule="auto"/>
        <w:ind w:firstLine="709"/>
        <w:jc w:val="both"/>
        <w:rPr>
          <w:rFonts w:ascii="Arial" w:hAnsi="Arial" w:cs="Arial"/>
          <w:sz w:val="22"/>
          <w:lang w:val="es-ES"/>
        </w:rPr>
      </w:pPr>
      <w:r w:rsidRPr="00217435">
        <w:rPr>
          <w:rFonts w:ascii="Arial" w:eastAsia="Calibri" w:hAnsi="Arial" w:cs="Arial"/>
          <w:sz w:val="22"/>
          <w:lang w:val="es-ES"/>
        </w:rPr>
        <w:t xml:space="preserve">Dicho carácter excepcional, además, se justifica en la necesidad de </w:t>
      </w:r>
      <w:r w:rsidR="00D0322C" w:rsidRPr="00217435">
        <w:rPr>
          <w:rFonts w:ascii="Arial" w:eastAsia="Calibri" w:hAnsi="Arial" w:cs="Arial"/>
          <w:sz w:val="22"/>
          <w:lang w:val="es-ES"/>
        </w:rPr>
        <w:t>evitar problemas</w:t>
      </w:r>
      <w:r w:rsidRPr="00217435">
        <w:rPr>
          <w:rFonts w:ascii="Arial" w:eastAsia="Calibri" w:hAnsi="Arial" w:cs="Arial"/>
          <w:sz w:val="22"/>
          <w:lang w:val="es-ES"/>
        </w:rPr>
        <w:t xml:space="preserve"> que pueden surgir ante la duplicidad de información, como, por ejemplo, la discrepancia entre el texto tramitado en el SECOP II y el que la entidad carga a la plataforma.</w:t>
      </w:r>
      <w:r w:rsidR="00F56B7C" w:rsidRPr="00217435">
        <w:rPr>
          <w:rFonts w:ascii="Arial" w:eastAsia="Calibri" w:hAnsi="Arial" w:cs="Arial"/>
          <w:sz w:val="22"/>
          <w:lang w:val="es-ES"/>
        </w:rPr>
        <w:t xml:space="preserve"> Respecto</w:t>
      </w:r>
      <w:r w:rsidR="00B90B2C" w:rsidRPr="00217435">
        <w:rPr>
          <w:rFonts w:ascii="Arial" w:eastAsia="Calibri" w:hAnsi="Arial" w:cs="Arial"/>
          <w:sz w:val="22"/>
          <w:lang w:val="es-ES"/>
        </w:rPr>
        <w:t xml:space="preserve"> de tales </w:t>
      </w:r>
      <w:r w:rsidR="00D0322C" w:rsidRPr="00217435">
        <w:rPr>
          <w:rFonts w:ascii="Arial" w:eastAsia="Calibri" w:hAnsi="Arial" w:cs="Arial"/>
          <w:sz w:val="22"/>
          <w:lang w:val="es-ES"/>
        </w:rPr>
        <w:t>discrepancias</w:t>
      </w:r>
      <w:r w:rsidR="00B90B2C" w:rsidRPr="00217435">
        <w:rPr>
          <w:rFonts w:ascii="Arial" w:eastAsia="Calibri" w:hAnsi="Arial" w:cs="Arial"/>
          <w:sz w:val="22"/>
          <w:lang w:val="es-ES"/>
        </w:rPr>
        <w:t>, esta Agencia</w:t>
      </w:r>
      <w:r w:rsidR="00FA4849" w:rsidRPr="00217435">
        <w:rPr>
          <w:rFonts w:ascii="Arial" w:eastAsia="Calibri" w:hAnsi="Arial" w:cs="Arial"/>
          <w:sz w:val="22"/>
          <w:lang w:val="es-ES"/>
        </w:rPr>
        <w:t>,</w:t>
      </w:r>
      <w:r w:rsidR="00B90B2C" w:rsidRPr="00217435">
        <w:rPr>
          <w:rFonts w:ascii="Arial" w:eastAsia="Calibri" w:hAnsi="Arial" w:cs="Arial"/>
          <w:sz w:val="22"/>
          <w:lang w:val="es-ES"/>
        </w:rPr>
        <w:t xml:space="preserve"> en el concepto C-306 del 4 de junio de 20</w:t>
      </w:r>
      <w:r w:rsidR="00BA373A" w:rsidRPr="00217435">
        <w:rPr>
          <w:rFonts w:ascii="Arial" w:eastAsia="Calibri" w:hAnsi="Arial" w:cs="Arial"/>
          <w:sz w:val="22"/>
          <w:lang w:val="es-ES"/>
        </w:rPr>
        <w:t>20</w:t>
      </w:r>
      <w:r w:rsidR="00B90B2C" w:rsidRPr="00217435">
        <w:rPr>
          <w:rFonts w:ascii="Arial" w:eastAsia="Calibri" w:hAnsi="Arial" w:cs="Arial"/>
          <w:sz w:val="22"/>
          <w:lang w:val="es-ES"/>
        </w:rPr>
        <w:t xml:space="preserve"> –radicado No. 2202013000004582–, lleg</w:t>
      </w:r>
      <w:r w:rsidR="0039284C" w:rsidRPr="00217435">
        <w:rPr>
          <w:rFonts w:ascii="Arial" w:eastAsia="Calibri" w:hAnsi="Arial" w:cs="Arial"/>
          <w:sz w:val="22"/>
          <w:lang w:val="es-ES"/>
        </w:rPr>
        <w:t>ó</w:t>
      </w:r>
      <w:r w:rsidR="00B90B2C" w:rsidRPr="00217435">
        <w:rPr>
          <w:rFonts w:ascii="Arial" w:eastAsia="Calibri" w:hAnsi="Arial" w:cs="Arial"/>
          <w:sz w:val="22"/>
          <w:lang w:val="es-ES"/>
        </w:rPr>
        <w:t xml:space="preserve"> a la conclusión de que «no</w:t>
      </w:r>
      <w:r w:rsidR="00B90B2C" w:rsidRPr="00217435">
        <w:rPr>
          <w:rFonts w:ascii="Arial" w:hAnsi="Arial" w:cs="Arial"/>
          <w:sz w:val="22"/>
          <w:lang w:val="es-ES"/>
        </w:rPr>
        <w:t xml:space="preserve"> existe disposición normativa que establezca una jerarquía entre los documentos electrónicos y los manuscritos […] por el contrario, en el ordenamiento jurídico existen normas que les dan efectos probatorios a unos y a otros», por lo que al existir este tipo de </w:t>
      </w:r>
      <w:r w:rsidR="00D0322C" w:rsidRPr="00217435">
        <w:rPr>
          <w:rFonts w:ascii="Arial" w:hAnsi="Arial" w:cs="Arial"/>
          <w:sz w:val="22"/>
          <w:lang w:val="es-ES"/>
        </w:rPr>
        <w:t>discrepancias</w:t>
      </w:r>
      <w:r w:rsidR="00B90B2C" w:rsidRPr="00217435">
        <w:rPr>
          <w:rFonts w:ascii="Arial" w:hAnsi="Arial" w:cs="Arial"/>
          <w:sz w:val="22"/>
          <w:lang w:val="es-ES"/>
        </w:rPr>
        <w:t xml:space="preserve"> respecto de documentos como el clausulado del contrato, es necesario que las partes acudan a las diferentes reglas de interpretación de contratos que resultan aplicables. </w:t>
      </w:r>
    </w:p>
    <w:p w14:paraId="50B94BCB" w14:textId="401FD91C" w:rsidR="00B90B2C" w:rsidRPr="00217435" w:rsidRDefault="00B90B2C" w:rsidP="00B90B2C">
      <w:pPr>
        <w:spacing w:before="120" w:line="276" w:lineRule="auto"/>
        <w:ind w:firstLine="709"/>
        <w:jc w:val="both"/>
        <w:rPr>
          <w:rFonts w:ascii="Arial" w:eastAsia="Calibri" w:hAnsi="Arial" w:cs="Arial"/>
          <w:sz w:val="22"/>
          <w:lang w:val="es-ES"/>
        </w:rPr>
      </w:pPr>
      <w:r w:rsidRPr="00217435">
        <w:rPr>
          <w:rFonts w:ascii="Arial" w:hAnsi="Arial" w:cs="Arial"/>
          <w:sz w:val="22"/>
          <w:lang w:val="es-ES"/>
        </w:rPr>
        <w:t xml:space="preserve">No obstante, la duplicidad de información contradictoria en </w:t>
      </w:r>
      <w:r w:rsidRPr="00217435">
        <w:rPr>
          <w:rFonts w:ascii="Arial" w:hAnsi="Arial" w:cs="Arial"/>
          <w:i/>
          <w:iCs/>
          <w:sz w:val="22"/>
          <w:lang w:val="es-ES"/>
        </w:rPr>
        <w:t>Documentos del Proceso</w:t>
      </w:r>
      <w:r w:rsidRPr="00217435">
        <w:rPr>
          <w:rFonts w:ascii="Arial" w:eastAsia="Calibri" w:hAnsi="Arial" w:cs="Arial"/>
          <w:sz w:val="22"/>
          <w:lang w:val="es-ES"/>
        </w:rPr>
        <w:t xml:space="preserve"> producidos durante la etapa precontractual, o cuya producción se encuentra regulada por el Estatuto General de Contratación de la Administración Pública, </w:t>
      </w:r>
      <w:r w:rsidR="00B80103" w:rsidRPr="00217435">
        <w:rPr>
          <w:rFonts w:ascii="Arial" w:eastAsia="Calibri" w:hAnsi="Arial" w:cs="Arial"/>
          <w:sz w:val="22"/>
          <w:lang w:val="es-ES"/>
        </w:rPr>
        <w:t xml:space="preserve">la prevalencia de un documento sobre el otro debe analizarse desde una óptica diferente, en la medida que se trata de actuaciones regladas. En ese orden, si bien el SECOP II permite que las entidades carguen documentación relacionada con actuaciones que se producen dentro de la plataforma, tiene el propósito </w:t>
      </w:r>
      <w:r w:rsidR="00AA5F37" w:rsidRPr="00217435">
        <w:rPr>
          <w:rFonts w:ascii="Arial" w:eastAsia="Calibri" w:hAnsi="Arial" w:cs="Arial"/>
          <w:sz w:val="22"/>
          <w:lang w:val="es-ES"/>
        </w:rPr>
        <w:t>de</w:t>
      </w:r>
      <w:r w:rsidR="00B80103" w:rsidRPr="00217435">
        <w:rPr>
          <w:rFonts w:ascii="Arial" w:eastAsia="Calibri" w:hAnsi="Arial" w:cs="Arial"/>
          <w:sz w:val="22"/>
          <w:lang w:val="es-ES"/>
        </w:rPr>
        <w:t xml:space="preserve"> complementar la información que sobre </w:t>
      </w:r>
      <w:r w:rsidR="00BA373A" w:rsidRPr="00217435">
        <w:rPr>
          <w:rFonts w:ascii="Arial" w:eastAsia="Calibri" w:hAnsi="Arial" w:cs="Arial"/>
          <w:sz w:val="22"/>
          <w:lang w:val="es-ES"/>
        </w:rPr>
        <w:t>estas</w:t>
      </w:r>
      <w:r w:rsidR="00B80103" w:rsidRPr="00217435">
        <w:rPr>
          <w:rFonts w:ascii="Arial" w:eastAsia="Calibri" w:hAnsi="Arial" w:cs="Arial"/>
          <w:sz w:val="22"/>
          <w:lang w:val="es-ES"/>
        </w:rPr>
        <w:t xml:space="preserve"> </w:t>
      </w:r>
      <w:r w:rsidR="00AA5F37" w:rsidRPr="00217435">
        <w:rPr>
          <w:rFonts w:ascii="Arial" w:eastAsia="Calibri" w:hAnsi="Arial" w:cs="Arial"/>
          <w:sz w:val="22"/>
          <w:lang w:val="es-ES"/>
        </w:rPr>
        <w:t xml:space="preserve">hay </w:t>
      </w:r>
      <w:r w:rsidR="00B80103" w:rsidRPr="00217435">
        <w:rPr>
          <w:rFonts w:ascii="Arial" w:eastAsia="Calibri" w:hAnsi="Arial" w:cs="Arial"/>
          <w:sz w:val="22"/>
          <w:lang w:val="es-ES"/>
        </w:rPr>
        <w:t>en la plataforma</w:t>
      </w:r>
      <w:r w:rsidR="00337CC9" w:rsidRPr="00217435">
        <w:rPr>
          <w:rFonts w:ascii="Arial" w:eastAsia="Calibri" w:hAnsi="Arial" w:cs="Arial"/>
          <w:sz w:val="22"/>
          <w:lang w:val="es-ES"/>
        </w:rPr>
        <w:t>,</w:t>
      </w:r>
      <w:r w:rsidR="00B80103" w:rsidRPr="00217435">
        <w:rPr>
          <w:rFonts w:ascii="Arial" w:eastAsia="Calibri" w:hAnsi="Arial" w:cs="Arial"/>
          <w:sz w:val="22"/>
          <w:lang w:val="es-ES"/>
        </w:rPr>
        <w:t xml:space="preserve"> y que es </w:t>
      </w:r>
      <w:r w:rsidR="00D0322C" w:rsidRPr="00217435">
        <w:rPr>
          <w:rFonts w:ascii="Arial" w:eastAsia="Calibri" w:hAnsi="Arial" w:cs="Arial"/>
          <w:sz w:val="22"/>
          <w:lang w:val="es-ES"/>
        </w:rPr>
        <w:t>relevante</w:t>
      </w:r>
      <w:r w:rsidR="00B80103" w:rsidRPr="00217435">
        <w:rPr>
          <w:rFonts w:ascii="Arial" w:eastAsia="Calibri" w:hAnsi="Arial" w:cs="Arial"/>
          <w:sz w:val="22"/>
          <w:lang w:val="es-ES"/>
        </w:rPr>
        <w:t xml:space="preserve"> para el desarrollo del proceso de contratación. </w:t>
      </w:r>
      <w:r w:rsidRPr="00217435">
        <w:rPr>
          <w:rFonts w:ascii="Arial" w:eastAsia="Calibri" w:hAnsi="Arial" w:cs="Arial"/>
          <w:sz w:val="22"/>
          <w:lang w:val="es-ES"/>
        </w:rPr>
        <w:t xml:space="preserve"> </w:t>
      </w:r>
    </w:p>
    <w:p w14:paraId="4AD6B5A0" w14:textId="2B3C6866" w:rsidR="00B80103" w:rsidRPr="00217435" w:rsidRDefault="00B80103" w:rsidP="000B2F9C">
      <w:pPr>
        <w:spacing w:before="120" w:after="120" w:line="276" w:lineRule="auto"/>
        <w:ind w:firstLine="709"/>
        <w:jc w:val="both"/>
        <w:rPr>
          <w:rFonts w:ascii="Arial" w:eastAsia="Calibri" w:hAnsi="Arial" w:cs="Arial"/>
          <w:sz w:val="22"/>
          <w:lang w:val="es-ES"/>
        </w:rPr>
      </w:pPr>
      <w:r w:rsidRPr="00217435">
        <w:rPr>
          <w:rFonts w:ascii="Arial" w:eastAsia="Calibri" w:hAnsi="Arial" w:cs="Arial"/>
          <w:sz w:val="22"/>
          <w:lang w:val="es-ES"/>
        </w:rPr>
        <w:t>Esto implica que en el cargue de la documentación producida en medio físico debe procurarse que la información</w:t>
      </w:r>
      <w:r w:rsidR="00337CC9" w:rsidRPr="00217435">
        <w:rPr>
          <w:rFonts w:ascii="Arial" w:eastAsia="Calibri" w:hAnsi="Arial" w:cs="Arial"/>
          <w:sz w:val="22"/>
          <w:lang w:val="es-ES"/>
        </w:rPr>
        <w:t xml:space="preserve"> que consta en los </w:t>
      </w:r>
      <w:r w:rsidRPr="00217435">
        <w:rPr>
          <w:rFonts w:ascii="Arial" w:eastAsia="Calibri" w:hAnsi="Arial" w:cs="Arial"/>
          <w:sz w:val="22"/>
          <w:lang w:val="es-ES"/>
        </w:rPr>
        <w:t xml:space="preserve">documentos cargados coincida con la información de los documentos y formularios electrónicos producidos dentro de la plataforma, y que la producción de esta </w:t>
      </w:r>
      <w:r w:rsidR="000B26BA" w:rsidRPr="00217435">
        <w:rPr>
          <w:rFonts w:ascii="Arial" w:eastAsia="Calibri" w:hAnsi="Arial" w:cs="Arial"/>
          <w:sz w:val="22"/>
          <w:lang w:val="es-ES"/>
        </w:rPr>
        <w:t xml:space="preserve">documentación física obedezca a los presupuestos </w:t>
      </w:r>
      <w:r w:rsidR="000B26BA" w:rsidRPr="00217435">
        <w:rPr>
          <w:rFonts w:ascii="Arial" w:eastAsia="Calibri" w:hAnsi="Arial" w:cs="Arial"/>
          <w:sz w:val="22"/>
          <w:lang w:val="es-ES"/>
        </w:rPr>
        <w:lastRenderedPageBreak/>
        <w:t xml:space="preserve">normativos para </w:t>
      </w:r>
      <w:r w:rsidR="000B2F9C" w:rsidRPr="00217435">
        <w:rPr>
          <w:rFonts w:ascii="Arial" w:eastAsia="Calibri" w:hAnsi="Arial" w:cs="Arial"/>
          <w:sz w:val="22"/>
          <w:lang w:val="es-ES"/>
        </w:rPr>
        <w:t>su</w:t>
      </w:r>
      <w:r w:rsidR="000B26BA" w:rsidRPr="00217435">
        <w:rPr>
          <w:rFonts w:ascii="Arial" w:eastAsia="Calibri" w:hAnsi="Arial" w:cs="Arial"/>
          <w:sz w:val="22"/>
          <w:lang w:val="es-ES"/>
        </w:rPr>
        <w:t xml:space="preserve"> generación. Esto significa que, por ejemplo, en un proceso de selección en el que </w:t>
      </w:r>
      <w:proofErr w:type="spellStart"/>
      <w:r w:rsidR="000B26BA" w:rsidRPr="00217435">
        <w:rPr>
          <w:rFonts w:ascii="Arial" w:eastAsia="Calibri" w:hAnsi="Arial" w:cs="Arial"/>
          <w:sz w:val="22"/>
          <w:lang w:val="es-ES"/>
        </w:rPr>
        <w:t>aun</w:t>
      </w:r>
      <w:proofErr w:type="spellEnd"/>
      <w:r w:rsidR="000B26BA" w:rsidRPr="00217435">
        <w:rPr>
          <w:rFonts w:ascii="Arial" w:eastAsia="Calibri" w:hAnsi="Arial" w:cs="Arial"/>
          <w:sz w:val="22"/>
          <w:lang w:val="es-ES"/>
        </w:rPr>
        <w:t xml:space="preserve"> no ha vencido el plazo para l rec</w:t>
      </w:r>
      <w:r w:rsidR="00337CC9" w:rsidRPr="00217435">
        <w:rPr>
          <w:rFonts w:ascii="Arial" w:eastAsia="Calibri" w:hAnsi="Arial" w:cs="Arial"/>
          <w:sz w:val="22"/>
          <w:lang w:val="es-ES"/>
        </w:rPr>
        <w:t>ibir</w:t>
      </w:r>
      <w:r w:rsidR="000B26BA" w:rsidRPr="00217435">
        <w:rPr>
          <w:rFonts w:ascii="Arial" w:eastAsia="Calibri" w:hAnsi="Arial" w:cs="Arial"/>
          <w:sz w:val="22"/>
          <w:lang w:val="es-ES"/>
        </w:rPr>
        <w:t xml:space="preserve"> ofertas, pero si el plazo para  modifica</w:t>
      </w:r>
      <w:r w:rsidR="00337CC9" w:rsidRPr="00217435">
        <w:rPr>
          <w:rFonts w:ascii="Arial" w:eastAsia="Calibri" w:hAnsi="Arial" w:cs="Arial"/>
          <w:sz w:val="22"/>
          <w:lang w:val="es-ES"/>
        </w:rPr>
        <w:t>r</w:t>
      </w:r>
      <w:r w:rsidR="000B26BA" w:rsidRPr="00217435">
        <w:rPr>
          <w:rFonts w:ascii="Arial" w:eastAsia="Calibri" w:hAnsi="Arial" w:cs="Arial"/>
          <w:sz w:val="22"/>
          <w:lang w:val="es-ES"/>
        </w:rPr>
        <w:t xml:space="preserve"> del pliego de condiciones</w:t>
      </w:r>
      <w:r w:rsidR="00337CC9" w:rsidRPr="00217435">
        <w:rPr>
          <w:rFonts w:ascii="Arial" w:eastAsia="Calibri" w:hAnsi="Arial" w:cs="Arial"/>
          <w:sz w:val="22"/>
          <w:lang w:val="es-ES"/>
        </w:rPr>
        <w:t>,</w:t>
      </w:r>
      <w:r w:rsidR="000B26BA" w:rsidRPr="00217435">
        <w:rPr>
          <w:rFonts w:ascii="Arial" w:eastAsia="Calibri" w:hAnsi="Arial" w:cs="Arial"/>
          <w:sz w:val="22"/>
          <w:lang w:val="es-ES"/>
        </w:rPr>
        <w:t xml:space="preserve"> establecido en el artículo 2.2.1.1.2.2.1 del Decreto 1082 de 2015, la entidad contratante no podrá hacer uso de la posibilidad de cargar documentación física en SECOP II para modificar pliego electrónico alegando una prevalencia de la documentación cargada</w:t>
      </w:r>
      <w:r w:rsidR="000B2F9C" w:rsidRPr="00217435">
        <w:rPr>
          <w:rFonts w:ascii="Arial" w:eastAsia="Calibri" w:hAnsi="Arial" w:cs="Arial"/>
          <w:sz w:val="22"/>
          <w:lang w:val="es-ES"/>
        </w:rPr>
        <w:t xml:space="preserve"> respecto de la </w:t>
      </w:r>
      <w:r w:rsidR="00D0322C" w:rsidRPr="00217435">
        <w:rPr>
          <w:rFonts w:ascii="Arial" w:eastAsia="Calibri" w:hAnsi="Arial" w:cs="Arial"/>
          <w:sz w:val="22"/>
          <w:lang w:val="es-ES"/>
        </w:rPr>
        <w:t>electrónica</w:t>
      </w:r>
      <w:r w:rsidR="000B26BA" w:rsidRPr="00217435">
        <w:rPr>
          <w:rFonts w:ascii="Arial" w:eastAsia="Calibri" w:hAnsi="Arial" w:cs="Arial"/>
          <w:sz w:val="22"/>
          <w:lang w:val="es-ES"/>
        </w:rPr>
        <w:t xml:space="preserve">, máxime cuando la plataforma tiene una funcionalidad que permite realizar adendas siempre que se cumplan los presupuestos para ello.  </w:t>
      </w:r>
    </w:p>
    <w:p w14:paraId="709D706D" w14:textId="3D89F800" w:rsidR="00056AB7" w:rsidRPr="00217435" w:rsidRDefault="000B2F9C" w:rsidP="000B2F9C">
      <w:pPr>
        <w:spacing w:after="120" w:line="276" w:lineRule="auto"/>
        <w:jc w:val="both"/>
        <w:rPr>
          <w:rFonts w:ascii="Arial" w:eastAsia="Calibri" w:hAnsi="Arial" w:cs="Arial"/>
          <w:sz w:val="22"/>
          <w:lang w:val="es-ES"/>
        </w:rPr>
      </w:pPr>
      <w:r w:rsidRPr="00217435">
        <w:rPr>
          <w:rFonts w:ascii="Arial" w:eastAsia="Calibri" w:hAnsi="Arial" w:cs="Arial"/>
          <w:sz w:val="22"/>
          <w:lang w:val="es-ES"/>
        </w:rPr>
        <w:tab/>
        <w:t xml:space="preserve">En todo </w:t>
      </w:r>
      <w:r w:rsidR="00D0322C" w:rsidRPr="00217435">
        <w:rPr>
          <w:rFonts w:ascii="Arial" w:eastAsia="Calibri" w:hAnsi="Arial" w:cs="Arial"/>
          <w:sz w:val="22"/>
          <w:lang w:val="es-ES"/>
        </w:rPr>
        <w:t>caso, se</w:t>
      </w:r>
      <w:r w:rsidRPr="00217435">
        <w:rPr>
          <w:rFonts w:ascii="Arial" w:eastAsia="Calibri" w:hAnsi="Arial" w:cs="Arial"/>
          <w:sz w:val="22"/>
          <w:lang w:val="es-ES"/>
        </w:rPr>
        <w:t xml:space="preserve"> </w:t>
      </w:r>
      <w:r w:rsidR="00337CC9" w:rsidRPr="00217435">
        <w:rPr>
          <w:rFonts w:ascii="Arial" w:eastAsia="Calibri" w:hAnsi="Arial" w:cs="Arial"/>
          <w:sz w:val="22"/>
          <w:lang w:val="es-ES"/>
        </w:rPr>
        <w:t>re</w:t>
      </w:r>
      <w:r w:rsidRPr="00217435">
        <w:rPr>
          <w:rFonts w:ascii="Arial" w:eastAsia="Calibri" w:hAnsi="Arial" w:cs="Arial"/>
          <w:sz w:val="22"/>
          <w:lang w:val="es-ES"/>
        </w:rPr>
        <w:t>itera, el cargue de documentación en medio físico en SECOP II tiene carácter excepcional</w:t>
      </w:r>
      <w:r w:rsidR="00337CC9" w:rsidRPr="00217435">
        <w:rPr>
          <w:rFonts w:ascii="Arial" w:eastAsia="Calibri" w:hAnsi="Arial" w:cs="Arial"/>
          <w:sz w:val="22"/>
          <w:lang w:val="es-ES"/>
        </w:rPr>
        <w:t>,</w:t>
      </w:r>
      <w:r w:rsidRPr="00217435">
        <w:rPr>
          <w:rFonts w:ascii="Arial" w:eastAsia="Calibri" w:hAnsi="Arial" w:cs="Arial"/>
          <w:sz w:val="22"/>
          <w:lang w:val="es-ES"/>
        </w:rPr>
        <w:t xml:space="preserve"> dada la finalidad transaccional de la plataforma</w:t>
      </w:r>
      <w:r w:rsidR="00337CC9" w:rsidRPr="00217435">
        <w:rPr>
          <w:rFonts w:ascii="Arial" w:eastAsia="Calibri" w:hAnsi="Arial" w:cs="Arial"/>
          <w:sz w:val="22"/>
          <w:lang w:val="es-ES"/>
        </w:rPr>
        <w:t>,</w:t>
      </w:r>
      <w:r w:rsidRPr="00217435">
        <w:rPr>
          <w:rFonts w:ascii="Arial" w:eastAsia="Calibri" w:hAnsi="Arial" w:cs="Arial"/>
          <w:sz w:val="22"/>
          <w:lang w:val="es-ES"/>
        </w:rPr>
        <w:t xml:space="preserve"> que apunta a que la mayor cantidad de actuaciones del proceso de contratación acontezca dentro de la misma, siempre que sea posible. Esto supone que los documentos que deben ser </w:t>
      </w:r>
      <w:r w:rsidR="00D0322C" w:rsidRPr="00217435">
        <w:rPr>
          <w:rFonts w:ascii="Arial" w:eastAsia="Calibri" w:hAnsi="Arial" w:cs="Arial"/>
          <w:sz w:val="22"/>
          <w:lang w:val="es-ES"/>
        </w:rPr>
        <w:t>objeto</w:t>
      </w:r>
      <w:r w:rsidRPr="00217435">
        <w:rPr>
          <w:rFonts w:ascii="Arial" w:eastAsia="Calibri" w:hAnsi="Arial" w:cs="Arial"/>
          <w:sz w:val="22"/>
          <w:lang w:val="es-ES"/>
        </w:rPr>
        <w:t xml:space="preserve"> de digitalización y posterior cargue en la plataforma son los que por las particularidades de su </w:t>
      </w:r>
      <w:r w:rsidR="00D0322C" w:rsidRPr="00217435">
        <w:rPr>
          <w:rFonts w:ascii="Arial" w:eastAsia="Calibri" w:hAnsi="Arial" w:cs="Arial"/>
          <w:sz w:val="22"/>
          <w:lang w:val="es-ES"/>
        </w:rPr>
        <w:t>producción deben</w:t>
      </w:r>
      <w:r w:rsidRPr="00217435">
        <w:rPr>
          <w:rFonts w:ascii="Arial" w:eastAsia="Calibri" w:hAnsi="Arial" w:cs="Arial"/>
          <w:sz w:val="22"/>
          <w:lang w:val="es-ES"/>
        </w:rPr>
        <w:t xml:space="preserve"> ser producidos en medio físico, así como los documentos que resulten necesarios para completar la información de los documentos electrónicos generados en el marco de la gestión contractual a través de SECOP II. </w:t>
      </w:r>
    </w:p>
    <w:p w14:paraId="2E1D543B" w14:textId="10B300CF" w:rsidR="000B2F9C" w:rsidRPr="00217435" w:rsidRDefault="000B2F9C" w:rsidP="0088551C">
      <w:pPr>
        <w:spacing w:line="276" w:lineRule="auto"/>
        <w:jc w:val="both"/>
        <w:rPr>
          <w:rFonts w:ascii="Arial" w:eastAsia="Calibri" w:hAnsi="Arial" w:cs="Arial"/>
          <w:sz w:val="22"/>
          <w:lang w:val="es-ES"/>
        </w:rPr>
      </w:pPr>
      <w:r w:rsidRPr="00217435">
        <w:rPr>
          <w:rFonts w:ascii="Arial" w:eastAsia="Calibri" w:hAnsi="Arial" w:cs="Arial"/>
          <w:sz w:val="22"/>
          <w:lang w:val="es-ES"/>
        </w:rPr>
        <w:tab/>
        <w:t>Lo anterior</w:t>
      </w:r>
      <w:r w:rsidR="00337CC9" w:rsidRPr="00217435">
        <w:rPr>
          <w:rFonts w:ascii="Arial" w:eastAsia="Calibri" w:hAnsi="Arial" w:cs="Arial"/>
          <w:sz w:val="22"/>
          <w:lang w:val="es-ES"/>
        </w:rPr>
        <w:t>,</w:t>
      </w:r>
      <w:r w:rsidRPr="00217435">
        <w:rPr>
          <w:rFonts w:ascii="Arial" w:eastAsia="Calibri" w:hAnsi="Arial" w:cs="Arial"/>
          <w:sz w:val="22"/>
          <w:lang w:val="es-ES"/>
        </w:rPr>
        <w:t xml:space="preserve"> además</w:t>
      </w:r>
      <w:r w:rsidR="00337CC9" w:rsidRPr="00217435">
        <w:rPr>
          <w:rFonts w:ascii="Arial" w:eastAsia="Calibri" w:hAnsi="Arial" w:cs="Arial"/>
          <w:sz w:val="22"/>
          <w:lang w:val="es-ES"/>
        </w:rPr>
        <w:t>,</w:t>
      </w:r>
      <w:r w:rsidRPr="00217435">
        <w:rPr>
          <w:rFonts w:ascii="Arial" w:eastAsia="Calibri" w:hAnsi="Arial" w:cs="Arial"/>
          <w:sz w:val="22"/>
          <w:lang w:val="es-ES"/>
        </w:rPr>
        <w:t xml:space="preserve"> supone que las entidades guarden  especial cuidado respecto de la documentación</w:t>
      </w:r>
      <w:r w:rsidR="00BA373A" w:rsidRPr="00217435">
        <w:rPr>
          <w:rFonts w:ascii="Arial" w:eastAsia="Calibri" w:hAnsi="Arial" w:cs="Arial"/>
          <w:sz w:val="22"/>
          <w:lang w:val="es-ES"/>
        </w:rPr>
        <w:t xml:space="preserve"> que publican, dirigido a evitar duplicidad de información contradictoria</w:t>
      </w:r>
      <w:r w:rsidRPr="00217435">
        <w:rPr>
          <w:rFonts w:ascii="Arial" w:eastAsia="Calibri" w:hAnsi="Arial" w:cs="Arial"/>
          <w:sz w:val="22"/>
          <w:lang w:val="es-ES"/>
        </w:rPr>
        <w:t xml:space="preserve"> </w:t>
      </w:r>
      <w:r w:rsidR="00BA373A" w:rsidRPr="00217435">
        <w:rPr>
          <w:rFonts w:ascii="Arial" w:eastAsia="Calibri" w:hAnsi="Arial" w:cs="Arial"/>
          <w:sz w:val="22"/>
          <w:lang w:val="es-ES"/>
        </w:rPr>
        <w:t xml:space="preserve">dentro de los </w:t>
      </w:r>
      <w:r w:rsidR="00BA373A" w:rsidRPr="00217435">
        <w:rPr>
          <w:rFonts w:ascii="Arial" w:eastAsia="Calibri" w:hAnsi="Arial" w:cs="Arial"/>
          <w:i/>
          <w:iCs/>
          <w:sz w:val="22"/>
          <w:lang w:val="es-ES"/>
        </w:rPr>
        <w:t>Documentos del Proceso</w:t>
      </w:r>
      <w:r w:rsidR="00337CC9" w:rsidRPr="00217435">
        <w:rPr>
          <w:rFonts w:ascii="Arial" w:eastAsia="Calibri" w:hAnsi="Arial" w:cs="Arial"/>
          <w:i/>
          <w:iCs/>
          <w:sz w:val="22"/>
          <w:lang w:val="es-ES"/>
        </w:rPr>
        <w:t>,</w:t>
      </w:r>
      <w:r w:rsidR="00BA373A" w:rsidRPr="00217435">
        <w:rPr>
          <w:rFonts w:ascii="Arial" w:eastAsia="Calibri" w:hAnsi="Arial" w:cs="Arial"/>
          <w:sz w:val="22"/>
          <w:lang w:val="es-ES"/>
        </w:rPr>
        <w:t xml:space="preserve"> que pudiera </w:t>
      </w:r>
      <w:r w:rsidR="00337CC9" w:rsidRPr="00217435">
        <w:rPr>
          <w:rFonts w:ascii="Arial" w:eastAsia="Calibri" w:hAnsi="Arial" w:cs="Arial"/>
          <w:sz w:val="22"/>
          <w:lang w:val="es-ES"/>
        </w:rPr>
        <w:t>crear</w:t>
      </w:r>
      <w:r w:rsidR="00BA373A" w:rsidRPr="00217435">
        <w:rPr>
          <w:rFonts w:ascii="Arial" w:eastAsia="Calibri" w:hAnsi="Arial" w:cs="Arial"/>
          <w:sz w:val="22"/>
          <w:lang w:val="es-ES"/>
        </w:rPr>
        <w:t xml:space="preserve"> </w:t>
      </w:r>
      <w:r w:rsidR="00D0322C" w:rsidRPr="00217435">
        <w:rPr>
          <w:rFonts w:ascii="Arial" w:eastAsia="Calibri" w:hAnsi="Arial" w:cs="Arial"/>
          <w:sz w:val="22"/>
          <w:lang w:val="es-ES"/>
        </w:rPr>
        <w:t>equívocos</w:t>
      </w:r>
      <w:r w:rsidR="00BA373A" w:rsidRPr="00217435">
        <w:rPr>
          <w:rFonts w:ascii="Arial" w:eastAsia="Calibri" w:hAnsi="Arial" w:cs="Arial"/>
          <w:sz w:val="22"/>
          <w:lang w:val="es-ES"/>
        </w:rPr>
        <w:t xml:space="preserve"> en el desarrollo del proceso de contratación, o que pudiera significar una inobservancia de las normas que regulan cada una de las respectivas actuaciones, o el incumplimiento del deber de publicidad conforme a las consideraciones desarrolladas a lo largo del presente concepto.</w:t>
      </w:r>
    </w:p>
    <w:p w14:paraId="145753CC" w14:textId="77777777" w:rsidR="000F5338" w:rsidRPr="00217435" w:rsidRDefault="000F5338" w:rsidP="00060081">
      <w:pPr>
        <w:spacing w:line="276" w:lineRule="auto"/>
        <w:jc w:val="both"/>
        <w:rPr>
          <w:rFonts w:ascii="Arial" w:eastAsia="Calibri" w:hAnsi="Arial" w:cs="Arial"/>
          <w:sz w:val="22"/>
          <w:lang w:val="es-ES"/>
        </w:rPr>
      </w:pPr>
    </w:p>
    <w:p w14:paraId="57F5E991" w14:textId="2CF9A82F" w:rsidR="001A2559" w:rsidRPr="00217435" w:rsidRDefault="001A2559" w:rsidP="001A2559">
      <w:pPr>
        <w:pStyle w:val="Prrafodelista"/>
        <w:tabs>
          <w:tab w:val="left" w:pos="284"/>
        </w:tabs>
        <w:spacing w:line="276" w:lineRule="auto"/>
        <w:ind w:left="0"/>
        <w:jc w:val="both"/>
        <w:rPr>
          <w:rFonts w:ascii="Arial" w:eastAsia="Calibri" w:hAnsi="Arial" w:cs="Arial"/>
          <w:sz w:val="22"/>
          <w:lang w:val="es-ES"/>
        </w:rPr>
      </w:pPr>
      <w:r w:rsidRPr="00217435">
        <w:rPr>
          <w:rFonts w:ascii="Arial" w:eastAsia="Calibri" w:hAnsi="Arial" w:cs="Arial"/>
          <w:b/>
          <w:sz w:val="22"/>
          <w:lang w:val="es-ES"/>
        </w:rPr>
        <w:t>3. Respuesta</w:t>
      </w:r>
    </w:p>
    <w:p w14:paraId="100E394B" w14:textId="77777777" w:rsidR="001A2559" w:rsidRPr="00217435" w:rsidRDefault="001A2559" w:rsidP="001A2559">
      <w:pPr>
        <w:spacing w:line="276" w:lineRule="auto"/>
        <w:ind w:left="709" w:right="709"/>
        <w:jc w:val="both"/>
        <w:rPr>
          <w:rFonts w:ascii="Arial" w:eastAsia="Calibri" w:hAnsi="Arial" w:cs="Arial"/>
          <w:i/>
          <w:sz w:val="22"/>
          <w:lang w:val="es-ES"/>
        </w:rPr>
      </w:pPr>
    </w:p>
    <w:p w14:paraId="092316E4" w14:textId="6A1286DE" w:rsidR="001E291F" w:rsidRPr="00217435" w:rsidRDefault="008B2578" w:rsidP="008A210F">
      <w:pPr>
        <w:spacing w:line="276" w:lineRule="auto"/>
        <w:ind w:left="709" w:right="709"/>
        <w:jc w:val="both"/>
        <w:rPr>
          <w:rFonts w:ascii="Arial" w:eastAsia="Calibri" w:hAnsi="Arial" w:cs="Arial"/>
          <w:sz w:val="21"/>
          <w:szCs w:val="21"/>
          <w:lang w:val="es-ES"/>
        </w:rPr>
      </w:pPr>
      <w:r w:rsidRPr="00217435">
        <w:rPr>
          <w:rFonts w:ascii="Arial" w:eastAsia="Calibri" w:hAnsi="Arial" w:cs="Arial"/>
          <w:sz w:val="21"/>
          <w:szCs w:val="21"/>
          <w:lang w:val="es-ES"/>
        </w:rPr>
        <w:t xml:space="preserve">«[…] 1. Dentro de los procesos contractuales ¿qué documentos y actuaciones deben quedar publicados en el SECOP II? […] 4. ¿Hasta </w:t>
      </w:r>
      <w:proofErr w:type="spellStart"/>
      <w:r w:rsidRPr="00217435">
        <w:rPr>
          <w:rFonts w:ascii="Arial" w:eastAsia="Calibri" w:hAnsi="Arial" w:cs="Arial"/>
          <w:sz w:val="21"/>
          <w:szCs w:val="21"/>
          <w:lang w:val="es-ES"/>
        </w:rPr>
        <w:t>donde</w:t>
      </w:r>
      <w:proofErr w:type="spellEnd"/>
      <w:r w:rsidRPr="00217435">
        <w:rPr>
          <w:rFonts w:ascii="Arial" w:eastAsia="Calibri" w:hAnsi="Arial" w:cs="Arial"/>
          <w:sz w:val="21"/>
          <w:szCs w:val="21"/>
          <w:lang w:val="es-ES"/>
        </w:rPr>
        <w:t xml:space="preserve"> llega el deber de publicidad de los documentos y actuaciones del proceso contractual? […]»</w:t>
      </w:r>
    </w:p>
    <w:p w14:paraId="2900FC7C" w14:textId="77777777" w:rsidR="008A210F" w:rsidRPr="00217435" w:rsidRDefault="008A210F" w:rsidP="001A2559">
      <w:pPr>
        <w:spacing w:line="276" w:lineRule="auto"/>
        <w:ind w:firstLine="709"/>
        <w:jc w:val="both"/>
        <w:rPr>
          <w:rFonts w:ascii="Arial" w:eastAsia="Calibri" w:hAnsi="Arial" w:cs="Arial"/>
          <w:sz w:val="22"/>
          <w:lang w:val="es-ES"/>
        </w:rPr>
      </w:pPr>
    </w:p>
    <w:p w14:paraId="675F7A62" w14:textId="01B0C8C4" w:rsidR="00345114" w:rsidRPr="00217435" w:rsidRDefault="001E291F" w:rsidP="00337CC9">
      <w:pPr>
        <w:spacing w:before="120" w:after="120" w:line="276" w:lineRule="auto"/>
        <w:jc w:val="both"/>
        <w:rPr>
          <w:rFonts w:ascii="Arial" w:eastAsia="Calibri" w:hAnsi="Arial" w:cs="Arial"/>
          <w:sz w:val="22"/>
          <w:lang w:val="es-ES"/>
        </w:rPr>
      </w:pPr>
      <w:bookmarkStart w:id="10" w:name="_Hlk46401513"/>
      <w:r w:rsidRPr="00217435">
        <w:rPr>
          <w:rFonts w:ascii="Arial" w:eastAsia="Calibri" w:hAnsi="Arial" w:cs="Arial"/>
          <w:sz w:val="22"/>
          <w:lang w:val="es-ES"/>
        </w:rPr>
        <w:t>Las entidades p</w:t>
      </w:r>
      <w:r w:rsidR="001B00DB" w:rsidRPr="00217435">
        <w:rPr>
          <w:rFonts w:ascii="Arial" w:eastAsia="Calibri" w:hAnsi="Arial" w:cs="Arial"/>
          <w:sz w:val="22"/>
          <w:lang w:val="es-ES"/>
        </w:rPr>
        <w:t>ú</w:t>
      </w:r>
      <w:r w:rsidRPr="00217435">
        <w:rPr>
          <w:rFonts w:ascii="Arial" w:eastAsia="Calibri" w:hAnsi="Arial" w:cs="Arial"/>
          <w:sz w:val="22"/>
          <w:lang w:val="es-ES"/>
        </w:rPr>
        <w:t xml:space="preserve">blicas sometidas al </w:t>
      </w:r>
      <w:r w:rsidR="00830B56" w:rsidRPr="00217435">
        <w:rPr>
          <w:rFonts w:ascii="Arial" w:eastAsia="Calibri" w:hAnsi="Arial" w:cs="Arial"/>
          <w:sz w:val="22"/>
          <w:lang w:val="es-ES"/>
        </w:rPr>
        <w:t>Estatuto</w:t>
      </w:r>
      <w:r w:rsidRPr="00217435">
        <w:rPr>
          <w:rFonts w:ascii="Arial" w:eastAsia="Calibri" w:hAnsi="Arial" w:cs="Arial"/>
          <w:sz w:val="22"/>
          <w:lang w:val="es-ES"/>
        </w:rPr>
        <w:t xml:space="preserve"> General de Contratación de la Administración Pública,</w:t>
      </w:r>
      <w:r w:rsidR="003C4B47" w:rsidRPr="00217435">
        <w:rPr>
          <w:rFonts w:ascii="Arial" w:eastAsia="Calibri" w:hAnsi="Arial" w:cs="Arial"/>
          <w:sz w:val="22"/>
          <w:lang w:val="es-ES"/>
        </w:rPr>
        <w:t xml:space="preserve"> que en virtud de su inclusión en el Anexo 1 de la Circular Externa No. </w:t>
      </w:r>
      <w:r w:rsidR="00830B56" w:rsidRPr="00217435">
        <w:rPr>
          <w:rFonts w:ascii="Arial" w:eastAsia="Calibri" w:hAnsi="Arial" w:cs="Arial"/>
          <w:sz w:val="22"/>
          <w:lang w:val="es-ES"/>
        </w:rPr>
        <w:t>1 de</w:t>
      </w:r>
      <w:r w:rsidR="00345114" w:rsidRPr="00217435">
        <w:rPr>
          <w:rFonts w:ascii="Arial" w:eastAsia="Calibri" w:hAnsi="Arial" w:cs="Arial"/>
          <w:sz w:val="22"/>
          <w:lang w:val="es-ES"/>
        </w:rPr>
        <w:t xml:space="preserve"> 2019 </w:t>
      </w:r>
      <w:r w:rsidR="003C4B47" w:rsidRPr="00217435">
        <w:rPr>
          <w:rFonts w:ascii="Arial" w:eastAsia="Calibri" w:hAnsi="Arial" w:cs="Arial"/>
          <w:sz w:val="22"/>
          <w:lang w:val="es-ES"/>
        </w:rPr>
        <w:t>expedida por la Agencia</w:t>
      </w:r>
      <w:r w:rsidR="00345114" w:rsidRPr="00217435">
        <w:rPr>
          <w:rFonts w:ascii="Arial" w:eastAsia="Calibri" w:hAnsi="Arial" w:cs="Arial"/>
          <w:sz w:val="22"/>
          <w:lang w:val="es-ES"/>
        </w:rPr>
        <w:t xml:space="preserve"> Nacional de Contratación Pública – Colombia Compra Eficiente, deban gestionar sus procesos de contratación a través de la plataforma SECOP II,</w:t>
      </w:r>
      <w:r w:rsidRPr="00217435">
        <w:rPr>
          <w:rFonts w:ascii="Arial" w:eastAsia="Calibri" w:hAnsi="Arial" w:cs="Arial"/>
          <w:sz w:val="22"/>
          <w:lang w:val="es-ES"/>
        </w:rPr>
        <w:t xml:space="preserve"> de conformidad con el artículo 3 de la Ley 1150 de 2007, desarrollado por el artículo 2.2.1.1.1.7.1</w:t>
      </w:r>
      <w:r w:rsidR="00F02870" w:rsidRPr="00217435">
        <w:rPr>
          <w:rFonts w:ascii="Arial" w:eastAsia="Calibri" w:hAnsi="Arial" w:cs="Arial"/>
          <w:sz w:val="22"/>
          <w:lang w:val="es-ES"/>
        </w:rPr>
        <w:t xml:space="preserve"> del Decreto 1082 de 2015,</w:t>
      </w:r>
      <w:r w:rsidR="00D0322C" w:rsidRPr="00217435">
        <w:rPr>
          <w:rFonts w:ascii="Arial" w:eastAsia="Calibri" w:hAnsi="Arial" w:cs="Arial"/>
          <w:sz w:val="22"/>
          <w:lang w:val="es-ES"/>
        </w:rPr>
        <w:t xml:space="preserve"> así como según el literal g) del artículo 11 de la Ley 1712 de 2014 y los artículos 2.1.1.2.1.7, 2.1.1.2.1.8, 2.1.1.2.1.9 y 2.1.1.2.1.10 del Decreto 1081 de 2015, </w:t>
      </w:r>
      <w:r w:rsidR="00F02870" w:rsidRPr="00217435">
        <w:rPr>
          <w:rFonts w:ascii="Arial" w:eastAsia="Calibri" w:hAnsi="Arial" w:cs="Arial"/>
          <w:sz w:val="22"/>
          <w:lang w:val="es-ES"/>
        </w:rPr>
        <w:t>debe</w:t>
      </w:r>
      <w:r w:rsidR="00337CC9" w:rsidRPr="00217435">
        <w:rPr>
          <w:rFonts w:ascii="Arial" w:eastAsia="Calibri" w:hAnsi="Arial" w:cs="Arial"/>
          <w:sz w:val="22"/>
          <w:lang w:val="es-ES"/>
        </w:rPr>
        <w:t>n</w:t>
      </w:r>
      <w:r w:rsidR="00F02870" w:rsidRPr="00217435">
        <w:rPr>
          <w:rFonts w:ascii="Arial" w:eastAsia="Calibri" w:hAnsi="Arial" w:cs="Arial"/>
          <w:sz w:val="22"/>
          <w:lang w:val="es-ES"/>
        </w:rPr>
        <w:t xml:space="preserve"> publicar en </w:t>
      </w:r>
      <w:r w:rsidR="00345114" w:rsidRPr="00217435">
        <w:rPr>
          <w:rFonts w:ascii="Arial" w:eastAsia="Calibri" w:hAnsi="Arial" w:cs="Arial"/>
          <w:sz w:val="22"/>
          <w:lang w:val="es-ES"/>
        </w:rPr>
        <w:t>dicha plataforma</w:t>
      </w:r>
      <w:r w:rsidR="003D1E47" w:rsidRPr="00217435">
        <w:rPr>
          <w:rFonts w:ascii="Arial" w:eastAsia="Calibri" w:hAnsi="Arial" w:cs="Arial"/>
          <w:sz w:val="22"/>
          <w:lang w:val="es-ES"/>
        </w:rPr>
        <w:t>, además del Plan Anual de Adquisiciones,</w:t>
      </w:r>
      <w:r w:rsidRPr="00217435">
        <w:rPr>
          <w:rFonts w:ascii="Arial" w:eastAsia="Calibri" w:hAnsi="Arial" w:cs="Arial"/>
          <w:sz w:val="22"/>
          <w:lang w:val="es-ES"/>
        </w:rPr>
        <w:t xml:space="preserve"> </w:t>
      </w:r>
      <w:r w:rsidR="00D0322C" w:rsidRPr="00217435">
        <w:rPr>
          <w:rFonts w:ascii="Arial" w:eastAsia="Calibri" w:hAnsi="Arial" w:cs="Arial"/>
          <w:sz w:val="22"/>
          <w:lang w:val="es-ES"/>
        </w:rPr>
        <w:t>todos los documentos</w:t>
      </w:r>
      <w:r w:rsidR="00C87243" w:rsidRPr="00217435">
        <w:rPr>
          <w:rFonts w:ascii="Arial" w:eastAsia="Calibri" w:hAnsi="Arial" w:cs="Arial"/>
          <w:sz w:val="22"/>
          <w:lang w:val="es-ES"/>
        </w:rPr>
        <w:t xml:space="preserve">, actos administrativos o </w:t>
      </w:r>
      <w:r w:rsidR="00D0322C" w:rsidRPr="00217435">
        <w:rPr>
          <w:rFonts w:ascii="Arial" w:eastAsia="Calibri" w:hAnsi="Arial" w:cs="Arial"/>
          <w:sz w:val="22"/>
          <w:lang w:val="es-ES"/>
        </w:rPr>
        <w:t xml:space="preserve">actuaciones producidos con ocasión del </w:t>
      </w:r>
      <w:r w:rsidR="00D0322C" w:rsidRPr="00217435">
        <w:rPr>
          <w:rFonts w:ascii="Arial" w:eastAsia="Calibri" w:hAnsi="Arial" w:cs="Arial"/>
          <w:i/>
          <w:iCs/>
          <w:sz w:val="22"/>
          <w:lang w:val="es-ES"/>
        </w:rPr>
        <w:t>Proceso de Contratación</w:t>
      </w:r>
      <w:r w:rsidRPr="00217435">
        <w:rPr>
          <w:rFonts w:ascii="Arial" w:eastAsia="Calibri" w:hAnsi="Arial" w:cs="Arial"/>
          <w:sz w:val="22"/>
          <w:lang w:val="es-ES"/>
        </w:rPr>
        <w:t>. De</w:t>
      </w:r>
      <w:r w:rsidR="004B3798" w:rsidRPr="00217435">
        <w:rPr>
          <w:rFonts w:ascii="Arial" w:eastAsia="Calibri" w:hAnsi="Arial" w:cs="Arial"/>
          <w:sz w:val="22"/>
          <w:lang w:val="es-ES"/>
        </w:rPr>
        <w:t>ntro de tales documentos encontramos</w:t>
      </w:r>
      <w:r w:rsidR="003D1E47" w:rsidRPr="00217435">
        <w:rPr>
          <w:rFonts w:ascii="Arial" w:eastAsia="Calibri" w:hAnsi="Arial" w:cs="Arial"/>
          <w:sz w:val="22"/>
          <w:lang w:val="es-ES"/>
        </w:rPr>
        <w:t xml:space="preserve">, entre </w:t>
      </w:r>
      <w:r w:rsidR="003D1E47" w:rsidRPr="00217435">
        <w:rPr>
          <w:rFonts w:ascii="Arial" w:eastAsia="Calibri" w:hAnsi="Arial" w:cs="Arial"/>
          <w:sz w:val="22"/>
          <w:lang w:val="es-ES"/>
        </w:rPr>
        <w:lastRenderedPageBreak/>
        <w:t>otros, los siguientes</w:t>
      </w:r>
      <w:r w:rsidR="004B3798" w:rsidRPr="00217435">
        <w:rPr>
          <w:rFonts w:ascii="Arial" w:eastAsia="Calibri" w:hAnsi="Arial" w:cs="Arial"/>
          <w:sz w:val="22"/>
          <w:lang w:val="es-ES"/>
        </w:rPr>
        <w:t>:</w:t>
      </w:r>
      <w:r w:rsidR="00C87243" w:rsidRPr="00217435">
        <w:rPr>
          <w:rStyle w:val="Textoennegrita"/>
          <w:rFonts w:ascii="Arial" w:hAnsi="Arial" w:cs="Arial"/>
          <w:b w:val="0"/>
          <w:bCs w:val="0"/>
          <w:sz w:val="22"/>
          <w:lang w:val="es-ES"/>
        </w:rPr>
        <w:t xml:space="preserve"> </w:t>
      </w:r>
      <w:r w:rsidR="003D1E47" w:rsidRPr="00217435">
        <w:rPr>
          <w:rStyle w:val="Textoennegrita"/>
          <w:rFonts w:ascii="Arial" w:hAnsi="Arial" w:cs="Arial"/>
          <w:b w:val="0"/>
          <w:bCs w:val="0"/>
          <w:sz w:val="22"/>
          <w:lang w:val="es-ES"/>
        </w:rPr>
        <w:t xml:space="preserve">i) el estudio de oportunidad y conveniencia; </w:t>
      </w:r>
      <w:proofErr w:type="spellStart"/>
      <w:r w:rsidR="003D1E47" w:rsidRPr="00217435">
        <w:rPr>
          <w:rStyle w:val="Textoennegrita"/>
          <w:rFonts w:ascii="Arial" w:hAnsi="Arial" w:cs="Arial"/>
          <w:b w:val="0"/>
          <w:bCs w:val="0"/>
          <w:sz w:val="22"/>
          <w:lang w:val="es-ES"/>
        </w:rPr>
        <w:t>ii</w:t>
      </w:r>
      <w:proofErr w:type="spellEnd"/>
      <w:r w:rsidR="003D1E47" w:rsidRPr="00217435">
        <w:rPr>
          <w:rStyle w:val="Textoennegrita"/>
          <w:rFonts w:ascii="Arial" w:hAnsi="Arial" w:cs="Arial"/>
          <w:b w:val="0"/>
          <w:bCs w:val="0"/>
          <w:sz w:val="22"/>
          <w:lang w:val="es-ES"/>
        </w:rPr>
        <w:t xml:space="preserve">) </w:t>
      </w:r>
      <w:r w:rsidR="003D1E47" w:rsidRPr="00217435">
        <w:rPr>
          <w:rFonts w:ascii="Arial" w:hAnsi="Arial" w:cs="Arial"/>
          <w:sz w:val="22"/>
          <w:lang w:val="es-ES"/>
        </w:rPr>
        <w:t xml:space="preserve">los estudios y documentos previos –técnicos o no–; </w:t>
      </w:r>
      <w:proofErr w:type="spellStart"/>
      <w:r w:rsidR="003D1E47" w:rsidRPr="00217435">
        <w:rPr>
          <w:rFonts w:ascii="Arial" w:hAnsi="Arial" w:cs="Arial"/>
          <w:sz w:val="22"/>
          <w:lang w:val="es-ES"/>
        </w:rPr>
        <w:t>iii</w:t>
      </w:r>
      <w:proofErr w:type="spellEnd"/>
      <w:r w:rsidR="003D1E47" w:rsidRPr="00217435">
        <w:rPr>
          <w:rFonts w:ascii="Arial" w:hAnsi="Arial" w:cs="Arial"/>
          <w:sz w:val="22"/>
          <w:lang w:val="es-ES"/>
        </w:rPr>
        <w:t xml:space="preserve">) el  aviso de convocatoria; </w:t>
      </w:r>
      <w:proofErr w:type="spellStart"/>
      <w:r w:rsidR="003D1E47" w:rsidRPr="00217435">
        <w:rPr>
          <w:rFonts w:ascii="Arial" w:hAnsi="Arial" w:cs="Arial"/>
          <w:sz w:val="22"/>
          <w:lang w:val="es-ES"/>
        </w:rPr>
        <w:t>iv</w:t>
      </w:r>
      <w:proofErr w:type="spellEnd"/>
      <w:r w:rsidR="003D1E47" w:rsidRPr="00217435">
        <w:rPr>
          <w:rFonts w:ascii="Arial" w:hAnsi="Arial" w:cs="Arial"/>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003D1E47" w:rsidRPr="00217435">
        <w:rPr>
          <w:rFonts w:ascii="Arial" w:hAnsi="Arial" w:cs="Arial"/>
          <w:sz w:val="22"/>
          <w:lang w:val="es-ES"/>
        </w:rPr>
        <w:t>vii</w:t>
      </w:r>
      <w:proofErr w:type="spellEnd"/>
      <w:r w:rsidR="003D1E47" w:rsidRPr="00217435">
        <w:rPr>
          <w:rFonts w:ascii="Arial" w:hAnsi="Arial" w:cs="Arial"/>
          <w:sz w:val="22"/>
          <w:lang w:val="es-ES"/>
        </w:rPr>
        <w:t xml:space="preserve">) el acta de cierre del plazo para presentar ofertas; </w:t>
      </w:r>
      <w:proofErr w:type="spellStart"/>
      <w:r w:rsidR="003D1E47" w:rsidRPr="00217435">
        <w:rPr>
          <w:rFonts w:ascii="Arial" w:hAnsi="Arial" w:cs="Arial"/>
          <w:sz w:val="22"/>
          <w:lang w:val="es-ES"/>
        </w:rPr>
        <w:t>viii</w:t>
      </w:r>
      <w:proofErr w:type="spellEnd"/>
      <w:r w:rsidR="003D1E47" w:rsidRPr="00217435">
        <w:rPr>
          <w:rFonts w:ascii="Arial" w:hAnsi="Arial" w:cs="Arial"/>
          <w:sz w:val="22"/>
          <w:lang w:val="es-ES"/>
        </w:rPr>
        <w:t xml:space="preserve">) las adendas; </w:t>
      </w:r>
      <w:proofErr w:type="spellStart"/>
      <w:r w:rsidR="003D1E47" w:rsidRPr="00217435">
        <w:rPr>
          <w:rFonts w:ascii="Arial" w:hAnsi="Arial" w:cs="Arial"/>
          <w:sz w:val="22"/>
          <w:lang w:val="es-ES"/>
        </w:rPr>
        <w:t>ix</w:t>
      </w:r>
      <w:proofErr w:type="spellEnd"/>
      <w:r w:rsidR="003D1E47" w:rsidRPr="00217435">
        <w:rPr>
          <w:rFonts w:ascii="Arial" w:hAnsi="Arial" w:cs="Arial"/>
          <w:sz w:val="22"/>
          <w:lang w:val="es-ES"/>
        </w:rPr>
        <w:t xml:space="preserve">) las ofertas del adjudicatario y los proponentes habilitados, así como las aclaraciones que se les realicen; x) el informe de precalificación y las observaciones que se formulen; xi) el informe de evaluación y las observaciones que se formulen; </w:t>
      </w:r>
      <w:proofErr w:type="spellStart"/>
      <w:r w:rsidR="003D1E47" w:rsidRPr="00217435">
        <w:rPr>
          <w:rFonts w:ascii="Arial" w:hAnsi="Arial" w:cs="Arial"/>
          <w:sz w:val="22"/>
          <w:lang w:val="es-ES"/>
        </w:rPr>
        <w:t>xii</w:t>
      </w:r>
      <w:proofErr w:type="spellEnd"/>
      <w:r w:rsidR="003D1E47" w:rsidRPr="00217435">
        <w:rPr>
          <w:rFonts w:ascii="Arial" w:hAnsi="Arial" w:cs="Arial"/>
          <w:sz w:val="22"/>
          <w:lang w:val="es-ES"/>
        </w:rPr>
        <w:t xml:space="preserve">) las respuestas a las observaciones; </w:t>
      </w:r>
      <w:proofErr w:type="spellStart"/>
      <w:r w:rsidR="003D1E47" w:rsidRPr="00217435">
        <w:rPr>
          <w:rFonts w:ascii="Arial" w:hAnsi="Arial" w:cs="Arial"/>
          <w:sz w:val="22"/>
          <w:lang w:val="es-ES"/>
        </w:rPr>
        <w:t>xiii</w:t>
      </w:r>
      <w:proofErr w:type="spellEnd"/>
      <w:r w:rsidR="003D1E47" w:rsidRPr="00217435">
        <w:rPr>
          <w:rFonts w:ascii="Arial" w:hAnsi="Arial" w:cs="Arial"/>
          <w:sz w:val="22"/>
          <w:lang w:val="es-ES"/>
        </w:rPr>
        <w:t xml:space="preserve">) el contrato y los otrosíes o modificaciones; </w:t>
      </w:r>
      <w:proofErr w:type="spellStart"/>
      <w:r w:rsidR="003D1E47" w:rsidRPr="00217435">
        <w:rPr>
          <w:rFonts w:ascii="Arial" w:hAnsi="Arial" w:cs="Arial"/>
          <w:sz w:val="22"/>
          <w:lang w:val="es-ES"/>
        </w:rPr>
        <w:t>xiv</w:t>
      </w:r>
      <w:proofErr w:type="spellEnd"/>
      <w:r w:rsidR="003D1E47" w:rsidRPr="00217435">
        <w:rPr>
          <w:rFonts w:ascii="Arial" w:hAnsi="Arial" w:cs="Arial"/>
          <w:sz w:val="22"/>
          <w:lang w:val="es-ES"/>
        </w:rPr>
        <w:t xml:space="preserve">) el acta de inicio; </w:t>
      </w:r>
      <w:proofErr w:type="spellStart"/>
      <w:r w:rsidR="003D1E47" w:rsidRPr="00217435">
        <w:rPr>
          <w:rFonts w:ascii="Arial" w:hAnsi="Arial" w:cs="Arial"/>
          <w:sz w:val="22"/>
          <w:lang w:val="es-ES"/>
        </w:rPr>
        <w:t>xv</w:t>
      </w:r>
      <w:proofErr w:type="spellEnd"/>
      <w:r w:rsidR="003D1E47" w:rsidRPr="00217435">
        <w:rPr>
          <w:rFonts w:ascii="Arial" w:hAnsi="Arial" w:cs="Arial"/>
          <w:sz w:val="22"/>
          <w:lang w:val="es-ES"/>
        </w:rPr>
        <w:t xml:space="preserve">) las garantías; </w:t>
      </w:r>
      <w:proofErr w:type="spellStart"/>
      <w:r w:rsidR="003D1E47" w:rsidRPr="00217435">
        <w:rPr>
          <w:rFonts w:ascii="Arial" w:hAnsi="Arial" w:cs="Arial"/>
          <w:sz w:val="22"/>
          <w:lang w:val="es-ES"/>
        </w:rPr>
        <w:t>xvi</w:t>
      </w:r>
      <w:proofErr w:type="spellEnd"/>
      <w:r w:rsidR="003D1E47" w:rsidRPr="00217435">
        <w:rPr>
          <w:rFonts w:ascii="Arial" w:hAnsi="Arial" w:cs="Arial"/>
          <w:sz w:val="22"/>
          <w:lang w:val="es-ES"/>
        </w:rPr>
        <w:t xml:space="preserve">) el acta de liquidación; </w:t>
      </w:r>
      <w:proofErr w:type="spellStart"/>
      <w:r w:rsidR="003D1E47" w:rsidRPr="00217435">
        <w:rPr>
          <w:rFonts w:ascii="Arial" w:hAnsi="Arial" w:cs="Arial"/>
          <w:sz w:val="22"/>
          <w:lang w:val="es-ES"/>
        </w:rPr>
        <w:t>xvii</w:t>
      </w:r>
      <w:proofErr w:type="spellEnd"/>
      <w:r w:rsidR="003D1E47" w:rsidRPr="00217435">
        <w:rPr>
          <w:rFonts w:ascii="Arial" w:hAnsi="Arial" w:cs="Arial"/>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003D1E47" w:rsidRPr="00217435">
        <w:rPr>
          <w:rFonts w:ascii="Arial" w:hAnsi="Arial" w:cs="Arial"/>
          <w:sz w:val="22"/>
          <w:lang w:val="es-ES"/>
        </w:rPr>
        <w:t>xviii</w:t>
      </w:r>
      <w:proofErr w:type="spellEnd"/>
      <w:r w:rsidR="003D1E47" w:rsidRPr="00217435">
        <w:rPr>
          <w:rFonts w:ascii="Arial"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003D1E47" w:rsidRPr="00217435">
        <w:rPr>
          <w:rFonts w:ascii="Arial" w:hAnsi="Arial" w:cs="Arial"/>
          <w:sz w:val="22"/>
          <w:lang w:val="es-ES"/>
        </w:rPr>
        <w:t>ix</w:t>
      </w:r>
      <w:proofErr w:type="spellEnd"/>
      <w:r w:rsidR="003D1E47" w:rsidRPr="00217435">
        <w:rPr>
          <w:rFonts w:ascii="Arial" w:hAnsi="Arial" w:cs="Arial"/>
          <w:sz w:val="22"/>
          <w:lang w:val="es-ES"/>
        </w:rPr>
        <w:t xml:space="preserve">) las reclamaciones que presenten las partes y las respuestas que se expidan a las mismas; </w:t>
      </w:r>
      <w:proofErr w:type="spellStart"/>
      <w:r w:rsidR="003D1E47" w:rsidRPr="00217435">
        <w:rPr>
          <w:rFonts w:ascii="Arial" w:hAnsi="Arial" w:cs="Arial"/>
          <w:sz w:val="22"/>
          <w:lang w:val="es-ES"/>
        </w:rPr>
        <w:t>xx</w:t>
      </w:r>
      <w:proofErr w:type="spellEnd"/>
      <w:r w:rsidR="003D1E47" w:rsidRPr="00217435">
        <w:rPr>
          <w:rFonts w:ascii="Arial" w:hAnsi="Arial" w:cs="Arial"/>
          <w:sz w:val="22"/>
          <w:lang w:val="es-ES"/>
        </w:rPr>
        <w:t xml:space="preserve">) las actas de entrega o recibo, </w:t>
      </w:r>
      <w:proofErr w:type="spellStart"/>
      <w:r w:rsidR="003D1E47" w:rsidRPr="00217435">
        <w:rPr>
          <w:rFonts w:ascii="Arial" w:hAnsi="Arial" w:cs="Arial"/>
          <w:sz w:val="22"/>
          <w:lang w:val="es-ES"/>
        </w:rPr>
        <w:t>xxi</w:t>
      </w:r>
      <w:proofErr w:type="spellEnd"/>
      <w:r w:rsidR="003D1E47" w:rsidRPr="00217435">
        <w:rPr>
          <w:rFonts w:ascii="Arial" w:hAnsi="Arial" w:cs="Arial"/>
          <w:sz w:val="22"/>
          <w:lang w:val="es-ES"/>
        </w:rPr>
        <w:t xml:space="preserve">) los informes de supervisión y/o interventoría; </w:t>
      </w:r>
      <w:proofErr w:type="spellStart"/>
      <w:r w:rsidR="003D1E47" w:rsidRPr="00217435">
        <w:rPr>
          <w:rFonts w:ascii="Arial" w:hAnsi="Arial" w:cs="Arial"/>
          <w:sz w:val="22"/>
          <w:lang w:val="es-ES"/>
        </w:rPr>
        <w:t>xxii</w:t>
      </w:r>
      <w:proofErr w:type="spellEnd"/>
      <w:r w:rsidR="003D1E47" w:rsidRPr="00217435">
        <w:rPr>
          <w:rFonts w:ascii="Arial" w:hAnsi="Arial" w:cs="Arial"/>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003D1E47" w:rsidRPr="00217435">
        <w:rPr>
          <w:rFonts w:ascii="Arial" w:hAnsi="Arial" w:cs="Arial"/>
          <w:sz w:val="22"/>
          <w:lang w:val="es-ES"/>
        </w:rPr>
        <w:t>xxiii</w:t>
      </w:r>
      <w:proofErr w:type="spellEnd"/>
      <w:r w:rsidR="003D1E47" w:rsidRPr="00217435">
        <w:rPr>
          <w:rFonts w:ascii="Arial" w:hAnsi="Arial" w:cs="Arial"/>
          <w:sz w:val="22"/>
          <w:lang w:val="es-ES"/>
        </w:rPr>
        <w:t xml:space="preserve">) la liquidación unilateral y </w:t>
      </w:r>
      <w:proofErr w:type="spellStart"/>
      <w:r w:rsidR="003D1E47" w:rsidRPr="00217435">
        <w:rPr>
          <w:rFonts w:ascii="Arial" w:hAnsi="Arial" w:cs="Arial"/>
          <w:sz w:val="22"/>
          <w:lang w:val="es-ES"/>
        </w:rPr>
        <w:t>xxiv</w:t>
      </w:r>
      <w:proofErr w:type="spellEnd"/>
      <w:r w:rsidR="003D1E47" w:rsidRPr="00217435">
        <w:rPr>
          <w:rFonts w:ascii="Arial" w:hAnsi="Arial" w:cs="Arial"/>
          <w:sz w:val="22"/>
          <w:lang w:val="es-ES"/>
        </w:rPr>
        <w:t xml:space="preserve">) en general cualquier otro documento producido o expedido con ocasión del </w:t>
      </w:r>
      <w:r w:rsidR="003D1E47" w:rsidRPr="00217435">
        <w:rPr>
          <w:rFonts w:ascii="Arial" w:hAnsi="Arial" w:cs="Arial"/>
          <w:i/>
          <w:iCs/>
          <w:sz w:val="22"/>
          <w:lang w:val="es-ES"/>
        </w:rPr>
        <w:t>Proceso de Contratación</w:t>
      </w:r>
      <w:r w:rsidR="003D1E47" w:rsidRPr="00217435">
        <w:rPr>
          <w:rFonts w:ascii="Arial" w:hAnsi="Arial" w:cs="Arial"/>
          <w:sz w:val="22"/>
          <w:lang w:val="es-ES"/>
        </w:rPr>
        <w:t>, sin importar quién sea su autor –la Administración o el contratista–, con excepción de los que pertenecen a</w:t>
      </w:r>
      <w:r w:rsidR="003D1E47" w:rsidRPr="00217435">
        <w:rPr>
          <w:rFonts w:ascii="Arial" w:eastAsia="Arial" w:hAnsi="Arial" w:cs="Arial"/>
          <w:sz w:val="22"/>
          <w:lang w:val="es-ES"/>
        </w:rPr>
        <w:t xml:space="preserve">l marco de operaciones de bolsa de productos, expresamente excluidos de publicación por el artículo 2.2.1.1.1.7.1. del Decreto 1082 de 2015. </w:t>
      </w:r>
    </w:p>
    <w:p w14:paraId="4B1B6BA5" w14:textId="4890325E" w:rsidR="00345114" w:rsidRPr="00217435" w:rsidRDefault="00345114" w:rsidP="001E291F">
      <w:pPr>
        <w:spacing w:before="120" w:after="120" w:line="276" w:lineRule="auto"/>
        <w:ind w:firstLine="708"/>
        <w:jc w:val="both"/>
        <w:rPr>
          <w:rFonts w:ascii="Arial" w:eastAsia="Calibri" w:hAnsi="Arial" w:cs="Arial"/>
          <w:sz w:val="22"/>
          <w:lang w:val="es-ES"/>
        </w:rPr>
      </w:pPr>
      <w:r w:rsidRPr="00217435">
        <w:rPr>
          <w:rFonts w:ascii="Arial" w:eastAsia="Calibri" w:hAnsi="Arial" w:cs="Arial"/>
          <w:sz w:val="22"/>
          <w:lang w:val="es-ES"/>
        </w:rPr>
        <w:t xml:space="preserve">Conforme a la naturaleza transaccional de SECOP II, estos documentos </w:t>
      </w:r>
      <w:r w:rsidR="0025355A" w:rsidRPr="00217435">
        <w:rPr>
          <w:rFonts w:ascii="Arial" w:eastAsia="Calibri" w:hAnsi="Arial" w:cs="Arial"/>
          <w:sz w:val="22"/>
          <w:lang w:val="es-ES"/>
        </w:rPr>
        <w:t xml:space="preserve">se </w:t>
      </w:r>
      <w:r w:rsidR="00830B56" w:rsidRPr="00217435">
        <w:rPr>
          <w:rFonts w:ascii="Arial" w:eastAsia="Calibri" w:hAnsi="Arial" w:cs="Arial"/>
          <w:sz w:val="22"/>
          <w:lang w:val="es-ES"/>
        </w:rPr>
        <w:t>publican</w:t>
      </w:r>
      <w:r w:rsidRPr="00217435">
        <w:rPr>
          <w:rFonts w:ascii="Arial" w:eastAsia="Calibri" w:hAnsi="Arial" w:cs="Arial"/>
          <w:sz w:val="22"/>
          <w:lang w:val="es-ES"/>
        </w:rPr>
        <w:t xml:space="preserve"> en tiempo real en la plataforma, en la medida </w:t>
      </w:r>
      <w:r w:rsidR="001B128D" w:rsidRPr="00217435">
        <w:rPr>
          <w:rFonts w:ascii="Arial" w:eastAsia="Calibri" w:hAnsi="Arial" w:cs="Arial"/>
          <w:sz w:val="22"/>
          <w:lang w:val="es-ES"/>
        </w:rPr>
        <w:t xml:space="preserve">en </w:t>
      </w:r>
      <w:r w:rsidRPr="00217435">
        <w:rPr>
          <w:rFonts w:ascii="Arial" w:eastAsia="Calibri" w:hAnsi="Arial" w:cs="Arial"/>
          <w:sz w:val="22"/>
          <w:lang w:val="es-ES"/>
        </w:rPr>
        <w:t xml:space="preserve">que de ello depende el avance del </w:t>
      </w:r>
      <w:r w:rsidR="0025355A" w:rsidRPr="00217435">
        <w:rPr>
          <w:rFonts w:ascii="Arial" w:eastAsia="Calibri" w:hAnsi="Arial" w:cs="Arial"/>
          <w:i/>
          <w:iCs/>
          <w:sz w:val="22"/>
          <w:lang w:val="es-ES"/>
        </w:rPr>
        <w:t>P</w:t>
      </w:r>
      <w:r w:rsidRPr="00217435">
        <w:rPr>
          <w:rFonts w:ascii="Arial" w:eastAsia="Calibri" w:hAnsi="Arial" w:cs="Arial"/>
          <w:i/>
          <w:iCs/>
          <w:sz w:val="22"/>
          <w:lang w:val="es-ES"/>
        </w:rPr>
        <w:t xml:space="preserve">roceso de </w:t>
      </w:r>
      <w:r w:rsidR="0025355A" w:rsidRPr="00217435">
        <w:rPr>
          <w:rFonts w:ascii="Arial" w:eastAsia="Calibri" w:hAnsi="Arial" w:cs="Arial"/>
          <w:i/>
          <w:iCs/>
          <w:sz w:val="22"/>
          <w:lang w:val="es-ES"/>
        </w:rPr>
        <w:t>C</w:t>
      </w:r>
      <w:r w:rsidRPr="00217435">
        <w:rPr>
          <w:rFonts w:ascii="Arial" w:eastAsia="Calibri" w:hAnsi="Arial" w:cs="Arial"/>
          <w:i/>
          <w:iCs/>
          <w:sz w:val="22"/>
          <w:lang w:val="es-ES"/>
        </w:rPr>
        <w:t>ontratación</w:t>
      </w:r>
      <w:r w:rsidRPr="00217435">
        <w:rPr>
          <w:rFonts w:ascii="Arial" w:eastAsia="Calibri" w:hAnsi="Arial" w:cs="Arial"/>
          <w:sz w:val="22"/>
          <w:lang w:val="es-ES"/>
        </w:rPr>
        <w:t>, por lo que en estos casos no aplica</w:t>
      </w:r>
      <w:r w:rsidR="0031458F" w:rsidRPr="00217435">
        <w:rPr>
          <w:rFonts w:ascii="Arial" w:eastAsia="Calibri" w:hAnsi="Arial" w:cs="Arial"/>
          <w:sz w:val="22"/>
          <w:lang w:val="es-ES"/>
        </w:rPr>
        <w:t xml:space="preserve"> </w:t>
      </w:r>
      <w:r w:rsidRPr="00217435">
        <w:rPr>
          <w:rFonts w:ascii="Arial" w:eastAsia="Calibri" w:hAnsi="Arial" w:cs="Arial"/>
          <w:sz w:val="22"/>
          <w:lang w:val="es-ES"/>
        </w:rPr>
        <w:t xml:space="preserve">el </w:t>
      </w:r>
      <w:r w:rsidR="00830B56" w:rsidRPr="00217435">
        <w:rPr>
          <w:rFonts w:ascii="Arial" w:eastAsia="Calibri" w:hAnsi="Arial" w:cs="Arial"/>
          <w:sz w:val="22"/>
          <w:lang w:val="es-ES"/>
        </w:rPr>
        <w:t>término</w:t>
      </w:r>
      <w:r w:rsidRPr="00217435">
        <w:rPr>
          <w:rFonts w:ascii="Arial" w:eastAsia="Calibri" w:hAnsi="Arial" w:cs="Arial"/>
          <w:sz w:val="22"/>
          <w:lang w:val="es-ES"/>
        </w:rPr>
        <w:t xml:space="preserve"> de tres (3) días previsto en el artículo 2.2.1.1.1.7.1 del Decreto 1082 de 2015</w:t>
      </w:r>
      <w:r w:rsidR="000D3918" w:rsidRPr="00217435">
        <w:rPr>
          <w:rFonts w:ascii="Arial" w:eastAsia="Calibri" w:hAnsi="Arial" w:cs="Arial"/>
          <w:sz w:val="22"/>
          <w:lang w:val="es-ES"/>
        </w:rPr>
        <w:t>, con excepción de las actuaciones que por su naturaleza deben ser producidas en medio físico y luego cargadas a la plataforma</w:t>
      </w:r>
      <w:r w:rsidR="003B29F1" w:rsidRPr="00217435">
        <w:rPr>
          <w:rFonts w:ascii="Arial" w:eastAsia="Calibri" w:hAnsi="Arial" w:cs="Arial"/>
          <w:sz w:val="22"/>
          <w:lang w:val="es-ES"/>
        </w:rPr>
        <w:t>.</w:t>
      </w:r>
      <w:r w:rsidR="000D3918" w:rsidRPr="00217435">
        <w:rPr>
          <w:rFonts w:ascii="Arial" w:eastAsia="Calibri" w:hAnsi="Arial" w:cs="Arial"/>
          <w:sz w:val="22"/>
          <w:lang w:val="es-ES"/>
        </w:rPr>
        <w:t xml:space="preserve"> </w:t>
      </w:r>
    </w:p>
    <w:p w14:paraId="38D917DC" w14:textId="7B49520E" w:rsidR="00C87243" w:rsidRPr="00217435" w:rsidRDefault="00FD5FAD" w:rsidP="001A1E37">
      <w:pPr>
        <w:spacing w:before="120" w:line="276" w:lineRule="auto"/>
        <w:ind w:firstLine="708"/>
        <w:jc w:val="both"/>
        <w:rPr>
          <w:rFonts w:ascii="Arial" w:eastAsia="Calibri" w:hAnsi="Arial" w:cs="Arial"/>
          <w:sz w:val="22"/>
          <w:lang w:val="es-ES"/>
        </w:rPr>
      </w:pPr>
      <w:r w:rsidRPr="00217435">
        <w:rPr>
          <w:rFonts w:ascii="Arial" w:eastAsia="Calibri" w:hAnsi="Arial" w:cs="Arial"/>
          <w:sz w:val="22"/>
          <w:lang w:val="es-ES"/>
        </w:rPr>
        <w:t>L</w:t>
      </w:r>
      <w:r w:rsidR="0025355A" w:rsidRPr="00217435">
        <w:rPr>
          <w:rFonts w:ascii="Arial" w:eastAsia="Calibri" w:hAnsi="Arial" w:cs="Arial"/>
          <w:sz w:val="22"/>
          <w:lang w:val="es-ES"/>
        </w:rPr>
        <w:t>as entidades estatales regidas por el Estatuto General de Contratación de la Administración Pública, a las que no corresponda gestionar sus procesos a través de SECOP II, deb</w:t>
      </w:r>
      <w:r w:rsidR="001B128D" w:rsidRPr="00217435">
        <w:rPr>
          <w:rFonts w:ascii="Arial" w:eastAsia="Calibri" w:hAnsi="Arial" w:cs="Arial"/>
          <w:sz w:val="22"/>
          <w:lang w:val="es-ES"/>
        </w:rPr>
        <w:t xml:space="preserve">en </w:t>
      </w:r>
      <w:r w:rsidR="0025355A" w:rsidRPr="00217435">
        <w:rPr>
          <w:rFonts w:ascii="Arial" w:eastAsia="Calibri" w:hAnsi="Arial" w:cs="Arial"/>
          <w:sz w:val="22"/>
          <w:lang w:val="es-ES"/>
        </w:rPr>
        <w:t xml:space="preserve">publicar en SECOP I los </w:t>
      </w:r>
      <w:r w:rsidR="00345114" w:rsidRPr="00217435">
        <w:rPr>
          <w:rFonts w:ascii="Arial" w:eastAsia="Calibri" w:hAnsi="Arial" w:cs="Arial"/>
          <w:sz w:val="22"/>
          <w:lang w:val="es-ES"/>
        </w:rPr>
        <w:t>anteriores documentos</w:t>
      </w:r>
      <w:r w:rsidR="0025355A" w:rsidRPr="00217435">
        <w:rPr>
          <w:rFonts w:ascii="Arial" w:eastAsia="Calibri" w:hAnsi="Arial" w:cs="Arial"/>
          <w:sz w:val="22"/>
          <w:lang w:val="es-ES"/>
        </w:rPr>
        <w:t>,</w:t>
      </w:r>
      <w:r w:rsidR="00345114" w:rsidRPr="00217435">
        <w:rPr>
          <w:rFonts w:ascii="Arial" w:eastAsia="Calibri" w:hAnsi="Arial" w:cs="Arial"/>
          <w:sz w:val="22"/>
          <w:lang w:val="es-ES"/>
        </w:rPr>
        <w:t xml:space="preserve"> </w:t>
      </w:r>
      <w:r w:rsidR="001B128D" w:rsidRPr="00217435">
        <w:rPr>
          <w:rFonts w:ascii="Arial" w:eastAsia="Calibri" w:hAnsi="Arial" w:cs="Arial"/>
          <w:sz w:val="22"/>
          <w:lang w:val="es-ES"/>
        </w:rPr>
        <w:t>y</w:t>
      </w:r>
      <w:r w:rsidRPr="00217435">
        <w:rPr>
          <w:rFonts w:ascii="Arial" w:eastAsia="Calibri" w:hAnsi="Arial" w:cs="Arial"/>
          <w:sz w:val="22"/>
          <w:lang w:val="es-ES"/>
        </w:rPr>
        <w:t xml:space="preserve"> </w:t>
      </w:r>
      <w:r w:rsidR="00BA064F" w:rsidRPr="00217435">
        <w:rPr>
          <w:rFonts w:ascii="Arial" w:eastAsia="Calibri" w:hAnsi="Arial" w:cs="Arial"/>
          <w:sz w:val="22"/>
          <w:lang w:val="es-ES"/>
        </w:rPr>
        <w:t xml:space="preserve">disponen de los </w:t>
      </w:r>
      <w:r w:rsidR="0025355A" w:rsidRPr="00217435">
        <w:rPr>
          <w:rFonts w:ascii="Arial" w:eastAsia="Calibri" w:hAnsi="Arial" w:cs="Arial"/>
          <w:sz w:val="22"/>
          <w:lang w:val="es-ES"/>
        </w:rPr>
        <w:t xml:space="preserve">tres (3) </w:t>
      </w:r>
      <w:r w:rsidR="001B128D" w:rsidRPr="00217435">
        <w:rPr>
          <w:rFonts w:ascii="Arial" w:eastAsia="Calibri" w:hAnsi="Arial" w:cs="Arial"/>
          <w:sz w:val="22"/>
          <w:lang w:val="es-ES"/>
        </w:rPr>
        <w:t xml:space="preserve">días </w:t>
      </w:r>
      <w:r w:rsidR="00BA064F" w:rsidRPr="00217435">
        <w:rPr>
          <w:rFonts w:ascii="Arial" w:eastAsia="Calibri" w:hAnsi="Arial" w:cs="Arial"/>
          <w:sz w:val="22"/>
          <w:lang w:val="es-ES"/>
        </w:rPr>
        <w:t xml:space="preserve">hábiles </w:t>
      </w:r>
      <w:r w:rsidR="0025355A" w:rsidRPr="00217435">
        <w:rPr>
          <w:rFonts w:ascii="Arial" w:eastAsia="Calibri" w:hAnsi="Arial" w:cs="Arial"/>
          <w:sz w:val="22"/>
          <w:lang w:val="es-ES"/>
        </w:rPr>
        <w:t>siguientes a la expedición</w:t>
      </w:r>
      <w:r w:rsidR="00673E35">
        <w:rPr>
          <w:rFonts w:ascii="Arial" w:eastAsia="Calibri" w:hAnsi="Arial" w:cs="Arial"/>
          <w:sz w:val="22"/>
          <w:lang w:val="es-ES"/>
        </w:rPr>
        <w:t xml:space="preserve"> para hacerlo</w:t>
      </w:r>
      <w:r w:rsidR="0025355A" w:rsidRPr="00217435">
        <w:rPr>
          <w:rFonts w:ascii="Arial" w:eastAsia="Calibri" w:hAnsi="Arial" w:cs="Arial"/>
          <w:sz w:val="22"/>
          <w:lang w:val="es-ES"/>
        </w:rPr>
        <w:t xml:space="preserve">, conforme </w:t>
      </w:r>
      <w:r w:rsidR="00DC2DCB" w:rsidRPr="00217435">
        <w:rPr>
          <w:rFonts w:ascii="Arial" w:eastAsia="Calibri" w:hAnsi="Arial" w:cs="Arial"/>
          <w:sz w:val="22"/>
          <w:lang w:val="es-ES"/>
        </w:rPr>
        <w:t xml:space="preserve">lo </w:t>
      </w:r>
      <w:r w:rsidR="0025355A" w:rsidRPr="00217435">
        <w:rPr>
          <w:rFonts w:ascii="Arial" w:eastAsia="Calibri" w:hAnsi="Arial" w:cs="Arial"/>
          <w:sz w:val="22"/>
          <w:lang w:val="es-ES"/>
        </w:rPr>
        <w:t xml:space="preserve">dispone el artículo 2.2.1.1.1.7.1 </w:t>
      </w:r>
      <w:r w:rsidR="00DC2DCB" w:rsidRPr="00217435">
        <w:rPr>
          <w:rFonts w:ascii="Arial" w:eastAsia="Calibri" w:hAnsi="Arial" w:cs="Arial"/>
          <w:sz w:val="22"/>
          <w:lang w:val="es-ES"/>
        </w:rPr>
        <w:t>del Decreto 1082</w:t>
      </w:r>
      <w:r w:rsidR="00673E35">
        <w:rPr>
          <w:rFonts w:ascii="Arial" w:eastAsia="Calibri" w:hAnsi="Arial" w:cs="Arial"/>
          <w:sz w:val="22"/>
          <w:lang w:val="es-ES"/>
        </w:rPr>
        <w:t xml:space="preserve"> de 2015</w:t>
      </w:r>
      <w:r w:rsidR="0025355A" w:rsidRPr="00217435">
        <w:rPr>
          <w:rFonts w:ascii="Arial" w:eastAsia="Calibri" w:hAnsi="Arial" w:cs="Arial"/>
          <w:i/>
          <w:iCs/>
          <w:sz w:val="22"/>
          <w:lang w:val="es-ES"/>
        </w:rPr>
        <w:t xml:space="preserve">. </w:t>
      </w:r>
      <w:r w:rsidR="00F70C8F">
        <w:rPr>
          <w:rFonts w:ascii="Arial" w:eastAsia="Calibri" w:hAnsi="Arial" w:cs="Arial"/>
          <w:sz w:val="22"/>
          <w:lang w:val="es-ES"/>
        </w:rPr>
        <w:t>En los procesos adelantados SECOP I,</w:t>
      </w:r>
      <w:r w:rsidRPr="00217435">
        <w:rPr>
          <w:rFonts w:ascii="Arial" w:eastAsia="Calibri" w:hAnsi="Arial" w:cs="Arial"/>
          <w:sz w:val="22"/>
          <w:lang w:val="es-ES"/>
        </w:rPr>
        <w:t xml:space="preserve"> las ofertas </w:t>
      </w:r>
      <w:r w:rsidR="00F70C8F">
        <w:rPr>
          <w:rFonts w:ascii="Arial" w:eastAsia="Calibri" w:hAnsi="Arial" w:cs="Arial"/>
          <w:sz w:val="22"/>
          <w:lang w:val="es-ES"/>
        </w:rPr>
        <w:t>diferentes de la del</w:t>
      </w:r>
      <w:r w:rsidR="00DC2DCB" w:rsidRPr="00217435">
        <w:rPr>
          <w:rFonts w:ascii="Arial" w:eastAsia="Calibri" w:hAnsi="Arial" w:cs="Arial"/>
          <w:sz w:val="22"/>
          <w:lang w:val="es-ES"/>
        </w:rPr>
        <w:t xml:space="preserve"> adjudica</w:t>
      </w:r>
      <w:r w:rsidR="00F70C8F">
        <w:rPr>
          <w:rFonts w:ascii="Arial" w:eastAsia="Calibri" w:hAnsi="Arial" w:cs="Arial"/>
          <w:sz w:val="22"/>
          <w:lang w:val="es-ES"/>
        </w:rPr>
        <w:t>tario</w:t>
      </w:r>
      <w:r w:rsidR="00DC2DCB" w:rsidRPr="00217435">
        <w:rPr>
          <w:rFonts w:ascii="Arial" w:eastAsia="Calibri" w:hAnsi="Arial" w:cs="Arial"/>
          <w:sz w:val="22"/>
          <w:lang w:val="es-ES"/>
        </w:rPr>
        <w:t xml:space="preserve"> </w:t>
      </w:r>
      <w:r w:rsidR="00F70C8F">
        <w:rPr>
          <w:rFonts w:ascii="Arial" w:eastAsia="Calibri" w:hAnsi="Arial" w:cs="Arial"/>
          <w:sz w:val="22"/>
          <w:lang w:val="es-ES"/>
        </w:rPr>
        <w:t>están exceptuadas del deber de publicidad</w:t>
      </w:r>
      <w:r w:rsidR="00C87243" w:rsidRPr="00217435">
        <w:rPr>
          <w:rFonts w:ascii="Arial" w:eastAsia="Calibri" w:hAnsi="Arial" w:cs="Arial"/>
          <w:sz w:val="22"/>
          <w:lang w:val="es-ES"/>
        </w:rPr>
        <w:t xml:space="preserve">. </w:t>
      </w:r>
    </w:p>
    <w:bookmarkEnd w:id="10"/>
    <w:p w14:paraId="559710CD" w14:textId="77777777" w:rsidR="00C87243" w:rsidRPr="00217435" w:rsidRDefault="00C87243" w:rsidP="001E291F">
      <w:pPr>
        <w:spacing w:before="120" w:after="120" w:line="276" w:lineRule="auto"/>
        <w:ind w:firstLine="708"/>
        <w:jc w:val="both"/>
        <w:rPr>
          <w:rFonts w:ascii="Arial" w:eastAsia="Calibri" w:hAnsi="Arial" w:cs="Arial"/>
          <w:sz w:val="22"/>
          <w:lang w:val="es-ES"/>
        </w:rPr>
      </w:pPr>
    </w:p>
    <w:p w14:paraId="32205059" w14:textId="59CF3365" w:rsidR="008B2578" w:rsidRPr="00217435" w:rsidRDefault="00AA5F37" w:rsidP="008B2578">
      <w:pPr>
        <w:spacing w:before="120" w:after="120"/>
        <w:ind w:left="709" w:right="709"/>
        <w:jc w:val="both"/>
        <w:rPr>
          <w:rFonts w:ascii="Arial" w:eastAsia="Calibri" w:hAnsi="Arial" w:cs="Arial"/>
          <w:sz w:val="21"/>
          <w:szCs w:val="21"/>
          <w:lang w:val="es-ES"/>
        </w:rPr>
      </w:pPr>
      <w:r w:rsidRPr="00217435">
        <w:rPr>
          <w:rFonts w:ascii="Arial" w:eastAsia="Calibri" w:hAnsi="Arial" w:cs="Arial"/>
          <w:sz w:val="21"/>
          <w:szCs w:val="21"/>
          <w:lang w:val="es-ES"/>
        </w:rPr>
        <w:lastRenderedPageBreak/>
        <w:t>«</w:t>
      </w:r>
      <w:r w:rsidR="008B2578" w:rsidRPr="00217435">
        <w:rPr>
          <w:rFonts w:ascii="Arial" w:eastAsia="Calibri" w:hAnsi="Arial" w:cs="Arial"/>
          <w:sz w:val="21"/>
          <w:szCs w:val="21"/>
          <w:lang w:val="es-ES"/>
        </w:rPr>
        <w:t>2. ¿Dentro de los documentos y actuaciones que deben ser publicados en el SECOP II se encuentran las observaciones a los informes de evaluación? 3. ¿Deben publicarse en el SECOP II las respuestas a solicitudes de aclaración?</w:t>
      </w:r>
      <w:r w:rsidRPr="00217435">
        <w:rPr>
          <w:rFonts w:ascii="Arial" w:eastAsia="Calibri" w:hAnsi="Arial" w:cs="Arial"/>
          <w:sz w:val="21"/>
          <w:szCs w:val="21"/>
          <w:lang w:val="es-ES"/>
        </w:rPr>
        <w:t>»</w:t>
      </w:r>
    </w:p>
    <w:p w14:paraId="4A0A3843" w14:textId="77777777" w:rsidR="00CA79C6" w:rsidRPr="00217435" w:rsidRDefault="00CA79C6" w:rsidP="008B2578">
      <w:pPr>
        <w:spacing w:before="120" w:after="120"/>
        <w:ind w:left="709" w:right="709"/>
        <w:jc w:val="both"/>
        <w:rPr>
          <w:rFonts w:ascii="Arial" w:eastAsia="Calibri" w:hAnsi="Arial" w:cs="Arial"/>
          <w:sz w:val="21"/>
          <w:szCs w:val="21"/>
          <w:lang w:val="es-ES"/>
        </w:rPr>
      </w:pPr>
    </w:p>
    <w:p w14:paraId="4F8CEBDE" w14:textId="7612BFC5" w:rsidR="00EB76C1" w:rsidRPr="00217435" w:rsidRDefault="00773A10" w:rsidP="00CA79C6">
      <w:pPr>
        <w:spacing w:after="120" w:line="276" w:lineRule="auto"/>
        <w:jc w:val="both"/>
        <w:rPr>
          <w:rFonts w:ascii="Arial" w:eastAsia="Calibri" w:hAnsi="Arial" w:cs="Arial"/>
          <w:sz w:val="22"/>
          <w:lang w:val="es-ES"/>
        </w:rPr>
      </w:pPr>
      <w:r w:rsidRPr="00217435">
        <w:rPr>
          <w:rFonts w:ascii="Arial" w:eastAsia="Calibri" w:hAnsi="Arial" w:cs="Arial"/>
          <w:sz w:val="22"/>
          <w:lang w:val="es-ES"/>
        </w:rPr>
        <w:t>Los informes de evaluación, las observaciones a este y las respuestas a las aclaraciones solicitadas por la entidad contratante son actuaciones que hacen parte de la etapa precontractual</w:t>
      </w:r>
      <w:r w:rsidR="00CA79C6" w:rsidRPr="00217435">
        <w:rPr>
          <w:rFonts w:ascii="Arial" w:eastAsia="Calibri" w:hAnsi="Arial" w:cs="Arial"/>
          <w:sz w:val="22"/>
          <w:lang w:val="es-ES"/>
        </w:rPr>
        <w:t xml:space="preserve"> del </w:t>
      </w:r>
      <w:r w:rsidR="00DC2DCB" w:rsidRPr="00217435">
        <w:rPr>
          <w:rFonts w:ascii="Arial" w:eastAsia="Calibri" w:hAnsi="Arial" w:cs="Arial"/>
          <w:sz w:val="22"/>
          <w:lang w:val="es-ES"/>
        </w:rPr>
        <w:t>p</w:t>
      </w:r>
      <w:r w:rsidR="00CA79C6" w:rsidRPr="00217435">
        <w:rPr>
          <w:rFonts w:ascii="Arial" w:eastAsia="Calibri" w:hAnsi="Arial" w:cs="Arial"/>
          <w:sz w:val="22"/>
          <w:lang w:val="es-ES"/>
        </w:rPr>
        <w:t xml:space="preserve">roceso de </w:t>
      </w:r>
      <w:r w:rsidR="00DC2DCB" w:rsidRPr="00217435">
        <w:rPr>
          <w:rFonts w:ascii="Arial" w:eastAsia="Calibri" w:hAnsi="Arial" w:cs="Arial"/>
          <w:sz w:val="22"/>
          <w:lang w:val="es-ES"/>
        </w:rPr>
        <w:t>c</w:t>
      </w:r>
      <w:r w:rsidR="00CA79C6" w:rsidRPr="00217435">
        <w:rPr>
          <w:rFonts w:ascii="Arial" w:eastAsia="Calibri" w:hAnsi="Arial" w:cs="Arial"/>
          <w:sz w:val="22"/>
          <w:lang w:val="es-ES"/>
        </w:rPr>
        <w:t>ontratación</w:t>
      </w:r>
      <w:r w:rsidR="00CA79C6" w:rsidRPr="00217435">
        <w:rPr>
          <w:rFonts w:ascii="Arial" w:eastAsia="Calibri" w:hAnsi="Arial" w:cs="Arial"/>
          <w:i/>
          <w:iCs/>
          <w:sz w:val="22"/>
          <w:lang w:val="es-ES"/>
        </w:rPr>
        <w:t>,</w:t>
      </w:r>
      <w:r w:rsidRPr="00217435">
        <w:rPr>
          <w:rFonts w:ascii="Arial" w:eastAsia="Calibri" w:hAnsi="Arial" w:cs="Arial"/>
          <w:sz w:val="22"/>
          <w:lang w:val="es-ES"/>
        </w:rPr>
        <w:t xml:space="preserve"> </w:t>
      </w:r>
      <w:r w:rsidR="00DC2DCB" w:rsidRPr="00217435">
        <w:rPr>
          <w:rFonts w:ascii="Arial" w:eastAsia="Calibri" w:hAnsi="Arial" w:cs="Arial"/>
          <w:sz w:val="22"/>
          <w:lang w:val="es-ES"/>
        </w:rPr>
        <w:t xml:space="preserve">y según </w:t>
      </w:r>
      <w:r w:rsidR="00C87243" w:rsidRPr="00217435">
        <w:rPr>
          <w:rFonts w:ascii="Arial" w:eastAsia="Calibri" w:hAnsi="Arial" w:cs="Arial"/>
          <w:sz w:val="22"/>
          <w:lang w:val="es-ES"/>
        </w:rPr>
        <w:t>las consideraciones expuestas</w:t>
      </w:r>
      <w:r w:rsidR="00872306" w:rsidRPr="00217435">
        <w:rPr>
          <w:rFonts w:ascii="Arial" w:eastAsia="Calibri" w:hAnsi="Arial" w:cs="Arial"/>
          <w:sz w:val="22"/>
          <w:lang w:val="es-ES"/>
        </w:rPr>
        <w:t>,</w:t>
      </w:r>
      <w:r w:rsidR="00C87243" w:rsidRPr="00217435">
        <w:rPr>
          <w:rFonts w:ascii="Arial" w:eastAsia="Calibri" w:hAnsi="Arial" w:cs="Arial"/>
          <w:sz w:val="22"/>
          <w:lang w:val="es-ES"/>
        </w:rPr>
        <w:t xml:space="preserve"> deben publica</w:t>
      </w:r>
      <w:r w:rsidR="00DC2DCB" w:rsidRPr="00217435">
        <w:rPr>
          <w:rFonts w:ascii="Arial" w:eastAsia="Calibri" w:hAnsi="Arial" w:cs="Arial"/>
          <w:sz w:val="22"/>
          <w:lang w:val="es-ES"/>
        </w:rPr>
        <w:t>rse</w:t>
      </w:r>
      <w:r w:rsidR="00CA79C6" w:rsidRPr="00217435">
        <w:rPr>
          <w:rFonts w:ascii="Arial" w:eastAsia="Calibri" w:hAnsi="Arial" w:cs="Arial"/>
          <w:sz w:val="22"/>
          <w:lang w:val="es-ES"/>
        </w:rPr>
        <w:t xml:space="preserve"> </w:t>
      </w:r>
      <w:r w:rsidR="00C87243" w:rsidRPr="00217435">
        <w:rPr>
          <w:rFonts w:ascii="Arial" w:eastAsia="Calibri" w:hAnsi="Arial" w:cs="Arial"/>
          <w:sz w:val="22"/>
          <w:lang w:val="es-ES"/>
        </w:rPr>
        <w:t xml:space="preserve">dentro del término previsto por el </w:t>
      </w:r>
      <w:r w:rsidR="00CA79C6" w:rsidRPr="00217435">
        <w:rPr>
          <w:rFonts w:ascii="Arial" w:eastAsia="Calibri" w:hAnsi="Arial" w:cs="Arial"/>
          <w:sz w:val="22"/>
          <w:lang w:val="es-ES"/>
        </w:rPr>
        <w:t xml:space="preserve">artículo 2.2.1.1.1.7.1 </w:t>
      </w:r>
      <w:proofErr w:type="spellStart"/>
      <w:r w:rsidR="00CA79C6" w:rsidRPr="00217435">
        <w:rPr>
          <w:rFonts w:ascii="Arial" w:eastAsia="Calibri" w:hAnsi="Arial" w:cs="Arial"/>
          <w:i/>
          <w:iCs/>
          <w:sz w:val="22"/>
          <w:lang w:val="es-ES"/>
        </w:rPr>
        <w:t>Ibíde</w:t>
      </w:r>
      <w:r w:rsidR="0088551C" w:rsidRPr="00217435">
        <w:rPr>
          <w:rFonts w:ascii="Arial" w:eastAsia="Calibri" w:hAnsi="Arial" w:cs="Arial"/>
          <w:i/>
          <w:iCs/>
          <w:sz w:val="22"/>
          <w:lang w:val="es-ES"/>
        </w:rPr>
        <w:t>m</w:t>
      </w:r>
      <w:proofErr w:type="spellEnd"/>
      <w:r w:rsidR="0088551C" w:rsidRPr="00217435">
        <w:rPr>
          <w:rFonts w:ascii="Arial" w:eastAsia="Calibri" w:hAnsi="Arial" w:cs="Arial"/>
          <w:i/>
          <w:iCs/>
          <w:sz w:val="22"/>
          <w:lang w:val="es-ES"/>
        </w:rPr>
        <w:t xml:space="preserve">, </w:t>
      </w:r>
      <w:r w:rsidR="00C87243" w:rsidRPr="00217435">
        <w:rPr>
          <w:rFonts w:ascii="Arial" w:eastAsia="Calibri" w:hAnsi="Arial" w:cs="Arial"/>
          <w:sz w:val="22"/>
          <w:lang w:val="es-ES"/>
        </w:rPr>
        <w:t xml:space="preserve">esto </w:t>
      </w:r>
      <w:proofErr w:type="gramStart"/>
      <w:r w:rsidR="00C87243" w:rsidRPr="00217435">
        <w:rPr>
          <w:rFonts w:ascii="Arial" w:eastAsia="Calibri" w:hAnsi="Arial" w:cs="Arial"/>
          <w:sz w:val="22"/>
          <w:lang w:val="es-ES"/>
        </w:rPr>
        <w:t xml:space="preserve">es, </w:t>
      </w:r>
      <w:r w:rsidR="0088551C" w:rsidRPr="00217435">
        <w:rPr>
          <w:rFonts w:ascii="Arial" w:eastAsia="Calibri" w:hAnsi="Arial" w:cs="Arial"/>
          <w:sz w:val="22"/>
          <w:lang w:val="es-ES"/>
        </w:rPr>
        <w:t xml:space="preserve"> tres</w:t>
      </w:r>
      <w:proofErr w:type="gramEnd"/>
      <w:r w:rsidR="0088551C" w:rsidRPr="00217435">
        <w:rPr>
          <w:rFonts w:ascii="Arial" w:eastAsia="Calibri" w:hAnsi="Arial" w:cs="Arial"/>
          <w:sz w:val="22"/>
          <w:lang w:val="es-ES"/>
        </w:rPr>
        <w:t xml:space="preserve"> (3) días </w:t>
      </w:r>
      <w:r w:rsidR="00DC2DCB" w:rsidRPr="00217435">
        <w:rPr>
          <w:rFonts w:ascii="Arial" w:eastAsia="Calibri" w:hAnsi="Arial" w:cs="Arial"/>
          <w:sz w:val="22"/>
          <w:lang w:val="es-ES"/>
        </w:rPr>
        <w:t xml:space="preserve">hábiles </w:t>
      </w:r>
      <w:r w:rsidR="0088551C" w:rsidRPr="00217435">
        <w:rPr>
          <w:rFonts w:ascii="Arial" w:eastAsia="Calibri" w:hAnsi="Arial" w:cs="Arial"/>
          <w:sz w:val="22"/>
          <w:lang w:val="es-ES"/>
        </w:rPr>
        <w:t>siguientes a su expedición</w:t>
      </w:r>
      <w:r w:rsidR="00872306" w:rsidRPr="00217435">
        <w:rPr>
          <w:rFonts w:ascii="Arial" w:eastAsia="Calibri" w:hAnsi="Arial" w:cs="Arial"/>
          <w:sz w:val="22"/>
          <w:lang w:val="es-ES"/>
        </w:rPr>
        <w:t xml:space="preserve">, tratándose de </w:t>
      </w:r>
      <w:r w:rsidR="00B75E98" w:rsidRPr="00217435">
        <w:rPr>
          <w:rFonts w:ascii="Arial" w:eastAsia="Calibri" w:hAnsi="Arial" w:cs="Arial"/>
          <w:sz w:val="22"/>
          <w:lang w:val="es-ES"/>
        </w:rPr>
        <w:t>proce</w:t>
      </w:r>
      <w:r w:rsidR="00872306" w:rsidRPr="00217435">
        <w:rPr>
          <w:rFonts w:ascii="Arial" w:eastAsia="Calibri" w:hAnsi="Arial" w:cs="Arial"/>
          <w:sz w:val="22"/>
          <w:lang w:val="es-ES"/>
        </w:rPr>
        <w:t xml:space="preserve">dimientos </w:t>
      </w:r>
      <w:r w:rsidR="00B75E98" w:rsidRPr="00217435">
        <w:rPr>
          <w:rFonts w:ascii="Arial" w:eastAsia="Calibri" w:hAnsi="Arial" w:cs="Arial"/>
          <w:sz w:val="22"/>
          <w:lang w:val="es-ES"/>
        </w:rPr>
        <w:t>publicados en SECOP I.</w:t>
      </w:r>
      <w:r w:rsidR="0088551C" w:rsidRPr="00217435">
        <w:rPr>
          <w:rFonts w:ascii="Arial" w:eastAsia="Calibri" w:hAnsi="Arial" w:cs="Arial"/>
          <w:sz w:val="22"/>
          <w:lang w:val="es-ES"/>
        </w:rPr>
        <w:t xml:space="preserve"> </w:t>
      </w:r>
    </w:p>
    <w:p w14:paraId="78244D56" w14:textId="11F02387" w:rsidR="00CA79C6" w:rsidRPr="00217435" w:rsidRDefault="00CA79C6" w:rsidP="00AF6E66">
      <w:pPr>
        <w:spacing w:line="276" w:lineRule="auto"/>
        <w:ind w:firstLine="708"/>
        <w:jc w:val="both"/>
        <w:rPr>
          <w:rFonts w:ascii="Arial" w:eastAsia="Calibri" w:hAnsi="Arial" w:cs="Arial"/>
          <w:sz w:val="22"/>
          <w:lang w:val="es-ES"/>
        </w:rPr>
      </w:pPr>
      <w:r w:rsidRPr="00217435">
        <w:rPr>
          <w:rFonts w:ascii="Arial" w:eastAsia="Calibri" w:hAnsi="Arial" w:cs="Arial"/>
          <w:sz w:val="22"/>
          <w:lang w:val="es-ES"/>
        </w:rPr>
        <w:t>Las entidades estatales incluidas en el Anexo 1 de la Circular Externa No. 1 de 2019</w:t>
      </w:r>
      <w:r w:rsidR="00E4471D" w:rsidRPr="00217435">
        <w:rPr>
          <w:rFonts w:ascii="Arial" w:eastAsia="Calibri" w:hAnsi="Arial" w:cs="Arial"/>
          <w:sz w:val="22"/>
          <w:lang w:val="es-ES"/>
        </w:rPr>
        <w:t xml:space="preserve"> –o las Circulares que la complementen–</w:t>
      </w:r>
      <w:r w:rsidRPr="00217435">
        <w:rPr>
          <w:rFonts w:ascii="Arial" w:eastAsia="Calibri" w:hAnsi="Arial" w:cs="Arial"/>
          <w:sz w:val="22"/>
          <w:lang w:val="es-ES"/>
        </w:rPr>
        <w:t>, expedida por la Agencia Nacional de Contratación Pública</w:t>
      </w:r>
      <w:r w:rsidR="00B75E98" w:rsidRPr="00217435">
        <w:rPr>
          <w:rFonts w:ascii="Arial" w:eastAsia="Calibri" w:hAnsi="Arial" w:cs="Arial"/>
          <w:sz w:val="22"/>
          <w:lang w:val="es-ES"/>
        </w:rPr>
        <w:t>, deben</w:t>
      </w:r>
      <w:r w:rsidRPr="00217435">
        <w:rPr>
          <w:rFonts w:ascii="Arial" w:eastAsia="Calibri" w:hAnsi="Arial" w:cs="Arial"/>
          <w:sz w:val="22"/>
          <w:lang w:val="es-ES"/>
        </w:rPr>
        <w:t xml:space="preserve"> </w:t>
      </w:r>
      <w:r w:rsidR="00B75E98" w:rsidRPr="00217435">
        <w:rPr>
          <w:rFonts w:ascii="Arial" w:eastAsia="Calibri" w:hAnsi="Arial" w:cs="Arial"/>
          <w:sz w:val="22"/>
          <w:lang w:val="es-ES"/>
        </w:rPr>
        <w:t xml:space="preserve">publicar estas actuaciones </w:t>
      </w:r>
      <w:r w:rsidR="00E4471D" w:rsidRPr="00217435">
        <w:rPr>
          <w:rFonts w:ascii="Arial" w:eastAsia="Calibri" w:hAnsi="Arial" w:cs="Arial"/>
          <w:sz w:val="22"/>
          <w:lang w:val="es-ES"/>
        </w:rPr>
        <w:t>en el</w:t>
      </w:r>
      <w:r w:rsidRPr="00217435">
        <w:rPr>
          <w:rFonts w:ascii="Arial" w:eastAsia="Calibri" w:hAnsi="Arial" w:cs="Arial"/>
          <w:sz w:val="22"/>
          <w:lang w:val="es-ES"/>
        </w:rPr>
        <w:t xml:space="preserve"> SECOP II</w:t>
      </w:r>
      <w:r w:rsidR="00B75E98" w:rsidRPr="00217435">
        <w:rPr>
          <w:rFonts w:ascii="Arial" w:eastAsia="Calibri" w:hAnsi="Arial" w:cs="Arial"/>
          <w:sz w:val="22"/>
          <w:lang w:val="es-ES"/>
        </w:rPr>
        <w:t>, lo cual</w:t>
      </w:r>
      <w:r w:rsidR="00E4471D" w:rsidRPr="00217435">
        <w:rPr>
          <w:rFonts w:ascii="Arial" w:eastAsia="Calibri" w:hAnsi="Arial" w:cs="Arial"/>
          <w:sz w:val="22"/>
          <w:lang w:val="es-ES"/>
        </w:rPr>
        <w:t xml:space="preserve"> se</w:t>
      </w:r>
      <w:r w:rsidR="00B75E98" w:rsidRPr="00217435">
        <w:rPr>
          <w:rFonts w:ascii="Arial" w:eastAsia="Calibri" w:hAnsi="Arial" w:cs="Arial"/>
          <w:sz w:val="22"/>
          <w:lang w:val="es-ES"/>
        </w:rPr>
        <w:t xml:space="preserve"> </w:t>
      </w:r>
      <w:r w:rsidR="009E0FAC" w:rsidRPr="00217435">
        <w:rPr>
          <w:rFonts w:ascii="Arial" w:eastAsia="Calibri" w:hAnsi="Arial" w:cs="Arial"/>
          <w:sz w:val="22"/>
          <w:lang w:val="es-ES"/>
        </w:rPr>
        <w:t>ha</w:t>
      </w:r>
      <w:r w:rsidR="00E4471D" w:rsidRPr="00217435">
        <w:rPr>
          <w:rFonts w:ascii="Arial" w:eastAsia="Calibri" w:hAnsi="Arial" w:cs="Arial"/>
          <w:sz w:val="22"/>
          <w:lang w:val="es-ES"/>
        </w:rPr>
        <w:t xml:space="preserve">ce en </w:t>
      </w:r>
      <w:r w:rsidR="009E0FAC" w:rsidRPr="00217435">
        <w:rPr>
          <w:rFonts w:ascii="Arial" w:eastAsia="Calibri" w:hAnsi="Arial" w:cs="Arial"/>
          <w:sz w:val="22"/>
          <w:lang w:val="es-ES"/>
        </w:rPr>
        <w:t>línea, es decir, de</w:t>
      </w:r>
      <w:r w:rsidR="00B75E98" w:rsidRPr="00217435">
        <w:rPr>
          <w:rFonts w:ascii="Arial" w:eastAsia="Calibri" w:hAnsi="Arial" w:cs="Arial"/>
          <w:sz w:val="22"/>
          <w:lang w:val="es-ES"/>
        </w:rPr>
        <w:t xml:space="preserve"> manera concomitante a </w:t>
      </w:r>
      <w:r w:rsidR="009E0FAC" w:rsidRPr="00217435">
        <w:rPr>
          <w:rFonts w:ascii="Arial" w:eastAsia="Calibri" w:hAnsi="Arial" w:cs="Arial"/>
          <w:sz w:val="22"/>
          <w:lang w:val="es-ES"/>
        </w:rPr>
        <w:t>la</w:t>
      </w:r>
      <w:r w:rsidR="00B75E98" w:rsidRPr="00217435">
        <w:rPr>
          <w:rFonts w:ascii="Arial" w:eastAsia="Calibri" w:hAnsi="Arial" w:cs="Arial"/>
          <w:sz w:val="22"/>
          <w:lang w:val="es-ES"/>
        </w:rPr>
        <w:t xml:space="preserve"> recepción</w:t>
      </w:r>
      <w:r w:rsidR="00E4471D" w:rsidRPr="00217435">
        <w:rPr>
          <w:rFonts w:ascii="Arial" w:eastAsia="Calibri" w:hAnsi="Arial" w:cs="Arial"/>
          <w:sz w:val="22"/>
          <w:lang w:val="es-ES"/>
        </w:rPr>
        <w:t xml:space="preserve"> de la información</w:t>
      </w:r>
      <w:r w:rsidR="009E0FAC" w:rsidRPr="00217435">
        <w:rPr>
          <w:rFonts w:ascii="Arial" w:eastAsia="Calibri" w:hAnsi="Arial" w:cs="Arial"/>
          <w:sz w:val="22"/>
          <w:lang w:val="es-ES"/>
        </w:rPr>
        <w:t>, por</w:t>
      </w:r>
      <w:r w:rsidR="00B75E98" w:rsidRPr="00217435">
        <w:rPr>
          <w:rFonts w:ascii="Arial" w:eastAsia="Calibri" w:hAnsi="Arial" w:cs="Arial"/>
          <w:sz w:val="22"/>
          <w:lang w:val="es-ES"/>
        </w:rPr>
        <w:t xml:space="preserve"> tratarse </w:t>
      </w:r>
      <w:r w:rsidR="00BE4E38" w:rsidRPr="00217435">
        <w:rPr>
          <w:rFonts w:ascii="Arial" w:eastAsia="Calibri" w:hAnsi="Arial" w:cs="Arial"/>
          <w:sz w:val="22"/>
          <w:lang w:val="es-ES"/>
        </w:rPr>
        <w:t>d</w:t>
      </w:r>
      <w:r w:rsidR="00B75E98" w:rsidRPr="00217435">
        <w:rPr>
          <w:rFonts w:ascii="Arial" w:eastAsia="Calibri" w:hAnsi="Arial" w:cs="Arial"/>
          <w:sz w:val="22"/>
          <w:lang w:val="es-ES"/>
        </w:rPr>
        <w:t>e actuaciones producidas al interior de la plataforma</w:t>
      </w:r>
      <w:r w:rsidR="00E4471D" w:rsidRPr="00217435">
        <w:rPr>
          <w:rFonts w:ascii="Arial" w:eastAsia="Calibri" w:hAnsi="Arial" w:cs="Arial"/>
          <w:sz w:val="22"/>
          <w:lang w:val="es-ES"/>
        </w:rPr>
        <w:t xml:space="preserve"> electrónica</w:t>
      </w:r>
      <w:r w:rsidR="00B75E98" w:rsidRPr="00217435">
        <w:rPr>
          <w:rFonts w:ascii="Arial" w:eastAsia="Calibri" w:hAnsi="Arial" w:cs="Arial"/>
          <w:sz w:val="22"/>
          <w:lang w:val="es-ES"/>
        </w:rPr>
        <w:t>.</w:t>
      </w:r>
    </w:p>
    <w:p w14:paraId="32DC7006" w14:textId="77777777" w:rsidR="00773A10" w:rsidRPr="00217435" w:rsidRDefault="00773A10" w:rsidP="003D4E6B">
      <w:pPr>
        <w:spacing w:line="276" w:lineRule="auto"/>
        <w:jc w:val="both"/>
        <w:rPr>
          <w:rFonts w:ascii="Arial" w:eastAsia="Calibri" w:hAnsi="Arial" w:cs="Arial"/>
          <w:sz w:val="22"/>
          <w:lang w:val="es-ES"/>
        </w:rPr>
      </w:pPr>
    </w:p>
    <w:p w14:paraId="12038E8E" w14:textId="6B43D50F" w:rsidR="00BA22A9" w:rsidRPr="00217435" w:rsidRDefault="00BA22A9" w:rsidP="008F6ABB">
      <w:pPr>
        <w:spacing w:line="276" w:lineRule="auto"/>
        <w:jc w:val="both"/>
        <w:rPr>
          <w:rFonts w:ascii="Arial" w:eastAsia="Calibri" w:hAnsi="Arial" w:cs="Arial"/>
          <w:sz w:val="22"/>
          <w:lang w:val="es-ES"/>
        </w:rPr>
      </w:pPr>
      <w:r w:rsidRPr="00217435">
        <w:rPr>
          <w:rFonts w:ascii="Arial" w:eastAsia="Calibri" w:hAnsi="Arial" w:cs="Arial"/>
          <w:sz w:val="22"/>
          <w:lang w:val="es-ES"/>
        </w:rPr>
        <w:t>Este concepto tiene el alcance previsto en el artículo 28 del Código de Procedimiento Administrativo y de lo Contencioso Administrativo.</w:t>
      </w:r>
    </w:p>
    <w:p w14:paraId="0F12EF82" w14:textId="76A03BFF" w:rsidR="00BA22A9" w:rsidRPr="00217435" w:rsidRDefault="009D5015" w:rsidP="00B10353">
      <w:pPr>
        <w:spacing w:line="276" w:lineRule="auto"/>
        <w:jc w:val="both"/>
        <w:rPr>
          <w:rFonts w:ascii="Arial" w:eastAsia="Times New Roman" w:hAnsi="Arial" w:cs="Arial"/>
          <w:sz w:val="22"/>
          <w:lang w:val="es-ES" w:eastAsia="es-CO"/>
        </w:rPr>
      </w:pPr>
      <w:r w:rsidRPr="00217435">
        <w:rPr>
          <w:rFonts w:ascii="Arial" w:eastAsia="Calibri" w:hAnsi="Arial" w:cs="Arial"/>
          <w:noProof/>
          <w:sz w:val="22"/>
          <w:lang w:val="es-ES" w:eastAsia="es-ES_tradnl"/>
        </w:rPr>
        <mc:AlternateContent>
          <mc:Choice Requires="wps">
            <w:drawing>
              <wp:anchor distT="0" distB="0" distL="114300" distR="114300" simplePos="0" relativeHeight="251659264" behindDoc="0" locked="0" layoutInCell="1" allowOverlap="1" wp14:anchorId="1E0127D7" wp14:editId="7C2AAB15">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12F64EFD"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D808EBE" w14:textId="00EBF4DC" w:rsidR="00BA22A9" w:rsidRPr="00217435" w:rsidRDefault="00BA22A9" w:rsidP="00B10353">
      <w:pPr>
        <w:spacing w:line="276" w:lineRule="auto"/>
        <w:jc w:val="both"/>
        <w:rPr>
          <w:rFonts w:ascii="Arial" w:hAnsi="Arial" w:cs="Arial"/>
          <w:sz w:val="22"/>
          <w:szCs w:val="20"/>
          <w:lang w:val="es-ES"/>
        </w:rPr>
      </w:pPr>
      <w:r w:rsidRPr="00217435">
        <w:rPr>
          <w:rFonts w:ascii="Arial" w:eastAsia="Times New Roman" w:hAnsi="Arial" w:cs="Arial"/>
          <w:sz w:val="22"/>
          <w:lang w:val="es-ES" w:eastAsia="es-CO"/>
        </w:rPr>
        <w:t>Atentamente,</w:t>
      </w:r>
    </w:p>
    <w:p w14:paraId="37F0C87F" w14:textId="553D2CB8" w:rsidR="00BA22A9" w:rsidRPr="00217435" w:rsidRDefault="00BA22A9" w:rsidP="00B10353">
      <w:pPr>
        <w:pStyle w:val="NormalWeb"/>
        <w:spacing w:before="0" w:beforeAutospacing="0" w:after="0" w:afterAutospacing="0"/>
        <w:jc w:val="center"/>
        <w:rPr>
          <w:rFonts w:ascii="Arial" w:hAnsi="Arial" w:cs="Arial"/>
          <w:sz w:val="22"/>
          <w:szCs w:val="20"/>
          <w:lang w:val="es-ES"/>
        </w:rPr>
      </w:pPr>
    </w:p>
    <w:p w14:paraId="2B486FD4" w14:textId="0109DE4B" w:rsidR="00BA22A9" w:rsidRPr="00217435" w:rsidRDefault="00BA22A9" w:rsidP="00B10353">
      <w:pPr>
        <w:spacing w:after="18"/>
        <w:jc w:val="center"/>
        <w:rPr>
          <w:rFonts w:ascii="Arial" w:eastAsia="Times New Roman" w:hAnsi="Arial" w:cs="Arial"/>
          <w:sz w:val="18"/>
          <w:szCs w:val="20"/>
          <w:lang w:val="es-ES" w:eastAsia="es-CO"/>
        </w:rPr>
      </w:pPr>
    </w:p>
    <w:p w14:paraId="6743677D" w14:textId="37CCD226" w:rsidR="006B4A03" w:rsidRPr="00217435" w:rsidRDefault="006F4334" w:rsidP="00B10353">
      <w:pPr>
        <w:spacing w:after="18"/>
        <w:jc w:val="center"/>
        <w:rPr>
          <w:rFonts w:ascii="Arial" w:eastAsia="Times New Roman" w:hAnsi="Arial" w:cs="Arial"/>
          <w:sz w:val="18"/>
          <w:szCs w:val="20"/>
          <w:lang w:val="es-ES" w:eastAsia="es-CO"/>
        </w:rPr>
      </w:pPr>
      <w:r>
        <w:rPr>
          <w:noProof/>
        </w:rPr>
        <w:drawing>
          <wp:inline distT="0" distB="0" distL="0" distR="0" wp14:anchorId="47A6D412" wp14:editId="66228F54">
            <wp:extent cx="2773045" cy="988695"/>
            <wp:effectExtent l="0" t="0" r="0" b="0"/>
            <wp:docPr id="2" name="Imagen 2"/>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4004C20E" w14:textId="77777777" w:rsidR="00BA22A9" w:rsidRPr="00217435" w:rsidRDefault="00BA22A9" w:rsidP="00BA22A9">
      <w:pPr>
        <w:rPr>
          <w:rFonts w:ascii="Arial" w:hAnsi="Arial" w:cs="Arial"/>
          <w:lang w:val="es-ES"/>
        </w:rPr>
      </w:pPr>
    </w:p>
    <w:tbl>
      <w:tblPr>
        <w:tblStyle w:val="Tablaconcuadrcula"/>
        <w:tblpPr w:leftFromText="141" w:rightFromText="141" w:vertAnchor="text" w:horzAnchor="page" w:tblpX="1265" w:tblpY="1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217435" w:rsidRPr="00217435" w14:paraId="02A3E25B" w14:textId="77777777" w:rsidTr="008A0BE8">
        <w:trPr>
          <w:trHeight w:val="286"/>
        </w:trPr>
        <w:tc>
          <w:tcPr>
            <w:tcW w:w="817" w:type="dxa"/>
            <w:vAlign w:val="center"/>
          </w:tcPr>
          <w:p w14:paraId="22DCB2FF" w14:textId="77777777" w:rsidR="008A0BE8" w:rsidRPr="00217435" w:rsidRDefault="008A0BE8" w:rsidP="008A0BE8">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Elaboró:</w:t>
            </w:r>
          </w:p>
        </w:tc>
        <w:tc>
          <w:tcPr>
            <w:tcW w:w="4445" w:type="dxa"/>
            <w:tcBorders>
              <w:bottom w:val="dotted" w:sz="4" w:space="0" w:color="7F7F7F" w:themeColor="text1" w:themeTint="80"/>
            </w:tcBorders>
            <w:vAlign w:val="center"/>
          </w:tcPr>
          <w:p w14:paraId="6503D38F" w14:textId="155A6863" w:rsidR="00F74F25" w:rsidRPr="00217435" w:rsidRDefault="00213F0E" w:rsidP="00F74F25">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Alejandro Sarmiento Cantillo</w:t>
            </w:r>
          </w:p>
          <w:p w14:paraId="29AA3AF0" w14:textId="53226B07" w:rsidR="008A0BE8" w:rsidRPr="00217435" w:rsidRDefault="00213F0E" w:rsidP="00F74F25">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Contratista, Subdirección de Gestión Contractual</w:t>
            </w:r>
          </w:p>
        </w:tc>
      </w:tr>
      <w:tr w:rsidR="00217435" w:rsidRPr="00217435" w14:paraId="0CA35E64" w14:textId="77777777" w:rsidTr="008A0BE8">
        <w:trPr>
          <w:trHeight w:val="299"/>
        </w:trPr>
        <w:tc>
          <w:tcPr>
            <w:tcW w:w="817" w:type="dxa"/>
            <w:vAlign w:val="center"/>
          </w:tcPr>
          <w:p w14:paraId="642F7660" w14:textId="77777777" w:rsidR="008A0BE8" w:rsidRPr="00217435" w:rsidRDefault="008A0BE8" w:rsidP="008A0BE8">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Revisó:</w:t>
            </w:r>
          </w:p>
        </w:tc>
        <w:tc>
          <w:tcPr>
            <w:tcW w:w="4445" w:type="dxa"/>
            <w:tcBorders>
              <w:top w:val="dotted" w:sz="4" w:space="0" w:color="7F7F7F" w:themeColor="text1" w:themeTint="80"/>
              <w:bottom w:val="dotted" w:sz="4" w:space="0" w:color="7F7F7F" w:themeColor="text1" w:themeTint="80"/>
            </w:tcBorders>
            <w:vAlign w:val="center"/>
          </w:tcPr>
          <w:p w14:paraId="6F282590" w14:textId="55A0F940" w:rsidR="00213F0E" w:rsidRPr="00217435" w:rsidRDefault="00242C5C" w:rsidP="00213F0E">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 xml:space="preserve">Cristian </w:t>
            </w:r>
            <w:r w:rsidR="00D046B7" w:rsidRPr="00217435">
              <w:rPr>
                <w:rFonts w:ascii="Arial" w:eastAsia="Times New Roman" w:hAnsi="Arial" w:cs="Arial"/>
                <w:sz w:val="14"/>
                <w:szCs w:val="14"/>
                <w:lang w:val="es-ES" w:eastAsia="es-ES"/>
              </w:rPr>
              <w:t>Andrés Díaz Díez</w:t>
            </w:r>
          </w:p>
          <w:p w14:paraId="41D467EA" w14:textId="1B86E1BF" w:rsidR="008A0BE8" w:rsidRPr="00217435" w:rsidRDefault="00D046B7" w:rsidP="00213F0E">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Contratista, Su</w:t>
            </w:r>
            <w:r w:rsidR="009F6C62" w:rsidRPr="00217435">
              <w:rPr>
                <w:rFonts w:ascii="Arial" w:eastAsia="Times New Roman" w:hAnsi="Arial" w:cs="Arial"/>
                <w:sz w:val="14"/>
                <w:szCs w:val="14"/>
                <w:lang w:val="es-ES" w:eastAsia="es-ES"/>
              </w:rPr>
              <w:t>bdirección de Gestión Contractual</w:t>
            </w:r>
          </w:p>
        </w:tc>
      </w:tr>
      <w:tr w:rsidR="00217435" w:rsidRPr="00217435" w14:paraId="1C7A7BCC" w14:textId="77777777" w:rsidTr="008A0BE8">
        <w:trPr>
          <w:trHeight w:val="272"/>
        </w:trPr>
        <w:tc>
          <w:tcPr>
            <w:tcW w:w="817" w:type="dxa"/>
            <w:vAlign w:val="center"/>
          </w:tcPr>
          <w:p w14:paraId="7268E8C2" w14:textId="77777777" w:rsidR="008A0BE8" w:rsidRPr="00217435" w:rsidRDefault="008A0BE8" w:rsidP="008A0BE8">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Aprobó:</w:t>
            </w:r>
          </w:p>
        </w:tc>
        <w:tc>
          <w:tcPr>
            <w:tcW w:w="4445" w:type="dxa"/>
            <w:tcBorders>
              <w:top w:val="dotted" w:sz="4" w:space="0" w:color="7F7F7F" w:themeColor="text1" w:themeTint="80"/>
              <w:bottom w:val="dotted" w:sz="4" w:space="0" w:color="7F7F7F" w:themeColor="text1" w:themeTint="80"/>
            </w:tcBorders>
            <w:vAlign w:val="center"/>
          </w:tcPr>
          <w:p w14:paraId="3DB650CA" w14:textId="77777777" w:rsidR="008A0BE8" w:rsidRPr="00217435" w:rsidRDefault="008A0BE8" w:rsidP="008A0BE8">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Fabián Gonzalo Marín Cortés</w:t>
            </w:r>
          </w:p>
          <w:p w14:paraId="16462808" w14:textId="77777777" w:rsidR="008A0BE8" w:rsidRPr="00217435" w:rsidRDefault="008A0BE8" w:rsidP="008A0BE8">
            <w:pPr>
              <w:rPr>
                <w:rFonts w:ascii="Arial" w:eastAsia="Times New Roman" w:hAnsi="Arial" w:cs="Arial"/>
                <w:sz w:val="14"/>
                <w:szCs w:val="14"/>
                <w:lang w:val="es-ES" w:eastAsia="es-ES"/>
              </w:rPr>
            </w:pPr>
            <w:r w:rsidRPr="00217435">
              <w:rPr>
                <w:rFonts w:ascii="Arial" w:eastAsia="Times New Roman" w:hAnsi="Arial" w:cs="Arial"/>
                <w:sz w:val="14"/>
                <w:szCs w:val="14"/>
                <w:lang w:val="es-ES" w:eastAsia="es-ES"/>
              </w:rPr>
              <w:t>Subdirector de Gestión Contractual</w:t>
            </w:r>
          </w:p>
        </w:tc>
      </w:tr>
      <w:bookmarkEnd w:id="4"/>
      <w:bookmarkEnd w:id="5"/>
    </w:tbl>
    <w:p w14:paraId="35B56F46" w14:textId="77777777" w:rsidR="00746E08" w:rsidRPr="00217435" w:rsidRDefault="00746E08" w:rsidP="00746E08">
      <w:pPr>
        <w:rPr>
          <w:rFonts w:ascii="Arial" w:eastAsia="Times New Roman" w:hAnsi="Arial" w:cs="Arial"/>
          <w:sz w:val="16"/>
          <w:szCs w:val="16"/>
          <w:lang w:val="es-ES" w:eastAsia="es-ES"/>
        </w:rPr>
      </w:pPr>
    </w:p>
    <w:sectPr w:rsidR="00746E08" w:rsidRPr="00217435" w:rsidSect="00015765">
      <w:headerReference w:type="default" r:id="rId26"/>
      <w:footerReference w:type="default" r:id="rId27"/>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8B51" w14:textId="77777777" w:rsidR="004D1C40" w:rsidRDefault="004D1C40">
      <w:r>
        <w:separator/>
      </w:r>
    </w:p>
  </w:endnote>
  <w:endnote w:type="continuationSeparator" w:id="0">
    <w:p w14:paraId="00CF973B" w14:textId="77777777" w:rsidR="004D1C40" w:rsidRDefault="004D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0325C5" w:rsidRDefault="000325C5" w:rsidP="00322937">
    <w:pPr>
      <w:pStyle w:val="Sinespaciado"/>
      <w:jc w:val="right"/>
      <w:rPr>
        <w:rFonts w:ascii="Arial" w:hAnsi="Arial" w:cs="Arial"/>
        <w:sz w:val="18"/>
        <w:szCs w:val="18"/>
      </w:rPr>
    </w:pPr>
  </w:p>
  <w:p w14:paraId="7A3785F3" w14:textId="2EF28465" w:rsidR="000325C5" w:rsidRPr="00E15059" w:rsidRDefault="000325C5"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0325C5" w:rsidRDefault="52988F3A" w:rsidP="00322937">
    <w:pPr>
      <w:pStyle w:val="Piedepgina"/>
      <w:jc w:val="center"/>
      <w:rPr>
        <w:lang w:val="es-ES"/>
      </w:rPr>
    </w:pPr>
    <w:r>
      <w:rPr>
        <w:noProof/>
      </w:rPr>
      <w:drawing>
        <wp:inline distT="0" distB="0" distL="0" distR="0" wp14:anchorId="608B196D" wp14:editId="36684BA2">
          <wp:extent cx="3700130" cy="519139"/>
          <wp:effectExtent l="0" t="0" r="0" b="0"/>
          <wp:docPr id="19311663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0325C5" w:rsidRPr="007B0854" w:rsidRDefault="000325C5" w:rsidP="007B0854">
    <w:pPr>
      <w:pStyle w:val="Piedepgina"/>
      <w:jc w:val="center"/>
      <w:rPr>
        <w:lang w:val="es-ES"/>
      </w:rPr>
    </w:pPr>
  </w:p>
  <w:p w14:paraId="7DC37BF5" w14:textId="77777777" w:rsidR="000325C5" w:rsidRDefault="000325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0684E" w14:textId="77777777" w:rsidR="004D1C40" w:rsidRDefault="004D1C40">
      <w:r>
        <w:separator/>
      </w:r>
    </w:p>
  </w:footnote>
  <w:footnote w:type="continuationSeparator" w:id="0">
    <w:p w14:paraId="213FFFAC" w14:textId="77777777" w:rsidR="004D1C40" w:rsidRDefault="004D1C40">
      <w:r>
        <w:continuationSeparator/>
      </w:r>
    </w:p>
  </w:footnote>
  <w:footnote w:id="1">
    <w:p w14:paraId="34CCC2A0" w14:textId="0656417C" w:rsidR="000325C5" w:rsidRPr="00851936" w:rsidRDefault="000325C5" w:rsidP="00851936">
      <w:pPr>
        <w:spacing w:before="73"/>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80 de 1993: «Artículo 2. De la definición de entidades, servidores y servicios públicos. Para los solos efectos de esta ley:</w:t>
      </w:r>
    </w:p>
    <w:p w14:paraId="4C3EF5C6" w14:textId="0CE339E0" w:rsidR="000325C5" w:rsidRPr="00851936" w:rsidRDefault="000325C5" w:rsidP="00851936">
      <w:pPr>
        <w:spacing w:before="1"/>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»1. Se denominan entidades estatales:</w:t>
      </w:r>
    </w:p>
    <w:p w14:paraId="6D4DDDDD" w14:textId="1AEE0ABD"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03D9A129" w14:textId="01A10FF6"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organismos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o</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dependencias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del</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Estado</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a</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los</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que</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la</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ley</w:t>
      </w:r>
      <w:r w:rsidRPr="00851936">
        <w:rPr>
          <w:rFonts w:ascii="Arial" w:hAnsi="Arial" w:cs="Arial"/>
          <w:color w:val="000000" w:themeColor="text1"/>
          <w:spacing w:val="-6"/>
          <w:sz w:val="19"/>
          <w:szCs w:val="19"/>
        </w:rPr>
        <w:t xml:space="preserve"> </w:t>
      </w:r>
      <w:r w:rsidRPr="00851936">
        <w:rPr>
          <w:rFonts w:ascii="Arial" w:hAnsi="Arial" w:cs="Arial"/>
          <w:color w:val="000000" w:themeColor="text1"/>
          <w:sz w:val="19"/>
          <w:szCs w:val="19"/>
        </w:rPr>
        <w:t>otorgue</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capacidad</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para</w:t>
      </w:r>
      <w:r w:rsidRPr="00851936">
        <w:rPr>
          <w:rFonts w:ascii="Arial" w:hAnsi="Arial" w:cs="Arial"/>
          <w:color w:val="000000" w:themeColor="text1"/>
          <w:spacing w:val="-5"/>
          <w:sz w:val="19"/>
          <w:szCs w:val="19"/>
        </w:rPr>
        <w:t xml:space="preserve"> </w:t>
      </w:r>
      <w:r w:rsidRPr="00851936">
        <w:rPr>
          <w:rFonts w:ascii="Arial" w:hAnsi="Arial" w:cs="Arial"/>
          <w:color w:val="000000" w:themeColor="text1"/>
          <w:sz w:val="19"/>
          <w:szCs w:val="19"/>
        </w:rPr>
        <w:t>celebrar</w:t>
      </w:r>
      <w:r w:rsidRPr="00851936">
        <w:rPr>
          <w:rFonts w:ascii="Arial" w:hAnsi="Arial" w:cs="Arial"/>
          <w:color w:val="000000" w:themeColor="text1"/>
          <w:spacing w:val="-4"/>
          <w:sz w:val="19"/>
          <w:szCs w:val="19"/>
        </w:rPr>
        <w:t xml:space="preserve"> </w:t>
      </w:r>
      <w:r w:rsidRPr="00851936">
        <w:rPr>
          <w:rFonts w:ascii="Arial" w:hAnsi="Arial" w:cs="Arial"/>
          <w:color w:val="000000" w:themeColor="text1"/>
          <w:sz w:val="19"/>
          <w:szCs w:val="19"/>
        </w:rPr>
        <w:t>contratos».</w:t>
      </w:r>
    </w:p>
    <w:p w14:paraId="4F084C4E" w14:textId="77777777" w:rsidR="000325C5" w:rsidRPr="00851936" w:rsidRDefault="000325C5" w:rsidP="00851936">
      <w:pPr>
        <w:pStyle w:val="Textonotapie"/>
        <w:ind w:right="49"/>
        <w:jc w:val="both"/>
        <w:rPr>
          <w:rFonts w:ascii="Arial" w:hAnsi="Arial" w:cs="Arial"/>
          <w:color w:val="000000" w:themeColor="text1"/>
          <w:sz w:val="19"/>
          <w:szCs w:val="19"/>
        </w:rPr>
      </w:pPr>
    </w:p>
  </w:footnote>
  <w:footnote w:id="2">
    <w:p w14:paraId="0C641ED6" w14:textId="0838AE25" w:rsidR="000325C5" w:rsidRPr="00851936" w:rsidRDefault="000325C5" w:rsidP="00851936">
      <w:pPr>
        <w:pStyle w:val="Textonotapie"/>
        <w:ind w:left="284" w:right="49" w:firstLine="436"/>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w:t>
      </w:r>
      <w:bookmarkStart w:id="7" w:name="_Hlk40436633"/>
      <w:r w:rsidRPr="00851936">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77FFAAB1" w14:textId="77777777" w:rsidR="000325C5" w:rsidRPr="00851936" w:rsidRDefault="000325C5" w:rsidP="00851936">
      <w:pPr>
        <w:pStyle w:val="Textonotapie"/>
        <w:ind w:right="49"/>
        <w:jc w:val="both"/>
        <w:rPr>
          <w:rFonts w:ascii="Arial" w:hAnsi="Arial" w:cs="Arial"/>
          <w:color w:val="000000" w:themeColor="text1"/>
          <w:sz w:val="19"/>
          <w:szCs w:val="19"/>
          <w:lang w:val="es-CO"/>
        </w:rPr>
      </w:pPr>
    </w:p>
  </w:footnote>
  <w:footnote w:id="3">
    <w:p w14:paraId="264435EC" w14:textId="6198694B" w:rsidR="000325C5" w:rsidRPr="00851936" w:rsidRDefault="000325C5" w:rsidP="00851936">
      <w:pPr>
        <w:spacing w:before="1"/>
        <w:ind w:left="300" w:right="49" w:firstLine="420"/>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80 de 1993: «Articulo 24. Del principio de transparencia. En virtud de este principio: </w:t>
      </w:r>
    </w:p>
    <w:p w14:paraId="2F0C4CDF" w14:textId="3B3333FC" w:rsidR="000325C5" w:rsidRPr="00851936" w:rsidRDefault="000325C5" w:rsidP="00851936">
      <w:pPr>
        <w:spacing w:before="1"/>
        <w:ind w:left="300" w:right="49" w:firstLine="420"/>
        <w:jc w:val="both"/>
        <w:rPr>
          <w:rFonts w:ascii="Arial" w:hAnsi="Arial" w:cs="Arial"/>
          <w:color w:val="000000" w:themeColor="text1"/>
          <w:sz w:val="19"/>
          <w:szCs w:val="19"/>
          <w:lang w:val="es-ES"/>
        </w:rPr>
      </w:pPr>
      <w:r w:rsidRPr="00851936">
        <w:rPr>
          <w:rFonts w:ascii="Arial" w:hAnsi="Arial" w:cs="Arial"/>
          <w:color w:val="000000" w:themeColor="text1"/>
          <w:sz w:val="19"/>
          <w:szCs w:val="19"/>
        </w:rPr>
        <w:t>[…]</w:t>
      </w:r>
    </w:p>
    <w:p w14:paraId="14040226" w14:textId="5689A5E9" w:rsidR="000325C5" w:rsidRPr="00851936" w:rsidRDefault="000325C5" w:rsidP="00851936">
      <w:pPr>
        <w:ind w:left="16" w:right="49" w:firstLine="692"/>
        <w:jc w:val="both"/>
        <w:rPr>
          <w:rFonts w:ascii="Arial" w:hAnsi="Arial" w:cs="Arial"/>
          <w:color w:val="000000" w:themeColor="text1"/>
          <w:sz w:val="19"/>
          <w:szCs w:val="19"/>
        </w:rPr>
      </w:pPr>
      <w:r w:rsidRPr="00851936">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575B13B4" w14:textId="3E56C32F"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5C0FD700" w14:textId="036A49AA"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p w14:paraId="66B80971" w14:textId="77777777" w:rsidR="000325C5" w:rsidRPr="00851936" w:rsidRDefault="000325C5" w:rsidP="00851936">
      <w:pPr>
        <w:ind w:left="300" w:right="49" w:hanging="16"/>
        <w:jc w:val="both"/>
        <w:rPr>
          <w:rFonts w:ascii="Arial" w:hAnsi="Arial" w:cs="Arial"/>
          <w:color w:val="000000" w:themeColor="text1"/>
          <w:sz w:val="19"/>
          <w:szCs w:val="19"/>
        </w:rPr>
      </w:pPr>
    </w:p>
    <w:p w14:paraId="3D4F2A37" w14:textId="77777777" w:rsidR="000325C5" w:rsidRPr="00851936" w:rsidRDefault="000325C5" w:rsidP="00851936">
      <w:pPr>
        <w:pStyle w:val="Textonotapie"/>
        <w:ind w:right="49"/>
        <w:jc w:val="both"/>
        <w:rPr>
          <w:rFonts w:ascii="Arial" w:hAnsi="Arial" w:cs="Arial"/>
          <w:color w:val="000000" w:themeColor="text1"/>
          <w:sz w:val="19"/>
          <w:szCs w:val="19"/>
        </w:rPr>
      </w:pPr>
    </w:p>
  </w:footnote>
  <w:footnote w:id="4">
    <w:p w14:paraId="664E3978"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61FF8E7A"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5">
    <w:p w14:paraId="2409CF04"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27578720" w14:textId="716C580C"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63E792B7"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»Con el fin de materializar los objetivos a que se refiere el inciso anterior, el Gobierno Nacional desarrollará el Sistema Electrónico para la Contratación Pública, Secop, el cual: </w:t>
      </w:r>
    </w:p>
    <w:p w14:paraId="45F46A3F"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4C9CBEB7"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344D456D" w14:textId="77777777" w:rsidR="000325C5" w:rsidRPr="00851936" w:rsidRDefault="000325C5" w:rsidP="00851936">
      <w:pPr>
        <w:pStyle w:val="Textonotapie"/>
        <w:ind w:right="49"/>
        <w:jc w:val="both"/>
        <w:rPr>
          <w:rFonts w:ascii="Arial" w:hAnsi="Arial" w:cs="Arial"/>
          <w:color w:val="000000" w:themeColor="text1"/>
          <w:sz w:val="19"/>
          <w:szCs w:val="19"/>
        </w:rPr>
      </w:pPr>
    </w:p>
  </w:footnote>
  <w:footnote w:id="6">
    <w:p w14:paraId="136D435D"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61BDF550"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7">
    <w:p w14:paraId="4F78F68C"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E9735B1"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39F3C987"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8">
    <w:p w14:paraId="58870E31"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503858F3" w14:textId="77777777" w:rsidR="000325C5" w:rsidRPr="00851936" w:rsidRDefault="000325C5" w:rsidP="00851936">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1CB93261" w14:textId="77777777" w:rsidR="000325C5" w:rsidRPr="00851936" w:rsidRDefault="000325C5" w:rsidP="00851936">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lang w:val="es-ES" w:eastAsia="es-ES"/>
        </w:rPr>
        <w:t>»Los sujetos obligados que contratan con recursos públicos y recursos privados, deben publicar la información de su gestión contractual con cargo a recursos públicos en el Sistema Electrónico para la Contratación Pública [SECOP]».</w:t>
      </w:r>
    </w:p>
    <w:p w14:paraId="07CE6D63" w14:textId="77777777" w:rsidR="000325C5" w:rsidRPr="00851936" w:rsidRDefault="000325C5" w:rsidP="00851936">
      <w:pPr>
        <w:pStyle w:val="Textonotapie"/>
        <w:ind w:right="49" w:firstLine="709"/>
        <w:jc w:val="both"/>
        <w:rPr>
          <w:rFonts w:ascii="Arial" w:hAnsi="Arial" w:cs="Arial"/>
          <w:color w:val="000000" w:themeColor="text1"/>
          <w:sz w:val="19"/>
          <w:szCs w:val="19"/>
          <w:lang w:val="es-ES" w:eastAsia="es-ES"/>
        </w:rPr>
      </w:pPr>
    </w:p>
  </w:footnote>
  <w:footnote w:id="9">
    <w:p w14:paraId="154720A5"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r w:rsidRPr="00851936">
        <w:rPr>
          <w:rFonts w:ascii="Arial" w:hAnsi="Arial" w:cs="Arial"/>
          <w:color w:val="000000" w:themeColor="text1"/>
          <w:sz w:val="19"/>
          <w:szCs w:val="19"/>
          <w:lang w:val="es-ES" w:eastAsia="es-ES"/>
        </w:rPr>
        <w:t xml:space="preserve">orte Constitucional. Sentencia C-274 de 9 de mayo de 2013. M.P. María Victoria Calle Correa. </w:t>
      </w:r>
    </w:p>
    <w:p w14:paraId="64BC1DD3"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10">
    <w:p w14:paraId="313D0D6B"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0E389365"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14:paraId="2B7B5525" w14:textId="77777777" w:rsidR="000325C5" w:rsidRPr="00851936" w:rsidRDefault="000325C5" w:rsidP="00851936">
      <w:pPr>
        <w:pStyle w:val="Textonotapie"/>
        <w:ind w:right="49"/>
        <w:jc w:val="both"/>
        <w:rPr>
          <w:rFonts w:ascii="Arial" w:hAnsi="Arial" w:cs="Arial"/>
          <w:color w:val="000000" w:themeColor="text1"/>
          <w:sz w:val="19"/>
          <w:szCs w:val="19"/>
          <w:lang w:val="es-ES"/>
        </w:rPr>
      </w:pPr>
    </w:p>
  </w:footnote>
  <w:footnote w:id="11">
    <w:p w14:paraId="357E42E9"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Exp. 24.715. C.P. Ruth Stella Correa Palacio.</w:t>
      </w:r>
    </w:p>
    <w:p w14:paraId="47D9AFA6" w14:textId="77777777" w:rsidR="000325C5" w:rsidRPr="00851936" w:rsidRDefault="000325C5" w:rsidP="00851936">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4FACCEC6" w14:textId="5B8DAA43"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F6057C2" w14:textId="77777777" w:rsidR="000325C5" w:rsidRPr="00851936" w:rsidRDefault="000325C5" w:rsidP="00851936">
      <w:pPr>
        <w:pStyle w:val="Textonotapie"/>
        <w:ind w:firstLine="708"/>
        <w:rPr>
          <w:rFonts w:ascii="Arial" w:hAnsi="Arial" w:cs="Arial"/>
          <w:sz w:val="19"/>
          <w:szCs w:val="19"/>
          <w:lang w:val="es-CO"/>
        </w:rPr>
      </w:pPr>
    </w:p>
  </w:footnote>
  <w:footnote w:id="13">
    <w:p w14:paraId="7191C091"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7F9570E9"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23198CC3" w14:textId="77777777" w:rsidR="000325C5" w:rsidRPr="00851936" w:rsidRDefault="000325C5" w:rsidP="00851936">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2639E0E5" w14:textId="77777777" w:rsidR="000325C5" w:rsidRPr="00851936" w:rsidRDefault="000325C5" w:rsidP="00851936">
      <w:pPr>
        <w:pStyle w:val="Textonotapie"/>
        <w:ind w:right="49"/>
        <w:jc w:val="both"/>
        <w:rPr>
          <w:rFonts w:ascii="Arial" w:hAnsi="Arial" w:cs="Arial"/>
          <w:color w:val="000000" w:themeColor="text1"/>
          <w:sz w:val="19"/>
          <w:szCs w:val="19"/>
          <w:lang w:val="es-ES"/>
        </w:rPr>
      </w:pPr>
    </w:p>
  </w:footnote>
  <w:footnote w:id="14">
    <w:p w14:paraId="7EE16D13" w14:textId="51952C98" w:rsidR="000325C5" w:rsidRPr="00851936" w:rsidRDefault="000325C5" w:rsidP="00851936">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288352F0" w14:textId="48398F50"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»Lo anterior, sin perjuicio de las publicaciones previstas en el numeral 3 del artículo 30 de la Ley 80 de 1993.</w:t>
      </w:r>
    </w:p>
    <w:p w14:paraId="294A662D" w14:textId="0A38B803"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»Con el fin de materializar los objetivos a que se refiere el inciso anterior, el Gobierno Nacional desarrollará el Sistema Electrónico para la Contratación Pública, Secop, el cual:</w:t>
      </w:r>
    </w:p>
    <w:p w14:paraId="4ADF439A" w14:textId="125AE1ED"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»a) Dispondrá de las funcionalidades tecnológicas para realizar procesos de contratación electrónicos bajo los métodos de selección señalados en el artículo 2o de la presente ley según lo defina el reglamento;</w:t>
      </w:r>
    </w:p>
    <w:p w14:paraId="302E4E5D" w14:textId="2A4B3604"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»b) Servirá de punto único de ingreso de información y de generación de reportes para las entidades estatales y la ciudadanía;</w:t>
      </w:r>
    </w:p>
    <w:p w14:paraId="1357B8CE" w14:textId="77777777"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2FE7579E" w14:textId="3066A1A9" w:rsidR="000325C5" w:rsidRPr="00851936" w:rsidRDefault="000325C5" w:rsidP="00851936">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»d) Integrará el Registro Unico Empresarial de las Cámaras de Comercio, el Diario Unico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591922C3" w14:textId="77777777" w:rsidR="000325C5" w:rsidRPr="00851936" w:rsidRDefault="000325C5" w:rsidP="00851936">
      <w:pPr>
        <w:pStyle w:val="Textonotapie"/>
        <w:ind w:right="49"/>
        <w:jc w:val="both"/>
        <w:rPr>
          <w:rFonts w:ascii="Arial" w:hAnsi="Arial" w:cs="Arial"/>
          <w:color w:val="000000" w:themeColor="text1"/>
          <w:sz w:val="19"/>
          <w:szCs w:val="19"/>
        </w:rPr>
      </w:pPr>
    </w:p>
  </w:footnote>
  <w:footnote w:id="15">
    <w:p w14:paraId="7054E7D0" w14:textId="047C059D"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p w14:paraId="2A3E0A69" w14:textId="77777777" w:rsidR="000325C5" w:rsidRPr="00851936" w:rsidRDefault="000325C5" w:rsidP="00851936">
      <w:pPr>
        <w:pStyle w:val="Textonotapie"/>
        <w:ind w:firstLine="708"/>
        <w:jc w:val="both"/>
        <w:rPr>
          <w:rFonts w:ascii="Arial" w:hAnsi="Arial" w:cs="Arial"/>
          <w:sz w:val="19"/>
          <w:szCs w:val="19"/>
        </w:rPr>
      </w:pPr>
    </w:p>
  </w:footnote>
  <w:footnote w:id="16">
    <w:p w14:paraId="537D2AE2" w14:textId="582E44B4" w:rsidR="000325C5" w:rsidRPr="00851936" w:rsidRDefault="000325C5" w:rsidP="00851936">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78F8DB9" w14:textId="68B2DBD5" w:rsidR="000325C5" w:rsidRPr="00851936" w:rsidRDefault="000325C5" w:rsidP="00851936">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cargo a recursos públicos deben publicar la información de su gestión contractual en el plazo previsto en el artículo 19 del Decreto 1510 de 2013, o el que lo modifique, sustituya o adicione. </w:t>
      </w:r>
    </w:p>
    <w:p w14:paraId="070A5F29" w14:textId="2ED86CFD" w:rsidR="000325C5" w:rsidRPr="00851936" w:rsidRDefault="000325C5" w:rsidP="00851936">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»Los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3D7492F9" w14:textId="77777777" w:rsidR="000325C5" w:rsidRPr="00851936" w:rsidRDefault="000325C5" w:rsidP="00851936">
      <w:pPr>
        <w:jc w:val="both"/>
        <w:rPr>
          <w:rFonts w:ascii="Arial" w:eastAsia="Times New Roman" w:hAnsi="Arial" w:cs="Arial"/>
          <w:color w:val="000000"/>
          <w:sz w:val="19"/>
          <w:szCs w:val="19"/>
          <w:lang w:val="es-CO" w:eastAsia="es-CO"/>
        </w:rPr>
      </w:pPr>
    </w:p>
  </w:footnote>
  <w:footnote w:id="17">
    <w:p w14:paraId="48A00DAD" w14:textId="7231A788"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3F398CBA"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18">
    <w:p w14:paraId="02B54FF6" w14:textId="19FA2688"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5A86C98D" w14:textId="042CA176"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no contratan con cargo a recursos públicos no están obligados a publicar su Plan Anual de Adquisiciones. </w:t>
      </w:r>
    </w:p>
    <w:p w14:paraId="50392212" w14:textId="3569D8E2"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»Los sujetos obligados que contratan con cargo a recursos públicos y recursos privados, deben publicar en su página web y en el SECOP el Plan Anual de Adquisiciones para los recursos de carácter público que ejecutarán en el año. </w:t>
      </w:r>
    </w:p>
    <w:p w14:paraId="247BEDD8" w14:textId="02C55620"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»Se entenderá como definición de Plan Anual de Adquisiciones respecto a todos los sujetos obligados que contratan con recursos públicos, la prevista en el artículo 3° del Decreto 1510 de 2013, o el que lo modifique, sustituya o adicione».</w:t>
      </w:r>
    </w:p>
    <w:p w14:paraId="41602AF2"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19">
    <w:p w14:paraId="76EC16A3" w14:textId="77777777" w:rsidR="000325C5" w:rsidRPr="00851936" w:rsidRDefault="000325C5" w:rsidP="00851936">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p w14:paraId="5A2D5384" w14:textId="77777777" w:rsidR="000325C5" w:rsidRPr="00851936" w:rsidRDefault="000325C5" w:rsidP="00851936">
      <w:pPr>
        <w:pStyle w:val="Textonotapie"/>
        <w:ind w:right="49" w:firstLine="709"/>
        <w:jc w:val="both"/>
        <w:rPr>
          <w:rFonts w:ascii="Arial" w:hAnsi="Arial" w:cs="Arial"/>
          <w:color w:val="000000" w:themeColor="text1"/>
          <w:sz w:val="19"/>
          <w:szCs w:val="19"/>
        </w:rPr>
      </w:pPr>
    </w:p>
  </w:footnote>
  <w:footnote w:id="20">
    <w:p w14:paraId="7ACC1C1C" w14:textId="29DAB652" w:rsidR="000325C5" w:rsidRPr="00851936" w:rsidRDefault="000325C5" w:rsidP="00851936">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77739DEF" w14:textId="77777777" w:rsidR="000325C5" w:rsidRPr="00851936" w:rsidRDefault="000325C5" w:rsidP="00851936">
      <w:pPr>
        <w:pStyle w:val="Textonotapie"/>
        <w:rPr>
          <w:rFonts w:ascii="Arial" w:hAnsi="Arial" w:cs="Arial"/>
          <w:sz w:val="19"/>
          <w:szCs w:val="19"/>
        </w:rPr>
      </w:pPr>
    </w:p>
    <w:p w14:paraId="14F97959" w14:textId="312C44F6" w:rsidR="000325C5" w:rsidRPr="00851936" w:rsidRDefault="000325C5" w:rsidP="00851936">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 3°.Otros principios de la transparencia y acceso a la información pública. En la interpretación del derecho de acceso a la información se deberá adoptar un criterio de razonabilidad y proporcionalidad, así como aplicar los siguientes principios: </w:t>
      </w:r>
    </w:p>
    <w:p w14:paraId="40F513CD" w14:textId="2E517CDB" w:rsidR="000325C5" w:rsidRPr="008C71CB" w:rsidRDefault="000325C5" w:rsidP="00851936">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0EAF9C5E" w14:textId="528532BC" w:rsidR="000325C5" w:rsidRPr="008C71CB" w:rsidRDefault="000325C5" w:rsidP="00851936">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EFCF5B8" w14:textId="7F11214D" w:rsidR="000325C5" w:rsidRPr="008C71CB" w:rsidRDefault="000325C5" w:rsidP="00851936">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Principio de facilitación. En virtud de este principio los sujetos obligados deberán facilitar el ejercicio del derecho de acceso a la información pública, excluyendo exigencias o requisitos que puedan obstruirlo o impedirlo. </w:t>
      </w:r>
    </w:p>
    <w:p w14:paraId="1F07B7E9" w14:textId="71AD732A" w:rsidR="000325C5" w:rsidRPr="008C71CB" w:rsidRDefault="000325C5" w:rsidP="00851936">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632D2E93" w14:textId="2703C8B7" w:rsidR="000325C5" w:rsidRPr="008C71CB" w:rsidRDefault="000325C5" w:rsidP="00851936">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p w14:paraId="081009EC" w14:textId="5760A1CE" w:rsidR="000325C5" w:rsidRPr="00851936" w:rsidRDefault="000325C5" w:rsidP="00851936">
      <w:pPr>
        <w:pStyle w:val="Textonotapie"/>
        <w:rPr>
          <w:rFonts w:ascii="Arial" w:hAnsi="Arial" w:cs="Arial"/>
          <w:sz w:val="19"/>
          <w:szCs w:val="19"/>
          <w:lang w:val="es-CO"/>
        </w:rPr>
      </w:pPr>
    </w:p>
  </w:footnote>
  <w:footnote w:id="22">
    <w:p w14:paraId="643F6AD3" w14:textId="6F3B24DB" w:rsidR="000325C5" w:rsidRPr="00851936" w:rsidRDefault="000325C5" w:rsidP="00851936">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A partir de la vigencia de la presente ley, todas las entidades del Estado a más tardar el 31 de enero de cada año,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3467FFD0" w14:textId="15D3387A" w:rsidR="000325C5" w:rsidRPr="00851936" w:rsidRDefault="000325C5" w:rsidP="00851936">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»A partir del año siguiente, el Plan de Acción deberá estar acompañado del informe de gestión del año inmediatamente anterior. </w:t>
      </w:r>
    </w:p>
    <w:p w14:paraId="2F359AF0" w14:textId="1FB38D6B" w:rsidR="000325C5" w:rsidRPr="00851936" w:rsidRDefault="000325C5" w:rsidP="00851936">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»Igualmente publicarán por dicho medio su presupuesto debidamente desagregado, así como las modificaciones a este o a su desagregación. </w:t>
      </w:r>
    </w:p>
    <w:p w14:paraId="4383C1A1" w14:textId="40FD3299" w:rsidR="000325C5" w:rsidRPr="00851936" w:rsidRDefault="000325C5" w:rsidP="00851936">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t>»Parágrafo. Las empresas industriales y comerciales del Estado y las Sociedades de Economía Mixta estarán exentas de publicar la información relacionada con sus proyectos de inversión». </w:t>
      </w:r>
    </w:p>
    <w:p w14:paraId="7A239254" w14:textId="564A2658" w:rsidR="000325C5" w:rsidRPr="00851936" w:rsidRDefault="000325C5" w:rsidP="00851936">
      <w:pPr>
        <w:pStyle w:val="Textonotapie"/>
        <w:jc w:val="both"/>
        <w:rPr>
          <w:rFonts w:ascii="Arial" w:hAnsi="Arial" w:cs="Arial"/>
          <w:color w:val="000000" w:themeColor="text1"/>
          <w:sz w:val="19"/>
          <w:szCs w:val="19"/>
          <w:lang w:val="es-CO"/>
        </w:rPr>
      </w:pPr>
    </w:p>
  </w:footnote>
  <w:footnote w:id="23">
    <w:p w14:paraId="2D4CCB20" w14:textId="25A8E803" w:rsidR="000325C5" w:rsidRPr="00851936" w:rsidRDefault="000325C5" w:rsidP="00851936">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del mismo en su página web y en el SECOP, en la forma que para el efecto disponga Colombia Compra Eficiente».</w:t>
      </w:r>
    </w:p>
  </w:footnote>
  <w:footnote w:id="24">
    <w:p w14:paraId="31B4B992" w14:textId="77777777" w:rsidR="000325C5" w:rsidRDefault="000325C5" w:rsidP="00851936">
      <w:pPr>
        <w:pStyle w:val="Textonotapie"/>
        <w:ind w:firstLine="708"/>
        <w:jc w:val="both"/>
        <w:rPr>
          <w:rFonts w:ascii="Arial" w:hAnsi="Arial" w:cs="Arial"/>
          <w:sz w:val="19"/>
          <w:szCs w:val="19"/>
        </w:rPr>
      </w:pPr>
    </w:p>
    <w:p w14:paraId="25790B49" w14:textId="45D9057F"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3AF523C4" w14:textId="3A7537AF" w:rsidR="000325C5" w:rsidRPr="00851936" w:rsidRDefault="000325C5" w:rsidP="000325C5">
      <w:pPr>
        <w:pStyle w:val="Textonotapie"/>
        <w:ind w:firstLine="708"/>
        <w:jc w:val="both"/>
        <w:rPr>
          <w:rFonts w:ascii="Arial" w:hAnsi="Arial" w:cs="Arial"/>
          <w:sz w:val="19"/>
          <w:szCs w:val="19"/>
        </w:rPr>
      </w:pPr>
      <w:r w:rsidRPr="00851936">
        <w:rPr>
          <w:rFonts w:ascii="Arial" w:hAnsi="Arial" w:cs="Arial"/>
          <w:sz w:val="19"/>
          <w:szCs w:val="19"/>
        </w:rPr>
        <w:t>[…]</w:t>
      </w:r>
    </w:p>
    <w:p w14:paraId="105E09A6" w14:textId="3EC68CED" w:rsidR="000325C5" w:rsidRPr="00851936" w:rsidRDefault="000325C5" w:rsidP="00851936">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50A940FC" w14:textId="1FB8D207" w:rsidR="000325C5" w:rsidRPr="00851936" w:rsidRDefault="000325C5" w:rsidP="00851936">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5">
    <w:p w14:paraId="519CBFAD" w14:textId="12989265"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3BB64A04" w14:textId="77777777" w:rsidR="000325C5" w:rsidRPr="00851936" w:rsidRDefault="000325C5" w:rsidP="00851936">
      <w:pPr>
        <w:pStyle w:val="Textonotapie"/>
        <w:rPr>
          <w:rFonts w:ascii="Arial" w:hAnsi="Arial" w:cs="Arial"/>
          <w:sz w:val="19"/>
          <w:szCs w:val="19"/>
          <w:lang w:val="es-CO"/>
        </w:rPr>
      </w:pPr>
    </w:p>
  </w:footnote>
  <w:footnote w:id="26">
    <w:p w14:paraId="3B229A01" w14:textId="77777777"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pp 139.</w:t>
      </w:r>
    </w:p>
    <w:p w14:paraId="62C390FB" w14:textId="56093AD3" w:rsidR="000325C5" w:rsidRPr="00851936" w:rsidRDefault="000325C5" w:rsidP="00851936">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3AA5FC05" w14:textId="77777777"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24.Informaciones y documentos reservados.Solo tendrán carácter reservado las informaciones y documentos expresamente sometidos a reserva por la Constitución Política o la ley, y en especial:  </w:t>
      </w:r>
    </w:p>
    <w:p w14:paraId="0CC217F2"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0D1D6760"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3C1373CA"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514DE2C6"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3401B054"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3FD65DA8"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1DD3D963"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63477F42"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48E9EE14" w14:textId="77777777" w:rsidR="000325C5" w:rsidRPr="00851936" w:rsidRDefault="000325C5" w:rsidP="00851936">
      <w:pPr>
        <w:pStyle w:val="Textonotapie"/>
        <w:ind w:firstLine="708"/>
        <w:rPr>
          <w:rFonts w:ascii="Arial" w:hAnsi="Arial" w:cs="Arial"/>
          <w:sz w:val="19"/>
          <w:szCs w:val="19"/>
        </w:rPr>
      </w:pPr>
      <w:r w:rsidRPr="00851936">
        <w:rPr>
          <w:rFonts w:ascii="Arial" w:hAnsi="Arial" w:cs="Arial"/>
          <w:sz w:val="19"/>
          <w:szCs w:val="19"/>
        </w:rPr>
        <w:t xml:space="preserve">»Parágrafo.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515F4CB5" w14:textId="77777777" w:rsidR="000325C5" w:rsidRPr="00851936" w:rsidRDefault="000325C5" w:rsidP="00851936">
      <w:pPr>
        <w:pStyle w:val="Textonotapie"/>
        <w:ind w:firstLine="708"/>
        <w:rPr>
          <w:rFonts w:ascii="Arial" w:hAnsi="Arial" w:cs="Arial"/>
          <w:sz w:val="19"/>
          <w:szCs w:val="19"/>
        </w:rPr>
      </w:pPr>
    </w:p>
  </w:footnote>
  <w:footnote w:id="28">
    <w:p w14:paraId="01845486" w14:textId="1776E658" w:rsidR="000325C5" w:rsidRPr="00851936" w:rsidRDefault="000325C5" w:rsidP="00851936">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4CAB46E9" w14:textId="77777777" w:rsidR="000325C5" w:rsidRPr="00851936" w:rsidRDefault="000325C5" w:rsidP="00851936">
      <w:pPr>
        <w:pStyle w:val="Textonotapie"/>
        <w:ind w:firstLine="708"/>
        <w:rPr>
          <w:rFonts w:ascii="Arial" w:hAnsi="Arial" w:cs="Arial"/>
          <w:sz w:val="19"/>
          <w:szCs w:val="19"/>
        </w:rPr>
      </w:pPr>
    </w:p>
  </w:footnote>
  <w:footnote w:id="29">
    <w:p w14:paraId="3B4EB26B" w14:textId="23F613ED" w:rsidR="000325C5" w:rsidRPr="00851936" w:rsidRDefault="000325C5" w:rsidP="00851936">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4170 de 2011: «Artículo 3. Funciones: La Agencia Nacional de Contratación Pública –Colombia Compra Eficiente– ejercerá las siguientes funciones:</w:t>
      </w:r>
      <w:r>
        <w:rPr>
          <w:rFonts w:ascii="Arial" w:hAnsi="Arial" w:cs="Arial"/>
          <w:color w:val="000000" w:themeColor="text1"/>
          <w:sz w:val="19"/>
          <w:szCs w:val="19"/>
        </w:rPr>
        <w:t xml:space="preserve"> </w:t>
      </w:r>
      <w:r w:rsidRPr="00851936">
        <w:rPr>
          <w:rFonts w:ascii="Arial" w:hAnsi="Arial" w:cs="Arial"/>
          <w:color w:val="000000" w:themeColor="text1"/>
          <w:sz w:val="19"/>
          <w:szCs w:val="19"/>
        </w:rPr>
        <w:t>[...]</w:t>
      </w:r>
    </w:p>
    <w:p w14:paraId="33AB7337" w14:textId="54AB84B2" w:rsidR="000325C5" w:rsidRPr="00851936" w:rsidRDefault="000325C5" w:rsidP="00851936">
      <w:pPr>
        <w:pStyle w:val="Textonotapie"/>
        <w:ind w:firstLine="708"/>
        <w:jc w:val="both"/>
        <w:rPr>
          <w:rFonts w:ascii="Arial" w:hAnsi="Arial" w:cs="Arial"/>
          <w:color w:val="000000" w:themeColor="text1"/>
          <w:sz w:val="19"/>
          <w:szCs w:val="19"/>
        </w:rPr>
      </w:pPr>
      <w:r w:rsidRPr="00851936">
        <w:rPr>
          <w:rFonts w:ascii="Arial" w:hAnsi="Arial" w:cs="Arial"/>
          <w:color w:val="000000" w:themeColor="text1"/>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footnote>
  <w:footnote w:id="30">
    <w:p w14:paraId="73E9B958" w14:textId="00937AA4"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«Artículo 1°. Adiciónense los parágrafos 2° y 3° del artículo 30 de la Ley 80 de 1993: </w:t>
      </w:r>
    </w:p>
    <w:p w14:paraId="6D5B1FE7" w14:textId="18F4C0C1"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 </w:t>
      </w:r>
    </w:p>
    <w:p w14:paraId="4D2F7764" w14:textId="25040A5F"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»Parágrafo 2°.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w:t>
      </w:r>
    </w:p>
    <w:p w14:paraId="023925A3" w14:textId="7FCE363F"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»El segundo sobre deberá incluir únicamente la propuesta económica de conformidad con todos los requisitos exigidos en el pliego de condiciones. </w:t>
      </w:r>
    </w:p>
    <w:p w14:paraId="02EC77FD" w14:textId="5C1818A3"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14:paraId="2A7EC68D" w14:textId="337CF6E2"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14:paraId="43EF23D0" w14:textId="2ECAC1E3"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 </w:t>
      </w:r>
    </w:p>
    <w:p w14:paraId="61E0DEC1" w14:textId="77777777" w:rsidR="000325C5" w:rsidRPr="00851936" w:rsidRDefault="000325C5" w:rsidP="00851936">
      <w:pPr>
        <w:pStyle w:val="Textonotapie"/>
        <w:ind w:firstLine="708"/>
        <w:jc w:val="both"/>
        <w:rPr>
          <w:rFonts w:ascii="Arial" w:hAnsi="Arial" w:cs="Arial"/>
          <w:sz w:val="19"/>
          <w:szCs w:val="19"/>
        </w:rPr>
      </w:pPr>
    </w:p>
  </w:footnote>
  <w:footnote w:id="31">
    <w:p w14:paraId="17948BFE" w14:textId="4A7ED97B" w:rsidR="000325C5" w:rsidRPr="00851936" w:rsidRDefault="000325C5" w:rsidP="00851936">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En los procesos de licitación para la selección de contratistas de obra pública, el parágrafo tercero del artículo 30 de la Ley 80 de 1933, adicionado por la Ley 1882 de 2018 –transcrito en la nota anterior–, establece que el informe de evaluación de los documentos referentes al cumplimiento de los requisitos habilitantes y factores de puntuación distintos de la oferta económica contenidos en el Sobre No. 1, deberá publicarse dentro del plazo previsto en el pliego de condiciones. Dicho artículo a su vez establece que el Sobre No. 2 contentivo de la oferta económica, permanecerá cerrado hasta la audiencia efectiva de adjudicación.</w:t>
      </w:r>
    </w:p>
    <w:p w14:paraId="6B47D4D7" w14:textId="649A2608" w:rsidR="000325C5" w:rsidRPr="00851936" w:rsidRDefault="000325C5" w:rsidP="00851936">
      <w:pPr>
        <w:pStyle w:val="Textonotapie"/>
        <w:ind w:firstLine="708"/>
        <w:jc w:val="both"/>
        <w:rPr>
          <w:rFonts w:ascii="Arial" w:hAnsi="Arial" w:cs="Arial"/>
          <w:sz w:val="19"/>
          <w:szCs w:val="19"/>
        </w:rPr>
      </w:pPr>
      <w:r w:rsidRPr="00851936">
        <w:rPr>
          <w:rFonts w:ascii="Arial" w:hAnsi="Arial" w:cs="Arial"/>
          <w:sz w:val="19"/>
          <w:szCs w:val="19"/>
        </w:rPr>
        <w:t>Sin perjuicio de lo anterior, en materia de procesos adelantados con Documentos Tipo, es preciso aclarar que los «Documentos Base o Pliegos Tipo» desarrollados por esta entidad para procesos de licitación pública –Versión 1 y 2– y selección abreviada de menor cuantía de infraestructura de transporte, establecen en el numeral 2.4 que al vencerse el plazo para recibir ofertas las entidades deberán abrir el Sobre No. 1, elaborando la respectiva acta de cierre. Dicho numeral igualmente dispone que a partir de este momento los documentos contenidos en dicho sobre pasan a ser públicos, pudiendo ser consultados por cualquier interesado en el lugar de la diligencia de cierre, o incluso ser objeto del derecho de petición. Esto significa que en estos procesos desde el momento del cierre las entidades pueden hacer uso de la opción de «Publicar ofertas», en lo relativo al contenido del Sobre No. 1.</w:t>
      </w:r>
    </w:p>
    <w:p w14:paraId="08B1E3D1" w14:textId="77777777" w:rsidR="000325C5" w:rsidRPr="00851936" w:rsidRDefault="000325C5" w:rsidP="00851936">
      <w:pPr>
        <w:pStyle w:val="Textonotapie"/>
        <w:ind w:firstLine="708"/>
        <w:jc w:val="both"/>
        <w:rPr>
          <w:rFonts w:ascii="Arial" w:hAnsi="Arial" w:cs="Arial"/>
          <w:sz w:val="19"/>
          <w:szCs w:val="19"/>
        </w:rPr>
      </w:pPr>
    </w:p>
  </w:footnote>
  <w:footnote w:id="32">
    <w:p w14:paraId="536FE257" w14:textId="77777777" w:rsidR="000325C5" w:rsidRPr="00851936" w:rsidRDefault="000325C5" w:rsidP="00851936">
      <w:pPr>
        <w:pStyle w:val="Textonotapie"/>
        <w:ind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Disponible en: https://www.colombiacompra.gov.co/sites/cce_public/files/cce_step/20190821guiagcgestioncontractualentidadestatalv2.pdf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CC6E" w14:textId="58072B78" w:rsidR="006F4334" w:rsidRDefault="006F4334" w:rsidP="006F4334">
    <w:pPr>
      <w:pStyle w:val="Encabezado"/>
    </w:pPr>
  </w:p>
  <w:p w14:paraId="7920378B" w14:textId="261B733C" w:rsidR="006F4334" w:rsidRDefault="006F4334">
    <w:pPr>
      <w:pStyle w:val="Encabezado"/>
    </w:pPr>
    <w:r>
      <w:rPr>
        <w:noProof/>
        <w:lang w:val="en-US"/>
      </w:rPr>
      <w:drawing>
        <wp:anchor distT="0" distB="0" distL="114300" distR="114300" simplePos="0" relativeHeight="251659264" behindDoc="1" locked="0" layoutInCell="1" allowOverlap="1" wp14:anchorId="6DB678D7" wp14:editId="345A07E1">
          <wp:simplePos x="0" y="0"/>
          <wp:positionH relativeFrom="column">
            <wp:posOffset>4382135</wp:posOffset>
          </wp:positionH>
          <wp:positionV relativeFrom="paragraph">
            <wp:posOffset>217805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B1E"/>
    <w:rsid w:val="00004DBF"/>
    <w:rsid w:val="00004F00"/>
    <w:rsid w:val="0000562F"/>
    <w:rsid w:val="0000655E"/>
    <w:rsid w:val="000078A0"/>
    <w:rsid w:val="00007D2A"/>
    <w:rsid w:val="0001127D"/>
    <w:rsid w:val="0001255B"/>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5B8"/>
    <w:rsid w:val="0002698E"/>
    <w:rsid w:val="00026ED4"/>
    <w:rsid w:val="00027148"/>
    <w:rsid w:val="000301BA"/>
    <w:rsid w:val="00030433"/>
    <w:rsid w:val="000311E0"/>
    <w:rsid w:val="000318B0"/>
    <w:rsid w:val="000325C5"/>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2B4"/>
    <w:rsid w:val="000459D0"/>
    <w:rsid w:val="00046036"/>
    <w:rsid w:val="000473A3"/>
    <w:rsid w:val="00047723"/>
    <w:rsid w:val="000478A9"/>
    <w:rsid w:val="00050838"/>
    <w:rsid w:val="00050CEE"/>
    <w:rsid w:val="00050E0F"/>
    <w:rsid w:val="000518AA"/>
    <w:rsid w:val="000519C1"/>
    <w:rsid w:val="00052533"/>
    <w:rsid w:val="00052A34"/>
    <w:rsid w:val="00052FD6"/>
    <w:rsid w:val="00052FE5"/>
    <w:rsid w:val="0005313E"/>
    <w:rsid w:val="00053292"/>
    <w:rsid w:val="00053583"/>
    <w:rsid w:val="00054590"/>
    <w:rsid w:val="00054B19"/>
    <w:rsid w:val="00055DFA"/>
    <w:rsid w:val="000562F0"/>
    <w:rsid w:val="00056AB7"/>
    <w:rsid w:val="00060081"/>
    <w:rsid w:val="00060FA9"/>
    <w:rsid w:val="0006116C"/>
    <w:rsid w:val="000611E8"/>
    <w:rsid w:val="0006194B"/>
    <w:rsid w:val="00061AC0"/>
    <w:rsid w:val="00062739"/>
    <w:rsid w:val="00062C0D"/>
    <w:rsid w:val="00062CC1"/>
    <w:rsid w:val="00063ED3"/>
    <w:rsid w:val="00064538"/>
    <w:rsid w:val="000656E6"/>
    <w:rsid w:val="000657E6"/>
    <w:rsid w:val="00065A0E"/>
    <w:rsid w:val="00065B67"/>
    <w:rsid w:val="000663AB"/>
    <w:rsid w:val="00066E28"/>
    <w:rsid w:val="00067D96"/>
    <w:rsid w:val="00071C0D"/>
    <w:rsid w:val="00071D50"/>
    <w:rsid w:val="0007231A"/>
    <w:rsid w:val="00073203"/>
    <w:rsid w:val="00073431"/>
    <w:rsid w:val="0007374F"/>
    <w:rsid w:val="00073EE0"/>
    <w:rsid w:val="00075739"/>
    <w:rsid w:val="0007590A"/>
    <w:rsid w:val="00075F2C"/>
    <w:rsid w:val="00076326"/>
    <w:rsid w:val="00077134"/>
    <w:rsid w:val="000771D5"/>
    <w:rsid w:val="0007786B"/>
    <w:rsid w:val="0007792B"/>
    <w:rsid w:val="00080157"/>
    <w:rsid w:val="00080692"/>
    <w:rsid w:val="0008096C"/>
    <w:rsid w:val="000816EA"/>
    <w:rsid w:val="00082A48"/>
    <w:rsid w:val="00082EFF"/>
    <w:rsid w:val="00084B97"/>
    <w:rsid w:val="00084E3D"/>
    <w:rsid w:val="0008525E"/>
    <w:rsid w:val="0008657D"/>
    <w:rsid w:val="00086AFA"/>
    <w:rsid w:val="00086C22"/>
    <w:rsid w:val="00086F0C"/>
    <w:rsid w:val="00087316"/>
    <w:rsid w:val="00090F92"/>
    <w:rsid w:val="000917AE"/>
    <w:rsid w:val="00091B9F"/>
    <w:rsid w:val="000921B4"/>
    <w:rsid w:val="0009238E"/>
    <w:rsid w:val="00092788"/>
    <w:rsid w:val="000927C2"/>
    <w:rsid w:val="0009281E"/>
    <w:rsid w:val="00092B13"/>
    <w:rsid w:val="000938EA"/>
    <w:rsid w:val="0009391B"/>
    <w:rsid w:val="000942EB"/>
    <w:rsid w:val="0009735A"/>
    <w:rsid w:val="00097911"/>
    <w:rsid w:val="00097C6C"/>
    <w:rsid w:val="00097EFA"/>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6BA"/>
    <w:rsid w:val="000B2850"/>
    <w:rsid w:val="000B2CB3"/>
    <w:rsid w:val="000B2F9C"/>
    <w:rsid w:val="000B359C"/>
    <w:rsid w:val="000B38BD"/>
    <w:rsid w:val="000B41A7"/>
    <w:rsid w:val="000B49DF"/>
    <w:rsid w:val="000B4CC4"/>
    <w:rsid w:val="000B4D45"/>
    <w:rsid w:val="000B5520"/>
    <w:rsid w:val="000B559F"/>
    <w:rsid w:val="000B5E82"/>
    <w:rsid w:val="000B626B"/>
    <w:rsid w:val="000B6B96"/>
    <w:rsid w:val="000B70B5"/>
    <w:rsid w:val="000B7851"/>
    <w:rsid w:val="000B7F0E"/>
    <w:rsid w:val="000C076A"/>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82"/>
    <w:rsid w:val="000D12B9"/>
    <w:rsid w:val="000D22FB"/>
    <w:rsid w:val="000D30A6"/>
    <w:rsid w:val="000D343E"/>
    <w:rsid w:val="000D3918"/>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E56C2"/>
    <w:rsid w:val="000F0697"/>
    <w:rsid w:val="000F07CE"/>
    <w:rsid w:val="000F09BB"/>
    <w:rsid w:val="000F0D68"/>
    <w:rsid w:val="000F0F07"/>
    <w:rsid w:val="000F14E8"/>
    <w:rsid w:val="000F2436"/>
    <w:rsid w:val="000F4323"/>
    <w:rsid w:val="000F4CD3"/>
    <w:rsid w:val="000F5338"/>
    <w:rsid w:val="000F6C08"/>
    <w:rsid w:val="000F706C"/>
    <w:rsid w:val="000F7072"/>
    <w:rsid w:val="0010237D"/>
    <w:rsid w:val="0010274B"/>
    <w:rsid w:val="00102E6B"/>
    <w:rsid w:val="00103915"/>
    <w:rsid w:val="001039BF"/>
    <w:rsid w:val="00103A69"/>
    <w:rsid w:val="00104161"/>
    <w:rsid w:val="001054A2"/>
    <w:rsid w:val="00107A26"/>
    <w:rsid w:val="00107A30"/>
    <w:rsid w:val="00107A91"/>
    <w:rsid w:val="0011003B"/>
    <w:rsid w:val="001104F6"/>
    <w:rsid w:val="00111CD1"/>
    <w:rsid w:val="001125F5"/>
    <w:rsid w:val="001130A3"/>
    <w:rsid w:val="00113B52"/>
    <w:rsid w:val="00114C08"/>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6769"/>
    <w:rsid w:val="00137D19"/>
    <w:rsid w:val="00137FFA"/>
    <w:rsid w:val="001419F7"/>
    <w:rsid w:val="001436C6"/>
    <w:rsid w:val="00143855"/>
    <w:rsid w:val="001444AE"/>
    <w:rsid w:val="0014457C"/>
    <w:rsid w:val="00144DD7"/>
    <w:rsid w:val="0014671C"/>
    <w:rsid w:val="001468EF"/>
    <w:rsid w:val="001470D6"/>
    <w:rsid w:val="00150664"/>
    <w:rsid w:val="001513DE"/>
    <w:rsid w:val="001519CE"/>
    <w:rsid w:val="0015261D"/>
    <w:rsid w:val="00152F23"/>
    <w:rsid w:val="00152F4E"/>
    <w:rsid w:val="0015312F"/>
    <w:rsid w:val="00153C4E"/>
    <w:rsid w:val="00156251"/>
    <w:rsid w:val="00156953"/>
    <w:rsid w:val="00156B65"/>
    <w:rsid w:val="00156F1B"/>
    <w:rsid w:val="0015752F"/>
    <w:rsid w:val="00157EF8"/>
    <w:rsid w:val="00160334"/>
    <w:rsid w:val="0016087E"/>
    <w:rsid w:val="00160D40"/>
    <w:rsid w:val="0016229B"/>
    <w:rsid w:val="00163A2E"/>
    <w:rsid w:val="00163BA4"/>
    <w:rsid w:val="001642AC"/>
    <w:rsid w:val="0016431F"/>
    <w:rsid w:val="00165B9C"/>
    <w:rsid w:val="00166859"/>
    <w:rsid w:val="00166BC8"/>
    <w:rsid w:val="0017053E"/>
    <w:rsid w:val="0017092C"/>
    <w:rsid w:val="00170B6D"/>
    <w:rsid w:val="00170D41"/>
    <w:rsid w:val="00171201"/>
    <w:rsid w:val="00171527"/>
    <w:rsid w:val="00171EA0"/>
    <w:rsid w:val="00172946"/>
    <w:rsid w:val="00174E00"/>
    <w:rsid w:val="001752C6"/>
    <w:rsid w:val="0017578E"/>
    <w:rsid w:val="0017651B"/>
    <w:rsid w:val="00176569"/>
    <w:rsid w:val="0017669C"/>
    <w:rsid w:val="00177618"/>
    <w:rsid w:val="0018028E"/>
    <w:rsid w:val="00180CAE"/>
    <w:rsid w:val="00181312"/>
    <w:rsid w:val="00181B42"/>
    <w:rsid w:val="00181CA0"/>
    <w:rsid w:val="0018230E"/>
    <w:rsid w:val="00184602"/>
    <w:rsid w:val="00184BE6"/>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1A6"/>
    <w:rsid w:val="001968B0"/>
    <w:rsid w:val="00196F5B"/>
    <w:rsid w:val="001A0C18"/>
    <w:rsid w:val="001A1BA8"/>
    <w:rsid w:val="001A1E37"/>
    <w:rsid w:val="001A21C4"/>
    <w:rsid w:val="001A23EA"/>
    <w:rsid w:val="001A2559"/>
    <w:rsid w:val="001A284A"/>
    <w:rsid w:val="001A29B7"/>
    <w:rsid w:val="001A3521"/>
    <w:rsid w:val="001A3705"/>
    <w:rsid w:val="001A3E11"/>
    <w:rsid w:val="001A50BF"/>
    <w:rsid w:val="001A5222"/>
    <w:rsid w:val="001A59AC"/>
    <w:rsid w:val="001A5BD9"/>
    <w:rsid w:val="001A6036"/>
    <w:rsid w:val="001A650A"/>
    <w:rsid w:val="001A6A9C"/>
    <w:rsid w:val="001A6CA1"/>
    <w:rsid w:val="001A7116"/>
    <w:rsid w:val="001B00DB"/>
    <w:rsid w:val="001B0444"/>
    <w:rsid w:val="001B0B4F"/>
    <w:rsid w:val="001B1203"/>
    <w:rsid w:val="001B128D"/>
    <w:rsid w:val="001B34CF"/>
    <w:rsid w:val="001B39D9"/>
    <w:rsid w:val="001B4048"/>
    <w:rsid w:val="001B5CE7"/>
    <w:rsid w:val="001B666C"/>
    <w:rsid w:val="001B6906"/>
    <w:rsid w:val="001B731D"/>
    <w:rsid w:val="001B7466"/>
    <w:rsid w:val="001B7F08"/>
    <w:rsid w:val="001C0184"/>
    <w:rsid w:val="001C1106"/>
    <w:rsid w:val="001C1F9C"/>
    <w:rsid w:val="001C4350"/>
    <w:rsid w:val="001C4593"/>
    <w:rsid w:val="001C4DED"/>
    <w:rsid w:val="001C61C0"/>
    <w:rsid w:val="001C62A1"/>
    <w:rsid w:val="001C79BB"/>
    <w:rsid w:val="001D0781"/>
    <w:rsid w:val="001D0FF9"/>
    <w:rsid w:val="001D17D9"/>
    <w:rsid w:val="001D1E85"/>
    <w:rsid w:val="001D25F5"/>
    <w:rsid w:val="001D262B"/>
    <w:rsid w:val="001D3276"/>
    <w:rsid w:val="001D32CB"/>
    <w:rsid w:val="001D378D"/>
    <w:rsid w:val="001D3846"/>
    <w:rsid w:val="001D46FE"/>
    <w:rsid w:val="001D4AE9"/>
    <w:rsid w:val="001D60D3"/>
    <w:rsid w:val="001D646A"/>
    <w:rsid w:val="001D69DD"/>
    <w:rsid w:val="001D6A27"/>
    <w:rsid w:val="001E0375"/>
    <w:rsid w:val="001E10A7"/>
    <w:rsid w:val="001E175B"/>
    <w:rsid w:val="001E1C24"/>
    <w:rsid w:val="001E2378"/>
    <w:rsid w:val="001E26AB"/>
    <w:rsid w:val="001E291F"/>
    <w:rsid w:val="001E2B0B"/>
    <w:rsid w:val="001E69F5"/>
    <w:rsid w:val="001E7D67"/>
    <w:rsid w:val="001F04AC"/>
    <w:rsid w:val="001F140C"/>
    <w:rsid w:val="001F1E12"/>
    <w:rsid w:val="001F4453"/>
    <w:rsid w:val="001F4D79"/>
    <w:rsid w:val="001F4E08"/>
    <w:rsid w:val="001F4E27"/>
    <w:rsid w:val="001F569D"/>
    <w:rsid w:val="001F5C1B"/>
    <w:rsid w:val="001F73AD"/>
    <w:rsid w:val="001F744E"/>
    <w:rsid w:val="00202718"/>
    <w:rsid w:val="002031C1"/>
    <w:rsid w:val="00203D28"/>
    <w:rsid w:val="00204DB3"/>
    <w:rsid w:val="00204E6A"/>
    <w:rsid w:val="00205BD8"/>
    <w:rsid w:val="0020632A"/>
    <w:rsid w:val="00206AE9"/>
    <w:rsid w:val="002072DF"/>
    <w:rsid w:val="002104BD"/>
    <w:rsid w:val="00210605"/>
    <w:rsid w:val="002110EB"/>
    <w:rsid w:val="00211338"/>
    <w:rsid w:val="0021180F"/>
    <w:rsid w:val="00211BB0"/>
    <w:rsid w:val="00212150"/>
    <w:rsid w:val="00212888"/>
    <w:rsid w:val="0021372A"/>
    <w:rsid w:val="002139DE"/>
    <w:rsid w:val="00213A09"/>
    <w:rsid w:val="00213F0E"/>
    <w:rsid w:val="00215255"/>
    <w:rsid w:val="00216F80"/>
    <w:rsid w:val="0021710C"/>
    <w:rsid w:val="00217435"/>
    <w:rsid w:val="0022149D"/>
    <w:rsid w:val="0022247B"/>
    <w:rsid w:val="002225BB"/>
    <w:rsid w:val="002238F9"/>
    <w:rsid w:val="00224081"/>
    <w:rsid w:val="00224F1E"/>
    <w:rsid w:val="0022670B"/>
    <w:rsid w:val="0022729A"/>
    <w:rsid w:val="002275F8"/>
    <w:rsid w:val="00230AE4"/>
    <w:rsid w:val="00230B9D"/>
    <w:rsid w:val="00231103"/>
    <w:rsid w:val="00231C7B"/>
    <w:rsid w:val="00232698"/>
    <w:rsid w:val="00233201"/>
    <w:rsid w:val="00233F1C"/>
    <w:rsid w:val="00234645"/>
    <w:rsid w:val="002346BA"/>
    <w:rsid w:val="00234B84"/>
    <w:rsid w:val="00234D59"/>
    <w:rsid w:val="00236B42"/>
    <w:rsid w:val="00236C3C"/>
    <w:rsid w:val="00236CEB"/>
    <w:rsid w:val="00240C53"/>
    <w:rsid w:val="00240E16"/>
    <w:rsid w:val="00240E19"/>
    <w:rsid w:val="00241AEF"/>
    <w:rsid w:val="00242C5C"/>
    <w:rsid w:val="00243870"/>
    <w:rsid w:val="00244521"/>
    <w:rsid w:val="00244BBC"/>
    <w:rsid w:val="00244C0A"/>
    <w:rsid w:val="00245446"/>
    <w:rsid w:val="0024563E"/>
    <w:rsid w:val="00246E90"/>
    <w:rsid w:val="0024773C"/>
    <w:rsid w:val="002500DF"/>
    <w:rsid w:val="002509AC"/>
    <w:rsid w:val="00250C91"/>
    <w:rsid w:val="00251635"/>
    <w:rsid w:val="002525B1"/>
    <w:rsid w:val="0025355A"/>
    <w:rsid w:val="00253BD6"/>
    <w:rsid w:val="0025459E"/>
    <w:rsid w:val="0025479C"/>
    <w:rsid w:val="00256AE4"/>
    <w:rsid w:val="00257321"/>
    <w:rsid w:val="0025759C"/>
    <w:rsid w:val="00257984"/>
    <w:rsid w:val="00257B3B"/>
    <w:rsid w:val="00260154"/>
    <w:rsid w:val="0026261D"/>
    <w:rsid w:val="0026265B"/>
    <w:rsid w:val="002626B4"/>
    <w:rsid w:val="0026284F"/>
    <w:rsid w:val="00262C67"/>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332"/>
    <w:rsid w:val="00280DF5"/>
    <w:rsid w:val="00281280"/>
    <w:rsid w:val="00281454"/>
    <w:rsid w:val="00282FE2"/>
    <w:rsid w:val="00283532"/>
    <w:rsid w:val="00284184"/>
    <w:rsid w:val="0028487F"/>
    <w:rsid w:val="00286186"/>
    <w:rsid w:val="00286B7A"/>
    <w:rsid w:val="00287C56"/>
    <w:rsid w:val="00291A19"/>
    <w:rsid w:val="00291A2C"/>
    <w:rsid w:val="002924CD"/>
    <w:rsid w:val="00292579"/>
    <w:rsid w:val="00292E93"/>
    <w:rsid w:val="0029342E"/>
    <w:rsid w:val="00293F6D"/>
    <w:rsid w:val="00293FA8"/>
    <w:rsid w:val="00293FBF"/>
    <w:rsid w:val="0029401E"/>
    <w:rsid w:val="002941B8"/>
    <w:rsid w:val="00295308"/>
    <w:rsid w:val="00295E32"/>
    <w:rsid w:val="00295E57"/>
    <w:rsid w:val="00296460"/>
    <w:rsid w:val="00296463"/>
    <w:rsid w:val="002969BC"/>
    <w:rsid w:val="00297499"/>
    <w:rsid w:val="00297C23"/>
    <w:rsid w:val="002A0043"/>
    <w:rsid w:val="002A0D45"/>
    <w:rsid w:val="002A2269"/>
    <w:rsid w:val="002A23F7"/>
    <w:rsid w:val="002A59F4"/>
    <w:rsid w:val="002A5C49"/>
    <w:rsid w:val="002A6616"/>
    <w:rsid w:val="002A6D18"/>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C68"/>
    <w:rsid w:val="002C0F45"/>
    <w:rsid w:val="002C119D"/>
    <w:rsid w:val="002C1446"/>
    <w:rsid w:val="002C1B67"/>
    <w:rsid w:val="002C1D5F"/>
    <w:rsid w:val="002C2452"/>
    <w:rsid w:val="002C24D5"/>
    <w:rsid w:val="002C2C00"/>
    <w:rsid w:val="002C3900"/>
    <w:rsid w:val="002C441D"/>
    <w:rsid w:val="002C4C0C"/>
    <w:rsid w:val="002C65CE"/>
    <w:rsid w:val="002C66CD"/>
    <w:rsid w:val="002C6E18"/>
    <w:rsid w:val="002D06FD"/>
    <w:rsid w:val="002D0829"/>
    <w:rsid w:val="002D0AC9"/>
    <w:rsid w:val="002D12FC"/>
    <w:rsid w:val="002D1383"/>
    <w:rsid w:val="002D1632"/>
    <w:rsid w:val="002D1C0C"/>
    <w:rsid w:val="002D3F19"/>
    <w:rsid w:val="002D4CEA"/>
    <w:rsid w:val="002D522E"/>
    <w:rsid w:val="002D569D"/>
    <w:rsid w:val="002D5F6B"/>
    <w:rsid w:val="002D67DC"/>
    <w:rsid w:val="002D681D"/>
    <w:rsid w:val="002D79E9"/>
    <w:rsid w:val="002E00E3"/>
    <w:rsid w:val="002E066B"/>
    <w:rsid w:val="002E0960"/>
    <w:rsid w:val="002E18B5"/>
    <w:rsid w:val="002E385F"/>
    <w:rsid w:val="002E3BE9"/>
    <w:rsid w:val="002E56E8"/>
    <w:rsid w:val="002E6EB8"/>
    <w:rsid w:val="002E7165"/>
    <w:rsid w:val="002F0029"/>
    <w:rsid w:val="002F0294"/>
    <w:rsid w:val="002F0E7E"/>
    <w:rsid w:val="002F1553"/>
    <w:rsid w:val="002F15D3"/>
    <w:rsid w:val="002F1759"/>
    <w:rsid w:val="002F2B2E"/>
    <w:rsid w:val="002F2BDD"/>
    <w:rsid w:val="002F2F1D"/>
    <w:rsid w:val="002F3095"/>
    <w:rsid w:val="002F3CE9"/>
    <w:rsid w:val="002F43F5"/>
    <w:rsid w:val="002F4849"/>
    <w:rsid w:val="002F4F42"/>
    <w:rsid w:val="002F605B"/>
    <w:rsid w:val="002F6B43"/>
    <w:rsid w:val="002F7BEF"/>
    <w:rsid w:val="002F7F83"/>
    <w:rsid w:val="0030041A"/>
    <w:rsid w:val="00300FEC"/>
    <w:rsid w:val="0030168A"/>
    <w:rsid w:val="003033BA"/>
    <w:rsid w:val="00303F20"/>
    <w:rsid w:val="00304113"/>
    <w:rsid w:val="003049D5"/>
    <w:rsid w:val="00304EC8"/>
    <w:rsid w:val="003057B2"/>
    <w:rsid w:val="0030664E"/>
    <w:rsid w:val="00307459"/>
    <w:rsid w:val="00310987"/>
    <w:rsid w:val="00310F6E"/>
    <w:rsid w:val="0031267C"/>
    <w:rsid w:val="00312877"/>
    <w:rsid w:val="00313382"/>
    <w:rsid w:val="003138FF"/>
    <w:rsid w:val="0031396A"/>
    <w:rsid w:val="00313A60"/>
    <w:rsid w:val="003144A3"/>
    <w:rsid w:val="0031458F"/>
    <w:rsid w:val="00317691"/>
    <w:rsid w:val="0032017B"/>
    <w:rsid w:val="003204D3"/>
    <w:rsid w:val="00320603"/>
    <w:rsid w:val="0032206C"/>
    <w:rsid w:val="00322271"/>
    <w:rsid w:val="00322937"/>
    <w:rsid w:val="00322BA2"/>
    <w:rsid w:val="0032311F"/>
    <w:rsid w:val="0032519A"/>
    <w:rsid w:val="003252D8"/>
    <w:rsid w:val="003259F0"/>
    <w:rsid w:val="00325A3A"/>
    <w:rsid w:val="0032738A"/>
    <w:rsid w:val="00327BDD"/>
    <w:rsid w:val="00332005"/>
    <w:rsid w:val="003323C9"/>
    <w:rsid w:val="003323EB"/>
    <w:rsid w:val="00332516"/>
    <w:rsid w:val="00332D62"/>
    <w:rsid w:val="00333368"/>
    <w:rsid w:val="003333FB"/>
    <w:rsid w:val="003334E7"/>
    <w:rsid w:val="00334999"/>
    <w:rsid w:val="003349A5"/>
    <w:rsid w:val="00334B47"/>
    <w:rsid w:val="00334F9D"/>
    <w:rsid w:val="003351CD"/>
    <w:rsid w:val="0033592F"/>
    <w:rsid w:val="00335F0E"/>
    <w:rsid w:val="00336712"/>
    <w:rsid w:val="00336897"/>
    <w:rsid w:val="003377EF"/>
    <w:rsid w:val="00337881"/>
    <w:rsid w:val="00337945"/>
    <w:rsid w:val="00337CC9"/>
    <w:rsid w:val="0034177C"/>
    <w:rsid w:val="0034268A"/>
    <w:rsid w:val="00343061"/>
    <w:rsid w:val="0034444F"/>
    <w:rsid w:val="00345114"/>
    <w:rsid w:val="00345134"/>
    <w:rsid w:val="00345F2B"/>
    <w:rsid w:val="00346096"/>
    <w:rsid w:val="0034680A"/>
    <w:rsid w:val="00346BD3"/>
    <w:rsid w:val="0034748E"/>
    <w:rsid w:val="003474FD"/>
    <w:rsid w:val="0035006A"/>
    <w:rsid w:val="0035171F"/>
    <w:rsid w:val="00351925"/>
    <w:rsid w:val="00351EAD"/>
    <w:rsid w:val="00352C84"/>
    <w:rsid w:val="00352ECA"/>
    <w:rsid w:val="00353147"/>
    <w:rsid w:val="00353DD5"/>
    <w:rsid w:val="0035431C"/>
    <w:rsid w:val="00354482"/>
    <w:rsid w:val="003545EF"/>
    <w:rsid w:val="00354D4B"/>
    <w:rsid w:val="0035533F"/>
    <w:rsid w:val="003554CF"/>
    <w:rsid w:val="00355B83"/>
    <w:rsid w:val="003564A6"/>
    <w:rsid w:val="0035653A"/>
    <w:rsid w:val="0035671F"/>
    <w:rsid w:val="0035753D"/>
    <w:rsid w:val="0036037E"/>
    <w:rsid w:val="00360C2B"/>
    <w:rsid w:val="00362275"/>
    <w:rsid w:val="00362B65"/>
    <w:rsid w:val="00362E84"/>
    <w:rsid w:val="003630DA"/>
    <w:rsid w:val="00363687"/>
    <w:rsid w:val="003649DE"/>
    <w:rsid w:val="0036505D"/>
    <w:rsid w:val="003658F8"/>
    <w:rsid w:val="00365E12"/>
    <w:rsid w:val="003662A4"/>
    <w:rsid w:val="00366C70"/>
    <w:rsid w:val="00366CC3"/>
    <w:rsid w:val="00370FD4"/>
    <w:rsid w:val="00372952"/>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26E"/>
    <w:rsid w:val="00386456"/>
    <w:rsid w:val="0038689A"/>
    <w:rsid w:val="00387205"/>
    <w:rsid w:val="003879B7"/>
    <w:rsid w:val="003879DA"/>
    <w:rsid w:val="00391570"/>
    <w:rsid w:val="0039284C"/>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188D"/>
    <w:rsid w:val="003A24C2"/>
    <w:rsid w:val="003A317B"/>
    <w:rsid w:val="003A39E3"/>
    <w:rsid w:val="003A4BFE"/>
    <w:rsid w:val="003A4C50"/>
    <w:rsid w:val="003A581E"/>
    <w:rsid w:val="003A5D70"/>
    <w:rsid w:val="003A61EC"/>
    <w:rsid w:val="003A64BF"/>
    <w:rsid w:val="003A6C1F"/>
    <w:rsid w:val="003A70A2"/>
    <w:rsid w:val="003A74D6"/>
    <w:rsid w:val="003A78E0"/>
    <w:rsid w:val="003B0348"/>
    <w:rsid w:val="003B1829"/>
    <w:rsid w:val="003B1B0F"/>
    <w:rsid w:val="003B2884"/>
    <w:rsid w:val="003B29F1"/>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046C"/>
    <w:rsid w:val="003C22CA"/>
    <w:rsid w:val="003C26D5"/>
    <w:rsid w:val="003C3690"/>
    <w:rsid w:val="003C3A6B"/>
    <w:rsid w:val="003C426A"/>
    <w:rsid w:val="003C4422"/>
    <w:rsid w:val="003C4B47"/>
    <w:rsid w:val="003C5697"/>
    <w:rsid w:val="003C6131"/>
    <w:rsid w:val="003C7A5F"/>
    <w:rsid w:val="003C7DAE"/>
    <w:rsid w:val="003D1E47"/>
    <w:rsid w:val="003D2296"/>
    <w:rsid w:val="003D3093"/>
    <w:rsid w:val="003D3683"/>
    <w:rsid w:val="003D3BB9"/>
    <w:rsid w:val="003D3C2E"/>
    <w:rsid w:val="003D3E2D"/>
    <w:rsid w:val="003D4456"/>
    <w:rsid w:val="003D4467"/>
    <w:rsid w:val="003D4E6B"/>
    <w:rsid w:val="003D741C"/>
    <w:rsid w:val="003E001D"/>
    <w:rsid w:val="003E14BA"/>
    <w:rsid w:val="003E23EA"/>
    <w:rsid w:val="003E3695"/>
    <w:rsid w:val="003E3BC4"/>
    <w:rsid w:val="003E4C6C"/>
    <w:rsid w:val="003E598C"/>
    <w:rsid w:val="003E657C"/>
    <w:rsid w:val="003E7355"/>
    <w:rsid w:val="003E73F1"/>
    <w:rsid w:val="003E7F15"/>
    <w:rsid w:val="003F0700"/>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3D2"/>
    <w:rsid w:val="00404D7A"/>
    <w:rsid w:val="00404F7E"/>
    <w:rsid w:val="0040503E"/>
    <w:rsid w:val="00406553"/>
    <w:rsid w:val="00407396"/>
    <w:rsid w:val="00407A8A"/>
    <w:rsid w:val="00407EFE"/>
    <w:rsid w:val="00410806"/>
    <w:rsid w:val="004110C1"/>
    <w:rsid w:val="00411FA4"/>
    <w:rsid w:val="00412F7D"/>
    <w:rsid w:val="00413E4A"/>
    <w:rsid w:val="0041629E"/>
    <w:rsid w:val="00416CE1"/>
    <w:rsid w:val="00416F9D"/>
    <w:rsid w:val="00422B39"/>
    <w:rsid w:val="00423AD3"/>
    <w:rsid w:val="00423F9F"/>
    <w:rsid w:val="004248F4"/>
    <w:rsid w:val="00425CA8"/>
    <w:rsid w:val="00425D39"/>
    <w:rsid w:val="00426A47"/>
    <w:rsid w:val="00426DF2"/>
    <w:rsid w:val="004276A7"/>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365"/>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69E3"/>
    <w:rsid w:val="00457A81"/>
    <w:rsid w:val="00457BC1"/>
    <w:rsid w:val="00460729"/>
    <w:rsid w:val="00460D59"/>
    <w:rsid w:val="00461335"/>
    <w:rsid w:val="004613DB"/>
    <w:rsid w:val="004616A9"/>
    <w:rsid w:val="004617CF"/>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178"/>
    <w:rsid w:val="0047137B"/>
    <w:rsid w:val="00471F23"/>
    <w:rsid w:val="00472E62"/>
    <w:rsid w:val="00474173"/>
    <w:rsid w:val="0047438D"/>
    <w:rsid w:val="00476670"/>
    <w:rsid w:val="004772DA"/>
    <w:rsid w:val="004772E9"/>
    <w:rsid w:val="00477ABF"/>
    <w:rsid w:val="0048113B"/>
    <w:rsid w:val="00481F31"/>
    <w:rsid w:val="00482235"/>
    <w:rsid w:val="004823D1"/>
    <w:rsid w:val="00482453"/>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9751F"/>
    <w:rsid w:val="004A06D8"/>
    <w:rsid w:val="004A0D1E"/>
    <w:rsid w:val="004A1030"/>
    <w:rsid w:val="004A194E"/>
    <w:rsid w:val="004A1C01"/>
    <w:rsid w:val="004A1D82"/>
    <w:rsid w:val="004A2579"/>
    <w:rsid w:val="004A26B5"/>
    <w:rsid w:val="004A2777"/>
    <w:rsid w:val="004A34D2"/>
    <w:rsid w:val="004A396E"/>
    <w:rsid w:val="004A3E56"/>
    <w:rsid w:val="004A41C5"/>
    <w:rsid w:val="004A462E"/>
    <w:rsid w:val="004A57EE"/>
    <w:rsid w:val="004A627A"/>
    <w:rsid w:val="004A7062"/>
    <w:rsid w:val="004A7BC6"/>
    <w:rsid w:val="004B0381"/>
    <w:rsid w:val="004B0502"/>
    <w:rsid w:val="004B09FE"/>
    <w:rsid w:val="004B0C80"/>
    <w:rsid w:val="004B0EF1"/>
    <w:rsid w:val="004B323E"/>
    <w:rsid w:val="004B3798"/>
    <w:rsid w:val="004B414B"/>
    <w:rsid w:val="004B4965"/>
    <w:rsid w:val="004B680F"/>
    <w:rsid w:val="004B708C"/>
    <w:rsid w:val="004B72C6"/>
    <w:rsid w:val="004B7962"/>
    <w:rsid w:val="004B79D3"/>
    <w:rsid w:val="004C0F66"/>
    <w:rsid w:val="004C2076"/>
    <w:rsid w:val="004C2520"/>
    <w:rsid w:val="004C32B5"/>
    <w:rsid w:val="004C4DAC"/>
    <w:rsid w:val="004C54DA"/>
    <w:rsid w:val="004C58D0"/>
    <w:rsid w:val="004C6A5A"/>
    <w:rsid w:val="004C72F9"/>
    <w:rsid w:val="004C7664"/>
    <w:rsid w:val="004C7D8B"/>
    <w:rsid w:val="004D1B34"/>
    <w:rsid w:val="004D1C40"/>
    <w:rsid w:val="004D1E36"/>
    <w:rsid w:val="004D1F40"/>
    <w:rsid w:val="004D22F5"/>
    <w:rsid w:val="004D2C56"/>
    <w:rsid w:val="004D4CD7"/>
    <w:rsid w:val="004D6024"/>
    <w:rsid w:val="004D6B1A"/>
    <w:rsid w:val="004D7167"/>
    <w:rsid w:val="004D7247"/>
    <w:rsid w:val="004E0A12"/>
    <w:rsid w:val="004E1522"/>
    <w:rsid w:val="004E1AFE"/>
    <w:rsid w:val="004E1D7D"/>
    <w:rsid w:val="004E2121"/>
    <w:rsid w:val="004E24B4"/>
    <w:rsid w:val="004E376E"/>
    <w:rsid w:val="004E3CCA"/>
    <w:rsid w:val="004E4412"/>
    <w:rsid w:val="004E74C0"/>
    <w:rsid w:val="004F00C1"/>
    <w:rsid w:val="004F0161"/>
    <w:rsid w:val="004F0D23"/>
    <w:rsid w:val="004F1329"/>
    <w:rsid w:val="004F1BF8"/>
    <w:rsid w:val="004F262A"/>
    <w:rsid w:val="004F2B88"/>
    <w:rsid w:val="004F5FFC"/>
    <w:rsid w:val="004F71B4"/>
    <w:rsid w:val="004F74A8"/>
    <w:rsid w:val="004F7652"/>
    <w:rsid w:val="004F778C"/>
    <w:rsid w:val="0050096C"/>
    <w:rsid w:val="00500B28"/>
    <w:rsid w:val="00500C2C"/>
    <w:rsid w:val="00500E46"/>
    <w:rsid w:val="005010D1"/>
    <w:rsid w:val="00501367"/>
    <w:rsid w:val="0050147A"/>
    <w:rsid w:val="005019DD"/>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5D0"/>
    <w:rsid w:val="00512F6A"/>
    <w:rsid w:val="00513A64"/>
    <w:rsid w:val="00513AF2"/>
    <w:rsid w:val="00514118"/>
    <w:rsid w:val="00514281"/>
    <w:rsid w:val="0051450C"/>
    <w:rsid w:val="005148D7"/>
    <w:rsid w:val="005158B4"/>
    <w:rsid w:val="0051637C"/>
    <w:rsid w:val="005174FC"/>
    <w:rsid w:val="00517AB0"/>
    <w:rsid w:val="00517B77"/>
    <w:rsid w:val="00517E33"/>
    <w:rsid w:val="00520096"/>
    <w:rsid w:val="005201CA"/>
    <w:rsid w:val="00521105"/>
    <w:rsid w:val="00521815"/>
    <w:rsid w:val="00524F09"/>
    <w:rsid w:val="0052547D"/>
    <w:rsid w:val="005278E6"/>
    <w:rsid w:val="00527B56"/>
    <w:rsid w:val="00527FB0"/>
    <w:rsid w:val="00530E56"/>
    <w:rsid w:val="005310DF"/>
    <w:rsid w:val="00531103"/>
    <w:rsid w:val="005317FA"/>
    <w:rsid w:val="00531BFC"/>
    <w:rsid w:val="0053299A"/>
    <w:rsid w:val="0053339B"/>
    <w:rsid w:val="00533C19"/>
    <w:rsid w:val="005355A1"/>
    <w:rsid w:val="005365B9"/>
    <w:rsid w:val="00537521"/>
    <w:rsid w:val="00540751"/>
    <w:rsid w:val="00540A4F"/>
    <w:rsid w:val="00541058"/>
    <w:rsid w:val="00541E29"/>
    <w:rsid w:val="00541F5C"/>
    <w:rsid w:val="00542157"/>
    <w:rsid w:val="005440DB"/>
    <w:rsid w:val="0054413A"/>
    <w:rsid w:val="005443DD"/>
    <w:rsid w:val="00544C5B"/>
    <w:rsid w:val="00544EF8"/>
    <w:rsid w:val="00546363"/>
    <w:rsid w:val="00546FA4"/>
    <w:rsid w:val="005472FD"/>
    <w:rsid w:val="00547D71"/>
    <w:rsid w:val="005503AB"/>
    <w:rsid w:val="00552862"/>
    <w:rsid w:val="00553D40"/>
    <w:rsid w:val="00554B18"/>
    <w:rsid w:val="005564CA"/>
    <w:rsid w:val="005570A8"/>
    <w:rsid w:val="0055743D"/>
    <w:rsid w:val="00557C48"/>
    <w:rsid w:val="00557C62"/>
    <w:rsid w:val="00557FDD"/>
    <w:rsid w:val="0056055D"/>
    <w:rsid w:val="00560C72"/>
    <w:rsid w:val="0056182B"/>
    <w:rsid w:val="00561DB1"/>
    <w:rsid w:val="0056283E"/>
    <w:rsid w:val="00563A5C"/>
    <w:rsid w:val="00563B07"/>
    <w:rsid w:val="00564E17"/>
    <w:rsid w:val="00564FC2"/>
    <w:rsid w:val="00565877"/>
    <w:rsid w:val="00567928"/>
    <w:rsid w:val="00571FD6"/>
    <w:rsid w:val="00572591"/>
    <w:rsid w:val="005728F1"/>
    <w:rsid w:val="00572C3A"/>
    <w:rsid w:val="00572F5F"/>
    <w:rsid w:val="00573B2B"/>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68E7"/>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2358"/>
    <w:rsid w:val="005E3D00"/>
    <w:rsid w:val="005E4159"/>
    <w:rsid w:val="005E47E9"/>
    <w:rsid w:val="005E4DBD"/>
    <w:rsid w:val="005E529C"/>
    <w:rsid w:val="005E5B57"/>
    <w:rsid w:val="005E6118"/>
    <w:rsid w:val="005E640D"/>
    <w:rsid w:val="005E7395"/>
    <w:rsid w:val="005F012F"/>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4F49"/>
    <w:rsid w:val="006053B5"/>
    <w:rsid w:val="00606400"/>
    <w:rsid w:val="00606CC8"/>
    <w:rsid w:val="00606D1C"/>
    <w:rsid w:val="00606DCB"/>
    <w:rsid w:val="00606EAE"/>
    <w:rsid w:val="006072D1"/>
    <w:rsid w:val="00607888"/>
    <w:rsid w:val="00610361"/>
    <w:rsid w:val="006105EA"/>
    <w:rsid w:val="0061081B"/>
    <w:rsid w:val="006118C9"/>
    <w:rsid w:val="0061304B"/>
    <w:rsid w:val="00613442"/>
    <w:rsid w:val="006134CB"/>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54B0"/>
    <w:rsid w:val="00636D35"/>
    <w:rsid w:val="00637E41"/>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7F0"/>
    <w:rsid w:val="00656997"/>
    <w:rsid w:val="00656BD3"/>
    <w:rsid w:val="00656C7D"/>
    <w:rsid w:val="006609AB"/>
    <w:rsid w:val="00660B46"/>
    <w:rsid w:val="006613B1"/>
    <w:rsid w:val="00661F16"/>
    <w:rsid w:val="00662F65"/>
    <w:rsid w:val="00663314"/>
    <w:rsid w:val="0066452D"/>
    <w:rsid w:val="00664556"/>
    <w:rsid w:val="00664EBA"/>
    <w:rsid w:val="00665553"/>
    <w:rsid w:val="00665ED7"/>
    <w:rsid w:val="006660FA"/>
    <w:rsid w:val="00666303"/>
    <w:rsid w:val="00666375"/>
    <w:rsid w:val="0066696D"/>
    <w:rsid w:val="006676AA"/>
    <w:rsid w:val="00667FD6"/>
    <w:rsid w:val="00670AFD"/>
    <w:rsid w:val="006715BC"/>
    <w:rsid w:val="00672379"/>
    <w:rsid w:val="006726C7"/>
    <w:rsid w:val="006732EF"/>
    <w:rsid w:val="00673E35"/>
    <w:rsid w:val="006745D9"/>
    <w:rsid w:val="00675DAA"/>
    <w:rsid w:val="00676398"/>
    <w:rsid w:val="0067671D"/>
    <w:rsid w:val="00676959"/>
    <w:rsid w:val="0067719F"/>
    <w:rsid w:val="00677428"/>
    <w:rsid w:val="00680ACA"/>
    <w:rsid w:val="00680CD0"/>
    <w:rsid w:val="00680EE3"/>
    <w:rsid w:val="006811A6"/>
    <w:rsid w:val="00681957"/>
    <w:rsid w:val="00682A02"/>
    <w:rsid w:val="00683B3E"/>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105"/>
    <w:rsid w:val="006A0BB2"/>
    <w:rsid w:val="006A0BC3"/>
    <w:rsid w:val="006A0F37"/>
    <w:rsid w:val="006A14C3"/>
    <w:rsid w:val="006A1B54"/>
    <w:rsid w:val="006A490E"/>
    <w:rsid w:val="006A4CD0"/>
    <w:rsid w:val="006A513A"/>
    <w:rsid w:val="006A52CE"/>
    <w:rsid w:val="006A667D"/>
    <w:rsid w:val="006A6C98"/>
    <w:rsid w:val="006A7CB5"/>
    <w:rsid w:val="006A7FD0"/>
    <w:rsid w:val="006B02DD"/>
    <w:rsid w:val="006B0A01"/>
    <w:rsid w:val="006B1211"/>
    <w:rsid w:val="006B134F"/>
    <w:rsid w:val="006B2D2D"/>
    <w:rsid w:val="006B340F"/>
    <w:rsid w:val="006B4131"/>
    <w:rsid w:val="006B419C"/>
    <w:rsid w:val="006B47A7"/>
    <w:rsid w:val="006B4A03"/>
    <w:rsid w:val="006B4BC9"/>
    <w:rsid w:val="006B5469"/>
    <w:rsid w:val="006B5E52"/>
    <w:rsid w:val="006B6D5F"/>
    <w:rsid w:val="006B7C79"/>
    <w:rsid w:val="006C02B8"/>
    <w:rsid w:val="006C05BD"/>
    <w:rsid w:val="006C12D6"/>
    <w:rsid w:val="006C1557"/>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0A64"/>
    <w:rsid w:val="006D1A6C"/>
    <w:rsid w:val="006D3000"/>
    <w:rsid w:val="006D316E"/>
    <w:rsid w:val="006D391A"/>
    <w:rsid w:val="006D46B7"/>
    <w:rsid w:val="006D4D3E"/>
    <w:rsid w:val="006D50BE"/>
    <w:rsid w:val="006D524B"/>
    <w:rsid w:val="006D6BBC"/>
    <w:rsid w:val="006D7687"/>
    <w:rsid w:val="006D7953"/>
    <w:rsid w:val="006E0572"/>
    <w:rsid w:val="006E178E"/>
    <w:rsid w:val="006E1CF3"/>
    <w:rsid w:val="006E2F98"/>
    <w:rsid w:val="006E321E"/>
    <w:rsid w:val="006E3401"/>
    <w:rsid w:val="006E3C68"/>
    <w:rsid w:val="006E4184"/>
    <w:rsid w:val="006E4ED6"/>
    <w:rsid w:val="006E5518"/>
    <w:rsid w:val="006E691B"/>
    <w:rsid w:val="006E7BD4"/>
    <w:rsid w:val="006F0339"/>
    <w:rsid w:val="006F1C0D"/>
    <w:rsid w:val="006F2A0F"/>
    <w:rsid w:val="006F2C91"/>
    <w:rsid w:val="006F3D72"/>
    <w:rsid w:val="006F3DDD"/>
    <w:rsid w:val="006F4334"/>
    <w:rsid w:val="006F5452"/>
    <w:rsid w:val="006F77C0"/>
    <w:rsid w:val="006F7B98"/>
    <w:rsid w:val="00700094"/>
    <w:rsid w:val="0070018D"/>
    <w:rsid w:val="007007D4"/>
    <w:rsid w:val="00700C40"/>
    <w:rsid w:val="00702675"/>
    <w:rsid w:val="007027E7"/>
    <w:rsid w:val="00702B8B"/>
    <w:rsid w:val="00703A0F"/>
    <w:rsid w:val="00703B28"/>
    <w:rsid w:val="00705631"/>
    <w:rsid w:val="0070611C"/>
    <w:rsid w:val="007065A8"/>
    <w:rsid w:val="00706A51"/>
    <w:rsid w:val="0070782A"/>
    <w:rsid w:val="00710196"/>
    <w:rsid w:val="00710305"/>
    <w:rsid w:val="00710EEC"/>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5FBB"/>
    <w:rsid w:val="00726A61"/>
    <w:rsid w:val="00726E84"/>
    <w:rsid w:val="00727520"/>
    <w:rsid w:val="00727F26"/>
    <w:rsid w:val="00730306"/>
    <w:rsid w:val="00730618"/>
    <w:rsid w:val="00731222"/>
    <w:rsid w:val="00731CBB"/>
    <w:rsid w:val="00732D32"/>
    <w:rsid w:val="007331A0"/>
    <w:rsid w:val="0073322B"/>
    <w:rsid w:val="00733F5A"/>
    <w:rsid w:val="00734286"/>
    <w:rsid w:val="007346C5"/>
    <w:rsid w:val="00734F7F"/>
    <w:rsid w:val="00735685"/>
    <w:rsid w:val="00735C4B"/>
    <w:rsid w:val="00736DE3"/>
    <w:rsid w:val="0073748A"/>
    <w:rsid w:val="00737765"/>
    <w:rsid w:val="00740500"/>
    <w:rsid w:val="007407BE"/>
    <w:rsid w:val="00740F14"/>
    <w:rsid w:val="0074100F"/>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1A6B"/>
    <w:rsid w:val="00761DBC"/>
    <w:rsid w:val="00762634"/>
    <w:rsid w:val="00762AEC"/>
    <w:rsid w:val="007634AD"/>
    <w:rsid w:val="00764838"/>
    <w:rsid w:val="00764D4E"/>
    <w:rsid w:val="00764E67"/>
    <w:rsid w:val="00765694"/>
    <w:rsid w:val="00765B48"/>
    <w:rsid w:val="00767F50"/>
    <w:rsid w:val="00770CEE"/>
    <w:rsid w:val="00770F51"/>
    <w:rsid w:val="0077377C"/>
    <w:rsid w:val="00773A10"/>
    <w:rsid w:val="0077470A"/>
    <w:rsid w:val="00775007"/>
    <w:rsid w:val="007759E8"/>
    <w:rsid w:val="00776709"/>
    <w:rsid w:val="00777DA2"/>
    <w:rsid w:val="0078122E"/>
    <w:rsid w:val="00781331"/>
    <w:rsid w:val="007813B7"/>
    <w:rsid w:val="00781EE9"/>
    <w:rsid w:val="00781F10"/>
    <w:rsid w:val="00782053"/>
    <w:rsid w:val="00782878"/>
    <w:rsid w:val="00783027"/>
    <w:rsid w:val="00783678"/>
    <w:rsid w:val="007839BF"/>
    <w:rsid w:val="00783AEB"/>
    <w:rsid w:val="007843B6"/>
    <w:rsid w:val="00785913"/>
    <w:rsid w:val="00786353"/>
    <w:rsid w:val="007866FF"/>
    <w:rsid w:val="00786CB0"/>
    <w:rsid w:val="00786E20"/>
    <w:rsid w:val="00787DC5"/>
    <w:rsid w:val="0079028F"/>
    <w:rsid w:val="00790AC4"/>
    <w:rsid w:val="00791E28"/>
    <w:rsid w:val="007927C6"/>
    <w:rsid w:val="007934AE"/>
    <w:rsid w:val="0079381B"/>
    <w:rsid w:val="00793EC8"/>
    <w:rsid w:val="00794171"/>
    <w:rsid w:val="00795647"/>
    <w:rsid w:val="007963B2"/>
    <w:rsid w:val="007A05B2"/>
    <w:rsid w:val="007A07E4"/>
    <w:rsid w:val="007A179D"/>
    <w:rsid w:val="007A211F"/>
    <w:rsid w:val="007A3612"/>
    <w:rsid w:val="007A3911"/>
    <w:rsid w:val="007A399C"/>
    <w:rsid w:val="007A3D08"/>
    <w:rsid w:val="007A3F50"/>
    <w:rsid w:val="007A53EF"/>
    <w:rsid w:val="007A6DE0"/>
    <w:rsid w:val="007A7761"/>
    <w:rsid w:val="007B0854"/>
    <w:rsid w:val="007B1288"/>
    <w:rsid w:val="007B1526"/>
    <w:rsid w:val="007B18EE"/>
    <w:rsid w:val="007B204E"/>
    <w:rsid w:val="007B2571"/>
    <w:rsid w:val="007B2D62"/>
    <w:rsid w:val="007B3524"/>
    <w:rsid w:val="007B3CCC"/>
    <w:rsid w:val="007B3CCE"/>
    <w:rsid w:val="007B4540"/>
    <w:rsid w:val="007B495B"/>
    <w:rsid w:val="007B5414"/>
    <w:rsid w:val="007B58F4"/>
    <w:rsid w:val="007B6EA2"/>
    <w:rsid w:val="007B7CED"/>
    <w:rsid w:val="007C097B"/>
    <w:rsid w:val="007C17F4"/>
    <w:rsid w:val="007C256E"/>
    <w:rsid w:val="007C3FAF"/>
    <w:rsid w:val="007C552A"/>
    <w:rsid w:val="007C5D1C"/>
    <w:rsid w:val="007C643C"/>
    <w:rsid w:val="007C72EC"/>
    <w:rsid w:val="007C755B"/>
    <w:rsid w:val="007D0056"/>
    <w:rsid w:val="007D02FD"/>
    <w:rsid w:val="007D0313"/>
    <w:rsid w:val="007D0FED"/>
    <w:rsid w:val="007D217E"/>
    <w:rsid w:val="007D2D49"/>
    <w:rsid w:val="007D2E15"/>
    <w:rsid w:val="007D2FC7"/>
    <w:rsid w:val="007D319C"/>
    <w:rsid w:val="007D543F"/>
    <w:rsid w:val="007D5A5A"/>
    <w:rsid w:val="007D5C8F"/>
    <w:rsid w:val="007D6000"/>
    <w:rsid w:val="007D671A"/>
    <w:rsid w:val="007D6AEE"/>
    <w:rsid w:val="007D74F0"/>
    <w:rsid w:val="007D7DA4"/>
    <w:rsid w:val="007E0393"/>
    <w:rsid w:val="007E043C"/>
    <w:rsid w:val="007E04BB"/>
    <w:rsid w:val="007E0C2B"/>
    <w:rsid w:val="007E1321"/>
    <w:rsid w:val="007E23F7"/>
    <w:rsid w:val="007E2D42"/>
    <w:rsid w:val="007E33FB"/>
    <w:rsid w:val="007E392D"/>
    <w:rsid w:val="007E4FB0"/>
    <w:rsid w:val="007E5073"/>
    <w:rsid w:val="007E5253"/>
    <w:rsid w:val="007E61BB"/>
    <w:rsid w:val="007E6773"/>
    <w:rsid w:val="007E758C"/>
    <w:rsid w:val="007F0CE8"/>
    <w:rsid w:val="007F12AC"/>
    <w:rsid w:val="007F1C03"/>
    <w:rsid w:val="007F2320"/>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17A"/>
    <w:rsid w:val="0080521C"/>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89"/>
    <w:rsid w:val="0081319D"/>
    <w:rsid w:val="00814881"/>
    <w:rsid w:val="00815C43"/>
    <w:rsid w:val="008161A0"/>
    <w:rsid w:val="00817A08"/>
    <w:rsid w:val="00820AAA"/>
    <w:rsid w:val="00820B4A"/>
    <w:rsid w:val="008217B7"/>
    <w:rsid w:val="00821A69"/>
    <w:rsid w:val="008236D2"/>
    <w:rsid w:val="0082471E"/>
    <w:rsid w:val="00824BA7"/>
    <w:rsid w:val="008255B9"/>
    <w:rsid w:val="0082606C"/>
    <w:rsid w:val="00830B56"/>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1936"/>
    <w:rsid w:val="00853B4B"/>
    <w:rsid w:val="00853CE7"/>
    <w:rsid w:val="00854029"/>
    <w:rsid w:val="00854370"/>
    <w:rsid w:val="008548AC"/>
    <w:rsid w:val="0085598C"/>
    <w:rsid w:val="00855F56"/>
    <w:rsid w:val="00856420"/>
    <w:rsid w:val="008576FC"/>
    <w:rsid w:val="00857CD9"/>
    <w:rsid w:val="008605DD"/>
    <w:rsid w:val="00861CBE"/>
    <w:rsid w:val="008629DE"/>
    <w:rsid w:val="00863907"/>
    <w:rsid w:val="00863B45"/>
    <w:rsid w:val="00864E15"/>
    <w:rsid w:val="00864F2E"/>
    <w:rsid w:val="00866D4C"/>
    <w:rsid w:val="00867267"/>
    <w:rsid w:val="0086772B"/>
    <w:rsid w:val="00867FA2"/>
    <w:rsid w:val="00870445"/>
    <w:rsid w:val="00870E1A"/>
    <w:rsid w:val="00870F97"/>
    <w:rsid w:val="0087139E"/>
    <w:rsid w:val="00872306"/>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646"/>
    <w:rsid w:val="0088288B"/>
    <w:rsid w:val="0088292E"/>
    <w:rsid w:val="00883014"/>
    <w:rsid w:val="0088373F"/>
    <w:rsid w:val="00883844"/>
    <w:rsid w:val="00884680"/>
    <w:rsid w:val="008847A7"/>
    <w:rsid w:val="0088551C"/>
    <w:rsid w:val="00890802"/>
    <w:rsid w:val="00890A55"/>
    <w:rsid w:val="00890A9A"/>
    <w:rsid w:val="00891993"/>
    <w:rsid w:val="00891DEC"/>
    <w:rsid w:val="008924B5"/>
    <w:rsid w:val="00894248"/>
    <w:rsid w:val="008948DF"/>
    <w:rsid w:val="00894E41"/>
    <w:rsid w:val="00895565"/>
    <w:rsid w:val="00895747"/>
    <w:rsid w:val="00895A22"/>
    <w:rsid w:val="0089637B"/>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32F"/>
    <w:rsid w:val="008A4788"/>
    <w:rsid w:val="008A5F52"/>
    <w:rsid w:val="008A66DC"/>
    <w:rsid w:val="008A6EB9"/>
    <w:rsid w:val="008A7F4C"/>
    <w:rsid w:val="008B0946"/>
    <w:rsid w:val="008B1B8A"/>
    <w:rsid w:val="008B2228"/>
    <w:rsid w:val="008B2578"/>
    <w:rsid w:val="008B2CF7"/>
    <w:rsid w:val="008B365E"/>
    <w:rsid w:val="008B378E"/>
    <w:rsid w:val="008B3AC1"/>
    <w:rsid w:val="008B423D"/>
    <w:rsid w:val="008B6CE8"/>
    <w:rsid w:val="008B721F"/>
    <w:rsid w:val="008B7830"/>
    <w:rsid w:val="008B7AE1"/>
    <w:rsid w:val="008C0576"/>
    <w:rsid w:val="008C0C01"/>
    <w:rsid w:val="008C0E1F"/>
    <w:rsid w:val="008C1250"/>
    <w:rsid w:val="008C193F"/>
    <w:rsid w:val="008C1A17"/>
    <w:rsid w:val="008C289F"/>
    <w:rsid w:val="008C33B6"/>
    <w:rsid w:val="008C39D2"/>
    <w:rsid w:val="008C66F3"/>
    <w:rsid w:val="008C71CB"/>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27D4"/>
    <w:rsid w:val="008E2A99"/>
    <w:rsid w:val="008E365E"/>
    <w:rsid w:val="008E3A2A"/>
    <w:rsid w:val="008E52A4"/>
    <w:rsid w:val="008E705D"/>
    <w:rsid w:val="008E70DB"/>
    <w:rsid w:val="008E7BB9"/>
    <w:rsid w:val="008F0098"/>
    <w:rsid w:val="008F08FE"/>
    <w:rsid w:val="008F1989"/>
    <w:rsid w:val="008F1E12"/>
    <w:rsid w:val="008F25EF"/>
    <w:rsid w:val="008F331A"/>
    <w:rsid w:val="008F3623"/>
    <w:rsid w:val="008F4074"/>
    <w:rsid w:val="008F534C"/>
    <w:rsid w:val="008F538E"/>
    <w:rsid w:val="008F5BE0"/>
    <w:rsid w:val="008F5BFC"/>
    <w:rsid w:val="008F6ABB"/>
    <w:rsid w:val="0090042B"/>
    <w:rsid w:val="00900BE8"/>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07491"/>
    <w:rsid w:val="009101A5"/>
    <w:rsid w:val="00910AAA"/>
    <w:rsid w:val="00910B8D"/>
    <w:rsid w:val="00911B7F"/>
    <w:rsid w:val="009121B6"/>
    <w:rsid w:val="0091259A"/>
    <w:rsid w:val="00912A37"/>
    <w:rsid w:val="00912D3F"/>
    <w:rsid w:val="00912F8B"/>
    <w:rsid w:val="00916046"/>
    <w:rsid w:val="009161B3"/>
    <w:rsid w:val="009167D7"/>
    <w:rsid w:val="00916BC7"/>
    <w:rsid w:val="00917C8E"/>
    <w:rsid w:val="009201F3"/>
    <w:rsid w:val="00920286"/>
    <w:rsid w:val="009209D7"/>
    <w:rsid w:val="00921188"/>
    <w:rsid w:val="0092194E"/>
    <w:rsid w:val="0092226D"/>
    <w:rsid w:val="009222B7"/>
    <w:rsid w:val="00922F52"/>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09E"/>
    <w:rsid w:val="00960168"/>
    <w:rsid w:val="009602A1"/>
    <w:rsid w:val="00961252"/>
    <w:rsid w:val="009615DF"/>
    <w:rsid w:val="00961CE6"/>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1D28"/>
    <w:rsid w:val="00973B5E"/>
    <w:rsid w:val="00973D37"/>
    <w:rsid w:val="00975E8B"/>
    <w:rsid w:val="00975EC6"/>
    <w:rsid w:val="009764E0"/>
    <w:rsid w:val="00976599"/>
    <w:rsid w:val="009779D4"/>
    <w:rsid w:val="00977C8E"/>
    <w:rsid w:val="00980899"/>
    <w:rsid w:val="00980FE9"/>
    <w:rsid w:val="00981341"/>
    <w:rsid w:val="00981AEC"/>
    <w:rsid w:val="00982DE5"/>
    <w:rsid w:val="009836D0"/>
    <w:rsid w:val="0098432E"/>
    <w:rsid w:val="0098580C"/>
    <w:rsid w:val="00986156"/>
    <w:rsid w:val="009865B6"/>
    <w:rsid w:val="0098671F"/>
    <w:rsid w:val="00986C4B"/>
    <w:rsid w:val="00987147"/>
    <w:rsid w:val="00987301"/>
    <w:rsid w:val="00990126"/>
    <w:rsid w:val="00990AEE"/>
    <w:rsid w:val="00990BFE"/>
    <w:rsid w:val="009910EF"/>
    <w:rsid w:val="009916DA"/>
    <w:rsid w:val="00992F84"/>
    <w:rsid w:val="00993FD7"/>
    <w:rsid w:val="009945BB"/>
    <w:rsid w:val="009947DB"/>
    <w:rsid w:val="00995357"/>
    <w:rsid w:val="00995EF8"/>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1DD6"/>
    <w:rsid w:val="009B2874"/>
    <w:rsid w:val="009B2EFC"/>
    <w:rsid w:val="009B3329"/>
    <w:rsid w:val="009B456F"/>
    <w:rsid w:val="009C117E"/>
    <w:rsid w:val="009C1301"/>
    <w:rsid w:val="009C1D7D"/>
    <w:rsid w:val="009C4ADA"/>
    <w:rsid w:val="009C50EC"/>
    <w:rsid w:val="009C51AC"/>
    <w:rsid w:val="009C5F58"/>
    <w:rsid w:val="009C6D8B"/>
    <w:rsid w:val="009C75FC"/>
    <w:rsid w:val="009C7E94"/>
    <w:rsid w:val="009D01FA"/>
    <w:rsid w:val="009D1D2F"/>
    <w:rsid w:val="009D38B3"/>
    <w:rsid w:val="009D3DC3"/>
    <w:rsid w:val="009D4730"/>
    <w:rsid w:val="009D5015"/>
    <w:rsid w:val="009D5269"/>
    <w:rsid w:val="009D531C"/>
    <w:rsid w:val="009D62C3"/>
    <w:rsid w:val="009D68DA"/>
    <w:rsid w:val="009E0FAC"/>
    <w:rsid w:val="009E1D2D"/>
    <w:rsid w:val="009E405A"/>
    <w:rsid w:val="009E4815"/>
    <w:rsid w:val="009E4B65"/>
    <w:rsid w:val="009E4C76"/>
    <w:rsid w:val="009E4EDE"/>
    <w:rsid w:val="009E6031"/>
    <w:rsid w:val="009E65CF"/>
    <w:rsid w:val="009E680D"/>
    <w:rsid w:val="009E6D63"/>
    <w:rsid w:val="009E721A"/>
    <w:rsid w:val="009E754A"/>
    <w:rsid w:val="009F0250"/>
    <w:rsid w:val="009F0BD0"/>
    <w:rsid w:val="009F228F"/>
    <w:rsid w:val="009F2742"/>
    <w:rsid w:val="009F287F"/>
    <w:rsid w:val="009F2950"/>
    <w:rsid w:val="009F2B05"/>
    <w:rsid w:val="009F375A"/>
    <w:rsid w:val="009F4A5A"/>
    <w:rsid w:val="009F5299"/>
    <w:rsid w:val="009F59C2"/>
    <w:rsid w:val="009F5E32"/>
    <w:rsid w:val="009F6C62"/>
    <w:rsid w:val="009F70B9"/>
    <w:rsid w:val="009F739F"/>
    <w:rsid w:val="009F74DF"/>
    <w:rsid w:val="009F7B0A"/>
    <w:rsid w:val="00A0089B"/>
    <w:rsid w:val="00A013D8"/>
    <w:rsid w:val="00A01EAA"/>
    <w:rsid w:val="00A02035"/>
    <w:rsid w:val="00A02AD6"/>
    <w:rsid w:val="00A03AEC"/>
    <w:rsid w:val="00A04EE8"/>
    <w:rsid w:val="00A054E0"/>
    <w:rsid w:val="00A06104"/>
    <w:rsid w:val="00A06697"/>
    <w:rsid w:val="00A077F8"/>
    <w:rsid w:val="00A11AF8"/>
    <w:rsid w:val="00A11E7B"/>
    <w:rsid w:val="00A11E97"/>
    <w:rsid w:val="00A131B4"/>
    <w:rsid w:val="00A13947"/>
    <w:rsid w:val="00A14083"/>
    <w:rsid w:val="00A147D1"/>
    <w:rsid w:val="00A14C37"/>
    <w:rsid w:val="00A153CA"/>
    <w:rsid w:val="00A155F8"/>
    <w:rsid w:val="00A16471"/>
    <w:rsid w:val="00A167C9"/>
    <w:rsid w:val="00A16841"/>
    <w:rsid w:val="00A16A18"/>
    <w:rsid w:val="00A16D8E"/>
    <w:rsid w:val="00A211E3"/>
    <w:rsid w:val="00A219D9"/>
    <w:rsid w:val="00A229B7"/>
    <w:rsid w:val="00A22FBC"/>
    <w:rsid w:val="00A24560"/>
    <w:rsid w:val="00A24CAD"/>
    <w:rsid w:val="00A26BFD"/>
    <w:rsid w:val="00A271B8"/>
    <w:rsid w:val="00A27651"/>
    <w:rsid w:val="00A27EDB"/>
    <w:rsid w:val="00A30168"/>
    <w:rsid w:val="00A30889"/>
    <w:rsid w:val="00A322B4"/>
    <w:rsid w:val="00A335ED"/>
    <w:rsid w:val="00A33991"/>
    <w:rsid w:val="00A34538"/>
    <w:rsid w:val="00A34560"/>
    <w:rsid w:val="00A35D44"/>
    <w:rsid w:val="00A3629B"/>
    <w:rsid w:val="00A36775"/>
    <w:rsid w:val="00A367A1"/>
    <w:rsid w:val="00A36F25"/>
    <w:rsid w:val="00A36F39"/>
    <w:rsid w:val="00A37FB6"/>
    <w:rsid w:val="00A410E2"/>
    <w:rsid w:val="00A41B6C"/>
    <w:rsid w:val="00A41E3C"/>
    <w:rsid w:val="00A42001"/>
    <w:rsid w:val="00A43175"/>
    <w:rsid w:val="00A4320E"/>
    <w:rsid w:val="00A43FA8"/>
    <w:rsid w:val="00A44B90"/>
    <w:rsid w:val="00A457F7"/>
    <w:rsid w:val="00A45ACF"/>
    <w:rsid w:val="00A460F1"/>
    <w:rsid w:val="00A47045"/>
    <w:rsid w:val="00A5091A"/>
    <w:rsid w:val="00A5131D"/>
    <w:rsid w:val="00A51711"/>
    <w:rsid w:val="00A52C97"/>
    <w:rsid w:val="00A52D0B"/>
    <w:rsid w:val="00A52E90"/>
    <w:rsid w:val="00A53286"/>
    <w:rsid w:val="00A53585"/>
    <w:rsid w:val="00A54013"/>
    <w:rsid w:val="00A541CC"/>
    <w:rsid w:val="00A54E33"/>
    <w:rsid w:val="00A575B0"/>
    <w:rsid w:val="00A57EB8"/>
    <w:rsid w:val="00A610B8"/>
    <w:rsid w:val="00A6162B"/>
    <w:rsid w:val="00A619B9"/>
    <w:rsid w:val="00A62496"/>
    <w:rsid w:val="00A63CF8"/>
    <w:rsid w:val="00A64056"/>
    <w:rsid w:val="00A64511"/>
    <w:rsid w:val="00A64B27"/>
    <w:rsid w:val="00A65D14"/>
    <w:rsid w:val="00A67017"/>
    <w:rsid w:val="00A7024A"/>
    <w:rsid w:val="00A705DE"/>
    <w:rsid w:val="00A7084E"/>
    <w:rsid w:val="00A70E24"/>
    <w:rsid w:val="00A714F9"/>
    <w:rsid w:val="00A73795"/>
    <w:rsid w:val="00A73C36"/>
    <w:rsid w:val="00A73FD1"/>
    <w:rsid w:val="00A74CAD"/>
    <w:rsid w:val="00A75CEF"/>
    <w:rsid w:val="00A76F27"/>
    <w:rsid w:val="00A775B0"/>
    <w:rsid w:val="00A77BDA"/>
    <w:rsid w:val="00A8233B"/>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92E"/>
    <w:rsid w:val="00AA29F7"/>
    <w:rsid w:val="00AA304E"/>
    <w:rsid w:val="00AA3312"/>
    <w:rsid w:val="00AA3615"/>
    <w:rsid w:val="00AA3648"/>
    <w:rsid w:val="00AA3E1F"/>
    <w:rsid w:val="00AA3F14"/>
    <w:rsid w:val="00AA442B"/>
    <w:rsid w:val="00AA44AF"/>
    <w:rsid w:val="00AA5F37"/>
    <w:rsid w:val="00AA669D"/>
    <w:rsid w:val="00AA7234"/>
    <w:rsid w:val="00AA7C55"/>
    <w:rsid w:val="00AB1F97"/>
    <w:rsid w:val="00AB1FB9"/>
    <w:rsid w:val="00AB2971"/>
    <w:rsid w:val="00AB3860"/>
    <w:rsid w:val="00AB4107"/>
    <w:rsid w:val="00AB509E"/>
    <w:rsid w:val="00AB5620"/>
    <w:rsid w:val="00AB5E69"/>
    <w:rsid w:val="00AB5EEC"/>
    <w:rsid w:val="00AB5F26"/>
    <w:rsid w:val="00AB6124"/>
    <w:rsid w:val="00AB6664"/>
    <w:rsid w:val="00AB70AD"/>
    <w:rsid w:val="00AB7289"/>
    <w:rsid w:val="00AB7572"/>
    <w:rsid w:val="00AB788C"/>
    <w:rsid w:val="00AB7CAA"/>
    <w:rsid w:val="00AC08D3"/>
    <w:rsid w:val="00AC15D9"/>
    <w:rsid w:val="00AC2143"/>
    <w:rsid w:val="00AC28A7"/>
    <w:rsid w:val="00AC2FC3"/>
    <w:rsid w:val="00AC35A6"/>
    <w:rsid w:val="00AC3C8A"/>
    <w:rsid w:val="00AC3E67"/>
    <w:rsid w:val="00AC48F1"/>
    <w:rsid w:val="00AC52D9"/>
    <w:rsid w:val="00AC56ED"/>
    <w:rsid w:val="00AC621D"/>
    <w:rsid w:val="00AC676E"/>
    <w:rsid w:val="00AC7C5B"/>
    <w:rsid w:val="00AD035D"/>
    <w:rsid w:val="00AD08AD"/>
    <w:rsid w:val="00AD0A12"/>
    <w:rsid w:val="00AD1929"/>
    <w:rsid w:val="00AD32B3"/>
    <w:rsid w:val="00AD37FA"/>
    <w:rsid w:val="00AD4542"/>
    <w:rsid w:val="00AD580B"/>
    <w:rsid w:val="00AD665A"/>
    <w:rsid w:val="00AD6FF9"/>
    <w:rsid w:val="00AD77F3"/>
    <w:rsid w:val="00AD7B8F"/>
    <w:rsid w:val="00AD7F28"/>
    <w:rsid w:val="00AE020D"/>
    <w:rsid w:val="00AE08DA"/>
    <w:rsid w:val="00AE13FC"/>
    <w:rsid w:val="00AE1AA0"/>
    <w:rsid w:val="00AE37AD"/>
    <w:rsid w:val="00AE3F3A"/>
    <w:rsid w:val="00AE4236"/>
    <w:rsid w:val="00AE4568"/>
    <w:rsid w:val="00AE47B2"/>
    <w:rsid w:val="00AE47F2"/>
    <w:rsid w:val="00AE52DC"/>
    <w:rsid w:val="00AE5421"/>
    <w:rsid w:val="00AE5765"/>
    <w:rsid w:val="00AE5C0E"/>
    <w:rsid w:val="00AE6C4D"/>
    <w:rsid w:val="00AE76DB"/>
    <w:rsid w:val="00AE7AE2"/>
    <w:rsid w:val="00AF04FE"/>
    <w:rsid w:val="00AF051E"/>
    <w:rsid w:val="00AF14AC"/>
    <w:rsid w:val="00AF1BDF"/>
    <w:rsid w:val="00AF2089"/>
    <w:rsid w:val="00AF2347"/>
    <w:rsid w:val="00AF2EDF"/>
    <w:rsid w:val="00AF3715"/>
    <w:rsid w:val="00AF3EEF"/>
    <w:rsid w:val="00AF5AE0"/>
    <w:rsid w:val="00AF68BA"/>
    <w:rsid w:val="00AF6E66"/>
    <w:rsid w:val="00AF6FB3"/>
    <w:rsid w:val="00AF7517"/>
    <w:rsid w:val="00B0190E"/>
    <w:rsid w:val="00B025C2"/>
    <w:rsid w:val="00B0378C"/>
    <w:rsid w:val="00B0391E"/>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64A"/>
    <w:rsid w:val="00B26965"/>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9EC"/>
    <w:rsid w:val="00B33F01"/>
    <w:rsid w:val="00B3580D"/>
    <w:rsid w:val="00B362B4"/>
    <w:rsid w:val="00B363DE"/>
    <w:rsid w:val="00B36F3E"/>
    <w:rsid w:val="00B37343"/>
    <w:rsid w:val="00B37A62"/>
    <w:rsid w:val="00B37FB6"/>
    <w:rsid w:val="00B40230"/>
    <w:rsid w:val="00B41937"/>
    <w:rsid w:val="00B42327"/>
    <w:rsid w:val="00B4236B"/>
    <w:rsid w:val="00B43546"/>
    <w:rsid w:val="00B43603"/>
    <w:rsid w:val="00B445F5"/>
    <w:rsid w:val="00B4532B"/>
    <w:rsid w:val="00B464A4"/>
    <w:rsid w:val="00B46EB2"/>
    <w:rsid w:val="00B473D9"/>
    <w:rsid w:val="00B474A3"/>
    <w:rsid w:val="00B47BB9"/>
    <w:rsid w:val="00B47D1A"/>
    <w:rsid w:val="00B52581"/>
    <w:rsid w:val="00B525CB"/>
    <w:rsid w:val="00B52E18"/>
    <w:rsid w:val="00B53385"/>
    <w:rsid w:val="00B53868"/>
    <w:rsid w:val="00B53B68"/>
    <w:rsid w:val="00B54550"/>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67CE1"/>
    <w:rsid w:val="00B7273F"/>
    <w:rsid w:val="00B7315F"/>
    <w:rsid w:val="00B740B1"/>
    <w:rsid w:val="00B744EF"/>
    <w:rsid w:val="00B7453A"/>
    <w:rsid w:val="00B74A29"/>
    <w:rsid w:val="00B75CDE"/>
    <w:rsid w:val="00B75E98"/>
    <w:rsid w:val="00B7700A"/>
    <w:rsid w:val="00B770B4"/>
    <w:rsid w:val="00B774FD"/>
    <w:rsid w:val="00B80103"/>
    <w:rsid w:val="00B80451"/>
    <w:rsid w:val="00B8158A"/>
    <w:rsid w:val="00B822A7"/>
    <w:rsid w:val="00B85762"/>
    <w:rsid w:val="00B8638A"/>
    <w:rsid w:val="00B8652C"/>
    <w:rsid w:val="00B87D98"/>
    <w:rsid w:val="00B9068D"/>
    <w:rsid w:val="00B90B2C"/>
    <w:rsid w:val="00B90BE1"/>
    <w:rsid w:val="00B91B8E"/>
    <w:rsid w:val="00B936F3"/>
    <w:rsid w:val="00B93D22"/>
    <w:rsid w:val="00B94EDD"/>
    <w:rsid w:val="00B96F29"/>
    <w:rsid w:val="00BA010A"/>
    <w:rsid w:val="00BA0355"/>
    <w:rsid w:val="00BA064F"/>
    <w:rsid w:val="00BA0A73"/>
    <w:rsid w:val="00BA0FCE"/>
    <w:rsid w:val="00BA129F"/>
    <w:rsid w:val="00BA1474"/>
    <w:rsid w:val="00BA1AB9"/>
    <w:rsid w:val="00BA22A9"/>
    <w:rsid w:val="00BA2829"/>
    <w:rsid w:val="00BA2D67"/>
    <w:rsid w:val="00BA369B"/>
    <w:rsid w:val="00BA36EE"/>
    <w:rsid w:val="00BA373A"/>
    <w:rsid w:val="00BA4319"/>
    <w:rsid w:val="00BA47FF"/>
    <w:rsid w:val="00BA66BE"/>
    <w:rsid w:val="00BA6769"/>
    <w:rsid w:val="00BA68FA"/>
    <w:rsid w:val="00BA6CAD"/>
    <w:rsid w:val="00BA6E6A"/>
    <w:rsid w:val="00BA75DE"/>
    <w:rsid w:val="00BB00EC"/>
    <w:rsid w:val="00BB061D"/>
    <w:rsid w:val="00BB07A4"/>
    <w:rsid w:val="00BB17F0"/>
    <w:rsid w:val="00BB18AE"/>
    <w:rsid w:val="00BB1E62"/>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4FF"/>
    <w:rsid w:val="00BC19D6"/>
    <w:rsid w:val="00BC1A00"/>
    <w:rsid w:val="00BC25CD"/>
    <w:rsid w:val="00BC294A"/>
    <w:rsid w:val="00BC2EB7"/>
    <w:rsid w:val="00BC3513"/>
    <w:rsid w:val="00BC3633"/>
    <w:rsid w:val="00BC4B52"/>
    <w:rsid w:val="00BD0148"/>
    <w:rsid w:val="00BD0442"/>
    <w:rsid w:val="00BD19AC"/>
    <w:rsid w:val="00BD1EDA"/>
    <w:rsid w:val="00BD22F7"/>
    <w:rsid w:val="00BD247A"/>
    <w:rsid w:val="00BD25A7"/>
    <w:rsid w:val="00BD2F34"/>
    <w:rsid w:val="00BD57DB"/>
    <w:rsid w:val="00BD5A8C"/>
    <w:rsid w:val="00BD66F4"/>
    <w:rsid w:val="00BD75B7"/>
    <w:rsid w:val="00BD78FE"/>
    <w:rsid w:val="00BD7AEF"/>
    <w:rsid w:val="00BE0628"/>
    <w:rsid w:val="00BE2416"/>
    <w:rsid w:val="00BE3274"/>
    <w:rsid w:val="00BE35B3"/>
    <w:rsid w:val="00BE4E38"/>
    <w:rsid w:val="00BE5BCB"/>
    <w:rsid w:val="00BE5D41"/>
    <w:rsid w:val="00BE5F24"/>
    <w:rsid w:val="00BE62B7"/>
    <w:rsid w:val="00BE6C2C"/>
    <w:rsid w:val="00BE7664"/>
    <w:rsid w:val="00BF04BA"/>
    <w:rsid w:val="00BF17D3"/>
    <w:rsid w:val="00BF188A"/>
    <w:rsid w:val="00BF2833"/>
    <w:rsid w:val="00BF4219"/>
    <w:rsid w:val="00BF46F2"/>
    <w:rsid w:val="00BF5623"/>
    <w:rsid w:val="00BF5CBC"/>
    <w:rsid w:val="00BF7DB0"/>
    <w:rsid w:val="00C00430"/>
    <w:rsid w:val="00C00969"/>
    <w:rsid w:val="00C00BB1"/>
    <w:rsid w:val="00C01378"/>
    <w:rsid w:val="00C03ACB"/>
    <w:rsid w:val="00C03EFE"/>
    <w:rsid w:val="00C0464D"/>
    <w:rsid w:val="00C06FD5"/>
    <w:rsid w:val="00C07794"/>
    <w:rsid w:val="00C079D1"/>
    <w:rsid w:val="00C113FE"/>
    <w:rsid w:val="00C11A27"/>
    <w:rsid w:val="00C1281E"/>
    <w:rsid w:val="00C149B0"/>
    <w:rsid w:val="00C14C5D"/>
    <w:rsid w:val="00C15753"/>
    <w:rsid w:val="00C17545"/>
    <w:rsid w:val="00C227EF"/>
    <w:rsid w:val="00C22BD5"/>
    <w:rsid w:val="00C24368"/>
    <w:rsid w:val="00C252EE"/>
    <w:rsid w:val="00C25CC9"/>
    <w:rsid w:val="00C25D13"/>
    <w:rsid w:val="00C260FC"/>
    <w:rsid w:val="00C2668B"/>
    <w:rsid w:val="00C30364"/>
    <w:rsid w:val="00C30E74"/>
    <w:rsid w:val="00C313BC"/>
    <w:rsid w:val="00C3164B"/>
    <w:rsid w:val="00C31BCE"/>
    <w:rsid w:val="00C3362A"/>
    <w:rsid w:val="00C33983"/>
    <w:rsid w:val="00C33B9E"/>
    <w:rsid w:val="00C34032"/>
    <w:rsid w:val="00C40657"/>
    <w:rsid w:val="00C407B5"/>
    <w:rsid w:val="00C4125C"/>
    <w:rsid w:val="00C431CD"/>
    <w:rsid w:val="00C435A3"/>
    <w:rsid w:val="00C43CE3"/>
    <w:rsid w:val="00C45E88"/>
    <w:rsid w:val="00C47864"/>
    <w:rsid w:val="00C47AAC"/>
    <w:rsid w:val="00C500EE"/>
    <w:rsid w:val="00C50145"/>
    <w:rsid w:val="00C502BA"/>
    <w:rsid w:val="00C53019"/>
    <w:rsid w:val="00C53A74"/>
    <w:rsid w:val="00C546B8"/>
    <w:rsid w:val="00C55BA5"/>
    <w:rsid w:val="00C560F9"/>
    <w:rsid w:val="00C57C56"/>
    <w:rsid w:val="00C57E7A"/>
    <w:rsid w:val="00C60529"/>
    <w:rsid w:val="00C607AA"/>
    <w:rsid w:val="00C626ED"/>
    <w:rsid w:val="00C63B28"/>
    <w:rsid w:val="00C643F8"/>
    <w:rsid w:val="00C64A18"/>
    <w:rsid w:val="00C65237"/>
    <w:rsid w:val="00C653FB"/>
    <w:rsid w:val="00C65C9D"/>
    <w:rsid w:val="00C65E43"/>
    <w:rsid w:val="00C6620B"/>
    <w:rsid w:val="00C66798"/>
    <w:rsid w:val="00C6688A"/>
    <w:rsid w:val="00C6755C"/>
    <w:rsid w:val="00C718C1"/>
    <w:rsid w:val="00C73E8A"/>
    <w:rsid w:val="00C8034E"/>
    <w:rsid w:val="00C80665"/>
    <w:rsid w:val="00C80741"/>
    <w:rsid w:val="00C81223"/>
    <w:rsid w:val="00C82114"/>
    <w:rsid w:val="00C82E66"/>
    <w:rsid w:val="00C840E8"/>
    <w:rsid w:val="00C845D7"/>
    <w:rsid w:val="00C84E96"/>
    <w:rsid w:val="00C854BD"/>
    <w:rsid w:val="00C87152"/>
    <w:rsid w:val="00C87243"/>
    <w:rsid w:val="00C87C7E"/>
    <w:rsid w:val="00C91051"/>
    <w:rsid w:val="00C917EA"/>
    <w:rsid w:val="00C91A60"/>
    <w:rsid w:val="00C921CD"/>
    <w:rsid w:val="00C9247E"/>
    <w:rsid w:val="00C93D01"/>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2E7"/>
    <w:rsid w:val="00CA74A2"/>
    <w:rsid w:val="00CA74CC"/>
    <w:rsid w:val="00CA79C6"/>
    <w:rsid w:val="00CA7C99"/>
    <w:rsid w:val="00CB02F8"/>
    <w:rsid w:val="00CB0879"/>
    <w:rsid w:val="00CB1BDC"/>
    <w:rsid w:val="00CB2348"/>
    <w:rsid w:val="00CB31C7"/>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904"/>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5F18"/>
    <w:rsid w:val="00CE6987"/>
    <w:rsid w:val="00CE7183"/>
    <w:rsid w:val="00CE776A"/>
    <w:rsid w:val="00CE79D0"/>
    <w:rsid w:val="00CF0421"/>
    <w:rsid w:val="00CF0724"/>
    <w:rsid w:val="00CF0B7E"/>
    <w:rsid w:val="00CF1774"/>
    <w:rsid w:val="00CF27F8"/>
    <w:rsid w:val="00CF2DCA"/>
    <w:rsid w:val="00CF33F3"/>
    <w:rsid w:val="00CF5C30"/>
    <w:rsid w:val="00CF5DBF"/>
    <w:rsid w:val="00CF74E8"/>
    <w:rsid w:val="00D00C29"/>
    <w:rsid w:val="00D01760"/>
    <w:rsid w:val="00D02423"/>
    <w:rsid w:val="00D02462"/>
    <w:rsid w:val="00D02736"/>
    <w:rsid w:val="00D0322C"/>
    <w:rsid w:val="00D03910"/>
    <w:rsid w:val="00D03FDC"/>
    <w:rsid w:val="00D046B7"/>
    <w:rsid w:val="00D04ADE"/>
    <w:rsid w:val="00D054B8"/>
    <w:rsid w:val="00D0571D"/>
    <w:rsid w:val="00D077DE"/>
    <w:rsid w:val="00D07A3D"/>
    <w:rsid w:val="00D07D4A"/>
    <w:rsid w:val="00D07FC4"/>
    <w:rsid w:val="00D100F4"/>
    <w:rsid w:val="00D10AB0"/>
    <w:rsid w:val="00D10F1C"/>
    <w:rsid w:val="00D11160"/>
    <w:rsid w:val="00D1196A"/>
    <w:rsid w:val="00D11CEB"/>
    <w:rsid w:val="00D11DF5"/>
    <w:rsid w:val="00D12A3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27E0D"/>
    <w:rsid w:val="00D310A9"/>
    <w:rsid w:val="00D31281"/>
    <w:rsid w:val="00D331A2"/>
    <w:rsid w:val="00D334D9"/>
    <w:rsid w:val="00D3476C"/>
    <w:rsid w:val="00D34AC0"/>
    <w:rsid w:val="00D34F4B"/>
    <w:rsid w:val="00D35039"/>
    <w:rsid w:val="00D3511E"/>
    <w:rsid w:val="00D35185"/>
    <w:rsid w:val="00D3603B"/>
    <w:rsid w:val="00D369EF"/>
    <w:rsid w:val="00D373B8"/>
    <w:rsid w:val="00D37524"/>
    <w:rsid w:val="00D37619"/>
    <w:rsid w:val="00D37A35"/>
    <w:rsid w:val="00D40007"/>
    <w:rsid w:val="00D40DF8"/>
    <w:rsid w:val="00D415E2"/>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CB"/>
    <w:rsid w:val="00D67ED5"/>
    <w:rsid w:val="00D702F9"/>
    <w:rsid w:val="00D7064D"/>
    <w:rsid w:val="00D717D6"/>
    <w:rsid w:val="00D71B8E"/>
    <w:rsid w:val="00D71FCE"/>
    <w:rsid w:val="00D72332"/>
    <w:rsid w:val="00D723EB"/>
    <w:rsid w:val="00D72E9D"/>
    <w:rsid w:val="00D7355B"/>
    <w:rsid w:val="00D7365B"/>
    <w:rsid w:val="00D737D8"/>
    <w:rsid w:val="00D74178"/>
    <w:rsid w:val="00D744C2"/>
    <w:rsid w:val="00D7509A"/>
    <w:rsid w:val="00D762D6"/>
    <w:rsid w:val="00D77217"/>
    <w:rsid w:val="00D77451"/>
    <w:rsid w:val="00D8215C"/>
    <w:rsid w:val="00D82C7C"/>
    <w:rsid w:val="00D82CE5"/>
    <w:rsid w:val="00D83799"/>
    <w:rsid w:val="00D83F17"/>
    <w:rsid w:val="00D850E6"/>
    <w:rsid w:val="00D861D6"/>
    <w:rsid w:val="00D86DC5"/>
    <w:rsid w:val="00D8752C"/>
    <w:rsid w:val="00D91301"/>
    <w:rsid w:val="00D9148F"/>
    <w:rsid w:val="00D92BBB"/>
    <w:rsid w:val="00D944DD"/>
    <w:rsid w:val="00D9569A"/>
    <w:rsid w:val="00D960C0"/>
    <w:rsid w:val="00DA0537"/>
    <w:rsid w:val="00DA0BD3"/>
    <w:rsid w:val="00DA1356"/>
    <w:rsid w:val="00DA18BE"/>
    <w:rsid w:val="00DA1D25"/>
    <w:rsid w:val="00DA1E7B"/>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1F1"/>
    <w:rsid w:val="00DB45AB"/>
    <w:rsid w:val="00DB47B5"/>
    <w:rsid w:val="00DB52FA"/>
    <w:rsid w:val="00DB55D0"/>
    <w:rsid w:val="00DB5D13"/>
    <w:rsid w:val="00DB618D"/>
    <w:rsid w:val="00DB6638"/>
    <w:rsid w:val="00DB68B9"/>
    <w:rsid w:val="00DB6D93"/>
    <w:rsid w:val="00DB75D6"/>
    <w:rsid w:val="00DB763A"/>
    <w:rsid w:val="00DB7B8E"/>
    <w:rsid w:val="00DB7CD8"/>
    <w:rsid w:val="00DC056E"/>
    <w:rsid w:val="00DC056F"/>
    <w:rsid w:val="00DC0BB4"/>
    <w:rsid w:val="00DC144C"/>
    <w:rsid w:val="00DC1DCA"/>
    <w:rsid w:val="00DC2A15"/>
    <w:rsid w:val="00DC2DCB"/>
    <w:rsid w:val="00DC348A"/>
    <w:rsid w:val="00DC3CAC"/>
    <w:rsid w:val="00DC3D1E"/>
    <w:rsid w:val="00DC4048"/>
    <w:rsid w:val="00DC4E1D"/>
    <w:rsid w:val="00DC5E43"/>
    <w:rsid w:val="00DC5F0C"/>
    <w:rsid w:val="00DC6201"/>
    <w:rsid w:val="00DC62A3"/>
    <w:rsid w:val="00DC62E5"/>
    <w:rsid w:val="00DC67B0"/>
    <w:rsid w:val="00DC681B"/>
    <w:rsid w:val="00DC7F2E"/>
    <w:rsid w:val="00DD0A21"/>
    <w:rsid w:val="00DD14A5"/>
    <w:rsid w:val="00DD1DD9"/>
    <w:rsid w:val="00DD2D43"/>
    <w:rsid w:val="00DD483A"/>
    <w:rsid w:val="00DD4882"/>
    <w:rsid w:val="00DD51BC"/>
    <w:rsid w:val="00DD5670"/>
    <w:rsid w:val="00DD6DCE"/>
    <w:rsid w:val="00DD734A"/>
    <w:rsid w:val="00DD735D"/>
    <w:rsid w:val="00DD7363"/>
    <w:rsid w:val="00DD78C4"/>
    <w:rsid w:val="00DD7CF2"/>
    <w:rsid w:val="00DE0938"/>
    <w:rsid w:val="00DE1016"/>
    <w:rsid w:val="00DE1175"/>
    <w:rsid w:val="00DE182A"/>
    <w:rsid w:val="00DE1B6D"/>
    <w:rsid w:val="00DE20C7"/>
    <w:rsid w:val="00DE2568"/>
    <w:rsid w:val="00DE2690"/>
    <w:rsid w:val="00DE2F1D"/>
    <w:rsid w:val="00DE3119"/>
    <w:rsid w:val="00DE39B3"/>
    <w:rsid w:val="00DE3C78"/>
    <w:rsid w:val="00DE3D72"/>
    <w:rsid w:val="00DE41CD"/>
    <w:rsid w:val="00DE43DA"/>
    <w:rsid w:val="00DE5124"/>
    <w:rsid w:val="00DE5D06"/>
    <w:rsid w:val="00DE75DE"/>
    <w:rsid w:val="00DE7692"/>
    <w:rsid w:val="00DE770A"/>
    <w:rsid w:val="00DF05E1"/>
    <w:rsid w:val="00DF1AF7"/>
    <w:rsid w:val="00DF236B"/>
    <w:rsid w:val="00DF26A7"/>
    <w:rsid w:val="00DF2A00"/>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A8C"/>
    <w:rsid w:val="00E23B63"/>
    <w:rsid w:val="00E23C67"/>
    <w:rsid w:val="00E24218"/>
    <w:rsid w:val="00E24AB7"/>
    <w:rsid w:val="00E24CC0"/>
    <w:rsid w:val="00E25706"/>
    <w:rsid w:val="00E25CB3"/>
    <w:rsid w:val="00E27C20"/>
    <w:rsid w:val="00E304DC"/>
    <w:rsid w:val="00E30AE3"/>
    <w:rsid w:val="00E30C62"/>
    <w:rsid w:val="00E30DFD"/>
    <w:rsid w:val="00E30EFF"/>
    <w:rsid w:val="00E311BA"/>
    <w:rsid w:val="00E314E6"/>
    <w:rsid w:val="00E31A9F"/>
    <w:rsid w:val="00E31C1F"/>
    <w:rsid w:val="00E31D3A"/>
    <w:rsid w:val="00E32180"/>
    <w:rsid w:val="00E32C94"/>
    <w:rsid w:val="00E32E87"/>
    <w:rsid w:val="00E33A7D"/>
    <w:rsid w:val="00E33B62"/>
    <w:rsid w:val="00E35C0F"/>
    <w:rsid w:val="00E35E2F"/>
    <w:rsid w:val="00E3688E"/>
    <w:rsid w:val="00E36C74"/>
    <w:rsid w:val="00E36ED1"/>
    <w:rsid w:val="00E37230"/>
    <w:rsid w:val="00E377D9"/>
    <w:rsid w:val="00E377FA"/>
    <w:rsid w:val="00E37E18"/>
    <w:rsid w:val="00E4143A"/>
    <w:rsid w:val="00E435F2"/>
    <w:rsid w:val="00E437AB"/>
    <w:rsid w:val="00E4422A"/>
    <w:rsid w:val="00E442D9"/>
    <w:rsid w:val="00E4471D"/>
    <w:rsid w:val="00E44938"/>
    <w:rsid w:val="00E44E85"/>
    <w:rsid w:val="00E45C4E"/>
    <w:rsid w:val="00E472CA"/>
    <w:rsid w:val="00E47686"/>
    <w:rsid w:val="00E47F4C"/>
    <w:rsid w:val="00E5058B"/>
    <w:rsid w:val="00E508D3"/>
    <w:rsid w:val="00E51A47"/>
    <w:rsid w:val="00E52850"/>
    <w:rsid w:val="00E5296F"/>
    <w:rsid w:val="00E52CEF"/>
    <w:rsid w:val="00E52FCE"/>
    <w:rsid w:val="00E53BEB"/>
    <w:rsid w:val="00E549E9"/>
    <w:rsid w:val="00E56023"/>
    <w:rsid w:val="00E609BD"/>
    <w:rsid w:val="00E6136C"/>
    <w:rsid w:val="00E61A21"/>
    <w:rsid w:val="00E61D16"/>
    <w:rsid w:val="00E61E04"/>
    <w:rsid w:val="00E622FB"/>
    <w:rsid w:val="00E62F4F"/>
    <w:rsid w:val="00E631D8"/>
    <w:rsid w:val="00E63AE5"/>
    <w:rsid w:val="00E63CDB"/>
    <w:rsid w:val="00E63D0C"/>
    <w:rsid w:val="00E63FF3"/>
    <w:rsid w:val="00E66B9A"/>
    <w:rsid w:val="00E6749B"/>
    <w:rsid w:val="00E67609"/>
    <w:rsid w:val="00E71A84"/>
    <w:rsid w:val="00E722CB"/>
    <w:rsid w:val="00E72B16"/>
    <w:rsid w:val="00E72C7B"/>
    <w:rsid w:val="00E737E5"/>
    <w:rsid w:val="00E74705"/>
    <w:rsid w:val="00E74A2B"/>
    <w:rsid w:val="00E76729"/>
    <w:rsid w:val="00E7782E"/>
    <w:rsid w:val="00E77D1D"/>
    <w:rsid w:val="00E77D59"/>
    <w:rsid w:val="00E814AA"/>
    <w:rsid w:val="00E81A62"/>
    <w:rsid w:val="00E81A75"/>
    <w:rsid w:val="00E830A2"/>
    <w:rsid w:val="00E8343C"/>
    <w:rsid w:val="00E8373E"/>
    <w:rsid w:val="00E84207"/>
    <w:rsid w:val="00E85393"/>
    <w:rsid w:val="00E85D4E"/>
    <w:rsid w:val="00E85ECA"/>
    <w:rsid w:val="00E86D96"/>
    <w:rsid w:val="00E87751"/>
    <w:rsid w:val="00E87D8C"/>
    <w:rsid w:val="00E913A1"/>
    <w:rsid w:val="00E91EDD"/>
    <w:rsid w:val="00E92A74"/>
    <w:rsid w:val="00E92F57"/>
    <w:rsid w:val="00E940F1"/>
    <w:rsid w:val="00E947C0"/>
    <w:rsid w:val="00E94CE5"/>
    <w:rsid w:val="00E954A3"/>
    <w:rsid w:val="00E95FB7"/>
    <w:rsid w:val="00E96970"/>
    <w:rsid w:val="00E96C64"/>
    <w:rsid w:val="00E97541"/>
    <w:rsid w:val="00E97BC5"/>
    <w:rsid w:val="00E97C4B"/>
    <w:rsid w:val="00EA0203"/>
    <w:rsid w:val="00EA1421"/>
    <w:rsid w:val="00EA22A5"/>
    <w:rsid w:val="00EA3146"/>
    <w:rsid w:val="00EA3271"/>
    <w:rsid w:val="00EA40A3"/>
    <w:rsid w:val="00EA477B"/>
    <w:rsid w:val="00EA4CA9"/>
    <w:rsid w:val="00EA5116"/>
    <w:rsid w:val="00EA5137"/>
    <w:rsid w:val="00EA572E"/>
    <w:rsid w:val="00EA5C4C"/>
    <w:rsid w:val="00EA5F0B"/>
    <w:rsid w:val="00EA63D2"/>
    <w:rsid w:val="00EA666F"/>
    <w:rsid w:val="00EB0DE5"/>
    <w:rsid w:val="00EB27F2"/>
    <w:rsid w:val="00EB340D"/>
    <w:rsid w:val="00EB5921"/>
    <w:rsid w:val="00EB5C48"/>
    <w:rsid w:val="00EB5CEA"/>
    <w:rsid w:val="00EB6ED1"/>
    <w:rsid w:val="00EB76C1"/>
    <w:rsid w:val="00EB7A25"/>
    <w:rsid w:val="00EC268B"/>
    <w:rsid w:val="00EC2E02"/>
    <w:rsid w:val="00EC2E21"/>
    <w:rsid w:val="00EC33B9"/>
    <w:rsid w:val="00EC628B"/>
    <w:rsid w:val="00EC7B4B"/>
    <w:rsid w:val="00EC7EFE"/>
    <w:rsid w:val="00ED068F"/>
    <w:rsid w:val="00ED149A"/>
    <w:rsid w:val="00ED2BE0"/>
    <w:rsid w:val="00ED41B2"/>
    <w:rsid w:val="00ED52D1"/>
    <w:rsid w:val="00ED54D6"/>
    <w:rsid w:val="00ED5626"/>
    <w:rsid w:val="00ED60DF"/>
    <w:rsid w:val="00ED786E"/>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24A"/>
    <w:rsid w:val="00F068F4"/>
    <w:rsid w:val="00F07626"/>
    <w:rsid w:val="00F078DF"/>
    <w:rsid w:val="00F107DE"/>
    <w:rsid w:val="00F109C7"/>
    <w:rsid w:val="00F109EF"/>
    <w:rsid w:val="00F10CAD"/>
    <w:rsid w:val="00F10ED2"/>
    <w:rsid w:val="00F119DE"/>
    <w:rsid w:val="00F12855"/>
    <w:rsid w:val="00F12E8C"/>
    <w:rsid w:val="00F13209"/>
    <w:rsid w:val="00F1320C"/>
    <w:rsid w:val="00F1332C"/>
    <w:rsid w:val="00F13633"/>
    <w:rsid w:val="00F1486A"/>
    <w:rsid w:val="00F15490"/>
    <w:rsid w:val="00F1555A"/>
    <w:rsid w:val="00F16446"/>
    <w:rsid w:val="00F1732F"/>
    <w:rsid w:val="00F17667"/>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92"/>
    <w:rsid w:val="00F254CC"/>
    <w:rsid w:val="00F25ED5"/>
    <w:rsid w:val="00F260BA"/>
    <w:rsid w:val="00F267EE"/>
    <w:rsid w:val="00F270A5"/>
    <w:rsid w:val="00F303EC"/>
    <w:rsid w:val="00F31467"/>
    <w:rsid w:val="00F316F5"/>
    <w:rsid w:val="00F31A1D"/>
    <w:rsid w:val="00F324C0"/>
    <w:rsid w:val="00F327C3"/>
    <w:rsid w:val="00F3472E"/>
    <w:rsid w:val="00F357E7"/>
    <w:rsid w:val="00F3693B"/>
    <w:rsid w:val="00F36BB5"/>
    <w:rsid w:val="00F37157"/>
    <w:rsid w:val="00F372D2"/>
    <w:rsid w:val="00F37AA7"/>
    <w:rsid w:val="00F37C93"/>
    <w:rsid w:val="00F402FD"/>
    <w:rsid w:val="00F40599"/>
    <w:rsid w:val="00F4094F"/>
    <w:rsid w:val="00F42B15"/>
    <w:rsid w:val="00F430A9"/>
    <w:rsid w:val="00F43C2D"/>
    <w:rsid w:val="00F43C80"/>
    <w:rsid w:val="00F442F0"/>
    <w:rsid w:val="00F44379"/>
    <w:rsid w:val="00F443D6"/>
    <w:rsid w:val="00F45A81"/>
    <w:rsid w:val="00F460D4"/>
    <w:rsid w:val="00F47665"/>
    <w:rsid w:val="00F5061C"/>
    <w:rsid w:val="00F52F83"/>
    <w:rsid w:val="00F5311E"/>
    <w:rsid w:val="00F5386C"/>
    <w:rsid w:val="00F53BE5"/>
    <w:rsid w:val="00F54939"/>
    <w:rsid w:val="00F552A6"/>
    <w:rsid w:val="00F5536F"/>
    <w:rsid w:val="00F555BE"/>
    <w:rsid w:val="00F5587E"/>
    <w:rsid w:val="00F55B6E"/>
    <w:rsid w:val="00F56AE4"/>
    <w:rsid w:val="00F56B7C"/>
    <w:rsid w:val="00F56CA8"/>
    <w:rsid w:val="00F56CB7"/>
    <w:rsid w:val="00F60C30"/>
    <w:rsid w:val="00F61336"/>
    <w:rsid w:val="00F61C09"/>
    <w:rsid w:val="00F62306"/>
    <w:rsid w:val="00F62E7E"/>
    <w:rsid w:val="00F631BE"/>
    <w:rsid w:val="00F6483F"/>
    <w:rsid w:val="00F64EB8"/>
    <w:rsid w:val="00F65624"/>
    <w:rsid w:val="00F65686"/>
    <w:rsid w:val="00F65850"/>
    <w:rsid w:val="00F675BE"/>
    <w:rsid w:val="00F70A57"/>
    <w:rsid w:val="00F70C8F"/>
    <w:rsid w:val="00F7112F"/>
    <w:rsid w:val="00F712ED"/>
    <w:rsid w:val="00F716B8"/>
    <w:rsid w:val="00F717B7"/>
    <w:rsid w:val="00F72A15"/>
    <w:rsid w:val="00F72F33"/>
    <w:rsid w:val="00F737DB"/>
    <w:rsid w:val="00F7412B"/>
    <w:rsid w:val="00F7432F"/>
    <w:rsid w:val="00F745A5"/>
    <w:rsid w:val="00F74BA3"/>
    <w:rsid w:val="00F74F25"/>
    <w:rsid w:val="00F762C6"/>
    <w:rsid w:val="00F7635E"/>
    <w:rsid w:val="00F80305"/>
    <w:rsid w:val="00F8048F"/>
    <w:rsid w:val="00F80656"/>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6D5"/>
    <w:rsid w:val="00F9299C"/>
    <w:rsid w:val="00F92AB5"/>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849"/>
    <w:rsid w:val="00FA4BFC"/>
    <w:rsid w:val="00FA508A"/>
    <w:rsid w:val="00FA553E"/>
    <w:rsid w:val="00FA61F3"/>
    <w:rsid w:val="00FA6D8A"/>
    <w:rsid w:val="00FB01E5"/>
    <w:rsid w:val="00FB25D9"/>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C7B7C"/>
    <w:rsid w:val="00FD0EF2"/>
    <w:rsid w:val="00FD101F"/>
    <w:rsid w:val="00FD1137"/>
    <w:rsid w:val="00FD365C"/>
    <w:rsid w:val="00FD458C"/>
    <w:rsid w:val="00FD4943"/>
    <w:rsid w:val="00FD4B00"/>
    <w:rsid w:val="00FD5759"/>
    <w:rsid w:val="00FD5FAD"/>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00FF7C01"/>
    <w:rsid w:val="24F2FAEE"/>
    <w:rsid w:val="4ADC030F"/>
    <w:rsid w:val="52988F3A"/>
    <w:rsid w:val="52CE80C8"/>
    <w:rsid w:val="5ED1DC8B"/>
    <w:rsid w:val="65765398"/>
    <w:rsid w:val="6C3F7E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891CEB82-EDC5-4FDE-AA5C-A6A00B6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 w:type="paragraph" w:customStyle="1" w:styleId="parrafo-division">
    <w:name w:val="parrafo-division"/>
    <w:basedOn w:val="Normal"/>
    <w:rsid w:val="0039284C"/>
    <w:pPr>
      <w:spacing w:before="100" w:beforeAutospacing="1" w:after="100" w:afterAutospacing="1"/>
    </w:pPr>
    <w:rPr>
      <w:rFonts w:ascii="Times New Roman" w:eastAsia="Times New Roman" w:hAnsi="Times New Roman" w:cs="Times New Roman"/>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21198858">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09442693">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37301096">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57412524">
      <w:bodyDiv w:val="1"/>
      <w:marLeft w:val="0"/>
      <w:marRight w:val="0"/>
      <w:marTop w:val="0"/>
      <w:marBottom w:val="0"/>
      <w:divBdr>
        <w:top w:val="none" w:sz="0" w:space="0" w:color="auto"/>
        <w:left w:val="none" w:sz="0" w:space="0" w:color="auto"/>
        <w:bottom w:val="none" w:sz="0" w:space="0" w:color="auto"/>
        <w:right w:val="none" w:sz="0" w:space="0" w:color="auto"/>
      </w:divBdr>
      <w:divsChild>
        <w:div w:id="250313372">
          <w:marLeft w:val="0"/>
          <w:marRight w:val="0"/>
          <w:marTop w:val="0"/>
          <w:marBottom w:val="0"/>
          <w:divBdr>
            <w:top w:val="none" w:sz="0" w:space="0" w:color="auto"/>
            <w:left w:val="none" w:sz="0" w:space="0" w:color="auto"/>
            <w:bottom w:val="none" w:sz="0" w:space="0" w:color="auto"/>
            <w:right w:val="none" w:sz="0" w:space="0" w:color="auto"/>
          </w:divBdr>
          <w:divsChild>
            <w:div w:id="1712416789">
              <w:marLeft w:val="0"/>
              <w:marRight w:val="0"/>
              <w:marTop w:val="0"/>
              <w:marBottom w:val="0"/>
              <w:divBdr>
                <w:top w:val="none" w:sz="0" w:space="0" w:color="auto"/>
                <w:left w:val="none" w:sz="0" w:space="0" w:color="auto"/>
                <w:bottom w:val="none" w:sz="0" w:space="0" w:color="auto"/>
                <w:right w:val="none" w:sz="0" w:space="0" w:color="auto"/>
              </w:divBdr>
            </w:div>
          </w:divsChild>
        </w:div>
        <w:div w:id="1548492382">
          <w:marLeft w:val="0"/>
          <w:marRight w:val="0"/>
          <w:marTop w:val="300"/>
          <w:marBottom w:val="300"/>
          <w:divBdr>
            <w:top w:val="none" w:sz="0" w:space="0" w:color="auto"/>
            <w:left w:val="none" w:sz="0" w:space="0" w:color="auto"/>
            <w:bottom w:val="none" w:sz="0" w:space="0" w:color="auto"/>
            <w:right w:val="none" w:sz="0" w:space="0" w:color="auto"/>
          </w:divBdr>
        </w:div>
        <w:div w:id="1858930856">
          <w:marLeft w:val="0"/>
          <w:marRight w:val="0"/>
          <w:marTop w:val="0"/>
          <w:marBottom w:val="0"/>
          <w:divBdr>
            <w:top w:val="none" w:sz="0" w:space="0" w:color="auto"/>
            <w:left w:val="none" w:sz="0" w:space="0" w:color="auto"/>
            <w:bottom w:val="none" w:sz="0" w:space="0" w:color="auto"/>
            <w:right w:val="none" w:sz="0" w:space="0" w:color="auto"/>
          </w:divBdr>
          <w:divsChild>
            <w:div w:id="2117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03398126">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31139164">
      <w:bodyDiv w:val="1"/>
      <w:marLeft w:val="0"/>
      <w:marRight w:val="0"/>
      <w:marTop w:val="0"/>
      <w:marBottom w:val="0"/>
      <w:divBdr>
        <w:top w:val="none" w:sz="0" w:space="0" w:color="auto"/>
        <w:left w:val="none" w:sz="0" w:space="0" w:color="auto"/>
        <w:bottom w:val="none" w:sz="0" w:space="0" w:color="auto"/>
        <w:right w:val="none" w:sz="0" w:space="0" w:color="auto"/>
      </w:divBdr>
    </w:div>
    <w:div w:id="1565868601">
      <w:bodyDiv w:val="1"/>
      <w:marLeft w:val="0"/>
      <w:marRight w:val="0"/>
      <w:marTop w:val="0"/>
      <w:marBottom w:val="0"/>
      <w:divBdr>
        <w:top w:val="none" w:sz="0" w:space="0" w:color="auto"/>
        <w:left w:val="none" w:sz="0" w:space="0" w:color="auto"/>
        <w:bottom w:val="none" w:sz="0" w:space="0" w:color="auto"/>
        <w:right w:val="none" w:sz="0" w:space="0" w:color="auto"/>
      </w:divBdr>
      <w:divsChild>
        <w:div w:id="1043596105">
          <w:marLeft w:val="0"/>
          <w:marRight w:val="0"/>
          <w:marTop w:val="0"/>
          <w:marBottom w:val="0"/>
          <w:divBdr>
            <w:top w:val="none" w:sz="0" w:space="0" w:color="auto"/>
            <w:left w:val="none" w:sz="0" w:space="0" w:color="auto"/>
            <w:bottom w:val="none" w:sz="0" w:space="0" w:color="auto"/>
            <w:right w:val="none" w:sz="0" w:space="0" w:color="auto"/>
          </w:divBdr>
          <w:divsChild>
            <w:div w:id="1010597805">
              <w:marLeft w:val="0"/>
              <w:marRight w:val="0"/>
              <w:marTop w:val="0"/>
              <w:marBottom w:val="0"/>
              <w:divBdr>
                <w:top w:val="none" w:sz="0" w:space="0" w:color="auto"/>
                <w:left w:val="none" w:sz="0" w:space="0" w:color="auto"/>
                <w:bottom w:val="none" w:sz="0" w:space="0" w:color="auto"/>
                <w:right w:val="none" w:sz="0" w:space="0" w:color="auto"/>
              </w:divBdr>
            </w:div>
          </w:divsChild>
        </w:div>
        <w:div w:id="1646088377">
          <w:marLeft w:val="0"/>
          <w:marRight w:val="0"/>
          <w:marTop w:val="0"/>
          <w:marBottom w:val="0"/>
          <w:divBdr>
            <w:top w:val="none" w:sz="0" w:space="0" w:color="auto"/>
            <w:left w:val="none" w:sz="0" w:space="0" w:color="auto"/>
            <w:bottom w:val="none" w:sz="0" w:space="0" w:color="auto"/>
            <w:right w:val="none" w:sz="0" w:space="0" w:color="auto"/>
          </w:divBdr>
          <w:divsChild>
            <w:div w:id="141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26"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25" Type="http://schemas.openxmlformats.org/officeDocument/2006/relationships/image" Target="media/image1.png"/><Relationship Id="rId2" Type="http://schemas.openxmlformats.org/officeDocument/2006/relationships/customXml" Target="../customXml/item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image" Target="media/image7.png"/><Relationship Id="rId5" Type="http://schemas.openxmlformats.org/officeDocument/2006/relationships/numbering" Target="numbering.xml"/><Relationship Id="rId28"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7-02T22:33:25.062"/>
    </inkml:context>
    <inkml:brush xml:id="br0">
      <inkml:brushProperty name="width" value="0.08554" units="cm"/>
      <inkml:brushProperty name="height" value="0.08554" units="cm"/>
      <inkml:brushProperty name="color" value="#E71224"/>
    </inkml:brush>
  </inkml:definitions>
  <inkml:trace contextRef="#ctx0" brushRef="#br0">20 15 7911,'-3'-6'3038,"0"-1"-2337,-1 5-48,4 2-2565,0 5 777,0 1 1135,0 2 0,-4-2 0,-1 3 0</inkml:trace>
</inkml:ink>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A8742C7A-4FB2-40D0-8094-BA5B9EDCA3E9}">
  <ds:schemaRefs>
    <ds:schemaRef ds:uri="http://schemas.openxmlformats.org/officeDocument/2006/bibliography"/>
  </ds:schemaRefs>
</ds:datastoreItem>
</file>

<file path=customXml/itemProps3.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11349</Words>
  <Characters>62423</Characters>
  <Application>Microsoft Office Word</Application>
  <DocSecurity>0</DocSecurity>
  <Lines>520</Lines>
  <Paragraphs>147</Paragraphs>
  <ScaleCrop>false</ScaleCrop>
  <Company/>
  <LinksUpToDate>false</LinksUpToDate>
  <CharactersWithSpaces>73625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2</cp:revision>
  <cp:lastPrinted>2020-01-30T15:05:00Z</cp:lastPrinted>
  <dcterms:created xsi:type="dcterms:W3CDTF">2020-08-19T19:38:00Z</dcterms:created>
  <dcterms:modified xsi:type="dcterms:W3CDTF">2020-08-19T19:38:00Z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