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F3027" w14:textId="1CB48310" w:rsidR="003B4CB4" w:rsidRPr="009809AF" w:rsidRDefault="003B4CB4" w:rsidP="003B4CB4">
      <w:pPr>
        <w:spacing w:line="276" w:lineRule="auto"/>
        <w:jc w:val="right"/>
        <w:rPr>
          <w:rFonts w:ascii="Arial" w:eastAsia="Calibri" w:hAnsi="Arial" w:cs="Arial"/>
          <w:b/>
          <w:bCs/>
          <w:sz w:val="16"/>
          <w:szCs w:val="16"/>
          <w:lang w:val="es-ES"/>
        </w:rPr>
      </w:pPr>
      <w:bookmarkStart w:id="0" w:name="_Hlk29752189"/>
      <w:r w:rsidRPr="009809AF">
        <w:rPr>
          <w:rFonts w:ascii="Arial" w:eastAsia="Calibri" w:hAnsi="Arial" w:cs="Arial"/>
          <w:b/>
          <w:bCs/>
          <w:sz w:val="16"/>
          <w:szCs w:val="16"/>
          <w:lang w:val="es-ES"/>
        </w:rPr>
        <w:t>CCE-DES-FM-17</w:t>
      </w:r>
    </w:p>
    <w:p w14:paraId="198621BE" w14:textId="232D8F4D" w:rsidR="0028568A" w:rsidRDefault="0028568A" w:rsidP="0028568A">
      <w:pPr>
        <w:spacing w:line="276" w:lineRule="auto"/>
        <w:jc w:val="both"/>
        <w:rPr>
          <w:rFonts w:ascii="Arial" w:eastAsia="Calibri" w:hAnsi="Arial" w:cs="Arial"/>
          <w:b/>
          <w:sz w:val="22"/>
          <w:lang w:val="es-ES"/>
        </w:rPr>
      </w:pPr>
      <w:r w:rsidRPr="00EB1002">
        <w:rPr>
          <w:rFonts w:ascii="Arial" w:eastAsia="Calibri" w:hAnsi="Arial" w:cs="Arial"/>
          <w:b/>
          <w:sz w:val="22"/>
          <w:lang w:val="es-ES"/>
        </w:rPr>
        <w:t xml:space="preserve">SECOP – Publicidad – Entidades de régimen especial </w:t>
      </w:r>
    </w:p>
    <w:p w14:paraId="2363CA02" w14:textId="77777777" w:rsidR="00EB1002" w:rsidRPr="00EB1002" w:rsidRDefault="00EB1002" w:rsidP="0028568A">
      <w:pPr>
        <w:spacing w:line="276" w:lineRule="auto"/>
        <w:jc w:val="both"/>
        <w:rPr>
          <w:rFonts w:ascii="Arial" w:eastAsia="Calibri" w:hAnsi="Arial" w:cs="Arial"/>
          <w:b/>
          <w:sz w:val="22"/>
          <w:lang w:val="es-ES"/>
        </w:rPr>
      </w:pPr>
    </w:p>
    <w:p w14:paraId="6A1D5B2F" w14:textId="77777777" w:rsidR="002070D7" w:rsidRDefault="002070D7" w:rsidP="002070D7">
      <w:pPr>
        <w:spacing w:after="120"/>
        <w:jc w:val="both"/>
        <w:rPr>
          <w:rFonts w:ascii="Arial" w:eastAsia="Calibri" w:hAnsi="Arial" w:cs="Arial"/>
          <w:sz w:val="20"/>
          <w:szCs w:val="20"/>
          <w:lang w:val="es-ES"/>
        </w:rPr>
      </w:pPr>
      <w:r w:rsidRPr="002070D7">
        <w:rPr>
          <w:rFonts w:ascii="Arial" w:eastAsia="Calibri" w:hAnsi="Arial" w:cs="Arial"/>
          <w:sz w:val="20"/>
          <w:szCs w:val="20"/>
          <w:lang w:val="es-ES"/>
        </w:rPr>
        <w:t>El debate sobre la obligatoriedad o no de publicar en el SECOP, para las entidades con régimen especial de contratación,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r>
        <w:rPr>
          <w:rFonts w:ascii="Arial" w:eastAsia="Calibri" w:hAnsi="Arial" w:cs="Arial"/>
          <w:sz w:val="20"/>
          <w:szCs w:val="20"/>
          <w:lang w:val="es-ES"/>
        </w:rPr>
        <w:t>.</w:t>
      </w:r>
    </w:p>
    <w:p w14:paraId="49F5AF5F" w14:textId="3F952193" w:rsidR="0028568A" w:rsidRPr="00EB1002" w:rsidRDefault="002070D7" w:rsidP="003B4CB4">
      <w:pPr>
        <w:jc w:val="both"/>
        <w:rPr>
          <w:rFonts w:ascii="Arial" w:eastAsia="Calibri" w:hAnsi="Arial" w:cs="Arial"/>
          <w:sz w:val="20"/>
          <w:szCs w:val="20"/>
          <w:lang w:val="es-ES"/>
        </w:rPr>
      </w:pPr>
      <w:r w:rsidRPr="002070D7">
        <w:rPr>
          <w:rFonts w:ascii="Arial" w:eastAsia="Calibri" w:hAnsi="Arial" w:cs="Arial"/>
          <w:sz w:val="20"/>
          <w:szCs w:val="20"/>
          <w:lang w:val="es-ES"/>
        </w:rPr>
        <w:t>Nótese, entonces, que el Consejo de Estado asumió como criterio para determinar la obligatoriedad de publicar en el SECOP que la contratación se haga con recursos públicos, conclusión que la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w:t>
      </w:r>
    </w:p>
    <w:p w14:paraId="21299A40" w14:textId="77777777" w:rsidR="00EB1002" w:rsidRPr="00EB1002" w:rsidRDefault="00EB1002" w:rsidP="000A47D9">
      <w:pPr>
        <w:jc w:val="both"/>
        <w:rPr>
          <w:rFonts w:ascii="Arial" w:eastAsia="Calibri" w:hAnsi="Arial" w:cs="Arial"/>
          <w:sz w:val="20"/>
          <w:szCs w:val="20"/>
          <w:lang w:val="es-ES"/>
        </w:rPr>
      </w:pPr>
    </w:p>
    <w:p w14:paraId="7155B4E3" w14:textId="77777777" w:rsidR="0028568A" w:rsidRPr="00EB1002" w:rsidRDefault="0028568A" w:rsidP="002070D7">
      <w:pPr>
        <w:pStyle w:val="Prrafodelista"/>
        <w:spacing w:after="0"/>
        <w:ind w:left="0"/>
        <w:jc w:val="both"/>
        <w:rPr>
          <w:rFonts w:ascii="Arial" w:eastAsia="Calibri" w:hAnsi="Arial" w:cs="Arial"/>
          <w:b/>
          <w:sz w:val="22"/>
          <w:szCs w:val="20"/>
        </w:rPr>
      </w:pPr>
      <w:r w:rsidRPr="00EB1002">
        <w:rPr>
          <w:rFonts w:ascii="Arial" w:eastAsia="Calibri" w:hAnsi="Arial" w:cs="Arial"/>
          <w:b/>
          <w:sz w:val="22"/>
          <w:szCs w:val="20"/>
        </w:rPr>
        <w:t xml:space="preserve">SECOP – Publicidad </w:t>
      </w:r>
      <w:r w:rsidRPr="00EB1002">
        <w:rPr>
          <w:rFonts w:ascii="Arial" w:eastAsia="Calibri" w:hAnsi="Arial" w:cs="Arial"/>
          <w:b/>
          <w:sz w:val="22"/>
          <w:szCs w:val="20"/>
        </w:rPr>
        <w:softHyphen/>
        <w:t xml:space="preserve">– Documentos </w:t>
      </w:r>
    </w:p>
    <w:p w14:paraId="7AC86C92" w14:textId="77777777" w:rsidR="002070D7" w:rsidRDefault="002070D7" w:rsidP="002070D7">
      <w:pPr>
        <w:jc w:val="both"/>
        <w:rPr>
          <w:rFonts w:ascii="Arial" w:eastAsia="Calibri" w:hAnsi="Arial" w:cs="Arial"/>
          <w:sz w:val="20"/>
          <w:szCs w:val="20"/>
          <w:lang w:val="es-ES"/>
        </w:rPr>
      </w:pPr>
    </w:p>
    <w:p w14:paraId="53097428" w14:textId="0DEE9B1D" w:rsidR="002070D7" w:rsidRPr="002070D7" w:rsidRDefault="002070D7" w:rsidP="002070D7">
      <w:pPr>
        <w:spacing w:after="120"/>
        <w:jc w:val="both"/>
        <w:rPr>
          <w:rFonts w:ascii="Arial" w:eastAsia="Calibri" w:hAnsi="Arial" w:cs="Arial"/>
          <w:sz w:val="20"/>
          <w:szCs w:val="20"/>
          <w:lang w:val="es-ES"/>
        </w:rPr>
      </w:pPr>
      <w:r>
        <w:rPr>
          <w:rFonts w:ascii="Arial" w:eastAsia="Calibri" w:hAnsi="Arial" w:cs="Arial"/>
          <w:sz w:val="20"/>
          <w:szCs w:val="20"/>
          <w:lang w:val="es-ES"/>
        </w:rPr>
        <w:t>[…] E</w:t>
      </w:r>
      <w:r w:rsidRPr="002070D7">
        <w:rPr>
          <w:rFonts w:ascii="Arial" w:eastAsia="Calibri" w:hAnsi="Arial" w:cs="Arial"/>
          <w:sz w:val="20"/>
          <w:szCs w:val="20"/>
          <w:lang w:val="es-ES"/>
        </w:rPr>
        <w:t xml:space="preserve">l Decreto 103 de 2015 señala que los documentos que deben publicar las entidades estatales, entre estas las empresas industriales y comerciales del Estado, son: i) las autorizaciones, requerimientos, aprobaciones o informes del supervisor o del interventor, que prueben la ejecución del contrato, </w:t>
      </w:r>
      <w:proofErr w:type="spellStart"/>
      <w:r w:rsidRPr="002070D7">
        <w:rPr>
          <w:rFonts w:ascii="Arial" w:eastAsia="Calibri" w:hAnsi="Arial" w:cs="Arial"/>
          <w:sz w:val="20"/>
          <w:szCs w:val="20"/>
          <w:lang w:val="es-ES"/>
        </w:rPr>
        <w:t>ii</w:t>
      </w:r>
      <w:proofErr w:type="spellEnd"/>
      <w:r w:rsidRPr="002070D7">
        <w:rPr>
          <w:rFonts w:ascii="Arial" w:eastAsia="Calibri" w:hAnsi="Arial" w:cs="Arial"/>
          <w:sz w:val="20"/>
          <w:szCs w:val="20"/>
          <w:lang w:val="es-ES"/>
        </w:rPr>
        <w:t xml:space="preserve">) los procedimientos, lineamientos y políticas en materia de adquisición que corresponden a los  documentos que los conforman, previstos en el manual de contratación de la entidad, y finalmente, </w:t>
      </w:r>
      <w:proofErr w:type="spellStart"/>
      <w:r w:rsidRPr="002070D7">
        <w:rPr>
          <w:rFonts w:ascii="Arial" w:eastAsia="Calibri" w:hAnsi="Arial" w:cs="Arial"/>
          <w:sz w:val="20"/>
          <w:szCs w:val="20"/>
          <w:lang w:val="es-ES"/>
        </w:rPr>
        <w:t>iii</w:t>
      </w:r>
      <w:proofErr w:type="spellEnd"/>
      <w:r w:rsidRPr="002070D7">
        <w:rPr>
          <w:rFonts w:ascii="Arial" w:eastAsia="Calibri" w:hAnsi="Arial" w:cs="Arial"/>
          <w:sz w:val="20"/>
          <w:szCs w:val="20"/>
          <w:lang w:val="es-ES"/>
        </w:rPr>
        <w:t xml:space="preserve">) el plan anual de adquisiciones. </w:t>
      </w:r>
    </w:p>
    <w:p w14:paraId="0E327037" w14:textId="1F1642D1" w:rsidR="0047037E" w:rsidRDefault="002070D7" w:rsidP="002070D7">
      <w:pPr>
        <w:jc w:val="both"/>
        <w:rPr>
          <w:rFonts w:ascii="Arial" w:eastAsia="Calibri" w:hAnsi="Arial" w:cs="Arial"/>
          <w:sz w:val="20"/>
          <w:szCs w:val="20"/>
          <w:lang w:val="es-ES"/>
        </w:rPr>
      </w:pPr>
      <w:r w:rsidRPr="002070D7">
        <w:rPr>
          <w:rFonts w:ascii="Arial" w:eastAsia="Calibri" w:hAnsi="Arial" w:cs="Arial"/>
          <w:sz w:val="20"/>
          <w:szCs w:val="20"/>
          <w:lang w:val="es-ES"/>
        </w:rPr>
        <w:t>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w:t>
      </w:r>
    </w:p>
    <w:p w14:paraId="340E1967" w14:textId="77777777" w:rsidR="002070D7" w:rsidRDefault="002070D7" w:rsidP="002070D7">
      <w:pPr>
        <w:jc w:val="both"/>
        <w:rPr>
          <w:rFonts w:ascii="Arial" w:eastAsia="Calibri" w:hAnsi="Arial" w:cs="Arial"/>
          <w:sz w:val="20"/>
          <w:szCs w:val="20"/>
          <w:lang w:val="es-ES"/>
        </w:rPr>
      </w:pPr>
    </w:p>
    <w:p w14:paraId="7E9924E1" w14:textId="632E8299" w:rsidR="0047037E" w:rsidRDefault="0047037E" w:rsidP="00CA1549">
      <w:pPr>
        <w:jc w:val="both"/>
        <w:rPr>
          <w:rFonts w:ascii="Arial" w:eastAsia="Calibri" w:hAnsi="Arial" w:cs="Arial"/>
          <w:b/>
          <w:bCs/>
          <w:sz w:val="22"/>
          <w:szCs w:val="22"/>
          <w:lang w:val="es-ES"/>
        </w:rPr>
      </w:pPr>
      <w:r>
        <w:rPr>
          <w:rFonts w:ascii="Arial" w:eastAsia="Calibri" w:hAnsi="Arial" w:cs="Arial"/>
          <w:b/>
          <w:bCs/>
          <w:sz w:val="22"/>
          <w:szCs w:val="22"/>
          <w:lang w:val="es-ES"/>
        </w:rPr>
        <w:t xml:space="preserve">SECOP II – </w:t>
      </w:r>
      <w:r w:rsidR="003925D7">
        <w:rPr>
          <w:rFonts w:ascii="Arial" w:eastAsia="Calibri" w:hAnsi="Arial" w:cs="Arial"/>
          <w:b/>
          <w:bCs/>
          <w:sz w:val="22"/>
          <w:szCs w:val="22"/>
          <w:lang w:val="es-ES"/>
        </w:rPr>
        <w:t>Obligatoriedad – Despliegue – Circular</w:t>
      </w:r>
      <w:r w:rsidR="009809AF">
        <w:rPr>
          <w:rFonts w:ascii="Arial" w:eastAsia="Calibri" w:hAnsi="Arial" w:cs="Arial"/>
          <w:b/>
          <w:bCs/>
          <w:sz w:val="22"/>
          <w:szCs w:val="22"/>
          <w:lang w:val="es-ES"/>
        </w:rPr>
        <w:t xml:space="preserve"> Externa No. 1</w:t>
      </w:r>
    </w:p>
    <w:p w14:paraId="00C11A98" w14:textId="0B25DF70" w:rsidR="003925D7" w:rsidRDefault="003925D7" w:rsidP="00CA1549">
      <w:pPr>
        <w:jc w:val="both"/>
        <w:rPr>
          <w:rFonts w:ascii="Arial" w:eastAsia="Calibri" w:hAnsi="Arial" w:cs="Arial"/>
          <w:b/>
          <w:bCs/>
          <w:sz w:val="22"/>
          <w:szCs w:val="22"/>
          <w:lang w:val="es-ES"/>
        </w:rPr>
      </w:pPr>
    </w:p>
    <w:p w14:paraId="6A79A37C" w14:textId="77777777" w:rsidR="003925D7" w:rsidRPr="003925D7" w:rsidRDefault="003925D7" w:rsidP="003925D7">
      <w:pPr>
        <w:spacing w:after="120"/>
        <w:jc w:val="both"/>
        <w:rPr>
          <w:rFonts w:ascii="Arial" w:eastAsia="Calibri" w:hAnsi="Arial" w:cs="Arial"/>
          <w:sz w:val="20"/>
          <w:szCs w:val="20"/>
          <w:lang w:val="es-ES"/>
        </w:rPr>
      </w:pPr>
      <w:r w:rsidRPr="003925D7">
        <w:rPr>
          <w:rFonts w:ascii="Arial" w:eastAsia="Calibri" w:hAnsi="Arial" w:cs="Arial"/>
          <w:sz w:val="20"/>
          <w:szCs w:val="20"/>
          <w:lang w:val="es-ES"/>
        </w:rPr>
        <w:t>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w:t>
      </w:r>
    </w:p>
    <w:p w14:paraId="46F9713A" w14:textId="338F7F92" w:rsidR="003925D7" w:rsidRDefault="003925D7" w:rsidP="003925D7">
      <w:pPr>
        <w:jc w:val="both"/>
        <w:rPr>
          <w:rFonts w:ascii="Arial" w:eastAsia="Calibri" w:hAnsi="Arial" w:cs="Arial"/>
          <w:sz w:val="20"/>
          <w:szCs w:val="20"/>
          <w:lang w:val="es-ES"/>
        </w:rPr>
      </w:pPr>
      <w:r w:rsidRPr="003925D7">
        <w:rPr>
          <w:rFonts w:ascii="Arial" w:eastAsia="Calibri" w:hAnsi="Arial" w:cs="Arial"/>
          <w:sz w:val="20"/>
          <w:szCs w:val="20"/>
          <w:lang w:val="es-ES"/>
        </w:rPr>
        <w:t>El SECOP II, entonces, empezó a ser de uso obligatorio solo para las entidades mencionadas en el Anexo 1 de la Circular Externa No. 1 de 2019, y por ende el SECOP I cumple únicamente la función de repositorio de información.</w:t>
      </w:r>
    </w:p>
    <w:p w14:paraId="231DE06E" w14:textId="4C378E03" w:rsidR="00AB2CE3" w:rsidRDefault="00AB2CE3" w:rsidP="003925D7">
      <w:pPr>
        <w:jc w:val="both"/>
        <w:rPr>
          <w:rFonts w:ascii="Arial" w:eastAsia="Calibri" w:hAnsi="Arial" w:cs="Arial"/>
          <w:sz w:val="20"/>
          <w:szCs w:val="20"/>
          <w:lang w:val="es-ES"/>
        </w:rPr>
      </w:pPr>
    </w:p>
    <w:p w14:paraId="0A4FEFD2" w14:textId="796967D0" w:rsidR="00AB2CE3" w:rsidRDefault="00AB2CE3" w:rsidP="353172AA">
      <w:pPr>
        <w:jc w:val="both"/>
        <w:rPr>
          <w:rFonts w:ascii="Arial" w:eastAsia="Calibri" w:hAnsi="Arial" w:cs="Arial"/>
          <w:b/>
          <w:bCs/>
          <w:sz w:val="22"/>
          <w:szCs w:val="22"/>
          <w:lang w:val="es-ES"/>
        </w:rPr>
      </w:pPr>
      <w:r w:rsidRPr="353172AA">
        <w:rPr>
          <w:rFonts w:ascii="Arial" w:eastAsia="Calibri" w:hAnsi="Arial" w:cs="Arial"/>
          <w:b/>
          <w:bCs/>
          <w:sz w:val="22"/>
          <w:szCs w:val="22"/>
          <w:lang w:val="es-ES"/>
        </w:rPr>
        <w:t xml:space="preserve">SECOP II – Entidades descentralizadas </w:t>
      </w:r>
      <w:r w:rsidR="63936534" w:rsidRPr="353172AA">
        <w:rPr>
          <w:rFonts w:ascii="Arial" w:eastAsia="Arial" w:hAnsi="Arial" w:cs="Arial"/>
          <w:b/>
          <w:bCs/>
          <w:sz w:val="22"/>
          <w:szCs w:val="22"/>
          <w:lang w:val="es-MX"/>
        </w:rPr>
        <w:t>–</w:t>
      </w:r>
      <w:r w:rsidR="63936534" w:rsidRPr="353172AA">
        <w:rPr>
          <w:rFonts w:ascii="Arial" w:eastAsia="Calibri" w:hAnsi="Arial" w:cs="Arial"/>
          <w:b/>
          <w:bCs/>
          <w:sz w:val="22"/>
          <w:szCs w:val="22"/>
          <w:lang w:val="es-ES"/>
        </w:rPr>
        <w:t xml:space="preserve"> O</w:t>
      </w:r>
      <w:r w:rsidRPr="353172AA">
        <w:rPr>
          <w:rFonts w:ascii="Arial" w:eastAsia="Calibri" w:hAnsi="Arial" w:cs="Arial"/>
          <w:b/>
          <w:bCs/>
          <w:sz w:val="22"/>
          <w:szCs w:val="22"/>
          <w:lang w:val="es-ES"/>
        </w:rPr>
        <w:t>rden municipal – Empresa industrial y comercial del Estado – No obligatoriedad – Publicidad en SECOP I</w:t>
      </w:r>
    </w:p>
    <w:p w14:paraId="524E287B" w14:textId="77777777" w:rsidR="00AB2CE3" w:rsidRDefault="00AB2CE3" w:rsidP="003925D7">
      <w:pPr>
        <w:jc w:val="both"/>
        <w:rPr>
          <w:rFonts w:ascii="Arial" w:eastAsia="Calibri" w:hAnsi="Arial" w:cs="Arial"/>
          <w:b/>
          <w:bCs/>
          <w:sz w:val="22"/>
          <w:szCs w:val="22"/>
          <w:lang w:val="es-ES"/>
        </w:rPr>
      </w:pPr>
    </w:p>
    <w:p w14:paraId="45299590" w14:textId="7FE86EBB" w:rsidR="00AB2CE3" w:rsidRPr="00AB2CE3" w:rsidRDefault="00AB2CE3" w:rsidP="003925D7">
      <w:pPr>
        <w:jc w:val="both"/>
        <w:rPr>
          <w:rFonts w:ascii="Arial" w:eastAsia="Calibri" w:hAnsi="Arial" w:cs="Arial"/>
          <w:sz w:val="20"/>
          <w:szCs w:val="20"/>
          <w:lang w:val="es-ES"/>
        </w:rPr>
      </w:pPr>
      <w:r w:rsidRPr="00AB2CE3">
        <w:rPr>
          <w:rFonts w:ascii="Arial" w:eastAsia="Calibri" w:hAnsi="Arial" w:cs="Arial"/>
          <w:sz w:val="20"/>
          <w:szCs w:val="20"/>
          <w:lang w:val="es-ES"/>
        </w:rPr>
        <w:t xml:space="preserve">Sin perjuicio de lo anterior, respecto a la publicación del SECOP I o en el SECOP II, la Subdirección de Gestión Contractual concluye que, a la fecha, las entidades descentralizadas del nivel municipal </w:t>
      </w:r>
      <w:r w:rsidRPr="00AB2CE3">
        <w:rPr>
          <w:rFonts w:ascii="Arial" w:eastAsia="Calibri" w:hAnsi="Arial" w:cs="Arial"/>
          <w:sz w:val="20"/>
          <w:szCs w:val="20"/>
          <w:lang w:val="es-ES"/>
        </w:rPr>
        <w:lastRenderedPageBreak/>
        <w:t xml:space="preserve">no están obligadas a publicar sus procesos de contratación en el SECOP II, conforme a la salvedad que sobre el particular establece el Anexo 1 de la Circular Externa No. 1 de 2019. </w:t>
      </w:r>
      <w:r>
        <w:rPr>
          <w:rFonts w:ascii="Arial" w:eastAsia="Calibri" w:hAnsi="Arial" w:cs="Arial"/>
          <w:sz w:val="20"/>
          <w:szCs w:val="20"/>
          <w:lang w:val="es-ES"/>
        </w:rPr>
        <w:t xml:space="preserve">[…] </w:t>
      </w:r>
      <w:r w:rsidRPr="00AB2CE3">
        <w:rPr>
          <w:rFonts w:ascii="Arial" w:eastAsia="Calibri" w:hAnsi="Arial" w:cs="Arial"/>
          <w:sz w:val="20"/>
          <w:szCs w:val="20"/>
          <w:lang w:val="es-ES"/>
        </w:rPr>
        <w:t>por lo que actualmente una empresa industrial y comercial del orden municipal no está obligada a publicar su actividad contractual en el SECOP II y aun no se ha expedido alguna circular donde se establezca la fecha en que surgirá dicha obligación. Sin embargo, ello no las releva de continuar publicando sus procesos de contratación en la plataforma SECOP I.</w:t>
      </w:r>
    </w:p>
    <w:p w14:paraId="000B46E3" w14:textId="4BAB1694" w:rsidR="00EB1002" w:rsidRDefault="00EB1002" w:rsidP="00CA1549">
      <w:pPr>
        <w:jc w:val="both"/>
        <w:rPr>
          <w:rFonts w:ascii="Arial" w:eastAsia="Calibri" w:hAnsi="Arial" w:cs="Arial"/>
          <w:color w:val="000000" w:themeColor="text1"/>
          <w:sz w:val="20"/>
          <w:szCs w:val="20"/>
          <w:lang w:val="es-ES"/>
        </w:rPr>
      </w:pPr>
    </w:p>
    <w:p w14:paraId="75BB305A" w14:textId="2F2DC41A" w:rsidR="00EB1002" w:rsidRDefault="00EB1002" w:rsidP="353172AA">
      <w:pPr>
        <w:jc w:val="both"/>
        <w:rPr>
          <w:rFonts w:ascii="Arial" w:eastAsia="Calibri" w:hAnsi="Arial" w:cs="Arial"/>
          <w:b/>
          <w:bCs/>
          <w:color w:val="000000" w:themeColor="text1"/>
          <w:sz w:val="22"/>
          <w:szCs w:val="22"/>
        </w:rPr>
      </w:pPr>
      <w:r w:rsidRPr="353172AA">
        <w:rPr>
          <w:rFonts w:ascii="Arial" w:eastAsia="Calibri" w:hAnsi="Arial" w:cs="Arial"/>
          <w:b/>
          <w:bCs/>
          <w:color w:val="000000" w:themeColor="text1"/>
          <w:sz w:val="22"/>
          <w:szCs w:val="22"/>
        </w:rPr>
        <w:t xml:space="preserve">CONTRATACIÓN CON RECURSOS DE ORGANISMOS INTERNACIONALES – </w:t>
      </w:r>
      <w:r w:rsidR="00D74A77" w:rsidRPr="353172AA">
        <w:rPr>
          <w:rFonts w:ascii="Arial" w:eastAsia="Calibri" w:hAnsi="Arial" w:cs="Arial"/>
          <w:b/>
          <w:bCs/>
          <w:color w:val="000000" w:themeColor="text1"/>
          <w:sz w:val="22"/>
          <w:szCs w:val="22"/>
        </w:rPr>
        <w:t xml:space="preserve">Artículo 20 </w:t>
      </w:r>
      <w:r w:rsidR="7D1E156A" w:rsidRPr="353172AA">
        <w:rPr>
          <w:rFonts w:ascii="Arial" w:eastAsia="Arial" w:hAnsi="Arial" w:cs="Arial"/>
          <w:b/>
          <w:bCs/>
          <w:sz w:val="22"/>
          <w:szCs w:val="22"/>
          <w:lang w:val="es-MX"/>
        </w:rPr>
        <w:t>–</w:t>
      </w:r>
      <w:r w:rsidR="00D74A77" w:rsidRPr="353172AA">
        <w:rPr>
          <w:rFonts w:ascii="Arial" w:eastAsia="Calibri" w:hAnsi="Arial" w:cs="Arial"/>
          <w:b/>
          <w:bCs/>
          <w:color w:val="000000" w:themeColor="text1"/>
          <w:sz w:val="22"/>
          <w:szCs w:val="22"/>
        </w:rPr>
        <w:t xml:space="preserve"> Ley 1150 de 2007 – </w:t>
      </w:r>
      <w:r w:rsidR="00C67707" w:rsidRPr="353172AA">
        <w:rPr>
          <w:rFonts w:ascii="Arial" w:eastAsia="Calibri" w:hAnsi="Arial" w:cs="Arial"/>
          <w:b/>
          <w:bCs/>
          <w:color w:val="000000" w:themeColor="text1"/>
          <w:sz w:val="22"/>
          <w:szCs w:val="22"/>
        </w:rPr>
        <w:t>M</w:t>
      </w:r>
      <w:r w:rsidR="00D74A77" w:rsidRPr="353172AA">
        <w:rPr>
          <w:rFonts w:ascii="Arial" w:eastAsia="Calibri" w:hAnsi="Arial" w:cs="Arial"/>
          <w:b/>
          <w:bCs/>
          <w:color w:val="000000" w:themeColor="text1"/>
          <w:sz w:val="22"/>
          <w:szCs w:val="22"/>
        </w:rPr>
        <w:t xml:space="preserve">últiples supuestos – </w:t>
      </w:r>
      <w:r w:rsidR="00C67707" w:rsidRPr="353172AA">
        <w:rPr>
          <w:rFonts w:ascii="Arial" w:eastAsia="Calibri" w:hAnsi="Arial" w:cs="Arial"/>
          <w:b/>
          <w:bCs/>
          <w:color w:val="000000" w:themeColor="text1"/>
          <w:sz w:val="22"/>
          <w:szCs w:val="22"/>
        </w:rPr>
        <w:t>R</w:t>
      </w:r>
      <w:r w:rsidR="00D74A77" w:rsidRPr="353172AA">
        <w:rPr>
          <w:rFonts w:ascii="Arial" w:eastAsia="Calibri" w:hAnsi="Arial" w:cs="Arial"/>
          <w:b/>
          <w:bCs/>
          <w:color w:val="000000" w:themeColor="text1"/>
          <w:sz w:val="22"/>
          <w:szCs w:val="22"/>
        </w:rPr>
        <w:t>égimen aplicable</w:t>
      </w:r>
      <w:r w:rsidR="006965A8" w:rsidRPr="353172AA">
        <w:rPr>
          <w:rFonts w:ascii="Arial" w:eastAsia="Calibri" w:hAnsi="Arial" w:cs="Arial"/>
          <w:b/>
          <w:bCs/>
          <w:color w:val="000000" w:themeColor="text1"/>
          <w:sz w:val="22"/>
          <w:szCs w:val="22"/>
        </w:rPr>
        <w:t xml:space="preserve"> – </w:t>
      </w:r>
      <w:r w:rsidR="00C67707" w:rsidRPr="353172AA">
        <w:rPr>
          <w:rFonts w:ascii="Arial" w:eastAsia="Calibri" w:hAnsi="Arial" w:cs="Arial"/>
          <w:b/>
          <w:bCs/>
          <w:color w:val="000000" w:themeColor="text1"/>
          <w:sz w:val="22"/>
          <w:szCs w:val="22"/>
        </w:rPr>
        <w:t>L</w:t>
      </w:r>
      <w:r w:rsidR="006965A8" w:rsidRPr="353172AA">
        <w:rPr>
          <w:rFonts w:ascii="Arial" w:eastAsia="Calibri" w:hAnsi="Arial" w:cs="Arial"/>
          <w:b/>
          <w:bCs/>
          <w:color w:val="000000" w:themeColor="text1"/>
          <w:sz w:val="22"/>
          <w:szCs w:val="22"/>
        </w:rPr>
        <w:t>ibertad de elección</w:t>
      </w:r>
    </w:p>
    <w:p w14:paraId="1060CF4E" w14:textId="77777777" w:rsidR="00D74A77" w:rsidRDefault="00D74A77" w:rsidP="00EB1002">
      <w:pPr>
        <w:jc w:val="both"/>
        <w:rPr>
          <w:rFonts w:ascii="Arial" w:eastAsia="Calibri" w:hAnsi="Arial" w:cs="Arial"/>
          <w:b/>
          <w:bCs/>
          <w:color w:val="000000" w:themeColor="text1"/>
          <w:sz w:val="22"/>
        </w:rPr>
      </w:pPr>
    </w:p>
    <w:p w14:paraId="7D8E1ABB" w14:textId="064467B1" w:rsidR="00EB1002" w:rsidRPr="00F61FF3" w:rsidRDefault="00D74A77" w:rsidP="00CA1549">
      <w:pPr>
        <w:jc w:val="both"/>
        <w:rPr>
          <w:rFonts w:ascii="Arial" w:eastAsia="Calibri" w:hAnsi="Arial" w:cs="Arial"/>
          <w:color w:val="000000" w:themeColor="text1"/>
          <w:sz w:val="20"/>
          <w:lang w:val="es-ES"/>
        </w:rPr>
      </w:pPr>
      <w:r w:rsidRPr="00D74A77">
        <w:rPr>
          <w:rFonts w:ascii="Arial" w:hAnsi="Arial" w:cs="Arial"/>
          <w:sz w:val="20"/>
          <w:szCs w:val="20"/>
          <w:lang w:val="es-ES"/>
        </w:rPr>
        <w:t>Como se advierte de lo anterior, existen dos tipos de supuestos regulados en el artículo 20 de la Ley 1150 de 2007 bajo los cuales es posible someter el régimen contractual aplicable a los reglamentos de los organismos internacionales: el primer tipo, regulado en el inciso primero, donde dicha posibilidad se condiciona a que los contratos o convenios  se financien en el 50% o más con fondos de dichos organismos de cooperación, asistencia o ayudas internacionales y, el segundo tipo, regulado en el inciso segundo, donde dicha posibilidad se condiciona a que se configure alguno de los 6 supuestos enlistados previamente, sin que resulte exigible algún porcentaje de incorporación de recursos. En todo caso, frente a ambos tipos de supuestos, la aplicación de los reglamentos de tales entidades internacionales es una posibilidad por la que pueden optar o no las partes; es decir, configurados los requisitos indicados las partes pueden decir si someten los contratos a los reglamentos de las entidades internacionales o si se rigen por el Estatuto General de Contratación de la Administración Pública.</w:t>
      </w:r>
    </w:p>
    <w:p w14:paraId="37C80E42" w14:textId="229C6E4A" w:rsidR="0028568A" w:rsidRPr="001B04A3" w:rsidRDefault="0028568A" w:rsidP="0028568A">
      <w:pPr>
        <w:pStyle w:val="Default"/>
        <w:jc w:val="both"/>
        <w:rPr>
          <w:sz w:val="20"/>
          <w:szCs w:val="20"/>
          <w:lang w:val="es-ES"/>
        </w:rPr>
      </w:pPr>
    </w:p>
    <w:p w14:paraId="663FE320" w14:textId="77777777" w:rsidR="001B04A3" w:rsidRPr="001B04A3" w:rsidRDefault="001B04A3" w:rsidP="0028568A">
      <w:pPr>
        <w:pStyle w:val="Default"/>
        <w:jc w:val="both"/>
        <w:rPr>
          <w:sz w:val="20"/>
          <w:szCs w:val="20"/>
          <w:lang w:val="es-ES"/>
        </w:rPr>
      </w:pPr>
    </w:p>
    <w:p w14:paraId="12BB4C24" w14:textId="24015D3C" w:rsidR="00F474CD" w:rsidRPr="00F61FF3" w:rsidRDefault="00F474CD" w:rsidP="00F474CD">
      <w:pPr>
        <w:jc w:val="both"/>
        <w:rPr>
          <w:rFonts w:ascii="Arial" w:hAnsi="Arial" w:cs="Arial"/>
          <w:b/>
          <w:sz w:val="22"/>
          <w:lang w:val="es-ES"/>
        </w:rPr>
      </w:pPr>
      <w:r w:rsidRPr="00F61FF3">
        <w:rPr>
          <w:rFonts w:ascii="Arial" w:hAnsi="Arial" w:cs="Arial"/>
          <w:sz w:val="22"/>
          <w:lang w:val="es-ES"/>
        </w:rPr>
        <w:t xml:space="preserve">Bogotá D.C., </w:t>
      </w:r>
      <w:r w:rsidR="00224DD3" w:rsidRPr="00224DD3">
        <w:rPr>
          <w:rFonts w:ascii="Arial" w:hAnsi="Arial" w:cs="Arial"/>
          <w:b/>
          <w:sz w:val="22"/>
          <w:lang w:val="es-ES"/>
        </w:rPr>
        <w:t>23/07/2020 Hora 10:51:41s</w:t>
      </w:r>
    </w:p>
    <w:p w14:paraId="3664C0D8" w14:textId="77777777" w:rsidR="00F474CD" w:rsidRPr="00F61FF3" w:rsidRDefault="00F474CD" w:rsidP="00F474CD">
      <w:pPr>
        <w:jc w:val="both"/>
        <w:rPr>
          <w:rFonts w:ascii="Arial" w:eastAsia="Calibri" w:hAnsi="Arial" w:cs="Arial"/>
          <w:sz w:val="20"/>
          <w:lang w:val="es-ES"/>
        </w:rPr>
      </w:pPr>
    </w:p>
    <w:p w14:paraId="5246E80C" w14:textId="6ABCF7BD" w:rsidR="00F474CD" w:rsidRPr="00F61FF3" w:rsidRDefault="00F474CD" w:rsidP="00F474CD">
      <w:pPr>
        <w:jc w:val="right"/>
        <w:rPr>
          <w:rFonts w:ascii="Arial" w:hAnsi="Arial" w:cs="Arial"/>
          <w:b/>
          <w:sz w:val="22"/>
          <w:lang w:val="es-ES"/>
        </w:rPr>
      </w:pPr>
      <w:proofErr w:type="spellStart"/>
      <w:r w:rsidRPr="00F61FF3">
        <w:rPr>
          <w:rFonts w:ascii="Arial" w:hAnsi="Arial" w:cs="Arial"/>
          <w:b/>
          <w:sz w:val="22"/>
          <w:lang w:val="es-ES"/>
        </w:rPr>
        <w:t>N°</w:t>
      </w:r>
      <w:proofErr w:type="spellEnd"/>
      <w:r w:rsidRPr="00F61FF3">
        <w:rPr>
          <w:rFonts w:ascii="Arial" w:hAnsi="Arial" w:cs="Arial"/>
          <w:b/>
          <w:sz w:val="22"/>
          <w:lang w:val="es-ES"/>
        </w:rPr>
        <w:t xml:space="preserve"> Radicado: </w:t>
      </w:r>
      <w:r w:rsidR="00224DD3" w:rsidRPr="00224DD3">
        <w:rPr>
          <w:rFonts w:ascii="Arial" w:hAnsi="Arial" w:cs="Arial"/>
          <w:b/>
          <w:sz w:val="22"/>
          <w:lang w:val="es-ES"/>
        </w:rPr>
        <w:t>2202013000006538</w:t>
      </w:r>
    </w:p>
    <w:p w14:paraId="0540FC70" w14:textId="77777777" w:rsidR="00F474CD" w:rsidRPr="00F61FF3" w:rsidRDefault="00F474CD" w:rsidP="00F474CD">
      <w:pPr>
        <w:tabs>
          <w:tab w:val="left" w:pos="3374"/>
        </w:tabs>
        <w:rPr>
          <w:rFonts w:ascii="Arial" w:eastAsia="Calibri" w:hAnsi="Arial" w:cs="Arial"/>
          <w:sz w:val="22"/>
          <w:lang w:val="es-ES"/>
        </w:rPr>
      </w:pPr>
      <w:r w:rsidRPr="00F61FF3">
        <w:rPr>
          <w:rFonts w:ascii="Arial" w:eastAsia="Calibri" w:hAnsi="Arial" w:cs="Arial"/>
          <w:sz w:val="22"/>
          <w:lang w:val="es-ES"/>
        </w:rPr>
        <w:tab/>
      </w:r>
    </w:p>
    <w:p w14:paraId="292113A1" w14:textId="77777777" w:rsidR="00F474CD" w:rsidRPr="00F61FF3" w:rsidRDefault="00F474CD" w:rsidP="00F474CD">
      <w:pPr>
        <w:rPr>
          <w:rFonts w:ascii="Arial" w:eastAsia="Calibri" w:hAnsi="Arial" w:cs="Arial"/>
          <w:sz w:val="22"/>
          <w:lang w:val="es-ES"/>
        </w:rPr>
      </w:pPr>
      <w:r w:rsidRPr="00F61FF3">
        <w:rPr>
          <w:rFonts w:ascii="Arial" w:eastAsia="Calibri" w:hAnsi="Arial" w:cs="Arial"/>
          <w:sz w:val="22"/>
          <w:lang w:val="es-ES"/>
        </w:rPr>
        <w:t>Señor</w:t>
      </w:r>
    </w:p>
    <w:p w14:paraId="74FAD124" w14:textId="1AB8314D" w:rsidR="00F474CD" w:rsidRPr="00F61FF3" w:rsidRDefault="00F474CD" w:rsidP="00F474CD">
      <w:pPr>
        <w:rPr>
          <w:rFonts w:ascii="Arial" w:eastAsia="Calibri" w:hAnsi="Arial" w:cs="Arial"/>
          <w:b/>
          <w:sz w:val="22"/>
          <w:lang w:val="es-ES"/>
        </w:rPr>
      </w:pPr>
      <w:r w:rsidRPr="00F61FF3">
        <w:rPr>
          <w:rFonts w:ascii="Arial" w:eastAsia="Calibri" w:hAnsi="Arial" w:cs="Arial"/>
          <w:b/>
          <w:sz w:val="22"/>
          <w:lang w:val="es-ES"/>
        </w:rPr>
        <w:t>Víctor Aguas Castro</w:t>
      </w:r>
    </w:p>
    <w:p w14:paraId="7EFB562E" w14:textId="502C06A8" w:rsidR="00F474CD" w:rsidRPr="00F61FF3" w:rsidRDefault="00647F56" w:rsidP="00F474CD">
      <w:pPr>
        <w:rPr>
          <w:rFonts w:ascii="Arial" w:eastAsia="Calibri" w:hAnsi="Arial" w:cs="Arial"/>
          <w:sz w:val="22"/>
          <w:lang w:val="es-ES"/>
        </w:rPr>
      </w:pPr>
      <w:r>
        <w:rPr>
          <w:rFonts w:ascii="Arial" w:eastAsia="Calibri" w:hAnsi="Arial" w:cs="Arial"/>
          <w:sz w:val="22"/>
          <w:lang w:val="es-ES"/>
        </w:rPr>
        <w:t>Sincelejo</w:t>
      </w:r>
    </w:p>
    <w:p w14:paraId="52806C75" w14:textId="0F7D4E2C" w:rsidR="00F474CD" w:rsidRDefault="00F474CD" w:rsidP="00F474CD">
      <w:pPr>
        <w:rPr>
          <w:rFonts w:ascii="Arial" w:eastAsia="Calibri" w:hAnsi="Arial" w:cs="Arial"/>
          <w:b/>
          <w:sz w:val="22"/>
          <w:lang w:val="es-ES"/>
        </w:rPr>
      </w:pPr>
      <w:r w:rsidRPr="00F61FF3">
        <w:rPr>
          <w:rFonts w:ascii="Arial" w:eastAsia="Calibri" w:hAnsi="Arial" w:cs="Arial"/>
          <w:b/>
          <w:sz w:val="22"/>
          <w:lang w:val="es-ES"/>
        </w:rPr>
        <w:t xml:space="preserve">                                            Concepto C – 374 de 2020</w:t>
      </w:r>
    </w:p>
    <w:p w14:paraId="552C95B2" w14:textId="77777777" w:rsidR="002345FC" w:rsidRPr="00F61FF3" w:rsidRDefault="002345FC" w:rsidP="00F474CD">
      <w:pPr>
        <w:rPr>
          <w:rFonts w:ascii="Arial" w:eastAsia="Calibri" w:hAnsi="Arial" w:cs="Arial"/>
          <w:b/>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474CD" w:rsidRPr="00F61FF3" w14:paraId="7F4FE537" w14:textId="77777777" w:rsidTr="00840218">
        <w:tc>
          <w:tcPr>
            <w:tcW w:w="2689" w:type="dxa"/>
          </w:tcPr>
          <w:p w14:paraId="23CDB6B2" w14:textId="77777777" w:rsidR="00F474CD" w:rsidRPr="00F61FF3" w:rsidRDefault="00F474CD" w:rsidP="00840218">
            <w:pPr>
              <w:rPr>
                <w:rFonts w:ascii="Arial" w:eastAsia="Calibri" w:hAnsi="Arial" w:cs="Arial"/>
                <w:sz w:val="22"/>
                <w:lang w:val="es-ES"/>
              </w:rPr>
            </w:pPr>
            <w:r w:rsidRPr="00F61FF3">
              <w:rPr>
                <w:rFonts w:ascii="Arial" w:eastAsia="Calibri" w:hAnsi="Arial" w:cs="Arial"/>
                <w:b/>
                <w:sz w:val="22"/>
                <w:lang w:val="es-ES"/>
              </w:rPr>
              <w:t>Temas:</w:t>
            </w:r>
            <w:r w:rsidRPr="00F61FF3">
              <w:rPr>
                <w:rFonts w:ascii="Arial" w:eastAsia="Calibri" w:hAnsi="Arial" w:cs="Arial"/>
                <w:sz w:val="22"/>
                <w:lang w:val="es-ES"/>
              </w:rPr>
              <w:t xml:space="preserve">           </w:t>
            </w:r>
          </w:p>
          <w:p w14:paraId="25E69D9D" w14:textId="77777777" w:rsidR="00F474CD" w:rsidRPr="00F61FF3" w:rsidRDefault="00F474CD" w:rsidP="00840218">
            <w:pPr>
              <w:rPr>
                <w:rFonts w:ascii="Arial" w:eastAsia="Calibri" w:hAnsi="Arial" w:cs="Arial"/>
                <w:sz w:val="22"/>
                <w:lang w:val="es-ES"/>
              </w:rPr>
            </w:pPr>
            <w:r w:rsidRPr="00F61FF3">
              <w:rPr>
                <w:rFonts w:ascii="Arial" w:eastAsia="Calibri" w:hAnsi="Arial" w:cs="Arial"/>
                <w:sz w:val="22"/>
                <w:lang w:val="es-ES"/>
              </w:rPr>
              <w:t xml:space="preserve">                           </w:t>
            </w:r>
          </w:p>
        </w:tc>
        <w:tc>
          <w:tcPr>
            <w:tcW w:w="6237" w:type="dxa"/>
          </w:tcPr>
          <w:p w14:paraId="35BBF430" w14:textId="6E240E79" w:rsidR="003B4CB4" w:rsidRPr="003B4CB4" w:rsidRDefault="009809AF" w:rsidP="003B4CB4">
            <w:pPr>
              <w:jc w:val="both"/>
              <w:rPr>
                <w:rFonts w:ascii="Arial" w:eastAsia="Calibri" w:hAnsi="Arial" w:cs="Arial"/>
                <w:bCs/>
                <w:color w:val="000000" w:themeColor="text1"/>
                <w:sz w:val="22"/>
              </w:rPr>
            </w:pPr>
            <w:r w:rsidRPr="009809AF">
              <w:rPr>
                <w:rFonts w:ascii="Arial" w:eastAsia="Calibri" w:hAnsi="Arial" w:cs="Arial"/>
                <w:bCs/>
                <w:sz w:val="22"/>
                <w:lang w:val="es-ES"/>
              </w:rPr>
              <w:t xml:space="preserve">SECOP – Publicidad – Entidades de régimen especial </w:t>
            </w:r>
            <w:r>
              <w:rPr>
                <w:rFonts w:ascii="Arial" w:eastAsia="Calibri" w:hAnsi="Arial" w:cs="Arial"/>
                <w:bCs/>
                <w:sz w:val="22"/>
                <w:lang w:val="es-ES"/>
              </w:rPr>
              <w:t xml:space="preserve">/ </w:t>
            </w:r>
            <w:r w:rsidRPr="009809AF">
              <w:rPr>
                <w:rFonts w:ascii="Arial" w:eastAsia="Calibri" w:hAnsi="Arial" w:cs="Arial"/>
                <w:bCs/>
                <w:sz w:val="22"/>
                <w:lang w:val="es-ES"/>
              </w:rPr>
              <w:t>SECOP – Publicidad – Documentos</w:t>
            </w:r>
            <w:r>
              <w:rPr>
                <w:rFonts w:ascii="Arial" w:eastAsia="Calibri" w:hAnsi="Arial" w:cs="Arial"/>
                <w:bCs/>
                <w:sz w:val="22"/>
                <w:lang w:val="es-ES"/>
              </w:rPr>
              <w:t xml:space="preserve"> / </w:t>
            </w:r>
            <w:r w:rsidRPr="009809AF">
              <w:rPr>
                <w:rFonts w:ascii="Arial" w:eastAsia="Calibri" w:hAnsi="Arial" w:cs="Arial"/>
                <w:bCs/>
                <w:sz w:val="22"/>
                <w:lang w:val="es-ES"/>
              </w:rPr>
              <w:t xml:space="preserve">SECOP II – Obligatoriedad – Despliegue – Circular Externa No. </w:t>
            </w:r>
            <w:r w:rsidRPr="006D6F8A">
              <w:rPr>
                <w:rFonts w:ascii="Arial" w:eastAsia="Calibri" w:hAnsi="Arial" w:cs="Arial"/>
                <w:bCs/>
                <w:sz w:val="22"/>
                <w:lang w:val="es-ES"/>
              </w:rPr>
              <w:t xml:space="preserve">1 / </w:t>
            </w:r>
            <w:r w:rsidR="006D6F8A" w:rsidRPr="006D6F8A">
              <w:rPr>
                <w:rFonts w:ascii="Arial" w:eastAsia="Calibri" w:hAnsi="Arial" w:cs="Arial"/>
                <w:bCs/>
                <w:sz w:val="22"/>
                <w:szCs w:val="22"/>
                <w:lang w:val="es-ES"/>
              </w:rPr>
              <w:t>SECOP II – Entidades descentralizadas del orden municipal – Empresa industrial y comercial del Estado – No obligatoriedad – Publicidad en SECOP I</w:t>
            </w:r>
            <w:r w:rsidR="006D6F8A" w:rsidRPr="006D6F8A">
              <w:rPr>
                <w:rFonts w:ascii="Arial" w:eastAsia="Calibri" w:hAnsi="Arial" w:cs="Arial"/>
                <w:bCs/>
                <w:sz w:val="22"/>
                <w:lang w:val="es-ES"/>
              </w:rPr>
              <w:t xml:space="preserve"> / </w:t>
            </w:r>
            <w:r w:rsidRPr="006D6F8A">
              <w:rPr>
                <w:rFonts w:ascii="Arial" w:eastAsia="Calibri" w:hAnsi="Arial" w:cs="Arial"/>
                <w:bCs/>
                <w:sz w:val="22"/>
                <w:lang w:val="es-ES"/>
              </w:rPr>
              <w:t>CONTRATACIÓN CON</w:t>
            </w:r>
            <w:r w:rsidRPr="009809AF">
              <w:rPr>
                <w:rFonts w:ascii="Arial" w:eastAsia="Calibri" w:hAnsi="Arial" w:cs="Arial"/>
                <w:bCs/>
                <w:sz w:val="22"/>
                <w:lang w:val="es-ES"/>
              </w:rPr>
              <w:t xml:space="preserve"> RECURSOS DE ORGANISMOS INTERNACIONALES – Artículo 20 de la Ley 1150 de 2007 – </w:t>
            </w:r>
            <w:r>
              <w:rPr>
                <w:rFonts w:ascii="Arial" w:eastAsia="Calibri" w:hAnsi="Arial" w:cs="Arial"/>
                <w:bCs/>
                <w:sz w:val="22"/>
                <w:lang w:val="es-ES"/>
              </w:rPr>
              <w:t>M</w:t>
            </w:r>
            <w:r w:rsidRPr="009809AF">
              <w:rPr>
                <w:rFonts w:ascii="Arial" w:eastAsia="Calibri" w:hAnsi="Arial" w:cs="Arial"/>
                <w:bCs/>
                <w:sz w:val="22"/>
                <w:lang w:val="es-ES"/>
              </w:rPr>
              <w:t xml:space="preserve">últiples supuestos – </w:t>
            </w:r>
            <w:r>
              <w:rPr>
                <w:rFonts w:ascii="Arial" w:eastAsia="Calibri" w:hAnsi="Arial" w:cs="Arial"/>
                <w:bCs/>
                <w:sz w:val="22"/>
                <w:lang w:val="es-ES"/>
              </w:rPr>
              <w:t>R</w:t>
            </w:r>
            <w:r w:rsidRPr="009809AF">
              <w:rPr>
                <w:rFonts w:ascii="Arial" w:eastAsia="Calibri" w:hAnsi="Arial" w:cs="Arial"/>
                <w:bCs/>
                <w:sz w:val="22"/>
                <w:lang w:val="es-ES"/>
              </w:rPr>
              <w:t xml:space="preserve">égimen aplicable – </w:t>
            </w:r>
            <w:r>
              <w:rPr>
                <w:rFonts w:ascii="Arial" w:eastAsia="Calibri" w:hAnsi="Arial" w:cs="Arial"/>
                <w:bCs/>
                <w:sz w:val="22"/>
                <w:lang w:val="es-ES"/>
              </w:rPr>
              <w:t>L</w:t>
            </w:r>
            <w:r w:rsidRPr="009809AF">
              <w:rPr>
                <w:rFonts w:ascii="Arial" w:eastAsia="Calibri" w:hAnsi="Arial" w:cs="Arial"/>
                <w:bCs/>
                <w:sz w:val="22"/>
                <w:lang w:val="es-ES"/>
              </w:rPr>
              <w:t>ibertad de elección</w:t>
            </w:r>
          </w:p>
          <w:p w14:paraId="1B394670" w14:textId="0404584B" w:rsidR="00F474CD" w:rsidRPr="003B4CB4" w:rsidRDefault="00F474CD" w:rsidP="00840218">
            <w:pPr>
              <w:spacing w:after="120"/>
              <w:jc w:val="both"/>
              <w:rPr>
                <w:rFonts w:ascii="Arial" w:eastAsia="Calibri" w:hAnsi="Arial" w:cs="Arial"/>
                <w:bCs/>
                <w:sz w:val="22"/>
                <w:lang w:val="es-ES"/>
              </w:rPr>
            </w:pPr>
          </w:p>
        </w:tc>
      </w:tr>
      <w:tr w:rsidR="00F474CD" w:rsidRPr="00F61FF3" w14:paraId="127D5611" w14:textId="77777777" w:rsidTr="009809AF">
        <w:trPr>
          <w:trHeight w:val="273"/>
        </w:trPr>
        <w:tc>
          <w:tcPr>
            <w:tcW w:w="2689" w:type="dxa"/>
          </w:tcPr>
          <w:p w14:paraId="37196777" w14:textId="77777777" w:rsidR="00F474CD" w:rsidRPr="00F61FF3" w:rsidRDefault="00F474CD" w:rsidP="00840218">
            <w:pPr>
              <w:rPr>
                <w:rFonts w:ascii="Arial" w:eastAsia="Calibri" w:hAnsi="Arial" w:cs="Arial"/>
                <w:b/>
                <w:sz w:val="22"/>
                <w:lang w:val="es-ES"/>
              </w:rPr>
            </w:pPr>
            <w:r w:rsidRPr="00F61FF3">
              <w:rPr>
                <w:rFonts w:ascii="Arial" w:eastAsia="Calibri" w:hAnsi="Arial" w:cs="Arial"/>
                <w:b/>
                <w:sz w:val="22"/>
                <w:lang w:val="es-ES"/>
              </w:rPr>
              <w:lastRenderedPageBreak/>
              <w:t>Radicación:</w:t>
            </w:r>
            <w:r w:rsidRPr="00F61FF3">
              <w:rPr>
                <w:rFonts w:ascii="Arial" w:eastAsia="Calibri" w:hAnsi="Arial" w:cs="Arial"/>
                <w:sz w:val="22"/>
                <w:lang w:val="es-ES"/>
              </w:rPr>
              <w:t xml:space="preserve">                              </w:t>
            </w:r>
          </w:p>
        </w:tc>
        <w:tc>
          <w:tcPr>
            <w:tcW w:w="6237" w:type="dxa"/>
          </w:tcPr>
          <w:p w14:paraId="64A31D11" w14:textId="4DBDCF47" w:rsidR="00F474CD" w:rsidRPr="003B4CB4" w:rsidRDefault="00F474CD" w:rsidP="00840218">
            <w:pPr>
              <w:jc w:val="both"/>
              <w:rPr>
                <w:rFonts w:ascii="Arial" w:eastAsia="Calibri" w:hAnsi="Arial" w:cs="Arial"/>
                <w:bCs/>
                <w:sz w:val="22"/>
                <w:szCs w:val="22"/>
                <w:lang w:val="es-ES" w:eastAsia="en-US"/>
              </w:rPr>
            </w:pPr>
            <w:r w:rsidRPr="003B4CB4">
              <w:rPr>
                <w:rFonts w:ascii="Arial" w:eastAsia="Calibri" w:hAnsi="Arial" w:cs="Arial"/>
                <w:bCs/>
                <w:sz w:val="22"/>
                <w:lang w:val="es-ES"/>
              </w:rPr>
              <w:t xml:space="preserve">Respuesta a consulta </w:t>
            </w:r>
            <w:r w:rsidR="0047037E">
              <w:rPr>
                <w:rFonts w:ascii="Arial" w:eastAsia="Calibri" w:hAnsi="Arial" w:cs="Arial"/>
                <w:bCs/>
                <w:sz w:val="22"/>
                <w:lang w:val="es-ES"/>
              </w:rPr>
              <w:t xml:space="preserve"># </w:t>
            </w:r>
            <w:r w:rsidRPr="003B4CB4">
              <w:rPr>
                <w:rFonts w:ascii="Arial" w:eastAsia="Calibri" w:hAnsi="Arial" w:cs="Arial"/>
                <w:bCs/>
                <w:sz w:val="22"/>
                <w:szCs w:val="22"/>
                <w:lang w:val="es-ES" w:eastAsia="en-US"/>
              </w:rPr>
              <w:t>4202012000004063</w:t>
            </w:r>
          </w:p>
          <w:p w14:paraId="609EF109" w14:textId="77777777" w:rsidR="00F474CD" w:rsidRPr="003B4CB4" w:rsidRDefault="00F474CD" w:rsidP="00840218">
            <w:pPr>
              <w:jc w:val="both"/>
              <w:rPr>
                <w:rFonts w:ascii="Arial" w:eastAsia="Calibri" w:hAnsi="Arial" w:cs="Arial"/>
                <w:bCs/>
                <w:sz w:val="22"/>
                <w:lang w:val="es-ES"/>
              </w:rPr>
            </w:pPr>
          </w:p>
          <w:p w14:paraId="4C91DAA2" w14:textId="77777777" w:rsidR="00F474CD" w:rsidRPr="003B4CB4" w:rsidRDefault="00F474CD" w:rsidP="00840218">
            <w:pPr>
              <w:jc w:val="both"/>
              <w:rPr>
                <w:rFonts w:ascii="Arial" w:eastAsia="Calibri" w:hAnsi="Arial" w:cs="Arial"/>
                <w:bCs/>
                <w:sz w:val="22"/>
                <w:lang w:val="es-ES"/>
              </w:rPr>
            </w:pPr>
          </w:p>
        </w:tc>
      </w:tr>
    </w:tbl>
    <w:p w14:paraId="4A2ED905" w14:textId="156754AD" w:rsidR="0028568A" w:rsidRPr="00F61FF3" w:rsidRDefault="0028568A" w:rsidP="0028568A">
      <w:pPr>
        <w:tabs>
          <w:tab w:val="left" w:pos="3736"/>
        </w:tabs>
        <w:spacing w:line="276" w:lineRule="auto"/>
        <w:jc w:val="both"/>
        <w:rPr>
          <w:rFonts w:ascii="Arial" w:eastAsia="Calibri" w:hAnsi="Arial" w:cs="Arial"/>
          <w:color w:val="000000" w:themeColor="text1"/>
          <w:sz w:val="22"/>
          <w:lang w:val="es-ES"/>
        </w:rPr>
      </w:pPr>
      <w:r w:rsidRPr="00F61FF3">
        <w:rPr>
          <w:rFonts w:ascii="Arial" w:eastAsia="Calibri" w:hAnsi="Arial" w:cs="Arial"/>
          <w:color w:val="000000" w:themeColor="text1"/>
          <w:sz w:val="22"/>
          <w:lang w:val="es-ES"/>
        </w:rPr>
        <w:t xml:space="preserve">Estimado señor </w:t>
      </w:r>
      <w:r w:rsidR="00F474CD" w:rsidRPr="00F61FF3">
        <w:rPr>
          <w:rFonts w:ascii="Arial" w:eastAsia="Calibri" w:hAnsi="Arial" w:cs="Arial"/>
          <w:color w:val="000000" w:themeColor="text1"/>
          <w:sz w:val="22"/>
          <w:lang w:val="es-ES"/>
        </w:rPr>
        <w:t>Aguas Castro</w:t>
      </w:r>
      <w:r w:rsidRPr="00F61FF3">
        <w:rPr>
          <w:rFonts w:ascii="Arial" w:eastAsia="Calibri" w:hAnsi="Arial" w:cs="Arial"/>
          <w:color w:val="000000" w:themeColor="text1"/>
          <w:sz w:val="22"/>
          <w:lang w:val="es-ES"/>
        </w:rPr>
        <w:t>,</w:t>
      </w:r>
      <w:r w:rsidRPr="00F61FF3">
        <w:rPr>
          <w:rFonts w:ascii="Arial" w:eastAsia="Calibri" w:hAnsi="Arial" w:cs="Arial"/>
          <w:color w:val="000000" w:themeColor="text1"/>
          <w:sz w:val="22"/>
          <w:lang w:val="es-ES"/>
        </w:rPr>
        <w:tab/>
      </w:r>
    </w:p>
    <w:p w14:paraId="024870D5" w14:textId="77777777" w:rsidR="0028568A" w:rsidRPr="00F61FF3" w:rsidRDefault="0028568A" w:rsidP="0028568A">
      <w:pPr>
        <w:spacing w:line="276" w:lineRule="auto"/>
        <w:jc w:val="both"/>
        <w:rPr>
          <w:rFonts w:ascii="Arial" w:eastAsia="Calibri" w:hAnsi="Arial" w:cs="Arial"/>
          <w:color w:val="000000" w:themeColor="text1"/>
          <w:sz w:val="22"/>
          <w:lang w:val="es-ES"/>
        </w:rPr>
      </w:pPr>
    </w:p>
    <w:p w14:paraId="6FB7759C" w14:textId="69062D33" w:rsidR="0028568A" w:rsidRDefault="0028568A" w:rsidP="00EE01A6">
      <w:pPr>
        <w:jc w:val="both"/>
        <w:rPr>
          <w:rFonts w:ascii="Arial" w:eastAsia="Calibri" w:hAnsi="Arial" w:cs="Arial"/>
          <w:color w:val="000000" w:themeColor="text1"/>
          <w:sz w:val="22"/>
          <w:lang w:val="es-ES"/>
        </w:rPr>
      </w:pPr>
      <w:r w:rsidRPr="00F61FF3">
        <w:rPr>
          <w:rFonts w:ascii="Arial" w:eastAsia="Calibri" w:hAnsi="Arial" w:cs="Arial"/>
          <w:color w:val="000000" w:themeColor="text1"/>
          <w:sz w:val="22"/>
          <w:lang w:val="es-ES"/>
        </w:rPr>
        <w:t xml:space="preserve">La Agencia Nacional de Contratación Pública ─Colombia Compra Eficiente responde sus consultas del </w:t>
      </w:r>
      <w:r w:rsidR="00F474CD" w:rsidRPr="00F61FF3">
        <w:rPr>
          <w:rFonts w:ascii="Arial" w:eastAsia="Calibri" w:hAnsi="Arial" w:cs="Arial"/>
          <w:color w:val="000000" w:themeColor="text1"/>
          <w:sz w:val="22"/>
          <w:lang w:val="es-ES"/>
        </w:rPr>
        <w:t>22 de mayo de 2020</w:t>
      </w:r>
      <w:r w:rsidRPr="00F61FF3">
        <w:rPr>
          <w:rFonts w:ascii="Arial" w:eastAsia="Calibri" w:hAnsi="Arial" w:cs="Arial"/>
          <w:color w:val="000000" w:themeColor="text1"/>
          <w:sz w:val="22"/>
          <w:lang w:val="es-ES"/>
        </w:rPr>
        <w:t xml:space="preserve">, en ejercicio de la competencia otorgada por el numeral 8 del artículo 11 y el numeral 5 del artículo 3 del Decreto Ley 4170 de 2011. </w:t>
      </w:r>
    </w:p>
    <w:p w14:paraId="2D00E049" w14:textId="77777777" w:rsidR="002345FC" w:rsidRPr="00F61FF3" w:rsidRDefault="002345FC" w:rsidP="00EE01A6">
      <w:pPr>
        <w:jc w:val="both"/>
        <w:rPr>
          <w:rFonts w:ascii="Arial" w:eastAsia="Calibri" w:hAnsi="Arial" w:cs="Arial"/>
          <w:color w:val="000000" w:themeColor="text1"/>
          <w:sz w:val="22"/>
          <w:lang w:val="es-ES"/>
        </w:rPr>
      </w:pPr>
    </w:p>
    <w:p w14:paraId="4EA71BDA" w14:textId="01833CDF" w:rsidR="0028568A" w:rsidRPr="00F61FF3" w:rsidRDefault="0028568A" w:rsidP="0028568A">
      <w:pPr>
        <w:pStyle w:val="Prrafodelista"/>
        <w:numPr>
          <w:ilvl w:val="0"/>
          <w:numId w:val="7"/>
        </w:numPr>
        <w:tabs>
          <w:tab w:val="left" w:pos="0"/>
        </w:tabs>
        <w:ind w:left="284" w:hanging="284"/>
        <w:jc w:val="both"/>
        <w:rPr>
          <w:rFonts w:ascii="Arial" w:eastAsia="Calibri" w:hAnsi="Arial" w:cs="Arial"/>
          <w:b/>
          <w:color w:val="000000" w:themeColor="text1"/>
          <w:sz w:val="22"/>
        </w:rPr>
      </w:pPr>
      <w:r w:rsidRPr="00F61FF3">
        <w:rPr>
          <w:rFonts w:ascii="Arial" w:eastAsia="Calibri" w:hAnsi="Arial" w:cs="Arial"/>
          <w:b/>
          <w:color w:val="000000" w:themeColor="text1"/>
          <w:sz w:val="22"/>
        </w:rPr>
        <w:t>Problemas planteados</w:t>
      </w:r>
    </w:p>
    <w:p w14:paraId="01F72941" w14:textId="5F555E96" w:rsidR="0028568A" w:rsidRDefault="0028568A" w:rsidP="0028568A">
      <w:pPr>
        <w:spacing w:line="276" w:lineRule="auto"/>
        <w:jc w:val="both"/>
        <w:rPr>
          <w:rFonts w:ascii="Arial" w:eastAsia="Calibri" w:hAnsi="Arial" w:cs="Arial"/>
          <w:color w:val="000000" w:themeColor="text1"/>
          <w:sz w:val="22"/>
          <w:lang w:val="es-ES"/>
        </w:rPr>
      </w:pPr>
      <w:r w:rsidRPr="00F61FF3">
        <w:rPr>
          <w:rFonts w:ascii="Arial" w:eastAsia="Calibri" w:hAnsi="Arial" w:cs="Arial"/>
          <w:color w:val="000000" w:themeColor="text1"/>
          <w:sz w:val="22"/>
          <w:lang w:val="es-ES"/>
        </w:rPr>
        <w:t>Usted formula las siguientes preguntas:</w:t>
      </w:r>
      <w:r w:rsidRPr="00F61FF3">
        <w:rPr>
          <w:rFonts w:ascii="Arial" w:eastAsia="Calibri" w:hAnsi="Arial" w:cs="Arial"/>
          <w:b/>
          <w:color w:val="000000" w:themeColor="text1"/>
          <w:sz w:val="22"/>
          <w:lang w:val="es-ES"/>
        </w:rPr>
        <w:t xml:space="preserve"> </w:t>
      </w:r>
      <w:r w:rsidRPr="00F61FF3">
        <w:rPr>
          <w:rFonts w:ascii="Arial" w:eastAsia="Calibri" w:hAnsi="Arial" w:cs="Arial"/>
          <w:color w:val="000000" w:themeColor="text1"/>
          <w:sz w:val="22"/>
          <w:lang w:val="es-ES"/>
        </w:rPr>
        <w:t xml:space="preserve">i) </w:t>
      </w:r>
      <w:r w:rsidR="00966F65">
        <w:rPr>
          <w:rFonts w:ascii="Arial" w:eastAsia="Calibri" w:hAnsi="Arial" w:cs="Arial"/>
          <w:color w:val="000000" w:themeColor="text1"/>
          <w:sz w:val="22"/>
          <w:lang w:val="es-ES"/>
        </w:rPr>
        <w:t>«</w:t>
      </w:r>
      <w:r w:rsidRPr="00F61FF3">
        <w:rPr>
          <w:rFonts w:ascii="Arial" w:eastAsia="Calibri" w:hAnsi="Arial" w:cs="Arial"/>
          <w:color w:val="000000" w:themeColor="text1"/>
          <w:sz w:val="22"/>
          <w:lang w:val="es-ES"/>
        </w:rPr>
        <w:t>¿</w:t>
      </w:r>
      <w:r w:rsidR="00F474CD" w:rsidRPr="00F61FF3">
        <w:rPr>
          <w:rFonts w:ascii="Arial" w:eastAsia="Calibri" w:hAnsi="Arial" w:cs="Arial"/>
          <w:color w:val="000000" w:themeColor="text1"/>
          <w:sz w:val="22"/>
          <w:lang w:val="es-ES"/>
        </w:rPr>
        <w:t>A partir de qu</w:t>
      </w:r>
      <w:r w:rsidR="00966F65">
        <w:rPr>
          <w:rFonts w:ascii="Arial" w:eastAsia="Calibri" w:hAnsi="Arial" w:cs="Arial"/>
          <w:color w:val="000000" w:themeColor="text1"/>
          <w:sz w:val="22"/>
          <w:lang w:val="es-ES"/>
        </w:rPr>
        <w:t>é</w:t>
      </w:r>
      <w:r w:rsidR="00F474CD" w:rsidRPr="00F61FF3">
        <w:rPr>
          <w:rFonts w:ascii="Arial" w:eastAsia="Calibri" w:hAnsi="Arial" w:cs="Arial"/>
          <w:color w:val="000000" w:themeColor="text1"/>
          <w:sz w:val="22"/>
          <w:lang w:val="es-ES"/>
        </w:rPr>
        <w:t xml:space="preserve"> fecha se hace exigible el uso de SECOP II para una </w:t>
      </w:r>
      <w:r w:rsidR="00966F65" w:rsidRPr="00F61FF3">
        <w:rPr>
          <w:rFonts w:ascii="Arial" w:eastAsia="Calibri" w:hAnsi="Arial" w:cs="Arial"/>
          <w:color w:val="000000" w:themeColor="text1"/>
          <w:sz w:val="22"/>
          <w:lang w:val="es-ES"/>
        </w:rPr>
        <w:t>empresa industrial y comercial del estado</w:t>
      </w:r>
      <w:r w:rsidRPr="00F61FF3">
        <w:rPr>
          <w:rFonts w:ascii="Arial" w:eastAsia="Calibri" w:hAnsi="Arial" w:cs="Arial"/>
          <w:color w:val="000000" w:themeColor="text1"/>
          <w:sz w:val="22"/>
          <w:lang w:val="es-ES"/>
        </w:rPr>
        <w:t>?</w:t>
      </w:r>
      <w:r w:rsidR="00966F65">
        <w:rPr>
          <w:rFonts w:ascii="Arial" w:eastAsia="Calibri" w:hAnsi="Arial" w:cs="Arial"/>
          <w:color w:val="000000" w:themeColor="text1"/>
          <w:sz w:val="22"/>
          <w:lang w:val="es-ES"/>
        </w:rPr>
        <w:t>»</w:t>
      </w:r>
      <w:r w:rsidRPr="00F61FF3">
        <w:rPr>
          <w:rFonts w:ascii="Arial" w:eastAsia="Calibri" w:hAnsi="Arial" w:cs="Arial"/>
          <w:color w:val="000000" w:themeColor="text1"/>
          <w:sz w:val="22"/>
          <w:lang w:val="es-ES"/>
        </w:rPr>
        <w:t xml:space="preserve"> </w:t>
      </w:r>
      <w:r w:rsidRPr="00F61FF3">
        <w:rPr>
          <w:rFonts w:ascii="Arial" w:eastAsia="Calibri" w:hAnsi="Arial" w:cs="Arial"/>
          <w:b/>
          <w:color w:val="000000" w:themeColor="text1"/>
          <w:sz w:val="22"/>
          <w:lang w:val="es-ES"/>
        </w:rPr>
        <w:t xml:space="preserve"> </w:t>
      </w:r>
      <w:proofErr w:type="spellStart"/>
      <w:r w:rsidRPr="00F61FF3">
        <w:rPr>
          <w:rFonts w:ascii="Arial" w:eastAsia="Calibri" w:hAnsi="Arial" w:cs="Arial"/>
          <w:color w:val="000000" w:themeColor="text1"/>
          <w:sz w:val="22"/>
          <w:lang w:val="es-ES"/>
        </w:rPr>
        <w:t>ii</w:t>
      </w:r>
      <w:proofErr w:type="spellEnd"/>
      <w:r w:rsidRPr="00F61FF3">
        <w:rPr>
          <w:rFonts w:ascii="Arial" w:eastAsia="Calibri" w:hAnsi="Arial" w:cs="Arial"/>
          <w:color w:val="000000" w:themeColor="text1"/>
          <w:sz w:val="22"/>
          <w:lang w:val="es-ES"/>
        </w:rPr>
        <w:t xml:space="preserve">) </w:t>
      </w:r>
      <w:r w:rsidR="00966F65">
        <w:rPr>
          <w:rFonts w:ascii="Arial" w:eastAsia="Calibri" w:hAnsi="Arial" w:cs="Arial"/>
          <w:color w:val="000000" w:themeColor="text1"/>
          <w:sz w:val="22"/>
          <w:lang w:val="es-ES"/>
        </w:rPr>
        <w:t>«</w:t>
      </w:r>
      <w:r w:rsidR="00F474CD" w:rsidRPr="00F61FF3">
        <w:rPr>
          <w:rFonts w:ascii="Arial" w:eastAsia="Calibri" w:hAnsi="Arial" w:cs="Arial"/>
          <w:color w:val="000000" w:themeColor="text1"/>
          <w:sz w:val="22"/>
          <w:lang w:val="es-ES"/>
        </w:rPr>
        <w:t>¿Cuál es el régimen normativo contractual para los trámites de contratación con recursos del Banco Mundial</w:t>
      </w:r>
      <w:r w:rsidR="00966F65">
        <w:rPr>
          <w:rFonts w:ascii="Arial" w:eastAsia="Calibri" w:hAnsi="Arial" w:cs="Arial"/>
          <w:color w:val="000000" w:themeColor="text1"/>
          <w:sz w:val="22"/>
          <w:lang w:val="es-ES"/>
        </w:rPr>
        <w:t>, opera la Ley 80 de 1993</w:t>
      </w:r>
      <w:r w:rsidR="00F474CD" w:rsidRPr="00F61FF3">
        <w:rPr>
          <w:rFonts w:ascii="Arial" w:eastAsia="Calibri" w:hAnsi="Arial" w:cs="Arial"/>
          <w:color w:val="000000" w:themeColor="text1"/>
          <w:sz w:val="22"/>
          <w:lang w:val="es-ES"/>
        </w:rPr>
        <w:t>?</w:t>
      </w:r>
      <w:r w:rsidR="00966F65">
        <w:rPr>
          <w:rFonts w:ascii="Arial" w:eastAsia="Calibri" w:hAnsi="Arial" w:cs="Arial"/>
          <w:color w:val="000000" w:themeColor="text1"/>
          <w:sz w:val="22"/>
          <w:lang w:val="es-ES"/>
        </w:rPr>
        <w:t>».</w:t>
      </w:r>
    </w:p>
    <w:p w14:paraId="125B44AC" w14:textId="77777777" w:rsidR="002345FC" w:rsidRPr="00F61FF3" w:rsidRDefault="002345FC" w:rsidP="0028568A">
      <w:pPr>
        <w:spacing w:line="276" w:lineRule="auto"/>
        <w:jc w:val="both"/>
        <w:rPr>
          <w:rFonts w:ascii="Arial" w:eastAsia="Calibri" w:hAnsi="Arial" w:cs="Arial"/>
          <w:color w:val="000000" w:themeColor="text1"/>
          <w:sz w:val="22"/>
          <w:lang w:val="es-ES"/>
        </w:rPr>
      </w:pPr>
    </w:p>
    <w:p w14:paraId="63D87071" w14:textId="10DBE534" w:rsidR="0028568A" w:rsidRPr="00F61FF3" w:rsidRDefault="00EE01A6" w:rsidP="0028568A">
      <w:pPr>
        <w:pStyle w:val="Prrafodelista"/>
        <w:numPr>
          <w:ilvl w:val="0"/>
          <w:numId w:val="7"/>
        </w:numPr>
        <w:ind w:left="284" w:hanging="284"/>
        <w:jc w:val="both"/>
        <w:rPr>
          <w:rFonts w:ascii="Arial" w:eastAsia="Calibri" w:hAnsi="Arial" w:cs="Arial"/>
          <w:color w:val="000000" w:themeColor="text1"/>
          <w:sz w:val="22"/>
        </w:rPr>
      </w:pPr>
      <w:r w:rsidRPr="00F61FF3">
        <w:rPr>
          <w:rFonts w:ascii="Arial" w:eastAsia="Calibri" w:hAnsi="Arial" w:cs="Arial"/>
          <w:b/>
          <w:color w:val="000000" w:themeColor="text1"/>
          <w:sz w:val="22"/>
        </w:rPr>
        <w:t>Consideraciones</w:t>
      </w:r>
    </w:p>
    <w:p w14:paraId="2030C7EB" w14:textId="691A8951" w:rsidR="0028568A" w:rsidRDefault="0028568A" w:rsidP="0028568A">
      <w:pPr>
        <w:spacing w:line="276" w:lineRule="auto"/>
        <w:jc w:val="both"/>
        <w:rPr>
          <w:rFonts w:ascii="Arial" w:eastAsia="Calibri" w:hAnsi="Arial" w:cs="Arial"/>
          <w:color w:val="000000" w:themeColor="text1"/>
          <w:sz w:val="22"/>
          <w:lang w:val="es-ES"/>
        </w:rPr>
      </w:pPr>
      <w:r w:rsidRPr="00F61FF3">
        <w:rPr>
          <w:rFonts w:ascii="Arial" w:eastAsia="Calibri" w:hAnsi="Arial" w:cs="Arial"/>
          <w:color w:val="000000" w:themeColor="text1"/>
          <w:sz w:val="22"/>
          <w:lang w:val="es-ES"/>
        </w:rPr>
        <w:t>Para desarrollar los problemas planteados se explicará, en primer lugar, cómo el SECOP es la plataforma que las entidades deben utilizar para publicar la actividad contractual, para luego determinar los documentos contractuales que deben publicar las Empresas Industriales y Comerciales del Estado en el SECOP I y</w:t>
      </w:r>
      <w:r w:rsidR="00847F8D">
        <w:rPr>
          <w:rFonts w:ascii="Arial" w:eastAsia="Calibri" w:hAnsi="Arial" w:cs="Arial"/>
          <w:color w:val="000000" w:themeColor="text1"/>
          <w:sz w:val="22"/>
          <w:lang w:val="es-ES"/>
        </w:rPr>
        <w:t>,</w:t>
      </w:r>
      <w:r w:rsidRPr="00F61FF3">
        <w:rPr>
          <w:rFonts w:ascii="Arial" w:eastAsia="Calibri" w:hAnsi="Arial" w:cs="Arial"/>
          <w:color w:val="000000" w:themeColor="text1"/>
          <w:sz w:val="22"/>
          <w:lang w:val="es-ES"/>
        </w:rPr>
        <w:t xml:space="preserve"> por último, indicar el momento de su publicación. En segundo lugar, </w:t>
      </w:r>
      <w:r w:rsidR="00CA1549" w:rsidRPr="00F61FF3">
        <w:rPr>
          <w:rFonts w:ascii="Arial" w:eastAsia="Calibri" w:hAnsi="Arial" w:cs="Arial"/>
          <w:color w:val="000000" w:themeColor="text1"/>
          <w:sz w:val="22"/>
          <w:lang w:val="es-ES"/>
        </w:rPr>
        <w:t>se analizará el régimen de contratación con organismos internacionales</w:t>
      </w:r>
      <w:r w:rsidR="00847F8D">
        <w:rPr>
          <w:rFonts w:ascii="Arial" w:eastAsia="Calibri" w:hAnsi="Arial" w:cs="Arial"/>
          <w:color w:val="000000" w:themeColor="text1"/>
          <w:sz w:val="22"/>
          <w:lang w:val="es-ES"/>
        </w:rPr>
        <w:t>.</w:t>
      </w:r>
      <w:r w:rsidR="00CA1549" w:rsidRPr="00F61FF3">
        <w:rPr>
          <w:rFonts w:ascii="Arial" w:eastAsia="Calibri" w:hAnsi="Arial" w:cs="Arial"/>
          <w:color w:val="000000" w:themeColor="text1"/>
          <w:sz w:val="22"/>
          <w:lang w:val="es-ES"/>
        </w:rPr>
        <w:t xml:space="preserve"> </w:t>
      </w:r>
    </w:p>
    <w:p w14:paraId="342F115A" w14:textId="77777777" w:rsidR="002345FC" w:rsidRPr="00F61FF3" w:rsidRDefault="002345FC" w:rsidP="0028568A">
      <w:pPr>
        <w:spacing w:line="276" w:lineRule="auto"/>
        <w:jc w:val="both"/>
        <w:rPr>
          <w:rFonts w:ascii="Arial" w:eastAsia="Calibri" w:hAnsi="Arial" w:cs="Arial"/>
          <w:color w:val="000000" w:themeColor="text1"/>
          <w:sz w:val="22"/>
          <w:lang w:val="es-ES"/>
        </w:rPr>
      </w:pPr>
    </w:p>
    <w:p w14:paraId="5E3A5875" w14:textId="0CB978E6" w:rsidR="0028568A" w:rsidRDefault="0028568A" w:rsidP="00EE01A6">
      <w:pPr>
        <w:tabs>
          <w:tab w:val="left" w:pos="426"/>
        </w:tabs>
        <w:jc w:val="both"/>
        <w:rPr>
          <w:rFonts w:ascii="Arial" w:eastAsia="Calibri" w:hAnsi="Arial" w:cs="Arial"/>
          <w:b/>
          <w:color w:val="000000" w:themeColor="text1"/>
          <w:sz w:val="22"/>
          <w:lang w:val="es-ES"/>
        </w:rPr>
      </w:pPr>
      <w:r w:rsidRPr="00F61FF3">
        <w:rPr>
          <w:rFonts w:ascii="Arial" w:eastAsia="Calibri" w:hAnsi="Arial" w:cs="Arial"/>
          <w:b/>
          <w:color w:val="000000" w:themeColor="text1"/>
          <w:sz w:val="22"/>
          <w:lang w:val="es-ES"/>
        </w:rPr>
        <w:t>2.1. Publicidad de los contratos en el Sistema Electrónico de Contratación Pública –SECOP–</w:t>
      </w:r>
    </w:p>
    <w:p w14:paraId="425FC2CE" w14:textId="77777777" w:rsidR="002345FC" w:rsidRPr="00F61FF3" w:rsidRDefault="002345FC" w:rsidP="00EE01A6">
      <w:pPr>
        <w:tabs>
          <w:tab w:val="left" w:pos="426"/>
        </w:tabs>
        <w:jc w:val="both"/>
        <w:rPr>
          <w:rFonts w:ascii="Arial" w:eastAsia="Calibri" w:hAnsi="Arial" w:cs="Arial"/>
          <w:b/>
          <w:color w:val="000000" w:themeColor="text1"/>
          <w:sz w:val="22"/>
          <w:lang w:val="es-ES"/>
        </w:rPr>
      </w:pPr>
    </w:p>
    <w:p w14:paraId="6C9B6A76" w14:textId="0C435324" w:rsidR="002345FC" w:rsidRDefault="0028568A" w:rsidP="005E6453">
      <w:pPr>
        <w:spacing w:after="120" w:line="276" w:lineRule="auto"/>
        <w:jc w:val="both"/>
        <w:rPr>
          <w:rFonts w:ascii="Arial" w:hAnsi="Arial" w:cs="Arial"/>
          <w:color w:val="000000" w:themeColor="text1"/>
          <w:sz w:val="22"/>
          <w:lang w:val="es-ES"/>
        </w:rPr>
      </w:pPr>
      <w:r w:rsidRPr="00F61FF3">
        <w:rPr>
          <w:rFonts w:ascii="Arial" w:eastAsia="Calibri" w:hAnsi="Arial" w:cs="Arial"/>
          <w:bCs/>
          <w:color w:val="000000" w:themeColor="text1"/>
          <w:sz w:val="22"/>
          <w:lang w:val="es-ES"/>
        </w:rPr>
        <w:t xml:space="preserve">La Agencia Nacional de </w:t>
      </w:r>
      <w:r w:rsidRPr="005F004A">
        <w:rPr>
          <w:rFonts w:ascii="Arial" w:eastAsia="Calibri" w:hAnsi="Arial" w:cs="Arial"/>
          <w:bCs/>
          <w:color w:val="000000" w:themeColor="text1"/>
          <w:sz w:val="22"/>
          <w:lang w:val="es-ES"/>
        </w:rPr>
        <w:t xml:space="preserve">Contratación Pública </w:t>
      </w:r>
      <w:r w:rsidR="005E6453" w:rsidRPr="005F004A">
        <w:rPr>
          <w:rFonts w:ascii="Arial" w:eastAsia="Calibri" w:hAnsi="Arial" w:cs="Arial"/>
          <w:bCs/>
          <w:sz w:val="22"/>
        </w:rPr>
        <w:t xml:space="preserve">estudió el deber de publicidad de las actuaciones contractuales de las entidades con régimen especial de contratación, en el concepto con radicado No. 4201913000005397 del 9 de agosto de 2019, posición que reiteró y desarrolló en los siguientes conceptos: 4201912000006611 del 25 de septiembre de 2019, </w:t>
      </w:r>
      <w:r w:rsidR="005E6453" w:rsidRPr="005F004A">
        <w:rPr>
          <w:rFonts w:ascii="Arial" w:eastAsia="Calibri" w:hAnsi="Arial" w:cs="Arial"/>
          <w:sz w:val="22"/>
        </w:rPr>
        <w:t xml:space="preserve">4201913000006847 del 4 de octubre de 2019, </w:t>
      </w:r>
      <w:r w:rsidR="005E6453" w:rsidRPr="005F004A">
        <w:rPr>
          <w:rFonts w:ascii="Arial" w:eastAsia="Calibri" w:hAnsi="Arial" w:cs="Arial"/>
          <w:bCs/>
          <w:sz w:val="22"/>
        </w:rPr>
        <w:t>4201912000007828 del 13 de noviembre de 2019,</w:t>
      </w:r>
      <w:r w:rsidR="005E6453" w:rsidRPr="005F004A">
        <w:rPr>
          <w:rFonts w:ascii="Arial" w:eastAsia="Calibri" w:hAnsi="Arial" w:cs="Arial"/>
          <w:sz w:val="22"/>
        </w:rPr>
        <w:t xml:space="preserve"> </w:t>
      </w:r>
      <w:r w:rsidR="005E6453" w:rsidRPr="005F004A">
        <w:rPr>
          <w:rFonts w:ascii="Arial" w:eastAsia="Calibri" w:hAnsi="Arial" w:cs="Arial"/>
          <w:bCs/>
          <w:sz w:val="22"/>
        </w:rPr>
        <w:t>4201912000007762 del 18 de noviembre de 2019</w:t>
      </w:r>
      <w:r w:rsidR="005F004A">
        <w:rPr>
          <w:rFonts w:ascii="Arial" w:eastAsia="Calibri" w:hAnsi="Arial" w:cs="Arial"/>
          <w:bCs/>
          <w:sz w:val="22"/>
        </w:rPr>
        <w:t xml:space="preserve">; las posturas anteriores </w:t>
      </w:r>
      <w:r w:rsidR="005E6453" w:rsidRPr="005F004A">
        <w:rPr>
          <w:rFonts w:ascii="Arial" w:eastAsia="Calibri" w:hAnsi="Arial" w:cs="Arial"/>
          <w:sz w:val="22"/>
        </w:rPr>
        <w:t>fueron unificadas en el concepto CU</w:t>
      </w:r>
      <w:r w:rsidR="005F004A">
        <w:rPr>
          <w:rFonts w:ascii="Arial" w:eastAsia="Calibri" w:hAnsi="Arial" w:cs="Arial"/>
          <w:sz w:val="22"/>
        </w:rPr>
        <w:t>–</w:t>
      </w:r>
      <w:r w:rsidR="005E6453" w:rsidRPr="005F004A">
        <w:rPr>
          <w:rFonts w:ascii="Arial" w:eastAsia="Calibri" w:hAnsi="Arial" w:cs="Arial"/>
          <w:sz w:val="22"/>
        </w:rPr>
        <w:t>003 de 3 de enero de 2020, confirmado en los conceptos C</w:t>
      </w:r>
      <w:r w:rsidR="005F004A">
        <w:rPr>
          <w:rFonts w:ascii="Arial" w:eastAsia="Calibri" w:hAnsi="Arial" w:cs="Arial"/>
          <w:sz w:val="22"/>
        </w:rPr>
        <w:t>–</w:t>
      </w:r>
      <w:r w:rsidR="005E6453" w:rsidRPr="005F004A">
        <w:rPr>
          <w:rFonts w:ascii="Arial" w:eastAsia="Calibri" w:hAnsi="Arial" w:cs="Arial"/>
          <w:sz w:val="22"/>
        </w:rPr>
        <w:t>061 de 21 de enero de 2020, C</w:t>
      </w:r>
      <w:r w:rsidR="005F004A">
        <w:rPr>
          <w:rFonts w:ascii="Arial" w:eastAsia="Calibri" w:hAnsi="Arial" w:cs="Arial"/>
          <w:sz w:val="22"/>
        </w:rPr>
        <w:t>–</w:t>
      </w:r>
      <w:r w:rsidR="005E6453" w:rsidRPr="005F004A">
        <w:rPr>
          <w:rFonts w:ascii="Arial" w:eastAsia="Calibri" w:hAnsi="Arial" w:cs="Arial"/>
          <w:sz w:val="22"/>
        </w:rPr>
        <w:t>115 de 11 de febrero de 2020, C</w:t>
      </w:r>
      <w:r w:rsidR="005F004A">
        <w:rPr>
          <w:rFonts w:ascii="Arial" w:eastAsia="Calibri" w:hAnsi="Arial" w:cs="Arial"/>
          <w:sz w:val="22"/>
        </w:rPr>
        <w:t>–</w:t>
      </w:r>
      <w:r w:rsidR="005E6453" w:rsidRPr="005F004A">
        <w:rPr>
          <w:rFonts w:ascii="Arial" w:eastAsia="Calibri" w:hAnsi="Arial" w:cs="Arial"/>
          <w:sz w:val="22"/>
        </w:rPr>
        <w:t>149 de 14 de febrero de 2020,  C</w:t>
      </w:r>
      <w:r w:rsidR="005F004A">
        <w:rPr>
          <w:rFonts w:ascii="Arial" w:eastAsia="Calibri" w:hAnsi="Arial" w:cs="Arial"/>
          <w:sz w:val="22"/>
        </w:rPr>
        <w:t>–</w:t>
      </w:r>
      <w:r w:rsidR="005E6453" w:rsidRPr="005F004A">
        <w:rPr>
          <w:rFonts w:ascii="Arial" w:eastAsia="Calibri" w:hAnsi="Arial" w:cs="Arial"/>
          <w:sz w:val="22"/>
        </w:rPr>
        <w:t>312 del 6 de mayo de 2020 y C</w:t>
      </w:r>
      <w:r w:rsidR="005F004A">
        <w:rPr>
          <w:rFonts w:ascii="Arial" w:eastAsia="Calibri" w:hAnsi="Arial" w:cs="Arial"/>
          <w:sz w:val="22"/>
        </w:rPr>
        <w:t>–</w:t>
      </w:r>
      <w:r w:rsidR="005E6453" w:rsidRPr="005F004A">
        <w:rPr>
          <w:rFonts w:ascii="Arial" w:eastAsia="Calibri" w:hAnsi="Arial" w:cs="Arial"/>
          <w:sz w:val="22"/>
        </w:rPr>
        <w:t>346 del 26 de mayo de 2020</w:t>
      </w:r>
      <w:r w:rsidR="005E6453" w:rsidRPr="005F004A">
        <w:rPr>
          <w:rFonts w:ascii="Arial" w:eastAsia="Calibri" w:hAnsi="Arial" w:cs="Arial"/>
          <w:bCs/>
          <w:sz w:val="22"/>
        </w:rPr>
        <w:t>. Dicha postura se reitera a continuación.</w:t>
      </w:r>
    </w:p>
    <w:p w14:paraId="0626587D" w14:textId="21502FF3" w:rsidR="002345FC" w:rsidRPr="002345FC" w:rsidRDefault="0028568A" w:rsidP="002345FC">
      <w:pPr>
        <w:spacing w:after="240" w:line="276" w:lineRule="auto"/>
        <w:ind w:firstLine="709"/>
        <w:jc w:val="both"/>
        <w:rPr>
          <w:rFonts w:ascii="Arial" w:hAnsi="Arial" w:cs="Arial"/>
          <w:color w:val="000000" w:themeColor="text1"/>
          <w:sz w:val="22"/>
          <w:lang w:val="es-ES"/>
        </w:rPr>
      </w:pPr>
      <w:r w:rsidRPr="00F61FF3">
        <w:rPr>
          <w:rFonts w:ascii="Arial" w:eastAsia="Calibri" w:hAnsi="Arial" w:cs="Arial"/>
          <w:color w:val="000000" w:themeColor="text1"/>
          <w:sz w:val="22"/>
          <w:lang w:val="es-ES"/>
        </w:rPr>
        <w:lastRenderedPageBreak/>
        <w:t xml:space="preserve">Para la Corte Constitucional, el principio de publicidad es la garantía que tienen las personas de conocer las actuaciones judiciales y administrativas y con base en ese conocimiento tener la posibilidad de exigir que se surtan conforme a la ley: </w:t>
      </w:r>
    </w:p>
    <w:p w14:paraId="68E0D50E" w14:textId="77777777" w:rsidR="0028568A" w:rsidRPr="00F61FF3" w:rsidRDefault="0028568A" w:rsidP="00A03891">
      <w:pPr>
        <w:tabs>
          <w:tab w:val="left" w:pos="3885"/>
        </w:tabs>
        <w:ind w:left="709" w:right="709"/>
        <w:jc w:val="both"/>
        <w:rPr>
          <w:rFonts w:ascii="Arial" w:hAnsi="Arial" w:cs="Arial"/>
          <w:color w:val="000000" w:themeColor="text1"/>
          <w:sz w:val="21"/>
          <w:szCs w:val="21"/>
          <w:lang w:val="es-ES"/>
        </w:rPr>
      </w:pPr>
      <w:r w:rsidRPr="00F61FF3">
        <w:rPr>
          <w:rFonts w:ascii="Arial" w:hAnsi="Arial" w:cs="Arial"/>
          <w:color w:val="000000" w:themeColor="text1"/>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145A5713" w14:textId="77777777" w:rsidR="0028568A" w:rsidRPr="00F61FF3" w:rsidRDefault="0028568A" w:rsidP="00840218">
      <w:pPr>
        <w:tabs>
          <w:tab w:val="left" w:pos="3885"/>
        </w:tabs>
        <w:ind w:left="709" w:right="709"/>
        <w:jc w:val="both"/>
        <w:rPr>
          <w:rFonts w:ascii="Arial" w:hAnsi="Arial" w:cs="Arial"/>
          <w:color w:val="000000" w:themeColor="text1"/>
          <w:sz w:val="21"/>
          <w:szCs w:val="21"/>
          <w:lang w:val="es-ES"/>
        </w:rPr>
      </w:pPr>
    </w:p>
    <w:p w14:paraId="5716CA5D" w14:textId="1C4C3327" w:rsidR="0028568A" w:rsidRDefault="0028568A" w:rsidP="00C37908">
      <w:pPr>
        <w:tabs>
          <w:tab w:val="left" w:pos="3885"/>
          <w:tab w:val="left" w:pos="8222"/>
        </w:tabs>
        <w:ind w:left="709" w:right="709"/>
        <w:jc w:val="both"/>
        <w:rPr>
          <w:rFonts w:ascii="Arial" w:eastAsia="Calibri" w:hAnsi="Arial" w:cs="Arial"/>
          <w:color w:val="000000" w:themeColor="text1"/>
          <w:sz w:val="21"/>
          <w:szCs w:val="21"/>
          <w:lang w:val="es-ES"/>
        </w:rPr>
      </w:pPr>
      <w:r w:rsidRPr="00F61FF3">
        <w:rPr>
          <w:rFonts w:ascii="Arial" w:hAnsi="Arial" w:cs="Arial"/>
          <w:color w:val="000000" w:themeColor="text1"/>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F61FF3">
        <w:rPr>
          <w:rFonts w:ascii="Arial" w:hAnsi="Arial" w:cs="Arial"/>
          <w:color w:val="000000" w:themeColor="text1"/>
          <w:sz w:val="21"/>
          <w:szCs w:val="21"/>
          <w:lang w:val="es-ES"/>
        </w:rPr>
        <w:t>autoridades públicas</w:t>
      </w:r>
      <w:proofErr w:type="gramEnd"/>
      <w:r w:rsidRPr="00F61FF3">
        <w:rPr>
          <w:rFonts w:ascii="Arial" w:hAnsi="Arial" w:cs="Arial"/>
          <w:color w:val="000000" w:themeColor="text1"/>
          <w:sz w:val="21"/>
          <w:szCs w:val="21"/>
          <w:lang w:val="es-ES"/>
        </w:rPr>
        <w:t xml:space="preserve"> y, a través de ese conocimiento, a exigir que ellas se surtan conforme a la ley</w:t>
      </w:r>
      <w:r w:rsidRPr="00F61FF3">
        <w:rPr>
          <w:rStyle w:val="Refdenotaalpie"/>
          <w:rFonts w:ascii="Arial" w:eastAsia="Calibri" w:hAnsi="Arial" w:cs="Arial"/>
          <w:color w:val="000000" w:themeColor="text1"/>
          <w:sz w:val="21"/>
          <w:szCs w:val="21"/>
          <w:lang w:val="es-ES"/>
        </w:rPr>
        <w:footnoteReference w:id="1"/>
      </w:r>
      <w:r w:rsidRPr="00F61FF3">
        <w:rPr>
          <w:rFonts w:ascii="Arial" w:eastAsia="Calibri" w:hAnsi="Arial" w:cs="Arial"/>
          <w:color w:val="000000" w:themeColor="text1"/>
          <w:sz w:val="21"/>
          <w:szCs w:val="21"/>
          <w:lang w:val="es-ES"/>
        </w:rPr>
        <w:t>.</w:t>
      </w:r>
    </w:p>
    <w:p w14:paraId="325329A6" w14:textId="77777777" w:rsidR="002345FC" w:rsidRPr="00F61FF3" w:rsidRDefault="002345FC" w:rsidP="00EE01A6">
      <w:pPr>
        <w:tabs>
          <w:tab w:val="left" w:pos="3885"/>
          <w:tab w:val="left" w:pos="8222"/>
        </w:tabs>
        <w:spacing w:line="276" w:lineRule="auto"/>
        <w:ind w:left="709" w:right="709"/>
        <w:jc w:val="both"/>
        <w:rPr>
          <w:rFonts w:ascii="Arial" w:hAnsi="Arial" w:cs="Arial"/>
          <w:color w:val="000000" w:themeColor="text1"/>
          <w:sz w:val="22"/>
          <w:lang w:val="es-ES"/>
        </w:rPr>
      </w:pPr>
    </w:p>
    <w:p w14:paraId="205E2FBF" w14:textId="77777777" w:rsidR="0028568A" w:rsidRPr="00F61FF3" w:rsidRDefault="0028568A" w:rsidP="002345FC">
      <w:pPr>
        <w:spacing w:after="120" w:line="276" w:lineRule="auto"/>
        <w:ind w:firstLine="709"/>
        <w:jc w:val="both"/>
        <w:rPr>
          <w:rFonts w:ascii="Arial" w:eastAsia="Calibri" w:hAnsi="Arial" w:cs="Arial"/>
          <w:color w:val="000000" w:themeColor="text1"/>
          <w:sz w:val="22"/>
          <w:lang w:val="es-ES"/>
        </w:rPr>
      </w:pPr>
      <w:r w:rsidRPr="00F61FF3">
        <w:rPr>
          <w:rFonts w:ascii="Arial" w:eastAsia="Calibri" w:hAnsi="Arial" w:cs="Arial"/>
          <w:color w:val="000000" w:themeColor="text1"/>
          <w:sz w:val="22"/>
          <w:lang w:val="es-ES"/>
        </w:rPr>
        <w:t xml:space="preserve">El principio de publicidad impone a las autoridades administrativas el deber de dar a conocer sus actos, contratos y decisiones, para que se divulguen y eventualmente se controlen las actuaciones. </w:t>
      </w:r>
    </w:p>
    <w:p w14:paraId="585A83AF" w14:textId="77777777" w:rsidR="0028568A" w:rsidRPr="00F61FF3" w:rsidRDefault="0028568A" w:rsidP="002345FC">
      <w:pPr>
        <w:spacing w:after="120" w:line="276" w:lineRule="auto"/>
        <w:ind w:firstLine="709"/>
        <w:jc w:val="both"/>
        <w:rPr>
          <w:rFonts w:ascii="Arial" w:eastAsia="Calibri" w:hAnsi="Arial" w:cs="Arial"/>
          <w:color w:val="000000" w:themeColor="text1"/>
          <w:sz w:val="22"/>
          <w:lang w:val="es-ES"/>
        </w:rPr>
      </w:pPr>
      <w:r w:rsidRPr="00F61FF3">
        <w:rPr>
          <w:rFonts w:ascii="Arial" w:eastAsia="Calibri" w:hAnsi="Arial" w:cs="Arial"/>
          <w:color w:val="000000" w:themeColor="text1"/>
          <w:sz w:val="22"/>
          <w:lang w:val="es-ES"/>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F61FF3">
        <w:rPr>
          <w:rStyle w:val="Refdenotaalpie"/>
          <w:rFonts w:ascii="Arial" w:eastAsia="Calibri" w:hAnsi="Arial" w:cs="Arial"/>
          <w:color w:val="000000" w:themeColor="text1"/>
          <w:sz w:val="22"/>
          <w:lang w:val="es-ES"/>
        </w:rPr>
        <w:footnoteReference w:id="2"/>
      </w:r>
      <w:r w:rsidRPr="00F61FF3">
        <w:rPr>
          <w:rFonts w:ascii="Arial" w:eastAsia="Calibri" w:hAnsi="Arial" w:cs="Arial"/>
          <w:color w:val="000000" w:themeColor="text1"/>
          <w:sz w:val="22"/>
          <w:lang w:val="es-ES"/>
        </w:rPr>
        <w:t xml:space="preserve">. </w:t>
      </w:r>
    </w:p>
    <w:p w14:paraId="237AAD7D" w14:textId="77777777" w:rsidR="0028568A" w:rsidRPr="00F61FF3" w:rsidRDefault="0028568A" w:rsidP="002345FC">
      <w:pPr>
        <w:spacing w:after="120" w:line="276" w:lineRule="auto"/>
        <w:ind w:firstLine="709"/>
        <w:jc w:val="both"/>
        <w:rPr>
          <w:rFonts w:ascii="Arial" w:eastAsia="Calibri" w:hAnsi="Arial" w:cs="Arial"/>
          <w:color w:val="000000" w:themeColor="text1"/>
          <w:sz w:val="22"/>
          <w:lang w:val="es-ES"/>
        </w:rPr>
      </w:pPr>
      <w:r w:rsidRPr="00F61FF3">
        <w:rPr>
          <w:rFonts w:ascii="Arial" w:hAnsi="Arial" w:cs="Arial"/>
          <w:color w:val="000000" w:themeColor="text1"/>
          <w:sz w:val="22"/>
          <w:lang w:val="es-ES"/>
        </w:rPr>
        <w:t xml:space="preserve">De otra parte, la Ley 1712 de 2014, por medio de la cual se crea la Ley de Transparencia y del Derecho de Acceso a la Información Pública Nacional y se dictan otras </w:t>
      </w:r>
      <w:r w:rsidRPr="00F61FF3">
        <w:rPr>
          <w:rFonts w:ascii="Arial" w:hAnsi="Arial" w:cs="Arial"/>
          <w:color w:val="000000" w:themeColor="text1"/>
          <w:sz w:val="22"/>
          <w:lang w:val="es-ES"/>
        </w:rPr>
        <w:lastRenderedPageBreak/>
        <w:t>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F61FF3">
        <w:rPr>
          <w:rStyle w:val="Refdenotaalpie"/>
          <w:rFonts w:ascii="Arial" w:hAnsi="Arial" w:cs="Arial"/>
          <w:color w:val="000000" w:themeColor="text1"/>
          <w:sz w:val="22"/>
          <w:lang w:val="es-ES"/>
        </w:rPr>
        <w:footnoteReference w:id="3"/>
      </w:r>
      <w:r w:rsidRPr="00F61FF3">
        <w:rPr>
          <w:rFonts w:ascii="Arial" w:hAnsi="Arial" w:cs="Arial"/>
          <w:color w:val="000000" w:themeColor="text1"/>
          <w:sz w:val="22"/>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14:paraId="345E50E1" w14:textId="77777777" w:rsidR="0028568A" w:rsidRPr="00F61FF3" w:rsidRDefault="0028568A" w:rsidP="002345FC">
      <w:pPr>
        <w:pStyle w:val="NormalWeb"/>
        <w:spacing w:before="0" w:beforeAutospacing="0" w:after="120" w:afterAutospacing="0"/>
        <w:ind w:firstLine="709"/>
        <w:jc w:val="both"/>
        <w:rPr>
          <w:rFonts w:ascii="Arial" w:eastAsiaTheme="minorHAnsi" w:hAnsi="Arial" w:cs="Arial"/>
          <w:color w:val="000000" w:themeColor="text1"/>
          <w:sz w:val="22"/>
          <w:szCs w:val="22"/>
          <w:lang w:eastAsia="en-US"/>
        </w:rPr>
      </w:pPr>
      <w:r w:rsidRPr="00F61FF3">
        <w:rPr>
          <w:rFonts w:ascii="Arial" w:eastAsiaTheme="minorHAnsi" w:hAnsi="Arial" w:cs="Arial"/>
          <w:color w:val="000000" w:themeColor="text1"/>
          <w:sz w:val="22"/>
          <w:szCs w:val="22"/>
          <w:lang w:eastAsia="en-US"/>
        </w:rPr>
        <w:t>La ley citada establece, en el literal e) del artículo 9, que los sujetos obligados, que son todas las entidades públicas</w:t>
      </w:r>
      <w:r w:rsidRPr="00F61FF3">
        <w:rPr>
          <w:rStyle w:val="Refdenotaalpie"/>
          <w:rFonts w:ascii="Arial" w:eastAsiaTheme="minorHAnsi" w:hAnsi="Arial" w:cs="Arial"/>
          <w:color w:val="000000" w:themeColor="text1"/>
          <w:sz w:val="22"/>
          <w:szCs w:val="22"/>
          <w:lang w:eastAsia="en-US"/>
        </w:rPr>
        <w:footnoteReference w:id="4"/>
      </w:r>
      <w:r w:rsidRPr="00F61FF3">
        <w:rPr>
          <w:rFonts w:ascii="Arial" w:eastAsiaTheme="minorHAnsi" w:hAnsi="Arial" w:cs="Arial"/>
          <w:color w:val="000000" w:themeColor="text1"/>
          <w:sz w:val="22"/>
          <w:szCs w:val="22"/>
          <w:lang w:eastAsia="en-US"/>
        </w:rPr>
        <w:t>, deben publicar la información relativa a su contratación. Esta obligación fue desarrollada por el Decreto Único Reglamentario 1081 de 2015</w:t>
      </w:r>
      <w:r w:rsidRPr="00F61FF3">
        <w:rPr>
          <w:rStyle w:val="Refdenotaalpie"/>
          <w:rFonts w:ascii="Arial" w:eastAsiaTheme="minorHAnsi" w:hAnsi="Arial" w:cs="Arial"/>
          <w:color w:val="000000" w:themeColor="text1"/>
          <w:sz w:val="22"/>
          <w:szCs w:val="22"/>
          <w:lang w:eastAsia="en-US"/>
        </w:rPr>
        <w:footnoteReference w:id="5"/>
      </w:r>
      <w:r w:rsidRPr="00F61FF3">
        <w:rPr>
          <w:rFonts w:ascii="Arial" w:eastAsiaTheme="minorHAnsi" w:hAnsi="Arial" w:cs="Arial"/>
          <w:color w:val="000000" w:themeColor="text1"/>
          <w:sz w:val="22"/>
          <w:szCs w:val="22"/>
          <w:lang w:eastAsia="en-US"/>
        </w:rPr>
        <w:t>, el cual dispuso que la publicación de la información contractual de los sujetos obligados, que contratan con cargo a recursos públicos, debe hacerse en el Sistema Electrónico de Contratación Pública ─</w:t>
      </w:r>
      <w:r w:rsidRPr="00F61FF3">
        <w:rPr>
          <w:rFonts w:ascii="Arial" w:eastAsiaTheme="minorHAnsi" w:hAnsi="Arial" w:cs="Arial"/>
          <w:color w:val="000000" w:themeColor="text1"/>
          <w:sz w:val="22"/>
          <w:szCs w:val="22"/>
          <w:lang w:eastAsia="en-US"/>
        </w:rPr>
        <w:softHyphen/>
        <w:t xml:space="preserve"> </w:t>
      </w:r>
      <w:r w:rsidRPr="00F61FF3">
        <w:rPr>
          <w:rFonts w:ascii="Arial" w:eastAsiaTheme="minorHAnsi" w:hAnsi="Arial" w:cs="Arial"/>
          <w:color w:val="000000" w:themeColor="text1"/>
          <w:sz w:val="22"/>
          <w:szCs w:val="22"/>
          <w:lang w:eastAsia="en-US"/>
        </w:rPr>
        <w:softHyphen/>
        <w:t>SECOP.</w:t>
      </w:r>
    </w:p>
    <w:p w14:paraId="2151919F" w14:textId="77777777" w:rsidR="0028568A" w:rsidRPr="00F61FF3" w:rsidRDefault="0028568A" w:rsidP="00C37908">
      <w:pPr>
        <w:spacing w:after="120" w:line="276" w:lineRule="auto"/>
        <w:ind w:firstLine="709"/>
        <w:jc w:val="both"/>
        <w:rPr>
          <w:rFonts w:ascii="Arial" w:hAnsi="Arial" w:cs="Arial"/>
          <w:color w:val="000000" w:themeColor="text1"/>
          <w:sz w:val="22"/>
          <w:lang w:val="es-ES"/>
        </w:rPr>
      </w:pPr>
      <w:r w:rsidRPr="00F61FF3">
        <w:rPr>
          <w:rFonts w:ascii="Arial" w:hAnsi="Arial" w:cs="Arial"/>
          <w:color w:val="000000" w:themeColor="text1"/>
          <w:sz w:val="22"/>
          <w:lang w:val="es-ES"/>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514C37FC" w14:textId="77777777" w:rsidR="0028568A" w:rsidRPr="00F61FF3" w:rsidRDefault="0028568A" w:rsidP="002345FC">
      <w:pPr>
        <w:spacing w:after="120" w:line="276" w:lineRule="auto"/>
        <w:ind w:firstLine="709"/>
        <w:jc w:val="both"/>
        <w:rPr>
          <w:rFonts w:ascii="Arial" w:eastAsia="Calibri" w:hAnsi="Arial" w:cs="Arial"/>
          <w:color w:val="000000" w:themeColor="text1"/>
          <w:sz w:val="22"/>
          <w:lang w:val="es-ES"/>
        </w:rPr>
      </w:pPr>
      <w:r w:rsidRPr="00F61FF3">
        <w:rPr>
          <w:rFonts w:ascii="Arial" w:eastAsia="Calibri" w:hAnsi="Arial" w:cs="Arial"/>
          <w:color w:val="000000" w:themeColor="text1"/>
          <w:sz w:val="22"/>
          <w:lang w:val="es-ES"/>
        </w:rPr>
        <w:t xml:space="preserve">El derecho de acceso a la información pública o de interés público permite a toda persona, sin necesidad de acreditar calidad, interés o condición particular, conocer la </w:t>
      </w:r>
      <w:r w:rsidRPr="00F61FF3">
        <w:rPr>
          <w:rFonts w:ascii="Arial" w:eastAsia="Calibri" w:hAnsi="Arial" w:cs="Arial"/>
          <w:color w:val="000000" w:themeColor="text1"/>
          <w:sz w:val="22"/>
          <w:lang w:val="es-ES"/>
        </w:rPr>
        <w:lastRenderedPageBreak/>
        <w:t>existencia de información pública, acceder a la misma y difundirla o publicarla, según su interés</w:t>
      </w:r>
      <w:r w:rsidRPr="00F61FF3">
        <w:rPr>
          <w:rStyle w:val="Refdenotaalpie"/>
          <w:rFonts w:ascii="Arial" w:eastAsia="Calibri" w:hAnsi="Arial" w:cs="Arial"/>
          <w:color w:val="000000" w:themeColor="text1"/>
          <w:sz w:val="22"/>
          <w:lang w:val="es-ES"/>
        </w:rPr>
        <w:footnoteReference w:id="6"/>
      </w:r>
      <w:r w:rsidRPr="00F61FF3">
        <w:rPr>
          <w:rFonts w:ascii="Arial" w:eastAsia="Calibri" w:hAnsi="Arial" w:cs="Arial"/>
          <w:color w:val="000000" w:themeColor="text1"/>
          <w:sz w:val="22"/>
          <w:lang w:val="es-ES"/>
        </w:rPr>
        <w:t>.</w:t>
      </w:r>
    </w:p>
    <w:p w14:paraId="740C935D" w14:textId="77777777" w:rsidR="0028568A" w:rsidRPr="00F61FF3" w:rsidRDefault="0028568A" w:rsidP="002345FC">
      <w:pPr>
        <w:spacing w:after="120" w:line="276" w:lineRule="auto"/>
        <w:ind w:firstLine="709"/>
        <w:jc w:val="both"/>
        <w:rPr>
          <w:rFonts w:ascii="Arial" w:hAnsi="Arial" w:cs="Arial"/>
          <w:color w:val="000000" w:themeColor="text1"/>
          <w:sz w:val="22"/>
          <w:lang w:val="es-ES"/>
        </w:rPr>
      </w:pPr>
      <w:r w:rsidRPr="00F61FF3">
        <w:rPr>
          <w:rFonts w:ascii="Arial" w:hAnsi="Arial" w:cs="Arial"/>
          <w:color w:val="000000" w:themeColor="text1"/>
          <w:sz w:val="22"/>
          <w:lang w:val="es-ES"/>
        </w:rPr>
        <w:t>Para el año 2013, la Agencia Nacional de Contratación Pública ─ Colombia Compra Eficiente, mediante la mediante la Circular Externa No 1 del</w:t>
      </w:r>
      <w:r w:rsidRPr="00F61FF3">
        <w:rPr>
          <w:color w:val="000000" w:themeColor="text1"/>
          <w:sz w:val="22"/>
          <w:lang w:val="es-ES"/>
        </w:rPr>
        <w:t xml:space="preserve"> </w:t>
      </w:r>
      <w:r w:rsidRPr="00F61FF3">
        <w:rPr>
          <w:rFonts w:ascii="Arial" w:hAnsi="Arial" w:cs="Arial"/>
          <w:color w:val="000000" w:themeColor="text1"/>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F61FF3">
        <w:rPr>
          <w:rStyle w:val="Refdenotaalpie"/>
          <w:rFonts w:ascii="Arial" w:hAnsi="Arial" w:cs="Arial"/>
          <w:color w:val="000000" w:themeColor="text1"/>
          <w:sz w:val="22"/>
          <w:lang w:val="es-ES"/>
        </w:rPr>
        <w:footnoteReference w:id="7"/>
      </w:r>
      <w:r w:rsidRPr="00F61FF3">
        <w:rPr>
          <w:rFonts w:ascii="Arial" w:hAnsi="Arial" w:cs="Arial"/>
          <w:color w:val="000000" w:themeColor="text1"/>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217E484E" w14:textId="382C8D32" w:rsidR="0028568A" w:rsidRPr="00F61FF3" w:rsidRDefault="0028568A" w:rsidP="0028568A">
      <w:pPr>
        <w:spacing w:line="276" w:lineRule="auto"/>
        <w:ind w:firstLine="709"/>
        <w:jc w:val="both"/>
        <w:rPr>
          <w:rFonts w:ascii="Arial" w:hAnsi="Arial" w:cs="Arial"/>
          <w:color w:val="000000" w:themeColor="text1"/>
          <w:sz w:val="22"/>
          <w:lang w:val="es-ES"/>
        </w:rPr>
      </w:pPr>
      <w:r w:rsidRPr="00F61FF3">
        <w:rPr>
          <w:rFonts w:ascii="Arial" w:hAnsi="Arial" w:cs="Arial"/>
          <w:color w:val="000000" w:themeColor="text1"/>
          <w:sz w:val="22"/>
          <w:lang w:val="es-ES"/>
        </w:rPr>
        <w:t>El debate sobre la obligatoriedad o no de publicar en el SECOP, para las entidades con régimen especial de contratación,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p>
    <w:p w14:paraId="04A89302" w14:textId="77777777" w:rsidR="0028568A" w:rsidRPr="00F61FF3" w:rsidRDefault="0028568A" w:rsidP="0028568A">
      <w:pPr>
        <w:spacing w:line="276" w:lineRule="auto"/>
        <w:jc w:val="both"/>
        <w:rPr>
          <w:rFonts w:ascii="Arial" w:hAnsi="Arial" w:cs="Arial"/>
          <w:color w:val="000000" w:themeColor="text1"/>
          <w:sz w:val="22"/>
          <w:lang w:val="es-ES"/>
        </w:rPr>
      </w:pPr>
    </w:p>
    <w:p w14:paraId="521C6FD1" w14:textId="77777777" w:rsidR="0028568A" w:rsidRPr="00995521" w:rsidRDefault="0028568A" w:rsidP="00995521">
      <w:pPr>
        <w:tabs>
          <w:tab w:val="left" w:pos="3885"/>
        </w:tabs>
        <w:ind w:left="709" w:right="709"/>
        <w:jc w:val="both"/>
        <w:rPr>
          <w:rFonts w:ascii="Arial" w:hAnsi="Arial" w:cs="Arial"/>
          <w:color w:val="000000" w:themeColor="text1"/>
          <w:sz w:val="21"/>
          <w:szCs w:val="21"/>
          <w:lang w:val="es-ES"/>
        </w:rPr>
      </w:pPr>
      <w:r w:rsidRPr="00995521">
        <w:rPr>
          <w:rFonts w:ascii="Arial" w:hAnsi="Arial" w:cs="Arial"/>
          <w:color w:val="000000" w:themeColor="text1"/>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27FA98B1" w14:textId="77777777" w:rsidR="0028568A" w:rsidRPr="00995521" w:rsidRDefault="0028568A" w:rsidP="00995521">
      <w:pPr>
        <w:tabs>
          <w:tab w:val="left" w:pos="3885"/>
        </w:tabs>
        <w:ind w:left="709" w:right="709"/>
        <w:jc w:val="both"/>
        <w:rPr>
          <w:rFonts w:ascii="Arial" w:hAnsi="Arial" w:cs="Arial"/>
          <w:color w:val="000000" w:themeColor="text1"/>
          <w:sz w:val="21"/>
          <w:szCs w:val="21"/>
          <w:lang w:val="es-ES"/>
        </w:rPr>
      </w:pPr>
    </w:p>
    <w:p w14:paraId="53C08A21" w14:textId="77777777" w:rsidR="0028568A" w:rsidRPr="00995521" w:rsidRDefault="0028568A" w:rsidP="00995521">
      <w:pPr>
        <w:tabs>
          <w:tab w:val="left" w:pos="3885"/>
        </w:tabs>
        <w:ind w:left="709" w:right="709"/>
        <w:jc w:val="both"/>
        <w:rPr>
          <w:rFonts w:ascii="Arial" w:hAnsi="Arial" w:cs="Arial"/>
          <w:color w:val="000000" w:themeColor="text1"/>
          <w:sz w:val="21"/>
          <w:szCs w:val="21"/>
          <w:lang w:val="es-ES"/>
        </w:rPr>
      </w:pPr>
      <w:r w:rsidRPr="00995521">
        <w:rPr>
          <w:rFonts w:ascii="Arial" w:hAnsi="Arial" w:cs="Arial"/>
          <w:color w:val="000000" w:themeColor="text1"/>
          <w:sz w:val="21"/>
          <w:szCs w:val="21"/>
          <w:lang w:val="es-ES"/>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995521">
        <w:rPr>
          <w:rFonts w:ascii="Arial" w:hAnsi="Arial" w:cs="Arial"/>
          <w:color w:val="000000" w:themeColor="text1"/>
          <w:sz w:val="21"/>
          <w:szCs w:val="21"/>
          <w:lang w:val="es-ES"/>
        </w:rPr>
        <w:t>en razón de</w:t>
      </w:r>
      <w:proofErr w:type="gramEnd"/>
      <w:r w:rsidRPr="00995521">
        <w:rPr>
          <w:rFonts w:ascii="Arial" w:hAnsi="Arial" w:cs="Arial"/>
          <w:color w:val="000000" w:themeColor="text1"/>
          <w:sz w:val="21"/>
          <w:szCs w:val="21"/>
          <w:lang w:val="es-ES"/>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w:t>
      </w:r>
      <w:r w:rsidRPr="00995521">
        <w:rPr>
          <w:rFonts w:ascii="Arial" w:hAnsi="Arial" w:cs="Arial"/>
          <w:color w:val="000000" w:themeColor="text1"/>
          <w:sz w:val="21"/>
          <w:szCs w:val="21"/>
          <w:lang w:val="es-ES"/>
        </w:rPr>
        <w:lastRenderedPageBreak/>
        <w:t>otras fuentes. ¿Dónde se debe surtir ese deber de información? Por conducto del sistema electrónico SECOP.</w:t>
      </w:r>
    </w:p>
    <w:p w14:paraId="71CB3B95" w14:textId="271DECF6" w:rsidR="0028568A" w:rsidRPr="00995521" w:rsidRDefault="0028568A" w:rsidP="00995521">
      <w:pPr>
        <w:tabs>
          <w:tab w:val="left" w:pos="3885"/>
        </w:tabs>
        <w:ind w:left="709" w:right="709"/>
        <w:jc w:val="both"/>
        <w:rPr>
          <w:rFonts w:ascii="Arial" w:hAnsi="Arial" w:cs="Arial"/>
          <w:color w:val="000000" w:themeColor="text1"/>
          <w:sz w:val="21"/>
          <w:szCs w:val="21"/>
          <w:lang w:val="es-ES"/>
        </w:rPr>
      </w:pPr>
      <w:r w:rsidRPr="00995521">
        <w:rPr>
          <w:rFonts w:ascii="Arial" w:hAnsi="Arial" w:cs="Arial"/>
          <w:color w:val="000000" w:themeColor="text1"/>
          <w:sz w:val="21"/>
          <w:szCs w:val="21"/>
          <w:lang w:val="es-ES"/>
        </w:rPr>
        <w:t>[…]</w:t>
      </w:r>
    </w:p>
    <w:p w14:paraId="1CC9AE2A" w14:textId="5FC76A8B" w:rsidR="0028568A" w:rsidRPr="00995521" w:rsidRDefault="0028568A" w:rsidP="00995521">
      <w:pPr>
        <w:tabs>
          <w:tab w:val="left" w:pos="3885"/>
        </w:tabs>
        <w:ind w:left="709" w:right="709"/>
        <w:jc w:val="both"/>
        <w:rPr>
          <w:rFonts w:ascii="Arial" w:hAnsi="Arial" w:cs="Arial"/>
          <w:color w:val="000000" w:themeColor="text1"/>
          <w:sz w:val="21"/>
          <w:szCs w:val="21"/>
          <w:lang w:val="es-ES"/>
        </w:rPr>
      </w:pPr>
      <w:r w:rsidRPr="00995521">
        <w:rPr>
          <w:rFonts w:ascii="Arial" w:hAnsi="Arial" w:cs="Arial"/>
          <w:color w:val="000000" w:themeColor="text1"/>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995521">
        <w:rPr>
          <w:rStyle w:val="Refdenotaalpie"/>
          <w:rFonts w:ascii="Arial" w:hAnsi="Arial" w:cs="Arial"/>
          <w:color w:val="000000" w:themeColor="text1"/>
          <w:sz w:val="21"/>
          <w:szCs w:val="21"/>
          <w:lang w:val="es-ES"/>
        </w:rPr>
        <w:footnoteReference w:id="8"/>
      </w:r>
      <w:r w:rsidRPr="00995521">
        <w:rPr>
          <w:rStyle w:val="Refdenotaalpie"/>
          <w:rFonts w:ascii="Arial" w:hAnsi="Arial" w:cs="Arial"/>
          <w:color w:val="000000" w:themeColor="text1"/>
          <w:sz w:val="21"/>
          <w:szCs w:val="21"/>
          <w:lang w:val="es-ES"/>
        </w:rPr>
        <w:t>.</w:t>
      </w:r>
    </w:p>
    <w:p w14:paraId="004F51C2" w14:textId="77777777" w:rsidR="002345FC" w:rsidRPr="00F61FF3" w:rsidRDefault="002345FC" w:rsidP="00EE01A6">
      <w:pPr>
        <w:tabs>
          <w:tab w:val="left" w:pos="3885"/>
        </w:tabs>
        <w:spacing w:line="276" w:lineRule="auto"/>
        <w:ind w:left="709" w:right="709"/>
        <w:jc w:val="both"/>
        <w:rPr>
          <w:rFonts w:ascii="Arial" w:hAnsi="Arial" w:cs="Arial"/>
          <w:color w:val="000000" w:themeColor="text1"/>
          <w:sz w:val="21"/>
          <w:szCs w:val="21"/>
          <w:lang w:val="es-ES"/>
        </w:rPr>
      </w:pPr>
    </w:p>
    <w:p w14:paraId="161130C5" w14:textId="7E002B3B" w:rsidR="0028568A" w:rsidRDefault="0028568A" w:rsidP="00EE01A6">
      <w:pPr>
        <w:ind w:firstLine="708"/>
        <w:jc w:val="both"/>
        <w:rPr>
          <w:rFonts w:ascii="Arial" w:hAnsi="Arial" w:cs="Arial"/>
          <w:color w:val="000000" w:themeColor="text1"/>
          <w:sz w:val="22"/>
          <w:lang w:val="es-ES"/>
        </w:rPr>
      </w:pPr>
      <w:r w:rsidRPr="00F61FF3">
        <w:rPr>
          <w:rFonts w:ascii="Arial" w:hAnsi="Arial" w:cs="Arial"/>
          <w:color w:val="000000" w:themeColor="text1"/>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678779A2" w14:textId="77777777" w:rsidR="002345FC" w:rsidRPr="00F61FF3" w:rsidRDefault="002345FC" w:rsidP="00EE01A6">
      <w:pPr>
        <w:ind w:firstLine="708"/>
        <w:jc w:val="both"/>
        <w:rPr>
          <w:rFonts w:ascii="Arial" w:hAnsi="Arial" w:cs="Arial"/>
          <w:color w:val="000000" w:themeColor="text1"/>
          <w:sz w:val="22"/>
          <w:lang w:val="es-ES"/>
        </w:rPr>
      </w:pPr>
    </w:p>
    <w:p w14:paraId="15D1DC9C" w14:textId="5352262D" w:rsidR="0028568A" w:rsidRDefault="0028568A" w:rsidP="00C37908">
      <w:pPr>
        <w:ind w:left="709" w:right="709"/>
        <w:jc w:val="both"/>
        <w:rPr>
          <w:rFonts w:ascii="Arial" w:hAnsi="Arial" w:cs="Arial"/>
          <w:color w:val="000000" w:themeColor="text1"/>
          <w:sz w:val="21"/>
          <w:szCs w:val="21"/>
          <w:lang w:val="es-ES"/>
        </w:rPr>
      </w:pPr>
      <w:r w:rsidRPr="00F61FF3">
        <w:rPr>
          <w:rFonts w:ascii="Arial" w:hAnsi="Arial" w:cs="Arial"/>
          <w:color w:val="000000" w:themeColor="text1"/>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118F5C86" w14:textId="77777777" w:rsidR="002345FC" w:rsidRPr="00F61FF3" w:rsidRDefault="002345FC" w:rsidP="00EE01A6">
      <w:pPr>
        <w:spacing w:line="276" w:lineRule="auto"/>
        <w:ind w:leftChars="295" w:left="708" w:right="709"/>
        <w:jc w:val="both"/>
        <w:rPr>
          <w:rFonts w:ascii="Arial" w:hAnsi="Arial" w:cs="Arial"/>
          <w:color w:val="000000" w:themeColor="text1"/>
          <w:sz w:val="21"/>
          <w:szCs w:val="21"/>
          <w:lang w:val="es-ES"/>
        </w:rPr>
      </w:pPr>
    </w:p>
    <w:p w14:paraId="2F09137B" w14:textId="77777777" w:rsidR="0028568A" w:rsidRPr="00F61FF3" w:rsidRDefault="0028568A" w:rsidP="002345FC">
      <w:pPr>
        <w:spacing w:after="120" w:line="276" w:lineRule="auto"/>
        <w:ind w:firstLine="709"/>
        <w:jc w:val="both"/>
        <w:rPr>
          <w:rFonts w:ascii="Arial" w:hAnsi="Arial" w:cs="Arial"/>
          <w:color w:val="000000" w:themeColor="text1"/>
          <w:sz w:val="22"/>
          <w:lang w:val="es-ES"/>
        </w:rPr>
      </w:pPr>
      <w:r w:rsidRPr="00F61FF3">
        <w:rPr>
          <w:rFonts w:ascii="Arial" w:hAnsi="Arial" w:cs="Arial"/>
          <w:color w:val="000000" w:themeColor="text1"/>
          <w:sz w:val="22"/>
          <w:lang w:val="es-ES"/>
        </w:rPr>
        <w:t xml:space="preserve">Nótese, entonces, que el Consejo de Estado asumió como criterio para determinar la obligatoriedad de publicar en el SECOP que la contratación se haga con recursos públicos, conclusión que la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66527080" w14:textId="17411884" w:rsidR="0028568A" w:rsidRDefault="0028568A" w:rsidP="00EE01A6">
      <w:pPr>
        <w:spacing w:line="276" w:lineRule="auto"/>
        <w:ind w:firstLine="708"/>
        <w:jc w:val="both"/>
        <w:rPr>
          <w:rFonts w:ascii="Arial" w:hAnsi="Arial" w:cs="Arial"/>
          <w:color w:val="000000" w:themeColor="text1"/>
          <w:sz w:val="22"/>
          <w:lang w:val="es-ES"/>
        </w:rPr>
      </w:pPr>
      <w:r w:rsidRPr="00F61FF3">
        <w:rPr>
          <w:rFonts w:ascii="Arial" w:hAnsi="Arial" w:cs="Arial"/>
          <w:color w:val="000000" w:themeColor="text1"/>
          <w:sz w:val="22"/>
          <w:lang w:val="es-ES"/>
        </w:rPr>
        <w:t xml:space="preserve">Dentro de las razones que consideró el máximo tribunal de lo contencioso administrativo no tuvo en cuenta razones de orden fáctico como las planteadas en la solicitud, relativas a las responsabilidades de las entidades o su posible afectación en la competitividad para aquellas que operan en diferentes mercados. La razón relevante es que </w:t>
      </w:r>
      <w:r w:rsidRPr="00F61FF3">
        <w:rPr>
          <w:rFonts w:ascii="Arial" w:hAnsi="Arial" w:cs="Arial"/>
          <w:color w:val="000000" w:themeColor="text1"/>
          <w:sz w:val="22"/>
          <w:lang w:val="es-ES"/>
        </w:rPr>
        <w:lastRenderedPageBreak/>
        <w:t xml:space="preserve">si la entidad contrata con dineros públicos debe publicar su proceso de contratación en el SECOP. </w:t>
      </w:r>
    </w:p>
    <w:p w14:paraId="2637C964" w14:textId="77777777" w:rsidR="005F004A" w:rsidRDefault="005F004A" w:rsidP="005F004A">
      <w:pPr>
        <w:pStyle w:val="Prrafodelista"/>
        <w:tabs>
          <w:tab w:val="left" w:pos="142"/>
          <w:tab w:val="left" w:pos="284"/>
        </w:tabs>
        <w:ind w:left="0"/>
        <w:jc w:val="both"/>
        <w:rPr>
          <w:rFonts w:ascii="Arial" w:hAnsi="Arial" w:cs="Arial"/>
          <w:b/>
          <w:color w:val="000000" w:themeColor="text1"/>
          <w:sz w:val="22"/>
        </w:rPr>
      </w:pPr>
    </w:p>
    <w:p w14:paraId="7B95C4EB" w14:textId="13422C29" w:rsidR="0028568A" w:rsidRPr="00EB1002" w:rsidRDefault="005F004A" w:rsidP="005F004A">
      <w:pPr>
        <w:pStyle w:val="Prrafodelista"/>
        <w:tabs>
          <w:tab w:val="left" w:pos="142"/>
          <w:tab w:val="left" w:pos="284"/>
        </w:tabs>
        <w:ind w:left="0"/>
        <w:jc w:val="both"/>
        <w:rPr>
          <w:rFonts w:ascii="Arial" w:hAnsi="Arial" w:cs="Arial"/>
          <w:b/>
          <w:color w:val="000000" w:themeColor="text1"/>
          <w:sz w:val="22"/>
        </w:rPr>
      </w:pPr>
      <w:r>
        <w:rPr>
          <w:rFonts w:ascii="Arial" w:hAnsi="Arial" w:cs="Arial"/>
          <w:b/>
          <w:color w:val="000000" w:themeColor="text1"/>
          <w:sz w:val="22"/>
        </w:rPr>
        <w:t xml:space="preserve">2.2. </w:t>
      </w:r>
      <w:r w:rsidR="0028568A" w:rsidRPr="00F61FF3">
        <w:rPr>
          <w:rFonts w:ascii="Arial" w:hAnsi="Arial" w:cs="Arial"/>
          <w:b/>
          <w:color w:val="000000" w:themeColor="text1"/>
          <w:sz w:val="22"/>
        </w:rPr>
        <w:t xml:space="preserve">Precedentes de Colombia Compra Eficiente sobre los documentos que publican en el SECOP las entidades de régimen especial </w:t>
      </w:r>
    </w:p>
    <w:p w14:paraId="33C1196C" w14:textId="77777777" w:rsidR="002345FC" w:rsidRPr="002345FC" w:rsidRDefault="002345FC" w:rsidP="00A64B31">
      <w:pPr>
        <w:spacing w:after="120" w:line="276" w:lineRule="auto"/>
        <w:jc w:val="both"/>
        <w:rPr>
          <w:rFonts w:ascii="Arial" w:hAnsi="Arial" w:cs="Arial"/>
          <w:bCs/>
          <w:color w:val="000000" w:themeColor="text1"/>
          <w:sz w:val="22"/>
          <w:lang w:val="es-ES"/>
        </w:rPr>
      </w:pPr>
      <w:r w:rsidRPr="002345FC">
        <w:rPr>
          <w:rFonts w:ascii="Arial" w:eastAsia="Calibri" w:hAnsi="Arial" w:cs="Arial"/>
          <w:color w:val="000000" w:themeColor="text1"/>
          <w:sz w:val="22"/>
          <w:lang w:val="es-ES"/>
        </w:rPr>
        <w:t>Determinada la obligación que tienen las entidades sujetas a un régimen especial de publicar su actividad contractual en el SECOP, a continuación, se identificarán los documentos que deben publicar, n</w:t>
      </w:r>
      <w:r w:rsidRPr="002345FC">
        <w:rPr>
          <w:rFonts w:ascii="Arial" w:hAnsi="Arial" w:cs="Arial"/>
          <w:bCs/>
          <w:color w:val="000000" w:themeColor="text1"/>
          <w:sz w:val="22"/>
          <w:lang w:val="es-ES"/>
        </w:rPr>
        <w:t>o sin antes explicar la posición que la Agencia Nacional de Contratación Pública ─ Colombia Compra Eficiente ha adoptado desde el 2016 hasta el 2019.</w:t>
      </w:r>
    </w:p>
    <w:p w14:paraId="11F905E0" w14:textId="64079C69" w:rsidR="002345FC" w:rsidRPr="002345FC" w:rsidRDefault="002345FC" w:rsidP="00A64B31">
      <w:pPr>
        <w:spacing w:before="120" w:after="120" w:line="276" w:lineRule="auto"/>
        <w:ind w:firstLine="709"/>
        <w:jc w:val="both"/>
        <w:rPr>
          <w:rFonts w:ascii="Arial" w:hAnsi="Arial" w:cs="Arial"/>
          <w:bCs/>
          <w:color w:val="000000" w:themeColor="text1"/>
          <w:sz w:val="22"/>
          <w:lang w:val="es-ES"/>
        </w:rPr>
      </w:pPr>
      <w:r w:rsidRPr="002345FC">
        <w:rPr>
          <w:rFonts w:ascii="Arial" w:hAnsi="Arial" w:cs="Arial"/>
          <w:bCs/>
          <w:color w:val="000000" w:themeColor="text1"/>
          <w:sz w:val="22"/>
          <w:lang w:val="es-ES"/>
        </w:rPr>
        <w:t>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w:t>
      </w:r>
      <w:r w:rsidR="00847F8D">
        <w:rPr>
          <w:rFonts w:ascii="Arial" w:hAnsi="Arial" w:cs="Arial"/>
          <w:bCs/>
          <w:color w:val="000000" w:themeColor="text1"/>
          <w:sz w:val="22"/>
          <w:lang w:val="es-ES"/>
        </w:rPr>
        <w:t>í</w:t>
      </w:r>
      <w:r w:rsidRPr="002345FC">
        <w:rPr>
          <w:rFonts w:ascii="Arial" w:hAnsi="Arial" w:cs="Arial"/>
          <w:bCs/>
          <w:color w:val="000000" w:themeColor="text1"/>
          <w:sz w:val="22"/>
          <w:lang w:val="es-ES"/>
        </w:rPr>
        <w:t xml:space="preserve"> como lo relativo a la ejecución del contrato. Lo anterior se fundamentó en el literal c) del artículo 3 de la Ley 1150 de 2007</w:t>
      </w:r>
      <w:r w:rsidRPr="002345FC">
        <w:rPr>
          <w:rFonts w:ascii="Arial" w:hAnsi="Arial" w:cs="Arial"/>
          <w:bCs/>
          <w:color w:val="000000" w:themeColor="text1"/>
          <w:sz w:val="22"/>
          <w:vertAlign w:val="superscript"/>
          <w:lang w:val="es-ES"/>
        </w:rPr>
        <w:footnoteReference w:id="9"/>
      </w:r>
      <w:r w:rsidRPr="002345FC">
        <w:rPr>
          <w:rFonts w:ascii="Arial" w:hAnsi="Arial" w:cs="Arial"/>
          <w:bCs/>
          <w:color w:val="000000" w:themeColor="text1"/>
          <w:sz w:val="22"/>
          <w:lang w:val="es-ES"/>
        </w:rPr>
        <w:t>.</w:t>
      </w:r>
    </w:p>
    <w:p w14:paraId="19631A59" w14:textId="77777777" w:rsidR="002345FC" w:rsidRPr="002345FC" w:rsidRDefault="002345FC" w:rsidP="00A64B31">
      <w:pPr>
        <w:spacing w:after="120" w:line="276" w:lineRule="auto"/>
        <w:ind w:firstLine="709"/>
        <w:jc w:val="both"/>
        <w:rPr>
          <w:rFonts w:ascii="Arial" w:eastAsia="Calibri" w:hAnsi="Arial" w:cs="Arial"/>
          <w:color w:val="000000" w:themeColor="text1"/>
          <w:sz w:val="22"/>
          <w:lang w:val="es-ES"/>
        </w:rPr>
      </w:pPr>
      <w:r w:rsidRPr="002345FC">
        <w:rPr>
          <w:rFonts w:ascii="Arial" w:hAnsi="Arial" w:cs="Arial"/>
          <w:color w:val="000000" w:themeColor="text1"/>
          <w:sz w:val="22"/>
          <w:lang w:val="es-ES"/>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2345FC">
        <w:rPr>
          <w:rFonts w:ascii="Arial" w:eastAsia="Calibri" w:hAnsi="Arial" w:cs="Arial"/>
          <w:color w:val="000000" w:themeColor="text1"/>
          <w:sz w:val="22"/>
          <w:lang w:val="es-ES"/>
        </w:rPr>
        <w:t>documentos del proceso que se debían publicar.</w:t>
      </w:r>
    </w:p>
    <w:p w14:paraId="09F6961C" w14:textId="77777777" w:rsidR="002345FC" w:rsidRPr="002345FC" w:rsidRDefault="002345FC" w:rsidP="00A64B31">
      <w:pPr>
        <w:spacing w:after="120" w:line="276" w:lineRule="auto"/>
        <w:ind w:firstLine="709"/>
        <w:jc w:val="both"/>
        <w:rPr>
          <w:rFonts w:ascii="Arial" w:eastAsia="Calibri" w:hAnsi="Arial" w:cs="Arial"/>
          <w:color w:val="000000" w:themeColor="text1"/>
          <w:sz w:val="22"/>
          <w:lang w:val="es-ES"/>
        </w:rPr>
      </w:pPr>
      <w:r w:rsidRPr="002345FC">
        <w:rPr>
          <w:rFonts w:ascii="Arial" w:eastAsia="Calibri" w:hAnsi="Arial" w:cs="Arial"/>
          <w:color w:val="000000" w:themeColor="text1"/>
          <w:sz w:val="22"/>
          <w:lang w:val="es-ES"/>
        </w:rPr>
        <w:t xml:space="preserve">Posteriormente, en el año 2018, cambió el fundamento normativo que define los documentos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w:t>
      </w:r>
      <w:r w:rsidRPr="002345FC">
        <w:rPr>
          <w:rFonts w:ascii="Arial" w:eastAsia="Calibri" w:hAnsi="Arial" w:cs="Arial"/>
          <w:color w:val="000000" w:themeColor="text1"/>
          <w:sz w:val="22"/>
          <w:lang w:val="es-ES"/>
        </w:rPr>
        <w:lastRenderedPageBreak/>
        <w:t>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2345FC">
        <w:rPr>
          <w:rFonts w:ascii="Arial" w:eastAsia="Calibri" w:hAnsi="Arial" w:cs="Arial"/>
          <w:color w:val="000000" w:themeColor="text1"/>
          <w:sz w:val="22"/>
          <w:vertAlign w:val="superscript"/>
          <w:lang w:val="es-ES"/>
        </w:rPr>
        <w:footnoteReference w:id="10"/>
      </w:r>
      <w:r w:rsidRPr="002345FC">
        <w:rPr>
          <w:rFonts w:ascii="Arial" w:eastAsia="Calibri" w:hAnsi="Arial" w:cs="Arial"/>
          <w:color w:val="000000" w:themeColor="text1"/>
          <w:sz w:val="22"/>
          <w:lang w:val="es-ES"/>
        </w:rPr>
        <w:t xml:space="preserve">. </w:t>
      </w:r>
    </w:p>
    <w:p w14:paraId="53E9787A" w14:textId="77777777" w:rsidR="002345FC" w:rsidRPr="002345FC" w:rsidRDefault="002345FC" w:rsidP="00A64B31">
      <w:pPr>
        <w:spacing w:before="120" w:after="120" w:line="276" w:lineRule="auto"/>
        <w:ind w:firstLine="709"/>
        <w:jc w:val="both"/>
        <w:rPr>
          <w:rFonts w:ascii="Arial" w:eastAsia="Calibri" w:hAnsi="Arial" w:cs="Arial"/>
          <w:color w:val="000000" w:themeColor="text1"/>
          <w:sz w:val="22"/>
          <w:lang w:val="es-ES"/>
        </w:rPr>
      </w:pPr>
      <w:r w:rsidRPr="002345FC">
        <w:rPr>
          <w:rFonts w:ascii="Arial" w:eastAsia="Calibri" w:hAnsi="Arial" w:cs="Arial"/>
          <w:color w:val="000000" w:themeColor="text1"/>
          <w:sz w:val="22"/>
          <w:lang w:val="es-ES"/>
        </w:rPr>
        <w:t xml:space="preserve">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14:paraId="3EBFC506" w14:textId="77777777" w:rsidR="002345FC" w:rsidRPr="002345FC" w:rsidRDefault="002345FC" w:rsidP="00A64B31">
      <w:pPr>
        <w:spacing w:before="120" w:after="120" w:line="276" w:lineRule="auto"/>
        <w:ind w:firstLine="709"/>
        <w:jc w:val="both"/>
        <w:rPr>
          <w:rFonts w:ascii="Arial" w:eastAsia="Calibri" w:hAnsi="Arial" w:cs="Arial"/>
          <w:color w:val="000000" w:themeColor="text1"/>
          <w:sz w:val="22"/>
          <w:lang w:val="es-ES"/>
        </w:rPr>
      </w:pPr>
      <w:r w:rsidRPr="002345FC">
        <w:rPr>
          <w:rFonts w:ascii="Arial" w:eastAsia="Calibri" w:hAnsi="Arial" w:cs="Arial"/>
          <w:color w:val="000000" w:themeColor="text1"/>
          <w:sz w:val="22"/>
          <w:lang w:val="es-ES"/>
        </w:rPr>
        <w:t xml:space="preserve">En efecto, la Ley 1712 de 2014, normativa que creó la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5DF655D0" w14:textId="77777777" w:rsidR="002345FC" w:rsidRPr="002345FC" w:rsidRDefault="002345FC" w:rsidP="00A64B31">
      <w:pPr>
        <w:spacing w:before="120" w:after="120" w:line="276" w:lineRule="auto"/>
        <w:ind w:firstLine="709"/>
        <w:jc w:val="both"/>
        <w:rPr>
          <w:rFonts w:ascii="Arial" w:eastAsia="Calibri" w:hAnsi="Arial" w:cs="Arial"/>
          <w:color w:val="000000" w:themeColor="text1"/>
          <w:sz w:val="22"/>
          <w:lang w:val="es-ES"/>
        </w:rPr>
      </w:pPr>
      <w:r w:rsidRPr="002345FC">
        <w:rPr>
          <w:rFonts w:ascii="Arial" w:eastAsia="Calibri" w:hAnsi="Arial" w:cs="Arial"/>
          <w:color w:val="000000" w:themeColor="text1"/>
          <w:sz w:val="22"/>
          <w:lang w:val="es-ES"/>
        </w:rPr>
        <w:t>Luego, el Decreto reglamentario 103 de 2015, «Por el cual se reglamenta parcialmente la Ley 1712 de 2014 y se dictan otras disposiciones», en el artículo 8, señala, de forma enunciativa, que se debe publicar la información relativa a la ejecución del contrato, como las aprobaciones, autorizaciones, requerimientos o informes del supervisor o interventor, que aprueben la ejecución del contrato</w:t>
      </w:r>
      <w:r w:rsidRPr="002345FC">
        <w:rPr>
          <w:rFonts w:ascii="Arial" w:eastAsia="Calibri" w:hAnsi="Arial" w:cs="Arial"/>
          <w:color w:val="000000" w:themeColor="text1"/>
          <w:sz w:val="22"/>
          <w:vertAlign w:val="superscript"/>
          <w:lang w:val="es-ES"/>
        </w:rPr>
        <w:footnoteReference w:id="11"/>
      </w:r>
      <w:r w:rsidRPr="002345FC">
        <w:rPr>
          <w:rFonts w:ascii="Arial" w:eastAsia="Calibri" w:hAnsi="Arial" w:cs="Arial"/>
          <w:color w:val="000000" w:themeColor="text1"/>
          <w:sz w:val="22"/>
          <w:lang w:val="es-ES"/>
        </w:rPr>
        <w:t xml:space="preserve">. Por su parte, el artículo 9 señala </w:t>
      </w:r>
      <w:r w:rsidRPr="002345FC">
        <w:rPr>
          <w:rFonts w:ascii="Arial" w:eastAsia="Calibri" w:hAnsi="Arial" w:cs="Arial"/>
          <w:color w:val="000000" w:themeColor="text1"/>
          <w:sz w:val="22"/>
          <w:lang w:val="es-ES"/>
        </w:rPr>
        <w:lastRenderedPageBreak/>
        <w:t>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2345FC">
        <w:rPr>
          <w:rFonts w:ascii="Arial" w:eastAsia="Calibri" w:hAnsi="Arial" w:cs="Arial"/>
          <w:color w:val="000000" w:themeColor="text1"/>
          <w:sz w:val="22"/>
          <w:vertAlign w:val="superscript"/>
          <w:lang w:val="es-ES"/>
        </w:rPr>
        <w:footnoteReference w:id="12"/>
      </w:r>
      <w:r w:rsidRPr="002345FC">
        <w:rPr>
          <w:rFonts w:ascii="Arial" w:eastAsia="Calibri" w:hAnsi="Arial" w:cs="Arial"/>
          <w:color w:val="000000" w:themeColor="text1"/>
          <w:sz w:val="22"/>
          <w:lang w:val="es-ES"/>
        </w:rPr>
        <w:t>. Finalmente, el artículo 10 establece la obligación que tienen las entidades de publicar en el SECOP el Plan Anual de Adquisiciones</w:t>
      </w:r>
      <w:r w:rsidRPr="002345FC">
        <w:rPr>
          <w:rFonts w:ascii="Arial" w:eastAsia="Calibri" w:hAnsi="Arial" w:cs="Arial"/>
          <w:color w:val="000000" w:themeColor="text1"/>
          <w:sz w:val="22"/>
          <w:vertAlign w:val="superscript"/>
          <w:lang w:val="es-ES"/>
        </w:rPr>
        <w:footnoteReference w:id="13"/>
      </w:r>
      <w:r w:rsidRPr="002345FC">
        <w:rPr>
          <w:rFonts w:ascii="Arial" w:eastAsia="Calibri" w:hAnsi="Arial" w:cs="Arial"/>
          <w:color w:val="000000" w:themeColor="text1"/>
          <w:sz w:val="22"/>
          <w:lang w:val="es-ES"/>
        </w:rPr>
        <w:t xml:space="preserve">.  </w:t>
      </w:r>
    </w:p>
    <w:p w14:paraId="4E46F636" w14:textId="77777777" w:rsidR="002345FC" w:rsidRPr="002345FC" w:rsidRDefault="002345FC" w:rsidP="00A64B31">
      <w:pPr>
        <w:spacing w:before="120" w:after="120" w:line="276" w:lineRule="auto"/>
        <w:ind w:firstLine="709"/>
        <w:jc w:val="both"/>
        <w:rPr>
          <w:rFonts w:ascii="Arial" w:eastAsia="Calibri" w:hAnsi="Arial" w:cs="Arial"/>
          <w:color w:val="000000" w:themeColor="text1"/>
          <w:sz w:val="22"/>
          <w:lang w:val="es-ES"/>
        </w:rPr>
      </w:pPr>
      <w:r w:rsidRPr="002345FC">
        <w:rPr>
          <w:rFonts w:ascii="Arial" w:eastAsia="Calibri" w:hAnsi="Arial" w:cs="Arial"/>
          <w:color w:val="000000" w:themeColor="text1"/>
          <w:sz w:val="22"/>
          <w:lang w:val="es-ES"/>
        </w:rPr>
        <w:t xml:space="preserve">De conformidad con lo anterior, el Decreto 103 de 2015 señala que los documentos que deben publicar las entidades estatales, entre estas las empresas industriales y comerciales del Estado, son: i) las autorizaciones, requerimientos, aprobaciones o informes del supervisor o del interventor, que prueben la ejecución del contrato, </w:t>
      </w:r>
      <w:proofErr w:type="spellStart"/>
      <w:r w:rsidRPr="002345FC">
        <w:rPr>
          <w:rFonts w:ascii="Arial" w:eastAsia="Calibri" w:hAnsi="Arial" w:cs="Arial"/>
          <w:color w:val="000000" w:themeColor="text1"/>
          <w:sz w:val="22"/>
          <w:lang w:val="es-ES"/>
        </w:rPr>
        <w:t>ii</w:t>
      </w:r>
      <w:proofErr w:type="spellEnd"/>
      <w:r w:rsidRPr="002345FC">
        <w:rPr>
          <w:rFonts w:ascii="Arial" w:eastAsia="Calibri" w:hAnsi="Arial" w:cs="Arial"/>
          <w:color w:val="000000" w:themeColor="text1"/>
          <w:sz w:val="22"/>
          <w:lang w:val="es-ES"/>
        </w:rPr>
        <w:t xml:space="preserve">) los procedimientos, lineamientos y políticas en materia de adquisición que corresponden a los  documentos que los conforman, previstos en el manual de contratación de la entidad, y finalmente, </w:t>
      </w:r>
      <w:proofErr w:type="spellStart"/>
      <w:r w:rsidRPr="002345FC">
        <w:rPr>
          <w:rFonts w:ascii="Arial" w:eastAsia="Calibri" w:hAnsi="Arial" w:cs="Arial"/>
          <w:color w:val="000000" w:themeColor="text1"/>
          <w:sz w:val="22"/>
          <w:lang w:val="es-ES"/>
        </w:rPr>
        <w:t>iii</w:t>
      </w:r>
      <w:proofErr w:type="spellEnd"/>
      <w:r w:rsidRPr="002345FC">
        <w:rPr>
          <w:rFonts w:ascii="Arial" w:eastAsia="Calibri" w:hAnsi="Arial" w:cs="Arial"/>
          <w:color w:val="000000" w:themeColor="text1"/>
          <w:sz w:val="22"/>
          <w:lang w:val="es-ES"/>
        </w:rPr>
        <w:t xml:space="preserve">) el plan anual de adquisiciones. </w:t>
      </w:r>
    </w:p>
    <w:p w14:paraId="136053CE" w14:textId="77777777" w:rsidR="002345FC" w:rsidRPr="002345FC" w:rsidRDefault="002345FC" w:rsidP="00A64B31">
      <w:pPr>
        <w:spacing w:before="120" w:after="120" w:line="276" w:lineRule="auto"/>
        <w:ind w:firstLine="709"/>
        <w:jc w:val="both"/>
        <w:rPr>
          <w:rFonts w:ascii="Arial" w:eastAsia="Calibri" w:hAnsi="Arial" w:cs="Arial"/>
          <w:color w:val="000000" w:themeColor="text1"/>
          <w:sz w:val="22"/>
          <w:lang w:val="es-ES"/>
        </w:rPr>
      </w:pPr>
      <w:r w:rsidRPr="002345FC">
        <w:rPr>
          <w:rFonts w:ascii="Arial" w:eastAsia="Calibri" w:hAnsi="Arial" w:cs="Arial"/>
          <w:color w:val="000000" w:themeColor="text1"/>
          <w:sz w:val="22"/>
          <w:lang w:val="es-ES"/>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14:paraId="717BC5AC" w14:textId="428707CD" w:rsidR="002345FC" w:rsidRPr="002345FC" w:rsidRDefault="002345FC" w:rsidP="00A64B31">
      <w:pPr>
        <w:spacing w:before="120" w:after="120" w:line="276" w:lineRule="auto"/>
        <w:ind w:firstLine="709"/>
        <w:jc w:val="both"/>
        <w:rPr>
          <w:rFonts w:ascii="Arial" w:eastAsia="Calibri" w:hAnsi="Arial" w:cs="Arial"/>
          <w:color w:val="000000" w:themeColor="text1"/>
          <w:sz w:val="22"/>
          <w:lang w:val="es-ES"/>
        </w:rPr>
      </w:pPr>
      <w:r w:rsidRPr="002345FC">
        <w:rPr>
          <w:rFonts w:ascii="Arial" w:eastAsia="Calibri" w:hAnsi="Arial" w:cs="Arial"/>
          <w:color w:val="000000" w:themeColor="text1"/>
          <w:sz w:val="22"/>
          <w:lang w:val="es-ES"/>
        </w:rPr>
        <w:lastRenderedPageBreak/>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w:t>
      </w:r>
      <w:r w:rsidR="00207258">
        <w:rPr>
          <w:rFonts w:ascii="Arial" w:eastAsia="Calibri" w:hAnsi="Arial" w:cs="Arial"/>
          <w:color w:val="000000" w:themeColor="text1"/>
          <w:sz w:val="22"/>
          <w:lang w:val="es-ES"/>
        </w:rPr>
        <w:t xml:space="preserve"> los procedimientos de selección,</w:t>
      </w:r>
      <w:r w:rsidRPr="002345FC">
        <w:rPr>
          <w:rFonts w:ascii="Arial" w:eastAsia="Calibri" w:hAnsi="Arial" w:cs="Arial"/>
          <w:color w:val="000000" w:themeColor="text1"/>
          <w:sz w:val="22"/>
          <w:lang w:val="es-ES"/>
        </w:rPr>
        <w:t xml:space="preserve"> y se publicarán en la plataforma del SECOP para cada procedimiento de contratación que adelante</w:t>
      </w:r>
      <w:r w:rsidR="00207258">
        <w:rPr>
          <w:rFonts w:ascii="Arial" w:eastAsia="Calibri" w:hAnsi="Arial" w:cs="Arial"/>
          <w:color w:val="000000" w:themeColor="text1"/>
          <w:sz w:val="22"/>
          <w:lang w:val="es-ES"/>
        </w:rPr>
        <w:t>n</w:t>
      </w:r>
      <w:r w:rsidRPr="002345FC">
        <w:rPr>
          <w:rFonts w:ascii="Arial" w:eastAsia="Calibri" w:hAnsi="Arial" w:cs="Arial"/>
          <w:color w:val="000000" w:themeColor="text1"/>
          <w:sz w:val="22"/>
          <w:lang w:val="es-ES"/>
        </w:rPr>
        <w:t xml:space="preserve">, incluido el acto de adjudicación, por expresa disposición del literal g) del artículo 11 de la Ley 1712 de 2014. </w:t>
      </w:r>
    </w:p>
    <w:p w14:paraId="345B4E66" w14:textId="514313DF" w:rsidR="002345FC" w:rsidRPr="002345FC" w:rsidRDefault="002345FC" w:rsidP="00A64B31">
      <w:pPr>
        <w:shd w:val="clear" w:color="auto" w:fill="FFFFFF"/>
        <w:spacing w:before="120" w:after="120" w:line="276" w:lineRule="auto"/>
        <w:ind w:firstLine="709"/>
        <w:jc w:val="both"/>
        <w:rPr>
          <w:rFonts w:ascii="Arial" w:hAnsi="Arial" w:cs="Arial"/>
          <w:color w:val="000000" w:themeColor="text1"/>
          <w:sz w:val="22"/>
          <w:lang w:val="es-ES" w:eastAsia="es-CO"/>
        </w:rPr>
      </w:pPr>
      <w:r w:rsidRPr="002345FC">
        <w:rPr>
          <w:rFonts w:ascii="Arial" w:eastAsia="Calibri" w:hAnsi="Arial" w:cs="Arial"/>
          <w:color w:val="000000" w:themeColor="text1"/>
          <w:sz w:val="22"/>
          <w:lang w:val="es-ES"/>
        </w:rPr>
        <w:t>Por lo tanto, en estos casos aplica la Ley 1712 de 2014 y el Decreto 103 de 2015, no el Decreto 1082 de 2015, porque esta última norma rige a las entidades sometidas al Estatuto General de Contratación Pública, y por lo tanto no aplica a las empresas industriales y comerciales del Estado que, por regla general, se rigen por el derecho privado</w:t>
      </w:r>
      <w:r w:rsidR="00207258">
        <w:rPr>
          <w:rStyle w:val="Refdenotaalpie"/>
          <w:rFonts w:ascii="Arial" w:eastAsia="Calibri" w:hAnsi="Arial" w:cs="Arial"/>
          <w:color w:val="000000" w:themeColor="text1"/>
          <w:sz w:val="22"/>
          <w:lang w:val="es-ES"/>
        </w:rPr>
        <w:footnoteReference w:id="14"/>
      </w:r>
      <w:r w:rsidRPr="002345FC">
        <w:rPr>
          <w:rFonts w:ascii="Arial" w:eastAsia="Calibri" w:hAnsi="Arial" w:cs="Arial"/>
          <w:color w:val="000000" w:themeColor="text1"/>
          <w:sz w:val="22"/>
          <w:lang w:val="es-ES"/>
        </w:rPr>
        <w:t>. Por su parte, la Ley 1712 de 2014 y el Decreto 103 de 2015 rigen a cualquier entidad pública, incluyendo</w:t>
      </w:r>
      <w:r w:rsidRPr="002345FC">
        <w:rPr>
          <w:rFonts w:ascii="Arial" w:hAnsi="Arial" w:cs="Arial"/>
          <w:color w:val="000000" w:themeColor="text1"/>
          <w:sz w:val="22"/>
          <w:lang w:val="es-ES"/>
        </w:rPr>
        <w:t xml:space="preserve"> </w:t>
      </w:r>
      <w:r w:rsidRPr="002345FC">
        <w:rPr>
          <w:rFonts w:ascii="Arial" w:hAnsi="Arial" w:cs="Arial"/>
          <w:color w:val="000000" w:themeColor="text1"/>
          <w:sz w:val="22"/>
          <w:lang w:val="es-ES" w:eastAsia="es-CO"/>
        </w:rPr>
        <w:t>las pertenecientes a todas las Ramas del Poder Público, en todos los niveles de la estructura estatal, central o descentralizada por servicios o territorialmente, en los órdenes nacional, departamental, municipal y distrital.</w:t>
      </w:r>
    </w:p>
    <w:p w14:paraId="2DDB5CB9" w14:textId="155E2808" w:rsidR="002345FC" w:rsidRPr="002345FC" w:rsidRDefault="002345FC" w:rsidP="00A64B31">
      <w:pPr>
        <w:spacing w:before="120" w:after="120" w:line="276" w:lineRule="auto"/>
        <w:ind w:firstLine="709"/>
        <w:jc w:val="both"/>
        <w:rPr>
          <w:rFonts w:ascii="Arial" w:eastAsia="Calibri" w:hAnsi="Arial" w:cs="Arial"/>
          <w:color w:val="000000" w:themeColor="text1"/>
          <w:sz w:val="22"/>
          <w:lang w:val="es-ES"/>
        </w:rPr>
      </w:pPr>
      <w:r w:rsidRPr="002345FC">
        <w:rPr>
          <w:rFonts w:ascii="Arial" w:eastAsia="Calibri" w:hAnsi="Arial" w:cs="Arial"/>
          <w:color w:val="000000" w:themeColor="text1"/>
          <w:sz w:val="22"/>
          <w:lang w:val="es-ES"/>
        </w:rPr>
        <w:t>Identificados los documentos que deben publicar las entidades de régimen especial y su fundamento normativo, a continuación, se explicará cu</w:t>
      </w:r>
      <w:r w:rsidR="00207258">
        <w:rPr>
          <w:rFonts w:ascii="Arial" w:eastAsia="Calibri" w:hAnsi="Arial" w:cs="Arial"/>
          <w:color w:val="000000" w:themeColor="text1"/>
          <w:sz w:val="22"/>
          <w:lang w:val="es-ES"/>
        </w:rPr>
        <w:t>á</w:t>
      </w:r>
      <w:r w:rsidRPr="002345FC">
        <w:rPr>
          <w:rFonts w:ascii="Arial" w:eastAsia="Calibri" w:hAnsi="Arial" w:cs="Arial"/>
          <w:color w:val="000000" w:themeColor="text1"/>
          <w:sz w:val="22"/>
          <w:lang w:val="es-ES"/>
        </w:rPr>
        <w:t xml:space="preserve">ndo se deben publicar, no sin antes explicar la posición que Colombia Compra Eficiente ha tenido en relación con este asunto. </w:t>
      </w:r>
    </w:p>
    <w:p w14:paraId="5380EB7D" w14:textId="77777777" w:rsidR="002345FC" w:rsidRPr="002345FC" w:rsidRDefault="002345FC" w:rsidP="00A64B31">
      <w:pPr>
        <w:spacing w:before="120" w:after="120" w:line="276" w:lineRule="auto"/>
        <w:ind w:firstLine="709"/>
        <w:jc w:val="both"/>
        <w:rPr>
          <w:rFonts w:ascii="Arial" w:eastAsia="Calibri" w:hAnsi="Arial" w:cs="Arial"/>
          <w:color w:val="000000" w:themeColor="text1"/>
          <w:sz w:val="22"/>
          <w:lang w:val="es-ES"/>
        </w:rPr>
      </w:pPr>
      <w:r w:rsidRPr="002345FC">
        <w:rPr>
          <w:rFonts w:ascii="Arial" w:eastAsia="Calibri" w:hAnsi="Arial" w:cs="Arial"/>
          <w:color w:val="000000" w:themeColor="text1"/>
          <w:sz w:val="22"/>
          <w:lang w:val="es-ES"/>
        </w:rPr>
        <w:t>En el año 2017, en la consulta con radicado No. 4201713000005390 se prevé que: el plazo para publicar por parte de las entidades de régimen especial es el que se fije en el manual de contratación de la entidad»</w:t>
      </w:r>
      <w:r w:rsidRPr="002345FC">
        <w:rPr>
          <w:rFonts w:ascii="Arial" w:eastAsia="Calibri" w:hAnsi="Arial" w:cs="Arial"/>
          <w:color w:val="000000" w:themeColor="text1"/>
          <w:sz w:val="22"/>
          <w:vertAlign w:val="superscript"/>
          <w:lang w:val="es-ES"/>
        </w:rPr>
        <w:footnoteReference w:id="15"/>
      </w:r>
      <w:r w:rsidRPr="002345FC">
        <w:rPr>
          <w:rFonts w:ascii="Arial" w:eastAsia="Calibri" w:hAnsi="Arial" w:cs="Arial"/>
          <w:color w:val="000000" w:themeColor="text1"/>
          <w:sz w:val="22"/>
          <w:lang w:val="es-ES"/>
        </w:rPr>
        <w:t xml:space="preserve">. Por su parte, en el año 2018, con la expedición de </w:t>
      </w:r>
      <w:r w:rsidRPr="002345FC">
        <w:rPr>
          <w:rFonts w:ascii="Arial" w:eastAsia="Calibri" w:hAnsi="Arial" w:cs="Arial"/>
          <w:color w:val="000000" w:themeColor="text1"/>
          <w:sz w:val="22"/>
          <w:lang w:val="es-ES"/>
        </w:rPr>
        <w:lastRenderedPageBreak/>
        <w:t>la Circular Externa Única, se cambió la postura y se indica: «las entidades que aun utilizan el SECOP I están obligadas a publicar los documentos del proceso dentro de los tres (3) días siguientes a su expedición</w:t>
      </w:r>
      <w:r w:rsidRPr="002345FC">
        <w:rPr>
          <w:rFonts w:ascii="Arial" w:eastAsia="Calibri" w:hAnsi="Arial" w:cs="Arial"/>
          <w:color w:val="000000" w:themeColor="text1"/>
          <w:sz w:val="22"/>
          <w:vertAlign w:val="superscript"/>
          <w:lang w:val="es-ES"/>
        </w:rPr>
        <w:footnoteReference w:id="16"/>
      </w:r>
      <w:r w:rsidRPr="002345FC">
        <w:rPr>
          <w:rFonts w:ascii="Arial" w:eastAsia="Calibri" w:hAnsi="Arial" w:cs="Arial"/>
          <w:color w:val="000000" w:themeColor="text1"/>
          <w:sz w:val="22"/>
          <w:lang w:val="es-ES"/>
        </w:rPr>
        <w:t xml:space="preserve"> […]». De lo regulado en la Circular Externa Única se infiere que se otorga un tratamiento igualitario a las entidades, independientemente de su régimen de contratación, por lo tanto, aplica el artículo 2.2.1.1.1.7.1. del Decreto 1082 de 2015. </w:t>
      </w:r>
    </w:p>
    <w:p w14:paraId="13D702CA" w14:textId="5321CB2D" w:rsidR="002345FC" w:rsidRPr="002345FC" w:rsidRDefault="002345FC" w:rsidP="00A64B31">
      <w:pPr>
        <w:spacing w:before="120" w:after="120" w:line="276" w:lineRule="auto"/>
        <w:ind w:firstLine="709"/>
        <w:jc w:val="both"/>
        <w:rPr>
          <w:rFonts w:ascii="Arial" w:eastAsia="Calibri" w:hAnsi="Arial" w:cs="Arial"/>
          <w:color w:val="000000" w:themeColor="text1"/>
          <w:sz w:val="22"/>
          <w:lang w:val="es-ES"/>
        </w:rPr>
      </w:pPr>
      <w:r w:rsidRPr="002345FC">
        <w:rPr>
          <w:rFonts w:ascii="Arial" w:eastAsia="Calibri" w:hAnsi="Arial" w:cs="Arial"/>
          <w:color w:val="000000" w:themeColor="text1"/>
          <w:sz w:val="22"/>
          <w:lang w:val="es-ES"/>
        </w:rPr>
        <w:t>En este sentido, se han tenido dos posturas frente a la oportunidad de publicar los documentos en el SECOP. En un primer momento, la entidad tiene autonomía para determinar el plazo en su manual de contratación, debido a que no les aplica el Estatuto General de Contratación</w:t>
      </w:r>
      <w:r w:rsidR="00207258">
        <w:rPr>
          <w:rFonts w:ascii="Arial" w:eastAsia="Calibri" w:hAnsi="Arial" w:cs="Arial"/>
          <w:color w:val="000000" w:themeColor="text1"/>
          <w:sz w:val="22"/>
          <w:lang w:val="es-ES"/>
        </w:rPr>
        <w:t xml:space="preserve"> de la Administración</w:t>
      </w:r>
      <w:r w:rsidRPr="002345FC">
        <w:rPr>
          <w:rFonts w:ascii="Arial" w:eastAsia="Calibri" w:hAnsi="Arial" w:cs="Arial"/>
          <w:color w:val="000000" w:themeColor="text1"/>
          <w:sz w:val="22"/>
          <w:lang w:val="es-ES"/>
        </w:rPr>
        <w:t xml:space="preserve">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14:paraId="3A92B3D5" w14:textId="77777777" w:rsidR="002345FC" w:rsidRPr="002345FC" w:rsidRDefault="002345FC" w:rsidP="00A64B31">
      <w:pPr>
        <w:spacing w:before="120" w:after="120" w:line="276" w:lineRule="auto"/>
        <w:ind w:firstLine="709"/>
        <w:jc w:val="both"/>
        <w:rPr>
          <w:rFonts w:ascii="Arial" w:eastAsia="Calibri" w:hAnsi="Arial" w:cs="Arial"/>
          <w:color w:val="000000" w:themeColor="text1"/>
          <w:sz w:val="22"/>
          <w:lang w:val="es-ES"/>
        </w:rPr>
      </w:pPr>
      <w:r w:rsidRPr="002345FC">
        <w:rPr>
          <w:rFonts w:ascii="Arial" w:eastAsia="Calibri" w:hAnsi="Arial" w:cs="Arial"/>
          <w:color w:val="000000" w:themeColor="text1"/>
          <w:sz w:val="22"/>
          <w:lang w:val="es-ES"/>
        </w:rPr>
        <w:t>La Ley 1712 de 2014 y el Decreto reglamentario 103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w:t>
      </w:r>
      <w:r w:rsidRPr="002345FC">
        <w:rPr>
          <w:rFonts w:ascii="Arial" w:eastAsia="Calibri" w:hAnsi="Arial" w:cs="Arial"/>
          <w:i/>
          <w:color w:val="000000" w:themeColor="text1"/>
          <w:sz w:val="22"/>
          <w:lang w:val="es-ES"/>
        </w:rPr>
        <w:t xml:space="preserve"> </w:t>
      </w:r>
      <w:r w:rsidRPr="002345FC">
        <w:rPr>
          <w:rFonts w:ascii="Arial" w:eastAsia="Calibri" w:hAnsi="Arial" w:cs="Arial"/>
          <w:color w:val="000000" w:themeColor="text1"/>
          <w:sz w:val="22"/>
          <w:lang w:val="es-ES"/>
        </w:rPr>
        <w:t>razón de ser de la norma»</w:t>
      </w:r>
      <w:r w:rsidRPr="002345FC">
        <w:rPr>
          <w:rFonts w:ascii="Arial" w:eastAsia="Calibri" w:hAnsi="Arial" w:cs="Arial"/>
          <w:color w:val="000000" w:themeColor="text1"/>
          <w:sz w:val="22"/>
          <w:vertAlign w:val="superscript"/>
          <w:lang w:val="es-ES"/>
        </w:rPr>
        <w:footnoteReference w:id="17"/>
      </w:r>
      <w:r w:rsidRPr="002345FC">
        <w:rPr>
          <w:rFonts w:ascii="Arial" w:eastAsia="Calibri" w:hAnsi="Arial" w:cs="Arial"/>
          <w:color w:val="000000" w:themeColor="text1"/>
          <w:sz w:val="22"/>
          <w:lang w:val="es-ES"/>
        </w:rPr>
        <w:t xml:space="preserve">. En este sentido, el juez razona por analogía, cuando aplica una ley frente una situación no contemplada explícitamente en ella, a partir del estudio de situaciones fácticas que fueron tratadas por el legislador y guardan similitud con el asunto tratado. </w:t>
      </w:r>
    </w:p>
    <w:p w14:paraId="2909D1EA" w14:textId="77777777" w:rsidR="002345FC" w:rsidRPr="002345FC" w:rsidRDefault="002345FC" w:rsidP="00A64B31">
      <w:pPr>
        <w:spacing w:before="120" w:after="120" w:line="276" w:lineRule="auto"/>
        <w:ind w:firstLine="709"/>
        <w:jc w:val="both"/>
        <w:rPr>
          <w:rFonts w:ascii="Arial" w:eastAsia="Calibri" w:hAnsi="Arial" w:cs="Arial"/>
          <w:color w:val="000000" w:themeColor="text1"/>
          <w:sz w:val="22"/>
          <w:lang w:val="es-ES"/>
        </w:rPr>
      </w:pPr>
      <w:r w:rsidRPr="002345FC">
        <w:rPr>
          <w:rFonts w:ascii="Arial" w:eastAsia="Calibri" w:hAnsi="Arial" w:cs="Arial"/>
          <w:color w:val="000000" w:themeColor="text1"/>
          <w:sz w:val="22"/>
          <w:lang w:val="es-ES"/>
        </w:rPr>
        <w:lastRenderedPageBreak/>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Pr="002345FC">
        <w:rPr>
          <w:rFonts w:ascii="Arial" w:eastAsia="Calibri" w:hAnsi="Arial" w:cs="Arial"/>
          <w:color w:val="000000" w:themeColor="text1"/>
          <w:sz w:val="22"/>
          <w:vertAlign w:val="superscript"/>
          <w:lang w:val="es-ES"/>
        </w:rPr>
        <w:footnoteReference w:id="18"/>
      </w:r>
      <w:r w:rsidRPr="002345FC">
        <w:rPr>
          <w:rFonts w:ascii="Arial" w:eastAsia="Calibri" w:hAnsi="Arial" w:cs="Arial"/>
          <w:color w:val="000000" w:themeColor="text1"/>
          <w:sz w:val="22"/>
          <w:lang w:val="es-ES"/>
        </w:rPr>
        <w:t xml:space="preserve">.En este sentido, las entidades sometidas al régimen de contratación de Ley 80 de 1993 publicarán en el SECOP sus documentos dentro de los 3 días siguientes a su expedición. </w:t>
      </w:r>
    </w:p>
    <w:p w14:paraId="78C6C82F" w14:textId="0D157916" w:rsidR="002345FC" w:rsidRPr="002345FC" w:rsidRDefault="002345FC" w:rsidP="00A64B31">
      <w:pPr>
        <w:spacing w:before="120" w:after="120" w:line="276" w:lineRule="auto"/>
        <w:ind w:firstLine="709"/>
        <w:jc w:val="both"/>
        <w:rPr>
          <w:rFonts w:ascii="Arial" w:eastAsia="Calibri" w:hAnsi="Arial" w:cs="Arial"/>
          <w:color w:val="000000" w:themeColor="text1"/>
          <w:sz w:val="22"/>
          <w:lang w:val="es-ES"/>
        </w:rPr>
      </w:pPr>
      <w:r w:rsidRPr="002345FC">
        <w:rPr>
          <w:rFonts w:ascii="Arial" w:eastAsia="Calibri" w:hAnsi="Arial" w:cs="Arial"/>
          <w:color w:val="000000" w:themeColor="text1"/>
          <w:sz w:val="22"/>
          <w:lang w:val="es-ES"/>
        </w:rPr>
        <w:t>Si bien, c</w:t>
      </w:r>
      <w:r w:rsidR="00207258">
        <w:rPr>
          <w:rFonts w:ascii="Arial" w:eastAsia="Calibri" w:hAnsi="Arial" w:cs="Arial"/>
          <w:color w:val="000000" w:themeColor="text1"/>
          <w:sz w:val="22"/>
          <w:lang w:val="es-ES"/>
        </w:rPr>
        <w:t>o</w:t>
      </w:r>
      <w:r w:rsidRPr="002345FC">
        <w:rPr>
          <w:rFonts w:ascii="Arial" w:eastAsia="Calibri" w:hAnsi="Arial" w:cs="Arial"/>
          <w:color w:val="000000" w:themeColor="text1"/>
          <w:sz w:val="22"/>
          <w:lang w:val="es-ES"/>
        </w:rPr>
        <w:t xml:space="preserve">mo se mencionó en el acápite anterior, el Decreto 1082 de 2015 no aplica a las empresas industriales y comerciales del Estado, </w:t>
      </w:r>
      <w:r w:rsidR="00FB032F">
        <w:rPr>
          <w:rFonts w:ascii="Arial" w:eastAsia="Calibri" w:hAnsi="Arial" w:cs="Arial"/>
          <w:color w:val="000000" w:themeColor="text1"/>
          <w:sz w:val="22"/>
          <w:lang w:val="es-ES"/>
        </w:rPr>
        <w:t>cuyo</w:t>
      </w:r>
      <w:r w:rsidRPr="002345FC">
        <w:rPr>
          <w:rFonts w:ascii="Arial" w:eastAsia="Calibri" w:hAnsi="Arial" w:cs="Arial"/>
          <w:color w:val="000000" w:themeColor="text1"/>
          <w:sz w:val="22"/>
          <w:lang w:val="es-ES"/>
        </w:rPr>
        <w:t xml:space="preserve"> régimen de contratación </w:t>
      </w:r>
      <w:r w:rsidR="00FB032F">
        <w:rPr>
          <w:rFonts w:ascii="Arial" w:eastAsia="Calibri" w:hAnsi="Arial" w:cs="Arial"/>
          <w:color w:val="000000" w:themeColor="text1"/>
          <w:sz w:val="22"/>
          <w:lang w:val="es-ES"/>
        </w:rPr>
        <w:t>sea</w:t>
      </w:r>
      <w:r w:rsidR="00FB032F" w:rsidRPr="002345FC">
        <w:rPr>
          <w:rFonts w:ascii="Arial" w:eastAsia="Calibri" w:hAnsi="Arial" w:cs="Arial"/>
          <w:color w:val="000000" w:themeColor="text1"/>
          <w:sz w:val="22"/>
          <w:lang w:val="es-ES"/>
        </w:rPr>
        <w:t xml:space="preserve"> </w:t>
      </w:r>
      <w:r w:rsidRPr="002345FC">
        <w:rPr>
          <w:rFonts w:ascii="Arial" w:eastAsia="Calibri" w:hAnsi="Arial" w:cs="Arial"/>
          <w:color w:val="000000" w:themeColor="text1"/>
          <w:sz w:val="22"/>
          <w:lang w:val="es-ES"/>
        </w:rPr>
        <w:t xml:space="preserve">el derecho privado, </w:t>
      </w:r>
      <w:r w:rsidR="00FB032F">
        <w:rPr>
          <w:rFonts w:ascii="Arial" w:eastAsia="Calibri" w:hAnsi="Arial" w:cs="Arial"/>
          <w:color w:val="000000" w:themeColor="text1"/>
          <w:sz w:val="22"/>
          <w:lang w:val="es-ES"/>
        </w:rPr>
        <w:t>es</w:t>
      </w:r>
      <w:r w:rsidR="00FB032F" w:rsidRPr="002345FC">
        <w:rPr>
          <w:rFonts w:ascii="Arial" w:eastAsia="Calibri" w:hAnsi="Arial" w:cs="Arial"/>
          <w:color w:val="000000" w:themeColor="text1"/>
          <w:sz w:val="22"/>
          <w:lang w:val="es-ES"/>
        </w:rPr>
        <w:t xml:space="preserve"> </w:t>
      </w:r>
      <w:r w:rsidRPr="002345FC">
        <w:rPr>
          <w:rFonts w:ascii="Arial" w:eastAsia="Calibri" w:hAnsi="Arial" w:cs="Arial"/>
          <w:color w:val="000000" w:themeColor="text1"/>
          <w:sz w:val="22"/>
          <w:lang w:val="es-ES"/>
        </w:rPr>
        <w:t xml:space="preserve">posible aplicarle esta </w:t>
      </w:r>
      <w:r w:rsidR="00FB032F">
        <w:rPr>
          <w:rFonts w:ascii="Arial" w:eastAsia="Calibri" w:hAnsi="Arial" w:cs="Arial"/>
          <w:color w:val="000000" w:themeColor="text1"/>
          <w:sz w:val="22"/>
          <w:lang w:val="es-ES"/>
        </w:rPr>
        <w:t>disposición</w:t>
      </w:r>
      <w:r w:rsidR="00FB032F" w:rsidRPr="002345FC">
        <w:rPr>
          <w:rFonts w:ascii="Arial" w:eastAsia="Calibri" w:hAnsi="Arial" w:cs="Arial"/>
          <w:color w:val="000000" w:themeColor="text1"/>
          <w:sz w:val="22"/>
          <w:lang w:val="es-ES"/>
        </w:rPr>
        <w:t xml:space="preserve"> </w:t>
      </w:r>
      <w:r w:rsidRPr="002345FC">
        <w:rPr>
          <w:rFonts w:ascii="Arial" w:eastAsia="Calibri" w:hAnsi="Arial" w:cs="Arial"/>
          <w:color w:val="000000" w:themeColor="text1"/>
          <w:sz w:val="22"/>
          <w:lang w:val="es-ES"/>
        </w:rPr>
        <w:t>en virtud de la analogía. Lo anterior, debido a que esta norma guarda similitud con el asunto tratado</w:t>
      </w:r>
      <w:r w:rsidR="00FB032F">
        <w:rPr>
          <w:rFonts w:ascii="Arial" w:eastAsia="Calibri" w:hAnsi="Arial" w:cs="Arial"/>
          <w:color w:val="000000" w:themeColor="text1"/>
          <w:sz w:val="22"/>
          <w:lang w:val="es-ES"/>
        </w:rPr>
        <w:t>,</w:t>
      </w:r>
      <w:r w:rsidRPr="002345FC">
        <w:rPr>
          <w:rFonts w:ascii="Arial" w:eastAsia="Calibri" w:hAnsi="Arial" w:cs="Arial"/>
          <w:color w:val="000000" w:themeColor="text1"/>
          <w:sz w:val="22"/>
          <w:lang w:val="es-ES"/>
        </w:rPr>
        <w:t xml:space="preserve"> ya que regula la publicidad de los documentos del SECOP y, por lo tanto, es viable aplicar la consecuencia jurídica de esta norma a las entidades de régimen especial. </w:t>
      </w:r>
    </w:p>
    <w:p w14:paraId="7CFAAC88" w14:textId="77777777" w:rsidR="002345FC" w:rsidRPr="002345FC" w:rsidRDefault="002345FC" w:rsidP="00A64B31">
      <w:pPr>
        <w:spacing w:before="120" w:after="120" w:line="276" w:lineRule="auto"/>
        <w:jc w:val="both"/>
        <w:rPr>
          <w:rFonts w:ascii="Arial" w:eastAsia="Calibri" w:hAnsi="Arial" w:cs="Arial"/>
          <w:color w:val="000000" w:themeColor="text1"/>
          <w:sz w:val="22"/>
          <w:lang w:val="es-ES"/>
        </w:rPr>
      </w:pPr>
      <w:r w:rsidRPr="002345FC">
        <w:rPr>
          <w:rFonts w:ascii="Arial" w:eastAsia="Calibri" w:hAnsi="Arial" w:cs="Arial"/>
          <w:color w:val="000000" w:themeColor="text1"/>
          <w:sz w:val="22"/>
          <w:lang w:val="es-ES"/>
        </w:rPr>
        <w:tab/>
        <w:t xml:space="preserve">A su vez, no es posible que las entidades definan el momento en el cual publicarán sus documentos contractuales en su manual de contratación, porque este es un asunto que debe definir el legislador o el gobierno por medio de un Decreto reglamentario. </w:t>
      </w:r>
    </w:p>
    <w:p w14:paraId="19571DB3" w14:textId="5A16007D" w:rsidR="002345FC" w:rsidRPr="002345FC" w:rsidRDefault="002345FC" w:rsidP="00A64B31">
      <w:pPr>
        <w:spacing w:before="120" w:after="120" w:line="276" w:lineRule="auto"/>
        <w:jc w:val="both"/>
        <w:rPr>
          <w:rFonts w:ascii="Arial" w:eastAsia="Calibri" w:hAnsi="Arial" w:cs="Arial"/>
          <w:color w:val="000000" w:themeColor="text1"/>
          <w:sz w:val="22"/>
          <w:lang w:val="es-ES"/>
        </w:rPr>
      </w:pPr>
      <w:r w:rsidRPr="002345FC">
        <w:rPr>
          <w:rFonts w:ascii="Arial" w:eastAsia="Calibri" w:hAnsi="Arial" w:cs="Arial"/>
          <w:color w:val="000000" w:themeColor="text1"/>
          <w:sz w:val="22"/>
          <w:lang w:val="es-ES"/>
        </w:rPr>
        <w:tab/>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6D416067" w14:textId="77777777" w:rsidR="002345FC" w:rsidRPr="002345FC" w:rsidRDefault="002345FC" w:rsidP="00C37908">
      <w:pPr>
        <w:spacing w:line="276" w:lineRule="auto"/>
        <w:jc w:val="both"/>
        <w:rPr>
          <w:rFonts w:ascii="Arial" w:eastAsia="Calibri" w:hAnsi="Arial" w:cs="Arial"/>
          <w:color w:val="000000" w:themeColor="text1"/>
          <w:sz w:val="22"/>
          <w:lang w:val="es-ES"/>
        </w:rPr>
      </w:pPr>
      <w:r w:rsidRPr="002345FC">
        <w:rPr>
          <w:rFonts w:ascii="Arial" w:eastAsia="Calibri" w:hAnsi="Arial" w:cs="Arial"/>
          <w:color w:val="000000" w:themeColor="text1"/>
          <w:sz w:val="22"/>
          <w:lang w:val="es-ES"/>
        </w:rPr>
        <w:tab/>
        <w:t xml:space="preserve">En todo caso, si se adoptará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w:t>
      </w:r>
      <w:r w:rsidRPr="002345FC">
        <w:rPr>
          <w:rFonts w:ascii="Arial" w:eastAsia="Calibri" w:hAnsi="Arial" w:cs="Arial"/>
          <w:color w:val="000000" w:themeColor="text1"/>
          <w:sz w:val="22"/>
          <w:lang w:val="es-ES"/>
        </w:rPr>
        <w:lastRenderedPageBreak/>
        <w:t xml:space="preserve">entidad, porque el Decreto 1082 de 2015 reglamenta el artículo 3 de la Ley 1150 de 2007, se aplicaría el artículo 2.2.1.1.1.7.1. </w:t>
      </w:r>
    </w:p>
    <w:p w14:paraId="3E96AE7B" w14:textId="04C12C05" w:rsidR="00EF7479" w:rsidRDefault="00EF7479" w:rsidP="00C37908">
      <w:pPr>
        <w:pStyle w:val="Prrafodelista"/>
        <w:spacing w:after="0"/>
        <w:ind w:left="0"/>
        <w:contextualSpacing w:val="0"/>
        <w:jc w:val="both"/>
        <w:rPr>
          <w:rFonts w:ascii="Arial" w:eastAsia="Calibri" w:hAnsi="Arial" w:cs="Arial"/>
          <w:color w:val="000000" w:themeColor="text1"/>
          <w:sz w:val="22"/>
        </w:rPr>
      </w:pPr>
    </w:p>
    <w:p w14:paraId="212B7914" w14:textId="372E5139" w:rsidR="005F004A" w:rsidRPr="005F004A" w:rsidRDefault="005F004A" w:rsidP="005F004A">
      <w:pPr>
        <w:spacing w:line="276" w:lineRule="auto"/>
        <w:jc w:val="both"/>
        <w:rPr>
          <w:rFonts w:ascii="Arial" w:eastAsia="Calibri" w:hAnsi="Arial" w:cs="Arial"/>
          <w:b/>
          <w:sz w:val="22"/>
          <w:lang w:val="es-ES"/>
        </w:rPr>
      </w:pPr>
      <w:r w:rsidRPr="005F004A">
        <w:rPr>
          <w:rFonts w:ascii="Arial" w:eastAsia="Calibri" w:hAnsi="Arial" w:cs="Arial"/>
          <w:b/>
          <w:sz w:val="22"/>
          <w:lang w:val="es-ES"/>
        </w:rPr>
        <w:t>2.</w:t>
      </w:r>
      <w:r>
        <w:rPr>
          <w:rFonts w:ascii="Arial" w:eastAsia="Calibri" w:hAnsi="Arial" w:cs="Arial"/>
          <w:b/>
          <w:sz w:val="22"/>
          <w:lang w:val="es-ES"/>
        </w:rPr>
        <w:t>3</w:t>
      </w:r>
      <w:r w:rsidRPr="005F004A">
        <w:rPr>
          <w:rFonts w:ascii="Arial" w:eastAsia="Calibri" w:hAnsi="Arial" w:cs="Arial"/>
          <w:b/>
          <w:sz w:val="22"/>
          <w:lang w:val="es-ES"/>
        </w:rPr>
        <w:t>. El SECOP II como herramienta transaccional, su despliegue y utilización como plataforma electrónica transaccional</w:t>
      </w:r>
    </w:p>
    <w:p w14:paraId="1BD0C3C4" w14:textId="77777777" w:rsidR="005F004A" w:rsidRPr="005F004A" w:rsidRDefault="005F004A" w:rsidP="005F004A">
      <w:pPr>
        <w:spacing w:line="276" w:lineRule="auto"/>
        <w:jc w:val="both"/>
        <w:rPr>
          <w:rFonts w:ascii="Arial" w:eastAsia="Calibri" w:hAnsi="Arial" w:cs="Arial"/>
          <w:b/>
          <w:sz w:val="22"/>
          <w:lang w:val="es-ES"/>
        </w:rPr>
      </w:pPr>
    </w:p>
    <w:p w14:paraId="32F30554" w14:textId="77777777" w:rsidR="005F004A" w:rsidRPr="005F004A" w:rsidRDefault="005F004A" w:rsidP="005F004A">
      <w:pPr>
        <w:spacing w:after="120" w:line="276" w:lineRule="auto"/>
        <w:jc w:val="both"/>
        <w:rPr>
          <w:rFonts w:ascii="Arial" w:eastAsia="Calibri" w:hAnsi="Arial" w:cs="Arial"/>
          <w:sz w:val="22"/>
          <w:lang w:val="es-ES"/>
        </w:rPr>
      </w:pPr>
      <w:r w:rsidRPr="005F004A">
        <w:rPr>
          <w:rFonts w:ascii="Arial" w:eastAsia="Calibri" w:hAnsi="Arial" w:cs="Arial"/>
          <w:sz w:val="22"/>
          <w:lang w:val="es-ES"/>
        </w:rPr>
        <w:t>La Agencia Nacional de Contratación Pública – Colombia Compra Eficiente tiene como función la administración del SECOP</w:t>
      </w:r>
      <w:r w:rsidRPr="005F004A">
        <w:rPr>
          <w:rStyle w:val="Refdenotaalpie"/>
          <w:rFonts w:ascii="Arial" w:eastAsia="Calibri" w:hAnsi="Arial" w:cs="Arial"/>
          <w:sz w:val="22"/>
          <w:lang w:val="es-ES"/>
        </w:rPr>
        <w:footnoteReference w:id="19"/>
      </w:r>
      <w:r w:rsidRPr="005F004A">
        <w:rPr>
          <w:rFonts w:ascii="Arial" w:eastAsia="Calibri" w:hAnsi="Arial" w:cs="Arial"/>
          <w:sz w:val="22"/>
          <w:lang w:val="es-ES"/>
        </w:rPr>
        <w:t>, por lo cual se desarrolló la primera versión  ̶ SECOP I ̶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30203A2A" w14:textId="77777777" w:rsidR="005F004A" w:rsidRPr="005F004A" w:rsidRDefault="005F004A" w:rsidP="005F004A">
      <w:pPr>
        <w:spacing w:before="120" w:after="120" w:line="276" w:lineRule="auto"/>
        <w:ind w:firstLine="708"/>
        <w:jc w:val="both"/>
        <w:rPr>
          <w:rFonts w:ascii="Arial" w:eastAsia="Calibri" w:hAnsi="Arial" w:cs="Arial"/>
          <w:sz w:val="22"/>
          <w:lang w:val="es-ES"/>
        </w:rPr>
      </w:pPr>
      <w:r w:rsidRPr="005F004A">
        <w:rPr>
          <w:rFonts w:ascii="Arial" w:eastAsia="Calibri" w:hAnsi="Arial" w:cs="Arial"/>
          <w:sz w:val="22"/>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5F641E25" w14:textId="77777777" w:rsidR="005F004A" w:rsidRPr="005F004A" w:rsidRDefault="005F004A" w:rsidP="005F004A">
      <w:pPr>
        <w:spacing w:before="120" w:after="120" w:line="276" w:lineRule="auto"/>
        <w:ind w:firstLine="708"/>
        <w:jc w:val="both"/>
        <w:rPr>
          <w:rFonts w:ascii="Arial" w:eastAsia="Calibri" w:hAnsi="Arial" w:cs="Arial"/>
          <w:sz w:val="22"/>
          <w:lang w:val="es-ES"/>
        </w:rPr>
      </w:pPr>
      <w:r w:rsidRPr="005F004A">
        <w:rPr>
          <w:rFonts w:ascii="Arial" w:eastAsia="Calibri" w:hAnsi="Arial" w:cs="Arial"/>
          <w:sz w:val="22"/>
          <w:lang w:val="es-ES"/>
        </w:rPr>
        <w:t>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w:t>
      </w:r>
    </w:p>
    <w:p w14:paraId="1EE556D2" w14:textId="77777777" w:rsidR="005F004A" w:rsidRPr="005F004A" w:rsidRDefault="005F004A" w:rsidP="005F004A">
      <w:pPr>
        <w:spacing w:before="120" w:after="120" w:line="276" w:lineRule="auto"/>
        <w:ind w:firstLine="708"/>
        <w:jc w:val="both"/>
        <w:rPr>
          <w:rFonts w:ascii="Arial" w:eastAsia="Calibri" w:hAnsi="Arial" w:cs="Arial"/>
          <w:sz w:val="22"/>
        </w:rPr>
      </w:pPr>
      <w:r w:rsidRPr="005F004A">
        <w:rPr>
          <w:rFonts w:ascii="Arial" w:eastAsia="Calibri" w:hAnsi="Arial" w:cs="Arial"/>
          <w:sz w:val="22"/>
        </w:rPr>
        <w:t>El SECOP II, entonces, empezó a ser de uso obligatorio solo para las entidades mencionadas en el Anexo 1 de la Circular Externa No. 1 de 2019, y por ende el SECOP I cumple únicamente la función de repositorio de información.</w:t>
      </w:r>
    </w:p>
    <w:p w14:paraId="5F4086E9" w14:textId="16D506AB" w:rsidR="005F004A" w:rsidRPr="005F004A" w:rsidRDefault="005F004A" w:rsidP="005F004A">
      <w:pPr>
        <w:spacing w:before="120" w:after="120" w:line="276" w:lineRule="auto"/>
        <w:ind w:firstLine="708"/>
        <w:jc w:val="both"/>
        <w:rPr>
          <w:rFonts w:ascii="Arial" w:eastAsia="Calibri" w:hAnsi="Arial" w:cs="Arial"/>
          <w:sz w:val="22"/>
          <w:lang w:val="es-ES"/>
        </w:rPr>
      </w:pPr>
      <w:r w:rsidRPr="005F004A">
        <w:rPr>
          <w:rFonts w:ascii="Arial" w:eastAsia="Calibri" w:hAnsi="Arial" w:cs="Arial"/>
          <w:sz w:val="22"/>
          <w:lang w:val="es-ES"/>
        </w:rPr>
        <w:lastRenderedPageBreak/>
        <w:t xml:space="preserve">Este plazo fue prorrogado por la Agencia Nacional de Contratación Pública – Colombia Compra Eficiente, mediante la Circular Externa No. 2 de 2019, a través de la cual se amplió la </w:t>
      </w:r>
      <w:proofErr w:type="gramStart"/>
      <w:r w:rsidRPr="005F004A">
        <w:rPr>
          <w:rFonts w:ascii="Arial" w:eastAsia="Calibri" w:hAnsi="Arial" w:cs="Arial"/>
          <w:sz w:val="22"/>
          <w:lang w:val="es-ES"/>
        </w:rPr>
        <w:t>entrada en vigencia</w:t>
      </w:r>
      <w:proofErr w:type="gramEnd"/>
      <w:r w:rsidRPr="005F004A">
        <w:rPr>
          <w:rFonts w:ascii="Arial" w:eastAsia="Calibri" w:hAnsi="Arial" w:cs="Arial"/>
          <w:sz w:val="22"/>
          <w:lang w:val="es-ES"/>
        </w:rPr>
        <w:t xml:space="preserve"> de la obligatoriedad del SECOP ll</w:t>
      </w:r>
      <w:r w:rsidR="009E2C8D">
        <w:rPr>
          <w:rFonts w:ascii="Arial" w:eastAsia="Calibri" w:hAnsi="Arial" w:cs="Arial"/>
          <w:sz w:val="22"/>
          <w:lang w:val="es-ES"/>
        </w:rPr>
        <w:t xml:space="preserve"> para algunas entidades</w:t>
      </w:r>
      <w:r w:rsidRPr="005F004A">
        <w:rPr>
          <w:rFonts w:ascii="Arial" w:eastAsia="Calibri" w:hAnsi="Arial" w:cs="Arial"/>
          <w:sz w:val="22"/>
          <w:lang w:val="es-ES"/>
        </w:rPr>
        <w:t>. En consecuencia, las alcaldías capitales de departamento (Administración central) y los departamentos (Administración central) gestionarán todos sus procesos de contratación, exclusivamente en el SECOP ll, a partir del 1 de abril de 2020». Con todo, de acuerdo con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14:paraId="49848391" w14:textId="77777777" w:rsidR="005F004A" w:rsidRPr="005F004A" w:rsidRDefault="005F004A" w:rsidP="00D03A34">
      <w:pPr>
        <w:spacing w:before="120" w:line="276" w:lineRule="auto"/>
        <w:ind w:firstLine="709"/>
        <w:jc w:val="both"/>
        <w:rPr>
          <w:rFonts w:ascii="Arial" w:eastAsia="Calibri" w:hAnsi="Arial" w:cs="Arial"/>
          <w:b/>
          <w:sz w:val="22"/>
          <w:lang w:val="es-ES_tradnl"/>
        </w:rPr>
      </w:pPr>
      <w:r w:rsidRPr="005F004A">
        <w:rPr>
          <w:rFonts w:ascii="Arial" w:eastAsia="Calibri" w:hAnsi="Arial" w:cs="Arial"/>
          <w:sz w:val="22"/>
          <w:lang w:val="es-ES"/>
        </w:rPr>
        <w:t>Es del caso precisar que la obligación de realizar procesos de contratación a través de la plataforma SECOP II no depende del régimen contractual al que estén sometidas las entidades estatales que llevan a cabo los procesos, sino de lo dispuesto en las referidas circulares, por lo que tratándose de entidades respecto de las cuales la Circular Externa No. 1 de 2019 definió el uso obligatorio de la plataforma, no siendo exceptuadas en circulares subsiguientes, no podrán excusarse en el sometimiento de régimen de contratación al derecho privado para no usar la plataforma. En ese sentido, las entidades estatales incluidas en el Anexo 1 de la Circular Externa No. 1 de 2019, ya sea que se encuentren sometidas o exceptuadas de la aplicación de la Ley 80 de 1993, deberán cumplir con el deber de dar publicidad a la actividad contractual con la publicación de los</w:t>
      </w:r>
      <w:r w:rsidRPr="005F004A">
        <w:rPr>
          <w:rFonts w:ascii="Arial" w:eastAsia="Calibri" w:hAnsi="Arial" w:cs="Arial"/>
          <w:i/>
          <w:iCs/>
          <w:sz w:val="22"/>
          <w:lang w:val="es-ES"/>
        </w:rPr>
        <w:t xml:space="preserve"> Documentos del Proceso </w:t>
      </w:r>
      <w:r w:rsidRPr="005F004A">
        <w:rPr>
          <w:rFonts w:ascii="Arial" w:eastAsia="Calibri" w:hAnsi="Arial" w:cs="Arial"/>
          <w:sz w:val="22"/>
          <w:lang w:val="es-ES"/>
        </w:rPr>
        <w:t>y los actos administrativos del</w:t>
      </w:r>
      <w:r w:rsidRPr="005F004A">
        <w:rPr>
          <w:rFonts w:ascii="Arial" w:eastAsia="Calibri" w:hAnsi="Arial" w:cs="Arial"/>
          <w:i/>
          <w:iCs/>
          <w:sz w:val="22"/>
          <w:lang w:val="es-ES"/>
        </w:rPr>
        <w:t xml:space="preserve"> Proceso de Contratación </w:t>
      </w:r>
      <w:r w:rsidRPr="005F004A">
        <w:rPr>
          <w:rFonts w:ascii="Arial" w:eastAsia="Calibri" w:hAnsi="Arial" w:cs="Arial"/>
          <w:sz w:val="22"/>
          <w:lang w:val="es-ES"/>
        </w:rPr>
        <w:t>en el SECOP II.</w:t>
      </w:r>
    </w:p>
    <w:p w14:paraId="0AA2C350" w14:textId="77777777" w:rsidR="005F004A" w:rsidRPr="00F61FF3" w:rsidRDefault="005F004A" w:rsidP="00C37908">
      <w:pPr>
        <w:pStyle w:val="Prrafodelista"/>
        <w:spacing w:after="0"/>
        <w:ind w:left="0"/>
        <w:contextualSpacing w:val="0"/>
        <w:jc w:val="both"/>
        <w:rPr>
          <w:rFonts w:ascii="Arial" w:eastAsia="Calibri" w:hAnsi="Arial" w:cs="Arial"/>
          <w:color w:val="000000" w:themeColor="text1"/>
          <w:sz w:val="22"/>
        </w:rPr>
      </w:pPr>
    </w:p>
    <w:p w14:paraId="6FE2CB6C" w14:textId="239E2369" w:rsidR="00067572" w:rsidRPr="005F004A" w:rsidRDefault="005F004A" w:rsidP="005F004A">
      <w:pPr>
        <w:jc w:val="both"/>
        <w:rPr>
          <w:rFonts w:ascii="Arial" w:eastAsia="Calibri" w:hAnsi="Arial" w:cs="Arial"/>
          <w:b/>
          <w:bCs/>
          <w:color w:val="000000" w:themeColor="text1"/>
          <w:sz w:val="22"/>
        </w:rPr>
      </w:pPr>
      <w:r>
        <w:rPr>
          <w:rFonts w:ascii="Arial" w:eastAsia="Calibri" w:hAnsi="Arial" w:cs="Arial"/>
          <w:b/>
          <w:bCs/>
          <w:color w:val="000000" w:themeColor="text1"/>
          <w:sz w:val="22"/>
        </w:rPr>
        <w:t xml:space="preserve">2.4. </w:t>
      </w:r>
      <w:r w:rsidR="00EF7479" w:rsidRPr="005F004A">
        <w:rPr>
          <w:rFonts w:ascii="Arial" w:eastAsia="Calibri" w:hAnsi="Arial" w:cs="Arial"/>
          <w:b/>
          <w:bCs/>
          <w:color w:val="000000" w:themeColor="text1"/>
          <w:sz w:val="22"/>
        </w:rPr>
        <w:t>Contratación con recursos de Organismos Internacionales</w:t>
      </w:r>
    </w:p>
    <w:p w14:paraId="657E0060" w14:textId="77777777" w:rsidR="00FB032F" w:rsidRPr="00F61FF3" w:rsidRDefault="00FB032F" w:rsidP="00C37908">
      <w:pPr>
        <w:pStyle w:val="Prrafodelista"/>
        <w:spacing w:after="0"/>
        <w:ind w:left="360"/>
        <w:contextualSpacing w:val="0"/>
        <w:jc w:val="both"/>
        <w:rPr>
          <w:rFonts w:ascii="Arial" w:eastAsia="Calibri" w:hAnsi="Arial" w:cs="Arial"/>
          <w:b/>
          <w:bCs/>
          <w:color w:val="000000" w:themeColor="text1"/>
          <w:sz w:val="22"/>
        </w:rPr>
      </w:pPr>
    </w:p>
    <w:p w14:paraId="6BA57628" w14:textId="0AF7C4DB" w:rsidR="00067572" w:rsidRPr="00F61FF3" w:rsidRDefault="00FB032F" w:rsidP="00C37908">
      <w:pPr>
        <w:spacing w:after="120" w:line="276" w:lineRule="auto"/>
        <w:jc w:val="both"/>
        <w:rPr>
          <w:rFonts w:ascii="Arial" w:hAnsi="Arial" w:cs="Arial"/>
          <w:sz w:val="22"/>
          <w:szCs w:val="22"/>
          <w:lang w:val="es-ES"/>
        </w:rPr>
      </w:pPr>
      <w:r>
        <w:rPr>
          <w:rFonts w:ascii="Arial" w:eastAsia="Calibri" w:hAnsi="Arial" w:cs="Arial"/>
          <w:color w:val="000000" w:themeColor="text1"/>
          <w:sz w:val="22"/>
          <w:szCs w:val="22"/>
          <w:lang w:val="es-ES"/>
        </w:rPr>
        <w:t xml:space="preserve">Se </w:t>
      </w:r>
      <w:r w:rsidR="00067572" w:rsidRPr="00F61FF3">
        <w:rPr>
          <w:rFonts w:ascii="Arial" w:hAnsi="Arial" w:cs="Arial"/>
          <w:sz w:val="22"/>
          <w:szCs w:val="22"/>
          <w:lang w:val="es-ES"/>
        </w:rPr>
        <w:t xml:space="preserve">entiende </w:t>
      </w:r>
      <w:r>
        <w:rPr>
          <w:rFonts w:ascii="Arial" w:hAnsi="Arial" w:cs="Arial"/>
          <w:sz w:val="22"/>
          <w:szCs w:val="22"/>
          <w:lang w:val="es-ES"/>
        </w:rPr>
        <w:t>por</w:t>
      </w:r>
      <w:r w:rsidRPr="00F61FF3">
        <w:rPr>
          <w:rFonts w:ascii="Arial" w:hAnsi="Arial" w:cs="Arial"/>
          <w:sz w:val="22"/>
          <w:szCs w:val="22"/>
          <w:lang w:val="es-ES"/>
        </w:rPr>
        <w:t xml:space="preserve"> </w:t>
      </w:r>
      <w:r w:rsidR="00067572" w:rsidRPr="00F61FF3">
        <w:rPr>
          <w:rFonts w:ascii="Arial" w:hAnsi="Arial" w:cs="Arial"/>
          <w:sz w:val="22"/>
          <w:szCs w:val="22"/>
          <w:lang w:val="es-ES"/>
        </w:rPr>
        <w:t xml:space="preserve">organismo internacional aquella organización, grupo o asociación que se extiende más allá de las fronteras de un Estado y cuenta con órganos gubernamentales permanentes distintos e independientes de los Estados </w:t>
      </w:r>
      <w:r w:rsidR="009711D3">
        <w:rPr>
          <w:rFonts w:ascii="Arial" w:hAnsi="Arial" w:cs="Arial"/>
          <w:sz w:val="22"/>
          <w:szCs w:val="22"/>
          <w:lang w:val="es-ES"/>
        </w:rPr>
        <w:t>m</w:t>
      </w:r>
      <w:r w:rsidR="00067572" w:rsidRPr="00F61FF3">
        <w:rPr>
          <w:rFonts w:ascii="Arial" w:hAnsi="Arial" w:cs="Arial"/>
          <w:sz w:val="22"/>
          <w:szCs w:val="22"/>
          <w:lang w:val="es-ES"/>
        </w:rPr>
        <w:t xml:space="preserve">iembros de la organización </w:t>
      </w:r>
      <w:r w:rsidR="009711D3">
        <w:rPr>
          <w:rFonts w:ascii="Arial" w:hAnsi="Arial" w:cs="Arial"/>
          <w:sz w:val="22"/>
          <w:szCs w:val="22"/>
          <w:lang w:val="es-ES"/>
        </w:rPr>
        <w:t>que</w:t>
      </w:r>
      <w:r w:rsidR="00067572" w:rsidRPr="00F61FF3">
        <w:rPr>
          <w:rFonts w:ascii="Arial" w:hAnsi="Arial" w:cs="Arial"/>
          <w:sz w:val="22"/>
          <w:szCs w:val="22"/>
          <w:lang w:val="es-ES"/>
        </w:rPr>
        <w:t xml:space="preserve"> garantizan su vigencia y operatividad</w:t>
      </w:r>
      <w:r w:rsidR="00067572" w:rsidRPr="00F61FF3">
        <w:rPr>
          <w:rStyle w:val="Refdenotaalpie"/>
          <w:rFonts w:ascii="Arial" w:hAnsi="Arial" w:cs="Arial"/>
          <w:sz w:val="22"/>
          <w:szCs w:val="22"/>
          <w:lang w:val="es-ES"/>
        </w:rPr>
        <w:footnoteReference w:id="20"/>
      </w:r>
      <w:r>
        <w:rPr>
          <w:rFonts w:ascii="Arial" w:hAnsi="Arial" w:cs="Arial"/>
          <w:sz w:val="22"/>
          <w:szCs w:val="22"/>
          <w:lang w:val="es-ES"/>
        </w:rPr>
        <w:t>,</w:t>
      </w:r>
      <w:r w:rsidR="00067572" w:rsidRPr="00F61FF3">
        <w:rPr>
          <w:rFonts w:ascii="Arial" w:hAnsi="Arial" w:cs="Arial"/>
          <w:sz w:val="22"/>
          <w:szCs w:val="22"/>
          <w:lang w:val="es-ES"/>
        </w:rPr>
        <w:t xml:space="preserve">  con el propósito de cumplir objetivos comunes entre los Estados </w:t>
      </w:r>
      <w:r w:rsidR="009711D3">
        <w:rPr>
          <w:rFonts w:ascii="Arial" w:hAnsi="Arial" w:cs="Arial"/>
          <w:sz w:val="22"/>
          <w:szCs w:val="22"/>
          <w:lang w:val="es-ES"/>
        </w:rPr>
        <w:t>m</w:t>
      </w:r>
      <w:r w:rsidR="00067572" w:rsidRPr="00F61FF3">
        <w:rPr>
          <w:rFonts w:ascii="Arial" w:hAnsi="Arial" w:cs="Arial"/>
          <w:sz w:val="22"/>
          <w:szCs w:val="22"/>
          <w:lang w:val="es-ES"/>
        </w:rPr>
        <w:t xml:space="preserve">iembros. </w:t>
      </w:r>
    </w:p>
    <w:p w14:paraId="2291FD1A" w14:textId="54569421" w:rsidR="00870D1D" w:rsidRPr="00F61FF3" w:rsidRDefault="00F61FF3" w:rsidP="00870D1D">
      <w:pPr>
        <w:spacing w:before="120" w:after="120" w:line="276" w:lineRule="auto"/>
        <w:ind w:firstLine="709"/>
        <w:jc w:val="both"/>
        <w:rPr>
          <w:rFonts w:ascii="Arial" w:hAnsi="Arial" w:cs="Arial"/>
          <w:sz w:val="22"/>
          <w:szCs w:val="22"/>
          <w:lang w:val="es-ES"/>
        </w:rPr>
      </w:pPr>
      <w:r>
        <w:rPr>
          <w:rFonts w:ascii="Arial" w:hAnsi="Arial" w:cs="Arial"/>
          <w:sz w:val="22"/>
          <w:szCs w:val="22"/>
          <w:lang w:val="es-ES"/>
        </w:rPr>
        <w:lastRenderedPageBreak/>
        <w:t>Conviene decir que</w:t>
      </w:r>
      <w:r w:rsidR="00870D1D" w:rsidRPr="00F61FF3">
        <w:rPr>
          <w:rFonts w:ascii="Arial" w:hAnsi="Arial" w:cs="Arial"/>
          <w:sz w:val="22"/>
          <w:szCs w:val="22"/>
          <w:lang w:val="es-ES"/>
        </w:rPr>
        <w:t>, conforme a su nat</w:t>
      </w:r>
      <w:r>
        <w:rPr>
          <w:rFonts w:ascii="Arial" w:hAnsi="Arial" w:cs="Arial"/>
          <w:sz w:val="22"/>
          <w:szCs w:val="22"/>
          <w:lang w:val="es-ES"/>
        </w:rPr>
        <w:t>ur</w:t>
      </w:r>
      <w:r w:rsidR="00870D1D" w:rsidRPr="00F61FF3">
        <w:rPr>
          <w:rFonts w:ascii="Arial" w:hAnsi="Arial" w:cs="Arial"/>
          <w:sz w:val="22"/>
          <w:szCs w:val="22"/>
          <w:lang w:val="es-ES"/>
        </w:rPr>
        <w:t xml:space="preserve">aleza, los </w:t>
      </w:r>
      <w:r w:rsidR="009711D3">
        <w:rPr>
          <w:rFonts w:ascii="Arial" w:hAnsi="Arial" w:cs="Arial"/>
          <w:sz w:val="22"/>
          <w:szCs w:val="22"/>
          <w:lang w:val="es-ES"/>
        </w:rPr>
        <w:t>o</w:t>
      </w:r>
      <w:r w:rsidR="00870D1D" w:rsidRPr="00F61FF3">
        <w:rPr>
          <w:rFonts w:ascii="Arial" w:hAnsi="Arial" w:cs="Arial"/>
          <w:sz w:val="22"/>
          <w:szCs w:val="22"/>
          <w:lang w:val="es-ES"/>
        </w:rPr>
        <w:t xml:space="preserve">rganismos </w:t>
      </w:r>
      <w:r w:rsidR="009711D3">
        <w:rPr>
          <w:rFonts w:ascii="Arial" w:hAnsi="Arial" w:cs="Arial"/>
          <w:sz w:val="22"/>
          <w:szCs w:val="22"/>
          <w:lang w:val="es-ES"/>
        </w:rPr>
        <w:t>i</w:t>
      </w:r>
      <w:r w:rsidR="00870D1D" w:rsidRPr="00F61FF3">
        <w:rPr>
          <w:rFonts w:ascii="Arial" w:hAnsi="Arial" w:cs="Arial"/>
          <w:sz w:val="22"/>
          <w:szCs w:val="22"/>
          <w:lang w:val="es-ES"/>
        </w:rPr>
        <w:t xml:space="preserve">nternacionales </w:t>
      </w:r>
      <w:r w:rsidRPr="00F61FF3">
        <w:rPr>
          <w:rFonts w:ascii="Arial" w:hAnsi="Arial" w:cs="Arial"/>
          <w:sz w:val="22"/>
          <w:szCs w:val="22"/>
          <w:lang w:val="es-ES"/>
        </w:rPr>
        <w:t>están</w:t>
      </w:r>
      <w:r w:rsidR="00870D1D" w:rsidRPr="00F61FF3">
        <w:rPr>
          <w:rFonts w:ascii="Arial" w:hAnsi="Arial" w:cs="Arial"/>
          <w:sz w:val="22"/>
          <w:szCs w:val="22"/>
          <w:lang w:val="es-ES"/>
        </w:rPr>
        <w:t xml:space="preserve"> facultados para suscribir contratos o convenios con</w:t>
      </w:r>
      <w:r w:rsidR="00EB148A" w:rsidRPr="00F61FF3">
        <w:rPr>
          <w:rFonts w:ascii="Arial" w:hAnsi="Arial" w:cs="Arial"/>
          <w:sz w:val="22"/>
          <w:szCs w:val="22"/>
          <w:lang w:val="es-ES"/>
        </w:rPr>
        <w:t xml:space="preserve"> los</w:t>
      </w:r>
      <w:r w:rsidR="00870D1D" w:rsidRPr="00F61FF3">
        <w:rPr>
          <w:rFonts w:ascii="Arial" w:hAnsi="Arial" w:cs="Arial"/>
          <w:sz w:val="22"/>
          <w:szCs w:val="22"/>
          <w:lang w:val="es-ES"/>
        </w:rPr>
        <w:t xml:space="preserve"> Estados, </w:t>
      </w:r>
      <w:r w:rsidR="00EF63F9" w:rsidRPr="00F61FF3">
        <w:rPr>
          <w:rFonts w:ascii="Arial" w:hAnsi="Arial" w:cs="Arial"/>
          <w:sz w:val="22"/>
          <w:szCs w:val="22"/>
          <w:lang w:val="es-ES"/>
        </w:rPr>
        <w:t xml:space="preserve">lo que supone un incidente frente a la </w:t>
      </w:r>
      <w:r w:rsidRPr="00F61FF3">
        <w:rPr>
          <w:rFonts w:ascii="Arial" w:hAnsi="Arial" w:cs="Arial"/>
          <w:sz w:val="22"/>
          <w:szCs w:val="22"/>
          <w:lang w:val="es-ES"/>
        </w:rPr>
        <w:t>aplicabilidad</w:t>
      </w:r>
      <w:r w:rsidR="00EF63F9" w:rsidRPr="00F61FF3">
        <w:rPr>
          <w:rFonts w:ascii="Arial" w:hAnsi="Arial" w:cs="Arial"/>
          <w:sz w:val="22"/>
          <w:szCs w:val="22"/>
          <w:lang w:val="es-ES"/>
        </w:rPr>
        <w:t xml:space="preserve"> de los regímenes </w:t>
      </w:r>
      <w:r w:rsidR="00EB148A" w:rsidRPr="00F61FF3">
        <w:rPr>
          <w:rFonts w:ascii="Arial" w:hAnsi="Arial" w:cs="Arial"/>
          <w:sz w:val="22"/>
          <w:szCs w:val="22"/>
          <w:lang w:val="es-ES"/>
        </w:rPr>
        <w:t xml:space="preserve">tanto de los Estados contratantes como de los </w:t>
      </w:r>
      <w:r w:rsidR="009711D3">
        <w:rPr>
          <w:rFonts w:ascii="Arial" w:hAnsi="Arial" w:cs="Arial"/>
          <w:sz w:val="22"/>
          <w:szCs w:val="22"/>
          <w:lang w:val="es-ES"/>
        </w:rPr>
        <w:t>o</w:t>
      </w:r>
      <w:r w:rsidR="00EB148A" w:rsidRPr="00F61FF3">
        <w:rPr>
          <w:rFonts w:ascii="Arial" w:hAnsi="Arial" w:cs="Arial"/>
          <w:sz w:val="22"/>
          <w:szCs w:val="22"/>
          <w:lang w:val="es-ES"/>
        </w:rPr>
        <w:t xml:space="preserve">rganismos </w:t>
      </w:r>
      <w:r w:rsidR="00EF63F9" w:rsidRPr="00F61FF3">
        <w:rPr>
          <w:rFonts w:ascii="Arial" w:hAnsi="Arial" w:cs="Arial"/>
          <w:sz w:val="22"/>
          <w:szCs w:val="22"/>
          <w:lang w:val="es-ES"/>
        </w:rPr>
        <w:t>en su celebración.</w:t>
      </w:r>
      <w:r w:rsidR="00EB148A" w:rsidRPr="00F61FF3">
        <w:rPr>
          <w:rFonts w:ascii="Arial" w:hAnsi="Arial" w:cs="Arial"/>
          <w:sz w:val="22"/>
          <w:szCs w:val="22"/>
          <w:lang w:val="es-ES"/>
        </w:rPr>
        <w:t xml:space="preserve"> </w:t>
      </w:r>
    </w:p>
    <w:p w14:paraId="636E4E35" w14:textId="36D6A929" w:rsidR="00EB1002" w:rsidRPr="00EB1002" w:rsidRDefault="00067572" w:rsidP="00EB1002">
      <w:pPr>
        <w:pStyle w:val="Prrafodelista"/>
        <w:snapToGrid w:val="0"/>
        <w:spacing w:before="120" w:after="120"/>
        <w:ind w:left="0" w:firstLine="709"/>
        <w:contextualSpacing w:val="0"/>
        <w:jc w:val="both"/>
        <w:rPr>
          <w:rFonts w:ascii="Arial" w:eastAsia="Calibri" w:hAnsi="Arial" w:cs="Arial"/>
          <w:color w:val="000000" w:themeColor="text1"/>
          <w:sz w:val="22"/>
        </w:rPr>
      </w:pPr>
      <w:r w:rsidRPr="00F61FF3">
        <w:rPr>
          <w:rFonts w:ascii="Arial" w:eastAsia="Calibri" w:hAnsi="Arial" w:cs="Arial"/>
          <w:color w:val="000000" w:themeColor="text1"/>
          <w:sz w:val="22"/>
        </w:rPr>
        <w:t>El art</w:t>
      </w:r>
      <w:r w:rsidR="009711D3">
        <w:rPr>
          <w:rFonts w:ascii="Arial" w:eastAsia="Calibri" w:hAnsi="Arial" w:cs="Arial"/>
          <w:color w:val="000000" w:themeColor="text1"/>
          <w:sz w:val="22"/>
        </w:rPr>
        <w:t>í</w:t>
      </w:r>
      <w:r w:rsidRPr="00F61FF3">
        <w:rPr>
          <w:rFonts w:ascii="Arial" w:eastAsia="Calibri" w:hAnsi="Arial" w:cs="Arial"/>
          <w:color w:val="000000" w:themeColor="text1"/>
          <w:sz w:val="22"/>
        </w:rPr>
        <w:t>culo 13 de la Ley 80 de 1993</w:t>
      </w:r>
      <w:r w:rsidR="006022E6">
        <w:rPr>
          <w:rFonts w:ascii="Arial" w:eastAsia="Calibri" w:hAnsi="Arial" w:cs="Arial"/>
          <w:color w:val="000000" w:themeColor="text1"/>
          <w:sz w:val="22"/>
        </w:rPr>
        <w:t xml:space="preserve"> </w:t>
      </w:r>
      <w:r w:rsidRPr="00F61FF3">
        <w:rPr>
          <w:rFonts w:ascii="Arial" w:eastAsia="Calibri" w:hAnsi="Arial" w:cs="Arial"/>
          <w:color w:val="000000" w:themeColor="text1"/>
          <w:sz w:val="22"/>
        </w:rPr>
        <w:t xml:space="preserve">establece </w:t>
      </w:r>
      <w:r w:rsidR="00EB148A" w:rsidRPr="00F61FF3">
        <w:rPr>
          <w:rFonts w:ascii="Arial" w:eastAsia="Calibri" w:hAnsi="Arial" w:cs="Arial"/>
          <w:color w:val="000000" w:themeColor="text1"/>
          <w:sz w:val="22"/>
        </w:rPr>
        <w:t>de forma general la normativ</w:t>
      </w:r>
      <w:r w:rsidR="006022E6">
        <w:rPr>
          <w:rFonts w:ascii="Arial" w:eastAsia="Calibri" w:hAnsi="Arial" w:cs="Arial"/>
          <w:color w:val="000000" w:themeColor="text1"/>
          <w:sz w:val="22"/>
        </w:rPr>
        <w:t>a</w:t>
      </w:r>
      <w:r w:rsidR="00EB148A" w:rsidRPr="00F61FF3">
        <w:rPr>
          <w:rFonts w:ascii="Arial" w:eastAsia="Calibri" w:hAnsi="Arial" w:cs="Arial"/>
          <w:color w:val="000000" w:themeColor="text1"/>
          <w:sz w:val="22"/>
        </w:rPr>
        <w:t xml:space="preserve"> aplicable a los contratos que celebren las entidades referidas en el artículo segundo del estatuto</w:t>
      </w:r>
      <w:r w:rsidR="00EB148A" w:rsidRPr="00F61FF3">
        <w:rPr>
          <w:rStyle w:val="Refdenotaalpie"/>
          <w:rFonts w:ascii="Arial" w:eastAsia="Calibri" w:hAnsi="Arial" w:cs="Arial"/>
          <w:color w:val="000000" w:themeColor="text1"/>
          <w:sz w:val="22"/>
        </w:rPr>
        <w:footnoteReference w:id="21"/>
      </w:r>
      <w:r w:rsidR="00D91B7F">
        <w:rPr>
          <w:rFonts w:ascii="Arial" w:eastAsia="Calibri" w:hAnsi="Arial" w:cs="Arial"/>
          <w:color w:val="000000" w:themeColor="text1"/>
          <w:sz w:val="22"/>
        </w:rPr>
        <w:t>,</w:t>
      </w:r>
      <w:r w:rsidR="00EB148A" w:rsidRPr="00F61FF3">
        <w:rPr>
          <w:rFonts w:ascii="Arial" w:eastAsia="Calibri" w:hAnsi="Arial" w:cs="Arial"/>
          <w:color w:val="000000" w:themeColor="text1"/>
          <w:sz w:val="22"/>
        </w:rPr>
        <w:t xml:space="preserve"> señala</w:t>
      </w:r>
      <w:r w:rsidR="00AC7865" w:rsidRPr="00F61FF3">
        <w:rPr>
          <w:rFonts w:ascii="Arial" w:eastAsia="Calibri" w:hAnsi="Arial" w:cs="Arial"/>
          <w:color w:val="000000" w:themeColor="text1"/>
          <w:sz w:val="22"/>
        </w:rPr>
        <w:t>n</w:t>
      </w:r>
      <w:r w:rsidR="00EB148A" w:rsidRPr="00F61FF3">
        <w:rPr>
          <w:rFonts w:ascii="Arial" w:eastAsia="Calibri" w:hAnsi="Arial" w:cs="Arial"/>
          <w:color w:val="000000" w:themeColor="text1"/>
          <w:sz w:val="22"/>
        </w:rPr>
        <w:t>do</w:t>
      </w:r>
      <w:r w:rsidR="009F645A">
        <w:rPr>
          <w:rFonts w:ascii="Arial" w:eastAsia="Calibri" w:hAnsi="Arial" w:cs="Arial"/>
          <w:color w:val="000000" w:themeColor="text1"/>
          <w:sz w:val="22"/>
        </w:rPr>
        <w:t xml:space="preserve"> en el inciso primero,</w:t>
      </w:r>
      <w:r w:rsidR="00EB148A" w:rsidRPr="00F61FF3">
        <w:rPr>
          <w:rFonts w:ascii="Arial" w:eastAsia="Calibri" w:hAnsi="Arial" w:cs="Arial"/>
          <w:color w:val="000000" w:themeColor="text1"/>
          <w:sz w:val="22"/>
        </w:rPr>
        <w:t xml:space="preserve"> como primer criterio</w:t>
      </w:r>
      <w:r w:rsidR="009F645A">
        <w:rPr>
          <w:rFonts w:ascii="Arial" w:eastAsia="Calibri" w:hAnsi="Arial" w:cs="Arial"/>
          <w:color w:val="000000" w:themeColor="text1"/>
          <w:sz w:val="22"/>
        </w:rPr>
        <w:t>,</w:t>
      </w:r>
      <w:r w:rsidR="00EB148A" w:rsidRPr="00F61FF3">
        <w:rPr>
          <w:rFonts w:ascii="Arial" w:eastAsia="Calibri" w:hAnsi="Arial" w:cs="Arial"/>
          <w:color w:val="000000" w:themeColor="text1"/>
          <w:sz w:val="22"/>
        </w:rPr>
        <w:t xml:space="preserve"> la aplicabilidad las disposiciones civiles y comerciales</w:t>
      </w:r>
      <w:r w:rsidR="009F645A">
        <w:rPr>
          <w:rFonts w:ascii="Arial" w:eastAsia="Calibri" w:hAnsi="Arial" w:cs="Arial"/>
          <w:color w:val="000000" w:themeColor="text1"/>
          <w:sz w:val="22"/>
        </w:rPr>
        <w:t xml:space="preserve"> nacionales</w:t>
      </w:r>
      <w:r w:rsidR="00E7579A">
        <w:rPr>
          <w:rFonts w:ascii="Arial" w:eastAsia="Calibri" w:hAnsi="Arial" w:cs="Arial"/>
          <w:color w:val="000000" w:themeColor="text1"/>
          <w:sz w:val="22"/>
        </w:rPr>
        <w:t xml:space="preserve">, sin perjuicio de la aplicación prevalente de las </w:t>
      </w:r>
      <w:r w:rsidR="006022E6">
        <w:rPr>
          <w:rFonts w:ascii="Arial" w:eastAsia="Calibri" w:hAnsi="Arial" w:cs="Arial"/>
          <w:color w:val="000000" w:themeColor="text1"/>
          <w:sz w:val="22"/>
        </w:rPr>
        <w:t>contenidas en el Estatuto Contractual</w:t>
      </w:r>
      <w:r w:rsidR="00AC7865" w:rsidRPr="00F61FF3">
        <w:rPr>
          <w:rFonts w:ascii="Arial" w:eastAsia="Calibri" w:hAnsi="Arial" w:cs="Arial"/>
          <w:color w:val="000000" w:themeColor="text1"/>
          <w:sz w:val="22"/>
        </w:rPr>
        <w:t xml:space="preserve">; </w:t>
      </w:r>
      <w:r w:rsidR="006022E6">
        <w:rPr>
          <w:rFonts w:ascii="Arial" w:eastAsia="Calibri" w:hAnsi="Arial" w:cs="Arial"/>
          <w:color w:val="000000" w:themeColor="text1"/>
          <w:sz w:val="22"/>
        </w:rPr>
        <w:t xml:space="preserve">sin embargo, </w:t>
      </w:r>
      <w:r w:rsidR="00AC7865" w:rsidRPr="00F61FF3">
        <w:rPr>
          <w:rFonts w:ascii="Arial" w:eastAsia="Calibri" w:hAnsi="Arial" w:cs="Arial"/>
          <w:color w:val="000000" w:themeColor="text1"/>
          <w:sz w:val="22"/>
        </w:rPr>
        <w:t>en su segundo inciso</w:t>
      </w:r>
      <w:r w:rsidR="009F645A">
        <w:rPr>
          <w:rFonts w:ascii="Arial" w:eastAsia="Calibri" w:hAnsi="Arial" w:cs="Arial"/>
          <w:color w:val="000000" w:themeColor="text1"/>
          <w:sz w:val="22"/>
        </w:rPr>
        <w:t>, respecto a los contratos celebrados en el exterior, permite que su ejecución se realice de conformidad con las normas del país donde se hayan suscrito, salvo que deban cumplirse en Colombia, caso en que se aplicaría el esquema señalado respecto al inciso primero</w:t>
      </w:r>
      <w:r w:rsidR="00E62A7B">
        <w:rPr>
          <w:rFonts w:ascii="Arial" w:eastAsia="Calibri" w:hAnsi="Arial" w:cs="Arial"/>
          <w:color w:val="000000" w:themeColor="text1"/>
          <w:sz w:val="22"/>
        </w:rPr>
        <w:t>; finalmente, el inciso tercero permite que l</w:t>
      </w:r>
      <w:r w:rsidR="00E62A7B" w:rsidRPr="00C37908">
        <w:rPr>
          <w:rFonts w:ascii="Arial" w:eastAsia="Calibri" w:hAnsi="Arial" w:cs="Arial"/>
          <w:color w:val="000000" w:themeColor="text1"/>
          <w:sz w:val="22"/>
        </w:rPr>
        <w:t>os contratos que se celebren en Colombia, pero deban ejecutarse o cumplirse en el extranjero, se sometan a la ley extranjera</w:t>
      </w:r>
      <w:r w:rsidR="00E62A7B">
        <w:rPr>
          <w:rFonts w:ascii="Arial" w:eastAsia="Calibri" w:hAnsi="Arial" w:cs="Arial"/>
          <w:color w:val="000000" w:themeColor="text1"/>
          <w:sz w:val="22"/>
        </w:rPr>
        <w:t xml:space="preserve"> </w:t>
      </w:r>
    </w:p>
    <w:p w14:paraId="65CBB473" w14:textId="012BED2E" w:rsidR="001D5DEB" w:rsidRPr="00F61FF3" w:rsidRDefault="00AC7865" w:rsidP="00117933">
      <w:pPr>
        <w:pStyle w:val="Prrafodelista"/>
        <w:snapToGrid w:val="0"/>
        <w:spacing w:before="120" w:after="0"/>
        <w:ind w:left="0" w:firstLine="709"/>
        <w:contextualSpacing w:val="0"/>
        <w:jc w:val="both"/>
        <w:rPr>
          <w:rFonts w:ascii="Arial" w:eastAsia="Calibri" w:hAnsi="Arial" w:cs="Arial"/>
          <w:color w:val="000000" w:themeColor="text1"/>
          <w:sz w:val="22"/>
          <w:szCs w:val="22"/>
        </w:rPr>
      </w:pPr>
      <w:r w:rsidRPr="00F61FF3">
        <w:rPr>
          <w:rFonts w:ascii="Arial" w:eastAsia="Calibri" w:hAnsi="Arial" w:cs="Arial"/>
          <w:color w:val="000000" w:themeColor="text1"/>
          <w:sz w:val="22"/>
          <w:szCs w:val="22"/>
        </w:rPr>
        <w:t xml:space="preserve">Nótese como el citado artículo </w:t>
      </w:r>
      <w:r w:rsidR="009F645A">
        <w:rPr>
          <w:rFonts w:ascii="Arial" w:eastAsia="Calibri" w:hAnsi="Arial" w:cs="Arial"/>
          <w:color w:val="000000" w:themeColor="text1"/>
          <w:sz w:val="22"/>
          <w:szCs w:val="22"/>
        </w:rPr>
        <w:t>permite</w:t>
      </w:r>
      <w:r w:rsidRPr="00F61FF3">
        <w:rPr>
          <w:rFonts w:ascii="Arial" w:eastAsia="Calibri" w:hAnsi="Arial" w:cs="Arial"/>
          <w:color w:val="000000" w:themeColor="text1"/>
          <w:sz w:val="22"/>
          <w:szCs w:val="22"/>
        </w:rPr>
        <w:t xml:space="preserve"> que las entidades estatales no se </w:t>
      </w:r>
      <w:r w:rsidR="009F645A">
        <w:rPr>
          <w:rFonts w:ascii="Arial" w:eastAsia="Calibri" w:hAnsi="Arial" w:cs="Arial"/>
          <w:color w:val="000000" w:themeColor="text1"/>
          <w:sz w:val="22"/>
          <w:szCs w:val="22"/>
        </w:rPr>
        <w:t>rijan siempre por la normativa</w:t>
      </w:r>
      <w:r w:rsidRPr="00F61FF3">
        <w:rPr>
          <w:rFonts w:ascii="Arial" w:eastAsia="Calibri" w:hAnsi="Arial" w:cs="Arial"/>
          <w:color w:val="000000" w:themeColor="text1"/>
          <w:sz w:val="22"/>
          <w:szCs w:val="22"/>
        </w:rPr>
        <w:t xml:space="preserve"> </w:t>
      </w:r>
      <w:r w:rsidR="009F645A">
        <w:rPr>
          <w:rFonts w:ascii="Arial" w:eastAsia="Calibri" w:hAnsi="Arial" w:cs="Arial"/>
          <w:color w:val="000000" w:themeColor="text1"/>
          <w:sz w:val="22"/>
          <w:szCs w:val="22"/>
        </w:rPr>
        <w:t>c</w:t>
      </w:r>
      <w:r w:rsidRPr="00F61FF3">
        <w:rPr>
          <w:rFonts w:ascii="Arial" w:eastAsia="Calibri" w:hAnsi="Arial" w:cs="Arial"/>
          <w:color w:val="000000" w:themeColor="text1"/>
          <w:sz w:val="22"/>
          <w:szCs w:val="22"/>
        </w:rPr>
        <w:t>olombia</w:t>
      </w:r>
      <w:r w:rsidR="009F645A">
        <w:rPr>
          <w:rFonts w:ascii="Arial" w:eastAsia="Calibri" w:hAnsi="Arial" w:cs="Arial"/>
          <w:color w:val="000000" w:themeColor="text1"/>
          <w:sz w:val="22"/>
          <w:szCs w:val="22"/>
        </w:rPr>
        <w:t>na</w:t>
      </w:r>
      <w:r w:rsidRPr="00F61FF3">
        <w:rPr>
          <w:rFonts w:ascii="Arial" w:eastAsia="Calibri" w:hAnsi="Arial" w:cs="Arial"/>
          <w:color w:val="000000" w:themeColor="text1"/>
          <w:sz w:val="22"/>
          <w:szCs w:val="22"/>
        </w:rPr>
        <w:t xml:space="preserve">, </w:t>
      </w:r>
      <w:r w:rsidR="009F645A">
        <w:rPr>
          <w:rFonts w:ascii="Arial" w:eastAsia="Calibri" w:hAnsi="Arial" w:cs="Arial"/>
          <w:color w:val="000000" w:themeColor="text1"/>
          <w:sz w:val="22"/>
          <w:szCs w:val="22"/>
        </w:rPr>
        <w:t>permitiendo, en algunos casos, la aplicación de la</w:t>
      </w:r>
      <w:r w:rsidRPr="00F61FF3">
        <w:rPr>
          <w:rFonts w:ascii="Arial" w:eastAsia="Calibri" w:hAnsi="Arial" w:cs="Arial"/>
          <w:color w:val="000000" w:themeColor="text1"/>
          <w:sz w:val="22"/>
          <w:szCs w:val="22"/>
        </w:rPr>
        <w:t xml:space="preserve"> ley extranjera</w:t>
      </w:r>
      <w:r w:rsidR="009F645A">
        <w:rPr>
          <w:rFonts w:ascii="Arial" w:eastAsia="Calibri" w:hAnsi="Arial" w:cs="Arial"/>
          <w:color w:val="000000" w:themeColor="text1"/>
          <w:sz w:val="22"/>
          <w:szCs w:val="22"/>
        </w:rPr>
        <w:t>.</w:t>
      </w:r>
      <w:r w:rsidR="00117933">
        <w:rPr>
          <w:rFonts w:ascii="Arial" w:eastAsia="Calibri" w:hAnsi="Arial" w:cs="Arial"/>
          <w:color w:val="000000" w:themeColor="text1"/>
          <w:sz w:val="22"/>
          <w:szCs w:val="22"/>
        </w:rPr>
        <w:t xml:space="preserve"> Además de los supuestos anteriores, e</w:t>
      </w:r>
      <w:r w:rsidR="001D5DEB" w:rsidRPr="00F61FF3">
        <w:rPr>
          <w:rFonts w:ascii="Arial" w:eastAsia="Calibri" w:hAnsi="Arial" w:cs="Arial"/>
          <w:color w:val="000000" w:themeColor="text1"/>
          <w:sz w:val="22"/>
          <w:szCs w:val="22"/>
        </w:rPr>
        <w:t>l Consejo de Estado ha enunciado</w:t>
      </w:r>
      <w:r w:rsidR="00117933">
        <w:rPr>
          <w:rFonts w:ascii="Arial" w:eastAsia="Calibri" w:hAnsi="Arial" w:cs="Arial"/>
          <w:color w:val="000000" w:themeColor="text1"/>
          <w:sz w:val="22"/>
          <w:szCs w:val="22"/>
        </w:rPr>
        <w:t>, en general,</w:t>
      </w:r>
      <w:r w:rsidR="001D5DEB" w:rsidRPr="00F61FF3">
        <w:rPr>
          <w:rFonts w:ascii="Arial" w:eastAsia="Calibri" w:hAnsi="Arial" w:cs="Arial"/>
          <w:color w:val="000000" w:themeColor="text1"/>
          <w:sz w:val="22"/>
          <w:szCs w:val="22"/>
        </w:rPr>
        <w:t xml:space="preserve"> los escenarios donde el régimen jurídico puede ser uno diferente al </w:t>
      </w:r>
      <w:r w:rsidR="00E62A7B">
        <w:rPr>
          <w:rFonts w:ascii="Arial" w:eastAsia="Calibri" w:hAnsi="Arial" w:cs="Arial"/>
          <w:color w:val="000000" w:themeColor="text1"/>
          <w:sz w:val="22"/>
          <w:szCs w:val="22"/>
        </w:rPr>
        <w:t>prescrito</w:t>
      </w:r>
      <w:r w:rsidR="001D5DEB" w:rsidRPr="00F61FF3">
        <w:rPr>
          <w:rFonts w:ascii="Arial" w:eastAsia="Calibri" w:hAnsi="Arial" w:cs="Arial"/>
          <w:color w:val="000000" w:themeColor="text1"/>
          <w:sz w:val="22"/>
          <w:szCs w:val="22"/>
        </w:rPr>
        <w:t xml:space="preserve"> en el derecho nacional</w:t>
      </w:r>
      <w:r w:rsidR="00117933">
        <w:rPr>
          <w:rFonts w:ascii="Arial" w:eastAsia="Calibri" w:hAnsi="Arial" w:cs="Arial"/>
          <w:color w:val="000000" w:themeColor="text1"/>
          <w:sz w:val="22"/>
          <w:szCs w:val="22"/>
        </w:rPr>
        <w:t>, pese a tratarse de contratos en principio sometidos a la Ley 80 de 1993:</w:t>
      </w:r>
    </w:p>
    <w:p w14:paraId="05DC2475" w14:textId="696F3FB8" w:rsidR="001D5DEB" w:rsidRPr="00F61FF3" w:rsidRDefault="001D5DEB" w:rsidP="001D5DEB">
      <w:pPr>
        <w:pStyle w:val="Prrafodelista"/>
        <w:spacing w:before="120" w:after="120"/>
        <w:ind w:left="0" w:firstLine="709"/>
        <w:jc w:val="both"/>
        <w:rPr>
          <w:rFonts w:ascii="Arial" w:eastAsia="Calibri" w:hAnsi="Arial" w:cs="Arial"/>
          <w:color w:val="000000" w:themeColor="text1"/>
          <w:sz w:val="22"/>
          <w:szCs w:val="22"/>
        </w:rPr>
      </w:pPr>
    </w:p>
    <w:p w14:paraId="6BEC5DEB" w14:textId="5B31B7F6" w:rsidR="001D5DEB" w:rsidRPr="00F61FF3" w:rsidRDefault="001D5DEB" w:rsidP="001D5DEB">
      <w:pPr>
        <w:pStyle w:val="Prrafodelista"/>
        <w:spacing w:before="120" w:after="120" w:line="240" w:lineRule="auto"/>
        <w:ind w:left="851" w:right="709"/>
        <w:jc w:val="both"/>
        <w:rPr>
          <w:rFonts w:ascii="Arial" w:eastAsia="MS Mincho" w:hAnsi="Arial" w:cs="Arial"/>
          <w:sz w:val="21"/>
          <w:szCs w:val="21"/>
          <w:lang w:eastAsia="es-ES"/>
        </w:rPr>
      </w:pPr>
      <w:r w:rsidRPr="00F61FF3">
        <w:rPr>
          <w:rFonts w:ascii="Arial" w:eastAsia="MS Mincho" w:hAnsi="Arial" w:cs="Arial"/>
          <w:sz w:val="21"/>
          <w:szCs w:val="21"/>
          <w:lang w:eastAsia="es-ES"/>
        </w:rPr>
        <w:t xml:space="preserve">i) Contratos celebrados en el exterior, los cuales se podrán regir en su ejecución por las reglas del país donde se ha suscrito, salvo cuando su cumplimiento deba hacerse en Colombia, caso en el cual se aplicará la legislación nacional, </w:t>
      </w:r>
      <w:proofErr w:type="spellStart"/>
      <w:r w:rsidRPr="00F61FF3">
        <w:rPr>
          <w:rFonts w:ascii="Arial" w:eastAsia="MS Mincho" w:hAnsi="Arial" w:cs="Arial"/>
          <w:sz w:val="21"/>
          <w:szCs w:val="21"/>
          <w:lang w:eastAsia="es-ES"/>
        </w:rPr>
        <w:t>ii</w:t>
      </w:r>
      <w:proofErr w:type="spellEnd"/>
      <w:r w:rsidRPr="00F61FF3">
        <w:rPr>
          <w:rFonts w:ascii="Arial" w:eastAsia="MS Mincho" w:hAnsi="Arial" w:cs="Arial"/>
          <w:sz w:val="21"/>
          <w:szCs w:val="21"/>
          <w:lang w:eastAsia="es-ES"/>
        </w:rPr>
        <w:t xml:space="preserve">) Contratos celebrados en territorio colombiano que deben ejecutarse o cumplirse en el extranjero, en tal caso podrá regirse bajo legislación foránea, salvo aquella parte que deba ejecutarse o cumplirse en Colombia, la cual se regirá por el derecho nacional, </w:t>
      </w:r>
      <w:proofErr w:type="spellStart"/>
      <w:r w:rsidRPr="00F61FF3">
        <w:rPr>
          <w:rFonts w:ascii="Arial" w:eastAsia="MS Mincho" w:hAnsi="Arial" w:cs="Arial"/>
          <w:sz w:val="21"/>
          <w:szCs w:val="21"/>
          <w:lang w:eastAsia="es-ES"/>
        </w:rPr>
        <w:t>iii</w:t>
      </w:r>
      <w:proofErr w:type="spellEnd"/>
      <w:r w:rsidRPr="00F61FF3">
        <w:rPr>
          <w:rFonts w:ascii="Arial" w:eastAsia="MS Mincho" w:hAnsi="Arial" w:cs="Arial"/>
          <w:sz w:val="21"/>
          <w:szCs w:val="21"/>
          <w:lang w:eastAsia="es-ES"/>
        </w:rPr>
        <w:t xml:space="preserve">) a) los contratos financiados con fondos de organismos multilaterales de crédito y b) aquellos celebrados con personas extranjeras de derecho público u organismos de </w:t>
      </w:r>
      <w:r w:rsidRPr="00F61FF3">
        <w:rPr>
          <w:rFonts w:ascii="Arial" w:eastAsia="MS Mincho" w:hAnsi="Arial" w:cs="Arial"/>
          <w:sz w:val="21"/>
          <w:szCs w:val="21"/>
          <w:lang w:eastAsia="es-ES"/>
        </w:rPr>
        <w:lastRenderedPageBreak/>
        <w:t xml:space="preserve">cooperación, asistencia o ayudas internacionales, los cuales </w:t>
      </w:r>
      <w:r w:rsidR="00AF7EFE">
        <w:rPr>
          <w:rFonts w:ascii="Arial" w:eastAsia="MS Mincho" w:hAnsi="Arial" w:cs="Arial"/>
          <w:sz w:val="21"/>
          <w:szCs w:val="21"/>
          <w:lang w:eastAsia="es-ES"/>
        </w:rPr>
        <w:t>«</w:t>
      </w:r>
      <w:r w:rsidRPr="00F61FF3">
        <w:rPr>
          <w:rFonts w:ascii="Arial" w:eastAsia="MS Mincho" w:hAnsi="Arial" w:cs="Arial"/>
          <w:sz w:val="21"/>
          <w:szCs w:val="21"/>
          <w:lang w:eastAsia="es-ES"/>
        </w:rPr>
        <w:t>podrán someterse a los reglamentos de tales entidades en todo lo relacionado con procedimientos de formación y adjudicación y cláusulas especiales de ejecución, cumplimiento, pagos y ajustes</w:t>
      </w:r>
      <w:r w:rsidR="00AF7EFE">
        <w:rPr>
          <w:rFonts w:ascii="Arial" w:eastAsia="MS Mincho" w:hAnsi="Arial" w:cs="Arial"/>
          <w:sz w:val="21"/>
          <w:szCs w:val="21"/>
          <w:lang w:eastAsia="es-ES"/>
        </w:rPr>
        <w:t>»</w:t>
      </w:r>
      <w:r w:rsidRPr="00F61FF3">
        <w:rPr>
          <w:rStyle w:val="Refdenotaalpie"/>
          <w:rFonts w:ascii="Arial" w:eastAsia="MS Mincho" w:hAnsi="Arial" w:cs="Arial"/>
          <w:sz w:val="21"/>
          <w:szCs w:val="21"/>
          <w:lang w:eastAsia="es-ES"/>
        </w:rPr>
        <w:footnoteReference w:id="22"/>
      </w:r>
      <w:r w:rsidRPr="00F61FF3">
        <w:rPr>
          <w:rFonts w:ascii="Arial" w:eastAsia="MS Mincho" w:hAnsi="Arial" w:cs="Arial"/>
          <w:sz w:val="21"/>
          <w:szCs w:val="21"/>
          <w:lang w:eastAsia="es-ES"/>
        </w:rPr>
        <w:t xml:space="preserve">. </w:t>
      </w:r>
    </w:p>
    <w:p w14:paraId="34F6A778" w14:textId="77777777" w:rsidR="008A0936" w:rsidRPr="00F61FF3" w:rsidRDefault="008A0936" w:rsidP="001D5DEB">
      <w:pPr>
        <w:pStyle w:val="Prrafodelista"/>
        <w:spacing w:before="120" w:after="120" w:line="240" w:lineRule="auto"/>
        <w:ind w:left="851" w:right="709"/>
        <w:jc w:val="both"/>
        <w:rPr>
          <w:rFonts w:ascii="Arial" w:eastAsia="Calibri" w:hAnsi="Arial" w:cs="Arial"/>
          <w:color w:val="000000" w:themeColor="text1"/>
          <w:sz w:val="21"/>
          <w:szCs w:val="21"/>
        </w:rPr>
      </w:pPr>
    </w:p>
    <w:p w14:paraId="24DB424F" w14:textId="72D2D159" w:rsidR="00EB1002" w:rsidRPr="00F61FF3" w:rsidRDefault="00A03891" w:rsidP="00EB1002">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szCs w:val="22"/>
          <w:lang w:val="es-ES"/>
        </w:rPr>
        <w:t>El inciso 4 original de la Ley 80 de 1993 regulaba el régimen aplicable a los contratos suscritos con organismos internacionales, estableciendo otros supuestos donde era posible aplicar un régimen distinto al del</w:t>
      </w:r>
      <w:r w:rsidR="001C4910">
        <w:rPr>
          <w:rFonts w:ascii="Arial" w:eastAsia="Calibri" w:hAnsi="Arial" w:cs="Arial"/>
          <w:color w:val="000000" w:themeColor="text1"/>
          <w:sz w:val="22"/>
          <w:szCs w:val="22"/>
          <w:lang w:val="es-ES"/>
        </w:rPr>
        <w:t xml:space="preserve"> Estatuto General de contratación de la Administración Pública –en adelante también</w:t>
      </w:r>
      <w:r>
        <w:rPr>
          <w:rFonts w:ascii="Arial" w:eastAsia="Calibri" w:hAnsi="Arial" w:cs="Arial"/>
          <w:color w:val="000000" w:themeColor="text1"/>
          <w:sz w:val="22"/>
          <w:szCs w:val="22"/>
          <w:lang w:val="es-ES"/>
        </w:rPr>
        <w:t xml:space="preserve"> EGCAP</w:t>
      </w:r>
      <w:r w:rsidR="001C4910">
        <w:rPr>
          <w:rFonts w:ascii="Arial" w:eastAsia="Calibri" w:hAnsi="Arial" w:cs="Arial"/>
          <w:color w:val="000000" w:themeColor="text1"/>
          <w:sz w:val="22"/>
          <w:szCs w:val="22"/>
          <w:lang w:val="es-ES"/>
        </w:rPr>
        <w:t>–</w:t>
      </w:r>
      <w:r>
        <w:rPr>
          <w:rStyle w:val="Refdenotaalpie"/>
          <w:rFonts w:ascii="Arial" w:eastAsia="Calibri" w:hAnsi="Arial" w:cs="Arial"/>
          <w:color w:val="000000" w:themeColor="text1"/>
          <w:sz w:val="22"/>
          <w:szCs w:val="22"/>
          <w:lang w:val="es-ES"/>
        </w:rPr>
        <w:footnoteReference w:id="23"/>
      </w:r>
      <w:r>
        <w:rPr>
          <w:rFonts w:ascii="Arial" w:eastAsia="Calibri" w:hAnsi="Arial" w:cs="Arial"/>
          <w:color w:val="000000" w:themeColor="text1"/>
          <w:sz w:val="22"/>
          <w:szCs w:val="22"/>
          <w:lang w:val="es-ES"/>
        </w:rPr>
        <w:t xml:space="preserve">; sin embargo, la Ley 1150 de 2007 modificó dicha regulación. En efecto, el artículo 20 de la Ley 1150 de 2007 </w:t>
      </w:r>
      <w:r w:rsidR="00AF7EFE">
        <w:rPr>
          <w:rFonts w:ascii="Arial" w:eastAsia="Calibri" w:hAnsi="Arial" w:cs="Arial"/>
          <w:color w:val="000000" w:themeColor="text1"/>
          <w:sz w:val="22"/>
          <w:szCs w:val="22"/>
          <w:lang w:val="es-ES"/>
        </w:rPr>
        <w:t>modificó el régimen contractual aplicable a los</w:t>
      </w:r>
      <w:r w:rsidR="008A0936" w:rsidRPr="00F61FF3">
        <w:rPr>
          <w:rFonts w:ascii="Arial" w:eastAsia="Calibri" w:hAnsi="Arial" w:cs="Arial"/>
          <w:color w:val="000000" w:themeColor="text1"/>
          <w:sz w:val="22"/>
          <w:szCs w:val="22"/>
          <w:lang w:val="es-ES"/>
        </w:rPr>
        <w:t xml:space="preserve"> contratos o convenios suscritos con </w:t>
      </w:r>
      <w:r w:rsidR="00AF7EFE">
        <w:rPr>
          <w:rFonts w:ascii="Arial" w:eastAsia="Calibri" w:hAnsi="Arial" w:cs="Arial"/>
          <w:color w:val="000000" w:themeColor="text1"/>
          <w:sz w:val="22"/>
          <w:szCs w:val="22"/>
          <w:lang w:val="es-ES"/>
        </w:rPr>
        <w:t>o</w:t>
      </w:r>
      <w:r w:rsidR="008A0936" w:rsidRPr="00F61FF3">
        <w:rPr>
          <w:rFonts w:ascii="Arial" w:eastAsia="Calibri" w:hAnsi="Arial" w:cs="Arial"/>
          <w:color w:val="000000" w:themeColor="text1"/>
          <w:sz w:val="22"/>
          <w:szCs w:val="22"/>
          <w:lang w:val="es-ES"/>
        </w:rPr>
        <w:t xml:space="preserve">rganismos </w:t>
      </w:r>
      <w:r w:rsidR="00AF7EFE">
        <w:rPr>
          <w:rFonts w:ascii="Arial" w:eastAsia="Calibri" w:hAnsi="Arial" w:cs="Arial"/>
          <w:color w:val="000000" w:themeColor="text1"/>
          <w:sz w:val="22"/>
          <w:szCs w:val="22"/>
          <w:lang w:val="es-ES"/>
        </w:rPr>
        <w:t>i</w:t>
      </w:r>
      <w:r w:rsidR="008A0936" w:rsidRPr="00F61FF3">
        <w:rPr>
          <w:rFonts w:ascii="Arial" w:eastAsia="Calibri" w:hAnsi="Arial" w:cs="Arial"/>
          <w:color w:val="000000" w:themeColor="text1"/>
          <w:sz w:val="22"/>
          <w:szCs w:val="22"/>
          <w:lang w:val="es-ES"/>
        </w:rPr>
        <w:t xml:space="preserve">nternacionales, </w:t>
      </w:r>
      <w:r>
        <w:rPr>
          <w:rFonts w:ascii="Arial" w:eastAsia="Calibri" w:hAnsi="Arial" w:cs="Arial"/>
          <w:color w:val="000000" w:themeColor="text1"/>
          <w:sz w:val="22"/>
          <w:szCs w:val="22"/>
          <w:lang w:val="es-ES"/>
        </w:rPr>
        <w:t xml:space="preserve">estableciendo, para algunos casos, la posible definición del régimen dependiendo del </w:t>
      </w:r>
      <w:r w:rsidR="008A0936" w:rsidRPr="00F61FF3">
        <w:rPr>
          <w:rFonts w:ascii="Arial" w:eastAsia="Calibri" w:hAnsi="Arial" w:cs="Arial"/>
          <w:color w:val="000000" w:themeColor="text1"/>
          <w:sz w:val="22"/>
          <w:szCs w:val="22"/>
          <w:lang w:val="es-ES"/>
        </w:rPr>
        <w:t xml:space="preserve">porcentaje de participación </w:t>
      </w:r>
      <w:r w:rsidR="00840218">
        <w:rPr>
          <w:rFonts w:ascii="Arial" w:eastAsia="Calibri" w:hAnsi="Arial" w:cs="Arial"/>
          <w:color w:val="000000" w:themeColor="text1"/>
          <w:sz w:val="22"/>
          <w:szCs w:val="22"/>
          <w:lang w:val="es-ES"/>
        </w:rPr>
        <w:t xml:space="preserve">que el </w:t>
      </w:r>
      <w:r w:rsidR="000A47D9" w:rsidRPr="00F61FF3">
        <w:rPr>
          <w:rFonts w:ascii="Arial" w:eastAsia="Calibri" w:hAnsi="Arial" w:cs="Arial"/>
          <w:color w:val="000000" w:themeColor="text1"/>
          <w:sz w:val="22"/>
          <w:szCs w:val="22"/>
          <w:lang w:val="es-ES"/>
        </w:rPr>
        <w:t>organismo</w:t>
      </w:r>
      <w:r>
        <w:rPr>
          <w:rFonts w:ascii="Arial" w:eastAsia="Calibri" w:hAnsi="Arial" w:cs="Arial"/>
          <w:color w:val="000000" w:themeColor="text1"/>
          <w:sz w:val="22"/>
          <w:szCs w:val="22"/>
          <w:lang w:val="es-ES"/>
        </w:rPr>
        <w:t xml:space="preserve"> internacional</w:t>
      </w:r>
      <w:r w:rsidR="000A47D9" w:rsidRPr="00F61FF3">
        <w:rPr>
          <w:rFonts w:ascii="Arial" w:eastAsia="Calibri" w:hAnsi="Arial" w:cs="Arial"/>
          <w:color w:val="000000" w:themeColor="text1"/>
          <w:sz w:val="22"/>
          <w:szCs w:val="22"/>
          <w:lang w:val="es-ES"/>
        </w:rPr>
        <w:t xml:space="preserve"> </w:t>
      </w:r>
      <w:r w:rsidR="00840218">
        <w:rPr>
          <w:rFonts w:ascii="Arial" w:eastAsia="Calibri" w:hAnsi="Arial" w:cs="Arial"/>
          <w:color w:val="000000" w:themeColor="text1"/>
          <w:sz w:val="22"/>
          <w:szCs w:val="22"/>
          <w:lang w:val="es-ES"/>
        </w:rPr>
        <w:t xml:space="preserve">tuviera </w:t>
      </w:r>
      <w:r w:rsidR="000A47D9" w:rsidRPr="00F61FF3">
        <w:rPr>
          <w:rFonts w:ascii="Arial" w:eastAsia="Calibri" w:hAnsi="Arial" w:cs="Arial"/>
          <w:color w:val="000000" w:themeColor="text1"/>
          <w:sz w:val="22"/>
          <w:szCs w:val="22"/>
          <w:lang w:val="es-ES"/>
        </w:rPr>
        <w:t>frente a</w:t>
      </w:r>
      <w:r w:rsidR="00AF7EFE">
        <w:rPr>
          <w:rFonts w:ascii="Arial" w:eastAsia="Calibri" w:hAnsi="Arial" w:cs="Arial"/>
          <w:color w:val="000000" w:themeColor="text1"/>
          <w:sz w:val="22"/>
          <w:szCs w:val="22"/>
          <w:lang w:val="es-ES"/>
        </w:rPr>
        <w:t xml:space="preserve"> </w:t>
      </w:r>
      <w:r>
        <w:rPr>
          <w:rFonts w:ascii="Arial" w:eastAsia="Calibri" w:hAnsi="Arial" w:cs="Arial"/>
          <w:color w:val="000000" w:themeColor="text1"/>
          <w:sz w:val="22"/>
          <w:szCs w:val="22"/>
          <w:lang w:val="es-ES"/>
        </w:rPr>
        <w:t>dichos contratos</w:t>
      </w:r>
      <w:r w:rsidR="000A47D9" w:rsidRPr="00F61FF3">
        <w:rPr>
          <w:rFonts w:ascii="Arial" w:eastAsia="Calibri" w:hAnsi="Arial" w:cs="Arial"/>
          <w:color w:val="000000" w:themeColor="text1"/>
          <w:sz w:val="22"/>
          <w:szCs w:val="22"/>
          <w:lang w:val="es-ES"/>
        </w:rPr>
        <w:t xml:space="preserve">, </w:t>
      </w:r>
      <w:r>
        <w:rPr>
          <w:rFonts w:ascii="Arial" w:eastAsia="Calibri" w:hAnsi="Arial" w:cs="Arial"/>
          <w:color w:val="000000" w:themeColor="text1"/>
          <w:sz w:val="22"/>
          <w:szCs w:val="22"/>
          <w:lang w:val="es-ES"/>
        </w:rPr>
        <w:t>a partir del cual establece una potestad discrecional en torno a la elección del régimen contractual aplicable</w:t>
      </w:r>
      <w:r w:rsidR="000A47D9" w:rsidRPr="00F61FF3">
        <w:rPr>
          <w:rFonts w:ascii="Arial" w:eastAsia="Calibri" w:hAnsi="Arial" w:cs="Arial"/>
          <w:color w:val="000000" w:themeColor="text1"/>
          <w:sz w:val="22"/>
          <w:szCs w:val="22"/>
          <w:lang w:val="es-ES"/>
        </w:rPr>
        <w:t xml:space="preserve">, pues el artículo 20 de la citada norma señala que </w:t>
      </w:r>
      <w:r w:rsidR="000A47D9" w:rsidRPr="00F61FF3">
        <w:rPr>
          <w:rFonts w:ascii="Arial" w:eastAsia="Calibri" w:hAnsi="Arial" w:cs="Arial"/>
          <w:color w:val="000000" w:themeColor="text1"/>
          <w:sz w:val="22"/>
          <w:lang w:val="es-ES"/>
        </w:rPr>
        <w:t>«podrán» ser sometidos a los reglamentos de tales entidades</w:t>
      </w:r>
      <w:r>
        <w:rPr>
          <w:rFonts w:ascii="Arial" w:eastAsia="Calibri" w:hAnsi="Arial" w:cs="Arial"/>
          <w:color w:val="000000" w:themeColor="text1"/>
          <w:sz w:val="22"/>
          <w:lang w:val="es-ES"/>
        </w:rPr>
        <w:t>. Esto en lo que tienen que ver con el inciso primero de dicho artículo.</w:t>
      </w:r>
      <w:r w:rsidR="000A47D9" w:rsidRPr="00F61FF3">
        <w:rPr>
          <w:rFonts w:ascii="Arial" w:eastAsia="Calibri" w:hAnsi="Arial" w:cs="Arial"/>
          <w:color w:val="000000" w:themeColor="text1"/>
          <w:sz w:val="22"/>
          <w:lang w:val="es-ES"/>
        </w:rPr>
        <w:t xml:space="preserve"> </w:t>
      </w:r>
    </w:p>
    <w:p w14:paraId="7CDEB5F9" w14:textId="7A8EA1B0" w:rsidR="000A47D9" w:rsidRPr="00F61FF3" w:rsidRDefault="003C7EE4" w:rsidP="00EB1002">
      <w:pPr>
        <w:spacing w:before="120" w:after="120" w:line="276" w:lineRule="auto"/>
        <w:ind w:firstLine="709"/>
        <w:jc w:val="both"/>
        <w:rPr>
          <w:rFonts w:ascii="Arial" w:eastAsia="Calibri" w:hAnsi="Arial" w:cs="Arial"/>
          <w:color w:val="000000" w:themeColor="text1"/>
          <w:sz w:val="22"/>
          <w:lang w:val="es-ES"/>
        </w:rPr>
      </w:pPr>
      <w:r w:rsidRPr="00F61FF3">
        <w:rPr>
          <w:rFonts w:ascii="Arial" w:eastAsia="Calibri" w:hAnsi="Arial" w:cs="Arial"/>
          <w:color w:val="000000" w:themeColor="text1"/>
          <w:sz w:val="22"/>
          <w:lang w:val="es-ES"/>
        </w:rPr>
        <w:t xml:space="preserve">Para comprender el alcance </w:t>
      </w:r>
      <w:r w:rsidR="00A03891">
        <w:rPr>
          <w:rFonts w:ascii="Arial" w:eastAsia="Calibri" w:hAnsi="Arial" w:cs="Arial"/>
          <w:color w:val="000000" w:themeColor="text1"/>
          <w:sz w:val="22"/>
          <w:lang w:val="es-ES"/>
        </w:rPr>
        <w:t>del régimen aplicable a</w:t>
      </w:r>
      <w:r w:rsidR="00A03891" w:rsidRPr="00F61FF3">
        <w:rPr>
          <w:rFonts w:ascii="Arial" w:eastAsia="Calibri" w:hAnsi="Arial" w:cs="Arial"/>
          <w:color w:val="000000" w:themeColor="text1"/>
          <w:sz w:val="22"/>
          <w:lang w:val="es-ES"/>
        </w:rPr>
        <w:t xml:space="preserve"> </w:t>
      </w:r>
      <w:r w:rsidRPr="00F61FF3">
        <w:rPr>
          <w:rFonts w:ascii="Arial" w:eastAsia="Calibri" w:hAnsi="Arial" w:cs="Arial"/>
          <w:color w:val="000000" w:themeColor="text1"/>
          <w:sz w:val="22"/>
          <w:lang w:val="es-ES"/>
        </w:rPr>
        <w:t xml:space="preserve">los contratos o convenios que se suscriban con </w:t>
      </w:r>
      <w:r w:rsidR="00A03891">
        <w:rPr>
          <w:rFonts w:ascii="Arial" w:eastAsia="Calibri" w:hAnsi="Arial" w:cs="Arial"/>
          <w:color w:val="000000" w:themeColor="text1"/>
          <w:sz w:val="22"/>
          <w:lang w:val="es-ES"/>
        </w:rPr>
        <w:t>o</w:t>
      </w:r>
      <w:r w:rsidRPr="00F61FF3">
        <w:rPr>
          <w:rFonts w:ascii="Arial" w:eastAsia="Calibri" w:hAnsi="Arial" w:cs="Arial"/>
          <w:color w:val="000000" w:themeColor="text1"/>
          <w:sz w:val="22"/>
          <w:lang w:val="es-ES"/>
        </w:rPr>
        <w:t xml:space="preserve">rganismos </w:t>
      </w:r>
      <w:r w:rsidR="00A03891">
        <w:rPr>
          <w:rFonts w:ascii="Arial" w:eastAsia="Calibri" w:hAnsi="Arial" w:cs="Arial"/>
          <w:color w:val="000000" w:themeColor="text1"/>
          <w:sz w:val="22"/>
          <w:lang w:val="es-ES"/>
        </w:rPr>
        <w:t>i</w:t>
      </w:r>
      <w:r w:rsidRPr="00F61FF3">
        <w:rPr>
          <w:rFonts w:ascii="Arial" w:eastAsia="Calibri" w:hAnsi="Arial" w:cs="Arial"/>
          <w:color w:val="000000" w:themeColor="text1"/>
          <w:sz w:val="22"/>
          <w:lang w:val="es-ES"/>
        </w:rPr>
        <w:t>nternacionales</w:t>
      </w:r>
      <w:r w:rsidR="001C4910">
        <w:rPr>
          <w:rFonts w:ascii="Arial" w:eastAsia="Calibri" w:hAnsi="Arial" w:cs="Arial"/>
          <w:color w:val="000000" w:themeColor="text1"/>
          <w:sz w:val="22"/>
          <w:lang w:val="es-ES"/>
        </w:rPr>
        <w:t>,</w:t>
      </w:r>
      <w:r w:rsidRPr="00F61FF3">
        <w:rPr>
          <w:rFonts w:ascii="Arial" w:eastAsia="Calibri" w:hAnsi="Arial" w:cs="Arial"/>
          <w:color w:val="000000" w:themeColor="text1"/>
          <w:sz w:val="22"/>
          <w:lang w:val="es-ES"/>
        </w:rPr>
        <w:t xml:space="preserve"> </w:t>
      </w:r>
      <w:proofErr w:type="gramStart"/>
      <w:r w:rsidR="001C4910">
        <w:rPr>
          <w:rFonts w:ascii="Arial" w:eastAsia="Calibri" w:hAnsi="Arial" w:cs="Arial"/>
          <w:color w:val="000000" w:themeColor="text1"/>
          <w:sz w:val="22"/>
          <w:lang w:val="es-ES"/>
        </w:rPr>
        <w:t>de acuerdo a</w:t>
      </w:r>
      <w:proofErr w:type="gramEnd"/>
      <w:r w:rsidRPr="00F61FF3">
        <w:rPr>
          <w:rFonts w:ascii="Arial" w:eastAsia="Calibri" w:hAnsi="Arial" w:cs="Arial"/>
          <w:color w:val="000000" w:themeColor="text1"/>
          <w:sz w:val="22"/>
          <w:lang w:val="es-ES"/>
        </w:rPr>
        <w:t xml:space="preserve"> la financiación de los mismos</w:t>
      </w:r>
      <w:r w:rsidR="001C4910">
        <w:rPr>
          <w:rFonts w:ascii="Arial" w:eastAsia="Calibri" w:hAnsi="Arial" w:cs="Arial"/>
          <w:color w:val="000000" w:themeColor="text1"/>
          <w:sz w:val="22"/>
          <w:lang w:val="es-ES"/>
        </w:rPr>
        <w:t>,</w:t>
      </w:r>
      <w:r w:rsidRPr="00F61FF3">
        <w:rPr>
          <w:rFonts w:ascii="Arial" w:eastAsia="Calibri" w:hAnsi="Arial" w:cs="Arial"/>
          <w:color w:val="000000" w:themeColor="text1"/>
          <w:sz w:val="22"/>
          <w:lang w:val="es-ES"/>
        </w:rPr>
        <w:t xml:space="preserve"> </w:t>
      </w:r>
      <w:r w:rsidR="000A47D9" w:rsidRPr="00F61FF3">
        <w:rPr>
          <w:rFonts w:ascii="Arial" w:eastAsia="Calibri" w:hAnsi="Arial" w:cs="Arial"/>
          <w:color w:val="000000" w:themeColor="text1"/>
          <w:sz w:val="22"/>
          <w:lang w:val="es-ES"/>
        </w:rPr>
        <w:t xml:space="preserve">resulta </w:t>
      </w:r>
      <w:r w:rsidR="001C4910">
        <w:rPr>
          <w:rFonts w:ascii="Arial" w:eastAsia="Calibri" w:hAnsi="Arial" w:cs="Arial"/>
          <w:color w:val="000000" w:themeColor="text1"/>
          <w:sz w:val="22"/>
          <w:lang w:val="es-ES"/>
        </w:rPr>
        <w:t>necesario</w:t>
      </w:r>
      <w:r w:rsidR="00A03891">
        <w:rPr>
          <w:rFonts w:ascii="Arial" w:eastAsia="Calibri" w:hAnsi="Arial" w:cs="Arial"/>
          <w:color w:val="000000" w:themeColor="text1"/>
          <w:sz w:val="22"/>
          <w:lang w:val="es-ES"/>
        </w:rPr>
        <w:t xml:space="preserve"> analizar </w:t>
      </w:r>
      <w:r w:rsidR="000A47D9" w:rsidRPr="00F61FF3">
        <w:rPr>
          <w:rFonts w:ascii="Arial" w:eastAsia="Calibri" w:hAnsi="Arial" w:cs="Arial"/>
          <w:color w:val="000000" w:themeColor="text1"/>
          <w:sz w:val="22"/>
          <w:lang w:val="es-ES"/>
        </w:rPr>
        <w:t>el artículo 20 de la Ley 1150 de 2007</w:t>
      </w:r>
      <w:r w:rsidR="000A47D9" w:rsidRPr="00F61FF3">
        <w:rPr>
          <w:rStyle w:val="Refdenotaalpie"/>
          <w:rFonts w:ascii="Arial" w:eastAsia="Calibri" w:hAnsi="Arial" w:cs="Arial"/>
          <w:color w:val="000000" w:themeColor="text1"/>
          <w:sz w:val="22"/>
          <w:lang w:val="es-ES"/>
        </w:rPr>
        <w:footnoteReference w:id="24"/>
      </w:r>
      <w:r w:rsidR="001C4910">
        <w:rPr>
          <w:rFonts w:ascii="Arial" w:eastAsia="Calibri" w:hAnsi="Arial" w:cs="Arial"/>
          <w:color w:val="000000" w:themeColor="text1"/>
          <w:sz w:val="22"/>
          <w:lang w:val="es-ES"/>
        </w:rPr>
        <w:t>.</w:t>
      </w:r>
      <w:r w:rsidR="000A47D9" w:rsidRPr="00F61FF3">
        <w:rPr>
          <w:rFonts w:ascii="Arial" w:eastAsia="Calibri" w:hAnsi="Arial" w:cs="Arial"/>
          <w:color w:val="000000" w:themeColor="text1"/>
          <w:sz w:val="22"/>
          <w:lang w:val="es-ES"/>
        </w:rPr>
        <w:t xml:space="preserve"> </w:t>
      </w:r>
      <w:r w:rsidR="001C4910">
        <w:rPr>
          <w:rFonts w:ascii="Arial" w:eastAsia="Calibri" w:hAnsi="Arial" w:cs="Arial"/>
          <w:color w:val="000000" w:themeColor="text1"/>
          <w:sz w:val="22"/>
          <w:lang w:val="es-ES"/>
        </w:rPr>
        <w:t xml:space="preserve">De conformidad con este </w:t>
      </w:r>
      <w:r w:rsidR="001C4910">
        <w:rPr>
          <w:rFonts w:ascii="Arial" w:eastAsia="Calibri" w:hAnsi="Arial" w:cs="Arial"/>
          <w:color w:val="000000" w:themeColor="text1"/>
          <w:sz w:val="22"/>
          <w:lang w:val="es-ES"/>
        </w:rPr>
        <w:lastRenderedPageBreak/>
        <w:t xml:space="preserve">artículo, en lo que tiene que ver con el </w:t>
      </w:r>
      <w:r w:rsidR="001C4910" w:rsidRPr="00C37908">
        <w:rPr>
          <w:rFonts w:ascii="Arial" w:eastAsia="Calibri" w:hAnsi="Arial" w:cs="Arial"/>
          <w:i/>
          <w:iCs/>
          <w:color w:val="000000" w:themeColor="text1"/>
          <w:sz w:val="22"/>
          <w:lang w:val="es-ES"/>
        </w:rPr>
        <w:t xml:space="preserve">inciso </w:t>
      </w:r>
      <w:r w:rsidRPr="00C37908">
        <w:rPr>
          <w:rFonts w:ascii="Arial" w:eastAsia="Calibri" w:hAnsi="Arial" w:cs="Arial"/>
          <w:i/>
          <w:iCs/>
          <w:color w:val="000000" w:themeColor="text1"/>
          <w:sz w:val="22"/>
          <w:lang w:val="es-ES"/>
        </w:rPr>
        <w:t>primer</w:t>
      </w:r>
      <w:r w:rsidR="001C4910" w:rsidRPr="00C37908">
        <w:rPr>
          <w:rFonts w:ascii="Arial" w:eastAsia="Calibri" w:hAnsi="Arial" w:cs="Arial"/>
          <w:i/>
          <w:iCs/>
          <w:color w:val="000000" w:themeColor="text1"/>
          <w:sz w:val="22"/>
          <w:lang w:val="es-ES"/>
        </w:rPr>
        <w:t>o</w:t>
      </w:r>
      <w:r w:rsidR="001C4910">
        <w:rPr>
          <w:rFonts w:ascii="Arial" w:eastAsia="Calibri" w:hAnsi="Arial" w:cs="Arial"/>
          <w:color w:val="000000" w:themeColor="text1"/>
          <w:sz w:val="22"/>
          <w:lang w:val="es-ES"/>
        </w:rPr>
        <w:t xml:space="preserve">, resulta que </w:t>
      </w:r>
      <w:r w:rsidRPr="00F61FF3">
        <w:rPr>
          <w:rFonts w:ascii="Arial" w:eastAsia="Calibri" w:hAnsi="Arial" w:cs="Arial"/>
          <w:color w:val="000000" w:themeColor="text1"/>
          <w:sz w:val="22"/>
          <w:lang w:val="es-ES"/>
        </w:rPr>
        <w:t>únicamente procederá la aplicación de los reglamentos de estas entidades y</w:t>
      </w:r>
      <w:r w:rsidR="001C4910">
        <w:rPr>
          <w:rFonts w:ascii="Arial" w:eastAsia="Calibri" w:hAnsi="Arial" w:cs="Arial"/>
          <w:color w:val="000000" w:themeColor="text1"/>
          <w:sz w:val="22"/>
          <w:lang w:val="es-ES"/>
        </w:rPr>
        <w:t>,</w:t>
      </w:r>
      <w:r w:rsidRPr="00F61FF3">
        <w:rPr>
          <w:rFonts w:ascii="Arial" w:eastAsia="Calibri" w:hAnsi="Arial" w:cs="Arial"/>
          <w:color w:val="000000" w:themeColor="text1"/>
          <w:sz w:val="22"/>
          <w:lang w:val="es-ES"/>
        </w:rPr>
        <w:t xml:space="preserve"> por lo tanto</w:t>
      </w:r>
      <w:r w:rsidR="001C4910">
        <w:rPr>
          <w:rFonts w:ascii="Arial" w:eastAsia="Calibri" w:hAnsi="Arial" w:cs="Arial"/>
          <w:color w:val="000000" w:themeColor="text1"/>
          <w:sz w:val="22"/>
          <w:lang w:val="es-ES"/>
        </w:rPr>
        <w:t>,</w:t>
      </w:r>
      <w:r w:rsidRPr="00F61FF3">
        <w:rPr>
          <w:rFonts w:ascii="Arial" w:eastAsia="Calibri" w:hAnsi="Arial" w:cs="Arial"/>
          <w:color w:val="000000" w:themeColor="text1"/>
          <w:sz w:val="22"/>
          <w:lang w:val="es-ES"/>
        </w:rPr>
        <w:t xml:space="preserve"> es </w:t>
      </w:r>
      <w:r w:rsidR="001C4910">
        <w:rPr>
          <w:rFonts w:ascii="Arial" w:eastAsia="Calibri" w:hAnsi="Arial" w:cs="Arial"/>
          <w:color w:val="000000" w:themeColor="text1"/>
          <w:sz w:val="22"/>
          <w:lang w:val="es-ES"/>
        </w:rPr>
        <w:t>facultativo</w:t>
      </w:r>
      <w:r w:rsidRPr="00F61FF3">
        <w:rPr>
          <w:rFonts w:ascii="Arial" w:eastAsia="Calibri" w:hAnsi="Arial" w:cs="Arial"/>
          <w:color w:val="000000" w:themeColor="text1"/>
          <w:sz w:val="22"/>
          <w:lang w:val="es-ES"/>
        </w:rPr>
        <w:t xml:space="preserve"> </w:t>
      </w:r>
      <w:r w:rsidR="007E2119">
        <w:rPr>
          <w:rFonts w:ascii="Arial" w:eastAsia="Calibri" w:hAnsi="Arial" w:cs="Arial"/>
          <w:color w:val="000000" w:themeColor="text1"/>
          <w:sz w:val="22"/>
          <w:lang w:val="es-ES"/>
        </w:rPr>
        <w:t>dejar de</w:t>
      </w:r>
      <w:r w:rsidRPr="00F61FF3">
        <w:rPr>
          <w:rFonts w:ascii="Arial" w:eastAsia="Calibri" w:hAnsi="Arial" w:cs="Arial"/>
          <w:color w:val="000000" w:themeColor="text1"/>
          <w:sz w:val="22"/>
          <w:lang w:val="es-ES"/>
        </w:rPr>
        <w:t xml:space="preserve"> aplicar </w:t>
      </w:r>
      <w:r w:rsidR="007E2119">
        <w:rPr>
          <w:rFonts w:ascii="Arial" w:eastAsia="Calibri" w:hAnsi="Arial" w:cs="Arial"/>
          <w:color w:val="000000" w:themeColor="text1"/>
          <w:sz w:val="22"/>
          <w:lang w:val="es-ES"/>
        </w:rPr>
        <w:t>el EGCAP</w:t>
      </w:r>
      <w:r w:rsidRPr="00F61FF3">
        <w:rPr>
          <w:rFonts w:ascii="Arial" w:eastAsia="Calibri" w:hAnsi="Arial" w:cs="Arial"/>
          <w:color w:val="000000" w:themeColor="text1"/>
          <w:sz w:val="22"/>
          <w:lang w:val="es-ES"/>
        </w:rPr>
        <w:t xml:space="preserve"> cuando los contratos o convenios sean financiados en su totalidad o en sumas iguales o superiores al 50% con fondos del organismo de coo</w:t>
      </w:r>
      <w:r w:rsidR="00192D8B" w:rsidRPr="00F61FF3">
        <w:rPr>
          <w:rFonts w:ascii="Arial" w:eastAsia="Calibri" w:hAnsi="Arial" w:cs="Arial"/>
          <w:color w:val="000000" w:themeColor="text1"/>
          <w:sz w:val="22"/>
          <w:lang w:val="es-ES"/>
        </w:rPr>
        <w:t>peración</w:t>
      </w:r>
      <w:r w:rsidR="007E2119">
        <w:rPr>
          <w:rFonts w:ascii="Arial" w:eastAsia="Calibri" w:hAnsi="Arial" w:cs="Arial"/>
          <w:color w:val="000000" w:themeColor="text1"/>
          <w:sz w:val="22"/>
          <w:lang w:val="es-ES"/>
        </w:rPr>
        <w:t xml:space="preserve">, </w:t>
      </w:r>
      <w:r w:rsidR="007E2119" w:rsidRPr="007E2119">
        <w:rPr>
          <w:rFonts w:ascii="Arial" w:eastAsia="Calibri" w:hAnsi="Arial" w:cs="Arial"/>
          <w:color w:val="000000" w:themeColor="text1"/>
          <w:sz w:val="22"/>
          <w:lang w:val="es-ES"/>
        </w:rPr>
        <w:t>asistencia o ayudas internacionales</w:t>
      </w:r>
      <w:r w:rsidR="00192D8B" w:rsidRPr="00F61FF3">
        <w:rPr>
          <w:rFonts w:ascii="Arial" w:eastAsia="Calibri" w:hAnsi="Arial" w:cs="Arial"/>
          <w:color w:val="000000" w:themeColor="text1"/>
          <w:sz w:val="22"/>
          <w:lang w:val="es-ES"/>
        </w:rPr>
        <w:t xml:space="preserve">. </w:t>
      </w:r>
      <w:r w:rsidR="00840218">
        <w:rPr>
          <w:rFonts w:ascii="Arial" w:eastAsia="Calibri" w:hAnsi="Arial" w:cs="Arial"/>
          <w:color w:val="000000" w:themeColor="text1"/>
          <w:sz w:val="22"/>
          <w:lang w:val="es-ES"/>
        </w:rPr>
        <w:t xml:space="preserve">Cuando </w:t>
      </w:r>
      <w:r w:rsidR="00192D8B" w:rsidRPr="00F61FF3">
        <w:rPr>
          <w:rFonts w:ascii="Arial" w:eastAsia="Calibri" w:hAnsi="Arial" w:cs="Arial"/>
          <w:color w:val="000000" w:themeColor="text1"/>
          <w:sz w:val="22"/>
          <w:lang w:val="es-ES"/>
        </w:rPr>
        <w:t xml:space="preserve">la entidad contratante determine </w:t>
      </w:r>
      <w:r w:rsidR="001C4910">
        <w:rPr>
          <w:rFonts w:ascii="Arial" w:eastAsia="Calibri" w:hAnsi="Arial" w:cs="Arial"/>
          <w:color w:val="000000" w:themeColor="text1"/>
          <w:sz w:val="22"/>
          <w:lang w:val="es-ES"/>
        </w:rPr>
        <w:t xml:space="preserve">o </w:t>
      </w:r>
      <w:r w:rsidR="00192D8B" w:rsidRPr="00F61FF3">
        <w:rPr>
          <w:rFonts w:ascii="Arial" w:eastAsia="Calibri" w:hAnsi="Arial" w:cs="Arial"/>
          <w:color w:val="000000" w:themeColor="text1"/>
          <w:sz w:val="22"/>
          <w:lang w:val="es-ES"/>
        </w:rPr>
        <w:t xml:space="preserve">establezca </w:t>
      </w:r>
      <w:r w:rsidR="00840218">
        <w:rPr>
          <w:rFonts w:ascii="Arial" w:eastAsia="Calibri" w:hAnsi="Arial" w:cs="Arial"/>
          <w:color w:val="000000" w:themeColor="text1"/>
          <w:sz w:val="22"/>
          <w:lang w:val="es-ES"/>
        </w:rPr>
        <w:t xml:space="preserve">que </w:t>
      </w:r>
      <w:r w:rsidR="00192D8B" w:rsidRPr="00F61FF3">
        <w:rPr>
          <w:rFonts w:ascii="Arial" w:eastAsia="Calibri" w:hAnsi="Arial" w:cs="Arial"/>
          <w:color w:val="000000" w:themeColor="text1"/>
          <w:sz w:val="22"/>
          <w:lang w:val="es-ES"/>
        </w:rPr>
        <w:t xml:space="preserve">los aportes del </w:t>
      </w:r>
      <w:r w:rsidR="001C4910">
        <w:rPr>
          <w:rFonts w:ascii="Arial" w:eastAsia="Calibri" w:hAnsi="Arial" w:cs="Arial"/>
          <w:color w:val="000000" w:themeColor="text1"/>
          <w:sz w:val="22"/>
          <w:lang w:val="es-ES"/>
        </w:rPr>
        <w:t>o</w:t>
      </w:r>
      <w:r w:rsidR="00192D8B" w:rsidRPr="00F61FF3">
        <w:rPr>
          <w:rFonts w:ascii="Arial" w:eastAsia="Calibri" w:hAnsi="Arial" w:cs="Arial"/>
          <w:color w:val="000000" w:themeColor="text1"/>
          <w:sz w:val="22"/>
          <w:lang w:val="es-ES"/>
        </w:rPr>
        <w:t xml:space="preserve">rganismo </w:t>
      </w:r>
      <w:r w:rsidR="00840218">
        <w:rPr>
          <w:rFonts w:ascii="Arial" w:eastAsia="Calibri" w:hAnsi="Arial" w:cs="Arial"/>
          <w:color w:val="000000" w:themeColor="text1"/>
          <w:sz w:val="22"/>
          <w:lang w:val="es-ES"/>
        </w:rPr>
        <w:t>internacional son inferiores al</w:t>
      </w:r>
      <w:r w:rsidR="00192D8B" w:rsidRPr="00F61FF3">
        <w:rPr>
          <w:rFonts w:ascii="Arial" w:eastAsia="Calibri" w:hAnsi="Arial" w:cs="Arial"/>
          <w:color w:val="000000" w:themeColor="text1"/>
          <w:sz w:val="22"/>
          <w:lang w:val="es-ES"/>
        </w:rPr>
        <w:t xml:space="preserve"> porcentaje señalado, </w:t>
      </w:r>
      <w:r w:rsidR="001C4910">
        <w:rPr>
          <w:rFonts w:ascii="Arial" w:eastAsia="Calibri" w:hAnsi="Arial" w:cs="Arial"/>
          <w:color w:val="000000" w:themeColor="text1"/>
          <w:sz w:val="22"/>
          <w:lang w:val="es-ES"/>
        </w:rPr>
        <w:t>el contrato o convenio debe someterse al EGCAP</w:t>
      </w:r>
      <w:r w:rsidR="00192D8B" w:rsidRPr="00F61FF3">
        <w:rPr>
          <w:rFonts w:ascii="Arial" w:eastAsia="Calibri" w:hAnsi="Arial" w:cs="Arial"/>
          <w:color w:val="000000" w:themeColor="text1"/>
          <w:sz w:val="22"/>
          <w:lang w:val="es-ES"/>
        </w:rPr>
        <w:t xml:space="preserve">. </w:t>
      </w:r>
    </w:p>
    <w:p w14:paraId="473FCBAE" w14:textId="004F3AEC" w:rsidR="00192D8B" w:rsidRPr="00F61FF3" w:rsidRDefault="00192D8B">
      <w:pPr>
        <w:spacing w:before="120" w:after="120" w:line="276" w:lineRule="auto"/>
        <w:ind w:firstLine="709"/>
        <w:jc w:val="both"/>
        <w:rPr>
          <w:rFonts w:ascii="Arial" w:eastAsia="Calibri" w:hAnsi="Arial" w:cs="Arial"/>
          <w:color w:val="000000" w:themeColor="text1"/>
          <w:sz w:val="22"/>
          <w:szCs w:val="22"/>
          <w:lang w:val="es-ES"/>
        </w:rPr>
      </w:pPr>
      <w:r w:rsidRPr="00F61FF3">
        <w:rPr>
          <w:rFonts w:ascii="Arial" w:eastAsia="Calibri" w:hAnsi="Arial" w:cs="Arial"/>
          <w:color w:val="000000" w:themeColor="text1"/>
          <w:sz w:val="22"/>
          <w:szCs w:val="22"/>
          <w:lang w:val="es-ES"/>
        </w:rPr>
        <w:t>Por otro lado, la norma establece un segundo criterio</w:t>
      </w:r>
      <w:r w:rsidR="00840218">
        <w:rPr>
          <w:rFonts w:ascii="Arial" w:eastAsia="Calibri" w:hAnsi="Arial" w:cs="Arial"/>
          <w:color w:val="000000" w:themeColor="text1"/>
          <w:sz w:val="22"/>
          <w:szCs w:val="22"/>
          <w:lang w:val="es-ES"/>
        </w:rPr>
        <w:t xml:space="preserve">, en el </w:t>
      </w:r>
      <w:r w:rsidR="00840218">
        <w:rPr>
          <w:rFonts w:ascii="Arial" w:eastAsia="Calibri" w:hAnsi="Arial" w:cs="Arial"/>
          <w:i/>
          <w:iCs/>
          <w:color w:val="000000" w:themeColor="text1"/>
          <w:sz w:val="22"/>
          <w:szCs w:val="22"/>
          <w:lang w:val="es-ES"/>
        </w:rPr>
        <w:t>inciso segundo,</w:t>
      </w:r>
      <w:r w:rsidRPr="00F61FF3">
        <w:rPr>
          <w:rFonts w:ascii="Arial" w:eastAsia="Calibri" w:hAnsi="Arial" w:cs="Arial"/>
          <w:color w:val="000000" w:themeColor="text1"/>
          <w:sz w:val="22"/>
          <w:szCs w:val="22"/>
          <w:lang w:val="es-ES"/>
        </w:rPr>
        <w:t xml:space="preserve"> para determinar la </w:t>
      </w:r>
      <w:r w:rsidR="00840218">
        <w:rPr>
          <w:rFonts w:ascii="Arial" w:eastAsia="Calibri" w:hAnsi="Arial" w:cs="Arial"/>
          <w:color w:val="000000" w:themeColor="text1"/>
          <w:sz w:val="22"/>
          <w:szCs w:val="22"/>
          <w:lang w:val="es-ES"/>
        </w:rPr>
        <w:t xml:space="preserve">posibilidad de </w:t>
      </w:r>
      <w:r w:rsidRPr="00F61FF3">
        <w:rPr>
          <w:rFonts w:ascii="Arial" w:eastAsia="Calibri" w:hAnsi="Arial" w:cs="Arial"/>
          <w:color w:val="000000" w:themeColor="text1"/>
          <w:sz w:val="22"/>
          <w:szCs w:val="22"/>
          <w:lang w:val="es-ES"/>
        </w:rPr>
        <w:t>aplica</w:t>
      </w:r>
      <w:r w:rsidR="00840218">
        <w:rPr>
          <w:rFonts w:ascii="Arial" w:eastAsia="Calibri" w:hAnsi="Arial" w:cs="Arial"/>
          <w:color w:val="000000" w:themeColor="text1"/>
          <w:sz w:val="22"/>
          <w:szCs w:val="22"/>
          <w:lang w:val="es-ES"/>
        </w:rPr>
        <w:t>r los</w:t>
      </w:r>
      <w:r w:rsidRPr="00F61FF3">
        <w:rPr>
          <w:rFonts w:ascii="Arial" w:eastAsia="Calibri" w:hAnsi="Arial" w:cs="Arial"/>
          <w:color w:val="000000" w:themeColor="text1"/>
          <w:sz w:val="22"/>
          <w:szCs w:val="22"/>
          <w:lang w:val="es-ES"/>
        </w:rPr>
        <w:t xml:space="preserve"> reglamento</w:t>
      </w:r>
      <w:r w:rsidR="004C3AEC">
        <w:rPr>
          <w:rFonts w:ascii="Arial" w:eastAsia="Calibri" w:hAnsi="Arial" w:cs="Arial"/>
          <w:color w:val="000000" w:themeColor="text1"/>
          <w:sz w:val="22"/>
          <w:szCs w:val="22"/>
          <w:lang w:val="es-ES"/>
        </w:rPr>
        <w:t>s</w:t>
      </w:r>
      <w:r w:rsidRPr="00F61FF3">
        <w:rPr>
          <w:rFonts w:ascii="Arial" w:eastAsia="Calibri" w:hAnsi="Arial" w:cs="Arial"/>
          <w:color w:val="000000" w:themeColor="text1"/>
          <w:sz w:val="22"/>
          <w:szCs w:val="22"/>
          <w:lang w:val="es-ES"/>
        </w:rPr>
        <w:t xml:space="preserve"> de</w:t>
      </w:r>
      <w:r w:rsidR="004C3AEC">
        <w:rPr>
          <w:rFonts w:ascii="Arial" w:eastAsia="Calibri" w:hAnsi="Arial" w:cs="Arial"/>
          <w:color w:val="000000" w:themeColor="text1"/>
          <w:sz w:val="22"/>
          <w:szCs w:val="22"/>
          <w:lang w:val="es-ES"/>
        </w:rPr>
        <w:t xml:space="preserve"> </w:t>
      </w:r>
      <w:r w:rsidRPr="00F61FF3">
        <w:rPr>
          <w:rFonts w:ascii="Arial" w:eastAsia="Calibri" w:hAnsi="Arial" w:cs="Arial"/>
          <w:color w:val="000000" w:themeColor="text1"/>
          <w:sz w:val="22"/>
          <w:szCs w:val="22"/>
          <w:lang w:val="es-ES"/>
        </w:rPr>
        <w:t>l</w:t>
      </w:r>
      <w:r w:rsidR="004C3AEC">
        <w:rPr>
          <w:rFonts w:ascii="Arial" w:eastAsia="Calibri" w:hAnsi="Arial" w:cs="Arial"/>
          <w:color w:val="000000" w:themeColor="text1"/>
          <w:sz w:val="22"/>
          <w:szCs w:val="22"/>
          <w:lang w:val="es-ES"/>
        </w:rPr>
        <w:t>os</w:t>
      </w:r>
      <w:r w:rsidRPr="00F61FF3">
        <w:rPr>
          <w:rFonts w:ascii="Arial" w:eastAsia="Calibri" w:hAnsi="Arial" w:cs="Arial"/>
          <w:color w:val="000000" w:themeColor="text1"/>
          <w:sz w:val="22"/>
          <w:szCs w:val="22"/>
          <w:lang w:val="es-ES"/>
        </w:rPr>
        <w:t xml:space="preserve"> </w:t>
      </w:r>
      <w:r w:rsidR="004C3AEC">
        <w:rPr>
          <w:rFonts w:ascii="Arial" w:eastAsia="Calibri" w:hAnsi="Arial" w:cs="Arial"/>
          <w:color w:val="000000" w:themeColor="text1"/>
          <w:sz w:val="22"/>
          <w:szCs w:val="22"/>
          <w:lang w:val="es-ES"/>
        </w:rPr>
        <w:t>o</w:t>
      </w:r>
      <w:r w:rsidRPr="00F61FF3">
        <w:rPr>
          <w:rFonts w:ascii="Arial" w:eastAsia="Calibri" w:hAnsi="Arial" w:cs="Arial"/>
          <w:color w:val="000000" w:themeColor="text1"/>
          <w:sz w:val="22"/>
          <w:szCs w:val="22"/>
          <w:lang w:val="es-ES"/>
        </w:rPr>
        <w:t>rganismo</w:t>
      </w:r>
      <w:r w:rsidR="004C3AEC">
        <w:rPr>
          <w:rFonts w:ascii="Arial" w:eastAsia="Calibri" w:hAnsi="Arial" w:cs="Arial"/>
          <w:color w:val="000000" w:themeColor="text1"/>
          <w:sz w:val="22"/>
          <w:szCs w:val="22"/>
          <w:lang w:val="es-ES"/>
        </w:rPr>
        <w:t>s</w:t>
      </w:r>
      <w:r w:rsidRPr="00F61FF3">
        <w:rPr>
          <w:rFonts w:ascii="Arial" w:eastAsia="Calibri" w:hAnsi="Arial" w:cs="Arial"/>
          <w:color w:val="000000" w:themeColor="text1"/>
          <w:sz w:val="22"/>
          <w:szCs w:val="22"/>
          <w:lang w:val="es-ES"/>
        </w:rPr>
        <w:t xml:space="preserve"> </w:t>
      </w:r>
      <w:r w:rsidR="004C3AEC">
        <w:rPr>
          <w:rFonts w:ascii="Arial" w:eastAsia="Calibri" w:hAnsi="Arial" w:cs="Arial"/>
          <w:color w:val="000000" w:themeColor="text1"/>
          <w:sz w:val="22"/>
          <w:szCs w:val="22"/>
          <w:lang w:val="es-ES"/>
        </w:rPr>
        <w:t>i</w:t>
      </w:r>
      <w:r w:rsidRPr="00F61FF3">
        <w:rPr>
          <w:rFonts w:ascii="Arial" w:eastAsia="Calibri" w:hAnsi="Arial" w:cs="Arial"/>
          <w:color w:val="000000" w:themeColor="text1"/>
          <w:sz w:val="22"/>
          <w:szCs w:val="22"/>
          <w:lang w:val="es-ES"/>
        </w:rPr>
        <w:t>nternacional</w:t>
      </w:r>
      <w:r w:rsidR="004C3AEC">
        <w:rPr>
          <w:rFonts w:ascii="Arial" w:eastAsia="Calibri" w:hAnsi="Arial" w:cs="Arial"/>
          <w:color w:val="000000" w:themeColor="text1"/>
          <w:sz w:val="22"/>
          <w:szCs w:val="22"/>
          <w:lang w:val="es-ES"/>
        </w:rPr>
        <w:t>es. Este segundo criterio depende del</w:t>
      </w:r>
      <w:r w:rsidRPr="00F61FF3">
        <w:rPr>
          <w:rFonts w:ascii="Arial" w:eastAsia="Calibri" w:hAnsi="Arial" w:cs="Arial"/>
          <w:color w:val="000000" w:themeColor="text1"/>
          <w:sz w:val="22"/>
          <w:szCs w:val="22"/>
          <w:lang w:val="es-ES"/>
        </w:rPr>
        <w:t xml:space="preserve"> objeto del convenio o contrato a celebrar,</w:t>
      </w:r>
      <w:r w:rsidR="004C3AEC">
        <w:rPr>
          <w:rFonts w:ascii="Arial" w:eastAsia="Calibri" w:hAnsi="Arial" w:cs="Arial"/>
          <w:color w:val="000000" w:themeColor="text1"/>
          <w:sz w:val="22"/>
          <w:szCs w:val="22"/>
          <w:lang w:val="es-ES"/>
        </w:rPr>
        <w:t xml:space="preserve"> de manera que en dichos casos</w:t>
      </w:r>
      <w:r w:rsidRPr="00F61FF3">
        <w:rPr>
          <w:rFonts w:ascii="Arial" w:eastAsia="Calibri" w:hAnsi="Arial" w:cs="Arial"/>
          <w:color w:val="000000" w:themeColor="text1"/>
          <w:sz w:val="22"/>
          <w:szCs w:val="22"/>
          <w:lang w:val="es-ES"/>
        </w:rPr>
        <w:t xml:space="preserve"> se </w:t>
      </w:r>
      <w:r w:rsidRPr="007E2119">
        <w:rPr>
          <w:rFonts w:ascii="Arial" w:eastAsia="Calibri" w:hAnsi="Arial" w:cs="Arial"/>
          <w:i/>
          <w:iCs/>
          <w:color w:val="000000" w:themeColor="text1"/>
          <w:sz w:val="22"/>
          <w:szCs w:val="22"/>
          <w:lang w:val="es-ES"/>
        </w:rPr>
        <w:t>puede</w:t>
      </w:r>
      <w:r w:rsidRPr="00F61FF3">
        <w:rPr>
          <w:rFonts w:ascii="Arial" w:eastAsia="Calibri" w:hAnsi="Arial" w:cs="Arial"/>
          <w:color w:val="000000" w:themeColor="text1"/>
          <w:sz w:val="22"/>
          <w:szCs w:val="22"/>
          <w:lang w:val="es-ES"/>
        </w:rPr>
        <w:t xml:space="preserve"> pactar el sometimiento a</w:t>
      </w:r>
      <w:r w:rsidR="004C3AEC">
        <w:rPr>
          <w:rFonts w:ascii="Arial" w:eastAsia="Calibri" w:hAnsi="Arial" w:cs="Arial"/>
          <w:color w:val="000000" w:themeColor="text1"/>
          <w:sz w:val="22"/>
          <w:szCs w:val="22"/>
          <w:lang w:val="es-ES"/>
        </w:rPr>
        <w:t xml:space="preserve"> los reglamentos de dichas entidades.</w:t>
      </w:r>
      <w:r w:rsidRPr="00F61FF3">
        <w:rPr>
          <w:rFonts w:ascii="Arial" w:eastAsia="Calibri" w:hAnsi="Arial" w:cs="Arial"/>
          <w:color w:val="000000" w:themeColor="text1"/>
          <w:sz w:val="22"/>
          <w:szCs w:val="22"/>
          <w:lang w:val="es-ES"/>
        </w:rPr>
        <w:t xml:space="preserve"> </w:t>
      </w:r>
      <w:r w:rsidR="004C3AEC">
        <w:rPr>
          <w:rFonts w:ascii="Arial" w:eastAsia="Calibri" w:hAnsi="Arial" w:cs="Arial"/>
          <w:color w:val="000000" w:themeColor="text1"/>
          <w:sz w:val="22"/>
          <w:szCs w:val="22"/>
          <w:lang w:val="es-ES"/>
        </w:rPr>
        <w:t>En tal sentido, los otros supuestos en que es posible someter el régimen contractual a los reglamentos de los organismos internacionales son los siguientes:</w:t>
      </w:r>
      <w:r w:rsidRPr="00F61FF3">
        <w:rPr>
          <w:rFonts w:ascii="Arial" w:eastAsia="Calibri" w:hAnsi="Arial" w:cs="Arial"/>
          <w:color w:val="000000" w:themeColor="text1"/>
          <w:sz w:val="22"/>
          <w:szCs w:val="22"/>
          <w:lang w:val="es-ES"/>
        </w:rPr>
        <w:t xml:space="preserve"> </w:t>
      </w:r>
    </w:p>
    <w:p w14:paraId="39C9E1FB" w14:textId="41629C7F" w:rsidR="00192D8B" w:rsidRPr="00F61FF3" w:rsidRDefault="00760039">
      <w:pPr>
        <w:pStyle w:val="Prrafodelista"/>
        <w:numPr>
          <w:ilvl w:val="0"/>
          <w:numId w:val="16"/>
        </w:numPr>
        <w:jc w:val="both"/>
        <w:rPr>
          <w:rFonts w:ascii="Arial" w:eastAsia="Calibri" w:hAnsi="Arial" w:cs="Arial"/>
          <w:sz w:val="22"/>
          <w:szCs w:val="22"/>
        </w:rPr>
      </w:pPr>
      <w:r w:rsidRPr="00F61FF3">
        <w:rPr>
          <w:rFonts w:ascii="Arial" w:eastAsia="Calibri" w:hAnsi="Arial" w:cs="Arial"/>
          <w:sz w:val="22"/>
          <w:szCs w:val="22"/>
        </w:rPr>
        <w:t>D</w:t>
      </w:r>
      <w:r w:rsidR="00192D8B" w:rsidRPr="00F61FF3">
        <w:rPr>
          <w:rFonts w:ascii="Arial" w:eastAsia="Calibri" w:hAnsi="Arial" w:cs="Arial"/>
          <w:sz w:val="22"/>
          <w:szCs w:val="22"/>
        </w:rPr>
        <w:t xml:space="preserve">esarrollo de programas de promoción, prevención y atención en salud. </w:t>
      </w:r>
    </w:p>
    <w:p w14:paraId="410A65B1" w14:textId="0088E066" w:rsidR="00192D8B" w:rsidRPr="00F61FF3" w:rsidRDefault="00760039">
      <w:pPr>
        <w:pStyle w:val="Prrafodelista"/>
        <w:numPr>
          <w:ilvl w:val="0"/>
          <w:numId w:val="16"/>
        </w:numPr>
        <w:spacing w:after="0"/>
        <w:jc w:val="both"/>
        <w:rPr>
          <w:rFonts w:ascii="Arial" w:hAnsi="Arial" w:cs="Arial"/>
          <w:sz w:val="22"/>
          <w:szCs w:val="22"/>
        </w:rPr>
      </w:pPr>
      <w:r w:rsidRPr="00F61FF3">
        <w:rPr>
          <w:rFonts w:ascii="Arial" w:hAnsi="Arial" w:cs="Arial"/>
          <w:sz w:val="22"/>
          <w:szCs w:val="22"/>
        </w:rPr>
        <w:t>C</w:t>
      </w:r>
      <w:r w:rsidR="00192D8B" w:rsidRPr="00F61FF3">
        <w:rPr>
          <w:rFonts w:ascii="Arial" w:hAnsi="Arial" w:cs="Arial"/>
          <w:sz w:val="22"/>
          <w:szCs w:val="22"/>
        </w:rPr>
        <w:t>ontratos y convenios necesarios para la operación de la OIT</w:t>
      </w:r>
      <w:r w:rsidRPr="00F61FF3">
        <w:rPr>
          <w:rFonts w:ascii="Arial" w:hAnsi="Arial" w:cs="Arial"/>
          <w:sz w:val="22"/>
          <w:szCs w:val="22"/>
        </w:rPr>
        <w:t>.</w:t>
      </w:r>
    </w:p>
    <w:p w14:paraId="27D18307" w14:textId="1E156274" w:rsidR="00192D8B" w:rsidRPr="00F61FF3" w:rsidRDefault="00760039">
      <w:pPr>
        <w:pStyle w:val="Prrafodelista"/>
        <w:numPr>
          <w:ilvl w:val="0"/>
          <w:numId w:val="16"/>
        </w:numPr>
        <w:spacing w:after="0"/>
        <w:jc w:val="both"/>
        <w:rPr>
          <w:rFonts w:ascii="Arial" w:hAnsi="Arial" w:cs="Arial"/>
          <w:sz w:val="22"/>
          <w:szCs w:val="22"/>
        </w:rPr>
      </w:pPr>
      <w:r w:rsidRPr="00F61FF3">
        <w:rPr>
          <w:rFonts w:ascii="Arial" w:hAnsi="Arial" w:cs="Arial"/>
          <w:sz w:val="22"/>
          <w:szCs w:val="22"/>
        </w:rPr>
        <w:t>C</w:t>
      </w:r>
      <w:r w:rsidR="00192D8B" w:rsidRPr="00F61FF3">
        <w:rPr>
          <w:rFonts w:ascii="Arial" w:hAnsi="Arial" w:cs="Arial"/>
          <w:sz w:val="22"/>
          <w:szCs w:val="22"/>
        </w:rPr>
        <w:t>ontratos y convenios que se ejecuten en desarrollo del sistema integrado de monitoreo de cultivos ilícitos</w:t>
      </w:r>
      <w:r w:rsidRPr="00F61FF3">
        <w:rPr>
          <w:rFonts w:ascii="Arial" w:hAnsi="Arial" w:cs="Arial"/>
          <w:sz w:val="22"/>
          <w:szCs w:val="22"/>
        </w:rPr>
        <w:t>.</w:t>
      </w:r>
    </w:p>
    <w:p w14:paraId="79B4F336" w14:textId="65F760C0" w:rsidR="00192D8B" w:rsidRPr="00F61FF3" w:rsidRDefault="00760039">
      <w:pPr>
        <w:pStyle w:val="Prrafodelista"/>
        <w:numPr>
          <w:ilvl w:val="0"/>
          <w:numId w:val="16"/>
        </w:numPr>
        <w:spacing w:after="0"/>
        <w:jc w:val="both"/>
        <w:rPr>
          <w:rFonts w:ascii="Arial" w:hAnsi="Arial" w:cs="Arial"/>
          <w:sz w:val="22"/>
          <w:szCs w:val="22"/>
        </w:rPr>
      </w:pPr>
      <w:r w:rsidRPr="00F61FF3">
        <w:rPr>
          <w:rFonts w:ascii="Arial" w:hAnsi="Arial" w:cs="Arial"/>
          <w:sz w:val="22"/>
          <w:szCs w:val="22"/>
        </w:rPr>
        <w:t>C</w:t>
      </w:r>
      <w:r w:rsidR="00192D8B" w:rsidRPr="00F61FF3">
        <w:rPr>
          <w:rFonts w:ascii="Arial" w:hAnsi="Arial" w:cs="Arial"/>
          <w:sz w:val="22"/>
          <w:szCs w:val="22"/>
        </w:rPr>
        <w:t>ontratos y convenios para la operación del programa mundial de alimentos</w:t>
      </w:r>
      <w:r w:rsidR="004C3AEC">
        <w:rPr>
          <w:rFonts w:ascii="Arial" w:hAnsi="Arial" w:cs="Arial"/>
          <w:sz w:val="22"/>
          <w:szCs w:val="22"/>
        </w:rPr>
        <w:t>.</w:t>
      </w:r>
    </w:p>
    <w:p w14:paraId="4BB01E5D" w14:textId="356EB4DD" w:rsidR="00192D8B" w:rsidRPr="00F61FF3" w:rsidRDefault="00760039">
      <w:pPr>
        <w:pStyle w:val="Prrafodelista"/>
        <w:numPr>
          <w:ilvl w:val="0"/>
          <w:numId w:val="16"/>
        </w:numPr>
        <w:spacing w:after="0"/>
        <w:jc w:val="both"/>
        <w:rPr>
          <w:rFonts w:ascii="Arial" w:hAnsi="Arial" w:cs="Arial"/>
          <w:sz w:val="22"/>
          <w:szCs w:val="22"/>
        </w:rPr>
      </w:pPr>
      <w:r w:rsidRPr="00F61FF3">
        <w:rPr>
          <w:rFonts w:ascii="Arial" w:hAnsi="Arial" w:cs="Arial"/>
          <w:sz w:val="22"/>
          <w:szCs w:val="22"/>
        </w:rPr>
        <w:t>C</w:t>
      </w:r>
      <w:r w:rsidR="00192D8B" w:rsidRPr="00F61FF3">
        <w:rPr>
          <w:rFonts w:ascii="Arial" w:hAnsi="Arial" w:cs="Arial"/>
          <w:sz w:val="22"/>
          <w:szCs w:val="22"/>
        </w:rPr>
        <w:t>ontratos y convenios para el desarrollo de programas de apoyo educativo a población desplazada y vulnerable adelantados por la Unesco y la OIM</w:t>
      </w:r>
      <w:r w:rsidRPr="00F61FF3">
        <w:rPr>
          <w:rFonts w:ascii="Arial" w:hAnsi="Arial" w:cs="Arial"/>
          <w:sz w:val="22"/>
          <w:szCs w:val="22"/>
        </w:rPr>
        <w:t>.</w:t>
      </w:r>
    </w:p>
    <w:p w14:paraId="5380EC9C" w14:textId="1E760D13" w:rsidR="00760039" w:rsidRDefault="00760039" w:rsidP="00C37908">
      <w:pPr>
        <w:pStyle w:val="Prrafodelista"/>
        <w:numPr>
          <w:ilvl w:val="0"/>
          <w:numId w:val="16"/>
        </w:numPr>
        <w:spacing w:after="120"/>
        <w:ind w:hanging="357"/>
        <w:jc w:val="both"/>
        <w:rPr>
          <w:rFonts w:ascii="Arial" w:hAnsi="Arial" w:cs="Arial"/>
          <w:sz w:val="22"/>
          <w:szCs w:val="22"/>
        </w:rPr>
      </w:pPr>
      <w:r w:rsidRPr="00F61FF3">
        <w:rPr>
          <w:rFonts w:ascii="Arial" w:hAnsi="Arial" w:cs="Arial"/>
          <w:sz w:val="22"/>
          <w:szCs w:val="22"/>
        </w:rPr>
        <w:t>L</w:t>
      </w:r>
      <w:r w:rsidR="00192D8B" w:rsidRPr="00F61FF3">
        <w:rPr>
          <w:rFonts w:ascii="Arial" w:hAnsi="Arial" w:cs="Arial"/>
          <w:sz w:val="22"/>
          <w:szCs w:val="22"/>
        </w:rPr>
        <w:t xml:space="preserve">os contratos o convenios financiados con fondos de los organismos </w:t>
      </w:r>
      <w:r w:rsidR="00192D8B" w:rsidRPr="005D4BF7">
        <w:rPr>
          <w:rFonts w:ascii="Arial" w:hAnsi="Arial" w:cs="Arial"/>
          <w:sz w:val="22"/>
          <w:szCs w:val="22"/>
        </w:rPr>
        <w:t>multilaterales de crédito y entes gubernamentales extranjeros</w:t>
      </w:r>
      <w:r w:rsidRPr="005D4BF7">
        <w:rPr>
          <w:rFonts w:ascii="Arial" w:hAnsi="Arial" w:cs="Arial"/>
          <w:sz w:val="22"/>
          <w:szCs w:val="22"/>
        </w:rPr>
        <w:t xml:space="preserve">. </w:t>
      </w:r>
    </w:p>
    <w:p w14:paraId="6CAC66AB" w14:textId="77777777" w:rsidR="007E2119" w:rsidRDefault="007E2119" w:rsidP="007E2119">
      <w:pPr>
        <w:spacing w:before="120" w:after="120" w:line="276" w:lineRule="auto"/>
        <w:ind w:firstLine="709"/>
        <w:jc w:val="both"/>
        <w:rPr>
          <w:rFonts w:ascii="Arial" w:eastAsia="Calibri" w:hAnsi="Arial" w:cs="Arial"/>
          <w:color w:val="000000" w:themeColor="text1"/>
          <w:sz w:val="22"/>
          <w:szCs w:val="22"/>
          <w:lang w:val="es-ES"/>
        </w:rPr>
      </w:pPr>
      <w:r w:rsidRPr="007E2119">
        <w:rPr>
          <w:rFonts w:ascii="Arial" w:eastAsia="Calibri" w:hAnsi="Arial" w:cs="Arial"/>
          <w:color w:val="000000" w:themeColor="text1"/>
          <w:sz w:val="22"/>
          <w:szCs w:val="22"/>
          <w:lang w:val="es-ES"/>
        </w:rPr>
        <w:t>En los supuestos anteriores, regulados en el inciso segundo del artículo 20, independiente del monto de los aportes de cada una de las partes</w:t>
      </w:r>
      <w:r>
        <w:rPr>
          <w:rFonts w:ascii="Arial" w:eastAsia="Calibri" w:hAnsi="Arial" w:cs="Arial"/>
          <w:color w:val="000000" w:themeColor="text1"/>
          <w:sz w:val="22"/>
          <w:szCs w:val="22"/>
          <w:lang w:val="es-ES"/>
        </w:rPr>
        <w:t xml:space="preserve">, es posible optar por someter el contrato a los reglamentos de dichos organismos o bien someterlos al EGCAP; </w:t>
      </w:r>
      <w:r>
        <w:rPr>
          <w:rFonts w:ascii="Arial" w:eastAsia="Calibri" w:hAnsi="Arial" w:cs="Arial"/>
          <w:color w:val="000000" w:themeColor="text1"/>
          <w:sz w:val="22"/>
          <w:szCs w:val="22"/>
          <w:lang w:val="es-ES"/>
        </w:rPr>
        <w:lastRenderedPageBreak/>
        <w:t>es decir, configurado alguno de los presupuestos anteriores es posible elegir cualquiera de los 2 regímenes indicados.</w:t>
      </w:r>
    </w:p>
    <w:p w14:paraId="5DF816B5" w14:textId="67705216" w:rsidR="005D4BF7" w:rsidRDefault="005D4BF7" w:rsidP="007E2119">
      <w:pPr>
        <w:spacing w:before="120" w:after="120" w:line="276" w:lineRule="auto"/>
        <w:ind w:firstLine="709"/>
        <w:jc w:val="both"/>
        <w:rPr>
          <w:rFonts w:ascii="Arial" w:eastAsia="Calibri" w:hAnsi="Arial" w:cs="Arial"/>
          <w:color w:val="000000" w:themeColor="text1"/>
          <w:sz w:val="22"/>
          <w:szCs w:val="22"/>
          <w:lang w:val="es-ES"/>
        </w:rPr>
      </w:pPr>
      <w:r w:rsidRPr="00C37908">
        <w:rPr>
          <w:rFonts w:ascii="Arial" w:eastAsia="Calibri" w:hAnsi="Arial" w:cs="Arial"/>
          <w:color w:val="000000" w:themeColor="text1"/>
          <w:sz w:val="22"/>
          <w:szCs w:val="22"/>
          <w:lang w:val="es-ES"/>
        </w:rPr>
        <w:t xml:space="preserve">Como se advierte de lo anterior, existen dos </w:t>
      </w:r>
      <w:r w:rsidR="00291CD3">
        <w:rPr>
          <w:rFonts w:ascii="Arial" w:eastAsia="Calibri" w:hAnsi="Arial" w:cs="Arial"/>
          <w:color w:val="000000" w:themeColor="text1"/>
          <w:sz w:val="22"/>
          <w:szCs w:val="22"/>
          <w:lang w:val="es-ES"/>
        </w:rPr>
        <w:t xml:space="preserve">grupos de </w:t>
      </w:r>
      <w:r w:rsidRPr="00C37908">
        <w:rPr>
          <w:rFonts w:ascii="Arial" w:eastAsia="Calibri" w:hAnsi="Arial" w:cs="Arial"/>
          <w:color w:val="000000" w:themeColor="text1"/>
          <w:sz w:val="22"/>
          <w:szCs w:val="22"/>
          <w:lang w:val="es-ES"/>
        </w:rPr>
        <w:t>supuestos en el artículo 20 de la Ley 1150 de 2007</w:t>
      </w:r>
      <w:r w:rsidR="00291CD3">
        <w:rPr>
          <w:rFonts w:ascii="Arial" w:eastAsia="Calibri" w:hAnsi="Arial" w:cs="Arial"/>
          <w:color w:val="000000" w:themeColor="text1"/>
          <w:sz w:val="22"/>
          <w:szCs w:val="22"/>
          <w:lang w:val="es-ES"/>
        </w:rPr>
        <w:t>,</w:t>
      </w:r>
      <w:r w:rsidRPr="00C37908">
        <w:rPr>
          <w:rFonts w:ascii="Arial" w:eastAsia="Calibri" w:hAnsi="Arial" w:cs="Arial"/>
          <w:color w:val="000000" w:themeColor="text1"/>
          <w:sz w:val="22"/>
          <w:szCs w:val="22"/>
          <w:lang w:val="es-ES"/>
        </w:rPr>
        <w:t xml:space="preserve"> bajo los cuales es posible someter el régimen contractual aplicable a los reglamentos de los organismos internacionales</w:t>
      </w:r>
      <w:r w:rsidR="00101C2B">
        <w:rPr>
          <w:rFonts w:ascii="Arial" w:eastAsia="Calibri" w:hAnsi="Arial" w:cs="Arial"/>
          <w:color w:val="000000" w:themeColor="text1"/>
          <w:sz w:val="22"/>
          <w:szCs w:val="22"/>
          <w:lang w:val="es-ES"/>
        </w:rPr>
        <w:t>:</w:t>
      </w:r>
      <w:r w:rsidRPr="00C37908">
        <w:rPr>
          <w:rFonts w:ascii="Arial" w:eastAsia="Calibri" w:hAnsi="Arial" w:cs="Arial"/>
          <w:color w:val="000000" w:themeColor="text1"/>
          <w:sz w:val="22"/>
          <w:szCs w:val="22"/>
          <w:lang w:val="es-ES"/>
        </w:rPr>
        <w:t xml:space="preserve"> el primer</w:t>
      </w:r>
      <w:r>
        <w:rPr>
          <w:rFonts w:ascii="Arial" w:eastAsia="Calibri" w:hAnsi="Arial" w:cs="Arial"/>
          <w:color w:val="000000" w:themeColor="text1"/>
          <w:sz w:val="22"/>
          <w:szCs w:val="22"/>
          <w:lang w:val="es-ES"/>
        </w:rPr>
        <w:t xml:space="preserve"> </w:t>
      </w:r>
      <w:r w:rsidR="00291CD3">
        <w:rPr>
          <w:rFonts w:ascii="Arial" w:eastAsia="Calibri" w:hAnsi="Arial" w:cs="Arial"/>
          <w:color w:val="000000" w:themeColor="text1"/>
          <w:sz w:val="22"/>
          <w:szCs w:val="22"/>
          <w:lang w:val="es-ES"/>
        </w:rPr>
        <w:t>grupo</w:t>
      </w:r>
      <w:r w:rsidRPr="00C37908">
        <w:rPr>
          <w:rFonts w:ascii="Arial" w:eastAsia="Calibri" w:hAnsi="Arial" w:cs="Arial"/>
          <w:color w:val="000000" w:themeColor="text1"/>
          <w:sz w:val="22"/>
          <w:szCs w:val="22"/>
          <w:lang w:val="es-ES"/>
        </w:rPr>
        <w:t xml:space="preserve">, regulado en el inciso primero, donde dicha posibilidad se condiciona </w:t>
      </w:r>
      <w:r>
        <w:rPr>
          <w:rFonts w:ascii="Arial" w:eastAsia="Calibri" w:hAnsi="Arial" w:cs="Arial"/>
          <w:color w:val="000000" w:themeColor="text1"/>
          <w:sz w:val="22"/>
          <w:szCs w:val="22"/>
          <w:lang w:val="es-ES"/>
        </w:rPr>
        <w:t>a que los</w:t>
      </w:r>
      <w:r w:rsidRPr="005D4BF7">
        <w:rPr>
          <w:rFonts w:ascii="Arial" w:eastAsia="Calibri" w:hAnsi="Arial" w:cs="Arial"/>
          <w:color w:val="000000" w:themeColor="text1"/>
          <w:sz w:val="22"/>
          <w:szCs w:val="22"/>
          <w:lang w:val="es-ES"/>
        </w:rPr>
        <w:t xml:space="preserve"> contratos o convenios</w:t>
      </w:r>
      <w:r>
        <w:rPr>
          <w:rFonts w:ascii="Arial" w:eastAsia="Calibri" w:hAnsi="Arial" w:cs="Arial"/>
          <w:color w:val="000000" w:themeColor="text1"/>
          <w:sz w:val="22"/>
          <w:szCs w:val="22"/>
          <w:lang w:val="es-ES"/>
        </w:rPr>
        <w:t xml:space="preserve"> </w:t>
      </w:r>
      <w:r w:rsidRPr="005D4BF7">
        <w:rPr>
          <w:rFonts w:ascii="Arial" w:eastAsia="Calibri" w:hAnsi="Arial" w:cs="Arial"/>
          <w:color w:val="000000" w:themeColor="text1"/>
          <w:sz w:val="22"/>
          <w:szCs w:val="22"/>
          <w:lang w:val="es-ES"/>
        </w:rPr>
        <w:t xml:space="preserve"> </w:t>
      </w:r>
      <w:r w:rsidR="00101C2B">
        <w:rPr>
          <w:rFonts w:ascii="Arial" w:eastAsia="Calibri" w:hAnsi="Arial" w:cs="Arial"/>
          <w:color w:val="000000" w:themeColor="text1"/>
          <w:sz w:val="22"/>
          <w:szCs w:val="22"/>
          <w:lang w:val="es-ES"/>
        </w:rPr>
        <w:t>se financien en el 50% o más</w:t>
      </w:r>
      <w:r w:rsidRPr="005D4BF7">
        <w:rPr>
          <w:rFonts w:ascii="Arial" w:eastAsia="Calibri" w:hAnsi="Arial" w:cs="Arial"/>
          <w:color w:val="000000" w:themeColor="text1"/>
          <w:sz w:val="22"/>
          <w:szCs w:val="22"/>
          <w:lang w:val="es-ES"/>
        </w:rPr>
        <w:t xml:space="preserve"> con fondos de </w:t>
      </w:r>
      <w:r w:rsidR="00101C2B">
        <w:rPr>
          <w:rFonts w:ascii="Arial" w:eastAsia="Calibri" w:hAnsi="Arial" w:cs="Arial"/>
          <w:color w:val="000000" w:themeColor="text1"/>
          <w:sz w:val="22"/>
          <w:szCs w:val="22"/>
          <w:lang w:val="es-ES"/>
        </w:rPr>
        <w:t xml:space="preserve">dichos </w:t>
      </w:r>
      <w:r w:rsidR="007E2119" w:rsidRPr="007E2119">
        <w:rPr>
          <w:rFonts w:ascii="Arial" w:eastAsia="Calibri" w:hAnsi="Arial" w:cs="Arial"/>
          <w:color w:val="000000" w:themeColor="text1"/>
          <w:sz w:val="22"/>
          <w:szCs w:val="22"/>
          <w:lang w:val="es-ES"/>
        </w:rPr>
        <w:t>organismos de cooperación, asistencia o ayudas internacionales</w:t>
      </w:r>
      <w:r w:rsidR="007E2119">
        <w:rPr>
          <w:rFonts w:ascii="Arial" w:eastAsia="Calibri" w:hAnsi="Arial" w:cs="Arial"/>
          <w:color w:val="000000" w:themeColor="text1"/>
          <w:sz w:val="22"/>
          <w:szCs w:val="22"/>
          <w:lang w:val="es-ES"/>
        </w:rPr>
        <w:t xml:space="preserve"> </w:t>
      </w:r>
      <w:r w:rsidR="00101C2B">
        <w:rPr>
          <w:rFonts w:ascii="Arial" w:eastAsia="Calibri" w:hAnsi="Arial" w:cs="Arial"/>
          <w:color w:val="000000" w:themeColor="text1"/>
          <w:sz w:val="22"/>
          <w:szCs w:val="22"/>
          <w:lang w:val="es-ES"/>
        </w:rPr>
        <w:t xml:space="preserve">y, el segundo </w:t>
      </w:r>
      <w:r w:rsidR="00291CD3">
        <w:rPr>
          <w:rFonts w:ascii="Arial" w:eastAsia="Calibri" w:hAnsi="Arial" w:cs="Arial"/>
          <w:color w:val="000000" w:themeColor="text1"/>
          <w:sz w:val="22"/>
          <w:szCs w:val="22"/>
          <w:lang w:val="es-ES"/>
        </w:rPr>
        <w:t>grupo</w:t>
      </w:r>
      <w:r w:rsidR="00101C2B">
        <w:rPr>
          <w:rFonts w:ascii="Arial" w:eastAsia="Calibri" w:hAnsi="Arial" w:cs="Arial"/>
          <w:color w:val="000000" w:themeColor="text1"/>
          <w:sz w:val="22"/>
          <w:szCs w:val="22"/>
          <w:lang w:val="es-ES"/>
        </w:rPr>
        <w:t xml:space="preserve">, regulado en el inciso segundo, donde dicha posibilidad se condiciona a que se configure alguno de los 6 supuestos enlistados </w:t>
      </w:r>
      <w:r w:rsidR="00291CD3">
        <w:rPr>
          <w:rFonts w:ascii="Arial" w:eastAsia="Calibri" w:hAnsi="Arial" w:cs="Arial"/>
          <w:color w:val="000000" w:themeColor="text1"/>
          <w:sz w:val="22"/>
          <w:szCs w:val="22"/>
          <w:lang w:val="es-ES"/>
        </w:rPr>
        <w:t>atrás</w:t>
      </w:r>
      <w:r w:rsidR="00101C2B">
        <w:rPr>
          <w:rFonts w:ascii="Arial" w:eastAsia="Calibri" w:hAnsi="Arial" w:cs="Arial"/>
          <w:color w:val="000000" w:themeColor="text1"/>
          <w:sz w:val="22"/>
          <w:szCs w:val="22"/>
          <w:lang w:val="es-ES"/>
        </w:rPr>
        <w:t xml:space="preserve">, sin que resulte exigible algún porcentaje de incorporación de recursos. En todo caso, frente a ambos </w:t>
      </w:r>
      <w:r w:rsidR="00291CD3">
        <w:rPr>
          <w:rFonts w:ascii="Arial" w:eastAsia="Calibri" w:hAnsi="Arial" w:cs="Arial"/>
          <w:color w:val="000000" w:themeColor="text1"/>
          <w:sz w:val="22"/>
          <w:szCs w:val="22"/>
          <w:lang w:val="es-ES"/>
        </w:rPr>
        <w:t>grupos</w:t>
      </w:r>
      <w:r w:rsidR="00101C2B">
        <w:rPr>
          <w:rFonts w:ascii="Arial" w:eastAsia="Calibri" w:hAnsi="Arial" w:cs="Arial"/>
          <w:color w:val="000000" w:themeColor="text1"/>
          <w:sz w:val="22"/>
          <w:szCs w:val="22"/>
          <w:lang w:val="es-ES"/>
        </w:rPr>
        <w:t>, la aplicación de los reglamentos de tales entidades internacionales es una posibilidad por la que pueden optar o no las partes; es decir, configurados los requisitos indicados</w:t>
      </w:r>
      <w:r w:rsidR="00291CD3">
        <w:rPr>
          <w:rFonts w:ascii="Arial" w:eastAsia="Calibri" w:hAnsi="Arial" w:cs="Arial"/>
          <w:color w:val="000000" w:themeColor="text1"/>
          <w:sz w:val="22"/>
          <w:szCs w:val="22"/>
          <w:lang w:val="es-ES"/>
        </w:rPr>
        <w:t>,</w:t>
      </w:r>
      <w:r w:rsidR="00101C2B">
        <w:rPr>
          <w:rFonts w:ascii="Arial" w:eastAsia="Calibri" w:hAnsi="Arial" w:cs="Arial"/>
          <w:color w:val="000000" w:themeColor="text1"/>
          <w:sz w:val="22"/>
          <w:szCs w:val="22"/>
          <w:lang w:val="es-ES"/>
        </w:rPr>
        <w:t xml:space="preserve"> las partes pueden deci</w:t>
      </w:r>
      <w:r w:rsidR="00291CD3">
        <w:rPr>
          <w:rFonts w:ascii="Arial" w:eastAsia="Calibri" w:hAnsi="Arial" w:cs="Arial"/>
          <w:color w:val="000000" w:themeColor="text1"/>
          <w:sz w:val="22"/>
          <w:szCs w:val="22"/>
          <w:lang w:val="es-ES"/>
        </w:rPr>
        <w:t>di</w:t>
      </w:r>
      <w:r w:rsidR="00101C2B">
        <w:rPr>
          <w:rFonts w:ascii="Arial" w:eastAsia="Calibri" w:hAnsi="Arial" w:cs="Arial"/>
          <w:color w:val="000000" w:themeColor="text1"/>
          <w:sz w:val="22"/>
          <w:szCs w:val="22"/>
          <w:lang w:val="es-ES"/>
        </w:rPr>
        <w:t>r si someten los contratos a los reglamentos de las entidades internacionales o si se rigen por el Estatuto General de Contratación de la Administración Pública.</w:t>
      </w:r>
    </w:p>
    <w:p w14:paraId="7337417A" w14:textId="2AFCE51E" w:rsidR="00AC7865" w:rsidRDefault="00097BD2" w:rsidP="00F24C5B">
      <w:pPr>
        <w:spacing w:before="120" w:line="276" w:lineRule="auto"/>
        <w:ind w:firstLine="709"/>
        <w:jc w:val="both"/>
        <w:rPr>
          <w:rFonts w:ascii="Arial" w:eastAsia="Calibri" w:hAnsi="Arial" w:cs="Arial"/>
          <w:color w:val="000000" w:themeColor="text1"/>
          <w:sz w:val="22"/>
          <w:szCs w:val="22"/>
          <w:lang w:val="es-ES"/>
        </w:rPr>
      </w:pPr>
      <w:r w:rsidRPr="00F61FF3">
        <w:rPr>
          <w:rFonts w:ascii="Arial" w:eastAsia="Calibri" w:hAnsi="Arial" w:cs="Arial"/>
          <w:color w:val="000000" w:themeColor="text1"/>
          <w:sz w:val="22"/>
          <w:szCs w:val="22"/>
          <w:lang w:val="es-ES"/>
        </w:rPr>
        <w:t xml:space="preserve">Ahora, </w:t>
      </w:r>
      <w:r w:rsidR="007E2119">
        <w:rPr>
          <w:rFonts w:ascii="Arial" w:eastAsia="Calibri" w:hAnsi="Arial" w:cs="Arial"/>
          <w:color w:val="000000" w:themeColor="text1"/>
          <w:sz w:val="22"/>
          <w:szCs w:val="22"/>
          <w:lang w:val="es-ES"/>
        </w:rPr>
        <w:t xml:space="preserve">en relación con los contratos del </w:t>
      </w:r>
      <w:r w:rsidR="007E2119" w:rsidRPr="00291CD3">
        <w:rPr>
          <w:rFonts w:ascii="Arial" w:eastAsia="Calibri" w:hAnsi="Arial" w:cs="Arial"/>
          <w:color w:val="000000" w:themeColor="text1"/>
          <w:sz w:val="22"/>
          <w:szCs w:val="22"/>
          <w:lang w:val="es-ES"/>
        </w:rPr>
        <w:t xml:space="preserve">inciso primero </w:t>
      </w:r>
      <w:r w:rsidR="007E2119">
        <w:rPr>
          <w:rFonts w:ascii="Arial" w:eastAsia="Calibri" w:hAnsi="Arial" w:cs="Arial"/>
          <w:color w:val="000000" w:themeColor="text1"/>
          <w:sz w:val="22"/>
          <w:szCs w:val="22"/>
          <w:lang w:val="es-ES"/>
        </w:rPr>
        <w:t xml:space="preserve">del artículo 20 de la Ley 1150 de 2007, </w:t>
      </w:r>
      <w:r w:rsidRPr="00F61FF3">
        <w:rPr>
          <w:rFonts w:ascii="Arial" w:eastAsia="Calibri" w:hAnsi="Arial" w:cs="Arial"/>
          <w:color w:val="000000" w:themeColor="text1"/>
          <w:sz w:val="22"/>
          <w:szCs w:val="22"/>
          <w:lang w:val="es-ES"/>
        </w:rPr>
        <w:t xml:space="preserve">dentro de la ejecución del contrato o convenio pueden presentarse situaciones en las que el porcentaje de los aportes sea modificado, en virtud de su adición o no ejecución en los términos pactados, por lo que previendo este escenario el artículo 2.2.1.2.4.4.1. del Decreto 1082 de 2015 </w:t>
      </w:r>
      <w:r w:rsidR="003F29E8">
        <w:rPr>
          <w:rFonts w:ascii="Arial" w:eastAsia="Calibri" w:hAnsi="Arial" w:cs="Arial"/>
          <w:color w:val="000000" w:themeColor="text1"/>
          <w:sz w:val="22"/>
          <w:szCs w:val="22"/>
          <w:lang w:val="es-ES"/>
        </w:rPr>
        <w:t>estableció</w:t>
      </w:r>
      <w:r w:rsidR="003F29E8" w:rsidRPr="00F61FF3">
        <w:rPr>
          <w:rFonts w:ascii="Arial" w:eastAsia="Calibri" w:hAnsi="Arial" w:cs="Arial"/>
          <w:color w:val="000000" w:themeColor="text1"/>
          <w:sz w:val="22"/>
          <w:szCs w:val="22"/>
          <w:lang w:val="es-ES"/>
        </w:rPr>
        <w:t xml:space="preserve"> </w:t>
      </w:r>
      <w:r w:rsidRPr="00F61FF3">
        <w:rPr>
          <w:rFonts w:ascii="Arial" w:eastAsia="Calibri" w:hAnsi="Arial" w:cs="Arial"/>
          <w:color w:val="000000" w:themeColor="text1"/>
          <w:sz w:val="22"/>
          <w:szCs w:val="22"/>
          <w:lang w:val="es-ES"/>
        </w:rPr>
        <w:t xml:space="preserve">que: </w:t>
      </w:r>
      <w:r w:rsidRPr="00F61FF3">
        <w:rPr>
          <w:rFonts w:ascii="Arial" w:eastAsia="Calibri" w:hAnsi="Arial" w:cs="Arial"/>
          <w:color w:val="000000" w:themeColor="text1"/>
          <w:sz w:val="22"/>
          <w:lang w:val="es-ES"/>
        </w:rPr>
        <w:t>«</w:t>
      </w:r>
      <w:r w:rsidRPr="00F61FF3">
        <w:rPr>
          <w:rFonts w:ascii="Arial" w:eastAsia="Calibri" w:hAnsi="Arial" w:cs="Arial"/>
          <w:color w:val="000000" w:themeColor="text1"/>
          <w:sz w:val="22"/>
          <w:szCs w:val="22"/>
          <w:lang w:val="es-ES"/>
        </w:rPr>
        <w:t>se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F61FF3">
        <w:rPr>
          <w:rFonts w:ascii="Arial" w:eastAsia="Calibri" w:hAnsi="Arial" w:cs="Arial"/>
          <w:color w:val="000000" w:themeColor="text1"/>
          <w:sz w:val="22"/>
          <w:lang w:val="es-ES"/>
        </w:rPr>
        <w:t>»</w:t>
      </w:r>
      <w:r w:rsidRPr="00F61FF3">
        <w:rPr>
          <w:rStyle w:val="Refdenotaalpie"/>
          <w:rFonts w:ascii="Arial" w:eastAsia="Calibri" w:hAnsi="Arial" w:cs="Arial"/>
          <w:color w:val="000000" w:themeColor="text1"/>
          <w:sz w:val="22"/>
          <w:lang w:val="es-ES"/>
        </w:rPr>
        <w:footnoteReference w:id="25"/>
      </w:r>
      <w:r w:rsidRPr="00F61FF3">
        <w:rPr>
          <w:rFonts w:ascii="Arial" w:eastAsia="Calibri" w:hAnsi="Arial" w:cs="Arial"/>
          <w:color w:val="000000" w:themeColor="text1"/>
          <w:sz w:val="22"/>
          <w:szCs w:val="22"/>
          <w:lang w:val="es-ES"/>
        </w:rPr>
        <w:t xml:space="preserve">, así las </w:t>
      </w:r>
      <w:r w:rsidRPr="00F61FF3">
        <w:rPr>
          <w:rFonts w:ascii="Arial" w:eastAsia="Calibri" w:hAnsi="Arial" w:cs="Arial"/>
          <w:color w:val="000000" w:themeColor="text1"/>
          <w:sz w:val="22"/>
          <w:szCs w:val="22"/>
          <w:lang w:val="es-ES"/>
        </w:rPr>
        <w:lastRenderedPageBreak/>
        <w:t>cosas le entidad contratante debe realizar un constante monitoreo respecto de los aportes de cada una de las partes para determinar si se debe realizar un ajuste frente al régimen aplicable</w:t>
      </w:r>
      <w:r w:rsidR="00BF6B5D">
        <w:rPr>
          <w:rFonts w:ascii="Arial" w:eastAsia="Calibri" w:hAnsi="Arial" w:cs="Arial"/>
          <w:color w:val="000000" w:themeColor="text1"/>
          <w:sz w:val="22"/>
          <w:szCs w:val="22"/>
          <w:lang w:val="es-ES"/>
        </w:rPr>
        <w:t>, esto en relación con los contratos regulados en el inciso primero del artículo 20 de la Ley 1150 de 2007.</w:t>
      </w:r>
    </w:p>
    <w:p w14:paraId="75E22D58" w14:textId="77777777" w:rsidR="00F24C5B" w:rsidRPr="00F61FF3" w:rsidRDefault="00F24C5B" w:rsidP="00F24C5B">
      <w:pPr>
        <w:spacing w:line="276" w:lineRule="auto"/>
        <w:ind w:firstLine="709"/>
        <w:jc w:val="both"/>
        <w:rPr>
          <w:rFonts w:ascii="Arial" w:eastAsia="Calibri" w:hAnsi="Arial" w:cs="Arial"/>
          <w:color w:val="000000" w:themeColor="text1"/>
          <w:sz w:val="22"/>
          <w:szCs w:val="22"/>
          <w:lang w:val="es-ES"/>
        </w:rPr>
      </w:pPr>
    </w:p>
    <w:p w14:paraId="3BBD0CC5" w14:textId="3E66A00E" w:rsidR="0028568A" w:rsidRDefault="00F24C5B" w:rsidP="00F24C5B">
      <w:pPr>
        <w:jc w:val="both"/>
        <w:rPr>
          <w:rFonts w:ascii="Arial" w:eastAsia="Calibri" w:hAnsi="Arial" w:cs="Arial"/>
          <w:b/>
          <w:color w:val="000000" w:themeColor="text1"/>
          <w:sz w:val="22"/>
          <w:szCs w:val="20"/>
        </w:rPr>
      </w:pPr>
      <w:r>
        <w:rPr>
          <w:rFonts w:ascii="Arial" w:eastAsia="Calibri" w:hAnsi="Arial" w:cs="Arial"/>
          <w:b/>
          <w:color w:val="000000" w:themeColor="text1"/>
          <w:sz w:val="22"/>
          <w:szCs w:val="20"/>
        </w:rPr>
        <w:t xml:space="preserve">3. </w:t>
      </w:r>
      <w:r w:rsidR="0028568A" w:rsidRPr="00F24C5B">
        <w:rPr>
          <w:rFonts w:ascii="Arial" w:eastAsia="Calibri" w:hAnsi="Arial" w:cs="Arial"/>
          <w:b/>
          <w:color w:val="000000" w:themeColor="text1"/>
          <w:sz w:val="22"/>
          <w:szCs w:val="20"/>
        </w:rPr>
        <w:t>Respuesta</w:t>
      </w:r>
    </w:p>
    <w:p w14:paraId="021701B2" w14:textId="77777777" w:rsidR="00F24C5B" w:rsidRPr="00F24C5B" w:rsidRDefault="00F24C5B" w:rsidP="00F24C5B">
      <w:pPr>
        <w:jc w:val="both"/>
        <w:rPr>
          <w:rFonts w:ascii="Arial" w:eastAsia="Calibri" w:hAnsi="Arial" w:cs="Arial"/>
          <w:color w:val="000000" w:themeColor="text1"/>
          <w:sz w:val="20"/>
          <w:szCs w:val="20"/>
        </w:rPr>
      </w:pPr>
    </w:p>
    <w:bookmarkEnd w:id="0"/>
    <w:p w14:paraId="20734FDC" w14:textId="3D1436A5" w:rsidR="00CA1549" w:rsidRDefault="00CA1549" w:rsidP="00CA1549">
      <w:pPr>
        <w:ind w:left="709" w:right="709"/>
        <w:jc w:val="both"/>
        <w:rPr>
          <w:rFonts w:ascii="Arial" w:eastAsia="Calibri" w:hAnsi="Arial" w:cs="Arial"/>
          <w:b/>
          <w:color w:val="000000" w:themeColor="text1"/>
          <w:sz w:val="21"/>
          <w:szCs w:val="21"/>
          <w:lang w:val="es-ES"/>
        </w:rPr>
      </w:pPr>
      <w:r w:rsidRPr="00F61FF3">
        <w:rPr>
          <w:rFonts w:ascii="Arial" w:eastAsia="Calibri" w:hAnsi="Arial" w:cs="Arial"/>
          <w:color w:val="000000" w:themeColor="text1"/>
          <w:sz w:val="21"/>
          <w:szCs w:val="21"/>
          <w:lang w:val="es-ES"/>
        </w:rPr>
        <w:t xml:space="preserve">¿A partir de </w:t>
      </w:r>
      <w:proofErr w:type="spellStart"/>
      <w:r w:rsidRPr="00F61FF3">
        <w:rPr>
          <w:rFonts w:ascii="Arial" w:eastAsia="Calibri" w:hAnsi="Arial" w:cs="Arial"/>
          <w:color w:val="000000" w:themeColor="text1"/>
          <w:sz w:val="21"/>
          <w:szCs w:val="21"/>
          <w:lang w:val="es-ES"/>
        </w:rPr>
        <w:t>que</w:t>
      </w:r>
      <w:proofErr w:type="spellEnd"/>
      <w:r w:rsidRPr="00F61FF3">
        <w:rPr>
          <w:rFonts w:ascii="Arial" w:eastAsia="Calibri" w:hAnsi="Arial" w:cs="Arial"/>
          <w:color w:val="000000" w:themeColor="text1"/>
          <w:sz w:val="21"/>
          <w:szCs w:val="21"/>
          <w:lang w:val="es-ES"/>
        </w:rPr>
        <w:t xml:space="preserve"> fecha se hace exigible el uso de SECOP II para una Empresa Industrial y Comercial del Estado? </w:t>
      </w:r>
      <w:r w:rsidRPr="00F61FF3">
        <w:rPr>
          <w:rFonts w:ascii="Arial" w:eastAsia="Calibri" w:hAnsi="Arial" w:cs="Arial"/>
          <w:b/>
          <w:color w:val="000000" w:themeColor="text1"/>
          <w:sz w:val="21"/>
          <w:szCs w:val="21"/>
          <w:lang w:val="es-ES"/>
        </w:rPr>
        <w:t xml:space="preserve"> </w:t>
      </w:r>
    </w:p>
    <w:p w14:paraId="4B812292" w14:textId="77777777" w:rsidR="00EB1002" w:rsidRPr="00F61FF3" w:rsidRDefault="00EB1002" w:rsidP="00CA1549">
      <w:pPr>
        <w:ind w:left="709" w:right="709"/>
        <w:jc w:val="both"/>
        <w:rPr>
          <w:rFonts w:ascii="Arial" w:eastAsia="Calibri" w:hAnsi="Arial" w:cs="Arial"/>
          <w:color w:val="000000" w:themeColor="text1"/>
          <w:sz w:val="21"/>
          <w:szCs w:val="21"/>
          <w:lang w:val="es-ES"/>
        </w:rPr>
      </w:pPr>
    </w:p>
    <w:p w14:paraId="52C294C1" w14:textId="31165A6B" w:rsidR="00CA1549" w:rsidRDefault="009E2C8D" w:rsidP="00647F56">
      <w:pPr>
        <w:spacing w:after="120" w:line="276" w:lineRule="auto"/>
        <w:jc w:val="both"/>
        <w:rPr>
          <w:rFonts w:ascii="Arial" w:eastAsia="Calibri" w:hAnsi="Arial" w:cs="Arial"/>
          <w:sz w:val="22"/>
          <w:lang w:val="es-ES"/>
        </w:rPr>
      </w:pPr>
      <w:r>
        <w:rPr>
          <w:rFonts w:ascii="Arial" w:eastAsia="Calibri" w:hAnsi="Arial" w:cs="Arial"/>
          <w:sz w:val="22"/>
          <w:lang w:val="es-ES"/>
        </w:rPr>
        <w:t>L</w:t>
      </w:r>
      <w:r w:rsidRPr="005F004A">
        <w:rPr>
          <w:rFonts w:ascii="Arial" w:eastAsia="Calibri" w:hAnsi="Arial" w:cs="Arial"/>
          <w:sz w:val="22"/>
          <w:lang w:val="es-ES"/>
        </w:rPr>
        <w:t xml:space="preserve">a obligación de realizar procesos de contratación a través de la plataforma SECOP II no depende del régimen contractual al que estén sometidas las entidades estatales que llevan a cabo los procesos, sino de lo dispuesto </w:t>
      </w:r>
      <w:r>
        <w:rPr>
          <w:rFonts w:ascii="Arial" w:eastAsia="Calibri" w:hAnsi="Arial" w:cs="Arial"/>
          <w:sz w:val="22"/>
          <w:lang w:val="es-ES"/>
        </w:rPr>
        <w:t>en</w:t>
      </w:r>
      <w:r w:rsidRPr="005F004A">
        <w:rPr>
          <w:rFonts w:ascii="Arial" w:eastAsia="Calibri" w:hAnsi="Arial" w:cs="Arial"/>
          <w:sz w:val="22"/>
          <w:lang w:val="es-ES"/>
        </w:rPr>
        <w:t xml:space="preserve"> </w:t>
      </w:r>
      <w:r>
        <w:rPr>
          <w:rFonts w:ascii="Arial" w:eastAsia="Calibri" w:hAnsi="Arial" w:cs="Arial"/>
          <w:sz w:val="22"/>
          <w:lang w:val="es-ES"/>
        </w:rPr>
        <w:t>circulares referidas en el numeral 2.3. de este concepto</w:t>
      </w:r>
      <w:r w:rsidRPr="005F004A">
        <w:rPr>
          <w:rFonts w:ascii="Arial" w:eastAsia="Calibri" w:hAnsi="Arial" w:cs="Arial"/>
          <w:sz w:val="22"/>
          <w:lang w:val="es-ES"/>
        </w:rPr>
        <w:t xml:space="preserve">, por lo que tratándose de entidades respecto de las cuales la Circular Externa No. 1 de 2019 definió el uso obligatorio de la plataforma, no siendo exceptuadas en circulares subsiguientes, deben cumplir con el deber de </w:t>
      </w:r>
      <w:r w:rsidR="00291CD3">
        <w:rPr>
          <w:rFonts w:ascii="Arial" w:eastAsia="Calibri" w:hAnsi="Arial" w:cs="Arial"/>
          <w:sz w:val="22"/>
          <w:lang w:val="es-ES"/>
        </w:rPr>
        <w:t>publicidad</w:t>
      </w:r>
      <w:r w:rsidRPr="005F004A">
        <w:rPr>
          <w:rFonts w:ascii="Arial" w:eastAsia="Calibri" w:hAnsi="Arial" w:cs="Arial"/>
          <w:sz w:val="22"/>
          <w:lang w:val="es-ES"/>
        </w:rPr>
        <w:t xml:space="preserve"> </w:t>
      </w:r>
      <w:r w:rsidR="00291CD3">
        <w:rPr>
          <w:rFonts w:ascii="Arial" w:eastAsia="Calibri" w:hAnsi="Arial" w:cs="Arial"/>
          <w:sz w:val="22"/>
          <w:lang w:val="es-ES"/>
        </w:rPr>
        <w:t>de</w:t>
      </w:r>
      <w:r w:rsidRPr="005F004A">
        <w:rPr>
          <w:rFonts w:ascii="Arial" w:eastAsia="Calibri" w:hAnsi="Arial" w:cs="Arial"/>
          <w:sz w:val="22"/>
          <w:lang w:val="es-ES"/>
        </w:rPr>
        <w:t xml:space="preserve"> la actividad contractual en el SECOP II</w:t>
      </w:r>
      <w:r>
        <w:rPr>
          <w:rFonts w:ascii="Arial" w:eastAsia="Calibri" w:hAnsi="Arial" w:cs="Arial"/>
          <w:sz w:val="22"/>
          <w:lang w:val="es-ES"/>
        </w:rPr>
        <w:t>, a partir del 1 de enero de 2020.</w:t>
      </w:r>
      <w:r w:rsidR="00647F56">
        <w:rPr>
          <w:rFonts w:ascii="Arial" w:eastAsia="Calibri" w:hAnsi="Arial" w:cs="Arial"/>
          <w:sz w:val="22"/>
          <w:lang w:val="es-ES"/>
        </w:rPr>
        <w:t xml:space="preserve"> Dichas circulares se pueden consultar en el siguiente </w:t>
      </w:r>
      <w:proofErr w:type="gramStart"/>
      <w:r w:rsidR="00647F56">
        <w:rPr>
          <w:rFonts w:ascii="Arial" w:eastAsia="Calibri" w:hAnsi="Arial" w:cs="Arial"/>
          <w:sz w:val="22"/>
          <w:lang w:val="es-ES"/>
        </w:rPr>
        <w:t>link</w:t>
      </w:r>
      <w:proofErr w:type="gramEnd"/>
      <w:r w:rsidR="00647F56">
        <w:rPr>
          <w:rFonts w:ascii="Arial" w:eastAsia="Calibri" w:hAnsi="Arial" w:cs="Arial"/>
          <w:sz w:val="22"/>
          <w:lang w:val="es-ES"/>
        </w:rPr>
        <w:t xml:space="preserve">: </w:t>
      </w:r>
      <w:hyperlink r:id="rId11" w:history="1">
        <w:r w:rsidR="00647F56" w:rsidRPr="00647F56">
          <w:rPr>
            <w:rFonts w:ascii="Arial" w:eastAsia="Calibri" w:hAnsi="Arial" w:cs="Arial"/>
            <w:sz w:val="22"/>
            <w:lang w:val="es-ES"/>
          </w:rPr>
          <w:t>https://www.colombiacompra.gov.co/circulares</w:t>
        </w:r>
      </w:hyperlink>
      <w:r w:rsidR="00647F56">
        <w:rPr>
          <w:rFonts w:ascii="Arial" w:eastAsia="Calibri" w:hAnsi="Arial" w:cs="Arial"/>
          <w:sz w:val="22"/>
          <w:lang w:val="es-ES"/>
        </w:rPr>
        <w:t>.</w:t>
      </w:r>
    </w:p>
    <w:p w14:paraId="75050205" w14:textId="763BFB4E" w:rsidR="00CA1549" w:rsidRDefault="00647F56" w:rsidP="00647F56">
      <w:pPr>
        <w:spacing w:line="276" w:lineRule="auto"/>
        <w:jc w:val="both"/>
        <w:rPr>
          <w:rFonts w:ascii="Arial" w:eastAsia="Calibri" w:hAnsi="Arial" w:cs="Arial"/>
          <w:color w:val="000000" w:themeColor="text1"/>
          <w:sz w:val="22"/>
          <w:lang w:val="es-ES"/>
        </w:rPr>
      </w:pPr>
      <w:r>
        <w:rPr>
          <w:rFonts w:ascii="Arial" w:eastAsia="Calibri" w:hAnsi="Arial" w:cs="Arial"/>
          <w:sz w:val="22"/>
          <w:lang w:val="es-ES"/>
        </w:rPr>
        <w:tab/>
        <w:t xml:space="preserve">Sin perjuicio de lo anterior, </w:t>
      </w:r>
      <w:r>
        <w:rPr>
          <w:rFonts w:ascii="Arial" w:eastAsia="Calibri" w:hAnsi="Arial" w:cs="Arial"/>
          <w:color w:val="000000" w:themeColor="text1"/>
          <w:sz w:val="22"/>
        </w:rPr>
        <w:t>r</w:t>
      </w:r>
      <w:r w:rsidRPr="00750137">
        <w:rPr>
          <w:rFonts w:ascii="Arial" w:eastAsia="Calibri" w:hAnsi="Arial" w:cs="Arial"/>
          <w:color w:val="000000" w:themeColor="text1"/>
          <w:sz w:val="22"/>
        </w:rPr>
        <w:t>especto a la publicación del SECOP I o en el SECOP II, l</w:t>
      </w:r>
      <w:r w:rsidRPr="00750137">
        <w:rPr>
          <w:rFonts w:ascii="Arial" w:eastAsia="Calibri" w:hAnsi="Arial" w:cs="Arial"/>
          <w:color w:val="000000" w:themeColor="text1"/>
          <w:sz w:val="22"/>
          <w:lang w:val="es-ES"/>
        </w:rPr>
        <w:t>a Subdirección de Gestión Contractual concluye que, a la fecha, las entidades descentralizadas del nivel municipal no están obligadas a publicar sus procesos de contratación en el SECOP II, conforme a la salvedad que sobre el particular establece el Anexo 1 de la Circular Externa No. 1 de 2019</w:t>
      </w:r>
      <w:r>
        <w:rPr>
          <w:rFonts w:ascii="Arial" w:eastAsia="Calibri" w:hAnsi="Arial" w:cs="Arial"/>
          <w:sz w:val="22"/>
          <w:lang w:val="es-ES"/>
        </w:rPr>
        <w:t xml:space="preserve">. Este parece ser el supuesto planteado por el peticionario, atendiendo al origen de la petición, por lo que actualmente una empresa industrial y comercial del orden municipal no está obligada a publicar su actividad contractual en el SECOP II y aun no se ha expedido alguna circular donde se establezca la </w:t>
      </w:r>
      <w:r>
        <w:rPr>
          <w:rFonts w:ascii="Arial" w:eastAsia="Calibri" w:hAnsi="Arial" w:cs="Arial"/>
          <w:sz w:val="22"/>
          <w:lang w:val="es-ES"/>
        </w:rPr>
        <w:lastRenderedPageBreak/>
        <w:t xml:space="preserve">fecha en que surgirá dicha obligación. </w:t>
      </w:r>
      <w:r w:rsidRPr="00750137">
        <w:rPr>
          <w:rFonts w:ascii="Arial" w:eastAsia="Calibri" w:hAnsi="Arial" w:cs="Arial"/>
          <w:color w:val="000000" w:themeColor="text1"/>
          <w:sz w:val="22"/>
          <w:lang w:val="es-ES"/>
        </w:rPr>
        <w:t xml:space="preserve">Sin embargo, </w:t>
      </w:r>
      <w:r>
        <w:rPr>
          <w:rFonts w:ascii="Arial" w:eastAsia="Calibri" w:hAnsi="Arial" w:cs="Arial"/>
          <w:color w:val="000000" w:themeColor="text1"/>
          <w:sz w:val="22"/>
          <w:lang w:val="es-ES"/>
        </w:rPr>
        <w:t>ello</w:t>
      </w:r>
      <w:r w:rsidRPr="00750137">
        <w:rPr>
          <w:rFonts w:ascii="Arial" w:eastAsia="Calibri" w:hAnsi="Arial" w:cs="Arial"/>
          <w:color w:val="000000" w:themeColor="text1"/>
          <w:sz w:val="22"/>
          <w:lang w:val="es-ES"/>
        </w:rPr>
        <w:t xml:space="preserve"> no las releva de continuar publicando sus procesos de contratación en la plataforma SECOP I</w:t>
      </w:r>
      <w:r>
        <w:rPr>
          <w:rFonts w:ascii="Arial" w:eastAsia="Calibri" w:hAnsi="Arial" w:cs="Arial"/>
          <w:color w:val="000000" w:themeColor="text1"/>
          <w:sz w:val="22"/>
          <w:lang w:val="es-ES"/>
        </w:rPr>
        <w:t>.</w:t>
      </w:r>
    </w:p>
    <w:p w14:paraId="17DC125A" w14:textId="77777777" w:rsidR="00647F56" w:rsidRPr="00F61FF3" w:rsidRDefault="00647F56" w:rsidP="00647F56">
      <w:pPr>
        <w:spacing w:line="276" w:lineRule="auto"/>
        <w:jc w:val="both"/>
        <w:rPr>
          <w:rFonts w:ascii="Arial" w:eastAsia="Calibri" w:hAnsi="Arial" w:cs="Arial"/>
          <w:color w:val="000000" w:themeColor="text1"/>
          <w:sz w:val="22"/>
          <w:lang w:val="es-ES"/>
        </w:rPr>
      </w:pPr>
    </w:p>
    <w:p w14:paraId="33C61442" w14:textId="6365AF16" w:rsidR="00CA1549" w:rsidRPr="00F61FF3" w:rsidRDefault="00CA1549" w:rsidP="00C37908">
      <w:pPr>
        <w:ind w:left="709" w:right="709"/>
        <w:jc w:val="both"/>
        <w:rPr>
          <w:rFonts w:ascii="Arial" w:eastAsia="Calibri" w:hAnsi="Arial" w:cs="Arial"/>
          <w:color w:val="000000" w:themeColor="text1"/>
          <w:sz w:val="21"/>
          <w:szCs w:val="21"/>
          <w:lang w:val="es-ES"/>
        </w:rPr>
      </w:pPr>
      <w:r w:rsidRPr="00F61FF3">
        <w:rPr>
          <w:rFonts w:ascii="Arial" w:eastAsia="Calibri" w:hAnsi="Arial" w:cs="Arial"/>
          <w:color w:val="000000" w:themeColor="text1"/>
          <w:sz w:val="21"/>
          <w:szCs w:val="21"/>
          <w:lang w:val="es-ES"/>
        </w:rPr>
        <w:t>¿Cuál es el régimen normativo contractual para los trámites de contratación con recursos del Banco Mundial?</w:t>
      </w:r>
    </w:p>
    <w:p w14:paraId="4EFAC32C" w14:textId="77777777" w:rsidR="00CA1549" w:rsidRPr="00F61FF3" w:rsidRDefault="00CA1549" w:rsidP="00CA1549">
      <w:pPr>
        <w:spacing w:line="276" w:lineRule="auto"/>
        <w:ind w:left="709" w:right="709"/>
        <w:jc w:val="both"/>
        <w:rPr>
          <w:rFonts w:ascii="Arial" w:eastAsia="Calibri" w:hAnsi="Arial" w:cs="Arial"/>
          <w:color w:val="000000" w:themeColor="text1"/>
          <w:sz w:val="21"/>
          <w:szCs w:val="21"/>
          <w:lang w:val="es-ES"/>
        </w:rPr>
      </w:pPr>
    </w:p>
    <w:p w14:paraId="52B3A334" w14:textId="0DD13A67" w:rsidR="006965A8" w:rsidRDefault="00CA1549" w:rsidP="007F2400">
      <w:pPr>
        <w:spacing w:after="200" w:line="276" w:lineRule="auto"/>
        <w:ind w:right="49"/>
        <w:jc w:val="both"/>
        <w:rPr>
          <w:rFonts w:ascii="Arial" w:eastAsia="Calibri" w:hAnsi="Arial" w:cs="Arial"/>
          <w:color w:val="000000" w:themeColor="text1"/>
          <w:sz w:val="22"/>
          <w:szCs w:val="22"/>
          <w:lang w:val="es-ES"/>
        </w:rPr>
      </w:pPr>
      <w:r w:rsidRPr="00F61FF3">
        <w:rPr>
          <w:rFonts w:ascii="Arial" w:eastAsia="Calibri" w:hAnsi="Arial" w:cs="Arial"/>
          <w:color w:val="000000" w:themeColor="text1"/>
          <w:sz w:val="22"/>
          <w:lang w:val="es-ES"/>
        </w:rPr>
        <w:t xml:space="preserve">Para identificar el régimen aplicable para la celebración de contratos o convenios con </w:t>
      </w:r>
      <w:r w:rsidR="00721486">
        <w:rPr>
          <w:rFonts w:ascii="Arial" w:eastAsia="Calibri" w:hAnsi="Arial" w:cs="Arial"/>
          <w:color w:val="000000" w:themeColor="text1"/>
          <w:sz w:val="22"/>
          <w:lang w:val="es-ES"/>
        </w:rPr>
        <w:t>o</w:t>
      </w:r>
      <w:r w:rsidRPr="00F61FF3">
        <w:rPr>
          <w:rFonts w:ascii="Arial" w:eastAsia="Calibri" w:hAnsi="Arial" w:cs="Arial"/>
          <w:color w:val="000000" w:themeColor="text1"/>
          <w:sz w:val="22"/>
          <w:lang w:val="es-ES"/>
        </w:rPr>
        <w:t xml:space="preserve">rganismos </w:t>
      </w:r>
      <w:r w:rsidR="00721486">
        <w:rPr>
          <w:rFonts w:ascii="Arial" w:eastAsia="Calibri" w:hAnsi="Arial" w:cs="Arial"/>
          <w:color w:val="000000" w:themeColor="text1"/>
          <w:sz w:val="22"/>
          <w:lang w:val="es-ES"/>
        </w:rPr>
        <w:t>i</w:t>
      </w:r>
      <w:r w:rsidRPr="00F61FF3">
        <w:rPr>
          <w:rFonts w:ascii="Arial" w:eastAsia="Calibri" w:hAnsi="Arial" w:cs="Arial"/>
          <w:color w:val="000000" w:themeColor="text1"/>
          <w:sz w:val="22"/>
          <w:lang w:val="es-ES"/>
        </w:rPr>
        <w:t>nternacionales</w:t>
      </w:r>
      <w:r w:rsidR="00F61FF3">
        <w:rPr>
          <w:rFonts w:ascii="Arial" w:eastAsia="Calibri" w:hAnsi="Arial" w:cs="Arial"/>
          <w:color w:val="000000" w:themeColor="text1"/>
          <w:sz w:val="22"/>
          <w:lang w:val="es-ES"/>
        </w:rPr>
        <w:t>,</w:t>
      </w:r>
      <w:r w:rsidRPr="00F61FF3">
        <w:rPr>
          <w:rFonts w:ascii="Arial" w:eastAsia="Calibri" w:hAnsi="Arial" w:cs="Arial"/>
          <w:color w:val="000000" w:themeColor="text1"/>
          <w:sz w:val="22"/>
          <w:lang w:val="es-ES"/>
        </w:rPr>
        <w:t xml:space="preserve"> </w:t>
      </w:r>
      <w:r w:rsidR="006965A8">
        <w:rPr>
          <w:rFonts w:ascii="Arial" w:eastAsia="Calibri" w:hAnsi="Arial" w:cs="Arial"/>
          <w:color w:val="000000" w:themeColor="text1"/>
          <w:sz w:val="22"/>
          <w:lang w:val="es-ES"/>
        </w:rPr>
        <w:t xml:space="preserve">y los que se celebren con dichos recursos, </w:t>
      </w:r>
      <w:r w:rsidRPr="00F61FF3">
        <w:rPr>
          <w:rFonts w:ascii="Arial" w:eastAsia="Calibri" w:hAnsi="Arial" w:cs="Arial"/>
          <w:color w:val="000000" w:themeColor="text1"/>
          <w:sz w:val="22"/>
          <w:lang w:val="es-ES"/>
        </w:rPr>
        <w:t xml:space="preserve">la entidad contratante debe </w:t>
      </w:r>
      <w:r w:rsidR="006965A8">
        <w:rPr>
          <w:rFonts w:ascii="Arial" w:eastAsia="Calibri" w:hAnsi="Arial" w:cs="Arial"/>
          <w:color w:val="000000" w:themeColor="text1"/>
          <w:sz w:val="22"/>
          <w:lang w:val="es-ES"/>
        </w:rPr>
        <w:t xml:space="preserve">revisar en cada supuesto en particular si se configura alguno de los supuestos del artículo 20 de la ley 1150 de 2007. En caso de que </w:t>
      </w:r>
      <w:r w:rsidR="00146DA3">
        <w:rPr>
          <w:rFonts w:ascii="Arial" w:eastAsia="Calibri" w:hAnsi="Arial" w:cs="Arial"/>
          <w:color w:val="000000" w:themeColor="text1"/>
          <w:sz w:val="22"/>
          <w:lang w:val="es-ES"/>
        </w:rPr>
        <w:t>no</w:t>
      </w:r>
      <w:r w:rsidR="006965A8">
        <w:rPr>
          <w:rFonts w:ascii="Arial" w:eastAsia="Calibri" w:hAnsi="Arial" w:cs="Arial"/>
          <w:color w:val="000000" w:themeColor="text1"/>
          <w:sz w:val="22"/>
          <w:lang w:val="es-ES"/>
        </w:rPr>
        <w:t xml:space="preserve"> sea así, el contrato se rige necesariamente por el EGCAP. En caso de que se cumpla alguno de los supuestos prescritos en dicho artículo, entre los que se encuentran «</w:t>
      </w:r>
      <w:r w:rsidR="006965A8">
        <w:rPr>
          <w:rFonts w:ascii="Arial" w:hAnsi="Arial" w:cs="Arial"/>
          <w:sz w:val="22"/>
          <w:szCs w:val="22"/>
        </w:rPr>
        <w:t>l</w:t>
      </w:r>
      <w:r w:rsidR="006965A8" w:rsidRPr="00F61FF3">
        <w:rPr>
          <w:rFonts w:ascii="Arial" w:hAnsi="Arial" w:cs="Arial"/>
          <w:sz w:val="22"/>
          <w:szCs w:val="22"/>
        </w:rPr>
        <w:t xml:space="preserve">os contratos o convenios financiados con fondos de los organismos </w:t>
      </w:r>
      <w:r w:rsidR="006965A8" w:rsidRPr="005D4BF7">
        <w:rPr>
          <w:rFonts w:ascii="Arial" w:hAnsi="Arial" w:cs="Arial"/>
          <w:sz w:val="22"/>
          <w:szCs w:val="22"/>
        </w:rPr>
        <w:t>multilaterales de crédito y entes gubernamentales extranjeros</w:t>
      </w:r>
      <w:r w:rsidR="006965A8">
        <w:rPr>
          <w:rFonts w:ascii="Arial" w:hAnsi="Arial" w:cs="Arial"/>
          <w:sz w:val="22"/>
          <w:szCs w:val="22"/>
        </w:rPr>
        <w:t xml:space="preserve">», es </w:t>
      </w:r>
      <w:r w:rsidR="006965A8" w:rsidRPr="006965A8">
        <w:rPr>
          <w:rFonts w:ascii="Arial" w:hAnsi="Arial" w:cs="Arial"/>
          <w:i/>
          <w:iCs/>
          <w:sz w:val="22"/>
          <w:szCs w:val="22"/>
        </w:rPr>
        <w:t>posible</w:t>
      </w:r>
      <w:r w:rsidR="006965A8">
        <w:rPr>
          <w:rFonts w:ascii="Arial" w:hAnsi="Arial" w:cs="Arial"/>
          <w:sz w:val="22"/>
          <w:szCs w:val="22"/>
        </w:rPr>
        <w:t xml:space="preserve"> </w:t>
      </w:r>
      <w:r w:rsidR="006965A8">
        <w:rPr>
          <w:rFonts w:ascii="Arial" w:eastAsia="Calibri" w:hAnsi="Arial" w:cs="Arial"/>
          <w:color w:val="000000" w:themeColor="text1"/>
          <w:sz w:val="22"/>
          <w:szCs w:val="22"/>
          <w:lang w:val="es-ES"/>
        </w:rPr>
        <w:t>someter dichos contratos a los reglamentos de tales entidades internacionales; es decir, configurado</w:t>
      </w:r>
      <w:r w:rsidR="00976CF1">
        <w:rPr>
          <w:rFonts w:ascii="Arial" w:eastAsia="Calibri" w:hAnsi="Arial" w:cs="Arial"/>
          <w:color w:val="000000" w:themeColor="text1"/>
          <w:sz w:val="22"/>
          <w:szCs w:val="22"/>
          <w:lang w:val="es-ES"/>
        </w:rPr>
        <w:t xml:space="preserve"> alguno de los supuestos del artículo 20</w:t>
      </w:r>
      <w:r w:rsidR="006965A8">
        <w:rPr>
          <w:rFonts w:ascii="Arial" w:eastAsia="Calibri" w:hAnsi="Arial" w:cs="Arial"/>
          <w:color w:val="000000" w:themeColor="text1"/>
          <w:sz w:val="22"/>
          <w:szCs w:val="22"/>
          <w:lang w:val="es-ES"/>
        </w:rPr>
        <w:t xml:space="preserve"> las partes pueden deci</w:t>
      </w:r>
      <w:r w:rsidR="00976CF1">
        <w:rPr>
          <w:rFonts w:ascii="Arial" w:eastAsia="Calibri" w:hAnsi="Arial" w:cs="Arial"/>
          <w:color w:val="000000" w:themeColor="text1"/>
          <w:sz w:val="22"/>
          <w:szCs w:val="22"/>
          <w:lang w:val="es-ES"/>
        </w:rPr>
        <w:t xml:space="preserve">dir discrecionalmente </w:t>
      </w:r>
      <w:r w:rsidR="006965A8">
        <w:rPr>
          <w:rFonts w:ascii="Arial" w:eastAsia="Calibri" w:hAnsi="Arial" w:cs="Arial"/>
          <w:color w:val="000000" w:themeColor="text1"/>
          <w:sz w:val="22"/>
          <w:szCs w:val="22"/>
          <w:lang w:val="es-ES"/>
        </w:rPr>
        <w:t>si someten los contratos a los reglamentos de las entidades internacionales o si se rigen por el Estatuto General de Contratación de la Administración Pública.</w:t>
      </w:r>
    </w:p>
    <w:p w14:paraId="58857FC8" w14:textId="77777777" w:rsidR="00742396" w:rsidRPr="00F61FF3" w:rsidRDefault="00742396" w:rsidP="00742396">
      <w:pPr>
        <w:spacing w:before="120" w:after="120" w:line="276" w:lineRule="auto"/>
        <w:jc w:val="both"/>
        <w:rPr>
          <w:rFonts w:ascii="Arial" w:eastAsia="Calibri" w:hAnsi="Arial" w:cs="Arial"/>
          <w:sz w:val="22"/>
          <w:lang w:val="es-ES"/>
        </w:rPr>
      </w:pPr>
      <w:r w:rsidRPr="00F61FF3">
        <w:rPr>
          <w:rFonts w:ascii="Arial" w:eastAsia="Calibri" w:hAnsi="Arial" w:cs="Arial"/>
          <w:sz w:val="22"/>
          <w:lang w:val="es-ES"/>
        </w:rPr>
        <w:t>Este concepto tiene el alcance previsto en el artículo 28 del Código de Procedimiento Administrativo y de lo Contencioso Administrativo.</w:t>
      </w:r>
    </w:p>
    <w:p w14:paraId="595E0382" w14:textId="77777777" w:rsidR="00742396" w:rsidRPr="00F61FF3" w:rsidRDefault="00742396" w:rsidP="00742396">
      <w:pPr>
        <w:jc w:val="both"/>
        <w:rPr>
          <w:rFonts w:ascii="Arial" w:eastAsia="Calibri" w:hAnsi="Arial" w:cs="Arial"/>
          <w:sz w:val="22"/>
          <w:lang w:val="es-ES"/>
        </w:rPr>
      </w:pPr>
    </w:p>
    <w:p w14:paraId="14840562" w14:textId="03E33086" w:rsidR="00742396" w:rsidRPr="00F61FF3" w:rsidRDefault="00742396" w:rsidP="00742396">
      <w:pPr>
        <w:jc w:val="both"/>
        <w:rPr>
          <w:rFonts w:ascii="Arial" w:eastAsia="Calibri" w:hAnsi="Arial" w:cs="Arial"/>
          <w:sz w:val="22"/>
          <w:lang w:val="es-ES"/>
        </w:rPr>
      </w:pPr>
      <w:r w:rsidRPr="00F61FF3">
        <w:rPr>
          <w:rFonts w:ascii="Arial" w:hAnsi="Arial" w:cs="Arial"/>
          <w:noProof/>
          <w:lang w:val="es-ES"/>
        </w:rPr>
        <mc:AlternateContent>
          <mc:Choice Requires="wps">
            <w:drawing>
              <wp:anchor distT="0" distB="0" distL="114300" distR="114300" simplePos="0" relativeHeight="251659264" behindDoc="0" locked="0" layoutInCell="1" allowOverlap="1" wp14:anchorId="406350BD" wp14:editId="3DC92C18">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668E6134">
              <v:line id="Conector recto 1" style="position:absolute;z-index:251659264;visibility:visible;mso-wrap-style:square;mso-wrap-distance-left:9pt;mso-wrap-distance-top:0;mso-wrap-distance-right:9pt;mso-wrap-distance-bottom:0;mso-position-horizontal:absolute;mso-position-horizontal-relative:page;mso-position-vertical:absolute;mso-position-vertical-relative:text" o:spid="_x0000_s1026" strokecolor="#dbdbdb" from="119.25pt,.8pt" to="488.25pt,.8pt" w14:anchorId="7BC29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27CF3F65" w14:textId="77777777" w:rsidR="00742396" w:rsidRPr="00F61FF3" w:rsidRDefault="00742396" w:rsidP="00742396">
      <w:pPr>
        <w:rPr>
          <w:rFonts w:ascii="Arial" w:hAnsi="Arial" w:cs="Arial"/>
          <w:sz w:val="22"/>
          <w:lang w:val="es-ES" w:eastAsia="es-CO"/>
        </w:rPr>
      </w:pPr>
      <w:r w:rsidRPr="00F61FF3">
        <w:rPr>
          <w:rFonts w:ascii="Arial" w:hAnsi="Arial" w:cs="Arial"/>
          <w:sz w:val="22"/>
          <w:lang w:val="es-ES" w:eastAsia="es-CO"/>
        </w:rPr>
        <w:t>Atentamente,</w:t>
      </w:r>
    </w:p>
    <w:p w14:paraId="5B6BAA11" w14:textId="69AD5D06" w:rsidR="00742396" w:rsidRPr="00F61FF3" w:rsidRDefault="00813A6F" w:rsidP="00813A6F">
      <w:pPr>
        <w:jc w:val="center"/>
        <w:rPr>
          <w:rFonts w:ascii="Arial" w:hAnsi="Arial" w:cs="Arial"/>
          <w:sz w:val="22"/>
          <w:lang w:val="es-ES" w:eastAsia="es-CO"/>
        </w:rPr>
      </w:pPr>
      <w:r>
        <w:rPr>
          <w:noProof/>
        </w:rPr>
        <w:drawing>
          <wp:inline distT="0" distB="0" distL="0" distR="0" wp14:anchorId="3AD693E2" wp14:editId="24323936">
            <wp:extent cx="2773045" cy="988695"/>
            <wp:effectExtent l="0" t="0" r="0" b="0"/>
            <wp:docPr id="12190513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4C682E9C" w14:textId="77777777" w:rsidR="00742396" w:rsidRPr="00F61FF3" w:rsidRDefault="00742396" w:rsidP="00742396">
      <w:pPr>
        <w:rPr>
          <w:rFonts w:ascii="Arial" w:hAnsi="Arial" w:cs="Arial"/>
          <w:sz w:val="22"/>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42396" w:rsidRPr="00F61FF3" w14:paraId="41DACB5E" w14:textId="77777777" w:rsidTr="00840218">
        <w:trPr>
          <w:trHeight w:val="315"/>
        </w:trPr>
        <w:tc>
          <w:tcPr>
            <w:tcW w:w="812" w:type="dxa"/>
            <w:vAlign w:val="center"/>
          </w:tcPr>
          <w:p w14:paraId="310AF07A" w14:textId="77777777" w:rsidR="00742396" w:rsidRPr="00F61FF3" w:rsidRDefault="00742396" w:rsidP="00840218">
            <w:pPr>
              <w:rPr>
                <w:rFonts w:ascii="Arial" w:hAnsi="Arial" w:cs="Arial"/>
                <w:sz w:val="16"/>
                <w:szCs w:val="16"/>
                <w:lang w:val="es-ES" w:eastAsia="es-ES"/>
              </w:rPr>
            </w:pPr>
            <w:r w:rsidRPr="00F61FF3">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tcPr>
          <w:p w14:paraId="5BEA3B29" w14:textId="77777777" w:rsidR="009711D3" w:rsidRPr="00F61FF3" w:rsidRDefault="009711D3" w:rsidP="009711D3">
            <w:pPr>
              <w:rPr>
                <w:rFonts w:ascii="Arial" w:hAnsi="Arial" w:cs="Arial"/>
                <w:sz w:val="16"/>
                <w:szCs w:val="16"/>
                <w:lang w:val="es-ES" w:eastAsia="es-ES"/>
              </w:rPr>
            </w:pPr>
            <w:r>
              <w:rPr>
                <w:rFonts w:ascii="Arial" w:hAnsi="Arial" w:cs="Arial"/>
                <w:sz w:val="16"/>
                <w:szCs w:val="16"/>
                <w:lang w:val="es-ES" w:eastAsia="es-ES"/>
              </w:rPr>
              <w:t>Sebastián Ramírez Grisales</w:t>
            </w:r>
          </w:p>
          <w:p w14:paraId="37F15F1E" w14:textId="43EC8C4E" w:rsidR="00742396" w:rsidRPr="00F61FF3" w:rsidRDefault="009711D3" w:rsidP="009711D3">
            <w:pPr>
              <w:rPr>
                <w:rFonts w:ascii="Arial" w:hAnsi="Arial" w:cs="Arial"/>
                <w:sz w:val="16"/>
                <w:szCs w:val="16"/>
                <w:lang w:val="es-ES" w:eastAsia="es-ES"/>
              </w:rPr>
            </w:pPr>
            <w:r w:rsidRPr="00F61FF3">
              <w:rPr>
                <w:rFonts w:ascii="Arial" w:hAnsi="Arial" w:cs="Arial"/>
                <w:sz w:val="16"/>
                <w:szCs w:val="16"/>
                <w:lang w:val="es-ES" w:eastAsia="es-ES"/>
              </w:rPr>
              <w:t xml:space="preserve">Contratista </w:t>
            </w:r>
            <w:r>
              <w:rPr>
                <w:rFonts w:ascii="Arial" w:hAnsi="Arial" w:cs="Arial"/>
                <w:sz w:val="16"/>
                <w:szCs w:val="16"/>
                <w:lang w:val="es-ES" w:eastAsia="es-ES"/>
              </w:rPr>
              <w:t>–</w:t>
            </w:r>
            <w:r w:rsidRPr="00F61FF3">
              <w:rPr>
                <w:rFonts w:ascii="Arial" w:hAnsi="Arial" w:cs="Arial"/>
                <w:sz w:val="16"/>
                <w:szCs w:val="16"/>
                <w:lang w:val="es-ES" w:eastAsia="es-ES"/>
              </w:rPr>
              <w:t xml:space="preserve"> Subdirección de Gestión Contractual</w:t>
            </w:r>
          </w:p>
        </w:tc>
      </w:tr>
      <w:tr w:rsidR="00742396" w:rsidRPr="00F61FF3" w14:paraId="19E92BFB" w14:textId="77777777" w:rsidTr="00840218">
        <w:trPr>
          <w:trHeight w:val="330"/>
        </w:trPr>
        <w:tc>
          <w:tcPr>
            <w:tcW w:w="812" w:type="dxa"/>
            <w:vAlign w:val="center"/>
          </w:tcPr>
          <w:p w14:paraId="01B89FA2" w14:textId="77777777" w:rsidR="00742396" w:rsidRPr="00F61FF3" w:rsidRDefault="00742396" w:rsidP="00840218">
            <w:pPr>
              <w:rPr>
                <w:rFonts w:ascii="Arial" w:hAnsi="Arial" w:cs="Arial"/>
                <w:sz w:val="16"/>
                <w:szCs w:val="16"/>
                <w:lang w:val="es-ES" w:eastAsia="es-ES"/>
              </w:rPr>
            </w:pPr>
            <w:r w:rsidRPr="00F61FF3">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149654E3" w14:textId="77777777" w:rsidR="009711D3" w:rsidRPr="00F61FF3" w:rsidRDefault="009711D3" w:rsidP="009711D3">
            <w:pPr>
              <w:rPr>
                <w:rFonts w:ascii="Arial" w:hAnsi="Arial" w:cs="Arial"/>
                <w:sz w:val="16"/>
                <w:szCs w:val="16"/>
                <w:lang w:val="es-ES" w:eastAsia="es-ES"/>
              </w:rPr>
            </w:pPr>
            <w:r w:rsidRPr="00F61FF3">
              <w:rPr>
                <w:rFonts w:ascii="Arial" w:hAnsi="Arial" w:cs="Arial"/>
                <w:sz w:val="16"/>
                <w:szCs w:val="16"/>
                <w:lang w:val="es-ES" w:eastAsia="es-ES"/>
              </w:rPr>
              <w:t>Fabián Gonzalo Marín Cortés</w:t>
            </w:r>
          </w:p>
          <w:p w14:paraId="3A66EEEF" w14:textId="664336FE" w:rsidR="00742396" w:rsidRPr="00F61FF3" w:rsidRDefault="009711D3" w:rsidP="009711D3">
            <w:pPr>
              <w:rPr>
                <w:rFonts w:ascii="Arial" w:hAnsi="Arial" w:cs="Arial"/>
                <w:sz w:val="16"/>
                <w:szCs w:val="16"/>
                <w:lang w:val="es-ES" w:eastAsia="es-ES"/>
              </w:rPr>
            </w:pPr>
            <w:r w:rsidRPr="00F61FF3">
              <w:rPr>
                <w:rFonts w:ascii="Arial" w:hAnsi="Arial" w:cs="Arial"/>
                <w:sz w:val="16"/>
                <w:szCs w:val="16"/>
                <w:lang w:val="es-ES" w:eastAsia="es-ES"/>
              </w:rPr>
              <w:t>Subdirector de Gestión Contractual</w:t>
            </w:r>
          </w:p>
        </w:tc>
      </w:tr>
      <w:tr w:rsidR="00742396" w:rsidRPr="00F61FF3" w14:paraId="56EB6834" w14:textId="77777777" w:rsidTr="00840218">
        <w:trPr>
          <w:trHeight w:val="300"/>
        </w:trPr>
        <w:tc>
          <w:tcPr>
            <w:tcW w:w="812" w:type="dxa"/>
            <w:vAlign w:val="center"/>
          </w:tcPr>
          <w:p w14:paraId="2148F7E7" w14:textId="77777777" w:rsidR="00742396" w:rsidRPr="00F61FF3" w:rsidRDefault="00742396" w:rsidP="00840218">
            <w:pPr>
              <w:rPr>
                <w:rFonts w:ascii="Arial" w:hAnsi="Arial" w:cs="Arial"/>
                <w:sz w:val="16"/>
                <w:szCs w:val="16"/>
                <w:lang w:val="es-ES" w:eastAsia="es-ES"/>
              </w:rPr>
            </w:pPr>
            <w:r w:rsidRPr="00F61FF3">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075B29D8" w14:textId="77777777" w:rsidR="00742396" w:rsidRPr="00F61FF3" w:rsidRDefault="00742396" w:rsidP="00840218">
            <w:pPr>
              <w:rPr>
                <w:rFonts w:ascii="Arial" w:hAnsi="Arial" w:cs="Arial"/>
                <w:sz w:val="16"/>
                <w:szCs w:val="16"/>
                <w:lang w:val="es-ES" w:eastAsia="es-ES"/>
              </w:rPr>
            </w:pPr>
            <w:r w:rsidRPr="00F61FF3">
              <w:rPr>
                <w:rFonts w:ascii="Arial" w:hAnsi="Arial" w:cs="Arial"/>
                <w:sz w:val="16"/>
                <w:szCs w:val="16"/>
                <w:lang w:val="es-ES" w:eastAsia="es-ES"/>
              </w:rPr>
              <w:t>Fabián Gonzalo Marín Cortés</w:t>
            </w:r>
          </w:p>
          <w:p w14:paraId="4F60FD8A" w14:textId="77777777" w:rsidR="00742396" w:rsidRPr="00F61FF3" w:rsidRDefault="00742396" w:rsidP="00840218">
            <w:pPr>
              <w:rPr>
                <w:rFonts w:ascii="Arial" w:hAnsi="Arial" w:cs="Arial"/>
                <w:sz w:val="16"/>
                <w:szCs w:val="16"/>
                <w:lang w:val="es-ES" w:eastAsia="es-ES"/>
              </w:rPr>
            </w:pPr>
            <w:r w:rsidRPr="00F61FF3">
              <w:rPr>
                <w:rFonts w:ascii="Arial" w:hAnsi="Arial" w:cs="Arial"/>
                <w:sz w:val="16"/>
                <w:szCs w:val="16"/>
                <w:lang w:val="es-ES" w:eastAsia="es-ES"/>
              </w:rPr>
              <w:t>Subdirector de Gestión Contractual</w:t>
            </w:r>
          </w:p>
        </w:tc>
      </w:tr>
    </w:tbl>
    <w:p w14:paraId="35B56F46" w14:textId="77777777" w:rsidR="00746E08" w:rsidRPr="00F61FF3" w:rsidRDefault="00746E08" w:rsidP="0028568A">
      <w:pPr>
        <w:jc w:val="both"/>
        <w:rPr>
          <w:lang w:val="es-ES"/>
        </w:rPr>
      </w:pPr>
    </w:p>
    <w:sectPr w:rsidR="00746E08" w:rsidRPr="00F61FF3" w:rsidSect="0028568A">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97D3C" w14:textId="77777777" w:rsidR="000367CB" w:rsidRDefault="000367CB">
      <w:r>
        <w:separator/>
      </w:r>
    </w:p>
  </w:endnote>
  <w:endnote w:type="continuationSeparator" w:id="0">
    <w:p w14:paraId="499CE888" w14:textId="77777777" w:rsidR="000367CB" w:rsidRDefault="0003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40218" w:rsidRDefault="00840218" w:rsidP="00322937">
    <w:pPr>
      <w:pStyle w:val="Sinespaciado"/>
      <w:jc w:val="right"/>
      <w:rPr>
        <w:rFonts w:ascii="Arial" w:hAnsi="Arial" w:cs="Arial"/>
        <w:sz w:val="18"/>
        <w:szCs w:val="18"/>
      </w:rPr>
    </w:pPr>
  </w:p>
  <w:p w14:paraId="7A3785F3" w14:textId="1B3F88F6" w:rsidR="00840218" w:rsidRPr="008217B7" w:rsidRDefault="0084021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48FC6A04" w14:textId="5FD1A7C9" w:rsidR="00840218" w:rsidRDefault="353172AA" w:rsidP="00322937">
    <w:pPr>
      <w:pStyle w:val="Piedepgina"/>
      <w:jc w:val="center"/>
    </w:pPr>
    <w:r>
      <w:rPr>
        <w:noProof/>
      </w:rPr>
      <w:drawing>
        <wp:inline distT="0" distB="0" distL="0" distR="0" wp14:anchorId="608B196D" wp14:editId="4FAE27BE">
          <wp:extent cx="3700130" cy="519139"/>
          <wp:effectExtent l="0" t="0" r="0" b="0"/>
          <wp:docPr id="3131250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40218" w:rsidRDefault="00840218" w:rsidP="007B0854">
    <w:pPr>
      <w:pStyle w:val="Piedepgina"/>
      <w:jc w:val="center"/>
    </w:pPr>
  </w:p>
  <w:p w14:paraId="6C0EFC49" w14:textId="77777777" w:rsidR="00840218" w:rsidRPr="007B0854" w:rsidRDefault="00840218"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CDDFF" w14:textId="77777777" w:rsidR="000367CB" w:rsidRDefault="000367CB">
      <w:r>
        <w:separator/>
      </w:r>
    </w:p>
  </w:footnote>
  <w:footnote w:type="continuationSeparator" w:id="0">
    <w:p w14:paraId="5E81235A" w14:textId="77777777" w:rsidR="000367CB" w:rsidRDefault="000367CB">
      <w:r>
        <w:continuationSeparator/>
      </w:r>
    </w:p>
  </w:footnote>
  <w:footnote w:id="1">
    <w:p w14:paraId="7363A0E7" w14:textId="3E848940"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r w:rsidRPr="00A03891">
        <w:rPr>
          <w:rStyle w:val="Refdenotaalpie"/>
          <w:rFonts w:ascii="Arial" w:hAnsi="Arial" w:cs="Arial"/>
          <w:color w:val="000000" w:themeColor="text1"/>
          <w:sz w:val="19"/>
          <w:szCs w:val="19"/>
        </w:rPr>
        <w:footnoteRef/>
      </w:r>
      <w:r w:rsidRPr="00840218">
        <w:rPr>
          <w:rFonts w:ascii="Arial" w:hAnsi="Arial" w:cs="Arial"/>
          <w:color w:val="000000" w:themeColor="text1"/>
          <w:sz w:val="19"/>
          <w:szCs w:val="19"/>
        </w:rPr>
        <w:t xml:space="preserve"> Corte Constitucional. Sentencia C- 341 del 4 de junio de 2014. M. P. Mauricio González Cuervo.</w:t>
      </w:r>
    </w:p>
  </w:footnote>
  <w:footnote w:id="2">
    <w:p w14:paraId="5020C038"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r w:rsidRPr="00840218">
        <w:rPr>
          <w:rStyle w:val="Refdenotaalpie"/>
          <w:rFonts w:ascii="Arial" w:hAnsi="Arial" w:cs="Arial"/>
          <w:color w:val="000000" w:themeColor="text1"/>
          <w:sz w:val="19"/>
          <w:szCs w:val="19"/>
        </w:rPr>
        <w:footnoteRef/>
      </w:r>
      <w:r w:rsidRPr="00840218">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w:t>
      </w:r>
      <w:r w:rsidRPr="00A03891">
        <w:rPr>
          <w:rFonts w:ascii="Arial" w:hAnsi="Arial" w:cs="Arial"/>
          <w:color w:val="000000" w:themeColor="text1"/>
          <w:sz w:val="19"/>
          <w:szCs w:val="19"/>
        </w:rPr>
        <w:t>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137AF964"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r w:rsidRPr="00A03891">
        <w:rPr>
          <w:rFonts w:ascii="Arial" w:hAnsi="Arial" w:cs="Arial"/>
          <w:color w:val="000000" w:themeColor="text1"/>
          <w:sz w:val="19"/>
          <w:szCs w:val="19"/>
        </w:rPr>
        <w:t>»Lo anterior, sin perjuicio de las publicaciones previstas en el numeral 3 del artículo 30 de la Ley 80 de 1993.</w:t>
      </w:r>
    </w:p>
    <w:p w14:paraId="6FBE2B05"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r w:rsidRPr="00A03891">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6D8559C5"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r w:rsidRPr="00A03891">
        <w:rPr>
          <w:rFonts w:ascii="Arial" w:hAnsi="Arial" w:cs="Arial"/>
          <w:color w:val="000000" w:themeColor="text1"/>
          <w:sz w:val="19"/>
          <w:szCs w:val="19"/>
        </w:rPr>
        <w:t>[…]</w:t>
      </w:r>
    </w:p>
    <w:p w14:paraId="212FC467" w14:textId="1325A497"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r w:rsidRPr="00A03891">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w:t>
      </w:r>
    </w:p>
    <w:p w14:paraId="2627E57C"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p>
  </w:footnote>
  <w:footnote w:id="3">
    <w:p w14:paraId="3029BB0B" w14:textId="639B9B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r w:rsidRPr="00840218">
        <w:rPr>
          <w:rStyle w:val="Refdenotaalpie"/>
          <w:rFonts w:ascii="Arial" w:hAnsi="Arial" w:cs="Arial"/>
          <w:color w:val="000000" w:themeColor="text1"/>
          <w:sz w:val="19"/>
          <w:szCs w:val="19"/>
        </w:rPr>
        <w:footnoteRef/>
      </w:r>
      <w:r w:rsidRPr="00840218">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w:t>
      </w:r>
      <w:r w:rsidRPr="00A03891">
        <w:rPr>
          <w:rFonts w:ascii="Arial" w:hAnsi="Arial" w:cs="Arial"/>
          <w:color w:val="000000" w:themeColor="text1"/>
          <w:sz w:val="19"/>
          <w:szCs w:val="19"/>
        </w:rPr>
        <w:t>tada sino por disposición constitucional o legal, de conformidad con la presente ley».</w:t>
      </w:r>
    </w:p>
    <w:p w14:paraId="63A800C4"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p>
  </w:footnote>
  <w:footnote w:id="4">
    <w:p w14:paraId="4BF974C1"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r w:rsidRPr="00840218">
        <w:rPr>
          <w:rStyle w:val="Refdenotaalpie"/>
          <w:rFonts w:ascii="Arial" w:hAnsi="Arial" w:cs="Arial"/>
          <w:color w:val="000000" w:themeColor="text1"/>
          <w:sz w:val="19"/>
          <w:szCs w:val="19"/>
        </w:rPr>
        <w:footnoteRef/>
      </w:r>
      <w:r w:rsidRPr="00840218">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0AE53E43" w14:textId="3F32458E"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r w:rsidRPr="00A03891">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06A33713"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p>
  </w:footnote>
  <w:footnote w:id="5">
    <w:p w14:paraId="179255CD" w14:textId="77777777" w:rsidR="00840218" w:rsidRPr="00A03891" w:rsidRDefault="00840218" w:rsidP="0047037E">
      <w:pPr>
        <w:pStyle w:val="Textonotapie"/>
        <w:spacing w:after="0" w:line="240" w:lineRule="auto"/>
        <w:ind w:firstLine="709"/>
        <w:jc w:val="both"/>
        <w:rPr>
          <w:rFonts w:ascii="Arial" w:hAnsi="Arial" w:cs="Arial"/>
          <w:color w:val="000000" w:themeColor="text1"/>
          <w:sz w:val="19"/>
          <w:szCs w:val="19"/>
        </w:rPr>
      </w:pPr>
      <w:r w:rsidRPr="00840218">
        <w:rPr>
          <w:rFonts w:ascii="Arial" w:hAnsi="Arial" w:cs="Arial"/>
          <w:color w:val="000000" w:themeColor="text1"/>
          <w:sz w:val="19"/>
          <w:szCs w:val="19"/>
          <w:vertAlign w:val="superscript"/>
          <w:lang w:eastAsia="es-ES"/>
        </w:rPr>
        <w:footnoteRef/>
      </w:r>
      <w:r w:rsidRPr="00840218">
        <w:rPr>
          <w:rFonts w:ascii="Arial" w:hAnsi="Arial" w:cs="Arial"/>
          <w:color w:val="000000" w:themeColor="text1"/>
          <w:sz w:val="19"/>
          <w:szCs w:val="19"/>
          <w:vertAlign w:val="superscript"/>
          <w:lang w:eastAsia="es-ES"/>
        </w:rPr>
        <w:t xml:space="preserve"> </w:t>
      </w:r>
      <w:r w:rsidRPr="00840218">
        <w:rPr>
          <w:rFonts w:ascii="Arial" w:hAnsi="Arial" w:cs="Arial"/>
          <w:color w:val="000000" w:themeColor="text1"/>
          <w:sz w:val="19"/>
          <w:szCs w:val="19"/>
          <w:lang w:eastAsia="es-ES"/>
        </w:rPr>
        <w:t>«</w:t>
      </w:r>
      <w:r w:rsidRPr="00A03891">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3F25B8F" w14:textId="77777777" w:rsidR="00840218" w:rsidRPr="00A03891" w:rsidRDefault="00840218" w:rsidP="0047037E">
      <w:pPr>
        <w:pStyle w:val="Textonotapie"/>
        <w:spacing w:after="0" w:line="240" w:lineRule="auto"/>
        <w:ind w:firstLine="709"/>
        <w:jc w:val="both"/>
        <w:rPr>
          <w:rFonts w:ascii="Arial" w:hAnsi="Arial" w:cs="Arial"/>
          <w:color w:val="000000" w:themeColor="text1"/>
          <w:sz w:val="19"/>
          <w:szCs w:val="19"/>
          <w:lang w:eastAsia="es-ES"/>
        </w:rPr>
      </w:pPr>
      <w:r w:rsidRPr="00A03891">
        <w:rPr>
          <w:rFonts w:ascii="Arial" w:hAnsi="Arial" w:cs="Arial"/>
          <w:color w:val="000000" w:themeColor="text1"/>
          <w:sz w:val="19"/>
          <w:szCs w:val="19"/>
        </w:rPr>
        <w:t>[…].</w:t>
      </w:r>
    </w:p>
    <w:p w14:paraId="63AF5EBB" w14:textId="77777777" w:rsidR="00840218" w:rsidRPr="00A03891" w:rsidRDefault="00840218" w:rsidP="0047037E">
      <w:pPr>
        <w:pStyle w:val="Textonotapie"/>
        <w:spacing w:after="0" w:line="240" w:lineRule="auto"/>
        <w:ind w:firstLine="709"/>
        <w:jc w:val="both"/>
        <w:rPr>
          <w:rFonts w:ascii="Arial" w:hAnsi="Arial" w:cs="Arial"/>
          <w:color w:val="000000" w:themeColor="text1"/>
          <w:sz w:val="19"/>
          <w:szCs w:val="19"/>
          <w:lang w:eastAsia="es-ES"/>
        </w:rPr>
      </w:pPr>
      <w:r w:rsidRPr="00A03891">
        <w:rPr>
          <w:rFonts w:ascii="Arial" w:hAnsi="Arial" w:cs="Arial"/>
          <w:color w:val="000000" w:themeColor="text1"/>
          <w:sz w:val="19"/>
          <w:szCs w:val="19"/>
          <w:lang w:eastAsia="es-ES"/>
        </w:rPr>
        <w:t>«Los sujetos obligados que contratan con recursos públicos y recursos privados, deben publicar la información de su gestión contractual con cargo a recursos públicos en el Sistema Electrónico para la Contratación Pública [SECOP]».</w:t>
      </w:r>
    </w:p>
    <w:p w14:paraId="59D20758" w14:textId="77777777" w:rsidR="00840218" w:rsidRPr="00A03891" w:rsidRDefault="00840218" w:rsidP="0047037E">
      <w:pPr>
        <w:pStyle w:val="Textonotapie"/>
        <w:spacing w:after="0" w:line="240" w:lineRule="auto"/>
        <w:ind w:firstLine="709"/>
        <w:jc w:val="both"/>
        <w:rPr>
          <w:rFonts w:ascii="Arial" w:hAnsi="Arial" w:cs="Arial"/>
          <w:color w:val="000000" w:themeColor="text1"/>
          <w:sz w:val="19"/>
          <w:szCs w:val="19"/>
          <w:lang w:eastAsia="es-ES"/>
        </w:rPr>
      </w:pPr>
    </w:p>
  </w:footnote>
  <w:footnote w:id="6">
    <w:p w14:paraId="6CBEF8CA"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lang w:eastAsia="es-ES"/>
        </w:rPr>
      </w:pPr>
      <w:r w:rsidRPr="00840218">
        <w:rPr>
          <w:rStyle w:val="Refdenotaalpie"/>
          <w:rFonts w:ascii="Arial" w:hAnsi="Arial" w:cs="Arial"/>
          <w:color w:val="000000" w:themeColor="text1"/>
          <w:sz w:val="19"/>
          <w:szCs w:val="19"/>
        </w:rPr>
        <w:footnoteRef/>
      </w:r>
      <w:r w:rsidRPr="00840218">
        <w:rPr>
          <w:rFonts w:ascii="Arial" w:hAnsi="Arial" w:cs="Arial"/>
          <w:color w:val="000000" w:themeColor="text1"/>
          <w:sz w:val="19"/>
          <w:szCs w:val="19"/>
        </w:rPr>
        <w:t xml:space="preserve"> C</w:t>
      </w:r>
      <w:r w:rsidRPr="00840218">
        <w:rPr>
          <w:rFonts w:ascii="Arial" w:hAnsi="Arial" w:cs="Arial"/>
          <w:color w:val="000000" w:themeColor="text1"/>
          <w:sz w:val="19"/>
          <w:szCs w:val="19"/>
          <w:lang w:eastAsia="es-ES"/>
        </w:rPr>
        <w:t>orte Constitucional. Sentencia C─274 de 9 de mayo de 2013. M.P. María Victoria Calle Correa.</w:t>
      </w:r>
    </w:p>
    <w:p w14:paraId="227EF30A" w14:textId="1A55E856"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r w:rsidRPr="00A03891">
        <w:rPr>
          <w:rFonts w:ascii="Arial" w:hAnsi="Arial" w:cs="Arial"/>
          <w:color w:val="000000" w:themeColor="text1"/>
          <w:sz w:val="19"/>
          <w:szCs w:val="19"/>
          <w:lang w:eastAsia="es-ES"/>
        </w:rPr>
        <w:t xml:space="preserve"> </w:t>
      </w:r>
    </w:p>
  </w:footnote>
  <w:footnote w:id="7">
    <w:p w14:paraId="7B3E9CB9"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lang w:val="es-CO"/>
        </w:rPr>
      </w:pPr>
      <w:r w:rsidRPr="00840218">
        <w:rPr>
          <w:rStyle w:val="Refdenotaalpie"/>
          <w:rFonts w:ascii="Arial" w:hAnsi="Arial" w:cs="Arial"/>
          <w:color w:val="000000" w:themeColor="text1"/>
          <w:sz w:val="19"/>
          <w:szCs w:val="19"/>
        </w:rPr>
        <w:footnoteRef/>
      </w:r>
      <w:r w:rsidRPr="00840218">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w:t>
      </w:r>
      <w:r w:rsidRPr="00A03891">
        <w:rPr>
          <w:rFonts w:ascii="Arial" w:hAnsi="Arial" w:cs="Arial"/>
          <w:color w:val="000000" w:themeColor="text1"/>
          <w:sz w:val="19"/>
          <w:szCs w:val="19"/>
        </w:rPr>
        <w:t xml:space="preserve"> o privado o la pertenencia a una u otra rama del poder público».</w:t>
      </w:r>
    </w:p>
  </w:footnote>
  <w:footnote w:id="8">
    <w:p w14:paraId="2C0F5A19" w14:textId="77777777" w:rsidR="00840218" w:rsidRPr="00840218" w:rsidRDefault="00840218" w:rsidP="0047037E">
      <w:pPr>
        <w:pStyle w:val="Textonotapie"/>
        <w:spacing w:after="0" w:line="240" w:lineRule="auto"/>
        <w:ind w:firstLine="708"/>
        <w:jc w:val="both"/>
        <w:rPr>
          <w:rFonts w:ascii="Arial" w:hAnsi="Arial" w:cs="Arial"/>
          <w:color w:val="000000" w:themeColor="text1"/>
          <w:sz w:val="19"/>
          <w:szCs w:val="19"/>
        </w:rPr>
      </w:pPr>
      <w:r w:rsidRPr="00840218">
        <w:rPr>
          <w:rStyle w:val="Refdenotaalpie"/>
          <w:rFonts w:ascii="Arial" w:hAnsi="Arial" w:cs="Arial"/>
          <w:color w:val="000000" w:themeColor="text1"/>
          <w:sz w:val="19"/>
          <w:szCs w:val="19"/>
        </w:rPr>
        <w:footnoteRef/>
      </w:r>
      <w:r w:rsidRPr="00840218">
        <w:rPr>
          <w:rFonts w:ascii="Arial" w:hAnsi="Arial" w:cs="Arial"/>
          <w:color w:val="000000" w:themeColor="text1"/>
          <w:sz w:val="19"/>
          <w:szCs w:val="19"/>
        </w:rPr>
        <w:t xml:space="preserve"> Consejo de Estado. Sección Tercera. Subsección C. Auto del 14 de agosto de 2017. Exp. 58.820. C.P. Jaime Orlando Santofimio Gamboa. </w:t>
      </w:r>
    </w:p>
    <w:p w14:paraId="64003258"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lang w:val="es-CO"/>
        </w:rPr>
      </w:pPr>
    </w:p>
  </w:footnote>
  <w:footnote w:id="9">
    <w:p w14:paraId="001C4B81" w14:textId="536C3218" w:rsidR="00840218" w:rsidRPr="00A03891" w:rsidRDefault="00840218" w:rsidP="0047037E">
      <w:pPr>
        <w:pStyle w:val="Prrafodelista"/>
        <w:spacing w:after="0" w:line="240" w:lineRule="auto"/>
        <w:ind w:left="0" w:firstLine="708"/>
        <w:contextualSpacing w:val="0"/>
        <w:jc w:val="both"/>
        <w:rPr>
          <w:rFonts w:ascii="Arial" w:hAnsi="Arial" w:cs="Arial"/>
          <w:bCs/>
          <w:color w:val="000000" w:themeColor="text1"/>
          <w:sz w:val="19"/>
          <w:szCs w:val="19"/>
        </w:rPr>
      </w:pPr>
      <w:r w:rsidRPr="00840218">
        <w:rPr>
          <w:rStyle w:val="Refdenotaalpie"/>
          <w:rFonts w:ascii="Arial" w:hAnsi="Arial" w:cs="Arial"/>
          <w:color w:val="000000" w:themeColor="text1"/>
          <w:sz w:val="19"/>
          <w:szCs w:val="19"/>
        </w:rPr>
        <w:footnoteRef/>
      </w:r>
      <w:r w:rsidRPr="00C37908">
        <w:rPr>
          <w:rFonts w:ascii="Arial" w:hAnsi="Arial" w:cs="Arial"/>
          <w:color w:val="000000" w:themeColor="text1"/>
          <w:sz w:val="19"/>
          <w:szCs w:val="19"/>
        </w:rPr>
        <w:t xml:space="preserve"> </w:t>
      </w:r>
      <w:r w:rsidRPr="00840218">
        <w:rPr>
          <w:rFonts w:ascii="Arial" w:hAnsi="Arial" w:cs="Arial"/>
          <w:bCs/>
          <w:color w:val="000000" w:themeColor="text1"/>
          <w:sz w:val="19"/>
          <w:szCs w:val="19"/>
        </w:rPr>
        <w:t>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w:t>
      </w:r>
      <w:r w:rsidRPr="00A03891">
        <w:rPr>
          <w:rFonts w:ascii="Arial" w:hAnsi="Arial" w:cs="Arial"/>
          <w:bCs/>
          <w:color w:val="000000" w:themeColor="text1"/>
          <w:sz w:val="19"/>
          <w:szCs w:val="19"/>
        </w:rPr>
        <w:t xml:space="preserve">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78CA93CA" w14:textId="77777777" w:rsidR="00840218" w:rsidRPr="00A03891" w:rsidRDefault="00840218" w:rsidP="0047037E">
      <w:pPr>
        <w:pStyle w:val="Prrafodelista"/>
        <w:spacing w:after="0" w:line="240" w:lineRule="auto"/>
        <w:ind w:left="0" w:firstLine="708"/>
        <w:contextualSpacing w:val="0"/>
        <w:jc w:val="both"/>
        <w:rPr>
          <w:rFonts w:ascii="Arial" w:hAnsi="Arial" w:cs="Arial"/>
          <w:bCs/>
          <w:color w:val="000000" w:themeColor="text1"/>
          <w:sz w:val="19"/>
          <w:szCs w:val="19"/>
        </w:rPr>
      </w:pPr>
    </w:p>
  </w:footnote>
  <w:footnote w:id="10">
    <w:p w14:paraId="58893F8C"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r w:rsidRPr="00840218">
        <w:rPr>
          <w:rStyle w:val="Refdenotaalpie"/>
          <w:rFonts w:ascii="Arial" w:hAnsi="Arial" w:cs="Arial"/>
          <w:color w:val="000000" w:themeColor="text1"/>
          <w:sz w:val="19"/>
          <w:szCs w:val="19"/>
        </w:rPr>
        <w:footnoteRef/>
      </w:r>
      <w:r w:rsidRPr="00840218">
        <w:rPr>
          <w:rFonts w:ascii="Arial" w:hAnsi="Arial" w:cs="Arial"/>
          <w:color w:val="000000" w:themeColor="text1"/>
          <w:sz w:val="19"/>
          <w:szCs w:val="19"/>
        </w:rPr>
        <w:t xml:space="preserve"> Esta posición se reiteró en las siguientes consultas: No. 4201813000006842 del 16 de agosto de 2018, 42018</w:t>
      </w:r>
      <w:r w:rsidRPr="00A03891">
        <w:rPr>
          <w:rFonts w:ascii="Arial" w:hAnsi="Arial" w:cs="Arial"/>
          <w:color w:val="000000" w:themeColor="text1"/>
          <w:sz w:val="19"/>
          <w:szCs w:val="19"/>
        </w:rPr>
        <w:t>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2457B3BB" w14:textId="5B334FCB" w:rsidR="00840218" w:rsidRDefault="00840218" w:rsidP="0047037E">
      <w:pPr>
        <w:pStyle w:val="Textonotapie"/>
        <w:spacing w:after="0" w:line="240" w:lineRule="auto"/>
        <w:ind w:firstLine="708"/>
        <w:jc w:val="both"/>
        <w:rPr>
          <w:rFonts w:ascii="Arial" w:hAnsi="Arial" w:cs="Arial"/>
          <w:color w:val="000000" w:themeColor="text1"/>
          <w:sz w:val="19"/>
          <w:szCs w:val="19"/>
        </w:rPr>
      </w:pPr>
      <w:r w:rsidRPr="00A03891">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5A891043" w14:textId="77777777" w:rsidR="00995521" w:rsidRPr="00A03891" w:rsidRDefault="00995521" w:rsidP="0047037E">
      <w:pPr>
        <w:pStyle w:val="Textonotapie"/>
        <w:spacing w:after="0" w:line="240" w:lineRule="auto"/>
        <w:ind w:firstLine="708"/>
        <w:jc w:val="both"/>
        <w:rPr>
          <w:rFonts w:ascii="Arial" w:hAnsi="Arial" w:cs="Arial"/>
          <w:color w:val="000000" w:themeColor="text1"/>
          <w:sz w:val="19"/>
          <w:szCs w:val="19"/>
        </w:rPr>
      </w:pPr>
    </w:p>
  </w:footnote>
  <w:footnote w:id="11">
    <w:p w14:paraId="5396D4F0" w14:textId="6A2387EF"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r w:rsidRPr="00840218">
        <w:rPr>
          <w:rStyle w:val="Refdenotaalpie"/>
          <w:rFonts w:ascii="Arial" w:hAnsi="Arial" w:cs="Arial"/>
          <w:color w:val="000000" w:themeColor="text1"/>
          <w:sz w:val="19"/>
          <w:szCs w:val="19"/>
        </w:rPr>
        <w:footnoteRef/>
      </w:r>
      <w:r w:rsidRPr="00840218">
        <w:rPr>
          <w:rFonts w:ascii="Arial" w:hAnsi="Arial" w:cs="Arial"/>
          <w:color w:val="000000" w:themeColor="text1"/>
          <w:sz w:val="19"/>
          <w:szCs w:val="19"/>
        </w:rPr>
        <w:t xml:space="preserve"> Decreto 103 de 2015: «Artículo 8°. Publicación de la ejecución de contratos. Para efectos del cumplimiento de la obligación contenida en e</w:t>
      </w:r>
      <w:r w:rsidRPr="00A03891">
        <w:rPr>
          <w:rFonts w:ascii="Arial" w:hAnsi="Arial" w:cs="Arial"/>
          <w:color w:val="000000" w:themeColor="text1"/>
          <w:sz w:val="19"/>
          <w:szCs w:val="19"/>
        </w:rPr>
        <w:t>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7022BCDB"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p>
  </w:footnote>
  <w:footnote w:id="12">
    <w:p w14:paraId="65F37A5B" w14:textId="7FB40003"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r w:rsidRPr="00840218">
        <w:rPr>
          <w:rStyle w:val="Refdenotaalpie"/>
          <w:rFonts w:ascii="Arial" w:hAnsi="Arial" w:cs="Arial"/>
          <w:color w:val="000000" w:themeColor="text1"/>
          <w:sz w:val="19"/>
          <w:szCs w:val="19"/>
        </w:rPr>
        <w:footnoteRef/>
      </w:r>
      <w:r w:rsidRPr="00840218">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w:t>
      </w:r>
      <w:r w:rsidRPr="00A03891">
        <w:rPr>
          <w:rFonts w:ascii="Arial" w:hAnsi="Arial" w:cs="Arial"/>
          <w:color w:val="000000" w:themeColor="text1"/>
          <w:sz w:val="19"/>
          <w:szCs w:val="19"/>
        </w:rPr>
        <w:t>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37716701"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p>
  </w:footnote>
  <w:footnote w:id="13">
    <w:p w14:paraId="48A9DD35"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r w:rsidRPr="00840218">
        <w:rPr>
          <w:rStyle w:val="Refdenotaalpie"/>
          <w:rFonts w:ascii="Arial" w:hAnsi="Arial" w:cs="Arial"/>
          <w:color w:val="000000" w:themeColor="text1"/>
          <w:sz w:val="19"/>
          <w:szCs w:val="19"/>
        </w:rPr>
        <w:footnoteRef/>
      </w:r>
      <w:r w:rsidRPr="00840218">
        <w:rPr>
          <w:rFonts w:ascii="Arial" w:hAnsi="Arial" w:cs="Arial"/>
          <w:color w:val="000000" w:themeColor="text1"/>
          <w:sz w:val="19"/>
          <w:szCs w:val="19"/>
        </w:rPr>
        <w:t xml:space="preserve"> Decreto 103 de 2015: «Artículo 10. Publicación del Plan Anual de Adquisiciones. Los sujetos obligados que contratan con cargo a recursos públicos</w:t>
      </w:r>
      <w:r w:rsidRPr="00A03891">
        <w:rPr>
          <w:rFonts w:ascii="Arial" w:hAnsi="Arial" w:cs="Arial"/>
          <w:color w:val="000000" w:themeColor="text1"/>
          <w:sz w:val="19"/>
          <w:szCs w:val="19"/>
        </w:rPr>
        <w:t xml:space="preserve">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37982687"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r w:rsidRPr="00A03891">
        <w:rPr>
          <w:rFonts w:ascii="Arial" w:hAnsi="Arial" w:cs="Arial"/>
          <w:color w:val="000000" w:themeColor="text1"/>
          <w:sz w:val="19"/>
          <w:szCs w:val="19"/>
        </w:rPr>
        <w:t>»Los sujetos obligados que no contratan con cargo a recursos públicos no están obligados a publicar su Plan Anual de Adquisiciones.</w:t>
      </w:r>
    </w:p>
    <w:p w14:paraId="630ACE93"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r w:rsidRPr="00A03891">
        <w:rPr>
          <w:rFonts w:ascii="Arial" w:hAnsi="Arial" w:cs="Arial"/>
          <w:color w:val="000000" w:themeColor="text1"/>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30A3CCD2" w14:textId="6300F458"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r w:rsidRPr="00A03891">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p w14:paraId="36AACB55"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p>
  </w:footnote>
  <w:footnote w:id="14">
    <w:p w14:paraId="5A992ADA" w14:textId="5741BB4C" w:rsidR="00840218" w:rsidRDefault="00840218" w:rsidP="0047037E">
      <w:pPr>
        <w:pStyle w:val="Textonotapie"/>
        <w:spacing w:after="0" w:line="240" w:lineRule="auto"/>
        <w:ind w:firstLine="709"/>
        <w:jc w:val="both"/>
        <w:rPr>
          <w:rFonts w:ascii="Arial" w:hAnsi="Arial" w:cs="Arial"/>
          <w:sz w:val="19"/>
          <w:szCs w:val="19"/>
        </w:rPr>
      </w:pPr>
      <w:r w:rsidRPr="00C37908">
        <w:rPr>
          <w:rStyle w:val="Refdenotaalpie"/>
          <w:rFonts w:ascii="Arial" w:hAnsi="Arial" w:cs="Arial"/>
          <w:sz w:val="19"/>
          <w:szCs w:val="19"/>
        </w:rPr>
        <w:footnoteRef/>
      </w:r>
      <w:r w:rsidRPr="00C37908">
        <w:rPr>
          <w:rFonts w:ascii="Arial" w:hAnsi="Arial" w:cs="Arial"/>
          <w:sz w:val="19"/>
          <w:szCs w:val="19"/>
        </w:rPr>
        <w:t xml:space="preserve"> Se señala</w:t>
      </w:r>
      <w:r w:rsidRPr="00840218">
        <w:rPr>
          <w:rFonts w:ascii="Arial" w:hAnsi="Arial" w:cs="Arial"/>
          <w:sz w:val="19"/>
          <w:szCs w:val="19"/>
        </w:rPr>
        <w:t>:</w:t>
      </w:r>
      <w:r w:rsidRPr="00C37908">
        <w:rPr>
          <w:rFonts w:ascii="Arial" w:hAnsi="Arial" w:cs="Arial"/>
          <w:sz w:val="19"/>
          <w:szCs w:val="19"/>
        </w:rPr>
        <w:t xml:space="preserve"> </w:t>
      </w:r>
      <w:r w:rsidRPr="00C37908">
        <w:rPr>
          <w:rFonts w:ascii="Arial" w:hAnsi="Arial" w:cs="Arial"/>
          <w:i/>
          <w:iCs/>
          <w:sz w:val="19"/>
          <w:szCs w:val="19"/>
        </w:rPr>
        <w:t>por regla general</w:t>
      </w:r>
      <w:r w:rsidRPr="00C37908">
        <w:rPr>
          <w:rFonts w:ascii="Arial" w:hAnsi="Arial" w:cs="Arial"/>
          <w:sz w:val="19"/>
          <w:szCs w:val="19"/>
        </w:rPr>
        <w:t xml:space="preserve">, en tanto el régimen contractual de las empresas industriales y </w:t>
      </w:r>
      <w:r w:rsidRPr="00840218">
        <w:rPr>
          <w:rFonts w:ascii="Arial" w:hAnsi="Arial" w:cs="Arial"/>
          <w:sz w:val="19"/>
          <w:szCs w:val="19"/>
        </w:rPr>
        <w:t>comerciales</w:t>
      </w:r>
      <w:r w:rsidRPr="00C37908">
        <w:rPr>
          <w:rFonts w:ascii="Arial" w:hAnsi="Arial" w:cs="Arial"/>
          <w:sz w:val="19"/>
          <w:szCs w:val="19"/>
        </w:rPr>
        <w:t xml:space="preserve"> del </w:t>
      </w:r>
      <w:r w:rsidRPr="00840218">
        <w:rPr>
          <w:rFonts w:ascii="Arial" w:hAnsi="Arial" w:cs="Arial"/>
          <w:sz w:val="19"/>
          <w:szCs w:val="19"/>
        </w:rPr>
        <w:t>Estado se define en el artículo 14 de la Le</w:t>
      </w:r>
      <w:r w:rsidRPr="00A03891">
        <w:rPr>
          <w:rFonts w:ascii="Arial" w:hAnsi="Arial" w:cs="Arial"/>
          <w:sz w:val="19"/>
          <w:szCs w:val="19"/>
        </w:rPr>
        <w:t>y 1150 de 2007, prescribiendo que aquellas que desarrollen actividades comerciales en competencia con el sector privado y/o público, nacional o internacional o en mercados regulados, se regirán por las disposiciones legales y reglamentarias aplicables a sus actividades económicas y comerciales, usualmente el derecho privado, que es el caso de la mayoría de estas entidades; de otro lado, las demás se rigen por el Estatuto General de Contratación de la Administración Pública.</w:t>
      </w:r>
    </w:p>
    <w:p w14:paraId="0FBB2E1A" w14:textId="77777777" w:rsidR="00995521" w:rsidRPr="00C37908" w:rsidRDefault="00995521" w:rsidP="0047037E">
      <w:pPr>
        <w:pStyle w:val="Textonotapie"/>
        <w:spacing w:after="0" w:line="240" w:lineRule="auto"/>
        <w:ind w:firstLine="709"/>
        <w:jc w:val="both"/>
        <w:rPr>
          <w:rFonts w:ascii="Arial" w:hAnsi="Arial" w:cs="Arial"/>
          <w:sz w:val="19"/>
          <w:szCs w:val="19"/>
          <w:lang w:val="es-CO"/>
        </w:rPr>
      </w:pPr>
    </w:p>
  </w:footnote>
  <w:footnote w:id="15">
    <w:p w14:paraId="16F571F4"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r w:rsidRPr="00C37908">
        <w:rPr>
          <w:rStyle w:val="Refdenotaalpie"/>
          <w:rFonts w:ascii="Arial" w:hAnsi="Arial" w:cs="Arial"/>
          <w:color w:val="000000" w:themeColor="text1"/>
          <w:sz w:val="19"/>
          <w:szCs w:val="19"/>
        </w:rPr>
        <w:footnoteRef/>
      </w:r>
      <w:r w:rsidRPr="00C37908">
        <w:rPr>
          <w:rFonts w:ascii="Arial" w:hAnsi="Arial" w:cs="Arial"/>
          <w:color w:val="000000" w:themeColor="text1"/>
          <w:sz w:val="19"/>
          <w:szCs w:val="19"/>
        </w:rPr>
        <w:t xml:space="preserve"> </w:t>
      </w:r>
      <w:r w:rsidRPr="00840218">
        <w:rPr>
          <w:rFonts w:ascii="Arial" w:hAnsi="Arial" w:cs="Arial"/>
          <w:color w:val="000000" w:themeColor="text1"/>
          <w:sz w:val="19"/>
          <w:szCs w:val="19"/>
        </w:rPr>
        <w:t>Esta posición fue acogida en las siguientes consultas Rad. 4201813000006240: «Las Entidades Estatales que cuentan con régimen especial de contratació</w:t>
      </w:r>
      <w:r w:rsidRPr="00A03891">
        <w:rPr>
          <w:rFonts w:ascii="Arial" w:hAnsi="Arial" w:cs="Arial"/>
          <w:color w:val="000000" w:themeColor="text1"/>
          <w:sz w:val="19"/>
          <w:szCs w:val="19"/>
        </w:rPr>
        <w:t>n pueden aplicar las reglas contenidas en su propio manual de contratación, en consecuencia, estas entidades pueden establecer un término diferente a los 3 días que determina el Decreto 1082 de 2015 para publicar su actividad contractual en SECOP.</w:t>
      </w:r>
    </w:p>
    <w:p w14:paraId="567C7A35" w14:textId="527C60ED"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r w:rsidRPr="00A03891">
        <w:rPr>
          <w:rFonts w:ascii="Arial" w:hAnsi="Arial" w:cs="Arial"/>
          <w:color w:val="000000" w:themeColor="text1"/>
          <w:sz w:val="19"/>
          <w:szCs w:val="19"/>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089F4D4D"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p>
  </w:footnote>
  <w:footnote w:id="16">
    <w:p w14:paraId="00692497" w14:textId="77777777" w:rsidR="00840218" w:rsidRPr="00A03891" w:rsidRDefault="00840218" w:rsidP="0047037E">
      <w:pPr>
        <w:pStyle w:val="Textonotapie"/>
        <w:spacing w:after="0" w:line="240" w:lineRule="auto"/>
        <w:ind w:firstLine="709"/>
        <w:jc w:val="both"/>
        <w:rPr>
          <w:rFonts w:ascii="Arial" w:hAnsi="Arial" w:cs="Arial"/>
          <w:color w:val="000000" w:themeColor="text1"/>
          <w:sz w:val="19"/>
          <w:szCs w:val="19"/>
        </w:rPr>
      </w:pPr>
      <w:r w:rsidRPr="00C37908">
        <w:rPr>
          <w:rStyle w:val="Refdenotaalpie"/>
          <w:rFonts w:ascii="Arial" w:hAnsi="Arial" w:cs="Arial"/>
          <w:color w:val="000000" w:themeColor="text1"/>
          <w:sz w:val="19"/>
          <w:szCs w:val="19"/>
        </w:rPr>
        <w:footnoteRef/>
      </w:r>
      <w:r w:rsidRPr="00C37908">
        <w:rPr>
          <w:rFonts w:ascii="Arial" w:hAnsi="Arial" w:cs="Arial"/>
          <w:color w:val="000000" w:themeColor="text1"/>
          <w:sz w:val="19"/>
          <w:szCs w:val="19"/>
        </w:rPr>
        <w:t xml:space="preserve"> </w:t>
      </w:r>
      <w:r w:rsidRPr="00840218">
        <w:rPr>
          <w:rFonts w:ascii="Arial" w:hAnsi="Arial" w:cs="Arial"/>
          <w:color w:val="000000" w:themeColor="text1"/>
          <w:sz w:val="19"/>
          <w:szCs w:val="19"/>
        </w:rPr>
        <w:t>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5CAD6675" w14:textId="77777777" w:rsidR="00840218" w:rsidRPr="00A03891" w:rsidRDefault="00840218" w:rsidP="0047037E">
      <w:pPr>
        <w:pStyle w:val="Textonotapie"/>
        <w:spacing w:after="0" w:line="240" w:lineRule="auto"/>
        <w:ind w:firstLine="709"/>
        <w:jc w:val="both"/>
        <w:rPr>
          <w:rFonts w:ascii="Arial" w:hAnsi="Arial" w:cs="Arial"/>
          <w:color w:val="000000" w:themeColor="text1"/>
          <w:sz w:val="19"/>
          <w:szCs w:val="19"/>
        </w:rPr>
      </w:pPr>
      <w:r w:rsidRPr="00A03891">
        <w:rPr>
          <w:rFonts w:ascii="Arial" w:hAnsi="Arial" w:cs="Arial"/>
          <w:color w:val="000000" w:themeColor="text1"/>
          <w:sz w:val="19"/>
          <w:szCs w:val="19"/>
        </w:rPr>
        <w:t xml:space="preserve">»La información registrada por las Entidades en el SECOP II y en la Tienda Virtual del Estado Colombiano, está disponible en tiempo real en razón a que las actuaciones del Proceso de Contratación tienen lugar electrónicamente a través de dichas plataformas transaccionales. </w:t>
      </w:r>
    </w:p>
    <w:p w14:paraId="034079CA" w14:textId="77777777" w:rsidR="00840218" w:rsidRPr="00C37908" w:rsidRDefault="00840218" w:rsidP="0047037E">
      <w:pPr>
        <w:pStyle w:val="Textonotapie"/>
        <w:spacing w:after="0" w:line="240" w:lineRule="auto"/>
        <w:ind w:firstLine="709"/>
        <w:jc w:val="both"/>
        <w:rPr>
          <w:rFonts w:ascii="Arial" w:hAnsi="Arial" w:cs="Arial"/>
          <w:color w:val="000000" w:themeColor="text1"/>
          <w:sz w:val="19"/>
          <w:szCs w:val="19"/>
        </w:rPr>
      </w:pPr>
      <w:r w:rsidRPr="00A03891">
        <w:rPr>
          <w:rFonts w:ascii="Arial" w:hAnsi="Arial" w:cs="Arial"/>
          <w:color w:val="000000" w:themeColor="text1"/>
          <w:sz w:val="19"/>
          <w:szCs w:val="19"/>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footnote>
  <w:footnote w:id="17">
    <w:p w14:paraId="5B8CEFBB" w14:textId="77777777" w:rsidR="00840218" w:rsidRPr="00840218" w:rsidRDefault="00840218" w:rsidP="0047037E">
      <w:pPr>
        <w:pStyle w:val="Textonotapie"/>
        <w:spacing w:after="0" w:line="240" w:lineRule="auto"/>
        <w:ind w:firstLine="708"/>
        <w:jc w:val="both"/>
        <w:rPr>
          <w:rFonts w:ascii="Arial" w:hAnsi="Arial" w:cs="Arial"/>
          <w:color w:val="000000" w:themeColor="text1"/>
          <w:sz w:val="19"/>
          <w:szCs w:val="19"/>
        </w:rPr>
      </w:pPr>
      <w:r w:rsidRPr="00C37908">
        <w:rPr>
          <w:rStyle w:val="Refdenotaalpie"/>
          <w:rFonts w:ascii="Arial" w:hAnsi="Arial" w:cs="Arial"/>
          <w:color w:val="000000" w:themeColor="text1"/>
          <w:sz w:val="19"/>
          <w:szCs w:val="19"/>
        </w:rPr>
        <w:footnoteRef/>
      </w:r>
      <w:r w:rsidRPr="00C37908">
        <w:rPr>
          <w:rFonts w:ascii="Arial" w:hAnsi="Arial" w:cs="Arial"/>
          <w:color w:val="000000" w:themeColor="text1"/>
          <w:sz w:val="19"/>
          <w:szCs w:val="19"/>
        </w:rPr>
        <w:t xml:space="preserve"> </w:t>
      </w:r>
      <w:r w:rsidRPr="00840218">
        <w:rPr>
          <w:rFonts w:ascii="Arial" w:hAnsi="Arial" w:cs="Arial"/>
          <w:color w:val="000000" w:themeColor="text1"/>
          <w:sz w:val="19"/>
          <w:szCs w:val="19"/>
        </w:rPr>
        <w:t>Corte Constitucional. Sentencia C- 083 del 1 de marzo de 1995. M.P. Carlos Gaviria Díaz</w:t>
      </w:r>
    </w:p>
    <w:p w14:paraId="48D5BF5D"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p>
  </w:footnote>
  <w:footnote w:id="18">
    <w:p w14:paraId="4B1B28E1" w14:textId="77777777" w:rsidR="00840218" w:rsidRPr="00A03891" w:rsidRDefault="00840218" w:rsidP="0047037E">
      <w:pPr>
        <w:pStyle w:val="Textonotapie"/>
        <w:spacing w:after="0" w:line="240" w:lineRule="auto"/>
        <w:ind w:firstLine="708"/>
        <w:jc w:val="both"/>
        <w:rPr>
          <w:rFonts w:ascii="Arial" w:hAnsi="Arial" w:cs="Arial"/>
          <w:color w:val="000000" w:themeColor="text1"/>
          <w:sz w:val="19"/>
          <w:szCs w:val="19"/>
        </w:rPr>
      </w:pPr>
      <w:r w:rsidRPr="00C37908">
        <w:rPr>
          <w:rStyle w:val="Refdenotaalpie"/>
          <w:rFonts w:ascii="Arial" w:hAnsi="Arial" w:cs="Arial"/>
          <w:color w:val="000000" w:themeColor="text1"/>
          <w:sz w:val="19"/>
          <w:szCs w:val="19"/>
        </w:rPr>
        <w:footnoteRef/>
      </w:r>
      <w:r w:rsidRPr="00C37908">
        <w:rPr>
          <w:rFonts w:ascii="Arial" w:hAnsi="Arial" w:cs="Arial"/>
          <w:color w:val="000000" w:themeColor="text1"/>
          <w:sz w:val="19"/>
          <w:szCs w:val="19"/>
        </w:rPr>
        <w:t xml:space="preserve"> </w:t>
      </w:r>
      <w:r w:rsidRPr="00840218">
        <w:rPr>
          <w:rFonts w:ascii="Arial" w:hAnsi="Arial" w:cs="Arial"/>
          <w:color w:val="000000" w:themeColor="text1"/>
          <w:sz w:val="19"/>
          <w:szCs w:val="19"/>
        </w:rPr>
        <w:t xml:space="preserve">Decreto 1082 de 2015 «Artículo 2.2.1.1.1.7.1. Publicidad en el SECOP. La Entidad Estatal está obligada a publicar en </w:t>
      </w:r>
      <w:r w:rsidRPr="00A03891">
        <w:rPr>
          <w:rFonts w:ascii="Arial" w:hAnsi="Arial" w:cs="Arial"/>
          <w:color w:val="000000" w:themeColor="text1"/>
          <w:sz w:val="19"/>
          <w:szCs w:val="19"/>
        </w:rPr>
        <w:t>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6BFC0E43" w14:textId="1AE4469B" w:rsidR="00840218" w:rsidRDefault="00840218" w:rsidP="0047037E">
      <w:pPr>
        <w:pStyle w:val="Textonotapie"/>
        <w:spacing w:after="0" w:line="240" w:lineRule="auto"/>
        <w:ind w:firstLine="708"/>
        <w:jc w:val="both"/>
        <w:rPr>
          <w:rFonts w:ascii="Arial" w:hAnsi="Arial" w:cs="Arial"/>
          <w:color w:val="000000" w:themeColor="text1"/>
          <w:sz w:val="19"/>
          <w:szCs w:val="19"/>
        </w:rPr>
      </w:pPr>
      <w:r w:rsidRPr="00A03891">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427573C3" w14:textId="77777777" w:rsidR="00995521" w:rsidRPr="00A03891" w:rsidRDefault="00995521" w:rsidP="0047037E">
      <w:pPr>
        <w:pStyle w:val="Textonotapie"/>
        <w:spacing w:after="0" w:line="240" w:lineRule="auto"/>
        <w:ind w:firstLine="708"/>
        <w:jc w:val="both"/>
        <w:rPr>
          <w:rFonts w:ascii="Arial" w:hAnsi="Arial" w:cs="Arial"/>
          <w:color w:val="000000" w:themeColor="text1"/>
          <w:sz w:val="19"/>
          <w:szCs w:val="19"/>
        </w:rPr>
      </w:pPr>
    </w:p>
  </w:footnote>
  <w:footnote w:id="19">
    <w:p w14:paraId="7BB8333B" w14:textId="77777777" w:rsidR="005F004A" w:rsidRPr="006C1557" w:rsidRDefault="005F004A" w:rsidP="0047037E">
      <w:pPr>
        <w:pStyle w:val="Textonotapie"/>
        <w:spacing w:after="0" w:line="240" w:lineRule="auto"/>
        <w:ind w:firstLine="708"/>
        <w:jc w:val="both"/>
        <w:rPr>
          <w:rFonts w:ascii="Arial" w:hAnsi="Arial" w:cs="Arial"/>
          <w:color w:val="000000" w:themeColor="text1"/>
          <w:sz w:val="19"/>
          <w:szCs w:val="19"/>
        </w:rPr>
      </w:pPr>
      <w:r w:rsidRPr="006C1557">
        <w:rPr>
          <w:rStyle w:val="Refdenotaalpie"/>
          <w:rFonts w:ascii="Arial" w:hAnsi="Arial" w:cs="Arial"/>
          <w:color w:val="000000" w:themeColor="text1"/>
          <w:sz w:val="19"/>
          <w:szCs w:val="19"/>
        </w:rPr>
        <w:footnoteRef/>
      </w:r>
      <w:r w:rsidRPr="006C1557">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w:t>
      </w:r>
    </w:p>
    <w:p w14:paraId="64924B4D" w14:textId="77777777" w:rsidR="005F004A" w:rsidRPr="006C1557" w:rsidRDefault="005F004A" w:rsidP="0047037E">
      <w:pPr>
        <w:pStyle w:val="Textonotapie"/>
        <w:spacing w:after="0" w:line="240" w:lineRule="auto"/>
        <w:ind w:firstLine="708"/>
        <w:jc w:val="both"/>
        <w:rPr>
          <w:rFonts w:ascii="Arial" w:hAnsi="Arial" w:cs="Arial"/>
          <w:color w:val="000000" w:themeColor="text1"/>
          <w:sz w:val="19"/>
          <w:szCs w:val="19"/>
        </w:rPr>
      </w:pPr>
      <w:r w:rsidRPr="006C1557">
        <w:rPr>
          <w:rFonts w:ascii="Arial" w:hAnsi="Arial" w:cs="Arial"/>
          <w:color w:val="000000" w:themeColor="text1"/>
          <w:sz w:val="19"/>
          <w:szCs w:val="19"/>
        </w:rPr>
        <w:t>»[...]</w:t>
      </w:r>
    </w:p>
    <w:p w14:paraId="5B5FC654" w14:textId="77777777" w:rsidR="005F004A" w:rsidRPr="006C1557" w:rsidRDefault="005F004A" w:rsidP="0047037E">
      <w:pPr>
        <w:pStyle w:val="Textonotapie"/>
        <w:spacing w:after="0" w:line="240" w:lineRule="auto"/>
        <w:ind w:firstLine="708"/>
        <w:jc w:val="both"/>
        <w:rPr>
          <w:rFonts w:ascii="Arial" w:hAnsi="Arial" w:cs="Arial"/>
          <w:color w:val="000000" w:themeColor="text1"/>
          <w:sz w:val="19"/>
          <w:szCs w:val="19"/>
        </w:rPr>
      </w:pPr>
      <w:r w:rsidRPr="006C1557">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044859F0" w14:textId="77777777" w:rsidR="005F004A" w:rsidRPr="006C1557" w:rsidRDefault="005F004A" w:rsidP="0047037E">
      <w:pPr>
        <w:pStyle w:val="Textonotapie"/>
        <w:spacing w:after="0" w:line="240" w:lineRule="auto"/>
        <w:ind w:firstLine="708"/>
        <w:jc w:val="both"/>
        <w:rPr>
          <w:rFonts w:ascii="Arial" w:hAnsi="Arial" w:cs="Arial"/>
          <w:color w:val="000000" w:themeColor="text1"/>
          <w:sz w:val="19"/>
          <w:szCs w:val="19"/>
        </w:rPr>
      </w:pPr>
      <w:r w:rsidRPr="006C1557">
        <w:rPr>
          <w:rFonts w:ascii="Arial" w:hAnsi="Arial" w:cs="Arial"/>
          <w:color w:val="000000" w:themeColor="text1"/>
          <w:sz w:val="19"/>
          <w:szCs w:val="19"/>
        </w:rPr>
        <w:t>»[...]».</w:t>
      </w:r>
    </w:p>
  </w:footnote>
  <w:footnote w:id="20">
    <w:p w14:paraId="08EFCBF0" w14:textId="7FE8F9D4" w:rsidR="00840218" w:rsidRDefault="00840218" w:rsidP="0047037E">
      <w:pPr>
        <w:pStyle w:val="Textonotapie"/>
        <w:spacing w:after="0" w:line="240" w:lineRule="auto"/>
        <w:ind w:firstLine="851"/>
        <w:jc w:val="both"/>
        <w:rPr>
          <w:rFonts w:ascii="Arial" w:hAnsi="Arial" w:cs="Arial"/>
          <w:sz w:val="19"/>
          <w:szCs w:val="19"/>
          <w:lang w:val="es-CO"/>
        </w:rPr>
      </w:pPr>
      <w:r w:rsidRPr="00C37908">
        <w:rPr>
          <w:rStyle w:val="Refdenotaalpie"/>
          <w:rFonts w:ascii="Arial" w:hAnsi="Arial" w:cs="Arial"/>
          <w:sz w:val="19"/>
          <w:szCs w:val="19"/>
        </w:rPr>
        <w:footnoteRef/>
      </w:r>
      <w:r w:rsidRPr="00C37908">
        <w:rPr>
          <w:rFonts w:ascii="Arial" w:hAnsi="Arial" w:cs="Arial"/>
          <w:sz w:val="19"/>
          <w:szCs w:val="19"/>
          <w:lang w:val="es-CO"/>
        </w:rPr>
        <w:t xml:space="preserve"> </w:t>
      </w:r>
      <w:r w:rsidRPr="00840218">
        <w:rPr>
          <w:rFonts w:ascii="Arial" w:hAnsi="Arial" w:cs="Arial"/>
          <w:sz w:val="19"/>
          <w:szCs w:val="19"/>
          <w:lang w:val="es-CO"/>
        </w:rPr>
        <w:t>FIGUEROA U</w:t>
      </w:r>
      <w:r w:rsidRPr="00A03891">
        <w:rPr>
          <w:rFonts w:ascii="Arial" w:hAnsi="Arial" w:cs="Arial"/>
          <w:sz w:val="19"/>
          <w:szCs w:val="19"/>
          <w:lang w:val="es-CO"/>
        </w:rPr>
        <w:t>. Organismos internacionales. 2ª edición. Santiago de Chile: Editorial RIL editores, 2010.</w:t>
      </w:r>
    </w:p>
    <w:p w14:paraId="27C52E88" w14:textId="77777777" w:rsidR="009711D3" w:rsidRPr="00A03891" w:rsidRDefault="009711D3" w:rsidP="0047037E">
      <w:pPr>
        <w:pStyle w:val="Textonotapie"/>
        <w:spacing w:after="0" w:line="240" w:lineRule="auto"/>
        <w:ind w:firstLine="851"/>
        <w:jc w:val="both"/>
        <w:rPr>
          <w:rFonts w:ascii="Arial" w:hAnsi="Arial" w:cs="Arial"/>
          <w:sz w:val="19"/>
          <w:szCs w:val="19"/>
          <w:lang w:val="es-CO"/>
        </w:rPr>
      </w:pPr>
    </w:p>
  </w:footnote>
  <w:footnote w:id="21">
    <w:p w14:paraId="4A5ADB5C" w14:textId="06EE052A" w:rsidR="00840218" w:rsidRPr="00A03891" w:rsidRDefault="00840218" w:rsidP="0047037E">
      <w:pPr>
        <w:pStyle w:val="NormalWeb"/>
        <w:spacing w:before="0" w:beforeAutospacing="0" w:after="0" w:afterAutospacing="0" w:line="240" w:lineRule="auto"/>
        <w:ind w:firstLine="709"/>
        <w:jc w:val="both"/>
        <w:rPr>
          <w:rFonts w:ascii="Arial" w:hAnsi="Arial" w:cs="Arial"/>
          <w:sz w:val="19"/>
          <w:szCs w:val="19"/>
          <w:lang w:val="es-CO"/>
        </w:rPr>
      </w:pPr>
      <w:r w:rsidRPr="00C37908">
        <w:rPr>
          <w:rStyle w:val="Refdenotaalpie"/>
          <w:rFonts w:ascii="Arial" w:hAnsi="Arial" w:cs="Arial"/>
          <w:sz w:val="19"/>
          <w:szCs w:val="19"/>
        </w:rPr>
        <w:footnoteRef/>
      </w:r>
      <w:r w:rsidRPr="00C37908">
        <w:rPr>
          <w:rFonts w:ascii="Arial" w:hAnsi="Arial" w:cs="Arial"/>
          <w:sz w:val="19"/>
          <w:szCs w:val="19"/>
        </w:rPr>
        <w:t xml:space="preserve"> </w:t>
      </w:r>
      <w:r w:rsidRPr="00840218">
        <w:rPr>
          <w:rFonts w:ascii="Arial" w:hAnsi="Arial" w:cs="Arial"/>
          <w:sz w:val="19"/>
          <w:szCs w:val="19"/>
        </w:rPr>
        <w:t xml:space="preserve">Ley 80 de 1993: </w:t>
      </w:r>
      <w:r w:rsidRPr="00840218">
        <w:rPr>
          <w:rFonts w:ascii="Arial" w:hAnsi="Arial" w:cs="Arial"/>
          <w:color w:val="000000" w:themeColor="text1"/>
          <w:sz w:val="19"/>
          <w:szCs w:val="19"/>
        </w:rPr>
        <w:t>«</w:t>
      </w:r>
      <w:r w:rsidRPr="00A03891">
        <w:rPr>
          <w:rFonts w:ascii="Arial" w:hAnsi="Arial" w:cs="Arial"/>
          <w:sz w:val="19"/>
          <w:szCs w:val="19"/>
        </w:rPr>
        <w:t>Artículo 13. De la normatividad aplicable a los contratos estatales. Los contratos que celebren las entidades a que se refiere el artículo </w:t>
      </w:r>
      <w:hyperlink r:id="rId1" w:anchor="2" w:history="1">
        <w:r w:rsidRPr="00C37908">
          <w:rPr>
            <w:rStyle w:val="Hipervnculo"/>
            <w:rFonts w:ascii="Arial" w:hAnsi="Arial" w:cs="Arial"/>
            <w:color w:val="auto"/>
            <w:sz w:val="19"/>
            <w:szCs w:val="19"/>
            <w:u w:val="none"/>
          </w:rPr>
          <w:t>2</w:t>
        </w:r>
      </w:hyperlink>
      <w:r w:rsidRPr="00840218">
        <w:rPr>
          <w:rFonts w:ascii="Arial" w:hAnsi="Arial" w:cs="Arial"/>
          <w:sz w:val="19"/>
          <w:szCs w:val="19"/>
        </w:rPr>
        <w:t>o. del presente estatuto se regirán por las disposiciones comerciales y civiles pertinentes, salvo en las materias particularmente reguladas en esta ley.</w:t>
      </w:r>
    </w:p>
    <w:p w14:paraId="21AF8D6F" w14:textId="77777777" w:rsidR="00840218" w:rsidRPr="00A03891" w:rsidRDefault="00840218" w:rsidP="0047037E">
      <w:pPr>
        <w:pStyle w:val="NormalWeb"/>
        <w:spacing w:before="0" w:beforeAutospacing="0" w:after="0" w:afterAutospacing="0" w:line="240" w:lineRule="auto"/>
        <w:ind w:firstLine="709"/>
        <w:jc w:val="both"/>
        <w:rPr>
          <w:rFonts w:ascii="Arial" w:hAnsi="Arial" w:cs="Arial"/>
          <w:color w:val="000000" w:themeColor="text1"/>
          <w:sz w:val="19"/>
          <w:szCs w:val="19"/>
        </w:rPr>
      </w:pPr>
      <w:r w:rsidRPr="00A03891">
        <w:rPr>
          <w:rFonts w:ascii="Arial" w:hAnsi="Arial" w:cs="Arial"/>
          <w:color w:val="000000" w:themeColor="text1"/>
          <w:sz w:val="19"/>
          <w:szCs w:val="19"/>
        </w:rPr>
        <w:t>»</w:t>
      </w:r>
      <w:r w:rsidRPr="00A03891">
        <w:rPr>
          <w:rFonts w:ascii="Arial" w:hAnsi="Arial" w:cs="Arial"/>
          <w:sz w:val="19"/>
          <w:szCs w:val="19"/>
        </w:rPr>
        <w:t>Los contratos celebrados en el exterior se podrán regir en su ejecución por las reglas del país en donde se hayan suscrito, a menos que deban cumplirse en Colombia</w:t>
      </w:r>
      <w:r w:rsidRPr="00A03891">
        <w:rPr>
          <w:rFonts w:ascii="Arial" w:hAnsi="Arial" w:cs="Arial"/>
          <w:color w:val="000000" w:themeColor="text1"/>
          <w:sz w:val="19"/>
          <w:szCs w:val="19"/>
        </w:rPr>
        <w:t>»</w:t>
      </w:r>
    </w:p>
    <w:p w14:paraId="1A9E4140" w14:textId="4834C8A9" w:rsidR="00840218" w:rsidRPr="00840218" w:rsidRDefault="00840218" w:rsidP="0047037E">
      <w:pPr>
        <w:pStyle w:val="NormalWeb"/>
        <w:spacing w:before="0" w:beforeAutospacing="0" w:after="0" w:afterAutospacing="0" w:line="240" w:lineRule="auto"/>
        <w:ind w:firstLine="709"/>
        <w:jc w:val="both"/>
        <w:rPr>
          <w:rFonts w:ascii="Arial" w:hAnsi="Arial" w:cs="Arial"/>
          <w:sz w:val="19"/>
          <w:szCs w:val="19"/>
        </w:rPr>
      </w:pPr>
      <w:r w:rsidRPr="00A03891">
        <w:rPr>
          <w:rFonts w:ascii="Arial" w:hAnsi="Arial" w:cs="Arial"/>
          <w:color w:val="000000" w:themeColor="text1"/>
          <w:sz w:val="19"/>
          <w:szCs w:val="19"/>
        </w:rPr>
        <w:t>»</w:t>
      </w:r>
      <w:r w:rsidRPr="00C37908">
        <w:rPr>
          <w:rFonts w:ascii="Arial" w:hAnsi="Arial" w:cs="Arial"/>
          <w:color w:val="000000"/>
          <w:sz w:val="19"/>
          <w:szCs w:val="19"/>
        </w:rPr>
        <w:t>Los contratos que se celebren en Colombia y deban ejecutarse o cumplirse en el extranjero, podrán someterse a la ley extranjera»</w:t>
      </w:r>
      <w:r w:rsidRPr="00840218">
        <w:rPr>
          <w:rFonts w:ascii="Arial" w:hAnsi="Arial" w:cs="Arial"/>
          <w:sz w:val="19"/>
          <w:szCs w:val="19"/>
        </w:rPr>
        <w:t>.</w:t>
      </w:r>
    </w:p>
    <w:p w14:paraId="4B36281F" w14:textId="4439EC26" w:rsidR="00840218" w:rsidRPr="00C37908" w:rsidRDefault="00840218" w:rsidP="0047037E">
      <w:pPr>
        <w:pStyle w:val="Textonotapie"/>
        <w:spacing w:after="0" w:line="240" w:lineRule="auto"/>
        <w:jc w:val="both"/>
        <w:rPr>
          <w:rFonts w:ascii="Arial" w:hAnsi="Arial" w:cs="Arial"/>
          <w:sz w:val="19"/>
          <w:szCs w:val="19"/>
        </w:rPr>
      </w:pPr>
    </w:p>
  </w:footnote>
  <w:footnote w:id="22">
    <w:p w14:paraId="15FCF257" w14:textId="0084FAAE" w:rsidR="00840218" w:rsidRPr="00A03891" w:rsidRDefault="00840218" w:rsidP="0047037E">
      <w:pPr>
        <w:pStyle w:val="Textonotapie"/>
        <w:spacing w:after="0" w:line="240" w:lineRule="auto"/>
        <w:ind w:firstLine="708"/>
        <w:jc w:val="both"/>
        <w:rPr>
          <w:rFonts w:ascii="Arial" w:hAnsi="Arial" w:cs="Arial"/>
          <w:sz w:val="19"/>
          <w:szCs w:val="19"/>
          <w:lang w:val="es-ES_tradnl"/>
        </w:rPr>
      </w:pPr>
      <w:r w:rsidRPr="00C37908">
        <w:rPr>
          <w:rStyle w:val="Refdenotaalpie"/>
          <w:rFonts w:ascii="Arial" w:hAnsi="Arial" w:cs="Arial"/>
          <w:sz w:val="19"/>
          <w:szCs w:val="19"/>
        </w:rPr>
        <w:footnoteRef/>
      </w:r>
      <w:r w:rsidRPr="00C37908">
        <w:rPr>
          <w:rFonts w:ascii="Arial" w:hAnsi="Arial" w:cs="Arial"/>
          <w:sz w:val="19"/>
          <w:szCs w:val="19"/>
        </w:rPr>
        <w:t xml:space="preserve"> </w:t>
      </w:r>
      <w:r w:rsidRPr="00840218">
        <w:rPr>
          <w:rFonts w:ascii="Arial" w:hAnsi="Arial" w:cs="Arial"/>
          <w:sz w:val="19"/>
          <w:szCs w:val="19"/>
        </w:rPr>
        <w:t>Consejo de Estado.</w:t>
      </w:r>
      <w:r w:rsidRPr="00A03891">
        <w:rPr>
          <w:rFonts w:ascii="Arial" w:hAnsi="Arial" w:cs="Arial"/>
          <w:sz w:val="19"/>
          <w:szCs w:val="19"/>
        </w:rPr>
        <w:t xml:space="preserve"> Sección Tercera, Subsección C. Sentencia del 26 de noviembre de 2015. </w:t>
      </w:r>
      <w:r w:rsidRPr="00A03891">
        <w:rPr>
          <w:rFonts w:ascii="Arial" w:hAnsi="Arial" w:cs="Arial"/>
          <w:sz w:val="19"/>
          <w:szCs w:val="19"/>
          <w:lang w:val="es-ES_tradnl"/>
        </w:rPr>
        <w:t xml:space="preserve">Exp. </w:t>
      </w:r>
      <w:r w:rsidRPr="00A03891">
        <w:rPr>
          <w:rFonts w:ascii="Arial" w:hAnsi="Arial" w:cs="Arial"/>
          <w:sz w:val="19"/>
          <w:szCs w:val="19"/>
          <w:lang w:val="es-CO"/>
        </w:rPr>
        <w:t xml:space="preserve">54.069. C.P Jaime Orlando Santofimio Gamboa. </w:t>
      </w:r>
    </w:p>
    <w:p w14:paraId="6F502EC3" w14:textId="23E9BFE2" w:rsidR="00840218" w:rsidRPr="00C37908" w:rsidRDefault="00840218" w:rsidP="0047037E">
      <w:pPr>
        <w:pStyle w:val="Textonotapie"/>
        <w:spacing w:after="0" w:line="240" w:lineRule="auto"/>
        <w:jc w:val="both"/>
        <w:rPr>
          <w:rFonts w:ascii="Arial" w:hAnsi="Arial" w:cs="Arial"/>
          <w:sz w:val="19"/>
          <w:szCs w:val="19"/>
        </w:rPr>
      </w:pPr>
    </w:p>
  </w:footnote>
  <w:footnote w:id="23">
    <w:p w14:paraId="6FC2A414" w14:textId="540A9220" w:rsidR="00840218" w:rsidRDefault="00840218" w:rsidP="0047037E">
      <w:pPr>
        <w:pStyle w:val="Textonotapie"/>
        <w:spacing w:after="0" w:line="240" w:lineRule="auto"/>
        <w:ind w:firstLine="709"/>
        <w:jc w:val="both"/>
        <w:rPr>
          <w:rFonts w:ascii="Arial" w:hAnsi="Arial" w:cs="Arial"/>
          <w:sz w:val="19"/>
          <w:szCs w:val="19"/>
          <w:lang w:eastAsia="es-CO"/>
        </w:rPr>
      </w:pPr>
      <w:r w:rsidRPr="00C37908">
        <w:rPr>
          <w:rStyle w:val="Refdenotaalpie"/>
          <w:rFonts w:ascii="Arial" w:hAnsi="Arial" w:cs="Arial"/>
          <w:sz w:val="19"/>
          <w:szCs w:val="19"/>
        </w:rPr>
        <w:footnoteRef/>
      </w:r>
      <w:r w:rsidRPr="00C37908">
        <w:rPr>
          <w:rFonts w:ascii="Arial" w:hAnsi="Arial" w:cs="Arial"/>
          <w:sz w:val="19"/>
          <w:szCs w:val="19"/>
        </w:rPr>
        <w:t xml:space="preserve"> </w:t>
      </w:r>
      <w:r w:rsidRPr="00C37908">
        <w:rPr>
          <w:rFonts w:ascii="Arial" w:hAnsi="Arial" w:cs="Arial"/>
          <w:sz w:val="19"/>
          <w:szCs w:val="19"/>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w:t>
      </w:r>
      <w:r>
        <w:rPr>
          <w:rFonts w:ascii="Arial" w:hAnsi="Arial" w:cs="Arial"/>
          <w:sz w:val="19"/>
          <w:szCs w:val="19"/>
          <w:lang w:eastAsia="es-CO"/>
        </w:rPr>
        <w:t>. (Derogado por el artículo 32 de la Ley 1150 de 2007).</w:t>
      </w:r>
    </w:p>
    <w:p w14:paraId="32E69C65" w14:textId="77777777" w:rsidR="00840218" w:rsidRPr="00C37908" w:rsidRDefault="00840218" w:rsidP="0047037E">
      <w:pPr>
        <w:pStyle w:val="Textonotapie"/>
        <w:spacing w:after="0" w:line="240" w:lineRule="auto"/>
        <w:ind w:firstLine="709"/>
        <w:jc w:val="both"/>
        <w:rPr>
          <w:rFonts w:ascii="Arial" w:hAnsi="Arial" w:cs="Arial"/>
          <w:sz w:val="19"/>
          <w:szCs w:val="19"/>
          <w:lang w:val="es-CO"/>
        </w:rPr>
      </w:pPr>
    </w:p>
  </w:footnote>
  <w:footnote w:id="24">
    <w:p w14:paraId="71E06279" w14:textId="1FED1C9B" w:rsidR="00840218" w:rsidRPr="00A03891" w:rsidRDefault="00840218" w:rsidP="0047037E">
      <w:pPr>
        <w:pStyle w:val="NormalWeb"/>
        <w:spacing w:before="0" w:beforeAutospacing="0" w:after="0" w:afterAutospacing="0" w:line="240" w:lineRule="auto"/>
        <w:ind w:firstLine="709"/>
        <w:jc w:val="both"/>
        <w:rPr>
          <w:rFonts w:ascii="Arial" w:hAnsi="Arial" w:cs="Arial"/>
          <w:sz w:val="19"/>
          <w:szCs w:val="19"/>
          <w:lang w:val="es-CO"/>
        </w:rPr>
      </w:pPr>
      <w:r w:rsidRPr="00C37908">
        <w:rPr>
          <w:rStyle w:val="Refdenotaalpie"/>
          <w:rFonts w:ascii="Arial" w:hAnsi="Arial" w:cs="Arial"/>
          <w:sz w:val="19"/>
          <w:szCs w:val="19"/>
        </w:rPr>
        <w:footnoteRef/>
      </w:r>
      <w:r w:rsidRPr="00C37908">
        <w:rPr>
          <w:rFonts w:ascii="Arial" w:hAnsi="Arial" w:cs="Arial"/>
          <w:sz w:val="19"/>
          <w:szCs w:val="19"/>
        </w:rPr>
        <w:t xml:space="preserve"> </w:t>
      </w:r>
      <w:r w:rsidRPr="00840218">
        <w:rPr>
          <w:rFonts w:ascii="Arial" w:hAnsi="Arial" w:cs="Arial"/>
          <w:sz w:val="19"/>
          <w:szCs w:val="19"/>
        </w:rPr>
        <w:t xml:space="preserve">Ley 1150 de 2007. </w:t>
      </w:r>
      <w:r w:rsidRPr="00840218">
        <w:rPr>
          <w:rFonts w:ascii="Arial" w:hAnsi="Arial" w:cs="Arial"/>
          <w:color w:val="000000" w:themeColor="text1"/>
          <w:sz w:val="19"/>
          <w:szCs w:val="19"/>
        </w:rPr>
        <w:t>«</w:t>
      </w:r>
      <w:r w:rsidRPr="00840218">
        <w:rPr>
          <w:rFonts w:ascii="Arial" w:hAnsi="Arial" w:cs="Arial"/>
          <w:sz w:val="19"/>
          <w:szCs w:val="19"/>
        </w:rPr>
        <w:t xml:space="preserve">Artículo 20: </w:t>
      </w:r>
      <w:r w:rsidRPr="00A03891">
        <w:rPr>
          <w:rFonts w:ascii="Arial" w:hAnsi="Arial" w:cs="Arial"/>
          <w:sz w:val="19"/>
          <w:szCs w:val="19"/>
        </w:rPr>
        <w:t>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w:t>
      </w:r>
      <w:hyperlink r:id="rId2" w:anchor="1" w:history="1">
        <w:r w:rsidRPr="00C37908">
          <w:rPr>
            <w:rStyle w:val="Hipervnculo"/>
            <w:rFonts w:ascii="Arial" w:hAnsi="Arial" w:cs="Arial"/>
            <w:color w:val="auto"/>
            <w:sz w:val="19"/>
            <w:szCs w:val="19"/>
            <w:u w:val="none"/>
          </w:rPr>
          <w:t>80</w:t>
        </w:r>
      </w:hyperlink>
      <w:r w:rsidRPr="00840218">
        <w:rPr>
          <w:rFonts w:ascii="Arial" w:hAnsi="Arial" w:cs="Arial"/>
          <w:sz w:val="19"/>
          <w:szCs w:val="19"/>
        </w:rPr>
        <w:t> de 1993. Los recursos de contrapartida vinculados a estas operaciones podrán tener el mismo tratamiento.</w:t>
      </w:r>
    </w:p>
    <w:p w14:paraId="482EA648" w14:textId="6A2EBA7A" w:rsidR="00840218" w:rsidRPr="00A03891" w:rsidRDefault="00840218" w:rsidP="0047037E">
      <w:pPr>
        <w:pStyle w:val="NormalWeb"/>
        <w:spacing w:before="0" w:beforeAutospacing="0" w:after="0" w:afterAutospacing="0" w:line="240" w:lineRule="auto"/>
        <w:ind w:firstLine="709"/>
        <w:jc w:val="both"/>
        <w:rPr>
          <w:rFonts w:ascii="Arial" w:hAnsi="Arial" w:cs="Arial"/>
          <w:sz w:val="19"/>
          <w:szCs w:val="19"/>
        </w:rPr>
      </w:pPr>
      <w:r w:rsidRPr="00A03891">
        <w:rPr>
          <w:rFonts w:ascii="Arial" w:hAnsi="Arial" w:cs="Arial"/>
          <w:color w:val="000000" w:themeColor="text1"/>
          <w:sz w:val="19"/>
          <w:szCs w:val="19"/>
        </w:rPr>
        <w:t>»</w:t>
      </w:r>
      <w:r w:rsidRPr="00A03891">
        <w:rPr>
          <w:rFonts w:ascii="Arial" w:hAnsi="Arial" w:cs="Arial"/>
          <w:sz w:val="19"/>
          <w:szCs w:val="19"/>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40ADFF55" w14:textId="089188A8" w:rsidR="00840218" w:rsidRPr="00A03891" w:rsidRDefault="00840218" w:rsidP="0047037E">
      <w:pPr>
        <w:pStyle w:val="NormalWeb"/>
        <w:spacing w:before="0" w:beforeAutospacing="0" w:after="0" w:afterAutospacing="0" w:line="240" w:lineRule="auto"/>
        <w:ind w:firstLine="709"/>
        <w:jc w:val="both"/>
        <w:rPr>
          <w:rFonts w:ascii="Arial" w:hAnsi="Arial" w:cs="Arial"/>
          <w:sz w:val="19"/>
          <w:szCs w:val="19"/>
        </w:rPr>
      </w:pPr>
      <w:r w:rsidRPr="00A03891">
        <w:rPr>
          <w:rFonts w:ascii="Arial" w:hAnsi="Arial" w:cs="Arial"/>
          <w:color w:val="000000" w:themeColor="text1"/>
          <w:sz w:val="19"/>
          <w:szCs w:val="19"/>
        </w:rPr>
        <w:t>»</w:t>
      </w:r>
      <w:r w:rsidRPr="00A03891">
        <w:rPr>
          <w:rFonts w:ascii="Arial" w:hAnsi="Arial" w:cs="Arial"/>
          <w:sz w:val="19"/>
          <w:szCs w:val="19"/>
        </w:rPr>
        <w:t>Las entidades estatales no podrán celebrar contratos o convenios para la administración o gerencia de sus recursos propios o de aquellos que les asignen los presupuestos públicos, con organismos de cooperación, asistencia o ayuda internacional.</w:t>
      </w:r>
    </w:p>
    <w:p w14:paraId="6E293E49" w14:textId="52344549" w:rsidR="00840218" w:rsidRPr="00A03891" w:rsidRDefault="00840218" w:rsidP="0047037E">
      <w:pPr>
        <w:pStyle w:val="NormalWeb"/>
        <w:spacing w:before="0" w:beforeAutospacing="0" w:after="0" w:afterAutospacing="0" w:line="240" w:lineRule="auto"/>
        <w:ind w:firstLine="709"/>
        <w:jc w:val="both"/>
        <w:rPr>
          <w:rFonts w:ascii="Arial" w:hAnsi="Arial" w:cs="Arial"/>
          <w:sz w:val="19"/>
          <w:szCs w:val="19"/>
        </w:rPr>
      </w:pPr>
      <w:r w:rsidRPr="00A03891">
        <w:rPr>
          <w:rFonts w:ascii="Arial" w:hAnsi="Arial" w:cs="Arial"/>
          <w:color w:val="000000" w:themeColor="text1"/>
          <w:sz w:val="19"/>
          <w:szCs w:val="19"/>
        </w:rPr>
        <w:t>»</w:t>
      </w:r>
      <w:r w:rsidRPr="00C37908">
        <w:rPr>
          <w:rStyle w:val="baj"/>
          <w:rFonts w:ascii="Arial" w:hAnsi="Arial" w:cs="Arial"/>
          <w:sz w:val="19"/>
          <w:szCs w:val="19"/>
        </w:rPr>
        <w:t>PARÁGRAFO 1o.</w:t>
      </w:r>
      <w:r w:rsidRPr="00840218">
        <w:rPr>
          <w:rFonts w:ascii="Arial" w:hAnsi="Arial" w:cs="Arial"/>
          <w:sz w:val="19"/>
          <w:szCs w:val="19"/>
        </w:rPr>
        <w:t> Los contratos o acuerdos celebrados con personas extranjeras de derecho público, podrán somet</w:t>
      </w:r>
      <w:r w:rsidRPr="00A03891">
        <w:rPr>
          <w:rFonts w:ascii="Arial" w:hAnsi="Arial" w:cs="Arial"/>
          <w:sz w:val="19"/>
          <w:szCs w:val="19"/>
        </w:rPr>
        <w:t>erse a las reglas de tales organismos.</w:t>
      </w:r>
    </w:p>
    <w:p w14:paraId="3F4771A1" w14:textId="3A52E5F6" w:rsidR="00840218" w:rsidRPr="00A03891" w:rsidRDefault="00840218" w:rsidP="0047037E">
      <w:pPr>
        <w:pStyle w:val="NormalWeb"/>
        <w:spacing w:before="0" w:beforeAutospacing="0" w:after="0" w:afterAutospacing="0" w:line="240" w:lineRule="auto"/>
        <w:ind w:firstLine="709"/>
        <w:jc w:val="both"/>
        <w:rPr>
          <w:rFonts w:ascii="Arial" w:hAnsi="Arial" w:cs="Arial"/>
          <w:sz w:val="19"/>
          <w:szCs w:val="19"/>
        </w:rPr>
      </w:pPr>
      <w:r w:rsidRPr="00A03891">
        <w:rPr>
          <w:rFonts w:ascii="Arial" w:hAnsi="Arial" w:cs="Arial"/>
          <w:color w:val="000000" w:themeColor="text1"/>
          <w:sz w:val="19"/>
          <w:szCs w:val="19"/>
        </w:rPr>
        <w:t>»</w:t>
      </w:r>
      <w:r w:rsidRPr="00C37908">
        <w:rPr>
          <w:rStyle w:val="baj"/>
          <w:rFonts w:ascii="Arial" w:hAnsi="Arial" w:cs="Arial"/>
          <w:sz w:val="19"/>
          <w:szCs w:val="19"/>
        </w:rPr>
        <w:t>PARÁGRAFO 2o.</w:t>
      </w:r>
      <w:r w:rsidRPr="00840218">
        <w:rPr>
          <w:rFonts w:ascii="Arial" w:hAnsi="Arial" w:cs="Arial"/>
          <w:sz w:val="19"/>
          <w:szCs w:val="19"/>
        </w:rPr>
        <w:t> Las entidades estatales tendrán la obligación de reportar la información a los organismos de control y al Secop relativa a la ejecución de los contratos a los que se refiere el presente artículo.</w:t>
      </w:r>
    </w:p>
    <w:p w14:paraId="32DEF1C0" w14:textId="194CE7D6" w:rsidR="00840218" w:rsidRPr="00A03891" w:rsidRDefault="00840218" w:rsidP="0047037E">
      <w:pPr>
        <w:pStyle w:val="NormalWeb"/>
        <w:spacing w:before="0" w:beforeAutospacing="0" w:after="0" w:afterAutospacing="0" w:line="240" w:lineRule="auto"/>
        <w:ind w:firstLine="709"/>
        <w:jc w:val="both"/>
        <w:rPr>
          <w:rFonts w:ascii="Arial" w:hAnsi="Arial" w:cs="Arial"/>
          <w:sz w:val="19"/>
          <w:szCs w:val="19"/>
        </w:rPr>
      </w:pPr>
      <w:r w:rsidRPr="00A03891">
        <w:rPr>
          <w:rFonts w:ascii="Arial" w:hAnsi="Arial" w:cs="Arial"/>
          <w:color w:val="000000" w:themeColor="text1"/>
          <w:sz w:val="19"/>
          <w:szCs w:val="19"/>
        </w:rPr>
        <w:t>»</w:t>
      </w:r>
      <w:r w:rsidRPr="00C37908">
        <w:rPr>
          <w:rStyle w:val="baj"/>
          <w:rFonts w:ascii="Arial" w:hAnsi="Arial" w:cs="Arial"/>
          <w:sz w:val="19"/>
          <w:szCs w:val="19"/>
        </w:rPr>
        <w:t>PARÁGRAFO 3o.</w:t>
      </w:r>
      <w:r w:rsidRPr="00840218">
        <w:rPr>
          <w:rFonts w:ascii="Arial" w:hAnsi="Arial" w:cs="Arial"/>
          <w:sz w:val="19"/>
          <w:szCs w:val="19"/>
        </w:rPr>
        <w:t> En todo Proyecto de cooperación que involucre recursos estatales se deberán cuantificar en moneda nacional, los aportes en especie de la entidad, organización o persona cooperante, así como los del ente nacional colombiano. Las contralorías ejer</w:t>
      </w:r>
      <w:r w:rsidRPr="00A03891">
        <w:rPr>
          <w:rFonts w:ascii="Arial" w:hAnsi="Arial" w:cs="Arial"/>
          <w:sz w:val="19"/>
          <w:szCs w:val="19"/>
        </w:rPr>
        <w:t>cerán el control fiscal sobre los proyectos y contratos celebrados con organismos multilaterales</w:t>
      </w:r>
      <w:r w:rsidRPr="00A03891">
        <w:rPr>
          <w:rFonts w:ascii="Arial" w:hAnsi="Arial" w:cs="Arial"/>
          <w:color w:val="000000" w:themeColor="text1"/>
          <w:sz w:val="19"/>
          <w:szCs w:val="19"/>
        </w:rPr>
        <w:t>»</w:t>
      </w:r>
      <w:r w:rsidRPr="00A03891">
        <w:rPr>
          <w:rFonts w:ascii="Arial" w:hAnsi="Arial" w:cs="Arial"/>
          <w:sz w:val="19"/>
          <w:szCs w:val="19"/>
        </w:rPr>
        <w:t>.</w:t>
      </w:r>
    </w:p>
    <w:p w14:paraId="6B1548DF" w14:textId="2DED186F" w:rsidR="00840218" w:rsidRPr="00C37908" w:rsidRDefault="00840218" w:rsidP="0047037E">
      <w:pPr>
        <w:pStyle w:val="Textonotapie"/>
        <w:spacing w:after="0" w:line="240" w:lineRule="auto"/>
        <w:jc w:val="both"/>
        <w:rPr>
          <w:rFonts w:ascii="Arial" w:hAnsi="Arial" w:cs="Arial"/>
          <w:sz w:val="19"/>
          <w:szCs w:val="19"/>
        </w:rPr>
      </w:pPr>
    </w:p>
  </w:footnote>
  <w:footnote w:id="25">
    <w:p w14:paraId="609B747C" w14:textId="0796A556" w:rsidR="00840218" w:rsidRPr="00A03891" w:rsidRDefault="00840218" w:rsidP="0047037E">
      <w:pPr>
        <w:pStyle w:val="NormalWeb"/>
        <w:shd w:val="clear" w:color="auto" w:fill="FFFFFF"/>
        <w:spacing w:before="0" w:beforeAutospacing="0" w:after="0" w:afterAutospacing="0" w:line="240" w:lineRule="auto"/>
        <w:ind w:firstLine="709"/>
        <w:jc w:val="both"/>
        <w:rPr>
          <w:rFonts w:ascii="Arial" w:hAnsi="Arial" w:cs="Arial"/>
          <w:sz w:val="19"/>
          <w:szCs w:val="19"/>
          <w:lang w:val="es-CO"/>
        </w:rPr>
      </w:pPr>
      <w:r w:rsidRPr="00C37908">
        <w:rPr>
          <w:rStyle w:val="Refdenotaalpie"/>
          <w:rFonts w:ascii="Arial" w:hAnsi="Arial" w:cs="Arial"/>
          <w:sz w:val="19"/>
          <w:szCs w:val="19"/>
        </w:rPr>
        <w:footnoteRef/>
      </w:r>
      <w:r w:rsidRPr="00C37908">
        <w:rPr>
          <w:rFonts w:ascii="Arial" w:hAnsi="Arial" w:cs="Arial"/>
          <w:sz w:val="19"/>
          <w:szCs w:val="19"/>
        </w:rPr>
        <w:t xml:space="preserve"> </w:t>
      </w:r>
      <w:r w:rsidRPr="00840218">
        <w:rPr>
          <w:rFonts w:ascii="Arial" w:hAnsi="Arial" w:cs="Arial"/>
          <w:sz w:val="19"/>
          <w:szCs w:val="19"/>
        </w:rPr>
        <w:t xml:space="preserve">Decreto 1082 de 2015. </w:t>
      </w:r>
      <w:r w:rsidRPr="00840218">
        <w:rPr>
          <w:rFonts w:ascii="Arial" w:hAnsi="Arial" w:cs="Arial"/>
          <w:color w:val="000000" w:themeColor="text1"/>
          <w:sz w:val="19"/>
          <w:szCs w:val="19"/>
        </w:rPr>
        <w:t>«</w:t>
      </w:r>
      <w:r w:rsidRPr="003F29E8">
        <w:rPr>
          <w:rFonts w:ascii="Arial" w:hAnsi="Arial" w:cs="Arial"/>
          <w:sz w:val="19"/>
          <w:szCs w:val="19"/>
        </w:rPr>
        <w:t xml:space="preserve">Artículo </w:t>
      </w:r>
      <w:r w:rsidRPr="00C37908">
        <w:rPr>
          <w:rStyle w:val="Textoennegrita"/>
          <w:rFonts w:ascii="Arial" w:hAnsi="Arial" w:cs="Arial"/>
          <w:b w:val="0"/>
          <w:bCs w:val="0"/>
          <w:sz w:val="19"/>
          <w:szCs w:val="19"/>
        </w:rPr>
        <w:t>2.2.1.2.4.4.1.</w:t>
      </w:r>
      <w:r w:rsidRPr="00A03891">
        <w:rPr>
          <w:rStyle w:val="Textoennegrita"/>
          <w:rFonts w:ascii="Arial" w:hAnsi="Arial" w:cs="Arial"/>
          <w:sz w:val="19"/>
          <w:szCs w:val="19"/>
        </w:rPr>
        <w:t> </w:t>
      </w:r>
      <w:r w:rsidRPr="00721486">
        <w:rPr>
          <w:rStyle w:val="nfasis"/>
          <w:rFonts w:ascii="Arial" w:hAnsi="Arial" w:cs="Arial"/>
          <w:i w:val="0"/>
          <w:iCs w:val="0"/>
          <w:sz w:val="19"/>
          <w:szCs w:val="19"/>
        </w:rPr>
        <w:t>Régimen aplicable a los contratos o convenios de cooperación Internacional</w:t>
      </w:r>
      <w:r w:rsidRPr="00A03891">
        <w:rPr>
          <w:rStyle w:val="nfasis"/>
          <w:rFonts w:ascii="Arial" w:hAnsi="Arial" w:cs="Arial"/>
          <w:sz w:val="19"/>
          <w:szCs w:val="19"/>
        </w:rPr>
        <w:t>. </w:t>
      </w:r>
      <w:r w:rsidRPr="00A03891">
        <w:rPr>
          <w:rFonts w:ascii="Arial" w:hAnsi="Arial" w:cs="Arial"/>
          <w:sz w:val="19"/>
          <w:szCs w:val="19"/>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46D0A7CA" w14:textId="7D829080" w:rsidR="00840218" w:rsidRPr="00A03891" w:rsidRDefault="00840218" w:rsidP="0047037E">
      <w:pPr>
        <w:pStyle w:val="NormalWeb"/>
        <w:shd w:val="clear" w:color="auto" w:fill="FFFFFF"/>
        <w:spacing w:before="0" w:beforeAutospacing="0" w:after="0" w:afterAutospacing="0" w:line="240" w:lineRule="auto"/>
        <w:ind w:firstLine="709"/>
        <w:jc w:val="both"/>
        <w:rPr>
          <w:rFonts w:ascii="Arial" w:hAnsi="Arial" w:cs="Arial"/>
          <w:sz w:val="19"/>
          <w:szCs w:val="19"/>
        </w:rPr>
      </w:pPr>
      <w:r w:rsidRPr="00A03891">
        <w:rPr>
          <w:rFonts w:ascii="Arial" w:hAnsi="Arial" w:cs="Arial"/>
          <w:color w:val="000000" w:themeColor="text1"/>
          <w:sz w:val="19"/>
          <w:szCs w:val="19"/>
        </w:rPr>
        <w:t>»</w:t>
      </w:r>
      <w:r w:rsidRPr="00721486">
        <w:rPr>
          <w:rFonts w:ascii="Arial" w:hAnsi="Arial" w:cs="Arial"/>
          <w:i/>
          <w:iCs/>
          <w:sz w:val="19"/>
          <w:szCs w:val="19"/>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A03891">
        <w:rPr>
          <w:rFonts w:ascii="Arial" w:hAnsi="Arial" w:cs="Arial"/>
          <w:sz w:val="19"/>
          <w:szCs w:val="19"/>
        </w:rPr>
        <w:t>.</w:t>
      </w:r>
    </w:p>
    <w:p w14:paraId="4DC1DC0E" w14:textId="14EE7EEE" w:rsidR="00840218" w:rsidRPr="00A03891" w:rsidRDefault="00840218" w:rsidP="0047037E">
      <w:pPr>
        <w:pStyle w:val="NormalWeb"/>
        <w:shd w:val="clear" w:color="auto" w:fill="FFFFFF"/>
        <w:spacing w:before="0" w:beforeAutospacing="0" w:after="0" w:afterAutospacing="0" w:line="240" w:lineRule="auto"/>
        <w:ind w:firstLine="709"/>
        <w:jc w:val="both"/>
        <w:rPr>
          <w:rFonts w:ascii="Arial" w:hAnsi="Arial" w:cs="Arial"/>
          <w:sz w:val="19"/>
          <w:szCs w:val="19"/>
        </w:rPr>
      </w:pPr>
      <w:r w:rsidRPr="00A03891">
        <w:rPr>
          <w:rFonts w:ascii="Arial" w:hAnsi="Arial" w:cs="Arial"/>
          <w:color w:val="000000" w:themeColor="text1"/>
          <w:sz w:val="19"/>
          <w:szCs w:val="19"/>
        </w:rPr>
        <w:t>»</w:t>
      </w:r>
      <w:r w:rsidRPr="00A03891">
        <w:rPr>
          <w:rFonts w:ascii="Arial" w:hAnsi="Arial" w:cs="Arial"/>
          <w:sz w:val="19"/>
          <w:szCs w:val="19"/>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14:paraId="2123DF9A" w14:textId="65799E2A" w:rsidR="00840218" w:rsidRPr="00A03891" w:rsidRDefault="00840218" w:rsidP="0047037E">
      <w:pPr>
        <w:pStyle w:val="NormalWeb"/>
        <w:shd w:val="clear" w:color="auto" w:fill="FFFFFF"/>
        <w:spacing w:before="0" w:beforeAutospacing="0" w:after="0" w:afterAutospacing="0" w:line="240" w:lineRule="auto"/>
        <w:ind w:firstLine="709"/>
        <w:jc w:val="both"/>
        <w:rPr>
          <w:rFonts w:ascii="Arial" w:hAnsi="Arial" w:cs="Arial"/>
          <w:sz w:val="19"/>
          <w:szCs w:val="19"/>
        </w:rPr>
      </w:pPr>
      <w:r w:rsidRPr="00A03891">
        <w:rPr>
          <w:rFonts w:ascii="Arial" w:hAnsi="Arial" w:cs="Arial"/>
          <w:color w:val="000000" w:themeColor="text1"/>
          <w:sz w:val="19"/>
          <w:szCs w:val="19"/>
        </w:rPr>
        <w:t>»</w:t>
      </w:r>
      <w:r w:rsidRPr="00A03891">
        <w:rPr>
          <w:rFonts w:ascii="Arial" w:hAnsi="Arial" w:cs="Arial"/>
          <w:sz w:val="19"/>
          <w:szCs w:val="19"/>
        </w:rPr>
        <w:t>Los recursos generados en desarrollo de los contratos o convenios financiados con fondos de los organismos de cooperación, asistencia o ayudas internacionales no deben ser tenidos en cuenta para determinar los porcentajes de los aportes de las partes</w:t>
      </w:r>
      <w:r w:rsidR="00721486">
        <w:rPr>
          <w:rFonts w:ascii="Arial" w:hAnsi="Arial" w:cs="Arial"/>
          <w:sz w:val="19"/>
          <w:szCs w:val="19"/>
        </w:rPr>
        <w:t>». (Cursiva fuera del original).</w:t>
      </w:r>
    </w:p>
    <w:p w14:paraId="7845DA9A" w14:textId="2FC5E99E" w:rsidR="00840218" w:rsidRPr="003F29E8" w:rsidRDefault="00840218" w:rsidP="0047037E">
      <w:pPr>
        <w:pStyle w:val="NormalWeb"/>
        <w:shd w:val="clear" w:color="auto" w:fill="FFFFFF"/>
        <w:spacing w:before="0" w:beforeAutospacing="0" w:after="0" w:afterAutospacing="0" w:line="240" w:lineRule="auto"/>
        <w:ind w:firstLine="709"/>
        <w:jc w:val="both"/>
        <w:rPr>
          <w:rFonts w:ascii="Arial" w:hAnsi="Arial" w:cs="Arial"/>
          <w:sz w:val="19"/>
          <w:szCs w:val="19"/>
        </w:rPr>
      </w:pPr>
      <w:r w:rsidRPr="00A03891">
        <w:rPr>
          <w:rFonts w:ascii="Arial" w:hAnsi="Arial" w:cs="Arial"/>
          <w:color w:val="000000" w:themeColor="text1"/>
          <w:sz w:val="19"/>
          <w:szCs w:val="19"/>
        </w:rPr>
        <w:t>»</w:t>
      </w:r>
      <w:r w:rsidRPr="00A03891">
        <w:rPr>
          <w:rFonts w:ascii="Arial" w:hAnsi="Arial" w:cs="Arial"/>
          <w:sz w:val="19"/>
          <w:szCs w:val="19"/>
        </w:rPr>
        <w:t>Los contratos o convenios financiados con fondos de los organismos multilaterales de crédito, entes gubernamentales extranjeros o personas extranjeras de derecho público, así como aquellos a los que se refiere el inciso 2 del artículo 20 de la </w:t>
      </w:r>
      <w:hyperlink r:id="rId3" w:history="1">
        <w:r w:rsidRPr="00C37908">
          <w:rPr>
            <w:rStyle w:val="Hipervnculo"/>
            <w:rFonts w:ascii="Arial" w:hAnsi="Arial" w:cs="Arial"/>
            <w:color w:val="auto"/>
            <w:sz w:val="19"/>
            <w:szCs w:val="19"/>
            <w:u w:val="none"/>
          </w:rPr>
          <w:t>Ley 1150 de 2007</w:t>
        </w:r>
      </w:hyperlink>
      <w:r w:rsidRPr="003F29E8">
        <w:rPr>
          <w:rFonts w:ascii="Arial" w:hAnsi="Arial" w:cs="Arial"/>
          <w:sz w:val="19"/>
          <w:szCs w:val="19"/>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hyperlink r:id="rId4" w:history="1">
        <w:r w:rsidRPr="00C37908">
          <w:rPr>
            <w:rStyle w:val="Hipervnculo"/>
            <w:rFonts w:ascii="Arial" w:hAnsi="Arial" w:cs="Arial"/>
            <w:color w:val="auto"/>
            <w:sz w:val="19"/>
            <w:szCs w:val="19"/>
            <w:u w:val="none"/>
          </w:rPr>
          <w:t> Ley 1150 de 2007</w:t>
        </w:r>
      </w:hyperlink>
      <w:r w:rsidRPr="003F29E8">
        <w:rPr>
          <w:rFonts w:ascii="Arial" w:hAnsi="Arial" w:cs="Arial"/>
          <w:sz w:val="19"/>
          <w:szCs w:val="19"/>
        </w:rPr>
        <w:t>.</w:t>
      </w:r>
    </w:p>
    <w:p w14:paraId="2AE046F9" w14:textId="56FF522A" w:rsidR="00840218" w:rsidRPr="00A03891" w:rsidRDefault="00840218" w:rsidP="0047037E">
      <w:pPr>
        <w:pStyle w:val="NormalWeb"/>
        <w:shd w:val="clear" w:color="auto" w:fill="FFFFFF"/>
        <w:spacing w:before="0" w:beforeAutospacing="0" w:after="0" w:afterAutospacing="0" w:line="240" w:lineRule="auto"/>
        <w:ind w:firstLine="709"/>
        <w:jc w:val="both"/>
        <w:rPr>
          <w:rFonts w:ascii="Arial" w:hAnsi="Arial" w:cs="Arial"/>
          <w:sz w:val="19"/>
          <w:szCs w:val="19"/>
        </w:rPr>
      </w:pPr>
      <w:r w:rsidRPr="003F29E8">
        <w:rPr>
          <w:rFonts w:ascii="Arial" w:hAnsi="Arial" w:cs="Arial"/>
          <w:color w:val="000000" w:themeColor="text1"/>
          <w:sz w:val="19"/>
          <w:szCs w:val="19"/>
        </w:rPr>
        <w:t>»</w:t>
      </w:r>
      <w:r w:rsidRPr="003F29E8">
        <w:rPr>
          <w:rFonts w:ascii="Arial" w:hAnsi="Arial" w:cs="Arial"/>
          <w:sz w:val="19"/>
          <w:szCs w:val="19"/>
        </w:rPr>
        <w:t>Los contratos con personas extranjeras de derecho público se</w:t>
      </w:r>
      <w:r w:rsidRPr="00A03891">
        <w:rPr>
          <w:rFonts w:ascii="Arial" w:hAnsi="Arial" w:cs="Arial"/>
          <w:sz w:val="19"/>
          <w:szCs w:val="19"/>
        </w:rPr>
        <w:t xml:space="preserve"> deben celebrar y ejecutar según se acuerde entre las partes</w:t>
      </w:r>
      <w:r w:rsidRPr="00A03891">
        <w:rPr>
          <w:rFonts w:ascii="Arial" w:hAnsi="Arial" w:cs="Arial"/>
          <w:color w:val="000000" w:themeColor="text1"/>
          <w:sz w:val="19"/>
          <w:szCs w:val="19"/>
        </w:rPr>
        <w:t>»</w:t>
      </w:r>
      <w:r w:rsidRPr="00A03891">
        <w:rPr>
          <w:rFonts w:ascii="Arial" w:hAnsi="Arial" w:cs="Arial"/>
          <w:sz w:val="19"/>
          <w:szCs w:val="19"/>
        </w:rPr>
        <w:t>.</w:t>
      </w:r>
    </w:p>
    <w:p w14:paraId="42657C94" w14:textId="790F9033" w:rsidR="00840218" w:rsidRPr="00A03891" w:rsidRDefault="00840218" w:rsidP="0047037E">
      <w:pPr>
        <w:pStyle w:val="Textonotapie"/>
        <w:spacing w:after="0" w:line="240" w:lineRule="auto"/>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40218" w:rsidRDefault="00840218">
    <w:pPr>
      <w:pStyle w:val="Encabezado"/>
    </w:pPr>
    <w:r>
      <w:rPr>
        <w:noProof/>
        <w:lang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AA2E349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E86251"/>
    <w:multiLevelType w:val="hybridMultilevel"/>
    <w:tmpl w:val="3F062F62"/>
    <w:lvl w:ilvl="0" w:tplc="4F224C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30186C"/>
    <w:multiLevelType w:val="hybridMultilevel"/>
    <w:tmpl w:val="E90CEFB4"/>
    <w:lvl w:ilvl="0" w:tplc="6B46BD2C">
      <w:start w:val="1"/>
      <w:numFmt w:val="decimal"/>
      <w:lvlText w:val="%1."/>
      <w:lvlJc w:val="left"/>
      <w:pPr>
        <w:ind w:left="993" w:firstLine="0"/>
      </w:pPr>
      <w:rPr>
        <w:rFonts w:hint="default"/>
        <w:color w:val="4E4D4D"/>
      </w:rPr>
    </w:lvl>
    <w:lvl w:ilvl="1" w:tplc="0C0A0019" w:tentative="1">
      <w:start w:val="1"/>
      <w:numFmt w:val="lowerLetter"/>
      <w:lvlText w:val="%2."/>
      <w:lvlJc w:val="left"/>
      <w:pPr>
        <w:ind w:left="1936" w:hanging="360"/>
      </w:pPr>
    </w:lvl>
    <w:lvl w:ilvl="2" w:tplc="0C0A001B" w:tentative="1">
      <w:start w:val="1"/>
      <w:numFmt w:val="lowerRoman"/>
      <w:lvlText w:val="%3."/>
      <w:lvlJc w:val="right"/>
      <w:pPr>
        <w:ind w:left="2656" w:hanging="180"/>
      </w:pPr>
    </w:lvl>
    <w:lvl w:ilvl="3" w:tplc="0C0A000F" w:tentative="1">
      <w:start w:val="1"/>
      <w:numFmt w:val="decimal"/>
      <w:lvlText w:val="%4."/>
      <w:lvlJc w:val="left"/>
      <w:pPr>
        <w:ind w:left="3376" w:hanging="360"/>
      </w:pPr>
    </w:lvl>
    <w:lvl w:ilvl="4" w:tplc="0C0A0019" w:tentative="1">
      <w:start w:val="1"/>
      <w:numFmt w:val="lowerLetter"/>
      <w:lvlText w:val="%5."/>
      <w:lvlJc w:val="left"/>
      <w:pPr>
        <w:ind w:left="4096" w:hanging="360"/>
      </w:pPr>
    </w:lvl>
    <w:lvl w:ilvl="5" w:tplc="0C0A001B" w:tentative="1">
      <w:start w:val="1"/>
      <w:numFmt w:val="lowerRoman"/>
      <w:lvlText w:val="%6."/>
      <w:lvlJc w:val="right"/>
      <w:pPr>
        <w:ind w:left="4816" w:hanging="180"/>
      </w:pPr>
    </w:lvl>
    <w:lvl w:ilvl="6" w:tplc="0C0A000F" w:tentative="1">
      <w:start w:val="1"/>
      <w:numFmt w:val="decimal"/>
      <w:lvlText w:val="%7."/>
      <w:lvlJc w:val="left"/>
      <w:pPr>
        <w:ind w:left="5536" w:hanging="360"/>
      </w:pPr>
    </w:lvl>
    <w:lvl w:ilvl="7" w:tplc="0C0A0019" w:tentative="1">
      <w:start w:val="1"/>
      <w:numFmt w:val="lowerLetter"/>
      <w:lvlText w:val="%8."/>
      <w:lvlJc w:val="left"/>
      <w:pPr>
        <w:ind w:left="6256" w:hanging="360"/>
      </w:pPr>
    </w:lvl>
    <w:lvl w:ilvl="8" w:tplc="0C0A001B" w:tentative="1">
      <w:start w:val="1"/>
      <w:numFmt w:val="lowerRoman"/>
      <w:lvlText w:val="%9."/>
      <w:lvlJc w:val="right"/>
      <w:pPr>
        <w:ind w:left="6976" w:hanging="180"/>
      </w:pPr>
    </w:lvl>
  </w:abstractNum>
  <w:abstractNum w:abstractNumId="5"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 w15:restartNumberingAfterBreak="0">
    <w:nsid w:val="2D846311"/>
    <w:multiLevelType w:val="multilevel"/>
    <w:tmpl w:val="A532F59C"/>
    <w:lvl w:ilvl="0">
      <w:start w:val="2"/>
      <w:numFmt w:val="decimal"/>
      <w:lvlText w:val="%1"/>
      <w:lvlJc w:val="left"/>
      <w:pPr>
        <w:ind w:left="360" w:hanging="360"/>
      </w:pPr>
      <w:rPr>
        <w:rFonts w:hint="default"/>
        <w:b/>
        <w:bCs/>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4FF56A1"/>
    <w:multiLevelType w:val="hybridMultilevel"/>
    <w:tmpl w:val="E5F0EC62"/>
    <w:lvl w:ilvl="0" w:tplc="9D647E26">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4603250F"/>
    <w:multiLevelType w:val="multilevel"/>
    <w:tmpl w:val="9F8436B2"/>
    <w:lvl w:ilvl="0">
      <w:start w:val="1"/>
      <w:numFmt w:val="lowerRoman"/>
      <w:lvlText w:val="%1."/>
      <w:lvlJc w:val="right"/>
      <w:pPr>
        <w:ind w:left="1429" w:hanging="360"/>
      </w:pPr>
      <w:rPr>
        <w:rFonts w:ascii="Arial" w:eastAsia="Calibri" w:hAnsi="Arial" w:cs="Aria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num w:numId="1">
    <w:abstractNumId w:val="8"/>
  </w:num>
  <w:num w:numId="2">
    <w:abstractNumId w:val="7"/>
  </w:num>
  <w:num w:numId="3">
    <w:abstractNumId w:val="11"/>
  </w:num>
  <w:num w:numId="4">
    <w:abstractNumId w:val="13"/>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
  </w:num>
  <w:num w:numId="9">
    <w:abstractNumId w:val="12"/>
  </w:num>
  <w:num w:numId="10">
    <w:abstractNumId w:val="5"/>
  </w:num>
  <w:num w:numId="11">
    <w:abstractNumId w:val="2"/>
  </w:num>
  <w:num w:numId="12">
    <w:abstractNumId w:val="4"/>
  </w:num>
  <w:num w:numId="13">
    <w:abstractNumId w:val="9"/>
  </w:num>
  <w:num w:numId="14">
    <w:abstractNumId w:val="3"/>
  </w:num>
  <w:num w:numId="15">
    <w:abstractNumId w:val="6"/>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C9F"/>
    <w:rsid w:val="00006AF8"/>
    <w:rsid w:val="00006C4C"/>
    <w:rsid w:val="0000781E"/>
    <w:rsid w:val="00010508"/>
    <w:rsid w:val="00010B10"/>
    <w:rsid w:val="00012514"/>
    <w:rsid w:val="00012744"/>
    <w:rsid w:val="000130B5"/>
    <w:rsid w:val="000139DD"/>
    <w:rsid w:val="00013DB5"/>
    <w:rsid w:val="00016848"/>
    <w:rsid w:val="000214D7"/>
    <w:rsid w:val="0002400D"/>
    <w:rsid w:val="00025DDA"/>
    <w:rsid w:val="0002798A"/>
    <w:rsid w:val="00027C8A"/>
    <w:rsid w:val="00027EE8"/>
    <w:rsid w:val="0003211D"/>
    <w:rsid w:val="000338E3"/>
    <w:rsid w:val="000350CC"/>
    <w:rsid w:val="000367CB"/>
    <w:rsid w:val="00040A6B"/>
    <w:rsid w:val="00041061"/>
    <w:rsid w:val="00042A3B"/>
    <w:rsid w:val="00042CF4"/>
    <w:rsid w:val="0005013E"/>
    <w:rsid w:val="00052E6D"/>
    <w:rsid w:val="00052F15"/>
    <w:rsid w:val="00053125"/>
    <w:rsid w:val="00053564"/>
    <w:rsid w:val="00053602"/>
    <w:rsid w:val="000543DF"/>
    <w:rsid w:val="00062363"/>
    <w:rsid w:val="000665C6"/>
    <w:rsid w:val="00066A55"/>
    <w:rsid w:val="00067572"/>
    <w:rsid w:val="000679FC"/>
    <w:rsid w:val="00072582"/>
    <w:rsid w:val="00072620"/>
    <w:rsid w:val="00072A53"/>
    <w:rsid w:val="00073B9F"/>
    <w:rsid w:val="00074AC7"/>
    <w:rsid w:val="00075060"/>
    <w:rsid w:val="00075BCA"/>
    <w:rsid w:val="00076389"/>
    <w:rsid w:val="000816CA"/>
    <w:rsid w:val="00084A7B"/>
    <w:rsid w:val="00084AA0"/>
    <w:rsid w:val="00084B97"/>
    <w:rsid w:val="00085147"/>
    <w:rsid w:val="0008584C"/>
    <w:rsid w:val="00086E70"/>
    <w:rsid w:val="00091BA4"/>
    <w:rsid w:val="00091BB9"/>
    <w:rsid w:val="000921C6"/>
    <w:rsid w:val="000942EB"/>
    <w:rsid w:val="00096EE0"/>
    <w:rsid w:val="00097BD2"/>
    <w:rsid w:val="000A2643"/>
    <w:rsid w:val="000A3B0F"/>
    <w:rsid w:val="000A47D9"/>
    <w:rsid w:val="000A47E4"/>
    <w:rsid w:val="000B0647"/>
    <w:rsid w:val="000B103F"/>
    <w:rsid w:val="000B173D"/>
    <w:rsid w:val="000B4EEE"/>
    <w:rsid w:val="000B548C"/>
    <w:rsid w:val="000B6F0F"/>
    <w:rsid w:val="000B785C"/>
    <w:rsid w:val="000B7AC4"/>
    <w:rsid w:val="000C0D40"/>
    <w:rsid w:val="000C3738"/>
    <w:rsid w:val="000C6017"/>
    <w:rsid w:val="000C60CF"/>
    <w:rsid w:val="000C781D"/>
    <w:rsid w:val="000C7BF0"/>
    <w:rsid w:val="000D1CA6"/>
    <w:rsid w:val="000D568B"/>
    <w:rsid w:val="000D6A76"/>
    <w:rsid w:val="000E1D29"/>
    <w:rsid w:val="000E3712"/>
    <w:rsid w:val="000E3936"/>
    <w:rsid w:val="000E5EF4"/>
    <w:rsid w:val="000E60DD"/>
    <w:rsid w:val="000E72E5"/>
    <w:rsid w:val="000E7F34"/>
    <w:rsid w:val="000F0EC8"/>
    <w:rsid w:val="000F14E8"/>
    <w:rsid w:val="000F3DDC"/>
    <w:rsid w:val="000F5854"/>
    <w:rsid w:val="00100285"/>
    <w:rsid w:val="00101C2B"/>
    <w:rsid w:val="00102376"/>
    <w:rsid w:val="0010298F"/>
    <w:rsid w:val="00103915"/>
    <w:rsid w:val="00106194"/>
    <w:rsid w:val="00106AFE"/>
    <w:rsid w:val="001153DC"/>
    <w:rsid w:val="001154BE"/>
    <w:rsid w:val="00116128"/>
    <w:rsid w:val="00117933"/>
    <w:rsid w:val="00117BBC"/>
    <w:rsid w:val="00121F63"/>
    <w:rsid w:val="00122B23"/>
    <w:rsid w:val="00122D70"/>
    <w:rsid w:val="00125012"/>
    <w:rsid w:val="001263F6"/>
    <w:rsid w:val="001268AC"/>
    <w:rsid w:val="00130C64"/>
    <w:rsid w:val="00132207"/>
    <w:rsid w:val="001347ED"/>
    <w:rsid w:val="00134CFA"/>
    <w:rsid w:val="00135E40"/>
    <w:rsid w:val="00137FFA"/>
    <w:rsid w:val="001404D8"/>
    <w:rsid w:val="00141239"/>
    <w:rsid w:val="00142256"/>
    <w:rsid w:val="0014335D"/>
    <w:rsid w:val="00145D8C"/>
    <w:rsid w:val="00146DA3"/>
    <w:rsid w:val="0015046E"/>
    <w:rsid w:val="00150BAE"/>
    <w:rsid w:val="00155152"/>
    <w:rsid w:val="00157756"/>
    <w:rsid w:val="00157A04"/>
    <w:rsid w:val="00160A52"/>
    <w:rsid w:val="0016393C"/>
    <w:rsid w:val="001659D9"/>
    <w:rsid w:val="00165E0F"/>
    <w:rsid w:val="00166931"/>
    <w:rsid w:val="00166C87"/>
    <w:rsid w:val="00166F08"/>
    <w:rsid w:val="0016755F"/>
    <w:rsid w:val="001704FF"/>
    <w:rsid w:val="00171C8E"/>
    <w:rsid w:val="001724DF"/>
    <w:rsid w:val="00172D04"/>
    <w:rsid w:val="00174C64"/>
    <w:rsid w:val="001751AB"/>
    <w:rsid w:val="00177C7A"/>
    <w:rsid w:val="00177FB6"/>
    <w:rsid w:val="00181317"/>
    <w:rsid w:val="001821AC"/>
    <w:rsid w:val="0018332E"/>
    <w:rsid w:val="00186AFF"/>
    <w:rsid w:val="00191551"/>
    <w:rsid w:val="00191592"/>
    <w:rsid w:val="0019166A"/>
    <w:rsid w:val="00192031"/>
    <w:rsid w:val="00192CFB"/>
    <w:rsid w:val="00192D8B"/>
    <w:rsid w:val="001936F0"/>
    <w:rsid w:val="00196D5A"/>
    <w:rsid w:val="001975FF"/>
    <w:rsid w:val="001A0222"/>
    <w:rsid w:val="001A040D"/>
    <w:rsid w:val="001A1C00"/>
    <w:rsid w:val="001A22AC"/>
    <w:rsid w:val="001A22D8"/>
    <w:rsid w:val="001A24CC"/>
    <w:rsid w:val="001A4995"/>
    <w:rsid w:val="001A4EB9"/>
    <w:rsid w:val="001A644A"/>
    <w:rsid w:val="001A7081"/>
    <w:rsid w:val="001A79E5"/>
    <w:rsid w:val="001B0062"/>
    <w:rsid w:val="001B0444"/>
    <w:rsid w:val="001B04A3"/>
    <w:rsid w:val="001B2A80"/>
    <w:rsid w:val="001B3138"/>
    <w:rsid w:val="001C04FF"/>
    <w:rsid w:val="001C39F7"/>
    <w:rsid w:val="001C3B7E"/>
    <w:rsid w:val="001C3E04"/>
    <w:rsid w:val="001C42FB"/>
    <w:rsid w:val="001C4910"/>
    <w:rsid w:val="001C4962"/>
    <w:rsid w:val="001C76E7"/>
    <w:rsid w:val="001C7A22"/>
    <w:rsid w:val="001C7FD3"/>
    <w:rsid w:val="001D07F1"/>
    <w:rsid w:val="001D1E0A"/>
    <w:rsid w:val="001D2AA9"/>
    <w:rsid w:val="001D3BFA"/>
    <w:rsid w:val="001D5063"/>
    <w:rsid w:val="001D5DEB"/>
    <w:rsid w:val="001D756D"/>
    <w:rsid w:val="001E081B"/>
    <w:rsid w:val="001E4D45"/>
    <w:rsid w:val="001E55EA"/>
    <w:rsid w:val="001E60CB"/>
    <w:rsid w:val="001F0CDD"/>
    <w:rsid w:val="001F34D4"/>
    <w:rsid w:val="001F39E6"/>
    <w:rsid w:val="001F48ED"/>
    <w:rsid w:val="001F6D62"/>
    <w:rsid w:val="001F7B70"/>
    <w:rsid w:val="001F7D57"/>
    <w:rsid w:val="00202B8A"/>
    <w:rsid w:val="00205836"/>
    <w:rsid w:val="00205839"/>
    <w:rsid w:val="00206278"/>
    <w:rsid w:val="0020632A"/>
    <w:rsid w:val="002070D7"/>
    <w:rsid w:val="00207258"/>
    <w:rsid w:val="002110EB"/>
    <w:rsid w:val="00211338"/>
    <w:rsid w:val="002117E9"/>
    <w:rsid w:val="00212F81"/>
    <w:rsid w:val="002137FD"/>
    <w:rsid w:val="0021415B"/>
    <w:rsid w:val="00214FA9"/>
    <w:rsid w:val="00220B18"/>
    <w:rsid w:val="002233B1"/>
    <w:rsid w:val="00224DD3"/>
    <w:rsid w:val="002264E2"/>
    <w:rsid w:val="00230C8E"/>
    <w:rsid w:val="00231820"/>
    <w:rsid w:val="00232C4B"/>
    <w:rsid w:val="002345CE"/>
    <w:rsid w:val="002345FC"/>
    <w:rsid w:val="00234B84"/>
    <w:rsid w:val="00236952"/>
    <w:rsid w:val="00236A01"/>
    <w:rsid w:val="00240130"/>
    <w:rsid w:val="00240A2D"/>
    <w:rsid w:val="00240A65"/>
    <w:rsid w:val="00240C72"/>
    <w:rsid w:val="002474C6"/>
    <w:rsid w:val="00251F5C"/>
    <w:rsid w:val="00253927"/>
    <w:rsid w:val="00254705"/>
    <w:rsid w:val="0025616F"/>
    <w:rsid w:val="00260F08"/>
    <w:rsid w:val="002650C1"/>
    <w:rsid w:val="00270AEA"/>
    <w:rsid w:val="00271A4F"/>
    <w:rsid w:val="00277FC6"/>
    <w:rsid w:val="00280D72"/>
    <w:rsid w:val="00283229"/>
    <w:rsid w:val="0028568A"/>
    <w:rsid w:val="00287858"/>
    <w:rsid w:val="002908A4"/>
    <w:rsid w:val="00290BBC"/>
    <w:rsid w:val="00291CD3"/>
    <w:rsid w:val="00291F29"/>
    <w:rsid w:val="0029408B"/>
    <w:rsid w:val="00295BCB"/>
    <w:rsid w:val="002974FA"/>
    <w:rsid w:val="002A00A8"/>
    <w:rsid w:val="002A11F2"/>
    <w:rsid w:val="002A2C19"/>
    <w:rsid w:val="002A2ED3"/>
    <w:rsid w:val="002B071B"/>
    <w:rsid w:val="002B2622"/>
    <w:rsid w:val="002B37A4"/>
    <w:rsid w:val="002B5441"/>
    <w:rsid w:val="002B58D1"/>
    <w:rsid w:val="002B6112"/>
    <w:rsid w:val="002C31DD"/>
    <w:rsid w:val="002C4C0C"/>
    <w:rsid w:val="002C5B2A"/>
    <w:rsid w:val="002C6B79"/>
    <w:rsid w:val="002C7F9C"/>
    <w:rsid w:val="002D0005"/>
    <w:rsid w:val="002D0415"/>
    <w:rsid w:val="002D5108"/>
    <w:rsid w:val="002D55B9"/>
    <w:rsid w:val="002D6C6B"/>
    <w:rsid w:val="002E1B07"/>
    <w:rsid w:val="002E1E84"/>
    <w:rsid w:val="002E2033"/>
    <w:rsid w:val="002E2C53"/>
    <w:rsid w:val="002E688C"/>
    <w:rsid w:val="002E6D7C"/>
    <w:rsid w:val="002F0DDD"/>
    <w:rsid w:val="002F2E70"/>
    <w:rsid w:val="002F454C"/>
    <w:rsid w:val="002F45E8"/>
    <w:rsid w:val="002F730B"/>
    <w:rsid w:val="002F7B2F"/>
    <w:rsid w:val="0030004B"/>
    <w:rsid w:val="00301636"/>
    <w:rsid w:val="003019BD"/>
    <w:rsid w:val="003033BA"/>
    <w:rsid w:val="003035AC"/>
    <w:rsid w:val="003035E9"/>
    <w:rsid w:val="00303E9C"/>
    <w:rsid w:val="00305687"/>
    <w:rsid w:val="003074AE"/>
    <w:rsid w:val="0031120C"/>
    <w:rsid w:val="00311679"/>
    <w:rsid w:val="00311D93"/>
    <w:rsid w:val="00322937"/>
    <w:rsid w:val="00323221"/>
    <w:rsid w:val="0032544F"/>
    <w:rsid w:val="00325E6F"/>
    <w:rsid w:val="003275CE"/>
    <w:rsid w:val="003300C4"/>
    <w:rsid w:val="00334BFC"/>
    <w:rsid w:val="00336972"/>
    <w:rsid w:val="003379EA"/>
    <w:rsid w:val="0034177C"/>
    <w:rsid w:val="00343D80"/>
    <w:rsid w:val="00345306"/>
    <w:rsid w:val="0034680A"/>
    <w:rsid w:val="0035335B"/>
    <w:rsid w:val="00353999"/>
    <w:rsid w:val="00353DD5"/>
    <w:rsid w:val="003546A2"/>
    <w:rsid w:val="00355074"/>
    <w:rsid w:val="00356546"/>
    <w:rsid w:val="003569CC"/>
    <w:rsid w:val="00356A7C"/>
    <w:rsid w:val="0036601C"/>
    <w:rsid w:val="00367703"/>
    <w:rsid w:val="00370080"/>
    <w:rsid w:val="00370A95"/>
    <w:rsid w:val="00375DD3"/>
    <w:rsid w:val="00377B5F"/>
    <w:rsid w:val="0038015A"/>
    <w:rsid w:val="00381478"/>
    <w:rsid w:val="00382787"/>
    <w:rsid w:val="00386368"/>
    <w:rsid w:val="00386456"/>
    <w:rsid w:val="00390882"/>
    <w:rsid w:val="003925D7"/>
    <w:rsid w:val="0039401C"/>
    <w:rsid w:val="00394361"/>
    <w:rsid w:val="00394A51"/>
    <w:rsid w:val="003955D4"/>
    <w:rsid w:val="003961EB"/>
    <w:rsid w:val="003A0725"/>
    <w:rsid w:val="003A0878"/>
    <w:rsid w:val="003A2753"/>
    <w:rsid w:val="003A312F"/>
    <w:rsid w:val="003A32C6"/>
    <w:rsid w:val="003A581E"/>
    <w:rsid w:val="003A5AEB"/>
    <w:rsid w:val="003B1933"/>
    <w:rsid w:val="003B2191"/>
    <w:rsid w:val="003B4525"/>
    <w:rsid w:val="003B48C5"/>
    <w:rsid w:val="003B4CB4"/>
    <w:rsid w:val="003B5017"/>
    <w:rsid w:val="003B7B4B"/>
    <w:rsid w:val="003C0F89"/>
    <w:rsid w:val="003C1386"/>
    <w:rsid w:val="003C23D4"/>
    <w:rsid w:val="003C3041"/>
    <w:rsid w:val="003C32BF"/>
    <w:rsid w:val="003C63A9"/>
    <w:rsid w:val="003C7EE4"/>
    <w:rsid w:val="003D2E2C"/>
    <w:rsid w:val="003D3723"/>
    <w:rsid w:val="003D3DB7"/>
    <w:rsid w:val="003D44D1"/>
    <w:rsid w:val="003D4F83"/>
    <w:rsid w:val="003D5541"/>
    <w:rsid w:val="003D5905"/>
    <w:rsid w:val="003D6052"/>
    <w:rsid w:val="003E315A"/>
    <w:rsid w:val="003E32DE"/>
    <w:rsid w:val="003E5136"/>
    <w:rsid w:val="003E68A6"/>
    <w:rsid w:val="003E75DF"/>
    <w:rsid w:val="003F28A8"/>
    <w:rsid w:val="003F29E8"/>
    <w:rsid w:val="003F324A"/>
    <w:rsid w:val="003F5D1F"/>
    <w:rsid w:val="003F68B1"/>
    <w:rsid w:val="003F7CC8"/>
    <w:rsid w:val="004016D9"/>
    <w:rsid w:val="004038E6"/>
    <w:rsid w:val="00403D6D"/>
    <w:rsid w:val="00403EF8"/>
    <w:rsid w:val="004059C4"/>
    <w:rsid w:val="00405CAB"/>
    <w:rsid w:val="00407A05"/>
    <w:rsid w:val="00412B57"/>
    <w:rsid w:val="00414681"/>
    <w:rsid w:val="0041565D"/>
    <w:rsid w:val="00415E27"/>
    <w:rsid w:val="00415EB9"/>
    <w:rsid w:val="00416062"/>
    <w:rsid w:val="00416F65"/>
    <w:rsid w:val="004170E7"/>
    <w:rsid w:val="00420891"/>
    <w:rsid w:val="004215AE"/>
    <w:rsid w:val="00422FA3"/>
    <w:rsid w:val="00423F9F"/>
    <w:rsid w:val="00424073"/>
    <w:rsid w:val="00425A56"/>
    <w:rsid w:val="00427331"/>
    <w:rsid w:val="00431D17"/>
    <w:rsid w:val="0043301A"/>
    <w:rsid w:val="00435EE4"/>
    <w:rsid w:val="00440622"/>
    <w:rsid w:val="00440794"/>
    <w:rsid w:val="004422D6"/>
    <w:rsid w:val="00442798"/>
    <w:rsid w:val="00443283"/>
    <w:rsid w:val="00447183"/>
    <w:rsid w:val="00447E0F"/>
    <w:rsid w:val="00454BC6"/>
    <w:rsid w:val="004569DB"/>
    <w:rsid w:val="0045721D"/>
    <w:rsid w:val="00457CBB"/>
    <w:rsid w:val="004602CA"/>
    <w:rsid w:val="00460333"/>
    <w:rsid w:val="00462960"/>
    <w:rsid w:val="004638DC"/>
    <w:rsid w:val="00463A8F"/>
    <w:rsid w:val="00463E5E"/>
    <w:rsid w:val="00463FE5"/>
    <w:rsid w:val="00467A7A"/>
    <w:rsid w:val="0047037E"/>
    <w:rsid w:val="00471B5B"/>
    <w:rsid w:val="00473979"/>
    <w:rsid w:val="00476328"/>
    <w:rsid w:val="00480080"/>
    <w:rsid w:val="00480DE6"/>
    <w:rsid w:val="00481079"/>
    <w:rsid w:val="0048118A"/>
    <w:rsid w:val="00483E68"/>
    <w:rsid w:val="00487E2E"/>
    <w:rsid w:val="004908F9"/>
    <w:rsid w:val="0049094E"/>
    <w:rsid w:val="0049241A"/>
    <w:rsid w:val="0049493D"/>
    <w:rsid w:val="00494AF1"/>
    <w:rsid w:val="004A2EA2"/>
    <w:rsid w:val="004A34D2"/>
    <w:rsid w:val="004A4D5F"/>
    <w:rsid w:val="004A4E6F"/>
    <w:rsid w:val="004A6242"/>
    <w:rsid w:val="004A6B30"/>
    <w:rsid w:val="004A6B61"/>
    <w:rsid w:val="004A7552"/>
    <w:rsid w:val="004B19A9"/>
    <w:rsid w:val="004B3AEA"/>
    <w:rsid w:val="004B4FDA"/>
    <w:rsid w:val="004C07BA"/>
    <w:rsid w:val="004C2883"/>
    <w:rsid w:val="004C3AEC"/>
    <w:rsid w:val="004C58FF"/>
    <w:rsid w:val="004C7B57"/>
    <w:rsid w:val="004D3913"/>
    <w:rsid w:val="004D6EC7"/>
    <w:rsid w:val="004D7FD1"/>
    <w:rsid w:val="004E15B5"/>
    <w:rsid w:val="004E2569"/>
    <w:rsid w:val="004E2C3E"/>
    <w:rsid w:val="004E3582"/>
    <w:rsid w:val="004E4065"/>
    <w:rsid w:val="004E523A"/>
    <w:rsid w:val="004E5A01"/>
    <w:rsid w:val="004E5BBA"/>
    <w:rsid w:val="004F2045"/>
    <w:rsid w:val="004F2806"/>
    <w:rsid w:val="004F408E"/>
    <w:rsid w:val="004F4AA9"/>
    <w:rsid w:val="004F51AF"/>
    <w:rsid w:val="004F57B1"/>
    <w:rsid w:val="004F61DE"/>
    <w:rsid w:val="004F7D4B"/>
    <w:rsid w:val="00500A84"/>
    <w:rsid w:val="00500C9C"/>
    <w:rsid w:val="00502AA3"/>
    <w:rsid w:val="005044F2"/>
    <w:rsid w:val="005105E8"/>
    <w:rsid w:val="0051074C"/>
    <w:rsid w:val="00510FD0"/>
    <w:rsid w:val="0051220A"/>
    <w:rsid w:val="00513210"/>
    <w:rsid w:val="00513496"/>
    <w:rsid w:val="00513AF2"/>
    <w:rsid w:val="00513C06"/>
    <w:rsid w:val="00514171"/>
    <w:rsid w:val="005157F0"/>
    <w:rsid w:val="005178B0"/>
    <w:rsid w:val="00517C08"/>
    <w:rsid w:val="00520695"/>
    <w:rsid w:val="00520A3F"/>
    <w:rsid w:val="00520EEB"/>
    <w:rsid w:val="005222D4"/>
    <w:rsid w:val="00523BA0"/>
    <w:rsid w:val="00526438"/>
    <w:rsid w:val="00526AA0"/>
    <w:rsid w:val="00530375"/>
    <w:rsid w:val="00533486"/>
    <w:rsid w:val="005413A0"/>
    <w:rsid w:val="00541E25"/>
    <w:rsid w:val="00543803"/>
    <w:rsid w:val="0054413A"/>
    <w:rsid w:val="00544348"/>
    <w:rsid w:val="00546D12"/>
    <w:rsid w:val="0054779C"/>
    <w:rsid w:val="0055643D"/>
    <w:rsid w:val="005564CA"/>
    <w:rsid w:val="0055716D"/>
    <w:rsid w:val="005608F4"/>
    <w:rsid w:val="0056182B"/>
    <w:rsid w:val="005637CE"/>
    <w:rsid w:val="00563935"/>
    <w:rsid w:val="0056527A"/>
    <w:rsid w:val="00565DEC"/>
    <w:rsid w:val="005756AA"/>
    <w:rsid w:val="00575D80"/>
    <w:rsid w:val="00581FA7"/>
    <w:rsid w:val="00582643"/>
    <w:rsid w:val="00590FCE"/>
    <w:rsid w:val="005941C1"/>
    <w:rsid w:val="00595122"/>
    <w:rsid w:val="00596405"/>
    <w:rsid w:val="0059772E"/>
    <w:rsid w:val="005979D2"/>
    <w:rsid w:val="00597B75"/>
    <w:rsid w:val="005A26E4"/>
    <w:rsid w:val="005A306A"/>
    <w:rsid w:val="005A4EB9"/>
    <w:rsid w:val="005A62F6"/>
    <w:rsid w:val="005A7615"/>
    <w:rsid w:val="005B2A2E"/>
    <w:rsid w:val="005B3934"/>
    <w:rsid w:val="005B478A"/>
    <w:rsid w:val="005B4835"/>
    <w:rsid w:val="005B67B6"/>
    <w:rsid w:val="005B72DC"/>
    <w:rsid w:val="005C0F65"/>
    <w:rsid w:val="005C326B"/>
    <w:rsid w:val="005C6201"/>
    <w:rsid w:val="005C7856"/>
    <w:rsid w:val="005D09E1"/>
    <w:rsid w:val="005D0AE5"/>
    <w:rsid w:val="005D0F03"/>
    <w:rsid w:val="005D31E0"/>
    <w:rsid w:val="005D3341"/>
    <w:rsid w:val="005D3580"/>
    <w:rsid w:val="005D4BF7"/>
    <w:rsid w:val="005D51FA"/>
    <w:rsid w:val="005D560F"/>
    <w:rsid w:val="005D6D4F"/>
    <w:rsid w:val="005D791B"/>
    <w:rsid w:val="005E11B2"/>
    <w:rsid w:val="005E3050"/>
    <w:rsid w:val="005E3B33"/>
    <w:rsid w:val="005E3E9F"/>
    <w:rsid w:val="005E495C"/>
    <w:rsid w:val="005E6453"/>
    <w:rsid w:val="005E73B2"/>
    <w:rsid w:val="005F004A"/>
    <w:rsid w:val="005F088A"/>
    <w:rsid w:val="005F1772"/>
    <w:rsid w:val="005F1A12"/>
    <w:rsid w:val="005F20C0"/>
    <w:rsid w:val="005F2387"/>
    <w:rsid w:val="005F2CA1"/>
    <w:rsid w:val="005F395D"/>
    <w:rsid w:val="005F59D5"/>
    <w:rsid w:val="005F5C19"/>
    <w:rsid w:val="005F60CF"/>
    <w:rsid w:val="0060036E"/>
    <w:rsid w:val="006022E6"/>
    <w:rsid w:val="00603D09"/>
    <w:rsid w:val="00604E01"/>
    <w:rsid w:val="00604E4B"/>
    <w:rsid w:val="00605559"/>
    <w:rsid w:val="00605F9E"/>
    <w:rsid w:val="00606039"/>
    <w:rsid w:val="00606F99"/>
    <w:rsid w:val="006112FC"/>
    <w:rsid w:val="00611A83"/>
    <w:rsid w:val="00611B77"/>
    <w:rsid w:val="00611D00"/>
    <w:rsid w:val="00614817"/>
    <w:rsid w:val="00615173"/>
    <w:rsid w:val="006155C9"/>
    <w:rsid w:val="006175EE"/>
    <w:rsid w:val="00617FF2"/>
    <w:rsid w:val="00620B95"/>
    <w:rsid w:val="0062239E"/>
    <w:rsid w:val="006241D4"/>
    <w:rsid w:val="006256B5"/>
    <w:rsid w:val="006315C5"/>
    <w:rsid w:val="006318C6"/>
    <w:rsid w:val="00633DBF"/>
    <w:rsid w:val="006344B7"/>
    <w:rsid w:val="006349E9"/>
    <w:rsid w:val="0063578A"/>
    <w:rsid w:val="006357D5"/>
    <w:rsid w:val="0063671B"/>
    <w:rsid w:val="00637BCB"/>
    <w:rsid w:val="00640AEF"/>
    <w:rsid w:val="006426BC"/>
    <w:rsid w:val="00643033"/>
    <w:rsid w:val="006449A7"/>
    <w:rsid w:val="00644BDA"/>
    <w:rsid w:val="00644C0A"/>
    <w:rsid w:val="006468FD"/>
    <w:rsid w:val="00647F56"/>
    <w:rsid w:val="00651B30"/>
    <w:rsid w:val="00651E65"/>
    <w:rsid w:val="00652B70"/>
    <w:rsid w:val="006549D4"/>
    <w:rsid w:val="00655371"/>
    <w:rsid w:val="00655BDD"/>
    <w:rsid w:val="0065708A"/>
    <w:rsid w:val="00660B1A"/>
    <w:rsid w:val="00662E04"/>
    <w:rsid w:val="00663062"/>
    <w:rsid w:val="006634A4"/>
    <w:rsid w:val="006653B7"/>
    <w:rsid w:val="00666C67"/>
    <w:rsid w:val="0066776B"/>
    <w:rsid w:val="006707A9"/>
    <w:rsid w:val="00673049"/>
    <w:rsid w:val="00674072"/>
    <w:rsid w:val="0067584F"/>
    <w:rsid w:val="00676807"/>
    <w:rsid w:val="006773F4"/>
    <w:rsid w:val="006840CA"/>
    <w:rsid w:val="00684CF0"/>
    <w:rsid w:val="00685ECC"/>
    <w:rsid w:val="00686B02"/>
    <w:rsid w:val="00690034"/>
    <w:rsid w:val="00690116"/>
    <w:rsid w:val="006904A9"/>
    <w:rsid w:val="006911AD"/>
    <w:rsid w:val="00691414"/>
    <w:rsid w:val="006915ED"/>
    <w:rsid w:val="00692366"/>
    <w:rsid w:val="00694173"/>
    <w:rsid w:val="006957A1"/>
    <w:rsid w:val="0069645C"/>
    <w:rsid w:val="006965A8"/>
    <w:rsid w:val="006967F3"/>
    <w:rsid w:val="00696B88"/>
    <w:rsid w:val="00696E9D"/>
    <w:rsid w:val="00697322"/>
    <w:rsid w:val="006974CA"/>
    <w:rsid w:val="00697665"/>
    <w:rsid w:val="006A18A8"/>
    <w:rsid w:val="006A1EEE"/>
    <w:rsid w:val="006A1EF8"/>
    <w:rsid w:val="006A7CB5"/>
    <w:rsid w:val="006A7FD0"/>
    <w:rsid w:val="006B0D72"/>
    <w:rsid w:val="006B1690"/>
    <w:rsid w:val="006B22D5"/>
    <w:rsid w:val="006B4C1C"/>
    <w:rsid w:val="006B5CD1"/>
    <w:rsid w:val="006B5D64"/>
    <w:rsid w:val="006B60C8"/>
    <w:rsid w:val="006B7D36"/>
    <w:rsid w:val="006C0A8A"/>
    <w:rsid w:val="006C19FB"/>
    <w:rsid w:val="006C1C9E"/>
    <w:rsid w:val="006C2A68"/>
    <w:rsid w:val="006C6AEF"/>
    <w:rsid w:val="006C77A2"/>
    <w:rsid w:val="006D07A5"/>
    <w:rsid w:val="006D1EF4"/>
    <w:rsid w:val="006D504C"/>
    <w:rsid w:val="006D6321"/>
    <w:rsid w:val="006D6B0B"/>
    <w:rsid w:val="006D6F8A"/>
    <w:rsid w:val="006D762D"/>
    <w:rsid w:val="006D7687"/>
    <w:rsid w:val="006E0572"/>
    <w:rsid w:val="006E0728"/>
    <w:rsid w:val="006E146D"/>
    <w:rsid w:val="006E1FB8"/>
    <w:rsid w:val="006E3332"/>
    <w:rsid w:val="006F22AE"/>
    <w:rsid w:val="006F337A"/>
    <w:rsid w:val="006F36DF"/>
    <w:rsid w:val="006F3DA9"/>
    <w:rsid w:val="006F52DF"/>
    <w:rsid w:val="006F7F4C"/>
    <w:rsid w:val="007029C7"/>
    <w:rsid w:val="00705631"/>
    <w:rsid w:val="00707D7A"/>
    <w:rsid w:val="00710F76"/>
    <w:rsid w:val="00714537"/>
    <w:rsid w:val="00715001"/>
    <w:rsid w:val="0071513E"/>
    <w:rsid w:val="00715EAA"/>
    <w:rsid w:val="00716151"/>
    <w:rsid w:val="007177BE"/>
    <w:rsid w:val="00721486"/>
    <w:rsid w:val="00722776"/>
    <w:rsid w:val="0072398E"/>
    <w:rsid w:val="007257DE"/>
    <w:rsid w:val="007267ED"/>
    <w:rsid w:val="00727FE7"/>
    <w:rsid w:val="007303E6"/>
    <w:rsid w:val="00736C0F"/>
    <w:rsid w:val="00742396"/>
    <w:rsid w:val="00742DD2"/>
    <w:rsid w:val="00744B0F"/>
    <w:rsid w:val="007455D3"/>
    <w:rsid w:val="007458F7"/>
    <w:rsid w:val="00745995"/>
    <w:rsid w:val="00746E08"/>
    <w:rsid w:val="00747C96"/>
    <w:rsid w:val="0075050A"/>
    <w:rsid w:val="0075094E"/>
    <w:rsid w:val="00750C7C"/>
    <w:rsid w:val="00751284"/>
    <w:rsid w:val="00751504"/>
    <w:rsid w:val="00751B6C"/>
    <w:rsid w:val="007522E8"/>
    <w:rsid w:val="00752D5C"/>
    <w:rsid w:val="0075341A"/>
    <w:rsid w:val="00755090"/>
    <w:rsid w:val="0075647A"/>
    <w:rsid w:val="00760039"/>
    <w:rsid w:val="00760E12"/>
    <w:rsid w:val="007634AD"/>
    <w:rsid w:val="0076397B"/>
    <w:rsid w:val="00764971"/>
    <w:rsid w:val="00765260"/>
    <w:rsid w:val="00765F3B"/>
    <w:rsid w:val="00766EE5"/>
    <w:rsid w:val="0076740F"/>
    <w:rsid w:val="0077117C"/>
    <w:rsid w:val="007744B6"/>
    <w:rsid w:val="00776534"/>
    <w:rsid w:val="00777BB2"/>
    <w:rsid w:val="0078122E"/>
    <w:rsid w:val="00781DAC"/>
    <w:rsid w:val="007823A6"/>
    <w:rsid w:val="00785FD2"/>
    <w:rsid w:val="00786ECE"/>
    <w:rsid w:val="00790122"/>
    <w:rsid w:val="007918B3"/>
    <w:rsid w:val="00791FB4"/>
    <w:rsid w:val="0079421B"/>
    <w:rsid w:val="00794AAB"/>
    <w:rsid w:val="00795647"/>
    <w:rsid w:val="007A15D8"/>
    <w:rsid w:val="007A3B1D"/>
    <w:rsid w:val="007A4609"/>
    <w:rsid w:val="007A4940"/>
    <w:rsid w:val="007A5294"/>
    <w:rsid w:val="007A587B"/>
    <w:rsid w:val="007A6053"/>
    <w:rsid w:val="007B0854"/>
    <w:rsid w:val="007B0EB5"/>
    <w:rsid w:val="007B6DB7"/>
    <w:rsid w:val="007B6F1D"/>
    <w:rsid w:val="007B7964"/>
    <w:rsid w:val="007B7B35"/>
    <w:rsid w:val="007C20AD"/>
    <w:rsid w:val="007C4A00"/>
    <w:rsid w:val="007C5496"/>
    <w:rsid w:val="007C6B93"/>
    <w:rsid w:val="007C74FF"/>
    <w:rsid w:val="007D0341"/>
    <w:rsid w:val="007D0F9A"/>
    <w:rsid w:val="007D19ED"/>
    <w:rsid w:val="007D6137"/>
    <w:rsid w:val="007D68C9"/>
    <w:rsid w:val="007D6FBB"/>
    <w:rsid w:val="007D7BD9"/>
    <w:rsid w:val="007E2119"/>
    <w:rsid w:val="007E2207"/>
    <w:rsid w:val="007E34A9"/>
    <w:rsid w:val="007E3875"/>
    <w:rsid w:val="007E4A8A"/>
    <w:rsid w:val="007E5C68"/>
    <w:rsid w:val="007E77AC"/>
    <w:rsid w:val="007E77BD"/>
    <w:rsid w:val="007F1531"/>
    <w:rsid w:val="007F1615"/>
    <w:rsid w:val="007F2400"/>
    <w:rsid w:val="007F2DD2"/>
    <w:rsid w:val="007F4562"/>
    <w:rsid w:val="007F4CD9"/>
    <w:rsid w:val="007F6798"/>
    <w:rsid w:val="007F6B46"/>
    <w:rsid w:val="007F6DC2"/>
    <w:rsid w:val="007F72CB"/>
    <w:rsid w:val="007F7757"/>
    <w:rsid w:val="008026E9"/>
    <w:rsid w:val="00803AF8"/>
    <w:rsid w:val="00803BD6"/>
    <w:rsid w:val="008043F3"/>
    <w:rsid w:val="00804B14"/>
    <w:rsid w:val="008054E2"/>
    <w:rsid w:val="008054ED"/>
    <w:rsid w:val="008057E9"/>
    <w:rsid w:val="008068F8"/>
    <w:rsid w:val="00811C91"/>
    <w:rsid w:val="00813126"/>
    <w:rsid w:val="00813A6F"/>
    <w:rsid w:val="0081537B"/>
    <w:rsid w:val="008160A4"/>
    <w:rsid w:val="0081695E"/>
    <w:rsid w:val="00816C2C"/>
    <w:rsid w:val="00817CEC"/>
    <w:rsid w:val="008217B7"/>
    <w:rsid w:val="008224C7"/>
    <w:rsid w:val="00822E14"/>
    <w:rsid w:val="00824EE9"/>
    <w:rsid w:val="0083119B"/>
    <w:rsid w:val="00831F66"/>
    <w:rsid w:val="00833389"/>
    <w:rsid w:val="00836EAB"/>
    <w:rsid w:val="00836F38"/>
    <w:rsid w:val="00840187"/>
    <w:rsid w:val="00840218"/>
    <w:rsid w:val="00843CEC"/>
    <w:rsid w:val="008441F0"/>
    <w:rsid w:val="00846F6D"/>
    <w:rsid w:val="00847010"/>
    <w:rsid w:val="00847B1A"/>
    <w:rsid w:val="00847F8D"/>
    <w:rsid w:val="0085092D"/>
    <w:rsid w:val="00850F79"/>
    <w:rsid w:val="00851420"/>
    <w:rsid w:val="008514FE"/>
    <w:rsid w:val="008529E3"/>
    <w:rsid w:val="00854ABB"/>
    <w:rsid w:val="00854E4B"/>
    <w:rsid w:val="008618F1"/>
    <w:rsid w:val="00862C14"/>
    <w:rsid w:val="008646C8"/>
    <w:rsid w:val="00864F88"/>
    <w:rsid w:val="00867608"/>
    <w:rsid w:val="00870D1D"/>
    <w:rsid w:val="00870F20"/>
    <w:rsid w:val="00871FD2"/>
    <w:rsid w:val="00874556"/>
    <w:rsid w:val="00874B73"/>
    <w:rsid w:val="00874BD9"/>
    <w:rsid w:val="0088063D"/>
    <w:rsid w:val="00880FE3"/>
    <w:rsid w:val="0088146E"/>
    <w:rsid w:val="00881CF4"/>
    <w:rsid w:val="00882264"/>
    <w:rsid w:val="00882D2D"/>
    <w:rsid w:val="00884711"/>
    <w:rsid w:val="00887E46"/>
    <w:rsid w:val="0089245A"/>
    <w:rsid w:val="008926EF"/>
    <w:rsid w:val="0089774F"/>
    <w:rsid w:val="00897ECB"/>
    <w:rsid w:val="008A0936"/>
    <w:rsid w:val="008A1649"/>
    <w:rsid w:val="008A1F73"/>
    <w:rsid w:val="008A4057"/>
    <w:rsid w:val="008A55BC"/>
    <w:rsid w:val="008B223E"/>
    <w:rsid w:val="008B56B2"/>
    <w:rsid w:val="008B5B04"/>
    <w:rsid w:val="008C1A1D"/>
    <w:rsid w:val="008C2191"/>
    <w:rsid w:val="008C28F6"/>
    <w:rsid w:val="008C3DCC"/>
    <w:rsid w:val="008C41AA"/>
    <w:rsid w:val="008C44C1"/>
    <w:rsid w:val="008C567E"/>
    <w:rsid w:val="008D127D"/>
    <w:rsid w:val="008D1490"/>
    <w:rsid w:val="008D685A"/>
    <w:rsid w:val="008D6C6B"/>
    <w:rsid w:val="008D6DE0"/>
    <w:rsid w:val="008D7242"/>
    <w:rsid w:val="008D7A98"/>
    <w:rsid w:val="008E06CA"/>
    <w:rsid w:val="008E1C15"/>
    <w:rsid w:val="008E36A0"/>
    <w:rsid w:val="008E3EC9"/>
    <w:rsid w:val="008E50DA"/>
    <w:rsid w:val="008E6418"/>
    <w:rsid w:val="008E7E30"/>
    <w:rsid w:val="008F0C30"/>
    <w:rsid w:val="008F101D"/>
    <w:rsid w:val="008F12C8"/>
    <w:rsid w:val="008F148D"/>
    <w:rsid w:val="008F24BA"/>
    <w:rsid w:val="008F436F"/>
    <w:rsid w:val="008F538E"/>
    <w:rsid w:val="008F5FB7"/>
    <w:rsid w:val="008F72FA"/>
    <w:rsid w:val="009008D5"/>
    <w:rsid w:val="00901850"/>
    <w:rsid w:val="009032EB"/>
    <w:rsid w:val="009038D7"/>
    <w:rsid w:val="00903C4D"/>
    <w:rsid w:val="009047C5"/>
    <w:rsid w:val="009058E3"/>
    <w:rsid w:val="0091590E"/>
    <w:rsid w:val="0091629D"/>
    <w:rsid w:val="00916B31"/>
    <w:rsid w:val="00916C0F"/>
    <w:rsid w:val="009210D9"/>
    <w:rsid w:val="0092111C"/>
    <w:rsid w:val="009221F8"/>
    <w:rsid w:val="00922EA7"/>
    <w:rsid w:val="00923F5C"/>
    <w:rsid w:val="009256D5"/>
    <w:rsid w:val="009259F2"/>
    <w:rsid w:val="00925F52"/>
    <w:rsid w:val="00931B0D"/>
    <w:rsid w:val="00933989"/>
    <w:rsid w:val="00935D38"/>
    <w:rsid w:val="0093616F"/>
    <w:rsid w:val="009425DF"/>
    <w:rsid w:val="00943333"/>
    <w:rsid w:val="0094362D"/>
    <w:rsid w:val="009451B1"/>
    <w:rsid w:val="00946957"/>
    <w:rsid w:val="00947B7A"/>
    <w:rsid w:val="009502CF"/>
    <w:rsid w:val="00951FC6"/>
    <w:rsid w:val="00952DF1"/>
    <w:rsid w:val="0095385A"/>
    <w:rsid w:val="00955483"/>
    <w:rsid w:val="0095765C"/>
    <w:rsid w:val="00957C11"/>
    <w:rsid w:val="00957D1A"/>
    <w:rsid w:val="009627E0"/>
    <w:rsid w:val="00962E23"/>
    <w:rsid w:val="0096318D"/>
    <w:rsid w:val="00965383"/>
    <w:rsid w:val="00965C7C"/>
    <w:rsid w:val="00966F65"/>
    <w:rsid w:val="009679B3"/>
    <w:rsid w:val="00967D81"/>
    <w:rsid w:val="009711D3"/>
    <w:rsid w:val="00971BD0"/>
    <w:rsid w:val="00972B52"/>
    <w:rsid w:val="00972E95"/>
    <w:rsid w:val="009731F5"/>
    <w:rsid w:val="00973C42"/>
    <w:rsid w:val="00974426"/>
    <w:rsid w:val="00974CA6"/>
    <w:rsid w:val="00976325"/>
    <w:rsid w:val="00976945"/>
    <w:rsid w:val="00976CF1"/>
    <w:rsid w:val="00977B0E"/>
    <w:rsid w:val="009803F0"/>
    <w:rsid w:val="009809AF"/>
    <w:rsid w:val="0098264A"/>
    <w:rsid w:val="00993BF2"/>
    <w:rsid w:val="0099513A"/>
    <w:rsid w:val="00995521"/>
    <w:rsid w:val="0099575F"/>
    <w:rsid w:val="0099640A"/>
    <w:rsid w:val="0099786A"/>
    <w:rsid w:val="00997BBF"/>
    <w:rsid w:val="009A1817"/>
    <w:rsid w:val="009A1AC5"/>
    <w:rsid w:val="009A1DFD"/>
    <w:rsid w:val="009A228F"/>
    <w:rsid w:val="009A4374"/>
    <w:rsid w:val="009A46F3"/>
    <w:rsid w:val="009A570E"/>
    <w:rsid w:val="009A5789"/>
    <w:rsid w:val="009A5FCB"/>
    <w:rsid w:val="009A6D1D"/>
    <w:rsid w:val="009A7824"/>
    <w:rsid w:val="009B0F32"/>
    <w:rsid w:val="009B19DF"/>
    <w:rsid w:val="009B215F"/>
    <w:rsid w:val="009B34DB"/>
    <w:rsid w:val="009B4886"/>
    <w:rsid w:val="009B5595"/>
    <w:rsid w:val="009B6E7B"/>
    <w:rsid w:val="009C0828"/>
    <w:rsid w:val="009C7881"/>
    <w:rsid w:val="009C790E"/>
    <w:rsid w:val="009C7FF7"/>
    <w:rsid w:val="009D02C2"/>
    <w:rsid w:val="009D0BBF"/>
    <w:rsid w:val="009D1B2F"/>
    <w:rsid w:val="009D1F09"/>
    <w:rsid w:val="009E05AB"/>
    <w:rsid w:val="009E1923"/>
    <w:rsid w:val="009E1BE1"/>
    <w:rsid w:val="009E1EB2"/>
    <w:rsid w:val="009E25C4"/>
    <w:rsid w:val="009E2A3C"/>
    <w:rsid w:val="009E2C8D"/>
    <w:rsid w:val="009E43F7"/>
    <w:rsid w:val="009E6186"/>
    <w:rsid w:val="009E667F"/>
    <w:rsid w:val="009E6929"/>
    <w:rsid w:val="009E6A3E"/>
    <w:rsid w:val="009E7671"/>
    <w:rsid w:val="009F0BB6"/>
    <w:rsid w:val="009F0E95"/>
    <w:rsid w:val="009F237C"/>
    <w:rsid w:val="009F52AC"/>
    <w:rsid w:val="009F59C2"/>
    <w:rsid w:val="009F5D34"/>
    <w:rsid w:val="009F645A"/>
    <w:rsid w:val="00A023CE"/>
    <w:rsid w:val="00A03406"/>
    <w:rsid w:val="00A03891"/>
    <w:rsid w:val="00A04A6D"/>
    <w:rsid w:val="00A05F95"/>
    <w:rsid w:val="00A06176"/>
    <w:rsid w:val="00A1023E"/>
    <w:rsid w:val="00A112D9"/>
    <w:rsid w:val="00A114A5"/>
    <w:rsid w:val="00A114CB"/>
    <w:rsid w:val="00A117E3"/>
    <w:rsid w:val="00A11AAE"/>
    <w:rsid w:val="00A13D6C"/>
    <w:rsid w:val="00A13F2F"/>
    <w:rsid w:val="00A168F1"/>
    <w:rsid w:val="00A16AD8"/>
    <w:rsid w:val="00A200AF"/>
    <w:rsid w:val="00A22E8B"/>
    <w:rsid w:val="00A230AD"/>
    <w:rsid w:val="00A23925"/>
    <w:rsid w:val="00A24560"/>
    <w:rsid w:val="00A263E3"/>
    <w:rsid w:val="00A26F88"/>
    <w:rsid w:val="00A278BD"/>
    <w:rsid w:val="00A27F23"/>
    <w:rsid w:val="00A3092B"/>
    <w:rsid w:val="00A31686"/>
    <w:rsid w:val="00A32894"/>
    <w:rsid w:val="00A33893"/>
    <w:rsid w:val="00A34538"/>
    <w:rsid w:val="00A346CD"/>
    <w:rsid w:val="00A35513"/>
    <w:rsid w:val="00A3761A"/>
    <w:rsid w:val="00A37ECE"/>
    <w:rsid w:val="00A37FB6"/>
    <w:rsid w:val="00A402A5"/>
    <w:rsid w:val="00A4189D"/>
    <w:rsid w:val="00A43778"/>
    <w:rsid w:val="00A43E49"/>
    <w:rsid w:val="00A455ED"/>
    <w:rsid w:val="00A46584"/>
    <w:rsid w:val="00A46B01"/>
    <w:rsid w:val="00A475EB"/>
    <w:rsid w:val="00A50376"/>
    <w:rsid w:val="00A52AB9"/>
    <w:rsid w:val="00A54F69"/>
    <w:rsid w:val="00A5651E"/>
    <w:rsid w:val="00A572E2"/>
    <w:rsid w:val="00A572E4"/>
    <w:rsid w:val="00A63AB4"/>
    <w:rsid w:val="00A63F94"/>
    <w:rsid w:val="00A641C7"/>
    <w:rsid w:val="00A64B31"/>
    <w:rsid w:val="00A65FDC"/>
    <w:rsid w:val="00A67405"/>
    <w:rsid w:val="00A71455"/>
    <w:rsid w:val="00A7306E"/>
    <w:rsid w:val="00A754E3"/>
    <w:rsid w:val="00A76625"/>
    <w:rsid w:val="00A76BEC"/>
    <w:rsid w:val="00A7735E"/>
    <w:rsid w:val="00A8097A"/>
    <w:rsid w:val="00A80E5A"/>
    <w:rsid w:val="00A84492"/>
    <w:rsid w:val="00A858CC"/>
    <w:rsid w:val="00A91507"/>
    <w:rsid w:val="00A9315F"/>
    <w:rsid w:val="00A93C3A"/>
    <w:rsid w:val="00A95E6B"/>
    <w:rsid w:val="00A9669F"/>
    <w:rsid w:val="00A969AA"/>
    <w:rsid w:val="00AA0106"/>
    <w:rsid w:val="00AA01A7"/>
    <w:rsid w:val="00AA08E7"/>
    <w:rsid w:val="00AA37EA"/>
    <w:rsid w:val="00AA442B"/>
    <w:rsid w:val="00AA5938"/>
    <w:rsid w:val="00AA59E2"/>
    <w:rsid w:val="00AA6612"/>
    <w:rsid w:val="00AA669D"/>
    <w:rsid w:val="00AA71A5"/>
    <w:rsid w:val="00AA7BC8"/>
    <w:rsid w:val="00AB0F67"/>
    <w:rsid w:val="00AB136C"/>
    <w:rsid w:val="00AB19D9"/>
    <w:rsid w:val="00AB2098"/>
    <w:rsid w:val="00AB2CE3"/>
    <w:rsid w:val="00AB2D94"/>
    <w:rsid w:val="00AB3EF0"/>
    <w:rsid w:val="00AB6610"/>
    <w:rsid w:val="00AB6CB0"/>
    <w:rsid w:val="00AB7B91"/>
    <w:rsid w:val="00AC04C9"/>
    <w:rsid w:val="00AC1406"/>
    <w:rsid w:val="00AC3BB2"/>
    <w:rsid w:val="00AC4A5A"/>
    <w:rsid w:val="00AC6C4D"/>
    <w:rsid w:val="00AC7720"/>
    <w:rsid w:val="00AC7865"/>
    <w:rsid w:val="00AC795D"/>
    <w:rsid w:val="00AD0790"/>
    <w:rsid w:val="00AD0DAD"/>
    <w:rsid w:val="00AD3BE5"/>
    <w:rsid w:val="00AD4117"/>
    <w:rsid w:val="00AD7079"/>
    <w:rsid w:val="00AD72A4"/>
    <w:rsid w:val="00AE0131"/>
    <w:rsid w:val="00AE42D3"/>
    <w:rsid w:val="00AE70B1"/>
    <w:rsid w:val="00AE7421"/>
    <w:rsid w:val="00AF0EB0"/>
    <w:rsid w:val="00AF25B8"/>
    <w:rsid w:val="00AF6276"/>
    <w:rsid w:val="00AF6DAE"/>
    <w:rsid w:val="00AF7EFE"/>
    <w:rsid w:val="00B01569"/>
    <w:rsid w:val="00B01619"/>
    <w:rsid w:val="00B02235"/>
    <w:rsid w:val="00B02A47"/>
    <w:rsid w:val="00B030B1"/>
    <w:rsid w:val="00B0510D"/>
    <w:rsid w:val="00B05A55"/>
    <w:rsid w:val="00B073F3"/>
    <w:rsid w:val="00B075F3"/>
    <w:rsid w:val="00B1069D"/>
    <w:rsid w:val="00B12193"/>
    <w:rsid w:val="00B13EC0"/>
    <w:rsid w:val="00B143B0"/>
    <w:rsid w:val="00B173E1"/>
    <w:rsid w:val="00B205FF"/>
    <w:rsid w:val="00B22024"/>
    <w:rsid w:val="00B22E22"/>
    <w:rsid w:val="00B23041"/>
    <w:rsid w:val="00B25ADA"/>
    <w:rsid w:val="00B27676"/>
    <w:rsid w:val="00B326CC"/>
    <w:rsid w:val="00B32BAB"/>
    <w:rsid w:val="00B3418C"/>
    <w:rsid w:val="00B353C1"/>
    <w:rsid w:val="00B37166"/>
    <w:rsid w:val="00B40DD7"/>
    <w:rsid w:val="00B42606"/>
    <w:rsid w:val="00B448AA"/>
    <w:rsid w:val="00B44975"/>
    <w:rsid w:val="00B460E5"/>
    <w:rsid w:val="00B46284"/>
    <w:rsid w:val="00B466B9"/>
    <w:rsid w:val="00B46D74"/>
    <w:rsid w:val="00B525CB"/>
    <w:rsid w:val="00B547D2"/>
    <w:rsid w:val="00B62917"/>
    <w:rsid w:val="00B63872"/>
    <w:rsid w:val="00B63CB2"/>
    <w:rsid w:val="00B64277"/>
    <w:rsid w:val="00B64EDB"/>
    <w:rsid w:val="00B67729"/>
    <w:rsid w:val="00B7101B"/>
    <w:rsid w:val="00B72172"/>
    <w:rsid w:val="00B72946"/>
    <w:rsid w:val="00B7315F"/>
    <w:rsid w:val="00B73D1C"/>
    <w:rsid w:val="00B75424"/>
    <w:rsid w:val="00B755D8"/>
    <w:rsid w:val="00B80B7F"/>
    <w:rsid w:val="00B80F8F"/>
    <w:rsid w:val="00B819B8"/>
    <w:rsid w:val="00B8475B"/>
    <w:rsid w:val="00B87866"/>
    <w:rsid w:val="00B905F8"/>
    <w:rsid w:val="00B908CF"/>
    <w:rsid w:val="00B913A7"/>
    <w:rsid w:val="00B91B8E"/>
    <w:rsid w:val="00B92156"/>
    <w:rsid w:val="00B92EC6"/>
    <w:rsid w:val="00B94AF0"/>
    <w:rsid w:val="00B95CB9"/>
    <w:rsid w:val="00B95DA8"/>
    <w:rsid w:val="00B960EE"/>
    <w:rsid w:val="00B974F0"/>
    <w:rsid w:val="00BA1266"/>
    <w:rsid w:val="00BA2197"/>
    <w:rsid w:val="00BA504F"/>
    <w:rsid w:val="00BA7847"/>
    <w:rsid w:val="00BA7F43"/>
    <w:rsid w:val="00BB112D"/>
    <w:rsid w:val="00BB18AE"/>
    <w:rsid w:val="00BB378B"/>
    <w:rsid w:val="00BB3D86"/>
    <w:rsid w:val="00BB3FDC"/>
    <w:rsid w:val="00BB7DF0"/>
    <w:rsid w:val="00BC073F"/>
    <w:rsid w:val="00BC0E07"/>
    <w:rsid w:val="00BC13D5"/>
    <w:rsid w:val="00BC2A98"/>
    <w:rsid w:val="00BC3394"/>
    <w:rsid w:val="00BC418B"/>
    <w:rsid w:val="00BC4EE5"/>
    <w:rsid w:val="00BC5511"/>
    <w:rsid w:val="00BC553A"/>
    <w:rsid w:val="00BC6E67"/>
    <w:rsid w:val="00BD010E"/>
    <w:rsid w:val="00BD3D51"/>
    <w:rsid w:val="00BD5DA2"/>
    <w:rsid w:val="00BD6A96"/>
    <w:rsid w:val="00BD78FE"/>
    <w:rsid w:val="00BD7ABD"/>
    <w:rsid w:val="00BE0B4C"/>
    <w:rsid w:val="00BE194E"/>
    <w:rsid w:val="00BE1A4F"/>
    <w:rsid w:val="00BE33E3"/>
    <w:rsid w:val="00BE38D8"/>
    <w:rsid w:val="00BE54E9"/>
    <w:rsid w:val="00BE7299"/>
    <w:rsid w:val="00BF4CB9"/>
    <w:rsid w:val="00BF568B"/>
    <w:rsid w:val="00BF5C9A"/>
    <w:rsid w:val="00BF6023"/>
    <w:rsid w:val="00BF6B5D"/>
    <w:rsid w:val="00C00250"/>
    <w:rsid w:val="00C04D43"/>
    <w:rsid w:val="00C05055"/>
    <w:rsid w:val="00C10177"/>
    <w:rsid w:val="00C12D2F"/>
    <w:rsid w:val="00C21798"/>
    <w:rsid w:val="00C21CA8"/>
    <w:rsid w:val="00C2286A"/>
    <w:rsid w:val="00C23738"/>
    <w:rsid w:val="00C24648"/>
    <w:rsid w:val="00C2672E"/>
    <w:rsid w:val="00C26DA0"/>
    <w:rsid w:val="00C3024A"/>
    <w:rsid w:val="00C3111E"/>
    <w:rsid w:val="00C35C82"/>
    <w:rsid w:val="00C37066"/>
    <w:rsid w:val="00C37908"/>
    <w:rsid w:val="00C40E3E"/>
    <w:rsid w:val="00C44430"/>
    <w:rsid w:val="00C449F1"/>
    <w:rsid w:val="00C45FF9"/>
    <w:rsid w:val="00C51F3E"/>
    <w:rsid w:val="00C5234D"/>
    <w:rsid w:val="00C531C9"/>
    <w:rsid w:val="00C53B55"/>
    <w:rsid w:val="00C548B1"/>
    <w:rsid w:val="00C55BC3"/>
    <w:rsid w:val="00C60259"/>
    <w:rsid w:val="00C60414"/>
    <w:rsid w:val="00C60CB9"/>
    <w:rsid w:val="00C6185D"/>
    <w:rsid w:val="00C61D16"/>
    <w:rsid w:val="00C634EA"/>
    <w:rsid w:val="00C649B7"/>
    <w:rsid w:val="00C653AC"/>
    <w:rsid w:val="00C6596C"/>
    <w:rsid w:val="00C6614A"/>
    <w:rsid w:val="00C663A4"/>
    <w:rsid w:val="00C67707"/>
    <w:rsid w:val="00C73055"/>
    <w:rsid w:val="00C7616C"/>
    <w:rsid w:val="00C821BC"/>
    <w:rsid w:val="00C849F5"/>
    <w:rsid w:val="00C867D7"/>
    <w:rsid w:val="00C91FB2"/>
    <w:rsid w:val="00C92374"/>
    <w:rsid w:val="00C9249A"/>
    <w:rsid w:val="00C93443"/>
    <w:rsid w:val="00C94E35"/>
    <w:rsid w:val="00C96C77"/>
    <w:rsid w:val="00C96D43"/>
    <w:rsid w:val="00C97575"/>
    <w:rsid w:val="00CA026B"/>
    <w:rsid w:val="00CA0995"/>
    <w:rsid w:val="00CA1549"/>
    <w:rsid w:val="00CA18E0"/>
    <w:rsid w:val="00CA3230"/>
    <w:rsid w:val="00CA5499"/>
    <w:rsid w:val="00CA7FCD"/>
    <w:rsid w:val="00CB25C4"/>
    <w:rsid w:val="00CB60B1"/>
    <w:rsid w:val="00CC00CD"/>
    <w:rsid w:val="00CC0A10"/>
    <w:rsid w:val="00CC2112"/>
    <w:rsid w:val="00CC3A3C"/>
    <w:rsid w:val="00CC668E"/>
    <w:rsid w:val="00CD078A"/>
    <w:rsid w:val="00CD0C65"/>
    <w:rsid w:val="00CD1717"/>
    <w:rsid w:val="00CD4DEB"/>
    <w:rsid w:val="00CD4E6A"/>
    <w:rsid w:val="00CE1842"/>
    <w:rsid w:val="00CE6353"/>
    <w:rsid w:val="00CE78C8"/>
    <w:rsid w:val="00CF1834"/>
    <w:rsid w:val="00CF3600"/>
    <w:rsid w:val="00CF3DB4"/>
    <w:rsid w:val="00CF4F42"/>
    <w:rsid w:val="00CF5708"/>
    <w:rsid w:val="00CF58D1"/>
    <w:rsid w:val="00CF654E"/>
    <w:rsid w:val="00CF6DF1"/>
    <w:rsid w:val="00D01760"/>
    <w:rsid w:val="00D02290"/>
    <w:rsid w:val="00D03A34"/>
    <w:rsid w:val="00D0438F"/>
    <w:rsid w:val="00D04D02"/>
    <w:rsid w:val="00D054D1"/>
    <w:rsid w:val="00D066C6"/>
    <w:rsid w:val="00D100F1"/>
    <w:rsid w:val="00D10B3F"/>
    <w:rsid w:val="00D11104"/>
    <w:rsid w:val="00D13158"/>
    <w:rsid w:val="00D1355F"/>
    <w:rsid w:val="00D14E4C"/>
    <w:rsid w:val="00D16E39"/>
    <w:rsid w:val="00D20871"/>
    <w:rsid w:val="00D223B6"/>
    <w:rsid w:val="00D223BF"/>
    <w:rsid w:val="00D22E7F"/>
    <w:rsid w:val="00D2477E"/>
    <w:rsid w:val="00D24B55"/>
    <w:rsid w:val="00D2547E"/>
    <w:rsid w:val="00D25858"/>
    <w:rsid w:val="00D26A74"/>
    <w:rsid w:val="00D27347"/>
    <w:rsid w:val="00D3041C"/>
    <w:rsid w:val="00D31D03"/>
    <w:rsid w:val="00D31D3A"/>
    <w:rsid w:val="00D335A1"/>
    <w:rsid w:val="00D339FA"/>
    <w:rsid w:val="00D361BF"/>
    <w:rsid w:val="00D4100E"/>
    <w:rsid w:val="00D4370C"/>
    <w:rsid w:val="00D444D4"/>
    <w:rsid w:val="00D45895"/>
    <w:rsid w:val="00D47D94"/>
    <w:rsid w:val="00D500DB"/>
    <w:rsid w:val="00D509AE"/>
    <w:rsid w:val="00D51B23"/>
    <w:rsid w:val="00D51F79"/>
    <w:rsid w:val="00D51F97"/>
    <w:rsid w:val="00D54817"/>
    <w:rsid w:val="00D55524"/>
    <w:rsid w:val="00D57FAA"/>
    <w:rsid w:val="00D60327"/>
    <w:rsid w:val="00D6044C"/>
    <w:rsid w:val="00D629E0"/>
    <w:rsid w:val="00D63052"/>
    <w:rsid w:val="00D652A7"/>
    <w:rsid w:val="00D653C8"/>
    <w:rsid w:val="00D66CC3"/>
    <w:rsid w:val="00D6791C"/>
    <w:rsid w:val="00D67A53"/>
    <w:rsid w:val="00D70473"/>
    <w:rsid w:val="00D70EBC"/>
    <w:rsid w:val="00D72E9D"/>
    <w:rsid w:val="00D74A77"/>
    <w:rsid w:val="00D80641"/>
    <w:rsid w:val="00D82CE5"/>
    <w:rsid w:val="00D83908"/>
    <w:rsid w:val="00D86256"/>
    <w:rsid w:val="00D87DD1"/>
    <w:rsid w:val="00D90FE4"/>
    <w:rsid w:val="00D91951"/>
    <w:rsid w:val="00D91B7F"/>
    <w:rsid w:val="00D92948"/>
    <w:rsid w:val="00D94598"/>
    <w:rsid w:val="00D94962"/>
    <w:rsid w:val="00D95B43"/>
    <w:rsid w:val="00DA2DB6"/>
    <w:rsid w:val="00DA2E69"/>
    <w:rsid w:val="00DA395F"/>
    <w:rsid w:val="00DA3FBF"/>
    <w:rsid w:val="00DA520C"/>
    <w:rsid w:val="00DA54D1"/>
    <w:rsid w:val="00DA5AB1"/>
    <w:rsid w:val="00DA5D71"/>
    <w:rsid w:val="00DA7706"/>
    <w:rsid w:val="00DB04D4"/>
    <w:rsid w:val="00DB259A"/>
    <w:rsid w:val="00DB6633"/>
    <w:rsid w:val="00DC13B7"/>
    <w:rsid w:val="00DC2B8C"/>
    <w:rsid w:val="00DC39BB"/>
    <w:rsid w:val="00DC5871"/>
    <w:rsid w:val="00DC62E5"/>
    <w:rsid w:val="00DC6929"/>
    <w:rsid w:val="00DD04F2"/>
    <w:rsid w:val="00DD1C32"/>
    <w:rsid w:val="00DD2F6A"/>
    <w:rsid w:val="00DD32C5"/>
    <w:rsid w:val="00DD4B1D"/>
    <w:rsid w:val="00DD6ABE"/>
    <w:rsid w:val="00DD735D"/>
    <w:rsid w:val="00DE1F24"/>
    <w:rsid w:val="00DE21F8"/>
    <w:rsid w:val="00DE3119"/>
    <w:rsid w:val="00DE6E0C"/>
    <w:rsid w:val="00DE74A8"/>
    <w:rsid w:val="00DF127F"/>
    <w:rsid w:val="00DF236B"/>
    <w:rsid w:val="00DF3CFC"/>
    <w:rsid w:val="00DF4802"/>
    <w:rsid w:val="00DF78C6"/>
    <w:rsid w:val="00DF7BCB"/>
    <w:rsid w:val="00E0159F"/>
    <w:rsid w:val="00E04179"/>
    <w:rsid w:val="00E04DE3"/>
    <w:rsid w:val="00E05991"/>
    <w:rsid w:val="00E06023"/>
    <w:rsid w:val="00E06A99"/>
    <w:rsid w:val="00E06E08"/>
    <w:rsid w:val="00E07C7A"/>
    <w:rsid w:val="00E10A7E"/>
    <w:rsid w:val="00E11C35"/>
    <w:rsid w:val="00E13AB8"/>
    <w:rsid w:val="00E205B9"/>
    <w:rsid w:val="00E20617"/>
    <w:rsid w:val="00E211E2"/>
    <w:rsid w:val="00E22816"/>
    <w:rsid w:val="00E22F43"/>
    <w:rsid w:val="00E230FD"/>
    <w:rsid w:val="00E24E1A"/>
    <w:rsid w:val="00E25CB3"/>
    <w:rsid w:val="00E263C0"/>
    <w:rsid w:val="00E30C68"/>
    <w:rsid w:val="00E323A4"/>
    <w:rsid w:val="00E33B62"/>
    <w:rsid w:val="00E3604F"/>
    <w:rsid w:val="00E378A8"/>
    <w:rsid w:val="00E4010D"/>
    <w:rsid w:val="00E4143A"/>
    <w:rsid w:val="00E41DA5"/>
    <w:rsid w:val="00E42F18"/>
    <w:rsid w:val="00E4341D"/>
    <w:rsid w:val="00E443CA"/>
    <w:rsid w:val="00E4540B"/>
    <w:rsid w:val="00E471D7"/>
    <w:rsid w:val="00E50A44"/>
    <w:rsid w:val="00E516F9"/>
    <w:rsid w:val="00E53C0C"/>
    <w:rsid w:val="00E551B1"/>
    <w:rsid w:val="00E56D69"/>
    <w:rsid w:val="00E6039E"/>
    <w:rsid w:val="00E6049C"/>
    <w:rsid w:val="00E60A8C"/>
    <w:rsid w:val="00E617E7"/>
    <w:rsid w:val="00E61AEE"/>
    <w:rsid w:val="00E62A7B"/>
    <w:rsid w:val="00E62D5F"/>
    <w:rsid w:val="00E655FD"/>
    <w:rsid w:val="00E667E7"/>
    <w:rsid w:val="00E673D1"/>
    <w:rsid w:val="00E67555"/>
    <w:rsid w:val="00E67F98"/>
    <w:rsid w:val="00E67FC7"/>
    <w:rsid w:val="00E75248"/>
    <w:rsid w:val="00E7579A"/>
    <w:rsid w:val="00E76BEA"/>
    <w:rsid w:val="00E77DDF"/>
    <w:rsid w:val="00E8165D"/>
    <w:rsid w:val="00E82BF8"/>
    <w:rsid w:val="00E83676"/>
    <w:rsid w:val="00E8759D"/>
    <w:rsid w:val="00E87C04"/>
    <w:rsid w:val="00E95221"/>
    <w:rsid w:val="00EA08AE"/>
    <w:rsid w:val="00EA0B3F"/>
    <w:rsid w:val="00EA1DFE"/>
    <w:rsid w:val="00EA3908"/>
    <w:rsid w:val="00EA3A6A"/>
    <w:rsid w:val="00EA76CC"/>
    <w:rsid w:val="00EA7F2C"/>
    <w:rsid w:val="00EB1002"/>
    <w:rsid w:val="00EB148A"/>
    <w:rsid w:val="00EB385B"/>
    <w:rsid w:val="00EB49E9"/>
    <w:rsid w:val="00EB4E04"/>
    <w:rsid w:val="00EB52EB"/>
    <w:rsid w:val="00EB7BAF"/>
    <w:rsid w:val="00EC02E9"/>
    <w:rsid w:val="00EC07B9"/>
    <w:rsid w:val="00EC1001"/>
    <w:rsid w:val="00EC5115"/>
    <w:rsid w:val="00EC5BF6"/>
    <w:rsid w:val="00EC5DE4"/>
    <w:rsid w:val="00EC6C6C"/>
    <w:rsid w:val="00ED030F"/>
    <w:rsid w:val="00ED069A"/>
    <w:rsid w:val="00ED137B"/>
    <w:rsid w:val="00ED4D4B"/>
    <w:rsid w:val="00ED66AF"/>
    <w:rsid w:val="00EE01A6"/>
    <w:rsid w:val="00EE0C96"/>
    <w:rsid w:val="00EE3C1D"/>
    <w:rsid w:val="00EE59B5"/>
    <w:rsid w:val="00EE5DF7"/>
    <w:rsid w:val="00EE6F2B"/>
    <w:rsid w:val="00EE7B55"/>
    <w:rsid w:val="00EF1CED"/>
    <w:rsid w:val="00EF3228"/>
    <w:rsid w:val="00EF5B1F"/>
    <w:rsid w:val="00EF5B45"/>
    <w:rsid w:val="00EF63F9"/>
    <w:rsid w:val="00EF7479"/>
    <w:rsid w:val="00F02DE3"/>
    <w:rsid w:val="00F032A9"/>
    <w:rsid w:val="00F04B94"/>
    <w:rsid w:val="00F1003E"/>
    <w:rsid w:val="00F12C0B"/>
    <w:rsid w:val="00F132C2"/>
    <w:rsid w:val="00F13DC5"/>
    <w:rsid w:val="00F14845"/>
    <w:rsid w:val="00F1742F"/>
    <w:rsid w:val="00F23B21"/>
    <w:rsid w:val="00F23E3A"/>
    <w:rsid w:val="00F24412"/>
    <w:rsid w:val="00F24C5B"/>
    <w:rsid w:val="00F27FB1"/>
    <w:rsid w:val="00F30C87"/>
    <w:rsid w:val="00F31A6E"/>
    <w:rsid w:val="00F32E6C"/>
    <w:rsid w:val="00F3318F"/>
    <w:rsid w:val="00F34399"/>
    <w:rsid w:val="00F356C0"/>
    <w:rsid w:val="00F358DD"/>
    <w:rsid w:val="00F36384"/>
    <w:rsid w:val="00F376A3"/>
    <w:rsid w:val="00F37829"/>
    <w:rsid w:val="00F378FF"/>
    <w:rsid w:val="00F40528"/>
    <w:rsid w:val="00F42770"/>
    <w:rsid w:val="00F431BE"/>
    <w:rsid w:val="00F43A01"/>
    <w:rsid w:val="00F44920"/>
    <w:rsid w:val="00F44E08"/>
    <w:rsid w:val="00F45492"/>
    <w:rsid w:val="00F45C5C"/>
    <w:rsid w:val="00F474CD"/>
    <w:rsid w:val="00F475DF"/>
    <w:rsid w:val="00F50FAB"/>
    <w:rsid w:val="00F5291B"/>
    <w:rsid w:val="00F545CE"/>
    <w:rsid w:val="00F561C2"/>
    <w:rsid w:val="00F562FB"/>
    <w:rsid w:val="00F56935"/>
    <w:rsid w:val="00F603CC"/>
    <w:rsid w:val="00F61FF3"/>
    <w:rsid w:val="00F622F6"/>
    <w:rsid w:val="00F62DFF"/>
    <w:rsid w:val="00F6417E"/>
    <w:rsid w:val="00F67254"/>
    <w:rsid w:val="00F673F5"/>
    <w:rsid w:val="00F676FB"/>
    <w:rsid w:val="00F7036D"/>
    <w:rsid w:val="00F7055C"/>
    <w:rsid w:val="00F71603"/>
    <w:rsid w:val="00F72043"/>
    <w:rsid w:val="00F74CF2"/>
    <w:rsid w:val="00F7523B"/>
    <w:rsid w:val="00F8082A"/>
    <w:rsid w:val="00F80FCF"/>
    <w:rsid w:val="00F84899"/>
    <w:rsid w:val="00F84D74"/>
    <w:rsid w:val="00F85099"/>
    <w:rsid w:val="00F859F0"/>
    <w:rsid w:val="00F8669E"/>
    <w:rsid w:val="00F86F03"/>
    <w:rsid w:val="00F87AEE"/>
    <w:rsid w:val="00F902D7"/>
    <w:rsid w:val="00F90481"/>
    <w:rsid w:val="00F909ED"/>
    <w:rsid w:val="00F93217"/>
    <w:rsid w:val="00F935FB"/>
    <w:rsid w:val="00F95890"/>
    <w:rsid w:val="00F97ECF"/>
    <w:rsid w:val="00FA039C"/>
    <w:rsid w:val="00FA071D"/>
    <w:rsid w:val="00FA12FD"/>
    <w:rsid w:val="00FA19FB"/>
    <w:rsid w:val="00FA20E6"/>
    <w:rsid w:val="00FA2863"/>
    <w:rsid w:val="00FB032F"/>
    <w:rsid w:val="00FB1417"/>
    <w:rsid w:val="00FB6A61"/>
    <w:rsid w:val="00FC0461"/>
    <w:rsid w:val="00FC1D2E"/>
    <w:rsid w:val="00FC3C98"/>
    <w:rsid w:val="00FC53F2"/>
    <w:rsid w:val="00FC6EF6"/>
    <w:rsid w:val="00FD1B9A"/>
    <w:rsid w:val="00FD25AA"/>
    <w:rsid w:val="00FD29A3"/>
    <w:rsid w:val="00FD385C"/>
    <w:rsid w:val="00FD61AC"/>
    <w:rsid w:val="00FD630C"/>
    <w:rsid w:val="00FD70BB"/>
    <w:rsid w:val="00FD71E5"/>
    <w:rsid w:val="00FD75E0"/>
    <w:rsid w:val="00FE01B6"/>
    <w:rsid w:val="00FE141E"/>
    <w:rsid w:val="00FE3BCC"/>
    <w:rsid w:val="00FE3E0A"/>
    <w:rsid w:val="00FE42ED"/>
    <w:rsid w:val="00FE455B"/>
    <w:rsid w:val="00FE6AB6"/>
    <w:rsid w:val="00FE6D4C"/>
    <w:rsid w:val="00FE7555"/>
    <w:rsid w:val="00FF0706"/>
    <w:rsid w:val="00FF208F"/>
    <w:rsid w:val="00FF2375"/>
    <w:rsid w:val="00FF29B6"/>
    <w:rsid w:val="00FF2F4B"/>
    <w:rsid w:val="00FF69D5"/>
    <w:rsid w:val="353172AA"/>
    <w:rsid w:val="613A076F"/>
    <w:rsid w:val="63936534"/>
    <w:rsid w:val="7D1E156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549"/>
    <w:pPr>
      <w:spacing w:after="0" w:line="240" w:lineRule="auto"/>
    </w:pPr>
    <w:rPr>
      <w:rFonts w:ascii="Times New Roman" w:eastAsia="Times New Roman" w:hAnsi="Times New Roman" w:cs="Times New Roman"/>
      <w:sz w:val="24"/>
      <w:szCs w:val="24"/>
      <w:lang w:eastAsia="es-ES_tradnl"/>
    </w:rPr>
  </w:style>
  <w:style w:type="paragraph" w:styleId="Ttulo2">
    <w:name w:val="heading 2"/>
    <w:basedOn w:val="Normal"/>
    <w:next w:val="Normal"/>
    <w:link w:val="Ttulo2Car"/>
    <w:uiPriority w:val="9"/>
    <w:unhideWhenUsed/>
    <w:qFormat/>
    <w:rsid w:val="0028568A"/>
    <w:pPr>
      <w:keepNext/>
      <w:keepLines/>
      <w:spacing w:before="40" w:after="200" w:line="276" w:lineRule="auto"/>
      <w:jc w:val="both"/>
      <w:outlineLvl w:val="1"/>
    </w:pPr>
    <w:rPr>
      <w:rFonts w:asciiTheme="majorHAnsi" w:eastAsiaTheme="majorEastAsia" w:hAnsiTheme="majorHAnsi" w:cstheme="majorBidi"/>
      <w:color w:val="365F91"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after="200" w:line="276" w:lineRule="auto"/>
    </w:pPr>
    <w:rPr>
      <w:lang w:val="es-E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after="200" w:line="276"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after="200" w:line="276" w:lineRule="auto"/>
    </w:pPr>
    <w:rPr>
      <w:lang w:val="es-E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after="200" w:line="276" w:lineRule="auto"/>
      <w:ind w:left="720"/>
      <w:contextualSpacing/>
    </w:pPr>
    <w:rPr>
      <w:lang w:val="es-E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pPr>
      <w:spacing w:after="200" w:line="276" w:lineRule="auto"/>
    </w:pPr>
    <w:rPr>
      <w:sz w:val="20"/>
      <w:szCs w:val="20"/>
      <w:lang w:val="es-E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pPr>
    <w:rPr>
      <w:lang w:val="es-ES"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pPr>
      <w:spacing w:after="200" w:line="276" w:lineRule="auto"/>
    </w:pPr>
    <w:rPr>
      <w:sz w:val="20"/>
      <w:szCs w:val="20"/>
      <w:lang w:val="es-E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val="es-ES"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line="276" w:lineRule="auto"/>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val="es-ES" w:eastAsia="es-CO"/>
    </w:rPr>
  </w:style>
  <w:style w:type="paragraph" w:styleId="Revisin">
    <w:name w:val="Revision"/>
    <w:hidden/>
    <w:uiPriority w:val="99"/>
    <w:semiHidden/>
    <w:rsid w:val="004C07BA"/>
    <w:pPr>
      <w:spacing w:after="0" w:line="240" w:lineRule="auto"/>
    </w:pPr>
    <w:rPr>
      <w:rFonts w:ascii="Times New Roman" w:eastAsia="Times New Roman" w:hAnsi="Times New Roman" w:cs="Times New Roman"/>
      <w:sz w:val="24"/>
      <w:szCs w:val="24"/>
      <w:lang w:eastAsia="es-ES_tradnl"/>
    </w:rPr>
  </w:style>
  <w:style w:type="character" w:customStyle="1" w:styleId="Mencinsinresolver2">
    <w:name w:val="Mención sin resolver2"/>
    <w:basedOn w:val="Fuentedeprrafopredeter"/>
    <w:uiPriority w:val="99"/>
    <w:rsid w:val="009B5595"/>
    <w:rPr>
      <w:color w:val="605E5C"/>
      <w:shd w:val="clear" w:color="auto" w:fill="E1DFDD"/>
    </w:rPr>
  </w:style>
  <w:style w:type="character" w:customStyle="1" w:styleId="Ttulo2Car">
    <w:name w:val="Título 2 Car"/>
    <w:basedOn w:val="Fuentedeprrafopredeter"/>
    <w:link w:val="Ttulo2"/>
    <w:uiPriority w:val="9"/>
    <w:rsid w:val="0028568A"/>
    <w:rPr>
      <w:rFonts w:asciiTheme="majorHAnsi" w:eastAsiaTheme="majorEastAsia" w:hAnsiTheme="majorHAnsi" w:cstheme="majorBidi"/>
      <w:color w:val="365F91" w:themeColor="accent1" w:themeShade="BF"/>
      <w:sz w:val="26"/>
      <w:szCs w:val="26"/>
      <w:lang w:val="es-MX"/>
    </w:rPr>
  </w:style>
  <w:style w:type="character" w:customStyle="1" w:styleId="NormalWebCar">
    <w:name w:val="Normal (Web) Car"/>
    <w:link w:val="NormalWeb"/>
    <w:uiPriority w:val="99"/>
    <w:rsid w:val="0028568A"/>
    <w:rPr>
      <w:rFonts w:ascii="Times New Roman" w:eastAsia="Times New Roman" w:hAnsi="Times New Roman" w:cs="Times New Roman"/>
      <w:sz w:val="24"/>
      <w:szCs w:val="24"/>
      <w:lang w:eastAsia="es-CO"/>
    </w:rPr>
  </w:style>
  <w:style w:type="paragraph" w:customStyle="1" w:styleId="Default">
    <w:name w:val="Default"/>
    <w:rsid w:val="0028568A"/>
    <w:pPr>
      <w:autoSpaceDE w:val="0"/>
      <w:autoSpaceDN w:val="0"/>
      <w:adjustRightInd w:val="0"/>
      <w:spacing w:after="0" w:line="240" w:lineRule="auto"/>
    </w:pPr>
    <w:rPr>
      <w:rFonts w:ascii="Arial" w:hAnsi="Arial" w:cs="Arial"/>
      <w:color w:val="000000"/>
      <w:sz w:val="24"/>
      <w:szCs w:val="24"/>
    </w:rPr>
  </w:style>
  <w:style w:type="character" w:styleId="nfasis">
    <w:name w:val="Emphasis"/>
    <w:basedOn w:val="Fuentedeprrafopredeter"/>
    <w:uiPriority w:val="20"/>
    <w:qFormat/>
    <w:rsid w:val="00097B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35470940">
      <w:bodyDiv w:val="1"/>
      <w:marLeft w:val="0"/>
      <w:marRight w:val="0"/>
      <w:marTop w:val="0"/>
      <w:marBottom w:val="0"/>
      <w:divBdr>
        <w:top w:val="none" w:sz="0" w:space="0" w:color="auto"/>
        <w:left w:val="none" w:sz="0" w:space="0" w:color="auto"/>
        <w:bottom w:val="none" w:sz="0" w:space="0" w:color="auto"/>
        <w:right w:val="none" w:sz="0" w:space="0" w:color="auto"/>
      </w:divBdr>
    </w:div>
    <w:div w:id="3921360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3570573">
      <w:bodyDiv w:val="1"/>
      <w:marLeft w:val="0"/>
      <w:marRight w:val="0"/>
      <w:marTop w:val="0"/>
      <w:marBottom w:val="0"/>
      <w:divBdr>
        <w:top w:val="none" w:sz="0" w:space="0" w:color="auto"/>
        <w:left w:val="none" w:sz="0" w:space="0" w:color="auto"/>
        <w:bottom w:val="none" w:sz="0" w:space="0" w:color="auto"/>
        <w:right w:val="none" w:sz="0" w:space="0" w:color="auto"/>
      </w:divBdr>
    </w:div>
    <w:div w:id="78991724">
      <w:bodyDiv w:val="1"/>
      <w:marLeft w:val="0"/>
      <w:marRight w:val="0"/>
      <w:marTop w:val="0"/>
      <w:marBottom w:val="0"/>
      <w:divBdr>
        <w:top w:val="none" w:sz="0" w:space="0" w:color="auto"/>
        <w:left w:val="none" w:sz="0" w:space="0" w:color="auto"/>
        <w:bottom w:val="none" w:sz="0" w:space="0" w:color="auto"/>
        <w:right w:val="none" w:sz="0" w:space="0" w:color="auto"/>
      </w:divBdr>
      <w:divsChild>
        <w:div w:id="437987561">
          <w:marLeft w:val="0"/>
          <w:marRight w:val="0"/>
          <w:marTop w:val="0"/>
          <w:marBottom w:val="0"/>
          <w:divBdr>
            <w:top w:val="none" w:sz="0" w:space="0" w:color="auto"/>
            <w:left w:val="none" w:sz="0" w:space="0" w:color="auto"/>
            <w:bottom w:val="none" w:sz="0" w:space="0" w:color="auto"/>
            <w:right w:val="none" w:sz="0" w:space="0" w:color="auto"/>
          </w:divBdr>
          <w:divsChild>
            <w:div w:id="1505590868">
              <w:marLeft w:val="0"/>
              <w:marRight w:val="0"/>
              <w:marTop w:val="0"/>
              <w:marBottom w:val="0"/>
              <w:divBdr>
                <w:top w:val="none" w:sz="0" w:space="0" w:color="auto"/>
                <w:left w:val="none" w:sz="0" w:space="0" w:color="auto"/>
                <w:bottom w:val="none" w:sz="0" w:space="0" w:color="auto"/>
                <w:right w:val="none" w:sz="0" w:space="0" w:color="auto"/>
              </w:divBdr>
              <w:divsChild>
                <w:div w:id="942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7572">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68648163">
      <w:bodyDiv w:val="1"/>
      <w:marLeft w:val="0"/>
      <w:marRight w:val="0"/>
      <w:marTop w:val="0"/>
      <w:marBottom w:val="0"/>
      <w:divBdr>
        <w:top w:val="none" w:sz="0" w:space="0" w:color="auto"/>
        <w:left w:val="none" w:sz="0" w:space="0" w:color="auto"/>
        <w:bottom w:val="none" w:sz="0" w:space="0" w:color="auto"/>
        <w:right w:val="none" w:sz="0" w:space="0" w:color="auto"/>
      </w:divBdr>
    </w:div>
    <w:div w:id="414979668">
      <w:bodyDiv w:val="1"/>
      <w:marLeft w:val="0"/>
      <w:marRight w:val="0"/>
      <w:marTop w:val="0"/>
      <w:marBottom w:val="0"/>
      <w:divBdr>
        <w:top w:val="none" w:sz="0" w:space="0" w:color="auto"/>
        <w:left w:val="none" w:sz="0" w:space="0" w:color="auto"/>
        <w:bottom w:val="none" w:sz="0" w:space="0" w:color="auto"/>
        <w:right w:val="none" w:sz="0" w:space="0" w:color="auto"/>
      </w:divBdr>
    </w:div>
    <w:div w:id="436214790">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88330017">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66190026">
      <w:bodyDiv w:val="1"/>
      <w:marLeft w:val="0"/>
      <w:marRight w:val="0"/>
      <w:marTop w:val="0"/>
      <w:marBottom w:val="0"/>
      <w:divBdr>
        <w:top w:val="none" w:sz="0" w:space="0" w:color="auto"/>
        <w:left w:val="none" w:sz="0" w:space="0" w:color="auto"/>
        <w:bottom w:val="none" w:sz="0" w:space="0" w:color="auto"/>
        <w:right w:val="none" w:sz="0" w:space="0" w:color="auto"/>
      </w:divBdr>
    </w:div>
    <w:div w:id="573710647">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6359904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817697243">
      <w:bodyDiv w:val="1"/>
      <w:marLeft w:val="0"/>
      <w:marRight w:val="0"/>
      <w:marTop w:val="0"/>
      <w:marBottom w:val="0"/>
      <w:divBdr>
        <w:top w:val="none" w:sz="0" w:space="0" w:color="auto"/>
        <w:left w:val="none" w:sz="0" w:space="0" w:color="auto"/>
        <w:bottom w:val="none" w:sz="0" w:space="0" w:color="auto"/>
        <w:right w:val="none" w:sz="0" w:space="0" w:color="auto"/>
      </w:divBdr>
      <w:divsChild>
        <w:div w:id="156578691">
          <w:marLeft w:val="0"/>
          <w:marRight w:val="0"/>
          <w:marTop w:val="0"/>
          <w:marBottom w:val="0"/>
          <w:divBdr>
            <w:top w:val="none" w:sz="0" w:space="0" w:color="auto"/>
            <w:left w:val="none" w:sz="0" w:space="0" w:color="auto"/>
            <w:bottom w:val="none" w:sz="0" w:space="0" w:color="auto"/>
            <w:right w:val="none" w:sz="0" w:space="0" w:color="auto"/>
          </w:divBdr>
          <w:divsChild>
            <w:div w:id="1087726189">
              <w:marLeft w:val="0"/>
              <w:marRight w:val="0"/>
              <w:marTop w:val="0"/>
              <w:marBottom w:val="0"/>
              <w:divBdr>
                <w:top w:val="none" w:sz="0" w:space="0" w:color="auto"/>
                <w:left w:val="none" w:sz="0" w:space="0" w:color="auto"/>
                <w:bottom w:val="none" w:sz="0" w:space="0" w:color="auto"/>
                <w:right w:val="none" w:sz="0" w:space="0" w:color="auto"/>
              </w:divBdr>
              <w:divsChild>
                <w:div w:id="14534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71212308">
      <w:bodyDiv w:val="1"/>
      <w:marLeft w:val="0"/>
      <w:marRight w:val="0"/>
      <w:marTop w:val="0"/>
      <w:marBottom w:val="0"/>
      <w:divBdr>
        <w:top w:val="none" w:sz="0" w:space="0" w:color="auto"/>
        <w:left w:val="none" w:sz="0" w:space="0" w:color="auto"/>
        <w:bottom w:val="none" w:sz="0" w:space="0" w:color="auto"/>
        <w:right w:val="none" w:sz="0" w:space="0" w:color="auto"/>
      </w:divBdr>
    </w:div>
    <w:div w:id="1189416318">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7468212">
      <w:bodyDiv w:val="1"/>
      <w:marLeft w:val="0"/>
      <w:marRight w:val="0"/>
      <w:marTop w:val="0"/>
      <w:marBottom w:val="0"/>
      <w:divBdr>
        <w:top w:val="none" w:sz="0" w:space="0" w:color="auto"/>
        <w:left w:val="none" w:sz="0" w:space="0" w:color="auto"/>
        <w:bottom w:val="none" w:sz="0" w:space="0" w:color="auto"/>
        <w:right w:val="none" w:sz="0" w:space="0" w:color="auto"/>
      </w:divBdr>
      <w:divsChild>
        <w:div w:id="1986743066">
          <w:marLeft w:val="0"/>
          <w:marRight w:val="0"/>
          <w:marTop w:val="0"/>
          <w:marBottom w:val="0"/>
          <w:divBdr>
            <w:top w:val="none" w:sz="0" w:space="0" w:color="auto"/>
            <w:left w:val="none" w:sz="0" w:space="0" w:color="auto"/>
            <w:bottom w:val="none" w:sz="0" w:space="0" w:color="auto"/>
            <w:right w:val="none" w:sz="0" w:space="0" w:color="auto"/>
          </w:divBdr>
          <w:divsChild>
            <w:div w:id="775753849">
              <w:marLeft w:val="0"/>
              <w:marRight w:val="0"/>
              <w:marTop w:val="0"/>
              <w:marBottom w:val="0"/>
              <w:divBdr>
                <w:top w:val="none" w:sz="0" w:space="0" w:color="auto"/>
                <w:left w:val="none" w:sz="0" w:space="0" w:color="auto"/>
                <w:bottom w:val="none" w:sz="0" w:space="0" w:color="auto"/>
                <w:right w:val="none" w:sz="0" w:space="0" w:color="auto"/>
              </w:divBdr>
              <w:divsChild>
                <w:div w:id="1058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0742590">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47044243">
      <w:bodyDiv w:val="1"/>
      <w:marLeft w:val="0"/>
      <w:marRight w:val="0"/>
      <w:marTop w:val="0"/>
      <w:marBottom w:val="0"/>
      <w:divBdr>
        <w:top w:val="none" w:sz="0" w:space="0" w:color="auto"/>
        <w:left w:val="none" w:sz="0" w:space="0" w:color="auto"/>
        <w:bottom w:val="none" w:sz="0" w:space="0" w:color="auto"/>
        <w:right w:val="none" w:sz="0" w:space="0" w:color="auto"/>
      </w:divBdr>
    </w:div>
    <w:div w:id="1463890100">
      <w:bodyDiv w:val="1"/>
      <w:marLeft w:val="0"/>
      <w:marRight w:val="0"/>
      <w:marTop w:val="0"/>
      <w:marBottom w:val="0"/>
      <w:divBdr>
        <w:top w:val="none" w:sz="0" w:space="0" w:color="auto"/>
        <w:left w:val="none" w:sz="0" w:space="0" w:color="auto"/>
        <w:bottom w:val="none" w:sz="0" w:space="0" w:color="auto"/>
        <w:right w:val="none" w:sz="0" w:space="0" w:color="auto"/>
      </w:divBdr>
    </w:div>
    <w:div w:id="1512798036">
      <w:bodyDiv w:val="1"/>
      <w:marLeft w:val="0"/>
      <w:marRight w:val="0"/>
      <w:marTop w:val="0"/>
      <w:marBottom w:val="0"/>
      <w:divBdr>
        <w:top w:val="none" w:sz="0" w:space="0" w:color="auto"/>
        <w:left w:val="none" w:sz="0" w:space="0" w:color="auto"/>
        <w:bottom w:val="none" w:sz="0" w:space="0" w:color="auto"/>
        <w:right w:val="none" w:sz="0" w:space="0" w:color="auto"/>
      </w:divBdr>
      <w:divsChild>
        <w:div w:id="524756713">
          <w:marLeft w:val="0"/>
          <w:marRight w:val="0"/>
          <w:marTop w:val="0"/>
          <w:marBottom w:val="0"/>
          <w:divBdr>
            <w:top w:val="none" w:sz="0" w:space="0" w:color="auto"/>
            <w:left w:val="none" w:sz="0" w:space="0" w:color="auto"/>
            <w:bottom w:val="none" w:sz="0" w:space="0" w:color="auto"/>
            <w:right w:val="none" w:sz="0" w:space="0" w:color="auto"/>
          </w:divBdr>
          <w:divsChild>
            <w:div w:id="901911614">
              <w:marLeft w:val="0"/>
              <w:marRight w:val="0"/>
              <w:marTop w:val="0"/>
              <w:marBottom w:val="0"/>
              <w:divBdr>
                <w:top w:val="none" w:sz="0" w:space="0" w:color="auto"/>
                <w:left w:val="none" w:sz="0" w:space="0" w:color="auto"/>
                <w:bottom w:val="none" w:sz="0" w:space="0" w:color="auto"/>
                <w:right w:val="none" w:sz="0" w:space="0" w:color="auto"/>
              </w:divBdr>
              <w:divsChild>
                <w:div w:id="13253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64229278">
      <w:bodyDiv w:val="1"/>
      <w:marLeft w:val="0"/>
      <w:marRight w:val="0"/>
      <w:marTop w:val="0"/>
      <w:marBottom w:val="0"/>
      <w:divBdr>
        <w:top w:val="none" w:sz="0" w:space="0" w:color="auto"/>
        <w:left w:val="none" w:sz="0" w:space="0" w:color="auto"/>
        <w:bottom w:val="none" w:sz="0" w:space="0" w:color="auto"/>
        <w:right w:val="none" w:sz="0" w:space="0" w:color="auto"/>
      </w:divBdr>
    </w:div>
    <w:div w:id="1772357147">
      <w:bodyDiv w:val="1"/>
      <w:marLeft w:val="0"/>
      <w:marRight w:val="0"/>
      <w:marTop w:val="0"/>
      <w:marBottom w:val="0"/>
      <w:divBdr>
        <w:top w:val="none" w:sz="0" w:space="0" w:color="auto"/>
        <w:left w:val="none" w:sz="0" w:space="0" w:color="auto"/>
        <w:bottom w:val="none" w:sz="0" w:space="0" w:color="auto"/>
        <w:right w:val="none" w:sz="0" w:space="0" w:color="auto"/>
      </w:divBdr>
    </w:div>
    <w:div w:id="1790778610">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17843856">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64240979">
      <w:bodyDiv w:val="1"/>
      <w:marLeft w:val="0"/>
      <w:marRight w:val="0"/>
      <w:marTop w:val="0"/>
      <w:marBottom w:val="0"/>
      <w:divBdr>
        <w:top w:val="none" w:sz="0" w:space="0" w:color="auto"/>
        <w:left w:val="none" w:sz="0" w:space="0" w:color="auto"/>
        <w:bottom w:val="none" w:sz="0" w:space="0" w:color="auto"/>
        <w:right w:val="none" w:sz="0" w:space="0" w:color="auto"/>
      </w:divBdr>
      <w:divsChild>
        <w:div w:id="1751347998">
          <w:marLeft w:val="0"/>
          <w:marRight w:val="0"/>
          <w:marTop w:val="0"/>
          <w:marBottom w:val="0"/>
          <w:divBdr>
            <w:top w:val="none" w:sz="0" w:space="0" w:color="auto"/>
            <w:left w:val="none" w:sz="0" w:space="0" w:color="auto"/>
            <w:bottom w:val="none" w:sz="0" w:space="0" w:color="auto"/>
            <w:right w:val="none" w:sz="0" w:space="0" w:color="auto"/>
          </w:divBdr>
          <w:divsChild>
            <w:div w:id="1267075812">
              <w:marLeft w:val="0"/>
              <w:marRight w:val="0"/>
              <w:marTop w:val="0"/>
              <w:marBottom w:val="0"/>
              <w:divBdr>
                <w:top w:val="none" w:sz="0" w:space="0" w:color="auto"/>
                <w:left w:val="none" w:sz="0" w:space="0" w:color="auto"/>
                <w:bottom w:val="none" w:sz="0" w:space="0" w:color="auto"/>
                <w:right w:val="none" w:sz="0" w:space="0" w:color="auto"/>
              </w:divBdr>
              <w:divsChild>
                <w:div w:id="1921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559491">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83657857">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2011591351">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compra.gov.co/circular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150_2007.html" TargetMode="External"/><Relationship Id="rId2" Type="http://schemas.openxmlformats.org/officeDocument/2006/relationships/hyperlink" Target="http://www.secretariasenado.gov.co/senado/basedoc/ley_0080_1993.html" TargetMode="External"/><Relationship Id="rId1" Type="http://schemas.openxmlformats.org/officeDocument/2006/relationships/hyperlink" Target="http://www.secretariasenado.gov.co/senado/basedoc/ley_0080_1993.html" TargetMode="External"/><Relationship Id="rId4" Type="http://schemas.openxmlformats.org/officeDocument/2006/relationships/hyperlink" Target="http://www.secretariasenado.gov.co/senado/basedoc/ley_1150_2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30659-16BA-4D37-A726-D1F2D73C1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D42CE-B148-4376-B83D-B74EEEA34D9D}">
  <ds:schemaRefs>
    <ds:schemaRef ds:uri="http://schemas.openxmlformats.org/officeDocument/2006/bibliography"/>
  </ds:schemaRefs>
</ds:datastoreItem>
</file>

<file path=customXml/itemProps3.xml><?xml version="1.0" encoding="utf-8"?>
<ds:datastoreItem xmlns:ds="http://schemas.openxmlformats.org/officeDocument/2006/customXml" ds:itemID="{CC8222C4-87A5-408E-8C5C-F770FC1D8A45}">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6598</Words>
  <Characters>36293</Characters>
  <Application>Microsoft Office Word</Application>
  <DocSecurity>0</DocSecurity>
  <Lines>302</Lines>
  <Paragraphs>85</Paragraphs>
  <ScaleCrop>false</ScaleCrop>
  <Company/>
  <LinksUpToDate>false</LinksUpToDate>
  <CharactersWithSpaces>42806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Omar Mejía</dc:creator>
  <cp:lastModifiedBy>Carlos Mario Castrillón Endo</cp:lastModifiedBy>
  <cp:revision>2</cp:revision>
  <cp:lastPrinted>2020-01-30T15:05:00Z</cp:lastPrinted>
  <dcterms:created xsi:type="dcterms:W3CDTF">2020-08-19T19:47:00Z</dcterms:created>
  <dcterms:modified xsi:type="dcterms:W3CDTF">2020-08-19T19:47:00Z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