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E7E4C" w14:textId="77777777" w:rsidR="00987F29" w:rsidRPr="000266A5" w:rsidRDefault="00987F29" w:rsidP="003603E1">
      <w:pPr>
        <w:pStyle w:val="Textoindependiente"/>
        <w:ind w:left="300" w:right="307"/>
        <w:jc w:val="both"/>
      </w:pPr>
    </w:p>
    <w:p w14:paraId="6F800F49" w14:textId="5EDC0EA1" w:rsidR="003464C6" w:rsidRPr="000266A5" w:rsidRDefault="003464C6" w:rsidP="1C1E9D2E">
      <w:pPr>
        <w:pStyle w:val="Textoindependiente"/>
        <w:ind w:left="300" w:right="307"/>
        <w:jc w:val="both"/>
        <w:rPr>
          <w:b/>
          <w:bCs/>
        </w:rPr>
      </w:pPr>
      <w:r w:rsidRPr="1C1E9D2E">
        <w:rPr>
          <w:b/>
          <w:bCs/>
        </w:rPr>
        <w:t>EXPERIENCIA – Acreditación – Socied</w:t>
      </w:r>
      <w:r w:rsidR="64EE3909" w:rsidRPr="1C1E9D2E">
        <w:rPr>
          <w:b/>
          <w:bCs/>
        </w:rPr>
        <w:t>ades con menos de 3 años de constituidas</w:t>
      </w:r>
      <w:r w:rsidRPr="1C1E9D2E">
        <w:rPr>
          <w:b/>
          <w:bCs/>
        </w:rPr>
        <w:t xml:space="preserve"> – Reglamentación</w:t>
      </w:r>
    </w:p>
    <w:p w14:paraId="1ED75005" w14:textId="77777777" w:rsidR="003464C6" w:rsidRPr="000266A5" w:rsidRDefault="003464C6" w:rsidP="003603E1">
      <w:pPr>
        <w:pStyle w:val="Textoindependiente"/>
        <w:ind w:left="300" w:right="307"/>
        <w:jc w:val="both"/>
      </w:pPr>
      <w:r w:rsidRPr="000266A5">
        <w:t xml:space="preserve"> </w:t>
      </w:r>
    </w:p>
    <w:p w14:paraId="452583E4" w14:textId="77777777" w:rsidR="003464C6" w:rsidRPr="000266A5" w:rsidRDefault="003464C6" w:rsidP="003603E1">
      <w:pPr>
        <w:pStyle w:val="Textoindependiente"/>
        <w:ind w:left="300" w:right="307"/>
        <w:jc w:val="both"/>
        <w:rPr>
          <w:sz w:val="20"/>
          <w:szCs w:val="20"/>
        </w:rPr>
      </w:pPr>
      <w:r w:rsidRPr="000266A5">
        <w:rPr>
          <w:sz w:val="20"/>
          <w:szCs w:val="20"/>
        </w:rPr>
        <w:t>La parte final del numeral 2.5 del artículo citado incluye una medida diferenciada para las personas jurídicas cuya constitución sea menor a 3 años al momento del registro. Esta medida, que puede ser entendida como de fomento a la participación de pequeños oferentes en la contratación estatal, permite que las sociedades relativamente nuevas -con menos de 3 años de constitución- puedan acreditar como experiencia en el RUP la de sus accionistas, socios o constituyentes.</w:t>
      </w:r>
    </w:p>
    <w:p w14:paraId="4B41A4E2" w14:textId="77777777" w:rsidR="003464C6" w:rsidRPr="000266A5" w:rsidRDefault="003464C6" w:rsidP="003603E1">
      <w:pPr>
        <w:pStyle w:val="Textoindependiente"/>
        <w:ind w:left="300" w:right="307"/>
        <w:jc w:val="both"/>
      </w:pPr>
    </w:p>
    <w:p w14:paraId="06262046" w14:textId="1838D9A9" w:rsidR="003464C6" w:rsidRDefault="003464C6" w:rsidP="1C1E9D2E">
      <w:pPr>
        <w:pStyle w:val="Textoindependiente"/>
        <w:spacing w:line="259" w:lineRule="auto"/>
        <w:ind w:left="300" w:right="307"/>
        <w:jc w:val="both"/>
        <w:rPr>
          <w:b/>
          <w:bCs/>
        </w:rPr>
      </w:pPr>
      <w:r w:rsidRPr="1C1E9D2E">
        <w:rPr>
          <w:b/>
          <w:bCs/>
        </w:rPr>
        <w:t xml:space="preserve">EXPERIENCIA – Excepción </w:t>
      </w:r>
      <w:r w:rsidR="00810253" w:rsidRPr="1C1E9D2E">
        <w:rPr>
          <w:b/>
          <w:bCs/>
        </w:rPr>
        <w:t>– C</w:t>
      </w:r>
      <w:r w:rsidRPr="1C1E9D2E">
        <w:rPr>
          <w:b/>
          <w:bCs/>
        </w:rPr>
        <w:t>arácter personalísimo – Sociedades con menos de 3 años de constitu</w:t>
      </w:r>
      <w:r w:rsidR="5EA55789" w:rsidRPr="1C1E9D2E">
        <w:rPr>
          <w:b/>
          <w:bCs/>
        </w:rPr>
        <w:t>idas</w:t>
      </w:r>
    </w:p>
    <w:p w14:paraId="53AEE5B0" w14:textId="77777777" w:rsidR="003464C6" w:rsidRPr="000266A5" w:rsidRDefault="003464C6" w:rsidP="003603E1">
      <w:pPr>
        <w:pStyle w:val="Textoindependiente"/>
        <w:ind w:left="300" w:right="307"/>
        <w:jc w:val="both"/>
        <w:rPr>
          <w:sz w:val="20"/>
          <w:szCs w:val="20"/>
        </w:rPr>
      </w:pPr>
    </w:p>
    <w:p w14:paraId="77AE66E1" w14:textId="77777777" w:rsidR="003464C6" w:rsidRPr="000266A5" w:rsidRDefault="003464C6" w:rsidP="003603E1">
      <w:pPr>
        <w:pStyle w:val="Textoindependiente"/>
        <w:ind w:left="300" w:right="307"/>
        <w:jc w:val="both"/>
        <w:rPr>
          <w:sz w:val="20"/>
          <w:szCs w:val="20"/>
        </w:rPr>
      </w:pPr>
      <w:r w:rsidRPr="000266A5">
        <w:rPr>
          <w:sz w:val="20"/>
          <w:szCs w:val="20"/>
        </w:rPr>
        <w:t>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La finalidad de esta norma es permitir que las sociedades que no cuentan con la experiencia suficiente para contratar con el Estado puedan apoyarse en la experiencia de sus accionistas, socios o constituyentes con el fin de incentivar la competencia en la contratación estatal.</w:t>
      </w:r>
    </w:p>
    <w:p w14:paraId="78ADACB0" w14:textId="77777777" w:rsidR="003464C6" w:rsidRPr="000266A5" w:rsidRDefault="003464C6" w:rsidP="003603E1">
      <w:pPr>
        <w:pStyle w:val="Textoindependiente"/>
        <w:ind w:left="300" w:right="307"/>
        <w:jc w:val="both"/>
      </w:pPr>
    </w:p>
    <w:p w14:paraId="39C6CBF5" w14:textId="4C98CD5C" w:rsidR="003464C6" w:rsidRPr="000266A5" w:rsidRDefault="003464C6" w:rsidP="1C1E9D2E">
      <w:pPr>
        <w:pStyle w:val="Textoindependiente"/>
        <w:ind w:left="300" w:right="307"/>
        <w:jc w:val="both"/>
        <w:rPr>
          <w:b/>
          <w:bCs/>
        </w:rPr>
      </w:pPr>
      <w:r w:rsidRPr="1C1E9D2E">
        <w:rPr>
          <w:b/>
          <w:bCs/>
        </w:rPr>
        <w:t>EXPERIENCIA – Sociedades con más de 3 años de constituci</w:t>
      </w:r>
      <w:r w:rsidR="46846953" w:rsidRPr="1C1E9D2E">
        <w:rPr>
          <w:b/>
          <w:bCs/>
        </w:rPr>
        <w:t>ó</w:t>
      </w:r>
      <w:r w:rsidRPr="1C1E9D2E">
        <w:rPr>
          <w:b/>
          <w:bCs/>
        </w:rPr>
        <w:t xml:space="preserve">n </w:t>
      </w:r>
      <w:r w:rsidR="4DF06945" w:rsidRPr="1C1E9D2E">
        <w:rPr>
          <w:b/>
          <w:bCs/>
        </w:rPr>
        <w:t>– Renovación del RUP</w:t>
      </w:r>
      <w:r w:rsidR="03C29DE9" w:rsidRPr="1C1E9D2E">
        <w:rPr>
          <w:b/>
          <w:bCs/>
        </w:rPr>
        <w:t xml:space="preserve"> – Acreditación </w:t>
      </w:r>
    </w:p>
    <w:p w14:paraId="1A8B3EC3" w14:textId="77777777" w:rsidR="003464C6" w:rsidRPr="000266A5" w:rsidRDefault="003464C6" w:rsidP="003603E1">
      <w:pPr>
        <w:pStyle w:val="Textoindependiente"/>
        <w:ind w:left="300" w:right="307"/>
        <w:jc w:val="both"/>
      </w:pPr>
    </w:p>
    <w:p w14:paraId="1A9A6666" w14:textId="269F3BC6" w:rsidR="003603E1" w:rsidRPr="000266A5" w:rsidRDefault="003464C6" w:rsidP="000266A5">
      <w:pPr>
        <w:pStyle w:val="Textoindependiente"/>
        <w:spacing w:after="120"/>
        <w:ind w:left="301" w:right="306"/>
        <w:jc w:val="both"/>
        <w:rPr>
          <w:sz w:val="20"/>
          <w:szCs w:val="20"/>
        </w:rPr>
      </w:pPr>
      <w:r w:rsidRPr="000266A5">
        <w:rPr>
          <w:sz w:val="20"/>
          <w:szCs w:val="20"/>
        </w:rPr>
        <w:t>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w:t>
      </w:r>
      <w:r w:rsidR="003603E1" w:rsidRPr="000266A5">
        <w:rPr>
          <w:sz w:val="20"/>
          <w:szCs w:val="20"/>
        </w:rPr>
        <w:t xml:space="preserve">. </w:t>
      </w:r>
    </w:p>
    <w:p w14:paraId="30571CAA" w14:textId="77777777" w:rsidR="003464C6" w:rsidRPr="000266A5" w:rsidRDefault="003603E1" w:rsidP="000266A5">
      <w:pPr>
        <w:pStyle w:val="Textoindependiente"/>
        <w:ind w:left="301" w:right="306"/>
        <w:jc w:val="both"/>
        <w:rPr>
          <w:sz w:val="20"/>
          <w:szCs w:val="20"/>
        </w:rPr>
      </w:pPr>
      <w:r w:rsidRPr="000266A5">
        <w:rPr>
          <w:sz w:val="20"/>
          <w:szCs w:val="20"/>
        </w:rPr>
        <w:t>C</w:t>
      </w:r>
      <w:r w:rsidR="003464C6" w:rsidRPr="000266A5">
        <w:rPr>
          <w:sz w:val="20"/>
          <w:szCs w:val="20"/>
        </w:rPr>
        <w:t>on el fin de incentivar la participación continúa y constante de los proponentes, las entidades estatales, en sus procesos de contratación, aceptarán como válida la experiencia de los socios, accionistas o constituyentes incluso después de cumplidos los tres años de constitución de la sociedad, pues esta interpretación permite incentivar la creación de empresa y generar una mayor participación de las empresas recién constituidas.</w:t>
      </w:r>
    </w:p>
    <w:p w14:paraId="18F375C9" w14:textId="77777777" w:rsidR="003464C6" w:rsidRPr="000266A5" w:rsidRDefault="003464C6" w:rsidP="000266A5">
      <w:pPr>
        <w:pStyle w:val="Textoindependiente"/>
        <w:ind w:left="300" w:right="307"/>
        <w:jc w:val="both"/>
      </w:pPr>
    </w:p>
    <w:p w14:paraId="4EFA5332" w14:textId="4C971D35" w:rsidR="003464C6" w:rsidRPr="000266A5" w:rsidRDefault="003464C6" w:rsidP="1C1E9D2E">
      <w:pPr>
        <w:pStyle w:val="Textoindependiente"/>
        <w:ind w:left="300" w:right="307"/>
        <w:jc w:val="both"/>
        <w:rPr>
          <w:b/>
          <w:bCs/>
        </w:rPr>
      </w:pPr>
      <w:r w:rsidRPr="1C1E9D2E">
        <w:rPr>
          <w:b/>
          <w:bCs/>
        </w:rPr>
        <w:t xml:space="preserve">REGISTRO </w:t>
      </w:r>
      <w:r w:rsidR="7C688770" w:rsidRPr="1C1E9D2E">
        <w:rPr>
          <w:b/>
          <w:bCs/>
        </w:rPr>
        <w:t>Ú</w:t>
      </w:r>
      <w:r w:rsidRPr="1C1E9D2E">
        <w:rPr>
          <w:b/>
          <w:bCs/>
        </w:rPr>
        <w:t xml:space="preserve">NICO DE PROPONENTES – Acreditación de experiencia – </w:t>
      </w:r>
      <w:r w:rsidR="07F90520" w:rsidRPr="1C1E9D2E">
        <w:rPr>
          <w:b/>
          <w:bCs/>
        </w:rPr>
        <w:t xml:space="preserve">Deber de inscripción – </w:t>
      </w:r>
      <w:r w:rsidRPr="1C1E9D2E">
        <w:rPr>
          <w:b/>
          <w:bCs/>
        </w:rPr>
        <w:t>Excepciones – Sociedades con menos de 3 años de constituci</w:t>
      </w:r>
      <w:r w:rsidR="68419E32" w:rsidRPr="1C1E9D2E">
        <w:rPr>
          <w:b/>
          <w:bCs/>
        </w:rPr>
        <w:t>ón</w:t>
      </w:r>
      <w:r w:rsidRPr="1C1E9D2E">
        <w:rPr>
          <w:b/>
          <w:bCs/>
        </w:rPr>
        <w:t xml:space="preserve"> </w:t>
      </w:r>
    </w:p>
    <w:p w14:paraId="74568153" w14:textId="77777777" w:rsidR="003464C6" w:rsidRPr="000266A5" w:rsidRDefault="003464C6" w:rsidP="003603E1">
      <w:pPr>
        <w:pStyle w:val="Textoindependiente"/>
        <w:ind w:left="300" w:right="307"/>
        <w:jc w:val="both"/>
      </w:pPr>
    </w:p>
    <w:p w14:paraId="35AC3707" w14:textId="77777777" w:rsidR="003464C6" w:rsidRPr="000266A5" w:rsidRDefault="003464C6" w:rsidP="003603E1">
      <w:pPr>
        <w:pStyle w:val="Textoindependiente"/>
        <w:ind w:left="300" w:right="307"/>
        <w:jc w:val="both"/>
        <w:rPr>
          <w:sz w:val="20"/>
          <w:szCs w:val="20"/>
        </w:rPr>
      </w:pPr>
      <w:r w:rsidRPr="000266A5">
        <w:rPr>
          <w:sz w:val="20"/>
          <w:szCs w:val="20"/>
        </w:rPr>
        <w:t>La Subdirección de Gestión Contractual considera, a pesar de la discrecionalidad y autonomía que les asiste a las entidades contratantes, que la regla expresada en el numeral 2.5 del artículo 2.2.1.1.1.5.2 del Decreto 1082 de 2015 se debe hacer extensiva, inclusive, a las personas jurídicas que no estén inscritas en el RUP y participen en los procesos de selección exceptuados por el segundo inciso del artículo 6 de la Ley 1150 de 2007. (…) tiene su principal sustento en el principio de igualdad de trato que orienta e irradia la actividad contractual del Estado.</w:t>
      </w:r>
    </w:p>
    <w:p w14:paraId="2AC7D459" w14:textId="77777777" w:rsidR="003464C6" w:rsidRPr="000266A5" w:rsidRDefault="003464C6" w:rsidP="003603E1">
      <w:pPr>
        <w:pStyle w:val="Textoindependiente"/>
        <w:ind w:left="300" w:right="307"/>
        <w:jc w:val="both"/>
        <w:rPr>
          <w:b/>
        </w:rPr>
      </w:pPr>
    </w:p>
    <w:p w14:paraId="4F2A14C7" w14:textId="1B44207E" w:rsidR="003464C6" w:rsidRPr="000266A5" w:rsidRDefault="003464C6" w:rsidP="1C1E9D2E">
      <w:pPr>
        <w:pStyle w:val="Textoindependiente"/>
        <w:ind w:left="300" w:right="307"/>
        <w:jc w:val="both"/>
        <w:rPr>
          <w:b/>
          <w:bCs/>
        </w:rPr>
      </w:pPr>
      <w:r w:rsidRPr="26C117FA">
        <w:rPr>
          <w:b/>
          <w:bCs/>
        </w:rPr>
        <w:t xml:space="preserve">EXPERIENCIA – Acreditación experiencia </w:t>
      </w:r>
      <w:r w:rsidR="301603BD" w:rsidRPr="26C117FA">
        <w:rPr>
          <w:b/>
          <w:bCs/>
        </w:rPr>
        <w:t>–</w:t>
      </w:r>
      <w:r w:rsidRPr="26C117FA">
        <w:rPr>
          <w:b/>
          <w:bCs/>
        </w:rPr>
        <w:t xml:space="preserve"> </w:t>
      </w:r>
      <w:r w:rsidR="6664D01D" w:rsidRPr="26C117FA">
        <w:rPr>
          <w:b/>
          <w:bCs/>
        </w:rPr>
        <w:t>S</w:t>
      </w:r>
      <w:r w:rsidRPr="26C117FA">
        <w:rPr>
          <w:b/>
          <w:bCs/>
        </w:rPr>
        <w:t xml:space="preserve">ocios </w:t>
      </w:r>
      <w:r w:rsidR="1D586CB8" w:rsidRPr="26C117FA">
        <w:rPr>
          <w:b/>
          <w:bCs/>
        </w:rPr>
        <w:t>– S</w:t>
      </w:r>
      <w:r w:rsidRPr="26C117FA">
        <w:rPr>
          <w:b/>
          <w:bCs/>
        </w:rPr>
        <w:t xml:space="preserve">ociedades con menos de 3 años de constitución </w:t>
      </w:r>
      <w:r w:rsidR="10E1D3CE" w:rsidRPr="26C117FA">
        <w:rPr>
          <w:b/>
          <w:bCs/>
        </w:rPr>
        <w:t>–</w:t>
      </w:r>
      <w:r w:rsidRPr="26C117FA">
        <w:rPr>
          <w:b/>
          <w:bCs/>
        </w:rPr>
        <w:t xml:space="preserve"> </w:t>
      </w:r>
      <w:r w:rsidR="2F48425B" w:rsidRPr="26C117FA">
        <w:rPr>
          <w:b/>
          <w:bCs/>
        </w:rPr>
        <w:t>P</w:t>
      </w:r>
      <w:r w:rsidRPr="26C117FA">
        <w:rPr>
          <w:b/>
          <w:bCs/>
        </w:rPr>
        <w:t xml:space="preserve">roceso de mínima cuantía – </w:t>
      </w:r>
      <w:r w:rsidR="00174658">
        <w:rPr>
          <w:b/>
          <w:bCs/>
        </w:rPr>
        <w:t xml:space="preserve">Exceptuados </w:t>
      </w:r>
      <w:bookmarkStart w:id="0" w:name="_GoBack"/>
      <w:bookmarkEnd w:id="0"/>
      <w:r w:rsidR="001427F9">
        <w:rPr>
          <w:b/>
          <w:bCs/>
        </w:rPr>
        <w:t>– Registro único de proponentes</w:t>
      </w:r>
    </w:p>
    <w:p w14:paraId="1C6BE3D9" w14:textId="77777777" w:rsidR="003464C6" w:rsidRPr="000266A5" w:rsidRDefault="003464C6" w:rsidP="003603E1">
      <w:pPr>
        <w:pStyle w:val="Textoindependiente"/>
        <w:ind w:left="300" w:right="307"/>
        <w:jc w:val="both"/>
      </w:pPr>
    </w:p>
    <w:p w14:paraId="7210AF3B" w14:textId="77777777" w:rsidR="003464C6" w:rsidRPr="000266A5" w:rsidRDefault="003464C6" w:rsidP="000266A5">
      <w:pPr>
        <w:pStyle w:val="Textoindependiente"/>
        <w:ind w:left="300" w:right="307"/>
        <w:jc w:val="both"/>
        <w:rPr>
          <w:sz w:val="20"/>
          <w:szCs w:val="20"/>
        </w:rPr>
      </w:pPr>
      <w:r w:rsidRPr="000266A5">
        <w:rPr>
          <w:sz w:val="20"/>
          <w:szCs w:val="20"/>
        </w:rPr>
        <w:t xml:space="preserve">se puede acreditar en un proceso de mínima cuantía mediante certificados de los contratos ejecutados </w:t>
      </w:r>
      <w:r w:rsidRPr="000266A5">
        <w:rPr>
          <w:sz w:val="20"/>
          <w:szCs w:val="20"/>
        </w:rPr>
        <w:lastRenderedPageBreak/>
        <w:t>directamente o a través de consorcios, uniones temporales y sociedades en los que el accionista haya participado. En este orden de ideas, la experiencia se podrá acreditar con alguno de los siguientes documentos: i) certificación expedida por el tercero que recibió el bien, obra o servicio en donde conste que el contrato se encuentra ejecutado, donde conste la identificación de las partes, el valor del contrato expresado en salarios mínimos mensuales legales vigentes (SMMLV) a la fecha de terminación del contrato, los bienes y servicios que se pretenden acreditar; ii) acta de liquidación del contrato suscrita por el tercero contratante acompañada de una declaración expedida por el proponente, que se entenderá hecha bajo la gravedad del juramento, en la que certifique que le consta que la información del acta de liquidación está en firme; y iii) copia del contrato ejecutado suscrito por las partes.</w:t>
      </w:r>
    </w:p>
    <w:p w14:paraId="051F5B81" w14:textId="4D62C1AB" w:rsidR="00987F29" w:rsidRPr="000266A5" w:rsidRDefault="00987F29" w:rsidP="000266A5">
      <w:pPr>
        <w:pStyle w:val="Textoindependiente"/>
        <w:rPr>
          <w:rFonts w:ascii="Times New Roman"/>
          <w:sz w:val="25"/>
        </w:rPr>
      </w:pPr>
    </w:p>
    <w:p w14:paraId="60ACA5F2" w14:textId="77777777" w:rsidR="000266A5" w:rsidRPr="000266A5" w:rsidRDefault="000266A5" w:rsidP="000266A5">
      <w:pPr>
        <w:pStyle w:val="Textoindependiente"/>
        <w:rPr>
          <w:rFonts w:ascii="Times New Roman"/>
          <w:sz w:val="25"/>
        </w:rPr>
      </w:pPr>
    </w:p>
    <w:p w14:paraId="1F061B16" w14:textId="77777777" w:rsidR="00987F29" w:rsidRPr="000266A5" w:rsidRDefault="003908F6" w:rsidP="000266A5">
      <w:pPr>
        <w:ind w:left="300"/>
        <w:rPr>
          <w:b/>
        </w:rPr>
      </w:pPr>
      <w:r w:rsidRPr="000266A5">
        <w:t xml:space="preserve">Bogotá D.C., </w:t>
      </w:r>
      <w:r w:rsidRPr="000266A5">
        <w:rPr>
          <w:b/>
        </w:rPr>
        <w:t>03/12/2019 Hora 17:53:54s</w:t>
      </w:r>
    </w:p>
    <w:p w14:paraId="4849EFD0" w14:textId="77777777" w:rsidR="00987F29" w:rsidRPr="000266A5" w:rsidRDefault="00987F29">
      <w:pPr>
        <w:pStyle w:val="Textoindependiente"/>
        <w:spacing w:before="1"/>
        <w:rPr>
          <w:b/>
        </w:rPr>
      </w:pPr>
    </w:p>
    <w:p w14:paraId="5781C9B7" w14:textId="77777777" w:rsidR="00987F29" w:rsidRPr="000266A5" w:rsidRDefault="003908F6">
      <w:pPr>
        <w:pStyle w:val="Textoindependiente"/>
        <w:spacing w:before="1" w:line="253" w:lineRule="exact"/>
        <w:ind w:left="300"/>
      </w:pPr>
      <w:r w:rsidRPr="000266A5">
        <w:t>Señor</w:t>
      </w:r>
    </w:p>
    <w:p w14:paraId="29245270" w14:textId="77777777" w:rsidR="00987F29" w:rsidRPr="000266A5" w:rsidRDefault="003908F6">
      <w:pPr>
        <w:pStyle w:val="Ttulo1"/>
        <w:spacing w:line="253" w:lineRule="exact"/>
        <w:ind w:firstLine="0"/>
      </w:pPr>
      <w:r w:rsidRPr="000266A5">
        <w:t>Jaider Ramírez Godoy</w:t>
      </w:r>
    </w:p>
    <w:p w14:paraId="717B6E2C" w14:textId="77777777" w:rsidR="00987F29" w:rsidRPr="000266A5" w:rsidRDefault="003908F6">
      <w:pPr>
        <w:pStyle w:val="Textoindependiente"/>
        <w:ind w:left="300"/>
      </w:pPr>
      <w:r w:rsidRPr="000266A5">
        <w:t>Ciudad</w:t>
      </w:r>
    </w:p>
    <w:p w14:paraId="273E85DF" w14:textId="77777777" w:rsidR="00987F29" w:rsidRPr="000266A5" w:rsidRDefault="003908F6" w:rsidP="001B26B2">
      <w:pPr>
        <w:pStyle w:val="Ttulo1"/>
        <w:ind w:firstLine="0"/>
        <w:jc w:val="right"/>
      </w:pPr>
      <w:r w:rsidRPr="000266A5">
        <w:t>N° Radicado: 2201913000008914</w:t>
      </w:r>
    </w:p>
    <w:p w14:paraId="24A28777" w14:textId="77777777" w:rsidR="00987F29" w:rsidRPr="000266A5" w:rsidRDefault="00987F29">
      <w:pPr>
        <w:pStyle w:val="Textoindependiente"/>
        <w:spacing w:before="8"/>
        <w:rPr>
          <w:b/>
        </w:rPr>
      </w:pPr>
    </w:p>
    <w:tbl>
      <w:tblPr>
        <w:tblStyle w:val="TableNormal"/>
        <w:tblW w:w="0" w:type="auto"/>
        <w:tblInd w:w="108" w:type="dxa"/>
        <w:tblLayout w:type="fixed"/>
        <w:tblLook w:val="01E0" w:firstRow="1" w:lastRow="1" w:firstColumn="1" w:lastColumn="1" w:noHBand="0" w:noVBand="0"/>
      </w:tblPr>
      <w:tblGrid>
        <w:gridCol w:w="2328"/>
        <w:gridCol w:w="6999"/>
      </w:tblGrid>
      <w:tr w:rsidR="000266A5" w:rsidRPr="000266A5" w14:paraId="53DE51ED" w14:textId="77777777">
        <w:trPr>
          <w:trHeight w:val="249"/>
        </w:trPr>
        <w:tc>
          <w:tcPr>
            <w:tcW w:w="2328" w:type="dxa"/>
          </w:tcPr>
          <w:p w14:paraId="0A33B6B4" w14:textId="77777777" w:rsidR="00987F29" w:rsidRPr="000266A5" w:rsidRDefault="003908F6">
            <w:pPr>
              <w:pStyle w:val="TableParagraph"/>
              <w:rPr>
                <w:b/>
              </w:rPr>
            </w:pPr>
            <w:r w:rsidRPr="000266A5">
              <w:rPr>
                <w:b/>
              </w:rPr>
              <w:t>Radicación:</w:t>
            </w:r>
          </w:p>
        </w:tc>
        <w:tc>
          <w:tcPr>
            <w:tcW w:w="6999" w:type="dxa"/>
          </w:tcPr>
          <w:p w14:paraId="7CF4BC07" w14:textId="77777777" w:rsidR="00987F29" w:rsidRPr="000266A5" w:rsidRDefault="003908F6">
            <w:pPr>
              <w:pStyle w:val="TableParagraph"/>
              <w:ind w:left="562"/>
            </w:pPr>
            <w:r w:rsidRPr="000266A5">
              <w:t>Respuesta a consulta # 4201912000007182</w:t>
            </w:r>
          </w:p>
        </w:tc>
      </w:tr>
      <w:tr w:rsidR="000266A5" w:rsidRPr="000266A5" w14:paraId="1C26ACE2" w14:textId="77777777">
        <w:trPr>
          <w:trHeight w:val="252"/>
        </w:trPr>
        <w:tc>
          <w:tcPr>
            <w:tcW w:w="2328" w:type="dxa"/>
          </w:tcPr>
          <w:p w14:paraId="12F9D4D5" w14:textId="77777777" w:rsidR="00987F29" w:rsidRPr="000266A5" w:rsidRDefault="003908F6">
            <w:pPr>
              <w:pStyle w:val="TableParagraph"/>
              <w:spacing w:line="233" w:lineRule="exact"/>
              <w:rPr>
                <w:b/>
              </w:rPr>
            </w:pPr>
            <w:r w:rsidRPr="000266A5">
              <w:rPr>
                <w:b/>
              </w:rPr>
              <w:t>Temas:</w:t>
            </w:r>
          </w:p>
        </w:tc>
        <w:tc>
          <w:tcPr>
            <w:tcW w:w="6999" w:type="dxa"/>
          </w:tcPr>
          <w:p w14:paraId="156699CB" w14:textId="77777777" w:rsidR="00987F29" w:rsidRPr="000266A5" w:rsidRDefault="003908F6">
            <w:pPr>
              <w:pStyle w:val="TableParagraph"/>
              <w:spacing w:line="233" w:lineRule="exact"/>
              <w:ind w:left="562"/>
            </w:pPr>
            <w:r w:rsidRPr="000266A5">
              <w:t>Experiencia</w:t>
            </w:r>
          </w:p>
        </w:tc>
      </w:tr>
      <w:tr w:rsidR="00987F29" w:rsidRPr="000266A5" w14:paraId="137F94D8" w14:textId="77777777">
        <w:trPr>
          <w:trHeight w:val="501"/>
        </w:trPr>
        <w:tc>
          <w:tcPr>
            <w:tcW w:w="2328" w:type="dxa"/>
          </w:tcPr>
          <w:p w14:paraId="12C30D0E" w14:textId="77777777" w:rsidR="00987F29" w:rsidRPr="000266A5" w:rsidRDefault="003908F6">
            <w:pPr>
              <w:pStyle w:val="TableParagraph"/>
              <w:spacing w:before="1" w:line="252" w:lineRule="exact"/>
              <w:ind w:right="543"/>
              <w:rPr>
                <w:b/>
              </w:rPr>
            </w:pPr>
            <w:r w:rsidRPr="000266A5">
              <w:rPr>
                <w:b/>
              </w:rPr>
              <w:t>Tipo de asunto consultado:</w:t>
            </w:r>
          </w:p>
        </w:tc>
        <w:tc>
          <w:tcPr>
            <w:tcW w:w="6999" w:type="dxa"/>
          </w:tcPr>
          <w:p w14:paraId="5FD89957" w14:textId="77777777" w:rsidR="00987F29" w:rsidRPr="000266A5" w:rsidRDefault="003908F6">
            <w:pPr>
              <w:pStyle w:val="TableParagraph"/>
              <w:spacing w:before="1" w:line="252" w:lineRule="exact"/>
              <w:ind w:left="562"/>
            </w:pPr>
            <w:r w:rsidRPr="000266A5">
              <w:t>Experiencia de la sociedades con menos de 3 años de constitución</w:t>
            </w:r>
          </w:p>
        </w:tc>
      </w:tr>
    </w:tbl>
    <w:p w14:paraId="207DEE13" w14:textId="77777777" w:rsidR="00987F29" w:rsidRPr="000266A5" w:rsidRDefault="00987F29">
      <w:pPr>
        <w:pStyle w:val="Textoindependiente"/>
        <w:spacing w:before="3"/>
        <w:rPr>
          <w:b/>
          <w:sz w:val="17"/>
        </w:rPr>
      </w:pPr>
    </w:p>
    <w:p w14:paraId="1A230CF2" w14:textId="77777777" w:rsidR="00987F29" w:rsidRPr="000266A5" w:rsidRDefault="003908F6">
      <w:pPr>
        <w:pStyle w:val="Textoindependiente"/>
        <w:spacing w:before="93"/>
        <w:ind w:left="300"/>
        <w:jc w:val="both"/>
      </w:pPr>
      <w:r w:rsidRPr="000266A5">
        <w:t>Estimado señor,</w:t>
      </w:r>
    </w:p>
    <w:p w14:paraId="4DB462AD" w14:textId="77777777" w:rsidR="00987F29" w:rsidRPr="000266A5" w:rsidRDefault="00987F29">
      <w:pPr>
        <w:pStyle w:val="Textoindependiente"/>
        <w:spacing w:before="5"/>
        <w:rPr>
          <w:sz w:val="28"/>
        </w:rPr>
      </w:pPr>
    </w:p>
    <w:p w14:paraId="1C3A5A9F" w14:textId="77777777" w:rsidR="00987F29" w:rsidRPr="000266A5" w:rsidRDefault="003908F6">
      <w:pPr>
        <w:pStyle w:val="Textoindependiente"/>
        <w:spacing w:line="276" w:lineRule="auto"/>
        <w:ind w:left="300" w:right="307"/>
        <w:jc w:val="both"/>
      </w:pPr>
      <w:r w:rsidRPr="000266A5">
        <w:t>La Agencia Nacional de Contratación Pública - Colombia Compra Eficiente responde su consulta del 18 de noviembre de 2019, en ejercicio de la competencia otorgada por el numeral 8 del artículo 11 y el numeral 5 del artículo 3 del Decreto Ley 4170 de 2011.</w:t>
      </w:r>
    </w:p>
    <w:p w14:paraId="05B33C17" w14:textId="77777777" w:rsidR="00987F29" w:rsidRPr="000266A5" w:rsidRDefault="00987F29">
      <w:pPr>
        <w:pStyle w:val="Textoindependiente"/>
        <w:spacing w:before="5"/>
        <w:rPr>
          <w:sz w:val="25"/>
        </w:rPr>
      </w:pPr>
    </w:p>
    <w:p w14:paraId="4814E5EB" w14:textId="77777777" w:rsidR="00987F29" w:rsidRPr="000266A5" w:rsidRDefault="003908F6">
      <w:pPr>
        <w:pStyle w:val="Ttulo1"/>
        <w:numPr>
          <w:ilvl w:val="0"/>
          <w:numId w:val="1"/>
        </w:numPr>
        <w:tabs>
          <w:tab w:val="left" w:pos="586"/>
        </w:tabs>
        <w:ind w:hanging="286"/>
      </w:pPr>
      <w:r w:rsidRPr="000266A5">
        <w:t>Problema</w:t>
      </w:r>
      <w:r w:rsidRPr="000266A5">
        <w:rPr>
          <w:spacing w:val="-2"/>
        </w:rPr>
        <w:t xml:space="preserve"> </w:t>
      </w:r>
      <w:r w:rsidRPr="000266A5">
        <w:t>planteado</w:t>
      </w:r>
    </w:p>
    <w:p w14:paraId="64C53E9D" w14:textId="77777777" w:rsidR="00987F29" w:rsidRPr="000266A5" w:rsidRDefault="00987F29">
      <w:pPr>
        <w:pStyle w:val="Textoindependiente"/>
        <w:spacing w:before="8"/>
        <w:rPr>
          <w:b/>
          <w:sz w:val="28"/>
        </w:rPr>
      </w:pPr>
    </w:p>
    <w:p w14:paraId="7DFFE97E" w14:textId="77777777" w:rsidR="00987F29" w:rsidRPr="000266A5" w:rsidRDefault="003908F6">
      <w:pPr>
        <w:pStyle w:val="Textoindependiente"/>
        <w:spacing w:line="276" w:lineRule="auto"/>
        <w:ind w:left="300" w:right="304"/>
        <w:jc w:val="both"/>
      </w:pPr>
      <w:r w:rsidRPr="000266A5">
        <w:t>“¿Una empresa conformada por Sociedad por Acciones Simplificada (SAS), constituida con menos de 3 años, puede utilizar la experiencia del accionista para contratar en un proceso de contratación estatal por modalidad de mínima cuantía, cuando no es necesario tener Registro Único de Proponentes?”</w:t>
      </w:r>
    </w:p>
    <w:p w14:paraId="5DAD8C85" w14:textId="77777777" w:rsidR="00987F29" w:rsidRPr="000266A5" w:rsidRDefault="00987F29">
      <w:pPr>
        <w:pStyle w:val="Textoindependiente"/>
        <w:spacing w:before="4"/>
        <w:rPr>
          <w:sz w:val="25"/>
        </w:rPr>
      </w:pPr>
    </w:p>
    <w:p w14:paraId="65F4ACFF" w14:textId="77777777" w:rsidR="00987F29" w:rsidRPr="000266A5" w:rsidRDefault="003908F6">
      <w:pPr>
        <w:pStyle w:val="Textoindependiente"/>
        <w:spacing w:line="276" w:lineRule="auto"/>
        <w:ind w:left="300" w:right="307"/>
        <w:jc w:val="both"/>
      </w:pPr>
      <w:r w:rsidRPr="000266A5">
        <w:t>“¿La forma de acreditar esa experiencia es con la certificación del revisor fiscal o contador de la misma en cuanto se certifique que la empresa jurídica (accionista)?”.</w:t>
      </w:r>
    </w:p>
    <w:p w14:paraId="769D94F1" w14:textId="77777777" w:rsidR="00987F29" w:rsidRPr="000266A5" w:rsidRDefault="00987F29">
      <w:pPr>
        <w:pStyle w:val="Textoindependiente"/>
        <w:spacing w:before="3"/>
        <w:rPr>
          <w:sz w:val="25"/>
        </w:rPr>
      </w:pPr>
    </w:p>
    <w:p w14:paraId="1667C762" w14:textId="77777777" w:rsidR="00987F29" w:rsidRPr="000266A5" w:rsidRDefault="003908F6">
      <w:pPr>
        <w:pStyle w:val="Ttulo1"/>
        <w:numPr>
          <w:ilvl w:val="0"/>
          <w:numId w:val="1"/>
        </w:numPr>
        <w:tabs>
          <w:tab w:val="left" w:pos="661"/>
        </w:tabs>
        <w:ind w:left="660" w:hanging="361"/>
      </w:pPr>
      <w:r w:rsidRPr="000266A5">
        <w:t>Consideraciones</w:t>
      </w:r>
    </w:p>
    <w:p w14:paraId="2658A862" w14:textId="77777777" w:rsidR="00987F29" w:rsidRPr="000266A5" w:rsidRDefault="00987F29">
      <w:pPr>
        <w:pStyle w:val="Textoindependiente"/>
        <w:spacing w:before="5"/>
        <w:rPr>
          <w:b/>
          <w:sz w:val="28"/>
        </w:rPr>
      </w:pPr>
    </w:p>
    <w:p w14:paraId="324090C4" w14:textId="77777777" w:rsidR="00987F29" w:rsidRPr="000266A5" w:rsidRDefault="003908F6">
      <w:pPr>
        <w:pStyle w:val="Textoindependiente"/>
        <w:spacing w:line="276" w:lineRule="auto"/>
        <w:ind w:left="300" w:right="304"/>
        <w:jc w:val="both"/>
      </w:pPr>
      <w:r w:rsidRPr="000266A5">
        <w:t>Para responder el interrogante planteado se analizarán los siguientes temas: i) acreditación de experiencia de sociedades nuevas y ii) acreditación de experiencia en las excepciones al RUP.</w:t>
      </w:r>
    </w:p>
    <w:p w14:paraId="71FE8EE2" w14:textId="77777777" w:rsidR="00987F29" w:rsidRPr="000266A5" w:rsidRDefault="00987F29">
      <w:pPr>
        <w:pStyle w:val="Textoindependiente"/>
        <w:spacing w:before="5"/>
        <w:rPr>
          <w:sz w:val="25"/>
        </w:rPr>
      </w:pPr>
    </w:p>
    <w:p w14:paraId="4DBC7294" w14:textId="77777777" w:rsidR="00987F29" w:rsidRPr="000266A5" w:rsidRDefault="003908F6">
      <w:pPr>
        <w:pStyle w:val="Ttulo1"/>
        <w:numPr>
          <w:ilvl w:val="1"/>
          <w:numId w:val="1"/>
        </w:numPr>
        <w:tabs>
          <w:tab w:val="left" w:pos="726"/>
        </w:tabs>
        <w:ind w:hanging="426"/>
      </w:pPr>
      <w:r w:rsidRPr="000266A5">
        <w:t>Acreditación de experiencia de sociedades</w:t>
      </w:r>
      <w:r w:rsidRPr="000266A5">
        <w:rPr>
          <w:spacing w:val="-8"/>
        </w:rPr>
        <w:t xml:space="preserve"> </w:t>
      </w:r>
      <w:r w:rsidRPr="000266A5">
        <w:t>nuevas</w:t>
      </w:r>
    </w:p>
    <w:p w14:paraId="518488FB" w14:textId="77777777" w:rsidR="00987F29" w:rsidRPr="000266A5" w:rsidRDefault="00987F29">
      <w:pPr>
        <w:pStyle w:val="Textoindependiente"/>
        <w:spacing w:before="8"/>
        <w:rPr>
          <w:b/>
          <w:sz w:val="28"/>
        </w:rPr>
      </w:pPr>
    </w:p>
    <w:p w14:paraId="52474AE4" w14:textId="25E78790" w:rsidR="00987F29" w:rsidRPr="000266A5" w:rsidRDefault="003908F6" w:rsidP="000266A5">
      <w:pPr>
        <w:pStyle w:val="Textoindependiente"/>
        <w:spacing w:line="276" w:lineRule="auto"/>
        <w:ind w:left="300" w:right="308"/>
        <w:jc w:val="both"/>
      </w:pPr>
      <w:r w:rsidRPr="000266A5">
        <w:t>La Agencia Nacional de Contratación Pública – Colombia Compra Eficiente, se pronunció en el concepto identificado con radicado No. 4201912000003636 del 20 de agosto de 2019, reiterado en el concepto con radicado No. 4201912000004743 del 28 de agosto de 2019 y en el concepto con radicado No. 4201913000006797 del 19 de noviembre de</w:t>
      </w:r>
      <w:r w:rsidRPr="000266A5">
        <w:rPr>
          <w:spacing w:val="36"/>
        </w:rPr>
        <w:t xml:space="preserve"> </w:t>
      </w:r>
      <w:r w:rsidRPr="000266A5">
        <w:t>2019,</w:t>
      </w:r>
      <w:r w:rsidR="000266A5">
        <w:t xml:space="preserve"> </w:t>
      </w:r>
      <w:r w:rsidRPr="000266A5">
        <w:t>sobre la acreditación de la experiencia de las sociedades cuya constitución es inferior a tres (3) años. La tesis propuesta en estos conceptos es la que se expone a</w:t>
      </w:r>
      <w:r w:rsidRPr="000266A5">
        <w:rPr>
          <w:spacing w:val="-37"/>
        </w:rPr>
        <w:t xml:space="preserve"> </w:t>
      </w:r>
      <w:r w:rsidRPr="000266A5">
        <w:t>continuación.</w:t>
      </w:r>
    </w:p>
    <w:p w14:paraId="1410E65F" w14:textId="77777777" w:rsidR="00987F29" w:rsidRPr="000266A5" w:rsidRDefault="00987F29">
      <w:pPr>
        <w:pStyle w:val="Textoindependiente"/>
        <w:spacing w:before="9"/>
        <w:rPr>
          <w:sz w:val="24"/>
        </w:rPr>
      </w:pPr>
    </w:p>
    <w:p w14:paraId="6762804F" w14:textId="57F63B0C" w:rsidR="00987F29" w:rsidRPr="000266A5" w:rsidRDefault="003908F6">
      <w:pPr>
        <w:pStyle w:val="Textoindependiente"/>
        <w:spacing w:line="276" w:lineRule="auto"/>
        <w:ind w:left="300" w:right="310"/>
        <w:jc w:val="both"/>
      </w:pPr>
      <w:r w:rsidRPr="000266A5">
        <w:t>La Ley 1150 de 2007, en el artículo 5, establece que la capacidad jurídica y las condiciones de experiencia, capacidad financiera y de organización de los proponentes serán objeto de verificación por parte de las entidades como requisitos habilitantes para la participación en el proceso de selección y no otorgarán puntaje; con excepción del proceso de selección de consultores, donde es posible otorgar puntaje al criterio de experiencia</w:t>
      </w:r>
      <w:r w:rsidR="000266A5">
        <w:rPr>
          <w:rStyle w:val="Refdenotaalpie"/>
        </w:rPr>
        <w:footnoteReference w:id="1"/>
      </w:r>
      <w:r w:rsidRPr="000266A5">
        <w:t>.</w:t>
      </w:r>
    </w:p>
    <w:p w14:paraId="48E14093" w14:textId="77777777" w:rsidR="00987F29" w:rsidRPr="000266A5" w:rsidRDefault="00987F29">
      <w:pPr>
        <w:pStyle w:val="Textoindependiente"/>
        <w:spacing w:before="6"/>
        <w:rPr>
          <w:sz w:val="25"/>
        </w:rPr>
      </w:pPr>
    </w:p>
    <w:p w14:paraId="04771422" w14:textId="062C3CE5" w:rsidR="00987F29" w:rsidRPr="000266A5" w:rsidRDefault="003908F6">
      <w:pPr>
        <w:pStyle w:val="Textoindependiente"/>
        <w:spacing w:line="276" w:lineRule="auto"/>
        <w:ind w:left="300" w:right="306"/>
        <w:jc w:val="both"/>
      </w:pPr>
      <w:r w:rsidRPr="000266A5">
        <w:t>Por su parte, el artículo 6 de la Ley 1150 de 2007 señala que todas las personas naturales o jurídicas, nacionales o extranjeras, domiciliadas o con sucursal en Colombia, que aspiren celebrar contratos con las entidades deberán estar inscritas en el Registro Único de Proponentes. En dicho registro constará la información relacionada con la experiencia, capacidad jurídica, financiera y de organización del proponente y su clasificación</w:t>
      </w:r>
      <w:r w:rsidR="002615B9">
        <w:rPr>
          <w:rStyle w:val="Refdenotaalpie"/>
        </w:rPr>
        <w:footnoteReference w:id="2"/>
      </w:r>
      <w:r w:rsidRPr="000266A5">
        <w:t>. Frente al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w:t>
      </w:r>
      <w:r w:rsidRPr="000266A5">
        <w:rPr>
          <w:spacing w:val="-8"/>
        </w:rPr>
        <w:t xml:space="preserve"> </w:t>
      </w:r>
      <w:r w:rsidRPr="000266A5">
        <w:t>contrato”.</w:t>
      </w:r>
    </w:p>
    <w:p w14:paraId="674C0FD3" w14:textId="77777777" w:rsidR="00987F29" w:rsidRPr="000266A5" w:rsidRDefault="00987F29">
      <w:pPr>
        <w:pStyle w:val="Textoindependiente"/>
        <w:spacing w:before="2"/>
        <w:rPr>
          <w:sz w:val="25"/>
        </w:rPr>
      </w:pPr>
    </w:p>
    <w:p w14:paraId="2ACBB1B7" w14:textId="567BF725" w:rsidR="00987F29" w:rsidRPr="000266A5" w:rsidRDefault="003908F6" w:rsidP="000266A5">
      <w:pPr>
        <w:pStyle w:val="Textoindependiente"/>
        <w:spacing w:line="276" w:lineRule="auto"/>
        <w:ind w:left="300" w:right="308"/>
        <w:jc w:val="both"/>
      </w:pPr>
      <w:r w:rsidRPr="000266A5">
        <w:lastRenderedPageBreak/>
        <w:t xml:space="preserve">El Decreto 1082 de 2015, en el artículo 2.2.1.1.1.5.2, numeral 2.1, establece que si una persona natural es la que se inscribe al RUP, aportará los certificados de experiencia en provisión de bienes, obras y servicios, los cuales deben ser expedidos por terceros que hayan recibido tales bienes, obras y servicios, </w:t>
      </w:r>
      <w:r w:rsidR="00A5063C" w:rsidRPr="000266A5">
        <w:t>y deben corresponder a contratos</w:t>
      </w:r>
      <w:r w:rsidR="000266A5">
        <w:t xml:space="preserve"> </w:t>
      </w:r>
      <w:r w:rsidRPr="000266A5">
        <w:t>ejecutados o copias de los contratos cuando el interesado no puede obtener tal certificado</w:t>
      </w:r>
      <w:r w:rsidR="002615B9">
        <w:rPr>
          <w:rStyle w:val="Refdenotaalpie"/>
        </w:rPr>
        <w:footnoteReference w:id="3"/>
      </w:r>
      <w:r w:rsidRPr="000266A5">
        <w:t>.</w:t>
      </w:r>
    </w:p>
    <w:p w14:paraId="636D7ECA" w14:textId="77777777" w:rsidR="00987F29" w:rsidRPr="000266A5" w:rsidRDefault="00987F29">
      <w:pPr>
        <w:pStyle w:val="Textoindependiente"/>
        <w:spacing w:before="9"/>
        <w:rPr>
          <w:sz w:val="24"/>
        </w:rPr>
      </w:pPr>
    </w:p>
    <w:p w14:paraId="7AA5E5E5" w14:textId="77777777" w:rsidR="00987F29" w:rsidRPr="000266A5" w:rsidRDefault="003908F6">
      <w:pPr>
        <w:pStyle w:val="Textoindependiente"/>
        <w:spacing w:line="276" w:lineRule="auto"/>
        <w:ind w:left="300" w:right="304"/>
        <w:jc w:val="both"/>
      </w:pPr>
      <w:r w:rsidRPr="000266A5">
        <w:t>El numeral 2.5 del mismo artículo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tres (3) años, puede acreditar la experiencia de sus accionistas, socios o constituyentes.</w:t>
      </w:r>
    </w:p>
    <w:p w14:paraId="49716C37" w14:textId="77777777" w:rsidR="00987F29" w:rsidRPr="000266A5" w:rsidRDefault="00987F29">
      <w:pPr>
        <w:pStyle w:val="Textoindependiente"/>
        <w:spacing w:before="4"/>
        <w:rPr>
          <w:sz w:val="25"/>
        </w:rPr>
      </w:pPr>
    </w:p>
    <w:p w14:paraId="1F5154B9" w14:textId="77777777" w:rsidR="00987F29" w:rsidRPr="000266A5" w:rsidRDefault="003908F6">
      <w:pPr>
        <w:pStyle w:val="Textoindependiente"/>
        <w:spacing w:line="276" w:lineRule="auto"/>
        <w:ind w:left="300" w:right="303"/>
        <w:jc w:val="both"/>
      </w:pPr>
      <w:r w:rsidRPr="000266A5">
        <w:t>La parte final del numeral 2.5 del artículo citado incluye una medida diferenciada para las personas jurídicas cuya constitución sea menor a 3 años al momento del registro. Esta medida, que puede ser entendida como de fomento a la participación de pequeños oferentes en la contratación estatal, permite que las sociedades relativamente nuevas -con menos de 3 años de constitución- puedan acreditar como experiencia en el RUP la de sus accionistas, socios o constituyentes.</w:t>
      </w:r>
    </w:p>
    <w:p w14:paraId="0E2BEF6A" w14:textId="77777777" w:rsidR="00987F29" w:rsidRPr="000266A5" w:rsidRDefault="00987F29">
      <w:pPr>
        <w:pStyle w:val="Textoindependiente"/>
        <w:spacing w:before="5"/>
        <w:rPr>
          <w:sz w:val="25"/>
        </w:rPr>
      </w:pPr>
    </w:p>
    <w:p w14:paraId="468C5D72" w14:textId="77777777" w:rsidR="00987F29" w:rsidRPr="000266A5" w:rsidRDefault="003908F6">
      <w:pPr>
        <w:pStyle w:val="Textoindependiente"/>
        <w:spacing w:line="276" w:lineRule="auto"/>
        <w:ind w:left="300" w:right="303"/>
        <w:jc w:val="both"/>
      </w:pPr>
      <w:r w:rsidRPr="000266A5">
        <w:t>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w:t>
      </w:r>
    </w:p>
    <w:p w14:paraId="11E9B123" w14:textId="77777777" w:rsidR="00987F29" w:rsidRPr="000266A5" w:rsidRDefault="00987F29">
      <w:pPr>
        <w:pStyle w:val="Textoindependiente"/>
        <w:spacing w:before="4"/>
        <w:rPr>
          <w:sz w:val="25"/>
        </w:rPr>
      </w:pPr>
    </w:p>
    <w:p w14:paraId="12CF80DA" w14:textId="7B094516" w:rsidR="00987F29" w:rsidRPr="000266A5" w:rsidRDefault="003908F6" w:rsidP="002615B9">
      <w:pPr>
        <w:pStyle w:val="Textoindependiente"/>
        <w:spacing w:line="276" w:lineRule="auto"/>
        <w:ind w:left="300" w:right="307"/>
        <w:jc w:val="both"/>
      </w:pPr>
      <w:r w:rsidRPr="000266A5">
        <w:t>La finalidad de esta norma es permitir que las sociedades que no cuentan con la experiencia suficiente para contratar con el Estado puedan apoyarse en la experiencia de sus accionistas, socios</w:t>
      </w:r>
      <w:r w:rsidRPr="000266A5">
        <w:rPr>
          <w:spacing w:val="51"/>
        </w:rPr>
        <w:t xml:space="preserve"> </w:t>
      </w:r>
      <w:r w:rsidRPr="000266A5">
        <w:t>o</w:t>
      </w:r>
      <w:r w:rsidRPr="000266A5">
        <w:rPr>
          <w:spacing w:val="51"/>
        </w:rPr>
        <w:t xml:space="preserve"> </w:t>
      </w:r>
      <w:r w:rsidRPr="000266A5">
        <w:t>constituyentes</w:t>
      </w:r>
      <w:r w:rsidRPr="000266A5">
        <w:rPr>
          <w:spacing w:val="51"/>
        </w:rPr>
        <w:t xml:space="preserve"> </w:t>
      </w:r>
      <w:r w:rsidRPr="000266A5">
        <w:t>con</w:t>
      </w:r>
      <w:r w:rsidRPr="000266A5">
        <w:rPr>
          <w:spacing w:val="53"/>
        </w:rPr>
        <w:t xml:space="preserve"> </w:t>
      </w:r>
      <w:r w:rsidRPr="000266A5">
        <w:t>el</w:t>
      </w:r>
      <w:r w:rsidRPr="000266A5">
        <w:rPr>
          <w:spacing w:val="52"/>
        </w:rPr>
        <w:t xml:space="preserve"> </w:t>
      </w:r>
      <w:r w:rsidRPr="000266A5">
        <w:t>fin</w:t>
      </w:r>
      <w:r w:rsidRPr="000266A5">
        <w:rPr>
          <w:spacing w:val="51"/>
        </w:rPr>
        <w:t xml:space="preserve"> </w:t>
      </w:r>
      <w:r w:rsidRPr="000266A5">
        <w:t>de</w:t>
      </w:r>
      <w:r w:rsidRPr="000266A5">
        <w:rPr>
          <w:spacing w:val="51"/>
        </w:rPr>
        <w:t xml:space="preserve"> </w:t>
      </w:r>
      <w:r w:rsidRPr="000266A5">
        <w:t>incentivar la</w:t>
      </w:r>
      <w:r w:rsidRPr="000266A5">
        <w:rPr>
          <w:spacing w:val="51"/>
        </w:rPr>
        <w:t xml:space="preserve"> </w:t>
      </w:r>
      <w:r w:rsidRPr="000266A5">
        <w:t>competencia en</w:t>
      </w:r>
      <w:r w:rsidRPr="000266A5">
        <w:rPr>
          <w:spacing w:val="51"/>
        </w:rPr>
        <w:t xml:space="preserve"> </w:t>
      </w:r>
      <w:r w:rsidRPr="000266A5">
        <w:t>la</w:t>
      </w:r>
      <w:r w:rsidR="002615B9">
        <w:t xml:space="preserve"> </w:t>
      </w:r>
      <w:r w:rsidRPr="000266A5">
        <w:lastRenderedPageBreak/>
        <w:t>contratación estatal. Así las cosas, el socio transfiere la experiencia adquirida directamente a la sociedad de la que es parte, para que ésta,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3D8EEA6F" w14:textId="77777777" w:rsidR="00987F29" w:rsidRPr="000266A5" w:rsidRDefault="00987F29">
      <w:pPr>
        <w:pStyle w:val="Textoindependiente"/>
        <w:spacing w:before="3"/>
        <w:rPr>
          <w:sz w:val="25"/>
        </w:rPr>
      </w:pPr>
    </w:p>
    <w:p w14:paraId="2EC489DA" w14:textId="77777777" w:rsidR="00987F29" w:rsidRPr="000266A5" w:rsidRDefault="003908F6">
      <w:pPr>
        <w:pStyle w:val="Textoindependiente"/>
        <w:spacing w:line="276" w:lineRule="auto"/>
        <w:ind w:left="300" w:right="309"/>
        <w:jc w:val="both"/>
      </w:pPr>
      <w:r w:rsidRPr="000266A5">
        <w:t>Ahora bien, este aspecto ofrece meridiana claridad en cuanto a su aplicación, pero el interrogante que ha generado la norma es ¿qué pasa después de que la sociedad a la que le ha sido permitido certificar la experiencia de sus socios, accionistas o constituyentes cumple 3 años de su constitución? ¿puede seguir siendo beneficiaria de la prerrogativa del numeral 2.5 del artículo 2.2.1.1.1.5.2 del Decreto 1082 de 2015?</w:t>
      </w:r>
    </w:p>
    <w:p w14:paraId="44E94EC1" w14:textId="77777777" w:rsidR="00987F29" w:rsidRPr="000266A5" w:rsidRDefault="00987F29">
      <w:pPr>
        <w:pStyle w:val="Textoindependiente"/>
        <w:spacing w:before="5"/>
        <w:rPr>
          <w:sz w:val="25"/>
        </w:rPr>
      </w:pPr>
    </w:p>
    <w:p w14:paraId="457F24CB" w14:textId="77777777" w:rsidR="00987F29" w:rsidRPr="000266A5" w:rsidRDefault="003908F6">
      <w:pPr>
        <w:pStyle w:val="Textoindependiente"/>
        <w:spacing w:before="1" w:line="276" w:lineRule="auto"/>
        <w:ind w:left="300" w:right="305"/>
        <w:jc w:val="both"/>
      </w:pPr>
      <w:r w:rsidRPr="000266A5">
        <w:t>Estos interrogantes han sido planteados a la Subdirección de Gestión Contractual, y se han dado respuestas en uno y otro sentido. Así, en Concepto del 7 de febrero de 2018 se sostuvo que las personas jurídicas que hubieran sido beneficiarias de la norma podían seguir acreditando la experiencia de sus socios o accionistas, inclusive después de transcurridos 3 años desde la constitución de la sociedad, siempre que se renovara el RUP, en los siguientes</w:t>
      </w:r>
      <w:r w:rsidRPr="000266A5">
        <w:rPr>
          <w:spacing w:val="-7"/>
        </w:rPr>
        <w:t xml:space="preserve"> </w:t>
      </w:r>
      <w:r w:rsidRPr="000266A5">
        <w:t>términos:</w:t>
      </w:r>
    </w:p>
    <w:p w14:paraId="39B3620D" w14:textId="77777777" w:rsidR="00987F29" w:rsidRPr="000266A5" w:rsidRDefault="00987F29">
      <w:pPr>
        <w:pStyle w:val="Textoindependiente"/>
        <w:spacing w:before="9"/>
        <w:rPr>
          <w:sz w:val="23"/>
        </w:rPr>
      </w:pPr>
    </w:p>
    <w:p w14:paraId="31C5728D" w14:textId="7390FB26" w:rsidR="00987F29" w:rsidRPr="000266A5" w:rsidRDefault="003908F6">
      <w:pPr>
        <w:ind w:left="1008" w:right="733"/>
        <w:jc w:val="both"/>
        <w:rPr>
          <w:sz w:val="21"/>
        </w:rPr>
      </w:pPr>
      <w:r w:rsidRPr="000266A5">
        <w:rPr>
          <w:sz w:val="21"/>
        </w:rPr>
        <w:t>Teniendo en cuenta lo anterior, aunque la persona jurídica tenga más de tres años de constituida y haya registrado inicialmente la experiencia de sus socios en el RUP (pues su constitución era inferior a tres años) y éste es renovado, puede continuar utilizando la experiencia inscrita mientras no cesen los efectos del RUP. Por el contrario, si el RUP no es renovado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w:t>
      </w:r>
      <w:r w:rsidRPr="000266A5">
        <w:rPr>
          <w:spacing w:val="-10"/>
          <w:sz w:val="21"/>
        </w:rPr>
        <w:t xml:space="preserve"> </w:t>
      </w:r>
      <w:r w:rsidRPr="000266A5">
        <w:rPr>
          <w:sz w:val="21"/>
        </w:rPr>
        <w:t>registro</w:t>
      </w:r>
      <w:r w:rsidR="002615B9">
        <w:rPr>
          <w:rStyle w:val="Refdenotaalpie"/>
          <w:sz w:val="21"/>
        </w:rPr>
        <w:footnoteReference w:id="4"/>
      </w:r>
      <w:r w:rsidRPr="000266A5">
        <w:rPr>
          <w:sz w:val="21"/>
        </w:rPr>
        <w:t>.</w:t>
      </w:r>
    </w:p>
    <w:p w14:paraId="7EC85F4A" w14:textId="77777777" w:rsidR="00987F29" w:rsidRPr="000266A5" w:rsidRDefault="00987F29">
      <w:pPr>
        <w:pStyle w:val="Textoindependiente"/>
        <w:spacing w:before="1"/>
        <w:rPr>
          <w:sz w:val="25"/>
        </w:rPr>
      </w:pPr>
    </w:p>
    <w:p w14:paraId="67FC9271" w14:textId="77777777" w:rsidR="00987F29" w:rsidRPr="000266A5" w:rsidRDefault="003908F6">
      <w:pPr>
        <w:pStyle w:val="Textoindependiente"/>
        <w:spacing w:line="276" w:lineRule="auto"/>
        <w:ind w:left="300" w:right="312"/>
        <w:jc w:val="both"/>
      </w:pPr>
      <w:r w:rsidRPr="000266A5">
        <w:t>Posición contraria se adoptó en un concepto del 3 de abril del 2018, en el que frente a la misma pregunta esta Subdirección respondió que después de cumplidos los 3 años desde la constitución de la sociedad, las entidades estatales no deberían tener como válida la experiencia acreditada por los socios, accionistas o constituyentes. Como fundamento de esta posición, la Subdirección consideró lo siguiente:</w:t>
      </w:r>
    </w:p>
    <w:p w14:paraId="5F8ADCEE" w14:textId="77777777" w:rsidR="00987F29" w:rsidRPr="000266A5" w:rsidRDefault="00987F29">
      <w:pPr>
        <w:pStyle w:val="Textoindependiente"/>
      </w:pPr>
    </w:p>
    <w:p w14:paraId="4E3D312C" w14:textId="49A88A61" w:rsidR="00987F29" w:rsidRPr="002615B9" w:rsidRDefault="003908F6" w:rsidP="002615B9">
      <w:pPr>
        <w:pStyle w:val="Prrafodelista"/>
        <w:numPr>
          <w:ilvl w:val="2"/>
          <w:numId w:val="1"/>
        </w:numPr>
        <w:tabs>
          <w:tab w:val="left" w:pos="1333"/>
        </w:tabs>
        <w:spacing w:before="10"/>
        <w:ind w:right="737" w:firstLine="0"/>
        <w:jc w:val="both"/>
        <w:rPr>
          <w:sz w:val="14"/>
        </w:rPr>
      </w:pPr>
      <w:r w:rsidRPr="002615B9">
        <w:rPr>
          <w:sz w:val="21"/>
        </w:rPr>
        <w:t>La posición de Colombia Compra Eficiente respecto a la validez de la experiencia de los accionistas, socios o constituyentes, acreditada en el RUP por una sociedad nueva, cuando está ya superó los 3 años de constituida, ha</w:t>
      </w:r>
      <w:r w:rsidRPr="002615B9">
        <w:rPr>
          <w:spacing w:val="-28"/>
          <w:sz w:val="21"/>
        </w:rPr>
        <w:t xml:space="preserve"> </w:t>
      </w:r>
      <w:r w:rsidRPr="002615B9">
        <w:rPr>
          <w:sz w:val="21"/>
        </w:rPr>
        <w:t>variado.</w:t>
      </w:r>
    </w:p>
    <w:p w14:paraId="1C9451B5" w14:textId="77777777" w:rsidR="00987F29" w:rsidRPr="000266A5" w:rsidRDefault="003908F6">
      <w:pPr>
        <w:pStyle w:val="Prrafodelista"/>
        <w:numPr>
          <w:ilvl w:val="2"/>
          <w:numId w:val="1"/>
        </w:numPr>
        <w:tabs>
          <w:tab w:val="left" w:pos="1268"/>
        </w:tabs>
        <w:spacing w:before="93"/>
        <w:ind w:right="738" w:firstLine="0"/>
        <w:jc w:val="both"/>
        <w:rPr>
          <w:sz w:val="21"/>
        </w:rPr>
      </w:pPr>
      <w:r w:rsidRPr="000266A5">
        <w:rPr>
          <w:sz w:val="21"/>
        </w:rPr>
        <w:t>El Decreto 1082 de 2015 establece que para la inscripción en el RUP de una persona jurídica, si su constitución es menor a tres (3) años, puede acreditar la experiencia de sus accionistas, socios o</w:t>
      </w:r>
      <w:r w:rsidRPr="000266A5">
        <w:rPr>
          <w:spacing w:val="-9"/>
          <w:sz w:val="21"/>
        </w:rPr>
        <w:t xml:space="preserve"> </w:t>
      </w:r>
      <w:r w:rsidRPr="000266A5">
        <w:rPr>
          <w:sz w:val="21"/>
        </w:rPr>
        <w:t>constituyentes.</w:t>
      </w:r>
    </w:p>
    <w:p w14:paraId="010F55BD" w14:textId="77777777" w:rsidR="00987F29" w:rsidRPr="000266A5" w:rsidRDefault="00987F29">
      <w:pPr>
        <w:pStyle w:val="Textoindependiente"/>
        <w:spacing w:before="2"/>
        <w:rPr>
          <w:sz w:val="21"/>
        </w:rPr>
      </w:pPr>
    </w:p>
    <w:p w14:paraId="4458E3FD" w14:textId="77777777" w:rsidR="00987F29" w:rsidRPr="000266A5" w:rsidRDefault="003908F6">
      <w:pPr>
        <w:pStyle w:val="Prrafodelista"/>
        <w:numPr>
          <w:ilvl w:val="2"/>
          <w:numId w:val="1"/>
        </w:numPr>
        <w:tabs>
          <w:tab w:val="left" w:pos="1246"/>
        </w:tabs>
        <w:ind w:right="739" w:firstLine="0"/>
        <w:jc w:val="both"/>
        <w:rPr>
          <w:sz w:val="21"/>
        </w:rPr>
      </w:pPr>
      <w:r w:rsidRPr="000266A5">
        <w:rPr>
          <w:sz w:val="21"/>
        </w:rPr>
        <w:t>La finalidad de esta norma es permitir que las sociedades que no cuentan con la experiencia suficiente para contratar con el Estado puedan apoyarse en la experiencia de sus accionistas, socios o constituyentes con el fin de incentivar la libre competencia en la contratación</w:t>
      </w:r>
      <w:r w:rsidRPr="000266A5">
        <w:rPr>
          <w:spacing w:val="-6"/>
          <w:sz w:val="21"/>
        </w:rPr>
        <w:t xml:space="preserve"> </w:t>
      </w:r>
      <w:r w:rsidRPr="000266A5">
        <w:rPr>
          <w:sz w:val="21"/>
        </w:rPr>
        <w:t>estatal.</w:t>
      </w:r>
    </w:p>
    <w:p w14:paraId="212F40D2" w14:textId="77777777" w:rsidR="00987F29" w:rsidRPr="000266A5" w:rsidRDefault="00987F29">
      <w:pPr>
        <w:pStyle w:val="Textoindependiente"/>
        <w:rPr>
          <w:sz w:val="21"/>
        </w:rPr>
      </w:pPr>
    </w:p>
    <w:p w14:paraId="2CD68A69" w14:textId="77777777" w:rsidR="00987F29" w:rsidRPr="000266A5" w:rsidRDefault="003908F6">
      <w:pPr>
        <w:pStyle w:val="Prrafodelista"/>
        <w:numPr>
          <w:ilvl w:val="2"/>
          <w:numId w:val="1"/>
        </w:numPr>
        <w:tabs>
          <w:tab w:val="left" w:pos="1251"/>
        </w:tabs>
        <w:ind w:right="730" w:firstLine="0"/>
        <w:jc w:val="both"/>
        <w:rPr>
          <w:sz w:val="21"/>
        </w:rPr>
      </w:pPr>
      <w:r w:rsidRPr="000266A5">
        <w:rPr>
          <w:sz w:val="21"/>
        </w:rPr>
        <w:t>En consecuencia, la persona jurídica cuya constitución es menor a tres (3) años puede registrar la experiencia de sus socios en el RUP, la cual no podrá ser tenida en cuenta por la Entidad Estatal como experiencia de la sociedad una vez cumplidos los tres (3) años de constituida la persona jurídica a los que hace referencia la norma, pues no se cumple con el presupuesto normativo para acceder al beneficio que contempla el Decreto</w:t>
      </w:r>
      <w:r w:rsidRPr="000266A5">
        <w:rPr>
          <w:spacing w:val="-8"/>
          <w:sz w:val="21"/>
        </w:rPr>
        <w:t xml:space="preserve"> </w:t>
      </w:r>
      <w:r w:rsidRPr="000266A5">
        <w:rPr>
          <w:sz w:val="21"/>
        </w:rPr>
        <w:t>1082.</w:t>
      </w:r>
    </w:p>
    <w:p w14:paraId="3D88BAFB" w14:textId="77777777" w:rsidR="00987F29" w:rsidRPr="000266A5" w:rsidRDefault="00987F29">
      <w:pPr>
        <w:pStyle w:val="Textoindependiente"/>
        <w:rPr>
          <w:sz w:val="21"/>
        </w:rPr>
      </w:pPr>
    </w:p>
    <w:p w14:paraId="417A0B0C" w14:textId="2CAE58AE" w:rsidR="00987F29" w:rsidRPr="000266A5" w:rsidRDefault="003908F6">
      <w:pPr>
        <w:pStyle w:val="Prrafodelista"/>
        <w:numPr>
          <w:ilvl w:val="2"/>
          <w:numId w:val="1"/>
        </w:numPr>
        <w:tabs>
          <w:tab w:val="left" w:pos="1258"/>
        </w:tabs>
        <w:ind w:right="734" w:firstLine="0"/>
        <w:jc w:val="both"/>
        <w:rPr>
          <w:sz w:val="21"/>
        </w:rPr>
      </w:pPr>
      <w:r w:rsidRPr="000266A5">
        <w:rPr>
          <w:sz w:val="21"/>
        </w:rPr>
        <w:t>Las Cámaras de Comercio se encargan de hacer la verificación documental de la información presentada por los interesados al momento de inscribir, renovar o actualizar su información en el RUP. De esa forma, a diferencia de la renovación,  la actualización del RUP puede llevarse a cabo en cualquier momento (únicamente para la capacidad jurídica y experiencia) y debe ser verificada junto con sus soportes por la Cámara de Comercio</w:t>
      </w:r>
      <w:r w:rsidRPr="000266A5">
        <w:rPr>
          <w:spacing w:val="-10"/>
          <w:sz w:val="21"/>
        </w:rPr>
        <w:t xml:space="preserve"> </w:t>
      </w:r>
      <w:r w:rsidRPr="000266A5">
        <w:rPr>
          <w:sz w:val="21"/>
        </w:rPr>
        <w:t>correspondiente</w:t>
      </w:r>
      <w:r w:rsidR="002615B9">
        <w:rPr>
          <w:rStyle w:val="Refdenotaalpie"/>
          <w:sz w:val="21"/>
        </w:rPr>
        <w:footnoteReference w:id="5"/>
      </w:r>
      <w:r w:rsidRPr="000266A5">
        <w:rPr>
          <w:sz w:val="21"/>
        </w:rPr>
        <w:t>.</w:t>
      </w:r>
    </w:p>
    <w:p w14:paraId="0206995D" w14:textId="77777777" w:rsidR="00987F29" w:rsidRPr="000266A5" w:rsidRDefault="00987F29">
      <w:pPr>
        <w:pStyle w:val="Textoindependiente"/>
        <w:rPr>
          <w:sz w:val="25"/>
        </w:rPr>
      </w:pPr>
    </w:p>
    <w:p w14:paraId="52363BA2" w14:textId="77777777" w:rsidR="00987F29" w:rsidRPr="000266A5" w:rsidRDefault="003908F6">
      <w:pPr>
        <w:pStyle w:val="Textoindependiente"/>
        <w:spacing w:line="276" w:lineRule="auto"/>
        <w:ind w:left="300" w:right="308"/>
        <w:jc w:val="both"/>
      </w:pPr>
      <w:r w:rsidRPr="000266A5">
        <w:t>Ante esta disparidad de criterios, la Subdirección de Gestión Contractual estimó necesario recoger estos pronunciamientos y unificar nuestra posición en el concepto con radicado No. 4201913000006797 del 19 de noviembre de 2019, en torno a la posibilidad o no de que las sociedades nuevas puedan seguir acreditando la experiencia de sus socios, accionistas o constituyentes, incluso después de cumplidos 3 años de constitución de la persona</w:t>
      </w:r>
      <w:r w:rsidRPr="000266A5">
        <w:rPr>
          <w:spacing w:val="-3"/>
        </w:rPr>
        <w:t xml:space="preserve"> </w:t>
      </w:r>
      <w:r w:rsidRPr="000266A5">
        <w:t>jurídica.</w:t>
      </w:r>
    </w:p>
    <w:p w14:paraId="059A8E33" w14:textId="77777777" w:rsidR="00987F29" w:rsidRPr="000266A5" w:rsidRDefault="00987F29">
      <w:pPr>
        <w:pStyle w:val="Textoindependiente"/>
        <w:spacing w:before="2"/>
        <w:rPr>
          <w:sz w:val="25"/>
        </w:rPr>
      </w:pPr>
    </w:p>
    <w:p w14:paraId="154DE491" w14:textId="1D2B16E4" w:rsidR="00987F29" w:rsidRPr="000266A5" w:rsidRDefault="003908F6">
      <w:pPr>
        <w:pStyle w:val="Textoindependiente"/>
        <w:spacing w:before="1" w:line="276" w:lineRule="auto"/>
        <w:ind w:left="300" w:right="306"/>
        <w:jc w:val="both"/>
      </w:pPr>
      <w:r w:rsidRPr="000266A5">
        <w:t>El criterio que se adopta es que la experiencia de los socios, accionistas o constituyentes para aquellas sociedades que al momento de inscribirse en el RUP tenían menos de 3 años de constituidas puede seguir siendo acreditada por la persona jurídica después de transcurridos los 3 años del acto de constitución. Esta posición ya había sido acogida por esta Subdirección en pronunciamientos más recientes, esto es, posteriores a la acogida en el Concepto del 3 de abril de 2018 antes</w:t>
      </w:r>
      <w:r w:rsidRPr="000266A5">
        <w:rPr>
          <w:spacing w:val="-10"/>
        </w:rPr>
        <w:t xml:space="preserve"> </w:t>
      </w:r>
      <w:r w:rsidRPr="000266A5">
        <w:t>citado</w:t>
      </w:r>
      <w:r w:rsidR="002615B9">
        <w:rPr>
          <w:rStyle w:val="Refdenotaalpie"/>
        </w:rPr>
        <w:footnoteReference w:id="6"/>
      </w:r>
      <w:r w:rsidRPr="000266A5">
        <w:t>.</w:t>
      </w:r>
    </w:p>
    <w:p w14:paraId="68463E54" w14:textId="77777777" w:rsidR="00987F29" w:rsidRPr="000266A5" w:rsidRDefault="00987F29">
      <w:pPr>
        <w:pStyle w:val="Textoindependiente"/>
        <w:spacing w:before="4"/>
        <w:rPr>
          <w:sz w:val="25"/>
        </w:rPr>
      </w:pPr>
    </w:p>
    <w:p w14:paraId="281E3F01" w14:textId="649EB998" w:rsidR="00987F29" w:rsidRPr="000266A5" w:rsidRDefault="003908F6" w:rsidP="002615B9">
      <w:pPr>
        <w:pStyle w:val="Textoindependiente"/>
        <w:spacing w:line="276" w:lineRule="auto"/>
        <w:ind w:left="300" w:right="306"/>
        <w:jc w:val="both"/>
      </w:pPr>
      <w:r w:rsidRPr="000266A5">
        <w:t>Se reitera que la finalidad del numeral 2.5 del artículo 2.2.1.1.1.5.2 del Decreto 1082 de 2015 es incentivar la libre competencia y la pluralidad de oferentes en la contratación</w:t>
      </w:r>
      <w:r w:rsidR="002615B9">
        <w:t xml:space="preserve"> </w:t>
      </w:r>
      <w:r w:rsidRPr="000266A5">
        <w:t>estatal. Adicionalmente, el Decreto 1082 de 2015 establece que la persona inscrita en el RUP debe presentar la información para renovar su registro a más tardar el quinto día hábil del mes de abril de cada año, de lo contrario cesan sus efectos</w:t>
      </w:r>
      <w:r w:rsidR="002054DA">
        <w:rPr>
          <w:rStyle w:val="Refdenotaalpie"/>
        </w:rPr>
        <w:footnoteReference w:id="7"/>
      </w:r>
      <w:r w:rsidRPr="000266A5">
        <w:t xml:space="preserve">. En la actualidad, las Cámaras de </w:t>
      </w:r>
      <w:r w:rsidRPr="000266A5">
        <w:lastRenderedPageBreak/>
        <w:t>Comercio sólo pueden eliminar la experiencia registrada en el RUP a solicitud del proponente, por tanto, le corresponde a las personas jurídicas mantener su RUP actualizado y a las entidades estatales verificar, para efectos de tener en cuenta la experiencia.</w:t>
      </w:r>
    </w:p>
    <w:p w14:paraId="2B63E168" w14:textId="77777777" w:rsidR="00987F29" w:rsidRPr="000266A5" w:rsidRDefault="00987F29">
      <w:pPr>
        <w:pStyle w:val="Textoindependiente"/>
        <w:spacing w:before="3"/>
        <w:rPr>
          <w:sz w:val="25"/>
        </w:rPr>
      </w:pPr>
    </w:p>
    <w:p w14:paraId="31CB16AB" w14:textId="77777777" w:rsidR="00987F29" w:rsidRPr="000266A5" w:rsidRDefault="003908F6">
      <w:pPr>
        <w:pStyle w:val="Textoindependiente"/>
        <w:spacing w:line="276" w:lineRule="auto"/>
        <w:ind w:left="300" w:right="306"/>
        <w:jc w:val="both"/>
      </w:pPr>
      <w:r w:rsidRPr="000266A5">
        <w:t xml:space="preserve">En otras palabras, si la persona jurídica con menos de tres años de constituida registra la experiencia de sus socios en el RUP, y éste es renovado, puede continuar utilizando la experiencia inscrita mientras no cesen los efectos del RUP. Por el contrario, si no </w:t>
      </w:r>
      <w:r w:rsidRPr="000266A5">
        <w:rPr>
          <w:spacing w:val="3"/>
        </w:rPr>
        <w:t xml:space="preserve">se </w:t>
      </w:r>
      <w:r w:rsidRPr="000266A5">
        <w:t>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w:t>
      </w:r>
      <w:r w:rsidRPr="000266A5">
        <w:rPr>
          <w:spacing w:val="-27"/>
        </w:rPr>
        <w:t xml:space="preserve"> </w:t>
      </w:r>
      <w:r w:rsidRPr="000266A5">
        <w:t>registro.</w:t>
      </w:r>
    </w:p>
    <w:p w14:paraId="57316753" w14:textId="77777777" w:rsidR="00987F29" w:rsidRPr="000266A5" w:rsidRDefault="00987F29">
      <w:pPr>
        <w:pStyle w:val="Textoindependiente"/>
        <w:spacing w:before="4"/>
        <w:rPr>
          <w:sz w:val="25"/>
        </w:rPr>
      </w:pPr>
    </w:p>
    <w:p w14:paraId="1D55C6C0" w14:textId="77777777" w:rsidR="00987F29" w:rsidRPr="000266A5" w:rsidRDefault="003908F6">
      <w:pPr>
        <w:pStyle w:val="Textoindependiente"/>
        <w:spacing w:line="276" w:lineRule="auto"/>
        <w:ind w:left="300" w:right="310"/>
        <w:jc w:val="both"/>
      </w:pPr>
      <w:r w:rsidRPr="000266A5">
        <w:t>Lo anterior, tiene fundamento en la Circular Única de la Superintendencia de Industria y Comercio, en el numeral 4.2, sobre el procedimiento para llevar el registro único de proponentes, que establece:</w:t>
      </w:r>
    </w:p>
    <w:p w14:paraId="7EB6874B" w14:textId="77777777" w:rsidR="00987F29" w:rsidRPr="000266A5" w:rsidRDefault="00987F29">
      <w:pPr>
        <w:pStyle w:val="Textoindependiente"/>
        <w:rPr>
          <w:sz w:val="21"/>
        </w:rPr>
      </w:pPr>
    </w:p>
    <w:p w14:paraId="3B713664" w14:textId="77777777" w:rsidR="00987F29" w:rsidRPr="000266A5" w:rsidRDefault="003908F6">
      <w:pPr>
        <w:spacing w:before="1"/>
        <w:ind w:left="1008" w:right="1016"/>
        <w:jc w:val="both"/>
        <w:rPr>
          <w:sz w:val="21"/>
        </w:rPr>
      </w:pPr>
      <w:r w:rsidRPr="000266A5">
        <w:rPr>
          <w:sz w:val="21"/>
        </w:rPr>
        <w:t>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w:t>
      </w:r>
    </w:p>
    <w:p w14:paraId="014074C5" w14:textId="77777777" w:rsidR="00987F29" w:rsidRPr="000266A5" w:rsidRDefault="00987F29">
      <w:pPr>
        <w:pStyle w:val="Textoindependiente"/>
        <w:spacing w:before="3"/>
        <w:rPr>
          <w:sz w:val="25"/>
        </w:rPr>
      </w:pPr>
    </w:p>
    <w:p w14:paraId="09773084" w14:textId="7E32DF43" w:rsidR="00987F29" w:rsidRDefault="003908F6" w:rsidP="00BD34FF">
      <w:pPr>
        <w:pStyle w:val="Textoindependiente"/>
        <w:spacing w:line="276" w:lineRule="auto"/>
        <w:ind w:left="300" w:right="303"/>
        <w:jc w:val="both"/>
      </w:pPr>
      <w:r w:rsidRPr="000266A5">
        <w:t>Así las cosas, con el fin de incentivar la participación continúa y constante de los proponentes, las entidades estatales, en sus procesos de contratación, aceptarán como válida la experiencia de los socios, accionistas o constituyentes incluso después de cumplidos los tres años de constitución de la sociedad, pues esta interpretación permite incentivar la creación de empresa y generar una mayor participación de las empresas recién constituidas.</w:t>
      </w:r>
      <w:r w:rsidR="00BD34FF">
        <w:t xml:space="preserve"> </w:t>
      </w:r>
    </w:p>
    <w:p w14:paraId="00AC0382" w14:textId="77777777" w:rsidR="00BD34FF" w:rsidRPr="000266A5" w:rsidRDefault="00BD34FF" w:rsidP="00BD34FF">
      <w:pPr>
        <w:pStyle w:val="Textoindependiente"/>
        <w:spacing w:line="276" w:lineRule="auto"/>
        <w:ind w:left="300" w:right="303"/>
        <w:jc w:val="both"/>
        <w:rPr>
          <w:sz w:val="16"/>
        </w:rPr>
      </w:pPr>
    </w:p>
    <w:p w14:paraId="3C8CDF84" w14:textId="77777777" w:rsidR="00987F29" w:rsidRPr="000266A5" w:rsidRDefault="003908F6">
      <w:pPr>
        <w:pStyle w:val="Textoindependiente"/>
        <w:spacing w:before="93" w:line="276" w:lineRule="auto"/>
        <w:ind w:left="300" w:right="306"/>
        <w:jc w:val="both"/>
      </w:pPr>
      <w:r w:rsidRPr="000266A5">
        <w:t xml:space="preserve">En este sentido, si bien la norma no determina si después de tres (3) años de constituida la persona jurídica la experiencia que fue aportada por los socios, accionistas o constituyentes sigue siendo válida o la entidad la puede rechazar, la Agencia Nacional de Contratación Pública considera que la experiencia de los socios, accionistas o constituyentes aportada a la persona jurídica sigue siendo válida porque de esta forma se garantiza la pluralidad de </w:t>
      </w:r>
      <w:r w:rsidRPr="000266A5">
        <w:lastRenderedPageBreak/>
        <w:t>oferentes en los procesos de</w:t>
      </w:r>
      <w:r w:rsidRPr="000266A5">
        <w:rPr>
          <w:spacing w:val="-14"/>
        </w:rPr>
        <w:t xml:space="preserve"> </w:t>
      </w:r>
      <w:r w:rsidRPr="000266A5">
        <w:t>contratación.</w:t>
      </w:r>
    </w:p>
    <w:p w14:paraId="0367A133" w14:textId="77777777" w:rsidR="00987F29" w:rsidRPr="000266A5" w:rsidRDefault="00987F29">
      <w:pPr>
        <w:pStyle w:val="Textoindependiente"/>
        <w:spacing w:before="5"/>
        <w:rPr>
          <w:sz w:val="25"/>
        </w:rPr>
      </w:pPr>
    </w:p>
    <w:p w14:paraId="399FD7A0" w14:textId="77777777" w:rsidR="00987F29" w:rsidRPr="000266A5" w:rsidRDefault="003908F6">
      <w:pPr>
        <w:pStyle w:val="Ttulo1"/>
        <w:numPr>
          <w:ilvl w:val="1"/>
          <w:numId w:val="1"/>
        </w:numPr>
        <w:tabs>
          <w:tab w:val="left" w:pos="731"/>
        </w:tabs>
        <w:ind w:left="730" w:hanging="431"/>
      </w:pPr>
      <w:r w:rsidRPr="000266A5">
        <w:t>Acreditación de experiencia en las excepciones al</w:t>
      </w:r>
      <w:r w:rsidRPr="000266A5">
        <w:rPr>
          <w:spacing w:val="-8"/>
        </w:rPr>
        <w:t xml:space="preserve"> </w:t>
      </w:r>
      <w:r w:rsidRPr="000266A5">
        <w:t>RUP</w:t>
      </w:r>
    </w:p>
    <w:p w14:paraId="441FF482" w14:textId="77777777" w:rsidR="00987F29" w:rsidRPr="000266A5" w:rsidRDefault="00987F29">
      <w:pPr>
        <w:pStyle w:val="Textoindependiente"/>
        <w:spacing w:before="8"/>
        <w:rPr>
          <w:b/>
          <w:sz w:val="28"/>
        </w:rPr>
      </w:pPr>
    </w:p>
    <w:p w14:paraId="18F401D6" w14:textId="77777777" w:rsidR="00987F29" w:rsidRPr="000266A5" w:rsidRDefault="003908F6">
      <w:pPr>
        <w:pStyle w:val="Textoindependiente"/>
        <w:spacing w:line="276" w:lineRule="auto"/>
        <w:ind w:left="300" w:right="303"/>
        <w:jc w:val="both"/>
      </w:pPr>
      <w:r w:rsidRPr="000266A5">
        <w:t>La acreditación de la experiencia en los procesos de contratación que no requieren del RUP, se estudió, por esta Subdirección, en el concepto con radicado No. 4201913000006797 del 19 de noviembre de 2019, de acuerdo con los argumentos que se presentan a continuación.</w:t>
      </w:r>
    </w:p>
    <w:p w14:paraId="63F723B7" w14:textId="77777777" w:rsidR="00987F29" w:rsidRPr="000266A5" w:rsidRDefault="00987F29">
      <w:pPr>
        <w:pStyle w:val="Textoindependiente"/>
        <w:spacing w:before="3"/>
        <w:rPr>
          <w:sz w:val="25"/>
        </w:rPr>
      </w:pPr>
    </w:p>
    <w:p w14:paraId="1B220D6F" w14:textId="77777777" w:rsidR="00987F29" w:rsidRPr="000266A5" w:rsidRDefault="003908F6">
      <w:pPr>
        <w:pStyle w:val="Textoindependiente"/>
        <w:spacing w:before="1" w:line="276" w:lineRule="auto"/>
        <w:ind w:left="300" w:right="305"/>
        <w:jc w:val="both"/>
      </w:pPr>
      <w:r w:rsidRPr="000266A5">
        <w:t>El Registro Único de Proponentes no es exigible en todos los procesos de selección. El segundo inciso del artículo 6 de la Ley 1150 de 2007 señala los casos en los que no se requerirá el Registro Único de Proponentes: “(…)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w:t>
      </w:r>
      <w:r w:rsidRPr="000266A5">
        <w:rPr>
          <w:spacing w:val="-20"/>
        </w:rPr>
        <w:t xml:space="preserve"> </w:t>
      </w:r>
      <w:r w:rsidRPr="000266A5">
        <w:t>índole”.</w:t>
      </w:r>
    </w:p>
    <w:p w14:paraId="046A08A9" w14:textId="77777777" w:rsidR="00987F29" w:rsidRPr="000266A5" w:rsidRDefault="00987F29">
      <w:pPr>
        <w:pStyle w:val="Textoindependiente"/>
        <w:spacing w:before="2"/>
        <w:rPr>
          <w:sz w:val="25"/>
        </w:rPr>
      </w:pPr>
    </w:p>
    <w:p w14:paraId="72DAEABF" w14:textId="77777777" w:rsidR="00987F29" w:rsidRPr="000266A5" w:rsidRDefault="003908F6">
      <w:pPr>
        <w:pStyle w:val="Textoindependiente"/>
        <w:spacing w:line="276" w:lineRule="auto"/>
        <w:ind w:left="300" w:right="304"/>
        <w:jc w:val="both"/>
      </w:pPr>
      <w:r w:rsidRPr="000266A5">
        <w:t>La norma señala que, en estos eventos, las entidades contratantes tienen del deber de verificar las condiciones de capacidad jurídica, técnica, financiera y organizacional de los oferentes. Adicionalmente, en los casos que sea necesaria la verificación de requisitos o información que no repose en el RUP, la entidad estatal podrá solicitar información adicional -por ejemplo, longitudes de obra, especificaciones técnicas, etc.- sólo para complementar la información contenida allí, y con el fin de verificar condiciones adicionales de experiencia del proponente.</w:t>
      </w:r>
    </w:p>
    <w:p w14:paraId="536C99CC" w14:textId="77777777" w:rsidR="00987F29" w:rsidRPr="000266A5" w:rsidRDefault="00987F29">
      <w:pPr>
        <w:pStyle w:val="Textoindependiente"/>
        <w:spacing w:before="4"/>
        <w:rPr>
          <w:sz w:val="25"/>
        </w:rPr>
      </w:pPr>
    </w:p>
    <w:p w14:paraId="0854FD0E" w14:textId="77777777" w:rsidR="00987F29" w:rsidRPr="000266A5" w:rsidRDefault="003908F6">
      <w:pPr>
        <w:pStyle w:val="Textoindependiente"/>
        <w:spacing w:line="276" w:lineRule="auto"/>
        <w:ind w:left="300" w:right="306"/>
        <w:jc w:val="both"/>
      </w:pPr>
      <w:r w:rsidRPr="000266A5">
        <w:t>De esta forma, sólo en aquellos casos en los que por las características del objeto a contratar se requiera la verificación de requisitos del proponente adicionales a los contenidos en el Registro, la entidad podrá hacer tal verificación en forma directa y solicitar documentos diferentes al mismo.</w:t>
      </w:r>
    </w:p>
    <w:p w14:paraId="3F7CC2AD" w14:textId="77777777" w:rsidR="00987F29" w:rsidRPr="000266A5" w:rsidRDefault="00987F29">
      <w:pPr>
        <w:pStyle w:val="Textoindependiente"/>
        <w:spacing w:before="4"/>
        <w:rPr>
          <w:sz w:val="25"/>
        </w:rPr>
      </w:pPr>
    </w:p>
    <w:p w14:paraId="2424B2D6" w14:textId="3C19C553" w:rsidR="00987F29" w:rsidRPr="000266A5" w:rsidRDefault="003908F6" w:rsidP="00BD34FF">
      <w:pPr>
        <w:pStyle w:val="Textoindependiente"/>
        <w:spacing w:line="276" w:lineRule="auto"/>
        <w:ind w:left="300" w:right="312"/>
        <w:jc w:val="both"/>
      </w:pPr>
      <w:r w:rsidRPr="000266A5">
        <w:t>Ahora bien ¿qué ocurre con la medida contenida en el inciso final del numeral 2.5 del artículo 2.2.1.1.1.5.2 del Decreto 1082 de 2015 en aquellos casos en que la persona</w:t>
      </w:r>
      <w:r w:rsidR="00BD34FF">
        <w:t xml:space="preserve"> </w:t>
      </w:r>
      <w:r w:rsidRPr="000266A5">
        <w:t>jurídica con menos de 3 años de constitución no está inscrita en el RUP? ¿pueden las sociedades recién creadas -con menos de 3 años- acreditar la experiencia de sus socios, accionistas o constituyentes en los procesos del segundo inciso del artículo 6 de la Ley 1150 de 2007, esto es, cuando no se exige que el proponente no se inscriba en el RUP?</w:t>
      </w:r>
    </w:p>
    <w:p w14:paraId="2EED87F2" w14:textId="77777777" w:rsidR="00987F29" w:rsidRPr="000266A5" w:rsidRDefault="00987F29">
      <w:pPr>
        <w:pStyle w:val="Textoindependiente"/>
        <w:spacing w:before="4"/>
        <w:rPr>
          <w:sz w:val="25"/>
        </w:rPr>
      </w:pPr>
    </w:p>
    <w:p w14:paraId="69851E56" w14:textId="77777777" w:rsidR="00987F29" w:rsidRPr="000266A5" w:rsidRDefault="003908F6">
      <w:pPr>
        <w:pStyle w:val="Textoindependiente"/>
        <w:spacing w:line="276" w:lineRule="auto"/>
        <w:ind w:left="300" w:right="304"/>
        <w:jc w:val="both"/>
      </w:pPr>
      <w:r w:rsidRPr="000266A5">
        <w:t xml:space="preserve">Teniendo en cuenta que la posibilidad de acreditar la experiencia de los socios para las personas jurídicas con menos de 3 años de constitución se encuentra contenida en una norma que regula el RUP, en principio, solo aplicaría para los casos en los que la persona </w:t>
      </w:r>
      <w:r w:rsidRPr="000266A5">
        <w:lastRenderedPageBreak/>
        <w:t>jurídica está inscrita en dicho registro. Para los demás eventos, como ya se anotó, la entidad contratante tiene la carga de verificar, entre otros, el requisito de experiencia de los oferentes y ello lo hará de conformidad con la regla que al efecto haya establecido en los pliegos de condiciones.</w:t>
      </w:r>
    </w:p>
    <w:p w14:paraId="32E9B7C3" w14:textId="77777777" w:rsidR="00987F29" w:rsidRPr="000266A5" w:rsidRDefault="00987F29">
      <w:pPr>
        <w:pStyle w:val="Textoindependiente"/>
        <w:spacing w:before="3"/>
        <w:rPr>
          <w:sz w:val="25"/>
        </w:rPr>
      </w:pPr>
    </w:p>
    <w:p w14:paraId="4B3B8A9B" w14:textId="77777777" w:rsidR="00987F29" w:rsidRPr="000266A5" w:rsidRDefault="003908F6">
      <w:pPr>
        <w:pStyle w:val="Textoindependiente"/>
        <w:spacing w:before="1" w:line="276" w:lineRule="auto"/>
        <w:ind w:left="300" w:right="310"/>
        <w:jc w:val="both"/>
      </w:pPr>
      <w:r w:rsidRPr="000266A5">
        <w:t>La entidad, en virtud de su autonomía, puede determinar en los pliegos de condiciones que en la evaluación del requisito de experiencia tendrá en cuenta la experiencia de los socios, accionistas o constituyentes de aquellas personas jurídicas con menos de 3 años de constitución.</w:t>
      </w:r>
    </w:p>
    <w:p w14:paraId="4641432F" w14:textId="77777777" w:rsidR="00987F29" w:rsidRPr="000266A5" w:rsidRDefault="00987F29">
      <w:pPr>
        <w:pStyle w:val="Textoindependiente"/>
        <w:spacing w:before="3"/>
        <w:rPr>
          <w:sz w:val="25"/>
        </w:rPr>
      </w:pPr>
    </w:p>
    <w:p w14:paraId="50BB4AF9" w14:textId="77777777" w:rsidR="00987F29" w:rsidRPr="000266A5" w:rsidRDefault="003908F6">
      <w:pPr>
        <w:pStyle w:val="Textoindependiente"/>
        <w:spacing w:before="1" w:line="276" w:lineRule="auto"/>
        <w:ind w:left="300" w:right="304"/>
        <w:jc w:val="both"/>
      </w:pPr>
      <w:r w:rsidRPr="000266A5">
        <w:t>No obstante, la Subdirección de Gestión Contractual considera, a pesar de la discrecionalidad y autonomía que les asiste a las entidades contratantes, que la regla expresada en el numeral 2.5 del artículo 2.2.1.1.1.5.2 del Decreto 1082 de 2015 se debe hacer extensiva, inclusive, a las personas jurídicas que no estén inscritas en el RUP y participen en los procesos de selección exceptuados por el segundo inciso del artículo 6 de la Ley 1150 de 2007.</w:t>
      </w:r>
    </w:p>
    <w:p w14:paraId="3C3817B0" w14:textId="77777777" w:rsidR="00987F29" w:rsidRPr="000266A5" w:rsidRDefault="00987F29">
      <w:pPr>
        <w:pStyle w:val="Textoindependiente"/>
        <w:spacing w:before="2"/>
        <w:rPr>
          <w:sz w:val="25"/>
        </w:rPr>
      </w:pPr>
    </w:p>
    <w:p w14:paraId="1F1AF305" w14:textId="0C7AA391" w:rsidR="00987F29" w:rsidRPr="000266A5" w:rsidRDefault="003908F6" w:rsidP="00BD34FF">
      <w:pPr>
        <w:pStyle w:val="Textoindependiente"/>
        <w:spacing w:line="276" w:lineRule="auto"/>
        <w:ind w:left="300" w:right="307"/>
        <w:jc w:val="both"/>
      </w:pPr>
      <w:r w:rsidRPr="000266A5">
        <w:t>La anterior consideración tiene su principal sustento en el principio de igualdad de trato que orienta e irradia la actividad contractual del Estado. El principio de igualdad, consagrado en el artículo 13 de la Constitución Política, es un valor fundamental, no solo de la contratación estatal sino del ordenamiento jurídico. La igualdad, según la Corte Constitucional, tiene la connotación de principio, valor y derecho</w:t>
      </w:r>
      <w:r w:rsidR="00BD34FF">
        <w:rPr>
          <w:rStyle w:val="Refdenotaalpie"/>
        </w:rPr>
        <w:footnoteReference w:id="8"/>
      </w:r>
      <w:r w:rsidRPr="000266A5">
        <w:t>, por lo que representa un criterio de obligatoria observancia tanto para la producción como para la aplicación</w:t>
      </w:r>
      <w:r w:rsidRPr="000266A5">
        <w:rPr>
          <w:spacing w:val="2"/>
        </w:rPr>
        <w:t xml:space="preserve"> </w:t>
      </w:r>
      <w:r w:rsidRPr="000266A5">
        <w:t>e</w:t>
      </w:r>
      <w:r w:rsidR="00BD34FF">
        <w:t xml:space="preserve"> </w:t>
      </w:r>
      <w:r w:rsidRPr="000266A5">
        <w:t>interpretación del derecho.</w:t>
      </w:r>
    </w:p>
    <w:p w14:paraId="67E9B9D7" w14:textId="77777777" w:rsidR="00987F29" w:rsidRPr="000266A5" w:rsidRDefault="00987F29">
      <w:pPr>
        <w:pStyle w:val="Textoindependiente"/>
        <w:spacing w:before="7"/>
        <w:rPr>
          <w:sz w:val="28"/>
        </w:rPr>
      </w:pPr>
    </w:p>
    <w:p w14:paraId="0C8B61B3" w14:textId="77777777" w:rsidR="00987F29" w:rsidRPr="000266A5" w:rsidRDefault="003908F6">
      <w:pPr>
        <w:pStyle w:val="Textoindependiente"/>
        <w:spacing w:line="276" w:lineRule="auto"/>
        <w:ind w:left="300" w:right="304"/>
        <w:jc w:val="both"/>
      </w:pPr>
      <w:r w:rsidRPr="000266A5">
        <w:t>A la luz del artículo 209 de la Constitución Política, la igualdad es uno de los principios orientadores de la función administrativa, y en virtud del principio de igualdad, las autoridades darán el mismo trato y protección a las personas e instituciones que intervengan en las actuaciones bajo su conocimiento, como lo ordena el numeral 2º del artículo 3º de la Ley 1437 de 2011.</w:t>
      </w:r>
    </w:p>
    <w:p w14:paraId="5A2FB56A" w14:textId="77777777" w:rsidR="00987F29" w:rsidRPr="000266A5" w:rsidRDefault="00987F29">
      <w:pPr>
        <w:pStyle w:val="Textoindependiente"/>
        <w:spacing w:before="3"/>
        <w:rPr>
          <w:sz w:val="25"/>
        </w:rPr>
      </w:pPr>
    </w:p>
    <w:p w14:paraId="734F95D8" w14:textId="77777777" w:rsidR="00987F29" w:rsidRPr="000266A5" w:rsidRDefault="003908F6">
      <w:pPr>
        <w:pStyle w:val="Textoindependiente"/>
        <w:spacing w:line="276" w:lineRule="auto"/>
        <w:ind w:left="300" w:right="308"/>
        <w:jc w:val="both"/>
      </w:pPr>
      <w:r w:rsidRPr="000266A5">
        <w:t xml:space="preserve">En el ámbito de la contratación pública, la igualdad se materializa a través del equilibrio de todos los oferentes frente al proceso de selección, desde la exigencia de los requisitos </w:t>
      </w:r>
      <w:r w:rsidRPr="000266A5">
        <w:lastRenderedPageBreak/>
        <w:t>estipulados en los pliegos de condiciones, en la calificación de sus ofertas y en su selección. La igualdad en los procesos de contratación supone que las condiciones a las que se enfrentan los proponentes sean las mismas para todos y que la oferta adjudicada sea la más favorable a la entidad.</w:t>
      </w:r>
    </w:p>
    <w:p w14:paraId="4F3486B7" w14:textId="77777777" w:rsidR="00987F29" w:rsidRPr="000266A5" w:rsidRDefault="00987F29">
      <w:pPr>
        <w:pStyle w:val="Textoindependiente"/>
        <w:spacing w:before="5"/>
        <w:rPr>
          <w:sz w:val="25"/>
        </w:rPr>
      </w:pPr>
    </w:p>
    <w:p w14:paraId="2D20EF13" w14:textId="77777777" w:rsidR="00987F29" w:rsidRPr="000266A5" w:rsidRDefault="003908F6">
      <w:pPr>
        <w:pStyle w:val="Textoindependiente"/>
        <w:spacing w:line="276" w:lineRule="auto"/>
        <w:ind w:left="300" w:right="304"/>
        <w:jc w:val="both"/>
      </w:pPr>
      <w:r w:rsidRPr="000266A5">
        <w:t>Es por ello que el Consejo de Estado ha determinado que la aplicación del principio de igualdad en la contratación pública materializa otros principios de similar importancia, como la selección objetiva y la transparencia:</w:t>
      </w:r>
    </w:p>
    <w:p w14:paraId="63808883" w14:textId="77777777" w:rsidR="00987F29" w:rsidRPr="000266A5" w:rsidRDefault="00987F29">
      <w:pPr>
        <w:pStyle w:val="Textoindependiente"/>
        <w:spacing w:before="2"/>
        <w:rPr>
          <w:sz w:val="25"/>
        </w:rPr>
      </w:pPr>
    </w:p>
    <w:p w14:paraId="5501F6E9" w14:textId="03153A88" w:rsidR="00987F29" w:rsidRPr="000266A5" w:rsidRDefault="003908F6">
      <w:pPr>
        <w:ind w:left="1008" w:right="735"/>
        <w:jc w:val="both"/>
        <w:rPr>
          <w:sz w:val="21"/>
        </w:rPr>
      </w:pPr>
      <w:r w:rsidRPr="000266A5">
        <w:rPr>
          <w:sz w:val="21"/>
        </w:rPr>
        <w:t>La igualdad de los licitadores, presupuesto fundamental que garantiza la selección objetiva y desarrolla el principio de transparencia que orienta la contratación estatal, se traduce en la identidad de oportunidades dispuesta para los sujetos interesados en contratar con la Administración. Y la sujeción estricta al pliego de condiciones es un principio fundamental del proceso licitatorio, que desarrolla la objetividad connatural a este procedimiento, en consideración a que el pliego es fuente principal de los derechos y obligaciones de la administración y de los proponentes</w:t>
      </w:r>
      <w:r w:rsidR="00BD34FF">
        <w:rPr>
          <w:rStyle w:val="Refdenotaalpie"/>
          <w:sz w:val="21"/>
        </w:rPr>
        <w:footnoteReference w:id="9"/>
      </w:r>
      <w:r w:rsidRPr="000266A5">
        <w:rPr>
          <w:sz w:val="21"/>
        </w:rPr>
        <w:t>.</w:t>
      </w:r>
    </w:p>
    <w:p w14:paraId="476A2302" w14:textId="77777777" w:rsidR="00987F29" w:rsidRPr="000266A5" w:rsidRDefault="00987F29">
      <w:pPr>
        <w:pStyle w:val="Textoindependiente"/>
        <w:rPr>
          <w:sz w:val="25"/>
        </w:rPr>
      </w:pPr>
    </w:p>
    <w:p w14:paraId="023DA63E" w14:textId="77777777" w:rsidR="00BD34FF" w:rsidRDefault="003908F6" w:rsidP="00BD34FF">
      <w:pPr>
        <w:pStyle w:val="Textoindependiente"/>
        <w:spacing w:line="276" w:lineRule="auto"/>
        <w:ind w:left="300" w:right="304"/>
        <w:jc w:val="both"/>
      </w:pPr>
      <w:r w:rsidRPr="000266A5">
        <w:t>Ahora bien, a pesar de que la norma que concede la posibilidad de acreditar la experiencia de los socios, accionistas o constituyentes para las personas jurídicas con menos de 3 años de creación se refiere al RUP, ello no impide que se pueda hacer una aplicación extensiva o analógica para los eventos en los que no sea necesaria la inscripción en el RUP. Es más, se insiste en que esta aplicación analógica se impone en virtud del principio de igualdad de trato en la contratación pública, pues no se observa ningún criterio de distinción que justifique que en un caso se les tenga en cuenta la experiencia de los socios y en otros casos no. Personas jurídicas con menos de 3 años de constitución inscritas en el RUP son esencialmente iguales a las que no tienen dicho</w:t>
      </w:r>
      <w:r w:rsidRPr="000266A5">
        <w:rPr>
          <w:spacing w:val="-17"/>
        </w:rPr>
        <w:t xml:space="preserve"> </w:t>
      </w:r>
      <w:r w:rsidRPr="000266A5">
        <w:t>registro.</w:t>
      </w:r>
    </w:p>
    <w:p w14:paraId="54D8F781" w14:textId="77777777" w:rsidR="00BD34FF" w:rsidRDefault="00BD34FF" w:rsidP="00BD34FF">
      <w:pPr>
        <w:pStyle w:val="Textoindependiente"/>
        <w:spacing w:line="276" w:lineRule="auto"/>
        <w:ind w:left="300" w:right="304"/>
        <w:jc w:val="both"/>
      </w:pPr>
    </w:p>
    <w:p w14:paraId="5314CD07" w14:textId="121F464F" w:rsidR="00987F29" w:rsidRPr="000266A5" w:rsidRDefault="003908F6" w:rsidP="00BD34FF">
      <w:pPr>
        <w:pStyle w:val="Textoindependiente"/>
        <w:spacing w:line="276" w:lineRule="auto"/>
        <w:ind w:left="300" w:right="304"/>
        <w:jc w:val="both"/>
      </w:pPr>
      <w:r w:rsidRPr="000266A5">
        <w:t>En efecto, si se realiza una comparación entre los dos grupos de sujetos a los que se hace referencia, se tendría que concluir que son esencialmente iguales: i) ambos son personas jurídicas recién creadas, esto es, con menos de 3 años de constitución; ii) ambos se encuentran dentro del ámbito de protección o finalidad de la norma, es decir, con la aplicación extensiva de la norma también se promueve el desarrollo de la empresa y la pluralidad de oferentes en la contratación pública y iii) no existe ningún criterio material o sustantivo que justifique el trato diferenciado.</w:t>
      </w:r>
    </w:p>
    <w:p w14:paraId="600A6D2B" w14:textId="77777777" w:rsidR="00987F29" w:rsidRPr="000266A5" w:rsidRDefault="00987F29">
      <w:pPr>
        <w:pStyle w:val="Textoindependiente"/>
        <w:spacing w:before="3"/>
        <w:rPr>
          <w:sz w:val="25"/>
        </w:rPr>
      </w:pPr>
    </w:p>
    <w:p w14:paraId="0B0AEC7B" w14:textId="77777777" w:rsidR="00987F29" w:rsidRPr="000266A5" w:rsidRDefault="003908F6">
      <w:pPr>
        <w:pStyle w:val="Textoindependiente"/>
        <w:spacing w:line="276" w:lineRule="auto"/>
        <w:ind w:left="300" w:right="303"/>
        <w:jc w:val="both"/>
      </w:pPr>
      <w:r w:rsidRPr="000266A5">
        <w:t xml:space="preserve">La única diferencia entre los dos grupos de sujetos es la inscripción en el RUP, el cual es obligatorio, por regla general; pero esa obligatoriedad tiene excepciones. En estas excepciones la persona jurídica no está obligada a registrarse para participar en los procesos de selección que la norma excluye del deber de inscribise en el registro. La inscripción en el </w:t>
      </w:r>
      <w:r w:rsidRPr="000266A5">
        <w:lastRenderedPageBreak/>
        <w:t>RUP no se considera un criterio de diferenciación que pueda justificar un trato diferenciado entre dos grupos de personas que son esencialmente iguales, máxime cuando la falta de inscripción en el RUP, en los casos exceptuados, es una situación permitida por la propia ley -segundo inciso del artículo 6 de la Ley 1150 de</w:t>
      </w:r>
      <w:r w:rsidRPr="000266A5">
        <w:rPr>
          <w:spacing w:val="-24"/>
        </w:rPr>
        <w:t xml:space="preserve"> </w:t>
      </w:r>
      <w:r w:rsidRPr="000266A5">
        <w:t>2007-.</w:t>
      </w:r>
    </w:p>
    <w:p w14:paraId="3D1EE6B4" w14:textId="77777777" w:rsidR="00987F29" w:rsidRPr="000266A5" w:rsidRDefault="00987F29">
      <w:pPr>
        <w:pStyle w:val="Textoindependiente"/>
        <w:spacing w:before="6"/>
        <w:rPr>
          <w:sz w:val="25"/>
        </w:rPr>
      </w:pPr>
    </w:p>
    <w:p w14:paraId="65854DD2" w14:textId="77777777" w:rsidR="00987F29" w:rsidRPr="000266A5" w:rsidRDefault="003908F6">
      <w:pPr>
        <w:pStyle w:val="Textoindependiente"/>
        <w:spacing w:line="276" w:lineRule="auto"/>
        <w:ind w:left="300" w:right="304"/>
        <w:jc w:val="both"/>
      </w:pPr>
      <w:r w:rsidRPr="000266A5">
        <w:t xml:space="preserve">Así las cosas, frente a la acreditación de la experiencia de los socios, accionistas o constituyentes de una persona jurídica con menos de 3 años de constitución, para participar en los eventos exceptuados al deber de inscripción en el RUP, </w:t>
      </w:r>
      <w:r w:rsidRPr="000266A5">
        <w:rPr>
          <w:spacing w:val="2"/>
        </w:rPr>
        <w:t xml:space="preserve">como </w:t>
      </w:r>
      <w:r w:rsidRPr="000266A5">
        <w:t>los procesos de selección de mínima cuantía, la entidad contratante, en virtud de su autonomía, cuenta con la discreción de adoptar dos alternativas: i) aplicar el numeral 2.5 del artículo 2.2.1.1.1.5.2 del Decreto 1082 de 2015 de manera restrictiva, es decir, solo para los eventos de personas jurídicas con menos de 3 años de constitución que se inscriban en el RUP o ii) hacer una aplicación extensiva o analógica de esta norma, y determinar en los pliegos de condiciones que estas personas jurídica, que por virtud de los eventos exceptuados por el segundo inciso del artículo 6 de la Ley 1150 de 2007, no están obligadas a inscribirse en el RUP y no lo han hecho, pueden acreditar la experiencia de sus socios, accionistas y constituyentes si tiene menos de 3 años de</w:t>
      </w:r>
      <w:r w:rsidRPr="000266A5">
        <w:rPr>
          <w:spacing w:val="-20"/>
        </w:rPr>
        <w:t xml:space="preserve"> </w:t>
      </w:r>
      <w:r w:rsidRPr="000266A5">
        <w:t>constitución.</w:t>
      </w:r>
    </w:p>
    <w:p w14:paraId="4607679A" w14:textId="77777777" w:rsidR="00987F29" w:rsidRPr="000266A5" w:rsidRDefault="00987F29">
      <w:pPr>
        <w:pStyle w:val="Textoindependiente"/>
        <w:spacing w:before="2"/>
        <w:rPr>
          <w:sz w:val="25"/>
        </w:rPr>
      </w:pPr>
    </w:p>
    <w:p w14:paraId="251E5185" w14:textId="77777777" w:rsidR="00987F29" w:rsidRPr="000266A5" w:rsidRDefault="003908F6">
      <w:pPr>
        <w:pStyle w:val="Textoindependiente"/>
        <w:spacing w:line="276" w:lineRule="auto"/>
        <w:ind w:left="300" w:right="309"/>
        <w:jc w:val="both"/>
      </w:pPr>
      <w:r w:rsidRPr="000266A5">
        <w:t>La Subdirección de Gestión Contractual considera que la segunda alternativa es la más adecuada, toda vez que realiza el principio de igualdad de trato que rige la contratación de las entidades estatales y materializa el fin de protección de la norma, que es promover el desarrollo de la pequeña empresa y la pluralidad de oferentes.</w:t>
      </w:r>
    </w:p>
    <w:p w14:paraId="172A153D" w14:textId="77777777" w:rsidR="00987F29" w:rsidRPr="000266A5" w:rsidRDefault="00987F29">
      <w:pPr>
        <w:pStyle w:val="Textoindependiente"/>
        <w:spacing w:before="4"/>
        <w:rPr>
          <w:sz w:val="25"/>
        </w:rPr>
      </w:pPr>
    </w:p>
    <w:p w14:paraId="447D884C" w14:textId="77777777" w:rsidR="00987F29" w:rsidRPr="000266A5" w:rsidRDefault="003908F6">
      <w:pPr>
        <w:pStyle w:val="Ttulo1"/>
        <w:numPr>
          <w:ilvl w:val="0"/>
          <w:numId w:val="1"/>
        </w:numPr>
        <w:tabs>
          <w:tab w:val="left" w:pos="661"/>
        </w:tabs>
        <w:ind w:left="660" w:hanging="361"/>
      </w:pPr>
      <w:r w:rsidRPr="000266A5">
        <w:t>Respuesta</w:t>
      </w:r>
    </w:p>
    <w:p w14:paraId="1EE29BDC" w14:textId="77777777" w:rsidR="00987F29" w:rsidRPr="000266A5" w:rsidRDefault="00987F29">
      <w:pPr>
        <w:pStyle w:val="Textoindependiente"/>
        <w:spacing w:before="8"/>
        <w:rPr>
          <w:b/>
          <w:sz w:val="28"/>
        </w:rPr>
      </w:pPr>
    </w:p>
    <w:p w14:paraId="6765D74C" w14:textId="3F121BF0" w:rsidR="00987F29" w:rsidRPr="000266A5" w:rsidRDefault="003908F6" w:rsidP="00BD34FF">
      <w:pPr>
        <w:pStyle w:val="Textoindependiente"/>
        <w:spacing w:line="276" w:lineRule="auto"/>
        <w:ind w:left="300" w:right="305"/>
        <w:jc w:val="both"/>
      </w:pPr>
      <w:r w:rsidRPr="000266A5">
        <w:t>Las personas jurídicas -sociedades por acciones simplificadas- con menos de 3 años de constitución que no se hayan inscrito en el RUP y que participen en procesos de selección en los que por disposición de la ley no es obligatorio el registro, como en el caso de los</w:t>
      </w:r>
      <w:r w:rsidR="00BD34FF">
        <w:t xml:space="preserve"> </w:t>
      </w:r>
      <w:r w:rsidRPr="000266A5">
        <w:t>procesos de mínima cuantía, también pueden aportar la experiencia de sus socios, accionistas o constituyentes, en virtud del principio de igualdad de trato en la contratación pública.</w:t>
      </w:r>
    </w:p>
    <w:p w14:paraId="49016A35" w14:textId="77777777" w:rsidR="00987F29" w:rsidRPr="000266A5" w:rsidRDefault="00987F29">
      <w:pPr>
        <w:pStyle w:val="Textoindependiente"/>
        <w:spacing w:before="5"/>
        <w:rPr>
          <w:sz w:val="25"/>
        </w:rPr>
      </w:pPr>
    </w:p>
    <w:p w14:paraId="565446CC" w14:textId="77777777" w:rsidR="00987F29" w:rsidRPr="000266A5" w:rsidRDefault="003908F6">
      <w:pPr>
        <w:pStyle w:val="Textoindependiente"/>
        <w:spacing w:line="276" w:lineRule="auto"/>
        <w:ind w:left="300" w:right="304"/>
        <w:jc w:val="both"/>
      </w:pPr>
      <w:r w:rsidRPr="000266A5">
        <w:t xml:space="preserve">La experiencia de los socios, de sociedades con menos de 3 años de constitución, se puede acreditar en un proceso de mínima cuantía mediante certificados de los contratos ejecutados directamente o a través de consorcios, uniones temporales y sociedades en los que el accionista haya participado. En este orden de ideas, la experiencia se podrá acreditar con alguno de los siguientes documentos: i) certificación expedida por el tercero que recibió el bien, obra o servicio en donde conste que el contrato se encuentra ejecutado, donde conste la identificación de las partes, el valor del contrato expresado en salarios mínimos mensuales legales vigentes (SMMLV) a la fecha de terminación del contrato, los bienes y servicios que se pretenden acreditar; ii) acta de liquidación del contrato suscrita por el tercero contratante </w:t>
      </w:r>
      <w:r w:rsidRPr="000266A5">
        <w:lastRenderedPageBreak/>
        <w:t>acompañada de una declaración expedida por el proponente, que se entenderá hecha bajo la gravedad del juramento, en la que certifique que le consta que la información del acta de liquidación está en firme; y iii) copia del contrato ejecutado suscrito por las</w:t>
      </w:r>
      <w:r w:rsidRPr="000266A5">
        <w:rPr>
          <w:spacing w:val="-5"/>
        </w:rPr>
        <w:t xml:space="preserve"> </w:t>
      </w:r>
      <w:r w:rsidRPr="000266A5">
        <w:t>partes.</w:t>
      </w:r>
    </w:p>
    <w:p w14:paraId="7A2CEE40" w14:textId="77777777" w:rsidR="00987F29" w:rsidRPr="000266A5" w:rsidRDefault="00987F29">
      <w:pPr>
        <w:pStyle w:val="Textoindependiente"/>
        <w:spacing w:before="3"/>
        <w:rPr>
          <w:sz w:val="25"/>
        </w:rPr>
      </w:pPr>
    </w:p>
    <w:p w14:paraId="28BD0DE7" w14:textId="77777777" w:rsidR="00987F29" w:rsidRPr="000266A5" w:rsidRDefault="003908F6">
      <w:pPr>
        <w:pStyle w:val="Textoindependiente"/>
        <w:spacing w:line="276" w:lineRule="auto"/>
        <w:ind w:left="300" w:right="312"/>
        <w:jc w:val="both"/>
      </w:pPr>
      <w:r w:rsidRPr="000266A5">
        <w:t>Este concepto tiene el alcance previsto en el artículo 28 del Código de Procedimiento Administrativo y de lo Contencioso Administrativo.</w:t>
      </w:r>
    </w:p>
    <w:p w14:paraId="77CB2C1C" w14:textId="77777777" w:rsidR="00987F29" w:rsidRPr="000266A5" w:rsidRDefault="00644EE3">
      <w:pPr>
        <w:pStyle w:val="Textoindependiente"/>
        <w:spacing w:before="9"/>
      </w:pPr>
      <w:r w:rsidRPr="000266A5">
        <w:rPr>
          <w:noProof/>
          <w:lang w:val="en-US"/>
        </w:rPr>
        <mc:AlternateContent>
          <mc:Choice Requires="wps">
            <w:drawing>
              <wp:anchor distT="0" distB="0" distL="0" distR="0" simplePos="0" relativeHeight="487591936" behindDoc="1" locked="0" layoutInCell="1" allowOverlap="1" wp14:anchorId="2028253F" wp14:editId="3F29B848">
                <wp:simplePos x="0" y="0"/>
                <wp:positionH relativeFrom="page">
                  <wp:posOffset>1514475</wp:posOffset>
                </wp:positionH>
                <wp:positionV relativeFrom="paragraph">
                  <wp:posOffset>196850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a14="http://schemas.microsoft.com/office/drawing/2010/main" xmlns:pic="http://schemas.openxmlformats.org/drawingml/2006/picture">
            <w:pict>
              <v:shape id="Freeform 2" style="position:absolute;margin-left:119.25pt;margin-top:15.5pt;width:369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" w14:anchorId="2A9EB539">
                <v:path arrowok="t" o:connecttype="custom" o:connectlocs="0,0;4686300,0" o:connectangles="0,0"/>
                <w10:wrap type="topAndBottom" anchorx="page"/>
              </v:shape>
            </w:pict>
          </mc:Fallback>
        </mc:AlternateContent>
      </w:r>
    </w:p>
    <w:p w14:paraId="48681C2B" w14:textId="77777777" w:rsidR="00987F29" w:rsidRPr="000266A5" w:rsidRDefault="00987F29">
      <w:pPr>
        <w:pStyle w:val="Textoindependiente"/>
        <w:spacing w:before="4"/>
        <w:rPr>
          <w:sz w:val="20"/>
        </w:rPr>
      </w:pPr>
    </w:p>
    <w:p w14:paraId="5D0D69F9" w14:textId="77777777" w:rsidR="00987F29" w:rsidRPr="000266A5" w:rsidRDefault="003908F6">
      <w:pPr>
        <w:pStyle w:val="Textoindependiente"/>
        <w:ind w:left="300"/>
      </w:pPr>
      <w:r w:rsidRPr="000266A5">
        <w:t>Atentamente,</w:t>
      </w:r>
    </w:p>
    <w:p w14:paraId="66A752D1" w14:textId="378CBB58" w:rsidR="00987F29" w:rsidRPr="000266A5" w:rsidRDefault="00945BD5" w:rsidP="00945BD5">
      <w:pPr>
        <w:pStyle w:val="Textoindependiente"/>
        <w:spacing w:before="10"/>
        <w:jc w:val="center"/>
        <w:rPr>
          <w:sz w:val="23"/>
        </w:rPr>
      </w:pPr>
      <w:r>
        <w:rPr>
          <w:noProof/>
          <w:lang w:val="en-US"/>
        </w:rPr>
        <w:drawing>
          <wp:inline distT="0" distB="0" distL="0" distR="0" wp14:anchorId="2CFBE1BB" wp14:editId="4DD53BC5">
            <wp:extent cx="2773045" cy="988695"/>
            <wp:effectExtent l="0" t="0" r="0" b="0"/>
            <wp:docPr id="1242567478"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3C210234" w14:textId="77777777" w:rsidR="00987F29" w:rsidRPr="000266A5" w:rsidRDefault="00987F29">
      <w:pPr>
        <w:pStyle w:val="Textoindependiente"/>
        <w:spacing w:before="10"/>
        <w:rPr>
          <w:sz w:val="24"/>
        </w:rPr>
      </w:pPr>
    </w:p>
    <w:p w14:paraId="595E5C68" w14:textId="77777777" w:rsidR="00987F29" w:rsidRPr="00BD34FF" w:rsidRDefault="003908F6">
      <w:pPr>
        <w:ind w:left="300"/>
      </w:pPr>
      <w:r w:rsidRPr="00BD34FF">
        <w:t>Proyectó: Sergio Mateo Avila</w:t>
      </w:r>
    </w:p>
    <w:sectPr w:rsidR="00987F29" w:rsidRPr="00BD34FF">
      <w:headerReference w:type="default" r:id="rId12"/>
      <w:footerReference w:type="default" r:id="rId13"/>
      <w:pgSz w:w="12240" w:h="15840"/>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A5B4A" w14:textId="77777777" w:rsidR="00775589" w:rsidRDefault="00775589">
      <w:r>
        <w:separator/>
      </w:r>
    </w:p>
  </w:endnote>
  <w:endnote w:type="continuationSeparator" w:id="0">
    <w:p w14:paraId="4F8EEB8D" w14:textId="77777777" w:rsidR="00775589" w:rsidRDefault="00775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F008F" w14:textId="27A9F90D" w:rsidR="00987F29" w:rsidRDefault="00CE57F0">
    <w:pPr>
      <w:pStyle w:val="Textoindependiente"/>
      <w:spacing w:line="14" w:lineRule="auto"/>
      <w:rPr>
        <w:sz w:val="20"/>
      </w:rPr>
    </w:pPr>
    <w:r>
      <w:rPr>
        <w:noProof/>
        <w:lang w:val="en-US"/>
      </w:rPr>
      <w:drawing>
        <wp:anchor distT="0" distB="0" distL="0" distR="0" simplePos="0" relativeHeight="487450624" behindDoc="1" locked="0" layoutInCell="1" allowOverlap="1" wp14:anchorId="5DF228D7" wp14:editId="039C8BC0">
          <wp:simplePos x="0" y="0"/>
          <wp:positionH relativeFrom="margin">
            <wp:align>center</wp:align>
          </wp:positionH>
          <wp:positionV relativeFrom="page">
            <wp:posOffset>8879564</wp:posOffset>
          </wp:positionV>
          <wp:extent cx="5612130" cy="787120"/>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00098" w14:textId="77777777" w:rsidR="00775589" w:rsidRDefault="00775589">
      <w:r>
        <w:separator/>
      </w:r>
    </w:p>
  </w:footnote>
  <w:footnote w:type="continuationSeparator" w:id="0">
    <w:p w14:paraId="0D52E102" w14:textId="77777777" w:rsidR="00775589" w:rsidRDefault="00775589">
      <w:r>
        <w:continuationSeparator/>
      </w:r>
    </w:p>
  </w:footnote>
  <w:footnote w:id="1">
    <w:p w14:paraId="0378B66A" w14:textId="4E242257" w:rsidR="000266A5" w:rsidRPr="00CE57F0" w:rsidRDefault="00CE57F0" w:rsidP="00CE57F0">
      <w:pPr>
        <w:spacing w:before="87" w:line="242" w:lineRule="auto"/>
        <w:ind w:left="300" w:right="309" w:firstLine="707"/>
        <w:jc w:val="both"/>
        <w:rPr>
          <w:sz w:val="18"/>
          <w:szCs w:val="18"/>
        </w:rPr>
      </w:pPr>
      <w:r>
        <w:rPr>
          <w:sz w:val="18"/>
          <w:szCs w:val="18"/>
        </w:rPr>
        <w:t xml:space="preserve">  </w:t>
      </w:r>
      <w:r w:rsidR="000266A5" w:rsidRPr="00CE57F0">
        <w:rPr>
          <w:rStyle w:val="Refdenotaalpie"/>
          <w:sz w:val="18"/>
          <w:szCs w:val="18"/>
        </w:rPr>
        <w:footnoteRef/>
      </w:r>
      <w:r w:rsidR="000266A5" w:rsidRPr="00CE57F0">
        <w:rPr>
          <w:sz w:val="18"/>
          <w:szCs w:val="18"/>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48FAA539" w14:textId="77777777" w:rsidR="000266A5" w:rsidRPr="00CE57F0" w:rsidRDefault="000266A5" w:rsidP="00CE57F0">
      <w:pPr>
        <w:pStyle w:val="Textoindependiente"/>
        <w:spacing w:before="2"/>
        <w:ind w:left="300"/>
        <w:jc w:val="both"/>
        <w:rPr>
          <w:sz w:val="18"/>
          <w:szCs w:val="18"/>
        </w:rPr>
      </w:pPr>
    </w:p>
    <w:p w14:paraId="52A155B2" w14:textId="77777777" w:rsidR="000266A5" w:rsidRPr="00CE57F0" w:rsidRDefault="000266A5" w:rsidP="00CE57F0">
      <w:pPr>
        <w:spacing w:before="1"/>
        <w:ind w:left="300" w:right="305"/>
        <w:jc w:val="both"/>
        <w:rPr>
          <w:sz w:val="18"/>
          <w:szCs w:val="18"/>
        </w:rPr>
      </w:pPr>
      <w:r w:rsidRPr="00CE57F0">
        <w:rPr>
          <w:sz w:val="18"/>
          <w:szCs w:val="18"/>
        </w:rPr>
        <w:t xml:space="preserve">“1. La capacidad jurídica y las condiciones de experiencia, capacidad financiera y de organización de los proponentes serán objeto de verificación de cumplimiento como requisitos habilitantes para la participación en el proceso de selección </w:t>
      </w:r>
      <w:r w:rsidRPr="00CE57F0">
        <w:rPr>
          <w:sz w:val="18"/>
          <w:szCs w:val="18"/>
          <w:u w:val="single" w:color="4D4D4D"/>
        </w:rPr>
        <w:t xml:space="preserve">y </w:t>
      </w:r>
      <w:r w:rsidRPr="00CE57F0">
        <w:rPr>
          <w:sz w:val="18"/>
          <w:szCs w:val="18"/>
        </w:rPr>
        <w:t xml:space="preserve">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w:t>
      </w:r>
      <w:hyperlink r:id="rId1" w:anchor="6">
        <w:r w:rsidRPr="00CE57F0">
          <w:rPr>
            <w:sz w:val="18"/>
            <w:szCs w:val="18"/>
            <w:u w:val="single" w:color="4D4D4D"/>
          </w:rPr>
          <w:t>6</w:t>
        </w:r>
      </w:hyperlink>
      <w:r w:rsidRPr="00CE57F0">
        <w:rPr>
          <w:sz w:val="18"/>
          <w:szCs w:val="18"/>
        </w:rPr>
        <w:t>o de la presente ley, de acuerdo con lo cual se expedirá la respectiva</w:t>
      </w:r>
      <w:r w:rsidRPr="00CE57F0">
        <w:rPr>
          <w:spacing w:val="-4"/>
          <w:sz w:val="18"/>
          <w:szCs w:val="18"/>
        </w:rPr>
        <w:t xml:space="preserve"> </w:t>
      </w:r>
      <w:r w:rsidRPr="00CE57F0">
        <w:rPr>
          <w:sz w:val="18"/>
          <w:szCs w:val="18"/>
        </w:rPr>
        <w:t>certificación”.</w:t>
      </w:r>
    </w:p>
    <w:p w14:paraId="1C441E58" w14:textId="12616D47" w:rsidR="000266A5" w:rsidRPr="00CE57F0" w:rsidRDefault="000266A5" w:rsidP="00CE57F0">
      <w:pPr>
        <w:pStyle w:val="Textonotapie"/>
        <w:ind w:left="300"/>
        <w:jc w:val="both"/>
        <w:rPr>
          <w:sz w:val="18"/>
          <w:szCs w:val="18"/>
          <w:lang w:val="es-CO"/>
        </w:rPr>
      </w:pPr>
    </w:p>
  </w:footnote>
  <w:footnote w:id="2">
    <w:p w14:paraId="098DFA69" w14:textId="63E3810F" w:rsidR="002615B9" w:rsidRPr="00CE57F0" w:rsidRDefault="002615B9" w:rsidP="00CE57F0">
      <w:pPr>
        <w:pStyle w:val="Textoindependiente"/>
        <w:spacing w:line="276" w:lineRule="auto"/>
        <w:ind w:left="300" w:right="308" w:firstLine="420"/>
        <w:jc w:val="both"/>
        <w:rPr>
          <w:sz w:val="18"/>
          <w:szCs w:val="18"/>
        </w:rPr>
      </w:pPr>
      <w:r w:rsidRPr="00CE57F0">
        <w:rPr>
          <w:sz w:val="18"/>
          <w:szCs w:val="18"/>
        </w:rPr>
        <w:t xml:space="preserve">   </w:t>
      </w:r>
      <w:r w:rsidR="00CE57F0">
        <w:rPr>
          <w:sz w:val="18"/>
          <w:szCs w:val="18"/>
        </w:rPr>
        <w:t xml:space="preserve">   </w:t>
      </w:r>
      <w:r w:rsidRPr="00CE57F0">
        <w:rPr>
          <w:sz w:val="18"/>
          <w:szCs w:val="18"/>
        </w:rPr>
        <w:t xml:space="preserve"> </w:t>
      </w:r>
      <w:r w:rsidRPr="00CE57F0">
        <w:rPr>
          <w:rStyle w:val="Refdenotaalpie"/>
          <w:sz w:val="18"/>
          <w:szCs w:val="18"/>
        </w:rPr>
        <w:footnoteRef/>
      </w:r>
      <w:r w:rsidRPr="00CE57F0">
        <w:rPr>
          <w:sz w:val="18"/>
          <w:szCs w:val="18"/>
        </w:rPr>
        <w:t xml:space="preserve"> </w:t>
      </w:r>
      <w:r w:rsidRPr="00CE57F0">
        <w:rPr>
          <w:rFonts w:ascii="Carlito" w:hAnsi="Carlito"/>
          <w:position w:val="6"/>
          <w:sz w:val="18"/>
          <w:szCs w:val="18"/>
        </w:rPr>
        <w:t xml:space="preserve"> </w:t>
      </w:r>
      <w:r w:rsidRPr="00CE57F0">
        <w:rPr>
          <w:sz w:val="18"/>
          <w:szCs w:val="18"/>
        </w:rPr>
        <w:t>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6A28D7DC" w14:textId="26CC3ABB" w:rsidR="002615B9" w:rsidRPr="00CE57F0" w:rsidRDefault="002615B9" w:rsidP="00CE57F0">
      <w:pPr>
        <w:pStyle w:val="Textonotapie"/>
        <w:ind w:left="300"/>
        <w:jc w:val="both"/>
        <w:rPr>
          <w:sz w:val="18"/>
          <w:szCs w:val="18"/>
          <w:lang w:val="es-CO"/>
        </w:rPr>
      </w:pPr>
    </w:p>
  </w:footnote>
  <w:footnote w:id="3">
    <w:p w14:paraId="39EB5165" w14:textId="08C488B4" w:rsidR="002615B9" w:rsidRPr="00CE57F0" w:rsidRDefault="00CE57F0" w:rsidP="00CE57F0">
      <w:pPr>
        <w:spacing w:before="87" w:line="244" w:lineRule="auto"/>
        <w:ind w:left="300" w:right="307" w:firstLine="707"/>
        <w:jc w:val="both"/>
        <w:rPr>
          <w:sz w:val="18"/>
          <w:szCs w:val="18"/>
        </w:rPr>
      </w:pPr>
      <w:r>
        <w:rPr>
          <w:sz w:val="18"/>
          <w:szCs w:val="18"/>
        </w:rPr>
        <w:t xml:space="preserve">  </w:t>
      </w:r>
      <w:r w:rsidR="002615B9" w:rsidRPr="00CE57F0">
        <w:rPr>
          <w:rStyle w:val="Refdenotaalpie"/>
          <w:sz w:val="18"/>
          <w:szCs w:val="18"/>
        </w:rPr>
        <w:footnoteRef/>
      </w:r>
      <w:r w:rsidR="002615B9" w:rsidRPr="00CE57F0">
        <w:rPr>
          <w:sz w:val="18"/>
          <w:szCs w:val="18"/>
        </w:rPr>
        <w:t xml:space="preserve"> Decreto 1082 de 2015: “Artículo 2.2.1.1.1.5.2. </w:t>
      </w:r>
      <w:r w:rsidR="002615B9" w:rsidRPr="00CE57F0">
        <w:rPr>
          <w:i/>
          <w:sz w:val="18"/>
          <w:szCs w:val="18"/>
        </w:rPr>
        <w:t xml:space="preserve">Información para inscripción, renovación o actualización. </w:t>
      </w:r>
      <w:r w:rsidR="002615B9" w:rsidRPr="00CE57F0">
        <w:rPr>
          <w:sz w:val="18"/>
          <w:szCs w:val="18"/>
        </w:rPr>
        <w:t>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139E589A" w14:textId="77777777" w:rsidR="002615B9" w:rsidRPr="00CE57F0" w:rsidRDefault="002615B9" w:rsidP="00CE57F0">
      <w:pPr>
        <w:pStyle w:val="Textoindependiente"/>
        <w:spacing w:before="8"/>
        <w:ind w:left="300"/>
        <w:jc w:val="both"/>
        <w:rPr>
          <w:sz w:val="18"/>
          <w:szCs w:val="18"/>
        </w:rPr>
      </w:pPr>
    </w:p>
    <w:p w14:paraId="3CB9B54E" w14:textId="77777777" w:rsidR="002615B9" w:rsidRPr="00CE57F0" w:rsidRDefault="002615B9" w:rsidP="00CE57F0">
      <w:pPr>
        <w:ind w:left="300"/>
        <w:jc w:val="both"/>
        <w:rPr>
          <w:sz w:val="18"/>
          <w:szCs w:val="18"/>
        </w:rPr>
      </w:pPr>
      <w:r w:rsidRPr="00CE57F0">
        <w:rPr>
          <w:sz w:val="18"/>
          <w:szCs w:val="18"/>
        </w:rPr>
        <w:t>“1. Si es una persona natural:</w:t>
      </w:r>
    </w:p>
    <w:p w14:paraId="3B6D555E" w14:textId="77777777" w:rsidR="002615B9" w:rsidRPr="00CE57F0" w:rsidRDefault="002615B9" w:rsidP="00CE57F0">
      <w:pPr>
        <w:pStyle w:val="Textoindependiente"/>
        <w:spacing w:before="10"/>
        <w:ind w:left="300"/>
        <w:jc w:val="both"/>
        <w:rPr>
          <w:sz w:val="18"/>
          <w:szCs w:val="18"/>
        </w:rPr>
      </w:pPr>
    </w:p>
    <w:p w14:paraId="6C70BD6E" w14:textId="77777777" w:rsidR="002615B9" w:rsidRPr="00CE57F0" w:rsidRDefault="002615B9" w:rsidP="00CE57F0">
      <w:pPr>
        <w:ind w:left="300" w:right="309"/>
        <w:jc w:val="both"/>
        <w:rPr>
          <w:sz w:val="18"/>
          <w:szCs w:val="18"/>
        </w:rPr>
      </w:pPr>
      <w:r w:rsidRPr="00CE57F0">
        <w:rPr>
          <w:sz w:val="18"/>
          <w:szCs w:val="18"/>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w:t>
      </w:r>
      <w:r w:rsidRPr="00CE57F0">
        <w:rPr>
          <w:spacing w:val="-11"/>
          <w:sz w:val="18"/>
          <w:szCs w:val="18"/>
        </w:rPr>
        <w:t xml:space="preserve"> </w:t>
      </w:r>
      <w:r w:rsidRPr="00CE57F0">
        <w:rPr>
          <w:sz w:val="18"/>
          <w:szCs w:val="18"/>
        </w:rPr>
        <w:t>nivel”.</w:t>
      </w:r>
    </w:p>
    <w:p w14:paraId="6CC51C15" w14:textId="3C200D56" w:rsidR="002615B9" w:rsidRPr="00CE57F0" w:rsidRDefault="002615B9" w:rsidP="00CE57F0">
      <w:pPr>
        <w:pStyle w:val="Textonotapie"/>
        <w:ind w:left="300"/>
        <w:jc w:val="both"/>
        <w:rPr>
          <w:sz w:val="18"/>
          <w:szCs w:val="18"/>
          <w:lang w:val="es-CO"/>
        </w:rPr>
      </w:pPr>
    </w:p>
  </w:footnote>
  <w:footnote w:id="4">
    <w:p w14:paraId="0DC7F052" w14:textId="442CEEAF" w:rsidR="002615B9" w:rsidRPr="00CE57F0" w:rsidRDefault="00CE57F0" w:rsidP="00CE57F0">
      <w:pPr>
        <w:spacing w:before="89"/>
        <w:ind w:left="300" w:firstLine="420"/>
        <w:jc w:val="both"/>
        <w:rPr>
          <w:sz w:val="18"/>
          <w:szCs w:val="18"/>
        </w:rPr>
      </w:pPr>
      <w:r>
        <w:rPr>
          <w:sz w:val="18"/>
          <w:szCs w:val="18"/>
        </w:rPr>
        <w:t xml:space="preserve">     </w:t>
      </w:r>
      <w:r w:rsidR="002615B9" w:rsidRPr="00CE57F0">
        <w:rPr>
          <w:rStyle w:val="Refdenotaalpie"/>
          <w:sz w:val="18"/>
          <w:szCs w:val="18"/>
        </w:rPr>
        <w:footnoteRef/>
      </w:r>
      <w:r w:rsidR="002615B9" w:rsidRPr="00CE57F0">
        <w:rPr>
          <w:sz w:val="18"/>
          <w:szCs w:val="18"/>
        </w:rPr>
        <w:t xml:space="preserve"> Colombia Compra Eficiente. Concepto del 7 de febrero de 2018, Rad. 2201813000000954.</w:t>
      </w:r>
    </w:p>
    <w:p w14:paraId="1BFFC596" w14:textId="4A5B368E" w:rsidR="002615B9" w:rsidRPr="00CE57F0" w:rsidRDefault="002615B9" w:rsidP="00CE57F0">
      <w:pPr>
        <w:pStyle w:val="Textonotapie"/>
        <w:ind w:left="300"/>
        <w:jc w:val="both"/>
        <w:rPr>
          <w:sz w:val="18"/>
          <w:szCs w:val="18"/>
          <w:lang w:val="es-CO"/>
        </w:rPr>
      </w:pPr>
    </w:p>
  </w:footnote>
  <w:footnote w:id="5">
    <w:p w14:paraId="378CC55B" w14:textId="7435D145" w:rsidR="002615B9" w:rsidRPr="00CE57F0" w:rsidRDefault="00CE57F0" w:rsidP="00CE57F0">
      <w:pPr>
        <w:pStyle w:val="Textonotapie"/>
        <w:ind w:firstLine="300"/>
        <w:jc w:val="both"/>
        <w:rPr>
          <w:sz w:val="18"/>
          <w:szCs w:val="18"/>
        </w:rPr>
      </w:pPr>
      <w:r>
        <w:rPr>
          <w:sz w:val="18"/>
          <w:szCs w:val="18"/>
        </w:rPr>
        <w:t xml:space="preserve">             </w:t>
      </w:r>
      <w:r w:rsidR="002615B9" w:rsidRPr="00CE57F0">
        <w:rPr>
          <w:sz w:val="18"/>
          <w:szCs w:val="18"/>
        </w:rPr>
        <w:t xml:space="preserve"> </w:t>
      </w:r>
      <w:r w:rsidR="002615B9" w:rsidRPr="00CE57F0">
        <w:rPr>
          <w:rStyle w:val="Refdenotaalpie"/>
          <w:sz w:val="18"/>
          <w:szCs w:val="18"/>
        </w:rPr>
        <w:footnoteRef/>
      </w:r>
      <w:r w:rsidR="002615B9" w:rsidRPr="00CE57F0">
        <w:rPr>
          <w:sz w:val="18"/>
          <w:szCs w:val="18"/>
        </w:rPr>
        <w:t xml:space="preserve"> Colombia Compra Eficiente, Concepto del 3 de abril de 2018, Rad. 2201813000002553.</w:t>
      </w:r>
    </w:p>
    <w:p w14:paraId="7531B231" w14:textId="77777777" w:rsidR="002615B9" w:rsidRPr="00CE57F0" w:rsidRDefault="002615B9" w:rsidP="00CE57F0">
      <w:pPr>
        <w:pStyle w:val="Textonotapie"/>
        <w:ind w:left="300" w:firstLine="720"/>
        <w:jc w:val="both"/>
        <w:rPr>
          <w:sz w:val="18"/>
          <w:szCs w:val="18"/>
          <w:lang w:val="es-CO"/>
        </w:rPr>
      </w:pPr>
    </w:p>
  </w:footnote>
  <w:footnote w:id="6">
    <w:p w14:paraId="4B4E5170" w14:textId="77777777" w:rsidR="002615B9" w:rsidRPr="00CE57F0" w:rsidRDefault="002615B9" w:rsidP="00CE57F0">
      <w:pPr>
        <w:spacing w:line="252" w:lineRule="auto"/>
        <w:ind w:left="300" w:firstLine="707"/>
        <w:jc w:val="both"/>
        <w:rPr>
          <w:sz w:val="18"/>
          <w:szCs w:val="18"/>
        </w:rPr>
      </w:pPr>
      <w:r w:rsidRPr="00CE57F0">
        <w:rPr>
          <w:rStyle w:val="Refdenotaalpie"/>
          <w:sz w:val="18"/>
          <w:szCs w:val="18"/>
        </w:rPr>
        <w:footnoteRef/>
      </w:r>
      <w:r w:rsidRPr="00CE57F0">
        <w:rPr>
          <w:sz w:val="18"/>
          <w:szCs w:val="18"/>
        </w:rPr>
        <w:t xml:space="preserve"> Ver: Colombia Compra Eficiente, Concepto del 10 de octubre de 2019, Rad. 2201913000007585; Concepto del 20 de agosto de 2019, Rad. 2201913000006028.</w:t>
      </w:r>
    </w:p>
    <w:p w14:paraId="1919DF61" w14:textId="16970A82" w:rsidR="002615B9" w:rsidRPr="00CE57F0" w:rsidRDefault="002615B9" w:rsidP="00CE57F0">
      <w:pPr>
        <w:pStyle w:val="Textonotapie"/>
        <w:ind w:left="300"/>
        <w:jc w:val="both"/>
        <w:rPr>
          <w:sz w:val="18"/>
          <w:szCs w:val="18"/>
          <w:lang w:val="es-CO"/>
        </w:rPr>
      </w:pPr>
    </w:p>
  </w:footnote>
  <w:footnote w:id="7">
    <w:p w14:paraId="50ED3230" w14:textId="77777777" w:rsidR="002054DA" w:rsidRPr="00CE57F0" w:rsidRDefault="002054DA" w:rsidP="00CE57F0">
      <w:pPr>
        <w:spacing w:before="87" w:line="244" w:lineRule="auto"/>
        <w:ind w:left="300" w:right="306" w:firstLine="707"/>
        <w:jc w:val="both"/>
        <w:rPr>
          <w:sz w:val="18"/>
          <w:szCs w:val="18"/>
        </w:rPr>
      </w:pPr>
      <w:r w:rsidRPr="00CE57F0">
        <w:rPr>
          <w:rStyle w:val="Refdenotaalpie"/>
          <w:sz w:val="18"/>
          <w:szCs w:val="18"/>
        </w:rPr>
        <w:footnoteRef/>
      </w:r>
      <w:r w:rsidRPr="00CE57F0">
        <w:rPr>
          <w:sz w:val="18"/>
          <w:szCs w:val="18"/>
        </w:rPr>
        <w:t xml:space="preserve"> Decreto 1082 de 2015: “Artículo 2.2.1.1.1.5.1. Inscripción, renovación, actualización y cancelación  del RUP. Las personas naturales y jurídicas, nacionales o extranjeras, con domicilio en Colombia, interesadas en participar en Procesos de Contratación convocados por las Entidades Estatales, deben estar inscritas en el RUP, salvo las excepciones previstas de forma taxativa en la</w:t>
      </w:r>
      <w:r w:rsidRPr="00CE57F0">
        <w:rPr>
          <w:spacing w:val="-12"/>
          <w:sz w:val="18"/>
          <w:szCs w:val="18"/>
        </w:rPr>
        <w:t xml:space="preserve"> </w:t>
      </w:r>
      <w:r w:rsidRPr="00CE57F0">
        <w:rPr>
          <w:sz w:val="18"/>
          <w:szCs w:val="18"/>
        </w:rPr>
        <w:t>ley.</w:t>
      </w:r>
    </w:p>
    <w:p w14:paraId="36AB4756" w14:textId="77777777" w:rsidR="002054DA" w:rsidRPr="00CE57F0" w:rsidRDefault="002054DA" w:rsidP="00CE57F0">
      <w:pPr>
        <w:pStyle w:val="Textoindependiente"/>
        <w:spacing w:before="8"/>
        <w:ind w:left="300"/>
        <w:jc w:val="both"/>
        <w:rPr>
          <w:sz w:val="18"/>
          <w:szCs w:val="18"/>
        </w:rPr>
      </w:pPr>
    </w:p>
    <w:p w14:paraId="4844C985" w14:textId="77777777" w:rsidR="003161A5" w:rsidRPr="00CE57F0" w:rsidRDefault="002054DA" w:rsidP="00CE57F0">
      <w:pPr>
        <w:ind w:left="300" w:right="309"/>
        <w:jc w:val="both"/>
        <w:rPr>
          <w:sz w:val="18"/>
          <w:szCs w:val="18"/>
        </w:rPr>
      </w:pPr>
      <w:r w:rsidRPr="00CE57F0">
        <w:rPr>
          <w:sz w:val="18"/>
          <w:szCs w:val="18"/>
        </w:rPr>
        <w:t xml:space="preserve">“La persona inscrita en el RUP debe presentar la información para renovar su registro a más tardar el quinto día </w:t>
      </w:r>
      <w:r w:rsidR="003161A5" w:rsidRPr="00CE57F0">
        <w:rPr>
          <w:sz w:val="18"/>
          <w:szCs w:val="18"/>
        </w:rPr>
        <w:t>hábil del mes de abril de cada año. De lo contrario cesan los efectos del RUP. La persona inscrita en el RUP puede actualizar la información registrada relativa a su experiencia y capacidad jurídica en cualquier momento.</w:t>
      </w:r>
    </w:p>
    <w:p w14:paraId="11F3CB10" w14:textId="77777777" w:rsidR="003161A5" w:rsidRPr="00CE57F0" w:rsidRDefault="003161A5" w:rsidP="00CE57F0">
      <w:pPr>
        <w:pStyle w:val="Textoindependiente"/>
        <w:ind w:left="300"/>
        <w:jc w:val="both"/>
        <w:rPr>
          <w:sz w:val="18"/>
          <w:szCs w:val="18"/>
        </w:rPr>
      </w:pPr>
    </w:p>
    <w:p w14:paraId="50C1CCD3" w14:textId="77777777" w:rsidR="003161A5" w:rsidRPr="00CE57F0" w:rsidRDefault="003161A5" w:rsidP="00CE57F0">
      <w:pPr>
        <w:ind w:left="300" w:right="309"/>
        <w:jc w:val="both"/>
        <w:rPr>
          <w:sz w:val="18"/>
          <w:szCs w:val="18"/>
        </w:rPr>
      </w:pPr>
      <w:r w:rsidRPr="00CE57F0">
        <w:rPr>
          <w:sz w:val="18"/>
          <w:szCs w:val="18"/>
        </w:rPr>
        <w:t>“Los inscritos en el RUP pueden en cualquier momento solicitar a la cámara de comercio cancelar su inscripción”.</w:t>
      </w:r>
    </w:p>
    <w:p w14:paraId="72F2D195" w14:textId="35DB9458" w:rsidR="002054DA" w:rsidRPr="00CE57F0" w:rsidRDefault="002054DA" w:rsidP="00CE57F0">
      <w:pPr>
        <w:ind w:left="300" w:right="309"/>
        <w:jc w:val="both"/>
        <w:rPr>
          <w:sz w:val="18"/>
          <w:szCs w:val="18"/>
        </w:rPr>
      </w:pPr>
    </w:p>
    <w:p w14:paraId="01813EDC" w14:textId="685F41DB" w:rsidR="002054DA" w:rsidRPr="00CE57F0" w:rsidRDefault="002054DA" w:rsidP="00CE57F0">
      <w:pPr>
        <w:ind w:left="300" w:right="309"/>
        <w:jc w:val="both"/>
        <w:rPr>
          <w:sz w:val="18"/>
          <w:szCs w:val="18"/>
        </w:rPr>
      </w:pPr>
    </w:p>
    <w:p w14:paraId="3842DC0E" w14:textId="56551E97" w:rsidR="002054DA" w:rsidRPr="00CE57F0" w:rsidRDefault="002054DA" w:rsidP="00CE57F0">
      <w:pPr>
        <w:pStyle w:val="Textonotapie"/>
        <w:ind w:left="300"/>
        <w:jc w:val="both"/>
        <w:rPr>
          <w:sz w:val="18"/>
          <w:szCs w:val="18"/>
          <w:lang w:val="es-CO"/>
        </w:rPr>
      </w:pPr>
    </w:p>
  </w:footnote>
  <w:footnote w:id="8">
    <w:p w14:paraId="421420FB" w14:textId="77777777" w:rsidR="00BD34FF" w:rsidRPr="00CE57F0" w:rsidRDefault="00BD34FF" w:rsidP="00CE57F0">
      <w:pPr>
        <w:spacing w:before="87" w:line="242" w:lineRule="auto"/>
        <w:ind w:left="300" w:right="305" w:firstLine="707"/>
        <w:jc w:val="both"/>
        <w:rPr>
          <w:sz w:val="18"/>
          <w:szCs w:val="18"/>
        </w:rPr>
      </w:pPr>
      <w:r w:rsidRPr="00CE57F0">
        <w:rPr>
          <w:rStyle w:val="Refdenotaalpie"/>
          <w:sz w:val="18"/>
          <w:szCs w:val="18"/>
        </w:rPr>
        <w:footnoteRef/>
      </w:r>
      <w:r w:rsidRPr="00CE57F0">
        <w:rPr>
          <w:sz w:val="18"/>
          <w:szCs w:val="18"/>
        </w:rPr>
        <w:t xml:space="preserve"> “La igualdad tiene un triple rol en el ordenamiento constitucional: el de valor, el de principio y el de derecho. En tanto valor, la igualdad es una norma que establece fines, dirigidos a todas las autoridades creadoras del derecho y en especial al legislador; en tanto principio, la igualdad es una norma que establece un deber ser específico y, por tanto, se trata de una norma de mayor eficacia que debe ser aplicada de manera directa e inmediata por el legislador o por el juez; en tanto derecho, la igualdad es un derecho subjetivo que “se concreta en deberes de abstención como la prohibición de la discriminación y en obligaciones de acción como la consagración de tratos favorables para los grupos que se encuentran en debilidad manifiesta. La correcta aplicación del derecho a la igualdad no sólo supone la igualdad de trato respecto de los privilegios, oportunidades y cargas entre los iguales, sino también el tratamiento desigual entre supuestos disímiles”. Corte Constitucional, sentencia C-811 de 2014, M.P. Mauricio González Cuervo.</w:t>
      </w:r>
    </w:p>
    <w:p w14:paraId="4F0686DA" w14:textId="19420D5C" w:rsidR="00BD34FF" w:rsidRPr="00CE57F0" w:rsidRDefault="00BD34FF" w:rsidP="00CE57F0">
      <w:pPr>
        <w:pStyle w:val="Textonotapie"/>
        <w:ind w:left="300"/>
        <w:jc w:val="both"/>
        <w:rPr>
          <w:sz w:val="18"/>
          <w:szCs w:val="18"/>
          <w:lang w:val="es-CO"/>
        </w:rPr>
      </w:pPr>
    </w:p>
  </w:footnote>
  <w:footnote w:id="9">
    <w:p w14:paraId="701D175C" w14:textId="77777777" w:rsidR="00BD34FF" w:rsidRPr="00CE57F0" w:rsidRDefault="00BD34FF" w:rsidP="00CE57F0">
      <w:pPr>
        <w:spacing w:before="87" w:line="254" w:lineRule="auto"/>
        <w:ind w:left="300" w:right="292" w:firstLine="707"/>
        <w:jc w:val="both"/>
        <w:rPr>
          <w:sz w:val="18"/>
          <w:szCs w:val="18"/>
        </w:rPr>
      </w:pPr>
      <w:r w:rsidRPr="00CE57F0">
        <w:rPr>
          <w:rStyle w:val="Refdenotaalpie"/>
          <w:sz w:val="18"/>
          <w:szCs w:val="18"/>
        </w:rPr>
        <w:footnoteRef/>
      </w:r>
      <w:r w:rsidRPr="00CE57F0">
        <w:rPr>
          <w:sz w:val="18"/>
          <w:szCs w:val="18"/>
        </w:rPr>
        <w:t xml:space="preserve"> Consejo de Estado. Sección Tercera, Sentencia del 19 de julio de 2001, C.P. Alier Eduardo Hernández Enríquez. Rad. 1996-3771-01 (12.037).</w:t>
      </w:r>
    </w:p>
    <w:p w14:paraId="60733318" w14:textId="271618CA" w:rsidR="00BD34FF" w:rsidRPr="00CE57F0" w:rsidRDefault="00BD34FF" w:rsidP="00CE57F0">
      <w:pPr>
        <w:pStyle w:val="Textonotapie"/>
        <w:ind w:left="300"/>
        <w:jc w:val="both"/>
        <w:rPr>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48DD4" w14:textId="4F193DD4" w:rsidR="00987F29" w:rsidRDefault="003908F6">
    <w:pPr>
      <w:pStyle w:val="Textoindependiente"/>
      <w:spacing w:line="14" w:lineRule="auto"/>
      <w:rPr>
        <w:sz w:val="20"/>
      </w:rPr>
    </w:pPr>
    <w:r>
      <w:rPr>
        <w:noProof/>
        <w:lang w:val="en-US"/>
      </w:rPr>
      <w:drawing>
        <wp:anchor distT="0" distB="0" distL="0" distR="0" simplePos="0" relativeHeight="487448064" behindDoc="1" locked="0" layoutInCell="1" allowOverlap="1" wp14:anchorId="4CE75281" wp14:editId="5AB3A297">
          <wp:simplePos x="0" y="0"/>
          <wp:positionH relativeFrom="page">
            <wp:posOffset>5304473</wp:posOffset>
          </wp:positionH>
          <wp:positionV relativeFrom="page">
            <wp:posOffset>468247</wp:posOffset>
          </wp:positionV>
          <wp:extent cx="1346374" cy="521377"/>
          <wp:effectExtent l="0" t="0" r="0" b="0"/>
          <wp:wrapNone/>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20578F"/>
    <w:multiLevelType w:val="multilevel"/>
    <w:tmpl w:val="8150543A"/>
    <w:lvl w:ilvl="0">
      <w:start w:val="1"/>
      <w:numFmt w:val="decimal"/>
      <w:lvlText w:val="%1."/>
      <w:lvlJc w:val="left"/>
      <w:pPr>
        <w:ind w:left="585" w:hanging="285"/>
        <w:jc w:val="left"/>
      </w:pPr>
      <w:rPr>
        <w:rFonts w:ascii="Arial" w:eastAsia="Arial" w:hAnsi="Arial" w:cs="Arial" w:hint="default"/>
        <w:b/>
        <w:bCs/>
        <w:color w:val="auto"/>
        <w:spacing w:val="-21"/>
        <w:w w:val="100"/>
        <w:sz w:val="22"/>
        <w:szCs w:val="22"/>
        <w:lang w:val="es-ES" w:eastAsia="en-US" w:bidi="ar-SA"/>
      </w:rPr>
    </w:lvl>
    <w:lvl w:ilvl="1">
      <w:start w:val="1"/>
      <w:numFmt w:val="decimal"/>
      <w:lvlText w:val="%1.%2."/>
      <w:lvlJc w:val="left"/>
      <w:pPr>
        <w:ind w:left="725" w:hanging="425"/>
        <w:jc w:val="left"/>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325"/>
        <w:jc w:val="left"/>
      </w:pPr>
      <w:rPr>
        <w:rFonts w:ascii="Arial" w:eastAsia="Arial" w:hAnsi="Arial" w:cs="Arial" w:hint="default"/>
        <w:color w:val="auto"/>
        <w:spacing w:val="-28"/>
        <w:w w:val="100"/>
        <w:sz w:val="21"/>
        <w:szCs w:val="21"/>
        <w:lang w:val="es-ES" w:eastAsia="en-US" w:bidi="ar-SA"/>
      </w:rPr>
    </w:lvl>
    <w:lvl w:ilvl="3">
      <w:numFmt w:val="bullet"/>
      <w:lvlText w:val="•"/>
      <w:lvlJc w:val="left"/>
      <w:pPr>
        <w:ind w:left="2067" w:hanging="325"/>
      </w:pPr>
      <w:rPr>
        <w:rFonts w:hint="default"/>
        <w:lang w:val="es-ES" w:eastAsia="en-US" w:bidi="ar-SA"/>
      </w:rPr>
    </w:lvl>
    <w:lvl w:ilvl="4">
      <w:numFmt w:val="bullet"/>
      <w:lvlText w:val="•"/>
      <w:lvlJc w:val="left"/>
      <w:pPr>
        <w:ind w:left="3135" w:hanging="325"/>
      </w:pPr>
      <w:rPr>
        <w:rFonts w:hint="default"/>
        <w:lang w:val="es-ES" w:eastAsia="en-US" w:bidi="ar-SA"/>
      </w:rPr>
    </w:lvl>
    <w:lvl w:ilvl="5">
      <w:numFmt w:val="bullet"/>
      <w:lvlText w:val="•"/>
      <w:lvlJc w:val="left"/>
      <w:pPr>
        <w:ind w:left="4202" w:hanging="325"/>
      </w:pPr>
      <w:rPr>
        <w:rFonts w:hint="default"/>
        <w:lang w:val="es-ES" w:eastAsia="en-US" w:bidi="ar-SA"/>
      </w:rPr>
    </w:lvl>
    <w:lvl w:ilvl="6">
      <w:numFmt w:val="bullet"/>
      <w:lvlText w:val="•"/>
      <w:lvlJc w:val="left"/>
      <w:pPr>
        <w:ind w:left="5270" w:hanging="325"/>
      </w:pPr>
      <w:rPr>
        <w:rFonts w:hint="default"/>
        <w:lang w:val="es-ES" w:eastAsia="en-US" w:bidi="ar-SA"/>
      </w:rPr>
    </w:lvl>
    <w:lvl w:ilvl="7">
      <w:numFmt w:val="bullet"/>
      <w:lvlText w:val="•"/>
      <w:lvlJc w:val="left"/>
      <w:pPr>
        <w:ind w:left="6337" w:hanging="325"/>
      </w:pPr>
      <w:rPr>
        <w:rFonts w:hint="default"/>
        <w:lang w:val="es-ES" w:eastAsia="en-US" w:bidi="ar-SA"/>
      </w:rPr>
    </w:lvl>
    <w:lvl w:ilvl="8">
      <w:numFmt w:val="bullet"/>
      <w:lvlText w:val="•"/>
      <w:lvlJc w:val="left"/>
      <w:pPr>
        <w:ind w:left="7405" w:hanging="325"/>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F29"/>
    <w:rsid w:val="00015A7C"/>
    <w:rsid w:val="000266A5"/>
    <w:rsid w:val="001427F9"/>
    <w:rsid w:val="00174658"/>
    <w:rsid w:val="001B26B2"/>
    <w:rsid w:val="002054DA"/>
    <w:rsid w:val="002615B9"/>
    <w:rsid w:val="003161A5"/>
    <w:rsid w:val="003464C6"/>
    <w:rsid w:val="003479D7"/>
    <w:rsid w:val="003603E1"/>
    <w:rsid w:val="003908F6"/>
    <w:rsid w:val="00644EE3"/>
    <w:rsid w:val="00775589"/>
    <w:rsid w:val="00810253"/>
    <w:rsid w:val="00945BD5"/>
    <w:rsid w:val="00987F29"/>
    <w:rsid w:val="00A5063C"/>
    <w:rsid w:val="00BD34FF"/>
    <w:rsid w:val="00CE57F0"/>
    <w:rsid w:val="03C29DE9"/>
    <w:rsid w:val="044B8EDB"/>
    <w:rsid w:val="07F90520"/>
    <w:rsid w:val="0B5F3C97"/>
    <w:rsid w:val="10E1D3CE"/>
    <w:rsid w:val="1C1E9D2E"/>
    <w:rsid w:val="1D586CB8"/>
    <w:rsid w:val="1E0472DA"/>
    <w:rsid w:val="22EFA931"/>
    <w:rsid w:val="25CAE02F"/>
    <w:rsid w:val="26C117FA"/>
    <w:rsid w:val="2F48425B"/>
    <w:rsid w:val="301603BD"/>
    <w:rsid w:val="33E19F86"/>
    <w:rsid w:val="46846953"/>
    <w:rsid w:val="4DF06945"/>
    <w:rsid w:val="4E7040B8"/>
    <w:rsid w:val="518D9707"/>
    <w:rsid w:val="5EA55789"/>
    <w:rsid w:val="64EE3909"/>
    <w:rsid w:val="6664D01D"/>
    <w:rsid w:val="68419E32"/>
    <w:rsid w:val="77FD65EE"/>
    <w:rsid w:val="7C688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5DE29"/>
  <w15:docId w15:val="{99B548F1-D36B-4CE9-929A-6F16D2BF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300"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08"/>
    </w:pPr>
  </w:style>
  <w:style w:type="paragraph" w:customStyle="1" w:styleId="TableParagraph">
    <w:name w:val="Table Paragraph"/>
    <w:basedOn w:val="Normal"/>
    <w:uiPriority w:val="1"/>
    <w:qFormat/>
    <w:pPr>
      <w:spacing w:line="229" w:lineRule="exact"/>
      <w:ind w:left="200"/>
    </w:pPr>
  </w:style>
  <w:style w:type="paragraph" w:styleId="Textonotapie">
    <w:name w:val="footnote text"/>
    <w:basedOn w:val="Normal"/>
    <w:link w:val="TextonotapieCar"/>
    <w:uiPriority w:val="99"/>
    <w:semiHidden/>
    <w:unhideWhenUsed/>
    <w:rsid w:val="000266A5"/>
    <w:rPr>
      <w:sz w:val="20"/>
      <w:szCs w:val="20"/>
    </w:rPr>
  </w:style>
  <w:style w:type="character" w:customStyle="1" w:styleId="TextonotapieCar">
    <w:name w:val="Texto nota pie Car"/>
    <w:basedOn w:val="Fuentedeprrafopredeter"/>
    <w:link w:val="Textonotapie"/>
    <w:uiPriority w:val="99"/>
    <w:semiHidden/>
    <w:rsid w:val="000266A5"/>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0266A5"/>
    <w:rPr>
      <w:vertAlign w:val="superscript"/>
    </w:rPr>
  </w:style>
  <w:style w:type="paragraph" w:styleId="Encabezado">
    <w:name w:val="header"/>
    <w:basedOn w:val="Normal"/>
    <w:link w:val="EncabezadoCar"/>
    <w:uiPriority w:val="99"/>
    <w:unhideWhenUsed/>
    <w:rsid w:val="002054DA"/>
    <w:pPr>
      <w:tabs>
        <w:tab w:val="center" w:pos="4419"/>
        <w:tab w:val="right" w:pos="8838"/>
      </w:tabs>
    </w:pPr>
  </w:style>
  <w:style w:type="character" w:customStyle="1" w:styleId="EncabezadoCar">
    <w:name w:val="Encabezado Car"/>
    <w:basedOn w:val="Fuentedeprrafopredeter"/>
    <w:link w:val="Encabezado"/>
    <w:uiPriority w:val="99"/>
    <w:rsid w:val="002054DA"/>
    <w:rPr>
      <w:rFonts w:ascii="Arial" w:eastAsia="Arial" w:hAnsi="Arial" w:cs="Arial"/>
      <w:lang w:val="es-ES"/>
    </w:rPr>
  </w:style>
  <w:style w:type="paragraph" w:styleId="Piedepgina">
    <w:name w:val="footer"/>
    <w:basedOn w:val="Normal"/>
    <w:link w:val="PiedepginaCar"/>
    <w:uiPriority w:val="99"/>
    <w:unhideWhenUsed/>
    <w:rsid w:val="002054DA"/>
    <w:pPr>
      <w:tabs>
        <w:tab w:val="center" w:pos="4419"/>
        <w:tab w:val="right" w:pos="8838"/>
      </w:tabs>
    </w:pPr>
  </w:style>
  <w:style w:type="character" w:customStyle="1" w:styleId="PiedepginaCar">
    <w:name w:val="Pie de página Car"/>
    <w:basedOn w:val="Fuentedeprrafopredeter"/>
    <w:link w:val="Piedepgina"/>
    <w:uiPriority w:val="99"/>
    <w:rsid w:val="002054DA"/>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1150_2007.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2E87C-DE39-4BC9-A196-42BED9A428FE}">
  <ds:schemaRefs>
    <ds:schemaRef ds:uri="http://schemas.microsoft.com/sharepoint/v3/contenttype/forms"/>
  </ds:schemaRefs>
</ds:datastoreItem>
</file>

<file path=customXml/itemProps2.xml><?xml version="1.0" encoding="utf-8"?>
<ds:datastoreItem xmlns:ds="http://schemas.openxmlformats.org/officeDocument/2006/customXml" ds:itemID="{D6269611-14E6-41E3-8015-C6B7F98CB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8FA662-C505-409E-8F99-3548458D7C4C}">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4DFE973F-3A10-4046-B4D3-BFCD07C8C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4255</Words>
  <Characters>24255</Characters>
  <Application>Microsoft Office Word</Application>
  <DocSecurity>0</DocSecurity>
  <Lines>202</Lines>
  <Paragraphs>56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2020-08-19T19:59:00Z</dcterms:created>
  <dcterms:modified xsi:type="dcterms:W3CDTF">2020-08-19T19:59:00Z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2019-12-03T00:00:00Z</vt:filetime>
  </property>
  <property fmtid="{D5CDD505-2E9C-101B-9397-08002B2CF9AE}" pid="3" name="Creator">
    <vt:lpwstr>Microsoft Word</vt:lpwstr>
  </property>
  <property fmtid="{D5CDD505-2E9C-101B-9397-08002B2CF9AE}" pid="4" name="LastSaved">
    <vt:filetime>2020-03-18T00:00:00Z</vt:filetime>
  </property>
  <property fmtid="{D5CDD505-2E9C-101B-9397-08002B2CF9AE}" pid="5" name="ContentTypeId">
    <vt:lpwstr>0x010100F2E0F32964D9B84EA054B84E5D4157A0</vt:lpwstr>
  </property>
</Properties>
</file>