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9086" w14:textId="77777777" w:rsidR="008D3625" w:rsidRPr="008D3625" w:rsidRDefault="008D3625" w:rsidP="008D3625">
      <w:pPr>
        <w:pStyle w:val="Textoindependiente"/>
        <w:ind w:left="300" w:right="306"/>
        <w:jc w:val="both"/>
        <w:rPr>
          <w:b/>
        </w:rPr>
      </w:pPr>
    </w:p>
    <w:p w14:paraId="2B65F447" w14:textId="0FC9EC98" w:rsidR="0052654B" w:rsidRPr="008D3625" w:rsidRDefault="0052654B" w:rsidP="4CACF460">
      <w:pPr>
        <w:pStyle w:val="Textoindependiente"/>
        <w:ind w:left="300" w:right="306"/>
        <w:jc w:val="both"/>
        <w:rPr>
          <w:b/>
          <w:bCs/>
        </w:rPr>
      </w:pPr>
      <w:r w:rsidRPr="4CACF460">
        <w:rPr>
          <w:b/>
          <w:bCs/>
        </w:rPr>
        <w:t>EXPERIENCIA ADICIONAL –</w:t>
      </w:r>
      <w:r w:rsidR="041574E3" w:rsidRPr="4CACF460">
        <w:rPr>
          <w:b/>
          <w:bCs/>
        </w:rPr>
        <w:t xml:space="preserve"> Idoneidad – </w:t>
      </w:r>
      <w:r w:rsidRPr="4CACF460">
        <w:rPr>
          <w:b/>
          <w:bCs/>
        </w:rPr>
        <w:t xml:space="preserve">Evaluación – Parámetros </w:t>
      </w:r>
    </w:p>
    <w:p w14:paraId="2B65F448" w14:textId="77777777" w:rsidR="0052654B" w:rsidRPr="008D3625" w:rsidRDefault="0052654B" w:rsidP="008D3625">
      <w:pPr>
        <w:pStyle w:val="Textoindependiente"/>
        <w:ind w:left="300" w:right="306"/>
        <w:jc w:val="both"/>
        <w:rPr>
          <w:sz w:val="20"/>
          <w:szCs w:val="20"/>
        </w:rPr>
      </w:pPr>
    </w:p>
    <w:p w14:paraId="2B65F449" w14:textId="77777777" w:rsidR="0052654B" w:rsidRPr="008D3625" w:rsidRDefault="0052654B" w:rsidP="008D3625">
      <w:pPr>
        <w:pStyle w:val="Textoindependiente"/>
        <w:ind w:left="300" w:right="306"/>
        <w:jc w:val="both"/>
        <w:rPr>
          <w:sz w:val="20"/>
          <w:szCs w:val="20"/>
        </w:rPr>
      </w:pPr>
      <w:r w:rsidRPr="008D3625">
        <w:rPr>
          <w:sz w:val="20"/>
          <w:szCs w:val="20"/>
        </w:rPr>
        <w:t xml:space="preserve">La entidad estatal puede incluir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 </w:t>
      </w:r>
    </w:p>
    <w:p w14:paraId="2B65F44A" w14:textId="77777777" w:rsidR="0052654B" w:rsidRPr="008D3625" w:rsidRDefault="0052654B" w:rsidP="008D3625">
      <w:pPr>
        <w:pStyle w:val="Textoindependiente"/>
        <w:ind w:left="300" w:right="306"/>
        <w:jc w:val="both"/>
        <w:rPr>
          <w:b/>
          <w:sz w:val="20"/>
          <w:szCs w:val="20"/>
        </w:rPr>
      </w:pPr>
    </w:p>
    <w:p w14:paraId="2B65F44B" w14:textId="64B1AEED" w:rsidR="0052654B" w:rsidRPr="008D3625" w:rsidRDefault="001E0E2E" w:rsidP="008D3625">
      <w:pPr>
        <w:pStyle w:val="Textoindependiente"/>
        <w:ind w:left="300" w:right="306"/>
        <w:jc w:val="both"/>
        <w:rPr>
          <w:b/>
        </w:rPr>
      </w:pPr>
      <w:r w:rsidRPr="008D3625">
        <w:rPr>
          <w:b/>
        </w:rPr>
        <w:t>DOCUMENTOS TIPO – I</w:t>
      </w:r>
      <w:r w:rsidR="0052654B" w:rsidRPr="008D3625">
        <w:rPr>
          <w:b/>
        </w:rPr>
        <w:t>nalterabilidad</w:t>
      </w:r>
      <w:r w:rsidR="00CD4B06">
        <w:rPr>
          <w:b/>
        </w:rPr>
        <w:t xml:space="preserve"> – Excepciones</w:t>
      </w:r>
      <w:bookmarkStart w:id="0" w:name="_GoBack"/>
      <w:bookmarkEnd w:id="0"/>
    </w:p>
    <w:p w14:paraId="2B65F44C" w14:textId="77777777" w:rsidR="0052654B" w:rsidRPr="008D3625" w:rsidRDefault="0052654B" w:rsidP="008D3625">
      <w:pPr>
        <w:pStyle w:val="Textoindependiente"/>
        <w:ind w:left="300" w:right="306"/>
        <w:jc w:val="both"/>
        <w:rPr>
          <w:b/>
        </w:rPr>
      </w:pPr>
    </w:p>
    <w:p w14:paraId="2B65F44D" w14:textId="77777777" w:rsidR="002F0614" w:rsidRPr="008D3625" w:rsidRDefault="0052654B" w:rsidP="008D3625">
      <w:pPr>
        <w:pStyle w:val="Textoindependiente"/>
        <w:ind w:left="300" w:right="306"/>
        <w:jc w:val="both"/>
        <w:rPr>
          <w:sz w:val="20"/>
          <w:szCs w:val="20"/>
        </w:rPr>
      </w:pPr>
      <w:r w:rsidRPr="008D3625">
        <w:rPr>
          <w:sz w:val="20"/>
          <w:szCs w:val="20"/>
        </w:rPr>
        <w:t>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 transporte.</w:t>
      </w:r>
    </w:p>
    <w:p w14:paraId="2B65F44E" w14:textId="77777777" w:rsidR="002F0614" w:rsidRPr="008D3625" w:rsidRDefault="002F0614" w:rsidP="008D3625">
      <w:pPr>
        <w:pStyle w:val="Textoindependiente"/>
        <w:ind w:left="300" w:right="306"/>
        <w:jc w:val="both"/>
        <w:rPr>
          <w:sz w:val="20"/>
          <w:szCs w:val="20"/>
        </w:rPr>
      </w:pPr>
    </w:p>
    <w:p w14:paraId="2B65F44F" w14:textId="77777777" w:rsidR="002F0614" w:rsidRPr="008D3625" w:rsidRDefault="002F0614" w:rsidP="008D3625">
      <w:pPr>
        <w:pStyle w:val="Textoindependiente"/>
        <w:ind w:left="300" w:right="306"/>
        <w:jc w:val="both"/>
        <w:rPr>
          <w:b/>
        </w:rPr>
      </w:pPr>
      <w:r w:rsidRPr="008D3625">
        <w:rPr>
          <w:b/>
        </w:rPr>
        <w:t xml:space="preserve">DOCUMENTOS TIPO – Aplicación – Regla general </w:t>
      </w:r>
    </w:p>
    <w:p w14:paraId="2B65F450" w14:textId="77777777" w:rsidR="002F0614" w:rsidRPr="008D3625" w:rsidRDefault="002F0614" w:rsidP="008D3625">
      <w:pPr>
        <w:pStyle w:val="Textoindependiente"/>
        <w:ind w:left="300" w:right="306"/>
        <w:jc w:val="both"/>
        <w:rPr>
          <w:sz w:val="20"/>
          <w:szCs w:val="20"/>
        </w:rPr>
      </w:pPr>
    </w:p>
    <w:p w14:paraId="2B65F451" w14:textId="77777777" w:rsidR="0052654B" w:rsidRPr="008D3625" w:rsidRDefault="002F0614" w:rsidP="008D3625">
      <w:pPr>
        <w:pStyle w:val="Textoindependiente"/>
        <w:ind w:left="300" w:right="306"/>
        <w:jc w:val="both"/>
        <w:rPr>
          <w:sz w:val="20"/>
          <w:szCs w:val="20"/>
        </w:rPr>
      </w:pPr>
      <w:r w:rsidRPr="008D3625">
        <w:t>L</w:t>
      </w:r>
      <w:r w:rsidRPr="008D3625">
        <w:rPr>
          <w:sz w:val="20"/>
          <w:szCs w:val="20"/>
        </w:rPr>
        <w:t>a regla general frente la aplicación del “Documento Base” es su inalterabilidad y no se podrán incluir o modificar dentro de los Documentos del Proceso las condiciones habilitantes, los factores técnicos y económicos de escogencia y los sistemas de ponderación distintos a los señalados en los Documentos Tipo. Salvo lo previsto en el artículo 2.2.1.2.6.1.5 del Decreto 1082 de 2015 si el objeto contractual incluye bienes o servicios ajenos a la obra pública de infraestructura de transporte se podrá incluir experiencia adicional.</w:t>
      </w:r>
    </w:p>
    <w:p w14:paraId="2B65F452" w14:textId="77777777" w:rsidR="002F0614" w:rsidRPr="008D3625" w:rsidRDefault="002F0614" w:rsidP="008D3625">
      <w:pPr>
        <w:pStyle w:val="Textoindependiente"/>
        <w:ind w:left="300" w:right="306"/>
        <w:jc w:val="both"/>
        <w:rPr>
          <w:sz w:val="20"/>
          <w:szCs w:val="20"/>
        </w:rPr>
      </w:pPr>
    </w:p>
    <w:p w14:paraId="2B65F453" w14:textId="77777777" w:rsidR="002F0614" w:rsidRPr="008D3625" w:rsidRDefault="002F0614" w:rsidP="008D3625">
      <w:pPr>
        <w:pStyle w:val="Textoindependiente"/>
        <w:ind w:left="300" w:right="306"/>
        <w:jc w:val="both"/>
        <w:rPr>
          <w:b/>
        </w:rPr>
      </w:pPr>
      <w:r w:rsidRPr="008D3625">
        <w:rPr>
          <w:b/>
        </w:rPr>
        <w:t xml:space="preserve">DOCUMENTOS TIPO – Programa de Adaptación de guía ambiental – Definición  </w:t>
      </w:r>
    </w:p>
    <w:p w14:paraId="2B65F454" w14:textId="77777777" w:rsidR="002F0614" w:rsidRPr="008D3625" w:rsidRDefault="002F0614" w:rsidP="008D3625">
      <w:pPr>
        <w:pStyle w:val="Textoindependiente"/>
        <w:ind w:left="300" w:right="306"/>
        <w:jc w:val="both"/>
        <w:rPr>
          <w:sz w:val="20"/>
          <w:szCs w:val="20"/>
        </w:rPr>
      </w:pPr>
    </w:p>
    <w:p w14:paraId="2B65F455" w14:textId="77777777" w:rsidR="002F0614" w:rsidRPr="008D3625" w:rsidRDefault="002F0614" w:rsidP="008D3625">
      <w:pPr>
        <w:pStyle w:val="Textoindependiente"/>
        <w:ind w:left="300" w:right="306"/>
        <w:jc w:val="both"/>
        <w:rPr>
          <w:sz w:val="20"/>
          <w:szCs w:val="20"/>
        </w:rPr>
      </w:pPr>
      <w:r w:rsidRPr="008D3625">
        <w:rPr>
          <w:sz w:val="20"/>
          <w:szCs w:val="20"/>
        </w:rPr>
        <w:t>El PAGA aplica a los proyectos que de acuerdo con la Ley 99 de 1992 y el Decreto 2441 de 2014 no requieren licencia ambiental. Por su parte, el artículo 1 de este Decreto define este plan como el conjunto detallado de medidas y actividades que, producto de una evaluación ambiental, están orientadas a prevenir, mitigar, corregir o compensar los impactos y efectos ambientales debidamente identificados, que se causen por el desarrollo de un proyecto, obra o actividad. Incluye los planes de seguimiento, monitoreo, contingencia, y abandono según la naturaleza del proyecto, obra o actividad.</w:t>
      </w:r>
    </w:p>
    <w:p w14:paraId="2B65F456" w14:textId="77777777" w:rsidR="0046258D" w:rsidRPr="008D3625" w:rsidRDefault="0046258D" w:rsidP="008D3625">
      <w:pPr>
        <w:pStyle w:val="Textoindependiente"/>
        <w:ind w:left="300" w:right="306"/>
        <w:jc w:val="both"/>
      </w:pPr>
    </w:p>
    <w:p w14:paraId="2B65F457" w14:textId="77777777" w:rsidR="0046258D" w:rsidRPr="008D3625" w:rsidRDefault="0046258D" w:rsidP="008D3625">
      <w:pPr>
        <w:pStyle w:val="Textoindependiente"/>
        <w:ind w:left="300" w:right="306"/>
        <w:jc w:val="both"/>
        <w:rPr>
          <w:b/>
        </w:rPr>
      </w:pPr>
      <w:r w:rsidRPr="008D3625">
        <w:rPr>
          <w:b/>
        </w:rPr>
        <w:t>DOCUMENTOS TIPO – Program</w:t>
      </w:r>
      <w:r w:rsidR="001E0E2E" w:rsidRPr="008D3625">
        <w:rPr>
          <w:b/>
        </w:rPr>
        <w:t>a de Adaptación de guía a</w:t>
      </w:r>
      <w:r w:rsidRPr="008D3625">
        <w:rPr>
          <w:b/>
        </w:rPr>
        <w:t xml:space="preserve">mbiental </w:t>
      </w:r>
      <w:r w:rsidR="002F0614" w:rsidRPr="008D3625">
        <w:rPr>
          <w:b/>
        </w:rPr>
        <w:t xml:space="preserve">– Obligatoriedad   </w:t>
      </w:r>
    </w:p>
    <w:p w14:paraId="2B65F458" w14:textId="77777777" w:rsidR="0046258D" w:rsidRPr="008D3625" w:rsidRDefault="0046258D" w:rsidP="008D3625">
      <w:pPr>
        <w:pStyle w:val="Textoindependiente"/>
        <w:ind w:left="300" w:right="306"/>
        <w:jc w:val="both"/>
      </w:pPr>
    </w:p>
    <w:p w14:paraId="08F92E13" w14:textId="53839687" w:rsidR="0046258D" w:rsidRDefault="0046258D" w:rsidP="4CACF460">
      <w:pPr>
        <w:pStyle w:val="Textoindependiente"/>
        <w:ind w:left="300" w:right="306"/>
        <w:jc w:val="both"/>
        <w:rPr>
          <w:sz w:val="20"/>
          <w:szCs w:val="20"/>
        </w:rPr>
      </w:pPr>
      <w:r w:rsidRPr="4CACF460">
        <w:rPr>
          <w:sz w:val="20"/>
          <w:szCs w:val="20"/>
        </w:rPr>
        <w:t>El Programa de Adaptación de Guía Ambiental no es una actividad que no está relacionada con la infraestructura de obra de transporte, por el contrario, el Instituto Nacional de Vías ha señalado que este programa es una obligación que deben realizar los contratistas en los Proyectos de Infraestructura vial al ser una actividad propia de la actividad de obra de infraestructura de transporte</w:t>
      </w:r>
      <w:r w:rsidR="008D3625" w:rsidRPr="4CACF460">
        <w:rPr>
          <w:sz w:val="20"/>
          <w:szCs w:val="20"/>
        </w:rPr>
        <w:t>.</w:t>
      </w:r>
    </w:p>
    <w:p w14:paraId="2EDA088F" w14:textId="77777777" w:rsidR="008D3625" w:rsidRPr="008D3625" w:rsidRDefault="008D3625">
      <w:pPr>
        <w:spacing w:before="93"/>
        <w:ind w:left="300"/>
      </w:pPr>
    </w:p>
    <w:p w14:paraId="7251D602" w14:textId="429C3D3E" w:rsidR="4CACF460" w:rsidRDefault="4CACF460" w:rsidP="4CACF460">
      <w:pPr>
        <w:spacing w:before="93"/>
        <w:ind w:left="300"/>
      </w:pPr>
    </w:p>
    <w:p w14:paraId="2B65F45B" w14:textId="77777777" w:rsidR="00B71132" w:rsidRPr="008D3625" w:rsidRDefault="002A78A1">
      <w:pPr>
        <w:spacing w:before="93"/>
        <w:ind w:left="300"/>
        <w:rPr>
          <w:b/>
        </w:rPr>
      </w:pPr>
      <w:r w:rsidRPr="008D3625">
        <w:t xml:space="preserve">Bogotá D.C., </w:t>
      </w:r>
      <w:r w:rsidRPr="008D3625">
        <w:rPr>
          <w:b/>
        </w:rPr>
        <w:t>02/12/2019 Hora 16:2:3s</w:t>
      </w:r>
    </w:p>
    <w:p w14:paraId="2B65F45C" w14:textId="77777777" w:rsidR="00B71132" w:rsidRPr="008D3625" w:rsidRDefault="002A78A1">
      <w:pPr>
        <w:pStyle w:val="Ttulo1"/>
        <w:spacing w:before="2"/>
        <w:ind w:left="5839" w:firstLine="0"/>
      </w:pPr>
      <w:r w:rsidRPr="008D3625">
        <w:lastRenderedPageBreak/>
        <w:t>N° Radicado: 2201913000008868</w:t>
      </w:r>
    </w:p>
    <w:p w14:paraId="2B65F45D" w14:textId="77777777" w:rsidR="00B71132" w:rsidRPr="008D3625" w:rsidRDefault="00B71132">
      <w:pPr>
        <w:pStyle w:val="Textoindependiente"/>
        <w:spacing w:before="10"/>
        <w:rPr>
          <w:b/>
          <w:sz w:val="13"/>
        </w:rPr>
      </w:pPr>
    </w:p>
    <w:p w14:paraId="2B65F45E" w14:textId="77777777" w:rsidR="00B71132" w:rsidRPr="008D3625" w:rsidRDefault="002A78A1">
      <w:pPr>
        <w:pStyle w:val="Textoindependiente"/>
        <w:spacing w:before="93" w:line="253" w:lineRule="exact"/>
        <w:ind w:left="300"/>
      </w:pPr>
      <w:r w:rsidRPr="008D3625">
        <w:t>Señor</w:t>
      </w:r>
    </w:p>
    <w:p w14:paraId="2B65F45F" w14:textId="77777777" w:rsidR="00B71132" w:rsidRPr="008D3625" w:rsidRDefault="002A78A1">
      <w:pPr>
        <w:pStyle w:val="Ttulo1"/>
        <w:spacing w:line="253" w:lineRule="exact"/>
        <w:ind w:left="300" w:firstLine="0"/>
      </w:pPr>
      <w:r w:rsidRPr="008D3625">
        <w:t>Luis Alexis Correa</w:t>
      </w:r>
    </w:p>
    <w:p w14:paraId="2B65F460" w14:textId="77777777" w:rsidR="00B71132" w:rsidRPr="008D3625" w:rsidRDefault="002A78A1">
      <w:pPr>
        <w:pStyle w:val="Textoindependiente"/>
        <w:spacing w:line="253" w:lineRule="exact"/>
        <w:ind w:left="300"/>
      </w:pPr>
      <w:r w:rsidRPr="008D3625">
        <w:t>Piedecuesta,</w:t>
      </w:r>
      <w:r w:rsidRPr="008D3625">
        <w:rPr>
          <w:spacing w:val="-16"/>
        </w:rPr>
        <w:t xml:space="preserve"> </w:t>
      </w:r>
      <w:r w:rsidRPr="008D3625">
        <w:t>Santander</w:t>
      </w:r>
    </w:p>
    <w:p w14:paraId="2B65F461" w14:textId="77777777" w:rsidR="00B71132" w:rsidRPr="008D3625" w:rsidRDefault="00B71132">
      <w:pPr>
        <w:pStyle w:val="Textoindependiente"/>
        <w:rPr>
          <w:sz w:val="20"/>
        </w:rPr>
      </w:pPr>
    </w:p>
    <w:p w14:paraId="2B65F462" w14:textId="77777777" w:rsidR="00B71132" w:rsidRPr="008D3625" w:rsidRDefault="00B71132">
      <w:pPr>
        <w:pStyle w:val="Textoindependiente"/>
        <w:spacing w:before="8"/>
        <w:rPr>
          <w:sz w:val="24"/>
        </w:rPr>
      </w:pPr>
    </w:p>
    <w:tbl>
      <w:tblPr>
        <w:tblStyle w:val="TableNormal"/>
        <w:tblW w:w="0" w:type="auto"/>
        <w:tblInd w:w="108" w:type="dxa"/>
        <w:tblLayout w:type="fixed"/>
        <w:tblLook w:val="01E0" w:firstRow="1" w:lastRow="1" w:firstColumn="1" w:lastColumn="1" w:noHBand="0" w:noVBand="0"/>
      </w:tblPr>
      <w:tblGrid>
        <w:gridCol w:w="2328"/>
        <w:gridCol w:w="6996"/>
      </w:tblGrid>
      <w:tr w:rsidR="008D3625" w:rsidRPr="008D3625" w14:paraId="2B65F465" w14:textId="77777777">
        <w:trPr>
          <w:trHeight w:val="249"/>
        </w:trPr>
        <w:tc>
          <w:tcPr>
            <w:tcW w:w="2328" w:type="dxa"/>
          </w:tcPr>
          <w:p w14:paraId="2B65F463" w14:textId="77777777" w:rsidR="00B71132" w:rsidRPr="008D3625" w:rsidRDefault="002A78A1">
            <w:pPr>
              <w:pStyle w:val="TableParagraph"/>
              <w:rPr>
                <w:b/>
              </w:rPr>
            </w:pPr>
            <w:r w:rsidRPr="008D3625">
              <w:rPr>
                <w:b/>
              </w:rPr>
              <w:t>Radicación:</w:t>
            </w:r>
          </w:p>
        </w:tc>
        <w:tc>
          <w:tcPr>
            <w:tcW w:w="6996" w:type="dxa"/>
          </w:tcPr>
          <w:p w14:paraId="2B65F464" w14:textId="77777777" w:rsidR="00B71132" w:rsidRPr="008D3625" w:rsidRDefault="002A78A1">
            <w:pPr>
              <w:pStyle w:val="TableParagraph"/>
              <w:ind w:left="562"/>
            </w:pPr>
            <w:r w:rsidRPr="008D3625">
              <w:t>Respuesta a consulta # 4201912000007166</w:t>
            </w:r>
          </w:p>
        </w:tc>
      </w:tr>
      <w:tr w:rsidR="008D3625" w:rsidRPr="008D3625" w14:paraId="2B65F468" w14:textId="77777777">
        <w:trPr>
          <w:trHeight w:val="252"/>
        </w:trPr>
        <w:tc>
          <w:tcPr>
            <w:tcW w:w="2328" w:type="dxa"/>
          </w:tcPr>
          <w:p w14:paraId="2B65F466" w14:textId="77777777" w:rsidR="00B71132" w:rsidRPr="008D3625" w:rsidRDefault="002A78A1">
            <w:pPr>
              <w:pStyle w:val="TableParagraph"/>
              <w:spacing w:line="233" w:lineRule="exact"/>
              <w:rPr>
                <w:b/>
              </w:rPr>
            </w:pPr>
            <w:r w:rsidRPr="008D3625">
              <w:rPr>
                <w:b/>
              </w:rPr>
              <w:t>Temas:</w:t>
            </w:r>
          </w:p>
        </w:tc>
        <w:tc>
          <w:tcPr>
            <w:tcW w:w="6996" w:type="dxa"/>
          </w:tcPr>
          <w:p w14:paraId="2B65F467" w14:textId="77777777" w:rsidR="00B71132" w:rsidRPr="008D3625" w:rsidRDefault="002A78A1">
            <w:pPr>
              <w:pStyle w:val="TableParagraph"/>
              <w:spacing w:line="233" w:lineRule="exact"/>
              <w:ind w:left="562"/>
            </w:pPr>
            <w:r w:rsidRPr="008D3625">
              <w:t>Contrato de obra pública; experiencia; licitación pública</w:t>
            </w:r>
          </w:p>
        </w:tc>
      </w:tr>
      <w:tr w:rsidR="00B71132" w:rsidRPr="008D3625" w14:paraId="2B65F46B" w14:textId="77777777">
        <w:trPr>
          <w:trHeight w:val="501"/>
        </w:trPr>
        <w:tc>
          <w:tcPr>
            <w:tcW w:w="2328" w:type="dxa"/>
          </w:tcPr>
          <w:p w14:paraId="2B65F469" w14:textId="77777777" w:rsidR="00B71132" w:rsidRPr="008D3625" w:rsidRDefault="002A78A1">
            <w:pPr>
              <w:pStyle w:val="TableParagraph"/>
              <w:spacing w:before="1" w:line="252" w:lineRule="exact"/>
              <w:ind w:right="543"/>
              <w:rPr>
                <w:b/>
              </w:rPr>
            </w:pPr>
            <w:r w:rsidRPr="008D3625">
              <w:rPr>
                <w:b/>
              </w:rPr>
              <w:t>Tipo de asunto consultado:</w:t>
            </w:r>
          </w:p>
        </w:tc>
        <w:tc>
          <w:tcPr>
            <w:tcW w:w="6996" w:type="dxa"/>
          </w:tcPr>
          <w:p w14:paraId="2B65F46A" w14:textId="77777777" w:rsidR="00B71132" w:rsidRPr="008D3625" w:rsidRDefault="002A78A1">
            <w:pPr>
              <w:pStyle w:val="TableParagraph"/>
              <w:spacing w:before="1" w:line="252" w:lineRule="exact"/>
              <w:ind w:left="562"/>
            </w:pPr>
            <w:r w:rsidRPr="008D3625">
              <w:t>Experiencia adicional por el Programa de Adaptación de Guía Ambiental como una obra o servicio adicional</w:t>
            </w:r>
          </w:p>
        </w:tc>
      </w:tr>
    </w:tbl>
    <w:p w14:paraId="2B65F46C" w14:textId="77777777" w:rsidR="00B71132" w:rsidRPr="008D3625" w:rsidRDefault="00B71132">
      <w:pPr>
        <w:pStyle w:val="Textoindependiente"/>
        <w:rPr>
          <w:sz w:val="20"/>
        </w:rPr>
      </w:pPr>
    </w:p>
    <w:p w14:paraId="2B65F46D" w14:textId="77777777" w:rsidR="00B71132" w:rsidRPr="008D3625" w:rsidRDefault="00B71132">
      <w:pPr>
        <w:pStyle w:val="Textoindependiente"/>
        <w:rPr>
          <w:sz w:val="16"/>
        </w:rPr>
      </w:pPr>
    </w:p>
    <w:p w14:paraId="2B65F46E" w14:textId="77777777" w:rsidR="00B71132" w:rsidRPr="008D3625" w:rsidRDefault="002A78A1">
      <w:pPr>
        <w:pStyle w:val="Textoindependiente"/>
        <w:spacing w:before="93"/>
        <w:ind w:left="300"/>
        <w:jc w:val="both"/>
      </w:pPr>
      <w:r w:rsidRPr="008D3625">
        <w:t>Estimado señor</w:t>
      </w:r>
      <w:r w:rsidRPr="008D3625">
        <w:rPr>
          <w:spacing w:val="-10"/>
        </w:rPr>
        <w:t xml:space="preserve"> </w:t>
      </w:r>
      <w:r w:rsidRPr="008D3625">
        <w:t>Correa,</w:t>
      </w:r>
    </w:p>
    <w:p w14:paraId="2B65F46F" w14:textId="77777777" w:rsidR="00B71132" w:rsidRPr="008D3625" w:rsidRDefault="00B71132">
      <w:pPr>
        <w:pStyle w:val="Textoindependiente"/>
        <w:spacing w:before="4"/>
        <w:rPr>
          <w:sz w:val="25"/>
        </w:rPr>
      </w:pPr>
    </w:p>
    <w:p w14:paraId="2B65F470" w14:textId="77777777" w:rsidR="00B71132" w:rsidRPr="008D3625" w:rsidRDefault="002A78A1">
      <w:pPr>
        <w:pStyle w:val="Textoindependiente"/>
        <w:spacing w:line="276" w:lineRule="auto"/>
        <w:ind w:left="300" w:right="304"/>
        <w:jc w:val="both"/>
      </w:pPr>
      <w:r w:rsidRPr="008D3625">
        <w:t>La Agencia Nacional de Contratación Pública -Colombia Compra Eficiente- responde su consulta del 18 de octubre de 2019, en ejercicio de la competencia otorgada por el numeral 8 del artículo 11 y el numeral 5 del artículo 3 del Decreto Ley 4170 de 2011.</w:t>
      </w:r>
    </w:p>
    <w:p w14:paraId="2B65F471" w14:textId="77777777" w:rsidR="00B71132" w:rsidRPr="008D3625" w:rsidRDefault="00B71132">
      <w:pPr>
        <w:pStyle w:val="Textoindependiente"/>
        <w:spacing w:before="3"/>
        <w:rPr>
          <w:sz w:val="25"/>
        </w:rPr>
      </w:pPr>
    </w:p>
    <w:p w14:paraId="2B65F472" w14:textId="77777777" w:rsidR="00B71132" w:rsidRPr="008D3625" w:rsidRDefault="002A78A1">
      <w:pPr>
        <w:pStyle w:val="Ttulo1"/>
        <w:numPr>
          <w:ilvl w:val="0"/>
          <w:numId w:val="1"/>
        </w:numPr>
        <w:tabs>
          <w:tab w:val="left" w:pos="661"/>
        </w:tabs>
        <w:ind w:hanging="361"/>
      </w:pPr>
      <w:r w:rsidRPr="008D3625">
        <w:t>Problema</w:t>
      </w:r>
      <w:r w:rsidRPr="008D3625">
        <w:rPr>
          <w:spacing w:val="-2"/>
        </w:rPr>
        <w:t xml:space="preserve"> </w:t>
      </w:r>
      <w:r w:rsidRPr="008D3625">
        <w:t>planteado</w:t>
      </w:r>
    </w:p>
    <w:p w14:paraId="2B65F473" w14:textId="77777777" w:rsidR="00B71132" w:rsidRPr="008D3625" w:rsidRDefault="00B71132">
      <w:pPr>
        <w:pStyle w:val="Textoindependiente"/>
        <w:spacing w:before="7"/>
        <w:rPr>
          <w:b/>
          <w:sz w:val="28"/>
        </w:rPr>
      </w:pPr>
    </w:p>
    <w:p w14:paraId="2B65F474" w14:textId="77777777" w:rsidR="00B71132" w:rsidRPr="008D3625" w:rsidRDefault="002A78A1">
      <w:pPr>
        <w:pStyle w:val="Textoindependiente"/>
        <w:spacing w:before="1" w:line="276" w:lineRule="auto"/>
        <w:ind w:left="300" w:right="307"/>
        <w:jc w:val="both"/>
      </w:pPr>
      <w:r w:rsidRPr="008D3625">
        <w:t>¿En un proceso de contratación que se adelanta en virtud de los pliegos tipo el Plan de Manejo Ambiental o P.A.G.A es considerada actividad ajena a la obra en vías terciarias y en virtud de esta actividad ajena las entidades pueden solicitar experiencia adicional?</w:t>
      </w:r>
    </w:p>
    <w:p w14:paraId="2B65F475" w14:textId="77777777" w:rsidR="00B71132" w:rsidRPr="008D3625" w:rsidRDefault="00B71132">
      <w:pPr>
        <w:pStyle w:val="Textoindependiente"/>
        <w:spacing w:before="10"/>
        <w:rPr>
          <w:sz w:val="21"/>
        </w:rPr>
      </w:pPr>
    </w:p>
    <w:p w14:paraId="2B65F476" w14:textId="77777777" w:rsidR="00B71132" w:rsidRPr="008D3625" w:rsidRDefault="002A78A1">
      <w:pPr>
        <w:pStyle w:val="Ttulo1"/>
        <w:numPr>
          <w:ilvl w:val="0"/>
          <w:numId w:val="1"/>
        </w:numPr>
        <w:tabs>
          <w:tab w:val="left" w:pos="661"/>
        </w:tabs>
        <w:ind w:hanging="361"/>
      </w:pPr>
      <w:r w:rsidRPr="008D3625">
        <w:t>Consideraciones</w:t>
      </w:r>
    </w:p>
    <w:p w14:paraId="2B65F477" w14:textId="77777777" w:rsidR="00B71132" w:rsidRPr="008D3625" w:rsidRDefault="00B71132">
      <w:pPr>
        <w:pStyle w:val="Textoindependiente"/>
        <w:rPr>
          <w:b/>
          <w:sz w:val="23"/>
        </w:rPr>
      </w:pPr>
    </w:p>
    <w:p w14:paraId="2B65F478" w14:textId="77777777" w:rsidR="00B71132" w:rsidRPr="008D3625" w:rsidRDefault="002A78A1">
      <w:pPr>
        <w:pStyle w:val="Textoindependiente"/>
        <w:spacing w:line="276" w:lineRule="auto"/>
        <w:ind w:left="300" w:right="305"/>
        <w:jc w:val="both"/>
      </w:pPr>
      <w:r w:rsidRPr="008D3625">
        <w:t>La Agencia Nacional de Contratación Pública estudió por primera vez este tema en la consulta No. 4201912000005756 y reiteró esta posición en las siguientes consultas 4201912000006498, 4201912000007375 y, finalmente, en la consulta</w:t>
      </w:r>
      <w:r w:rsidRPr="008D3625">
        <w:rPr>
          <w:spacing w:val="-16"/>
        </w:rPr>
        <w:t xml:space="preserve"> </w:t>
      </w:r>
      <w:r w:rsidRPr="008D3625">
        <w:t>4201912000007452.</w:t>
      </w:r>
    </w:p>
    <w:p w14:paraId="2B65F479" w14:textId="77777777" w:rsidR="00B71132" w:rsidRPr="008D3625" w:rsidRDefault="00B71132">
      <w:pPr>
        <w:pStyle w:val="Textoindependiente"/>
        <w:spacing w:before="1"/>
        <w:rPr>
          <w:sz w:val="23"/>
        </w:rPr>
      </w:pPr>
    </w:p>
    <w:p w14:paraId="2B65F47A" w14:textId="77777777" w:rsidR="00B71132" w:rsidRPr="008D3625" w:rsidRDefault="002A78A1">
      <w:pPr>
        <w:pStyle w:val="Textoindependiente"/>
        <w:ind w:left="300" w:right="304"/>
        <w:jc w:val="both"/>
      </w:pPr>
      <w:r w:rsidRPr="008D3625">
        <w:t>En virtud del artículo 2.2.1.2.6.1.4 del Decreto 342 de 2019 las entidades contratantes no podrán incluir dentro de los Documentos del Proceso condiciones habilitantes, factores técnicos y económicos de escogencia y los sistemas de ponderación distintos a los señalados</w:t>
      </w:r>
      <w:r w:rsidRPr="008D3625">
        <w:rPr>
          <w:spacing w:val="15"/>
        </w:rPr>
        <w:t xml:space="preserve"> </w:t>
      </w:r>
      <w:r w:rsidRPr="008D3625">
        <w:t>en</w:t>
      </w:r>
      <w:r w:rsidRPr="008D3625">
        <w:rPr>
          <w:spacing w:val="16"/>
        </w:rPr>
        <w:t xml:space="preserve"> </w:t>
      </w:r>
      <w:r w:rsidRPr="008D3625">
        <w:t>los</w:t>
      </w:r>
      <w:r w:rsidRPr="008D3625">
        <w:rPr>
          <w:spacing w:val="13"/>
        </w:rPr>
        <w:t xml:space="preserve"> </w:t>
      </w:r>
      <w:r w:rsidRPr="008D3625">
        <w:t>Documentos</w:t>
      </w:r>
      <w:r w:rsidRPr="008D3625">
        <w:rPr>
          <w:spacing w:val="15"/>
        </w:rPr>
        <w:t xml:space="preserve"> </w:t>
      </w:r>
      <w:r w:rsidRPr="008D3625">
        <w:t>Tipo.</w:t>
      </w:r>
      <w:r w:rsidRPr="008D3625">
        <w:rPr>
          <w:spacing w:val="14"/>
        </w:rPr>
        <w:t xml:space="preserve"> </w:t>
      </w:r>
      <w:r w:rsidRPr="008D3625">
        <w:t>Por</w:t>
      </w:r>
      <w:r w:rsidRPr="008D3625">
        <w:rPr>
          <w:spacing w:val="15"/>
        </w:rPr>
        <w:t xml:space="preserve"> </w:t>
      </w:r>
      <w:r w:rsidRPr="008D3625">
        <w:t>lo</w:t>
      </w:r>
      <w:r w:rsidRPr="008D3625">
        <w:rPr>
          <w:spacing w:val="15"/>
        </w:rPr>
        <w:t xml:space="preserve"> </w:t>
      </w:r>
      <w:r w:rsidRPr="008D3625">
        <w:t>tanto,</w:t>
      </w:r>
      <w:r w:rsidRPr="008D3625">
        <w:rPr>
          <w:spacing w:val="14"/>
        </w:rPr>
        <w:t xml:space="preserve"> </w:t>
      </w:r>
      <w:r w:rsidRPr="008D3625">
        <w:t>las</w:t>
      </w:r>
      <w:r w:rsidRPr="008D3625">
        <w:rPr>
          <w:spacing w:val="15"/>
        </w:rPr>
        <w:t xml:space="preserve"> </w:t>
      </w:r>
      <w:r w:rsidRPr="008D3625">
        <w:t>entidades</w:t>
      </w:r>
      <w:r w:rsidRPr="008D3625">
        <w:rPr>
          <w:spacing w:val="15"/>
        </w:rPr>
        <w:t xml:space="preserve"> </w:t>
      </w:r>
      <w:r w:rsidRPr="008D3625">
        <w:t>deberán</w:t>
      </w:r>
      <w:r w:rsidRPr="008D3625">
        <w:rPr>
          <w:spacing w:val="22"/>
        </w:rPr>
        <w:t xml:space="preserve"> </w:t>
      </w:r>
      <w:r w:rsidRPr="008D3625">
        <w:t>tener</w:t>
      </w:r>
      <w:r w:rsidRPr="008D3625">
        <w:rPr>
          <w:spacing w:val="15"/>
        </w:rPr>
        <w:t xml:space="preserve"> </w:t>
      </w:r>
      <w:r w:rsidRPr="008D3625">
        <w:t>como</w:t>
      </w:r>
      <w:r w:rsidRPr="008D3625">
        <w:rPr>
          <w:spacing w:val="16"/>
        </w:rPr>
        <w:t xml:space="preserve"> </w:t>
      </w:r>
      <w:r w:rsidRPr="008D3625">
        <w:t>regla</w:t>
      </w:r>
    </w:p>
    <w:p w14:paraId="2B65F47B" w14:textId="77777777" w:rsidR="0052654B" w:rsidRPr="008D3625" w:rsidRDefault="0052654B" w:rsidP="0052654B">
      <w:pPr>
        <w:pStyle w:val="Textoindependiente"/>
        <w:spacing w:before="93" w:line="244" w:lineRule="auto"/>
        <w:ind w:left="300" w:right="312"/>
        <w:jc w:val="both"/>
      </w:pPr>
      <w:r w:rsidRPr="008D3625">
        <w:t>general la imposibilidad de incluir dentro de los procesos de contratación factores técnicos o requisitos adicionales que no prevé el Documento Base o Pliego</w:t>
      </w:r>
      <w:r w:rsidRPr="008D3625">
        <w:rPr>
          <w:spacing w:val="-18"/>
        </w:rPr>
        <w:t xml:space="preserve"> </w:t>
      </w:r>
      <w:r w:rsidRPr="008D3625">
        <w:t>Tipo</w:t>
      </w:r>
      <w:r w:rsidRPr="008D3625">
        <w:rPr>
          <w:rStyle w:val="Refdenotaalpie"/>
        </w:rPr>
        <w:footnoteReference w:id="1"/>
      </w:r>
      <w:r w:rsidRPr="008D3625">
        <w:t>.</w:t>
      </w:r>
    </w:p>
    <w:p w14:paraId="2B65F47C" w14:textId="77777777" w:rsidR="0052654B" w:rsidRPr="008D3625" w:rsidRDefault="0052654B" w:rsidP="0052654B">
      <w:pPr>
        <w:pStyle w:val="Textoindependiente"/>
        <w:spacing w:before="5"/>
        <w:rPr>
          <w:sz w:val="24"/>
        </w:rPr>
      </w:pPr>
    </w:p>
    <w:p w14:paraId="2B65F47D" w14:textId="77777777" w:rsidR="0052654B" w:rsidRPr="008D3625" w:rsidRDefault="0052654B" w:rsidP="0052654B">
      <w:pPr>
        <w:pStyle w:val="Textoindependiente"/>
        <w:spacing w:line="276" w:lineRule="auto"/>
        <w:ind w:left="300" w:right="306"/>
        <w:jc w:val="both"/>
      </w:pPr>
      <w:r w:rsidRPr="008D3625">
        <w:t xml:space="preserve">Ahora, el artículo 2.2.1.2.6.1.5 del Decreto 342 de 2019 prevé los eventos en los que el objeto contractual incluye bienes o servicios adicionales a la obra pública de infraestructura </w:t>
      </w:r>
      <w:r w:rsidRPr="008D3625">
        <w:lastRenderedPageBreak/>
        <w:t>de transporte. En este caso, la entidad estatal puede incluir experiencia adicional para evaluar la idoneidad respecto de los bienes o servicios ajenos a la obra pública, no obstante, se deberán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ii) conservar los requisitos exigidos en los Documentos Tipo, iii) abstenerse de pedir experiencia exclusiva con entidades estatales, experiencia previa en un territorio específico, limitada en el tiempo o que incluya volúmenes o cantidades de obra específica, iv) clasificar la experiencia requerida solo hasta el tercer nivel del Clasificador de Bienes y Servicios e incluir exclusivamente los códigos que estén relacionados directamente con el objeto a contratar</w:t>
      </w:r>
      <w:r w:rsidRPr="008D3625">
        <w:rPr>
          <w:rStyle w:val="Refdenotaalpie"/>
        </w:rPr>
        <w:footnoteReference w:id="2"/>
      </w:r>
      <w:r w:rsidRPr="008D3625">
        <w:t>.</w:t>
      </w:r>
    </w:p>
    <w:p w14:paraId="2B65F47E" w14:textId="77777777" w:rsidR="0052654B" w:rsidRPr="008D3625" w:rsidRDefault="0052654B" w:rsidP="0052654B">
      <w:pPr>
        <w:pStyle w:val="Textoindependiente"/>
        <w:spacing w:before="3"/>
        <w:rPr>
          <w:sz w:val="25"/>
        </w:rPr>
      </w:pPr>
    </w:p>
    <w:p w14:paraId="2B65F47F" w14:textId="77777777" w:rsidR="0052654B" w:rsidRPr="008D3625" w:rsidRDefault="0052654B" w:rsidP="0052654B">
      <w:pPr>
        <w:pStyle w:val="Textoindependiente"/>
        <w:spacing w:line="276" w:lineRule="auto"/>
        <w:ind w:left="300" w:right="306"/>
        <w:jc w:val="both"/>
      </w:pPr>
      <w:r w:rsidRPr="008D3625">
        <w:t>La posibilidad de solicitar experiencia adicional sólo es posible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 transporte.</w:t>
      </w:r>
    </w:p>
    <w:p w14:paraId="2B65F480" w14:textId="77777777" w:rsidR="0052654B" w:rsidRPr="008D3625" w:rsidRDefault="0052654B" w:rsidP="0052654B">
      <w:pPr>
        <w:pStyle w:val="Textoindependiente"/>
        <w:spacing w:before="5"/>
        <w:rPr>
          <w:sz w:val="25"/>
        </w:rPr>
      </w:pPr>
    </w:p>
    <w:p w14:paraId="2B65F481" w14:textId="77777777" w:rsidR="0052654B" w:rsidRPr="008D3625" w:rsidRDefault="0052654B" w:rsidP="0052654B">
      <w:pPr>
        <w:pStyle w:val="Textoindependiente"/>
        <w:spacing w:line="276" w:lineRule="auto"/>
        <w:ind w:left="300" w:right="305"/>
        <w:jc w:val="both"/>
      </w:pPr>
      <w:r w:rsidRPr="008D3625">
        <w:t xml:space="preserve">Conforme a lo anterior, la regla general frente la aplicación del “Documento Base” es su inalterabilidad y no se podrán incluir o modificar dentro de los Documentos del Proceso las condiciones habilitantes, los factores técnicos y económicos de escogencia y los sistemas de ponderación distintos a los señalados en los Documentos Tipo. Salvo lo previsto en el artículo 2.2.1.2.6.1.5 del Decreto 1082 de 2015 si el objeto contractual incluye bienes o servicios ajenos a la obra pública de infraestructura de transporte se podrá incluir experiencia </w:t>
      </w:r>
      <w:r w:rsidRPr="008D3625">
        <w:lastRenderedPageBreak/>
        <w:t>adicional.</w:t>
      </w:r>
    </w:p>
    <w:p w14:paraId="2B65F482" w14:textId="77777777" w:rsidR="0052654B" w:rsidRPr="008D3625" w:rsidRDefault="0052654B" w:rsidP="0052654B">
      <w:pPr>
        <w:pStyle w:val="Textoindependiente"/>
        <w:spacing w:before="4"/>
        <w:rPr>
          <w:sz w:val="25"/>
        </w:rPr>
      </w:pPr>
    </w:p>
    <w:p w14:paraId="2B65F483" w14:textId="77777777" w:rsidR="0052654B" w:rsidRPr="008D3625" w:rsidRDefault="0052654B" w:rsidP="0052654B">
      <w:pPr>
        <w:pStyle w:val="Textoindependiente"/>
        <w:spacing w:line="276" w:lineRule="auto"/>
        <w:ind w:left="300" w:right="304"/>
        <w:jc w:val="both"/>
      </w:pPr>
      <w:r w:rsidRPr="008D3625">
        <w:t xml:space="preserve">Teniendo en cuenta que usted pregunta: ¿la posibilidad que tienen las entidades de solicitar experiencia adicional en virtud del Plan de Manejo Ambiental o el Programa de Adaptación de Guía Ambiental? Se determinará en qué consiste este Programa de Adaptación de Guía Ambiental para determinar si </w:t>
      </w:r>
      <w:r w:rsidRPr="008D3625">
        <w:rPr>
          <w:spacing w:val="4"/>
        </w:rPr>
        <w:t xml:space="preserve">es </w:t>
      </w:r>
      <w:r w:rsidRPr="008D3625">
        <w:t>o no un bien o servicio ajeno a la obra pública de infraestructura de</w:t>
      </w:r>
      <w:r w:rsidRPr="008D3625">
        <w:rPr>
          <w:spacing w:val="-5"/>
        </w:rPr>
        <w:t xml:space="preserve"> </w:t>
      </w:r>
      <w:r w:rsidRPr="008D3625">
        <w:t>transporte.</w:t>
      </w:r>
    </w:p>
    <w:p w14:paraId="2B65F484" w14:textId="77777777" w:rsidR="0052654B" w:rsidRPr="008D3625" w:rsidRDefault="0052654B" w:rsidP="0052654B">
      <w:pPr>
        <w:pStyle w:val="Textoindependiente"/>
        <w:spacing w:before="3"/>
        <w:rPr>
          <w:sz w:val="25"/>
        </w:rPr>
      </w:pPr>
    </w:p>
    <w:p w14:paraId="2B65F485" w14:textId="77777777" w:rsidR="0052654B" w:rsidRPr="008D3625" w:rsidRDefault="0052654B" w:rsidP="0052654B">
      <w:pPr>
        <w:pStyle w:val="Textoindependiente"/>
        <w:spacing w:line="276" w:lineRule="auto"/>
        <w:ind w:left="300" w:right="310"/>
        <w:jc w:val="both"/>
      </w:pPr>
      <w:r w:rsidRPr="008D3625">
        <w:t>El Instituto Nacional de Vías, en la “Guía de Manejo Ambiental de Proyectos de Infraestructura”, establece qué contratos cuyo objeto consista en el mejoramiento de vías se ejecutarán desarrollando el P.A.G.A (Programa de Adaptación de Guía Ambiental), adaptado a las particularidades de cada contrato, en cuanto a su alcance, duración, área de ejecución, características de su entorno social y</w:t>
      </w:r>
      <w:r w:rsidRPr="008D3625">
        <w:rPr>
          <w:spacing w:val="-9"/>
        </w:rPr>
        <w:t xml:space="preserve"> </w:t>
      </w:r>
      <w:r w:rsidRPr="008D3625">
        <w:t>ambiental</w:t>
      </w:r>
      <w:r w:rsidRPr="008D3625">
        <w:rPr>
          <w:rStyle w:val="Refdenotaalpie"/>
        </w:rPr>
        <w:footnoteReference w:id="3"/>
      </w:r>
      <w:r w:rsidRPr="008D3625">
        <w:t>.</w:t>
      </w:r>
    </w:p>
    <w:p w14:paraId="2B65F486" w14:textId="77777777" w:rsidR="0052654B" w:rsidRPr="008D3625" w:rsidRDefault="0052654B" w:rsidP="0052654B">
      <w:pPr>
        <w:pStyle w:val="Textoindependiente"/>
        <w:spacing w:before="3"/>
        <w:rPr>
          <w:sz w:val="25"/>
        </w:rPr>
      </w:pPr>
    </w:p>
    <w:p w14:paraId="2B65F487" w14:textId="77777777" w:rsidR="0052654B" w:rsidRPr="008D3625" w:rsidRDefault="0052654B" w:rsidP="0052654B">
      <w:pPr>
        <w:pStyle w:val="Textoindependiente"/>
        <w:spacing w:line="276" w:lineRule="auto"/>
        <w:ind w:left="300" w:right="306"/>
        <w:jc w:val="both"/>
      </w:pPr>
      <w:r w:rsidRPr="008D3625">
        <w:t>Asimismo, establece que el PAGA aplica a los proyectos que de acuerdo con la Ley 99 de 1992 y el Decreto 2441 de 2014 no requieren licencia ambiental. Por su parte, el artículo 1 de este Decreto define este plan como el conjunto detallado de medidas y actividades que, producto de una evaluación ambiental, están orientadas a prevenir, mitigar, corregir o compensar los impactos y efectos ambientales debidamente identificados, que se causen por el desarrollo de un proyecto, obra o actividad. Incluye los planes de seguimiento, monitoreo, contingencia, y abandono según la naturaleza del proyecto, obra o actividad.</w:t>
      </w:r>
    </w:p>
    <w:p w14:paraId="2B65F488" w14:textId="77777777" w:rsidR="0052654B" w:rsidRPr="008D3625" w:rsidRDefault="0052654B" w:rsidP="0052654B">
      <w:pPr>
        <w:pStyle w:val="Textoindependiente"/>
        <w:spacing w:before="4"/>
        <w:rPr>
          <w:sz w:val="25"/>
        </w:rPr>
      </w:pPr>
    </w:p>
    <w:p w14:paraId="2B65F489" w14:textId="77777777" w:rsidR="001E0E2E" w:rsidRPr="008D3625" w:rsidRDefault="0052654B" w:rsidP="001E0E2E">
      <w:pPr>
        <w:pStyle w:val="Textoindependiente"/>
        <w:spacing w:before="93" w:line="276" w:lineRule="auto"/>
        <w:ind w:left="300" w:right="304"/>
        <w:jc w:val="both"/>
      </w:pPr>
      <w:r w:rsidRPr="008D3625">
        <w:t>Además, señala que este es un instrumento previsto para mejorar la calidad de las obras cuyo propósito es: i) identificar y acopiar la información para la oportuna gestión de permisos por uso y aprovechamiento de recursos naturales, en cuanto a identificación, estudios y soportes necesarios, requisitos y c</w:t>
      </w:r>
      <w:r w:rsidR="001E0E2E" w:rsidRPr="008D3625">
        <w:t>ronograma ante las Corporaciones Ambientales, ii) mejorar la calidad de las obras y del entorno en el que se desarrollan, con una adecuada identificación y ponderación de los impactos ambientales y sociales, iii) establecer los indicadores de gestión y seguimiento ambiental, para la obra y el contratista, establecer relaciones armoniosas con las comunidades, autoridades locales y regionales y particularmente con las Autoridades Ambientales, que realizan seguimiento y control a las actividades, obras y proyectos que se ejecutan en su jurisdicción</w:t>
      </w:r>
      <w:r w:rsidR="001E0E2E" w:rsidRPr="008D3625">
        <w:rPr>
          <w:rStyle w:val="Refdenotaalpie"/>
        </w:rPr>
        <w:footnoteReference w:id="4"/>
      </w:r>
      <w:r w:rsidR="001E0E2E" w:rsidRPr="008D3625">
        <w:t xml:space="preserve">. </w:t>
      </w:r>
    </w:p>
    <w:p w14:paraId="2B65F48A" w14:textId="77777777" w:rsidR="001E0E2E" w:rsidRPr="008D3625" w:rsidRDefault="001E0E2E" w:rsidP="001E0E2E">
      <w:pPr>
        <w:pStyle w:val="Textoindependiente"/>
        <w:spacing w:before="5"/>
        <w:rPr>
          <w:sz w:val="25"/>
        </w:rPr>
      </w:pPr>
    </w:p>
    <w:p w14:paraId="2B65F48B" w14:textId="77777777" w:rsidR="0052654B" w:rsidRPr="008D3625" w:rsidRDefault="0052654B" w:rsidP="001E0E2E">
      <w:pPr>
        <w:pStyle w:val="Textoindependiente"/>
        <w:spacing w:line="276" w:lineRule="auto"/>
        <w:ind w:left="300" w:right="304"/>
        <w:jc w:val="both"/>
        <w:sectPr w:rsidR="0052654B" w:rsidRPr="008D3625">
          <w:headerReference w:type="default" r:id="rId11"/>
          <w:footerReference w:type="default" r:id="rId12"/>
          <w:pgSz w:w="12240" w:h="15840"/>
          <w:pgMar w:top="1560" w:right="1300" w:bottom="2060" w:left="1400" w:header="737" w:footer="1880" w:gutter="0"/>
          <w:cols w:space="720"/>
        </w:sectPr>
      </w:pPr>
    </w:p>
    <w:p w14:paraId="2B65F48C" w14:textId="77777777" w:rsidR="0052654B" w:rsidRPr="008D3625" w:rsidRDefault="0052654B" w:rsidP="0052654B">
      <w:pPr>
        <w:pStyle w:val="Textoindependiente"/>
        <w:spacing w:line="276" w:lineRule="auto"/>
        <w:ind w:left="300" w:right="304"/>
        <w:jc w:val="both"/>
      </w:pPr>
      <w:r w:rsidRPr="008D3625">
        <w:lastRenderedPageBreak/>
        <w:t xml:space="preserve">En este sentido, como el Programa de Adaptación de Guía Ambiental es una obligación que deben realizar los contratistas en los Proyectos de Infraestructura del Subsector Vial, no se puede entender como una obra o servicio adicional a la licitación de obra pública de infraestructura de transporte. Por lo tanto, la entidad estatal no podrá solicitar experiencia general o específica adicional a la prevista en la “Matriz </w:t>
      </w:r>
      <w:r w:rsidRPr="008D3625">
        <w:rPr>
          <w:spacing w:val="2"/>
        </w:rPr>
        <w:t xml:space="preserve">1- </w:t>
      </w:r>
      <w:r w:rsidRPr="008D3625">
        <w:t>Experiencia” en virtud del Programa de Adaptación de Guía</w:t>
      </w:r>
      <w:r w:rsidRPr="008D3625">
        <w:rPr>
          <w:spacing w:val="-5"/>
        </w:rPr>
        <w:t xml:space="preserve"> </w:t>
      </w:r>
      <w:r w:rsidRPr="008D3625">
        <w:t>Ambiental.</w:t>
      </w:r>
    </w:p>
    <w:p w14:paraId="2B65F48D" w14:textId="77777777" w:rsidR="0052654B" w:rsidRPr="008D3625" w:rsidRDefault="0052654B" w:rsidP="0052654B">
      <w:pPr>
        <w:pStyle w:val="Textoindependiente"/>
        <w:spacing w:before="5"/>
        <w:rPr>
          <w:sz w:val="25"/>
        </w:rPr>
      </w:pPr>
    </w:p>
    <w:p w14:paraId="2B65F48E" w14:textId="77777777" w:rsidR="0052654B" w:rsidRPr="008D3625" w:rsidRDefault="0052654B" w:rsidP="0052654B">
      <w:pPr>
        <w:pStyle w:val="Textoindependiente"/>
        <w:spacing w:line="276" w:lineRule="auto"/>
        <w:ind w:left="300" w:right="307"/>
        <w:jc w:val="both"/>
      </w:pPr>
      <w:r w:rsidRPr="008D3625">
        <w:t>Por lo tanto, el Programa de Adaptación de Guía Ambiental no es una actividad que no está relacionada con la infraestructura de obra de transporte, por el contrario, el Instituto Nacional de Vías ha señalado que este programa es una obligación que deben realizar los contratistas en los Proyectos de Infraestructura vial al ser una actividad propia de la actividad de obra de infraestructura de</w:t>
      </w:r>
      <w:r w:rsidRPr="008D3625">
        <w:rPr>
          <w:spacing w:val="-6"/>
        </w:rPr>
        <w:t xml:space="preserve"> </w:t>
      </w:r>
      <w:r w:rsidRPr="008D3625">
        <w:t>transporte.</w:t>
      </w:r>
    </w:p>
    <w:p w14:paraId="2B65F48F" w14:textId="77777777" w:rsidR="0052654B" w:rsidRPr="008D3625" w:rsidRDefault="0052654B" w:rsidP="0052654B">
      <w:pPr>
        <w:pStyle w:val="Textoindependiente"/>
        <w:spacing w:before="3"/>
        <w:rPr>
          <w:sz w:val="25"/>
        </w:rPr>
      </w:pPr>
    </w:p>
    <w:p w14:paraId="2B65F490" w14:textId="77777777" w:rsidR="0052654B" w:rsidRPr="008D3625" w:rsidRDefault="0052654B" w:rsidP="0052654B">
      <w:pPr>
        <w:pStyle w:val="Ttulo1"/>
        <w:numPr>
          <w:ilvl w:val="0"/>
          <w:numId w:val="1"/>
        </w:numPr>
        <w:tabs>
          <w:tab w:val="left" w:pos="661"/>
        </w:tabs>
        <w:ind w:hanging="361"/>
      </w:pPr>
      <w:r w:rsidRPr="008D3625">
        <w:t>Respuesta</w:t>
      </w:r>
    </w:p>
    <w:p w14:paraId="2B65F491" w14:textId="77777777" w:rsidR="0052654B" w:rsidRPr="008D3625" w:rsidRDefault="0052654B" w:rsidP="0052654B">
      <w:pPr>
        <w:pStyle w:val="Textoindependiente"/>
        <w:spacing w:before="2"/>
        <w:rPr>
          <w:b/>
          <w:sz w:val="25"/>
        </w:rPr>
      </w:pPr>
    </w:p>
    <w:p w14:paraId="2B65F492" w14:textId="77777777" w:rsidR="0052654B" w:rsidRPr="008D3625" w:rsidRDefault="0052654B" w:rsidP="0052654B">
      <w:pPr>
        <w:pStyle w:val="Textoindependiente"/>
        <w:spacing w:line="276" w:lineRule="auto"/>
        <w:ind w:left="300" w:right="307"/>
        <w:jc w:val="both"/>
      </w:pPr>
      <w:r w:rsidRPr="008D3625">
        <w:t>La posibilidad de solicitar experiencia adicional sólo es posible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8D3625">
        <w:rPr>
          <w:spacing w:val="-2"/>
        </w:rPr>
        <w:t xml:space="preserve"> </w:t>
      </w:r>
      <w:r w:rsidRPr="008D3625">
        <w:t>transporte.</w:t>
      </w:r>
    </w:p>
    <w:p w14:paraId="2B65F493" w14:textId="77777777" w:rsidR="0052654B" w:rsidRPr="008D3625" w:rsidRDefault="0052654B" w:rsidP="0052654B">
      <w:pPr>
        <w:pStyle w:val="Textoindependiente"/>
        <w:spacing w:before="6"/>
        <w:rPr>
          <w:sz w:val="25"/>
        </w:rPr>
      </w:pPr>
    </w:p>
    <w:p w14:paraId="2B65F494" w14:textId="77777777" w:rsidR="0052654B" w:rsidRPr="008D3625" w:rsidRDefault="0052654B" w:rsidP="0052654B">
      <w:pPr>
        <w:pStyle w:val="Textoindependiente"/>
        <w:spacing w:line="276" w:lineRule="auto"/>
        <w:ind w:left="300" w:right="308"/>
        <w:jc w:val="both"/>
        <w:rPr>
          <w:sz w:val="20"/>
        </w:rPr>
      </w:pPr>
      <w:r w:rsidRPr="008D3625">
        <w:t>En este caso, el Programa de Adaptación de Guía Ambiental no es una obra o servicio ajeno a la obra pública de infraestructura de transporte, por el contrario, es una obligación propia de la obra pública de infraestructura de transporte cuando se refiera a un contrato de mejoramiento de una</w:t>
      </w:r>
      <w:r w:rsidRPr="008D3625">
        <w:rPr>
          <w:spacing w:val="-3"/>
        </w:rPr>
        <w:t xml:space="preserve"> </w:t>
      </w:r>
      <w:r w:rsidRPr="008D3625">
        <w:t>vía.</w:t>
      </w:r>
      <w:r w:rsidRPr="008D3625">
        <w:rPr>
          <w:sz w:val="20"/>
        </w:rPr>
        <w:t xml:space="preserve"> </w:t>
      </w:r>
    </w:p>
    <w:p w14:paraId="2B65F495" w14:textId="77777777" w:rsidR="0052654B" w:rsidRPr="004F4DD0" w:rsidRDefault="0052654B" w:rsidP="0052654B">
      <w:pPr>
        <w:pStyle w:val="Textoindependiente"/>
        <w:rPr>
          <w:sz w:val="16"/>
          <w:szCs w:val="16"/>
        </w:rPr>
      </w:pPr>
    </w:p>
    <w:p w14:paraId="2B65F497" w14:textId="77777777" w:rsidR="0052654B" w:rsidRPr="008D3625" w:rsidRDefault="0052654B" w:rsidP="0052654B">
      <w:pPr>
        <w:pStyle w:val="Textoindependiente"/>
        <w:spacing w:before="93" w:line="278" w:lineRule="auto"/>
        <w:ind w:left="300"/>
      </w:pPr>
      <w:r w:rsidRPr="008D3625">
        <w:t>Este concepto tiene el alcance previsto en el artículo 28 del Código de Procedimiento Administrativo y de lo Contencioso Administrativo.</w:t>
      </w:r>
    </w:p>
    <w:p w14:paraId="2B65F498" w14:textId="77777777" w:rsidR="0052654B" w:rsidRPr="008D3625" w:rsidRDefault="0052654B" w:rsidP="0052654B">
      <w:pPr>
        <w:pStyle w:val="Textoindependiente"/>
        <w:spacing w:before="5"/>
      </w:pPr>
      <w:r w:rsidRPr="008D3625">
        <w:rPr>
          <w:noProof/>
          <w:lang w:val="en-US"/>
        </w:rPr>
        <mc:AlternateContent>
          <mc:Choice Requires="wps">
            <w:drawing>
              <wp:anchor distT="0" distB="0" distL="0" distR="0" simplePos="0" relativeHeight="251663360" behindDoc="1" locked="0" layoutInCell="1" allowOverlap="1" wp14:anchorId="2B65F4A0" wp14:editId="2B65F4A1">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2" style="position:absolute;margin-left:119.25pt;margin-top:15.3pt;width:36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w14:anchorId="17421E67">
                <v:path arrowok="t" o:connecttype="custom" o:connectlocs="0,0;4686300,0" o:connectangles="0,0"/>
                <w10:wrap type="topAndBottom" anchorx="page"/>
              </v:shape>
            </w:pict>
          </mc:Fallback>
        </mc:AlternateContent>
      </w:r>
    </w:p>
    <w:p w14:paraId="2B65F499" w14:textId="77777777" w:rsidR="0052654B" w:rsidRPr="008D3625" w:rsidRDefault="0052654B" w:rsidP="0052654B">
      <w:pPr>
        <w:pStyle w:val="Textoindependiente"/>
        <w:spacing w:before="5"/>
        <w:rPr>
          <w:sz w:val="20"/>
        </w:rPr>
      </w:pPr>
    </w:p>
    <w:p w14:paraId="2B65F49A" w14:textId="77777777" w:rsidR="0052654B" w:rsidRPr="008D3625" w:rsidRDefault="0052654B" w:rsidP="0052654B">
      <w:pPr>
        <w:pStyle w:val="Textoindependiente"/>
        <w:ind w:left="300"/>
      </w:pPr>
      <w:r w:rsidRPr="008D3625">
        <w:t>Atentamente,</w:t>
      </w:r>
    </w:p>
    <w:p w14:paraId="2B65F49B" w14:textId="3C67C261" w:rsidR="0052654B" w:rsidRDefault="004F4DD0" w:rsidP="004F4DD0">
      <w:pPr>
        <w:pStyle w:val="Textoindependiente"/>
        <w:spacing w:before="4"/>
        <w:jc w:val="center"/>
        <w:rPr>
          <w:sz w:val="27"/>
        </w:rPr>
      </w:pPr>
      <w:r>
        <w:rPr>
          <w:noProof/>
          <w:lang w:val="en-US"/>
        </w:rPr>
        <w:drawing>
          <wp:inline distT="0" distB="0" distL="0" distR="0" wp14:anchorId="4B0FE3D6" wp14:editId="12258330">
            <wp:extent cx="2773045" cy="988695"/>
            <wp:effectExtent l="0" t="0" r="0" b="0"/>
            <wp:docPr id="1801140051"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3">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2755982A" w14:textId="77777777" w:rsidR="004F4DD0" w:rsidRDefault="0052654B" w:rsidP="004F4DD0">
      <w:pPr>
        <w:pStyle w:val="Textoindependiente"/>
        <w:spacing w:before="33"/>
        <w:ind w:left="300"/>
      </w:pPr>
      <w:r w:rsidRPr="008D3625">
        <w:t>Proyectó: Sara Milena Núñez Alda</w:t>
      </w:r>
      <w:r w:rsidR="004F4DD0">
        <w:t>na</w:t>
      </w:r>
    </w:p>
    <w:p w14:paraId="424BACA3" w14:textId="77777777" w:rsidR="004F4DD0" w:rsidRDefault="004F4DD0" w:rsidP="004F4DD0">
      <w:pPr>
        <w:pStyle w:val="Textoindependiente"/>
        <w:spacing w:before="33"/>
        <w:ind w:left="300"/>
      </w:pPr>
    </w:p>
    <w:p w14:paraId="2B65F49F" w14:textId="77777777" w:rsidR="00B71132" w:rsidRPr="008D3625" w:rsidRDefault="00B71132">
      <w:pPr>
        <w:pStyle w:val="Textoindependiente"/>
        <w:spacing w:before="5"/>
        <w:rPr>
          <w:sz w:val="16"/>
        </w:rPr>
      </w:pPr>
    </w:p>
    <w:sectPr w:rsidR="00B71132" w:rsidRPr="008D3625" w:rsidSect="0052654B">
      <w:headerReference w:type="default" r:id="rId14"/>
      <w:footerReference w:type="default" r:id="rId15"/>
      <w:pgSz w:w="12240" w:h="15840"/>
      <w:pgMar w:top="1560" w:right="1300" w:bottom="206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1454E" w14:textId="77777777" w:rsidR="00CA0181" w:rsidRDefault="00CA0181">
      <w:r>
        <w:separator/>
      </w:r>
    </w:p>
  </w:endnote>
  <w:endnote w:type="continuationSeparator" w:id="0">
    <w:p w14:paraId="2C6962A4" w14:textId="77777777" w:rsidR="00CA0181" w:rsidRDefault="00CA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4D9D" w14:textId="0EEFC8FC" w:rsidR="0055436F" w:rsidRDefault="008D3625">
    <w:pPr>
      <w:pStyle w:val="Piedepgina"/>
    </w:pPr>
    <w:r>
      <w:rPr>
        <w:noProof/>
        <w:lang w:val="en-US"/>
      </w:rPr>
      <w:drawing>
        <wp:anchor distT="0" distB="0" distL="0" distR="0" simplePos="0" relativeHeight="487510016" behindDoc="1" locked="0" layoutInCell="1" allowOverlap="1" wp14:anchorId="1FFE16A2" wp14:editId="4AF469BF">
          <wp:simplePos x="0" y="0"/>
          <wp:positionH relativeFrom="margin">
            <wp:align>right</wp:align>
          </wp:positionH>
          <wp:positionV relativeFrom="page">
            <wp:posOffset>8902727</wp:posOffset>
          </wp:positionV>
          <wp:extent cx="5612130" cy="787120"/>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5F4A9" w14:textId="77777777" w:rsidR="00B71132" w:rsidRDefault="002A78A1">
    <w:pPr>
      <w:pStyle w:val="Textoindependiente"/>
      <w:spacing w:line="14" w:lineRule="auto"/>
      <w:rPr>
        <w:sz w:val="20"/>
      </w:rPr>
    </w:pPr>
    <w:r>
      <w:rPr>
        <w:noProof/>
        <w:lang w:val="en-US"/>
      </w:rPr>
      <w:drawing>
        <wp:anchor distT="0" distB="0" distL="0" distR="0" simplePos="0" relativeHeight="487505920" behindDoc="1" locked="0" layoutInCell="1" allowOverlap="1" wp14:anchorId="2B65F4AC" wp14:editId="6DEFDAAB">
          <wp:simplePos x="0" y="0"/>
          <wp:positionH relativeFrom="page">
            <wp:posOffset>1137285</wp:posOffset>
          </wp:positionH>
          <wp:positionV relativeFrom="page">
            <wp:posOffset>8966365</wp:posOffset>
          </wp:positionV>
          <wp:extent cx="5612130" cy="787120"/>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18DD5" w14:textId="77777777" w:rsidR="00CA0181" w:rsidRDefault="00CA0181">
      <w:r>
        <w:separator/>
      </w:r>
    </w:p>
  </w:footnote>
  <w:footnote w:type="continuationSeparator" w:id="0">
    <w:p w14:paraId="0039A8C3" w14:textId="77777777" w:rsidR="00CA0181" w:rsidRDefault="00CA0181">
      <w:r>
        <w:continuationSeparator/>
      </w:r>
    </w:p>
  </w:footnote>
  <w:footnote w:id="1">
    <w:p w14:paraId="2B65F4AE" w14:textId="77777777" w:rsidR="0052654B" w:rsidRPr="004F4DD0" w:rsidRDefault="0052654B" w:rsidP="00A44179">
      <w:pPr>
        <w:pStyle w:val="Textonotapie"/>
        <w:ind w:left="300" w:right="306" w:firstLine="420"/>
        <w:jc w:val="both"/>
        <w:rPr>
          <w:sz w:val="18"/>
          <w:szCs w:val="18"/>
          <w:lang w:val="es-CO"/>
        </w:rPr>
      </w:pPr>
      <w:r w:rsidRPr="004F4DD0">
        <w:rPr>
          <w:rStyle w:val="Refdenotaalpie"/>
          <w:sz w:val="18"/>
          <w:szCs w:val="18"/>
        </w:rPr>
        <w:footnoteRef/>
      </w:r>
      <w:r w:rsidRPr="004F4DD0">
        <w:rPr>
          <w:sz w:val="18"/>
          <w:szCs w:val="18"/>
        </w:rPr>
        <w:t xml:space="preserve"> Decreto 342 de 2019: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footnote>
  <w:footnote w:id="2">
    <w:p w14:paraId="2B65F4AF" w14:textId="77777777" w:rsidR="0052654B" w:rsidRPr="004F4DD0" w:rsidRDefault="0052654B" w:rsidP="00A44179">
      <w:pPr>
        <w:pStyle w:val="Textonotapie"/>
        <w:ind w:left="300" w:right="306" w:firstLine="420"/>
        <w:jc w:val="both"/>
        <w:rPr>
          <w:sz w:val="18"/>
          <w:szCs w:val="18"/>
        </w:rPr>
      </w:pPr>
      <w:r w:rsidRPr="004F4DD0">
        <w:rPr>
          <w:rStyle w:val="Refdenotaalpie"/>
          <w:sz w:val="18"/>
          <w:szCs w:val="18"/>
        </w:rPr>
        <w:footnoteRef/>
      </w:r>
      <w:r w:rsidRPr="004F4DD0">
        <w:rPr>
          <w:sz w:val="18"/>
          <w:szCs w:val="18"/>
        </w:rPr>
        <w:t xml:space="preserve"> Decreto 342 de 2019 “Artículo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2B65F4B0" w14:textId="77777777" w:rsidR="0052654B" w:rsidRPr="004F4DD0" w:rsidRDefault="0052654B" w:rsidP="00A44179">
      <w:pPr>
        <w:pStyle w:val="Textonotapie"/>
        <w:ind w:left="300" w:right="306"/>
        <w:jc w:val="both"/>
        <w:rPr>
          <w:sz w:val="18"/>
          <w:szCs w:val="18"/>
        </w:rPr>
      </w:pPr>
    </w:p>
    <w:p w14:paraId="2B65F4B1" w14:textId="77777777" w:rsidR="0052654B" w:rsidRPr="004F4DD0" w:rsidRDefault="0052654B" w:rsidP="00A44179">
      <w:pPr>
        <w:pStyle w:val="Textonotapie"/>
        <w:ind w:left="300" w:right="306"/>
        <w:jc w:val="both"/>
        <w:rPr>
          <w:sz w:val="18"/>
          <w:szCs w:val="18"/>
        </w:rPr>
      </w:pPr>
      <w:r w:rsidRPr="004F4DD0">
        <w:rPr>
          <w:sz w:val="18"/>
          <w:szCs w:val="18"/>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2B65F4B2" w14:textId="77777777" w:rsidR="0052654B" w:rsidRPr="004F4DD0" w:rsidRDefault="0052654B" w:rsidP="00A44179">
      <w:pPr>
        <w:pStyle w:val="Textonotapie"/>
        <w:ind w:left="300" w:right="306"/>
        <w:jc w:val="both"/>
        <w:rPr>
          <w:sz w:val="18"/>
          <w:szCs w:val="18"/>
        </w:rPr>
      </w:pPr>
    </w:p>
    <w:p w14:paraId="2B65F4B3" w14:textId="77777777" w:rsidR="0052654B" w:rsidRPr="004F4DD0" w:rsidRDefault="0052654B" w:rsidP="00A44179">
      <w:pPr>
        <w:pStyle w:val="Textonotapie"/>
        <w:ind w:left="300" w:right="306"/>
        <w:jc w:val="both"/>
        <w:rPr>
          <w:sz w:val="18"/>
          <w:szCs w:val="18"/>
        </w:rPr>
      </w:pPr>
      <w:r w:rsidRPr="004F4DD0">
        <w:rPr>
          <w:sz w:val="18"/>
          <w:szCs w:val="18"/>
        </w:rPr>
        <w:t>“2. Conservar los requisitos exigidos en los Documentos Tipo.</w:t>
      </w:r>
    </w:p>
    <w:p w14:paraId="2B65F4B4" w14:textId="77777777" w:rsidR="0052654B" w:rsidRPr="004F4DD0" w:rsidRDefault="0052654B" w:rsidP="00A44179">
      <w:pPr>
        <w:pStyle w:val="Textonotapie"/>
        <w:ind w:left="300" w:right="306"/>
        <w:jc w:val="both"/>
        <w:rPr>
          <w:sz w:val="18"/>
          <w:szCs w:val="18"/>
        </w:rPr>
      </w:pPr>
    </w:p>
    <w:p w14:paraId="2B65F4B5" w14:textId="77777777" w:rsidR="0052654B" w:rsidRPr="004F4DD0" w:rsidRDefault="0052654B" w:rsidP="00A44179">
      <w:pPr>
        <w:pStyle w:val="Textonotapie"/>
        <w:ind w:left="300" w:right="306"/>
        <w:jc w:val="both"/>
        <w:rPr>
          <w:sz w:val="18"/>
          <w:szCs w:val="18"/>
        </w:rPr>
      </w:pPr>
      <w:r w:rsidRPr="004F4DD0">
        <w:rPr>
          <w:sz w:val="18"/>
          <w:szCs w:val="18"/>
        </w:rPr>
        <w:t>“3. Abstenerse de pedir experiencia exclusiva con entidades estatales, experiencia previa en un territorio específico, limitada en el tiempo o que incluya volúmenes o cantidades de obra específica.</w:t>
      </w:r>
    </w:p>
    <w:p w14:paraId="2B65F4B6" w14:textId="77777777" w:rsidR="0052654B" w:rsidRPr="004F4DD0" w:rsidRDefault="0052654B" w:rsidP="00A44179">
      <w:pPr>
        <w:pStyle w:val="Textonotapie"/>
        <w:ind w:left="300" w:right="306"/>
        <w:jc w:val="both"/>
        <w:rPr>
          <w:sz w:val="18"/>
          <w:szCs w:val="18"/>
        </w:rPr>
      </w:pPr>
    </w:p>
    <w:p w14:paraId="2B65F4B7" w14:textId="77777777" w:rsidR="0052654B" w:rsidRPr="004F4DD0" w:rsidRDefault="0052654B" w:rsidP="00A44179">
      <w:pPr>
        <w:pStyle w:val="Textonotapie"/>
        <w:ind w:left="300" w:right="306"/>
        <w:jc w:val="both"/>
        <w:rPr>
          <w:sz w:val="18"/>
          <w:szCs w:val="18"/>
        </w:rPr>
      </w:pPr>
      <w:r w:rsidRPr="004F4DD0">
        <w:rPr>
          <w:sz w:val="18"/>
          <w:szCs w:val="18"/>
        </w:rPr>
        <w:t>“4. Clasificar la experiencia requerida solo hasta el tercer nivel del Clasificador de Bienes y Servicios e incluir exclusivamente los códigos que estén relacionados directamente con el objeto a contratar”.</w:t>
      </w:r>
    </w:p>
    <w:p w14:paraId="2B65F4B8" w14:textId="77777777" w:rsidR="0052654B" w:rsidRPr="004F4DD0" w:rsidRDefault="0052654B" w:rsidP="00A44179">
      <w:pPr>
        <w:pStyle w:val="Textonotapie"/>
        <w:ind w:left="300" w:right="306"/>
        <w:jc w:val="both"/>
        <w:rPr>
          <w:sz w:val="18"/>
          <w:szCs w:val="18"/>
          <w:lang w:val="es-CO"/>
        </w:rPr>
      </w:pPr>
    </w:p>
  </w:footnote>
  <w:footnote w:id="3">
    <w:p w14:paraId="2B65F4B9" w14:textId="77777777" w:rsidR="0052654B" w:rsidRPr="004F4DD0" w:rsidRDefault="0052654B" w:rsidP="00A44179">
      <w:pPr>
        <w:spacing w:before="89" w:line="247" w:lineRule="auto"/>
        <w:ind w:left="300" w:right="306" w:firstLine="420"/>
        <w:jc w:val="both"/>
        <w:rPr>
          <w:sz w:val="18"/>
          <w:szCs w:val="18"/>
        </w:rPr>
      </w:pPr>
      <w:r w:rsidRPr="004F4DD0">
        <w:rPr>
          <w:rStyle w:val="Refdenotaalpie"/>
          <w:sz w:val="18"/>
          <w:szCs w:val="18"/>
        </w:rPr>
        <w:footnoteRef/>
      </w:r>
      <w:r w:rsidRPr="004F4DD0">
        <w:rPr>
          <w:sz w:val="18"/>
          <w:szCs w:val="18"/>
        </w:rPr>
        <w:t xml:space="preserve"> Instituto Nacional de Vías, “Guía de Manejo Ambiental de Infraestructura Subsector Vial”, 2011. Disponible en el siguiente link: </w:t>
      </w:r>
      <w:hyperlink r:id="rId1">
        <w:r w:rsidRPr="004F4DD0">
          <w:rPr>
            <w:sz w:val="18"/>
            <w:szCs w:val="18"/>
          </w:rPr>
          <w:t>https://www.invias.gov.co/index.php/archivo-y-documentos/documentos-</w:t>
        </w:r>
      </w:hyperlink>
      <w:r w:rsidRPr="004F4DD0">
        <w:rPr>
          <w:sz w:val="18"/>
          <w:szCs w:val="18"/>
        </w:rPr>
        <w:t xml:space="preserve"> </w:t>
      </w:r>
      <w:hyperlink r:id="rId2">
        <w:r w:rsidRPr="004F4DD0">
          <w:rPr>
            <w:sz w:val="18"/>
            <w:szCs w:val="18"/>
          </w:rPr>
          <w:t>tecnicos/guia-de-manejo-ambiental-de-proyectos/971-guia-de-manejo-ambiental/file</w:t>
        </w:r>
      </w:hyperlink>
    </w:p>
    <w:p w14:paraId="2B65F4BA" w14:textId="77777777" w:rsidR="0052654B" w:rsidRPr="004F4DD0" w:rsidRDefault="0052654B" w:rsidP="00A44179">
      <w:pPr>
        <w:pStyle w:val="Textonotapie"/>
        <w:ind w:left="300" w:right="306"/>
        <w:jc w:val="both"/>
        <w:rPr>
          <w:sz w:val="18"/>
          <w:szCs w:val="18"/>
          <w:lang w:val="es-CO"/>
        </w:rPr>
      </w:pPr>
    </w:p>
  </w:footnote>
  <w:footnote w:id="4">
    <w:p w14:paraId="2B65F4BB" w14:textId="77777777" w:rsidR="001E0E2E" w:rsidRPr="004F4DD0" w:rsidRDefault="001E0E2E" w:rsidP="004F4DD0">
      <w:pPr>
        <w:ind w:left="300" w:right="306" w:firstLine="420"/>
        <w:jc w:val="both"/>
        <w:rPr>
          <w:sz w:val="18"/>
          <w:szCs w:val="18"/>
        </w:rPr>
      </w:pPr>
      <w:r w:rsidRPr="004F4DD0">
        <w:rPr>
          <w:rStyle w:val="Refdenotaalpie"/>
          <w:sz w:val="18"/>
          <w:szCs w:val="18"/>
        </w:rPr>
        <w:footnoteRef/>
      </w:r>
      <w:r w:rsidRPr="004F4DD0">
        <w:rPr>
          <w:sz w:val="18"/>
          <w:szCs w:val="18"/>
        </w:rPr>
        <w:t xml:space="preserve"> Instituto Nacional de Vías, “Guía de Manejo Ambiental de Infraestructura Subsector Vial”, 2011. Disponible en el siguiente link: https://www.invias.gov.co/index.php/archivo-y-documentos/documentos- tecnicos/guia-de-manejo-ambiental-de-proyectos/971-guia-de-manejo-ambiental/file</w:t>
      </w:r>
    </w:p>
    <w:p w14:paraId="2B65F4BC" w14:textId="77777777" w:rsidR="001E0E2E" w:rsidRPr="004F4DD0" w:rsidRDefault="001E0E2E" w:rsidP="00A44179">
      <w:pPr>
        <w:pStyle w:val="Textonotapie"/>
        <w:ind w:left="300" w:right="306"/>
        <w:jc w:val="both"/>
        <w:rPr>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44019" w14:textId="14282B83" w:rsidR="0055436F" w:rsidRDefault="0060794F">
    <w:pPr>
      <w:pStyle w:val="Encabezado"/>
    </w:pPr>
    <w:r>
      <w:rPr>
        <w:noProof/>
        <w:lang w:val="en-US"/>
      </w:rPr>
      <w:drawing>
        <wp:anchor distT="0" distB="0" distL="0" distR="0" simplePos="0" relativeHeight="487507968" behindDoc="1" locked="0" layoutInCell="1" allowOverlap="1" wp14:anchorId="6419F81C" wp14:editId="0A92391D">
          <wp:simplePos x="0" y="0"/>
          <wp:positionH relativeFrom="page">
            <wp:posOffset>5453049</wp:posOffset>
          </wp:positionH>
          <wp:positionV relativeFrom="page">
            <wp:posOffset>308969</wp:posOffset>
          </wp:positionV>
          <wp:extent cx="1346374" cy="52137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5F4A8" w14:textId="77777777" w:rsidR="00B71132" w:rsidRDefault="002A78A1">
    <w:pPr>
      <w:pStyle w:val="Textoindependiente"/>
      <w:spacing w:line="14" w:lineRule="auto"/>
      <w:rPr>
        <w:sz w:val="20"/>
      </w:rPr>
    </w:pPr>
    <w:r>
      <w:rPr>
        <w:noProof/>
        <w:lang w:val="en-US"/>
      </w:rPr>
      <w:drawing>
        <wp:anchor distT="0" distB="0" distL="0" distR="0" simplePos="0" relativeHeight="487505408" behindDoc="1" locked="0" layoutInCell="1" allowOverlap="1" wp14:anchorId="2B65F4AA" wp14:editId="2B65F4AB">
          <wp:simplePos x="0" y="0"/>
          <wp:positionH relativeFrom="page">
            <wp:posOffset>5304473</wp:posOffset>
          </wp:positionH>
          <wp:positionV relativeFrom="page">
            <wp:posOffset>468247</wp:posOffset>
          </wp:positionV>
          <wp:extent cx="1346374" cy="521377"/>
          <wp:effectExtent l="0" t="0" r="0" b="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A7517"/>
    <w:multiLevelType w:val="hybridMultilevel"/>
    <w:tmpl w:val="E1D0633A"/>
    <w:lvl w:ilvl="0" w:tplc="2DA4650E">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tplc="BB8EE0A6">
      <w:numFmt w:val="bullet"/>
      <w:lvlText w:val="•"/>
      <w:lvlJc w:val="left"/>
      <w:pPr>
        <w:ind w:left="660" w:hanging="360"/>
      </w:pPr>
      <w:rPr>
        <w:rFonts w:hint="default"/>
        <w:lang w:val="es-ES" w:eastAsia="en-US" w:bidi="ar-SA"/>
      </w:rPr>
    </w:lvl>
    <w:lvl w:ilvl="2" w:tplc="FD94C96A">
      <w:numFmt w:val="bullet"/>
      <w:lvlText w:val="•"/>
      <w:lvlJc w:val="left"/>
      <w:pPr>
        <w:ind w:left="1646" w:hanging="360"/>
      </w:pPr>
      <w:rPr>
        <w:rFonts w:hint="default"/>
        <w:lang w:val="es-ES" w:eastAsia="en-US" w:bidi="ar-SA"/>
      </w:rPr>
    </w:lvl>
    <w:lvl w:ilvl="3" w:tplc="7EB44AC4">
      <w:numFmt w:val="bullet"/>
      <w:lvlText w:val="•"/>
      <w:lvlJc w:val="left"/>
      <w:pPr>
        <w:ind w:left="2633" w:hanging="360"/>
      </w:pPr>
      <w:rPr>
        <w:rFonts w:hint="default"/>
        <w:lang w:val="es-ES" w:eastAsia="en-US" w:bidi="ar-SA"/>
      </w:rPr>
    </w:lvl>
    <w:lvl w:ilvl="4" w:tplc="C5EA3684">
      <w:numFmt w:val="bullet"/>
      <w:lvlText w:val="•"/>
      <w:lvlJc w:val="left"/>
      <w:pPr>
        <w:ind w:left="3620" w:hanging="360"/>
      </w:pPr>
      <w:rPr>
        <w:rFonts w:hint="default"/>
        <w:lang w:val="es-ES" w:eastAsia="en-US" w:bidi="ar-SA"/>
      </w:rPr>
    </w:lvl>
    <w:lvl w:ilvl="5" w:tplc="B11648DC">
      <w:numFmt w:val="bullet"/>
      <w:lvlText w:val="•"/>
      <w:lvlJc w:val="left"/>
      <w:pPr>
        <w:ind w:left="4606" w:hanging="360"/>
      </w:pPr>
      <w:rPr>
        <w:rFonts w:hint="default"/>
        <w:lang w:val="es-ES" w:eastAsia="en-US" w:bidi="ar-SA"/>
      </w:rPr>
    </w:lvl>
    <w:lvl w:ilvl="6" w:tplc="A24CA644">
      <w:numFmt w:val="bullet"/>
      <w:lvlText w:val="•"/>
      <w:lvlJc w:val="left"/>
      <w:pPr>
        <w:ind w:left="5593" w:hanging="360"/>
      </w:pPr>
      <w:rPr>
        <w:rFonts w:hint="default"/>
        <w:lang w:val="es-ES" w:eastAsia="en-US" w:bidi="ar-SA"/>
      </w:rPr>
    </w:lvl>
    <w:lvl w:ilvl="7" w:tplc="F4BA10AE">
      <w:numFmt w:val="bullet"/>
      <w:lvlText w:val="•"/>
      <w:lvlJc w:val="left"/>
      <w:pPr>
        <w:ind w:left="6580" w:hanging="360"/>
      </w:pPr>
      <w:rPr>
        <w:rFonts w:hint="default"/>
        <w:lang w:val="es-ES" w:eastAsia="en-US" w:bidi="ar-SA"/>
      </w:rPr>
    </w:lvl>
    <w:lvl w:ilvl="8" w:tplc="446A0E82">
      <w:numFmt w:val="bullet"/>
      <w:lvlText w:val="•"/>
      <w:lvlJc w:val="left"/>
      <w:pPr>
        <w:ind w:left="756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32"/>
    <w:rsid w:val="001E0E2E"/>
    <w:rsid w:val="002A78A1"/>
    <w:rsid w:val="002F0614"/>
    <w:rsid w:val="003B0957"/>
    <w:rsid w:val="0046258D"/>
    <w:rsid w:val="004F4DD0"/>
    <w:rsid w:val="0052654B"/>
    <w:rsid w:val="0055436F"/>
    <w:rsid w:val="0059294C"/>
    <w:rsid w:val="0060794F"/>
    <w:rsid w:val="006B58C8"/>
    <w:rsid w:val="00833E11"/>
    <w:rsid w:val="008D3625"/>
    <w:rsid w:val="00A44179"/>
    <w:rsid w:val="00B71132"/>
    <w:rsid w:val="00B84E0C"/>
    <w:rsid w:val="00CA0181"/>
    <w:rsid w:val="00CD4B06"/>
    <w:rsid w:val="041574E3"/>
    <w:rsid w:val="1E595C2E"/>
    <w:rsid w:val="4CACF460"/>
    <w:rsid w:val="536F1BC6"/>
    <w:rsid w:val="5520B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F446"/>
  <w15:docId w15:val="{D2266B05-B89A-4779-981F-ECC3A2D1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52654B"/>
    <w:rPr>
      <w:sz w:val="20"/>
      <w:szCs w:val="20"/>
    </w:rPr>
  </w:style>
  <w:style w:type="character" w:customStyle="1" w:styleId="TextonotapieCar">
    <w:name w:val="Texto nota pie Car"/>
    <w:basedOn w:val="Fuentedeprrafopredeter"/>
    <w:link w:val="Textonotapie"/>
    <w:uiPriority w:val="99"/>
    <w:semiHidden/>
    <w:rsid w:val="0052654B"/>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52654B"/>
    <w:rPr>
      <w:vertAlign w:val="superscript"/>
    </w:rPr>
  </w:style>
  <w:style w:type="paragraph" w:styleId="Encabezado">
    <w:name w:val="header"/>
    <w:basedOn w:val="Normal"/>
    <w:link w:val="EncabezadoCar"/>
    <w:uiPriority w:val="99"/>
    <w:unhideWhenUsed/>
    <w:rsid w:val="0055436F"/>
    <w:pPr>
      <w:tabs>
        <w:tab w:val="center" w:pos="4419"/>
        <w:tab w:val="right" w:pos="8838"/>
      </w:tabs>
    </w:pPr>
  </w:style>
  <w:style w:type="character" w:customStyle="1" w:styleId="EncabezadoCar">
    <w:name w:val="Encabezado Car"/>
    <w:basedOn w:val="Fuentedeprrafopredeter"/>
    <w:link w:val="Encabezado"/>
    <w:uiPriority w:val="99"/>
    <w:rsid w:val="0055436F"/>
    <w:rPr>
      <w:rFonts w:ascii="Arial" w:eastAsia="Arial" w:hAnsi="Arial" w:cs="Arial"/>
      <w:lang w:val="es-ES"/>
    </w:rPr>
  </w:style>
  <w:style w:type="paragraph" w:styleId="Piedepgina">
    <w:name w:val="footer"/>
    <w:basedOn w:val="Normal"/>
    <w:link w:val="PiedepginaCar"/>
    <w:uiPriority w:val="99"/>
    <w:unhideWhenUsed/>
    <w:rsid w:val="0055436F"/>
    <w:pPr>
      <w:tabs>
        <w:tab w:val="center" w:pos="4419"/>
        <w:tab w:val="right" w:pos="8838"/>
      </w:tabs>
    </w:pPr>
  </w:style>
  <w:style w:type="character" w:customStyle="1" w:styleId="PiedepginaCar">
    <w:name w:val="Pie de página Car"/>
    <w:basedOn w:val="Fuentedeprrafopredeter"/>
    <w:link w:val="Piedepgina"/>
    <w:uiPriority w:val="99"/>
    <w:rsid w:val="0055436F"/>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nvias.gov.co/index.php/archivo-y-documentos/documentos-tecnicos/guia-de-manejo-ambiental-de-proyectos/971-guia-de-manejo-ambiental/file" TargetMode="External"/><Relationship Id="rId1" Type="http://schemas.openxmlformats.org/officeDocument/2006/relationships/hyperlink" Target="https://www.invias.gov.co/index.php/archivo-y-documentos/documentos-tecnicos/guia-de-manejo-ambiental-de-proyectos/971-guia-de-manejo-ambiental/f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0777-B61B-47D6-9BFE-6A979D580A3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3120FC9-0CDB-4B91-BC72-605BFBFF6B2E}">
  <ds:schemaRefs>
    <ds:schemaRef ds:uri="http://schemas.microsoft.com/sharepoint/v3/contenttype/forms"/>
  </ds:schemaRefs>
</ds:datastoreItem>
</file>

<file path=customXml/itemProps3.xml><?xml version="1.0" encoding="utf-8"?>
<ds:datastoreItem xmlns:ds="http://schemas.openxmlformats.org/officeDocument/2006/customXml" ds:itemID="{50B37BA6-6B55-432A-8568-B1E525FE3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67C42-6567-4355-A3D9-C174CCEC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1771</Words>
  <Characters>10098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2020-08-19T20:04:00Z</dcterms:created>
  <dcterms:modified xsi:type="dcterms:W3CDTF">2020-08-19T20:04:00Z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vt:lpwstr>
  </property>
  <property fmtid="{D5CDD505-2E9C-101B-9397-08002B2CF9AE}" pid="4" name="LastSaved">
    <vt:filetime>2020-03-18T00:00:00Z</vt:filetime>
  </property>
  <property fmtid="{D5CDD505-2E9C-101B-9397-08002B2CF9AE}" pid="5" name="ContentTypeId">
    <vt:lpwstr>0x010100F2E0F32964D9B84EA054B84E5D4157A0</vt:lpwstr>
  </property>
</Properties>
</file>