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0A4BBE89" w:rsidR="0034177C" w:rsidRPr="00B137E0" w:rsidRDefault="0034177C" w:rsidP="0034177C">
      <w:pPr>
        <w:jc w:val="right"/>
        <w:rPr>
          <w:rFonts w:ascii="Arial" w:hAnsi="Arial" w:cs="Arial"/>
          <w:b/>
          <w:sz w:val="16"/>
          <w:szCs w:val="16"/>
          <w:lang w:eastAsia="es-ES"/>
        </w:rPr>
      </w:pPr>
      <w:bookmarkStart w:id="0" w:name="_Hlk28946138"/>
      <w:bookmarkStart w:id="1" w:name="_Hlk29548183"/>
      <w:r w:rsidRPr="00B137E0">
        <w:rPr>
          <w:rFonts w:ascii="Arial" w:hAnsi="Arial" w:cs="Arial"/>
          <w:b/>
          <w:sz w:val="16"/>
          <w:szCs w:val="16"/>
          <w:lang w:eastAsia="es-ES"/>
        </w:rPr>
        <w:t>CCE-DES-FM-17</w:t>
      </w:r>
    </w:p>
    <w:p w14:paraId="33FF83A2" w14:textId="77777777" w:rsidR="0034177C" w:rsidRPr="007C3B5D" w:rsidRDefault="0034177C" w:rsidP="007F6B46">
      <w:pPr>
        <w:spacing w:line="276" w:lineRule="auto"/>
        <w:jc w:val="both"/>
        <w:rPr>
          <w:rFonts w:ascii="Arial" w:eastAsia="Calibri" w:hAnsi="Arial" w:cs="Arial"/>
          <w:b/>
          <w:sz w:val="16"/>
          <w:szCs w:val="16"/>
        </w:rPr>
      </w:pPr>
    </w:p>
    <w:p w14:paraId="121E90A4" w14:textId="5A6A4313" w:rsidR="007F6B46" w:rsidRPr="00CE6EEA" w:rsidRDefault="00D22A7C" w:rsidP="00FD029B">
      <w:pPr>
        <w:jc w:val="both"/>
        <w:rPr>
          <w:rFonts w:ascii="Arial" w:eastAsia="Calibri" w:hAnsi="Arial" w:cs="Arial"/>
          <w:b/>
          <w:sz w:val="22"/>
        </w:rPr>
      </w:pPr>
      <w:r w:rsidRPr="00CE6EEA">
        <w:rPr>
          <w:rFonts w:ascii="Arial" w:eastAsia="Calibri" w:hAnsi="Arial" w:cs="Arial"/>
          <w:b/>
          <w:sz w:val="22"/>
        </w:rPr>
        <w:t>PLIEGOS TIPO</w:t>
      </w:r>
      <w:r w:rsidR="007F6B46" w:rsidRPr="00CE6EEA">
        <w:rPr>
          <w:rFonts w:ascii="Arial" w:eastAsia="Calibri" w:hAnsi="Arial" w:cs="Arial"/>
          <w:b/>
          <w:sz w:val="22"/>
        </w:rPr>
        <w:t xml:space="preserve"> –</w:t>
      </w:r>
      <w:r w:rsidRPr="00CE6EEA">
        <w:rPr>
          <w:rFonts w:ascii="Arial" w:eastAsia="Calibri" w:hAnsi="Arial" w:cs="Arial"/>
          <w:b/>
          <w:sz w:val="22"/>
        </w:rPr>
        <w:t xml:space="preserve"> Obligatoriedad</w:t>
      </w:r>
    </w:p>
    <w:p w14:paraId="399F8D04" w14:textId="77777777" w:rsidR="007F6B46" w:rsidRPr="00CE6EEA" w:rsidRDefault="007F6B46" w:rsidP="00FD029B">
      <w:pPr>
        <w:jc w:val="both"/>
        <w:rPr>
          <w:rFonts w:ascii="Arial" w:hAnsi="Arial" w:cs="Arial"/>
          <w:sz w:val="20"/>
          <w:szCs w:val="20"/>
        </w:rPr>
      </w:pPr>
    </w:p>
    <w:p w14:paraId="70DCE9D8" w14:textId="783C88B8" w:rsidR="00B12505" w:rsidRPr="00CE6EEA" w:rsidRDefault="00B12505" w:rsidP="00B12505">
      <w:pPr>
        <w:spacing w:after="120"/>
        <w:jc w:val="both"/>
        <w:rPr>
          <w:rFonts w:ascii="Arial" w:eastAsia="Calibri" w:hAnsi="Arial" w:cs="Arial"/>
          <w:sz w:val="20"/>
          <w:szCs w:val="20"/>
        </w:rPr>
      </w:pPr>
      <w:r w:rsidRPr="00CE6EEA">
        <w:rPr>
          <w:rFonts w:ascii="Arial" w:eastAsia="Calibri" w:hAnsi="Arial" w:cs="Arial"/>
          <w:sz w:val="20"/>
          <w:szCs w:val="20"/>
        </w:rPr>
        <w:t xml:space="preserve">Los artículos 2.2.1.2.6.1.1.1. y 2.2.1.2.6.1.2.2. del Decreto 1082 de 2015, ambos adicionados por el artículo 1 del Decreto 342 de 2019, adoptan los Documentos Tipo para los pliegos de condiciones de los procesos de selección de licitación de obra pública de infraestructura de transporte, los cuales contienen parámetros obligatorios para las Entidades Estatales sometidas al Estatuto General de Contratación Pública que adelanten este tipo de procesos. </w:t>
      </w:r>
    </w:p>
    <w:p w14:paraId="5E36B147" w14:textId="1D302832" w:rsidR="00B12505" w:rsidRPr="00CE6EEA" w:rsidRDefault="00B12505" w:rsidP="00B12505">
      <w:pPr>
        <w:jc w:val="both"/>
        <w:rPr>
          <w:rFonts w:ascii="Arial" w:eastAsia="Calibri" w:hAnsi="Arial" w:cs="Arial"/>
          <w:sz w:val="20"/>
          <w:szCs w:val="20"/>
        </w:rPr>
      </w:pPr>
      <w:r w:rsidRPr="00CE6EEA">
        <w:rPr>
          <w:rFonts w:ascii="Arial" w:eastAsia="Calibri" w:hAnsi="Arial" w:cs="Arial"/>
          <w:sz w:val="20"/>
          <w:szCs w:val="20"/>
        </w:rPr>
        <w:t>[…] las entidades deben aplicar los Documentos Tipo cuando el proceso de contratación se adelante por la modalidad de selección abreviada, si se declara desierto el proceso de licitación ─artículo 2º, numeral 2º, literal d de la Ley 1150 de 2007─, o si se trata de un proceso de menor cuantía ─artículo 2º, numeral 2º, literal b de la Ley 1150 de 2007─. En los demás casos en los que se acuda al procedimiento de selección abreviada para Procesos de Contratación cuyo objeto sea una obra de infraestructura de transporte, no se deben emplear los documentos tipo, implementados y desarrollados a través de las Resoluciones Nos. 1798 de 2019 y 044 de 2020.</w:t>
      </w:r>
    </w:p>
    <w:p w14:paraId="13051ED6" w14:textId="77777777" w:rsidR="00D22A7C" w:rsidRPr="00CE6EEA" w:rsidRDefault="00D22A7C" w:rsidP="00FD029B">
      <w:pPr>
        <w:jc w:val="both"/>
        <w:rPr>
          <w:rFonts w:ascii="Arial" w:eastAsia="Calibri" w:hAnsi="Arial" w:cs="Arial"/>
          <w:b/>
          <w:sz w:val="20"/>
          <w:szCs w:val="20"/>
        </w:rPr>
      </w:pPr>
    </w:p>
    <w:p w14:paraId="2A1E75C9" w14:textId="7CCBE6A8" w:rsidR="007A26AA" w:rsidRPr="00CE6EEA" w:rsidRDefault="007A26AA" w:rsidP="00FD029B">
      <w:pPr>
        <w:jc w:val="both"/>
        <w:rPr>
          <w:rFonts w:ascii="Arial" w:eastAsia="Calibri" w:hAnsi="Arial" w:cs="Arial"/>
          <w:b/>
          <w:sz w:val="20"/>
          <w:szCs w:val="20"/>
        </w:rPr>
      </w:pPr>
      <w:r w:rsidRPr="00CE6EEA">
        <w:rPr>
          <w:rFonts w:ascii="Arial" w:eastAsia="Calibri" w:hAnsi="Arial" w:cs="Arial"/>
          <w:b/>
          <w:sz w:val="22"/>
        </w:rPr>
        <w:t>PLIEGOS TIPO – Ámbito de aplicación</w:t>
      </w:r>
    </w:p>
    <w:p w14:paraId="6D997044" w14:textId="77777777" w:rsidR="007A26AA" w:rsidRPr="00CE6EEA" w:rsidRDefault="007A26AA" w:rsidP="00FD029B">
      <w:pPr>
        <w:jc w:val="both"/>
        <w:rPr>
          <w:rFonts w:ascii="Arial" w:hAnsi="Arial" w:cs="Arial"/>
          <w:sz w:val="20"/>
          <w:szCs w:val="20"/>
        </w:rPr>
      </w:pPr>
    </w:p>
    <w:p w14:paraId="64AB2A5A" w14:textId="6BBEE7D3" w:rsidR="00EB3687" w:rsidRPr="00CE6EEA" w:rsidRDefault="00EB3687" w:rsidP="00EB3687">
      <w:pPr>
        <w:jc w:val="both"/>
        <w:rPr>
          <w:rFonts w:ascii="Arial" w:eastAsia="Calibri" w:hAnsi="Arial" w:cs="Arial"/>
          <w:sz w:val="20"/>
          <w:szCs w:val="20"/>
        </w:rPr>
      </w:pPr>
      <w:r w:rsidRPr="00CE6EEA">
        <w:rPr>
          <w:rFonts w:ascii="Arial" w:eastAsia="Calibri" w:hAnsi="Arial" w:cs="Arial"/>
          <w:sz w:val="20"/>
          <w:szCs w:val="20"/>
        </w:rPr>
        <w:t>[…] los Documentos Tipo para «licitación» de «obra pública de infraestructura de transporte», así como los Documentos Tipo para los procedimientos de «selección abreviada de menor cuantía», son obligatorios y deben ser aplicados de manera obligatoria por las entidades estatales sometidas al Estatuto General de la Contratación de la Administración Pública, de conformidad con lo establecido en el parágrafo 7 del artículo de la Ley 1150 modificado por la Ley 1882 de 2018, y los procesos de contratación en los que deberán aplicarse son en los de infraestructura de transporte que se encuadren dentro de las actividades definidas en la Matriz 1.</w:t>
      </w:r>
    </w:p>
    <w:p w14:paraId="15D073FA" w14:textId="78FE0E11" w:rsidR="004645A1" w:rsidRPr="00CE6EEA" w:rsidRDefault="004645A1" w:rsidP="00EB3687">
      <w:pPr>
        <w:jc w:val="both"/>
        <w:rPr>
          <w:rFonts w:ascii="Arial" w:eastAsia="Calibri" w:hAnsi="Arial" w:cs="Arial"/>
          <w:sz w:val="20"/>
          <w:szCs w:val="20"/>
        </w:rPr>
      </w:pPr>
    </w:p>
    <w:p w14:paraId="456E909F" w14:textId="2A3F6F2D" w:rsidR="004645A1" w:rsidRPr="00CE6EEA" w:rsidRDefault="00CE6EEA" w:rsidP="00EB3687">
      <w:pPr>
        <w:jc w:val="both"/>
        <w:rPr>
          <w:rFonts w:ascii="Arial" w:eastAsia="Calibri" w:hAnsi="Arial" w:cs="Arial"/>
          <w:b/>
          <w:bCs/>
          <w:sz w:val="22"/>
        </w:rPr>
      </w:pPr>
      <w:r w:rsidRPr="00CE6EEA">
        <w:rPr>
          <w:rFonts w:ascii="Arial" w:eastAsia="Calibri" w:hAnsi="Arial" w:cs="Arial"/>
          <w:b/>
          <w:bCs/>
          <w:sz w:val="22"/>
        </w:rPr>
        <w:t>PLIEGOS TIPO – Infraestructura de transporte – Noción</w:t>
      </w:r>
    </w:p>
    <w:p w14:paraId="519BEF9B" w14:textId="42524A2D" w:rsidR="00ED066E" w:rsidRPr="00CE6EEA" w:rsidRDefault="00ED066E" w:rsidP="008D5926">
      <w:pPr>
        <w:jc w:val="both"/>
        <w:rPr>
          <w:rFonts w:ascii="Arial" w:eastAsia="Calibri" w:hAnsi="Arial" w:cs="Arial"/>
          <w:sz w:val="20"/>
          <w:szCs w:val="20"/>
        </w:rPr>
      </w:pPr>
    </w:p>
    <w:p w14:paraId="7300CE07" w14:textId="03192B95" w:rsidR="00CE6EEA" w:rsidRPr="00CE6EEA" w:rsidRDefault="00CE6EEA" w:rsidP="00CE6EEA">
      <w:pPr>
        <w:jc w:val="both"/>
        <w:rPr>
          <w:rFonts w:ascii="Arial" w:eastAsia="Calibri" w:hAnsi="Arial" w:cs="Arial"/>
          <w:sz w:val="20"/>
          <w:szCs w:val="20"/>
        </w:rPr>
      </w:pPr>
      <w:r w:rsidRPr="00CE6EEA">
        <w:rPr>
          <w:rFonts w:ascii="Arial" w:eastAsia="Calibri" w:hAnsi="Arial" w:cs="Arial"/>
          <w:sz w:val="20"/>
          <w:szCs w:val="20"/>
        </w:rPr>
        <w:t>La noción de infraestructura de transporte que acogen los Documentos Tipo, –sin perjuicio de la definición y características establecidas en los artículos 2 y 3</w:t>
      </w:r>
      <w:r w:rsidRPr="00CE6EEA">
        <w:rPr>
          <w:rFonts w:ascii="Arial" w:eastAsia="Calibri" w:hAnsi="Arial" w:cs="Arial"/>
          <w:sz w:val="20"/>
          <w:szCs w:val="20"/>
        </w:rPr>
        <w:softHyphen/>
        <w:t xml:space="preserve"> de la Ley 1682 de 2013– se encuentra definida en el numeral 1.29 del «Anexo 3 –Glosario», donde se opta por hacer un listado coincide con los tipos de obra establecidos en la Matriz 1. En ese orden, para determinar si el objeto a contratar recae sobre una infraestructura de transporte, y si en consecuencia procede la aplicación de los Documentos Tipo, se debe acudir a la Matriz 1 ─ Experiencia (en adelante Matriz 1). En ambos casos, la Matriz 1 de los Pliegos Tipo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Estas obras de infraestructura de transporte, a su vez, se encuentran subdivididas en la Matriz 1 como «actividades a contratar».</w:t>
      </w:r>
    </w:p>
    <w:p w14:paraId="69F48B31" w14:textId="77777777" w:rsidR="00CE6EEA" w:rsidRPr="00CE6EEA" w:rsidRDefault="00CE6EEA" w:rsidP="008D5926">
      <w:pPr>
        <w:jc w:val="both"/>
        <w:rPr>
          <w:rFonts w:ascii="Arial" w:eastAsia="Calibri" w:hAnsi="Arial" w:cs="Arial"/>
          <w:sz w:val="20"/>
          <w:szCs w:val="20"/>
        </w:rPr>
      </w:pPr>
    </w:p>
    <w:p w14:paraId="083A5BF5" w14:textId="77777777" w:rsidR="005D422B" w:rsidRPr="007C3B5D" w:rsidRDefault="005D422B" w:rsidP="005D422B">
      <w:pPr>
        <w:autoSpaceDE w:val="0"/>
        <w:autoSpaceDN w:val="0"/>
        <w:adjustRightInd w:val="0"/>
        <w:rPr>
          <w:rFonts w:ascii="Arial" w:hAnsi="Arial" w:cs="Arial"/>
          <w:color w:val="000000"/>
          <w:sz w:val="20"/>
          <w:szCs w:val="20"/>
          <w:lang w:val="es-CO"/>
        </w:rPr>
      </w:pPr>
    </w:p>
    <w:p w14:paraId="41E68CF6" w14:textId="2E0FDA44" w:rsidR="005D422B" w:rsidRPr="005D422B" w:rsidRDefault="005D422B" w:rsidP="005D422B">
      <w:pPr>
        <w:autoSpaceDE w:val="0"/>
        <w:autoSpaceDN w:val="0"/>
        <w:adjustRightInd w:val="0"/>
        <w:rPr>
          <w:rFonts w:ascii="Arial" w:hAnsi="Arial" w:cs="Arial"/>
          <w:color w:val="000000"/>
          <w:sz w:val="22"/>
          <w:lang w:val="es-CO"/>
        </w:rPr>
      </w:pPr>
      <w:r w:rsidRPr="005D422B">
        <w:rPr>
          <w:rFonts w:ascii="Arial" w:hAnsi="Arial" w:cs="Arial"/>
          <w:color w:val="000000"/>
          <w:sz w:val="22"/>
          <w:lang w:val="es-CO"/>
        </w:rPr>
        <w:t xml:space="preserve">Bogotá D.C., </w:t>
      </w:r>
      <w:r w:rsidRPr="005D422B">
        <w:rPr>
          <w:rFonts w:ascii="Arial" w:hAnsi="Arial" w:cs="Arial"/>
          <w:b/>
          <w:bCs/>
          <w:color w:val="000000"/>
          <w:sz w:val="22"/>
          <w:lang w:val="es-CO"/>
        </w:rPr>
        <w:t xml:space="preserve">15/07/2020 Hora 19:56:14s </w:t>
      </w:r>
    </w:p>
    <w:p w14:paraId="237299BD" w14:textId="44BA93BB" w:rsidR="00A37FB6" w:rsidRPr="00CE6EEA" w:rsidRDefault="005D422B" w:rsidP="005D422B">
      <w:pPr>
        <w:jc w:val="right"/>
        <w:rPr>
          <w:rFonts w:ascii="Arial" w:hAnsi="Arial" w:cs="Arial"/>
          <w:b/>
          <w:sz w:val="22"/>
        </w:rPr>
      </w:pPr>
      <w:proofErr w:type="spellStart"/>
      <w:r w:rsidRPr="005D422B">
        <w:rPr>
          <w:rFonts w:ascii="Arial" w:hAnsi="Arial" w:cs="Arial"/>
          <w:b/>
          <w:bCs/>
          <w:color w:val="000000"/>
          <w:sz w:val="22"/>
          <w:lang w:val="es-CO"/>
        </w:rPr>
        <w:t>N°</w:t>
      </w:r>
      <w:proofErr w:type="spellEnd"/>
      <w:r w:rsidRPr="005D422B">
        <w:rPr>
          <w:rFonts w:ascii="Arial" w:hAnsi="Arial" w:cs="Arial"/>
          <w:b/>
          <w:bCs/>
          <w:color w:val="000000"/>
          <w:sz w:val="22"/>
          <w:lang w:val="es-CO"/>
        </w:rPr>
        <w:t xml:space="preserve"> Radicado: 2202013000006326</w:t>
      </w:r>
    </w:p>
    <w:p w14:paraId="2B166DFC" w14:textId="5BC0EB8B" w:rsidR="00A37FB6" w:rsidRPr="00A11179" w:rsidRDefault="00A37FB6" w:rsidP="00D01760">
      <w:pPr>
        <w:rPr>
          <w:rFonts w:ascii="Arial" w:eastAsia="Calibri" w:hAnsi="Arial" w:cs="Arial"/>
          <w:sz w:val="22"/>
        </w:rPr>
      </w:pPr>
      <w:r w:rsidRPr="00A11179">
        <w:rPr>
          <w:rFonts w:ascii="Arial" w:eastAsia="Calibri" w:hAnsi="Arial" w:cs="Arial"/>
          <w:sz w:val="22"/>
        </w:rPr>
        <w:t>Señor</w:t>
      </w:r>
    </w:p>
    <w:p w14:paraId="3151920F" w14:textId="0D76B6C5" w:rsidR="00490184" w:rsidRPr="00A11179" w:rsidRDefault="00490184" w:rsidP="00490184">
      <w:pPr>
        <w:rPr>
          <w:rFonts w:ascii="Arial" w:eastAsia="Calibri" w:hAnsi="Arial" w:cs="Arial"/>
          <w:b/>
          <w:sz w:val="22"/>
        </w:rPr>
      </w:pPr>
      <w:r w:rsidRPr="00A11179">
        <w:rPr>
          <w:rFonts w:ascii="Arial" w:eastAsia="Calibri" w:hAnsi="Arial" w:cs="Arial"/>
          <w:b/>
          <w:sz w:val="22"/>
        </w:rPr>
        <w:t>Osvaldo Luis Rodríguez Luna</w:t>
      </w:r>
    </w:p>
    <w:p w14:paraId="60374118" w14:textId="77777777" w:rsidR="00490184" w:rsidRPr="00A11179" w:rsidRDefault="00490184" w:rsidP="00490184">
      <w:pPr>
        <w:rPr>
          <w:rFonts w:ascii="Arial" w:eastAsia="Calibri" w:hAnsi="Arial" w:cs="Arial"/>
          <w:b/>
          <w:sz w:val="22"/>
        </w:rPr>
      </w:pPr>
      <w:r w:rsidRPr="00A11179">
        <w:rPr>
          <w:rFonts w:ascii="Arial" w:eastAsia="Calibri" w:hAnsi="Arial" w:cs="Arial"/>
          <w:b/>
          <w:sz w:val="22"/>
        </w:rPr>
        <w:t>Representante Legal de DINACOL S.A.</w:t>
      </w:r>
    </w:p>
    <w:p w14:paraId="359C48BE" w14:textId="7FD9164C" w:rsidR="00A37FB6" w:rsidRPr="00CE6EEA" w:rsidRDefault="00A37FB6" w:rsidP="00490184">
      <w:pPr>
        <w:rPr>
          <w:rFonts w:ascii="Arial" w:eastAsia="Calibri" w:hAnsi="Arial" w:cs="Arial"/>
          <w:sz w:val="22"/>
        </w:rPr>
      </w:pPr>
      <w:r w:rsidRPr="00A11179">
        <w:rPr>
          <w:rFonts w:ascii="Arial" w:eastAsia="Calibri" w:hAnsi="Arial" w:cs="Arial"/>
          <w:sz w:val="22"/>
        </w:rPr>
        <w:t>C</w:t>
      </w:r>
      <w:r w:rsidR="00490184" w:rsidRPr="00A11179">
        <w:rPr>
          <w:rFonts w:ascii="Arial" w:eastAsia="Calibri" w:hAnsi="Arial" w:cs="Arial"/>
          <w:sz w:val="22"/>
        </w:rPr>
        <w:t>artagena, Bolívar</w:t>
      </w:r>
    </w:p>
    <w:p w14:paraId="2AC76B62" w14:textId="66D1620F" w:rsidR="00756E92" w:rsidRPr="00CE6EEA" w:rsidRDefault="00756E92" w:rsidP="00D01760">
      <w:pPr>
        <w:rPr>
          <w:rFonts w:ascii="Arial" w:eastAsia="Calibri" w:hAnsi="Arial" w:cs="Arial"/>
          <w:sz w:val="22"/>
        </w:rPr>
      </w:pPr>
    </w:p>
    <w:p w14:paraId="2F3A71E8" w14:textId="77777777" w:rsidR="00756E92" w:rsidRPr="00CE6EEA" w:rsidRDefault="00756E92" w:rsidP="00D01760">
      <w:pPr>
        <w:rPr>
          <w:rFonts w:ascii="Arial" w:eastAsia="Calibri" w:hAnsi="Arial" w:cs="Arial"/>
          <w:sz w:val="22"/>
        </w:rPr>
      </w:pPr>
    </w:p>
    <w:p w14:paraId="479F6A3A" w14:textId="5F72158E" w:rsidR="00A37FB6" w:rsidRPr="00CE6EEA" w:rsidRDefault="00A37FB6" w:rsidP="00D01760">
      <w:pPr>
        <w:jc w:val="center"/>
        <w:rPr>
          <w:rFonts w:ascii="Arial" w:eastAsia="Calibri" w:hAnsi="Arial" w:cs="Arial"/>
          <w:b/>
          <w:sz w:val="22"/>
        </w:rPr>
      </w:pPr>
      <w:r w:rsidRPr="00C2781C">
        <w:rPr>
          <w:rFonts w:ascii="Arial" w:eastAsia="Calibri" w:hAnsi="Arial" w:cs="Arial"/>
          <w:b/>
          <w:sz w:val="22"/>
        </w:rPr>
        <w:t xml:space="preserve">Concepto C ─ </w:t>
      </w:r>
      <w:r w:rsidR="00845A3C" w:rsidRPr="00C2781C">
        <w:rPr>
          <w:rFonts w:ascii="Arial" w:eastAsia="Calibri" w:hAnsi="Arial" w:cs="Arial"/>
          <w:b/>
          <w:sz w:val="22"/>
        </w:rPr>
        <w:t>421</w:t>
      </w:r>
      <w:r w:rsidR="00450EB1" w:rsidRPr="00C2781C">
        <w:rPr>
          <w:rFonts w:ascii="Arial" w:eastAsia="Calibri" w:hAnsi="Arial" w:cs="Arial"/>
          <w:b/>
          <w:sz w:val="22"/>
        </w:rPr>
        <w:t xml:space="preserve"> </w:t>
      </w:r>
      <w:r w:rsidRPr="00C2781C">
        <w:rPr>
          <w:rFonts w:ascii="Arial" w:eastAsia="Calibri" w:hAnsi="Arial" w:cs="Arial"/>
          <w:b/>
          <w:sz w:val="22"/>
        </w:rPr>
        <w:t>de 2020</w:t>
      </w:r>
    </w:p>
    <w:p w14:paraId="49BB1EAB" w14:textId="51CB2135" w:rsidR="00A37FB6" w:rsidRPr="00CE6EEA" w:rsidRDefault="00A37FB6" w:rsidP="00D01760">
      <w:pPr>
        <w:rPr>
          <w:rFonts w:ascii="Arial" w:eastAsia="Calibri" w:hAnsi="Arial" w:cs="Arial"/>
          <w:sz w:val="22"/>
        </w:rPr>
      </w:pPr>
    </w:p>
    <w:p w14:paraId="63C369AB" w14:textId="77777777" w:rsidR="00C82200" w:rsidRPr="00CE6EEA" w:rsidRDefault="00C82200" w:rsidP="00D01760">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E6EEA" w:rsidRPr="00CE6EEA" w14:paraId="20C2FA60" w14:textId="77777777" w:rsidTr="00C13484">
        <w:tc>
          <w:tcPr>
            <w:tcW w:w="2689" w:type="dxa"/>
            <w:hideMark/>
          </w:tcPr>
          <w:p w14:paraId="2A9459AB" w14:textId="77777777" w:rsidR="00A37FB6" w:rsidRPr="00CE6EEA" w:rsidRDefault="00A37FB6" w:rsidP="00D01760">
            <w:pPr>
              <w:rPr>
                <w:rFonts w:ascii="Arial" w:eastAsia="Calibri" w:hAnsi="Arial" w:cs="Arial"/>
                <w:sz w:val="22"/>
              </w:rPr>
            </w:pPr>
            <w:r w:rsidRPr="00CE6EEA">
              <w:rPr>
                <w:rFonts w:ascii="Arial" w:eastAsia="Calibri" w:hAnsi="Arial" w:cs="Arial"/>
                <w:b/>
                <w:sz w:val="22"/>
              </w:rPr>
              <w:t>Temas:</w:t>
            </w:r>
            <w:r w:rsidRPr="00CE6EEA">
              <w:rPr>
                <w:rFonts w:ascii="Arial" w:eastAsia="Calibri" w:hAnsi="Arial" w:cs="Arial"/>
                <w:sz w:val="22"/>
              </w:rPr>
              <w:t xml:space="preserve">           </w:t>
            </w:r>
          </w:p>
          <w:p w14:paraId="1840BCE8" w14:textId="77777777" w:rsidR="00A37FB6" w:rsidRPr="00CE6EEA" w:rsidRDefault="00A37FB6" w:rsidP="00D01760">
            <w:pPr>
              <w:rPr>
                <w:rFonts w:ascii="Arial" w:eastAsia="Calibri" w:hAnsi="Arial" w:cs="Arial"/>
                <w:sz w:val="22"/>
              </w:rPr>
            </w:pPr>
            <w:r w:rsidRPr="00CE6EEA">
              <w:rPr>
                <w:rFonts w:ascii="Arial" w:eastAsia="Calibri" w:hAnsi="Arial" w:cs="Arial"/>
                <w:sz w:val="22"/>
              </w:rPr>
              <w:t xml:space="preserve">                           </w:t>
            </w:r>
          </w:p>
        </w:tc>
        <w:tc>
          <w:tcPr>
            <w:tcW w:w="6237" w:type="dxa"/>
            <w:hideMark/>
          </w:tcPr>
          <w:p w14:paraId="069BC436" w14:textId="165CC932" w:rsidR="00A37FB6" w:rsidRPr="00CE6EEA" w:rsidRDefault="00ED066E" w:rsidP="00B3701C">
            <w:pPr>
              <w:jc w:val="both"/>
              <w:rPr>
                <w:rFonts w:ascii="Arial" w:eastAsia="Calibri" w:hAnsi="Arial" w:cs="Arial"/>
                <w:sz w:val="22"/>
              </w:rPr>
            </w:pPr>
            <w:r w:rsidRPr="00CE6EEA">
              <w:rPr>
                <w:rFonts w:ascii="Arial" w:eastAsia="Calibri" w:hAnsi="Arial" w:cs="Arial"/>
                <w:sz w:val="22"/>
              </w:rPr>
              <w:t xml:space="preserve">PLIEGOS TIPO – Obligatoriedad – Adquisición de bienes y servicios adicionales a la obra pública de infraestructura – Ámbito de aplicación / DOCUMENTOS TIPO – Infraestructura férrea – Actividades de demolición y cerramiento de predios / </w:t>
            </w:r>
            <w:r w:rsidR="00CE6EEA" w:rsidRPr="00CE6EEA">
              <w:rPr>
                <w:rFonts w:ascii="Arial" w:eastAsia="Calibri" w:hAnsi="Arial" w:cs="Arial"/>
                <w:sz w:val="22"/>
              </w:rPr>
              <w:t>PLIEGOS TIPO – Infraestructura de transporte – Noción</w:t>
            </w:r>
          </w:p>
        </w:tc>
      </w:tr>
      <w:tr w:rsidR="00A37FB6" w:rsidRPr="00CE6EEA" w14:paraId="62473A71" w14:textId="77777777" w:rsidTr="00C13484">
        <w:tc>
          <w:tcPr>
            <w:tcW w:w="2689" w:type="dxa"/>
          </w:tcPr>
          <w:p w14:paraId="730BF589" w14:textId="77777777" w:rsidR="00A37FB6" w:rsidRPr="00CE6EEA" w:rsidRDefault="00A37FB6" w:rsidP="00D01760">
            <w:pPr>
              <w:rPr>
                <w:rFonts w:ascii="Arial" w:eastAsia="Calibri" w:hAnsi="Arial" w:cs="Arial"/>
                <w:b/>
                <w:sz w:val="22"/>
              </w:rPr>
            </w:pPr>
            <w:r w:rsidRPr="00CE6EEA">
              <w:rPr>
                <w:rFonts w:ascii="Arial" w:eastAsia="Calibri" w:hAnsi="Arial" w:cs="Arial"/>
                <w:b/>
                <w:sz w:val="22"/>
              </w:rPr>
              <w:t>Radicación:</w:t>
            </w:r>
            <w:r w:rsidRPr="00CE6EEA">
              <w:rPr>
                <w:rFonts w:ascii="Arial" w:eastAsia="Calibri" w:hAnsi="Arial" w:cs="Arial"/>
                <w:sz w:val="22"/>
              </w:rPr>
              <w:t xml:space="preserve">                              </w:t>
            </w:r>
          </w:p>
        </w:tc>
        <w:tc>
          <w:tcPr>
            <w:tcW w:w="6237" w:type="dxa"/>
          </w:tcPr>
          <w:p w14:paraId="2CD77F9B" w14:textId="4CDA000C" w:rsidR="00A37FB6" w:rsidRPr="00CE6EEA" w:rsidRDefault="00A37FB6" w:rsidP="00D01760">
            <w:pPr>
              <w:jc w:val="both"/>
              <w:rPr>
                <w:rFonts w:ascii="Arial" w:eastAsia="Calibri" w:hAnsi="Arial" w:cs="Arial"/>
                <w:sz w:val="22"/>
              </w:rPr>
            </w:pPr>
            <w:r w:rsidRPr="00CE6EEA">
              <w:rPr>
                <w:rFonts w:ascii="Arial" w:eastAsia="Calibri" w:hAnsi="Arial" w:cs="Arial"/>
                <w:sz w:val="22"/>
              </w:rPr>
              <w:t>Respuesta consulta</w:t>
            </w:r>
            <w:r w:rsidR="00490184" w:rsidRPr="00CE6EEA">
              <w:rPr>
                <w:rFonts w:ascii="Arial" w:eastAsia="Calibri" w:hAnsi="Arial" w:cs="Arial"/>
                <w:sz w:val="22"/>
              </w:rPr>
              <w:t>s</w:t>
            </w:r>
            <w:r w:rsidRPr="00CE6EEA">
              <w:rPr>
                <w:rFonts w:ascii="Arial" w:eastAsia="Calibri" w:hAnsi="Arial" w:cs="Arial"/>
                <w:sz w:val="22"/>
              </w:rPr>
              <w:t xml:space="preserve"> # </w:t>
            </w:r>
            <w:r w:rsidR="0000767B" w:rsidRPr="00CE6EEA">
              <w:rPr>
                <w:rFonts w:ascii="Arial" w:eastAsia="Calibri" w:hAnsi="Arial" w:cs="Arial"/>
                <w:sz w:val="22"/>
              </w:rPr>
              <w:t>420201300000</w:t>
            </w:r>
            <w:r w:rsidR="00490184" w:rsidRPr="00CE6EEA">
              <w:rPr>
                <w:rFonts w:ascii="Arial" w:eastAsia="Calibri" w:hAnsi="Arial" w:cs="Arial"/>
                <w:sz w:val="22"/>
              </w:rPr>
              <w:t>4924 y 420200000004946(acumulados)</w:t>
            </w:r>
          </w:p>
        </w:tc>
      </w:tr>
    </w:tbl>
    <w:p w14:paraId="6199F8C9" w14:textId="77777777" w:rsidR="00A37FB6" w:rsidRPr="00CE6EEA" w:rsidRDefault="00A37FB6" w:rsidP="00D01760">
      <w:pPr>
        <w:jc w:val="both"/>
        <w:rPr>
          <w:rFonts w:ascii="Arial" w:eastAsia="Calibri" w:hAnsi="Arial" w:cs="Arial"/>
          <w:sz w:val="22"/>
        </w:rPr>
      </w:pPr>
    </w:p>
    <w:p w14:paraId="4AFF71EB" w14:textId="46172BEC" w:rsidR="00C82200" w:rsidRPr="00CE6EEA" w:rsidRDefault="00C82200" w:rsidP="00D01760">
      <w:pPr>
        <w:rPr>
          <w:rFonts w:ascii="Arial" w:eastAsia="Calibri" w:hAnsi="Arial" w:cs="Arial"/>
          <w:sz w:val="22"/>
        </w:rPr>
      </w:pPr>
    </w:p>
    <w:p w14:paraId="3216C844" w14:textId="5157B8A0" w:rsidR="00A37FB6" w:rsidRPr="004645A1" w:rsidRDefault="00A37FB6" w:rsidP="00D01760">
      <w:pPr>
        <w:rPr>
          <w:rFonts w:ascii="Arial" w:eastAsia="Calibri" w:hAnsi="Arial" w:cs="Arial"/>
          <w:sz w:val="22"/>
        </w:rPr>
      </w:pPr>
      <w:r w:rsidRPr="004645A1">
        <w:rPr>
          <w:rFonts w:ascii="Arial" w:eastAsia="Calibri" w:hAnsi="Arial" w:cs="Arial"/>
          <w:sz w:val="22"/>
        </w:rPr>
        <w:t>Estimad</w:t>
      </w:r>
      <w:r w:rsidR="0039395E" w:rsidRPr="004645A1">
        <w:rPr>
          <w:rFonts w:ascii="Arial" w:eastAsia="Calibri" w:hAnsi="Arial" w:cs="Arial"/>
          <w:sz w:val="22"/>
        </w:rPr>
        <w:t>o</w:t>
      </w:r>
      <w:r w:rsidRPr="004645A1">
        <w:rPr>
          <w:rFonts w:ascii="Arial" w:eastAsia="Calibri" w:hAnsi="Arial" w:cs="Arial"/>
          <w:sz w:val="22"/>
        </w:rPr>
        <w:t xml:space="preserve"> señor</w:t>
      </w:r>
      <w:r w:rsidR="0000767B" w:rsidRPr="004645A1">
        <w:rPr>
          <w:rFonts w:ascii="Arial" w:eastAsia="Calibri" w:hAnsi="Arial" w:cs="Arial"/>
          <w:sz w:val="22"/>
        </w:rPr>
        <w:t xml:space="preserve"> </w:t>
      </w:r>
      <w:r w:rsidR="00490184" w:rsidRPr="004645A1">
        <w:rPr>
          <w:rFonts w:ascii="Arial" w:eastAsia="Calibri" w:hAnsi="Arial" w:cs="Arial"/>
          <w:sz w:val="22"/>
        </w:rPr>
        <w:t>Rodríguez</w:t>
      </w:r>
      <w:r w:rsidR="0000767B" w:rsidRPr="004645A1">
        <w:rPr>
          <w:rFonts w:ascii="Arial" w:eastAsia="Calibri" w:hAnsi="Arial" w:cs="Arial"/>
          <w:sz w:val="22"/>
        </w:rPr>
        <w:t>:</w:t>
      </w:r>
    </w:p>
    <w:p w14:paraId="5CAA496F" w14:textId="77777777" w:rsidR="00450EB1" w:rsidRPr="004645A1" w:rsidRDefault="00450EB1" w:rsidP="00D01760">
      <w:pPr>
        <w:rPr>
          <w:rFonts w:ascii="Arial" w:eastAsia="Calibri" w:hAnsi="Arial" w:cs="Arial"/>
          <w:sz w:val="22"/>
        </w:rPr>
      </w:pPr>
    </w:p>
    <w:p w14:paraId="39316B12" w14:textId="36B1DF33" w:rsidR="00A37FB6" w:rsidRPr="004645A1" w:rsidRDefault="00A37FB6" w:rsidP="00D01760">
      <w:pPr>
        <w:spacing w:line="276" w:lineRule="auto"/>
        <w:ind w:right="49"/>
        <w:jc w:val="both"/>
        <w:rPr>
          <w:rFonts w:ascii="Arial" w:eastAsia="Calibri" w:hAnsi="Arial" w:cs="Arial"/>
          <w:sz w:val="22"/>
        </w:rPr>
      </w:pPr>
      <w:r w:rsidRPr="004645A1">
        <w:rPr>
          <w:rFonts w:ascii="Arial" w:eastAsia="Calibri" w:hAnsi="Arial" w:cs="Arial"/>
          <w:sz w:val="22"/>
        </w:rPr>
        <w:t xml:space="preserve">La Agencia Nacional de Contratación Pública ―Colombia Compra Eficiente― responde su consulta del </w:t>
      </w:r>
      <w:r w:rsidR="00490184" w:rsidRPr="004645A1">
        <w:rPr>
          <w:rFonts w:ascii="Arial" w:eastAsia="Calibri" w:hAnsi="Arial" w:cs="Arial"/>
          <w:sz w:val="22"/>
        </w:rPr>
        <w:t>11</w:t>
      </w:r>
      <w:r w:rsidR="00353B9D" w:rsidRPr="004645A1">
        <w:rPr>
          <w:rFonts w:ascii="Arial" w:eastAsia="Calibri" w:hAnsi="Arial" w:cs="Arial"/>
          <w:sz w:val="22"/>
        </w:rPr>
        <w:t xml:space="preserve"> de </w:t>
      </w:r>
      <w:r w:rsidR="00490184" w:rsidRPr="004645A1">
        <w:rPr>
          <w:rFonts w:ascii="Arial" w:eastAsia="Calibri" w:hAnsi="Arial" w:cs="Arial"/>
          <w:sz w:val="22"/>
        </w:rPr>
        <w:t>junio</w:t>
      </w:r>
      <w:r w:rsidR="00353B9D" w:rsidRPr="004645A1">
        <w:rPr>
          <w:rFonts w:ascii="Arial" w:eastAsia="Calibri" w:hAnsi="Arial" w:cs="Arial"/>
          <w:sz w:val="22"/>
        </w:rPr>
        <w:t xml:space="preserve"> de 2020</w:t>
      </w:r>
      <w:r w:rsidRPr="004645A1">
        <w:rPr>
          <w:rFonts w:ascii="Arial" w:eastAsia="Calibri" w:hAnsi="Arial" w:cs="Arial"/>
          <w:sz w:val="22"/>
        </w:rPr>
        <w:t xml:space="preserve">, en ejercicio de la competencia otorgada por el numeral 8 del artículo 11 y el numeral 5 del artículo 3 del Decreto Ley 4170 de 2011. </w:t>
      </w:r>
    </w:p>
    <w:p w14:paraId="450602B9" w14:textId="77777777" w:rsidR="00450EB1" w:rsidRPr="004645A1" w:rsidRDefault="00450EB1" w:rsidP="00D01760">
      <w:pPr>
        <w:spacing w:line="276" w:lineRule="auto"/>
        <w:jc w:val="both"/>
        <w:rPr>
          <w:rFonts w:ascii="Arial" w:eastAsia="Calibri" w:hAnsi="Arial" w:cs="Arial"/>
          <w:sz w:val="22"/>
        </w:rPr>
      </w:pPr>
    </w:p>
    <w:p w14:paraId="737E2623" w14:textId="77777777" w:rsidR="00A37FB6" w:rsidRPr="004645A1" w:rsidRDefault="00A37FB6" w:rsidP="00D01760">
      <w:pPr>
        <w:pStyle w:val="Prrafodelista"/>
        <w:numPr>
          <w:ilvl w:val="0"/>
          <w:numId w:val="6"/>
        </w:numPr>
        <w:tabs>
          <w:tab w:val="left" w:pos="284"/>
        </w:tabs>
        <w:spacing w:line="276" w:lineRule="auto"/>
        <w:ind w:left="0" w:firstLine="0"/>
        <w:jc w:val="both"/>
        <w:rPr>
          <w:rFonts w:ascii="Arial" w:eastAsia="Calibri" w:hAnsi="Arial" w:cs="Arial"/>
          <w:b/>
          <w:sz w:val="22"/>
        </w:rPr>
      </w:pPr>
      <w:r w:rsidRPr="004645A1">
        <w:rPr>
          <w:rFonts w:ascii="Arial" w:eastAsia="Calibri" w:hAnsi="Arial" w:cs="Arial"/>
          <w:b/>
          <w:sz w:val="22"/>
        </w:rPr>
        <w:t xml:space="preserve">Problemas planteados </w:t>
      </w:r>
    </w:p>
    <w:p w14:paraId="498A026D" w14:textId="26544023" w:rsidR="00A37FB6" w:rsidRPr="004645A1" w:rsidRDefault="00A37FB6" w:rsidP="00D01760">
      <w:pPr>
        <w:tabs>
          <w:tab w:val="left" w:pos="426"/>
        </w:tabs>
        <w:spacing w:line="276" w:lineRule="auto"/>
        <w:jc w:val="both"/>
        <w:rPr>
          <w:rFonts w:ascii="Arial" w:eastAsia="Calibri" w:hAnsi="Arial" w:cs="Arial"/>
          <w:b/>
          <w:sz w:val="22"/>
        </w:rPr>
      </w:pPr>
    </w:p>
    <w:p w14:paraId="5B74591D" w14:textId="72ADF4C2" w:rsidR="00490184" w:rsidRPr="00845A3C" w:rsidRDefault="00490184" w:rsidP="000612E5">
      <w:pPr>
        <w:pStyle w:val="Default"/>
        <w:spacing w:after="120" w:line="276" w:lineRule="auto"/>
        <w:jc w:val="both"/>
        <w:rPr>
          <w:rFonts w:eastAsia="Calibri"/>
          <w:color w:val="auto"/>
          <w:sz w:val="22"/>
          <w:szCs w:val="22"/>
        </w:rPr>
      </w:pPr>
      <w:r w:rsidRPr="00845A3C">
        <w:rPr>
          <w:rFonts w:eastAsia="Calibri"/>
          <w:color w:val="auto"/>
          <w:sz w:val="22"/>
          <w:szCs w:val="22"/>
        </w:rPr>
        <w:t>En su petición usted solicita</w:t>
      </w:r>
      <w:r w:rsidR="000612E5" w:rsidRPr="00845A3C">
        <w:rPr>
          <w:rFonts w:eastAsia="Calibri"/>
          <w:color w:val="auto"/>
          <w:sz w:val="22"/>
          <w:szCs w:val="22"/>
        </w:rPr>
        <w:t xml:space="preserve"> que se aclare </w:t>
      </w:r>
      <w:r w:rsidR="000612E5" w:rsidRPr="00C2781C">
        <w:rPr>
          <w:rFonts w:eastAsia="Calibri"/>
          <w:color w:val="auto"/>
          <w:sz w:val="22"/>
          <w:szCs w:val="22"/>
        </w:rPr>
        <w:t xml:space="preserve">«[…] si hay entidades eximidas de la aplicación en el uso de los pliegos tipos para sus procesos, pues es claro que el alcance del proceso encaja taxativamente en el tipo de obras de infraestructura de transporte señalado en la LEY 1882 de 2018: Infraestructura Marítima y Fluviales, tal como lo han incorporado otras entidades </w:t>
      </w:r>
      <w:proofErr w:type="spellStart"/>
      <w:r w:rsidR="000612E5" w:rsidRPr="00C2781C">
        <w:rPr>
          <w:rFonts w:eastAsia="Calibri"/>
          <w:color w:val="auto"/>
          <w:sz w:val="22"/>
          <w:szCs w:val="22"/>
        </w:rPr>
        <w:t>publicas</w:t>
      </w:r>
      <w:proofErr w:type="spellEnd"/>
      <w:r w:rsidR="000612E5" w:rsidRPr="00C2781C">
        <w:rPr>
          <w:rFonts w:eastAsia="Calibri"/>
          <w:color w:val="auto"/>
          <w:sz w:val="22"/>
          <w:szCs w:val="22"/>
        </w:rPr>
        <w:t xml:space="preserve"> con misión militar […]».</w:t>
      </w:r>
    </w:p>
    <w:p w14:paraId="27881223" w14:textId="1693A6DF" w:rsidR="00490184" w:rsidRPr="00C2781C" w:rsidRDefault="000612E5" w:rsidP="00FD029B">
      <w:pPr>
        <w:pStyle w:val="Default"/>
        <w:spacing w:line="276" w:lineRule="auto"/>
        <w:jc w:val="both"/>
        <w:rPr>
          <w:color w:val="auto"/>
          <w:sz w:val="22"/>
          <w:szCs w:val="22"/>
        </w:rPr>
      </w:pPr>
      <w:r w:rsidRPr="00845A3C">
        <w:rPr>
          <w:rFonts w:eastAsia="Calibri"/>
          <w:color w:val="auto"/>
          <w:sz w:val="22"/>
          <w:szCs w:val="22"/>
        </w:rPr>
        <w:tab/>
        <w:t xml:space="preserve">Dicha solicitud se refiere al Proceso 0044-ARC-CB1-2020 adelantado por la Base Naval ARC Bolívar, cuyo objeto es </w:t>
      </w:r>
      <w:r w:rsidRPr="00C2781C">
        <w:rPr>
          <w:rFonts w:eastAsia="Calibri"/>
          <w:color w:val="auto"/>
          <w:sz w:val="22"/>
          <w:szCs w:val="22"/>
        </w:rPr>
        <w:t>«</w:t>
      </w:r>
      <w:r w:rsidR="00490184" w:rsidRPr="00C2781C">
        <w:rPr>
          <w:color w:val="auto"/>
          <w:sz w:val="22"/>
          <w:szCs w:val="22"/>
        </w:rPr>
        <w:t xml:space="preserve">CONTRATAR A PRECIOS UNITARIOS, FIJOS Y SIN FORMULA DE REAJUSTE EL MANTENIMIENTO Y/O MODERNIZACION DEL MUELLE DE LA ESTACION DE GUARDACOSTAS DE CARTAGENA, </w:t>
      </w:r>
      <w:proofErr w:type="gramStart"/>
      <w:r w:rsidR="00490184" w:rsidRPr="00C2781C">
        <w:rPr>
          <w:color w:val="auto"/>
          <w:sz w:val="22"/>
          <w:szCs w:val="22"/>
        </w:rPr>
        <w:t>DE ACUERDO A</w:t>
      </w:r>
      <w:proofErr w:type="gramEnd"/>
      <w:r w:rsidR="00490184" w:rsidRPr="00C2781C">
        <w:rPr>
          <w:color w:val="auto"/>
          <w:sz w:val="22"/>
          <w:szCs w:val="22"/>
        </w:rPr>
        <w:t xml:space="preserve"> LAS ESPECIFICACIONES TÉCNICAS Y CANTIDADES DE OBRA DESCRITAS EN LOS ANEXOS DEL PRESENTE PROCESO</w:t>
      </w:r>
      <w:r w:rsidRPr="00C2781C">
        <w:rPr>
          <w:color w:val="auto"/>
          <w:sz w:val="22"/>
          <w:szCs w:val="22"/>
        </w:rPr>
        <w:t>».</w:t>
      </w:r>
    </w:p>
    <w:p w14:paraId="77E89236" w14:textId="77777777" w:rsidR="00CE6EEA" w:rsidRPr="004645A1" w:rsidRDefault="00CE6EEA" w:rsidP="00FD029B">
      <w:pPr>
        <w:pStyle w:val="Default"/>
        <w:spacing w:line="276" w:lineRule="auto"/>
        <w:jc w:val="both"/>
        <w:rPr>
          <w:rFonts w:eastAsia="Calibri"/>
          <w:color w:val="auto"/>
          <w:sz w:val="22"/>
          <w:szCs w:val="22"/>
        </w:rPr>
      </w:pPr>
    </w:p>
    <w:p w14:paraId="6A32A1B1" w14:textId="616BC0AF" w:rsidR="00A37FB6" w:rsidRPr="004645A1" w:rsidRDefault="00A37FB6" w:rsidP="00D01760">
      <w:pPr>
        <w:pStyle w:val="Prrafodelista"/>
        <w:numPr>
          <w:ilvl w:val="0"/>
          <w:numId w:val="6"/>
        </w:numPr>
        <w:tabs>
          <w:tab w:val="left" w:pos="426"/>
        </w:tabs>
        <w:spacing w:line="276" w:lineRule="auto"/>
        <w:ind w:left="284" w:hanging="284"/>
        <w:jc w:val="both"/>
        <w:rPr>
          <w:rFonts w:ascii="Arial" w:eastAsia="Calibri" w:hAnsi="Arial" w:cs="Arial"/>
          <w:b/>
          <w:sz w:val="22"/>
        </w:rPr>
      </w:pPr>
      <w:r w:rsidRPr="004645A1">
        <w:rPr>
          <w:rFonts w:ascii="Arial" w:eastAsia="Calibri" w:hAnsi="Arial" w:cs="Arial"/>
          <w:b/>
          <w:sz w:val="22"/>
        </w:rPr>
        <w:t>Consideraciones</w:t>
      </w:r>
    </w:p>
    <w:p w14:paraId="7DCBEA90" w14:textId="6E63AF6B" w:rsidR="00321CCB" w:rsidRPr="004645A1" w:rsidRDefault="00321CCB" w:rsidP="00321CCB">
      <w:pPr>
        <w:tabs>
          <w:tab w:val="left" w:pos="426"/>
        </w:tabs>
        <w:spacing w:line="276" w:lineRule="auto"/>
        <w:jc w:val="both"/>
        <w:rPr>
          <w:rFonts w:ascii="Arial" w:eastAsia="Calibri" w:hAnsi="Arial" w:cs="Arial"/>
          <w:b/>
          <w:sz w:val="22"/>
        </w:rPr>
      </w:pPr>
    </w:p>
    <w:p w14:paraId="22973895" w14:textId="1E5E9CB3" w:rsidR="000612E5" w:rsidRPr="004645A1" w:rsidRDefault="000612E5" w:rsidP="000612E5">
      <w:pPr>
        <w:spacing w:after="120" w:line="276" w:lineRule="auto"/>
        <w:jc w:val="both"/>
        <w:rPr>
          <w:rFonts w:ascii="Arial" w:eastAsia="Times New Roman" w:hAnsi="Arial" w:cs="Arial"/>
          <w:sz w:val="22"/>
          <w:lang w:eastAsia="es-ES_tradnl"/>
        </w:rPr>
      </w:pPr>
      <w:r w:rsidRPr="004645A1">
        <w:rPr>
          <w:rFonts w:ascii="Arial" w:hAnsi="Arial" w:cs="Arial"/>
          <w:sz w:val="22"/>
        </w:rPr>
        <w:t xml:space="preserve">Antes de </w:t>
      </w:r>
      <w:r w:rsidR="00845A3C">
        <w:rPr>
          <w:rFonts w:ascii="Arial" w:hAnsi="Arial" w:cs="Arial"/>
          <w:sz w:val="22"/>
        </w:rPr>
        <w:t>estudiar</w:t>
      </w:r>
      <w:r w:rsidRPr="004645A1">
        <w:rPr>
          <w:rFonts w:ascii="Arial" w:hAnsi="Arial" w:cs="Arial"/>
          <w:sz w:val="22"/>
        </w:rPr>
        <w:t xml:space="preserve"> </w:t>
      </w:r>
      <w:r w:rsidR="00845A3C">
        <w:rPr>
          <w:rFonts w:ascii="Arial" w:hAnsi="Arial" w:cs="Arial"/>
          <w:sz w:val="22"/>
        </w:rPr>
        <w:t>la</w:t>
      </w:r>
      <w:r w:rsidRPr="004645A1">
        <w:rPr>
          <w:rFonts w:ascii="Arial" w:hAnsi="Arial" w:cs="Arial"/>
          <w:sz w:val="22"/>
        </w:rPr>
        <w:t xml:space="preserve"> inquietud, es preciso aclarar que de conformidad con la competencia consultiva otorgada por</w:t>
      </w:r>
      <w:r w:rsidRPr="004645A1">
        <w:rPr>
          <w:rFonts w:ascii="Arial" w:eastAsia="Times New Roman" w:hAnsi="Arial" w:cs="Arial"/>
          <w:sz w:val="22"/>
          <w:lang w:eastAsia="es-ES_tradnl"/>
        </w:rPr>
        <w:t xml:space="preserve"> el numeral 5 del artículo 3 y el numeral 8 del artículo 11 del Decreto 4170 de 2011, la Agencia Nacional de Contratación Pública tiene competencia para atender consultas relativas a temas contractuales, pero solo para </w:t>
      </w:r>
      <w:bookmarkStart w:id="2" w:name="_Hlk36025847"/>
      <w:r w:rsidRPr="004645A1">
        <w:rPr>
          <w:rFonts w:ascii="Arial" w:eastAsia="Times New Roman" w:hAnsi="Arial" w:cs="Arial"/>
          <w:sz w:val="22"/>
          <w:lang w:eastAsia="es-ES_tradnl"/>
        </w:rPr>
        <w:t>«</w:t>
      </w:r>
      <w:bookmarkEnd w:id="2"/>
      <w:r w:rsidRPr="004645A1">
        <w:rPr>
          <w:rFonts w:ascii="Arial" w:eastAsia="Times New Roman" w:hAnsi="Arial" w:cs="Arial"/>
          <w:sz w:val="22"/>
          <w:lang w:eastAsia="es-ES_tradnl"/>
        </w:rPr>
        <w:t xml:space="preserve">absolver consultas sobre la </w:t>
      </w:r>
      <w:r w:rsidRPr="004645A1">
        <w:rPr>
          <w:rFonts w:ascii="Arial" w:eastAsia="Times New Roman" w:hAnsi="Arial" w:cs="Arial"/>
          <w:sz w:val="22"/>
          <w:lang w:eastAsia="es-ES_tradnl"/>
        </w:rPr>
        <w:lastRenderedPageBreak/>
        <w:t>aplicación de normas de carácter general</w:t>
      </w:r>
      <w:bookmarkStart w:id="3" w:name="_Hlk36025941"/>
      <w:r w:rsidRPr="004645A1">
        <w:rPr>
          <w:rFonts w:ascii="Arial" w:eastAsia="Times New Roman" w:hAnsi="Arial" w:cs="Arial"/>
          <w:sz w:val="22"/>
          <w:lang w:eastAsia="es-ES_tradnl"/>
        </w:rPr>
        <w:t>»</w:t>
      </w:r>
      <w:bookmarkEnd w:id="3"/>
      <w:r w:rsidRPr="004645A1">
        <w:rPr>
          <w:rFonts w:ascii="Arial" w:hAnsi="Arial" w:cs="Arial"/>
          <w:sz w:val="22"/>
          <w:vertAlign w:val="superscript"/>
        </w:rPr>
        <w:footnoteReference w:id="1"/>
      </w:r>
      <w:r w:rsidRPr="004645A1">
        <w:rPr>
          <w:rFonts w:ascii="Arial" w:eastAsia="Times New Roman" w:hAnsi="Arial" w:cs="Arial"/>
          <w:sz w:val="22"/>
          <w:lang w:eastAsia="es-ES_tradnl"/>
        </w:rPr>
        <w:t>. En ese orden, esta Agencia no tiene competencia para resolver casos concretos, por lo que</w:t>
      </w:r>
      <w:r w:rsidR="00AB2169">
        <w:rPr>
          <w:rFonts w:ascii="Arial" w:eastAsia="Times New Roman" w:hAnsi="Arial" w:cs="Arial"/>
          <w:sz w:val="22"/>
          <w:lang w:eastAsia="es-ES_tradnl"/>
        </w:rPr>
        <w:t xml:space="preserve"> en</w:t>
      </w:r>
      <w:r w:rsidRPr="004645A1">
        <w:rPr>
          <w:rFonts w:ascii="Arial" w:eastAsia="Times New Roman" w:hAnsi="Arial" w:cs="Arial"/>
          <w:sz w:val="22"/>
          <w:lang w:eastAsia="es-ES_tradnl"/>
        </w:rPr>
        <w:t xml:space="preserve"> las siguientes líneas se an</w:t>
      </w:r>
      <w:r w:rsidR="00AB2169">
        <w:rPr>
          <w:rFonts w:ascii="Arial" w:eastAsia="Times New Roman" w:hAnsi="Arial" w:cs="Arial"/>
          <w:sz w:val="22"/>
          <w:lang w:eastAsia="es-ES_tradnl"/>
        </w:rPr>
        <w:t xml:space="preserve">alizan y explican </w:t>
      </w:r>
      <w:r w:rsidRPr="004645A1">
        <w:rPr>
          <w:rFonts w:ascii="Arial" w:eastAsia="Times New Roman" w:hAnsi="Arial" w:cs="Arial"/>
          <w:sz w:val="22"/>
          <w:lang w:eastAsia="es-ES_tradnl"/>
        </w:rPr>
        <w:t xml:space="preserve">las normas que resultan relevantes para su solicitud, </w:t>
      </w:r>
      <w:r w:rsidR="00AB2169">
        <w:rPr>
          <w:rFonts w:ascii="Arial" w:eastAsia="Times New Roman" w:hAnsi="Arial" w:cs="Arial"/>
          <w:sz w:val="22"/>
          <w:lang w:eastAsia="es-ES_tradnl"/>
        </w:rPr>
        <w:t xml:space="preserve">teniendo el presente concepto </w:t>
      </w:r>
      <w:r w:rsidRPr="004645A1">
        <w:rPr>
          <w:rFonts w:ascii="Arial" w:eastAsia="Times New Roman" w:hAnsi="Arial" w:cs="Arial"/>
          <w:sz w:val="22"/>
          <w:lang w:eastAsia="es-ES_tradnl"/>
        </w:rPr>
        <w:t>el alcance establecido en el artículo 28 del Código de Procedimiento Administrativo y de lo Contencioso Administrativo, prescind</w:t>
      </w:r>
      <w:r w:rsidR="00D870FF" w:rsidRPr="004645A1">
        <w:rPr>
          <w:rFonts w:ascii="Arial" w:eastAsia="Times New Roman" w:hAnsi="Arial" w:cs="Arial"/>
          <w:sz w:val="22"/>
          <w:lang w:eastAsia="es-ES_tradnl"/>
        </w:rPr>
        <w:t>iend</w:t>
      </w:r>
      <w:r w:rsidRPr="004645A1">
        <w:rPr>
          <w:rFonts w:ascii="Arial" w:eastAsia="Times New Roman" w:hAnsi="Arial" w:cs="Arial"/>
          <w:sz w:val="22"/>
          <w:lang w:eastAsia="es-ES_tradnl"/>
        </w:rPr>
        <w:t xml:space="preserve">o de referirse al proceso de contratación </w:t>
      </w:r>
      <w:r w:rsidR="00AB2169">
        <w:rPr>
          <w:rFonts w:ascii="Arial" w:eastAsia="Times New Roman" w:hAnsi="Arial" w:cs="Arial"/>
          <w:sz w:val="22"/>
          <w:lang w:eastAsia="es-ES_tradnl"/>
        </w:rPr>
        <w:t xml:space="preserve">en particular </w:t>
      </w:r>
      <w:r w:rsidRPr="004645A1">
        <w:rPr>
          <w:rFonts w:ascii="Arial" w:eastAsia="Times New Roman" w:hAnsi="Arial" w:cs="Arial"/>
          <w:sz w:val="22"/>
          <w:lang w:eastAsia="es-ES_tradnl"/>
        </w:rPr>
        <w:t>al que alude en su solicitud</w:t>
      </w:r>
      <w:r w:rsidR="00AB2169">
        <w:rPr>
          <w:rFonts w:ascii="Arial" w:eastAsia="Times New Roman" w:hAnsi="Arial" w:cs="Arial"/>
          <w:sz w:val="22"/>
          <w:lang w:eastAsia="es-ES_tradnl"/>
        </w:rPr>
        <w:t>.</w:t>
      </w:r>
    </w:p>
    <w:p w14:paraId="3514BF08" w14:textId="1CB97AD5" w:rsidR="00A37FB6" w:rsidRPr="004645A1" w:rsidRDefault="000612E5" w:rsidP="000612E5">
      <w:pPr>
        <w:tabs>
          <w:tab w:val="left" w:pos="426"/>
        </w:tabs>
        <w:spacing w:line="276" w:lineRule="auto"/>
        <w:jc w:val="both"/>
        <w:rPr>
          <w:rFonts w:ascii="Arial" w:eastAsia="Calibri" w:hAnsi="Arial" w:cs="Arial"/>
          <w:sz w:val="22"/>
        </w:rPr>
      </w:pPr>
      <w:r w:rsidRPr="004645A1">
        <w:rPr>
          <w:rFonts w:ascii="Arial" w:eastAsia="Calibri" w:hAnsi="Arial" w:cs="Arial"/>
          <w:bCs/>
          <w:sz w:val="22"/>
        </w:rPr>
        <w:tab/>
      </w:r>
      <w:r w:rsidRPr="004645A1">
        <w:rPr>
          <w:rFonts w:ascii="Arial" w:eastAsia="Calibri" w:hAnsi="Arial" w:cs="Arial"/>
          <w:bCs/>
          <w:sz w:val="22"/>
        </w:rPr>
        <w:tab/>
      </w:r>
      <w:bookmarkEnd w:id="0"/>
      <w:r w:rsidR="00A37FB6" w:rsidRPr="004645A1">
        <w:rPr>
          <w:rFonts w:ascii="Arial" w:hAnsi="Arial" w:cs="Arial"/>
          <w:sz w:val="22"/>
        </w:rPr>
        <w:t xml:space="preserve">La Agencia Nacional de Contratación Pública </w:t>
      </w:r>
      <w:r w:rsidR="009A683C">
        <w:rPr>
          <w:rFonts w:ascii="Arial" w:hAnsi="Arial" w:cs="Arial"/>
          <w:sz w:val="22"/>
        </w:rPr>
        <w:t>–</w:t>
      </w:r>
      <w:r w:rsidR="00A37FB6" w:rsidRPr="004645A1">
        <w:rPr>
          <w:rFonts w:ascii="Arial" w:hAnsi="Arial" w:cs="Arial"/>
          <w:sz w:val="22"/>
        </w:rPr>
        <w:t xml:space="preserve"> Colombia Compra Eficiente </w:t>
      </w:r>
      <w:r w:rsidR="00A37FB6" w:rsidRPr="004645A1">
        <w:rPr>
          <w:rFonts w:ascii="Arial" w:eastAsia="Calibri" w:hAnsi="Arial" w:cs="Arial"/>
          <w:sz w:val="22"/>
        </w:rPr>
        <w:t xml:space="preserve">en </w:t>
      </w:r>
      <w:r w:rsidR="00897C4F" w:rsidRPr="004645A1">
        <w:rPr>
          <w:rFonts w:ascii="Arial" w:eastAsia="Calibri" w:hAnsi="Arial" w:cs="Arial"/>
          <w:sz w:val="22"/>
        </w:rPr>
        <w:t xml:space="preserve">los </w:t>
      </w:r>
      <w:r w:rsidR="00A37FB6" w:rsidRPr="004645A1">
        <w:rPr>
          <w:rFonts w:ascii="Arial" w:eastAsia="Calibri" w:hAnsi="Arial" w:cs="Arial"/>
          <w:sz w:val="22"/>
        </w:rPr>
        <w:t>concepto</w:t>
      </w:r>
      <w:r w:rsidR="00897C4F" w:rsidRPr="004645A1">
        <w:rPr>
          <w:rFonts w:ascii="Arial" w:eastAsia="Calibri" w:hAnsi="Arial" w:cs="Arial"/>
          <w:sz w:val="22"/>
        </w:rPr>
        <w:t>s</w:t>
      </w:r>
      <w:r w:rsidR="00A37FB6" w:rsidRPr="004645A1">
        <w:rPr>
          <w:rFonts w:ascii="Arial" w:eastAsia="Calibri" w:hAnsi="Arial" w:cs="Arial"/>
          <w:sz w:val="22"/>
        </w:rPr>
        <w:t xml:space="preserve"> del </w:t>
      </w:r>
      <w:r w:rsidR="00616E1D" w:rsidRPr="004645A1">
        <w:rPr>
          <w:rFonts w:ascii="Arial" w:eastAsia="Calibri" w:hAnsi="Arial" w:cs="Arial"/>
          <w:sz w:val="22"/>
        </w:rPr>
        <w:t>13</w:t>
      </w:r>
      <w:r w:rsidR="000F56BA" w:rsidRPr="004645A1">
        <w:rPr>
          <w:rFonts w:ascii="Arial" w:eastAsia="Calibri" w:hAnsi="Arial" w:cs="Arial"/>
          <w:sz w:val="22"/>
        </w:rPr>
        <w:t xml:space="preserve"> </w:t>
      </w:r>
      <w:r w:rsidR="009A683C">
        <w:rPr>
          <w:rFonts w:ascii="Arial" w:eastAsia="Calibri" w:hAnsi="Arial" w:cs="Arial"/>
          <w:sz w:val="22"/>
        </w:rPr>
        <w:t>–</w:t>
      </w:r>
      <w:r w:rsidR="000F56BA" w:rsidRPr="004645A1">
        <w:rPr>
          <w:rFonts w:ascii="Arial" w:eastAsia="Calibri" w:hAnsi="Arial" w:cs="Arial"/>
          <w:sz w:val="22"/>
        </w:rPr>
        <w:t>2</w:t>
      </w:r>
      <w:r w:rsidR="009A683C">
        <w:rPr>
          <w:rFonts w:ascii="Arial" w:eastAsia="Calibri" w:hAnsi="Arial" w:cs="Arial"/>
          <w:sz w:val="22"/>
        </w:rPr>
        <w:t xml:space="preserve"> conceptos–</w:t>
      </w:r>
      <w:r w:rsidR="00B1413A" w:rsidRPr="004645A1">
        <w:rPr>
          <w:rFonts w:ascii="Arial" w:eastAsia="Calibri" w:hAnsi="Arial" w:cs="Arial"/>
          <w:sz w:val="22"/>
        </w:rPr>
        <w:t>,</w:t>
      </w:r>
      <w:r w:rsidR="00616E1D" w:rsidRPr="004645A1">
        <w:rPr>
          <w:rFonts w:ascii="Arial" w:eastAsia="Calibri" w:hAnsi="Arial" w:cs="Arial"/>
          <w:sz w:val="22"/>
        </w:rPr>
        <w:t xml:space="preserve"> </w:t>
      </w:r>
      <w:r w:rsidR="00A37FB6" w:rsidRPr="004645A1">
        <w:rPr>
          <w:rFonts w:ascii="Arial" w:eastAsia="Calibri" w:hAnsi="Arial" w:cs="Arial"/>
          <w:sz w:val="22"/>
        </w:rPr>
        <w:t>2</w:t>
      </w:r>
      <w:r w:rsidR="00BD6A6D" w:rsidRPr="004645A1">
        <w:rPr>
          <w:rFonts w:ascii="Arial" w:eastAsia="Calibri" w:hAnsi="Arial" w:cs="Arial"/>
          <w:sz w:val="22"/>
        </w:rPr>
        <w:t>6</w:t>
      </w:r>
      <w:r w:rsidR="00B1413A" w:rsidRPr="004645A1">
        <w:rPr>
          <w:rFonts w:ascii="Arial" w:eastAsia="Calibri" w:hAnsi="Arial" w:cs="Arial"/>
          <w:sz w:val="22"/>
        </w:rPr>
        <w:t xml:space="preserve"> y 27</w:t>
      </w:r>
      <w:r w:rsidR="00A37FB6" w:rsidRPr="004645A1">
        <w:rPr>
          <w:rFonts w:ascii="Arial" w:eastAsia="Calibri" w:hAnsi="Arial" w:cs="Arial"/>
          <w:sz w:val="22"/>
        </w:rPr>
        <w:t xml:space="preserve"> de </w:t>
      </w:r>
      <w:r w:rsidR="00BD6A6D" w:rsidRPr="004645A1">
        <w:rPr>
          <w:rFonts w:ascii="Arial" w:eastAsia="Calibri" w:hAnsi="Arial" w:cs="Arial"/>
          <w:sz w:val="22"/>
        </w:rPr>
        <w:t xml:space="preserve">agosto </w:t>
      </w:r>
      <w:r w:rsidR="00A37FB6" w:rsidRPr="004645A1">
        <w:rPr>
          <w:rFonts w:ascii="Arial" w:eastAsia="Calibri" w:hAnsi="Arial" w:cs="Arial"/>
          <w:sz w:val="22"/>
        </w:rPr>
        <w:t>de 2019</w:t>
      </w:r>
      <w:r w:rsidR="00BD6A6D" w:rsidRPr="004645A1">
        <w:rPr>
          <w:rFonts w:ascii="Arial" w:eastAsia="Calibri" w:hAnsi="Arial" w:cs="Arial"/>
          <w:sz w:val="22"/>
        </w:rPr>
        <w:t xml:space="preserve"> </w:t>
      </w:r>
      <w:r w:rsidR="00CE2411" w:rsidRPr="004645A1">
        <w:rPr>
          <w:rFonts w:ascii="Arial" w:eastAsia="Calibri" w:hAnsi="Arial" w:cs="Arial"/>
          <w:sz w:val="22"/>
        </w:rPr>
        <w:t>–</w:t>
      </w:r>
      <w:r w:rsidR="00362084" w:rsidRPr="004645A1">
        <w:rPr>
          <w:rFonts w:ascii="Arial" w:eastAsia="Calibri" w:hAnsi="Arial" w:cs="Arial"/>
          <w:sz w:val="22"/>
        </w:rPr>
        <w:t>r</w:t>
      </w:r>
      <w:r w:rsidR="000513FC" w:rsidRPr="004645A1">
        <w:rPr>
          <w:rFonts w:ascii="Arial" w:eastAsia="Calibri" w:hAnsi="Arial" w:cs="Arial"/>
          <w:sz w:val="22"/>
        </w:rPr>
        <w:t>adicado</w:t>
      </w:r>
      <w:r w:rsidR="00616E1D" w:rsidRPr="004645A1">
        <w:rPr>
          <w:rFonts w:ascii="Arial" w:eastAsia="Calibri" w:hAnsi="Arial" w:cs="Arial"/>
          <w:sz w:val="22"/>
        </w:rPr>
        <w:t>s</w:t>
      </w:r>
      <w:r w:rsidR="000513FC" w:rsidRPr="004645A1">
        <w:rPr>
          <w:rFonts w:ascii="Arial" w:eastAsia="Calibri" w:hAnsi="Arial" w:cs="Arial"/>
          <w:sz w:val="22"/>
        </w:rPr>
        <w:t xml:space="preserve"> No</w:t>
      </w:r>
      <w:r w:rsidR="00616E1D" w:rsidRPr="004645A1">
        <w:rPr>
          <w:rFonts w:ascii="Arial" w:eastAsia="Calibri" w:hAnsi="Arial" w:cs="Arial"/>
          <w:sz w:val="22"/>
        </w:rPr>
        <w:t>s</w:t>
      </w:r>
      <w:r w:rsidR="000513FC" w:rsidRPr="004645A1">
        <w:rPr>
          <w:rFonts w:ascii="Arial" w:eastAsia="Calibri" w:hAnsi="Arial" w:cs="Arial"/>
          <w:sz w:val="22"/>
        </w:rPr>
        <w:t>.</w:t>
      </w:r>
      <w:r w:rsidR="00616E1D" w:rsidRPr="004645A1">
        <w:rPr>
          <w:rFonts w:ascii="Arial" w:eastAsia="Calibri" w:hAnsi="Arial" w:cs="Arial"/>
          <w:sz w:val="22"/>
        </w:rPr>
        <w:t xml:space="preserve"> 2201913000005811</w:t>
      </w:r>
      <w:r w:rsidR="0071000E" w:rsidRPr="004645A1">
        <w:rPr>
          <w:rFonts w:ascii="Arial" w:eastAsia="Calibri" w:hAnsi="Arial" w:cs="Arial"/>
          <w:sz w:val="22"/>
        </w:rPr>
        <w:t>,</w:t>
      </w:r>
      <w:r w:rsidR="00041BAE" w:rsidRPr="004645A1">
        <w:rPr>
          <w:rFonts w:ascii="Arial" w:eastAsia="Calibri" w:hAnsi="Arial" w:cs="Arial"/>
          <w:sz w:val="22"/>
        </w:rPr>
        <w:t xml:space="preserve"> 2201913000005810,</w:t>
      </w:r>
      <w:r w:rsidR="000513FC" w:rsidRPr="004645A1">
        <w:rPr>
          <w:rFonts w:ascii="Arial" w:eastAsia="Calibri" w:hAnsi="Arial" w:cs="Arial"/>
          <w:sz w:val="22"/>
        </w:rPr>
        <w:t xml:space="preserve"> </w:t>
      </w:r>
      <w:r w:rsidR="00BD6A6D" w:rsidRPr="004645A1">
        <w:rPr>
          <w:rFonts w:ascii="Arial" w:eastAsia="Calibri" w:hAnsi="Arial" w:cs="Arial"/>
          <w:sz w:val="22"/>
        </w:rPr>
        <w:t>2201913000006232</w:t>
      </w:r>
      <w:r w:rsidR="0039395E" w:rsidRPr="004645A1">
        <w:rPr>
          <w:rFonts w:ascii="Arial" w:eastAsia="Calibri" w:hAnsi="Arial" w:cs="Arial"/>
          <w:sz w:val="22"/>
        </w:rPr>
        <w:t xml:space="preserve">, </w:t>
      </w:r>
      <w:r w:rsidR="0071000E" w:rsidRPr="004645A1">
        <w:rPr>
          <w:rFonts w:ascii="Arial" w:eastAsia="Calibri" w:hAnsi="Arial" w:cs="Arial"/>
          <w:sz w:val="22"/>
        </w:rPr>
        <w:t>2201913000006284</w:t>
      </w:r>
      <w:r w:rsidR="0039395E" w:rsidRPr="004645A1">
        <w:rPr>
          <w:rFonts w:ascii="Arial" w:eastAsia="Calibri" w:hAnsi="Arial" w:cs="Arial"/>
          <w:sz w:val="22"/>
        </w:rPr>
        <w:t xml:space="preserve">, </w:t>
      </w:r>
      <w:r w:rsidR="00321CCB" w:rsidRPr="004645A1">
        <w:rPr>
          <w:rFonts w:ascii="Arial" w:eastAsia="Calibri" w:hAnsi="Arial" w:cs="Arial"/>
          <w:sz w:val="22"/>
        </w:rPr>
        <w:t>C-102 del 18 de marzo de 2020</w:t>
      </w:r>
      <w:r w:rsidRPr="004645A1">
        <w:rPr>
          <w:rFonts w:ascii="Arial" w:eastAsia="Calibri" w:hAnsi="Arial" w:cs="Arial"/>
          <w:sz w:val="22"/>
        </w:rPr>
        <w:t>,</w:t>
      </w:r>
      <w:r w:rsidR="00321CCB" w:rsidRPr="004645A1">
        <w:rPr>
          <w:rFonts w:ascii="Arial" w:eastAsia="Calibri" w:hAnsi="Arial" w:cs="Arial"/>
          <w:sz w:val="22"/>
        </w:rPr>
        <w:t xml:space="preserve"> </w:t>
      </w:r>
      <w:r w:rsidR="0039395E" w:rsidRPr="004645A1">
        <w:rPr>
          <w:rFonts w:ascii="Arial" w:eastAsia="Calibri" w:hAnsi="Arial" w:cs="Arial"/>
          <w:sz w:val="22"/>
        </w:rPr>
        <w:t>C-144</w:t>
      </w:r>
      <w:r w:rsidR="00CE2411" w:rsidRPr="004645A1">
        <w:rPr>
          <w:rFonts w:ascii="Arial" w:eastAsia="Calibri" w:hAnsi="Arial" w:cs="Arial"/>
          <w:sz w:val="22"/>
        </w:rPr>
        <w:t xml:space="preserve"> de</w:t>
      </w:r>
      <w:r w:rsidR="00321CCB" w:rsidRPr="004645A1">
        <w:rPr>
          <w:rFonts w:ascii="Arial" w:eastAsia="Calibri" w:hAnsi="Arial" w:cs="Arial"/>
          <w:sz w:val="22"/>
        </w:rPr>
        <w:t>l 2 de marzo</w:t>
      </w:r>
      <w:r w:rsidR="00CE2411" w:rsidRPr="004645A1">
        <w:rPr>
          <w:rFonts w:ascii="Arial" w:eastAsia="Calibri" w:hAnsi="Arial" w:cs="Arial"/>
          <w:sz w:val="22"/>
        </w:rPr>
        <w:t xml:space="preserve"> 2020</w:t>
      </w:r>
      <w:r w:rsidRPr="004645A1">
        <w:rPr>
          <w:rFonts w:ascii="Arial" w:eastAsia="Calibri" w:hAnsi="Arial" w:cs="Arial"/>
          <w:sz w:val="22"/>
        </w:rPr>
        <w:t xml:space="preserve"> y C-263 del 25 de mayo de 2020</w:t>
      </w:r>
      <w:r w:rsidR="00321CCB" w:rsidRPr="004645A1">
        <w:rPr>
          <w:rFonts w:ascii="Arial" w:eastAsia="Calibri" w:hAnsi="Arial" w:cs="Arial"/>
          <w:sz w:val="22"/>
        </w:rPr>
        <w:t xml:space="preserve">, </w:t>
      </w:r>
      <w:r w:rsidR="00A37FB6" w:rsidRPr="004645A1">
        <w:rPr>
          <w:rFonts w:ascii="Arial" w:eastAsia="Calibri" w:hAnsi="Arial" w:cs="Arial"/>
          <w:sz w:val="22"/>
        </w:rPr>
        <w:t xml:space="preserve">estudió </w:t>
      </w:r>
      <w:r w:rsidR="005A3A67" w:rsidRPr="004645A1">
        <w:rPr>
          <w:rFonts w:ascii="Arial" w:eastAsia="Calibri" w:hAnsi="Arial" w:cs="Arial"/>
          <w:sz w:val="22"/>
        </w:rPr>
        <w:t>el carácter vinculante de los «Pliegos Tipo»</w:t>
      </w:r>
      <w:r w:rsidR="00897C4F" w:rsidRPr="004645A1">
        <w:rPr>
          <w:rFonts w:ascii="Arial" w:eastAsia="Calibri" w:hAnsi="Arial" w:cs="Arial"/>
          <w:sz w:val="22"/>
        </w:rPr>
        <w:t xml:space="preserve"> y su aplicación en diferentes contratos estatales</w:t>
      </w:r>
      <w:r w:rsidR="00A37FB6" w:rsidRPr="004645A1">
        <w:rPr>
          <w:rFonts w:ascii="Arial" w:eastAsia="Calibri" w:hAnsi="Arial" w:cs="Arial"/>
          <w:sz w:val="22"/>
        </w:rPr>
        <w:t xml:space="preserve">. La tesis desarrollada se expone a continuación. </w:t>
      </w:r>
    </w:p>
    <w:bookmarkEnd w:id="1"/>
    <w:p w14:paraId="3EA72BA0" w14:textId="18F0BB65" w:rsidR="00A227A5" w:rsidRPr="004645A1" w:rsidRDefault="00A227A5" w:rsidP="00BD0076">
      <w:pPr>
        <w:spacing w:before="120" w:line="276" w:lineRule="auto"/>
        <w:ind w:firstLine="709"/>
        <w:jc w:val="both"/>
        <w:rPr>
          <w:rFonts w:ascii="Arial" w:hAnsi="Arial" w:cs="Arial"/>
          <w:sz w:val="22"/>
        </w:rPr>
      </w:pPr>
      <w:r w:rsidRPr="004645A1">
        <w:rPr>
          <w:rFonts w:ascii="Arial" w:hAnsi="Arial" w:cs="Arial"/>
          <w:sz w:val="22"/>
        </w:rPr>
        <w:t>El artículo 2, parágrafo 7º</w:t>
      </w:r>
      <w:r w:rsidR="004F5433" w:rsidRPr="004645A1">
        <w:rPr>
          <w:rFonts w:ascii="Arial" w:hAnsi="Arial" w:cs="Arial"/>
          <w:sz w:val="22"/>
        </w:rPr>
        <w:t>,</w:t>
      </w:r>
      <w:r w:rsidRPr="004645A1">
        <w:rPr>
          <w:rFonts w:ascii="Arial" w:hAnsi="Arial" w:cs="Arial"/>
          <w:sz w:val="22"/>
        </w:rPr>
        <w:t xml:space="preserve"> de la Ley 1150 de 2007, adicionado por el artículo 4 de la Ley 1882 de 2018</w:t>
      </w:r>
      <w:r w:rsidR="0047248B" w:rsidRPr="004645A1">
        <w:rPr>
          <w:rFonts w:ascii="Arial" w:hAnsi="Arial" w:cs="Arial"/>
          <w:sz w:val="22"/>
        </w:rPr>
        <w:t>,</w:t>
      </w:r>
      <w:r w:rsidRPr="004645A1">
        <w:rPr>
          <w:rFonts w:ascii="Arial" w:hAnsi="Arial" w:cs="Arial"/>
          <w:sz w:val="22"/>
        </w:rPr>
        <w:t xml:space="preserve"> establece la obligatoriedad de la adopción de documentos tipo para diferentes procesos de selección</w:t>
      </w:r>
      <w:r w:rsidR="0047248B" w:rsidRPr="004645A1">
        <w:rPr>
          <w:rFonts w:ascii="Arial" w:hAnsi="Arial" w:cs="Arial"/>
          <w:sz w:val="22"/>
        </w:rPr>
        <w:t>, en los siguientes términos</w:t>
      </w:r>
      <w:r w:rsidRPr="004645A1">
        <w:rPr>
          <w:rFonts w:ascii="Arial" w:hAnsi="Arial" w:cs="Arial"/>
          <w:sz w:val="22"/>
        </w:rPr>
        <w:t xml:space="preserve">: </w:t>
      </w:r>
    </w:p>
    <w:p w14:paraId="09B8836E" w14:textId="77777777" w:rsidR="00A2164E" w:rsidRPr="004645A1" w:rsidRDefault="00A2164E" w:rsidP="00A2164E">
      <w:pPr>
        <w:ind w:firstLine="709"/>
        <w:jc w:val="both"/>
        <w:rPr>
          <w:rFonts w:ascii="Arial" w:hAnsi="Arial" w:cs="Arial"/>
          <w:sz w:val="22"/>
        </w:rPr>
      </w:pPr>
    </w:p>
    <w:p w14:paraId="0341F09B" w14:textId="2E4171C4" w:rsidR="00E222CD" w:rsidRPr="004645A1" w:rsidRDefault="00A227A5" w:rsidP="006B057B">
      <w:pPr>
        <w:ind w:left="709" w:right="758"/>
        <w:jc w:val="both"/>
        <w:rPr>
          <w:rFonts w:ascii="Arial" w:hAnsi="Arial" w:cs="Arial"/>
          <w:sz w:val="21"/>
          <w:szCs w:val="21"/>
        </w:rPr>
      </w:pPr>
      <w:r w:rsidRPr="004645A1">
        <w:rPr>
          <w:rFonts w:ascii="Arial" w:hAnsi="Arial" w:cs="Arial"/>
          <w:sz w:val="21"/>
          <w:szCs w:val="21"/>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711E7057" w14:textId="37C8AEDE" w:rsidR="006B057B" w:rsidRPr="004645A1" w:rsidRDefault="006B057B" w:rsidP="006B057B">
      <w:pPr>
        <w:jc w:val="both"/>
        <w:rPr>
          <w:rFonts w:ascii="Arial" w:hAnsi="Arial" w:cs="Arial"/>
          <w:sz w:val="22"/>
        </w:rPr>
      </w:pPr>
    </w:p>
    <w:p w14:paraId="429B0F16" w14:textId="202B5B21" w:rsidR="006B057B" w:rsidRPr="004645A1" w:rsidRDefault="00504A44" w:rsidP="00BD0076">
      <w:pPr>
        <w:spacing w:before="120" w:line="276" w:lineRule="auto"/>
        <w:ind w:firstLine="709"/>
        <w:jc w:val="both"/>
        <w:rPr>
          <w:rFonts w:ascii="Arial" w:hAnsi="Arial" w:cs="Arial"/>
          <w:sz w:val="22"/>
        </w:rPr>
      </w:pPr>
      <w:r w:rsidRPr="004645A1">
        <w:rPr>
          <w:rFonts w:ascii="Arial" w:hAnsi="Arial" w:cs="Arial"/>
          <w:sz w:val="22"/>
        </w:rPr>
        <w:lastRenderedPageBreak/>
        <w:t xml:space="preserve">Los </w:t>
      </w:r>
      <w:r w:rsidR="006B057B" w:rsidRPr="004645A1">
        <w:rPr>
          <w:rFonts w:ascii="Arial" w:hAnsi="Arial" w:cs="Arial"/>
          <w:sz w:val="22"/>
        </w:rPr>
        <w:t>artículo</w:t>
      </w:r>
      <w:r w:rsidR="008D4EAA" w:rsidRPr="004645A1">
        <w:rPr>
          <w:rFonts w:ascii="Arial" w:hAnsi="Arial" w:cs="Arial"/>
          <w:sz w:val="22"/>
        </w:rPr>
        <w:t>s</w:t>
      </w:r>
      <w:r w:rsidR="006B057B" w:rsidRPr="004645A1">
        <w:rPr>
          <w:rFonts w:ascii="Arial" w:hAnsi="Arial" w:cs="Arial"/>
          <w:sz w:val="22"/>
        </w:rPr>
        <w:t xml:space="preserve"> 2.2.1.2.6.1.1.1</w:t>
      </w:r>
      <w:r w:rsidR="00AD6EDC" w:rsidRPr="004645A1">
        <w:rPr>
          <w:rFonts w:ascii="Arial" w:hAnsi="Arial" w:cs="Arial"/>
          <w:sz w:val="22"/>
        </w:rPr>
        <w:t>.</w:t>
      </w:r>
      <w:r w:rsidR="00AD6EDC" w:rsidRPr="004645A1">
        <w:rPr>
          <w:rStyle w:val="Refdenotaalpie"/>
          <w:rFonts w:ascii="Arial" w:hAnsi="Arial" w:cs="Arial"/>
          <w:sz w:val="22"/>
        </w:rPr>
        <w:footnoteReference w:id="2"/>
      </w:r>
      <w:r w:rsidR="006B057B" w:rsidRPr="004645A1">
        <w:rPr>
          <w:rFonts w:ascii="Arial" w:hAnsi="Arial" w:cs="Arial"/>
          <w:sz w:val="22"/>
        </w:rPr>
        <w:t xml:space="preserve"> y 2.2.1.2.6.1.2.2</w:t>
      </w:r>
      <w:r w:rsidR="00AD6EDC" w:rsidRPr="004645A1">
        <w:rPr>
          <w:rFonts w:ascii="Arial" w:hAnsi="Arial" w:cs="Arial"/>
          <w:sz w:val="22"/>
        </w:rPr>
        <w:t>.</w:t>
      </w:r>
      <w:r w:rsidR="00AD6EDC" w:rsidRPr="004645A1">
        <w:rPr>
          <w:rStyle w:val="Refdenotaalpie"/>
          <w:rFonts w:ascii="Arial" w:hAnsi="Arial" w:cs="Arial"/>
          <w:sz w:val="22"/>
        </w:rPr>
        <w:footnoteReference w:id="3"/>
      </w:r>
      <w:r w:rsidR="006B057B" w:rsidRPr="004645A1">
        <w:rPr>
          <w:rFonts w:ascii="Arial" w:hAnsi="Arial" w:cs="Arial"/>
          <w:sz w:val="22"/>
        </w:rPr>
        <w:t xml:space="preserve"> del Decreto 1082 de 2015, </w:t>
      </w:r>
      <w:r w:rsidR="008D4EAA" w:rsidRPr="004645A1">
        <w:rPr>
          <w:rFonts w:ascii="Arial" w:hAnsi="Arial" w:cs="Arial"/>
          <w:sz w:val="22"/>
        </w:rPr>
        <w:t xml:space="preserve">ambos </w:t>
      </w:r>
      <w:r w:rsidR="006B057B" w:rsidRPr="004645A1">
        <w:rPr>
          <w:rFonts w:ascii="Arial" w:hAnsi="Arial" w:cs="Arial"/>
          <w:sz w:val="22"/>
        </w:rPr>
        <w:t>adicionado</w:t>
      </w:r>
      <w:r w:rsidR="008D4EAA" w:rsidRPr="004645A1">
        <w:rPr>
          <w:rFonts w:ascii="Arial" w:hAnsi="Arial" w:cs="Arial"/>
          <w:sz w:val="22"/>
        </w:rPr>
        <w:t>s</w:t>
      </w:r>
      <w:r w:rsidR="006B057B" w:rsidRPr="004645A1">
        <w:rPr>
          <w:rFonts w:ascii="Arial" w:hAnsi="Arial" w:cs="Arial"/>
          <w:sz w:val="22"/>
        </w:rPr>
        <w:t xml:space="preserve"> por el artículo 1 del Decreto 342 de 2019, adopta</w:t>
      </w:r>
      <w:r w:rsidR="008D4EAA" w:rsidRPr="004645A1">
        <w:rPr>
          <w:rFonts w:ascii="Arial" w:hAnsi="Arial" w:cs="Arial"/>
          <w:sz w:val="22"/>
        </w:rPr>
        <w:t>n</w:t>
      </w:r>
      <w:r w:rsidR="006B057B" w:rsidRPr="004645A1">
        <w:rPr>
          <w:rFonts w:ascii="Arial" w:hAnsi="Arial" w:cs="Arial"/>
          <w:sz w:val="22"/>
        </w:rPr>
        <w:t xml:space="preserve"> los Documentos Tipo para los pliegos de condiciones de los procesos de selección de licitación de obra pública de infraestructura de transporte, los cuales contienen parámetros obligatorios para las Entidades Estatales sometidas al Estatuto General de Contratación Pública que adelanten este tipo de procesos. </w:t>
      </w:r>
    </w:p>
    <w:p w14:paraId="41C0330F" w14:textId="6431851F" w:rsidR="00E32B04" w:rsidRPr="004645A1" w:rsidRDefault="006B057B" w:rsidP="00BD0076">
      <w:pPr>
        <w:spacing w:before="120" w:line="276" w:lineRule="auto"/>
        <w:ind w:firstLine="709"/>
        <w:jc w:val="both"/>
        <w:rPr>
          <w:rFonts w:ascii="Arial" w:hAnsi="Arial" w:cs="Arial"/>
          <w:sz w:val="22"/>
        </w:rPr>
      </w:pPr>
      <w:r w:rsidRPr="004645A1">
        <w:rPr>
          <w:rFonts w:ascii="Arial" w:hAnsi="Arial" w:cs="Arial"/>
          <w:sz w:val="22"/>
        </w:rPr>
        <w:t>Por otra parte, el artículo 2.2.1.2.6.1.6</w:t>
      </w:r>
      <w:r w:rsidR="00472C0D" w:rsidRPr="004645A1">
        <w:rPr>
          <w:rFonts w:ascii="Arial" w:hAnsi="Arial" w:cs="Arial"/>
          <w:sz w:val="22"/>
        </w:rPr>
        <w:t>.</w:t>
      </w:r>
      <w:r w:rsidRPr="004645A1">
        <w:rPr>
          <w:rFonts w:ascii="Arial" w:hAnsi="Arial" w:cs="Arial"/>
          <w:sz w:val="22"/>
        </w:rPr>
        <w:t xml:space="preserve"> del Decreto 342 de 2019</w:t>
      </w:r>
      <w:r w:rsidR="00645B37" w:rsidRPr="004645A1">
        <w:rPr>
          <w:rStyle w:val="Refdenotaalpie"/>
          <w:rFonts w:ascii="Arial" w:hAnsi="Arial" w:cs="Arial"/>
          <w:sz w:val="22"/>
        </w:rPr>
        <w:footnoteReference w:id="4"/>
      </w:r>
      <w:r w:rsidR="00645B37" w:rsidRPr="004645A1">
        <w:rPr>
          <w:rFonts w:ascii="Arial" w:hAnsi="Arial" w:cs="Arial"/>
          <w:sz w:val="22"/>
        </w:rPr>
        <w:t xml:space="preserve"> </w:t>
      </w:r>
      <w:r w:rsidRPr="004645A1">
        <w:rPr>
          <w:rFonts w:ascii="Arial" w:hAnsi="Arial" w:cs="Arial"/>
          <w:sz w:val="22"/>
        </w:rPr>
        <w:t xml:space="preserve"> establece que en los casos de declaratoria de desierta de un </w:t>
      </w:r>
      <w:r w:rsidR="0057774F" w:rsidRPr="004645A1">
        <w:rPr>
          <w:rFonts w:ascii="Arial" w:hAnsi="Arial" w:cs="Arial"/>
          <w:sz w:val="22"/>
        </w:rPr>
        <w:t>p</w:t>
      </w:r>
      <w:r w:rsidRPr="004645A1">
        <w:rPr>
          <w:rFonts w:ascii="Arial" w:hAnsi="Arial" w:cs="Arial"/>
          <w:sz w:val="22"/>
        </w:rPr>
        <w:t xml:space="preserve">roceso de </w:t>
      </w:r>
      <w:r w:rsidR="0057774F" w:rsidRPr="004645A1">
        <w:rPr>
          <w:rFonts w:ascii="Arial" w:hAnsi="Arial" w:cs="Arial"/>
          <w:sz w:val="22"/>
        </w:rPr>
        <w:t>c</w:t>
      </w:r>
      <w:r w:rsidRPr="004645A1">
        <w:rPr>
          <w:rFonts w:ascii="Arial" w:hAnsi="Arial" w:cs="Arial"/>
          <w:sz w:val="22"/>
        </w:rPr>
        <w:t xml:space="preserve">ontratación </w:t>
      </w:r>
      <w:r w:rsidR="00A00031" w:rsidRPr="004645A1">
        <w:rPr>
          <w:rFonts w:ascii="Arial" w:hAnsi="Arial" w:cs="Arial"/>
          <w:sz w:val="22"/>
        </w:rPr>
        <w:t xml:space="preserve">adelantado </w:t>
      </w:r>
      <w:r w:rsidR="00FC11B1" w:rsidRPr="004645A1">
        <w:rPr>
          <w:rFonts w:ascii="Arial" w:hAnsi="Arial" w:cs="Arial"/>
          <w:sz w:val="22"/>
        </w:rPr>
        <w:t xml:space="preserve">aplicando </w:t>
      </w:r>
      <w:r w:rsidRPr="004645A1">
        <w:rPr>
          <w:rFonts w:ascii="Arial" w:hAnsi="Arial" w:cs="Arial"/>
          <w:sz w:val="22"/>
        </w:rPr>
        <w:t xml:space="preserve">los Documentos Tipo, la </w:t>
      </w:r>
      <w:r w:rsidR="00AC4C04" w:rsidRPr="004645A1">
        <w:rPr>
          <w:rFonts w:ascii="Arial" w:hAnsi="Arial" w:cs="Arial"/>
          <w:sz w:val="22"/>
        </w:rPr>
        <w:t>e</w:t>
      </w:r>
      <w:r w:rsidRPr="004645A1">
        <w:rPr>
          <w:rFonts w:ascii="Arial" w:hAnsi="Arial" w:cs="Arial"/>
          <w:sz w:val="22"/>
        </w:rPr>
        <w:t xml:space="preserve">ntidad </w:t>
      </w:r>
      <w:r w:rsidR="00AC4C04" w:rsidRPr="004645A1">
        <w:rPr>
          <w:rFonts w:ascii="Arial" w:hAnsi="Arial" w:cs="Arial"/>
          <w:sz w:val="22"/>
        </w:rPr>
        <w:t>e</w:t>
      </w:r>
      <w:r w:rsidRPr="004645A1">
        <w:rPr>
          <w:rFonts w:ascii="Arial" w:hAnsi="Arial" w:cs="Arial"/>
          <w:sz w:val="22"/>
        </w:rPr>
        <w:t xml:space="preserve">statal que adelante el procedimiento de </w:t>
      </w:r>
      <w:r w:rsidR="00102754" w:rsidRPr="004645A1">
        <w:rPr>
          <w:rFonts w:ascii="Arial" w:hAnsi="Arial" w:cs="Arial"/>
          <w:sz w:val="22"/>
        </w:rPr>
        <w:t>licitación</w:t>
      </w:r>
      <w:r w:rsidRPr="004645A1">
        <w:rPr>
          <w:rFonts w:ascii="Arial" w:hAnsi="Arial" w:cs="Arial"/>
          <w:sz w:val="22"/>
        </w:rPr>
        <w:t xml:space="preserve"> debe mantener las condiciones y requisitos de los Documentos Tipo.</w:t>
      </w:r>
      <w:r w:rsidR="00F42C9F" w:rsidRPr="004645A1">
        <w:rPr>
          <w:rFonts w:ascii="Arial" w:hAnsi="Arial" w:cs="Arial"/>
          <w:sz w:val="22"/>
        </w:rPr>
        <w:t xml:space="preserve"> </w:t>
      </w:r>
      <w:r w:rsidR="00106440" w:rsidRPr="004645A1">
        <w:rPr>
          <w:rFonts w:ascii="Arial" w:hAnsi="Arial" w:cs="Arial"/>
          <w:sz w:val="22"/>
        </w:rPr>
        <w:t xml:space="preserve">Estos </w:t>
      </w:r>
      <w:r w:rsidR="00862512" w:rsidRPr="004645A1">
        <w:rPr>
          <w:rFonts w:ascii="Arial" w:hAnsi="Arial" w:cs="Arial"/>
          <w:sz w:val="22"/>
        </w:rPr>
        <w:t xml:space="preserve">Documentos Tipo fueron </w:t>
      </w:r>
      <w:r w:rsidR="009F54A1" w:rsidRPr="004645A1">
        <w:rPr>
          <w:rFonts w:ascii="Arial" w:hAnsi="Arial" w:cs="Arial"/>
          <w:sz w:val="22"/>
        </w:rPr>
        <w:t>actualizados</w:t>
      </w:r>
      <w:r w:rsidR="00862512" w:rsidRPr="004645A1">
        <w:rPr>
          <w:rFonts w:ascii="Arial" w:hAnsi="Arial" w:cs="Arial"/>
          <w:sz w:val="22"/>
        </w:rPr>
        <w:t xml:space="preserve"> por medio de la Resolución </w:t>
      </w:r>
      <w:r w:rsidR="00CB08F6" w:rsidRPr="004645A1">
        <w:rPr>
          <w:rFonts w:ascii="Arial" w:hAnsi="Arial" w:cs="Arial"/>
          <w:sz w:val="22"/>
        </w:rPr>
        <w:t>045 de 2020</w:t>
      </w:r>
      <w:r w:rsidR="007424E6" w:rsidRPr="004645A1">
        <w:rPr>
          <w:rFonts w:ascii="Arial" w:hAnsi="Arial" w:cs="Arial"/>
          <w:sz w:val="22"/>
        </w:rPr>
        <w:t>.</w:t>
      </w:r>
    </w:p>
    <w:p w14:paraId="42A7BF5D" w14:textId="77777777" w:rsidR="009F54A1" w:rsidRPr="004645A1" w:rsidRDefault="00CD3959" w:rsidP="00BD0076">
      <w:pPr>
        <w:spacing w:before="120" w:line="276" w:lineRule="auto"/>
        <w:ind w:firstLine="709"/>
        <w:jc w:val="both"/>
        <w:rPr>
          <w:rFonts w:ascii="Arial" w:hAnsi="Arial" w:cs="Arial"/>
          <w:sz w:val="22"/>
        </w:rPr>
      </w:pPr>
      <w:r w:rsidRPr="004645A1">
        <w:rPr>
          <w:rFonts w:ascii="Arial" w:hAnsi="Arial" w:cs="Arial"/>
          <w:sz w:val="22"/>
        </w:rPr>
        <w:t xml:space="preserve">Igualmente, </w:t>
      </w:r>
      <w:r w:rsidR="0014709F" w:rsidRPr="004645A1">
        <w:rPr>
          <w:rFonts w:ascii="Arial" w:hAnsi="Arial" w:cs="Arial"/>
          <w:sz w:val="22"/>
        </w:rPr>
        <w:t xml:space="preserve">mediante la Resolución </w:t>
      </w:r>
      <w:r w:rsidR="00EE3C54" w:rsidRPr="004645A1">
        <w:rPr>
          <w:rFonts w:ascii="Arial" w:hAnsi="Arial" w:cs="Arial"/>
          <w:sz w:val="22"/>
        </w:rPr>
        <w:t xml:space="preserve">No. </w:t>
      </w:r>
      <w:r w:rsidR="0014709F" w:rsidRPr="004645A1">
        <w:rPr>
          <w:rFonts w:ascii="Arial" w:hAnsi="Arial" w:cs="Arial"/>
          <w:sz w:val="22"/>
        </w:rPr>
        <w:t>044 de 2020, se desarrollaron e implementaron «los Documentos Tipo para los pliegos de condiciones de los procesos de infraestructura de transporte que se adelanten por la modalidad de selección abreviada de menor cuantía»</w:t>
      </w:r>
      <w:r w:rsidR="001938C7" w:rsidRPr="004645A1">
        <w:rPr>
          <w:rFonts w:ascii="Arial" w:hAnsi="Arial" w:cs="Arial"/>
          <w:sz w:val="22"/>
        </w:rPr>
        <w:t xml:space="preserve">. </w:t>
      </w:r>
    </w:p>
    <w:p w14:paraId="2DBEDD48" w14:textId="6804DFB9" w:rsidR="00CD3959" w:rsidRPr="004645A1" w:rsidRDefault="00FA2368" w:rsidP="00BD0076">
      <w:pPr>
        <w:spacing w:before="120" w:line="276" w:lineRule="auto"/>
        <w:ind w:firstLine="709"/>
        <w:jc w:val="both"/>
        <w:rPr>
          <w:rFonts w:ascii="Arial" w:hAnsi="Arial" w:cs="Arial"/>
          <w:sz w:val="22"/>
        </w:rPr>
      </w:pPr>
      <w:r w:rsidRPr="004645A1">
        <w:rPr>
          <w:rFonts w:ascii="Arial" w:hAnsi="Arial" w:cs="Arial"/>
          <w:sz w:val="22"/>
        </w:rPr>
        <w:t>Entonces</w:t>
      </w:r>
      <w:r w:rsidR="008E51FD" w:rsidRPr="004645A1">
        <w:rPr>
          <w:rFonts w:ascii="Arial" w:hAnsi="Arial" w:cs="Arial"/>
          <w:sz w:val="22"/>
        </w:rPr>
        <w:t xml:space="preserve">, </w:t>
      </w:r>
      <w:r w:rsidR="00772FD6" w:rsidRPr="004645A1">
        <w:rPr>
          <w:rFonts w:ascii="Arial" w:hAnsi="Arial" w:cs="Arial"/>
          <w:sz w:val="22"/>
        </w:rPr>
        <w:t>la</w:t>
      </w:r>
      <w:r w:rsidR="009F54A1" w:rsidRPr="004645A1">
        <w:rPr>
          <w:rFonts w:ascii="Arial" w:hAnsi="Arial" w:cs="Arial"/>
          <w:sz w:val="22"/>
        </w:rPr>
        <w:t>s</w:t>
      </w:r>
      <w:r w:rsidR="00772FD6" w:rsidRPr="004645A1">
        <w:rPr>
          <w:rFonts w:ascii="Arial" w:hAnsi="Arial" w:cs="Arial"/>
          <w:sz w:val="22"/>
        </w:rPr>
        <w:t xml:space="preserve"> entidad</w:t>
      </w:r>
      <w:r w:rsidR="009F54A1" w:rsidRPr="004645A1">
        <w:rPr>
          <w:rFonts w:ascii="Arial" w:hAnsi="Arial" w:cs="Arial"/>
          <w:sz w:val="22"/>
        </w:rPr>
        <w:t>es</w:t>
      </w:r>
      <w:r w:rsidR="00772FD6" w:rsidRPr="004645A1">
        <w:rPr>
          <w:rFonts w:ascii="Arial" w:hAnsi="Arial" w:cs="Arial"/>
          <w:sz w:val="22"/>
        </w:rPr>
        <w:t xml:space="preserve"> </w:t>
      </w:r>
      <w:r w:rsidR="005D7D0C" w:rsidRPr="004645A1">
        <w:rPr>
          <w:rFonts w:ascii="Arial" w:hAnsi="Arial" w:cs="Arial"/>
          <w:sz w:val="22"/>
        </w:rPr>
        <w:t xml:space="preserve">deben aplicar </w:t>
      </w:r>
      <w:r w:rsidR="00772FD6" w:rsidRPr="004645A1">
        <w:rPr>
          <w:rFonts w:ascii="Arial" w:hAnsi="Arial" w:cs="Arial"/>
          <w:sz w:val="22"/>
        </w:rPr>
        <w:t>los Documentos Tipo cuando e</w:t>
      </w:r>
      <w:r w:rsidR="00B2761D" w:rsidRPr="004645A1">
        <w:rPr>
          <w:rFonts w:ascii="Arial" w:hAnsi="Arial" w:cs="Arial"/>
          <w:sz w:val="22"/>
        </w:rPr>
        <w:t xml:space="preserve">l proceso </w:t>
      </w:r>
      <w:r w:rsidR="00FA721A" w:rsidRPr="004645A1">
        <w:rPr>
          <w:rFonts w:ascii="Arial" w:hAnsi="Arial" w:cs="Arial"/>
          <w:sz w:val="22"/>
        </w:rPr>
        <w:t xml:space="preserve">de contratación </w:t>
      </w:r>
      <w:r w:rsidR="00B2761D" w:rsidRPr="004645A1">
        <w:rPr>
          <w:rFonts w:ascii="Arial" w:hAnsi="Arial" w:cs="Arial"/>
          <w:sz w:val="22"/>
        </w:rPr>
        <w:t>se adelant</w:t>
      </w:r>
      <w:r w:rsidR="002015CE" w:rsidRPr="004645A1">
        <w:rPr>
          <w:rFonts w:ascii="Arial" w:hAnsi="Arial" w:cs="Arial"/>
          <w:sz w:val="22"/>
        </w:rPr>
        <w:t>e</w:t>
      </w:r>
      <w:r w:rsidR="00B2761D" w:rsidRPr="004645A1">
        <w:rPr>
          <w:rFonts w:ascii="Arial" w:hAnsi="Arial" w:cs="Arial"/>
          <w:sz w:val="22"/>
        </w:rPr>
        <w:t xml:space="preserve"> por la modalidad de selección abreviada, </w:t>
      </w:r>
      <w:r w:rsidR="009F54A1" w:rsidRPr="004645A1">
        <w:rPr>
          <w:rFonts w:ascii="Arial" w:hAnsi="Arial" w:cs="Arial"/>
          <w:sz w:val="22"/>
        </w:rPr>
        <w:t>si</w:t>
      </w:r>
      <w:r w:rsidR="008E51FD" w:rsidRPr="004645A1">
        <w:rPr>
          <w:rFonts w:ascii="Arial" w:hAnsi="Arial" w:cs="Arial"/>
          <w:sz w:val="22"/>
        </w:rPr>
        <w:t xml:space="preserve"> se </w:t>
      </w:r>
      <w:r w:rsidR="00F97BC8" w:rsidRPr="004645A1">
        <w:rPr>
          <w:rFonts w:ascii="Arial" w:hAnsi="Arial" w:cs="Arial"/>
          <w:sz w:val="22"/>
        </w:rPr>
        <w:t>declar</w:t>
      </w:r>
      <w:r w:rsidR="009F54A1" w:rsidRPr="004645A1">
        <w:rPr>
          <w:rFonts w:ascii="Arial" w:hAnsi="Arial" w:cs="Arial"/>
          <w:sz w:val="22"/>
        </w:rPr>
        <w:t>a</w:t>
      </w:r>
      <w:r w:rsidR="00F97BC8" w:rsidRPr="004645A1">
        <w:rPr>
          <w:rFonts w:ascii="Arial" w:hAnsi="Arial" w:cs="Arial"/>
          <w:sz w:val="22"/>
        </w:rPr>
        <w:t xml:space="preserve"> desierto </w:t>
      </w:r>
      <w:r w:rsidR="008E51FD" w:rsidRPr="004645A1">
        <w:rPr>
          <w:rFonts w:ascii="Arial" w:hAnsi="Arial" w:cs="Arial"/>
          <w:sz w:val="22"/>
        </w:rPr>
        <w:t xml:space="preserve">el proceso de licitación </w:t>
      </w:r>
      <w:r w:rsidR="00B2761D" w:rsidRPr="004645A1">
        <w:rPr>
          <w:rFonts w:ascii="Arial" w:hAnsi="Arial" w:cs="Arial"/>
          <w:sz w:val="22"/>
        </w:rPr>
        <w:t>─</w:t>
      </w:r>
      <w:r w:rsidR="0063431C" w:rsidRPr="004645A1">
        <w:rPr>
          <w:rFonts w:ascii="Arial" w:hAnsi="Arial" w:cs="Arial"/>
          <w:sz w:val="22"/>
        </w:rPr>
        <w:t xml:space="preserve">artículo 2º, </w:t>
      </w:r>
      <w:r w:rsidR="00093AF5" w:rsidRPr="004645A1">
        <w:rPr>
          <w:rFonts w:ascii="Arial" w:hAnsi="Arial" w:cs="Arial"/>
          <w:sz w:val="22"/>
        </w:rPr>
        <w:t xml:space="preserve">numeral 2º, </w:t>
      </w:r>
      <w:r w:rsidR="00B2761D" w:rsidRPr="004645A1">
        <w:rPr>
          <w:rFonts w:ascii="Arial" w:hAnsi="Arial" w:cs="Arial"/>
          <w:sz w:val="22"/>
        </w:rPr>
        <w:t xml:space="preserve">literal </w:t>
      </w:r>
      <w:r w:rsidR="00372D6F" w:rsidRPr="004645A1">
        <w:rPr>
          <w:rFonts w:ascii="Arial" w:hAnsi="Arial" w:cs="Arial"/>
          <w:sz w:val="22"/>
        </w:rPr>
        <w:t>d</w:t>
      </w:r>
      <w:r w:rsidR="00093AF5" w:rsidRPr="004645A1">
        <w:rPr>
          <w:rFonts w:ascii="Arial" w:hAnsi="Arial" w:cs="Arial"/>
          <w:sz w:val="22"/>
        </w:rPr>
        <w:t xml:space="preserve"> de la Ley 1150 de 2007─</w:t>
      </w:r>
      <w:r w:rsidR="003C735A" w:rsidRPr="004645A1">
        <w:rPr>
          <w:rFonts w:ascii="Arial" w:hAnsi="Arial" w:cs="Arial"/>
          <w:sz w:val="22"/>
        </w:rPr>
        <w:t xml:space="preserve">, o </w:t>
      </w:r>
      <w:r w:rsidR="009F54A1" w:rsidRPr="004645A1">
        <w:rPr>
          <w:rFonts w:ascii="Arial" w:hAnsi="Arial" w:cs="Arial"/>
          <w:sz w:val="22"/>
        </w:rPr>
        <w:t xml:space="preserve">si </w:t>
      </w:r>
      <w:r w:rsidR="003C735A" w:rsidRPr="004645A1">
        <w:rPr>
          <w:rFonts w:ascii="Arial" w:hAnsi="Arial" w:cs="Arial"/>
          <w:sz w:val="22"/>
        </w:rPr>
        <w:t xml:space="preserve">se trata de un proceso de menor cuantía ─artículo 2º, numeral 2º, literal </w:t>
      </w:r>
      <w:r w:rsidR="001A7C7B" w:rsidRPr="004645A1">
        <w:rPr>
          <w:rFonts w:ascii="Arial" w:hAnsi="Arial" w:cs="Arial"/>
          <w:sz w:val="22"/>
        </w:rPr>
        <w:t>b</w:t>
      </w:r>
      <w:r w:rsidR="003C735A" w:rsidRPr="004645A1">
        <w:rPr>
          <w:rFonts w:ascii="Arial" w:hAnsi="Arial" w:cs="Arial"/>
          <w:sz w:val="22"/>
        </w:rPr>
        <w:t xml:space="preserve"> de la Ley 1150 de 2007─</w:t>
      </w:r>
      <w:r w:rsidR="008E51FD" w:rsidRPr="004645A1">
        <w:rPr>
          <w:rFonts w:ascii="Arial" w:hAnsi="Arial" w:cs="Arial"/>
          <w:sz w:val="22"/>
        </w:rPr>
        <w:t>.</w:t>
      </w:r>
      <w:r w:rsidR="004F5F4F" w:rsidRPr="004645A1">
        <w:rPr>
          <w:rFonts w:ascii="Arial" w:hAnsi="Arial" w:cs="Arial"/>
          <w:sz w:val="22"/>
        </w:rPr>
        <w:t xml:space="preserve"> </w:t>
      </w:r>
      <w:r w:rsidR="00732216" w:rsidRPr="004645A1">
        <w:rPr>
          <w:rFonts w:ascii="Arial" w:hAnsi="Arial" w:cs="Arial"/>
          <w:sz w:val="22"/>
        </w:rPr>
        <w:t>En los demás casos</w:t>
      </w:r>
      <w:r w:rsidR="00EE3C54" w:rsidRPr="004645A1">
        <w:rPr>
          <w:rFonts w:ascii="Arial" w:hAnsi="Arial" w:cs="Arial"/>
          <w:sz w:val="22"/>
        </w:rPr>
        <w:t xml:space="preserve"> </w:t>
      </w:r>
      <w:r w:rsidR="00B763ED" w:rsidRPr="004645A1">
        <w:rPr>
          <w:rFonts w:ascii="Arial" w:hAnsi="Arial" w:cs="Arial"/>
          <w:sz w:val="22"/>
        </w:rPr>
        <w:t xml:space="preserve">en los </w:t>
      </w:r>
      <w:r w:rsidR="00EE3C54" w:rsidRPr="004645A1">
        <w:rPr>
          <w:rFonts w:ascii="Arial" w:hAnsi="Arial" w:cs="Arial"/>
          <w:sz w:val="22"/>
        </w:rPr>
        <w:t>que se acuda al procedimiento de selección abreviada para Procesos de Contratación cuyo objeto sea una obra de infraestructura de transporte</w:t>
      </w:r>
      <w:r w:rsidR="0084284E" w:rsidRPr="004645A1">
        <w:rPr>
          <w:rFonts w:ascii="Arial" w:hAnsi="Arial" w:cs="Arial"/>
          <w:sz w:val="22"/>
        </w:rPr>
        <w:t>,</w:t>
      </w:r>
      <w:r w:rsidR="00EE3C54" w:rsidRPr="004645A1">
        <w:rPr>
          <w:rFonts w:ascii="Arial" w:hAnsi="Arial" w:cs="Arial"/>
          <w:sz w:val="22"/>
        </w:rPr>
        <w:t xml:space="preserve"> no se deben emplear los documentos tipo</w:t>
      </w:r>
      <w:r w:rsidR="0084284E" w:rsidRPr="004645A1">
        <w:rPr>
          <w:rFonts w:ascii="Arial" w:hAnsi="Arial" w:cs="Arial"/>
          <w:sz w:val="22"/>
        </w:rPr>
        <w:t>,</w:t>
      </w:r>
      <w:r w:rsidR="00EE3C54" w:rsidRPr="004645A1">
        <w:rPr>
          <w:rFonts w:ascii="Arial" w:hAnsi="Arial" w:cs="Arial"/>
          <w:sz w:val="22"/>
        </w:rPr>
        <w:t xml:space="preserve"> implementados y desarrollados a través de las Resoluciones Nos. 1798 de 2019 y </w:t>
      </w:r>
      <w:r w:rsidR="00C70F9C" w:rsidRPr="004645A1">
        <w:rPr>
          <w:rFonts w:ascii="Arial" w:hAnsi="Arial" w:cs="Arial"/>
          <w:sz w:val="22"/>
        </w:rPr>
        <w:t>0</w:t>
      </w:r>
      <w:r w:rsidR="00EE3C54" w:rsidRPr="004645A1">
        <w:rPr>
          <w:rFonts w:ascii="Arial" w:hAnsi="Arial" w:cs="Arial"/>
          <w:sz w:val="22"/>
        </w:rPr>
        <w:t>44 de 2020</w:t>
      </w:r>
      <w:r w:rsidR="00CE657C" w:rsidRPr="004645A1">
        <w:rPr>
          <w:rFonts w:ascii="Arial" w:hAnsi="Arial" w:cs="Arial"/>
          <w:sz w:val="22"/>
        </w:rPr>
        <w:t>.</w:t>
      </w:r>
    </w:p>
    <w:p w14:paraId="5561DC9A" w14:textId="57CE379F" w:rsidR="00172BB3" w:rsidRPr="004645A1" w:rsidRDefault="00505A47" w:rsidP="00172BB3">
      <w:pPr>
        <w:spacing w:before="120" w:line="276" w:lineRule="auto"/>
        <w:ind w:firstLine="709"/>
        <w:jc w:val="both"/>
        <w:rPr>
          <w:rFonts w:ascii="Arial" w:hAnsi="Arial" w:cs="Arial"/>
          <w:sz w:val="22"/>
        </w:rPr>
      </w:pPr>
      <w:r w:rsidRPr="004645A1">
        <w:rPr>
          <w:rFonts w:ascii="Arial" w:hAnsi="Arial" w:cs="Arial"/>
          <w:sz w:val="22"/>
        </w:rPr>
        <w:t xml:space="preserve">Sin perjuicio de lo dicho, </w:t>
      </w:r>
      <w:r w:rsidR="00D7522E" w:rsidRPr="004645A1">
        <w:rPr>
          <w:rFonts w:ascii="Arial" w:hAnsi="Arial" w:cs="Arial"/>
          <w:sz w:val="22"/>
        </w:rPr>
        <w:t>l</w:t>
      </w:r>
      <w:r w:rsidR="00172BB3" w:rsidRPr="004645A1">
        <w:rPr>
          <w:rFonts w:ascii="Arial" w:hAnsi="Arial" w:cs="Arial"/>
          <w:sz w:val="22"/>
        </w:rPr>
        <w:t>os Documentos Tipo también deben aplicarse en el evento establecido en el artículo 2.2.1.2.6.1.5. del Decreto 1082 de 2015</w:t>
      </w:r>
      <w:r w:rsidR="003F1F06" w:rsidRPr="004645A1">
        <w:rPr>
          <w:rStyle w:val="Refdenotaalpie"/>
          <w:rFonts w:ascii="Arial" w:hAnsi="Arial" w:cs="Arial"/>
          <w:sz w:val="22"/>
        </w:rPr>
        <w:footnoteReference w:id="5"/>
      </w:r>
      <w:r w:rsidR="00172BB3" w:rsidRPr="004645A1">
        <w:rPr>
          <w:rFonts w:ascii="Arial" w:hAnsi="Arial" w:cs="Arial"/>
          <w:sz w:val="22"/>
        </w:rPr>
        <w:t xml:space="preserve">, esto es, para la </w:t>
      </w:r>
      <w:r w:rsidR="00172BB3" w:rsidRPr="004645A1">
        <w:rPr>
          <w:rFonts w:ascii="Arial" w:hAnsi="Arial" w:cs="Arial"/>
          <w:sz w:val="22"/>
        </w:rPr>
        <w:lastRenderedPageBreak/>
        <w:t xml:space="preserve">adquisición de bienes o servicios adicionales a la obra pública de infraestructura de transporte. </w:t>
      </w:r>
    </w:p>
    <w:p w14:paraId="518050DC" w14:textId="79A25925" w:rsidR="005A3AE3" w:rsidRPr="004645A1" w:rsidRDefault="006476FA" w:rsidP="00BD0076">
      <w:pPr>
        <w:spacing w:before="120" w:line="276" w:lineRule="auto"/>
        <w:ind w:firstLine="709"/>
        <w:jc w:val="both"/>
        <w:rPr>
          <w:rFonts w:ascii="Arial" w:hAnsi="Arial" w:cs="Arial"/>
          <w:sz w:val="22"/>
        </w:rPr>
      </w:pPr>
      <w:r w:rsidRPr="004645A1">
        <w:rPr>
          <w:rFonts w:ascii="Arial" w:hAnsi="Arial" w:cs="Arial"/>
          <w:sz w:val="22"/>
        </w:rPr>
        <w:t xml:space="preserve">De otro lado, </w:t>
      </w:r>
      <w:r w:rsidR="00A80C55" w:rsidRPr="004645A1">
        <w:rPr>
          <w:rFonts w:ascii="Arial" w:hAnsi="Arial" w:cs="Arial"/>
          <w:sz w:val="22"/>
        </w:rPr>
        <w:t xml:space="preserve">en </w:t>
      </w:r>
      <w:r w:rsidR="003F06DD" w:rsidRPr="004645A1">
        <w:rPr>
          <w:rFonts w:ascii="Arial" w:hAnsi="Arial" w:cs="Arial"/>
          <w:sz w:val="22"/>
        </w:rPr>
        <w:t>los Documentos Base</w:t>
      </w:r>
      <w:r w:rsidR="00A80C55" w:rsidRPr="004645A1">
        <w:rPr>
          <w:rFonts w:ascii="Arial" w:hAnsi="Arial" w:cs="Arial"/>
          <w:sz w:val="22"/>
        </w:rPr>
        <w:t xml:space="preserve"> </w:t>
      </w:r>
      <w:r w:rsidR="003355A0" w:rsidRPr="004645A1">
        <w:rPr>
          <w:rFonts w:ascii="Arial" w:hAnsi="Arial" w:cs="Arial"/>
          <w:sz w:val="22"/>
        </w:rPr>
        <w:t>de licitación pública y de selección abreviada se hace referencia a</w:t>
      </w:r>
      <w:r w:rsidR="00AB50D7" w:rsidRPr="004645A1">
        <w:rPr>
          <w:rFonts w:ascii="Arial" w:hAnsi="Arial" w:cs="Arial"/>
          <w:sz w:val="22"/>
        </w:rPr>
        <w:t>l ámbito de aplicación de los Pliegos Ti</w:t>
      </w:r>
      <w:r w:rsidR="00EA518F" w:rsidRPr="004645A1">
        <w:rPr>
          <w:rFonts w:ascii="Arial" w:hAnsi="Arial" w:cs="Arial"/>
          <w:sz w:val="22"/>
        </w:rPr>
        <w:t>po</w:t>
      </w:r>
      <w:r w:rsidR="006B057B" w:rsidRPr="004645A1">
        <w:rPr>
          <w:rFonts w:ascii="Arial" w:hAnsi="Arial" w:cs="Arial"/>
          <w:sz w:val="22"/>
        </w:rPr>
        <w:t>.</w:t>
      </w:r>
      <w:r w:rsidR="00EA518F" w:rsidRPr="004645A1">
        <w:rPr>
          <w:rFonts w:ascii="Arial" w:hAnsi="Arial" w:cs="Arial"/>
          <w:sz w:val="22"/>
        </w:rPr>
        <w:t xml:space="preserve"> </w:t>
      </w:r>
      <w:r w:rsidR="005A3AE3" w:rsidRPr="004645A1">
        <w:rPr>
          <w:rFonts w:ascii="Arial" w:hAnsi="Arial" w:cs="Arial"/>
          <w:sz w:val="22"/>
        </w:rPr>
        <w:t>El primero,</w:t>
      </w:r>
      <w:r w:rsidR="00EA518F" w:rsidRPr="004645A1">
        <w:rPr>
          <w:rFonts w:ascii="Arial" w:hAnsi="Arial" w:cs="Arial"/>
          <w:sz w:val="22"/>
        </w:rPr>
        <w:t xml:space="preserve"> establece que </w:t>
      </w:r>
      <w:r w:rsidR="006E18EB" w:rsidRPr="004645A1">
        <w:rPr>
          <w:rFonts w:ascii="Arial" w:hAnsi="Arial" w:cs="Arial"/>
          <w:sz w:val="22"/>
        </w:rPr>
        <w:t>«los Documentos Tipo aplican a los procesos de licitación de obra pública de infraestructura de transporte (versión 2), que correspondan a las actividades definidas en la Matriz 1 – Experiencia»</w:t>
      </w:r>
      <w:r w:rsidR="00E35DF3" w:rsidRPr="004645A1">
        <w:rPr>
          <w:rFonts w:ascii="Arial" w:hAnsi="Arial" w:cs="Arial"/>
          <w:sz w:val="22"/>
        </w:rPr>
        <w:t xml:space="preserve">. El segundo, dispone que </w:t>
      </w:r>
      <w:r w:rsidR="00906A87" w:rsidRPr="004645A1">
        <w:rPr>
          <w:rFonts w:ascii="Arial" w:hAnsi="Arial" w:cs="Arial"/>
          <w:sz w:val="22"/>
        </w:rPr>
        <w:t xml:space="preserve">«estos Documentos Tipo aplican a los procesos de selección abreviada de menor cuantía de obra pública de infraestructura de transporte, que correspondan a las actividades definidas en la Matriz 1 – Experiencia». </w:t>
      </w:r>
      <w:r w:rsidR="00F73D45" w:rsidRPr="004645A1">
        <w:rPr>
          <w:rFonts w:ascii="Arial" w:hAnsi="Arial" w:cs="Arial"/>
          <w:sz w:val="22"/>
        </w:rPr>
        <w:t xml:space="preserve">Asimismo, los referidos documentos establecen, respectivamente, que </w:t>
      </w:r>
      <w:r w:rsidR="00906A87" w:rsidRPr="004645A1">
        <w:rPr>
          <w:rFonts w:ascii="Arial" w:hAnsi="Arial" w:cs="Arial"/>
          <w:sz w:val="22"/>
        </w:rPr>
        <w:t>«</w:t>
      </w:r>
      <w:r w:rsidR="00E079CB" w:rsidRPr="004645A1">
        <w:rPr>
          <w:rFonts w:ascii="Arial" w:hAnsi="Arial" w:cs="Arial"/>
          <w:sz w:val="22"/>
        </w:rPr>
        <w:t>las actividades de infraestructura de transporte no contempladas en la Matriz 1 – Experiencia no tienen que aplicar los Documentos Tipo», y que «</w:t>
      </w:r>
      <w:r w:rsidR="00A53878" w:rsidRPr="004645A1">
        <w:rPr>
          <w:rFonts w:ascii="Arial" w:hAnsi="Arial" w:cs="Arial"/>
          <w:sz w:val="22"/>
        </w:rPr>
        <w:t>las actividades de infraestructura de transporte no contempladas en la Matriz 1 – Experiencia no tienen que aplicar los Documentos Tipo».</w:t>
      </w:r>
    </w:p>
    <w:p w14:paraId="561B5969" w14:textId="1C7E53C0" w:rsidR="006B057B" w:rsidRPr="004645A1" w:rsidRDefault="009F7BDD" w:rsidP="00BD0076">
      <w:pPr>
        <w:spacing w:before="120" w:line="276" w:lineRule="auto"/>
        <w:ind w:firstLine="709"/>
        <w:jc w:val="both"/>
        <w:rPr>
          <w:rFonts w:ascii="Arial" w:hAnsi="Arial" w:cs="Arial"/>
          <w:sz w:val="22"/>
        </w:rPr>
      </w:pPr>
      <w:r w:rsidRPr="004645A1">
        <w:rPr>
          <w:rFonts w:ascii="Arial" w:hAnsi="Arial" w:cs="Arial"/>
          <w:sz w:val="22"/>
        </w:rPr>
        <w:t>L</w:t>
      </w:r>
      <w:r w:rsidRPr="009F7BDD">
        <w:rPr>
          <w:rFonts w:ascii="Arial" w:hAnsi="Arial" w:cs="Arial"/>
          <w:sz w:val="22"/>
        </w:rPr>
        <w:t xml:space="preserve">a noción de infraestructura de transporte que acogen los Documentos </w:t>
      </w:r>
      <w:r w:rsidR="00790697" w:rsidRPr="004645A1">
        <w:rPr>
          <w:rFonts w:ascii="Arial" w:hAnsi="Arial" w:cs="Arial"/>
          <w:sz w:val="22"/>
        </w:rPr>
        <w:t xml:space="preserve">Tipo, </w:t>
      </w:r>
      <w:r w:rsidR="00AB2DE4" w:rsidRPr="004645A1">
        <w:rPr>
          <w:rFonts w:ascii="Arial" w:hAnsi="Arial" w:cs="Arial"/>
          <w:sz w:val="22"/>
        </w:rPr>
        <w:t>–</w:t>
      </w:r>
      <w:r w:rsidR="00790697" w:rsidRPr="004645A1">
        <w:rPr>
          <w:rFonts w:ascii="Arial" w:hAnsi="Arial" w:cs="Arial"/>
          <w:sz w:val="22"/>
        </w:rPr>
        <w:t xml:space="preserve">sin perjuicio de la </w:t>
      </w:r>
      <w:r w:rsidR="00AB2DE4" w:rsidRPr="004645A1">
        <w:rPr>
          <w:rFonts w:ascii="Arial" w:hAnsi="Arial" w:cs="Arial"/>
          <w:sz w:val="22"/>
        </w:rPr>
        <w:t>definición y características establecidas en los artículos 2 y 3</w:t>
      </w:r>
      <w:r w:rsidR="00AB2DE4" w:rsidRPr="004645A1">
        <w:rPr>
          <w:rFonts w:ascii="Arial" w:hAnsi="Arial" w:cs="Arial"/>
          <w:sz w:val="22"/>
        </w:rPr>
        <w:softHyphen/>
        <w:t xml:space="preserve"> de la Ley 1682 de 2013</w:t>
      </w:r>
      <w:r w:rsidR="00AB2DE4" w:rsidRPr="004645A1">
        <w:rPr>
          <w:rStyle w:val="Refdenotaalpie"/>
          <w:rFonts w:ascii="Arial" w:hAnsi="Arial" w:cs="Arial"/>
          <w:sz w:val="22"/>
        </w:rPr>
        <w:footnoteReference w:id="6"/>
      </w:r>
      <w:r w:rsidR="00AB2DE4" w:rsidRPr="004645A1">
        <w:rPr>
          <w:rFonts w:ascii="Arial" w:hAnsi="Arial" w:cs="Arial"/>
          <w:sz w:val="22"/>
        </w:rPr>
        <w:t>–</w:t>
      </w:r>
      <w:r w:rsidRPr="009F7BDD">
        <w:rPr>
          <w:rFonts w:ascii="Arial" w:hAnsi="Arial" w:cs="Arial"/>
          <w:sz w:val="22"/>
        </w:rPr>
        <w:t xml:space="preserve"> se encuentra definida en el numeral 1.29 del «Anexo 3 –Glosario», donde se opta por hacer un listado</w:t>
      </w:r>
      <w:r w:rsidR="009A683C">
        <w:rPr>
          <w:rFonts w:ascii="Arial" w:hAnsi="Arial" w:cs="Arial"/>
          <w:sz w:val="22"/>
        </w:rPr>
        <w:t xml:space="preserve"> que</w:t>
      </w:r>
      <w:r w:rsidRPr="009F7BDD">
        <w:rPr>
          <w:rFonts w:ascii="Arial" w:hAnsi="Arial" w:cs="Arial"/>
          <w:sz w:val="22"/>
        </w:rPr>
        <w:t xml:space="preserve"> </w:t>
      </w:r>
      <w:r w:rsidRPr="004645A1">
        <w:rPr>
          <w:rFonts w:ascii="Arial" w:hAnsi="Arial" w:cs="Arial"/>
          <w:sz w:val="22"/>
        </w:rPr>
        <w:t xml:space="preserve">coincide con </w:t>
      </w:r>
      <w:r w:rsidRPr="009F7BDD">
        <w:rPr>
          <w:rFonts w:ascii="Arial" w:hAnsi="Arial" w:cs="Arial"/>
          <w:sz w:val="22"/>
        </w:rPr>
        <w:t>los tipos de obra establecidos en la Matriz 1.</w:t>
      </w:r>
      <w:r w:rsidRPr="004645A1">
        <w:rPr>
          <w:rFonts w:ascii="Arial" w:hAnsi="Arial" w:cs="Arial"/>
          <w:sz w:val="22"/>
        </w:rPr>
        <w:t xml:space="preserve"> En ese orden, p</w:t>
      </w:r>
      <w:r w:rsidR="00070D38" w:rsidRPr="004645A1">
        <w:rPr>
          <w:rFonts w:ascii="Arial" w:hAnsi="Arial" w:cs="Arial"/>
          <w:sz w:val="22"/>
        </w:rPr>
        <w:t xml:space="preserve">ara </w:t>
      </w:r>
      <w:r w:rsidR="00F42B5B" w:rsidRPr="004645A1">
        <w:rPr>
          <w:rFonts w:ascii="Arial" w:hAnsi="Arial" w:cs="Arial"/>
          <w:sz w:val="22"/>
        </w:rPr>
        <w:t>determina</w:t>
      </w:r>
      <w:r w:rsidR="00070D38" w:rsidRPr="004645A1">
        <w:rPr>
          <w:rFonts w:ascii="Arial" w:hAnsi="Arial" w:cs="Arial"/>
          <w:sz w:val="22"/>
        </w:rPr>
        <w:t>r</w:t>
      </w:r>
      <w:r w:rsidRPr="004645A1">
        <w:rPr>
          <w:rFonts w:ascii="Arial" w:hAnsi="Arial" w:cs="Arial"/>
          <w:sz w:val="22"/>
        </w:rPr>
        <w:t xml:space="preserve"> si el objeto a contratar recae sobre una infraestructura de transporte, y si procede la</w:t>
      </w:r>
      <w:r w:rsidR="00F42B5B" w:rsidRPr="004645A1">
        <w:rPr>
          <w:rFonts w:ascii="Arial" w:hAnsi="Arial" w:cs="Arial"/>
          <w:sz w:val="22"/>
        </w:rPr>
        <w:t xml:space="preserve"> aplicación de los Documentos Tipo, </w:t>
      </w:r>
      <w:r w:rsidR="00070D38" w:rsidRPr="004645A1">
        <w:rPr>
          <w:rFonts w:ascii="Arial" w:hAnsi="Arial" w:cs="Arial"/>
          <w:sz w:val="22"/>
        </w:rPr>
        <w:t>se debe acudir a la Matriz 1</w:t>
      </w:r>
      <w:r w:rsidR="00E62A1B" w:rsidRPr="004645A1">
        <w:rPr>
          <w:rFonts w:ascii="Arial" w:hAnsi="Arial" w:cs="Arial"/>
          <w:sz w:val="22"/>
        </w:rPr>
        <w:t xml:space="preserve"> ─ Experiencia</w:t>
      </w:r>
      <w:r w:rsidR="004B25C5" w:rsidRPr="004645A1">
        <w:rPr>
          <w:rFonts w:ascii="Arial" w:hAnsi="Arial" w:cs="Arial"/>
          <w:sz w:val="22"/>
        </w:rPr>
        <w:t xml:space="preserve"> (en adelante Matriz 1). </w:t>
      </w:r>
      <w:r w:rsidR="00D0008B" w:rsidRPr="004645A1">
        <w:rPr>
          <w:rFonts w:ascii="Arial" w:hAnsi="Arial" w:cs="Arial"/>
          <w:sz w:val="22"/>
        </w:rPr>
        <w:t xml:space="preserve">En ambos casos, </w:t>
      </w:r>
      <w:r w:rsidR="007F4514" w:rsidRPr="004645A1">
        <w:rPr>
          <w:rFonts w:ascii="Arial" w:hAnsi="Arial" w:cs="Arial"/>
          <w:sz w:val="22"/>
        </w:rPr>
        <w:t>l</w:t>
      </w:r>
      <w:r w:rsidR="004B25C5" w:rsidRPr="004645A1">
        <w:rPr>
          <w:rFonts w:ascii="Arial" w:hAnsi="Arial" w:cs="Arial"/>
          <w:sz w:val="22"/>
        </w:rPr>
        <w:t xml:space="preserve">a Matriz 1 de los </w:t>
      </w:r>
      <w:r w:rsidR="009A683C">
        <w:rPr>
          <w:rFonts w:ascii="Arial" w:hAnsi="Arial" w:cs="Arial"/>
          <w:sz w:val="22"/>
        </w:rPr>
        <w:t>Documentos</w:t>
      </w:r>
      <w:r w:rsidR="009A683C" w:rsidRPr="004645A1">
        <w:rPr>
          <w:rFonts w:ascii="Arial" w:hAnsi="Arial" w:cs="Arial"/>
          <w:sz w:val="22"/>
        </w:rPr>
        <w:t xml:space="preserve"> </w:t>
      </w:r>
      <w:r w:rsidR="004B25C5" w:rsidRPr="004645A1">
        <w:rPr>
          <w:rFonts w:ascii="Arial" w:hAnsi="Arial" w:cs="Arial"/>
          <w:sz w:val="22"/>
        </w:rPr>
        <w:t xml:space="preserve">Tipo </w:t>
      </w:r>
      <w:r w:rsidR="00182776" w:rsidRPr="004645A1">
        <w:rPr>
          <w:rFonts w:ascii="Arial" w:hAnsi="Arial" w:cs="Arial"/>
          <w:sz w:val="22"/>
        </w:rPr>
        <w:t xml:space="preserve">está constituida por ocho </w:t>
      </w:r>
      <w:r w:rsidR="009B4B19" w:rsidRPr="004645A1">
        <w:rPr>
          <w:rFonts w:ascii="Arial" w:hAnsi="Arial" w:cs="Arial"/>
          <w:sz w:val="22"/>
        </w:rPr>
        <w:t>(</w:t>
      </w:r>
      <w:r w:rsidR="00182776" w:rsidRPr="004645A1">
        <w:rPr>
          <w:rFonts w:ascii="Arial" w:hAnsi="Arial" w:cs="Arial"/>
          <w:sz w:val="22"/>
        </w:rPr>
        <w:t>8</w:t>
      </w:r>
      <w:r w:rsidR="009B4B19" w:rsidRPr="004645A1">
        <w:rPr>
          <w:rFonts w:ascii="Arial" w:hAnsi="Arial" w:cs="Arial"/>
          <w:sz w:val="22"/>
        </w:rPr>
        <w:t>)</w:t>
      </w:r>
      <w:r w:rsidR="00182776" w:rsidRPr="004645A1">
        <w:rPr>
          <w:rFonts w:ascii="Arial" w:hAnsi="Arial" w:cs="Arial"/>
          <w:sz w:val="22"/>
        </w:rPr>
        <w:t xml:space="preserve"> tipos de obras de infraestructura de transporte, identificadas </w:t>
      </w:r>
      <w:r w:rsidR="00182776" w:rsidRPr="004645A1">
        <w:rPr>
          <w:rFonts w:ascii="Arial" w:hAnsi="Arial" w:cs="Arial"/>
          <w:sz w:val="22"/>
        </w:rPr>
        <w:lastRenderedPageBreak/>
        <w:t xml:space="preserve">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w:t>
      </w:r>
      <w:r w:rsidR="00D0008B" w:rsidRPr="004645A1">
        <w:rPr>
          <w:rFonts w:ascii="Arial" w:hAnsi="Arial" w:cs="Arial"/>
          <w:sz w:val="22"/>
        </w:rPr>
        <w:t>Est</w:t>
      </w:r>
      <w:r w:rsidR="00BE3DB5" w:rsidRPr="004645A1">
        <w:rPr>
          <w:rFonts w:ascii="Arial" w:hAnsi="Arial" w:cs="Arial"/>
          <w:sz w:val="22"/>
        </w:rPr>
        <w:t>as</w:t>
      </w:r>
      <w:r w:rsidR="00792691" w:rsidRPr="004645A1">
        <w:rPr>
          <w:rFonts w:ascii="Arial" w:hAnsi="Arial" w:cs="Arial"/>
          <w:sz w:val="22"/>
        </w:rPr>
        <w:t xml:space="preserve"> obras de infraestructura de transporte</w:t>
      </w:r>
      <w:r w:rsidR="00F20F0D" w:rsidRPr="004645A1">
        <w:rPr>
          <w:rFonts w:ascii="Arial" w:hAnsi="Arial" w:cs="Arial"/>
          <w:sz w:val="22"/>
        </w:rPr>
        <w:t xml:space="preserve">, a su vez, </w:t>
      </w:r>
      <w:r w:rsidR="007F4514" w:rsidRPr="004645A1">
        <w:rPr>
          <w:rFonts w:ascii="Arial" w:hAnsi="Arial" w:cs="Arial"/>
          <w:sz w:val="22"/>
        </w:rPr>
        <w:t xml:space="preserve">se encuentran </w:t>
      </w:r>
      <w:r w:rsidR="00F20F0D" w:rsidRPr="004645A1">
        <w:rPr>
          <w:rFonts w:ascii="Arial" w:hAnsi="Arial" w:cs="Arial"/>
          <w:sz w:val="22"/>
        </w:rPr>
        <w:t>subdivididas</w:t>
      </w:r>
      <w:r w:rsidR="00083023" w:rsidRPr="004645A1">
        <w:rPr>
          <w:rFonts w:ascii="Arial" w:hAnsi="Arial" w:cs="Arial"/>
          <w:sz w:val="22"/>
        </w:rPr>
        <w:t xml:space="preserve"> en </w:t>
      </w:r>
      <w:r w:rsidR="000E11AC" w:rsidRPr="004645A1">
        <w:rPr>
          <w:rFonts w:ascii="Arial" w:hAnsi="Arial" w:cs="Arial"/>
          <w:sz w:val="22"/>
        </w:rPr>
        <w:t xml:space="preserve">la Matriz 1 como </w:t>
      </w:r>
      <w:r w:rsidR="00083023" w:rsidRPr="004645A1">
        <w:rPr>
          <w:rFonts w:ascii="Arial" w:hAnsi="Arial" w:cs="Arial"/>
          <w:sz w:val="22"/>
        </w:rPr>
        <w:t>«actividades a contratar».</w:t>
      </w:r>
    </w:p>
    <w:p w14:paraId="59CC195C" w14:textId="79352B9C" w:rsidR="004501E4" w:rsidRPr="004645A1" w:rsidRDefault="004E3943" w:rsidP="00BD0076">
      <w:pPr>
        <w:spacing w:before="120" w:line="276" w:lineRule="auto"/>
        <w:ind w:firstLine="709"/>
        <w:jc w:val="both"/>
        <w:rPr>
          <w:rFonts w:ascii="Arial" w:hAnsi="Arial" w:cs="Arial"/>
          <w:sz w:val="22"/>
        </w:rPr>
      </w:pPr>
      <w:r w:rsidRPr="004645A1">
        <w:rPr>
          <w:rFonts w:ascii="Arial" w:hAnsi="Arial" w:cs="Arial"/>
          <w:sz w:val="22"/>
        </w:rPr>
        <w:t xml:space="preserve">Por ejemplo, </w:t>
      </w:r>
      <w:r w:rsidR="00AF7706" w:rsidRPr="004645A1">
        <w:rPr>
          <w:rFonts w:ascii="Arial" w:hAnsi="Arial" w:cs="Arial"/>
          <w:sz w:val="22"/>
        </w:rPr>
        <w:t>la</w:t>
      </w:r>
      <w:r w:rsidR="008F24C4" w:rsidRPr="004645A1">
        <w:rPr>
          <w:rFonts w:ascii="Arial" w:hAnsi="Arial" w:cs="Arial"/>
          <w:sz w:val="22"/>
        </w:rPr>
        <w:t>s</w:t>
      </w:r>
      <w:r w:rsidR="00AF7706" w:rsidRPr="004645A1">
        <w:rPr>
          <w:rFonts w:ascii="Arial" w:hAnsi="Arial" w:cs="Arial"/>
          <w:sz w:val="22"/>
        </w:rPr>
        <w:t xml:space="preserve"> </w:t>
      </w:r>
      <w:r w:rsidR="004501E4" w:rsidRPr="004645A1">
        <w:rPr>
          <w:rFonts w:ascii="Arial" w:hAnsi="Arial" w:cs="Arial"/>
          <w:sz w:val="22"/>
        </w:rPr>
        <w:t>«</w:t>
      </w:r>
      <w:r w:rsidR="00D870FF" w:rsidRPr="004645A1">
        <w:rPr>
          <w:rFonts w:ascii="Arial" w:hAnsi="Arial" w:cs="Arial"/>
          <w:sz w:val="22"/>
        </w:rPr>
        <w:t>OBRAS MARITIMAS Y FLUVIALES</w:t>
      </w:r>
      <w:r w:rsidR="004501E4" w:rsidRPr="004645A1">
        <w:rPr>
          <w:rFonts w:ascii="Arial" w:hAnsi="Arial" w:cs="Arial"/>
          <w:sz w:val="22"/>
        </w:rPr>
        <w:t>» están subdivididas en tre</w:t>
      </w:r>
      <w:r w:rsidR="00D870FF" w:rsidRPr="004645A1">
        <w:rPr>
          <w:rFonts w:ascii="Arial" w:hAnsi="Arial" w:cs="Arial"/>
          <w:sz w:val="22"/>
        </w:rPr>
        <w:t>ce</w:t>
      </w:r>
      <w:r w:rsidR="004501E4" w:rsidRPr="004645A1">
        <w:rPr>
          <w:rFonts w:ascii="Arial" w:hAnsi="Arial" w:cs="Arial"/>
          <w:sz w:val="22"/>
        </w:rPr>
        <w:t xml:space="preserve"> actividades a contratar, a saber: «</w:t>
      </w:r>
      <w:r w:rsidR="00D870FF" w:rsidRPr="004645A1">
        <w:t xml:space="preserve"> </w:t>
      </w:r>
      <w:r w:rsidR="00D870FF" w:rsidRPr="004645A1">
        <w:rPr>
          <w:rFonts w:ascii="Arial" w:hAnsi="Arial" w:cs="Arial"/>
          <w:sz w:val="22"/>
        </w:rPr>
        <w:t>3.1 OBRA DE DRAGADO EN CANALES DE ACCESO A PUERTOS MARITIMOS</w:t>
      </w:r>
      <w:r w:rsidR="004501E4" w:rsidRPr="004645A1">
        <w:rPr>
          <w:rFonts w:ascii="Arial" w:hAnsi="Arial" w:cs="Arial"/>
          <w:sz w:val="22"/>
        </w:rPr>
        <w:t>», «</w:t>
      </w:r>
      <w:r w:rsidR="00D870FF" w:rsidRPr="004645A1">
        <w:rPr>
          <w:rFonts w:ascii="Arial" w:hAnsi="Arial" w:cs="Arial"/>
          <w:sz w:val="22"/>
        </w:rPr>
        <w:t>3.2 OBRA DE DRAGADO EN RIOS», «3.3 OBRAS COMPLEMENTARIAS A CANALES DE ACCESO MARITIMO, A CANALES NAVEGABLES FLUVIALES, OBRAS DE PROTECCION O DE ENCAUZAMIENTO EN ROCA U OBRAS DE CONSTRUCCIÓN O REHABILITACION, O MEJORAMIENTO O MANTENIMIENTO DE ESTRUCTURAS HIDRAULICAS EN ROCA», «3.4 OBRAS DE CONSTRUCCION O REHABILITACION, O MEJORAMIENTO O MANTENIMIENTO DE ESTRUCTURAS HIDRAULICAS», «3.5 CONTRATOS DE SEÑALIZACION FLUVIAL», «3.6 DESTRONQUE Y LIMPIEZA FLUVIAL», «3.7 MANTENIMIENTO DE MUELLE A TRAVES DE DRAGADO Y OBRAS DE PROTECCION», «3.8 CONSTRUCCION MUELLES FLOTANTES», «3.9 CONSTRUCCION MUELLES EN CONCRETO», «3.10 MANTENIMIENTO DE MUELLES FLOTANTES», «3.11 MANTENIMIENTO DE MUELLES EN CONCRETO», «3.12 MANTENIMIENTO ADMINISTRACION ORGANIZACIÓN Y OPERACIÓN DE LA INFRAESTRUCTURA PORTUARIA METALICO O FLOTANTES» y «3.13 MANTENIMIENTO ADMINISTRACION ORGANIZACIÓN Y OPERACIÓN DE LA INFRAESTRUCTURA PORTUARIA EN CONCRETO»</w:t>
      </w:r>
      <w:r w:rsidR="00532860" w:rsidRPr="004645A1">
        <w:rPr>
          <w:rFonts w:ascii="Arial" w:hAnsi="Arial" w:cs="Arial"/>
          <w:sz w:val="22"/>
        </w:rPr>
        <w:t xml:space="preserve">. </w:t>
      </w:r>
      <w:r w:rsidR="0047425C" w:rsidRPr="004645A1">
        <w:rPr>
          <w:rFonts w:ascii="Arial" w:hAnsi="Arial" w:cs="Arial"/>
          <w:sz w:val="22"/>
        </w:rPr>
        <w:t xml:space="preserve">Esta división es la misma en los Documentos Tipo de licitación pública y </w:t>
      </w:r>
      <w:r w:rsidR="008F24C4" w:rsidRPr="004645A1">
        <w:rPr>
          <w:rFonts w:ascii="Arial" w:hAnsi="Arial" w:cs="Arial"/>
          <w:sz w:val="22"/>
        </w:rPr>
        <w:t xml:space="preserve">en los </w:t>
      </w:r>
      <w:r w:rsidR="0047425C" w:rsidRPr="004645A1">
        <w:rPr>
          <w:rFonts w:ascii="Arial" w:hAnsi="Arial" w:cs="Arial"/>
          <w:sz w:val="22"/>
        </w:rPr>
        <w:t>de selección abreviada de menor cuantía</w:t>
      </w:r>
      <w:r w:rsidR="00632661" w:rsidRPr="004645A1">
        <w:rPr>
          <w:rFonts w:ascii="Arial" w:hAnsi="Arial" w:cs="Arial"/>
          <w:sz w:val="22"/>
        </w:rPr>
        <w:t>.</w:t>
      </w:r>
      <w:r w:rsidR="008F24C4" w:rsidRPr="004645A1">
        <w:rPr>
          <w:rFonts w:ascii="Arial" w:hAnsi="Arial" w:cs="Arial"/>
          <w:sz w:val="22"/>
        </w:rPr>
        <w:t xml:space="preserve"> De esta forma</w:t>
      </w:r>
      <w:r w:rsidR="0047425C" w:rsidRPr="004645A1">
        <w:rPr>
          <w:rFonts w:ascii="Arial" w:hAnsi="Arial" w:cs="Arial"/>
          <w:sz w:val="22"/>
        </w:rPr>
        <w:t>, s</w:t>
      </w:r>
      <w:r w:rsidR="001026F1" w:rsidRPr="004645A1">
        <w:rPr>
          <w:rFonts w:ascii="Arial" w:hAnsi="Arial" w:cs="Arial"/>
          <w:sz w:val="22"/>
        </w:rPr>
        <w:t xml:space="preserve">i la entidad pretende contratar alguna de </w:t>
      </w:r>
      <w:r w:rsidR="008F24C4" w:rsidRPr="004645A1">
        <w:rPr>
          <w:rFonts w:ascii="Arial" w:hAnsi="Arial" w:cs="Arial"/>
          <w:sz w:val="22"/>
        </w:rPr>
        <w:t xml:space="preserve">tales </w:t>
      </w:r>
      <w:r w:rsidR="001026F1" w:rsidRPr="004645A1">
        <w:rPr>
          <w:rFonts w:ascii="Arial" w:hAnsi="Arial" w:cs="Arial"/>
          <w:sz w:val="22"/>
        </w:rPr>
        <w:t>actividades, debe acudir a los Documentos Tipo</w:t>
      </w:r>
      <w:r w:rsidR="00F27B31" w:rsidRPr="004645A1">
        <w:rPr>
          <w:rFonts w:ascii="Arial" w:hAnsi="Arial" w:cs="Arial"/>
          <w:sz w:val="22"/>
        </w:rPr>
        <w:t>,</w:t>
      </w:r>
      <w:r w:rsidR="0047425C" w:rsidRPr="004645A1">
        <w:rPr>
          <w:rFonts w:ascii="Arial" w:hAnsi="Arial" w:cs="Arial"/>
          <w:sz w:val="22"/>
        </w:rPr>
        <w:t xml:space="preserve"> </w:t>
      </w:r>
      <w:r w:rsidR="00450BB2" w:rsidRPr="004645A1">
        <w:rPr>
          <w:rFonts w:ascii="Arial" w:hAnsi="Arial" w:cs="Arial"/>
          <w:sz w:val="22"/>
        </w:rPr>
        <w:t xml:space="preserve">ya sea </w:t>
      </w:r>
      <w:r w:rsidR="0047425C" w:rsidRPr="004645A1">
        <w:rPr>
          <w:rFonts w:ascii="Arial" w:hAnsi="Arial" w:cs="Arial"/>
          <w:sz w:val="22"/>
        </w:rPr>
        <w:t xml:space="preserve">a los de licitación pública o </w:t>
      </w:r>
      <w:r w:rsidR="00B90CB1" w:rsidRPr="004645A1">
        <w:rPr>
          <w:rFonts w:ascii="Arial" w:hAnsi="Arial" w:cs="Arial"/>
          <w:sz w:val="22"/>
        </w:rPr>
        <w:t xml:space="preserve">a los </w:t>
      </w:r>
      <w:r w:rsidR="00DE0A79" w:rsidRPr="004645A1">
        <w:rPr>
          <w:rFonts w:ascii="Arial" w:hAnsi="Arial" w:cs="Arial"/>
          <w:sz w:val="22"/>
        </w:rPr>
        <w:t xml:space="preserve">de </w:t>
      </w:r>
      <w:r w:rsidR="00B90CB1" w:rsidRPr="004645A1">
        <w:rPr>
          <w:rFonts w:ascii="Arial" w:hAnsi="Arial" w:cs="Arial"/>
          <w:sz w:val="22"/>
        </w:rPr>
        <w:t xml:space="preserve">selección abreviada de menor cuantía, dependiendo </w:t>
      </w:r>
      <w:r w:rsidR="00DE0A79" w:rsidRPr="004645A1">
        <w:rPr>
          <w:rFonts w:ascii="Arial" w:hAnsi="Arial" w:cs="Arial"/>
          <w:sz w:val="22"/>
        </w:rPr>
        <w:t xml:space="preserve">de </w:t>
      </w:r>
      <w:r w:rsidR="00B90CB1" w:rsidRPr="004645A1">
        <w:rPr>
          <w:rFonts w:ascii="Arial" w:hAnsi="Arial" w:cs="Arial"/>
          <w:sz w:val="22"/>
        </w:rPr>
        <w:t>las particularidades del proceso de contratación.</w:t>
      </w:r>
    </w:p>
    <w:p w14:paraId="216FDB4D" w14:textId="77777777" w:rsidR="008E0FA8" w:rsidRPr="004645A1" w:rsidRDefault="008E0FA8" w:rsidP="008E0FA8">
      <w:pPr>
        <w:spacing w:before="120" w:line="276" w:lineRule="auto"/>
        <w:ind w:firstLine="709"/>
        <w:jc w:val="both"/>
        <w:rPr>
          <w:rFonts w:ascii="Arial" w:hAnsi="Arial" w:cs="Arial"/>
          <w:sz w:val="22"/>
        </w:rPr>
      </w:pPr>
      <w:r w:rsidRPr="004645A1">
        <w:rPr>
          <w:rFonts w:ascii="Arial" w:hAnsi="Arial" w:cs="Arial"/>
          <w:sz w:val="22"/>
        </w:rPr>
        <w:t>Esto, claro está, sin perjuicio de la aplicación de los Documentos Tipo en virtud del artículo 2.2.1.2.6.1.5. del Decreto 1082 de 2015, adicionado por el artículo 1º del Decreto 342 de 2019, que establece lo siguiente:</w:t>
      </w:r>
    </w:p>
    <w:p w14:paraId="5B3CD48A" w14:textId="77777777" w:rsidR="008E0FA8" w:rsidRPr="004645A1" w:rsidRDefault="008E0FA8" w:rsidP="008E0FA8">
      <w:pPr>
        <w:jc w:val="both"/>
        <w:rPr>
          <w:rFonts w:ascii="Arial" w:hAnsi="Arial" w:cs="Arial"/>
          <w:sz w:val="22"/>
        </w:rPr>
      </w:pPr>
    </w:p>
    <w:p w14:paraId="47B29B7B" w14:textId="77777777" w:rsidR="008E0FA8" w:rsidRPr="004645A1" w:rsidRDefault="008E0FA8" w:rsidP="00ED066E">
      <w:pPr>
        <w:ind w:left="709" w:right="758"/>
        <w:jc w:val="both"/>
        <w:rPr>
          <w:rFonts w:ascii="Arial" w:hAnsi="Arial" w:cs="Arial"/>
          <w:sz w:val="21"/>
          <w:szCs w:val="21"/>
        </w:rPr>
      </w:pPr>
      <w:r w:rsidRPr="004645A1">
        <w:rPr>
          <w:rFonts w:ascii="Arial" w:hAnsi="Arial" w:cs="Arial"/>
          <w:sz w:val="21"/>
          <w:szCs w:val="21"/>
        </w:rPr>
        <w:t>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w:t>
      </w:r>
    </w:p>
    <w:p w14:paraId="2A03A65C" w14:textId="77777777" w:rsidR="008E0FA8" w:rsidRPr="004645A1" w:rsidRDefault="008E0FA8" w:rsidP="00ED066E">
      <w:pPr>
        <w:ind w:left="709" w:right="758"/>
        <w:jc w:val="both"/>
        <w:rPr>
          <w:rFonts w:ascii="Arial" w:hAnsi="Arial" w:cs="Arial"/>
          <w:sz w:val="21"/>
          <w:szCs w:val="21"/>
        </w:rPr>
      </w:pPr>
    </w:p>
    <w:p w14:paraId="6911E7BE" w14:textId="77777777" w:rsidR="008E0FA8" w:rsidRPr="004645A1" w:rsidRDefault="008E0FA8" w:rsidP="00ED066E">
      <w:pPr>
        <w:ind w:left="709" w:right="758"/>
        <w:jc w:val="both"/>
        <w:rPr>
          <w:rFonts w:ascii="Arial" w:hAnsi="Arial" w:cs="Arial"/>
          <w:sz w:val="21"/>
          <w:szCs w:val="21"/>
        </w:rPr>
      </w:pPr>
      <w:r w:rsidRPr="004645A1">
        <w:rPr>
          <w:rFonts w:ascii="Arial" w:hAnsi="Arial" w:cs="Arial"/>
          <w:sz w:val="21"/>
          <w:szCs w:val="21"/>
        </w:rPr>
        <w:t xml:space="preserve">1. Demostrar en los estudios previos que ha verificado las condiciones de mercado para la adquisición de los bienes o servicios adicionales al componente de obra pública, de tal manera que la experiencia adicional que se exija para </w:t>
      </w:r>
      <w:r w:rsidRPr="004645A1">
        <w:rPr>
          <w:rFonts w:ascii="Arial" w:hAnsi="Arial" w:cs="Arial"/>
          <w:sz w:val="21"/>
          <w:szCs w:val="21"/>
        </w:rPr>
        <w:lastRenderedPageBreak/>
        <w:t>tales bienes o servicios procure la pluralidad de oferentes, y no limite la concurrencia de proponentes al proceso de contratación.</w:t>
      </w:r>
    </w:p>
    <w:p w14:paraId="6EF4596F" w14:textId="77777777" w:rsidR="008E0FA8" w:rsidRPr="004645A1" w:rsidRDefault="008E0FA8" w:rsidP="00ED066E">
      <w:pPr>
        <w:ind w:left="709" w:right="758"/>
        <w:jc w:val="both"/>
        <w:rPr>
          <w:rFonts w:ascii="Arial" w:hAnsi="Arial" w:cs="Arial"/>
          <w:sz w:val="21"/>
          <w:szCs w:val="21"/>
        </w:rPr>
      </w:pPr>
    </w:p>
    <w:p w14:paraId="2F17E95E" w14:textId="77777777" w:rsidR="008E0FA8" w:rsidRPr="004645A1" w:rsidRDefault="008E0FA8" w:rsidP="00ED066E">
      <w:pPr>
        <w:ind w:left="709" w:right="758"/>
        <w:jc w:val="both"/>
        <w:rPr>
          <w:rFonts w:ascii="Arial" w:hAnsi="Arial" w:cs="Arial"/>
          <w:sz w:val="21"/>
          <w:szCs w:val="21"/>
        </w:rPr>
      </w:pPr>
      <w:r w:rsidRPr="004645A1">
        <w:rPr>
          <w:rFonts w:ascii="Arial" w:hAnsi="Arial" w:cs="Arial"/>
          <w:sz w:val="21"/>
          <w:szCs w:val="21"/>
        </w:rPr>
        <w:t>2. Conservar los requisitos exigidos en los Documentos Tipo.</w:t>
      </w:r>
    </w:p>
    <w:p w14:paraId="4360804F" w14:textId="77777777" w:rsidR="008E0FA8" w:rsidRPr="004645A1" w:rsidRDefault="008E0FA8" w:rsidP="00ED066E">
      <w:pPr>
        <w:ind w:left="709" w:right="758"/>
        <w:jc w:val="both"/>
        <w:rPr>
          <w:rFonts w:ascii="Arial" w:hAnsi="Arial" w:cs="Arial"/>
          <w:sz w:val="21"/>
          <w:szCs w:val="21"/>
        </w:rPr>
      </w:pPr>
    </w:p>
    <w:p w14:paraId="68272346" w14:textId="77777777" w:rsidR="008E0FA8" w:rsidRPr="004645A1" w:rsidRDefault="008E0FA8" w:rsidP="00ED066E">
      <w:pPr>
        <w:ind w:left="709" w:right="758"/>
        <w:jc w:val="both"/>
        <w:rPr>
          <w:rFonts w:ascii="Arial" w:hAnsi="Arial" w:cs="Arial"/>
          <w:sz w:val="21"/>
          <w:szCs w:val="21"/>
        </w:rPr>
      </w:pPr>
      <w:r w:rsidRPr="004645A1">
        <w:rPr>
          <w:rFonts w:ascii="Arial" w:hAnsi="Arial" w:cs="Arial"/>
          <w:sz w:val="21"/>
          <w:szCs w:val="21"/>
        </w:rPr>
        <w:t>3. Abstenerse de pedir experiencia exclusiva con entidades estatales, experiencia previa en un territorio específico, limitada en el tiempo o que incluya volúmenes o cantidades de obra específica.</w:t>
      </w:r>
    </w:p>
    <w:p w14:paraId="408126B2" w14:textId="77777777" w:rsidR="008E0FA8" w:rsidRPr="004645A1" w:rsidRDefault="008E0FA8" w:rsidP="00ED066E">
      <w:pPr>
        <w:ind w:left="709" w:right="758"/>
        <w:jc w:val="both"/>
        <w:rPr>
          <w:rFonts w:ascii="Arial" w:hAnsi="Arial" w:cs="Arial"/>
          <w:sz w:val="21"/>
          <w:szCs w:val="21"/>
        </w:rPr>
      </w:pPr>
    </w:p>
    <w:p w14:paraId="35B65494" w14:textId="77777777" w:rsidR="008E0FA8" w:rsidRPr="004645A1" w:rsidRDefault="008E0FA8" w:rsidP="00ED066E">
      <w:pPr>
        <w:ind w:left="709" w:right="758"/>
        <w:jc w:val="both"/>
        <w:rPr>
          <w:rFonts w:ascii="Arial" w:hAnsi="Arial" w:cs="Arial"/>
          <w:sz w:val="21"/>
          <w:szCs w:val="21"/>
        </w:rPr>
      </w:pPr>
      <w:r w:rsidRPr="004645A1">
        <w:rPr>
          <w:rFonts w:ascii="Arial" w:hAnsi="Arial" w:cs="Arial"/>
          <w:sz w:val="21"/>
          <w:szCs w:val="21"/>
        </w:rPr>
        <w:t>4. Clasificar la experiencia requerida solo hasta el tercer nivel del Clasificador de Bienes y Servicios e incluir exclusivamente los códigos que estén relacionados directamente con el objeto a contratar.</w:t>
      </w:r>
    </w:p>
    <w:p w14:paraId="2ED78A68" w14:textId="77777777" w:rsidR="008E0FA8" w:rsidRPr="004645A1" w:rsidRDefault="008E0FA8" w:rsidP="008E0FA8">
      <w:pPr>
        <w:pStyle w:val="Default"/>
        <w:spacing w:line="120" w:lineRule="auto"/>
        <w:rPr>
          <w:color w:val="auto"/>
        </w:rPr>
      </w:pPr>
    </w:p>
    <w:p w14:paraId="0A60FA53" w14:textId="77777777" w:rsidR="008E0FA8" w:rsidRPr="004645A1" w:rsidRDefault="008E0FA8" w:rsidP="008E0FA8">
      <w:pPr>
        <w:spacing w:before="120" w:line="276" w:lineRule="auto"/>
        <w:ind w:firstLine="708"/>
        <w:jc w:val="both"/>
        <w:rPr>
          <w:rFonts w:ascii="Arial" w:hAnsi="Arial" w:cs="Arial"/>
          <w:sz w:val="22"/>
        </w:rPr>
      </w:pPr>
      <w:r w:rsidRPr="004645A1">
        <w:rPr>
          <w:rFonts w:ascii="Arial" w:hAnsi="Arial" w:cs="Arial"/>
          <w:sz w:val="22"/>
        </w:rPr>
        <w:t xml:space="preserve">Es del caso precisar que la categoría «bienes o servicios adicionales a la obra pública», para efectos de la aplicación del artículo 2.2.1.2.6.1.5. del Decreto 1082 de 2015, se circunscribe a los contratos estatales de obra pública. Así lo reconoció esta Agencia en el concepto del 21 de octubre de 2019 –radicado No. 2201913000007847–, en el que estudió la aplicación del artículo 2.2.1.2.6.1.5. del Decreto 1082 de 2015, y, sobre la posibilidad de exigir experiencia adicional para «bienes o servicios adicionales a la obra pública», consideró lo siguiente: </w:t>
      </w:r>
    </w:p>
    <w:p w14:paraId="45700A62" w14:textId="77777777" w:rsidR="008E0FA8" w:rsidRPr="004645A1" w:rsidRDefault="008E0FA8" w:rsidP="008E0FA8">
      <w:pPr>
        <w:spacing w:line="276" w:lineRule="auto"/>
        <w:ind w:firstLine="708"/>
        <w:jc w:val="both"/>
        <w:rPr>
          <w:rFonts w:ascii="Arial" w:hAnsi="Arial" w:cs="Arial"/>
          <w:sz w:val="22"/>
        </w:rPr>
      </w:pPr>
    </w:p>
    <w:p w14:paraId="764B2F55" w14:textId="77777777" w:rsidR="008E0FA8" w:rsidRPr="004645A1" w:rsidRDefault="008E0FA8" w:rsidP="008E0FA8">
      <w:pPr>
        <w:ind w:left="709" w:right="760"/>
        <w:jc w:val="both"/>
        <w:rPr>
          <w:rFonts w:ascii="Arial" w:hAnsi="Arial" w:cs="Arial"/>
          <w:sz w:val="21"/>
          <w:szCs w:val="21"/>
        </w:rPr>
      </w:pPr>
      <w:r w:rsidRPr="004645A1">
        <w:rPr>
          <w:rFonts w:ascii="Arial" w:hAnsi="Arial" w:cs="Arial"/>
          <w:sz w:val="21"/>
          <w:szCs w:val="21"/>
        </w:rPr>
        <w:t xml:space="preserve">La posibilidad de solicitar experiencia adicional sólo es viable cuando el objeto contractual incluye bienes o servicios adicionales a la obra pública de infraestructura de transporte, es decir: i) la actividad que se requiere </w:t>
      </w:r>
      <w:r w:rsidRPr="004645A1">
        <w:rPr>
          <w:rFonts w:ascii="Arial" w:hAnsi="Arial" w:cs="Arial"/>
          <w:i/>
          <w:iCs/>
          <w:sz w:val="21"/>
          <w:szCs w:val="21"/>
        </w:rPr>
        <w:t>si bien es una actividad de obra</w:t>
      </w:r>
      <w:r w:rsidRPr="004645A1">
        <w:rPr>
          <w:rFonts w:ascii="Arial" w:hAnsi="Arial" w:cs="Arial"/>
          <w:sz w:val="21"/>
          <w:szCs w:val="21"/>
        </w:rPr>
        <w:t xml:space="preserve"> no es relacionada con la infraestructura de obra de infraestructura transporte, por ejemplo, la construcción de alcantarillado o acueducto, y, </w:t>
      </w:r>
      <w:proofErr w:type="spellStart"/>
      <w:r w:rsidRPr="004645A1">
        <w:rPr>
          <w:rFonts w:ascii="Arial" w:hAnsi="Arial" w:cs="Arial"/>
          <w:sz w:val="21"/>
          <w:szCs w:val="21"/>
        </w:rPr>
        <w:t>ii</w:t>
      </w:r>
      <w:proofErr w:type="spellEnd"/>
      <w:r w:rsidRPr="004645A1">
        <w:rPr>
          <w:rFonts w:ascii="Arial" w:hAnsi="Arial" w:cs="Arial"/>
          <w:sz w:val="21"/>
          <w:szCs w:val="21"/>
        </w:rPr>
        <w:t>) la obra o servicio adicional es distinto a la actividad de obra aun cuando se relaciona con la infraestructura de transporte, ya sea porque es un contrato de suministro, de consultoría para realizar los estudios y diseños de la obra de infraestructura de transporte. (Cursivas propias)</w:t>
      </w:r>
    </w:p>
    <w:p w14:paraId="3D63D900" w14:textId="77777777" w:rsidR="008E0FA8" w:rsidRPr="004645A1" w:rsidRDefault="008E0FA8" w:rsidP="008E0FA8">
      <w:pPr>
        <w:spacing w:line="276" w:lineRule="auto"/>
        <w:ind w:firstLine="708"/>
        <w:jc w:val="both"/>
        <w:rPr>
          <w:rFonts w:ascii="Arial" w:hAnsi="Arial" w:cs="Arial"/>
          <w:sz w:val="22"/>
        </w:rPr>
      </w:pPr>
    </w:p>
    <w:p w14:paraId="3A889810" w14:textId="66ADBCF4" w:rsidR="008E0FA8" w:rsidRPr="004645A1" w:rsidRDefault="009824C1" w:rsidP="008E0FA8">
      <w:pPr>
        <w:spacing w:line="276" w:lineRule="auto"/>
        <w:ind w:firstLine="708"/>
        <w:jc w:val="both"/>
        <w:rPr>
          <w:rFonts w:ascii="Arial" w:hAnsi="Arial" w:cs="Arial"/>
          <w:sz w:val="22"/>
        </w:rPr>
      </w:pPr>
      <w:r w:rsidRPr="004645A1">
        <w:rPr>
          <w:rFonts w:ascii="Arial" w:hAnsi="Arial" w:cs="Arial"/>
          <w:sz w:val="22"/>
        </w:rPr>
        <w:t>A manera de ejemplo, l</w:t>
      </w:r>
      <w:r w:rsidR="008E0FA8" w:rsidRPr="004645A1">
        <w:rPr>
          <w:rFonts w:ascii="Arial" w:hAnsi="Arial" w:cs="Arial"/>
          <w:sz w:val="22"/>
        </w:rPr>
        <w:t xml:space="preserve">os contratos como el de arrendamiento de maquinaria no se encuentran sometidos a los </w:t>
      </w:r>
      <w:r w:rsidRPr="004645A1">
        <w:rPr>
          <w:rFonts w:ascii="Arial" w:hAnsi="Arial" w:cs="Arial"/>
          <w:sz w:val="22"/>
        </w:rPr>
        <w:t xml:space="preserve">Documentos </w:t>
      </w:r>
      <w:r w:rsidR="008E0FA8" w:rsidRPr="004645A1">
        <w:rPr>
          <w:rFonts w:ascii="Arial" w:hAnsi="Arial" w:cs="Arial"/>
          <w:sz w:val="22"/>
        </w:rPr>
        <w:t>Tipo, se insiste, porque estos aplican para los contratos de obra pública de infraestructura de transporte, ya sea porque el contrato tiene como objeto alguna de las «actividades» relacionadas en la Matriz 1, o porque se trata de «bienes o servicios adicionales a la obra pública», según lo dicho en los párrafos anteriores.</w:t>
      </w:r>
    </w:p>
    <w:p w14:paraId="0D03452A" w14:textId="32F9C711" w:rsidR="008E0FA8" w:rsidRPr="004645A1" w:rsidRDefault="00D870FF" w:rsidP="008E0FA8">
      <w:pPr>
        <w:spacing w:before="120" w:line="276" w:lineRule="auto"/>
        <w:ind w:firstLine="709"/>
        <w:jc w:val="both"/>
        <w:rPr>
          <w:rFonts w:ascii="Arial" w:hAnsi="Arial" w:cs="Arial"/>
          <w:sz w:val="22"/>
        </w:rPr>
      </w:pPr>
      <w:r w:rsidRPr="004645A1">
        <w:rPr>
          <w:rFonts w:ascii="Arial" w:hAnsi="Arial" w:cs="Arial"/>
          <w:sz w:val="22"/>
        </w:rPr>
        <w:t>En ese orden,</w:t>
      </w:r>
      <w:r w:rsidR="008E0FA8" w:rsidRPr="004645A1">
        <w:rPr>
          <w:rFonts w:ascii="Arial" w:hAnsi="Arial" w:cs="Arial"/>
          <w:sz w:val="22"/>
        </w:rPr>
        <w:t xml:space="preserve"> Colombia Compra Eficiente considera que los Documentos Tipo son obligatorios para las entidades públicas</w:t>
      </w:r>
      <w:r w:rsidR="00C7791A">
        <w:rPr>
          <w:rFonts w:ascii="Arial" w:hAnsi="Arial" w:cs="Arial"/>
          <w:sz w:val="22"/>
        </w:rPr>
        <w:t>, cuando sus contratos se sometan al régimen de la</w:t>
      </w:r>
      <w:r w:rsidR="008E0FA8" w:rsidRPr="004645A1">
        <w:rPr>
          <w:rFonts w:ascii="Arial" w:hAnsi="Arial" w:cs="Arial"/>
          <w:sz w:val="22"/>
        </w:rPr>
        <w:t xml:space="preserve"> Ley 80 de 1993, y que el ámbito de aplicación de dichos documentos está determinado por las actividades a contratar establecidas en la Matriz 1 y, eventualmente, en el artículo 2.2.1.2.6.1.5. del Decreto 1082 de 2015, adicionado por el artículo 1º del Decreto 342 de 2019, en relación con la adquisición de bienes o servicios adicionales a la obra pública.</w:t>
      </w:r>
    </w:p>
    <w:p w14:paraId="623948DD" w14:textId="3356B104" w:rsidR="00553AF9" w:rsidRPr="004645A1" w:rsidRDefault="00553AF9" w:rsidP="00553AF9">
      <w:pPr>
        <w:spacing w:before="120" w:line="276" w:lineRule="auto"/>
        <w:ind w:firstLine="709"/>
        <w:jc w:val="both"/>
        <w:rPr>
          <w:rFonts w:ascii="Arial" w:hAnsi="Arial" w:cs="Arial"/>
          <w:sz w:val="22"/>
        </w:rPr>
      </w:pPr>
      <w:r w:rsidRPr="004645A1">
        <w:rPr>
          <w:rFonts w:ascii="Arial" w:hAnsi="Arial" w:cs="Arial"/>
          <w:sz w:val="22"/>
        </w:rPr>
        <w:lastRenderedPageBreak/>
        <w:t xml:space="preserve">De conformidad con lo anterior, </w:t>
      </w:r>
      <w:bookmarkStart w:id="5" w:name="_Hlk38613180"/>
      <w:r w:rsidRPr="004645A1">
        <w:rPr>
          <w:rFonts w:ascii="Arial" w:hAnsi="Arial" w:cs="Arial"/>
          <w:sz w:val="22"/>
        </w:rPr>
        <w:t xml:space="preserve">los Documentos Tipo para «licitación» de «obra pública de infraestructura de transporte», así como los Documentos Tipo para los procedimientos de «selección abreviada de menor cuantía», son obligatorios y deben ser aplicados de manera obligatoria por las entidades estatales sometidas al Estatuto General de la Contratación de la Administración Pública, de conformidad con lo establecido en el parágrafo 7 del artículo </w:t>
      </w:r>
      <w:r w:rsidR="00C7791A">
        <w:rPr>
          <w:rFonts w:ascii="Arial" w:hAnsi="Arial" w:cs="Arial"/>
          <w:sz w:val="22"/>
        </w:rPr>
        <w:t xml:space="preserve">2 </w:t>
      </w:r>
      <w:r w:rsidRPr="004645A1">
        <w:rPr>
          <w:rFonts w:ascii="Arial" w:hAnsi="Arial" w:cs="Arial"/>
          <w:sz w:val="22"/>
        </w:rPr>
        <w:t>de la Ley 1150 modificado por la Ley 1882 de 2018, y los procesos de contratación en los que deben aplicarse son en los de infraestructura de transporte que se encuadren dentro de las actividades definidas en la Matriz 1.</w:t>
      </w:r>
    </w:p>
    <w:bookmarkEnd w:id="5"/>
    <w:p w14:paraId="6320579C" w14:textId="290A7734" w:rsidR="00F91BF3" w:rsidRPr="004645A1" w:rsidRDefault="00FA3005" w:rsidP="004C5FC5">
      <w:pPr>
        <w:spacing w:before="120" w:after="120" w:line="276" w:lineRule="auto"/>
        <w:ind w:firstLine="708"/>
        <w:jc w:val="both"/>
        <w:rPr>
          <w:rFonts w:ascii="Arial" w:hAnsi="Arial" w:cs="Arial"/>
          <w:sz w:val="22"/>
        </w:rPr>
      </w:pPr>
      <w:r w:rsidRPr="004645A1">
        <w:rPr>
          <w:rFonts w:ascii="Arial" w:hAnsi="Arial" w:cs="Arial"/>
          <w:sz w:val="22"/>
        </w:rPr>
        <w:t xml:space="preserve">En </w:t>
      </w:r>
      <w:r w:rsidR="00D870FF" w:rsidRPr="004645A1">
        <w:rPr>
          <w:rFonts w:ascii="Arial" w:hAnsi="Arial" w:cs="Arial"/>
          <w:sz w:val="22"/>
        </w:rPr>
        <w:t>conclusión,</w:t>
      </w:r>
      <w:r w:rsidRPr="004645A1">
        <w:rPr>
          <w:rFonts w:ascii="Arial" w:hAnsi="Arial" w:cs="Arial"/>
          <w:sz w:val="22"/>
        </w:rPr>
        <w:t xml:space="preserve"> existen tres criterios para determinar si procede de forma obligatoria la contratación de una actividad mediante los Documentos Tipo: a) que se trate de un</w:t>
      </w:r>
      <w:r w:rsidR="00790697" w:rsidRPr="004645A1">
        <w:rPr>
          <w:rFonts w:ascii="Arial" w:hAnsi="Arial" w:cs="Arial"/>
          <w:sz w:val="22"/>
        </w:rPr>
        <w:t>a</w:t>
      </w:r>
      <w:r w:rsidRPr="004645A1">
        <w:rPr>
          <w:rFonts w:ascii="Arial" w:hAnsi="Arial" w:cs="Arial"/>
          <w:sz w:val="22"/>
        </w:rPr>
        <w:t xml:space="preserve"> obra pública; </w:t>
      </w:r>
      <w:proofErr w:type="spellStart"/>
      <w:r w:rsidRPr="004645A1">
        <w:rPr>
          <w:rFonts w:ascii="Arial" w:hAnsi="Arial" w:cs="Arial"/>
          <w:sz w:val="22"/>
        </w:rPr>
        <w:t>ii</w:t>
      </w:r>
      <w:proofErr w:type="spellEnd"/>
      <w:r w:rsidRPr="004645A1">
        <w:rPr>
          <w:rFonts w:ascii="Arial" w:hAnsi="Arial" w:cs="Arial"/>
          <w:sz w:val="22"/>
        </w:rPr>
        <w:t xml:space="preserve">) que el contratante sea una entidad sometida al Estatuto General de Contratación de la Administración Pública; y </w:t>
      </w:r>
      <w:proofErr w:type="spellStart"/>
      <w:r w:rsidRPr="004645A1">
        <w:rPr>
          <w:rFonts w:ascii="Arial" w:hAnsi="Arial" w:cs="Arial"/>
          <w:sz w:val="22"/>
        </w:rPr>
        <w:t>iii</w:t>
      </w:r>
      <w:proofErr w:type="spellEnd"/>
      <w:r w:rsidRPr="004645A1">
        <w:rPr>
          <w:rFonts w:ascii="Arial" w:hAnsi="Arial" w:cs="Arial"/>
          <w:sz w:val="22"/>
        </w:rPr>
        <w:t xml:space="preserve">) que el objeto a contratar </w:t>
      </w:r>
      <w:r w:rsidR="00D870FF" w:rsidRPr="004645A1">
        <w:rPr>
          <w:rFonts w:ascii="Arial" w:hAnsi="Arial" w:cs="Arial"/>
          <w:sz w:val="22"/>
        </w:rPr>
        <w:t>sea subsumible</w:t>
      </w:r>
      <w:r w:rsidRPr="004645A1">
        <w:rPr>
          <w:rFonts w:ascii="Arial" w:hAnsi="Arial" w:cs="Arial"/>
          <w:sz w:val="22"/>
        </w:rPr>
        <w:t xml:space="preserve"> o est</w:t>
      </w:r>
      <w:r w:rsidR="00C7791A">
        <w:rPr>
          <w:rFonts w:ascii="Arial" w:hAnsi="Arial" w:cs="Arial"/>
          <w:sz w:val="22"/>
        </w:rPr>
        <w:t>é</w:t>
      </w:r>
      <w:r w:rsidRPr="004645A1">
        <w:rPr>
          <w:rFonts w:ascii="Arial" w:hAnsi="Arial" w:cs="Arial"/>
          <w:sz w:val="22"/>
        </w:rPr>
        <w:t xml:space="preserve"> asociado </w:t>
      </w:r>
      <w:r w:rsidR="00C7791A">
        <w:rPr>
          <w:rFonts w:ascii="Arial" w:hAnsi="Arial" w:cs="Arial"/>
          <w:sz w:val="22"/>
        </w:rPr>
        <w:t xml:space="preserve">a </w:t>
      </w:r>
      <w:r w:rsidRPr="004645A1">
        <w:rPr>
          <w:rFonts w:ascii="Arial" w:hAnsi="Arial" w:cs="Arial"/>
          <w:sz w:val="22"/>
        </w:rPr>
        <w:t>alguno de los tipos de obra y actividades señaladas en la Matriz 1.</w:t>
      </w:r>
      <w:r w:rsidR="00825339" w:rsidRPr="004645A1">
        <w:rPr>
          <w:rFonts w:ascii="Arial" w:hAnsi="Arial" w:cs="Arial"/>
          <w:sz w:val="22"/>
        </w:rPr>
        <w:t xml:space="preserve"> La coexistencia de tales </w:t>
      </w:r>
      <w:proofErr w:type="gramStart"/>
      <w:r w:rsidR="00AB2DE4" w:rsidRPr="004645A1">
        <w:rPr>
          <w:rFonts w:ascii="Arial" w:hAnsi="Arial" w:cs="Arial"/>
          <w:sz w:val="22"/>
        </w:rPr>
        <w:t>condiciones</w:t>
      </w:r>
      <w:r w:rsidR="00424F74">
        <w:rPr>
          <w:rFonts w:ascii="Arial" w:hAnsi="Arial" w:cs="Arial"/>
          <w:sz w:val="22"/>
        </w:rPr>
        <w:t>,</w:t>
      </w:r>
      <w:proofErr w:type="gramEnd"/>
      <w:r w:rsidR="00825339" w:rsidRPr="004645A1">
        <w:rPr>
          <w:rFonts w:ascii="Arial" w:hAnsi="Arial" w:cs="Arial"/>
          <w:sz w:val="22"/>
        </w:rPr>
        <w:t xml:space="preserve"> se itera, conforme indican las normas analizadas, hace que sea obligatoria la aplicación de los Documentos Tipo.</w:t>
      </w:r>
    </w:p>
    <w:p w14:paraId="476931EC" w14:textId="76B2AE79" w:rsidR="00AB2DE4" w:rsidRPr="004645A1" w:rsidRDefault="00AB2DE4" w:rsidP="004C5FC5">
      <w:pPr>
        <w:spacing w:before="120" w:after="120" w:line="276" w:lineRule="auto"/>
        <w:ind w:firstLine="708"/>
        <w:jc w:val="both"/>
        <w:rPr>
          <w:rFonts w:ascii="Arial" w:hAnsi="Arial" w:cs="Arial"/>
          <w:sz w:val="22"/>
        </w:rPr>
      </w:pPr>
      <w:r w:rsidRPr="004645A1">
        <w:rPr>
          <w:rFonts w:ascii="Arial" w:hAnsi="Arial" w:cs="Arial"/>
          <w:sz w:val="22"/>
        </w:rPr>
        <w:t xml:space="preserve">No sobra aclarar que la naturaleza de las funciones atribuidas a la entidad que adelanta o pretende adelantar el proceso de contratación, no ha sido definido como un criterio para determinar el ámbito de aplicación de los Documentos Tipo. </w:t>
      </w:r>
      <w:r w:rsidR="004645A1" w:rsidRPr="004645A1">
        <w:rPr>
          <w:rFonts w:ascii="Arial" w:hAnsi="Arial" w:cs="Arial"/>
          <w:sz w:val="22"/>
        </w:rPr>
        <w:t>En consecuencia,</w:t>
      </w:r>
      <w:r w:rsidRPr="004645A1">
        <w:rPr>
          <w:rFonts w:ascii="Arial" w:hAnsi="Arial" w:cs="Arial"/>
          <w:sz w:val="22"/>
        </w:rPr>
        <w:t xml:space="preserve"> siempre que una entidad estatal regida </w:t>
      </w:r>
      <w:r w:rsidR="004645A1" w:rsidRPr="004645A1">
        <w:rPr>
          <w:rFonts w:ascii="Arial" w:hAnsi="Arial" w:cs="Arial"/>
          <w:sz w:val="22"/>
        </w:rPr>
        <w:t xml:space="preserve">por el Estatuto General de Contratación de la Administración Pública pretenda contratar actividades definidas o asociadas a las de la Matriz 1 debe aplicar los Documentos Tipo de licitación pública o selección abreviada, según corresponda, sin que sea posible escudarse en la naturaleza de sus funciones o en nociones de infraestructura de transporte distintas de las de la Matriz 1, como motivos para proceder </w:t>
      </w:r>
      <w:r w:rsidR="00C7791A">
        <w:rPr>
          <w:rFonts w:ascii="Arial" w:hAnsi="Arial" w:cs="Arial"/>
          <w:sz w:val="22"/>
        </w:rPr>
        <w:t>de</w:t>
      </w:r>
      <w:r w:rsidR="00C7791A" w:rsidRPr="004645A1">
        <w:rPr>
          <w:rFonts w:ascii="Arial" w:hAnsi="Arial" w:cs="Arial"/>
          <w:sz w:val="22"/>
        </w:rPr>
        <w:t xml:space="preserve"> </w:t>
      </w:r>
      <w:r w:rsidR="004645A1" w:rsidRPr="004645A1">
        <w:rPr>
          <w:rFonts w:ascii="Arial" w:hAnsi="Arial" w:cs="Arial"/>
          <w:sz w:val="22"/>
        </w:rPr>
        <w:t xml:space="preserve">manera contraria. </w:t>
      </w:r>
    </w:p>
    <w:p w14:paraId="3FEE41DA" w14:textId="77777777" w:rsidR="00DC367F" w:rsidRPr="004645A1" w:rsidRDefault="00DC367F" w:rsidP="008D5926">
      <w:pPr>
        <w:spacing w:line="276" w:lineRule="auto"/>
        <w:ind w:firstLine="708"/>
        <w:jc w:val="both"/>
        <w:rPr>
          <w:rFonts w:ascii="Arial" w:hAnsi="Arial" w:cs="Arial"/>
          <w:sz w:val="22"/>
        </w:rPr>
      </w:pPr>
    </w:p>
    <w:p w14:paraId="687CB649" w14:textId="77777777" w:rsidR="00A37FB6" w:rsidRPr="004645A1" w:rsidRDefault="00A37FB6" w:rsidP="00D01760">
      <w:pPr>
        <w:pStyle w:val="Prrafodelista"/>
        <w:numPr>
          <w:ilvl w:val="0"/>
          <w:numId w:val="6"/>
        </w:numPr>
        <w:tabs>
          <w:tab w:val="left" w:pos="284"/>
        </w:tabs>
        <w:spacing w:line="276" w:lineRule="auto"/>
        <w:ind w:left="0" w:hanging="142"/>
        <w:jc w:val="both"/>
        <w:rPr>
          <w:rFonts w:ascii="Arial" w:eastAsia="Calibri" w:hAnsi="Arial" w:cs="Arial"/>
          <w:sz w:val="22"/>
        </w:rPr>
      </w:pPr>
      <w:r w:rsidRPr="004645A1">
        <w:rPr>
          <w:rFonts w:ascii="Arial" w:eastAsia="Calibri" w:hAnsi="Arial" w:cs="Arial"/>
          <w:b/>
          <w:sz w:val="22"/>
        </w:rPr>
        <w:t>Respuestas</w:t>
      </w:r>
    </w:p>
    <w:p w14:paraId="1369FD7E" w14:textId="77777777" w:rsidR="00A37FB6" w:rsidRPr="004645A1" w:rsidRDefault="00A37FB6" w:rsidP="00D01760">
      <w:pPr>
        <w:spacing w:line="276" w:lineRule="auto"/>
        <w:ind w:left="709" w:right="709"/>
        <w:jc w:val="both"/>
        <w:rPr>
          <w:rFonts w:ascii="Arial" w:eastAsia="Calibri" w:hAnsi="Arial" w:cs="Arial"/>
          <w:i/>
          <w:sz w:val="22"/>
        </w:rPr>
      </w:pPr>
    </w:p>
    <w:p w14:paraId="3F4F04EF" w14:textId="252EC07A" w:rsidR="005C2B8D" w:rsidRPr="004645A1" w:rsidRDefault="009F7BDD" w:rsidP="003B6CD4">
      <w:pPr>
        <w:ind w:left="709" w:right="709"/>
        <w:jc w:val="both"/>
        <w:rPr>
          <w:rFonts w:ascii="Arial" w:eastAsia="Calibri" w:hAnsi="Arial" w:cs="Arial"/>
          <w:sz w:val="21"/>
          <w:szCs w:val="21"/>
        </w:rPr>
      </w:pPr>
      <w:r w:rsidRPr="004645A1">
        <w:rPr>
          <w:rFonts w:ascii="Arial" w:eastAsia="Calibri" w:hAnsi="Arial" w:cs="Arial"/>
          <w:sz w:val="21"/>
          <w:szCs w:val="21"/>
        </w:rPr>
        <w:t xml:space="preserve">«[…] si hay entidades eximidas de la aplicación en el uso de los pliegos tipos para sus procesos, pues es claro que el alcance del proceso encaja taxativamente en el tipo de obras de infraestructura de transporte señalado en la LEY 1882 de 2018: Infraestructura Marítima y Fluviales, tal como lo han incorporado otras entidades </w:t>
      </w:r>
      <w:proofErr w:type="spellStart"/>
      <w:r w:rsidRPr="004645A1">
        <w:rPr>
          <w:rFonts w:ascii="Arial" w:eastAsia="Calibri" w:hAnsi="Arial" w:cs="Arial"/>
          <w:sz w:val="21"/>
          <w:szCs w:val="21"/>
        </w:rPr>
        <w:t>publicas</w:t>
      </w:r>
      <w:proofErr w:type="spellEnd"/>
      <w:r w:rsidRPr="004645A1">
        <w:rPr>
          <w:rFonts w:ascii="Arial" w:eastAsia="Calibri" w:hAnsi="Arial" w:cs="Arial"/>
          <w:sz w:val="21"/>
          <w:szCs w:val="21"/>
        </w:rPr>
        <w:t xml:space="preserve"> con misión militar […]».</w:t>
      </w:r>
    </w:p>
    <w:p w14:paraId="0D9AC29E" w14:textId="77777777" w:rsidR="009F7BDD" w:rsidRPr="004645A1" w:rsidRDefault="009F7BDD" w:rsidP="003B6CD4">
      <w:pPr>
        <w:ind w:left="709" w:right="709"/>
        <w:jc w:val="both"/>
        <w:rPr>
          <w:rFonts w:ascii="Arial" w:eastAsia="Calibri" w:hAnsi="Arial" w:cs="Arial"/>
          <w:sz w:val="21"/>
          <w:szCs w:val="21"/>
          <w:lang w:val="es-CO"/>
        </w:rPr>
      </w:pPr>
    </w:p>
    <w:p w14:paraId="471B3C9B" w14:textId="0151C41D" w:rsidR="00B57E77" w:rsidRPr="004645A1" w:rsidRDefault="005C2B8D" w:rsidP="00FF2990">
      <w:pPr>
        <w:spacing w:after="120" w:line="276" w:lineRule="auto"/>
        <w:ind w:right="51"/>
        <w:jc w:val="both"/>
        <w:rPr>
          <w:rFonts w:ascii="Arial" w:eastAsia="Calibri" w:hAnsi="Arial" w:cs="Arial"/>
          <w:sz w:val="22"/>
        </w:rPr>
      </w:pPr>
      <w:r w:rsidRPr="004645A1">
        <w:rPr>
          <w:rFonts w:ascii="Arial" w:eastAsia="Calibri" w:hAnsi="Arial" w:cs="Arial"/>
          <w:sz w:val="22"/>
        </w:rPr>
        <w:t xml:space="preserve">De conformidad </w:t>
      </w:r>
      <w:r w:rsidR="009F7BDD" w:rsidRPr="004645A1">
        <w:rPr>
          <w:rFonts w:ascii="Arial" w:eastAsia="Calibri" w:hAnsi="Arial" w:cs="Arial"/>
          <w:sz w:val="22"/>
        </w:rPr>
        <w:t>el parágrafo 7 del artículo 2 de la Ley 1150 de 2007, adicionado por el artículo 4 de la Ley 1882 de 2018,</w:t>
      </w:r>
      <w:r w:rsidR="00E07DD0" w:rsidRPr="004645A1">
        <w:rPr>
          <w:rFonts w:ascii="Arial" w:eastAsia="Calibri" w:hAnsi="Arial" w:cs="Arial"/>
          <w:sz w:val="22"/>
        </w:rPr>
        <w:t xml:space="preserve"> los Decretos 342 y 2096 de 2019, para la contratación de</w:t>
      </w:r>
      <w:r w:rsidR="00B57E77" w:rsidRPr="004645A1">
        <w:rPr>
          <w:rFonts w:ascii="Arial" w:eastAsia="Calibri" w:hAnsi="Arial" w:cs="Arial"/>
          <w:sz w:val="22"/>
        </w:rPr>
        <w:t xml:space="preserve"> obra pública de</w:t>
      </w:r>
      <w:r w:rsidR="00E07DD0" w:rsidRPr="004645A1">
        <w:rPr>
          <w:rFonts w:ascii="Arial" w:eastAsia="Calibri" w:hAnsi="Arial" w:cs="Arial"/>
          <w:sz w:val="22"/>
        </w:rPr>
        <w:t xml:space="preserve"> infraestructura de transporte</w:t>
      </w:r>
      <w:r w:rsidR="00B57E77" w:rsidRPr="004645A1">
        <w:rPr>
          <w:rFonts w:ascii="Arial" w:eastAsia="Calibri" w:hAnsi="Arial" w:cs="Arial"/>
          <w:sz w:val="22"/>
        </w:rPr>
        <w:t>,</w:t>
      </w:r>
      <w:r w:rsidR="00E07DD0" w:rsidRPr="004645A1">
        <w:rPr>
          <w:rFonts w:ascii="Arial" w:eastAsia="Calibri" w:hAnsi="Arial" w:cs="Arial"/>
          <w:sz w:val="22"/>
        </w:rPr>
        <w:t xml:space="preserve"> las entidades estatales </w:t>
      </w:r>
      <w:r w:rsidR="00B57E77" w:rsidRPr="004645A1">
        <w:rPr>
          <w:rFonts w:ascii="Arial" w:eastAsia="Calibri" w:hAnsi="Arial" w:cs="Arial"/>
          <w:sz w:val="22"/>
        </w:rPr>
        <w:t xml:space="preserve">sometidas </w:t>
      </w:r>
      <w:r w:rsidR="00E07DD0" w:rsidRPr="004645A1">
        <w:rPr>
          <w:rFonts w:ascii="Arial" w:eastAsia="Calibri" w:hAnsi="Arial" w:cs="Arial"/>
          <w:sz w:val="22"/>
        </w:rPr>
        <w:t>al Estatuto General de Contratación de la Administración Pública</w:t>
      </w:r>
      <w:r w:rsidR="00B57E77" w:rsidRPr="004645A1">
        <w:rPr>
          <w:rFonts w:ascii="Arial" w:eastAsia="Calibri" w:hAnsi="Arial" w:cs="Arial"/>
          <w:sz w:val="22"/>
        </w:rPr>
        <w:t>,</w:t>
      </w:r>
      <w:r w:rsidR="00E07DD0" w:rsidRPr="004645A1">
        <w:rPr>
          <w:rFonts w:ascii="Arial" w:eastAsia="Calibri" w:hAnsi="Arial" w:cs="Arial"/>
          <w:sz w:val="22"/>
        </w:rPr>
        <w:t xml:space="preserve"> </w:t>
      </w:r>
      <w:r w:rsidR="00B57E77" w:rsidRPr="004645A1">
        <w:rPr>
          <w:rFonts w:ascii="Arial" w:eastAsia="Calibri" w:hAnsi="Arial" w:cs="Arial"/>
          <w:sz w:val="22"/>
        </w:rPr>
        <w:t>est</w:t>
      </w:r>
      <w:r w:rsidR="00C7791A">
        <w:rPr>
          <w:rFonts w:ascii="Arial" w:eastAsia="Calibri" w:hAnsi="Arial" w:cs="Arial"/>
          <w:sz w:val="22"/>
        </w:rPr>
        <w:t>á</w:t>
      </w:r>
      <w:r w:rsidR="00B57E77" w:rsidRPr="004645A1">
        <w:rPr>
          <w:rFonts w:ascii="Arial" w:eastAsia="Calibri" w:hAnsi="Arial" w:cs="Arial"/>
          <w:sz w:val="22"/>
        </w:rPr>
        <w:t>n obligadas a adelantar tales procesos de selección</w:t>
      </w:r>
      <w:r w:rsidR="00C7791A">
        <w:rPr>
          <w:rFonts w:ascii="Arial" w:eastAsia="Calibri" w:hAnsi="Arial" w:cs="Arial"/>
          <w:sz w:val="22"/>
        </w:rPr>
        <w:t>, cuando el objeto a</w:t>
      </w:r>
      <w:r w:rsidR="00E07DD0" w:rsidRPr="004645A1">
        <w:rPr>
          <w:rFonts w:ascii="Arial" w:eastAsia="Calibri" w:hAnsi="Arial" w:cs="Arial"/>
          <w:sz w:val="22"/>
        </w:rPr>
        <w:t xml:space="preserve"> contratar sea subsumible o este asociado alguno de los tipos de obra y actividades señaladas en la Matriz 1.</w:t>
      </w:r>
      <w:r w:rsidR="00B57E77" w:rsidRPr="004645A1">
        <w:rPr>
          <w:rFonts w:ascii="Arial" w:eastAsia="Calibri" w:hAnsi="Arial" w:cs="Arial"/>
          <w:sz w:val="22"/>
        </w:rPr>
        <w:t xml:space="preserve"> </w:t>
      </w:r>
    </w:p>
    <w:p w14:paraId="272EA8AE" w14:textId="7550FBA9" w:rsidR="00B57E77" w:rsidRPr="004645A1" w:rsidRDefault="00B57E77" w:rsidP="00B57E77">
      <w:pPr>
        <w:spacing w:after="120" w:line="276" w:lineRule="auto"/>
        <w:ind w:right="51"/>
        <w:jc w:val="both"/>
        <w:rPr>
          <w:rFonts w:ascii="Arial" w:eastAsia="Calibri" w:hAnsi="Arial" w:cs="Arial"/>
          <w:sz w:val="22"/>
        </w:rPr>
      </w:pPr>
      <w:r w:rsidRPr="004645A1">
        <w:rPr>
          <w:rFonts w:ascii="Arial" w:eastAsia="Calibri" w:hAnsi="Arial" w:cs="Arial"/>
          <w:sz w:val="22"/>
        </w:rPr>
        <w:lastRenderedPageBreak/>
        <w:tab/>
        <w:t>En ese orden, la noción de infraestructura de transporte establecida en el numeral 1.29 del Anexo 3 y la subsunción del objeto a contratar dentro de los tipos de obra y actividades definidas en la Matriz 1, es lo que determina si se está ante una infraestructura de transporte, y si</w:t>
      </w:r>
      <w:r w:rsidR="00C7791A">
        <w:rPr>
          <w:rFonts w:ascii="Arial" w:eastAsia="Calibri" w:hAnsi="Arial" w:cs="Arial"/>
          <w:sz w:val="22"/>
        </w:rPr>
        <w:t>,</w:t>
      </w:r>
      <w:r w:rsidRPr="004645A1">
        <w:rPr>
          <w:rFonts w:ascii="Arial" w:eastAsia="Calibri" w:hAnsi="Arial" w:cs="Arial"/>
          <w:sz w:val="22"/>
        </w:rPr>
        <w:t xml:space="preserve"> en consecuencia</w:t>
      </w:r>
      <w:r w:rsidR="00C7791A">
        <w:rPr>
          <w:rFonts w:ascii="Arial" w:eastAsia="Calibri" w:hAnsi="Arial" w:cs="Arial"/>
          <w:sz w:val="22"/>
        </w:rPr>
        <w:t>,</w:t>
      </w:r>
      <w:r w:rsidRPr="004645A1">
        <w:rPr>
          <w:rFonts w:ascii="Arial" w:eastAsia="Calibri" w:hAnsi="Arial" w:cs="Arial"/>
          <w:sz w:val="22"/>
        </w:rPr>
        <w:t xml:space="preserve"> procede o no la aplicación obligatoria de los Documentos Tipo. </w:t>
      </w:r>
    </w:p>
    <w:p w14:paraId="1BC1F771" w14:textId="13517B96" w:rsidR="00EF55D8" w:rsidRPr="004645A1" w:rsidRDefault="00B57E77" w:rsidP="00B57E77">
      <w:pPr>
        <w:spacing w:after="120" w:line="276" w:lineRule="auto"/>
        <w:ind w:right="51" w:firstLine="708"/>
        <w:jc w:val="both"/>
        <w:rPr>
          <w:rFonts w:ascii="Arial" w:hAnsi="Arial" w:cs="Arial"/>
          <w:sz w:val="22"/>
        </w:rPr>
      </w:pPr>
      <w:r w:rsidRPr="004645A1">
        <w:rPr>
          <w:rFonts w:ascii="Arial" w:eastAsia="Calibri" w:hAnsi="Arial" w:cs="Arial"/>
          <w:sz w:val="22"/>
        </w:rPr>
        <w:t>Siempre que el objeto a contratar corresponda con esta noción de infraestructura de transporte, las entidades estatales sometidas al Estatuto General de Contratación de la Administración Pública deben aplicar los Documentos Tipo</w:t>
      </w:r>
      <w:r w:rsidR="00C7791A">
        <w:rPr>
          <w:rFonts w:ascii="Arial" w:eastAsia="Calibri" w:hAnsi="Arial" w:cs="Arial"/>
          <w:sz w:val="22"/>
        </w:rPr>
        <w:t>,</w:t>
      </w:r>
      <w:r w:rsidR="00790697" w:rsidRPr="004645A1">
        <w:rPr>
          <w:rFonts w:ascii="Arial" w:eastAsia="Calibri" w:hAnsi="Arial" w:cs="Arial"/>
          <w:sz w:val="22"/>
        </w:rPr>
        <w:t xml:space="preserve"> conforme</w:t>
      </w:r>
      <w:r w:rsidRPr="004645A1">
        <w:rPr>
          <w:rFonts w:ascii="Arial" w:eastAsia="Calibri" w:hAnsi="Arial" w:cs="Arial"/>
          <w:sz w:val="22"/>
        </w:rPr>
        <w:t xml:space="preserve"> </w:t>
      </w:r>
      <w:r w:rsidR="00790697" w:rsidRPr="004645A1">
        <w:rPr>
          <w:rFonts w:ascii="Arial" w:eastAsia="Calibri" w:hAnsi="Arial" w:cs="Arial"/>
          <w:sz w:val="22"/>
        </w:rPr>
        <w:t>indica</w:t>
      </w:r>
      <w:r w:rsidRPr="004645A1">
        <w:rPr>
          <w:rFonts w:ascii="Arial" w:eastAsia="Calibri" w:hAnsi="Arial" w:cs="Arial"/>
          <w:sz w:val="22"/>
        </w:rPr>
        <w:t xml:space="preserve"> </w:t>
      </w:r>
      <w:r w:rsidR="00790697" w:rsidRPr="004645A1">
        <w:rPr>
          <w:rFonts w:ascii="Arial" w:eastAsia="Calibri" w:hAnsi="Arial" w:cs="Arial"/>
          <w:sz w:val="22"/>
        </w:rPr>
        <w:t xml:space="preserve">el </w:t>
      </w:r>
      <w:r w:rsidRPr="004645A1">
        <w:rPr>
          <w:rFonts w:ascii="Arial" w:eastAsia="Calibri" w:hAnsi="Arial" w:cs="Arial"/>
          <w:sz w:val="22"/>
        </w:rPr>
        <w:t>parágrafo 7 del artículo 2 de la Ley 1150 de 2007</w:t>
      </w:r>
      <w:r w:rsidR="00C7791A">
        <w:rPr>
          <w:rFonts w:ascii="Arial" w:eastAsia="Calibri" w:hAnsi="Arial" w:cs="Arial"/>
          <w:sz w:val="22"/>
        </w:rPr>
        <w:t>.</w:t>
      </w:r>
    </w:p>
    <w:p w14:paraId="5B352915" w14:textId="77777777" w:rsidR="00C42B9D" w:rsidRPr="004645A1" w:rsidRDefault="00C42B9D" w:rsidP="00D5519F">
      <w:pPr>
        <w:spacing w:line="276" w:lineRule="auto"/>
        <w:ind w:firstLine="708"/>
        <w:jc w:val="both"/>
        <w:rPr>
          <w:rFonts w:ascii="Arial" w:hAnsi="Arial" w:cs="Arial"/>
          <w:sz w:val="22"/>
        </w:rPr>
      </w:pPr>
    </w:p>
    <w:p w14:paraId="24BD5695" w14:textId="4E30197F" w:rsidR="0087624C" w:rsidRPr="004645A1" w:rsidRDefault="00A37FB6" w:rsidP="00D5519F">
      <w:pPr>
        <w:spacing w:line="276" w:lineRule="auto"/>
        <w:jc w:val="both"/>
        <w:rPr>
          <w:rFonts w:ascii="Arial" w:eastAsia="Calibri" w:hAnsi="Arial" w:cs="Arial"/>
          <w:sz w:val="22"/>
        </w:rPr>
      </w:pPr>
      <w:r w:rsidRPr="004645A1">
        <w:rPr>
          <w:rFonts w:ascii="Arial" w:eastAsia="Calibri" w:hAnsi="Arial" w:cs="Arial"/>
          <w:sz w:val="22"/>
        </w:rPr>
        <w:t xml:space="preserve">Este concepto tiene el alcance previsto </w:t>
      </w:r>
      <w:proofErr w:type="spellStart"/>
      <w:r w:rsidR="00707E7D" w:rsidRPr="004645A1">
        <w:rPr>
          <w:rFonts w:ascii="Arial" w:eastAsia="Calibri" w:hAnsi="Arial" w:cs="Arial"/>
          <w:sz w:val="22"/>
        </w:rPr>
        <w:t>p</w:t>
      </w:r>
      <w:r w:rsidRPr="004645A1">
        <w:rPr>
          <w:rFonts w:ascii="Arial" w:eastAsia="Calibri" w:hAnsi="Arial" w:cs="Arial"/>
          <w:sz w:val="22"/>
        </w:rPr>
        <w:t>en</w:t>
      </w:r>
      <w:proofErr w:type="spellEnd"/>
      <w:r w:rsidRPr="004645A1">
        <w:rPr>
          <w:rFonts w:ascii="Arial" w:eastAsia="Calibri" w:hAnsi="Arial" w:cs="Arial"/>
          <w:sz w:val="22"/>
        </w:rPr>
        <w:t xml:space="preserve"> el artículo 28 del Código de Procedimiento Administrativo y de lo Contencioso Administrativo.</w:t>
      </w:r>
    </w:p>
    <w:p w14:paraId="0F8C901F" w14:textId="1F0CCF0B" w:rsidR="00A37FB6" w:rsidRPr="004645A1" w:rsidRDefault="0087624C" w:rsidP="00D5519F">
      <w:pPr>
        <w:jc w:val="both"/>
        <w:rPr>
          <w:rFonts w:ascii="Arial" w:eastAsia="Calibri" w:hAnsi="Arial" w:cs="Arial"/>
          <w:sz w:val="22"/>
        </w:rPr>
      </w:pPr>
      <w:r w:rsidRPr="004645A1">
        <w:rPr>
          <w:rFonts w:ascii="Arial" w:eastAsia="Calibri" w:hAnsi="Arial" w:cs="Arial"/>
          <w:sz w:val="22"/>
        </w:rPr>
        <w:t xml:space="preserve"> </w:t>
      </w:r>
    </w:p>
    <w:p w14:paraId="1E81A930" w14:textId="051A2F44" w:rsidR="00A37FB6" w:rsidRPr="004645A1" w:rsidRDefault="00A37FB6" w:rsidP="00D01760">
      <w:pPr>
        <w:rPr>
          <w:rFonts w:ascii="Arial" w:eastAsia="Times New Roman" w:hAnsi="Arial" w:cs="Arial"/>
          <w:sz w:val="22"/>
          <w:lang w:eastAsia="es-CO"/>
        </w:rPr>
      </w:pPr>
      <w:r w:rsidRPr="004645A1">
        <w:rPr>
          <w:rFonts w:ascii="Arial" w:eastAsia="Times New Roman" w:hAnsi="Arial" w:cs="Arial"/>
          <w:sz w:val="22"/>
          <w:lang w:eastAsia="es-CO"/>
        </w:rPr>
        <w:t>Atentamente,</w:t>
      </w:r>
    </w:p>
    <w:p w14:paraId="42CB1F88" w14:textId="1DD8BE25" w:rsidR="00450EB1" w:rsidRDefault="00DB03A0" w:rsidP="00746E08">
      <w:pPr>
        <w:jc w:val="center"/>
        <w:rPr>
          <w:rFonts w:ascii="Arial" w:hAnsi="Arial" w:cs="Arial"/>
          <w:noProof/>
          <w:szCs w:val="20"/>
          <w:lang w:eastAsia="es-CO"/>
        </w:rPr>
      </w:pPr>
      <w:r>
        <w:rPr>
          <w:noProof/>
        </w:rPr>
        <w:drawing>
          <wp:inline distT="0" distB="0" distL="0" distR="0" wp14:anchorId="628FD25D" wp14:editId="42862C0D">
            <wp:extent cx="2773045" cy="988695"/>
            <wp:effectExtent l="0" t="0" r="0" b="0"/>
            <wp:docPr id="4" name="Imagen 4"/>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35B56F46" w14:textId="3FDB1398" w:rsidR="00746E08" w:rsidRPr="004645A1" w:rsidRDefault="00746E08" w:rsidP="00746E08">
      <w:pPr>
        <w:rPr>
          <w:rFonts w:ascii="Arial" w:eastAsia="Times New Roman" w:hAnsi="Arial" w:cs="Arial"/>
          <w:sz w:val="16"/>
          <w:szCs w:val="16"/>
          <w:lang w:eastAsia="es-ES"/>
        </w:rPr>
      </w:pPr>
    </w:p>
    <w:p w14:paraId="528B7866" w14:textId="4B96B426" w:rsidR="00B57E77" w:rsidRPr="004645A1" w:rsidRDefault="00B57E77" w:rsidP="00746E08">
      <w:pPr>
        <w:rPr>
          <w:rFonts w:ascii="Arial" w:eastAsia="Times New Roman" w:hAnsi="Arial" w:cs="Arial"/>
          <w:sz w:val="16"/>
          <w:szCs w:val="16"/>
          <w:lang w:eastAsia="es-ES"/>
        </w:rPr>
      </w:pPr>
    </w:p>
    <w:p w14:paraId="6F8A0080" w14:textId="1C422184" w:rsidR="00B57E77" w:rsidRPr="004645A1" w:rsidRDefault="00B57E77" w:rsidP="00746E08">
      <w:pPr>
        <w:rPr>
          <w:rFonts w:ascii="Arial" w:eastAsia="Times New Roman" w:hAnsi="Arial" w:cs="Arial"/>
          <w:sz w:val="16"/>
          <w:szCs w:val="16"/>
          <w:lang w:eastAsia="es-ES"/>
        </w:rPr>
      </w:pPr>
    </w:p>
    <w:p w14:paraId="300C97E6" w14:textId="6E2C2F50" w:rsidR="00B57E77" w:rsidRPr="004645A1" w:rsidRDefault="00B57E77" w:rsidP="00746E08">
      <w:pPr>
        <w:rPr>
          <w:rFonts w:ascii="Arial" w:eastAsia="Times New Roman" w:hAnsi="Arial" w:cs="Arial"/>
          <w:sz w:val="16"/>
          <w:szCs w:val="16"/>
          <w:lang w:eastAsia="es-ES"/>
        </w:rPr>
      </w:pPr>
    </w:p>
    <w:p w14:paraId="30200B52" w14:textId="585F1AFC" w:rsidR="00B57E77" w:rsidRPr="004645A1" w:rsidRDefault="00B57E77" w:rsidP="00746E08">
      <w:pPr>
        <w:rPr>
          <w:rFonts w:ascii="Arial" w:eastAsia="Times New Roman" w:hAnsi="Arial" w:cs="Arial"/>
          <w:sz w:val="16"/>
          <w:szCs w:val="16"/>
          <w:lang w:eastAsia="es-ES"/>
        </w:rPr>
      </w:pPr>
    </w:p>
    <w:p w14:paraId="539B195A" w14:textId="00286971" w:rsidR="00B57E77" w:rsidRPr="004645A1" w:rsidRDefault="00B57E77" w:rsidP="00746E08">
      <w:pPr>
        <w:rPr>
          <w:rFonts w:ascii="Arial" w:eastAsia="Times New Roman" w:hAnsi="Arial" w:cs="Arial"/>
          <w:sz w:val="16"/>
          <w:szCs w:val="16"/>
          <w:lang w:eastAsia="es-ES"/>
        </w:rPr>
      </w:pPr>
    </w:p>
    <w:tbl>
      <w:tblPr>
        <w:tblStyle w:val="Tablaconcuadrcula"/>
        <w:tblpPr w:leftFromText="141" w:rightFromText="141" w:vertAnchor="page" w:horzAnchor="margin" w:tblpY="84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65E63" w:rsidRPr="00B57E77" w14:paraId="4DB032E9" w14:textId="77777777" w:rsidTr="00065E63">
        <w:trPr>
          <w:trHeight w:val="315"/>
        </w:trPr>
        <w:tc>
          <w:tcPr>
            <w:tcW w:w="812" w:type="dxa"/>
            <w:vAlign w:val="center"/>
            <w:hideMark/>
          </w:tcPr>
          <w:p w14:paraId="4CFACC1C" w14:textId="77777777" w:rsidR="00065E63" w:rsidRPr="00B57E77" w:rsidRDefault="00065E63" w:rsidP="00065E63">
            <w:pPr>
              <w:rPr>
                <w:rFonts w:ascii="Arial" w:eastAsia="Times New Roman" w:hAnsi="Arial" w:cs="Arial"/>
                <w:sz w:val="16"/>
                <w:szCs w:val="16"/>
                <w:lang w:eastAsia="es-ES"/>
              </w:rPr>
            </w:pPr>
            <w:r w:rsidRPr="00B57E77">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C751F52" w14:textId="77777777" w:rsidR="00065E63" w:rsidRPr="00B57E77" w:rsidRDefault="00065E63" w:rsidP="00065E63">
            <w:pPr>
              <w:rPr>
                <w:rFonts w:ascii="Arial" w:eastAsia="Times New Roman" w:hAnsi="Arial" w:cs="Arial"/>
                <w:sz w:val="16"/>
                <w:szCs w:val="16"/>
                <w:lang w:eastAsia="es-ES"/>
              </w:rPr>
            </w:pPr>
            <w:r w:rsidRPr="00B57E77">
              <w:rPr>
                <w:rFonts w:ascii="Arial" w:eastAsia="Times New Roman" w:hAnsi="Arial" w:cs="Arial"/>
                <w:sz w:val="16"/>
                <w:szCs w:val="16"/>
                <w:lang w:eastAsia="es-ES"/>
              </w:rPr>
              <w:t>Alejandro Sarmiento Cantillo</w:t>
            </w:r>
          </w:p>
          <w:p w14:paraId="443F5BC3" w14:textId="77777777" w:rsidR="00065E63" w:rsidRPr="00B57E77" w:rsidRDefault="00065E63" w:rsidP="00065E63">
            <w:pPr>
              <w:rPr>
                <w:rFonts w:ascii="Arial" w:eastAsia="Times New Roman" w:hAnsi="Arial" w:cs="Arial"/>
                <w:sz w:val="16"/>
                <w:szCs w:val="16"/>
                <w:lang w:eastAsia="es-ES"/>
              </w:rPr>
            </w:pPr>
            <w:r w:rsidRPr="00B57E77">
              <w:rPr>
                <w:rFonts w:ascii="Arial" w:eastAsia="Times New Roman" w:hAnsi="Arial" w:cs="Arial"/>
                <w:sz w:val="16"/>
                <w:szCs w:val="16"/>
                <w:lang w:eastAsia="es-ES"/>
              </w:rPr>
              <w:t>Contratista de la Subdirección de Gestión Contractual</w:t>
            </w:r>
          </w:p>
        </w:tc>
      </w:tr>
      <w:tr w:rsidR="00065E63" w:rsidRPr="00B57E77" w14:paraId="3BF12E91" w14:textId="77777777" w:rsidTr="00065E63">
        <w:trPr>
          <w:trHeight w:val="330"/>
        </w:trPr>
        <w:tc>
          <w:tcPr>
            <w:tcW w:w="812" w:type="dxa"/>
            <w:vAlign w:val="center"/>
            <w:hideMark/>
          </w:tcPr>
          <w:p w14:paraId="7B9E0422" w14:textId="77777777" w:rsidR="00065E63" w:rsidRPr="00B57E77" w:rsidRDefault="00065E63" w:rsidP="00065E63">
            <w:pPr>
              <w:rPr>
                <w:rFonts w:ascii="Arial" w:eastAsia="Times New Roman" w:hAnsi="Arial" w:cs="Arial"/>
                <w:sz w:val="16"/>
                <w:szCs w:val="16"/>
                <w:lang w:eastAsia="es-ES"/>
              </w:rPr>
            </w:pPr>
            <w:r w:rsidRPr="00B57E77">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8119757" w14:textId="77777777" w:rsidR="00065E63" w:rsidRPr="00B57E77" w:rsidRDefault="00065E63" w:rsidP="00065E63">
            <w:pPr>
              <w:rPr>
                <w:rFonts w:ascii="Arial" w:eastAsia="Times New Roman" w:hAnsi="Arial" w:cs="Arial"/>
                <w:sz w:val="16"/>
                <w:szCs w:val="16"/>
                <w:lang w:eastAsia="es-ES"/>
              </w:rPr>
            </w:pPr>
            <w:r>
              <w:rPr>
                <w:rFonts w:ascii="Arial" w:eastAsia="Times New Roman" w:hAnsi="Arial" w:cs="Arial"/>
                <w:sz w:val="16"/>
                <w:szCs w:val="16"/>
                <w:lang w:eastAsia="es-ES"/>
              </w:rPr>
              <w:t>Sebastián Ramírez Grisales</w:t>
            </w:r>
          </w:p>
          <w:p w14:paraId="55E7E2B5" w14:textId="77777777" w:rsidR="00065E63" w:rsidRPr="00B57E77" w:rsidRDefault="00065E63" w:rsidP="00065E63">
            <w:pPr>
              <w:rPr>
                <w:rFonts w:ascii="Arial" w:eastAsia="Times New Roman" w:hAnsi="Arial" w:cs="Arial"/>
                <w:sz w:val="16"/>
                <w:szCs w:val="16"/>
                <w:lang w:eastAsia="es-ES"/>
              </w:rPr>
            </w:pPr>
            <w:r w:rsidRPr="00B57E77">
              <w:rPr>
                <w:rFonts w:ascii="Arial" w:eastAsia="Times New Roman" w:hAnsi="Arial" w:cs="Arial"/>
                <w:sz w:val="16"/>
                <w:szCs w:val="16"/>
                <w:lang w:eastAsia="es-ES"/>
              </w:rPr>
              <w:t>Contratista de la Subdirección de Gestión Contractual</w:t>
            </w:r>
          </w:p>
        </w:tc>
      </w:tr>
      <w:tr w:rsidR="00065E63" w:rsidRPr="00B57E77" w14:paraId="603652A1" w14:textId="77777777" w:rsidTr="00065E63">
        <w:trPr>
          <w:trHeight w:val="300"/>
        </w:trPr>
        <w:tc>
          <w:tcPr>
            <w:tcW w:w="812" w:type="dxa"/>
            <w:vAlign w:val="center"/>
            <w:hideMark/>
          </w:tcPr>
          <w:p w14:paraId="2E945156" w14:textId="77777777" w:rsidR="00065E63" w:rsidRPr="00B57E77" w:rsidRDefault="00065E63" w:rsidP="00065E63">
            <w:pPr>
              <w:rPr>
                <w:rFonts w:ascii="Arial" w:eastAsia="Times New Roman" w:hAnsi="Arial" w:cs="Arial"/>
                <w:sz w:val="16"/>
                <w:szCs w:val="16"/>
                <w:lang w:eastAsia="es-ES"/>
              </w:rPr>
            </w:pPr>
            <w:r w:rsidRPr="00B57E77">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B010FDC" w14:textId="77777777" w:rsidR="00065E63" w:rsidRPr="00B57E77" w:rsidRDefault="00065E63" w:rsidP="00065E63">
            <w:pPr>
              <w:rPr>
                <w:rFonts w:ascii="Arial" w:eastAsia="Times New Roman" w:hAnsi="Arial" w:cs="Arial"/>
                <w:sz w:val="16"/>
                <w:szCs w:val="16"/>
                <w:lang w:eastAsia="es-ES"/>
              </w:rPr>
            </w:pPr>
            <w:r w:rsidRPr="00B57E77">
              <w:rPr>
                <w:rFonts w:ascii="Arial" w:eastAsia="Times New Roman" w:hAnsi="Arial" w:cs="Arial"/>
                <w:sz w:val="16"/>
                <w:szCs w:val="16"/>
                <w:lang w:eastAsia="es-ES"/>
              </w:rPr>
              <w:t>Fabián Gonzalo Marín Cortés</w:t>
            </w:r>
          </w:p>
          <w:p w14:paraId="42CA2691" w14:textId="77777777" w:rsidR="00065E63" w:rsidRPr="00B57E77" w:rsidRDefault="00065E63" w:rsidP="00065E63">
            <w:pPr>
              <w:rPr>
                <w:rFonts w:ascii="Arial" w:eastAsia="Times New Roman" w:hAnsi="Arial" w:cs="Arial"/>
                <w:sz w:val="16"/>
                <w:szCs w:val="16"/>
                <w:lang w:eastAsia="es-ES"/>
              </w:rPr>
            </w:pPr>
            <w:r w:rsidRPr="00B57E77">
              <w:rPr>
                <w:rFonts w:ascii="Arial" w:eastAsia="Times New Roman" w:hAnsi="Arial" w:cs="Arial"/>
                <w:sz w:val="16"/>
                <w:szCs w:val="16"/>
                <w:lang w:eastAsia="es-ES"/>
              </w:rPr>
              <w:t>Subdirector de Gestión Contractual</w:t>
            </w:r>
          </w:p>
        </w:tc>
      </w:tr>
    </w:tbl>
    <w:p w14:paraId="2961BC10" w14:textId="25788B81" w:rsidR="00B57E77" w:rsidRPr="004645A1" w:rsidRDefault="00B57E77" w:rsidP="00746E08">
      <w:pPr>
        <w:rPr>
          <w:rFonts w:ascii="Arial" w:eastAsia="Times New Roman" w:hAnsi="Arial" w:cs="Arial"/>
          <w:sz w:val="16"/>
          <w:szCs w:val="16"/>
          <w:lang w:eastAsia="es-ES"/>
        </w:rPr>
      </w:pPr>
    </w:p>
    <w:p w14:paraId="1C8CA5FD" w14:textId="5AC89162" w:rsidR="00B57E77" w:rsidRPr="004645A1" w:rsidRDefault="00B57E77" w:rsidP="00746E08">
      <w:pPr>
        <w:rPr>
          <w:rFonts w:ascii="Arial" w:eastAsia="Times New Roman" w:hAnsi="Arial" w:cs="Arial"/>
          <w:sz w:val="16"/>
          <w:szCs w:val="16"/>
          <w:lang w:eastAsia="es-ES"/>
        </w:rPr>
      </w:pPr>
    </w:p>
    <w:p w14:paraId="4EDAE3A5" w14:textId="3E5C0948" w:rsidR="00B57E77" w:rsidRPr="004645A1" w:rsidRDefault="00B57E77" w:rsidP="00746E08">
      <w:pPr>
        <w:rPr>
          <w:rFonts w:ascii="Arial" w:eastAsia="Times New Roman" w:hAnsi="Arial" w:cs="Arial"/>
          <w:sz w:val="16"/>
          <w:szCs w:val="16"/>
          <w:lang w:eastAsia="es-ES"/>
        </w:rPr>
      </w:pPr>
    </w:p>
    <w:p w14:paraId="6BDCEEEA" w14:textId="15C66618" w:rsidR="00B57E77" w:rsidRPr="004645A1" w:rsidRDefault="00B57E77" w:rsidP="00746E08">
      <w:pPr>
        <w:rPr>
          <w:rFonts w:ascii="Arial" w:eastAsia="Times New Roman" w:hAnsi="Arial" w:cs="Arial"/>
          <w:sz w:val="16"/>
          <w:szCs w:val="16"/>
          <w:lang w:eastAsia="es-ES"/>
        </w:rPr>
      </w:pPr>
    </w:p>
    <w:p w14:paraId="77476D86" w14:textId="77777777" w:rsidR="00B57E77" w:rsidRPr="00490184" w:rsidRDefault="00B57E77" w:rsidP="00746E08">
      <w:pPr>
        <w:rPr>
          <w:rFonts w:ascii="Arial" w:eastAsia="Times New Roman" w:hAnsi="Arial" w:cs="Arial"/>
          <w:color w:val="FF0000"/>
          <w:sz w:val="16"/>
          <w:szCs w:val="16"/>
          <w:lang w:eastAsia="es-ES"/>
        </w:rPr>
      </w:pPr>
    </w:p>
    <w:sectPr w:rsidR="00B57E77" w:rsidRPr="00490184"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5C496" w14:textId="77777777" w:rsidR="006839BB" w:rsidRDefault="006839BB">
      <w:r>
        <w:separator/>
      </w:r>
    </w:p>
  </w:endnote>
  <w:endnote w:type="continuationSeparator" w:id="0">
    <w:p w14:paraId="00364750" w14:textId="77777777" w:rsidR="006839BB" w:rsidRDefault="00683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217B7" w:rsidRDefault="008217B7" w:rsidP="00322937">
    <w:pPr>
      <w:pStyle w:val="Sinespaciado"/>
      <w:jc w:val="right"/>
      <w:rPr>
        <w:rFonts w:ascii="Arial" w:hAnsi="Arial" w:cs="Arial"/>
        <w:sz w:val="18"/>
        <w:szCs w:val="18"/>
      </w:rPr>
    </w:pPr>
  </w:p>
  <w:p w14:paraId="7A3785F3" w14:textId="2EF28465"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FE42ED" w:rsidRPr="00084B97">
      <w:rPr>
        <w:rFonts w:ascii="Arial" w:hAnsi="Arial" w:cs="Arial"/>
        <w:b/>
        <w:bCs/>
        <w:color w:val="7F7F7F" w:themeColor="text1" w:themeTint="80"/>
        <w:sz w:val="16"/>
        <w:szCs w:val="16"/>
      </w:rPr>
      <w:t>1</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FE42ED" w:rsidRPr="00084B97">
      <w:rPr>
        <w:rFonts w:ascii="Arial" w:hAnsi="Arial" w:cs="Arial"/>
        <w:b/>
        <w:bCs/>
        <w:color w:val="7F7F7F" w:themeColor="text1" w:themeTint="80"/>
        <w:sz w:val="16"/>
        <w:szCs w:val="16"/>
      </w:rPr>
      <w:t>2</w:t>
    </w:r>
    <w:r w:rsidR="00FE42ED" w:rsidRPr="00084B97">
      <w:rPr>
        <w:rFonts w:ascii="Arial" w:hAnsi="Arial" w:cs="Arial"/>
        <w:b/>
        <w:bCs/>
        <w:color w:val="7F7F7F" w:themeColor="text1" w:themeTint="80"/>
        <w:sz w:val="16"/>
        <w:szCs w:val="16"/>
      </w:rPr>
      <w:fldChar w:fldCharType="end"/>
    </w:r>
  </w:p>
  <w:p w14:paraId="48FC6A04" w14:textId="5FD1A7C9" w:rsidR="009047C5" w:rsidRDefault="007B0854" w:rsidP="00322937">
    <w:pPr>
      <w:pStyle w:val="Piedepgina"/>
      <w:jc w:val="center"/>
      <w:rPr>
        <w:lang w:val="es-ES"/>
      </w:rPr>
    </w:pPr>
    <w:r>
      <w:rPr>
        <w:noProof/>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322937" w:rsidRDefault="00322937" w:rsidP="007B0854">
    <w:pPr>
      <w:pStyle w:val="Piedepgina"/>
      <w:jc w:val="center"/>
      <w:rPr>
        <w:lang w:val="es-ES"/>
      </w:rPr>
    </w:pP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C2500" w14:textId="77777777" w:rsidR="006839BB" w:rsidRDefault="006839BB">
      <w:r>
        <w:separator/>
      </w:r>
    </w:p>
  </w:footnote>
  <w:footnote w:type="continuationSeparator" w:id="0">
    <w:p w14:paraId="5096707D" w14:textId="77777777" w:rsidR="006839BB" w:rsidRDefault="006839BB">
      <w:r>
        <w:continuationSeparator/>
      </w:r>
    </w:p>
  </w:footnote>
  <w:footnote w:id="1">
    <w:p w14:paraId="1E626AFF" w14:textId="77777777" w:rsidR="000612E5" w:rsidRDefault="000612E5" w:rsidP="000612E5">
      <w:pPr>
        <w:pStyle w:val="Textonotapie"/>
        <w:ind w:firstLine="708"/>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«Artículo 3°. Funciones. La Agencia Nacional de Contratación Pública –Colombia Compra Eficiente– ejercerá las siguientes funciones: </w:t>
      </w:r>
    </w:p>
    <w:p w14:paraId="40AF7B53" w14:textId="77777777" w:rsidR="000612E5" w:rsidRDefault="000612E5" w:rsidP="000612E5">
      <w:pPr>
        <w:pStyle w:val="Textonotapie"/>
        <w:ind w:firstLine="708"/>
        <w:jc w:val="both"/>
        <w:rPr>
          <w:rFonts w:ascii="Arial" w:hAnsi="Arial" w:cs="Arial"/>
          <w:sz w:val="18"/>
          <w:szCs w:val="18"/>
          <w:lang w:val="es-ES"/>
        </w:rPr>
      </w:pPr>
      <w:r>
        <w:rPr>
          <w:rFonts w:ascii="Arial" w:hAnsi="Arial" w:cs="Arial"/>
          <w:sz w:val="18"/>
          <w:szCs w:val="18"/>
          <w:lang w:val="es-ES"/>
        </w:rPr>
        <w:t xml:space="preserve">[...] </w:t>
      </w:r>
    </w:p>
    <w:p w14:paraId="271AEBF5" w14:textId="77777777" w:rsidR="000612E5" w:rsidRDefault="000612E5" w:rsidP="000612E5">
      <w:pPr>
        <w:pStyle w:val="Textonotapie"/>
        <w:ind w:firstLine="708"/>
        <w:jc w:val="both"/>
        <w:rPr>
          <w:rFonts w:ascii="Arial" w:hAnsi="Arial" w:cs="Arial"/>
          <w:sz w:val="18"/>
          <w:szCs w:val="18"/>
          <w:lang w:val="es-ES"/>
        </w:rPr>
      </w:pPr>
      <w:r>
        <w:rPr>
          <w:rFonts w:ascii="Arial" w:hAnsi="Arial" w:cs="Arial"/>
          <w:sz w:val="18"/>
          <w:szCs w:val="18"/>
          <w:lang w:val="es-ES"/>
        </w:rPr>
        <w:t>» 5. Absolver consultas sobre la aplicación de normas de carácter general y expedir circulares externas en materia de compras y contratación pública».</w:t>
      </w:r>
    </w:p>
    <w:p w14:paraId="4EDAD073" w14:textId="77777777" w:rsidR="000612E5" w:rsidRDefault="000612E5" w:rsidP="000612E5">
      <w:pPr>
        <w:pStyle w:val="Textonotapie"/>
        <w:ind w:firstLine="708"/>
        <w:jc w:val="both"/>
        <w:rPr>
          <w:rFonts w:ascii="Arial" w:hAnsi="Arial" w:cs="Arial"/>
          <w:sz w:val="18"/>
          <w:szCs w:val="18"/>
          <w:lang w:val="es-ES"/>
        </w:rPr>
      </w:pPr>
      <w:r>
        <w:rPr>
          <w:rFonts w:ascii="Arial" w:hAnsi="Arial" w:cs="Arial"/>
          <w:sz w:val="18"/>
          <w:szCs w:val="18"/>
          <w:lang w:val="es-ES"/>
        </w:rPr>
        <w:t>[..]</w:t>
      </w:r>
    </w:p>
    <w:p w14:paraId="3B7B9954" w14:textId="77777777" w:rsidR="000612E5" w:rsidRDefault="000612E5" w:rsidP="000612E5">
      <w:pPr>
        <w:pStyle w:val="Textonotapie"/>
        <w:ind w:firstLine="708"/>
        <w:jc w:val="both"/>
        <w:rPr>
          <w:rFonts w:ascii="Arial" w:hAnsi="Arial" w:cs="Arial"/>
          <w:sz w:val="18"/>
          <w:szCs w:val="18"/>
          <w:lang w:val="es-ES"/>
        </w:rPr>
      </w:pPr>
      <w:r>
        <w:rPr>
          <w:rFonts w:ascii="Arial" w:eastAsia="Times New Roman" w:hAnsi="Arial" w:cs="Arial"/>
          <w:sz w:val="18"/>
          <w:szCs w:val="18"/>
          <w:lang w:val="es-CO" w:eastAsia="es-ES_tradnl"/>
        </w:rPr>
        <w:t>»</w:t>
      </w:r>
      <w:r>
        <w:rPr>
          <w:rFonts w:ascii="Arial" w:hAnsi="Arial" w:cs="Arial"/>
          <w:sz w:val="18"/>
          <w:szCs w:val="18"/>
          <w:lang w:val="es-ES"/>
        </w:rPr>
        <w:t xml:space="preserve">Artículo 11. Subdirección de Gestión Contractual. Son funciones de la Subdirección de Gestión Contractual las siguientes: </w:t>
      </w:r>
    </w:p>
    <w:p w14:paraId="0FB60548" w14:textId="77777777" w:rsidR="000612E5" w:rsidRDefault="000612E5" w:rsidP="000612E5">
      <w:pPr>
        <w:pStyle w:val="Textonotapie"/>
        <w:ind w:firstLine="708"/>
        <w:jc w:val="both"/>
        <w:rPr>
          <w:rFonts w:ascii="Arial" w:hAnsi="Arial" w:cs="Arial"/>
          <w:sz w:val="18"/>
          <w:szCs w:val="18"/>
          <w:lang w:val="es-ES"/>
        </w:rPr>
      </w:pPr>
      <w:r>
        <w:rPr>
          <w:rFonts w:ascii="Arial" w:hAnsi="Arial" w:cs="Arial"/>
          <w:sz w:val="18"/>
          <w:szCs w:val="18"/>
          <w:lang w:val="es-ES"/>
        </w:rPr>
        <w:t xml:space="preserve">[...] </w:t>
      </w:r>
    </w:p>
    <w:p w14:paraId="54F565DC" w14:textId="77777777" w:rsidR="000612E5" w:rsidRDefault="000612E5" w:rsidP="000612E5">
      <w:pPr>
        <w:pStyle w:val="Textonotapie"/>
        <w:ind w:firstLine="708"/>
        <w:jc w:val="both"/>
        <w:rPr>
          <w:rFonts w:ascii="Arial" w:hAnsi="Arial" w:cs="Arial"/>
          <w:sz w:val="18"/>
          <w:szCs w:val="18"/>
          <w:lang w:val="es-ES"/>
        </w:rPr>
      </w:pPr>
      <w:r>
        <w:rPr>
          <w:rFonts w:ascii="Arial" w:eastAsia="Times New Roman" w:hAnsi="Arial" w:cs="Arial"/>
          <w:sz w:val="18"/>
          <w:szCs w:val="18"/>
          <w:lang w:val="es-CO" w:eastAsia="es-ES_tradnl"/>
        </w:rPr>
        <w:t>»</w:t>
      </w:r>
      <w:r>
        <w:rPr>
          <w:rFonts w:ascii="Arial" w:hAnsi="Arial" w:cs="Arial"/>
          <w:sz w:val="18"/>
          <w:szCs w:val="18"/>
          <w:lang w:val="es-ES"/>
        </w:rPr>
        <w:t xml:space="preserve">8. Absolver consultas sobre la aplicación de normas de carácter general». </w:t>
      </w:r>
    </w:p>
  </w:footnote>
  <w:footnote w:id="2">
    <w:p w14:paraId="7277B0BF" w14:textId="77BD62D2" w:rsidR="00AD6EDC" w:rsidRPr="005C2B8D" w:rsidRDefault="00AD6EDC" w:rsidP="005C2B8D">
      <w:pPr>
        <w:pStyle w:val="Textonotapie"/>
        <w:ind w:firstLine="709"/>
        <w:jc w:val="both"/>
        <w:rPr>
          <w:rFonts w:ascii="Arial" w:hAnsi="Arial" w:cs="Arial"/>
          <w:color w:val="000000" w:themeColor="text1"/>
          <w:sz w:val="18"/>
          <w:szCs w:val="18"/>
        </w:rPr>
      </w:pPr>
      <w:r w:rsidRPr="005C2B8D">
        <w:rPr>
          <w:rStyle w:val="Refdenotaalpie"/>
          <w:rFonts w:ascii="Arial" w:hAnsi="Arial" w:cs="Arial"/>
          <w:color w:val="000000" w:themeColor="text1"/>
          <w:sz w:val="18"/>
          <w:szCs w:val="18"/>
        </w:rPr>
        <w:footnoteRef/>
      </w:r>
      <w:r w:rsidRPr="005C2B8D">
        <w:rPr>
          <w:rFonts w:ascii="Arial" w:hAnsi="Arial" w:cs="Arial"/>
          <w:color w:val="000000" w:themeColor="text1"/>
          <w:sz w:val="18"/>
          <w:szCs w:val="18"/>
        </w:rPr>
        <w:t xml:space="preserve"> </w:t>
      </w:r>
      <w:r w:rsidR="003633FB" w:rsidRPr="005C2B8D">
        <w:rPr>
          <w:rFonts w:ascii="Arial" w:hAnsi="Arial" w:cs="Arial"/>
          <w:color w:val="000000" w:themeColor="text1"/>
          <w:sz w:val="18"/>
          <w:szCs w:val="18"/>
        </w:rPr>
        <w:t>Decreto 342 de 2019: «artículo 2.2.1.2.6.1.1. Objeto. La presente subsección tiene por objeto adoptar los Documentos Tipo para los pliegos de condiciones de los procesos de selección de licitación de obra pública de infraestructura de transporte».</w:t>
      </w:r>
    </w:p>
    <w:p w14:paraId="3784FF76" w14:textId="77777777" w:rsidR="007649EE" w:rsidRPr="005C2B8D" w:rsidRDefault="007649EE" w:rsidP="005C2B8D">
      <w:pPr>
        <w:pStyle w:val="Textonotapie"/>
        <w:ind w:firstLine="709"/>
        <w:jc w:val="both"/>
        <w:rPr>
          <w:rFonts w:ascii="Arial" w:hAnsi="Arial" w:cs="Arial"/>
          <w:color w:val="000000" w:themeColor="text1"/>
          <w:sz w:val="18"/>
          <w:szCs w:val="18"/>
          <w:lang w:val="es-ES"/>
        </w:rPr>
      </w:pPr>
    </w:p>
  </w:footnote>
  <w:footnote w:id="3">
    <w:p w14:paraId="19FD47CE" w14:textId="5FF62170" w:rsidR="00AD6EDC" w:rsidRPr="005C2B8D" w:rsidRDefault="00AD6EDC" w:rsidP="005C2B8D">
      <w:pPr>
        <w:pStyle w:val="Textonotapie"/>
        <w:ind w:firstLine="709"/>
        <w:jc w:val="both"/>
        <w:rPr>
          <w:rFonts w:ascii="Arial" w:hAnsi="Arial" w:cs="Arial"/>
          <w:color w:val="000000" w:themeColor="text1"/>
          <w:sz w:val="18"/>
          <w:szCs w:val="18"/>
        </w:rPr>
      </w:pPr>
      <w:r w:rsidRPr="005C2B8D">
        <w:rPr>
          <w:rStyle w:val="Refdenotaalpie"/>
          <w:rFonts w:ascii="Arial" w:hAnsi="Arial" w:cs="Arial"/>
          <w:color w:val="000000" w:themeColor="text1"/>
          <w:sz w:val="18"/>
          <w:szCs w:val="18"/>
        </w:rPr>
        <w:footnoteRef/>
      </w:r>
      <w:r w:rsidRPr="005C2B8D">
        <w:rPr>
          <w:rFonts w:ascii="Arial" w:hAnsi="Arial" w:cs="Arial"/>
          <w:color w:val="000000" w:themeColor="text1"/>
          <w:sz w:val="18"/>
          <w:szCs w:val="18"/>
        </w:rPr>
        <w:t xml:space="preserve"> </w:t>
      </w:r>
      <w:r w:rsidR="007649EE" w:rsidRPr="005C2B8D">
        <w:rPr>
          <w:rFonts w:ascii="Arial" w:hAnsi="Arial" w:cs="Arial"/>
          <w:color w:val="000000" w:themeColor="text1"/>
          <w:sz w:val="18"/>
          <w:szCs w:val="18"/>
        </w:rPr>
        <w:t>Decreto 342 de 2019: «artículo 2.2.1.2.6.1.2. Alcance. Los Documentos Tipo contienen parámetros obligatorios para las entidades estatales sometidas al Estatuto General de la Contratación Pública que adelanten procesos de selección de licitación de obra pública de infraestructura de transporte».</w:t>
      </w:r>
    </w:p>
    <w:p w14:paraId="006D9E08" w14:textId="77777777" w:rsidR="007649EE" w:rsidRPr="005C2B8D" w:rsidRDefault="007649EE" w:rsidP="005C2B8D">
      <w:pPr>
        <w:pStyle w:val="Textonotapie"/>
        <w:ind w:firstLine="709"/>
        <w:jc w:val="both"/>
        <w:rPr>
          <w:rFonts w:ascii="Arial" w:hAnsi="Arial" w:cs="Arial"/>
          <w:color w:val="000000" w:themeColor="text1"/>
          <w:sz w:val="18"/>
          <w:szCs w:val="18"/>
          <w:lang w:val="es-ES"/>
        </w:rPr>
      </w:pPr>
    </w:p>
  </w:footnote>
  <w:footnote w:id="4">
    <w:p w14:paraId="42F11A56" w14:textId="77777777" w:rsidR="00645B37" w:rsidRPr="005C2B8D" w:rsidRDefault="00645B37" w:rsidP="005C2B8D">
      <w:pPr>
        <w:pStyle w:val="Textonotapie"/>
        <w:ind w:firstLine="709"/>
        <w:jc w:val="both"/>
        <w:rPr>
          <w:rFonts w:ascii="Arial" w:hAnsi="Arial" w:cs="Arial"/>
          <w:color w:val="000000" w:themeColor="text1"/>
          <w:sz w:val="18"/>
          <w:szCs w:val="18"/>
        </w:rPr>
      </w:pPr>
      <w:r w:rsidRPr="005C2B8D">
        <w:rPr>
          <w:rStyle w:val="Refdenotaalpie"/>
          <w:rFonts w:ascii="Arial" w:hAnsi="Arial" w:cs="Arial"/>
          <w:color w:val="000000" w:themeColor="text1"/>
          <w:sz w:val="18"/>
          <w:szCs w:val="18"/>
        </w:rPr>
        <w:footnoteRef/>
      </w:r>
      <w:r w:rsidRPr="005C2B8D">
        <w:rPr>
          <w:rFonts w:ascii="Arial" w:hAnsi="Arial" w:cs="Arial"/>
          <w:color w:val="000000" w:themeColor="text1"/>
          <w:sz w:val="18"/>
          <w:szCs w:val="18"/>
        </w:rPr>
        <w:t xml:space="preserve"> Decreto 342 de 2019: «artículo 2.2.1.2.6.1.6. Ante la declaratoria de desierta de un proceso de contratación amparado por los Documentos Tipo, la entidad estatal que adelante el procedimiento de selección abreviada de menor cuantía, del que trata el artículo 2 de la Ley 1150 de 2007 y el artículo 2.2.1.2.1.2.22. del presente Decreto, deberá mantener las condiciones y requisitos de los Documentos Tipo».</w:t>
      </w:r>
    </w:p>
    <w:p w14:paraId="368C36CD" w14:textId="77777777" w:rsidR="00645B37" w:rsidRPr="005C2B8D" w:rsidRDefault="00645B37" w:rsidP="005C2B8D">
      <w:pPr>
        <w:pStyle w:val="Textonotapie"/>
        <w:ind w:firstLine="709"/>
        <w:jc w:val="both"/>
        <w:rPr>
          <w:rFonts w:ascii="Arial" w:hAnsi="Arial" w:cs="Arial"/>
          <w:color w:val="000000" w:themeColor="text1"/>
          <w:sz w:val="18"/>
          <w:szCs w:val="18"/>
          <w:lang w:val="es-ES"/>
        </w:rPr>
      </w:pPr>
    </w:p>
  </w:footnote>
  <w:footnote w:id="5">
    <w:p w14:paraId="3C361312" w14:textId="1BAF7896" w:rsidR="00EA17CE" w:rsidRPr="005C2B8D" w:rsidRDefault="003F1F06" w:rsidP="005C2B8D">
      <w:pPr>
        <w:pStyle w:val="Textonotapie"/>
        <w:ind w:firstLine="708"/>
        <w:jc w:val="both"/>
        <w:rPr>
          <w:rFonts w:ascii="Arial" w:hAnsi="Arial" w:cs="Arial"/>
          <w:color w:val="000000" w:themeColor="text1"/>
          <w:sz w:val="18"/>
          <w:szCs w:val="18"/>
        </w:rPr>
      </w:pPr>
      <w:r w:rsidRPr="005C2B8D">
        <w:rPr>
          <w:rStyle w:val="Refdenotaalpie"/>
          <w:rFonts w:ascii="Arial" w:hAnsi="Arial" w:cs="Arial"/>
          <w:color w:val="000000" w:themeColor="text1"/>
          <w:sz w:val="18"/>
          <w:szCs w:val="18"/>
        </w:rPr>
        <w:footnoteRef/>
      </w:r>
      <w:r w:rsidRPr="005C2B8D">
        <w:rPr>
          <w:rFonts w:ascii="Arial" w:hAnsi="Arial" w:cs="Arial"/>
          <w:color w:val="000000" w:themeColor="text1"/>
          <w:sz w:val="18"/>
          <w:szCs w:val="18"/>
        </w:rPr>
        <w:t xml:space="preserve"> </w:t>
      </w:r>
      <w:r w:rsidR="00EA17CE" w:rsidRPr="005C2B8D">
        <w:rPr>
          <w:rFonts w:ascii="Arial" w:hAnsi="Arial" w:cs="Arial"/>
          <w:color w:val="000000" w:themeColor="text1"/>
          <w:sz w:val="18"/>
          <w:szCs w:val="18"/>
        </w:rPr>
        <w:t>Artículo 2.2.1.2.6.1.5. Bienes o servicios adicionales a la obra pública. (Adicionado por el artículo 1 del Decreto 342 del 5 de marzo de 2019)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w:t>
      </w:r>
    </w:p>
    <w:p w14:paraId="01867328" w14:textId="77777777" w:rsidR="00EA17CE" w:rsidRPr="005C2B8D" w:rsidRDefault="00EA17CE" w:rsidP="005C2B8D">
      <w:pPr>
        <w:pStyle w:val="Textonotapie"/>
        <w:ind w:firstLine="708"/>
        <w:jc w:val="both"/>
        <w:rPr>
          <w:rFonts w:ascii="Arial" w:hAnsi="Arial" w:cs="Arial"/>
          <w:color w:val="000000" w:themeColor="text1"/>
          <w:sz w:val="18"/>
          <w:szCs w:val="18"/>
        </w:rPr>
      </w:pPr>
    </w:p>
    <w:p w14:paraId="02FF5F64" w14:textId="77777777" w:rsidR="00EA17CE" w:rsidRPr="005C2B8D" w:rsidRDefault="00EA17CE" w:rsidP="005C2B8D">
      <w:pPr>
        <w:pStyle w:val="Textonotapie"/>
        <w:ind w:firstLine="708"/>
        <w:jc w:val="both"/>
        <w:rPr>
          <w:rFonts w:ascii="Arial" w:hAnsi="Arial" w:cs="Arial"/>
          <w:color w:val="000000" w:themeColor="text1"/>
          <w:sz w:val="18"/>
          <w:szCs w:val="18"/>
        </w:rPr>
      </w:pPr>
      <w:r w:rsidRPr="005C2B8D">
        <w:rPr>
          <w:rFonts w:ascii="Arial" w:hAnsi="Arial" w:cs="Arial"/>
          <w:color w:val="000000" w:themeColor="text1"/>
          <w:sz w:val="18"/>
          <w:szCs w:val="18"/>
        </w:rPr>
        <w:t>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w:t>
      </w:r>
    </w:p>
    <w:p w14:paraId="19FB3E0C" w14:textId="77777777" w:rsidR="00EA17CE" w:rsidRPr="005C2B8D" w:rsidRDefault="00EA17CE" w:rsidP="005C2B8D">
      <w:pPr>
        <w:pStyle w:val="Textonotapie"/>
        <w:ind w:firstLine="708"/>
        <w:jc w:val="both"/>
        <w:rPr>
          <w:rFonts w:ascii="Arial" w:hAnsi="Arial" w:cs="Arial"/>
          <w:color w:val="000000" w:themeColor="text1"/>
          <w:sz w:val="18"/>
          <w:szCs w:val="18"/>
        </w:rPr>
      </w:pPr>
    </w:p>
    <w:p w14:paraId="5688071C" w14:textId="77777777" w:rsidR="00EA17CE" w:rsidRPr="005C2B8D" w:rsidRDefault="00EA17CE" w:rsidP="005C2B8D">
      <w:pPr>
        <w:pStyle w:val="Textonotapie"/>
        <w:ind w:firstLine="708"/>
        <w:jc w:val="both"/>
        <w:rPr>
          <w:rFonts w:ascii="Arial" w:hAnsi="Arial" w:cs="Arial"/>
          <w:color w:val="000000" w:themeColor="text1"/>
          <w:sz w:val="18"/>
          <w:szCs w:val="18"/>
        </w:rPr>
      </w:pPr>
      <w:r w:rsidRPr="005C2B8D">
        <w:rPr>
          <w:rFonts w:ascii="Arial" w:hAnsi="Arial" w:cs="Arial"/>
          <w:color w:val="000000" w:themeColor="text1"/>
          <w:sz w:val="18"/>
          <w:szCs w:val="18"/>
        </w:rPr>
        <w:t>2. Conservar los requisitos exigidos en los Documentos Tipo.</w:t>
      </w:r>
    </w:p>
    <w:p w14:paraId="3B85A938" w14:textId="77777777" w:rsidR="00EA17CE" w:rsidRPr="005C2B8D" w:rsidRDefault="00EA17CE" w:rsidP="005C2B8D">
      <w:pPr>
        <w:pStyle w:val="Textonotapie"/>
        <w:ind w:firstLine="708"/>
        <w:jc w:val="both"/>
        <w:rPr>
          <w:rFonts w:ascii="Arial" w:hAnsi="Arial" w:cs="Arial"/>
          <w:color w:val="000000" w:themeColor="text1"/>
          <w:sz w:val="18"/>
          <w:szCs w:val="18"/>
        </w:rPr>
      </w:pPr>
    </w:p>
    <w:p w14:paraId="11B9A057" w14:textId="77777777" w:rsidR="00EA17CE" w:rsidRPr="005C2B8D" w:rsidRDefault="00EA17CE" w:rsidP="005C2B8D">
      <w:pPr>
        <w:pStyle w:val="Textonotapie"/>
        <w:ind w:firstLine="708"/>
        <w:jc w:val="both"/>
        <w:rPr>
          <w:rFonts w:ascii="Arial" w:hAnsi="Arial" w:cs="Arial"/>
          <w:color w:val="000000" w:themeColor="text1"/>
          <w:sz w:val="18"/>
          <w:szCs w:val="18"/>
        </w:rPr>
      </w:pPr>
      <w:r w:rsidRPr="005C2B8D">
        <w:rPr>
          <w:rFonts w:ascii="Arial" w:hAnsi="Arial" w:cs="Arial"/>
          <w:color w:val="000000" w:themeColor="text1"/>
          <w:sz w:val="18"/>
          <w:szCs w:val="18"/>
        </w:rPr>
        <w:t>3. Abstenerse de pedir experiencia exclusiva con entidades estatales, experiencia previa en un territorio específico, limitada en el tiempo o que incluya volúmenes o cantidades de obra específica.</w:t>
      </w:r>
    </w:p>
    <w:p w14:paraId="1948D8AA" w14:textId="77777777" w:rsidR="00EA17CE" w:rsidRPr="005C2B8D" w:rsidRDefault="00EA17CE" w:rsidP="005C2B8D">
      <w:pPr>
        <w:pStyle w:val="Textonotapie"/>
        <w:ind w:firstLine="708"/>
        <w:jc w:val="both"/>
        <w:rPr>
          <w:rFonts w:ascii="Arial" w:hAnsi="Arial" w:cs="Arial"/>
          <w:color w:val="000000" w:themeColor="text1"/>
          <w:sz w:val="18"/>
          <w:szCs w:val="18"/>
        </w:rPr>
      </w:pPr>
    </w:p>
    <w:p w14:paraId="1D38C680" w14:textId="68506411" w:rsidR="003F1F06" w:rsidRPr="005C2B8D" w:rsidRDefault="00EA17CE" w:rsidP="005C2B8D">
      <w:pPr>
        <w:pStyle w:val="Textonotapie"/>
        <w:ind w:firstLine="708"/>
        <w:jc w:val="both"/>
        <w:rPr>
          <w:rFonts w:ascii="Arial" w:hAnsi="Arial" w:cs="Arial"/>
          <w:color w:val="000000" w:themeColor="text1"/>
          <w:sz w:val="18"/>
          <w:szCs w:val="18"/>
          <w:lang w:val="es-ES"/>
        </w:rPr>
      </w:pPr>
      <w:r w:rsidRPr="005C2B8D">
        <w:rPr>
          <w:rFonts w:ascii="Arial" w:hAnsi="Arial" w:cs="Arial"/>
          <w:color w:val="000000" w:themeColor="text1"/>
          <w:sz w:val="18"/>
          <w:szCs w:val="18"/>
        </w:rPr>
        <w:t>4. Clasificar la experiencia requerida solo hasta el tercer nivel del Clasificador de Bienes y Servicios e incluir exclusivamente los códigos que estén relacionados directamente con el objeto a contratar.</w:t>
      </w:r>
    </w:p>
  </w:footnote>
  <w:footnote w:id="6">
    <w:p w14:paraId="36CDE912" w14:textId="67FC7528" w:rsidR="00AB2DE4" w:rsidRDefault="00AB2DE4" w:rsidP="00AB2DE4">
      <w:pPr>
        <w:pStyle w:val="NormalWeb"/>
        <w:spacing w:before="0" w:beforeAutospacing="0" w:after="120" w:afterAutospacing="0"/>
        <w:ind w:firstLine="709"/>
        <w:jc w:val="both"/>
        <w:rPr>
          <w:rFonts w:ascii="Arial" w:hAnsi="Arial" w:cs="Arial"/>
          <w:color w:val="000000"/>
          <w:sz w:val="19"/>
          <w:szCs w:val="19"/>
        </w:rPr>
      </w:pPr>
      <w:r w:rsidRPr="00AB2DE4">
        <w:rPr>
          <w:rStyle w:val="Refdenotaalpie"/>
          <w:rFonts w:ascii="Arial" w:hAnsi="Arial" w:cs="Arial"/>
          <w:sz w:val="19"/>
          <w:szCs w:val="19"/>
        </w:rPr>
        <w:footnoteRef/>
      </w:r>
      <w:r w:rsidRPr="00AB2DE4">
        <w:rPr>
          <w:rFonts w:ascii="Arial" w:hAnsi="Arial" w:cs="Arial"/>
          <w:sz w:val="19"/>
          <w:szCs w:val="19"/>
        </w:rPr>
        <w:t xml:space="preserve"> «</w:t>
      </w:r>
      <w:r w:rsidRPr="00AB2DE4">
        <w:rPr>
          <w:rFonts w:ascii="Arial" w:hAnsi="Arial" w:cs="Arial"/>
          <w:color w:val="000000"/>
          <w:sz w:val="19"/>
          <w:szCs w:val="19"/>
        </w:rPr>
        <w:t>Artículo 2°. La infraestructura del transporte es un sistema de movilidad integrado por un conjunto de bienes tangibles, intangibles y aquellos que se encuentren relacionados con este, el cual está bajo la vigilancia y control del Estado, y se organiza de manera estable para permitir el traslado de las personas, los bienes y los servicios, el acceso y la integración de las diferentes zonas del país y que propende por el crecimiento, competitividad y mejora de la calidad de la vida de los ciudadanos. </w:t>
      </w:r>
    </w:p>
    <w:p w14:paraId="6DC80FB4" w14:textId="5B6E916A" w:rsidR="00AB2DE4" w:rsidRPr="00AB2DE4" w:rsidRDefault="00AB2DE4" w:rsidP="00AB2DE4">
      <w:pPr>
        <w:jc w:val="both"/>
        <w:rPr>
          <w:rFonts w:ascii="Arial" w:eastAsia="Times New Roman" w:hAnsi="Arial" w:cs="Arial"/>
          <w:color w:val="000000"/>
          <w:sz w:val="19"/>
          <w:szCs w:val="19"/>
          <w:lang w:val="es-CO" w:eastAsia="es-CO"/>
        </w:rPr>
      </w:pPr>
      <w:r w:rsidRPr="00AB2DE4">
        <w:rPr>
          <w:rFonts w:ascii="Arial" w:eastAsia="Times New Roman" w:hAnsi="Arial" w:cs="Arial"/>
          <w:color w:val="000000"/>
          <w:sz w:val="19"/>
          <w:szCs w:val="19"/>
          <w:lang w:val="es-CO" w:eastAsia="es-CO"/>
        </w:rPr>
        <w:t>  </w:t>
      </w:r>
      <w:bookmarkStart w:id="4" w:name="ver_1686329"/>
      <w:bookmarkEnd w:id="4"/>
      <w:r w:rsidRPr="00AB2DE4">
        <w:rPr>
          <w:rFonts w:ascii="Arial" w:eastAsia="Times New Roman" w:hAnsi="Arial" w:cs="Arial"/>
          <w:color w:val="000000"/>
          <w:sz w:val="19"/>
          <w:szCs w:val="19"/>
          <w:lang w:val="es-CO" w:eastAsia="es-CO"/>
        </w:rPr>
        <w:tab/>
        <w:t>»Artículo 3°.</w:t>
      </w:r>
      <w:r w:rsidRPr="00AB2DE4">
        <w:rPr>
          <w:rFonts w:ascii="Arial" w:eastAsia="Times New Roman" w:hAnsi="Arial" w:cs="Arial"/>
          <w:i/>
          <w:iCs/>
          <w:color w:val="000000"/>
          <w:sz w:val="19"/>
          <w:szCs w:val="19"/>
          <w:lang w:val="es-CO" w:eastAsia="es-CO"/>
        </w:rPr>
        <w:t> Características de la infraestructura del transporte.</w:t>
      </w:r>
      <w:r w:rsidRPr="00AB2DE4">
        <w:rPr>
          <w:rFonts w:ascii="Arial" w:eastAsia="Times New Roman" w:hAnsi="Arial" w:cs="Arial"/>
          <w:color w:val="000000"/>
          <w:sz w:val="19"/>
          <w:szCs w:val="19"/>
          <w:lang w:val="es-CO" w:eastAsia="es-CO"/>
        </w:rPr>
        <w:t> La infraestructura de transporte como sistema se caracteriza por ser inteligente, eficiente, multimodal, segura, de acceso a todas las personas y carga, ambientalmente sostenible, adaptada al cambio climático y vulnerabilidad, con acciones de mitigación y está destinada a facilitar y hacer posible el transporte en todos sus modos». </w:t>
      </w:r>
    </w:p>
    <w:p w14:paraId="7FE15BF5" w14:textId="66079AB4" w:rsidR="00AB2DE4" w:rsidRPr="00AB2DE4" w:rsidRDefault="00AB2DE4" w:rsidP="00AB2DE4">
      <w:pPr>
        <w:pStyle w:val="Textonotapie"/>
        <w:ind w:firstLine="708"/>
        <w:rPr>
          <w:lang w:val="es-CO"/>
        </w:rPr>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4000A11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4D1A"/>
    <w:rsid w:val="0000767B"/>
    <w:rsid w:val="0001326B"/>
    <w:rsid w:val="000136B8"/>
    <w:rsid w:val="00014AEA"/>
    <w:rsid w:val="000161DC"/>
    <w:rsid w:val="00021B26"/>
    <w:rsid w:val="00025787"/>
    <w:rsid w:val="000269E5"/>
    <w:rsid w:val="0002714A"/>
    <w:rsid w:val="00033AAC"/>
    <w:rsid w:val="00037A88"/>
    <w:rsid w:val="00041BAE"/>
    <w:rsid w:val="00043B83"/>
    <w:rsid w:val="000513FC"/>
    <w:rsid w:val="000612E5"/>
    <w:rsid w:val="00065E63"/>
    <w:rsid w:val="00070D38"/>
    <w:rsid w:val="00071A02"/>
    <w:rsid w:val="000720C3"/>
    <w:rsid w:val="000735FA"/>
    <w:rsid w:val="00083023"/>
    <w:rsid w:val="000836F1"/>
    <w:rsid w:val="00084B97"/>
    <w:rsid w:val="00086C5D"/>
    <w:rsid w:val="00093AF5"/>
    <w:rsid w:val="000942EB"/>
    <w:rsid w:val="00097D59"/>
    <w:rsid w:val="000A3FAC"/>
    <w:rsid w:val="000A6493"/>
    <w:rsid w:val="000B103F"/>
    <w:rsid w:val="000C6F72"/>
    <w:rsid w:val="000D3ABF"/>
    <w:rsid w:val="000E11AC"/>
    <w:rsid w:val="000E6B8E"/>
    <w:rsid w:val="000F08AA"/>
    <w:rsid w:val="000F0F9B"/>
    <w:rsid w:val="000F14E8"/>
    <w:rsid w:val="000F54FF"/>
    <w:rsid w:val="000F56BA"/>
    <w:rsid w:val="001026F1"/>
    <w:rsid w:val="00102754"/>
    <w:rsid w:val="00103915"/>
    <w:rsid w:val="00106440"/>
    <w:rsid w:val="001067C8"/>
    <w:rsid w:val="00122B23"/>
    <w:rsid w:val="0013025B"/>
    <w:rsid w:val="00137FFA"/>
    <w:rsid w:val="001429FF"/>
    <w:rsid w:val="00142F23"/>
    <w:rsid w:val="001438EF"/>
    <w:rsid w:val="0014709F"/>
    <w:rsid w:val="001633DD"/>
    <w:rsid w:val="00172BB3"/>
    <w:rsid w:val="001772B3"/>
    <w:rsid w:val="00182776"/>
    <w:rsid w:val="001836BA"/>
    <w:rsid w:val="001938C7"/>
    <w:rsid w:val="001A0273"/>
    <w:rsid w:val="001A0850"/>
    <w:rsid w:val="001A1E13"/>
    <w:rsid w:val="001A7282"/>
    <w:rsid w:val="001A7C7B"/>
    <w:rsid w:val="001B0444"/>
    <w:rsid w:val="001D4CCE"/>
    <w:rsid w:val="001E24A0"/>
    <w:rsid w:val="001F216E"/>
    <w:rsid w:val="001F4999"/>
    <w:rsid w:val="002015CE"/>
    <w:rsid w:val="002051F2"/>
    <w:rsid w:val="0020632A"/>
    <w:rsid w:val="002110EB"/>
    <w:rsid w:val="00211338"/>
    <w:rsid w:val="00220CC1"/>
    <w:rsid w:val="0022158F"/>
    <w:rsid w:val="00225091"/>
    <w:rsid w:val="00234B84"/>
    <w:rsid w:val="002A6894"/>
    <w:rsid w:val="002B007A"/>
    <w:rsid w:val="002C052E"/>
    <w:rsid w:val="002C4C0C"/>
    <w:rsid w:val="002D2F81"/>
    <w:rsid w:val="002E72F8"/>
    <w:rsid w:val="002E75DD"/>
    <w:rsid w:val="003033BA"/>
    <w:rsid w:val="00321CCB"/>
    <w:rsid w:val="00322937"/>
    <w:rsid w:val="00335524"/>
    <w:rsid w:val="003355A0"/>
    <w:rsid w:val="0034177C"/>
    <w:rsid w:val="00344625"/>
    <w:rsid w:val="0034680A"/>
    <w:rsid w:val="003476B3"/>
    <w:rsid w:val="00353B9D"/>
    <w:rsid w:val="00353DD5"/>
    <w:rsid w:val="00362084"/>
    <w:rsid w:val="00362BAD"/>
    <w:rsid w:val="003633FB"/>
    <w:rsid w:val="00366A3C"/>
    <w:rsid w:val="00367DA2"/>
    <w:rsid w:val="00372D6F"/>
    <w:rsid w:val="00386456"/>
    <w:rsid w:val="003918E5"/>
    <w:rsid w:val="0039395E"/>
    <w:rsid w:val="003951D5"/>
    <w:rsid w:val="003A0878"/>
    <w:rsid w:val="003A581E"/>
    <w:rsid w:val="003B21BB"/>
    <w:rsid w:val="003B6CD4"/>
    <w:rsid w:val="003C735A"/>
    <w:rsid w:val="003E78C7"/>
    <w:rsid w:val="003F06DD"/>
    <w:rsid w:val="003F1F06"/>
    <w:rsid w:val="00412585"/>
    <w:rsid w:val="00423F9F"/>
    <w:rsid w:val="00424F74"/>
    <w:rsid w:val="004347DB"/>
    <w:rsid w:val="004422D6"/>
    <w:rsid w:val="004501E4"/>
    <w:rsid w:val="00450BB2"/>
    <w:rsid w:val="00450EB1"/>
    <w:rsid w:val="004645A1"/>
    <w:rsid w:val="004709DF"/>
    <w:rsid w:val="0047248B"/>
    <w:rsid w:val="00472C0D"/>
    <w:rsid w:val="0047425C"/>
    <w:rsid w:val="00475F91"/>
    <w:rsid w:val="00477842"/>
    <w:rsid w:val="00477DEA"/>
    <w:rsid w:val="00486E9A"/>
    <w:rsid w:val="00490184"/>
    <w:rsid w:val="0049241A"/>
    <w:rsid w:val="004A30DB"/>
    <w:rsid w:val="004A34D2"/>
    <w:rsid w:val="004A3C19"/>
    <w:rsid w:val="004B25C5"/>
    <w:rsid w:val="004B6D0F"/>
    <w:rsid w:val="004C00C6"/>
    <w:rsid w:val="004C435C"/>
    <w:rsid w:val="004C5FC5"/>
    <w:rsid w:val="004C78D0"/>
    <w:rsid w:val="004E3943"/>
    <w:rsid w:val="004F2254"/>
    <w:rsid w:val="004F5433"/>
    <w:rsid w:val="004F5F4F"/>
    <w:rsid w:val="00500E83"/>
    <w:rsid w:val="00502143"/>
    <w:rsid w:val="00504A44"/>
    <w:rsid w:val="00505A47"/>
    <w:rsid w:val="0051074C"/>
    <w:rsid w:val="00513AF2"/>
    <w:rsid w:val="00526C99"/>
    <w:rsid w:val="0053164B"/>
    <w:rsid w:val="00532860"/>
    <w:rsid w:val="0054413A"/>
    <w:rsid w:val="00553AF9"/>
    <w:rsid w:val="005564CA"/>
    <w:rsid w:val="00560C33"/>
    <w:rsid w:val="0056182B"/>
    <w:rsid w:val="00562615"/>
    <w:rsid w:val="00562E81"/>
    <w:rsid w:val="005756AA"/>
    <w:rsid w:val="0057774F"/>
    <w:rsid w:val="00580F55"/>
    <w:rsid w:val="00581D08"/>
    <w:rsid w:val="005877BF"/>
    <w:rsid w:val="005A2566"/>
    <w:rsid w:val="005A3A67"/>
    <w:rsid w:val="005A3AE3"/>
    <w:rsid w:val="005B2CB9"/>
    <w:rsid w:val="005C2B8D"/>
    <w:rsid w:val="005C6508"/>
    <w:rsid w:val="005D422B"/>
    <w:rsid w:val="005D51FA"/>
    <w:rsid w:val="005D791B"/>
    <w:rsid w:val="005D7D0C"/>
    <w:rsid w:val="005F56BE"/>
    <w:rsid w:val="00604EF0"/>
    <w:rsid w:val="00610E6B"/>
    <w:rsid w:val="00612F94"/>
    <w:rsid w:val="00614817"/>
    <w:rsid w:val="00616E1D"/>
    <w:rsid w:val="00623B3E"/>
    <w:rsid w:val="00632661"/>
    <w:rsid w:val="00633DBF"/>
    <w:rsid w:val="0063431C"/>
    <w:rsid w:val="00645B37"/>
    <w:rsid w:val="0064620D"/>
    <w:rsid w:val="006476FA"/>
    <w:rsid w:val="00650721"/>
    <w:rsid w:val="00652FBB"/>
    <w:rsid w:val="00655371"/>
    <w:rsid w:val="0065794A"/>
    <w:rsid w:val="006839BB"/>
    <w:rsid w:val="00690EB0"/>
    <w:rsid w:val="00695688"/>
    <w:rsid w:val="00697665"/>
    <w:rsid w:val="006A7CB5"/>
    <w:rsid w:val="006A7FD0"/>
    <w:rsid w:val="006B057B"/>
    <w:rsid w:val="006D486F"/>
    <w:rsid w:val="006D7687"/>
    <w:rsid w:val="006E0572"/>
    <w:rsid w:val="006E18EB"/>
    <w:rsid w:val="006E5F6E"/>
    <w:rsid w:val="006E7328"/>
    <w:rsid w:val="00705631"/>
    <w:rsid w:val="00705E5F"/>
    <w:rsid w:val="00707E7D"/>
    <w:rsid w:val="0071000E"/>
    <w:rsid w:val="00715EAA"/>
    <w:rsid w:val="00716ECB"/>
    <w:rsid w:val="007179FE"/>
    <w:rsid w:val="00731C3C"/>
    <w:rsid w:val="00732216"/>
    <w:rsid w:val="007424E6"/>
    <w:rsid w:val="00742DD2"/>
    <w:rsid w:val="00746E08"/>
    <w:rsid w:val="00747C96"/>
    <w:rsid w:val="0075094E"/>
    <w:rsid w:val="007522E8"/>
    <w:rsid w:val="0075647A"/>
    <w:rsid w:val="00756E92"/>
    <w:rsid w:val="0076012E"/>
    <w:rsid w:val="007634AD"/>
    <w:rsid w:val="007649EE"/>
    <w:rsid w:val="0076581D"/>
    <w:rsid w:val="00772FD6"/>
    <w:rsid w:val="0078122E"/>
    <w:rsid w:val="00790697"/>
    <w:rsid w:val="00792691"/>
    <w:rsid w:val="007926E9"/>
    <w:rsid w:val="00792B81"/>
    <w:rsid w:val="00792E4F"/>
    <w:rsid w:val="00795647"/>
    <w:rsid w:val="007A26AA"/>
    <w:rsid w:val="007B0854"/>
    <w:rsid w:val="007B41F6"/>
    <w:rsid w:val="007C3B5D"/>
    <w:rsid w:val="007D6F7B"/>
    <w:rsid w:val="007D7372"/>
    <w:rsid w:val="007E4227"/>
    <w:rsid w:val="007F4514"/>
    <w:rsid w:val="007F6B46"/>
    <w:rsid w:val="007F72CB"/>
    <w:rsid w:val="008217B7"/>
    <w:rsid w:val="008225A3"/>
    <w:rsid w:val="00825339"/>
    <w:rsid w:val="0083119B"/>
    <w:rsid w:val="00836EAB"/>
    <w:rsid w:val="0084284E"/>
    <w:rsid w:val="00845A3C"/>
    <w:rsid w:val="0085092D"/>
    <w:rsid w:val="00850F79"/>
    <w:rsid w:val="0085631E"/>
    <w:rsid w:val="008618DB"/>
    <w:rsid w:val="00862512"/>
    <w:rsid w:val="008628FD"/>
    <w:rsid w:val="00864C63"/>
    <w:rsid w:val="00872110"/>
    <w:rsid w:val="008753A2"/>
    <w:rsid w:val="0087624C"/>
    <w:rsid w:val="00885E66"/>
    <w:rsid w:val="0089774F"/>
    <w:rsid w:val="00897C4F"/>
    <w:rsid w:val="008A1E77"/>
    <w:rsid w:val="008A4572"/>
    <w:rsid w:val="008D484E"/>
    <w:rsid w:val="008D4A91"/>
    <w:rsid w:val="008D4EAA"/>
    <w:rsid w:val="008D5926"/>
    <w:rsid w:val="008E0FA8"/>
    <w:rsid w:val="008E1970"/>
    <w:rsid w:val="008E1C15"/>
    <w:rsid w:val="008E51FD"/>
    <w:rsid w:val="008F24C4"/>
    <w:rsid w:val="008F538E"/>
    <w:rsid w:val="008F6090"/>
    <w:rsid w:val="00902F50"/>
    <w:rsid w:val="0090426C"/>
    <w:rsid w:val="009047C5"/>
    <w:rsid w:val="00906A87"/>
    <w:rsid w:val="00920957"/>
    <w:rsid w:val="009435C8"/>
    <w:rsid w:val="0094645C"/>
    <w:rsid w:val="0095385A"/>
    <w:rsid w:val="0095611B"/>
    <w:rsid w:val="00971D3D"/>
    <w:rsid w:val="00973D90"/>
    <w:rsid w:val="009752FD"/>
    <w:rsid w:val="00975B75"/>
    <w:rsid w:val="009824C1"/>
    <w:rsid w:val="009A683C"/>
    <w:rsid w:val="009B4B19"/>
    <w:rsid w:val="009D1712"/>
    <w:rsid w:val="009F54A1"/>
    <w:rsid w:val="009F59C2"/>
    <w:rsid w:val="009F7BDD"/>
    <w:rsid w:val="00A00031"/>
    <w:rsid w:val="00A002CE"/>
    <w:rsid w:val="00A11179"/>
    <w:rsid w:val="00A122B0"/>
    <w:rsid w:val="00A143C9"/>
    <w:rsid w:val="00A14EA4"/>
    <w:rsid w:val="00A2164E"/>
    <w:rsid w:val="00A227A5"/>
    <w:rsid w:val="00A23F33"/>
    <w:rsid w:val="00A24560"/>
    <w:rsid w:val="00A34538"/>
    <w:rsid w:val="00A37FB6"/>
    <w:rsid w:val="00A53878"/>
    <w:rsid w:val="00A5699C"/>
    <w:rsid w:val="00A71EF5"/>
    <w:rsid w:val="00A721BD"/>
    <w:rsid w:val="00A805B7"/>
    <w:rsid w:val="00A80C55"/>
    <w:rsid w:val="00AA08E7"/>
    <w:rsid w:val="00AA442B"/>
    <w:rsid w:val="00AA5A18"/>
    <w:rsid w:val="00AA669D"/>
    <w:rsid w:val="00AB2169"/>
    <w:rsid w:val="00AB2DE4"/>
    <w:rsid w:val="00AB50D7"/>
    <w:rsid w:val="00AC4C04"/>
    <w:rsid w:val="00AD63EB"/>
    <w:rsid w:val="00AD6EDC"/>
    <w:rsid w:val="00AF2D53"/>
    <w:rsid w:val="00AF2F8B"/>
    <w:rsid w:val="00AF52BE"/>
    <w:rsid w:val="00AF7706"/>
    <w:rsid w:val="00B015D5"/>
    <w:rsid w:val="00B12505"/>
    <w:rsid w:val="00B137E0"/>
    <w:rsid w:val="00B13EC0"/>
    <w:rsid w:val="00B1413A"/>
    <w:rsid w:val="00B2240A"/>
    <w:rsid w:val="00B22E22"/>
    <w:rsid w:val="00B274ED"/>
    <w:rsid w:val="00B2761D"/>
    <w:rsid w:val="00B32603"/>
    <w:rsid w:val="00B3701C"/>
    <w:rsid w:val="00B42DCA"/>
    <w:rsid w:val="00B42F46"/>
    <w:rsid w:val="00B5142E"/>
    <w:rsid w:val="00B525CB"/>
    <w:rsid w:val="00B57E77"/>
    <w:rsid w:val="00B63872"/>
    <w:rsid w:val="00B63CB2"/>
    <w:rsid w:val="00B64EDB"/>
    <w:rsid w:val="00B72F2B"/>
    <w:rsid w:val="00B7315F"/>
    <w:rsid w:val="00B7555F"/>
    <w:rsid w:val="00B75817"/>
    <w:rsid w:val="00B763ED"/>
    <w:rsid w:val="00B823D7"/>
    <w:rsid w:val="00B86E8F"/>
    <w:rsid w:val="00B90CB1"/>
    <w:rsid w:val="00B91B8E"/>
    <w:rsid w:val="00BA1CC1"/>
    <w:rsid w:val="00BA4815"/>
    <w:rsid w:val="00BA554B"/>
    <w:rsid w:val="00BA7AEC"/>
    <w:rsid w:val="00BD0076"/>
    <w:rsid w:val="00BD6A6D"/>
    <w:rsid w:val="00BD78FE"/>
    <w:rsid w:val="00BE3DB5"/>
    <w:rsid w:val="00BF5936"/>
    <w:rsid w:val="00BF6650"/>
    <w:rsid w:val="00BF6FA7"/>
    <w:rsid w:val="00C10E86"/>
    <w:rsid w:val="00C163C0"/>
    <w:rsid w:val="00C21B22"/>
    <w:rsid w:val="00C2531C"/>
    <w:rsid w:val="00C2781C"/>
    <w:rsid w:val="00C30544"/>
    <w:rsid w:val="00C3334B"/>
    <w:rsid w:val="00C42B9D"/>
    <w:rsid w:val="00C562D9"/>
    <w:rsid w:val="00C70F9C"/>
    <w:rsid w:val="00C71F86"/>
    <w:rsid w:val="00C7791A"/>
    <w:rsid w:val="00C82200"/>
    <w:rsid w:val="00C85003"/>
    <w:rsid w:val="00C8792E"/>
    <w:rsid w:val="00C9363E"/>
    <w:rsid w:val="00C97536"/>
    <w:rsid w:val="00C97DBF"/>
    <w:rsid w:val="00CA4DFC"/>
    <w:rsid w:val="00CB08F6"/>
    <w:rsid w:val="00CB2DD2"/>
    <w:rsid w:val="00CC00CD"/>
    <w:rsid w:val="00CC5F15"/>
    <w:rsid w:val="00CD1392"/>
    <w:rsid w:val="00CD3959"/>
    <w:rsid w:val="00CD654F"/>
    <w:rsid w:val="00CE2411"/>
    <w:rsid w:val="00CE657C"/>
    <w:rsid w:val="00CE6EEA"/>
    <w:rsid w:val="00D0008B"/>
    <w:rsid w:val="00D01760"/>
    <w:rsid w:val="00D0381F"/>
    <w:rsid w:val="00D16E39"/>
    <w:rsid w:val="00D223B6"/>
    <w:rsid w:val="00D22A7C"/>
    <w:rsid w:val="00D2488D"/>
    <w:rsid w:val="00D36CD5"/>
    <w:rsid w:val="00D43221"/>
    <w:rsid w:val="00D4691B"/>
    <w:rsid w:val="00D5519F"/>
    <w:rsid w:val="00D60327"/>
    <w:rsid w:val="00D61F30"/>
    <w:rsid w:val="00D707FC"/>
    <w:rsid w:val="00D7233D"/>
    <w:rsid w:val="00D72E9D"/>
    <w:rsid w:val="00D7522E"/>
    <w:rsid w:val="00D80F66"/>
    <w:rsid w:val="00D82CE5"/>
    <w:rsid w:val="00D870FF"/>
    <w:rsid w:val="00D97AD4"/>
    <w:rsid w:val="00DA5AB1"/>
    <w:rsid w:val="00DB03A0"/>
    <w:rsid w:val="00DB763E"/>
    <w:rsid w:val="00DC3584"/>
    <w:rsid w:val="00DC367F"/>
    <w:rsid w:val="00DC57C0"/>
    <w:rsid w:val="00DC62E5"/>
    <w:rsid w:val="00DD735D"/>
    <w:rsid w:val="00DE0A79"/>
    <w:rsid w:val="00DE0E3C"/>
    <w:rsid w:val="00DE252E"/>
    <w:rsid w:val="00DE2A5E"/>
    <w:rsid w:val="00DE3119"/>
    <w:rsid w:val="00DE52A3"/>
    <w:rsid w:val="00DE596F"/>
    <w:rsid w:val="00DF236B"/>
    <w:rsid w:val="00DF3D44"/>
    <w:rsid w:val="00E04C78"/>
    <w:rsid w:val="00E07052"/>
    <w:rsid w:val="00E079CB"/>
    <w:rsid w:val="00E07DD0"/>
    <w:rsid w:val="00E13AB8"/>
    <w:rsid w:val="00E222CD"/>
    <w:rsid w:val="00E25CB3"/>
    <w:rsid w:val="00E32B04"/>
    <w:rsid w:val="00E33B62"/>
    <w:rsid w:val="00E35DF3"/>
    <w:rsid w:val="00E4143A"/>
    <w:rsid w:val="00E43451"/>
    <w:rsid w:val="00E62A1B"/>
    <w:rsid w:val="00E82B52"/>
    <w:rsid w:val="00EA17CE"/>
    <w:rsid w:val="00EA518F"/>
    <w:rsid w:val="00EB3356"/>
    <w:rsid w:val="00EB3687"/>
    <w:rsid w:val="00EC4803"/>
    <w:rsid w:val="00ED066E"/>
    <w:rsid w:val="00ED1B71"/>
    <w:rsid w:val="00EE2230"/>
    <w:rsid w:val="00EE3C54"/>
    <w:rsid w:val="00EE59B5"/>
    <w:rsid w:val="00EF55D8"/>
    <w:rsid w:val="00F04355"/>
    <w:rsid w:val="00F10993"/>
    <w:rsid w:val="00F15A97"/>
    <w:rsid w:val="00F1704D"/>
    <w:rsid w:val="00F20F0D"/>
    <w:rsid w:val="00F21ABC"/>
    <w:rsid w:val="00F22094"/>
    <w:rsid w:val="00F2716F"/>
    <w:rsid w:val="00F27B31"/>
    <w:rsid w:val="00F42B5B"/>
    <w:rsid w:val="00F42C9F"/>
    <w:rsid w:val="00F620D1"/>
    <w:rsid w:val="00F73D45"/>
    <w:rsid w:val="00F84899"/>
    <w:rsid w:val="00F8551A"/>
    <w:rsid w:val="00F859F0"/>
    <w:rsid w:val="00F91BF3"/>
    <w:rsid w:val="00F97BC8"/>
    <w:rsid w:val="00FA2368"/>
    <w:rsid w:val="00FA3005"/>
    <w:rsid w:val="00FA721A"/>
    <w:rsid w:val="00FB273F"/>
    <w:rsid w:val="00FC11B1"/>
    <w:rsid w:val="00FD029B"/>
    <w:rsid w:val="00FD09A3"/>
    <w:rsid w:val="00FE141E"/>
    <w:rsid w:val="00FE3F52"/>
    <w:rsid w:val="00FE42ED"/>
    <w:rsid w:val="00FF0F63"/>
    <w:rsid w:val="00FF1DCA"/>
    <w:rsid w:val="00FF2990"/>
    <w:rsid w:val="00FF4B4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semiHidden/>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semiHidden/>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3F52"/>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1"/>
    <w:qFormat/>
    <w:rsid w:val="00FF1DCA"/>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FF1DCA"/>
    <w:rPr>
      <w:rFonts w:ascii="Arial" w:eastAsia="Arial" w:hAnsi="Arial" w:cs="Arial"/>
      <w:lang w:val="es-ES" w:eastAsia="es-ES" w:bidi="es-ES"/>
    </w:rPr>
  </w:style>
  <w:style w:type="character" w:styleId="Textoennegrita">
    <w:name w:val="Strong"/>
    <w:basedOn w:val="Fuentedeprrafopredeter"/>
    <w:uiPriority w:val="22"/>
    <w:qFormat/>
    <w:rsid w:val="00AB2DE4"/>
    <w:rPr>
      <w:b/>
      <w:bCs/>
    </w:rPr>
  </w:style>
  <w:style w:type="character" w:styleId="nfasis">
    <w:name w:val="Emphasis"/>
    <w:basedOn w:val="Fuentedeprrafopredeter"/>
    <w:uiPriority w:val="20"/>
    <w:qFormat/>
    <w:rsid w:val="00AB2D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1485660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716196651">
      <w:bodyDiv w:val="1"/>
      <w:marLeft w:val="0"/>
      <w:marRight w:val="0"/>
      <w:marTop w:val="0"/>
      <w:marBottom w:val="0"/>
      <w:divBdr>
        <w:top w:val="none" w:sz="0" w:space="0" w:color="auto"/>
        <w:left w:val="none" w:sz="0" w:space="0" w:color="auto"/>
        <w:bottom w:val="none" w:sz="0" w:space="0" w:color="auto"/>
        <w:right w:val="none" w:sz="0" w:space="0" w:color="auto"/>
      </w:divBdr>
    </w:div>
    <w:div w:id="716779644">
      <w:bodyDiv w:val="1"/>
      <w:marLeft w:val="0"/>
      <w:marRight w:val="0"/>
      <w:marTop w:val="0"/>
      <w:marBottom w:val="0"/>
      <w:divBdr>
        <w:top w:val="none" w:sz="0" w:space="0" w:color="auto"/>
        <w:left w:val="none" w:sz="0" w:space="0" w:color="auto"/>
        <w:bottom w:val="none" w:sz="0" w:space="0" w:color="auto"/>
        <w:right w:val="none" w:sz="0" w:space="0" w:color="auto"/>
      </w:divBdr>
      <w:divsChild>
        <w:div w:id="891114300">
          <w:marLeft w:val="0"/>
          <w:marRight w:val="0"/>
          <w:marTop w:val="0"/>
          <w:marBottom w:val="0"/>
          <w:divBdr>
            <w:top w:val="none" w:sz="0" w:space="0" w:color="auto"/>
            <w:left w:val="none" w:sz="0" w:space="0" w:color="auto"/>
            <w:bottom w:val="none" w:sz="0" w:space="0" w:color="auto"/>
            <w:right w:val="none" w:sz="0" w:space="0" w:color="auto"/>
          </w:divBdr>
          <w:divsChild>
            <w:div w:id="1922328321">
              <w:marLeft w:val="0"/>
              <w:marRight w:val="0"/>
              <w:marTop w:val="0"/>
              <w:marBottom w:val="0"/>
              <w:divBdr>
                <w:top w:val="none" w:sz="0" w:space="0" w:color="auto"/>
                <w:left w:val="none" w:sz="0" w:space="0" w:color="auto"/>
                <w:bottom w:val="none" w:sz="0" w:space="0" w:color="auto"/>
                <w:right w:val="none" w:sz="0" w:space="0" w:color="auto"/>
              </w:divBdr>
            </w:div>
          </w:divsChild>
        </w:div>
        <w:div w:id="1876969238">
          <w:marLeft w:val="0"/>
          <w:marRight w:val="0"/>
          <w:marTop w:val="0"/>
          <w:marBottom w:val="0"/>
          <w:divBdr>
            <w:top w:val="none" w:sz="0" w:space="0" w:color="auto"/>
            <w:left w:val="none" w:sz="0" w:space="0" w:color="auto"/>
            <w:bottom w:val="none" w:sz="0" w:space="0" w:color="auto"/>
            <w:right w:val="none" w:sz="0" w:space="0" w:color="auto"/>
          </w:divBdr>
          <w:divsChild>
            <w:div w:id="13558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24473">
      <w:bodyDiv w:val="1"/>
      <w:marLeft w:val="0"/>
      <w:marRight w:val="0"/>
      <w:marTop w:val="0"/>
      <w:marBottom w:val="0"/>
      <w:divBdr>
        <w:top w:val="none" w:sz="0" w:space="0" w:color="auto"/>
        <w:left w:val="none" w:sz="0" w:space="0" w:color="auto"/>
        <w:bottom w:val="none" w:sz="0" w:space="0" w:color="auto"/>
        <w:right w:val="none" w:sz="0" w:space="0" w:color="auto"/>
      </w:divBdr>
    </w:div>
    <w:div w:id="1156645918">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0890943">
      <w:bodyDiv w:val="1"/>
      <w:marLeft w:val="0"/>
      <w:marRight w:val="0"/>
      <w:marTop w:val="0"/>
      <w:marBottom w:val="0"/>
      <w:divBdr>
        <w:top w:val="none" w:sz="0" w:space="0" w:color="auto"/>
        <w:left w:val="none" w:sz="0" w:space="0" w:color="auto"/>
        <w:bottom w:val="none" w:sz="0" w:space="0" w:color="auto"/>
        <w:right w:val="none" w:sz="0" w:space="0" w:color="auto"/>
      </w:divBdr>
      <w:divsChild>
        <w:div w:id="2111310611">
          <w:marLeft w:val="0"/>
          <w:marRight w:val="0"/>
          <w:marTop w:val="0"/>
          <w:marBottom w:val="0"/>
          <w:divBdr>
            <w:top w:val="none" w:sz="0" w:space="0" w:color="auto"/>
            <w:left w:val="none" w:sz="0" w:space="0" w:color="auto"/>
            <w:bottom w:val="none" w:sz="0" w:space="0" w:color="auto"/>
            <w:right w:val="none" w:sz="0" w:space="0" w:color="auto"/>
          </w:divBdr>
          <w:divsChild>
            <w:div w:id="1376542950">
              <w:marLeft w:val="0"/>
              <w:marRight w:val="0"/>
              <w:marTop w:val="0"/>
              <w:marBottom w:val="0"/>
              <w:divBdr>
                <w:top w:val="none" w:sz="0" w:space="0" w:color="auto"/>
                <w:left w:val="none" w:sz="0" w:space="0" w:color="auto"/>
                <w:bottom w:val="none" w:sz="0" w:space="0" w:color="auto"/>
                <w:right w:val="none" w:sz="0" w:space="0" w:color="auto"/>
              </w:divBdr>
            </w:div>
          </w:divsChild>
        </w:div>
        <w:div w:id="1198665373">
          <w:marLeft w:val="0"/>
          <w:marRight w:val="0"/>
          <w:marTop w:val="0"/>
          <w:marBottom w:val="0"/>
          <w:divBdr>
            <w:top w:val="none" w:sz="0" w:space="0" w:color="auto"/>
            <w:left w:val="none" w:sz="0" w:space="0" w:color="auto"/>
            <w:bottom w:val="none" w:sz="0" w:space="0" w:color="auto"/>
            <w:right w:val="none" w:sz="0" w:space="0" w:color="auto"/>
          </w:divBdr>
          <w:divsChild>
            <w:div w:id="134921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67082">
      <w:bodyDiv w:val="1"/>
      <w:marLeft w:val="0"/>
      <w:marRight w:val="0"/>
      <w:marTop w:val="0"/>
      <w:marBottom w:val="0"/>
      <w:divBdr>
        <w:top w:val="none" w:sz="0" w:space="0" w:color="auto"/>
        <w:left w:val="none" w:sz="0" w:space="0" w:color="auto"/>
        <w:bottom w:val="none" w:sz="0" w:space="0" w:color="auto"/>
        <w:right w:val="none" w:sz="0" w:space="0" w:color="auto"/>
      </w:divBdr>
    </w:div>
    <w:div w:id="1620721960">
      <w:bodyDiv w:val="1"/>
      <w:marLeft w:val="0"/>
      <w:marRight w:val="0"/>
      <w:marTop w:val="0"/>
      <w:marBottom w:val="0"/>
      <w:divBdr>
        <w:top w:val="none" w:sz="0" w:space="0" w:color="auto"/>
        <w:left w:val="none" w:sz="0" w:space="0" w:color="auto"/>
        <w:bottom w:val="none" w:sz="0" w:space="0" w:color="auto"/>
        <w:right w:val="none" w:sz="0" w:space="0" w:color="auto"/>
      </w:divBdr>
    </w:div>
    <w:div w:id="1724671274">
      <w:bodyDiv w:val="1"/>
      <w:marLeft w:val="0"/>
      <w:marRight w:val="0"/>
      <w:marTop w:val="0"/>
      <w:marBottom w:val="0"/>
      <w:divBdr>
        <w:top w:val="none" w:sz="0" w:space="0" w:color="auto"/>
        <w:left w:val="none" w:sz="0" w:space="0" w:color="auto"/>
        <w:bottom w:val="none" w:sz="0" w:space="0" w:color="auto"/>
        <w:right w:val="none" w:sz="0" w:space="0" w:color="auto"/>
      </w:divBdr>
      <w:divsChild>
        <w:div w:id="1537506439">
          <w:marLeft w:val="0"/>
          <w:marRight w:val="0"/>
          <w:marTop w:val="0"/>
          <w:marBottom w:val="0"/>
          <w:divBdr>
            <w:top w:val="none" w:sz="0" w:space="0" w:color="auto"/>
            <w:left w:val="none" w:sz="0" w:space="0" w:color="auto"/>
            <w:bottom w:val="none" w:sz="0" w:space="0" w:color="auto"/>
            <w:right w:val="none" w:sz="0" w:space="0" w:color="auto"/>
          </w:divBdr>
          <w:divsChild>
            <w:div w:id="1100875328">
              <w:marLeft w:val="0"/>
              <w:marRight w:val="0"/>
              <w:marTop w:val="0"/>
              <w:marBottom w:val="0"/>
              <w:divBdr>
                <w:top w:val="none" w:sz="0" w:space="0" w:color="auto"/>
                <w:left w:val="none" w:sz="0" w:space="0" w:color="auto"/>
                <w:bottom w:val="none" w:sz="0" w:space="0" w:color="auto"/>
                <w:right w:val="none" w:sz="0" w:space="0" w:color="auto"/>
              </w:divBdr>
            </w:div>
          </w:divsChild>
        </w:div>
        <w:div w:id="1496455843">
          <w:marLeft w:val="0"/>
          <w:marRight w:val="0"/>
          <w:marTop w:val="0"/>
          <w:marBottom w:val="0"/>
          <w:divBdr>
            <w:top w:val="none" w:sz="0" w:space="0" w:color="auto"/>
            <w:left w:val="none" w:sz="0" w:space="0" w:color="auto"/>
            <w:bottom w:val="none" w:sz="0" w:space="0" w:color="auto"/>
            <w:right w:val="none" w:sz="0" w:space="0" w:color="auto"/>
          </w:divBdr>
          <w:divsChild>
            <w:div w:id="198057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C4917C-B94F-4EFB-9835-77BEE89ED12C}">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BDD8E39A-D8EF-4A6E-8C5A-179F16C8A2F2}">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453ACDDB-DCCA-46F2-BD4C-3CE1DADC4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9</Pages>
  <Words>3210</Words>
  <Characters>17660</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cp:revision>
  <cp:lastPrinted>2020-03-02T22:07:00Z</cp:lastPrinted>
  <dcterms:created xsi:type="dcterms:W3CDTF">2020-08-19T20:11:00Z</dcterms:created>
  <dcterms:modified xsi:type="dcterms:W3CDTF">2020-08-19T20:11:00Z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