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263C7" w14:textId="77777777" w:rsidR="00C93C81" w:rsidRDefault="00C93C81" w:rsidP="00356248">
      <w:pPr>
        <w:ind w:left="301" w:right="306"/>
        <w:jc w:val="both"/>
        <w:rPr>
          <w:b/>
          <w:lang w:val="es-MX"/>
        </w:rPr>
      </w:pPr>
    </w:p>
    <w:p w14:paraId="24AA8696" w14:textId="3595D499" w:rsidR="00CB15E6" w:rsidRPr="00C93C81" w:rsidRDefault="00CB15E6" w:rsidP="1489CEA0">
      <w:pPr>
        <w:ind w:left="301" w:right="306"/>
        <w:jc w:val="both"/>
        <w:rPr>
          <w:b/>
          <w:bCs/>
          <w:lang w:val="es-MX"/>
        </w:rPr>
      </w:pPr>
      <w:r w:rsidRPr="1489CEA0">
        <w:rPr>
          <w:b/>
          <w:bCs/>
          <w:lang w:val="es-MX"/>
        </w:rPr>
        <w:t>EXPERIENCI</w:t>
      </w:r>
      <w:r w:rsidRPr="1489CEA0">
        <w:rPr>
          <w:b/>
          <w:bCs/>
        </w:rPr>
        <w:t>A</w:t>
      </w:r>
      <w:r w:rsidRPr="1489CEA0">
        <w:rPr>
          <w:b/>
          <w:bCs/>
          <w:lang w:val="es-MX"/>
        </w:rPr>
        <w:t xml:space="preserve"> –</w:t>
      </w:r>
      <w:r w:rsidR="2619DB3E" w:rsidRPr="1489CEA0">
        <w:rPr>
          <w:b/>
          <w:bCs/>
          <w:lang w:val="es-MX"/>
        </w:rPr>
        <w:t xml:space="preserve"> Socios – Sociedades con menos de tres años de constitu</w:t>
      </w:r>
      <w:r w:rsidR="00A27B49">
        <w:rPr>
          <w:b/>
          <w:bCs/>
          <w:lang w:val="es-MX"/>
        </w:rPr>
        <w:t>ida</w:t>
      </w:r>
      <w:r w:rsidR="2619DB3E" w:rsidRPr="1489CEA0">
        <w:rPr>
          <w:b/>
          <w:bCs/>
          <w:lang w:val="es-MX"/>
        </w:rPr>
        <w:t xml:space="preserve"> –</w:t>
      </w:r>
      <w:r w:rsidR="00A27B49">
        <w:rPr>
          <w:b/>
          <w:bCs/>
          <w:lang w:val="es-MX"/>
        </w:rPr>
        <w:t xml:space="preserve"> </w:t>
      </w:r>
      <w:r w:rsidRPr="1489CEA0">
        <w:rPr>
          <w:b/>
          <w:bCs/>
          <w:lang w:val="es-MX"/>
        </w:rPr>
        <w:t>Decreto 1082 de 2015</w:t>
      </w:r>
    </w:p>
    <w:p w14:paraId="3CF9F24C" w14:textId="77777777" w:rsidR="00CB15E6" w:rsidRPr="00C93C81" w:rsidRDefault="00CB15E6" w:rsidP="00356248">
      <w:pPr>
        <w:ind w:left="301" w:right="306"/>
        <w:jc w:val="both"/>
        <w:rPr>
          <w:sz w:val="21"/>
          <w:szCs w:val="21"/>
        </w:rPr>
      </w:pPr>
    </w:p>
    <w:p w14:paraId="5BD1243A" w14:textId="77777777" w:rsidR="00CB15E6" w:rsidRPr="00C93C81" w:rsidRDefault="00CB15E6" w:rsidP="00356248">
      <w:pPr>
        <w:ind w:left="301" w:right="306"/>
        <w:jc w:val="both"/>
        <w:rPr>
          <w:b/>
          <w:sz w:val="20"/>
          <w:szCs w:val="20"/>
          <w:lang w:val="es-MX"/>
        </w:rPr>
      </w:pPr>
      <w:r w:rsidRPr="00C93C81">
        <w:rPr>
          <w:sz w:val="20"/>
          <w:szCs w:val="20"/>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su experiencia a la sociedad de la que es parte, para que ésta, como persona jurídica independiente, cumpla los requisitos habilitantes o puntuables que establezcan las entidades estatales en sus procesos de contratación, y de esta forma promover el desarrollo de la empresa y la pluralidad de oferentes en la contratación pública.</w:t>
      </w:r>
    </w:p>
    <w:p w14:paraId="01679E04" w14:textId="77777777" w:rsidR="00CB15E6" w:rsidRPr="00C93C81" w:rsidRDefault="00CB15E6" w:rsidP="00356248">
      <w:pPr>
        <w:ind w:left="301" w:right="306"/>
        <w:jc w:val="both"/>
        <w:rPr>
          <w:b/>
          <w:sz w:val="20"/>
          <w:szCs w:val="20"/>
          <w:lang w:val="es-MX"/>
        </w:rPr>
      </w:pPr>
    </w:p>
    <w:p w14:paraId="7F25A3DD" w14:textId="3372FBFA" w:rsidR="00CB15E6" w:rsidRPr="00C93C81" w:rsidRDefault="00CB15E6" w:rsidP="00356248">
      <w:pPr>
        <w:ind w:left="301" w:right="306"/>
        <w:jc w:val="both"/>
        <w:rPr>
          <w:b/>
          <w:lang w:val="es-MX"/>
        </w:rPr>
      </w:pPr>
      <w:r w:rsidRPr="00C93C81">
        <w:rPr>
          <w:b/>
          <w:lang w:val="es-MX"/>
        </w:rPr>
        <w:t>EXPERIENCIA – Transfe</w:t>
      </w:r>
      <w:r w:rsidR="00C93C81">
        <w:rPr>
          <w:b/>
          <w:lang w:val="es-MX"/>
        </w:rPr>
        <w:t>rencia experiencia socio</w:t>
      </w:r>
      <w:r w:rsidR="00494350">
        <w:rPr>
          <w:b/>
          <w:lang w:val="es-MX"/>
        </w:rPr>
        <w:t>s</w:t>
      </w:r>
      <w:r w:rsidRPr="00C93C81">
        <w:rPr>
          <w:b/>
          <w:lang w:val="es-MX"/>
        </w:rPr>
        <w:t xml:space="preserve"> </w:t>
      </w:r>
      <w:r w:rsidR="00C93C81" w:rsidRPr="00C93C81">
        <w:rPr>
          <w:b/>
          <w:lang w:val="es-MX"/>
        </w:rPr>
        <w:t>–</w:t>
      </w:r>
      <w:r w:rsidR="00C93C81">
        <w:rPr>
          <w:b/>
          <w:lang w:val="es-MX"/>
        </w:rPr>
        <w:t xml:space="preserve"> S</w:t>
      </w:r>
      <w:r w:rsidRPr="00C93C81">
        <w:rPr>
          <w:b/>
          <w:lang w:val="es-MX"/>
        </w:rPr>
        <w:t>ociedad con más de 3 años de consti</w:t>
      </w:r>
      <w:r w:rsidR="00540C5C">
        <w:rPr>
          <w:b/>
          <w:lang w:val="es-MX"/>
        </w:rPr>
        <w:t>tuida</w:t>
      </w:r>
      <w:bookmarkStart w:id="0" w:name="_GoBack"/>
      <w:bookmarkEnd w:id="0"/>
      <w:r w:rsidRPr="00C93C81">
        <w:rPr>
          <w:b/>
          <w:lang w:val="es-MX"/>
        </w:rPr>
        <w:t xml:space="preserve"> – Persona jurídica </w:t>
      </w:r>
      <w:r w:rsidR="00C93C81" w:rsidRPr="00C93C81">
        <w:rPr>
          <w:b/>
          <w:lang w:val="es-MX"/>
        </w:rPr>
        <w:t>–</w:t>
      </w:r>
      <w:r w:rsidR="00C93C81">
        <w:rPr>
          <w:b/>
          <w:lang w:val="es-MX"/>
        </w:rPr>
        <w:t xml:space="preserve"> Registro</w:t>
      </w:r>
      <w:r w:rsidRPr="00C93C81">
        <w:rPr>
          <w:b/>
          <w:lang w:val="es-MX"/>
        </w:rPr>
        <w:t xml:space="preserve"> en el RUP</w:t>
      </w:r>
    </w:p>
    <w:p w14:paraId="620C6020" w14:textId="77777777" w:rsidR="00CB15E6" w:rsidRPr="00C93C81" w:rsidRDefault="00CB15E6" w:rsidP="00356248">
      <w:pPr>
        <w:ind w:left="301" w:right="306"/>
        <w:jc w:val="both"/>
        <w:rPr>
          <w:b/>
          <w:lang w:val="es-MX"/>
        </w:rPr>
      </w:pPr>
    </w:p>
    <w:p w14:paraId="52B03D72" w14:textId="0F7963BF" w:rsidR="00C93C81" w:rsidRPr="00C93C81" w:rsidRDefault="00CB15E6" w:rsidP="00356248">
      <w:pPr>
        <w:ind w:left="301" w:right="306"/>
        <w:jc w:val="both"/>
        <w:rPr>
          <w:sz w:val="20"/>
          <w:szCs w:val="20"/>
        </w:rPr>
      </w:pPr>
      <w:r w:rsidRPr="00C93C81">
        <w:rPr>
          <w:sz w:val="20"/>
          <w:szCs w:val="20"/>
        </w:rPr>
        <w:t>En razón a que la norma no determinó si la experiencia acreditada seguiría siendo válida, culminado el término de los 3 años, es necesario remitirse a la finalidad de la norma y a los principios que gobiern</w:t>
      </w:r>
      <w:r w:rsidR="00862967" w:rsidRPr="00C93C81">
        <w:rPr>
          <w:sz w:val="20"/>
          <w:szCs w:val="20"/>
        </w:rPr>
        <w:t xml:space="preserve">an la contratación estatal. </w:t>
      </w:r>
    </w:p>
    <w:p w14:paraId="4E3228E3" w14:textId="77777777" w:rsidR="00CB15E6" w:rsidRPr="00C93C81" w:rsidRDefault="00862967" w:rsidP="00356248">
      <w:pPr>
        <w:ind w:left="301" w:right="306"/>
        <w:jc w:val="both"/>
        <w:rPr>
          <w:sz w:val="20"/>
          <w:szCs w:val="20"/>
        </w:rPr>
      </w:pPr>
      <w:r w:rsidRPr="00C93C81">
        <w:rPr>
          <w:sz w:val="20"/>
          <w:szCs w:val="20"/>
        </w:rPr>
        <w:t>S</w:t>
      </w:r>
      <w:r w:rsidR="00CB15E6" w:rsidRPr="00C93C81">
        <w:rPr>
          <w:sz w:val="20"/>
          <w:szCs w:val="20"/>
        </w:rPr>
        <w:t xml:space="preserve">i la persona jurídica con menos de tres años de constituida registra la experiencia de sus socios en el </w:t>
      </w:r>
      <w:proofErr w:type="spellStart"/>
      <w:r w:rsidR="00CB15E6" w:rsidRPr="00C93C81">
        <w:rPr>
          <w:sz w:val="20"/>
          <w:szCs w:val="20"/>
        </w:rPr>
        <w:t>RUP</w:t>
      </w:r>
      <w:proofErr w:type="spellEnd"/>
      <w:r w:rsidR="00CB15E6" w:rsidRPr="00C93C81">
        <w:rPr>
          <w:sz w:val="20"/>
          <w:szCs w:val="20"/>
        </w:rPr>
        <w:t xml:space="preserve">, y éste es renovado, puede continuar utilizando la experiencia inscrita mientras no cesen los efectos del </w:t>
      </w:r>
      <w:proofErr w:type="spellStart"/>
      <w:r w:rsidR="00CB15E6" w:rsidRPr="00C93C81">
        <w:rPr>
          <w:sz w:val="20"/>
          <w:szCs w:val="20"/>
        </w:rPr>
        <w:t>RUP</w:t>
      </w:r>
      <w:proofErr w:type="spellEnd"/>
      <w:r w:rsidR="00CB15E6" w:rsidRPr="00C93C81">
        <w:rPr>
          <w:sz w:val="20"/>
          <w:szCs w:val="20"/>
        </w:rPr>
        <w:t xml:space="preserve">. Por el contrario, si no se renueva y la persona jurídica supera los tres años de constituida, la experiencia que registró de sus socios no puede ser inscrita nuevamente, puesto que el </w:t>
      </w:r>
      <w:proofErr w:type="spellStart"/>
      <w:r w:rsidR="00CB15E6" w:rsidRPr="00C93C81">
        <w:rPr>
          <w:sz w:val="20"/>
          <w:szCs w:val="20"/>
        </w:rPr>
        <w:t>RUP</w:t>
      </w:r>
      <w:proofErr w:type="spellEnd"/>
      <w:r w:rsidR="00CB15E6" w:rsidRPr="00C93C81">
        <w:rPr>
          <w:sz w:val="20"/>
          <w:szCs w:val="20"/>
        </w:rPr>
        <w:t xml:space="preserve"> ha cesado sus efectos y la Cámara de Comercio tiene que hacer nuevamente la verificación documental de la información presentada al momento de inscribirse en el registro.</w:t>
      </w:r>
    </w:p>
    <w:p w14:paraId="75576A92" w14:textId="77777777" w:rsidR="00CB15E6" w:rsidRPr="00C93C81" w:rsidRDefault="00CB15E6" w:rsidP="00356248">
      <w:pPr>
        <w:spacing w:line="253" w:lineRule="exact"/>
        <w:ind w:left="300"/>
        <w:rPr>
          <w:b/>
          <w:lang w:val="es-MX"/>
        </w:rPr>
      </w:pPr>
    </w:p>
    <w:p w14:paraId="35A068A3" w14:textId="77777777" w:rsidR="00554A88" w:rsidRPr="0073707A" w:rsidRDefault="00554A88" w:rsidP="00356248">
      <w:pPr>
        <w:pStyle w:val="Textoindependiente"/>
        <w:rPr>
          <w:rFonts w:ascii="Times New Roman"/>
          <w:sz w:val="20"/>
          <w:szCs w:val="20"/>
        </w:rPr>
      </w:pPr>
    </w:p>
    <w:p w14:paraId="65DB09F5" w14:textId="77777777" w:rsidR="00554A88" w:rsidRPr="00C93C81" w:rsidRDefault="00A33AB3" w:rsidP="00356248">
      <w:pPr>
        <w:spacing w:line="253" w:lineRule="exact"/>
        <w:ind w:left="300"/>
        <w:rPr>
          <w:b/>
        </w:rPr>
      </w:pPr>
      <w:r w:rsidRPr="00C93C81">
        <w:t xml:space="preserve">Bogotá D.C., </w:t>
      </w:r>
      <w:r w:rsidRPr="00C93C81">
        <w:rPr>
          <w:b/>
        </w:rPr>
        <w:t xml:space="preserve">21/10/2019 Hora </w:t>
      </w:r>
      <w:proofErr w:type="spellStart"/>
      <w:r w:rsidRPr="00C93C81">
        <w:rPr>
          <w:b/>
        </w:rPr>
        <w:t>16:41:28s</w:t>
      </w:r>
      <w:proofErr w:type="spellEnd"/>
    </w:p>
    <w:p w14:paraId="1F19E68E" w14:textId="77777777" w:rsidR="00554A88" w:rsidRPr="00C93C81" w:rsidRDefault="00A33AB3" w:rsidP="00356248">
      <w:pPr>
        <w:pStyle w:val="Ttulo1"/>
        <w:ind w:left="5839" w:firstLine="0"/>
      </w:pPr>
      <w:r w:rsidRPr="00C93C81">
        <w:t>N° Radicado: 2201913000007863</w:t>
      </w:r>
    </w:p>
    <w:p w14:paraId="3FAE944D" w14:textId="77777777" w:rsidR="00554A88" w:rsidRPr="00C93C81" w:rsidRDefault="00554A88" w:rsidP="00356248">
      <w:pPr>
        <w:pStyle w:val="Textoindependiente"/>
        <w:rPr>
          <w:b/>
          <w:sz w:val="13"/>
        </w:rPr>
      </w:pPr>
    </w:p>
    <w:p w14:paraId="277C2916" w14:textId="77777777" w:rsidR="00554A88" w:rsidRPr="00C93C81" w:rsidRDefault="00A33AB3" w:rsidP="00356248">
      <w:pPr>
        <w:pStyle w:val="Textoindependiente"/>
        <w:spacing w:line="253" w:lineRule="exact"/>
        <w:ind w:left="300"/>
      </w:pPr>
      <w:r w:rsidRPr="00C93C81">
        <w:t>Señora</w:t>
      </w:r>
    </w:p>
    <w:p w14:paraId="61410609" w14:textId="77777777" w:rsidR="00554A88" w:rsidRPr="00C93C81" w:rsidRDefault="00A33AB3" w:rsidP="00356248">
      <w:pPr>
        <w:pStyle w:val="Ttulo1"/>
        <w:spacing w:line="253" w:lineRule="exact"/>
        <w:ind w:left="300" w:firstLine="0"/>
      </w:pPr>
      <w:r w:rsidRPr="00C93C81">
        <w:t>Laura Melisa Flórez Gómez</w:t>
      </w:r>
    </w:p>
    <w:p w14:paraId="16916755" w14:textId="77777777" w:rsidR="00554A88" w:rsidRPr="00C93C81" w:rsidRDefault="00A33AB3" w:rsidP="00356248">
      <w:pPr>
        <w:pStyle w:val="Textoindependiente"/>
        <w:ind w:left="300"/>
      </w:pPr>
      <w:r w:rsidRPr="00C93C81">
        <w:t>Ciudad</w:t>
      </w:r>
    </w:p>
    <w:p w14:paraId="6335D61C" w14:textId="77777777" w:rsidR="00554A88" w:rsidRPr="00C93C81" w:rsidRDefault="00554A88" w:rsidP="00356248">
      <w:pPr>
        <w:pStyle w:val="Textoindependiente"/>
        <w:rPr>
          <w:sz w:val="20"/>
        </w:rPr>
      </w:pPr>
    </w:p>
    <w:p w14:paraId="2363CCC9" w14:textId="77777777" w:rsidR="00554A88" w:rsidRPr="00C93C81" w:rsidRDefault="00554A88" w:rsidP="00356248">
      <w:pPr>
        <w:pStyle w:val="Textoindependiente"/>
        <w:rPr>
          <w:sz w:val="24"/>
        </w:rPr>
      </w:pPr>
    </w:p>
    <w:tbl>
      <w:tblPr>
        <w:tblStyle w:val="TableNormal"/>
        <w:tblW w:w="0" w:type="auto"/>
        <w:tblInd w:w="108" w:type="dxa"/>
        <w:tblLayout w:type="fixed"/>
        <w:tblLook w:val="01E0" w:firstRow="1" w:lastRow="1" w:firstColumn="1" w:lastColumn="1" w:noHBand="0" w:noVBand="0"/>
      </w:tblPr>
      <w:tblGrid>
        <w:gridCol w:w="2328"/>
        <w:gridCol w:w="6995"/>
      </w:tblGrid>
      <w:tr w:rsidR="00C93C81" w:rsidRPr="00C93C81" w14:paraId="1B731D2A" w14:textId="77777777">
        <w:trPr>
          <w:trHeight w:val="249"/>
        </w:trPr>
        <w:tc>
          <w:tcPr>
            <w:tcW w:w="2328" w:type="dxa"/>
          </w:tcPr>
          <w:p w14:paraId="46B401FA" w14:textId="77777777" w:rsidR="00554A88" w:rsidRPr="00C93C81" w:rsidRDefault="00A33AB3" w:rsidP="00356248">
            <w:pPr>
              <w:pStyle w:val="TableParagraph"/>
              <w:rPr>
                <w:b/>
              </w:rPr>
            </w:pPr>
            <w:r w:rsidRPr="00C93C81">
              <w:rPr>
                <w:b/>
              </w:rPr>
              <w:t>Radicación:</w:t>
            </w:r>
          </w:p>
        </w:tc>
        <w:tc>
          <w:tcPr>
            <w:tcW w:w="6995" w:type="dxa"/>
          </w:tcPr>
          <w:p w14:paraId="02BCAE30" w14:textId="77777777" w:rsidR="00554A88" w:rsidRPr="00C93C81" w:rsidRDefault="00A33AB3" w:rsidP="00356248">
            <w:pPr>
              <w:pStyle w:val="TableParagraph"/>
              <w:ind w:left="562"/>
            </w:pPr>
            <w:r w:rsidRPr="00C93C81">
              <w:t>Respuesta a consulta # 4201913000006173</w:t>
            </w:r>
          </w:p>
        </w:tc>
      </w:tr>
      <w:tr w:rsidR="00C93C81" w:rsidRPr="00C93C81" w14:paraId="59B5708D" w14:textId="77777777">
        <w:trPr>
          <w:trHeight w:val="253"/>
        </w:trPr>
        <w:tc>
          <w:tcPr>
            <w:tcW w:w="2328" w:type="dxa"/>
          </w:tcPr>
          <w:p w14:paraId="2A3290CE" w14:textId="77777777" w:rsidR="00554A88" w:rsidRPr="00C93C81" w:rsidRDefault="00A33AB3" w:rsidP="00356248">
            <w:pPr>
              <w:pStyle w:val="TableParagraph"/>
              <w:spacing w:line="234" w:lineRule="exact"/>
              <w:rPr>
                <w:b/>
              </w:rPr>
            </w:pPr>
            <w:r w:rsidRPr="00C93C81">
              <w:rPr>
                <w:b/>
              </w:rPr>
              <w:t>Temas:</w:t>
            </w:r>
          </w:p>
        </w:tc>
        <w:tc>
          <w:tcPr>
            <w:tcW w:w="6995" w:type="dxa"/>
          </w:tcPr>
          <w:p w14:paraId="70E9F052" w14:textId="77777777" w:rsidR="00554A88" w:rsidRPr="00C93C81" w:rsidRDefault="00A33AB3" w:rsidP="00356248">
            <w:pPr>
              <w:pStyle w:val="TableParagraph"/>
              <w:spacing w:line="234" w:lineRule="exact"/>
              <w:ind w:left="562"/>
            </w:pPr>
            <w:r w:rsidRPr="00C93C81">
              <w:t xml:space="preserve">Experiencia, </w:t>
            </w:r>
            <w:proofErr w:type="spellStart"/>
            <w:r w:rsidRPr="00C93C81">
              <w:t>RUP</w:t>
            </w:r>
            <w:proofErr w:type="spellEnd"/>
          </w:p>
        </w:tc>
      </w:tr>
      <w:tr w:rsidR="00554A88" w:rsidRPr="00C93C81" w14:paraId="2117FDE8" w14:textId="77777777">
        <w:trPr>
          <w:trHeight w:val="502"/>
        </w:trPr>
        <w:tc>
          <w:tcPr>
            <w:tcW w:w="2328" w:type="dxa"/>
          </w:tcPr>
          <w:p w14:paraId="20ABA751" w14:textId="77777777" w:rsidR="00554A88" w:rsidRPr="00C93C81" w:rsidRDefault="00A33AB3" w:rsidP="00356248">
            <w:pPr>
              <w:pStyle w:val="TableParagraph"/>
              <w:spacing w:line="252" w:lineRule="exact"/>
              <w:ind w:right="543"/>
              <w:rPr>
                <w:b/>
              </w:rPr>
            </w:pPr>
            <w:r w:rsidRPr="00C93C81">
              <w:rPr>
                <w:b/>
              </w:rPr>
              <w:t>Tipo de asunto consultado:</w:t>
            </w:r>
          </w:p>
        </w:tc>
        <w:tc>
          <w:tcPr>
            <w:tcW w:w="6995" w:type="dxa"/>
          </w:tcPr>
          <w:p w14:paraId="743E9CF3" w14:textId="77777777" w:rsidR="00554A88" w:rsidRPr="00C93C81" w:rsidRDefault="00A33AB3" w:rsidP="00356248">
            <w:pPr>
              <w:pStyle w:val="TableParagraph"/>
              <w:spacing w:line="252" w:lineRule="exact"/>
              <w:ind w:left="562" w:right="68"/>
            </w:pPr>
            <w:r w:rsidRPr="00C93C81">
              <w:t>Experiencia de los socios de una sociedad nueva después de tres años de constituida</w:t>
            </w:r>
          </w:p>
        </w:tc>
      </w:tr>
    </w:tbl>
    <w:p w14:paraId="307468DA" w14:textId="77777777" w:rsidR="00554A88" w:rsidRPr="00C93C81" w:rsidRDefault="00554A88" w:rsidP="00356248">
      <w:pPr>
        <w:pStyle w:val="Textoindependiente"/>
        <w:rPr>
          <w:sz w:val="20"/>
        </w:rPr>
      </w:pPr>
    </w:p>
    <w:p w14:paraId="7CE7362E" w14:textId="77777777" w:rsidR="00554A88" w:rsidRPr="00C93C81" w:rsidRDefault="00554A88" w:rsidP="00356248">
      <w:pPr>
        <w:pStyle w:val="Textoindependiente"/>
        <w:rPr>
          <w:sz w:val="15"/>
        </w:rPr>
      </w:pPr>
    </w:p>
    <w:p w14:paraId="4D166B63" w14:textId="77777777" w:rsidR="00554A88" w:rsidRPr="00C93C81" w:rsidRDefault="00A33AB3" w:rsidP="00356248">
      <w:pPr>
        <w:pStyle w:val="Textoindependiente"/>
        <w:ind w:left="300"/>
        <w:jc w:val="both"/>
      </w:pPr>
      <w:r w:rsidRPr="00C93C81">
        <w:t>Estimada señora Flórez,</w:t>
      </w:r>
    </w:p>
    <w:p w14:paraId="7022855C" w14:textId="77777777" w:rsidR="00554A88" w:rsidRPr="00C93C81" w:rsidRDefault="00554A88" w:rsidP="00356248">
      <w:pPr>
        <w:pStyle w:val="Textoindependiente"/>
        <w:rPr>
          <w:sz w:val="28"/>
        </w:rPr>
      </w:pPr>
    </w:p>
    <w:p w14:paraId="776316CD" w14:textId="77777777" w:rsidR="00554A88" w:rsidRPr="00C93C81" w:rsidRDefault="00A33AB3" w:rsidP="00356248">
      <w:pPr>
        <w:pStyle w:val="Textoindependiente"/>
        <w:spacing w:line="276" w:lineRule="auto"/>
        <w:ind w:left="300" w:right="307"/>
        <w:jc w:val="both"/>
      </w:pPr>
      <w:r w:rsidRPr="00C93C81">
        <w:t>La Agencia Nacional de Contratación Pública - Colombia Compra Eficiente responde su consulta del 10 de septiembre de 2019, en ejercicio de la competencia otorgada por el numeral 8 del artículo 11 y el numeral 5 del artículo 3 del Decreto Ley 4170 de 2011.</w:t>
      </w:r>
    </w:p>
    <w:p w14:paraId="2F6EA465" w14:textId="77777777" w:rsidR="00554A88" w:rsidRPr="00C93C81" w:rsidRDefault="00554A88" w:rsidP="00356248">
      <w:pPr>
        <w:pStyle w:val="Textoindependiente"/>
        <w:rPr>
          <w:sz w:val="25"/>
        </w:rPr>
      </w:pPr>
    </w:p>
    <w:p w14:paraId="42A57C26" w14:textId="77777777" w:rsidR="00554A88" w:rsidRPr="00C93C81" w:rsidRDefault="00A33AB3" w:rsidP="00356248">
      <w:pPr>
        <w:pStyle w:val="Ttulo1"/>
        <w:numPr>
          <w:ilvl w:val="0"/>
          <w:numId w:val="1"/>
        </w:numPr>
        <w:tabs>
          <w:tab w:val="left" w:pos="661"/>
        </w:tabs>
        <w:ind w:hanging="361"/>
      </w:pPr>
      <w:r w:rsidRPr="00C93C81">
        <w:t>Problema</w:t>
      </w:r>
      <w:r w:rsidRPr="00C93C81">
        <w:rPr>
          <w:spacing w:val="-2"/>
        </w:rPr>
        <w:t xml:space="preserve"> </w:t>
      </w:r>
      <w:r w:rsidRPr="00C93C81">
        <w:t>planteado</w:t>
      </w:r>
    </w:p>
    <w:p w14:paraId="6198A641" w14:textId="77777777" w:rsidR="00554A88" w:rsidRPr="00C93C81" w:rsidRDefault="00554A88" w:rsidP="00356248">
      <w:pPr>
        <w:pStyle w:val="Textoindependiente"/>
        <w:rPr>
          <w:b/>
          <w:sz w:val="28"/>
        </w:rPr>
      </w:pPr>
    </w:p>
    <w:p w14:paraId="382EED65" w14:textId="77777777" w:rsidR="00554A88" w:rsidRPr="00C93C81" w:rsidRDefault="00A33AB3" w:rsidP="00356248">
      <w:pPr>
        <w:pStyle w:val="Textoindependiente"/>
        <w:spacing w:line="276" w:lineRule="auto"/>
        <w:ind w:left="300" w:right="310"/>
        <w:jc w:val="both"/>
      </w:pPr>
      <w:r w:rsidRPr="00C93C81">
        <w:t xml:space="preserve">“¿Una persona jurídica que al momento de inscribirse en el </w:t>
      </w:r>
      <w:proofErr w:type="spellStart"/>
      <w:r w:rsidRPr="00C93C81">
        <w:t>RUP</w:t>
      </w:r>
      <w:proofErr w:type="spellEnd"/>
      <w:r w:rsidRPr="00C93C81">
        <w:t xml:space="preserve"> acreditó la experiencia de </w:t>
      </w:r>
      <w:r w:rsidRPr="00C93C81">
        <w:lastRenderedPageBreak/>
        <w:t xml:space="preserve">sus socios, accionistas y constituyentes y adicionalmente ha renovado el </w:t>
      </w:r>
      <w:proofErr w:type="spellStart"/>
      <w:r w:rsidRPr="00C93C81">
        <w:t>RUP</w:t>
      </w:r>
      <w:proofErr w:type="spellEnd"/>
      <w:r w:rsidRPr="00C93C81">
        <w:t>, podría ser descalificada de un Proceso de Contratación si la entidad estatal consideró en el pliego de condiciones que no se tendría en cuenta dicha experiencia pues su constitución cumplió 3 años?”.</w:t>
      </w:r>
    </w:p>
    <w:p w14:paraId="7B56171A" w14:textId="77777777" w:rsidR="00554A88" w:rsidRPr="00C93C81" w:rsidRDefault="00554A88" w:rsidP="00356248">
      <w:pPr>
        <w:pStyle w:val="Textoindependiente"/>
        <w:rPr>
          <w:sz w:val="25"/>
        </w:rPr>
      </w:pPr>
    </w:p>
    <w:p w14:paraId="30C1315D" w14:textId="77777777" w:rsidR="00554A88" w:rsidRPr="00C93C81" w:rsidRDefault="00A33AB3" w:rsidP="00356248">
      <w:pPr>
        <w:pStyle w:val="Ttulo1"/>
        <w:numPr>
          <w:ilvl w:val="0"/>
          <w:numId w:val="1"/>
        </w:numPr>
        <w:tabs>
          <w:tab w:val="left" w:pos="661"/>
        </w:tabs>
        <w:ind w:hanging="361"/>
      </w:pPr>
      <w:r w:rsidRPr="00C93C81">
        <w:t>Consideraciones</w:t>
      </w:r>
    </w:p>
    <w:p w14:paraId="7E8F8C6E" w14:textId="77777777" w:rsidR="00554A88" w:rsidRPr="00C93C81" w:rsidRDefault="00554A88" w:rsidP="00356248">
      <w:pPr>
        <w:pStyle w:val="Textoindependiente"/>
        <w:rPr>
          <w:b/>
          <w:sz w:val="28"/>
        </w:rPr>
      </w:pPr>
    </w:p>
    <w:p w14:paraId="640B5B62" w14:textId="77777777" w:rsidR="00554A88" w:rsidRPr="00C93C81" w:rsidRDefault="00A33AB3" w:rsidP="00356248">
      <w:pPr>
        <w:pStyle w:val="Textoindependiente"/>
        <w:spacing w:line="276" w:lineRule="auto"/>
        <w:ind w:left="300" w:right="307"/>
        <w:jc w:val="both"/>
      </w:pPr>
      <w:r w:rsidRPr="00C93C81">
        <w:t>El numeral 2.5 del artículo 2.2.1.1.1.5.2 del Decreto 1082 de 2015 permite a las personas jurídicas, cuya constitución sea menor a tres (3) años, acreditar la experiencia de sus accionistas, socios o constituyentes:</w:t>
      </w:r>
    </w:p>
    <w:p w14:paraId="22BDAF85" w14:textId="77777777" w:rsidR="00554A88" w:rsidRPr="00C93C81" w:rsidRDefault="00554A88" w:rsidP="00356248">
      <w:pPr>
        <w:pStyle w:val="Textoindependiente"/>
      </w:pPr>
    </w:p>
    <w:p w14:paraId="620350E3" w14:textId="77777777" w:rsidR="00554A88" w:rsidRPr="00C93C81" w:rsidRDefault="00A33AB3" w:rsidP="00356248">
      <w:pPr>
        <w:ind w:left="1008" w:right="1020"/>
        <w:jc w:val="both"/>
        <w:rPr>
          <w:sz w:val="21"/>
        </w:rPr>
      </w:pPr>
      <w:r w:rsidRPr="00C93C81">
        <w:rPr>
          <w:sz w:val="21"/>
        </w:rPr>
        <w:t>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44310EC" w14:textId="77777777" w:rsidR="00554A88" w:rsidRPr="00C93C81" w:rsidRDefault="00A33AB3" w:rsidP="00356248">
      <w:pPr>
        <w:spacing w:line="239" w:lineRule="exact"/>
        <w:ind w:left="1008"/>
        <w:rPr>
          <w:sz w:val="21"/>
        </w:rPr>
      </w:pPr>
      <w:r w:rsidRPr="00C93C81">
        <w:rPr>
          <w:sz w:val="21"/>
        </w:rPr>
        <w:t>(…)</w:t>
      </w:r>
    </w:p>
    <w:p w14:paraId="0BECFC43" w14:textId="77777777" w:rsidR="00554A88" w:rsidRPr="00C93C81" w:rsidRDefault="00554A88" w:rsidP="00356248">
      <w:pPr>
        <w:pStyle w:val="Textoindependiente"/>
        <w:rPr>
          <w:sz w:val="17"/>
        </w:rPr>
      </w:pPr>
    </w:p>
    <w:p w14:paraId="1D96579B" w14:textId="77777777" w:rsidR="00554A88" w:rsidRPr="00C93C81" w:rsidRDefault="00A33AB3" w:rsidP="00356248">
      <w:pPr>
        <w:ind w:left="1008" w:right="1011"/>
        <w:jc w:val="both"/>
        <w:rPr>
          <w:sz w:val="21"/>
        </w:rPr>
      </w:pPr>
      <w:r w:rsidRPr="00C93C81">
        <w:rPr>
          <w:sz w:val="21"/>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tres (3) años, puede acreditar la experiencia de sus accionistas, socios o</w:t>
      </w:r>
      <w:r w:rsidRPr="00C93C81">
        <w:rPr>
          <w:spacing w:val="-5"/>
          <w:sz w:val="21"/>
        </w:rPr>
        <w:t xml:space="preserve"> </w:t>
      </w:r>
      <w:r w:rsidRPr="00C93C81">
        <w:rPr>
          <w:sz w:val="21"/>
        </w:rPr>
        <w:t>constituyentes.</w:t>
      </w:r>
    </w:p>
    <w:p w14:paraId="2BAB90CE" w14:textId="77777777" w:rsidR="00554A88" w:rsidRPr="00C93C81" w:rsidRDefault="00554A88" w:rsidP="00356248">
      <w:pPr>
        <w:pStyle w:val="Textoindependiente"/>
      </w:pPr>
    </w:p>
    <w:p w14:paraId="6FDEEADA" w14:textId="77777777" w:rsidR="00554A88" w:rsidRPr="00C93C81" w:rsidRDefault="00A33AB3" w:rsidP="00356248">
      <w:pPr>
        <w:pStyle w:val="Textoindependiente"/>
        <w:spacing w:line="276" w:lineRule="auto"/>
        <w:ind w:left="300" w:right="309"/>
        <w:jc w:val="both"/>
      </w:pPr>
      <w:r w:rsidRPr="00C93C81">
        <w:t>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w:t>
      </w:r>
    </w:p>
    <w:p w14:paraId="55E499FD" w14:textId="77777777" w:rsidR="00554A88" w:rsidRPr="00C93C81" w:rsidRDefault="00554A88" w:rsidP="00356248">
      <w:pPr>
        <w:pStyle w:val="Textoindependiente"/>
        <w:rPr>
          <w:sz w:val="25"/>
        </w:rPr>
      </w:pPr>
    </w:p>
    <w:p w14:paraId="3DF47539" w14:textId="77777777" w:rsidR="00554A88" w:rsidRPr="00C93C81" w:rsidRDefault="00A33AB3" w:rsidP="00356248">
      <w:pPr>
        <w:pStyle w:val="Textoindependiente"/>
        <w:spacing w:line="276" w:lineRule="auto"/>
        <w:ind w:left="300" w:right="304"/>
        <w:jc w:val="both"/>
      </w:pPr>
      <w:r w:rsidRPr="00C93C81">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su experiencia a la sociedad de la que es parte, para que ésta, como persona jurídica independiente, cumpla los requisitos habilitantes o puntuables que establezcan las entidades estatales en sus procesos de contratación, y de esta forma promover el desarrollo de la empresa y la pluralidad de oferentes en la contratación</w:t>
      </w:r>
      <w:r w:rsidRPr="00C93C81">
        <w:rPr>
          <w:spacing w:val="-5"/>
        </w:rPr>
        <w:t xml:space="preserve"> </w:t>
      </w:r>
      <w:r w:rsidRPr="00C93C81">
        <w:t>pública.</w:t>
      </w:r>
    </w:p>
    <w:p w14:paraId="6641DE47" w14:textId="77777777" w:rsidR="00554A88" w:rsidRPr="00C93C81" w:rsidRDefault="00554A88" w:rsidP="00356248">
      <w:pPr>
        <w:pStyle w:val="Textoindependiente"/>
        <w:rPr>
          <w:sz w:val="25"/>
        </w:rPr>
      </w:pPr>
    </w:p>
    <w:p w14:paraId="07F92A14" w14:textId="77777777" w:rsidR="00554A88" w:rsidRPr="00C93C81" w:rsidRDefault="00A33AB3" w:rsidP="00356248">
      <w:pPr>
        <w:pStyle w:val="Textoindependiente"/>
        <w:spacing w:line="276" w:lineRule="auto"/>
        <w:ind w:left="300" w:right="304"/>
        <w:jc w:val="both"/>
      </w:pPr>
      <w:r w:rsidRPr="00C93C81">
        <w:t xml:space="preserve">Determinada la finalidad de la norma, usted pregunta si es posible que la entidad no tenga en cuenta la experiencia de la persona jurídica que se encuentra registrada en el </w:t>
      </w:r>
      <w:proofErr w:type="spellStart"/>
      <w:r w:rsidRPr="00C93C81">
        <w:t>RUP</w:t>
      </w:r>
      <w:proofErr w:type="spellEnd"/>
      <w:r w:rsidRPr="00C93C81">
        <w:t xml:space="preserve">, y que proviene de los accionistas, socios o constituyentes de la persona jurídica, si ya pasaron 3 años de constituida la persona jurídica. En razón a que la norma no determinó si la </w:t>
      </w:r>
      <w:r w:rsidRPr="00C93C81">
        <w:lastRenderedPageBreak/>
        <w:t>experiencia acreditada seguiría siendo válida, culminado el término de los 3 años, es necesario remitirse a la finalidad de la norma y a los principios que gobiernan la contratación estatal.</w:t>
      </w:r>
    </w:p>
    <w:p w14:paraId="7CD00466" w14:textId="77777777" w:rsidR="00554A88" w:rsidRPr="00C93C81" w:rsidRDefault="00554A88" w:rsidP="00356248">
      <w:pPr>
        <w:pStyle w:val="Textoindependiente"/>
        <w:rPr>
          <w:sz w:val="25"/>
        </w:rPr>
      </w:pPr>
    </w:p>
    <w:p w14:paraId="5345B3AA" w14:textId="77777777" w:rsidR="00554A88" w:rsidRPr="00C93C81" w:rsidRDefault="00A33AB3" w:rsidP="00356248">
      <w:pPr>
        <w:pStyle w:val="Textoindependiente"/>
        <w:spacing w:line="276" w:lineRule="auto"/>
        <w:ind w:left="300" w:right="308"/>
        <w:jc w:val="both"/>
      </w:pPr>
      <w:r w:rsidRPr="00C93C81">
        <w:t>Como se mencionó, la finalidad del numeral 2.5 del artículo 2.2.1.1.1.5.2 del Decreto 1082 de 2015 es permitir que las sociedades que no cuentan con la experiencia suficiente para contratar con el Estado puedan apoyarse en la experiencia de sus accionistas, socios o constituyentes, con el fin de incentivar la libre competencia y la pluralidad de oferentes en la contratación estatal. Así las cosas, el socio transfiere la experiencia adquirida directamente a la sociedad de la que es parte, momento desde el cual dicha experiencia comienza a ser parte de la sociedad como activo</w:t>
      </w:r>
      <w:r w:rsidRPr="00C93C81">
        <w:rPr>
          <w:spacing w:val="-11"/>
        </w:rPr>
        <w:t xml:space="preserve"> </w:t>
      </w:r>
      <w:r w:rsidRPr="00C93C81">
        <w:t>suyo.</w:t>
      </w:r>
    </w:p>
    <w:p w14:paraId="340A6F47" w14:textId="77777777" w:rsidR="00C93C81" w:rsidRDefault="00C93C81" w:rsidP="00356248">
      <w:pPr>
        <w:pStyle w:val="Textoindependiente"/>
        <w:spacing w:line="276" w:lineRule="auto"/>
        <w:ind w:left="300" w:right="307"/>
        <w:jc w:val="both"/>
      </w:pPr>
    </w:p>
    <w:p w14:paraId="0F5BCD90" w14:textId="77777777" w:rsidR="00554A88" w:rsidRPr="00C93C81" w:rsidRDefault="00A33AB3" w:rsidP="00356248">
      <w:pPr>
        <w:pStyle w:val="Textoindependiente"/>
        <w:spacing w:line="276" w:lineRule="auto"/>
        <w:ind w:left="300" w:right="307"/>
        <w:jc w:val="both"/>
      </w:pPr>
      <w:r w:rsidRPr="00C93C81">
        <w:t xml:space="preserve">Adicionalmente, el Decreto 1082 de 2015 establece que la persona inscrita en el </w:t>
      </w:r>
      <w:proofErr w:type="spellStart"/>
      <w:r w:rsidRPr="00C93C81">
        <w:t>RUP</w:t>
      </w:r>
      <w:proofErr w:type="spellEnd"/>
      <w:r w:rsidRPr="00C93C81">
        <w:t xml:space="preserve"> debe presentar la información para renovar su registro a más tardar el quinto día hábil del mes de abril de cada año, de lo contrario cesan sus efectos</w:t>
      </w:r>
      <w:r w:rsidR="00C93C81">
        <w:rPr>
          <w:rStyle w:val="Refdenotaalpie"/>
        </w:rPr>
        <w:footnoteReference w:id="1"/>
      </w:r>
      <w:r w:rsidRPr="00C93C81">
        <w:t xml:space="preserve">. En la actualidad, las Cámaras de Comercio sólo pueden eliminar la experiencia registrada en el </w:t>
      </w:r>
      <w:proofErr w:type="spellStart"/>
      <w:r w:rsidRPr="00C93C81">
        <w:t>RUP</w:t>
      </w:r>
      <w:proofErr w:type="spellEnd"/>
      <w:r w:rsidRPr="00C93C81">
        <w:t xml:space="preserve"> a solicitud del proponente, por tanto, les corresponde a las personas jurídicas mantener su </w:t>
      </w:r>
      <w:proofErr w:type="spellStart"/>
      <w:r w:rsidRPr="00C93C81">
        <w:t>RUP</w:t>
      </w:r>
      <w:proofErr w:type="spellEnd"/>
      <w:r w:rsidRPr="00C93C81">
        <w:t xml:space="preserve"> actualizado y a las entidades estatales verificar, para efectos de tener en cuenta la experiencia.</w:t>
      </w:r>
    </w:p>
    <w:p w14:paraId="64440673" w14:textId="77777777" w:rsidR="00554A88" w:rsidRPr="00C93C81" w:rsidRDefault="00554A88" w:rsidP="00356248">
      <w:pPr>
        <w:pStyle w:val="Textoindependiente"/>
        <w:rPr>
          <w:sz w:val="25"/>
        </w:rPr>
      </w:pPr>
    </w:p>
    <w:p w14:paraId="20B852D4" w14:textId="77777777" w:rsidR="00554A88" w:rsidRPr="00C93C81" w:rsidRDefault="00A33AB3" w:rsidP="00356248">
      <w:pPr>
        <w:pStyle w:val="Textoindependiente"/>
        <w:spacing w:line="276" w:lineRule="auto"/>
        <w:ind w:left="300" w:right="306"/>
        <w:jc w:val="both"/>
      </w:pPr>
      <w:r w:rsidRPr="00C93C81">
        <w:t xml:space="preserve">En otras palabras, si la persona jurídica con menos de tres años de constituida registra la experiencia de sus socios en el </w:t>
      </w:r>
      <w:proofErr w:type="spellStart"/>
      <w:r w:rsidRPr="00C93C81">
        <w:t>RUP</w:t>
      </w:r>
      <w:proofErr w:type="spellEnd"/>
      <w:r w:rsidRPr="00C93C81">
        <w:t xml:space="preserve">, y éste es renovado, puede continuar utilizando la experiencia inscrita mientras no cesen los efectos del </w:t>
      </w:r>
      <w:proofErr w:type="spellStart"/>
      <w:r w:rsidRPr="00C93C81">
        <w:t>RUP</w:t>
      </w:r>
      <w:proofErr w:type="spellEnd"/>
      <w:r w:rsidRPr="00C93C81">
        <w:t xml:space="preserve">. Por el contrario, si no </w:t>
      </w:r>
      <w:r w:rsidRPr="00C93C81">
        <w:rPr>
          <w:spacing w:val="5"/>
        </w:rPr>
        <w:t xml:space="preserve">se </w:t>
      </w:r>
      <w:r w:rsidRPr="00C93C81">
        <w:t xml:space="preserve">renueva y la persona jurídica supera los tres años de constituida, la experiencia que registró de sus socios no puede ser inscrita nuevamente, puesto que el </w:t>
      </w:r>
      <w:proofErr w:type="spellStart"/>
      <w:r w:rsidRPr="00C93C81">
        <w:t>RUP</w:t>
      </w:r>
      <w:proofErr w:type="spellEnd"/>
      <w:r w:rsidRPr="00C93C81">
        <w:t xml:space="preserve"> ha cesado sus efectos y la Cámara de Comercio tiene que hacer nuevamente la verificación documental de la información presentada al momento de inscribirse en el</w:t>
      </w:r>
      <w:r w:rsidRPr="00C93C81">
        <w:rPr>
          <w:spacing w:val="-27"/>
        </w:rPr>
        <w:t xml:space="preserve"> </w:t>
      </w:r>
      <w:r w:rsidRPr="00C93C81">
        <w:t>registro.</w:t>
      </w:r>
    </w:p>
    <w:p w14:paraId="5A4E5BD1" w14:textId="77777777" w:rsidR="00554A88" w:rsidRPr="00C93C81" w:rsidRDefault="00554A88" w:rsidP="00356248">
      <w:pPr>
        <w:pStyle w:val="Textoindependiente"/>
        <w:rPr>
          <w:sz w:val="25"/>
        </w:rPr>
      </w:pPr>
    </w:p>
    <w:p w14:paraId="0B2541BD" w14:textId="77777777" w:rsidR="00554A88" w:rsidRPr="00C93C81" w:rsidRDefault="00A33AB3" w:rsidP="00356248">
      <w:pPr>
        <w:pStyle w:val="Textoindependiente"/>
        <w:spacing w:line="276" w:lineRule="auto"/>
        <w:ind w:left="300" w:right="310"/>
        <w:jc w:val="both"/>
      </w:pPr>
      <w:r w:rsidRPr="00C93C81">
        <w:t>Lo anterior, tiene fundamento en la Circular Única de la Superintendencia de Industria y Comercio, en el numeral 4.2, sobre el procedimiento para llevar el registro único de proponentes, que establece:</w:t>
      </w:r>
    </w:p>
    <w:p w14:paraId="2F5796D9" w14:textId="77777777" w:rsidR="00554A88" w:rsidRPr="00C93C81" w:rsidRDefault="00554A88" w:rsidP="00356248">
      <w:pPr>
        <w:pStyle w:val="Textoindependiente"/>
        <w:rPr>
          <w:sz w:val="20"/>
        </w:rPr>
      </w:pPr>
    </w:p>
    <w:p w14:paraId="4E42DC98" w14:textId="77777777" w:rsidR="00554A88" w:rsidRPr="00C93C81" w:rsidRDefault="00A33AB3" w:rsidP="00356248">
      <w:pPr>
        <w:ind w:left="1008" w:right="1011"/>
        <w:jc w:val="both"/>
        <w:rPr>
          <w:sz w:val="21"/>
        </w:rPr>
      </w:pPr>
      <w:r w:rsidRPr="00C93C81">
        <w:rPr>
          <w:sz w:val="21"/>
        </w:rPr>
        <w:t xml:space="preserve">4.2.5. Vigencia de los documentos. Para efectos de renovación y actualización se </w:t>
      </w:r>
      <w:r w:rsidRPr="00C93C81">
        <w:rPr>
          <w:sz w:val="21"/>
        </w:rPr>
        <w:lastRenderedPageBreak/>
        <w:t>considera que los documentos no pierden su vigencia salvo disposición legal en contrario. Por lo anterior, las Cámaras de Comercio no podrán abstenerse de realizar la inscripción argumentando el vencimiento de los documentos de soporte.</w:t>
      </w:r>
    </w:p>
    <w:p w14:paraId="7615A448" w14:textId="77777777" w:rsidR="00554A88" w:rsidRPr="00C93C81" w:rsidRDefault="00554A88" w:rsidP="00356248">
      <w:pPr>
        <w:pStyle w:val="Textoindependiente"/>
        <w:rPr>
          <w:sz w:val="25"/>
        </w:rPr>
      </w:pPr>
    </w:p>
    <w:p w14:paraId="374C6208" w14:textId="77777777" w:rsidR="00554A88" w:rsidRPr="00C93C81" w:rsidRDefault="00A33AB3" w:rsidP="00356248">
      <w:pPr>
        <w:pStyle w:val="Textoindependiente"/>
        <w:spacing w:line="276" w:lineRule="auto"/>
        <w:ind w:left="300" w:right="306"/>
        <w:jc w:val="both"/>
      </w:pPr>
      <w:r w:rsidRPr="00C93C81">
        <w:t>Así las cosas, con el fin de incentivar la participación continúa y constante de los proponentes, las entidades estatales, en sus procesos de contratación, adoptarán como válida la experiencia de los socios, accionistas o constituyentes incluso después de cumplidos los tres años de constitución de la sociedad, pues esta interpretación permite</w:t>
      </w:r>
      <w:r w:rsidR="00C93C81">
        <w:t xml:space="preserve"> </w:t>
      </w:r>
      <w:r w:rsidRPr="00C93C81">
        <w:t>incentivar la creación de empresa y generar una mayor participación de las empresas recién constituidas.</w:t>
      </w:r>
    </w:p>
    <w:p w14:paraId="08599AC3" w14:textId="77777777" w:rsidR="00554A88" w:rsidRPr="00C93C81" w:rsidRDefault="00554A88" w:rsidP="00356248">
      <w:pPr>
        <w:pStyle w:val="Textoindependiente"/>
        <w:rPr>
          <w:sz w:val="21"/>
        </w:rPr>
      </w:pPr>
    </w:p>
    <w:p w14:paraId="7092D3C0" w14:textId="77777777" w:rsidR="00554A88" w:rsidRPr="00C93C81" w:rsidRDefault="00A33AB3" w:rsidP="00356248">
      <w:pPr>
        <w:pStyle w:val="Textoindependiente"/>
        <w:spacing w:line="276" w:lineRule="auto"/>
        <w:ind w:left="300" w:right="304"/>
        <w:jc w:val="both"/>
      </w:pPr>
      <w:r w:rsidRPr="00C93C81">
        <w:t>En este sentido, si bien la norma no determina si después de tres (3) años de constituida la persona jurídica, la experiencia que fue aportada por los socios, accionistas o constituyentes sigue siendo válida o la entidad la puede rechazar, la Agencia Nacional de Contratación Pública recomienda que la experiencia de los socios, accionistas o constituyentes que fue aportada a la persona jurídica siga siendo válida, toda vez que de esta forma se garantiza la pluralidad de oferentes en el proceso de contratación.</w:t>
      </w:r>
    </w:p>
    <w:p w14:paraId="4BD24D55" w14:textId="77777777" w:rsidR="00554A88" w:rsidRPr="00C93C81" w:rsidRDefault="00554A88" w:rsidP="00356248">
      <w:pPr>
        <w:pStyle w:val="Textoindependiente"/>
        <w:rPr>
          <w:sz w:val="25"/>
        </w:rPr>
      </w:pPr>
    </w:p>
    <w:p w14:paraId="5DED94F6" w14:textId="77777777" w:rsidR="00554A88" w:rsidRPr="00C93C81" w:rsidRDefault="00A33AB3" w:rsidP="00356248">
      <w:pPr>
        <w:pStyle w:val="Ttulo1"/>
        <w:numPr>
          <w:ilvl w:val="0"/>
          <w:numId w:val="1"/>
        </w:numPr>
        <w:tabs>
          <w:tab w:val="left" w:pos="661"/>
        </w:tabs>
        <w:ind w:hanging="361"/>
      </w:pPr>
      <w:r w:rsidRPr="00C93C81">
        <w:t>Respuesta</w:t>
      </w:r>
    </w:p>
    <w:p w14:paraId="7E788E76" w14:textId="77777777" w:rsidR="00554A88" w:rsidRPr="00C93C81" w:rsidRDefault="00554A88" w:rsidP="00356248">
      <w:pPr>
        <w:pStyle w:val="Textoindependiente"/>
        <w:rPr>
          <w:b/>
          <w:sz w:val="28"/>
        </w:rPr>
      </w:pPr>
    </w:p>
    <w:p w14:paraId="71FE30B0" w14:textId="77777777" w:rsidR="00554A88" w:rsidRPr="00C93C81" w:rsidRDefault="00A33AB3" w:rsidP="00356248">
      <w:pPr>
        <w:pStyle w:val="Textoindependiente"/>
        <w:spacing w:line="276" w:lineRule="auto"/>
        <w:ind w:left="300" w:right="304"/>
        <w:jc w:val="both"/>
      </w:pPr>
      <w:r w:rsidRPr="00C93C81">
        <w:t>El Decreto 1082 de 2015, en el artículo 2.2.1.1.1.5.2, señala la posibilidad que las personas jurídicas con menos de tres (3) años de constituida, acredite la experiencia de sus accionistas, socios o constituyentes. Sin embargo, esta normativa no específica si luego de los tres años de constituida, dicha experiencia puede ser acreditada en los procesos de contratación, y en consecuencia es</w:t>
      </w:r>
      <w:r w:rsidRPr="00C93C81">
        <w:rPr>
          <w:spacing w:val="-9"/>
        </w:rPr>
        <w:t xml:space="preserve"> </w:t>
      </w:r>
      <w:r w:rsidRPr="00C93C81">
        <w:t>válida.</w:t>
      </w:r>
    </w:p>
    <w:p w14:paraId="3F9EB876" w14:textId="77777777" w:rsidR="00554A88" w:rsidRPr="00C93C81" w:rsidRDefault="00554A88" w:rsidP="00356248">
      <w:pPr>
        <w:pStyle w:val="Textoindependiente"/>
        <w:rPr>
          <w:sz w:val="25"/>
        </w:rPr>
      </w:pPr>
    </w:p>
    <w:p w14:paraId="47176FB1" w14:textId="77777777" w:rsidR="00554A88" w:rsidRPr="00C93C81" w:rsidRDefault="00A33AB3" w:rsidP="00356248">
      <w:pPr>
        <w:pStyle w:val="Textoindependiente"/>
        <w:spacing w:line="276" w:lineRule="auto"/>
        <w:ind w:left="300" w:right="309"/>
        <w:jc w:val="both"/>
      </w:pPr>
      <w:r w:rsidRPr="00C93C81">
        <w:t>Ahora, en razón a que en los procesos de contratación se debe promover la pluralidad de oferentes, esta Agencia considera que las entidades deben admitir la experiencia acreditada por los accionistas, socios o constituyentes de las personas jurídicas cuya constitución sea menor a tres (3) años, incluso después de transcurridos los tres años de constitución de esta.</w:t>
      </w:r>
    </w:p>
    <w:p w14:paraId="6924B78F" w14:textId="77777777" w:rsidR="00554A88" w:rsidRPr="00C93C81" w:rsidRDefault="00554A88" w:rsidP="00356248">
      <w:pPr>
        <w:pStyle w:val="Textoindependiente"/>
        <w:rPr>
          <w:sz w:val="24"/>
        </w:rPr>
      </w:pPr>
    </w:p>
    <w:p w14:paraId="40A2D61F" w14:textId="77777777" w:rsidR="00554A88" w:rsidRPr="00C93C81" w:rsidRDefault="00A33AB3" w:rsidP="00356248">
      <w:pPr>
        <w:pStyle w:val="Textoindependiente"/>
        <w:spacing w:line="278" w:lineRule="auto"/>
        <w:ind w:left="300" w:right="312"/>
        <w:jc w:val="both"/>
      </w:pPr>
      <w:r w:rsidRPr="00C93C81">
        <w:t>Este concepto tiene el alcance previsto en el artículo 28 del Código de Procedimiento Administrativo y de lo Contencioso Administrativo.</w:t>
      </w:r>
    </w:p>
    <w:p w14:paraId="41FD2FB0" w14:textId="77777777" w:rsidR="00554A88" w:rsidRPr="00C93C81" w:rsidRDefault="00566F1A" w:rsidP="00356248">
      <w:pPr>
        <w:pStyle w:val="Textoindependiente"/>
        <w:spacing w:line="20" w:lineRule="exact"/>
        <w:ind w:left="977"/>
        <w:rPr>
          <w:sz w:val="2"/>
        </w:rPr>
      </w:pPr>
      <w:r w:rsidRPr="00C93C81">
        <w:rPr>
          <w:noProof/>
          <w:sz w:val="2"/>
          <w:lang w:val="en-US"/>
        </w:rPr>
        <mc:AlternateContent>
          <mc:Choice Requires="wpg">
            <w:drawing>
              <wp:inline distT="0" distB="0" distL="0" distR="0" wp14:anchorId="398DAAD7" wp14:editId="0ADFDB24">
                <wp:extent cx="4686300" cy="9525"/>
                <wp:effectExtent l="9525" t="0" r="9525"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9525"/>
                          <a:chOff x="0" y="0"/>
                          <a:chExt cx="7380" cy="15"/>
                        </a:xfrm>
                      </wpg:grpSpPr>
                      <wps:wsp>
                        <wps:cNvPr id="4" name="Line 3"/>
                        <wps:cNvCnPr>
                          <a:cxnSpLocks noChangeShapeType="1"/>
                        </wps:cNvCnPr>
                        <wps:spPr bwMode="auto">
                          <a:xfrm>
                            <a:off x="0" y="8"/>
                            <a:ext cx="738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pic="http://schemas.openxmlformats.org/drawingml/2006/picture" xmlns:a14="http://schemas.microsoft.com/office/drawing/2010/main" xmlns:a="http://schemas.openxmlformats.org/drawingml/2006/main">
            <w:pict>
              <v:group id="Group 2" style="width:369pt;height:.75pt;mso-position-horizontal-relative:char;mso-position-vertical-relative:line" coordsize="7380,15" o:spid="_x0000_s1026" w14:anchorId="2B2593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dfQIAAJAFAAAOAAAAZHJzL2Uyb0RvYy54bWykVF1v2jAUfZ+0/2DlHZJAoDRqqDYCfek2&#10;pHY/wNhOYi2xLdsloGn/fdd2gI6+VJ2QjG/uh88959p394euRXumDZeiiNJxEiEmiKRc1EX083kz&#10;WkTIWCwobqVgRXRkJrpffv5016ucTWQjW8o0giLC5L0qosZalcexIQ3rsBlLxQQ4K6k7bMHUdUw1&#10;7qF618aTJJnHvdRUaUmYMfC1DM5o6etXFSP2R1UZZlFbRIDN+lX7defWeHmH81pj1XAywMAfQNFh&#10;LuDQc6kSW4xeNH9TquNESyMrOyayi2VVccJ8D9BNmlx186Dli/K91HlfqzNNQO0VTx8uS77vtxpx&#10;WkSTCAncgUT+VDRx1PSqziHiQasntdWhP9g+SvLLgDu+9ju7DsFo13+TFMrhFys9NYdKd64ENI0O&#10;XoHjWQF2sIjAx2y+mE8TEIqA73Y2mQWBSAMqvkkizXpIu5kuhpzUZ8Q4D6d5hAMi1w4MmbnwaP6P&#10;x6cGK+blMY6lgcfsxOMjFwxNA40+YCUCh+QgBg6RkKsGi5r5Us9HBXylLgNwv0pxhgEB3snpIpB2&#10;4vRCjh/3Mzc4V9rYByY75DZF1AJgrxTePxrrUFxCnHBCbnjbwnectwL1g0DONLLl1Dm9oevdqtVo&#10;j+HOlV/dz7d0FebOLLFpQpyvEHDD0AvqT2kYputhbzFvwx5QtcIdBA0CzmEXbtvv2+R2vVgvslE2&#10;ma9HWVKWoy+bVTaab9KbWTktV6sy/eOaTLO84ZQy4WCfbn6avW8ihjco3Nnz3T/zE/9b3RMJYE//&#10;HrRX2IkaxnIn6XGrT8rDkPoZ8Nfepw1PlHtXXts+6vKQLv8CAAD//wMAUEsDBBQABgAIAAAAIQCU&#10;HRvX2gAAAAMBAAAPAAAAZHJzL2Rvd25yZXYueG1sTI9BS8NAEIXvgv9hGcGb3cRSLTGbUop6KoKt&#10;IN6m2WkSmp0N2W2S/ntHL3oZeLzHm+/lq8m1aqA+NJ4NpLMEFHHpbcOVgY/9y90SVIjIFlvPZOBC&#10;AVbF9VWOmfUjv9Owi5WSEg4ZGqhj7DKtQ1mTwzDzHbF4R987jCL7StseRyl3rb5PkgftsGH5UGNH&#10;m5rK0+7sDLyOOK7n6fOwPR03l6/94u1zm5IxtzfT+glUpCn+heEHX9ChEKaDP7MNqjUgQ+LvFe9x&#10;vhR5kNACdJHr/+zFNwAAAP//AwBQSwECLQAUAAYACAAAACEAtoM4kv4AAADhAQAAEwAAAAAAAAAA&#10;AAAAAAAAAAAAW0NvbnRlbnRfVHlwZXNdLnhtbFBLAQItABQABgAIAAAAIQA4/SH/1gAAAJQBAAAL&#10;AAAAAAAAAAAAAAAAAC8BAABfcmVscy8ucmVsc1BLAQItABQABgAIAAAAIQCNr+tdfQIAAJAFAAAO&#10;AAAAAAAAAAAAAAAAAC4CAABkcnMvZTJvRG9jLnhtbFBLAQItABQABgAIAAAAIQCUHRvX2gAAAAMB&#10;AAAPAAAAAAAAAAAAAAAAANcEAABkcnMvZG93bnJldi54bWxQSwUGAAAAAAQABADzAAAA3gUAAAAA&#10;">
                <v:line id="Line 3" style="position:absolute;visibility:visible;mso-wrap-style:square" o:spid="_x0000_s1027" strokecolor="#dbdbdb" o:connectortype="straight" from="0,8" to="73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6O6wwAAANoAAAAPAAAAZHJzL2Rvd25yZXYueG1sRI9Bi8Iw&#10;FITvgv8hPMGLaLoqotUosii4uJdVD3p7NM+22LyUJtr67zeC4HGYmW+YxaoxhXhQ5XLLCr4GEQji&#10;xOqcUwWn47Y/BeE8ssbCMil4koPVst1aYKxtzX/0OPhUBAi7GBVk3pexlC7JyKAb2JI4eFdbGfRB&#10;VqnUFdYBbgo5jKKJNJhzWMiwpO+MktvhbhT0fmb7SKfj38t5dK31ftbbuN1dqW6nWc9BeGr8J/xu&#10;77SCMbyuhBsgl/8AAAD//wMAUEsBAi0AFAAGAAgAAAAhANvh9svuAAAAhQEAABMAAAAAAAAAAAAA&#10;AAAAAAAAAFtDb250ZW50X1R5cGVzXS54bWxQSwECLQAUAAYACAAAACEAWvQsW78AAAAVAQAACwAA&#10;AAAAAAAAAAAAAAAfAQAAX3JlbHMvLnJlbHNQSwECLQAUAAYACAAAACEAEMujusMAAADaAAAADwAA&#10;AAAAAAAAAAAAAAAHAgAAZHJzL2Rvd25yZXYueG1sUEsFBgAAAAADAAMAtwAAAPcCAAAAAA==&#10;"/>
                <w10:anchorlock/>
              </v:group>
            </w:pict>
          </mc:Fallback>
        </mc:AlternateContent>
      </w:r>
    </w:p>
    <w:p w14:paraId="291B5745" w14:textId="77777777" w:rsidR="00554A88" w:rsidRPr="00C93C81" w:rsidRDefault="00554A88">
      <w:pPr>
        <w:pStyle w:val="Textoindependiente"/>
        <w:spacing w:before="3"/>
        <w:rPr>
          <w:sz w:val="19"/>
        </w:rPr>
      </w:pPr>
    </w:p>
    <w:p w14:paraId="18EFADDD" w14:textId="3B16E9C0" w:rsidR="00554A88" w:rsidRPr="00C93C81" w:rsidRDefault="00A33AB3">
      <w:pPr>
        <w:pStyle w:val="Textoindependiente"/>
        <w:spacing w:before="1"/>
        <w:ind w:left="300"/>
      </w:pPr>
      <w:r w:rsidRPr="00C93C81">
        <w:t>Atentamente,</w:t>
      </w:r>
    </w:p>
    <w:p w14:paraId="4E9BB27B" w14:textId="07716158" w:rsidR="00356248" w:rsidRDefault="00123713" w:rsidP="00123713">
      <w:pPr>
        <w:pStyle w:val="Textoindependiente"/>
        <w:spacing w:before="32"/>
        <w:ind w:left="300"/>
        <w:jc w:val="center"/>
      </w:pPr>
      <w:r>
        <w:rPr>
          <w:noProof/>
        </w:rPr>
        <w:drawing>
          <wp:inline distT="0" distB="0" distL="0" distR="0" wp14:anchorId="23B03128" wp14:editId="1489CEA0">
            <wp:extent cx="2773045" cy="988695"/>
            <wp:effectExtent l="0" t="0" r="0" b="0"/>
            <wp:docPr id="1668045485"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3DEDA8D0" w14:textId="79125033" w:rsidR="00554A88" w:rsidRPr="00C93C81" w:rsidRDefault="00A33AB3">
      <w:pPr>
        <w:pStyle w:val="Textoindependiente"/>
        <w:spacing w:before="32"/>
        <w:ind w:left="300"/>
      </w:pPr>
      <w:r w:rsidRPr="00C93C81">
        <w:lastRenderedPageBreak/>
        <w:t xml:space="preserve">Proyectó: Sergio Mateo </w:t>
      </w:r>
      <w:proofErr w:type="spellStart"/>
      <w:r w:rsidRPr="00C93C81">
        <w:t>Avila</w:t>
      </w:r>
      <w:proofErr w:type="spellEnd"/>
    </w:p>
    <w:sectPr w:rsidR="00554A88" w:rsidRPr="00C93C81">
      <w:headerReference w:type="default" r:id="rId12"/>
      <w:footerReference w:type="default" r:id="rId13"/>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06987" w14:textId="77777777" w:rsidR="00FF7AFD" w:rsidRDefault="00FF7AFD">
      <w:r>
        <w:separator/>
      </w:r>
    </w:p>
  </w:endnote>
  <w:endnote w:type="continuationSeparator" w:id="0">
    <w:p w14:paraId="6B9A9AA4" w14:textId="77777777" w:rsidR="00FF7AFD" w:rsidRDefault="00FF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BEC60" w14:textId="77777777" w:rsidR="00554A88" w:rsidRDefault="00A33AB3">
    <w:pPr>
      <w:pStyle w:val="Textoindependiente"/>
      <w:spacing w:line="14" w:lineRule="auto"/>
      <w:rPr>
        <w:sz w:val="20"/>
      </w:rPr>
    </w:pPr>
    <w:r>
      <w:rPr>
        <w:noProof/>
        <w:lang w:val="en-US"/>
      </w:rPr>
      <w:drawing>
        <wp:anchor distT="0" distB="0" distL="0" distR="0" simplePos="0" relativeHeight="487515136" behindDoc="1" locked="0" layoutInCell="1" allowOverlap="1" wp14:anchorId="36D9995F" wp14:editId="54DD9FE3">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71D55" w14:textId="77777777" w:rsidR="00FF7AFD" w:rsidRDefault="00FF7AFD">
      <w:r>
        <w:separator/>
      </w:r>
    </w:p>
  </w:footnote>
  <w:footnote w:type="continuationSeparator" w:id="0">
    <w:p w14:paraId="6ED86F6B" w14:textId="77777777" w:rsidR="00FF7AFD" w:rsidRDefault="00FF7AFD">
      <w:r>
        <w:continuationSeparator/>
      </w:r>
    </w:p>
  </w:footnote>
  <w:footnote w:id="1">
    <w:p w14:paraId="5D22847F" w14:textId="77777777" w:rsidR="00C93C81" w:rsidRPr="00C93C81" w:rsidRDefault="00C93C81" w:rsidP="0073707A">
      <w:pPr>
        <w:spacing w:line="244" w:lineRule="auto"/>
        <w:ind w:left="300" w:right="307" w:firstLine="707"/>
        <w:jc w:val="both"/>
        <w:rPr>
          <w:sz w:val="18"/>
        </w:rPr>
      </w:pPr>
      <w:r>
        <w:rPr>
          <w:rStyle w:val="Refdenotaalpie"/>
        </w:rPr>
        <w:footnoteRef/>
      </w:r>
      <w:r>
        <w:t xml:space="preserve"> </w:t>
      </w:r>
      <w:r w:rsidRPr="00C93C81">
        <w:rPr>
          <w:sz w:val="18"/>
        </w:rPr>
        <w:t>Decreto 1082 de 2015: “Artículo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w:t>
      </w:r>
      <w:r w:rsidRPr="00C93C81">
        <w:rPr>
          <w:spacing w:val="-7"/>
          <w:sz w:val="18"/>
        </w:rPr>
        <w:t xml:space="preserve"> </w:t>
      </w:r>
      <w:r w:rsidRPr="00C93C81">
        <w:rPr>
          <w:sz w:val="18"/>
        </w:rPr>
        <w:t>ley.</w:t>
      </w:r>
    </w:p>
    <w:p w14:paraId="1041D4DB" w14:textId="77777777" w:rsidR="00C93C81" w:rsidRPr="00C93C81" w:rsidRDefault="00C93C81" w:rsidP="00C93C81">
      <w:pPr>
        <w:pStyle w:val="Textoindependiente"/>
        <w:spacing w:before="8"/>
        <w:rPr>
          <w:sz w:val="17"/>
        </w:rPr>
      </w:pPr>
    </w:p>
    <w:p w14:paraId="488F8B6F" w14:textId="77777777" w:rsidR="00C93C81" w:rsidRPr="00C93C81" w:rsidRDefault="00C93C81" w:rsidP="00C93C81">
      <w:pPr>
        <w:ind w:left="300" w:right="309"/>
        <w:jc w:val="both"/>
        <w:rPr>
          <w:sz w:val="18"/>
        </w:rPr>
      </w:pPr>
      <w:r w:rsidRPr="00C93C81">
        <w:rPr>
          <w:sz w:val="18"/>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45E4EBCE" w14:textId="77777777" w:rsidR="00C93C81" w:rsidRPr="00C93C81" w:rsidRDefault="00C93C81" w:rsidP="00C93C81">
      <w:pPr>
        <w:pStyle w:val="Textoindependiente"/>
        <w:rPr>
          <w:sz w:val="18"/>
        </w:rPr>
      </w:pPr>
    </w:p>
    <w:p w14:paraId="7A370670" w14:textId="77777777" w:rsidR="00C93C81" w:rsidRPr="00C93C81" w:rsidRDefault="00C93C81" w:rsidP="00C93C81">
      <w:pPr>
        <w:ind w:left="300" w:right="309"/>
        <w:jc w:val="both"/>
        <w:rPr>
          <w:sz w:val="18"/>
        </w:rPr>
      </w:pPr>
      <w:r w:rsidRPr="00C93C81">
        <w:rPr>
          <w:sz w:val="18"/>
        </w:rPr>
        <w:t>“Los inscritos en el RUP pueden en cualquier momento solicitar a la cámara de comercio cancelar su inscripción”.</w:t>
      </w:r>
    </w:p>
    <w:p w14:paraId="2BFEF744" w14:textId="77777777" w:rsidR="00C93C81" w:rsidRPr="00C93C81" w:rsidRDefault="00C93C81">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04305" w14:textId="77777777" w:rsidR="00554A88" w:rsidRDefault="00A33AB3">
    <w:pPr>
      <w:pStyle w:val="Textoindependiente"/>
      <w:spacing w:line="14" w:lineRule="auto"/>
      <w:rPr>
        <w:sz w:val="20"/>
      </w:rPr>
    </w:pPr>
    <w:r>
      <w:rPr>
        <w:noProof/>
        <w:lang w:val="en-US"/>
      </w:rPr>
      <w:drawing>
        <wp:anchor distT="0" distB="0" distL="0" distR="0" simplePos="0" relativeHeight="487514624" behindDoc="1" locked="0" layoutInCell="1" allowOverlap="1" wp14:anchorId="319516F4" wp14:editId="3F9E4C15">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E5BA4"/>
    <w:multiLevelType w:val="hybridMultilevel"/>
    <w:tmpl w:val="7DE67C86"/>
    <w:lvl w:ilvl="0" w:tplc="87D0C37E">
      <w:start w:val="1"/>
      <w:numFmt w:val="decimal"/>
      <w:lvlText w:val="%1."/>
      <w:lvlJc w:val="left"/>
      <w:pPr>
        <w:ind w:left="660" w:hanging="360"/>
        <w:jc w:val="left"/>
      </w:pPr>
      <w:rPr>
        <w:rFonts w:ascii="Arial" w:eastAsia="Arial" w:hAnsi="Arial" w:cs="Arial" w:hint="default"/>
        <w:b/>
        <w:bCs/>
        <w:color w:val="auto"/>
        <w:spacing w:val="-8"/>
        <w:w w:val="100"/>
        <w:sz w:val="22"/>
        <w:szCs w:val="22"/>
        <w:lang w:val="es-ES" w:eastAsia="en-US" w:bidi="ar-SA"/>
      </w:rPr>
    </w:lvl>
    <w:lvl w:ilvl="1" w:tplc="8C9817F4">
      <w:numFmt w:val="bullet"/>
      <w:lvlText w:val="•"/>
      <w:lvlJc w:val="left"/>
      <w:pPr>
        <w:ind w:left="1000" w:hanging="360"/>
      </w:pPr>
      <w:rPr>
        <w:rFonts w:hint="default"/>
        <w:lang w:val="es-ES" w:eastAsia="en-US" w:bidi="ar-SA"/>
      </w:rPr>
    </w:lvl>
    <w:lvl w:ilvl="2" w:tplc="58589DBE">
      <w:numFmt w:val="bullet"/>
      <w:lvlText w:val="•"/>
      <w:lvlJc w:val="left"/>
      <w:pPr>
        <w:ind w:left="1948" w:hanging="360"/>
      </w:pPr>
      <w:rPr>
        <w:rFonts w:hint="default"/>
        <w:lang w:val="es-ES" w:eastAsia="en-US" w:bidi="ar-SA"/>
      </w:rPr>
    </w:lvl>
    <w:lvl w:ilvl="3" w:tplc="30E4F9EA">
      <w:numFmt w:val="bullet"/>
      <w:lvlText w:val="•"/>
      <w:lvlJc w:val="left"/>
      <w:pPr>
        <w:ind w:left="2897" w:hanging="360"/>
      </w:pPr>
      <w:rPr>
        <w:rFonts w:hint="default"/>
        <w:lang w:val="es-ES" w:eastAsia="en-US" w:bidi="ar-SA"/>
      </w:rPr>
    </w:lvl>
    <w:lvl w:ilvl="4" w:tplc="25FEFD24">
      <w:numFmt w:val="bullet"/>
      <w:lvlText w:val="•"/>
      <w:lvlJc w:val="left"/>
      <w:pPr>
        <w:ind w:left="3846" w:hanging="360"/>
      </w:pPr>
      <w:rPr>
        <w:rFonts w:hint="default"/>
        <w:lang w:val="es-ES" w:eastAsia="en-US" w:bidi="ar-SA"/>
      </w:rPr>
    </w:lvl>
    <w:lvl w:ilvl="5" w:tplc="F78A2F6C">
      <w:numFmt w:val="bullet"/>
      <w:lvlText w:val="•"/>
      <w:lvlJc w:val="left"/>
      <w:pPr>
        <w:ind w:left="4795" w:hanging="360"/>
      </w:pPr>
      <w:rPr>
        <w:rFonts w:hint="default"/>
        <w:lang w:val="es-ES" w:eastAsia="en-US" w:bidi="ar-SA"/>
      </w:rPr>
    </w:lvl>
    <w:lvl w:ilvl="6" w:tplc="C10EDFD8">
      <w:numFmt w:val="bullet"/>
      <w:lvlText w:val="•"/>
      <w:lvlJc w:val="left"/>
      <w:pPr>
        <w:ind w:left="5744" w:hanging="360"/>
      </w:pPr>
      <w:rPr>
        <w:rFonts w:hint="default"/>
        <w:lang w:val="es-ES" w:eastAsia="en-US" w:bidi="ar-SA"/>
      </w:rPr>
    </w:lvl>
    <w:lvl w:ilvl="7" w:tplc="068EB3DA">
      <w:numFmt w:val="bullet"/>
      <w:lvlText w:val="•"/>
      <w:lvlJc w:val="left"/>
      <w:pPr>
        <w:ind w:left="6693" w:hanging="360"/>
      </w:pPr>
      <w:rPr>
        <w:rFonts w:hint="default"/>
        <w:lang w:val="es-ES" w:eastAsia="en-US" w:bidi="ar-SA"/>
      </w:rPr>
    </w:lvl>
    <w:lvl w:ilvl="8" w:tplc="69F0B496">
      <w:numFmt w:val="bullet"/>
      <w:lvlText w:val="•"/>
      <w:lvlJc w:val="left"/>
      <w:pPr>
        <w:ind w:left="7642"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88"/>
    <w:rsid w:val="00123713"/>
    <w:rsid w:val="00356248"/>
    <w:rsid w:val="00494350"/>
    <w:rsid w:val="00540C5C"/>
    <w:rsid w:val="00554A88"/>
    <w:rsid w:val="00566F1A"/>
    <w:rsid w:val="0073707A"/>
    <w:rsid w:val="00862967"/>
    <w:rsid w:val="00916248"/>
    <w:rsid w:val="009F35D1"/>
    <w:rsid w:val="00A27B49"/>
    <w:rsid w:val="00A33AB3"/>
    <w:rsid w:val="00C93C81"/>
    <w:rsid w:val="00CB15E6"/>
    <w:rsid w:val="00FF7AFD"/>
    <w:rsid w:val="1489CEA0"/>
    <w:rsid w:val="2619DB3E"/>
    <w:rsid w:val="26860E33"/>
    <w:rsid w:val="636C5AAD"/>
    <w:rsid w:val="6E6C29FE"/>
    <w:rsid w:val="71204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0D83"/>
  <w15:docId w15:val="{45B92D5E-EC6D-40B1-94DD-AE61FE71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6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hanging="361"/>
    </w:pPr>
  </w:style>
  <w:style w:type="paragraph" w:customStyle="1" w:styleId="TableParagraph">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C93C81"/>
    <w:rPr>
      <w:sz w:val="20"/>
      <w:szCs w:val="20"/>
    </w:rPr>
  </w:style>
  <w:style w:type="character" w:customStyle="1" w:styleId="TextonotapieCar">
    <w:name w:val="Texto nota pie Car"/>
    <w:basedOn w:val="Fuentedeprrafopredeter"/>
    <w:link w:val="Textonotapie"/>
    <w:uiPriority w:val="99"/>
    <w:semiHidden/>
    <w:rsid w:val="00C93C81"/>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C93C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BDA1C-26DD-41A9-8998-792425F5A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C8316-D9C2-457D-9C0D-431B3F627D34}">
  <ds:schemaRefs>
    <ds:schemaRef ds:uri="http://schemas.microsoft.com/sharepoint/v3/contenttype/forms"/>
  </ds:schemaRefs>
</ds:datastoreItem>
</file>

<file path=customXml/itemProps3.xml><?xml version="1.0" encoding="utf-8"?>
<ds:datastoreItem xmlns:ds="http://schemas.openxmlformats.org/officeDocument/2006/customXml" ds:itemID="{23C197B8-D5D1-4130-8841-9F6EA1E9E33C}">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81CBB20B-6903-874C-85FC-6637260D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1485</Words>
  <Characters>8169</Characters>
  <Application>Microsoft Office Word</Application>
  <DocSecurity>0</DocSecurity>
  <Lines>68</Lines>
  <Paragraphs>19</Paragraphs>
  <ScaleCrop>false</ScaleCrop>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13</cp:revision>
  <dcterms:created xsi:type="dcterms:W3CDTF">2020-03-27T19:03:00Z</dcterms:created>
  <dcterms:modified xsi:type="dcterms:W3CDTF">2020-08-19T20:35:00Z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Microsoft Word</vt:lpwstr>
  </property>
  <property fmtid="{D5CDD505-2E9C-101B-9397-08002B2CF9AE}" pid="4" name="LastSaved">
    <vt:filetime>2020-03-27T00:00:00Z</vt:filetime>
  </property>
  <property fmtid="{D5CDD505-2E9C-101B-9397-08002B2CF9AE}" pid="5" name="ContentTypeId">
    <vt:lpwstr>0x010100F2E0F32964D9B84EA054B84E5D4157A0</vt:lpwstr>
  </property>
</Properties>
</file>