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CA491" w14:textId="77777777" w:rsidR="005E2BCE" w:rsidRDefault="005E2BCE" w:rsidP="009437EE">
      <w:pPr>
        <w:pStyle w:val="Textoindependiente"/>
        <w:ind w:left="284" w:right="46"/>
        <w:jc w:val="both"/>
        <w:rPr>
          <w:b/>
          <w:bCs/>
        </w:rPr>
      </w:pPr>
    </w:p>
    <w:p w14:paraId="28280DDA" w14:textId="392A6891" w:rsidR="00A36321" w:rsidRPr="009437EE" w:rsidRDefault="00A36321" w:rsidP="5C80E907">
      <w:pPr>
        <w:pStyle w:val="Textoindependiente"/>
        <w:ind w:left="284" w:right="46"/>
        <w:jc w:val="both"/>
        <w:rPr>
          <w:b/>
          <w:bCs/>
        </w:rPr>
      </w:pPr>
      <w:r w:rsidRPr="5C80E907">
        <w:rPr>
          <w:b/>
          <w:bCs/>
        </w:rPr>
        <w:t xml:space="preserve">SISTEMA NACIONAL DE CULTURA </w:t>
      </w:r>
      <w:r w:rsidR="005E2BCE" w:rsidRPr="5C80E907">
        <w:rPr>
          <w:b/>
          <w:bCs/>
          <w:color w:val="000000" w:themeColor="text1"/>
        </w:rPr>
        <w:t xml:space="preserve">– </w:t>
      </w:r>
      <w:r w:rsidRPr="5C80E907">
        <w:rPr>
          <w:b/>
          <w:bCs/>
        </w:rPr>
        <w:t>Régimen jurídico</w:t>
      </w:r>
      <w:r w:rsidR="005E2BCE" w:rsidRPr="5C80E907">
        <w:rPr>
          <w:b/>
          <w:bCs/>
        </w:rPr>
        <w:t xml:space="preserve"> </w:t>
      </w:r>
      <w:r w:rsidR="005E2BCE" w:rsidRPr="5C80E907">
        <w:rPr>
          <w:b/>
          <w:bCs/>
          <w:color w:val="000000" w:themeColor="text1"/>
        </w:rPr>
        <w:t xml:space="preserve">– </w:t>
      </w:r>
      <w:r w:rsidR="005E2BCE" w:rsidRPr="5C80E907">
        <w:rPr>
          <w:b/>
          <w:bCs/>
        </w:rPr>
        <w:t xml:space="preserve">Conformación del sistema </w:t>
      </w:r>
      <w:r w:rsidR="005E2BCE" w:rsidRPr="5C80E907">
        <w:rPr>
          <w:b/>
          <w:bCs/>
          <w:color w:val="000000" w:themeColor="text1"/>
        </w:rPr>
        <w:t>–</w:t>
      </w:r>
      <w:r w:rsidR="00F15EB8" w:rsidRPr="5C80E907">
        <w:rPr>
          <w:b/>
          <w:bCs/>
        </w:rPr>
        <w:t xml:space="preserve"> Fondo Naci</w:t>
      </w:r>
      <w:r w:rsidR="005E2BCE" w:rsidRPr="5C80E907">
        <w:rPr>
          <w:b/>
          <w:bCs/>
        </w:rPr>
        <w:t xml:space="preserve">onal Promoción Cultura y Artes </w:t>
      </w:r>
      <w:r w:rsidR="005E2BCE" w:rsidRPr="5C80E907">
        <w:rPr>
          <w:b/>
          <w:bCs/>
          <w:color w:val="000000" w:themeColor="text1"/>
        </w:rPr>
        <w:t xml:space="preserve">– </w:t>
      </w:r>
      <w:r w:rsidR="005E2BCE" w:rsidRPr="5C80E907">
        <w:rPr>
          <w:b/>
          <w:bCs/>
        </w:rPr>
        <w:t xml:space="preserve">Fondos mixtos </w:t>
      </w:r>
      <w:r w:rsidR="005E2BCE" w:rsidRPr="5C80E907">
        <w:rPr>
          <w:b/>
          <w:bCs/>
          <w:color w:val="000000" w:themeColor="text1"/>
        </w:rPr>
        <w:t xml:space="preserve">– </w:t>
      </w:r>
      <w:r w:rsidR="007144BF" w:rsidRPr="5C80E907">
        <w:rPr>
          <w:b/>
          <w:bCs/>
        </w:rPr>
        <w:t xml:space="preserve">Naturaleza </w:t>
      </w:r>
    </w:p>
    <w:p w14:paraId="7F206326" w14:textId="12C2A540" w:rsidR="5C80E907" w:rsidRDefault="5C80E907" w:rsidP="5C80E907">
      <w:pPr>
        <w:pStyle w:val="Textoindependiente"/>
        <w:ind w:left="284" w:right="46"/>
        <w:jc w:val="both"/>
        <w:rPr>
          <w:b/>
          <w:bCs/>
        </w:rPr>
      </w:pPr>
    </w:p>
    <w:p w14:paraId="23A82F93" w14:textId="77777777" w:rsidR="00410293" w:rsidRPr="009437EE" w:rsidRDefault="00410293" w:rsidP="009437EE">
      <w:pPr>
        <w:pStyle w:val="Textoindependiente"/>
        <w:ind w:left="284" w:right="46"/>
        <w:jc w:val="both"/>
        <w:rPr>
          <w:sz w:val="20"/>
          <w:szCs w:val="20"/>
        </w:rPr>
      </w:pPr>
      <w:r w:rsidRPr="009437EE">
        <w:rPr>
          <w:sz w:val="20"/>
          <w:szCs w:val="20"/>
        </w:rPr>
        <w:t>En desarrollo de los artículos 70, 71 y 72 de la Constitución Política, relativos al deber del Estado de promover, fomentar y proteger la cultura, el arte, la ciencia, la tecnología y el patrimonio cultural de la Nación; el legislador expidió la Ley 397 de 1997 por la cual se dictaron normas sobre patrimonio cultural, sobre fomentos y estímulos a la cultura y sobre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w:t>
      </w:r>
      <w:r w:rsidRPr="009437EE">
        <w:rPr>
          <w:spacing w:val="-6"/>
          <w:sz w:val="20"/>
          <w:szCs w:val="20"/>
        </w:rPr>
        <w:t xml:space="preserve"> </w:t>
      </w:r>
      <w:r w:rsidRPr="009437EE">
        <w:rPr>
          <w:sz w:val="20"/>
          <w:szCs w:val="20"/>
        </w:rPr>
        <w:t>autonomía.</w:t>
      </w:r>
      <w:r w:rsidR="00F15EB8" w:rsidRPr="009437EE">
        <w:rPr>
          <w:sz w:val="20"/>
          <w:szCs w:val="20"/>
        </w:rPr>
        <w:t xml:space="preserve"> </w:t>
      </w:r>
      <w:r w:rsidRPr="009437EE">
        <w:rPr>
          <w:sz w:val="20"/>
          <w:szCs w:val="20"/>
        </w:rPr>
        <w:t>Este sistema está conformado por el Ministerio de Cultura, los consejos municipales, distritales y departamentales de cultura, los fondos mixtos de promoción de la cultura y el de las artes y, en general, por las entidades públicas y privadas que desarrollen, financien, fomente o ejecuten actividades culturales.</w:t>
      </w:r>
      <w:r w:rsidR="00F15EB8" w:rsidRPr="009437EE">
        <w:rPr>
          <w:sz w:val="20"/>
          <w:szCs w:val="20"/>
        </w:rPr>
        <w:t xml:space="preserve"> </w:t>
      </w:r>
      <w:r w:rsidRPr="009437EE">
        <w:rPr>
          <w:sz w:val="20"/>
          <w:szCs w:val="20"/>
        </w:rPr>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r w:rsidR="007144BF" w:rsidRPr="009437EE">
        <w:rPr>
          <w:sz w:val="20"/>
          <w:szCs w:val="20"/>
        </w:rPr>
        <w:t xml:space="preserve"> </w:t>
      </w:r>
      <w:r w:rsidRPr="009437EE">
        <w:rPr>
          <w:sz w:val="20"/>
          <w:szCs w:val="20"/>
        </w:rPr>
        <w:t>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0635E9E8" w14:textId="77777777" w:rsidR="00410293" w:rsidRPr="009437EE" w:rsidRDefault="00410293" w:rsidP="009437EE">
      <w:pPr>
        <w:pStyle w:val="Textoindependiente"/>
        <w:ind w:left="284" w:right="46"/>
        <w:jc w:val="both"/>
        <w:rPr>
          <w:sz w:val="20"/>
          <w:szCs w:val="20"/>
        </w:rPr>
      </w:pPr>
    </w:p>
    <w:p w14:paraId="5D5B120A" w14:textId="475C7557" w:rsidR="00410293" w:rsidRPr="009437EE" w:rsidRDefault="0061736D" w:rsidP="009437EE">
      <w:pPr>
        <w:pStyle w:val="Textoindependiente"/>
        <w:ind w:left="284" w:right="46"/>
        <w:jc w:val="both"/>
        <w:rPr>
          <w:b/>
          <w:bCs/>
        </w:rPr>
      </w:pPr>
      <w:r w:rsidRPr="5C80E907">
        <w:rPr>
          <w:b/>
          <w:bCs/>
        </w:rPr>
        <w:t>SISTEMA NAC</w:t>
      </w:r>
      <w:r w:rsidR="005E2BCE" w:rsidRPr="5C80E907">
        <w:rPr>
          <w:b/>
          <w:bCs/>
        </w:rPr>
        <w:t xml:space="preserve">IONAL DE CULTURA </w:t>
      </w:r>
      <w:r w:rsidR="005E2BCE" w:rsidRPr="5C80E907">
        <w:rPr>
          <w:b/>
          <w:bCs/>
          <w:color w:val="000000" w:themeColor="text1"/>
        </w:rPr>
        <w:t xml:space="preserve">– </w:t>
      </w:r>
      <w:r w:rsidR="00E01A56" w:rsidRPr="5C80E907">
        <w:rPr>
          <w:b/>
          <w:bCs/>
        </w:rPr>
        <w:t xml:space="preserve"> </w:t>
      </w:r>
      <w:r w:rsidR="005E2BCE" w:rsidRPr="5C80E907">
        <w:rPr>
          <w:b/>
          <w:bCs/>
        </w:rPr>
        <w:t xml:space="preserve">Régimen </w:t>
      </w:r>
      <w:r w:rsidR="2D93A441" w:rsidRPr="5C80E907">
        <w:rPr>
          <w:b/>
          <w:bCs/>
        </w:rPr>
        <w:t xml:space="preserve">jurídico </w:t>
      </w:r>
      <w:r w:rsidR="2D93A441" w:rsidRPr="5C80E907">
        <w:rPr>
          <w:b/>
          <w:bCs/>
          <w:color w:val="000000" w:themeColor="text1"/>
        </w:rPr>
        <w:t xml:space="preserve">– </w:t>
      </w:r>
      <w:r w:rsidR="2D93A441" w:rsidRPr="5C80E907">
        <w:rPr>
          <w:b/>
          <w:bCs/>
        </w:rPr>
        <w:t xml:space="preserve"> F</w:t>
      </w:r>
      <w:r w:rsidR="005E2BCE" w:rsidRPr="5C80E907">
        <w:rPr>
          <w:b/>
          <w:bCs/>
        </w:rPr>
        <w:t xml:space="preserve">ondos mixtos </w:t>
      </w:r>
      <w:r w:rsidR="005E2BCE" w:rsidRPr="5C80E907">
        <w:rPr>
          <w:b/>
          <w:bCs/>
          <w:color w:val="000000" w:themeColor="text1"/>
        </w:rPr>
        <w:t xml:space="preserve">– </w:t>
      </w:r>
      <w:r w:rsidR="00E01A56" w:rsidRPr="5C80E907">
        <w:rPr>
          <w:b/>
          <w:bCs/>
        </w:rPr>
        <w:t xml:space="preserve"> </w:t>
      </w:r>
      <w:r w:rsidR="00537708" w:rsidRPr="5C80E907">
        <w:rPr>
          <w:b/>
          <w:bCs/>
        </w:rPr>
        <w:t>Per</w:t>
      </w:r>
      <w:r w:rsidR="005E2BCE" w:rsidRPr="5C80E907">
        <w:rPr>
          <w:b/>
          <w:bCs/>
        </w:rPr>
        <w:t xml:space="preserve">sonería jurídica </w:t>
      </w:r>
      <w:r w:rsidR="005E2BCE" w:rsidRPr="5C80E907">
        <w:rPr>
          <w:b/>
          <w:bCs/>
          <w:color w:val="000000" w:themeColor="text1"/>
        </w:rPr>
        <w:t xml:space="preserve">– </w:t>
      </w:r>
      <w:r w:rsidR="00055FE6" w:rsidRPr="5C80E907">
        <w:rPr>
          <w:b/>
          <w:bCs/>
        </w:rPr>
        <w:t>E</w:t>
      </w:r>
      <w:r w:rsidR="37E2CC52" w:rsidRPr="5C80E907">
        <w:rPr>
          <w:b/>
          <w:bCs/>
        </w:rPr>
        <w:t xml:space="preserve">SAL </w:t>
      </w:r>
      <w:r w:rsidR="005E2BCE" w:rsidRPr="5C80E907">
        <w:rPr>
          <w:b/>
          <w:bCs/>
          <w:color w:val="000000" w:themeColor="text1"/>
        </w:rPr>
        <w:t xml:space="preserve">– </w:t>
      </w:r>
      <w:r w:rsidR="005E2BCE" w:rsidRPr="5C80E907">
        <w:rPr>
          <w:b/>
          <w:bCs/>
        </w:rPr>
        <w:t xml:space="preserve">Objeto </w:t>
      </w:r>
      <w:r w:rsidR="005E2BCE" w:rsidRPr="5C80E907">
        <w:rPr>
          <w:b/>
          <w:bCs/>
          <w:color w:val="000000" w:themeColor="text1"/>
        </w:rPr>
        <w:t xml:space="preserve">– </w:t>
      </w:r>
      <w:r w:rsidR="00537708" w:rsidRPr="5C80E907">
        <w:rPr>
          <w:b/>
          <w:bCs/>
        </w:rPr>
        <w:t>Régimen especial de contratación</w:t>
      </w:r>
    </w:p>
    <w:p w14:paraId="09D002A5" w14:textId="77777777" w:rsidR="00410293" w:rsidRPr="009437EE" w:rsidRDefault="00410293" w:rsidP="009437EE">
      <w:pPr>
        <w:pStyle w:val="Textoindependiente"/>
        <w:ind w:left="284" w:right="46"/>
        <w:jc w:val="both"/>
        <w:rPr>
          <w:sz w:val="20"/>
          <w:szCs w:val="20"/>
        </w:rPr>
      </w:pPr>
    </w:p>
    <w:p w14:paraId="0C0234D5" w14:textId="4503D758" w:rsidR="00410293" w:rsidRPr="009437EE" w:rsidRDefault="002746B4" w:rsidP="009437EE">
      <w:pPr>
        <w:pStyle w:val="Textoindependiente"/>
        <w:ind w:left="284" w:right="46"/>
        <w:jc w:val="both"/>
        <w:rPr>
          <w:sz w:val="20"/>
          <w:szCs w:val="20"/>
        </w:rPr>
      </w:pPr>
      <w:r w:rsidRPr="009437EE">
        <w:rPr>
          <w:sz w:val="20"/>
          <w:szCs w:val="20"/>
        </w:rPr>
        <w:t xml:space="preserve">[…] </w:t>
      </w:r>
      <w:r w:rsidR="0A09A6C4" w:rsidRPr="009437EE">
        <w:rPr>
          <w:sz w:val="20"/>
          <w:szCs w:val="20"/>
        </w:rPr>
        <w:t>L</w:t>
      </w:r>
      <w:r w:rsidR="00410293" w:rsidRPr="009437EE">
        <w:rPr>
          <w:sz w:val="20"/>
          <w:szCs w:val="20"/>
        </w:rPr>
        <w:t xml:space="preserve">os fondos mixtos de la cultura y las artes son entidades con personería jurídica descentralizadas, sin ánimo de lucro, cuya composición está conformada por aportes privados y públicos y cuyo objeto </w:t>
      </w:r>
      <w:proofErr w:type="spellStart"/>
      <w:r w:rsidR="00410293" w:rsidRPr="009437EE">
        <w:rPr>
          <w:sz w:val="20"/>
          <w:szCs w:val="20"/>
        </w:rPr>
        <w:t>esta</w:t>
      </w:r>
      <w:proofErr w:type="spellEnd"/>
      <w:r w:rsidR="00410293" w:rsidRPr="009437EE">
        <w:rPr>
          <w:sz w:val="20"/>
          <w:szCs w:val="20"/>
        </w:rPr>
        <w:t xml:space="preserve"> dirigido a servir de mecanismo de financiamiento para canalizar recursos de igual naturaleza orientados a la promoción, creación, investigación y difusión de las diversas manifestaciones artísticas y culturales en las respectivas regiones donde desarrollan su objeto.</w:t>
      </w:r>
      <w:r w:rsidR="00537708" w:rsidRPr="009437EE">
        <w:rPr>
          <w:sz w:val="20"/>
          <w:szCs w:val="20"/>
        </w:rPr>
        <w:t xml:space="preserve"> </w:t>
      </w:r>
      <w:r w:rsidR="00410293" w:rsidRPr="009437EE">
        <w:rPr>
          <w:sz w:val="20"/>
          <w:szCs w:val="20"/>
        </w:rPr>
        <w:t>Estos fondos actúan por disposición legal especial, principalmente, al amparo de las normas de derecho privado, lo que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r w:rsidR="00055FE6" w:rsidRPr="009437EE">
        <w:rPr>
          <w:sz w:val="20"/>
          <w:szCs w:val="20"/>
        </w:rPr>
        <w:t xml:space="preserve"> </w:t>
      </w:r>
      <w:r w:rsidR="00410293" w:rsidRPr="009437EE">
        <w:rPr>
          <w:sz w:val="20"/>
          <w:szCs w:val="20"/>
        </w:rPr>
        <w:t>En conclusión, aun cuando los fondos mixtos para la cultura y el arte son personas jurídicas sin ánimo de lucro, regidas por el derecho privado principalmente, tienen un vínculo inescindible con el Estado, dado que su creación fue hecha y hasta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-art. 96 ley 489 de 1998- y están sometidas al control fiscal ejercido por la Contraloría General de la</w:t>
      </w:r>
      <w:r w:rsidR="00410293" w:rsidRPr="009437EE">
        <w:rPr>
          <w:spacing w:val="-1"/>
          <w:sz w:val="20"/>
          <w:szCs w:val="20"/>
        </w:rPr>
        <w:t xml:space="preserve"> </w:t>
      </w:r>
      <w:r w:rsidR="00410293" w:rsidRPr="009437EE">
        <w:rPr>
          <w:sz w:val="20"/>
          <w:szCs w:val="20"/>
        </w:rPr>
        <w:t>República.</w:t>
      </w:r>
    </w:p>
    <w:p w14:paraId="4BB18E65" w14:textId="77777777" w:rsidR="00410293" w:rsidRPr="009437EE" w:rsidRDefault="00410293" w:rsidP="009437EE">
      <w:pPr>
        <w:pStyle w:val="Textoindependiente"/>
        <w:ind w:left="284" w:right="46"/>
        <w:jc w:val="both"/>
        <w:rPr>
          <w:b/>
          <w:sz w:val="20"/>
          <w:szCs w:val="20"/>
        </w:rPr>
      </w:pPr>
    </w:p>
    <w:p w14:paraId="75B08950" w14:textId="64E57BCA" w:rsidR="00055FE6" w:rsidRPr="009437EE" w:rsidRDefault="00B22ECD" w:rsidP="5C80E907">
      <w:pPr>
        <w:pStyle w:val="Textoindependiente"/>
        <w:ind w:left="284" w:right="46"/>
        <w:jc w:val="both"/>
        <w:rPr>
          <w:b/>
          <w:bCs/>
        </w:rPr>
      </w:pPr>
      <w:r w:rsidRPr="5C80E907">
        <w:rPr>
          <w:b/>
          <w:bCs/>
        </w:rPr>
        <w:t>ES</w:t>
      </w:r>
      <w:r w:rsidR="005E2BCE" w:rsidRPr="5C80E907">
        <w:rPr>
          <w:b/>
          <w:bCs/>
        </w:rPr>
        <w:t>TATUTO GENERAL DE CONTRATACIÓN</w:t>
      </w:r>
      <w:r w:rsidR="0074351B">
        <w:rPr>
          <w:b/>
          <w:bCs/>
        </w:rPr>
        <w:t xml:space="preserve"> DE LA ADMINISTRACIÓN PÚBLICA</w:t>
      </w:r>
      <w:r w:rsidR="005E2BCE" w:rsidRPr="5C80E907">
        <w:rPr>
          <w:b/>
          <w:bCs/>
        </w:rPr>
        <w:t xml:space="preserve"> </w:t>
      </w:r>
      <w:r w:rsidR="005E2BCE" w:rsidRPr="5C80E907">
        <w:rPr>
          <w:b/>
          <w:bCs/>
          <w:color w:val="000000" w:themeColor="text1"/>
        </w:rPr>
        <w:t xml:space="preserve">– </w:t>
      </w:r>
      <w:r w:rsidR="005E2BCE" w:rsidRPr="5C80E907">
        <w:rPr>
          <w:b/>
          <w:bCs/>
        </w:rPr>
        <w:t xml:space="preserve">Régimen jurídico </w:t>
      </w:r>
      <w:r w:rsidR="005E2BCE" w:rsidRPr="5C80E907">
        <w:rPr>
          <w:b/>
          <w:bCs/>
          <w:color w:val="000000" w:themeColor="text1"/>
        </w:rPr>
        <w:t>–</w:t>
      </w:r>
      <w:r w:rsidR="6990C6B2" w:rsidRPr="5C80E907">
        <w:rPr>
          <w:b/>
          <w:bCs/>
          <w:color w:val="000000" w:themeColor="text1"/>
        </w:rPr>
        <w:t xml:space="preserve"> </w:t>
      </w:r>
      <w:r w:rsidR="61554FB7" w:rsidRPr="5C80E907">
        <w:rPr>
          <w:b/>
          <w:bCs/>
        </w:rPr>
        <w:t xml:space="preserve">Personería jurídica </w:t>
      </w:r>
      <w:r w:rsidR="61554FB7" w:rsidRPr="5C80E907">
        <w:rPr>
          <w:b/>
          <w:bCs/>
          <w:color w:val="000000" w:themeColor="text1"/>
        </w:rPr>
        <w:t xml:space="preserve">– </w:t>
      </w:r>
      <w:r w:rsidR="61554FB7" w:rsidRPr="5C80E907">
        <w:rPr>
          <w:b/>
          <w:bCs/>
        </w:rPr>
        <w:t xml:space="preserve">ESAL </w:t>
      </w:r>
      <w:r w:rsidR="61554FB7" w:rsidRPr="5C80E907">
        <w:rPr>
          <w:b/>
          <w:bCs/>
          <w:color w:val="000000" w:themeColor="text1"/>
        </w:rPr>
        <w:t xml:space="preserve">– </w:t>
      </w:r>
      <w:r w:rsidR="61554FB7" w:rsidRPr="5C80E907">
        <w:rPr>
          <w:b/>
          <w:bCs/>
        </w:rPr>
        <w:t xml:space="preserve">Objeto </w:t>
      </w:r>
      <w:r w:rsidR="61554FB7" w:rsidRPr="5C80E907">
        <w:rPr>
          <w:b/>
          <w:bCs/>
          <w:color w:val="000000" w:themeColor="text1"/>
        </w:rPr>
        <w:t xml:space="preserve">– </w:t>
      </w:r>
      <w:r w:rsidR="61554FB7" w:rsidRPr="5C80E907">
        <w:rPr>
          <w:b/>
          <w:bCs/>
        </w:rPr>
        <w:t xml:space="preserve">Régimen especial de contratación </w:t>
      </w:r>
      <w:r w:rsidR="61554FB7" w:rsidRPr="5C80E907">
        <w:rPr>
          <w:b/>
          <w:bCs/>
          <w:color w:val="000000" w:themeColor="text1"/>
        </w:rPr>
        <w:t>–</w:t>
      </w:r>
      <w:r w:rsidR="61554FB7" w:rsidRPr="5C80E907">
        <w:rPr>
          <w:b/>
          <w:bCs/>
        </w:rPr>
        <w:t xml:space="preserve"> C</w:t>
      </w:r>
      <w:r w:rsidR="007E4512" w:rsidRPr="5C80E907">
        <w:rPr>
          <w:b/>
          <w:bCs/>
        </w:rPr>
        <w:t>ontrato estatal</w:t>
      </w:r>
      <w:r w:rsidR="005E2BCE" w:rsidRPr="5C80E907">
        <w:rPr>
          <w:b/>
          <w:bCs/>
        </w:rPr>
        <w:t xml:space="preserve"> </w:t>
      </w:r>
      <w:r w:rsidR="005E2BCE" w:rsidRPr="5C80E907">
        <w:rPr>
          <w:b/>
          <w:bCs/>
          <w:color w:val="000000" w:themeColor="text1"/>
        </w:rPr>
        <w:t xml:space="preserve">– </w:t>
      </w:r>
      <w:r w:rsidR="47A48160" w:rsidRPr="5C80E907">
        <w:rPr>
          <w:b/>
          <w:bCs/>
          <w:color w:val="000000" w:themeColor="text1"/>
        </w:rPr>
        <w:t>E</w:t>
      </w:r>
      <w:r w:rsidR="005E2BCE" w:rsidRPr="5C80E907">
        <w:rPr>
          <w:b/>
          <w:bCs/>
        </w:rPr>
        <w:t xml:space="preserve">ntidad estatal </w:t>
      </w:r>
      <w:r w:rsidR="005E2BCE" w:rsidRPr="5C80E907">
        <w:rPr>
          <w:b/>
          <w:bCs/>
          <w:color w:val="000000" w:themeColor="text1"/>
        </w:rPr>
        <w:t xml:space="preserve">– </w:t>
      </w:r>
      <w:r w:rsidR="000D4E76">
        <w:rPr>
          <w:b/>
          <w:bCs/>
        </w:rPr>
        <w:t xml:space="preserve">Definición </w:t>
      </w:r>
      <w:r w:rsidR="40FAE440" w:rsidRPr="5C80E907">
        <w:rPr>
          <w:b/>
          <w:bCs/>
          <w:color w:val="000000" w:themeColor="text1"/>
        </w:rPr>
        <w:t>–</w:t>
      </w:r>
      <w:r w:rsidR="40FAE440" w:rsidRPr="5C80E907">
        <w:rPr>
          <w:b/>
          <w:bCs/>
        </w:rPr>
        <w:t xml:space="preserve">  </w:t>
      </w:r>
      <w:r w:rsidR="007E625B" w:rsidRPr="5C80E907">
        <w:rPr>
          <w:b/>
          <w:bCs/>
        </w:rPr>
        <w:t>Ámbito de aplicación</w:t>
      </w:r>
      <w:r w:rsidR="19A44074" w:rsidRPr="5C80E907">
        <w:rPr>
          <w:b/>
          <w:bCs/>
        </w:rPr>
        <w:t xml:space="preserve"> </w:t>
      </w:r>
    </w:p>
    <w:p w14:paraId="1090ACFD" w14:textId="77777777" w:rsidR="00055FE6" w:rsidRPr="009437EE" w:rsidRDefault="00055FE6" w:rsidP="009437EE">
      <w:pPr>
        <w:pStyle w:val="Textoindependiente"/>
        <w:ind w:left="284" w:right="46"/>
        <w:jc w:val="both"/>
        <w:rPr>
          <w:b/>
          <w:sz w:val="20"/>
          <w:szCs w:val="20"/>
        </w:rPr>
      </w:pPr>
    </w:p>
    <w:p w14:paraId="1949212E" w14:textId="77777777" w:rsidR="00410293" w:rsidRPr="009437EE" w:rsidRDefault="00410293" w:rsidP="009437EE">
      <w:pPr>
        <w:pStyle w:val="Textoindependiente"/>
        <w:ind w:left="284" w:right="46"/>
        <w:jc w:val="both"/>
        <w:rPr>
          <w:sz w:val="20"/>
          <w:szCs w:val="20"/>
        </w:rPr>
      </w:pPr>
      <w:r w:rsidRPr="009437EE">
        <w:rPr>
          <w:sz w:val="20"/>
          <w:szCs w:val="20"/>
        </w:rPr>
        <w:t xml:space="preserve">El Estatuto General de Contratación de la Administración Pública es la norma de derecho público que rige las </w:t>
      </w:r>
      <w:proofErr w:type="gramStart"/>
      <w:r w:rsidRPr="009437EE">
        <w:rPr>
          <w:sz w:val="20"/>
          <w:szCs w:val="20"/>
        </w:rPr>
        <w:t>etapas precontractual</w:t>
      </w:r>
      <w:proofErr w:type="gramEnd"/>
      <w:r w:rsidRPr="009437EE">
        <w:rPr>
          <w:sz w:val="20"/>
          <w:szCs w:val="20"/>
        </w:rPr>
        <w:t xml:space="preserve">, contractual y </w:t>
      </w:r>
      <w:proofErr w:type="spellStart"/>
      <w:r w:rsidRPr="009437EE">
        <w:rPr>
          <w:sz w:val="20"/>
          <w:szCs w:val="20"/>
        </w:rPr>
        <w:t>postcontractual</w:t>
      </w:r>
      <w:proofErr w:type="spellEnd"/>
      <w:r w:rsidRPr="009437EE">
        <w:rPr>
          <w:sz w:val="20"/>
          <w:szCs w:val="20"/>
        </w:rPr>
        <w:t xml:space="preserve"> de los negocios jurídicos celebrados por </w:t>
      </w:r>
      <w:r w:rsidRPr="009437EE">
        <w:rPr>
          <w:sz w:val="20"/>
          <w:szCs w:val="20"/>
        </w:rPr>
        <w:lastRenderedPageBreak/>
        <w:t>las entidades estatales, expedido al amparo del inciso final del artículo 150 de la Constitución Política, y hoy contenido en la Ley 80 de 1993, la Ley 1150 de 2007 y demás normas legales y reglamentarias pertinentes.</w:t>
      </w:r>
      <w:r w:rsidR="007E4512" w:rsidRPr="009437EE">
        <w:rPr>
          <w:sz w:val="20"/>
          <w:szCs w:val="20"/>
        </w:rPr>
        <w:t xml:space="preserve"> </w:t>
      </w:r>
      <w:r w:rsidRPr="009437EE">
        <w:rPr>
          <w:sz w:val="20"/>
          <w:szCs w:val="20"/>
        </w:rPr>
        <w:t>Ahora bien, el contrato estatal se define genéricamente como todo acto jurídico generador de obligaciones</w:t>
      </w:r>
      <w:r w:rsidRPr="009437EE">
        <w:rPr>
          <w:position w:val="8"/>
          <w:sz w:val="20"/>
          <w:szCs w:val="20"/>
        </w:rPr>
        <w:t xml:space="preserve"> </w:t>
      </w:r>
      <w:r w:rsidRPr="009437EE">
        <w:rPr>
          <w:sz w:val="20"/>
          <w:szCs w:val="20"/>
        </w:rPr>
        <w:t>celebrado por una de las entidades estatales descritas en el artículo 2° de la Ley 80 de 1993, cuya actividad contractual se sujeta, íntegramente, al ámbito de cobertura de a los principios, deberes, derechos, procedimientos y reglas consagrados en el Estatuto General de la Contratación Estatal.</w:t>
      </w:r>
      <w:r w:rsidR="007E625B" w:rsidRPr="009437EE">
        <w:rPr>
          <w:sz w:val="20"/>
          <w:szCs w:val="20"/>
        </w:rPr>
        <w:t xml:space="preserve"> </w:t>
      </w:r>
      <w:r w:rsidRPr="009437EE">
        <w:rPr>
          <w:sz w:val="20"/>
          <w:szCs w:val="20"/>
        </w:rPr>
        <w:t xml:space="preserve">Si bien el artículo 2 de la Ley 80 de 1993, al definir las entidades estatales cuya contratación se regiría por el estatuto general, persiguió abarcar de forma omnicomprensiva la totalidad o, por lo menos, la mayoría de los organismos que conforman la estructura del Estado, lo cierto es que dicha regla general tiene excepciones creadas por la ley que han permitido que ciertas entidades queden excluidas de su aplicación, para </w:t>
      </w:r>
      <w:proofErr w:type="gramStart"/>
      <w:r w:rsidRPr="009437EE">
        <w:rPr>
          <w:sz w:val="20"/>
          <w:szCs w:val="20"/>
        </w:rPr>
        <w:t>que</w:t>
      </w:r>
      <w:proofErr w:type="gramEnd"/>
      <w:r w:rsidRPr="009437EE">
        <w:rPr>
          <w:sz w:val="20"/>
          <w:szCs w:val="20"/>
        </w:rPr>
        <w:t xml:space="preserve"> en su lugar, contraten al amparo de normas de derecho</w:t>
      </w:r>
      <w:r w:rsidRPr="009437EE">
        <w:rPr>
          <w:spacing w:val="-35"/>
          <w:sz w:val="20"/>
          <w:szCs w:val="20"/>
        </w:rPr>
        <w:t xml:space="preserve"> </w:t>
      </w:r>
      <w:r w:rsidRPr="009437EE">
        <w:rPr>
          <w:sz w:val="20"/>
          <w:szCs w:val="20"/>
        </w:rPr>
        <w:t>privado.</w:t>
      </w:r>
    </w:p>
    <w:p w14:paraId="258AAF30" w14:textId="77777777" w:rsidR="00410293" w:rsidRPr="009437EE" w:rsidRDefault="00410293" w:rsidP="009437EE">
      <w:pPr>
        <w:pStyle w:val="Textoindependiente"/>
        <w:ind w:left="284" w:right="46"/>
        <w:jc w:val="both"/>
        <w:rPr>
          <w:sz w:val="20"/>
          <w:szCs w:val="20"/>
        </w:rPr>
      </w:pPr>
    </w:p>
    <w:p w14:paraId="546F973B" w14:textId="3800BD28" w:rsidR="008846FC" w:rsidRPr="009437EE" w:rsidRDefault="005E2BCE" w:rsidP="009437EE">
      <w:pPr>
        <w:pStyle w:val="Textoindependiente"/>
        <w:ind w:left="284" w:right="46"/>
        <w:jc w:val="both"/>
        <w:rPr>
          <w:b/>
          <w:bCs/>
        </w:rPr>
      </w:pPr>
      <w:r w:rsidRPr="5C80E907">
        <w:rPr>
          <w:b/>
          <w:bCs/>
        </w:rPr>
        <w:t xml:space="preserve">FONDOS MIXTOS DE CULTURA </w:t>
      </w:r>
      <w:r w:rsidRPr="5C80E907">
        <w:rPr>
          <w:b/>
          <w:bCs/>
          <w:color w:val="000000" w:themeColor="text1"/>
        </w:rPr>
        <w:t xml:space="preserve">– </w:t>
      </w:r>
      <w:r w:rsidR="7654EF8B" w:rsidRPr="5C80E907">
        <w:rPr>
          <w:b/>
          <w:bCs/>
          <w:color w:val="000000" w:themeColor="text1"/>
        </w:rPr>
        <w:t>Régimen general –</w:t>
      </w:r>
      <w:r w:rsidR="7654EF8B" w:rsidRPr="5C80E907">
        <w:rPr>
          <w:b/>
          <w:bCs/>
        </w:rPr>
        <w:t xml:space="preserve"> </w:t>
      </w:r>
      <w:r w:rsidR="008846FC" w:rsidRPr="5C80E907">
        <w:rPr>
          <w:b/>
          <w:bCs/>
        </w:rPr>
        <w:t>Exceptuados</w:t>
      </w:r>
      <w:r w:rsidR="00C07A15" w:rsidRPr="5C80E907">
        <w:rPr>
          <w:b/>
          <w:bCs/>
        </w:rPr>
        <w:t xml:space="preserve"> </w:t>
      </w:r>
      <w:r w:rsidRPr="5C80E907">
        <w:rPr>
          <w:b/>
          <w:bCs/>
          <w:color w:val="000000" w:themeColor="text1"/>
        </w:rPr>
        <w:t xml:space="preserve">– </w:t>
      </w:r>
      <w:r w:rsidR="000A3D7A" w:rsidRPr="5C80E907">
        <w:rPr>
          <w:b/>
          <w:bCs/>
        </w:rPr>
        <w:t>Ré</w:t>
      </w:r>
      <w:r w:rsidRPr="5C80E907">
        <w:rPr>
          <w:b/>
          <w:bCs/>
        </w:rPr>
        <w:t xml:space="preserve">gimen especial de contratación </w:t>
      </w:r>
      <w:r w:rsidRPr="5C80E907">
        <w:rPr>
          <w:b/>
          <w:bCs/>
          <w:color w:val="000000" w:themeColor="text1"/>
        </w:rPr>
        <w:t>–</w:t>
      </w:r>
      <w:r w:rsidR="000A3D7A" w:rsidRPr="5C80E907">
        <w:rPr>
          <w:b/>
          <w:bCs/>
        </w:rPr>
        <w:t xml:space="preserve"> Principios función administrativa</w:t>
      </w:r>
      <w:r w:rsidR="00FA7BEA">
        <w:rPr>
          <w:b/>
          <w:bCs/>
        </w:rPr>
        <w:t xml:space="preserve"> </w:t>
      </w:r>
      <w:r w:rsidR="00FA7BEA" w:rsidRPr="5C80E907">
        <w:rPr>
          <w:b/>
          <w:bCs/>
          <w:color w:val="000000" w:themeColor="text1"/>
        </w:rPr>
        <w:t>–</w:t>
      </w:r>
      <w:r w:rsidR="00FA7BEA">
        <w:rPr>
          <w:b/>
          <w:bCs/>
          <w:color w:val="000000" w:themeColor="text1"/>
        </w:rPr>
        <w:t xml:space="preserve"> Gestión fiscal</w:t>
      </w:r>
    </w:p>
    <w:p w14:paraId="5809A79F" w14:textId="77777777" w:rsidR="008846FC" w:rsidRPr="009437EE" w:rsidRDefault="008846FC" w:rsidP="009437EE">
      <w:pPr>
        <w:pStyle w:val="Textoindependiente"/>
        <w:ind w:left="284" w:right="46"/>
        <w:jc w:val="both"/>
        <w:rPr>
          <w:sz w:val="20"/>
          <w:szCs w:val="20"/>
        </w:rPr>
      </w:pPr>
    </w:p>
    <w:p w14:paraId="05705BE7" w14:textId="77777777" w:rsidR="00410293" w:rsidRPr="009437EE" w:rsidRDefault="00410293" w:rsidP="009437EE">
      <w:pPr>
        <w:pStyle w:val="Textoindependiente"/>
        <w:ind w:left="284" w:right="46"/>
        <w:jc w:val="both"/>
        <w:rPr>
          <w:sz w:val="20"/>
          <w:szCs w:val="20"/>
        </w:rPr>
      </w:pPr>
      <w:r w:rsidRPr="009437EE">
        <w:rPr>
          <w:sz w:val="20"/>
          <w:szCs w:val="20"/>
        </w:rPr>
        <w:t xml:space="preserve">Una de estas excepciones al régimen general de contratación estatal quedó establecida en el artículo 63 de la Ley 397 de 1997 para los fondos mixtos de promoción para la cultura y las artes, norma que permitió que el régimen jurídico de sus contratos fuera el derecho privado. De todas maneras, la exclusión de que gozan los referidos fondos mixtos frente al régimen jurídico contractual general de las entidades estatales no ha sido </w:t>
      </w:r>
      <w:proofErr w:type="gramStart"/>
      <w:r w:rsidRPr="009437EE">
        <w:rPr>
          <w:sz w:val="20"/>
          <w:szCs w:val="20"/>
        </w:rPr>
        <w:t>absoluta</w:t>
      </w:r>
      <w:proofErr w:type="gramEnd"/>
      <w:r w:rsidRPr="009437EE">
        <w:rPr>
          <w:sz w:val="20"/>
          <w:szCs w:val="20"/>
        </w:rPr>
        <w:t>, toda vez que administran recursos públicos. Además, de tiempo atrás en el ordenamiento jurídico se reconoció que las entidades exceptuadas del Estatuto General de Contratación debían respetar los principios de la función administrativa, tesis que luego acogió el legislador con la expedición de la Ley 1150 de 2007.</w:t>
      </w:r>
      <w:r w:rsidR="000A3D7A" w:rsidRPr="009437EE">
        <w:rPr>
          <w:sz w:val="20"/>
          <w:szCs w:val="20"/>
        </w:rPr>
        <w:t xml:space="preserve">(…) </w:t>
      </w:r>
      <w:r w:rsidRPr="009437EE">
        <w:rPr>
          <w:sz w:val="20"/>
          <w:szCs w:val="20"/>
        </w:rPr>
        <w:t xml:space="preserve">El artículo 13 de la Ley 1150 de 2007 </w:t>
      </w:r>
      <w:proofErr w:type="spellStart"/>
      <w:r w:rsidRPr="009437EE">
        <w:rPr>
          <w:sz w:val="20"/>
          <w:szCs w:val="20"/>
        </w:rPr>
        <w:t>positivizó</w:t>
      </w:r>
      <w:proofErr w:type="spellEnd"/>
      <w:r w:rsidRPr="009437EE">
        <w:rPr>
          <w:sz w:val="20"/>
          <w:szCs w:val="20"/>
        </w:rPr>
        <w:t xml:space="preserve"> el precepto según el cual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28257ED" w14:textId="77777777" w:rsidR="00353A9C" w:rsidRPr="009437EE" w:rsidRDefault="00353A9C" w:rsidP="009437EE">
      <w:pPr>
        <w:pStyle w:val="Textoindependiente"/>
        <w:ind w:left="284" w:right="46"/>
        <w:jc w:val="both"/>
        <w:rPr>
          <w:sz w:val="20"/>
          <w:szCs w:val="20"/>
        </w:rPr>
      </w:pPr>
    </w:p>
    <w:p w14:paraId="1D7402FB" w14:textId="6FF5678D" w:rsidR="00353A9C" w:rsidRPr="009437EE" w:rsidRDefault="005E2BCE" w:rsidP="009437EE">
      <w:pPr>
        <w:pStyle w:val="Textoindependiente"/>
        <w:ind w:left="284" w:right="46"/>
        <w:jc w:val="both"/>
        <w:rPr>
          <w:b/>
          <w:bCs/>
        </w:rPr>
      </w:pPr>
      <w:r w:rsidRPr="5C80E907">
        <w:rPr>
          <w:b/>
          <w:bCs/>
        </w:rPr>
        <w:t xml:space="preserve">RÉGIMEN CONTRACTUAL </w:t>
      </w:r>
      <w:r w:rsidRPr="5C80E907">
        <w:rPr>
          <w:b/>
          <w:bCs/>
          <w:color w:val="000000" w:themeColor="text1"/>
        </w:rPr>
        <w:t xml:space="preserve">– </w:t>
      </w:r>
      <w:r w:rsidR="00C07A15" w:rsidRPr="5C80E907">
        <w:rPr>
          <w:b/>
          <w:bCs/>
        </w:rPr>
        <w:t>E</w:t>
      </w:r>
      <w:r w:rsidR="6BEE24D7" w:rsidRPr="5C80E907">
        <w:rPr>
          <w:b/>
          <w:bCs/>
        </w:rPr>
        <w:t>ntidades e</w:t>
      </w:r>
      <w:r w:rsidR="00C07A15" w:rsidRPr="5C80E907">
        <w:rPr>
          <w:b/>
          <w:bCs/>
        </w:rPr>
        <w:t>x</w:t>
      </w:r>
      <w:r w:rsidR="001D5DB7" w:rsidRPr="5C80E907">
        <w:rPr>
          <w:b/>
          <w:bCs/>
        </w:rPr>
        <w:t xml:space="preserve">cluidas </w:t>
      </w:r>
      <w:r w:rsidR="6C508A41" w:rsidRPr="5C80E907">
        <w:rPr>
          <w:b/>
          <w:bCs/>
          <w:color w:val="000000" w:themeColor="text1"/>
        </w:rPr>
        <w:t>–</w:t>
      </w:r>
      <w:r w:rsidR="6C508A41" w:rsidRPr="5C80E907">
        <w:rPr>
          <w:b/>
          <w:bCs/>
        </w:rPr>
        <w:t xml:space="preserve"> </w:t>
      </w:r>
      <w:r w:rsidR="001D5DB7" w:rsidRPr="5C80E907">
        <w:rPr>
          <w:b/>
          <w:bCs/>
        </w:rPr>
        <w:t>Ley 80 de 1993</w:t>
      </w:r>
      <w:r w:rsidRPr="5C80E907">
        <w:rPr>
          <w:b/>
          <w:bCs/>
        </w:rPr>
        <w:t xml:space="preserve"> </w:t>
      </w:r>
      <w:r w:rsidRPr="5C80E907">
        <w:rPr>
          <w:b/>
          <w:bCs/>
          <w:color w:val="000000" w:themeColor="text1"/>
        </w:rPr>
        <w:t>–</w:t>
      </w:r>
      <w:r w:rsidRPr="5C80E907">
        <w:rPr>
          <w:b/>
          <w:bCs/>
        </w:rPr>
        <w:t xml:space="preserve"> Régimen privado prevalente </w:t>
      </w:r>
      <w:r w:rsidRPr="5C80E907">
        <w:rPr>
          <w:b/>
          <w:bCs/>
          <w:color w:val="000000" w:themeColor="text1"/>
        </w:rPr>
        <w:t>–</w:t>
      </w:r>
      <w:r w:rsidR="00353A9C" w:rsidRPr="5C80E907">
        <w:rPr>
          <w:b/>
          <w:bCs/>
        </w:rPr>
        <w:t xml:space="preserve"> Régimen p</w:t>
      </w:r>
      <w:r w:rsidR="001D5DB7" w:rsidRPr="5C80E907">
        <w:rPr>
          <w:b/>
          <w:bCs/>
        </w:rPr>
        <w:t>úblico supletorio</w:t>
      </w:r>
      <w:r w:rsidRPr="5C80E907">
        <w:rPr>
          <w:b/>
          <w:bCs/>
        </w:rPr>
        <w:t xml:space="preserve"> </w:t>
      </w:r>
      <w:r w:rsidRPr="5C80E907">
        <w:rPr>
          <w:b/>
          <w:bCs/>
          <w:color w:val="000000" w:themeColor="text1"/>
        </w:rPr>
        <w:t>–</w:t>
      </w:r>
      <w:r w:rsidR="00AB0993" w:rsidRPr="5C80E907">
        <w:rPr>
          <w:b/>
          <w:bCs/>
        </w:rPr>
        <w:t xml:space="preserve"> Apl</w:t>
      </w:r>
      <w:r w:rsidRPr="5C80E907">
        <w:rPr>
          <w:b/>
          <w:bCs/>
        </w:rPr>
        <w:t>icación</w:t>
      </w:r>
      <w:r w:rsidR="64419223" w:rsidRPr="5C80E907">
        <w:rPr>
          <w:b/>
          <w:bCs/>
        </w:rPr>
        <w:t xml:space="preserve"> </w:t>
      </w:r>
      <w:r w:rsidR="64419223" w:rsidRPr="5C80E907">
        <w:rPr>
          <w:b/>
          <w:bCs/>
          <w:color w:val="000000" w:themeColor="text1"/>
        </w:rPr>
        <w:t>–</w:t>
      </w:r>
      <w:r w:rsidRPr="5C80E907">
        <w:rPr>
          <w:b/>
          <w:bCs/>
        </w:rPr>
        <w:t xml:space="preserve"> </w:t>
      </w:r>
      <w:r w:rsidR="5889F1EF" w:rsidRPr="5C80E907">
        <w:rPr>
          <w:b/>
          <w:bCs/>
        </w:rPr>
        <w:t>P</w:t>
      </w:r>
      <w:r w:rsidRPr="5C80E907">
        <w:rPr>
          <w:b/>
          <w:bCs/>
        </w:rPr>
        <w:t xml:space="preserve">rincipio de legalidad </w:t>
      </w:r>
      <w:r w:rsidRPr="5C80E907">
        <w:rPr>
          <w:b/>
          <w:bCs/>
          <w:color w:val="000000" w:themeColor="text1"/>
        </w:rPr>
        <w:t>–</w:t>
      </w:r>
      <w:r w:rsidR="00AB0993" w:rsidRPr="5C80E907">
        <w:rPr>
          <w:b/>
          <w:bCs/>
        </w:rPr>
        <w:t xml:space="preserve"> Principios función administrativa</w:t>
      </w:r>
    </w:p>
    <w:p w14:paraId="06A30F89" w14:textId="77777777" w:rsidR="00353A9C" w:rsidRPr="009437EE" w:rsidRDefault="00353A9C" w:rsidP="009437EE">
      <w:pPr>
        <w:pStyle w:val="Textoindependiente"/>
        <w:ind w:left="284" w:right="46"/>
        <w:jc w:val="both"/>
        <w:rPr>
          <w:sz w:val="20"/>
          <w:szCs w:val="20"/>
        </w:rPr>
      </w:pPr>
    </w:p>
    <w:p w14:paraId="38D928BB" w14:textId="77777777" w:rsidR="009437EE" w:rsidRPr="009437EE" w:rsidRDefault="00410293" w:rsidP="009437EE">
      <w:pPr>
        <w:pStyle w:val="Textoindependiente"/>
        <w:spacing w:after="120"/>
        <w:ind w:left="284" w:right="45"/>
        <w:jc w:val="both"/>
        <w:rPr>
          <w:sz w:val="20"/>
          <w:szCs w:val="20"/>
        </w:rPr>
      </w:pPr>
      <w:r w:rsidRPr="009437EE">
        <w:rPr>
          <w:sz w:val="20"/>
          <w:szCs w:val="20"/>
        </w:rPr>
        <w:t>En razón a lo anterior, las entidades excluidas de la Ley 80 de 1993 tienen régimen contractual que vincula dos ordenamientos: el privado que es preponderante y el público que es el supletorio, pero no menos importante, porque irradia aspectos esenciales de la actividad contractual de estas entidades. Doctrinaria</w:t>
      </w:r>
      <w:r w:rsidRPr="009437EE">
        <w:rPr>
          <w:position w:val="8"/>
          <w:sz w:val="20"/>
          <w:szCs w:val="20"/>
        </w:rPr>
        <w:t xml:space="preserve"> </w:t>
      </w:r>
      <w:r w:rsidRPr="009437EE">
        <w:rPr>
          <w:sz w:val="20"/>
          <w:szCs w:val="20"/>
        </w:rPr>
        <w:t>y jurisprudencialmente</w:t>
      </w:r>
      <w:r w:rsidRPr="009437EE">
        <w:rPr>
          <w:position w:val="8"/>
          <w:sz w:val="20"/>
          <w:szCs w:val="20"/>
        </w:rPr>
        <w:t xml:space="preserve"> </w:t>
      </w:r>
      <w:r w:rsidRPr="009437EE">
        <w:rPr>
          <w:sz w:val="20"/>
          <w:szCs w:val="20"/>
        </w:rPr>
        <w:t>se han identificado algunos ejemplos de la aplicación de uno y otro régimen en la contratación de estas entidades, tal y como se sintetiza a continuación</w:t>
      </w:r>
      <w:r w:rsidR="009437EE" w:rsidRPr="009437EE">
        <w:rPr>
          <w:sz w:val="20"/>
          <w:szCs w:val="20"/>
        </w:rPr>
        <w:t>.</w:t>
      </w:r>
    </w:p>
    <w:p w14:paraId="38979EA9" w14:textId="7F4A5316" w:rsidR="00DB7914" w:rsidRPr="009437EE" w:rsidRDefault="00410293" w:rsidP="009437EE">
      <w:pPr>
        <w:pStyle w:val="Textoindependiente"/>
        <w:ind w:left="284" w:right="46"/>
        <w:jc w:val="both"/>
        <w:rPr>
          <w:sz w:val="20"/>
          <w:szCs w:val="20"/>
        </w:rPr>
      </w:pPr>
      <w:r w:rsidRPr="009437EE">
        <w:rPr>
          <w:sz w:val="20"/>
          <w:szCs w:val="20"/>
        </w:rPr>
        <w:t>La jurisprudencia del Consejo de Estado se ha pronunciado sobre la combinación de ordenamientos que confluyen en el régimen contractual de las entidades excluidas del Estatuto General de Contratación y ha considerado que el régimen sustantivo del contrato - derecho privado- 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w:t>
      </w:r>
      <w:r w:rsidRPr="009437EE">
        <w:rPr>
          <w:spacing w:val="-9"/>
          <w:sz w:val="20"/>
          <w:szCs w:val="20"/>
        </w:rPr>
        <w:t xml:space="preserve"> </w:t>
      </w:r>
      <w:r w:rsidRPr="009437EE">
        <w:rPr>
          <w:sz w:val="20"/>
          <w:szCs w:val="20"/>
        </w:rPr>
        <w:t>Pública.</w:t>
      </w:r>
    </w:p>
    <w:p w14:paraId="61626C00" w14:textId="77777777" w:rsidR="009437EE" w:rsidRPr="009437EE" w:rsidRDefault="009437EE" w:rsidP="009437EE">
      <w:pPr>
        <w:pStyle w:val="Textoindependiente"/>
        <w:ind w:left="284" w:right="46"/>
        <w:jc w:val="both"/>
        <w:rPr>
          <w:sz w:val="20"/>
          <w:szCs w:val="20"/>
        </w:rPr>
      </w:pPr>
    </w:p>
    <w:p w14:paraId="2BAE9376" w14:textId="77777777" w:rsidR="00DB7914" w:rsidRPr="009437EE" w:rsidRDefault="00DB7914" w:rsidP="009437EE">
      <w:pPr>
        <w:pStyle w:val="Textoindependiente"/>
        <w:ind w:left="284" w:right="46"/>
        <w:jc w:val="both"/>
        <w:rPr>
          <w:sz w:val="20"/>
          <w:szCs w:val="20"/>
        </w:rPr>
      </w:pPr>
    </w:p>
    <w:p w14:paraId="635BD614" w14:textId="60A911D0" w:rsidR="00DB7914" w:rsidRPr="009437EE" w:rsidRDefault="005E2BCE" w:rsidP="009437EE">
      <w:pPr>
        <w:pStyle w:val="Textoindependiente"/>
        <w:ind w:left="284" w:right="46"/>
        <w:jc w:val="both"/>
        <w:rPr>
          <w:b/>
          <w:bCs/>
        </w:rPr>
      </w:pPr>
      <w:r>
        <w:rPr>
          <w:b/>
          <w:bCs/>
        </w:rPr>
        <w:t xml:space="preserve">FONDOS MIXTOS DE CULTURA </w:t>
      </w:r>
      <w:r w:rsidRPr="00511971">
        <w:rPr>
          <w:b/>
          <w:color w:val="000000" w:themeColor="text1"/>
        </w:rPr>
        <w:t>–</w:t>
      </w:r>
      <w:r>
        <w:rPr>
          <w:b/>
          <w:bCs/>
        </w:rPr>
        <w:t xml:space="preserve"> Régimen derecho privado </w:t>
      </w:r>
      <w:r w:rsidRPr="00511971">
        <w:rPr>
          <w:b/>
          <w:color w:val="000000" w:themeColor="text1"/>
        </w:rPr>
        <w:t>–</w:t>
      </w:r>
      <w:r w:rsidR="00DB7914" w:rsidRPr="009437EE">
        <w:rPr>
          <w:b/>
          <w:bCs/>
        </w:rPr>
        <w:t xml:space="preserve"> </w:t>
      </w:r>
      <w:r w:rsidR="00E61674" w:rsidRPr="009437EE">
        <w:rPr>
          <w:b/>
          <w:bCs/>
        </w:rPr>
        <w:t>A</w:t>
      </w:r>
      <w:r w:rsidR="00DB7914" w:rsidRPr="009437EE">
        <w:rPr>
          <w:b/>
          <w:bCs/>
        </w:rPr>
        <w:t>utonomía de voluntad</w:t>
      </w:r>
      <w:r>
        <w:rPr>
          <w:b/>
          <w:bCs/>
        </w:rPr>
        <w:t xml:space="preserve"> </w:t>
      </w:r>
      <w:r w:rsidRPr="00511971">
        <w:rPr>
          <w:b/>
          <w:color w:val="000000" w:themeColor="text1"/>
        </w:rPr>
        <w:lastRenderedPageBreak/>
        <w:t>–</w:t>
      </w:r>
      <w:r w:rsidR="00271327" w:rsidRPr="009437EE">
        <w:rPr>
          <w:b/>
          <w:bCs/>
        </w:rPr>
        <w:t xml:space="preserve"> Principio</w:t>
      </w:r>
      <w:r>
        <w:rPr>
          <w:b/>
          <w:bCs/>
        </w:rPr>
        <w:t xml:space="preserve"> no es absoluto </w:t>
      </w:r>
      <w:r w:rsidRPr="00511971">
        <w:rPr>
          <w:b/>
          <w:color w:val="000000" w:themeColor="text1"/>
        </w:rPr>
        <w:t>–</w:t>
      </w:r>
      <w:r w:rsidR="00DB7914" w:rsidRPr="009437EE">
        <w:rPr>
          <w:b/>
          <w:bCs/>
        </w:rPr>
        <w:t xml:space="preserve"> </w:t>
      </w:r>
      <w:r w:rsidR="005C6677" w:rsidRPr="009437EE">
        <w:rPr>
          <w:b/>
          <w:bCs/>
        </w:rPr>
        <w:t>Aplicación</w:t>
      </w:r>
      <w:r w:rsidR="00BB76AC">
        <w:rPr>
          <w:b/>
          <w:bCs/>
        </w:rPr>
        <w:t xml:space="preserve"> </w:t>
      </w:r>
      <w:r w:rsidR="00BB76AC" w:rsidRPr="00511971">
        <w:rPr>
          <w:b/>
          <w:color w:val="000000" w:themeColor="text1"/>
        </w:rPr>
        <w:t>–</w:t>
      </w:r>
      <w:r w:rsidR="00BB76AC" w:rsidRPr="009437EE">
        <w:rPr>
          <w:b/>
          <w:bCs/>
        </w:rPr>
        <w:t xml:space="preserve"> </w:t>
      </w:r>
      <w:r w:rsidR="00BB76AC">
        <w:rPr>
          <w:b/>
          <w:bCs/>
        </w:rPr>
        <w:t xml:space="preserve">Normas </w:t>
      </w:r>
      <w:r w:rsidR="00BB76AC" w:rsidRPr="00511971">
        <w:rPr>
          <w:b/>
          <w:color w:val="000000" w:themeColor="text1"/>
        </w:rPr>
        <w:t>–</w:t>
      </w:r>
      <w:r w:rsidR="00BB76AC" w:rsidRPr="009437EE">
        <w:rPr>
          <w:b/>
          <w:bCs/>
        </w:rPr>
        <w:t xml:space="preserve"> </w:t>
      </w:r>
      <w:r w:rsidR="00BB76AC">
        <w:rPr>
          <w:b/>
          <w:bCs/>
        </w:rPr>
        <w:t xml:space="preserve"> Pr</w:t>
      </w:r>
      <w:r w:rsidR="005C6677" w:rsidRPr="009437EE">
        <w:rPr>
          <w:b/>
          <w:bCs/>
        </w:rPr>
        <w:t>i</w:t>
      </w:r>
      <w:r>
        <w:rPr>
          <w:b/>
          <w:bCs/>
        </w:rPr>
        <w:t xml:space="preserve">ncipios </w:t>
      </w:r>
      <w:r w:rsidR="00BB76AC" w:rsidRPr="00511971">
        <w:rPr>
          <w:b/>
          <w:color w:val="000000" w:themeColor="text1"/>
        </w:rPr>
        <w:t>–</w:t>
      </w:r>
      <w:r w:rsidR="00BB76AC" w:rsidRPr="009437EE">
        <w:rPr>
          <w:b/>
          <w:bCs/>
        </w:rPr>
        <w:t xml:space="preserve"> </w:t>
      </w:r>
      <w:r w:rsidR="00BB76AC">
        <w:rPr>
          <w:b/>
          <w:bCs/>
        </w:rPr>
        <w:t>D</w:t>
      </w:r>
      <w:r>
        <w:rPr>
          <w:b/>
          <w:bCs/>
        </w:rPr>
        <w:t xml:space="preserve">erecho administrativo </w:t>
      </w:r>
      <w:r w:rsidRPr="00511971">
        <w:rPr>
          <w:b/>
          <w:color w:val="000000" w:themeColor="text1"/>
        </w:rPr>
        <w:t>–</w:t>
      </w:r>
      <w:r w:rsidR="005C6677" w:rsidRPr="009437EE">
        <w:rPr>
          <w:b/>
          <w:bCs/>
        </w:rPr>
        <w:t xml:space="preserve"> Manual de contratación </w:t>
      </w:r>
    </w:p>
    <w:p w14:paraId="5530B0A7" w14:textId="77777777" w:rsidR="00DB7914" w:rsidRPr="009437EE" w:rsidRDefault="00DB7914" w:rsidP="009437EE">
      <w:pPr>
        <w:pStyle w:val="Textoindependiente"/>
        <w:ind w:left="284" w:right="46"/>
        <w:jc w:val="both"/>
        <w:rPr>
          <w:sz w:val="20"/>
          <w:szCs w:val="20"/>
        </w:rPr>
      </w:pPr>
    </w:p>
    <w:p w14:paraId="47F5EC61" w14:textId="77777777" w:rsidR="00A14291" w:rsidRPr="009437EE" w:rsidRDefault="00410293" w:rsidP="009437EE">
      <w:pPr>
        <w:pStyle w:val="Textoindependiente"/>
        <w:ind w:left="284" w:right="46"/>
        <w:jc w:val="both"/>
        <w:rPr>
          <w:sz w:val="20"/>
          <w:szCs w:val="20"/>
        </w:rPr>
      </w:pPr>
      <w:r w:rsidRPr="009437EE">
        <w:rPr>
          <w:sz w:val="20"/>
          <w:szCs w:val="20"/>
        </w:rPr>
        <w:t>De lo anterior se colige, entonces, que en la actualidad los contratos celebrados por los fondos mixtos para la promoción de la cultura y las artes, en cumplimiento de su objeto,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w:t>
      </w:r>
      <w:r w:rsidRPr="009437EE">
        <w:rPr>
          <w:spacing w:val="-2"/>
          <w:sz w:val="20"/>
          <w:szCs w:val="20"/>
        </w:rPr>
        <w:t xml:space="preserve"> </w:t>
      </w:r>
      <w:r w:rsidRPr="009437EE">
        <w:rPr>
          <w:sz w:val="20"/>
          <w:szCs w:val="20"/>
        </w:rPr>
        <w:t>aplicable.</w:t>
      </w:r>
      <w:r w:rsidR="005C6677" w:rsidRPr="009437EE">
        <w:rPr>
          <w:sz w:val="20"/>
          <w:szCs w:val="20"/>
        </w:rPr>
        <w:t xml:space="preserve"> </w:t>
      </w:r>
      <w:r w:rsidRPr="009437EE">
        <w:rPr>
          <w:sz w:val="20"/>
          <w:szCs w:val="20"/>
        </w:rPr>
        <w:t>Resulta útil acudir a sus estatutos o los reglamentos internos o manuales de contratación, pues éstos comportan el instrumento idóneo para edificar la simbiosis existente entre las normas de derecho privado y público que gobiernan la contratación, y una vez proferido, adquiere un carácter vinculante</w:t>
      </w:r>
      <w:r w:rsidRPr="009437EE">
        <w:rPr>
          <w:position w:val="8"/>
          <w:sz w:val="20"/>
          <w:szCs w:val="20"/>
        </w:rPr>
        <w:t xml:space="preserve"> </w:t>
      </w:r>
      <w:r w:rsidRPr="009437EE">
        <w:rPr>
          <w:sz w:val="20"/>
          <w:szCs w:val="20"/>
        </w:rPr>
        <w:t xml:space="preserve">y permite la aplicación práctica de los principios aludidos en el artículo 13 de la Ley 1150 de 2007. </w:t>
      </w:r>
    </w:p>
    <w:p w14:paraId="407A2CCA" w14:textId="77777777" w:rsidR="00A14291" w:rsidRPr="009437EE" w:rsidRDefault="00A14291" w:rsidP="009437EE">
      <w:pPr>
        <w:pStyle w:val="Textoindependiente"/>
        <w:ind w:left="284" w:right="46"/>
        <w:jc w:val="both"/>
        <w:rPr>
          <w:sz w:val="20"/>
          <w:szCs w:val="20"/>
        </w:rPr>
      </w:pPr>
    </w:p>
    <w:p w14:paraId="2A151C46" w14:textId="52CD6E3E" w:rsidR="00A14291" w:rsidRPr="009437EE" w:rsidRDefault="005E2BCE" w:rsidP="009437EE">
      <w:pPr>
        <w:pStyle w:val="Textoindependiente"/>
        <w:ind w:left="284" w:right="46"/>
        <w:jc w:val="both"/>
        <w:rPr>
          <w:b/>
          <w:bCs/>
        </w:rPr>
      </w:pPr>
      <w:r w:rsidRPr="5C80E907">
        <w:rPr>
          <w:b/>
          <w:bCs/>
        </w:rPr>
        <w:t>MANUAL DE CONTRATAC</w:t>
      </w:r>
      <w:r w:rsidR="000D4E76">
        <w:rPr>
          <w:b/>
          <w:bCs/>
        </w:rPr>
        <w:t>I</w:t>
      </w:r>
      <w:r w:rsidRPr="5C80E907">
        <w:rPr>
          <w:b/>
          <w:bCs/>
        </w:rPr>
        <w:t xml:space="preserve">ÓN </w:t>
      </w:r>
      <w:r w:rsidRPr="5C80E907">
        <w:rPr>
          <w:b/>
          <w:bCs/>
          <w:color w:val="000000" w:themeColor="text1"/>
        </w:rPr>
        <w:t>–</w:t>
      </w:r>
      <w:r w:rsidR="00A14291" w:rsidRPr="5C80E907">
        <w:rPr>
          <w:b/>
          <w:bCs/>
        </w:rPr>
        <w:t xml:space="preserve"> Entidades</w:t>
      </w:r>
      <w:r w:rsidR="00BB76AC">
        <w:rPr>
          <w:b/>
          <w:bCs/>
        </w:rPr>
        <w:t xml:space="preserve"> con</w:t>
      </w:r>
      <w:r w:rsidR="00A14291" w:rsidRPr="5C80E907">
        <w:rPr>
          <w:b/>
          <w:bCs/>
        </w:rPr>
        <w:t xml:space="preserve"> </w:t>
      </w:r>
      <w:r w:rsidR="00271327" w:rsidRPr="5C80E907">
        <w:rPr>
          <w:b/>
          <w:bCs/>
        </w:rPr>
        <w:t>r</w:t>
      </w:r>
      <w:r w:rsidR="00A14291" w:rsidRPr="5C80E907">
        <w:rPr>
          <w:b/>
          <w:bCs/>
        </w:rPr>
        <w:t xml:space="preserve">égimen especial </w:t>
      </w:r>
      <w:r w:rsidRPr="5C80E907">
        <w:rPr>
          <w:b/>
          <w:bCs/>
          <w:color w:val="000000" w:themeColor="text1"/>
        </w:rPr>
        <w:t>–</w:t>
      </w:r>
      <w:r w:rsidR="00A06E49" w:rsidRPr="5C80E907">
        <w:rPr>
          <w:b/>
          <w:bCs/>
        </w:rPr>
        <w:t xml:space="preserve"> </w:t>
      </w:r>
      <w:r w:rsidR="00E76041" w:rsidRPr="5C80E907">
        <w:rPr>
          <w:b/>
          <w:bCs/>
        </w:rPr>
        <w:t>P</w:t>
      </w:r>
      <w:r w:rsidR="00A06E49" w:rsidRPr="5C80E907">
        <w:rPr>
          <w:b/>
          <w:bCs/>
        </w:rPr>
        <w:t>rocedi</w:t>
      </w:r>
      <w:r w:rsidRPr="5C80E907">
        <w:rPr>
          <w:b/>
          <w:bCs/>
        </w:rPr>
        <w:t>miento</w:t>
      </w:r>
      <w:r w:rsidR="2E8F5540" w:rsidRPr="5C80E907">
        <w:rPr>
          <w:b/>
          <w:bCs/>
        </w:rPr>
        <w:t xml:space="preserve"> </w:t>
      </w:r>
      <w:r w:rsidR="2E8F5540" w:rsidRPr="5C80E907">
        <w:rPr>
          <w:b/>
          <w:bCs/>
          <w:color w:val="000000" w:themeColor="text1"/>
        </w:rPr>
        <w:t>–</w:t>
      </w:r>
      <w:r w:rsidR="3EA68CEA" w:rsidRPr="5C80E907">
        <w:rPr>
          <w:b/>
          <w:bCs/>
        </w:rPr>
        <w:t>S</w:t>
      </w:r>
      <w:r w:rsidRPr="5C80E907">
        <w:rPr>
          <w:b/>
          <w:bCs/>
        </w:rPr>
        <w:t xml:space="preserve">elección </w:t>
      </w:r>
      <w:r w:rsidR="00BB76AC">
        <w:rPr>
          <w:b/>
          <w:bCs/>
        </w:rPr>
        <w:t xml:space="preserve">de </w:t>
      </w:r>
      <w:bookmarkStart w:id="0" w:name="_GoBack"/>
      <w:bookmarkEnd w:id="0"/>
      <w:r w:rsidRPr="5C80E907">
        <w:rPr>
          <w:b/>
          <w:bCs/>
        </w:rPr>
        <w:t xml:space="preserve">contratistas </w:t>
      </w:r>
      <w:r w:rsidRPr="5C80E907">
        <w:rPr>
          <w:b/>
          <w:bCs/>
          <w:color w:val="000000" w:themeColor="text1"/>
        </w:rPr>
        <w:t>–</w:t>
      </w:r>
      <w:r w:rsidRPr="5C80E907">
        <w:rPr>
          <w:b/>
          <w:bCs/>
        </w:rPr>
        <w:t xml:space="preserve"> Inclusión plazos </w:t>
      </w:r>
      <w:r w:rsidRPr="5C80E907">
        <w:rPr>
          <w:b/>
          <w:bCs/>
          <w:color w:val="000000" w:themeColor="text1"/>
        </w:rPr>
        <w:t>–</w:t>
      </w:r>
      <w:r w:rsidR="00A06E49" w:rsidRPr="5C80E907">
        <w:rPr>
          <w:b/>
          <w:bCs/>
        </w:rPr>
        <w:t xml:space="preserve"> Inclusión criterios evaluación </w:t>
      </w:r>
      <w:r w:rsidRPr="5C80E907">
        <w:rPr>
          <w:b/>
          <w:bCs/>
          <w:color w:val="000000" w:themeColor="text1"/>
        </w:rPr>
        <w:t>–</w:t>
      </w:r>
      <w:r w:rsidR="00A06E49" w:rsidRPr="5C80E907">
        <w:rPr>
          <w:b/>
          <w:bCs/>
        </w:rPr>
        <w:t xml:space="preserve"> Inclusión</w:t>
      </w:r>
      <w:r w:rsidR="5FE34CEA" w:rsidRPr="5C80E907">
        <w:rPr>
          <w:b/>
          <w:bCs/>
        </w:rPr>
        <w:t xml:space="preserve"> </w:t>
      </w:r>
      <w:r w:rsidR="5FE34CEA" w:rsidRPr="5C80E907">
        <w:rPr>
          <w:b/>
          <w:bCs/>
          <w:color w:val="000000" w:themeColor="text1"/>
        </w:rPr>
        <w:t>–</w:t>
      </w:r>
      <w:r w:rsidR="00A06E49" w:rsidRPr="5C80E907">
        <w:rPr>
          <w:b/>
          <w:bCs/>
        </w:rPr>
        <w:t xml:space="preserve"> </w:t>
      </w:r>
      <w:r w:rsidR="283FCA71" w:rsidRPr="5C80E907">
        <w:rPr>
          <w:b/>
          <w:bCs/>
        </w:rPr>
        <w:t>C</w:t>
      </w:r>
      <w:r w:rsidR="00A06E49" w:rsidRPr="5C80E907">
        <w:rPr>
          <w:b/>
          <w:bCs/>
        </w:rPr>
        <w:t xml:space="preserve">riterios desempate </w:t>
      </w:r>
    </w:p>
    <w:p w14:paraId="06EA6992" w14:textId="77777777" w:rsidR="00A14291" w:rsidRPr="009437EE" w:rsidRDefault="00A14291" w:rsidP="009437EE">
      <w:pPr>
        <w:pStyle w:val="Textoindependiente"/>
        <w:ind w:left="284" w:right="46"/>
        <w:jc w:val="both"/>
        <w:rPr>
          <w:sz w:val="20"/>
          <w:szCs w:val="20"/>
        </w:rPr>
      </w:pPr>
    </w:p>
    <w:p w14:paraId="69E0CC18" w14:textId="77777777" w:rsidR="00410293" w:rsidRPr="009437EE" w:rsidRDefault="00410293" w:rsidP="009437EE">
      <w:pPr>
        <w:pStyle w:val="Textoindependiente"/>
        <w:ind w:left="284" w:right="46"/>
        <w:jc w:val="both"/>
        <w:rPr>
          <w:sz w:val="20"/>
          <w:szCs w:val="20"/>
        </w:rPr>
      </w:pPr>
      <w:r w:rsidRPr="009437EE">
        <w:rPr>
          <w:sz w:val="20"/>
          <w:szCs w:val="20"/>
        </w:rPr>
        <w:t>En consonancia, Colombia Compra Eficiente recomienda que las entidades estatales sometidas a regímenes especiales de contratación incluyan en sus manuales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w:t>
      </w:r>
      <w:r w:rsidRPr="009437EE">
        <w:rPr>
          <w:spacing w:val="6"/>
          <w:sz w:val="20"/>
          <w:szCs w:val="20"/>
        </w:rPr>
        <w:t xml:space="preserve"> </w:t>
      </w:r>
      <w:r w:rsidRPr="009437EE">
        <w:rPr>
          <w:sz w:val="20"/>
          <w:szCs w:val="20"/>
        </w:rPr>
        <w:t>del sistema de compras y contratación pública en todas las etapas del Proceso de Contratación, con base en su autonomía”.</w:t>
      </w:r>
    </w:p>
    <w:p w14:paraId="7002AE8D" w14:textId="77777777" w:rsidR="00CD36C6" w:rsidRPr="009437EE" w:rsidRDefault="00CD36C6" w:rsidP="009437EE">
      <w:pPr>
        <w:pStyle w:val="Textoindependiente"/>
        <w:jc w:val="both"/>
        <w:rPr>
          <w:rFonts w:ascii="Times New Roman"/>
          <w:sz w:val="20"/>
          <w:szCs w:val="20"/>
        </w:rPr>
      </w:pPr>
    </w:p>
    <w:p w14:paraId="31EF3E66" w14:textId="77777777" w:rsidR="00544C22" w:rsidRPr="009437EE" w:rsidRDefault="00544C22">
      <w:pPr>
        <w:pStyle w:val="Textoindependiente"/>
        <w:spacing w:before="2"/>
        <w:rPr>
          <w:rFonts w:ascii="Times New Roman"/>
          <w:sz w:val="25"/>
        </w:rPr>
      </w:pPr>
    </w:p>
    <w:p w14:paraId="4239AD8A" w14:textId="77777777" w:rsidR="00CD36C6" w:rsidRPr="009437EE" w:rsidRDefault="00F33A8C">
      <w:pPr>
        <w:spacing w:before="93"/>
        <w:ind w:left="220"/>
        <w:rPr>
          <w:b/>
        </w:rPr>
      </w:pPr>
      <w:r w:rsidRPr="009437EE">
        <w:t xml:space="preserve">Bogotá D.C., </w:t>
      </w:r>
      <w:r w:rsidRPr="009437EE">
        <w:rPr>
          <w:b/>
        </w:rPr>
        <w:t>26/12/2019 Hora 9:19:5s</w:t>
      </w:r>
    </w:p>
    <w:p w14:paraId="39C362D9" w14:textId="77777777" w:rsidR="00CD36C6" w:rsidRPr="009437EE" w:rsidRDefault="00F33A8C">
      <w:pPr>
        <w:spacing w:before="40"/>
        <w:ind w:left="5759"/>
        <w:rPr>
          <w:b/>
        </w:rPr>
      </w:pPr>
      <w:r w:rsidRPr="009437EE">
        <w:rPr>
          <w:b/>
        </w:rPr>
        <w:t>N° Radicado: 2201913000009608</w:t>
      </w:r>
    </w:p>
    <w:p w14:paraId="17B3DEE6" w14:textId="77777777" w:rsidR="00CD36C6" w:rsidRPr="009437EE" w:rsidRDefault="00CD36C6">
      <w:pPr>
        <w:pStyle w:val="Textoindependiente"/>
        <w:spacing w:before="4"/>
        <w:rPr>
          <w:b/>
          <w:sz w:val="20"/>
        </w:rPr>
      </w:pPr>
    </w:p>
    <w:p w14:paraId="6A7ADCA4" w14:textId="77777777" w:rsidR="00CD36C6" w:rsidRPr="009437EE" w:rsidRDefault="00F33A8C">
      <w:pPr>
        <w:pStyle w:val="Textoindependiente"/>
        <w:spacing w:before="93"/>
        <w:ind w:left="220"/>
      </w:pPr>
      <w:r w:rsidRPr="009437EE">
        <w:t>Señora</w:t>
      </w:r>
    </w:p>
    <w:p w14:paraId="066F7D89" w14:textId="77777777" w:rsidR="00CD36C6" w:rsidRPr="009437EE" w:rsidRDefault="00F33A8C">
      <w:pPr>
        <w:pStyle w:val="Ttulo1"/>
        <w:spacing w:before="2" w:line="253" w:lineRule="exact"/>
      </w:pPr>
      <w:r w:rsidRPr="009437EE">
        <w:t>Laura Marcela Álzate Pineda</w:t>
      </w:r>
    </w:p>
    <w:p w14:paraId="7E2FB134" w14:textId="77777777" w:rsidR="00CD36C6" w:rsidRPr="009437EE" w:rsidRDefault="00F33A8C">
      <w:pPr>
        <w:pStyle w:val="Textoindependiente"/>
        <w:spacing w:line="253" w:lineRule="exact"/>
        <w:ind w:left="220"/>
      </w:pPr>
      <w:r w:rsidRPr="009437EE">
        <w:t>Ciudad</w:t>
      </w:r>
    </w:p>
    <w:p w14:paraId="06AE2030" w14:textId="77777777" w:rsidR="00CD36C6" w:rsidRPr="009437EE" w:rsidRDefault="00CD36C6">
      <w:pPr>
        <w:pStyle w:val="Textoindependiente"/>
        <w:spacing w:before="2"/>
        <w:rPr>
          <w:sz w:val="25"/>
        </w:rPr>
      </w:pPr>
    </w:p>
    <w:p w14:paraId="6115947F" w14:textId="77777777" w:rsidR="00CD36C6" w:rsidRPr="009437EE" w:rsidRDefault="00F33A8C">
      <w:pPr>
        <w:pStyle w:val="Textoindependiente"/>
        <w:tabs>
          <w:tab w:val="left" w:pos="3760"/>
        </w:tabs>
        <w:spacing w:line="278" w:lineRule="auto"/>
        <w:ind w:left="3761" w:right="121" w:hanging="3541"/>
      </w:pPr>
      <w:r w:rsidRPr="009437EE">
        <w:rPr>
          <w:b/>
        </w:rPr>
        <w:t>Radicación:</w:t>
      </w:r>
      <w:r w:rsidRPr="009437EE">
        <w:rPr>
          <w:b/>
        </w:rPr>
        <w:tab/>
      </w:r>
      <w:r w:rsidRPr="009437EE">
        <w:t>Respuesta a las consultas Nos. 4201912000007709 y 4201913000007595</w:t>
      </w:r>
    </w:p>
    <w:p w14:paraId="13EEBBC8" w14:textId="77777777" w:rsidR="00CD36C6" w:rsidRPr="009437EE" w:rsidRDefault="00F33A8C">
      <w:pPr>
        <w:tabs>
          <w:tab w:val="left" w:pos="3765"/>
        </w:tabs>
        <w:spacing w:line="249" w:lineRule="exact"/>
        <w:ind w:left="220"/>
      </w:pPr>
      <w:r w:rsidRPr="009437EE">
        <w:rPr>
          <w:b/>
        </w:rPr>
        <w:t>Temas:</w:t>
      </w:r>
      <w:r w:rsidRPr="009437EE">
        <w:rPr>
          <w:b/>
        </w:rPr>
        <w:tab/>
      </w:r>
      <w:r w:rsidRPr="009437EE">
        <w:t>Fondos mixtos de</w:t>
      </w:r>
      <w:r w:rsidRPr="009437EE">
        <w:rPr>
          <w:spacing w:val="-4"/>
        </w:rPr>
        <w:t xml:space="preserve"> </w:t>
      </w:r>
      <w:r w:rsidRPr="009437EE">
        <w:t>cultura</w:t>
      </w:r>
    </w:p>
    <w:p w14:paraId="48A6B3DC" w14:textId="77777777" w:rsidR="00CD36C6" w:rsidRPr="009437EE" w:rsidRDefault="00F33A8C">
      <w:pPr>
        <w:tabs>
          <w:tab w:val="left" w:pos="3765"/>
        </w:tabs>
        <w:spacing w:before="40" w:line="549" w:lineRule="auto"/>
        <w:ind w:left="220" w:right="3476"/>
        <w:jc w:val="both"/>
      </w:pPr>
      <w:r w:rsidRPr="009437EE">
        <w:rPr>
          <w:b/>
        </w:rPr>
        <w:t>Tipo de</w:t>
      </w:r>
      <w:r w:rsidRPr="009437EE">
        <w:rPr>
          <w:b/>
          <w:spacing w:val="-4"/>
        </w:rPr>
        <w:t xml:space="preserve"> </w:t>
      </w:r>
      <w:r w:rsidRPr="009437EE">
        <w:rPr>
          <w:b/>
        </w:rPr>
        <w:t>asunto</w:t>
      </w:r>
      <w:r w:rsidRPr="009437EE">
        <w:rPr>
          <w:b/>
          <w:spacing w:val="-2"/>
        </w:rPr>
        <w:t xml:space="preserve"> </w:t>
      </w:r>
      <w:r w:rsidRPr="009437EE">
        <w:rPr>
          <w:b/>
        </w:rPr>
        <w:t>consultado:</w:t>
      </w:r>
      <w:r w:rsidRPr="009437EE">
        <w:rPr>
          <w:b/>
        </w:rPr>
        <w:tab/>
      </w:r>
      <w:r w:rsidRPr="009437EE">
        <w:t>Régimen</w:t>
      </w:r>
      <w:r w:rsidRPr="009437EE">
        <w:rPr>
          <w:spacing w:val="-10"/>
        </w:rPr>
        <w:t xml:space="preserve"> </w:t>
      </w:r>
      <w:r w:rsidRPr="009437EE">
        <w:t>contractual Cordial</w:t>
      </w:r>
      <w:r w:rsidRPr="009437EE">
        <w:rPr>
          <w:spacing w:val="-1"/>
        </w:rPr>
        <w:t xml:space="preserve"> </w:t>
      </w:r>
      <w:r w:rsidRPr="009437EE">
        <w:t>saludo,</w:t>
      </w:r>
    </w:p>
    <w:p w14:paraId="3E4ECE59" w14:textId="77777777" w:rsidR="00CD36C6" w:rsidRPr="009437EE" w:rsidRDefault="00F33A8C">
      <w:pPr>
        <w:pStyle w:val="Textoindependiente"/>
        <w:spacing w:before="3" w:line="276" w:lineRule="auto"/>
        <w:ind w:left="220" w:right="103"/>
        <w:jc w:val="both"/>
      </w:pPr>
      <w:r w:rsidRPr="009437EE">
        <w:t xml:space="preserve">Los días 7 y 14 de noviembre de 2019, la Agencia Nacional de Contratación Pública – Colombia Compra Eficiente, previa remisión por competencia hecha por la Contraloría General de la República, recibió la presente consulta, presentada ante dicha entidad el 31 de octubre de 2019. Esta entidad procede a dar respuesta a la consulta, en ejercicio de la competencia otorgada por el numeral 5 del artículo 3 y el numeral 8 del artículo 11 del </w:t>
      </w:r>
      <w:r w:rsidRPr="009437EE">
        <w:lastRenderedPageBreak/>
        <w:t>Decreto 4170 de 2011, en los siguientes términos:</w:t>
      </w:r>
    </w:p>
    <w:p w14:paraId="704EF47C" w14:textId="77777777" w:rsidR="00CD36C6" w:rsidRPr="009437EE" w:rsidRDefault="00CD36C6">
      <w:pPr>
        <w:pStyle w:val="Textoindependiente"/>
        <w:spacing w:before="5"/>
        <w:rPr>
          <w:sz w:val="25"/>
        </w:rPr>
      </w:pPr>
    </w:p>
    <w:p w14:paraId="2006362E" w14:textId="77777777" w:rsidR="00CD36C6" w:rsidRPr="009437EE" w:rsidRDefault="00F33A8C">
      <w:pPr>
        <w:pStyle w:val="Ttulo1"/>
        <w:numPr>
          <w:ilvl w:val="0"/>
          <w:numId w:val="1"/>
        </w:numPr>
        <w:tabs>
          <w:tab w:val="left" w:pos="581"/>
        </w:tabs>
        <w:spacing w:before="1"/>
        <w:ind w:hanging="361"/>
      </w:pPr>
      <w:r w:rsidRPr="009437EE">
        <w:t>Problema</w:t>
      </w:r>
      <w:r w:rsidRPr="009437EE">
        <w:rPr>
          <w:spacing w:val="-2"/>
        </w:rPr>
        <w:t xml:space="preserve"> </w:t>
      </w:r>
      <w:r w:rsidRPr="009437EE">
        <w:t>planteado</w:t>
      </w:r>
    </w:p>
    <w:p w14:paraId="29594360" w14:textId="77777777" w:rsidR="00CD36C6" w:rsidRPr="009437EE" w:rsidRDefault="00CD36C6">
      <w:pPr>
        <w:pStyle w:val="Textoindependiente"/>
        <w:spacing w:before="4"/>
        <w:rPr>
          <w:b/>
          <w:sz w:val="28"/>
        </w:rPr>
      </w:pPr>
    </w:p>
    <w:p w14:paraId="607A8A59" w14:textId="77777777" w:rsidR="00CD36C6" w:rsidRPr="009437EE" w:rsidRDefault="00F33A8C">
      <w:pPr>
        <w:pStyle w:val="Textoindependiente"/>
        <w:spacing w:before="1" w:line="276" w:lineRule="auto"/>
        <w:ind w:left="220" w:right="113"/>
        <w:jc w:val="both"/>
      </w:pPr>
      <w:r w:rsidRPr="009437EE">
        <w:t>La solicitante plantea lo siguiente: “¿deben los fondos mixtos en el momento que vayan a contratar para la adquisición de algún bien o servicio, adelantar un proceso de selección, tal como lo estipula el estatuto de contratación</w:t>
      </w:r>
      <w:r w:rsidRPr="009437EE">
        <w:rPr>
          <w:spacing w:val="-8"/>
        </w:rPr>
        <w:t xml:space="preserve"> </w:t>
      </w:r>
      <w:r w:rsidRPr="009437EE">
        <w:t>estatal?”.</w:t>
      </w:r>
    </w:p>
    <w:p w14:paraId="581A5551" w14:textId="77777777" w:rsidR="00CD36C6" w:rsidRPr="009437EE" w:rsidRDefault="00CD36C6">
      <w:pPr>
        <w:pStyle w:val="Textoindependiente"/>
        <w:spacing w:before="4"/>
        <w:rPr>
          <w:sz w:val="25"/>
        </w:rPr>
      </w:pPr>
    </w:p>
    <w:p w14:paraId="0547EE3A" w14:textId="77777777" w:rsidR="00CD36C6" w:rsidRPr="009437EE" w:rsidRDefault="00F33A8C">
      <w:pPr>
        <w:pStyle w:val="Ttulo1"/>
        <w:numPr>
          <w:ilvl w:val="0"/>
          <w:numId w:val="1"/>
        </w:numPr>
        <w:tabs>
          <w:tab w:val="left" w:pos="581"/>
        </w:tabs>
        <w:ind w:hanging="361"/>
      </w:pPr>
      <w:r w:rsidRPr="009437EE">
        <w:t>Consideraciones</w:t>
      </w:r>
    </w:p>
    <w:p w14:paraId="338AECD4" w14:textId="77777777" w:rsidR="00CD36C6" w:rsidRPr="009437EE" w:rsidRDefault="00CD36C6">
      <w:pPr>
        <w:pStyle w:val="Textoindependiente"/>
        <w:spacing w:before="8"/>
        <w:rPr>
          <w:b/>
          <w:sz w:val="28"/>
        </w:rPr>
      </w:pPr>
    </w:p>
    <w:p w14:paraId="73AC5EF9" w14:textId="77777777" w:rsidR="00CD36C6" w:rsidRPr="009437EE" w:rsidRDefault="00F33A8C">
      <w:pPr>
        <w:pStyle w:val="Textoindependiente"/>
        <w:ind w:left="220"/>
      </w:pPr>
      <w:r w:rsidRPr="009437EE">
        <w:t>Para responder las preguntas formuladas, se harán unas consideraciones en relación</w:t>
      </w:r>
      <w:r w:rsidRPr="009437EE">
        <w:rPr>
          <w:spacing w:val="52"/>
        </w:rPr>
        <w:t xml:space="preserve"> </w:t>
      </w:r>
      <w:r w:rsidRPr="009437EE">
        <w:t>con:</w:t>
      </w:r>
    </w:p>
    <w:p w14:paraId="36C46E1E" w14:textId="77777777" w:rsidR="00CD36C6" w:rsidRPr="009437EE" w:rsidRDefault="00F33A8C">
      <w:pPr>
        <w:pStyle w:val="Textoindependiente"/>
        <w:spacing w:before="37" w:line="276" w:lineRule="auto"/>
        <w:ind w:left="220"/>
      </w:pPr>
      <w:r w:rsidRPr="009437EE">
        <w:t>i) los fondos mixtos de promoción de la cultura y de las artes y ii) la aplicación del Estatuto General de Contratación de la Administración Pública.</w:t>
      </w:r>
    </w:p>
    <w:p w14:paraId="28C151E3" w14:textId="77777777" w:rsidR="00CD36C6" w:rsidRPr="009437EE" w:rsidRDefault="00CD36C6">
      <w:pPr>
        <w:pStyle w:val="Textoindependiente"/>
        <w:spacing w:before="11"/>
        <w:rPr>
          <w:sz w:val="21"/>
        </w:rPr>
      </w:pPr>
    </w:p>
    <w:p w14:paraId="1B6F34E7" w14:textId="77777777" w:rsidR="00CD36C6" w:rsidRPr="009437EE" w:rsidRDefault="00F33A8C" w:rsidP="00734424">
      <w:pPr>
        <w:pStyle w:val="Ttulo1"/>
        <w:numPr>
          <w:ilvl w:val="1"/>
          <w:numId w:val="1"/>
        </w:numPr>
        <w:tabs>
          <w:tab w:val="left" w:pos="787"/>
          <w:tab w:val="left" w:pos="788"/>
        </w:tabs>
        <w:spacing w:before="93"/>
        <w:jc w:val="both"/>
      </w:pPr>
      <w:r w:rsidRPr="009437EE">
        <w:t>Los fondos mixtos de promoción de la cultura y de las</w:t>
      </w:r>
      <w:r w:rsidRPr="009437EE">
        <w:rPr>
          <w:spacing w:val="-15"/>
        </w:rPr>
        <w:t xml:space="preserve"> </w:t>
      </w:r>
      <w:r w:rsidRPr="009437EE">
        <w:t>artes</w:t>
      </w:r>
    </w:p>
    <w:p w14:paraId="144D47AE" w14:textId="77777777" w:rsidR="00CD36C6" w:rsidRPr="009437EE" w:rsidRDefault="00CD36C6">
      <w:pPr>
        <w:pStyle w:val="Textoindependiente"/>
        <w:spacing w:before="7"/>
        <w:rPr>
          <w:b/>
          <w:sz w:val="28"/>
        </w:rPr>
      </w:pPr>
    </w:p>
    <w:p w14:paraId="73C395CE" w14:textId="77777777" w:rsidR="00CD36C6" w:rsidRPr="009437EE" w:rsidRDefault="00F33A8C">
      <w:pPr>
        <w:pStyle w:val="Textoindependiente"/>
        <w:spacing w:line="276" w:lineRule="auto"/>
        <w:ind w:left="220" w:right="104"/>
        <w:jc w:val="both"/>
      </w:pPr>
      <w:r w:rsidRPr="009437EE">
        <w:t>En desarrollo de los artículos 70, 71 y 72 de la Constitución Política, relativos al deber del Estado de promover, fomentar y proteger la cultura, el arte, la ciencia, la tecnología y el patrimonio cultural de la Nación; el legislador expidió la Ley 397 de 1997 por la cual se dictaron normas sobre patrimonio cultural, sobre fomentos y estímulos a la cultura y sobre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w:t>
      </w:r>
      <w:r w:rsidRPr="009437EE">
        <w:rPr>
          <w:spacing w:val="-6"/>
        </w:rPr>
        <w:t xml:space="preserve"> </w:t>
      </w:r>
      <w:r w:rsidRPr="009437EE">
        <w:t>autonomía</w:t>
      </w:r>
      <w:r w:rsidR="007E6BF3" w:rsidRPr="009437EE">
        <w:rPr>
          <w:rStyle w:val="Refdenotaalpie"/>
        </w:rPr>
        <w:footnoteReference w:id="1"/>
      </w:r>
      <w:r w:rsidRPr="009437EE">
        <w:t>.</w:t>
      </w:r>
    </w:p>
    <w:p w14:paraId="6C48AF0F" w14:textId="77777777" w:rsidR="00CD36C6" w:rsidRPr="009437EE" w:rsidRDefault="00CD36C6">
      <w:pPr>
        <w:pStyle w:val="Textoindependiente"/>
        <w:spacing w:before="8"/>
        <w:rPr>
          <w:sz w:val="24"/>
        </w:rPr>
      </w:pPr>
    </w:p>
    <w:p w14:paraId="3B70BE92" w14:textId="77777777" w:rsidR="00CD36C6" w:rsidRPr="009437EE" w:rsidRDefault="00F33A8C">
      <w:pPr>
        <w:pStyle w:val="Textoindependiente"/>
        <w:spacing w:before="1" w:line="276" w:lineRule="auto"/>
        <w:ind w:left="220" w:right="109"/>
        <w:jc w:val="both"/>
      </w:pPr>
      <w:r w:rsidRPr="009437EE">
        <w:t>Este sistema está conformado por el Ministerio de Cultura, los consejos municipales, distritales y departamentales de cultura, los fondos mixtos de promoción de la cultura y el de las artes y, en general, por las entidades públicas y privadas que desarrollen, financien, fomente o ejecuten actividades culturales.</w:t>
      </w:r>
    </w:p>
    <w:p w14:paraId="6F4BC512" w14:textId="77777777" w:rsidR="00CD36C6" w:rsidRPr="009437EE" w:rsidRDefault="00CD36C6">
      <w:pPr>
        <w:pStyle w:val="Textoindependiente"/>
        <w:spacing w:before="3"/>
        <w:rPr>
          <w:sz w:val="25"/>
        </w:rPr>
      </w:pPr>
    </w:p>
    <w:p w14:paraId="48D4422B" w14:textId="77777777" w:rsidR="00CD36C6" w:rsidRPr="009437EE" w:rsidRDefault="00F33A8C">
      <w:pPr>
        <w:pStyle w:val="Textoindependiente"/>
        <w:spacing w:before="1" w:line="276" w:lineRule="auto"/>
        <w:ind w:left="220" w:right="111"/>
        <w:jc w:val="both"/>
      </w:pPr>
      <w:r w:rsidRPr="009437EE">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p>
    <w:p w14:paraId="11FB4490" w14:textId="77777777" w:rsidR="00CD36C6" w:rsidRPr="009437EE" w:rsidRDefault="00CD36C6">
      <w:pPr>
        <w:pStyle w:val="Textoindependiente"/>
        <w:spacing w:before="4"/>
        <w:rPr>
          <w:sz w:val="25"/>
        </w:rPr>
      </w:pPr>
    </w:p>
    <w:p w14:paraId="6F821317" w14:textId="77777777" w:rsidR="00CD36C6" w:rsidRPr="009437EE" w:rsidRDefault="00F33A8C">
      <w:pPr>
        <w:pStyle w:val="Textoindependiente"/>
        <w:spacing w:line="276" w:lineRule="auto"/>
        <w:ind w:left="220" w:right="109"/>
        <w:jc w:val="both"/>
      </w:pPr>
      <w:r w:rsidRPr="009437EE">
        <w:t xml:space="preserve">La norma definió que estos fondos mixtos “son entidades sin ánimo de lucro, dotadas de </w:t>
      </w:r>
      <w:r w:rsidRPr="009437EE">
        <w:lastRenderedPageBreak/>
        <w:t>personería jurídica, constituidas por aportes públicos y privados y regidas en su dirección, administración y contratación por el Derecho Privado, sin perjuicio del control fiscal que ejercen las respectivas contralorías sobre los dineros públicos”.</w:t>
      </w:r>
    </w:p>
    <w:p w14:paraId="6C233DD5" w14:textId="77777777" w:rsidR="00CD36C6" w:rsidRPr="009437EE" w:rsidRDefault="00CD36C6">
      <w:pPr>
        <w:pStyle w:val="Textoindependiente"/>
        <w:spacing w:before="4"/>
        <w:rPr>
          <w:sz w:val="25"/>
        </w:rPr>
      </w:pPr>
    </w:p>
    <w:p w14:paraId="1F08048D" w14:textId="77777777" w:rsidR="00CD36C6" w:rsidRPr="009437EE" w:rsidRDefault="00F33A8C">
      <w:pPr>
        <w:pStyle w:val="Textoindependiente"/>
        <w:spacing w:line="276" w:lineRule="auto"/>
        <w:ind w:left="220" w:right="110"/>
        <w:jc w:val="both"/>
      </w:pPr>
      <w:r w:rsidRPr="009437EE">
        <w:t>El artículo 63 de la Ley 397 de 1997 fue sometido a control de constitucionalidad, y la Corte Constitucional, en la sentencia C-671 de 1999, con ponencia del Magistrado Alfredo Beltrán Sierra, lo declaró exequible por resultar ajustado a la Constitución Política, ya que consideró que el legislador podía crear este tipo fondos, como personas jurídicas con régimen especial, para la ejecución de los gastos e inversiones que requiere la materialización del fomento de actividades culturales coordinadas por el Ministerio de Cultura como jefe superior de la administración en su</w:t>
      </w:r>
      <w:r w:rsidRPr="009437EE">
        <w:rPr>
          <w:spacing w:val="-14"/>
        </w:rPr>
        <w:t xml:space="preserve"> </w:t>
      </w:r>
      <w:r w:rsidRPr="009437EE">
        <w:t>ramo.</w:t>
      </w:r>
    </w:p>
    <w:p w14:paraId="11A3458E" w14:textId="77777777" w:rsidR="007E6BF3" w:rsidRPr="009437EE" w:rsidRDefault="007E6BF3" w:rsidP="007E6BF3">
      <w:pPr>
        <w:pStyle w:val="Textoindependiente"/>
        <w:spacing w:before="96"/>
        <w:ind w:left="220" w:right="110"/>
        <w:jc w:val="both"/>
      </w:pPr>
    </w:p>
    <w:p w14:paraId="3FB01222" w14:textId="77777777" w:rsidR="00CD36C6" w:rsidRPr="009437EE" w:rsidRDefault="00F33A8C">
      <w:pPr>
        <w:pStyle w:val="Textoindependiente"/>
        <w:spacing w:before="96" w:line="276" w:lineRule="auto"/>
        <w:ind w:left="220" w:right="110"/>
        <w:jc w:val="both"/>
      </w:pPr>
      <w:r w:rsidRPr="009437EE">
        <w:t>La Corte Constitucional</w:t>
      </w:r>
      <w:r w:rsidR="007E6BF3" w:rsidRPr="009437EE">
        <w:rPr>
          <w:rStyle w:val="Refdenotaalpie"/>
        </w:rPr>
        <w:footnoteReference w:id="2"/>
      </w:r>
      <w:r w:rsidRPr="009437EE">
        <w:rPr>
          <w:position w:val="8"/>
          <w:sz w:val="14"/>
        </w:rPr>
        <w:t xml:space="preserve"> </w:t>
      </w:r>
      <w:r w:rsidRPr="009437EE">
        <w:t>también los diferenció de los fondos cuenta creados por el legislador como un mecanismo de arbitrio de recursos públicos para el cumplimiento de un fin específico y que son administrados por un ente público bajo el régimen aplicable a este último. Consideró lo siguiente:</w:t>
      </w:r>
    </w:p>
    <w:p w14:paraId="042D5696" w14:textId="77777777" w:rsidR="00CD36C6" w:rsidRPr="009437EE" w:rsidRDefault="00CD36C6">
      <w:pPr>
        <w:pStyle w:val="Textoindependiente"/>
        <w:spacing w:before="3"/>
        <w:rPr>
          <w:sz w:val="25"/>
        </w:rPr>
      </w:pPr>
    </w:p>
    <w:p w14:paraId="5A5F5856" w14:textId="77777777" w:rsidR="00CD36C6" w:rsidRPr="009437EE" w:rsidRDefault="00F33A8C">
      <w:pPr>
        <w:pStyle w:val="Textoindependiente"/>
        <w:ind w:left="930" w:right="531"/>
        <w:jc w:val="both"/>
      </w:pPr>
      <w:r w:rsidRPr="009437EE">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w:t>
      </w:r>
      <w:r w:rsidRPr="009437EE">
        <w:rPr>
          <w:spacing w:val="-3"/>
        </w:rPr>
        <w:t xml:space="preserve"> </w:t>
      </w:r>
      <w:r w:rsidRPr="009437EE">
        <w:t>Cultura.</w:t>
      </w:r>
    </w:p>
    <w:p w14:paraId="16CCBCA7" w14:textId="77777777" w:rsidR="00CD36C6" w:rsidRPr="009437EE" w:rsidRDefault="00CD36C6">
      <w:pPr>
        <w:pStyle w:val="Textoindependiente"/>
        <w:spacing w:before="11"/>
        <w:rPr>
          <w:sz w:val="13"/>
        </w:rPr>
      </w:pPr>
    </w:p>
    <w:p w14:paraId="476E0B3D" w14:textId="77777777" w:rsidR="00CD36C6" w:rsidRPr="009437EE" w:rsidRDefault="00F33A8C">
      <w:pPr>
        <w:pStyle w:val="Textoindependiente"/>
        <w:spacing w:before="93"/>
        <w:ind w:left="930" w:right="528"/>
        <w:jc w:val="both"/>
      </w:pPr>
      <w:r w:rsidRPr="009437EE">
        <w:t>En cambio, el Fondo Mixto Manuel Mejía Vallejo de Promoción de la Cultura y las Artes (i) es una cuenta especial sin personería jurídica; (ii) no puede, por ende, comprenderse como una “entidad”; y (iii)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w:t>
      </w:r>
      <w:r w:rsidRPr="009437EE">
        <w:rPr>
          <w:spacing w:val="-21"/>
        </w:rPr>
        <w:t xml:space="preserve"> </w:t>
      </w:r>
      <w:r w:rsidRPr="009437EE">
        <w:t>jurídica.”</w:t>
      </w:r>
    </w:p>
    <w:p w14:paraId="63B20251" w14:textId="77777777" w:rsidR="00CD36C6" w:rsidRPr="009437EE" w:rsidRDefault="00F33A8C">
      <w:pPr>
        <w:pStyle w:val="Textoindependiente"/>
        <w:spacing w:line="252" w:lineRule="exact"/>
        <w:ind w:left="403"/>
      </w:pPr>
      <w:r w:rsidRPr="009437EE">
        <w:t>.</w:t>
      </w:r>
    </w:p>
    <w:p w14:paraId="3F0FD17D" w14:textId="77777777" w:rsidR="00CD36C6" w:rsidRPr="009437EE" w:rsidRDefault="00F33A8C">
      <w:pPr>
        <w:pStyle w:val="Textoindependiente"/>
        <w:spacing w:before="40" w:line="276" w:lineRule="auto"/>
        <w:ind w:left="220" w:right="104"/>
        <w:jc w:val="both"/>
      </w:pPr>
      <w:r w:rsidRPr="009437EE">
        <w:t>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w:t>
      </w:r>
    </w:p>
    <w:p w14:paraId="5CE4901C" w14:textId="77777777" w:rsidR="00CD36C6" w:rsidRPr="009437EE" w:rsidRDefault="00CD36C6">
      <w:pPr>
        <w:pStyle w:val="Textoindependiente"/>
        <w:spacing w:before="1"/>
        <w:rPr>
          <w:sz w:val="25"/>
        </w:rPr>
      </w:pPr>
    </w:p>
    <w:p w14:paraId="47796AFF" w14:textId="77777777" w:rsidR="00CD36C6" w:rsidRPr="009437EE" w:rsidRDefault="00F33A8C">
      <w:pPr>
        <w:pStyle w:val="Textoindependiente"/>
        <w:ind w:left="930" w:right="535"/>
        <w:jc w:val="both"/>
      </w:pPr>
      <w:r w:rsidRPr="009437EE">
        <w:lastRenderedPageBreak/>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180A96E6" w14:textId="77777777" w:rsidR="00CD36C6" w:rsidRPr="009437EE" w:rsidRDefault="00CD36C6">
      <w:pPr>
        <w:pStyle w:val="Textoindependiente"/>
        <w:spacing w:before="2"/>
      </w:pPr>
    </w:p>
    <w:p w14:paraId="694BBC5C" w14:textId="77777777" w:rsidR="00CD36C6" w:rsidRPr="009437EE" w:rsidRDefault="00F33A8C" w:rsidP="007E6BF3">
      <w:pPr>
        <w:pStyle w:val="Textoindependiente"/>
        <w:ind w:left="930" w:right="534"/>
        <w:jc w:val="both"/>
      </w:pPr>
      <w:r w:rsidRPr="009437EE">
        <w:t>Artículo 2.2.2.2. Fondos Mixtos de Territorios Indígenas. Los Fondos Mixtos de los Territorios Indígenas sólo podrán crearse cuando se expida la Ley de Ordenamiento Territorial a que se refiere el artículo 329 de la Constitución</w:t>
      </w:r>
      <w:r w:rsidR="007E6BF3" w:rsidRPr="009437EE">
        <w:t xml:space="preserve"> </w:t>
      </w:r>
      <w:r w:rsidRPr="009437EE">
        <w:t>Política.</w:t>
      </w:r>
    </w:p>
    <w:p w14:paraId="19860837" w14:textId="77777777" w:rsidR="00CD36C6" w:rsidRPr="009437EE" w:rsidRDefault="00CD36C6">
      <w:pPr>
        <w:pStyle w:val="Textoindependiente"/>
        <w:spacing w:before="2"/>
      </w:pPr>
    </w:p>
    <w:p w14:paraId="45F5E3F2" w14:textId="77777777" w:rsidR="00CD36C6" w:rsidRPr="009437EE" w:rsidRDefault="00F33A8C">
      <w:pPr>
        <w:pStyle w:val="Textoindependiente"/>
        <w:ind w:left="930" w:right="536"/>
        <w:jc w:val="both"/>
      </w:pPr>
      <w:r w:rsidRPr="009437EE">
        <w:t>Artículo 2.2.2.3. Régimen de los Convenios. Los convenios que suscriba el Ministerio de Cultura con los fondos mixtos para la promoción de la cultura y de las artes a nivel nacional se regirán por el artículo 355 de la Constitución Política.</w:t>
      </w:r>
    </w:p>
    <w:p w14:paraId="05369D13" w14:textId="77777777" w:rsidR="00CD36C6" w:rsidRPr="009437EE" w:rsidRDefault="00CD36C6">
      <w:pPr>
        <w:pStyle w:val="Textoindependiente"/>
      </w:pPr>
    </w:p>
    <w:p w14:paraId="1B34936F" w14:textId="77777777" w:rsidR="00CD36C6" w:rsidRPr="009437EE" w:rsidRDefault="00F33A8C">
      <w:pPr>
        <w:pStyle w:val="Textoindependiente"/>
        <w:ind w:left="930" w:right="531"/>
        <w:jc w:val="both"/>
      </w:pPr>
      <w:r w:rsidRPr="009437EE">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4B08BF46" w14:textId="77777777" w:rsidR="00CD36C6" w:rsidRPr="009437EE" w:rsidRDefault="00CD36C6">
      <w:pPr>
        <w:pStyle w:val="Textoindependiente"/>
      </w:pPr>
    </w:p>
    <w:p w14:paraId="299EB1E1" w14:textId="77777777" w:rsidR="00CD36C6" w:rsidRPr="009437EE" w:rsidRDefault="00F33A8C">
      <w:pPr>
        <w:pStyle w:val="Textoindependiente"/>
        <w:spacing w:line="276" w:lineRule="auto"/>
        <w:ind w:left="220" w:right="106"/>
        <w:jc w:val="both"/>
      </w:pPr>
      <w:r w:rsidRPr="009437EE">
        <w:t>A su turno, artículo 2.2.1.12 del Decreto 1080 de 2015 (antes art. 11 Decreto 1589 de 1998) dispuso que a los fondos mixtos de cultura – FMCU les corresponde, en relación con el Sistema Nacional de Cultura, canalizar e invertir recursos privados y</w:t>
      </w:r>
      <w:r w:rsidRPr="009437EE">
        <w:rPr>
          <w:spacing w:val="-22"/>
        </w:rPr>
        <w:t xml:space="preserve"> </w:t>
      </w:r>
      <w:r w:rsidRPr="009437EE">
        <w:t>públicos.</w:t>
      </w:r>
    </w:p>
    <w:p w14:paraId="481AC939" w14:textId="77777777" w:rsidR="00CD36C6" w:rsidRPr="009437EE" w:rsidRDefault="00CD36C6">
      <w:pPr>
        <w:pStyle w:val="Textoindependiente"/>
        <w:spacing w:before="2"/>
        <w:rPr>
          <w:sz w:val="25"/>
        </w:rPr>
      </w:pPr>
    </w:p>
    <w:p w14:paraId="46A66A4C" w14:textId="77777777" w:rsidR="00CD36C6" w:rsidRPr="009437EE" w:rsidRDefault="00F33A8C">
      <w:pPr>
        <w:pStyle w:val="Textoindependiente"/>
        <w:spacing w:line="276" w:lineRule="auto"/>
        <w:ind w:left="220" w:right="107"/>
        <w:jc w:val="both"/>
      </w:pPr>
      <w:r w:rsidRPr="009437EE">
        <w:t>De las normas citadas se desprende que los fondos mixtos de la cultura y las artes son entidades con personería jurídica descentralizadas</w:t>
      </w:r>
      <w:r w:rsidR="00734424" w:rsidRPr="009437EE">
        <w:rPr>
          <w:rStyle w:val="Refdenotaalpie"/>
        </w:rPr>
        <w:footnoteReference w:id="3"/>
      </w:r>
      <w:r w:rsidRPr="009437EE">
        <w:t xml:space="preserve">, sin ánimo de lucro, cuya composición está conformada por aportes privados y públicos y cuyo objeto </w:t>
      </w:r>
      <w:proofErr w:type="spellStart"/>
      <w:r w:rsidRPr="009437EE">
        <w:t>esta</w:t>
      </w:r>
      <w:proofErr w:type="spellEnd"/>
      <w:r w:rsidRPr="009437EE">
        <w:t xml:space="preserve"> dirigido a servir de mecanismo de financiamiento para canalizar recursos de igual naturaleza orientados a la promoción, creación, investigación y difusión de las diversas manifestaciones artísticas y culturales en las respectivas regiones donde desarrollan su objeto.</w:t>
      </w:r>
    </w:p>
    <w:p w14:paraId="749DEAB3" w14:textId="77777777" w:rsidR="00CD36C6" w:rsidRPr="009437EE" w:rsidRDefault="00CD36C6">
      <w:pPr>
        <w:pStyle w:val="Textoindependiente"/>
        <w:rPr>
          <w:sz w:val="25"/>
        </w:rPr>
      </w:pPr>
    </w:p>
    <w:p w14:paraId="6941CD6F" w14:textId="77777777" w:rsidR="00CD36C6" w:rsidRPr="009437EE" w:rsidRDefault="00F33A8C">
      <w:pPr>
        <w:pStyle w:val="Textoindependiente"/>
        <w:spacing w:line="276" w:lineRule="auto"/>
        <w:ind w:left="220" w:right="109"/>
        <w:jc w:val="both"/>
      </w:pPr>
      <w:r w:rsidRPr="009437EE">
        <w:t xml:space="preserve">Estos fondos actúan por disposición legal especial, principalmente, al amparo de las normas de derecho privado, lo que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w:t>
      </w:r>
      <w:r w:rsidRPr="009437EE">
        <w:lastRenderedPageBreak/>
        <w:t>la regulación especial hoy contenida en el Decreto 092 de 2017.</w:t>
      </w:r>
    </w:p>
    <w:p w14:paraId="1C7317A2" w14:textId="77777777" w:rsidR="00CD36C6" w:rsidRPr="009437EE" w:rsidRDefault="00CD36C6">
      <w:pPr>
        <w:pStyle w:val="Textoindependiente"/>
        <w:spacing w:before="4"/>
        <w:rPr>
          <w:sz w:val="25"/>
        </w:rPr>
      </w:pPr>
    </w:p>
    <w:p w14:paraId="065E6272" w14:textId="77777777" w:rsidR="00CD36C6" w:rsidRPr="009437EE" w:rsidRDefault="00F33A8C">
      <w:pPr>
        <w:pStyle w:val="Textoindependiente"/>
        <w:spacing w:line="276" w:lineRule="auto"/>
        <w:ind w:left="220" w:right="109"/>
        <w:jc w:val="both"/>
      </w:pPr>
      <w:r w:rsidRPr="009437EE">
        <w:t>Respecto de la naturaleza jurídica de este tipo de entidades, la Corte Constitucional en la sentencia C-230 de 1995, con ponencia del Magistrado Antonio Barrera Carbonell, sostuvo:</w:t>
      </w:r>
    </w:p>
    <w:p w14:paraId="6DF3528E" w14:textId="77777777" w:rsidR="00CD36C6" w:rsidRPr="009437EE" w:rsidRDefault="00CD36C6">
      <w:pPr>
        <w:pStyle w:val="Textoindependiente"/>
        <w:spacing w:before="5"/>
        <w:rPr>
          <w:sz w:val="16"/>
        </w:rPr>
      </w:pPr>
    </w:p>
    <w:p w14:paraId="2AB2F2B2" w14:textId="77777777" w:rsidR="00CD36C6" w:rsidRPr="009437EE" w:rsidRDefault="00F33A8C">
      <w:pPr>
        <w:pStyle w:val="Textoindependiente"/>
        <w:spacing w:before="93"/>
        <w:ind w:left="930" w:right="532"/>
        <w:jc w:val="both"/>
      </w:pPr>
      <w:r w:rsidRPr="009437EE">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w:t>
      </w:r>
      <w:r w:rsidRPr="009437EE">
        <w:rPr>
          <w:spacing w:val="-23"/>
        </w:rPr>
        <w:t xml:space="preserve"> </w:t>
      </w:r>
      <w:r w:rsidRPr="009437EE">
        <w:t>complementarias.</w:t>
      </w:r>
    </w:p>
    <w:p w14:paraId="2E1559BA" w14:textId="77777777" w:rsidR="00CD36C6" w:rsidRPr="009437EE" w:rsidRDefault="00CD36C6">
      <w:pPr>
        <w:pStyle w:val="Textoindependiente"/>
        <w:spacing w:before="2"/>
      </w:pPr>
    </w:p>
    <w:p w14:paraId="041FFDDB" w14:textId="77777777" w:rsidR="00CD36C6" w:rsidRPr="009437EE" w:rsidRDefault="00F33A8C">
      <w:pPr>
        <w:pStyle w:val="Textoindependiente"/>
        <w:spacing w:before="1"/>
        <w:ind w:left="930" w:right="530"/>
        <w:jc w:val="both"/>
      </w:pPr>
      <w:r w:rsidRPr="009437EE">
        <w:t xml:space="preserve">La ley 80 de 1993 sometió a las corporaciones y fundaciones, en las cuales el Estado tenga una participación mayoritaria (art. 2o., </w:t>
      </w:r>
      <w:proofErr w:type="spellStart"/>
      <w:r w:rsidRPr="009437EE">
        <w:t>ord</w:t>
      </w:r>
      <w:proofErr w:type="spellEnd"/>
      <w:r w:rsidRPr="009437EE">
        <w:t>. 1o, lit. a.), a las reglas principios de la contratación de la administración pública y para ello las reconoció en el literal a) del ordinal 1 del art. 2 de dicha ley como entidades estatales.</w:t>
      </w:r>
    </w:p>
    <w:p w14:paraId="5A5A6065" w14:textId="77777777" w:rsidR="00CD36C6" w:rsidRPr="009437EE" w:rsidRDefault="00F33A8C">
      <w:pPr>
        <w:pStyle w:val="Textoindependiente"/>
        <w:ind w:left="930"/>
      </w:pPr>
      <w:r w:rsidRPr="009437EE">
        <w:t>(…)</w:t>
      </w:r>
    </w:p>
    <w:p w14:paraId="5830F87A" w14:textId="77777777" w:rsidR="00CD36C6" w:rsidRPr="009437EE" w:rsidRDefault="00CD36C6">
      <w:pPr>
        <w:pStyle w:val="Textoindependiente"/>
        <w:spacing w:before="10"/>
        <w:rPr>
          <w:sz w:val="21"/>
        </w:rPr>
      </w:pPr>
    </w:p>
    <w:p w14:paraId="69B94ED6" w14:textId="77777777" w:rsidR="00CD36C6" w:rsidRPr="009437EE" w:rsidRDefault="00F33A8C">
      <w:pPr>
        <w:pStyle w:val="Textoindependiente"/>
        <w:spacing w:before="1"/>
        <w:ind w:left="930" w:right="535"/>
        <w:jc w:val="both"/>
      </w:pPr>
      <w:r w:rsidRPr="009437EE">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051264E0" w14:textId="77777777" w:rsidR="00CD36C6" w:rsidRPr="009437EE" w:rsidRDefault="00F33A8C">
      <w:pPr>
        <w:pStyle w:val="Textoindependiente"/>
        <w:spacing w:line="253" w:lineRule="exact"/>
        <w:ind w:left="930"/>
      </w:pPr>
      <w:r w:rsidRPr="009437EE">
        <w:t>(…)</w:t>
      </w:r>
    </w:p>
    <w:p w14:paraId="2DB4A5E4" w14:textId="77777777" w:rsidR="00CD36C6" w:rsidRPr="009437EE" w:rsidRDefault="00CD36C6">
      <w:pPr>
        <w:pStyle w:val="Textoindependiente"/>
        <w:spacing w:before="10"/>
        <w:rPr>
          <w:sz w:val="21"/>
        </w:rPr>
      </w:pPr>
    </w:p>
    <w:p w14:paraId="064CDE5E" w14:textId="77777777" w:rsidR="00CD36C6" w:rsidRPr="009437EE" w:rsidRDefault="00F33A8C">
      <w:pPr>
        <w:pStyle w:val="Textoindependiente"/>
        <w:ind w:left="930" w:right="533"/>
        <w:jc w:val="both"/>
      </w:pPr>
      <w:r w:rsidRPr="009437EE">
        <w:t xml:space="preserve">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w:t>
      </w:r>
      <w:proofErr w:type="gramStart"/>
      <w:r w:rsidRPr="009437EE">
        <w:t>les</w:t>
      </w:r>
      <w:proofErr w:type="gramEnd"/>
      <w:r w:rsidRPr="009437EE">
        <w:t xml:space="preserve"> entrega a título de aporte o participación bienes o recursos</w:t>
      </w:r>
      <w:r w:rsidRPr="009437EE">
        <w:rPr>
          <w:spacing w:val="-9"/>
        </w:rPr>
        <w:t xml:space="preserve"> </w:t>
      </w:r>
      <w:r w:rsidRPr="009437EE">
        <w:t>públicos.”</w:t>
      </w:r>
    </w:p>
    <w:p w14:paraId="4DFB7B03" w14:textId="77777777" w:rsidR="00CD36C6" w:rsidRPr="009437EE" w:rsidRDefault="00CD36C6">
      <w:pPr>
        <w:pStyle w:val="Textoindependiente"/>
        <w:spacing w:before="5"/>
        <w:rPr>
          <w:sz w:val="25"/>
        </w:rPr>
      </w:pPr>
    </w:p>
    <w:p w14:paraId="43AB0B24" w14:textId="77777777" w:rsidR="00CD36C6" w:rsidRPr="009437EE" w:rsidRDefault="00F33A8C">
      <w:pPr>
        <w:pStyle w:val="Textoindependiente"/>
        <w:spacing w:line="276" w:lineRule="auto"/>
        <w:ind w:left="220" w:right="106"/>
        <w:jc w:val="both"/>
      </w:pPr>
      <w:r w:rsidRPr="009437EE">
        <w:t>En conclusión, aun cuando los fondos mixtos para la cultura y el arte son personas jurídicas sin ánimo de lucro, regidas por el derecho privado principalmente, tienen un vínculo inescindible con el Estado, dado que su creación fue hecha y hasta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-art. 96 ley 489 de 1998- y están sometidas al control fiscal ejercido por la Contraloría General de la</w:t>
      </w:r>
      <w:r w:rsidRPr="009437EE">
        <w:rPr>
          <w:spacing w:val="-1"/>
        </w:rPr>
        <w:t xml:space="preserve"> </w:t>
      </w:r>
      <w:r w:rsidRPr="009437EE">
        <w:t>República.</w:t>
      </w:r>
    </w:p>
    <w:p w14:paraId="13D730E2" w14:textId="77777777" w:rsidR="00CD36C6" w:rsidRPr="009437EE" w:rsidRDefault="00CD36C6">
      <w:pPr>
        <w:pStyle w:val="Textoindependiente"/>
        <w:spacing w:before="3"/>
        <w:rPr>
          <w:sz w:val="25"/>
        </w:rPr>
      </w:pPr>
    </w:p>
    <w:p w14:paraId="417B088C" w14:textId="77777777" w:rsidR="00CD36C6" w:rsidRPr="009437EE" w:rsidRDefault="00F33A8C" w:rsidP="00734424">
      <w:pPr>
        <w:pStyle w:val="Ttulo1"/>
        <w:spacing w:line="278" w:lineRule="auto"/>
        <w:ind w:right="121"/>
        <w:jc w:val="both"/>
      </w:pPr>
      <w:r w:rsidRPr="009437EE">
        <w:t>2.2. De la aplicación del Estatuto General de Contratación de la Administración Pública</w:t>
      </w:r>
    </w:p>
    <w:p w14:paraId="2803B069" w14:textId="77777777" w:rsidR="00CD36C6" w:rsidRPr="009437EE" w:rsidRDefault="00CD36C6">
      <w:pPr>
        <w:pStyle w:val="Textoindependiente"/>
        <w:rPr>
          <w:b/>
          <w:sz w:val="25"/>
        </w:rPr>
      </w:pPr>
    </w:p>
    <w:p w14:paraId="309385E9" w14:textId="77777777" w:rsidR="00CD36C6" w:rsidRPr="009437EE" w:rsidRDefault="00F33A8C" w:rsidP="00734424">
      <w:pPr>
        <w:pStyle w:val="Textoindependiente"/>
        <w:spacing w:before="1" w:line="276" w:lineRule="auto"/>
        <w:ind w:left="220" w:right="111"/>
        <w:jc w:val="both"/>
      </w:pPr>
      <w:r w:rsidRPr="009437EE">
        <w:t xml:space="preserve">El Estatuto General de Contratación de la Administración Pública es la norma de derecho público que rige las </w:t>
      </w:r>
      <w:proofErr w:type="gramStart"/>
      <w:r w:rsidRPr="009437EE">
        <w:t>etapas precontractual</w:t>
      </w:r>
      <w:proofErr w:type="gramEnd"/>
      <w:r w:rsidRPr="009437EE">
        <w:t xml:space="preserve">, contractual y </w:t>
      </w:r>
      <w:proofErr w:type="spellStart"/>
      <w:r w:rsidRPr="009437EE">
        <w:t>postcontractual</w:t>
      </w:r>
      <w:proofErr w:type="spellEnd"/>
      <w:r w:rsidRPr="009437EE">
        <w:t xml:space="preserve"> de los negocios</w:t>
      </w:r>
      <w:r w:rsidR="00734424" w:rsidRPr="009437EE">
        <w:t xml:space="preserve"> </w:t>
      </w:r>
      <w:r w:rsidRPr="009437EE">
        <w:lastRenderedPageBreak/>
        <w:t>jurídicos celebrados por las entidades estatales, expedido al amparo del inciso final del artículo 150 de la Constitución Política, y hoy contenido en la Ley 80 de 1993, la Ley 1150 de 2007 y demás normas legales y reglamentarias pertinentes.</w:t>
      </w:r>
    </w:p>
    <w:p w14:paraId="2685065A" w14:textId="77777777" w:rsidR="00CD36C6" w:rsidRPr="009437EE" w:rsidRDefault="00CD36C6">
      <w:pPr>
        <w:pStyle w:val="Textoindependiente"/>
        <w:spacing w:before="5"/>
        <w:rPr>
          <w:sz w:val="25"/>
        </w:rPr>
      </w:pPr>
    </w:p>
    <w:p w14:paraId="585161D7" w14:textId="77777777" w:rsidR="00CD36C6" w:rsidRPr="009437EE" w:rsidRDefault="00F33A8C">
      <w:pPr>
        <w:pStyle w:val="Textoindependiente"/>
        <w:spacing w:line="273" w:lineRule="auto"/>
        <w:ind w:left="220" w:right="105"/>
        <w:jc w:val="both"/>
      </w:pPr>
      <w:r w:rsidRPr="009437EE">
        <w:t>Ahora bien, el contrato estatal se define genéricamente como todo acto jurídico generador de obligaciones</w:t>
      </w:r>
      <w:r w:rsidR="00F47A76" w:rsidRPr="009437EE">
        <w:rPr>
          <w:rStyle w:val="Refdenotaalpie"/>
        </w:rPr>
        <w:footnoteReference w:id="4"/>
      </w:r>
      <w:r w:rsidRPr="009437EE">
        <w:rPr>
          <w:position w:val="8"/>
          <w:sz w:val="14"/>
        </w:rPr>
        <w:t xml:space="preserve"> </w:t>
      </w:r>
      <w:r w:rsidRPr="009437EE">
        <w:t>celebrado por una de las entidades estatales descritas en el artículo 2° de la Ley 80 de 1993, cuya actividad contractual se sujeta, íntegramente, al ámbito de cobertura de a los principios, deberes, derechos, procedimientos y reglas consagrados en el Estatuto General de la Contratación Estatal.</w:t>
      </w:r>
    </w:p>
    <w:p w14:paraId="7A8C3E0F" w14:textId="77777777" w:rsidR="00CD36C6" w:rsidRPr="009437EE" w:rsidRDefault="00CD36C6">
      <w:pPr>
        <w:pStyle w:val="Textoindependiente"/>
        <w:spacing w:before="6"/>
        <w:rPr>
          <w:sz w:val="25"/>
        </w:rPr>
      </w:pPr>
    </w:p>
    <w:p w14:paraId="7135CC64" w14:textId="77777777" w:rsidR="00CD36C6" w:rsidRPr="009437EE" w:rsidRDefault="00F33A8C">
      <w:pPr>
        <w:pStyle w:val="Textoindependiente"/>
        <w:spacing w:line="276" w:lineRule="auto"/>
        <w:ind w:left="220" w:right="106"/>
        <w:jc w:val="both"/>
      </w:pPr>
      <w:r w:rsidRPr="009437EE">
        <w:t>Si bien el artículo 2 de la Ley 80 de 1993</w:t>
      </w:r>
      <w:r w:rsidR="00F47A76" w:rsidRPr="009437EE">
        <w:rPr>
          <w:rStyle w:val="Refdenotaalpie"/>
        </w:rPr>
        <w:footnoteReference w:id="5"/>
      </w:r>
      <w:r w:rsidRPr="009437EE">
        <w:t>, al definir las entidades estatales cuya contratación se regiría por el estatuto general, persiguió abarcar de forma omnicomprensiva la totalidad o, por lo menos, la mayoría de los organismos que conforman la estructura del Estado, lo cierto es que dicha regla general tiene excepciones creadas por la ley que han permitido que ciertas entidades queden excluidas de su aplicación, para que en su lugar, contraten al amparo de normas de derecho</w:t>
      </w:r>
      <w:r w:rsidRPr="009437EE">
        <w:rPr>
          <w:spacing w:val="-35"/>
        </w:rPr>
        <w:t xml:space="preserve"> </w:t>
      </w:r>
      <w:r w:rsidRPr="009437EE">
        <w:t>privado.</w:t>
      </w:r>
    </w:p>
    <w:p w14:paraId="6B562219" w14:textId="77777777" w:rsidR="00CD36C6" w:rsidRPr="009437EE" w:rsidRDefault="00CD36C6">
      <w:pPr>
        <w:pStyle w:val="Textoindependiente"/>
        <w:spacing w:before="5"/>
        <w:rPr>
          <w:sz w:val="25"/>
        </w:rPr>
      </w:pPr>
    </w:p>
    <w:p w14:paraId="62670BDF" w14:textId="77777777" w:rsidR="00CD36C6" w:rsidRPr="009437EE" w:rsidRDefault="00F33A8C" w:rsidP="0074585B">
      <w:pPr>
        <w:pStyle w:val="Textoindependiente"/>
        <w:spacing w:line="276" w:lineRule="auto"/>
        <w:ind w:left="220" w:right="106"/>
        <w:jc w:val="both"/>
      </w:pPr>
      <w:r w:rsidRPr="009437EE">
        <w:t xml:space="preserve">Una de estas excepciones al régimen general de contratación estatal quedó establecida en el artículo 63 de la Ley 397 de 1997 para los fondos mixtos de promoción para la cultura y las artes, norma que permitió que el régimen jurídico de sus contratos fuera el derecho privado. De todas maneras, la exclusión de que gozan los referidos fondos mixtos frente al régimen jurídico contractual general de las entidades estatales no ha sido </w:t>
      </w:r>
      <w:proofErr w:type="gramStart"/>
      <w:r w:rsidRPr="009437EE">
        <w:t>absoluta</w:t>
      </w:r>
      <w:proofErr w:type="gramEnd"/>
      <w:r w:rsidRPr="009437EE">
        <w:t>, toda vez que administran recursos públicos. Además, de tiempo atrás en el ordenamiento jurídico se reconoció que las entidades exceptuadas del Estatuto General de Contratación</w:t>
      </w:r>
      <w:r w:rsidR="0074585B" w:rsidRPr="009437EE">
        <w:t xml:space="preserve"> </w:t>
      </w:r>
      <w:r w:rsidRPr="009437EE">
        <w:t>debían respetar los principios de la función administrativa</w:t>
      </w:r>
      <w:r w:rsidR="0074585B" w:rsidRPr="009437EE">
        <w:rPr>
          <w:rStyle w:val="Refdenotaalpie"/>
        </w:rPr>
        <w:footnoteReference w:id="6"/>
      </w:r>
      <w:r w:rsidRPr="009437EE">
        <w:t xml:space="preserve">, tesis que luego acogió el legislador con la expedición de la Ley 1150 de 2007. Sobre el particular, el Consejo de Estado ha sostenido </w:t>
      </w:r>
      <w:r w:rsidRPr="009437EE">
        <w:lastRenderedPageBreak/>
        <w:t>lo siguiente:</w:t>
      </w:r>
    </w:p>
    <w:p w14:paraId="65AD41C2" w14:textId="77777777" w:rsidR="00CD36C6" w:rsidRPr="009437EE" w:rsidRDefault="00CD36C6">
      <w:pPr>
        <w:pStyle w:val="Textoindependiente"/>
        <w:spacing w:before="4"/>
        <w:rPr>
          <w:sz w:val="25"/>
        </w:rPr>
      </w:pPr>
    </w:p>
    <w:p w14:paraId="42C0ADBB" w14:textId="77777777" w:rsidR="00CD36C6" w:rsidRPr="009437EE" w:rsidRDefault="00F33A8C">
      <w:pPr>
        <w:pStyle w:val="Textoindependiente"/>
        <w:spacing w:before="1"/>
        <w:ind w:left="930" w:right="529"/>
        <w:jc w:val="both"/>
        <w:rPr>
          <w:sz w:val="14"/>
        </w:rPr>
      </w:pPr>
      <w:r w:rsidRPr="009437EE">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w:t>
      </w:r>
      <w:r w:rsidRPr="009437EE">
        <w:rPr>
          <w:spacing w:val="-25"/>
        </w:rPr>
        <w:t xml:space="preserve"> </w:t>
      </w:r>
      <w:r w:rsidRPr="009437EE">
        <w:t>privado.”</w:t>
      </w:r>
      <w:r w:rsidR="0074585B" w:rsidRPr="009437EE">
        <w:rPr>
          <w:rStyle w:val="Refdenotaalpie"/>
        </w:rPr>
        <w:footnoteReference w:id="7"/>
      </w:r>
    </w:p>
    <w:p w14:paraId="467D3155" w14:textId="77777777" w:rsidR="00CD36C6" w:rsidRPr="009437EE" w:rsidRDefault="00CD36C6">
      <w:pPr>
        <w:pStyle w:val="Textoindependiente"/>
        <w:spacing w:before="7"/>
        <w:rPr>
          <w:sz w:val="21"/>
        </w:rPr>
      </w:pPr>
    </w:p>
    <w:p w14:paraId="4BDA74CD" w14:textId="77777777" w:rsidR="00CD36C6" w:rsidRPr="009437EE" w:rsidRDefault="00F33A8C">
      <w:pPr>
        <w:pStyle w:val="Textoindependiente"/>
        <w:spacing w:line="276" w:lineRule="auto"/>
        <w:ind w:left="220" w:right="104"/>
        <w:jc w:val="both"/>
      </w:pPr>
      <w:r w:rsidRPr="009437EE">
        <w:t xml:space="preserve">El artículo 13 de la Ley 1150 de 2007 </w:t>
      </w:r>
      <w:proofErr w:type="spellStart"/>
      <w:r w:rsidRPr="009437EE">
        <w:t>positivizó</w:t>
      </w:r>
      <w:proofErr w:type="spellEnd"/>
      <w:r w:rsidRPr="009437EE">
        <w:t xml:space="preserve"> el precepto según el cual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6BFBE08" w14:textId="77777777" w:rsidR="00CD36C6" w:rsidRPr="009437EE" w:rsidRDefault="00CD36C6">
      <w:pPr>
        <w:pStyle w:val="Textoindependiente"/>
        <w:spacing w:before="4"/>
        <w:rPr>
          <w:sz w:val="25"/>
        </w:rPr>
      </w:pPr>
    </w:p>
    <w:p w14:paraId="54E9FF6A" w14:textId="77777777" w:rsidR="00CD36C6" w:rsidRPr="009437EE" w:rsidRDefault="00F33A8C">
      <w:pPr>
        <w:pStyle w:val="Textoindependiente"/>
        <w:spacing w:line="276" w:lineRule="auto"/>
        <w:ind w:left="220" w:right="104"/>
        <w:jc w:val="both"/>
      </w:pPr>
      <w:r w:rsidRPr="009437EE">
        <w:t>En razón a lo anterior, las entidades excluidas de la Ley 80 de 1993 tienen régimen contractual que vincula dos ordenamientos: el privado que es preponderante y el público que es el supletorio, pero no menos importante, porque irradia aspectos esenciales de la actividad contractual de estas entidades. Doctrinaria</w:t>
      </w:r>
      <w:r w:rsidR="00F10FF5" w:rsidRPr="009437EE">
        <w:rPr>
          <w:rStyle w:val="Refdenotaalpie"/>
        </w:rPr>
        <w:footnoteReference w:id="8"/>
      </w:r>
      <w:r w:rsidRPr="009437EE">
        <w:rPr>
          <w:position w:val="8"/>
          <w:sz w:val="14"/>
        </w:rPr>
        <w:t xml:space="preserve"> </w:t>
      </w:r>
      <w:r w:rsidRPr="009437EE">
        <w:t>y jurisprudencialmente</w:t>
      </w:r>
      <w:r w:rsidR="00F10FF5" w:rsidRPr="009437EE">
        <w:rPr>
          <w:rStyle w:val="Refdenotaalpie"/>
        </w:rPr>
        <w:footnoteReference w:id="9"/>
      </w:r>
      <w:r w:rsidRPr="009437EE">
        <w:rPr>
          <w:position w:val="8"/>
          <w:sz w:val="14"/>
        </w:rPr>
        <w:t xml:space="preserve"> </w:t>
      </w:r>
      <w:r w:rsidRPr="009437EE">
        <w:t>se han identificado algunos ejemplos de la aplicación de uno y otro régimen en la contratación de estas entidades, tal y como se sintetiza a continuación:</w:t>
      </w:r>
    </w:p>
    <w:p w14:paraId="71E8FD04" w14:textId="77777777" w:rsidR="00F10FF5" w:rsidRPr="009437EE" w:rsidRDefault="00F10FF5">
      <w:pPr>
        <w:pStyle w:val="Textoindependiente"/>
        <w:spacing w:line="276" w:lineRule="auto"/>
        <w:ind w:left="220" w:right="104"/>
        <w:jc w:val="both"/>
      </w:pPr>
    </w:p>
    <w:p w14:paraId="123F686F" w14:textId="77777777" w:rsidR="00CD36C6" w:rsidRPr="009437EE" w:rsidRDefault="00CD36C6">
      <w:pPr>
        <w:pStyle w:val="Textoindependiente"/>
        <w:spacing w:before="4"/>
        <w:rPr>
          <w:sz w:val="10"/>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1"/>
        <w:gridCol w:w="4461"/>
      </w:tblGrid>
      <w:tr w:rsidR="009437EE" w:rsidRPr="009437EE" w14:paraId="4BE6CBCE" w14:textId="77777777">
        <w:trPr>
          <w:trHeight w:val="252"/>
        </w:trPr>
        <w:tc>
          <w:tcPr>
            <w:tcW w:w="4461" w:type="dxa"/>
          </w:tcPr>
          <w:p w14:paraId="2596260B" w14:textId="77777777" w:rsidR="00CD36C6" w:rsidRPr="009437EE" w:rsidRDefault="00F33A8C">
            <w:pPr>
              <w:pStyle w:val="TableParagraph"/>
              <w:spacing w:line="233" w:lineRule="exact"/>
              <w:ind w:left="1422"/>
            </w:pPr>
            <w:r w:rsidRPr="009437EE">
              <w:t>Derecho privado</w:t>
            </w:r>
          </w:p>
        </w:tc>
        <w:tc>
          <w:tcPr>
            <w:tcW w:w="4461" w:type="dxa"/>
          </w:tcPr>
          <w:p w14:paraId="0C3E44EC" w14:textId="77777777" w:rsidR="00CD36C6" w:rsidRPr="009437EE" w:rsidRDefault="00F33A8C">
            <w:pPr>
              <w:pStyle w:val="TableParagraph"/>
              <w:spacing w:line="233" w:lineRule="exact"/>
              <w:ind w:left="1434"/>
            </w:pPr>
            <w:r w:rsidRPr="009437EE">
              <w:t>Derecho público</w:t>
            </w:r>
          </w:p>
        </w:tc>
      </w:tr>
      <w:tr w:rsidR="009437EE" w:rsidRPr="009437EE" w14:paraId="517ED793" w14:textId="77777777">
        <w:trPr>
          <w:trHeight w:val="760"/>
        </w:trPr>
        <w:tc>
          <w:tcPr>
            <w:tcW w:w="4461" w:type="dxa"/>
          </w:tcPr>
          <w:p w14:paraId="70256EE8" w14:textId="77777777" w:rsidR="00CD36C6" w:rsidRPr="009437EE" w:rsidRDefault="00F33A8C">
            <w:pPr>
              <w:pStyle w:val="TableParagraph"/>
              <w:spacing w:before="1" w:line="252" w:lineRule="exact"/>
              <w:ind w:right="96" w:hanging="285"/>
              <w:jc w:val="both"/>
            </w:pPr>
            <w:r w:rsidRPr="009437EE">
              <w:t>1. La selección del contratista: no se requiere acudir a los procedimientos de la Ley 80 de 1993 y la Ley 1150 de</w:t>
            </w:r>
            <w:r w:rsidRPr="009437EE">
              <w:rPr>
                <w:spacing w:val="-25"/>
              </w:rPr>
              <w:t xml:space="preserve"> </w:t>
            </w:r>
            <w:r w:rsidRPr="009437EE">
              <w:t>2007</w:t>
            </w:r>
          </w:p>
        </w:tc>
        <w:tc>
          <w:tcPr>
            <w:tcW w:w="4461" w:type="dxa"/>
          </w:tcPr>
          <w:p w14:paraId="671CA8A6" w14:textId="77777777" w:rsidR="00CD36C6" w:rsidRPr="009437EE" w:rsidRDefault="00F33A8C">
            <w:pPr>
              <w:pStyle w:val="TableParagraph"/>
              <w:spacing w:before="1" w:line="252" w:lineRule="exact"/>
              <w:ind w:left="106" w:right="99"/>
              <w:jc w:val="both"/>
            </w:pPr>
            <w:r w:rsidRPr="009437EE">
              <w:t>1. Principios de la función administrativa y la gestión fiscal: tienen influencia en todas las etapas del proceso de contratación</w:t>
            </w:r>
          </w:p>
        </w:tc>
      </w:tr>
      <w:tr w:rsidR="009437EE" w:rsidRPr="009437EE" w14:paraId="65148850" w14:textId="77777777">
        <w:trPr>
          <w:trHeight w:val="1010"/>
        </w:trPr>
        <w:tc>
          <w:tcPr>
            <w:tcW w:w="4461" w:type="dxa"/>
          </w:tcPr>
          <w:p w14:paraId="0A20F221" w14:textId="77777777" w:rsidR="00CD36C6" w:rsidRPr="009437EE" w:rsidRDefault="00F33A8C">
            <w:pPr>
              <w:pStyle w:val="TableParagraph"/>
              <w:spacing w:before="1" w:line="252" w:lineRule="exact"/>
              <w:ind w:right="99" w:hanging="285"/>
              <w:jc w:val="both"/>
            </w:pPr>
            <w:r w:rsidRPr="009437EE">
              <w:lastRenderedPageBreak/>
              <w:t>2. Requisitos de existencia del contrato: no se acude a la solemnidad del contrato estatal prevista en el artículo 41 de la Ley 80 de 1993.</w:t>
            </w:r>
          </w:p>
        </w:tc>
        <w:tc>
          <w:tcPr>
            <w:tcW w:w="4461" w:type="dxa"/>
          </w:tcPr>
          <w:p w14:paraId="2CF599A8" w14:textId="77777777" w:rsidR="00CD36C6" w:rsidRPr="009437EE" w:rsidRDefault="00F33A8C">
            <w:pPr>
              <w:pStyle w:val="TableParagraph"/>
              <w:spacing w:before="1" w:line="252" w:lineRule="exact"/>
              <w:ind w:left="106" w:right="97"/>
              <w:jc w:val="both"/>
            </w:pPr>
            <w:r w:rsidRPr="009437EE">
              <w:t>2. Régimen de inhabilidades e incompatibilidades: restringen la capacidad legal de contratar, aun cuando el contrato sea de derecho privado.</w:t>
            </w:r>
          </w:p>
        </w:tc>
      </w:tr>
      <w:tr w:rsidR="009437EE" w:rsidRPr="009437EE" w14:paraId="0242B574" w14:textId="77777777">
        <w:trPr>
          <w:trHeight w:val="1012"/>
        </w:trPr>
        <w:tc>
          <w:tcPr>
            <w:tcW w:w="4461" w:type="dxa"/>
          </w:tcPr>
          <w:p w14:paraId="5FBE4D70" w14:textId="77777777" w:rsidR="00CD36C6" w:rsidRPr="009437EE" w:rsidRDefault="00F33A8C">
            <w:pPr>
              <w:pStyle w:val="TableParagraph"/>
              <w:ind w:right="98" w:hanging="285"/>
              <w:jc w:val="both"/>
            </w:pPr>
            <w:r w:rsidRPr="009437EE">
              <w:t>3. Los requisitos de validez del contrato: se rige por lo dispuesto en las leyes civiles y comerciales.</w:t>
            </w:r>
          </w:p>
        </w:tc>
        <w:tc>
          <w:tcPr>
            <w:tcW w:w="4461" w:type="dxa"/>
          </w:tcPr>
          <w:p w14:paraId="22AD9C81" w14:textId="77777777" w:rsidR="00CD36C6" w:rsidRPr="009437EE" w:rsidRDefault="00F33A8C">
            <w:pPr>
              <w:pStyle w:val="TableParagraph"/>
              <w:ind w:left="106"/>
            </w:pPr>
            <w:r w:rsidRPr="009437EE">
              <w:t>3. Cláusulas exorbitantes: cuando están autorizadas por la ley, su utilización se rige</w:t>
            </w:r>
          </w:p>
          <w:p w14:paraId="7959BA08" w14:textId="77777777" w:rsidR="00CD36C6" w:rsidRPr="009437EE" w:rsidRDefault="00F33A8C">
            <w:pPr>
              <w:pStyle w:val="TableParagraph"/>
              <w:tabs>
                <w:tab w:val="left" w:pos="706"/>
                <w:tab w:val="left" w:pos="1160"/>
                <w:tab w:val="left" w:pos="1795"/>
                <w:tab w:val="left" w:pos="2322"/>
                <w:tab w:val="left" w:pos="2847"/>
                <w:tab w:val="left" w:pos="3622"/>
                <w:tab w:val="left" w:pos="4012"/>
              </w:tabs>
              <w:spacing w:before="3" w:line="252" w:lineRule="exact"/>
              <w:ind w:left="106" w:right="93"/>
            </w:pPr>
            <w:r w:rsidRPr="009437EE">
              <w:t>por</w:t>
            </w:r>
            <w:r w:rsidRPr="009437EE">
              <w:tab/>
              <w:t>la</w:t>
            </w:r>
            <w:r w:rsidRPr="009437EE">
              <w:tab/>
              <w:t>Ley</w:t>
            </w:r>
            <w:r w:rsidRPr="009437EE">
              <w:tab/>
              <w:t>80</w:t>
            </w:r>
            <w:r w:rsidRPr="009437EE">
              <w:tab/>
              <w:t>de</w:t>
            </w:r>
            <w:r w:rsidRPr="009437EE">
              <w:tab/>
              <w:t>1993</w:t>
            </w:r>
            <w:r w:rsidRPr="009437EE">
              <w:tab/>
              <w:t>y</w:t>
            </w:r>
            <w:r w:rsidRPr="009437EE">
              <w:tab/>
            </w:r>
            <w:r w:rsidRPr="009437EE">
              <w:rPr>
                <w:spacing w:val="-6"/>
              </w:rPr>
              <w:t xml:space="preserve">sus </w:t>
            </w:r>
            <w:r w:rsidRPr="009437EE">
              <w:t>modificaciones.</w:t>
            </w:r>
          </w:p>
        </w:tc>
      </w:tr>
      <w:tr w:rsidR="009437EE" w:rsidRPr="009437EE" w14:paraId="7CCC658D" w14:textId="77777777">
        <w:trPr>
          <w:trHeight w:val="760"/>
        </w:trPr>
        <w:tc>
          <w:tcPr>
            <w:tcW w:w="4461" w:type="dxa"/>
          </w:tcPr>
          <w:p w14:paraId="5437D006" w14:textId="77777777" w:rsidR="00CD36C6" w:rsidRPr="009437EE" w:rsidRDefault="00F33A8C">
            <w:pPr>
              <w:pStyle w:val="TableParagraph"/>
              <w:spacing w:line="252" w:lineRule="exact"/>
              <w:ind w:right="95" w:hanging="285"/>
              <w:jc w:val="both"/>
            </w:pPr>
            <w:r w:rsidRPr="009437EE">
              <w:t>4. Procedimientos: no están sometidos a solemnidades, aprobaciones o autorizaciones especiales.</w:t>
            </w:r>
          </w:p>
        </w:tc>
        <w:tc>
          <w:tcPr>
            <w:tcW w:w="4461" w:type="dxa"/>
          </w:tcPr>
          <w:p w14:paraId="7C344873" w14:textId="77777777" w:rsidR="00CD36C6" w:rsidRPr="009437EE" w:rsidRDefault="00CD36C6">
            <w:pPr>
              <w:pStyle w:val="TableParagraph"/>
              <w:ind w:left="0"/>
              <w:rPr>
                <w:rFonts w:ascii="Times New Roman"/>
                <w:sz w:val="20"/>
              </w:rPr>
            </w:pPr>
          </w:p>
        </w:tc>
      </w:tr>
      <w:tr w:rsidR="009437EE" w:rsidRPr="009437EE" w14:paraId="656DBBA1" w14:textId="77777777">
        <w:trPr>
          <w:trHeight w:val="1265"/>
        </w:trPr>
        <w:tc>
          <w:tcPr>
            <w:tcW w:w="4461" w:type="dxa"/>
          </w:tcPr>
          <w:p w14:paraId="4860C324" w14:textId="77777777" w:rsidR="00CD36C6" w:rsidRPr="009437EE" w:rsidRDefault="00F33A8C">
            <w:pPr>
              <w:pStyle w:val="TableParagraph"/>
              <w:spacing w:line="252" w:lineRule="exact"/>
              <w:ind w:right="93" w:hanging="285"/>
              <w:jc w:val="both"/>
            </w:pPr>
            <w:r w:rsidRPr="009437EE">
              <w:t xml:space="preserve">5. Cláusulas contractuales: </w:t>
            </w:r>
            <w:proofErr w:type="gramStart"/>
            <w:r w:rsidRPr="009437EE">
              <w:t>por  regla</w:t>
            </w:r>
            <w:proofErr w:type="gramEnd"/>
            <w:r w:rsidRPr="009437EE">
              <w:t xml:space="preserve"> general caben todas las posibles según leyes civiles y comerciales. Por regla general no se aceptan cláusulas excepcionales, salvo norma</w:t>
            </w:r>
            <w:r w:rsidRPr="009437EE">
              <w:rPr>
                <w:spacing w:val="-10"/>
              </w:rPr>
              <w:t xml:space="preserve"> </w:t>
            </w:r>
            <w:r w:rsidRPr="009437EE">
              <w:t>expresa.</w:t>
            </w:r>
          </w:p>
        </w:tc>
        <w:tc>
          <w:tcPr>
            <w:tcW w:w="4461" w:type="dxa"/>
          </w:tcPr>
          <w:p w14:paraId="432B0BBA" w14:textId="77777777" w:rsidR="00CD36C6" w:rsidRPr="009437EE" w:rsidRDefault="00CD36C6">
            <w:pPr>
              <w:pStyle w:val="TableParagraph"/>
              <w:ind w:left="0"/>
              <w:rPr>
                <w:rFonts w:ascii="Times New Roman"/>
                <w:sz w:val="20"/>
              </w:rPr>
            </w:pPr>
          </w:p>
        </w:tc>
      </w:tr>
      <w:tr w:rsidR="009437EE" w:rsidRPr="009437EE" w14:paraId="4ABE4849" w14:textId="77777777">
        <w:trPr>
          <w:trHeight w:val="757"/>
        </w:trPr>
        <w:tc>
          <w:tcPr>
            <w:tcW w:w="4461" w:type="dxa"/>
          </w:tcPr>
          <w:p w14:paraId="3DC40041" w14:textId="77777777" w:rsidR="00CD36C6" w:rsidRPr="009437EE" w:rsidRDefault="00F33A8C">
            <w:pPr>
              <w:pStyle w:val="TableParagraph"/>
              <w:tabs>
                <w:tab w:val="left" w:pos="1458"/>
                <w:tab w:val="left" w:pos="1980"/>
                <w:tab w:val="left" w:pos="3065"/>
                <w:tab w:val="left" w:pos="3542"/>
              </w:tabs>
              <w:ind w:right="98" w:hanging="285"/>
            </w:pPr>
            <w:r w:rsidRPr="009437EE">
              <w:t>6.</w:t>
            </w:r>
            <w:r w:rsidRPr="009437EE">
              <w:rPr>
                <w:spacing w:val="38"/>
              </w:rPr>
              <w:t xml:space="preserve"> </w:t>
            </w:r>
            <w:r w:rsidRPr="009437EE">
              <w:t>Ejecución</w:t>
            </w:r>
            <w:r w:rsidRPr="009437EE">
              <w:tab/>
              <w:t>del</w:t>
            </w:r>
            <w:r w:rsidRPr="009437EE">
              <w:tab/>
              <w:t>contrato:</w:t>
            </w:r>
            <w:r w:rsidRPr="009437EE">
              <w:tab/>
              <w:t>no</w:t>
            </w:r>
            <w:r w:rsidRPr="009437EE">
              <w:tab/>
            </w:r>
            <w:r w:rsidRPr="009437EE">
              <w:rPr>
                <w:spacing w:val="-3"/>
              </w:rPr>
              <w:t xml:space="preserve">requiere </w:t>
            </w:r>
            <w:r w:rsidRPr="009437EE">
              <w:t>formalidades distintas a las pactadas</w:t>
            </w:r>
            <w:r w:rsidRPr="009437EE">
              <w:rPr>
                <w:spacing w:val="3"/>
              </w:rPr>
              <w:t xml:space="preserve"> </w:t>
            </w:r>
            <w:r w:rsidRPr="009437EE">
              <w:t>por</w:t>
            </w:r>
          </w:p>
          <w:p w14:paraId="234AA59E" w14:textId="77777777" w:rsidR="00CD36C6" w:rsidRPr="009437EE" w:rsidRDefault="00F33A8C">
            <w:pPr>
              <w:pStyle w:val="TableParagraph"/>
              <w:spacing w:line="236" w:lineRule="exact"/>
            </w:pPr>
            <w:r w:rsidRPr="009437EE">
              <w:t>las partes.</w:t>
            </w:r>
          </w:p>
        </w:tc>
        <w:tc>
          <w:tcPr>
            <w:tcW w:w="4461" w:type="dxa"/>
          </w:tcPr>
          <w:p w14:paraId="01C05660" w14:textId="77777777" w:rsidR="00CD36C6" w:rsidRPr="009437EE" w:rsidRDefault="00CD36C6">
            <w:pPr>
              <w:pStyle w:val="TableParagraph"/>
              <w:ind w:left="0"/>
              <w:rPr>
                <w:rFonts w:ascii="Times New Roman"/>
                <w:sz w:val="20"/>
              </w:rPr>
            </w:pPr>
          </w:p>
        </w:tc>
      </w:tr>
      <w:tr w:rsidR="00CD36C6" w:rsidRPr="009437EE" w14:paraId="7530F7A9" w14:textId="77777777">
        <w:trPr>
          <w:trHeight w:val="760"/>
        </w:trPr>
        <w:tc>
          <w:tcPr>
            <w:tcW w:w="4461" w:type="dxa"/>
          </w:tcPr>
          <w:p w14:paraId="00E80732" w14:textId="77777777" w:rsidR="00CD36C6" w:rsidRPr="009437EE" w:rsidRDefault="00F33A8C">
            <w:pPr>
              <w:pStyle w:val="TableParagraph"/>
              <w:tabs>
                <w:tab w:val="left" w:pos="1449"/>
                <w:tab w:val="left" w:pos="2056"/>
                <w:tab w:val="left" w:pos="2613"/>
                <w:tab w:val="left" w:pos="3428"/>
                <w:tab w:val="left" w:pos="4070"/>
              </w:tabs>
              <w:ind w:right="96" w:hanging="285"/>
            </w:pPr>
            <w:r w:rsidRPr="009437EE">
              <w:t>7. Terminación, ampliación y liquidación del contrato:</w:t>
            </w:r>
            <w:r w:rsidRPr="009437EE">
              <w:tab/>
              <w:t>No</w:t>
            </w:r>
            <w:r w:rsidRPr="009437EE">
              <w:tab/>
              <w:t>se</w:t>
            </w:r>
            <w:r w:rsidRPr="009437EE">
              <w:tab/>
              <w:t>rigen</w:t>
            </w:r>
            <w:r w:rsidRPr="009437EE">
              <w:tab/>
              <w:t>por</w:t>
            </w:r>
            <w:r w:rsidRPr="009437EE">
              <w:tab/>
            </w:r>
            <w:r w:rsidRPr="009437EE">
              <w:rPr>
                <w:spacing w:val="-6"/>
              </w:rPr>
              <w:t>las</w:t>
            </w:r>
          </w:p>
          <w:p w14:paraId="6068B824" w14:textId="77777777" w:rsidR="00CD36C6" w:rsidRPr="009437EE" w:rsidRDefault="00F33A8C">
            <w:pPr>
              <w:pStyle w:val="TableParagraph"/>
              <w:spacing w:line="236" w:lineRule="exact"/>
            </w:pPr>
            <w:r w:rsidRPr="009437EE">
              <w:t>disposiciones de la Ley 80 de 1993.</w:t>
            </w:r>
          </w:p>
        </w:tc>
        <w:tc>
          <w:tcPr>
            <w:tcW w:w="4461" w:type="dxa"/>
          </w:tcPr>
          <w:p w14:paraId="2C6D3903" w14:textId="77777777" w:rsidR="00CD36C6" w:rsidRPr="009437EE" w:rsidRDefault="00CD36C6">
            <w:pPr>
              <w:pStyle w:val="TableParagraph"/>
              <w:ind w:left="0"/>
              <w:rPr>
                <w:rFonts w:ascii="Times New Roman"/>
                <w:sz w:val="20"/>
              </w:rPr>
            </w:pPr>
          </w:p>
        </w:tc>
      </w:tr>
    </w:tbl>
    <w:p w14:paraId="729A0AD9" w14:textId="77777777" w:rsidR="00CD36C6" w:rsidRPr="009437EE" w:rsidRDefault="00CD36C6">
      <w:pPr>
        <w:pStyle w:val="Textoindependiente"/>
        <w:spacing w:before="9"/>
        <w:rPr>
          <w:sz w:val="16"/>
        </w:rPr>
      </w:pPr>
    </w:p>
    <w:p w14:paraId="1A9F1BCC" w14:textId="77777777" w:rsidR="00CD36C6" w:rsidRPr="009437EE" w:rsidRDefault="00F33A8C">
      <w:pPr>
        <w:pStyle w:val="Textoindependiente"/>
        <w:spacing w:before="93" w:line="276" w:lineRule="auto"/>
        <w:ind w:left="220" w:right="105"/>
        <w:jc w:val="both"/>
      </w:pPr>
      <w:r w:rsidRPr="009437EE">
        <w:t>La jurisprudencia del Consejo de Estado se ha pronunciado sobre la combinación de ordenamientos que confluyen en el régimen contractual de las entidades excluidas del Estatuto General de Contratación y ha considerado que el régimen sustantivo del contrato - derecho privado- 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w:t>
      </w:r>
      <w:r w:rsidRPr="009437EE">
        <w:rPr>
          <w:spacing w:val="-9"/>
        </w:rPr>
        <w:t xml:space="preserve"> </w:t>
      </w:r>
      <w:r w:rsidRPr="009437EE">
        <w:t>Pública</w:t>
      </w:r>
      <w:r w:rsidR="00F10FF5" w:rsidRPr="009437EE">
        <w:rPr>
          <w:rStyle w:val="Refdenotaalpie"/>
        </w:rPr>
        <w:footnoteReference w:id="10"/>
      </w:r>
      <w:r w:rsidRPr="009437EE">
        <w:t>.</w:t>
      </w:r>
    </w:p>
    <w:p w14:paraId="6C13AC36" w14:textId="77777777" w:rsidR="00CD36C6" w:rsidRPr="009437EE" w:rsidRDefault="00CD36C6">
      <w:pPr>
        <w:pStyle w:val="Textoindependiente"/>
        <w:rPr>
          <w:sz w:val="20"/>
        </w:rPr>
      </w:pPr>
    </w:p>
    <w:p w14:paraId="49C27240" w14:textId="77777777" w:rsidR="00CD36C6" w:rsidRPr="009437EE" w:rsidRDefault="00F33A8C">
      <w:pPr>
        <w:pStyle w:val="Textoindependiente"/>
        <w:spacing w:before="93" w:line="276" w:lineRule="auto"/>
        <w:ind w:left="220" w:right="103"/>
        <w:jc w:val="both"/>
      </w:pPr>
      <w:r w:rsidRPr="009437EE">
        <w:t xml:space="preserve">De lo anterior se colige, entonces, que en la actualidad los contratos celebrados por los fondos mixtos para la promoción de la cultura y las artes, en cumplimiento de su objeto,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w:t>
      </w:r>
      <w:r w:rsidRPr="009437EE">
        <w:lastRenderedPageBreak/>
        <w:t>que deben ser observados para ceñir la contratación al ordenamiento jurídico</w:t>
      </w:r>
      <w:r w:rsidRPr="009437EE">
        <w:rPr>
          <w:spacing w:val="-2"/>
        </w:rPr>
        <w:t xml:space="preserve"> </w:t>
      </w:r>
      <w:r w:rsidRPr="009437EE">
        <w:t>aplicable.</w:t>
      </w:r>
    </w:p>
    <w:p w14:paraId="43A5EAF9" w14:textId="77777777" w:rsidR="00CD36C6" w:rsidRPr="009437EE" w:rsidRDefault="00CD36C6">
      <w:pPr>
        <w:pStyle w:val="Textoindependiente"/>
        <w:spacing w:before="6"/>
        <w:rPr>
          <w:sz w:val="25"/>
        </w:rPr>
      </w:pPr>
    </w:p>
    <w:p w14:paraId="4F34379C" w14:textId="77777777" w:rsidR="00CD36C6" w:rsidRPr="009437EE" w:rsidRDefault="00F33A8C">
      <w:pPr>
        <w:pStyle w:val="Textoindependiente"/>
        <w:spacing w:line="276" w:lineRule="auto"/>
        <w:ind w:left="220" w:right="106"/>
        <w:jc w:val="both"/>
      </w:pPr>
      <w:r w:rsidRPr="009437EE">
        <w:t>Resulta útil acudir a sus estatutos o los reglamentos internos o manuales de contratación, pues éstos comportan el instrumento idóneo para edificar la simbiosis existente entre las normas de derecho privado y público que gobiernan la contratación, y una vez proferido, adquiere un carácter vinculante</w:t>
      </w:r>
      <w:r w:rsidR="0052344C" w:rsidRPr="009437EE">
        <w:rPr>
          <w:rStyle w:val="Refdenotaalpie"/>
        </w:rPr>
        <w:footnoteReference w:id="11"/>
      </w:r>
      <w:r w:rsidRPr="009437EE">
        <w:rPr>
          <w:position w:val="8"/>
          <w:sz w:val="14"/>
        </w:rPr>
        <w:t xml:space="preserve"> </w:t>
      </w:r>
      <w:r w:rsidRPr="009437EE">
        <w:t>y permite la aplicación práctica de los principios aludidos en el artículo 13 de la Ley 1150 de 2007. Sobre el particular, el Consejo de Estado ha considerado lo siguiente:</w:t>
      </w:r>
    </w:p>
    <w:p w14:paraId="1EBBE60A" w14:textId="77777777" w:rsidR="00CD36C6" w:rsidRPr="009437EE" w:rsidRDefault="00CD36C6">
      <w:pPr>
        <w:pStyle w:val="Textoindependiente"/>
        <w:spacing w:before="8"/>
        <w:rPr>
          <w:sz w:val="24"/>
        </w:rPr>
      </w:pPr>
    </w:p>
    <w:p w14:paraId="2974C7B4" w14:textId="388EF33B" w:rsidR="00CD36C6" w:rsidRPr="009437EE" w:rsidRDefault="00F33A8C">
      <w:pPr>
        <w:pStyle w:val="Textoindependiente"/>
        <w:spacing w:before="1"/>
        <w:ind w:left="930" w:right="534"/>
        <w:jc w:val="both"/>
      </w:pPr>
      <w:r w:rsidRPr="009437EE">
        <w:t>“el régimen contractual de estas entidades queda sujeto a una combinación muy incierta, pero efectiva: al derecho privado, a los principios de la función administrativa y de la gestión fiscal y al reglamento interno de contratación, que en el fondo pondera parte de los dos regímenes</w:t>
      </w:r>
      <w:r w:rsidRPr="009437EE">
        <w:rPr>
          <w:spacing w:val="-14"/>
        </w:rPr>
        <w:t xml:space="preserve"> </w:t>
      </w:r>
      <w:r w:rsidRPr="009437EE">
        <w:t>anteriores</w:t>
      </w:r>
      <w:r w:rsidR="00E66344">
        <w:t>.</w:t>
      </w:r>
    </w:p>
    <w:p w14:paraId="001E1578" w14:textId="77777777" w:rsidR="00CD36C6" w:rsidRPr="009437EE" w:rsidRDefault="00CD36C6">
      <w:pPr>
        <w:pStyle w:val="Textoindependiente"/>
      </w:pPr>
    </w:p>
    <w:p w14:paraId="1D2A3E3D" w14:textId="77777777" w:rsidR="00CD36C6" w:rsidRPr="009437EE" w:rsidRDefault="00F33A8C">
      <w:pPr>
        <w:pStyle w:val="Textoindependiente"/>
        <w:ind w:left="930" w:right="529"/>
        <w:jc w:val="both"/>
      </w:pPr>
      <w:r w:rsidRPr="009437EE">
        <w:t>De conformidad con esta conclusión, una vez reglamentada parte de la libertad contractual, por exigencia de la ley, se abandona y se convierte en regla, y en adelante vincula con la fuerza propia del reglamento. De allí que la entidad excluida pierde libertad y se sujeta a su reglamento. Claro está que en lo no previsto allí se conserva la remisión pura al derecho privado y a la aplicación de los principios de la función administrativa y de la gestión fiscal”</w:t>
      </w:r>
      <w:r w:rsidR="0052344C" w:rsidRPr="009437EE">
        <w:rPr>
          <w:rStyle w:val="Refdenotaalpie"/>
        </w:rPr>
        <w:footnoteReference w:id="12"/>
      </w:r>
      <w:r w:rsidRPr="009437EE">
        <w:t>.</w:t>
      </w:r>
    </w:p>
    <w:p w14:paraId="0B22516B" w14:textId="77777777" w:rsidR="00CD36C6" w:rsidRPr="009437EE" w:rsidRDefault="00CD36C6">
      <w:pPr>
        <w:pStyle w:val="Textoindependiente"/>
        <w:rPr>
          <w:sz w:val="25"/>
        </w:rPr>
      </w:pPr>
    </w:p>
    <w:p w14:paraId="3E9A32F0" w14:textId="77777777" w:rsidR="00CD36C6" w:rsidRPr="009437EE" w:rsidRDefault="00F33A8C" w:rsidP="0052344C">
      <w:pPr>
        <w:pStyle w:val="Textoindependiente"/>
        <w:spacing w:line="276" w:lineRule="auto"/>
        <w:ind w:left="220" w:right="109"/>
        <w:jc w:val="both"/>
      </w:pPr>
      <w:r w:rsidRPr="009437EE">
        <w:t>En consonancia, Colombia Compra Eficiente recomienda que las entidades estatales sometidas a regímenes especiales de contratación incluyan en sus manuales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w:t>
      </w:r>
      <w:r w:rsidRPr="009437EE">
        <w:rPr>
          <w:spacing w:val="6"/>
        </w:rPr>
        <w:t xml:space="preserve"> </w:t>
      </w:r>
      <w:r w:rsidRPr="009437EE">
        <w:t>del</w:t>
      </w:r>
      <w:r w:rsidR="0052344C" w:rsidRPr="009437EE">
        <w:t xml:space="preserve"> </w:t>
      </w:r>
      <w:r w:rsidRPr="009437EE">
        <w:t>sistema de compras y contratación pública en todas las etapas del Proceso de Contratación, con base en su autonomía”</w:t>
      </w:r>
      <w:r w:rsidR="00E95ABA" w:rsidRPr="009437EE">
        <w:rPr>
          <w:rStyle w:val="Refdenotaalpie"/>
        </w:rPr>
        <w:footnoteReference w:id="13"/>
      </w:r>
      <w:r w:rsidRPr="009437EE">
        <w:t>.</w:t>
      </w:r>
    </w:p>
    <w:p w14:paraId="0701AAC3" w14:textId="77777777" w:rsidR="00CD36C6" w:rsidRPr="009437EE" w:rsidRDefault="00CD36C6">
      <w:pPr>
        <w:pStyle w:val="Textoindependiente"/>
        <w:spacing w:before="6"/>
        <w:rPr>
          <w:sz w:val="25"/>
        </w:rPr>
      </w:pPr>
    </w:p>
    <w:p w14:paraId="6600AC4A" w14:textId="77777777" w:rsidR="00CD36C6" w:rsidRPr="009437EE" w:rsidRDefault="00F33A8C">
      <w:pPr>
        <w:pStyle w:val="Ttulo1"/>
        <w:numPr>
          <w:ilvl w:val="0"/>
          <w:numId w:val="1"/>
        </w:numPr>
        <w:tabs>
          <w:tab w:val="left" w:pos="463"/>
        </w:tabs>
        <w:ind w:left="463" w:hanging="243"/>
      </w:pPr>
      <w:r w:rsidRPr="009437EE">
        <w:t>Respuesta</w:t>
      </w:r>
    </w:p>
    <w:p w14:paraId="42DE8E97" w14:textId="77777777" w:rsidR="00CD36C6" w:rsidRPr="009437EE" w:rsidRDefault="00CD36C6">
      <w:pPr>
        <w:pStyle w:val="Textoindependiente"/>
        <w:spacing w:before="5"/>
        <w:rPr>
          <w:b/>
          <w:sz w:val="28"/>
        </w:rPr>
      </w:pPr>
    </w:p>
    <w:p w14:paraId="6F110C6C" w14:textId="77777777" w:rsidR="00CD36C6" w:rsidRPr="009437EE" w:rsidRDefault="00F33A8C">
      <w:pPr>
        <w:pStyle w:val="Textoindependiente"/>
        <w:spacing w:line="276" w:lineRule="auto"/>
        <w:ind w:left="220" w:right="103"/>
        <w:jc w:val="both"/>
      </w:pPr>
      <w:r w:rsidRPr="009437EE">
        <w:t xml:space="preserve">De conformidad con las consideraciones expuestas, los fondos mixtos para la promoción de la cultura y las artes, por regla general, no tienen el deber de adelantar procedimientos de selección de oferentes en los términos dispuestos en el Estatuto General de Contratación de </w:t>
      </w:r>
      <w:r w:rsidRPr="009437EE">
        <w:lastRenderedPageBreak/>
        <w:t>la Administración Pública, dado que estos procedimientos precontractuales son propios del régimen de los contratos estatales sometidos a la Ley 80 de 1993 y la Ley 1150 de 2007, regulación que no le es aplicable a los contratos regidos por el derecho privado. Lo anterior sin perjuicio de las reglas propias que hayan sido estipuladas en los estatutos o en el reglamento interno o manual de contratación de los fondos mixtos, caso en el cual deberán</w:t>
      </w:r>
      <w:r w:rsidRPr="009437EE">
        <w:rPr>
          <w:spacing w:val="-9"/>
        </w:rPr>
        <w:t xml:space="preserve"> </w:t>
      </w:r>
      <w:r w:rsidRPr="009437EE">
        <w:t>atenderse.</w:t>
      </w:r>
    </w:p>
    <w:p w14:paraId="7C1675B4" w14:textId="77777777" w:rsidR="00CD36C6" w:rsidRPr="009437EE" w:rsidRDefault="00CD36C6">
      <w:pPr>
        <w:pStyle w:val="Textoindependiente"/>
        <w:spacing w:before="5"/>
        <w:rPr>
          <w:sz w:val="25"/>
        </w:rPr>
      </w:pPr>
    </w:p>
    <w:p w14:paraId="04AE7EF1" w14:textId="77777777" w:rsidR="00CD36C6" w:rsidRPr="009437EE" w:rsidRDefault="00F33A8C">
      <w:pPr>
        <w:pStyle w:val="Textoindependiente"/>
        <w:spacing w:line="276" w:lineRule="auto"/>
        <w:ind w:left="220" w:right="109"/>
        <w:jc w:val="both"/>
      </w:pPr>
      <w:r w:rsidRPr="009437EE">
        <w:t>Este concepto tiene el alcance previsto en el artículo 28 del Código de Procedimiento Administrativo y de lo Contencioso Administrativo.</w:t>
      </w:r>
    </w:p>
    <w:p w14:paraId="3548A377" w14:textId="704D021F" w:rsidR="00CD36C6" w:rsidRPr="009437EE" w:rsidRDefault="0074351B">
      <w:pPr>
        <w:pStyle w:val="Textoindependiente"/>
        <w:spacing w:before="10"/>
      </w:pPr>
      <w:r>
        <w:rPr>
          <w:noProof/>
          <w:lang w:val="en-US" w:eastAsia="en-US" w:bidi="ar-SA"/>
        </w:rPr>
        <mc:AlternateContent>
          <mc:Choice Requires="wps">
            <w:drawing>
              <wp:anchor distT="0" distB="0" distL="0" distR="0" simplePos="0" relativeHeight="251657728" behindDoc="1" locked="0" layoutInCell="1" allowOverlap="1" wp14:anchorId="3EB3E3BF" wp14:editId="75BD0A9C">
                <wp:simplePos x="0" y="0"/>
                <wp:positionH relativeFrom="page">
                  <wp:posOffset>1514475</wp:posOffset>
                </wp:positionH>
                <wp:positionV relativeFrom="paragraph">
                  <wp:posOffset>196850</wp:posOffset>
                </wp:positionV>
                <wp:extent cx="46863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D677"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5pt" to="48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" strokecolor="#dbdbdb">
                <w10:wrap type="topAndBottom" anchorx="page"/>
              </v:line>
            </w:pict>
          </mc:Fallback>
        </mc:AlternateContent>
      </w:r>
    </w:p>
    <w:p w14:paraId="1634F639" w14:textId="77777777" w:rsidR="0052344C" w:rsidRPr="009437EE" w:rsidRDefault="0052344C">
      <w:pPr>
        <w:pStyle w:val="Textoindependiente"/>
        <w:spacing w:after="63"/>
        <w:ind w:left="220"/>
      </w:pPr>
    </w:p>
    <w:p w14:paraId="08D6A866" w14:textId="77777777" w:rsidR="00CD36C6" w:rsidRPr="009437EE" w:rsidRDefault="00F33A8C">
      <w:pPr>
        <w:pStyle w:val="Textoindependiente"/>
        <w:spacing w:after="63"/>
        <w:ind w:left="220"/>
      </w:pPr>
      <w:r w:rsidRPr="009437EE">
        <w:t>Atentamente,</w:t>
      </w:r>
    </w:p>
    <w:p w14:paraId="0A3E9053" w14:textId="77777777" w:rsidR="006D5ACD" w:rsidRPr="009D5D6D" w:rsidRDefault="006D5ACD" w:rsidP="006D5ACD">
      <w:pPr>
        <w:pStyle w:val="Textoindependiente"/>
        <w:jc w:val="center"/>
      </w:pPr>
      <w:r>
        <w:rPr>
          <w:noProof/>
          <w:lang w:val="en-US" w:eastAsia="en-US" w:bidi="ar-SA"/>
        </w:rPr>
        <w:drawing>
          <wp:inline distT="0" distB="0" distL="0" distR="0" wp14:anchorId="21983804" wp14:editId="0FB673D7">
            <wp:extent cx="2773144" cy="988695"/>
            <wp:effectExtent l="0" t="0" r="0" b="0"/>
            <wp:docPr id="32298889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6E29DB36" w14:textId="4B5E5D45" w:rsidR="00CD36C6" w:rsidRPr="009437EE" w:rsidRDefault="00F33A8C" w:rsidP="006D5ACD">
      <w:pPr>
        <w:pStyle w:val="Textoindependiente"/>
        <w:spacing w:after="63"/>
        <w:ind w:left="220"/>
      </w:pPr>
      <w:r w:rsidRPr="009437EE">
        <w:t>Proyectó: Sara Milena Núñez Aldana</w:t>
      </w:r>
    </w:p>
    <w:sectPr w:rsidR="00CD36C6" w:rsidRPr="009437EE">
      <w:headerReference w:type="default" r:id="rId12"/>
      <w:footerReference w:type="default" r:id="rId13"/>
      <w:pgSz w:w="12240" w:h="15840"/>
      <w:pgMar w:top="1560" w:right="1500" w:bottom="2060" w:left="14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7A685" w14:textId="77777777" w:rsidR="00D22978" w:rsidRDefault="00D22978">
      <w:r>
        <w:separator/>
      </w:r>
    </w:p>
  </w:endnote>
  <w:endnote w:type="continuationSeparator" w:id="0">
    <w:p w14:paraId="5E8419F4" w14:textId="77777777" w:rsidR="00D22978" w:rsidRDefault="00D2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4BDC2" w14:textId="77777777" w:rsidR="00CD36C6" w:rsidRDefault="00F33A8C">
    <w:pPr>
      <w:pStyle w:val="Textoindependiente"/>
      <w:spacing w:line="14" w:lineRule="auto"/>
      <w:rPr>
        <w:sz w:val="20"/>
      </w:rPr>
    </w:pPr>
    <w:r>
      <w:rPr>
        <w:noProof/>
        <w:lang w:val="en-US" w:eastAsia="en-US" w:bidi="ar-SA"/>
      </w:rPr>
      <w:drawing>
        <wp:anchor distT="0" distB="0" distL="0" distR="0" simplePos="0" relativeHeight="251667456" behindDoc="1" locked="0" layoutInCell="1" allowOverlap="1" wp14:anchorId="320FDEC7" wp14:editId="25E243D3">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D9219" w14:textId="77777777" w:rsidR="00D22978" w:rsidRDefault="00D22978">
      <w:r>
        <w:separator/>
      </w:r>
    </w:p>
  </w:footnote>
  <w:footnote w:type="continuationSeparator" w:id="0">
    <w:p w14:paraId="11AF202C" w14:textId="77777777" w:rsidR="00D22978" w:rsidRDefault="00D22978">
      <w:r>
        <w:continuationSeparator/>
      </w:r>
    </w:p>
  </w:footnote>
  <w:footnote w:id="1">
    <w:p w14:paraId="7B84807F" w14:textId="77777777" w:rsidR="007E6BF3" w:rsidRPr="00E95ABA" w:rsidRDefault="007E6BF3" w:rsidP="00E95ABA">
      <w:pPr>
        <w:ind w:firstLine="720"/>
        <w:jc w:val="both"/>
        <w:rPr>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Artículo 57 de la Ley 397 de 1997.</w:t>
      </w:r>
    </w:p>
    <w:p w14:paraId="254285DE" w14:textId="77777777" w:rsidR="007E6BF3" w:rsidRPr="00E95ABA" w:rsidRDefault="007E6BF3" w:rsidP="00E95ABA">
      <w:pPr>
        <w:pStyle w:val="Textonotapie"/>
        <w:ind w:firstLine="720"/>
        <w:jc w:val="both"/>
        <w:rPr>
          <w:sz w:val="19"/>
          <w:szCs w:val="19"/>
          <w:lang w:val="es-CO"/>
        </w:rPr>
      </w:pPr>
    </w:p>
  </w:footnote>
  <w:footnote w:id="2">
    <w:p w14:paraId="041667B3" w14:textId="77777777" w:rsidR="007E6BF3" w:rsidRPr="00E95ABA" w:rsidRDefault="007E6BF3" w:rsidP="00E95ABA">
      <w:pPr>
        <w:pStyle w:val="Textonotapie"/>
        <w:ind w:firstLine="720"/>
        <w:jc w:val="both"/>
        <w:rPr>
          <w:sz w:val="19"/>
          <w:szCs w:val="19"/>
          <w:lang w:val="es-CO"/>
        </w:rPr>
      </w:pPr>
      <w:r w:rsidRPr="00E95ABA">
        <w:rPr>
          <w:rStyle w:val="Refdenotaalpie"/>
          <w:sz w:val="19"/>
          <w:szCs w:val="19"/>
        </w:rPr>
        <w:footnoteRef/>
      </w:r>
      <w:r w:rsidRPr="00E95ABA">
        <w:rPr>
          <w:sz w:val="19"/>
          <w:szCs w:val="19"/>
        </w:rPr>
        <w:t xml:space="preserve"> </w:t>
      </w:r>
      <w:r w:rsidRPr="00E95ABA">
        <w:rPr>
          <w:color w:val="4E4D4D"/>
          <w:sz w:val="19"/>
          <w:szCs w:val="19"/>
        </w:rPr>
        <w:t>Sentencia C-617 de 2012, M.P. Luis Ernesto Vargas Silva.</w:t>
      </w:r>
    </w:p>
  </w:footnote>
  <w:footnote w:id="3">
    <w:p w14:paraId="6A94ED88" w14:textId="77777777" w:rsidR="00734424" w:rsidRPr="00E95ABA" w:rsidRDefault="00734424" w:rsidP="00E95ABA">
      <w:pPr>
        <w:ind w:firstLine="720"/>
        <w:jc w:val="both"/>
        <w:rPr>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Servicios Civil, concepto de 16 de febrero de 2016, rad.</w:t>
      </w:r>
      <w:r w:rsidRPr="00E95ABA">
        <w:rPr>
          <w:color w:val="4E4D4D"/>
          <w:spacing w:val="-20"/>
          <w:sz w:val="19"/>
          <w:szCs w:val="19"/>
        </w:rPr>
        <w:t xml:space="preserve"> </w:t>
      </w:r>
      <w:r w:rsidRPr="00E95ABA">
        <w:rPr>
          <w:color w:val="4E4D4D"/>
          <w:sz w:val="19"/>
          <w:szCs w:val="19"/>
        </w:rPr>
        <w:t>2015-00110-00(2259)]</w:t>
      </w:r>
    </w:p>
    <w:p w14:paraId="6E695A63" w14:textId="77777777" w:rsidR="00734424" w:rsidRPr="00E95ABA" w:rsidRDefault="00734424" w:rsidP="00E95ABA">
      <w:pPr>
        <w:pStyle w:val="Textonotapie"/>
        <w:ind w:firstLine="720"/>
        <w:jc w:val="both"/>
        <w:rPr>
          <w:sz w:val="19"/>
          <w:szCs w:val="19"/>
          <w:lang w:val="es-CO"/>
        </w:rPr>
      </w:pPr>
    </w:p>
  </w:footnote>
  <w:footnote w:id="4">
    <w:p w14:paraId="5ABD7BF4" w14:textId="77777777" w:rsidR="00F47A76" w:rsidRPr="00E95ABA" w:rsidRDefault="00F47A76" w:rsidP="00E95ABA">
      <w:pPr>
        <w:pStyle w:val="Textonotapie"/>
        <w:ind w:firstLine="720"/>
        <w:jc w:val="both"/>
        <w:rPr>
          <w:color w:val="4E4D4D"/>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Artículo 32 de la Ley 80 de 1993.</w:t>
      </w:r>
    </w:p>
    <w:p w14:paraId="32492060" w14:textId="77777777" w:rsidR="00F47A76" w:rsidRPr="00E95ABA" w:rsidRDefault="00F47A76" w:rsidP="00E95ABA">
      <w:pPr>
        <w:pStyle w:val="Textonotapie"/>
        <w:ind w:firstLine="720"/>
        <w:jc w:val="both"/>
        <w:rPr>
          <w:sz w:val="19"/>
          <w:szCs w:val="19"/>
          <w:lang w:val="es-CO"/>
        </w:rPr>
      </w:pPr>
    </w:p>
  </w:footnote>
  <w:footnote w:id="5">
    <w:p w14:paraId="3A6BC975" w14:textId="77777777" w:rsidR="00F47A76" w:rsidRPr="00E95ABA" w:rsidRDefault="00F47A76" w:rsidP="00E95ABA">
      <w:pPr>
        <w:ind w:firstLine="720"/>
        <w:jc w:val="both"/>
        <w:rPr>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“Artículo</w:t>
      </w:r>
      <w:r w:rsidRPr="00E95ABA">
        <w:rPr>
          <w:color w:val="4E4D4D"/>
          <w:spacing w:val="-4"/>
          <w:sz w:val="19"/>
          <w:szCs w:val="19"/>
        </w:rPr>
        <w:t xml:space="preserve"> </w:t>
      </w:r>
      <w:r w:rsidRPr="00E95ABA">
        <w:rPr>
          <w:color w:val="4E4D4D"/>
          <w:sz w:val="19"/>
          <w:szCs w:val="19"/>
        </w:rPr>
        <w:t>2°.</w:t>
      </w:r>
      <w:r w:rsidRPr="00E95ABA">
        <w:rPr>
          <w:color w:val="4E4D4D"/>
          <w:spacing w:val="-2"/>
          <w:sz w:val="19"/>
          <w:szCs w:val="19"/>
        </w:rPr>
        <w:t xml:space="preserve"> </w:t>
      </w:r>
      <w:r w:rsidRPr="00E95ABA">
        <w:rPr>
          <w:color w:val="4E4D4D"/>
          <w:sz w:val="19"/>
          <w:szCs w:val="19"/>
        </w:rPr>
        <w:t>De</w:t>
      </w:r>
      <w:r w:rsidRPr="00E95ABA">
        <w:rPr>
          <w:color w:val="4E4D4D"/>
          <w:spacing w:val="-2"/>
          <w:sz w:val="19"/>
          <w:szCs w:val="19"/>
        </w:rPr>
        <w:t xml:space="preserve"> </w:t>
      </w:r>
      <w:r w:rsidRPr="00E95ABA">
        <w:rPr>
          <w:color w:val="4E4D4D"/>
          <w:sz w:val="19"/>
          <w:szCs w:val="19"/>
        </w:rPr>
        <w:t>la</w:t>
      </w:r>
      <w:r w:rsidRPr="00E95ABA">
        <w:rPr>
          <w:color w:val="4E4D4D"/>
          <w:spacing w:val="-3"/>
          <w:sz w:val="19"/>
          <w:szCs w:val="19"/>
        </w:rPr>
        <w:t xml:space="preserve"> </w:t>
      </w:r>
      <w:r w:rsidRPr="00E95ABA">
        <w:rPr>
          <w:color w:val="4E4D4D"/>
          <w:sz w:val="19"/>
          <w:szCs w:val="19"/>
        </w:rPr>
        <w:t>definición</w:t>
      </w:r>
      <w:r w:rsidRPr="00E95ABA">
        <w:rPr>
          <w:color w:val="4E4D4D"/>
          <w:spacing w:val="-2"/>
          <w:sz w:val="19"/>
          <w:szCs w:val="19"/>
        </w:rPr>
        <w:t xml:space="preserve"> </w:t>
      </w:r>
      <w:r w:rsidRPr="00E95ABA">
        <w:rPr>
          <w:color w:val="4E4D4D"/>
          <w:sz w:val="19"/>
          <w:szCs w:val="19"/>
        </w:rPr>
        <w:t>de</w:t>
      </w:r>
      <w:r w:rsidRPr="00E95ABA">
        <w:rPr>
          <w:color w:val="4E4D4D"/>
          <w:spacing w:val="-5"/>
          <w:sz w:val="19"/>
          <w:szCs w:val="19"/>
        </w:rPr>
        <w:t xml:space="preserve"> </w:t>
      </w:r>
      <w:r w:rsidRPr="00E95ABA">
        <w:rPr>
          <w:color w:val="4E4D4D"/>
          <w:sz w:val="19"/>
          <w:szCs w:val="19"/>
        </w:rPr>
        <w:t>entidades,</w:t>
      </w:r>
      <w:r w:rsidRPr="00E95ABA">
        <w:rPr>
          <w:color w:val="4E4D4D"/>
          <w:spacing w:val="-3"/>
          <w:sz w:val="19"/>
          <w:szCs w:val="19"/>
        </w:rPr>
        <w:t xml:space="preserve"> </w:t>
      </w:r>
      <w:r w:rsidRPr="00E95ABA">
        <w:rPr>
          <w:color w:val="4E4D4D"/>
          <w:sz w:val="19"/>
          <w:szCs w:val="19"/>
        </w:rPr>
        <w:t>servidores</w:t>
      </w:r>
      <w:r w:rsidRPr="00E95ABA">
        <w:rPr>
          <w:color w:val="4E4D4D"/>
          <w:spacing w:val="-2"/>
          <w:sz w:val="19"/>
          <w:szCs w:val="19"/>
        </w:rPr>
        <w:t xml:space="preserve"> </w:t>
      </w:r>
      <w:r w:rsidRPr="00E95ABA">
        <w:rPr>
          <w:color w:val="4E4D4D"/>
          <w:sz w:val="19"/>
          <w:szCs w:val="19"/>
        </w:rPr>
        <w:t>y</w:t>
      </w:r>
      <w:r w:rsidRPr="00E95ABA">
        <w:rPr>
          <w:color w:val="4E4D4D"/>
          <w:spacing w:val="-5"/>
          <w:sz w:val="19"/>
          <w:szCs w:val="19"/>
        </w:rPr>
        <w:t xml:space="preserve"> </w:t>
      </w:r>
      <w:r w:rsidRPr="00E95ABA">
        <w:rPr>
          <w:color w:val="4E4D4D"/>
          <w:sz w:val="19"/>
          <w:szCs w:val="19"/>
        </w:rPr>
        <w:t>servicios</w:t>
      </w:r>
      <w:r w:rsidRPr="00E95ABA">
        <w:rPr>
          <w:color w:val="4E4D4D"/>
          <w:spacing w:val="-2"/>
          <w:sz w:val="19"/>
          <w:szCs w:val="19"/>
        </w:rPr>
        <w:t xml:space="preserve"> </w:t>
      </w:r>
      <w:proofErr w:type="spellStart"/>
      <w:proofErr w:type="gramStart"/>
      <w:r w:rsidRPr="00E95ABA">
        <w:rPr>
          <w:color w:val="4E4D4D"/>
          <w:sz w:val="19"/>
          <w:szCs w:val="19"/>
        </w:rPr>
        <w:t>públicos.Para</w:t>
      </w:r>
      <w:proofErr w:type="spellEnd"/>
      <w:proofErr w:type="gramEnd"/>
      <w:r w:rsidRPr="00E95ABA">
        <w:rPr>
          <w:color w:val="4E4D4D"/>
          <w:spacing w:val="-4"/>
          <w:sz w:val="19"/>
          <w:szCs w:val="19"/>
        </w:rPr>
        <w:t xml:space="preserve"> </w:t>
      </w:r>
      <w:r w:rsidRPr="00E95ABA">
        <w:rPr>
          <w:color w:val="4E4D4D"/>
          <w:sz w:val="19"/>
          <w:szCs w:val="19"/>
        </w:rPr>
        <w:t>los</w:t>
      </w:r>
      <w:r w:rsidRPr="00E95ABA">
        <w:rPr>
          <w:color w:val="4E4D4D"/>
          <w:spacing w:val="-3"/>
          <w:sz w:val="19"/>
          <w:szCs w:val="19"/>
        </w:rPr>
        <w:t xml:space="preserve"> </w:t>
      </w:r>
      <w:r w:rsidRPr="00E95ABA">
        <w:rPr>
          <w:color w:val="4E4D4D"/>
          <w:sz w:val="19"/>
          <w:szCs w:val="19"/>
        </w:rPr>
        <w:t>solos</w:t>
      </w:r>
      <w:r w:rsidRPr="00E95ABA">
        <w:rPr>
          <w:color w:val="4E4D4D"/>
          <w:spacing w:val="-3"/>
          <w:sz w:val="19"/>
          <w:szCs w:val="19"/>
        </w:rPr>
        <w:t xml:space="preserve"> </w:t>
      </w:r>
      <w:r w:rsidRPr="00E95ABA">
        <w:rPr>
          <w:color w:val="4E4D4D"/>
          <w:sz w:val="19"/>
          <w:szCs w:val="19"/>
        </w:rPr>
        <w:t>efectos</w:t>
      </w:r>
      <w:r w:rsidRPr="00E95ABA">
        <w:rPr>
          <w:color w:val="4E4D4D"/>
          <w:spacing w:val="-4"/>
          <w:sz w:val="19"/>
          <w:szCs w:val="19"/>
        </w:rPr>
        <w:t xml:space="preserve"> </w:t>
      </w:r>
      <w:r w:rsidRPr="00E95ABA">
        <w:rPr>
          <w:color w:val="4E4D4D"/>
          <w:sz w:val="19"/>
          <w:szCs w:val="19"/>
        </w:rPr>
        <w:t>de</w:t>
      </w:r>
      <w:r w:rsidRPr="00E95ABA">
        <w:rPr>
          <w:color w:val="4E4D4D"/>
          <w:spacing w:val="-3"/>
          <w:sz w:val="19"/>
          <w:szCs w:val="19"/>
        </w:rPr>
        <w:t xml:space="preserve"> </w:t>
      </w:r>
      <w:r w:rsidRPr="00E95ABA">
        <w:rPr>
          <w:color w:val="4E4D4D"/>
          <w:sz w:val="19"/>
          <w:szCs w:val="19"/>
        </w:rPr>
        <w:t>esta</w:t>
      </w:r>
      <w:r w:rsidRPr="00E95ABA">
        <w:rPr>
          <w:color w:val="4E4D4D"/>
          <w:spacing w:val="-3"/>
          <w:sz w:val="19"/>
          <w:szCs w:val="19"/>
        </w:rPr>
        <w:t xml:space="preserve"> </w:t>
      </w:r>
      <w:r w:rsidRPr="00E95ABA">
        <w:rPr>
          <w:color w:val="4E4D4D"/>
          <w:sz w:val="19"/>
          <w:szCs w:val="19"/>
        </w:rPr>
        <w:t>ley: “1o. Se denominan entidades</w:t>
      </w:r>
      <w:r w:rsidRPr="00E95ABA">
        <w:rPr>
          <w:color w:val="4E4D4D"/>
          <w:spacing w:val="-3"/>
          <w:sz w:val="19"/>
          <w:szCs w:val="19"/>
        </w:rPr>
        <w:t xml:space="preserve"> </w:t>
      </w:r>
      <w:r w:rsidRPr="00E95ABA">
        <w:rPr>
          <w:color w:val="4E4D4D"/>
          <w:sz w:val="19"/>
          <w:szCs w:val="19"/>
        </w:rPr>
        <w:t>estatales:</w:t>
      </w:r>
    </w:p>
    <w:p w14:paraId="541C6B63" w14:textId="77777777" w:rsidR="00410293" w:rsidRDefault="00410293" w:rsidP="00410293">
      <w:pPr>
        <w:jc w:val="both"/>
        <w:rPr>
          <w:color w:val="4E4D4D"/>
          <w:sz w:val="19"/>
          <w:szCs w:val="19"/>
        </w:rPr>
      </w:pPr>
    </w:p>
    <w:p w14:paraId="6150A5A8" w14:textId="77777777" w:rsidR="00F47A76" w:rsidRPr="00E95ABA" w:rsidRDefault="00F47A76" w:rsidP="00410293">
      <w:pPr>
        <w:jc w:val="both"/>
        <w:rPr>
          <w:sz w:val="19"/>
          <w:szCs w:val="19"/>
        </w:rPr>
      </w:pPr>
      <w:r w:rsidRPr="00E95ABA">
        <w:rPr>
          <w:color w:val="4E4D4D"/>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DEFFF10" w14:textId="77777777" w:rsidR="00410293" w:rsidRDefault="00410293" w:rsidP="00410293">
      <w:pPr>
        <w:jc w:val="both"/>
        <w:rPr>
          <w:color w:val="4E4D4D"/>
          <w:sz w:val="19"/>
          <w:szCs w:val="19"/>
        </w:rPr>
      </w:pPr>
    </w:p>
    <w:p w14:paraId="2B18EB45" w14:textId="77777777" w:rsidR="00F47A76" w:rsidRPr="00E95ABA" w:rsidRDefault="00F47A76" w:rsidP="00410293">
      <w:pPr>
        <w:jc w:val="both"/>
        <w:rPr>
          <w:sz w:val="19"/>
          <w:szCs w:val="19"/>
        </w:rPr>
      </w:pPr>
      <w:r w:rsidRPr="00E95ABA">
        <w:rPr>
          <w:color w:val="4E4D4D"/>
          <w:sz w:val="19"/>
          <w:szCs w:val="19"/>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w:t>
      </w:r>
      <w:proofErr w:type="spellStart"/>
      <w:r w:rsidRPr="00E95ABA">
        <w:rPr>
          <w:color w:val="4E4D4D"/>
          <w:sz w:val="19"/>
          <w:szCs w:val="19"/>
        </w:rPr>
        <w:t>Registraduría</w:t>
      </w:r>
      <w:proofErr w:type="spellEnd"/>
      <w:r w:rsidRPr="00E95ABA">
        <w:rPr>
          <w:color w:val="4E4D4D"/>
          <w:sz w:val="19"/>
          <w:szCs w:val="19"/>
        </w:rPr>
        <w:t xml:space="preserve"> Nacional del Estado Civil, los ministerios, los departamentos administrativos, las superintendencias, las unidades administrativas especiales y, en general,</w:t>
      </w:r>
      <w:r w:rsidRPr="00E95ABA">
        <w:rPr>
          <w:color w:val="4E4D4D"/>
          <w:spacing w:val="-5"/>
          <w:sz w:val="19"/>
          <w:szCs w:val="19"/>
        </w:rPr>
        <w:t xml:space="preserve"> </w:t>
      </w:r>
      <w:r w:rsidRPr="00E95ABA">
        <w:rPr>
          <w:color w:val="4E4D4D"/>
          <w:sz w:val="19"/>
          <w:szCs w:val="19"/>
        </w:rPr>
        <w:t>los</w:t>
      </w:r>
      <w:r w:rsidRPr="00E95ABA">
        <w:rPr>
          <w:color w:val="4E4D4D"/>
          <w:spacing w:val="-3"/>
          <w:sz w:val="19"/>
          <w:szCs w:val="19"/>
        </w:rPr>
        <w:t xml:space="preserve"> </w:t>
      </w:r>
      <w:r w:rsidRPr="00E95ABA">
        <w:rPr>
          <w:color w:val="4E4D4D"/>
          <w:sz w:val="19"/>
          <w:szCs w:val="19"/>
        </w:rPr>
        <w:t>organismos</w:t>
      </w:r>
      <w:r w:rsidRPr="00E95ABA">
        <w:rPr>
          <w:color w:val="4E4D4D"/>
          <w:spacing w:val="-4"/>
          <w:sz w:val="19"/>
          <w:szCs w:val="19"/>
        </w:rPr>
        <w:t xml:space="preserve"> </w:t>
      </w:r>
      <w:r w:rsidRPr="00E95ABA">
        <w:rPr>
          <w:color w:val="4E4D4D"/>
          <w:sz w:val="19"/>
          <w:szCs w:val="19"/>
        </w:rPr>
        <w:t>o</w:t>
      </w:r>
      <w:r w:rsidRPr="00E95ABA">
        <w:rPr>
          <w:color w:val="4E4D4D"/>
          <w:spacing w:val="-4"/>
          <w:sz w:val="19"/>
          <w:szCs w:val="19"/>
        </w:rPr>
        <w:t xml:space="preserve"> </w:t>
      </w:r>
      <w:r w:rsidRPr="00E95ABA">
        <w:rPr>
          <w:color w:val="4E4D4D"/>
          <w:sz w:val="19"/>
          <w:szCs w:val="19"/>
        </w:rPr>
        <w:t>dependencias</w:t>
      </w:r>
      <w:r w:rsidRPr="00E95ABA">
        <w:rPr>
          <w:color w:val="4E4D4D"/>
          <w:spacing w:val="-4"/>
          <w:sz w:val="19"/>
          <w:szCs w:val="19"/>
        </w:rPr>
        <w:t xml:space="preserve"> </w:t>
      </w:r>
      <w:r w:rsidRPr="00E95ABA">
        <w:rPr>
          <w:color w:val="4E4D4D"/>
          <w:sz w:val="19"/>
          <w:szCs w:val="19"/>
        </w:rPr>
        <w:t>del</w:t>
      </w:r>
      <w:r w:rsidRPr="00E95ABA">
        <w:rPr>
          <w:color w:val="4E4D4D"/>
          <w:spacing w:val="-4"/>
          <w:sz w:val="19"/>
          <w:szCs w:val="19"/>
        </w:rPr>
        <w:t xml:space="preserve"> </w:t>
      </w:r>
      <w:r w:rsidRPr="00E95ABA">
        <w:rPr>
          <w:color w:val="4E4D4D"/>
          <w:sz w:val="19"/>
          <w:szCs w:val="19"/>
        </w:rPr>
        <w:t>Estado</w:t>
      </w:r>
      <w:r w:rsidRPr="00E95ABA">
        <w:rPr>
          <w:color w:val="4E4D4D"/>
          <w:spacing w:val="-4"/>
          <w:sz w:val="19"/>
          <w:szCs w:val="19"/>
        </w:rPr>
        <w:t xml:space="preserve"> </w:t>
      </w:r>
      <w:r w:rsidRPr="00E95ABA">
        <w:rPr>
          <w:color w:val="4E4D4D"/>
          <w:sz w:val="19"/>
          <w:szCs w:val="19"/>
        </w:rPr>
        <w:t>a</w:t>
      </w:r>
      <w:r w:rsidRPr="00E95ABA">
        <w:rPr>
          <w:color w:val="4E4D4D"/>
          <w:spacing w:val="-5"/>
          <w:sz w:val="19"/>
          <w:szCs w:val="19"/>
        </w:rPr>
        <w:t xml:space="preserve"> </w:t>
      </w:r>
      <w:r w:rsidRPr="00E95ABA">
        <w:rPr>
          <w:color w:val="4E4D4D"/>
          <w:sz w:val="19"/>
          <w:szCs w:val="19"/>
        </w:rPr>
        <w:t>los</w:t>
      </w:r>
      <w:r w:rsidRPr="00E95ABA">
        <w:rPr>
          <w:color w:val="4E4D4D"/>
          <w:spacing w:val="-4"/>
          <w:sz w:val="19"/>
          <w:szCs w:val="19"/>
        </w:rPr>
        <w:t xml:space="preserve"> </w:t>
      </w:r>
      <w:r w:rsidRPr="00E95ABA">
        <w:rPr>
          <w:color w:val="4E4D4D"/>
          <w:sz w:val="19"/>
          <w:szCs w:val="19"/>
        </w:rPr>
        <w:t>que</w:t>
      </w:r>
      <w:r w:rsidRPr="00E95ABA">
        <w:rPr>
          <w:color w:val="4E4D4D"/>
          <w:spacing w:val="-4"/>
          <w:sz w:val="19"/>
          <w:szCs w:val="19"/>
        </w:rPr>
        <w:t xml:space="preserve"> </w:t>
      </w:r>
      <w:r w:rsidRPr="00E95ABA">
        <w:rPr>
          <w:color w:val="4E4D4D"/>
          <w:sz w:val="19"/>
          <w:szCs w:val="19"/>
        </w:rPr>
        <w:t>la</w:t>
      </w:r>
      <w:r w:rsidRPr="00E95ABA">
        <w:rPr>
          <w:color w:val="4E4D4D"/>
          <w:spacing w:val="-4"/>
          <w:sz w:val="19"/>
          <w:szCs w:val="19"/>
        </w:rPr>
        <w:t xml:space="preserve"> </w:t>
      </w:r>
      <w:r w:rsidRPr="00E95ABA">
        <w:rPr>
          <w:color w:val="4E4D4D"/>
          <w:sz w:val="19"/>
          <w:szCs w:val="19"/>
        </w:rPr>
        <w:t>ley</w:t>
      </w:r>
      <w:r w:rsidRPr="00E95ABA">
        <w:rPr>
          <w:color w:val="4E4D4D"/>
          <w:spacing w:val="-6"/>
          <w:sz w:val="19"/>
          <w:szCs w:val="19"/>
        </w:rPr>
        <w:t xml:space="preserve"> </w:t>
      </w:r>
      <w:r w:rsidRPr="00E95ABA">
        <w:rPr>
          <w:color w:val="4E4D4D"/>
          <w:sz w:val="19"/>
          <w:szCs w:val="19"/>
        </w:rPr>
        <w:t>otorgue</w:t>
      </w:r>
      <w:r w:rsidRPr="00E95ABA">
        <w:rPr>
          <w:color w:val="4E4D4D"/>
          <w:spacing w:val="-4"/>
          <w:sz w:val="19"/>
          <w:szCs w:val="19"/>
        </w:rPr>
        <w:t xml:space="preserve"> </w:t>
      </w:r>
      <w:r w:rsidRPr="00E95ABA">
        <w:rPr>
          <w:color w:val="4E4D4D"/>
          <w:sz w:val="19"/>
          <w:szCs w:val="19"/>
        </w:rPr>
        <w:t>capacidad</w:t>
      </w:r>
      <w:r w:rsidRPr="00E95ABA">
        <w:rPr>
          <w:color w:val="4E4D4D"/>
          <w:spacing w:val="-4"/>
          <w:sz w:val="19"/>
          <w:szCs w:val="19"/>
        </w:rPr>
        <w:t xml:space="preserve"> </w:t>
      </w:r>
      <w:r w:rsidRPr="00E95ABA">
        <w:rPr>
          <w:color w:val="4E4D4D"/>
          <w:sz w:val="19"/>
          <w:szCs w:val="19"/>
        </w:rPr>
        <w:t>para</w:t>
      </w:r>
      <w:r w:rsidRPr="00E95ABA">
        <w:rPr>
          <w:color w:val="4E4D4D"/>
          <w:spacing w:val="-4"/>
          <w:sz w:val="19"/>
          <w:szCs w:val="19"/>
        </w:rPr>
        <w:t xml:space="preserve"> </w:t>
      </w:r>
      <w:r w:rsidRPr="00E95ABA">
        <w:rPr>
          <w:color w:val="4E4D4D"/>
          <w:sz w:val="19"/>
          <w:szCs w:val="19"/>
        </w:rPr>
        <w:t>celebrar</w:t>
      </w:r>
      <w:r w:rsidRPr="00E95ABA">
        <w:rPr>
          <w:color w:val="4E4D4D"/>
          <w:spacing w:val="-4"/>
          <w:sz w:val="19"/>
          <w:szCs w:val="19"/>
        </w:rPr>
        <w:t xml:space="preserve"> </w:t>
      </w:r>
      <w:r w:rsidRPr="00E95ABA">
        <w:rPr>
          <w:color w:val="4E4D4D"/>
          <w:sz w:val="19"/>
          <w:szCs w:val="19"/>
        </w:rPr>
        <w:t>contratos”.</w:t>
      </w:r>
    </w:p>
    <w:p w14:paraId="7606839D" w14:textId="77777777" w:rsidR="00F47A76" w:rsidRPr="00E95ABA" w:rsidRDefault="00F47A76" w:rsidP="00E95ABA">
      <w:pPr>
        <w:pStyle w:val="Textonotapie"/>
        <w:ind w:firstLine="720"/>
        <w:jc w:val="both"/>
        <w:rPr>
          <w:sz w:val="19"/>
          <w:szCs w:val="19"/>
          <w:lang w:val="es-CO"/>
        </w:rPr>
      </w:pPr>
    </w:p>
  </w:footnote>
  <w:footnote w:id="6">
    <w:p w14:paraId="72F41E29" w14:textId="77777777" w:rsidR="0074585B" w:rsidRPr="00E95ABA" w:rsidRDefault="0074585B" w:rsidP="00E95ABA">
      <w:pPr>
        <w:pStyle w:val="Textonotapie"/>
        <w:ind w:firstLine="720"/>
        <w:jc w:val="both"/>
        <w:rPr>
          <w:color w:val="4E4D4D"/>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Definición legal que hoy puede encontrarse en el artículo 3 del CPACA.</w:t>
      </w:r>
    </w:p>
    <w:p w14:paraId="1A35FC1D" w14:textId="77777777" w:rsidR="0074585B" w:rsidRPr="00E95ABA" w:rsidRDefault="0074585B" w:rsidP="00E95ABA">
      <w:pPr>
        <w:pStyle w:val="Textonotapie"/>
        <w:ind w:firstLine="720"/>
        <w:jc w:val="both"/>
        <w:rPr>
          <w:sz w:val="19"/>
          <w:szCs w:val="19"/>
          <w:lang w:val="es-CO"/>
        </w:rPr>
      </w:pPr>
    </w:p>
  </w:footnote>
  <w:footnote w:id="7">
    <w:p w14:paraId="2415A9B2" w14:textId="77777777" w:rsidR="0074585B" w:rsidRPr="00E95ABA" w:rsidRDefault="0074585B" w:rsidP="00E95ABA">
      <w:pPr>
        <w:ind w:firstLine="720"/>
        <w:jc w:val="both"/>
        <w:rPr>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Consejo de Estado, Sección Tercera, sentencia de 27 de febrero de 2013, C.P: Mauricio Fajardo Gómez, rad. No. 2000-01561-01(25.590).</w:t>
      </w:r>
    </w:p>
    <w:p w14:paraId="6E1BDE3D" w14:textId="77777777" w:rsidR="0074585B" w:rsidRPr="00E95ABA" w:rsidRDefault="0074585B" w:rsidP="00E95ABA">
      <w:pPr>
        <w:pStyle w:val="Textonotapie"/>
        <w:ind w:firstLine="720"/>
        <w:jc w:val="both"/>
        <w:rPr>
          <w:sz w:val="19"/>
          <w:szCs w:val="19"/>
          <w:lang w:val="es-CO"/>
        </w:rPr>
      </w:pPr>
    </w:p>
  </w:footnote>
  <w:footnote w:id="8">
    <w:p w14:paraId="3E29BC6D" w14:textId="77777777" w:rsidR="00F10FF5" w:rsidRPr="00E95ABA" w:rsidRDefault="00F10FF5" w:rsidP="00E95ABA">
      <w:pPr>
        <w:pStyle w:val="Textonotapie"/>
        <w:ind w:firstLine="720"/>
        <w:jc w:val="both"/>
        <w:rPr>
          <w:color w:val="4E4D4D"/>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 xml:space="preserve">BENAVIDES, José L. y SANTOFIMIO Jaime O, </w:t>
      </w:r>
      <w:proofErr w:type="spellStart"/>
      <w:r w:rsidRPr="00E95ABA">
        <w:rPr>
          <w:color w:val="4E4D4D"/>
          <w:sz w:val="19"/>
          <w:szCs w:val="19"/>
        </w:rPr>
        <w:t>comps</w:t>
      </w:r>
      <w:proofErr w:type="spellEnd"/>
      <w:r w:rsidRPr="00E95ABA">
        <w:rPr>
          <w:color w:val="4E4D4D"/>
          <w:sz w:val="19"/>
          <w:szCs w:val="19"/>
        </w:rPr>
        <w:t>. Contrato estatal. Estudios sobre la reforma del estatuto contractual Ley 1150 de 2007. Universidad Externado de Colombia, 2009, p.410 -</w:t>
      </w:r>
      <w:r w:rsidRPr="00E95ABA">
        <w:rPr>
          <w:color w:val="4E4D4D"/>
          <w:spacing w:val="-23"/>
          <w:sz w:val="19"/>
          <w:szCs w:val="19"/>
        </w:rPr>
        <w:t xml:space="preserve"> </w:t>
      </w:r>
      <w:r w:rsidRPr="00E95ABA">
        <w:rPr>
          <w:color w:val="4E4D4D"/>
          <w:sz w:val="19"/>
          <w:szCs w:val="19"/>
        </w:rPr>
        <w:t>418.</w:t>
      </w:r>
    </w:p>
    <w:p w14:paraId="622E7B96" w14:textId="77777777" w:rsidR="00F10FF5" w:rsidRPr="00E95ABA" w:rsidRDefault="00F10FF5" w:rsidP="00E95ABA">
      <w:pPr>
        <w:pStyle w:val="Textonotapie"/>
        <w:ind w:firstLine="720"/>
        <w:jc w:val="both"/>
        <w:rPr>
          <w:sz w:val="19"/>
          <w:szCs w:val="19"/>
          <w:lang w:val="es-CO"/>
        </w:rPr>
      </w:pPr>
    </w:p>
  </w:footnote>
  <w:footnote w:id="9">
    <w:p w14:paraId="2C48091A" w14:textId="77777777" w:rsidR="00F10FF5" w:rsidRPr="00E95ABA" w:rsidRDefault="00F10FF5" w:rsidP="00E95ABA">
      <w:pPr>
        <w:pStyle w:val="Textonotapie"/>
        <w:ind w:firstLine="720"/>
        <w:jc w:val="both"/>
        <w:rPr>
          <w:sz w:val="19"/>
          <w:szCs w:val="19"/>
          <w:lang w:val="es-CO"/>
        </w:rPr>
      </w:pPr>
      <w:r w:rsidRPr="00E95ABA">
        <w:rPr>
          <w:rStyle w:val="Refdenotaalpie"/>
          <w:sz w:val="19"/>
          <w:szCs w:val="19"/>
        </w:rPr>
        <w:footnoteRef/>
      </w:r>
      <w:r w:rsidRPr="00E95ABA">
        <w:rPr>
          <w:sz w:val="19"/>
          <w:szCs w:val="19"/>
        </w:rPr>
        <w:t xml:space="preserve"> </w:t>
      </w:r>
      <w:r w:rsidRPr="00E95ABA">
        <w:rPr>
          <w:color w:val="4E4D4D"/>
          <w:sz w:val="19"/>
          <w:szCs w:val="19"/>
        </w:rPr>
        <w:t xml:space="preserve">Consejo de Estado, Sección Tercera, sentencia de 13 de abril de 2011, C.P: Jaime Orlando </w:t>
      </w:r>
      <w:proofErr w:type="spellStart"/>
      <w:r w:rsidRPr="00E95ABA">
        <w:rPr>
          <w:color w:val="4E4D4D"/>
          <w:sz w:val="19"/>
          <w:szCs w:val="19"/>
        </w:rPr>
        <w:t>Santofimio</w:t>
      </w:r>
      <w:proofErr w:type="spellEnd"/>
      <w:r w:rsidRPr="00E95ABA">
        <w:rPr>
          <w:color w:val="4E4D4D"/>
          <w:sz w:val="19"/>
          <w:szCs w:val="19"/>
        </w:rPr>
        <w:t xml:space="preserve"> Gamboa, rad. No. 37.423.</w:t>
      </w:r>
    </w:p>
  </w:footnote>
  <w:footnote w:id="10">
    <w:p w14:paraId="6291FB97" w14:textId="77777777" w:rsidR="00F10FF5" w:rsidRPr="00E95ABA" w:rsidRDefault="00F10FF5" w:rsidP="00E95ABA">
      <w:pPr>
        <w:ind w:firstLine="720"/>
        <w:jc w:val="both"/>
        <w:rPr>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 xml:space="preserve">Al respecto ver: Consejo de Estado, Sección 3ª, sentencia de 6 de julio de 2017, M.P. Marta </w:t>
      </w:r>
      <w:proofErr w:type="gramStart"/>
      <w:r w:rsidRPr="00E95ABA">
        <w:rPr>
          <w:color w:val="4E4D4D"/>
          <w:sz w:val="19"/>
          <w:szCs w:val="19"/>
        </w:rPr>
        <w:t>Nubia  Velázquez</w:t>
      </w:r>
      <w:proofErr w:type="gramEnd"/>
      <w:r w:rsidRPr="00E95ABA">
        <w:rPr>
          <w:color w:val="4E4D4D"/>
          <w:sz w:val="19"/>
          <w:szCs w:val="19"/>
        </w:rPr>
        <w:t xml:space="preserve"> Rico, rad. 51920; sentencia de 13 de abril de 2011, M.P. Jaime Orlando </w:t>
      </w:r>
      <w:proofErr w:type="spellStart"/>
      <w:r w:rsidRPr="00E95ABA">
        <w:rPr>
          <w:color w:val="4E4D4D"/>
          <w:sz w:val="19"/>
          <w:szCs w:val="19"/>
        </w:rPr>
        <w:t>Santofimio</w:t>
      </w:r>
      <w:proofErr w:type="spellEnd"/>
      <w:r w:rsidRPr="00E95ABA">
        <w:rPr>
          <w:color w:val="4E4D4D"/>
          <w:sz w:val="19"/>
          <w:szCs w:val="19"/>
        </w:rPr>
        <w:t xml:space="preserve"> Gamboa, rad. 37.423; sentencia de 20 de abril de 2005, M.P. Ramiro Saavedra Becerra, rad. 14.519, entre</w:t>
      </w:r>
      <w:r w:rsidRPr="00E95ABA">
        <w:rPr>
          <w:color w:val="4E4D4D"/>
          <w:spacing w:val="-36"/>
          <w:sz w:val="19"/>
          <w:szCs w:val="19"/>
        </w:rPr>
        <w:t xml:space="preserve"> </w:t>
      </w:r>
      <w:r w:rsidRPr="00E95ABA">
        <w:rPr>
          <w:color w:val="4E4D4D"/>
          <w:sz w:val="19"/>
          <w:szCs w:val="19"/>
        </w:rPr>
        <w:t>otras.</w:t>
      </w:r>
    </w:p>
    <w:p w14:paraId="156DC532" w14:textId="77777777" w:rsidR="00F10FF5" w:rsidRPr="00E95ABA" w:rsidRDefault="00F10FF5" w:rsidP="00E95ABA">
      <w:pPr>
        <w:pStyle w:val="Textonotapie"/>
        <w:ind w:firstLine="720"/>
        <w:jc w:val="both"/>
        <w:rPr>
          <w:sz w:val="19"/>
          <w:szCs w:val="19"/>
          <w:lang w:val="es-CO"/>
        </w:rPr>
      </w:pPr>
    </w:p>
  </w:footnote>
  <w:footnote w:id="11">
    <w:p w14:paraId="2F32D3E0" w14:textId="77777777" w:rsidR="0052344C" w:rsidRPr="00E95ABA" w:rsidRDefault="0052344C" w:rsidP="00E95ABA">
      <w:pPr>
        <w:pStyle w:val="Textonotapie"/>
        <w:ind w:firstLine="720"/>
        <w:jc w:val="both"/>
        <w:rPr>
          <w:sz w:val="19"/>
          <w:szCs w:val="19"/>
          <w:lang w:val="es-CO"/>
        </w:rPr>
      </w:pPr>
      <w:r w:rsidRPr="00E95ABA">
        <w:rPr>
          <w:rStyle w:val="Refdenotaalpie"/>
          <w:sz w:val="19"/>
          <w:szCs w:val="19"/>
        </w:rPr>
        <w:footnoteRef/>
      </w:r>
      <w:r w:rsidRPr="00E95ABA">
        <w:rPr>
          <w:sz w:val="19"/>
          <w:szCs w:val="19"/>
        </w:rPr>
        <w:t xml:space="preserve"> </w:t>
      </w:r>
      <w:r w:rsidRPr="00E95ABA">
        <w:rPr>
          <w:color w:val="4E4D4D"/>
          <w:sz w:val="19"/>
          <w:szCs w:val="19"/>
        </w:rPr>
        <w:t>Sobre el carácter vinculante de los manuales de contratación de entidades regidas por el derecho privado ver: Consejo de Estado, Sección 3ª, sentencia de 10 de febrero de 2016, M.P. Marta Nubia Velázquez Rubio, rad. 2003-00959</w:t>
      </w:r>
      <w:r w:rsidRPr="00E95ABA">
        <w:rPr>
          <w:color w:val="4E4D4D"/>
          <w:spacing w:val="-2"/>
          <w:sz w:val="19"/>
          <w:szCs w:val="19"/>
        </w:rPr>
        <w:t xml:space="preserve"> </w:t>
      </w:r>
      <w:r w:rsidRPr="00E95ABA">
        <w:rPr>
          <w:color w:val="4E4D4D"/>
          <w:sz w:val="19"/>
          <w:szCs w:val="19"/>
        </w:rPr>
        <w:t>(38.696).</w:t>
      </w:r>
    </w:p>
  </w:footnote>
  <w:footnote w:id="12">
    <w:p w14:paraId="4BF70181" w14:textId="77777777" w:rsidR="0052344C" w:rsidRPr="00E95ABA" w:rsidRDefault="0052344C" w:rsidP="00E95ABA">
      <w:pPr>
        <w:ind w:firstLine="720"/>
        <w:jc w:val="both"/>
        <w:rPr>
          <w:sz w:val="19"/>
          <w:szCs w:val="19"/>
        </w:rPr>
      </w:pPr>
      <w:r w:rsidRPr="00E95ABA">
        <w:rPr>
          <w:rStyle w:val="Refdenotaalpie"/>
          <w:sz w:val="19"/>
          <w:szCs w:val="19"/>
        </w:rPr>
        <w:footnoteRef/>
      </w:r>
      <w:r w:rsidRPr="00E95ABA">
        <w:rPr>
          <w:sz w:val="19"/>
          <w:szCs w:val="19"/>
        </w:rPr>
        <w:t xml:space="preserve"> </w:t>
      </w:r>
      <w:r w:rsidRPr="00E95ABA">
        <w:rPr>
          <w:color w:val="4E4D4D"/>
          <w:sz w:val="19"/>
          <w:szCs w:val="19"/>
        </w:rPr>
        <w:t>Consejo de Estado, Sección 3ª, sentencia de 24 de octubre de 2016, M.P. Marta Nubia Velázquez Rico Rad. 2007-00104-01(45.607)</w:t>
      </w:r>
    </w:p>
    <w:p w14:paraId="5E01967E" w14:textId="77777777" w:rsidR="0052344C" w:rsidRPr="00E95ABA" w:rsidRDefault="0052344C" w:rsidP="00E95ABA">
      <w:pPr>
        <w:pStyle w:val="Textonotapie"/>
        <w:ind w:firstLine="720"/>
        <w:jc w:val="both"/>
        <w:rPr>
          <w:sz w:val="19"/>
          <w:szCs w:val="19"/>
          <w:lang w:val="es-CO"/>
        </w:rPr>
      </w:pPr>
    </w:p>
  </w:footnote>
  <w:footnote w:id="13">
    <w:p w14:paraId="7DF73770" w14:textId="77777777" w:rsidR="00E95ABA" w:rsidRPr="00E95ABA" w:rsidRDefault="00E95ABA" w:rsidP="00E95ABA">
      <w:pPr>
        <w:pStyle w:val="Textonotapie"/>
        <w:ind w:firstLine="720"/>
        <w:jc w:val="both"/>
        <w:rPr>
          <w:sz w:val="19"/>
          <w:szCs w:val="19"/>
          <w:lang w:val="es-CO"/>
        </w:rPr>
      </w:pPr>
      <w:r w:rsidRPr="00E95ABA">
        <w:rPr>
          <w:rStyle w:val="Refdenotaalpie"/>
          <w:sz w:val="19"/>
          <w:szCs w:val="19"/>
        </w:rPr>
        <w:footnoteRef/>
      </w:r>
      <w:r w:rsidRPr="00E95ABA">
        <w:rPr>
          <w:sz w:val="19"/>
          <w:szCs w:val="19"/>
        </w:rPr>
        <w:t xml:space="preserve"> </w:t>
      </w:r>
      <w:r w:rsidRPr="00E95ABA">
        <w:rPr>
          <w:color w:val="4E4D4D"/>
          <w:sz w:val="19"/>
          <w:szCs w:val="19"/>
        </w:rPr>
        <w:t xml:space="preserve">Colombia Compra Eficiente. ‘Lineamientos Generales para la Expedición de Manuales de Contratación’. Disponible en: </w:t>
      </w:r>
      <w:hyperlink r:id="rId1">
        <w:r w:rsidRPr="00E95ABA">
          <w:rPr>
            <w:color w:val="4E4D4D"/>
            <w:sz w:val="19"/>
            <w:szCs w:val="19"/>
          </w:rPr>
          <w:t>https://www</w:t>
        </w:r>
      </w:hyperlink>
      <w:r w:rsidRPr="00E95ABA">
        <w:rPr>
          <w:color w:val="4E4D4D"/>
          <w:sz w:val="19"/>
          <w:szCs w:val="19"/>
        </w:rPr>
        <w:t>.colom</w:t>
      </w:r>
      <w:hyperlink r:id="rId2">
        <w:r w:rsidRPr="00E95ABA">
          <w:rPr>
            <w:color w:val="4E4D4D"/>
            <w:sz w:val="19"/>
            <w:szCs w:val="19"/>
          </w:rPr>
          <w:t>biaco</w:t>
        </w:r>
      </w:hyperlink>
      <w:r w:rsidRPr="00E95ABA">
        <w:rPr>
          <w:color w:val="4E4D4D"/>
          <w:sz w:val="19"/>
          <w:szCs w:val="19"/>
        </w:rPr>
        <w:t>m</w:t>
      </w:r>
      <w:hyperlink r:id="rId3">
        <w:r w:rsidRPr="00E95ABA">
          <w:rPr>
            <w:color w:val="4E4D4D"/>
            <w:sz w:val="19"/>
            <w:szCs w:val="19"/>
          </w:rPr>
          <w:t>pra.go</w:t>
        </w:r>
      </w:hyperlink>
      <w:r w:rsidRPr="00E95ABA">
        <w:rPr>
          <w:color w:val="4E4D4D"/>
          <w:sz w:val="19"/>
          <w:szCs w:val="19"/>
        </w:rPr>
        <w:t>v</w:t>
      </w:r>
      <w:hyperlink r:id="rId4">
        <w:r w:rsidRPr="00E95ABA">
          <w:rPr>
            <w:color w:val="4E4D4D"/>
            <w:sz w:val="19"/>
            <w:szCs w:val="19"/>
          </w:rPr>
          <w:t>.co/sites/cce_public/files/cce_documents/cce_expedicion_manual_contratacio</w:t>
        </w:r>
      </w:hyperlink>
      <w:r w:rsidRPr="00E95ABA">
        <w:rPr>
          <w:color w:val="4E4D4D"/>
          <w:sz w:val="19"/>
          <w:szCs w:val="19"/>
        </w:rPr>
        <w:t xml:space="preserve"> 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C9E9" w14:textId="77777777" w:rsidR="00CD36C6" w:rsidRDefault="00F33A8C">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3C00C58E" wp14:editId="04A7BD2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F4A2C"/>
    <w:multiLevelType w:val="multilevel"/>
    <w:tmpl w:val="E8E06208"/>
    <w:lvl w:ilvl="0">
      <w:start w:val="1"/>
      <w:numFmt w:val="decimal"/>
      <w:lvlText w:val="%1."/>
      <w:lvlJc w:val="left"/>
      <w:pPr>
        <w:ind w:left="580" w:hanging="360"/>
      </w:pPr>
      <w:rPr>
        <w:rFonts w:ascii="Arial" w:eastAsia="Arial" w:hAnsi="Arial" w:cs="Arial" w:hint="default"/>
        <w:b/>
        <w:bCs/>
        <w:color w:val="4E4D4D"/>
        <w:spacing w:val="-8"/>
        <w:w w:val="100"/>
        <w:sz w:val="22"/>
        <w:szCs w:val="22"/>
        <w:lang w:val="es-ES" w:eastAsia="es-ES" w:bidi="es-ES"/>
      </w:rPr>
    </w:lvl>
    <w:lvl w:ilvl="1">
      <w:start w:val="1"/>
      <w:numFmt w:val="decimal"/>
      <w:lvlText w:val="%1.%2"/>
      <w:lvlJc w:val="left"/>
      <w:pPr>
        <w:ind w:left="788" w:hanging="578"/>
      </w:pPr>
      <w:rPr>
        <w:rFonts w:ascii="Arial" w:eastAsia="Arial" w:hAnsi="Arial" w:cs="Arial" w:hint="default"/>
        <w:b/>
        <w:bCs/>
        <w:color w:val="4E4D4D"/>
        <w:spacing w:val="-2"/>
        <w:w w:val="100"/>
        <w:sz w:val="22"/>
        <w:szCs w:val="22"/>
        <w:lang w:val="es-ES" w:eastAsia="es-ES" w:bidi="es-ES"/>
      </w:rPr>
    </w:lvl>
    <w:lvl w:ilvl="2">
      <w:numFmt w:val="bullet"/>
      <w:lvlText w:val="•"/>
      <w:lvlJc w:val="left"/>
      <w:pPr>
        <w:ind w:left="1722" w:hanging="578"/>
      </w:pPr>
      <w:rPr>
        <w:rFonts w:hint="default"/>
        <w:lang w:val="es-ES" w:eastAsia="es-ES" w:bidi="es-ES"/>
      </w:rPr>
    </w:lvl>
    <w:lvl w:ilvl="3">
      <w:numFmt w:val="bullet"/>
      <w:lvlText w:val="•"/>
      <w:lvlJc w:val="left"/>
      <w:pPr>
        <w:ind w:left="2664" w:hanging="578"/>
      </w:pPr>
      <w:rPr>
        <w:rFonts w:hint="default"/>
        <w:lang w:val="es-ES" w:eastAsia="es-ES" w:bidi="es-ES"/>
      </w:rPr>
    </w:lvl>
    <w:lvl w:ilvl="4">
      <w:numFmt w:val="bullet"/>
      <w:lvlText w:val="•"/>
      <w:lvlJc w:val="left"/>
      <w:pPr>
        <w:ind w:left="3606" w:hanging="578"/>
      </w:pPr>
      <w:rPr>
        <w:rFonts w:hint="default"/>
        <w:lang w:val="es-ES" w:eastAsia="es-ES" w:bidi="es-ES"/>
      </w:rPr>
    </w:lvl>
    <w:lvl w:ilvl="5">
      <w:numFmt w:val="bullet"/>
      <w:lvlText w:val="•"/>
      <w:lvlJc w:val="left"/>
      <w:pPr>
        <w:ind w:left="4548" w:hanging="578"/>
      </w:pPr>
      <w:rPr>
        <w:rFonts w:hint="default"/>
        <w:lang w:val="es-ES" w:eastAsia="es-ES" w:bidi="es-ES"/>
      </w:rPr>
    </w:lvl>
    <w:lvl w:ilvl="6">
      <w:numFmt w:val="bullet"/>
      <w:lvlText w:val="•"/>
      <w:lvlJc w:val="left"/>
      <w:pPr>
        <w:ind w:left="5491" w:hanging="578"/>
      </w:pPr>
      <w:rPr>
        <w:rFonts w:hint="default"/>
        <w:lang w:val="es-ES" w:eastAsia="es-ES" w:bidi="es-ES"/>
      </w:rPr>
    </w:lvl>
    <w:lvl w:ilvl="7">
      <w:numFmt w:val="bullet"/>
      <w:lvlText w:val="•"/>
      <w:lvlJc w:val="left"/>
      <w:pPr>
        <w:ind w:left="6433" w:hanging="578"/>
      </w:pPr>
      <w:rPr>
        <w:rFonts w:hint="default"/>
        <w:lang w:val="es-ES" w:eastAsia="es-ES" w:bidi="es-ES"/>
      </w:rPr>
    </w:lvl>
    <w:lvl w:ilvl="8">
      <w:numFmt w:val="bullet"/>
      <w:lvlText w:val="•"/>
      <w:lvlJc w:val="left"/>
      <w:pPr>
        <w:ind w:left="7375" w:hanging="57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C6"/>
    <w:rsid w:val="00054511"/>
    <w:rsid w:val="00055FE6"/>
    <w:rsid w:val="000A3D7A"/>
    <w:rsid w:val="000D4E76"/>
    <w:rsid w:val="0012708E"/>
    <w:rsid w:val="001D5DB7"/>
    <w:rsid w:val="00271327"/>
    <w:rsid w:val="002746B4"/>
    <w:rsid w:val="002819C4"/>
    <w:rsid w:val="002C361E"/>
    <w:rsid w:val="00353A9C"/>
    <w:rsid w:val="00410293"/>
    <w:rsid w:val="00411154"/>
    <w:rsid w:val="00457901"/>
    <w:rsid w:val="005141A0"/>
    <w:rsid w:val="0052344C"/>
    <w:rsid w:val="00537708"/>
    <w:rsid w:val="00544C22"/>
    <w:rsid w:val="0056638B"/>
    <w:rsid w:val="005C6677"/>
    <w:rsid w:val="005E2BCE"/>
    <w:rsid w:val="0061736D"/>
    <w:rsid w:val="006D5ACD"/>
    <w:rsid w:val="007144BF"/>
    <w:rsid w:val="00734424"/>
    <w:rsid w:val="0074351B"/>
    <w:rsid w:val="0074585B"/>
    <w:rsid w:val="007E4512"/>
    <w:rsid w:val="007E625B"/>
    <w:rsid w:val="007E6BF3"/>
    <w:rsid w:val="008846FC"/>
    <w:rsid w:val="00915145"/>
    <w:rsid w:val="009437EE"/>
    <w:rsid w:val="00A06E49"/>
    <w:rsid w:val="00A14291"/>
    <w:rsid w:val="00A36321"/>
    <w:rsid w:val="00AB0993"/>
    <w:rsid w:val="00B22ECD"/>
    <w:rsid w:val="00B72B5E"/>
    <w:rsid w:val="00BB76AC"/>
    <w:rsid w:val="00C07A15"/>
    <w:rsid w:val="00C64769"/>
    <w:rsid w:val="00C75785"/>
    <w:rsid w:val="00CD36C6"/>
    <w:rsid w:val="00D02C1A"/>
    <w:rsid w:val="00D22978"/>
    <w:rsid w:val="00DB7914"/>
    <w:rsid w:val="00DC2216"/>
    <w:rsid w:val="00E01A56"/>
    <w:rsid w:val="00E21092"/>
    <w:rsid w:val="00E256DC"/>
    <w:rsid w:val="00E61674"/>
    <w:rsid w:val="00E66344"/>
    <w:rsid w:val="00E76041"/>
    <w:rsid w:val="00E94E52"/>
    <w:rsid w:val="00E95ABA"/>
    <w:rsid w:val="00F10FF5"/>
    <w:rsid w:val="00F15EB8"/>
    <w:rsid w:val="00F33A8C"/>
    <w:rsid w:val="00F47A76"/>
    <w:rsid w:val="00FA7BEA"/>
    <w:rsid w:val="0A09A6C4"/>
    <w:rsid w:val="0B82EB62"/>
    <w:rsid w:val="19A44074"/>
    <w:rsid w:val="1A0CE60B"/>
    <w:rsid w:val="20A46FBB"/>
    <w:rsid w:val="283FCA71"/>
    <w:rsid w:val="2D93A441"/>
    <w:rsid w:val="2E8F5540"/>
    <w:rsid w:val="32AA5A96"/>
    <w:rsid w:val="33539695"/>
    <w:rsid w:val="37E2CC52"/>
    <w:rsid w:val="382D07E1"/>
    <w:rsid w:val="3AD66E9C"/>
    <w:rsid w:val="3EA68CEA"/>
    <w:rsid w:val="40FAE440"/>
    <w:rsid w:val="47A48160"/>
    <w:rsid w:val="539675EE"/>
    <w:rsid w:val="5889F1EF"/>
    <w:rsid w:val="5BBC9D21"/>
    <w:rsid w:val="5C80E907"/>
    <w:rsid w:val="5FE34CEA"/>
    <w:rsid w:val="61554FB7"/>
    <w:rsid w:val="64419223"/>
    <w:rsid w:val="6990C6B2"/>
    <w:rsid w:val="6B5FF2CC"/>
    <w:rsid w:val="6BEE24D7"/>
    <w:rsid w:val="6C508A41"/>
    <w:rsid w:val="712BC781"/>
    <w:rsid w:val="7654EF8B"/>
    <w:rsid w:val="7749A2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88B9"/>
  <w15:docId w15:val="{64E93064-8E07-4F82-8B90-CD8CDF3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2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80" w:hanging="361"/>
    </w:pPr>
  </w:style>
  <w:style w:type="paragraph" w:customStyle="1" w:styleId="TableParagraph">
    <w:name w:val="Table Paragraph"/>
    <w:basedOn w:val="Normal"/>
    <w:uiPriority w:val="1"/>
    <w:qFormat/>
    <w:pPr>
      <w:ind w:left="272"/>
    </w:pPr>
  </w:style>
  <w:style w:type="paragraph" w:styleId="Textonotapie">
    <w:name w:val="footnote text"/>
    <w:basedOn w:val="Normal"/>
    <w:link w:val="TextonotapieCar"/>
    <w:uiPriority w:val="99"/>
    <w:semiHidden/>
    <w:unhideWhenUsed/>
    <w:rsid w:val="007E6BF3"/>
    <w:rPr>
      <w:sz w:val="20"/>
      <w:szCs w:val="20"/>
    </w:rPr>
  </w:style>
  <w:style w:type="character" w:customStyle="1" w:styleId="TextonotapieCar">
    <w:name w:val="Texto nota pie Car"/>
    <w:basedOn w:val="Fuentedeprrafopredeter"/>
    <w:link w:val="Textonotapie"/>
    <w:uiPriority w:val="99"/>
    <w:semiHidden/>
    <w:rsid w:val="007E6BF3"/>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7E6BF3"/>
    <w:rPr>
      <w:vertAlign w:val="superscript"/>
    </w:rPr>
  </w:style>
  <w:style w:type="paragraph" w:styleId="Encabezado">
    <w:name w:val="header"/>
    <w:basedOn w:val="Normal"/>
    <w:link w:val="EncabezadoCar"/>
    <w:uiPriority w:val="99"/>
    <w:unhideWhenUsed/>
    <w:rsid w:val="00DC2216"/>
    <w:pPr>
      <w:tabs>
        <w:tab w:val="center" w:pos="4419"/>
        <w:tab w:val="right" w:pos="8838"/>
      </w:tabs>
    </w:pPr>
  </w:style>
  <w:style w:type="character" w:customStyle="1" w:styleId="EncabezadoCar">
    <w:name w:val="Encabezado Car"/>
    <w:basedOn w:val="Fuentedeprrafopredeter"/>
    <w:link w:val="Encabezado"/>
    <w:uiPriority w:val="99"/>
    <w:rsid w:val="00DC2216"/>
    <w:rPr>
      <w:rFonts w:ascii="Arial" w:eastAsia="Arial" w:hAnsi="Arial" w:cs="Arial"/>
      <w:lang w:val="es-ES" w:eastAsia="es-ES" w:bidi="es-ES"/>
    </w:rPr>
  </w:style>
  <w:style w:type="paragraph" w:styleId="Piedepgina">
    <w:name w:val="footer"/>
    <w:basedOn w:val="Normal"/>
    <w:link w:val="PiedepginaCar"/>
    <w:uiPriority w:val="99"/>
    <w:unhideWhenUsed/>
    <w:rsid w:val="00DC2216"/>
    <w:pPr>
      <w:tabs>
        <w:tab w:val="center" w:pos="4419"/>
        <w:tab w:val="right" w:pos="8838"/>
      </w:tabs>
    </w:pPr>
  </w:style>
  <w:style w:type="character" w:customStyle="1" w:styleId="PiedepginaCar">
    <w:name w:val="Pie de página Car"/>
    <w:basedOn w:val="Fuentedeprrafopredeter"/>
    <w:link w:val="Piedepgina"/>
    <w:uiPriority w:val="99"/>
    <w:rsid w:val="00DC2216"/>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6D5ACD"/>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colombiacompra.gov.co/sites/cce_public/files/cce_documents/cce_expedicion_manual_contratacio" TargetMode="External"/><Relationship Id="rId2" Type="http://schemas.openxmlformats.org/officeDocument/2006/relationships/hyperlink" Target="http://www.colombiacompra.gov.co/sites/cce_public/files/cce_documents/cce_expedicion_manual_contratacio" TargetMode="External"/><Relationship Id="rId1" Type="http://schemas.openxmlformats.org/officeDocument/2006/relationships/hyperlink" Target="http://www.colombiacompra.gov.co/sites/cce_public/files/cce_documents/cce_expedicion_manual_contratacio" TargetMode="External"/><Relationship Id="rId4" Type="http://schemas.openxmlformats.org/officeDocument/2006/relationships/hyperlink" Target="http://www.colombiacompra.gov.co/sites/cce_public/files/cce_documents/cce_expedicion_manual_contrata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6E4EF-4150-490D-88C4-6A6E48E93628}">
  <ds:schemaRefs>
    <ds:schemaRef ds:uri="http://schemas.microsoft.com/sharepoint/v3/contenttype/forms"/>
  </ds:schemaRefs>
</ds:datastoreItem>
</file>

<file path=customXml/itemProps2.xml><?xml version="1.0" encoding="utf-8"?>
<ds:datastoreItem xmlns:ds="http://schemas.openxmlformats.org/officeDocument/2006/customXml" ds:itemID="{4F41E10A-337B-4BFD-B0AF-288B43E1E42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9C537C7-497B-4A0D-9255-DC8833D4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04D4E-8A19-4B21-8FD9-6DA63B5A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4697</Words>
  <Characters>26774</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dcterms:created xsi:type="dcterms:W3CDTF">2020-08-19T21:03:00Z</dcterms:created>
  <dcterms:modified xsi:type="dcterms:W3CDTF">2020-08-19T21:09:00Z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