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1B3" w:rsidRPr="005639E9" w:rsidRDefault="00DF41B3" w:rsidP="00DF67AD">
      <w:pPr>
        <w:spacing w:line="253" w:lineRule="exact"/>
        <w:ind w:left="300"/>
        <w:jc w:val="both"/>
        <w:rPr>
          <w:b/>
        </w:rPr>
      </w:pPr>
    </w:p>
    <w:p w:rsidR="00DF67AD" w:rsidRPr="005639E9" w:rsidRDefault="00DF67AD" w:rsidP="00DF67AD">
      <w:pPr>
        <w:spacing w:line="253" w:lineRule="exact"/>
        <w:ind w:left="300"/>
        <w:jc w:val="both"/>
        <w:rPr>
          <w:b/>
        </w:rPr>
      </w:pPr>
      <w:r w:rsidRPr="005639E9">
        <w:rPr>
          <w:b/>
        </w:rPr>
        <w:t>REQUISITOS DE PERFECCIONAMIENTO – Contrato Estatal – Ley 80 de 1994</w:t>
      </w:r>
    </w:p>
    <w:p w:rsidR="00DF67AD" w:rsidRPr="005639E9" w:rsidRDefault="00DF67AD" w:rsidP="00DF67AD">
      <w:pPr>
        <w:spacing w:line="253" w:lineRule="exact"/>
        <w:ind w:left="300"/>
        <w:jc w:val="both"/>
        <w:rPr>
          <w:sz w:val="21"/>
          <w:szCs w:val="21"/>
        </w:rPr>
      </w:pPr>
    </w:p>
    <w:p w:rsidR="00DF67AD" w:rsidRPr="005639E9" w:rsidRDefault="00DF67AD" w:rsidP="00DF41B3">
      <w:pPr>
        <w:ind w:left="300"/>
        <w:jc w:val="both"/>
        <w:rPr>
          <w:sz w:val="20"/>
          <w:szCs w:val="20"/>
        </w:rPr>
      </w:pPr>
      <w:r w:rsidRPr="005639E9">
        <w:rPr>
          <w:sz w:val="20"/>
          <w:szCs w:val="20"/>
        </w:rPr>
        <w:t>La Ley 80 de 1993, en el texto original del artículo 41, indicó que los requisitos para perfeccionar del contrato son: i) llegar a un acuerdo sobre el objeto y la contraprestación, y ii) que conste por escrito. Por su parte, para iniciar la ejecución se requería: i) la constitución y aprobación de la garantía y ii) la existencia del registro presupuestal.</w:t>
      </w:r>
    </w:p>
    <w:p w:rsidR="00DF67AD" w:rsidRPr="005639E9" w:rsidRDefault="00DF67AD" w:rsidP="00DF41B3">
      <w:pPr>
        <w:ind w:left="300"/>
        <w:jc w:val="both"/>
        <w:rPr>
          <w:sz w:val="20"/>
          <w:szCs w:val="20"/>
        </w:rPr>
      </w:pPr>
    </w:p>
    <w:p w:rsidR="00DF67AD" w:rsidRPr="005639E9" w:rsidRDefault="00DF67AD" w:rsidP="00DF67AD">
      <w:pPr>
        <w:spacing w:line="253" w:lineRule="exact"/>
        <w:ind w:left="300"/>
        <w:jc w:val="both"/>
        <w:rPr>
          <w:b/>
        </w:rPr>
      </w:pPr>
      <w:r w:rsidRPr="005639E9">
        <w:rPr>
          <w:b/>
        </w:rPr>
        <w:t xml:space="preserve">SEGURIDAD SOCIAL – Regulación </w:t>
      </w:r>
    </w:p>
    <w:p w:rsidR="00DF67AD" w:rsidRPr="005639E9" w:rsidRDefault="00DF67AD" w:rsidP="00DF67AD">
      <w:pPr>
        <w:spacing w:line="253" w:lineRule="exact"/>
        <w:ind w:left="300"/>
        <w:jc w:val="both"/>
      </w:pPr>
    </w:p>
    <w:p w:rsidR="00DF67AD" w:rsidRPr="005639E9" w:rsidRDefault="00DF67AD" w:rsidP="00DF41B3">
      <w:pPr>
        <w:ind w:left="300"/>
        <w:jc w:val="both"/>
        <w:rPr>
          <w:sz w:val="20"/>
          <w:szCs w:val="20"/>
        </w:rPr>
      </w:pPr>
      <w:r w:rsidRPr="005639E9">
        <w:rPr>
          <w:sz w:val="20"/>
          <w:szCs w:val="20"/>
        </w:rPr>
        <w:t>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 (…) Luego, el artículo 23 de la Ley 1150 de 2007 modificó el inciso segundo del artículo 41 de la Ley 80 de 1993, incluyendo la obligación, para los proponentes y contratistas, de estar a paz y salvo con los aportes parafiscales al Sistema de Seguridad Social integral</w:t>
      </w:r>
    </w:p>
    <w:p w:rsidR="00DF67AD" w:rsidRPr="005639E9" w:rsidRDefault="00DF67AD" w:rsidP="00DF67AD">
      <w:pPr>
        <w:spacing w:line="253" w:lineRule="exact"/>
        <w:ind w:left="300"/>
        <w:jc w:val="both"/>
      </w:pPr>
    </w:p>
    <w:p w:rsidR="00DF67AD" w:rsidRDefault="00DF67AD" w:rsidP="00DF67AD">
      <w:pPr>
        <w:spacing w:line="253" w:lineRule="exact"/>
        <w:ind w:left="300"/>
        <w:jc w:val="both"/>
        <w:rPr>
          <w:b/>
        </w:rPr>
      </w:pPr>
      <w:r w:rsidRPr="005639E9">
        <w:rPr>
          <w:b/>
        </w:rPr>
        <w:t>SEGURIDAD SOCIAL – Verificación</w:t>
      </w:r>
    </w:p>
    <w:p w:rsidR="00E057A2" w:rsidRPr="005639E9" w:rsidRDefault="00E057A2" w:rsidP="00DF67AD">
      <w:pPr>
        <w:spacing w:line="253" w:lineRule="exact"/>
        <w:ind w:left="300"/>
        <w:jc w:val="both"/>
        <w:rPr>
          <w:b/>
        </w:rPr>
      </w:pPr>
      <w:bookmarkStart w:id="0" w:name="_GoBack"/>
      <w:bookmarkEnd w:id="0"/>
    </w:p>
    <w:p w:rsidR="00DF67AD" w:rsidRPr="005639E9" w:rsidRDefault="00DF67AD" w:rsidP="00DF41B3">
      <w:pPr>
        <w:ind w:left="300"/>
        <w:jc w:val="both"/>
        <w:rPr>
          <w:sz w:val="20"/>
          <w:szCs w:val="20"/>
        </w:rPr>
      </w:pPr>
      <w:r w:rsidRPr="005639E9">
        <w:rPr>
          <w:sz w:val="20"/>
          <w:szCs w:val="20"/>
        </w:rPr>
        <w:t>La verificación del aporte al pago al sistema de seguridad social cambia dependiendo si se trata de una persona natural o de una jurídica: i) si es una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cancelar las cuentas o facturas.</w:t>
      </w:r>
    </w:p>
    <w:p w:rsidR="00DF67AD" w:rsidRPr="005639E9" w:rsidRDefault="00DF67AD" w:rsidP="00DF41B3">
      <w:pPr>
        <w:ind w:left="300"/>
        <w:jc w:val="both"/>
        <w:rPr>
          <w:sz w:val="20"/>
          <w:szCs w:val="20"/>
        </w:rPr>
      </w:pPr>
    </w:p>
    <w:p w:rsidR="00DF67AD" w:rsidRPr="005639E9" w:rsidRDefault="00DF67AD" w:rsidP="00DF67AD">
      <w:pPr>
        <w:spacing w:line="253" w:lineRule="exact"/>
        <w:ind w:left="300"/>
        <w:jc w:val="both"/>
        <w:rPr>
          <w:b/>
        </w:rPr>
      </w:pPr>
      <w:r w:rsidRPr="005639E9">
        <w:rPr>
          <w:b/>
        </w:rPr>
        <w:t>SEGURIDAD SOCIAL – Persona pensionada</w:t>
      </w:r>
    </w:p>
    <w:p w:rsidR="00DF67AD" w:rsidRPr="005639E9" w:rsidRDefault="00DF67AD" w:rsidP="00DF67AD">
      <w:pPr>
        <w:spacing w:line="253" w:lineRule="exact"/>
        <w:ind w:left="300"/>
        <w:jc w:val="both"/>
      </w:pPr>
    </w:p>
    <w:p w:rsidR="00FC4AEC" w:rsidRPr="005639E9" w:rsidRDefault="00DF67AD" w:rsidP="005639E9">
      <w:pPr>
        <w:ind w:left="300"/>
        <w:jc w:val="both"/>
        <w:rPr>
          <w:rFonts w:ascii="Times New Roman"/>
          <w:sz w:val="20"/>
        </w:rPr>
      </w:pPr>
      <w:r w:rsidRPr="005639E9">
        <w:rPr>
          <w:sz w:val="20"/>
          <w:szCs w:val="20"/>
        </w:rPr>
        <w:t>Las personas naturales pensionadas acreditarán el pago de seguridad social durante la ejecución del contrato, como condición para el pago del contrato; pero no es necesario para la presentación de la oferta. Ahora, la persona natural pensionada acreditará el pago al sistema de salud en calidad de cotizante, lo anterior debido a que los trabajadores independientes tienen el deber de afiliarse al sistema en el régimen contributivo. No obstante, frente al sistema de seguridad social en pensiones, la obligación de cotizar cesa para las personas que accedan a la pensión mínima de vejez, o cuando el afiliado se pensione por invalidez o anticipadamente.</w:t>
      </w:r>
    </w:p>
    <w:p w:rsidR="00FC4AEC" w:rsidRPr="005639E9" w:rsidRDefault="00FC4AEC">
      <w:pPr>
        <w:pStyle w:val="Textoindependiente"/>
        <w:rPr>
          <w:rFonts w:ascii="Times New Roman"/>
          <w:sz w:val="20"/>
        </w:rPr>
      </w:pPr>
    </w:p>
    <w:p w:rsidR="00FC4AEC" w:rsidRDefault="00FC4AEC">
      <w:pPr>
        <w:pStyle w:val="Textoindependiente"/>
        <w:spacing w:before="4"/>
        <w:rPr>
          <w:rFonts w:ascii="Times New Roman"/>
          <w:sz w:val="19"/>
        </w:rPr>
      </w:pPr>
    </w:p>
    <w:p w:rsidR="006A77DD" w:rsidRPr="005639E9" w:rsidRDefault="006A77DD">
      <w:pPr>
        <w:pStyle w:val="Textoindependiente"/>
        <w:spacing w:before="4"/>
        <w:rPr>
          <w:rFonts w:ascii="Times New Roman"/>
          <w:sz w:val="19"/>
        </w:rPr>
      </w:pPr>
    </w:p>
    <w:p w:rsidR="00FC4AEC" w:rsidRPr="005639E9" w:rsidRDefault="00E316C1">
      <w:pPr>
        <w:spacing w:line="253" w:lineRule="exact"/>
        <w:ind w:left="300"/>
        <w:rPr>
          <w:b/>
        </w:rPr>
      </w:pPr>
      <w:r w:rsidRPr="005639E9">
        <w:t xml:space="preserve">Bogotá D.C., </w:t>
      </w:r>
      <w:r w:rsidRPr="005639E9">
        <w:rPr>
          <w:b/>
        </w:rPr>
        <w:t>21/10/2019 Hora 10:1:45s</w:t>
      </w:r>
    </w:p>
    <w:p w:rsidR="00FC4AEC" w:rsidRPr="005639E9" w:rsidRDefault="00E316C1">
      <w:pPr>
        <w:pStyle w:val="Ttulo1"/>
        <w:ind w:left="5839" w:firstLine="0"/>
      </w:pPr>
      <w:r w:rsidRPr="005639E9">
        <w:t>N° Radicado: 2201913000007816</w:t>
      </w:r>
    </w:p>
    <w:p w:rsidR="00FC4AEC" w:rsidRPr="005639E9" w:rsidRDefault="00FC4AEC">
      <w:pPr>
        <w:pStyle w:val="Textoindependiente"/>
        <w:rPr>
          <w:b/>
          <w:sz w:val="14"/>
        </w:rPr>
      </w:pPr>
    </w:p>
    <w:p w:rsidR="00FC4AEC" w:rsidRPr="005639E9" w:rsidRDefault="00E316C1">
      <w:pPr>
        <w:pStyle w:val="Textoindependiente"/>
        <w:spacing w:before="93"/>
        <w:ind w:left="300"/>
      </w:pPr>
      <w:r w:rsidRPr="005639E9">
        <w:t>Señor</w:t>
      </w:r>
    </w:p>
    <w:p w:rsidR="00FC4AEC" w:rsidRPr="005639E9" w:rsidRDefault="00E316C1">
      <w:pPr>
        <w:pStyle w:val="Ttulo1"/>
        <w:spacing w:line="253" w:lineRule="exact"/>
        <w:ind w:left="300" w:firstLine="0"/>
      </w:pPr>
      <w:r w:rsidRPr="005639E9">
        <w:t xml:space="preserve">Giovanni </w:t>
      </w:r>
      <w:proofErr w:type="spellStart"/>
      <w:r w:rsidRPr="005639E9">
        <w:t>Sastoque</w:t>
      </w:r>
      <w:proofErr w:type="spellEnd"/>
      <w:r w:rsidRPr="005639E9">
        <w:t xml:space="preserve"> Bermúdez</w:t>
      </w:r>
    </w:p>
    <w:p w:rsidR="00FC4AEC" w:rsidRPr="005639E9" w:rsidRDefault="00E316C1">
      <w:pPr>
        <w:pStyle w:val="Textoindependiente"/>
        <w:spacing w:line="253" w:lineRule="exact"/>
        <w:ind w:left="300"/>
      </w:pPr>
      <w:r w:rsidRPr="005639E9">
        <w:t>Ciudad</w:t>
      </w:r>
    </w:p>
    <w:p w:rsidR="00FC4AEC" w:rsidRPr="005639E9" w:rsidRDefault="00FC4AEC">
      <w:pPr>
        <w:pStyle w:val="Textoindependiente"/>
        <w:rPr>
          <w:sz w:val="20"/>
        </w:rPr>
      </w:pPr>
    </w:p>
    <w:p w:rsidR="00FC4AEC" w:rsidRPr="005639E9" w:rsidRDefault="00FC4AEC">
      <w:pPr>
        <w:pStyle w:val="Textoindependiente"/>
        <w:spacing w:before="6"/>
        <w:rPr>
          <w:sz w:val="24"/>
        </w:rPr>
      </w:pPr>
    </w:p>
    <w:tbl>
      <w:tblPr>
        <w:tblStyle w:val="TableNormal"/>
        <w:tblW w:w="0" w:type="auto"/>
        <w:tblInd w:w="108" w:type="dxa"/>
        <w:tblLayout w:type="fixed"/>
        <w:tblLook w:val="01E0" w:firstRow="1" w:lastRow="1" w:firstColumn="1" w:lastColumn="1" w:noHBand="0" w:noVBand="0"/>
      </w:tblPr>
      <w:tblGrid>
        <w:gridCol w:w="2328"/>
        <w:gridCol w:w="6993"/>
      </w:tblGrid>
      <w:tr w:rsidR="005639E9" w:rsidRPr="005639E9">
        <w:trPr>
          <w:trHeight w:val="250"/>
        </w:trPr>
        <w:tc>
          <w:tcPr>
            <w:tcW w:w="2328" w:type="dxa"/>
          </w:tcPr>
          <w:p w:rsidR="00FC4AEC" w:rsidRPr="005639E9" w:rsidRDefault="00E316C1">
            <w:pPr>
              <w:pStyle w:val="TableParagraph"/>
              <w:rPr>
                <w:b/>
              </w:rPr>
            </w:pPr>
            <w:r w:rsidRPr="005639E9">
              <w:rPr>
                <w:b/>
              </w:rPr>
              <w:lastRenderedPageBreak/>
              <w:t>Radicación:</w:t>
            </w:r>
          </w:p>
        </w:tc>
        <w:tc>
          <w:tcPr>
            <w:tcW w:w="6993" w:type="dxa"/>
          </w:tcPr>
          <w:p w:rsidR="00FC4AEC" w:rsidRPr="005639E9" w:rsidRDefault="00E316C1">
            <w:pPr>
              <w:pStyle w:val="TableParagraph"/>
              <w:ind w:left="562"/>
            </w:pPr>
            <w:r w:rsidRPr="005639E9">
              <w:t>Respuesta a consulta # 4201913000006384</w:t>
            </w:r>
          </w:p>
        </w:tc>
      </w:tr>
      <w:tr w:rsidR="005639E9" w:rsidRPr="005639E9">
        <w:trPr>
          <w:trHeight w:val="253"/>
        </w:trPr>
        <w:tc>
          <w:tcPr>
            <w:tcW w:w="2328" w:type="dxa"/>
          </w:tcPr>
          <w:p w:rsidR="00FC4AEC" w:rsidRPr="005639E9" w:rsidRDefault="00E316C1">
            <w:pPr>
              <w:pStyle w:val="TableParagraph"/>
              <w:spacing w:line="234" w:lineRule="exact"/>
              <w:rPr>
                <w:b/>
              </w:rPr>
            </w:pPr>
            <w:r w:rsidRPr="005639E9">
              <w:rPr>
                <w:b/>
              </w:rPr>
              <w:t>Temas:</w:t>
            </w:r>
          </w:p>
        </w:tc>
        <w:tc>
          <w:tcPr>
            <w:tcW w:w="6993" w:type="dxa"/>
          </w:tcPr>
          <w:p w:rsidR="00FC4AEC" w:rsidRPr="005639E9" w:rsidRDefault="00E316C1">
            <w:pPr>
              <w:pStyle w:val="TableParagraph"/>
              <w:spacing w:line="234" w:lineRule="exact"/>
              <w:ind w:left="562"/>
            </w:pPr>
            <w:r w:rsidRPr="005639E9">
              <w:t>Aportes seguridad social, pago, contrato</w:t>
            </w:r>
          </w:p>
        </w:tc>
      </w:tr>
      <w:tr w:rsidR="00FC4AEC" w:rsidRPr="005639E9">
        <w:trPr>
          <w:trHeight w:val="501"/>
        </w:trPr>
        <w:tc>
          <w:tcPr>
            <w:tcW w:w="2328" w:type="dxa"/>
          </w:tcPr>
          <w:p w:rsidR="00FC4AEC" w:rsidRPr="005639E9" w:rsidRDefault="00E316C1">
            <w:pPr>
              <w:pStyle w:val="TableParagraph"/>
              <w:spacing w:before="1" w:line="252" w:lineRule="exact"/>
              <w:ind w:right="543"/>
              <w:rPr>
                <w:b/>
              </w:rPr>
            </w:pPr>
            <w:r w:rsidRPr="005639E9">
              <w:rPr>
                <w:b/>
              </w:rPr>
              <w:t>Tipo de asunto consultado:</w:t>
            </w:r>
          </w:p>
        </w:tc>
        <w:tc>
          <w:tcPr>
            <w:tcW w:w="6993" w:type="dxa"/>
          </w:tcPr>
          <w:p w:rsidR="00FC4AEC" w:rsidRPr="005639E9" w:rsidRDefault="00E316C1">
            <w:pPr>
              <w:pStyle w:val="TableParagraph"/>
              <w:spacing w:before="1" w:line="252" w:lineRule="exact"/>
              <w:ind w:left="562"/>
            </w:pPr>
            <w:r w:rsidRPr="005639E9">
              <w:t>Pago al sistema de seguridad social una persona natural pensionada</w:t>
            </w:r>
          </w:p>
        </w:tc>
      </w:tr>
    </w:tbl>
    <w:p w:rsidR="00FC4AEC" w:rsidRPr="005639E9" w:rsidRDefault="00FC4AEC">
      <w:pPr>
        <w:pStyle w:val="Textoindependiente"/>
        <w:rPr>
          <w:sz w:val="20"/>
        </w:rPr>
      </w:pPr>
    </w:p>
    <w:p w:rsidR="00FC4AEC" w:rsidRPr="005639E9" w:rsidRDefault="00FC4AEC">
      <w:pPr>
        <w:pStyle w:val="Textoindependiente"/>
        <w:rPr>
          <w:sz w:val="16"/>
        </w:rPr>
      </w:pPr>
    </w:p>
    <w:p w:rsidR="00FC4AEC" w:rsidRPr="005639E9" w:rsidRDefault="00E316C1">
      <w:pPr>
        <w:pStyle w:val="Textoindependiente"/>
        <w:spacing w:before="93"/>
        <w:ind w:left="300"/>
        <w:jc w:val="both"/>
      </w:pPr>
      <w:r w:rsidRPr="005639E9">
        <w:t xml:space="preserve">Estimado señor </w:t>
      </w:r>
      <w:proofErr w:type="spellStart"/>
      <w:r w:rsidRPr="005639E9">
        <w:t>Sastoque</w:t>
      </w:r>
      <w:proofErr w:type="spellEnd"/>
      <w:r w:rsidRPr="005639E9">
        <w:t>,</w:t>
      </w:r>
    </w:p>
    <w:p w:rsidR="00FC4AEC" w:rsidRPr="005639E9" w:rsidRDefault="00FC4AEC">
      <w:pPr>
        <w:pStyle w:val="Textoindependiente"/>
        <w:spacing w:before="2"/>
        <w:rPr>
          <w:sz w:val="25"/>
        </w:rPr>
      </w:pPr>
    </w:p>
    <w:p w:rsidR="00FC4AEC" w:rsidRPr="005639E9" w:rsidRDefault="00E316C1">
      <w:pPr>
        <w:pStyle w:val="Textoindependiente"/>
        <w:spacing w:line="276" w:lineRule="auto"/>
        <w:ind w:left="300" w:right="304"/>
        <w:jc w:val="both"/>
      </w:pPr>
      <w:r w:rsidRPr="005639E9">
        <w:t>La Agencia Nacional de Contratación Pública -Colombia Compra Eficiente- responde su consulta del 17 de septiembre de 2019, en ejercicio de la competencia otorgada por el numeral 8 del artículo 11 y el numeral 5 del artículo 3 del Decreto Ley 4170 de 2011.</w:t>
      </w:r>
    </w:p>
    <w:p w:rsidR="00FC4AEC" w:rsidRPr="005639E9" w:rsidRDefault="00FC4AEC">
      <w:pPr>
        <w:pStyle w:val="Textoindependiente"/>
        <w:spacing w:before="2"/>
      </w:pPr>
    </w:p>
    <w:p w:rsidR="00FC4AEC" w:rsidRPr="005639E9" w:rsidRDefault="00E316C1">
      <w:pPr>
        <w:pStyle w:val="Ttulo1"/>
        <w:numPr>
          <w:ilvl w:val="0"/>
          <w:numId w:val="1"/>
        </w:numPr>
        <w:tabs>
          <w:tab w:val="left" w:pos="661"/>
        </w:tabs>
        <w:ind w:hanging="361"/>
      </w:pPr>
      <w:r w:rsidRPr="005639E9">
        <w:t>Problema</w:t>
      </w:r>
      <w:r w:rsidRPr="005639E9">
        <w:rPr>
          <w:spacing w:val="-2"/>
        </w:rPr>
        <w:t xml:space="preserve"> </w:t>
      </w:r>
      <w:r w:rsidRPr="005639E9">
        <w:t>planteado</w:t>
      </w:r>
    </w:p>
    <w:p w:rsidR="00FC4AEC" w:rsidRPr="005639E9" w:rsidRDefault="00FC4AEC">
      <w:pPr>
        <w:pStyle w:val="Textoindependiente"/>
        <w:spacing w:before="10"/>
        <w:rPr>
          <w:b/>
          <w:sz w:val="21"/>
        </w:rPr>
      </w:pPr>
    </w:p>
    <w:p w:rsidR="00FC4AEC" w:rsidRPr="005639E9" w:rsidRDefault="00E316C1">
      <w:pPr>
        <w:pStyle w:val="Textoindependiente"/>
        <w:spacing w:before="1" w:line="276" w:lineRule="auto"/>
        <w:ind w:left="300" w:right="306"/>
        <w:jc w:val="both"/>
      </w:pPr>
      <w:r w:rsidRPr="005639E9">
        <w:t>¿Una persona natural pensionada que busca contratar con el Estado puede presentar pagos a seguridad social como beneficiario, o tiene que ser cotizante al momento de presentación de la oferta?</w:t>
      </w:r>
    </w:p>
    <w:p w:rsidR="00FC4AEC" w:rsidRPr="005639E9" w:rsidRDefault="00FC4AEC">
      <w:pPr>
        <w:pStyle w:val="Textoindependiente"/>
        <w:spacing w:before="10"/>
        <w:rPr>
          <w:sz w:val="21"/>
        </w:rPr>
      </w:pPr>
    </w:p>
    <w:p w:rsidR="00FC4AEC" w:rsidRPr="005639E9" w:rsidRDefault="00E316C1">
      <w:pPr>
        <w:pStyle w:val="Ttulo1"/>
        <w:numPr>
          <w:ilvl w:val="0"/>
          <w:numId w:val="1"/>
        </w:numPr>
        <w:tabs>
          <w:tab w:val="left" w:pos="661"/>
        </w:tabs>
        <w:ind w:hanging="361"/>
      </w:pPr>
      <w:r w:rsidRPr="005639E9">
        <w:t>Consideraciones</w:t>
      </w:r>
    </w:p>
    <w:p w:rsidR="00FC4AEC" w:rsidRPr="005639E9" w:rsidRDefault="00FC4AEC">
      <w:pPr>
        <w:pStyle w:val="Textoindependiente"/>
        <w:spacing w:before="2"/>
        <w:rPr>
          <w:b/>
        </w:rPr>
      </w:pPr>
    </w:p>
    <w:p w:rsidR="00FC4AEC" w:rsidRPr="005639E9" w:rsidRDefault="00E316C1">
      <w:pPr>
        <w:pStyle w:val="Textoindependiente"/>
        <w:spacing w:line="276" w:lineRule="auto"/>
        <w:ind w:left="300" w:right="309"/>
        <w:jc w:val="both"/>
      </w:pPr>
      <w:r w:rsidRPr="005639E9">
        <w:t>La Ley 80 de 1993, en el texto original del artículo 41, indicó que los requisitos para perfeccionar del contrato son: i) llegar a un acuerdo sobre el objeto y la contraprestación, y</w:t>
      </w:r>
    </w:p>
    <w:p w:rsidR="00FC4AEC" w:rsidRPr="005639E9" w:rsidRDefault="00E316C1">
      <w:pPr>
        <w:pStyle w:val="Textoindependiente"/>
        <w:spacing w:line="278" w:lineRule="auto"/>
        <w:ind w:left="300" w:right="308"/>
      </w:pPr>
      <w:r w:rsidRPr="005639E9">
        <w:t>ii) que conste por escrito. Por su parte, para iniciar la ejecución se requería: i) la constitución y aprobación de la garantía y ii) la existencia del registro presupuestal.</w:t>
      </w:r>
    </w:p>
    <w:p w:rsidR="00FC4AEC" w:rsidRPr="005639E9" w:rsidRDefault="00FC4AEC">
      <w:pPr>
        <w:pStyle w:val="Textoindependiente"/>
        <w:spacing w:before="8"/>
        <w:rPr>
          <w:sz w:val="24"/>
        </w:rPr>
      </w:pPr>
    </w:p>
    <w:p w:rsidR="00FC4AEC" w:rsidRPr="005639E9" w:rsidRDefault="00E316C1" w:rsidP="005639E9">
      <w:pPr>
        <w:pStyle w:val="Textoindependiente"/>
        <w:spacing w:line="276" w:lineRule="auto"/>
        <w:ind w:left="300" w:right="305"/>
        <w:jc w:val="both"/>
      </w:pPr>
      <w:r w:rsidRPr="005639E9">
        <w:t>Posteriormente,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w:t>
      </w:r>
      <w:r w:rsidR="005639E9">
        <w:t xml:space="preserve"> </w:t>
      </w:r>
      <w:r w:rsidRPr="005639E9">
        <w:t>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w:t>
      </w:r>
      <w:r w:rsidRPr="005639E9">
        <w:rPr>
          <w:spacing w:val="-4"/>
        </w:rPr>
        <w:t xml:space="preserve"> </w:t>
      </w:r>
      <w:r w:rsidRPr="005639E9">
        <w:t>cotizar</w:t>
      </w:r>
      <w:r w:rsidR="005639E9">
        <w:rPr>
          <w:rStyle w:val="Refdenotaalpie"/>
        </w:rPr>
        <w:footnoteReference w:id="1"/>
      </w:r>
      <w:r w:rsidRPr="005639E9">
        <w:t>.</w:t>
      </w:r>
    </w:p>
    <w:p w:rsidR="00FC4AEC" w:rsidRPr="005639E9" w:rsidRDefault="00FC4AEC">
      <w:pPr>
        <w:pStyle w:val="Textoindependiente"/>
        <w:spacing w:before="6"/>
        <w:rPr>
          <w:sz w:val="25"/>
        </w:rPr>
      </w:pPr>
    </w:p>
    <w:p w:rsidR="00FC4AEC" w:rsidRDefault="00E316C1">
      <w:pPr>
        <w:pStyle w:val="Textoindependiente"/>
        <w:spacing w:line="276" w:lineRule="auto"/>
        <w:ind w:left="300" w:right="308"/>
        <w:jc w:val="both"/>
      </w:pPr>
      <w:r w:rsidRPr="005639E9">
        <w:t>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w:t>
      </w:r>
      <w:r w:rsidRPr="005639E9">
        <w:rPr>
          <w:spacing w:val="8"/>
        </w:rPr>
        <w:t xml:space="preserve"> </w:t>
      </w:r>
      <w:r w:rsidRPr="005639E9">
        <w:t>para</w:t>
      </w:r>
      <w:r w:rsidRPr="005639E9">
        <w:rPr>
          <w:spacing w:val="8"/>
        </w:rPr>
        <w:t xml:space="preserve"> </w:t>
      </w:r>
      <w:r w:rsidRPr="005639E9">
        <w:t>que</w:t>
      </w:r>
      <w:r w:rsidRPr="005639E9">
        <w:rPr>
          <w:spacing w:val="8"/>
        </w:rPr>
        <w:t xml:space="preserve"> </w:t>
      </w:r>
      <w:r w:rsidRPr="005639E9">
        <w:t>se</w:t>
      </w:r>
      <w:r w:rsidRPr="005639E9">
        <w:rPr>
          <w:spacing w:val="6"/>
        </w:rPr>
        <w:t xml:space="preserve"> </w:t>
      </w:r>
      <w:r w:rsidRPr="005639E9">
        <w:t>hubiera</w:t>
      </w:r>
      <w:r w:rsidRPr="005639E9">
        <w:rPr>
          <w:spacing w:val="7"/>
        </w:rPr>
        <w:t xml:space="preserve"> </w:t>
      </w:r>
      <w:r w:rsidRPr="005639E9">
        <w:t>constituido</w:t>
      </w:r>
      <w:r w:rsidRPr="005639E9">
        <w:rPr>
          <w:spacing w:val="6"/>
        </w:rPr>
        <w:t xml:space="preserve"> </w:t>
      </w:r>
      <w:r w:rsidRPr="005639E9">
        <w:t>la</w:t>
      </w:r>
      <w:r w:rsidRPr="005639E9">
        <w:rPr>
          <w:spacing w:val="8"/>
        </w:rPr>
        <w:t xml:space="preserve"> </w:t>
      </w:r>
      <w:r w:rsidRPr="005639E9">
        <w:t>sociedad,</w:t>
      </w:r>
      <w:r w:rsidRPr="005639E9">
        <w:rPr>
          <w:spacing w:val="8"/>
        </w:rPr>
        <w:t xml:space="preserve"> </w:t>
      </w:r>
      <w:r w:rsidRPr="005639E9">
        <w:t>el</w:t>
      </w:r>
      <w:r w:rsidRPr="005639E9">
        <w:rPr>
          <w:spacing w:val="9"/>
        </w:rPr>
        <w:t xml:space="preserve"> </w:t>
      </w:r>
      <w:r w:rsidRPr="005639E9">
        <w:t>cual</w:t>
      </w:r>
      <w:r w:rsidRPr="005639E9">
        <w:rPr>
          <w:spacing w:val="10"/>
        </w:rPr>
        <w:t xml:space="preserve"> </w:t>
      </w:r>
      <w:r w:rsidRPr="005639E9">
        <w:t>no</w:t>
      </w:r>
      <w:r w:rsidRPr="005639E9">
        <w:rPr>
          <w:spacing w:val="8"/>
        </w:rPr>
        <w:t xml:space="preserve"> </w:t>
      </w:r>
      <w:r w:rsidRPr="005639E9">
        <w:t>será</w:t>
      </w:r>
      <w:r w:rsidRPr="005639E9">
        <w:rPr>
          <w:spacing w:val="6"/>
        </w:rPr>
        <w:t xml:space="preserve"> </w:t>
      </w:r>
      <w:r w:rsidRPr="005639E9">
        <w:t>inferior</w:t>
      </w:r>
      <w:r w:rsidRPr="005639E9">
        <w:rPr>
          <w:spacing w:val="7"/>
        </w:rPr>
        <w:t xml:space="preserve"> </w:t>
      </w:r>
      <w:r w:rsidRPr="005639E9">
        <w:t>a</w:t>
      </w:r>
      <w:r w:rsidRPr="005639E9">
        <w:rPr>
          <w:spacing w:val="9"/>
        </w:rPr>
        <w:t xml:space="preserve"> </w:t>
      </w:r>
      <w:r w:rsidRPr="005639E9">
        <w:t>los</w:t>
      </w:r>
      <w:r w:rsidRPr="005639E9">
        <w:rPr>
          <w:spacing w:val="8"/>
        </w:rPr>
        <w:t xml:space="preserve"> </w:t>
      </w:r>
      <w:r w:rsidRPr="005639E9">
        <w:t>seis</w:t>
      </w:r>
    </w:p>
    <w:p w:rsidR="005639E9" w:rsidRPr="005639E9" w:rsidRDefault="005639E9">
      <w:pPr>
        <w:pStyle w:val="Textoindependiente"/>
        <w:spacing w:line="276" w:lineRule="auto"/>
        <w:ind w:left="300" w:right="308"/>
        <w:jc w:val="both"/>
      </w:pPr>
    </w:p>
    <w:p w:rsidR="00FC4AEC" w:rsidRPr="005639E9" w:rsidRDefault="00E316C1">
      <w:pPr>
        <w:pStyle w:val="Textoindependiente"/>
        <w:spacing w:line="276" w:lineRule="auto"/>
        <w:ind w:left="300" w:right="311"/>
        <w:jc w:val="both"/>
      </w:pPr>
      <w:r w:rsidRPr="005639E9">
        <w:t>(6) meses anteriores a la celebración del contrato. En este sentido, la ley señala que para presentar la oferta las personas jurídicas deben acreditar el requisito señalado anteriormente, es decir, el pago al sistema de seguridad social de sus empleados.</w:t>
      </w:r>
    </w:p>
    <w:p w:rsidR="00FC4AEC" w:rsidRPr="005639E9" w:rsidRDefault="00FC4AEC">
      <w:pPr>
        <w:pStyle w:val="Textoindependiente"/>
        <w:spacing w:before="3"/>
        <w:rPr>
          <w:sz w:val="25"/>
        </w:rPr>
      </w:pPr>
    </w:p>
    <w:p w:rsidR="00FC4AEC" w:rsidRPr="005639E9" w:rsidRDefault="00E316C1" w:rsidP="005639E9">
      <w:pPr>
        <w:pStyle w:val="Textoindependiente"/>
        <w:spacing w:line="276" w:lineRule="auto"/>
        <w:ind w:left="300" w:right="303"/>
        <w:jc w:val="both"/>
      </w:pPr>
      <w:r w:rsidRPr="005639E9">
        <w:t>Esta norma fue analizada en una sentencia del Consejo de Estado, Sección Tercera, del 8 de junio de 2011, en el Radicado No. 20001-23-31-000-2005-00409-01(AP), Consejero ponente Enrique Gil Botero, donde consideró que el artículo 50 de la Ley 789 de 2002  tiene</w:t>
      </w:r>
      <w:r w:rsidRPr="005639E9">
        <w:rPr>
          <w:spacing w:val="45"/>
        </w:rPr>
        <w:t xml:space="preserve"> </w:t>
      </w:r>
      <w:r w:rsidRPr="005639E9">
        <w:t>por</w:t>
      </w:r>
      <w:r w:rsidRPr="005639E9">
        <w:rPr>
          <w:spacing w:val="45"/>
        </w:rPr>
        <w:t xml:space="preserve"> </w:t>
      </w:r>
      <w:r w:rsidRPr="005639E9">
        <w:t>objeto</w:t>
      </w:r>
      <w:r w:rsidRPr="005639E9">
        <w:rPr>
          <w:spacing w:val="45"/>
        </w:rPr>
        <w:t xml:space="preserve"> </w:t>
      </w:r>
      <w:r w:rsidRPr="005639E9">
        <w:t>evitar</w:t>
      </w:r>
      <w:r w:rsidRPr="005639E9">
        <w:rPr>
          <w:spacing w:val="44"/>
        </w:rPr>
        <w:t xml:space="preserve"> </w:t>
      </w:r>
      <w:r w:rsidRPr="005639E9">
        <w:t>la</w:t>
      </w:r>
      <w:r w:rsidRPr="005639E9">
        <w:rPr>
          <w:spacing w:val="47"/>
        </w:rPr>
        <w:t xml:space="preserve"> </w:t>
      </w:r>
      <w:r w:rsidRPr="005639E9">
        <w:t>evasión</w:t>
      </w:r>
      <w:r w:rsidRPr="005639E9">
        <w:rPr>
          <w:spacing w:val="45"/>
        </w:rPr>
        <w:t xml:space="preserve"> </w:t>
      </w:r>
      <w:r w:rsidRPr="005639E9">
        <w:t>por</w:t>
      </w:r>
      <w:r w:rsidRPr="005639E9">
        <w:rPr>
          <w:spacing w:val="49"/>
        </w:rPr>
        <w:t xml:space="preserve"> </w:t>
      </w:r>
      <w:r w:rsidRPr="005639E9">
        <w:t>parte</w:t>
      </w:r>
      <w:r w:rsidRPr="005639E9">
        <w:rPr>
          <w:spacing w:val="45"/>
        </w:rPr>
        <w:t xml:space="preserve"> </w:t>
      </w:r>
      <w:r w:rsidRPr="005639E9">
        <w:t>de</w:t>
      </w:r>
      <w:r w:rsidRPr="005639E9">
        <w:rPr>
          <w:spacing w:val="45"/>
        </w:rPr>
        <w:t xml:space="preserve"> </w:t>
      </w:r>
      <w:r w:rsidRPr="005639E9">
        <w:t>los</w:t>
      </w:r>
      <w:r w:rsidRPr="005639E9">
        <w:rPr>
          <w:spacing w:val="45"/>
        </w:rPr>
        <w:t xml:space="preserve"> </w:t>
      </w:r>
      <w:r w:rsidRPr="005639E9">
        <w:t>empleadores</w:t>
      </w:r>
      <w:r w:rsidRPr="005639E9">
        <w:rPr>
          <w:spacing w:val="45"/>
        </w:rPr>
        <w:t xml:space="preserve"> </w:t>
      </w:r>
      <w:r w:rsidRPr="005639E9">
        <w:t>de</w:t>
      </w:r>
      <w:r w:rsidRPr="005639E9">
        <w:rPr>
          <w:spacing w:val="43"/>
        </w:rPr>
        <w:t xml:space="preserve"> </w:t>
      </w:r>
      <w:r w:rsidRPr="005639E9">
        <w:t>las</w:t>
      </w:r>
      <w:r w:rsidRPr="005639E9">
        <w:rPr>
          <w:spacing w:val="45"/>
        </w:rPr>
        <w:t xml:space="preserve"> </w:t>
      </w:r>
      <w:r w:rsidRPr="005639E9">
        <w:t>cotizaciones</w:t>
      </w:r>
      <w:r w:rsidRPr="005639E9">
        <w:rPr>
          <w:spacing w:val="45"/>
        </w:rPr>
        <w:t xml:space="preserve"> </w:t>
      </w:r>
      <w:r w:rsidRPr="005639E9">
        <w:t>al</w:t>
      </w:r>
      <w:r w:rsidR="005639E9">
        <w:t xml:space="preserve"> </w:t>
      </w:r>
      <w:r w:rsidRPr="005639E9">
        <w:t>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w:t>
      </w:r>
      <w:r w:rsidR="005639E9">
        <w:rPr>
          <w:rStyle w:val="Refdenotaalpie"/>
        </w:rPr>
        <w:footnoteReference w:id="2"/>
      </w:r>
      <w:r w:rsidRPr="005639E9">
        <w:t xml:space="preserve">. Por lo </w:t>
      </w:r>
      <w:r w:rsidRPr="005639E9">
        <w:lastRenderedPageBreak/>
        <w:t>tanto, la jurisprudencia reiteró la necesidad de que las entidades estatales, durante la ejecución de un contrato, verifiquen el cumplimiento de las obligaciones del sistema de seguridad social por parte de los</w:t>
      </w:r>
      <w:r w:rsidRPr="005639E9">
        <w:rPr>
          <w:spacing w:val="-9"/>
        </w:rPr>
        <w:t xml:space="preserve"> </w:t>
      </w:r>
      <w:r w:rsidRPr="005639E9">
        <w:t>oferentes.</w:t>
      </w:r>
    </w:p>
    <w:p w:rsidR="00FC4AEC" w:rsidRPr="005639E9" w:rsidRDefault="00FC4AEC">
      <w:pPr>
        <w:pStyle w:val="Textoindependiente"/>
        <w:spacing w:before="4"/>
        <w:rPr>
          <w:sz w:val="25"/>
        </w:rPr>
      </w:pPr>
    </w:p>
    <w:p w:rsidR="00FC4AEC" w:rsidRPr="005639E9" w:rsidRDefault="00E316C1">
      <w:pPr>
        <w:pStyle w:val="Textoindependiente"/>
        <w:spacing w:line="276" w:lineRule="auto"/>
        <w:ind w:left="300" w:right="312"/>
        <w:jc w:val="both"/>
      </w:pPr>
      <w:r w:rsidRPr="005639E9">
        <w:t>Luego, el artículo 23 de la Ley 1150 de 2007 modificó el inciso segundo del artículo 41 de la Ley 80 de 1993, incluyendo la obligación, para los proponentes y contratistas, de estar a paz</w:t>
      </w:r>
      <w:r w:rsidRPr="005639E9">
        <w:rPr>
          <w:spacing w:val="-4"/>
        </w:rPr>
        <w:t xml:space="preserve"> </w:t>
      </w:r>
      <w:r w:rsidRPr="005639E9">
        <w:t>y</w:t>
      </w:r>
      <w:r w:rsidRPr="005639E9">
        <w:rPr>
          <w:spacing w:val="-4"/>
        </w:rPr>
        <w:t xml:space="preserve"> </w:t>
      </w:r>
      <w:r w:rsidRPr="005639E9">
        <w:t>salvo</w:t>
      </w:r>
      <w:r w:rsidRPr="005639E9">
        <w:rPr>
          <w:spacing w:val="-3"/>
        </w:rPr>
        <w:t xml:space="preserve"> </w:t>
      </w:r>
      <w:r w:rsidRPr="005639E9">
        <w:t>con</w:t>
      </w:r>
      <w:r w:rsidRPr="005639E9">
        <w:rPr>
          <w:spacing w:val="-3"/>
        </w:rPr>
        <w:t xml:space="preserve"> </w:t>
      </w:r>
      <w:r w:rsidRPr="005639E9">
        <w:t>los</w:t>
      </w:r>
      <w:r w:rsidRPr="005639E9">
        <w:rPr>
          <w:spacing w:val="-3"/>
        </w:rPr>
        <w:t xml:space="preserve"> </w:t>
      </w:r>
      <w:r w:rsidRPr="005639E9">
        <w:t>aportes</w:t>
      </w:r>
      <w:r w:rsidRPr="005639E9">
        <w:rPr>
          <w:spacing w:val="-4"/>
        </w:rPr>
        <w:t xml:space="preserve"> </w:t>
      </w:r>
      <w:r w:rsidRPr="005639E9">
        <w:t>parafiscales</w:t>
      </w:r>
      <w:r w:rsidRPr="005639E9">
        <w:rPr>
          <w:spacing w:val="-3"/>
        </w:rPr>
        <w:t xml:space="preserve"> </w:t>
      </w:r>
      <w:r w:rsidRPr="005639E9">
        <w:t>al</w:t>
      </w:r>
      <w:r w:rsidRPr="005639E9">
        <w:rPr>
          <w:spacing w:val="-2"/>
        </w:rPr>
        <w:t xml:space="preserve"> </w:t>
      </w:r>
      <w:r w:rsidRPr="005639E9">
        <w:t>Sistema</w:t>
      </w:r>
      <w:r w:rsidRPr="005639E9">
        <w:rPr>
          <w:spacing w:val="-5"/>
        </w:rPr>
        <w:t xml:space="preserve"> </w:t>
      </w:r>
      <w:r w:rsidRPr="005639E9">
        <w:t>de</w:t>
      </w:r>
      <w:r w:rsidRPr="005639E9">
        <w:rPr>
          <w:spacing w:val="-3"/>
        </w:rPr>
        <w:t xml:space="preserve"> </w:t>
      </w:r>
      <w:r w:rsidRPr="005639E9">
        <w:t>Seguridad</w:t>
      </w:r>
      <w:r w:rsidRPr="005639E9">
        <w:rPr>
          <w:spacing w:val="-3"/>
        </w:rPr>
        <w:t xml:space="preserve"> </w:t>
      </w:r>
      <w:r w:rsidRPr="005639E9">
        <w:t>Social</w:t>
      </w:r>
      <w:r w:rsidRPr="005639E9">
        <w:rPr>
          <w:spacing w:val="-2"/>
        </w:rPr>
        <w:t xml:space="preserve"> </w:t>
      </w:r>
      <w:r w:rsidRPr="005639E9">
        <w:t>integral,</w:t>
      </w:r>
      <w:r w:rsidRPr="005639E9">
        <w:rPr>
          <w:spacing w:val="-5"/>
        </w:rPr>
        <w:t xml:space="preserve"> </w:t>
      </w:r>
      <w:r w:rsidRPr="005639E9">
        <w:t>al</w:t>
      </w:r>
      <w:r w:rsidRPr="005639E9">
        <w:rPr>
          <w:spacing w:val="-2"/>
        </w:rPr>
        <w:t xml:space="preserve"> </w:t>
      </w:r>
      <w:r w:rsidRPr="005639E9">
        <w:t>señalar:</w:t>
      </w:r>
    </w:p>
    <w:p w:rsidR="00FC4AEC" w:rsidRPr="005639E9" w:rsidRDefault="00FC4AEC">
      <w:pPr>
        <w:pStyle w:val="Textoindependiente"/>
        <w:spacing w:before="6"/>
        <w:rPr>
          <w:sz w:val="25"/>
        </w:rPr>
      </w:pPr>
    </w:p>
    <w:p w:rsidR="00FC4AEC" w:rsidRPr="005639E9" w:rsidRDefault="00E316C1">
      <w:pPr>
        <w:spacing w:line="276" w:lineRule="auto"/>
        <w:ind w:left="1008" w:right="7519"/>
        <w:jc w:val="both"/>
        <w:rPr>
          <w:sz w:val="20"/>
        </w:rPr>
      </w:pPr>
      <w:r w:rsidRPr="005639E9">
        <w:rPr>
          <w:sz w:val="20"/>
        </w:rPr>
        <w:t>Artículo</w:t>
      </w:r>
      <w:hyperlink r:id="rId11" w:anchor="41">
        <w:r w:rsidRPr="005639E9">
          <w:rPr>
            <w:sz w:val="20"/>
          </w:rPr>
          <w:t xml:space="preserve"> 41.</w:t>
        </w:r>
      </w:hyperlink>
      <w:r w:rsidRPr="005639E9">
        <w:rPr>
          <w:sz w:val="20"/>
        </w:rPr>
        <w:t xml:space="preserve"> (…)</w:t>
      </w:r>
    </w:p>
    <w:p w:rsidR="00FC4AEC" w:rsidRPr="005639E9" w:rsidRDefault="00E316C1">
      <w:pPr>
        <w:spacing w:line="196" w:lineRule="exact"/>
        <w:ind w:left="1008"/>
        <w:jc w:val="both"/>
        <w:rPr>
          <w:sz w:val="20"/>
        </w:rPr>
      </w:pPr>
      <w:r w:rsidRPr="005639E9">
        <w:rPr>
          <w:sz w:val="20"/>
        </w:rPr>
        <w:t>Para</w:t>
      </w:r>
      <w:r w:rsidRPr="005639E9">
        <w:rPr>
          <w:spacing w:val="6"/>
          <w:sz w:val="20"/>
        </w:rPr>
        <w:t xml:space="preserve"> </w:t>
      </w:r>
      <w:r w:rsidRPr="005639E9">
        <w:rPr>
          <w:sz w:val="20"/>
        </w:rPr>
        <w:t>la</w:t>
      </w:r>
      <w:r w:rsidRPr="005639E9">
        <w:rPr>
          <w:spacing w:val="9"/>
          <w:sz w:val="20"/>
        </w:rPr>
        <w:t xml:space="preserve"> </w:t>
      </w:r>
      <w:r w:rsidRPr="005639E9">
        <w:rPr>
          <w:sz w:val="20"/>
        </w:rPr>
        <w:t>ejecución</w:t>
      </w:r>
      <w:r w:rsidRPr="005639E9">
        <w:rPr>
          <w:spacing w:val="6"/>
          <w:sz w:val="20"/>
        </w:rPr>
        <w:t xml:space="preserve"> </w:t>
      </w:r>
      <w:r w:rsidRPr="005639E9">
        <w:rPr>
          <w:sz w:val="20"/>
        </w:rPr>
        <w:t>se</w:t>
      </w:r>
      <w:r w:rsidRPr="005639E9">
        <w:rPr>
          <w:spacing w:val="7"/>
          <w:sz w:val="20"/>
        </w:rPr>
        <w:t xml:space="preserve"> </w:t>
      </w:r>
      <w:r w:rsidRPr="005639E9">
        <w:rPr>
          <w:sz w:val="20"/>
        </w:rPr>
        <w:t>requerirá</w:t>
      </w:r>
      <w:r w:rsidRPr="005639E9">
        <w:rPr>
          <w:spacing w:val="6"/>
          <w:sz w:val="20"/>
        </w:rPr>
        <w:t xml:space="preserve"> </w:t>
      </w:r>
      <w:r w:rsidRPr="005639E9">
        <w:rPr>
          <w:sz w:val="20"/>
        </w:rPr>
        <w:t>de</w:t>
      </w:r>
      <w:r w:rsidRPr="005639E9">
        <w:rPr>
          <w:spacing w:val="6"/>
          <w:sz w:val="20"/>
        </w:rPr>
        <w:t xml:space="preserve"> </w:t>
      </w:r>
      <w:r w:rsidRPr="005639E9">
        <w:rPr>
          <w:sz w:val="20"/>
        </w:rPr>
        <w:t>la</w:t>
      </w:r>
      <w:r w:rsidRPr="005639E9">
        <w:rPr>
          <w:spacing w:val="10"/>
          <w:sz w:val="20"/>
        </w:rPr>
        <w:t xml:space="preserve"> </w:t>
      </w:r>
      <w:r w:rsidRPr="005639E9">
        <w:rPr>
          <w:sz w:val="20"/>
        </w:rPr>
        <w:t>aprobación</w:t>
      </w:r>
      <w:r w:rsidRPr="005639E9">
        <w:rPr>
          <w:spacing w:val="6"/>
          <w:sz w:val="20"/>
        </w:rPr>
        <w:t xml:space="preserve"> </w:t>
      </w:r>
      <w:r w:rsidRPr="005639E9">
        <w:rPr>
          <w:sz w:val="20"/>
        </w:rPr>
        <w:t>de</w:t>
      </w:r>
      <w:r w:rsidRPr="005639E9">
        <w:rPr>
          <w:spacing w:val="6"/>
          <w:sz w:val="20"/>
        </w:rPr>
        <w:t xml:space="preserve"> </w:t>
      </w:r>
      <w:r w:rsidRPr="005639E9">
        <w:rPr>
          <w:sz w:val="20"/>
        </w:rPr>
        <w:t>la</w:t>
      </w:r>
      <w:r w:rsidRPr="005639E9">
        <w:rPr>
          <w:spacing w:val="10"/>
          <w:sz w:val="20"/>
        </w:rPr>
        <w:t xml:space="preserve"> </w:t>
      </w:r>
      <w:r w:rsidRPr="005639E9">
        <w:rPr>
          <w:sz w:val="20"/>
        </w:rPr>
        <w:t>garantía</w:t>
      </w:r>
      <w:r w:rsidRPr="005639E9">
        <w:rPr>
          <w:spacing w:val="8"/>
          <w:sz w:val="20"/>
        </w:rPr>
        <w:t xml:space="preserve"> </w:t>
      </w:r>
      <w:r w:rsidRPr="005639E9">
        <w:rPr>
          <w:sz w:val="20"/>
        </w:rPr>
        <w:t>y</w:t>
      </w:r>
      <w:r w:rsidRPr="005639E9">
        <w:rPr>
          <w:spacing w:val="4"/>
          <w:sz w:val="20"/>
        </w:rPr>
        <w:t xml:space="preserve"> </w:t>
      </w:r>
      <w:r w:rsidRPr="005639E9">
        <w:rPr>
          <w:sz w:val="20"/>
        </w:rPr>
        <w:t>de</w:t>
      </w:r>
      <w:r w:rsidRPr="005639E9">
        <w:rPr>
          <w:spacing w:val="7"/>
          <w:sz w:val="20"/>
        </w:rPr>
        <w:t xml:space="preserve"> </w:t>
      </w:r>
      <w:r w:rsidRPr="005639E9">
        <w:rPr>
          <w:sz w:val="20"/>
        </w:rPr>
        <w:t>la</w:t>
      </w:r>
      <w:r w:rsidRPr="005639E9">
        <w:rPr>
          <w:spacing w:val="6"/>
          <w:sz w:val="20"/>
        </w:rPr>
        <w:t xml:space="preserve"> </w:t>
      </w:r>
      <w:r w:rsidRPr="005639E9">
        <w:rPr>
          <w:sz w:val="20"/>
        </w:rPr>
        <w:t>existencia</w:t>
      </w:r>
      <w:r w:rsidRPr="005639E9">
        <w:rPr>
          <w:spacing w:val="6"/>
          <w:sz w:val="20"/>
        </w:rPr>
        <w:t xml:space="preserve"> </w:t>
      </w:r>
      <w:r w:rsidRPr="005639E9">
        <w:rPr>
          <w:sz w:val="20"/>
        </w:rPr>
        <w:t>de</w:t>
      </w:r>
      <w:r w:rsidRPr="005639E9">
        <w:rPr>
          <w:spacing w:val="7"/>
          <w:sz w:val="20"/>
        </w:rPr>
        <w:t xml:space="preserve"> </w:t>
      </w:r>
      <w:r w:rsidRPr="005639E9">
        <w:rPr>
          <w:sz w:val="20"/>
        </w:rPr>
        <w:t>las</w:t>
      </w:r>
    </w:p>
    <w:p w:rsidR="00FC4AEC" w:rsidRPr="005639E9" w:rsidRDefault="00E316C1" w:rsidP="005639E9">
      <w:pPr>
        <w:spacing w:before="1"/>
        <w:ind w:left="1008" w:right="728"/>
        <w:jc w:val="both"/>
        <w:rPr>
          <w:sz w:val="20"/>
        </w:rPr>
      </w:pPr>
      <w:r w:rsidRPr="005639E9">
        <w:rPr>
          <w:sz w:val="20"/>
        </w:rPr>
        <w:t>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w:t>
      </w:r>
      <w:r w:rsidR="005639E9">
        <w:rPr>
          <w:sz w:val="20"/>
        </w:rPr>
        <w:t xml:space="preserve"> </w:t>
      </w:r>
      <w:r w:rsidRPr="005639E9">
        <w:rPr>
          <w:sz w:val="20"/>
        </w:rPr>
        <w:t>Social Integral, así como los propios del Sena, ICBF y Cajas de Compensación Familiar, cuando</w:t>
      </w:r>
      <w:r w:rsidRPr="005639E9">
        <w:rPr>
          <w:spacing w:val="-5"/>
          <w:sz w:val="20"/>
        </w:rPr>
        <w:t xml:space="preserve"> </w:t>
      </w:r>
      <w:r w:rsidRPr="005639E9">
        <w:rPr>
          <w:sz w:val="20"/>
        </w:rPr>
        <w:t>corresponda.</w:t>
      </w:r>
    </w:p>
    <w:p w:rsidR="00FC4AEC" w:rsidRPr="005639E9" w:rsidRDefault="00FC4AEC">
      <w:pPr>
        <w:pStyle w:val="Textoindependiente"/>
        <w:spacing w:before="4"/>
        <w:rPr>
          <w:sz w:val="24"/>
        </w:rPr>
      </w:pPr>
    </w:p>
    <w:p w:rsidR="00FC4AEC" w:rsidRPr="005639E9" w:rsidRDefault="00E316C1">
      <w:pPr>
        <w:ind w:left="1008" w:right="740"/>
        <w:jc w:val="both"/>
        <w:rPr>
          <w:sz w:val="20"/>
        </w:rPr>
      </w:pPr>
      <w:r w:rsidRPr="005639E9">
        <w:rPr>
          <w:sz w:val="20"/>
        </w:rPr>
        <w:t>Parágrafo 1. El requisito establecido en la parte final del inciso segundo de este artículo deberá acreditarse para la realización de cada pago derivado del contrato estatal.</w:t>
      </w:r>
    </w:p>
    <w:p w:rsidR="00FC4AEC" w:rsidRPr="005639E9" w:rsidRDefault="00FC4AEC">
      <w:pPr>
        <w:pStyle w:val="Textoindependiente"/>
        <w:spacing w:before="4"/>
        <w:rPr>
          <w:sz w:val="24"/>
        </w:rPr>
      </w:pPr>
    </w:p>
    <w:p w:rsidR="00FC4AEC" w:rsidRPr="005639E9" w:rsidRDefault="00E316C1">
      <w:pPr>
        <w:ind w:left="1008" w:right="734"/>
        <w:jc w:val="both"/>
        <w:rPr>
          <w:sz w:val="20"/>
        </w:rPr>
      </w:pPr>
      <w:r w:rsidRPr="005639E9">
        <w:rPr>
          <w:sz w:val="20"/>
        </w:rPr>
        <w:t>El servidor público que sin justa causa no verifique el pago de los aportes a que se refiere el presente artículo, incurrirá en causal de mala conducta, que será sancionada con arreglo al régimen disciplinario vigente.</w:t>
      </w:r>
    </w:p>
    <w:p w:rsidR="00FC4AEC" w:rsidRPr="005639E9" w:rsidRDefault="00FC4AEC">
      <w:pPr>
        <w:pStyle w:val="Textoindependiente"/>
        <w:spacing w:before="2"/>
        <w:rPr>
          <w:sz w:val="24"/>
        </w:rPr>
      </w:pPr>
    </w:p>
    <w:p w:rsidR="00FC4AEC" w:rsidRPr="005639E9" w:rsidRDefault="00E316C1">
      <w:pPr>
        <w:pStyle w:val="Textoindependiente"/>
        <w:spacing w:before="1" w:line="276" w:lineRule="auto"/>
        <w:ind w:left="300" w:right="311"/>
        <w:jc w:val="both"/>
      </w:pPr>
      <w:r w:rsidRPr="005639E9">
        <w:t xml:space="preserve">De la lectura integral del artículo 23 de la Ley 1150 de 2007 se concluye </w:t>
      </w:r>
      <w:proofErr w:type="gramStart"/>
      <w:r w:rsidRPr="005639E9">
        <w:t>que</w:t>
      </w:r>
      <w:proofErr w:type="gramEnd"/>
      <w:r w:rsidRPr="005639E9">
        <w:t xml:space="preserve"> si bien los proponentes y los contratistas deben estar al día en el pago al Sistema de Seguridad Social, la verificación de este requisito, por parte de las entidades estatales, se realizará cuando realicen los pagos del contrato, es decir, durante la ejecución.</w:t>
      </w:r>
    </w:p>
    <w:p w:rsidR="00FC4AEC" w:rsidRPr="005639E9" w:rsidRDefault="00FC4AEC">
      <w:pPr>
        <w:pStyle w:val="Textoindependiente"/>
        <w:spacing w:before="4"/>
        <w:rPr>
          <w:sz w:val="25"/>
        </w:rPr>
      </w:pPr>
    </w:p>
    <w:p w:rsidR="00FC4AEC" w:rsidRPr="005639E9" w:rsidRDefault="00E316C1">
      <w:pPr>
        <w:pStyle w:val="Textoindependiente"/>
        <w:spacing w:line="276" w:lineRule="auto"/>
        <w:ind w:left="300" w:right="304"/>
        <w:jc w:val="both"/>
      </w:pPr>
      <w:r w:rsidRPr="005639E9">
        <w:t xml:space="preserve">No obstante, el artículo 50 de la Ley 789 de 2002 previó una regla especial para las personas jurídicas que quieren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w:t>
      </w:r>
      <w:r w:rsidRPr="005639E9">
        <w:lastRenderedPageBreak/>
        <w:t>inferior a los seis (6) meses anteriores a la celebración del contrato. Si bien este certificado no es un requisito para perfeccionar ni para ejecutarlo, si lo es para admitir la</w:t>
      </w:r>
      <w:r w:rsidRPr="005639E9">
        <w:rPr>
          <w:spacing w:val="-8"/>
        </w:rPr>
        <w:t xml:space="preserve"> </w:t>
      </w:r>
      <w:r w:rsidRPr="005639E9">
        <w:t>oferta.</w:t>
      </w:r>
    </w:p>
    <w:p w:rsidR="00FC4AEC" w:rsidRPr="005639E9" w:rsidRDefault="00FC4AEC">
      <w:pPr>
        <w:pStyle w:val="Textoindependiente"/>
        <w:spacing w:before="4"/>
        <w:rPr>
          <w:sz w:val="25"/>
        </w:rPr>
      </w:pPr>
    </w:p>
    <w:p w:rsidR="00FC4AEC" w:rsidRPr="005639E9" w:rsidRDefault="00E316C1">
      <w:pPr>
        <w:pStyle w:val="Textoindependiente"/>
        <w:spacing w:before="1" w:line="276" w:lineRule="auto"/>
        <w:ind w:left="300" w:right="308"/>
        <w:jc w:val="both"/>
      </w:pPr>
      <w:r w:rsidRPr="005639E9">
        <w:t>En este sentido, la verificación del aporte al pago al sistema de seguridad social cambia dependiendo si se trata de una persona natural o de una jurídica: i) si es una natural, la entidad estatal verificará el pago al sistema de seguridad social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cancelar las cuentas o</w:t>
      </w:r>
      <w:r w:rsidRPr="005639E9">
        <w:rPr>
          <w:spacing w:val="-14"/>
        </w:rPr>
        <w:t xml:space="preserve"> </w:t>
      </w:r>
      <w:r w:rsidRPr="005639E9">
        <w:t>facturas.</w:t>
      </w:r>
    </w:p>
    <w:p w:rsidR="00FC4AEC" w:rsidRPr="005639E9" w:rsidRDefault="00FC4AEC">
      <w:pPr>
        <w:pStyle w:val="Textoindependiente"/>
        <w:spacing w:before="3"/>
        <w:rPr>
          <w:sz w:val="25"/>
        </w:rPr>
      </w:pPr>
    </w:p>
    <w:p w:rsidR="00FC4AEC" w:rsidRPr="005639E9" w:rsidRDefault="00E316C1">
      <w:pPr>
        <w:pStyle w:val="Textoindependiente"/>
        <w:spacing w:line="276" w:lineRule="auto"/>
        <w:ind w:left="300" w:right="304"/>
        <w:jc w:val="both"/>
      </w:pPr>
      <w:r w:rsidRPr="005639E9">
        <w:t>Ahora, usted pregunta si una persona pensionada que quiere celebrar el contrato estatal debe acreditar el pago al sistema de seguridad social como beneficiario o cotizante al momento de presentar la oferta. De acuerdo con las normas señaladas, una persona natural que quiere celebrar un contrato, al momento de presentar la oferta no se requerirá presentar el comprobante de pago al Sistema de Seguridad Social, sino durante la ejecución del contrato. Sin embargo, surge el interrogante ¿una persona pensionada podrá presentar pagos como cotizante o beneficiario durante la ejecución del contrato?</w:t>
      </w:r>
    </w:p>
    <w:p w:rsidR="00FC4AEC" w:rsidRPr="005639E9" w:rsidRDefault="00E316C1">
      <w:pPr>
        <w:pStyle w:val="Textoindependiente"/>
        <w:spacing w:before="93" w:line="276" w:lineRule="auto"/>
        <w:ind w:left="300" w:right="311"/>
        <w:jc w:val="both"/>
      </w:pPr>
      <w:r w:rsidRPr="005639E9">
        <w:t>La Ley 797 de 2003, que regula el Sistema General de Pensiones, en el artículo 3 establece que tienen la obligación de estar afiliados al Sistema General de Pensiones todas las personas naturales que presten directamente servicios al Estado o a las entidades bajo la modalidad de contratos de prestación de</w:t>
      </w:r>
      <w:r w:rsidRPr="005639E9">
        <w:rPr>
          <w:spacing w:val="-13"/>
        </w:rPr>
        <w:t xml:space="preserve"> </w:t>
      </w:r>
      <w:r w:rsidRPr="005639E9">
        <w:t>servicios</w:t>
      </w:r>
      <w:r w:rsidR="005639E9">
        <w:rPr>
          <w:rStyle w:val="Refdenotaalpie"/>
        </w:rPr>
        <w:footnoteReference w:id="3"/>
      </w:r>
      <w:r w:rsidRPr="005639E9">
        <w:t>.</w:t>
      </w:r>
    </w:p>
    <w:p w:rsidR="00FC4AEC" w:rsidRPr="005639E9" w:rsidRDefault="00FC4AEC">
      <w:pPr>
        <w:pStyle w:val="Textoindependiente"/>
        <w:spacing w:before="3"/>
        <w:rPr>
          <w:sz w:val="25"/>
        </w:rPr>
      </w:pPr>
    </w:p>
    <w:p w:rsidR="00FC4AEC" w:rsidRPr="005639E9" w:rsidRDefault="00E316C1">
      <w:pPr>
        <w:pStyle w:val="Textoindependiente"/>
        <w:spacing w:line="276" w:lineRule="auto"/>
        <w:ind w:left="300" w:right="304"/>
        <w:jc w:val="both"/>
      </w:pPr>
      <w:r w:rsidRPr="005639E9">
        <w:t xml:space="preserve">Ahora bien, el artículo 4 señala, en relación con la cotización al Sistema General </w:t>
      </w:r>
      <w:r w:rsidRPr="005639E9">
        <w:rPr>
          <w:spacing w:val="-3"/>
        </w:rPr>
        <w:t xml:space="preserve">de </w:t>
      </w:r>
      <w:r w:rsidRPr="005639E9">
        <w:t>Pensiones, que durante la vigencia del contrato de prestación de servicios se efectuarán cotizaciones obligatorias por parte de los empleadores y contratistas con base en el salario o ingresos por prestación de servicios que ellos devenguen, sin embargo, la obligación de cotizar cesa al momento en que el afiliado reúna los requisitos para acceder a la pensión mínima de vejez, o cuando el afiliado se pensione por invalidez o anticipadamente</w:t>
      </w:r>
      <w:r w:rsidR="005639E9">
        <w:rPr>
          <w:rStyle w:val="Refdenotaalpie"/>
        </w:rPr>
        <w:footnoteReference w:id="4"/>
      </w:r>
      <w:r w:rsidRPr="005639E9">
        <w:t>. En este sentido, una persona natural que se encuentre pensionada y celebre un contrato con una entidad estatal no está obligada a cotizar al Sistema de Pensiones, por expresa disposición</w:t>
      </w:r>
      <w:r w:rsidRPr="005639E9">
        <w:rPr>
          <w:spacing w:val="-2"/>
        </w:rPr>
        <w:t xml:space="preserve"> </w:t>
      </w:r>
      <w:r w:rsidRPr="005639E9">
        <w:t>legal.</w:t>
      </w:r>
    </w:p>
    <w:p w:rsidR="00FC4AEC" w:rsidRPr="005639E9" w:rsidRDefault="00FC4AEC">
      <w:pPr>
        <w:pStyle w:val="Textoindependiente"/>
        <w:spacing w:before="2"/>
        <w:rPr>
          <w:sz w:val="25"/>
        </w:rPr>
      </w:pPr>
    </w:p>
    <w:p w:rsidR="00FC4AEC" w:rsidRPr="005639E9" w:rsidRDefault="00E316C1" w:rsidP="005639E9">
      <w:pPr>
        <w:pStyle w:val="Textoindependiente"/>
        <w:spacing w:before="1" w:line="276" w:lineRule="auto"/>
        <w:ind w:left="300" w:right="303"/>
        <w:jc w:val="both"/>
      </w:pPr>
      <w:r w:rsidRPr="005639E9">
        <w:t xml:space="preserve">Por su parte, el artículo 2.1.4.1 del Decreto 780 de 2016 indica que pertenecerán al régimen contributivo del sistema general de seguridad social en salud, como cotizantes, los trabajadores </w:t>
      </w:r>
      <w:proofErr w:type="spellStart"/>
      <w:r w:rsidRPr="005639E9">
        <w:t>independentes</w:t>
      </w:r>
      <w:proofErr w:type="spellEnd"/>
      <w:r w:rsidRPr="005639E9">
        <w:t xml:space="preserve"> que no tengan vínculo contractual y reglamentario con algún empleador y cuyos ingresos mensuales sean iguales o superiores a un salario mínimo mensual legal vigente</w:t>
      </w:r>
      <w:r w:rsidR="005639E9">
        <w:rPr>
          <w:rStyle w:val="Refdenotaalpie"/>
        </w:rPr>
        <w:footnoteReference w:id="5"/>
      </w:r>
      <w:r w:rsidRPr="005639E9">
        <w:t>. El Decreto 1406 de 1999, en el artículo 16, define como trabajador</w:t>
      </w:r>
      <w:r w:rsidR="005639E9">
        <w:t xml:space="preserve"> </w:t>
      </w:r>
      <w:r w:rsidRPr="005639E9">
        <w:t>independiente “a aquel que no se encuentre vinculado laboralmente a un empleador, mediante contrato de trabajo o a través de una regulación legal y reglamentaria”. Para definir el alcance de trabajador independiente se debe verificar que el trabajador independiente no tenga vínculo laboral con el empleador, como sucede con el contratista de prestación de</w:t>
      </w:r>
      <w:r w:rsidRPr="005639E9">
        <w:rPr>
          <w:spacing w:val="-4"/>
        </w:rPr>
        <w:t xml:space="preserve"> </w:t>
      </w:r>
      <w:r w:rsidRPr="005639E9">
        <w:t>servicios.</w:t>
      </w:r>
    </w:p>
    <w:p w:rsidR="00FC4AEC" w:rsidRPr="005639E9" w:rsidRDefault="00FC4AEC">
      <w:pPr>
        <w:pStyle w:val="Textoindependiente"/>
        <w:spacing w:before="6"/>
        <w:rPr>
          <w:sz w:val="25"/>
        </w:rPr>
      </w:pPr>
    </w:p>
    <w:p w:rsidR="00FC4AEC" w:rsidRPr="005639E9" w:rsidRDefault="00E316C1">
      <w:pPr>
        <w:pStyle w:val="Textoindependiente"/>
        <w:spacing w:line="276" w:lineRule="auto"/>
        <w:ind w:left="300" w:right="306"/>
        <w:jc w:val="both"/>
      </w:pPr>
      <w:r w:rsidRPr="005639E9">
        <w:t>De esta forma, como todas las personas naturales pensionados que prestan servicios al Estado por medio de un contrato de prestación de servicios deben estar afiliados al sistema de seguridad social de salud, deberán aportar al sistema en calidad de cotizantes, porque la normativa no los excluyó, como sí lo hizo con el Sistema de</w:t>
      </w:r>
      <w:r w:rsidRPr="005639E9">
        <w:rPr>
          <w:spacing w:val="-24"/>
        </w:rPr>
        <w:t xml:space="preserve"> </w:t>
      </w:r>
      <w:r w:rsidRPr="005639E9">
        <w:t>Pensiones.</w:t>
      </w:r>
    </w:p>
    <w:p w:rsidR="00FC4AEC" w:rsidRPr="005639E9" w:rsidRDefault="00FC4AEC">
      <w:pPr>
        <w:pStyle w:val="Textoindependiente"/>
        <w:spacing w:before="1"/>
        <w:rPr>
          <w:sz w:val="25"/>
        </w:rPr>
      </w:pPr>
    </w:p>
    <w:p w:rsidR="00FC4AEC" w:rsidRPr="005639E9" w:rsidRDefault="00E316C1">
      <w:pPr>
        <w:pStyle w:val="Ttulo1"/>
        <w:numPr>
          <w:ilvl w:val="0"/>
          <w:numId w:val="1"/>
        </w:numPr>
        <w:tabs>
          <w:tab w:val="left" w:pos="661"/>
        </w:tabs>
        <w:ind w:hanging="361"/>
      </w:pPr>
      <w:r w:rsidRPr="005639E9">
        <w:t>Respuesta</w:t>
      </w:r>
    </w:p>
    <w:p w:rsidR="00FC4AEC" w:rsidRPr="005639E9" w:rsidRDefault="00FC4AEC">
      <w:pPr>
        <w:pStyle w:val="Textoindependiente"/>
        <w:spacing w:before="8"/>
        <w:rPr>
          <w:b/>
          <w:sz w:val="28"/>
        </w:rPr>
      </w:pPr>
    </w:p>
    <w:p w:rsidR="00FC4AEC" w:rsidRPr="005639E9" w:rsidRDefault="00E316C1">
      <w:pPr>
        <w:pStyle w:val="Textoindependiente"/>
        <w:spacing w:line="276" w:lineRule="auto"/>
        <w:ind w:left="300" w:right="306"/>
        <w:jc w:val="both"/>
      </w:pPr>
      <w:r w:rsidRPr="005639E9">
        <w:t xml:space="preserve">El momento en el cual las entidades estatales verificarán el pago al sistema de seguridad social cambia dependiendo si es una persona natural o con una jurídica: i) el inciso segundo del artículo 41 de la Ley 80 de 1993 señala que el proponente y el contratista deberán acreditar el pago de la seguridad social para realizar cada pago derivado del contrato, en </w:t>
      </w:r>
      <w:r w:rsidRPr="005639E9">
        <w:lastRenderedPageBreak/>
        <w:t>este caso se refiere tanto a la persona natural y como a la jurídica; y ii) el artículo 50 de la Ley 789 de 2002 establece que las personas jurídicas, para presentar la oferta, deben presentar el certificado del revisor fiscal o del representante legal que acredite el pago del sistema de seguridad social de sus</w:t>
      </w:r>
      <w:r w:rsidRPr="005639E9">
        <w:rPr>
          <w:spacing w:val="-12"/>
        </w:rPr>
        <w:t xml:space="preserve"> </w:t>
      </w:r>
      <w:r w:rsidRPr="005639E9">
        <w:t>empleados.</w:t>
      </w:r>
    </w:p>
    <w:p w:rsidR="00FC4AEC" w:rsidRPr="005639E9" w:rsidRDefault="00FC4AEC">
      <w:pPr>
        <w:pStyle w:val="Textoindependiente"/>
        <w:spacing w:before="6"/>
        <w:rPr>
          <w:sz w:val="25"/>
        </w:rPr>
      </w:pPr>
    </w:p>
    <w:p w:rsidR="00FC4AEC" w:rsidRPr="005639E9" w:rsidRDefault="00E316C1">
      <w:pPr>
        <w:pStyle w:val="Textoindependiente"/>
        <w:spacing w:line="276" w:lineRule="auto"/>
        <w:ind w:left="300" w:right="303"/>
        <w:jc w:val="both"/>
      </w:pPr>
      <w:r w:rsidRPr="005639E9">
        <w:t>En otras palabras, las personas naturales pensionadas acreditarán el pago de seguridad social durante la ejecución del contrato, como condición para el pago del contrato; pero no es necesario para la presentación de la oferta.</w:t>
      </w:r>
    </w:p>
    <w:p w:rsidR="00FC4AEC" w:rsidRPr="005639E9" w:rsidRDefault="00FC4AEC">
      <w:pPr>
        <w:pStyle w:val="Textoindependiente"/>
        <w:spacing w:before="2"/>
        <w:rPr>
          <w:sz w:val="25"/>
        </w:rPr>
      </w:pPr>
    </w:p>
    <w:p w:rsidR="00FC4AEC" w:rsidRPr="005639E9" w:rsidRDefault="00E316C1" w:rsidP="005639E9">
      <w:pPr>
        <w:pStyle w:val="Textoindependiente"/>
        <w:spacing w:line="276" w:lineRule="auto"/>
        <w:ind w:left="300" w:right="308"/>
        <w:jc w:val="both"/>
        <w:rPr>
          <w:sz w:val="20"/>
        </w:rPr>
      </w:pPr>
      <w:r w:rsidRPr="005639E9">
        <w:t>Ahora, la persona natural pensionada acreditará el pago al sistema de salud en calidad de cotizante, lo anterior debido a que los trabajadores independientes tienen el deber de afiliarse al sistema en el régimen contributivo. No obstante, frente al sistema de seguridad social en pensiones, la obligación de cotizar cesa para las personas que accedan a la pensión mínima de vejez, o cuando el afiliado se pensione por invalidez o anticipadamente.</w:t>
      </w:r>
    </w:p>
    <w:p w:rsidR="00FC4AEC" w:rsidRPr="005639E9" w:rsidRDefault="00FC4AEC">
      <w:pPr>
        <w:pStyle w:val="Textoindependiente"/>
        <w:spacing w:before="5"/>
        <w:rPr>
          <w:sz w:val="16"/>
        </w:rPr>
      </w:pPr>
    </w:p>
    <w:p w:rsidR="00FC4AEC" w:rsidRPr="005639E9" w:rsidRDefault="00E316C1">
      <w:pPr>
        <w:pStyle w:val="Textoindependiente"/>
        <w:spacing w:before="93" w:line="278" w:lineRule="auto"/>
        <w:ind w:left="300"/>
      </w:pPr>
      <w:r w:rsidRPr="005639E9">
        <w:t>Este concepto tiene el alcance previsto en el artículo 28 del Código de Procedimiento Administrativo y de lo Contencioso Administrativo.</w:t>
      </w:r>
    </w:p>
    <w:p w:rsidR="00FC4AEC" w:rsidRPr="005639E9" w:rsidRDefault="00677DA3">
      <w:pPr>
        <w:pStyle w:val="Textoindependiente"/>
        <w:spacing w:before="3"/>
        <w:rPr>
          <w:sz w:val="19"/>
        </w:rPr>
      </w:pPr>
      <w:r w:rsidRPr="005639E9">
        <w:rPr>
          <w:noProof/>
          <w:lang w:val="en-US"/>
        </w:rPr>
        <mc:AlternateContent>
          <mc:Choice Requires="wps">
            <w:drawing>
              <wp:anchor distT="0" distB="0" distL="0" distR="0" simplePos="0" relativeHeight="487590400" behindDoc="1" locked="0" layoutInCell="1" allowOverlap="1" wp14:anchorId="1EE24497" wp14:editId="696E0FAC">
                <wp:simplePos x="0" y="0"/>
                <wp:positionH relativeFrom="page">
                  <wp:posOffset>1514475</wp:posOffset>
                </wp:positionH>
                <wp:positionV relativeFrom="paragraph">
                  <wp:posOffset>170815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24A2" id="Freeform 2" o:spid="_x0000_s1026" style="position:absolute;margin-left:119.25pt;margin-top:13.4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FC4AEC" w:rsidRPr="005639E9" w:rsidRDefault="00E316C1">
      <w:pPr>
        <w:pStyle w:val="Textoindependiente"/>
        <w:spacing w:before="198"/>
        <w:ind w:left="300"/>
      </w:pPr>
      <w:r w:rsidRPr="005639E9">
        <w:t>Atentamente,</w:t>
      </w:r>
    </w:p>
    <w:p w:rsidR="006A77DD" w:rsidRPr="009D5D6D" w:rsidRDefault="006A77DD" w:rsidP="006A77DD">
      <w:pPr>
        <w:pStyle w:val="Textoindependiente"/>
        <w:jc w:val="center"/>
      </w:pPr>
      <w:r>
        <w:rPr>
          <w:noProof/>
          <w:lang w:val="en-US"/>
        </w:rPr>
        <w:drawing>
          <wp:inline distT="0" distB="0" distL="0" distR="0" wp14:anchorId="609B9D71" wp14:editId="4CF3D00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FC4AEC" w:rsidRPr="005639E9" w:rsidRDefault="00E316C1">
      <w:pPr>
        <w:pStyle w:val="Textoindependiente"/>
        <w:ind w:left="300"/>
      </w:pPr>
      <w:r w:rsidRPr="005639E9">
        <w:t>Proyectó: Sara Milena Núñez Aldana</w:t>
      </w:r>
    </w:p>
    <w:sectPr w:rsidR="00FC4AEC" w:rsidRPr="005639E9">
      <w:headerReference w:type="default" r:id="rId13"/>
      <w:footerReference w:type="default" r:id="rId14"/>
      <w:pgSz w:w="12240" w:h="15840"/>
      <w:pgMar w:top="1560" w:right="1300" w:bottom="2140" w:left="1400" w:header="737" w:footer="1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407" w:rsidRDefault="00E20407">
      <w:r>
        <w:separator/>
      </w:r>
    </w:p>
  </w:endnote>
  <w:endnote w:type="continuationSeparator" w:id="0">
    <w:p w:rsidR="00E20407" w:rsidRDefault="00E2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EC" w:rsidRDefault="00E316C1">
    <w:pPr>
      <w:pStyle w:val="Textoindependiente"/>
      <w:spacing w:line="14" w:lineRule="auto"/>
      <w:rPr>
        <w:sz w:val="20"/>
      </w:rPr>
    </w:pPr>
    <w:r>
      <w:rPr>
        <w:noProof/>
        <w:lang w:val="en-US"/>
      </w:rPr>
      <w:drawing>
        <wp:anchor distT="0" distB="0" distL="0" distR="0" simplePos="0" relativeHeight="487477248" behindDoc="1" locked="0" layoutInCell="1" allowOverlap="1" wp14:anchorId="57C381F3" wp14:editId="025D3A85">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407" w:rsidRDefault="00E20407">
      <w:r>
        <w:separator/>
      </w:r>
    </w:p>
  </w:footnote>
  <w:footnote w:type="continuationSeparator" w:id="0">
    <w:p w:rsidR="00E20407" w:rsidRDefault="00E20407">
      <w:r>
        <w:continuationSeparator/>
      </w:r>
    </w:p>
  </w:footnote>
  <w:footnote w:id="1">
    <w:p w:rsidR="006A77DD" w:rsidRPr="005639E9" w:rsidRDefault="005639E9" w:rsidP="006A77DD">
      <w:pPr>
        <w:spacing w:before="90" w:line="242" w:lineRule="auto"/>
        <w:ind w:left="300" w:right="304" w:firstLine="707"/>
        <w:jc w:val="both"/>
        <w:rPr>
          <w:sz w:val="23"/>
        </w:rPr>
      </w:pPr>
      <w:r>
        <w:rPr>
          <w:rStyle w:val="Refdenotaalpie"/>
        </w:rPr>
        <w:footnoteRef/>
      </w:r>
      <w:r>
        <w:t xml:space="preserve"> </w:t>
      </w:r>
      <w:r w:rsidRPr="005639E9">
        <w:rPr>
          <w:sz w:val="18"/>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rsidR="005639E9" w:rsidRPr="005639E9" w:rsidRDefault="005639E9" w:rsidP="005639E9">
      <w:pPr>
        <w:ind w:left="300" w:right="307"/>
        <w:jc w:val="both"/>
        <w:rPr>
          <w:sz w:val="18"/>
        </w:rPr>
      </w:pPr>
      <w:r w:rsidRPr="005639E9">
        <w:rPr>
          <w:sz w:val="18"/>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rsidR="005639E9" w:rsidRPr="005639E9" w:rsidRDefault="005639E9" w:rsidP="005639E9">
      <w:pPr>
        <w:pStyle w:val="Textoindependiente"/>
        <w:spacing w:before="4"/>
        <w:rPr>
          <w:sz w:val="24"/>
        </w:rPr>
      </w:pPr>
    </w:p>
    <w:p w:rsidR="005639E9" w:rsidRPr="005639E9" w:rsidRDefault="005639E9" w:rsidP="005639E9">
      <w:pPr>
        <w:spacing w:before="1"/>
        <w:ind w:left="300" w:right="308"/>
        <w:jc w:val="both"/>
        <w:rPr>
          <w:sz w:val="18"/>
        </w:rPr>
      </w:pPr>
      <w:r w:rsidRPr="005639E9">
        <w:rPr>
          <w:sz w:val="18"/>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rsidR="005639E9" w:rsidRPr="005639E9" w:rsidRDefault="005639E9" w:rsidP="005639E9">
      <w:pPr>
        <w:pStyle w:val="Textoindependiente"/>
        <w:spacing w:before="2"/>
        <w:rPr>
          <w:sz w:val="24"/>
        </w:rPr>
      </w:pPr>
    </w:p>
    <w:p w:rsidR="005639E9" w:rsidRPr="005639E9" w:rsidRDefault="005639E9" w:rsidP="006A77DD">
      <w:pPr>
        <w:ind w:left="300" w:right="309"/>
        <w:jc w:val="both"/>
      </w:pPr>
      <w:r w:rsidRPr="005639E9">
        <w:rPr>
          <w:sz w:val="18"/>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2">
    <w:p w:rsidR="005639E9" w:rsidRPr="005639E9" w:rsidRDefault="005639E9" w:rsidP="005639E9">
      <w:pPr>
        <w:spacing w:before="80" w:line="244" w:lineRule="auto"/>
        <w:ind w:left="300" w:right="310" w:firstLine="707"/>
        <w:jc w:val="both"/>
        <w:rPr>
          <w:sz w:val="18"/>
        </w:rPr>
      </w:pPr>
      <w:r>
        <w:rPr>
          <w:rStyle w:val="Refdenotaalpie"/>
        </w:rPr>
        <w:footnoteRef/>
      </w:r>
      <w:r>
        <w:t xml:space="preserve"> </w:t>
      </w:r>
      <w:r w:rsidRPr="005639E9">
        <w:rPr>
          <w:sz w:val="18"/>
        </w:rPr>
        <w:t>En todo caso, el legislador impone la obligación a los oferentes (cuando éstos sean personas jurídicas) de acreditar el requisito señalado en el acápite anterior. Si el funcionario responsable no deja constancia de la verificación de este requisito incurrirá en causal de mala conducta.</w:t>
      </w:r>
    </w:p>
    <w:p w:rsidR="005639E9" w:rsidRPr="005639E9" w:rsidRDefault="005639E9" w:rsidP="005639E9">
      <w:pPr>
        <w:pStyle w:val="Textoindependiente"/>
        <w:spacing w:before="9"/>
        <w:rPr>
          <w:sz w:val="17"/>
        </w:rPr>
      </w:pPr>
    </w:p>
    <w:p w:rsidR="005639E9" w:rsidRPr="005639E9" w:rsidRDefault="005639E9" w:rsidP="005639E9">
      <w:pPr>
        <w:ind w:left="300"/>
        <w:jc w:val="both"/>
        <w:rPr>
          <w:sz w:val="18"/>
        </w:rPr>
      </w:pPr>
      <w:r w:rsidRPr="005639E9">
        <w:rPr>
          <w:sz w:val="18"/>
        </w:rPr>
        <w:t>“De la disposición referenciada la Sala concluye lo siguiente:</w:t>
      </w:r>
    </w:p>
    <w:p w:rsidR="005639E9" w:rsidRPr="005639E9" w:rsidRDefault="005639E9" w:rsidP="005639E9">
      <w:pPr>
        <w:pStyle w:val="Textoindependiente"/>
        <w:spacing w:before="10"/>
        <w:rPr>
          <w:sz w:val="17"/>
        </w:rPr>
      </w:pPr>
    </w:p>
    <w:p w:rsidR="005639E9" w:rsidRPr="005639E9" w:rsidRDefault="005639E9" w:rsidP="005639E9">
      <w:pPr>
        <w:ind w:left="300" w:right="308"/>
        <w:jc w:val="both"/>
        <w:rPr>
          <w:sz w:val="18"/>
        </w:rPr>
      </w:pPr>
      <w:r w:rsidRPr="005639E9">
        <w:rPr>
          <w:sz w:val="18"/>
        </w:rPr>
        <w:t>“1. El artículo 50 de la Ley 789 de 2002 tiene como principal objetivo evitar la evasión por parte de los empleadores de las cotizaciones al sistema de seguridad social y de los aportes parafiscales destinados al Instituto Colombiano de Bienestar familiar, las Cajas de compensación y el Sena.</w:t>
      </w:r>
    </w:p>
    <w:p w:rsidR="005639E9" w:rsidRPr="005639E9" w:rsidRDefault="005639E9" w:rsidP="005639E9">
      <w:pPr>
        <w:pStyle w:val="Textoindependiente"/>
        <w:spacing w:before="2"/>
        <w:rPr>
          <w:sz w:val="18"/>
        </w:rPr>
      </w:pPr>
    </w:p>
    <w:p w:rsidR="005639E9" w:rsidRPr="005639E9" w:rsidRDefault="005639E9" w:rsidP="005639E9">
      <w:pPr>
        <w:ind w:left="300" w:right="309"/>
        <w:jc w:val="both"/>
        <w:rPr>
          <w:sz w:val="18"/>
        </w:rPr>
      </w:pPr>
      <w:r w:rsidRPr="005639E9">
        <w:rPr>
          <w:sz w:val="18"/>
        </w:rPr>
        <w:t>“2. Para lograr la finalidad señalada, el legislador impuso a las entidades públicas la obligación de verificar, en los procesos de selección de contratistas y en la ejecución y liquidación de los contratos, que tanto los oferentes como los contratistas hayan realizado los aportes respectivos, no desconociendo los derechos reconocidos a los</w:t>
      </w:r>
      <w:r w:rsidRPr="005639E9">
        <w:rPr>
          <w:spacing w:val="-2"/>
          <w:sz w:val="18"/>
        </w:rPr>
        <w:t xml:space="preserve"> </w:t>
      </w:r>
      <w:r w:rsidRPr="005639E9">
        <w:rPr>
          <w:sz w:val="18"/>
        </w:rPr>
        <w:t>trabajadores.</w:t>
      </w:r>
    </w:p>
    <w:p w:rsidR="005639E9" w:rsidRPr="005639E9" w:rsidRDefault="005639E9" w:rsidP="005639E9">
      <w:pPr>
        <w:pStyle w:val="Textoindependiente"/>
        <w:rPr>
          <w:sz w:val="18"/>
        </w:rPr>
      </w:pPr>
    </w:p>
    <w:p w:rsidR="005639E9" w:rsidRPr="005639E9" w:rsidRDefault="005639E9" w:rsidP="005639E9">
      <w:pPr>
        <w:spacing w:before="1"/>
        <w:ind w:left="300" w:right="310"/>
        <w:jc w:val="both"/>
        <w:rPr>
          <w:sz w:val="18"/>
        </w:rPr>
      </w:pPr>
      <w:r w:rsidRPr="005639E9">
        <w:rPr>
          <w:sz w:val="18"/>
        </w:rPr>
        <w:t>“3. No obstante lo anterior, la norma otorga la posibilidad de que aquella entidad pública que durante la ejecución del contrato no haya solicitado las certificaciones del pago de los aportes parafiscales y a los sistemas de seguridad social en salud y pensiones, lo haga en el momento de la liquidación, cerciorándose de que las obligaciones referenciadas se han cumplido durante el tiempo de vigencia del negocio</w:t>
      </w:r>
      <w:r w:rsidRPr="005639E9">
        <w:rPr>
          <w:spacing w:val="-34"/>
          <w:sz w:val="18"/>
        </w:rPr>
        <w:t xml:space="preserve"> </w:t>
      </w:r>
      <w:r w:rsidRPr="005639E9">
        <w:rPr>
          <w:sz w:val="18"/>
        </w:rPr>
        <w:t>jurídico.</w:t>
      </w:r>
    </w:p>
    <w:p w:rsidR="005639E9" w:rsidRPr="005639E9" w:rsidRDefault="005639E9" w:rsidP="005639E9">
      <w:pPr>
        <w:pStyle w:val="Textoindependiente"/>
        <w:spacing w:before="9"/>
        <w:rPr>
          <w:sz w:val="17"/>
        </w:rPr>
      </w:pPr>
    </w:p>
    <w:p w:rsidR="005639E9" w:rsidRPr="005639E9" w:rsidRDefault="005639E9" w:rsidP="005639E9">
      <w:pPr>
        <w:ind w:left="300" w:right="314"/>
        <w:jc w:val="both"/>
        <w:rPr>
          <w:sz w:val="18"/>
        </w:rPr>
      </w:pPr>
      <w:r w:rsidRPr="005639E9">
        <w:rPr>
          <w:sz w:val="18"/>
        </w:rPr>
        <w:t>“4.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w:t>
      </w:r>
      <w:r w:rsidRPr="005639E9">
        <w:rPr>
          <w:spacing w:val="-16"/>
          <w:sz w:val="18"/>
        </w:rPr>
        <w:t xml:space="preserve"> </w:t>
      </w:r>
      <w:r w:rsidRPr="005639E9">
        <w:rPr>
          <w:sz w:val="18"/>
        </w:rPr>
        <w:t>entidad.</w:t>
      </w:r>
    </w:p>
    <w:p w:rsidR="005639E9" w:rsidRPr="005639E9" w:rsidRDefault="005639E9" w:rsidP="005639E9">
      <w:pPr>
        <w:pStyle w:val="Textoindependiente"/>
        <w:spacing w:before="2"/>
        <w:rPr>
          <w:sz w:val="18"/>
        </w:rPr>
      </w:pPr>
    </w:p>
    <w:p w:rsidR="005639E9" w:rsidRPr="005639E9" w:rsidRDefault="005639E9" w:rsidP="005639E9">
      <w:pPr>
        <w:ind w:left="300" w:right="305"/>
        <w:jc w:val="both"/>
        <w:rPr>
          <w:sz w:val="18"/>
        </w:rPr>
      </w:pPr>
      <w:r w:rsidRPr="005639E9">
        <w:rPr>
          <w:sz w:val="18"/>
        </w:rPr>
        <w:t>“5. En caso de que se compruebe un incumplimiento en el pago de los aportes parafiscales y al Sistema General de Seguridad Social, la ley otorga la facultad a la entidad pública de retener el monto adeudado y hacer las consignaciones</w:t>
      </w:r>
      <w:r w:rsidRPr="005639E9">
        <w:rPr>
          <w:spacing w:val="-4"/>
          <w:sz w:val="18"/>
        </w:rPr>
        <w:t xml:space="preserve"> </w:t>
      </w:r>
      <w:r w:rsidRPr="005639E9">
        <w:rPr>
          <w:sz w:val="18"/>
        </w:rPr>
        <w:t>correspondientes”.</w:t>
      </w:r>
    </w:p>
    <w:p w:rsidR="005639E9" w:rsidRPr="005639E9" w:rsidRDefault="005639E9">
      <w:pPr>
        <w:pStyle w:val="Textonotapie"/>
      </w:pPr>
    </w:p>
  </w:footnote>
  <w:footnote w:id="3">
    <w:p w:rsidR="005639E9" w:rsidRPr="005639E9" w:rsidRDefault="005639E9" w:rsidP="005639E9">
      <w:pPr>
        <w:spacing w:before="87"/>
        <w:ind w:left="1008"/>
        <w:rPr>
          <w:sz w:val="18"/>
        </w:rPr>
      </w:pPr>
      <w:r>
        <w:rPr>
          <w:rStyle w:val="Refdenotaalpie"/>
        </w:rPr>
        <w:footnoteRef/>
      </w:r>
      <w:r>
        <w:t xml:space="preserve"> </w:t>
      </w:r>
      <w:r w:rsidRPr="005639E9">
        <w:rPr>
          <w:sz w:val="18"/>
        </w:rPr>
        <w:t xml:space="preserve">Ley 797 de 2003: “Artículo 3o El artículo </w:t>
      </w:r>
      <w:hyperlink r:id="rId1" w:anchor="15">
        <w:r w:rsidRPr="005639E9">
          <w:rPr>
            <w:sz w:val="18"/>
            <w:u w:val="single" w:color="4D4D4D"/>
          </w:rPr>
          <w:t>15</w:t>
        </w:r>
        <w:r w:rsidRPr="005639E9">
          <w:rPr>
            <w:sz w:val="18"/>
          </w:rPr>
          <w:t xml:space="preserve"> </w:t>
        </w:r>
      </w:hyperlink>
      <w:r w:rsidRPr="005639E9">
        <w:rPr>
          <w:sz w:val="18"/>
        </w:rPr>
        <w:t>de la Ley 100 de 1993, quedará así:</w:t>
      </w:r>
    </w:p>
    <w:p w:rsidR="005639E9" w:rsidRPr="005639E9" w:rsidRDefault="005639E9" w:rsidP="005639E9">
      <w:pPr>
        <w:pStyle w:val="Textoindependiente"/>
        <w:spacing w:before="8"/>
        <w:rPr>
          <w:sz w:val="10"/>
        </w:rPr>
      </w:pPr>
    </w:p>
    <w:p w:rsidR="005639E9" w:rsidRPr="005639E9" w:rsidRDefault="005639E9" w:rsidP="005639E9">
      <w:pPr>
        <w:spacing w:before="95"/>
        <w:ind w:left="300"/>
        <w:jc w:val="both"/>
        <w:rPr>
          <w:sz w:val="18"/>
        </w:rPr>
      </w:pPr>
      <w:r w:rsidRPr="005639E9">
        <w:rPr>
          <w:sz w:val="18"/>
        </w:rPr>
        <w:t>“Artículo 15. Afiliados. Serán afiliados al Sistema General de Pensiones:</w:t>
      </w:r>
    </w:p>
    <w:p w:rsidR="005639E9" w:rsidRPr="005639E9" w:rsidRDefault="005639E9" w:rsidP="005639E9">
      <w:pPr>
        <w:pStyle w:val="Textoindependiente"/>
        <w:spacing w:before="1"/>
        <w:rPr>
          <w:sz w:val="18"/>
        </w:rPr>
      </w:pPr>
    </w:p>
    <w:p w:rsidR="005639E9" w:rsidRPr="005639E9" w:rsidRDefault="005639E9" w:rsidP="005639E9">
      <w:pPr>
        <w:ind w:left="300" w:right="305"/>
        <w:jc w:val="both"/>
        <w:rPr>
          <w:sz w:val="18"/>
        </w:rPr>
      </w:pPr>
      <w:r w:rsidRPr="005639E9">
        <w:rPr>
          <w:sz w:val="18"/>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rsidR="005639E9" w:rsidRPr="005639E9" w:rsidRDefault="005639E9" w:rsidP="005639E9">
      <w:pPr>
        <w:pStyle w:val="Textoindependiente"/>
      </w:pPr>
    </w:p>
    <w:p w:rsidR="005639E9" w:rsidRPr="005639E9" w:rsidRDefault="005639E9" w:rsidP="005639E9">
      <w:pPr>
        <w:ind w:left="1008"/>
        <w:rPr>
          <w:sz w:val="18"/>
        </w:rPr>
      </w:pPr>
      <w:r w:rsidRPr="005639E9">
        <w:rPr>
          <w:rFonts w:ascii="Carlito" w:hAnsi="Carlito"/>
          <w:position w:val="6"/>
          <w:sz w:val="13"/>
        </w:rPr>
        <w:t xml:space="preserve">4 </w:t>
      </w:r>
      <w:r w:rsidRPr="005639E9">
        <w:rPr>
          <w:sz w:val="18"/>
        </w:rPr>
        <w:t>Ley 797 de 2003: “Artículo 4. El artículo</w:t>
      </w:r>
      <w:hyperlink r:id="rId2" w:anchor="17">
        <w:r w:rsidRPr="005639E9">
          <w:rPr>
            <w:sz w:val="18"/>
          </w:rPr>
          <w:t xml:space="preserve"> 17 </w:t>
        </w:r>
      </w:hyperlink>
      <w:r w:rsidRPr="005639E9">
        <w:rPr>
          <w:sz w:val="18"/>
        </w:rPr>
        <w:t>de la Ley 100 de 1993 quedará así:</w:t>
      </w:r>
    </w:p>
    <w:p w:rsidR="005639E9" w:rsidRPr="005639E9" w:rsidRDefault="005639E9" w:rsidP="005639E9">
      <w:pPr>
        <w:pStyle w:val="Textoindependiente"/>
        <w:spacing w:before="2"/>
        <w:rPr>
          <w:sz w:val="19"/>
        </w:rPr>
      </w:pPr>
    </w:p>
    <w:p w:rsidR="005639E9" w:rsidRPr="005639E9" w:rsidRDefault="005639E9" w:rsidP="005639E9">
      <w:pPr>
        <w:spacing w:before="1"/>
        <w:ind w:left="300" w:right="306"/>
        <w:jc w:val="both"/>
        <w:rPr>
          <w:sz w:val="18"/>
        </w:rPr>
      </w:pPr>
      <w:r w:rsidRPr="005639E9">
        <w:rPr>
          <w:sz w:val="18"/>
        </w:rPr>
        <w:t>“Artículo 17. Obligatoriedad de las Cotizaciones. Durante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w:t>
      </w:r>
    </w:p>
    <w:p w:rsidR="005639E9" w:rsidRPr="005639E9" w:rsidRDefault="005639E9" w:rsidP="005639E9">
      <w:pPr>
        <w:pStyle w:val="Textoindependiente"/>
        <w:spacing w:before="3"/>
        <w:rPr>
          <w:sz w:val="24"/>
        </w:rPr>
      </w:pPr>
    </w:p>
    <w:p w:rsidR="005639E9" w:rsidRPr="005639E9" w:rsidRDefault="005639E9" w:rsidP="005639E9">
      <w:pPr>
        <w:ind w:left="300" w:right="311"/>
        <w:jc w:val="both"/>
        <w:rPr>
          <w:sz w:val="18"/>
        </w:rPr>
      </w:pPr>
      <w:r w:rsidRPr="005639E9">
        <w:rPr>
          <w:sz w:val="18"/>
        </w:rPr>
        <w:t>“La obligación de cotizar cesa al momento en que el afiliado reúna los requisitos para acceder a la pensión mínima de vejez, o cuando el afiliado se pensione por invalidez o anticipadamente”.</w:t>
      </w:r>
    </w:p>
    <w:p w:rsidR="005639E9" w:rsidRPr="005639E9" w:rsidRDefault="005639E9" w:rsidP="005639E9">
      <w:pPr>
        <w:pStyle w:val="Textoindependiente"/>
        <w:spacing w:before="4"/>
        <w:rPr>
          <w:sz w:val="25"/>
        </w:rPr>
      </w:pPr>
    </w:p>
    <w:p w:rsidR="005639E9" w:rsidRPr="005639E9" w:rsidRDefault="005639E9">
      <w:pPr>
        <w:pStyle w:val="Textonotapie"/>
      </w:pPr>
    </w:p>
  </w:footnote>
  <w:footnote w:id="4">
    <w:p w:rsidR="005639E9" w:rsidRDefault="005639E9" w:rsidP="005639E9">
      <w:pPr>
        <w:spacing w:before="80" w:line="243" w:lineRule="exact"/>
        <w:ind w:left="300"/>
        <w:rPr>
          <w:rFonts w:ascii="Carlito" w:hAnsi="Carlito"/>
          <w:sz w:val="20"/>
        </w:rPr>
      </w:pPr>
      <w:r>
        <w:rPr>
          <w:rStyle w:val="Refdenotaalpie"/>
        </w:rPr>
        <w:footnoteRef/>
      </w:r>
      <w:r>
        <w:t xml:space="preserve"> </w:t>
      </w:r>
      <w:r w:rsidRPr="005639E9">
        <w:rPr>
          <w:rFonts w:ascii="Carlito" w:hAnsi="Carlito"/>
          <w:sz w:val="20"/>
        </w:rPr>
        <w:t>(…)</w:t>
      </w:r>
    </w:p>
    <w:p w:rsidR="006A77DD" w:rsidRPr="005639E9" w:rsidRDefault="006A77DD" w:rsidP="005639E9">
      <w:pPr>
        <w:spacing w:before="80" w:line="243" w:lineRule="exact"/>
        <w:ind w:left="300"/>
        <w:rPr>
          <w:rFonts w:ascii="Carlito" w:hAnsi="Carlito"/>
          <w:sz w:val="20"/>
        </w:rPr>
      </w:pPr>
    </w:p>
    <w:p w:rsidR="005639E9" w:rsidRPr="005639E9" w:rsidRDefault="005639E9" w:rsidP="005639E9">
      <w:pPr>
        <w:ind w:left="300" w:right="308"/>
        <w:jc w:val="both"/>
        <w:rPr>
          <w:sz w:val="18"/>
        </w:rPr>
      </w:pPr>
      <w:r w:rsidRPr="005639E9">
        <w:rPr>
          <w:sz w:val="18"/>
        </w:rPr>
        <w:t>“1.4 Los trabajadores independientes, los rentistas, los propietarios de las empresas y en general todas las personas residentes en el país, que no tengan vínculo contractual y reglamentario con algún empleador y cuyos ingresos mensuales sean iguales o superiores a un salario mínimo mensual legal</w:t>
      </w:r>
      <w:r w:rsidRPr="005639E9">
        <w:rPr>
          <w:spacing w:val="-20"/>
          <w:sz w:val="18"/>
        </w:rPr>
        <w:t xml:space="preserve"> </w:t>
      </w:r>
      <w:r w:rsidRPr="005639E9">
        <w:rPr>
          <w:sz w:val="18"/>
        </w:rPr>
        <w:t>vigente”.</w:t>
      </w:r>
    </w:p>
    <w:p w:rsidR="005639E9" w:rsidRPr="005639E9" w:rsidRDefault="005639E9">
      <w:pPr>
        <w:pStyle w:val="Textonotapie"/>
      </w:pPr>
    </w:p>
  </w:footnote>
  <w:footnote w:id="5">
    <w:p w:rsidR="005639E9" w:rsidRPr="005639E9" w:rsidRDefault="005639E9" w:rsidP="005639E9">
      <w:pPr>
        <w:spacing w:line="280" w:lineRule="auto"/>
        <w:ind w:left="300" w:firstLine="707"/>
        <w:rPr>
          <w:sz w:val="18"/>
        </w:rPr>
      </w:pPr>
      <w:r>
        <w:rPr>
          <w:rStyle w:val="Refdenotaalpie"/>
        </w:rPr>
        <w:footnoteRef/>
      </w:r>
      <w:r>
        <w:t xml:space="preserve"> </w:t>
      </w:r>
      <w:r w:rsidRPr="005639E9">
        <w:rPr>
          <w:sz w:val="18"/>
        </w:rPr>
        <w:t>Decreto 780 de 2016: “Artículo 2.1.4.1 Afiliados al régimen contributivo. “Pertenecerán al Régimen Contributivo del Sistema General de Seguridad Social en Salud:</w:t>
      </w:r>
    </w:p>
    <w:p w:rsidR="005639E9" w:rsidRPr="005639E9" w:rsidRDefault="005639E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EC" w:rsidRDefault="00E316C1">
    <w:pPr>
      <w:pStyle w:val="Textoindependiente"/>
      <w:spacing w:line="14" w:lineRule="auto"/>
      <w:rPr>
        <w:sz w:val="20"/>
      </w:rPr>
    </w:pPr>
    <w:r>
      <w:rPr>
        <w:noProof/>
        <w:lang w:val="en-US"/>
      </w:rPr>
      <w:drawing>
        <wp:anchor distT="0" distB="0" distL="0" distR="0" simplePos="0" relativeHeight="487476736" behindDoc="1" locked="0" layoutInCell="1" allowOverlap="1" wp14:anchorId="6CE85423" wp14:editId="27F0B10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F4D90"/>
    <w:multiLevelType w:val="hybridMultilevel"/>
    <w:tmpl w:val="BB60CE82"/>
    <w:lvl w:ilvl="0" w:tplc="0AD4AFD4">
      <w:start w:val="1"/>
      <w:numFmt w:val="decimal"/>
      <w:lvlText w:val="%1."/>
      <w:lvlJc w:val="left"/>
      <w:pPr>
        <w:ind w:left="660" w:hanging="360"/>
        <w:jc w:val="left"/>
      </w:pPr>
      <w:rPr>
        <w:rFonts w:hint="default"/>
        <w:b/>
        <w:bCs/>
        <w:spacing w:val="-8"/>
        <w:w w:val="100"/>
        <w:lang w:val="es-ES" w:eastAsia="en-US" w:bidi="ar-SA"/>
      </w:rPr>
    </w:lvl>
    <w:lvl w:ilvl="1" w:tplc="ED241B16">
      <w:numFmt w:val="bullet"/>
      <w:lvlText w:val="•"/>
      <w:lvlJc w:val="left"/>
      <w:pPr>
        <w:ind w:left="1548" w:hanging="360"/>
      </w:pPr>
      <w:rPr>
        <w:rFonts w:hint="default"/>
        <w:lang w:val="es-ES" w:eastAsia="en-US" w:bidi="ar-SA"/>
      </w:rPr>
    </w:lvl>
    <w:lvl w:ilvl="2" w:tplc="8BEC545C">
      <w:numFmt w:val="bullet"/>
      <w:lvlText w:val="•"/>
      <w:lvlJc w:val="left"/>
      <w:pPr>
        <w:ind w:left="2436" w:hanging="360"/>
      </w:pPr>
      <w:rPr>
        <w:rFonts w:hint="default"/>
        <w:lang w:val="es-ES" w:eastAsia="en-US" w:bidi="ar-SA"/>
      </w:rPr>
    </w:lvl>
    <w:lvl w:ilvl="3" w:tplc="C81C71DE">
      <w:numFmt w:val="bullet"/>
      <w:lvlText w:val="•"/>
      <w:lvlJc w:val="left"/>
      <w:pPr>
        <w:ind w:left="3324" w:hanging="360"/>
      </w:pPr>
      <w:rPr>
        <w:rFonts w:hint="default"/>
        <w:lang w:val="es-ES" w:eastAsia="en-US" w:bidi="ar-SA"/>
      </w:rPr>
    </w:lvl>
    <w:lvl w:ilvl="4" w:tplc="E050FBA6">
      <w:numFmt w:val="bullet"/>
      <w:lvlText w:val="•"/>
      <w:lvlJc w:val="left"/>
      <w:pPr>
        <w:ind w:left="4212" w:hanging="360"/>
      </w:pPr>
      <w:rPr>
        <w:rFonts w:hint="default"/>
        <w:lang w:val="es-ES" w:eastAsia="en-US" w:bidi="ar-SA"/>
      </w:rPr>
    </w:lvl>
    <w:lvl w:ilvl="5" w:tplc="AF3AE54E">
      <w:numFmt w:val="bullet"/>
      <w:lvlText w:val="•"/>
      <w:lvlJc w:val="left"/>
      <w:pPr>
        <w:ind w:left="5100" w:hanging="360"/>
      </w:pPr>
      <w:rPr>
        <w:rFonts w:hint="default"/>
        <w:lang w:val="es-ES" w:eastAsia="en-US" w:bidi="ar-SA"/>
      </w:rPr>
    </w:lvl>
    <w:lvl w:ilvl="6" w:tplc="6B8EB4A8">
      <w:numFmt w:val="bullet"/>
      <w:lvlText w:val="•"/>
      <w:lvlJc w:val="left"/>
      <w:pPr>
        <w:ind w:left="5988" w:hanging="360"/>
      </w:pPr>
      <w:rPr>
        <w:rFonts w:hint="default"/>
        <w:lang w:val="es-ES" w:eastAsia="en-US" w:bidi="ar-SA"/>
      </w:rPr>
    </w:lvl>
    <w:lvl w:ilvl="7" w:tplc="37BEED0A">
      <w:numFmt w:val="bullet"/>
      <w:lvlText w:val="•"/>
      <w:lvlJc w:val="left"/>
      <w:pPr>
        <w:ind w:left="6876" w:hanging="360"/>
      </w:pPr>
      <w:rPr>
        <w:rFonts w:hint="default"/>
        <w:lang w:val="es-ES" w:eastAsia="en-US" w:bidi="ar-SA"/>
      </w:rPr>
    </w:lvl>
    <w:lvl w:ilvl="8" w:tplc="53EAA51C">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EC"/>
    <w:rsid w:val="005639E9"/>
    <w:rsid w:val="00584B53"/>
    <w:rsid w:val="005D41C7"/>
    <w:rsid w:val="0062759F"/>
    <w:rsid w:val="00677DA3"/>
    <w:rsid w:val="006A77DD"/>
    <w:rsid w:val="00720404"/>
    <w:rsid w:val="00DF41B3"/>
    <w:rsid w:val="00DF67AD"/>
    <w:rsid w:val="00E057A2"/>
    <w:rsid w:val="00E20407"/>
    <w:rsid w:val="00E316C1"/>
    <w:rsid w:val="00FC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B3B8"/>
  <w15:docId w15:val="{FD4F48E2-4744-4F63-9CB9-93459E27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30" w:lineRule="exact"/>
      <w:ind w:left="200"/>
    </w:pPr>
  </w:style>
  <w:style w:type="paragraph" w:styleId="Textonotapie">
    <w:name w:val="footnote text"/>
    <w:basedOn w:val="Normal"/>
    <w:link w:val="TextonotapieCar"/>
    <w:uiPriority w:val="99"/>
    <w:semiHidden/>
    <w:unhideWhenUsed/>
    <w:rsid w:val="005639E9"/>
    <w:rPr>
      <w:sz w:val="20"/>
      <w:szCs w:val="20"/>
    </w:rPr>
  </w:style>
  <w:style w:type="character" w:customStyle="1" w:styleId="TextonotapieCar">
    <w:name w:val="Texto nota pie Car"/>
    <w:basedOn w:val="Fuentedeprrafopredeter"/>
    <w:link w:val="Textonotapie"/>
    <w:uiPriority w:val="99"/>
    <w:semiHidden/>
    <w:rsid w:val="005639E9"/>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63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100_1993.html" TargetMode="External"/><Relationship Id="rId1" Type="http://schemas.openxmlformats.org/officeDocument/2006/relationships/hyperlink" Target="http://www.secretariasenado.gov.co/senado/basedoc/ley_010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D6C2-A01D-443E-A800-76C6444F1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67408-B94A-4C2F-BF2D-A7D7FDC873C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C04D615-6EA6-4540-BD72-7545C931B136}">
  <ds:schemaRefs>
    <ds:schemaRef ds:uri="http://schemas.microsoft.com/sharepoint/v3/contenttype/forms"/>
  </ds:schemaRefs>
</ds:datastoreItem>
</file>

<file path=customXml/itemProps4.xml><?xml version="1.0" encoding="utf-8"?>
<ds:datastoreItem xmlns:ds="http://schemas.openxmlformats.org/officeDocument/2006/customXml" ds:itemID="{43F21EC3-A562-514B-97E6-7BCCF38C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2134</Words>
  <Characters>11740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9</cp:revision>
  <dcterms:created xsi:type="dcterms:W3CDTF">2020-04-01T13:25:00Z</dcterms:created>
  <dcterms:modified xsi:type="dcterms:W3CDTF">2020-08-19T21:48:00Z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