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072" w14:textId="77777777" w:rsidR="005B4987" w:rsidRDefault="005B4987" w:rsidP="005B4987">
      <w:pPr>
        <w:jc w:val="right"/>
        <w:rPr>
          <w:rFonts w:ascii="Arial" w:eastAsia="Arial" w:hAnsi="Arial" w:cs="Arial"/>
          <w:b/>
          <w:sz w:val="16"/>
          <w:szCs w:val="16"/>
        </w:rPr>
      </w:pPr>
      <w:bookmarkStart w:id="0" w:name="_gjdgxs" w:colFirst="0" w:colLast="0"/>
      <w:bookmarkEnd w:id="0"/>
      <w:r>
        <w:rPr>
          <w:rFonts w:ascii="Arial" w:eastAsia="Arial" w:hAnsi="Arial" w:cs="Arial"/>
          <w:b/>
          <w:color w:val="000000"/>
          <w:sz w:val="16"/>
          <w:szCs w:val="16"/>
        </w:rPr>
        <w:tab/>
      </w:r>
      <w:r>
        <w:rPr>
          <w:rFonts w:ascii="Arial" w:eastAsia="Arial" w:hAnsi="Arial" w:cs="Arial"/>
          <w:b/>
          <w:sz w:val="16"/>
          <w:szCs w:val="16"/>
        </w:rPr>
        <w:t>CCE-DES-FM-17</w:t>
      </w:r>
    </w:p>
    <w:p w14:paraId="1EC259A4" w14:textId="77777777" w:rsidR="005B4987" w:rsidRDefault="005B4987" w:rsidP="005B4987">
      <w:pPr>
        <w:spacing w:line="276" w:lineRule="auto"/>
        <w:jc w:val="both"/>
        <w:rPr>
          <w:rFonts w:ascii="Arial" w:eastAsia="Arial" w:hAnsi="Arial" w:cs="Arial"/>
          <w:b/>
          <w:color w:val="000000"/>
          <w:sz w:val="16"/>
          <w:szCs w:val="16"/>
        </w:rPr>
      </w:pPr>
    </w:p>
    <w:p w14:paraId="20F5B335" w14:textId="77777777" w:rsidR="005B4987" w:rsidRDefault="005B4987" w:rsidP="005B4987">
      <w:pPr>
        <w:jc w:val="both"/>
        <w:rPr>
          <w:rFonts w:ascii="Arial" w:eastAsia="Arial" w:hAnsi="Arial" w:cs="Arial"/>
          <w:color w:val="000000"/>
          <w:sz w:val="22"/>
          <w:szCs w:val="22"/>
        </w:rPr>
      </w:pPr>
      <w:bookmarkStart w:id="1" w:name="_30j0zll" w:colFirst="0" w:colLast="0"/>
      <w:bookmarkEnd w:id="1"/>
      <w:r>
        <w:rPr>
          <w:rFonts w:ascii="Arial" w:eastAsia="Arial" w:hAnsi="Arial" w:cs="Arial"/>
          <w:b/>
          <w:color w:val="000000"/>
          <w:sz w:val="22"/>
          <w:szCs w:val="22"/>
        </w:rPr>
        <w:t xml:space="preserve">PRINCIPIO DE SELECCIÓN OBJETIVA </w:t>
      </w:r>
      <w:r>
        <w:rPr>
          <w:rFonts w:ascii="Arial" w:eastAsia="Arial" w:hAnsi="Arial" w:cs="Arial"/>
          <w:b/>
          <w:color w:val="000000"/>
          <w:sz w:val="20"/>
          <w:szCs w:val="20"/>
        </w:rPr>
        <w:t>–</w:t>
      </w:r>
      <w:r>
        <w:rPr>
          <w:rFonts w:ascii="Arial" w:eastAsia="Arial" w:hAnsi="Arial" w:cs="Arial"/>
          <w:b/>
          <w:color w:val="000000"/>
          <w:sz w:val="22"/>
          <w:szCs w:val="22"/>
        </w:rPr>
        <w:t xml:space="preserve"> Fundamento </w:t>
      </w:r>
      <w:r>
        <w:rPr>
          <w:rFonts w:ascii="Arial" w:eastAsia="Arial" w:hAnsi="Arial" w:cs="Arial"/>
          <w:b/>
          <w:color w:val="000000"/>
          <w:sz w:val="20"/>
          <w:szCs w:val="20"/>
        </w:rPr>
        <w:t>–</w:t>
      </w:r>
      <w:r>
        <w:rPr>
          <w:rFonts w:ascii="Arial" w:eastAsia="Arial" w:hAnsi="Arial" w:cs="Arial"/>
          <w:b/>
          <w:color w:val="000000"/>
          <w:sz w:val="22"/>
          <w:szCs w:val="22"/>
        </w:rPr>
        <w:t xml:space="preserve"> Alcance</w:t>
      </w:r>
    </w:p>
    <w:p w14:paraId="0CE8CECD" w14:textId="77777777" w:rsidR="005B4987" w:rsidRDefault="005B4987" w:rsidP="005B4987">
      <w:pPr>
        <w:jc w:val="both"/>
        <w:rPr>
          <w:rFonts w:ascii="Arial" w:eastAsia="Arial" w:hAnsi="Arial" w:cs="Arial"/>
          <w:color w:val="000000"/>
          <w:sz w:val="22"/>
          <w:szCs w:val="22"/>
        </w:rPr>
      </w:pPr>
    </w:p>
    <w:p w14:paraId="5A523A14" w14:textId="77777777" w:rsidR="005B4987" w:rsidRDefault="005B4987" w:rsidP="005B4987">
      <w:pPr>
        <w:jc w:val="both"/>
        <w:rPr>
          <w:rFonts w:ascii="Arial" w:eastAsia="Arial" w:hAnsi="Arial" w:cs="Arial"/>
          <w:color w:val="000000"/>
          <w:sz w:val="20"/>
          <w:szCs w:val="20"/>
        </w:rPr>
      </w:pPr>
      <w:r>
        <w:rPr>
          <w:rFonts w:ascii="Arial" w:eastAsia="Arial" w:hAnsi="Arial" w:cs="Arial"/>
          <w:color w:val="000000"/>
          <w:sz w:val="20"/>
          <w:szCs w:val="20"/>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1F8B0688" w14:textId="77777777" w:rsidR="005B4987" w:rsidRDefault="005B4987" w:rsidP="005B4987">
      <w:pPr>
        <w:spacing w:before="120"/>
        <w:jc w:val="both"/>
        <w:rPr>
          <w:rFonts w:ascii="Arial" w:eastAsia="Arial" w:hAnsi="Arial" w:cs="Arial"/>
          <w:color w:val="000000"/>
          <w:sz w:val="20"/>
          <w:szCs w:val="20"/>
        </w:rPr>
      </w:pPr>
      <w:r>
        <w:rPr>
          <w:rFonts w:ascii="Arial" w:eastAsia="Arial" w:hAnsi="Arial" w:cs="Arial"/>
          <w:color w:val="000000"/>
          <w:sz w:val="20"/>
          <w:szCs w:val="20"/>
        </w:rPr>
        <w:t xml:space="preserve">Si bien dentro de la historia de la contratación pública en Colombia, se vislumbran antecedentes normativos que consagran dicho principio, en la actualidad la disposición legal que lo prevé de manera más clara y contundente es el artículo 5 de la Ley 1150 de 2007, modificado por el artículo 88 de la Ley 1474 de 2011 y por el artículo 5 de la Ley 1882 de 2018. Con todo, la Ley 80 de 1993 se refiere a la selección objetiva en varios apartados, así como también lo hace el Decreto 1082 de 2015. </w:t>
      </w:r>
    </w:p>
    <w:p w14:paraId="33864D26" w14:textId="77777777" w:rsidR="005B4987" w:rsidRDefault="005B4987" w:rsidP="005B4987">
      <w:pPr>
        <w:spacing w:before="120"/>
        <w:jc w:val="both"/>
        <w:rPr>
          <w:rFonts w:ascii="Arial" w:eastAsia="Arial" w:hAnsi="Arial" w:cs="Arial"/>
          <w:color w:val="000000"/>
          <w:sz w:val="20"/>
          <w:szCs w:val="20"/>
        </w:rPr>
      </w:pPr>
      <w:r>
        <w:rPr>
          <w:rFonts w:ascii="Arial" w:eastAsia="Arial" w:hAnsi="Arial" w:cs="Arial"/>
          <w:color w:val="000000"/>
          <w:sz w:val="20"/>
          <w:szCs w:val="20"/>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p>
    <w:p w14:paraId="424A780E" w14:textId="77777777" w:rsidR="005B4987" w:rsidRDefault="005B4987" w:rsidP="005B4987">
      <w:pPr>
        <w:jc w:val="both"/>
        <w:rPr>
          <w:rFonts w:ascii="Arial" w:eastAsia="Arial" w:hAnsi="Arial" w:cs="Arial"/>
          <w:color w:val="000000"/>
          <w:sz w:val="22"/>
          <w:szCs w:val="22"/>
        </w:rPr>
      </w:pPr>
    </w:p>
    <w:p w14:paraId="3DEC9557" w14:textId="77777777" w:rsidR="005B4987" w:rsidRDefault="005B4987" w:rsidP="005B4987">
      <w:pPr>
        <w:jc w:val="both"/>
        <w:rPr>
          <w:rFonts w:ascii="Arial" w:eastAsia="Arial" w:hAnsi="Arial" w:cs="Arial"/>
          <w:color w:val="000000"/>
          <w:sz w:val="22"/>
          <w:szCs w:val="22"/>
        </w:rPr>
      </w:pPr>
      <w:r>
        <w:rPr>
          <w:rFonts w:ascii="Arial" w:eastAsia="Arial" w:hAnsi="Arial" w:cs="Arial"/>
          <w:b/>
          <w:color w:val="000000"/>
          <w:sz w:val="22"/>
          <w:szCs w:val="22"/>
        </w:rPr>
        <w:t xml:space="preserve">SUBSANABILIDAD </w:t>
      </w:r>
      <w:r>
        <w:rPr>
          <w:rFonts w:ascii="Arial" w:eastAsia="Arial" w:hAnsi="Arial" w:cs="Arial"/>
          <w:b/>
          <w:color w:val="000000"/>
          <w:sz w:val="20"/>
          <w:szCs w:val="20"/>
        </w:rPr>
        <w:t>–</w:t>
      </w:r>
      <w:r>
        <w:rPr>
          <w:rFonts w:ascii="Arial" w:eastAsia="Arial" w:hAnsi="Arial" w:cs="Arial"/>
          <w:b/>
          <w:color w:val="000000"/>
          <w:sz w:val="22"/>
          <w:szCs w:val="22"/>
        </w:rPr>
        <w:t xml:space="preserve"> Regla jurídica – Reiteración</w:t>
      </w:r>
    </w:p>
    <w:p w14:paraId="382A05CB" w14:textId="77777777" w:rsidR="005B4987" w:rsidRDefault="005B4987" w:rsidP="005B4987">
      <w:pPr>
        <w:jc w:val="both"/>
        <w:rPr>
          <w:rFonts w:ascii="Arial" w:eastAsia="Arial" w:hAnsi="Arial" w:cs="Arial"/>
          <w:color w:val="000000"/>
          <w:sz w:val="22"/>
          <w:szCs w:val="22"/>
        </w:rPr>
      </w:pPr>
    </w:p>
    <w:p w14:paraId="3F2D18C2" w14:textId="77777777" w:rsidR="005B4987" w:rsidRDefault="005B4987" w:rsidP="005B4987">
      <w:pPr>
        <w:jc w:val="both"/>
        <w:rPr>
          <w:rFonts w:ascii="Arial" w:eastAsia="Arial" w:hAnsi="Arial" w:cs="Arial"/>
          <w:color w:val="000000"/>
          <w:sz w:val="20"/>
          <w:szCs w:val="20"/>
        </w:rPr>
      </w:pPr>
      <w:r>
        <w:rPr>
          <w:rFonts w:ascii="Arial" w:eastAsia="Arial" w:hAnsi="Arial" w:cs="Arial"/>
          <w:color w:val="000000"/>
          <w:sz w:val="20"/>
          <w:szCs w:val="20"/>
        </w:rPr>
        <w:t xml:space="preserve">En el presente concepto se reitera la siguiente regla: por regla general, i) la falta de entrega o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los defectos, de los requisitos habilitantes, son subsanables. La excepción se encuentra en los casos, previstos en la ley, que limitan la </w:t>
      </w:r>
      <w:proofErr w:type="spellStart"/>
      <w:r>
        <w:rPr>
          <w:rFonts w:ascii="Arial" w:eastAsia="Arial" w:hAnsi="Arial" w:cs="Arial"/>
          <w:color w:val="000000"/>
          <w:sz w:val="20"/>
          <w:szCs w:val="20"/>
        </w:rPr>
        <w:t>subsanabilidad</w:t>
      </w:r>
      <w:proofErr w:type="spellEnd"/>
      <w:r>
        <w:rPr>
          <w:rFonts w:ascii="Arial" w:eastAsia="Arial" w:hAnsi="Arial" w:cs="Arial"/>
          <w:color w:val="000000"/>
          <w:sz w:val="20"/>
          <w:szCs w:val="20"/>
        </w:rPr>
        <w:t>, es decir, en la prohibición de permitir la entrega de la garantía de seriedad de la oferta que no fue aportada con la propuesta y de valer la acreditación de circunstancias ocurridas con posterioridad al cierre del proceso.</w:t>
      </w:r>
    </w:p>
    <w:p w14:paraId="401BA66A" w14:textId="77777777" w:rsidR="005B4987" w:rsidRDefault="005B4987" w:rsidP="005B4987">
      <w:pPr>
        <w:jc w:val="both"/>
        <w:rPr>
          <w:rFonts w:ascii="Arial" w:eastAsia="Arial" w:hAnsi="Arial" w:cs="Arial"/>
          <w:color w:val="000000"/>
          <w:sz w:val="20"/>
          <w:szCs w:val="20"/>
        </w:rPr>
      </w:pPr>
    </w:p>
    <w:p w14:paraId="7FCC0579" w14:textId="77777777" w:rsidR="005B4987" w:rsidRDefault="005B4987" w:rsidP="005B4987">
      <w:pPr>
        <w:jc w:val="both"/>
        <w:rPr>
          <w:rFonts w:ascii="Arial" w:eastAsia="Arial" w:hAnsi="Arial" w:cs="Arial"/>
          <w:color w:val="000000"/>
          <w:sz w:val="22"/>
          <w:szCs w:val="22"/>
        </w:rPr>
      </w:pPr>
      <w:r>
        <w:rPr>
          <w:rFonts w:ascii="Arial" w:eastAsia="Arial" w:hAnsi="Arial" w:cs="Arial"/>
          <w:b/>
          <w:color w:val="000000"/>
          <w:sz w:val="22"/>
          <w:szCs w:val="22"/>
        </w:rPr>
        <w:t xml:space="preserve">SUBSANABILIDAD </w:t>
      </w:r>
      <w:r>
        <w:rPr>
          <w:rFonts w:ascii="Arial" w:eastAsia="Arial" w:hAnsi="Arial" w:cs="Arial"/>
          <w:b/>
          <w:color w:val="000000"/>
          <w:sz w:val="20"/>
          <w:szCs w:val="20"/>
        </w:rPr>
        <w:t>–</w:t>
      </w:r>
      <w:r>
        <w:rPr>
          <w:rFonts w:ascii="Arial" w:eastAsia="Arial" w:hAnsi="Arial" w:cs="Arial"/>
          <w:b/>
          <w:color w:val="000000"/>
          <w:sz w:val="22"/>
          <w:szCs w:val="22"/>
        </w:rPr>
        <w:t xml:space="preserve"> Requisitos de desempate – Improcedencia </w:t>
      </w:r>
    </w:p>
    <w:p w14:paraId="50FAF269" w14:textId="77777777" w:rsidR="005B4987" w:rsidRDefault="005B4987" w:rsidP="005B4987">
      <w:pPr>
        <w:jc w:val="both"/>
        <w:rPr>
          <w:rFonts w:ascii="Arial" w:eastAsia="Arial" w:hAnsi="Arial" w:cs="Arial"/>
          <w:color w:val="000000"/>
          <w:sz w:val="20"/>
          <w:szCs w:val="20"/>
        </w:rPr>
      </w:pPr>
    </w:p>
    <w:p w14:paraId="46327EEF" w14:textId="77777777" w:rsidR="005B4987" w:rsidRDefault="005B4987" w:rsidP="005B4987">
      <w:pPr>
        <w:jc w:val="both"/>
        <w:rPr>
          <w:rFonts w:ascii="Arial" w:eastAsia="Arial" w:hAnsi="Arial" w:cs="Arial"/>
          <w:color w:val="000000"/>
          <w:sz w:val="20"/>
          <w:szCs w:val="20"/>
        </w:rPr>
      </w:pPr>
      <w:r>
        <w:rPr>
          <w:rFonts w:ascii="Arial" w:eastAsia="Arial" w:hAnsi="Arial" w:cs="Arial"/>
          <w:color w:val="000000"/>
          <w:sz w:val="20"/>
          <w:szCs w:val="20"/>
        </w:rPr>
        <w:t xml:space="preserve">Un ejemplo de un caso en el que se limita normativamente la </w:t>
      </w:r>
      <w:proofErr w:type="spellStart"/>
      <w:r>
        <w:rPr>
          <w:rFonts w:ascii="Arial" w:eastAsia="Arial" w:hAnsi="Arial" w:cs="Arial"/>
          <w:color w:val="000000"/>
          <w:sz w:val="20"/>
          <w:szCs w:val="20"/>
        </w:rPr>
        <w:t>subsanabilidad</w:t>
      </w:r>
      <w:proofErr w:type="spellEnd"/>
      <w:r>
        <w:rPr>
          <w:rFonts w:ascii="Arial" w:eastAsia="Arial" w:hAnsi="Arial" w:cs="Arial"/>
          <w:color w:val="000000"/>
          <w:sz w:val="20"/>
          <w:szCs w:val="20"/>
        </w:rPr>
        <w:t>, la constituye la relacionada con las exigencias necesarias para acreditar los requisitos de desempate, como lo establece el numeral 1.6. del Documento Base de los pliegos tipo, en los siguientes términos: «Todos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1A3C7A08" w14:textId="77777777" w:rsidR="005B4987" w:rsidRDefault="005B4987" w:rsidP="005B4987">
      <w:pPr>
        <w:jc w:val="both"/>
        <w:rPr>
          <w:rFonts w:ascii="Arial" w:eastAsia="Arial" w:hAnsi="Arial" w:cs="Arial"/>
          <w:color w:val="000000"/>
          <w:sz w:val="20"/>
          <w:szCs w:val="20"/>
        </w:rPr>
      </w:pPr>
    </w:p>
    <w:p w14:paraId="1D224B44" w14:textId="77777777" w:rsidR="005B4987" w:rsidRDefault="005B4987" w:rsidP="005B4987">
      <w:pPr>
        <w:jc w:val="both"/>
        <w:rPr>
          <w:rFonts w:ascii="Arial" w:eastAsia="Arial" w:hAnsi="Arial" w:cs="Arial"/>
          <w:b/>
          <w:sz w:val="22"/>
          <w:szCs w:val="22"/>
        </w:rPr>
      </w:pPr>
      <w:r>
        <w:rPr>
          <w:rFonts w:ascii="Arial" w:eastAsia="Arial" w:hAnsi="Arial" w:cs="Arial"/>
          <w:b/>
          <w:sz w:val="22"/>
          <w:szCs w:val="22"/>
        </w:rPr>
        <w:lastRenderedPageBreak/>
        <w:t>PERSONAS EN CONDICIÓN DE DISCAPACIDAD – Incentivo Legal – Puntaje adicional – Normativa</w:t>
      </w:r>
    </w:p>
    <w:p w14:paraId="47AE38AF" w14:textId="77777777" w:rsidR="005B4987" w:rsidRDefault="005B4987" w:rsidP="005B4987">
      <w:pPr>
        <w:tabs>
          <w:tab w:val="left" w:pos="1816"/>
        </w:tabs>
        <w:jc w:val="both"/>
        <w:rPr>
          <w:rFonts w:ascii="Arial" w:eastAsia="Arial" w:hAnsi="Arial" w:cs="Arial"/>
          <w:b/>
          <w:sz w:val="22"/>
          <w:szCs w:val="22"/>
        </w:rPr>
      </w:pPr>
    </w:p>
    <w:p w14:paraId="01C16845" w14:textId="77777777" w:rsidR="005B4987" w:rsidRDefault="005B4987" w:rsidP="005B4987">
      <w:pPr>
        <w:jc w:val="both"/>
        <w:rPr>
          <w:rFonts w:ascii="Arial" w:eastAsia="Arial" w:hAnsi="Arial" w:cs="Arial"/>
          <w:sz w:val="20"/>
          <w:szCs w:val="20"/>
        </w:rPr>
      </w:pPr>
      <w:r>
        <w:rPr>
          <w:rFonts w:ascii="Arial" w:eastAsia="Arial" w:hAnsi="Arial" w:cs="Arial"/>
          <w:sz w:val="20"/>
          <w:szCs w:val="20"/>
        </w:rPr>
        <w:t>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contar dentro su nómina con personas en situación de discapacidad. Conforme a lo anterior, el Decreto 1082 de 2015, en el artículo 2.2.1.2.4.6, adicionado por el Decreto 392 de 2018, […] establece que debe asignarse un uno por ciento [1%] de puntaje adicional a los proponentes que acrediten la vinculación de trabajadores con discapacidad en los procesos de licitaciones públicas y concursos de méritos.</w:t>
      </w:r>
    </w:p>
    <w:p w14:paraId="73C9D89C" w14:textId="77777777" w:rsidR="005B4987" w:rsidRDefault="005B4987" w:rsidP="005B4987">
      <w:pPr>
        <w:jc w:val="both"/>
        <w:rPr>
          <w:rFonts w:ascii="Arial" w:eastAsia="Arial" w:hAnsi="Arial" w:cs="Arial"/>
          <w:sz w:val="20"/>
          <w:szCs w:val="20"/>
        </w:rPr>
      </w:pPr>
    </w:p>
    <w:p w14:paraId="2187C5B2" w14:textId="77777777" w:rsidR="005B4987" w:rsidRDefault="005B4987" w:rsidP="005B4987">
      <w:pPr>
        <w:jc w:val="both"/>
        <w:rPr>
          <w:rFonts w:ascii="Arial" w:eastAsia="Arial" w:hAnsi="Arial" w:cs="Arial"/>
          <w:b/>
          <w:sz w:val="22"/>
          <w:szCs w:val="22"/>
        </w:rPr>
      </w:pPr>
      <w:r>
        <w:rPr>
          <w:rFonts w:ascii="Arial" w:eastAsia="Arial" w:hAnsi="Arial" w:cs="Arial"/>
          <w:b/>
          <w:sz w:val="22"/>
          <w:szCs w:val="22"/>
        </w:rPr>
        <w:t>PERSONAS EN CONDICIÓN DE DISCAPACIDAD – Puntaje adicional – Requisitos</w:t>
      </w:r>
    </w:p>
    <w:p w14:paraId="70B81328" w14:textId="77777777" w:rsidR="005B4987" w:rsidRDefault="005B4987" w:rsidP="005B4987">
      <w:pPr>
        <w:tabs>
          <w:tab w:val="left" w:pos="1816"/>
        </w:tabs>
        <w:jc w:val="both"/>
        <w:rPr>
          <w:rFonts w:ascii="Arial" w:eastAsia="Arial" w:hAnsi="Arial" w:cs="Arial"/>
          <w:b/>
          <w:sz w:val="22"/>
          <w:szCs w:val="22"/>
        </w:rPr>
      </w:pPr>
    </w:p>
    <w:p w14:paraId="60C3C909" w14:textId="77777777" w:rsidR="005B4987" w:rsidRDefault="005B4987" w:rsidP="005B4987">
      <w:pPr>
        <w:jc w:val="both"/>
        <w:rPr>
          <w:rFonts w:ascii="Arial" w:eastAsia="Arial" w:hAnsi="Arial" w:cs="Arial"/>
          <w:sz w:val="20"/>
          <w:szCs w:val="20"/>
        </w:rPr>
      </w:pPr>
      <w:r>
        <w:rPr>
          <w:rFonts w:ascii="Arial" w:eastAsia="Arial" w:hAnsi="Arial" w:cs="Arial"/>
          <w:sz w:val="20"/>
          <w:szCs w:val="20"/>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Pr>
          <w:rFonts w:ascii="Arial" w:eastAsia="Arial" w:hAnsi="Arial" w:cs="Arial"/>
          <w:sz w:val="20"/>
          <w:szCs w:val="20"/>
        </w:rPr>
        <w:t>ii</w:t>
      </w:r>
      <w:proofErr w:type="spellEnd"/>
      <w:r>
        <w:rPr>
          <w:rFonts w:ascii="Arial" w:eastAsia="Arial" w:hAnsi="Arial" w:cs="Arial"/>
          <w:sz w:val="20"/>
          <w:szCs w:val="20"/>
        </w:rPr>
        <w:t xml:space="preserve">) el número mínimo de personas con discapacidad en su planta de personal. </w:t>
      </w:r>
    </w:p>
    <w:p w14:paraId="52044080" w14:textId="77777777" w:rsidR="005B4987" w:rsidRDefault="005B4987" w:rsidP="005B4987">
      <w:pPr>
        <w:spacing w:before="120"/>
        <w:jc w:val="both"/>
        <w:rPr>
          <w:rFonts w:ascii="Arial" w:eastAsia="Arial" w:hAnsi="Arial" w:cs="Arial"/>
          <w:sz w:val="20"/>
          <w:szCs w:val="20"/>
        </w:rPr>
      </w:pPr>
      <w:r>
        <w:rPr>
          <w:rFonts w:ascii="Arial" w:eastAsia="Arial" w:hAnsi="Arial" w:cs="Arial"/>
          <w:sz w:val="20"/>
          <w:szCs w:val="20"/>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082B4D5D" w14:textId="77777777" w:rsidR="005B4987" w:rsidRDefault="005B4987" w:rsidP="005B4987">
      <w:pPr>
        <w:spacing w:before="120"/>
        <w:jc w:val="both"/>
        <w:rPr>
          <w:rFonts w:ascii="Arial" w:eastAsia="Arial" w:hAnsi="Arial" w:cs="Arial"/>
          <w:sz w:val="20"/>
          <w:szCs w:val="20"/>
        </w:rPr>
      </w:pPr>
      <w:r>
        <w:rPr>
          <w:rFonts w:ascii="Arial" w:eastAsia="Arial" w:hAnsi="Arial" w:cs="Arial"/>
          <w:sz w:val="20"/>
          <w:szCs w:val="20"/>
        </w:rPr>
        <w:t xml:space="preserve">Para el caso de proponentes singulares, la acreditación de tal situación se realizará a través de certificación emitida por: i) la persona natural o </w:t>
      </w:r>
      <w:proofErr w:type="spellStart"/>
      <w:r>
        <w:rPr>
          <w:rFonts w:ascii="Arial" w:eastAsia="Arial" w:hAnsi="Arial" w:cs="Arial"/>
          <w:sz w:val="20"/>
          <w:szCs w:val="20"/>
        </w:rPr>
        <w:t>ii</w:t>
      </w:r>
      <w:proofErr w:type="spellEnd"/>
      <w:r>
        <w:rPr>
          <w:rFonts w:ascii="Arial" w:eastAsia="Arial" w:hAnsi="Arial" w:cs="Arial"/>
          <w:sz w:val="20"/>
          <w:szCs w:val="20"/>
        </w:rPr>
        <w:t xml:space="preserve">) el representante legal de la persona jurídica o su revisor fiscal cuando esté obligado a tenerlo. </w:t>
      </w:r>
    </w:p>
    <w:p w14:paraId="00439A9E" w14:textId="77777777" w:rsidR="005B4987" w:rsidRDefault="005B4987" w:rsidP="005B4987">
      <w:pPr>
        <w:spacing w:before="120"/>
        <w:jc w:val="both"/>
        <w:rPr>
          <w:rFonts w:ascii="Arial" w:eastAsia="Arial" w:hAnsi="Arial" w:cs="Arial"/>
          <w:sz w:val="20"/>
          <w:szCs w:val="20"/>
        </w:rPr>
      </w:pPr>
      <w:r>
        <w:rPr>
          <w:rFonts w:ascii="Arial" w:eastAsia="Arial" w:hAnsi="Arial" w:cs="Arial"/>
          <w:sz w:val="20"/>
          <w:szCs w:val="20"/>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como mínimo el cuarenta por ciento [40%] de la experiencia requerida, como se explicará más adelante.</w:t>
      </w:r>
    </w:p>
    <w:p w14:paraId="3C8F4ADB" w14:textId="77777777" w:rsidR="005B4987" w:rsidRDefault="005B4987" w:rsidP="005B4987">
      <w:pPr>
        <w:jc w:val="both"/>
        <w:rPr>
          <w:rFonts w:ascii="Arial" w:eastAsia="Arial" w:hAnsi="Arial" w:cs="Arial"/>
          <w:sz w:val="20"/>
          <w:szCs w:val="20"/>
        </w:rPr>
      </w:pPr>
      <w:r>
        <w:rPr>
          <w:rFonts w:ascii="Arial" w:eastAsia="Arial" w:hAnsi="Arial" w:cs="Arial"/>
          <w:sz w:val="20"/>
          <w:szCs w:val="20"/>
        </w:rPr>
        <w:t>[…]</w:t>
      </w:r>
    </w:p>
    <w:p w14:paraId="60379AE2" w14:textId="77777777" w:rsidR="005B4987" w:rsidRDefault="005B4987" w:rsidP="005B4987">
      <w:pPr>
        <w:spacing w:before="120"/>
        <w:jc w:val="both"/>
        <w:rPr>
          <w:rFonts w:ascii="Arial" w:eastAsia="Arial" w:hAnsi="Arial" w:cs="Arial"/>
          <w:sz w:val="20"/>
          <w:szCs w:val="20"/>
        </w:rPr>
      </w:pPr>
      <w:r>
        <w:rPr>
          <w:rFonts w:ascii="Arial" w:eastAsia="Arial" w:hAnsi="Arial" w:cs="Arial"/>
          <w:sz w:val="20"/>
          <w:szCs w:val="20"/>
        </w:rPr>
        <w:t>De otra parte, para acreditar el segundo requisito, o sea, 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503DCAD5" w14:textId="77777777" w:rsidR="005B4987" w:rsidRDefault="005B4987" w:rsidP="005B4987">
      <w:pPr>
        <w:jc w:val="both"/>
        <w:rPr>
          <w:rFonts w:ascii="Arial" w:eastAsia="Arial" w:hAnsi="Arial" w:cs="Arial"/>
          <w:sz w:val="20"/>
          <w:szCs w:val="20"/>
        </w:rPr>
      </w:pPr>
    </w:p>
    <w:p w14:paraId="6D9B3B72" w14:textId="77777777" w:rsidR="005B4987" w:rsidRDefault="005B4987" w:rsidP="005B4987">
      <w:pPr>
        <w:jc w:val="both"/>
        <w:rPr>
          <w:rFonts w:ascii="Arial" w:eastAsia="Arial" w:hAnsi="Arial" w:cs="Arial"/>
          <w:b/>
          <w:sz w:val="22"/>
          <w:szCs w:val="22"/>
        </w:rPr>
      </w:pPr>
      <w:r>
        <w:rPr>
          <w:rFonts w:ascii="Arial" w:eastAsia="Arial" w:hAnsi="Arial" w:cs="Arial"/>
          <w:b/>
          <w:sz w:val="22"/>
          <w:szCs w:val="22"/>
        </w:rPr>
        <w:t>PERSONAS EN CONDICIÓN DE DISCAPACIDAD – Doble función</w:t>
      </w:r>
    </w:p>
    <w:p w14:paraId="77447E18" w14:textId="77777777" w:rsidR="005B4987" w:rsidRDefault="005B4987" w:rsidP="005B4987">
      <w:pPr>
        <w:tabs>
          <w:tab w:val="left" w:pos="1816"/>
        </w:tabs>
        <w:jc w:val="both"/>
        <w:rPr>
          <w:rFonts w:ascii="Arial" w:eastAsia="Arial" w:hAnsi="Arial" w:cs="Arial"/>
          <w:b/>
          <w:sz w:val="22"/>
          <w:szCs w:val="22"/>
        </w:rPr>
      </w:pPr>
    </w:p>
    <w:p w14:paraId="19A65E53" w14:textId="77777777" w:rsidR="005B4987" w:rsidRDefault="005B4987" w:rsidP="005B4987">
      <w:pPr>
        <w:jc w:val="both"/>
        <w:rPr>
          <w:rFonts w:ascii="Arial" w:eastAsia="Arial" w:hAnsi="Arial" w:cs="Arial"/>
          <w:sz w:val="20"/>
          <w:szCs w:val="20"/>
        </w:rPr>
      </w:pPr>
      <w:r>
        <w:rPr>
          <w:rFonts w:ascii="Arial" w:eastAsia="Arial" w:hAnsi="Arial" w:cs="Arial"/>
          <w:sz w:val="20"/>
          <w:szCs w:val="20"/>
        </w:rPr>
        <w:t xml:space="preserve">El Documento Base establece dos hipótesis diferentes y para cada una de ellas establece dos estándares diferentes: por un lado, para la calificación por «Vinculación de personas con discapacidad», en donde dispone una cuadro en el que se deben verificar el «Número total de trabajadores de la planta de personal del proponente» y el «Número mínimo de trabajadores con discapacidad exigido», según la tabla transcrita en páginas anteriores; y por el otro, como factor de </w:t>
      </w:r>
      <w:r>
        <w:rPr>
          <w:rFonts w:ascii="Arial" w:eastAsia="Arial" w:hAnsi="Arial" w:cs="Arial"/>
          <w:sz w:val="20"/>
          <w:szCs w:val="20"/>
        </w:rPr>
        <w:lastRenderedPageBreak/>
        <w:t>desempate de las propuestas, evento en el cual exige que la entidad contratante verifique que el proponente tiene «por lo menos el diez por ciento (10%) de su nómina está en condición de discapacidad».</w:t>
      </w:r>
    </w:p>
    <w:p w14:paraId="1E7D5685" w14:textId="77777777" w:rsidR="005B4987" w:rsidRDefault="005B4987" w:rsidP="005B4987">
      <w:pPr>
        <w:spacing w:before="120"/>
        <w:jc w:val="both"/>
        <w:rPr>
          <w:rFonts w:ascii="Arial" w:eastAsia="Arial" w:hAnsi="Arial" w:cs="Arial"/>
          <w:sz w:val="20"/>
          <w:szCs w:val="20"/>
        </w:rPr>
      </w:pPr>
      <w:r>
        <w:rPr>
          <w:rFonts w:ascii="Arial" w:eastAsia="Arial" w:hAnsi="Arial" w:cs="Arial"/>
          <w:sz w:val="20"/>
          <w:szCs w:val="20"/>
        </w:rPr>
        <w:t xml:space="preserve">Se trata, pues, de una circunstancia que sirve para obtener los puntos de calificación por «Vinculación de personas con discapacidad» y, eventualmente, como criterio de desempate. En ambos casos, la vinculación de las personas en las condiciones referidas debe estar acreditada según las exigencias referidas arriba: i) se debe acreditar el número total de trabajadores vinculados a la planta de personal, a través de la certificación expedida por la persona natural, el representante legal o el revisor fiscal, según el caso; y </w:t>
      </w:r>
      <w:proofErr w:type="spellStart"/>
      <w:r>
        <w:rPr>
          <w:rFonts w:ascii="Arial" w:eastAsia="Arial" w:hAnsi="Arial" w:cs="Arial"/>
          <w:sz w:val="20"/>
          <w:szCs w:val="20"/>
        </w:rPr>
        <w:t>ii</w:t>
      </w:r>
      <w:proofErr w:type="spellEnd"/>
      <w:r>
        <w:rPr>
          <w:rFonts w:ascii="Arial" w:eastAsia="Arial" w:hAnsi="Arial" w:cs="Arial"/>
          <w:sz w:val="20"/>
          <w:szCs w:val="20"/>
        </w:rPr>
        <w:t>) se debe probar el número mínimo de personas con discapacidad en su planta de personal, para lo que se debe aportar el certificado expedido por el Ministerio de Trabajo, vigente al cierre del proceso de selección. Esto, de acuerdo con los numerales 1 y 2 del artículo 2.2.1.2.4.2.6. del Decreto 1082 de 2015, adicionado por el artículo 1 del Decreto 392 de 2018.</w:t>
      </w:r>
    </w:p>
    <w:p w14:paraId="496CE0EA" w14:textId="77777777" w:rsidR="005B4987" w:rsidRDefault="005B4987" w:rsidP="005B4987">
      <w:pPr>
        <w:jc w:val="both"/>
        <w:rPr>
          <w:rFonts w:ascii="Arial" w:eastAsia="Arial" w:hAnsi="Arial" w:cs="Arial"/>
          <w:color w:val="000000"/>
          <w:sz w:val="20"/>
          <w:szCs w:val="20"/>
        </w:rPr>
      </w:pPr>
    </w:p>
    <w:p w14:paraId="5310EF76" w14:textId="2AB2E155" w:rsidR="005B4987" w:rsidRDefault="005B4987" w:rsidP="3D56F10C">
      <w:pPr>
        <w:jc w:val="both"/>
        <w:rPr>
          <w:rFonts w:ascii="Arial" w:eastAsia="Arial" w:hAnsi="Arial" w:cs="Arial"/>
          <w:b/>
          <w:bCs/>
          <w:sz w:val="20"/>
          <w:szCs w:val="20"/>
        </w:rPr>
      </w:pPr>
      <w:r w:rsidRPr="3D56F10C">
        <w:rPr>
          <w:rFonts w:ascii="Arial" w:eastAsia="Arial" w:hAnsi="Arial" w:cs="Arial"/>
          <w:b/>
          <w:bCs/>
          <w:sz w:val="22"/>
          <w:szCs w:val="22"/>
        </w:rPr>
        <w:t xml:space="preserve">DOCUMENTOS TIPO – Factor de Calidad – Número máximo </w:t>
      </w:r>
      <w:r w:rsidR="2249F405" w:rsidRPr="3D56F10C">
        <w:rPr>
          <w:rFonts w:ascii="Arial" w:eastAsia="Arial" w:hAnsi="Arial" w:cs="Arial"/>
          <w:b/>
          <w:bCs/>
          <w:sz w:val="22"/>
          <w:szCs w:val="22"/>
        </w:rPr>
        <w:t>‒ Ofrecimientos</w:t>
      </w:r>
    </w:p>
    <w:p w14:paraId="431E569F" w14:textId="77777777" w:rsidR="005B4987" w:rsidRDefault="005B4987" w:rsidP="005B4987">
      <w:pPr>
        <w:jc w:val="both"/>
        <w:rPr>
          <w:rFonts w:ascii="Arial" w:eastAsia="Arial" w:hAnsi="Arial" w:cs="Arial"/>
          <w:b/>
          <w:sz w:val="20"/>
          <w:szCs w:val="20"/>
        </w:rPr>
      </w:pPr>
    </w:p>
    <w:p w14:paraId="7DEDE59A" w14:textId="77777777" w:rsidR="005B4987" w:rsidRDefault="005B4987" w:rsidP="005B4987">
      <w:pPr>
        <w:jc w:val="both"/>
        <w:rPr>
          <w:rFonts w:ascii="Arial" w:eastAsia="Arial" w:hAnsi="Arial" w:cs="Arial"/>
          <w:sz w:val="20"/>
          <w:szCs w:val="20"/>
        </w:rPr>
      </w:pPr>
      <w:r>
        <w:rPr>
          <w:rFonts w:ascii="Arial" w:eastAsia="Arial" w:hAnsi="Arial" w:cs="Arial"/>
          <w:sz w:val="20"/>
          <w:szCs w:val="20"/>
        </w:rPr>
        <w:t>[…] el oferente tiene la libertad y autonomía de ofrecer el número de cuadrillas de trabajo y meses de mantenimiento rutinario adicional. Es decir, el Documento Tipo no limita los ofrecimientos realizados por los oferentes, y tampoco la entidad estatal está habilitada para establecer dichos topes.  No obstante, en el evento que resulte adjudicatario del proceso de contratación, los compromisos que se hagan con ocasión de estos ofrecimientos se convierten en obligaciones contractuales de obligatorio cumplimiento, so pena de activarse las consecuencias asociadas al incumplimiento, incluyendo el uso de facultades sancionatorias de las entidades estatales.</w:t>
      </w:r>
    </w:p>
    <w:p w14:paraId="2A8E4EF7" w14:textId="77777777" w:rsidR="005B4987" w:rsidRDefault="005B4987" w:rsidP="005B4987">
      <w:pPr>
        <w:jc w:val="both"/>
        <w:rPr>
          <w:rFonts w:ascii="Arial" w:eastAsia="Arial" w:hAnsi="Arial" w:cs="Arial"/>
          <w:sz w:val="20"/>
          <w:szCs w:val="20"/>
        </w:rPr>
      </w:pPr>
    </w:p>
    <w:p w14:paraId="307823B0" w14:textId="7CE5FBC3" w:rsidR="005B4987" w:rsidRDefault="005B4987" w:rsidP="3D56F10C">
      <w:pPr>
        <w:jc w:val="both"/>
        <w:rPr>
          <w:rFonts w:ascii="Arial" w:eastAsia="Arial" w:hAnsi="Arial" w:cs="Arial"/>
          <w:b/>
          <w:bCs/>
          <w:sz w:val="22"/>
          <w:szCs w:val="22"/>
        </w:rPr>
      </w:pPr>
      <w:r w:rsidRPr="3D56F10C">
        <w:rPr>
          <w:rFonts w:ascii="Arial" w:eastAsia="Arial" w:hAnsi="Arial" w:cs="Arial"/>
          <w:b/>
          <w:bCs/>
          <w:sz w:val="22"/>
          <w:szCs w:val="22"/>
        </w:rPr>
        <w:t xml:space="preserve">FACTORES DE CALIDAD – Facultad </w:t>
      </w:r>
      <w:r w:rsidR="6261DF33" w:rsidRPr="3D56F10C">
        <w:rPr>
          <w:rFonts w:ascii="Arial" w:eastAsia="Arial" w:hAnsi="Arial" w:cs="Arial"/>
          <w:b/>
          <w:bCs/>
          <w:sz w:val="22"/>
          <w:szCs w:val="22"/>
        </w:rPr>
        <w:t>‒ Límites ‒ Topes</w:t>
      </w:r>
      <w:r w:rsidRPr="3D56F10C">
        <w:rPr>
          <w:rFonts w:ascii="Arial" w:eastAsia="Arial" w:hAnsi="Arial" w:cs="Arial"/>
          <w:b/>
          <w:bCs/>
          <w:sz w:val="22"/>
          <w:szCs w:val="22"/>
        </w:rPr>
        <w:t xml:space="preserve"> – Antes de la Resolución 116 de 2020 </w:t>
      </w:r>
    </w:p>
    <w:p w14:paraId="0BFDD522" w14:textId="77777777" w:rsidR="005B4987" w:rsidRDefault="005B4987" w:rsidP="005B4987">
      <w:pPr>
        <w:jc w:val="both"/>
        <w:rPr>
          <w:rFonts w:ascii="Arial" w:eastAsia="Arial" w:hAnsi="Arial" w:cs="Arial"/>
          <w:sz w:val="20"/>
          <w:szCs w:val="20"/>
        </w:rPr>
      </w:pPr>
    </w:p>
    <w:p w14:paraId="23E623B0" w14:textId="77777777" w:rsidR="005B4987" w:rsidRPr="00E86699" w:rsidRDefault="005B4987" w:rsidP="005B4987">
      <w:pPr>
        <w:jc w:val="both"/>
        <w:rPr>
          <w:rFonts w:ascii="Arial" w:eastAsia="Arial" w:hAnsi="Arial" w:cs="Arial"/>
          <w:sz w:val="20"/>
          <w:szCs w:val="20"/>
        </w:rPr>
      </w:pPr>
      <w:r w:rsidRPr="00E86699">
        <w:rPr>
          <w:rFonts w:ascii="Arial" w:eastAsia="Arial" w:hAnsi="Arial" w:cs="Arial"/>
          <w:sz w:val="20"/>
          <w:szCs w:val="20"/>
        </w:rPr>
        <w:t xml:space="preserve">El Documento Tipo, para el momento en el que se formuló la presente consulta, esto es, para el 9 de julio de 2020, no limitaba al oferente frente al número de cuadrillas de trabajo adicional que se comprometía a otorgar al proyecto, ni tampoco respecto al número de meses de mantenimiento rutinario adicional. Estos ofrecimientos dependían únicamente de las capacidades propias de cada oferente; ya que se realizaba dependiendo de su infraestructura y capacidad financiera y la labor de análisis de las condiciones bajo las cuales presentará su propuesta, además que cumplir estos ofrecimientos constituía una obligación contractual –lo sigue haciendo–, con todas las consecuencias que ello apareja, de manera que los proponentes ofertaban lo que podían cumplir.  </w:t>
      </w:r>
    </w:p>
    <w:p w14:paraId="583DE6F4" w14:textId="1FED0BA9" w:rsidR="002E163F" w:rsidRPr="00E86699" w:rsidRDefault="005B4987" w:rsidP="002E163F">
      <w:pPr>
        <w:spacing w:after="120"/>
        <w:jc w:val="both"/>
        <w:rPr>
          <w:rFonts w:ascii="Arial" w:eastAsia="Arial" w:hAnsi="Arial" w:cs="Arial"/>
          <w:sz w:val="20"/>
          <w:szCs w:val="20"/>
        </w:rPr>
      </w:pPr>
      <w:r w:rsidRPr="00E86699">
        <w:rPr>
          <w:rFonts w:ascii="Arial" w:eastAsia="Arial" w:hAnsi="Arial" w:cs="Arial"/>
          <w:sz w:val="20"/>
          <w:szCs w:val="20"/>
        </w:rPr>
        <w:t>Tampoco existía un deber o facultad de las entidades para establecer topes a estos factores, ya que esto era dejado por el Documento Tipo a la autonomía de los oferentes, en la medida que la razonabilidad de los ofrecimientos sería producto de la libre competencia y de la capacidad de los participantes del proceso de selección para materializar lo ofertado una vez adjudicado el contrato, en la ejecución real.</w:t>
      </w:r>
    </w:p>
    <w:p w14:paraId="472190E9" w14:textId="47489C0B" w:rsidR="005B4987" w:rsidRDefault="005B4987" w:rsidP="002E163F">
      <w:pPr>
        <w:spacing w:after="120"/>
        <w:jc w:val="both"/>
        <w:rPr>
          <w:rFonts w:ascii="Arial" w:eastAsia="Arial" w:hAnsi="Arial" w:cs="Arial"/>
          <w:sz w:val="20"/>
          <w:szCs w:val="20"/>
        </w:rPr>
      </w:pPr>
      <w:r w:rsidRPr="00E86699">
        <w:rPr>
          <w:rFonts w:ascii="Arial" w:eastAsia="Arial" w:hAnsi="Arial" w:cs="Arial"/>
          <w:sz w:val="20"/>
          <w:szCs w:val="20"/>
        </w:rPr>
        <w:t xml:space="preserve">A similares conclusiones podría arribarse en lo que respecta a la «garantía suplementaria o adicional» y al «mantenimiento adicional», en la medida en que, a la fecha de radicación de la consulta sub examine, la entidad tenía proscrito entrar a limitar el ofrecimiento adicional que los oferentes hacen de estos ítems, habida consideración de los beneficios que tales ofrecimientos traen para la estabilidad y durabilidad de la obra a contratar y, por ende, para las personas que se beneficiaran de ella.  </w:t>
      </w:r>
    </w:p>
    <w:p w14:paraId="6DC1026C" w14:textId="561F0CE6" w:rsidR="005B4987" w:rsidRDefault="005B4987" w:rsidP="00734B72">
      <w:pPr>
        <w:rPr>
          <w:rFonts w:ascii="Arial" w:eastAsia="Arial" w:hAnsi="Arial" w:cs="Arial"/>
          <w:color w:val="000000"/>
          <w:sz w:val="20"/>
          <w:szCs w:val="20"/>
        </w:rPr>
      </w:pPr>
    </w:p>
    <w:p w14:paraId="003EB9B0" w14:textId="77777777" w:rsidR="00E47B66" w:rsidRDefault="00E47B66" w:rsidP="00734B72">
      <w:pPr>
        <w:rPr>
          <w:rFonts w:ascii="Arial" w:eastAsia="Arial" w:hAnsi="Arial" w:cs="Arial"/>
          <w:color w:val="000000"/>
          <w:sz w:val="20"/>
          <w:szCs w:val="20"/>
        </w:rPr>
      </w:pPr>
    </w:p>
    <w:p w14:paraId="2086E9E3" w14:textId="4389FFD3" w:rsidR="005B4987" w:rsidRDefault="005B4987" w:rsidP="00734B7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Bogotá D.C., </w:t>
      </w:r>
      <w:r w:rsidR="00701FE1" w:rsidRPr="00701FE1">
        <w:rPr>
          <w:rFonts w:ascii="Arial" w:eastAsia="Arial" w:hAnsi="Arial" w:cs="Arial"/>
          <w:b/>
          <w:color w:val="000000"/>
          <w:sz w:val="22"/>
          <w:szCs w:val="22"/>
        </w:rPr>
        <w:t>27/07/2020 Hora 13:53:28s</w:t>
      </w:r>
    </w:p>
    <w:p w14:paraId="72C77EA8" w14:textId="3CA75939" w:rsidR="005B4987" w:rsidRPr="00734B72" w:rsidRDefault="005B4987" w:rsidP="005B4987">
      <w:pPr>
        <w:jc w:val="right"/>
        <w:rPr>
          <w:rFonts w:ascii="Arial" w:eastAsia="Arial" w:hAnsi="Arial" w:cs="Arial"/>
          <w:color w:val="000000"/>
          <w:sz w:val="22"/>
          <w:szCs w:val="22"/>
        </w:rPr>
      </w:pPr>
      <w:proofErr w:type="spellStart"/>
      <w:r w:rsidRPr="00734B72">
        <w:rPr>
          <w:rFonts w:ascii="Arial" w:hAnsi="Arial" w:cs="Arial"/>
          <w:b/>
          <w:sz w:val="22"/>
          <w:szCs w:val="22"/>
        </w:rPr>
        <w:t>N°</w:t>
      </w:r>
      <w:proofErr w:type="spellEnd"/>
      <w:r w:rsidRPr="00734B72">
        <w:rPr>
          <w:rFonts w:ascii="Arial" w:hAnsi="Arial" w:cs="Arial"/>
          <w:b/>
          <w:sz w:val="22"/>
          <w:szCs w:val="22"/>
        </w:rPr>
        <w:t xml:space="preserve"> Radicados: </w:t>
      </w:r>
      <w:r w:rsidR="003102D0" w:rsidRPr="00734B72">
        <w:rPr>
          <w:rFonts w:ascii="Arial" w:hAnsi="Arial" w:cs="Arial"/>
          <w:b/>
          <w:sz w:val="22"/>
          <w:szCs w:val="22"/>
        </w:rPr>
        <w:t>2202013000006653</w:t>
      </w:r>
    </w:p>
    <w:p w14:paraId="6A52E106" w14:textId="77777777" w:rsidR="005B4987" w:rsidRDefault="005B4987" w:rsidP="005B4987">
      <w:pPr>
        <w:rPr>
          <w:rFonts w:ascii="Arial" w:eastAsia="Arial" w:hAnsi="Arial" w:cs="Arial"/>
          <w:color w:val="000000"/>
          <w:sz w:val="22"/>
          <w:szCs w:val="22"/>
        </w:rPr>
      </w:pPr>
    </w:p>
    <w:p w14:paraId="07764F8E" w14:textId="77777777" w:rsidR="005B4987" w:rsidRDefault="005B4987" w:rsidP="005B4987">
      <w:pPr>
        <w:rPr>
          <w:rFonts w:ascii="Arial" w:eastAsia="Arial" w:hAnsi="Arial" w:cs="Arial"/>
          <w:color w:val="000000"/>
          <w:sz w:val="22"/>
          <w:szCs w:val="22"/>
        </w:rPr>
      </w:pPr>
      <w:r>
        <w:rPr>
          <w:rFonts w:ascii="Arial" w:eastAsia="Arial" w:hAnsi="Arial" w:cs="Arial"/>
          <w:color w:val="000000"/>
          <w:sz w:val="22"/>
          <w:szCs w:val="22"/>
        </w:rPr>
        <w:t xml:space="preserve">Señora </w:t>
      </w:r>
    </w:p>
    <w:p w14:paraId="60D6BA80" w14:textId="77777777" w:rsidR="005B4987" w:rsidRDefault="005B4987" w:rsidP="005B4987">
      <w:pPr>
        <w:rPr>
          <w:rFonts w:ascii="Arial" w:eastAsia="Arial" w:hAnsi="Arial" w:cs="Arial"/>
          <w:b/>
          <w:color w:val="000000"/>
          <w:sz w:val="22"/>
          <w:szCs w:val="22"/>
        </w:rPr>
      </w:pPr>
      <w:r>
        <w:rPr>
          <w:rFonts w:ascii="Arial" w:eastAsia="Arial" w:hAnsi="Arial" w:cs="Arial"/>
          <w:b/>
          <w:color w:val="000000"/>
          <w:sz w:val="22"/>
          <w:szCs w:val="22"/>
        </w:rPr>
        <w:t>María Juliana Pérez</w:t>
      </w:r>
    </w:p>
    <w:p w14:paraId="28BD9805" w14:textId="77777777" w:rsidR="005B4987" w:rsidRDefault="005B4987" w:rsidP="005B4987">
      <w:pPr>
        <w:rPr>
          <w:rFonts w:ascii="Arial" w:eastAsia="Arial" w:hAnsi="Arial" w:cs="Arial"/>
          <w:color w:val="000000"/>
          <w:sz w:val="22"/>
          <w:szCs w:val="22"/>
        </w:rPr>
      </w:pPr>
      <w:r>
        <w:rPr>
          <w:rFonts w:ascii="Arial" w:eastAsia="Arial" w:hAnsi="Arial" w:cs="Arial"/>
          <w:color w:val="000000"/>
          <w:sz w:val="22"/>
          <w:szCs w:val="22"/>
        </w:rPr>
        <w:t>Bogotá D.C.</w:t>
      </w:r>
    </w:p>
    <w:p w14:paraId="0C7DB14A" w14:textId="77777777" w:rsidR="005B4987" w:rsidRDefault="005B4987" w:rsidP="005B4987">
      <w:pPr>
        <w:rPr>
          <w:rFonts w:ascii="Arial" w:eastAsia="Arial" w:hAnsi="Arial" w:cs="Arial"/>
          <w:color w:val="000000"/>
          <w:sz w:val="22"/>
          <w:szCs w:val="22"/>
        </w:rPr>
      </w:pPr>
    </w:p>
    <w:p w14:paraId="0BFBA174" w14:textId="77777777" w:rsidR="005B4987" w:rsidRDefault="005B4987" w:rsidP="005B4987">
      <w:pPr>
        <w:ind w:firstLine="2694"/>
        <w:rPr>
          <w:rFonts w:ascii="Arial" w:eastAsia="Arial" w:hAnsi="Arial" w:cs="Arial"/>
          <w:b/>
          <w:color w:val="000000"/>
          <w:sz w:val="22"/>
          <w:szCs w:val="22"/>
        </w:rPr>
      </w:pPr>
      <w:r>
        <w:rPr>
          <w:rFonts w:ascii="Arial" w:eastAsia="Arial" w:hAnsi="Arial" w:cs="Arial"/>
          <w:b/>
          <w:color w:val="000000"/>
          <w:sz w:val="22"/>
          <w:szCs w:val="22"/>
        </w:rPr>
        <w:t>Concepto C – 481 de 2020</w:t>
      </w: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B4987" w14:paraId="27F93DB3" w14:textId="77777777" w:rsidTr="0036760E">
        <w:tc>
          <w:tcPr>
            <w:tcW w:w="2689" w:type="dxa"/>
          </w:tcPr>
          <w:p w14:paraId="37BB9ECC" w14:textId="77777777" w:rsidR="005B4987" w:rsidRDefault="005B4987" w:rsidP="0036760E">
            <w:pPr>
              <w:rPr>
                <w:rFonts w:ascii="Arial" w:eastAsia="Arial" w:hAnsi="Arial" w:cs="Arial"/>
                <w:color w:val="000000"/>
                <w:sz w:val="22"/>
                <w:szCs w:val="22"/>
              </w:rPr>
            </w:pPr>
            <w:r>
              <w:rPr>
                <w:rFonts w:ascii="Arial" w:eastAsia="Arial" w:hAnsi="Arial" w:cs="Arial"/>
                <w:b/>
                <w:color w:val="000000"/>
                <w:sz w:val="22"/>
                <w:szCs w:val="22"/>
              </w:rPr>
              <w:t>Temas:</w:t>
            </w:r>
            <w:r>
              <w:rPr>
                <w:rFonts w:ascii="Arial" w:eastAsia="Arial" w:hAnsi="Arial" w:cs="Arial"/>
                <w:color w:val="000000"/>
                <w:sz w:val="22"/>
                <w:szCs w:val="22"/>
              </w:rPr>
              <w:t xml:space="preserve">           </w:t>
            </w:r>
          </w:p>
          <w:p w14:paraId="33C7D34C" w14:textId="77777777" w:rsidR="005B4987" w:rsidRDefault="005B4987" w:rsidP="0036760E">
            <w:pPr>
              <w:rPr>
                <w:rFonts w:ascii="Arial" w:eastAsia="Arial" w:hAnsi="Arial" w:cs="Arial"/>
                <w:color w:val="000000"/>
                <w:sz w:val="22"/>
                <w:szCs w:val="22"/>
              </w:rPr>
            </w:pPr>
            <w:r>
              <w:rPr>
                <w:rFonts w:ascii="Arial" w:eastAsia="Arial" w:hAnsi="Arial" w:cs="Arial"/>
                <w:color w:val="000000"/>
                <w:sz w:val="22"/>
                <w:szCs w:val="22"/>
              </w:rPr>
              <w:t xml:space="preserve">                           </w:t>
            </w:r>
          </w:p>
        </w:tc>
        <w:tc>
          <w:tcPr>
            <w:tcW w:w="6237" w:type="dxa"/>
          </w:tcPr>
          <w:p w14:paraId="1401E6A0" w14:textId="77777777" w:rsidR="005B4987" w:rsidRDefault="005B4987" w:rsidP="0036760E">
            <w:pPr>
              <w:rPr>
                <w:rFonts w:ascii="Arial" w:eastAsia="Arial" w:hAnsi="Arial" w:cs="Arial"/>
                <w:color w:val="000000"/>
                <w:sz w:val="22"/>
                <w:szCs w:val="22"/>
              </w:rPr>
            </w:pPr>
            <w:r>
              <w:rPr>
                <w:rFonts w:ascii="Arial" w:eastAsia="Arial" w:hAnsi="Arial" w:cs="Arial"/>
                <w:color w:val="000000"/>
                <w:sz w:val="22"/>
                <w:szCs w:val="22"/>
              </w:rPr>
              <w:t xml:space="preserve">PRINCIPIO DE SELECCIÓN OBJETIVA – Fundamento – Alcance / SUBSANABILIDAD – Regla jurídica – Reiteración / SUBSANABILIDAD – Requisitos de desempate – Improcedencia / PERSONAS EN CONDICIÓN DE DISCAPACIDAD – Incentivo Legal – Puntaje adicional – Normativa / PERSONAS EN CONDICIÓN DE DISCAPACIDAD – Puntaje adicional – Requisitos / PERSONAS EN CONDICIÓN DE DISCAPACIDAD – Doble función / DOCUMENTOS TIPO – Factor de Calidad – Número máximo para ofertar / FACTORES DE CALIDAD – Facultad de establecer topes </w:t>
            </w:r>
            <w:r w:rsidRPr="00667FCE">
              <w:rPr>
                <w:rFonts w:ascii="Arial" w:eastAsia="Arial" w:hAnsi="Arial" w:cs="Arial"/>
                <w:color w:val="000000"/>
                <w:sz w:val="22"/>
                <w:szCs w:val="22"/>
              </w:rPr>
              <w:t>– Antes de la Resolución 116 de 2020</w:t>
            </w:r>
          </w:p>
        </w:tc>
      </w:tr>
      <w:tr w:rsidR="005B4987" w14:paraId="08E27B4A" w14:textId="77777777" w:rsidTr="0036760E">
        <w:tc>
          <w:tcPr>
            <w:tcW w:w="2689" w:type="dxa"/>
          </w:tcPr>
          <w:p w14:paraId="1FC0D100" w14:textId="77777777" w:rsidR="005B4987" w:rsidRDefault="005B4987" w:rsidP="0036760E">
            <w:pPr>
              <w:spacing w:before="120"/>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431E9FBA" w14:textId="77777777" w:rsidR="005B4987" w:rsidRDefault="005B4987" w:rsidP="0036760E">
            <w:pPr>
              <w:spacing w:before="120"/>
              <w:rPr>
                <w:rFonts w:ascii="Arial" w:eastAsia="Arial" w:hAnsi="Arial" w:cs="Arial"/>
                <w:color w:val="000000"/>
                <w:sz w:val="22"/>
                <w:szCs w:val="22"/>
              </w:rPr>
            </w:pPr>
            <w:r>
              <w:rPr>
                <w:rFonts w:ascii="Arial" w:eastAsia="Arial" w:hAnsi="Arial" w:cs="Arial"/>
                <w:color w:val="000000"/>
                <w:sz w:val="22"/>
                <w:szCs w:val="22"/>
              </w:rPr>
              <w:t xml:space="preserve">Respuesta a consulta 4202013000005755 </w:t>
            </w:r>
          </w:p>
        </w:tc>
      </w:tr>
    </w:tbl>
    <w:p w14:paraId="73A07BC1" w14:textId="77777777" w:rsidR="005B4987" w:rsidRDefault="005B4987" w:rsidP="005B4987">
      <w:pPr>
        <w:rPr>
          <w:rFonts w:ascii="Arial" w:eastAsia="Arial" w:hAnsi="Arial" w:cs="Arial"/>
          <w:color w:val="000000"/>
          <w:sz w:val="22"/>
          <w:szCs w:val="22"/>
        </w:rPr>
      </w:pPr>
    </w:p>
    <w:p w14:paraId="6EB88BF4" w14:textId="77777777" w:rsidR="005B4987" w:rsidRDefault="005B4987" w:rsidP="005B4987">
      <w:pPr>
        <w:rPr>
          <w:rFonts w:ascii="Arial" w:eastAsia="Arial" w:hAnsi="Arial" w:cs="Arial"/>
          <w:color w:val="000000"/>
          <w:sz w:val="22"/>
          <w:szCs w:val="22"/>
        </w:rPr>
      </w:pPr>
      <w:r>
        <w:rPr>
          <w:rFonts w:ascii="Arial" w:eastAsia="Arial" w:hAnsi="Arial" w:cs="Arial"/>
          <w:color w:val="000000"/>
          <w:sz w:val="22"/>
          <w:szCs w:val="22"/>
        </w:rPr>
        <w:t>Estimada señora Pérez,</w:t>
      </w:r>
    </w:p>
    <w:p w14:paraId="38DDFEC3" w14:textId="77777777" w:rsidR="005B4987" w:rsidRDefault="005B4987" w:rsidP="005B4987">
      <w:pPr>
        <w:rPr>
          <w:rFonts w:ascii="Arial" w:eastAsia="Arial" w:hAnsi="Arial" w:cs="Arial"/>
          <w:color w:val="000000"/>
          <w:sz w:val="22"/>
          <w:szCs w:val="22"/>
        </w:rPr>
      </w:pPr>
    </w:p>
    <w:p w14:paraId="378340B4" w14:textId="77777777" w:rsidR="005B4987" w:rsidRDefault="005B4987" w:rsidP="005B4987">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Agencia Nacional de Contratación Pública -Colombia Compra Eficiente- responde su consulta del 9 de julio de 2020, en ejercicio de la competencia otorgada por el numeral 8 del artículo 11 y el numeral 5 del artículo 3 del Decreto Ley 4170 de 2011. </w:t>
      </w:r>
    </w:p>
    <w:p w14:paraId="41560644" w14:textId="77777777" w:rsidR="005B4987" w:rsidRDefault="005B4987" w:rsidP="005B4987">
      <w:pPr>
        <w:spacing w:line="276" w:lineRule="auto"/>
        <w:jc w:val="both"/>
        <w:rPr>
          <w:rFonts w:ascii="Arial" w:eastAsia="Arial" w:hAnsi="Arial" w:cs="Arial"/>
          <w:color w:val="000000"/>
          <w:sz w:val="22"/>
          <w:szCs w:val="22"/>
        </w:rPr>
      </w:pPr>
    </w:p>
    <w:p w14:paraId="1C3B467B"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1. Problemas planteados</w:t>
      </w:r>
    </w:p>
    <w:p w14:paraId="290BA61D" w14:textId="77777777" w:rsidR="005B4987" w:rsidRDefault="005B4987" w:rsidP="005B4987">
      <w:pPr>
        <w:spacing w:line="276" w:lineRule="auto"/>
        <w:jc w:val="both"/>
        <w:rPr>
          <w:rFonts w:ascii="Arial" w:eastAsia="Arial" w:hAnsi="Arial" w:cs="Arial"/>
          <w:color w:val="000000"/>
          <w:sz w:val="22"/>
          <w:szCs w:val="22"/>
        </w:rPr>
      </w:pPr>
    </w:p>
    <w:p w14:paraId="3EF080AD"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La peticionaria plantea las siguientes preguntas: «1. [¿]Los documentos aportados para los criterios de desempate pueden ser subsanados y hasta </w:t>
      </w:r>
      <w:proofErr w:type="spellStart"/>
      <w:r>
        <w:rPr>
          <w:rFonts w:ascii="Arial" w:eastAsia="Arial" w:hAnsi="Arial" w:cs="Arial"/>
          <w:color w:val="000000"/>
          <w:sz w:val="22"/>
          <w:szCs w:val="22"/>
        </w:rPr>
        <w:t>qu</w:t>
      </w:r>
      <w:proofErr w:type="spellEnd"/>
      <w:r>
        <w:rPr>
          <w:rFonts w:ascii="Arial" w:eastAsia="Arial" w:hAnsi="Arial" w:cs="Arial"/>
          <w:color w:val="000000"/>
          <w:sz w:val="22"/>
          <w:szCs w:val="22"/>
        </w:rPr>
        <w:t>[é] etapa podrían ser subsanados?»; «2. [¿]Si un proponente allega junto con su oferta únicamente el formato de desempate por vinculación de personas con discapacidad, es decir certifica que el 10% de su nómina está en condiciones de discapacidad, es suficiente para asignarle puntaje por el decreto 392 de 2018? Es decir [¿]se puede entender con el ofrecimiento que el proponente certificó el número total de trabajadores?»; «3. Cuando se apliquen criterios de calidad como garantía extendida, mantenimiento adicional o cuadrillas adicionales, [¿]</w:t>
      </w:r>
      <w:proofErr w:type="spellStart"/>
      <w:r>
        <w:rPr>
          <w:rFonts w:ascii="Arial" w:eastAsia="Arial" w:hAnsi="Arial" w:cs="Arial"/>
          <w:color w:val="000000"/>
          <w:sz w:val="22"/>
          <w:szCs w:val="22"/>
        </w:rPr>
        <w:t>qu</w:t>
      </w:r>
      <w:proofErr w:type="spellEnd"/>
      <w:r>
        <w:rPr>
          <w:rFonts w:ascii="Arial" w:eastAsia="Arial" w:hAnsi="Arial" w:cs="Arial"/>
          <w:color w:val="000000"/>
          <w:sz w:val="22"/>
          <w:szCs w:val="22"/>
        </w:rPr>
        <w:t xml:space="preserve">[é] sucede si el proponente con el mayor ofrecimiento y mayor </w:t>
      </w:r>
      <w:proofErr w:type="gramStart"/>
      <w:r>
        <w:rPr>
          <w:rFonts w:ascii="Arial" w:eastAsia="Arial" w:hAnsi="Arial" w:cs="Arial"/>
          <w:color w:val="000000"/>
          <w:sz w:val="22"/>
          <w:szCs w:val="22"/>
        </w:rPr>
        <w:t>puntaje,</w:t>
      </w:r>
      <w:proofErr w:type="gramEnd"/>
      <w:r>
        <w:rPr>
          <w:rFonts w:ascii="Arial" w:eastAsia="Arial" w:hAnsi="Arial" w:cs="Arial"/>
          <w:color w:val="000000"/>
          <w:sz w:val="22"/>
          <w:szCs w:val="22"/>
        </w:rPr>
        <w:t xml:space="preserve"> es eliminado o rechazado en la evaluación económica[?]. [¿]Debe la entidad recalcular nuevamente este puntaje o se mantiene la evaluación ya realizada?»; y «4. Para los factores de calidad antes mencionados, [¿]tienen la potestad las entidades de definir límites superiores?»</w:t>
      </w:r>
      <w:r>
        <w:rPr>
          <w:rFonts w:ascii="Arial" w:eastAsia="Arial" w:hAnsi="Arial" w:cs="Arial"/>
          <w:color w:val="000000"/>
          <w:sz w:val="22"/>
          <w:szCs w:val="22"/>
        </w:rPr>
        <w:br/>
        <w:t>(Entre corchetes fuera de texto).</w:t>
      </w:r>
    </w:p>
    <w:p w14:paraId="2B853408" w14:textId="77777777" w:rsidR="005B4987" w:rsidRDefault="005B4987" w:rsidP="005B4987">
      <w:pPr>
        <w:spacing w:line="276" w:lineRule="auto"/>
        <w:jc w:val="both"/>
        <w:rPr>
          <w:rFonts w:ascii="Arial" w:eastAsia="Arial" w:hAnsi="Arial" w:cs="Arial"/>
          <w:b/>
          <w:color w:val="000000"/>
          <w:sz w:val="22"/>
          <w:szCs w:val="22"/>
        </w:rPr>
      </w:pPr>
    </w:p>
    <w:p w14:paraId="3029DFD0"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 Consideraciones</w:t>
      </w:r>
    </w:p>
    <w:p w14:paraId="517BFE49" w14:textId="77777777" w:rsidR="005B4987" w:rsidRDefault="005B4987" w:rsidP="005B4987">
      <w:pPr>
        <w:spacing w:line="276" w:lineRule="auto"/>
        <w:jc w:val="both"/>
        <w:rPr>
          <w:rFonts w:ascii="Arial" w:eastAsia="Arial" w:hAnsi="Arial" w:cs="Arial"/>
          <w:b/>
          <w:color w:val="000000"/>
          <w:sz w:val="22"/>
          <w:szCs w:val="22"/>
        </w:rPr>
      </w:pPr>
    </w:p>
    <w:p w14:paraId="1CD71A8D" w14:textId="77777777" w:rsidR="005B4987" w:rsidRDefault="005B4987" w:rsidP="005B4987">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Para desarrollar los problemas planteados, es necesario explicar los siguientes temas: i)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xml:space="preserve"> de las ofertas;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requisitos para acreditar la vinculación del personal en situación de discapacidad, con la finalidad de obtener el incentivo previsto en el Decreto 392 de 2018;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el alcance del factor de calidad como criterio de evaluación, asignación de puntaje y desempate de las propuestas económicas, particularmente, en relación con la garantía suplementaria o adicional por cuenta del contratista, las cuadrillas de trabajo adicional a costo y riesgo de este último y el mantenimiento adicional.</w:t>
      </w:r>
    </w:p>
    <w:p w14:paraId="03225982" w14:textId="77777777" w:rsidR="005B4987" w:rsidRDefault="005B4987" w:rsidP="005B4987">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Para tales fines, se reiterarán las tesis expuestas en los siguientes conceptos: en relación con el tema uno, los conceptos del 28 de octubre y el 12 y 15 de noviembre de 2019 –Radicados Nos. 4201913000006471, 4201912000006711 y 4201912000006496–, cuyas ideas se unificaron en el Concepto CU-060 del 24 de febrero de 2020, y han sido reiteradas pacíficamente en los conceptos C-008 del 4 de mayo de 2020, C-013 del 17 de abril de 2020, C-044 del 24 de marzo de 2020 y C-082 del 25 de febrero de 2020, entre otros; frente a la segunda temática, los conceptos del 10 y el </w:t>
      </w:r>
      <w:r>
        <w:rPr>
          <w:rFonts w:ascii="Arial" w:eastAsia="Arial" w:hAnsi="Arial" w:cs="Arial"/>
          <w:color w:val="000000"/>
          <w:sz w:val="22"/>
          <w:szCs w:val="22"/>
          <w:highlight w:val="white"/>
        </w:rPr>
        <w:t xml:space="preserve">23 de julio de 2019, del 13 de agosto de 2019, del 16 y el 18 de septiembre de 2019, del 3 y 10 de octubre de 2019, del 16 de noviembre de 2019 y del 2 y 27 de diciembre de 2019 –Radicados Nos. 4201912000004631, 4201913000005084, 4201913000004446, 4201912000005689, 4201913000006373, 4201912000006258, 4201913000006154, 4201912000007756, 4201913000007151 y 4201912000008593–, así como en los conceptos C-019 del 14 de enero de 2020, C-030 del 28 de enero de 2020, C-026 del 11 de febrero de 2020, C-063 del 24 de febrero de 2020 y C-137 del 26 de marzo de 2020; </w:t>
      </w:r>
      <w:r>
        <w:rPr>
          <w:rFonts w:ascii="Arial" w:eastAsia="Arial" w:hAnsi="Arial" w:cs="Arial"/>
          <w:color w:val="000000"/>
          <w:sz w:val="22"/>
          <w:szCs w:val="22"/>
        </w:rPr>
        <w:t>y, frente al tercer tema, los conceptos C-294 del 18 de mayo de 2020; C-276 y C-277 del 26 de mayo de 2020; C–380 y C–381 del 1 de junio de 2020; C-404 del 12 de junio de 2020 y C-430 del 7 de julio de 2020.</w:t>
      </w:r>
    </w:p>
    <w:p w14:paraId="57D0923D" w14:textId="77777777" w:rsidR="005B4987" w:rsidRDefault="005B4987" w:rsidP="005B4987">
      <w:pPr>
        <w:spacing w:line="276" w:lineRule="auto"/>
        <w:jc w:val="both"/>
        <w:rPr>
          <w:rFonts w:ascii="Arial" w:eastAsia="Arial" w:hAnsi="Arial" w:cs="Arial"/>
          <w:b/>
          <w:color w:val="000000"/>
          <w:sz w:val="22"/>
          <w:szCs w:val="22"/>
        </w:rPr>
      </w:pPr>
    </w:p>
    <w:p w14:paraId="778708F9"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2.1. Alcance de la regla de la </w:t>
      </w:r>
      <w:proofErr w:type="spellStart"/>
      <w:r>
        <w:rPr>
          <w:rFonts w:ascii="Arial" w:eastAsia="Arial" w:hAnsi="Arial" w:cs="Arial"/>
          <w:b/>
          <w:color w:val="000000"/>
          <w:sz w:val="22"/>
          <w:szCs w:val="22"/>
        </w:rPr>
        <w:t>subsanabilidad</w:t>
      </w:r>
      <w:proofErr w:type="spellEnd"/>
      <w:r>
        <w:rPr>
          <w:rFonts w:ascii="Arial" w:eastAsia="Arial" w:hAnsi="Arial" w:cs="Arial"/>
          <w:b/>
          <w:color w:val="000000"/>
          <w:sz w:val="22"/>
          <w:szCs w:val="22"/>
        </w:rPr>
        <w:t xml:space="preserve"> de las ofertas en los procedimientos de selección.</w:t>
      </w:r>
    </w:p>
    <w:p w14:paraId="12702EFF" w14:textId="77777777" w:rsidR="005B4987" w:rsidRDefault="005B4987" w:rsidP="005B4987">
      <w:pPr>
        <w:spacing w:line="276" w:lineRule="auto"/>
        <w:jc w:val="both"/>
        <w:rPr>
          <w:rFonts w:ascii="Arial" w:eastAsia="Arial" w:hAnsi="Arial" w:cs="Arial"/>
          <w:color w:val="000000"/>
          <w:sz w:val="22"/>
          <w:szCs w:val="22"/>
        </w:rPr>
      </w:pPr>
    </w:p>
    <w:p w14:paraId="74C7ADE5" w14:textId="77777777" w:rsidR="005B4987" w:rsidRDefault="005B4987" w:rsidP="005B4987">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Uno de los principios transversales de los procedimientos de selección es el de </w:t>
      </w:r>
      <w:r>
        <w:rPr>
          <w:rFonts w:ascii="Arial" w:eastAsia="Arial" w:hAnsi="Arial" w:cs="Arial"/>
          <w:i/>
          <w:color w:val="000000"/>
          <w:sz w:val="22"/>
          <w:szCs w:val="22"/>
        </w:rPr>
        <w:t>selección objetiva</w:t>
      </w:r>
      <w:r>
        <w:rPr>
          <w:rFonts w:ascii="Arial" w:eastAsia="Arial" w:hAnsi="Arial" w:cs="Arial"/>
          <w:color w:val="000000"/>
          <w:sz w:val="22"/>
          <w:szCs w:val="22"/>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B67326A" w14:textId="77777777" w:rsidR="005B4987" w:rsidRDefault="005B4987" w:rsidP="005B4987">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lastRenderedPageBreak/>
        <w:t>Si bien dentro de la historia de la contratación pública en Colombia, se vislumbran antecedentes normativos que consagran dicho principio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en la actualidad la disposición legal que lo prevé de manera más clara y contundente es el artículo 5 de la Ley 1150 de 2007, modificado por el artículo 88 de la Ley 1474 de 2011 y por el artículo 5 de la Ley 1882 de 2018. Con todo, la Ley 80 de 1993 se refiere a la </w:t>
      </w:r>
      <w:r>
        <w:rPr>
          <w:rFonts w:ascii="Arial" w:eastAsia="Arial" w:hAnsi="Arial" w:cs="Arial"/>
          <w:i/>
          <w:color w:val="000000"/>
          <w:sz w:val="22"/>
          <w:szCs w:val="22"/>
        </w:rPr>
        <w:t>selección objetiva</w:t>
      </w:r>
      <w:r>
        <w:rPr>
          <w:rFonts w:ascii="Arial" w:eastAsia="Arial" w:hAnsi="Arial" w:cs="Arial"/>
          <w:color w:val="000000"/>
          <w:sz w:val="22"/>
          <w:szCs w:val="22"/>
        </w:rPr>
        <w:t xml:space="preserve"> en varios apartados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así como también lo hace el Decreto 1082 de 2015</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w:t>
      </w:r>
    </w:p>
    <w:p w14:paraId="3105C8AD"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lastRenderedPageBreak/>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w:t>
      </w:r>
    </w:p>
    <w:p w14:paraId="45F06938"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w:t>
      </w:r>
      <w:r>
        <w:rPr>
          <w:rFonts w:ascii="Arial" w:eastAsia="Arial" w:hAnsi="Arial" w:cs="Arial"/>
          <w:color w:val="000000"/>
          <w:sz w:val="22"/>
          <w:szCs w:val="22"/>
        </w:rPr>
        <w:lastRenderedPageBreak/>
        <w:t>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3301510D" w14:textId="77777777" w:rsidR="005B4987" w:rsidRDefault="005B4987" w:rsidP="005B4987">
      <w:pPr>
        <w:spacing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Teniendo en cuenta las consideraciones precedentes, en el presente concepto se reitera la siguiente regla: por regla general, i) la falta de entrega o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los defectos, de los requisitos habilitantes, son subsanables. La excepción se encuentra en los casos, previstos en la ley, que limitan la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es decir, en la prohibición de permitir la entrega de la garantía de seriedad de la oferta que no fue aportada con la propuesta y de valer la acreditación de circunstancias ocurridas con posterioridad al cierre del proceso.</w:t>
      </w:r>
    </w:p>
    <w:p w14:paraId="548F330B" w14:textId="77777777" w:rsidR="005B4987" w:rsidRDefault="005B4987" w:rsidP="005B4987">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Un ejemplo de un caso en el que se limita normativamente la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la constituye la relacionada con las exigencias necesarias para acreditar los requisitos de desempate, como lo establece el numeral 1.6. del Documento Base de los pliegos tipo, en los siguientes términos:</w:t>
      </w:r>
    </w:p>
    <w:p w14:paraId="14A6063D" w14:textId="77777777" w:rsidR="005B4987" w:rsidRDefault="005B4987" w:rsidP="005B4987">
      <w:pPr>
        <w:spacing w:before="120" w:line="276" w:lineRule="auto"/>
        <w:ind w:firstLine="709"/>
        <w:jc w:val="both"/>
        <w:rPr>
          <w:rFonts w:ascii="Arial" w:eastAsia="Arial" w:hAnsi="Arial" w:cs="Arial"/>
          <w:color w:val="000000"/>
          <w:sz w:val="22"/>
          <w:szCs w:val="22"/>
        </w:rPr>
      </w:pPr>
    </w:p>
    <w:p w14:paraId="404A1273" w14:textId="77777777" w:rsidR="005B4987" w:rsidRDefault="005B4987" w:rsidP="005B4987">
      <w:pPr>
        <w:ind w:left="709" w:right="760"/>
        <w:jc w:val="both"/>
        <w:rPr>
          <w:rFonts w:ascii="Arial" w:eastAsia="Arial" w:hAnsi="Arial" w:cs="Arial"/>
          <w:color w:val="000000"/>
          <w:sz w:val="21"/>
          <w:szCs w:val="21"/>
        </w:rPr>
      </w:pPr>
      <w:r>
        <w:rPr>
          <w:rFonts w:ascii="Arial" w:eastAsia="Arial" w:hAnsi="Arial" w:cs="Arial"/>
          <w:color w:val="000000"/>
          <w:sz w:val="21"/>
          <w:szCs w:val="21"/>
        </w:rPr>
        <w:t xml:space="preserve">Todos aquellos requisitos de la oferta que afecten la asignación de puntaje, </w:t>
      </w:r>
      <w:r>
        <w:rPr>
          <w:rFonts w:ascii="Arial" w:eastAsia="Arial" w:hAnsi="Arial" w:cs="Arial"/>
          <w:i/>
          <w:color w:val="000000"/>
          <w:sz w:val="21"/>
          <w:szCs w:val="21"/>
        </w:rPr>
        <w:t>incluyendo los necesarios para acreditar requisitos de desempate, no son subsanables</w:t>
      </w:r>
      <w:r>
        <w:rPr>
          <w:rFonts w:ascii="Arial" w:eastAsia="Arial" w:hAnsi="Arial" w:cs="Arial"/>
          <w:color w:val="000000"/>
          <w:sz w:val="21"/>
          <w:szCs w:val="21"/>
        </w:rPr>
        <w:t>, por lo que los mismos deben ser aportados por los Proponentes desde la presentación de la oferta. No obstante, pueden ser aclarados o ser objeto de explicación. (Cursivas propias)</w:t>
      </w:r>
    </w:p>
    <w:p w14:paraId="74B299C5" w14:textId="77777777" w:rsidR="005B4987" w:rsidRDefault="005B4987" w:rsidP="005B4987">
      <w:pPr>
        <w:ind w:left="709" w:right="760"/>
        <w:jc w:val="both"/>
        <w:rPr>
          <w:rFonts w:ascii="Arial" w:eastAsia="Arial" w:hAnsi="Arial" w:cs="Arial"/>
          <w:color w:val="000000"/>
          <w:sz w:val="21"/>
          <w:szCs w:val="21"/>
        </w:rPr>
      </w:pPr>
    </w:p>
    <w:p w14:paraId="02C20C29"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La posibilidad de enmendar, corregir o subsanar los errores en los que se incurre en los documentos contentivos de la oferta es un tema que ha tenido diferentes momentos o etapas en el ordenamiento jurídico colombiano. Actualmente, se tiene que el legislador expidió la Ley 1882 de 2018, con la finalidad de introducir cambios y ajustes para fortalecer la contratación pública. El artículo 5 modificó el parágrafo 1º del artículo 5 de la Ley 1150 de 2007: </w:t>
      </w:r>
    </w:p>
    <w:p w14:paraId="69594274" w14:textId="77777777" w:rsidR="005B4987" w:rsidRDefault="005B4987" w:rsidP="005B4987">
      <w:pPr>
        <w:spacing w:line="276" w:lineRule="auto"/>
        <w:jc w:val="both"/>
        <w:rPr>
          <w:rFonts w:ascii="Arial" w:eastAsia="Arial" w:hAnsi="Arial" w:cs="Arial"/>
          <w:color w:val="000000"/>
          <w:sz w:val="22"/>
          <w:szCs w:val="22"/>
        </w:rPr>
      </w:pPr>
    </w:p>
    <w:p w14:paraId="205759E0" w14:textId="77777777" w:rsidR="005B4987" w:rsidRDefault="005B4987" w:rsidP="005B4987">
      <w:pPr>
        <w:ind w:left="709" w:right="709"/>
        <w:jc w:val="both"/>
        <w:rPr>
          <w:rFonts w:ascii="Arial" w:eastAsia="Arial" w:hAnsi="Arial" w:cs="Arial"/>
          <w:color w:val="000000"/>
          <w:sz w:val="21"/>
          <w:szCs w:val="21"/>
        </w:rPr>
      </w:pPr>
      <w:r>
        <w:rPr>
          <w:rFonts w:ascii="Arial" w:eastAsia="Arial" w:hAnsi="Arial" w:cs="Arial"/>
          <w:color w:val="000000"/>
          <w:sz w:val="21"/>
          <w:szCs w:val="21"/>
        </w:rPr>
        <w:t xml:space="preserve">Artículo 5°. De la selección objetiva. </w:t>
      </w:r>
    </w:p>
    <w:p w14:paraId="521FA8E9" w14:textId="77777777" w:rsidR="005B4987" w:rsidRDefault="005B4987" w:rsidP="005B4987">
      <w:pPr>
        <w:ind w:left="709" w:right="709"/>
        <w:jc w:val="both"/>
        <w:rPr>
          <w:rFonts w:ascii="Arial" w:eastAsia="Arial" w:hAnsi="Arial" w:cs="Arial"/>
          <w:color w:val="000000"/>
          <w:sz w:val="21"/>
          <w:szCs w:val="21"/>
        </w:rPr>
      </w:pPr>
      <w:r>
        <w:rPr>
          <w:rFonts w:ascii="Arial" w:eastAsia="Arial" w:hAnsi="Arial" w:cs="Arial"/>
          <w:color w:val="000000"/>
          <w:sz w:val="21"/>
          <w:szCs w:val="21"/>
        </w:rPr>
        <w:t xml:space="preserve">(... ) </w:t>
      </w:r>
    </w:p>
    <w:p w14:paraId="239FD7E0" w14:textId="77777777" w:rsidR="005B4987" w:rsidRDefault="005B4987" w:rsidP="005B4987">
      <w:pPr>
        <w:ind w:left="709" w:right="709"/>
        <w:jc w:val="both"/>
        <w:rPr>
          <w:rFonts w:ascii="Arial" w:eastAsia="Arial" w:hAnsi="Arial" w:cs="Arial"/>
          <w:color w:val="000000"/>
          <w:sz w:val="21"/>
          <w:szCs w:val="21"/>
        </w:rPr>
      </w:pPr>
    </w:p>
    <w:p w14:paraId="46296F10" w14:textId="77777777" w:rsidR="005B4987" w:rsidRDefault="005B4987" w:rsidP="005B4987">
      <w:pPr>
        <w:ind w:left="709" w:right="709"/>
        <w:jc w:val="both"/>
        <w:rPr>
          <w:rFonts w:ascii="Arial" w:eastAsia="Arial" w:hAnsi="Arial" w:cs="Arial"/>
          <w:color w:val="000000"/>
          <w:sz w:val="21"/>
          <w:szCs w:val="21"/>
        </w:rPr>
      </w:pPr>
      <w:r>
        <w:rPr>
          <w:rFonts w:ascii="Arial" w:eastAsia="Arial" w:hAnsi="Arial" w:cs="Arial"/>
          <w:color w:val="000000"/>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Pr>
          <w:rFonts w:ascii="Arial" w:eastAsia="Arial" w:hAnsi="Arial" w:cs="Arial"/>
          <w:color w:val="000000"/>
          <w:sz w:val="21"/>
          <w:szCs w:val="21"/>
        </w:rPr>
        <w:t>puntaje,</w:t>
      </w:r>
      <w:proofErr w:type="gramEnd"/>
      <w:r>
        <w:rPr>
          <w:rFonts w:ascii="Arial" w:eastAsia="Arial" w:hAnsi="Arial" w:cs="Arial"/>
          <w:color w:val="000000"/>
          <w:sz w:val="21"/>
          <w:szCs w:val="21"/>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w:t>
      </w:r>
      <w:r>
        <w:rPr>
          <w:rFonts w:ascii="Arial" w:eastAsia="Arial" w:hAnsi="Arial" w:cs="Arial"/>
          <w:color w:val="000000"/>
          <w:sz w:val="21"/>
          <w:szCs w:val="21"/>
        </w:rPr>
        <w:lastRenderedPageBreak/>
        <w:t xml:space="preserve">documentación solicitada por la entidad estatal hasta el plazo anteriormente señalado. Durante el término otorgado para subsanar las ofertas, los proponentes no podrán acreditar circunstancias ocurridas con posterioridad al cierre del proceso. </w:t>
      </w:r>
    </w:p>
    <w:p w14:paraId="3E96859D" w14:textId="77777777" w:rsidR="005B4987" w:rsidRDefault="005B4987" w:rsidP="005B4987">
      <w:pPr>
        <w:spacing w:line="276" w:lineRule="auto"/>
        <w:jc w:val="both"/>
        <w:rPr>
          <w:rFonts w:ascii="Arial" w:eastAsia="Arial" w:hAnsi="Arial" w:cs="Arial"/>
          <w:b/>
          <w:color w:val="000000"/>
          <w:sz w:val="22"/>
          <w:szCs w:val="22"/>
        </w:rPr>
      </w:pPr>
    </w:p>
    <w:p w14:paraId="2F90B8D8" w14:textId="77777777" w:rsidR="005B4987" w:rsidRDefault="005B4987" w:rsidP="005B4987">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Esta norma: i) mantiene el criterio de la Ley 80 de 1993, relativo a que todo lo que no sea necesario para la comparación de propuestas no es título suficiente para su rechazo;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mantiene el criterio aclaratorio de la Ley 1150 de 2007, según el cual todo lo que no afecte la asignación de puntaje puede subsanarse e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xml:space="preserve">) introduce modificaciones en relación con cuatro aspectos que se analizarán a continuación. </w:t>
      </w:r>
    </w:p>
    <w:p w14:paraId="5E100405"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en el último los documentos o requisitos subsanables pueden y deben solicitarse hasta el momento previo a su realización.  </w:t>
      </w:r>
    </w:p>
    <w:p w14:paraId="27770D95"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1D50D7D6"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En efecto, la redacción de la norma permite que la Administración solicite a los oferentes subsanar y que estos lo hagan hasta antes del término del traslado del informe de evaluación: “</w:t>
      </w:r>
      <w:r>
        <w:rPr>
          <w:rFonts w:ascii="Arial" w:eastAsia="Arial" w:hAnsi="Arial" w:cs="Arial"/>
          <w:i/>
          <w:color w:val="000000"/>
          <w:sz w:val="22"/>
          <w:szCs w:val="22"/>
        </w:rPr>
        <w:t>deberán ser solicitados por las entidades estatales y deberán ser entregados por los proponentes hasta el término de traslado del informe de evaluación que corresponda a cada modalidad de selección</w:t>
      </w:r>
      <w:r>
        <w:rPr>
          <w:rFonts w:ascii="Arial" w:eastAsia="Arial" w:hAnsi="Arial" w:cs="Arial"/>
          <w:color w:val="000000"/>
          <w:sz w:val="22"/>
          <w:szCs w:val="22"/>
        </w:rPr>
        <w:t xml:space="preserve">”. </w:t>
      </w:r>
    </w:p>
    <w:p w14:paraId="4174E3E4"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No obstante, de la lectura de este aparte podrían, en la práctica, darse dos interpretaciones que dan lugar a dos formas de proceder en los procesos de selección, en lo que se refiere a la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xml:space="preserve"> de las ofertas. </w:t>
      </w:r>
      <w:r>
        <w:rPr>
          <w:rFonts w:ascii="Arial" w:eastAsia="Arial" w:hAnsi="Arial" w:cs="Arial"/>
          <w:i/>
          <w:color w:val="000000"/>
          <w:sz w:val="22"/>
          <w:szCs w:val="22"/>
        </w:rPr>
        <w:t>Primera</w:t>
      </w:r>
      <w:r>
        <w:rPr>
          <w:rFonts w:ascii="Arial" w:eastAsia="Arial" w:hAnsi="Arial" w:cs="Arial"/>
          <w:color w:val="000000"/>
          <w:sz w:val="22"/>
          <w:szCs w:val="22"/>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Pr>
          <w:rFonts w:ascii="Arial" w:eastAsia="Arial" w:hAnsi="Arial" w:cs="Arial"/>
          <w:i/>
          <w:color w:val="000000"/>
          <w:sz w:val="22"/>
          <w:szCs w:val="22"/>
        </w:rPr>
        <w:t>segunda</w:t>
      </w:r>
      <w:r>
        <w:rPr>
          <w:rFonts w:ascii="Arial" w:eastAsia="Arial" w:hAnsi="Arial" w:cs="Arial"/>
          <w:color w:val="000000"/>
          <w:sz w:val="22"/>
          <w:szCs w:val="22"/>
        </w:rPr>
        <w:t xml:space="preserve">, que el término del </w:t>
      </w:r>
      <w:r>
        <w:rPr>
          <w:rFonts w:ascii="Arial" w:eastAsia="Arial" w:hAnsi="Arial" w:cs="Arial"/>
          <w:color w:val="000000"/>
          <w:sz w:val="22"/>
          <w:szCs w:val="22"/>
        </w:rPr>
        <w:lastRenderedPageBreak/>
        <w:t xml:space="preserve">traslado del informe de evaluación es el límite para la subsanación de ofertas, pero no el único momento para hacerlo. </w:t>
      </w:r>
    </w:p>
    <w:p w14:paraId="3C576FAE"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0164357D"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7C64B6A0"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3EBF1D80"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44DB82CE"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De otro lado, el segundo cambio importante de la Ley 1882 de 2018 fue la introducción de un criterio material, directamente relacionado con los aspectos subsanables: </w:t>
      </w:r>
      <w:r w:rsidRPr="00FA5AC5">
        <w:rPr>
          <w:rFonts w:ascii="Arial" w:eastAsia="Arial" w:hAnsi="Arial" w:cs="Arial"/>
          <w:iCs/>
          <w:color w:val="000000"/>
          <w:sz w:val="22"/>
          <w:szCs w:val="22"/>
        </w:rPr>
        <w:t>«los proponentes no podrán acreditar circunstancias ocurridas con posterioridad al cierre del proceso».</w:t>
      </w:r>
      <w:r>
        <w:rPr>
          <w:rFonts w:ascii="Arial" w:eastAsia="Arial" w:hAnsi="Arial" w:cs="Arial"/>
          <w:b/>
          <w:color w:val="000000"/>
          <w:sz w:val="22"/>
          <w:szCs w:val="22"/>
        </w:rPr>
        <w:t xml:space="preserve"> </w:t>
      </w:r>
      <w:r>
        <w:rPr>
          <w:rFonts w:ascii="Arial" w:eastAsia="Arial" w:hAnsi="Arial" w:cs="Arial"/>
          <w:color w:val="000000"/>
          <w:sz w:val="22"/>
          <w:szCs w:val="22"/>
        </w:rPr>
        <w:t xml:space="preserve">Lo anterior ofrece dos aspectos que merecen clarificación: </w:t>
      </w:r>
      <w:r>
        <w:rPr>
          <w:rFonts w:ascii="Arial" w:eastAsia="Arial" w:hAnsi="Arial" w:cs="Arial"/>
          <w:i/>
          <w:color w:val="000000"/>
          <w:sz w:val="22"/>
          <w:szCs w:val="22"/>
        </w:rPr>
        <w:t>primero</w:t>
      </w:r>
      <w:r>
        <w:rPr>
          <w:rFonts w:ascii="Arial" w:eastAsia="Arial" w:hAnsi="Arial" w:cs="Arial"/>
          <w:color w:val="000000"/>
          <w:sz w:val="22"/>
          <w:szCs w:val="22"/>
        </w:rPr>
        <w:t xml:space="preserve">, qué debe entenderse por circunstancias ocurridas con posterioridad; y </w:t>
      </w:r>
      <w:r>
        <w:rPr>
          <w:rFonts w:ascii="Arial" w:eastAsia="Arial" w:hAnsi="Arial" w:cs="Arial"/>
          <w:i/>
          <w:color w:val="000000"/>
          <w:sz w:val="22"/>
          <w:szCs w:val="22"/>
        </w:rPr>
        <w:t>segundo</w:t>
      </w:r>
      <w:r>
        <w:rPr>
          <w:rFonts w:ascii="Arial" w:eastAsia="Arial" w:hAnsi="Arial" w:cs="Arial"/>
          <w:color w:val="000000"/>
          <w:sz w:val="22"/>
          <w:szCs w:val="22"/>
        </w:rPr>
        <w:t>, qué es el cierre del proceso.</w:t>
      </w:r>
    </w:p>
    <w:p w14:paraId="3435E15E" w14:textId="77777777" w:rsidR="005B4987" w:rsidRDefault="005B4987" w:rsidP="005B4987">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La Sala de Consulta y Servicio Civil del Consejo de Estado ya había tenido la oportunidad de precisar estas expresiones, a propósito de un concepto en el que se refirió </w:t>
      </w:r>
      <w:r>
        <w:rPr>
          <w:rFonts w:ascii="Arial" w:eastAsia="Arial" w:hAnsi="Arial" w:cs="Arial"/>
          <w:color w:val="000000"/>
          <w:sz w:val="22"/>
          <w:szCs w:val="22"/>
        </w:rPr>
        <w:lastRenderedPageBreak/>
        <w:t>al artículo 10 del derogado Decreto 2474 de 2008</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que había determinado que en ningún caso la entidad podía permitir que se acrediten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r w:rsidRPr="00FA5AC5">
        <w:rPr>
          <w:rFonts w:ascii="Arial" w:eastAsia="Arial" w:hAnsi="Arial" w:cs="Arial"/>
          <w:color w:val="000000"/>
          <w:sz w:val="22"/>
          <w:szCs w:val="22"/>
        </w:rPr>
        <w:t>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w:t>
      </w:r>
      <w:r>
        <w:rPr>
          <w:rFonts w:ascii="Arial" w:eastAsia="Arial" w:hAnsi="Arial" w:cs="Arial"/>
          <w:color w:val="000000"/>
          <w:sz w:val="22"/>
          <w:szCs w:val="22"/>
        </w:rPr>
        <w:t>»</w:t>
      </w:r>
      <w:r>
        <w:rPr>
          <w:rFonts w:ascii="Arial" w:eastAsia="Arial" w:hAnsi="Arial" w:cs="Arial"/>
          <w:color w:val="000000"/>
          <w:sz w:val="21"/>
          <w:szCs w:val="21"/>
          <w:vertAlign w:val="superscript"/>
        </w:rPr>
        <w:footnoteReference w:id="8"/>
      </w:r>
      <w:r>
        <w:rPr>
          <w:rFonts w:ascii="Arial" w:eastAsia="Arial" w:hAnsi="Arial" w:cs="Arial"/>
          <w:color w:val="000000"/>
          <w:sz w:val="22"/>
          <w:szCs w:val="22"/>
        </w:rPr>
        <w:t>.</w:t>
      </w:r>
    </w:p>
    <w:p w14:paraId="1213A666" w14:textId="77777777" w:rsidR="005B4987" w:rsidRDefault="005B4987" w:rsidP="005B4987">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6E342F7"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Un mejor entendimiento del significado de la expresión «circunstancias ocurridas con posterioridad al cierre del proceso» lleva necesariamente a distinguir entre la prueba de un hecho y el hecho mismo. En el caso de la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xml:space="preserve"> de las ofertas, una cosa es el requisito habilitante o el elemento de la propuesta y otra su prueba. Lo que prohíbe la norma es que se subsanen requisitos que no estaban cumplidos al momento de presentar </w:t>
      </w:r>
      <w:r>
        <w:rPr>
          <w:rFonts w:ascii="Arial" w:eastAsia="Arial" w:hAnsi="Arial" w:cs="Arial"/>
          <w:color w:val="000000"/>
          <w:sz w:val="22"/>
          <w:szCs w:val="22"/>
        </w:rPr>
        <w:lastRenderedPageBreak/>
        <w:t xml:space="preserve">la oferta, o en palabras de la ley, que se acrediten hechos que ocurrieron después del cierre del proceso. </w:t>
      </w:r>
    </w:p>
    <w:p w14:paraId="278CC224"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5E00B2B2"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Es por ello por 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5BD44BC7"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Las certificaciones de experiencia que no otorgaran puntaje podían aportarse corregidos o incluso, en reemplazo de las que no cumplieran el requisito habilitante, siempre que en los documentos aportados en la etapa de </w:t>
      </w:r>
      <w:proofErr w:type="spellStart"/>
      <w:r>
        <w:rPr>
          <w:rFonts w:ascii="Arial" w:eastAsia="Arial" w:hAnsi="Arial" w:cs="Arial"/>
          <w:color w:val="000000"/>
          <w:sz w:val="22"/>
          <w:szCs w:val="22"/>
        </w:rPr>
        <w:t>subsanabilidad</w:t>
      </w:r>
      <w:proofErr w:type="spellEnd"/>
      <w:r>
        <w:rPr>
          <w:rFonts w:ascii="Arial" w:eastAsia="Arial" w:hAnsi="Arial" w:cs="Arial"/>
          <w:color w:val="000000"/>
          <w:sz w:val="22"/>
          <w:szCs w:val="22"/>
        </w:rPr>
        <w:t xml:space="preserve"> no se acredite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7A6BE775" w14:textId="77777777" w:rsidR="005B4987" w:rsidRDefault="005B4987" w:rsidP="005B4987">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w:t>
      </w:r>
      <w:r>
        <w:rPr>
          <w:rFonts w:ascii="Arial" w:eastAsia="Arial" w:hAnsi="Arial" w:cs="Arial"/>
          <w:color w:val="000000"/>
          <w:sz w:val="22"/>
          <w:szCs w:val="22"/>
        </w:rPr>
        <w:lastRenderedPageBreak/>
        <w:t xml:space="preserve">cuenta de que lo omitido sea la prueba de una circunstancia o hecho que ocurrió con anterioridad al cierre del proceso. </w:t>
      </w:r>
    </w:p>
    <w:p w14:paraId="189B6F5D" w14:textId="77777777" w:rsidR="005B4987" w:rsidRDefault="005B4987" w:rsidP="005B4987">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Finalmente, el parágrafo 3 del artículo 5 de la Ley 1882 de 2018 determinó, de manera expresa, que «la no entrega de la garantía de seriedad junto con la propuesta no será subsanable y será causal de rechazo de </w:t>
      </w:r>
      <w:proofErr w:type="gramStart"/>
      <w:r>
        <w:rPr>
          <w:rFonts w:ascii="Arial" w:eastAsia="Arial" w:hAnsi="Arial" w:cs="Arial"/>
          <w:color w:val="000000"/>
          <w:sz w:val="22"/>
          <w:szCs w:val="22"/>
        </w:rPr>
        <w:t>la misma</w:t>
      </w:r>
      <w:proofErr w:type="gramEnd"/>
      <w:r>
        <w:rPr>
          <w:rFonts w:ascii="Arial" w:eastAsia="Arial" w:hAnsi="Arial" w:cs="Arial"/>
          <w:color w:val="000000"/>
          <w:sz w:val="22"/>
          <w:szCs w:val="22"/>
        </w:rPr>
        <w:t>», dejando claro que se trata de un documento de obligatoria presentación junto con la propuesta y que materializa los principios de seriedad e irrevocabilidad de la oferta.</w:t>
      </w:r>
    </w:p>
    <w:p w14:paraId="1E0C0001" w14:textId="77777777" w:rsidR="005B4987" w:rsidRDefault="005B4987" w:rsidP="005B4987">
      <w:pPr>
        <w:ind w:firstLine="709"/>
        <w:jc w:val="both"/>
        <w:rPr>
          <w:rFonts w:ascii="Arial" w:eastAsia="Arial" w:hAnsi="Arial" w:cs="Arial"/>
          <w:color w:val="000000"/>
          <w:sz w:val="22"/>
          <w:szCs w:val="22"/>
        </w:rPr>
      </w:pPr>
    </w:p>
    <w:p w14:paraId="4D68E933"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2.2. Requisitos para acreditar el personal en situación de discapacidad, con la finalidad de obtener el incentivo previsto en el Decreto 392 de 2018</w:t>
      </w:r>
    </w:p>
    <w:p w14:paraId="4CC72444" w14:textId="77777777" w:rsidR="005B4987" w:rsidRDefault="005B4987" w:rsidP="005B4987">
      <w:pPr>
        <w:ind w:firstLine="709"/>
        <w:jc w:val="both"/>
        <w:rPr>
          <w:rFonts w:ascii="Arial" w:eastAsia="Arial" w:hAnsi="Arial" w:cs="Arial"/>
          <w:color w:val="000000"/>
          <w:sz w:val="22"/>
          <w:szCs w:val="22"/>
        </w:rPr>
      </w:pPr>
    </w:p>
    <w:p w14:paraId="0EC71D46" w14:textId="77777777" w:rsidR="005B4987" w:rsidRDefault="005B4987" w:rsidP="005B4987">
      <w:pPr>
        <w:spacing w:before="120" w:line="276" w:lineRule="auto"/>
        <w:jc w:val="both"/>
        <w:rPr>
          <w:rFonts w:ascii="Arial" w:eastAsia="Arial" w:hAnsi="Arial" w:cs="Arial"/>
          <w:sz w:val="22"/>
          <w:szCs w:val="22"/>
        </w:rPr>
      </w:pPr>
      <w:r>
        <w:rPr>
          <w:rFonts w:ascii="Arial" w:eastAsia="Arial" w:hAnsi="Arial" w:cs="Arial"/>
          <w:sz w:val="22"/>
          <w:szCs w:val="22"/>
        </w:rPr>
        <w:t>Con la expedición de la Ley 1618 de 2013 el legislador estableció las disposiciones para garantizar el ejercicio de los derechos de las personas con discapacidad</w:t>
      </w:r>
      <w:r>
        <w:rPr>
          <w:rFonts w:ascii="Arial" w:eastAsia="Arial" w:hAnsi="Arial" w:cs="Arial"/>
          <w:sz w:val="22"/>
          <w:szCs w:val="22"/>
          <w:vertAlign w:val="superscript"/>
        </w:rPr>
        <w:footnoteReference w:id="10"/>
      </w:r>
      <w:r>
        <w:rPr>
          <w:rFonts w:ascii="Arial" w:eastAsia="Arial" w:hAnsi="Arial" w:cs="Arial"/>
          <w:sz w:val="22"/>
          <w:szCs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07BAAE5F" w14:textId="77777777" w:rsidR="005B4987" w:rsidRDefault="005B4987" w:rsidP="005B4987">
      <w:pPr>
        <w:spacing w:after="18"/>
        <w:jc w:val="both"/>
        <w:rPr>
          <w:rFonts w:ascii="Arial" w:eastAsia="Arial" w:hAnsi="Arial" w:cs="Arial"/>
          <w:sz w:val="22"/>
          <w:szCs w:val="22"/>
        </w:rPr>
      </w:pPr>
    </w:p>
    <w:p w14:paraId="1FC01EDF" w14:textId="77777777" w:rsidR="005B4987" w:rsidRDefault="005B4987" w:rsidP="005B4987">
      <w:pPr>
        <w:spacing w:after="18"/>
        <w:ind w:left="709" w:right="709"/>
        <w:jc w:val="both"/>
        <w:rPr>
          <w:rFonts w:ascii="Arial" w:eastAsia="Arial" w:hAnsi="Arial" w:cs="Arial"/>
          <w:sz w:val="21"/>
          <w:szCs w:val="21"/>
        </w:rPr>
      </w:pPr>
      <w:r>
        <w:rPr>
          <w:rFonts w:ascii="Arial" w:eastAsia="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86D18DF" w14:textId="77777777" w:rsidR="005B4987" w:rsidRDefault="005B4987" w:rsidP="005B4987">
      <w:pPr>
        <w:spacing w:after="18"/>
        <w:ind w:left="709" w:right="709"/>
        <w:jc w:val="both"/>
        <w:rPr>
          <w:rFonts w:ascii="Arial" w:eastAsia="Arial" w:hAnsi="Arial" w:cs="Arial"/>
          <w:sz w:val="21"/>
          <w:szCs w:val="21"/>
        </w:rPr>
      </w:pPr>
    </w:p>
    <w:p w14:paraId="7C5FDDE7" w14:textId="77777777" w:rsidR="005B4987" w:rsidRDefault="005B4987" w:rsidP="005B4987">
      <w:pPr>
        <w:spacing w:after="18"/>
        <w:ind w:left="709" w:right="709"/>
        <w:jc w:val="both"/>
        <w:rPr>
          <w:rFonts w:ascii="Arial" w:eastAsia="Arial" w:hAnsi="Arial" w:cs="Arial"/>
          <w:sz w:val="21"/>
          <w:szCs w:val="21"/>
        </w:rPr>
      </w:pPr>
      <w:r>
        <w:rPr>
          <w:rFonts w:ascii="Arial" w:eastAsia="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4D0DE48" w14:textId="77777777" w:rsidR="005B4987" w:rsidRDefault="005B4987" w:rsidP="005B4987">
      <w:pPr>
        <w:spacing w:before="240"/>
        <w:ind w:left="709" w:right="709"/>
        <w:jc w:val="both"/>
        <w:rPr>
          <w:rFonts w:ascii="Arial" w:eastAsia="Arial" w:hAnsi="Arial" w:cs="Arial"/>
          <w:sz w:val="21"/>
          <w:szCs w:val="21"/>
        </w:rPr>
      </w:pPr>
      <w:r>
        <w:rPr>
          <w:rFonts w:ascii="Arial" w:eastAsia="Arial" w:hAnsi="Arial" w:cs="Arial"/>
          <w:sz w:val="21"/>
          <w:szCs w:val="21"/>
        </w:rPr>
        <w:t>[…]</w:t>
      </w:r>
    </w:p>
    <w:p w14:paraId="5BEC3144" w14:textId="77777777" w:rsidR="005B4987" w:rsidRDefault="005B4987" w:rsidP="005B4987">
      <w:pPr>
        <w:ind w:left="709" w:right="709"/>
        <w:jc w:val="both"/>
        <w:rPr>
          <w:rFonts w:ascii="Arial" w:eastAsia="Arial" w:hAnsi="Arial" w:cs="Arial"/>
          <w:sz w:val="21"/>
          <w:szCs w:val="21"/>
        </w:rPr>
      </w:pPr>
    </w:p>
    <w:p w14:paraId="0F2AF7FD" w14:textId="28FC2AE0" w:rsidR="005B4987" w:rsidRDefault="005B4987" w:rsidP="005B4987">
      <w:pPr>
        <w:spacing w:after="18"/>
        <w:ind w:left="708" w:right="709"/>
        <w:jc w:val="both"/>
        <w:rPr>
          <w:rFonts w:ascii="Arial" w:eastAsia="Arial" w:hAnsi="Arial" w:cs="Arial"/>
          <w:sz w:val="21"/>
          <w:szCs w:val="21"/>
        </w:rPr>
      </w:pPr>
      <w:r>
        <w:rPr>
          <w:rFonts w:ascii="Arial" w:eastAsia="Arial" w:hAnsi="Arial" w:cs="Arial"/>
          <w:sz w:val="21"/>
          <w:szCs w:val="21"/>
        </w:rPr>
        <w:t xml:space="preserve">8. Los gobiernos nacionales, departamentales, distritales y </w:t>
      </w:r>
      <w:proofErr w:type="gramStart"/>
      <w:r>
        <w:rPr>
          <w:rFonts w:ascii="Arial" w:eastAsia="Arial" w:hAnsi="Arial" w:cs="Arial"/>
          <w:sz w:val="21"/>
          <w:szCs w:val="21"/>
        </w:rPr>
        <w:t>municipales,</w:t>
      </w:r>
      <w:proofErr w:type="gramEnd"/>
      <w:r>
        <w:rPr>
          <w:rFonts w:ascii="Arial" w:eastAsia="Arial" w:hAnsi="Arial" w:cs="Arial"/>
          <w:sz w:val="21"/>
          <w:szCs w:val="21"/>
        </w:rPr>
        <w:t xml:space="preserve"> deberán fijar mediante decreto reglamentario, en los procesos de selección de los </w:t>
      </w:r>
      <w:r>
        <w:rPr>
          <w:rFonts w:ascii="Arial" w:eastAsia="Arial" w:hAnsi="Arial" w:cs="Arial"/>
          <w:sz w:val="21"/>
          <w:szCs w:val="21"/>
        </w:rPr>
        <w:lastRenderedPageBreak/>
        <w:t>contratistas y proveedores, un sistema de preferencias a favor de las personas con discapacidad.</w:t>
      </w:r>
    </w:p>
    <w:p w14:paraId="7E78692B" w14:textId="77777777" w:rsidR="005B4987" w:rsidRDefault="005B4987" w:rsidP="005B4987">
      <w:pPr>
        <w:spacing w:after="18" w:line="276" w:lineRule="auto"/>
        <w:jc w:val="both"/>
        <w:rPr>
          <w:rFonts w:ascii="Arial" w:eastAsia="Arial" w:hAnsi="Arial" w:cs="Arial"/>
          <w:sz w:val="22"/>
          <w:szCs w:val="22"/>
        </w:rPr>
      </w:pPr>
      <w:r>
        <w:rPr>
          <w:rFonts w:ascii="Arial" w:eastAsia="Arial" w:hAnsi="Arial" w:cs="Arial"/>
          <w:sz w:val="22"/>
          <w:szCs w:val="22"/>
        </w:rPr>
        <w:t xml:space="preserve">  </w:t>
      </w:r>
    </w:p>
    <w:p w14:paraId="6C6782AA" w14:textId="77777777" w:rsidR="005B4987" w:rsidRDefault="005B4987" w:rsidP="005B4987">
      <w:pPr>
        <w:spacing w:line="276" w:lineRule="auto"/>
        <w:ind w:firstLine="709"/>
        <w:jc w:val="both"/>
        <w:rPr>
          <w:rFonts w:ascii="Arial" w:eastAsia="Arial" w:hAnsi="Arial" w:cs="Arial"/>
          <w:sz w:val="22"/>
          <w:szCs w:val="22"/>
        </w:rPr>
      </w:pPr>
      <w:r>
        <w:rPr>
          <w:rFonts w:ascii="Arial" w:eastAsia="Arial" w:hAnsi="Arial" w:cs="Arial"/>
          <w:sz w:val="22"/>
          <w:szCs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contar dentro su nómina con personas en situación de discapacidad. </w:t>
      </w:r>
    </w:p>
    <w:p w14:paraId="5A0CB143"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33F93AC5" w14:textId="77777777" w:rsidR="005B4987" w:rsidRDefault="005B4987" w:rsidP="005B4987">
      <w:pPr>
        <w:spacing w:after="18"/>
        <w:jc w:val="both"/>
        <w:rPr>
          <w:rFonts w:ascii="Arial" w:eastAsia="Arial" w:hAnsi="Arial" w:cs="Arial"/>
          <w:sz w:val="20"/>
          <w:szCs w:val="20"/>
        </w:rPr>
      </w:pPr>
    </w:p>
    <w:p w14:paraId="7B5072D3" w14:textId="77777777" w:rsidR="005B4987" w:rsidRDefault="005B4987" w:rsidP="005B4987">
      <w:pPr>
        <w:spacing w:after="18"/>
        <w:ind w:left="709" w:right="709"/>
        <w:jc w:val="both"/>
        <w:rPr>
          <w:rFonts w:ascii="Arial" w:eastAsia="Arial" w:hAnsi="Arial" w:cs="Arial"/>
          <w:sz w:val="21"/>
          <w:szCs w:val="21"/>
        </w:rPr>
      </w:pPr>
      <w:r>
        <w:rPr>
          <w:rFonts w:ascii="Arial" w:eastAsia="Arial" w:hAnsi="Arial" w:cs="Arial"/>
          <w:sz w:val="21"/>
          <w:szCs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585211FF" w14:textId="77777777" w:rsidR="005B4987" w:rsidRDefault="005B4987" w:rsidP="005B4987">
      <w:pPr>
        <w:spacing w:after="18"/>
        <w:ind w:left="709" w:right="709"/>
        <w:jc w:val="both"/>
        <w:rPr>
          <w:rFonts w:ascii="Arial" w:eastAsia="Arial" w:hAnsi="Arial" w:cs="Arial"/>
          <w:i/>
          <w:sz w:val="21"/>
          <w:szCs w:val="21"/>
        </w:rPr>
      </w:pPr>
    </w:p>
    <w:p w14:paraId="5F893B87" w14:textId="77777777" w:rsidR="005B4987" w:rsidRDefault="005B4987" w:rsidP="005B4987">
      <w:pPr>
        <w:spacing w:after="18"/>
        <w:ind w:left="709" w:right="709"/>
        <w:jc w:val="both"/>
        <w:rPr>
          <w:rFonts w:ascii="Arial" w:eastAsia="Arial" w:hAnsi="Arial" w:cs="Arial"/>
          <w:sz w:val="21"/>
          <w:szCs w:val="21"/>
        </w:rPr>
      </w:pPr>
      <w:r>
        <w:rPr>
          <w:rFonts w:ascii="Arial" w:eastAsia="Arial" w:hAnsi="Arial" w:cs="Arial"/>
          <w:sz w:val="21"/>
          <w:szCs w:val="21"/>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2EBD865B" w14:textId="77777777" w:rsidR="005B4987" w:rsidRDefault="005B4987" w:rsidP="005B4987">
      <w:pPr>
        <w:spacing w:after="18"/>
        <w:ind w:left="709" w:right="709"/>
        <w:jc w:val="both"/>
        <w:rPr>
          <w:rFonts w:ascii="Arial" w:eastAsia="Arial" w:hAnsi="Arial" w:cs="Arial"/>
          <w:sz w:val="21"/>
          <w:szCs w:val="21"/>
        </w:rPr>
      </w:pPr>
    </w:p>
    <w:p w14:paraId="37D82282" w14:textId="77777777" w:rsidR="005B4987" w:rsidRDefault="005B4987" w:rsidP="005B4987">
      <w:pPr>
        <w:spacing w:after="18"/>
        <w:ind w:left="709" w:right="709"/>
        <w:jc w:val="both"/>
        <w:rPr>
          <w:rFonts w:ascii="Arial" w:eastAsia="Arial" w:hAnsi="Arial" w:cs="Arial"/>
          <w:sz w:val="21"/>
          <w:szCs w:val="21"/>
        </w:rPr>
      </w:pPr>
      <w:r>
        <w:rPr>
          <w:rFonts w:ascii="Arial" w:eastAsia="Arial" w:hAnsi="Arial" w:cs="Arial"/>
          <w:sz w:val="21"/>
          <w:szCs w:val="21"/>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79B099B5" w14:textId="77777777" w:rsidR="005B4987" w:rsidRDefault="005B4987" w:rsidP="005B4987">
      <w:pPr>
        <w:spacing w:after="18"/>
        <w:ind w:left="709" w:right="709"/>
        <w:jc w:val="both"/>
        <w:rPr>
          <w:rFonts w:ascii="Arial" w:eastAsia="Arial" w:hAnsi="Arial" w:cs="Arial"/>
          <w:sz w:val="21"/>
          <w:szCs w:val="21"/>
        </w:rPr>
      </w:pPr>
    </w:p>
    <w:tbl>
      <w:tblPr>
        <w:tblStyle w:val="a0"/>
        <w:tblW w:w="6135"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393"/>
        <w:gridCol w:w="2742"/>
      </w:tblGrid>
      <w:tr w:rsidR="005B4987" w14:paraId="2A768504" w14:textId="77777777" w:rsidTr="0036760E">
        <w:trPr>
          <w:trHeight w:val="210"/>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0705B5B6" w14:textId="77777777" w:rsidR="005B4987" w:rsidRDefault="005B4987" w:rsidP="0036760E">
            <w:pPr>
              <w:jc w:val="center"/>
              <w:rPr>
                <w:rFonts w:ascii="Arial" w:eastAsia="Arial" w:hAnsi="Arial" w:cs="Arial"/>
                <w:b/>
                <w:sz w:val="21"/>
                <w:szCs w:val="21"/>
              </w:rPr>
            </w:pPr>
            <w:r>
              <w:rPr>
                <w:rFonts w:ascii="Arial" w:eastAsia="Arial" w:hAnsi="Arial" w:cs="Arial"/>
                <w:b/>
                <w:sz w:val="21"/>
                <w:szCs w:val="21"/>
              </w:rPr>
              <w:t>Número total de trabajadores de la planta de personal del proponente </w:t>
            </w:r>
          </w:p>
        </w:tc>
        <w:tc>
          <w:tcPr>
            <w:tcW w:w="2742" w:type="dxa"/>
            <w:tcBorders>
              <w:top w:val="single" w:sz="6" w:space="0" w:color="000000"/>
              <w:left w:val="single" w:sz="6" w:space="0" w:color="000000"/>
              <w:bottom w:val="single" w:sz="6" w:space="0" w:color="000000"/>
              <w:right w:val="single" w:sz="6" w:space="0" w:color="000000"/>
            </w:tcBorders>
            <w:vAlign w:val="center"/>
          </w:tcPr>
          <w:p w14:paraId="0118AB76" w14:textId="77777777" w:rsidR="005B4987" w:rsidRDefault="005B4987" w:rsidP="0036760E">
            <w:pPr>
              <w:jc w:val="center"/>
              <w:rPr>
                <w:rFonts w:ascii="Arial" w:eastAsia="Arial" w:hAnsi="Arial" w:cs="Arial"/>
                <w:b/>
                <w:sz w:val="21"/>
                <w:szCs w:val="21"/>
              </w:rPr>
            </w:pPr>
            <w:r>
              <w:rPr>
                <w:rFonts w:ascii="Arial" w:eastAsia="Arial" w:hAnsi="Arial" w:cs="Arial"/>
                <w:b/>
                <w:sz w:val="21"/>
                <w:szCs w:val="21"/>
              </w:rPr>
              <w:t>Número mínimo de trabajadores con discapacidad exigido </w:t>
            </w:r>
          </w:p>
        </w:tc>
      </w:tr>
      <w:tr w:rsidR="005B4987" w14:paraId="1E671868" w14:textId="77777777" w:rsidTr="0036760E">
        <w:trPr>
          <w:trHeight w:val="105"/>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1FD9B84F" w14:textId="77777777" w:rsidR="005B4987" w:rsidRDefault="005B4987" w:rsidP="0036760E">
            <w:pPr>
              <w:rPr>
                <w:rFonts w:ascii="Arial" w:eastAsia="Arial" w:hAnsi="Arial" w:cs="Arial"/>
                <w:sz w:val="21"/>
                <w:szCs w:val="21"/>
              </w:rPr>
            </w:pPr>
            <w:r>
              <w:rPr>
                <w:rFonts w:ascii="Arial" w:eastAsia="Arial" w:hAnsi="Arial" w:cs="Arial"/>
                <w:sz w:val="21"/>
                <w:szCs w:val="21"/>
              </w:rPr>
              <w:t>Entre 1 y 30 </w:t>
            </w:r>
          </w:p>
        </w:tc>
        <w:tc>
          <w:tcPr>
            <w:tcW w:w="2742" w:type="dxa"/>
            <w:tcBorders>
              <w:top w:val="single" w:sz="6" w:space="0" w:color="000000"/>
              <w:left w:val="single" w:sz="6" w:space="0" w:color="000000"/>
              <w:bottom w:val="single" w:sz="6" w:space="0" w:color="000000"/>
              <w:right w:val="single" w:sz="6" w:space="0" w:color="000000"/>
            </w:tcBorders>
            <w:vAlign w:val="center"/>
          </w:tcPr>
          <w:p w14:paraId="7E80631C" w14:textId="77777777" w:rsidR="005B4987" w:rsidRDefault="005B4987" w:rsidP="0036760E">
            <w:pPr>
              <w:jc w:val="center"/>
              <w:rPr>
                <w:rFonts w:ascii="Arial" w:eastAsia="Arial" w:hAnsi="Arial" w:cs="Arial"/>
                <w:sz w:val="21"/>
                <w:szCs w:val="21"/>
              </w:rPr>
            </w:pPr>
            <w:r>
              <w:rPr>
                <w:rFonts w:ascii="Arial" w:eastAsia="Arial" w:hAnsi="Arial" w:cs="Arial"/>
                <w:sz w:val="21"/>
                <w:szCs w:val="21"/>
              </w:rPr>
              <w:t>1 </w:t>
            </w:r>
          </w:p>
        </w:tc>
      </w:tr>
      <w:tr w:rsidR="005B4987" w14:paraId="1B08B389" w14:textId="77777777" w:rsidTr="0036760E">
        <w:trPr>
          <w:trHeight w:val="105"/>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742006F3" w14:textId="77777777" w:rsidR="005B4987" w:rsidRDefault="005B4987" w:rsidP="0036760E">
            <w:pPr>
              <w:rPr>
                <w:rFonts w:ascii="Arial" w:eastAsia="Arial" w:hAnsi="Arial" w:cs="Arial"/>
                <w:sz w:val="21"/>
                <w:szCs w:val="21"/>
              </w:rPr>
            </w:pPr>
            <w:r>
              <w:rPr>
                <w:rFonts w:ascii="Arial" w:eastAsia="Arial" w:hAnsi="Arial" w:cs="Arial"/>
                <w:sz w:val="21"/>
                <w:szCs w:val="21"/>
              </w:rPr>
              <w:t>Entre 31 y 100 </w:t>
            </w:r>
          </w:p>
        </w:tc>
        <w:tc>
          <w:tcPr>
            <w:tcW w:w="2742" w:type="dxa"/>
            <w:tcBorders>
              <w:top w:val="single" w:sz="6" w:space="0" w:color="000000"/>
              <w:left w:val="single" w:sz="6" w:space="0" w:color="000000"/>
              <w:bottom w:val="single" w:sz="6" w:space="0" w:color="000000"/>
              <w:right w:val="single" w:sz="6" w:space="0" w:color="000000"/>
            </w:tcBorders>
            <w:vAlign w:val="center"/>
          </w:tcPr>
          <w:p w14:paraId="0BB788D3" w14:textId="77777777" w:rsidR="005B4987" w:rsidRDefault="005B4987" w:rsidP="0036760E">
            <w:pPr>
              <w:jc w:val="center"/>
              <w:rPr>
                <w:rFonts w:ascii="Arial" w:eastAsia="Arial" w:hAnsi="Arial" w:cs="Arial"/>
                <w:sz w:val="21"/>
                <w:szCs w:val="21"/>
              </w:rPr>
            </w:pPr>
            <w:r>
              <w:rPr>
                <w:rFonts w:ascii="Arial" w:eastAsia="Arial" w:hAnsi="Arial" w:cs="Arial"/>
                <w:sz w:val="21"/>
                <w:szCs w:val="21"/>
              </w:rPr>
              <w:t>2 </w:t>
            </w:r>
          </w:p>
        </w:tc>
      </w:tr>
      <w:tr w:rsidR="005B4987" w14:paraId="01BA1468" w14:textId="77777777" w:rsidTr="0036760E">
        <w:trPr>
          <w:trHeight w:val="105"/>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37DC610B" w14:textId="77777777" w:rsidR="005B4987" w:rsidRDefault="005B4987" w:rsidP="0036760E">
            <w:pPr>
              <w:rPr>
                <w:rFonts w:ascii="Arial" w:eastAsia="Arial" w:hAnsi="Arial" w:cs="Arial"/>
                <w:sz w:val="21"/>
                <w:szCs w:val="21"/>
              </w:rPr>
            </w:pPr>
            <w:r>
              <w:rPr>
                <w:rFonts w:ascii="Arial" w:eastAsia="Arial" w:hAnsi="Arial" w:cs="Arial"/>
                <w:sz w:val="21"/>
                <w:szCs w:val="21"/>
              </w:rPr>
              <w:lastRenderedPageBreak/>
              <w:t>Entre 101 y 150 </w:t>
            </w:r>
          </w:p>
        </w:tc>
        <w:tc>
          <w:tcPr>
            <w:tcW w:w="2742" w:type="dxa"/>
            <w:tcBorders>
              <w:top w:val="single" w:sz="6" w:space="0" w:color="000000"/>
              <w:left w:val="single" w:sz="6" w:space="0" w:color="000000"/>
              <w:bottom w:val="single" w:sz="6" w:space="0" w:color="000000"/>
              <w:right w:val="single" w:sz="6" w:space="0" w:color="000000"/>
            </w:tcBorders>
            <w:vAlign w:val="center"/>
          </w:tcPr>
          <w:p w14:paraId="1C83A768" w14:textId="77777777" w:rsidR="005B4987" w:rsidRDefault="005B4987" w:rsidP="0036760E">
            <w:pPr>
              <w:jc w:val="center"/>
              <w:rPr>
                <w:rFonts w:ascii="Arial" w:eastAsia="Arial" w:hAnsi="Arial" w:cs="Arial"/>
                <w:sz w:val="21"/>
                <w:szCs w:val="21"/>
              </w:rPr>
            </w:pPr>
            <w:r>
              <w:rPr>
                <w:rFonts w:ascii="Arial" w:eastAsia="Arial" w:hAnsi="Arial" w:cs="Arial"/>
                <w:sz w:val="21"/>
                <w:szCs w:val="21"/>
              </w:rPr>
              <w:t>3 </w:t>
            </w:r>
          </w:p>
        </w:tc>
      </w:tr>
      <w:tr w:rsidR="005B4987" w14:paraId="16EB0EE2" w14:textId="77777777" w:rsidTr="0036760E">
        <w:trPr>
          <w:trHeight w:val="105"/>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5AAD822B" w14:textId="77777777" w:rsidR="005B4987" w:rsidRDefault="005B4987" w:rsidP="0036760E">
            <w:pPr>
              <w:rPr>
                <w:rFonts w:ascii="Arial" w:eastAsia="Arial" w:hAnsi="Arial" w:cs="Arial"/>
                <w:sz w:val="21"/>
                <w:szCs w:val="21"/>
              </w:rPr>
            </w:pPr>
            <w:r>
              <w:rPr>
                <w:rFonts w:ascii="Arial" w:eastAsia="Arial" w:hAnsi="Arial" w:cs="Arial"/>
                <w:sz w:val="21"/>
                <w:szCs w:val="21"/>
              </w:rPr>
              <w:t>Entre 151 y 200 </w:t>
            </w:r>
          </w:p>
        </w:tc>
        <w:tc>
          <w:tcPr>
            <w:tcW w:w="2742" w:type="dxa"/>
            <w:tcBorders>
              <w:top w:val="single" w:sz="6" w:space="0" w:color="000000"/>
              <w:left w:val="single" w:sz="6" w:space="0" w:color="000000"/>
              <w:bottom w:val="single" w:sz="6" w:space="0" w:color="000000"/>
              <w:right w:val="single" w:sz="6" w:space="0" w:color="000000"/>
            </w:tcBorders>
            <w:vAlign w:val="center"/>
          </w:tcPr>
          <w:p w14:paraId="4D6781CA" w14:textId="77777777" w:rsidR="005B4987" w:rsidRDefault="005B4987" w:rsidP="0036760E">
            <w:pPr>
              <w:jc w:val="center"/>
              <w:rPr>
                <w:rFonts w:ascii="Arial" w:eastAsia="Arial" w:hAnsi="Arial" w:cs="Arial"/>
                <w:sz w:val="21"/>
                <w:szCs w:val="21"/>
              </w:rPr>
            </w:pPr>
            <w:r>
              <w:rPr>
                <w:rFonts w:ascii="Arial" w:eastAsia="Arial" w:hAnsi="Arial" w:cs="Arial"/>
                <w:sz w:val="21"/>
                <w:szCs w:val="21"/>
              </w:rPr>
              <w:t>4 </w:t>
            </w:r>
          </w:p>
        </w:tc>
      </w:tr>
      <w:tr w:rsidR="005B4987" w14:paraId="2205B334" w14:textId="77777777" w:rsidTr="0036760E">
        <w:trPr>
          <w:trHeight w:val="99"/>
          <w:jc w:val="center"/>
        </w:trPr>
        <w:tc>
          <w:tcPr>
            <w:tcW w:w="3394" w:type="dxa"/>
            <w:tcBorders>
              <w:top w:val="single" w:sz="6" w:space="0" w:color="000000"/>
              <w:left w:val="single" w:sz="6" w:space="0" w:color="000000"/>
              <w:bottom w:val="single" w:sz="6" w:space="0" w:color="000000"/>
              <w:right w:val="single" w:sz="6" w:space="0" w:color="000000"/>
            </w:tcBorders>
            <w:vAlign w:val="center"/>
          </w:tcPr>
          <w:p w14:paraId="52A6A82D" w14:textId="77777777" w:rsidR="005B4987" w:rsidRDefault="005B4987" w:rsidP="0036760E">
            <w:pPr>
              <w:rPr>
                <w:rFonts w:ascii="Arial" w:eastAsia="Arial" w:hAnsi="Arial" w:cs="Arial"/>
                <w:sz w:val="21"/>
                <w:szCs w:val="21"/>
              </w:rPr>
            </w:pPr>
            <w:r>
              <w:rPr>
                <w:rFonts w:ascii="Arial" w:eastAsia="Arial" w:hAnsi="Arial" w:cs="Arial"/>
                <w:sz w:val="21"/>
                <w:szCs w:val="21"/>
              </w:rPr>
              <w:t>Más de 200 </w:t>
            </w:r>
          </w:p>
        </w:tc>
        <w:tc>
          <w:tcPr>
            <w:tcW w:w="2742" w:type="dxa"/>
            <w:tcBorders>
              <w:top w:val="single" w:sz="6" w:space="0" w:color="000000"/>
              <w:left w:val="single" w:sz="6" w:space="0" w:color="000000"/>
              <w:bottom w:val="single" w:sz="6" w:space="0" w:color="000000"/>
              <w:right w:val="single" w:sz="6" w:space="0" w:color="000000"/>
            </w:tcBorders>
            <w:vAlign w:val="center"/>
          </w:tcPr>
          <w:p w14:paraId="5E8EA967" w14:textId="77777777" w:rsidR="005B4987" w:rsidRDefault="005B4987" w:rsidP="0036760E">
            <w:pPr>
              <w:jc w:val="center"/>
              <w:rPr>
                <w:rFonts w:ascii="Arial" w:eastAsia="Arial" w:hAnsi="Arial" w:cs="Arial"/>
                <w:sz w:val="21"/>
                <w:szCs w:val="21"/>
              </w:rPr>
            </w:pPr>
            <w:r>
              <w:rPr>
                <w:rFonts w:ascii="Arial" w:eastAsia="Arial" w:hAnsi="Arial" w:cs="Arial"/>
                <w:sz w:val="21"/>
                <w:szCs w:val="21"/>
              </w:rPr>
              <w:t>5 </w:t>
            </w:r>
          </w:p>
        </w:tc>
      </w:tr>
    </w:tbl>
    <w:p w14:paraId="4FB8A31D" w14:textId="77777777" w:rsidR="005B4987" w:rsidRDefault="005B4987" w:rsidP="005B4987">
      <w:pPr>
        <w:spacing w:after="18"/>
        <w:ind w:left="709" w:right="709"/>
        <w:jc w:val="both"/>
        <w:rPr>
          <w:rFonts w:ascii="Arial" w:eastAsia="Arial" w:hAnsi="Arial" w:cs="Arial"/>
          <w:sz w:val="21"/>
          <w:szCs w:val="21"/>
        </w:rPr>
      </w:pPr>
    </w:p>
    <w:p w14:paraId="7956657A" w14:textId="77777777" w:rsidR="005B4987" w:rsidRDefault="005B4987" w:rsidP="005B4987">
      <w:pPr>
        <w:spacing w:before="120" w:line="276" w:lineRule="auto"/>
        <w:ind w:firstLine="709"/>
        <w:jc w:val="both"/>
        <w:rPr>
          <w:rFonts w:ascii="Arial" w:eastAsia="Arial" w:hAnsi="Arial" w:cs="Arial"/>
          <w:sz w:val="22"/>
          <w:szCs w:val="22"/>
        </w:rPr>
      </w:pPr>
      <w:bookmarkStart w:id="2" w:name="_1fob9te" w:colFirst="0" w:colLast="0"/>
      <w:bookmarkEnd w:id="2"/>
      <w:r>
        <w:rPr>
          <w:rFonts w:ascii="Arial" w:eastAsia="Arial" w:hAnsi="Arial" w:cs="Arial"/>
          <w:sz w:val="22"/>
          <w:szCs w:val="22"/>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Pr>
          <w:rFonts w:ascii="Arial" w:eastAsia="Arial" w:hAnsi="Arial" w:cs="Arial"/>
          <w:sz w:val="22"/>
          <w:szCs w:val="22"/>
        </w:rPr>
        <w:t>ii</w:t>
      </w:r>
      <w:proofErr w:type="spellEnd"/>
      <w:r>
        <w:rPr>
          <w:rFonts w:ascii="Arial" w:eastAsia="Arial" w:hAnsi="Arial" w:cs="Arial"/>
          <w:sz w:val="22"/>
          <w:szCs w:val="22"/>
        </w:rPr>
        <w:t xml:space="preserve">) el número mínimo de personas con discapacidad en su planta de personal. </w:t>
      </w:r>
    </w:p>
    <w:p w14:paraId="027FE047"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Para el </w:t>
      </w:r>
      <w:r>
        <w:rPr>
          <w:rFonts w:ascii="Arial" w:eastAsia="Arial" w:hAnsi="Arial" w:cs="Arial"/>
          <w:i/>
          <w:sz w:val="22"/>
          <w:szCs w:val="22"/>
        </w:rPr>
        <w:t>primer requisito</w:t>
      </w:r>
      <w:r>
        <w:rPr>
          <w:rFonts w:ascii="Arial" w:eastAsia="Arial" w:hAnsi="Arial" w:cs="Arial"/>
          <w:sz w:val="22"/>
          <w:szCs w:val="22"/>
        </w:rPr>
        <w:t>,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7ECBA715"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Para el caso de proponentes singulares, la acreditación de tal situación se realizará a través de certificación emitida por: i) la persona natural o </w:t>
      </w:r>
      <w:proofErr w:type="spellStart"/>
      <w:r>
        <w:rPr>
          <w:rFonts w:ascii="Arial" w:eastAsia="Arial" w:hAnsi="Arial" w:cs="Arial"/>
          <w:sz w:val="22"/>
          <w:szCs w:val="22"/>
        </w:rPr>
        <w:t>ii</w:t>
      </w:r>
      <w:proofErr w:type="spellEnd"/>
      <w:r>
        <w:rPr>
          <w:rFonts w:ascii="Arial" w:eastAsia="Arial" w:hAnsi="Arial" w:cs="Arial"/>
          <w:sz w:val="22"/>
          <w:szCs w:val="22"/>
        </w:rPr>
        <w:t xml:space="preserve">) el representante legal de la persona jurídica o su revisor fiscal cuando esté obligado a tenerlo. </w:t>
      </w:r>
    </w:p>
    <w:p w14:paraId="65D5BFAC"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como mínimo el cuarenta por ciento [40%] de la experiencia requerida, como se explicará más adelante.</w:t>
      </w:r>
    </w:p>
    <w:p w14:paraId="542721BE"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7C466451"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Igualmente,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Pr>
          <w:rFonts w:ascii="Arial" w:eastAsia="Arial" w:hAnsi="Arial" w:cs="Arial"/>
          <w:i/>
          <w:sz w:val="22"/>
          <w:szCs w:val="22"/>
        </w:rPr>
        <w:t>o</w:t>
      </w:r>
      <w:r>
        <w:rPr>
          <w:rFonts w:ascii="Arial" w:eastAsia="Arial" w:hAnsi="Arial" w:cs="Arial"/>
          <w:sz w:val="22"/>
          <w:szCs w:val="22"/>
        </w:rPr>
        <w:t xml:space="preserve"> sus integrantes a la fecha de cierre del proceso de selección.</w:t>
      </w:r>
    </w:p>
    <w:p w14:paraId="33835FA7"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lastRenderedPageBreak/>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51F9569E"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Ahora, según lo previsto en el Decreto 392 de 2018 y en las normas que deben observar los revisores fiscales</w:t>
      </w:r>
      <w:r>
        <w:rPr>
          <w:rFonts w:ascii="Arial" w:eastAsia="Arial" w:hAnsi="Arial" w:cs="Arial"/>
          <w:sz w:val="22"/>
          <w:szCs w:val="22"/>
          <w:vertAlign w:val="superscript"/>
        </w:rPr>
        <w:footnoteReference w:id="11"/>
      </w:r>
      <w:r>
        <w:rPr>
          <w:rFonts w:ascii="Arial" w:eastAsia="Arial" w:hAnsi="Arial" w:cs="Arial"/>
          <w:sz w:val="22"/>
          <w:szCs w:val="22"/>
        </w:rPr>
        <w:t>, tratándose de empresas o sociedades que están obligadas a tener revisor fiscal</w:t>
      </w:r>
      <w:r>
        <w:rPr>
          <w:rFonts w:ascii="Arial" w:eastAsia="Arial" w:hAnsi="Arial" w:cs="Arial"/>
          <w:sz w:val="22"/>
          <w:szCs w:val="22"/>
          <w:vertAlign w:val="superscript"/>
        </w:rPr>
        <w:footnoteReference w:id="12"/>
      </w:r>
      <w:r>
        <w:rPr>
          <w:rFonts w:ascii="Arial" w:eastAsia="Arial" w:hAnsi="Arial" w:cs="Arial"/>
          <w:sz w:val="22"/>
          <w:szCs w:val="22"/>
        </w:rPr>
        <w:t>, este es quien tiene que certificar el número total de trabajadores vinculados a la planta de personal del proponente o sus integrantes a la fecha de cierre del proceso de selección.</w:t>
      </w:r>
    </w:p>
    <w:p w14:paraId="657CDA24" w14:textId="77777777" w:rsidR="005B4987" w:rsidRDefault="005B4987" w:rsidP="005B4987">
      <w:pPr>
        <w:spacing w:before="120" w:line="276" w:lineRule="auto"/>
        <w:ind w:firstLine="708"/>
        <w:jc w:val="both"/>
        <w:rPr>
          <w:rFonts w:ascii="Arial" w:eastAsia="Arial" w:hAnsi="Arial" w:cs="Arial"/>
          <w:sz w:val="22"/>
          <w:szCs w:val="22"/>
        </w:rPr>
      </w:pPr>
      <w:r>
        <w:rPr>
          <w:rFonts w:ascii="Arial" w:eastAsia="Arial" w:hAnsi="Arial" w:cs="Arial"/>
          <w:sz w:val="22"/>
          <w:szCs w:val="22"/>
        </w:rPr>
        <w:t xml:space="preserve">De otro lado, el parágrafo del artículo 2.2.1.2.4.2.6. establece la siguiente regla para las ofertas presentadas por proponentes plurales: </w:t>
      </w:r>
    </w:p>
    <w:p w14:paraId="01C982C1" w14:textId="77777777" w:rsidR="005B4987" w:rsidRDefault="005B4987" w:rsidP="005B4987">
      <w:pPr>
        <w:spacing w:line="276" w:lineRule="auto"/>
        <w:ind w:left="709" w:right="709"/>
        <w:jc w:val="both"/>
        <w:rPr>
          <w:rFonts w:ascii="Arial" w:eastAsia="Arial" w:hAnsi="Arial" w:cs="Arial"/>
          <w:sz w:val="21"/>
          <w:szCs w:val="21"/>
        </w:rPr>
      </w:pPr>
    </w:p>
    <w:p w14:paraId="2AA9DA44" w14:textId="77777777" w:rsidR="005B4987" w:rsidRDefault="005B4987" w:rsidP="005B4987">
      <w:pPr>
        <w:ind w:left="709" w:right="709"/>
        <w:jc w:val="both"/>
        <w:rPr>
          <w:rFonts w:ascii="Arial" w:eastAsia="Arial" w:hAnsi="Arial" w:cs="Arial"/>
          <w:sz w:val="21"/>
          <w:szCs w:val="21"/>
        </w:rPr>
      </w:pPr>
      <w:r>
        <w:rPr>
          <w:rFonts w:ascii="Arial" w:eastAsia="Arial" w:hAnsi="Arial" w:cs="Arial"/>
          <w:sz w:val="21"/>
          <w:szCs w:val="21"/>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127265D" w14:textId="77777777" w:rsidR="005B4987" w:rsidRDefault="005B4987" w:rsidP="005B4987">
      <w:pPr>
        <w:spacing w:line="276" w:lineRule="auto"/>
        <w:ind w:left="709" w:right="709"/>
        <w:jc w:val="both"/>
        <w:rPr>
          <w:rFonts w:ascii="Arial" w:eastAsia="Arial" w:hAnsi="Arial" w:cs="Arial"/>
          <w:sz w:val="22"/>
          <w:szCs w:val="22"/>
        </w:rPr>
      </w:pPr>
    </w:p>
    <w:p w14:paraId="65F7AF73"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como mínimo el cuarenta por ciento [40%] de la experiencia. En contraste, si el integrante que aporta este porcentaje no tiene vinculados trabajadores con discapacidad, </w:t>
      </w:r>
      <w:r>
        <w:rPr>
          <w:rFonts w:ascii="Arial" w:eastAsia="Arial" w:hAnsi="Arial" w:cs="Arial"/>
          <w:sz w:val="22"/>
          <w:szCs w:val="22"/>
        </w:rPr>
        <w:lastRenderedPageBreak/>
        <w:t xml:space="preserve">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6A12BDAB"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De otra parte, para acreditar el </w:t>
      </w:r>
      <w:r>
        <w:rPr>
          <w:rFonts w:ascii="Arial" w:eastAsia="Arial" w:hAnsi="Arial" w:cs="Arial"/>
          <w:i/>
          <w:sz w:val="22"/>
          <w:szCs w:val="22"/>
        </w:rPr>
        <w:t>segundo requisito</w:t>
      </w:r>
      <w:r>
        <w:rPr>
          <w:rFonts w:ascii="Arial" w:eastAsia="Arial" w:hAnsi="Arial" w:cs="Arial"/>
          <w:sz w:val="22"/>
          <w:szCs w:val="22"/>
        </w:rPr>
        <w:t>, o sea, 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6C0342BA"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De la lectura integral del artículo 2.2.1.2.4.2.6. </w:t>
      </w:r>
      <w:r>
        <w:rPr>
          <w:rFonts w:ascii="Arial" w:eastAsia="Arial" w:hAnsi="Arial" w:cs="Arial"/>
          <w:i/>
          <w:sz w:val="22"/>
          <w:szCs w:val="22"/>
        </w:rPr>
        <w:t>ibidem</w:t>
      </w:r>
      <w:r>
        <w:rPr>
          <w:rFonts w:ascii="Arial" w:eastAsia="Arial" w:hAnsi="Arial" w:cs="Arial"/>
          <w:sz w:val="22"/>
          <w:szCs w:val="22"/>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 </w:t>
      </w:r>
    </w:p>
    <w:p w14:paraId="5423D234"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Es necesario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situación de discapacidad, en los términos establecidos por el Decreto.</w:t>
      </w:r>
    </w:p>
    <w:p w14:paraId="7D43FFCF"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Ahora bien, para los fines del presente concepto, resulta importante precisar que la vinculación de personas con discapacidad también constituye un criterio de desempate de ofertas, según lo que se observa en el numeral 9 del numeral 4.6. del Documento Base, en los siguientes términos:</w:t>
      </w:r>
    </w:p>
    <w:p w14:paraId="34B9B01F" w14:textId="77777777" w:rsidR="005B4987" w:rsidRDefault="005B4987" w:rsidP="005B4987">
      <w:pPr>
        <w:spacing w:before="120" w:line="276" w:lineRule="auto"/>
        <w:ind w:firstLine="709"/>
        <w:jc w:val="both"/>
        <w:rPr>
          <w:rFonts w:ascii="Arial" w:eastAsia="Arial" w:hAnsi="Arial" w:cs="Arial"/>
          <w:sz w:val="22"/>
          <w:szCs w:val="22"/>
        </w:rPr>
      </w:pPr>
    </w:p>
    <w:p w14:paraId="52A65BEB"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4.6.</w:t>
      </w:r>
      <w:r>
        <w:rPr>
          <w:rFonts w:ascii="Arial" w:eastAsia="Arial" w:hAnsi="Arial" w:cs="Arial"/>
          <w:sz w:val="21"/>
          <w:szCs w:val="21"/>
        </w:rPr>
        <w:tab/>
        <w:t>CRITERIOS DE DESEMPATE</w:t>
      </w:r>
    </w:p>
    <w:p w14:paraId="53212B39" w14:textId="77777777" w:rsidR="005B4987" w:rsidRDefault="005B4987" w:rsidP="005B4987">
      <w:pPr>
        <w:ind w:left="709" w:right="760"/>
        <w:jc w:val="both"/>
        <w:rPr>
          <w:rFonts w:ascii="Arial" w:eastAsia="Arial" w:hAnsi="Arial" w:cs="Arial"/>
          <w:sz w:val="21"/>
          <w:szCs w:val="21"/>
        </w:rPr>
      </w:pPr>
    </w:p>
    <w:p w14:paraId="3A841647"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 xml:space="preserve">En caso de empate en el puntaje total de dos o más ofertas, la Entidad aplicará los criterios definidos en el artículo 2.2.1.1.2.2.9 del Decreto 1082 de 2015 así: </w:t>
      </w:r>
    </w:p>
    <w:p w14:paraId="78578332"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w:t>
      </w:r>
    </w:p>
    <w:p w14:paraId="50511A76" w14:textId="77777777" w:rsidR="005B4987" w:rsidRDefault="005B4987" w:rsidP="005B4987">
      <w:pPr>
        <w:ind w:left="709" w:right="760"/>
        <w:jc w:val="both"/>
        <w:rPr>
          <w:rFonts w:ascii="Arial" w:eastAsia="Arial" w:hAnsi="Arial" w:cs="Arial"/>
          <w:sz w:val="21"/>
          <w:szCs w:val="21"/>
        </w:rPr>
      </w:pPr>
    </w:p>
    <w:p w14:paraId="5271001A" w14:textId="77777777" w:rsidR="005B4987" w:rsidRDefault="005B4987" w:rsidP="005B4987">
      <w:pPr>
        <w:tabs>
          <w:tab w:val="left" w:pos="1134"/>
        </w:tabs>
        <w:ind w:left="709" w:right="760"/>
        <w:jc w:val="both"/>
        <w:rPr>
          <w:rFonts w:ascii="Arial" w:eastAsia="Arial" w:hAnsi="Arial" w:cs="Arial"/>
          <w:sz w:val="21"/>
          <w:szCs w:val="21"/>
        </w:rPr>
      </w:pPr>
      <w:r>
        <w:rPr>
          <w:rFonts w:ascii="Arial" w:eastAsia="Arial" w:hAnsi="Arial" w:cs="Arial"/>
          <w:sz w:val="21"/>
          <w:szCs w:val="21"/>
        </w:rPr>
        <w:t>9.</w:t>
      </w:r>
      <w:r>
        <w:rPr>
          <w:rFonts w:ascii="Arial" w:eastAsia="Arial" w:hAnsi="Arial" w:cs="Arial"/>
          <w:sz w:val="21"/>
          <w:szCs w:val="21"/>
        </w:rPr>
        <w:tab/>
        <w:t xml:space="preserve">Preferir la propuesta presentada por el Proponente que acredite en las condiciones establecidas en la ley que por lo menos el diez por ciento (10%) de su nómina está en condición de discapacidad a la que se refiere la Ley 361 de </w:t>
      </w:r>
      <w:r>
        <w:rPr>
          <w:rFonts w:ascii="Arial" w:eastAsia="Arial" w:hAnsi="Arial" w:cs="Arial"/>
          <w:sz w:val="21"/>
          <w:szCs w:val="21"/>
        </w:rPr>
        <w:lastRenderedPageBreak/>
        <w:t>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Formato 8 – Vinculación de personas con discapacidad. 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habilitante.</w:t>
      </w:r>
    </w:p>
    <w:p w14:paraId="541DBA1D" w14:textId="77777777" w:rsidR="005B4987" w:rsidRDefault="005B4987" w:rsidP="005B4987">
      <w:pPr>
        <w:ind w:left="709" w:right="760"/>
        <w:jc w:val="both"/>
        <w:rPr>
          <w:rFonts w:ascii="Arial" w:eastAsia="Arial" w:hAnsi="Arial" w:cs="Arial"/>
          <w:sz w:val="21"/>
          <w:szCs w:val="21"/>
        </w:rPr>
      </w:pPr>
    </w:p>
    <w:p w14:paraId="1379CE1E" w14:textId="77777777" w:rsidR="005B4987" w:rsidRDefault="005B4987" w:rsidP="005B4987">
      <w:pPr>
        <w:spacing w:line="276" w:lineRule="auto"/>
        <w:ind w:right="49" w:firstLine="709"/>
        <w:jc w:val="both"/>
        <w:rPr>
          <w:rFonts w:ascii="Arial" w:eastAsia="Arial" w:hAnsi="Arial" w:cs="Arial"/>
          <w:sz w:val="22"/>
          <w:szCs w:val="22"/>
        </w:rPr>
      </w:pPr>
      <w:r>
        <w:rPr>
          <w:rFonts w:ascii="Arial" w:eastAsia="Arial" w:hAnsi="Arial" w:cs="Arial"/>
          <w:sz w:val="22"/>
          <w:szCs w:val="22"/>
        </w:rPr>
        <w:t>El Documento Base establece dos hipótesis diferentes y para cada una de ellas establece dos estándares diferentes: por un lado, para la calificación por «Vinculación de personas con discapacidad», en donde dispone una cuadro en el que se deben verificar el «Número total de trabajadores de la planta de personal del proponente» y el «Número mínimo de trabajadores con discapacidad exigido», según la tabla transcrita en páginas anteriores; y por el otro, como factor de desempate de las propuestas, evento en el cual exige que la entidad contratante verifique que el proponente tiene «por lo menos el diez por ciento (10%) de su nómina está en condición de discapacidad».</w:t>
      </w:r>
    </w:p>
    <w:p w14:paraId="42E517BC"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Se trata, pues, de una circunstancia que sirve para obtener los puntos de calificación por «Vinculación de personas con discapacidad» y, eventualmente, como criterio de desempate. En ambos casos, la vinculación de las personas en las condiciones referidas debe estar acreditada según las exigencias referidas arriba: i) se debe acreditar el número total de trabajadores vinculados a la planta de personal, a través de la certificación expedida por la persona natural, el representante legal o el revisor fiscal, según el caso; y </w:t>
      </w:r>
      <w:proofErr w:type="spellStart"/>
      <w:r>
        <w:rPr>
          <w:rFonts w:ascii="Arial" w:eastAsia="Arial" w:hAnsi="Arial" w:cs="Arial"/>
          <w:sz w:val="22"/>
          <w:szCs w:val="22"/>
        </w:rPr>
        <w:t>ii</w:t>
      </w:r>
      <w:proofErr w:type="spellEnd"/>
      <w:r>
        <w:rPr>
          <w:rFonts w:ascii="Arial" w:eastAsia="Arial" w:hAnsi="Arial" w:cs="Arial"/>
          <w:sz w:val="22"/>
          <w:szCs w:val="22"/>
        </w:rPr>
        <w:t>) se debe probar el número mínimo de personas con discapacidad en su planta de personal, para lo que se debe aportar el certificado expedido por el Ministerio de Trabajo, vigente al cierre del proceso de selección. Esto, de acuerdo con los numerales 1 y 2 del artículo 2.2.1.2.4.2.6. del Decreto 1082 de 2015, adicionado por el artículo 1 del Decreto 392 de 2018.</w:t>
      </w:r>
    </w:p>
    <w:p w14:paraId="69CC6208" w14:textId="77777777" w:rsidR="005B4987" w:rsidRDefault="005B4987" w:rsidP="005B4987">
      <w:pPr>
        <w:spacing w:line="276" w:lineRule="auto"/>
        <w:ind w:firstLine="709"/>
        <w:jc w:val="both"/>
        <w:rPr>
          <w:rFonts w:ascii="Arial" w:eastAsia="Arial" w:hAnsi="Arial" w:cs="Arial"/>
          <w:sz w:val="22"/>
          <w:szCs w:val="22"/>
        </w:rPr>
      </w:pPr>
    </w:p>
    <w:p w14:paraId="60D9CBD5"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2.3. Cuadrillas trabajo adicional, garantía suplementaria o adicional y mantenimiento adicional como factores de calidad en los pliegos tipo de licitación pública</w:t>
      </w:r>
    </w:p>
    <w:p w14:paraId="1E6D9F0B" w14:textId="77777777" w:rsidR="005B4987" w:rsidRDefault="005B4987" w:rsidP="005B4987">
      <w:pPr>
        <w:spacing w:line="276" w:lineRule="auto"/>
        <w:jc w:val="both"/>
        <w:rPr>
          <w:rFonts w:ascii="Arial" w:eastAsia="Arial" w:hAnsi="Arial" w:cs="Arial"/>
          <w:b/>
          <w:color w:val="000000"/>
          <w:sz w:val="22"/>
          <w:szCs w:val="22"/>
        </w:rPr>
      </w:pPr>
    </w:p>
    <w:p w14:paraId="6E7B3BB7" w14:textId="77777777" w:rsidR="005B4987" w:rsidRDefault="005B4987" w:rsidP="005B4987">
      <w:pPr>
        <w:tabs>
          <w:tab w:val="left" w:pos="426"/>
        </w:tabs>
        <w:spacing w:line="276" w:lineRule="auto"/>
        <w:jc w:val="both"/>
        <w:rPr>
          <w:rFonts w:ascii="Arial" w:eastAsia="Arial" w:hAnsi="Arial" w:cs="Arial"/>
          <w:sz w:val="22"/>
          <w:szCs w:val="22"/>
        </w:rPr>
      </w:pPr>
      <w:r>
        <w:rPr>
          <w:rFonts w:ascii="Arial" w:eastAsia="Arial" w:hAnsi="Arial" w:cs="Arial"/>
          <w:sz w:val="22"/>
          <w:szCs w:val="22"/>
        </w:rPr>
        <w:t xml:space="preserve">Antes de desarrollar el tema propuesto, esta entidad estima necesario resaltar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w:t>
      </w:r>
      <w:r>
        <w:rPr>
          <w:rFonts w:ascii="Arial" w:eastAsia="Arial" w:hAnsi="Arial" w:cs="Arial"/>
          <w:sz w:val="22"/>
          <w:szCs w:val="22"/>
        </w:rPr>
        <w:lastRenderedPageBreak/>
        <w:t xml:space="preserve">2020, fueron modificados por medio de la Resolución No. 116 del 21 de julio de 2020, todas proferidas por la Agencia Nacional de Contratación Pública – Colombia Compra Eficiente. </w:t>
      </w:r>
    </w:p>
    <w:p w14:paraId="08AEC9B4" w14:textId="1C57BBF9"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términos generales, en la referida resolución se dispuso: i) que e</w:t>
      </w:r>
      <w:r w:rsidRPr="00AF1112">
        <w:rPr>
          <w:rFonts w:ascii="Arial" w:eastAsia="Arial" w:hAnsi="Arial" w:cs="Arial"/>
          <w:sz w:val="22"/>
          <w:szCs w:val="22"/>
          <w:lang w:val="es-CO"/>
        </w:rPr>
        <w:t xml:space="preserve">l ofrecimiento </w:t>
      </w:r>
      <w:r>
        <w:rPr>
          <w:rFonts w:ascii="Arial" w:eastAsia="Arial" w:hAnsi="Arial" w:cs="Arial"/>
          <w:sz w:val="22"/>
          <w:szCs w:val="22"/>
          <w:lang w:val="es-CO"/>
        </w:rPr>
        <w:t>d</w:t>
      </w:r>
      <w:r w:rsidRPr="00AF1112">
        <w:rPr>
          <w:rFonts w:ascii="Arial" w:eastAsia="Arial" w:hAnsi="Arial" w:cs="Arial"/>
          <w:sz w:val="22"/>
          <w:szCs w:val="22"/>
          <w:lang w:val="es-CO"/>
        </w:rPr>
        <w:t xml:space="preserve">el proponente </w:t>
      </w:r>
      <w:r>
        <w:rPr>
          <w:rFonts w:ascii="Arial" w:eastAsia="Arial" w:hAnsi="Arial" w:cs="Arial"/>
          <w:sz w:val="22"/>
          <w:szCs w:val="22"/>
          <w:lang w:val="es-CO"/>
        </w:rPr>
        <w:t xml:space="preserve">sobre la </w:t>
      </w:r>
      <w:r w:rsidRPr="00AF1112">
        <w:rPr>
          <w:rFonts w:ascii="Arial" w:eastAsia="Arial" w:hAnsi="Arial" w:cs="Arial"/>
          <w:sz w:val="22"/>
          <w:szCs w:val="22"/>
          <w:lang w:val="es-CO"/>
        </w:rPr>
        <w:t>«garantía suplementaria o adicional»</w:t>
      </w:r>
      <w:r>
        <w:rPr>
          <w:rFonts w:ascii="Arial" w:eastAsia="Arial" w:hAnsi="Arial" w:cs="Arial"/>
          <w:sz w:val="22"/>
          <w:szCs w:val="22"/>
          <w:lang w:val="es-CO"/>
        </w:rPr>
        <w:t xml:space="preserve"> </w:t>
      </w:r>
      <w:r w:rsidRPr="00AF1112">
        <w:rPr>
          <w:rFonts w:ascii="Arial" w:eastAsia="Arial" w:hAnsi="Arial" w:cs="Arial"/>
          <w:sz w:val="22"/>
          <w:szCs w:val="22"/>
          <w:lang w:val="es-CO"/>
        </w:rPr>
        <w:t>y el «mantenimiento adicional»</w:t>
      </w:r>
      <w:r>
        <w:rPr>
          <w:rFonts w:ascii="Arial" w:eastAsia="Arial" w:hAnsi="Arial" w:cs="Arial"/>
          <w:sz w:val="22"/>
          <w:szCs w:val="22"/>
          <w:lang w:val="es-CO"/>
        </w:rPr>
        <w:t xml:space="preserve">, </w:t>
      </w:r>
      <w:r w:rsidRPr="00AF1112">
        <w:rPr>
          <w:rFonts w:ascii="Arial" w:eastAsia="Arial" w:hAnsi="Arial" w:cs="Arial"/>
          <w:sz w:val="22"/>
          <w:szCs w:val="22"/>
          <w:lang w:val="es-CO"/>
        </w:rPr>
        <w:t>no podrá́ superar</w:t>
      </w:r>
      <w:r>
        <w:rPr>
          <w:rFonts w:ascii="Arial" w:eastAsia="Arial" w:hAnsi="Arial" w:cs="Arial"/>
          <w:sz w:val="22"/>
          <w:szCs w:val="22"/>
          <w:lang w:val="es-CO"/>
        </w:rPr>
        <w:t xml:space="preserve"> </w:t>
      </w:r>
      <w:r>
        <w:rPr>
          <w:rFonts w:ascii="Arial" w:eastAsia="Arial" w:hAnsi="Arial" w:cs="Arial"/>
          <w:sz w:val="22"/>
          <w:szCs w:val="22"/>
        </w:rPr>
        <w:t>el «[…] valor porcentual máximo entre el siguiente rango: entre el 30% y el 50% del plazo establecido por la entidad para la garantía de estabilidad y calidad de la obra […]»</w:t>
      </w:r>
      <w:r>
        <w:rPr>
          <w:rStyle w:val="Refdenotaalpie"/>
          <w:rFonts w:ascii="Arial" w:eastAsia="Arial" w:hAnsi="Arial" w:cs="Arial"/>
          <w:sz w:val="22"/>
          <w:szCs w:val="22"/>
        </w:rPr>
        <w:footnoteReference w:id="13"/>
      </w:r>
      <w:r>
        <w:rPr>
          <w:rFonts w:ascii="Arial" w:eastAsia="Arial" w:hAnsi="Arial" w:cs="Arial"/>
          <w:sz w:val="22"/>
          <w:szCs w:val="22"/>
        </w:rPr>
        <w:t xml:space="preserve">, valor porcentual que fija libremente la autoridad contratante dentro del referido rango; y </w:t>
      </w:r>
      <w:proofErr w:type="spellStart"/>
      <w:r>
        <w:rPr>
          <w:rFonts w:ascii="Arial" w:eastAsia="Arial" w:hAnsi="Arial" w:cs="Arial"/>
          <w:sz w:val="22"/>
          <w:szCs w:val="22"/>
        </w:rPr>
        <w:t>ii</w:t>
      </w:r>
      <w:proofErr w:type="spellEnd"/>
      <w:r>
        <w:rPr>
          <w:rFonts w:ascii="Arial" w:eastAsia="Arial" w:hAnsi="Arial" w:cs="Arial"/>
          <w:sz w:val="22"/>
          <w:szCs w:val="22"/>
        </w:rPr>
        <w:t xml:space="preserve">) que, </w:t>
      </w:r>
      <w:r>
        <w:rPr>
          <w:rFonts w:ascii="Arial" w:eastAsia="Arial" w:hAnsi="Arial" w:cs="Arial"/>
          <w:sz w:val="22"/>
          <w:szCs w:val="22"/>
          <w:lang w:val="es-CO"/>
        </w:rPr>
        <w:t xml:space="preserve">en relación con </w:t>
      </w:r>
      <w:r>
        <w:rPr>
          <w:rFonts w:ascii="Arial" w:eastAsia="Arial" w:hAnsi="Arial" w:cs="Arial"/>
          <w:sz w:val="22"/>
          <w:szCs w:val="22"/>
        </w:rPr>
        <w:t>las «cuadrillas de trabajo» adicionales</w:t>
      </w:r>
      <w:r>
        <w:rPr>
          <w:rFonts w:ascii="Arial" w:eastAsia="Arial" w:hAnsi="Arial" w:cs="Arial"/>
          <w:sz w:val="22"/>
          <w:szCs w:val="22"/>
          <w:lang w:val="es-CO"/>
        </w:rPr>
        <w:t>, l</w:t>
      </w:r>
      <w:r>
        <w:rPr>
          <w:rFonts w:ascii="Arial" w:eastAsia="Arial" w:hAnsi="Arial" w:cs="Arial"/>
          <w:sz w:val="22"/>
          <w:szCs w:val="22"/>
        </w:rPr>
        <w:t>as entidades deben elegir si establecen un estimado de frentes de trabajo o si no lo establecen, pues, en el primer evento, «</w:t>
      </w:r>
      <w:r>
        <w:rPr>
          <w:rFonts w:ascii="ArialMT" w:hAnsi="ArialMT"/>
          <w:sz w:val="22"/>
          <w:szCs w:val="22"/>
        </w:rPr>
        <w:t>[e]</w:t>
      </w:r>
      <w:r w:rsidRPr="00FA45E7">
        <w:rPr>
          <w:rFonts w:ascii="ArialMT" w:hAnsi="ArialMT"/>
          <w:sz w:val="22"/>
          <w:szCs w:val="22"/>
        </w:rPr>
        <w:t xml:space="preserve">l proponente </w:t>
      </w:r>
      <w:proofErr w:type="spellStart"/>
      <w:r w:rsidRPr="00FA45E7">
        <w:rPr>
          <w:rFonts w:ascii="ArialMT" w:hAnsi="ArialMT"/>
          <w:sz w:val="22"/>
          <w:szCs w:val="22"/>
        </w:rPr>
        <w:t>podra</w:t>
      </w:r>
      <w:proofErr w:type="spellEnd"/>
      <w:r w:rsidRPr="00FA45E7">
        <w:rPr>
          <w:rFonts w:ascii="ArialMT" w:hAnsi="ArialMT"/>
          <w:sz w:val="22"/>
          <w:szCs w:val="22"/>
        </w:rPr>
        <w:t>́ ofrecer hasta máximo 2 cuadrillas por cada frente de trabajo</w:t>
      </w:r>
      <w:r>
        <w:rPr>
          <w:rFonts w:ascii="ArialMT" w:hAnsi="ArialMT"/>
          <w:sz w:val="22"/>
          <w:szCs w:val="22"/>
        </w:rPr>
        <w:t>»</w:t>
      </w:r>
      <w:r>
        <w:rPr>
          <w:rStyle w:val="Refdenotaalpie"/>
          <w:rFonts w:ascii="ArialMT" w:hAnsi="ArialMT"/>
          <w:sz w:val="22"/>
          <w:szCs w:val="22"/>
        </w:rPr>
        <w:footnoteReference w:id="14"/>
      </w:r>
      <w:r>
        <w:rPr>
          <w:rFonts w:ascii="ArialMT" w:hAnsi="ArialMT"/>
          <w:sz w:val="22"/>
          <w:szCs w:val="22"/>
        </w:rPr>
        <w:t>, mientras que en el segundo, «[…]</w:t>
      </w:r>
      <w:r w:rsidRPr="00B21E3B">
        <w:rPr>
          <w:rFonts w:ascii="ArialMT" w:hAnsi="ArialMT"/>
          <w:sz w:val="22"/>
          <w:szCs w:val="22"/>
        </w:rPr>
        <w:t xml:space="preserve"> </w:t>
      </w:r>
      <w:proofErr w:type="spellStart"/>
      <w:r w:rsidRPr="00B21E3B">
        <w:rPr>
          <w:rFonts w:ascii="ArialMT" w:hAnsi="ArialMT"/>
          <w:sz w:val="22"/>
          <w:szCs w:val="22"/>
        </w:rPr>
        <w:t>ofrecera</w:t>
      </w:r>
      <w:proofErr w:type="spellEnd"/>
      <w:r w:rsidRPr="00B21E3B">
        <w:rPr>
          <w:rFonts w:ascii="ArialMT" w:hAnsi="ArialMT"/>
          <w:sz w:val="22"/>
          <w:szCs w:val="22"/>
        </w:rPr>
        <w:t>́ 1 cuadrilla adicional por cada 50 obreros que sean requeridos para el proyecto de infraestructura de transporte</w:t>
      </w:r>
      <w:r>
        <w:rPr>
          <w:rFonts w:ascii="ArialMT" w:hAnsi="ArialMT"/>
          <w:sz w:val="22"/>
          <w:szCs w:val="22"/>
        </w:rPr>
        <w:t>»</w:t>
      </w:r>
      <w:r>
        <w:rPr>
          <w:rStyle w:val="Refdenotaalpie"/>
          <w:rFonts w:ascii="ArialMT" w:hAnsi="ArialMT"/>
          <w:sz w:val="22"/>
          <w:szCs w:val="22"/>
        </w:rPr>
        <w:footnoteReference w:id="15"/>
      </w:r>
      <w:r>
        <w:rPr>
          <w:rFonts w:ascii="ArialMT" w:hAnsi="ArialMT"/>
          <w:sz w:val="22"/>
          <w:szCs w:val="22"/>
        </w:rPr>
        <w:t>.</w:t>
      </w:r>
    </w:p>
    <w:p w14:paraId="347CB95C"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No </w:t>
      </w:r>
      <w:proofErr w:type="gramStart"/>
      <w:r>
        <w:rPr>
          <w:rFonts w:ascii="Arial" w:eastAsia="Arial" w:hAnsi="Arial" w:cs="Arial"/>
          <w:sz w:val="22"/>
          <w:szCs w:val="22"/>
        </w:rPr>
        <w:t>obstante</w:t>
      </w:r>
      <w:proofErr w:type="gramEnd"/>
      <w:r>
        <w:rPr>
          <w:rFonts w:ascii="Arial" w:eastAsia="Arial" w:hAnsi="Arial" w:cs="Arial"/>
          <w:sz w:val="22"/>
          <w:szCs w:val="22"/>
        </w:rPr>
        <w:t xml:space="preserve"> lo anterior, teniendo en cuenta que la resolución antes comentada entró en vigencia el 21 de julio de 2020, y que la consulta de la referencia fue radicada el 9 de julio pasado, aquella no se tendrá en cuenta como parámetro para resolver las preguntas </w:t>
      </w:r>
      <w:r>
        <w:rPr>
          <w:rFonts w:ascii="Arial" w:eastAsia="Arial" w:hAnsi="Arial" w:cs="Arial"/>
          <w:i/>
          <w:sz w:val="22"/>
          <w:szCs w:val="22"/>
        </w:rPr>
        <w:t>sub examine</w:t>
      </w:r>
      <w:r>
        <w:rPr>
          <w:rFonts w:ascii="Arial" w:eastAsia="Arial" w:hAnsi="Arial" w:cs="Arial"/>
          <w:sz w:val="22"/>
          <w:szCs w:val="22"/>
        </w:rPr>
        <w:t>.</w:t>
      </w:r>
    </w:p>
    <w:p w14:paraId="2FDFD664"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Teniendo en cuenta lo anterior, se tiene que, en relación con el «factor de calidad», 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w:t>
      </w:r>
      <w:proofErr w:type="spellStart"/>
      <w:r>
        <w:rPr>
          <w:rFonts w:ascii="Arial" w:eastAsia="Arial" w:hAnsi="Arial" w:cs="Arial"/>
          <w:sz w:val="22"/>
          <w:szCs w:val="22"/>
        </w:rPr>
        <w:t>ii</w:t>
      </w:r>
      <w:proofErr w:type="spellEnd"/>
      <w:r>
        <w:rPr>
          <w:rFonts w:ascii="Arial" w:eastAsia="Arial" w:hAnsi="Arial" w:cs="Arial"/>
          <w:sz w:val="22"/>
          <w:szCs w:val="22"/>
        </w:rPr>
        <w:t xml:space="preserve">) el ofrecimiento de cuadrillas de trabajo adicional a costo y riesgo del contratista y </w:t>
      </w:r>
      <w:proofErr w:type="spellStart"/>
      <w:r>
        <w:rPr>
          <w:rFonts w:ascii="Arial" w:eastAsia="Arial" w:hAnsi="Arial" w:cs="Arial"/>
          <w:sz w:val="22"/>
          <w:szCs w:val="22"/>
        </w:rPr>
        <w:t>iii</w:t>
      </w:r>
      <w:proofErr w:type="spellEnd"/>
      <w:r>
        <w:rPr>
          <w:rFonts w:ascii="Arial" w:eastAsia="Arial" w:hAnsi="Arial" w:cs="Arial"/>
          <w:sz w:val="22"/>
          <w:szCs w:val="22"/>
        </w:rPr>
        <w:t>) el mantenimiento rutinario adicional por cuenta del contratista. Estos factores además se encuentran incluidos dentro del Documento Tipo para procesos de selección abreviada de menor cuantía –Resolución No. 044 de 2020–.</w:t>
      </w:r>
    </w:p>
    <w:p w14:paraId="3930773F"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w:t>
      </w:r>
      <w:r>
        <w:rPr>
          <w:rFonts w:ascii="Arial" w:eastAsia="Arial" w:hAnsi="Arial" w:cs="Arial"/>
          <w:sz w:val="22"/>
          <w:szCs w:val="22"/>
        </w:rPr>
        <w:lastRenderedPageBreak/>
        <w:t>acreditar máximo tres de ellos, lo cual conserva el tope establecido en la Versión 1 de los Documentos.</w:t>
      </w:r>
    </w:p>
    <w:p w14:paraId="135B7937"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Adicionalmente, esta versión de los Documentos Tipo conserva el puntaje establecido para el factor de calidad en la Versión 1, de modo que no se alteró el total de los 19 puntos que puede otorgar la entidad por este criterio de evaluación</w:t>
      </w:r>
      <w:r>
        <w:rPr>
          <w:rFonts w:ascii="Arial" w:eastAsia="Arial" w:hAnsi="Arial" w:cs="Arial"/>
        </w:rPr>
        <w:t xml:space="preserve">. </w:t>
      </w:r>
      <w:r>
        <w:rPr>
          <w:rFonts w:ascii="Arial" w:eastAsia="Arial" w:hAnsi="Arial" w:cs="Arial"/>
          <w:sz w:val="22"/>
          <w:szCs w:val="22"/>
        </w:rPr>
        <w:t xml:space="preserve">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 pase los 19 puntos.  </w:t>
      </w:r>
    </w:p>
    <w:p w14:paraId="3745F7D7"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sz w:val="20"/>
          <w:szCs w:val="20"/>
        </w:rPr>
        <w:t>«</w:t>
      </w:r>
      <w:r>
        <w:rPr>
          <w:rFonts w:ascii="Arial" w:eastAsia="Arial" w:hAnsi="Arial" w:cs="Arial"/>
          <w:sz w:val="22"/>
          <w:szCs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1241CA2D"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00F5D660"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Por su parte,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722DD2ED"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6301B4D3"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lastRenderedPageBreak/>
        <w:t xml:space="preserve">Conforme a lo anterior, el puntaje otorgado por estos dos factores de calidad depende del ofrecimiento que realice cada proponente en sus ofertas, de acuerdo con sus capacidades y competitividad. En este sentido, el mayor puntaje lo recibirá aquel oferente que ofrezca mayor número de cuadrillas de trabajo adicional y el que se comprometa a realizar durante un plazo mayor labores de mantenimiento rutinario después de la terminación de las obras objeto del proceso de contratación. </w:t>
      </w:r>
    </w:p>
    <w:p w14:paraId="5382E93A" w14:textId="77777777" w:rsidR="005B4987" w:rsidRDefault="005B4987" w:rsidP="005B4987">
      <w:pPr>
        <w:spacing w:before="120" w:line="276" w:lineRule="auto"/>
        <w:jc w:val="both"/>
        <w:rPr>
          <w:rFonts w:ascii="Arial" w:eastAsia="Arial" w:hAnsi="Arial" w:cs="Arial"/>
          <w:sz w:val="22"/>
          <w:szCs w:val="22"/>
        </w:rPr>
      </w:pPr>
      <w:r>
        <w:rPr>
          <w:rFonts w:ascii="Arial" w:eastAsia="Arial" w:hAnsi="Arial" w:cs="Arial"/>
          <w:sz w:val="22"/>
          <w:szCs w:val="22"/>
        </w:rPr>
        <w:tab/>
        <w:t xml:space="preserve">En otras palabras, la entidad no puede fijar discrecionalmente un número de meses que den lugar a otorgar el puntaje por mantenimiento adicional o definir cuántas cuadrillas de trabajo adicional se necesitan, o los perfiles de los integrantes de la cuadrilla, sino que depende del proponente ofertar el tiempo de mantenimiento adicional y el número de cuadrillas de trabajo adicional que está en capacidad de ofrecer, lo cual reduce el riesgo de direccionamiento, fomenta la competencia e incrementa las condiciones de calidad para la entidad. </w:t>
      </w:r>
    </w:p>
    <w:p w14:paraId="603A4975"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Es del caso mencionar que para otorgar el puntaje basta con diligenciar los formatos «7E – Cuadrillas de trabajo adicional» y el «7F – Mantenimiento adicional», dependiendo de los criterios de evaluación seleccionados por la entidad. En efecto, al diligenciarlos el proponente debe indicar bajo la gravedad de juramento cuál es el compromiso que asume, ya sea el número de cuadrillas de trabajo adicional o el tiempo durante el cual realizará el mantenimiento rutinario.</w:t>
      </w:r>
    </w:p>
    <w:p w14:paraId="37210338"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 El Documento Tipo, para el momento en el que se formuló la presente consulta, no limitaba al oferente frente al número de cuadrillas de trabajo adicional que se comprometía a otorgar al proyecto, ni tampoco respecto al número de meses de mantenimiento rutinario adicional</w:t>
      </w:r>
      <w:r>
        <w:rPr>
          <w:rStyle w:val="Refdenotaalpie"/>
          <w:rFonts w:ascii="Arial" w:eastAsia="Arial" w:hAnsi="Arial" w:cs="Arial"/>
          <w:sz w:val="22"/>
          <w:szCs w:val="22"/>
        </w:rPr>
        <w:footnoteReference w:id="16"/>
      </w:r>
      <w:r>
        <w:rPr>
          <w:rFonts w:ascii="Arial" w:eastAsia="Arial" w:hAnsi="Arial" w:cs="Arial"/>
          <w:sz w:val="22"/>
          <w:szCs w:val="22"/>
        </w:rPr>
        <w:t xml:space="preserve">.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 </w:t>
      </w:r>
    </w:p>
    <w:p w14:paraId="08853C89"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En ese sentido, antes de la expedición de la Resolución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«7E – Cuadrillas de trabajo adicional» y «7F – Mantenimiento adicional», en la medida que estos son Documentos Tipo afectados por el </w:t>
      </w:r>
      <w:r>
        <w:rPr>
          <w:rFonts w:ascii="Arial" w:eastAsia="Arial" w:hAnsi="Arial" w:cs="Arial"/>
          <w:sz w:val="22"/>
          <w:szCs w:val="22"/>
        </w:rPr>
        <w:lastRenderedPageBreak/>
        <w:t>principio de inalterabilidad, por lo que solo pueden modificar los apartados entre corchetes y resaltados en gris</w:t>
      </w:r>
      <w:r>
        <w:rPr>
          <w:rFonts w:ascii="Arial" w:eastAsia="Arial" w:hAnsi="Arial" w:cs="Arial"/>
          <w:sz w:val="22"/>
          <w:szCs w:val="22"/>
          <w:vertAlign w:val="superscript"/>
        </w:rPr>
        <w:footnoteReference w:id="17"/>
      </w:r>
      <w:r>
        <w:rPr>
          <w:rFonts w:ascii="Arial" w:eastAsia="Arial" w:hAnsi="Arial" w:cs="Arial"/>
          <w:sz w:val="22"/>
          <w:szCs w:val="22"/>
        </w:rPr>
        <w:t>.</w:t>
      </w:r>
    </w:p>
    <w:p w14:paraId="7A70084B" w14:textId="08D29F06"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En consecuencia, antes de la publicación de la Resolución 116 del 21 de julio de 2020, el oferente tenía la libertad y autonomía de ofrecer el número de cuadrillas de trabajo y meses de mantenimiento rutinario adicional. Es decir, el Documento Tipo, antes de esa fecha, no limitaba los ofrecimientos realizados por los oferentes, y tampoco la entidad estatal estaba habilitada para establecer dichos topes.  No obstante, en el evento que resultaba adjudicatario del proceso de contratación, los compromisos que se hicieran con ocasión de estos ofrecimientos se </w:t>
      </w:r>
      <w:proofErr w:type="spellStart"/>
      <w:r>
        <w:rPr>
          <w:rFonts w:ascii="Arial" w:eastAsia="Arial" w:hAnsi="Arial" w:cs="Arial"/>
          <w:sz w:val="22"/>
          <w:szCs w:val="22"/>
        </w:rPr>
        <w:t>conviertían</w:t>
      </w:r>
      <w:proofErr w:type="spellEnd"/>
      <w:r>
        <w:rPr>
          <w:rFonts w:ascii="Arial" w:eastAsia="Arial" w:hAnsi="Arial" w:cs="Arial"/>
          <w:sz w:val="22"/>
          <w:szCs w:val="22"/>
        </w:rPr>
        <w:t xml:space="preserve"> en obligaciones contractuales de obligatorio cumplimiento, so pena de activarse las consecuencias asociadas al incumplimiento, incluyendo el uso de facultades sancionatorias de las entidades estatales.</w:t>
      </w:r>
    </w:p>
    <w:p w14:paraId="36FB0BC0" w14:textId="77777777" w:rsidR="005B4987" w:rsidRDefault="005B4987" w:rsidP="005B4987">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En tal sentido,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con sus obligaciones</w:t>
      </w:r>
      <w:r>
        <w:rPr>
          <w:rFonts w:ascii="Arial" w:eastAsia="Arial" w:hAnsi="Arial" w:cs="Arial"/>
          <w:sz w:val="22"/>
          <w:szCs w:val="22"/>
          <w:vertAlign w:val="superscript"/>
        </w:rPr>
        <w:footnoteReference w:id="18"/>
      </w:r>
      <w:r>
        <w:rPr>
          <w:rFonts w:ascii="Arial" w:eastAsia="Arial" w:hAnsi="Arial" w:cs="Arial"/>
          <w:sz w:val="22"/>
          <w:szCs w:val="22"/>
        </w:rPr>
        <w:t>. Con fundamento en lo anterior, el «Anexo 5 – Minuta del Contrato», en la «Cláusula 15. Multas», numeral 1, prevé, como uno de los contenidos de las cláusulas que las entidades pueden incorporar en sus contratos, que se impondrá una multa por incumplir el ofrecimiento otorgado en cuanto al factor de calidad. Así se indicó en los siguientes términos:</w:t>
      </w:r>
    </w:p>
    <w:p w14:paraId="57FE8ACF" w14:textId="77777777" w:rsidR="005B4987" w:rsidRDefault="005B4987" w:rsidP="005B4987">
      <w:pPr>
        <w:tabs>
          <w:tab w:val="left" w:pos="426"/>
          <w:tab w:val="left" w:pos="7938"/>
        </w:tabs>
        <w:spacing w:before="120" w:line="276" w:lineRule="auto"/>
        <w:jc w:val="both"/>
        <w:rPr>
          <w:rFonts w:ascii="Arial" w:eastAsia="Arial" w:hAnsi="Arial" w:cs="Arial"/>
          <w:sz w:val="22"/>
          <w:szCs w:val="22"/>
        </w:rPr>
      </w:pPr>
    </w:p>
    <w:p w14:paraId="5B1FFAAB" w14:textId="77777777" w:rsidR="005B4987" w:rsidRDefault="005B4987" w:rsidP="005B4987">
      <w:pPr>
        <w:tabs>
          <w:tab w:val="left" w:pos="426"/>
        </w:tabs>
        <w:ind w:left="680" w:right="680"/>
        <w:jc w:val="both"/>
        <w:rPr>
          <w:rFonts w:ascii="Arial" w:eastAsia="Arial" w:hAnsi="Arial" w:cs="Arial"/>
          <w:b/>
          <w:sz w:val="21"/>
          <w:szCs w:val="21"/>
        </w:rPr>
      </w:pPr>
      <w:r>
        <w:rPr>
          <w:rFonts w:ascii="Arial" w:eastAsia="Arial" w:hAnsi="Arial" w:cs="Arial"/>
          <w:b/>
          <w:sz w:val="22"/>
          <w:szCs w:val="22"/>
        </w:rPr>
        <w:tab/>
      </w:r>
      <w:r>
        <w:rPr>
          <w:rFonts w:ascii="Arial" w:eastAsia="Arial" w:hAnsi="Arial" w:cs="Arial"/>
          <w:b/>
          <w:sz w:val="21"/>
          <w:szCs w:val="21"/>
        </w:rPr>
        <w:t>CLÁUSULA 15. MULTAS</w:t>
      </w:r>
    </w:p>
    <w:p w14:paraId="74E0594B" w14:textId="77777777" w:rsidR="005B4987" w:rsidRDefault="005B4987" w:rsidP="005B4987">
      <w:pPr>
        <w:tabs>
          <w:tab w:val="left" w:pos="426"/>
        </w:tabs>
        <w:ind w:left="680" w:right="680"/>
        <w:jc w:val="both"/>
        <w:rPr>
          <w:rFonts w:ascii="Arial" w:eastAsia="Arial" w:hAnsi="Arial" w:cs="Arial"/>
          <w:sz w:val="21"/>
          <w:szCs w:val="21"/>
        </w:rPr>
      </w:pPr>
      <w:r>
        <w:rPr>
          <w:rFonts w:ascii="Arial" w:eastAsia="Arial" w:hAnsi="Arial" w:cs="Arial"/>
          <w:b/>
          <w:sz w:val="21"/>
          <w:szCs w:val="21"/>
        </w:rPr>
        <w:tab/>
      </w:r>
      <w:r>
        <w:rPr>
          <w:rFonts w:ascii="Arial" w:eastAsia="Arial" w:hAnsi="Arial" w:cs="Arial"/>
          <w:sz w:val="21"/>
          <w:szCs w:val="21"/>
        </w:rPr>
        <w:t>[…]</w:t>
      </w:r>
    </w:p>
    <w:p w14:paraId="5DCE9704" w14:textId="77777777" w:rsidR="005B4987" w:rsidRDefault="005B4987" w:rsidP="005B4987">
      <w:pPr>
        <w:ind w:left="680" w:right="680"/>
        <w:jc w:val="both"/>
        <w:rPr>
          <w:rFonts w:ascii="Arial" w:eastAsia="Arial" w:hAnsi="Arial" w:cs="Arial"/>
          <w:sz w:val="21"/>
          <w:szCs w:val="21"/>
        </w:rPr>
      </w:pPr>
      <w:r>
        <w:rPr>
          <w:rFonts w:ascii="Arial" w:eastAsia="Arial" w:hAnsi="Arial" w:cs="Arial"/>
          <w:sz w:val="21"/>
          <w:szCs w:val="21"/>
        </w:rPr>
        <w:t>Si durante la ejecución del Contrato se generaran incumplimientos del Contratista, se causarán las siguientes multas:</w:t>
      </w:r>
    </w:p>
    <w:p w14:paraId="59846F8F" w14:textId="77777777" w:rsidR="005B4987" w:rsidRDefault="005B4987" w:rsidP="005B4987">
      <w:pPr>
        <w:ind w:left="680" w:right="680"/>
        <w:rPr>
          <w:rFonts w:ascii="Arial" w:eastAsia="Arial" w:hAnsi="Arial" w:cs="Arial"/>
          <w:sz w:val="21"/>
          <w:szCs w:val="21"/>
        </w:rPr>
      </w:pPr>
      <w:r>
        <w:rPr>
          <w:rFonts w:ascii="Arial" w:eastAsia="Arial" w:hAnsi="Arial" w:cs="Arial"/>
          <w:sz w:val="21"/>
          <w:szCs w:val="21"/>
        </w:rPr>
        <w:t>[…]</w:t>
      </w:r>
    </w:p>
    <w:p w14:paraId="48B8AB7F" w14:textId="77777777" w:rsidR="005B4987" w:rsidRDefault="005B4987" w:rsidP="005B4987">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0"/>
          <w:szCs w:val="20"/>
        </w:rPr>
        <w:t xml:space="preserve">7. Por </w:t>
      </w:r>
      <w:r>
        <w:rPr>
          <w:rFonts w:ascii="Arial" w:eastAsia="Arial" w:hAnsi="Arial" w:cs="Arial"/>
          <w:color w:val="000000"/>
          <w:sz w:val="21"/>
          <w:szCs w:val="21"/>
        </w:rPr>
        <w:t>incumplir el ofrecimiento otorgado en cuanto al factor calidad, al Contratista se le impondrá una multa equivalente al [0,5%] del valor del contrato, [por cada día calendario de atraso en el cumplimiento de dicha obligación].</w:t>
      </w:r>
    </w:p>
    <w:p w14:paraId="6F980C36" w14:textId="77777777" w:rsidR="005B4987" w:rsidRDefault="005B4987" w:rsidP="005B4987">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2"/>
          <w:szCs w:val="22"/>
        </w:rPr>
        <w:t xml:space="preserve"> </w:t>
      </w:r>
    </w:p>
    <w:p w14:paraId="37197518"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este sentido,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p>
    <w:p w14:paraId="66ADEEC3" w14:textId="77777777" w:rsidR="005B4987" w:rsidRDefault="005B4987" w:rsidP="005B4987">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De este modo, la entidad en el «Anexo 5 – Minuta del Contrato» puede determinar 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Pr>
          <w:rFonts w:ascii="Arial" w:eastAsia="Arial" w:hAnsi="Arial" w:cs="Arial"/>
          <w:sz w:val="22"/>
          <w:szCs w:val="22"/>
          <w:vertAlign w:val="superscript"/>
        </w:rPr>
        <w:footnoteReference w:id="19"/>
      </w:r>
      <w:r>
        <w:rPr>
          <w:rFonts w:ascii="Arial" w:eastAsia="Arial" w:hAnsi="Arial" w:cs="Arial"/>
          <w:sz w:val="22"/>
          <w:szCs w:val="22"/>
        </w:rPr>
        <w:t xml:space="preserve">. En este sentido, si el oferente realiza un ofrecimiento en el «Factor de Calidad» y resulta adjudicatario del proceso de contratación, su ofrecimiento se convierte en ley para las partes y por lo tanto es de obligatorio cumplimiento. </w:t>
      </w:r>
    </w:p>
    <w:p w14:paraId="39AD8EE6" w14:textId="77777777" w:rsidR="005B4987" w:rsidRDefault="005B4987" w:rsidP="005B4987">
      <w:pPr>
        <w:tabs>
          <w:tab w:val="left" w:pos="709"/>
          <w:tab w:val="left" w:pos="7938"/>
        </w:tabs>
        <w:spacing w:before="120" w:line="276" w:lineRule="auto"/>
        <w:jc w:val="both"/>
        <w:rPr>
          <w:rFonts w:ascii="Arial" w:eastAsia="Arial" w:hAnsi="Arial" w:cs="Arial"/>
          <w:sz w:val="22"/>
          <w:szCs w:val="22"/>
        </w:rPr>
      </w:pPr>
      <w:r>
        <w:rPr>
          <w:rFonts w:ascii="Arial" w:eastAsia="Arial" w:hAnsi="Arial" w:cs="Arial"/>
          <w:sz w:val="22"/>
          <w:szCs w:val="22"/>
        </w:rPr>
        <w:tab/>
        <w:t>Asimismo, el artículo 1603 del Código Civil indica que los contratos deben ejecutarse de buena fe y, por consiguiente, obligan no solo a lo que en ellos se expresa, sino a todas cosas que emanan de la naturaleza de la obligación, o que por la ley pertenecen a ella. Es así como las partes, al comprometerse con su oferta a otorgar una garantía por un tiempo adicional, o destinar a la ejecución del contrato un número de cuadrillas de trabajo adicional, estos ofrecimientos se convierten en una obligación contractual, que se debe cumplir en la ejecución del contrato ajustada a la buena fe</w:t>
      </w:r>
      <w:r>
        <w:rPr>
          <w:rFonts w:ascii="Arial" w:eastAsia="Arial" w:hAnsi="Arial" w:cs="Arial"/>
          <w:sz w:val="22"/>
          <w:szCs w:val="22"/>
          <w:vertAlign w:val="superscript"/>
        </w:rPr>
        <w:footnoteReference w:id="20"/>
      </w:r>
      <w:r>
        <w:rPr>
          <w:rFonts w:ascii="Arial" w:eastAsia="Arial" w:hAnsi="Arial" w:cs="Arial"/>
          <w:sz w:val="22"/>
          <w:szCs w:val="22"/>
        </w:rPr>
        <w:t xml:space="preserve">. </w:t>
      </w:r>
    </w:p>
    <w:p w14:paraId="524FE226" w14:textId="77777777" w:rsidR="005B4987" w:rsidRDefault="005B4987" w:rsidP="005B4987">
      <w:pPr>
        <w:tabs>
          <w:tab w:val="left" w:pos="426"/>
        </w:tabs>
        <w:spacing w:before="120"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Conforme a lo anterior, antes de la Resolución 116 del 21 de julio de 2020, el oferente tenía la libertad y autonomía de ofrecer el número de cuadrillas de trabajo adicional, o definir el término por el cual realiza las labores de mantenimiento rutinario de acuerdo con sus capacidades. Es decir, el Documento Tipo, para la referida fecha, no </w:t>
      </w:r>
      <w:r>
        <w:rPr>
          <w:rFonts w:ascii="Arial" w:eastAsia="Arial" w:hAnsi="Arial" w:cs="Arial"/>
          <w:sz w:val="22"/>
          <w:szCs w:val="22"/>
        </w:rPr>
        <w:lastRenderedPageBreak/>
        <w:t>limitaba los ofrecimientos realizados por el oferente, ni facultaba a las entidades para hacerlo. No obstante, en el evento que resultara adjudicatario del proceso de contratación, el compromiso del factor de calidad se convertía en una obligación contractual de obligatorio cumplimiento, so pena de activarse las consecuencias asociadas al incumplimiento, incluyendo el uso de facultades sancionatorias de las entidades estatales.</w:t>
      </w:r>
    </w:p>
    <w:p w14:paraId="5DA3A86A" w14:textId="77777777" w:rsidR="005B4987" w:rsidRDefault="005B4987" w:rsidP="005B4987">
      <w:pPr>
        <w:tabs>
          <w:tab w:val="left" w:pos="709"/>
        </w:tabs>
        <w:spacing w:before="120" w:after="120" w:line="276" w:lineRule="auto"/>
        <w:jc w:val="both"/>
        <w:rPr>
          <w:rFonts w:ascii="Arial" w:eastAsia="Arial" w:hAnsi="Arial" w:cs="Arial"/>
          <w:sz w:val="22"/>
          <w:szCs w:val="22"/>
        </w:rPr>
      </w:pPr>
      <w:r>
        <w:rPr>
          <w:rFonts w:ascii="Arial" w:eastAsia="Arial" w:hAnsi="Arial" w:cs="Arial"/>
          <w:sz w:val="22"/>
          <w:szCs w:val="22"/>
        </w:rPr>
        <w:tab/>
        <w:t xml:space="preserve">A similares conclusiones podría arribarse en lo que respecta a la «garantía suplementaria o adicional» y al «mantenimiento adicional», en la medida la entidad, antes de la Resolución 116 del 21 de julio de 2020, tenía proscrito entrar a limitar el ofrecimiento adicional que los oferentes hacen de estos ítems, habida consideración de los beneficios que tales ofrecimientos traen para la estabilidad y durabilidad de la obra a contratar y, por ende, para las personas que se beneficiaran de ella. </w:t>
      </w:r>
    </w:p>
    <w:p w14:paraId="6A80D7D3"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Finalmente, para los efectos de la consulta </w:t>
      </w:r>
      <w:r>
        <w:rPr>
          <w:rFonts w:ascii="Arial" w:eastAsia="Arial" w:hAnsi="Arial" w:cs="Arial"/>
          <w:i/>
          <w:sz w:val="22"/>
          <w:szCs w:val="22"/>
        </w:rPr>
        <w:t>sub examine</w:t>
      </w:r>
      <w:r>
        <w:rPr>
          <w:rFonts w:ascii="Arial" w:eastAsia="Arial" w:hAnsi="Arial" w:cs="Arial"/>
          <w:sz w:val="22"/>
          <w:szCs w:val="22"/>
        </w:rPr>
        <w:t>, se considera del caso precisar que los factores «garantía suplementaria o adicional», «cuadrillas de trabajo adicional» y «mantenimiento adicional», deben ser calculados de acuerdo con las fórmulas que establece el Documento Base en los numerales 4.2.4. a 4.2.6., que son las siguientes</w:t>
      </w:r>
      <w:r>
        <w:rPr>
          <w:rStyle w:val="Refdenotaalpie"/>
          <w:rFonts w:ascii="Arial" w:eastAsia="Arial" w:hAnsi="Arial" w:cs="Arial"/>
          <w:sz w:val="22"/>
          <w:szCs w:val="22"/>
        </w:rPr>
        <w:footnoteReference w:id="21"/>
      </w:r>
      <w:r>
        <w:rPr>
          <w:rFonts w:ascii="Arial" w:eastAsia="Arial" w:hAnsi="Arial" w:cs="Arial"/>
          <w:sz w:val="22"/>
          <w:szCs w:val="22"/>
        </w:rPr>
        <w:t>:</w:t>
      </w:r>
    </w:p>
    <w:p w14:paraId="40CEF753"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 Para efectos de la asignación de puntaje se tendrá en cuenta la siguiente fórmula:</w:t>
      </w:r>
    </w:p>
    <w:p w14:paraId="5EF30E22" w14:textId="77777777" w:rsidR="005B4987" w:rsidRDefault="005B4987" w:rsidP="005B4987">
      <w:pPr>
        <w:jc w:val="center"/>
        <w:rPr>
          <w:rFonts w:ascii="Cambria Math" w:eastAsia="Cambria Math" w:hAnsi="Cambria Math" w:cs="Cambria Math"/>
          <w:sz w:val="21"/>
          <w:szCs w:val="21"/>
        </w:rPr>
      </w:pPr>
      <w:r>
        <w:rPr>
          <w:rFonts w:ascii="Arial" w:eastAsia="Arial" w:hAnsi="Arial" w:cs="Arial"/>
          <w:sz w:val="21"/>
          <w:szCs w:val="21"/>
        </w:rPr>
        <w:t xml:space="preserve"> </w:t>
      </w:r>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Tx*Pmax</m:t>
            </m:r>
          </m:num>
          <m:den>
            <m:r>
              <w:rPr>
                <w:rFonts w:ascii="Cambria Math" w:eastAsia="Cambria Math" w:hAnsi="Cambria Math" w:cs="Cambria Math"/>
                <w:sz w:val="21"/>
                <w:szCs w:val="21"/>
              </w:rPr>
              <m:t>Tmax</m:t>
            </m:r>
          </m:den>
        </m:f>
      </m:oMath>
    </w:p>
    <w:p w14:paraId="2D72062B" w14:textId="77777777" w:rsidR="005B4987" w:rsidRDefault="005B4987" w:rsidP="005B4987">
      <w:pPr>
        <w:ind w:left="709" w:right="760"/>
        <w:rPr>
          <w:rFonts w:ascii="Arial" w:eastAsia="Arial" w:hAnsi="Arial" w:cs="Arial"/>
          <w:sz w:val="21"/>
          <w:szCs w:val="21"/>
        </w:rPr>
      </w:pPr>
      <w:r>
        <w:rPr>
          <w:rFonts w:ascii="Arial" w:eastAsia="Arial" w:hAnsi="Arial" w:cs="Arial"/>
          <w:sz w:val="21"/>
          <w:szCs w:val="21"/>
        </w:rPr>
        <w:t>Donde:</w:t>
      </w:r>
    </w:p>
    <w:p w14:paraId="0A6374F8" w14:textId="77777777" w:rsidR="005B4987" w:rsidRDefault="005B4987" w:rsidP="005B4987">
      <w:pPr>
        <w:ind w:left="709" w:right="760"/>
        <w:rPr>
          <w:rFonts w:ascii="Arial" w:eastAsia="Arial" w:hAnsi="Arial" w:cs="Arial"/>
          <w:sz w:val="21"/>
          <w:szCs w:val="21"/>
        </w:rPr>
      </w:pPr>
      <w:r>
        <w:rPr>
          <w:rFonts w:ascii="Arial" w:eastAsia="Arial" w:hAnsi="Arial" w:cs="Arial"/>
          <w:sz w:val="21"/>
          <w:szCs w:val="21"/>
        </w:rPr>
        <w:t>P                    =        Puntaje a asignar.</w:t>
      </w:r>
    </w:p>
    <w:p w14:paraId="248AFD4D"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Tx</w:t>
      </w:r>
      <w:proofErr w:type="spellEnd"/>
      <w:r>
        <w:rPr>
          <w:rFonts w:ascii="Arial" w:eastAsia="Arial" w:hAnsi="Arial" w:cs="Arial"/>
          <w:sz w:val="21"/>
          <w:szCs w:val="21"/>
        </w:rPr>
        <w:t xml:space="preserve">                  =        Tiempo ofertado por el Proponente en meses “x”.</w:t>
      </w:r>
    </w:p>
    <w:p w14:paraId="03243716"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Pmax</w:t>
      </w:r>
      <w:proofErr w:type="spellEnd"/>
      <w:r>
        <w:rPr>
          <w:rFonts w:ascii="Arial" w:eastAsia="Arial" w:hAnsi="Arial" w:cs="Arial"/>
          <w:sz w:val="21"/>
          <w:szCs w:val="21"/>
        </w:rPr>
        <w:t xml:space="preserve">             =        Puntaje máximo para el respectivo factor de </w:t>
      </w:r>
      <w:proofErr w:type="spellStart"/>
      <w:r>
        <w:rPr>
          <w:rFonts w:ascii="Arial" w:eastAsia="Arial" w:hAnsi="Arial" w:cs="Arial"/>
          <w:color w:val="FFFFFF"/>
          <w:sz w:val="21"/>
          <w:szCs w:val="21"/>
        </w:rPr>
        <w:t>sssssssssssssssss</w:t>
      </w:r>
      <w:proofErr w:type="spellEnd"/>
      <w:r>
        <w:rPr>
          <w:rFonts w:ascii="Arial" w:eastAsia="Arial" w:hAnsi="Arial" w:cs="Arial"/>
          <w:sz w:val="21"/>
          <w:szCs w:val="21"/>
        </w:rPr>
        <w:t xml:space="preserve"> calificación.</w:t>
      </w:r>
    </w:p>
    <w:p w14:paraId="1F61FEBE"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Tmax</w:t>
      </w:r>
      <w:proofErr w:type="spellEnd"/>
      <w:r>
        <w:rPr>
          <w:rFonts w:ascii="Arial" w:eastAsia="Arial" w:hAnsi="Arial" w:cs="Arial"/>
          <w:sz w:val="21"/>
          <w:szCs w:val="21"/>
        </w:rPr>
        <w:t xml:space="preserve">             =        Tiempo máximo ofertado.</w:t>
      </w:r>
    </w:p>
    <w:p w14:paraId="0D7677E6" w14:textId="77777777" w:rsidR="005B4987" w:rsidRDefault="005B4987" w:rsidP="005B4987">
      <w:pPr>
        <w:ind w:left="709" w:right="760"/>
        <w:rPr>
          <w:rFonts w:ascii="Arial" w:eastAsia="Arial" w:hAnsi="Arial" w:cs="Arial"/>
          <w:sz w:val="21"/>
          <w:szCs w:val="21"/>
        </w:rPr>
      </w:pPr>
      <w:r>
        <w:rPr>
          <w:rFonts w:ascii="Arial" w:eastAsia="Arial" w:hAnsi="Arial" w:cs="Arial"/>
          <w:sz w:val="21"/>
          <w:szCs w:val="21"/>
        </w:rPr>
        <w:t>[…]</w:t>
      </w:r>
    </w:p>
    <w:p w14:paraId="14E277DE" w14:textId="77777777" w:rsidR="005B4987" w:rsidRDefault="005B4987" w:rsidP="005B4987">
      <w:pPr>
        <w:ind w:left="709" w:right="760"/>
        <w:rPr>
          <w:rFonts w:ascii="Arial" w:eastAsia="Arial" w:hAnsi="Arial" w:cs="Arial"/>
          <w:sz w:val="21"/>
          <w:szCs w:val="21"/>
        </w:rPr>
      </w:pPr>
    </w:p>
    <w:p w14:paraId="4F1D33CC"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Para efectos de la asignación de puntaje se tendrá en cuenta la siguiente fórmula:</w:t>
      </w:r>
    </w:p>
    <w:p w14:paraId="2E590322" w14:textId="77777777" w:rsidR="005B4987" w:rsidRDefault="005B4987" w:rsidP="005B4987">
      <w:pPr>
        <w:jc w:val="center"/>
        <w:rPr>
          <w:rFonts w:ascii="Cambria Math" w:eastAsia="Cambria Math" w:hAnsi="Cambria Math" w:cs="Cambria Math"/>
          <w:sz w:val="21"/>
          <w:szCs w:val="21"/>
        </w:rPr>
      </w:pPr>
      <m:oMathPara>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Cx*Pmax</m:t>
              </m:r>
            </m:num>
            <m:den>
              <m:r>
                <w:rPr>
                  <w:rFonts w:ascii="Cambria Math" w:eastAsia="Cambria Math" w:hAnsi="Cambria Math" w:cs="Cambria Math"/>
                  <w:sz w:val="21"/>
                  <w:szCs w:val="21"/>
                </w:rPr>
                <m:t>Cmax</m:t>
              </m:r>
            </m:den>
          </m:f>
        </m:oMath>
      </m:oMathPara>
    </w:p>
    <w:p w14:paraId="27DA0A04"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Donde:</w:t>
      </w:r>
    </w:p>
    <w:p w14:paraId="72BF0D0C"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P                    =        Puntaje a asignar.</w:t>
      </w:r>
    </w:p>
    <w:p w14:paraId="26647E25" w14:textId="77777777" w:rsidR="005B4987" w:rsidRDefault="005B4987" w:rsidP="005B4987">
      <w:pPr>
        <w:ind w:left="709" w:right="760"/>
        <w:jc w:val="both"/>
        <w:rPr>
          <w:rFonts w:ascii="Arial" w:eastAsia="Arial" w:hAnsi="Arial" w:cs="Arial"/>
          <w:sz w:val="21"/>
          <w:szCs w:val="21"/>
        </w:rPr>
      </w:pPr>
      <w:proofErr w:type="spellStart"/>
      <w:r>
        <w:rPr>
          <w:rFonts w:ascii="Arial" w:eastAsia="Arial" w:hAnsi="Arial" w:cs="Arial"/>
          <w:sz w:val="21"/>
          <w:szCs w:val="21"/>
        </w:rPr>
        <w:t>Cx</w:t>
      </w:r>
      <w:proofErr w:type="spellEnd"/>
      <w:r>
        <w:rPr>
          <w:rFonts w:ascii="Arial" w:eastAsia="Arial" w:hAnsi="Arial" w:cs="Arial"/>
          <w:sz w:val="21"/>
          <w:szCs w:val="21"/>
        </w:rPr>
        <w:t xml:space="preserve">                  =        Número de cuadrillas ofertadas por el Proponente “x”.</w:t>
      </w:r>
    </w:p>
    <w:p w14:paraId="784823C9" w14:textId="77777777" w:rsidR="005B4987" w:rsidRDefault="005B4987" w:rsidP="005B4987">
      <w:pPr>
        <w:ind w:left="709" w:right="760"/>
        <w:jc w:val="both"/>
        <w:rPr>
          <w:rFonts w:ascii="Arial" w:eastAsia="Arial" w:hAnsi="Arial" w:cs="Arial"/>
          <w:sz w:val="21"/>
          <w:szCs w:val="21"/>
        </w:rPr>
      </w:pPr>
      <w:proofErr w:type="spellStart"/>
      <w:r>
        <w:rPr>
          <w:rFonts w:ascii="Arial" w:eastAsia="Arial" w:hAnsi="Arial" w:cs="Arial"/>
          <w:sz w:val="21"/>
          <w:szCs w:val="21"/>
        </w:rPr>
        <w:t>Pmax</w:t>
      </w:r>
      <w:proofErr w:type="spellEnd"/>
      <w:r>
        <w:rPr>
          <w:rFonts w:ascii="Arial" w:eastAsia="Arial" w:hAnsi="Arial" w:cs="Arial"/>
          <w:sz w:val="21"/>
          <w:szCs w:val="21"/>
        </w:rPr>
        <w:t xml:space="preserve">             =        Puntaje máximo para el respectivo factor de calificación.</w:t>
      </w:r>
    </w:p>
    <w:p w14:paraId="0291C7C4" w14:textId="77777777" w:rsidR="005B4987" w:rsidRDefault="005B4987" w:rsidP="005B4987">
      <w:pPr>
        <w:ind w:left="709" w:right="760"/>
        <w:jc w:val="both"/>
        <w:rPr>
          <w:rFonts w:ascii="Arial" w:eastAsia="Arial" w:hAnsi="Arial" w:cs="Arial"/>
          <w:sz w:val="21"/>
          <w:szCs w:val="21"/>
        </w:rPr>
      </w:pPr>
      <w:proofErr w:type="spellStart"/>
      <w:r>
        <w:rPr>
          <w:rFonts w:ascii="Arial" w:eastAsia="Arial" w:hAnsi="Arial" w:cs="Arial"/>
          <w:sz w:val="21"/>
          <w:szCs w:val="21"/>
        </w:rPr>
        <w:t>Cmax</w:t>
      </w:r>
      <w:proofErr w:type="spellEnd"/>
      <w:r>
        <w:rPr>
          <w:rFonts w:ascii="Arial" w:eastAsia="Arial" w:hAnsi="Arial" w:cs="Arial"/>
          <w:sz w:val="21"/>
          <w:szCs w:val="21"/>
        </w:rPr>
        <w:t xml:space="preserve">             =        Número máximo de cuadrillas ofertadas.</w:t>
      </w:r>
    </w:p>
    <w:p w14:paraId="2DA9537D"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w:t>
      </w:r>
    </w:p>
    <w:p w14:paraId="53F4BF79" w14:textId="77777777" w:rsidR="005B4987" w:rsidRDefault="005B4987" w:rsidP="005B4987">
      <w:pPr>
        <w:ind w:left="709" w:right="760"/>
        <w:jc w:val="both"/>
        <w:rPr>
          <w:rFonts w:ascii="Arial" w:eastAsia="Arial" w:hAnsi="Arial" w:cs="Arial"/>
          <w:sz w:val="21"/>
          <w:szCs w:val="21"/>
        </w:rPr>
      </w:pPr>
      <w:r>
        <w:rPr>
          <w:rFonts w:ascii="Arial" w:eastAsia="Arial" w:hAnsi="Arial" w:cs="Arial"/>
          <w:sz w:val="21"/>
          <w:szCs w:val="21"/>
        </w:rPr>
        <w:t>Para efectos de la asignación de puntaje se tendrá en cuenta la siguiente fórmula:</w:t>
      </w:r>
    </w:p>
    <w:p w14:paraId="6F62665C" w14:textId="77777777" w:rsidR="005B4987" w:rsidRDefault="005B4987" w:rsidP="005B4987">
      <w:pPr>
        <w:jc w:val="center"/>
        <w:rPr>
          <w:rFonts w:ascii="Cambria Math" w:eastAsia="Cambria Math" w:hAnsi="Cambria Math" w:cs="Cambria Math"/>
          <w:sz w:val="21"/>
          <w:szCs w:val="21"/>
        </w:rPr>
      </w:pPr>
      <w:r>
        <w:rPr>
          <w:rFonts w:ascii="Arial" w:eastAsia="Arial" w:hAnsi="Arial" w:cs="Arial"/>
          <w:sz w:val="21"/>
          <w:szCs w:val="21"/>
        </w:rPr>
        <w:lastRenderedPageBreak/>
        <w:t xml:space="preserve"> </w:t>
      </w:r>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Tx*Pmax</m:t>
            </m:r>
          </m:num>
          <m:den>
            <m:r>
              <w:rPr>
                <w:rFonts w:ascii="Cambria Math" w:eastAsia="Cambria Math" w:hAnsi="Cambria Math" w:cs="Cambria Math"/>
                <w:sz w:val="21"/>
                <w:szCs w:val="21"/>
              </w:rPr>
              <m:t>Tmax</m:t>
            </m:r>
          </m:den>
        </m:f>
      </m:oMath>
    </w:p>
    <w:p w14:paraId="2CFDDCB9" w14:textId="77777777" w:rsidR="005B4987" w:rsidRDefault="005B4987" w:rsidP="005B4987">
      <w:pPr>
        <w:ind w:left="709" w:right="760"/>
        <w:rPr>
          <w:rFonts w:ascii="Arial" w:eastAsia="Arial" w:hAnsi="Arial" w:cs="Arial"/>
          <w:sz w:val="21"/>
          <w:szCs w:val="21"/>
        </w:rPr>
      </w:pPr>
      <w:r>
        <w:rPr>
          <w:rFonts w:ascii="Arial" w:eastAsia="Arial" w:hAnsi="Arial" w:cs="Arial"/>
          <w:sz w:val="21"/>
          <w:szCs w:val="21"/>
        </w:rPr>
        <w:t>Donde:</w:t>
      </w:r>
    </w:p>
    <w:p w14:paraId="22095E14" w14:textId="77777777" w:rsidR="005B4987" w:rsidRDefault="005B4987" w:rsidP="005B4987">
      <w:pPr>
        <w:ind w:left="709" w:right="760"/>
        <w:rPr>
          <w:rFonts w:ascii="Arial" w:eastAsia="Arial" w:hAnsi="Arial" w:cs="Arial"/>
          <w:sz w:val="21"/>
          <w:szCs w:val="21"/>
        </w:rPr>
      </w:pPr>
      <w:r>
        <w:rPr>
          <w:rFonts w:ascii="Arial" w:eastAsia="Arial" w:hAnsi="Arial" w:cs="Arial"/>
          <w:sz w:val="21"/>
          <w:szCs w:val="21"/>
        </w:rPr>
        <w:t>P                    =        Puntaje a asignar.</w:t>
      </w:r>
    </w:p>
    <w:p w14:paraId="5C6AF9EF"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Tx</w:t>
      </w:r>
      <w:proofErr w:type="spellEnd"/>
      <w:r>
        <w:rPr>
          <w:rFonts w:ascii="Arial" w:eastAsia="Arial" w:hAnsi="Arial" w:cs="Arial"/>
          <w:sz w:val="21"/>
          <w:szCs w:val="21"/>
        </w:rPr>
        <w:t xml:space="preserve">                  =        Tiempo ofertado por el Proponente en meses “x”.</w:t>
      </w:r>
    </w:p>
    <w:p w14:paraId="0F032968"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Pmax</w:t>
      </w:r>
      <w:proofErr w:type="spellEnd"/>
      <w:r>
        <w:rPr>
          <w:rFonts w:ascii="Arial" w:eastAsia="Arial" w:hAnsi="Arial" w:cs="Arial"/>
          <w:sz w:val="21"/>
          <w:szCs w:val="21"/>
        </w:rPr>
        <w:t xml:space="preserve">             =        Puntaje máximo para el respectivo factor de                         </w:t>
      </w:r>
      <w:proofErr w:type="spellStart"/>
      <w:r>
        <w:rPr>
          <w:rFonts w:ascii="Arial" w:eastAsia="Arial" w:hAnsi="Arial" w:cs="Arial"/>
          <w:color w:val="FFFFFF"/>
          <w:sz w:val="21"/>
          <w:szCs w:val="21"/>
        </w:rPr>
        <w:t>sssssssssssssssss</w:t>
      </w:r>
      <w:proofErr w:type="spellEnd"/>
      <w:r>
        <w:rPr>
          <w:rFonts w:ascii="Arial" w:eastAsia="Arial" w:hAnsi="Arial" w:cs="Arial"/>
          <w:color w:val="FFFFFF"/>
          <w:sz w:val="21"/>
          <w:szCs w:val="21"/>
        </w:rPr>
        <w:t xml:space="preserve"> </w:t>
      </w:r>
      <w:r>
        <w:rPr>
          <w:rFonts w:ascii="Arial" w:eastAsia="Arial" w:hAnsi="Arial" w:cs="Arial"/>
          <w:sz w:val="21"/>
          <w:szCs w:val="21"/>
        </w:rPr>
        <w:t>calificación.</w:t>
      </w:r>
    </w:p>
    <w:p w14:paraId="07583D9F" w14:textId="77777777" w:rsidR="005B4987" w:rsidRDefault="005B4987" w:rsidP="005B4987">
      <w:pPr>
        <w:ind w:left="709" w:right="760"/>
        <w:rPr>
          <w:rFonts w:ascii="Arial" w:eastAsia="Arial" w:hAnsi="Arial" w:cs="Arial"/>
          <w:sz w:val="21"/>
          <w:szCs w:val="21"/>
        </w:rPr>
      </w:pPr>
      <w:proofErr w:type="spellStart"/>
      <w:r>
        <w:rPr>
          <w:rFonts w:ascii="Arial" w:eastAsia="Arial" w:hAnsi="Arial" w:cs="Arial"/>
          <w:sz w:val="21"/>
          <w:szCs w:val="21"/>
        </w:rPr>
        <w:t>Tmax</w:t>
      </w:r>
      <w:proofErr w:type="spellEnd"/>
      <w:r>
        <w:rPr>
          <w:rFonts w:ascii="Arial" w:eastAsia="Arial" w:hAnsi="Arial" w:cs="Arial"/>
          <w:sz w:val="21"/>
          <w:szCs w:val="21"/>
        </w:rPr>
        <w:t xml:space="preserve">             =        Tiempo máximo ofertado.</w:t>
      </w:r>
    </w:p>
    <w:p w14:paraId="5F40B123" w14:textId="77777777" w:rsidR="005B4987" w:rsidRDefault="005B4987" w:rsidP="005B4987">
      <w:pPr>
        <w:tabs>
          <w:tab w:val="left" w:pos="709"/>
        </w:tabs>
        <w:jc w:val="both"/>
        <w:rPr>
          <w:rFonts w:ascii="Arial" w:eastAsia="Arial" w:hAnsi="Arial" w:cs="Arial"/>
          <w:sz w:val="22"/>
          <w:szCs w:val="22"/>
        </w:rPr>
      </w:pPr>
    </w:p>
    <w:p w14:paraId="4FD86448"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Nótese que, en los tres casos, la fórmula exige definir el «máximo ofertado», esto es, el «Tiempo máximo ofertado», en relación con la «garantía suplementaria o adicional» y «mantenimiento adicional», y el «Número máximo de cuadrillas ofertadas», como su nombre lo indica, frente a las cuadrillas ofertadas. Es indispensable, entonces, establecer quién es el proponente que tiene estos «máximos ofertados» para poder hacer el cálculo respectivo.</w:t>
      </w:r>
    </w:p>
    <w:p w14:paraId="3B8BEC75"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Sin embargo, puede pasar que en el momento de abrir el sobre de la oferta económica sea necesario rechazar a alguno de los proponentes cuya propuesta fue tenida en cuenta para los efectos de las fórmulas antes referidas, por ejemplo, debido a que su propuesta excede el presupuesto de la entidad o porque la misma se considera artificialmente baja. En estas hipótesis, resultaría necesario que la entidad hiciera nuevamente los cálculos con el proponente que tenía el segundo «máximo ofertado», pues el proponente que tenía el primer lugar ya no haría parte del proceso contractual, por ende, su propuesta no puede ser tenida en cuenta para asignar el puntaje de los otros oferentes. </w:t>
      </w:r>
    </w:p>
    <w:p w14:paraId="01FB173B" w14:textId="77777777" w:rsidR="005B4987" w:rsidRDefault="005B4987" w:rsidP="005B4987">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Con fundamento en las consideraciones plasmadas en los numerales 2.1., 2.2. y 2.3, </w:t>
      </w:r>
      <w:r>
        <w:rPr>
          <w:rFonts w:ascii="Arial" w:eastAsia="Arial" w:hAnsi="Arial" w:cs="Arial"/>
          <w:i/>
          <w:sz w:val="22"/>
          <w:szCs w:val="22"/>
        </w:rPr>
        <w:t>supra</w:t>
      </w:r>
      <w:r>
        <w:rPr>
          <w:rFonts w:ascii="Arial" w:eastAsia="Arial" w:hAnsi="Arial" w:cs="Arial"/>
          <w:sz w:val="22"/>
          <w:szCs w:val="22"/>
        </w:rPr>
        <w:t>, se contestarán las inquietudes formuladas.</w:t>
      </w:r>
    </w:p>
    <w:p w14:paraId="18B6D3EE" w14:textId="77777777" w:rsidR="005B4987" w:rsidRDefault="005B4987" w:rsidP="005B4987">
      <w:pPr>
        <w:spacing w:line="276" w:lineRule="auto"/>
        <w:jc w:val="both"/>
        <w:rPr>
          <w:rFonts w:ascii="Arial" w:eastAsia="Arial" w:hAnsi="Arial" w:cs="Arial"/>
          <w:b/>
          <w:color w:val="000000"/>
          <w:sz w:val="22"/>
          <w:szCs w:val="22"/>
        </w:rPr>
      </w:pPr>
    </w:p>
    <w:p w14:paraId="38ED0C5C" w14:textId="77777777" w:rsidR="005B4987" w:rsidRDefault="005B4987" w:rsidP="005B4987">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 Respuestas</w:t>
      </w:r>
    </w:p>
    <w:p w14:paraId="78FFE70E" w14:textId="77777777" w:rsidR="005B4987" w:rsidRDefault="005B4987" w:rsidP="005B4987">
      <w:pPr>
        <w:spacing w:line="276" w:lineRule="auto"/>
        <w:jc w:val="both"/>
        <w:rPr>
          <w:rFonts w:ascii="Arial" w:eastAsia="Arial" w:hAnsi="Arial" w:cs="Arial"/>
          <w:b/>
          <w:color w:val="000000"/>
          <w:sz w:val="22"/>
          <w:szCs w:val="22"/>
        </w:rPr>
      </w:pPr>
    </w:p>
    <w:p w14:paraId="0C5008CA" w14:textId="77777777" w:rsidR="005B4987" w:rsidRDefault="005B4987" w:rsidP="005B4987">
      <w:pPr>
        <w:ind w:left="709" w:right="758"/>
        <w:jc w:val="both"/>
        <w:rPr>
          <w:rFonts w:ascii="Arial" w:eastAsia="Arial" w:hAnsi="Arial" w:cs="Arial"/>
          <w:color w:val="000000"/>
          <w:sz w:val="22"/>
          <w:szCs w:val="22"/>
        </w:rPr>
      </w:pPr>
      <w:r>
        <w:rPr>
          <w:rFonts w:ascii="Arial" w:eastAsia="Arial" w:hAnsi="Arial" w:cs="Arial"/>
          <w:color w:val="000000"/>
          <w:sz w:val="22"/>
          <w:szCs w:val="22"/>
        </w:rPr>
        <w:t xml:space="preserve">«1. [¿]Los documentos aportados para los criterios de desempate pueden ser subsanados y hasta </w:t>
      </w:r>
      <w:proofErr w:type="spellStart"/>
      <w:r>
        <w:rPr>
          <w:rFonts w:ascii="Arial" w:eastAsia="Arial" w:hAnsi="Arial" w:cs="Arial"/>
          <w:color w:val="000000"/>
          <w:sz w:val="22"/>
          <w:szCs w:val="22"/>
        </w:rPr>
        <w:t>qu</w:t>
      </w:r>
      <w:proofErr w:type="spellEnd"/>
      <w:r>
        <w:rPr>
          <w:rFonts w:ascii="Arial" w:eastAsia="Arial" w:hAnsi="Arial" w:cs="Arial"/>
          <w:color w:val="000000"/>
          <w:sz w:val="22"/>
          <w:szCs w:val="22"/>
        </w:rPr>
        <w:t>[é] etapa podrían ser subsanados?»</w:t>
      </w:r>
    </w:p>
    <w:p w14:paraId="756DD4DE" w14:textId="77777777" w:rsidR="005B4987" w:rsidRDefault="005B4987" w:rsidP="005B4987">
      <w:pPr>
        <w:spacing w:line="276" w:lineRule="auto"/>
        <w:jc w:val="both"/>
        <w:rPr>
          <w:rFonts w:ascii="Arial" w:eastAsia="Arial" w:hAnsi="Arial" w:cs="Arial"/>
          <w:color w:val="000000"/>
          <w:sz w:val="22"/>
          <w:szCs w:val="22"/>
        </w:rPr>
      </w:pPr>
    </w:p>
    <w:p w14:paraId="118C3E4A" w14:textId="77777777" w:rsidR="005B4987" w:rsidRDefault="005B4987" w:rsidP="005B4987">
      <w:pPr>
        <w:spacing w:line="276" w:lineRule="auto"/>
        <w:jc w:val="both"/>
        <w:rPr>
          <w:rFonts w:ascii="Arial" w:eastAsia="Arial" w:hAnsi="Arial" w:cs="Arial"/>
          <w:color w:val="000000"/>
          <w:sz w:val="22"/>
          <w:szCs w:val="22"/>
        </w:rPr>
      </w:pPr>
      <w:r>
        <w:rPr>
          <w:rFonts w:ascii="Arial" w:eastAsia="Arial" w:hAnsi="Arial" w:cs="Arial"/>
          <w:color w:val="000000"/>
          <w:sz w:val="22"/>
          <w:szCs w:val="22"/>
        </w:rPr>
        <w:t>Según las consideraciones expuestas en el numeral 2.1. de este concepto, para saber si se puede subsanar o no la ausencia de requisitos y/o documentos de la oferta,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w:t>
      </w:r>
    </w:p>
    <w:p w14:paraId="4C3E5740" w14:textId="77777777" w:rsidR="005B4987" w:rsidRDefault="005B4987" w:rsidP="005B4987">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b/>
        <w:t xml:space="preserve">Ahora bien, es necesario distinguir dos hipótesis: la primera, que se presenta </w:t>
      </w:r>
      <w:r>
        <w:rPr>
          <w:rFonts w:ascii="Arial" w:eastAsia="Arial" w:hAnsi="Arial" w:cs="Arial"/>
          <w:sz w:val="22"/>
          <w:szCs w:val="22"/>
        </w:rPr>
        <w:t xml:space="preserve">para calificar la «Vinculación de personas con discapacidad»; y la segunda, como factor de desempate de las propuestas de los oferentes. A juicio de Colombia Compra Eficiente, </w:t>
      </w:r>
      <w:r>
        <w:rPr>
          <w:rFonts w:ascii="Arial" w:eastAsia="Arial" w:hAnsi="Arial" w:cs="Arial"/>
          <w:color w:val="000000"/>
          <w:sz w:val="22"/>
          <w:szCs w:val="22"/>
        </w:rPr>
        <w:t>en los dos escenarios no habría lugar a la subsanación. En el primero de ellos, debido a que se trata de documentos que otorgan puntaje; mientras que, en la segundo, porque así lo establece el numeral 1.6. del Documento Base, como se explicó en la parte considerativa de este concepto.</w:t>
      </w:r>
    </w:p>
    <w:p w14:paraId="0EA61F33" w14:textId="77777777" w:rsidR="005B4987" w:rsidRDefault="005B4987" w:rsidP="005B4987">
      <w:pPr>
        <w:spacing w:line="276" w:lineRule="auto"/>
        <w:jc w:val="both"/>
        <w:rPr>
          <w:rFonts w:ascii="Arial" w:eastAsia="Arial" w:hAnsi="Arial" w:cs="Arial"/>
          <w:color w:val="000000"/>
          <w:sz w:val="22"/>
          <w:szCs w:val="22"/>
        </w:rPr>
      </w:pPr>
    </w:p>
    <w:p w14:paraId="16079F0D" w14:textId="77777777" w:rsidR="005B4987" w:rsidRDefault="005B4987" w:rsidP="005B4987">
      <w:pPr>
        <w:ind w:left="709" w:right="758"/>
        <w:jc w:val="both"/>
        <w:rPr>
          <w:rFonts w:ascii="Arial" w:eastAsia="Arial" w:hAnsi="Arial" w:cs="Arial"/>
          <w:color w:val="000000"/>
          <w:sz w:val="22"/>
          <w:szCs w:val="22"/>
        </w:rPr>
      </w:pPr>
      <w:r>
        <w:rPr>
          <w:rFonts w:ascii="Arial" w:eastAsia="Arial" w:hAnsi="Arial" w:cs="Arial"/>
          <w:color w:val="000000"/>
          <w:sz w:val="22"/>
          <w:szCs w:val="22"/>
        </w:rPr>
        <w:t>«2. [¿]Si un proponente allega junto con su oferta únicamente el formato de desempate por vinculación de personas con discapacidad, es decir certifica que el 10% de su nómina está en condiciones de discapacidad, es suficiente para asignarle puntaje por el decreto 392 de 2018? Es decir [¿]se puede entender con el ofrecimiento que el proponente certificó el número total de trabajadores?»</w:t>
      </w:r>
    </w:p>
    <w:p w14:paraId="3D6D800D" w14:textId="77777777" w:rsidR="005B4987" w:rsidRDefault="005B4987" w:rsidP="005B4987">
      <w:pPr>
        <w:spacing w:after="18"/>
        <w:ind w:left="709" w:right="709"/>
        <w:jc w:val="both"/>
        <w:rPr>
          <w:rFonts w:ascii="Arial" w:eastAsia="Arial" w:hAnsi="Arial" w:cs="Arial"/>
          <w:sz w:val="21"/>
          <w:szCs w:val="21"/>
        </w:rPr>
      </w:pPr>
    </w:p>
    <w:p w14:paraId="2CD653C2" w14:textId="77777777" w:rsidR="005B4987" w:rsidRDefault="005B4987" w:rsidP="005B4987">
      <w:pPr>
        <w:spacing w:line="276" w:lineRule="auto"/>
        <w:ind w:right="49"/>
        <w:jc w:val="both"/>
        <w:rPr>
          <w:rFonts w:ascii="Arial" w:eastAsia="Arial" w:hAnsi="Arial" w:cs="Arial"/>
          <w:sz w:val="22"/>
          <w:szCs w:val="22"/>
        </w:rPr>
      </w:pPr>
      <w:r>
        <w:rPr>
          <w:rFonts w:ascii="Arial" w:eastAsia="Arial" w:hAnsi="Arial" w:cs="Arial"/>
          <w:sz w:val="22"/>
          <w:szCs w:val="22"/>
        </w:rPr>
        <w:t xml:space="preserve">De acuerdo con las consideraciones expuestas en el numeral 2.2. </w:t>
      </w:r>
      <w:r>
        <w:rPr>
          <w:rFonts w:ascii="Arial" w:eastAsia="Arial" w:hAnsi="Arial" w:cs="Arial"/>
          <w:i/>
          <w:sz w:val="22"/>
          <w:szCs w:val="22"/>
        </w:rPr>
        <w:t>supra</w:t>
      </w:r>
      <w:r>
        <w:rPr>
          <w:rFonts w:ascii="Arial" w:eastAsia="Arial" w:hAnsi="Arial" w:cs="Arial"/>
          <w:sz w:val="22"/>
          <w:szCs w:val="22"/>
        </w:rPr>
        <w:t xml:space="preserve">, si el proponente «[…] allega junto con su oferta únicamente el formato de desempate por vinculación de personas con discapacidad […], esto es, el Formato 8-VINCULACIÓN DE PERSONAS CON DISCAPACIDAD, no habría lugar a reconocer los puntos en la calificación de la oferta por «Vinculación de personas con discapacidad», así como tampoco a tener en cuenta la vinculación de dichas personas como factor desempate, pues es necesario que también se acredite: i) el número total de trabajadores vinculados a la planta de personal, a través de la certificación expedida por la persona natural, el representante legal o el revisor fiscal, según el caso; y </w:t>
      </w:r>
      <w:proofErr w:type="spellStart"/>
      <w:r>
        <w:rPr>
          <w:rFonts w:ascii="Arial" w:eastAsia="Arial" w:hAnsi="Arial" w:cs="Arial"/>
          <w:sz w:val="22"/>
          <w:szCs w:val="22"/>
        </w:rPr>
        <w:t>ii</w:t>
      </w:r>
      <w:proofErr w:type="spellEnd"/>
      <w:r>
        <w:rPr>
          <w:rFonts w:ascii="Arial" w:eastAsia="Arial" w:hAnsi="Arial" w:cs="Arial"/>
          <w:sz w:val="22"/>
          <w:szCs w:val="22"/>
        </w:rPr>
        <w:t>) el número mínimo de personas con discapacidad en su planta de personal, para lo que se debe aportar el certificado expedido por el Ministerio de Trabajo, vigente al cierre del proceso de selección.</w:t>
      </w:r>
    </w:p>
    <w:p w14:paraId="3557F592" w14:textId="77777777" w:rsidR="005B4987" w:rsidRDefault="005B4987" w:rsidP="005B4987">
      <w:pPr>
        <w:spacing w:line="276" w:lineRule="auto"/>
        <w:jc w:val="both"/>
        <w:rPr>
          <w:rFonts w:ascii="Arial" w:eastAsia="Arial" w:hAnsi="Arial" w:cs="Arial"/>
          <w:color w:val="000000"/>
          <w:sz w:val="22"/>
          <w:szCs w:val="22"/>
        </w:rPr>
      </w:pPr>
    </w:p>
    <w:p w14:paraId="0A74AF72" w14:textId="77777777" w:rsidR="005B4987" w:rsidRDefault="005B4987" w:rsidP="005B4987">
      <w:pPr>
        <w:ind w:left="709" w:right="758"/>
        <w:jc w:val="both"/>
        <w:rPr>
          <w:rFonts w:ascii="Arial" w:eastAsia="Arial" w:hAnsi="Arial" w:cs="Arial"/>
          <w:color w:val="000000"/>
          <w:sz w:val="22"/>
          <w:szCs w:val="22"/>
        </w:rPr>
      </w:pPr>
      <w:bookmarkStart w:id="3" w:name="_3znysh7" w:colFirst="0" w:colLast="0"/>
      <w:bookmarkEnd w:id="3"/>
      <w:r>
        <w:rPr>
          <w:rFonts w:ascii="Arial" w:eastAsia="Arial" w:hAnsi="Arial" w:cs="Arial"/>
          <w:color w:val="000000"/>
          <w:sz w:val="22"/>
          <w:szCs w:val="22"/>
        </w:rPr>
        <w:t>«3. Cuando se apliquen criterios de calidad como garantía extendida, mantenimiento adicional o cuadrillas adicionales, [¿]</w:t>
      </w:r>
      <w:proofErr w:type="spellStart"/>
      <w:r>
        <w:rPr>
          <w:rFonts w:ascii="Arial" w:eastAsia="Arial" w:hAnsi="Arial" w:cs="Arial"/>
          <w:color w:val="000000"/>
          <w:sz w:val="22"/>
          <w:szCs w:val="22"/>
        </w:rPr>
        <w:t>qu</w:t>
      </w:r>
      <w:proofErr w:type="spellEnd"/>
      <w:r>
        <w:rPr>
          <w:rFonts w:ascii="Arial" w:eastAsia="Arial" w:hAnsi="Arial" w:cs="Arial"/>
          <w:color w:val="000000"/>
          <w:sz w:val="22"/>
          <w:szCs w:val="22"/>
        </w:rPr>
        <w:t xml:space="preserve">[é] sucede si el proponente con el mayor ofrecimiento y mayor </w:t>
      </w:r>
      <w:proofErr w:type="gramStart"/>
      <w:r>
        <w:rPr>
          <w:rFonts w:ascii="Arial" w:eastAsia="Arial" w:hAnsi="Arial" w:cs="Arial"/>
          <w:color w:val="000000"/>
          <w:sz w:val="22"/>
          <w:szCs w:val="22"/>
        </w:rPr>
        <w:t>puntaje,</w:t>
      </w:r>
      <w:proofErr w:type="gramEnd"/>
      <w:r>
        <w:rPr>
          <w:rFonts w:ascii="Arial" w:eastAsia="Arial" w:hAnsi="Arial" w:cs="Arial"/>
          <w:color w:val="000000"/>
          <w:sz w:val="22"/>
          <w:szCs w:val="22"/>
        </w:rPr>
        <w:t xml:space="preserve"> es eliminado o rechazado en la evaluación económica[?]. [¿]Debe la entidad recalcular nuevamente este puntaje o se mantiene la evaluación ya realizada?»; </w:t>
      </w:r>
    </w:p>
    <w:p w14:paraId="397B4DE1" w14:textId="77777777" w:rsidR="005B4987" w:rsidRDefault="005B4987" w:rsidP="005B4987">
      <w:pPr>
        <w:ind w:left="709" w:right="758"/>
        <w:jc w:val="both"/>
        <w:rPr>
          <w:rFonts w:ascii="Arial" w:eastAsia="Arial" w:hAnsi="Arial" w:cs="Arial"/>
          <w:color w:val="000000"/>
          <w:sz w:val="22"/>
          <w:szCs w:val="22"/>
        </w:rPr>
      </w:pPr>
    </w:p>
    <w:p w14:paraId="4A6783AF"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Los factores «garantía suplementaria o adicional», «cuadrillas de trabajo adicional» y «mantenimiento adicional», deben ser calculados de acuerdo con las fórmulas que establece el Documento Base en los numerales 4.2.4. a 4.2.6. En los tres casos, es indispensable establecer quién es el proponente que tiene los «máximos ofertados» para poder hacer el cálculo respectivo.</w:t>
      </w:r>
    </w:p>
    <w:p w14:paraId="0033AD57" w14:textId="77777777"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Sin embargo, puede pasar que en el momento de abrir el sobre de la oferta económica sea necesario rechazar a alguno de los proponentes cuya propuesta fue tenida en cuenta para los efectos de las fórmulas antes referidas, por ejemplo, debido a que su </w:t>
      </w:r>
      <w:r>
        <w:rPr>
          <w:rFonts w:ascii="Arial" w:eastAsia="Arial" w:hAnsi="Arial" w:cs="Arial"/>
          <w:sz w:val="22"/>
          <w:szCs w:val="22"/>
        </w:rPr>
        <w:lastRenderedPageBreak/>
        <w:t xml:space="preserve">propuesta excede el presupuesto de la entidad o porque la misma se considera artificialmente baja. En estas hipótesis, resultaría necesario que la entidad hiciera nuevamente los cálculos con el proponente que tenía el segundo «máximo ofertado», pues el proponente que tenía el primer lugar ya no haría parte del proceso contractual, por ende, su propuesta no puede ser tenida en cuenta para asignar el puntaje de los otros oferentes. </w:t>
      </w:r>
    </w:p>
    <w:p w14:paraId="598D9122" w14:textId="77777777" w:rsidR="005B4987" w:rsidRDefault="005B4987" w:rsidP="005B4987">
      <w:pPr>
        <w:ind w:right="758"/>
        <w:jc w:val="both"/>
        <w:rPr>
          <w:rFonts w:ascii="Arial" w:eastAsia="Arial" w:hAnsi="Arial" w:cs="Arial"/>
          <w:color w:val="000000"/>
          <w:sz w:val="22"/>
          <w:szCs w:val="22"/>
        </w:rPr>
      </w:pPr>
    </w:p>
    <w:p w14:paraId="2705BDD7" w14:textId="77777777" w:rsidR="005B4987" w:rsidRDefault="005B4987" w:rsidP="005B4987">
      <w:pPr>
        <w:ind w:left="709" w:right="758"/>
        <w:jc w:val="both"/>
        <w:rPr>
          <w:rFonts w:ascii="Arial" w:eastAsia="Arial" w:hAnsi="Arial" w:cs="Arial"/>
          <w:color w:val="000000"/>
          <w:sz w:val="22"/>
          <w:szCs w:val="22"/>
        </w:rPr>
      </w:pPr>
      <w:r>
        <w:rPr>
          <w:rFonts w:ascii="Arial" w:eastAsia="Arial" w:hAnsi="Arial" w:cs="Arial"/>
          <w:color w:val="000000"/>
          <w:sz w:val="22"/>
          <w:szCs w:val="22"/>
        </w:rPr>
        <w:t>«4. Para los factores de calidad antes mencionados, [¿]tienen la potestad las entidades de definir límites superiores?»</w:t>
      </w:r>
    </w:p>
    <w:p w14:paraId="2250A5F7" w14:textId="77777777" w:rsidR="005B4987" w:rsidRDefault="005B4987" w:rsidP="005B4987">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AFBCBCD" w14:textId="77777777" w:rsidR="005B4987" w:rsidRDefault="005B4987" w:rsidP="005B4987">
      <w:pPr>
        <w:spacing w:after="120" w:line="276" w:lineRule="auto"/>
        <w:jc w:val="both"/>
        <w:rPr>
          <w:rFonts w:ascii="Arial" w:eastAsia="Arial" w:hAnsi="Arial" w:cs="Arial"/>
          <w:sz w:val="22"/>
          <w:szCs w:val="22"/>
        </w:rPr>
      </w:pPr>
      <w:r w:rsidRPr="009831B2">
        <w:rPr>
          <w:rFonts w:ascii="Arial" w:eastAsia="Arial" w:hAnsi="Arial" w:cs="Arial"/>
          <w:sz w:val="22"/>
          <w:szCs w:val="22"/>
        </w:rPr>
        <w:t>El Documento Tipo, para el momento en el que se formuló la presente consulta</w:t>
      </w:r>
      <w:r>
        <w:rPr>
          <w:rFonts w:ascii="Arial" w:eastAsia="Arial" w:hAnsi="Arial" w:cs="Arial"/>
          <w:sz w:val="22"/>
          <w:szCs w:val="22"/>
        </w:rPr>
        <w:t>, esto es</w:t>
      </w:r>
      <w:r w:rsidRPr="009831B2">
        <w:rPr>
          <w:rFonts w:ascii="Arial" w:eastAsia="Arial" w:hAnsi="Arial" w:cs="Arial"/>
          <w:sz w:val="22"/>
          <w:szCs w:val="22"/>
        </w:rPr>
        <w:t>,</w:t>
      </w:r>
      <w:r>
        <w:rPr>
          <w:rFonts w:ascii="Arial" w:eastAsia="Arial" w:hAnsi="Arial" w:cs="Arial"/>
          <w:sz w:val="22"/>
          <w:szCs w:val="22"/>
        </w:rPr>
        <w:t xml:space="preserve"> para el 9 de julio de 2020,</w:t>
      </w:r>
      <w:r w:rsidRPr="009831B2">
        <w:rPr>
          <w:rFonts w:ascii="Arial" w:eastAsia="Arial" w:hAnsi="Arial" w:cs="Arial"/>
          <w:sz w:val="22"/>
          <w:szCs w:val="22"/>
        </w:rPr>
        <w:t xml:space="preserve"> no limitaba al oferente frente al número de cuadrillas de trabajo adicional que se compromet</w:t>
      </w:r>
      <w:r>
        <w:rPr>
          <w:rFonts w:ascii="Arial" w:eastAsia="Arial" w:hAnsi="Arial" w:cs="Arial"/>
          <w:sz w:val="22"/>
          <w:szCs w:val="22"/>
        </w:rPr>
        <w:t>ía</w:t>
      </w:r>
      <w:r w:rsidRPr="009831B2">
        <w:rPr>
          <w:rFonts w:ascii="Arial" w:eastAsia="Arial" w:hAnsi="Arial" w:cs="Arial"/>
          <w:sz w:val="22"/>
          <w:szCs w:val="22"/>
        </w:rPr>
        <w:t xml:space="preserve"> a otorgar al proyecto, ni tampoco respecto al número de meses de mantenimiento rutinario adicional. Estos ofrecimientos dependían únicamente de las capacidades propias de cada oferente; ya que se realizaba dependiendo de su infraestructura y capacidad financiera y la labor de análisis de las condiciones bajo las cuales presentará su propuesta, además que cumplir estos ofrecimientos constituía una obligación contractual –lo sigue haciendo–, con todas las consecuencias que ello apareja, de manera que los proponentes ofertaban lo que podían cumplir. </w:t>
      </w:r>
      <w:r>
        <w:rPr>
          <w:rFonts w:ascii="Arial" w:eastAsia="Arial" w:hAnsi="Arial" w:cs="Arial"/>
          <w:sz w:val="22"/>
          <w:szCs w:val="22"/>
        </w:rPr>
        <w:t xml:space="preserve"> </w:t>
      </w:r>
    </w:p>
    <w:p w14:paraId="78C62D7E" w14:textId="77777777" w:rsidR="005B4987" w:rsidRDefault="005B4987" w:rsidP="005B4987">
      <w:pPr>
        <w:spacing w:line="276" w:lineRule="auto"/>
        <w:ind w:firstLine="708"/>
        <w:jc w:val="both"/>
        <w:rPr>
          <w:rFonts w:ascii="Arial" w:eastAsia="Arial" w:hAnsi="Arial" w:cs="Arial"/>
          <w:sz w:val="22"/>
          <w:szCs w:val="22"/>
        </w:rPr>
      </w:pPr>
      <w:r>
        <w:rPr>
          <w:rFonts w:ascii="Arial" w:eastAsia="Arial" w:hAnsi="Arial" w:cs="Arial"/>
          <w:sz w:val="22"/>
          <w:szCs w:val="22"/>
        </w:rPr>
        <w:t>Tampoco existía un deber o facultad de las entidades para establecer topes a estos factores, ya que esto era dejado por el Documento Tipo a la autonomía de los oferentes, en la medida que la razonabilidad de los ofrecimientos sería producto de la libre competencia y de la capacidad de los participantes del proceso de selección para materializar lo ofertado una vez adjudicado el contrato, en la ejecución real.</w:t>
      </w:r>
    </w:p>
    <w:p w14:paraId="65CC398D" w14:textId="77777777" w:rsidR="005B4987" w:rsidRDefault="005B4987" w:rsidP="005B4987">
      <w:pPr>
        <w:tabs>
          <w:tab w:val="left" w:pos="709"/>
        </w:tabs>
        <w:spacing w:before="120" w:after="120" w:line="276" w:lineRule="auto"/>
        <w:jc w:val="both"/>
        <w:rPr>
          <w:rFonts w:ascii="Arial" w:eastAsia="Arial" w:hAnsi="Arial" w:cs="Arial"/>
          <w:sz w:val="22"/>
          <w:szCs w:val="22"/>
        </w:rPr>
      </w:pPr>
      <w:r>
        <w:rPr>
          <w:rFonts w:ascii="Arial" w:eastAsia="Arial" w:hAnsi="Arial" w:cs="Arial"/>
          <w:sz w:val="22"/>
          <w:szCs w:val="22"/>
        </w:rPr>
        <w:tab/>
        <w:t xml:space="preserve">A similares conclusiones podría arribarse en lo que respecta a la «garantía suplementaria o adicional» y al «mantenimiento adicional», en la medida en que, a la fecha de radicación de la consulta </w:t>
      </w:r>
      <w:r>
        <w:rPr>
          <w:rFonts w:ascii="Arial" w:eastAsia="Arial" w:hAnsi="Arial" w:cs="Arial"/>
          <w:i/>
          <w:sz w:val="22"/>
          <w:szCs w:val="22"/>
        </w:rPr>
        <w:t>sub examine</w:t>
      </w:r>
      <w:r>
        <w:rPr>
          <w:rFonts w:ascii="Arial" w:eastAsia="Arial" w:hAnsi="Arial" w:cs="Arial"/>
          <w:sz w:val="22"/>
          <w:szCs w:val="22"/>
        </w:rPr>
        <w:t xml:space="preserve">, la entidad tenía proscrito entrar a limitar el ofrecimiento adicional que los oferentes hacen de estos ítems, habida consideración de los beneficios que tales ofrecimientos traen para la estabilidad y durabilidad de la obra a contratar y, por ende, para las personas que se beneficiaran de ella. </w:t>
      </w:r>
    </w:p>
    <w:p w14:paraId="66C8BCF3" w14:textId="311E7D06" w:rsidR="005B4987" w:rsidRDefault="005B4987" w:rsidP="005B4987">
      <w:pPr>
        <w:tabs>
          <w:tab w:val="left" w:pos="709"/>
        </w:tabs>
        <w:spacing w:line="276" w:lineRule="auto"/>
        <w:jc w:val="both"/>
        <w:rPr>
          <w:rFonts w:ascii="Arial" w:eastAsia="Arial" w:hAnsi="Arial" w:cs="Arial"/>
          <w:sz w:val="22"/>
          <w:szCs w:val="22"/>
        </w:rPr>
      </w:pPr>
      <w:r>
        <w:rPr>
          <w:rFonts w:ascii="Arial" w:eastAsia="Arial" w:hAnsi="Arial" w:cs="Arial"/>
          <w:sz w:val="22"/>
          <w:szCs w:val="22"/>
        </w:rPr>
        <w:tab/>
        <w:t xml:space="preserve">Sin perjuicio de lo anterior, se le informa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3E05913E" w14:textId="74B7F7FA" w:rsidR="005B4987" w:rsidRDefault="005B4987" w:rsidP="005B4987">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términos generales, para los procesos iniciados en vigencia de la Resolución 116 de 2020, en esta resolución se dispuso: i) que e</w:t>
      </w:r>
      <w:r w:rsidRPr="00AF1112">
        <w:rPr>
          <w:rFonts w:ascii="Arial" w:eastAsia="Arial" w:hAnsi="Arial" w:cs="Arial"/>
          <w:sz w:val="22"/>
          <w:szCs w:val="22"/>
          <w:lang w:val="es-CO"/>
        </w:rPr>
        <w:t xml:space="preserve">l ofrecimiento </w:t>
      </w:r>
      <w:r>
        <w:rPr>
          <w:rFonts w:ascii="Arial" w:eastAsia="Arial" w:hAnsi="Arial" w:cs="Arial"/>
          <w:sz w:val="22"/>
          <w:szCs w:val="22"/>
          <w:lang w:val="es-CO"/>
        </w:rPr>
        <w:t>d</w:t>
      </w:r>
      <w:r w:rsidRPr="00AF1112">
        <w:rPr>
          <w:rFonts w:ascii="Arial" w:eastAsia="Arial" w:hAnsi="Arial" w:cs="Arial"/>
          <w:sz w:val="22"/>
          <w:szCs w:val="22"/>
          <w:lang w:val="es-CO"/>
        </w:rPr>
        <w:t xml:space="preserve">el proponente </w:t>
      </w:r>
      <w:r>
        <w:rPr>
          <w:rFonts w:ascii="Arial" w:eastAsia="Arial" w:hAnsi="Arial" w:cs="Arial"/>
          <w:sz w:val="22"/>
          <w:szCs w:val="22"/>
          <w:lang w:val="es-CO"/>
        </w:rPr>
        <w:t xml:space="preserve">sobre la </w:t>
      </w:r>
      <w:r w:rsidRPr="00AF1112">
        <w:rPr>
          <w:rFonts w:ascii="Arial" w:eastAsia="Arial" w:hAnsi="Arial" w:cs="Arial"/>
          <w:sz w:val="22"/>
          <w:szCs w:val="22"/>
          <w:lang w:val="es-CO"/>
        </w:rPr>
        <w:t>«garantía suplementaria o adicional»</w:t>
      </w:r>
      <w:r>
        <w:rPr>
          <w:rFonts w:ascii="Arial" w:eastAsia="Arial" w:hAnsi="Arial" w:cs="Arial"/>
          <w:sz w:val="22"/>
          <w:szCs w:val="22"/>
          <w:lang w:val="es-CO"/>
        </w:rPr>
        <w:t xml:space="preserve"> </w:t>
      </w:r>
      <w:r w:rsidRPr="00AF1112">
        <w:rPr>
          <w:rFonts w:ascii="Arial" w:eastAsia="Arial" w:hAnsi="Arial" w:cs="Arial"/>
          <w:sz w:val="22"/>
          <w:szCs w:val="22"/>
          <w:lang w:val="es-CO"/>
        </w:rPr>
        <w:t>y el «mantenimiento adicional»</w:t>
      </w:r>
      <w:r>
        <w:rPr>
          <w:rFonts w:ascii="Arial" w:eastAsia="Arial" w:hAnsi="Arial" w:cs="Arial"/>
          <w:sz w:val="22"/>
          <w:szCs w:val="22"/>
          <w:lang w:val="es-CO"/>
        </w:rPr>
        <w:t xml:space="preserve">, </w:t>
      </w:r>
      <w:r w:rsidRPr="00AF1112">
        <w:rPr>
          <w:rFonts w:ascii="Arial" w:eastAsia="Arial" w:hAnsi="Arial" w:cs="Arial"/>
          <w:sz w:val="22"/>
          <w:szCs w:val="22"/>
          <w:lang w:val="es-CO"/>
        </w:rPr>
        <w:t xml:space="preserve">no </w:t>
      </w:r>
      <w:proofErr w:type="spellStart"/>
      <w:r w:rsidRPr="00AF1112">
        <w:rPr>
          <w:rFonts w:ascii="Arial" w:eastAsia="Arial" w:hAnsi="Arial" w:cs="Arial"/>
          <w:sz w:val="22"/>
          <w:szCs w:val="22"/>
          <w:lang w:val="es-CO"/>
        </w:rPr>
        <w:t>podra</w:t>
      </w:r>
      <w:proofErr w:type="spellEnd"/>
      <w:r w:rsidRPr="00AF1112">
        <w:rPr>
          <w:rFonts w:ascii="Arial" w:eastAsia="Arial" w:hAnsi="Arial" w:cs="Arial"/>
          <w:sz w:val="22"/>
          <w:szCs w:val="22"/>
          <w:lang w:val="es-CO"/>
        </w:rPr>
        <w:t>́ superar</w:t>
      </w:r>
      <w:r>
        <w:rPr>
          <w:rFonts w:ascii="Arial" w:eastAsia="Arial" w:hAnsi="Arial" w:cs="Arial"/>
          <w:sz w:val="22"/>
          <w:szCs w:val="22"/>
          <w:lang w:val="es-CO"/>
        </w:rPr>
        <w:t xml:space="preserve"> </w:t>
      </w:r>
      <w:r>
        <w:rPr>
          <w:rFonts w:ascii="Arial" w:eastAsia="Arial" w:hAnsi="Arial" w:cs="Arial"/>
          <w:sz w:val="22"/>
          <w:szCs w:val="22"/>
        </w:rPr>
        <w:t xml:space="preserve">el </w:t>
      </w:r>
      <w:r>
        <w:rPr>
          <w:rFonts w:ascii="Arial" w:eastAsia="Arial" w:hAnsi="Arial" w:cs="Arial"/>
          <w:sz w:val="22"/>
          <w:szCs w:val="22"/>
        </w:rPr>
        <w:lastRenderedPageBreak/>
        <w:t>«[…] valor porcentual máximo entre el siguiente rango: entre el 30% y el 50% del plazo establecido por la entidad para la garantía de estabilidad y calidad de la obra […]»</w:t>
      </w:r>
      <w:r>
        <w:rPr>
          <w:rStyle w:val="Refdenotaalpie"/>
          <w:rFonts w:ascii="Arial" w:eastAsia="Arial" w:hAnsi="Arial" w:cs="Arial"/>
          <w:sz w:val="22"/>
          <w:szCs w:val="22"/>
        </w:rPr>
        <w:footnoteReference w:id="22"/>
      </w:r>
      <w:r>
        <w:rPr>
          <w:rFonts w:ascii="Arial" w:eastAsia="Arial" w:hAnsi="Arial" w:cs="Arial"/>
          <w:sz w:val="22"/>
          <w:szCs w:val="22"/>
        </w:rPr>
        <w:t xml:space="preserve">, valor porcentual que fija libremente la autoridad contratante dentro del referido rango; y </w:t>
      </w:r>
      <w:proofErr w:type="spellStart"/>
      <w:r>
        <w:rPr>
          <w:rFonts w:ascii="Arial" w:eastAsia="Arial" w:hAnsi="Arial" w:cs="Arial"/>
          <w:sz w:val="22"/>
          <w:szCs w:val="22"/>
        </w:rPr>
        <w:t>ii</w:t>
      </w:r>
      <w:proofErr w:type="spellEnd"/>
      <w:r>
        <w:rPr>
          <w:rFonts w:ascii="Arial" w:eastAsia="Arial" w:hAnsi="Arial" w:cs="Arial"/>
          <w:sz w:val="22"/>
          <w:szCs w:val="22"/>
        </w:rPr>
        <w:t xml:space="preserve">) que, </w:t>
      </w:r>
      <w:r>
        <w:rPr>
          <w:rFonts w:ascii="Arial" w:eastAsia="Arial" w:hAnsi="Arial" w:cs="Arial"/>
          <w:sz w:val="22"/>
          <w:szCs w:val="22"/>
          <w:lang w:val="es-CO"/>
        </w:rPr>
        <w:t xml:space="preserve">en relación con </w:t>
      </w:r>
      <w:r>
        <w:rPr>
          <w:rFonts w:ascii="Arial" w:eastAsia="Arial" w:hAnsi="Arial" w:cs="Arial"/>
          <w:sz w:val="22"/>
          <w:szCs w:val="22"/>
        </w:rPr>
        <w:t>las «cuadrillas de trabajo» adicionales</w:t>
      </w:r>
      <w:r>
        <w:rPr>
          <w:rFonts w:ascii="Arial" w:eastAsia="Arial" w:hAnsi="Arial" w:cs="Arial"/>
          <w:sz w:val="22"/>
          <w:szCs w:val="22"/>
          <w:lang w:val="es-CO"/>
        </w:rPr>
        <w:t>, l</w:t>
      </w:r>
      <w:r>
        <w:rPr>
          <w:rFonts w:ascii="Arial" w:eastAsia="Arial" w:hAnsi="Arial" w:cs="Arial"/>
          <w:sz w:val="22"/>
          <w:szCs w:val="22"/>
        </w:rPr>
        <w:t>as entidades deben elegir si establecen un estimado de frentes de trabajo o si no lo establecen, pues, en el primer evento, «</w:t>
      </w:r>
      <w:r>
        <w:rPr>
          <w:rFonts w:ascii="ArialMT" w:hAnsi="ArialMT"/>
          <w:sz w:val="22"/>
          <w:szCs w:val="22"/>
        </w:rPr>
        <w:t>[e]</w:t>
      </w:r>
      <w:r w:rsidRPr="00FA45E7">
        <w:rPr>
          <w:rFonts w:ascii="ArialMT" w:hAnsi="ArialMT"/>
          <w:sz w:val="22"/>
          <w:szCs w:val="22"/>
        </w:rPr>
        <w:t xml:space="preserve">l proponente </w:t>
      </w:r>
      <w:proofErr w:type="spellStart"/>
      <w:r w:rsidRPr="00FA45E7">
        <w:rPr>
          <w:rFonts w:ascii="ArialMT" w:hAnsi="ArialMT"/>
          <w:sz w:val="22"/>
          <w:szCs w:val="22"/>
        </w:rPr>
        <w:t>podra</w:t>
      </w:r>
      <w:proofErr w:type="spellEnd"/>
      <w:r w:rsidRPr="00FA45E7">
        <w:rPr>
          <w:rFonts w:ascii="ArialMT" w:hAnsi="ArialMT"/>
          <w:sz w:val="22"/>
          <w:szCs w:val="22"/>
        </w:rPr>
        <w:t xml:space="preserve">́ ofrecer hasta </w:t>
      </w:r>
      <w:proofErr w:type="spellStart"/>
      <w:r w:rsidRPr="00FA45E7">
        <w:rPr>
          <w:rFonts w:ascii="ArialMT" w:hAnsi="ArialMT"/>
          <w:sz w:val="22"/>
          <w:szCs w:val="22"/>
        </w:rPr>
        <w:t>máximo</w:t>
      </w:r>
      <w:proofErr w:type="spellEnd"/>
      <w:r w:rsidRPr="00FA45E7">
        <w:rPr>
          <w:rFonts w:ascii="ArialMT" w:hAnsi="ArialMT"/>
          <w:sz w:val="22"/>
          <w:szCs w:val="22"/>
        </w:rPr>
        <w:t xml:space="preserve"> 2 cuadrillas por cada frente de trabajo</w:t>
      </w:r>
      <w:r>
        <w:rPr>
          <w:rFonts w:ascii="ArialMT" w:hAnsi="ArialMT"/>
          <w:sz w:val="22"/>
          <w:szCs w:val="22"/>
        </w:rPr>
        <w:t>»</w:t>
      </w:r>
      <w:r>
        <w:rPr>
          <w:rStyle w:val="Refdenotaalpie"/>
          <w:rFonts w:ascii="ArialMT" w:hAnsi="ArialMT"/>
          <w:sz w:val="22"/>
          <w:szCs w:val="22"/>
        </w:rPr>
        <w:footnoteReference w:id="23"/>
      </w:r>
      <w:r>
        <w:rPr>
          <w:rFonts w:ascii="ArialMT" w:hAnsi="ArialMT"/>
          <w:sz w:val="22"/>
          <w:szCs w:val="22"/>
        </w:rPr>
        <w:t>, mientras que en el segundo, «[…]</w:t>
      </w:r>
      <w:r w:rsidRPr="00B21E3B">
        <w:rPr>
          <w:rFonts w:ascii="ArialMT" w:hAnsi="ArialMT"/>
          <w:sz w:val="22"/>
          <w:szCs w:val="22"/>
        </w:rPr>
        <w:t xml:space="preserve"> </w:t>
      </w:r>
      <w:proofErr w:type="spellStart"/>
      <w:r w:rsidRPr="00B21E3B">
        <w:rPr>
          <w:rFonts w:ascii="ArialMT" w:hAnsi="ArialMT"/>
          <w:sz w:val="22"/>
          <w:szCs w:val="22"/>
        </w:rPr>
        <w:t>ofrecera</w:t>
      </w:r>
      <w:proofErr w:type="spellEnd"/>
      <w:r w:rsidRPr="00B21E3B">
        <w:rPr>
          <w:rFonts w:ascii="ArialMT" w:hAnsi="ArialMT"/>
          <w:sz w:val="22"/>
          <w:szCs w:val="22"/>
        </w:rPr>
        <w:t>́ 1 cuadrilla adicional por cada 50 obreros que sean requeridos para el proyecto de infraestructura de transporte</w:t>
      </w:r>
      <w:r>
        <w:rPr>
          <w:rFonts w:ascii="ArialMT" w:hAnsi="ArialMT"/>
          <w:sz w:val="22"/>
          <w:szCs w:val="22"/>
        </w:rPr>
        <w:t>»</w:t>
      </w:r>
      <w:r>
        <w:rPr>
          <w:rStyle w:val="Refdenotaalpie"/>
          <w:rFonts w:ascii="ArialMT" w:hAnsi="ArialMT"/>
          <w:sz w:val="22"/>
          <w:szCs w:val="22"/>
        </w:rPr>
        <w:footnoteReference w:id="24"/>
      </w:r>
      <w:r>
        <w:rPr>
          <w:rFonts w:ascii="ArialMT" w:hAnsi="ArialMT"/>
          <w:sz w:val="22"/>
          <w:szCs w:val="22"/>
        </w:rPr>
        <w:t>.</w:t>
      </w:r>
    </w:p>
    <w:p w14:paraId="76A1BEA1" w14:textId="77777777" w:rsidR="005B4987" w:rsidRDefault="005B4987" w:rsidP="005B4987">
      <w:pPr>
        <w:tabs>
          <w:tab w:val="left" w:pos="709"/>
        </w:tabs>
        <w:jc w:val="both"/>
        <w:rPr>
          <w:rFonts w:ascii="Arial" w:eastAsia="Arial" w:hAnsi="Arial" w:cs="Arial"/>
          <w:sz w:val="22"/>
          <w:szCs w:val="22"/>
        </w:rPr>
      </w:pPr>
    </w:p>
    <w:p w14:paraId="361B0ECA" w14:textId="77777777" w:rsidR="005B4987" w:rsidRDefault="005B4987" w:rsidP="005B4987">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Este concepto tiene el alcance previsto en el artículo 28 del Código de Procedimiento Administrativo y de lo Contencioso Administrativo.</w:t>
      </w:r>
    </w:p>
    <w:p w14:paraId="47132F3A" w14:textId="77777777" w:rsidR="005B4987" w:rsidRDefault="005B4987" w:rsidP="005B4987">
      <w:pPr>
        <w:spacing w:line="276" w:lineRule="auto"/>
        <w:rPr>
          <w:rFonts w:ascii="Arial" w:eastAsia="Arial" w:hAnsi="Arial" w:cs="Arial"/>
          <w:color w:val="000000"/>
          <w:sz w:val="22"/>
          <w:szCs w:val="22"/>
        </w:rPr>
      </w:pPr>
    </w:p>
    <w:p w14:paraId="4607A7BA" w14:textId="77777777" w:rsidR="005B4987" w:rsidRDefault="005B4987" w:rsidP="005B4987">
      <w:pPr>
        <w:spacing w:line="276" w:lineRule="auto"/>
        <w:rPr>
          <w:rFonts w:ascii="Arial" w:eastAsia="Arial" w:hAnsi="Arial" w:cs="Arial"/>
          <w:color w:val="000000"/>
          <w:sz w:val="22"/>
          <w:szCs w:val="22"/>
        </w:rPr>
      </w:pPr>
      <w:r>
        <w:rPr>
          <w:rFonts w:ascii="Arial" w:eastAsia="Arial" w:hAnsi="Arial" w:cs="Arial"/>
          <w:color w:val="000000"/>
          <w:sz w:val="22"/>
          <w:szCs w:val="22"/>
        </w:rPr>
        <w:t>Atentamente,</w:t>
      </w:r>
    </w:p>
    <w:p w14:paraId="3D43BD7E" w14:textId="036545B3" w:rsidR="005B4987" w:rsidRDefault="00AA46C7" w:rsidP="00F63EA1">
      <w:pPr>
        <w:jc w:val="center"/>
        <w:rPr>
          <w:rFonts w:ascii="Arial" w:eastAsia="Arial" w:hAnsi="Arial" w:cs="Arial"/>
          <w:color w:val="000000"/>
          <w:sz w:val="18"/>
          <w:szCs w:val="18"/>
        </w:rPr>
      </w:pPr>
      <w:r>
        <w:rPr>
          <w:noProof/>
        </w:rPr>
        <w:drawing>
          <wp:inline distT="0" distB="0" distL="0" distR="0" wp14:anchorId="13451CE7" wp14:editId="215EA341">
            <wp:extent cx="2773144" cy="988695"/>
            <wp:effectExtent l="0" t="0" r="0" b="0"/>
            <wp:docPr id="1587289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9">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F2F994D" w14:textId="77777777" w:rsidR="00B842FF" w:rsidRDefault="00B842FF" w:rsidP="00F63EA1">
      <w:pPr>
        <w:jc w:val="center"/>
        <w:rPr>
          <w:rFonts w:ascii="Arial" w:eastAsia="Arial" w:hAnsi="Arial" w:cs="Arial"/>
          <w:color w:val="000000"/>
          <w:sz w:val="18"/>
          <w:szCs w:val="18"/>
        </w:rPr>
      </w:pPr>
    </w:p>
    <w:tbl>
      <w:tblPr>
        <w:tblStyle w:val="a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5B4987" w14:paraId="648FD7F9" w14:textId="77777777" w:rsidTr="0036760E">
        <w:trPr>
          <w:trHeight w:val="315"/>
        </w:trPr>
        <w:tc>
          <w:tcPr>
            <w:tcW w:w="812" w:type="dxa"/>
            <w:vAlign w:val="center"/>
          </w:tcPr>
          <w:p w14:paraId="6AC963B6"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4B032E42"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David Castellanos Carreño</w:t>
            </w:r>
          </w:p>
          <w:p w14:paraId="54127E9B"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Contratista de la Subdirección de Gestión Contractual</w:t>
            </w:r>
          </w:p>
        </w:tc>
      </w:tr>
      <w:tr w:rsidR="005B4987" w14:paraId="42124C06" w14:textId="77777777" w:rsidTr="0036760E">
        <w:trPr>
          <w:trHeight w:val="330"/>
        </w:trPr>
        <w:tc>
          <w:tcPr>
            <w:tcW w:w="812" w:type="dxa"/>
            <w:vAlign w:val="center"/>
          </w:tcPr>
          <w:p w14:paraId="7D5D5939"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0134E3E2"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Cristian Andrés Díaz Díez</w:t>
            </w:r>
          </w:p>
          <w:p w14:paraId="65171876"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Contratista, Subdirección de Gestión Contractual</w:t>
            </w:r>
          </w:p>
        </w:tc>
      </w:tr>
      <w:tr w:rsidR="005B4987" w14:paraId="33DEED36" w14:textId="77777777" w:rsidTr="0036760E">
        <w:trPr>
          <w:trHeight w:val="300"/>
        </w:trPr>
        <w:tc>
          <w:tcPr>
            <w:tcW w:w="812" w:type="dxa"/>
            <w:vAlign w:val="center"/>
          </w:tcPr>
          <w:p w14:paraId="52FB495C"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0D3A3DB2"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Fabián Gonzalo Marín Cortés</w:t>
            </w:r>
          </w:p>
          <w:p w14:paraId="0E5D7F07" w14:textId="77777777" w:rsidR="005B4987" w:rsidRDefault="005B4987" w:rsidP="0036760E">
            <w:pPr>
              <w:rPr>
                <w:rFonts w:ascii="Arial" w:eastAsia="Arial" w:hAnsi="Arial" w:cs="Arial"/>
                <w:color w:val="000000"/>
                <w:sz w:val="16"/>
                <w:szCs w:val="16"/>
              </w:rPr>
            </w:pPr>
            <w:r>
              <w:rPr>
                <w:rFonts w:ascii="Arial" w:eastAsia="Arial" w:hAnsi="Arial" w:cs="Arial"/>
                <w:color w:val="000000"/>
                <w:sz w:val="16"/>
                <w:szCs w:val="16"/>
              </w:rPr>
              <w:t>Subdirector de Gestión Contractual</w:t>
            </w:r>
          </w:p>
        </w:tc>
      </w:tr>
    </w:tbl>
    <w:p w14:paraId="4FF73D92" w14:textId="77777777" w:rsidR="00F50B11" w:rsidRPr="005B4987" w:rsidRDefault="00F50B11" w:rsidP="005B4987"/>
    <w:sectPr w:rsidR="00F50B11" w:rsidRPr="005B4987">
      <w:headerReference w:type="default" r:id="rId10"/>
      <w:footerReference w:type="default" r:id="rId11"/>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C3F9B" w14:textId="77777777" w:rsidR="00A07F05" w:rsidRDefault="00A07F05">
      <w:r>
        <w:separator/>
      </w:r>
    </w:p>
  </w:endnote>
  <w:endnote w:type="continuationSeparator" w:id="0">
    <w:p w14:paraId="577EB294" w14:textId="77777777" w:rsidR="00A07F05" w:rsidRDefault="00A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77777777" w:rsidR="005F6B6C" w:rsidRDefault="005F6B6C"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CBC552C" w14:textId="77777777" w:rsidR="00702902" w:rsidRDefault="00702902" w:rsidP="00702902">
    <w:pPr>
      <w:pStyle w:val="Piedepgina"/>
      <w:jc w:val="right"/>
      <w:rPr>
        <w:rFonts w:ascii="Arial" w:hAnsi="Arial" w:cs="Arial"/>
        <w:bCs/>
        <w:color w:val="7F7F7F" w:themeColor="text1" w:themeTint="80"/>
        <w:sz w:val="16"/>
        <w:szCs w:val="16"/>
      </w:rPr>
    </w:pPr>
  </w:p>
  <w:p w14:paraId="33B9CDB4" w14:textId="399B7AA1" w:rsidR="00702902" w:rsidRPr="008217B7" w:rsidRDefault="00702902" w:rsidP="00702902">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P</w:t>
    </w:r>
    <w:r w:rsidRPr="008217B7">
      <w:rPr>
        <w:rFonts w:ascii="Arial" w:hAnsi="Arial" w:cs="Arial"/>
        <w:bCs/>
        <w:color w:val="7F7F7F" w:themeColor="text1" w:themeTint="80"/>
        <w:sz w:val="16"/>
        <w:szCs w:val="16"/>
      </w:rPr>
      <w:t xml:space="preserve">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28</w:t>
    </w:r>
    <w:r w:rsidRPr="00084B97">
      <w:rPr>
        <w:rFonts w:ascii="Arial" w:hAnsi="Arial" w:cs="Arial"/>
        <w:b/>
        <w:bCs/>
        <w:color w:val="7F7F7F" w:themeColor="text1" w:themeTint="80"/>
        <w:sz w:val="16"/>
        <w:szCs w:val="16"/>
      </w:rPr>
      <w:fldChar w:fldCharType="end"/>
    </w:r>
  </w:p>
  <w:p w14:paraId="7A154AE1" w14:textId="77777777" w:rsidR="00702902" w:rsidRDefault="00702902" w:rsidP="00702902">
    <w:pPr>
      <w:pStyle w:val="Piedepgina"/>
      <w:jc w:val="center"/>
      <w:rPr>
        <w:lang w:val="es-ES"/>
      </w:rPr>
    </w:pPr>
  </w:p>
  <w:p w14:paraId="1DE68770" w14:textId="77777777" w:rsidR="00702902" w:rsidRDefault="00702902" w:rsidP="00702902">
    <w:pPr>
      <w:pStyle w:val="Piedepgina"/>
      <w:jc w:val="center"/>
    </w:pPr>
    <w:r>
      <w:rPr>
        <w:noProof/>
        <w:lang w:val="en-US"/>
      </w:rPr>
      <w:drawing>
        <wp:inline distT="0" distB="0" distL="0" distR="0" wp14:anchorId="2FE6842B" wp14:editId="39692D1A">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F528F35" w14:textId="77777777" w:rsidR="00734B72" w:rsidRDefault="00734B72" w:rsidP="00F63EA1">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2CFD5" w14:textId="77777777" w:rsidR="00A07F05" w:rsidRDefault="00A07F05">
      <w:r>
        <w:separator/>
      </w:r>
    </w:p>
  </w:footnote>
  <w:footnote w:type="continuationSeparator" w:id="0">
    <w:p w14:paraId="51535B77" w14:textId="77777777" w:rsidR="00A07F05" w:rsidRDefault="00A07F05">
      <w:r>
        <w:continuationSeparator/>
      </w:r>
    </w:p>
  </w:footnote>
  <w:footnote w:id="1">
    <w:p w14:paraId="131B355C"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Al respecto, conviene recordar el artículo 29 de la Ley 80 de 1993, derogado por el artículo 32 de la Ley 1150 de 2007, que establecía: «La selección de contratistas será objetiva.</w:t>
      </w:r>
    </w:p>
    <w:p w14:paraId="15DAD714"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»Es</w:t>
      </w:r>
      <w:proofErr w:type="gramEnd"/>
      <w:r w:rsidRPr="00E86699">
        <w:rPr>
          <w:rFonts w:ascii="Arial" w:eastAsia="Arial" w:hAnsi="Arial" w:cs="Arial"/>
          <w:color w:val="000000"/>
          <w:sz w:val="19"/>
          <w:szCs w:val="19"/>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0779C6C7"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eastAsia="Arial" w:hAnsi="Arial" w:cs="Arial"/>
          <w:color w:val="000000"/>
          <w:sz w:val="19"/>
          <w:szCs w:val="19"/>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E86699">
        <w:rPr>
          <w:rFonts w:ascii="Arial" w:eastAsia="Arial" w:hAnsi="Arial" w:cs="Arial"/>
          <w:color w:val="000000"/>
          <w:sz w:val="19"/>
          <w:szCs w:val="19"/>
        </w:rPr>
        <w:t>pliegos,</w:t>
      </w:r>
      <w:proofErr w:type="gramEnd"/>
      <w:r w:rsidRPr="00E86699">
        <w:rPr>
          <w:rFonts w:ascii="Arial" w:eastAsia="Arial" w:hAnsi="Arial" w:cs="Arial"/>
          <w:color w:val="000000"/>
          <w:sz w:val="19"/>
          <w:szCs w:val="19"/>
        </w:rPr>
        <w:t xml:space="preserve"> no será objeto de evaluación».</w:t>
      </w:r>
    </w:p>
    <w:p w14:paraId="65CB6FB8"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»El</w:t>
      </w:r>
      <w:proofErr w:type="gramEnd"/>
      <w:r w:rsidRPr="00E86699">
        <w:rPr>
          <w:rFonts w:ascii="Arial" w:eastAsia="Arial" w:hAnsi="Arial" w:cs="Arial"/>
          <w:color w:val="000000"/>
          <w:sz w:val="19"/>
          <w:szCs w:val="19"/>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4889E539"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»En</w:t>
      </w:r>
      <w:proofErr w:type="gramEnd"/>
      <w:r w:rsidRPr="00E86699">
        <w:rPr>
          <w:rFonts w:ascii="Arial" w:eastAsia="Arial" w:hAnsi="Arial" w:cs="Arial"/>
          <w:color w:val="000000"/>
          <w:sz w:val="19"/>
          <w:szCs w:val="19"/>
        </w:rPr>
        <w:t xml:space="preserve"> caso de comparación de propuestas nacionales y extranjeras, se incluirán los costos necesarios para la entrega del producto terminado en el lugar de su utilización».</w:t>
      </w:r>
    </w:p>
    <w:p w14:paraId="6D2B8D74"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
  </w:footnote>
  <w:footnote w:id="2">
    <w:p w14:paraId="3ADE7B80"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Se resaltan: i) el primer inciso del artículo 21, que obliga a las entidades estatales a tener en cuenta la selección objetiva, al garantizar la participación de los oferentes de bienes y servicios de origen nacional, </w:t>
      </w:r>
      <w:proofErr w:type="spellStart"/>
      <w:r w:rsidRPr="00E86699">
        <w:rPr>
          <w:rFonts w:ascii="Arial" w:eastAsia="Arial" w:hAnsi="Arial" w:cs="Arial"/>
          <w:color w:val="000000"/>
          <w:sz w:val="19"/>
          <w:szCs w:val="19"/>
        </w:rPr>
        <w:t>ii</w:t>
      </w:r>
      <w:proofErr w:type="spellEnd"/>
      <w:r w:rsidRPr="00E86699">
        <w:rPr>
          <w:rFonts w:ascii="Arial" w:eastAsia="Arial" w:hAnsi="Arial" w:cs="Arial"/>
          <w:color w:val="000000"/>
          <w:sz w:val="19"/>
          <w:szCs w:val="19"/>
        </w:rPr>
        <w:t xml:space="preserve">) el artículo 24, numeral 5º, literal a), que manda que en los pliegos de condiciones se indiquen «[…] los requisitos objetivos necesarios para participar en el correspondiente proceso de selección», </w:t>
      </w:r>
      <w:proofErr w:type="spellStart"/>
      <w:r w:rsidRPr="00E86699">
        <w:rPr>
          <w:rFonts w:ascii="Arial" w:eastAsia="Arial" w:hAnsi="Arial" w:cs="Arial"/>
          <w:color w:val="000000"/>
          <w:sz w:val="19"/>
          <w:szCs w:val="19"/>
        </w:rPr>
        <w:t>iii</w:t>
      </w:r>
      <w:proofErr w:type="spellEnd"/>
      <w:r w:rsidRPr="00E86699">
        <w:rPr>
          <w:rFonts w:ascii="Arial" w:eastAsia="Arial" w:hAnsi="Arial" w:cs="Arial"/>
          <w:color w:val="000000"/>
          <w:sz w:val="19"/>
          <w:szCs w:val="19"/>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E86699">
        <w:rPr>
          <w:rFonts w:ascii="Arial" w:eastAsia="Arial" w:hAnsi="Arial" w:cs="Arial"/>
          <w:color w:val="000000"/>
          <w:sz w:val="19"/>
          <w:szCs w:val="19"/>
        </w:rPr>
        <w:t>iv</w:t>
      </w:r>
      <w:proofErr w:type="spellEnd"/>
      <w:r w:rsidRPr="00E86699">
        <w:rPr>
          <w:rFonts w:ascii="Arial" w:eastAsia="Arial" w:hAnsi="Arial" w:cs="Arial"/>
          <w:color w:val="000000"/>
          <w:sz w:val="19"/>
          <w:szCs w:val="19"/>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E86699">
        <w:rPr>
          <w:rFonts w:ascii="Arial" w:eastAsia="Arial" w:hAnsi="Arial" w:cs="Arial"/>
          <w:color w:val="000000"/>
          <w:sz w:val="19"/>
          <w:szCs w:val="19"/>
        </w:rPr>
        <w:t>vii</w:t>
      </w:r>
      <w:proofErr w:type="spellEnd"/>
      <w:r w:rsidRPr="00E86699">
        <w:rPr>
          <w:rFonts w:ascii="Arial" w:eastAsia="Arial" w:hAnsi="Arial" w:cs="Arial"/>
          <w:color w:val="000000"/>
          <w:sz w:val="19"/>
          <w:szCs w:val="19"/>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E86699">
        <w:rPr>
          <w:rFonts w:ascii="Arial" w:eastAsia="Arial" w:hAnsi="Arial" w:cs="Arial"/>
          <w:color w:val="000000"/>
          <w:sz w:val="19"/>
          <w:szCs w:val="19"/>
        </w:rPr>
        <w:t>viii</w:t>
      </w:r>
      <w:proofErr w:type="spellEnd"/>
      <w:r w:rsidRPr="00E86699">
        <w:rPr>
          <w:rFonts w:ascii="Arial" w:eastAsia="Arial" w:hAnsi="Arial" w:cs="Arial"/>
          <w:color w:val="000000"/>
          <w:sz w:val="19"/>
          <w:szCs w:val="19"/>
        </w:rPr>
        <w:t xml:space="preserve">) el inciso final del artículo 38, que obliga a las entidades estatales que tengan como objeto la prestación de servicios y actividades de telecomunicaciones a respetar el principio de selección objetiva, y </w:t>
      </w:r>
      <w:proofErr w:type="spellStart"/>
      <w:r w:rsidRPr="00E86699">
        <w:rPr>
          <w:rFonts w:ascii="Arial" w:eastAsia="Arial" w:hAnsi="Arial" w:cs="Arial"/>
          <w:color w:val="000000"/>
          <w:sz w:val="19"/>
          <w:szCs w:val="19"/>
        </w:rPr>
        <w:t>ix</w:t>
      </w:r>
      <w:proofErr w:type="spellEnd"/>
      <w:r w:rsidRPr="00E86699">
        <w:rPr>
          <w:rFonts w:ascii="Arial" w:eastAsia="Arial" w:hAnsi="Arial" w:cs="Arial"/>
          <w:color w:val="000000"/>
          <w:sz w:val="19"/>
          <w:szCs w:val="19"/>
        </w:rPr>
        <w:t>) el segundo inciso del artículo 76, que ordena cumplir también con dicho principio a las entidades que tengan por objeto la exploración, explotación y comercialización de recursos naturales renovables y no renovables.</w:t>
      </w:r>
    </w:p>
    <w:p w14:paraId="0434A7C2"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
  </w:footnote>
  <w:footnote w:id="3">
    <w:p w14:paraId="7314712D"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E86699">
        <w:rPr>
          <w:rFonts w:ascii="Arial" w:eastAsia="Arial" w:hAnsi="Arial" w:cs="Arial"/>
          <w:color w:val="000000"/>
          <w:sz w:val="19"/>
          <w:szCs w:val="19"/>
        </w:rPr>
        <w:t>ii</w:t>
      </w:r>
      <w:proofErr w:type="spellEnd"/>
      <w:r w:rsidRPr="00E86699">
        <w:rPr>
          <w:rFonts w:ascii="Arial" w:eastAsia="Arial" w:hAnsi="Arial" w:cs="Arial"/>
          <w:color w:val="000000"/>
          <w:sz w:val="19"/>
          <w:szCs w:val="19"/>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E86699">
        <w:rPr>
          <w:rFonts w:ascii="Arial" w:eastAsia="Arial" w:hAnsi="Arial" w:cs="Arial"/>
          <w:color w:val="000000"/>
          <w:sz w:val="19"/>
          <w:szCs w:val="19"/>
        </w:rPr>
        <w:t>iii</w:t>
      </w:r>
      <w:proofErr w:type="spellEnd"/>
      <w:r w:rsidRPr="00E86699">
        <w:rPr>
          <w:rFonts w:ascii="Arial" w:eastAsia="Arial" w:hAnsi="Arial" w:cs="Arial"/>
          <w:color w:val="000000"/>
          <w:sz w:val="19"/>
          <w:szCs w:val="19"/>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7246B1EC"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
  </w:footnote>
  <w:footnote w:id="4">
    <w:p w14:paraId="1D249E34"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Consejo de Estado. Sección Tercera. Subsección A. Sentencia del 25 de octubre de 2019. </w:t>
      </w:r>
      <w:proofErr w:type="spellStart"/>
      <w:r w:rsidRPr="00E86699">
        <w:rPr>
          <w:rFonts w:ascii="Arial" w:eastAsia="Arial" w:hAnsi="Arial" w:cs="Arial"/>
          <w:color w:val="000000"/>
          <w:sz w:val="19"/>
          <w:szCs w:val="19"/>
        </w:rPr>
        <w:t>Exp</w:t>
      </w:r>
      <w:proofErr w:type="spellEnd"/>
      <w:r w:rsidRPr="00E86699">
        <w:rPr>
          <w:rFonts w:ascii="Arial" w:eastAsia="Arial" w:hAnsi="Arial" w:cs="Arial"/>
          <w:color w:val="000000"/>
          <w:sz w:val="19"/>
          <w:szCs w:val="19"/>
        </w:rPr>
        <w:t>. 39.945. Consejera Ponente: María Adriana Marín.</w:t>
      </w:r>
    </w:p>
  </w:footnote>
  <w:footnote w:id="5">
    <w:p w14:paraId="20D5E0EC"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 xml:space="preserve">Consejo de Estado. Sección Tercera. Subsección A. Sentencia del 5 de julio de 2018. </w:t>
      </w:r>
      <w:proofErr w:type="spellStart"/>
      <w:r w:rsidRPr="00E86699">
        <w:rPr>
          <w:rFonts w:ascii="Arial" w:eastAsia="Arial" w:hAnsi="Arial" w:cs="Arial"/>
          <w:color w:val="000000"/>
          <w:sz w:val="19"/>
          <w:szCs w:val="19"/>
        </w:rPr>
        <w:t>Exp</w:t>
      </w:r>
      <w:proofErr w:type="spellEnd"/>
      <w:r w:rsidRPr="00E86699">
        <w:rPr>
          <w:rFonts w:ascii="Arial" w:eastAsia="Arial" w:hAnsi="Arial" w:cs="Arial"/>
          <w:color w:val="000000"/>
          <w:sz w:val="19"/>
          <w:szCs w:val="19"/>
        </w:rPr>
        <w:t>. 37.834. Consejero Ponente: Carlos Alberto Zambrano Barrera.</w:t>
      </w:r>
    </w:p>
  </w:footnote>
  <w:footnote w:id="6">
    <w:p w14:paraId="482281C5"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7">
    <w:p w14:paraId="6ED939B5" w14:textId="77777777" w:rsidR="005B4987" w:rsidRPr="00E86699" w:rsidRDefault="005B4987" w:rsidP="005B4987">
      <w:pP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2474 de 2008 (DEROGADO): «art. 10. Reglas de </w:t>
      </w:r>
      <w:proofErr w:type="spellStart"/>
      <w:r w:rsidRPr="00E86699">
        <w:rPr>
          <w:rFonts w:ascii="Arial" w:eastAsia="Arial" w:hAnsi="Arial" w:cs="Arial"/>
          <w:color w:val="000000"/>
          <w:sz w:val="19"/>
          <w:szCs w:val="19"/>
        </w:rPr>
        <w:t>subsanabilidad</w:t>
      </w:r>
      <w:proofErr w:type="spellEnd"/>
      <w:r w:rsidRPr="00E86699">
        <w:rPr>
          <w:rFonts w:ascii="Arial" w:eastAsia="Arial" w:hAnsi="Arial" w:cs="Arial"/>
          <w:color w:val="000000"/>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E86699">
          <w:rPr>
            <w:rFonts w:ascii="Arial" w:eastAsia="Arial" w:hAnsi="Arial" w:cs="Arial"/>
            <w:color w:val="000000"/>
            <w:sz w:val="19"/>
            <w:szCs w:val="19"/>
          </w:rPr>
          <w:t>Ley 1150 de 2007</w:t>
        </w:r>
      </w:hyperlink>
      <w:r w:rsidRPr="00E86699">
        <w:rPr>
          <w:rFonts w:ascii="Arial" w:eastAsia="Arial" w:hAnsi="Arial" w:cs="Arial"/>
          <w:color w:val="000000"/>
          <w:sz w:val="19"/>
          <w:szCs w:val="19"/>
        </w:rPr>
        <w:t> y en el presente decreto.</w:t>
      </w:r>
    </w:p>
    <w:p w14:paraId="1E87B81C" w14:textId="77777777" w:rsidR="005B4987" w:rsidRPr="00E86699" w:rsidRDefault="005B4987" w:rsidP="005B4987">
      <w:pP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»Tales</w:t>
      </w:r>
      <w:proofErr w:type="gramEnd"/>
      <w:r w:rsidRPr="00E86699">
        <w:rPr>
          <w:rFonts w:ascii="Arial" w:eastAsia="Arial" w:hAnsi="Arial" w:cs="Arial"/>
          <w:color w:val="000000"/>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7AEDE9D" w14:textId="77777777" w:rsidR="005B4987" w:rsidRPr="00E86699" w:rsidRDefault="005B4987" w:rsidP="005B4987">
      <w:pP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»Será</w:t>
      </w:r>
      <w:proofErr w:type="gramEnd"/>
      <w:r w:rsidRPr="00E86699">
        <w:rPr>
          <w:rFonts w:ascii="Arial" w:eastAsia="Arial" w:hAnsi="Arial" w:cs="Arial"/>
          <w:color w:val="000000"/>
          <w:sz w:val="19"/>
          <w:szCs w:val="19"/>
        </w:rPr>
        <w:t xml:space="preserve"> rechazada la oferta del proponente que dentro del término previsto en el pliego o en la solicitud, no responda al requerimiento que le haga la entidad para subsanarla.</w:t>
      </w:r>
    </w:p>
    <w:p w14:paraId="6A9F2212" w14:textId="77777777" w:rsidR="005B4987" w:rsidRPr="00E86699" w:rsidRDefault="005B4987" w:rsidP="005B4987">
      <w:pP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»Cuando</w:t>
      </w:r>
      <w:proofErr w:type="gramEnd"/>
      <w:r w:rsidRPr="00E86699">
        <w:rPr>
          <w:rFonts w:ascii="Arial" w:eastAsia="Arial" w:hAnsi="Arial" w:cs="Arial"/>
          <w:color w:val="000000"/>
          <w:sz w:val="19"/>
          <w:szCs w:val="19"/>
        </w:rPr>
        <w:t xml:space="preserve"> se utilice el mecanismo de subasta esta posibilidad deberá ejercerse hasta el momento previo a su realización, de conformidad con el artículo 22 del presente decreto.</w:t>
      </w:r>
    </w:p>
    <w:p w14:paraId="75EB0219" w14:textId="77777777" w:rsidR="005B4987" w:rsidRPr="00E86699" w:rsidRDefault="005B4987" w:rsidP="005B4987">
      <w:pPr>
        <w:ind w:firstLine="709"/>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»En</w:t>
      </w:r>
      <w:proofErr w:type="gramEnd"/>
      <w:r w:rsidRPr="00E86699">
        <w:rPr>
          <w:rFonts w:ascii="Arial" w:eastAsia="Arial" w:hAnsi="Arial" w:cs="Arial"/>
          <w:color w:val="000000"/>
          <w:sz w:val="19"/>
          <w:szCs w:val="19"/>
        </w:rPr>
        <w:t xml:space="preserve"> ningún caso la entidad podrá señalar taxativamente los requisitos o documentos subsanables o no subsanables en el pliego de condiciones, </w:t>
      </w:r>
      <w:r w:rsidRPr="00E86699">
        <w:rPr>
          <w:rFonts w:ascii="Arial" w:eastAsia="Arial" w:hAnsi="Arial" w:cs="Arial"/>
          <w:i/>
          <w:color w:val="000000"/>
          <w:sz w:val="19"/>
          <w:szCs w:val="19"/>
        </w:rPr>
        <w:t>ni permitir que se subsane la falta de capacidad para presentar la oferta, ni que se acrediten circunstancias ocurridas con posterioridad al cierre del proceso</w:t>
      </w:r>
      <w:r w:rsidRPr="00E86699">
        <w:rPr>
          <w:rFonts w:ascii="Arial" w:eastAsia="Arial" w:hAnsi="Arial" w:cs="Arial"/>
          <w:color w:val="000000"/>
          <w:sz w:val="19"/>
          <w:szCs w:val="19"/>
        </w:rPr>
        <w:t xml:space="preserve">». (Cursivas fuera de texto). </w:t>
      </w:r>
    </w:p>
    <w:p w14:paraId="53BC790F"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
  </w:footnote>
  <w:footnote w:id="8">
    <w:p w14:paraId="007D1795"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Consejo de Estado, Sala de Consulta y Servicio Civil, concepto del 6 de noviembre de 2008. C.P. William Zambrano Cetina. Rad. 2008-00079-00(1927).</w:t>
      </w:r>
    </w:p>
    <w:p w14:paraId="59FE6E84"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eastAsia="Arial" w:hAnsi="Arial" w:cs="Arial"/>
          <w:color w:val="000000"/>
          <w:sz w:val="19"/>
          <w:szCs w:val="19"/>
        </w:rPr>
        <w:t xml:space="preserve">  </w:t>
      </w:r>
    </w:p>
  </w:footnote>
  <w:footnote w:id="9">
    <w:p w14:paraId="10E2B16C"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Consejo de Estado, Sala de Consulta y Servicio Civil, concepto del 20 de mayo de 2010. C.P. Enrique José Arboleda Perdomo. Rad. 2010-00034-00(1992).</w:t>
      </w:r>
    </w:p>
    <w:p w14:paraId="63BD37A7" w14:textId="77777777" w:rsidR="005B4987" w:rsidRPr="00E86699" w:rsidRDefault="005B4987" w:rsidP="005B4987">
      <w:pPr>
        <w:pBdr>
          <w:top w:val="nil"/>
          <w:left w:val="nil"/>
          <w:bottom w:val="nil"/>
          <w:right w:val="nil"/>
          <w:between w:val="nil"/>
        </w:pBdr>
        <w:ind w:firstLine="709"/>
        <w:jc w:val="both"/>
        <w:rPr>
          <w:rFonts w:ascii="Arial" w:eastAsia="Arial" w:hAnsi="Arial" w:cs="Arial"/>
          <w:color w:val="000000"/>
          <w:sz w:val="19"/>
          <w:szCs w:val="19"/>
        </w:rPr>
      </w:pPr>
    </w:p>
  </w:footnote>
  <w:footnote w:id="10">
    <w:p w14:paraId="6D0CDD14"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218A392F" w14:textId="77777777" w:rsidR="005B4987" w:rsidRPr="00E86699" w:rsidRDefault="005B4987" w:rsidP="005B4987">
      <w:pPr>
        <w:pBdr>
          <w:top w:val="nil"/>
          <w:left w:val="nil"/>
          <w:bottom w:val="nil"/>
          <w:right w:val="nil"/>
          <w:between w:val="nil"/>
        </w:pBdr>
        <w:jc w:val="both"/>
        <w:rPr>
          <w:rFonts w:ascii="Arial" w:eastAsia="Arial" w:hAnsi="Arial" w:cs="Arial"/>
          <w:color w:val="000000"/>
          <w:sz w:val="19"/>
          <w:szCs w:val="19"/>
        </w:rPr>
      </w:pPr>
    </w:p>
  </w:footnote>
  <w:footnote w:id="11">
    <w:p w14:paraId="4EC08FB9"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Ley 43 de 1990: «Artículo 13. Además de lo exigido por las leyes anteriores, se requiere tener la calidad de Contador Público en los siguientes casos:</w:t>
      </w:r>
    </w:p>
    <w:p w14:paraId="4C568944"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»1. Por razones del cargo.</w:t>
      </w:r>
    </w:p>
    <w:p w14:paraId="2EDCE679"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»a</w:t>
      </w:r>
      <w:proofErr w:type="gramEnd"/>
      <w:r w:rsidRPr="00E86699">
        <w:rPr>
          <w:rFonts w:ascii="Arial" w:eastAsia="Arial" w:hAnsi="Arial" w:cs="Arial"/>
          <w:color w:val="000000"/>
          <w:sz w:val="19"/>
          <w:szCs w:val="19"/>
        </w:rPr>
        <w:t>) Para desempeñar las funciones de revisor fiscal, auditor externo, auditor interno en toda clase de sociedades, para las cuales la ley o el contrato social así lo determinan.</w:t>
      </w:r>
    </w:p>
    <w:p w14:paraId="6B827198"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w:t>
      </w:r>
    </w:p>
    <w:p w14:paraId="064CB28F"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»2. Por la razón de la naturaleza del asunto. […]</w:t>
      </w:r>
    </w:p>
    <w:p w14:paraId="476ABF70"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»f</w:t>
      </w:r>
      <w:proofErr w:type="gramEnd"/>
      <w:r w:rsidRPr="00E86699">
        <w:rPr>
          <w:rFonts w:ascii="Arial" w:eastAsia="Arial" w:hAnsi="Arial" w:cs="Arial"/>
          <w:color w:val="000000"/>
          <w:sz w:val="19"/>
          <w:szCs w:val="19"/>
        </w:rPr>
        <w:t>) Para todos los demás casos que señala la ley».</w:t>
      </w:r>
    </w:p>
    <w:p w14:paraId="653EFAF6" w14:textId="77777777" w:rsidR="005B4987" w:rsidRPr="00E86699" w:rsidRDefault="005B4987" w:rsidP="005B4987">
      <w:pPr>
        <w:pBdr>
          <w:top w:val="nil"/>
          <w:left w:val="nil"/>
          <w:bottom w:val="nil"/>
          <w:right w:val="nil"/>
          <w:between w:val="nil"/>
        </w:pBdr>
        <w:jc w:val="both"/>
        <w:rPr>
          <w:rFonts w:ascii="Arial" w:eastAsia="Arial" w:hAnsi="Arial" w:cs="Arial"/>
          <w:color w:val="000000"/>
          <w:sz w:val="19"/>
          <w:szCs w:val="19"/>
        </w:rPr>
      </w:pPr>
    </w:p>
  </w:footnote>
  <w:footnote w:id="12">
    <w:p w14:paraId="3C2E8FF3"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Código de Comercio: «Artículo 203. Sociedades que están obligadas a tener revisor fiscal. Deberán tener revisor fiscal:</w:t>
      </w:r>
    </w:p>
    <w:p w14:paraId="61553C49"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»1) Las sociedades por acciones;</w:t>
      </w:r>
    </w:p>
    <w:p w14:paraId="1DF6A2A6"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»2) Las sucursales de compañías extranjeras, y</w:t>
      </w:r>
    </w:p>
    <w:p w14:paraId="19CA83E3"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eastAsia="Arial" w:hAnsi="Arial" w:cs="Arial"/>
          <w:color w:val="000000"/>
          <w:sz w:val="19"/>
          <w:szCs w:val="19"/>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E86699">
        <w:rPr>
          <w:rFonts w:ascii="Arial" w:eastAsia="Arial" w:hAnsi="Arial" w:cs="Arial"/>
          <w:color w:val="000000"/>
          <w:sz w:val="19"/>
          <w:szCs w:val="19"/>
        </w:rPr>
        <w:t>del</w:t>
      </w:r>
      <w:proofErr w:type="spellEnd"/>
      <w:r w:rsidRPr="00E86699">
        <w:rPr>
          <w:rFonts w:ascii="Arial" w:eastAsia="Arial" w:hAnsi="Arial" w:cs="Arial"/>
          <w:color w:val="000000"/>
          <w:sz w:val="19"/>
          <w:szCs w:val="19"/>
        </w:rPr>
        <w:t xml:space="preserve"> veinte por ciento del capital».</w:t>
      </w:r>
    </w:p>
  </w:footnote>
  <w:footnote w:id="13">
    <w:p w14:paraId="09325D2E" w14:textId="77777777" w:rsidR="005B4987" w:rsidRPr="00E86699" w:rsidRDefault="005B4987" w:rsidP="005B4987">
      <w:pPr>
        <w:pStyle w:val="Textonotapie"/>
        <w:ind w:firstLine="708"/>
        <w:jc w:val="both"/>
        <w:rPr>
          <w:rFonts w:ascii="Arial" w:hAnsi="Arial" w:cs="Arial"/>
          <w:sz w:val="19"/>
          <w:szCs w:val="19"/>
        </w:rPr>
      </w:pPr>
    </w:p>
    <w:p w14:paraId="6C2D6CA6" w14:textId="273D690E"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Ibid.</w:t>
      </w:r>
    </w:p>
  </w:footnote>
  <w:footnote w:id="14">
    <w:p w14:paraId="25AE0C53" w14:textId="77777777"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116 de 2020. </w:t>
      </w:r>
    </w:p>
    <w:p w14:paraId="211B94E9" w14:textId="77777777" w:rsidR="005B4987" w:rsidRPr="00E86699" w:rsidRDefault="005B4987" w:rsidP="005B4987">
      <w:pPr>
        <w:pStyle w:val="Textonotapie"/>
        <w:ind w:firstLine="708"/>
        <w:jc w:val="both"/>
        <w:rPr>
          <w:rFonts w:ascii="Arial" w:hAnsi="Arial" w:cs="Arial"/>
          <w:sz w:val="19"/>
          <w:szCs w:val="19"/>
          <w:lang w:val="es-ES"/>
        </w:rPr>
      </w:pPr>
    </w:p>
  </w:footnote>
  <w:footnote w:id="15">
    <w:p w14:paraId="3A2C706F" w14:textId="794247B9"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16">
    <w:p w14:paraId="55E2183B" w14:textId="77777777" w:rsidR="005B4987" w:rsidRPr="00E86699" w:rsidRDefault="005B4987" w:rsidP="005B4987">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Ver la aclaración contenida en los dos primeros párrafos del presente numeral (2.3.). </w:t>
      </w:r>
    </w:p>
    <w:p w14:paraId="5DC87B54" w14:textId="77777777" w:rsidR="005B4987" w:rsidRPr="00E86699" w:rsidRDefault="005B4987" w:rsidP="005B4987">
      <w:pPr>
        <w:pStyle w:val="Textonotapie"/>
        <w:ind w:firstLine="708"/>
        <w:jc w:val="both"/>
        <w:rPr>
          <w:rFonts w:ascii="Arial" w:hAnsi="Arial" w:cs="Arial"/>
          <w:sz w:val="19"/>
          <w:szCs w:val="19"/>
          <w:lang w:val="es-ES"/>
        </w:rPr>
      </w:pPr>
      <w:r w:rsidRPr="00E86699">
        <w:rPr>
          <w:rFonts w:ascii="Arial" w:hAnsi="Arial" w:cs="Arial"/>
          <w:sz w:val="19"/>
          <w:szCs w:val="19"/>
        </w:rPr>
        <w:t xml:space="preserve"> </w:t>
      </w:r>
    </w:p>
  </w:footnote>
  <w:footnote w:id="17">
    <w:p w14:paraId="6F3034EE"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276B927D"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
  </w:footnote>
  <w:footnote w:id="18">
    <w:p w14:paraId="64DF7AFB"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Pr>
          <w:rFonts w:ascii="Arial" w:eastAsia="Arial" w:hAnsi="Arial" w:cs="Arial"/>
          <w:color w:val="000000"/>
          <w:sz w:val="19"/>
          <w:szCs w:val="19"/>
        </w:rPr>
        <w:t xml:space="preserve"> </w:t>
      </w:r>
      <w:r w:rsidRPr="00E86699">
        <w:rPr>
          <w:rFonts w:ascii="Arial" w:eastAsia="Arial" w:hAnsi="Arial" w:cs="Arial"/>
          <w:color w:val="000000"/>
          <w:sz w:val="19"/>
          <w:szCs w:val="19"/>
        </w:rPr>
        <w:t>Ley 1150 de 2007: «Artículo 17. Del derecho al debido proceso.  El debido proceso será un principio rector en materia sancionatoria de las actuaciones contractuales.</w:t>
      </w:r>
    </w:p>
    <w:p w14:paraId="6C7DEA83"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»En</w:t>
      </w:r>
      <w:proofErr w:type="gramEnd"/>
      <w:r w:rsidRPr="00E86699">
        <w:rPr>
          <w:rFonts w:ascii="Arial" w:eastAsia="Arial" w:hAnsi="Arial" w:cs="Arial"/>
          <w:color w:val="000000"/>
          <w:sz w:val="19"/>
          <w:szCs w:val="19"/>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359AA30B"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»Parágrafo</w:t>
      </w:r>
      <w:proofErr w:type="gramEnd"/>
      <w:r w:rsidRPr="00E86699">
        <w:rPr>
          <w:rFonts w:ascii="Arial" w:eastAsia="Arial" w:hAnsi="Arial" w:cs="Arial"/>
          <w:color w:val="000000"/>
          <w:sz w:val="19"/>
          <w:szCs w:val="19"/>
        </w:rPr>
        <w:t xml:space="preserve">. La cláusula penal y las multas así </w:t>
      </w:r>
      <w:proofErr w:type="gramStart"/>
      <w:r w:rsidRPr="00E86699">
        <w:rPr>
          <w:rFonts w:ascii="Arial" w:eastAsia="Arial" w:hAnsi="Arial" w:cs="Arial"/>
          <w:color w:val="000000"/>
          <w:sz w:val="19"/>
          <w:szCs w:val="19"/>
        </w:rPr>
        <w:t>impuestas,</w:t>
      </w:r>
      <w:proofErr w:type="gramEnd"/>
      <w:r w:rsidRPr="00E86699">
        <w:rPr>
          <w:rFonts w:ascii="Arial" w:eastAsia="Arial" w:hAnsi="Arial" w:cs="Arial"/>
          <w:color w:val="000000"/>
          <w:sz w:val="19"/>
          <w:szCs w:val="19"/>
        </w:rPr>
        <w:t xml:space="preserve">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086DB5CA"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proofErr w:type="gramStart"/>
      <w:r w:rsidRPr="00E86699">
        <w:rPr>
          <w:rFonts w:ascii="Arial" w:eastAsia="Arial" w:hAnsi="Arial" w:cs="Arial"/>
          <w:color w:val="000000"/>
          <w:sz w:val="19"/>
          <w:szCs w:val="19"/>
        </w:rPr>
        <w:t>»Parágrafo</w:t>
      </w:r>
      <w:proofErr w:type="gramEnd"/>
      <w:r w:rsidRPr="00E86699">
        <w:rPr>
          <w:rFonts w:ascii="Arial" w:eastAsia="Arial" w:hAnsi="Arial" w:cs="Arial"/>
          <w:color w:val="000000"/>
          <w:sz w:val="19"/>
          <w:szCs w:val="19"/>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19">
    <w:p w14:paraId="73E3C339"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20">
    <w:p w14:paraId="03C54E6F" w14:textId="77777777" w:rsidR="005B4987" w:rsidRPr="00E86699" w:rsidRDefault="005B4987" w:rsidP="005B4987">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21">
    <w:p w14:paraId="435E9B04" w14:textId="77777777" w:rsidR="005B4987" w:rsidRPr="00E86699" w:rsidRDefault="005B4987" w:rsidP="005B4987">
      <w:pPr>
        <w:pStyle w:val="Textonotapie"/>
        <w:ind w:firstLine="708"/>
        <w:jc w:val="both"/>
        <w:rPr>
          <w:rFonts w:ascii="Arial" w:hAnsi="Arial" w:cs="Arial"/>
          <w:sz w:val="19"/>
          <w:szCs w:val="19"/>
        </w:rPr>
      </w:pPr>
    </w:p>
    <w:p w14:paraId="1F6DC61E" w14:textId="77777777"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El texto corresponde al vigente para el momento en el que se radicó la consulta. Sin embargo, como se ha dicho en este concepto, mediante la Resolución 116 del 21 de julio de 2020, Colombia Compra Eficiente modificó los documentos tipo de licitación de obra pública de infraestructura de transporte. </w:t>
      </w:r>
    </w:p>
  </w:footnote>
  <w:footnote w:id="22">
    <w:p w14:paraId="51562252" w14:textId="77777777" w:rsidR="005B4987" w:rsidRPr="00E86699" w:rsidRDefault="005B4987" w:rsidP="00F63EA1">
      <w:pPr>
        <w:pStyle w:val="Textonotapie"/>
        <w:jc w:val="both"/>
        <w:rPr>
          <w:rFonts w:ascii="Arial" w:hAnsi="Arial" w:cs="Arial"/>
          <w:sz w:val="19"/>
          <w:szCs w:val="19"/>
        </w:rPr>
      </w:pPr>
    </w:p>
    <w:p w14:paraId="706F912F" w14:textId="77777777"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116 de 2020. </w:t>
      </w:r>
    </w:p>
    <w:p w14:paraId="03219969" w14:textId="77777777" w:rsidR="005B4987" w:rsidRPr="00E86699" w:rsidRDefault="005B4987" w:rsidP="005B4987">
      <w:pPr>
        <w:pStyle w:val="Textonotapie"/>
        <w:ind w:firstLine="708"/>
        <w:jc w:val="both"/>
        <w:rPr>
          <w:rFonts w:ascii="Arial" w:hAnsi="Arial" w:cs="Arial"/>
          <w:sz w:val="19"/>
          <w:szCs w:val="19"/>
        </w:rPr>
      </w:pPr>
    </w:p>
  </w:footnote>
  <w:footnote w:id="23">
    <w:p w14:paraId="3B0702D3" w14:textId="0E93FE25"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Ibid.</w:t>
      </w:r>
    </w:p>
    <w:p w14:paraId="17041C8B" w14:textId="77777777" w:rsidR="005B4987" w:rsidRPr="00E86699" w:rsidRDefault="005B4987" w:rsidP="005B4987">
      <w:pPr>
        <w:pStyle w:val="Textonotapie"/>
        <w:ind w:firstLine="708"/>
        <w:jc w:val="both"/>
        <w:rPr>
          <w:rFonts w:ascii="Arial" w:hAnsi="Arial" w:cs="Arial"/>
          <w:sz w:val="19"/>
          <w:szCs w:val="19"/>
          <w:lang w:val="es-ES"/>
        </w:rPr>
      </w:pPr>
    </w:p>
  </w:footnote>
  <w:footnote w:id="24">
    <w:p w14:paraId="13C7BA58" w14:textId="2C78E415" w:rsidR="005B4987" w:rsidRPr="00E86699" w:rsidRDefault="005B4987"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5F6B6C" w:rsidRDefault="005F6B6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B5AAA"/>
    <w:rsid w:val="000C6E3D"/>
    <w:rsid w:val="000D4BBB"/>
    <w:rsid w:val="00132A87"/>
    <w:rsid w:val="00146459"/>
    <w:rsid w:val="0015198C"/>
    <w:rsid w:val="00152993"/>
    <w:rsid w:val="00160BF4"/>
    <w:rsid w:val="001619EC"/>
    <w:rsid w:val="00175164"/>
    <w:rsid w:val="00194529"/>
    <w:rsid w:val="001A67E5"/>
    <w:rsid w:val="001C1406"/>
    <w:rsid w:val="001C2774"/>
    <w:rsid w:val="00222083"/>
    <w:rsid w:val="00254D51"/>
    <w:rsid w:val="002663D4"/>
    <w:rsid w:val="002B5E9D"/>
    <w:rsid w:val="002E163F"/>
    <w:rsid w:val="003102D0"/>
    <w:rsid w:val="00333F62"/>
    <w:rsid w:val="004463BB"/>
    <w:rsid w:val="00457B9B"/>
    <w:rsid w:val="004A7DBB"/>
    <w:rsid w:val="004B19AD"/>
    <w:rsid w:val="004B5D61"/>
    <w:rsid w:val="004D2294"/>
    <w:rsid w:val="00536F6F"/>
    <w:rsid w:val="005440A4"/>
    <w:rsid w:val="005B4987"/>
    <w:rsid w:val="005D59D8"/>
    <w:rsid w:val="005F6B6C"/>
    <w:rsid w:val="00667FCE"/>
    <w:rsid w:val="00671190"/>
    <w:rsid w:val="00694D9E"/>
    <w:rsid w:val="00696653"/>
    <w:rsid w:val="006A522C"/>
    <w:rsid w:val="00701FE1"/>
    <w:rsid w:val="00702902"/>
    <w:rsid w:val="00734B72"/>
    <w:rsid w:val="00736250"/>
    <w:rsid w:val="00742F9D"/>
    <w:rsid w:val="00763A38"/>
    <w:rsid w:val="00777437"/>
    <w:rsid w:val="007D1758"/>
    <w:rsid w:val="007D574D"/>
    <w:rsid w:val="00811588"/>
    <w:rsid w:val="008142FB"/>
    <w:rsid w:val="00822338"/>
    <w:rsid w:val="0083194A"/>
    <w:rsid w:val="009069F8"/>
    <w:rsid w:val="00936F44"/>
    <w:rsid w:val="0097179E"/>
    <w:rsid w:val="009831B2"/>
    <w:rsid w:val="009A1026"/>
    <w:rsid w:val="009D166E"/>
    <w:rsid w:val="00A07F05"/>
    <w:rsid w:val="00A11C03"/>
    <w:rsid w:val="00A25119"/>
    <w:rsid w:val="00A7562E"/>
    <w:rsid w:val="00A927C1"/>
    <w:rsid w:val="00AA46C7"/>
    <w:rsid w:val="00AF1112"/>
    <w:rsid w:val="00B21E3B"/>
    <w:rsid w:val="00B45742"/>
    <w:rsid w:val="00B6688C"/>
    <w:rsid w:val="00B72B24"/>
    <w:rsid w:val="00B842FF"/>
    <w:rsid w:val="00C82087"/>
    <w:rsid w:val="00C9405F"/>
    <w:rsid w:val="00CA3504"/>
    <w:rsid w:val="00DC3C3C"/>
    <w:rsid w:val="00DE5E77"/>
    <w:rsid w:val="00E416AE"/>
    <w:rsid w:val="00E47B66"/>
    <w:rsid w:val="00E53CD0"/>
    <w:rsid w:val="00E86699"/>
    <w:rsid w:val="00F50B11"/>
    <w:rsid w:val="00F616AB"/>
    <w:rsid w:val="00F61A58"/>
    <w:rsid w:val="00F63EA1"/>
    <w:rsid w:val="00F74D3B"/>
    <w:rsid w:val="00F84A1F"/>
    <w:rsid w:val="00F9134E"/>
    <w:rsid w:val="00FA45E7"/>
    <w:rsid w:val="00FA5AC5"/>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basedOn w:val="Normal"/>
    <w:link w:val="TextonotapieCar"/>
    <w:uiPriority w:val="99"/>
    <w:semiHidden/>
    <w:unhideWhenUsed/>
    <w:rsid w:val="00FA45E7"/>
    <w:rPr>
      <w:sz w:val="20"/>
      <w:szCs w:val="20"/>
    </w:rPr>
  </w:style>
  <w:style w:type="character" w:customStyle="1" w:styleId="TextonotapieCar">
    <w:name w:val="Texto nota pie Car"/>
    <w:basedOn w:val="Fuentedeprrafopredeter"/>
    <w:link w:val="Textonotapie"/>
    <w:uiPriority w:val="99"/>
    <w:semiHidden/>
    <w:rsid w:val="00FA45E7"/>
    <w:rPr>
      <w:sz w:val="20"/>
      <w:szCs w:val="20"/>
    </w:rPr>
  </w:style>
  <w:style w:type="character" w:styleId="Refdenotaalpie">
    <w:name w:val="footnote reference"/>
    <w:basedOn w:val="Fuentedeprrafopredeter"/>
    <w:uiPriority w:val="99"/>
    <w:semiHidden/>
    <w:unhideWhenUsed/>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7C6F1-161B-4D71-BD8E-66B5EE4615C3}">
  <ds:schemaRefs>
    <ds:schemaRef ds:uri="http://schemas.microsoft.com/sharepoint/v3/contenttype/forms"/>
  </ds:schemaRefs>
</ds:datastoreItem>
</file>

<file path=customXml/itemProps3.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10888</Words>
  <Characters>59888</Characters>
  <Application>Microsoft Office Word</Application>
  <DocSecurity>0</DocSecurity>
  <Lines>499</Lines>
  <Paragraphs>141</Paragraphs>
  <ScaleCrop>false</ScaleCrop>
  <Company/>
  <LinksUpToDate>false</LinksUpToDate>
  <CharactersWithSpaces>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Castrillón Endo</dc:creator>
  <cp:lastModifiedBy>Carlos Mario Castrillón Endo</cp:lastModifiedBy>
  <cp:revision>2</cp:revision>
  <dcterms:created xsi:type="dcterms:W3CDTF">2020-08-19T21:51:00Z</dcterms:created>
  <dcterms:modified xsi:type="dcterms:W3CDTF">2020-08-19T21:51:00Z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