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6606" w14:textId="495447B3" w:rsidR="000130B3" w:rsidRDefault="00B11871" w:rsidP="005E59D4">
      <w:pPr>
        <w:spacing w:after="0" w:line="240" w:lineRule="auto"/>
        <w:ind w:left="100"/>
        <w:jc w:val="both"/>
        <w:rPr>
          <w:rFonts w:ascii="Arial" w:hAnsi="Arial" w:cs="Arial"/>
          <w:b/>
          <w:bCs/>
        </w:rPr>
      </w:pPr>
      <w:r w:rsidRPr="005E59D4">
        <w:rPr>
          <w:rFonts w:ascii="Arial" w:hAnsi="Arial" w:cs="Arial"/>
          <w:b/>
          <w:bCs/>
        </w:rPr>
        <w:t>PRECIOS ARTIFICIALMENTE BAJOS – Oferta – Decreto 1082 de 2015</w:t>
      </w:r>
    </w:p>
    <w:p w14:paraId="414F6882" w14:textId="77777777" w:rsidR="005E59D4" w:rsidRPr="005E59D4" w:rsidRDefault="005E59D4" w:rsidP="005E59D4">
      <w:pPr>
        <w:spacing w:after="0" w:line="240" w:lineRule="auto"/>
        <w:ind w:left="100"/>
        <w:jc w:val="both"/>
        <w:rPr>
          <w:rFonts w:ascii="Arial" w:hAnsi="Arial" w:cs="Arial"/>
          <w:b/>
          <w:bCs/>
        </w:rPr>
      </w:pPr>
    </w:p>
    <w:p w14:paraId="5521C03B" w14:textId="77777777" w:rsidR="00B11871" w:rsidRPr="005E59D4" w:rsidRDefault="00B11871" w:rsidP="005E59D4">
      <w:pPr>
        <w:spacing w:after="0" w:line="240" w:lineRule="auto"/>
        <w:ind w:left="100"/>
        <w:jc w:val="both"/>
        <w:rPr>
          <w:rFonts w:ascii="Arial" w:hAnsi="Arial" w:cs="Arial"/>
          <w:sz w:val="20"/>
          <w:szCs w:val="20"/>
        </w:rPr>
      </w:pPr>
      <w:r w:rsidRPr="005E59D4">
        <w:rPr>
          <w:rFonts w:ascii="Arial" w:hAnsi="Arial" w:cs="Arial"/>
          <w:sz w:val="20"/>
          <w:szCs w:val="20"/>
        </w:rPr>
        <w:t>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durante la evaluación de las ofertas. 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0AD87F4A" w14:textId="77777777" w:rsidR="0092600B" w:rsidRPr="005E59D4" w:rsidRDefault="0092600B" w:rsidP="005E59D4">
      <w:pPr>
        <w:pStyle w:val="Textoindependiente"/>
        <w:ind w:right="107"/>
        <w:jc w:val="both"/>
      </w:pPr>
    </w:p>
    <w:p w14:paraId="2E97E3EB" w14:textId="1E690BD6" w:rsidR="00B11871" w:rsidRDefault="00B11871" w:rsidP="005E59D4">
      <w:pPr>
        <w:spacing w:after="0" w:line="240" w:lineRule="auto"/>
        <w:ind w:left="100"/>
        <w:jc w:val="both"/>
        <w:rPr>
          <w:rFonts w:ascii="Arial" w:hAnsi="Arial" w:cs="Arial"/>
          <w:b/>
          <w:bCs/>
        </w:rPr>
      </w:pPr>
      <w:r w:rsidRPr="005E59D4">
        <w:rPr>
          <w:rFonts w:ascii="Arial" w:hAnsi="Arial" w:cs="Arial"/>
          <w:b/>
          <w:bCs/>
        </w:rPr>
        <w:t xml:space="preserve">PRECIOS ARTIFICIALMENTE BAJOS – Guía para el manejo de ofertas artificialmente bajas en Procesos de Contratación – Colombia Compra Eficiente – Noción </w:t>
      </w:r>
    </w:p>
    <w:p w14:paraId="3EF7C498" w14:textId="77777777" w:rsidR="005E59D4" w:rsidRPr="005E59D4" w:rsidRDefault="005E59D4" w:rsidP="005E59D4">
      <w:pPr>
        <w:spacing w:after="0" w:line="240" w:lineRule="auto"/>
        <w:ind w:left="100"/>
        <w:jc w:val="both"/>
        <w:rPr>
          <w:rFonts w:ascii="Arial" w:hAnsi="Arial" w:cs="Arial"/>
          <w:b/>
          <w:bCs/>
        </w:rPr>
      </w:pPr>
    </w:p>
    <w:p w14:paraId="140F8464" w14:textId="77777777" w:rsidR="00B11871" w:rsidRPr="005E59D4" w:rsidRDefault="00B11871" w:rsidP="005E59D4">
      <w:pPr>
        <w:spacing w:after="0" w:line="240" w:lineRule="auto"/>
        <w:ind w:left="100"/>
        <w:jc w:val="both"/>
        <w:rPr>
          <w:rFonts w:ascii="Arial" w:hAnsi="Arial" w:cs="Arial"/>
          <w:sz w:val="20"/>
          <w:szCs w:val="20"/>
        </w:rPr>
      </w:pPr>
      <w:r w:rsidRPr="005E59D4">
        <w:rPr>
          <w:rFonts w:ascii="Arial" w:hAnsi="Arial" w:cs="Arial"/>
          <w:sz w:val="20"/>
          <w:szCs w:val="20"/>
        </w:rPr>
        <w:t>Esta guía define que una oferta es artificialmente baja cuando “a criterio de la Entidad Estatal, el precio no parece suficiente para garantizar una correcta ejecución del contrato, de acuerdo a la información recogida durante la etapa de planeación y particularmente durante el Estudio del Sector”. Para determinar que una propuesta es artificialmente bajo se puede acudir a la comparación absoluta o la comparación relativa. La primera, se refiere a contrastar el valor de cada oferta con el costo estimado de la provisión del bien o servicio de acuerdo con en el Estudio del Sector elaborado por la Entidad Estatal, en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 presentadas.</w:t>
      </w:r>
    </w:p>
    <w:p w14:paraId="3256B7E3" w14:textId="77777777" w:rsidR="0092600B" w:rsidRPr="005E59D4" w:rsidRDefault="0092600B" w:rsidP="005E59D4">
      <w:pPr>
        <w:pStyle w:val="Textoindependiente"/>
        <w:ind w:right="107"/>
        <w:jc w:val="both"/>
      </w:pPr>
    </w:p>
    <w:p w14:paraId="43D944D9" w14:textId="66C2411D" w:rsidR="00B11871" w:rsidRDefault="00B11871" w:rsidP="11FBC5D1">
      <w:pPr>
        <w:spacing w:after="0" w:line="240" w:lineRule="auto"/>
        <w:ind w:left="100"/>
        <w:jc w:val="both"/>
        <w:rPr>
          <w:rFonts w:ascii="Arial" w:hAnsi="Arial" w:cs="Arial"/>
          <w:b/>
          <w:bCs/>
        </w:rPr>
      </w:pPr>
      <w:r w:rsidRPr="11FBC5D1">
        <w:rPr>
          <w:rFonts w:ascii="Arial" w:hAnsi="Arial" w:cs="Arial"/>
          <w:b/>
          <w:bCs/>
        </w:rPr>
        <w:t xml:space="preserve">PRECIOS ARTIFICIALMENTE BAJOS – </w:t>
      </w:r>
      <w:bookmarkStart w:id="0" w:name="_GoBack"/>
      <w:r w:rsidR="00FF53E8" w:rsidRPr="11FBC5D1">
        <w:rPr>
          <w:rFonts w:ascii="Arial" w:hAnsi="Arial" w:cs="Arial"/>
          <w:b/>
          <w:bCs/>
        </w:rPr>
        <w:t xml:space="preserve">Metodología para identificar ofertas con precios artificialmente bajos </w:t>
      </w:r>
      <w:bookmarkEnd w:id="0"/>
      <w:r w:rsidR="555EB2D7" w:rsidRPr="11FBC5D1">
        <w:rPr>
          <w:rFonts w:ascii="Arial" w:hAnsi="Arial" w:cs="Arial"/>
          <w:b/>
          <w:bCs/>
        </w:rPr>
        <w:t>– Parámetros</w:t>
      </w:r>
    </w:p>
    <w:p w14:paraId="5763064B" w14:textId="77777777" w:rsidR="005E59D4" w:rsidRPr="005E59D4" w:rsidRDefault="005E59D4" w:rsidP="005E59D4">
      <w:pPr>
        <w:spacing w:after="0" w:line="240" w:lineRule="auto"/>
        <w:ind w:left="100"/>
        <w:jc w:val="both"/>
        <w:rPr>
          <w:rFonts w:ascii="Arial" w:hAnsi="Arial" w:cs="Arial"/>
          <w:b/>
          <w:bCs/>
        </w:rPr>
      </w:pPr>
    </w:p>
    <w:p w14:paraId="01331A51" w14:textId="77777777" w:rsidR="00FF53E8" w:rsidRPr="005E59D4" w:rsidRDefault="00FF53E8" w:rsidP="005E59D4">
      <w:pPr>
        <w:spacing w:after="0" w:line="240" w:lineRule="auto"/>
        <w:ind w:left="100"/>
        <w:jc w:val="both"/>
        <w:rPr>
          <w:sz w:val="20"/>
          <w:szCs w:val="20"/>
        </w:rPr>
      </w:pPr>
      <w:r w:rsidRPr="005E59D4">
        <w:rPr>
          <w:rFonts w:ascii="Arial" w:hAnsi="Arial" w:cs="Arial"/>
          <w:sz w:val="20"/>
          <w:szCs w:val="20"/>
        </w:rPr>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 1. Tomar el conjunto de ofertas a evaluar. 2. Calcular la mediana, o dependiendo de la dispersión de los datos el promedio, del valor de cada oferta o de cada ítem dentro de la oferta. 3. Calcular la desviación estándar del conjunto. 4. Determinar el valor mínimo aceptable.</w:t>
      </w:r>
    </w:p>
    <w:p w14:paraId="208554F8" w14:textId="77777777" w:rsidR="0092600B" w:rsidRPr="005E59D4" w:rsidRDefault="0092600B" w:rsidP="005E59D4">
      <w:pPr>
        <w:pStyle w:val="Textoindependiente"/>
        <w:ind w:right="107"/>
        <w:jc w:val="both"/>
      </w:pPr>
    </w:p>
    <w:p w14:paraId="361962C5" w14:textId="1DB0296C" w:rsidR="00FF53E8" w:rsidRDefault="2E82FA56" w:rsidP="11FBC5D1">
      <w:pPr>
        <w:spacing w:after="0" w:line="240" w:lineRule="auto"/>
        <w:ind w:left="100"/>
        <w:jc w:val="both"/>
        <w:rPr>
          <w:rFonts w:ascii="Arial" w:hAnsi="Arial" w:cs="Arial"/>
          <w:b/>
          <w:bCs/>
        </w:rPr>
      </w:pPr>
      <w:r w:rsidRPr="11FBC5D1">
        <w:rPr>
          <w:rFonts w:ascii="Arial" w:hAnsi="Arial" w:cs="Arial"/>
          <w:b/>
          <w:bCs/>
        </w:rPr>
        <w:t xml:space="preserve">PRECIOS ARTIFICIALMENTE BAJOS </w:t>
      </w:r>
      <w:r w:rsidR="005E59D4" w:rsidRPr="11FBC5D1">
        <w:rPr>
          <w:rFonts w:ascii="Arial" w:hAnsi="Arial" w:cs="Arial"/>
          <w:b/>
          <w:bCs/>
        </w:rPr>
        <w:t>– Cá</w:t>
      </w:r>
      <w:r w:rsidR="00FF53E8" w:rsidRPr="11FBC5D1">
        <w:rPr>
          <w:rFonts w:ascii="Arial" w:hAnsi="Arial" w:cs="Arial"/>
          <w:b/>
          <w:bCs/>
        </w:rPr>
        <w:t>lculo –</w:t>
      </w:r>
      <w:r w:rsidR="782E328E" w:rsidRPr="11FBC5D1">
        <w:rPr>
          <w:rFonts w:ascii="Arial" w:hAnsi="Arial" w:cs="Arial"/>
          <w:b/>
          <w:bCs/>
        </w:rPr>
        <w:t xml:space="preserve"> </w:t>
      </w:r>
      <w:r w:rsidR="00FF53E8" w:rsidRPr="11FBC5D1">
        <w:rPr>
          <w:rFonts w:ascii="Arial" w:hAnsi="Arial" w:cs="Arial"/>
          <w:b/>
          <w:bCs/>
        </w:rPr>
        <w:t xml:space="preserve">Guía para el manejo de ofertas artificialmente bajas </w:t>
      </w:r>
      <w:r w:rsidR="3D5E31F0" w:rsidRPr="11FBC5D1">
        <w:rPr>
          <w:rFonts w:ascii="Arial" w:hAnsi="Arial" w:cs="Arial"/>
          <w:b/>
          <w:bCs/>
        </w:rPr>
        <w:t>– Reemplazo variables</w:t>
      </w:r>
    </w:p>
    <w:p w14:paraId="3CB23D43" w14:textId="77777777" w:rsidR="005E59D4" w:rsidRPr="005E59D4" w:rsidRDefault="005E59D4" w:rsidP="005E59D4">
      <w:pPr>
        <w:spacing w:after="0" w:line="240" w:lineRule="auto"/>
        <w:ind w:left="100"/>
        <w:jc w:val="both"/>
        <w:rPr>
          <w:rFonts w:ascii="Arial" w:hAnsi="Arial" w:cs="Arial"/>
          <w:b/>
          <w:bCs/>
        </w:rPr>
      </w:pPr>
    </w:p>
    <w:p w14:paraId="4ADBD2ED" w14:textId="16B4637A" w:rsidR="002230DC" w:rsidRPr="005E59D4" w:rsidRDefault="00FF53E8" w:rsidP="005E59D4">
      <w:pPr>
        <w:spacing w:after="0" w:line="240" w:lineRule="auto"/>
        <w:ind w:left="100"/>
        <w:jc w:val="both"/>
        <w:rPr>
          <w:rFonts w:ascii="Arial" w:hAnsi="Arial" w:cs="Arial"/>
          <w:sz w:val="24"/>
          <w:szCs w:val="24"/>
        </w:rPr>
      </w:pPr>
      <w:r w:rsidRPr="005E59D4">
        <w:rPr>
          <w:rFonts w:ascii="Arial" w:hAnsi="Arial" w:cs="Arial"/>
          <w:sz w:val="20"/>
          <w:szCs w:val="20"/>
        </w:rPr>
        <w:t>Para el cálculo de la desviación estándar prevista en la Guía para el manejo de ofertas artificialmente bajas en Procesos de Contratación, deberá reemplazar cada una de las variables de la fórmula, de acuerdo con la metodología precisamente expuesta. Así mismo, puede hacer uso de la función “DEVESTP” de Microsoft Excel.</w:t>
      </w:r>
    </w:p>
    <w:p w14:paraId="6B62CF21" w14:textId="77777777" w:rsidR="002230DC" w:rsidRPr="005E59D4" w:rsidRDefault="002230DC" w:rsidP="00B11871">
      <w:pPr>
        <w:jc w:val="both"/>
        <w:rPr>
          <w:rFonts w:ascii="Arial" w:hAnsi="Arial" w:cs="Arial"/>
          <w:sz w:val="24"/>
          <w:szCs w:val="24"/>
        </w:rPr>
      </w:pPr>
    </w:p>
    <w:p w14:paraId="503844FA" w14:textId="77777777" w:rsidR="00FF53E8" w:rsidRPr="005E59D4" w:rsidRDefault="00FF53E8" w:rsidP="00FF53E8">
      <w:pPr>
        <w:spacing w:before="94"/>
        <w:ind w:left="100"/>
        <w:rPr>
          <w:rFonts w:ascii="Arial" w:hAnsi="Arial" w:cs="Arial"/>
          <w:b/>
        </w:rPr>
      </w:pPr>
      <w:r w:rsidRPr="005E59D4">
        <w:rPr>
          <w:rFonts w:ascii="Arial" w:hAnsi="Arial" w:cs="Arial"/>
        </w:rPr>
        <w:t xml:space="preserve">Bogotá D.C., </w:t>
      </w:r>
      <w:r w:rsidRPr="005E59D4">
        <w:rPr>
          <w:rFonts w:ascii="Arial" w:hAnsi="Arial" w:cs="Arial"/>
          <w:b/>
        </w:rPr>
        <w:t>20/12/2019 Hora 14:25:3s</w:t>
      </w:r>
    </w:p>
    <w:p w14:paraId="19BB0CFB" w14:textId="77777777" w:rsidR="00FF53E8" w:rsidRPr="005E59D4" w:rsidRDefault="00FF53E8" w:rsidP="00FF53E8">
      <w:pPr>
        <w:pStyle w:val="Textoindependiente"/>
        <w:rPr>
          <w:b/>
        </w:rPr>
      </w:pPr>
    </w:p>
    <w:p w14:paraId="37EDAAB6" w14:textId="77777777" w:rsidR="00FF53E8" w:rsidRPr="005E59D4" w:rsidRDefault="00FF53E8" w:rsidP="00B11871">
      <w:pPr>
        <w:jc w:val="both"/>
        <w:rPr>
          <w:rFonts w:ascii="Arial" w:hAnsi="Arial" w:cs="Arial"/>
          <w:sz w:val="24"/>
          <w:szCs w:val="24"/>
        </w:rPr>
      </w:pPr>
    </w:p>
    <w:p w14:paraId="33BAE46E" w14:textId="77777777" w:rsidR="00FF53E8" w:rsidRPr="005E59D4" w:rsidRDefault="00FF53E8" w:rsidP="00FF53E8">
      <w:pPr>
        <w:pStyle w:val="Textoindependiente"/>
        <w:ind w:left="100"/>
        <w:jc w:val="right"/>
      </w:pPr>
    </w:p>
    <w:p w14:paraId="23DA2169" w14:textId="77777777" w:rsidR="00FF53E8" w:rsidRPr="005E59D4" w:rsidRDefault="00FF53E8" w:rsidP="00FF53E8">
      <w:pPr>
        <w:ind w:left="100"/>
        <w:jc w:val="right"/>
        <w:rPr>
          <w:rFonts w:ascii="Arial" w:hAnsi="Arial" w:cs="Arial"/>
          <w:b/>
        </w:rPr>
      </w:pPr>
      <w:r w:rsidRPr="005E59D4">
        <w:rPr>
          <w:rFonts w:ascii="Arial" w:hAnsi="Arial" w:cs="Arial"/>
        </w:rPr>
        <w:tab/>
      </w:r>
      <w:r w:rsidRPr="005E59D4">
        <w:rPr>
          <w:rFonts w:ascii="Arial" w:hAnsi="Arial" w:cs="Arial"/>
          <w:b/>
        </w:rPr>
        <w:t>N° Radicado: 2201913000009489</w:t>
      </w:r>
    </w:p>
    <w:p w14:paraId="02407DA2" w14:textId="77777777" w:rsidR="00FF53E8" w:rsidRPr="005E59D4" w:rsidRDefault="00FF53E8" w:rsidP="00FF53E8">
      <w:pPr>
        <w:pStyle w:val="Textoindependiente"/>
        <w:ind w:left="100"/>
        <w:jc w:val="right"/>
      </w:pPr>
    </w:p>
    <w:p w14:paraId="7F206413" w14:textId="77777777" w:rsidR="00FF53E8" w:rsidRPr="005E59D4" w:rsidRDefault="00FF53E8" w:rsidP="00FF53E8">
      <w:pPr>
        <w:pStyle w:val="Textoindependiente"/>
        <w:ind w:left="100"/>
      </w:pPr>
      <w:r w:rsidRPr="005E59D4">
        <w:t>Señor</w:t>
      </w:r>
    </w:p>
    <w:p w14:paraId="18AC1DE6" w14:textId="77777777" w:rsidR="00FF53E8" w:rsidRPr="005E59D4" w:rsidRDefault="00FF53E8" w:rsidP="00FF53E8">
      <w:pPr>
        <w:pStyle w:val="Ttulo1"/>
        <w:spacing w:before="2" w:line="253" w:lineRule="exact"/>
        <w:ind w:firstLine="0"/>
      </w:pPr>
      <w:r w:rsidRPr="005E59D4">
        <w:t>Fredy Eberto Martínez</w:t>
      </w:r>
    </w:p>
    <w:p w14:paraId="1E03C7D0" w14:textId="77777777" w:rsidR="00FF53E8" w:rsidRPr="005E59D4" w:rsidRDefault="00FF53E8" w:rsidP="00FF53E8">
      <w:pPr>
        <w:pStyle w:val="Textoindependiente"/>
        <w:ind w:left="100"/>
      </w:pPr>
      <w:r w:rsidRPr="005E59D4">
        <w:t>Ciudad</w:t>
      </w:r>
    </w:p>
    <w:p w14:paraId="12154670" w14:textId="77777777" w:rsidR="00FF53E8" w:rsidRPr="005E59D4" w:rsidRDefault="00FF53E8" w:rsidP="00B11871">
      <w:pPr>
        <w:jc w:val="both"/>
        <w:rPr>
          <w:rFonts w:ascii="Arial" w:hAnsi="Arial" w:cs="Arial"/>
          <w:sz w:val="24"/>
          <w:szCs w:val="24"/>
        </w:rPr>
      </w:pPr>
    </w:p>
    <w:p w14:paraId="553C024A" w14:textId="77777777" w:rsidR="00FF53E8" w:rsidRPr="005E59D4" w:rsidRDefault="00FF53E8" w:rsidP="00B11871">
      <w:pPr>
        <w:jc w:val="both"/>
        <w:rPr>
          <w:rFonts w:ascii="Arial" w:hAnsi="Arial" w:cs="Arial"/>
          <w:sz w:val="24"/>
          <w:szCs w:val="24"/>
        </w:rPr>
      </w:pPr>
    </w:p>
    <w:p w14:paraId="7A30B549" w14:textId="77777777" w:rsidR="00FF53E8" w:rsidRPr="005E59D4" w:rsidRDefault="00FF53E8" w:rsidP="00FF53E8">
      <w:pPr>
        <w:tabs>
          <w:tab w:val="left" w:pos="3640"/>
        </w:tabs>
        <w:spacing w:before="93"/>
        <w:ind w:left="100"/>
        <w:rPr>
          <w:rFonts w:ascii="Arial" w:hAnsi="Arial" w:cs="Arial"/>
        </w:rPr>
      </w:pPr>
      <w:r w:rsidRPr="005E59D4">
        <w:rPr>
          <w:rFonts w:ascii="Arial" w:eastAsia="Arial" w:hAnsi="Arial" w:cs="Arial"/>
          <w:b/>
          <w:bCs/>
          <w:lang w:val="es-ES"/>
        </w:rPr>
        <w:t xml:space="preserve">Radicación:                                   </w:t>
      </w:r>
      <w:r w:rsidRPr="005E59D4">
        <w:rPr>
          <w:rFonts w:ascii="Arial" w:hAnsi="Arial" w:cs="Arial"/>
        </w:rPr>
        <w:t>Respuesta a consulta #</w:t>
      </w:r>
      <w:r w:rsidRPr="005E59D4">
        <w:rPr>
          <w:rFonts w:ascii="Arial" w:hAnsi="Arial" w:cs="Arial"/>
          <w:spacing w:val="-7"/>
        </w:rPr>
        <w:t xml:space="preserve"> </w:t>
      </w:r>
      <w:r w:rsidRPr="005E59D4">
        <w:rPr>
          <w:rFonts w:ascii="Arial" w:hAnsi="Arial" w:cs="Arial"/>
        </w:rPr>
        <w:t>4201912000008010</w:t>
      </w:r>
    </w:p>
    <w:p w14:paraId="39A79AA5" w14:textId="77777777" w:rsidR="00FF53E8" w:rsidRPr="005E59D4" w:rsidRDefault="00FF53E8" w:rsidP="00FF53E8">
      <w:pPr>
        <w:pStyle w:val="Textoindependiente"/>
        <w:tabs>
          <w:tab w:val="left" w:pos="3640"/>
        </w:tabs>
        <w:spacing w:before="2" w:line="253" w:lineRule="exact"/>
        <w:ind w:left="100"/>
      </w:pPr>
      <w:r w:rsidRPr="005E59D4">
        <w:rPr>
          <w:b/>
        </w:rPr>
        <w:t xml:space="preserve">Temas:                                            </w:t>
      </w:r>
      <w:r w:rsidRPr="005E59D4">
        <w:t>Precios artificialmente</w:t>
      </w:r>
      <w:r w:rsidRPr="005E59D4">
        <w:rPr>
          <w:spacing w:val="-3"/>
        </w:rPr>
        <w:t xml:space="preserve"> </w:t>
      </w:r>
      <w:r w:rsidRPr="005E59D4">
        <w:t>bajos</w:t>
      </w:r>
    </w:p>
    <w:p w14:paraId="6DE47FC9" w14:textId="77777777" w:rsidR="00FF53E8" w:rsidRPr="005E59D4" w:rsidRDefault="00FF53E8" w:rsidP="00FF53E8">
      <w:pPr>
        <w:tabs>
          <w:tab w:val="left" w:pos="3640"/>
          <w:tab w:val="left" w:pos="4944"/>
          <w:tab w:val="left" w:pos="6026"/>
          <w:tab w:val="left" w:pos="6793"/>
          <w:tab w:val="left" w:pos="8193"/>
          <w:tab w:val="left" w:pos="8860"/>
        </w:tabs>
        <w:spacing w:line="253" w:lineRule="exact"/>
        <w:ind w:left="3540" w:hanging="3440"/>
      </w:pPr>
      <w:r w:rsidRPr="005E59D4">
        <w:rPr>
          <w:rFonts w:ascii="Arial" w:hAnsi="Arial" w:cs="Arial"/>
          <w:b/>
        </w:rPr>
        <w:t>Tipo de</w:t>
      </w:r>
      <w:r w:rsidRPr="005E59D4">
        <w:rPr>
          <w:rFonts w:ascii="Arial" w:hAnsi="Arial" w:cs="Arial"/>
          <w:b/>
          <w:spacing w:val="-4"/>
        </w:rPr>
        <w:t xml:space="preserve"> </w:t>
      </w:r>
      <w:r w:rsidRPr="005E59D4">
        <w:rPr>
          <w:rFonts w:ascii="Arial" w:hAnsi="Arial" w:cs="Arial"/>
          <w:b/>
        </w:rPr>
        <w:t>asunto</w:t>
      </w:r>
      <w:r w:rsidRPr="005E59D4">
        <w:rPr>
          <w:rFonts w:ascii="Arial" w:hAnsi="Arial" w:cs="Arial"/>
          <w:b/>
          <w:spacing w:val="-2"/>
        </w:rPr>
        <w:t xml:space="preserve"> </w:t>
      </w:r>
      <w:r w:rsidRPr="005E59D4">
        <w:rPr>
          <w:rFonts w:ascii="Arial" w:hAnsi="Arial" w:cs="Arial"/>
          <w:b/>
        </w:rPr>
        <w:t>consultado:</w:t>
      </w:r>
      <w:r w:rsidRPr="005E59D4">
        <w:rPr>
          <w:b/>
        </w:rPr>
        <w:tab/>
      </w:r>
      <w:r w:rsidRPr="005E59D4">
        <w:rPr>
          <w:rFonts w:ascii="Arial" w:hAnsi="Arial" w:cs="Arial"/>
        </w:rPr>
        <w:t>Desviación</w:t>
      </w:r>
      <w:r w:rsidRPr="005E59D4">
        <w:rPr>
          <w:rFonts w:ascii="Arial" w:hAnsi="Arial" w:cs="Arial"/>
        </w:rPr>
        <w:tab/>
        <w:t>estándar</w:t>
      </w:r>
      <w:r w:rsidRPr="005E59D4">
        <w:rPr>
          <w:rFonts w:ascii="Arial" w:hAnsi="Arial" w:cs="Arial"/>
        </w:rPr>
        <w:tab/>
        <w:t>como</w:t>
      </w:r>
      <w:r w:rsidRPr="005E59D4">
        <w:rPr>
          <w:rFonts w:ascii="Arial" w:hAnsi="Arial" w:cs="Arial"/>
        </w:rPr>
        <w:tab/>
        <w:t>herramienta</w:t>
      </w:r>
      <w:r w:rsidRPr="005E59D4">
        <w:rPr>
          <w:rFonts w:ascii="Arial" w:hAnsi="Arial" w:cs="Arial"/>
        </w:rPr>
        <w:tab/>
        <w:t>para</w:t>
      </w:r>
      <w:r w:rsidRPr="005E59D4">
        <w:rPr>
          <w:rFonts w:ascii="Arial" w:hAnsi="Arial" w:cs="Arial"/>
        </w:rPr>
        <w:tab/>
        <w:t xml:space="preserve">la </w:t>
      </w:r>
      <w:r w:rsidRPr="005E59D4">
        <w:t>identificación de ofertas artificialmente bajas</w:t>
      </w:r>
    </w:p>
    <w:p w14:paraId="720725AC" w14:textId="77777777" w:rsidR="00FF53E8" w:rsidRPr="005E59D4" w:rsidRDefault="00FF53E8" w:rsidP="00FF53E8">
      <w:pPr>
        <w:pStyle w:val="Textoindependiente"/>
        <w:ind w:left="100"/>
      </w:pPr>
    </w:p>
    <w:p w14:paraId="173D27CE" w14:textId="77777777" w:rsidR="00FF53E8" w:rsidRPr="005E59D4" w:rsidRDefault="00FF53E8" w:rsidP="00FF53E8">
      <w:pPr>
        <w:pStyle w:val="Textoindependiente"/>
        <w:ind w:left="100"/>
      </w:pPr>
    </w:p>
    <w:p w14:paraId="202CC81B" w14:textId="77777777" w:rsidR="00FF53E8" w:rsidRPr="005E59D4" w:rsidRDefault="00FF53E8" w:rsidP="00FF53E8">
      <w:pPr>
        <w:pStyle w:val="Textoindependiente"/>
        <w:ind w:left="100"/>
      </w:pPr>
      <w:r w:rsidRPr="005E59D4">
        <w:t>Estimado señor Martínez,</w:t>
      </w:r>
    </w:p>
    <w:p w14:paraId="7105651C" w14:textId="77777777" w:rsidR="00FF53E8" w:rsidRPr="005E59D4" w:rsidRDefault="00FF53E8" w:rsidP="00FF53E8">
      <w:pPr>
        <w:pStyle w:val="Textoindependiente"/>
        <w:spacing w:before="7"/>
        <w:rPr>
          <w:sz w:val="28"/>
        </w:rPr>
      </w:pPr>
    </w:p>
    <w:p w14:paraId="7704D0F0" w14:textId="77777777" w:rsidR="00FF53E8" w:rsidRPr="005E59D4" w:rsidRDefault="00FF53E8" w:rsidP="00FF53E8">
      <w:pPr>
        <w:pStyle w:val="Textoindependiente"/>
        <w:spacing w:line="276" w:lineRule="auto"/>
        <w:ind w:left="100" w:right="107"/>
        <w:jc w:val="both"/>
      </w:pPr>
      <w:r w:rsidRPr="005E59D4">
        <w:t>La Agencia Nacional de Contratación Pública - Colombia Compra Eficiente responde su consulta del 28 de noviembre de 2019, en ejercicio de la competencia otorgada por el numeral 5 del artículo 3 y numeral 8 del artículo 11 del Decreto 4170 de 2011.</w:t>
      </w:r>
    </w:p>
    <w:p w14:paraId="0ED08B70" w14:textId="77777777" w:rsidR="00FF53E8" w:rsidRPr="005E59D4" w:rsidRDefault="00FF53E8" w:rsidP="00FF53E8">
      <w:pPr>
        <w:pStyle w:val="Textoindependiente"/>
        <w:spacing w:line="276" w:lineRule="auto"/>
        <w:ind w:left="100" w:right="107"/>
        <w:jc w:val="both"/>
      </w:pPr>
    </w:p>
    <w:p w14:paraId="71821217" w14:textId="77777777" w:rsidR="00FF53E8" w:rsidRPr="005E59D4" w:rsidRDefault="00FF53E8" w:rsidP="00FF53E8">
      <w:pPr>
        <w:pStyle w:val="Ttulo1"/>
        <w:numPr>
          <w:ilvl w:val="0"/>
          <w:numId w:val="1"/>
        </w:numPr>
        <w:tabs>
          <w:tab w:val="left" w:pos="386"/>
        </w:tabs>
        <w:ind w:hanging="286"/>
      </w:pPr>
      <w:r w:rsidRPr="005E59D4">
        <w:t>Problema</w:t>
      </w:r>
      <w:r w:rsidRPr="005E59D4">
        <w:rPr>
          <w:spacing w:val="-2"/>
        </w:rPr>
        <w:t xml:space="preserve"> </w:t>
      </w:r>
      <w:r w:rsidRPr="005E59D4">
        <w:t>planteado</w:t>
      </w:r>
    </w:p>
    <w:p w14:paraId="25FCE45C" w14:textId="77777777" w:rsidR="00FF53E8" w:rsidRPr="005E59D4" w:rsidRDefault="00FF53E8" w:rsidP="00FF53E8">
      <w:pPr>
        <w:pStyle w:val="Textoindependiente"/>
        <w:spacing w:before="5"/>
        <w:rPr>
          <w:b/>
          <w:sz w:val="28"/>
        </w:rPr>
      </w:pPr>
    </w:p>
    <w:p w14:paraId="71D15564" w14:textId="77777777" w:rsidR="00FF53E8" w:rsidRPr="005E59D4" w:rsidRDefault="00FF53E8" w:rsidP="00FF53E8">
      <w:pPr>
        <w:pStyle w:val="Textoindependiente"/>
        <w:spacing w:line="276" w:lineRule="auto"/>
        <w:ind w:left="100" w:right="103"/>
        <w:jc w:val="both"/>
      </w:pPr>
      <w:r w:rsidRPr="005E59D4">
        <w:t>El proponente solicita explicación detallada de cómo se debe calcular la desviación estándar en un proceso de contratación estatal, de acuerdo con la Guía para el manejo de ofertas artificialmente bajas en Procesos de Contratación.</w:t>
      </w:r>
    </w:p>
    <w:p w14:paraId="06C5D179" w14:textId="77777777" w:rsidR="00FF53E8" w:rsidRPr="005E59D4" w:rsidRDefault="00FF53E8" w:rsidP="00FF53E8">
      <w:pPr>
        <w:pStyle w:val="Textoindependiente"/>
        <w:spacing w:line="276" w:lineRule="auto"/>
        <w:ind w:left="100" w:right="103"/>
        <w:jc w:val="both"/>
      </w:pPr>
    </w:p>
    <w:p w14:paraId="6E01B10C" w14:textId="77777777" w:rsidR="00FF53E8" w:rsidRPr="005E59D4" w:rsidRDefault="00FF53E8" w:rsidP="00FF53E8">
      <w:pPr>
        <w:pStyle w:val="Ttulo1"/>
        <w:numPr>
          <w:ilvl w:val="0"/>
          <w:numId w:val="1"/>
        </w:numPr>
        <w:tabs>
          <w:tab w:val="left" w:pos="386"/>
        </w:tabs>
        <w:ind w:hanging="286"/>
      </w:pPr>
      <w:r w:rsidRPr="005E59D4">
        <w:t>Problema</w:t>
      </w:r>
      <w:r w:rsidRPr="005E59D4">
        <w:rPr>
          <w:spacing w:val="-2"/>
        </w:rPr>
        <w:t xml:space="preserve"> </w:t>
      </w:r>
      <w:r w:rsidRPr="005E59D4">
        <w:t>planteado</w:t>
      </w:r>
    </w:p>
    <w:p w14:paraId="51F20C00" w14:textId="77777777" w:rsidR="00FF53E8" w:rsidRPr="005E59D4" w:rsidRDefault="00FF53E8" w:rsidP="00FF53E8">
      <w:pPr>
        <w:pStyle w:val="Textoindependiente"/>
        <w:spacing w:before="5"/>
        <w:rPr>
          <w:b/>
          <w:sz w:val="28"/>
        </w:rPr>
      </w:pPr>
    </w:p>
    <w:p w14:paraId="4DC3328B" w14:textId="77777777" w:rsidR="00FF53E8" w:rsidRPr="005E59D4" w:rsidRDefault="00FF53E8" w:rsidP="00FF53E8">
      <w:pPr>
        <w:pStyle w:val="Textoindependiente"/>
        <w:spacing w:line="276" w:lineRule="auto"/>
        <w:ind w:left="100" w:right="103"/>
        <w:jc w:val="both"/>
      </w:pPr>
      <w:r w:rsidRPr="005E59D4">
        <w:t>El proponente solicita explicación detallada de cómo se debe calcular la desviación estándar en un proceso de contratación estatal, de acuerdo con la Guía para el manejo de ofertas artificialmente bajas en Procesos de Contratación.</w:t>
      </w:r>
    </w:p>
    <w:p w14:paraId="5476D077" w14:textId="77777777" w:rsidR="00FF53E8" w:rsidRPr="005E59D4" w:rsidRDefault="00FF53E8" w:rsidP="00FF53E8">
      <w:pPr>
        <w:pStyle w:val="Textoindependiente"/>
        <w:spacing w:before="1" w:line="276" w:lineRule="auto"/>
        <w:ind w:left="100" w:right="106"/>
        <w:jc w:val="both"/>
      </w:pPr>
    </w:p>
    <w:p w14:paraId="6D285A7E" w14:textId="77777777" w:rsidR="00FF53E8" w:rsidRPr="005E59D4" w:rsidRDefault="00FF53E8" w:rsidP="00FF53E8">
      <w:pPr>
        <w:pStyle w:val="Textoindependiente"/>
        <w:spacing w:before="1" w:line="276" w:lineRule="auto"/>
        <w:ind w:left="100" w:right="106"/>
        <w:jc w:val="both"/>
      </w:pPr>
      <w:r w:rsidRPr="005E59D4">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402477E1" w14:textId="77777777" w:rsidR="00FF53E8" w:rsidRPr="005E59D4" w:rsidRDefault="00FF53E8" w:rsidP="00FF53E8">
      <w:pPr>
        <w:pStyle w:val="Textoindependiente"/>
        <w:spacing w:line="276" w:lineRule="auto"/>
        <w:ind w:left="100" w:right="103"/>
        <w:jc w:val="both"/>
      </w:pPr>
    </w:p>
    <w:p w14:paraId="5217BFFD" w14:textId="77777777" w:rsidR="00FF53E8" w:rsidRPr="005E59D4" w:rsidRDefault="00FF53E8" w:rsidP="00FF53E8">
      <w:pPr>
        <w:pStyle w:val="Textoindependiente"/>
        <w:spacing w:before="93" w:line="276" w:lineRule="auto"/>
        <w:ind w:left="100" w:right="104"/>
        <w:jc w:val="both"/>
      </w:pPr>
      <w:r w:rsidRPr="005E59D4">
        <w:t>La Agencia Nacional de Contratación Pública – Colombia Compra Eficiente expidió la “Guía para el manejo de ofertas artificialmente bajas en Procesos de Contratación”, en la cual se incluyen recomendaciones y pautas para el manejo de aquellas ofertas que cumplen con las características para ser consideradas artificialmente</w:t>
      </w:r>
      <w:r w:rsidRPr="005E59D4">
        <w:rPr>
          <w:spacing w:val="-15"/>
        </w:rPr>
        <w:t xml:space="preserve"> </w:t>
      </w:r>
      <w:r w:rsidRPr="005E59D4">
        <w:t>bajas.</w:t>
      </w:r>
    </w:p>
    <w:p w14:paraId="742D3129" w14:textId="77777777" w:rsidR="00FF53E8" w:rsidRPr="005E59D4" w:rsidRDefault="00FF53E8" w:rsidP="00FF53E8">
      <w:pPr>
        <w:pStyle w:val="Textoindependiente"/>
        <w:spacing w:before="3"/>
        <w:rPr>
          <w:sz w:val="25"/>
        </w:rPr>
      </w:pPr>
    </w:p>
    <w:p w14:paraId="04C3F373" w14:textId="77777777" w:rsidR="00FF53E8" w:rsidRPr="005E59D4" w:rsidRDefault="00FF53E8" w:rsidP="00FF53E8">
      <w:pPr>
        <w:pStyle w:val="Textoindependiente"/>
        <w:spacing w:line="276" w:lineRule="auto"/>
        <w:ind w:left="100" w:right="106"/>
        <w:jc w:val="both"/>
      </w:pPr>
      <w:r w:rsidRPr="005E59D4">
        <w:lastRenderedPageBreak/>
        <w:t xml:space="preserve">Esta guía define que una oferta es artificialmente baja cuando “a criterio de la Entidad Estatal, el precio no parece suficiente para garantizar una correcta ejecución del contrato, de acuerdo a la información recogida durante la etapa de planeación y particularmente durante el Estudio del Sector”. Para determinar que una propuesta es artificialmente bajo se puede acudir a la comparación absoluta o la comparación relativa. </w:t>
      </w:r>
    </w:p>
    <w:p w14:paraId="6C5F3880" w14:textId="77777777" w:rsidR="00FF53E8" w:rsidRPr="005E59D4" w:rsidRDefault="00FF53E8" w:rsidP="00FF53E8">
      <w:pPr>
        <w:pStyle w:val="Textoindependiente"/>
        <w:spacing w:line="276" w:lineRule="auto"/>
        <w:ind w:left="100" w:right="106"/>
        <w:jc w:val="both"/>
      </w:pPr>
    </w:p>
    <w:p w14:paraId="1C076968" w14:textId="77777777" w:rsidR="00FF53E8" w:rsidRPr="005E59D4" w:rsidRDefault="00FF53E8" w:rsidP="00FF53E8">
      <w:pPr>
        <w:pStyle w:val="Textoindependiente"/>
        <w:spacing w:line="276" w:lineRule="auto"/>
        <w:ind w:left="100" w:right="106"/>
        <w:jc w:val="both"/>
      </w:pPr>
      <w:r w:rsidRPr="005E59D4">
        <w:t>La primera, se refiere a contrastar el valor de cada oferta con el costo estimado de la provisión del bien o servicio de acuerdo con en el Estudio del Sector elaborado por la Entidad Estatal, en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w:t>
      </w:r>
      <w:r w:rsidRPr="005E59D4">
        <w:rPr>
          <w:spacing w:val="-9"/>
        </w:rPr>
        <w:t xml:space="preserve"> </w:t>
      </w:r>
      <w:r w:rsidRPr="005E59D4">
        <w:t>presentadas.</w:t>
      </w:r>
    </w:p>
    <w:p w14:paraId="63638BA1" w14:textId="77777777" w:rsidR="00FF53E8" w:rsidRPr="005E59D4" w:rsidRDefault="00FF53E8" w:rsidP="00FF53E8">
      <w:pPr>
        <w:pStyle w:val="Textoindependiente"/>
        <w:spacing w:line="276" w:lineRule="auto"/>
        <w:ind w:left="100" w:right="103"/>
        <w:jc w:val="both"/>
      </w:pPr>
    </w:p>
    <w:p w14:paraId="7CF078F3" w14:textId="77777777" w:rsidR="00FF53E8" w:rsidRPr="005E59D4" w:rsidRDefault="00FF53E8" w:rsidP="00FF53E8">
      <w:pPr>
        <w:pStyle w:val="Textoindependiente"/>
        <w:spacing w:line="276" w:lineRule="auto"/>
        <w:ind w:left="100" w:right="110"/>
        <w:jc w:val="both"/>
      </w:pPr>
      <w:r w:rsidRPr="005E59D4">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w:t>
      </w:r>
    </w:p>
    <w:p w14:paraId="305CFDD6" w14:textId="77777777" w:rsidR="00FF53E8" w:rsidRPr="005E59D4" w:rsidRDefault="00FF53E8" w:rsidP="00FF53E8">
      <w:pPr>
        <w:pStyle w:val="Textoindependiente"/>
        <w:spacing w:before="5"/>
        <w:rPr>
          <w:sz w:val="25"/>
        </w:rPr>
      </w:pPr>
    </w:p>
    <w:p w14:paraId="7A82C272" w14:textId="77777777" w:rsidR="00FF53E8" w:rsidRPr="005E59D4" w:rsidRDefault="00FF53E8" w:rsidP="00FF53E8">
      <w:pPr>
        <w:pStyle w:val="Prrafodelista"/>
        <w:numPr>
          <w:ilvl w:val="1"/>
          <w:numId w:val="1"/>
        </w:numPr>
        <w:tabs>
          <w:tab w:val="left" w:pos="1171"/>
        </w:tabs>
        <w:spacing w:before="1"/>
        <w:rPr>
          <w:sz w:val="20"/>
        </w:rPr>
      </w:pPr>
      <w:r w:rsidRPr="005E59D4">
        <w:rPr>
          <w:sz w:val="20"/>
        </w:rPr>
        <w:t>Tomar el conjunto de ofertas a</w:t>
      </w:r>
      <w:r w:rsidRPr="005E59D4">
        <w:rPr>
          <w:spacing w:val="-3"/>
          <w:sz w:val="20"/>
        </w:rPr>
        <w:t xml:space="preserve"> </w:t>
      </w:r>
      <w:r w:rsidRPr="005E59D4">
        <w:rPr>
          <w:sz w:val="20"/>
        </w:rPr>
        <w:t>evaluar.</w:t>
      </w:r>
    </w:p>
    <w:p w14:paraId="056A891A" w14:textId="77777777" w:rsidR="00FF53E8" w:rsidRPr="005E59D4" w:rsidRDefault="00FF53E8" w:rsidP="00FF53E8">
      <w:pPr>
        <w:pStyle w:val="Prrafodelista"/>
        <w:numPr>
          <w:ilvl w:val="1"/>
          <w:numId w:val="1"/>
        </w:numPr>
        <w:tabs>
          <w:tab w:val="left" w:pos="1186"/>
        </w:tabs>
        <w:ind w:left="950" w:right="823" w:firstLine="0"/>
        <w:rPr>
          <w:sz w:val="20"/>
        </w:rPr>
      </w:pPr>
      <w:r w:rsidRPr="005E59D4">
        <w:rPr>
          <w:sz w:val="20"/>
        </w:rPr>
        <w:t>Calcular la mediana, o dependiendo de la dispersión de los datos el promedio, del valor de cada oferta o de cada ítem dentro de la</w:t>
      </w:r>
      <w:r w:rsidRPr="005E59D4">
        <w:rPr>
          <w:spacing w:val="-13"/>
          <w:sz w:val="20"/>
        </w:rPr>
        <w:t xml:space="preserve"> </w:t>
      </w:r>
      <w:r w:rsidRPr="005E59D4">
        <w:rPr>
          <w:sz w:val="20"/>
        </w:rPr>
        <w:t>oferta.</w:t>
      </w:r>
    </w:p>
    <w:p w14:paraId="631A5D52" w14:textId="77777777" w:rsidR="00FF53E8" w:rsidRPr="005E59D4" w:rsidRDefault="00FF53E8" w:rsidP="00FF53E8">
      <w:pPr>
        <w:pStyle w:val="Prrafodelista"/>
        <w:numPr>
          <w:ilvl w:val="1"/>
          <w:numId w:val="1"/>
        </w:numPr>
        <w:tabs>
          <w:tab w:val="left" w:pos="1171"/>
        </w:tabs>
        <w:rPr>
          <w:sz w:val="20"/>
        </w:rPr>
      </w:pPr>
      <w:r w:rsidRPr="005E59D4">
        <w:rPr>
          <w:sz w:val="20"/>
        </w:rPr>
        <w:t>Calcular la desviación estándar del</w:t>
      </w:r>
      <w:r w:rsidRPr="005E59D4">
        <w:rPr>
          <w:spacing w:val="-3"/>
          <w:sz w:val="20"/>
        </w:rPr>
        <w:t xml:space="preserve"> </w:t>
      </w:r>
      <w:r w:rsidRPr="005E59D4">
        <w:rPr>
          <w:sz w:val="20"/>
        </w:rPr>
        <w:t>conjunto.</w:t>
      </w:r>
    </w:p>
    <w:p w14:paraId="057AF972" w14:textId="77777777" w:rsidR="00FF53E8" w:rsidRPr="005E59D4" w:rsidRDefault="00FF53E8" w:rsidP="00FF53E8">
      <w:pPr>
        <w:pStyle w:val="Prrafodelista"/>
        <w:numPr>
          <w:ilvl w:val="1"/>
          <w:numId w:val="1"/>
        </w:numPr>
        <w:tabs>
          <w:tab w:val="left" w:pos="1171"/>
        </w:tabs>
        <w:rPr>
          <w:sz w:val="20"/>
        </w:rPr>
      </w:pPr>
      <w:r w:rsidRPr="005E59D4">
        <w:rPr>
          <w:sz w:val="20"/>
        </w:rPr>
        <w:t>Determinar el valor mínimo</w:t>
      </w:r>
      <w:r w:rsidRPr="005E59D4">
        <w:rPr>
          <w:spacing w:val="-4"/>
          <w:sz w:val="20"/>
        </w:rPr>
        <w:t xml:space="preserve"> </w:t>
      </w:r>
      <w:r w:rsidRPr="005E59D4">
        <w:rPr>
          <w:sz w:val="20"/>
        </w:rPr>
        <w:t>aceptable.</w:t>
      </w:r>
    </w:p>
    <w:p w14:paraId="59C0380B" w14:textId="77777777" w:rsidR="00FF53E8" w:rsidRPr="005E59D4" w:rsidRDefault="00FF53E8" w:rsidP="00FF53E8">
      <w:pPr>
        <w:pStyle w:val="Textoindependiente"/>
        <w:spacing w:before="1"/>
        <w:rPr>
          <w:sz w:val="25"/>
        </w:rPr>
      </w:pPr>
    </w:p>
    <w:p w14:paraId="3E32EF96" w14:textId="77777777" w:rsidR="00FF53E8" w:rsidRPr="005E59D4" w:rsidRDefault="00FF53E8" w:rsidP="00FF53E8">
      <w:pPr>
        <w:pStyle w:val="Textoindependiente"/>
        <w:spacing w:line="276" w:lineRule="auto"/>
        <w:ind w:left="100" w:right="105"/>
        <w:jc w:val="both"/>
      </w:pPr>
      <w:r w:rsidRPr="005E59D4">
        <w:t>Para determinar el valor mínimo aceptable, la entidad debe calcular la mediana ordenando los valores de mayor a menor y tomar el valor de la oferta en la mitad de la lista. Si el número de ofertas es par, debe tomar los valores de la mitad, sumarlos y dividirlo en dos. Posteriormente, deberá calcular la desviación estándar utilizando la siguiente fórmula:</w:t>
      </w:r>
    </w:p>
    <w:p w14:paraId="431E356B" w14:textId="77777777" w:rsidR="00FF53E8" w:rsidRPr="005E59D4" w:rsidRDefault="00FF53E8" w:rsidP="00FF53E8">
      <w:pPr>
        <w:pStyle w:val="Textoindependiente"/>
        <w:spacing w:line="276" w:lineRule="auto"/>
        <w:ind w:right="105"/>
        <w:jc w:val="both"/>
      </w:pPr>
    </w:p>
    <w:p w14:paraId="78F4213C" w14:textId="77777777" w:rsidR="00FF53E8" w:rsidRPr="005E59D4" w:rsidRDefault="00FF53E8" w:rsidP="00FF53E8">
      <w:pPr>
        <w:pStyle w:val="Textoindependiente"/>
        <w:spacing w:before="11"/>
        <w:rPr>
          <w:sz w:val="25"/>
        </w:rPr>
      </w:pPr>
      <w:r w:rsidRPr="005E59D4">
        <w:rPr>
          <w:noProof/>
          <w:lang w:val="en-US"/>
        </w:rPr>
        <w:drawing>
          <wp:anchor distT="0" distB="0" distL="0" distR="0" simplePos="0" relativeHeight="251662336" behindDoc="0" locked="0" layoutInCell="1" allowOverlap="1" wp14:anchorId="1D5F964D" wp14:editId="7715D628">
            <wp:simplePos x="0" y="0"/>
            <wp:positionH relativeFrom="page">
              <wp:posOffset>1678437</wp:posOffset>
            </wp:positionH>
            <wp:positionV relativeFrom="paragraph">
              <wp:posOffset>214466</wp:posOffset>
            </wp:positionV>
            <wp:extent cx="4410658" cy="61721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410658" cy="617219"/>
                    </a:xfrm>
                    <a:prstGeom prst="rect">
                      <a:avLst/>
                    </a:prstGeom>
                  </pic:spPr>
                </pic:pic>
              </a:graphicData>
            </a:graphic>
          </wp:anchor>
        </w:drawing>
      </w:r>
    </w:p>
    <w:p w14:paraId="48ABF30E" w14:textId="77777777" w:rsidR="00FF53E8" w:rsidRPr="005E59D4" w:rsidRDefault="00FF53E8" w:rsidP="00FF53E8">
      <w:pPr>
        <w:pStyle w:val="Textoindependiente"/>
        <w:spacing w:before="6"/>
        <w:rPr>
          <w:sz w:val="31"/>
        </w:rPr>
      </w:pPr>
    </w:p>
    <w:p w14:paraId="07984E76" w14:textId="77777777" w:rsidR="00FF53E8" w:rsidRPr="005E59D4" w:rsidRDefault="00FF53E8" w:rsidP="00FF53E8">
      <w:pPr>
        <w:pStyle w:val="Textoindependiente"/>
        <w:spacing w:before="1" w:line="276" w:lineRule="auto"/>
        <w:ind w:left="100" w:right="107"/>
        <w:jc w:val="both"/>
      </w:pPr>
      <w:r w:rsidRPr="005E59D4">
        <w:t>Por su parte, el valor mínimo aceptable es igual a la mediana menos una (1) desviación estándar. De acuerdo con la “guía”, este valor mínimo aceptable puede ser diferente al</w:t>
      </w:r>
    </w:p>
    <w:p w14:paraId="7906A755" w14:textId="77777777" w:rsidR="00FF53E8" w:rsidRPr="005E59D4" w:rsidRDefault="00FF53E8" w:rsidP="00FF53E8">
      <w:pPr>
        <w:spacing w:line="276" w:lineRule="auto"/>
        <w:jc w:val="both"/>
        <w:sectPr w:rsidR="00FF53E8" w:rsidRPr="005E59D4">
          <w:pgSz w:w="12240" w:h="15840"/>
          <w:pgMar w:top="1560" w:right="1500" w:bottom="2120" w:left="1600" w:header="737" w:footer="1880" w:gutter="0"/>
          <w:cols w:space="720"/>
        </w:sectPr>
      </w:pPr>
    </w:p>
    <w:p w14:paraId="0F4E5700" w14:textId="77777777" w:rsidR="00FF53E8" w:rsidRPr="005E59D4" w:rsidRDefault="00FF53E8" w:rsidP="00FF53E8">
      <w:pPr>
        <w:pStyle w:val="Textoindependiente"/>
        <w:rPr>
          <w:sz w:val="20"/>
        </w:rPr>
      </w:pPr>
    </w:p>
    <w:p w14:paraId="4B6C5CDD" w14:textId="77777777" w:rsidR="00FF53E8" w:rsidRPr="005E59D4" w:rsidRDefault="00FF53E8" w:rsidP="00FF53E8">
      <w:pPr>
        <w:pStyle w:val="Textoindependiente"/>
        <w:spacing w:before="5"/>
        <w:rPr>
          <w:sz w:val="16"/>
        </w:rPr>
      </w:pPr>
    </w:p>
    <w:p w14:paraId="1733572A" w14:textId="77777777" w:rsidR="00FF53E8" w:rsidRPr="005E59D4" w:rsidRDefault="00FF53E8" w:rsidP="00FF53E8">
      <w:pPr>
        <w:pStyle w:val="Textoindependiente"/>
        <w:spacing w:before="93" w:line="278" w:lineRule="auto"/>
        <w:ind w:left="100" w:right="114"/>
        <w:jc w:val="both"/>
      </w:pPr>
      <w:r w:rsidRPr="005E59D4">
        <w:t>obtenido con la anterior metodología, dependiendo de la información y los datos con los que cuente la entidad estatal.</w:t>
      </w:r>
    </w:p>
    <w:p w14:paraId="27A3A7AC" w14:textId="77777777" w:rsidR="00FF53E8" w:rsidRPr="005E59D4" w:rsidRDefault="00FF53E8" w:rsidP="00FF53E8">
      <w:pPr>
        <w:pStyle w:val="Textoindependiente"/>
        <w:spacing w:before="1"/>
        <w:rPr>
          <w:sz w:val="25"/>
        </w:rPr>
      </w:pPr>
    </w:p>
    <w:p w14:paraId="3C34FD26" w14:textId="578660BF" w:rsidR="00FF53E8" w:rsidRPr="005E59D4" w:rsidRDefault="00FF53E8" w:rsidP="005E59D4">
      <w:pPr>
        <w:pStyle w:val="Textoindependiente"/>
        <w:spacing w:line="276" w:lineRule="auto"/>
        <w:ind w:left="100" w:right="111"/>
        <w:jc w:val="both"/>
        <w:rPr>
          <w:sz w:val="25"/>
        </w:rPr>
      </w:pPr>
      <w:r w:rsidRPr="005E59D4">
        <w:t>Identificadas las ofertas con valores que parecen artificialmente de acuerdo con la anterior metodología, la entidad debe solicitar aclaración a los proponentes, analizar las explicaciones obtenidos para determinar si estos son suficientes para la ejecución del contrato y finalmente, debe decidir “si continúa con la evaluación de la oferta porque la explicación demuestra la habilidad del proponente para cumplir adecuadamente con el contrato con los precios ofrecidos o rechazar la oferta si la explicación no sustenta los valores ofrecidos”.</w:t>
      </w:r>
    </w:p>
    <w:p w14:paraId="57E061FC" w14:textId="77777777" w:rsidR="00FF53E8" w:rsidRPr="005E59D4" w:rsidRDefault="00FF53E8" w:rsidP="00FF53E8">
      <w:pPr>
        <w:pStyle w:val="Textoindependiente"/>
        <w:spacing w:line="278" w:lineRule="auto"/>
        <w:ind w:left="100" w:right="105"/>
        <w:jc w:val="both"/>
      </w:pPr>
      <w:r w:rsidRPr="005E59D4">
        <w:t>De acuerdo con lo anterior, a continuación se desarrollará un ejemplo de acuerdo con la metodología sugerida:</w:t>
      </w:r>
    </w:p>
    <w:p w14:paraId="561BEFD0" w14:textId="77777777" w:rsidR="00FF53E8" w:rsidRPr="005E59D4" w:rsidRDefault="00FF53E8" w:rsidP="00FF53E8">
      <w:pPr>
        <w:pStyle w:val="Textoindependiente"/>
        <w:spacing w:before="1"/>
        <w:rPr>
          <w:sz w:val="25"/>
        </w:rPr>
      </w:pPr>
    </w:p>
    <w:p w14:paraId="08CBF4A7" w14:textId="77777777" w:rsidR="00FF53E8" w:rsidRPr="005E59D4" w:rsidRDefault="00FF53E8" w:rsidP="00FF53E8">
      <w:pPr>
        <w:pStyle w:val="Prrafodelista"/>
        <w:numPr>
          <w:ilvl w:val="0"/>
          <w:numId w:val="2"/>
        </w:numPr>
        <w:tabs>
          <w:tab w:val="left" w:pos="344"/>
        </w:tabs>
        <w:ind w:hanging="244"/>
      </w:pPr>
      <w:r w:rsidRPr="005E59D4">
        <w:t>Tomar el conjunto de ofertas a</w:t>
      </w:r>
      <w:r w:rsidRPr="005E59D4">
        <w:rPr>
          <w:spacing w:val="-7"/>
        </w:rPr>
        <w:t xml:space="preserve"> </w:t>
      </w:r>
      <w:r w:rsidRPr="005E59D4">
        <w:t>evaluar.</w:t>
      </w:r>
    </w:p>
    <w:p w14:paraId="13756856" w14:textId="77777777" w:rsidR="00FF53E8" w:rsidRPr="005E59D4" w:rsidRDefault="00FF53E8" w:rsidP="00FF53E8">
      <w:pPr>
        <w:pStyle w:val="Textoindependiente"/>
        <w:spacing w:before="9"/>
        <w:rPr>
          <w:sz w:val="28"/>
        </w:rPr>
      </w:pPr>
    </w:p>
    <w:tbl>
      <w:tblPr>
        <w:tblStyle w:val="NormalTable0"/>
        <w:tblW w:w="0" w:type="auto"/>
        <w:tblInd w:w="2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1710"/>
      </w:tblGrid>
      <w:tr w:rsidR="005E59D4" w:rsidRPr="005E59D4" w14:paraId="7E0E95E5" w14:textId="77777777" w:rsidTr="00310D84">
        <w:trPr>
          <w:trHeight w:val="292"/>
        </w:trPr>
        <w:tc>
          <w:tcPr>
            <w:tcW w:w="1437" w:type="dxa"/>
            <w:shd w:val="clear" w:color="auto" w:fill="3B3B3B"/>
          </w:tcPr>
          <w:p w14:paraId="1A307187" w14:textId="77777777" w:rsidR="00FF53E8" w:rsidRPr="005E59D4" w:rsidRDefault="00FF53E8" w:rsidP="00310D84">
            <w:pPr>
              <w:pStyle w:val="TableParagraph"/>
              <w:ind w:left="87" w:right="76"/>
              <w:rPr>
                <w:b/>
              </w:rPr>
            </w:pPr>
            <w:r w:rsidRPr="005E59D4">
              <w:rPr>
                <w:b/>
              </w:rPr>
              <w:t>Proponente</w:t>
            </w:r>
          </w:p>
        </w:tc>
        <w:tc>
          <w:tcPr>
            <w:tcW w:w="1710" w:type="dxa"/>
            <w:shd w:val="clear" w:color="auto" w:fill="3B3B3B"/>
          </w:tcPr>
          <w:p w14:paraId="4F800A0E" w14:textId="77777777" w:rsidR="00FF53E8" w:rsidRPr="005E59D4" w:rsidRDefault="00FF53E8" w:rsidP="00310D84">
            <w:pPr>
              <w:pStyle w:val="TableParagraph"/>
              <w:ind w:right="79"/>
              <w:rPr>
                <w:b/>
              </w:rPr>
            </w:pPr>
            <w:r w:rsidRPr="005E59D4">
              <w:rPr>
                <w:b/>
              </w:rPr>
              <w:t>Valor ofertado</w:t>
            </w:r>
          </w:p>
        </w:tc>
      </w:tr>
      <w:tr w:rsidR="005E59D4" w:rsidRPr="005E59D4" w14:paraId="37093EBD" w14:textId="77777777" w:rsidTr="00310D84">
        <w:trPr>
          <w:trHeight w:val="290"/>
        </w:trPr>
        <w:tc>
          <w:tcPr>
            <w:tcW w:w="1437" w:type="dxa"/>
          </w:tcPr>
          <w:p w14:paraId="10997817" w14:textId="77777777" w:rsidR="00FF53E8" w:rsidRPr="005E59D4" w:rsidRDefault="00FF53E8" w:rsidP="00310D84">
            <w:pPr>
              <w:pStyle w:val="TableParagraph"/>
              <w:ind w:left="9"/>
            </w:pPr>
            <w:r w:rsidRPr="005E59D4">
              <w:t>A</w:t>
            </w:r>
          </w:p>
        </w:tc>
        <w:tc>
          <w:tcPr>
            <w:tcW w:w="1710" w:type="dxa"/>
          </w:tcPr>
          <w:p w14:paraId="6AA0D49B" w14:textId="77777777" w:rsidR="00FF53E8" w:rsidRPr="005E59D4" w:rsidRDefault="00FF53E8" w:rsidP="00310D84">
            <w:pPr>
              <w:pStyle w:val="TableParagraph"/>
              <w:ind w:right="75"/>
            </w:pPr>
            <w:r w:rsidRPr="005E59D4">
              <w:t>$55.000.000</w:t>
            </w:r>
          </w:p>
        </w:tc>
      </w:tr>
      <w:tr w:rsidR="005E59D4" w:rsidRPr="005E59D4" w14:paraId="560FBCC4" w14:textId="77777777" w:rsidTr="00310D84">
        <w:trPr>
          <w:trHeight w:val="290"/>
        </w:trPr>
        <w:tc>
          <w:tcPr>
            <w:tcW w:w="1437" w:type="dxa"/>
          </w:tcPr>
          <w:p w14:paraId="78B898DF" w14:textId="77777777" w:rsidR="00FF53E8" w:rsidRPr="005E59D4" w:rsidRDefault="00FF53E8" w:rsidP="00310D84">
            <w:pPr>
              <w:pStyle w:val="TableParagraph"/>
              <w:ind w:left="9"/>
            </w:pPr>
            <w:r w:rsidRPr="005E59D4">
              <w:t>B</w:t>
            </w:r>
          </w:p>
        </w:tc>
        <w:tc>
          <w:tcPr>
            <w:tcW w:w="1710" w:type="dxa"/>
          </w:tcPr>
          <w:p w14:paraId="5CCD9666" w14:textId="77777777" w:rsidR="00FF53E8" w:rsidRPr="005E59D4" w:rsidRDefault="00FF53E8" w:rsidP="00310D84">
            <w:pPr>
              <w:pStyle w:val="TableParagraph"/>
              <w:ind w:right="75"/>
            </w:pPr>
            <w:r w:rsidRPr="005E59D4">
              <w:t>$44.000.000</w:t>
            </w:r>
          </w:p>
        </w:tc>
      </w:tr>
      <w:tr w:rsidR="005E59D4" w:rsidRPr="005E59D4" w14:paraId="5DD1D380" w14:textId="77777777" w:rsidTr="00310D84">
        <w:trPr>
          <w:trHeight w:val="292"/>
        </w:trPr>
        <w:tc>
          <w:tcPr>
            <w:tcW w:w="1437" w:type="dxa"/>
          </w:tcPr>
          <w:p w14:paraId="34C992C1" w14:textId="77777777" w:rsidR="00FF53E8" w:rsidRPr="005E59D4" w:rsidRDefault="00FF53E8" w:rsidP="00310D84">
            <w:pPr>
              <w:pStyle w:val="TableParagraph"/>
              <w:ind w:left="6"/>
            </w:pPr>
            <w:r w:rsidRPr="005E59D4">
              <w:t>C</w:t>
            </w:r>
          </w:p>
        </w:tc>
        <w:tc>
          <w:tcPr>
            <w:tcW w:w="1710" w:type="dxa"/>
          </w:tcPr>
          <w:p w14:paraId="340FD101" w14:textId="77777777" w:rsidR="00FF53E8" w:rsidRPr="005E59D4" w:rsidRDefault="00FF53E8" w:rsidP="00310D84">
            <w:pPr>
              <w:pStyle w:val="TableParagraph"/>
              <w:ind w:right="75"/>
            </w:pPr>
            <w:r w:rsidRPr="005E59D4">
              <w:t>$33.000.000</w:t>
            </w:r>
          </w:p>
        </w:tc>
      </w:tr>
      <w:tr w:rsidR="005E59D4" w:rsidRPr="005E59D4" w14:paraId="33340811" w14:textId="77777777" w:rsidTr="00310D84">
        <w:trPr>
          <w:trHeight w:val="290"/>
        </w:trPr>
        <w:tc>
          <w:tcPr>
            <w:tcW w:w="1437" w:type="dxa"/>
          </w:tcPr>
          <w:p w14:paraId="55ABC1EC" w14:textId="77777777" w:rsidR="00FF53E8" w:rsidRPr="005E59D4" w:rsidRDefault="00FF53E8" w:rsidP="00310D84">
            <w:pPr>
              <w:pStyle w:val="TableParagraph"/>
              <w:spacing w:line="250" w:lineRule="exact"/>
              <w:ind w:left="6"/>
            </w:pPr>
            <w:r w:rsidRPr="005E59D4">
              <w:t>D</w:t>
            </w:r>
          </w:p>
        </w:tc>
        <w:tc>
          <w:tcPr>
            <w:tcW w:w="1710" w:type="dxa"/>
          </w:tcPr>
          <w:p w14:paraId="393B4E35" w14:textId="77777777" w:rsidR="00FF53E8" w:rsidRPr="005E59D4" w:rsidRDefault="00FF53E8" w:rsidP="00310D84">
            <w:pPr>
              <w:pStyle w:val="TableParagraph"/>
              <w:spacing w:line="250" w:lineRule="exact"/>
              <w:ind w:right="75"/>
            </w:pPr>
            <w:r w:rsidRPr="005E59D4">
              <w:t>$58.000.000</w:t>
            </w:r>
          </w:p>
        </w:tc>
      </w:tr>
      <w:tr w:rsidR="005E59D4" w:rsidRPr="005E59D4" w14:paraId="2943FD6C" w14:textId="77777777" w:rsidTr="00310D84">
        <w:trPr>
          <w:trHeight w:val="292"/>
        </w:trPr>
        <w:tc>
          <w:tcPr>
            <w:tcW w:w="1437" w:type="dxa"/>
          </w:tcPr>
          <w:p w14:paraId="6E265295" w14:textId="77777777" w:rsidR="00FF53E8" w:rsidRPr="005E59D4" w:rsidRDefault="00FF53E8" w:rsidP="00310D84">
            <w:pPr>
              <w:pStyle w:val="TableParagraph"/>
              <w:ind w:left="9"/>
            </w:pPr>
            <w:r w:rsidRPr="005E59D4">
              <w:t>E</w:t>
            </w:r>
          </w:p>
        </w:tc>
        <w:tc>
          <w:tcPr>
            <w:tcW w:w="1710" w:type="dxa"/>
          </w:tcPr>
          <w:p w14:paraId="4F3B193C" w14:textId="77777777" w:rsidR="00FF53E8" w:rsidRPr="005E59D4" w:rsidRDefault="00FF53E8" w:rsidP="00310D84">
            <w:pPr>
              <w:pStyle w:val="TableParagraph"/>
              <w:ind w:right="75"/>
            </w:pPr>
            <w:r w:rsidRPr="005E59D4">
              <w:t>$49.000.000</w:t>
            </w:r>
          </w:p>
        </w:tc>
      </w:tr>
      <w:tr w:rsidR="00FF53E8" w:rsidRPr="005E59D4" w14:paraId="467F6034" w14:textId="77777777" w:rsidTr="00310D84">
        <w:trPr>
          <w:trHeight w:val="290"/>
        </w:trPr>
        <w:tc>
          <w:tcPr>
            <w:tcW w:w="1437" w:type="dxa"/>
          </w:tcPr>
          <w:p w14:paraId="305DDDEB" w14:textId="77777777" w:rsidR="00FF53E8" w:rsidRPr="005E59D4" w:rsidRDefault="00FF53E8" w:rsidP="00310D84">
            <w:pPr>
              <w:pStyle w:val="TableParagraph"/>
              <w:ind w:left="7"/>
            </w:pPr>
            <w:r w:rsidRPr="005E59D4">
              <w:t>F</w:t>
            </w:r>
          </w:p>
        </w:tc>
        <w:tc>
          <w:tcPr>
            <w:tcW w:w="1710" w:type="dxa"/>
          </w:tcPr>
          <w:p w14:paraId="1C17575E" w14:textId="77777777" w:rsidR="00FF53E8" w:rsidRPr="005E59D4" w:rsidRDefault="00FF53E8" w:rsidP="00310D84">
            <w:pPr>
              <w:pStyle w:val="TableParagraph"/>
              <w:ind w:right="75"/>
            </w:pPr>
            <w:r w:rsidRPr="005E59D4">
              <w:t>$51.000.000</w:t>
            </w:r>
          </w:p>
        </w:tc>
      </w:tr>
    </w:tbl>
    <w:p w14:paraId="1F9A876E" w14:textId="77777777" w:rsidR="00FF53E8" w:rsidRPr="005E59D4" w:rsidRDefault="00FF53E8" w:rsidP="00FF53E8">
      <w:pPr>
        <w:pStyle w:val="Textoindependiente"/>
        <w:spacing w:before="10"/>
        <w:rPr>
          <w:sz w:val="24"/>
        </w:rPr>
      </w:pPr>
    </w:p>
    <w:p w14:paraId="064A46F4" w14:textId="77777777" w:rsidR="00FF53E8" w:rsidRPr="005E59D4" w:rsidRDefault="00FF53E8" w:rsidP="00FF53E8">
      <w:pPr>
        <w:pStyle w:val="Prrafodelista"/>
        <w:numPr>
          <w:ilvl w:val="0"/>
          <w:numId w:val="2"/>
        </w:numPr>
        <w:tabs>
          <w:tab w:val="left" w:pos="353"/>
        </w:tabs>
        <w:spacing w:line="278" w:lineRule="auto"/>
        <w:ind w:left="100" w:right="112" w:firstLine="0"/>
      </w:pPr>
      <w:r w:rsidRPr="005E59D4">
        <w:t>Calcular la mediana, o dependiendo de la dispersión de los datos el promedio, del valor de cada oferta o de cada ítem dentro de la</w:t>
      </w:r>
      <w:r w:rsidRPr="005E59D4">
        <w:rPr>
          <w:spacing w:val="-7"/>
        </w:rPr>
        <w:t xml:space="preserve"> </w:t>
      </w:r>
      <w:r w:rsidRPr="005E59D4">
        <w:t>oferta.</w:t>
      </w:r>
    </w:p>
    <w:p w14:paraId="6A90B6C2" w14:textId="77777777" w:rsidR="00FF53E8" w:rsidRPr="005E59D4" w:rsidRDefault="00FF53E8" w:rsidP="00FF53E8">
      <w:pPr>
        <w:pStyle w:val="Textoindependiente"/>
        <w:spacing w:before="9"/>
        <w:rPr>
          <w:sz w:val="24"/>
        </w:rPr>
      </w:pPr>
    </w:p>
    <w:p w14:paraId="4CC0328D" w14:textId="77777777" w:rsidR="00FF53E8" w:rsidRPr="005E59D4" w:rsidRDefault="00FF53E8" w:rsidP="00FF53E8">
      <w:pPr>
        <w:pStyle w:val="Textoindependiente"/>
        <w:spacing w:line="276" w:lineRule="auto"/>
        <w:ind w:left="100" w:right="105"/>
        <w:jc w:val="both"/>
      </w:pPr>
      <w:r w:rsidRPr="005E59D4">
        <w:t>Para el cálculo de la mediana se debe ordenar los valores de mayor a menor y como el número de ofertas es par, se suman y dividen los dos valores de la mitad. En este caso, los valores de la mitad corresponden a los proponentes F y E:</w:t>
      </w:r>
    </w:p>
    <w:p w14:paraId="046031A7" w14:textId="77777777" w:rsidR="00FF53E8" w:rsidRPr="005E59D4" w:rsidRDefault="00FF53E8" w:rsidP="00FF53E8">
      <w:pPr>
        <w:pStyle w:val="Textoindependiente"/>
        <w:spacing w:before="9" w:after="1"/>
        <w:rPr>
          <w:sz w:val="25"/>
        </w:rPr>
      </w:pPr>
    </w:p>
    <w:tbl>
      <w:tblPr>
        <w:tblStyle w:val="NormalTable0"/>
        <w:tblW w:w="0" w:type="auto"/>
        <w:tblInd w:w="2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1710"/>
      </w:tblGrid>
      <w:tr w:rsidR="005E59D4" w:rsidRPr="005E59D4" w14:paraId="7F47170C" w14:textId="77777777" w:rsidTr="00310D84">
        <w:trPr>
          <w:trHeight w:val="290"/>
        </w:trPr>
        <w:tc>
          <w:tcPr>
            <w:tcW w:w="1437" w:type="dxa"/>
            <w:shd w:val="clear" w:color="auto" w:fill="3B3B3B"/>
          </w:tcPr>
          <w:p w14:paraId="795D92C1" w14:textId="77777777" w:rsidR="00FF53E8" w:rsidRPr="005E59D4" w:rsidRDefault="00FF53E8" w:rsidP="00310D84">
            <w:pPr>
              <w:pStyle w:val="TableParagraph"/>
              <w:ind w:left="87" w:right="76"/>
              <w:rPr>
                <w:b/>
              </w:rPr>
            </w:pPr>
            <w:r w:rsidRPr="005E59D4">
              <w:rPr>
                <w:b/>
              </w:rPr>
              <w:t>Proponente</w:t>
            </w:r>
          </w:p>
        </w:tc>
        <w:tc>
          <w:tcPr>
            <w:tcW w:w="1710" w:type="dxa"/>
            <w:shd w:val="clear" w:color="auto" w:fill="3B3B3B"/>
          </w:tcPr>
          <w:p w14:paraId="15D3F412" w14:textId="77777777" w:rsidR="00FF53E8" w:rsidRPr="005E59D4" w:rsidRDefault="00FF53E8" w:rsidP="00310D84">
            <w:pPr>
              <w:pStyle w:val="TableParagraph"/>
              <w:ind w:right="79"/>
              <w:rPr>
                <w:b/>
              </w:rPr>
            </w:pPr>
            <w:r w:rsidRPr="005E59D4">
              <w:rPr>
                <w:b/>
              </w:rPr>
              <w:t>Valor ofertado</w:t>
            </w:r>
          </w:p>
        </w:tc>
      </w:tr>
      <w:tr w:rsidR="005E59D4" w:rsidRPr="005E59D4" w14:paraId="018E10F7" w14:textId="77777777" w:rsidTr="00310D84">
        <w:trPr>
          <w:trHeight w:val="292"/>
        </w:trPr>
        <w:tc>
          <w:tcPr>
            <w:tcW w:w="1437" w:type="dxa"/>
          </w:tcPr>
          <w:p w14:paraId="654C369F" w14:textId="77777777" w:rsidR="00FF53E8" w:rsidRPr="005E59D4" w:rsidRDefault="00FF53E8" w:rsidP="00310D84">
            <w:pPr>
              <w:pStyle w:val="TableParagraph"/>
              <w:ind w:left="6"/>
            </w:pPr>
            <w:r w:rsidRPr="005E59D4">
              <w:t>D</w:t>
            </w:r>
          </w:p>
        </w:tc>
        <w:tc>
          <w:tcPr>
            <w:tcW w:w="1710" w:type="dxa"/>
          </w:tcPr>
          <w:p w14:paraId="37D856FE" w14:textId="77777777" w:rsidR="00FF53E8" w:rsidRPr="005E59D4" w:rsidRDefault="00FF53E8" w:rsidP="00310D84">
            <w:pPr>
              <w:pStyle w:val="TableParagraph"/>
              <w:ind w:right="79"/>
            </w:pPr>
            <w:r w:rsidRPr="005E59D4">
              <w:t>$ 58.000.000</w:t>
            </w:r>
          </w:p>
        </w:tc>
      </w:tr>
      <w:tr w:rsidR="005E59D4" w:rsidRPr="005E59D4" w14:paraId="5E14E8F9" w14:textId="77777777" w:rsidTr="00310D84">
        <w:trPr>
          <w:trHeight w:val="290"/>
        </w:trPr>
        <w:tc>
          <w:tcPr>
            <w:tcW w:w="1437" w:type="dxa"/>
          </w:tcPr>
          <w:p w14:paraId="422D7A2B" w14:textId="77777777" w:rsidR="00FF53E8" w:rsidRPr="005E59D4" w:rsidRDefault="00FF53E8" w:rsidP="00310D84">
            <w:pPr>
              <w:pStyle w:val="TableParagraph"/>
              <w:ind w:left="9"/>
            </w:pPr>
            <w:r w:rsidRPr="005E59D4">
              <w:t>A</w:t>
            </w:r>
          </w:p>
        </w:tc>
        <w:tc>
          <w:tcPr>
            <w:tcW w:w="1710" w:type="dxa"/>
          </w:tcPr>
          <w:p w14:paraId="65B4A46D" w14:textId="77777777" w:rsidR="00FF53E8" w:rsidRPr="005E59D4" w:rsidRDefault="00FF53E8" w:rsidP="00310D84">
            <w:pPr>
              <w:pStyle w:val="TableParagraph"/>
              <w:ind w:right="79"/>
            </w:pPr>
            <w:r w:rsidRPr="005E59D4">
              <w:t>$ 55.000.000</w:t>
            </w:r>
          </w:p>
        </w:tc>
      </w:tr>
      <w:tr w:rsidR="005E59D4" w:rsidRPr="005E59D4" w14:paraId="2EED8260" w14:textId="77777777" w:rsidTr="00310D84">
        <w:trPr>
          <w:trHeight w:val="290"/>
        </w:trPr>
        <w:tc>
          <w:tcPr>
            <w:tcW w:w="1437" w:type="dxa"/>
            <w:shd w:val="clear" w:color="auto" w:fill="B5B5B5"/>
          </w:tcPr>
          <w:p w14:paraId="633A9091" w14:textId="77777777" w:rsidR="00FF53E8" w:rsidRPr="005E59D4" w:rsidRDefault="00FF53E8" w:rsidP="00310D84">
            <w:pPr>
              <w:pStyle w:val="TableParagraph"/>
              <w:ind w:left="7"/>
            </w:pPr>
            <w:r w:rsidRPr="005E59D4">
              <w:t>F</w:t>
            </w:r>
          </w:p>
        </w:tc>
        <w:tc>
          <w:tcPr>
            <w:tcW w:w="1710" w:type="dxa"/>
            <w:shd w:val="clear" w:color="auto" w:fill="B5B5B5"/>
          </w:tcPr>
          <w:p w14:paraId="58C8EB08" w14:textId="77777777" w:rsidR="00FF53E8" w:rsidRPr="005E59D4" w:rsidRDefault="00FF53E8" w:rsidP="00310D84">
            <w:pPr>
              <w:pStyle w:val="TableParagraph"/>
              <w:ind w:right="79"/>
            </w:pPr>
            <w:r w:rsidRPr="005E59D4">
              <w:t>$ 51.000.000</w:t>
            </w:r>
          </w:p>
        </w:tc>
      </w:tr>
      <w:tr w:rsidR="005E59D4" w:rsidRPr="005E59D4" w14:paraId="63712B90" w14:textId="77777777" w:rsidTr="00310D84">
        <w:trPr>
          <w:trHeight w:val="292"/>
        </w:trPr>
        <w:tc>
          <w:tcPr>
            <w:tcW w:w="1437" w:type="dxa"/>
            <w:shd w:val="clear" w:color="auto" w:fill="B5B5B5"/>
          </w:tcPr>
          <w:p w14:paraId="68AF6900" w14:textId="77777777" w:rsidR="00FF53E8" w:rsidRPr="005E59D4" w:rsidRDefault="00FF53E8" w:rsidP="00310D84">
            <w:pPr>
              <w:pStyle w:val="TableParagraph"/>
              <w:ind w:left="9"/>
            </w:pPr>
            <w:r w:rsidRPr="005E59D4">
              <w:t>E</w:t>
            </w:r>
          </w:p>
        </w:tc>
        <w:tc>
          <w:tcPr>
            <w:tcW w:w="1710" w:type="dxa"/>
            <w:shd w:val="clear" w:color="auto" w:fill="B5B5B5"/>
          </w:tcPr>
          <w:p w14:paraId="2C5C13D2" w14:textId="77777777" w:rsidR="00FF53E8" w:rsidRPr="005E59D4" w:rsidRDefault="00FF53E8" w:rsidP="00310D84">
            <w:pPr>
              <w:pStyle w:val="TableParagraph"/>
              <w:ind w:right="79"/>
            </w:pPr>
            <w:r w:rsidRPr="005E59D4">
              <w:t>$ 49.000.000</w:t>
            </w:r>
          </w:p>
        </w:tc>
      </w:tr>
      <w:tr w:rsidR="005E59D4" w:rsidRPr="005E59D4" w14:paraId="09436C8C" w14:textId="77777777" w:rsidTr="00310D84">
        <w:trPr>
          <w:trHeight w:val="290"/>
        </w:trPr>
        <w:tc>
          <w:tcPr>
            <w:tcW w:w="1437" w:type="dxa"/>
          </w:tcPr>
          <w:p w14:paraId="07A13012" w14:textId="77777777" w:rsidR="00FF53E8" w:rsidRPr="005E59D4" w:rsidRDefault="00FF53E8" w:rsidP="00310D84">
            <w:pPr>
              <w:pStyle w:val="TableParagraph"/>
              <w:ind w:left="9"/>
            </w:pPr>
            <w:r w:rsidRPr="005E59D4">
              <w:t>B</w:t>
            </w:r>
          </w:p>
        </w:tc>
        <w:tc>
          <w:tcPr>
            <w:tcW w:w="1710" w:type="dxa"/>
          </w:tcPr>
          <w:p w14:paraId="4DBDE693" w14:textId="77777777" w:rsidR="00FF53E8" w:rsidRPr="005E59D4" w:rsidRDefault="00FF53E8" w:rsidP="00310D84">
            <w:pPr>
              <w:pStyle w:val="TableParagraph"/>
              <w:ind w:right="79"/>
            </w:pPr>
            <w:r w:rsidRPr="005E59D4">
              <w:t>$ 44.000.000</w:t>
            </w:r>
          </w:p>
        </w:tc>
      </w:tr>
      <w:tr w:rsidR="005E59D4" w:rsidRPr="005E59D4" w14:paraId="54C59096" w14:textId="77777777" w:rsidTr="00310D84">
        <w:trPr>
          <w:trHeight w:val="292"/>
        </w:trPr>
        <w:tc>
          <w:tcPr>
            <w:tcW w:w="1437" w:type="dxa"/>
          </w:tcPr>
          <w:p w14:paraId="7AA7F3D9" w14:textId="77777777" w:rsidR="00FF53E8" w:rsidRPr="005E59D4" w:rsidRDefault="00FF53E8" w:rsidP="00310D84">
            <w:pPr>
              <w:pStyle w:val="TableParagraph"/>
              <w:ind w:left="6"/>
            </w:pPr>
            <w:r w:rsidRPr="005E59D4">
              <w:t>C</w:t>
            </w:r>
          </w:p>
        </w:tc>
        <w:tc>
          <w:tcPr>
            <w:tcW w:w="1710" w:type="dxa"/>
          </w:tcPr>
          <w:p w14:paraId="1842C67E" w14:textId="77777777" w:rsidR="00FF53E8" w:rsidRPr="005E59D4" w:rsidRDefault="00FF53E8" w:rsidP="00310D84">
            <w:pPr>
              <w:pStyle w:val="TableParagraph"/>
              <w:ind w:right="79"/>
            </w:pPr>
            <w:r w:rsidRPr="005E59D4">
              <w:t>$ 33.000.000</w:t>
            </w:r>
          </w:p>
        </w:tc>
      </w:tr>
    </w:tbl>
    <w:p w14:paraId="45628FF1" w14:textId="77777777" w:rsidR="00FF53E8" w:rsidRPr="005E59D4" w:rsidRDefault="00FF53E8" w:rsidP="00FF53E8">
      <w:pPr>
        <w:pStyle w:val="Textoindependiente"/>
        <w:rPr>
          <w:sz w:val="20"/>
        </w:rPr>
      </w:pPr>
    </w:p>
    <w:p w14:paraId="7138F5A0" w14:textId="77777777" w:rsidR="00FF53E8" w:rsidRPr="005E59D4" w:rsidRDefault="00FF53E8" w:rsidP="00FF53E8">
      <w:pPr>
        <w:pStyle w:val="Textoindependiente"/>
        <w:spacing w:before="11"/>
        <w:rPr>
          <w:sz w:val="21"/>
        </w:rPr>
      </w:pPr>
    </w:p>
    <w:p w14:paraId="3133FC9A" w14:textId="77777777" w:rsidR="00FF53E8" w:rsidRPr="005E59D4" w:rsidRDefault="00FF53E8" w:rsidP="00FF53E8">
      <w:pPr>
        <w:pStyle w:val="Textoindependiente"/>
        <w:spacing w:before="93"/>
        <w:ind w:left="1750" w:right="1758"/>
        <w:jc w:val="center"/>
      </w:pPr>
      <w:r w:rsidRPr="005E59D4">
        <w:t>Mediana: ($51.000.000 + $49.000.000) / 2 = $50.000.000</w:t>
      </w:r>
    </w:p>
    <w:p w14:paraId="326E74FD" w14:textId="77777777" w:rsidR="00FF53E8" w:rsidRPr="005E59D4" w:rsidRDefault="00FF53E8" w:rsidP="00FF53E8">
      <w:pPr>
        <w:pStyle w:val="Textoindependiente"/>
        <w:spacing w:before="7"/>
        <w:rPr>
          <w:sz w:val="28"/>
        </w:rPr>
      </w:pPr>
    </w:p>
    <w:p w14:paraId="528AEDF8" w14:textId="77777777" w:rsidR="00FF53E8" w:rsidRPr="005E59D4" w:rsidRDefault="00FF53E8" w:rsidP="00FF53E8">
      <w:pPr>
        <w:pStyle w:val="Prrafodelista"/>
        <w:numPr>
          <w:ilvl w:val="0"/>
          <w:numId w:val="2"/>
        </w:numPr>
        <w:tabs>
          <w:tab w:val="left" w:pos="344"/>
        </w:tabs>
        <w:ind w:hanging="244"/>
      </w:pPr>
      <w:r w:rsidRPr="005E59D4">
        <w:lastRenderedPageBreak/>
        <w:t>Calcular la desviación estándar del</w:t>
      </w:r>
      <w:r w:rsidRPr="005E59D4">
        <w:rPr>
          <w:spacing w:val="-8"/>
        </w:rPr>
        <w:t xml:space="preserve"> </w:t>
      </w:r>
      <w:r w:rsidRPr="005E59D4">
        <w:t>conjunto.</w:t>
      </w:r>
    </w:p>
    <w:p w14:paraId="36D817B0" w14:textId="77777777" w:rsidR="00FF53E8" w:rsidRPr="005E59D4" w:rsidRDefault="00FF53E8" w:rsidP="00FF53E8">
      <w:pPr>
        <w:pStyle w:val="Textoindependiente"/>
        <w:spacing w:before="5"/>
        <w:rPr>
          <w:sz w:val="28"/>
        </w:rPr>
      </w:pPr>
    </w:p>
    <w:p w14:paraId="1B11978D" w14:textId="77777777" w:rsidR="00FF53E8" w:rsidRPr="005E59D4" w:rsidRDefault="00FF53E8" w:rsidP="00FF53E8">
      <w:pPr>
        <w:pStyle w:val="Textoindependiente"/>
        <w:spacing w:line="278" w:lineRule="auto"/>
        <w:ind w:left="100" w:right="22"/>
      </w:pPr>
      <w:r w:rsidRPr="005E59D4">
        <w:t>Para ello, primero debe identificar el promedio de los valores de las ofertas, que en este caso corresponde a: $48.333.333</w:t>
      </w:r>
    </w:p>
    <w:p w14:paraId="0CEFC32F" w14:textId="77777777" w:rsidR="00FF53E8" w:rsidRPr="005E59D4" w:rsidRDefault="00FF53E8" w:rsidP="00FF53E8">
      <w:pPr>
        <w:pStyle w:val="Textoindependiente"/>
        <w:spacing w:before="5"/>
        <w:rPr>
          <w:sz w:val="26"/>
        </w:rPr>
      </w:pPr>
      <w:r w:rsidRPr="005E59D4">
        <w:rPr>
          <w:noProof/>
          <w:lang w:val="en-US"/>
        </w:rPr>
        <w:drawing>
          <wp:anchor distT="0" distB="0" distL="0" distR="0" simplePos="0" relativeHeight="251659264" behindDoc="0" locked="0" layoutInCell="1" allowOverlap="1" wp14:anchorId="1BC5BE59" wp14:editId="0C24174E">
            <wp:simplePos x="0" y="0"/>
            <wp:positionH relativeFrom="page">
              <wp:posOffset>1176290</wp:posOffset>
            </wp:positionH>
            <wp:positionV relativeFrom="paragraph">
              <wp:posOffset>218040</wp:posOffset>
            </wp:positionV>
            <wp:extent cx="5451996" cy="762952"/>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5451996" cy="762952"/>
                    </a:xfrm>
                    <a:prstGeom prst="rect">
                      <a:avLst/>
                    </a:prstGeom>
                  </pic:spPr>
                </pic:pic>
              </a:graphicData>
            </a:graphic>
          </wp:anchor>
        </w:drawing>
      </w:r>
    </w:p>
    <w:p w14:paraId="651F9613" w14:textId="77777777" w:rsidR="00FF53E8" w:rsidRPr="005E59D4" w:rsidRDefault="00FF53E8" w:rsidP="00FF53E8">
      <w:pPr>
        <w:pStyle w:val="Textoindependiente"/>
        <w:spacing w:before="2"/>
        <w:rPr>
          <w:sz w:val="30"/>
        </w:rPr>
      </w:pPr>
    </w:p>
    <w:p w14:paraId="2A288338" w14:textId="42D4F43E" w:rsidR="00FF53E8" w:rsidRPr="005E59D4" w:rsidRDefault="00FF53E8" w:rsidP="005E59D4">
      <w:pPr>
        <w:pStyle w:val="Textoindependiente"/>
        <w:ind w:left="100"/>
        <w:rPr>
          <w:sz w:val="18"/>
        </w:rPr>
      </w:pPr>
      <w:r w:rsidRPr="005E59D4">
        <w:t>A continuación reemplace cada una de las variables de la fórmula:</w:t>
      </w:r>
    </w:p>
    <w:p w14:paraId="6F3EB316" w14:textId="77777777" w:rsidR="00FF53E8" w:rsidRPr="005E59D4" w:rsidRDefault="00FF53E8" w:rsidP="00FF53E8">
      <w:pPr>
        <w:pStyle w:val="Textoindependiente"/>
        <w:spacing w:before="10"/>
        <w:rPr>
          <w:sz w:val="17"/>
        </w:rPr>
      </w:pPr>
    </w:p>
    <w:p w14:paraId="0B786D9A" w14:textId="1EAAD896" w:rsidR="00FF53E8" w:rsidRPr="005E59D4" w:rsidRDefault="00FF53E8" w:rsidP="005E59D4">
      <w:pPr>
        <w:ind w:left="378"/>
        <w:rPr>
          <w:rFonts w:ascii="Georgia" w:hAnsi="Georgia"/>
          <w:sz w:val="18"/>
        </w:rPr>
      </w:pPr>
      <w:r w:rsidRPr="005E59D4">
        <w:rPr>
          <w:rFonts w:ascii="Georgia" w:eastAsia="Georgia"/>
          <w:w w:val="85"/>
          <w:sz w:val="18"/>
        </w:rPr>
        <w:t xml:space="preserve">𝜎 </w:t>
      </w:r>
      <w:r w:rsidRPr="005E59D4">
        <w:rPr>
          <w:rFonts w:ascii="Georgia" w:eastAsia="Georgia"/>
          <w:spacing w:val="-20"/>
          <w:sz w:val="18"/>
        </w:rPr>
        <w:t>=</w:t>
      </w:r>
      <w:r w:rsidR="005E59D4">
        <w:rPr>
          <w:rFonts w:ascii="Georgia" w:eastAsia="Georgia"/>
          <w:spacing w:val="-20"/>
          <w:sz w:val="18"/>
        </w:rPr>
        <w:t xml:space="preserve">    </w:t>
      </w:r>
      <w:r w:rsidRPr="005E59D4">
        <w:rPr>
          <w:rFonts w:ascii="Georgia" w:hAnsi="Georgia"/>
          <w:position w:val="1"/>
          <w:sz w:val="18"/>
        </w:rPr>
        <w:t>(</w:t>
      </w:r>
      <w:r w:rsidRPr="005E59D4">
        <w:rPr>
          <w:rFonts w:ascii="Georgia" w:hAnsi="Georgia"/>
          <w:sz w:val="18"/>
        </w:rPr>
        <w:t>$ 58.000.000 − $48.333.333</w:t>
      </w:r>
      <w:r w:rsidRPr="005E59D4">
        <w:rPr>
          <w:rFonts w:ascii="Georgia" w:hAnsi="Georgia"/>
          <w:position w:val="1"/>
          <w:sz w:val="18"/>
        </w:rPr>
        <w:t>)</w:t>
      </w:r>
      <w:r w:rsidRPr="005E59D4">
        <w:rPr>
          <w:rFonts w:ascii="Georgia" w:hAnsi="Georgia"/>
          <w:position w:val="1"/>
          <w:sz w:val="18"/>
          <w:vertAlign w:val="superscript"/>
        </w:rPr>
        <w:t>2</w:t>
      </w:r>
      <w:r w:rsidRPr="005E59D4">
        <w:rPr>
          <w:rFonts w:ascii="Georgia" w:hAnsi="Georgia"/>
          <w:position w:val="1"/>
          <w:sz w:val="18"/>
        </w:rPr>
        <w:t xml:space="preserve"> </w:t>
      </w:r>
      <w:r w:rsidRPr="005E59D4">
        <w:rPr>
          <w:rFonts w:ascii="Georgia" w:hAnsi="Georgia"/>
          <w:sz w:val="18"/>
        </w:rPr>
        <w:t xml:space="preserve">+ </w:t>
      </w:r>
      <w:r w:rsidRPr="005E59D4">
        <w:rPr>
          <w:rFonts w:ascii="Georgia" w:hAnsi="Georgia"/>
          <w:position w:val="1"/>
          <w:sz w:val="18"/>
        </w:rPr>
        <w:t>(</w:t>
      </w:r>
      <w:r w:rsidRPr="005E59D4">
        <w:rPr>
          <w:rFonts w:ascii="Georgia" w:hAnsi="Georgia"/>
          <w:sz w:val="18"/>
        </w:rPr>
        <w:t>$ 55.000.000 − $48.333.333</w:t>
      </w:r>
      <w:r w:rsidRPr="005E59D4">
        <w:rPr>
          <w:rFonts w:ascii="Georgia" w:hAnsi="Georgia"/>
          <w:position w:val="1"/>
          <w:sz w:val="18"/>
        </w:rPr>
        <w:t>)</w:t>
      </w:r>
      <w:r w:rsidRPr="005E59D4">
        <w:rPr>
          <w:rFonts w:ascii="Georgia" w:hAnsi="Georgia"/>
          <w:position w:val="1"/>
          <w:sz w:val="18"/>
          <w:vertAlign w:val="superscript"/>
        </w:rPr>
        <w:t>2</w:t>
      </w:r>
      <w:r w:rsidRPr="005E59D4">
        <w:rPr>
          <w:rFonts w:ascii="Georgia" w:hAnsi="Georgia"/>
          <w:position w:val="1"/>
          <w:sz w:val="18"/>
        </w:rPr>
        <w:t xml:space="preserve"> </w:t>
      </w:r>
      <w:r w:rsidRPr="005E59D4">
        <w:rPr>
          <w:rFonts w:ascii="Georgia" w:hAnsi="Georgia"/>
          <w:sz w:val="18"/>
        </w:rPr>
        <w:t>+ ($ 51.000.000 − $50.48.333.333)</w:t>
      </w:r>
      <w:r w:rsidRPr="005E59D4">
        <w:rPr>
          <w:rFonts w:ascii="Georgia" w:hAnsi="Georgia"/>
          <w:sz w:val="18"/>
          <w:vertAlign w:val="superscript"/>
        </w:rPr>
        <w:t>2</w:t>
      </w:r>
    </w:p>
    <w:p w14:paraId="0F73738D" w14:textId="77777777" w:rsidR="005E59D4" w:rsidRDefault="00FF53E8" w:rsidP="005E59D4">
      <w:pPr>
        <w:spacing w:before="113" w:line="280" w:lineRule="auto"/>
        <w:ind w:left="4046" w:right="395" w:hanging="4037"/>
        <w:rPr>
          <w:rFonts w:ascii="Georgia" w:eastAsia="Georgia"/>
        </w:rPr>
      </w:pPr>
      <w:r w:rsidRPr="005E59D4">
        <w:rPr>
          <w:rFonts w:ascii="Arial" w:hAnsi="Arial"/>
          <w:noProof/>
          <w:lang w:val="en-US"/>
        </w:rPr>
        <mc:AlternateContent>
          <mc:Choice Requires="wps">
            <w:drawing>
              <wp:anchor distT="0" distB="0" distL="114300" distR="114300" simplePos="0" relativeHeight="251663360" behindDoc="1" locked="0" layoutInCell="1" allowOverlap="1" wp14:anchorId="7516A2DD" wp14:editId="0072ECE1">
                <wp:simplePos x="0" y="0"/>
                <wp:positionH relativeFrom="page">
                  <wp:posOffset>1558925</wp:posOffset>
                </wp:positionH>
                <wp:positionV relativeFrom="paragraph">
                  <wp:posOffset>299085</wp:posOffset>
                </wp:positionV>
                <wp:extent cx="5017770" cy="7620"/>
                <wp:effectExtent l="0" t="381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770" cy="7620"/>
                        </a:xfrm>
                        <a:prstGeom prst="rect">
                          <a:avLst/>
                        </a:prstGeom>
                        <a:solidFill>
                          <a:srgbClr val="4E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2F24C1A">
              <v:rect id="Rectángulo 14" style="position:absolute;margin-left:122.75pt;margin-top:23.55pt;width:395.1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4e4d4d" stroked="f" w14:anchorId="2A03F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uhQIAAP0EAAAOAAAAZHJzL2Uyb0RvYy54bWysVFGO0zAQ/UfiDpb/u0kqt2miTVe7W4qQ&#10;FlixcADXcRILxza223RBHIazcDHGTlu6wAdC5MOxPePxm3lvfHm17yXaceuEVhXOLlKMuGK6Fqqt&#10;8If368kCI+epqqnUilf4kTt8tXz+7HIwJZ/qTsuaWwRBlCsHU+HOe1MmiWMd76m70IYrMDba9tTD&#10;0rZJbekA0XuZTNN0ngza1sZqxp2D3dVoxMsYv2k482+bxnGPZIUBm4+jjeMmjMnykpatpaYT7ACD&#10;/gOKngoFl55CrainaGvFb6F6wax2uvEXTPeJbhrBeMwBssnSX7J56KjhMRcojjOnMrn/F5a92d1b&#10;JGrgjmCkaA8cvYOqff+m2q3UCHahRINxJXg+mHsbknTmTrOPDil921HV8mtr9dBxWgOwLPgnTw6E&#10;hYOjaDO81jVcQLdex2rtG9uHgFAHtI+kPJ5I4XuPGGzO0izPc+COgS2fTyNnCS2PZ411/iXXPQqT&#10;ClsAH2PT3Z3zAQstjy4Ru5aiXgsp48K2m1tp0Y6CPMgLsiKrCB9SPHeTKjgrHY6NEccdgAh3BFsA&#10;G+n+UmRTkt5Mi8l6vsgnZE1mkyJPF5M0K26KeUoKslp/DQAzUnairrm6E4ofpZeRv6P20ASjaKL4&#10;0FDhYjadxdyfoHfnSabx+1OSvfDQiVL0FV6cnGgZaH2hakiblp4KOc6Tp/BjlaEGx3+sShRB4H3U&#10;z0bXj6ABq4EkYBPeDJh02n7GaID+q7D7tKWWYyRfKdBRkRESGjYuyCwH3pE9t2zOLVQxCFVhj9E4&#10;vfVjk2+NFW0HN2WxMEpfg/YaEYURdDmiOigWeixmcHgPQhOfr6PXz1dr+QMAAP//AwBQSwMEFAAG&#10;AAgAAAAhAEErexjfAAAACgEAAA8AAABkcnMvZG93bnJldi54bWxMj8FOg0AQhu8mvsNmTLzZpS0U&#10;giyNMTExeiCtPMCWnQKRnSHstuDbuz3pcWa+/PP9xX6xg7ji5HomBetVBAKpYdNTq6D+envKQDiv&#10;yeiBCRX8oIN9eX9X6NzwTAe8Hn0rQgi5XCvovB9zKV3TodVuxSNSuJ15stqHcWqlmfQcwu0gN1G0&#10;k1b3FD50esTXDpvv48UqSOsqO3/Un+nIfX14rziefcVKPT4sL88gPC7+D4abflCHMjid+ELGiUHB&#10;Jk6SgCqI0zWIGxBtkxTEKWyyLciykP8rlL8AAAD//wMAUEsBAi0AFAAGAAgAAAAhALaDOJL+AAAA&#10;4QEAABMAAAAAAAAAAAAAAAAAAAAAAFtDb250ZW50X1R5cGVzXS54bWxQSwECLQAUAAYACAAAACEA&#10;OP0h/9YAAACUAQAACwAAAAAAAAAAAAAAAAAvAQAAX3JlbHMvLnJlbHNQSwECLQAUAAYACAAAACEA&#10;s1XTboUCAAD9BAAADgAAAAAAAAAAAAAAAAAuAgAAZHJzL2Uyb0RvYy54bWxQSwECLQAUAAYACAAA&#10;ACEAQSt7GN8AAAAKAQAADwAAAAAAAAAAAAAAAADfBAAAZHJzL2Rvd25yZXYueG1sUEsFBgAAAAAE&#10;AAQA8wAAAOsFAAAAAA==&#10;">
                <w10:wrap anchorx="page"/>
              </v:rect>
            </w:pict>
          </mc:Fallback>
        </mc:AlternateContent>
      </w:r>
      <w:r w:rsidRPr="005E59D4">
        <w:rPr>
          <w:rFonts w:ascii="Georgia" w:hAnsi="Georgia"/>
          <w:position w:val="13"/>
          <w:sz w:val="18"/>
        </w:rPr>
        <w:t>√</w:t>
      </w:r>
      <w:r w:rsidRPr="005E59D4">
        <w:rPr>
          <w:rFonts w:ascii="Georgia" w:hAnsi="Georgia"/>
          <w:spacing w:val="-20"/>
          <w:position w:val="13"/>
          <w:sz w:val="18"/>
        </w:rPr>
        <w:t xml:space="preserve"> </w:t>
      </w:r>
      <w:r w:rsidRPr="005E59D4">
        <w:rPr>
          <w:rFonts w:ascii="Georgia" w:hAnsi="Georgia"/>
          <w:sz w:val="18"/>
        </w:rPr>
        <w:t>+($</w:t>
      </w:r>
      <w:r w:rsidRPr="005E59D4">
        <w:rPr>
          <w:rFonts w:ascii="Georgia" w:hAnsi="Georgia"/>
          <w:spacing w:val="-23"/>
          <w:sz w:val="18"/>
        </w:rPr>
        <w:t xml:space="preserve"> </w:t>
      </w:r>
      <w:r w:rsidRPr="005E59D4">
        <w:rPr>
          <w:rFonts w:ascii="Georgia" w:hAnsi="Georgia"/>
          <w:sz w:val="18"/>
        </w:rPr>
        <w:t>49.000.000</w:t>
      </w:r>
      <w:r w:rsidRPr="005E59D4">
        <w:rPr>
          <w:rFonts w:ascii="Georgia" w:hAnsi="Georgia"/>
          <w:spacing w:val="-24"/>
          <w:sz w:val="18"/>
        </w:rPr>
        <w:t xml:space="preserve"> </w:t>
      </w:r>
      <w:r w:rsidRPr="005E59D4">
        <w:rPr>
          <w:rFonts w:ascii="Georgia" w:hAnsi="Georgia"/>
          <w:sz w:val="18"/>
        </w:rPr>
        <w:t>−</w:t>
      </w:r>
      <w:r w:rsidRPr="005E59D4">
        <w:rPr>
          <w:rFonts w:ascii="Georgia" w:hAnsi="Georgia"/>
          <w:spacing w:val="-24"/>
          <w:sz w:val="18"/>
        </w:rPr>
        <w:t xml:space="preserve"> </w:t>
      </w:r>
      <w:r w:rsidRPr="005E59D4">
        <w:rPr>
          <w:rFonts w:ascii="Georgia" w:hAnsi="Georgia"/>
          <w:sz w:val="18"/>
        </w:rPr>
        <w:t>$48.333.333)</w:t>
      </w:r>
      <w:r w:rsidRPr="005E59D4">
        <w:rPr>
          <w:rFonts w:ascii="Georgia" w:hAnsi="Georgia"/>
          <w:sz w:val="18"/>
          <w:vertAlign w:val="superscript"/>
        </w:rPr>
        <w:t>2</w:t>
      </w:r>
      <w:r w:rsidRPr="005E59D4">
        <w:rPr>
          <w:rFonts w:ascii="Georgia" w:hAnsi="Georgia"/>
          <w:spacing w:val="-22"/>
          <w:sz w:val="18"/>
        </w:rPr>
        <w:t xml:space="preserve"> </w:t>
      </w:r>
      <w:r w:rsidRPr="005E59D4">
        <w:rPr>
          <w:rFonts w:ascii="Georgia" w:hAnsi="Georgia"/>
          <w:sz w:val="18"/>
        </w:rPr>
        <w:t>+</w:t>
      </w:r>
      <w:r w:rsidRPr="005E59D4">
        <w:rPr>
          <w:rFonts w:ascii="Georgia" w:hAnsi="Georgia"/>
          <w:spacing w:val="-24"/>
          <w:sz w:val="18"/>
        </w:rPr>
        <w:t xml:space="preserve"> </w:t>
      </w:r>
      <w:r w:rsidRPr="005E59D4">
        <w:rPr>
          <w:rFonts w:ascii="Georgia" w:hAnsi="Georgia"/>
          <w:sz w:val="18"/>
        </w:rPr>
        <w:t>($</w:t>
      </w:r>
      <w:r w:rsidRPr="005E59D4">
        <w:rPr>
          <w:rFonts w:ascii="Georgia" w:hAnsi="Georgia"/>
          <w:spacing w:val="-24"/>
          <w:sz w:val="18"/>
        </w:rPr>
        <w:t xml:space="preserve"> </w:t>
      </w:r>
      <w:r w:rsidRPr="005E59D4">
        <w:rPr>
          <w:rFonts w:ascii="Georgia" w:hAnsi="Georgia"/>
          <w:sz w:val="18"/>
        </w:rPr>
        <w:t>44.000.000</w:t>
      </w:r>
      <w:r w:rsidRPr="005E59D4">
        <w:rPr>
          <w:rFonts w:ascii="Georgia" w:hAnsi="Georgia"/>
          <w:spacing w:val="-26"/>
          <w:sz w:val="18"/>
        </w:rPr>
        <w:t xml:space="preserve"> </w:t>
      </w:r>
      <w:r w:rsidRPr="005E59D4">
        <w:rPr>
          <w:rFonts w:ascii="Georgia" w:hAnsi="Georgia"/>
          <w:sz w:val="18"/>
        </w:rPr>
        <w:t>−</w:t>
      </w:r>
      <w:r w:rsidRPr="005E59D4">
        <w:rPr>
          <w:rFonts w:ascii="Georgia" w:hAnsi="Georgia"/>
          <w:spacing w:val="-23"/>
          <w:sz w:val="18"/>
        </w:rPr>
        <w:t xml:space="preserve"> </w:t>
      </w:r>
      <w:r w:rsidRPr="005E59D4">
        <w:rPr>
          <w:rFonts w:ascii="Georgia" w:hAnsi="Georgia"/>
          <w:sz w:val="18"/>
        </w:rPr>
        <w:t>$48.333.333)</w:t>
      </w:r>
      <w:r w:rsidRPr="005E59D4">
        <w:rPr>
          <w:rFonts w:ascii="Georgia" w:hAnsi="Georgia"/>
          <w:sz w:val="18"/>
          <w:vertAlign w:val="superscript"/>
        </w:rPr>
        <w:t>2</w:t>
      </w:r>
      <w:r w:rsidRPr="005E59D4">
        <w:rPr>
          <w:rFonts w:ascii="Georgia" w:hAnsi="Georgia"/>
          <w:spacing w:val="-22"/>
          <w:sz w:val="18"/>
        </w:rPr>
        <w:t xml:space="preserve"> </w:t>
      </w:r>
      <w:r w:rsidRPr="005E59D4">
        <w:rPr>
          <w:rFonts w:ascii="Georgia" w:hAnsi="Georgia"/>
          <w:sz w:val="18"/>
        </w:rPr>
        <w:t>+</w:t>
      </w:r>
      <w:r w:rsidRPr="005E59D4">
        <w:rPr>
          <w:rFonts w:ascii="Georgia" w:hAnsi="Georgia"/>
          <w:spacing w:val="-23"/>
          <w:sz w:val="18"/>
        </w:rPr>
        <w:t xml:space="preserve"> </w:t>
      </w:r>
      <w:r w:rsidRPr="005E59D4">
        <w:rPr>
          <w:rFonts w:ascii="Georgia" w:hAnsi="Georgia"/>
          <w:sz w:val="18"/>
        </w:rPr>
        <w:t>($</w:t>
      </w:r>
      <w:r w:rsidRPr="005E59D4">
        <w:rPr>
          <w:rFonts w:ascii="Georgia" w:hAnsi="Georgia"/>
          <w:spacing w:val="-25"/>
          <w:sz w:val="18"/>
        </w:rPr>
        <w:t xml:space="preserve"> </w:t>
      </w:r>
      <w:r w:rsidRPr="005E59D4">
        <w:rPr>
          <w:rFonts w:ascii="Georgia" w:hAnsi="Georgia"/>
          <w:sz w:val="18"/>
        </w:rPr>
        <w:t>33.000.000</w:t>
      </w:r>
      <w:r w:rsidRPr="005E59D4">
        <w:rPr>
          <w:rFonts w:ascii="Georgia" w:hAnsi="Georgia"/>
          <w:spacing w:val="-25"/>
          <w:sz w:val="18"/>
        </w:rPr>
        <w:t xml:space="preserve"> </w:t>
      </w:r>
      <w:r w:rsidRPr="005E59D4">
        <w:rPr>
          <w:rFonts w:ascii="Georgia" w:hAnsi="Georgia"/>
          <w:sz w:val="18"/>
        </w:rPr>
        <w:t>−</w:t>
      </w:r>
      <w:r w:rsidRPr="005E59D4">
        <w:rPr>
          <w:rFonts w:ascii="Georgia" w:hAnsi="Georgia"/>
          <w:spacing w:val="-25"/>
          <w:sz w:val="18"/>
        </w:rPr>
        <w:t xml:space="preserve"> </w:t>
      </w:r>
      <w:r w:rsidRPr="005E59D4">
        <w:rPr>
          <w:rFonts w:ascii="Georgia" w:hAnsi="Georgia"/>
          <w:sz w:val="18"/>
        </w:rPr>
        <w:t>$48.333.333)</w:t>
      </w:r>
      <w:r w:rsidRPr="005E59D4">
        <w:rPr>
          <w:rFonts w:ascii="Cambria Math" w:eastAsia="Georgia" w:hAnsi="Cambria Math" w:cs="Cambria Math"/>
        </w:rPr>
        <w:t>𝜎</w:t>
      </w:r>
      <w:r w:rsidRPr="005E59D4">
        <w:rPr>
          <w:rFonts w:ascii="Georgia" w:eastAsia="Georgia"/>
        </w:rPr>
        <w:t xml:space="preserve"> = </w:t>
      </w:r>
    </w:p>
    <w:p w14:paraId="26B250FC" w14:textId="77777777" w:rsidR="005E59D4" w:rsidRDefault="005E59D4" w:rsidP="005E59D4">
      <w:pPr>
        <w:spacing w:before="113" w:line="280" w:lineRule="auto"/>
        <w:ind w:left="4046" w:right="395" w:hanging="4037"/>
        <w:rPr>
          <w:rFonts w:ascii="Georgia" w:eastAsia="Georgia"/>
        </w:rPr>
      </w:pPr>
    </w:p>
    <w:p w14:paraId="10565AEE" w14:textId="5B249D45" w:rsidR="00FF53E8" w:rsidRPr="005E59D4" w:rsidRDefault="00FF53E8" w:rsidP="005E59D4">
      <w:pPr>
        <w:spacing w:before="113" w:line="280" w:lineRule="auto"/>
        <w:ind w:left="4046" w:right="395" w:hanging="4037"/>
        <w:jc w:val="center"/>
        <w:rPr>
          <w:rFonts w:ascii="Georgia" w:eastAsia="Georgia"/>
        </w:rPr>
      </w:pPr>
      <w:r w:rsidRPr="005E59D4">
        <w:rPr>
          <w:rFonts w:ascii="Georgia" w:eastAsia="Georgia"/>
        </w:rPr>
        <w:t>$8.158.159</w:t>
      </w:r>
    </w:p>
    <w:p w14:paraId="5BEB1628" w14:textId="77777777" w:rsidR="00FF53E8" w:rsidRPr="005E59D4" w:rsidRDefault="00FF53E8" w:rsidP="00FF53E8">
      <w:pPr>
        <w:pStyle w:val="Textoindependiente"/>
        <w:rPr>
          <w:rFonts w:ascii="Georgia"/>
        </w:rPr>
      </w:pPr>
    </w:p>
    <w:p w14:paraId="64BDD120" w14:textId="23CCBCF6" w:rsidR="00FF53E8" w:rsidRPr="005E59D4" w:rsidRDefault="00FF53E8" w:rsidP="00FF53E8">
      <w:pPr>
        <w:pStyle w:val="Textoindependiente"/>
        <w:spacing w:before="157" w:line="276" w:lineRule="auto"/>
        <w:ind w:left="100"/>
      </w:pPr>
      <w:r w:rsidRPr="005E59D4">
        <w:t>Este cálculo también lo puede hacer a través de la función “DEVESTP” de Microsoft Excel, seleccionando los campos que contienen el valor de cada una de las ofertas</w:t>
      </w:r>
      <w:r w:rsidR="005E59D4">
        <w:rPr>
          <w:rStyle w:val="Refdenotaalpie"/>
        </w:rPr>
        <w:footnoteReference w:id="1"/>
      </w:r>
      <w:r w:rsidRPr="005E59D4">
        <w:t>.</w:t>
      </w:r>
    </w:p>
    <w:p w14:paraId="610C953C" w14:textId="77777777" w:rsidR="00FF53E8" w:rsidRPr="005E59D4" w:rsidRDefault="00FF53E8" w:rsidP="00FF53E8">
      <w:pPr>
        <w:pStyle w:val="Textoindependiente"/>
        <w:spacing w:before="4"/>
        <w:rPr>
          <w:sz w:val="25"/>
        </w:rPr>
      </w:pPr>
    </w:p>
    <w:p w14:paraId="3AC60C1E" w14:textId="77777777" w:rsidR="00FF53E8" w:rsidRPr="005E59D4" w:rsidRDefault="00FF53E8" w:rsidP="00FF53E8">
      <w:pPr>
        <w:pStyle w:val="Prrafodelista"/>
        <w:numPr>
          <w:ilvl w:val="0"/>
          <w:numId w:val="2"/>
        </w:numPr>
        <w:tabs>
          <w:tab w:val="left" w:pos="344"/>
        </w:tabs>
        <w:ind w:hanging="244"/>
      </w:pPr>
      <w:r w:rsidRPr="005E59D4">
        <w:t>Determinar el valor mínimo</w:t>
      </w:r>
      <w:r w:rsidRPr="005E59D4">
        <w:rPr>
          <w:spacing w:val="-4"/>
        </w:rPr>
        <w:t xml:space="preserve"> </w:t>
      </w:r>
      <w:r w:rsidRPr="005E59D4">
        <w:t>aceptable.</w:t>
      </w:r>
    </w:p>
    <w:p w14:paraId="5ACBB543" w14:textId="77777777" w:rsidR="00FF53E8" w:rsidRPr="005E59D4" w:rsidRDefault="00FF53E8" w:rsidP="00FF53E8">
      <w:pPr>
        <w:pStyle w:val="Textoindependiente"/>
        <w:spacing w:before="5"/>
        <w:rPr>
          <w:sz w:val="25"/>
        </w:rPr>
      </w:pPr>
      <w:r w:rsidRPr="005E59D4">
        <w:rPr>
          <w:noProof/>
          <w:lang w:val="en-US"/>
        </w:rPr>
        <w:drawing>
          <wp:anchor distT="0" distB="0" distL="0" distR="0" simplePos="0" relativeHeight="251660288" behindDoc="0" locked="0" layoutInCell="1" allowOverlap="1" wp14:anchorId="6C55A097" wp14:editId="2BFEBE49">
            <wp:simplePos x="0" y="0"/>
            <wp:positionH relativeFrom="page">
              <wp:posOffset>1751076</wp:posOffset>
            </wp:positionH>
            <wp:positionV relativeFrom="paragraph">
              <wp:posOffset>210641</wp:posOffset>
            </wp:positionV>
            <wp:extent cx="4319683" cy="541782"/>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stretch>
                      <a:fillRect/>
                    </a:stretch>
                  </pic:blipFill>
                  <pic:spPr>
                    <a:xfrm>
                      <a:off x="0" y="0"/>
                      <a:ext cx="4319683" cy="541782"/>
                    </a:xfrm>
                    <a:prstGeom prst="rect">
                      <a:avLst/>
                    </a:prstGeom>
                  </pic:spPr>
                </pic:pic>
              </a:graphicData>
            </a:graphic>
          </wp:anchor>
        </w:drawing>
      </w:r>
    </w:p>
    <w:p w14:paraId="53F5A76D" w14:textId="77777777" w:rsidR="00FF53E8" w:rsidRPr="005E59D4" w:rsidRDefault="00FF53E8" w:rsidP="00FF53E8">
      <w:pPr>
        <w:pStyle w:val="Textoindependiente"/>
        <w:spacing w:before="3"/>
        <w:rPr>
          <w:sz w:val="27"/>
        </w:rPr>
      </w:pPr>
    </w:p>
    <w:p w14:paraId="6C537FC8" w14:textId="15762822" w:rsidR="00FF53E8" w:rsidRPr="005E59D4" w:rsidRDefault="00FF53E8" w:rsidP="005E59D4">
      <w:pPr>
        <w:pStyle w:val="Textoindependiente"/>
        <w:spacing w:line="552" w:lineRule="auto"/>
        <w:ind w:left="2055" w:right="2064"/>
        <w:jc w:val="center"/>
        <w:rPr>
          <w:sz w:val="16"/>
        </w:rPr>
      </w:pPr>
      <w:r w:rsidRPr="005E59D4">
        <w:t>Valor mínimo aceptable= $50.000.000 - $8.158.159 Valor mínimo aceptable= $41.841.841</w:t>
      </w:r>
    </w:p>
    <w:p w14:paraId="5A5A0E5F" w14:textId="77777777" w:rsidR="00FF53E8" w:rsidRPr="005E59D4" w:rsidRDefault="00FF53E8" w:rsidP="00FF53E8">
      <w:pPr>
        <w:pStyle w:val="Textoindependiente"/>
        <w:spacing w:before="93" w:line="276" w:lineRule="auto"/>
        <w:ind w:left="100" w:right="104"/>
        <w:jc w:val="both"/>
      </w:pPr>
      <w:r w:rsidRPr="005E59D4">
        <w:t xml:space="preserve">De acuerdo con el valor mínimo aceptable y en concordancia con el artículo 2.2.1.1.2.2.4. del Decreto 1082 de 2015, la entidad deberá requerir al Proponente C para que explique las razones que sustentan el valor ofrecido, por encontrarse por debajo del valor mínimo aceptable. Frente a estas explicaciones le corresponderá al comité evaluador analizarlas </w:t>
      </w:r>
      <w:r w:rsidRPr="005E59D4">
        <w:lastRenderedPageBreak/>
        <w:t>y recomendar si debe rechazar la oferta o continuar con el análisis durante la evaluación de las</w:t>
      </w:r>
      <w:r w:rsidRPr="005E59D4">
        <w:rPr>
          <w:spacing w:val="-2"/>
        </w:rPr>
        <w:t xml:space="preserve"> </w:t>
      </w:r>
      <w:r w:rsidRPr="005E59D4">
        <w:t>ofertas.</w:t>
      </w:r>
    </w:p>
    <w:p w14:paraId="4BE62FF2" w14:textId="77777777" w:rsidR="00FF53E8" w:rsidRPr="005E59D4" w:rsidRDefault="00FF53E8" w:rsidP="00FF53E8">
      <w:pPr>
        <w:pStyle w:val="Textoindependiente"/>
        <w:spacing w:before="5"/>
        <w:rPr>
          <w:sz w:val="25"/>
        </w:rPr>
      </w:pPr>
    </w:p>
    <w:p w14:paraId="58CA4429" w14:textId="77777777" w:rsidR="00FF53E8" w:rsidRPr="005E59D4" w:rsidRDefault="00FF53E8" w:rsidP="00FF53E8">
      <w:pPr>
        <w:pStyle w:val="Ttulo1"/>
        <w:ind w:firstLine="0"/>
      </w:pPr>
      <w:r w:rsidRPr="005E59D4">
        <w:t>3. Respuesta</w:t>
      </w:r>
    </w:p>
    <w:p w14:paraId="62A5AC4A" w14:textId="77777777" w:rsidR="00FF53E8" w:rsidRPr="005E59D4" w:rsidRDefault="00FF53E8" w:rsidP="00FF53E8">
      <w:pPr>
        <w:pStyle w:val="Textoindependiente"/>
        <w:spacing w:before="8"/>
        <w:rPr>
          <w:b/>
          <w:sz w:val="28"/>
        </w:rPr>
      </w:pPr>
    </w:p>
    <w:p w14:paraId="08CF7318" w14:textId="5EA61A9B" w:rsidR="00FF53E8" w:rsidRDefault="00FF53E8" w:rsidP="00FF53E8">
      <w:pPr>
        <w:pStyle w:val="Textoindependiente"/>
        <w:spacing w:line="276" w:lineRule="auto"/>
        <w:ind w:left="100" w:right="106"/>
        <w:jc w:val="both"/>
      </w:pPr>
      <w:r w:rsidRPr="005E59D4">
        <w:t>Para el cálculo de la desviación estándar prevista en la Guía para el manejo de ofertas artificialmente bajas en Procesos de Contratación, deberá reemplazar cada una de las variables de la fórmula, de acuerdo con la metodología precisamente expuesta. Así mismo, puede hacer uso de la función “DEVESTP” de Microsoft Excel.</w:t>
      </w:r>
    </w:p>
    <w:p w14:paraId="2557A35F" w14:textId="77777777" w:rsidR="005E59D4" w:rsidRPr="005E59D4" w:rsidRDefault="005E59D4" w:rsidP="00FF53E8">
      <w:pPr>
        <w:pStyle w:val="Textoindependiente"/>
        <w:spacing w:line="276" w:lineRule="auto"/>
        <w:ind w:left="100" w:right="106"/>
        <w:jc w:val="both"/>
      </w:pPr>
    </w:p>
    <w:p w14:paraId="197F1BE4" w14:textId="77777777" w:rsidR="00FF53E8" w:rsidRPr="005E59D4" w:rsidRDefault="00FF53E8" w:rsidP="00FF53E8">
      <w:pPr>
        <w:pStyle w:val="Textoindependiente"/>
        <w:spacing w:before="3"/>
        <w:rPr>
          <w:sz w:val="25"/>
        </w:rPr>
      </w:pPr>
    </w:p>
    <w:p w14:paraId="6FFC8472" w14:textId="70EE5CF7" w:rsidR="00FF53E8" w:rsidRPr="005E59D4" w:rsidRDefault="00FF53E8" w:rsidP="005E59D4">
      <w:pPr>
        <w:pStyle w:val="Textoindependiente"/>
        <w:spacing w:before="1" w:line="276" w:lineRule="auto"/>
        <w:ind w:left="100" w:right="104"/>
        <w:jc w:val="both"/>
      </w:pPr>
      <w:r w:rsidRPr="005E59D4">
        <w:t>Este concepto tiene el alcance previsto en el artículo 28 del Código de Procedimiento Administrativo y de lo Contencioso Administrativo.</w:t>
      </w:r>
      <w:r w:rsidRPr="005E59D4">
        <w:rPr>
          <w:noProof/>
          <w:lang w:val="en-US"/>
        </w:rPr>
        <mc:AlternateContent>
          <mc:Choice Requires="wps">
            <w:drawing>
              <wp:anchor distT="0" distB="0" distL="0" distR="0" simplePos="0" relativeHeight="251665408" behindDoc="1" locked="0" layoutInCell="1" allowOverlap="1" wp14:anchorId="6A689380" wp14:editId="48EF7389">
                <wp:simplePos x="0" y="0"/>
                <wp:positionH relativeFrom="page">
                  <wp:posOffset>1514475</wp:posOffset>
                </wp:positionH>
                <wp:positionV relativeFrom="paragraph">
                  <wp:posOffset>196215</wp:posOffset>
                </wp:positionV>
                <wp:extent cx="4686300" cy="1270"/>
                <wp:effectExtent l="9525" t="12065" r="9525" b="5715"/>
                <wp:wrapTopAndBottom/>
                <wp:docPr id="12"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508916F">
              <v:shape id="Forma libre: forma 12" style="position:absolute;margin-left:119.25pt;margin-top:15.45pt;width:36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qNDQMAALAGAAAOAAAAZHJzL2Uyb0RvYy54bWysVW1v0zAQ/o7Ef7D8EdTlpelbtHQazYqQ&#10;Bkxa+QFu4jQRjm1st+lA/HfOTtKlHUgI0UqpnTs/99xzvuv1zbFm6ECVrgRPcHDlY0R5JvKK7xL8&#10;ZbMezTHShvCcMMFpgp+oxjfL16+uGxnTUJSC5VQhAOE6bmSCS2Nk7Hk6K2lN9JWQlIOxEKomBrZq&#10;5+WKNIBeMy/0/anXCJVLJTKqNbxNWyNeOvyioJn5XBSaGsQSDNyMeyr33Nqnt7wm8U4RWVZZR4P8&#10;A4uaVByCnqBSYgjaq+oFVF1lSmhRmKtM1J4oiiqjLgfIJvAvsnksiaQuFxBHy5NM+v/BZp8ODwpV&#10;OdQuxIiTGmq0tmojVm0VjZGTHoERlGqkjuHAo3xQNlct70X2VYPBO7PYjQYftG0+ihwAyd4Ip86x&#10;ULU9CXmjoyvC06kI9GhQBi+j6Xw69qFWGdiCcOZq5JG4P5vttXlPhcMhh3tt2hLmsHIFyLssNgBR&#10;1Ayq+XaEfBSO5xP36Ep+cgt6tzce2vioQbPxvL8XJyfQZoC1mE1/jzXu3SxWOMAC/rueISl70tmR&#10;d6xhhYhtGd/pJIW2+myAWy8QIICTzfAPvhD70rc904VQ0AuXXaAwgi7YtpJIYiwzG8IuUZNgJ4V9&#10;UYsD3QhnMheVgyDPVsaHXu74kFVrhhM2AFybduGCWq6DynKxrhhzpWXcUllMwonTRgtW5dZo2Wi1&#10;266YQgcC/Z2+s1+bDICduUmlTUp02fo5U5uzEnueuyglJfldtzakYu0agJgTHW5np429p66zfyz8&#10;xd38bh6NonB6N4r8NB3drlfRaLoOZpN0nK5WafDTcg6iuKzynHJLu58yQfR3XdzNu3Y+nObMWXpn&#10;Kqzd56UK3jkNJxLk0v+2Rehbt+31rcifoI2VaMcmjHlYlEJ9x6iBkZlg/W1PFMWIfeAwkxZBFNkZ&#10;6zbRZBbCRg0t26GF8AygEmww3Hy7XJl2Lu+lqnYlRApcvbm4hfFRVLbP3ZxpWXUbGIsug26E27k7&#10;3Duv5z+a5S8AAAD//wMAUEsDBBQABgAIAAAAIQAFmrVV4QAAAAkBAAAPAAAAZHJzL2Rvd25yZXYu&#10;eG1sTI9NS8NAEIbvgv9hGcGLtJu0WNuYTRFLQZAi/RD0tsmOSWh2NmQ3afz3jic9zjsP7zyTrkfb&#10;iAE7XztSEE8jEEiFMzWVCk7H7WQJwgdNRjeOUME3elhn11epToy70B6HQygFl5BPtIIqhDaR0hcV&#10;Wu2nrkXi3ZfrrA48dqU0nb5wuW3kLIoW0uqa+EKlW3yusDgfeqtg81K+vX/ktNnt++F4rl/brbv7&#10;VOr2Znx6BBFwDH8w/OqzOmTslLuejBeNgtl8ec+ognm0AsHA6mHBQc5BHIPMUvn/g+wHAAD//wMA&#10;UEsBAi0AFAAGAAgAAAAhALaDOJL+AAAA4QEAABMAAAAAAAAAAAAAAAAAAAAAAFtDb250ZW50X1R5&#10;cGVzXS54bWxQSwECLQAUAAYACAAAACEAOP0h/9YAAACUAQAACwAAAAAAAAAAAAAAAAAvAQAAX3Jl&#10;bHMvLnJlbHNQSwECLQAUAAYACAAAACEASH/ajQ0DAACwBgAADgAAAAAAAAAAAAAAAAAuAgAAZHJz&#10;L2Uyb0RvYy54bWxQSwECLQAUAAYACAAAACEABZq1VeEAAAAJAQAADwAAAAAAAAAAAAAAAABnBQAA&#10;ZHJzL2Rvd25yZXYueG1sUEsFBgAAAAAEAAQA8wAAAHUGAAAAAA==&#10;" w14:anchorId="35473E0F">
                <v:path arrowok="t" o:connecttype="custom" o:connectlocs="0,0;4686300,0" o:connectangles="0,0"/>
                <w10:wrap type="topAndBottom" anchorx="page"/>
              </v:shape>
            </w:pict>
          </mc:Fallback>
        </mc:AlternateContent>
      </w:r>
    </w:p>
    <w:p w14:paraId="45720319" w14:textId="77777777" w:rsidR="00FF53E8" w:rsidRPr="005E59D4" w:rsidRDefault="00FF53E8" w:rsidP="00FF53E8">
      <w:pPr>
        <w:pStyle w:val="Textoindependiente"/>
        <w:spacing w:before="4"/>
        <w:rPr>
          <w:sz w:val="20"/>
        </w:rPr>
      </w:pPr>
    </w:p>
    <w:p w14:paraId="41EDAF52" w14:textId="77777777" w:rsidR="00FF53E8" w:rsidRPr="005E59D4" w:rsidRDefault="00FF53E8" w:rsidP="00FF53E8">
      <w:pPr>
        <w:pStyle w:val="Textoindependiente"/>
        <w:spacing w:before="1"/>
        <w:ind w:left="100"/>
      </w:pPr>
      <w:r w:rsidRPr="005E59D4">
        <w:t>Atentamente,</w:t>
      </w:r>
    </w:p>
    <w:p w14:paraId="2E6C48EF" w14:textId="77777777" w:rsidR="005E59D4" w:rsidRDefault="005E59D4" w:rsidP="005E59D4">
      <w:pPr>
        <w:pStyle w:val="Textoindependiente"/>
        <w:jc w:val="center"/>
      </w:pPr>
      <w:r>
        <w:rPr>
          <w:noProof/>
          <w:lang w:val="en-US"/>
        </w:rPr>
        <w:drawing>
          <wp:inline distT="0" distB="0" distL="0" distR="0" wp14:anchorId="07A28A1B" wp14:editId="7C3A653F">
            <wp:extent cx="2771775" cy="990600"/>
            <wp:effectExtent l="0" t="0" r="0" b="0"/>
            <wp:docPr id="167866856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F359A0B" w14:textId="4D2626A7" w:rsidR="00FF53E8" w:rsidRPr="005E59D4" w:rsidRDefault="00FF53E8" w:rsidP="005E59D4">
      <w:pPr>
        <w:pStyle w:val="Textoindependiente"/>
        <w:spacing w:before="1"/>
        <w:ind w:left="100"/>
      </w:pPr>
      <w:r w:rsidRPr="005E59D4">
        <w:t>Proyectó: Fredy Alexander Rodríguez Ardila</w:t>
      </w:r>
    </w:p>
    <w:p w14:paraId="46638996" w14:textId="77777777" w:rsidR="00FF53E8" w:rsidRPr="005E59D4" w:rsidRDefault="00FF53E8" w:rsidP="00FF53E8">
      <w:pPr>
        <w:pStyle w:val="Textoindependiente"/>
        <w:spacing w:line="276" w:lineRule="auto"/>
        <w:ind w:left="100" w:right="105"/>
        <w:jc w:val="both"/>
      </w:pPr>
    </w:p>
    <w:p w14:paraId="73A2276A" w14:textId="77777777" w:rsidR="00FF53E8" w:rsidRPr="005E59D4" w:rsidRDefault="00FF53E8" w:rsidP="00FF53E8">
      <w:pPr>
        <w:pStyle w:val="Textoindependiente"/>
        <w:spacing w:line="276" w:lineRule="auto"/>
        <w:ind w:left="100" w:right="103"/>
        <w:jc w:val="both"/>
      </w:pPr>
    </w:p>
    <w:p w14:paraId="2ECF0B3D" w14:textId="77777777" w:rsidR="00FF53E8" w:rsidRPr="005E59D4" w:rsidRDefault="00FF53E8" w:rsidP="00B11871">
      <w:pPr>
        <w:jc w:val="both"/>
        <w:rPr>
          <w:rFonts w:ascii="Arial" w:hAnsi="Arial" w:cs="Arial"/>
          <w:sz w:val="24"/>
          <w:szCs w:val="24"/>
        </w:rPr>
      </w:pPr>
    </w:p>
    <w:p w14:paraId="57EEF535" w14:textId="77777777" w:rsidR="00FF53E8" w:rsidRPr="005E59D4" w:rsidRDefault="00FF53E8" w:rsidP="00B11871">
      <w:pPr>
        <w:jc w:val="both"/>
        <w:rPr>
          <w:rFonts w:ascii="Arial" w:hAnsi="Arial" w:cs="Arial"/>
          <w:sz w:val="24"/>
          <w:szCs w:val="24"/>
        </w:rPr>
      </w:pPr>
    </w:p>
    <w:p w14:paraId="0541C820" w14:textId="77777777" w:rsidR="00FF53E8" w:rsidRPr="005E59D4" w:rsidRDefault="00FF53E8" w:rsidP="00B11871">
      <w:pPr>
        <w:jc w:val="both"/>
        <w:rPr>
          <w:rFonts w:ascii="Arial" w:hAnsi="Arial" w:cs="Arial"/>
          <w:sz w:val="24"/>
          <w:szCs w:val="24"/>
        </w:rPr>
      </w:pPr>
    </w:p>
    <w:sectPr w:rsidR="00FF53E8" w:rsidRPr="005E59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8AF9" w14:textId="77777777" w:rsidR="00083587" w:rsidRDefault="00083587" w:rsidP="005E59D4">
      <w:pPr>
        <w:spacing w:after="0" w:line="240" w:lineRule="auto"/>
      </w:pPr>
      <w:r>
        <w:separator/>
      </w:r>
    </w:p>
  </w:endnote>
  <w:endnote w:type="continuationSeparator" w:id="0">
    <w:p w14:paraId="79A1A1B0" w14:textId="77777777" w:rsidR="00083587" w:rsidRDefault="00083587" w:rsidP="005E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C498" w14:textId="77777777" w:rsidR="00083587" w:rsidRDefault="00083587" w:rsidP="005E59D4">
      <w:pPr>
        <w:spacing w:after="0" w:line="240" w:lineRule="auto"/>
      </w:pPr>
      <w:r>
        <w:separator/>
      </w:r>
    </w:p>
  </w:footnote>
  <w:footnote w:type="continuationSeparator" w:id="0">
    <w:p w14:paraId="1B5A265F" w14:textId="77777777" w:rsidR="00083587" w:rsidRDefault="00083587" w:rsidP="005E59D4">
      <w:pPr>
        <w:spacing w:after="0" w:line="240" w:lineRule="auto"/>
      </w:pPr>
      <w:r>
        <w:continuationSeparator/>
      </w:r>
    </w:p>
  </w:footnote>
  <w:footnote w:id="1">
    <w:p w14:paraId="4D2B6794" w14:textId="77777777" w:rsidR="005E59D4" w:rsidRPr="005E59D4" w:rsidRDefault="005E59D4" w:rsidP="005E59D4">
      <w:pPr>
        <w:pStyle w:val="Textoindependiente"/>
        <w:spacing w:before="1"/>
        <w:ind w:firstLine="708"/>
        <w:jc w:val="both"/>
        <w:rPr>
          <w:sz w:val="18"/>
        </w:rPr>
      </w:pPr>
      <w:r w:rsidRPr="005E59D4">
        <w:rPr>
          <w:rStyle w:val="Refdenotaalpie"/>
        </w:rPr>
        <w:footnoteRef/>
      </w:r>
      <w:r w:rsidRPr="005E59D4">
        <w:t xml:space="preserve"> </w:t>
      </w:r>
      <w:r w:rsidRPr="005E59D4">
        <w:rPr>
          <w:sz w:val="18"/>
        </w:rPr>
        <w:t>“Calcula la desviación estándar de la población total determinada por los argumentos. La desviación estándar es la medida de la dispersión de los valores respecto a la media (valor promedio)”, para más información puede consultar support.office.com.</w:t>
      </w:r>
    </w:p>
    <w:p w14:paraId="0079FA85" w14:textId="3FA2372C" w:rsidR="005E59D4" w:rsidRPr="005E59D4" w:rsidRDefault="005E59D4">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574B"/>
    <w:multiLevelType w:val="hybridMultilevel"/>
    <w:tmpl w:val="5D9E08D8"/>
    <w:lvl w:ilvl="0" w:tplc="C90A1ADC">
      <w:start w:val="1"/>
      <w:numFmt w:val="decimal"/>
      <w:lvlText w:val="%1."/>
      <w:lvlJc w:val="left"/>
      <w:pPr>
        <w:ind w:left="343" w:hanging="243"/>
      </w:pPr>
      <w:rPr>
        <w:rFonts w:ascii="Arial" w:eastAsia="Arial" w:hAnsi="Arial" w:cs="Arial" w:hint="default"/>
        <w:color w:val="4E4D4D"/>
        <w:spacing w:val="-1"/>
        <w:w w:val="100"/>
        <w:sz w:val="22"/>
        <w:szCs w:val="22"/>
        <w:lang w:val="es-ES" w:eastAsia="en-US" w:bidi="ar-SA"/>
      </w:rPr>
    </w:lvl>
    <w:lvl w:ilvl="1" w:tplc="AC2A4F50">
      <w:numFmt w:val="bullet"/>
      <w:lvlText w:val="•"/>
      <w:lvlJc w:val="left"/>
      <w:pPr>
        <w:ind w:left="1220" w:hanging="243"/>
      </w:pPr>
      <w:rPr>
        <w:rFonts w:hint="default"/>
        <w:lang w:val="es-ES" w:eastAsia="en-US" w:bidi="ar-SA"/>
      </w:rPr>
    </w:lvl>
    <w:lvl w:ilvl="2" w:tplc="3870B28C">
      <w:numFmt w:val="bullet"/>
      <w:lvlText w:val="•"/>
      <w:lvlJc w:val="left"/>
      <w:pPr>
        <w:ind w:left="2100" w:hanging="243"/>
      </w:pPr>
      <w:rPr>
        <w:rFonts w:hint="default"/>
        <w:lang w:val="es-ES" w:eastAsia="en-US" w:bidi="ar-SA"/>
      </w:rPr>
    </w:lvl>
    <w:lvl w:ilvl="3" w:tplc="41EAFF7A">
      <w:numFmt w:val="bullet"/>
      <w:lvlText w:val="•"/>
      <w:lvlJc w:val="left"/>
      <w:pPr>
        <w:ind w:left="2980" w:hanging="243"/>
      </w:pPr>
      <w:rPr>
        <w:rFonts w:hint="default"/>
        <w:lang w:val="es-ES" w:eastAsia="en-US" w:bidi="ar-SA"/>
      </w:rPr>
    </w:lvl>
    <w:lvl w:ilvl="4" w:tplc="ADE0E6CA">
      <w:numFmt w:val="bullet"/>
      <w:lvlText w:val="•"/>
      <w:lvlJc w:val="left"/>
      <w:pPr>
        <w:ind w:left="3860" w:hanging="243"/>
      </w:pPr>
      <w:rPr>
        <w:rFonts w:hint="default"/>
        <w:lang w:val="es-ES" w:eastAsia="en-US" w:bidi="ar-SA"/>
      </w:rPr>
    </w:lvl>
    <w:lvl w:ilvl="5" w:tplc="96744E8A">
      <w:numFmt w:val="bullet"/>
      <w:lvlText w:val="•"/>
      <w:lvlJc w:val="left"/>
      <w:pPr>
        <w:ind w:left="4740" w:hanging="243"/>
      </w:pPr>
      <w:rPr>
        <w:rFonts w:hint="default"/>
        <w:lang w:val="es-ES" w:eastAsia="en-US" w:bidi="ar-SA"/>
      </w:rPr>
    </w:lvl>
    <w:lvl w:ilvl="6" w:tplc="560097D8">
      <w:numFmt w:val="bullet"/>
      <w:lvlText w:val="•"/>
      <w:lvlJc w:val="left"/>
      <w:pPr>
        <w:ind w:left="5620" w:hanging="243"/>
      </w:pPr>
      <w:rPr>
        <w:rFonts w:hint="default"/>
        <w:lang w:val="es-ES" w:eastAsia="en-US" w:bidi="ar-SA"/>
      </w:rPr>
    </w:lvl>
    <w:lvl w:ilvl="7" w:tplc="CF2ED6A0">
      <w:numFmt w:val="bullet"/>
      <w:lvlText w:val="•"/>
      <w:lvlJc w:val="left"/>
      <w:pPr>
        <w:ind w:left="6500" w:hanging="243"/>
      </w:pPr>
      <w:rPr>
        <w:rFonts w:hint="default"/>
        <w:lang w:val="es-ES" w:eastAsia="en-US" w:bidi="ar-SA"/>
      </w:rPr>
    </w:lvl>
    <w:lvl w:ilvl="8" w:tplc="48B6C688">
      <w:numFmt w:val="bullet"/>
      <w:lvlText w:val="•"/>
      <w:lvlJc w:val="left"/>
      <w:pPr>
        <w:ind w:left="7380" w:hanging="243"/>
      </w:pPr>
      <w:rPr>
        <w:rFonts w:hint="default"/>
        <w:lang w:val="es-ES" w:eastAsia="en-US" w:bidi="ar-SA"/>
      </w:rPr>
    </w:lvl>
  </w:abstractNum>
  <w:abstractNum w:abstractNumId="1" w15:restartNumberingAfterBreak="0">
    <w:nsid w:val="7BDB5415"/>
    <w:multiLevelType w:val="hybridMultilevel"/>
    <w:tmpl w:val="DD8C0098"/>
    <w:lvl w:ilvl="0" w:tplc="2458A2EE">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tplc="21E6F86E">
      <w:start w:val="1"/>
      <w:numFmt w:val="decimal"/>
      <w:lvlText w:val="%2."/>
      <w:lvlJc w:val="left"/>
      <w:pPr>
        <w:ind w:left="1170" w:hanging="221"/>
      </w:pPr>
      <w:rPr>
        <w:rFonts w:ascii="Arial" w:eastAsia="Arial" w:hAnsi="Arial" w:cs="Arial" w:hint="default"/>
        <w:color w:val="4E4D4D"/>
        <w:spacing w:val="-2"/>
        <w:w w:val="100"/>
        <w:sz w:val="20"/>
        <w:szCs w:val="20"/>
        <w:lang w:val="es-ES" w:eastAsia="en-US" w:bidi="ar-SA"/>
      </w:rPr>
    </w:lvl>
    <w:lvl w:ilvl="2" w:tplc="22A203FC">
      <w:numFmt w:val="bullet"/>
      <w:lvlText w:val="•"/>
      <w:lvlJc w:val="left"/>
      <w:pPr>
        <w:ind w:left="2064" w:hanging="221"/>
      </w:pPr>
      <w:rPr>
        <w:rFonts w:hint="default"/>
        <w:lang w:val="es-ES" w:eastAsia="en-US" w:bidi="ar-SA"/>
      </w:rPr>
    </w:lvl>
    <w:lvl w:ilvl="3" w:tplc="5314814C">
      <w:numFmt w:val="bullet"/>
      <w:lvlText w:val="•"/>
      <w:lvlJc w:val="left"/>
      <w:pPr>
        <w:ind w:left="2948" w:hanging="221"/>
      </w:pPr>
      <w:rPr>
        <w:rFonts w:hint="default"/>
        <w:lang w:val="es-ES" w:eastAsia="en-US" w:bidi="ar-SA"/>
      </w:rPr>
    </w:lvl>
    <w:lvl w:ilvl="4" w:tplc="D80CEC3C">
      <w:numFmt w:val="bullet"/>
      <w:lvlText w:val="•"/>
      <w:lvlJc w:val="left"/>
      <w:pPr>
        <w:ind w:left="3833" w:hanging="221"/>
      </w:pPr>
      <w:rPr>
        <w:rFonts w:hint="default"/>
        <w:lang w:val="es-ES" w:eastAsia="en-US" w:bidi="ar-SA"/>
      </w:rPr>
    </w:lvl>
    <w:lvl w:ilvl="5" w:tplc="7FF202E8">
      <w:numFmt w:val="bullet"/>
      <w:lvlText w:val="•"/>
      <w:lvlJc w:val="left"/>
      <w:pPr>
        <w:ind w:left="4717" w:hanging="221"/>
      </w:pPr>
      <w:rPr>
        <w:rFonts w:hint="default"/>
        <w:lang w:val="es-ES" w:eastAsia="en-US" w:bidi="ar-SA"/>
      </w:rPr>
    </w:lvl>
    <w:lvl w:ilvl="6" w:tplc="FAE846C6">
      <w:numFmt w:val="bullet"/>
      <w:lvlText w:val="•"/>
      <w:lvlJc w:val="left"/>
      <w:pPr>
        <w:ind w:left="5602" w:hanging="221"/>
      </w:pPr>
      <w:rPr>
        <w:rFonts w:hint="default"/>
        <w:lang w:val="es-ES" w:eastAsia="en-US" w:bidi="ar-SA"/>
      </w:rPr>
    </w:lvl>
    <w:lvl w:ilvl="7" w:tplc="96FA93FC">
      <w:numFmt w:val="bullet"/>
      <w:lvlText w:val="•"/>
      <w:lvlJc w:val="left"/>
      <w:pPr>
        <w:ind w:left="6486" w:hanging="221"/>
      </w:pPr>
      <w:rPr>
        <w:rFonts w:hint="default"/>
        <w:lang w:val="es-ES" w:eastAsia="en-US" w:bidi="ar-SA"/>
      </w:rPr>
    </w:lvl>
    <w:lvl w:ilvl="8" w:tplc="D2A23928">
      <w:numFmt w:val="bullet"/>
      <w:lvlText w:val="•"/>
      <w:lvlJc w:val="left"/>
      <w:pPr>
        <w:ind w:left="7371" w:hanging="22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71"/>
    <w:rsid w:val="000130B3"/>
    <w:rsid w:val="00083587"/>
    <w:rsid w:val="002230DC"/>
    <w:rsid w:val="00511662"/>
    <w:rsid w:val="005E59D4"/>
    <w:rsid w:val="00907881"/>
    <w:rsid w:val="0092600B"/>
    <w:rsid w:val="00AE70BB"/>
    <w:rsid w:val="00B11871"/>
    <w:rsid w:val="00FF53E8"/>
    <w:rsid w:val="11FBC5D1"/>
    <w:rsid w:val="2E82FA56"/>
    <w:rsid w:val="2E835337"/>
    <w:rsid w:val="32E3E02D"/>
    <w:rsid w:val="3D5E31F0"/>
    <w:rsid w:val="4D3CD675"/>
    <w:rsid w:val="555EB2D7"/>
    <w:rsid w:val="782E32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FA43"/>
  <w15:chartTrackingRefBased/>
  <w15:docId w15:val="{B616F2E4-D02B-4872-BE88-FFC9CF01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F53E8"/>
    <w:pPr>
      <w:widowControl w:val="0"/>
      <w:autoSpaceDE w:val="0"/>
      <w:autoSpaceDN w:val="0"/>
      <w:spacing w:after="0" w:line="240" w:lineRule="auto"/>
      <w:ind w:left="100" w:hanging="286"/>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3E8"/>
    <w:rPr>
      <w:rFonts w:ascii="Arial" w:eastAsia="Arial" w:hAnsi="Arial" w:cs="Arial"/>
      <w:b/>
      <w:bCs/>
      <w:lang w:val="es-ES"/>
    </w:rPr>
  </w:style>
  <w:style w:type="paragraph" w:styleId="Textoindependiente">
    <w:name w:val="Body Text"/>
    <w:basedOn w:val="Normal"/>
    <w:link w:val="TextoindependienteCar"/>
    <w:uiPriority w:val="1"/>
    <w:qFormat/>
    <w:rsid w:val="00FF53E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F53E8"/>
    <w:rPr>
      <w:rFonts w:ascii="Arial" w:eastAsia="Arial" w:hAnsi="Arial" w:cs="Arial"/>
      <w:lang w:val="es-ES"/>
    </w:rPr>
  </w:style>
  <w:style w:type="paragraph" w:styleId="Prrafodelista">
    <w:name w:val="List Paragraph"/>
    <w:basedOn w:val="Normal"/>
    <w:uiPriority w:val="1"/>
    <w:qFormat/>
    <w:rsid w:val="00FF53E8"/>
    <w:pPr>
      <w:widowControl w:val="0"/>
      <w:autoSpaceDE w:val="0"/>
      <w:autoSpaceDN w:val="0"/>
      <w:spacing w:after="0" w:line="240" w:lineRule="auto"/>
      <w:ind w:left="343" w:hanging="244"/>
    </w:pPr>
    <w:rPr>
      <w:rFonts w:ascii="Arial" w:eastAsia="Arial" w:hAnsi="Arial" w:cs="Arial"/>
      <w:lang w:val="es-ES"/>
    </w:rPr>
  </w:style>
  <w:style w:type="table" w:customStyle="1" w:styleId="NormalTable0">
    <w:name w:val="Normal Table0"/>
    <w:uiPriority w:val="2"/>
    <w:semiHidden/>
    <w:unhideWhenUsed/>
    <w:qFormat/>
    <w:rsid w:val="00FF5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53E8"/>
    <w:pPr>
      <w:widowControl w:val="0"/>
      <w:autoSpaceDE w:val="0"/>
      <w:autoSpaceDN w:val="0"/>
      <w:spacing w:after="0" w:line="249" w:lineRule="exact"/>
      <w:ind w:left="88"/>
      <w:jc w:val="center"/>
    </w:pPr>
    <w:rPr>
      <w:rFonts w:ascii="Arial" w:eastAsia="Arial" w:hAnsi="Arial" w:cs="Arial"/>
      <w:lang w:val="es-ES"/>
    </w:rPr>
  </w:style>
  <w:style w:type="paragraph" w:styleId="Textonotapie">
    <w:name w:val="footnote text"/>
    <w:basedOn w:val="Normal"/>
    <w:link w:val="TextonotapieCar"/>
    <w:uiPriority w:val="99"/>
    <w:semiHidden/>
    <w:unhideWhenUsed/>
    <w:rsid w:val="005E59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9D4"/>
    <w:rPr>
      <w:sz w:val="20"/>
      <w:szCs w:val="20"/>
    </w:rPr>
  </w:style>
  <w:style w:type="character" w:styleId="Refdenotaalpie">
    <w:name w:val="footnote reference"/>
    <w:basedOn w:val="Fuentedeprrafopredeter"/>
    <w:uiPriority w:val="99"/>
    <w:semiHidden/>
    <w:unhideWhenUsed/>
    <w:rsid w:val="005E5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D20F-E8AE-4994-8C59-D7C52C7240C1}">
  <ds:schemaRefs>
    <ds:schemaRef ds:uri="http://schemas.microsoft.com/sharepoint/v3/contenttype/forms"/>
  </ds:schemaRefs>
</ds:datastoreItem>
</file>

<file path=customXml/itemProps2.xml><?xml version="1.0" encoding="utf-8"?>
<ds:datastoreItem xmlns:ds="http://schemas.openxmlformats.org/officeDocument/2006/customXml" ds:itemID="{6388586D-DD99-4A9E-9063-578FC79E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6715B-71D7-4884-93FB-A1287285BA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7BD8A78-4339-43F5-91D8-F30A2847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Nina María Padrón</cp:lastModifiedBy>
  <cp:revision>2</cp:revision>
  <dcterms:created xsi:type="dcterms:W3CDTF">2020-08-20T04:57:00Z</dcterms:created>
  <dcterms:modified xsi:type="dcterms:W3CDTF">2020-08-20T04:57:00Z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