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41B75" w14:textId="77777777" w:rsidR="000C3A30" w:rsidRDefault="000C3A30" w:rsidP="000C3A30">
      <w:pPr>
        <w:jc w:val="right"/>
        <w:rPr>
          <w:rFonts w:ascii="Arial" w:hAnsi="Arial" w:cs="Arial"/>
          <w:b/>
          <w:sz w:val="16"/>
          <w:szCs w:val="16"/>
          <w:lang w:val="es-ES" w:eastAsia="es-ES"/>
        </w:rPr>
      </w:pPr>
      <w:bookmarkStart w:id="0" w:name="_Hlk47893830"/>
      <w:r>
        <w:rPr>
          <w:rFonts w:ascii="Arial" w:hAnsi="Arial" w:cs="Arial"/>
          <w:b/>
          <w:sz w:val="16"/>
          <w:szCs w:val="16"/>
          <w:lang w:val="es-ES" w:eastAsia="es-ES"/>
        </w:rPr>
        <w:t>CCE-DES-FM-17</w:t>
      </w:r>
    </w:p>
    <w:p w14:paraId="09C725C4" w14:textId="77777777" w:rsidR="000C3A30" w:rsidRPr="000C3A30" w:rsidRDefault="000C3A30" w:rsidP="008D5B3A">
      <w:pPr>
        <w:tabs>
          <w:tab w:val="left" w:pos="4820"/>
        </w:tabs>
        <w:jc w:val="both"/>
        <w:rPr>
          <w:rFonts w:ascii="Arial" w:eastAsia="Calibri" w:hAnsi="Arial" w:cs="Arial"/>
          <w:b/>
          <w:color w:val="000000" w:themeColor="text1"/>
          <w:sz w:val="16"/>
          <w:szCs w:val="16"/>
          <w:lang w:val="es-ES"/>
        </w:rPr>
      </w:pPr>
    </w:p>
    <w:p w14:paraId="2D655558" w14:textId="6C54BC42" w:rsidR="00022EA0" w:rsidRPr="00386009" w:rsidRDefault="00022EA0" w:rsidP="008D5B3A">
      <w:pPr>
        <w:tabs>
          <w:tab w:val="left" w:pos="4820"/>
        </w:tabs>
        <w:jc w:val="both"/>
        <w:rPr>
          <w:rFonts w:ascii="Arial" w:eastAsia="Calibri" w:hAnsi="Arial" w:cs="Arial"/>
          <w:b/>
          <w:color w:val="000000" w:themeColor="text1"/>
          <w:sz w:val="22"/>
          <w:lang w:val="es-ES"/>
        </w:rPr>
      </w:pPr>
      <w:r w:rsidRPr="00386009">
        <w:rPr>
          <w:rFonts w:ascii="Arial" w:eastAsia="Calibri" w:hAnsi="Arial" w:cs="Arial"/>
          <w:b/>
          <w:color w:val="000000" w:themeColor="text1"/>
          <w:sz w:val="22"/>
          <w:lang w:val="es-ES"/>
        </w:rPr>
        <w:t>SERIEDAD DE LA OFERTA</w:t>
      </w:r>
      <w:bookmarkEnd w:id="0"/>
      <w:r w:rsidRPr="00386009">
        <w:rPr>
          <w:rFonts w:ascii="Arial" w:eastAsia="Calibri" w:hAnsi="Arial" w:cs="Arial"/>
          <w:b/>
          <w:color w:val="000000" w:themeColor="text1"/>
          <w:sz w:val="22"/>
          <w:lang w:val="es-ES"/>
        </w:rPr>
        <w:t xml:space="preserve"> – </w:t>
      </w:r>
      <w:r w:rsidR="00DC51B1" w:rsidRPr="00386009">
        <w:rPr>
          <w:rFonts w:ascii="Arial" w:eastAsia="Calibri" w:hAnsi="Arial" w:cs="Arial"/>
          <w:b/>
          <w:color w:val="000000" w:themeColor="text1"/>
          <w:sz w:val="22"/>
          <w:lang w:val="es-ES"/>
        </w:rPr>
        <w:t>Finalidad</w:t>
      </w:r>
    </w:p>
    <w:p w14:paraId="2387D1B5" w14:textId="77777777" w:rsidR="00022EA0" w:rsidRPr="00386009" w:rsidRDefault="00022EA0" w:rsidP="00022EA0">
      <w:pPr>
        <w:jc w:val="both"/>
        <w:rPr>
          <w:rFonts w:ascii="Arial" w:eastAsia="Calibri" w:hAnsi="Arial" w:cs="Arial"/>
          <w:color w:val="000000" w:themeColor="text1"/>
          <w:sz w:val="20"/>
          <w:lang w:val="es-ES"/>
        </w:rPr>
      </w:pPr>
    </w:p>
    <w:p w14:paraId="18E36117" w14:textId="5EA4134E" w:rsidR="004E2610" w:rsidRPr="00386009" w:rsidRDefault="00AF2288" w:rsidP="00022EA0">
      <w:pPr>
        <w:jc w:val="both"/>
        <w:rPr>
          <w:rFonts w:ascii="Arial" w:eastAsia="Calibri" w:hAnsi="Arial" w:cs="Arial"/>
          <w:color w:val="000000" w:themeColor="text1"/>
          <w:sz w:val="20"/>
          <w:lang w:val="es-ES"/>
        </w:rPr>
      </w:pPr>
      <w:r w:rsidRPr="00AF2288">
        <w:rPr>
          <w:rFonts w:ascii="Arial" w:eastAsia="Calibri" w:hAnsi="Arial" w:cs="Arial"/>
          <w:color w:val="000000" w:themeColor="text1"/>
          <w:sz w:val="20"/>
          <w:lang w:val="es-ES"/>
        </w:rPr>
        <w:t>Esta garantía respalda al principio de irrevocabilidad de la oferta, caso en el cual los proponentes que pierdan interés en la adjudicación resarcirán los perjuicios causados por su retiro del proceso de selección. Naturalmente, esta garantía solo la constituyen quienes presenten oferta, motivo por el cual sus efectos no se extienden a personas ajenas a la actividad precontractual; sin perjuicio de que la póliza sea un mecanismo conminatorio, en la medida en que obliga a celebrar el contrato, so pena de hacerla efectiva. De esta manera, la exigencia permite que solo se presenten personas con la capacidad técnica y financiera suficiente para ejecutarlo en caso de adjudicación, desestimulando la presentación de ofertas que no son serias, cuya evaluación entorpece la buena marcha de la Administración, y en especial la celeridad y eficiencia de los procedimientos contractuales</w:t>
      </w:r>
      <w:r w:rsidR="008D5B3A" w:rsidRPr="00386009">
        <w:rPr>
          <w:rFonts w:ascii="Arial" w:eastAsia="Calibri" w:hAnsi="Arial" w:cs="Arial"/>
          <w:color w:val="000000" w:themeColor="text1"/>
          <w:sz w:val="20"/>
          <w:lang w:val="es-ES"/>
        </w:rPr>
        <w:t>.</w:t>
      </w:r>
    </w:p>
    <w:p w14:paraId="300DCA74" w14:textId="77777777" w:rsidR="00DC51B1" w:rsidRPr="00386009" w:rsidRDefault="00DC51B1" w:rsidP="00022EA0">
      <w:pPr>
        <w:jc w:val="both"/>
        <w:rPr>
          <w:rFonts w:ascii="Arial" w:eastAsia="Calibri" w:hAnsi="Arial" w:cs="Arial"/>
          <w:color w:val="000000" w:themeColor="text1"/>
          <w:sz w:val="20"/>
          <w:lang w:val="es-ES"/>
        </w:rPr>
      </w:pPr>
    </w:p>
    <w:p w14:paraId="7E73D095" w14:textId="0D147C48" w:rsidR="00DC51B1" w:rsidRPr="00386009" w:rsidRDefault="00DC51B1" w:rsidP="00DC51B1">
      <w:pPr>
        <w:tabs>
          <w:tab w:val="left" w:pos="4820"/>
        </w:tabs>
        <w:jc w:val="both"/>
        <w:rPr>
          <w:rFonts w:ascii="Arial" w:eastAsia="Calibri" w:hAnsi="Arial" w:cs="Arial"/>
          <w:b/>
          <w:color w:val="000000" w:themeColor="text1"/>
          <w:sz w:val="22"/>
          <w:lang w:val="es-ES"/>
        </w:rPr>
      </w:pPr>
      <w:r w:rsidRPr="00386009">
        <w:rPr>
          <w:rFonts w:ascii="Arial" w:eastAsia="Calibri" w:hAnsi="Arial" w:cs="Arial"/>
          <w:b/>
          <w:color w:val="000000" w:themeColor="text1"/>
          <w:sz w:val="22"/>
          <w:lang w:val="es-ES"/>
        </w:rPr>
        <w:t>VIGENCIA – Seriedad de la oferta</w:t>
      </w:r>
      <w:r w:rsidR="009E4FE1" w:rsidRPr="00386009">
        <w:rPr>
          <w:rFonts w:ascii="Arial" w:eastAsia="Calibri" w:hAnsi="Arial" w:cs="Arial"/>
          <w:b/>
          <w:color w:val="000000" w:themeColor="text1"/>
          <w:sz w:val="22"/>
          <w:lang w:val="es-ES"/>
        </w:rPr>
        <w:t xml:space="preserve"> – Carácter estimativo</w:t>
      </w:r>
      <w:r w:rsidRPr="00386009">
        <w:rPr>
          <w:rFonts w:ascii="Arial" w:eastAsia="Calibri" w:hAnsi="Arial" w:cs="Arial"/>
          <w:b/>
          <w:color w:val="000000" w:themeColor="text1"/>
          <w:sz w:val="22"/>
          <w:lang w:val="es-ES"/>
        </w:rPr>
        <w:t xml:space="preserve"> </w:t>
      </w:r>
    </w:p>
    <w:p w14:paraId="3C15E707" w14:textId="77777777" w:rsidR="00DC51B1" w:rsidRPr="00386009" w:rsidRDefault="00DC51B1" w:rsidP="00DC51B1">
      <w:pPr>
        <w:jc w:val="both"/>
        <w:rPr>
          <w:rFonts w:ascii="Arial" w:eastAsia="Calibri" w:hAnsi="Arial" w:cs="Arial"/>
          <w:color w:val="000000" w:themeColor="text1"/>
          <w:sz w:val="20"/>
          <w:lang w:val="es-ES"/>
        </w:rPr>
      </w:pPr>
    </w:p>
    <w:p w14:paraId="3A2D7F27" w14:textId="7305AF51" w:rsidR="00DC51B1" w:rsidRPr="00386009" w:rsidRDefault="009E4FE1" w:rsidP="00D77236">
      <w:pPr>
        <w:spacing w:after="120"/>
        <w:jc w:val="both"/>
        <w:rPr>
          <w:rFonts w:ascii="Arial" w:eastAsia="Calibri" w:hAnsi="Arial" w:cs="Arial"/>
          <w:color w:val="000000" w:themeColor="text1"/>
          <w:sz w:val="20"/>
          <w:lang w:val="es-ES"/>
        </w:rPr>
      </w:pPr>
      <w:r w:rsidRPr="00386009">
        <w:rPr>
          <w:rFonts w:ascii="Arial" w:eastAsia="Calibri" w:hAnsi="Arial" w:cs="Arial"/>
          <w:color w:val="000000" w:themeColor="text1"/>
          <w:sz w:val="20"/>
          <w:lang w:val="es-ES"/>
        </w:rPr>
        <w:t xml:space="preserve">Respecto al tiempo, [el artículo 2.2.1.2.3.1.9 del Decreto 1082 de 2015] </w:t>
      </w:r>
      <w:r w:rsidR="00D77236" w:rsidRPr="00D77236">
        <w:rPr>
          <w:rFonts w:ascii="Arial" w:eastAsia="Calibri" w:hAnsi="Arial" w:cs="Arial"/>
          <w:color w:val="000000" w:themeColor="text1"/>
          <w:sz w:val="20"/>
          <w:lang w:val="es-ES"/>
        </w:rPr>
        <w:t>dispone que debe estar vigente entre «la fecha de presentación de la propuesta» y hasta «la fecha de aprobación de la garantía única de cumplimiento». Allí se indica la fecha de inicio –</w:t>
      </w:r>
      <w:proofErr w:type="spellStart"/>
      <w:r w:rsidR="00D77236" w:rsidRPr="00737919">
        <w:rPr>
          <w:rFonts w:ascii="Arial" w:eastAsia="Calibri" w:hAnsi="Arial" w:cs="Arial"/>
          <w:i/>
          <w:iCs/>
          <w:color w:val="000000" w:themeColor="text1"/>
          <w:sz w:val="20"/>
          <w:lang w:val="es-ES"/>
        </w:rPr>
        <w:t>dies</w:t>
      </w:r>
      <w:proofErr w:type="spellEnd"/>
      <w:r w:rsidR="00D77236" w:rsidRPr="00737919">
        <w:rPr>
          <w:rFonts w:ascii="Arial" w:eastAsia="Calibri" w:hAnsi="Arial" w:cs="Arial"/>
          <w:i/>
          <w:iCs/>
          <w:color w:val="000000" w:themeColor="text1"/>
          <w:sz w:val="20"/>
          <w:lang w:val="es-ES"/>
        </w:rPr>
        <w:t xml:space="preserve"> a quo</w:t>
      </w:r>
      <w:r w:rsidR="00D77236" w:rsidRPr="00D77236">
        <w:rPr>
          <w:rFonts w:ascii="Arial" w:eastAsia="Calibri" w:hAnsi="Arial" w:cs="Arial"/>
          <w:color w:val="000000" w:themeColor="text1"/>
          <w:sz w:val="20"/>
          <w:lang w:val="es-ES"/>
        </w:rPr>
        <w:t>–, pero la fecha final –</w:t>
      </w:r>
      <w:proofErr w:type="spellStart"/>
      <w:r w:rsidR="00D77236" w:rsidRPr="00737919">
        <w:rPr>
          <w:rFonts w:ascii="Arial" w:eastAsia="Calibri" w:hAnsi="Arial" w:cs="Arial"/>
          <w:i/>
          <w:iCs/>
          <w:color w:val="000000" w:themeColor="text1"/>
          <w:sz w:val="20"/>
          <w:lang w:val="es-ES"/>
        </w:rPr>
        <w:t>dies</w:t>
      </w:r>
      <w:proofErr w:type="spellEnd"/>
      <w:r w:rsidR="00D77236" w:rsidRPr="00737919">
        <w:rPr>
          <w:rFonts w:ascii="Arial" w:eastAsia="Calibri" w:hAnsi="Arial" w:cs="Arial"/>
          <w:i/>
          <w:iCs/>
          <w:color w:val="000000" w:themeColor="text1"/>
          <w:sz w:val="20"/>
          <w:lang w:val="es-ES"/>
        </w:rPr>
        <w:t xml:space="preserve"> ad </w:t>
      </w:r>
      <w:proofErr w:type="spellStart"/>
      <w:r w:rsidR="00D77236" w:rsidRPr="00737919">
        <w:rPr>
          <w:rFonts w:ascii="Arial" w:eastAsia="Calibri" w:hAnsi="Arial" w:cs="Arial"/>
          <w:i/>
          <w:iCs/>
          <w:color w:val="000000" w:themeColor="text1"/>
          <w:sz w:val="20"/>
          <w:lang w:val="es-ES"/>
        </w:rPr>
        <w:t>quem</w:t>
      </w:r>
      <w:proofErr w:type="spellEnd"/>
      <w:r w:rsidR="00D77236" w:rsidRPr="00D77236">
        <w:rPr>
          <w:rFonts w:ascii="Arial" w:eastAsia="Calibri" w:hAnsi="Arial" w:cs="Arial"/>
          <w:color w:val="000000" w:themeColor="text1"/>
          <w:sz w:val="20"/>
          <w:lang w:val="es-ES"/>
        </w:rPr>
        <w:t>– se somete a una estimación razonable sobre el tiempo que toma adelantar el procedimiento de selección y la posterior legalización del contrato, especialmente cuando la aprobación de la garantía  es uno de los requisitos de ejecución</w:t>
      </w:r>
      <w:r w:rsidRPr="00386009">
        <w:rPr>
          <w:rFonts w:ascii="Arial" w:eastAsia="Calibri" w:hAnsi="Arial" w:cs="Arial"/>
          <w:color w:val="000000" w:themeColor="text1"/>
          <w:sz w:val="20"/>
          <w:lang w:val="es-ES"/>
        </w:rPr>
        <w:t>.</w:t>
      </w:r>
    </w:p>
    <w:p w14:paraId="586E4E0A" w14:textId="1AB4B6F8" w:rsidR="009E4FE1" w:rsidRPr="00386009" w:rsidRDefault="009E4FE1" w:rsidP="009E4FE1">
      <w:pPr>
        <w:jc w:val="both"/>
        <w:rPr>
          <w:rFonts w:ascii="Arial" w:eastAsia="Calibri" w:hAnsi="Arial" w:cs="Arial"/>
          <w:color w:val="000000" w:themeColor="text1"/>
          <w:sz w:val="20"/>
          <w:lang w:val="es-ES"/>
        </w:rPr>
      </w:pPr>
    </w:p>
    <w:p w14:paraId="0F0704F3" w14:textId="44F52675" w:rsidR="009E4FE1" w:rsidRPr="00386009" w:rsidRDefault="009E4FE1" w:rsidP="009E4FE1">
      <w:pPr>
        <w:tabs>
          <w:tab w:val="left" w:pos="4820"/>
        </w:tabs>
        <w:jc w:val="both"/>
        <w:rPr>
          <w:rFonts w:ascii="Arial" w:eastAsia="Calibri" w:hAnsi="Arial" w:cs="Arial"/>
          <w:b/>
          <w:color w:val="000000" w:themeColor="text1"/>
          <w:sz w:val="22"/>
          <w:lang w:val="es-ES"/>
        </w:rPr>
      </w:pPr>
      <w:r w:rsidRPr="00386009">
        <w:rPr>
          <w:rFonts w:ascii="Arial" w:eastAsia="Calibri" w:hAnsi="Arial" w:cs="Arial"/>
          <w:b/>
          <w:color w:val="000000" w:themeColor="text1"/>
          <w:sz w:val="22"/>
          <w:lang w:val="es-ES"/>
        </w:rPr>
        <w:t>SERIEDAD DE LA OFERTA – Garantía – Efectividad – Prórroga – Adjudicación – Suscripción – Requisitos</w:t>
      </w:r>
      <w:r w:rsidR="00095168" w:rsidRPr="00386009">
        <w:rPr>
          <w:rFonts w:ascii="Arial" w:eastAsia="Calibri" w:hAnsi="Arial" w:cs="Arial"/>
          <w:b/>
          <w:color w:val="000000" w:themeColor="text1"/>
          <w:sz w:val="22"/>
          <w:lang w:val="es-ES"/>
        </w:rPr>
        <w:t xml:space="preserve"> </w:t>
      </w:r>
    </w:p>
    <w:p w14:paraId="1B55853E" w14:textId="77777777" w:rsidR="009E4FE1" w:rsidRPr="00386009" w:rsidRDefault="009E4FE1" w:rsidP="009E4FE1">
      <w:pPr>
        <w:jc w:val="both"/>
        <w:rPr>
          <w:rFonts w:ascii="Arial" w:eastAsia="Calibri" w:hAnsi="Arial" w:cs="Arial"/>
          <w:color w:val="000000" w:themeColor="text1"/>
          <w:sz w:val="20"/>
          <w:lang w:val="es-ES"/>
        </w:rPr>
      </w:pPr>
    </w:p>
    <w:p w14:paraId="0F9EE592" w14:textId="29AACE03" w:rsidR="00095168" w:rsidRPr="00386009" w:rsidRDefault="00095168" w:rsidP="008253FD">
      <w:pPr>
        <w:jc w:val="both"/>
        <w:rPr>
          <w:rFonts w:ascii="Arial" w:eastAsia="Calibri" w:hAnsi="Arial" w:cs="Arial"/>
          <w:color w:val="000000" w:themeColor="text1"/>
          <w:sz w:val="20"/>
          <w:lang w:val="es-ES"/>
        </w:rPr>
      </w:pPr>
      <w:r w:rsidRPr="00386009">
        <w:rPr>
          <w:rFonts w:ascii="Arial" w:eastAsia="Calibri" w:hAnsi="Arial" w:cs="Arial"/>
          <w:color w:val="000000" w:themeColor="text1"/>
          <w:sz w:val="20"/>
          <w:lang w:val="es-ES"/>
        </w:rPr>
        <w:t xml:space="preserve">[…] </w:t>
      </w:r>
      <w:r w:rsidR="008253FD" w:rsidRPr="008253FD">
        <w:rPr>
          <w:rFonts w:ascii="Arial" w:eastAsia="Calibri" w:hAnsi="Arial" w:cs="Arial"/>
          <w:color w:val="000000" w:themeColor="text1"/>
          <w:sz w:val="20"/>
          <w:lang w:val="es-ES"/>
        </w:rPr>
        <w:t>el numeral 1 del artículo 2.2.1.2.3.1.6 del Decreto 1082 de 2015  regula la efectividad de la garantía por «La no ampliación de la vigencia de la garantía de seriedad de la oferta cuando el plazo para la adjudicación o para suscribir el contrato es prorrogado, siempre que tal prórroga sea inferior a tres (3) meses». Lo requisitos de la causal son los siguientes: i) solicitud previa de la entidad estatal, ii) que la prórroga esté motivada en la ampliación del término para «adjudicar» o para «suscribir el contrato», lo que impide que la orden se sustente en razones diferentes, iii) que la ampliación que se solicita no supere tres (3) meses, ya que –considerando la carga que se le impone al proponente de mantener el ofrecimiento mas allá del plazo inicialmente previsto– aquel término implica una limitación justificable para las entidades. Si se cumplen estas condiciones los oferentes deben atender la solicitud de la Administración; en caso de incumplirla se hará efectiva la garantía, a título de sanción</w:t>
      </w:r>
      <w:r w:rsidRPr="00386009">
        <w:rPr>
          <w:rFonts w:ascii="Arial" w:eastAsia="Calibri" w:hAnsi="Arial" w:cs="Arial"/>
          <w:color w:val="000000" w:themeColor="text1"/>
          <w:sz w:val="20"/>
          <w:lang w:val="es-ES"/>
        </w:rPr>
        <w:t>.</w:t>
      </w:r>
    </w:p>
    <w:p w14:paraId="75FDEEE6" w14:textId="77777777" w:rsidR="00022EA0" w:rsidRPr="00386009" w:rsidRDefault="00022EA0" w:rsidP="00022EA0">
      <w:pPr>
        <w:jc w:val="both"/>
        <w:rPr>
          <w:rFonts w:ascii="Arial" w:eastAsia="Calibri" w:hAnsi="Arial" w:cs="Arial"/>
          <w:b/>
          <w:color w:val="000000"/>
          <w:sz w:val="20"/>
          <w:szCs w:val="20"/>
          <w:lang w:val="es-ES"/>
        </w:rPr>
      </w:pPr>
    </w:p>
    <w:p w14:paraId="66105C89" w14:textId="16695A95" w:rsidR="004E2610" w:rsidRPr="00386009" w:rsidRDefault="0063791A" w:rsidP="004E2610">
      <w:pPr>
        <w:jc w:val="both"/>
        <w:rPr>
          <w:rFonts w:ascii="Arial" w:eastAsia="Calibri" w:hAnsi="Arial" w:cs="Arial"/>
          <w:b/>
          <w:color w:val="000000"/>
          <w:sz w:val="22"/>
          <w:lang w:val="es-ES"/>
        </w:rPr>
      </w:pPr>
      <w:r w:rsidRPr="00386009">
        <w:rPr>
          <w:rFonts w:ascii="Arial" w:eastAsia="Calibri" w:hAnsi="Arial" w:cs="Arial"/>
          <w:b/>
          <w:color w:val="000000"/>
          <w:sz w:val="22"/>
          <w:lang w:val="es-ES"/>
        </w:rPr>
        <w:t>DOCUMENTOS TIPO</w:t>
      </w:r>
      <w:r w:rsidR="004E2610" w:rsidRPr="00386009">
        <w:rPr>
          <w:rFonts w:ascii="Arial" w:eastAsia="Calibri" w:hAnsi="Arial" w:cs="Arial"/>
          <w:b/>
          <w:color w:val="000000"/>
          <w:sz w:val="22"/>
          <w:lang w:val="es-ES"/>
        </w:rPr>
        <w:t xml:space="preserve"> – </w:t>
      </w:r>
      <w:r w:rsidRPr="00386009">
        <w:rPr>
          <w:rFonts w:ascii="Arial" w:eastAsia="Calibri" w:hAnsi="Arial" w:cs="Arial"/>
          <w:b/>
          <w:color w:val="000000"/>
          <w:sz w:val="22"/>
          <w:lang w:val="es-ES"/>
        </w:rPr>
        <w:t>Versión 2</w:t>
      </w:r>
      <w:r w:rsidR="004E2610" w:rsidRPr="00386009">
        <w:rPr>
          <w:rFonts w:ascii="Arial" w:eastAsia="Calibri" w:hAnsi="Arial" w:cs="Arial"/>
          <w:b/>
          <w:color w:val="000000"/>
          <w:sz w:val="22"/>
          <w:lang w:val="es-ES"/>
        </w:rPr>
        <w:t xml:space="preserve"> </w:t>
      </w:r>
      <w:bookmarkStart w:id="1" w:name="_Hlk42605501"/>
      <w:r w:rsidR="004E2610" w:rsidRPr="00386009">
        <w:rPr>
          <w:rFonts w:ascii="Arial" w:eastAsia="Calibri" w:hAnsi="Arial" w:cs="Arial"/>
          <w:b/>
          <w:color w:val="000000"/>
          <w:sz w:val="22"/>
          <w:lang w:val="es-ES"/>
        </w:rPr>
        <w:t>–</w:t>
      </w:r>
      <w:bookmarkEnd w:id="1"/>
      <w:r w:rsidR="004E2610" w:rsidRPr="00386009">
        <w:rPr>
          <w:rFonts w:ascii="Arial" w:eastAsia="Calibri" w:hAnsi="Arial" w:cs="Arial"/>
          <w:b/>
          <w:color w:val="000000"/>
          <w:sz w:val="22"/>
          <w:lang w:val="es-ES"/>
        </w:rPr>
        <w:t xml:space="preserve"> </w:t>
      </w:r>
      <w:r w:rsidRPr="00386009">
        <w:rPr>
          <w:rFonts w:ascii="Arial" w:eastAsia="Calibri" w:hAnsi="Arial" w:cs="Arial"/>
          <w:b/>
          <w:color w:val="000000"/>
          <w:sz w:val="22"/>
          <w:lang w:val="es-ES"/>
        </w:rPr>
        <w:t xml:space="preserve">Capacidad residual – Certificado disciplinario – Contador – Vigencia </w:t>
      </w:r>
    </w:p>
    <w:p w14:paraId="1CBAE1EB" w14:textId="77777777" w:rsidR="004E2610" w:rsidRPr="00386009" w:rsidRDefault="004E2610" w:rsidP="004E2610">
      <w:pPr>
        <w:jc w:val="both"/>
        <w:rPr>
          <w:rFonts w:ascii="Arial" w:eastAsia="Calibri" w:hAnsi="Arial" w:cs="Arial"/>
          <w:b/>
          <w:color w:val="000000"/>
          <w:sz w:val="20"/>
          <w:szCs w:val="20"/>
          <w:lang w:val="es-ES"/>
        </w:rPr>
      </w:pPr>
    </w:p>
    <w:p w14:paraId="7E3A40B9" w14:textId="474F37CE" w:rsidR="004E2610" w:rsidRPr="00386009" w:rsidRDefault="0063791A" w:rsidP="004E2610">
      <w:pPr>
        <w:jc w:val="both"/>
        <w:rPr>
          <w:rFonts w:ascii="Arial" w:eastAsia="Calibri" w:hAnsi="Arial" w:cs="Arial"/>
          <w:color w:val="000000"/>
          <w:sz w:val="20"/>
          <w:szCs w:val="20"/>
          <w:lang w:val="es-ES"/>
        </w:rPr>
      </w:pPr>
      <w:r w:rsidRPr="00386009">
        <w:rPr>
          <w:rFonts w:ascii="Arial" w:eastAsia="Calibri" w:hAnsi="Arial" w:cs="Arial"/>
          <w:color w:val="000000"/>
          <w:sz w:val="20"/>
          <w:szCs w:val="20"/>
          <w:lang w:val="es-ES"/>
        </w:rPr>
        <w:t>[…] los proponentes obligados a tener RUP deberán presentar el certificado de antecedentes disciplinarios de contadores con fecha de expedición no mayor a noventa [90] días calendario anteriores a la fecha del cierre del Proceso de Contratación por los siguientes motivos:  i) este certificado contendrá las providencias ejecutoriadas que se hayan expedido dentro de los cinco años anteriores a su expedición y, por tanto, se verificará si para la época en la cual el contador suscribió el estado de resultados integral tenía alguna sanción o inhabilidad y ii) porque el certificado tiene una vigencia de tres [3] meses desde su expedición.</w:t>
      </w:r>
    </w:p>
    <w:p w14:paraId="451CB88C" w14:textId="77777777" w:rsidR="0063791A" w:rsidRPr="00386009" w:rsidRDefault="0063791A" w:rsidP="004E2610">
      <w:pPr>
        <w:jc w:val="both"/>
        <w:rPr>
          <w:rFonts w:ascii="Arial" w:eastAsia="Calibri" w:hAnsi="Arial" w:cs="Arial"/>
          <w:color w:val="000000"/>
          <w:sz w:val="20"/>
          <w:szCs w:val="20"/>
          <w:lang w:val="es-ES"/>
        </w:rPr>
      </w:pPr>
    </w:p>
    <w:p w14:paraId="47399AE6" w14:textId="48A14434" w:rsidR="0063791A" w:rsidRPr="00386009" w:rsidRDefault="0063791A" w:rsidP="004E2610">
      <w:pPr>
        <w:jc w:val="both"/>
        <w:rPr>
          <w:rFonts w:ascii="Arial" w:eastAsia="Calibri" w:hAnsi="Arial" w:cs="Arial"/>
          <w:b/>
          <w:color w:val="000000"/>
          <w:sz w:val="22"/>
          <w:lang w:val="es-ES"/>
        </w:rPr>
      </w:pPr>
      <w:r w:rsidRPr="00386009">
        <w:rPr>
          <w:rFonts w:ascii="Arial" w:eastAsia="Calibri" w:hAnsi="Arial" w:cs="Arial"/>
          <w:b/>
          <w:color w:val="000000"/>
          <w:sz w:val="22"/>
          <w:lang w:val="es-ES"/>
        </w:rPr>
        <w:lastRenderedPageBreak/>
        <w:t>SUBSANABILIDAD –</w:t>
      </w:r>
      <w:r w:rsidRPr="00386009">
        <w:rPr>
          <w:rFonts w:ascii="Arial" w:eastAsia="Calibri" w:hAnsi="Arial" w:cs="Arial"/>
          <w:b/>
          <w:color w:val="000000" w:themeColor="text1"/>
          <w:sz w:val="22"/>
          <w:lang w:val="es-ES"/>
        </w:rPr>
        <w:t xml:space="preserve"> Aplicación </w:t>
      </w:r>
      <w:r w:rsidRPr="00386009">
        <w:rPr>
          <w:rFonts w:ascii="Arial" w:eastAsia="Calibri" w:hAnsi="Arial" w:cs="Arial"/>
          <w:b/>
          <w:color w:val="000000"/>
          <w:sz w:val="22"/>
          <w:lang w:val="es-ES"/>
        </w:rPr>
        <w:t>–</w:t>
      </w:r>
      <w:r w:rsidRPr="00386009">
        <w:rPr>
          <w:rFonts w:ascii="Arial" w:eastAsia="Calibri" w:hAnsi="Arial" w:cs="Arial"/>
          <w:b/>
          <w:color w:val="000000" w:themeColor="text1"/>
          <w:sz w:val="22"/>
          <w:lang w:val="es-ES"/>
        </w:rPr>
        <w:t xml:space="preserve"> Improcedencia </w:t>
      </w:r>
      <w:r w:rsidRPr="00386009">
        <w:rPr>
          <w:rFonts w:ascii="Arial" w:eastAsia="Calibri" w:hAnsi="Arial" w:cs="Arial"/>
          <w:b/>
          <w:color w:val="000000"/>
          <w:sz w:val="22"/>
          <w:lang w:val="es-ES"/>
        </w:rPr>
        <w:t>–</w:t>
      </w:r>
      <w:r w:rsidRPr="00386009">
        <w:rPr>
          <w:rFonts w:ascii="Arial" w:eastAsia="Calibri" w:hAnsi="Arial" w:cs="Arial"/>
          <w:b/>
          <w:color w:val="000000" w:themeColor="text1"/>
          <w:sz w:val="22"/>
          <w:lang w:val="es-ES"/>
        </w:rPr>
        <w:t xml:space="preserve"> Circunstancias posteriores </w:t>
      </w:r>
      <w:r w:rsidR="0014229F">
        <w:rPr>
          <w:rFonts w:ascii="Arial" w:eastAsia="Calibri" w:hAnsi="Arial" w:cs="Arial"/>
          <w:b/>
          <w:color w:val="000000" w:themeColor="text1"/>
          <w:sz w:val="22"/>
          <w:lang w:val="es-ES"/>
        </w:rPr>
        <w:t>–C</w:t>
      </w:r>
      <w:r w:rsidRPr="00386009">
        <w:rPr>
          <w:rFonts w:ascii="Arial" w:eastAsia="Calibri" w:hAnsi="Arial" w:cs="Arial"/>
          <w:b/>
          <w:color w:val="000000" w:themeColor="text1"/>
          <w:sz w:val="22"/>
          <w:lang w:val="es-ES"/>
        </w:rPr>
        <w:t>ierre</w:t>
      </w:r>
      <w:r w:rsidR="0014229F">
        <w:rPr>
          <w:rFonts w:ascii="Arial" w:eastAsia="Calibri" w:hAnsi="Arial" w:cs="Arial"/>
          <w:b/>
          <w:color w:val="000000" w:themeColor="text1"/>
          <w:sz w:val="22"/>
          <w:lang w:val="es-ES"/>
        </w:rPr>
        <w:t xml:space="preserve"> del proceso</w:t>
      </w:r>
      <w:r w:rsidRPr="00386009">
        <w:rPr>
          <w:rFonts w:ascii="Arial" w:eastAsia="Calibri" w:hAnsi="Arial" w:cs="Arial"/>
          <w:b/>
          <w:color w:val="000000" w:themeColor="text1"/>
          <w:sz w:val="22"/>
          <w:lang w:val="es-ES"/>
        </w:rPr>
        <w:t xml:space="preserve"> </w:t>
      </w:r>
    </w:p>
    <w:p w14:paraId="57D7270A" w14:textId="0CEB90D4" w:rsidR="0063791A" w:rsidRPr="00386009" w:rsidRDefault="0063791A" w:rsidP="004E2610">
      <w:pPr>
        <w:jc w:val="both"/>
        <w:rPr>
          <w:rFonts w:ascii="Arial" w:eastAsia="Calibri" w:hAnsi="Arial" w:cs="Arial"/>
          <w:b/>
          <w:color w:val="000000"/>
          <w:sz w:val="22"/>
          <w:lang w:val="es-ES"/>
        </w:rPr>
      </w:pPr>
    </w:p>
    <w:p w14:paraId="551221AC" w14:textId="77777777" w:rsidR="0063791A" w:rsidRPr="00386009" w:rsidRDefault="0063791A" w:rsidP="0063791A">
      <w:pPr>
        <w:jc w:val="both"/>
        <w:rPr>
          <w:rFonts w:ascii="Arial" w:eastAsia="Calibri" w:hAnsi="Arial" w:cs="Arial"/>
          <w:color w:val="000000"/>
          <w:sz w:val="20"/>
          <w:szCs w:val="20"/>
          <w:lang w:val="es-ES"/>
        </w:rPr>
      </w:pPr>
      <w:r w:rsidRPr="00386009">
        <w:rPr>
          <w:rFonts w:ascii="Arial" w:eastAsia="Calibri" w:hAnsi="Arial" w:cs="Arial"/>
          <w:color w:val="000000"/>
          <w:sz w:val="20"/>
          <w:szCs w:val="20"/>
          <w:lang w:val="es-ES"/>
        </w:rPr>
        <w:t xml:space="preserve">Un mejor entendimiento del significado de la expresión «circunstancias ocurridas con posterioridad al cierre del proceso»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441FD5E7" w14:textId="77777777" w:rsidR="0063791A" w:rsidRPr="00386009" w:rsidRDefault="0063791A" w:rsidP="004E2610">
      <w:pPr>
        <w:jc w:val="both"/>
        <w:rPr>
          <w:rFonts w:ascii="Arial" w:eastAsia="Calibri" w:hAnsi="Arial" w:cs="Arial"/>
          <w:b/>
          <w:color w:val="000000"/>
          <w:sz w:val="22"/>
          <w:lang w:val="es-ES"/>
        </w:rPr>
      </w:pPr>
    </w:p>
    <w:p w14:paraId="1BD20699" w14:textId="635DC204" w:rsidR="004E2610" w:rsidRPr="00386009" w:rsidRDefault="00CB1244" w:rsidP="004E2610">
      <w:pPr>
        <w:jc w:val="both"/>
        <w:rPr>
          <w:rFonts w:ascii="Arial" w:eastAsia="Calibri" w:hAnsi="Arial" w:cs="Arial"/>
          <w:b/>
          <w:color w:val="000000"/>
          <w:sz w:val="20"/>
          <w:szCs w:val="20"/>
          <w:lang w:val="es-ES"/>
        </w:rPr>
      </w:pPr>
      <w:r w:rsidRPr="00386009">
        <w:rPr>
          <w:rFonts w:ascii="Arial" w:eastAsia="Calibri" w:hAnsi="Arial" w:cs="Arial"/>
          <w:b/>
          <w:color w:val="000000"/>
          <w:sz w:val="22"/>
          <w:lang w:val="es-ES"/>
        </w:rPr>
        <w:t>DOCUMENTOS TIPO</w:t>
      </w:r>
      <w:r w:rsidR="004E2610" w:rsidRPr="00386009">
        <w:rPr>
          <w:rFonts w:ascii="Arial" w:eastAsia="Calibri" w:hAnsi="Arial" w:cs="Arial"/>
          <w:b/>
          <w:color w:val="000000"/>
          <w:sz w:val="22"/>
          <w:lang w:val="es-ES"/>
        </w:rPr>
        <w:t xml:space="preserve"> – Matriz 1 – Reglas </w:t>
      </w:r>
      <w:r w:rsidR="0014229F">
        <w:rPr>
          <w:rFonts w:ascii="Arial" w:eastAsia="Calibri" w:hAnsi="Arial" w:cs="Arial"/>
          <w:b/>
          <w:color w:val="000000"/>
          <w:sz w:val="22"/>
          <w:lang w:val="es-ES"/>
        </w:rPr>
        <w:t>–</w:t>
      </w:r>
      <w:r w:rsidR="004E2610" w:rsidRPr="00386009">
        <w:rPr>
          <w:rFonts w:ascii="Arial" w:eastAsia="Calibri" w:hAnsi="Arial" w:cs="Arial"/>
          <w:b/>
          <w:color w:val="000000"/>
          <w:sz w:val="22"/>
          <w:lang w:val="es-ES"/>
        </w:rPr>
        <w:t xml:space="preserve"> </w:t>
      </w:r>
      <w:r w:rsidR="0014229F">
        <w:rPr>
          <w:rFonts w:ascii="Arial" w:eastAsia="Calibri" w:hAnsi="Arial" w:cs="Arial"/>
          <w:b/>
          <w:color w:val="000000"/>
          <w:sz w:val="22"/>
          <w:lang w:val="es-ES"/>
        </w:rPr>
        <w:t>E</w:t>
      </w:r>
      <w:r w:rsidR="004E2610" w:rsidRPr="00386009">
        <w:rPr>
          <w:rFonts w:ascii="Arial" w:eastAsia="Calibri" w:hAnsi="Arial" w:cs="Arial"/>
          <w:b/>
          <w:color w:val="000000"/>
          <w:sz w:val="22"/>
          <w:lang w:val="es-ES"/>
        </w:rPr>
        <w:t>xperiencia</w:t>
      </w:r>
      <w:r w:rsidRPr="00386009">
        <w:rPr>
          <w:rFonts w:ascii="Arial" w:eastAsia="Calibri" w:hAnsi="Arial" w:cs="Arial"/>
          <w:b/>
          <w:color w:val="000000"/>
          <w:sz w:val="22"/>
          <w:lang w:val="es-ES"/>
        </w:rPr>
        <w:t xml:space="preserve"> – Mejoramiento vías terciarias</w:t>
      </w:r>
      <w:r w:rsidR="004E2610" w:rsidRPr="00386009">
        <w:rPr>
          <w:rFonts w:ascii="Arial" w:eastAsia="Calibri" w:hAnsi="Arial" w:cs="Arial"/>
          <w:b/>
          <w:color w:val="000000"/>
          <w:sz w:val="20"/>
          <w:szCs w:val="20"/>
          <w:lang w:val="es-ES"/>
        </w:rPr>
        <w:t xml:space="preserve"> </w:t>
      </w:r>
    </w:p>
    <w:p w14:paraId="6353EC21" w14:textId="77777777" w:rsidR="004E2610" w:rsidRPr="00386009" w:rsidRDefault="004E2610" w:rsidP="004E2610">
      <w:pPr>
        <w:jc w:val="both"/>
        <w:rPr>
          <w:rFonts w:ascii="Arial" w:eastAsia="Calibri" w:hAnsi="Arial" w:cs="Arial"/>
          <w:b/>
          <w:color w:val="000000"/>
          <w:sz w:val="20"/>
          <w:szCs w:val="20"/>
          <w:lang w:val="es-ES"/>
        </w:rPr>
      </w:pPr>
    </w:p>
    <w:p w14:paraId="6C61CBF9" w14:textId="388C5EA4" w:rsidR="00CB1244" w:rsidRPr="00386009" w:rsidRDefault="00CB1244" w:rsidP="000C3A30">
      <w:pPr>
        <w:spacing w:after="120"/>
        <w:jc w:val="both"/>
        <w:rPr>
          <w:rFonts w:ascii="Arial" w:eastAsia="Calibri" w:hAnsi="Arial" w:cs="Arial"/>
          <w:color w:val="000000"/>
          <w:sz w:val="20"/>
          <w:szCs w:val="20"/>
          <w:lang w:val="es-ES"/>
        </w:rPr>
      </w:pPr>
      <w:r w:rsidRPr="00386009">
        <w:rPr>
          <w:rFonts w:ascii="Arial" w:eastAsia="Calibri" w:hAnsi="Arial" w:cs="Arial"/>
          <w:color w:val="000000"/>
          <w:sz w:val="20"/>
          <w:szCs w:val="20"/>
          <w:lang w:val="es-ES"/>
        </w:rPr>
        <w:t xml:space="preserve">[…] los Documentos Tipo son inalterables y, por tanto, las entidades estatales no pueden incluir o modificar en los documentos del proceso las condiciones habilitantes, los factores técnicos y económicos de escogencia y los sistemas de ponderación distintos a los señalados en los Documentos Tipo. </w:t>
      </w:r>
      <w:bookmarkStart w:id="2" w:name="_GoBack"/>
      <w:bookmarkEnd w:id="2"/>
    </w:p>
    <w:p w14:paraId="559D9FA6" w14:textId="35FE0064" w:rsidR="00CB1244" w:rsidRPr="00386009" w:rsidRDefault="00CB1244" w:rsidP="000C3A30">
      <w:pPr>
        <w:jc w:val="both"/>
        <w:rPr>
          <w:rFonts w:ascii="Arial" w:eastAsia="Calibri" w:hAnsi="Arial" w:cs="Arial"/>
          <w:color w:val="000000"/>
          <w:sz w:val="20"/>
          <w:szCs w:val="20"/>
          <w:lang w:val="es-ES"/>
        </w:rPr>
      </w:pPr>
      <w:r w:rsidRPr="00386009">
        <w:rPr>
          <w:rFonts w:ascii="Arial" w:eastAsia="Calibri" w:hAnsi="Arial" w:cs="Arial"/>
          <w:color w:val="000000"/>
          <w:sz w:val="20"/>
          <w:szCs w:val="20"/>
          <w:lang w:val="es-ES"/>
        </w:rPr>
        <w:t xml:space="preserve">De este modo, por ahora no es posible que las entidades modifiquen la experiencia general prevista en la «Actividad 2.2 Mejoramiento de Vías Terciarias». Sin embargo, su observación será tenida en cuenta para la próxima modificación que se realice a los Documentos Tipo de Licitación de obra pública de infraestructura de transporte. Para de esta manera, ampliar el alcance de la experiencia en la actividad de mejoramiento de vías terciarias. </w:t>
      </w:r>
    </w:p>
    <w:p w14:paraId="1C69B03B" w14:textId="7AC37634" w:rsidR="004E2610" w:rsidRPr="00386009" w:rsidRDefault="004E2610" w:rsidP="000C3A30">
      <w:pPr>
        <w:jc w:val="both"/>
        <w:rPr>
          <w:rFonts w:ascii="Arial" w:eastAsia="Calibri" w:hAnsi="Arial" w:cs="Arial"/>
          <w:color w:val="000000"/>
          <w:sz w:val="20"/>
          <w:szCs w:val="20"/>
          <w:lang w:val="es-ES"/>
        </w:rPr>
      </w:pPr>
    </w:p>
    <w:p w14:paraId="7EDEFB3F" w14:textId="77777777" w:rsidR="004E2610" w:rsidRPr="00386009" w:rsidRDefault="004E2610" w:rsidP="000C3A30">
      <w:pPr>
        <w:jc w:val="both"/>
        <w:rPr>
          <w:rFonts w:ascii="Arial" w:eastAsia="Calibri" w:hAnsi="Arial" w:cs="Arial"/>
          <w:bCs/>
          <w:color w:val="000000"/>
          <w:sz w:val="20"/>
          <w:szCs w:val="20"/>
          <w:lang w:val="es-ES"/>
        </w:rPr>
      </w:pPr>
    </w:p>
    <w:p w14:paraId="4B599D04" w14:textId="1347A1BC" w:rsidR="004E2610" w:rsidRPr="00386009" w:rsidRDefault="004E2610" w:rsidP="000C3A30">
      <w:pPr>
        <w:rPr>
          <w:rFonts w:ascii="Arial" w:eastAsia="Calibri" w:hAnsi="Arial" w:cs="Arial"/>
          <w:b/>
          <w:color w:val="000000"/>
          <w:sz w:val="22"/>
          <w:lang w:val="es-ES"/>
        </w:rPr>
      </w:pPr>
      <w:r w:rsidRPr="00386009">
        <w:rPr>
          <w:rFonts w:ascii="Arial" w:eastAsia="Calibri" w:hAnsi="Arial" w:cs="Arial"/>
          <w:color w:val="000000"/>
          <w:sz w:val="22"/>
          <w:lang w:val="es-ES"/>
        </w:rPr>
        <w:t xml:space="preserve">Bogotá D.C., </w:t>
      </w:r>
      <w:r w:rsidR="00BF1119" w:rsidRPr="00BF1119">
        <w:rPr>
          <w:rFonts w:ascii="Arial" w:eastAsia="Calibri" w:hAnsi="Arial" w:cs="Arial"/>
          <w:b/>
          <w:color w:val="000000"/>
          <w:sz w:val="22"/>
          <w:lang w:val="es-ES"/>
        </w:rPr>
        <w:t>10/08/2020 Hora 21:31:13s</w:t>
      </w:r>
    </w:p>
    <w:p w14:paraId="47E9897B" w14:textId="77777777" w:rsidR="004E2610" w:rsidRPr="00386009" w:rsidRDefault="004E2610" w:rsidP="004E2610">
      <w:pPr>
        <w:jc w:val="right"/>
        <w:rPr>
          <w:rFonts w:ascii="Arial" w:eastAsia="Calibri" w:hAnsi="Arial" w:cs="Arial"/>
          <w:b/>
          <w:color w:val="000000"/>
          <w:sz w:val="22"/>
          <w:lang w:val="es-ES"/>
        </w:rPr>
      </w:pPr>
    </w:p>
    <w:p w14:paraId="654C0428" w14:textId="0C927D58" w:rsidR="004E2610" w:rsidRPr="00386009" w:rsidRDefault="004E2610" w:rsidP="004E2610">
      <w:pPr>
        <w:jc w:val="right"/>
        <w:rPr>
          <w:rFonts w:ascii="Arial" w:eastAsia="Calibri" w:hAnsi="Arial" w:cs="Arial"/>
          <w:b/>
          <w:color w:val="000000"/>
          <w:sz w:val="22"/>
          <w:lang w:val="es-ES"/>
        </w:rPr>
      </w:pPr>
      <w:r w:rsidRPr="00386009">
        <w:rPr>
          <w:rFonts w:ascii="Arial" w:eastAsia="Calibri" w:hAnsi="Arial" w:cs="Arial"/>
          <w:b/>
          <w:color w:val="000000"/>
          <w:sz w:val="22"/>
          <w:lang w:val="es-ES"/>
        </w:rPr>
        <w:t xml:space="preserve">N° Radicado: </w:t>
      </w:r>
      <w:r w:rsidR="005B2FFD" w:rsidRPr="005B2FFD">
        <w:rPr>
          <w:rFonts w:ascii="Arial" w:eastAsia="Calibri" w:hAnsi="Arial" w:cs="Arial"/>
          <w:b/>
          <w:color w:val="000000"/>
          <w:sz w:val="22"/>
          <w:lang w:val="es-ES"/>
        </w:rPr>
        <w:t>2202013000007273</w:t>
      </w:r>
    </w:p>
    <w:p w14:paraId="30484F85" w14:textId="77777777" w:rsidR="004E2610" w:rsidRPr="00386009" w:rsidRDefault="004E2610" w:rsidP="004E2610">
      <w:pPr>
        <w:rPr>
          <w:rFonts w:ascii="Arial" w:eastAsia="Calibri" w:hAnsi="Arial" w:cs="Arial"/>
          <w:color w:val="000000"/>
          <w:sz w:val="22"/>
          <w:lang w:val="es-ES"/>
        </w:rPr>
      </w:pPr>
    </w:p>
    <w:p w14:paraId="611F64C0" w14:textId="77777777" w:rsidR="004E2610" w:rsidRPr="00386009" w:rsidRDefault="004E2610" w:rsidP="004E2610">
      <w:pPr>
        <w:rPr>
          <w:rFonts w:ascii="Arial" w:eastAsia="Calibri" w:hAnsi="Arial" w:cs="Arial"/>
          <w:color w:val="000000"/>
          <w:sz w:val="22"/>
          <w:lang w:val="es-ES"/>
        </w:rPr>
      </w:pPr>
    </w:p>
    <w:p w14:paraId="0C6905E0" w14:textId="77777777" w:rsidR="004E2610" w:rsidRPr="00386009" w:rsidRDefault="004E2610" w:rsidP="004E2610">
      <w:pPr>
        <w:rPr>
          <w:rFonts w:ascii="Arial" w:eastAsia="Calibri" w:hAnsi="Arial" w:cs="Arial"/>
          <w:color w:val="000000"/>
          <w:sz w:val="22"/>
          <w:lang w:val="es-ES"/>
        </w:rPr>
      </w:pPr>
      <w:r w:rsidRPr="00386009">
        <w:rPr>
          <w:rFonts w:ascii="Arial" w:eastAsia="Calibri" w:hAnsi="Arial" w:cs="Arial"/>
          <w:color w:val="000000"/>
          <w:sz w:val="22"/>
          <w:lang w:val="es-ES"/>
        </w:rPr>
        <w:t>Señora</w:t>
      </w:r>
    </w:p>
    <w:p w14:paraId="341319F9" w14:textId="37F196DF" w:rsidR="004E2610" w:rsidRPr="00386009" w:rsidRDefault="004E2610" w:rsidP="004E2610">
      <w:pPr>
        <w:rPr>
          <w:rFonts w:ascii="Arial" w:eastAsia="Calibri" w:hAnsi="Arial" w:cs="Arial"/>
          <w:b/>
          <w:color w:val="000000"/>
          <w:sz w:val="22"/>
          <w:lang w:val="es-ES"/>
        </w:rPr>
      </w:pPr>
      <w:r w:rsidRPr="00386009">
        <w:rPr>
          <w:rFonts w:ascii="Arial" w:eastAsia="Calibri" w:hAnsi="Arial" w:cs="Arial"/>
          <w:b/>
          <w:color w:val="000000"/>
          <w:sz w:val="22"/>
          <w:lang w:val="es-ES"/>
        </w:rPr>
        <w:t>María Juliana P</w:t>
      </w:r>
      <w:r w:rsidR="005F71B7" w:rsidRPr="00386009">
        <w:rPr>
          <w:rFonts w:ascii="Arial" w:eastAsia="Calibri" w:hAnsi="Arial" w:cs="Arial"/>
          <w:b/>
          <w:color w:val="000000"/>
          <w:sz w:val="22"/>
          <w:lang w:val="es-ES"/>
        </w:rPr>
        <w:t>é</w:t>
      </w:r>
      <w:r w:rsidRPr="00386009">
        <w:rPr>
          <w:rFonts w:ascii="Arial" w:eastAsia="Calibri" w:hAnsi="Arial" w:cs="Arial"/>
          <w:b/>
          <w:color w:val="000000"/>
          <w:sz w:val="22"/>
          <w:lang w:val="es-ES"/>
        </w:rPr>
        <w:t xml:space="preserve">rez </w:t>
      </w:r>
    </w:p>
    <w:p w14:paraId="5BD836C1" w14:textId="0C056399" w:rsidR="004E2610" w:rsidRPr="00386009" w:rsidRDefault="004E2610" w:rsidP="004E2610">
      <w:pPr>
        <w:rPr>
          <w:rFonts w:ascii="Arial" w:eastAsia="Calibri" w:hAnsi="Arial" w:cs="Arial"/>
          <w:color w:val="000000"/>
          <w:sz w:val="22"/>
          <w:lang w:val="es-ES"/>
        </w:rPr>
      </w:pPr>
      <w:r w:rsidRPr="00386009">
        <w:rPr>
          <w:rFonts w:ascii="Arial" w:eastAsia="Calibri" w:hAnsi="Arial" w:cs="Arial"/>
          <w:color w:val="000000"/>
          <w:sz w:val="22"/>
          <w:lang w:val="es-ES"/>
        </w:rPr>
        <w:t>Ciudad</w:t>
      </w:r>
    </w:p>
    <w:p w14:paraId="10B96707" w14:textId="77777777" w:rsidR="004E2610" w:rsidRPr="00386009" w:rsidRDefault="004E2610" w:rsidP="004E2610">
      <w:pPr>
        <w:rPr>
          <w:rFonts w:ascii="Arial" w:eastAsia="Calibri" w:hAnsi="Arial" w:cs="Arial"/>
          <w:color w:val="000000"/>
          <w:sz w:val="22"/>
          <w:lang w:val="es-ES"/>
        </w:rPr>
      </w:pPr>
    </w:p>
    <w:p w14:paraId="33B23403" w14:textId="77777777" w:rsidR="004E2610" w:rsidRPr="00386009" w:rsidRDefault="004E2610" w:rsidP="004E2610">
      <w:pPr>
        <w:rPr>
          <w:rFonts w:ascii="Arial" w:eastAsia="Calibri" w:hAnsi="Arial" w:cs="Arial"/>
          <w:color w:val="000000"/>
          <w:sz w:val="22"/>
          <w:lang w:val="es-ES"/>
        </w:rPr>
      </w:pPr>
    </w:p>
    <w:p w14:paraId="568220F8" w14:textId="4487538C" w:rsidR="004E2610" w:rsidRPr="00386009" w:rsidRDefault="004E2610" w:rsidP="004E2610">
      <w:pPr>
        <w:ind w:firstLine="2694"/>
        <w:rPr>
          <w:rFonts w:ascii="Arial" w:eastAsia="Calibri" w:hAnsi="Arial" w:cs="Arial"/>
          <w:b/>
          <w:color w:val="000000"/>
          <w:sz w:val="22"/>
          <w:lang w:val="es-ES"/>
        </w:rPr>
      </w:pPr>
      <w:r w:rsidRPr="00386009">
        <w:rPr>
          <w:rFonts w:ascii="Arial" w:eastAsia="Calibri" w:hAnsi="Arial" w:cs="Arial"/>
          <w:b/>
          <w:color w:val="000000"/>
          <w:sz w:val="22"/>
          <w:lang w:val="es-ES"/>
        </w:rPr>
        <w:t xml:space="preserve">Concepto C – </w:t>
      </w:r>
      <w:r w:rsidR="00BE7D8D" w:rsidRPr="00386009">
        <w:rPr>
          <w:rFonts w:ascii="Arial" w:eastAsia="Calibri" w:hAnsi="Arial" w:cs="Arial"/>
          <w:b/>
          <w:color w:val="000000"/>
          <w:sz w:val="22"/>
          <w:lang w:val="es-ES"/>
        </w:rPr>
        <w:t>391</w:t>
      </w:r>
      <w:r w:rsidRPr="00386009">
        <w:rPr>
          <w:rFonts w:ascii="Arial" w:eastAsia="Calibri" w:hAnsi="Arial" w:cs="Arial"/>
          <w:b/>
          <w:color w:val="000000"/>
          <w:sz w:val="22"/>
          <w:lang w:val="es-ES"/>
        </w:rPr>
        <w:t xml:space="preserve"> de 2020</w:t>
      </w:r>
    </w:p>
    <w:p w14:paraId="5937A7AE" w14:textId="77777777" w:rsidR="004E2610" w:rsidRPr="00386009" w:rsidRDefault="004E2610" w:rsidP="004E2610">
      <w:pPr>
        <w:rPr>
          <w:rFonts w:ascii="Arial" w:eastAsia="Calibri" w:hAnsi="Arial" w:cs="Arial"/>
          <w:color w:val="000000"/>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E2610" w:rsidRPr="00386009" w14:paraId="02805E6C" w14:textId="77777777" w:rsidTr="005A1679">
        <w:tc>
          <w:tcPr>
            <w:tcW w:w="2689" w:type="dxa"/>
            <w:hideMark/>
          </w:tcPr>
          <w:p w14:paraId="47289308" w14:textId="77777777" w:rsidR="004E2610" w:rsidRPr="00386009" w:rsidRDefault="004E2610" w:rsidP="004E2610">
            <w:pPr>
              <w:rPr>
                <w:rFonts w:ascii="Arial" w:eastAsia="Calibri" w:hAnsi="Arial" w:cs="Arial"/>
                <w:color w:val="000000"/>
                <w:sz w:val="22"/>
                <w:lang w:val="es-ES"/>
              </w:rPr>
            </w:pPr>
            <w:r w:rsidRPr="00386009">
              <w:rPr>
                <w:rFonts w:ascii="Arial" w:eastAsia="Calibri" w:hAnsi="Arial" w:cs="Arial"/>
                <w:b/>
                <w:color w:val="000000"/>
                <w:sz w:val="22"/>
                <w:lang w:val="es-ES"/>
              </w:rPr>
              <w:t>Temas:</w:t>
            </w:r>
            <w:r w:rsidRPr="00386009">
              <w:rPr>
                <w:rFonts w:ascii="Arial" w:eastAsia="Calibri" w:hAnsi="Arial" w:cs="Arial"/>
                <w:color w:val="000000"/>
                <w:sz w:val="22"/>
                <w:lang w:val="es-ES"/>
              </w:rPr>
              <w:t xml:space="preserve">           </w:t>
            </w:r>
          </w:p>
          <w:p w14:paraId="7A9D650E" w14:textId="77777777" w:rsidR="004E2610" w:rsidRPr="00386009" w:rsidRDefault="004E2610" w:rsidP="004E2610">
            <w:pPr>
              <w:rPr>
                <w:rFonts w:ascii="Arial" w:eastAsia="Calibri" w:hAnsi="Arial" w:cs="Arial"/>
                <w:color w:val="000000"/>
                <w:sz w:val="22"/>
                <w:lang w:val="es-ES"/>
              </w:rPr>
            </w:pPr>
            <w:r w:rsidRPr="00386009">
              <w:rPr>
                <w:rFonts w:ascii="Arial" w:eastAsia="Calibri" w:hAnsi="Arial" w:cs="Arial"/>
                <w:color w:val="000000"/>
                <w:sz w:val="22"/>
                <w:lang w:val="es-ES"/>
              </w:rPr>
              <w:t xml:space="preserve">                           </w:t>
            </w:r>
          </w:p>
        </w:tc>
        <w:tc>
          <w:tcPr>
            <w:tcW w:w="6237" w:type="dxa"/>
            <w:hideMark/>
          </w:tcPr>
          <w:p w14:paraId="033AD169" w14:textId="39FC1998" w:rsidR="004E2610" w:rsidRPr="00386009" w:rsidRDefault="006F5C0F" w:rsidP="004E2610">
            <w:pPr>
              <w:jc w:val="both"/>
              <w:rPr>
                <w:rFonts w:ascii="Arial" w:eastAsia="Calibri" w:hAnsi="Arial" w:cs="Arial"/>
                <w:bCs/>
                <w:color w:val="000000" w:themeColor="text1"/>
                <w:sz w:val="22"/>
                <w:lang w:val="es-ES"/>
              </w:rPr>
            </w:pPr>
            <w:r w:rsidRPr="00386009">
              <w:rPr>
                <w:rFonts w:ascii="Arial" w:eastAsia="Calibri" w:hAnsi="Arial" w:cs="Arial"/>
                <w:bCs/>
                <w:color w:val="000000" w:themeColor="text1"/>
                <w:sz w:val="22"/>
                <w:lang w:val="es-ES"/>
              </w:rPr>
              <w:t xml:space="preserve">SERIEDAD DE LA OFERTA – Finalidad / VIGENCIA – Seriedad de la oferta – Carácter estimativo / SERIEDAD DE LA OFERTA – Garantía – Efectividad – Prórroga – Adjudicación – Suscripción – Requisitos </w:t>
            </w:r>
            <w:r w:rsidR="004E2610" w:rsidRPr="00386009">
              <w:rPr>
                <w:rFonts w:ascii="Arial" w:eastAsia="Calibri" w:hAnsi="Arial" w:cs="Arial"/>
                <w:bCs/>
                <w:color w:val="000000"/>
                <w:sz w:val="22"/>
                <w:lang w:val="es-ES"/>
              </w:rPr>
              <w:t xml:space="preserve">/ </w:t>
            </w:r>
            <w:r w:rsidR="00CB1244" w:rsidRPr="00386009">
              <w:rPr>
                <w:rFonts w:ascii="Arial" w:eastAsia="Calibri" w:hAnsi="Arial" w:cs="Arial"/>
                <w:bCs/>
                <w:color w:val="000000"/>
                <w:sz w:val="22"/>
                <w:lang w:val="es-ES"/>
              </w:rPr>
              <w:t>DOCUMENTOS TIPO – Versión 2 – Capacidad residual – Certificado disciplinario – Contador – Vigencia</w:t>
            </w:r>
            <w:r w:rsidR="004E2610" w:rsidRPr="00386009">
              <w:rPr>
                <w:rFonts w:ascii="Arial" w:eastAsia="Calibri" w:hAnsi="Arial" w:cs="Arial"/>
                <w:bCs/>
                <w:color w:val="000000"/>
                <w:sz w:val="22"/>
                <w:lang w:val="es-ES"/>
              </w:rPr>
              <w:t xml:space="preserve"> / </w:t>
            </w:r>
            <w:r w:rsidR="00CB1244" w:rsidRPr="00386009">
              <w:rPr>
                <w:rFonts w:ascii="Arial" w:eastAsia="Calibri" w:hAnsi="Arial" w:cs="Arial"/>
                <w:bCs/>
                <w:color w:val="000000"/>
                <w:sz w:val="22"/>
                <w:lang w:val="es-ES"/>
              </w:rPr>
              <w:t>SUBSANABILIDAD –</w:t>
            </w:r>
            <w:r w:rsidR="00CB1244" w:rsidRPr="00386009">
              <w:rPr>
                <w:rFonts w:ascii="Arial" w:eastAsia="Calibri" w:hAnsi="Arial" w:cs="Arial"/>
                <w:bCs/>
                <w:color w:val="000000" w:themeColor="text1"/>
                <w:sz w:val="22"/>
                <w:lang w:val="es-ES"/>
              </w:rPr>
              <w:t xml:space="preserve"> Aplicación </w:t>
            </w:r>
            <w:r w:rsidR="00CB1244" w:rsidRPr="00386009">
              <w:rPr>
                <w:rFonts w:ascii="Arial" w:eastAsia="Calibri" w:hAnsi="Arial" w:cs="Arial"/>
                <w:bCs/>
                <w:color w:val="000000"/>
                <w:sz w:val="22"/>
                <w:lang w:val="es-ES"/>
              </w:rPr>
              <w:t>–</w:t>
            </w:r>
            <w:r w:rsidR="00CB1244" w:rsidRPr="00386009">
              <w:rPr>
                <w:rFonts w:ascii="Arial" w:eastAsia="Calibri" w:hAnsi="Arial" w:cs="Arial"/>
                <w:bCs/>
                <w:color w:val="000000" w:themeColor="text1"/>
                <w:sz w:val="22"/>
                <w:lang w:val="es-ES"/>
              </w:rPr>
              <w:t xml:space="preserve"> Improcedencia </w:t>
            </w:r>
            <w:r w:rsidR="00CB1244" w:rsidRPr="00386009">
              <w:rPr>
                <w:rFonts w:ascii="Arial" w:eastAsia="Calibri" w:hAnsi="Arial" w:cs="Arial"/>
                <w:bCs/>
                <w:color w:val="000000"/>
                <w:sz w:val="22"/>
                <w:lang w:val="es-ES"/>
              </w:rPr>
              <w:t>–</w:t>
            </w:r>
            <w:r w:rsidR="00CB1244" w:rsidRPr="00386009">
              <w:rPr>
                <w:rFonts w:ascii="Arial" w:eastAsia="Calibri" w:hAnsi="Arial" w:cs="Arial"/>
                <w:bCs/>
                <w:color w:val="000000" w:themeColor="text1"/>
                <w:sz w:val="22"/>
                <w:lang w:val="es-ES"/>
              </w:rPr>
              <w:t xml:space="preserve"> Circunstancias posteriores al cierre</w:t>
            </w:r>
            <w:r w:rsidR="004E2610" w:rsidRPr="00386009">
              <w:rPr>
                <w:rFonts w:ascii="Arial" w:eastAsia="Calibri" w:hAnsi="Arial" w:cs="Arial"/>
                <w:bCs/>
                <w:color w:val="000000"/>
                <w:sz w:val="22"/>
                <w:lang w:val="es-ES"/>
              </w:rPr>
              <w:t xml:space="preserve"> / </w:t>
            </w:r>
            <w:r w:rsidR="00CB1244" w:rsidRPr="00386009">
              <w:rPr>
                <w:rFonts w:ascii="Arial" w:eastAsia="Calibri" w:hAnsi="Arial" w:cs="Arial"/>
                <w:bCs/>
                <w:color w:val="000000"/>
                <w:sz w:val="22"/>
                <w:lang w:val="es-ES"/>
              </w:rPr>
              <w:t>DOCUMENTOS TIPO – Matriz 1 – Reglas para acreditar la experiencia – Mejoramiento vías terciarias</w:t>
            </w:r>
          </w:p>
        </w:tc>
      </w:tr>
      <w:tr w:rsidR="004E2610" w:rsidRPr="00386009" w14:paraId="48B211E2" w14:textId="77777777" w:rsidTr="005A1679">
        <w:tc>
          <w:tcPr>
            <w:tcW w:w="2689" w:type="dxa"/>
          </w:tcPr>
          <w:p w14:paraId="11B30E56" w14:textId="77777777" w:rsidR="004E2610" w:rsidRPr="00386009" w:rsidRDefault="004E2610" w:rsidP="004E2610">
            <w:pPr>
              <w:spacing w:before="120"/>
              <w:rPr>
                <w:rFonts w:ascii="Arial" w:eastAsia="Calibri" w:hAnsi="Arial" w:cs="Arial"/>
                <w:b/>
                <w:color w:val="000000"/>
                <w:sz w:val="22"/>
                <w:lang w:val="es-ES"/>
              </w:rPr>
            </w:pPr>
            <w:r w:rsidRPr="00386009">
              <w:rPr>
                <w:rFonts w:ascii="Arial" w:eastAsia="Calibri" w:hAnsi="Arial" w:cs="Arial"/>
                <w:b/>
                <w:color w:val="000000"/>
                <w:sz w:val="22"/>
                <w:lang w:val="es-ES"/>
              </w:rPr>
              <w:t>Radicación:</w:t>
            </w:r>
            <w:r w:rsidRPr="00386009">
              <w:rPr>
                <w:rFonts w:ascii="Arial" w:eastAsia="Calibri" w:hAnsi="Arial" w:cs="Arial"/>
                <w:color w:val="000000"/>
                <w:sz w:val="22"/>
                <w:lang w:val="es-ES"/>
              </w:rPr>
              <w:t xml:space="preserve">                              </w:t>
            </w:r>
          </w:p>
        </w:tc>
        <w:tc>
          <w:tcPr>
            <w:tcW w:w="6237" w:type="dxa"/>
          </w:tcPr>
          <w:p w14:paraId="1D39AD17" w14:textId="20B67022" w:rsidR="004E2610" w:rsidRPr="00386009" w:rsidRDefault="004E2610" w:rsidP="004E2610">
            <w:pPr>
              <w:spacing w:before="120"/>
              <w:jc w:val="both"/>
              <w:rPr>
                <w:rFonts w:ascii="Arial" w:eastAsia="Calibri" w:hAnsi="Arial" w:cs="Arial"/>
                <w:color w:val="000000"/>
                <w:sz w:val="22"/>
                <w:lang w:val="es-ES"/>
              </w:rPr>
            </w:pPr>
            <w:r w:rsidRPr="00386009">
              <w:rPr>
                <w:rFonts w:ascii="Arial" w:eastAsia="Calibri" w:hAnsi="Arial" w:cs="Arial"/>
                <w:color w:val="000000"/>
                <w:sz w:val="22"/>
                <w:lang w:val="es-ES"/>
              </w:rPr>
              <w:t>Respuesta a consulta 4202013000004385</w:t>
            </w:r>
          </w:p>
        </w:tc>
      </w:tr>
      <w:tr w:rsidR="004E2610" w:rsidRPr="00386009" w14:paraId="2145AAFE" w14:textId="77777777" w:rsidTr="005A1679">
        <w:tc>
          <w:tcPr>
            <w:tcW w:w="2689" w:type="dxa"/>
          </w:tcPr>
          <w:p w14:paraId="7264DA26" w14:textId="77777777" w:rsidR="004E2610" w:rsidRPr="00386009" w:rsidRDefault="004E2610" w:rsidP="004E2610">
            <w:pPr>
              <w:spacing w:before="120"/>
              <w:rPr>
                <w:rFonts w:ascii="Arial" w:eastAsia="Calibri" w:hAnsi="Arial" w:cs="Arial"/>
                <w:b/>
                <w:color w:val="000000"/>
                <w:sz w:val="22"/>
                <w:lang w:val="es-ES"/>
              </w:rPr>
            </w:pPr>
          </w:p>
        </w:tc>
        <w:tc>
          <w:tcPr>
            <w:tcW w:w="6237" w:type="dxa"/>
          </w:tcPr>
          <w:p w14:paraId="2211D5D9" w14:textId="77777777" w:rsidR="004E2610" w:rsidRPr="00386009" w:rsidRDefault="004E2610" w:rsidP="004E2610">
            <w:pPr>
              <w:spacing w:before="120"/>
              <w:jc w:val="both"/>
              <w:rPr>
                <w:rFonts w:ascii="Arial" w:eastAsia="Calibri" w:hAnsi="Arial" w:cs="Arial"/>
                <w:color w:val="000000"/>
                <w:sz w:val="22"/>
                <w:lang w:val="es-ES"/>
              </w:rPr>
            </w:pPr>
          </w:p>
        </w:tc>
      </w:tr>
    </w:tbl>
    <w:p w14:paraId="76C5E1FE" w14:textId="5B68250F" w:rsidR="004E2610" w:rsidRPr="00386009" w:rsidRDefault="004E2610" w:rsidP="004E2610">
      <w:pPr>
        <w:rPr>
          <w:rFonts w:ascii="Arial" w:eastAsia="Calibri" w:hAnsi="Arial" w:cs="Arial"/>
          <w:color w:val="000000"/>
          <w:sz w:val="22"/>
          <w:lang w:val="es-ES"/>
        </w:rPr>
      </w:pPr>
      <w:r w:rsidRPr="00386009">
        <w:rPr>
          <w:rFonts w:ascii="Arial" w:eastAsia="Calibri" w:hAnsi="Arial" w:cs="Arial"/>
          <w:color w:val="000000"/>
          <w:sz w:val="22"/>
          <w:lang w:val="es-ES"/>
        </w:rPr>
        <w:t>Estimada señora Pérez:</w:t>
      </w:r>
    </w:p>
    <w:p w14:paraId="207BCC47" w14:textId="77777777" w:rsidR="004E2610" w:rsidRPr="00386009" w:rsidRDefault="004E2610" w:rsidP="004E2610">
      <w:pPr>
        <w:rPr>
          <w:rFonts w:ascii="Arial" w:eastAsia="Calibri" w:hAnsi="Arial" w:cs="Arial"/>
          <w:color w:val="000000"/>
          <w:sz w:val="22"/>
          <w:lang w:val="es-ES"/>
        </w:rPr>
      </w:pPr>
    </w:p>
    <w:p w14:paraId="48589523" w14:textId="364555FE" w:rsidR="004E2610" w:rsidRPr="00386009" w:rsidRDefault="004E2610" w:rsidP="004E2610">
      <w:pPr>
        <w:spacing w:line="276" w:lineRule="auto"/>
        <w:jc w:val="both"/>
        <w:rPr>
          <w:rFonts w:ascii="Arial" w:eastAsia="Calibri" w:hAnsi="Arial" w:cs="Arial"/>
          <w:color w:val="000000"/>
          <w:sz w:val="22"/>
          <w:lang w:val="es-ES"/>
        </w:rPr>
      </w:pPr>
      <w:r w:rsidRPr="00386009">
        <w:rPr>
          <w:rFonts w:ascii="Arial" w:eastAsia="Calibri" w:hAnsi="Arial" w:cs="Arial"/>
          <w:color w:val="000000"/>
          <w:sz w:val="22"/>
          <w:lang w:val="es-ES"/>
        </w:rPr>
        <w:t xml:space="preserve">En ejercicio de la competencia otorgada por los artículos 11, numeral 8º, y 3º, numeral 5º, del Decreto Ley 4170 de 2011, la Agencia Nacional de Contratación Pública − Colombia Compra Eficiente responde su consulta del 1 de junio de 2020. </w:t>
      </w:r>
    </w:p>
    <w:p w14:paraId="095E3549" w14:textId="77777777" w:rsidR="004E2610" w:rsidRPr="00386009" w:rsidRDefault="004E2610" w:rsidP="004E2610">
      <w:pPr>
        <w:spacing w:line="276" w:lineRule="auto"/>
        <w:jc w:val="both"/>
        <w:rPr>
          <w:rFonts w:ascii="Arial" w:eastAsia="Calibri" w:hAnsi="Arial" w:cs="Arial"/>
          <w:color w:val="000000"/>
          <w:sz w:val="22"/>
          <w:lang w:val="es-ES"/>
        </w:rPr>
      </w:pPr>
    </w:p>
    <w:p w14:paraId="7E2EF5A0" w14:textId="77777777" w:rsidR="004E2610" w:rsidRPr="00386009" w:rsidRDefault="004E2610" w:rsidP="004E2610">
      <w:pPr>
        <w:numPr>
          <w:ilvl w:val="0"/>
          <w:numId w:val="6"/>
        </w:numPr>
        <w:tabs>
          <w:tab w:val="left" w:pos="284"/>
        </w:tabs>
        <w:spacing w:line="276" w:lineRule="auto"/>
        <w:ind w:left="0" w:firstLine="0"/>
        <w:contextualSpacing/>
        <w:jc w:val="both"/>
        <w:rPr>
          <w:rFonts w:ascii="Arial" w:eastAsia="Calibri" w:hAnsi="Arial" w:cs="Arial"/>
          <w:b/>
          <w:color w:val="000000"/>
          <w:sz w:val="22"/>
          <w:lang w:val="es-ES"/>
        </w:rPr>
      </w:pPr>
      <w:r w:rsidRPr="00386009">
        <w:rPr>
          <w:rFonts w:ascii="Arial" w:eastAsia="Calibri" w:hAnsi="Arial" w:cs="Arial"/>
          <w:b/>
          <w:color w:val="000000"/>
          <w:sz w:val="22"/>
          <w:lang w:val="es-ES"/>
        </w:rPr>
        <w:t xml:space="preserve">Problemas planteados </w:t>
      </w:r>
    </w:p>
    <w:p w14:paraId="6A91FF99" w14:textId="77777777" w:rsidR="004E2610" w:rsidRPr="00386009" w:rsidRDefault="004E2610" w:rsidP="004E2610">
      <w:pPr>
        <w:tabs>
          <w:tab w:val="left" w:pos="426"/>
        </w:tabs>
        <w:spacing w:line="276" w:lineRule="auto"/>
        <w:jc w:val="both"/>
        <w:rPr>
          <w:rFonts w:ascii="Arial" w:eastAsia="Calibri" w:hAnsi="Arial" w:cs="Arial"/>
          <w:b/>
          <w:color w:val="000000"/>
          <w:sz w:val="22"/>
          <w:lang w:val="es-ES"/>
        </w:rPr>
      </w:pPr>
    </w:p>
    <w:p w14:paraId="6D4728D9" w14:textId="36C18E16" w:rsidR="00FE6B15" w:rsidRPr="00386009" w:rsidRDefault="004E2610" w:rsidP="00FE6B15">
      <w:pPr>
        <w:tabs>
          <w:tab w:val="left" w:pos="426"/>
        </w:tabs>
        <w:spacing w:line="276" w:lineRule="auto"/>
        <w:jc w:val="both"/>
        <w:rPr>
          <w:rFonts w:ascii="Arial" w:eastAsia="Calibri" w:hAnsi="Arial" w:cs="Arial"/>
          <w:color w:val="000000"/>
          <w:sz w:val="22"/>
          <w:lang w:val="es-ES"/>
        </w:rPr>
      </w:pPr>
      <w:r w:rsidRPr="00386009">
        <w:rPr>
          <w:rFonts w:ascii="Arial" w:eastAsia="Calibri" w:hAnsi="Arial" w:cs="Arial"/>
          <w:color w:val="000000"/>
          <w:sz w:val="22"/>
          <w:lang w:val="es-ES"/>
        </w:rPr>
        <w:t xml:space="preserve">Usted realiza las siguientes preguntas: </w:t>
      </w:r>
      <w:bookmarkStart w:id="3" w:name="_Hlk42509642"/>
      <w:r w:rsidRPr="00386009">
        <w:rPr>
          <w:rFonts w:ascii="Arial" w:eastAsia="Calibri" w:hAnsi="Arial" w:cs="Arial"/>
          <w:color w:val="000000"/>
          <w:sz w:val="22"/>
          <w:lang w:val="es-ES"/>
        </w:rPr>
        <w:t>i) «¿</w:t>
      </w:r>
      <w:r w:rsidR="003E7E41" w:rsidRPr="00386009">
        <w:rPr>
          <w:rFonts w:ascii="Arial" w:eastAsia="Calibri" w:hAnsi="Arial" w:cs="Arial"/>
          <w:color w:val="000000"/>
          <w:sz w:val="22"/>
          <w:lang w:val="es-ES"/>
        </w:rPr>
        <w:t xml:space="preserve">La vigencia de la garantía de seriedad debe ser ampliada por el proponente en caso de que los procesos se suspendan? ¿Puede ser esto una causal de rechazo? </w:t>
      </w:r>
      <w:r w:rsidR="00FE6B15" w:rsidRPr="00386009">
        <w:rPr>
          <w:rFonts w:ascii="Arial" w:eastAsia="Calibri" w:hAnsi="Arial" w:cs="Arial"/>
          <w:color w:val="000000"/>
          <w:sz w:val="22"/>
          <w:lang w:val="es-ES"/>
        </w:rPr>
        <w:t>¿</w:t>
      </w:r>
      <w:r w:rsidR="003E7E41" w:rsidRPr="00386009">
        <w:rPr>
          <w:rFonts w:ascii="Arial" w:eastAsia="Calibri" w:hAnsi="Arial" w:cs="Arial"/>
          <w:color w:val="000000"/>
          <w:sz w:val="22"/>
          <w:lang w:val="es-ES"/>
        </w:rPr>
        <w:t>La entidad puede solicitar esa ampliación a modo de subsana</w:t>
      </w:r>
      <w:r w:rsidR="003069DF" w:rsidRPr="00386009">
        <w:rPr>
          <w:rFonts w:ascii="Arial" w:eastAsia="Calibri" w:hAnsi="Arial" w:cs="Arial"/>
          <w:color w:val="000000"/>
          <w:sz w:val="22"/>
          <w:lang w:val="es-ES"/>
        </w:rPr>
        <w:t>ción (sic)?</w:t>
      </w:r>
      <w:r w:rsidRPr="00386009">
        <w:rPr>
          <w:rFonts w:ascii="Arial" w:eastAsia="Calibri" w:hAnsi="Arial" w:cs="Arial"/>
          <w:color w:val="000000"/>
          <w:sz w:val="22"/>
          <w:lang w:val="es-ES"/>
        </w:rPr>
        <w:t>»</w:t>
      </w:r>
      <w:bookmarkEnd w:id="3"/>
      <w:r w:rsidR="003E7E41" w:rsidRPr="00386009">
        <w:rPr>
          <w:rFonts w:ascii="Arial" w:eastAsia="Calibri" w:hAnsi="Arial" w:cs="Arial"/>
          <w:color w:val="000000"/>
          <w:sz w:val="22"/>
          <w:lang w:val="es-ES"/>
        </w:rPr>
        <w:t xml:space="preserve">, ii) «¿Si en los antecedentes de los contadores figura una nota de que el profesional no ha actualizado el registro, será suficiente para que </w:t>
      </w:r>
      <w:r w:rsidR="003E3638" w:rsidRPr="00386009">
        <w:rPr>
          <w:rFonts w:ascii="Arial" w:eastAsia="Calibri" w:hAnsi="Arial" w:cs="Arial"/>
          <w:color w:val="000000"/>
          <w:sz w:val="22"/>
          <w:lang w:val="es-ES"/>
        </w:rPr>
        <w:t>n</w:t>
      </w:r>
      <w:r w:rsidR="003E7E41" w:rsidRPr="00386009">
        <w:rPr>
          <w:rFonts w:ascii="Arial" w:eastAsia="Calibri" w:hAnsi="Arial" w:cs="Arial"/>
          <w:color w:val="000000"/>
          <w:sz w:val="22"/>
          <w:lang w:val="es-ES"/>
        </w:rPr>
        <w:t xml:space="preserve">o sea </w:t>
      </w:r>
      <w:r w:rsidR="00A0528D" w:rsidRPr="00386009">
        <w:rPr>
          <w:rFonts w:ascii="Arial" w:eastAsia="Calibri" w:hAnsi="Arial" w:cs="Arial"/>
          <w:color w:val="000000"/>
          <w:sz w:val="22"/>
          <w:lang w:val="es-ES"/>
        </w:rPr>
        <w:t>válido</w:t>
      </w:r>
      <w:r w:rsidR="003E7E41" w:rsidRPr="00386009">
        <w:rPr>
          <w:rFonts w:ascii="Arial" w:eastAsia="Calibri" w:hAnsi="Arial" w:cs="Arial"/>
          <w:color w:val="000000"/>
          <w:sz w:val="22"/>
          <w:lang w:val="es-ES"/>
        </w:rPr>
        <w:t xml:space="preserve"> el certificado?», iii) «¿Si un proponente presenta un certificado de antecedentes de un contador vencido, y lo subsana con fecha de expedición posterior al cierre, será suficiente para rechazar al oferente?» y, finalmente, iv) « La entidad en la versión de los pliegos tipo V2, establece para la experiencia en construcción de vías terciarias que es válido contratos de: "Construcción, mejoramiento, mantenimiento y rehabilitación", pero para experiencia en mejoramiento de vías terciarias únicamente figura como valida experiencia: "construcción y mejoramiento". Lo anterior no guarda relación con la complejidad de cada una de las actividades, pues tiene mayor complejidad la construcción de una vía terciaria nueva que el mejoramiento, por lo que creemos que existe una incongruencia en la experiencia aceptada para los contratos de construcción de vías terciarias que no es aceptada para los contratos de mejoramiento, por lo que solicitamos respetuosamente a ustedes aclarar».</w:t>
      </w:r>
    </w:p>
    <w:p w14:paraId="17186BAA" w14:textId="77777777" w:rsidR="00FE6B15" w:rsidRPr="00386009" w:rsidRDefault="00FE6B15" w:rsidP="00FE6B15">
      <w:pPr>
        <w:tabs>
          <w:tab w:val="left" w:pos="426"/>
        </w:tabs>
        <w:spacing w:line="276" w:lineRule="auto"/>
        <w:jc w:val="both"/>
        <w:rPr>
          <w:rFonts w:ascii="Arial" w:eastAsia="Calibri" w:hAnsi="Arial" w:cs="Arial"/>
          <w:color w:val="000000"/>
          <w:sz w:val="22"/>
          <w:lang w:val="es-ES"/>
        </w:rPr>
      </w:pPr>
    </w:p>
    <w:p w14:paraId="4BF6FE20" w14:textId="5DF6F834" w:rsidR="004E2610" w:rsidRPr="00386009" w:rsidRDefault="004E2610" w:rsidP="00FE6B15">
      <w:pPr>
        <w:numPr>
          <w:ilvl w:val="0"/>
          <w:numId w:val="6"/>
        </w:numPr>
        <w:tabs>
          <w:tab w:val="left" w:pos="426"/>
        </w:tabs>
        <w:spacing w:before="120" w:after="120" w:line="276" w:lineRule="auto"/>
        <w:ind w:left="284" w:hanging="284"/>
        <w:contextualSpacing/>
        <w:jc w:val="both"/>
        <w:rPr>
          <w:rFonts w:ascii="Arial" w:eastAsia="Calibri" w:hAnsi="Arial" w:cs="Arial"/>
          <w:b/>
          <w:color w:val="000000"/>
          <w:sz w:val="22"/>
          <w:lang w:val="es-ES"/>
        </w:rPr>
      </w:pPr>
      <w:r w:rsidRPr="00386009">
        <w:rPr>
          <w:rFonts w:ascii="Arial" w:eastAsia="Calibri" w:hAnsi="Arial" w:cs="Arial"/>
          <w:b/>
          <w:color w:val="000000"/>
          <w:sz w:val="22"/>
          <w:lang w:val="es-ES"/>
        </w:rPr>
        <w:t>Consideraciones</w:t>
      </w:r>
    </w:p>
    <w:p w14:paraId="38A3CCE0" w14:textId="77777777" w:rsidR="00A77E6F" w:rsidRPr="00386009" w:rsidRDefault="00A77E6F" w:rsidP="00FE6B15">
      <w:pPr>
        <w:tabs>
          <w:tab w:val="left" w:pos="426"/>
        </w:tabs>
        <w:spacing w:before="120" w:after="120" w:line="276" w:lineRule="auto"/>
        <w:contextualSpacing/>
        <w:jc w:val="both"/>
        <w:rPr>
          <w:rFonts w:ascii="Arial" w:eastAsia="Calibri" w:hAnsi="Arial" w:cs="Arial"/>
          <w:b/>
          <w:color w:val="000000"/>
          <w:sz w:val="22"/>
          <w:lang w:val="es-ES"/>
        </w:rPr>
      </w:pPr>
    </w:p>
    <w:p w14:paraId="598A8A25" w14:textId="23CEE46A" w:rsidR="004F4701" w:rsidRPr="00386009" w:rsidRDefault="003E7E41" w:rsidP="00FE6B15">
      <w:pPr>
        <w:spacing w:before="120" w:after="120" w:line="276" w:lineRule="auto"/>
        <w:jc w:val="both"/>
        <w:rPr>
          <w:rFonts w:ascii="Arial" w:eastAsia="Calibri" w:hAnsi="Arial" w:cs="Arial"/>
          <w:color w:val="000000"/>
          <w:sz w:val="22"/>
          <w:lang w:val="es-ES"/>
        </w:rPr>
      </w:pPr>
      <w:r w:rsidRPr="00386009">
        <w:rPr>
          <w:rFonts w:ascii="Arial" w:eastAsia="Calibri" w:hAnsi="Arial" w:cs="Arial"/>
          <w:color w:val="000000"/>
          <w:sz w:val="22"/>
          <w:lang w:val="es-ES"/>
        </w:rPr>
        <w:t>Para desarrollar los problemas planteados, en primer lugar se estudiará en qué consiste la garantía de seriedad de la oferta</w:t>
      </w:r>
      <w:r w:rsidR="00F86590" w:rsidRPr="00386009">
        <w:rPr>
          <w:rFonts w:ascii="Arial" w:eastAsia="Calibri" w:hAnsi="Arial" w:cs="Arial"/>
          <w:color w:val="000000"/>
          <w:sz w:val="22"/>
          <w:lang w:val="es-ES"/>
        </w:rPr>
        <w:t xml:space="preserve"> y si procede su pr</w:t>
      </w:r>
      <w:r w:rsidR="0077308B" w:rsidRPr="00386009">
        <w:rPr>
          <w:rFonts w:ascii="Arial" w:eastAsia="Calibri" w:hAnsi="Arial" w:cs="Arial"/>
          <w:color w:val="000000"/>
          <w:sz w:val="22"/>
          <w:lang w:val="es-ES"/>
        </w:rPr>
        <w:t>ó</w:t>
      </w:r>
      <w:r w:rsidR="00F86590" w:rsidRPr="00386009">
        <w:rPr>
          <w:rFonts w:ascii="Arial" w:eastAsia="Calibri" w:hAnsi="Arial" w:cs="Arial"/>
          <w:color w:val="000000"/>
          <w:sz w:val="22"/>
          <w:lang w:val="es-ES"/>
        </w:rPr>
        <w:t xml:space="preserve">rroga en el evento </w:t>
      </w:r>
      <w:r w:rsidR="0077308B" w:rsidRPr="00386009">
        <w:rPr>
          <w:rFonts w:ascii="Arial" w:eastAsia="Calibri" w:hAnsi="Arial" w:cs="Arial"/>
          <w:color w:val="000000"/>
          <w:sz w:val="22"/>
          <w:lang w:val="es-ES"/>
        </w:rPr>
        <w:t xml:space="preserve">de </w:t>
      </w:r>
      <w:r w:rsidR="00F86590" w:rsidRPr="00386009">
        <w:rPr>
          <w:rFonts w:ascii="Arial" w:eastAsia="Calibri" w:hAnsi="Arial" w:cs="Arial"/>
          <w:color w:val="000000"/>
          <w:sz w:val="22"/>
          <w:lang w:val="es-ES"/>
        </w:rPr>
        <w:t>que se suspenda el proceso de contratación</w:t>
      </w:r>
      <w:r w:rsidR="0077308B" w:rsidRPr="00386009">
        <w:rPr>
          <w:rFonts w:ascii="Arial" w:eastAsia="Calibri" w:hAnsi="Arial" w:cs="Arial"/>
          <w:color w:val="000000"/>
          <w:sz w:val="22"/>
          <w:lang w:val="es-ES"/>
        </w:rPr>
        <w:t>; e</w:t>
      </w:r>
      <w:r w:rsidRPr="00386009">
        <w:rPr>
          <w:rFonts w:ascii="Arial" w:eastAsia="Calibri" w:hAnsi="Arial" w:cs="Arial"/>
          <w:color w:val="000000"/>
          <w:sz w:val="22"/>
          <w:lang w:val="es-ES"/>
        </w:rPr>
        <w:t>n segundo lug</w:t>
      </w:r>
      <w:r w:rsidR="004F4701" w:rsidRPr="00386009">
        <w:rPr>
          <w:rFonts w:ascii="Arial" w:eastAsia="Calibri" w:hAnsi="Arial" w:cs="Arial"/>
          <w:color w:val="000000"/>
          <w:sz w:val="22"/>
          <w:lang w:val="es-ES"/>
        </w:rPr>
        <w:t>ar, se explicará si el certificado de contadores que no esté actualizado es o no v</w:t>
      </w:r>
      <w:r w:rsidR="005353AF" w:rsidRPr="00386009">
        <w:rPr>
          <w:rFonts w:ascii="Arial" w:eastAsia="Calibri" w:hAnsi="Arial" w:cs="Arial"/>
          <w:color w:val="000000"/>
          <w:sz w:val="22"/>
          <w:lang w:val="es-ES"/>
        </w:rPr>
        <w:t>á</w:t>
      </w:r>
      <w:r w:rsidR="004F4701" w:rsidRPr="00386009">
        <w:rPr>
          <w:rFonts w:ascii="Arial" w:eastAsia="Calibri" w:hAnsi="Arial" w:cs="Arial"/>
          <w:color w:val="000000"/>
          <w:sz w:val="22"/>
          <w:lang w:val="es-ES"/>
        </w:rPr>
        <w:t xml:space="preserve">lido </w:t>
      </w:r>
      <w:r w:rsidR="008A4518" w:rsidRPr="00386009">
        <w:rPr>
          <w:rFonts w:ascii="Arial" w:eastAsia="Calibri" w:hAnsi="Arial" w:cs="Arial"/>
          <w:color w:val="000000"/>
          <w:sz w:val="22"/>
          <w:lang w:val="es-ES"/>
        </w:rPr>
        <w:t>en el proceso de contratación</w:t>
      </w:r>
      <w:r w:rsidR="0077308B" w:rsidRPr="00386009">
        <w:rPr>
          <w:rFonts w:ascii="Arial" w:eastAsia="Calibri" w:hAnsi="Arial" w:cs="Arial"/>
          <w:color w:val="000000"/>
          <w:sz w:val="22"/>
          <w:lang w:val="es-ES"/>
        </w:rPr>
        <w:t>; e</w:t>
      </w:r>
      <w:r w:rsidR="008A4518" w:rsidRPr="00386009">
        <w:rPr>
          <w:rFonts w:ascii="Arial" w:eastAsia="Calibri" w:hAnsi="Arial" w:cs="Arial"/>
          <w:color w:val="000000"/>
          <w:sz w:val="22"/>
          <w:lang w:val="es-ES"/>
        </w:rPr>
        <w:t xml:space="preserve">n tercer lugar, se explicará </w:t>
      </w:r>
      <w:r w:rsidR="00396E0D" w:rsidRPr="00386009">
        <w:rPr>
          <w:rFonts w:ascii="Arial" w:eastAsia="Calibri" w:hAnsi="Arial" w:cs="Arial"/>
          <w:color w:val="000000"/>
          <w:sz w:val="22"/>
          <w:lang w:val="es-ES"/>
        </w:rPr>
        <w:t>el alcance relacionado con la subsanabilidad de las ofertas</w:t>
      </w:r>
      <w:r w:rsidR="0077308B" w:rsidRPr="00386009">
        <w:rPr>
          <w:rFonts w:ascii="Arial" w:eastAsia="Calibri" w:hAnsi="Arial" w:cs="Arial"/>
          <w:color w:val="000000"/>
          <w:sz w:val="22"/>
          <w:lang w:val="es-ES"/>
        </w:rPr>
        <w:t>; y f</w:t>
      </w:r>
      <w:r w:rsidR="004F4701" w:rsidRPr="00386009">
        <w:rPr>
          <w:rFonts w:ascii="Arial" w:eastAsia="Calibri" w:hAnsi="Arial" w:cs="Arial"/>
          <w:color w:val="000000"/>
          <w:sz w:val="22"/>
          <w:lang w:val="es-ES"/>
        </w:rPr>
        <w:t xml:space="preserve">inalmente, se estudiará la </w:t>
      </w:r>
      <w:r w:rsidR="0077308B" w:rsidRPr="00386009">
        <w:rPr>
          <w:rFonts w:ascii="Arial" w:eastAsia="Calibri" w:hAnsi="Arial" w:cs="Arial"/>
          <w:color w:val="000000"/>
          <w:sz w:val="22"/>
          <w:lang w:val="es-ES"/>
        </w:rPr>
        <w:t>«</w:t>
      </w:r>
      <w:r w:rsidR="004F4701" w:rsidRPr="00386009">
        <w:rPr>
          <w:rFonts w:ascii="Arial" w:eastAsia="Calibri" w:hAnsi="Arial" w:cs="Arial"/>
          <w:color w:val="000000"/>
          <w:sz w:val="22"/>
          <w:lang w:val="es-ES"/>
        </w:rPr>
        <w:t>Matriz 1</w:t>
      </w:r>
      <w:r w:rsidR="0077308B" w:rsidRPr="00386009">
        <w:rPr>
          <w:rFonts w:ascii="Arial" w:eastAsia="Calibri" w:hAnsi="Arial" w:cs="Arial"/>
          <w:color w:val="000000"/>
          <w:sz w:val="22"/>
          <w:lang w:val="es-ES"/>
        </w:rPr>
        <w:t xml:space="preserve"> –</w:t>
      </w:r>
      <w:r w:rsidR="004F4701" w:rsidRPr="00386009">
        <w:rPr>
          <w:rFonts w:ascii="Arial" w:eastAsia="Calibri" w:hAnsi="Arial" w:cs="Arial"/>
          <w:color w:val="000000"/>
          <w:sz w:val="22"/>
          <w:lang w:val="es-ES"/>
        </w:rPr>
        <w:t xml:space="preserve"> Experiencia</w:t>
      </w:r>
      <w:r w:rsidR="0077308B" w:rsidRPr="00386009">
        <w:rPr>
          <w:rFonts w:ascii="Arial" w:eastAsia="Calibri" w:hAnsi="Arial" w:cs="Arial"/>
          <w:color w:val="000000"/>
          <w:sz w:val="22"/>
          <w:lang w:val="es-ES"/>
        </w:rPr>
        <w:t>»,</w:t>
      </w:r>
      <w:r w:rsidR="004F4701" w:rsidRPr="00386009">
        <w:rPr>
          <w:rFonts w:ascii="Arial" w:eastAsia="Calibri" w:hAnsi="Arial" w:cs="Arial"/>
          <w:color w:val="000000"/>
          <w:sz w:val="22"/>
          <w:lang w:val="es-ES"/>
        </w:rPr>
        <w:t xml:space="preserve"> relacionada con la experiencia aplicable en la construcción y mejoramiento de vías terciarias. </w:t>
      </w:r>
    </w:p>
    <w:p w14:paraId="76429952" w14:textId="52A67EC6" w:rsidR="00107BC1" w:rsidRPr="00386009" w:rsidRDefault="0077308B" w:rsidP="003D2AAA">
      <w:pPr>
        <w:spacing w:after="120" w:line="276" w:lineRule="auto"/>
        <w:ind w:firstLine="709"/>
        <w:jc w:val="both"/>
        <w:rPr>
          <w:rFonts w:ascii="Arial" w:eastAsia="Calibri" w:hAnsi="Arial" w:cs="Arial"/>
          <w:color w:val="000000"/>
          <w:sz w:val="22"/>
          <w:lang w:val="es-ES"/>
        </w:rPr>
      </w:pPr>
      <w:r w:rsidRPr="00386009">
        <w:rPr>
          <w:rFonts w:ascii="Arial" w:eastAsia="Calibri" w:hAnsi="Arial" w:cs="Arial"/>
          <w:color w:val="000000"/>
          <w:sz w:val="22"/>
          <w:lang w:val="es-ES"/>
        </w:rPr>
        <w:t>E</w:t>
      </w:r>
      <w:r w:rsidR="00FE6B15" w:rsidRPr="00386009">
        <w:rPr>
          <w:rFonts w:ascii="Arial" w:eastAsia="Calibri" w:hAnsi="Arial" w:cs="Arial"/>
          <w:color w:val="000000"/>
          <w:sz w:val="22"/>
          <w:lang w:val="es-ES"/>
        </w:rPr>
        <w:t>sta Subdirección expidió el concepto C</w:t>
      </w:r>
      <w:r w:rsidRPr="00386009">
        <w:rPr>
          <w:rFonts w:ascii="Arial" w:eastAsia="Calibri" w:hAnsi="Arial" w:cs="Arial"/>
          <w:color w:val="000000"/>
          <w:sz w:val="22"/>
          <w:lang w:val="es-ES"/>
        </w:rPr>
        <w:t xml:space="preserve"> </w:t>
      </w:r>
      <w:r w:rsidR="0096067A" w:rsidRPr="00386009">
        <w:rPr>
          <w:rFonts w:ascii="Arial" w:eastAsia="Calibri" w:hAnsi="Arial" w:cs="Arial"/>
          <w:color w:val="000000"/>
          <w:sz w:val="22"/>
          <w:lang w:val="es-ES"/>
        </w:rPr>
        <w:t>─</w:t>
      </w:r>
      <w:r w:rsidRPr="00386009">
        <w:rPr>
          <w:rFonts w:ascii="Arial" w:eastAsia="Calibri" w:hAnsi="Arial" w:cs="Arial"/>
          <w:color w:val="000000"/>
          <w:sz w:val="22"/>
          <w:lang w:val="es-ES"/>
        </w:rPr>
        <w:t xml:space="preserve"> </w:t>
      </w:r>
      <w:r w:rsidR="00FE6B15" w:rsidRPr="00386009">
        <w:rPr>
          <w:rFonts w:ascii="Arial" w:eastAsia="Calibri" w:hAnsi="Arial" w:cs="Arial"/>
          <w:color w:val="000000"/>
          <w:sz w:val="22"/>
          <w:lang w:val="es-ES"/>
        </w:rPr>
        <w:t xml:space="preserve">229 del 16 de abril de 2020, donde explicó la vigencia de la seriedad de la oferta. </w:t>
      </w:r>
      <w:r w:rsidR="003E3638" w:rsidRPr="00386009">
        <w:rPr>
          <w:rFonts w:ascii="Arial" w:eastAsia="Calibri" w:hAnsi="Arial" w:cs="Arial"/>
          <w:color w:val="000000"/>
          <w:sz w:val="22"/>
          <w:lang w:val="es-ES"/>
        </w:rPr>
        <w:t>Por su parte, en el concepto C – 393 de 2020 se estudiaron los requisitos para acreditar la capacidad residual en los Documentos Tipo de Licitación Pública de Infraestructura de Transporte, específicamente el relacionado con el certificado de antecedentes disciplinarios de los contadores públicos. A su vez, expidió el concepto CU ─</w:t>
      </w:r>
      <w:r w:rsidR="00DB2904" w:rsidRPr="00386009">
        <w:rPr>
          <w:rFonts w:ascii="Arial" w:eastAsia="Calibri" w:hAnsi="Arial" w:cs="Arial"/>
          <w:color w:val="000000"/>
          <w:sz w:val="22"/>
          <w:lang w:val="es-ES"/>
        </w:rPr>
        <w:t xml:space="preserve"> </w:t>
      </w:r>
      <w:r w:rsidR="003E3638" w:rsidRPr="00386009">
        <w:rPr>
          <w:rFonts w:ascii="Arial" w:eastAsia="Calibri" w:hAnsi="Arial" w:cs="Arial"/>
          <w:color w:val="000000"/>
          <w:sz w:val="22"/>
          <w:lang w:val="es-ES"/>
        </w:rPr>
        <w:t xml:space="preserve">060 de 2020 en respuesta a las consultas con radicado </w:t>
      </w:r>
      <w:r w:rsidR="003E3638" w:rsidRPr="00386009">
        <w:rPr>
          <w:rFonts w:ascii="Arial" w:eastAsia="Calibri" w:hAnsi="Arial" w:cs="Arial"/>
          <w:color w:val="000000"/>
          <w:sz w:val="22"/>
          <w:lang w:val="es-ES"/>
        </w:rPr>
        <w:lastRenderedPageBreak/>
        <w:t>4202012000000282 y 4202012000000283, donde unificó su criterio sobre el alcance de la regla de la subsanabilidad, contenida actualmente en el artículo 5 de la Ley 1150 de 2007.</w:t>
      </w:r>
    </w:p>
    <w:p w14:paraId="5EC0F86C" w14:textId="222181C4" w:rsidR="00FE6B15" w:rsidRPr="00386009" w:rsidRDefault="005A1679" w:rsidP="00AF2288">
      <w:pPr>
        <w:spacing w:line="276" w:lineRule="auto"/>
        <w:ind w:firstLine="709"/>
        <w:jc w:val="both"/>
        <w:rPr>
          <w:rFonts w:ascii="Times New Roman" w:hAnsi="Times New Roman" w:cs="Times New Roman"/>
          <w:szCs w:val="24"/>
          <w:lang w:val="es-ES" w:eastAsia="es-CO"/>
        </w:rPr>
      </w:pPr>
      <w:r w:rsidRPr="00386009">
        <w:rPr>
          <w:rFonts w:ascii="Arial" w:eastAsia="Calibri" w:hAnsi="Arial" w:cs="Arial"/>
          <w:color w:val="000000"/>
          <w:sz w:val="22"/>
          <w:lang w:val="es-ES"/>
        </w:rPr>
        <w:t xml:space="preserve">Finalmente, </w:t>
      </w:r>
      <w:r w:rsidRPr="00386009">
        <w:rPr>
          <w:rFonts w:ascii="Arial" w:hAnsi="Arial" w:cs="Arial"/>
          <w:color w:val="000000" w:themeColor="text1"/>
          <w:sz w:val="22"/>
          <w:lang w:val="es-ES"/>
        </w:rPr>
        <w:t xml:space="preserve">la Agencia Nacional de Contratación Pública </w:t>
      </w:r>
      <w:r w:rsidRPr="00386009">
        <w:rPr>
          <w:rFonts w:ascii="Arial" w:eastAsia="Calibri" w:hAnsi="Arial" w:cs="Arial"/>
          <w:color w:val="000000" w:themeColor="text1"/>
          <w:sz w:val="22"/>
          <w:lang w:val="es-ES"/>
        </w:rPr>
        <w:t>―</w:t>
      </w:r>
      <w:r w:rsidRPr="00386009">
        <w:rPr>
          <w:rFonts w:ascii="Arial" w:hAnsi="Arial" w:cs="Arial"/>
          <w:color w:val="000000" w:themeColor="text1"/>
          <w:sz w:val="22"/>
          <w:lang w:val="es-ES"/>
        </w:rPr>
        <w:t xml:space="preserve"> Colombia Compra Eficiente se ha pronunciado en diferentes conceptos sobre la forma de establecer la experiencia exigible en procesos de contratación de licitación de obra pública de infraestructura de transporte que aplican Documentos Tipo</w:t>
      </w:r>
      <w:r w:rsidRPr="00386009">
        <w:rPr>
          <w:rStyle w:val="Refdenotaalpie"/>
          <w:rFonts w:ascii="Arial" w:hAnsi="Arial" w:cs="Arial"/>
          <w:color w:val="000000" w:themeColor="text1"/>
          <w:sz w:val="22"/>
          <w:lang w:val="es-ES"/>
        </w:rPr>
        <w:footnoteReference w:id="1"/>
      </w:r>
      <w:r w:rsidRPr="00386009">
        <w:rPr>
          <w:rFonts w:ascii="Arial" w:hAnsi="Arial" w:cs="Arial"/>
          <w:color w:val="000000" w:themeColor="text1"/>
          <w:sz w:val="22"/>
          <w:lang w:val="es-ES"/>
        </w:rPr>
        <w:t xml:space="preserve">. En el concepto del 5 de septiembre de 2019, proferido dentro del radicado 2201913000006581, se explicaron los supuestos que deben tener en cuenta las entidades para determinar la experiencia. </w:t>
      </w:r>
      <w:r w:rsidR="00FE6B15" w:rsidRPr="00386009">
        <w:rPr>
          <w:rFonts w:ascii="Arial" w:eastAsia="Calibri" w:hAnsi="Arial" w:cs="Arial"/>
          <w:color w:val="000000"/>
          <w:sz w:val="22"/>
          <w:lang w:val="es-ES"/>
        </w:rPr>
        <w:t xml:space="preserve">Las tesis propuestas en dichos conceptos se exponen a continuación. </w:t>
      </w:r>
    </w:p>
    <w:p w14:paraId="31CF08A6" w14:textId="77777777" w:rsidR="00FE6B15" w:rsidRPr="00386009" w:rsidRDefault="00FE6B15" w:rsidP="00642E5B">
      <w:pPr>
        <w:jc w:val="both"/>
        <w:rPr>
          <w:rFonts w:ascii="Arial" w:eastAsia="Calibri" w:hAnsi="Arial" w:cs="Arial"/>
          <w:color w:val="000000"/>
          <w:sz w:val="22"/>
          <w:lang w:val="es-ES"/>
        </w:rPr>
      </w:pPr>
    </w:p>
    <w:p w14:paraId="3B43C610" w14:textId="3717FD40" w:rsidR="004F4701" w:rsidRPr="00386009" w:rsidRDefault="004F4701" w:rsidP="00AE5A06">
      <w:pPr>
        <w:jc w:val="both"/>
        <w:rPr>
          <w:rFonts w:ascii="Arial" w:eastAsia="Calibri" w:hAnsi="Arial" w:cs="Arial"/>
          <w:b/>
          <w:bCs/>
          <w:color w:val="000000"/>
          <w:sz w:val="22"/>
          <w:lang w:val="es-ES"/>
        </w:rPr>
      </w:pPr>
      <w:bookmarkStart w:id="4" w:name="_Hlk47534048"/>
      <w:r w:rsidRPr="00386009">
        <w:rPr>
          <w:rFonts w:ascii="Arial" w:eastAsia="Calibri" w:hAnsi="Arial" w:cs="Arial"/>
          <w:b/>
          <w:bCs/>
          <w:color w:val="000000"/>
          <w:sz w:val="22"/>
          <w:lang w:val="es-ES"/>
        </w:rPr>
        <w:t xml:space="preserve">2.1 </w:t>
      </w:r>
      <w:r w:rsidR="00BA0D14" w:rsidRPr="00386009">
        <w:rPr>
          <w:rFonts w:ascii="Arial" w:eastAsia="Calibri" w:hAnsi="Arial" w:cs="Arial"/>
          <w:b/>
          <w:bCs/>
          <w:color w:val="000000"/>
          <w:sz w:val="22"/>
          <w:lang w:val="es-ES"/>
        </w:rPr>
        <w:t>G</w:t>
      </w:r>
      <w:r w:rsidR="00FE6B15" w:rsidRPr="00386009">
        <w:rPr>
          <w:rFonts w:ascii="Arial" w:eastAsia="Calibri" w:hAnsi="Arial" w:cs="Arial"/>
          <w:b/>
          <w:bCs/>
          <w:color w:val="000000"/>
          <w:sz w:val="22"/>
          <w:lang w:val="es-ES"/>
        </w:rPr>
        <w:t xml:space="preserve">arantía de seriedad de la oferta </w:t>
      </w:r>
    </w:p>
    <w:p w14:paraId="53A22EC9" w14:textId="77777777" w:rsidR="003E7E41" w:rsidRPr="00386009" w:rsidRDefault="003E7E41" w:rsidP="00022EA0">
      <w:pPr>
        <w:jc w:val="both"/>
        <w:rPr>
          <w:rFonts w:ascii="Arial" w:eastAsia="Calibri" w:hAnsi="Arial" w:cs="Arial"/>
          <w:color w:val="000000"/>
          <w:sz w:val="22"/>
          <w:lang w:val="es-ES"/>
        </w:rPr>
      </w:pPr>
    </w:p>
    <w:p w14:paraId="2FA51F1F" w14:textId="1F096B5E" w:rsidR="00163F17" w:rsidRPr="00386009" w:rsidRDefault="00163F17" w:rsidP="003D2AAA">
      <w:pPr>
        <w:spacing w:after="120" w:line="276" w:lineRule="auto"/>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P</w:t>
      </w:r>
      <w:r w:rsidR="007231AA" w:rsidRPr="00386009">
        <w:rPr>
          <w:rFonts w:ascii="Arial" w:eastAsia="Calibri" w:hAnsi="Arial" w:cs="Arial"/>
          <w:color w:val="000000" w:themeColor="text1"/>
          <w:sz w:val="22"/>
          <w:lang w:val="es-ES"/>
        </w:rPr>
        <w:t>or regla general, p</w:t>
      </w:r>
      <w:r w:rsidRPr="00386009">
        <w:rPr>
          <w:rFonts w:ascii="Arial" w:eastAsia="Calibri" w:hAnsi="Arial" w:cs="Arial"/>
          <w:color w:val="000000" w:themeColor="text1"/>
          <w:sz w:val="22"/>
          <w:lang w:val="es-ES"/>
        </w:rPr>
        <w:t>ara selecci</w:t>
      </w:r>
      <w:r w:rsidR="00F74CA3">
        <w:rPr>
          <w:rFonts w:ascii="Arial" w:eastAsia="Calibri" w:hAnsi="Arial" w:cs="Arial"/>
          <w:color w:val="000000" w:themeColor="text1"/>
          <w:sz w:val="22"/>
          <w:lang w:val="es-ES"/>
        </w:rPr>
        <w:t xml:space="preserve">onar </w:t>
      </w:r>
      <w:r w:rsidR="0077308B" w:rsidRPr="00386009">
        <w:rPr>
          <w:rFonts w:ascii="Arial" w:eastAsia="Calibri" w:hAnsi="Arial" w:cs="Arial"/>
          <w:color w:val="000000" w:themeColor="text1"/>
          <w:sz w:val="22"/>
          <w:lang w:val="es-ES"/>
        </w:rPr>
        <w:t>c</w:t>
      </w:r>
      <w:r w:rsidRPr="00386009">
        <w:rPr>
          <w:rFonts w:ascii="Arial" w:eastAsia="Calibri" w:hAnsi="Arial" w:cs="Arial"/>
          <w:color w:val="000000" w:themeColor="text1"/>
          <w:sz w:val="22"/>
          <w:lang w:val="es-ES"/>
        </w:rPr>
        <w:t>ontratista</w:t>
      </w:r>
      <w:r w:rsidR="0077308B" w:rsidRPr="00386009">
        <w:rPr>
          <w:rFonts w:ascii="Arial" w:eastAsia="Calibri" w:hAnsi="Arial" w:cs="Arial"/>
          <w:color w:val="000000" w:themeColor="text1"/>
          <w:sz w:val="22"/>
          <w:lang w:val="es-ES"/>
        </w:rPr>
        <w:t>s</w:t>
      </w:r>
      <w:r w:rsidRPr="00386009">
        <w:rPr>
          <w:rFonts w:ascii="Arial" w:eastAsia="Calibri" w:hAnsi="Arial" w:cs="Arial"/>
          <w:color w:val="000000" w:themeColor="text1"/>
          <w:sz w:val="22"/>
          <w:lang w:val="es-ES"/>
        </w:rPr>
        <w:t xml:space="preserve"> y </w:t>
      </w:r>
      <w:r w:rsidR="00F74CA3">
        <w:rPr>
          <w:rFonts w:ascii="Arial" w:eastAsia="Calibri" w:hAnsi="Arial" w:cs="Arial"/>
          <w:color w:val="000000" w:themeColor="text1"/>
          <w:sz w:val="22"/>
          <w:lang w:val="es-ES"/>
        </w:rPr>
        <w:t>para celebrar contratos</w:t>
      </w:r>
      <w:r w:rsidRPr="00386009">
        <w:rPr>
          <w:rFonts w:ascii="Arial" w:eastAsia="Calibri" w:hAnsi="Arial" w:cs="Arial"/>
          <w:color w:val="000000" w:themeColor="text1"/>
          <w:sz w:val="22"/>
          <w:lang w:val="es-ES"/>
        </w:rPr>
        <w:t xml:space="preserve"> </w:t>
      </w:r>
      <w:r w:rsidR="00F74CA3">
        <w:rPr>
          <w:rFonts w:ascii="Arial" w:eastAsia="Calibri" w:hAnsi="Arial" w:cs="Arial"/>
          <w:color w:val="000000" w:themeColor="text1"/>
          <w:sz w:val="22"/>
          <w:lang w:val="es-ES"/>
        </w:rPr>
        <w:t>se</w:t>
      </w:r>
      <w:r w:rsidRPr="00386009">
        <w:rPr>
          <w:rFonts w:ascii="Arial" w:eastAsia="Calibri" w:hAnsi="Arial" w:cs="Arial"/>
          <w:color w:val="000000" w:themeColor="text1"/>
          <w:sz w:val="22"/>
          <w:lang w:val="es-ES"/>
        </w:rPr>
        <w:t xml:space="preserve"> requiere la constitución de garantías. Mientras las primeras implican una caución provisional que avala la propuesta y </w:t>
      </w:r>
      <w:r w:rsidR="00FC3F2D">
        <w:rPr>
          <w:rFonts w:ascii="Arial" w:eastAsia="Calibri" w:hAnsi="Arial" w:cs="Arial"/>
          <w:color w:val="000000" w:themeColor="text1"/>
          <w:sz w:val="22"/>
          <w:lang w:val="es-ES"/>
        </w:rPr>
        <w:t>es</w:t>
      </w:r>
      <w:r w:rsidRPr="00386009">
        <w:rPr>
          <w:rFonts w:ascii="Arial" w:eastAsia="Calibri" w:hAnsi="Arial" w:cs="Arial"/>
          <w:color w:val="000000" w:themeColor="text1"/>
          <w:sz w:val="22"/>
          <w:lang w:val="es-ES"/>
        </w:rPr>
        <w:t xml:space="preserve"> una garantía precontractual</w:t>
      </w:r>
      <w:r w:rsidR="0077308B" w:rsidRPr="00386009">
        <w:rPr>
          <w:rFonts w:ascii="Arial" w:eastAsia="Calibri" w:hAnsi="Arial" w:cs="Arial"/>
          <w:color w:val="000000" w:themeColor="text1"/>
          <w:sz w:val="22"/>
          <w:lang w:val="es-ES"/>
        </w:rPr>
        <w:t xml:space="preserve"> –y parcialmente contractual–</w:t>
      </w:r>
      <w:r w:rsidRPr="00386009">
        <w:rPr>
          <w:rFonts w:ascii="Arial" w:eastAsia="Calibri" w:hAnsi="Arial" w:cs="Arial"/>
          <w:color w:val="000000" w:themeColor="text1"/>
          <w:sz w:val="22"/>
          <w:lang w:val="es-ES"/>
        </w:rPr>
        <w:t xml:space="preserve"> destinada a asegurar la suscripción del acuerdo, </w:t>
      </w:r>
      <w:r w:rsidR="0077308B" w:rsidRPr="00386009">
        <w:rPr>
          <w:rFonts w:ascii="Arial" w:eastAsia="Calibri" w:hAnsi="Arial" w:cs="Arial"/>
          <w:color w:val="000000" w:themeColor="text1"/>
          <w:sz w:val="22"/>
          <w:lang w:val="es-ES"/>
        </w:rPr>
        <w:t>entre otras obligaciones</w:t>
      </w:r>
      <w:r w:rsidR="00F74CA3">
        <w:rPr>
          <w:rFonts w:ascii="Arial" w:eastAsia="Calibri" w:hAnsi="Arial" w:cs="Arial"/>
          <w:color w:val="000000" w:themeColor="text1"/>
          <w:sz w:val="22"/>
          <w:lang w:val="es-ES"/>
        </w:rPr>
        <w:t>;</w:t>
      </w:r>
      <w:r w:rsidR="0077308B" w:rsidRPr="00386009">
        <w:rPr>
          <w:rFonts w:ascii="Arial" w:eastAsia="Calibri" w:hAnsi="Arial" w:cs="Arial"/>
          <w:color w:val="000000" w:themeColor="text1"/>
          <w:sz w:val="22"/>
          <w:lang w:val="es-ES"/>
        </w:rPr>
        <w:t xml:space="preserve"> </w:t>
      </w:r>
      <w:r w:rsidRPr="00386009">
        <w:rPr>
          <w:rFonts w:ascii="Arial" w:eastAsia="Calibri" w:hAnsi="Arial" w:cs="Arial"/>
          <w:color w:val="000000" w:themeColor="text1"/>
          <w:sz w:val="22"/>
          <w:lang w:val="es-ES"/>
        </w:rPr>
        <w:t>las segundas son un mecanismo de cobertura del riesgo derivado del incumplimiento de las obligaciones</w:t>
      </w:r>
      <w:r w:rsidR="00F74CA3">
        <w:rPr>
          <w:rFonts w:ascii="Arial" w:eastAsia="Calibri" w:hAnsi="Arial" w:cs="Arial"/>
          <w:color w:val="000000" w:themeColor="text1"/>
          <w:sz w:val="22"/>
          <w:lang w:val="es-ES"/>
        </w:rPr>
        <w:t xml:space="preserve"> del contrato</w:t>
      </w:r>
      <w:r w:rsidRPr="00386009">
        <w:rPr>
          <w:rFonts w:ascii="Arial" w:eastAsia="Calibri" w:hAnsi="Arial" w:cs="Arial"/>
          <w:color w:val="000000" w:themeColor="text1"/>
          <w:sz w:val="22"/>
          <w:lang w:val="es-ES"/>
        </w:rPr>
        <w:t xml:space="preserve">. Desde esta perspectiva, </w:t>
      </w:r>
      <w:r w:rsidR="00FC3F2D">
        <w:rPr>
          <w:rFonts w:ascii="Arial" w:eastAsia="Calibri" w:hAnsi="Arial" w:cs="Arial"/>
          <w:color w:val="000000" w:themeColor="text1"/>
          <w:sz w:val="22"/>
          <w:lang w:val="es-ES"/>
        </w:rPr>
        <w:t>ambas constituyen</w:t>
      </w:r>
      <w:r w:rsidRPr="00386009">
        <w:rPr>
          <w:rFonts w:ascii="Arial" w:eastAsia="Calibri" w:hAnsi="Arial" w:cs="Arial"/>
          <w:color w:val="000000" w:themeColor="text1"/>
          <w:sz w:val="22"/>
          <w:lang w:val="es-ES"/>
        </w:rPr>
        <w:t xml:space="preserve"> una obligación de seguridad, es decir, aquella donde el interés del acreedor no consiste en una utilidad específica y tangible, sino en la tranquilidad frente a ciertos riesgos por la cobertura de sus consecuencias nocivas.</w:t>
      </w:r>
    </w:p>
    <w:p w14:paraId="12C39117" w14:textId="410A22D0" w:rsidR="00AE5A06" w:rsidRPr="00386009" w:rsidRDefault="009B36BB" w:rsidP="003D2AAA">
      <w:pPr>
        <w:spacing w:line="276" w:lineRule="auto"/>
        <w:ind w:firstLine="708"/>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Los artículos 2.2.1.2.3.1.6 y 2.2.1.2.3.1.9 del Decreto 1082 de 2015</w:t>
      </w:r>
      <w:r w:rsidR="00AE5A06" w:rsidRPr="00386009">
        <w:rPr>
          <w:rFonts w:ascii="Arial" w:eastAsia="Calibri" w:hAnsi="Arial" w:cs="Arial"/>
          <w:color w:val="000000" w:themeColor="text1"/>
          <w:sz w:val="22"/>
          <w:lang w:val="es-ES"/>
        </w:rPr>
        <w:t xml:space="preserve"> establece</w:t>
      </w:r>
      <w:r w:rsidRPr="00386009">
        <w:rPr>
          <w:rFonts w:ascii="Arial" w:eastAsia="Calibri" w:hAnsi="Arial" w:cs="Arial"/>
          <w:color w:val="000000" w:themeColor="text1"/>
          <w:sz w:val="22"/>
          <w:lang w:val="es-ES"/>
        </w:rPr>
        <w:t>n</w:t>
      </w:r>
      <w:r w:rsidR="00AE5A06" w:rsidRPr="00386009">
        <w:rPr>
          <w:rFonts w:ascii="Arial" w:eastAsia="Calibri" w:hAnsi="Arial" w:cs="Arial"/>
          <w:color w:val="000000" w:themeColor="text1"/>
          <w:sz w:val="22"/>
          <w:lang w:val="es-ES"/>
        </w:rPr>
        <w:t xml:space="preserve"> las condiciones que debe cumplir la garantía de seriedad de la oferta</w:t>
      </w:r>
      <w:r w:rsidR="00AE5A06" w:rsidRPr="00386009">
        <w:rPr>
          <w:rStyle w:val="Refdenotaalpie"/>
          <w:rFonts w:ascii="Arial" w:eastAsia="Calibri" w:hAnsi="Arial" w:cs="Arial"/>
          <w:color w:val="000000" w:themeColor="text1"/>
          <w:sz w:val="22"/>
          <w:lang w:val="es-ES"/>
        </w:rPr>
        <w:footnoteReference w:id="2"/>
      </w:r>
      <w:r w:rsidR="00AE5A06" w:rsidRPr="00386009">
        <w:rPr>
          <w:rFonts w:ascii="Arial" w:eastAsia="Calibri" w:hAnsi="Arial" w:cs="Arial"/>
          <w:color w:val="000000" w:themeColor="text1"/>
          <w:sz w:val="22"/>
          <w:lang w:val="es-ES"/>
        </w:rPr>
        <w:t xml:space="preserve">. Esta puede otorgarse </w:t>
      </w:r>
      <w:r w:rsidR="00AE5A06" w:rsidRPr="00386009">
        <w:rPr>
          <w:rFonts w:ascii="Arial" w:eastAsia="Calibri" w:hAnsi="Arial" w:cs="Arial"/>
          <w:color w:val="000000" w:themeColor="text1"/>
          <w:sz w:val="22"/>
          <w:lang w:val="es-ES"/>
        </w:rPr>
        <w:lastRenderedPageBreak/>
        <w:t xml:space="preserve">a través de: i) </w:t>
      </w:r>
      <w:r w:rsidR="00A31ED1">
        <w:rPr>
          <w:rFonts w:ascii="Arial" w:eastAsia="Calibri" w:hAnsi="Arial" w:cs="Arial"/>
          <w:color w:val="000000" w:themeColor="text1"/>
          <w:sz w:val="22"/>
          <w:lang w:val="es-ES"/>
        </w:rPr>
        <w:t xml:space="preserve">un </w:t>
      </w:r>
      <w:r w:rsidR="00AE5A06" w:rsidRPr="00386009">
        <w:rPr>
          <w:rFonts w:ascii="Arial" w:eastAsia="Calibri" w:hAnsi="Arial" w:cs="Arial"/>
          <w:color w:val="000000" w:themeColor="text1"/>
          <w:sz w:val="22"/>
          <w:lang w:val="es-ES"/>
        </w:rPr>
        <w:t xml:space="preserve">contrato de seguro contenido en una póliza, ii) </w:t>
      </w:r>
      <w:r w:rsidR="00A31ED1">
        <w:rPr>
          <w:rFonts w:ascii="Arial" w:eastAsia="Calibri" w:hAnsi="Arial" w:cs="Arial"/>
          <w:color w:val="000000" w:themeColor="text1"/>
          <w:sz w:val="22"/>
          <w:lang w:val="es-ES"/>
        </w:rPr>
        <w:t xml:space="preserve">la constitución de un </w:t>
      </w:r>
      <w:r w:rsidR="00AE5A06" w:rsidRPr="00386009">
        <w:rPr>
          <w:rFonts w:ascii="Arial" w:eastAsia="Calibri" w:hAnsi="Arial" w:cs="Arial"/>
          <w:color w:val="000000" w:themeColor="text1"/>
          <w:sz w:val="22"/>
          <w:lang w:val="es-ES"/>
        </w:rPr>
        <w:t xml:space="preserve">patrimonio autónomo, o iii) </w:t>
      </w:r>
      <w:r w:rsidR="00A31ED1">
        <w:rPr>
          <w:rFonts w:ascii="Arial" w:eastAsia="Calibri" w:hAnsi="Arial" w:cs="Arial"/>
          <w:color w:val="000000" w:themeColor="text1"/>
          <w:sz w:val="22"/>
          <w:lang w:val="es-ES"/>
        </w:rPr>
        <w:t xml:space="preserve">una </w:t>
      </w:r>
      <w:r w:rsidR="00AE5A06" w:rsidRPr="00386009">
        <w:rPr>
          <w:rFonts w:ascii="Arial" w:eastAsia="Calibri" w:hAnsi="Arial" w:cs="Arial"/>
          <w:color w:val="000000" w:themeColor="text1"/>
          <w:sz w:val="22"/>
          <w:lang w:val="es-ES"/>
        </w:rPr>
        <w:t>garantía bancaria. Allí se indica que el proponente debe presentar una garantía que cumpla con los parámetros, condiciones y requisitos señalados en ese numeral</w:t>
      </w:r>
      <w:r w:rsidR="00B7148B" w:rsidRPr="00386009">
        <w:rPr>
          <w:rFonts w:ascii="Arial" w:eastAsia="Calibri" w:hAnsi="Arial" w:cs="Arial"/>
          <w:color w:val="000000" w:themeColor="text1"/>
          <w:sz w:val="22"/>
          <w:lang w:val="es-ES"/>
        </w:rPr>
        <w:t>,</w:t>
      </w:r>
      <w:r w:rsidR="00AE5A06" w:rsidRPr="00386009">
        <w:rPr>
          <w:rFonts w:ascii="Arial" w:eastAsia="Calibri" w:hAnsi="Arial" w:cs="Arial"/>
          <w:color w:val="000000" w:themeColor="text1"/>
          <w:sz w:val="22"/>
          <w:lang w:val="es-ES"/>
        </w:rPr>
        <w:t xml:space="preserve"> y no</w:t>
      </w:r>
      <w:r w:rsidR="00B7148B" w:rsidRPr="00386009">
        <w:rPr>
          <w:rFonts w:ascii="Arial" w:eastAsia="Calibri" w:hAnsi="Arial" w:cs="Arial"/>
          <w:color w:val="000000" w:themeColor="text1"/>
          <w:sz w:val="22"/>
          <w:lang w:val="es-ES"/>
        </w:rPr>
        <w:t xml:space="preserve"> requiere necesariamente qu</w:t>
      </w:r>
      <w:r w:rsidR="00AE5A06" w:rsidRPr="00386009">
        <w:rPr>
          <w:rFonts w:ascii="Arial" w:eastAsia="Calibri" w:hAnsi="Arial" w:cs="Arial"/>
          <w:color w:val="000000" w:themeColor="text1"/>
          <w:sz w:val="22"/>
          <w:lang w:val="es-ES"/>
        </w:rPr>
        <w:t>e se aporten documentos adicionales</w:t>
      </w:r>
      <w:r w:rsidR="00A31ED1">
        <w:rPr>
          <w:rFonts w:ascii="Arial" w:eastAsia="Calibri" w:hAnsi="Arial" w:cs="Arial"/>
          <w:color w:val="000000" w:themeColor="text1"/>
          <w:sz w:val="22"/>
          <w:lang w:val="es-ES"/>
        </w:rPr>
        <w:t>,</w:t>
      </w:r>
      <w:r w:rsidR="00AE5A06" w:rsidRPr="00386009">
        <w:rPr>
          <w:rFonts w:ascii="Arial" w:eastAsia="Calibri" w:hAnsi="Arial" w:cs="Arial"/>
          <w:color w:val="000000" w:themeColor="text1"/>
          <w:sz w:val="22"/>
          <w:lang w:val="es-ES"/>
        </w:rPr>
        <w:t xml:space="preserve"> </w:t>
      </w:r>
      <w:r w:rsidR="00A31ED1">
        <w:rPr>
          <w:rFonts w:ascii="Arial" w:eastAsia="Calibri" w:hAnsi="Arial" w:cs="Arial"/>
          <w:color w:val="000000" w:themeColor="text1"/>
          <w:sz w:val="22"/>
          <w:lang w:val="es-ES"/>
        </w:rPr>
        <w:t>concretamente</w:t>
      </w:r>
      <w:r w:rsidR="00AE5A06" w:rsidRPr="00386009">
        <w:rPr>
          <w:rFonts w:ascii="Arial" w:eastAsia="Calibri" w:hAnsi="Arial" w:cs="Arial"/>
          <w:color w:val="000000" w:themeColor="text1"/>
          <w:sz w:val="22"/>
          <w:lang w:val="es-ES"/>
        </w:rPr>
        <w:t xml:space="preserve"> el recibo de pago de la prima</w:t>
      </w:r>
      <w:r w:rsidR="00B7148B" w:rsidRPr="00386009">
        <w:rPr>
          <w:rFonts w:ascii="Arial" w:eastAsia="Calibri" w:hAnsi="Arial" w:cs="Arial"/>
          <w:color w:val="000000" w:themeColor="text1"/>
          <w:sz w:val="22"/>
          <w:lang w:val="es-ES"/>
        </w:rPr>
        <w:t xml:space="preserve">, </w:t>
      </w:r>
      <w:r w:rsidR="00AE5A06" w:rsidRPr="00386009">
        <w:rPr>
          <w:rFonts w:ascii="Arial" w:eastAsia="Calibri" w:hAnsi="Arial" w:cs="Arial"/>
          <w:color w:val="000000" w:themeColor="text1"/>
          <w:sz w:val="22"/>
          <w:lang w:val="es-ES"/>
        </w:rPr>
        <w:t>por</w:t>
      </w:r>
      <w:r w:rsidR="00B7148B" w:rsidRPr="00386009">
        <w:rPr>
          <w:rFonts w:ascii="Arial" w:eastAsia="Calibri" w:hAnsi="Arial" w:cs="Arial"/>
          <w:color w:val="000000" w:themeColor="text1"/>
          <w:sz w:val="22"/>
          <w:lang w:val="es-ES"/>
        </w:rPr>
        <w:t xml:space="preserve">que </w:t>
      </w:r>
      <w:r w:rsidR="00AE5A06" w:rsidRPr="00386009">
        <w:rPr>
          <w:rFonts w:ascii="Arial" w:eastAsia="Calibri" w:hAnsi="Arial" w:cs="Arial"/>
          <w:color w:val="000000" w:themeColor="text1"/>
          <w:sz w:val="22"/>
          <w:lang w:val="es-ES"/>
        </w:rPr>
        <w:t>el artículo 7 de la Ley 1150 de 2007 establece que «[…] tratándose de pólizas, las mismas no expirarán por falta de pago de la prima o por revocatoria unilateral […]». Esta norma excepci</w:t>
      </w:r>
      <w:r w:rsidR="00B7148B" w:rsidRPr="00386009">
        <w:rPr>
          <w:rFonts w:ascii="Arial" w:eastAsia="Calibri" w:hAnsi="Arial" w:cs="Arial"/>
          <w:color w:val="000000" w:themeColor="text1"/>
          <w:sz w:val="22"/>
          <w:lang w:val="es-ES"/>
        </w:rPr>
        <w:t>ona</w:t>
      </w:r>
      <w:r w:rsidR="00AE5A06" w:rsidRPr="00386009">
        <w:rPr>
          <w:rFonts w:ascii="Arial" w:eastAsia="Calibri" w:hAnsi="Arial" w:cs="Arial"/>
          <w:color w:val="000000" w:themeColor="text1"/>
          <w:sz w:val="22"/>
          <w:lang w:val="es-ES"/>
        </w:rPr>
        <w:t xml:space="preserve"> la terminación automática del contrato de seguro por falta de pago</w:t>
      </w:r>
      <w:r w:rsidR="00B7148B" w:rsidRPr="00386009">
        <w:rPr>
          <w:rFonts w:ascii="Arial" w:eastAsia="Calibri" w:hAnsi="Arial" w:cs="Arial"/>
          <w:color w:val="000000" w:themeColor="text1"/>
          <w:sz w:val="22"/>
          <w:lang w:val="es-ES"/>
        </w:rPr>
        <w:t xml:space="preserve">, </w:t>
      </w:r>
      <w:r w:rsidR="00AE5A06" w:rsidRPr="00386009">
        <w:rPr>
          <w:rFonts w:ascii="Arial" w:eastAsia="Calibri" w:hAnsi="Arial" w:cs="Arial"/>
          <w:color w:val="000000" w:themeColor="text1"/>
          <w:sz w:val="22"/>
          <w:lang w:val="es-ES"/>
        </w:rPr>
        <w:t>prevista en el artículo 1068 del Código de Comercio</w:t>
      </w:r>
      <w:r w:rsidR="00AE5A06" w:rsidRPr="00386009">
        <w:rPr>
          <w:rStyle w:val="Refdenotaalpie"/>
          <w:rFonts w:ascii="Arial" w:eastAsia="Calibri" w:hAnsi="Arial" w:cs="Arial"/>
          <w:color w:val="000000" w:themeColor="text1"/>
          <w:sz w:val="22"/>
          <w:lang w:val="es-ES"/>
        </w:rPr>
        <w:footnoteReference w:id="3"/>
      </w:r>
      <w:r w:rsidR="00AE5A06" w:rsidRPr="00386009">
        <w:rPr>
          <w:rFonts w:ascii="Arial" w:eastAsia="Calibri" w:hAnsi="Arial" w:cs="Arial"/>
          <w:color w:val="000000" w:themeColor="text1"/>
          <w:sz w:val="22"/>
          <w:lang w:val="es-ES"/>
        </w:rPr>
        <w:t>.</w:t>
      </w:r>
    </w:p>
    <w:p w14:paraId="21980D43" w14:textId="41D9DE16" w:rsidR="00AE5A06" w:rsidRPr="00386009" w:rsidRDefault="00AE5A06" w:rsidP="00230B6D">
      <w:pPr>
        <w:spacing w:before="120" w:line="276" w:lineRule="auto"/>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ab/>
      </w:r>
      <w:bookmarkStart w:id="8" w:name="_Hlk47893233"/>
      <w:r w:rsidRPr="00386009">
        <w:rPr>
          <w:rFonts w:ascii="Arial" w:eastAsia="Calibri" w:hAnsi="Arial" w:cs="Arial"/>
          <w:color w:val="000000" w:themeColor="text1"/>
          <w:sz w:val="22"/>
          <w:lang w:val="es-ES"/>
        </w:rPr>
        <w:t xml:space="preserve">Esta garantía </w:t>
      </w:r>
      <w:r w:rsidR="001541DB" w:rsidRPr="00386009">
        <w:rPr>
          <w:rFonts w:ascii="Arial" w:eastAsia="Calibri" w:hAnsi="Arial" w:cs="Arial"/>
          <w:color w:val="000000" w:themeColor="text1"/>
          <w:sz w:val="22"/>
          <w:lang w:val="es-ES"/>
        </w:rPr>
        <w:t xml:space="preserve">respalda al principio de </w:t>
      </w:r>
      <w:r w:rsidRPr="00386009">
        <w:rPr>
          <w:rFonts w:ascii="Arial" w:eastAsia="Calibri" w:hAnsi="Arial" w:cs="Arial"/>
          <w:color w:val="000000" w:themeColor="text1"/>
          <w:sz w:val="22"/>
          <w:lang w:val="es-ES"/>
        </w:rPr>
        <w:t xml:space="preserve">irrevocabilidad de la oferta, caso en el cual los proponentes que </w:t>
      </w:r>
      <w:r w:rsidR="001541DB" w:rsidRPr="00386009">
        <w:rPr>
          <w:rFonts w:ascii="Arial" w:eastAsia="Calibri" w:hAnsi="Arial" w:cs="Arial"/>
          <w:color w:val="000000" w:themeColor="text1"/>
          <w:sz w:val="22"/>
          <w:lang w:val="es-ES"/>
        </w:rPr>
        <w:t>pierdan</w:t>
      </w:r>
      <w:r w:rsidRPr="00386009">
        <w:rPr>
          <w:rFonts w:ascii="Arial" w:eastAsia="Calibri" w:hAnsi="Arial" w:cs="Arial"/>
          <w:color w:val="000000" w:themeColor="text1"/>
          <w:sz w:val="22"/>
          <w:lang w:val="es-ES"/>
        </w:rPr>
        <w:t xml:space="preserve"> interés en la adjudicación resarcir</w:t>
      </w:r>
      <w:r w:rsidR="0088040C">
        <w:rPr>
          <w:rFonts w:ascii="Arial" w:eastAsia="Calibri" w:hAnsi="Arial" w:cs="Arial"/>
          <w:color w:val="000000" w:themeColor="text1"/>
          <w:sz w:val="22"/>
          <w:lang w:val="es-ES"/>
        </w:rPr>
        <w:t>án</w:t>
      </w:r>
      <w:r w:rsidRPr="00386009">
        <w:rPr>
          <w:rFonts w:ascii="Arial" w:eastAsia="Calibri" w:hAnsi="Arial" w:cs="Arial"/>
          <w:color w:val="000000" w:themeColor="text1"/>
          <w:sz w:val="22"/>
          <w:lang w:val="es-ES"/>
        </w:rPr>
        <w:t xml:space="preserve"> los perjuicios causados por su retiro del proceso de selección. Naturalmente, </w:t>
      </w:r>
      <w:r w:rsidR="0088040C">
        <w:rPr>
          <w:rFonts w:ascii="Arial" w:eastAsia="Calibri" w:hAnsi="Arial" w:cs="Arial"/>
          <w:color w:val="000000" w:themeColor="text1"/>
          <w:sz w:val="22"/>
          <w:lang w:val="es-ES"/>
        </w:rPr>
        <w:t>esta</w:t>
      </w:r>
      <w:r w:rsidR="00CD5120" w:rsidRPr="00386009">
        <w:rPr>
          <w:rFonts w:ascii="Arial" w:eastAsia="Calibri" w:hAnsi="Arial" w:cs="Arial"/>
          <w:color w:val="000000" w:themeColor="text1"/>
          <w:sz w:val="22"/>
          <w:lang w:val="es-ES"/>
        </w:rPr>
        <w:t xml:space="preserve"> garantía </w:t>
      </w:r>
      <w:r w:rsidRPr="00386009">
        <w:rPr>
          <w:rFonts w:ascii="Arial" w:eastAsia="Calibri" w:hAnsi="Arial" w:cs="Arial"/>
          <w:color w:val="000000" w:themeColor="text1"/>
          <w:sz w:val="22"/>
          <w:lang w:val="es-ES"/>
        </w:rPr>
        <w:t>solo la constituyen quienes presenten oferta</w:t>
      </w:r>
      <w:r w:rsidR="001541DB" w:rsidRPr="00386009">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motivo por el cual sus efectos no se extienden a personas ajenas a la actividad </w:t>
      </w:r>
      <w:r w:rsidR="001541DB" w:rsidRPr="00386009">
        <w:rPr>
          <w:rFonts w:ascii="Arial" w:eastAsia="Calibri" w:hAnsi="Arial" w:cs="Arial"/>
          <w:color w:val="000000" w:themeColor="text1"/>
          <w:sz w:val="22"/>
          <w:lang w:val="es-ES"/>
        </w:rPr>
        <w:t>pre</w:t>
      </w:r>
      <w:r w:rsidRPr="00386009">
        <w:rPr>
          <w:rFonts w:ascii="Arial" w:eastAsia="Calibri" w:hAnsi="Arial" w:cs="Arial"/>
          <w:color w:val="000000" w:themeColor="text1"/>
          <w:sz w:val="22"/>
          <w:lang w:val="es-ES"/>
        </w:rPr>
        <w:t>contractual</w:t>
      </w:r>
      <w:r w:rsidR="001541DB" w:rsidRPr="00386009">
        <w:rPr>
          <w:rFonts w:ascii="Arial" w:eastAsia="Calibri" w:hAnsi="Arial" w:cs="Arial"/>
          <w:color w:val="000000" w:themeColor="text1"/>
          <w:sz w:val="22"/>
          <w:lang w:val="es-ES"/>
        </w:rPr>
        <w:t xml:space="preserve">; </w:t>
      </w:r>
      <w:r w:rsidRPr="00386009">
        <w:rPr>
          <w:rFonts w:ascii="Arial" w:eastAsia="Calibri" w:hAnsi="Arial" w:cs="Arial"/>
          <w:color w:val="000000" w:themeColor="text1"/>
          <w:sz w:val="22"/>
          <w:lang w:val="es-ES"/>
        </w:rPr>
        <w:t>sin perjuicio de que la póliza sea un mecanismo conminatorio, en la medida</w:t>
      </w:r>
      <w:r w:rsidR="001541DB" w:rsidRPr="00386009">
        <w:rPr>
          <w:rFonts w:ascii="Arial" w:eastAsia="Calibri" w:hAnsi="Arial" w:cs="Arial"/>
          <w:color w:val="000000" w:themeColor="text1"/>
          <w:sz w:val="22"/>
          <w:lang w:val="es-ES"/>
        </w:rPr>
        <w:t xml:space="preserve"> en</w:t>
      </w:r>
      <w:r w:rsidRPr="00386009">
        <w:rPr>
          <w:rFonts w:ascii="Arial" w:eastAsia="Calibri" w:hAnsi="Arial" w:cs="Arial"/>
          <w:color w:val="000000" w:themeColor="text1"/>
          <w:sz w:val="22"/>
          <w:lang w:val="es-ES"/>
        </w:rPr>
        <w:t xml:space="preserve"> que obliga a celebra</w:t>
      </w:r>
      <w:r w:rsidR="0088040C">
        <w:rPr>
          <w:rFonts w:ascii="Arial" w:eastAsia="Calibri" w:hAnsi="Arial" w:cs="Arial"/>
          <w:color w:val="000000" w:themeColor="text1"/>
          <w:sz w:val="22"/>
          <w:lang w:val="es-ES"/>
        </w:rPr>
        <w:t>r e</w:t>
      </w:r>
      <w:r w:rsidRPr="00386009">
        <w:rPr>
          <w:rFonts w:ascii="Arial" w:eastAsia="Calibri" w:hAnsi="Arial" w:cs="Arial"/>
          <w:color w:val="000000" w:themeColor="text1"/>
          <w:sz w:val="22"/>
          <w:lang w:val="es-ES"/>
        </w:rPr>
        <w:t xml:space="preserve">l contrato, so pena de hacerla efectiva. De esta manera, la exigencia permite que solo se presenten personas con la capacidad técnica y financiera suficiente para ejecutarlo en caso de adjudicación, </w:t>
      </w:r>
      <w:r w:rsidR="001541DB" w:rsidRPr="00386009">
        <w:rPr>
          <w:rFonts w:ascii="Arial" w:eastAsia="Calibri" w:hAnsi="Arial" w:cs="Arial"/>
          <w:color w:val="000000" w:themeColor="text1"/>
          <w:sz w:val="22"/>
          <w:lang w:val="es-ES"/>
        </w:rPr>
        <w:t>desestimulando</w:t>
      </w:r>
      <w:r w:rsidRPr="00386009">
        <w:rPr>
          <w:rFonts w:ascii="Arial" w:eastAsia="Calibri" w:hAnsi="Arial" w:cs="Arial"/>
          <w:color w:val="000000" w:themeColor="text1"/>
          <w:sz w:val="22"/>
          <w:lang w:val="es-ES"/>
        </w:rPr>
        <w:t xml:space="preserve"> la presentación de ofertas </w:t>
      </w:r>
      <w:r w:rsidR="0088040C">
        <w:rPr>
          <w:rFonts w:ascii="Arial" w:eastAsia="Calibri" w:hAnsi="Arial" w:cs="Arial"/>
          <w:color w:val="000000" w:themeColor="text1"/>
          <w:sz w:val="22"/>
          <w:lang w:val="es-ES"/>
        </w:rPr>
        <w:t xml:space="preserve">que </w:t>
      </w:r>
      <w:r w:rsidR="001541DB" w:rsidRPr="00386009">
        <w:rPr>
          <w:rFonts w:ascii="Arial" w:eastAsia="Calibri" w:hAnsi="Arial" w:cs="Arial"/>
          <w:color w:val="000000" w:themeColor="text1"/>
          <w:sz w:val="22"/>
          <w:lang w:val="es-ES"/>
        </w:rPr>
        <w:t>no</w:t>
      </w:r>
      <w:r w:rsidRPr="00386009">
        <w:rPr>
          <w:rFonts w:ascii="Arial" w:eastAsia="Calibri" w:hAnsi="Arial" w:cs="Arial"/>
          <w:color w:val="000000" w:themeColor="text1"/>
          <w:sz w:val="22"/>
          <w:lang w:val="es-ES"/>
        </w:rPr>
        <w:t xml:space="preserve"> </w:t>
      </w:r>
      <w:r w:rsidR="0088040C">
        <w:rPr>
          <w:rFonts w:ascii="Arial" w:eastAsia="Calibri" w:hAnsi="Arial" w:cs="Arial"/>
          <w:color w:val="000000" w:themeColor="text1"/>
          <w:sz w:val="22"/>
          <w:lang w:val="es-ES"/>
        </w:rPr>
        <w:t xml:space="preserve">son </w:t>
      </w:r>
      <w:r w:rsidRPr="00386009">
        <w:rPr>
          <w:rFonts w:ascii="Arial" w:eastAsia="Calibri" w:hAnsi="Arial" w:cs="Arial"/>
          <w:color w:val="000000" w:themeColor="text1"/>
          <w:sz w:val="22"/>
          <w:lang w:val="es-ES"/>
        </w:rPr>
        <w:t>seri</w:t>
      </w:r>
      <w:r w:rsidR="001541DB" w:rsidRPr="00386009">
        <w:rPr>
          <w:rFonts w:ascii="Arial" w:eastAsia="Calibri" w:hAnsi="Arial" w:cs="Arial"/>
          <w:color w:val="000000" w:themeColor="text1"/>
          <w:sz w:val="22"/>
          <w:lang w:val="es-ES"/>
        </w:rPr>
        <w:t>as</w:t>
      </w:r>
      <w:r w:rsidRPr="00386009">
        <w:rPr>
          <w:rFonts w:ascii="Arial" w:eastAsia="Calibri" w:hAnsi="Arial" w:cs="Arial"/>
          <w:color w:val="000000" w:themeColor="text1"/>
          <w:sz w:val="22"/>
          <w:lang w:val="es-ES"/>
        </w:rPr>
        <w:t>, cuy</w:t>
      </w:r>
      <w:r w:rsidR="0088040C">
        <w:rPr>
          <w:rFonts w:ascii="Arial" w:eastAsia="Calibri" w:hAnsi="Arial" w:cs="Arial"/>
          <w:color w:val="000000" w:themeColor="text1"/>
          <w:sz w:val="22"/>
          <w:lang w:val="es-ES"/>
        </w:rPr>
        <w:t xml:space="preserve">a evaluación </w:t>
      </w:r>
      <w:r w:rsidRPr="00386009">
        <w:rPr>
          <w:rFonts w:ascii="Arial" w:eastAsia="Calibri" w:hAnsi="Arial" w:cs="Arial"/>
          <w:color w:val="000000" w:themeColor="text1"/>
          <w:sz w:val="22"/>
          <w:lang w:val="es-ES"/>
        </w:rPr>
        <w:t xml:space="preserve">entorpece la buena marcha de </w:t>
      </w:r>
      <w:r w:rsidRPr="00386009">
        <w:rPr>
          <w:rFonts w:ascii="Arial" w:eastAsia="Calibri" w:hAnsi="Arial" w:cs="Arial"/>
          <w:color w:val="000000" w:themeColor="text1"/>
          <w:sz w:val="22"/>
          <w:lang w:val="es-ES"/>
        </w:rPr>
        <w:lastRenderedPageBreak/>
        <w:t>la Administración</w:t>
      </w:r>
      <w:r w:rsidR="001541DB" w:rsidRPr="00386009">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y en especial la celeridad y eficiencia de los proce</w:t>
      </w:r>
      <w:r w:rsidR="0088040C">
        <w:rPr>
          <w:rFonts w:ascii="Arial" w:eastAsia="Calibri" w:hAnsi="Arial" w:cs="Arial"/>
          <w:color w:val="000000" w:themeColor="text1"/>
          <w:sz w:val="22"/>
          <w:lang w:val="es-ES"/>
        </w:rPr>
        <w:t xml:space="preserve">dimientos </w:t>
      </w:r>
      <w:r w:rsidRPr="00386009">
        <w:rPr>
          <w:rFonts w:ascii="Arial" w:eastAsia="Calibri" w:hAnsi="Arial" w:cs="Arial"/>
          <w:color w:val="000000" w:themeColor="text1"/>
          <w:sz w:val="22"/>
          <w:lang w:val="es-ES"/>
        </w:rPr>
        <w:t>contractuales</w:t>
      </w:r>
      <w:bookmarkEnd w:id="8"/>
      <w:r w:rsidRPr="00386009">
        <w:rPr>
          <w:rStyle w:val="Refdenotaalpie"/>
          <w:rFonts w:ascii="Arial" w:eastAsia="Calibri" w:hAnsi="Arial" w:cs="Arial"/>
          <w:color w:val="000000" w:themeColor="text1"/>
          <w:sz w:val="22"/>
          <w:lang w:val="es-ES"/>
        </w:rPr>
        <w:footnoteReference w:id="4"/>
      </w:r>
      <w:r w:rsidRPr="00386009">
        <w:rPr>
          <w:rFonts w:ascii="Arial" w:eastAsia="Calibri" w:hAnsi="Arial" w:cs="Arial"/>
          <w:color w:val="000000" w:themeColor="text1"/>
          <w:sz w:val="22"/>
          <w:lang w:val="es-ES"/>
        </w:rPr>
        <w:t>. Sobre este aspecto, la doctrina explica que:</w:t>
      </w:r>
    </w:p>
    <w:p w14:paraId="1AB8631E" w14:textId="77777777" w:rsidR="00230B6D" w:rsidRPr="00386009" w:rsidRDefault="00230B6D" w:rsidP="003D2AAA">
      <w:pPr>
        <w:spacing w:line="276" w:lineRule="auto"/>
        <w:jc w:val="both"/>
        <w:rPr>
          <w:rFonts w:ascii="Arial" w:eastAsia="Calibri" w:hAnsi="Arial" w:cs="Arial"/>
          <w:color w:val="000000" w:themeColor="text1"/>
          <w:sz w:val="22"/>
          <w:lang w:val="es-ES"/>
        </w:rPr>
      </w:pPr>
    </w:p>
    <w:p w14:paraId="61417C82" w14:textId="77777777" w:rsidR="00AE5A06" w:rsidRPr="00386009" w:rsidRDefault="00AE5A06" w:rsidP="003D2AAA">
      <w:pPr>
        <w:ind w:left="709" w:right="709"/>
        <w:jc w:val="both"/>
        <w:rPr>
          <w:rFonts w:ascii="Arial" w:eastAsia="Calibri" w:hAnsi="Arial" w:cs="Arial"/>
          <w:color w:val="000000" w:themeColor="text1"/>
          <w:sz w:val="21"/>
          <w:szCs w:val="21"/>
          <w:lang w:val="es-ES"/>
        </w:rPr>
      </w:pPr>
      <w:r w:rsidRPr="00386009">
        <w:rPr>
          <w:rFonts w:ascii="Arial" w:eastAsia="Calibri" w:hAnsi="Arial" w:cs="Arial"/>
          <w:color w:val="000000" w:themeColor="text1"/>
          <w:sz w:val="21"/>
          <w:szCs w:val="21"/>
          <w:lang w:val="es-ES"/>
        </w:rPr>
        <w:t xml:space="preserve">Las </w:t>
      </w:r>
      <w:r w:rsidRPr="00386009">
        <w:rPr>
          <w:rFonts w:ascii="Arial" w:eastAsia="Calibri" w:hAnsi="Arial" w:cs="Arial"/>
          <w:i/>
          <w:iCs/>
          <w:color w:val="000000" w:themeColor="text1"/>
          <w:sz w:val="21"/>
          <w:szCs w:val="21"/>
          <w:lang w:val="es-ES"/>
        </w:rPr>
        <w:t>garantías provisionales</w:t>
      </w:r>
      <w:r w:rsidRPr="00386009">
        <w:rPr>
          <w:rFonts w:ascii="Arial" w:eastAsia="Calibri" w:hAnsi="Arial" w:cs="Arial"/>
          <w:color w:val="000000" w:themeColor="text1"/>
          <w:sz w:val="21"/>
          <w:szCs w:val="21"/>
          <w:lang w:val="es-ES"/>
        </w:rPr>
        <w:t xml:space="preserve"> “avalan la solemnidad de la oferta por parte del contratista”; constituyen una seña pre-contractual destinada a </w:t>
      </w:r>
      <w:r w:rsidRPr="00386009">
        <w:rPr>
          <w:rFonts w:ascii="Arial" w:eastAsia="Calibri" w:hAnsi="Arial" w:cs="Arial"/>
          <w:i/>
          <w:iCs/>
          <w:color w:val="000000" w:themeColor="text1"/>
          <w:sz w:val="21"/>
          <w:szCs w:val="21"/>
          <w:lang w:val="es-ES"/>
        </w:rPr>
        <w:t>asegurar la celebración del contrato</w:t>
      </w:r>
      <w:r w:rsidRPr="00386009">
        <w:rPr>
          <w:rFonts w:ascii="Arial" w:eastAsia="Calibri" w:hAnsi="Arial" w:cs="Arial"/>
          <w:color w:val="000000" w:themeColor="text1"/>
          <w:sz w:val="21"/>
          <w:szCs w:val="21"/>
          <w:lang w:val="es-ES"/>
        </w:rPr>
        <w:t xml:space="preserve">, no su cumplimiento. La administración procede a devolver a los oferentes no adjudicatarios, y a transformar en definitiva respecto al adjudicatario, las garantías provisionales, deduciéndose entonces que las </w:t>
      </w:r>
      <w:r w:rsidRPr="00386009">
        <w:rPr>
          <w:rFonts w:ascii="Arial" w:eastAsia="Calibri" w:hAnsi="Arial" w:cs="Arial"/>
          <w:i/>
          <w:iCs/>
          <w:color w:val="000000" w:themeColor="text1"/>
          <w:sz w:val="21"/>
          <w:szCs w:val="21"/>
          <w:lang w:val="es-ES"/>
        </w:rPr>
        <w:t>arras</w:t>
      </w:r>
      <w:r w:rsidRPr="00386009">
        <w:rPr>
          <w:rFonts w:ascii="Arial" w:eastAsia="Calibri" w:hAnsi="Arial" w:cs="Arial"/>
          <w:color w:val="000000" w:themeColor="text1"/>
          <w:sz w:val="21"/>
          <w:szCs w:val="21"/>
          <w:lang w:val="es-ES"/>
        </w:rPr>
        <w:t xml:space="preserve"> no forman parte del precio, ni son por tanto arras confirmatorias […], sino puramente penitenciales […] como garantías y compensación del </w:t>
      </w:r>
      <w:proofErr w:type="spellStart"/>
      <w:r w:rsidRPr="00386009">
        <w:rPr>
          <w:rFonts w:ascii="Arial" w:eastAsia="Calibri" w:hAnsi="Arial" w:cs="Arial"/>
          <w:i/>
          <w:iCs/>
          <w:color w:val="000000" w:themeColor="text1"/>
          <w:sz w:val="21"/>
          <w:szCs w:val="21"/>
          <w:lang w:val="es-ES"/>
        </w:rPr>
        <w:t>ius</w:t>
      </w:r>
      <w:proofErr w:type="spellEnd"/>
      <w:r w:rsidRPr="00386009">
        <w:rPr>
          <w:rFonts w:ascii="Arial" w:eastAsia="Calibri" w:hAnsi="Arial" w:cs="Arial"/>
          <w:i/>
          <w:iCs/>
          <w:color w:val="000000" w:themeColor="text1"/>
          <w:sz w:val="21"/>
          <w:szCs w:val="21"/>
          <w:lang w:val="es-ES"/>
        </w:rPr>
        <w:t xml:space="preserve"> </w:t>
      </w:r>
      <w:proofErr w:type="spellStart"/>
      <w:r w:rsidRPr="00386009">
        <w:rPr>
          <w:rFonts w:ascii="Arial" w:eastAsia="Calibri" w:hAnsi="Arial" w:cs="Arial"/>
          <w:i/>
          <w:iCs/>
          <w:color w:val="000000" w:themeColor="text1"/>
          <w:sz w:val="21"/>
          <w:szCs w:val="21"/>
          <w:lang w:val="es-ES"/>
        </w:rPr>
        <w:t>poenitendi</w:t>
      </w:r>
      <w:proofErr w:type="spellEnd"/>
      <w:r w:rsidRPr="00386009">
        <w:rPr>
          <w:rFonts w:ascii="Arial" w:eastAsia="Calibri" w:hAnsi="Arial" w:cs="Arial"/>
          <w:color w:val="000000" w:themeColor="text1"/>
          <w:sz w:val="21"/>
          <w:szCs w:val="21"/>
          <w:lang w:val="es-ES"/>
        </w:rPr>
        <w:t xml:space="preserve"> del licitante. Son, en consecuencia, “la medida de la responsabilidad pre-contractual del oferente”; o, más bien, la garantía de oferta representa en definitiva la medida de la responsabilidad</w:t>
      </w:r>
      <w:r w:rsidRPr="00386009">
        <w:rPr>
          <w:rStyle w:val="Refdenotaalpie"/>
          <w:rFonts w:ascii="Arial" w:eastAsia="Calibri" w:hAnsi="Arial" w:cs="Arial"/>
          <w:color w:val="000000" w:themeColor="text1"/>
          <w:sz w:val="21"/>
          <w:szCs w:val="21"/>
          <w:lang w:val="es-ES"/>
        </w:rPr>
        <w:footnoteReference w:id="5"/>
      </w:r>
      <w:r w:rsidRPr="00386009">
        <w:rPr>
          <w:rFonts w:ascii="Arial" w:eastAsia="Calibri" w:hAnsi="Arial" w:cs="Arial"/>
          <w:color w:val="000000" w:themeColor="text1"/>
          <w:sz w:val="21"/>
          <w:szCs w:val="21"/>
          <w:lang w:val="es-ES"/>
        </w:rPr>
        <w:t xml:space="preserve">. (Cursivas dentro del texto)   </w:t>
      </w:r>
    </w:p>
    <w:p w14:paraId="285277C5" w14:textId="77777777" w:rsidR="00AE5A06" w:rsidRPr="00386009" w:rsidRDefault="00AE5A06" w:rsidP="00AE5A06">
      <w:pPr>
        <w:spacing w:line="276" w:lineRule="auto"/>
        <w:jc w:val="both"/>
        <w:rPr>
          <w:rFonts w:ascii="Arial" w:eastAsia="Calibri" w:hAnsi="Arial" w:cs="Arial"/>
          <w:color w:val="000000" w:themeColor="text1"/>
          <w:sz w:val="22"/>
          <w:lang w:val="es-ES"/>
        </w:rPr>
      </w:pPr>
    </w:p>
    <w:p w14:paraId="3C417AD0" w14:textId="5E29BA99" w:rsidR="00AE5A06" w:rsidRPr="00386009" w:rsidRDefault="009B36BB" w:rsidP="009B36BB">
      <w:pPr>
        <w:spacing w:after="120" w:line="276" w:lineRule="auto"/>
        <w:ind w:firstLine="709"/>
        <w:jc w:val="both"/>
        <w:rPr>
          <w:rFonts w:ascii="Arial" w:eastAsia="Calibri" w:hAnsi="Arial" w:cs="Arial"/>
          <w:color w:val="000000" w:themeColor="text1"/>
          <w:sz w:val="22"/>
          <w:lang w:val="es-ES"/>
        </w:rPr>
      </w:pPr>
      <w:bookmarkStart w:id="9" w:name="_Hlk36669819"/>
      <w:bookmarkStart w:id="10" w:name="_Hlk36672441"/>
      <w:r w:rsidRPr="00386009">
        <w:rPr>
          <w:rFonts w:ascii="Arial" w:eastAsia="Calibri" w:hAnsi="Arial" w:cs="Arial"/>
          <w:color w:val="000000" w:themeColor="text1"/>
          <w:sz w:val="22"/>
          <w:lang w:val="es-ES"/>
        </w:rPr>
        <w:t>No obstante,</w:t>
      </w:r>
      <w:r w:rsidR="00C902B2" w:rsidRPr="00386009">
        <w:rPr>
          <w:rFonts w:ascii="Arial" w:eastAsia="Calibri" w:hAnsi="Arial" w:cs="Arial"/>
          <w:color w:val="000000" w:themeColor="text1"/>
          <w:sz w:val="22"/>
          <w:lang w:val="es-ES"/>
        </w:rPr>
        <w:t xml:space="preserve"> </w:t>
      </w:r>
      <w:r w:rsidR="00507813" w:rsidRPr="00386009">
        <w:rPr>
          <w:rFonts w:ascii="Arial" w:eastAsia="Calibri" w:hAnsi="Arial" w:cs="Arial"/>
          <w:color w:val="000000" w:themeColor="text1"/>
          <w:sz w:val="22"/>
          <w:lang w:val="es-ES"/>
        </w:rPr>
        <w:t xml:space="preserve">para resolver </w:t>
      </w:r>
      <w:r w:rsidR="00A767C2" w:rsidRPr="00386009">
        <w:rPr>
          <w:rFonts w:ascii="Arial" w:eastAsia="Calibri" w:hAnsi="Arial" w:cs="Arial"/>
          <w:color w:val="000000" w:themeColor="text1"/>
          <w:sz w:val="22"/>
          <w:lang w:val="es-ES"/>
        </w:rPr>
        <w:t>la consulta</w:t>
      </w:r>
      <w:r w:rsidR="00507813" w:rsidRPr="00386009">
        <w:rPr>
          <w:rFonts w:ascii="Arial" w:eastAsia="Calibri" w:hAnsi="Arial" w:cs="Arial"/>
          <w:color w:val="000000" w:themeColor="text1"/>
          <w:sz w:val="22"/>
          <w:lang w:val="es-ES"/>
        </w:rPr>
        <w:t>, las ideas generales sobre la seriedad de la propuesta debe</w:t>
      </w:r>
      <w:r w:rsidR="0088040C">
        <w:rPr>
          <w:rFonts w:ascii="Arial" w:eastAsia="Calibri" w:hAnsi="Arial" w:cs="Arial"/>
          <w:color w:val="000000" w:themeColor="text1"/>
          <w:sz w:val="22"/>
          <w:lang w:val="es-ES"/>
        </w:rPr>
        <w:t>n</w:t>
      </w:r>
      <w:r w:rsidR="00507813" w:rsidRPr="00386009">
        <w:rPr>
          <w:rFonts w:ascii="Arial" w:eastAsia="Calibri" w:hAnsi="Arial" w:cs="Arial"/>
          <w:color w:val="000000" w:themeColor="text1"/>
          <w:sz w:val="22"/>
          <w:lang w:val="es-ES"/>
        </w:rPr>
        <w:t xml:space="preserve"> acompañarse de una reflexión sobre los siguientes </w:t>
      </w:r>
      <w:r w:rsidR="00A767C2" w:rsidRPr="00386009">
        <w:rPr>
          <w:rFonts w:ascii="Arial" w:eastAsia="Calibri" w:hAnsi="Arial" w:cs="Arial"/>
          <w:color w:val="000000" w:themeColor="text1"/>
          <w:sz w:val="22"/>
          <w:lang w:val="es-ES"/>
        </w:rPr>
        <w:t>aspectos</w:t>
      </w:r>
      <w:r w:rsidR="00507813" w:rsidRPr="00386009">
        <w:rPr>
          <w:rFonts w:ascii="Arial" w:eastAsia="Calibri" w:hAnsi="Arial" w:cs="Arial"/>
          <w:color w:val="000000" w:themeColor="text1"/>
          <w:sz w:val="22"/>
          <w:lang w:val="es-ES"/>
        </w:rPr>
        <w:t xml:space="preserve">: i) la </w:t>
      </w:r>
      <w:r w:rsidR="00EC47C6" w:rsidRPr="00386009">
        <w:rPr>
          <w:rFonts w:ascii="Arial" w:eastAsia="Calibri" w:hAnsi="Arial" w:cs="Arial"/>
          <w:color w:val="000000" w:themeColor="text1"/>
          <w:sz w:val="22"/>
          <w:lang w:val="es-ES"/>
        </w:rPr>
        <w:t>cobertura</w:t>
      </w:r>
      <w:r w:rsidR="00507813" w:rsidRPr="00386009">
        <w:rPr>
          <w:rFonts w:ascii="Arial" w:eastAsia="Calibri" w:hAnsi="Arial" w:cs="Arial"/>
          <w:color w:val="000000" w:themeColor="text1"/>
          <w:sz w:val="22"/>
          <w:lang w:val="es-ES"/>
        </w:rPr>
        <w:t xml:space="preserve"> de la garantía, iii) las causas para hacerla efectiva</w:t>
      </w:r>
      <w:r w:rsidR="00425426" w:rsidRPr="00386009">
        <w:rPr>
          <w:rFonts w:ascii="Arial" w:eastAsia="Calibri" w:hAnsi="Arial" w:cs="Arial"/>
          <w:color w:val="000000" w:themeColor="text1"/>
          <w:sz w:val="22"/>
          <w:lang w:val="es-ES"/>
        </w:rPr>
        <w:t xml:space="preserve"> y</w:t>
      </w:r>
      <w:r w:rsidR="00507813" w:rsidRPr="00386009">
        <w:rPr>
          <w:rFonts w:ascii="Arial" w:eastAsia="Calibri" w:hAnsi="Arial" w:cs="Arial"/>
          <w:color w:val="000000" w:themeColor="text1"/>
          <w:sz w:val="22"/>
          <w:lang w:val="es-ES"/>
        </w:rPr>
        <w:t xml:space="preserve"> iii) la posibilidad de exigir</w:t>
      </w:r>
      <w:r w:rsidR="00A767C2" w:rsidRPr="00386009">
        <w:rPr>
          <w:rFonts w:ascii="Arial" w:eastAsia="Calibri" w:hAnsi="Arial" w:cs="Arial"/>
          <w:color w:val="000000" w:themeColor="text1"/>
          <w:sz w:val="22"/>
          <w:lang w:val="es-ES"/>
        </w:rPr>
        <w:t xml:space="preserve"> al proponente</w:t>
      </w:r>
      <w:r w:rsidR="00507813" w:rsidRPr="00386009">
        <w:rPr>
          <w:rFonts w:ascii="Arial" w:eastAsia="Calibri" w:hAnsi="Arial" w:cs="Arial"/>
          <w:color w:val="000000" w:themeColor="text1"/>
          <w:sz w:val="22"/>
          <w:lang w:val="es-ES"/>
        </w:rPr>
        <w:t xml:space="preserve"> su ampliación </w:t>
      </w:r>
      <w:r w:rsidR="00A767C2" w:rsidRPr="00386009">
        <w:rPr>
          <w:rFonts w:ascii="Arial" w:eastAsia="Calibri" w:hAnsi="Arial" w:cs="Arial"/>
          <w:color w:val="000000" w:themeColor="text1"/>
          <w:sz w:val="22"/>
          <w:lang w:val="es-ES"/>
        </w:rPr>
        <w:t>cuando se suspende el procedimiento de selección</w:t>
      </w:r>
      <w:bookmarkEnd w:id="9"/>
      <w:bookmarkEnd w:id="10"/>
      <w:r w:rsidR="00980956" w:rsidRPr="00386009">
        <w:rPr>
          <w:rFonts w:ascii="Arial" w:eastAsia="Calibri" w:hAnsi="Arial" w:cs="Arial"/>
          <w:color w:val="000000" w:themeColor="text1"/>
          <w:sz w:val="22"/>
          <w:lang w:val="es-ES"/>
        </w:rPr>
        <w:t xml:space="preserve">. </w:t>
      </w:r>
    </w:p>
    <w:p w14:paraId="49C9B542" w14:textId="77777777" w:rsidR="0088040C" w:rsidRDefault="00425426" w:rsidP="00DD0085">
      <w:pPr>
        <w:spacing w:after="120" w:line="276" w:lineRule="auto"/>
        <w:ind w:firstLine="709"/>
        <w:jc w:val="both"/>
        <w:rPr>
          <w:rFonts w:ascii="Arial" w:eastAsia="Calibri" w:hAnsi="Arial" w:cs="Arial"/>
          <w:color w:val="000000" w:themeColor="text1"/>
          <w:sz w:val="22"/>
          <w:lang w:val="es-ES"/>
        </w:rPr>
      </w:pPr>
      <w:r w:rsidRPr="00386009">
        <w:rPr>
          <w:rFonts w:ascii="Arial" w:eastAsia="Calibri" w:hAnsi="Arial" w:cs="Arial"/>
          <w:i/>
          <w:iCs/>
          <w:color w:val="000000" w:themeColor="text1"/>
          <w:sz w:val="22"/>
          <w:lang w:val="es-ES"/>
        </w:rPr>
        <w:t>En primer lugar</w:t>
      </w:r>
      <w:r w:rsidRPr="00386009">
        <w:rPr>
          <w:rFonts w:ascii="Arial" w:eastAsia="Calibri" w:hAnsi="Arial" w:cs="Arial"/>
          <w:color w:val="000000" w:themeColor="text1"/>
          <w:sz w:val="22"/>
          <w:lang w:val="es-ES"/>
        </w:rPr>
        <w:t xml:space="preserve">, el artículo </w:t>
      </w:r>
      <w:bookmarkStart w:id="11" w:name="_Hlk47457215"/>
      <w:r w:rsidRPr="00386009">
        <w:rPr>
          <w:rFonts w:ascii="Arial" w:eastAsia="Calibri" w:hAnsi="Arial" w:cs="Arial"/>
          <w:color w:val="000000" w:themeColor="text1"/>
          <w:sz w:val="22"/>
          <w:lang w:val="es-ES"/>
        </w:rPr>
        <w:t>2.2.1.2.3.1.9</w:t>
      </w:r>
      <w:bookmarkEnd w:id="11"/>
      <w:r w:rsidR="002C7DAF" w:rsidRPr="00386009">
        <w:rPr>
          <w:rFonts w:ascii="Arial" w:eastAsia="Calibri" w:hAnsi="Arial" w:cs="Arial"/>
          <w:color w:val="000000" w:themeColor="text1"/>
          <w:sz w:val="22"/>
          <w:lang w:val="es-ES"/>
        </w:rPr>
        <w:t xml:space="preserve"> </w:t>
      </w:r>
      <w:r w:rsidRPr="00386009">
        <w:rPr>
          <w:rFonts w:ascii="Arial" w:eastAsia="Calibri" w:hAnsi="Arial" w:cs="Arial"/>
          <w:color w:val="000000" w:themeColor="text1"/>
          <w:sz w:val="22"/>
          <w:lang w:val="es-ES"/>
        </w:rPr>
        <w:t>del Decreto 1082 de 2015</w:t>
      </w:r>
      <w:r w:rsidR="00DD0085" w:rsidRPr="00386009">
        <w:rPr>
          <w:rFonts w:ascii="Arial" w:eastAsia="Calibri" w:hAnsi="Arial" w:cs="Arial"/>
          <w:color w:val="000000" w:themeColor="text1"/>
          <w:sz w:val="22"/>
          <w:lang w:val="es-ES"/>
        </w:rPr>
        <w:t xml:space="preserve"> define la cobertura en términos de monto y tiempo, </w:t>
      </w:r>
      <w:r w:rsidR="00B1745B" w:rsidRPr="00386009">
        <w:rPr>
          <w:rFonts w:ascii="Arial" w:eastAsia="Calibri" w:hAnsi="Arial" w:cs="Arial"/>
          <w:color w:val="000000" w:themeColor="text1"/>
          <w:sz w:val="22"/>
          <w:lang w:val="es-ES"/>
        </w:rPr>
        <w:t>disponiendo</w:t>
      </w:r>
      <w:r w:rsidRPr="00386009">
        <w:rPr>
          <w:rFonts w:ascii="Arial" w:eastAsia="Calibri" w:hAnsi="Arial" w:cs="Arial"/>
          <w:color w:val="000000" w:themeColor="text1"/>
          <w:sz w:val="22"/>
          <w:lang w:val="es-ES"/>
        </w:rPr>
        <w:t xml:space="preserve"> que «La garantía de seriedad de la oferta debe estar vigente desde la presentación de la oferta y hasta la aprobación de la garantía de cumplimiento del contrato y su valor debe ser de por lo menos el diez por ciento (10%) del valor de la oferta».</w:t>
      </w:r>
      <w:r w:rsidR="00EC47C6" w:rsidRPr="00386009">
        <w:rPr>
          <w:rFonts w:ascii="Arial" w:eastAsia="Calibri" w:hAnsi="Arial" w:cs="Arial"/>
          <w:color w:val="000000" w:themeColor="text1"/>
          <w:sz w:val="22"/>
          <w:lang w:val="es-ES"/>
        </w:rPr>
        <w:t xml:space="preserve"> </w:t>
      </w:r>
    </w:p>
    <w:p w14:paraId="3714C028" w14:textId="07191B9D" w:rsidR="00DD0085" w:rsidRPr="00386009" w:rsidRDefault="00EC47C6" w:rsidP="00DD0085">
      <w:pPr>
        <w:spacing w:after="120" w:line="276" w:lineRule="auto"/>
        <w:ind w:firstLine="709"/>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 xml:space="preserve">Respecto al valor, dispone que tendrá un monto igual o superior al diez por ciento (10%) de la oferta, </w:t>
      </w:r>
      <w:r w:rsidR="0088040C">
        <w:rPr>
          <w:rFonts w:ascii="Arial" w:eastAsia="Calibri" w:hAnsi="Arial" w:cs="Arial"/>
          <w:color w:val="000000" w:themeColor="text1"/>
          <w:sz w:val="22"/>
          <w:lang w:val="es-ES"/>
        </w:rPr>
        <w:t>constituyendo</w:t>
      </w:r>
      <w:r w:rsidRPr="00386009">
        <w:rPr>
          <w:rFonts w:ascii="Arial" w:eastAsia="Calibri" w:hAnsi="Arial" w:cs="Arial"/>
          <w:color w:val="000000" w:themeColor="text1"/>
          <w:sz w:val="22"/>
          <w:lang w:val="es-ES"/>
        </w:rPr>
        <w:t xml:space="preserve"> la suma mínima que la entidad puede establecer para cumplir </w:t>
      </w:r>
      <w:r w:rsidR="00DD0085" w:rsidRPr="00386009">
        <w:rPr>
          <w:rFonts w:ascii="Arial" w:eastAsia="Calibri" w:hAnsi="Arial" w:cs="Arial"/>
          <w:color w:val="000000" w:themeColor="text1"/>
          <w:sz w:val="22"/>
          <w:lang w:val="es-ES"/>
        </w:rPr>
        <w:t>la exigencia</w:t>
      </w:r>
      <w:r w:rsidRPr="00386009">
        <w:rPr>
          <w:rFonts w:ascii="Arial" w:eastAsia="Calibri" w:hAnsi="Arial" w:cs="Arial"/>
          <w:color w:val="000000" w:themeColor="text1"/>
          <w:sz w:val="22"/>
          <w:lang w:val="es-ES"/>
        </w:rPr>
        <w:t xml:space="preserve">, sin perjuicio de que </w:t>
      </w:r>
      <w:r w:rsidR="0088040C" w:rsidRPr="00386009">
        <w:rPr>
          <w:rFonts w:ascii="Arial" w:eastAsia="Calibri" w:hAnsi="Arial" w:cs="Arial"/>
          <w:color w:val="000000" w:themeColor="text1"/>
          <w:sz w:val="22"/>
          <w:lang w:val="es-ES"/>
        </w:rPr>
        <w:t>requiera</w:t>
      </w:r>
      <w:r w:rsidRPr="00386009">
        <w:rPr>
          <w:rFonts w:ascii="Arial" w:eastAsia="Calibri" w:hAnsi="Arial" w:cs="Arial"/>
          <w:color w:val="000000" w:themeColor="text1"/>
          <w:sz w:val="22"/>
          <w:lang w:val="es-ES"/>
        </w:rPr>
        <w:t xml:space="preserve"> un valor </w:t>
      </w:r>
      <w:r w:rsidR="0088040C">
        <w:rPr>
          <w:rFonts w:ascii="Arial" w:eastAsia="Calibri" w:hAnsi="Arial" w:cs="Arial"/>
          <w:color w:val="000000" w:themeColor="text1"/>
          <w:sz w:val="22"/>
          <w:lang w:val="es-ES"/>
        </w:rPr>
        <w:t>superior</w:t>
      </w:r>
      <w:r w:rsidRPr="00386009">
        <w:rPr>
          <w:rFonts w:ascii="Arial" w:eastAsia="Calibri" w:hAnsi="Arial" w:cs="Arial"/>
          <w:color w:val="000000" w:themeColor="text1"/>
          <w:sz w:val="22"/>
          <w:lang w:val="es-ES"/>
        </w:rPr>
        <w:t>. En todo caso,</w:t>
      </w:r>
      <w:r w:rsidR="00046B6A" w:rsidRPr="00386009">
        <w:rPr>
          <w:rFonts w:ascii="Arial" w:eastAsia="Calibri" w:hAnsi="Arial" w:cs="Arial"/>
          <w:color w:val="000000" w:themeColor="text1"/>
          <w:sz w:val="22"/>
          <w:lang w:val="es-ES"/>
        </w:rPr>
        <w:t xml:space="preserve"> conforme a la norma citada,</w:t>
      </w:r>
      <w:r w:rsidRPr="00386009">
        <w:rPr>
          <w:rFonts w:ascii="Arial" w:eastAsia="Calibri" w:hAnsi="Arial" w:cs="Arial"/>
          <w:color w:val="000000" w:themeColor="text1"/>
          <w:sz w:val="22"/>
          <w:lang w:val="es-ES"/>
        </w:rPr>
        <w:t xml:space="preserve"> este principio tiene </w:t>
      </w:r>
      <w:r w:rsidR="00046B6A" w:rsidRPr="00386009">
        <w:rPr>
          <w:rFonts w:ascii="Arial" w:eastAsia="Calibri" w:hAnsi="Arial" w:cs="Arial"/>
          <w:color w:val="000000" w:themeColor="text1"/>
          <w:sz w:val="22"/>
          <w:lang w:val="es-ES"/>
        </w:rPr>
        <w:t xml:space="preserve">excepciones </w:t>
      </w:r>
      <w:r w:rsidR="003A6E6D">
        <w:rPr>
          <w:rFonts w:ascii="Arial" w:eastAsia="Calibri" w:hAnsi="Arial" w:cs="Arial"/>
          <w:color w:val="000000" w:themeColor="text1"/>
          <w:sz w:val="22"/>
          <w:lang w:val="es-ES"/>
        </w:rPr>
        <w:t>para</w:t>
      </w:r>
      <w:r w:rsidR="00046B6A" w:rsidRPr="00386009">
        <w:rPr>
          <w:rFonts w:ascii="Arial" w:eastAsia="Calibri" w:hAnsi="Arial" w:cs="Arial"/>
          <w:color w:val="000000" w:themeColor="text1"/>
          <w:sz w:val="22"/>
          <w:lang w:val="es-ES"/>
        </w:rPr>
        <w:t xml:space="preserve"> los acuerdos marco de precios, los contratos derivados de la selección abreviada por subasta inversa y </w:t>
      </w:r>
      <w:r w:rsidR="001541DB" w:rsidRPr="00386009">
        <w:rPr>
          <w:rFonts w:ascii="Arial" w:eastAsia="Calibri" w:hAnsi="Arial" w:cs="Arial"/>
          <w:color w:val="000000" w:themeColor="text1"/>
          <w:sz w:val="22"/>
          <w:lang w:val="es-ES"/>
        </w:rPr>
        <w:t xml:space="preserve">el </w:t>
      </w:r>
      <w:r w:rsidR="00046B6A" w:rsidRPr="00386009">
        <w:rPr>
          <w:rFonts w:ascii="Arial" w:eastAsia="Calibri" w:hAnsi="Arial" w:cs="Arial"/>
          <w:color w:val="000000" w:themeColor="text1"/>
          <w:sz w:val="22"/>
          <w:lang w:val="es-ES"/>
        </w:rPr>
        <w:t>concurso de méritos, así como</w:t>
      </w:r>
      <w:r w:rsidR="002C7DAF" w:rsidRPr="00386009">
        <w:rPr>
          <w:rFonts w:ascii="Arial" w:eastAsia="Calibri" w:hAnsi="Arial" w:cs="Arial"/>
          <w:color w:val="000000" w:themeColor="text1"/>
          <w:sz w:val="22"/>
          <w:lang w:val="es-ES"/>
        </w:rPr>
        <w:t xml:space="preserve"> </w:t>
      </w:r>
      <w:r w:rsidR="003A6E6D">
        <w:rPr>
          <w:rFonts w:ascii="Arial" w:eastAsia="Calibri" w:hAnsi="Arial" w:cs="Arial"/>
          <w:color w:val="000000" w:themeColor="text1"/>
          <w:sz w:val="22"/>
          <w:lang w:val="es-ES"/>
        </w:rPr>
        <w:t>para</w:t>
      </w:r>
      <w:r w:rsidR="001541DB" w:rsidRPr="00386009">
        <w:rPr>
          <w:rFonts w:ascii="Arial" w:eastAsia="Calibri" w:hAnsi="Arial" w:cs="Arial"/>
          <w:color w:val="000000" w:themeColor="text1"/>
          <w:sz w:val="22"/>
          <w:lang w:val="es-ES"/>
        </w:rPr>
        <w:t xml:space="preserve"> </w:t>
      </w:r>
      <w:r w:rsidR="00046B6A" w:rsidRPr="00386009">
        <w:rPr>
          <w:rFonts w:ascii="Arial" w:eastAsia="Calibri" w:hAnsi="Arial" w:cs="Arial"/>
          <w:color w:val="000000" w:themeColor="text1"/>
          <w:sz w:val="22"/>
          <w:lang w:val="es-ES"/>
        </w:rPr>
        <w:t>los contratos que superan un millón –1</w:t>
      </w:r>
      <w:r w:rsidR="001541DB" w:rsidRPr="00386009">
        <w:rPr>
          <w:rFonts w:ascii="Arial" w:eastAsia="Calibri" w:hAnsi="Arial" w:cs="Arial"/>
          <w:color w:val="000000" w:themeColor="text1"/>
          <w:sz w:val="22"/>
          <w:lang w:val="es-ES"/>
        </w:rPr>
        <w:t>’</w:t>
      </w:r>
      <w:r w:rsidR="00046B6A" w:rsidRPr="00386009">
        <w:rPr>
          <w:rFonts w:ascii="Arial" w:eastAsia="Calibri" w:hAnsi="Arial" w:cs="Arial"/>
          <w:color w:val="000000" w:themeColor="text1"/>
          <w:sz w:val="22"/>
          <w:lang w:val="es-ES"/>
        </w:rPr>
        <w:t xml:space="preserve">000.000– de </w:t>
      </w:r>
      <w:proofErr w:type="spellStart"/>
      <w:r w:rsidR="00046B6A" w:rsidRPr="00386009">
        <w:rPr>
          <w:rFonts w:ascii="Arial" w:eastAsia="Calibri" w:hAnsi="Arial" w:cs="Arial"/>
          <w:color w:val="000000" w:themeColor="text1"/>
          <w:sz w:val="22"/>
          <w:lang w:val="es-ES"/>
        </w:rPr>
        <w:t>smlmv</w:t>
      </w:r>
      <w:proofErr w:type="spellEnd"/>
      <w:r w:rsidRPr="00386009">
        <w:rPr>
          <w:rFonts w:ascii="Arial" w:eastAsia="Calibri" w:hAnsi="Arial" w:cs="Arial"/>
          <w:color w:val="000000" w:themeColor="text1"/>
          <w:sz w:val="22"/>
          <w:lang w:val="es-ES"/>
        </w:rPr>
        <w:t xml:space="preserve">. </w:t>
      </w:r>
    </w:p>
    <w:p w14:paraId="6D9B64A2" w14:textId="04115BDD" w:rsidR="001541DB" w:rsidRPr="00386009" w:rsidRDefault="00DD0085" w:rsidP="00D811E0">
      <w:pPr>
        <w:spacing w:after="120" w:line="276" w:lineRule="auto"/>
        <w:ind w:firstLine="709"/>
        <w:jc w:val="both"/>
        <w:rPr>
          <w:rFonts w:ascii="Arial" w:eastAsia="Calibri" w:hAnsi="Arial" w:cs="Arial"/>
          <w:color w:val="000000" w:themeColor="text1"/>
          <w:sz w:val="22"/>
          <w:lang w:val="es-ES"/>
        </w:rPr>
      </w:pPr>
      <w:bookmarkStart w:id="12" w:name="_Hlk47893525"/>
      <w:r w:rsidRPr="00386009">
        <w:rPr>
          <w:rFonts w:ascii="Arial" w:eastAsia="Calibri" w:hAnsi="Arial" w:cs="Arial"/>
          <w:color w:val="000000" w:themeColor="text1"/>
          <w:sz w:val="22"/>
          <w:lang w:val="es-ES"/>
        </w:rPr>
        <w:t xml:space="preserve">Respecto al tiempo, la norma dispone que debe estar vigente entre </w:t>
      </w:r>
      <w:r w:rsidR="001541DB" w:rsidRPr="00386009">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la fecha de presentación de la propuesta</w:t>
      </w:r>
      <w:r w:rsidR="001541DB" w:rsidRPr="00386009">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y hasta </w:t>
      </w:r>
      <w:r w:rsidR="001541DB" w:rsidRPr="00386009">
        <w:rPr>
          <w:rFonts w:ascii="Arial" w:eastAsia="Calibri" w:hAnsi="Arial" w:cs="Arial"/>
          <w:color w:val="000000" w:themeColor="text1"/>
          <w:sz w:val="22"/>
          <w:lang w:val="es-ES"/>
        </w:rPr>
        <w:t xml:space="preserve">«la </w:t>
      </w:r>
      <w:r w:rsidRPr="00386009">
        <w:rPr>
          <w:rFonts w:ascii="Arial" w:eastAsia="Calibri" w:hAnsi="Arial" w:cs="Arial"/>
          <w:color w:val="000000" w:themeColor="text1"/>
          <w:sz w:val="22"/>
          <w:lang w:val="es-ES"/>
        </w:rPr>
        <w:t>fecha de aprobación de la garantía única de cumplimiento</w:t>
      </w:r>
      <w:r w:rsidR="001541DB" w:rsidRPr="00386009">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w:t>
      </w:r>
      <w:r w:rsidR="003A6E6D">
        <w:rPr>
          <w:rFonts w:ascii="Arial" w:eastAsia="Calibri" w:hAnsi="Arial" w:cs="Arial"/>
          <w:color w:val="000000" w:themeColor="text1"/>
          <w:sz w:val="22"/>
          <w:lang w:val="es-ES"/>
        </w:rPr>
        <w:t>Allí</w:t>
      </w:r>
      <w:r w:rsidR="001541DB" w:rsidRPr="00386009">
        <w:rPr>
          <w:rFonts w:ascii="Arial" w:eastAsia="Calibri" w:hAnsi="Arial" w:cs="Arial"/>
          <w:color w:val="000000" w:themeColor="text1"/>
          <w:sz w:val="22"/>
          <w:lang w:val="es-ES"/>
        </w:rPr>
        <w:t xml:space="preserve"> </w:t>
      </w:r>
      <w:r w:rsidR="003A6E6D">
        <w:rPr>
          <w:rFonts w:ascii="Arial" w:eastAsia="Calibri" w:hAnsi="Arial" w:cs="Arial"/>
          <w:color w:val="000000" w:themeColor="text1"/>
          <w:sz w:val="22"/>
          <w:lang w:val="es-ES"/>
        </w:rPr>
        <w:t xml:space="preserve">se </w:t>
      </w:r>
      <w:r w:rsidR="00246DE3" w:rsidRPr="00386009">
        <w:rPr>
          <w:rFonts w:ascii="Arial" w:eastAsia="Calibri" w:hAnsi="Arial" w:cs="Arial"/>
          <w:color w:val="000000" w:themeColor="text1"/>
          <w:sz w:val="22"/>
          <w:lang w:val="es-ES"/>
        </w:rPr>
        <w:t>indica</w:t>
      </w:r>
      <w:r w:rsidRPr="00386009">
        <w:rPr>
          <w:rFonts w:ascii="Arial" w:eastAsia="Calibri" w:hAnsi="Arial" w:cs="Arial"/>
          <w:color w:val="000000" w:themeColor="text1"/>
          <w:sz w:val="22"/>
          <w:lang w:val="es-ES"/>
        </w:rPr>
        <w:t xml:space="preserve"> la fecha de inicio </w:t>
      </w:r>
      <w:r w:rsidR="00246DE3" w:rsidRPr="00386009">
        <w:rPr>
          <w:rFonts w:ascii="Arial" w:eastAsia="Calibri" w:hAnsi="Arial" w:cs="Arial"/>
          <w:color w:val="000000" w:themeColor="text1"/>
          <w:sz w:val="22"/>
          <w:lang w:val="es-ES"/>
        </w:rPr>
        <w:t>–</w:t>
      </w:r>
      <w:proofErr w:type="spellStart"/>
      <w:r w:rsidR="00246DE3" w:rsidRPr="00386009">
        <w:rPr>
          <w:rFonts w:ascii="Arial" w:eastAsia="Calibri" w:hAnsi="Arial" w:cs="Arial"/>
          <w:i/>
          <w:iCs/>
          <w:color w:val="000000" w:themeColor="text1"/>
          <w:sz w:val="22"/>
          <w:lang w:val="es-ES"/>
        </w:rPr>
        <w:t>dies</w:t>
      </w:r>
      <w:proofErr w:type="spellEnd"/>
      <w:r w:rsidR="00246DE3" w:rsidRPr="00386009">
        <w:rPr>
          <w:rFonts w:ascii="Arial" w:eastAsia="Calibri" w:hAnsi="Arial" w:cs="Arial"/>
          <w:i/>
          <w:iCs/>
          <w:color w:val="000000" w:themeColor="text1"/>
          <w:sz w:val="22"/>
          <w:lang w:val="es-ES"/>
        </w:rPr>
        <w:t xml:space="preserve"> a quo</w:t>
      </w:r>
      <w:r w:rsidR="00246DE3" w:rsidRPr="00386009">
        <w:rPr>
          <w:rFonts w:ascii="Arial" w:eastAsia="Calibri" w:hAnsi="Arial" w:cs="Arial"/>
          <w:color w:val="000000" w:themeColor="text1"/>
          <w:sz w:val="22"/>
          <w:lang w:val="es-ES"/>
        </w:rPr>
        <w:t>–</w:t>
      </w:r>
      <w:r w:rsidR="003A6E6D">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w:t>
      </w:r>
      <w:r w:rsidR="001541DB" w:rsidRPr="00386009">
        <w:rPr>
          <w:rFonts w:ascii="Arial" w:eastAsia="Calibri" w:hAnsi="Arial" w:cs="Arial"/>
          <w:color w:val="000000" w:themeColor="text1"/>
          <w:sz w:val="22"/>
          <w:lang w:val="es-ES"/>
        </w:rPr>
        <w:t xml:space="preserve">pero </w:t>
      </w:r>
      <w:r w:rsidR="00246DE3" w:rsidRPr="00386009">
        <w:rPr>
          <w:rFonts w:ascii="Arial" w:eastAsia="Calibri" w:hAnsi="Arial" w:cs="Arial"/>
          <w:color w:val="000000" w:themeColor="text1"/>
          <w:sz w:val="22"/>
          <w:lang w:val="es-ES"/>
        </w:rPr>
        <w:t>la fecha final –</w:t>
      </w:r>
      <w:proofErr w:type="spellStart"/>
      <w:r w:rsidR="00246DE3" w:rsidRPr="00386009">
        <w:rPr>
          <w:rFonts w:ascii="Arial" w:eastAsia="Calibri" w:hAnsi="Arial" w:cs="Arial"/>
          <w:i/>
          <w:iCs/>
          <w:color w:val="000000" w:themeColor="text1"/>
          <w:sz w:val="22"/>
          <w:lang w:val="es-ES"/>
        </w:rPr>
        <w:t>dies</w:t>
      </w:r>
      <w:proofErr w:type="spellEnd"/>
      <w:r w:rsidR="00246DE3" w:rsidRPr="00386009">
        <w:rPr>
          <w:rFonts w:ascii="Arial" w:eastAsia="Calibri" w:hAnsi="Arial" w:cs="Arial"/>
          <w:i/>
          <w:iCs/>
          <w:color w:val="000000" w:themeColor="text1"/>
          <w:sz w:val="22"/>
          <w:lang w:val="es-ES"/>
        </w:rPr>
        <w:t xml:space="preserve"> ad </w:t>
      </w:r>
      <w:proofErr w:type="spellStart"/>
      <w:r w:rsidR="00246DE3" w:rsidRPr="00386009">
        <w:rPr>
          <w:rFonts w:ascii="Arial" w:eastAsia="Calibri" w:hAnsi="Arial" w:cs="Arial"/>
          <w:i/>
          <w:iCs/>
          <w:color w:val="000000" w:themeColor="text1"/>
          <w:sz w:val="22"/>
          <w:lang w:val="es-ES"/>
        </w:rPr>
        <w:t>quem</w:t>
      </w:r>
      <w:proofErr w:type="spellEnd"/>
      <w:r w:rsidR="00246DE3" w:rsidRPr="00386009">
        <w:rPr>
          <w:rFonts w:ascii="Arial" w:eastAsia="Calibri" w:hAnsi="Arial" w:cs="Arial"/>
          <w:color w:val="000000" w:themeColor="text1"/>
          <w:sz w:val="22"/>
          <w:lang w:val="es-ES"/>
        </w:rPr>
        <w:t xml:space="preserve">– </w:t>
      </w:r>
      <w:r w:rsidR="003A6E6D" w:rsidRPr="00386009">
        <w:rPr>
          <w:rFonts w:ascii="Arial" w:eastAsia="Calibri" w:hAnsi="Arial" w:cs="Arial"/>
          <w:color w:val="000000" w:themeColor="text1"/>
          <w:sz w:val="22"/>
          <w:lang w:val="es-ES"/>
        </w:rPr>
        <w:t xml:space="preserve">se somete </w:t>
      </w:r>
      <w:r w:rsidR="00246DE3" w:rsidRPr="00386009">
        <w:rPr>
          <w:rFonts w:ascii="Arial" w:eastAsia="Calibri" w:hAnsi="Arial" w:cs="Arial"/>
          <w:color w:val="000000" w:themeColor="text1"/>
          <w:sz w:val="22"/>
          <w:lang w:val="es-ES"/>
        </w:rPr>
        <w:t xml:space="preserve">a una estimación razonable sobre el tiempo que toma </w:t>
      </w:r>
      <w:r w:rsidR="00074A6D">
        <w:rPr>
          <w:rFonts w:ascii="Arial" w:eastAsia="Calibri" w:hAnsi="Arial" w:cs="Arial"/>
          <w:color w:val="000000" w:themeColor="text1"/>
          <w:sz w:val="22"/>
          <w:lang w:val="es-ES"/>
        </w:rPr>
        <w:t xml:space="preserve">adelantar </w:t>
      </w:r>
      <w:r w:rsidR="003A6E6D">
        <w:rPr>
          <w:rFonts w:ascii="Arial" w:eastAsia="Calibri" w:hAnsi="Arial" w:cs="Arial"/>
          <w:color w:val="000000" w:themeColor="text1"/>
          <w:sz w:val="22"/>
          <w:lang w:val="es-ES"/>
        </w:rPr>
        <w:t xml:space="preserve">el procedimiento de selección y </w:t>
      </w:r>
      <w:r w:rsidR="00246DE3" w:rsidRPr="00386009">
        <w:rPr>
          <w:rFonts w:ascii="Arial" w:eastAsia="Calibri" w:hAnsi="Arial" w:cs="Arial"/>
          <w:color w:val="000000" w:themeColor="text1"/>
          <w:sz w:val="22"/>
          <w:lang w:val="es-ES"/>
        </w:rPr>
        <w:t xml:space="preserve">la </w:t>
      </w:r>
      <w:r w:rsidR="00074A6D">
        <w:rPr>
          <w:rFonts w:ascii="Arial" w:eastAsia="Calibri" w:hAnsi="Arial" w:cs="Arial"/>
          <w:color w:val="000000" w:themeColor="text1"/>
          <w:sz w:val="22"/>
          <w:lang w:val="es-ES"/>
        </w:rPr>
        <w:t xml:space="preserve">posterior </w:t>
      </w:r>
      <w:r w:rsidR="00246DE3" w:rsidRPr="00386009">
        <w:rPr>
          <w:rFonts w:ascii="Arial" w:eastAsia="Calibri" w:hAnsi="Arial" w:cs="Arial"/>
          <w:color w:val="000000" w:themeColor="text1"/>
          <w:sz w:val="22"/>
          <w:lang w:val="es-ES"/>
        </w:rPr>
        <w:t xml:space="preserve">legalización del contrato, especialmente cuando la aprobación </w:t>
      </w:r>
      <w:r w:rsidR="0075779C" w:rsidRPr="00386009">
        <w:rPr>
          <w:rFonts w:ascii="Arial" w:eastAsia="Calibri" w:hAnsi="Arial" w:cs="Arial"/>
          <w:color w:val="000000" w:themeColor="text1"/>
          <w:sz w:val="22"/>
          <w:lang w:val="es-ES"/>
        </w:rPr>
        <w:t xml:space="preserve">de </w:t>
      </w:r>
      <w:r w:rsidR="00074A6D">
        <w:rPr>
          <w:rFonts w:ascii="Arial" w:eastAsia="Calibri" w:hAnsi="Arial" w:cs="Arial"/>
          <w:color w:val="000000" w:themeColor="text1"/>
          <w:sz w:val="22"/>
          <w:lang w:val="es-ES"/>
        </w:rPr>
        <w:t xml:space="preserve">la garantía </w:t>
      </w:r>
      <w:r w:rsidR="0075779C" w:rsidRPr="00386009">
        <w:rPr>
          <w:rFonts w:ascii="Arial" w:eastAsia="Calibri" w:hAnsi="Arial" w:cs="Arial"/>
          <w:color w:val="000000" w:themeColor="text1"/>
          <w:sz w:val="22"/>
          <w:lang w:val="es-ES"/>
        </w:rPr>
        <w:t xml:space="preserve"> </w:t>
      </w:r>
      <w:r w:rsidR="00E97DE2" w:rsidRPr="00386009">
        <w:rPr>
          <w:rFonts w:ascii="Arial" w:eastAsia="Calibri" w:hAnsi="Arial" w:cs="Arial"/>
          <w:color w:val="000000" w:themeColor="text1"/>
          <w:sz w:val="22"/>
          <w:lang w:val="es-ES"/>
        </w:rPr>
        <w:t>es uno de los</w:t>
      </w:r>
      <w:r w:rsidR="00246DE3" w:rsidRPr="00386009">
        <w:rPr>
          <w:rFonts w:ascii="Arial" w:eastAsia="Calibri" w:hAnsi="Arial" w:cs="Arial"/>
          <w:color w:val="000000" w:themeColor="text1"/>
          <w:sz w:val="22"/>
          <w:lang w:val="es-ES"/>
        </w:rPr>
        <w:t xml:space="preserve"> requisito</w:t>
      </w:r>
      <w:r w:rsidR="00E97DE2" w:rsidRPr="00386009">
        <w:rPr>
          <w:rFonts w:ascii="Arial" w:eastAsia="Calibri" w:hAnsi="Arial" w:cs="Arial"/>
          <w:color w:val="000000" w:themeColor="text1"/>
          <w:sz w:val="22"/>
          <w:lang w:val="es-ES"/>
        </w:rPr>
        <w:t>s</w:t>
      </w:r>
      <w:r w:rsidR="00246DE3" w:rsidRPr="00386009">
        <w:rPr>
          <w:rFonts w:ascii="Arial" w:eastAsia="Calibri" w:hAnsi="Arial" w:cs="Arial"/>
          <w:color w:val="000000" w:themeColor="text1"/>
          <w:sz w:val="22"/>
          <w:lang w:val="es-ES"/>
        </w:rPr>
        <w:t xml:space="preserve"> de ejecución</w:t>
      </w:r>
      <w:r w:rsidR="00246DE3" w:rsidRPr="00386009">
        <w:rPr>
          <w:rStyle w:val="Refdenotaalpie"/>
          <w:rFonts w:ascii="Arial" w:eastAsia="Calibri" w:hAnsi="Arial" w:cs="Arial"/>
          <w:color w:val="000000" w:themeColor="text1"/>
          <w:sz w:val="22"/>
          <w:lang w:val="es-ES"/>
        </w:rPr>
        <w:footnoteReference w:id="6"/>
      </w:r>
      <w:r w:rsidR="00246DE3" w:rsidRPr="00386009">
        <w:rPr>
          <w:rFonts w:ascii="Arial" w:eastAsia="Calibri" w:hAnsi="Arial" w:cs="Arial"/>
          <w:color w:val="000000" w:themeColor="text1"/>
          <w:sz w:val="22"/>
          <w:lang w:val="es-ES"/>
        </w:rPr>
        <w:t>.</w:t>
      </w:r>
      <w:r w:rsidR="00E97DE2" w:rsidRPr="00386009">
        <w:rPr>
          <w:rFonts w:ascii="Arial" w:eastAsia="Calibri" w:hAnsi="Arial" w:cs="Arial"/>
          <w:color w:val="000000" w:themeColor="text1"/>
          <w:sz w:val="22"/>
          <w:lang w:val="es-ES"/>
        </w:rPr>
        <w:t xml:space="preserve"> </w:t>
      </w:r>
    </w:p>
    <w:p w14:paraId="1618BDFF" w14:textId="0FA8D0F8" w:rsidR="00D811E0" w:rsidRPr="00386009" w:rsidRDefault="00640532" w:rsidP="00D811E0">
      <w:pPr>
        <w:spacing w:after="120" w:line="276" w:lineRule="auto"/>
        <w:ind w:firstLine="709"/>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lastRenderedPageBreak/>
        <w:t xml:space="preserve">Naturalmente, </w:t>
      </w:r>
      <w:r w:rsidR="001541DB" w:rsidRPr="00386009">
        <w:rPr>
          <w:rFonts w:ascii="Arial" w:eastAsia="Calibri" w:hAnsi="Arial" w:cs="Arial"/>
          <w:color w:val="000000" w:themeColor="text1"/>
          <w:sz w:val="22"/>
          <w:lang w:val="es-ES"/>
        </w:rPr>
        <w:t>como</w:t>
      </w:r>
      <w:r w:rsidRPr="00386009">
        <w:rPr>
          <w:rFonts w:ascii="Arial" w:eastAsia="Calibri" w:hAnsi="Arial" w:cs="Arial"/>
          <w:color w:val="000000" w:themeColor="text1"/>
          <w:sz w:val="22"/>
          <w:lang w:val="es-ES"/>
        </w:rPr>
        <w:t xml:space="preserve"> el cronograma </w:t>
      </w:r>
      <w:r w:rsidR="001541DB" w:rsidRPr="00386009">
        <w:rPr>
          <w:rFonts w:ascii="Arial" w:eastAsia="Calibri" w:hAnsi="Arial" w:cs="Arial"/>
          <w:color w:val="000000" w:themeColor="text1"/>
          <w:sz w:val="22"/>
          <w:lang w:val="es-ES"/>
        </w:rPr>
        <w:t xml:space="preserve">del procedimiento de contratación </w:t>
      </w:r>
      <w:r w:rsidRPr="00386009">
        <w:rPr>
          <w:rFonts w:ascii="Arial" w:eastAsia="Calibri" w:hAnsi="Arial" w:cs="Arial"/>
          <w:color w:val="000000" w:themeColor="text1"/>
          <w:sz w:val="22"/>
          <w:lang w:val="es-ES"/>
        </w:rPr>
        <w:t xml:space="preserve">puede </w:t>
      </w:r>
      <w:r w:rsidR="001541DB" w:rsidRPr="00386009">
        <w:rPr>
          <w:rFonts w:ascii="Arial" w:eastAsia="Calibri" w:hAnsi="Arial" w:cs="Arial"/>
          <w:color w:val="000000" w:themeColor="text1"/>
          <w:sz w:val="22"/>
          <w:lang w:val="es-ES"/>
        </w:rPr>
        <w:t>ampliarse</w:t>
      </w:r>
      <w:r w:rsidR="009C46B8" w:rsidRPr="00386009">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por sucesos inesperados,</w:t>
      </w:r>
      <w:r w:rsidR="009C46B8" w:rsidRPr="00386009">
        <w:rPr>
          <w:rFonts w:ascii="Arial" w:eastAsia="Calibri" w:hAnsi="Arial" w:cs="Arial"/>
          <w:color w:val="000000" w:themeColor="text1"/>
          <w:sz w:val="22"/>
          <w:lang w:val="es-ES"/>
        </w:rPr>
        <w:t xml:space="preserve"> </w:t>
      </w:r>
      <w:r w:rsidR="00074A6D">
        <w:rPr>
          <w:rFonts w:ascii="Arial" w:eastAsia="Calibri" w:hAnsi="Arial" w:cs="Arial"/>
          <w:color w:val="000000" w:themeColor="text1"/>
          <w:sz w:val="22"/>
          <w:lang w:val="es-ES"/>
        </w:rPr>
        <w:t>o por o</w:t>
      </w:r>
      <w:r w:rsidR="009C46B8" w:rsidRPr="00386009">
        <w:rPr>
          <w:rFonts w:ascii="Arial" w:eastAsia="Calibri" w:hAnsi="Arial" w:cs="Arial"/>
          <w:color w:val="000000" w:themeColor="text1"/>
          <w:sz w:val="22"/>
          <w:lang w:val="es-ES"/>
        </w:rPr>
        <w:t>tras razones,</w:t>
      </w:r>
      <w:r w:rsidRPr="00386009">
        <w:rPr>
          <w:rFonts w:ascii="Arial" w:eastAsia="Calibri" w:hAnsi="Arial" w:cs="Arial"/>
          <w:color w:val="000000" w:themeColor="text1"/>
          <w:sz w:val="22"/>
          <w:lang w:val="es-ES"/>
        </w:rPr>
        <w:t xml:space="preserve"> el plazo </w:t>
      </w:r>
      <w:r w:rsidR="00103439">
        <w:rPr>
          <w:rFonts w:ascii="Arial" w:eastAsia="Calibri" w:hAnsi="Arial" w:cs="Arial"/>
          <w:color w:val="000000" w:themeColor="text1"/>
          <w:sz w:val="22"/>
          <w:lang w:val="es-ES"/>
        </w:rPr>
        <w:t xml:space="preserve">que debe cubrir </w:t>
      </w:r>
      <w:r w:rsidRPr="00386009">
        <w:rPr>
          <w:rFonts w:ascii="Arial" w:eastAsia="Calibri" w:hAnsi="Arial" w:cs="Arial"/>
          <w:color w:val="000000" w:themeColor="text1"/>
          <w:sz w:val="22"/>
          <w:lang w:val="es-ES"/>
        </w:rPr>
        <w:t>la garantía</w:t>
      </w:r>
      <w:r w:rsidR="0075779C" w:rsidRPr="00386009">
        <w:rPr>
          <w:rFonts w:ascii="Arial" w:eastAsia="Calibri" w:hAnsi="Arial" w:cs="Arial"/>
          <w:color w:val="000000" w:themeColor="text1"/>
          <w:sz w:val="22"/>
          <w:lang w:val="es-ES"/>
        </w:rPr>
        <w:t xml:space="preserve"> de seriedad</w:t>
      </w:r>
      <w:r w:rsidRPr="00386009">
        <w:rPr>
          <w:rFonts w:ascii="Arial" w:eastAsia="Calibri" w:hAnsi="Arial" w:cs="Arial"/>
          <w:color w:val="000000" w:themeColor="text1"/>
          <w:sz w:val="22"/>
          <w:lang w:val="es-ES"/>
        </w:rPr>
        <w:t xml:space="preserve"> se </w:t>
      </w:r>
      <w:r w:rsidR="00103439">
        <w:rPr>
          <w:rFonts w:ascii="Arial" w:eastAsia="Calibri" w:hAnsi="Arial" w:cs="Arial"/>
          <w:color w:val="000000" w:themeColor="text1"/>
          <w:sz w:val="22"/>
          <w:lang w:val="es-ES"/>
        </w:rPr>
        <w:t>determina</w:t>
      </w:r>
      <w:r w:rsidRPr="00386009">
        <w:rPr>
          <w:rFonts w:ascii="Arial" w:eastAsia="Calibri" w:hAnsi="Arial" w:cs="Arial"/>
          <w:color w:val="000000" w:themeColor="text1"/>
          <w:sz w:val="22"/>
          <w:lang w:val="es-ES"/>
        </w:rPr>
        <w:t xml:space="preserve"> </w:t>
      </w:r>
      <w:r w:rsidR="00103439">
        <w:rPr>
          <w:rFonts w:ascii="Arial" w:eastAsia="Calibri" w:hAnsi="Arial" w:cs="Arial"/>
          <w:color w:val="000000" w:themeColor="text1"/>
          <w:sz w:val="22"/>
          <w:lang w:val="es-ES"/>
        </w:rPr>
        <w:t xml:space="preserve">a partir de </w:t>
      </w:r>
      <w:r w:rsidRPr="00386009">
        <w:rPr>
          <w:rFonts w:ascii="Arial" w:eastAsia="Calibri" w:hAnsi="Arial" w:cs="Arial"/>
          <w:color w:val="000000" w:themeColor="text1"/>
          <w:sz w:val="22"/>
          <w:lang w:val="es-ES"/>
        </w:rPr>
        <w:t xml:space="preserve">un </w:t>
      </w:r>
      <w:r w:rsidR="00103439">
        <w:rPr>
          <w:rFonts w:ascii="Arial" w:eastAsia="Calibri" w:hAnsi="Arial" w:cs="Arial"/>
          <w:i/>
          <w:iCs/>
          <w:color w:val="000000" w:themeColor="text1"/>
          <w:sz w:val="22"/>
          <w:lang w:val="es-ES"/>
        </w:rPr>
        <w:t>lapso</w:t>
      </w:r>
      <w:r w:rsidRPr="00386009">
        <w:rPr>
          <w:rFonts w:ascii="Arial" w:eastAsia="Calibri" w:hAnsi="Arial" w:cs="Arial"/>
          <w:i/>
          <w:iCs/>
          <w:color w:val="000000" w:themeColor="text1"/>
          <w:sz w:val="22"/>
          <w:lang w:val="es-ES"/>
        </w:rPr>
        <w:t xml:space="preserve"> de incertidumbre</w:t>
      </w:r>
      <w:r w:rsidR="00074A6D">
        <w:rPr>
          <w:rFonts w:ascii="Arial" w:eastAsia="Calibri" w:hAnsi="Arial" w:cs="Arial"/>
          <w:i/>
          <w:iCs/>
          <w:color w:val="000000" w:themeColor="text1"/>
          <w:sz w:val="22"/>
          <w:lang w:val="es-ES"/>
        </w:rPr>
        <w:t>,</w:t>
      </w:r>
      <w:r w:rsidRPr="00386009">
        <w:rPr>
          <w:rFonts w:ascii="Arial" w:eastAsia="Calibri" w:hAnsi="Arial" w:cs="Arial"/>
          <w:color w:val="000000" w:themeColor="text1"/>
          <w:sz w:val="22"/>
          <w:lang w:val="es-ES"/>
        </w:rPr>
        <w:t xml:space="preserve"> bajo el cual las entidades disponen que</w:t>
      </w:r>
      <w:r w:rsidR="00D811E0" w:rsidRPr="00386009">
        <w:rPr>
          <w:rFonts w:ascii="Arial" w:eastAsia="Calibri" w:hAnsi="Arial" w:cs="Arial"/>
          <w:color w:val="000000" w:themeColor="text1"/>
          <w:sz w:val="22"/>
          <w:lang w:val="es-ES"/>
        </w:rPr>
        <w:t xml:space="preserve"> la</w:t>
      </w:r>
      <w:r w:rsidRPr="00386009">
        <w:rPr>
          <w:rFonts w:ascii="Arial" w:eastAsia="Calibri" w:hAnsi="Arial" w:cs="Arial"/>
          <w:color w:val="000000" w:themeColor="text1"/>
          <w:sz w:val="22"/>
          <w:lang w:val="es-ES"/>
        </w:rPr>
        <w:t xml:space="preserve"> seriedad del ofrecimiento tenga una vigencia superior a la duración del procedimiento de selección</w:t>
      </w:r>
      <w:r w:rsidR="0075779C" w:rsidRPr="00386009">
        <w:rPr>
          <w:rFonts w:ascii="Arial" w:eastAsia="Calibri" w:hAnsi="Arial" w:cs="Arial"/>
          <w:color w:val="000000" w:themeColor="text1"/>
          <w:sz w:val="22"/>
          <w:lang w:val="es-ES"/>
        </w:rPr>
        <w:t>, incluyendo tanto el plazo de suscripción del contrato como el de aprobación de la garantía única</w:t>
      </w:r>
      <w:r w:rsidRPr="00386009">
        <w:rPr>
          <w:rFonts w:ascii="Arial" w:eastAsia="Calibri" w:hAnsi="Arial" w:cs="Arial"/>
          <w:color w:val="000000" w:themeColor="text1"/>
          <w:sz w:val="22"/>
          <w:lang w:val="es-ES"/>
        </w:rPr>
        <w:t>.</w:t>
      </w:r>
    </w:p>
    <w:p w14:paraId="2A4F437D" w14:textId="77777777" w:rsidR="00103439" w:rsidRDefault="0075779C">
      <w:pPr>
        <w:spacing w:after="120" w:line="276" w:lineRule="auto"/>
        <w:ind w:firstLine="709"/>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Normalmente,</w:t>
      </w:r>
      <w:r w:rsidR="005015AE" w:rsidRPr="00386009">
        <w:rPr>
          <w:rFonts w:ascii="Arial" w:eastAsia="Calibri" w:hAnsi="Arial" w:cs="Arial"/>
          <w:color w:val="000000" w:themeColor="text1"/>
          <w:sz w:val="22"/>
          <w:lang w:val="es-ES"/>
        </w:rPr>
        <w:t xml:space="preserve"> en </w:t>
      </w:r>
      <w:r w:rsidR="00081384">
        <w:rPr>
          <w:rFonts w:ascii="Arial" w:eastAsia="Calibri" w:hAnsi="Arial" w:cs="Arial"/>
          <w:color w:val="000000" w:themeColor="text1"/>
          <w:sz w:val="22"/>
          <w:lang w:val="es-ES"/>
        </w:rPr>
        <w:t>e</w:t>
      </w:r>
      <w:r w:rsidR="005015AE" w:rsidRPr="00386009">
        <w:rPr>
          <w:rFonts w:ascii="Arial" w:eastAsia="Calibri" w:hAnsi="Arial" w:cs="Arial"/>
          <w:color w:val="000000" w:themeColor="text1"/>
          <w:sz w:val="22"/>
          <w:lang w:val="es-ES"/>
        </w:rPr>
        <w:t>l plieg</w:t>
      </w:r>
      <w:r w:rsidR="00081384">
        <w:rPr>
          <w:rFonts w:ascii="Arial" w:eastAsia="Calibri" w:hAnsi="Arial" w:cs="Arial"/>
          <w:color w:val="000000" w:themeColor="text1"/>
          <w:sz w:val="22"/>
          <w:lang w:val="es-ES"/>
        </w:rPr>
        <w:t>o</w:t>
      </w:r>
      <w:r w:rsidR="005015AE" w:rsidRPr="00386009">
        <w:rPr>
          <w:rFonts w:ascii="Arial" w:eastAsia="Calibri" w:hAnsi="Arial" w:cs="Arial"/>
          <w:color w:val="000000" w:themeColor="text1"/>
          <w:sz w:val="22"/>
          <w:lang w:val="es-ES"/>
        </w:rPr>
        <w:t xml:space="preserve"> </w:t>
      </w:r>
      <w:r w:rsidR="009C46B8" w:rsidRPr="00386009">
        <w:rPr>
          <w:rFonts w:ascii="Arial" w:eastAsia="Calibri" w:hAnsi="Arial" w:cs="Arial"/>
          <w:color w:val="000000" w:themeColor="text1"/>
          <w:sz w:val="22"/>
          <w:lang w:val="es-ES"/>
        </w:rPr>
        <w:t>de condiciones</w:t>
      </w:r>
      <w:r w:rsidR="00081384">
        <w:rPr>
          <w:rFonts w:ascii="Arial" w:eastAsia="Calibri" w:hAnsi="Arial" w:cs="Arial"/>
          <w:color w:val="000000" w:themeColor="text1"/>
          <w:sz w:val="22"/>
          <w:lang w:val="es-ES"/>
        </w:rPr>
        <w:t>,</w:t>
      </w:r>
      <w:r w:rsidR="009C46B8" w:rsidRPr="00386009">
        <w:rPr>
          <w:rFonts w:ascii="Arial" w:eastAsia="Calibri" w:hAnsi="Arial" w:cs="Arial"/>
          <w:color w:val="000000" w:themeColor="text1"/>
          <w:sz w:val="22"/>
          <w:lang w:val="es-ES"/>
        </w:rPr>
        <w:t xml:space="preserve"> </w:t>
      </w:r>
      <w:r w:rsidR="005015AE" w:rsidRPr="00386009">
        <w:rPr>
          <w:rFonts w:ascii="Arial" w:eastAsia="Calibri" w:hAnsi="Arial" w:cs="Arial"/>
          <w:color w:val="000000" w:themeColor="text1"/>
          <w:sz w:val="22"/>
          <w:lang w:val="es-ES"/>
        </w:rPr>
        <w:t>o en la invitaci</w:t>
      </w:r>
      <w:r w:rsidR="00081384">
        <w:rPr>
          <w:rFonts w:ascii="Arial" w:eastAsia="Calibri" w:hAnsi="Arial" w:cs="Arial"/>
          <w:color w:val="000000" w:themeColor="text1"/>
          <w:sz w:val="22"/>
          <w:lang w:val="es-ES"/>
        </w:rPr>
        <w:t>ó</w:t>
      </w:r>
      <w:r w:rsidR="005015AE" w:rsidRPr="00386009">
        <w:rPr>
          <w:rFonts w:ascii="Arial" w:eastAsia="Calibri" w:hAnsi="Arial" w:cs="Arial"/>
          <w:color w:val="000000" w:themeColor="text1"/>
          <w:sz w:val="22"/>
          <w:lang w:val="es-ES"/>
        </w:rPr>
        <w:t>n</w:t>
      </w:r>
      <w:r w:rsidR="009C46B8" w:rsidRPr="00386009">
        <w:rPr>
          <w:rFonts w:ascii="Arial" w:eastAsia="Calibri" w:hAnsi="Arial" w:cs="Arial"/>
          <w:color w:val="000000" w:themeColor="text1"/>
          <w:sz w:val="22"/>
          <w:lang w:val="es-ES"/>
        </w:rPr>
        <w:t xml:space="preserve"> a contratar</w:t>
      </w:r>
      <w:r w:rsidR="00081384">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las entidades </w:t>
      </w:r>
      <w:r w:rsidR="00103439">
        <w:rPr>
          <w:rFonts w:ascii="Arial" w:eastAsia="Calibri" w:hAnsi="Arial" w:cs="Arial"/>
          <w:color w:val="000000" w:themeColor="text1"/>
          <w:sz w:val="22"/>
          <w:lang w:val="es-ES"/>
        </w:rPr>
        <w:t>«</w:t>
      </w:r>
      <w:r w:rsidR="009C46B8" w:rsidRPr="00386009">
        <w:rPr>
          <w:rFonts w:ascii="Arial" w:eastAsia="Calibri" w:hAnsi="Arial" w:cs="Arial"/>
          <w:color w:val="000000" w:themeColor="text1"/>
          <w:sz w:val="22"/>
          <w:lang w:val="es-ES"/>
        </w:rPr>
        <w:t>acostumbran</w:t>
      </w:r>
      <w:r w:rsidR="00103439">
        <w:rPr>
          <w:rFonts w:ascii="Arial" w:eastAsia="Calibri" w:hAnsi="Arial" w:cs="Arial"/>
          <w:color w:val="000000" w:themeColor="text1"/>
          <w:sz w:val="22"/>
          <w:lang w:val="es-ES"/>
        </w:rPr>
        <w:t>»</w:t>
      </w:r>
      <w:r w:rsidR="009C46B8" w:rsidRPr="00386009">
        <w:rPr>
          <w:rFonts w:ascii="Arial" w:eastAsia="Calibri" w:hAnsi="Arial" w:cs="Arial"/>
          <w:color w:val="000000" w:themeColor="text1"/>
          <w:sz w:val="22"/>
          <w:lang w:val="es-ES"/>
        </w:rPr>
        <w:t xml:space="preserve"> </w:t>
      </w:r>
      <w:r w:rsidRPr="00386009">
        <w:rPr>
          <w:rFonts w:ascii="Arial" w:eastAsia="Calibri" w:hAnsi="Arial" w:cs="Arial"/>
          <w:color w:val="000000" w:themeColor="text1"/>
          <w:sz w:val="22"/>
          <w:lang w:val="es-ES"/>
        </w:rPr>
        <w:t>exig</w:t>
      </w:r>
      <w:r w:rsidR="009C46B8" w:rsidRPr="00386009">
        <w:rPr>
          <w:rFonts w:ascii="Arial" w:eastAsia="Calibri" w:hAnsi="Arial" w:cs="Arial"/>
          <w:color w:val="000000" w:themeColor="text1"/>
          <w:sz w:val="22"/>
          <w:lang w:val="es-ES"/>
        </w:rPr>
        <w:t>ir a</w:t>
      </w:r>
      <w:r w:rsidRPr="00386009">
        <w:rPr>
          <w:rFonts w:ascii="Arial" w:eastAsia="Calibri" w:hAnsi="Arial" w:cs="Arial"/>
          <w:color w:val="000000" w:themeColor="text1"/>
          <w:sz w:val="22"/>
          <w:lang w:val="es-ES"/>
        </w:rPr>
        <w:t xml:space="preserve"> los proponentes </w:t>
      </w:r>
      <w:r w:rsidR="009C46B8" w:rsidRPr="00386009">
        <w:rPr>
          <w:rFonts w:ascii="Arial" w:eastAsia="Calibri" w:hAnsi="Arial" w:cs="Arial"/>
          <w:color w:val="000000" w:themeColor="text1"/>
          <w:sz w:val="22"/>
          <w:lang w:val="es-ES"/>
        </w:rPr>
        <w:t xml:space="preserve">que </w:t>
      </w:r>
      <w:r w:rsidRPr="00386009">
        <w:rPr>
          <w:rFonts w:ascii="Arial" w:eastAsia="Calibri" w:hAnsi="Arial" w:cs="Arial"/>
          <w:color w:val="000000" w:themeColor="text1"/>
          <w:sz w:val="22"/>
          <w:lang w:val="es-ES"/>
        </w:rPr>
        <w:t xml:space="preserve">garanticen la seriedad de la propuesta </w:t>
      </w:r>
      <w:r w:rsidR="009C46B8" w:rsidRPr="00386009">
        <w:rPr>
          <w:rFonts w:ascii="Arial" w:eastAsia="Calibri" w:hAnsi="Arial" w:cs="Arial"/>
          <w:color w:val="000000" w:themeColor="text1"/>
          <w:sz w:val="22"/>
          <w:lang w:val="es-ES"/>
        </w:rPr>
        <w:t>durante</w:t>
      </w:r>
      <w:r w:rsidRPr="00386009">
        <w:rPr>
          <w:rFonts w:ascii="Arial" w:eastAsia="Calibri" w:hAnsi="Arial" w:cs="Arial"/>
          <w:color w:val="000000" w:themeColor="text1"/>
          <w:sz w:val="22"/>
          <w:lang w:val="es-ES"/>
        </w:rPr>
        <w:t xml:space="preserve"> </w:t>
      </w:r>
      <w:r w:rsidR="009C46B8" w:rsidRPr="00386009">
        <w:rPr>
          <w:rFonts w:ascii="Arial" w:eastAsia="Calibri" w:hAnsi="Arial" w:cs="Arial"/>
          <w:color w:val="000000" w:themeColor="text1"/>
          <w:sz w:val="22"/>
          <w:lang w:val="es-ES"/>
        </w:rPr>
        <w:t>3 meses –pud</w:t>
      </w:r>
      <w:r w:rsidR="00081384">
        <w:rPr>
          <w:rFonts w:ascii="Arial" w:eastAsia="Calibri" w:hAnsi="Arial" w:cs="Arial"/>
          <w:color w:val="000000" w:themeColor="text1"/>
          <w:sz w:val="22"/>
          <w:lang w:val="es-ES"/>
        </w:rPr>
        <w:t>i</w:t>
      </w:r>
      <w:r w:rsidR="009C46B8" w:rsidRPr="00386009">
        <w:rPr>
          <w:rFonts w:ascii="Arial" w:eastAsia="Calibri" w:hAnsi="Arial" w:cs="Arial"/>
          <w:color w:val="000000" w:themeColor="text1"/>
          <w:sz w:val="22"/>
          <w:lang w:val="es-ES"/>
        </w:rPr>
        <w:t xml:space="preserve">endo ser </w:t>
      </w:r>
      <w:r w:rsidR="00103439">
        <w:rPr>
          <w:rFonts w:ascii="Arial" w:eastAsia="Calibri" w:hAnsi="Arial" w:cs="Arial"/>
          <w:color w:val="000000" w:themeColor="text1"/>
          <w:sz w:val="22"/>
          <w:lang w:val="es-ES"/>
        </w:rPr>
        <w:t xml:space="preserve">de </w:t>
      </w:r>
      <w:r w:rsidR="009C46B8" w:rsidRPr="00386009">
        <w:rPr>
          <w:rFonts w:ascii="Arial" w:eastAsia="Calibri" w:hAnsi="Arial" w:cs="Arial"/>
          <w:color w:val="000000" w:themeColor="text1"/>
          <w:sz w:val="22"/>
          <w:lang w:val="es-ES"/>
        </w:rPr>
        <w:t>más o meno</w:t>
      </w:r>
      <w:r w:rsidR="00081384">
        <w:rPr>
          <w:rFonts w:ascii="Arial" w:eastAsia="Calibri" w:hAnsi="Arial" w:cs="Arial"/>
          <w:color w:val="000000" w:themeColor="text1"/>
          <w:sz w:val="22"/>
          <w:lang w:val="es-ES"/>
        </w:rPr>
        <w:t>s</w:t>
      </w:r>
      <w:r w:rsidR="009C46B8" w:rsidRPr="00386009">
        <w:rPr>
          <w:rFonts w:ascii="Arial" w:eastAsia="Calibri" w:hAnsi="Arial" w:cs="Arial"/>
          <w:color w:val="000000" w:themeColor="text1"/>
          <w:sz w:val="22"/>
          <w:lang w:val="es-ES"/>
        </w:rPr>
        <w:t xml:space="preserve"> tiempo–, para</w:t>
      </w:r>
      <w:r w:rsidR="00640532" w:rsidRPr="00386009">
        <w:rPr>
          <w:rFonts w:ascii="Arial" w:eastAsia="Calibri" w:hAnsi="Arial" w:cs="Arial"/>
          <w:color w:val="000000" w:themeColor="text1"/>
          <w:sz w:val="22"/>
          <w:lang w:val="es-ES"/>
        </w:rPr>
        <w:t xml:space="preserve"> </w:t>
      </w:r>
      <w:r w:rsidR="009C46B8" w:rsidRPr="00386009">
        <w:rPr>
          <w:rFonts w:ascii="Arial" w:eastAsia="Calibri" w:hAnsi="Arial" w:cs="Arial"/>
          <w:color w:val="000000" w:themeColor="text1"/>
          <w:sz w:val="22"/>
          <w:lang w:val="es-ES"/>
        </w:rPr>
        <w:t xml:space="preserve">cubrir </w:t>
      </w:r>
      <w:r w:rsidR="00103439">
        <w:rPr>
          <w:rFonts w:ascii="Arial" w:eastAsia="Calibri" w:hAnsi="Arial" w:cs="Arial"/>
          <w:color w:val="000000" w:themeColor="text1"/>
          <w:sz w:val="22"/>
          <w:lang w:val="es-ES"/>
        </w:rPr>
        <w:t xml:space="preserve">el lapso que tarda el trámite precontractual, pero también los eventuales contratiempos y hasta </w:t>
      </w:r>
      <w:r w:rsidR="009C46B8" w:rsidRPr="00386009">
        <w:rPr>
          <w:rFonts w:ascii="Arial" w:eastAsia="Calibri" w:hAnsi="Arial" w:cs="Arial"/>
          <w:color w:val="000000" w:themeColor="text1"/>
          <w:sz w:val="22"/>
          <w:lang w:val="es-ES"/>
        </w:rPr>
        <w:t>l</w:t>
      </w:r>
      <w:r w:rsidR="00640532" w:rsidRPr="00386009">
        <w:rPr>
          <w:rFonts w:ascii="Arial" w:eastAsia="Calibri" w:hAnsi="Arial" w:cs="Arial"/>
          <w:color w:val="000000" w:themeColor="text1"/>
          <w:sz w:val="22"/>
          <w:lang w:val="es-ES"/>
        </w:rPr>
        <w:t xml:space="preserve">as </w:t>
      </w:r>
      <w:r w:rsidR="009C46B8" w:rsidRPr="00386009">
        <w:rPr>
          <w:rFonts w:ascii="Arial" w:eastAsia="Calibri" w:hAnsi="Arial" w:cs="Arial"/>
          <w:color w:val="000000" w:themeColor="text1"/>
          <w:sz w:val="22"/>
          <w:lang w:val="es-ES"/>
        </w:rPr>
        <w:t xml:space="preserve">eventuales </w:t>
      </w:r>
      <w:r w:rsidR="00640532" w:rsidRPr="00386009">
        <w:rPr>
          <w:rFonts w:ascii="Arial" w:eastAsia="Calibri" w:hAnsi="Arial" w:cs="Arial"/>
          <w:color w:val="000000" w:themeColor="text1"/>
          <w:sz w:val="22"/>
          <w:lang w:val="es-ES"/>
        </w:rPr>
        <w:t xml:space="preserve">ampliaciones de las </w:t>
      </w:r>
      <w:r w:rsidR="009C46B8" w:rsidRPr="00386009">
        <w:rPr>
          <w:rFonts w:ascii="Arial" w:eastAsia="Calibri" w:hAnsi="Arial" w:cs="Arial"/>
          <w:color w:val="000000" w:themeColor="text1"/>
          <w:sz w:val="22"/>
          <w:lang w:val="es-ES"/>
        </w:rPr>
        <w:t xml:space="preserve">distintas </w:t>
      </w:r>
      <w:r w:rsidR="00640532" w:rsidRPr="00386009">
        <w:rPr>
          <w:rFonts w:ascii="Arial" w:eastAsia="Calibri" w:hAnsi="Arial" w:cs="Arial"/>
          <w:color w:val="000000" w:themeColor="text1"/>
          <w:sz w:val="22"/>
          <w:lang w:val="es-ES"/>
        </w:rPr>
        <w:t xml:space="preserve">etapas </w:t>
      </w:r>
      <w:r w:rsidR="009C46B8" w:rsidRPr="00386009">
        <w:rPr>
          <w:rFonts w:ascii="Arial" w:eastAsia="Calibri" w:hAnsi="Arial" w:cs="Arial"/>
          <w:color w:val="000000" w:themeColor="text1"/>
          <w:sz w:val="22"/>
          <w:lang w:val="es-ES"/>
        </w:rPr>
        <w:t>del procedimiento de selección</w:t>
      </w:r>
      <w:r w:rsidR="00640532" w:rsidRPr="00386009">
        <w:rPr>
          <w:rFonts w:ascii="Arial" w:eastAsia="Calibri" w:hAnsi="Arial" w:cs="Arial"/>
          <w:color w:val="000000" w:themeColor="text1"/>
          <w:sz w:val="22"/>
          <w:lang w:val="es-ES"/>
        </w:rPr>
        <w:t xml:space="preserve">, </w:t>
      </w:r>
      <w:r w:rsidR="00103439">
        <w:rPr>
          <w:rFonts w:ascii="Arial" w:eastAsia="Calibri" w:hAnsi="Arial" w:cs="Arial"/>
          <w:color w:val="000000" w:themeColor="text1"/>
          <w:sz w:val="22"/>
          <w:lang w:val="es-ES"/>
        </w:rPr>
        <w:t xml:space="preserve">así como </w:t>
      </w:r>
      <w:r w:rsidR="009C46B8" w:rsidRPr="00386009">
        <w:rPr>
          <w:rFonts w:ascii="Arial" w:eastAsia="Calibri" w:hAnsi="Arial" w:cs="Arial"/>
          <w:color w:val="000000" w:themeColor="text1"/>
          <w:sz w:val="22"/>
          <w:lang w:val="es-ES"/>
        </w:rPr>
        <w:t>la post</w:t>
      </w:r>
      <w:r w:rsidR="00081384">
        <w:rPr>
          <w:rFonts w:ascii="Arial" w:eastAsia="Calibri" w:hAnsi="Arial" w:cs="Arial"/>
          <w:color w:val="000000" w:themeColor="text1"/>
          <w:sz w:val="22"/>
          <w:lang w:val="es-ES"/>
        </w:rPr>
        <w:t>e</w:t>
      </w:r>
      <w:r w:rsidR="009C46B8" w:rsidRPr="00386009">
        <w:rPr>
          <w:rFonts w:ascii="Arial" w:eastAsia="Calibri" w:hAnsi="Arial" w:cs="Arial"/>
          <w:color w:val="000000" w:themeColor="text1"/>
          <w:sz w:val="22"/>
          <w:lang w:val="es-ES"/>
        </w:rPr>
        <w:t>rior firma del contrato</w:t>
      </w:r>
      <w:r w:rsidR="005A7C11">
        <w:rPr>
          <w:rFonts w:ascii="Arial" w:eastAsia="Calibri" w:hAnsi="Arial" w:cs="Arial"/>
          <w:color w:val="000000" w:themeColor="text1"/>
          <w:sz w:val="22"/>
          <w:lang w:val="es-ES"/>
        </w:rPr>
        <w:t xml:space="preserve"> y aprobación de la garantía de cumplimiento</w:t>
      </w:r>
      <w:r w:rsidR="009C46B8" w:rsidRPr="00386009">
        <w:rPr>
          <w:rFonts w:ascii="Arial" w:eastAsia="Calibri" w:hAnsi="Arial" w:cs="Arial"/>
          <w:color w:val="000000" w:themeColor="text1"/>
          <w:sz w:val="22"/>
          <w:lang w:val="es-ES"/>
        </w:rPr>
        <w:t xml:space="preserve">, </w:t>
      </w:r>
      <w:r w:rsidR="00640532" w:rsidRPr="00386009">
        <w:rPr>
          <w:rFonts w:ascii="Arial" w:eastAsia="Calibri" w:hAnsi="Arial" w:cs="Arial"/>
          <w:color w:val="000000" w:themeColor="text1"/>
          <w:sz w:val="22"/>
          <w:lang w:val="es-ES"/>
        </w:rPr>
        <w:t xml:space="preserve">lo que evita que la Administración solicité </w:t>
      </w:r>
      <w:r w:rsidR="00081384" w:rsidRPr="00386009">
        <w:rPr>
          <w:rFonts w:ascii="Arial" w:eastAsia="Calibri" w:hAnsi="Arial" w:cs="Arial"/>
          <w:color w:val="000000" w:themeColor="text1"/>
          <w:sz w:val="22"/>
          <w:lang w:val="es-ES"/>
        </w:rPr>
        <w:t>frecuentemente</w:t>
      </w:r>
      <w:r w:rsidR="00640532" w:rsidRPr="00386009">
        <w:rPr>
          <w:rFonts w:ascii="Arial" w:eastAsia="Calibri" w:hAnsi="Arial" w:cs="Arial"/>
          <w:color w:val="000000" w:themeColor="text1"/>
          <w:sz w:val="22"/>
          <w:lang w:val="es-ES"/>
        </w:rPr>
        <w:t xml:space="preserve"> </w:t>
      </w:r>
      <w:r w:rsidR="00E87D7A">
        <w:rPr>
          <w:rFonts w:ascii="Arial" w:eastAsia="Calibri" w:hAnsi="Arial" w:cs="Arial"/>
          <w:color w:val="000000" w:themeColor="text1"/>
          <w:sz w:val="22"/>
          <w:lang w:val="es-ES"/>
        </w:rPr>
        <w:t>su</w:t>
      </w:r>
      <w:r w:rsidR="00640532" w:rsidRPr="00386009">
        <w:rPr>
          <w:rFonts w:ascii="Arial" w:eastAsia="Calibri" w:hAnsi="Arial" w:cs="Arial"/>
          <w:color w:val="000000" w:themeColor="text1"/>
          <w:sz w:val="22"/>
          <w:lang w:val="es-ES"/>
        </w:rPr>
        <w:t xml:space="preserve"> prórroga. </w:t>
      </w:r>
    </w:p>
    <w:p w14:paraId="6BFD704E" w14:textId="368E637D" w:rsidR="00E97DE2" w:rsidRPr="00386009" w:rsidRDefault="00E97DE2">
      <w:pPr>
        <w:spacing w:after="120" w:line="276" w:lineRule="auto"/>
        <w:ind w:firstLine="709"/>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 xml:space="preserve">Por tanto, la entidad </w:t>
      </w:r>
      <w:r w:rsidR="00103439">
        <w:rPr>
          <w:rFonts w:ascii="Arial" w:eastAsia="Calibri" w:hAnsi="Arial" w:cs="Arial"/>
          <w:color w:val="000000" w:themeColor="text1"/>
          <w:sz w:val="22"/>
          <w:lang w:val="es-ES"/>
        </w:rPr>
        <w:t xml:space="preserve">calcula y </w:t>
      </w:r>
      <w:r w:rsidR="00E87D7A">
        <w:rPr>
          <w:rFonts w:ascii="Arial" w:eastAsia="Calibri" w:hAnsi="Arial" w:cs="Arial"/>
          <w:color w:val="000000" w:themeColor="text1"/>
          <w:sz w:val="22"/>
          <w:lang w:val="es-ES"/>
        </w:rPr>
        <w:t xml:space="preserve">establece </w:t>
      </w:r>
      <w:r w:rsidRPr="00386009">
        <w:rPr>
          <w:rFonts w:ascii="Arial" w:eastAsia="Calibri" w:hAnsi="Arial" w:cs="Arial"/>
          <w:color w:val="000000" w:themeColor="text1"/>
          <w:sz w:val="22"/>
          <w:lang w:val="es-ES"/>
        </w:rPr>
        <w:t xml:space="preserve">un </w:t>
      </w:r>
      <w:r w:rsidR="00E87D7A">
        <w:rPr>
          <w:rFonts w:ascii="Arial" w:eastAsia="Calibri" w:hAnsi="Arial" w:cs="Arial"/>
          <w:i/>
          <w:iCs/>
          <w:color w:val="000000" w:themeColor="text1"/>
          <w:sz w:val="22"/>
          <w:lang w:val="es-ES"/>
        </w:rPr>
        <w:t>término</w:t>
      </w:r>
      <w:r w:rsidRPr="00386009">
        <w:rPr>
          <w:rFonts w:ascii="Arial" w:eastAsia="Calibri" w:hAnsi="Arial" w:cs="Arial"/>
          <w:i/>
          <w:iCs/>
          <w:color w:val="000000" w:themeColor="text1"/>
          <w:sz w:val="22"/>
          <w:lang w:val="es-ES"/>
        </w:rPr>
        <w:t xml:space="preserve"> </w:t>
      </w:r>
      <w:r w:rsidRPr="00386009">
        <w:rPr>
          <w:rFonts w:ascii="Arial" w:eastAsia="Calibri" w:hAnsi="Arial" w:cs="Arial"/>
          <w:color w:val="000000" w:themeColor="text1"/>
          <w:sz w:val="22"/>
          <w:lang w:val="es-ES"/>
        </w:rPr>
        <w:t xml:space="preserve">para </w:t>
      </w:r>
      <w:r w:rsidR="00E87D7A">
        <w:rPr>
          <w:rFonts w:ascii="Arial" w:eastAsia="Calibri" w:hAnsi="Arial" w:cs="Arial"/>
          <w:color w:val="000000" w:themeColor="text1"/>
          <w:sz w:val="22"/>
          <w:lang w:val="es-ES"/>
        </w:rPr>
        <w:t xml:space="preserve">realizar el </w:t>
      </w:r>
      <w:proofErr w:type="spellStart"/>
      <w:r w:rsidR="00E87D7A">
        <w:rPr>
          <w:rFonts w:ascii="Arial" w:eastAsia="Calibri" w:hAnsi="Arial" w:cs="Arial"/>
          <w:color w:val="000000" w:themeColor="text1"/>
          <w:sz w:val="22"/>
          <w:lang w:val="es-ES"/>
        </w:rPr>
        <w:t>procedimeitno</w:t>
      </w:r>
      <w:proofErr w:type="spellEnd"/>
      <w:r w:rsidR="00E87D7A">
        <w:rPr>
          <w:rFonts w:ascii="Arial" w:eastAsia="Calibri" w:hAnsi="Arial" w:cs="Arial"/>
          <w:color w:val="000000" w:themeColor="text1"/>
          <w:sz w:val="22"/>
          <w:lang w:val="es-ES"/>
        </w:rPr>
        <w:t xml:space="preserve"> de selección, firmar el contrato y </w:t>
      </w:r>
      <w:r w:rsidRPr="00386009">
        <w:rPr>
          <w:rFonts w:ascii="Arial" w:eastAsia="Calibri" w:hAnsi="Arial" w:cs="Arial"/>
          <w:color w:val="000000" w:themeColor="text1"/>
          <w:sz w:val="22"/>
          <w:lang w:val="es-ES"/>
        </w:rPr>
        <w:t>aproba</w:t>
      </w:r>
      <w:r w:rsidR="00E87D7A">
        <w:rPr>
          <w:rFonts w:ascii="Arial" w:eastAsia="Calibri" w:hAnsi="Arial" w:cs="Arial"/>
          <w:color w:val="000000" w:themeColor="text1"/>
          <w:sz w:val="22"/>
          <w:lang w:val="es-ES"/>
        </w:rPr>
        <w:t xml:space="preserve">r </w:t>
      </w:r>
      <w:r w:rsidRPr="00386009">
        <w:rPr>
          <w:rFonts w:ascii="Arial" w:eastAsia="Calibri" w:hAnsi="Arial" w:cs="Arial"/>
          <w:color w:val="000000" w:themeColor="text1"/>
          <w:sz w:val="22"/>
          <w:lang w:val="es-ES"/>
        </w:rPr>
        <w:t xml:space="preserve">la garantía </w:t>
      </w:r>
      <w:r w:rsidR="0075779C" w:rsidRPr="00386009">
        <w:rPr>
          <w:rFonts w:ascii="Arial" w:eastAsia="Calibri" w:hAnsi="Arial" w:cs="Arial"/>
          <w:color w:val="000000" w:themeColor="text1"/>
          <w:sz w:val="22"/>
          <w:lang w:val="es-ES"/>
        </w:rPr>
        <w:t>de cumplimiento</w:t>
      </w:r>
      <w:r w:rsidR="00E87D7A">
        <w:rPr>
          <w:rFonts w:ascii="Arial" w:eastAsia="Calibri" w:hAnsi="Arial" w:cs="Arial"/>
          <w:color w:val="000000" w:themeColor="text1"/>
          <w:sz w:val="22"/>
          <w:lang w:val="es-ES"/>
        </w:rPr>
        <w:t>,</w:t>
      </w:r>
      <w:r w:rsidR="0075779C" w:rsidRPr="00386009">
        <w:rPr>
          <w:rFonts w:ascii="Arial" w:eastAsia="Calibri" w:hAnsi="Arial" w:cs="Arial"/>
          <w:color w:val="000000" w:themeColor="text1"/>
          <w:sz w:val="22"/>
          <w:lang w:val="es-ES"/>
        </w:rPr>
        <w:t xml:space="preserve"> </w:t>
      </w:r>
      <w:r w:rsidRPr="00386009">
        <w:rPr>
          <w:rFonts w:ascii="Arial" w:eastAsia="Calibri" w:hAnsi="Arial" w:cs="Arial"/>
          <w:color w:val="000000" w:themeColor="text1"/>
          <w:sz w:val="22"/>
          <w:lang w:val="es-ES"/>
        </w:rPr>
        <w:t xml:space="preserve">contado a partir de la recepción de las propuestas, fecha </w:t>
      </w:r>
      <w:r w:rsidR="00E338D4" w:rsidRPr="00386009">
        <w:rPr>
          <w:rFonts w:ascii="Arial" w:eastAsia="Calibri" w:hAnsi="Arial" w:cs="Arial"/>
          <w:color w:val="000000" w:themeColor="text1"/>
          <w:sz w:val="22"/>
          <w:lang w:val="es-ES"/>
        </w:rPr>
        <w:t xml:space="preserve">que </w:t>
      </w:r>
      <w:r w:rsidRPr="00386009">
        <w:rPr>
          <w:rFonts w:ascii="Arial" w:eastAsia="Calibri" w:hAnsi="Arial" w:cs="Arial"/>
          <w:color w:val="000000" w:themeColor="text1"/>
          <w:sz w:val="22"/>
          <w:lang w:val="es-ES"/>
        </w:rPr>
        <w:t xml:space="preserve">se define al elaborar el pliego o la invitación. Esta </w:t>
      </w:r>
      <w:r w:rsidRPr="00386009">
        <w:rPr>
          <w:rFonts w:ascii="Arial" w:eastAsia="Calibri" w:hAnsi="Arial" w:cs="Arial"/>
          <w:i/>
          <w:iCs/>
          <w:color w:val="000000" w:themeColor="text1"/>
          <w:sz w:val="22"/>
          <w:lang w:val="es-ES"/>
        </w:rPr>
        <w:t>estimación</w:t>
      </w:r>
      <w:r w:rsidRPr="00386009">
        <w:rPr>
          <w:rFonts w:ascii="Arial" w:eastAsia="Calibri" w:hAnsi="Arial" w:cs="Arial"/>
          <w:color w:val="000000" w:themeColor="text1"/>
          <w:sz w:val="22"/>
          <w:lang w:val="es-ES"/>
        </w:rPr>
        <w:t xml:space="preserve"> corresponde a la vigencia de la garantía </w:t>
      </w:r>
      <w:r w:rsidR="00F86237" w:rsidRPr="00386009">
        <w:rPr>
          <w:rFonts w:ascii="Arial" w:eastAsia="Calibri" w:hAnsi="Arial" w:cs="Arial"/>
          <w:color w:val="000000" w:themeColor="text1"/>
          <w:sz w:val="22"/>
          <w:lang w:val="es-ES"/>
        </w:rPr>
        <w:t xml:space="preserve">precontractual, y las autoridades públicas </w:t>
      </w:r>
      <w:r w:rsidR="00103439">
        <w:rPr>
          <w:rFonts w:ascii="Arial" w:eastAsia="Calibri" w:hAnsi="Arial" w:cs="Arial"/>
          <w:color w:val="000000" w:themeColor="text1"/>
          <w:sz w:val="22"/>
          <w:lang w:val="es-ES"/>
        </w:rPr>
        <w:t>lo</w:t>
      </w:r>
      <w:r w:rsidR="00F86237" w:rsidRPr="00386009">
        <w:rPr>
          <w:rFonts w:ascii="Arial" w:eastAsia="Calibri" w:hAnsi="Arial" w:cs="Arial"/>
          <w:color w:val="000000" w:themeColor="text1"/>
          <w:sz w:val="22"/>
          <w:lang w:val="es-ES"/>
        </w:rPr>
        <w:t xml:space="preserve"> fija</w:t>
      </w:r>
      <w:r w:rsidR="00103439">
        <w:rPr>
          <w:rFonts w:ascii="Arial" w:eastAsia="Calibri" w:hAnsi="Arial" w:cs="Arial"/>
          <w:color w:val="000000" w:themeColor="text1"/>
          <w:sz w:val="22"/>
          <w:lang w:val="es-ES"/>
        </w:rPr>
        <w:t>n</w:t>
      </w:r>
      <w:r w:rsidR="00F86237" w:rsidRPr="00386009">
        <w:rPr>
          <w:rFonts w:ascii="Arial" w:eastAsia="Calibri" w:hAnsi="Arial" w:cs="Arial"/>
          <w:color w:val="000000" w:themeColor="text1"/>
          <w:sz w:val="22"/>
          <w:lang w:val="es-ES"/>
        </w:rPr>
        <w:t xml:space="preserve"> discrecionalmente</w:t>
      </w:r>
      <w:r w:rsidR="00E87D7A">
        <w:rPr>
          <w:rFonts w:ascii="Arial" w:eastAsia="Calibri" w:hAnsi="Arial" w:cs="Arial"/>
          <w:color w:val="000000" w:themeColor="text1"/>
          <w:sz w:val="22"/>
          <w:lang w:val="es-ES"/>
        </w:rPr>
        <w:t>,</w:t>
      </w:r>
      <w:r w:rsidR="00E338D4" w:rsidRPr="00386009">
        <w:rPr>
          <w:rFonts w:ascii="Arial" w:eastAsia="Calibri" w:hAnsi="Arial" w:cs="Arial"/>
          <w:color w:val="000000" w:themeColor="text1"/>
          <w:sz w:val="22"/>
          <w:lang w:val="es-ES"/>
        </w:rPr>
        <w:t xml:space="preserve"> salvo que se trate de un procedimiento regulado por </w:t>
      </w:r>
      <w:r w:rsidR="002C7DAF" w:rsidRPr="00386009">
        <w:rPr>
          <w:rFonts w:ascii="Arial" w:eastAsia="Calibri" w:hAnsi="Arial" w:cs="Arial"/>
          <w:color w:val="000000" w:themeColor="text1"/>
          <w:sz w:val="22"/>
          <w:lang w:val="es-ES"/>
        </w:rPr>
        <w:t>documentos tipo</w:t>
      </w:r>
      <w:bookmarkEnd w:id="12"/>
      <w:r w:rsidR="00E338D4" w:rsidRPr="00386009">
        <w:rPr>
          <w:rStyle w:val="Refdenotaalpie"/>
          <w:rFonts w:ascii="Arial" w:eastAsia="Calibri" w:hAnsi="Arial" w:cs="Arial"/>
          <w:color w:val="000000" w:themeColor="text1"/>
          <w:sz w:val="22"/>
          <w:lang w:val="es-ES"/>
        </w:rPr>
        <w:footnoteReference w:id="7"/>
      </w:r>
      <w:r w:rsidRPr="00386009">
        <w:rPr>
          <w:rFonts w:ascii="Arial" w:eastAsia="Calibri" w:hAnsi="Arial" w:cs="Arial"/>
          <w:color w:val="000000" w:themeColor="text1"/>
          <w:sz w:val="22"/>
          <w:lang w:val="es-ES"/>
        </w:rPr>
        <w:t>.</w:t>
      </w:r>
      <w:r w:rsidR="00640532" w:rsidRPr="00386009">
        <w:rPr>
          <w:rFonts w:ascii="Arial" w:eastAsia="Calibri" w:hAnsi="Arial" w:cs="Arial"/>
          <w:color w:val="000000" w:themeColor="text1"/>
          <w:sz w:val="22"/>
          <w:lang w:val="es-ES"/>
        </w:rPr>
        <w:t xml:space="preserve">  </w:t>
      </w:r>
      <w:r w:rsidR="00AE78E3" w:rsidRPr="00386009">
        <w:rPr>
          <w:rFonts w:ascii="Arial" w:eastAsia="Calibri" w:hAnsi="Arial" w:cs="Arial"/>
          <w:color w:val="000000" w:themeColor="text1"/>
          <w:sz w:val="22"/>
          <w:lang w:val="es-ES"/>
        </w:rPr>
        <w:t xml:space="preserve">  </w:t>
      </w:r>
    </w:p>
    <w:p w14:paraId="6A6A443F" w14:textId="7B12FD79" w:rsidR="00B1745B" w:rsidRPr="00386009" w:rsidRDefault="00E97DE2" w:rsidP="00DD0085">
      <w:pPr>
        <w:spacing w:after="120" w:line="276" w:lineRule="auto"/>
        <w:ind w:firstLine="709"/>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 xml:space="preserve">Esta característica diferencia </w:t>
      </w:r>
      <w:r w:rsidR="00F86237" w:rsidRPr="00386009">
        <w:rPr>
          <w:rFonts w:ascii="Arial" w:eastAsia="Calibri" w:hAnsi="Arial" w:cs="Arial"/>
          <w:color w:val="000000" w:themeColor="text1"/>
          <w:sz w:val="22"/>
          <w:lang w:val="es-ES"/>
        </w:rPr>
        <w:t xml:space="preserve">la garantía de seriedad </w:t>
      </w:r>
      <w:r w:rsidRPr="00386009">
        <w:rPr>
          <w:rFonts w:ascii="Arial" w:eastAsia="Calibri" w:hAnsi="Arial" w:cs="Arial"/>
          <w:color w:val="000000" w:themeColor="text1"/>
          <w:sz w:val="22"/>
          <w:lang w:val="es-ES"/>
        </w:rPr>
        <w:t>de otr</w:t>
      </w:r>
      <w:r w:rsidR="00227EFE">
        <w:rPr>
          <w:rFonts w:ascii="Arial" w:eastAsia="Calibri" w:hAnsi="Arial" w:cs="Arial"/>
          <w:color w:val="000000" w:themeColor="text1"/>
          <w:sz w:val="22"/>
          <w:lang w:val="es-ES"/>
        </w:rPr>
        <w:t xml:space="preserve">os </w:t>
      </w:r>
      <w:r w:rsidRPr="00386009">
        <w:rPr>
          <w:rFonts w:ascii="Arial" w:eastAsia="Calibri" w:hAnsi="Arial" w:cs="Arial"/>
          <w:color w:val="000000" w:themeColor="text1"/>
          <w:sz w:val="22"/>
          <w:lang w:val="es-ES"/>
        </w:rPr>
        <w:t>ampa</w:t>
      </w:r>
      <w:r w:rsidR="00F86237" w:rsidRPr="00386009">
        <w:rPr>
          <w:rFonts w:ascii="Arial" w:eastAsia="Calibri" w:hAnsi="Arial" w:cs="Arial"/>
          <w:color w:val="000000" w:themeColor="text1"/>
          <w:sz w:val="22"/>
          <w:lang w:val="es-ES"/>
        </w:rPr>
        <w:t>ros</w:t>
      </w:r>
      <w:r w:rsidR="00227EFE">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w:t>
      </w:r>
      <w:r w:rsidR="00227EFE">
        <w:rPr>
          <w:rFonts w:ascii="Arial" w:eastAsia="Calibri" w:hAnsi="Arial" w:cs="Arial"/>
          <w:color w:val="000000" w:themeColor="text1"/>
          <w:sz w:val="22"/>
          <w:lang w:val="es-ES"/>
        </w:rPr>
        <w:t xml:space="preserve">pues </w:t>
      </w:r>
      <w:r w:rsidRPr="00386009">
        <w:rPr>
          <w:rFonts w:ascii="Arial" w:eastAsia="Calibri" w:hAnsi="Arial" w:cs="Arial"/>
          <w:color w:val="000000" w:themeColor="text1"/>
          <w:sz w:val="22"/>
          <w:lang w:val="es-ES"/>
        </w:rPr>
        <w:t>el Decreto 1082 de 2015</w:t>
      </w:r>
      <w:r w:rsidR="00227EFE">
        <w:rPr>
          <w:rFonts w:ascii="Arial" w:eastAsia="Calibri" w:hAnsi="Arial" w:cs="Arial"/>
          <w:color w:val="000000" w:themeColor="text1"/>
          <w:sz w:val="22"/>
          <w:lang w:val="es-ES"/>
        </w:rPr>
        <w:t xml:space="preserve"> </w:t>
      </w:r>
      <w:r w:rsidRPr="00386009">
        <w:rPr>
          <w:rFonts w:ascii="Arial" w:eastAsia="Calibri" w:hAnsi="Arial" w:cs="Arial"/>
          <w:color w:val="000000" w:themeColor="text1"/>
          <w:sz w:val="22"/>
          <w:lang w:val="es-ES"/>
        </w:rPr>
        <w:t>define</w:t>
      </w:r>
      <w:r w:rsidR="00F030E6">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w:t>
      </w:r>
      <w:r w:rsidR="00227EFE">
        <w:rPr>
          <w:rFonts w:ascii="Arial" w:eastAsia="Calibri" w:hAnsi="Arial" w:cs="Arial"/>
          <w:color w:val="000000" w:themeColor="text1"/>
          <w:sz w:val="22"/>
          <w:lang w:val="es-ES"/>
        </w:rPr>
        <w:t>para muchos</w:t>
      </w:r>
      <w:r w:rsidR="00F030E6">
        <w:rPr>
          <w:rFonts w:ascii="Arial" w:eastAsia="Calibri" w:hAnsi="Arial" w:cs="Arial"/>
          <w:color w:val="000000" w:themeColor="text1"/>
          <w:sz w:val="22"/>
          <w:lang w:val="es-ES"/>
        </w:rPr>
        <w:t>,</w:t>
      </w:r>
      <w:r w:rsidR="00227EFE">
        <w:rPr>
          <w:rFonts w:ascii="Arial" w:eastAsia="Calibri" w:hAnsi="Arial" w:cs="Arial"/>
          <w:color w:val="000000" w:themeColor="text1"/>
          <w:sz w:val="22"/>
          <w:lang w:val="es-ES"/>
        </w:rPr>
        <w:t xml:space="preserve"> </w:t>
      </w:r>
      <w:r w:rsidRPr="00386009">
        <w:rPr>
          <w:rFonts w:ascii="Arial" w:eastAsia="Calibri" w:hAnsi="Arial" w:cs="Arial"/>
          <w:color w:val="000000" w:themeColor="text1"/>
          <w:sz w:val="22"/>
          <w:lang w:val="es-ES"/>
        </w:rPr>
        <w:t xml:space="preserve">tanto el </w:t>
      </w:r>
      <w:proofErr w:type="spellStart"/>
      <w:r w:rsidR="00F86237" w:rsidRPr="00386009">
        <w:rPr>
          <w:rFonts w:ascii="Arial" w:eastAsia="Calibri" w:hAnsi="Arial" w:cs="Arial"/>
          <w:i/>
          <w:iCs/>
          <w:color w:val="000000" w:themeColor="text1"/>
          <w:sz w:val="22"/>
          <w:lang w:val="es-ES"/>
        </w:rPr>
        <w:t>dies</w:t>
      </w:r>
      <w:proofErr w:type="spellEnd"/>
      <w:r w:rsidR="00F86237" w:rsidRPr="00386009">
        <w:rPr>
          <w:rFonts w:ascii="Arial" w:eastAsia="Calibri" w:hAnsi="Arial" w:cs="Arial"/>
          <w:i/>
          <w:iCs/>
          <w:color w:val="000000" w:themeColor="text1"/>
          <w:sz w:val="22"/>
          <w:lang w:val="es-ES"/>
        </w:rPr>
        <w:t xml:space="preserve"> a quo </w:t>
      </w:r>
      <w:r w:rsidR="00F86237" w:rsidRPr="00386009">
        <w:rPr>
          <w:rFonts w:ascii="Arial" w:eastAsia="Calibri" w:hAnsi="Arial" w:cs="Arial"/>
          <w:color w:val="000000" w:themeColor="text1"/>
          <w:sz w:val="22"/>
          <w:lang w:val="es-ES"/>
        </w:rPr>
        <w:t xml:space="preserve">como el </w:t>
      </w:r>
      <w:proofErr w:type="spellStart"/>
      <w:r w:rsidR="00F86237" w:rsidRPr="00386009">
        <w:rPr>
          <w:rFonts w:ascii="Arial" w:eastAsia="Calibri" w:hAnsi="Arial" w:cs="Arial"/>
          <w:i/>
          <w:iCs/>
          <w:color w:val="000000" w:themeColor="text1"/>
          <w:sz w:val="22"/>
          <w:lang w:val="es-ES"/>
        </w:rPr>
        <w:t>dies</w:t>
      </w:r>
      <w:proofErr w:type="spellEnd"/>
      <w:r w:rsidR="00F86237" w:rsidRPr="00386009">
        <w:rPr>
          <w:rFonts w:ascii="Arial" w:eastAsia="Calibri" w:hAnsi="Arial" w:cs="Arial"/>
          <w:i/>
          <w:iCs/>
          <w:color w:val="000000" w:themeColor="text1"/>
          <w:sz w:val="22"/>
          <w:lang w:val="es-ES"/>
        </w:rPr>
        <w:t xml:space="preserve"> ad </w:t>
      </w:r>
      <w:proofErr w:type="spellStart"/>
      <w:r w:rsidR="00F86237" w:rsidRPr="00386009">
        <w:rPr>
          <w:rFonts w:ascii="Arial" w:eastAsia="Calibri" w:hAnsi="Arial" w:cs="Arial"/>
          <w:i/>
          <w:iCs/>
          <w:color w:val="000000" w:themeColor="text1"/>
          <w:sz w:val="22"/>
          <w:lang w:val="es-ES"/>
        </w:rPr>
        <w:t>quem</w:t>
      </w:r>
      <w:proofErr w:type="spellEnd"/>
      <w:r w:rsidR="00E338D4" w:rsidRPr="00386009">
        <w:rPr>
          <w:rFonts w:ascii="Arial" w:eastAsia="Calibri" w:hAnsi="Arial" w:cs="Arial"/>
          <w:color w:val="000000" w:themeColor="text1"/>
          <w:sz w:val="22"/>
          <w:lang w:val="es-ES"/>
        </w:rPr>
        <w:t xml:space="preserve"> mínimo</w:t>
      </w:r>
      <w:r w:rsidR="00F86237" w:rsidRPr="00386009">
        <w:rPr>
          <w:rFonts w:ascii="Arial" w:eastAsia="Calibri" w:hAnsi="Arial" w:cs="Arial"/>
          <w:color w:val="000000" w:themeColor="text1"/>
          <w:sz w:val="22"/>
          <w:lang w:val="es-ES"/>
        </w:rPr>
        <w:t xml:space="preserve">. Por ejemplo, el artículo 2.2.1.2.3.1.13 dispone que </w:t>
      </w:r>
      <w:r w:rsidR="00046B6A" w:rsidRPr="00386009">
        <w:rPr>
          <w:rFonts w:ascii="Arial" w:eastAsia="Calibri" w:hAnsi="Arial" w:cs="Arial"/>
          <w:color w:val="000000" w:themeColor="text1"/>
          <w:sz w:val="22"/>
          <w:lang w:val="es-ES"/>
        </w:rPr>
        <w:t>el amparo de pago de salarios y prestaciones sociales tiene una vigencia equivalente al plazo del contrato y tres (3) años m</w:t>
      </w:r>
      <w:r w:rsidR="00F030E6">
        <w:rPr>
          <w:rFonts w:ascii="Arial" w:eastAsia="Calibri" w:hAnsi="Arial" w:cs="Arial"/>
          <w:color w:val="000000" w:themeColor="text1"/>
          <w:sz w:val="22"/>
          <w:lang w:val="es-ES"/>
        </w:rPr>
        <w:t>á</w:t>
      </w:r>
      <w:r w:rsidR="00046B6A" w:rsidRPr="00386009">
        <w:rPr>
          <w:rFonts w:ascii="Arial" w:eastAsia="Calibri" w:hAnsi="Arial" w:cs="Arial"/>
          <w:color w:val="000000" w:themeColor="text1"/>
          <w:sz w:val="22"/>
          <w:lang w:val="es-ES"/>
        </w:rPr>
        <w:t xml:space="preserve">s; </w:t>
      </w:r>
      <w:r w:rsidR="00F86237" w:rsidRPr="00386009">
        <w:rPr>
          <w:rFonts w:ascii="Arial" w:eastAsia="Calibri" w:hAnsi="Arial" w:cs="Arial"/>
          <w:color w:val="000000" w:themeColor="text1"/>
          <w:sz w:val="22"/>
          <w:lang w:val="es-ES"/>
        </w:rPr>
        <w:t>para la estabilidad de la obra</w:t>
      </w:r>
      <w:r w:rsidR="003B2566">
        <w:rPr>
          <w:rFonts w:ascii="Arial" w:eastAsia="Calibri" w:hAnsi="Arial" w:cs="Arial"/>
          <w:color w:val="000000" w:themeColor="text1"/>
          <w:sz w:val="22"/>
          <w:lang w:val="es-ES"/>
        </w:rPr>
        <w:t>,</w:t>
      </w:r>
      <w:r w:rsidR="00F86237" w:rsidRPr="00386009">
        <w:rPr>
          <w:rFonts w:ascii="Arial" w:eastAsia="Calibri" w:hAnsi="Arial" w:cs="Arial"/>
          <w:color w:val="000000" w:themeColor="text1"/>
          <w:sz w:val="22"/>
          <w:lang w:val="es-ES"/>
        </w:rPr>
        <w:t xml:space="preserve"> el artículo 2.2.1.2.3.1.14 dispone que el amparo estará vigente por un término no inferior a cinco (5) años</w:t>
      </w:r>
      <w:r w:rsidR="00F030E6">
        <w:rPr>
          <w:rFonts w:ascii="Arial" w:eastAsia="Calibri" w:hAnsi="Arial" w:cs="Arial"/>
          <w:color w:val="000000" w:themeColor="text1"/>
          <w:sz w:val="22"/>
          <w:lang w:val="es-ES"/>
        </w:rPr>
        <w:t>,</w:t>
      </w:r>
      <w:r w:rsidR="00F86237" w:rsidRPr="00386009">
        <w:rPr>
          <w:rFonts w:ascii="Arial" w:eastAsia="Calibri" w:hAnsi="Arial" w:cs="Arial"/>
          <w:color w:val="000000" w:themeColor="text1"/>
          <w:sz w:val="22"/>
          <w:lang w:val="es-ES"/>
        </w:rPr>
        <w:t xml:space="preserve"> contado a partir del recibo a satisfacción;</w:t>
      </w:r>
      <w:r w:rsidRPr="00386009">
        <w:rPr>
          <w:rFonts w:ascii="Arial" w:eastAsia="Calibri" w:hAnsi="Arial" w:cs="Arial"/>
          <w:color w:val="000000" w:themeColor="text1"/>
          <w:sz w:val="22"/>
          <w:lang w:val="es-ES"/>
        </w:rPr>
        <w:t xml:space="preserve"> </w:t>
      </w:r>
      <w:r w:rsidR="00E338D4" w:rsidRPr="00386009">
        <w:rPr>
          <w:rFonts w:ascii="Arial" w:eastAsia="Calibri" w:hAnsi="Arial" w:cs="Arial"/>
          <w:color w:val="000000" w:themeColor="text1"/>
          <w:sz w:val="22"/>
          <w:lang w:val="es-ES"/>
        </w:rPr>
        <w:t xml:space="preserve">y para el seguro de responsabilidad civil extracontractual, la vigencia debe ser igual o superior al plazo de ejecución del contrato. </w:t>
      </w:r>
    </w:p>
    <w:p w14:paraId="1DD50FE1" w14:textId="3583DDBB" w:rsidR="00425426" w:rsidRPr="00386009" w:rsidRDefault="00B1745B" w:rsidP="00F876CA">
      <w:pPr>
        <w:spacing w:after="120" w:line="276" w:lineRule="auto"/>
        <w:ind w:firstLine="709"/>
        <w:jc w:val="both"/>
        <w:rPr>
          <w:rFonts w:ascii="Arial" w:eastAsia="Calibri" w:hAnsi="Arial" w:cs="Arial"/>
          <w:color w:val="000000" w:themeColor="text1"/>
          <w:sz w:val="22"/>
          <w:lang w:val="es-ES"/>
        </w:rPr>
      </w:pPr>
      <w:r w:rsidRPr="004D7916">
        <w:rPr>
          <w:rFonts w:ascii="Arial" w:eastAsia="Calibri" w:hAnsi="Arial" w:cs="Arial"/>
          <w:color w:val="000000" w:themeColor="text1"/>
          <w:sz w:val="22"/>
          <w:lang w:val="es-ES"/>
        </w:rPr>
        <w:t xml:space="preserve">La </w:t>
      </w:r>
      <w:r w:rsidR="009A62EC" w:rsidRPr="004D7916">
        <w:rPr>
          <w:rFonts w:ascii="Arial" w:eastAsia="Calibri" w:hAnsi="Arial" w:cs="Arial"/>
          <w:color w:val="000000" w:themeColor="text1"/>
          <w:sz w:val="22"/>
          <w:lang w:val="es-ES"/>
        </w:rPr>
        <w:t xml:space="preserve">determinación </w:t>
      </w:r>
      <w:r w:rsidR="002C7DAF" w:rsidRPr="004D7916">
        <w:rPr>
          <w:rFonts w:ascii="Arial" w:eastAsia="Calibri" w:hAnsi="Arial" w:cs="Arial"/>
          <w:color w:val="000000" w:themeColor="text1"/>
          <w:sz w:val="22"/>
          <w:lang w:val="es-ES"/>
        </w:rPr>
        <w:t xml:space="preserve">del </w:t>
      </w:r>
      <w:r w:rsidR="009A62EC" w:rsidRPr="004D7916">
        <w:rPr>
          <w:rFonts w:ascii="Arial" w:eastAsia="Calibri" w:hAnsi="Arial" w:cs="Arial"/>
          <w:i/>
          <w:iCs/>
          <w:color w:val="000000" w:themeColor="text1"/>
          <w:sz w:val="22"/>
          <w:lang w:val="es-ES"/>
        </w:rPr>
        <w:t>valor</w:t>
      </w:r>
      <w:r w:rsidR="002C7DAF" w:rsidRPr="004D7916">
        <w:rPr>
          <w:rFonts w:ascii="Arial" w:eastAsia="Calibri" w:hAnsi="Arial" w:cs="Arial"/>
          <w:color w:val="000000" w:themeColor="text1"/>
          <w:sz w:val="22"/>
          <w:lang w:val="es-ES"/>
        </w:rPr>
        <w:t xml:space="preserve"> y el </w:t>
      </w:r>
      <w:r w:rsidR="002C7DAF" w:rsidRPr="004D7916">
        <w:rPr>
          <w:rFonts w:ascii="Arial" w:eastAsia="Calibri" w:hAnsi="Arial" w:cs="Arial"/>
          <w:i/>
          <w:iCs/>
          <w:color w:val="000000" w:themeColor="text1"/>
          <w:sz w:val="22"/>
          <w:lang w:val="es-ES"/>
        </w:rPr>
        <w:t>tiempo</w:t>
      </w:r>
      <w:r w:rsidR="002C7DAF" w:rsidRPr="004D7916">
        <w:rPr>
          <w:rFonts w:ascii="Arial" w:eastAsia="Calibri" w:hAnsi="Arial" w:cs="Arial"/>
          <w:color w:val="000000" w:themeColor="text1"/>
          <w:sz w:val="22"/>
          <w:lang w:val="es-ES"/>
        </w:rPr>
        <w:t xml:space="preserve"> </w:t>
      </w:r>
      <w:r w:rsidR="009A62EC" w:rsidRPr="004D7916">
        <w:rPr>
          <w:rFonts w:ascii="Arial" w:eastAsia="Calibri" w:hAnsi="Arial" w:cs="Arial"/>
          <w:color w:val="000000" w:themeColor="text1"/>
          <w:sz w:val="22"/>
          <w:lang w:val="es-ES"/>
        </w:rPr>
        <w:t xml:space="preserve">de cobertura </w:t>
      </w:r>
      <w:r w:rsidR="002C7DAF" w:rsidRPr="004D7916">
        <w:rPr>
          <w:rFonts w:ascii="Arial" w:eastAsia="Calibri" w:hAnsi="Arial" w:cs="Arial"/>
          <w:color w:val="000000" w:themeColor="text1"/>
          <w:sz w:val="22"/>
          <w:lang w:val="es-ES"/>
        </w:rPr>
        <w:t xml:space="preserve">de </w:t>
      </w:r>
      <w:r w:rsidR="00B26EB2" w:rsidRPr="004D7916">
        <w:rPr>
          <w:rFonts w:ascii="Arial" w:eastAsia="Calibri" w:hAnsi="Arial" w:cs="Arial"/>
          <w:color w:val="000000" w:themeColor="text1"/>
          <w:sz w:val="22"/>
          <w:lang w:val="es-ES"/>
        </w:rPr>
        <w:t>esta</w:t>
      </w:r>
      <w:r w:rsidR="002C7DAF" w:rsidRPr="004D7916">
        <w:rPr>
          <w:rFonts w:ascii="Arial" w:eastAsia="Calibri" w:hAnsi="Arial" w:cs="Arial"/>
          <w:color w:val="000000" w:themeColor="text1"/>
          <w:sz w:val="22"/>
          <w:lang w:val="es-ES"/>
        </w:rPr>
        <w:t xml:space="preserve"> garantía</w:t>
      </w:r>
      <w:r w:rsidR="00B26EB2" w:rsidRPr="004D7916">
        <w:rPr>
          <w:rFonts w:ascii="Arial" w:eastAsia="Calibri" w:hAnsi="Arial" w:cs="Arial"/>
          <w:color w:val="000000" w:themeColor="text1"/>
          <w:sz w:val="22"/>
          <w:lang w:val="es-ES"/>
        </w:rPr>
        <w:t xml:space="preserve"> precontractual</w:t>
      </w:r>
      <w:r w:rsidRPr="004D7916">
        <w:rPr>
          <w:rFonts w:ascii="Arial" w:eastAsia="Calibri" w:hAnsi="Arial" w:cs="Arial"/>
          <w:color w:val="000000" w:themeColor="text1"/>
          <w:sz w:val="22"/>
          <w:lang w:val="es-ES"/>
        </w:rPr>
        <w:t xml:space="preserve"> es esencial </w:t>
      </w:r>
      <w:r w:rsidR="002C7DAF" w:rsidRPr="004D7916">
        <w:rPr>
          <w:rFonts w:ascii="Arial" w:eastAsia="Calibri" w:hAnsi="Arial" w:cs="Arial"/>
          <w:color w:val="000000" w:themeColor="text1"/>
          <w:sz w:val="22"/>
          <w:lang w:val="es-ES"/>
        </w:rPr>
        <w:t xml:space="preserve">en </w:t>
      </w:r>
      <w:r w:rsidRPr="004D7916">
        <w:rPr>
          <w:rFonts w:ascii="Arial" w:eastAsia="Calibri" w:hAnsi="Arial" w:cs="Arial"/>
          <w:color w:val="000000" w:themeColor="text1"/>
          <w:sz w:val="22"/>
          <w:lang w:val="es-ES"/>
        </w:rPr>
        <w:t xml:space="preserve">el procedimiento de </w:t>
      </w:r>
      <w:r w:rsidR="009A62EC" w:rsidRPr="004D7916">
        <w:rPr>
          <w:rFonts w:ascii="Arial" w:eastAsia="Calibri" w:hAnsi="Arial" w:cs="Arial"/>
          <w:color w:val="000000" w:themeColor="text1"/>
          <w:sz w:val="22"/>
          <w:lang w:val="es-ES"/>
        </w:rPr>
        <w:t>s</w:t>
      </w:r>
      <w:r w:rsidRPr="004D7916">
        <w:rPr>
          <w:rFonts w:ascii="Arial" w:eastAsia="Calibri" w:hAnsi="Arial" w:cs="Arial"/>
          <w:color w:val="000000" w:themeColor="text1"/>
          <w:sz w:val="22"/>
          <w:lang w:val="es-ES"/>
        </w:rPr>
        <w:t>elección.</w:t>
      </w:r>
      <w:r w:rsidR="002C7DAF" w:rsidRPr="004D7916">
        <w:rPr>
          <w:rFonts w:ascii="Arial" w:eastAsia="Calibri" w:hAnsi="Arial" w:cs="Arial"/>
          <w:color w:val="000000" w:themeColor="text1"/>
          <w:sz w:val="22"/>
          <w:lang w:val="es-ES"/>
        </w:rPr>
        <w:t xml:space="preserve"> Respecto al primero, </w:t>
      </w:r>
      <w:r w:rsidR="003B2566" w:rsidRPr="004D7916">
        <w:rPr>
          <w:rFonts w:ascii="Arial" w:eastAsia="Calibri" w:hAnsi="Arial" w:cs="Arial"/>
          <w:color w:val="000000" w:themeColor="text1"/>
          <w:sz w:val="22"/>
          <w:lang w:val="es-ES"/>
        </w:rPr>
        <w:t>corresponde</w:t>
      </w:r>
      <w:r w:rsidR="00B26EB2" w:rsidRPr="004D7916">
        <w:rPr>
          <w:rFonts w:ascii="Arial" w:eastAsia="Calibri" w:hAnsi="Arial" w:cs="Arial"/>
          <w:color w:val="000000" w:themeColor="text1"/>
          <w:sz w:val="22"/>
          <w:lang w:val="es-ES"/>
        </w:rPr>
        <w:t xml:space="preserve"> a la </w:t>
      </w:r>
      <w:r w:rsidR="00B26EB2" w:rsidRPr="004D7916">
        <w:rPr>
          <w:rFonts w:ascii="Arial" w:eastAsia="Calibri" w:hAnsi="Arial" w:cs="Arial"/>
          <w:color w:val="000000" w:themeColor="text1"/>
          <w:sz w:val="22"/>
          <w:lang w:val="es-ES"/>
        </w:rPr>
        <w:lastRenderedPageBreak/>
        <w:t xml:space="preserve">sanción </w:t>
      </w:r>
      <w:r w:rsidR="008E668C" w:rsidRPr="004D7916">
        <w:rPr>
          <w:rFonts w:ascii="Arial" w:eastAsia="Calibri" w:hAnsi="Arial" w:cs="Arial"/>
          <w:color w:val="000000" w:themeColor="text1"/>
          <w:sz w:val="22"/>
          <w:lang w:val="es-ES"/>
        </w:rPr>
        <w:t xml:space="preserve">por </w:t>
      </w:r>
      <w:r w:rsidR="00B26EB2" w:rsidRPr="004D7916">
        <w:rPr>
          <w:rFonts w:ascii="Arial" w:eastAsia="Calibri" w:hAnsi="Arial" w:cs="Arial"/>
          <w:color w:val="000000" w:themeColor="text1"/>
          <w:sz w:val="22"/>
          <w:lang w:val="es-ES"/>
        </w:rPr>
        <w:t xml:space="preserve">el incumplimiento de la </w:t>
      </w:r>
      <w:r w:rsidR="003B2566" w:rsidRPr="004D7916">
        <w:rPr>
          <w:rFonts w:ascii="Arial" w:eastAsia="Calibri" w:hAnsi="Arial" w:cs="Arial"/>
          <w:color w:val="000000" w:themeColor="text1"/>
          <w:sz w:val="22"/>
          <w:lang w:val="es-ES"/>
        </w:rPr>
        <w:t xml:space="preserve">seriedad de la </w:t>
      </w:r>
      <w:r w:rsidR="00B26EB2" w:rsidRPr="004D7916">
        <w:rPr>
          <w:rFonts w:ascii="Arial" w:eastAsia="Calibri" w:hAnsi="Arial" w:cs="Arial"/>
          <w:color w:val="000000" w:themeColor="text1"/>
          <w:sz w:val="22"/>
          <w:lang w:val="es-ES"/>
        </w:rPr>
        <w:t>propuesta, delimitando la obligación pecuniaria de la aseguradora</w:t>
      </w:r>
      <w:r w:rsidR="00B26EB2" w:rsidRPr="004D7916">
        <w:rPr>
          <w:rStyle w:val="Refdenotaalpie"/>
          <w:rFonts w:ascii="Arial" w:eastAsia="Calibri" w:hAnsi="Arial" w:cs="Arial"/>
          <w:color w:val="000000" w:themeColor="text1"/>
          <w:sz w:val="22"/>
          <w:lang w:val="es-ES"/>
        </w:rPr>
        <w:footnoteReference w:id="8"/>
      </w:r>
      <w:r w:rsidR="00B26EB2" w:rsidRPr="004D7916">
        <w:rPr>
          <w:rFonts w:ascii="Arial" w:eastAsia="Calibri" w:hAnsi="Arial" w:cs="Arial"/>
          <w:color w:val="000000" w:themeColor="text1"/>
          <w:sz w:val="22"/>
          <w:lang w:val="es-ES"/>
        </w:rPr>
        <w:t>.</w:t>
      </w:r>
      <w:r w:rsidRPr="004D7916">
        <w:rPr>
          <w:rFonts w:ascii="Arial" w:eastAsia="Calibri" w:hAnsi="Arial" w:cs="Arial"/>
          <w:color w:val="000000" w:themeColor="text1"/>
          <w:sz w:val="22"/>
          <w:lang w:val="es-ES"/>
        </w:rPr>
        <w:t xml:space="preserve"> </w:t>
      </w:r>
      <w:r w:rsidR="000114DD" w:rsidRPr="004D7916">
        <w:rPr>
          <w:rFonts w:ascii="Arial" w:eastAsia="Calibri" w:hAnsi="Arial" w:cs="Arial"/>
          <w:color w:val="000000" w:themeColor="text1"/>
          <w:sz w:val="22"/>
          <w:lang w:val="es-ES"/>
        </w:rPr>
        <w:t xml:space="preserve">Lo anterior es </w:t>
      </w:r>
      <w:r w:rsidR="003B2566" w:rsidRPr="004D7916">
        <w:rPr>
          <w:rFonts w:ascii="Arial" w:eastAsia="Calibri" w:hAnsi="Arial" w:cs="Arial"/>
          <w:color w:val="000000" w:themeColor="text1"/>
          <w:sz w:val="22"/>
          <w:lang w:val="es-ES"/>
        </w:rPr>
        <w:t xml:space="preserve">una </w:t>
      </w:r>
      <w:r w:rsidR="000114DD" w:rsidRPr="004D7916">
        <w:rPr>
          <w:rFonts w:ascii="Arial" w:eastAsia="Calibri" w:hAnsi="Arial" w:cs="Arial"/>
          <w:color w:val="000000" w:themeColor="text1"/>
          <w:sz w:val="22"/>
          <w:lang w:val="es-ES"/>
        </w:rPr>
        <w:t xml:space="preserve">consecuencia del principio de responsabilidad, </w:t>
      </w:r>
      <w:r w:rsidR="002E5783" w:rsidRPr="004D7916">
        <w:rPr>
          <w:rFonts w:ascii="Arial" w:eastAsia="Calibri" w:hAnsi="Arial" w:cs="Arial"/>
          <w:color w:val="000000" w:themeColor="text1"/>
          <w:sz w:val="22"/>
          <w:lang w:val="es-ES"/>
        </w:rPr>
        <w:t>ya que</w:t>
      </w:r>
      <w:r w:rsidR="000114DD" w:rsidRPr="004D7916">
        <w:rPr>
          <w:rFonts w:ascii="Arial" w:eastAsia="Calibri" w:hAnsi="Arial" w:cs="Arial"/>
          <w:color w:val="000000" w:themeColor="text1"/>
          <w:sz w:val="22"/>
          <w:lang w:val="es-ES"/>
        </w:rPr>
        <w:t xml:space="preserve"> el </w:t>
      </w:r>
      <w:r w:rsidR="00D94CFB" w:rsidRPr="004D7916">
        <w:rPr>
          <w:rFonts w:ascii="Arial" w:eastAsia="Calibri" w:hAnsi="Arial" w:cs="Arial"/>
          <w:color w:val="000000" w:themeColor="text1"/>
          <w:sz w:val="22"/>
          <w:lang w:val="es-ES"/>
        </w:rPr>
        <w:t>mantenimiento de la oferta está sujeto al deber de buena fe y</w:t>
      </w:r>
      <w:r w:rsidR="008E668C" w:rsidRPr="004D7916">
        <w:rPr>
          <w:rFonts w:ascii="Arial" w:eastAsia="Calibri" w:hAnsi="Arial" w:cs="Arial"/>
          <w:color w:val="000000" w:themeColor="text1"/>
          <w:sz w:val="22"/>
          <w:lang w:val="es-ES"/>
        </w:rPr>
        <w:t>,</w:t>
      </w:r>
      <w:r w:rsidR="00D94CFB" w:rsidRPr="004D7916">
        <w:rPr>
          <w:rFonts w:ascii="Arial" w:eastAsia="Calibri" w:hAnsi="Arial" w:cs="Arial"/>
          <w:color w:val="000000" w:themeColor="text1"/>
          <w:sz w:val="22"/>
          <w:lang w:val="es-ES"/>
        </w:rPr>
        <w:t xml:space="preserve"> por tanto</w:t>
      </w:r>
      <w:r w:rsidR="008E668C" w:rsidRPr="004D7916">
        <w:rPr>
          <w:rFonts w:ascii="Arial" w:eastAsia="Calibri" w:hAnsi="Arial" w:cs="Arial"/>
          <w:color w:val="000000" w:themeColor="text1"/>
          <w:sz w:val="22"/>
          <w:lang w:val="es-ES"/>
        </w:rPr>
        <w:t>,</w:t>
      </w:r>
      <w:r w:rsidR="00D94CFB" w:rsidRPr="004D7916">
        <w:rPr>
          <w:rFonts w:ascii="Arial" w:eastAsia="Calibri" w:hAnsi="Arial" w:cs="Arial"/>
          <w:color w:val="000000" w:themeColor="text1"/>
          <w:sz w:val="22"/>
          <w:lang w:val="es-ES"/>
        </w:rPr>
        <w:t xml:space="preserve"> el desconocimiento de las expectativas legítimas de la Administración autoriza la reparación de los perjuicios sufridos.</w:t>
      </w:r>
      <w:r w:rsidR="00F876CA" w:rsidRPr="004D7916">
        <w:rPr>
          <w:rFonts w:ascii="Arial" w:eastAsia="Calibri" w:hAnsi="Arial" w:cs="Arial"/>
          <w:color w:val="000000" w:themeColor="text1"/>
          <w:sz w:val="22"/>
          <w:lang w:val="es-ES"/>
        </w:rPr>
        <w:t xml:space="preserve"> </w:t>
      </w:r>
      <w:r w:rsidR="00885121" w:rsidRPr="004D7916">
        <w:rPr>
          <w:rFonts w:ascii="Arial" w:eastAsia="Calibri" w:hAnsi="Arial" w:cs="Arial"/>
          <w:color w:val="000000" w:themeColor="text1"/>
          <w:sz w:val="22"/>
          <w:lang w:val="es-ES"/>
        </w:rPr>
        <w:t xml:space="preserve">Respecto al segundo, el </w:t>
      </w:r>
      <w:r w:rsidR="00885121" w:rsidRPr="004D7916">
        <w:rPr>
          <w:rFonts w:ascii="Arial" w:eastAsia="Calibri" w:hAnsi="Arial" w:cs="Arial"/>
          <w:i/>
          <w:iCs/>
          <w:color w:val="000000" w:themeColor="text1"/>
          <w:sz w:val="22"/>
          <w:lang w:val="es-ES"/>
        </w:rPr>
        <w:t xml:space="preserve">plazo de cobertura </w:t>
      </w:r>
      <w:r w:rsidR="00885121" w:rsidRPr="004D7916">
        <w:rPr>
          <w:rFonts w:ascii="Arial" w:eastAsia="Calibri" w:hAnsi="Arial" w:cs="Arial"/>
          <w:color w:val="000000" w:themeColor="text1"/>
          <w:sz w:val="22"/>
          <w:lang w:val="es-ES"/>
        </w:rPr>
        <w:t xml:space="preserve">delimita </w:t>
      </w:r>
      <w:r w:rsidR="003B2566" w:rsidRPr="004D7916">
        <w:rPr>
          <w:rFonts w:ascii="Arial" w:eastAsia="Calibri" w:hAnsi="Arial" w:cs="Arial"/>
          <w:color w:val="000000" w:themeColor="text1"/>
          <w:sz w:val="22"/>
          <w:lang w:val="es-ES"/>
        </w:rPr>
        <w:t>directamente</w:t>
      </w:r>
      <w:r w:rsidR="003B2566" w:rsidRPr="004D7916">
        <w:rPr>
          <w:rFonts w:ascii="Arial" w:eastAsia="Calibri" w:hAnsi="Arial" w:cs="Arial"/>
          <w:i/>
          <w:iCs/>
          <w:color w:val="000000" w:themeColor="text1"/>
          <w:sz w:val="22"/>
          <w:lang w:val="es-ES"/>
        </w:rPr>
        <w:t xml:space="preserve"> </w:t>
      </w:r>
      <w:r w:rsidR="00885121" w:rsidRPr="004D7916">
        <w:rPr>
          <w:rFonts w:ascii="Arial" w:eastAsia="Calibri" w:hAnsi="Arial" w:cs="Arial"/>
          <w:color w:val="000000" w:themeColor="text1"/>
          <w:sz w:val="22"/>
          <w:lang w:val="es-ES"/>
        </w:rPr>
        <w:t>el per</w:t>
      </w:r>
      <w:r w:rsidR="00F876CA" w:rsidRPr="004D7916">
        <w:rPr>
          <w:rFonts w:ascii="Arial" w:eastAsia="Calibri" w:hAnsi="Arial" w:cs="Arial"/>
          <w:color w:val="000000" w:themeColor="text1"/>
          <w:sz w:val="22"/>
          <w:lang w:val="es-ES"/>
        </w:rPr>
        <w:t>í</w:t>
      </w:r>
      <w:r w:rsidR="00885121" w:rsidRPr="004D7916">
        <w:rPr>
          <w:rFonts w:ascii="Arial" w:eastAsia="Calibri" w:hAnsi="Arial" w:cs="Arial"/>
          <w:color w:val="000000" w:themeColor="text1"/>
          <w:sz w:val="22"/>
          <w:lang w:val="es-ES"/>
        </w:rPr>
        <w:t xml:space="preserve">odo </w:t>
      </w:r>
      <w:r w:rsidR="00F876CA" w:rsidRPr="004D7916">
        <w:rPr>
          <w:rFonts w:ascii="Arial" w:eastAsia="Calibri" w:hAnsi="Arial" w:cs="Arial"/>
          <w:color w:val="000000" w:themeColor="text1"/>
          <w:sz w:val="22"/>
          <w:lang w:val="es-ES"/>
        </w:rPr>
        <w:t>de</w:t>
      </w:r>
      <w:r w:rsidR="00885121" w:rsidRPr="004D7916">
        <w:rPr>
          <w:rFonts w:ascii="Arial" w:eastAsia="Calibri" w:hAnsi="Arial" w:cs="Arial"/>
          <w:color w:val="000000" w:themeColor="text1"/>
          <w:sz w:val="22"/>
          <w:lang w:val="es-ES"/>
        </w:rPr>
        <w:t xml:space="preserve"> vigencia de la </w:t>
      </w:r>
      <w:r w:rsidR="00F876CA" w:rsidRPr="004D7916">
        <w:rPr>
          <w:rFonts w:ascii="Arial" w:eastAsia="Calibri" w:hAnsi="Arial" w:cs="Arial"/>
          <w:color w:val="000000" w:themeColor="text1"/>
          <w:sz w:val="22"/>
          <w:lang w:val="es-ES"/>
        </w:rPr>
        <w:t>oferta</w:t>
      </w:r>
      <w:r w:rsidR="00AE78E3" w:rsidRPr="004D7916">
        <w:rPr>
          <w:rFonts w:ascii="Arial" w:eastAsia="Calibri" w:hAnsi="Arial" w:cs="Arial"/>
          <w:color w:val="000000" w:themeColor="text1"/>
          <w:sz w:val="22"/>
          <w:lang w:val="es-ES"/>
        </w:rPr>
        <w:t>.</w:t>
      </w:r>
      <w:r w:rsidR="005015AE" w:rsidRPr="00386009">
        <w:rPr>
          <w:rFonts w:ascii="Arial" w:eastAsia="Calibri" w:hAnsi="Arial" w:cs="Arial"/>
          <w:color w:val="000000" w:themeColor="text1"/>
          <w:sz w:val="22"/>
          <w:lang w:val="es-ES"/>
        </w:rPr>
        <w:t xml:space="preserve"> </w:t>
      </w:r>
    </w:p>
    <w:p w14:paraId="467C3547" w14:textId="20B70D81" w:rsidR="002C1A39" w:rsidRPr="00386009" w:rsidRDefault="002C1A39" w:rsidP="00A40A5F">
      <w:pPr>
        <w:spacing w:after="120" w:line="276" w:lineRule="auto"/>
        <w:ind w:firstLine="709"/>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 xml:space="preserve">En ambos aspectos, es decir, tanto respecto al valor como al plazo, la garantía de seriedad </w:t>
      </w:r>
      <w:r w:rsidR="001E4F07" w:rsidRPr="00386009">
        <w:rPr>
          <w:rFonts w:ascii="Arial" w:eastAsia="Calibri" w:hAnsi="Arial" w:cs="Arial"/>
          <w:color w:val="000000" w:themeColor="text1"/>
          <w:sz w:val="22"/>
          <w:lang w:val="es-ES"/>
        </w:rPr>
        <w:t>tiene diferencias marcadas con el</w:t>
      </w:r>
      <w:r w:rsidRPr="00386009">
        <w:rPr>
          <w:rFonts w:ascii="Arial" w:eastAsia="Calibri" w:hAnsi="Arial" w:cs="Arial"/>
          <w:color w:val="000000" w:themeColor="text1"/>
          <w:sz w:val="22"/>
          <w:lang w:val="es-ES"/>
        </w:rPr>
        <w:t xml:space="preserve"> régimen de </w:t>
      </w:r>
      <w:r w:rsidR="007D55D9">
        <w:rPr>
          <w:rFonts w:ascii="Arial" w:eastAsia="Calibri" w:hAnsi="Arial" w:cs="Arial"/>
          <w:color w:val="000000" w:themeColor="text1"/>
          <w:sz w:val="22"/>
          <w:lang w:val="es-ES"/>
        </w:rPr>
        <w:t xml:space="preserve">la </w:t>
      </w:r>
      <w:r w:rsidRPr="00386009">
        <w:rPr>
          <w:rFonts w:ascii="Arial" w:eastAsia="Calibri" w:hAnsi="Arial" w:cs="Arial"/>
          <w:color w:val="000000" w:themeColor="text1"/>
          <w:sz w:val="22"/>
          <w:lang w:val="es-ES"/>
        </w:rPr>
        <w:t xml:space="preserve">irrevocabilidad de la oferta en el derecho privado. </w:t>
      </w:r>
      <w:r w:rsidR="007D55D9">
        <w:rPr>
          <w:rFonts w:ascii="Arial" w:eastAsia="Calibri" w:hAnsi="Arial" w:cs="Arial"/>
          <w:color w:val="000000" w:themeColor="text1"/>
          <w:sz w:val="22"/>
          <w:lang w:val="es-ES"/>
        </w:rPr>
        <w:t>El</w:t>
      </w:r>
      <w:r w:rsidR="001E4F07" w:rsidRPr="00386009">
        <w:rPr>
          <w:rFonts w:ascii="Arial" w:eastAsia="Calibri" w:hAnsi="Arial" w:cs="Arial"/>
          <w:color w:val="000000" w:themeColor="text1"/>
          <w:sz w:val="22"/>
          <w:lang w:val="es-ES"/>
        </w:rPr>
        <w:t xml:space="preserve"> inciso primero del artículo 846 del Código de Comercio dispone que «La propuesta será irrevocable</w:t>
      </w:r>
      <w:r w:rsidR="00001DEA">
        <w:rPr>
          <w:rFonts w:ascii="Arial" w:eastAsia="Calibri" w:hAnsi="Arial" w:cs="Arial"/>
          <w:color w:val="000000" w:themeColor="text1"/>
          <w:sz w:val="22"/>
          <w:lang w:val="es-ES"/>
        </w:rPr>
        <w:t xml:space="preserve">, por lo tanto, </w:t>
      </w:r>
      <w:r w:rsidR="001E4F07" w:rsidRPr="00386009">
        <w:rPr>
          <w:rFonts w:ascii="Arial" w:eastAsia="Calibri" w:hAnsi="Arial" w:cs="Arial"/>
          <w:color w:val="000000" w:themeColor="text1"/>
          <w:sz w:val="22"/>
          <w:lang w:val="es-ES"/>
        </w:rPr>
        <w:t>una vez comunicada, no podrá retractarse el proponente, so pena de indemnizar los perjuicios que con su revocación cause al destinatario». Aunque la contratación estatal se rige por una regla similar, son evidentes los matices introducidos en el régimen de la garantía precontractual, pues</w:t>
      </w:r>
      <w:r w:rsidR="00F76DB4" w:rsidRPr="00386009">
        <w:rPr>
          <w:rFonts w:ascii="Arial" w:eastAsia="Calibri" w:hAnsi="Arial" w:cs="Arial"/>
          <w:color w:val="000000" w:themeColor="text1"/>
          <w:sz w:val="22"/>
          <w:lang w:val="es-ES"/>
        </w:rPr>
        <w:t xml:space="preserve"> </w:t>
      </w:r>
      <w:r w:rsidR="007D55D9">
        <w:rPr>
          <w:rFonts w:ascii="Arial" w:eastAsia="Calibri" w:hAnsi="Arial" w:cs="Arial"/>
          <w:color w:val="000000" w:themeColor="text1"/>
          <w:sz w:val="22"/>
          <w:lang w:val="es-ES"/>
        </w:rPr>
        <w:t xml:space="preserve">el </w:t>
      </w:r>
      <w:r w:rsidR="00F76DB4" w:rsidRPr="00386009">
        <w:rPr>
          <w:rFonts w:ascii="Arial" w:eastAsia="Calibri" w:hAnsi="Arial" w:cs="Arial"/>
          <w:color w:val="000000" w:themeColor="text1"/>
          <w:sz w:val="22"/>
          <w:lang w:val="es-ES"/>
        </w:rPr>
        <w:t xml:space="preserve">artículo </w:t>
      </w:r>
      <w:r w:rsidR="00CB311E" w:rsidRPr="00386009">
        <w:rPr>
          <w:rFonts w:ascii="Arial" w:eastAsia="Calibri" w:hAnsi="Arial" w:cs="Arial"/>
          <w:color w:val="000000" w:themeColor="text1"/>
          <w:sz w:val="22"/>
          <w:lang w:val="es-ES"/>
        </w:rPr>
        <w:t>2.2.1.2.3.2.8 del Decreto 1082 de 2015 dispone que «En caso de siniestro en la garantía de la seriedad de la oferta, la compañía de seguros debe responder por el total del valor asegurado a título de sanción»</w:t>
      </w:r>
      <w:r w:rsidR="00BE46A4" w:rsidRPr="00386009">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w:t>
      </w:r>
    </w:p>
    <w:p w14:paraId="55B448BE" w14:textId="043F4757" w:rsidR="00637A53" w:rsidRPr="00386009" w:rsidRDefault="00B37AA5" w:rsidP="00637A53">
      <w:pPr>
        <w:spacing w:after="120" w:line="276" w:lineRule="auto"/>
        <w:ind w:firstLine="709"/>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 xml:space="preserve">Adicionalmente, </w:t>
      </w:r>
      <w:r w:rsidR="000C400E">
        <w:rPr>
          <w:rFonts w:ascii="Arial" w:eastAsia="Calibri" w:hAnsi="Arial" w:cs="Arial"/>
          <w:color w:val="000000" w:themeColor="text1"/>
          <w:sz w:val="22"/>
          <w:lang w:val="es-ES"/>
        </w:rPr>
        <w:t>la ley civil y comercial</w:t>
      </w:r>
      <w:r w:rsidRPr="00386009">
        <w:rPr>
          <w:rFonts w:ascii="Arial" w:eastAsia="Calibri" w:hAnsi="Arial" w:cs="Arial"/>
          <w:color w:val="000000" w:themeColor="text1"/>
          <w:sz w:val="22"/>
          <w:lang w:val="es-ES"/>
        </w:rPr>
        <w:t xml:space="preserve"> </w:t>
      </w:r>
      <w:r w:rsidR="0053748D">
        <w:rPr>
          <w:rFonts w:ascii="Arial" w:eastAsia="Calibri" w:hAnsi="Arial" w:cs="Arial"/>
          <w:color w:val="000000" w:themeColor="text1"/>
          <w:sz w:val="22"/>
          <w:lang w:val="es-ES"/>
        </w:rPr>
        <w:t>dispone de</w:t>
      </w:r>
      <w:r w:rsidRPr="00386009">
        <w:rPr>
          <w:rFonts w:ascii="Arial" w:eastAsia="Calibri" w:hAnsi="Arial" w:cs="Arial"/>
          <w:color w:val="000000" w:themeColor="text1"/>
          <w:sz w:val="22"/>
          <w:lang w:val="es-ES"/>
        </w:rPr>
        <w:t xml:space="preserve"> plazos cortos para acepta</w:t>
      </w:r>
      <w:r w:rsidR="000C400E">
        <w:rPr>
          <w:rFonts w:ascii="Arial" w:eastAsia="Calibri" w:hAnsi="Arial" w:cs="Arial"/>
          <w:color w:val="000000" w:themeColor="text1"/>
          <w:sz w:val="22"/>
          <w:lang w:val="es-ES"/>
        </w:rPr>
        <w:t>r</w:t>
      </w:r>
      <w:r w:rsidRPr="00386009">
        <w:rPr>
          <w:rFonts w:ascii="Arial" w:eastAsia="Calibri" w:hAnsi="Arial" w:cs="Arial"/>
          <w:color w:val="000000" w:themeColor="text1"/>
          <w:sz w:val="22"/>
          <w:lang w:val="es-ES"/>
        </w:rPr>
        <w:t xml:space="preserve"> la propuesta</w:t>
      </w:r>
      <w:r w:rsidR="0053748D">
        <w:rPr>
          <w:rFonts w:ascii="Arial" w:eastAsia="Calibri" w:hAnsi="Arial" w:cs="Arial"/>
          <w:color w:val="000000" w:themeColor="text1"/>
          <w:sz w:val="22"/>
          <w:lang w:val="es-ES"/>
        </w:rPr>
        <w:t xml:space="preserve"> –a falta de pacto en contrario–</w:t>
      </w:r>
      <w:r w:rsidRPr="00386009">
        <w:rPr>
          <w:rFonts w:ascii="Arial" w:eastAsia="Calibri" w:hAnsi="Arial" w:cs="Arial"/>
          <w:color w:val="000000" w:themeColor="text1"/>
          <w:sz w:val="22"/>
          <w:lang w:val="es-ES"/>
        </w:rPr>
        <w:t xml:space="preserve">. </w:t>
      </w:r>
      <w:r w:rsidR="0053748D">
        <w:rPr>
          <w:rFonts w:ascii="Arial" w:eastAsia="Calibri" w:hAnsi="Arial" w:cs="Arial"/>
          <w:color w:val="000000" w:themeColor="text1"/>
          <w:sz w:val="22"/>
          <w:lang w:val="es-ES"/>
        </w:rPr>
        <w:t>L</w:t>
      </w:r>
      <w:r w:rsidRPr="00386009">
        <w:rPr>
          <w:rFonts w:ascii="Arial" w:eastAsia="Calibri" w:hAnsi="Arial" w:cs="Arial"/>
          <w:color w:val="000000" w:themeColor="text1"/>
          <w:sz w:val="22"/>
          <w:lang w:val="es-ES"/>
        </w:rPr>
        <w:t xml:space="preserve">os artículos 846 y 847 del Código de Comercio definen el término de obligatoriedad de la </w:t>
      </w:r>
      <w:r w:rsidR="001B15F9">
        <w:rPr>
          <w:rFonts w:ascii="Arial" w:eastAsia="Calibri" w:hAnsi="Arial" w:cs="Arial"/>
          <w:color w:val="000000" w:themeColor="text1"/>
          <w:sz w:val="22"/>
          <w:lang w:val="es-ES"/>
        </w:rPr>
        <w:t>propuesta</w:t>
      </w:r>
      <w:r w:rsidRPr="00386009">
        <w:rPr>
          <w:rFonts w:ascii="Arial" w:eastAsia="Calibri" w:hAnsi="Arial" w:cs="Arial"/>
          <w:color w:val="000000" w:themeColor="text1"/>
          <w:sz w:val="22"/>
          <w:lang w:val="es-ES"/>
        </w:rPr>
        <w:t xml:space="preserve"> cuando se ofrecen mercaderías o se exhiben bienes en vitrinas o mostradores.</w:t>
      </w:r>
      <w:r w:rsidR="00411827" w:rsidRPr="00386009">
        <w:rPr>
          <w:rFonts w:ascii="Arial" w:eastAsia="Calibri" w:hAnsi="Arial" w:cs="Arial"/>
          <w:color w:val="000000" w:themeColor="text1"/>
          <w:sz w:val="22"/>
          <w:lang w:val="es-ES"/>
        </w:rPr>
        <w:t xml:space="preserve"> Adicionalmente, los artículos 850 y 851 </w:t>
      </w:r>
      <w:r w:rsidR="00411827" w:rsidRPr="00386009">
        <w:rPr>
          <w:rFonts w:ascii="Arial" w:eastAsia="Calibri" w:hAnsi="Arial" w:cs="Arial"/>
          <w:i/>
          <w:iCs/>
          <w:color w:val="000000" w:themeColor="text1"/>
          <w:sz w:val="22"/>
          <w:lang w:val="es-ES"/>
        </w:rPr>
        <w:t>ibidem</w:t>
      </w:r>
      <w:r w:rsidR="00411827" w:rsidRPr="00386009">
        <w:rPr>
          <w:rFonts w:ascii="Arial" w:eastAsia="Calibri" w:hAnsi="Arial" w:cs="Arial"/>
          <w:color w:val="000000" w:themeColor="text1"/>
          <w:sz w:val="22"/>
          <w:lang w:val="es-ES"/>
        </w:rPr>
        <w:t xml:space="preserve"> definen el plazo de vinculación de la oferta en la propuesta verbal y escrita, respectivamente. Para la primera dispone que «[…] deberá ser aceptada o rechazada en el acto de oírse», agregando que «[…] La propuesta hecha por teléfono se asimilará, para los efectos de su aceptación o rechazo, a la propuesta verbal entre presentes». Por su parte, la segunda «[…] deberá ser aceptada o rechazada dentro de los seis días siguientes a la fecha que tenga la propuesta, si el destinatario reside en el mismo lugar del proponente; [pero] si reside en lugar distinto, a dicho término se sumará el de la distancia» (Corchete</w:t>
      </w:r>
      <w:r w:rsidR="00185BC9">
        <w:rPr>
          <w:rFonts w:ascii="Arial" w:eastAsia="Calibri" w:hAnsi="Arial" w:cs="Arial"/>
          <w:color w:val="000000" w:themeColor="text1"/>
          <w:sz w:val="22"/>
          <w:lang w:val="es-ES"/>
        </w:rPr>
        <w:t>s</w:t>
      </w:r>
      <w:r w:rsidR="00411827" w:rsidRPr="00386009">
        <w:rPr>
          <w:rFonts w:ascii="Arial" w:eastAsia="Calibri" w:hAnsi="Arial" w:cs="Arial"/>
          <w:color w:val="000000" w:themeColor="text1"/>
          <w:sz w:val="22"/>
          <w:lang w:val="es-ES"/>
        </w:rPr>
        <w:t xml:space="preserve"> fuera de texto)</w:t>
      </w:r>
      <w:r w:rsidR="00430D36" w:rsidRPr="00386009">
        <w:rPr>
          <w:rFonts w:ascii="Arial" w:eastAsia="Calibri" w:hAnsi="Arial" w:cs="Arial"/>
          <w:color w:val="000000" w:themeColor="text1"/>
          <w:sz w:val="22"/>
          <w:lang w:val="es-ES"/>
        </w:rPr>
        <w:t>, el cual –conforme al artículo 852 del Código de Comercio– se calcula según el medio empleado por el proponente</w:t>
      </w:r>
      <w:r w:rsidR="00411827" w:rsidRPr="00386009">
        <w:rPr>
          <w:rFonts w:ascii="Arial" w:eastAsia="Calibri" w:hAnsi="Arial" w:cs="Arial"/>
          <w:color w:val="000000" w:themeColor="text1"/>
          <w:sz w:val="22"/>
          <w:lang w:val="es-ES"/>
        </w:rPr>
        <w:t xml:space="preserve">. </w:t>
      </w:r>
    </w:p>
    <w:p w14:paraId="6B138FE1" w14:textId="5F970270" w:rsidR="00B37AA5" w:rsidRPr="00386009" w:rsidRDefault="00637A53">
      <w:pPr>
        <w:spacing w:after="120" w:line="276" w:lineRule="auto"/>
        <w:ind w:firstLine="709"/>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 xml:space="preserve">Aunque el artículo 853 dispone que estos </w:t>
      </w:r>
      <w:r w:rsidR="00DD1909">
        <w:rPr>
          <w:rFonts w:ascii="Arial" w:eastAsia="Calibri" w:hAnsi="Arial" w:cs="Arial"/>
          <w:color w:val="000000" w:themeColor="text1"/>
          <w:sz w:val="22"/>
          <w:lang w:val="es-ES"/>
        </w:rPr>
        <w:t>términos</w:t>
      </w:r>
      <w:r w:rsidRPr="00386009">
        <w:rPr>
          <w:rFonts w:ascii="Arial" w:eastAsia="Calibri" w:hAnsi="Arial" w:cs="Arial"/>
          <w:color w:val="000000" w:themeColor="text1"/>
          <w:sz w:val="22"/>
          <w:lang w:val="es-ES"/>
        </w:rPr>
        <w:t xml:space="preserve"> son supletivos</w:t>
      </w:r>
      <w:r w:rsidR="0053748D">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porque «Las partes podrán fijar plazos distintos a la aceptación o rechazo de la propuesta o ésta contenerlos», </w:t>
      </w:r>
      <w:r w:rsidR="0031338E">
        <w:rPr>
          <w:rFonts w:ascii="Arial" w:eastAsia="Calibri" w:hAnsi="Arial" w:cs="Arial"/>
          <w:color w:val="000000" w:themeColor="text1"/>
          <w:sz w:val="22"/>
          <w:lang w:val="es-ES"/>
        </w:rPr>
        <w:t>en la contratación estatal</w:t>
      </w:r>
      <w:r w:rsidR="00DD1909">
        <w:rPr>
          <w:rFonts w:ascii="Arial" w:eastAsia="Calibri" w:hAnsi="Arial" w:cs="Arial"/>
          <w:color w:val="000000" w:themeColor="text1"/>
          <w:sz w:val="22"/>
          <w:lang w:val="es-ES"/>
        </w:rPr>
        <w:t xml:space="preserve"> no hay norma semejante, pero</w:t>
      </w:r>
      <w:r w:rsidR="0031338E">
        <w:rPr>
          <w:rFonts w:ascii="Arial" w:eastAsia="Calibri" w:hAnsi="Arial" w:cs="Arial"/>
          <w:color w:val="000000" w:themeColor="text1"/>
          <w:sz w:val="22"/>
          <w:lang w:val="es-ES"/>
        </w:rPr>
        <w:t xml:space="preserve"> </w:t>
      </w:r>
      <w:r w:rsidRPr="00386009">
        <w:rPr>
          <w:rFonts w:ascii="Arial" w:eastAsia="Calibri" w:hAnsi="Arial" w:cs="Arial"/>
          <w:color w:val="000000" w:themeColor="text1"/>
          <w:sz w:val="22"/>
          <w:lang w:val="es-ES"/>
        </w:rPr>
        <w:t>la garantía de seriedad</w:t>
      </w:r>
      <w:r w:rsidR="00185BC9">
        <w:rPr>
          <w:rFonts w:ascii="Arial" w:eastAsia="Calibri" w:hAnsi="Arial" w:cs="Arial"/>
          <w:color w:val="000000" w:themeColor="text1"/>
          <w:sz w:val="22"/>
          <w:lang w:val="es-ES"/>
        </w:rPr>
        <w:t xml:space="preserve"> </w:t>
      </w:r>
      <w:r w:rsidR="0031338E">
        <w:rPr>
          <w:rFonts w:ascii="Arial" w:eastAsia="Calibri" w:hAnsi="Arial" w:cs="Arial"/>
          <w:color w:val="000000" w:themeColor="text1"/>
          <w:sz w:val="22"/>
          <w:lang w:val="es-ES"/>
        </w:rPr>
        <w:t xml:space="preserve">directamente </w:t>
      </w:r>
      <w:r w:rsidR="00DD1909">
        <w:rPr>
          <w:rFonts w:ascii="Arial" w:eastAsia="Calibri" w:hAnsi="Arial" w:cs="Arial"/>
          <w:color w:val="000000" w:themeColor="text1"/>
          <w:sz w:val="22"/>
          <w:lang w:val="es-ES"/>
        </w:rPr>
        <w:t>es la que define el plazo de mantenimiento de la propuesta</w:t>
      </w:r>
      <w:r w:rsidR="007A6942" w:rsidRPr="00386009">
        <w:rPr>
          <w:rFonts w:ascii="Arial" w:eastAsia="Calibri" w:hAnsi="Arial" w:cs="Arial"/>
          <w:color w:val="000000" w:themeColor="text1"/>
          <w:sz w:val="22"/>
          <w:lang w:val="es-ES"/>
        </w:rPr>
        <w:t xml:space="preserve">, el cual acepta el proponente </w:t>
      </w:r>
      <w:r w:rsidR="00DD1909">
        <w:rPr>
          <w:rFonts w:ascii="Arial" w:eastAsia="Calibri" w:hAnsi="Arial" w:cs="Arial"/>
          <w:color w:val="000000" w:themeColor="text1"/>
          <w:sz w:val="22"/>
          <w:lang w:val="es-ES"/>
        </w:rPr>
        <w:t>cuando se</w:t>
      </w:r>
      <w:r w:rsidR="007A6942" w:rsidRPr="00386009">
        <w:rPr>
          <w:rFonts w:ascii="Arial" w:eastAsia="Calibri" w:hAnsi="Arial" w:cs="Arial"/>
          <w:color w:val="000000" w:themeColor="text1"/>
          <w:sz w:val="22"/>
          <w:lang w:val="es-ES"/>
        </w:rPr>
        <w:t xml:space="preserve"> presentar al procedimiento de selección</w:t>
      </w:r>
      <w:r w:rsidR="001921AA" w:rsidRPr="00386009">
        <w:rPr>
          <w:rFonts w:ascii="Arial" w:eastAsia="Calibri" w:hAnsi="Arial" w:cs="Arial"/>
          <w:color w:val="000000" w:themeColor="text1"/>
          <w:sz w:val="22"/>
          <w:lang w:val="es-ES"/>
        </w:rPr>
        <w:t xml:space="preserve">.   </w:t>
      </w:r>
      <w:r w:rsidR="007A6942" w:rsidRPr="00386009">
        <w:rPr>
          <w:rFonts w:ascii="Arial" w:eastAsia="Calibri" w:hAnsi="Arial" w:cs="Arial"/>
          <w:color w:val="000000" w:themeColor="text1"/>
          <w:sz w:val="22"/>
          <w:lang w:val="es-ES"/>
        </w:rPr>
        <w:t xml:space="preserve"> </w:t>
      </w:r>
      <w:r w:rsidRPr="00386009">
        <w:rPr>
          <w:rFonts w:ascii="Arial" w:eastAsia="Calibri" w:hAnsi="Arial" w:cs="Arial"/>
          <w:color w:val="000000" w:themeColor="text1"/>
          <w:sz w:val="22"/>
          <w:lang w:val="es-ES"/>
        </w:rPr>
        <w:t xml:space="preserve">   </w:t>
      </w:r>
      <w:r w:rsidR="00411827" w:rsidRPr="00386009">
        <w:rPr>
          <w:rFonts w:ascii="Arial" w:eastAsia="Calibri" w:hAnsi="Arial" w:cs="Arial"/>
          <w:color w:val="000000" w:themeColor="text1"/>
          <w:sz w:val="22"/>
          <w:lang w:val="es-ES"/>
        </w:rPr>
        <w:t xml:space="preserve"> </w:t>
      </w:r>
      <w:r w:rsidR="00B37AA5" w:rsidRPr="00386009">
        <w:rPr>
          <w:rFonts w:ascii="Arial" w:eastAsia="Calibri" w:hAnsi="Arial" w:cs="Arial"/>
          <w:color w:val="000000" w:themeColor="text1"/>
          <w:sz w:val="22"/>
          <w:lang w:val="es-ES"/>
        </w:rPr>
        <w:t xml:space="preserve">   </w:t>
      </w:r>
    </w:p>
    <w:p w14:paraId="39CB3927" w14:textId="24754298" w:rsidR="005015AE" w:rsidRPr="00386009" w:rsidRDefault="005015AE" w:rsidP="00A177BB">
      <w:pPr>
        <w:spacing w:line="276" w:lineRule="auto"/>
        <w:ind w:firstLine="709"/>
        <w:jc w:val="both"/>
        <w:rPr>
          <w:rFonts w:ascii="Arial" w:eastAsia="Calibri" w:hAnsi="Arial" w:cs="Arial"/>
          <w:color w:val="000000" w:themeColor="text1"/>
          <w:sz w:val="22"/>
          <w:lang w:val="es-ES"/>
        </w:rPr>
      </w:pPr>
      <w:r w:rsidRPr="00386009">
        <w:rPr>
          <w:rFonts w:ascii="Arial" w:eastAsia="Calibri" w:hAnsi="Arial" w:cs="Arial"/>
          <w:i/>
          <w:iCs/>
          <w:color w:val="000000" w:themeColor="text1"/>
          <w:sz w:val="22"/>
          <w:lang w:val="es-ES"/>
        </w:rPr>
        <w:lastRenderedPageBreak/>
        <w:t>En segundo lugar</w:t>
      </w:r>
      <w:r w:rsidRPr="00386009">
        <w:rPr>
          <w:rFonts w:ascii="Arial" w:eastAsia="Calibri" w:hAnsi="Arial" w:cs="Arial"/>
          <w:color w:val="000000" w:themeColor="text1"/>
          <w:sz w:val="22"/>
          <w:lang w:val="es-ES"/>
        </w:rPr>
        <w:t xml:space="preserve">, es importante definir los casos en </w:t>
      </w:r>
      <w:r w:rsidR="00462D3F">
        <w:rPr>
          <w:rFonts w:ascii="Arial" w:eastAsia="Calibri" w:hAnsi="Arial" w:cs="Arial"/>
          <w:color w:val="000000" w:themeColor="text1"/>
          <w:sz w:val="22"/>
          <w:lang w:val="es-ES"/>
        </w:rPr>
        <w:t xml:space="preserve">los </w:t>
      </w:r>
      <w:r w:rsidRPr="00386009">
        <w:rPr>
          <w:rFonts w:ascii="Arial" w:eastAsia="Calibri" w:hAnsi="Arial" w:cs="Arial"/>
          <w:color w:val="000000" w:themeColor="text1"/>
          <w:sz w:val="22"/>
          <w:lang w:val="es-ES"/>
        </w:rPr>
        <w:t xml:space="preserve">que </w:t>
      </w:r>
      <w:r w:rsidR="00100075" w:rsidRPr="00386009">
        <w:rPr>
          <w:rFonts w:ascii="Arial" w:eastAsia="Calibri" w:hAnsi="Arial" w:cs="Arial"/>
          <w:color w:val="000000" w:themeColor="text1"/>
          <w:sz w:val="22"/>
          <w:lang w:val="es-ES"/>
        </w:rPr>
        <w:t>la entidad puede hacer efectiva la garantía de seriedad. Conforme al artículo 2.2.1.2.3.1.6 del Decreto 1082 de 2015, cubre la sanción derivada del incumplimiento de la propuesta</w:t>
      </w:r>
      <w:r w:rsidR="00462D3F">
        <w:rPr>
          <w:rFonts w:ascii="Arial" w:eastAsia="Calibri" w:hAnsi="Arial" w:cs="Arial"/>
          <w:color w:val="000000" w:themeColor="text1"/>
          <w:sz w:val="22"/>
          <w:lang w:val="es-ES"/>
        </w:rPr>
        <w:t>,</w:t>
      </w:r>
      <w:r w:rsidR="00100075" w:rsidRPr="00386009">
        <w:rPr>
          <w:rFonts w:ascii="Arial" w:eastAsia="Calibri" w:hAnsi="Arial" w:cs="Arial"/>
          <w:color w:val="000000" w:themeColor="text1"/>
          <w:sz w:val="22"/>
          <w:lang w:val="es-ES"/>
        </w:rPr>
        <w:t xml:space="preserve"> en los siguientes eventos:</w:t>
      </w:r>
    </w:p>
    <w:p w14:paraId="52800FBF" w14:textId="77777777" w:rsidR="00A177BB" w:rsidRPr="00386009" w:rsidRDefault="00A177BB" w:rsidP="003D2AAA">
      <w:pPr>
        <w:spacing w:line="276" w:lineRule="auto"/>
        <w:ind w:firstLine="709"/>
        <w:jc w:val="both"/>
        <w:rPr>
          <w:rFonts w:ascii="Arial" w:eastAsia="Calibri" w:hAnsi="Arial" w:cs="Arial"/>
          <w:color w:val="000000" w:themeColor="text1"/>
          <w:sz w:val="22"/>
          <w:lang w:val="es-ES"/>
        </w:rPr>
      </w:pPr>
    </w:p>
    <w:p w14:paraId="71C924AA" w14:textId="77777777" w:rsidR="00100075" w:rsidRPr="00386009" w:rsidRDefault="00100075" w:rsidP="003D2AAA">
      <w:pPr>
        <w:spacing w:after="120"/>
        <w:ind w:left="709" w:right="709"/>
        <w:jc w:val="both"/>
        <w:rPr>
          <w:rFonts w:ascii="Arial" w:eastAsia="Calibri" w:hAnsi="Arial" w:cs="Arial"/>
          <w:color w:val="000000" w:themeColor="text1"/>
          <w:sz w:val="21"/>
          <w:szCs w:val="21"/>
          <w:lang w:val="es-ES"/>
        </w:rPr>
      </w:pPr>
      <w:r w:rsidRPr="00386009">
        <w:rPr>
          <w:rFonts w:ascii="Arial" w:eastAsia="Calibri" w:hAnsi="Arial" w:cs="Arial"/>
          <w:color w:val="000000" w:themeColor="text1"/>
          <w:sz w:val="21"/>
          <w:szCs w:val="21"/>
          <w:lang w:val="es-ES"/>
        </w:rPr>
        <w:t xml:space="preserve">1. </w:t>
      </w:r>
      <w:bookmarkStart w:id="13" w:name="_Hlk47463074"/>
      <w:r w:rsidRPr="00386009">
        <w:rPr>
          <w:rFonts w:ascii="Arial" w:eastAsia="Calibri" w:hAnsi="Arial" w:cs="Arial"/>
          <w:color w:val="000000" w:themeColor="text1"/>
          <w:sz w:val="21"/>
          <w:szCs w:val="21"/>
          <w:lang w:val="es-ES"/>
        </w:rPr>
        <w:t>La no ampliación de la vigencia de la garantía de seriedad de la oferta cuando el plazo para la adjudicación o para suscribir el contrato es prorrogado, siempre que tal prórroga sea inferior a tres (3) meses</w:t>
      </w:r>
      <w:bookmarkEnd w:id="13"/>
      <w:r w:rsidRPr="00386009">
        <w:rPr>
          <w:rFonts w:ascii="Arial" w:eastAsia="Calibri" w:hAnsi="Arial" w:cs="Arial"/>
          <w:color w:val="000000" w:themeColor="text1"/>
          <w:sz w:val="21"/>
          <w:szCs w:val="21"/>
          <w:lang w:val="es-ES"/>
        </w:rPr>
        <w:t>.</w:t>
      </w:r>
    </w:p>
    <w:p w14:paraId="7AE99172" w14:textId="6D7DB99F" w:rsidR="00100075" w:rsidRPr="00386009" w:rsidRDefault="00100075" w:rsidP="003D2AAA">
      <w:pPr>
        <w:spacing w:after="120"/>
        <w:ind w:left="709" w:right="709"/>
        <w:jc w:val="both"/>
        <w:rPr>
          <w:rFonts w:ascii="Arial" w:eastAsia="Calibri" w:hAnsi="Arial" w:cs="Arial"/>
          <w:color w:val="000000" w:themeColor="text1"/>
          <w:sz w:val="21"/>
          <w:szCs w:val="21"/>
          <w:lang w:val="es-ES"/>
        </w:rPr>
      </w:pPr>
      <w:r w:rsidRPr="00386009">
        <w:rPr>
          <w:rFonts w:ascii="Arial" w:eastAsia="Calibri" w:hAnsi="Arial" w:cs="Arial"/>
          <w:color w:val="000000" w:themeColor="text1"/>
          <w:sz w:val="21"/>
          <w:szCs w:val="21"/>
          <w:lang w:val="es-ES"/>
        </w:rPr>
        <w:t>2. El retiro de la oferta después de vencido el plazo fijado para la presentación de las ofertas.</w:t>
      </w:r>
    </w:p>
    <w:p w14:paraId="61B1D46C" w14:textId="6C6B2A1D" w:rsidR="00100075" w:rsidRPr="00386009" w:rsidRDefault="00100075" w:rsidP="003D2AAA">
      <w:pPr>
        <w:spacing w:after="120"/>
        <w:ind w:left="709" w:right="709"/>
        <w:jc w:val="both"/>
        <w:rPr>
          <w:rFonts w:ascii="Arial" w:eastAsia="Calibri" w:hAnsi="Arial" w:cs="Arial"/>
          <w:color w:val="000000" w:themeColor="text1"/>
          <w:sz w:val="21"/>
          <w:szCs w:val="21"/>
          <w:lang w:val="es-ES"/>
        </w:rPr>
      </w:pPr>
      <w:r w:rsidRPr="00386009">
        <w:rPr>
          <w:rFonts w:ascii="Arial" w:eastAsia="Calibri" w:hAnsi="Arial" w:cs="Arial"/>
          <w:color w:val="000000" w:themeColor="text1"/>
          <w:sz w:val="21"/>
          <w:szCs w:val="21"/>
          <w:lang w:val="es-ES"/>
        </w:rPr>
        <w:t>3. La no suscripción del contrato sin justa causa por parte del adjudicatario.</w:t>
      </w:r>
    </w:p>
    <w:p w14:paraId="41198584" w14:textId="2F6DD1BB" w:rsidR="00100075" w:rsidRPr="00386009" w:rsidRDefault="00100075" w:rsidP="00A177BB">
      <w:pPr>
        <w:ind w:left="709" w:right="709"/>
        <w:jc w:val="both"/>
        <w:rPr>
          <w:rFonts w:ascii="Arial" w:eastAsia="Calibri" w:hAnsi="Arial" w:cs="Arial"/>
          <w:color w:val="000000" w:themeColor="text1"/>
          <w:sz w:val="21"/>
          <w:szCs w:val="21"/>
          <w:lang w:val="es-ES"/>
        </w:rPr>
      </w:pPr>
      <w:r w:rsidRPr="00386009">
        <w:rPr>
          <w:rFonts w:ascii="Arial" w:eastAsia="Calibri" w:hAnsi="Arial" w:cs="Arial"/>
          <w:color w:val="000000" w:themeColor="text1"/>
          <w:sz w:val="21"/>
          <w:szCs w:val="21"/>
          <w:lang w:val="es-ES"/>
        </w:rPr>
        <w:t>4. La falta de otorgamiento por parte del proponente seleccionado de la garantía de cumplimiento del contrato.</w:t>
      </w:r>
    </w:p>
    <w:p w14:paraId="2313BC5E" w14:textId="77777777" w:rsidR="00A177BB" w:rsidRPr="00386009" w:rsidRDefault="00A177BB" w:rsidP="003D2AAA">
      <w:pPr>
        <w:ind w:left="709" w:right="709"/>
        <w:jc w:val="both"/>
        <w:rPr>
          <w:rFonts w:ascii="Arial" w:eastAsia="Calibri" w:hAnsi="Arial" w:cs="Arial"/>
          <w:color w:val="000000" w:themeColor="text1"/>
          <w:sz w:val="22"/>
          <w:lang w:val="es-ES"/>
        </w:rPr>
      </w:pPr>
    </w:p>
    <w:p w14:paraId="0EB14B3B" w14:textId="11198B32" w:rsidR="00892A09" w:rsidRPr="00386009" w:rsidRDefault="00E47C98" w:rsidP="00A177BB">
      <w:pPr>
        <w:spacing w:after="120" w:line="276" w:lineRule="auto"/>
        <w:ind w:firstLine="709"/>
        <w:jc w:val="both"/>
        <w:rPr>
          <w:rFonts w:ascii="Arial" w:eastAsia="Calibri" w:hAnsi="Arial" w:cs="Arial"/>
          <w:color w:val="000000" w:themeColor="text1"/>
          <w:sz w:val="22"/>
          <w:lang w:val="es-ES"/>
        </w:rPr>
      </w:pPr>
      <w:r w:rsidRPr="007F2C3A">
        <w:rPr>
          <w:rFonts w:ascii="Arial" w:eastAsia="Calibri" w:hAnsi="Arial" w:cs="Arial"/>
          <w:color w:val="000000" w:themeColor="text1"/>
          <w:sz w:val="22"/>
          <w:lang w:val="es-ES"/>
        </w:rPr>
        <w:t>S</w:t>
      </w:r>
      <w:bookmarkStart w:id="14" w:name="_Hlk37703948"/>
      <w:r w:rsidR="0086751D" w:rsidRPr="007F2C3A">
        <w:rPr>
          <w:rFonts w:ascii="Arial" w:eastAsia="Calibri" w:hAnsi="Arial" w:cs="Arial"/>
          <w:sz w:val="22"/>
          <w:lang w:val="es-ES"/>
        </w:rPr>
        <w:t xml:space="preserve">i la </w:t>
      </w:r>
      <w:r w:rsidR="0086751D" w:rsidRPr="005D142C">
        <w:rPr>
          <w:rFonts w:ascii="Arial" w:eastAsia="Calibri" w:hAnsi="Arial" w:cs="Arial"/>
          <w:sz w:val="22"/>
          <w:lang w:val="es-ES"/>
        </w:rPr>
        <w:t>vigencia mínima</w:t>
      </w:r>
      <w:r w:rsidR="0086751D" w:rsidRPr="007F2C3A">
        <w:rPr>
          <w:rFonts w:ascii="Arial" w:eastAsia="Calibri" w:hAnsi="Arial" w:cs="Arial"/>
          <w:sz w:val="22"/>
          <w:lang w:val="es-ES"/>
        </w:rPr>
        <w:t xml:space="preserve"> de la garantía está prevista en el artículo 2.2.1.2.3.1.9 del Decreto 108</w:t>
      </w:r>
      <w:r w:rsidRPr="007F2C3A">
        <w:rPr>
          <w:rFonts w:ascii="Arial" w:eastAsia="Calibri" w:hAnsi="Arial" w:cs="Arial"/>
          <w:sz w:val="22"/>
          <w:lang w:val="es-ES"/>
        </w:rPr>
        <w:t>2</w:t>
      </w:r>
      <w:r w:rsidR="0086751D" w:rsidRPr="007F2C3A">
        <w:rPr>
          <w:rFonts w:ascii="Arial" w:eastAsia="Calibri" w:hAnsi="Arial" w:cs="Arial"/>
          <w:sz w:val="22"/>
          <w:lang w:val="es-ES"/>
        </w:rPr>
        <w:t xml:space="preserve"> de 2015, </w:t>
      </w:r>
      <w:r w:rsidR="00AD0157">
        <w:rPr>
          <w:rFonts w:ascii="Arial" w:eastAsia="Calibri" w:hAnsi="Arial" w:cs="Arial"/>
          <w:sz w:val="22"/>
          <w:lang w:val="es-ES"/>
        </w:rPr>
        <w:t xml:space="preserve">algunos entienden </w:t>
      </w:r>
      <w:r w:rsidR="0086751D" w:rsidRPr="007F2C3A">
        <w:rPr>
          <w:rFonts w:ascii="Arial" w:eastAsia="Calibri" w:hAnsi="Arial" w:cs="Arial"/>
          <w:sz w:val="22"/>
          <w:lang w:val="es-ES"/>
        </w:rPr>
        <w:t>que tanto el «siniestro» como la «declaratoria» deben ocurrir dentro de</w:t>
      </w:r>
      <w:r w:rsidR="005D142C">
        <w:rPr>
          <w:rFonts w:ascii="Arial" w:eastAsia="Calibri" w:hAnsi="Arial" w:cs="Arial"/>
          <w:sz w:val="22"/>
          <w:lang w:val="es-ES"/>
        </w:rPr>
        <w:t xml:space="preserve"> ese lapso</w:t>
      </w:r>
      <w:r w:rsidR="0086751D" w:rsidRPr="007F2C3A">
        <w:rPr>
          <w:rFonts w:ascii="Arial" w:eastAsia="Calibri" w:hAnsi="Arial" w:cs="Arial"/>
          <w:sz w:val="22"/>
          <w:lang w:val="es-ES"/>
        </w:rPr>
        <w:t>.</w:t>
      </w:r>
      <w:r w:rsidR="007F2C3A">
        <w:rPr>
          <w:rFonts w:ascii="Arial" w:eastAsia="Calibri" w:hAnsi="Arial" w:cs="Arial"/>
          <w:sz w:val="22"/>
          <w:lang w:val="es-ES"/>
        </w:rPr>
        <w:t xml:space="preserve"> Sin embargo, e</w:t>
      </w:r>
      <w:r w:rsidR="0086751D" w:rsidRPr="007F2C3A">
        <w:rPr>
          <w:rFonts w:ascii="Arial" w:eastAsia="Calibri" w:hAnsi="Arial" w:cs="Arial"/>
          <w:sz w:val="22"/>
          <w:lang w:val="es-ES"/>
        </w:rPr>
        <w:t xml:space="preserve">sta </w:t>
      </w:r>
      <w:r w:rsidR="00AD0157">
        <w:rPr>
          <w:rFonts w:ascii="Arial" w:eastAsia="Calibri" w:hAnsi="Arial" w:cs="Arial"/>
          <w:sz w:val="22"/>
          <w:lang w:val="es-ES"/>
        </w:rPr>
        <w:t>idea</w:t>
      </w:r>
      <w:r w:rsidR="0086751D" w:rsidRPr="007F2C3A">
        <w:rPr>
          <w:rFonts w:ascii="Arial" w:eastAsia="Calibri" w:hAnsi="Arial" w:cs="Arial"/>
          <w:sz w:val="22"/>
          <w:lang w:val="es-ES"/>
        </w:rPr>
        <w:t xml:space="preserve"> es </w:t>
      </w:r>
      <w:r w:rsidR="007F2C3A">
        <w:rPr>
          <w:rFonts w:ascii="Arial" w:eastAsia="Calibri" w:hAnsi="Arial" w:cs="Arial"/>
          <w:sz w:val="22"/>
          <w:lang w:val="es-ES"/>
        </w:rPr>
        <w:t>incorrecta</w:t>
      </w:r>
      <w:r w:rsidR="0086751D" w:rsidRPr="007F2C3A">
        <w:rPr>
          <w:rFonts w:ascii="Arial" w:eastAsia="Calibri" w:hAnsi="Arial" w:cs="Arial"/>
          <w:sz w:val="22"/>
          <w:lang w:val="es-ES"/>
        </w:rPr>
        <w:t xml:space="preserve">, </w:t>
      </w:r>
      <w:r w:rsidR="005D142C">
        <w:rPr>
          <w:rFonts w:ascii="Arial" w:eastAsia="Calibri" w:hAnsi="Arial" w:cs="Arial"/>
          <w:sz w:val="22"/>
          <w:lang w:val="es-ES"/>
        </w:rPr>
        <w:t>por</w:t>
      </w:r>
      <w:r w:rsidR="0086751D" w:rsidRPr="007F2C3A">
        <w:rPr>
          <w:rFonts w:ascii="Arial" w:eastAsia="Calibri" w:hAnsi="Arial" w:cs="Arial"/>
          <w:sz w:val="22"/>
          <w:lang w:val="es-ES"/>
        </w:rPr>
        <w:t>que el «siniestro», entendido como la realización del riesgo asegurado</w:t>
      </w:r>
      <w:r w:rsidR="00737919">
        <w:rPr>
          <w:rFonts w:ascii="Arial" w:eastAsia="Calibri" w:hAnsi="Arial" w:cs="Arial"/>
          <w:sz w:val="22"/>
          <w:lang w:val="es-ES"/>
        </w:rPr>
        <w:t>,</w:t>
      </w:r>
      <w:r w:rsidR="0086751D" w:rsidRPr="007F2C3A">
        <w:rPr>
          <w:rFonts w:ascii="Arial" w:eastAsia="Calibri" w:hAnsi="Arial" w:cs="Arial"/>
          <w:sz w:val="22"/>
          <w:lang w:val="es-ES"/>
        </w:rPr>
        <w:t xml:space="preserve"> debe </w:t>
      </w:r>
      <w:r w:rsidR="007F2C3A">
        <w:rPr>
          <w:rFonts w:ascii="Arial" w:eastAsia="Calibri" w:hAnsi="Arial" w:cs="Arial"/>
          <w:sz w:val="22"/>
          <w:lang w:val="es-ES"/>
        </w:rPr>
        <w:t xml:space="preserve">suceder </w:t>
      </w:r>
      <w:r w:rsidR="0086751D" w:rsidRPr="007F2C3A">
        <w:rPr>
          <w:rFonts w:ascii="Arial" w:eastAsia="Calibri" w:hAnsi="Arial" w:cs="Arial"/>
          <w:sz w:val="22"/>
          <w:lang w:val="es-ES"/>
        </w:rPr>
        <w:t xml:space="preserve">dentro de </w:t>
      </w:r>
      <w:r w:rsidR="007F2C3A">
        <w:rPr>
          <w:rFonts w:ascii="Arial" w:eastAsia="Calibri" w:hAnsi="Arial" w:cs="Arial"/>
          <w:sz w:val="22"/>
          <w:lang w:val="es-ES"/>
        </w:rPr>
        <w:t>la</w:t>
      </w:r>
      <w:r w:rsidR="0086751D" w:rsidRPr="007F2C3A">
        <w:rPr>
          <w:rFonts w:ascii="Arial" w:eastAsia="Calibri" w:hAnsi="Arial" w:cs="Arial"/>
          <w:sz w:val="22"/>
          <w:lang w:val="es-ES"/>
        </w:rPr>
        <w:t xml:space="preserve"> vigencia</w:t>
      </w:r>
      <w:r w:rsidR="00AD0157">
        <w:rPr>
          <w:rFonts w:ascii="Arial" w:eastAsia="Calibri" w:hAnsi="Arial" w:cs="Arial"/>
          <w:sz w:val="22"/>
          <w:lang w:val="es-ES"/>
        </w:rPr>
        <w:t>,</w:t>
      </w:r>
      <w:r w:rsidR="005D142C">
        <w:rPr>
          <w:rFonts w:ascii="Arial" w:eastAsia="Calibri" w:hAnsi="Arial" w:cs="Arial"/>
          <w:sz w:val="22"/>
          <w:lang w:val="es-ES"/>
        </w:rPr>
        <w:t xml:space="preserve"> pero </w:t>
      </w:r>
      <w:r w:rsidR="0086751D" w:rsidRPr="007F2C3A">
        <w:rPr>
          <w:rFonts w:ascii="Arial" w:eastAsia="Calibri" w:hAnsi="Arial" w:cs="Arial"/>
          <w:sz w:val="22"/>
          <w:lang w:val="es-ES"/>
        </w:rPr>
        <w:t>el acto administrativo que declara su ocurrencia debe expedirse antes de la prescripción del contrato de seguro</w:t>
      </w:r>
      <w:r w:rsidR="0086751D" w:rsidRPr="007F2C3A">
        <w:rPr>
          <w:rStyle w:val="Refdenotaalpie"/>
          <w:rFonts w:ascii="Arial" w:eastAsia="Calibri" w:hAnsi="Arial" w:cs="Arial"/>
          <w:sz w:val="22"/>
          <w:lang w:val="es-ES"/>
        </w:rPr>
        <w:footnoteReference w:id="9"/>
      </w:r>
      <w:r w:rsidR="0086751D" w:rsidRPr="007F2C3A">
        <w:rPr>
          <w:rFonts w:ascii="Arial" w:eastAsia="Calibri" w:hAnsi="Arial" w:cs="Arial"/>
          <w:sz w:val="22"/>
          <w:lang w:val="es-ES"/>
        </w:rPr>
        <w:t>. En otras palabras, aunque la vigencia de la garantía está relacionada con la ocurrencia del siniestro, es independiente del plazo que tiene la Administración para hacerla efectiva, máxime cuando se limita a declarar una situación prexistente</w:t>
      </w:r>
      <w:bookmarkEnd w:id="14"/>
      <w:r w:rsidR="0086751D" w:rsidRPr="007F2C3A">
        <w:rPr>
          <w:rStyle w:val="Refdenotaalpie"/>
          <w:rFonts w:ascii="Arial" w:eastAsia="Calibri" w:hAnsi="Arial" w:cs="Arial"/>
          <w:sz w:val="21"/>
          <w:szCs w:val="21"/>
          <w:lang w:val="es-ES"/>
        </w:rPr>
        <w:footnoteReference w:id="10"/>
      </w:r>
      <w:r w:rsidR="0086751D" w:rsidRPr="007F2C3A">
        <w:rPr>
          <w:rFonts w:ascii="Arial" w:eastAsia="Calibri" w:hAnsi="Arial" w:cs="Arial"/>
          <w:sz w:val="22"/>
          <w:lang w:val="es-ES"/>
        </w:rPr>
        <w:t>.</w:t>
      </w:r>
      <w:r w:rsidR="00892A09" w:rsidRPr="007F2C3A">
        <w:rPr>
          <w:rFonts w:ascii="Arial" w:eastAsia="Calibri" w:hAnsi="Arial" w:cs="Arial"/>
          <w:sz w:val="22"/>
          <w:lang w:val="es-ES"/>
        </w:rPr>
        <w:t xml:space="preserve"> Por tanto, lo importante es que las causales del artículo </w:t>
      </w:r>
      <w:r w:rsidR="00892A09" w:rsidRPr="007F2C3A">
        <w:rPr>
          <w:rFonts w:ascii="Arial" w:eastAsia="Calibri" w:hAnsi="Arial" w:cs="Arial"/>
          <w:color w:val="000000" w:themeColor="text1"/>
          <w:sz w:val="22"/>
          <w:lang w:val="es-ES"/>
        </w:rPr>
        <w:t xml:space="preserve">2.2.1.2.3.1.6 </w:t>
      </w:r>
      <w:r w:rsidR="00892A09" w:rsidRPr="007F2C3A">
        <w:rPr>
          <w:rFonts w:ascii="Arial" w:eastAsia="Calibri" w:hAnsi="Arial" w:cs="Arial"/>
          <w:i/>
          <w:iCs/>
          <w:color w:val="000000" w:themeColor="text1"/>
          <w:sz w:val="22"/>
          <w:lang w:val="es-ES"/>
        </w:rPr>
        <w:t>ibidem</w:t>
      </w:r>
      <w:r w:rsidR="00892A09" w:rsidRPr="007F2C3A">
        <w:rPr>
          <w:rFonts w:ascii="Arial" w:eastAsia="Calibri" w:hAnsi="Arial" w:cs="Arial"/>
          <w:color w:val="000000" w:themeColor="text1"/>
          <w:sz w:val="22"/>
          <w:lang w:val="es-ES"/>
        </w:rPr>
        <w:t xml:space="preserve"> se configuren durante la vigencia de la garantía de seriedad, con independencia de que se declare el siniestro una vez vencida.</w:t>
      </w:r>
      <w:r w:rsidR="00892A09" w:rsidRPr="00386009">
        <w:rPr>
          <w:rFonts w:ascii="Arial" w:eastAsia="Calibri" w:hAnsi="Arial" w:cs="Arial"/>
          <w:color w:val="000000" w:themeColor="text1"/>
          <w:sz w:val="22"/>
          <w:lang w:val="es-ES"/>
        </w:rPr>
        <w:t xml:space="preserve"> </w:t>
      </w:r>
      <w:r w:rsidR="001E6998" w:rsidRPr="00386009">
        <w:rPr>
          <w:rFonts w:ascii="Arial" w:eastAsia="Calibri" w:hAnsi="Arial" w:cs="Arial"/>
          <w:color w:val="000000" w:themeColor="text1"/>
          <w:sz w:val="22"/>
          <w:lang w:val="es-ES"/>
        </w:rPr>
        <w:t xml:space="preserve">  </w:t>
      </w:r>
    </w:p>
    <w:p w14:paraId="39F98382" w14:textId="74804402" w:rsidR="00C65B95" w:rsidRPr="00386009" w:rsidRDefault="00892A09" w:rsidP="00A177BB">
      <w:pPr>
        <w:spacing w:after="120" w:line="276" w:lineRule="auto"/>
        <w:ind w:firstLine="709"/>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 xml:space="preserve">Ahora bien, </w:t>
      </w:r>
      <w:r w:rsidR="00C65B95" w:rsidRPr="00386009">
        <w:rPr>
          <w:rFonts w:ascii="Arial" w:eastAsia="Calibri" w:hAnsi="Arial" w:cs="Arial"/>
          <w:color w:val="000000" w:themeColor="text1"/>
          <w:sz w:val="22"/>
          <w:lang w:val="es-ES"/>
        </w:rPr>
        <w:t>las causales 1, 3 y 4 se configuran a través de omisiones</w:t>
      </w:r>
      <w:r w:rsidR="007425C6" w:rsidRPr="00386009">
        <w:rPr>
          <w:rFonts w:ascii="Arial" w:eastAsia="Calibri" w:hAnsi="Arial" w:cs="Arial"/>
          <w:color w:val="000000" w:themeColor="text1"/>
          <w:sz w:val="22"/>
          <w:lang w:val="es-ES"/>
        </w:rPr>
        <w:t xml:space="preserve"> –no ampliar, no suscribir</w:t>
      </w:r>
      <w:r w:rsidR="00630DCF" w:rsidRPr="00386009">
        <w:rPr>
          <w:rFonts w:ascii="Arial" w:eastAsia="Calibri" w:hAnsi="Arial" w:cs="Arial"/>
          <w:color w:val="000000" w:themeColor="text1"/>
          <w:sz w:val="22"/>
          <w:lang w:val="es-ES"/>
        </w:rPr>
        <w:t xml:space="preserve"> y no otorgar–</w:t>
      </w:r>
      <w:r w:rsidR="00C65B95" w:rsidRPr="00386009">
        <w:rPr>
          <w:rFonts w:ascii="Arial" w:eastAsia="Calibri" w:hAnsi="Arial" w:cs="Arial"/>
          <w:color w:val="000000" w:themeColor="text1"/>
          <w:sz w:val="22"/>
          <w:lang w:val="es-ES"/>
        </w:rPr>
        <w:t>, mientras que la causal 2 se configura a través de una acción</w:t>
      </w:r>
      <w:r w:rsidR="00630DCF" w:rsidRPr="00386009">
        <w:rPr>
          <w:rFonts w:ascii="Arial" w:eastAsia="Calibri" w:hAnsi="Arial" w:cs="Arial"/>
          <w:color w:val="000000" w:themeColor="text1"/>
          <w:sz w:val="22"/>
          <w:lang w:val="es-ES"/>
        </w:rPr>
        <w:t xml:space="preserve"> –</w:t>
      </w:r>
      <w:r w:rsidR="00630DCF" w:rsidRPr="00386009">
        <w:rPr>
          <w:rFonts w:ascii="Arial" w:eastAsia="Calibri" w:hAnsi="Arial" w:cs="Arial"/>
          <w:color w:val="000000" w:themeColor="text1"/>
          <w:sz w:val="22"/>
          <w:lang w:val="es-ES"/>
        </w:rPr>
        <w:lastRenderedPageBreak/>
        <w:t>retirar la oferta–</w:t>
      </w:r>
      <w:r w:rsidR="00C65B95" w:rsidRPr="00386009">
        <w:rPr>
          <w:rFonts w:ascii="Arial" w:eastAsia="Calibri" w:hAnsi="Arial" w:cs="Arial"/>
          <w:color w:val="000000" w:themeColor="text1"/>
          <w:sz w:val="22"/>
          <w:lang w:val="es-ES"/>
        </w:rPr>
        <w:t xml:space="preserve">. </w:t>
      </w:r>
      <w:r w:rsidR="005C3B19" w:rsidRPr="00386009">
        <w:rPr>
          <w:rFonts w:ascii="Arial" w:eastAsia="Calibri" w:hAnsi="Arial" w:cs="Arial"/>
          <w:color w:val="000000" w:themeColor="text1"/>
          <w:sz w:val="22"/>
          <w:lang w:val="es-ES"/>
        </w:rPr>
        <w:t xml:space="preserve">Además, guardan relación con diferentes etapas del procedimiento: mientras la causal 1 </w:t>
      </w:r>
      <w:r w:rsidR="00F36B50" w:rsidRPr="00386009">
        <w:rPr>
          <w:rFonts w:ascii="Arial" w:eastAsia="Calibri" w:hAnsi="Arial" w:cs="Arial"/>
          <w:color w:val="000000" w:themeColor="text1"/>
          <w:sz w:val="22"/>
          <w:lang w:val="es-ES"/>
        </w:rPr>
        <w:t>está</w:t>
      </w:r>
      <w:r w:rsidR="005C3B19" w:rsidRPr="00386009">
        <w:rPr>
          <w:rFonts w:ascii="Arial" w:eastAsia="Calibri" w:hAnsi="Arial" w:cs="Arial"/>
          <w:color w:val="000000" w:themeColor="text1"/>
          <w:sz w:val="22"/>
          <w:lang w:val="es-ES"/>
        </w:rPr>
        <w:t xml:space="preserve"> relacionada con la adjudicación y perfeccionamiento del contrato; la causal 2 está ubicada en la etapa precontractual; y las causales 3 y 4 en la contractual. </w:t>
      </w:r>
      <w:r w:rsidR="00C65B95" w:rsidRPr="00386009">
        <w:rPr>
          <w:rFonts w:ascii="Arial" w:eastAsia="Calibri" w:hAnsi="Arial" w:cs="Arial"/>
          <w:color w:val="000000" w:themeColor="text1"/>
          <w:sz w:val="22"/>
          <w:lang w:val="es-ES"/>
        </w:rPr>
        <w:t xml:space="preserve">Finalmente, mientras las causales 2, 3 y 4 dependen de la conducta </w:t>
      </w:r>
      <w:r w:rsidR="00630DCF" w:rsidRPr="00386009">
        <w:rPr>
          <w:rFonts w:ascii="Arial" w:eastAsia="Calibri" w:hAnsi="Arial" w:cs="Arial"/>
          <w:color w:val="000000" w:themeColor="text1"/>
          <w:sz w:val="22"/>
          <w:lang w:val="es-ES"/>
        </w:rPr>
        <w:t>pura y simple</w:t>
      </w:r>
      <w:r w:rsidR="00C65B95" w:rsidRPr="00386009">
        <w:rPr>
          <w:rFonts w:ascii="Arial" w:eastAsia="Calibri" w:hAnsi="Arial" w:cs="Arial"/>
          <w:color w:val="000000" w:themeColor="text1"/>
          <w:sz w:val="22"/>
          <w:lang w:val="es-ES"/>
        </w:rPr>
        <w:t xml:space="preserve"> del proponente, la causal 1 depende de una exigencia previa de la entidad contratante en la que, posteriormente, el oferente incumple el deber de mantener la vigencia de la garantía del ofrecimiento.</w:t>
      </w:r>
    </w:p>
    <w:p w14:paraId="54596257" w14:textId="7308997F" w:rsidR="003A0E2C" w:rsidRPr="00386009" w:rsidRDefault="00C65B95" w:rsidP="003A0E2C">
      <w:pPr>
        <w:spacing w:after="120" w:line="276" w:lineRule="auto"/>
        <w:ind w:firstLine="709"/>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 xml:space="preserve">De hecho, la causal 1 es relevante para el objeto de la consulta, ya que consagra el deber de ampliar la garantía de seriedad en los casos </w:t>
      </w:r>
      <w:r w:rsidR="001C2287">
        <w:rPr>
          <w:rFonts w:ascii="Arial" w:eastAsia="Calibri" w:hAnsi="Arial" w:cs="Arial"/>
          <w:color w:val="000000" w:themeColor="text1"/>
          <w:sz w:val="22"/>
          <w:lang w:val="es-ES"/>
        </w:rPr>
        <w:t>y condiciones</w:t>
      </w:r>
      <w:r w:rsidR="00B9283A">
        <w:rPr>
          <w:rFonts w:ascii="Arial" w:eastAsia="Calibri" w:hAnsi="Arial" w:cs="Arial"/>
          <w:color w:val="000000" w:themeColor="text1"/>
          <w:sz w:val="22"/>
          <w:lang w:val="es-ES"/>
        </w:rPr>
        <w:t xml:space="preserve"> </w:t>
      </w:r>
      <w:r w:rsidRPr="00386009">
        <w:rPr>
          <w:rFonts w:ascii="Arial" w:eastAsia="Calibri" w:hAnsi="Arial" w:cs="Arial"/>
          <w:color w:val="000000" w:themeColor="text1"/>
          <w:sz w:val="22"/>
          <w:lang w:val="es-ES"/>
        </w:rPr>
        <w:t>determinad</w:t>
      </w:r>
      <w:r w:rsidR="00B9283A">
        <w:rPr>
          <w:rFonts w:ascii="Arial" w:eastAsia="Calibri" w:hAnsi="Arial" w:cs="Arial"/>
          <w:color w:val="000000" w:themeColor="text1"/>
          <w:sz w:val="22"/>
          <w:lang w:val="es-ES"/>
        </w:rPr>
        <w:t>a</w:t>
      </w:r>
      <w:r w:rsidRPr="00386009">
        <w:rPr>
          <w:rFonts w:ascii="Arial" w:eastAsia="Calibri" w:hAnsi="Arial" w:cs="Arial"/>
          <w:color w:val="000000" w:themeColor="text1"/>
          <w:sz w:val="22"/>
          <w:lang w:val="es-ES"/>
        </w:rPr>
        <w:t xml:space="preserve">s por el reglamento. </w:t>
      </w:r>
      <w:r w:rsidR="00B9283A">
        <w:rPr>
          <w:rFonts w:ascii="Arial" w:eastAsia="Calibri" w:hAnsi="Arial" w:cs="Arial"/>
          <w:color w:val="000000" w:themeColor="text1"/>
          <w:sz w:val="22"/>
          <w:lang w:val="es-ES"/>
        </w:rPr>
        <w:t>E</w:t>
      </w:r>
      <w:r w:rsidR="007425C6" w:rsidRPr="00386009">
        <w:rPr>
          <w:rFonts w:ascii="Arial" w:eastAsia="Calibri" w:hAnsi="Arial" w:cs="Arial"/>
          <w:color w:val="000000" w:themeColor="text1"/>
          <w:sz w:val="22"/>
          <w:lang w:val="es-ES"/>
        </w:rPr>
        <w:t>sta obligación es particularmente gravos</w:t>
      </w:r>
      <w:r w:rsidR="00B9283A">
        <w:rPr>
          <w:rFonts w:ascii="Arial" w:eastAsia="Calibri" w:hAnsi="Arial" w:cs="Arial"/>
          <w:color w:val="000000" w:themeColor="text1"/>
          <w:sz w:val="22"/>
          <w:lang w:val="es-ES"/>
        </w:rPr>
        <w:t>a</w:t>
      </w:r>
      <w:r w:rsidR="007425C6" w:rsidRPr="00386009">
        <w:rPr>
          <w:rFonts w:ascii="Arial" w:eastAsia="Calibri" w:hAnsi="Arial" w:cs="Arial"/>
          <w:color w:val="000000" w:themeColor="text1"/>
          <w:sz w:val="22"/>
          <w:lang w:val="es-ES"/>
        </w:rPr>
        <w:t xml:space="preserve"> para el proponente, ya que los precios de los bienes y servicios se ajustan contantemente a la oferta y la demanda</w:t>
      </w:r>
      <w:r w:rsidR="00B9283A">
        <w:rPr>
          <w:rFonts w:ascii="Arial" w:eastAsia="Calibri" w:hAnsi="Arial" w:cs="Arial"/>
          <w:color w:val="000000" w:themeColor="text1"/>
          <w:sz w:val="22"/>
          <w:lang w:val="es-ES"/>
        </w:rPr>
        <w:t>, por lo tanto pueden variar notablemente, en ciertos mercados por lo menos</w:t>
      </w:r>
      <w:r w:rsidR="007425C6" w:rsidRPr="00386009">
        <w:rPr>
          <w:rFonts w:ascii="Arial" w:eastAsia="Calibri" w:hAnsi="Arial" w:cs="Arial"/>
          <w:color w:val="000000" w:themeColor="text1"/>
          <w:sz w:val="22"/>
          <w:lang w:val="es-ES"/>
        </w:rPr>
        <w:t>. De</w:t>
      </w:r>
      <w:r w:rsidR="005D142C">
        <w:rPr>
          <w:rFonts w:ascii="Arial" w:eastAsia="Calibri" w:hAnsi="Arial" w:cs="Arial"/>
          <w:color w:val="000000" w:themeColor="text1"/>
          <w:sz w:val="22"/>
          <w:lang w:val="es-ES"/>
        </w:rPr>
        <w:t>sde</w:t>
      </w:r>
      <w:r w:rsidR="007425C6" w:rsidRPr="00386009">
        <w:rPr>
          <w:rFonts w:ascii="Arial" w:eastAsia="Calibri" w:hAnsi="Arial" w:cs="Arial"/>
          <w:color w:val="000000" w:themeColor="text1"/>
          <w:sz w:val="22"/>
          <w:lang w:val="es-ES"/>
        </w:rPr>
        <w:t xml:space="preserve"> esta perspectiva</w:t>
      </w:r>
      <w:r w:rsidR="005D142C">
        <w:rPr>
          <w:rFonts w:ascii="Arial" w:eastAsia="Calibri" w:hAnsi="Arial" w:cs="Arial"/>
          <w:color w:val="000000" w:themeColor="text1"/>
          <w:sz w:val="22"/>
          <w:lang w:val="es-ES"/>
        </w:rPr>
        <w:t>,</w:t>
      </w:r>
      <w:r w:rsidR="007425C6" w:rsidRPr="00386009">
        <w:rPr>
          <w:rFonts w:ascii="Arial" w:eastAsia="Calibri" w:hAnsi="Arial" w:cs="Arial"/>
          <w:color w:val="000000" w:themeColor="text1"/>
          <w:sz w:val="22"/>
          <w:lang w:val="es-ES"/>
        </w:rPr>
        <w:t xml:space="preserve"> es </w:t>
      </w:r>
      <w:r w:rsidR="005D142C">
        <w:rPr>
          <w:rFonts w:ascii="Arial" w:eastAsia="Calibri" w:hAnsi="Arial" w:cs="Arial"/>
          <w:color w:val="000000" w:themeColor="text1"/>
          <w:sz w:val="22"/>
          <w:lang w:val="es-ES"/>
        </w:rPr>
        <w:t xml:space="preserve">relativamente </w:t>
      </w:r>
      <w:r w:rsidR="007425C6" w:rsidRPr="00386009">
        <w:rPr>
          <w:rFonts w:ascii="Arial" w:eastAsia="Calibri" w:hAnsi="Arial" w:cs="Arial"/>
          <w:color w:val="000000" w:themeColor="text1"/>
          <w:sz w:val="22"/>
          <w:lang w:val="es-ES"/>
        </w:rPr>
        <w:t xml:space="preserve">previsible </w:t>
      </w:r>
      <w:r w:rsidR="005D142C">
        <w:rPr>
          <w:rFonts w:ascii="Arial" w:eastAsia="Calibri" w:hAnsi="Arial" w:cs="Arial"/>
          <w:color w:val="000000" w:themeColor="text1"/>
          <w:sz w:val="22"/>
          <w:lang w:val="es-ES"/>
        </w:rPr>
        <w:t xml:space="preserve">o justificable </w:t>
      </w:r>
      <w:r w:rsidR="007425C6" w:rsidRPr="00386009">
        <w:rPr>
          <w:rFonts w:ascii="Arial" w:eastAsia="Calibri" w:hAnsi="Arial" w:cs="Arial"/>
          <w:color w:val="000000" w:themeColor="text1"/>
          <w:sz w:val="22"/>
          <w:lang w:val="es-ES"/>
        </w:rPr>
        <w:t xml:space="preserve">la </w:t>
      </w:r>
      <w:r w:rsidR="00B9283A" w:rsidRPr="00386009">
        <w:rPr>
          <w:rFonts w:ascii="Arial" w:eastAsia="Calibri" w:hAnsi="Arial" w:cs="Arial"/>
          <w:color w:val="000000" w:themeColor="text1"/>
          <w:sz w:val="22"/>
          <w:lang w:val="es-ES"/>
        </w:rPr>
        <w:t>resistencia</w:t>
      </w:r>
      <w:r w:rsidR="007425C6" w:rsidRPr="00386009">
        <w:rPr>
          <w:rFonts w:ascii="Arial" w:eastAsia="Calibri" w:hAnsi="Arial" w:cs="Arial"/>
          <w:color w:val="000000" w:themeColor="text1"/>
          <w:sz w:val="22"/>
          <w:lang w:val="es-ES"/>
        </w:rPr>
        <w:t xml:space="preserve"> </w:t>
      </w:r>
      <w:r w:rsidR="00B9283A">
        <w:rPr>
          <w:rFonts w:ascii="Arial" w:eastAsia="Calibri" w:hAnsi="Arial" w:cs="Arial"/>
          <w:color w:val="000000" w:themeColor="text1"/>
          <w:sz w:val="22"/>
          <w:lang w:val="es-ES"/>
        </w:rPr>
        <w:t xml:space="preserve">de los proponentes </w:t>
      </w:r>
      <w:r w:rsidR="007425C6" w:rsidRPr="00386009">
        <w:rPr>
          <w:rFonts w:ascii="Arial" w:eastAsia="Calibri" w:hAnsi="Arial" w:cs="Arial"/>
          <w:color w:val="000000" w:themeColor="text1"/>
          <w:sz w:val="22"/>
          <w:lang w:val="es-ES"/>
        </w:rPr>
        <w:t xml:space="preserve">a ampliar la cobertura, circunstancia que se agrava cuando </w:t>
      </w:r>
      <w:r w:rsidR="00163F17" w:rsidRPr="00386009">
        <w:rPr>
          <w:rFonts w:ascii="Arial" w:eastAsia="Calibri" w:hAnsi="Arial" w:cs="Arial"/>
          <w:color w:val="000000" w:themeColor="text1"/>
          <w:sz w:val="22"/>
          <w:lang w:val="es-ES"/>
        </w:rPr>
        <w:t>esta</w:t>
      </w:r>
      <w:r w:rsidR="007425C6" w:rsidRPr="00386009">
        <w:rPr>
          <w:rFonts w:ascii="Arial" w:eastAsia="Calibri" w:hAnsi="Arial" w:cs="Arial"/>
          <w:color w:val="000000" w:themeColor="text1"/>
          <w:sz w:val="22"/>
          <w:lang w:val="es-ES"/>
        </w:rPr>
        <w:t xml:space="preserve"> vence antes de la aprobación de la garantía única</w:t>
      </w:r>
      <w:r w:rsidR="003A0E2C" w:rsidRPr="00386009">
        <w:rPr>
          <w:rFonts w:ascii="Arial" w:eastAsia="Calibri" w:hAnsi="Arial" w:cs="Arial"/>
          <w:color w:val="000000" w:themeColor="text1"/>
          <w:sz w:val="22"/>
          <w:lang w:val="es-ES"/>
        </w:rPr>
        <w:t xml:space="preserve">, por lo que es recomendable que el </w:t>
      </w:r>
      <w:r w:rsidR="003A0E2C" w:rsidRPr="00386009">
        <w:rPr>
          <w:rFonts w:ascii="Arial" w:eastAsia="Calibri" w:hAnsi="Arial" w:cs="Arial"/>
          <w:i/>
          <w:iCs/>
          <w:color w:val="000000" w:themeColor="text1"/>
          <w:sz w:val="22"/>
          <w:lang w:val="es-ES"/>
        </w:rPr>
        <w:t>plazo de cobertura</w:t>
      </w:r>
      <w:r w:rsidR="003A0E2C" w:rsidRPr="00386009">
        <w:rPr>
          <w:rFonts w:ascii="Arial" w:eastAsia="Calibri" w:hAnsi="Arial" w:cs="Arial"/>
          <w:color w:val="000000" w:themeColor="text1"/>
          <w:sz w:val="22"/>
          <w:lang w:val="es-ES"/>
        </w:rPr>
        <w:t xml:space="preserve"> supere el tiempo de normalmente tarda la entidad en aprobar la garantía </w:t>
      </w:r>
      <w:r w:rsidR="00153822" w:rsidRPr="00386009">
        <w:rPr>
          <w:rFonts w:ascii="Arial" w:eastAsia="Calibri" w:hAnsi="Arial" w:cs="Arial"/>
          <w:color w:val="000000" w:themeColor="text1"/>
          <w:sz w:val="22"/>
          <w:lang w:val="es-ES"/>
        </w:rPr>
        <w:t>contractual</w:t>
      </w:r>
      <w:r w:rsidR="003A0E2C" w:rsidRPr="00386009">
        <w:rPr>
          <w:rFonts w:ascii="Arial" w:eastAsia="Calibri" w:hAnsi="Arial" w:cs="Arial"/>
          <w:color w:val="000000" w:themeColor="text1"/>
          <w:sz w:val="22"/>
          <w:lang w:val="es-ES"/>
        </w:rPr>
        <w:t>, pues hacerlo por un término menor obliga a la entidad a solicitar la prórroga de aquel</w:t>
      </w:r>
      <w:r w:rsidR="00630DCF" w:rsidRPr="00386009">
        <w:rPr>
          <w:rFonts w:ascii="Arial" w:eastAsia="Calibri" w:hAnsi="Arial" w:cs="Arial"/>
          <w:color w:val="000000" w:themeColor="text1"/>
          <w:sz w:val="22"/>
          <w:lang w:val="es-ES"/>
        </w:rPr>
        <w:t>.</w:t>
      </w:r>
      <w:r w:rsidR="003A0E2C" w:rsidRPr="00386009">
        <w:rPr>
          <w:rFonts w:ascii="Arial" w:eastAsia="Calibri" w:hAnsi="Arial" w:cs="Arial"/>
          <w:color w:val="000000" w:themeColor="text1"/>
          <w:sz w:val="22"/>
          <w:lang w:val="es-ES"/>
        </w:rPr>
        <w:t xml:space="preserve"> </w:t>
      </w:r>
    </w:p>
    <w:p w14:paraId="2148B479" w14:textId="62B14144" w:rsidR="00A5609E" w:rsidRPr="00386009" w:rsidRDefault="006E4967" w:rsidP="003A0E2C">
      <w:pPr>
        <w:spacing w:after="120" w:line="276" w:lineRule="auto"/>
        <w:ind w:firstLine="709"/>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 xml:space="preserve">En esta medida, </w:t>
      </w:r>
      <w:r w:rsidR="003A0E2C" w:rsidRPr="00386009">
        <w:rPr>
          <w:rFonts w:ascii="Arial" w:eastAsia="Calibri" w:hAnsi="Arial" w:cs="Arial"/>
          <w:color w:val="000000" w:themeColor="text1"/>
          <w:sz w:val="22"/>
          <w:lang w:val="es-ES"/>
        </w:rPr>
        <w:t xml:space="preserve">el numeral 1 del artículo 2.2.1.2.3.1.6 del Decreto 1082 de 2015 </w:t>
      </w:r>
      <w:r w:rsidR="00C736E2" w:rsidRPr="00386009">
        <w:rPr>
          <w:rFonts w:ascii="Arial" w:eastAsia="Calibri" w:hAnsi="Arial" w:cs="Arial"/>
          <w:color w:val="000000" w:themeColor="text1"/>
          <w:sz w:val="22"/>
          <w:lang w:val="es-ES"/>
        </w:rPr>
        <w:t xml:space="preserve"> </w:t>
      </w:r>
      <w:r w:rsidR="005D142C">
        <w:rPr>
          <w:rFonts w:ascii="Arial" w:eastAsia="Calibri" w:hAnsi="Arial" w:cs="Arial"/>
          <w:color w:val="000000" w:themeColor="text1"/>
          <w:sz w:val="22"/>
          <w:lang w:val="es-ES"/>
        </w:rPr>
        <w:t>regula</w:t>
      </w:r>
      <w:r w:rsidR="00C736E2" w:rsidRPr="00386009">
        <w:rPr>
          <w:rFonts w:ascii="Arial" w:eastAsia="Calibri" w:hAnsi="Arial" w:cs="Arial"/>
          <w:color w:val="000000" w:themeColor="text1"/>
          <w:sz w:val="22"/>
          <w:lang w:val="es-ES"/>
        </w:rPr>
        <w:t xml:space="preserve"> la efectividad de la garantía </w:t>
      </w:r>
      <w:r w:rsidR="003A0E2C" w:rsidRPr="00386009">
        <w:rPr>
          <w:rFonts w:ascii="Arial" w:eastAsia="Calibri" w:hAnsi="Arial" w:cs="Arial"/>
          <w:color w:val="000000" w:themeColor="text1"/>
          <w:sz w:val="22"/>
          <w:lang w:val="es-ES"/>
        </w:rPr>
        <w:t>por «La no ampliación de la vigencia de la garantía de seriedad de la oferta cuando el plazo para la adjudicación o para suscribir el contrato es prorrogado, siempre que tal prórroga sea inferior a tres (3) meses».</w:t>
      </w:r>
      <w:r w:rsidR="00C736E2" w:rsidRPr="00386009">
        <w:rPr>
          <w:rFonts w:ascii="Arial" w:eastAsia="Calibri" w:hAnsi="Arial" w:cs="Arial"/>
          <w:color w:val="000000" w:themeColor="text1"/>
          <w:sz w:val="22"/>
          <w:lang w:val="es-ES"/>
        </w:rPr>
        <w:t xml:space="preserve"> </w:t>
      </w:r>
      <w:r w:rsidR="003A0E2C" w:rsidRPr="00386009">
        <w:rPr>
          <w:rFonts w:ascii="Arial" w:eastAsia="Calibri" w:hAnsi="Arial" w:cs="Arial"/>
          <w:color w:val="000000" w:themeColor="text1"/>
          <w:sz w:val="22"/>
          <w:lang w:val="es-ES"/>
        </w:rPr>
        <w:t>Lo requisitos de la causal son los siguientes: i) solicitud previa de la entidad estatal</w:t>
      </w:r>
      <w:r w:rsidR="005D142C">
        <w:rPr>
          <w:rFonts w:ascii="Arial" w:eastAsia="Calibri" w:hAnsi="Arial" w:cs="Arial"/>
          <w:color w:val="000000" w:themeColor="text1"/>
          <w:sz w:val="22"/>
          <w:lang w:val="es-ES"/>
        </w:rPr>
        <w:t>,</w:t>
      </w:r>
      <w:r w:rsidR="003A0E2C" w:rsidRPr="00386009">
        <w:rPr>
          <w:rFonts w:ascii="Arial" w:eastAsia="Calibri" w:hAnsi="Arial" w:cs="Arial"/>
          <w:color w:val="000000" w:themeColor="text1"/>
          <w:sz w:val="22"/>
          <w:lang w:val="es-ES"/>
        </w:rPr>
        <w:t xml:space="preserve"> ii) </w:t>
      </w:r>
      <w:r w:rsidR="00B15F27" w:rsidRPr="00386009">
        <w:rPr>
          <w:rFonts w:ascii="Arial" w:eastAsia="Calibri" w:hAnsi="Arial" w:cs="Arial"/>
          <w:color w:val="000000" w:themeColor="text1"/>
          <w:sz w:val="22"/>
          <w:lang w:val="es-ES"/>
        </w:rPr>
        <w:t xml:space="preserve">que la prórroga esté motivada en la ampliación del </w:t>
      </w:r>
      <w:r w:rsidR="001445D0" w:rsidRPr="00386009">
        <w:rPr>
          <w:rFonts w:ascii="Arial" w:eastAsia="Calibri" w:hAnsi="Arial" w:cs="Arial"/>
          <w:color w:val="000000" w:themeColor="text1"/>
          <w:sz w:val="22"/>
          <w:lang w:val="es-ES"/>
        </w:rPr>
        <w:t>término</w:t>
      </w:r>
      <w:r w:rsidR="00B15F27" w:rsidRPr="00386009">
        <w:rPr>
          <w:rFonts w:ascii="Arial" w:eastAsia="Calibri" w:hAnsi="Arial" w:cs="Arial"/>
          <w:color w:val="000000" w:themeColor="text1"/>
          <w:sz w:val="22"/>
          <w:lang w:val="es-ES"/>
        </w:rPr>
        <w:t xml:space="preserve"> para </w:t>
      </w:r>
      <w:r w:rsidR="00B9283A">
        <w:rPr>
          <w:rFonts w:ascii="Arial" w:eastAsia="Calibri" w:hAnsi="Arial" w:cs="Arial"/>
          <w:color w:val="000000" w:themeColor="text1"/>
          <w:sz w:val="22"/>
          <w:lang w:val="es-ES"/>
        </w:rPr>
        <w:t>«</w:t>
      </w:r>
      <w:r w:rsidR="00B15F27" w:rsidRPr="00386009">
        <w:rPr>
          <w:rFonts w:ascii="Arial" w:eastAsia="Calibri" w:hAnsi="Arial" w:cs="Arial"/>
          <w:color w:val="000000" w:themeColor="text1"/>
          <w:sz w:val="22"/>
          <w:lang w:val="es-ES"/>
        </w:rPr>
        <w:t>adjudicar</w:t>
      </w:r>
      <w:r w:rsidR="00B9283A">
        <w:rPr>
          <w:rFonts w:ascii="Arial" w:eastAsia="Calibri" w:hAnsi="Arial" w:cs="Arial"/>
          <w:color w:val="000000" w:themeColor="text1"/>
          <w:sz w:val="22"/>
          <w:lang w:val="es-ES"/>
        </w:rPr>
        <w:t>»</w:t>
      </w:r>
      <w:r w:rsidR="00B15F27" w:rsidRPr="00386009">
        <w:rPr>
          <w:rFonts w:ascii="Arial" w:eastAsia="Calibri" w:hAnsi="Arial" w:cs="Arial"/>
          <w:color w:val="000000" w:themeColor="text1"/>
          <w:sz w:val="22"/>
          <w:lang w:val="es-ES"/>
        </w:rPr>
        <w:t xml:space="preserve"> o </w:t>
      </w:r>
      <w:r w:rsidR="00B9283A">
        <w:rPr>
          <w:rFonts w:ascii="Arial" w:eastAsia="Calibri" w:hAnsi="Arial" w:cs="Arial"/>
          <w:color w:val="000000" w:themeColor="text1"/>
          <w:sz w:val="22"/>
          <w:lang w:val="es-ES"/>
        </w:rPr>
        <w:t>para «</w:t>
      </w:r>
      <w:r w:rsidR="00B15F27" w:rsidRPr="00386009">
        <w:rPr>
          <w:rFonts w:ascii="Arial" w:eastAsia="Calibri" w:hAnsi="Arial" w:cs="Arial"/>
          <w:color w:val="000000" w:themeColor="text1"/>
          <w:sz w:val="22"/>
          <w:lang w:val="es-ES"/>
        </w:rPr>
        <w:t>suscribir el contrato</w:t>
      </w:r>
      <w:r w:rsidR="00B9283A">
        <w:rPr>
          <w:rFonts w:ascii="Arial" w:eastAsia="Calibri" w:hAnsi="Arial" w:cs="Arial"/>
          <w:color w:val="000000" w:themeColor="text1"/>
          <w:sz w:val="22"/>
          <w:lang w:val="es-ES"/>
        </w:rPr>
        <w:t>»</w:t>
      </w:r>
      <w:r w:rsidR="00B15F27" w:rsidRPr="00386009">
        <w:rPr>
          <w:rFonts w:ascii="Arial" w:eastAsia="Calibri" w:hAnsi="Arial" w:cs="Arial"/>
          <w:color w:val="000000" w:themeColor="text1"/>
          <w:sz w:val="22"/>
          <w:lang w:val="es-ES"/>
        </w:rPr>
        <w:t>, lo que impide que la orden se sustente en razones diferentes</w:t>
      </w:r>
      <w:r w:rsidR="005D142C">
        <w:rPr>
          <w:rFonts w:ascii="Arial" w:eastAsia="Calibri" w:hAnsi="Arial" w:cs="Arial"/>
          <w:color w:val="000000" w:themeColor="text1"/>
          <w:sz w:val="22"/>
          <w:lang w:val="es-ES"/>
        </w:rPr>
        <w:t>,</w:t>
      </w:r>
      <w:r w:rsidR="00B15F27" w:rsidRPr="00386009">
        <w:rPr>
          <w:rFonts w:ascii="Arial" w:eastAsia="Calibri" w:hAnsi="Arial" w:cs="Arial"/>
          <w:color w:val="000000" w:themeColor="text1"/>
          <w:sz w:val="22"/>
          <w:lang w:val="es-ES"/>
        </w:rPr>
        <w:t xml:space="preserve"> iii) que la ampliación</w:t>
      </w:r>
      <w:r w:rsidR="005D142C">
        <w:rPr>
          <w:rFonts w:ascii="Arial" w:eastAsia="Calibri" w:hAnsi="Arial" w:cs="Arial"/>
          <w:color w:val="000000" w:themeColor="text1"/>
          <w:sz w:val="22"/>
          <w:lang w:val="es-ES"/>
        </w:rPr>
        <w:t xml:space="preserve"> que se</w:t>
      </w:r>
      <w:r w:rsidR="00B15F27" w:rsidRPr="00386009">
        <w:rPr>
          <w:rFonts w:ascii="Arial" w:eastAsia="Calibri" w:hAnsi="Arial" w:cs="Arial"/>
          <w:color w:val="000000" w:themeColor="text1"/>
          <w:sz w:val="22"/>
          <w:lang w:val="es-ES"/>
        </w:rPr>
        <w:t xml:space="preserve"> solicita no supere tres (3) meses, ya que –considerando la carga </w:t>
      </w:r>
      <w:r w:rsidR="005D142C">
        <w:rPr>
          <w:rFonts w:ascii="Arial" w:eastAsia="Calibri" w:hAnsi="Arial" w:cs="Arial"/>
          <w:color w:val="000000" w:themeColor="text1"/>
          <w:sz w:val="22"/>
          <w:lang w:val="es-ES"/>
        </w:rPr>
        <w:t xml:space="preserve">que se le </w:t>
      </w:r>
      <w:r w:rsidR="00B15F27" w:rsidRPr="00386009">
        <w:rPr>
          <w:rFonts w:ascii="Arial" w:eastAsia="Calibri" w:hAnsi="Arial" w:cs="Arial"/>
          <w:color w:val="000000" w:themeColor="text1"/>
          <w:sz w:val="22"/>
          <w:lang w:val="es-ES"/>
        </w:rPr>
        <w:t>imp</w:t>
      </w:r>
      <w:r w:rsidR="005D142C">
        <w:rPr>
          <w:rFonts w:ascii="Arial" w:eastAsia="Calibri" w:hAnsi="Arial" w:cs="Arial"/>
          <w:color w:val="000000" w:themeColor="text1"/>
          <w:sz w:val="22"/>
          <w:lang w:val="es-ES"/>
        </w:rPr>
        <w:t>one a</w:t>
      </w:r>
      <w:r w:rsidR="00B15F27" w:rsidRPr="00386009">
        <w:rPr>
          <w:rFonts w:ascii="Arial" w:eastAsia="Calibri" w:hAnsi="Arial" w:cs="Arial"/>
          <w:color w:val="000000" w:themeColor="text1"/>
          <w:sz w:val="22"/>
          <w:lang w:val="es-ES"/>
        </w:rPr>
        <w:t xml:space="preserve">l proponente </w:t>
      </w:r>
      <w:r w:rsidR="005D142C">
        <w:rPr>
          <w:rFonts w:ascii="Arial" w:eastAsia="Calibri" w:hAnsi="Arial" w:cs="Arial"/>
          <w:color w:val="000000" w:themeColor="text1"/>
          <w:sz w:val="22"/>
          <w:lang w:val="es-ES"/>
        </w:rPr>
        <w:t>de</w:t>
      </w:r>
      <w:r w:rsidR="00B15F27" w:rsidRPr="00386009">
        <w:rPr>
          <w:rFonts w:ascii="Arial" w:eastAsia="Calibri" w:hAnsi="Arial" w:cs="Arial"/>
          <w:color w:val="000000" w:themeColor="text1"/>
          <w:sz w:val="22"/>
          <w:lang w:val="es-ES"/>
        </w:rPr>
        <w:t xml:space="preserve"> mantener el ofrecimiento mas allá del plazo inicialmente previsto– aquel término implica una limitación </w:t>
      </w:r>
      <w:r w:rsidR="005D142C">
        <w:rPr>
          <w:rFonts w:ascii="Arial" w:eastAsia="Calibri" w:hAnsi="Arial" w:cs="Arial"/>
          <w:color w:val="000000" w:themeColor="text1"/>
          <w:sz w:val="22"/>
          <w:lang w:val="es-ES"/>
        </w:rPr>
        <w:t xml:space="preserve">justificable </w:t>
      </w:r>
      <w:r w:rsidR="00B15F27" w:rsidRPr="00386009">
        <w:rPr>
          <w:rFonts w:ascii="Arial" w:eastAsia="Calibri" w:hAnsi="Arial" w:cs="Arial"/>
          <w:color w:val="000000" w:themeColor="text1"/>
          <w:sz w:val="22"/>
          <w:lang w:val="es-ES"/>
        </w:rPr>
        <w:t xml:space="preserve">para las entidades. </w:t>
      </w:r>
      <w:r w:rsidR="005D142C">
        <w:rPr>
          <w:rFonts w:ascii="Arial" w:eastAsia="Calibri" w:hAnsi="Arial" w:cs="Arial"/>
          <w:color w:val="000000" w:themeColor="text1"/>
          <w:sz w:val="22"/>
          <w:lang w:val="es-ES"/>
        </w:rPr>
        <w:t>Si</w:t>
      </w:r>
      <w:r w:rsidR="00A5609E" w:rsidRPr="00386009">
        <w:rPr>
          <w:rFonts w:ascii="Arial" w:eastAsia="Calibri" w:hAnsi="Arial" w:cs="Arial"/>
          <w:color w:val="000000" w:themeColor="text1"/>
          <w:sz w:val="22"/>
          <w:lang w:val="es-ES"/>
        </w:rPr>
        <w:t xml:space="preserve"> se cumpl</w:t>
      </w:r>
      <w:r w:rsidR="005D142C">
        <w:rPr>
          <w:rFonts w:ascii="Arial" w:eastAsia="Calibri" w:hAnsi="Arial" w:cs="Arial"/>
          <w:color w:val="000000" w:themeColor="text1"/>
          <w:sz w:val="22"/>
          <w:lang w:val="es-ES"/>
        </w:rPr>
        <w:t>e</w:t>
      </w:r>
      <w:r w:rsidR="00A5609E" w:rsidRPr="00386009">
        <w:rPr>
          <w:rFonts w:ascii="Arial" w:eastAsia="Calibri" w:hAnsi="Arial" w:cs="Arial"/>
          <w:color w:val="000000" w:themeColor="text1"/>
          <w:sz w:val="22"/>
          <w:lang w:val="es-ES"/>
        </w:rPr>
        <w:t>n estas condiciones los oferentes deben atender la solicitud de la Administración</w:t>
      </w:r>
      <w:r w:rsidR="005D142C">
        <w:rPr>
          <w:rFonts w:ascii="Arial" w:eastAsia="Calibri" w:hAnsi="Arial" w:cs="Arial"/>
          <w:color w:val="000000" w:themeColor="text1"/>
          <w:sz w:val="22"/>
          <w:lang w:val="es-ES"/>
        </w:rPr>
        <w:t xml:space="preserve">; </w:t>
      </w:r>
      <w:r w:rsidR="00A5609E" w:rsidRPr="00386009">
        <w:rPr>
          <w:rFonts w:ascii="Arial" w:eastAsia="Calibri" w:hAnsi="Arial" w:cs="Arial"/>
          <w:color w:val="000000" w:themeColor="text1"/>
          <w:sz w:val="22"/>
          <w:lang w:val="es-ES"/>
        </w:rPr>
        <w:t>en caso de incumpli</w:t>
      </w:r>
      <w:r w:rsidR="005D142C">
        <w:rPr>
          <w:rFonts w:ascii="Arial" w:eastAsia="Calibri" w:hAnsi="Arial" w:cs="Arial"/>
          <w:color w:val="000000" w:themeColor="text1"/>
          <w:sz w:val="22"/>
          <w:lang w:val="es-ES"/>
        </w:rPr>
        <w:t>rla</w:t>
      </w:r>
      <w:r w:rsidR="00A5609E" w:rsidRPr="00386009">
        <w:rPr>
          <w:rFonts w:ascii="Arial" w:eastAsia="Calibri" w:hAnsi="Arial" w:cs="Arial"/>
          <w:color w:val="000000" w:themeColor="text1"/>
          <w:sz w:val="22"/>
          <w:lang w:val="es-ES"/>
        </w:rPr>
        <w:t xml:space="preserve"> se ha</w:t>
      </w:r>
      <w:r w:rsidR="005D142C">
        <w:rPr>
          <w:rFonts w:ascii="Arial" w:eastAsia="Calibri" w:hAnsi="Arial" w:cs="Arial"/>
          <w:color w:val="000000" w:themeColor="text1"/>
          <w:sz w:val="22"/>
          <w:lang w:val="es-ES"/>
        </w:rPr>
        <w:t>rá</w:t>
      </w:r>
      <w:r w:rsidR="00A5609E" w:rsidRPr="00386009">
        <w:rPr>
          <w:rFonts w:ascii="Arial" w:eastAsia="Calibri" w:hAnsi="Arial" w:cs="Arial"/>
          <w:color w:val="000000" w:themeColor="text1"/>
          <w:sz w:val="22"/>
          <w:lang w:val="es-ES"/>
        </w:rPr>
        <w:t xml:space="preserve"> efectiva la garantía</w:t>
      </w:r>
      <w:r w:rsidR="005D142C">
        <w:rPr>
          <w:rFonts w:ascii="Arial" w:eastAsia="Calibri" w:hAnsi="Arial" w:cs="Arial"/>
          <w:color w:val="000000" w:themeColor="text1"/>
          <w:sz w:val="22"/>
          <w:lang w:val="es-ES"/>
        </w:rPr>
        <w:t>,</w:t>
      </w:r>
      <w:r w:rsidR="00A5609E" w:rsidRPr="00386009">
        <w:rPr>
          <w:rFonts w:ascii="Arial" w:eastAsia="Calibri" w:hAnsi="Arial" w:cs="Arial"/>
          <w:color w:val="000000" w:themeColor="text1"/>
          <w:sz w:val="22"/>
          <w:lang w:val="es-ES"/>
        </w:rPr>
        <w:t xml:space="preserve"> a título de sanción.</w:t>
      </w:r>
    </w:p>
    <w:p w14:paraId="47224248" w14:textId="7D9484C4" w:rsidR="00640ADA" w:rsidRPr="00386009" w:rsidRDefault="00A5609E">
      <w:pPr>
        <w:spacing w:after="120" w:line="276" w:lineRule="auto"/>
        <w:ind w:firstLine="708"/>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 xml:space="preserve">No obstante, </w:t>
      </w:r>
      <w:r w:rsidRPr="00386009">
        <w:rPr>
          <w:rFonts w:ascii="Arial" w:eastAsia="Calibri" w:hAnsi="Arial" w:cs="Arial"/>
          <w:i/>
          <w:iCs/>
          <w:color w:val="000000" w:themeColor="text1"/>
          <w:sz w:val="22"/>
          <w:lang w:val="es-ES"/>
        </w:rPr>
        <w:t>en tercer lugar</w:t>
      </w:r>
      <w:r w:rsidRPr="00386009">
        <w:rPr>
          <w:rFonts w:ascii="Arial" w:eastAsia="Calibri" w:hAnsi="Arial" w:cs="Arial"/>
          <w:color w:val="000000" w:themeColor="text1"/>
          <w:sz w:val="22"/>
          <w:lang w:val="es-ES"/>
        </w:rPr>
        <w:t xml:space="preserve">, es necesario definir si la entidad contratante puede solicitar que se </w:t>
      </w:r>
      <w:r w:rsidR="00FE2A09" w:rsidRPr="00386009">
        <w:rPr>
          <w:rFonts w:ascii="Arial" w:eastAsia="Calibri" w:hAnsi="Arial" w:cs="Arial"/>
          <w:color w:val="000000" w:themeColor="text1"/>
          <w:sz w:val="22"/>
          <w:lang w:val="es-ES"/>
        </w:rPr>
        <w:t>amplíe la vigencia de</w:t>
      </w:r>
      <w:r w:rsidRPr="00386009">
        <w:rPr>
          <w:rFonts w:ascii="Arial" w:eastAsia="Calibri" w:hAnsi="Arial" w:cs="Arial"/>
          <w:color w:val="000000" w:themeColor="text1"/>
          <w:sz w:val="22"/>
          <w:lang w:val="es-ES"/>
        </w:rPr>
        <w:t xml:space="preserve"> la garantía de seriedad cuando se </w:t>
      </w:r>
      <w:r w:rsidR="005D142C">
        <w:rPr>
          <w:rFonts w:ascii="Arial" w:eastAsia="Calibri" w:hAnsi="Arial" w:cs="Arial"/>
          <w:color w:val="000000" w:themeColor="text1"/>
          <w:sz w:val="22"/>
          <w:lang w:val="es-ES"/>
        </w:rPr>
        <w:t>«</w:t>
      </w:r>
      <w:r w:rsidRPr="00386009">
        <w:rPr>
          <w:rFonts w:ascii="Arial" w:eastAsia="Calibri" w:hAnsi="Arial" w:cs="Arial"/>
          <w:i/>
          <w:iCs/>
          <w:color w:val="000000" w:themeColor="text1"/>
          <w:sz w:val="22"/>
          <w:lang w:val="es-ES"/>
        </w:rPr>
        <w:t>suspende</w:t>
      </w:r>
      <w:r w:rsidR="005D142C">
        <w:rPr>
          <w:rFonts w:ascii="Arial" w:eastAsia="Calibri" w:hAnsi="Arial" w:cs="Arial"/>
          <w:i/>
          <w:iCs/>
          <w:color w:val="000000" w:themeColor="text1"/>
          <w:sz w:val="22"/>
          <w:lang w:val="es-ES"/>
        </w:rPr>
        <w:t>»</w:t>
      </w:r>
      <w:r w:rsidRPr="00386009">
        <w:rPr>
          <w:rFonts w:ascii="Arial" w:eastAsia="Calibri" w:hAnsi="Arial" w:cs="Arial"/>
          <w:color w:val="000000" w:themeColor="text1"/>
          <w:sz w:val="22"/>
          <w:lang w:val="es-ES"/>
        </w:rPr>
        <w:t xml:space="preserve"> </w:t>
      </w:r>
      <w:r w:rsidR="005D142C">
        <w:rPr>
          <w:rFonts w:ascii="Arial" w:eastAsia="Calibri" w:hAnsi="Arial" w:cs="Arial"/>
          <w:color w:val="000000" w:themeColor="text1"/>
          <w:sz w:val="22"/>
          <w:lang w:val="es-ES"/>
        </w:rPr>
        <w:t>un</w:t>
      </w:r>
      <w:r w:rsidRPr="00386009">
        <w:rPr>
          <w:rFonts w:ascii="Arial" w:eastAsia="Calibri" w:hAnsi="Arial" w:cs="Arial"/>
          <w:color w:val="000000" w:themeColor="text1"/>
          <w:sz w:val="22"/>
          <w:lang w:val="es-ES"/>
        </w:rPr>
        <w:t xml:space="preserve"> proce</w:t>
      </w:r>
      <w:r w:rsidR="00B4756A" w:rsidRPr="00386009">
        <w:rPr>
          <w:rFonts w:ascii="Arial" w:eastAsia="Calibri" w:hAnsi="Arial" w:cs="Arial"/>
          <w:color w:val="000000" w:themeColor="text1"/>
          <w:sz w:val="22"/>
          <w:lang w:val="es-ES"/>
        </w:rPr>
        <w:t>dimiento</w:t>
      </w:r>
      <w:r w:rsidRPr="00386009">
        <w:rPr>
          <w:rFonts w:ascii="Arial" w:eastAsia="Calibri" w:hAnsi="Arial" w:cs="Arial"/>
          <w:color w:val="000000" w:themeColor="text1"/>
          <w:sz w:val="22"/>
          <w:lang w:val="es-ES"/>
        </w:rPr>
        <w:t xml:space="preserve"> de selección</w:t>
      </w:r>
      <w:r w:rsidR="00B4756A" w:rsidRPr="00386009">
        <w:rPr>
          <w:rFonts w:ascii="Arial" w:eastAsia="Calibri" w:hAnsi="Arial" w:cs="Arial"/>
          <w:color w:val="000000" w:themeColor="text1"/>
          <w:sz w:val="22"/>
          <w:lang w:val="es-ES"/>
        </w:rPr>
        <w:t>. Para abordar esta cuestión</w:t>
      </w:r>
      <w:r w:rsidR="00BB35B1" w:rsidRPr="00386009">
        <w:rPr>
          <w:rFonts w:ascii="Arial" w:eastAsia="Calibri" w:hAnsi="Arial" w:cs="Arial"/>
          <w:color w:val="000000" w:themeColor="text1"/>
          <w:sz w:val="22"/>
          <w:lang w:val="es-ES"/>
        </w:rPr>
        <w:t>,</w:t>
      </w:r>
      <w:r w:rsidR="00B4756A" w:rsidRPr="00386009">
        <w:rPr>
          <w:rFonts w:ascii="Arial" w:eastAsia="Calibri" w:hAnsi="Arial" w:cs="Arial"/>
          <w:color w:val="000000" w:themeColor="text1"/>
          <w:sz w:val="22"/>
          <w:lang w:val="es-ES"/>
        </w:rPr>
        <w:t xml:space="preserve"> </w:t>
      </w:r>
      <w:r w:rsidR="00BB35B1" w:rsidRPr="00386009">
        <w:rPr>
          <w:rFonts w:ascii="Arial" w:eastAsia="Calibri" w:hAnsi="Arial" w:cs="Arial"/>
          <w:color w:val="000000" w:themeColor="text1"/>
          <w:sz w:val="22"/>
          <w:lang w:val="es-ES"/>
        </w:rPr>
        <w:t>debe considerarse</w:t>
      </w:r>
      <w:r w:rsidR="00B4756A" w:rsidRPr="00386009">
        <w:rPr>
          <w:rFonts w:ascii="Arial" w:eastAsia="Calibri" w:hAnsi="Arial" w:cs="Arial"/>
          <w:color w:val="000000" w:themeColor="text1"/>
          <w:sz w:val="22"/>
          <w:lang w:val="es-ES"/>
        </w:rPr>
        <w:t xml:space="preserve"> que</w:t>
      </w:r>
      <w:r w:rsidR="00FE6BD5" w:rsidRPr="00386009">
        <w:rPr>
          <w:rFonts w:ascii="Arial" w:eastAsia="Calibri" w:hAnsi="Arial" w:cs="Arial"/>
          <w:color w:val="000000" w:themeColor="text1"/>
          <w:sz w:val="22"/>
          <w:lang w:val="es-ES"/>
        </w:rPr>
        <w:t xml:space="preserve"> </w:t>
      </w:r>
      <w:r w:rsidR="00587203" w:rsidRPr="00386009">
        <w:rPr>
          <w:rFonts w:ascii="Arial" w:eastAsia="Calibri" w:hAnsi="Arial" w:cs="Arial"/>
          <w:color w:val="000000" w:themeColor="text1"/>
          <w:sz w:val="22"/>
          <w:lang w:val="es-ES"/>
        </w:rPr>
        <w:t xml:space="preserve">la </w:t>
      </w:r>
      <w:r w:rsidR="00587203" w:rsidRPr="00386009">
        <w:rPr>
          <w:rFonts w:ascii="Arial" w:eastAsia="Calibri" w:hAnsi="Arial" w:cs="Arial"/>
          <w:i/>
          <w:iCs/>
          <w:color w:val="000000" w:themeColor="text1"/>
          <w:sz w:val="22"/>
          <w:lang w:val="es-ES"/>
        </w:rPr>
        <w:t>suspensi</w:t>
      </w:r>
      <w:r w:rsidR="00AD0905">
        <w:rPr>
          <w:rFonts w:ascii="Arial" w:eastAsia="Calibri" w:hAnsi="Arial" w:cs="Arial"/>
          <w:i/>
          <w:iCs/>
          <w:color w:val="000000" w:themeColor="text1"/>
          <w:sz w:val="22"/>
          <w:lang w:val="es-ES"/>
        </w:rPr>
        <w:t xml:space="preserve">ón </w:t>
      </w:r>
      <w:r w:rsidR="00AD0905">
        <w:rPr>
          <w:rFonts w:ascii="Arial" w:eastAsia="Calibri" w:hAnsi="Arial" w:cs="Arial"/>
          <w:color w:val="000000" w:themeColor="text1"/>
          <w:sz w:val="22"/>
          <w:lang w:val="es-ES"/>
        </w:rPr>
        <w:t>no tiene regul</w:t>
      </w:r>
      <w:r w:rsidR="00727F15">
        <w:rPr>
          <w:rFonts w:ascii="Arial" w:eastAsia="Calibri" w:hAnsi="Arial" w:cs="Arial"/>
          <w:color w:val="000000" w:themeColor="text1"/>
          <w:sz w:val="22"/>
          <w:lang w:val="es-ES"/>
        </w:rPr>
        <w:t>a</w:t>
      </w:r>
      <w:r w:rsidR="00AD0905">
        <w:rPr>
          <w:rFonts w:ascii="Arial" w:eastAsia="Calibri" w:hAnsi="Arial" w:cs="Arial"/>
          <w:color w:val="000000" w:themeColor="text1"/>
          <w:sz w:val="22"/>
          <w:lang w:val="es-ES"/>
        </w:rPr>
        <w:t xml:space="preserve">ción expresa </w:t>
      </w:r>
      <w:r w:rsidR="00727F15">
        <w:rPr>
          <w:rFonts w:ascii="Arial" w:eastAsia="Calibri" w:hAnsi="Arial" w:cs="Arial"/>
          <w:color w:val="000000" w:themeColor="text1"/>
          <w:sz w:val="22"/>
          <w:lang w:val="es-ES"/>
        </w:rPr>
        <w:t xml:space="preserve">en la actividad </w:t>
      </w:r>
      <w:r w:rsidR="00B4756A" w:rsidRPr="00386009">
        <w:rPr>
          <w:rFonts w:ascii="Arial" w:eastAsia="Calibri" w:hAnsi="Arial" w:cs="Arial"/>
          <w:color w:val="000000" w:themeColor="text1"/>
          <w:sz w:val="22"/>
          <w:lang w:val="es-ES"/>
        </w:rPr>
        <w:t>precontractual</w:t>
      </w:r>
      <w:r w:rsidR="00B41600">
        <w:rPr>
          <w:rFonts w:ascii="Arial" w:eastAsia="Calibri" w:hAnsi="Arial" w:cs="Arial"/>
          <w:color w:val="000000" w:themeColor="text1"/>
          <w:sz w:val="22"/>
          <w:lang w:val="es-ES"/>
        </w:rPr>
        <w:t xml:space="preserve"> –sin que por ahora se </w:t>
      </w:r>
      <w:proofErr w:type="spellStart"/>
      <w:r w:rsidR="000342AB">
        <w:rPr>
          <w:rFonts w:ascii="Arial" w:eastAsia="Calibri" w:hAnsi="Arial" w:cs="Arial"/>
          <w:color w:val="000000" w:themeColor="text1"/>
          <w:sz w:val="22"/>
          <w:lang w:val="es-ES"/>
        </w:rPr>
        <w:t>consiere</w:t>
      </w:r>
      <w:proofErr w:type="spellEnd"/>
      <w:r w:rsidR="00B41600">
        <w:rPr>
          <w:rFonts w:ascii="Arial" w:eastAsia="Calibri" w:hAnsi="Arial" w:cs="Arial"/>
          <w:color w:val="000000" w:themeColor="text1"/>
          <w:sz w:val="22"/>
          <w:lang w:val="es-ES"/>
        </w:rPr>
        <w:t xml:space="preserve"> que esté prohibido–</w:t>
      </w:r>
      <w:r w:rsidR="002A236A" w:rsidRPr="00386009">
        <w:rPr>
          <w:rFonts w:ascii="Arial" w:eastAsia="Calibri" w:hAnsi="Arial" w:cs="Arial"/>
          <w:color w:val="000000" w:themeColor="text1"/>
          <w:sz w:val="22"/>
          <w:lang w:val="es-ES"/>
        </w:rPr>
        <w:t xml:space="preserve">, </w:t>
      </w:r>
      <w:r w:rsidR="00B41600">
        <w:rPr>
          <w:rFonts w:ascii="Arial" w:eastAsia="Calibri" w:hAnsi="Arial" w:cs="Arial"/>
          <w:color w:val="000000" w:themeColor="text1"/>
          <w:sz w:val="22"/>
          <w:lang w:val="es-ES"/>
        </w:rPr>
        <w:t>aunque la ley sí se refiere expresamente a</w:t>
      </w:r>
      <w:r w:rsidR="002A236A" w:rsidRPr="00386009">
        <w:rPr>
          <w:rFonts w:ascii="Arial" w:eastAsia="Calibri" w:hAnsi="Arial" w:cs="Arial"/>
          <w:color w:val="000000" w:themeColor="text1"/>
          <w:sz w:val="22"/>
          <w:lang w:val="es-ES"/>
        </w:rPr>
        <w:t xml:space="preserve"> las </w:t>
      </w:r>
      <w:r w:rsidR="0083071B" w:rsidRPr="00386009">
        <w:rPr>
          <w:rFonts w:ascii="Arial" w:eastAsia="Calibri" w:hAnsi="Arial" w:cs="Arial"/>
          <w:i/>
          <w:iCs/>
          <w:color w:val="000000" w:themeColor="text1"/>
          <w:sz w:val="22"/>
          <w:lang w:val="es-ES"/>
        </w:rPr>
        <w:t>prórrogas</w:t>
      </w:r>
      <w:r w:rsidR="00B41600">
        <w:rPr>
          <w:rFonts w:ascii="Arial" w:eastAsia="Calibri" w:hAnsi="Arial" w:cs="Arial"/>
          <w:i/>
          <w:iCs/>
          <w:color w:val="000000" w:themeColor="text1"/>
          <w:sz w:val="22"/>
          <w:lang w:val="es-ES"/>
        </w:rPr>
        <w:t>,</w:t>
      </w:r>
      <w:r w:rsidR="0083071B" w:rsidRPr="00386009">
        <w:rPr>
          <w:rFonts w:ascii="Arial" w:eastAsia="Calibri" w:hAnsi="Arial" w:cs="Arial"/>
          <w:color w:val="000000" w:themeColor="text1"/>
          <w:sz w:val="22"/>
          <w:lang w:val="es-ES"/>
        </w:rPr>
        <w:t xml:space="preserve"> en los casos previstos </w:t>
      </w:r>
      <w:r w:rsidR="00044810" w:rsidRPr="00386009">
        <w:rPr>
          <w:rFonts w:ascii="Arial" w:eastAsia="Calibri" w:hAnsi="Arial" w:cs="Arial"/>
          <w:color w:val="000000" w:themeColor="text1"/>
          <w:sz w:val="22"/>
          <w:lang w:val="es-ES"/>
        </w:rPr>
        <w:t>en el ordenamiento</w:t>
      </w:r>
      <w:r w:rsidR="002A236A" w:rsidRPr="00386009">
        <w:rPr>
          <w:rFonts w:ascii="Arial" w:eastAsia="Calibri" w:hAnsi="Arial" w:cs="Arial"/>
          <w:color w:val="000000" w:themeColor="text1"/>
          <w:sz w:val="22"/>
          <w:lang w:val="es-ES"/>
        </w:rPr>
        <w:t xml:space="preserve">. </w:t>
      </w:r>
      <w:r w:rsidR="0083071B" w:rsidRPr="00386009">
        <w:rPr>
          <w:rFonts w:ascii="Arial" w:eastAsia="Calibri" w:hAnsi="Arial" w:cs="Arial"/>
          <w:color w:val="000000" w:themeColor="text1"/>
          <w:sz w:val="22"/>
          <w:lang w:val="es-ES"/>
        </w:rPr>
        <w:t xml:space="preserve">Por ejemplo, la Ley 80 de 1993 </w:t>
      </w:r>
      <w:r w:rsidR="00FE6BD5" w:rsidRPr="00386009">
        <w:rPr>
          <w:rFonts w:ascii="Arial" w:eastAsia="Calibri" w:hAnsi="Arial" w:cs="Arial"/>
          <w:color w:val="000000" w:themeColor="text1"/>
          <w:sz w:val="22"/>
          <w:lang w:val="es-ES"/>
        </w:rPr>
        <w:t>regula</w:t>
      </w:r>
      <w:r w:rsidR="0083071B" w:rsidRPr="00386009">
        <w:rPr>
          <w:rFonts w:ascii="Arial" w:eastAsia="Calibri" w:hAnsi="Arial" w:cs="Arial"/>
          <w:color w:val="000000" w:themeColor="text1"/>
          <w:sz w:val="22"/>
          <w:lang w:val="es-ES"/>
        </w:rPr>
        <w:t xml:space="preserve"> estas últimas en los numerales 4, 5 y 9 del artículo 30</w:t>
      </w:r>
      <w:r w:rsidR="00FE6BD5" w:rsidRPr="00386009">
        <w:rPr>
          <w:rFonts w:ascii="Arial" w:eastAsia="Calibri" w:hAnsi="Arial" w:cs="Arial"/>
          <w:color w:val="000000" w:themeColor="text1"/>
          <w:sz w:val="22"/>
          <w:lang w:val="es-ES"/>
        </w:rPr>
        <w:t xml:space="preserve"> para la licitación pública</w:t>
      </w:r>
      <w:r w:rsidR="0083071B" w:rsidRPr="00386009">
        <w:rPr>
          <w:rStyle w:val="Refdenotaalpie"/>
          <w:rFonts w:ascii="Arial" w:eastAsia="Calibri" w:hAnsi="Arial" w:cs="Arial"/>
          <w:color w:val="000000" w:themeColor="text1"/>
          <w:sz w:val="22"/>
          <w:lang w:val="es-ES"/>
        </w:rPr>
        <w:footnoteReference w:id="11"/>
      </w:r>
      <w:r w:rsidR="0083071B" w:rsidRPr="00386009">
        <w:rPr>
          <w:rFonts w:ascii="Arial" w:eastAsia="Calibri" w:hAnsi="Arial" w:cs="Arial"/>
          <w:color w:val="000000" w:themeColor="text1"/>
          <w:sz w:val="22"/>
          <w:lang w:val="es-ES"/>
        </w:rPr>
        <w:t xml:space="preserve">; </w:t>
      </w:r>
      <w:r w:rsidR="000A2925" w:rsidRPr="00386009">
        <w:rPr>
          <w:rFonts w:ascii="Arial" w:eastAsia="Calibri" w:hAnsi="Arial" w:cs="Arial"/>
          <w:color w:val="000000" w:themeColor="text1"/>
          <w:sz w:val="22"/>
          <w:lang w:val="es-ES"/>
        </w:rPr>
        <w:t xml:space="preserve">además, </w:t>
      </w:r>
      <w:bookmarkStart w:id="15" w:name="_Hlk43808021"/>
      <w:r w:rsidR="000A2925" w:rsidRPr="00386009">
        <w:rPr>
          <w:rFonts w:ascii="Arial" w:eastAsia="Calibri" w:hAnsi="Arial" w:cs="Arial"/>
          <w:color w:val="000000" w:themeColor="text1"/>
          <w:sz w:val="22"/>
          <w:lang w:val="es-ES"/>
        </w:rPr>
        <w:t xml:space="preserve">el </w:t>
      </w:r>
      <w:r w:rsidR="000A2925" w:rsidRPr="00386009">
        <w:rPr>
          <w:rFonts w:ascii="Arial" w:eastAsia="Calibri" w:hAnsi="Arial" w:cs="Arial"/>
          <w:color w:val="000000" w:themeColor="text1"/>
          <w:sz w:val="22"/>
          <w:lang w:val="es-ES"/>
        </w:rPr>
        <w:lastRenderedPageBreak/>
        <w:t>artículo 2.2.1.1.2.2.1 del Decreto 1082 de 2015</w:t>
      </w:r>
      <w:bookmarkEnd w:id="15"/>
      <w:r w:rsidR="000A2925" w:rsidRPr="00386009">
        <w:rPr>
          <w:rFonts w:ascii="Arial" w:eastAsia="Calibri" w:hAnsi="Arial" w:cs="Arial"/>
          <w:color w:val="000000" w:themeColor="text1"/>
          <w:sz w:val="22"/>
          <w:lang w:val="es-ES"/>
        </w:rPr>
        <w:t xml:space="preserve"> dispone, en lo pertinente, que «La Entidad Estatal puede modificar los pliegos de condiciones a través de Adendas expedidas antes del vencimiento del plazo para presentar ofertas» y que «La Entidad Estatal puede expedir Adendas para modificar el Cronograma una vez vencido el término para la presentación de las ofertas y antes de la adjudicación del contrato»</w:t>
      </w:r>
      <w:r w:rsidR="00121404" w:rsidRPr="00386009">
        <w:rPr>
          <w:rStyle w:val="Refdenotaalpie"/>
          <w:rFonts w:ascii="Arial" w:eastAsia="Calibri" w:hAnsi="Arial" w:cs="Arial"/>
          <w:color w:val="000000" w:themeColor="text1"/>
          <w:sz w:val="22"/>
          <w:lang w:val="es-ES"/>
        </w:rPr>
        <w:footnoteReference w:id="12"/>
      </w:r>
      <w:r w:rsidR="000A2925" w:rsidRPr="00386009">
        <w:rPr>
          <w:rFonts w:ascii="Arial" w:eastAsia="Calibri" w:hAnsi="Arial" w:cs="Arial"/>
          <w:color w:val="000000" w:themeColor="text1"/>
          <w:sz w:val="22"/>
          <w:lang w:val="es-ES"/>
        </w:rPr>
        <w:t>.</w:t>
      </w:r>
    </w:p>
    <w:p w14:paraId="256DAB52" w14:textId="33B4C97B" w:rsidR="005B7C05" w:rsidRPr="00386009" w:rsidRDefault="00640ADA" w:rsidP="005B7C05">
      <w:pPr>
        <w:spacing w:after="120" w:line="276" w:lineRule="auto"/>
        <w:ind w:firstLine="708"/>
        <w:jc w:val="both"/>
        <w:rPr>
          <w:rFonts w:ascii="Arial" w:eastAsia="Calibri" w:hAnsi="Arial" w:cs="Arial"/>
          <w:color w:val="000000" w:themeColor="text1"/>
          <w:sz w:val="22"/>
          <w:lang w:val="es-ES"/>
        </w:rPr>
      </w:pPr>
      <w:r w:rsidRPr="00386009">
        <w:rPr>
          <w:rFonts w:ascii="Arial" w:eastAsia="Calibri" w:hAnsi="Arial" w:cs="Arial"/>
          <w:sz w:val="22"/>
          <w:lang w:val="es-ES"/>
        </w:rPr>
        <w:t xml:space="preserve">Naturalmente, la </w:t>
      </w:r>
      <w:r w:rsidRPr="00386009">
        <w:rPr>
          <w:rFonts w:ascii="Arial" w:eastAsia="Calibri" w:hAnsi="Arial" w:cs="Arial"/>
          <w:i/>
          <w:iCs/>
          <w:sz w:val="22"/>
          <w:lang w:val="es-ES"/>
        </w:rPr>
        <w:t>prórroga</w:t>
      </w:r>
      <w:r w:rsidRPr="00386009">
        <w:rPr>
          <w:rFonts w:ascii="Arial" w:eastAsia="Calibri" w:hAnsi="Arial" w:cs="Arial"/>
          <w:sz w:val="22"/>
          <w:lang w:val="es-ES"/>
        </w:rPr>
        <w:t xml:space="preserve"> y la </w:t>
      </w:r>
      <w:r w:rsidRPr="00386009">
        <w:rPr>
          <w:rFonts w:ascii="Arial" w:eastAsia="Calibri" w:hAnsi="Arial" w:cs="Arial"/>
          <w:i/>
          <w:iCs/>
          <w:sz w:val="22"/>
          <w:lang w:val="es-ES"/>
        </w:rPr>
        <w:t>suspensi</w:t>
      </w:r>
      <w:r w:rsidR="00B41600">
        <w:rPr>
          <w:rFonts w:ascii="Arial" w:eastAsia="Calibri" w:hAnsi="Arial" w:cs="Arial"/>
          <w:i/>
          <w:iCs/>
          <w:sz w:val="22"/>
          <w:lang w:val="es-ES"/>
        </w:rPr>
        <w:t>ó</w:t>
      </w:r>
      <w:r w:rsidRPr="00386009">
        <w:rPr>
          <w:rFonts w:ascii="Arial" w:eastAsia="Calibri" w:hAnsi="Arial" w:cs="Arial"/>
          <w:i/>
          <w:iCs/>
          <w:sz w:val="22"/>
          <w:lang w:val="es-ES"/>
        </w:rPr>
        <w:t>n</w:t>
      </w:r>
      <w:r w:rsidRPr="00386009">
        <w:rPr>
          <w:rFonts w:ascii="Arial" w:eastAsia="Calibri" w:hAnsi="Arial" w:cs="Arial"/>
          <w:sz w:val="22"/>
          <w:lang w:val="es-ES"/>
        </w:rPr>
        <w:t xml:space="preserve"> tienen alcance distinto</w:t>
      </w:r>
      <w:r w:rsidR="00026415" w:rsidRPr="00386009">
        <w:rPr>
          <w:rFonts w:ascii="Arial" w:eastAsia="Calibri" w:hAnsi="Arial" w:cs="Arial"/>
          <w:sz w:val="22"/>
          <w:lang w:val="es-ES"/>
        </w:rPr>
        <w:t xml:space="preserve">: mientras esta </w:t>
      </w:r>
      <w:r w:rsidR="00B41600">
        <w:rPr>
          <w:rFonts w:ascii="Arial" w:eastAsia="Calibri" w:hAnsi="Arial" w:cs="Arial"/>
          <w:sz w:val="22"/>
          <w:lang w:val="es-ES"/>
        </w:rPr>
        <w:t>detien</w:t>
      </w:r>
      <w:r w:rsidR="00E10D5A">
        <w:rPr>
          <w:rFonts w:ascii="Arial" w:eastAsia="Calibri" w:hAnsi="Arial" w:cs="Arial"/>
          <w:sz w:val="22"/>
          <w:lang w:val="es-ES"/>
        </w:rPr>
        <w:t>e</w:t>
      </w:r>
      <w:r w:rsidR="00026415" w:rsidRPr="00386009">
        <w:rPr>
          <w:rFonts w:ascii="Arial" w:eastAsia="Calibri" w:hAnsi="Arial" w:cs="Arial"/>
          <w:sz w:val="22"/>
          <w:lang w:val="es-ES"/>
        </w:rPr>
        <w:t xml:space="preserve"> el procedimiento de selección, la</w:t>
      </w:r>
      <w:r w:rsidR="00B41600">
        <w:rPr>
          <w:rFonts w:ascii="Arial" w:eastAsia="Calibri" w:hAnsi="Arial" w:cs="Arial"/>
          <w:sz w:val="22"/>
          <w:lang w:val="es-ES"/>
        </w:rPr>
        <w:t xml:space="preserve"> </w:t>
      </w:r>
      <w:r w:rsidR="00026415" w:rsidRPr="00386009">
        <w:rPr>
          <w:rFonts w:ascii="Arial" w:eastAsia="Calibri" w:hAnsi="Arial" w:cs="Arial"/>
          <w:sz w:val="22"/>
          <w:lang w:val="es-ES"/>
        </w:rPr>
        <w:t xml:space="preserve">primera </w:t>
      </w:r>
      <w:r w:rsidR="00E10D5A">
        <w:rPr>
          <w:rFonts w:ascii="Arial" w:eastAsia="Calibri" w:hAnsi="Arial" w:cs="Arial"/>
          <w:sz w:val="22"/>
          <w:lang w:val="es-ES"/>
        </w:rPr>
        <w:t>autoriza</w:t>
      </w:r>
      <w:r w:rsidR="00026415" w:rsidRPr="00386009">
        <w:rPr>
          <w:rFonts w:ascii="Arial" w:eastAsia="Calibri" w:hAnsi="Arial" w:cs="Arial"/>
          <w:sz w:val="22"/>
          <w:lang w:val="es-ES"/>
        </w:rPr>
        <w:t xml:space="preserve"> realizar </w:t>
      </w:r>
      <w:r w:rsidR="001D5054" w:rsidRPr="00386009">
        <w:rPr>
          <w:rFonts w:ascii="Arial" w:eastAsia="Calibri" w:hAnsi="Arial" w:cs="Arial"/>
          <w:sz w:val="22"/>
          <w:lang w:val="es-ES"/>
        </w:rPr>
        <w:t>la misma actuación</w:t>
      </w:r>
      <w:r w:rsidR="00026415" w:rsidRPr="00386009">
        <w:rPr>
          <w:rFonts w:ascii="Arial" w:eastAsia="Calibri" w:hAnsi="Arial" w:cs="Arial"/>
          <w:sz w:val="22"/>
          <w:lang w:val="es-ES"/>
        </w:rPr>
        <w:t xml:space="preserve"> mas allá del término inicialmente previsto. </w:t>
      </w:r>
      <w:r w:rsidR="00B41600">
        <w:rPr>
          <w:rFonts w:ascii="Arial" w:eastAsia="Calibri" w:hAnsi="Arial" w:cs="Arial"/>
          <w:sz w:val="22"/>
          <w:lang w:val="es-ES"/>
        </w:rPr>
        <w:t>P</w:t>
      </w:r>
      <w:r w:rsidR="00026415" w:rsidRPr="00386009">
        <w:rPr>
          <w:rFonts w:ascii="Arial" w:eastAsia="Calibri" w:hAnsi="Arial" w:cs="Arial"/>
          <w:sz w:val="22"/>
          <w:lang w:val="es-ES"/>
        </w:rPr>
        <w:t>ara la Real Academia Española</w:t>
      </w:r>
      <w:r w:rsidR="00B41600">
        <w:rPr>
          <w:rFonts w:ascii="Arial" w:eastAsia="Calibri" w:hAnsi="Arial" w:cs="Arial"/>
          <w:sz w:val="22"/>
          <w:lang w:val="es-ES"/>
        </w:rPr>
        <w:t>,</w:t>
      </w:r>
      <w:r w:rsidR="00026415" w:rsidRPr="00386009">
        <w:rPr>
          <w:rFonts w:ascii="Arial" w:eastAsia="Calibri" w:hAnsi="Arial" w:cs="Arial"/>
          <w:sz w:val="22"/>
          <w:lang w:val="es-ES"/>
        </w:rPr>
        <w:t xml:space="preserve"> «prorrogar» alude a «</w:t>
      </w:r>
      <w:r w:rsidR="00026415" w:rsidRPr="00386009">
        <w:rPr>
          <w:rFonts w:ascii="Arial" w:eastAsia="Calibri" w:hAnsi="Arial" w:cs="Arial"/>
          <w:color w:val="000000" w:themeColor="text1"/>
          <w:sz w:val="22"/>
          <w:lang w:val="es-ES"/>
        </w:rPr>
        <w:t xml:space="preserve">Continuar, dilatar, extender algo por un tiempo determinado»; </w:t>
      </w:r>
      <w:r w:rsidR="00E10D5A">
        <w:rPr>
          <w:rFonts w:ascii="Arial" w:eastAsia="Calibri" w:hAnsi="Arial" w:cs="Arial"/>
          <w:color w:val="000000" w:themeColor="text1"/>
          <w:sz w:val="22"/>
          <w:lang w:val="es-ES"/>
        </w:rPr>
        <w:t>y</w:t>
      </w:r>
      <w:r w:rsidR="009E3124" w:rsidRPr="00386009">
        <w:rPr>
          <w:rFonts w:ascii="Arial" w:eastAsia="Calibri" w:hAnsi="Arial" w:cs="Arial"/>
          <w:color w:val="000000" w:themeColor="text1"/>
          <w:sz w:val="22"/>
          <w:lang w:val="es-ES"/>
        </w:rPr>
        <w:t xml:space="preserve"> «suspender» se relaciona con «Detener o diferir por algún tiempo una acción u obra».</w:t>
      </w:r>
      <w:r w:rsidR="005B7C05" w:rsidRPr="00386009">
        <w:rPr>
          <w:rFonts w:ascii="Arial" w:eastAsia="Calibri" w:hAnsi="Arial" w:cs="Arial"/>
          <w:color w:val="000000" w:themeColor="text1"/>
          <w:sz w:val="22"/>
          <w:lang w:val="es-ES"/>
        </w:rPr>
        <w:t xml:space="preserve"> </w:t>
      </w:r>
    </w:p>
    <w:p w14:paraId="5FF5540C" w14:textId="234E8BCF" w:rsidR="00784B80" w:rsidRPr="00386009" w:rsidRDefault="005B7C05" w:rsidP="00784B80">
      <w:pPr>
        <w:spacing w:before="120" w:line="276" w:lineRule="auto"/>
        <w:ind w:firstLine="709"/>
        <w:jc w:val="both"/>
        <w:rPr>
          <w:rFonts w:ascii="Arial" w:eastAsia="Calibri" w:hAnsi="Arial" w:cs="Arial"/>
          <w:bCs/>
          <w:sz w:val="22"/>
          <w:lang w:val="es-ES"/>
        </w:rPr>
      </w:pPr>
      <w:r w:rsidRPr="00386009">
        <w:rPr>
          <w:rFonts w:ascii="Arial" w:eastAsia="Calibri" w:hAnsi="Arial" w:cs="Arial"/>
          <w:color w:val="000000" w:themeColor="text1"/>
          <w:sz w:val="22"/>
          <w:lang w:val="es-ES"/>
        </w:rPr>
        <w:t>En todo caso, p</w:t>
      </w:r>
      <w:r w:rsidR="009E3124" w:rsidRPr="00386009">
        <w:rPr>
          <w:rFonts w:ascii="Arial" w:eastAsia="Calibri" w:hAnsi="Arial" w:cs="Arial"/>
          <w:color w:val="000000" w:themeColor="text1"/>
          <w:sz w:val="22"/>
          <w:lang w:val="es-ES"/>
        </w:rPr>
        <w:t xml:space="preserve">ese a que la </w:t>
      </w:r>
      <w:r w:rsidR="009E3124" w:rsidRPr="00386009">
        <w:rPr>
          <w:rFonts w:ascii="Arial" w:eastAsia="Calibri" w:hAnsi="Arial" w:cs="Arial"/>
          <w:i/>
          <w:iCs/>
          <w:color w:val="000000" w:themeColor="text1"/>
          <w:sz w:val="22"/>
          <w:lang w:val="es-ES"/>
        </w:rPr>
        <w:t>suspensi</w:t>
      </w:r>
      <w:r w:rsidR="00E10D5A">
        <w:rPr>
          <w:rFonts w:ascii="Arial" w:eastAsia="Calibri" w:hAnsi="Arial" w:cs="Arial"/>
          <w:i/>
          <w:iCs/>
          <w:color w:val="000000" w:themeColor="text1"/>
          <w:sz w:val="22"/>
          <w:lang w:val="es-ES"/>
        </w:rPr>
        <w:t xml:space="preserve">ón </w:t>
      </w:r>
      <w:r w:rsidRPr="00386009">
        <w:rPr>
          <w:rFonts w:ascii="Arial" w:eastAsia="Calibri" w:hAnsi="Arial" w:cs="Arial"/>
          <w:color w:val="000000" w:themeColor="text1"/>
          <w:sz w:val="22"/>
          <w:lang w:val="es-ES"/>
        </w:rPr>
        <w:t>de</w:t>
      </w:r>
      <w:r w:rsidR="00E10D5A">
        <w:rPr>
          <w:rFonts w:ascii="Arial" w:eastAsia="Calibri" w:hAnsi="Arial" w:cs="Arial"/>
          <w:color w:val="000000" w:themeColor="text1"/>
          <w:sz w:val="22"/>
          <w:lang w:val="es-ES"/>
        </w:rPr>
        <w:t xml:space="preserve">l </w:t>
      </w:r>
      <w:r w:rsidRPr="00386009">
        <w:rPr>
          <w:rFonts w:ascii="Arial" w:eastAsia="Calibri" w:hAnsi="Arial" w:cs="Arial"/>
          <w:color w:val="000000" w:themeColor="text1"/>
          <w:sz w:val="22"/>
          <w:lang w:val="es-ES"/>
        </w:rPr>
        <w:t>procedimiento de selección</w:t>
      </w:r>
      <w:r w:rsidR="009E3124" w:rsidRPr="00386009">
        <w:rPr>
          <w:rFonts w:ascii="Arial" w:eastAsia="Calibri" w:hAnsi="Arial" w:cs="Arial"/>
          <w:color w:val="000000" w:themeColor="text1"/>
          <w:sz w:val="22"/>
          <w:lang w:val="es-ES"/>
        </w:rPr>
        <w:t xml:space="preserve"> no est</w:t>
      </w:r>
      <w:r w:rsidR="00E10D5A">
        <w:rPr>
          <w:rFonts w:ascii="Arial" w:eastAsia="Calibri" w:hAnsi="Arial" w:cs="Arial"/>
          <w:color w:val="000000" w:themeColor="text1"/>
          <w:sz w:val="22"/>
          <w:lang w:val="es-ES"/>
        </w:rPr>
        <w:t>á</w:t>
      </w:r>
      <w:r w:rsidR="009E3124" w:rsidRPr="00386009">
        <w:rPr>
          <w:rFonts w:ascii="Arial" w:eastAsia="Calibri" w:hAnsi="Arial" w:cs="Arial"/>
          <w:color w:val="000000" w:themeColor="text1"/>
          <w:sz w:val="22"/>
          <w:lang w:val="es-ES"/>
        </w:rPr>
        <w:t xml:space="preserve"> expresamente prevista en la Ley 80 de </w:t>
      </w:r>
      <w:r w:rsidR="009E3124" w:rsidRPr="00FE11D2">
        <w:rPr>
          <w:rFonts w:ascii="Arial" w:eastAsia="Calibri" w:hAnsi="Arial" w:cs="Arial"/>
          <w:color w:val="000000" w:themeColor="text1"/>
          <w:sz w:val="22"/>
          <w:lang w:val="es-ES"/>
        </w:rPr>
        <w:t>1993</w:t>
      </w:r>
      <w:r w:rsidR="00FE11D2">
        <w:rPr>
          <w:rFonts w:ascii="Arial" w:eastAsia="Calibri" w:hAnsi="Arial" w:cs="Arial"/>
          <w:color w:val="000000" w:themeColor="text1"/>
          <w:sz w:val="22"/>
          <w:lang w:val="es-ES"/>
        </w:rPr>
        <w:t xml:space="preserve"> –se insiste, sin que por ahora se </w:t>
      </w:r>
      <w:proofErr w:type="spellStart"/>
      <w:r w:rsidR="00FE11D2">
        <w:rPr>
          <w:rFonts w:ascii="Arial" w:eastAsia="Calibri" w:hAnsi="Arial" w:cs="Arial"/>
          <w:color w:val="000000" w:themeColor="text1"/>
          <w:sz w:val="22"/>
          <w:lang w:val="es-ES"/>
        </w:rPr>
        <w:t>consiere</w:t>
      </w:r>
      <w:proofErr w:type="spellEnd"/>
      <w:r w:rsidR="00FE11D2">
        <w:rPr>
          <w:rFonts w:ascii="Arial" w:eastAsia="Calibri" w:hAnsi="Arial" w:cs="Arial"/>
          <w:color w:val="000000" w:themeColor="text1"/>
          <w:sz w:val="22"/>
          <w:lang w:val="es-ES"/>
        </w:rPr>
        <w:t xml:space="preserve"> que esté prohibida–</w:t>
      </w:r>
      <w:r w:rsidR="009E3124" w:rsidRPr="00386009">
        <w:rPr>
          <w:rFonts w:ascii="Arial" w:eastAsia="Calibri" w:hAnsi="Arial" w:cs="Arial"/>
          <w:color w:val="000000" w:themeColor="text1"/>
          <w:sz w:val="22"/>
          <w:lang w:val="es-ES"/>
        </w:rPr>
        <w:t>,</w:t>
      </w:r>
      <w:r w:rsidR="00E10D5A">
        <w:rPr>
          <w:rFonts w:ascii="Arial" w:eastAsia="Calibri" w:hAnsi="Arial" w:cs="Arial"/>
          <w:color w:val="000000" w:themeColor="text1"/>
          <w:sz w:val="22"/>
          <w:lang w:val="es-ES"/>
        </w:rPr>
        <w:t xml:space="preserve"> </w:t>
      </w:r>
      <w:r w:rsidR="00FE11D2">
        <w:rPr>
          <w:rFonts w:ascii="Arial" w:eastAsia="Calibri" w:hAnsi="Arial" w:cs="Arial"/>
          <w:color w:val="000000" w:themeColor="text1"/>
          <w:sz w:val="22"/>
          <w:lang w:val="es-ES"/>
        </w:rPr>
        <w:t>actualmente</w:t>
      </w:r>
      <w:r w:rsidRPr="00386009">
        <w:rPr>
          <w:rFonts w:ascii="Arial" w:eastAsia="Calibri" w:hAnsi="Arial" w:cs="Arial"/>
          <w:color w:val="000000" w:themeColor="text1"/>
          <w:sz w:val="22"/>
          <w:lang w:val="es-ES"/>
        </w:rPr>
        <w:t xml:space="preserve"> </w:t>
      </w:r>
      <w:r w:rsidR="00E10D5A">
        <w:rPr>
          <w:rFonts w:ascii="Arial" w:eastAsia="Calibri" w:hAnsi="Arial" w:cs="Arial"/>
          <w:color w:val="000000" w:themeColor="text1"/>
          <w:sz w:val="22"/>
          <w:lang w:val="es-ES"/>
        </w:rPr>
        <w:t>la</w:t>
      </w:r>
      <w:r w:rsidRPr="00386009">
        <w:rPr>
          <w:rFonts w:ascii="Arial" w:eastAsia="Calibri" w:hAnsi="Arial" w:cs="Arial"/>
          <w:color w:val="000000" w:themeColor="text1"/>
          <w:sz w:val="22"/>
          <w:lang w:val="es-ES"/>
        </w:rPr>
        <w:t xml:space="preserve"> autoriza el Decreto Legislativo 537 de 2020</w:t>
      </w:r>
      <w:r w:rsidRPr="00386009">
        <w:rPr>
          <w:rStyle w:val="Refdenotaalpie"/>
          <w:rFonts w:ascii="Arial" w:eastAsia="Calibri" w:hAnsi="Arial" w:cs="Arial"/>
          <w:color w:val="000000" w:themeColor="text1"/>
          <w:sz w:val="22"/>
          <w:lang w:val="es-ES"/>
        </w:rPr>
        <w:footnoteReference w:id="13"/>
      </w:r>
      <w:r w:rsidR="00E10D5A">
        <w:rPr>
          <w:rFonts w:ascii="Arial" w:eastAsia="Calibri" w:hAnsi="Arial" w:cs="Arial"/>
          <w:color w:val="000000" w:themeColor="text1"/>
          <w:sz w:val="22"/>
          <w:lang w:val="es-ES"/>
        </w:rPr>
        <w:t xml:space="preserve">, </w:t>
      </w:r>
      <w:r w:rsidR="00784B80" w:rsidRPr="00386009">
        <w:rPr>
          <w:rFonts w:ascii="Arial" w:eastAsia="Calibri" w:hAnsi="Arial" w:cs="Arial"/>
          <w:bCs/>
          <w:sz w:val="22"/>
          <w:lang w:val="es-ES"/>
        </w:rPr>
        <w:t xml:space="preserve">vigente </w:t>
      </w:r>
      <w:r w:rsidR="00784B80" w:rsidRPr="00386009">
        <w:rPr>
          <w:rFonts w:ascii="Arial" w:eastAsia="Calibri" w:hAnsi="Arial" w:cs="Arial"/>
          <w:bCs/>
          <w:sz w:val="22"/>
          <w:lang w:val="es-ES"/>
        </w:rPr>
        <w:lastRenderedPageBreak/>
        <w:t xml:space="preserve">mientras se mantenga la Emergencia Sanitaria declarada por el Ministerio de Salud y Protección Social, con ocasión de la pandemia derivada del Coronavirus COVID-19, sustrayendo su vigencia a la duración de la declaración de Emergencia Social, Económica y Ecológica,  como lo planteaba el Decreto 440 de 2020. Particularmente, el artículo 3 del Decreto 537 de 2020 </w:t>
      </w:r>
      <w:r w:rsidR="00E10D5A">
        <w:rPr>
          <w:rFonts w:ascii="Arial" w:eastAsia="Calibri" w:hAnsi="Arial" w:cs="Arial"/>
          <w:bCs/>
          <w:sz w:val="22"/>
          <w:lang w:val="es-ES"/>
        </w:rPr>
        <w:t>permite</w:t>
      </w:r>
      <w:r w:rsidR="00784B80" w:rsidRPr="00386009">
        <w:rPr>
          <w:rFonts w:ascii="Arial" w:eastAsia="Calibri" w:hAnsi="Arial" w:cs="Arial"/>
          <w:bCs/>
          <w:sz w:val="22"/>
          <w:lang w:val="es-ES"/>
        </w:rPr>
        <w:t xml:space="preserve"> suspen</w:t>
      </w:r>
      <w:r w:rsidR="00E10D5A">
        <w:rPr>
          <w:rFonts w:ascii="Arial" w:eastAsia="Calibri" w:hAnsi="Arial" w:cs="Arial"/>
          <w:bCs/>
          <w:sz w:val="22"/>
          <w:lang w:val="es-ES"/>
        </w:rPr>
        <w:t xml:space="preserve">der </w:t>
      </w:r>
      <w:r w:rsidR="00784B80" w:rsidRPr="00386009">
        <w:rPr>
          <w:rFonts w:ascii="Arial" w:eastAsia="Calibri" w:hAnsi="Arial" w:cs="Arial"/>
          <w:bCs/>
          <w:sz w:val="22"/>
          <w:lang w:val="es-ES"/>
        </w:rPr>
        <w:t xml:space="preserve">los procedimientos de selección, en los siguientes términos: </w:t>
      </w:r>
    </w:p>
    <w:p w14:paraId="61A63AAE" w14:textId="77777777" w:rsidR="00784B80" w:rsidRPr="00386009" w:rsidRDefault="00784B80" w:rsidP="00784B80">
      <w:pPr>
        <w:spacing w:line="276" w:lineRule="auto"/>
        <w:ind w:firstLine="709"/>
        <w:jc w:val="both"/>
        <w:rPr>
          <w:rFonts w:ascii="Arial" w:eastAsia="Calibri" w:hAnsi="Arial" w:cs="Arial"/>
          <w:bCs/>
          <w:sz w:val="22"/>
          <w:lang w:val="es-ES"/>
        </w:rPr>
      </w:pPr>
    </w:p>
    <w:p w14:paraId="41261BBF" w14:textId="5D436722" w:rsidR="00784B80" w:rsidRPr="00386009" w:rsidRDefault="00FE11D2" w:rsidP="00784B80">
      <w:pPr>
        <w:spacing w:after="120"/>
        <w:ind w:left="709" w:right="709"/>
        <w:jc w:val="both"/>
        <w:rPr>
          <w:rFonts w:ascii="Arial" w:eastAsia="Calibri" w:hAnsi="Arial" w:cs="Arial"/>
          <w:bCs/>
          <w:sz w:val="21"/>
          <w:szCs w:val="21"/>
          <w:lang w:val="es-ES"/>
        </w:rPr>
      </w:pPr>
      <w:r>
        <w:rPr>
          <w:rFonts w:ascii="Arial" w:eastAsia="Calibri" w:hAnsi="Arial" w:cs="Arial"/>
          <w:bCs/>
          <w:sz w:val="21"/>
          <w:szCs w:val="21"/>
          <w:lang w:val="es-ES"/>
        </w:rPr>
        <w:t xml:space="preserve">Art. 3. </w:t>
      </w:r>
      <w:r w:rsidR="00784B80" w:rsidRPr="00386009">
        <w:rPr>
          <w:rFonts w:ascii="Arial" w:eastAsia="Calibri" w:hAnsi="Arial" w:cs="Arial"/>
          <w:bCs/>
          <w:sz w:val="21"/>
          <w:szCs w:val="21"/>
          <w:lang w:val="es-ES"/>
        </w:rPr>
        <w:t>Durante la vigencia de la Emergencia Sanitaria declarada por el Ministerio de Salud y Protección Social, con ocasión de la pandemia derivada del Coronavirus COVID-19, las entidades públicas podrán como consecuencia de la Emergencia Sanitaria suspender los procedimientos de selección. Contra este acto administrativo no proceden recursos.</w:t>
      </w:r>
    </w:p>
    <w:p w14:paraId="6E0355DC" w14:textId="77777777" w:rsidR="00784B80" w:rsidRPr="00386009" w:rsidRDefault="00784B80" w:rsidP="00784B80">
      <w:pPr>
        <w:ind w:left="709" w:right="709"/>
        <w:jc w:val="both"/>
        <w:rPr>
          <w:rFonts w:ascii="Arial" w:eastAsia="Calibri" w:hAnsi="Arial" w:cs="Arial"/>
          <w:bCs/>
          <w:sz w:val="21"/>
          <w:szCs w:val="21"/>
          <w:lang w:val="es-ES"/>
        </w:rPr>
      </w:pPr>
      <w:r w:rsidRPr="00386009">
        <w:rPr>
          <w:rFonts w:ascii="Arial" w:eastAsia="Calibri" w:hAnsi="Arial" w:cs="Arial"/>
          <w:bCs/>
          <w:sz w:val="21"/>
          <w:szCs w:val="21"/>
          <w:lang w:val="es-ES"/>
        </w:rPr>
        <w:t xml:space="preserve">En caso de requerirse recursos para atender las situaciones relacionadas con la pandemia derivada del Coronavirus COVID-19, las entidades públicas podrán revocar, de manera motivada, los actos administrativos de apertura, siempre y cuando no se haya superado la fecha para la presentación de ofertas. Contra este acto administrativo no proceden recursos. </w:t>
      </w:r>
    </w:p>
    <w:p w14:paraId="1101D335" w14:textId="77777777" w:rsidR="00784B80" w:rsidRPr="00386009" w:rsidRDefault="00784B80" w:rsidP="00784B80">
      <w:pPr>
        <w:spacing w:line="276" w:lineRule="auto"/>
        <w:ind w:left="709" w:right="709"/>
        <w:jc w:val="both"/>
        <w:rPr>
          <w:rFonts w:ascii="Arial" w:eastAsia="Calibri" w:hAnsi="Arial" w:cs="Arial"/>
          <w:bCs/>
          <w:sz w:val="22"/>
          <w:lang w:val="es-ES"/>
        </w:rPr>
      </w:pPr>
    </w:p>
    <w:p w14:paraId="4CB4C63B" w14:textId="37101D1E" w:rsidR="000A2925" w:rsidRPr="00386009" w:rsidRDefault="00784B80" w:rsidP="000A2925">
      <w:pPr>
        <w:spacing w:after="120" w:line="276" w:lineRule="auto"/>
        <w:ind w:firstLine="708"/>
        <w:jc w:val="both"/>
        <w:rPr>
          <w:rFonts w:ascii="Arial" w:eastAsia="Calibri" w:hAnsi="Arial" w:cs="Arial"/>
          <w:color w:val="000000" w:themeColor="text1"/>
          <w:sz w:val="22"/>
          <w:lang w:val="es-ES"/>
        </w:rPr>
      </w:pPr>
      <w:r w:rsidRPr="00386009">
        <w:rPr>
          <w:rFonts w:ascii="Arial" w:eastAsia="Calibri" w:hAnsi="Arial" w:cs="Arial"/>
          <w:bCs/>
          <w:sz w:val="22"/>
          <w:lang w:val="es-ES"/>
        </w:rPr>
        <w:t xml:space="preserve">Dentro de este marco, </w:t>
      </w:r>
      <w:r w:rsidR="0020040A" w:rsidRPr="00386009">
        <w:rPr>
          <w:rFonts w:ascii="Arial" w:eastAsia="Calibri" w:hAnsi="Arial" w:cs="Arial"/>
          <w:bCs/>
          <w:sz w:val="22"/>
          <w:lang w:val="es-ES"/>
        </w:rPr>
        <w:t>bajo la facultad transitoria del</w:t>
      </w:r>
      <w:r w:rsidR="00030DA7" w:rsidRPr="00386009">
        <w:rPr>
          <w:rFonts w:ascii="Arial" w:eastAsia="Calibri" w:hAnsi="Arial" w:cs="Arial"/>
          <w:bCs/>
          <w:sz w:val="22"/>
          <w:lang w:val="es-ES"/>
        </w:rPr>
        <w:t xml:space="preserve"> </w:t>
      </w:r>
      <w:r w:rsidR="0020040A" w:rsidRPr="00386009">
        <w:rPr>
          <w:rFonts w:ascii="Arial" w:eastAsia="Calibri" w:hAnsi="Arial" w:cs="Arial"/>
          <w:bCs/>
          <w:sz w:val="22"/>
          <w:lang w:val="es-ES"/>
        </w:rPr>
        <w:t xml:space="preserve">artículo 3 del Decreto Legislativo 537 de 2020, </w:t>
      </w:r>
      <w:r w:rsidRPr="00386009">
        <w:rPr>
          <w:rFonts w:ascii="Arial" w:eastAsia="Calibri" w:hAnsi="Arial" w:cs="Arial"/>
          <w:bCs/>
          <w:sz w:val="22"/>
          <w:lang w:val="es-ES"/>
        </w:rPr>
        <w:t xml:space="preserve">es necesario analizar </w:t>
      </w:r>
      <w:r w:rsidRPr="00386009">
        <w:rPr>
          <w:rFonts w:ascii="Arial" w:eastAsia="Calibri" w:hAnsi="Arial" w:cs="Arial"/>
          <w:color w:val="000000" w:themeColor="text1"/>
          <w:sz w:val="22"/>
          <w:lang w:val="es-ES"/>
        </w:rPr>
        <w:t xml:space="preserve">si la entidad puede solicitar que se amplíe la vigencia de la garantía de seriedad cuando se </w:t>
      </w:r>
      <w:r w:rsidR="00D640FE">
        <w:rPr>
          <w:rFonts w:ascii="Arial" w:eastAsia="Calibri" w:hAnsi="Arial" w:cs="Arial"/>
          <w:color w:val="000000" w:themeColor="text1"/>
          <w:sz w:val="22"/>
          <w:lang w:val="es-ES"/>
        </w:rPr>
        <w:t>«</w:t>
      </w:r>
      <w:r w:rsidRPr="00386009">
        <w:rPr>
          <w:rFonts w:ascii="Arial" w:eastAsia="Calibri" w:hAnsi="Arial" w:cs="Arial"/>
          <w:i/>
          <w:iCs/>
          <w:color w:val="000000" w:themeColor="text1"/>
          <w:sz w:val="22"/>
          <w:lang w:val="es-ES"/>
        </w:rPr>
        <w:t>suspende</w:t>
      </w:r>
      <w:r w:rsidR="00D640FE">
        <w:rPr>
          <w:rFonts w:ascii="Arial" w:eastAsia="Calibri" w:hAnsi="Arial" w:cs="Arial"/>
          <w:i/>
          <w:iCs/>
          <w:color w:val="000000" w:themeColor="text1"/>
          <w:sz w:val="22"/>
          <w:lang w:val="es-ES"/>
        </w:rPr>
        <w:t>»</w:t>
      </w:r>
      <w:r w:rsidRPr="00386009">
        <w:rPr>
          <w:rFonts w:ascii="Arial" w:eastAsia="Calibri" w:hAnsi="Arial" w:cs="Arial"/>
          <w:color w:val="000000" w:themeColor="text1"/>
          <w:sz w:val="22"/>
          <w:lang w:val="es-ES"/>
        </w:rPr>
        <w:t xml:space="preserve"> el procedimiento de selección.</w:t>
      </w:r>
      <w:r w:rsidR="0057201B" w:rsidRPr="00386009">
        <w:rPr>
          <w:rFonts w:ascii="Arial" w:eastAsia="Calibri" w:hAnsi="Arial" w:cs="Arial"/>
          <w:color w:val="000000" w:themeColor="text1"/>
          <w:sz w:val="22"/>
          <w:lang w:val="es-ES"/>
        </w:rPr>
        <w:t xml:space="preserve"> </w:t>
      </w:r>
      <w:r w:rsidR="00F52145" w:rsidRPr="00386009">
        <w:rPr>
          <w:rFonts w:ascii="Arial" w:eastAsia="Calibri" w:hAnsi="Arial" w:cs="Arial"/>
          <w:color w:val="000000" w:themeColor="text1"/>
          <w:sz w:val="22"/>
          <w:lang w:val="es-ES"/>
        </w:rPr>
        <w:t>De acuerdo con el</w:t>
      </w:r>
      <w:r w:rsidRPr="00386009">
        <w:rPr>
          <w:rFonts w:ascii="Arial" w:eastAsia="Calibri" w:hAnsi="Arial" w:cs="Arial"/>
          <w:color w:val="000000" w:themeColor="text1"/>
          <w:sz w:val="22"/>
          <w:lang w:val="es-ES"/>
        </w:rPr>
        <w:t xml:space="preserve"> numeral 1 del artículo 2.2.1.2.3.1.6 del Decreto 1082 de 2015</w:t>
      </w:r>
      <w:r w:rsidR="00F52145" w:rsidRPr="00386009">
        <w:rPr>
          <w:rFonts w:ascii="Arial" w:eastAsia="Calibri" w:hAnsi="Arial" w:cs="Arial"/>
          <w:color w:val="000000" w:themeColor="text1"/>
          <w:sz w:val="22"/>
          <w:lang w:val="es-ES"/>
        </w:rPr>
        <w:t xml:space="preserve">, uno </w:t>
      </w:r>
      <w:r w:rsidR="00334A88" w:rsidRPr="00386009">
        <w:rPr>
          <w:rFonts w:ascii="Arial" w:eastAsia="Calibri" w:hAnsi="Arial" w:cs="Arial"/>
          <w:color w:val="000000" w:themeColor="text1"/>
          <w:sz w:val="22"/>
          <w:lang w:val="es-ES"/>
        </w:rPr>
        <w:t>de los</w:t>
      </w:r>
      <w:r w:rsidR="00F52145" w:rsidRPr="00386009">
        <w:rPr>
          <w:rFonts w:ascii="Arial" w:eastAsia="Calibri" w:hAnsi="Arial" w:cs="Arial"/>
          <w:color w:val="000000" w:themeColor="text1"/>
          <w:sz w:val="22"/>
          <w:lang w:val="es-ES"/>
        </w:rPr>
        <w:t xml:space="preserve"> requisitos para oblig</w:t>
      </w:r>
      <w:r w:rsidR="00FE11D2">
        <w:rPr>
          <w:rFonts w:ascii="Arial" w:eastAsia="Calibri" w:hAnsi="Arial" w:cs="Arial"/>
          <w:color w:val="000000" w:themeColor="text1"/>
          <w:sz w:val="22"/>
          <w:lang w:val="es-ES"/>
        </w:rPr>
        <w:t xml:space="preserve">ar al </w:t>
      </w:r>
      <w:r w:rsidR="00FE11D2" w:rsidRPr="00386009">
        <w:rPr>
          <w:rFonts w:ascii="Arial" w:eastAsia="Calibri" w:hAnsi="Arial" w:cs="Arial"/>
          <w:color w:val="000000" w:themeColor="text1"/>
          <w:sz w:val="22"/>
          <w:lang w:val="es-ES"/>
        </w:rPr>
        <w:t xml:space="preserve">proponente </w:t>
      </w:r>
      <w:r w:rsidR="00F52145" w:rsidRPr="00386009">
        <w:rPr>
          <w:rFonts w:ascii="Arial" w:eastAsia="Calibri" w:hAnsi="Arial" w:cs="Arial"/>
          <w:color w:val="000000" w:themeColor="text1"/>
          <w:sz w:val="22"/>
          <w:lang w:val="es-ES"/>
        </w:rPr>
        <w:t xml:space="preserve">a atender el requerimiento consiste en que la prórroga esté </w:t>
      </w:r>
      <w:r w:rsidR="001B4077">
        <w:rPr>
          <w:rFonts w:ascii="Arial" w:eastAsia="Calibri" w:hAnsi="Arial" w:cs="Arial"/>
          <w:color w:val="000000" w:themeColor="text1"/>
          <w:sz w:val="22"/>
          <w:lang w:val="es-ES"/>
        </w:rPr>
        <w:t>justificada</w:t>
      </w:r>
      <w:r w:rsidR="00F52145" w:rsidRPr="00386009">
        <w:rPr>
          <w:rFonts w:ascii="Arial" w:eastAsia="Calibri" w:hAnsi="Arial" w:cs="Arial"/>
          <w:color w:val="000000" w:themeColor="text1"/>
          <w:sz w:val="22"/>
          <w:lang w:val="es-ES"/>
        </w:rPr>
        <w:t xml:space="preserve"> en la </w:t>
      </w:r>
      <w:r w:rsidR="00D640FE">
        <w:rPr>
          <w:rFonts w:ascii="Arial" w:eastAsia="Calibri" w:hAnsi="Arial" w:cs="Arial"/>
          <w:color w:val="000000" w:themeColor="text1"/>
          <w:sz w:val="22"/>
          <w:lang w:val="es-ES"/>
        </w:rPr>
        <w:t>«</w:t>
      </w:r>
      <w:r w:rsidR="00F52145" w:rsidRPr="00386009">
        <w:rPr>
          <w:rFonts w:ascii="Arial" w:eastAsia="Calibri" w:hAnsi="Arial" w:cs="Arial"/>
          <w:color w:val="000000" w:themeColor="text1"/>
          <w:sz w:val="22"/>
          <w:lang w:val="es-ES"/>
        </w:rPr>
        <w:t>ampliación</w:t>
      </w:r>
      <w:r w:rsidR="00D640FE">
        <w:rPr>
          <w:rFonts w:ascii="Arial" w:eastAsia="Calibri" w:hAnsi="Arial" w:cs="Arial"/>
          <w:color w:val="000000" w:themeColor="text1"/>
          <w:sz w:val="22"/>
          <w:lang w:val="es-ES"/>
        </w:rPr>
        <w:t>»</w:t>
      </w:r>
      <w:r w:rsidR="00F52145" w:rsidRPr="00386009">
        <w:rPr>
          <w:rFonts w:ascii="Arial" w:eastAsia="Calibri" w:hAnsi="Arial" w:cs="Arial"/>
          <w:color w:val="000000" w:themeColor="text1"/>
          <w:sz w:val="22"/>
          <w:lang w:val="es-ES"/>
        </w:rPr>
        <w:t xml:space="preserve"> del término para </w:t>
      </w:r>
      <w:r w:rsidR="00D640FE">
        <w:rPr>
          <w:rFonts w:ascii="Arial" w:eastAsia="Calibri" w:hAnsi="Arial" w:cs="Arial"/>
          <w:color w:val="000000" w:themeColor="text1"/>
          <w:sz w:val="22"/>
          <w:lang w:val="es-ES"/>
        </w:rPr>
        <w:t>«</w:t>
      </w:r>
      <w:r w:rsidR="00F52145" w:rsidRPr="00386009">
        <w:rPr>
          <w:rFonts w:ascii="Arial" w:eastAsia="Calibri" w:hAnsi="Arial" w:cs="Arial"/>
          <w:color w:val="000000" w:themeColor="text1"/>
          <w:sz w:val="22"/>
          <w:lang w:val="es-ES"/>
        </w:rPr>
        <w:t>adjudicar</w:t>
      </w:r>
      <w:r w:rsidR="00D640FE">
        <w:rPr>
          <w:rFonts w:ascii="Arial" w:eastAsia="Calibri" w:hAnsi="Arial" w:cs="Arial"/>
          <w:color w:val="000000" w:themeColor="text1"/>
          <w:sz w:val="22"/>
          <w:lang w:val="es-ES"/>
        </w:rPr>
        <w:t>»</w:t>
      </w:r>
      <w:r w:rsidR="00F52145" w:rsidRPr="00386009">
        <w:rPr>
          <w:rFonts w:ascii="Arial" w:eastAsia="Calibri" w:hAnsi="Arial" w:cs="Arial"/>
          <w:color w:val="000000" w:themeColor="text1"/>
          <w:sz w:val="22"/>
          <w:lang w:val="es-ES"/>
        </w:rPr>
        <w:t xml:space="preserve"> o </w:t>
      </w:r>
      <w:r w:rsidR="00FE11D2" w:rsidRPr="00386009">
        <w:rPr>
          <w:rFonts w:ascii="Arial" w:eastAsia="Calibri" w:hAnsi="Arial" w:cs="Arial"/>
          <w:color w:val="000000" w:themeColor="text1"/>
          <w:sz w:val="22"/>
          <w:lang w:val="es-ES"/>
        </w:rPr>
        <w:t xml:space="preserve">en la </w:t>
      </w:r>
      <w:r w:rsidR="00FE11D2">
        <w:rPr>
          <w:rFonts w:ascii="Arial" w:eastAsia="Calibri" w:hAnsi="Arial" w:cs="Arial"/>
          <w:color w:val="000000" w:themeColor="text1"/>
          <w:sz w:val="22"/>
          <w:lang w:val="es-ES"/>
        </w:rPr>
        <w:t>«</w:t>
      </w:r>
      <w:r w:rsidR="00FE11D2" w:rsidRPr="00386009">
        <w:rPr>
          <w:rFonts w:ascii="Arial" w:eastAsia="Calibri" w:hAnsi="Arial" w:cs="Arial"/>
          <w:color w:val="000000" w:themeColor="text1"/>
          <w:sz w:val="22"/>
          <w:lang w:val="es-ES"/>
        </w:rPr>
        <w:t>ampliación</w:t>
      </w:r>
      <w:r w:rsidR="00FE11D2">
        <w:rPr>
          <w:rFonts w:ascii="Arial" w:eastAsia="Calibri" w:hAnsi="Arial" w:cs="Arial"/>
          <w:color w:val="000000" w:themeColor="text1"/>
          <w:sz w:val="22"/>
          <w:lang w:val="es-ES"/>
        </w:rPr>
        <w:t>»</w:t>
      </w:r>
      <w:r w:rsidR="00FE11D2" w:rsidRPr="00386009">
        <w:rPr>
          <w:rFonts w:ascii="Arial" w:eastAsia="Calibri" w:hAnsi="Arial" w:cs="Arial"/>
          <w:color w:val="000000" w:themeColor="text1"/>
          <w:sz w:val="22"/>
          <w:lang w:val="es-ES"/>
        </w:rPr>
        <w:t xml:space="preserve"> </w:t>
      </w:r>
      <w:r w:rsidR="00D640FE">
        <w:rPr>
          <w:rFonts w:ascii="Arial" w:eastAsia="Calibri" w:hAnsi="Arial" w:cs="Arial"/>
          <w:color w:val="000000" w:themeColor="text1"/>
          <w:sz w:val="22"/>
          <w:lang w:val="es-ES"/>
        </w:rPr>
        <w:t>del término para «</w:t>
      </w:r>
      <w:r w:rsidR="00F52145" w:rsidRPr="00386009">
        <w:rPr>
          <w:rFonts w:ascii="Arial" w:eastAsia="Calibri" w:hAnsi="Arial" w:cs="Arial"/>
          <w:color w:val="000000" w:themeColor="text1"/>
          <w:sz w:val="22"/>
          <w:lang w:val="es-ES"/>
        </w:rPr>
        <w:t>suscribir</w:t>
      </w:r>
      <w:r w:rsidR="00D640FE">
        <w:rPr>
          <w:rFonts w:ascii="Arial" w:eastAsia="Calibri" w:hAnsi="Arial" w:cs="Arial"/>
          <w:color w:val="000000" w:themeColor="text1"/>
          <w:sz w:val="22"/>
          <w:lang w:val="es-ES"/>
        </w:rPr>
        <w:t>»</w:t>
      </w:r>
      <w:r w:rsidR="00F52145" w:rsidRPr="00386009">
        <w:rPr>
          <w:rFonts w:ascii="Arial" w:eastAsia="Calibri" w:hAnsi="Arial" w:cs="Arial"/>
          <w:color w:val="000000" w:themeColor="text1"/>
          <w:sz w:val="22"/>
          <w:lang w:val="es-ES"/>
        </w:rPr>
        <w:t xml:space="preserve"> el contrato. </w:t>
      </w:r>
      <w:r w:rsidR="00F52145" w:rsidRPr="00386009">
        <w:rPr>
          <w:rFonts w:ascii="Arial" w:eastAsia="Calibri" w:hAnsi="Arial" w:cs="Arial"/>
          <w:i/>
          <w:iCs/>
          <w:color w:val="000000" w:themeColor="text1"/>
          <w:sz w:val="22"/>
          <w:lang w:val="es-ES"/>
        </w:rPr>
        <w:t>En</w:t>
      </w:r>
      <w:r w:rsidR="00295B67" w:rsidRPr="00386009">
        <w:rPr>
          <w:rFonts w:ascii="Arial" w:eastAsia="Calibri" w:hAnsi="Arial" w:cs="Arial"/>
          <w:i/>
          <w:iCs/>
          <w:color w:val="000000" w:themeColor="text1"/>
          <w:sz w:val="22"/>
          <w:lang w:val="es-ES"/>
        </w:rPr>
        <w:t xml:space="preserve"> sentido amplio</w:t>
      </w:r>
      <w:r w:rsidR="00F52145" w:rsidRPr="00386009">
        <w:rPr>
          <w:rFonts w:ascii="Arial" w:eastAsia="Calibri" w:hAnsi="Arial" w:cs="Arial"/>
          <w:color w:val="000000" w:themeColor="text1"/>
          <w:sz w:val="22"/>
          <w:lang w:val="es-ES"/>
        </w:rPr>
        <w:t xml:space="preserve">, podría </w:t>
      </w:r>
      <w:r w:rsidR="001B4077">
        <w:rPr>
          <w:rFonts w:ascii="Arial" w:eastAsia="Calibri" w:hAnsi="Arial" w:cs="Arial"/>
          <w:color w:val="000000" w:themeColor="text1"/>
          <w:sz w:val="22"/>
          <w:lang w:val="es-ES"/>
        </w:rPr>
        <w:t>pensarse</w:t>
      </w:r>
      <w:r w:rsidR="00F52145" w:rsidRPr="00386009">
        <w:rPr>
          <w:rFonts w:ascii="Arial" w:eastAsia="Calibri" w:hAnsi="Arial" w:cs="Arial"/>
          <w:color w:val="000000" w:themeColor="text1"/>
          <w:sz w:val="22"/>
          <w:lang w:val="es-ES"/>
        </w:rPr>
        <w:t xml:space="preserve"> que la suspensión cumple este presupuesto, </w:t>
      </w:r>
      <w:r w:rsidR="0057201B" w:rsidRPr="00386009">
        <w:rPr>
          <w:rFonts w:ascii="Arial" w:eastAsia="Calibri" w:hAnsi="Arial" w:cs="Arial"/>
          <w:color w:val="000000" w:themeColor="text1"/>
          <w:sz w:val="22"/>
          <w:lang w:val="es-ES"/>
        </w:rPr>
        <w:t xml:space="preserve">pues </w:t>
      </w:r>
      <w:r w:rsidR="00F52145" w:rsidRPr="00386009">
        <w:rPr>
          <w:rFonts w:ascii="Arial" w:eastAsia="Calibri" w:hAnsi="Arial" w:cs="Arial"/>
          <w:color w:val="000000" w:themeColor="text1"/>
          <w:sz w:val="22"/>
          <w:lang w:val="es-ES"/>
        </w:rPr>
        <w:t xml:space="preserve">si se </w:t>
      </w:r>
      <w:r w:rsidR="00344842">
        <w:rPr>
          <w:rFonts w:ascii="Arial" w:eastAsia="Calibri" w:hAnsi="Arial" w:cs="Arial"/>
          <w:color w:val="000000" w:themeColor="text1"/>
          <w:sz w:val="22"/>
          <w:lang w:val="es-ES"/>
        </w:rPr>
        <w:t>detiene</w:t>
      </w:r>
      <w:r w:rsidR="00F52145" w:rsidRPr="00386009">
        <w:rPr>
          <w:rFonts w:ascii="Arial" w:eastAsia="Calibri" w:hAnsi="Arial" w:cs="Arial"/>
          <w:color w:val="000000" w:themeColor="text1"/>
          <w:sz w:val="22"/>
          <w:lang w:val="es-ES"/>
        </w:rPr>
        <w:t xml:space="preserve"> temporalmente </w:t>
      </w:r>
      <w:r w:rsidR="001B4077">
        <w:rPr>
          <w:rFonts w:ascii="Arial" w:eastAsia="Calibri" w:hAnsi="Arial" w:cs="Arial"/>
          <w:color w:val="000000" w:themeColor="text1"/>
          <w:sz w:val="22"/>
          <w:lang w:val="es-ES"/>
        </w:rPr>
        <w:t>una</w:t>
      </w:r>
      <w:r w:rsidR="00F52145" w:rsidRPr="00386009">
        <w:rPr>
          <w:rFonts w:ascii="Arial" w:eastAsia="Calibri" w:hAnsi="Arial" w:cs="Arial"/>
          <w:color w:val="000000" w:themeColor="text1"/>
          <w:sz w:val="22"/>
          <w:lang w:val="es-ES"/>
        </w:rPr>
        <w:t xml:space="preserve"> etapa –v. gr. la recepción de ofertas, la evaluación, </w:t>
      </w:r>
      <w:r w:rsidR="0057201B" w:rsidRPr="00386009">
        <w:rPr>
          <w:rFonts w:ascii="Arial" w:eastAsia="Calibri" w:hAnsi="Arial" w:cs="Arial"/>
          <w:color w:val="000000" w:themeColor="text1"/>
          <w:sz w:val="22"/>
          <w:lang w:val="es-ES"/>
        </w:rPr>
        <w:t xml:space="preserve">la formulación de las observaciones al informe, etc.–, la Administración debe </w:t>
      </w:r>
      <w:r w:rsidR="000A3DB1" w:rsidRPr="00386009">
        <w:rPr>
          <w:rFonts w:ascii="Arial" w:eastAsia="Calibri" w:hAnsi="Arial" w:cs="Arial"/>
          <w:color w:val="000000" w:themeColor="text1"/>
          <w:sz w:val="22"/>
          <w:lang w:val="es-ES"/>
        </w:rPr>
        <w:t>ampliar el cronograma</w:t>
      </w:r>
      <w:r w:rsidR="00344842">
        <w:rPr>
          <w:rFonts w:ascii="Arial" w:eastAsia="Calibri" w:hAnsi="Arial" w:cs="Arial"/>
          <w:color w:val="000000" w:themeColor="text1"/>
          <w:sz w:val="22"/>
          <w:lang w:val="es-ES"/>
        </w:rPr>
        <w:t>,</w:t>
      </w:r>
      <w:r w:rsidR="000A3DB1" w:rsidRPr="00386009">
        <w:rPr>
          <w:rFonts w:ascii="Arial" w:eastAsia="Calibri" w:hAnsi="Arial" w:cs="Arial"/>
          <w:color w:val="000000" w:themeColor="text1"/>
          <w:sz w:val="22"/>
          <w:lang w:val="es-ES"/>
        </w:rPr>
        <w:t xml:space="preserve"> reprogramando las restantes</w:t>
      </w:r>
      <w:r w:rsidR="0057201B" w:rsidRPr="00386009">
        <w:rPr>
          <w:rFonts w:ascii="Arial" w:eastAsia="Calibri" w:hAnsi="Arial" w:cs="Arial"/>
          <w:color w:val="000000" w:themeColor="text1"/>
          <w:sz w:val="22"/>
          <w:lang w:val="es-ES"/>
        </w:rPr>
        <w:t xml:space="preserve">, lo que indirectamente desplaza la fecha para </w:t>
      </w:r>
      <w:r w:rsidR="00FE11D2">
        <w:rPr>
          <w:rFonts w:ascii="Arial" w:eastAsia="Calibri" w:hAnsi="Arial" w:cs="Arial"/>
          <w:color w:val="000000" w:themeColor="text1"/>
          <w:sz w:val="22"/>
          <w:lang w:val="es-ES"/>
        </w:rPr>
        <w:t>«</w:t>
      </w:r>
      <w:r w:rsidR="00334A88" w:rsidRPr="00386009">
        <w:rPr>
          <w:rFonts w:ascii="Arial" w:eastAsia="Calibri" w:hAnsi="Arial" w:cs="Arial"/>
          <w:color w:val="000000" w:themeColor="text1"/>
          <w:sz w:val="22"/>
          <w:lang w:val="es-ES"/>
        </w:rPr>
        <w:t>adjudicar</w:t>
      </w:r>
      <w:r w:rsidR="00FE11D2">
        <w:rPr>
          <w:rFonts w:ascii="Arial" w:eastAsia="Calibri" w:hAnsi="Arial" w:cs="Arial"/>
          <w:color w:val="000000" w:themeColor="text1"/>
          <w:sz w:val="22"/>
          <w:lang w:val="es-ES"/>
        </w:rPr>
        <w:t>»</w:t>
      </w:r>
      <w:r w:rsidR="00334A88" w:rsidRPr="00386009">
        <w:rPr>
          <w:rFonts w:ascii="Arial" w:eastAsia="Calibri" w:hAnsi="Arial" w:cs="Arial"/>
          <w:color w:val="000000" w:themeColor="text1"/>
          <w:sz w:val="22"/>
          <w:lang w:val="es-ES"/>
        </w:rPr>
        <w:t xml:space="preserve"> y </w:t>
      </w:r>
      <w:r w:rsidR="00FE11D2">
        <w:rPr>
          <w:rFonts w:ascii="Arial" w:eastAsia="Calibri" w:hAnsi="Arial" w:cs="Arial"/>
          <w:color w:val="000000" w:themeColor="text1"/>
          <w:sz w:val="22"/>
          <w:lang w:val="es-ES"/>
        </w:rPr>
        <w:t>«</w:t>
      </w:r>
      <w:r w:rsidR="00334A88" w:rsidRPr="00386009">
        <w:rPr>
          <w:rFonts w:ascii="Arial" w:eastAsia="Calibri" w:hAnsi="Arial" w:cs="Arial"/>
          <w:color w:val="000000" w:themeColor="text1"/>
          <w:sz w:val="22"/>
          <w:lang w:val="es-ES"/>
        </w:rPr>
        <w:t xml:space="preserve">firmar </w:t>
      </w:r>
      <w:r w:rsidR="0057201B" w:rsidRPr="00386009">
        <w:rPr>
          <w:rFonts w:ascii="Arial" w:eastAsia="Calibri" w:hAnsi="Arial" w:cs="Arial"/>
          <w:color w:val="000000" w:themeColor="text1"/>
          <w:sz w:val="22"/>
          <w:lang w:val="es-ES"/>
        </w:rPr>
        <w:t>el contrato</w:t>
      </w:r>
      <w:r w:rsidR="00FE11D2">
        <w:rPr>
          <w:rFonts w:ascii="Arial" w:eastAsia="Calibri" w:hAnsi="Arial" w:cs="Arial"/>
          <w:color w:val="000000" w:themeColor="text1"/>
          <w:sz w:val="22"/>
          <w:lang w:val="es-ES"/>
        </w:rPr>
        <w:t>»</w:t>
      </w:r>
      <w:r w:rsidR="0057201B" w:rsidRPr="00386009">
        <w:rPr>
          <w:rFonts w:ascii="Arial" w:eastAsia="Calibri" w:hAnsi="Arial" w:cs="Arial"/>
          <w:color w:val="000000" w:themeColor="text1"/>
          <w:sz w:val="22"/>
          <w:lang w:val="es-ES"/>
        </w:rPr>
        <w:t>.</w:t>
      </w:r>
      <w:r w:rsidR="000A3DB1" w:rsidRPr="00386009">
        <w:rPr>
          <w:rFonts w:ascii="Arial" w:eastAsia="Calibri" w:hAnsi="Arial" w:cs="Arial"/>
          <w:color w:val="000000" w:themeColor="text1"/>
          <w:sz w:val="22"/>
          <w:lang w:val="es-ES"/>
        </w:rPr>
        <w:t xml:space="preserve"> </w:t>
      </w:r>
    </w:p>
    <w:p w14:paraId="7D70FEA2" w14:textId="1ECDBBBF" w:rsidR="00A24270" w:rsidRPr="00386009" w:rsidRDefault="001B4077">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Sin embargo, l</w:t>
      </w:r>
      <w:r w:rsidR="0006530E" w:rsidRPr="00386009">
        <w:rPr>
          <w:rFonts w:ascii="Arial" w:eastAsia="Calibri" w:hAnsi="Arial" w:cs="Arial"/>
          <w:color w:val="000000" w:themeColor="text1"/>
          <w:sz w:val="22"/>
          <w:lang w:val="es-ES"/>
        </w:rPr>
        <w:t xml:space="preserve">a Subdirección no comparte </w:t>
      </w:r>
      <w:r w:rsidR="00344842">
        <w:rPr>
          <w:rFonts w:ascii="Arial" w:eastAsia="Calibri" w:hAnsi="Arial" w:cs="Arial"/>
          <w:color w:val="000000" w:themeColor="text1"/>
          <w:sz w:val="22"/>
          <w:lang w:val="es-ES"/>
        </w:rPr>
        <w:t>la tesis d</w:t>
      </w:r>
      <w:r w:rsidR="0006530E" w:rsidRPr="00386009">
        <w:rPr>
          <w:rFonts w:ascii="Arial" w:eastAsia="Calibri" w:hAnsi="Arial" w:cs="Arial"/>
          <w:color w:val="000000" w:themeColor="text1"/>
          <w:sz w:val="22"/>
          <w:lang w:val="es-ES"/>
        </w:rPr>
        <w:t>el párrafo precedente, ya que –</w:t>
      </w:r>
      <w:r w:rsidR="00295B67" w:rsidRPr="00386009">
        <w:rPr>
          <w:rFonts w:ascii="Arial" w:eastAsia="Calibri" w:hAnsi="Arial" w:cs="Arial"/>
          <w:i/>
          <w:iCs/>
          <w:color w:val="000000" w:themeColor="text1"/>
          <w:sz w:val="22"/>
          <w:lang w:val="es-ES"/>
        </w:rPr>
        <w:t>en sentido estricto</w:t>
      </w:r>
      <w:r w:rsidR="0006530E" w:rsidRPr="00386009">
        <w:rPr>
          <w:rFonts w:ascii="Arial" w:eastAsia="Calibri" w:hAnsi="Arial" w:cs="Arial"/>
          <w:color w:val="000000" w:themeColor="text1"/>
          <w:sz w:val="22"/>
          <w:lang w:val="es-ES"/>
        </w:rPr>
        <w:t>– la ampliación y la suspensión tienen alcance diferente</w:t>
      </w:r>
      <w:r w:rsidR="00D12072" w:rsidRPr="00386009">
        <w:rPr>
          <w:rFonts w:ascii="Arial" w:eastAsia="Calibri" w:hAnsi="Arial" w:cs="Arial"/>
          <w:color w:val="000000" w:themeColor="text1"/>
          <w:sz w:val="22"/>
          <w:lang w:val="es-ES"/>
        </w:rPr>
        <w:t xml:space="preserve">, pues mientras esta </w:t>
      </w:r>
      <w:r>
        <w:rPr>
          <w:rFonts w:ascii="Arial" w:eastAsia="Calibri" w:hAnsi="Arial" w:cs="Arial"/>
          <w:color w:val="000000" w:themeColor="text1"/>
          <w:sz w:val="22"/>
          <w:lang w:val="es-ES"/>
        </w:rPr>
        <w:t>detiene</w:t>
      </w:r>
      <w:r w:rsidR="000C03A4" w:rsidRPr="00386009">
        <w:rPr>
          <w:rFonts w:ascii="Arial" w:eastAsia="Calibri" w:hAnsi="Arial" w:cs="Arial"/>
          <w:color w:val="000000" w:themeColor="text1"/>
          <w:sz w:val="22"/>
          <w:lang w:val="es-ES"/>
        </w:rPr>
        <w:t xml:space="preserve"> el procedimiento de selección, aquella pr</w:t>
      </w:r>
      <w:r w:rsidR="00153822" w:rsidRPr="00386009">
        <w:rPr>
          <w:rFonts w:ascii="Arial" w:eastAsia="Calibri" w:hAnsi="Arial" w:cs="Arial"/>
          <w:color w:val="000000" w:themeColor="text1"/>
          <w:sz w:val="22"/>
          <w:lang w:val="es-ES"/>
        </w:rPr>
        <w:t>o</w:t>
      </w:r>
      <w:r w:rsidR="000C03A4" w:rsidRPr="00386009">
        <w:rPr>
          <w:rFonts w:ascii="Arial" w:eastAsia="Calibri" w:hAnsi="Arial" w:cs="Arial"/>
          <w:color w:val="000000" w:themeColor="text1"/>
          <w:sz w:val="22"/>
          <w:lang w:val="es-ES"/>
        </w:rPr>
        <w:t>rroga el término de una etapa</w:t>
      </w:r>
      <w:r w:rsidR="0006530E" w:rsidRPr="00386009">
        <w:rPr>
          <w:rFonts w:ascii="Arial" w:eastAsia="Calibri" w:hAnsi="Arial" w:cs="Arial"/>
          <w:color w:val="000000" w:themeColor="text1"/>
          <w:sz w:val="22"/>
          <w:lang w:val="es-ES"/>
        </w:rPr>
        <w:t xml:space="preserve">. Por ejemplo, si </w:t>
      </w:r>
      <w:r w:rsidR="003516F7" w:rsidRPr="00386009">
        <w:rPr>
          <w:rFonts w:ascii="Arial" w:eastAsia="Calibri" w:hAnsi="Arial" w:cs="Arial"/>
          <w:color w:val="000000" w:themeColor="text1"/>
          <w:sz w:val="22"/>
          <w:lang w:val="es-ES"/>
        </w:rPr>
        <w:t xml:space="preserve">el contrato </w:t>
      </w:r>
      <w:r w:rsidR="006706A7" w:rsidRPr="00386009">
        <w:rPr>
          <w:rFonts w:ascii="Arial" w:eastAsia="Calibri" w:hAnsi="Arial" w:cs="Arial"/>
          <w:color w:val="000000" w:themeColor="text1"/>
          <w:sz w:val="22"/>
          <w:lang w:val="es-ES"/>
        </w:rPr>
        <w:t>debe suscribirse</w:t>
      </w:r>
      <w:r w:rsidR="0006530E" w:rsidRPr="00386009">
        <w:rPr>
          <w:rFonts w:ascii="Arial" w:eastAsia="Calibri" w:hAnsi="Arial" w:cs="Arial"/>
          <w:color w:val="000000" w:themeColor="text1"/>
          <w:sz w:val="22"/>
          <w:lang w:val="es-ES"/>
        </w:rPr>
        <w:t xml:space="preserve"> tres (3) días hábiles después de la adjudicación y el cronograma </w:t>
      </w:r>
      <w:r w:rsidR="003516F7" w:rsidRPr="00386009">
        <w:rPr>
          <w:rFonts w:ascii="Arial" w:eastAsia="Calibri" w:hAnsi="Arial" w:cs="Arial"/>
          <w:color w:val="000000" w:themeColor="text1"/>
          <w:sz w:val="22"/>
          <w:lang w:val="es-ES"/>
        </w:rPr>
        <w:t>dispone la expedición d</w:t>
      </w:r>
      <w:r w:rsidR="0006530E" w:rsidRPr="00386009">
        <w:rPr>
          <w:rFonts w:ascii="Arial" w:eastAsia="Calibri" w:hAnsi="Arial" w:cs="Arial"/>
          <w:color w:val="000000" w:themeColor="text1"/>
          <w:sz w:val="22"/>
          <w:lang w:val="es-ES"/>
        </w:rPr>
        <w:t xml:space="preserve">el acto administrativo </w:t>
      </w:r>
      <w:r w:rsidR="00153822" w:rsidRPr="00386009">
        <w:rPr>
          <w:rFonts w:ascii="Arial" w:eastAsia="Calibri" w:hAnsi="Arial" w:cs="Arial"/>
          <w:color w:val="000000" w:themeColor="text1"/>
          <w:sz w:val="22"/>
          <w:lang w:val="es-ES"/>
        </w:rPr>
        <w:t>para el</w:t>
      </w:r>
      <w:r w:rsidR="0006530E" w:rsidRPr="00386009">
        <w:rPr>
          <w:rFonts w:ascii="Arial" w:eastAsia="Calibri" w:hAnsi="Arial" w:cs="Arial"/>
          <w:color w:val="000000" w:themeColor="text1"/>
          <w:sz w:val="22"/>
          <w:lang w:val="es-ES"/>
        </w:rPr>
        <w:t xml:space="preserve"> </w:t>
      </w:r>
      <w:r w:rsidR="008B6117" w:rsidRPr="00386009">
        <w:rPr>
          <w:rFonts w:ascii="Arial" w:eastAsia="Calibri" w:hAnsi="Arial" w:cs="Arial"/>
          <w:color w:val="000000" w:themeColor="text1"/>
          <w:sz w:val="22"/>
          <w:lang w:val="es-ES"/>
        </w:rPr>
        <w:t>3 agosto</w:t>
      </w:r>
      <w:r w:rsidR="0006530E" w:rsidRPr="00386009">
        <w:rPr>
          <w:rFonts w:ascii="Arial" w:eastAsia="Calibri" w:hAnsi="Arial" w:cs="Arial"/>
          <w:color w:val="000000" w:themeColor="text1"/>
          <w:sz w:val="22"/>
          <w:lang w:val="es-ES"/>
        </w:rPr>
        <w:t xml:space="preserve"> de 2020</w:t>
      </w:r>
      <w:r w:rsidR="003516F7" w:rsidRPr="00386009">
        <w:rPr>
          <w:rFonts w:ascii="Arial" w:eastAsia="Calibri" w:hAnsi="Arial" w:cs="Arial"/>
          <w:color w:val="000000" w:themeColor="text1"/>
          <w:sz w:val="22"/>
          <w:lang w:val="es-ES"/>
        </w:rPr>
        <w:t>, la suspensión del término para adjudicar por cinco (5) días hábiles –es decir, entre el</w:t>
      </w:r>
      <w:r w:rsidR="00481F81" w:rsidRPr="00386009">
        <w:rPr>
          <w:rFonts w:ascii="Arial" w:eastAsia="Calibri" w:hAnsi="Arial" w:cs="Arial"/>
          <w:color w:val="000000" w:themeColor="text1"/>
          <w:sz w:val="22"/>
          <w:lang w:val="es-ES"/>
        </w:rPr>
        <w:t xml:space="preserve"> 3</w:t>
      </w:r>
      <w:r w:rsidR="003516F7" w:rsidRPr="00386009">
        <w:rPr>
          <w:rFonts w:ascii="Arial" w:eastAsia="Calibri" w:hAnsi="Arial" w:cs="Arial"/>
          <w:color w:val="000000" w:themeColor="text1"/>
          <w:sz w:val="22"/>
          <w:lang w:val="es-ES"/>
        </w:rPr>
        <w:t xml:space="preserve"> y el 7 de agosto</w:t>
      </w:r>
      <w:r w:rsidR="008B6117" w:rsidRPr="00386009">
        <w:rPr>
          <w:rFonts w:ascii="Arial" w:eastAsia="Calibri" w:hAnsi="Arial" w:cs="Arial"/>
          <w:color w:val="000000" w:themeColor="text1"/>
          <w:sz w:val="22"/>
          <w:lang w:val="es-ES"/>
        </w:rPr>
        <w:t xml:space="preserve"> de 2020</w:t>
      </w:r>
      <w:r w:rsidR="003516F7" w:rsidRPr="00386009">
        <w:rPr>
          <w:rFonts w:ascii="Arial" w:eastAsia="Calibri" w:hAnsi="Arial" w:cs="Arial"/>
          <w:color w:val="000000" w:themeColor="text1"/>
          <w:sz w:val="22"/>
          <w:lang w:val="es-ES"/>
        </w:rPr>
        <w:t>– no aumenta el plazo para suscribir el contrato, sino</w:t>
      </w:r>
      <w:r w:rsidR="005B5D7A" w:rsidRPr="00386009">
        <w:rPr>
          <w:rFonts w:ascii="Arial" w:eastAsia="Calibri" w:hAnsi="Arial" w:cs="Arial"/>
          <w:color w:val="000000" w:themeColor="text1"/>
          <w:sz w:val="22"/>
          <w:lang w:val="es-ES"/>
        </w:rPr>
        <w:t xml:space="preserve"> que</w:t>
      </w:r>
      <w:r w:rsidR="00481F81" w:rsidRPr="00386009">
        <w:rPr>
          <w:rFonts w:ascii="Arial" w:eastAsia="Calibri" w:hAnsi="Arial" w:cs="Arial"/>
          <w:color w:val="000000" w:themeColor="text1"/>
          <w:sz w:val="22"/>
          <w:lang w:val="es-ES"/>
        </w:rPr>
        <w:t xml:space="preserve"> desplaza</w:t>
      </w:r>
      <w:r w:rsidR="005B5D7A" w:rsidRPr="00386009">
        <w:rPr>
          <w:rFonts w:ascii="Arial" w:eastAsia="Calibri" w:hAnsi="Arial" w:cs="Arial"/>
          <w:color w:val="000000" w:themeColor="text1"/>
          <w:sz w:val="22"/>
          <w:lang w:val="es-ES"/>
        </w:rPr>
        <w:t xml:space="preserve"> </w:t>
      </w:r>
      <w:r w:rsidR="003516F7" w:rsidRPr="00386009">
        <w:rPr>
          <w:rFonts w:ascii="Arial" w:eastAsia="Calibri" w:hAnsi="Arial" w:cs="Arial"/>
          <w:color w:val="000000" w:themeColor="text1"/>
          <w:sz w:val="22"/>
          <w:lang w:val="es-ES"/>
        </w:rPr>
        <w:t>la fecha para perfecciona</w:t>
      </w:r>
      <w:r>
        <w:rPr>
          <w:rFonts w:ascii="Arial" w:eastAsia="Calibri" w:hAnsi="Arial" w:cs="Arial"/>
          <w:color w:val="000000" w:themeColor="text1"/>
          <w:sz w:val="22"/>
          <w:lang w:val="es-ES"/>
        </w:rPr>
        <w:t>rlo</w:t>
      </w:r>
      <w:r w:rsidR="003516F7" w:rsidRPr="00386009">
        <w:rPr>
          <w:rFonts w:ascii="Arial" w:eastAsia="Calibri" w:hAnsi="Arial" w:cs="Arial"/>
          <w:color w:val="000000" w:themeColor="text1"/>
          <w:sz w:val="22"/>
          <w:lang w:val="es-ES"/>
        </w:rPr>
        <w:t>. En efecto, sin la suspensión</w:t>
      </w:r>
      <w:r w:rsidR="008B6117" w:rsidRPr="00386009">
        <w:rPr>
          <w:rFonts w:ascii="Arial" w:eastAsia="Calibri" w:hAnsi="Arial" w:cs="Arial"/>
          <w:color w:val="000000" w:themeColor="text1"/>
          <w:sz w:val="22"/>
          <w:lang w:val="es-ES"/>
        </w:rPr>
        <w:t>,</w:t>
      </w:r>
      <w:r w:rsidR="003516F7" w:rsidRPr="00386009">
        <w:rPr>
          <w:rFonts w:ascii="Arial" w:eastAsia="Calibri" w:hAnsi="Arial" w:cs="Arial"/>
          <w:color w:val="000000" w:themeColor="text1"/>
          <w:sz w:val="22"/>
          <w:lang w:val="es-ES"/>
        </w:rPr>
        <w:t xml:space="preserve"> el contrato deb</w:t>
      </w:r>
      <w:r w:rsidR="00153822" w:rsidRPr="00386009">
        <w:rPr>
          <w:rFonts w:ascii="Arial" w:eastAsia="Calibri" w:hAnsi="Arial" w:cs="Arial"/>
          <w:color w:val="000000" w:themeColor="text1"/>
          <w:sz w:val="22"/>
          <w:lang w:val="es-ES"/>
        </w:rPr>
        <w:t>ería</w:t>
      </w:r>
      <w:r w:rsidR="003516F7" w:rsidRPr="00386009">
        <w:rPr>
          <w:rFonts w:ascii="Arial" w:eastAsia="Calibri" w:hAnsi="Arial" w:cs="Arial"/>
          <w:color w:val="000000" w:themeColor="text1"/>
          <w:sz w:val="22"/>
          <w:lang w:val="es-ES"/>
        </w:rPr>
        <w:t xml:space="preserve"> suscribirse el </w:t>
      </w:r>
      <w:r w:rsidR="008B6117" w:rsidRPr="00386009">
        <w:rPr>
          <w:rFonts w:ascii="Arial" w:eastAsia="Calibri" w:hAnsi="Arial" w:cs="Arial"/>
          <w:color w:val="000000" w:themeColor="text1"/>
          <w:sz w:val="22"/>
          <w:lang w:val="es-ES"/>
        </w:rPr>
        <w:t>6</w:t>
      </w:r>
      <w:r w:rsidR="003516F7" w:rsidRPr="00386009">
        <w:rPr>
          <w:rFonts w:ascii="Arial" w:eastAsia="Calibri" w:hAnsi="Arial" w:cs="Arial"/>
          <w:color w:val="000000" w:themeColor="text1"/>
          <w:sz w:val="22"/>
          <w:lang w:val="es-ES"/>
        </w:rPr>
        <w:t xml:space="preserve"> de agosto </w:t>
      </w:r>
      <w:r w:rsidR="008B6117" w:rsidRPr="00386009">
        <w:rPr>
          <w:rFonts w:ascii="Arial" w:eastAsia="Calibri" w:hAnsi="Arial" w:cs="Arial"/>
          <w:color w:val="000000" w:themeColor="text1"/>
          <w:sz w:val="22"/>
          <w:lang w:val="es-ES"/>
        </w:rPr>
        <w:t xml:space="preserve">de 2020 </w:t>
      </w:r>
      <w:r w:rsidR="003516F7" w:rsidRPr="00386009">
        <w:rPr>
          <w:rFonts w:ascii="Arial" w:eastAsia="Calibri" w:hAnsi="Arial" w:cs="Arial"/>
          <w:color w:val="000000" w:themeColor="text1"/>
          <w:sz w:val="22"/>
          <w:lang w:val="es-ES"/>
        </w:rPr>
        <w:t>–esto es, tres (3) días hábiles después de la adjudicación–; pero con esta</w:t>
      </w:r>
      <w:r w:rsidR="00481F81" w:rsidRPr="00386009">
        <w:rPr>
          <w:rFonts w:ascii="Arial" w:eastAsia="Calibri" w:hAnsi="Arial" w:cs="Arial"/>
          <w:color w:val="000000" w:themeColor="text1"/>
          <w:sz w:val="22"/>
          <w:lang w:val="es-ES"/>
        </w:rPr>
        <w:t xml:space="preserve"> el contrato se adjudica el 10 de</w:t>
      </w:r>
      <w:r w:rsidR="008B6117" w:rsidRPr="00386009">
        <w:rPr>
          <w:rFonts w:ascii="Arial" w:eastAsia="Calibri" w:hAnsi="Arial" w:cs="Arial"/>
          <w:color w:val="000000" w:themeColor="text1"/>
          <w:sz w:val="22"/>
          <w:lang w:val="es-ES"/>
        </w:rPr>
        <w:t xml:space="preserve"> agosto de 2020, con un plazo máximo de perfeccionamiento que vence el 13 de agosto de 2020, lo que significa que no se prorrogó el término inicial de tres (3)</w:t>
      </w:r>
      <w:r w:rsidR="00D12072" w:rsidRPr="00386009">
        <w:rPr>
          <w:rFonts w:ascii="Arial" w:eastAsia="Calibri" w:hAnsi="Arial" w:cs="Arial"/>
          <w:color w:val="000000" w:themeColor="text1"/>
          <w:sz w:val="22"/>
          <w:lang w:val="es-ES"/>
        </w:rPr>
        <w:t xml:space="preserve"> días hábiles</w:t>
      </w:r>
      <w:r>
        <w:rPr>
          <w:rFonts w:ascii="Arial" w:eastAsia="Calibri" w:hAnsi="Arial" w:cs="Arial"/>
          <w:color w:val="000000" w:themeColor="text1"/>
          <w:sz w:val="22"/>
          <w:lang w:val="es-ES"/>
        </w:rPr>
        <w:t>,</w:t>
      </w:r>
      <w:r w:rsidR="008B6117" w:rsidRPr="00386009">
        <w:rPr>
          <w:rFonts w:ascii="Arial" w:eastAsia="Calibri" w:hAnsi="Arial" w:cs="Arial"/>
          <w:color w:val="000000" w:themeColor="text1"/>
          <w:sz w:val="22"/>
          <w:lang w:val="es-ES"/>
        </w:rPr>
        <w:t xml:space="preserve"> inicialmente dispuesto en el cronograma.</w:t>
      </w:r>
      <w:r w:rsidR="00A52BE1" w:rsidRPr="00386009">
        <w:rPr>
          <w:rFonts w:ascii="Arial" w:eastAsia="Calibri" w:hAnsi="Arial" w:cs="Arial"/>
          <w:color w:val="000000" w:themeColor="text1"/>
          <w:sz w:val="22"/>
          <w:lang w:val="es-ES"/>
        </w:rPr>
        <w:t xml:space="preserve"> </w:t>
      </w:r>
      <w:r w:rsidR="00A24270" w:rsidRPr="00386009">
        <w:rPr>
          <w:rFonts w:ascii="Arial" w:eastAsia="Calibri" w:hAnsi="Arial" w:cs="Arial"/>
          <w:color w:val="000000" w:themeColor="text1"/>
          <w:sz w:val="22"/>
          <w:lang w:val="es-ES"/>
        </w:rPr>
        <w:t xml:space="preserve">  </w:t>
      </w:r>
    </w:p>
    <w:p w14:paraId="4233222C" w14:textId="55A84143" w:rsidR="000E4ACB" w:rsidRPr="00386009" w:rsidRDefault="00295B67" w:rsidP="000A2925">
      <w:pPr>
        <w:spacing w:after="120" w:line="276" w:lineRule="auto"/>
        <w:ind w:firstLine="708"/>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lastRenderedPageBreak/>
        <w:t>U</w:t>
      </w:r>
      <w:r w:rsidR="00A52BE1" w:rsidRPr="00386009">
        <w:rPr>
          <w:rFonts w:ascii="Arial" w:eastAsia="Calibri" w:hAnsi="Arial" w:cs="Arial"/>
          <w:color w:val="000000" w:themeColor="text1"/>
          <w:sz w:val="22"/>
          <w:lang w:val="es-ES"/>
        </w:rPr>
        <w:t>n asunto diferente es que</w:t>
      </w:r>
      <w:r w:rsidR="000E4ACB" w:rsidRPr="00386009">
        <w:rPr>
          <w:rFonts w:ascii="Arial" w:eastAsia="Calibri" w:hAnsi="Arial" w:cs="Arial"/>
          <w:color w:val="000000" w:themeColor="text1"/>
          <w:sz w:val="22"/>
          <w:lang w:val="es-ES"/>
        </w:rPr>
        <w:t>, en el ejemplo propuesto,</w:t>
      </w:r>
      <w:r w:rsidR="00A52BE1" w:rsidRPr="00386009">
        <w:rPr>
          <w:rFonts w:ascii="Arial" w:eastAsia="Calibri" w:hAnsi="Arial" w:cs="Arial"/>
          <w:color w:val="000000" w:themeColor="text1"/>
          <w:sz w:val="22"/>
          <w:lang w:val="es-ES"/>
        </w:rPr>
        <w:t xml:space="preserve"> la Administración amplíe el tiempo para perfeccionar el contrato mas allá del inicialmente previsto –por ejemplo pasa</w:t>
      </w:r>
      <w:r w:rsidR="001B4077">
        <w:rPr>
          <w:rFonts w:ascii="Arial" w:eastAsia="Calibri" w:hAnsi="Arial" w:cs="Arial"/>
          <w:color w:val="000000" w:themeColor="text1"/>
          <w:sz w:val="22"/>
          <w:lang w:val="es-ES"/>
        </w:rPr>
        <w:t>n</w:t>
      </w:r>
      <w:r w:rsidR="00A52BE1" w:rsidRPr="00386009">
        <w:rPr>
          <w:rFonts w:ascii="Arial" w:eastAsia="Calibri" w:hAnsi="Arial" w:cs="Arial"/>
          <w:color w:val="000000" w:themeColor="text1"/>
          <w:sz w:val="22"/>
          <w:lang w:val="es-ES"/>
        </w:rPr>
        <w:t>do de tres (3) a los cinco (5) días siguientes a la adjudicación del contrato–, porque en este caso se prorroga una de las etapas descritas en el numeral 1 del artículo 2.2.1.2.3.1.6 del Decreto 1082 de 2015</w:t>
      </w:r>
      <w:r w:rsidRPr="00386009">
        <w:rPr>
          <w:rFonts w:ascii="Arial" w:eastAsia="Calibri" w:hAnsi="Arial" w:cs="Arial"/>
          <w:color w:val="000000" w:themeColor="text1"/>
          <w:sz w:val="22"/>
          <w:lang w:val="es-ES"/>
        </w:rPr>
        <w:t xml:space="preserve">. </w:t>
      </w:r>
      <w:r w:rsidR="000E4ACB" w:rsidRPr="00386009">
        <w:rPr>
          <w:rFonts w:ascii="Arial" w:eastAsia="Calibri" w:hAnsi="Arial" w:cs="Arial"/>
          <w:color w:val="000000" w:themeColor="text1"/>
          <w:sz w:val="22"/>
          <w:lang w:val="es-ES"/>
        </w:rPr>
        <w:t>De esta manera</w:t>
      </w:r>
      <w:r w:rsidRPr="00386009">
        <w:rPr>
          <w:rFonts w:ascii="Arial" w:eastAsia="Calibri" w:hAnsi="Arial" w:cs="Arial"/>
          <w:color w:val="000000" w:themeColor="text1"/>
          <w:sz w:val="22"/>
          <w:lang w:val="es-ES"/>
        </w:rPr>
        <w:t>, mientras esté vigente el plazo inicial de la garantía</w:t>
      </w:r>
      <w:r w:rsidR="00E71D0C" w:rsidRPr="00386009">
        <w:rPr>
          <w:rFonts w:ascii="Arial" w:eastAsia="Calibri" w:hAnsi="Arial" w:cs="Arial"/>
          <w:color w:val="000000" w:themeColor="text1"/>
          <w:sz w:val="22"/>
          <w:lang w:val="es-ES"/>
        </w:rPr>
        <w:t xml:space="preserve"> y se cumplan las demás condiciones exigidas en la norma citada</w:t>
      </w:r>
      <w:r w:rsidRPr="00386009">
        <w:rPr>
          <w:rFonts w:ascii="Arial" w:eastAsia="Calibri" w:hAnsi="Arial" w:cs="Arial"/>
          <w:color w:val="000000" w:themeColor="text1"/>
          <w:sz w:val="22"/>
          <w:lang w:val="es-ES"/>
        </w:rPr>
        <w:t>, los proponentes deben atender el requerimiento de la entidad, so pena de hacerla efectiva.</w:t>
      </w:r>
      <w:r w:rsidR="000E4ACB" w:rsidRPr="00386009">
        <w:rPr>
          <w:rFonts w:ascii="Arial" w:eastAsia="Calibri" w:hAnsi="Arial" w:cs="Arial"/>
          <w:color w:val="000000" w:themeColor="text1"/>
          <w:sz w:val="22"/>
          <w:lang w:val="es-ES"/>
        </w:rPr>
        <w:t xml:space="preserve"> </w:t>
      </w:r>
    </w:p>
    <w:p w14:paraId="437F9068" w14:textId="77777777" w:rsidR="00FE11D2" w:rsidRDefault="000E4ACB">
      <w:pPr>
        <w:spacing w:after="120" w:line="276" w:lineRule="auto"/>
        <w:ind w:firstLine="708"/>
        <w:jc w:val="both"/>
        <w:rPr>
          <w:rFonts w:ascii="Arial" w:eastAsia="Calibri" w:hAnsi="Arial" w:cs="Arial"/>
          <w:color w:val="000000" w:themeColor="text1"/>
          <w:sz w:val="22"/>
          <w:lang w:val="es-ES"/>
        </w:rPr>
      </w:pPr>
      <w:bookmarkStart w:id="16" w:name="_Hlk47894766"/>
      <w:r w:rsidRPr="00386009">
        <w:rPr>
          <w:rFonts w:ascii="Arial" w:eastAsia="Calibri" w:hAnsi="Arial" w:cs="Arial"/>
          <w:color w:val="000000" w:themeColor="text1"/>
          <w:sz w:val="22"/>
          <w:lang w:val="es-ES"/>
        </w:rPr>
        <w:t xml:space="preserve">Por tanto, </w:t>
      </w:r>
      <w:r w:rsidR="00E71D0C" w:rsidRPr="00386009">
        <w:rPr>
          <w:rFonts w:ascii="Arial" w:eastAsia="Calibri" w:hAnsi="Arial" w:cs="Arial"/>
          <w:color w:val="000000" w:themeColor="text1"/>
          <w:sz w:val="22"/>
          <w:lang w:val="es-ES"/>
        </w:rPr>
        <w:t xml:space="preserve">bajo una </w:t>
      </w:r>
      <w:r w:rsidR="00E71D0C" w:rsidRPr="00386009">
        <w:rPr>
          <w:rFonts w:ascii="Arial" w:eastAsia="Calibri" w:hAnsi="Arial" w:cs="Arial"/>
          <w:i/>
          <w:iCs/>
          <w:color w:val="000000" w:themeColor="text1"/>
          <w:sz w:val="22"/>
          <w:lang w:val="es-ES"/>
        </w:rPr>
        <w:t>interpretación estricta</w:t>
      </w:r>
      <w:r w:rsidR="00E71D0C" w:rsidRPr="00386009">
        <w:rPr>
          <w:rFonts w:ascii="Arial" w:eastAsia="Calibri" w:hAnsi="Arial" w:cs="Arial"/>
          <w:color w:val="000000" w:themeColor="text1"/>
          <w:sz w:val="22"/>
          <w:lang w:val="es-ES"/>
        </w:rPr>
        <w:t xml:space="preserve">, </w:t>
      </w:r>
      <w:r w:rsidRPr="00386009">
        <w:rPr>
          <w:rFonts w:ascii="Arial" w:eastAsia="Calibri" w:hAnsi="Arial" w:cs="Arial"/>
          <w:color w:val="000000" w:themeColor="text1"/>
          <w:sz w:val="22"/>
          <w:lang w:val="es-ES"/>
        </w:rPr>
        <w:t xml:space="preserve">cuando </w:t>
      </w:r>
      <w:r w:rsidR="00D30B36" w:rsidRPr="00386009">
        <w:rPr>
          <w:rFonts w:ascii="Arial" w:eastAsia="Calibri" w:hAnsi="Arial" w:cs="Arial"/>
          <w:color w:val="000000" w:themeColor="text1"/>
          <w:sz w:val="22"/>
          <w:lang w:val="es-ES"/>
        </w:rPr>
        <w:t>el Decreto 1</w:t>
      </w:r>
      <w:r w:rsidR="00CB79E0">
        <w:rPr>
          <w:rFonts w:ascii="Arial" w:eastAsia="Calibri" w:hAnsi="Arial" w:cs="Arial"/>
          <w:color w:val="000000" w:themeColor="text1"/>
          <w:sz w:val="22"/>
          <w:lang w:val="es-ES"/>
        </w:rPr>
        <w:t>082</w:t>
      </w:r>
      <w:r w:rsidR="00D30B36" w:rsidRPr="00386009">
        <w:rPr>
          <w:rFonts w:ascii="Arial" w:eastAsia="Calibri" w:hAnsi="Arial" w:cs="Arial"/>
          <w:color w:val="000000" w:themeColor="text1"/>
          <w:sz w:val="22"/>
          <w:lang w:val="es-ES"/>
        </w:rPr>
        <w:t xml:space="preserve"> de 201</w:t>
      </w:r>
      <w:r w:rsidR="00CB79E0">
        <w:rPr>
          <w:rFonts w:ascii="Arial" w:eastAsia="Calibri" w:hAnsi="Arial" w:cs="Arial"/>
          <w:color w:val="000000" w:themeColor="text1"/>
          <w:sz w:val="22"/>
          <w:lang w:val="es-ES"/>
        </w:rPr>
        <w:t>5</w:t>
      </w:r>
      <w:r w:rsidR="00D30B36" w:rsidRPr="00386009">
        <w:rPr>
          <w:rFonts w:ascii="Arial" w:eastAsia="Calibri" w:hAnsi="Arial" w:cs="Arial"/>
          <w:color w:val="000000" w:themeColor="text1"/>
          <w:sz w:val="22"/>
          <w:lang w:val="es-ES"/>
        </w:rPr>
        <w:t xml:space="preserve"> </w:t>
      </w:r>
      <w:r w:rsidRPr="00386009">
        <w:rPr>
          <w:rFonts w:ascii="Arial" w:eastAsia="Calibri" w:hAnsi="Arial" w:cs="Arial"/>
          <w:color w:val="000000" w:themeColor="text1"/>
          <w:sz w:val="22"/>
          <w:lang w:val="es-ES"/>
        </w:rPr>
        <w:t>dispone el cobro por «La no ampliación de la vigencia de la garantía de seriedad de la oferta cuando el plazo para la adjudicación o para suscribir el contrato es prorrogado, siempre que tal prórroga sea inferior a tres (3) meses», se entiende excluidas</w:t>
      </w:r>
      <w:r w:rsidR="006F4604" w:rsidRPr="00386009">
        <w:rPr>
          <w:rFonts w:ascii="Arial" w:eastAsia="Calibri" w:hAnsi="Arial" w:cs="Arial"/>
          <w:color w:val="000000" w:themeColor="text1"/>
          <w:sz w:val="22"/>
          <w:lang w:val="es-ES"/>
        </w:rPr>
        <w:t xml:space="preserve"> no solo</w:t>
      </w:r>
      <w:r w:rsidRPr="00386009">
        <w:rPr>
          <w:rFonts w:ascii="Arial" w:eastAsia="Calibri" w:hAnsi="Arial" w:cs="Arial"/>
          <w:color w:val="000000" w:themeColor="text1"/>
          <w:sz w:val="22"/>
          <w:lang w:val="es-ES"/>
        </w:rPr>
        <w:t xml:space="preserve"> las ampliaciones de otras etapas</w:t>
      </w:r>
      <w:r w:rsidR="00E71D0C" w:rsidRPr="00386009">
        <w:rPr>
          <w:rFonts w:ascii="Arial" w:eastAsia="Calibri" w:hAnsi="Arial" w:cs="Arial"/>
          <w:color w:val="000000" w:themeColor="text1"/>
          <w:sz w:val="22"/>
          <w:lang w:val="es-ES"/>
        </w:rPr>
        <w:t xml:space="preserve"> </w:t>
      </w:r>
      <w:r w:rsidRPr="00386009">
        <w:rPr>
          <w:rFonts w:ascii="Arial" w:eastAsia="Calibri" w:hAnsi="Arial" w:cs="Arial"/>
          <w:color w:val="000000" w:themeColor="text1"/>
          <w:sz w:val="22"/>
          <w:lang w:val="es-ES"/>
        </w:rPr>
        <w:t xml:space="preserve">–v. gr. la recepción de ofertas, la evaluación, la formulación de las observaciones al informe, etc.– sino también la suspensión del </w:t>
      </w:r>
      <w:r w:rsidR="00E71D0C" w:rsidRPr="00386009">
        <w:rPr>
          <w:rFonts w:ascii="Arial" w:eastAsia="Calibri" w:hAnsi="Arial" w:cs="Arial"/>
          <w:color w:val="000000" w:themeColor="text1"/>
          <w:sz w:val="22"/>
          <w:lang w:val="es-ES"/>
        </w:rPr>
        <w:t>procedimiento de selección</w:t>
      </w:r>
      <w:r w:rsidRPr="00386009">
        <w:rPr>
          <w:rFonts w:ascii="Arial" w:eastAsia="Calibri" w:hAnsi="Arial" w:cs="Arial"/>
          <w:color w:val="000000" w:themeColor="text1"/>
          <w:sz w:val="22"/>
          <w:lang w:val="es-ES"/>
        </w:rPr>
        <w:t>.</w:t>
      </w:r>
      <w:r w:rsidR="006F4604" w:rsidRPr="00386009">
        <w:rPr>
          <w:rFonts w:ascii="Arial" w:eastAsia="Calibri" w:hAnsi="Arial" w:cs="Arial"/>
          <w:color w:val="000000" w:themeColor="text1"/>
          <w:sz w:val="22"/>
          <w:lang w:val="es-ES"/>
        </w:rPr>
        <w:t xml:space="preserve"> </w:t>
      </w:r>
    </w:p>
    <w:p w14:paraId="49EF50DF" w14:textId="4612BF3B" w:rsidR="00FE11D2" w:rsidRDefault="00FE11D2">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La misma conclusión expresada hasta ahora aplica cuando la entidad amplía o prorroga una etapa del procedimiento de contratación distinta a la adjudicación o a la firma del contrato, por ejemplo, la presentación de las ofertas, la evaluación de las mismas</w:t>
      </w:r>
      <w:r w:rsidR="009131E1">
        <w:rPr>
          <w:rFonts w:ascii="Arial" w:eastAsia="Calibri" w:hAnsi="Arial" w:cs="Arial"/>
          <w:color w:val="000000" w:themeColor="text1"/>
          <w:sz w:val="22"/>
          <w:lang w:val="es-ES"/>
        </w:rPr>
        <w:t xml:space="preserve"> u otra cualquiera.</w:t>
      </w:r>
    </w:p>
    <w:p w14:paraId="3C02C487" w14:textId="5839CB3D" w:rsidR="00FD79E2" w:rsidRPr="00386009" w:rsidRDefault="006F4604">
      <w:pPr>
        <w:spacing w:after="120" w:line="276" w:lineRule="auto"/>
        <w:ind w:firstLine="708"/>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 xml:space="preserve">Lo anterior </w:t>
      </w:r>
      <w:r w:rsidR="009131E1">
        <w:rPr>
          <w:rFonts w:ascii="Arial" w:eastAsia="Calibri" w:hAnsi="Arial" w:cs="Arial"/>
          <w:color w:val="000000" w:themeColor="text1"/>
          <w:sz w:val="22"/>
          <w:lang w:val="es-ES"/>
        </w:rPr>
        <w:t>tampoco</w:t>
      </w:r>
      <w:r w:rsidRPr="00386009">
        <w:rPr>
          <w:rFonts w:ascii="Arial" w:eastAsia="Calibri" w:hAnsi="Arial" w:cs="Arial"/>
          <w:color w:val="000000" w:themeColor="text1"/>
          <w:sz w:val="22"/>
          <w:lang w:val="es-ES"/>
        </w:rPr>
        <w:t xml:space="preserve"> </w:t>
      </w:r>
      <w:r w:rsidR="003E75C3">
        <w:rPr>
          <w:rFonts w:ascii="Arial" w:eastAsia="Calibri" w:hAnsi="Arial" w:cs="Arial"/>
          <w:color w:val="000000" w:themeColor="text1"/>
          <w:sz w:val="22"/>
          <w:lang w:val="es-ES"/>
        </w:rPr>
        <w:t xml:space="preserve">impide </w:t>
      </w:r>
      <w:r w:rsidRPr="00386009">
        <w:rPr>
          <w:rFonts w:ascii="Arial" w:eastAsia="Calibri" w:hAnsi="Arial" w:cs="Arial"/>
          <w:color w:val="000000" w:themeColor="text1"/>
          <w:sz w:val="22"/>
          <w:lang w:val="es-ES"/>
        </w:rPr>
        <w:t xml:space="preserve">que </w:t>
      </w:r>
      <w:r w:rsidR="003E75C3">
        <w:rPr>
          <w:rFonts w:ascii="Arial" w:eastAsia="Calibri" w:hAnsi="Arial" w:cs="Arial"/>
          <w:color w:val="000000" w:themeColor="text1"/>
          <w:sz w:val="22"/>
          <w:lang w:val="es-ES"/>
        </w:rPr>
        <w:t xml:space="preserve">durante </w:t>
      </w:r>
      <w:r w:rsidR="009131E1">
        <w:rPr>
          <w:rFonts w:ascii="Arial" w:eastAsia="Calibri" w:hAnsi="Arial" w:cs="Arial"/>
          <w:color w:val="000000" w:themeColor="text1"/>
          <w:sz w:val="22"/>
          <w:lang w:val="es-ES"/>
        </w:rPr>
        <w:t>l</w:t>
      </w:r>
      <w:r w:rsidR="003E75C3">
        <w:rPr>
          <w:rFonts w:ascii="Arial" w:eastAsia="Calibri" w:hAnsi="Arial" w:cs="Arial"/>
          <w:color w:val="000000" w:themeColor="text1"/>
          <w:sz w:val="22"/>
          <w:lang w:val="es-ES"/>
        </w:rPr>
        <w:t>a «</w:t>
      </w:r>
      <w:r w:rsidR="003E75C3" w:rsidRPr="00386009">
        <w:rPr>
          <w:rFonts w:ascii="Arial" w:eastAsia="Calibri" w:hAnsi="Arial" w:cs="Arial"/>
          <w:color w:val="000000" w:themeColor="text1"/>
          <w:sz w:val="22"/>
          <w:lang w:val="es-ES"/>
        </w:rPr>
        <w:t>suspensión</w:t>
      </w:r>
      <w:r w:rsidR="003E75C3">
        <w:rPr>
          <w:rFonts w:ascii="Arial" w:eastAsia="Calibri" w:hAnsi="Arial" w:cs="Arial"/>
          <w:color w:val="000000" w:themeColor="text1"/>
          <w:sz w:val="22"/>
          <w:lang w:val="es-ES"/>
        </w:rPr>
        <w:t>»</w:t>
      </w:r>
      <w:r w:rsidR="003E75C3" w:rsidRPr="00386009">
        <w:rPr>
          <w:rFonts w:ascii="Arial" w:eastAsia="Calibri" w:hAnsi="Arial" w:cs="Arial"/>
          <w:color w:val="000000" w:themeColor="text1"/>
          <w:sz w:val="22"/>
          <w:lang w:val="es-ES"/>
        </w:rPr>
        <w:t xml:space="preserve"> </w:t>
      </w:r>
      <w:r w:rsidR="009131E1">
        <w:rPr>
          <w:rFonts w:ascii="Arial" w:eastAsia="Calibri" w:hAnsi="Arial" w:cs="Arial"/>
          <w:color w:val="000000" w:themeColor="text1"/>
          <w:sz w:val="22"/>
          <w:lang w:val="es-ES"/>
        </w:rPr>
        <w:t xml:space="preserve">o durante la ampliación de una etapa diferente, </w:t>
      </w:r>
      <w:r w:rsidRPr="00386009">
        <w:rPr>
          <w:rFonts w:ascii="Arial" w:eastAsia="Calibri" w:hAnsi="Arial" w:cs="Arial"/>
          <w:color w:val="000000" w:themeColor="text1"/>
          <w:sz w:val="22"/>
          <w:lang w:val="es-ES"/>
        </w:rPr>
        <w:t xml:space="preserve">la entidad solicite </w:t>
      </w:r>
      <w:r w:rsidR="003E75C3">
        <w:rPr>
          <w:rFonts w:ascii="Arial" w:eastAsia="Calibri" w:hAnsi="Arial" w:cs="Arial"/>
          <w:color w:val="000000" w:themeColor="text1"/>
          <w:sz w:val="22"/>
          <w:lang w:val="es-ES"/>
        </w:rPr>
        <w:t xml:space="preserve">al </w:t>
      </w:r>
      <w:r w:rsidR="009131E1">
        <w:rPr>
          <w:rFonts w:ascii="Arial" w:eastAsia="Calibri" w:hAnsi="Arial" w:cs="Arial"/>
          <w:color w:val="000000" w:themeColor="text1"/>
          <w:sz w:val="22"/>
          <w:lang w:val="es-ES"/>
        </w:rPr>
        <w:t>proponente</w:t>
      </w:r>
      <w:r w:rsidR="003E75C3">
        <w:rPr>
          <w:rFonts w:ascii="Arial" w:eastAsia="Calibri" w:hAnsi="Arial" w:cs="Arial"/>
          <w:color w:val="000000" w:themeColor="text1"/>
          <w:sz w:val="22"/>
          <w:lang w:val="es-ES"/>
        </w:rPr>
        <w:t xml:space="preserve"> </w:t>
      </w:r>
      <w:r w:rsidRPr="00386009">
        <w:rPr>
          <w:rFonts w:ascii="Arial" w:eastAsia="Calibri" w:hAnsi="Arial" w:cs="Arial"/>
          <w:color w:val="000000" w:themeColor="text1"/>
          <w:sz w:val="22"/>
          <w:lang w:val="es-ES"/>
        </w:rPr>
        <w:t>la ampliación de la garantía de seriedad</w:t>
      </w:r>
      <w:r w:rsidR="00FC0BD1" w:rsidRPr="00386009">
        <w:rPr>
          <w:rFonts w:ascii="Arial" w:eastAsia="Calibri" w:hAnsi="Arial" w:cs="Arial"/>
          <w:color w:val="000000" w:themeColor="text1"/>
          <w:sz w:val="22"/>
          <w:lang w:val="es-ES"/>
        </w:rPr>
        <w:t xml:space="preserve">; pero </w:t>
      </w:r>
      <w:r w:rsidRPr="00386009">
        <w:rPr>
          <w:rFonts w:ascii="Arial" w:eastAsia="Calibri" w:hAnsi="Arial" w:cs="Arial"/>
          <w:color w:val="000000" w:themeColor="text1"/>
          <w:sz w:val="22"/>
          <w:lang w:val="es-ES"/>
        </w:rPr>
        <w:t>como esta</w:t>
      </w:r>
      <w:r w:rsidR="009131E1">
        <w:rPr>
          <w:rFonts w:ascii="Arial" w:eastAsia="Calibri" w:hAnsi="Arial" w:cs="Arial"/>
          <w:color w:val="000000" w:themeColor="text1"/>
          <w:sz w:val="22"/>
          <w:lang w:val="es-ES"/>
        </w:rPr>
        <w:t>s</w:t>
      </w:r>
      <w:r w:rsidRPr="00386009">
        <w:rPr>
          <w:rFonts w:ascii="Arial" w:eastAsia="Calibri" w:hAnsi="Arial" w:cs="Arial"/>
          <w:color w:val="000000" w:themeColor="text1"/>
          <w:sz w:val="22"/>
          <w:lang w:val="es-ES"/>
        </w:rPr>
        <w:t xml:space="preserve"> hipótesis no está</w:t>
      </w:r>
      <w:r w:rsidR="009131E1">
        <w:rPr>
          <w:rFonts w:ascii="Arial" w:eastAsia="Calibri" w:hAnsi="Arial" w:cs="Arial"/>
          <w:color w:val="000000" w:themeColor="text1"/>
          <w:sz w:val="22"/>
          <w:lang w:val="es-ES"/>
        </w:rPr>
        <w:t>n</w:t>
      </w:r>
      <w:r w:rsidRPr="00386009">
        <w:rPr>
          <w:rFonts w:ascii="Arial" w:eastAsia="Calibri" w:hAnsi="Arial" w:cs="Arial"/>
          <w:color w:val="000000" w:themeColor="text1"/>
          <w:sz w:val="22"/>
          <w:lang w:val="es-ES"/>
        </w:rPr>
        <w:t xml:space="preserve"> prevista</w:t>
      </w:r>
      <w:r w:rsidR="009131E1">
        <w:rPr>
          <w:rFonts w:ascii="Arial" w:eastAsia="Calibri" w:hAnsi="Arial" w:cs="Arial"/>
          <w:color w:val="000000" w:themeColor="text1"/>
          <w:sz w:val="22"/>
          <w:lang w:val="es-ES"/>
        </w:rPr>
        <w:t>s</w:t>
      </w:r>
      <w:r w:rsidR="00FC0BD1" w:rsidRPr="00386009">
        <w:rPr>
          <w:rFonts w:ascii="Arial" w:eastAsia="Calibri" w:hAnsi="Arial" w:cs="Arial"/>
          <w:color w:val="000000" w:themeColor="text1"/>
          <w:sz w:val="22"/>
          <w:lang w:val="es-ES"/>
        </w:rPr>
        <w:t xml:space="preserve"> en</w:t>
      </w:r>
      <w:r w:rsidRPr="00386009">
        <w:rPr>
          <w:rFonts w:ascii="Arial" w:eastAsia="Calibri" w:hAnsi="Arial" w:cs="Arial"/>
          <w:color w:val="000000" w:themeColor="text1"/>
          <w:sz w:val="22"/>
          <w:lang w:val="es-ES"/>
        </w:rPr>
        <w:t xml:space="preserve"> </w:t>
      </w:r>
      <w:r w:rsidR="00D30B36" w:rsidRPr="00386009">
        <w:rPr>
          <w:rFonts w:ascii="Arial" w:eastAsia="Calibri" w:hAnsi="Arial" w:cs="Arial"/>
          <w:color w:val="000000" w:themeColor="text1"/>
          <w:sz w:val="22"/>
          <w:lang w:val="es-ES"/>
        </w:rPr>
        <w:t>la norma citada</w:t>
      </w:r>
      <w:r w:rsidRPr="00386009">
        <w:rPr>
          <w:rFonts w:ascii="Arial" w:eastAsia="Calibri" w:hAnsi="Arial" w:cs="Arial"/>
          <w:color w:val="000000" w:themeColor="text1"/>
          <w:sz w:val="22"/>
          <w:lang w:val="es-ES"/>
        </w:rPr>
        <w:t>, el proponente no está obligado a atender el requerimiento</w:t>
      </w:r>
      <w:r w:rsidR="006F0B2D" w:rsidRPr="00386009">
        <w:rPr>
          <w:rFonts w:ascii="Arial" w:eastAsia="Calibri" w:hAnsi="Arial" w:cs="Arial"/>
          <w:color w:val="000000" w:themeColor="text1"/>
          <w:sz w:val="22"/>
          <w:lang w:val="es-ES"/>
        </w:rPr>
        <w:t>,</w:t>
      </w:r>
      <w:r w:rsidR="00891710" w:rsidRPr="00386009">
        <w:rPr>
          <w:rFonts w:ascii="Arial" w:eastAsia="Calibri" w:hAnsi="Arial" w:cs="Arial"/>
          <w:color w:val="000000" w:themeColor="text1"/>
          <w:sz w:val="22"/>
          <w:lang w:val="es-ES"/>
        </w:rPr>
        <w:t xml:space="preserve"> especialmente</w:t>
      </w:r>
      <w:r w:rsidR="006F0B2D" w:rsidRPr="00386009">
        <w:rPr>
          <w:rFonts w:ascii="Arial" w:eastAsia="Calibri" w:hAnsi="Arial" w:cs="Arial"/>
          <w:color w:val="000000" w:themeColor="text1"/>
          <w:sz w:val="22"/>
          <w:lang w:val="es-ES"/>
        </w:rPr>
        <w:t xml:space="preserve"> cuando la</w:t>
      </w:r>
      <w:r w:rsidR="00672331" w:rsidRPr="00386009">
        <w:rPr>
          <w:rFonts w:ascii="Arial" w:eastAsia="Calibri" w:hAnsi="Arial" w:cs="Arial"/>
          <w:color w:val="000000" w:themeColor="text1"/>
          <w:sz w:val="22"/>
          <w:lang w:val="es-ES"/>
        </w:rPr>
        <w:t xml:space="preserve"> autoridad carecería de </w:t>
      </w:r>
      <w:r w:rsidR="006F0B2D" w:rsidRPr="00386009">
        <w:rPr>
          <w:rFonts w:ascii="Arial" w:eastAsia="Calibri" w:hAnsi="Arial" w:cs="Arial"/>
          <w:color w:val="000000" w:themeColor="text1"/>
          <w:sz w:val="22"/>
          <w:lang w:val="es-ES"/>
        </w:rPr>
        <w:t xml:space="preserve">competencia para </w:t>
      </w:r>
      <w:r w:rsidR="00672331" w:rsidRPr="00386009">
        <w:rPr>
          <w:rFonts w:ascii="Arial" w:eastAsia="Calibri" w:hAnsi="Arial" w:cs="Arial"/>
          <w:color w:val="000000" w:themeColor="text1"/>
          <w:sz w:val="22"/>
          <w:lang w:val="es-ES"/>
        </w:rPr>
        <w:t>imponer</w:t>
      </w:r>
      <w:r w:rsidR="006F0B2D" w:rsidRPr="00386009">
        <w:rPr>
          <w:rFonts w:ascii="Arial" w:eastAsia="Calibri" w:hAnsi="Arial" w:cs="Arial"/>
          <w:color w:val="000000" w:themeColor="text1"/>
          <w:sz w:val="22"/>
          <w:lang w:val="es-ES"/>
        </w:rPr>
        <w:t xml:space="preserve"> la sanción</w:t>
      </w:r>
      <w:r w:rsidR="00FC0BD1" w:rsidRPr="00386009">
        <w:rPr>
          <w:rFonts w:ascii="Arial" w:eastAsia="Calibri" w:hAnsi="Arial" w:cs="Arial"/>
          <w:color w:val="000000" w:themeColor="text1"/>
          <w:sz w:val="22"/>
          <w:lang w:val="es-ES"/>
        </w:rPr>
        <w:t>. En todo caso,</w:t>
      </w:r>
      <w:r w:rsidR="00672331" w:rsidRPr="00386009">
        <w:rPr>
          <w:rFonts w:ascii="Arial" w:eastAsia="Calibri" w:hAnsi="Arial" w:cs="Arial"/>
          <w:color w:val="000000" w:themeColor="text1"/>
          <w:sz w:val="22"/>
          <w:lang w:val="es-ES"/>
        </w:rPr>
        <w:t xml:space="preserve"> si así lo desea, </w:t>
      </w:r>
      <w:r w:rsidR="003E75C3">
        <w:rPr>
          <w:rFonts w:ascii="Arial" w:eastAsia="Calibri" w:hAnsi="Arial" w:cs="Arial"/>
          <w:color w:val="000000" w:themeColor="text1"/>
          <w:sz w:val="22"/>
          <w:lang w:val="es-ES"/>
        </w:rPr>
        <w:t xml:space="preserve">si voluntariamente accede a la solicitud, </w:t>
      </w:r>
      <w:r w:rsidR="00672331" w:rsidRPr="00386009">
        <w:rPr>
          <w:rFonts w:ascii="Arial" w:eastAsia="Calibri" w:hAnsi="Arial" w:cs="Arial"/>
          <w:color w:val="000000" w:themeColor="text1"/>
          <w:sz w:val="22"/>
          <w:lang w:val="es-ES"/>
        </w:rPr>
        <w:t>el oferente</w:t>
      </w:r>
      <w:r w:rsidR="00867968" w:rsidRPr="00386009">
        <w:rPr>
          <w:rFonts w:ascii="Arial" w:eastAsia="Calibri" w:hAnsi="Arial" w:cs="Arial"/>
          <w:color w:val="000000" w:themeColor="text1"/>
          <w:sz w:val="22"/>
          <w:lang w:val="es-ES"/>
        </w:rPr>
        <w:t xml:space="preserve"> p</w:t>
      </w:r>
      <w:r w:rsidR="003E75C3">
        <w:rPr>
          <w:rFonts w:ascii="Arial" w:eastAsia="Calibri" w:hAnsi="Arial" w:cs="Arial"/>
          <w:color w:val="000000" w:themeColor="text1"/>
          <w:sz w:val="22"/>
          <w:lang w:val="es-ES"/>
        </w:rPr>
        <w:t>uede ampliar la póliza</w:t>
      </w:r>
      <w:bookmarkEnd w:id="16"/>
      <w:r w:rsidR="009131E1">
        <w:rPr>
          <w:rFonts w:ascii="Arial" w:eastAsia="Calibri" w:hAnsi="Arial" w:cs="Arial"/>
          <w:color w:val="000000" w:themeColor="text1"/>
          <w:sz w:val="22"/>
          <w:lang w:val="es-ES"/>
        </w:rPr>
        <w:t>, extendiéndose automáticamente la seriedad de las condiciones de su oferta.</w:t>
      </w:r>
      <w:r w:rsidR="00D30B36" w:rsidRPr="00386009">
        <w:rPr>
          <w:rFonts w:ascii="Arial" w:eastAsia="Calibri" w:hAnsi="Arial" w:cs="Arial"/>
          <w:color w:val="000000" w:themeColor="text1"/>
          <w:sz w:val="22"/>
          <w:lang w:val="es-ES"/>
        </w:rPr>
        <w:t xml:space="preserve"> </w:t>
      </w:r>
    </w:p>
    <w:p w14:paraId="74E93548" w14:textId="00247C09" w:rsidR="000B0BA3" w:rsidRPr="00386009" w:rsidRDefault="009E41F9" w:rsidP="0020040A">
      <w:pPr>
        <w:spacing w:after="120" w:line="276" w:lineRule="auto"/>
        <w:ind w:firstLine="708"/>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En este contexto</w:t>
      </w:r>
      <w:r w:rsidR="00FC0BD1" w:rsidRPr="00386009">
        <w:rPr>
          <w:rFonts w:ascii="Arial" w:eastAsia="Calibri" w:hAnsi="Arial" w:cs="Arial"/>
          <w:color w:val="000000" w:themeColor="text1"/>
          <w:sz w:val="22"/>
          <w:lang w:val="es-ES"/>
        </w:rPr>
        <w:t xml:space="preserve">, </w:t>
      </w:r>
      <w:r w:rsidR="009131E1">
        <w:rPr>
          <w:rFonts w:ascii="Arial" w:eastAsia="Calibri" w:hAnsi="Arial" w:cs="Arial"/>
          <w:color w:val="000000" w:themeColor="text1"/>
          <w:sz w:val="22"/>
          <w:lang w:val="es-ES"/>
        </w:rPr>
        <w:t>se</w:t>
      </w:r>
      <w:r w:rsidR="00FC0BD1" w:rsidRPr="00386009">
        <w:rPr>
          <w:rFonts w:ascii="Arial" w:eastAsia="Calibri" w:hAnsi="Arial" w:cs="Arial"/>
          <w:color w:val="000000" w:themeColor="text1"/>
          <w:sz w:val="22"/>
          <w:lang w:val="es-ES"/>
        </w:rPr>
        <w:t xml:space="preserve"> </w:t>
      </w:r>
      <w:r w:rsidR="00CB614F" w:rsidRPr="00386009">
        <w:rPr>
          <w:rFonts w:ascii="Arial" w:eastAsia="Calibri" w:hAnsi="Arial" w:cs="Arial"/>
          <w:color w:val="000000" w:themeColor="text1"/>
          <w:sz w:val="22"/>
          <w:lang w:val="es-ES"/>
        </w:rPr>
        <w:t>precisa</w:t>
      </w:r>
      <w:r w:rsidR="009131E1">
        <w:rPr>
          <w:rFonts w:ascii="Arial" w:eastAsia="Calibri" w:hAnsi="Arial" w:cs="Arial"/>
          <w:color w:val="000000" w:themeColor="text1"/>
          <w:sz w:val="22"/>
          <w:lang w:val="es-ES"/>
        </w:rPr>
        <w:t>n</w:t>
      </w:r>
      <w:r w:rsidR="00CB614F" w:rsidRPr="00386009">
        <w:rPr>
          <w:rFonts w:ascii="Arial" w:eastAsia="Calibri" w:hAnsi="Arial" w:cs="Arial"/>
          <w:color w:val="000000" w:themeColor="text1"/>
          <w:sz w:val="22"/>
          <w:lang w:val="es-ES"/>
        </w:rPr>
        <w:t xml:space="preserve"> dos (2) </w:t>
      </w:r>
      <w:r w:rsidR="003E75C3">
        <w:rPr>
          <w:rFonts w:ascii="Arial" w:eastAsia="Calibri" w:hAnsi="Arial" w:cs="Arial"/>
          <w:color w:val="000000" w:themeColor="text1"/>
          <w:sz w:val="22"/>
          <w:lang w:val="es-ES"/>
        </w:rPr>
        <w:t>aspectos</w:t>
      </w:r>
      <w:r w:rsidRPr="00386009">
        <w:rPr>
          <w:rFonts w:ascii="Arial" w:eastAsia="Calibri" w:hAnsi="Arial" w:cs="Arial"/>
          <w:color w:val="000000" w:themeColor="text1"/>
          <w:sz w:val="22"/>
          <w:lang w:val="es-ES"/>
        </w:rPr>
        <w:t xml:space="preserve"> adicionales</w:t>
      </w:r>
      <w:r w:rsidR="00FC0BD1" w:rsidRPr="00386009">
        <w:rPr>
          <w:rFonts w:ascii="Arial" w:eastAsia="Calibri" w:hAnsi="Arial" w:cs="Arial"/>
          <w:color w:val="000000" w:themeColor="text1"/>
          <w:sz w:val="22"/>
          <w:lang w:val="es-ES"/>
        </w:rPr>
        <w:t>:</w:t>
      </w:r>
      <w:r w:rsidR="00A0528D" w:rsidRPr="00386009">
        <w:rPr>
          <w:rFonts w:ascii="Arial" w:eastAsia="Calibri" w:hAnsi="Arial" w:cs="Arial"/>
          <w:color w:val="000000" w:themeColor="text1"/>
          <w:sz w:val="22"/>
          <w:lang w:val="es-ES"/>
        </w:rPr>
        <w:t xml:space="preserve"> </w:t>
      </w:r>
      <w:r w:rsidRPr="00386009">
        <w:rPr>
          <w:rFonts w:ascii="Arial" w:eastAsia="Calibri" w:hAnsi="Arial" w:cs="Arial"/>
          <w:color w:val="000000" w:themeColor="text1"/>
          <w:sz w:val="22"/>
          <w:lang w:val="es-ES"/>
        </w:rPr>
        <w:t>i</w:t>
      </w:r>
      <w:r w:rsidR="004C1092" w:rsidRPr="00386009">
        <w:rPr>
          <w:rFonts w:ascii="Arial" w:eastAsia="Calibri" w:hAnsi="Arial" w:cs="Arial"/>
          <w:color w:val="000000" w:themeColor="text1"/>
          <w:sz w:val="22"/>
          <w:lang w:val="es-ES"/>
        </w:rPr>
        <w:t xml:space="preserve">) </w:t>
      </w:r>
      <w:r w:rsidR="00A0528D" w:rsidRPr="00386009">
        <w:rPr>
          <w:rFonts w:ascii="Arial" w:eastAsia="Calibri" w:hAnsi="Arial" w:cs="Arial"/>
          <w:color w:val="000000" w:themeColor="text1"/>
          <w:sz w:val="22"/>
          <w:lang w:val="es-ES"/>
        </w:rPr>
        <w:t xml:space="preserve">si el proponente no </w:t>
      </w:r>
      <w:r w:rsidRPr="00386009">
        <w:rPr>
          <w:rFonts w:ascii="Arial" w:eastAsia="Calibri" w:hAnsi="Arial" w:cs="Arial"/>
          <w:color w:val="000000" w:themeColor="text1"/>
          <w:sz w:val="22"/>
          <w:lang w:val="es-ES"/>
        </w:rPr>
        <w:t>atiende el requerimiento de la entidad,</w:t>
      </w:r>
      <w:r w:rsidR="004C1092" w:rsidRPr="00386009">
        <w:rPr>
          <w:rFonts w:ascii="Arial" w:eastAsia="Calibri" w:hAnsi="Arial" w:cs="Arial"/>
          <w:color w:val="000000" w:themeColor="text1"/>
          <w:sz w:val="22"/>
          <w:lang w:val="es-ES"/>
        </w:rPr>
        <w:t xml:space="preserve"> no es posible rechazar la oferta</w:t>
      </w:r>
      <w:r w:rsidR="006706A7" w:rsidRPr="00386009">
        <w:rPr>
          <w:rFonts w:ascii="Arial" w:eastAsia="Calibri" w:hAnsi="Arial" w:cs="Arial"/>
          <w:color w:val="000000" w:themeColor="text1"/>
          <w:sz w:val="22"/>
          <w:lang w:val="es-ES"/>
        </w:rPr>
        <w:t>; y</w:t>
      </w:r>
      <w:r w:rsidRPr="00386009">
        <w:rPr>
          <w:rFonts w:ascii="Arial" w:eastAsia="Calibri" w:hAnsi="Arial" w:cs="Arial"/>
          <w:color w:val="000000" w:themeColor="text1"/>
          <w:sz w:val="22"/>
          <w:lang w:val="es-ES"/>
        </w:rPr>
        <w:t xml:space="preserve"> ii) </w:t>
      </w:r>
      <w:r w:rsidR="004C1092" w:rsidRPr="00386009">
        <w:rPr>
          <w:rFonts w:ascii="Arial" w:eastAsia="Calibri" w:hAnsi="Arial" w:cs="Arial"/>
          <w:color w:val="000000" w:themeColor="text1"/>
          <w:sz w:val="22"/>
          <w:lang w:val="es-ES"/>
        </w:rPr>
        <w:t>la ampliación de la garantía no es una forma de subsanar</w:t>
      </w:r>
      <w:r w:rsidR="00CA6808" w:rsidRPr="00386009">
        <w:rPr>
          <w:rFonts w:ascii="Arial" w:eastAsia="Calibri" w:hAnsi="Arial" w:cs="Arial"/>
          <w:color w:val="000000" w:themeColor="text1"/>
          <w:sz w:val="22"/>
          <w:lang w:val="es-ES"/>
        </w:rPr>
        <w:t>la</w:t>
      </w:r>
      <w:r w:rsidR="004C1092" w:rsidRPr="00386009">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w:t>
      </w:r>
      <w:r w:rsidR="003E75C3">
        <w:rPr>
          <w:rFonts w:ascii="Arial" w:eastAsia="Calibri" w:hAnsi="Arial" w:cs="Arial"/>
          <w:color w:val="000000" w:themeColor="text1"/>
          <w:sz w:val="22"/>
          <w:lang w:val="es-ES"/>
        </w:rPr>
        <w:t>E</w:t>
      </w:r>
      <w:r w:rsidR="009C73A8" w:rsidRPr="00386009">
        <w:rPr>
          <w:rFonts w:ascii="Arial" w:eastAsia="Calibri" w:hAnsi="Arial" w:cs="Arial"/>
          <w:color w:val="000000" w:themeColor="text1"/>
          <w:sz w:val="22"/>
          <w:lang w:val="es-ES"/>
        </w:rPr>
        <w:t xml:space="preserve">s necesario considerar que </w:t>
      </w:r>
      <w:r w:rsidR="000F02F1" w:rsidRPr="00386009">
        <w:rPr>
          <w:rFonts w:ascii="Arial" w:eastAsia="Calibri" w:hAnsi="Arial" w:cs="Arial"/>
          <w:color w:val="000000" w:themeColor="text1"/>
          <w:sz w:val="22"/>
          <w:lang w:val="es-ES"/>
        </w:rPr>
        <w:t xml:space="preserve">las causales de rechazo de la oferta </w:t>
      </w:r>
      <w:r w:rsidR="00CA6808" w:rsidRPr="00386009">
        <w:rPr>
          <w:rFonts w:ascii="Arial" w:eastAsia="Calibri" w:hAnsi="Arial" w:cs="Arial"/>
          <w:color w:val="000000" w:themeColor="text1"/>
          <w:sz w:val="22"/>
          <w:lang w:val="es-ES"/>
        </w:rPr>
        <w:t>se fundamentan</w:t>
      </w:r>
      <w:r w:rsidR="000F02F1" w:rsidRPr="00386009">
        <w:rPr>
          <w:rFonts w:ascii="Arial" w:eastAsia="Calibri" w:hAnsi="Arial" w:cs="Arial"/>
          <w:color w:val="000000" w:themeColor="text1"/>
          <w:sz w:val="22"/>
          <w:lang w:val="es-ES"/>
        </w:rPr>
        <w:t xml:space="preserve"> directamente </w:t>
      </w:r>
      <w:r w:rsidR="00CA6808" w:rsidRPr="00386009">
        <w:rPr>
          <w:rFonts w:ascii="Arial" w:eastAsia="Calibri" w:hAnsi="Arial" w:cs="Arial"/>
          <w:color w:val="000000" w:themeColor="text1"/>
          <w:sz w:val="22"/>
          <w:lang w:val="es-ES"/>
        </w:rPr>
        <w:t>en</w:t>
      </w:r>
      <w:r w:rsidR="000F02F1" w:rsidRPr="00386009">
        <w:rPr>
          <w:rFonts w:ascii="Arial" w:eastAsia="Calibri" w:hAnsi="Arial" w:cs="Arial"/>
          <w:color w:val="000000" w:themeColor="text1"/>
          <w:sz w:val="22"/>
          <w:lang w:val="es-ES"/>
        </w:rPr>
        <w:t xml:space="preserve"> la ley o </w:t>
      </w:r>
      <w:r w:rsidR="00CA6808" w:rsidRPr="00386009">
        <w:rPr>
          <w:rFonts w:ascii="Arial" w:eastAsia="Calibri" w:hAnsi="Arial" w:cs="Arial"/>
          <w:color w:val="000000" w:themeColor="text1"/>
          <w:sz w:val="22"/>
          <w:lang w:val="es-ES"/>
        </w:rPr>
        <w:t xml:space="preserve">en </w:t>
      </w:r>
      <w:r w:rsidR="000F02F1" w:rsidRPr="00386009">
        <w:rPr>
          <w:rFonts w:ascii="Arial" w:eastAsia="Calibri" w:hAnsi="Arial" w:cs="Arial"/>
          <w:color w:val="000000" w:themeColor="text1"/>
          <w:sz w:val="22"/>
          <w:lang w:val="es-ES"/>
        </w:rPr>
        <w:t>el pliego de condiciones, pero en uno y en otro caso guardan relación con defectos, omisiones o circunstancias impeditivas que permitan deducir que la misma no resulta favorable para los intereses de la entidad, en los términos del inciso 1 del artículo 5 de la Ley 1150 de 2007</w:t>
      </w:r>
      <w:r w:rsidR="000F02F1" w:rsidRPr="00386009">
        <w:rPr>
          <w:rStyle w:val="Refdenotaalpie"/>
          <w:rFonts w:ascii="Arial" w:eastAsia="Calibri" w:hAnsi="Arial" w:cs="Arial"/>
          <w:color w:val="000000" w:themeColor="text1"/>
          <w:sz w:val="22"/>
          <w:lang w:val="es-ES"/>
        </w:rPr>
        <w:footnoteReference w:id="14"/>
      </w:r>
      <w:r w:rsidR="004B6C07" w:rsidRPr="00386009">
        <w:rPr>
          <w:rFonts w:ascii="Arial" w:eastAsia="Calibri" w:hAnsi="Arial" w:cs="Arial"/>
          <w:color w:val="000000" w:themeColor="text1"/>
          <w:sz w:val="22"/>
          <w:lang w:val="es-ES"/>
        </w:rPr>
        <w:t xml:space="preserve">. </w:t>
      </w:r>
      <w:r w:rsidR="003C5620" w:rsidRPr="00386009">
        <w:rPr>
          <w:rFonts w:ascii="Arial" w:eastAsia="Calibri" w:hAnsi="Arial" w:cs="Arial"/>
          <w:color w:val="000000" w:themeColor="text1"/>
          <w:sz w:val="22"/>
          <w:lang w:val="es-ES"/>
        </w:rPr>
        <w:lastRenderedPageBreak/>
        <w:t>En esta medida, la entidad no puede rechazar la oferta del proponente que reúsa ampliar la garantía de seriedad frente a la suspensión del procedimiento</w:t>
      </w:r>
      <w:r w:rsidR="002E101F" w:rsidRPr="00386009">
        <w:rPr>
          <w:rFonts w:ascii="Arial" w:eastAsia="Calibri" w:hAnsi="Arial" w:cs="Arial"/>
          <w:color w:val="000000" w:themeColor="text1"/>
          <w:sz w:val="22"/>
          <w:lang w:val="es-ES"/>
        </w:rPr>
        <w:t xml:space="preserve">, ya que este aspecto no incide en la comparación de los económicos y técnicos, y porque la suspensión –como se explicó anteriormente– no es una causa que obligue al proponente a atender el requerimiento de la entidad. </w:t>
      </w:r>
    </w:p>
    <w:p w14:paraId="52666267" w14:textId="13DABAC0" w:rsidR="00C55891" w:rsidRPr="00386009" w:rsidRDefault="002E5783" w:rsidP="0020040A">
      <w:pPr>
        <w:spacing w:after="120" w:line="276" w:lineRule="auto"/>
        <w:ind w:firstLine="708"/>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T</w:t>
      </w:r>
      <w:r w:rsidR="0020040A" w:rsidRPr="00386009">
        <w:rPr>
          <w:rFonts w:ascii="Arial" w:eastAsia="Calibri" w:hAnsi="Arial" w:cs="Arial"/>
          <w:color w:val="000000" w:themeColor="text1"/>
          <w:sz w:val="22"/>
          <w:lang w:val="es-ES"/>
        </w:rPr>
        <w:t xml:space="preserve">ratándose de la garantía </w:t>
      </w:r>
      <w:r w:rsidR="00965F93" w:rsidRPr="00386009">
        <w:rPr>
          <w:rFonts w:ascii="Arial" w:eastAsia="Calibri" w:hAnsi="Arial" w:cs="Arial"/>
          <w:color w:val="000000" w:themeColor="text1"/>
          <w:sz w:val="22"/>
          <w:lang w:val="es-ES"/>
        </w:rPr>
        <w:t>precontractual</w:t>
      </w:r>
      <w:r w:rsidR="0020040A" w:rsidRPr="00386009">
        <w:rPr>
          <w:rFonts w:ascii="Arial" w:eastAsia="Calibri" w:hAnsi="Arial" w:cs="Arial"/>
          <w:color w:val="000000" w:themeColor="text1"/>
          <w:sz w:val="22"/>
          <w:lang w:val="es-ES"/>
        </w:rPr>
        <w:t xml:space="preserve">, el rechazo de la propuesta procede </w:t>
      </w:r>
      <w:r w:rsidR="00965F93" w:rsidRPr="00386009">
        <w:rPr>
          <w:rFonts w:ascii="Arial" w:eastAsia="Calibri" w:hAnsi="Arial" w:cs="Arial"/>
          <w:color w:val="000000" w:themeColor="text1"/>
          <w:sz w:val="22"/>
          <w:lang w:val="es-ES"/>
        </w:rPr>
        <w:t>bajo los siguientes supuestos:</w:t>
      </w:r>
      <w:r w:rsidR="0020040A" w:rsidRPr="00386009">
        <w:rPr>
          <w:rFonts w:ascii="Arial" w:eastAsia="Calibri" w:hAnsi="Arial" w:cs="Arial"/>
          <w:color w:val="000000" w:themeColor="text1"/>
          <w:sz w:val="22"/>
          <w:lang w:val="es-ES"/>
        </w:rPr>
        <w:t xml:space="preserve"> </w:t>
      </w:r>
      <w:r w:rsidR="00965F93" w:rsidRPr="00386009">
        <w:rPr>
          <w:rFonts w:ascii="Arial" w:eastAsia="Calibri" w:hAnsi="Arial" w:cs="Arial"/>
          <w:color w:val="000000" w:themeColor="text1"/>
          <w:sz w:val="22"/>
          <w:lang w:val="es-ES"/>
        </w:rPr>
        <w:t xml:space="preserve">i) por no entregarla al cierre del procedimiento de selección y ii) por no subsanar los defectos en su constitución en los términos establecidos en la ley. La primera hipótesis está prevista en el artículo </w:t>
      </w:r>
      <w:r w:rsidR="00235491" w:rsidRPr="00386009">
        <w:rPr>
          <w:rFonts w:ascii="Arial" w:eastAsia="Calibri" w:hAnsi="Arial" w:cs="Arial"/>
          <w:color w:val="000000" w:themeColor="text1"/>
          <w:sz w:val="22"/>
          <w:lang w:val="es-ES"/>
        </w:rPr>
        <w:t>5, parágrafo 3, de la Ley 1150 de 2007, adicionado por el artículo 5 de la Ley 1882 de 2018, pues dispone que «La no entrega de la garantía de seriedad junto con la propuesta no será subsanable y será causal de rechazo de la misma». Por su parte, el segundo even</w:t>
      </w:r>
      <w:r w:rsidR="00C55891" w:rsidRPr="00386009">
        <w:rPr>
          <w:rFonts w:ascii="Arial" w:eastAsia="Calibri" w:hAnsi="Arial" w:cs="Arial"/>
          <w:color w:val="000000" w:themeColor="text1"/>
          <w:sz w:val="22"/>
          <w:lang w:val="es-ES"/>
        </w:rPr>
        <w:t xml:space="preserve">to se fundamenta en el parágrafo 1 del artículo 5 de la Ley 1150 de 2007, modificado por el artículo 5 de la Ley 1882 de 2018, en el sentido que los requisitos habilitantes, </w:t>
      </w:r>
      <w:r w:rsidR="005529C5" w:rsidRPr="00386009">
        <w:rPr>
          <w:rFonts w:ascii="Arial" w:eastAsia="Calibri" w:hAnsi="Arial" w:cs="Arial"/>
          <w:color w:val="000000" w:themeColor="text1"/>
          <w:sz w:val="22"/>
          <w:lang w:val="es-ES"/>
        </w:rPr>
        <w:t>con las excepciones que se explicaran en numeral 2.3 del presente concepto</w:t>
      </w:r>
      <w:r w:rsidR="00CA6808" w:rsidRPr="00386009">
        <w:rPr>
          <w:rFonts w:ascii="Arial" w:eastAsia="Calibri" w:hAnsi="Arial" w:cs="Arial"/>
          <w:color w:val="000000" w:themeColor="text1"/>
          <w:sz w:val="22"/>
          <w:lang w:val="es-ES"/>
        </w:rPr>
        <w:t xml:space="preserve"> para la subasta inversa y la mínima cuantía</w:t>
      </w:r>
      <w:r w:rsidR="00C55891" w:rsidRPr="00386009">
        <w:rPr>
          <w:rFonts w:ascii="Arial" w:eastAsia="Calibri" w:hAnsi="Arial" w:cs="Arial"/>
          <w:color w:val="000000" w:themeColor="text1"/>
          <w:sz w:val="22"/>
          <w:lang w:val="es-ES"/>
        </w:rPr>
        <w:t>,</w:t>
      </w:r>
      <w:r w:rsidR="005529C5" w:rsidRPr="00386009">
        <w:rPr>
          <w:rFonts w:ascii="Arial" w:eastAsia="Calibri" w:hAnsi="Arial" w:cs="Arial"/>
          <w:color w:val="000000" w:themeColor="text1"/>
          <w:sz w:val="22"/>
          <w:lang w:val="es-ES"/>
        </w:rPr>
        <w:t xml:space="preserve"> </w:t>
      </w:r>
      <w:r w:rsidR="00C55891" w:rsidRPr="00386009">
        <w:rPr>
          <w:rFonts w:ascii="Arial" w:eastAsia="Calibri" w:hAnsi="Arial" w:cs="Arial"/>
          <w:color w:val="000000" w:themeColor="text1"/>
          <w:sz w:val="22"/>
          <w:lang w:val="es-ES"/>
        </w:rPr>
        <w:t xml:space="preserve"> pueden solicitarse y aportarse «[…] hasta el término de traslado del informe de evaluación que corresponda a cada modalidad de selección</w:t>
      </w:r>
      <w:r w:rsidR="005529C5" w:rsidRPr="00386009">
        <w:rPr>
          <w:rFonts w:ascii="Arial" w:eastAsia="Calibri" w:hAnsi="Arial" w:cs="Arial"/>
          <w:color w:val="000000" w:themeColor="text1"/>
          <w:sz w:val="22"/>
          <w:lang w:val="es-ES"/>
        </w:rPr>
        <w:t xml:space="preserve"> […]</w:t>
      </w:r>
      <w:r w:rsidR="00C55891" w:rsidRPr="00386009">
        <w:rPr>
          <w:rFonts w:ascii="Arial" w:eastAsia="Calibri" w:hAnsi="Arial" w:cs="Arial"/>
          <w:color w:val="000000" w:themeColor="text1"/>
          <w:sz w:val="22"/>
          <w:lang w:val="es-ES"/>
        </w:rPr>
        <w:t>»</w:t>
      </w:r>
      <w:r w:rsidR="001A77B6" w:rsidRPr="00386009">
        <w:rPr>
          <w:rFonts w:ascii="Arial" w:eastAsia="Calibri" w:hAnsi="Arial" w:cs="Arial"/>
          <w:color w:val="000000" w:themeColor="text1"/>
          <w:sz w:val="22"/>
          <w:lang w:val="es-ES"/>
        </w:rPr>
        <w:t xml:space="preserve"> so pena de rechazo</w:t>
      </w:r>
      <w:r w:rsidR="00C55891" w:rsidRPr="00386009">
        <w:rPr>
          <w:rFonts w:ascii="Arial" w:eastAsia="Calibri" w:hAnsi="Arial" w:cs="Arial"/>
          <w:color w:val="000000" w:themeColor="text1"/>
          <w:sz w:val="22"/>
          <w:lang w:val="es-ES"/>
        </w:rPr>
        <w:t xml:space="preserve">. </w:t>
      </w:r>
    </w:p>
    <w:p w14:paraId="145906AA" w14:textId="4D915F92" w:rsidR="002E5783" w:rsidRPr="00386009" w:rsidRDefault="002E5783" w:rsidP="00AF2288">
      <w:pPr>
        <w:spacing w:line="276" w:lineRule="auto"/>
        <w:ind w:firstLine="708"/>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En esta medida,</w:t>
      </w:r>
      <w:r w:rsidR="00B66643" w:rsidRPr="00386009">
        <w:rPr>
          <w:rFonts w:ascii="Arial" w:eastAsia="Calibri" w:hAnsi="Arial" w:cs="Arial"/>
          <w:color w:val="000000" w:themeColor="text1"/>
          <w:sz w:val="22"/>
          <w:lang w:val="es-ES"/>
        </w:rPr>
        <w:t xml:space="preserve"> si el proponente entrega la garantía</w:t>
      </w:r>
      <w:r w:rsidR="003E2827" w:rsidRPr="00386009">
        <w:rPr>
          <w:rFonts w:ascii="Arial" w:eastAsia="Calibri" w:hAnsi="Arial" w:cs="Arial"/>
          <w:color w:val="000000" w:themeColor="text1"/>
          <w:sz w:val="22"/>
          <w:lang w:val="es-ES"/>
        </w:rPr>
        <w:t xml:space="preserve"> inicial</w:t>
      </w:r>
      <w:r w:rsidR="00B66643" w:rsidRPr="00386009">
        <w:rPr>
          <w:rFonts w:ascii="Arial" w:eastAsia="Calibri" w:hAnsi="Arial" w:cs="Arial"/>
          <w:color w:val="000000" w:themeColor="text1"/>
          <w:sz w:val="22"/>
          <w:lang w:val="es-ES"/>
        </w:rPr>
        <w:t xml:space="preserve"> o la subsana oportunamente,</w:t>
      </w:r>
      <w:r w:rsidRPr="00386009">
        <w:rPr>
          <w:rFonts w:ascii="Arial" w:eastAsia="Calibri" w:hAnsi="Arial" w:cs="Arial"/>
          <w:color w:val="000000" w:themeColor="text1"/>
          <w:sz w:val="22"/>
          <w:lang w:val="es-ES"/>
        </w:rPr>
        <w:t xml:space="preserve"> no es posible que </w:t>
      </w:r>
      <w:r w:rsidR="006F508D" w:rsidRPr="00386009">
        <w:rPr>
          <w:rFonts w:ascii="Arial" w:eastAsia="Calibri" w:hAnsi="Arial" w:cs="Arial"/>
          <w:color w:val="000000" w:themeColor="text1"/>
          <w:sz w:val="22"/>
          <w:lang w:val="es-ES"/>
        </w:rPr>
        <w:t xml:space="preserve">posteriormente </w:t>
      </w:r>
      <w:r w:rsidRPr="00386009">
        <w:rPr>
          <w:rFonts w:ascii="Arial" w:eastAsia="Calibri" w:hAnsi="Arial" w:cs="Arial"/>
          <w:color w:val="000000" w:themeColor="text1"/>
          <w:sz w:val="22"/>
          <w:lang w:val="es-ES"/>
        </w:rPr>
        <w:t>la Administración</w:t>
      </w:r>
      <w:r w:rsidR="00B66643" w:rsidRPr="00386009">
        <w:rPr>
          <w:rFonts w:ascii="Arial" w:eastAsia="Calibri" w:hAnsi="Arial" w:cs="Arial"/>
          <w:color w:val="000000" w:themeColor="text1"/>
          <w:sz w:val="22"/>
          <w:lang w:val="es-ES"/>
        </w:rPr>
        <w:t xml:space="preserve"> </w:t>
      </w:r>
      <w:r w:rsidRPr="00386009">
        <w:rPr>
          <w:rFonts w:ascii="Arial" w:eastAsia="Calibri" w:hAnsi="Arial" w:cs="Arial"/>
          <w:color w:val="000000" w:themeColor="text1"/>
          <w:sz w:val="22"/>
          <w:lang w:val="es-ES"/>
        </w:rPr>
        <w:t>rechace la oferta de quien no</w:t>
      </w:r>
      <w:r w:rsidR="00B66643" w:rsidRPr="00386009">
        <w:rPr>
          <w:rFonts w:ascii="Arial" w:eastAsia="Calibri" w:hAnsi="Arial" w:cs="Arial"/>
          <w:color w:val="000000" w:themeColor="text1"/>
          <w:sz w:val="22"/>
          <w:lang w:val="es-ES"/>
        </w:rPr>
        <w:t xml:space="preserve"> la</w:t>
      </w:r>
      <w:r w:rsidRPr="00386009">
        <w:rPr>
          <w:rFonts w:ascii="Arial" w:eastAsia="Calibri" w:hAnsi="Arial" w:cs="Arial"/>
          <w:color w:val="000000" w:themeColor="text1"/>
          <w:sz w:val="22"/>
          <w:lang w:val="es-ES"/>
        </w:rPr>
        <w:t xml:space="preserve"> prorroga </w:t>
      </w:r>
      <w:r w:rsidR="006F508D">
        <w:rPr>
          <w:rFonts w:ascii="Arial" w:eastAsia="Calibri" w:hAnsi="Arial" w:cs="Arial"/>
          <w:color w:val="000000" w:themeColor="text1"/>
          <w:sz w:val="22"/>
          <w:lang w:val="es-ES"/>
        </w:rPr>
        <w:t xml:space="preserve">en caso de </w:t>
      </w:r>
      <w:r w:rsidR="00807049">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suspensión</w:t>
      </w:r>
      <w:r w:rsidR="00807049">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del procedimiento, </w:t>
      </w:r>
      <w:r w:rsidR="00807049">
        <w:rPr>
          <w:rFonts w:ascii="Arial" w:eastAsia="Calibri" w:hAnsi="Arial" w:cs="Arial"/>
          <w:color w:val="000000" w:themeColor="text1"/>
          <w:sz w:val="22"/>
          <w:lang w:val="es-ES"/>
        </w:rPr>
        <w:t xml:space="preserve">o </w:t>
      </w:r>
      <w:r w:rsidR="006F508D">
        <w:rPr>
          <w:rFonts w:ascii="Arial" w:eastAsia="Calibri" w:hAnsi="Arial" w:cs="Arial"/>
          <w:color w:val="000000" w:themeColor="text1"/>
          <w:sz w:val="22"/>
          <w:lang w:val="es-ES"/>
        </w:rPr>
        <w:t>de</w:t>
      </w:r>
      <w:r w:rsidR="00807049">
        <w:rPr>
          <w:rFonts w:ascii="Arial" w:eastAsia="Calibri" w:hAnsi="Arial" w:cs="Arial"/>
          <w:color w:val="000000" w:themeColor="text1"/>
          <w:sz w:val="22"/>
          <w:lang w:val="es-ES"/>
        </w:rPr>
        <w:t xml:space="preserve"> ampliación de una etapa distinta de la</w:t>
      </w:r>
      <w:r w:rsidR="006F508D">
        <w:rPr>
          <w:rFonts w:ascii="Arial" w:eastAsia="Calibri" w:hAnsi="Arial" w:cs="Arial"/>
          <w:color w:val="000000" w:themeColor="text1"/>
          <w:sz w:val="22"/>
          <w:lang w:val="es-ES"/>
        </w:rPr>
        <w:t>s</w:t>
      </w:r>
      <w:r w:rsidR="00807049">
        <w:rPr>
          <w:rFonts w:ascii="Arial" w:eastAsia="Calibri" w:hAnsi="Arial" w:cs="Arial"/>
          <w:color w:val="000000" w:themeColor="text1"/>
          <w:sz w:val="22"/>
          <w:lang w:val="es-ES"/>
        </w:rPr>
        <w:t xml:space="preserve"> prevista</w:t>
      </w:r>
      <w:r w:rsidR="006F508D">
        <w:rPr>
          <w:rFonts w:ascii="Arial" w:eastAsia="Calibri" w:hAnsi="Arial" w:cs="Arial"/>
          <w:color w:val="000000" w:themeColor="text1"/>
          <w:sz w:val="22"/>
          <w:lang w:val="es-ES"/>
        </w:rPr>
        <w:t>s</w:t>
      </w:r>
      <w:r w:rsidR="00807049">
        <w:rPr>
          <w:rFonts w:ascii="Arial" w:eastAsia="Calibri" w:hAnsi="Arial" w:cs="Arial"/>
          <w:color w:val="000000" w:themeColor="text1"/>
          <w:sz w:val="22"/>
          <w:lang w:val="es-ES"/>
        </w:rPr>
        <w:t xml:space="preserve"> en </w:t>
      </w:r>
      <w:r w:rsidR="00807049" w:rsidRPr="00386009">
        <w:rPr>
          <w:rFonts w:ascii="Arial" w:eastAsia="Calibri" w:hAnsi="Arial" w:cs="Arial"/>
          <w:color w:val="000000" w:themeColor="text1"/>
          <w:sz w:val="22"/>
          <w:lang w:val="es-ES"/>
        </w:rPr>
        <w:t>el numeral 1 del artículo 2.2.1.2.3.1.6 del Decreto 1082 de 2015</w:t>
      </w:r>
      <w:r w:rsidR="00807049">
        <w:rPr>
          <w:rFonts w:ascii="Arial" w:eastAsia="Calibri" w:hAnsi="Arial" w:cs="Arial"/>
          <w:color w:val="000000" w:themeColor="text1"/>
          <w:sz w:val="22"/>
          <w:lang w:val="es-ES"/>
        </w:rPr>
        <w:t xml:space="preserve">, </w:t>
      </w:r>
      <w:r w:rsidRPr="00386009">
        <w:rPr>
          <w:rFonts w:ascii="Arial" w:eastAsia="Calibri" w:hAnsi="Arial" w:cs="Arial"/>
          <w:color w:val="000000" w:themeColor="text1"/>
          <w:sz w:val="22"/>
          <w:lang w:val="es-ES"/>
        </w:rPr>
        <w:t>especialmente cuando la entidad deb</w:t>
      </w:r>
      <w:r w:rsidR="006F508D">
        <w:rPr>
          <w:rFonts w:ascii="Arial" w:eastAsia="Calibri" w:hAnsi="Arial" w:cs="Arial"/>
          <w:color w:val="000000" w:themeColor="text1"/>
          <w:sz w:val="22"/>
          <w:lang w:val="es-ES"/>
        </w:rPr>
        <w:t xml:space="preserve">ió </w:t>
      </w:r>
      <w:r w:rsidRPr="00386009">
        <w:rPr>
          <w:rFonts w:ascii="Arial" w:eastAsia="Calibri" w:hAnsi="Arial" w:cs="Arial"/>
          <w:color w:val="000000" w:themeColor="text1"/>
          <w:sz w:val="22"/>
          <w:lang w:val="es-ES"/>
        </w:rPr>
        <w:t xml:space="preserve">estimar el plazo razonable para cumplir la obligación prevista en el artículo </w:t>
      </w:r>
      <w:r w:rsidR="00977DF6" w:rsidRPr="00386009">
        <w:rPr>
          <w:rFonts w:ascii="Arial" w:eastAsia="Calibri" w:hAnsi="Arial" w:cs="Arial"/>
          <w:color w:val="000000" w:themeColor="text1"/>
          <w:sz w:val="22"/>
          <w:lang w:val="es-ES"/>
        </w:rPr>
        <w:t xml:space="preserve">2.2.1.2.3.1.9 del Decreto 1082 de 2015, o solicitar oportunamente la ampliación de la cobertura en los términos del artículo 2.2.1.2.3.1.6, numeral 1, </w:t>
      </w:r>
      <w:r w:rsidR="00977DF6" w:rsidRPr="00386009">
        <w:rPr>
          <w:rFonts w:ascii="Arial" w:eastAsia="Calibri" w:hAnsi="Arial" w:cs="Arial"/>
          <w:i/>
          <w:iCs/>
          <w:color w:val="000000" w:themeColor="text1"/>
          <w:sz w:val="22"/>
          <w:lang w:val="es-ES"/>
        </w:rPr>
        <w:t>ibidem</w:t>
      </w:r>
      <w:r w:rsidR="00977DF6" w:rsidRPr="00386009">
        <w:rPr>
          <w:rFonts w:ascii="Arial" w:eastAsia="Calibri" w:hAnsi="Arial" w:cs="Arial"/>
          <w:color w:val="000000" w:themeColor="text1"/>
          <w:sz w:val="22"/>
          <w:lang w:val="es-ES"/>
        </w:rPr>
        <w:t xml:space="preserve">, esto es, frente a la prórroga del plazo para adjudicar o suscribir el contrato. </w:t>
      </w:r>
    </w:p>
    <w:bookmarkEnd w:id="4"/>
    <w:p w14:paraId="2FFA4204" w14:textId="77777777" w:rsidR="0063791A" w:rsidRPr="00386009" w:rsidRDefault="0063791A" w:rsidP="00F86590">
      <w:pPr>
        <w:spacing w:line="276" w:lineRule="auto"/>
        <w:jc w:val="both"/>
        <w:rPr>
          <w:rFonts w:ascii="Arial" w:eastAsia="Calibri" w:hAnsi="Arial" w:cs="Arial"/>
          <w:color w:val="000000" w:themeColor="text1"/>
          <w:sz w:val="22"/>
          <w:lang w:val="es-ES"/>
        </w:rPr>
      </w:pPr>
    </w:p>
    <w:p w14:paraId="7597A8BB" w14:textId="23806593" w:rsidR="00980956" w:rsidRPr="00386009" w:rsidRDefault="00980956" w:rsidP="00F86590">
      <w:pPr>
        <w:spacing w:line="276" w:lineRule="auto"/>
        <w:jc w:val="both"/>
        <w:rPr>
          <w:rFonts w:ascii="Arial" w:eastAsia="Calibri" w:hAnsi="Arial" w:cs="Arial"/>
          <w:b/>
          <w:bCs/>
          <w:color w:val="000000" w:themeColor="text1"/>
          <w:sz w:val="22"/>
          <w:lang w:val="es-ES"/>
        </w:rPr>
      </w:pPr>
      <w:r w:rsidRPr="00386009">
        <w:rPr>
          <w:rFonts w:ascii="Arial" w:eastAsia="Calibri" w:hAnsi="Arial" w:cs="Arial"/>
          <w:b/>
          <w:bCs/>
          <w:color w:val="000000" w:themeColor="text1"/>
          <w:sz w:val="22"/>
          <w:lang w:val="es-ES"/>
        </w:rPr>
        <w:t>2.2</w:t>
      </w:r>
      <w:r w:rsidRPr="00386009">
        <w:rPr>
          <w:rFonts w:ascii="Arial" w:eastAsia="Calibri" w:hAnsi="Arial" w:cs="Arial"/>
          <w:color w:val="000000" w:themeColor="text1"/>
          <w:sz w:val="22"/>
          <w:lang w:val="es-ES"/>
        </w:rPr>
        <w:t xml:space="preserve"> </w:t>
      </w:r>
      <w:r w:rsidRPr="00386009">
        <w:rPr>
          <w:rFonts w:ascii="Arial" w:eastAsia="Calibri" w:hAnsi="Arial" w:cs="Arial"/>
          <w:b/>
          <w:bCs/>
          <w:color w:val="000000" w:themeColor="text1"/>
          <w:sz w:val="22"/>
          <w:lang w:val="es-ES"/>
        </w:rPr>
        <w:t>V</w:t>
      </w:r>
      <w:r w:rsidR="003E3638" w:rsidRPr="00386009">
        <w:rPr>
          <w:rFonts w:ascii="Arial" w:eastAsia="Calibri" w:hAnsi="Arial" w:cs="Arial"/>
          <w:b/>
          <w:bCs/>
          <w:color w:val="000000" w:themeColor="text1"/>
          <w:sz w:val="22"/>
          <w:lang w:val="es-ES"/>
        </w:rPr>
        <w:t>igencia del certificado de antecedentes disciplinarios del contador</w:t>
      </w:r>
    </w:p>
    <w:p w14:paraId="1E26FACD" w14:textId="77777777" w:rsidR="00F86590" w:rsidRPr="00386009" w:rsidRDefault="00F86590" w:rsidP="00F86590">
      <w:pPr>
        <w:spacing w:line="276" w:lineRule="auto"/>
        <w:jc w:val="both"/>
        <w:rPr>
          <w:rFonts w:ascii="Arial" w:hAnsi="Arial" w:cs="Arial"/>
          <w:color w:val="000000" w:themeColor="text1"/>
          <w:sz w:val="22"/>
          <w:lang w:val="es-ES"/>
        </w:rPr>
      </w:pPr>
    </w:p>
    <w:p w14:paraId="5EB934FD" w14:textId="4C10089B" w:rsidR="003E3638" w:rsidRPr="00386009" w:rsidRDefault="003E3638" w:rsidP="00F86590">
      <w:pPr>
        <w:spacing w:line="276" w:lineRule="auto"/>
        <w:jc w:val="both"/>
        <w:rPr>
          <w:rFonts w:ascii="Arial" w:hAnsi="Arial" w:cs="Arial"/>
          <w:color w:val="000000" w:themeColor="text1"/>
          <w:sz w:val="22"/>
          <w:lang w:val="es-ES"/>
        </w:rPr>
      </w:pPr>
      <w:r w:rsidRPr="00386009">
        <w:rPr>
          <w:rFonts w:ascii="Arial" w:hAnsi="Arial" w:cs="Arial"/>
          <w:color w:val="000000" w:themeColor="text1"/>
          <w:sz w:val="22"/>
          <w:lang w:val="es-ES"/>
        </w:rPr>
        <w:t>De acuerdo con lo establecido en el artículo 2.2.1.1.1.3.1 del Decreto 1082 de 2015, la capacidad residual es la aptitud de los oferentes para cumplir de manera oportuna y a cabalidad el objeto de un contrato de obra, sin que los demás compromisos contractuales que han adquirido afecten su habilidad de cumplir el objeto del contrato que está en proceso de selección</w:t>
      </w:r>
      <w:r w:rsidRPr="00386009">
        <w:rPr>
          <w:rFonts w:ascii="Arial" w:hAnsi="Arial" w:cs="Arial"/>
          <w:color w:val="000000" w:themeColor="text1"/>
          <w:sz w:val="22"/>
          <w:szCs w:val="20"/>
          <w:vertAlign w:val="superscript"/>
          <w:lang w:val="es-ES"/>
        </w:rPr>
        <w:footnoteReference w:id="15"/>
      </w:r>
      <w:r w:rsidRPr="00386009">
        <w:rPr>
          <w:rFonts w:ascii="Arial" w:hAnsi="Arial" w:cs="Arial"/>
          <w:color w:val="000000" w:themeColor="text1"/>
          <w:sz w:val="22"/>
          <w:lang w:val="es-ES"/>
        </w:rPr>
        <w:t xml:space="preserve">. Por su parte, el Consejo de Estado ha definido la capacidad residual como </w:t>
      </w:r>
      <w:r w:rsidRPr="00386009">
        <w:rPr>
          <w:rFonts w:ascii="Arial" w:hAnsi="Arial" w:cs="Arial"/>
          <w:color w:val="000000" w:themeColor="text1"/>
          <w:sz w:val="22"/>
          <w:lang w:val="es-ES"/>
        </w:rPr>
        <w:lastRenderedPageBreak/>
        <w:t>«la diferencia que existe entre el potencial de contratación que se tiene y los compromisos que haya adquirido y que se encuentren en ejecución, para la fecha de presentación de la oferta»</w:t>
      </w:r>
      <w:r w:rsidRPr="00386009">
        <w:rPr>
          <w:rStyle w:val="Refdenotaalpie"/>
          <w:rFonts w:ascii="Arial" w:eastAsia="Calibri" w:hAnsi="Arial" w:cs="Arial"/>
          <w:color w:val="000000" w:themeColor="text1"/>
          <w:sz w:val="22"/>
          <w:lang w:val="es-ES"/>
        </w:rPr>
        <w:footnoteReference w:id="16"/>
      </w:r>
      <w:r w:rsidRPr="00386009">
        <w:rPr>
          <w:rFonts w:ascii="Arial" w:hAnsi="Arial" w:cs="Arial"/>
          <w:color w:val="000000" w:themeColor="text1"/>
          <w:sz w:val="22"/>
          <w:lang w:val="es-ES"/>
        </w:rPr>
        <w:t>.</w:t>
      </w:r>
    </w:p>
    <w:p w14:paraId="0232AF9F" w14:textId="77777777" w:rsidR="003E3638" w:rsidRPr="00386009" w:rsidRDefault="003E3638" w:rsidP="003E3638">
      <w:pPr>
        <w:spacing w:before="120" w:after="120" w:line="276" w:lineRule="auto"/>
        <w:ind w:firstLine="708"/>
        <w:jc w:val="both"/>
        <w:rPr>
          <w:rFonts w:ascii="Arial" w:hAnsi="Arial" w:cs="Arial"/>
          <w:color w:val="000000" w:themeColor="text1"/>
          <w:sz w:val="22"/>
          <w:lang w:val="es-ES"/>
        </w:rPr>
      </w:pPr>
      <w:r w:rsidRPr="00386009">
        <w:rPr>
          <w:rFonts w:ascii="Arial" w:hAnsi="Arial" w:cs="Arial"/>
          <w:color w:val="000000" w:themeColor="text1"/>
          <w:sz w:val="22"/>
          <w:lang w:val="es-ES"/>
        </w:rPr>
        <w:t>En atención a lo anterior, la capacidad residual hace referencia a la suficiencia que tiene el proponente para asumir nuevas obligaciones que se derivan del contrato objeto del proceso de contratación, en relación con las obligaciones que ya adquirió frente a otros contratos.</w:t>
      </w:r>
    </w:p>
    <w:p w14:paraId="6D8814D7" w14:textId="77777777" w:rsidR="003E3638" w:rsidRPr="00386009" w:rsidRDefault="003E3638" w:rsidP="003E3638">
      <w:pPr>
        <w:spacing w:line="276" w:lineRule="auto"/>
        <w:ind w:firstLine="708"/>
        <w:jc w:val="both"/>
        <w:rPr>
          <w:rFonts w:ascii="Arial" w:hAnsi="Arial" w:cs="Arial"/>
          <w:color w:val="000000" w:themeColor="text1"/>
          <w:sz w:val="22"/>
          <w:lang w:val="es-ES"/>
        </w:rPr>
      </w:pPr>
      <w:r w:rsidRPr="00386009">
        <w:rPr>
          <w:rFonts w:ascii="Arial" w:hAnsi="Arial" w:cs="Arial"/>
          <w:color w:val="000000" w:themeColor="text1"/>
          <w:sz w:val="22"/>
          <w:lang w:val="es-ES"/>
        </w:rPr>
        <w:t xml:space="preserve">El artículo 6 de la Ley 1150 de 2007, estableció como condición «para poder participar en los procesos de selección de los contratos de obra, la capacidad residual del proponente o K de contratación», y determinó que esta debe ser igual o superior a la que se ha establecido en los pliegos de condiciones, en los siguientes términos: </w:t>
      </w:r>
    </w:p>
    <w:p w14:paraId="18947126" w14:textId="77777777" w:rsidR="003E3638" w:rsidRPr="00386009" w:rsidRDefault="003E3638" w:rsidP="003E3638">
      <w:pPr>
        <w:ind w:right="709"/>
        <w:jc w:val="both"/>
        <w:rPr>
          <w:rFonts w:ascii="Arial" w:eastAsia="Calibri" w:hAnsi="Arial" w:cs="Arial"/>
          <w:color w:val="000000" w:themeColor="text1"/>
          <w:sz w:val="21"/>
          <w:szCs w:val="21"/>
          <w:lang w:val="es-ES"/>
        </w:rPr>
      </w:pPr>
    </w:p>
    <w:p w14:paraId="11C57EB9" w14:textId="77777777" w:rsidR="003E3638" w:rsidRPr="00386009" w:rsidRDefault="003E3638" w:rsidP="003E3638">
      <w:pPr>
        <w:ind w:left="708" w:right="709"/>
        <w:jc w:val="both"/>
        <w:rPr>
          <w:rFonts w:ascii="Arial" w:eastAsia="Calibri" w:hAnsi="Arial" w:cs="Arial"/>
          <w:color w:val="000000" w:themeColor="text1"/>
          <w:sz w:val="21"/>
          <w:szCs w:val="21"/>
          <w:lang w:val="es-ES"/>
        </w:rPr>
      </w:pPr>
      <w:r w:rsidRPr="00386009">
        <w:rPr>
          <w:rFonts w:ascii="Arial" w:eastAsia="Calibri" w:hAnsi="Arial" w:cs="Arial"/>
          <w:color w:val="000000" w:themeColor="text1"/>
          <w:sz w:val="21"/>
          <w:szCs w:val="21"/>
          <w:lang w:val="es-ES"/>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609B305C" w14:textId="77777777" w:rsidR="003E3638" w:rsidRPr="00386009" w:rsidRDefault="003E3638" w:rsidP="003E3638">
      <w:pPr>
        <w:ind w:left="708" w:right="709"/>
        <w:jc w:val="both"/>
        <w:rPr>
          <w:rFonts w:ascii="Arial" w:eastAsia="Calibri" w:hAnsi="Arial" w:cs="Arial"/>
          <w:color w:val="000000" w:themeColor="text1"/>
          <w:sz w:val="21"/>
          <w:szCs w:val="21"/>
          <w:lang w:val="es-ES"/>
        </w:rPr>
      </w:pPr>
    </w:p>
    <w:p w14:paraId="3C9B1941" w14:textId="77777777" w:rsidR="003E3638" w:rsidRPr="00386009" w:rsidRDefault="003E3638" w:rsidP="003E3638">
      <w:pPr>
        <w:ind w:left="708" w:right="709"/>
        <w:jc w:val="both"/>
        <w:rPr>
          <w:rFonts w:ascii="Arial" w:eastAsia="Calibri" w:hAnsi="Arial" w:cs="Arial"/>
          <w:color w:val="000000" w:themeColor="text1"/>
          <w:sz w:val="21"/>
          <w:szCs w:val="21"/>
          <w:lang w:val="es-ES"/>
        </w:rPr>
      </w:pPr>
      <w:r w:rsidRPr="00386009">
        <w:rPr>
          <w:rFonts w:ascii="Arial" w:eastAsia="Calibri" w:hAnsi="Arial" w:cs="Arial"/>
          <w:color w:val="000000" w:themeColor="text1"/>
          <w:sz w:val="21"/>
          <w:szCs w:val="21"/>
          <w:lang w:val="es-ES"/>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2524B8AB" w14:textId="77777777" w:rsidR="003E3638" w:rsidRPr="00386009" w:rsidRDefault="003E3638" w:rsidP="003E3638">
      <w:pPr>
        <w:spacing w:line="276" w:lineRule="auto"/>
        <w:ind w:right="709"/>
        <w:jc w:val="both"/>
        <w:rPr>
          <w:rFonts w:ascii="Arial" w:eastAsia="Calibri" w:hAnsi="Arial" w:cs="Arial"/>
          <w:color w:val="000000" w:themeColor="text1"/>
          <w:sz w:val="21"/>
          <w:szCs w:val="21"/>
          <w:lang w:val="es-ES"/>
        </w:rPr>
      </w:pPr>
    </w:p>
    <w:p w14:paraId="0CCD3ABC" w14:textId="77777777" w:rsidR="003E3638" w:rsidRPr="00386009" w:rsidRDefault="003E3638" w:rsidP="003E3638">
      <w:pPr>
        <w:spacing w:before="120" w:after="120" w:line="276" w:lineRule="auto"/>
        <w:jc w:val="both"/>
        <w:rPr>
          <w:rFonts w:ascii="Arial" w:hAnsi="Arial" w:cs="Arial"/>
          <w:color w:val="000000" w:themeColor="text1"/>
          <w:sz w:val="22"/>
          <w:lang w:val="es-ES"/>
        </w:rPr>
      </w:pPr>
      <w:r w:rsidRPr="00386009">
        <w:rPr>
          <w:rFonts w:ascii="Arial" w:eastAsia="Calibri" w:hAnsi="Arial" w:cs="Arial"/>
          <w:color w:val="000000" w:themeColor="text1"/>
          <w:sz w:val="21"/>
          <w:szCs w:val="21"/>
          <w:lang w:val="es-ES"/>
        </w:rPr>
        <w:tab/>
      </w:r>
      <w:r w:rsidRPr="00386009">
        <w:rPr>
          <w:rFonts w:ascii="Arial" w:hAnsi="Arial" w:cs="Arial"/>
          <w:color w:val="000000" w:themeColor="text1"/>
          <w:sz w:val="22"/>
          <w:lang w:val="es-ES"/>
        </w:rPr>
        <w:t xml:space="preserve">Por su parte, 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Organización [CO]. </w:t>
      </w:r>
    </w:p>
    <w:p w14:paraId="38530421" w14:textId="77777777" w:rsidR="003E3638" w:rsidRPr="00386009" w:rsidRDefault="003E3638" w:rsidP="003E3638">
      <w:pPr>
        <w:spacing w:before="120" w:after="120" w:line="276" w:lineRule="auto"/>
        <w:jc w:val="both"/>
        <w:rPr>
          <w:rFonts w:ascii="Arial" w:hAnsi="Arial" w:cs="Arial"/>
          <w:color w:val="000000" w:themeColor="text1"/>
          <w:sz w:val="22"/>
          <w:lang w:val="es-ES"/>
        </w:rPr>
      </w:pPr>
      <w:r w:rsidRPr="00386009">
        <w:rPr>
          <w:rFonts w:ascii="Arial" w:eastAsia="Calibri" w:hAnsi="Arial" w:cs="Arial"/>
          <w:bCs/>
          <w:color w:val="000000" w:themeColor="text1"/>
          <w:sz w:val="22"/>
          <w:lang w:val="es-ES"/>
        </w:rPr>
        <w:tab/>
        <w:t xml:space="preserve">Definido el alcance del requisito habilitante de capacidad residual en los procesos de contratación, a continuación, se explicará la forma en cómo se acredita este requisito </w:t>
      </w:r>
      <w:r w:rsidRPr="00386009">
        <w:rPr>
          <w:rFonts w:ascii="Arial" w:eastAsia="Calibri" w:hAnsi="Arial" w:cs="Arial"/>
          <w:bCs/>
          <w:color w:val="000000" w:themeColor="text1"/>
          <w:sz w:val="22"/>
          <w:lang w:val="es-ES"/>
        </w:rPr>
        <w:lastRenderedPageBreak/>
        <w:t xml:space="preserve">en los Documentos Tipo de Licitación de Obra Pública – Versión 2 y Selección abreviada de Infraestructura de Transporte. </w:t>
      </w:r>
    </w:p>
    <w:p w14:paraId="63D24AEA" w14:textId="77777777" w:rsidR="003E3638" w:rsidRPr="00386009" w:rsidRDefault="003E3638" w:rsidP="003E3638">
      <w:pPr>
        <w:spacing w:before="120" w:after="120" w:line="276" w:lineRule="auto"/>
        <w:jc w:val="both"/>
        <w:rPr>
          <w:rFonts w:ascii="Arial" w:hAnsi="Arial" w:cs="Arial"/>
          <w:color w:val="000000" w:themeColor="text1"/>
          <w:sz w:val="22"/>
          <w:lang w:val="es-ES"/>
        </w:rPr>
      </w:pPr>
      <w:r w:rsidRPr="00386009">
        <w:rPr>
          <w:rFonts w:ascii="Arial" w:hAnsi="Arial" w:cs="Arial"/>
          <w:color w:val="000000" w:themeColor="text1"/>
          <w:sz w:val="22"/>
          <w:lang w:val="es-ES"/>
        </w:rPr>
        <w:tab/>
        <w:t>El numeral 3.11, de los Documentos Tipo, define que el proponente será hábil si la capacidad residual del Proponente es mayor o igual a la capacidad residual del Proceso de contratación. Así:</w:t>
      </w:r>
    </w:p>
    <w:p w14:paraId="1590E68D" w14:textId="77777777" w:rsidR="003E3638" w:rsidRPr="00386009" w:rsidRDefault="003E3638" w:rsidP="003E3638">
      <w:pPr>
        <w:widowControl w:val="0"/>
        <w:spacing w:line="276" w:lineRule="auto"/>
        <w:jc w:val="center"/>
        <w:rPr>
          <w:rFonts w:cs="Arial"/>
          <w:szCs w:val="20"/>
          <w:lang w:val="es-ES"/>
        </w:rPr>
      </w:pPr>
      <m:oMathPara>
        <m:oMath>
          <m:r>
            <w:rPr>
              <w:rFonts w:ascii="Cambria Math" w:hAnsi="Cambria Math" w:cs="Arial"/>
              <w:szCs w:val="20"/>
              <w:lang w:val="es-ES"/>
            </w:rPr>
            <m:t>CRP ≥CRPC</m:t>
          </m:r>
        </m:oMath>
      </m:oMathPara>
    </w:p>
    <w:p w14:paraId="72E96624" w14:textId="77777777" w:rsidR="003E3638" w:rsidRPr="00386009" w:rsidRDefault="003E3638" w:rsidP="003E3638">
      <w:pPr>
        <w:spacing w:before="120" w:after="120" w:line="276" w:lineRule="auto"/>
        <w:jc w:val="both"/>
        <w:rPr>
          <w:rFonts w:ascii="Arial" w:hAnsi="Arial" w:cs="Arial"/>
          <w:color w:val="000000" w:themeColor="text1"/>
          <w:sz w:val="22"/>
          <w:lang w:val="es-ES"/>
        </w:rPr>
      </w:pPr>
    </w:p>
    <w:p w14:paraId="7F0078BF" w14:textId="77777777" w:rsidR="003E3638" w:rsidRPr="00386009" w:rsidRDefault="003E3638" w:rsidP="003E3638">
      <w:pPr>
        <w:spacing w:before="120" w:after="120" w:line="276" w:lineRule="auto"/>
        <w:ind w:firstLine="708"/>
        <w:jc w:val="both"/>
        <w:rPr>
          <w:rFonts w:ascii="Arial" w:hAnsi="Arial" w:cs="Arial"/>
          <w:color w:val="000000" w:themeColor="text1"/>
          <w:sz w:val="22"/>
          <w:lang w:val="es-ES"/>
        </w:rPr>
      </w:pPr>
      <w:r w:rsidRPr="00386009">
        <w:rPr>
          <w:rFonts w:ascii="Arial" w:hAnsi="Arial" w:cs="Arial"/>
          <w:color w:val="000000" w:themeColor="text1"/>
          <w:sz w:val="22"/>
          <w:lang w:val="es-ES"/>
        </w:rPr>
        <w:t>De igual manera, el numeral 3.11.2 define el método para evaluar cada uno de los factores de la capacidad residual, tales como: la Capacidad de Organización [CO], Experiencia [E], Capacidad Financiera [CF], Capacidad Técnica [CT] y Saldos contratos en ejecución [SCE].</w:t>
      </w:r>
    </w:p>
    <w:p w14:paraId="50253963" w14:textId="77777777" w:rsidR="003E3638" w:rsidRPr="00386009" w:rsidRDefault="003E3638" w:rsidP="003E3638">
      <w:pPr>
        <w:spacing w:before="120" w:after="120" w:line="276" w:lineRule="auto"/>
        <w:ind w:firstLine="708"/>
        <w:jc w:val="both"/>
        <w:rPr>
          <w:rFonts w:ascii="Arial" w:eastAsia="Calibri" w:hAnsi="Arial" w:cs="Arial"/>
          <w:color w:val="000000" w:themeColor="text1"/>
          <w:sz w:val="22"/>
          <w:lang w:val="es-ES"/>
        </w:rPr>
      </w:pPr>
      <w:r w:rsidRPr="00386009">
        <w:rPr>
          <w:rFonts w:ascii="Arial" w:hAnsi="Arial" w:cs="Arial"/>
          <w:color w:val="000000" w:themeColor="text1"/>
          <w:sz w:val="22"/>
          <w:lang w:val="es-ES"/>
        </w:rPr>
        <w:t xml:space="preserve">En razón a que su consulta se relaciona directamente con el factor de capacidad de organización, a continuación, se explicará su alcance y la forma de para acreditarlo. </w:t>
      </w:r>
      <w:r w:rsidRPr="00386009">
        <w:rPr>
          <w:rFonts w:ascii="Arial" w:eastAsia="Calibri" w:hAnsi="Arial" w:cs="Arial"/>
          <w:color w:val="000000" w:themeColor="text1"/>
          <w:sz w:val="22"/>
          <w:lang w:val="es-ES"/>
        </w:rPr>
        <w:t>La Capacidad de Organización corresponde a los ingresos operaciones del proponente teniendo en cuenta lo siguiente:</w:t>
      </w:r>
    </w:p>
    <w:p w14:paraId="3F176A80" w14:textId="77777777" w:rsidR="003E3638" w:rsidRPr="00386009" w:rsidRDefault="003E3638" w:rsidP="003E3638">
      <w:pPr>
        <w:spacing w:before="120" w:after="120" w:line="276" w:lineRule="auto"/>
        <w:ind w:firstLine="708"/>
        <w:jc w:val="both"/>
        <w:rPr>
          <w:rFonts w:ascii="Arial" w:eastAsia="Calibri" w:hAnsi="Arial" w:cs="Arial"/>
          <w:color w:val="000000" w:themeColor="text1"/>
          <w:sz w:val="22"/>
          <w:lang w:val="es-ES"/>
        </w:rPr>
      </w:pPr>
    </w:p>
    <w:tbl>
      <w:tblPr>
        <w:tblW w:w="0" w:type="auto"/>
        <w:jc w:val="center"/>
        <w:tblLayout w:type="fixed"/>
        <w:tblLook w:val="04A0" w:firstRow="1" w:lastRow="0" w:firstColumn="1" w:lastColumn="0" w:noHBand="0" w:noVBand="1"/>
      </w:tblPr>
      <w:tblGrid>
        <w:gridCol w:w="2630"/>
        <w:gridCol w:w="5305"/>
      </w:tblGrid>
      <w:tr w:rsidR="003E3638" w:rsidRPr="00386009" w14:paraId="10D4F30A" w14:textId="77777777" w:rsidTr="005A1679">
        <w:trPr>
          <w:trHeight w:val="218"/>
          <w:tblHeader/>
          <w:jc w:val="center"/>
        </w:trPr>
        <w:tc>
          <w:tcPr>
            <w:tcW w:w="2630"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005D7AAF" w14:textId="77777777" w:rsidR="003E3638" w:rsidRPr="00386009" w:rsidRDefault="003E3638" w:rsidP="005A1679">
            <w:pPr>
              <w:autoSpaceDE w:val="0"/>
              <w:autoSpaceDN w:val="0"/>
              <w:adjustRightInd w:val="0"/>
              <w:spacing w:line="276" w:lineRule="auto"/>
              <w:jc w:val="center"/>
              <w:rPr>
                <w:rFonts w:eastAsia="Arial" w:cs="Arial"/>
                <w:b/>
                <w:bCs/>
                <w:color w:val="DBDBDB" w:themeColor="background1"/>
                <w:sz w:val="16"/>
                <w:szCs w:val="16"/>
                <w:lang w:val="es-ES"/>
              </w:rPr>
            </w:pPr>
            <w:r w:rsidRPr="00386009">
              <w:rPr>
                <w:rFonts w:cs="Arial"/>
                <w:b/>
                <w:bCs/>
                <w:color w:val="DBDBDB" w:themeColor="background1"/>
                <w:sz w:val="16"/>
                <w:szCs w:val="16"/>
                <w:lang w:val="es-ES"/>
              </w:rPr>
              <w:t>Años</w:t>
            </w:r>
            <w:r w:rsidRPr="00386009">
              <w:rPr>
                <w:rFonts w:eastAsia="Arial" w:cs="Arial"/>
                <w:b/>
                <w:bCs/>
                <w:color w:val="DBDBDB" w:themeColor="background1"/>
                <w:sz w:val="16"/>
                <w:szCs w:val="16"/>
                <w:lang w:val="es-ES"/>
              </w:rPr>
              <w:t xml:space="preserve"> </w:t>
            </w:r>
            <w:r w:rsidRPr="00386009">
              <w:rPr>
                <w:rFonts w:cs="Arial"/>
                <w:b/>
                <w:bCs/>
                <w:color w:val="DBDBDB" w:themeColor="background1"/>
                <w:sz w:val="16"/>
                <w:szCs w:val="16"/>
                <w:lang w:val="es-ES"/>
              </w:rPr>
              <w:t>de</w:t>
            </w:r>
            <w:r w:rsidRPr="00386009">
              <w:rPr>
                <w:rFonts w:eastAsia="Arial" w:cs="Arial"/>
                <w:b/>
                <w:bCs/>
                <w:color w:val="DBDBDB" w:themeColor="background1"/>
                <w:sz w:val="16"/>
                <w:szCs w:val="16"/>
                <w:lang w:val="es-ES"/>
              </w:rPr>
              <w:t xml:space="preserve"> </w:t>
            </w:r>
            <w:r w:rsidRPr="00386009">
              <w:rPr>
                <w:rFonts w:cs="Arial"/>
                <w:b/>
                <w:bCs/>
                <w:color w:val="DBDBDB" w:themeColor="background1"/>
                <w:sz w:val="16"/>
                <w:szCs w:val="16"/>
                <w:lang w:val="es-ES"/>
              </w:rPr>
              <w:t>información</w:t>
            </w:r>
            <w:r w:rsidRPr="00386009">
              <w:rPr>
                <w:rFonts w:eastAsia="Arial" w:cs="Arial"/>
                <w:b/>
                <w:bCs/>
                <w:color w:val="DBDBDB" w:themeColor="background1"/>
                <w:sz w:val="16"/>
                <w:szCs w:val="16"/>
                <w:lang w:val="es-ES"/>
              </w:rPr>
              <w:t xml:space="preserve"> </w:t>
            </w:r>
            <w:r w:rsidRPr="00386009">
              <w:rPr>
                <w:rFonts w:cs="Arial"/>
                <w:b/>
                <w:bCs/>
                <w:color w:val="DBDBDB" w:themeColor="background1"/>
                <w:sz w:val="16"/>
                <w:szCs w:val="16"/>
                <w:lang w:val="es-ES"/>
              </w:rPr>
              <w:t>financiera</w:t>
            </w:r>
            <w:r w:rsidRPr="00386009">
              <w:rPr>
                <w:rFonts w:eastAsia="Arial" w:cs="Arial"/>
                <w:b/>
                <w:bCs/>
                <w:color w:val="DBDBDB" w:themeColor="background1"/>
                <w:sz w:val="16"/>
                <w:szCs w:val="16"/>
                <w:lang w:val="es-ES"/>
              </w:rPr>
              <w:t xml:space="preserve"> </w:t>
            </w:r>
          </w:p>
        </w:tc>
        <w:tc>
          <w:tcPr>
            <w:tcW w:w="5305"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1D38384F" w14:textId="77777777" w:rsidR="003E3638" w:rsidRPr="00386009" w:rsidRDefault="003E3638" w:rsidP="005A1679">
            <w:pPr>
              <w:autoSpaceDE w:val="0"/>
              <w:autoSpaceDN w:val="0"/>
              <w:adjustRightInd w:val="0"/>
              <w:spacing w:line="276" w:lineRule="auto"/>
              <w:jc w:val="center"/>
              <w:rPr>
                <w:rFonts w:eastAsia="Arial" w:cs="Arial"/>
                <w:b/>
                <w:bCs/>
                <w:color w:val="DBDBDB" w:themeColor="background1"/>
                <w:sz w:val="16"/>
                <w:szCs w:val="16"/>
                <w:lang w:val="es-ES"/>
              </w:rPr>
            </w:pPr>
            <w:r w:rsidRPr="00386009">
              <w:rPr>
                <w:rFonts w:cs="Arial"/>
                <w:b/>
                <w:bCs/>
                <w:color w:val="DBDBDB" w:themeColor="background1"/>
                <w:sz w:val="16"/>
                <w:szCs w:val="16"/>
                <w:lang w:val="es-ES"/>
              </w:rPr>
              <w:t>Capacidad</w:t>
            </w:r>
            <w:r w:rsidRPr="00386009">
              <w:rPr>
                <w:rFonts w:eastAsia="Arial" w:cs="Arial"/>
                <w:b/>
                <w:bCs/>
                <w:color w:val="DBDBDB" w:themeColor="background1"/>
                <w:sz w:val="16"/>
                <w:szCs w:val="16"/>
                <w:lang w:val="es-ES"/>
              </w:rPr>
              <w:t xml:space="preserve"> </w:t>
            </w:r>
            <w:r w:rsidRPr="00386009">
              <w:rPr>
                <w:rFonts w:cs="Arial"/>
                <w:b/>
                <w:bCs/>
                <w:color w:val="DBDBDB" w:themeColor="background1"/>
                <w:sz w:val="16"/>
                <w:szCs w:val="16"/>
                <w:lang w:val="es-ES"/>
              </w:rPr>
              <w:t>de</w:t>
            </w:r>
            <w:r w:rsidRPr="00386009">
              <w:rPr>
                <w:rFonts w:eastAsia="Arial" w:cs="Arial"/>
                <w:b/>
                <w:bCs/>
                <w:color w:val="DBDBDB" w:themeColor="background1"/>
                <w:sz w:val="16"/>
                <w:szCs w:val="16"/>
                <w:lang w:val="es-ES"/>
              </w:rPr>
              <w:t xml:space="preserve"> </w:t>
            </w:r>
            <w:r w:rsidRPr="00386009">
              <w:rPr>
                <w:rFonts w:cs="Arial"/>
                <w:b/>
                <w:bCs/>
                <w:color w:val="DBDBDB" w:themeColor="background1"/>
                <w:sz w:val="16"/>
                <w:szCs w:val="16"/>
                <w:lang w:val="es-ES"/>
              </w:rPr>
              <w:t>organización</w:t>
            </w:r>
            <w:r w:rsidRPr="00386009">
              <w:rPr>
                <w:rFonts w:eastAsia="Arial" w:cs="Arial"/>
                <w:b/>
                <w:bCs/>
                <w:color w:val="DBDBDB" w:themeColor="background1"/>
                <w:sz w:val="16"/>
                <w:szCs w:val="16"/>
                <w:lang w:val="es-ES"/>
              </w:rPr>
              <w:t xml:space="preserve"> </w:t>
            </w:r>
            <w:r w:rsidRPr="00386009">
              <w:rPr>
                <w:rFonts w:cs="Arial"/>
                <w:b/>
                <w:bCs/>
                <w:color w:val="DBDBDB" w:themeColor="background1"/>
                <w:sz w:val="16"/>
                <w:szCs w:val="16"/>
                <w:lang w:val="es-ES"/>
              </w:rPr>
              <w:t>(CO)</w:t>
            </w:r>
            <w:r w:rsidRPr="00386009">
              <w:rPr>
                <w:rFonts w:eastAsia="Arial" w:cs="Arial"/>
                <w:b/>
                <w:bCs/>
                <w:color w:val="DBDBDB" w:themeColor="background1"/>
                <w:sz w:val="16"/>
                <w:szCs w:val="16"/>
                <w:lang w:val="es-ES"/>
              </w:rPr>
              <w:t xml:space="preserve"> </w:t>
            </w:r>
          </w:p>
        </w:tc>
      </w:tr>
      <w:tr w:rsidR="003E3638" w:rsidRPr="00386009" w14:paraId="1D01B71C" w14:textId="77777777" w:rsidTr="005A1679">
        <w:trPr>
          <w:trHeight w:val="39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547C7B4E" w14:textId="77777777" w:rsidR="003E3638" w:rsidRPr="00386009" w:rsidRDefault="003E3638" w:rsidP="005A1679">
            <w:pPr>
              <w:autoSpaceDE w:val="0"/>
              <w:autoSpaceDN w:val="0"/>
              <w:adjustRightInd w:val="0"/>
              <w:spacing w:line="276" w:lineRule="auto"/>
              <w:jc w:val="center"/>
              <w:rPr>
                <w:rFonts w:eastAsia="Arial" w:cs="Arial"/>
                <w:sz w:val="16"/>
                <w:szCs w:val="16"/>
                <w:lang w:val="es-ES"/>
              </w:rPr>
            </w:pPr>
            <w:r w:rsidRPr="00386009">
              <w:rPr>
                <w:rFonts w:cs="Arial"/>
                <w:sz w:val="16"/>
                <w:szCs w:val="16"/>
                <w:lang w:val="es-ES"/>
              </w:rPr>
              <w:t>Cinco</w:t>
            </w:r>
            <w:r w:rsidRPr="00386009">
              <w:rPr>
                <w:rFonts w:eastAsia="Arial" w:cs="Arial"/>
                <w:sz w:val="16"/>
                <w:szCs w:val="16"/>
                <w:lang w:val="es-ES"/>
              </w:rPr>
              <w:t xml:space="preserve"> </w:t>
            </w:r>
            <w:r w:rsidRPr="00386009">
              <w:rPr>
                <w:rFonts w:cs="Arial"/>
                <w:sz w:val="16"/>
                <w:szCs w:val="16"/>
                <w:lang w:val="es-ES"/>
              </w:rPr>
              <w:t>(5)</w:t>
            </w:r>
            <w:r w:rsidRPr="00386009">
              <w:rPr>
                <w:rFonts w:eastAsia="Arial" w:cs="Arial"/>
                <w:sz w:val="16"/>
                <w:szCs w:val="16"/>
                <w:lang w:val="es-ES"/>
              </w:rPr>
              <w:t xml:space="preserve"> </w:t>
            </w:r>
            <w:r w:rsidRPr="00386009">
              <w:rPr>
                <w:rFonts w:cs="Arial"/>
                <w:sz w:val="16"/>
                <w:szCs w:val="16"/>
                <w:lang w:val="es-ES"/>
              </w:rPr>
              <w:t>años</w:t>
            </w:r>
            <w:r w:rsidRPr="00386009">
              <w:rPr>
                <w:rFonts w:eastAsia="Arial" w:cs="Arial"/>
                <w:sz w:val="16"/>
                <w:szCs w:val="16"/>
                <w:lang w:val="es-ES"/>
              </w:rPr>
              <w:t xml:space="preserve"> </w:t>
            </w:r>
            <w:r w:rsidRPr="00386009">
              <w:rPr>
                <w:rFonts w:cs="Arial"/>
                <w:sz w:val="16"/>
                <w:szCs w:val="16"/>
                <w:lang w:val="es-ES"/>
              </w:rPr>
              <w:t>o</w:t>
            </w:r>
            <w:r w:rsidRPr="00386009">
              <w:rPr>
                <w:rFonts w:eastAsia="Arial" w:cs="Arial"/>
                <w:sz w:val="16"/>
                <w:szCs w:val="16"/>
                <w:lang w:val="es-ES"/>
              </w:rPr>
              <w:t xml:space="preserve"> </w:t>
            </w:r>
            <w:r w:rsidRPr="00386009">
              <w:rPr>
                <w:rFonts w:cs="Arial"/>
                <w:sz w:val="16"/>
                <w:szCs w:val="16"/>
                <w:lang w:val="es-ES"/>
              </w:rPr>
              <w:t>más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469353C6" w14:textId="77777777" w:rsidR="003E3638" w:rsidRPr="00386009" w:rsidRDefault="003E3638" w:rsidP="005A1679">
            <w:pPr>
              <w:autoSpaceDE w:val="0"/>
              <w:autoSpaceDN w:val="0"/>
              <w:adjustRightInd w:val="0"/>
              <w:spacing w:line="276" w:lineRule="auto"/>
              <w:jc w:val="center"/>
              <w:rPr>
                <w:rFonts w:eastAsia="Arial" w:cs="Arial"/>
                <w:sz w:val="16"/>
                <w:szCs w:val="16"/>
                <w:lang w:val="es-ES"/>
              </w:rPr>
            </w:pPr>
            <w:r w:rsidRPr="00386009">
              <w:rPr>
                <w:rFonts w:cs="Arial"/>
                <w:sz w:val="16"/>
                <w:szCs w:val="16"/>
                <w:lang w:val="es-ES"/>
              </w:rPr>
              <w:t>Mayor</w:t>
            </w:r>
            <w:r w:rsidRPr="00386009">
              <w:rPr>
                <w:rFonts w:eastAsia="Arial" w:cs="Arial"/>
                <w:sz w:val="16"/>
                <w:szCs w:val="16"/>
                <w:lang w:val="es-ES"/>
              </w:rPr>
              <w:t xml:space="preserve"> </w:t>
            </w:r>
            <w:r w:rsidRPr="00386009">
              <w:rPr>
                <w:rFonts w:cs="Arial"/>
                <w:sz w:val="16"/>
                <w:szCs w:val="16"/>
                <w:lang w:val="es-ES"/>
              </w:rPr>
              <w:t>Ingreso</w:t>
            </w:r>
            <w:r w:rsidRPr="00386009">
              <w:rPr>
                <w:rFonts w:eastAsia="Arial" w:cs="Arial"/>
                <w:sz w:val="16"/>
                <w:szCs w:val="16"/>
                <w:lang w:val="es-ES"/>
              </w:rPr>
              <w:t xml:space="preserve"> </w:t>
            </w:r>
            <w:r w:rsidRPr="00386009">
              <w:rPr>
                <w:rFonts w:cs="Arial"/>
                <w:sz w:val="16"/>
                <w:szCs w:val="16"/>
                <w:lang w:val="es-ES"/>
              </w:rPr>
              <w:t>Operacional</w:t>
            </w:r>
            <w:r w:rsidRPr="00386009">
              <w:rPr>
                <w:rFonts w:eastAsia="Arial" w:cs="Arial"/>
                <w:sz w:val="16"/>
                <w:szCs w:val="16"/>
                <w:lang w:val="es-ES"/>
              </w:rPr>
              <w:t xml:space="preserve"> </w:t>
            </w:r>
            <w:r w:rsidRPr="00386009">
              <w:rPr>
                <w:rFonts w:cs="Arial"/>
                <w:sz w:val="16"/>
                <w:szCs w:val="16"/>
                <w:lang w:val="es-ES"/>
              </w:rPr>
              <w:t>de</w:t>
            </w:r>
            <w:r w:rsidRPr="00386009">
              <w:rPr>
                <w:rFonts w:eastAsia="Arial" w:cs="Arial"/>
                <w:sz w:val="16"/>
                <w:szCs w:val="16"/>
                <w:lang w:val="es-ES"/>
              </w:rPr>
              <w:t xml:space="preserve"> </w:t>
            </w:r>
            <w:r w:rsidRPr="00386009">
              <w:rPr>
                <w:rFonts w:cs="Arial"/>
                <w:sz w:val="16"/>
                <w:szCs w:val="16"/>
                <w:lang w:val="es-ES"/>
              </w:rPr>
              <w:t>los</w:t>
            </w:r>
            <w:r w:rsidRPr="00386009">
              <w:rPr>
                <w:rFonts w:eastAsia="Arial" w:cs="Arial"/>
                <w:sz w:val="16"/>
                <w:szCs w:val="16"/>
                <w:lang w:val="es-ES"/>
              </w:rPr>
              <w:t xml:space="preserve"> </w:t>
            </w:r>
            <w:r w:rsidRPr="00386009">
              <w:rPr>
                <w:rFonts w:cs="Arial"/>
                <w:sz w:val="16"/>
                <w:szCs w:val="16"/>
                <w:lang w:val="es-ES"/>
              </w:rPr>
              <w:t>últimos</w:t>
            </w:r>
            <w:r w:rsidRPr="00386009">
              <w:rPr>
                <w:rFonts w:eastAsia="Arial" w:cs="Arial"/>
                <w:sz w:val="16"/>
                <w:szCs w:val="16"/>
                <w:lang w:val="es-ES"/>
              </w:rPr>
              <w:t xml:space="preserve"> </w:t>
            </w:r>
            <w:r w:rsidRPr="00386009">
              <w:rPr>
                <w:rFonts w:cs="Arial"/>
                <w:sz w:val="16"/>
                <w:szCs w:val="16"/>
                <w:lang w:val="es-ES"/>
              </w:rPr>
              <w:t>5</w:t>
            </w:r>
            <w:r w:rsidRPr="00386009">
              <w:rPr>
                <w:rFonts w:eastAsia="Arial" w:cs="Arial"/>
                <w:sz w:val="16"/>
                <w:szCs w:val="16"/>
                <w:lang w:val="es-ES"/>
              </w:rPr>
              <w:t xml:space="preserve"> </w:t>
            </w:r>
            <w:r w:rsidRPr="00386009">
              <w:rPr>
                <w:rFonts w:cs="Arial"/>
                <w:sz w:val="16"/>
                <w:szCs w:val="16"/>
                <w:lang w:val="es-ES"/>
              </w:rPr>
              <w:t>años</w:t>
            </w:r>
          </w:p>
        </w:tc>
      </w:tr>
      <w:tr w:rsidR="003E3638" w:rsidRPr="00386009" w14:paraId="1FB1BF6F" w14:textId="77777777" w:rsidTr="005A1679">
        <w:trPr>
          <w:trHeight w:val="24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65DA8164" w14:textId="77777777" w:rsidR="003E3638" w:rsidRPr="00386009" w:rsidRDefault="003E3638" w:rsidP="005A1679">
            <w:pPr>
              <w:autoSpaceDE w:val="0"/>
              <w:autoSpaceDN w:val="0"/>
              <w:adjustRightInd w:val="0"/>
              <w:spacing w:line="276" w:lineRule="auto"/>
              <w:jc w:val="center"/>
              <w:rPr>
                <w:rFonts w:eastAsia="Arial" w:cs="Arial"/>
                <w:sz w:val="16"/>
                <w:szCs w:val="16"/>
                <w:lang w:val="es-ES"/>
              </w:rPr>
            </w:pPr>
            <w:r w:rsidRPr="00386009">
              <w:rPr>
                <w:rFonts w:cs="Arial"/>
                <w:sz w:val="16"/>
                <w:szCs w:val="16"/>
                <w:lang w:val="es-ES"/>
              </w:rPr>
              <w:t>Entre</w:t>
            </w:r>
            <w:r w:rsidRPr="00386009">
              <w:rPr>
                <w:rFonts w:eastAsia="Arial" w:cs="Arial"/>
                <w:sz w:val="16"/>
                <w:szCs w:val="16"/>
                <w:lang w:val="es-ES"/>
              </w:rPr>
              <w:t xml:space="preserve"> </w:t>
            </w:r>
            <w:r w:rsidRPr="00386009">
              <w:rPr>
                <w:rFonts w:cs="Arial"/>
                <w:sz w:val="16"/>
                <w:szCs w:val="16"/>
                <w:lang w:val="es-ES"/>
              </w:rPr>
              <w:t>uno</w:t>
            </w:r>
            <w:r w:rsidRPr="00386009">
              <w:rPr>
                <w:rFonts w:eastAsia="Arial" w:cs="Arial"/>
                <w:sz w:val="16"/>
                <w:szCs w:val="16"/>
                <w:lang w:val="es-ES"/>
              </w:rPr>
              <w:t xml:space="preserve"> </w:t>
            </w:r>
            <w:r w:rsidRPr="00386009">
              <w:rPr>
                <w:rFonts w:cs="Arial"/>
                <w:sz w:val="16"/>
                <w:szCs w:val="16"/>
                <w:lang w:val="es-ES"/>
              </w:rPr>
              <w:t>(1)</w:t>
            </w:r>
            <w:r w:rsidRPr="00386009">
              <w:rPr>
                <w:rFonts w:eastAsia="Arial" w:cs="Arial"/>
                <w:sz w:val="16"/>
                <w:szCs w:val="16"/>
                <w:lang w:val="es-ES"/>
              </w:rPr>
              <w:t xml:space="preserve"> </w:t>
            </w:r>
            <w:r w:rsidRPr="00386009">
              <w:rPr>
                <w:rFonts w:cs="Arial"/>
                <w:sz w:val="16"/>
                <w:szCs w:val="16"/>
                <w:lang w:val="es-ES"/>
              </w:rPr>
              <w:t>y</w:t>
            </w:r>
            <w:r w:rsidRPr="00386009">
              <w:rPr>
                <w:rFonts w:eastAsia="Arial" w:cs="Arial"/>
                <w:sz w:val="16"/>
                <w:szCs w:val="16"/>
                <w:lang w:val="es-ES"/>
              </w:rPr>
              <w:t xml:space="preserve"> </w:t>
            </w:r>
            <w:r w:rsidRPr="00386009">
              <w:rPr>
                <w:rFonts w:cs="Arial"/>
                <w:sz w:val="16"/>
                <w:szCs w:val="16"/>
                <w:lang w:val="es-ES"/>
              </w:rPr>
              <w:t>cinco</w:t>
            </w:r>
            <w:r w:rsidRPr="00386009">
              <w:rPr>
                <w:rFonts w:eastAsia="Arial" w:cs="Arial"/>
                <w:sz w:val="16"/>
                <w:szCs w:val="16"/>
                <w:lang w:val="es-ES"/>
              </w:rPr>
              <w:t xml:space="preserve"> </w:t>
            </w:r>
            <w:r w:rsidRPr="00386009">
              <w:rPr>
                <w:rFonts w:cs="Arial"/>
                <w:sz w:val="16"/>
                <w:szCs w:val="16"/>
                <w:lang w:val="es-ES"/>
              </w:rPr>
              <w:t>(5)</w:t>
            </w:r>
            <w:r w:rsidRPr="00386009">
              <w:rPr>
                <w:rFonts w:eastAsia="Arial" w:cs="Arial"/>
                <w:sz w:val="16"/>
                <w:szCs w:val="16"/>
                <w:lang w:val="es-ES"/>
              </w:rPr>
              <w:t xml:space="preserve"> </w:t>
            </w:r>
            <w:r w:rsidRPr="00386009">
              <w:rPr>
                <w:rFonts w:cs="Arial"/>
                <w:sz w:val="16"/>
                <w:szCs w:val="16"/>
                <w:lang w:val="es-ES"/>
              </w:rPr>
              <w:t>años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0AA2B977" w14:textId="77777777" w:rsidR="003E3638" w:rsidRPr="00386009" w:rsidRDefault="003E3638" w:rsidP="005A1679">
            <w:pPr>
              <w:autoSpaceDE w:val="0"/>
              <w:autoSpaceDN w:val="0"/>
              <w:adjustRightInd w:val="0"/>
              <w:spacing w:line="276" w:lineRule="auto"/>
              <w:jc w:val="center"/>
              <w:rPr>
                <w:rFonts w:eastAsia="Arial" w:cs="Arial"/>
                <w:sz w:val="16"/>
                <w:szCs w:val="16"/>
                <w:lang w:val="es-ES"/>
              </w:rPr>
            </w:pPr>
            <w:r w:rsidRPr="00386009">
              <w:rPr>
                <w:rFonts w:cs="Arial"/>
                <w:sz w:val="16"/>
                <w:szCs w:val="16"/>
                <w:lang w:val="es-ES"/>
              </w:rPr>
              <w:t>Mayor</w:t>
            </w:r>
            <w:r w:rsidRPr="00386009">
              <w:rPr>
                <w:rFonts w:eastAsia="Arial" w:cs="Arial"/>
                <w:sz w:val="16"/>
                <w:szCs w:val="16"/>
                <w:lang w:val="es-ES"/>
              </w:rPr>
              <w:t xml:space="preserve"> </w:t>
            </w:r>
            <w:r w:rsidRPr="00386009">
              <w:rPr>
                <w:rFonts w:cs="Arial"/>
                <w:sz w:val="16"/>
                <w:szCs w:val="16"/>
                <w:lang w:val="es-ES"/>
              </w:rPr>
              <w:t>Ingreso</w:t>
            </w:r>
            <w:r w:rsidRPr="00386009">
              <w:rPr>
                <w:rFonts w:eastAsia="Arial" w:cs="Arial"/>
                <w:sz w:val="16"/>
                <w:szCs w:val="16"/>
                <w:lang w:val="es-ES"/>
              </w:rPr>
              <w:t xml:space="preserve"> </w:t>
            </w:r>
            <w:r w:rsidRPr="00386009">
              <w:rPr>
                <w:rFonts w:cs="Arial"/>
                <w:sz w:val="16"/>
                <w:szCs w:val="16"/>
                <w:lang w:val="es-ES"/>
              </w:rPr>
              <w:t>Operacional</w:t>
            </w:r>
            <w:r w:rsidRPr="00386009">
              <w:rPr>
                <w:rFonts w:eastAsia="Arial" w:cs="Arial"/>
                <w:sz w:val="16"/>
                <w:szCs w:val="16"/>
                <w:lang w:val="es-ES"/>
              </w:rPr>
              <w:t xml:space="preserve"> </w:t>
            </w:r>
            <w:r w:rsidRPr="00386009">
              <w:rPr>
                <w:rFonts w:cs="Arial"/>
                <w:sz w:val="16"/>
                <w:szCs w:val="16"/>
                <w:lang w:val="es-ES"/>
              </w:rPr>
              <w:t>de</w:t>
            </w:r>
            <w:r w:rsidRPr="00386009">
              <w:rPr>
                <w:rFonts w:eastAsia="Arial" w:cs="Arial"/>
                <w:sz w:val="16"/>
                <w:szCs w:val="16"/>
                <w:lang w:val="es-ES"/>
              </w:rPr>
              <w:t xml:space="preserve"> </w:t>
            </w:r>
            <w:r w:rsidRPr="00386009">
              <w:rPr>
                <w:rFonts w:cs="Arial"/>
                <w:sz w:val="16"/>
                <w:szCs w:val="16"/>
                <w:lang w:val="es-ES"/>
              </w:rPr>
              <w:t xml:space="preserve">los años de existencia del Proponente. </w:t>
            </w:r>
          </w:p>
        </w:tc>
      </w:tr>
      <w:tr w:rsidR="003E3638" w:rsidRPr="00386009" w14:paraId="74E58CCC" w14:textId="77777777" w:rsidTr="005A1679">
        <w:trPr>
          <w:trHeight w:val="245"/>
          <w:jc w:val="center"/>
        </w:trPr>
        <w:tc>
          <w:tcPr>
            <w:tcW w:w="2630" w:type="dxa"/>
            <w:tcBorders>
              <w:top w:val="single" w:sz="6" w:space="0" w:color="000000" w:themeColor="text1"/>
              <w:left w:val="double" w:sz="4" w:space="0" w:color="auto"/>
              <w:bottom w:val="double" w:sz="4" w:space="0" w:color="auto"/>
              <w:right w:val="single" w:sz="6" w:space="0" w:color="000000" w:themeColor="text1"/>
            </w:tcBorders>
            <w:hideMark/>
          </w:tcPr>
          <w:p w14:paraId="0109B775" w14:textId="77777777" w:rsidR="003E3638" w:rsidRPr="00386009" w:rsidRDefault="003E3638" w:rsidP="005A1679">
            <w:pPr>
              <w:autoSpaceDE w:val="0"/>
              <w:autoSpaceDN w:val="0"/>
              <w:adjustRightInd w:val="0"/>
              <w:spacing w:line="276" w:lineRule="auto"/>
              <w:jc w:val="center"/>
              <w:rPr>
                <w:rFonts w:eastAsia="Arial" w:cs="Arial"/>
                <w:sz w:val="16"/>
                <w:szCs w:val="16"/>
                <w:lang w:val="es-ES"/>
              </w:rPr>
            </w:pPr>
            <w:r w:rsidRPr="00386009">
              <w:rPr>
                <w:rFonts w:cs="Arial"/>
                <w:sz w:val="16"/>
                <w:szCs w:val="16"/>
                <w:lang w:val="es-ES"/>
              </w:rPr>
              <w:t>Menos</w:t>
            </w:r>
            <w:r w:rsidRPr="00386009">
              <w:rPr>
                <w:rFonts w:eastAsia="Arial" w:cs="Arial"/>
                <w:sz w:val="16"/>
                <w:szCs w:val="16"/>
                <w:lang w:val="es-ES"/>
              </w:rPr>
              <w:t xml:space="preserve"> </w:t>
            </w:r>
            <w:r w:rsidRPr="00386009">
              <w:rPr>
                <w:rFonts w:cs="Arial"/>
                <w:sz w:val="16"/>
                <w:szCs w:val="16"/>
                <w:lang w:val="es-ES"/>
              </w:rPr>
              <w:t>de</w:t>
            </w:r>
            <w:r w:rsidRPr="00386009">
              <w:rPr>
                <w:rFonts w:eastAsia="Arial" w:cs="Arial"/>
                <w:sz w:val="16"/>
                <w:szCs w:val="16"/>
                <w:lang w:val="es-ES"/>
              </w:rPr>
              <w:t xml:space="preserve"> </w:t>
            </w:r>
            <w:r w:rsidRPr="00386009">
              <w:rPr>
                <w:rFonts w:cs="Arial"/>
                <w:sz w:val="16"/>
                <w:szCs w:val="16"/>
                <w:lang w:val="es-ES"/>
              </w:rPr>
              <w:t>un</w:t>
            </w:r>
            <w:r w:rsidRPr="00386009">
              <w:rPr>
                <w:rFonts w:eastAsia="Arial" w:cs="Arial"/>
                <w:sz w:val="16"/>
                <w:szCs w:val="16"/>
                <w:lang w:val="es-ES"/>
              </w:rPr>
              <w:t xml:space="preserve"> </w:t>
            </w:r>
            <w:r w:rsidRPr="00386009">
              <w:rPr>
                <w:rFonts w:cs="Arial"/>
                <w:sz w:val="16"/>
                <w:szCs w:val="16"/>
                <w:lang w:val="es-ES"/>
              </w:rPr>
              <w:t>(1)</w:t>
            </w:r>
            <w:r w:rsidRPr="00386009">
              <w:rPr>
                <w:rFonts w:eastAsia="Arial" w:cs="Arial"/>
                <w:sz w:val="16"/>
                <w:szCs w:val="16"/>
                <w:lang w:val="es-ES"/>
              </w:rPr>
              <w:t xml:space="preserve"> </w:t>
            </w:r>
            <w:r w:rsidRPr="00386009">
              <w:rPr>
                <w:rFonts w:cs="Arial"/>
                <w:sz w:val="16"/>
                <w:szCs w:val="16"/>
                <w:lang w:val="es-ES"/>
              </w:rPr>
              <w:t>año</w:t>
            </w:r>
            <w:r w:rsidRPr="00386009">
              <w:rPr>
                <w:rFonts w:eastAsia="Arial" w:cs="Arial"/>
                <w:sz w:val="16"/>
                <w:szCs w:val="16"/>
                <w:lang w:val="es-ES"/>
              </w:rPr>
              <w:t xml:space="preserve"> (*)</w:t>
            </w:r>
          </w:p>
        </w:tc>
        <w:tc>
          <w:tcPr>
            <w:tcW w:w="5305" w:type="dxa"/>
            <w:tcBorders>
              <w:top w:val="single" w:sz="6" w:space="0" w:color="000000" w:themeColor="text1"/>
              <w:left w:val="single" w:sz="6" w:space="0" w:color="000000" w:themeColor="text1"/>
              <w:bottom w:val="double" w:sz="4" w:space="0" w:color="auto"/>
              <w:right w:val="double" w:sz="4" w:space="0" w:color="auto"/>
            </w:tcBorders>
            <w:hideMark/>
          </w:tcPr>
          <w:p w14:paraId="6CCFA478" w14:textId="77777777" w:rsidR="003E3638" w:rsidRPr="00386009" w:rsidRDefault="003E3638" w:rsidP="005A1679">
            <w:pPr>
              <w:autoSpaceDE w:val="0"/>
              <w:autoSpaceDN w:val="0"/>
              <w:adjustRightInd w:val="0"/>
              <w:spacing w:line="276" w:lineRule="auto"/>
              <w:jc w:val="center"/>
              <w:rPr>
                <w:rFonts w:eastAsia="Arial" w:cs="Arial"/>
                <w:sz w:val="16"/>
                <w:szCs w:val="16"/>
                <w:lang w:val="es-ES"/>
              </w:rPr>
            </w:pPr>
            <w:r w:rsidRPr="00386009">
              <w:rPr>
                <w:rFonts w:cs="Arial"/>
                <w:sz w:val="16"/>
                <w:szCs w:val="16"/>
                <w:lang w:val="es-ES"/>
              </w:rPr>
              <w:t>USD</w:t>
            </w:r>
            <w:r w:rsidRPr="00386009">
              <w:rPr>
                <w:rFonts w:eastAsia="Arial" w:cs="Arial"/>
                <w:sz w:val="16"/>
                <w:szCs w:val="16"/>
                <w:lang w:val="es-ES"/>
              </w:rPr>
              <w:t xml:space="preserve"> </w:t>
            </w:r>
            <w:r w:rsidRPr="00386009">
              <w:rPr>
                <w:rFonts w:cs="Arial"/>
                <w:sz w:val="16"/>
                <w:szCs w:val="16"/>
                <w:lang w:val="es-ES"/>
              </w:rPr>
              <w:t>125.000</w:t>
            </w:r>
            <w:r w:rsidRPr="00386009">
              <w:rPr>
                <w:rFonts w:eastAsia="Arial" w:cs="Arial"/>
                <w:sz w:val="16"/>
                <w:szCs w:val="16"/>
                <w:lang w:val="es-ES"/>
              </w:rPr>
              <w:t xml:space="preserve"> (</w:t>
            </w:r>
            <w:r w:rsidRPr="00386009">
              <w:rPr>
                <w:rFonts w:cs="Arial"/>
                <w:sz w:val="16"/>
                <w:szCs w:val="16"/>
                <w:lang w:val="es-ES"/>
              </w:rPr>
              <w:t xml:space="preserve">Liquidados a la tasa de cambio determinada por el Ministerio de Comercio, Industria y Turismo cada 2 años para efectos del umbral del beneficio de las </w:t>
            </w:r>
            <w:proofErr w:type="spellStart"/>
            <w:r w:rsidRPr="00386009">
              <w:rPr>
                <w:rFonts w:cs="Arial"/>
                <w:sz w:val="16"/>
                <w:szCs w:val="16"/>
                <w:lang w:val="es-ES"/>
              </w:rPr>
              <w:t>Mipyme</w:t>
            </w:r>
            <w:proofErr w:type="spellEnd"/>
            <w:r w:rsidRPr="00386009">
              <w:rPr>
                <w:rFonts w:cs="Arial"/>
                <w:sz w:val="16"/>
                <w:szCs w:val="16"/>
                <w:lang w:val="es-ES"/>
              </w:rPr>
              <w:t>.</w:t>
            </w:r>
            <w:r w:rsidRPr="00386009">
              <w:rPr>
                <w:rFonts w:eastAsia="Arial" w:cs="Arial"/>
                <w:sz w:val="16"/>
                <w:szCs w:val="16"/>
                <w:lang w:val="es-ES"/>
              </w:rPr>
              <w:t>)</w:t>
            </w:r>
          </w:p>
        </w:tc>
      </w:tr>
    </w:tbl>
    <w:p w14:paraId="25576792" w14:textId="77777777" w:rsidR="003E3638" w:rsidRPr="00386009" w:rsidRDefault="003E3638" w:rsidP="003E3638">
      <w:pPr>
        <w:spacing w:before="120" w:after="120" w:line="276" w:lineRule="auto"/>
        <w:ind w:firstLine="708"/>
        <w:jc w:val="both"/>
        <w:rPr>
          <w:rFonts w:ascii="Arial" w:eastAsia="Calibri" w:hAnsi="Arial" w:cs="Arial"/>
          <w:color w:val="000000" w:themeColor="text1"/>
          <w:sz w:val="22"/>
          <w:lang w:val="es-ES"/>
        </w:rPr>
      </w:pPr>
    </w:p>
    <w:p w14:paraId="252D1073" w14:textId="2CB0F683" w:rsidR="003E3638" w:rsidRPr="00386009" w:rsidRDefault="003E3638" w:rsidP="003E3638">
      <w:pPr>
        <w:spacing w:before="120" w:after="120" w:line="276" w:lineRule="auto"/>
        <w:ind w:firstLine="708"/>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 xml:space="preserve">Ahora, su acreditación dependerá </w:t>
      </w:r>
      <w:r w:rsidR="002E289C" w:rsidRPr="00386009">
        <w:rPr>
          <w:rFonts w:ascii="Arial" w:eastAsia="Calibri" w:hAnsi="Arial" w:cs="Arial"/>
          <w:color w:val="000000" w:themeColor="text1"/>
          <w:sz w:val="22"/>
          <w:lang w:val="es-ES"/>
        </w:rPr>
        <w:t xml:space="preserve">de </w:t>
      </w:r>
      <w:r w:rsidRPr="00386009">
        <w:rPr>
          <w:rFonts w:ascii="Arial" w:eastAsia="Calibri" w:hAnsi="Arial" w:cs="Arial"/>
          <w:color w:val="000000" w:themeColor="text1"/>
          <w:sz w:val="22"/>
          <w:lang w:val="es-ES"/>
        </w:rPr>
        <w:t xml:space="preserve">si el oferente está o no en la obligación de tener RUP. Los proponentes obligados a tener RUP presentarán como documentos adicionales: i) el estado de resultados integral [estado de resultados o pérdida o ganancias], del año en que hayan obtenido el mayor ingreso operacional en los últimos cinco (5) años, debidamente firmado por el interesado o su representante Legal y el revisor fiscal si está obligado a tenerlo, o el auditor o contador si no está obligado a tener revisor fiscal y ii) copia de la tarjeta profesional y certificado de antecedentes disciplinarios vigentes de los contadores públicos, revisores fiscales, contadores independientes [externos], quienes suscribieron los documentos señalados en el presente literal. </w:t>
      </w:r>
    </w:p>
    <w:p w14:paraId="4CDCDF66" w14:textId="77777777" w:rsidR="003E3638" w:rsidRPr="00386009" w:rsidRDefault="003E3638" w:rsidP="003E3638">
      <w:pPr>
        <w:spacing w:before="120" w:after="120" w:line="276" w:lineRule="auto"/>
        <w:ind w:firstLine="709"/>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 xml:space="preserve">Por otro lado, los proponentes naturales o jurídicas extranjeras sin domicilio o sucursal en Colombia deben presentar el estado de resultados integral consolidado [estado de resultados o pérdida o ganancias] del año en que hayan obtenido el mayor Ingreso Operacional en los últimos cinco (5) años, auditado, con la firma de quien se encuentre en obligación de hacerlo, de acuerdo con la normativa vigente en el país de origen, en la </w:t>
      </w:r>
      <w:r w:rsidRPr="00386009">
        <w:rPr>
          <w:rFonts w:ascii="Arial" w:eastAsia="Calibri" w:hAnsi="Arial" w:cs="Arial"/>
          <w:color w:val="000000" w:themeColor="text1"/>
          <w:sz w:val="22"/>
          <w:lang w:val="es-ES"/>
        </w:rPr>
        <w:lastRenderedPageBreak/>
        <w:t>moneda legal del país en el cual fue emitido, de conformidad con la legislación propia del país de origen.</w:t>
      </w:r>
    </w:p>
    <w:p w14:paraId="50731ACE" w14:textId="77777777" w:rsidR="003E3638" w:rsidRPr="00386009" w:rsidRDefault="003E3638" w:rsidP="003E3638">
      <w:pPr>
        <w:spacing w:before="120" w:after="120" w:line="276" w:lineRule="auto"/>
        <w:ind w:firstLine="709"/>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 xml:space="preserve">Adicional a lo anterior, deben allegar la traducción al idioma castellano de la información financiera, observando lo siguiente: (i) los valores deben ser expresados pesos colombianos, convertidos a la tasa representativa del mercado TRM] de la fecha de corte de los mismos, en los términos descritos en la sección </w:t>
      </w:r>
      <w:r w:rsidRPr="00386009">
        <w:rPr>
          <w:rFonts w:ascii="Arial" w:eastAsia="Calibri" w:hAnsi="Arial" w:cs="Arial"/>
          <w:color w:val="000000" w:themeColor="text1"/>
          <w:sz w:val="22"/>
          <w:lang w:val="es-ES"/>
        </w:rPr>
        <w:fldChar w:fldCharType="begin"/>
      </w:r>
      <w:r w:rsidRPr="00386009">
        <w:rPr>
          <w:rFonts w:ascii="Arial" w:eastAsia="Calibri" w:hAnsi="Arial" w:cs="Arial"/>
          <w:color w:val="000000" w:themeColor="text1"/>
          <w:sz w:val="22"/>
          <w:lang w:val="es-ES"/>
        </w:rPr>
        <w:instrText xml:space="preserve"> REF _Ref508650022 \r \h  \* MERGEFORMAT </w:instrText>
      </w:r>
      <w:r w:rsidRPr="00386009">
        <w:rPr>
          <w:rFonts w:ascii="Arial" w:eastAsia="Calibri" w:hAnsi="Arial" w:cs="Arial"/>
          <w:color w:val="000000" w:themeColor="text1"/>
          <w:sz w:val="22"/>
          <w:lang w:val="es-ES"/>
        </w:rPr>
      </w:r>
      <w:r w:rsidRPr="00386009">
        <w:rPr>
          <w:rFonts w:ascii="Arial" w:eastAsia="Calibri" w:hAnsi="Arial" w:cs="Arial"/>
          <w:color w:val="000000" w:themeColor="text1"/>
          <w:sz w:val="22"/>
          <w:lang w:val="es-ES"/>
        </w:rPr>
        <w:fldChar w:fldCharType="separate"/>
      </w:r>
      <w:r w:rsidRPr="00386009">
        <w:rPr>
          <w:rFonts w:ascii="Arial" w:eastAsia="Calibri" w:hAnsi="Arial" w:cs="Arial"/>
          <w:color w:val="000000" w:themeColor="text1"/>
          <w:sz w:val="22"/>
          <w:lang w:val="es-ES"/>
        </w:rPr>
        <w:t>1.13</w:t>
      </w:r>
      <w:r w:rsidRPr="00386009">
        <w:rPr>
          <w:rFonts w:ascii="Arial" w:eastAsia="Calibri" w:hAnsi="Arial" w:cs="Arial"/>
          <w:color w:val="000000" w:themeColor="text1"/>
          <w:sz w:val="22"/>
          <w:lang w:val="es-ES"/>
        </w:rPr>
        <w:fldChar w:fldCharType="end"/>
      </w:r>
      <w:r w:rsidRPr="00386009">
        <w:rPr>
          <w:rFonts w:ascii="Arial" w:eastAsia="Calibri" w:hAnsi="Arial" w:cs="Arial"/>
          <w:color w:val="000000" w:themeColor="text1"/>
          <w:sz w:val="22"/>
          <w:lang w:val="es-ES"/>
        </w:rPr>
        <w:t xml:space="preserve"> del presente Pliego de Condiciones; (ii) presentados de acuerdo con las normas NIIF; y (iii) debidamente firmados por el Contador Público Colombiano que los hubiere convertido.</w:t>
      </w:r>
    </w:p>
    <w:p w14:paraId="6AD82700" w14:textId="2C0B7044" w:rsidR="003E3638" w:rsidRPr="00386009" w:rsidRDefault="003E3638" w:rsidP="003E3638">
      <w:pPr>
        <w:spacing w:before="120" w:after="120" w:line="276" w:lineRule="auto"/>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ab/>
        <w:t>Ahora bien, c</w:t>
      </w:r>
      <w:r w:rsidR="00FF509C" w:rsidRPr="00386009">
        <w:rPr>
          <w:rFonts w:ascii="Arial" w:eastAsia="Calibri" w:hAnsi="Arial" w:cs="Arial"/>
          <w:color w:val="000000" w:themeColor="text1"/>
          <w:sz w:val="22"/>
          <w:lang w:val="es-ES"/>
        </w:rPr>
        <w:t>o</w:t>
      </w:r>
      <w:r w:rsidRPr="00386009">
        <w:rPr>
          <w:rFonts w:ascii="Arial" w:eastAsia="Calibri" w:hAnsi="Arial" w:cs="Arial"/>
          <w:color w:val="000000" w:themeColor="text1"/>
          <w:sz w:val="22"/>
          <w:lang w:val="es-ES"/>
        </w:rPr>
        <w:t xml:space="preserve">mo se explicó previamente, los proponentes obligados a tener RUP entregarán el estado de resultados integral del año en que hayan obtenido mayor ingreso operacional y copia de la tarjeta profesional y certificado de antecedentes disciplinarios de los contadores públicos que suscribieron esos documentos. De este modo, si el proponente presenta el estado de resultados integral del año 2017 se deberá presentar la tarjeta profesional y la copia del certificado de antecedentes disciplinarios del contador que suscribió ese estado financiero en el año 2017. </w:t>
      </w:r>
    </w:p>
    <w:p w14:paraId="6DA88323" w14:textId="77D003DA" w:rsidR="003E3638" w:rsidRPr="00386009" w:rsidRDefault="0099177B" w:rsidP="0099177B">
      <w:pPr>
        <w:spacing w:before="120" w:after="120" w:line="276" w:lineRule="auto"/>
        <w:ind w:firstLine="708"/>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E</w:t>
      </w:r>
      <w:r w:rsidR="003E3638" w:rsidRPr="00386009">
        <w:rPr>
          <w:rFonts w:ascii="Arial" w:eastAsia="Calibri" w:hAnsi="Arial" w:cs="Arial"/>
          <w:color w:val="000000" w:themeColor="text1"/>
          <w:sz w:val="22"/>
          <w:lang w:val="es-ES"/>
        </w:rPr>
        <w:t>l Ministerio de Educación Nacional, en la resolución 074 de 2002, reglamenta los certificados de vigencia de inscripción y antecedentes disciplinarios del contador público, y, en el artículo 2, señala que estos certificados se expedirán previa solicitud del interesado, cuando se requiera acreditar la calidad de contador público y siempre que se solicite información histórica sobre los antecedentes disciplinarios del inscrito</w:t>
      </w:r>
      <w:r w:rsidR="003E3638" w:rsidRPr="00386009">
        <w:rPr>
          <w:rStyle w:val="Refdenotaalpie"/>
          <w:rFonts w:ascii="Arial" w:eastAsia="Calibri" w:hAnsi="Arial" w:cs="Arial"/>
          <w:color w:val="000000" w:themeColor="text1"/>
          <w:sz w:val="22"/>
          <w:lang w:val="es-ES"/>
        </w:rPr>
        <w:footnoteReference w:id="17"/>
      </w:r>
      <w:r w:rsidR="003E3638" w:rsidRPr="00386009">
        <w:rPr>
          <w:rFonts w:ascii="Arial" w:eastAsia="Calibri" w:hAnsi="Arial" w:cs="Arial"/>
          <w:color w:val="000000" w:themeColor="text1"/>
          <w:sz w:val="22"/>
          <w:lang w:val="es-ES"/>
        </w:rPr>
        <w:t>. De igual forma, se indica que estos certificados deberán contener las anotaciones de providencias ejecutoriadas dentro de los cinco [5] años anteriores a su expedición y, en todo caso, aquellas que se refieran a sanciones o inhabilidades que se encuentren vigentes en dicho momento</w:t>
      </w:r>
      <w:r w:rsidR="003E3638" w:rsidRPr="00386009">
        <w:rPr>
          <w:rStyle w:val="Refdenotaalpie"/>
          <w:rFonts w:ascii="Arial" w:eastAsia="Calibri" w:hAnsi="Arial" w:cs="Arial"/>
          <w:color w:val="000000" w:themeColor="text1"/>
          <w:sz w:val="22"/>
          <w:lang w:val="es-ES"/>
        </w:rPr>
        <w:footnoteReference w:id="18"/>
      </w:r>
      <w:r w:rsidR="003E3638" w:rsidRPr="00386009">
        <w:rPr>
          <w:rFonts w:ascii="Arial" w:eastAsia="Calibri" w:hAnsi="Arial" w:cs="Arial"/>
          <w:color w:val="000000" w:themeColor="text1"/>
          <w:sz w:val="22"/>
          <w:lang w:val="es-ES"/>
        </w:rPr>
        <w:t xml:space="preserve">. </w:t>
      </w:r>
    </w:p>
    <w:p w14:paraId="74BBBEEA" w14:textId="77777777" w:rsidR="003E3638" w:rsidRPr="00386009" w:rsidRDefault="003E3638" w:rsidP="003E3638">
      <w:pPr>
        <w:spacing w:before="120" w:after="120" w:line="276" w:lineRule="auto"/>
        <w:ind w:firstLine="708"/>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Por su parte, el artículo 5 indica que el certificado de vigencia de inscripción y de antecedentes disciplinarios deberá contener la siguiente información: […] d) si el profesional tiene o no vigente su inscripción ante la Junta Central de Contadores y si durante los últimos cinco [5] años, o desde su registro como contador público, presenta o no anotaciones sobre antecedentes disciplinarios</w:t>
      </w:r>
      <w:r w:rsidRPr="00386009">
        <w:rPr>
          <w:rStyle w:val="Refdenotaalpie"/>
          <w:rFonts w:ascii="Arial" w:eastAsia="Calibri" w:hAnsi="Arial" w:cs="Arial"/>
          <w:color w:val="000000" w:themeColor="text1"/>
          <w:sz w:val="22"/>
          <w:lang w:val="es-ES"/>
        </w:rPr>
        <w:footnoteReference w:id="19"/>
      </w:r>
      <w:r w:rsidRPr="00386009">
        <w:rPr>
          <w:rFonts w:ascii="Arial" w:eastAsia="Calibri" w:hAnsi="Arial" w:cs="Arial"/>
          <w:color w:val="000000" w:themeColor="text1"/>
          <w:sz w:val="22"/>
          <w:lang w:val="es-ES"/>
        </w:rPr>
        <w:t xml:space="preserve">.Conforme a lo anterior, el certificado de </w:t>
      </w:r>
      <w:r w:rsidRPr="00386009">
        <w:rPr>
          <w:rFonts w:ascii="Arial" w:eastAsia="Calibri" w:hAnsi="Arial" w:cs="Arial"/>
          <w:color w:val="000000" w:themeColor="text1"/>
          <w:sz w:val="22"/>
          <w:lang w:val="es-ES"/>
        </w:rPr>
        <w:lastRenderedPageBreak/>
        <w:t xml:space="preserve">antecedentes disciplinarios del contador público deberá contener las anotaciones de providencias ejecutoriadas dentro de los cinco años anteriores a su expedición, y de igual forma se identificarán las sanciones o inhabilidades que se encuentren vigentes en dicho momento. </w:t>
      </w:r>
    </w:p>
    <w:p w14:paraId="6197FD49" w14:textId="77777777" w:rsidR="003E3638" w:rsidRPr="00386009" w:rsidRDefault="003E3638" w:rsidP="003E3638">
      <w:pPr>
        <w:spacing w:before="120" w:after="120" w:line="276" w:lineRule="auto"/>
        <w:ind w:firstLine="708"/>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Asimismo, en virtud del parágrafo segundo, del artículo 5, los certificados a que se refiere la presente resolución tendrán una vigencia de tres [3] meses, contados a partir de su expedición</w:t>
      </w:r>
      <w:r w:rsidRPr="00386009">
        <w:rPr>
          <w:rStyle w:val="Refdenotaalpie"/>
          <w:rFonts w:ascii="Arial" w:eastAsia="Calibri" w:hAnsi="Arial" w:cs="Arial"/>
          <w:color w:val="000000" w:themeColor="text1"/>
          <w:sz w:val="22"/>
          <w:lang w:val="es-ES"/>
        </w:rPr>
        <w:footnoteReference w:id="20"/>
      </w:r>
      <w:r w:rsidRPr="00386009">
        <w:rPr>
          <w:rFonts w:ascii="Arial" w:eastAsia="Calibri" w:hAnsi="Arial" w:cs="Arial"/>
          <w:color w:val="000000" w:themeColor="text1"/>
          <w:sz w:val="22"/>
          <w:lang w:val="es-ES"/>
        </w:rPr>
        <w:t>.</w:t>
      </w:r>
    </w:p>
    <w:p w14:paraId="1EDCB11D" w14:textId="77777777" w:rsidR="003E3638" w:rsidRPr="00386009" w:rsidRDefault="003E3638" w:rsidP="003E3638">
      <w:pPr>
        <w:spacing w:before="120" w:after="120" w:line="276" w:lineRule="auto"/>
        <w:ind w:firstLine="708"/>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En este sentido, los proponentes obligados a tener RUP deberán presentar el certificado de antecedentes disciplinarios de contadores con fecha de expedición no mayor a noventa [90] días calendario anteriores a la fecha del cierre del Proceso de Contratación por los siguientes motivos:  i) este certificado contendrá las providencias ejecutoriadas que se hayan expedido dentro de los cinco años anteriores a su expedición y, por tanto, se verificará si para la época en la cual el contador suscribió el estado de resultados integral tenía alguna sanción o inhabilidad y ii) porque el certificado tiene una vigencia de tres [3] meses desde su expedición.</w:t>
      </w:r>
    </w:p>
    <w:p w14:paraId="2EFF7FD7" w14:textId="01326FD1" w:rsidR="00AE5A06" w:rsidRPr="00386009" w:rsidRDefault="003E3638" w:rsidP="003E3638">
      <w:pPr>
        <w:spacing w:before="120" w:line="276" w:lineRule="auto"/>
        <w:jc w:val="both"/>
        <w:rPr>
          <w:rFonts w:ascii="Arial" w:eastAsia="Calibri" w:hAnsi="Arial" w:cs="Arial"/>
          <w:color w:val="000000"/>
          <w:sz w:val="22"/>
          <w:lang w:val="es-ES"/>
        </w:rPr>
      </w:pPr>
      <w:r w:rsidRPr="00386009">
        <w:rPr>
          <w:rFonts w:ascii="Arial" w:eastAsia="Calibri" w:hAnsi="Arial" w:cs="Arial"/>
          <w:color w:val="000000" w:themeColor="text1"/>
          <w:sz w:val="22"/>
          <w:lang w:val="es-ES"/>
        </w:rPr>
        <w:tab/>
        <w:t xml:space="preserve">Ahora usted pregunta: </w:t>
      </w:r>
      <w:r w:rsidRPr="00386009">
        <w:rPr>
          <w:rFonts w:ascii="Arial" w:eastAsia="Calibri" w:hAnsi="Arial" w:cs="Arial"/>
          <w:color w:val="000000"/>
          <w:sz w:val="22"/>
          <w:lang w:val="es-ES"/>
        </w:rPr>
        <w:t xml:space="preserve">¿si en los antecedentes de los contadores figura una nota de que el profesional no ha actualizado el registro, será suficiente para que no sea válido el certificado? Tal y </w:t>
      </w:r>
      <w:r w:rsidR="00DB2904" w:rsidRPr="00386009">
        <w:rPr>
          <w:rFonts w:ascii="Arial" w:eastAsia="Calibri" w:hAnsi="Arial" w:cs="Arial"/>
          <w:color w:val="000000"/>
          <w:sz w:val="22"/>
          <w:lang w:val="es-ES"/>
        </w:rPr>
        <w:t>como</w:t>
      </w:r>
      <w:r w:rsidRPr="00386009">
        <w:rPr>
          <w:rFonts w:ascii="Arial" w:eastAsia="Calibri" w:hAnsi="Arial" w:cs="Arial"/>
          <w:color w:val="000000"/>
          <w:sz w:val="22"/>
          <w:lang w:val="es-ES"/>
        </w:rPr>
        <w:t xml:space="preserve"> </w:t>
      </w:r>
      <w:r w:rsidR="00DB2904" w:rsidRPr="00386009">
        <w:rPr>
          <w:rFonts w:ascii="Arial" w:eastAsia="Calibri" w:hAnsi="Arial" w:cs="Arial"/>
          <w:color w:val="000000"/>
          <w:sz w:val="22"/>
          <w:lang w:val="es-ES"/>
        </w:rPr>
        <w:t>se explicó</w:t>
      </w:r>
      <w:r w:rsidRPr="00386009">
        <w:rPr>
          <w:rFonts w:ascii="Arial" w:eastAsia="Calibri" w:hAnsi="Arial" w:cs="Arial"/>
          <w:color w:val="000000"/>
          <w:sz w:val="22"/>
          <w:lang w:val="es-ES"/>
        </w:rPr>
        <w:t xml:space="preserve"> anteriormente, el certificado de antecedentes disciplinarios de contadores se presentará con fecha de expedición no mayor a noventa [90] días calendario anteriores a la fecha del cierre del Proceso de Contratación para que sea válido en el Proceso de Contratación. </w:t>
      </w:r>
    </w:p>
    <w:p w14:paraId="0E5A15B4" w14:textId="77777777" w:rsidR="00DB2904" w:rsidRPr="00386009" w:rsidRDefault="00DB2904" w:rsidP="00DB2904">
      <w:pPr>
        <w:spacing w:line="276" w:lineRule="auto"/>
        <w:jc w:val="both"/>
        <w:rPr>
          <w:rFonts w:ascii="Arial" w:eastAsia="Calibri" w:hAnsi="Arial" w:cs="Arial"/>
          <w:b/>
          <w:bCs/>
          <w:color w:val="000000"/>
          <w:sz w:val="22"/>
          <w:lang w:val="es-ES"/>
        </w:rPr>
      </w:pPr>
    </w:p>
    <w:p w14:paraId="48D73197" w14:textId="67C1BC1A" w:rsidR="00DB2904" w:rsidRPr="00386009" w:rsidRDefault="00DB2904" w:rsidP="00DB2904">
      <w:pPr>
        <w:spacing w:line="276" w:lineRule="auto"/>
        <w:jc w:val="both"/>
        <w:rPr>
          <w:rFonts w:ascii="Arial" w:eastAsia="Calibri" w:hAnsi="Arial" w:cs="Arial"/>
          <w:b/>
          <w:bCs/>
          <w:color w:val="000000" w:themeColor="text1"/>
          <w:sz w:val="22"/>
          <w:lang w:val="es-ES"/>
        </w:rPr>
      </w:pPr>
      <w:r w:rsidRPr="00386009">
        <w:rPr>
          <w:rFonts w:ascii="Arial" w:eastAsia="Calibri" w:hAnsi="Arial" w:cs="Arial"/>
          <w:b/>
          <w:bCs/>
          <w:color w:val="000000"/>
          <w:sz w:val="22"/>
          <w:lang w:val="es-ES"/>
        </w:rPr>
        <w:t xml:space="preserve">2.3 </w:t>
      </w:r>
      <w:r w:rsidRPr="00386009">
        <w:rPr>
          <w:rFonts w:ascii="Arial" w:eastAsia="Calibri" w:hAnsi="Arial" w:cs="Arial"/>
          <w:b/>
          <w:bCs/>
          <w:color w:val="000000" w:themeColor="text1"/>
          <w:sz w:val="22"/>
          <w:lang w:val="es-ES"/>
        </w:rPr>
        <w:t>Alcance de la regla de la subsanabilidad de las ofertas en los procedimientos de selección. Unificación de criterio.</w:t>
      </w:r>
    </w:p>
    <w:p w14:paraId="37795A18" w14:textId="77777777" w:rsidR="00F86590" w:rsidRPr="00386009" w:rsidRDefault="00F86590" w:rsidP="00DB2904">
      <w:pPr>
        <w:spacing w:line="276" w:lineRule="auto"/>
        <w:jc w:val="both"/>
        <w:rPr>
          <w:rFonts w:ascii="Arial" w:hAnsi="Arial" w:cs="Arial"/>
          <w:color w:val="000000" w:themeColor="text1"/>
          <w:sz w:val="22"/>
          <w:lang w:val="es-ES"/>
        </w:rPr>
      </w:pPr>
    </w:p>
    <w:p w14:paraId="577DF5F9" w14:textId="726E11C6" w:rsidR="00DB2904" w:rsidRPr="00386009" w:rsidRDefault="005A1679" w:rsidP="00DB2904">
      <w:pPr>
        <w:spacing w:line="276" w:lineRule="auto"/>
        <w:jc w:val="both"/>
        <w:rPr>
          <w:rFonts w:ascii="Arial" w:hAnsi="Arial" w:cs="Arial"/>
          <w:color w:val="000000" w:themeColor="text1"/>
          <w:sz w:val="22"/>
          <w:lang w:val="es-ES"/>
        </w:rPr>
      </w:pPr>
      <w:r w:rsidRPr="00386009">
        <w:rPr>
          <w:rFonts w:ascii="Arial" w:hAnsi="Arial" w:cs="Arial"/>
          <w:color w:val="000000" w:themeColor="text1"/>
          <w:sz w:val="22"/>
          <w:lang w:val="es-ES"/>
        </w:rPr>
        <w:t>A continuación</w:t>
      </w:r>
      <w:r w:rsidR="005452C6" w:rsidRPr="00386009">
        <w:rPr>
          <w:rFonts w:ascii="Arial" w:hAnsi="Arial" w:cs="Arial"/>
          <w:color w:val="000000" w:themeColor="text1"/>
          <w:sz w:val="22"/>
          <w:lang w:val="es-ES"/>
        </w:rPr>
        <w:t>,</w:t>
      </w:r>
      <w:r w:rsidRPr="00386009">
        <w:rPr>
          <w:rFonts w:ascii="Arial" w:hAnsi="Arial" w:cs="Arial"/>
          <w:color w:val="000000" w:themeColor="text1"/>
          <w:sz w:val="22"/>
          <w:lang w:val="es-ES"/>
        </w:rPr>
        <w:t xml:space="preserve"> se </w:t>
      </w:r>
      <w:r w:rsidR="002B2CF4" w:rsidRPr="00386009">
        <w:rPr>
          <w:rFonts w:ascii="Arial" w:hAnsi="Arial" w:cs="Arial"/>
          <w:color w:val="000000" w:themeColor="text1"/>
          <w:sz w:val="22"/>
          <w:lang w:val="es-ES"/>
        </w:rPr>
        <w:t>reiterar</w:t>
      </w:r>
      <w:r w:rsidR="005452C6" w:rsidRPr="00386009">
        <w:rPr>
          <w:rFonts w:ascii="Arial" w:hAnsi="Arial" w:cs="Arial"/>
          <w:color w:val="000000" w:themeColor="text1"/>
          <w:sz w:val="22"/>
          <w:lang w:val="es-ES"/>
        </w:rPr>
        <w:t xml:space="preserve">á el concepto </w:t>
      </w:r>
      <w:r w:rsidRPr="00386009">
        <w:rPr>
          <w:rFonts w:ascii="Arial" w:hAnsi="Arial" w:cs="Arial"/>
          <w:color w:val="000000" w:themeColor="text1"/>
          <w:sz w:val="22"/>
          <w:lang w:val="es-ES"/>
        </w:rPr>
        <w:t>unifica</w:t>
      </w:r>
      <w:r w:rsidR="005452C6" w:rsidRPr="00386009">
        <w:rPr>
          <w:rFonts w:ascii="Arial" w:hAnsi="Arial" w:cs="Arial"/>
          <w:color w:val="000000" w:themeColor="text1"/>
          <w:sz w:val="22"/>
          <w:lang w:val="es-ES"/>
        </w:rPr>
        <w:t>do</w:t>
      </w:r>
      <w:r w:rsidRPr="00386009">
        <w:rPr>
          <w:rFonts w:ascii="Arial" w:hAnsi="Arial" w:cs="Arial"/>
          <w:color w:val="000000" w:themeColor="text1"/>
          <w:sz w:val="22"/>
          <w:lang w:val="es-ES"/>
        </w:rPr>
        <w:t xml:space="preserve"> de esta Subdirección en torno al alcance de la regla de la subsanabilidad, contenida actualmente en el artículo 5 de la Ley 1150 de 2007. </w:t>
      </w:r>
      <w:r w:rsidR="00DB2904" w:rsidRPr="00386009">
        <w:rPr>
          <w:rFonts w:ascii="Arial" w:hAnsi="Arial" w:cs="Arial"/>
          <w:color w:val="000000" w:themeColor="text1"/>
          <w:sz w:val="22"/>
          <w:lang w:val="es-ES"/>
        </w:rPr>
        <w:t xml:space="preserve"> Al respecto, la postura que se reitera en el presente concepto es la siguiente: por regla general, i) la falta de entrega o ii) los defectos, de los requisitos habilitantes, son subsanables. La excepción se encuentra en los casos, previstos en la ley, que limitan la subsanabilidad, es decir, en la prohibición de permitir la entrega de la garantía de seriedad </w:t>
      </w:r>
      <w:r w:rsidR="00DB2904" w:rsidRPr="00386009">
        <w:rPr>
          <w:rFonts w:ascii="Arial" w:hAnsi="Arial" w:cs="Arial"/>
          <w:color w:val="000000" w:themeColor="text1"/>
          <w:sz w:val="22"/>
          <w:lang w:val="es-ES"/>
        </w:rPr>
        <w:lastRenderedPageBreak/>
        <w:t xml:space="preserve">de la oferta que no fue aportada con la propuesta y de valer la acreditación de circunstancias ocurridas con posterioridad al cierre del proceso. </w:t>
      </w:r>
    </w:p>
    <w:p w14:paraId="1652344A" w14:textId="77777777" w:rsidR="00DB2904" w:rsidRPr="00386009" w:rsidRDefault="00DB2904" w:rsidP="00DB2904">
      <w:pPr>
        <w:spacing w:before="120" w:after="120" w:line="276" w:lineRule="auto"/>
        <w:ind w:firstLine="709"/>
        <w:jc w:val="both"/>
        <w:rPr>
          <w:rFonts w:ascii="Arial" w:hAnsi="Arial" w:cs="Arial"/>
          <w:color w:val="000000" w:themeColor="text1"/>
          <w:sz w:val="22"/>
          <w:lang w:val="es-ES"/>
        </w:rPr>
      </w:pPr>
      <w:r w:rsidRPr="00386009">
        <w:rPr>
          <w:rFonts w:ascii="Arial" w:hAnsi="Arial" w:cs="Arial"/>
          <w:color w:val="000000" w:themeColor="text1"/>
          <w:sz w:val="22"/>
          <w:lang w:val="es-ES"/>
        </w:rPr>
        <w:t xml:space="preserve">En efecto, la Agencia Nacional de Contratación Pública – Colombia Compra Eficiente, en el concepto con radicado No. 4201913000006471 del 28 de octubre de 2019, analizó el régimen jurídico de la subsanabilidad. De igual forma, en los conceptos con radicados No. 4201912000006711 del 12 de noviembre de 2019 y 4201912000006496 del 15 de noviembre de 2019 reiteró el desarrollo normativo y jurisprudencial para subsanar los errores de los documentos presentados en la oferta. La tesis propuesta en estos conceptos es la que se expone a continuación: </w:t>
      </w:r>
    </w:p>
    <w:p w14:paraId="6AACC4C3" w14:textId="77777777" w:rsidR="00DB2904" w:rsidRPr="00386009" w:rsidRDefault="00DB2904" w:rsidP="00DB2904">
      <w:pPr>
        <w:spacing w:before="120" w:after="120" w:line="276" w:lineRule="auto"/>
        <w:ind w:firstLine="709"/>
        <w:jc w:val="both"/>
        <w:rPr>
          <w:rFonts w:ascii="Arial" w:hAnsi="Arial" w:cs="Arial"/>
          <w:color w:val="000000" w:themeColor="text1"/>
          <w:sz w:val="22"/>
          <w:lang w:val="es-ES"/>
        </w:rPr>
      </w:pPr>
      <w:r w:rsidRPr="00386009">
        <w:rPr>
          <w:rFonts w:ascii="Arial" w:hAnsi="Arial" w:cs="Arial"/>
          <w:color w:val="000000" w:themeColor="text1"/>
          <w:sz w:val="22"/>
          <w:lang w:val="es-ES"/>
        </w:rPr>
        <w:t xml:space="preserve">La posibilidad de enmendar, corregir o subsanar los errores en los que se incurre en los documentos contentivos de la oferta es un tema que ha tenido diferentes momentos o etapas en el ordenamiento jurídico colombiano. </w:t>
      </w:r>
    </w:p>
    <w:p w14:paraId="01054A6E" w14:textId="77777777" w:rsidR="00DB2904" w:rsidRPr="00386009" w:rsidRDefault="00DB2904" w:rsidP="00DB2904">
      <w:pPr>
        <w:spacing w:before="120" w:after="120" w:line="276" w:lineRule="auto"/>
        <w:ind w:firstLine="709"/>
        <w:jc w:val="both"/>
        <w:rPr>
          <w:rFonts w:ascii="Arial" w:hAnsi="Arial" w:cs="Arial"/>
          <w:color w:val="000000" w:themeColor="text1"/>
          <w:sz w:val="22"/>
          <w:lang w:val="es-ES"/>
        </w:rPr>
      </w:pPr>
      <w:r w:rsidRPr="00386009">
        <w:rPr>
          <w:rFonts w:ascii="Arial" w:hAnsi="Arial" w:cs="Arial"/>
          <w:color w:val="000000" w:themeColor="text1"/>
          <w:sz w:val="22"/>
          <w:lang w:val="es-ES"/>
        </w:rPr>
        <w:t xml:space="preserve">En un </w:t>
      </w:r>
      <w:r w:rsidRPr="00386009">
        <w:rPr>
          <w:rFonts w:ascii="Arial" w:hAnsi="Arial" w:cs="Arial"/>
          <w:i/>
          <w:color w:val="000000" w:themeColor="text1"/>
          <w:sz w:val="22"/>
          <w:lang w:val="es-ES"/>
        </w:rPr>
        <w:t>primer momento</w:t>
      </w:r>
      <w:r w:rsidRPr="00386009">
        <w:rPr>
          <w:rFonts w:ascii="Arial" w:hAnsi="Arial" w:cs="Arial"/>
          <w:color w:val="000000" w:themeColor="text1"/>
          <w:sz w:val="22"/>
          <w:lang w:val="es-ES"/>
        </w:rPr>
        <w:t xml:space="preserve">, antes de la entrada en vigencia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43050C6B" w14:textId="77777777" w:rsidR="00DB2904" w:rsidRPr="00386009" w:rsidRDefault="00DB2904" w:rsidP="00DB2904">
      <w:pPr>
        <w:spacing w:before="120" w:after="120" w:line="276" w:lineRule="auto"/>
        <w:ind w:firstLine="709"/>
        <w:jc w:val="both"/>
        <w:rPr>
          <w:rFonts w:ascii="Arial" w:hAnsi="Arial" w:cs="Arial"/>
          <w:color w:val="000000" w:themeColor="text1"/>
          <w:sz w:val="22"/>
          <w:lang w:val="es-ES"/>
        </w:rPr>
      </w:pPr>
      <w:r w:rsidRPr="00386009">
        <w:rPr>
          <w:rFonts w:ascii="Arial" w:hAnsi="Arial" w:cs="Arial"/>
          <w:color w:val="000000" w:themeColor="text1"/>
          <w:sz w:val="22"/>
          <w:lang w:val="es-ES"/>
        </w:rPr>
        <w:t xml:space="preserve">En un </w:t>
      </w:r>
      <w:r w:rsidRPr="00386009">
        <w:rPr>
          <w:rFonts w:ascii="Arial" w:hAnsi="Arial" w:cs="Arial"/>
          <w:i/>
          <w:color w:val="000000" w:themeColor="text1"/>
          <w:sz w:val="22"/>
          <w:lang w:val="es-ES"/>
        </w:rPr>
        <w:t>segundo momento</w:t>
      </w:r>
      <w:r w:rsidRPr="00386009">
        <w:rPr>
          <w:rFonts w:ascii="Arial" w:hAnsi="Arial" w:cs="Arial"/>
          <w:color w:val="000000" w:themeColor="text1"/>
          <w:sz w:val="22"/>
          <w:lang w:val="es-ES"/>
        </w:rPr>
        <w:t xml:space="preserve"> se expidió la Ley 80 de 1993, bajo el paradigma que supuso la Constitución de 1991, particularmente en la forma como se relaciona lo formal y lo sustancial en las actuaciones judiciales y administrativas. Este cambio ideológico quedó consignado en el artículo 228, que introdujo el principio de supremacía o prevalencia del derecho sustancial sobre el procedimental.</w:t>
      </w:r>
    </w:p>
    <w:p w14:paraId="33BA3007" w14:textId="77777777" w:rsidR="00DB2904" w:rsidRPr="00386009" w:rsidRDefault="00DB2904" w:rsidP="00DB2904">
      <w:pPr>
        <w:spacing w:line="276" w:lineRule="auto"/>
        <w:ind w:firstLine="709"/>
        <w:jc w:val="both"/>
        <w:rPr>
          <w:rFonts w:ascii="Arial" w:hAnsi="Arial" w:cs="Arial"/>
          <w:color w:val="000000" w:themeColor="text1"/>
          <w:sz w:val="22"/>
          <w:lang w:val="es-ES"/>
        </w:rPr>
      </w:pPr>
      <w:r w:rsidRPr="00386009">
        <w:rPr>
          <w:rFonts w:ascii="Arial" w:hAnsi="Arial" w:cs="Arial"/>
          <w:color w:val="000000" w:themeColor="text1"/>
          <w:sz w:val="22"/>
          <w:lang w:val="es-ES"/>
        </w:rPr>
        <w:t xml:space="preserve">En este nuevo escenario constitucional, el numeral 15 del artículo 25 de la Ley 80 de 1993 dispuso lo siguiente: </w:t>
      </w:r>
    </w:p>
    <w:p w14:paraId="08D1429B" w14:textId="77777777" w:rsidR="00DB2904" w:rsidRPr="00386009" w:rsidRDefault="00DB2904" w:rsidP="00DB2904">
      <w:pPr>
        <w:spacing w:line="276" w:lineRule="auto"/>
        <w:jc w:val="both"/>
        <w:rPr>
          <w:rFonts w:ascii="Arial" w:hAnsi="Arial" w:cs="Arial"/>
          <w:color w:val="000000" w:themeColor="text1"/>
          <w:sz w:val="22"/>
          <w:lang w:val="es-ES"/>
        </w:rPr>
      </w:pPr>
    </w:p>
    <w:p w14:paraId="5EF4E16A" w14:textId="77777777" w:rsidR="00DB2904" w:rsidRPr="00386009" w:rsidRDefault="00DB2904" w:rsidP="00DB2904">
      <w:pPr>
        <w:ind w:left="709" w:right="709"/>
        <w:jc w:val="both"/>
        <w:rPr>
          <w:rFonts w:ascii="Arial" w:hAnsi="Arial" w:cs="Arial"/>
          <w:color w:val="000000" w:themeColor="text1"/>
          <w:sz w:val="21"/>
          <w:szCs w:val="21"/>
          <w:lang w:val="es-ES"/>
        </w:rPr>
      </w:pPr>
      <w:r w:rsidRPr="00386009">
        <w:rPr>
          <w:rFonts w:ascii="Arial" w:hAnsi="Arial" w:cs="Arial"/>
          <w:color w:val="000000" w:themeColor="text1"/>
          <w:sz w:val="21"/>
          <w:szCs w:val="21"/>
          <w:lang w:val="es-ES"/>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737886AE" w14:textId="77777777" w:rsidR="00DB2904" w:rsidRPr="00386009" w:rsidRDefault="00DB2904" w:rsidP="00DB2904">
      <w:pPr>
        <w:ind w:left="709" w:right="709"/>
        <w:jc w:val="both"/>
        <w:rPr>
          <w:rFonts w:ascii="Arial" w:hAnsi="Arial" w:cs="Arial"/>
          <w:color w:val="000000" w:themeColor="text1"/>
          <w:sz w:val="21"/>
          <w:szCs w:val="21"/>
          <w:lang w:val="es-ES"/>
        </w:rPr>
      </w:pPr>
      <w:r w:rsidRPr="00386009">
        <w:rPr>
          <w:rFonts w:ascii="Arial" w:hAnsi="Arial" w:cs="Arial"/>
          <w:color w:val="000000" w:themeColor="text1"/>
          <w:sz w:val="21"/>
          <w:szCs w:val="21"/>
          <w:lang w:val="es-ES"/>
        </w:rPr>
        <w:t xml:space="preserve"> </w:t>
      </w:r>
    </w:p>
    <w:p w14:paraId="71D3C5FB" w14:textId="77777777" w:rsidR="00DB2904" w:rsidRPr="00386009" w:rsidRDefault="00DB2904" w:rsidP="00DB2904">
      <w:pPr>
        <w:ind w:left="709" w:right="709"/>
        <w:jc w:val="both"/>
        <w:rPr>
          <w:rFonts w:ascii="Arial" w:hAnsi="Arial" w:cs="Arial"/>
          <w:color w:val="000000" w:themeColor="text1"/>
          <w:sz w:val="21"/>
          <w:szCs w:val="21"/>
          <w:lang w:val="es-ES"/>
        </w:rPr>
      </w:pPr>
      <w:r w:rsidRPr="00386009">
        <w:rPr>
          <w:rFonts w:ascii="Arial" w:hAnsi="Arial" w:cs="Arial"/>
          <w:color w:val="000000" w:themeColor="text1"/>
          <w:sz w:val="21"/>
          <w:szCs w:val="21"/>
          <w:lang w:val="es-ES"/>
        </w:rPr>
        <w:t xml:space="preserve">La ausencia de requisitos o la falta de documentos referentes a la futura contratación o al proponente, no necesarios para la comparación de propuestas, no servirá de título suficiente para el rechazo de los ofrecimientos hechos. </w:t>
      </w:r>
    </w:p>
    <w:p w14:paraId="645F294A" w14:textId="77777777" w:rsidR="00DB2904" w:rsidRPr="00386009" w:rsidRDefault="00DB2904" w:rsidP="00DB2904">
      <w:pPr>
        <w:spacing w:line="276" w:lineRule="auto"/>
        <w:jc w:val="both"/>
        <w:rPr>
          <w:rFonts w:ascii="Arial" w:hAnsi="Arial" w:cs="Arial"/>
          <w:b/>
          <w:color w:val="000000" w:themeColor="text1"/>
          <w:sz w:val="22"/>
          <w:lang w:val="es-ES"/>
        </w:rPr>
      </w:pPr>
    </w:p>
    <w:p w14:paraId="31BFE682" w14:textId="77777777" w:rsidR="00DB2904" w:rsidRPr="00386009" w:rsidRDefault="00DB2904" w:rsidP="00DB2904">
      <w:pPr>
        <w:spacing w:line="276" w:lineRule="auto"/>
        <w:ind w:firstLine="709"/>
        <w:jc w:val="both"/>
        <w:rPr>
          <w:rFonts w:ascii="Arial" w:hAnsi="Arial" w:cs="Arial"/>
          <w:color w:val="000000" w:themeColor="text1"/>
          <w:sz w:val="22"/>
          <w:lang w:val="es-ES"/>
        </w:rPr>
      </w:pPr>
      <w:r w:rsidRPr="00386009">
        <w:rPr>
          <w:rFonts w:ascii="Arial" w:hAnsi="Arial" w:cs="Arial"/>
          <w:color w:val="000000" w:themeColor="text1"/>
          <w:sz w:val="22"/>
          <w:lang w:val="es-ES"/>
        </w:rPr>
        <w:t>Bajo el amparo de esta norma, el régimen jurídico de subsanabilidad de las ofertas sufre un cambio fundamental, pues ya no era posible rechazar las ofertas por falta de requisitos o documentos que no fueran “</w:t>
      </w:r>
      <w:r w:rsidRPr="00386009">
        <w:rPr>
          <w:rFonts w:ascii="Arial" w:hAnsi="Arial" w:cs="Arial"/>
          <w:i/>
          <w:color w:val="000000" w:themeColor="text1"/>
          <w:sz w:val="22"/>
          <w:lang w:val="es-ES"/>
        </w:rPr>
        <w:t>necesarios para la comparación de propuestas</w:t>
      </w:r>
      <w:r w:rsidRPr="00386009">
        <w:rPr>
          <w:rFonts w:ascii="Arial" w:hAnsi="Arial" w:cs="Arial"/>
          <w:color w:val="000000" w:themeColor="text1"/>
          <w:sz w:val="22"/>
          <w:lang w:val="es-ES"/>
        </w:rPr>
        <w:t xml:space="preserve">”. De esta manera, la ley introdujo un primer criterio jurídico, aunque indeterminado, que </w:t>
      </w:r>
      <w:r w:rsidRPr="00386009">
        <w:rPr>
          <w:rFonts w:ascii="Arial" w:hAnsi="Arial" w:cs="Arial"/>
          <w:color w:val="000000" w:themeColor="text1"/>
          <w:sz w:val="22"/>
          <w:lang w:val="es-ES"/>
        </w:rPr>
        <w:lastRenderedPageBreak/>
        <w:t xml:space="preserve">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29FACEE9" w14:textId="77777777" w:rsidR="00DB2904" w:rsidRPr="00386009" w:rsidRDefault="00DB2904" w:rsidP="00DB2904">
      <w:pPr>
        <w:spacing w:before="120" w:after="120" w:line="276" w:lineRule="auto"/>
        <w:ind w:firstLine="709"/>
        <w:jc w:val="both"/>
        <w:rPr>
          <w:rFonts w:ascii="Arial" w:hAnsi="Arial" w:cs="Arial"/>
          <w:color w:val="000000" w:themeColor="text1"/>
          <w:sz w:val="22"/>
          <w:lang w:val="es-ES"/>
        </w:rPr>
      </w:pPr>
      <w:r w:rsidRPr="00386009">
        <w:rPr>
          <w:rFonts w:ascii="Arial" w:hAnsi="Arial" w:cs="Arial"/>
          <w:color w:val="000000" w:themeColor="text1"/>
          <w:sz w:val="22"/>
          <w:lang w:val="es-ES"/>
        </w:rPr>
        <w:t>Esta norma debía leerse en conjunto con otras de la Ley 80 de 1993, particularmente con el artículo 30.7</w:t>
      </w:r>
      <w:r w:rsidRPr="00386009">
        <w:rPr>
          <w:rStyle w:val="Refdenotaalpie"/>
          <w:rFonts w:ascii="Arial" w:hAnsi="Arial" w:cs="Arial"/>
          <w:color w:val="000000" w:themeColor="text1"/>
          <w:sz w:val="22"/>
          <w:lang w:val="es-ES"/>
        </w:rPr>
        <w:footnoteReference w:id="21"/>
      </w:r>
      <w:r w:rsidRPr="00386009">
        <w:rPr>
          <w:rFonts w:ascii="Arial" w:hAnsi="Arial" w:cs="Arial"/>
          <w:color w:val="000000" w:themeColor="text1"/>
          <w:sz w:val="22"/>
          <w:lang w:val="es-ES"/>
        </w:rPr>
        <w:t>, que ordena a la entidad señalar un plazo razonable para evaluar las propuestas y pedir a los proponentes, de ser necesario, que aclaren o expliquen aspectos que ofrezcan dudas y resulten indispensables para hacer la evaluación; y con el artículo 30.8</w:t>
      </w:r>
      <w:r w:rsidRPr="00386009">
        <w:rPr>
          <w:rStyle w:val="Refdenotaalpie"/>
          <w:rFonts w:ascii="Arial" w:hAnsi="Arial" w:cs="Arial"/>
          <w:color w:val="000000" w:themeColor="text1"/>
          <w:sz w:val="22"/>
          <w:lang w:val="es-ES"/>
        </w:rPr>
        <w:footnoteReference w:id="22"/>
      </w:r>
      <w:r w:rsidRPr="00386009">
        <w:rPr>
          <w:rFonts w:ascii="Arial" w:hAnsi="Arial" w:cs="Arial"/>
          <w:color w:val="000000" w:themeColor="text1"/>
          <w:sz w:val="22"/>
          <w:lang w:val="es-ES"/>
        </w:rPr>
        <w:t xml:space="preserve">, que consagró el término de 5 días hábiles para que los oferentes presenten observaciones al informe de evaluación de las propuestas, sin que sea posible completar, adicionar, modificar o mejorar la oferta.  </w:t>
      </w:r>
    </w:p>
    <w:p w14:paraId="15E097A4" w14:textId="77777777" w:rsidR="00DB2904" w:rsidRPr="00386009" w:rsidRDefault="00DB2904" w:rsidP="00DB2904">
      <w:pPr>
        <w:spacing w:before="120" w:after="120" w:line="276" w:lineRule="auto"/>
        <w:ind w:firstLine="709"/>
        <w:jc w:val="both"/>
        <w:rPr>
          <w:rFonts w:ascii="Arial" w:hAnsi="Arial" w:cs="Arial"/>
          <w:color w:val="000000" w:themeColor="text1"/>
          <w:sz w:val="22"/>
          <w:lang w:val="es-ES"/>
        </w:rPr>
      </w:pPr>
      <w:r w:rsidRPr="00386009">
        <w:rPr>
          <w:rFonts w:ascii="Arial" w:hAnsi="Arial" w:cs="Arial"/>
          <w:color w:val="000000" w:themeColor="text1"/>
          <w:sz w:val="22"/>
          <w:lang w:val="es-ES"/>
        </w:rPr>
        <w:t xml:space="preserve">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la comparación. </w:t>
      </w:r>
    </w:p>
    <w:p w14:paraId="64261DA2" w14:textId="77777777" w:rsidR="00DB2904" w:rsidRPr="00386009" w:rsidRDefault="00DB2904" w:rsidP="00DB2904">
      <w:pPr>
        <w:spacing w:line="276" w:lineRule="auto"/>
        <w:ind w:firstLine="709"/>
        <w:jc w:val="both"/>
        <w:rPr>
          <w:rFonts w:ascii="Arial" w:hAnsi="Arial" w:cs="Arial"/>
          <w:color w:val="000000" w:themeColor="text1"/>
          <w:sz w:val="22"/>
          <w:lang w:val="es-ES"/>
        </w:rPr>
      </w:pPr>
      <w:r w:rsidRPr="00386009">
        <w:rPr>
          <w:rFonts w:ascii="Arial" w:hAnsi="Arial" w:cs="Arial"/>
          <w:color w:val="000000" w:themeColor="text1"/>
          <w:sz w:val="22"/>
          <w:lang w:val="es-ES"/>
        </w:rPr>
        <w:t xml:space="preserve">En un </w:t>
      </w:r>
      <w:r w:rsidRPr="00386009">
        <w:rPr>
          <w:rFonts w:ascii="Arial" w:hAnsi="Arial" w:cs="Arial"/>
          <w:i/>
          <w:color w:val="000000" w:themeColor="text1"/>
          <w:sz w:val="22"/>
          <w:lang w:val="es-ES"/>
        </w:rPr>
        <w:t>tercer momento</w:t>
      </w:r>
      <w:r w:rsidRPr="00386009">
        <w:rPr>
          <w:rFonts w:ascii="Arial" w:hAnsi="Arial" w:cs="Arial"/>
          <w:color w:val="000000" w:themeColor="text1"/>
          <w:sz w:val="22"/>
          <w:lang w:val="es-ES"/>
        </w:rPr>
        <w:t xml:space="preserve">, y siguiendo la línea trazada por la Ley 80 de 1993, el legislador expidió la Ley 1150 de 2007, que, en el parágrafo 1º del artículo 5, determinó lo siguiente: </w:t>
      </w:r>
    </w:p>
    <w:p w14:paraId="254BAC64" w14:textId="77777777" w:rsidR="00DB2904" w:rsidRPr="00386009" w:rsidRDefault="00DB2904" w:rsidP="00DB2904">
      <w:pPr>
        <w:spacing w:line="276" w:lineRule="auto"/>
        <w:jc w:val="both"/>
        <w:rPr>
          <w:rFonts w:ascii="Arial" w:hAnsi="Arial" w:cs="Arial"/>
          <w:color w:val="000000" w:themeColor="text1"/>
          <w:sz w:val="22"/>
          <w:lang w:val="es-ES"/>
        </w:rPr>
      </w:pPr>
    </w:p>
    <w:p w14:paraId="63213851" w14:textId="77777777" w:rsidR="00DB2904" w:rsidRPr="00386009" w:rsidRDefault="00DB2904" w:rsidP="00DB2904">
      <w:pPr>
        <w:ind w:left="709" w:right="709"/>
        <w:jc w:val="both"/>
        <w:rPr>
          <w:rFonts w:ascii="Arial" w:hAnsi="Arial" w:cs="Arial"/>
          <w:color w:val="000000" w:themeColor="text1"/>
          <w:sz w:val="22"/>
          <w:lang w:val="es-ES"/>
        </w:rPr>
      </w:pPr>
      <w:r w:rsidRPr="00386009">
        <w:rPr>
          <w:rFonts w:ascii="Arial" w:hAnsi="Arial" w:cs="Arial"/>
          <w:color w:val="000000" w:themeColor="text1"/>
          <w:sz w:val="22"/>
          <w:lang w:val="es-ES"/>
        </w:rPr>
        <w:t xml:space="preserve">Parágrafo 1°. La ausencia de requisitos o la falta de documentos referentes a la futura </w:t>
      </w:r>
      <w:r w:rsidRPr="00386009">
        <w:rPr>
          <w:rFonts w:ascii="Arial" w:hAnsi="Arial" w:cs="Arial"/>
          <w:color w:val="000000" w:themeColor="text1"/>
          <w:sz w:val="21"/>
          <w:szCs w:val="21"/>
          <w:lang w:val="es-ES"/>
        </w:rPr>
        <w:t>contratación</w:t>
      </w:r>
      <w:r w:rsidRPr="00386009">
        <w:rPr>
          <w:rFonts w:ascii="Arial" w:hAnsi="Arial" w:cs="Arial"/>
          <w:color w:val="000000" w:themeColor="text1"/>
          <w:sz w:val="22"/>
          <w:lang w:val="es-ES"/>
        </w:rPr>
        <w:t xml:space="preserve"> o al proponente, no necesarios para la comparación de las propuestas no servirán de título suficiente para el rechazo de los ofrecimientos hechos. En consecuencia</w:t>
      </w:r>
      <w:r w:rsidRPr="00386009">
        <w:rPr>
          <w:rFonts w:ascii="Arial" w:hAnsi="Arial" w:cs="Arial"/>
          <w:b/>
          <w:color w:val="000000" w:themeColor="text1"/>
          <w:sz w:val="22"/>
          <w:lang w:val="es-ES"/>
        </w:rPr>
        <w:t xml:space="preserve">, </w:t>
      </w:r>
      <w:r w:rsidRPr="00386009">
        <w:rPr>
          <w:rFonts w:ascii="Arial" w:hAnsi="Arial" w:cs="Arial"/>
          <w:color w:val="000000" w:themeColor="text1"/>
          <w:sz w:val="22"/>
          <w:lang w:val="es-ES"/>
        </w:rPr>
        <w:t xml:space="preserve">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 </w:t>
      </w:r>
    </w:p>
    <w:p w14:paraId="0C7A59EA" w14:textId="77777777" w:rsidR="00DB2904" w:rsidRPr="00386009" w:rsidRDefault="00DB2904" w:rsidP="00DB2904">
      <w:pPr>
        <w:spacing w:line="276" w:lineRule="auto"/>
        <w:jc w:val="both"/>
        <w:rPr>
          <w:rFonts w:ascii="Arial" w:hAnsi="Arial" w:cs="Arial"/>
          <w:b/>
          <w:color w:val="000000" w:themeColor="text1"/>
          <w:sz w:val="22"/>
          <w:lang w:val="es-ES"/>
        </w:rPr>
      </w:pPr>
    </w:p>
    <w:p w14:paraId="4CD81B5B" w14:textId="77777777" w:rsidR="00DB2904" w:rsidRPr="00386009" w:rsidRDefault="00DB2904" w:rsidP="00DB2904">
      <w:pPr>
        <w:spacing w:line="276" w:lineRule="auto"/>
        <w:ind w:firstLine="709"/>
        <w:jc w:val="both"/>
        <w:rPr>
          <w:rFonts w:ascii="Arial" w:hAnsi="Arial" w:cs="Arial"/>
          <w:sz w:val="22"/>
          <w:lang w:val="es-ES"/>
        </w:rPr>
      </w:pPr>
      <w:r w:rsidRPr="00386009">
        <w:rPr>
          <w:rFonts w:ascii="Arial" w:hAnsi="Arial" w:cs="Arial"/>
          <w:sz w:val="22"/>
          <w:lang w:val="es-ES"/>
        </w:rPr>
        <w:t xml:space="preserve">Nótese que esta norma reitera lo que dispuso la Ley 80 de 1993, en el sentido de que los requisitos o documentos que no sean necesarios para la comparación de las ofertas </w:t>
      </w:r>
      <w:r w:rsidRPr="00386009">
        <w:rPr>
          <w:rFonts w:ascii="Arial" w:hAnsi="Arial" w:cs="Arial"/>
          <w:sz w:val="22"/>
          <w:lang w:val="es-ES"/>
        </w:rPr>
        <w:lastRenderedPageBreak/>
        <w:t xml:space="preserve">pueden subsanarse, pero además la Ley 1150 de 2007 introdujo otro criterio que le dio mayor claridad al tema: la asignación de puntaje. </w:t>
      </w:r>
    </w:p>
    <w:p w14:paraId="199E587D" w14:textId="77777777" w:rsidR="00DB2904" w:rsidRPr="00386009" w:rsidRDefault="00DB2904" w:rsidP="00DB2904">
      <w:pPr>
        <w:spacing w:before="120" w:after="120" w:line="276" w:lineRule="auto"/>
        <w:ind w:firstLine="709"/>
        <w:jc w:val="both"/>
        <w:rPr>
          <w:rFonts w:ascii="Arial" w:hAnsi="Arial" w:cs="Arial"/>
          <w:sz w:val="22"/>
          <w:lang w:val="es-ES"/>
        </w:rPr>
      </w:pPr>
      <w:r w:rsidRPr="00386009">
        <w:rPr>
          <w:rFonts w:ascii="Arial" w:hAnsi="Arial" w:cs="Arial"/>
          <w:sz w:val="22"/>
          <w:lang w:val="es-ES"/>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w:t>
      </w:r>
    </w:p>
    <w:p w14:paraId="6AB5727F" w14:textId="77777777" w:rsidR="00DB2904" w:rsidRPr="00386009" w:rsidRDefault="00DB2904" w:rsidP="00DB2904">
      <w:pPr>
        <w:spacing w:before="120" w:after="120" w:line="276" w:lineRule="auto"/>
        <w:ind w:firstLine="709"/>
        <w:jc w:val="both"/>
        <w:rPr>
          <w:rFonts w:ascii="Arial" w:hAnsi="Arial" w:cs="Arial"/>
          <w:sz w:val="22"/>
          <w:lang w:val="es-ES"/>
        </w:rPr>
      </w:pPr>
      <w:r w:rsidRPr="00386009">
        <w:rPr>
          <w:rFonts w:ascii="Arial" w:hAnsi="Arial" w:cs="Arial"/>
          <w:sz w:val="22"/>
          <w:lang w:val="es-ES"/>
        </w:rPr>
        <w:t xml:space="preserve">Si al verificar la Administración encuentra que lo omitido por el proponente es un aspecto que otorga puntaje, no es posible subsanarlo; pero, si no otorga puntaje la Administración debe requerir al proponente para que lo subsane.  </w:t>
      </w:r>
    </w:p>
    <w:p w14:paraId="4DF67017" w14:textId="77777777" w:rsidR="00DB2904" w:rsidRPr="00386009" w:rsidRDefault="00DB2904" w:rsidP="00DB2904">
      <w:pPr>
        <w:spacing w:line="276" w:lineRule="auto"/>
        <w:ind w:firstLine="709"/>
        <w:jc w:val="both"/>
        <w:rPr>
          <w:rFonts w:ascii="Arial" w:hAnsi="Arial" w:cs="Arial"/>
          <w:sz w:val="22"/>
          <w:lang w:val="es-ES"/>
        </w:rPr>
      </w:pPr>
      <w:r w:rsidRPr="00386009">
        <w:rPr>
          <w:rFonts w:ascii="Arial" w:hAnsi="Arial" w:cs="Arial"/>
          <w:sz w:val="22"/>
          <w:lang w:val="es-ES"/>
        </w:rPr>
        <w:t>El artículo 5 de la Ley 1150 de 2007, además de consagrar un criterio más claro, y, de paso, reducir la discrecionalidad de la Administración, fijó un ámbito temporal para la subsanación de las ofertas: “</w:t>
      </w:r>
      <w:r w:rsidRPr="00386009">
        <w:rPr>
          <w:rFonts w:ascii="Arial" w:hAnsi="Arial" w:cs="Arial"/>
          <w:i/>
          <w:sz w:val="22"/>
          <w:lang w:val="es-ES"/>
        </w:rPr>
        <w:t>en cualquier momento, hasta la adjudicación</w:t>
      </w:r>
      <w:r w:rsidRPr="00386009">
        <w:rPr>
          <w:rFonts w:ascii="Arial" w:hAnsi="Arial" w:cs="Arial"/>
          <w:sz w:val="22"/>
          <w:lang w:val="es-ES"/>
        </w:rPr>
        <w:t xml:space="preserve">”.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02370929" w14:textId="77777777" w:rsidR="00DB2904" w:rsidRPr="00386009" w:rsidRDefault="00DB2904" w:rsidP="00DB2904">
      <w:pPr>
        <w:spacing w:line="276" w:lineRule="auto"/>
        <w:jc w:val="both"/>
        <w:rPr>
          <w:rFonts w:ascii="Arial" w:hAnsi="Arial" w:cs="Arial"/>
          <w:sz w:val="22"/>
          <w:lang w:val="es-ES"/>
        </w:rPr>
      </w:pPr>
    </w:p>
    <w:p w14:paraId="14672577" w14:textId="77777777" w:rsidR="00DB2904" w:rsidRPr="00386009" w:rsidRDefault="00DB2904" w:rsidP="00DB2904">
      <w:pPr>
        <w:ind w:left="709" w:right="709"/>
        <w:jc w:val="both"/>
        <w:rPr>
          <w:rFonts w:ascii="Arial" w:hAnsi="Arial" w:cs="Arial"/>
          <w:sz w:val="21"/>
          <w:szCs w:val="21"/>
          <w:lang w:val="es-ES"/>
        </w:rPr>
      </w:pPr>
      <w:r w:rsidRPr="00386009">
        <w:rPr>
          <w:rFonts w:ascii="Arial" w:hAnsi="Arial" w:cs="Arial"/>
          <w:sz w:val="21"/>
          <w:szCs w:val="21"/>
          <w:lang w:val="es-ES"/>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386009">
        <w:rPr>
          <w:rStyle w:val="Refdenotaalpie"/>
          <w:rFonts w:ascii="Arial" w:hAnsi="Arial" w:cs="Arial"/>
          <w:sz w:val="21"/>
          <w:szCs w:val="21"/>
          <w:lang w:val="es-ES"/>
        </w:rPr>
        <w:footnoteReference w:id="23"/>
      </w:r>
      <w:r w:rsidRPr="00386009">
        <w:rPr>
          <w:rFonts w:ascii="Arial" w:hAnsi="Arial" w:cs="Arial"/>
          <w:sz w:val="21"/>
          <w:szCs w:val="21"/>
          <w:lang w:val="es-ES"/>
        </w:rPr>
        <w:t>.</w:t>
      </w:r>
    </w:p>
    <w:p w14:paraId="54150938" w14:textId="77777777" w:rsidR="00DB2904" w:rsidRPr="00386009" w:rsidRDefault="00DB2904" w:rsidP="00DB2904">
      <w:pPr>
        <w:spacing w:line="276" w:lineRule="auto"/>
        <w:jc w:val="both"/>
        <w:rPr>
          <w:rFonts w:ascii="Arial" w:hAnsi="Arial" w:cs="Arial"/>
          <w:b/>
          <w:sz w:val="22"/>
          <w:lang w:val="es-ES"/>
        </w:rPr>
      </w:pPr>
    </w:p>
    <w:p w14:paraId="460F82A9" w14:textId="77777777" w:rsidR="00DB2904" w:rsidRPr="00386009" w:rsidRDefault="00DB2904" w:rsidP="00DB2904">
      <w:pPr>
        <w:pStyle w:val="Textoindependiente"/>
        <w:tabs>
          <w:tab w:val="left" w:pos="284"/>
        </w:tabs>
        <w:spacing w:after="0"/>
        <w:ind w:firstLine="709"/>
        <w:jc w:val="both"/>
        <w:rPr>
          <w:rFonts w:ascii="Arial" w:eastAsiaTheme="minorHAnsi" w:hAnsi="Arial" w:cs="Arial"/>
          <w:lang w:val="es-ES" w:eastAsia="en-US"/>
        </w:rPr>
      </w:pPr>
      <w:r w:rsidRPr="00386009">
        <w:rPr>
          <w:rFonts w:ascii="Arial" w:eastAsiaTheme="minorHAnsi" w:hAnsi="Arial" w:cs="Arial"/>
          <w:lang w:val="es-ES" w:eastAsia="en-US"/>
        </w:rPr>
        <w:t xml:space="preserve">Esa interpretación fue compartida por la </w:t>
      </w:r>
      <w:r w:rsidRPr="00386009">
        <w:rPr>
          <w:rFonts w:ascii="Arial" w:hAnsi="Arial" w:cs="Arial"/>
          <w:lang w:val="es-ES"/>
        </w:rPr>
        <w:t>Agencia Nacional de Contratación Pública – Colombia Compra Eficiente</w:t>
      </w:r>
      <w:r w:rsidRPr="00386009">
        <w:rPr>
          <w:rFonts w:ascii="Arial" w:eastAsiaTheme="minorHAnsi" w:hAnsi="Arial" w:cs="Arial"/>
          <w:lang w:val="es-ES" w:eastAsia="en-US"/>
        </w:rPr>
        <w:t>, pues en la Circular Externa Única se precisó que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5C1454A6" w14:textId="77777777" w:rsidR="00DB2904" w:rsidRPr="00386009" w:rsidRDefault="00DB2904" w:rsidP="00DB2904">
      <w:pPr>
        <w:pStyle w:val="Textoindependiente"/>
        <w:tabs>
          <w:tab w:val="left" w:pos="284"/>
        </w:tabs>
        <w:spacing w:before="120" w:after="0"/>
        <w:ind w:firstLine="709"/>
        <w:jc w:val="both"/>
        <w:rPr>
          <w:rFonts w:ascii="Arial" w:eastAsiaTheme="minorHAnsi" w:hAnsi="Arial" w:cs="Arial"/>
          <w:lang w:val="es-ES" w:eastAsia="en-US"/>
        </w:rPr>
      </w:pPr>
      <w:r w:rsidRPr="00386009">
        <w:rPr>
          <w:rFonts w:ascii="Arial" w:hAnsi="Arial" w:cs="Arial"/>
          <w:lang w:val="es-ES"/>
        </w:rPr>
        <w:t xml:space="preserve">En un </w:t>
      </w:r>
      <w:r w:rsidRPr="00386009">
        <w:rPr>
          <w:rFonts w:ascii="Arial" w:hAnsi="Arial" w:cs="Arial"/>
          <w:i/>
          <w:lang w:val="es-ES"/>
        </w:rPr>
        <w:t>cuarto momento</w:t>
      </w:r>
      <w:r w:rsidRPr="00386009">
        <w:rPr>
          <w:rFonts w:ascii="Arial" w:hAnsi="Arial" w:cs="Arial"/>
          <w:lang w:val="es-ES"/>
        </w:rPr>
        <w:t xml:space="preserve">, el legislador expidió la Ley 1882 de 2018, con la finalidad de introducir cambios y ajustes para fortalecer la contratación pública. El artículo 5 modificó el parágrafo 1º del artículo 5 de la Ley 1150 de 2007: </w:t>
      </w:r>
    </w:p>
    <w:p w14:paraId="13005A8B" w14:textId="77777777" w:rsidR="00DB2904" w:rsidRPr="00386009" w:rsidRDefault="00DB2904" w:rsidP="00DB2904">
      <w:pPr>
        <w:spacing w:line="276" w:lineRule="auto"/>
        <w:jc w:val="both"/>
        <w:rPr>
          <w:rFonts w:ascii="Arial" w:hAnsi="Arial" w:cs="Arial"/>
          <w:sz w:val="22"/>
          <w:lang w:val="es-ES"/>
        </w:rPr>
      </w:pPr>
    </w:p>
    <w:p w14:paraId="0F9E521A" w14:textId="77777777" w:rsidR="00DB2904" w:rsidRPr="00386009" w:rsidRDefault="00DB2904" w:rsidP="00DB2904">
      <w:pPr>
        <w:ind w:left="709" w:right="709"/>
        <w:jc w:val="both"/>
        <w:rPr>
          <w:rFonts w:ascii="Arial" w:hAnsi="Arial" w:cs="Arial"/>
          <w:sz w:val="21"/>
          <w:szCs w:val="21"/>
          <w:lang w:val="es-ES"/>
        </w:rPr>
      </w:pPr>
      <w:r w:rsidRPr="00386009">
        <w:rPr>
          <w:rFonts w:ascii="Arial" w:hAnsi="Arial" w:cs="Arial"/>
          <w:sz w:val="21"/>
          <w:szCs w:val="21"/>
          <w:lang w:val="es-ES"/>
        </w:rPr>
        <w:lastRenderedPageBreak/>
        <w:t xml:space="preserve">Artículo 5°. De la selección objetiva. </w:t>
      </w:r>
    </w:p>
    <w:p w14:paraId="47C06D7C" w14:textId="77777777" w:rsidR="00DB2904" w:rsidRPr="00386009" w:rsidRDefault="00DB2904" w:rsidP="00DB2904">
      <w:pPr>
        <w:ind w:left="709" w:right="709"/>
        <w:jc w:val="both"/>
        <w:rPr>
          <w:rFonts w:ascii="Arial" w:hAnsi="Arial" w:cs="Arial"/>
          <w:sz w:val="21"/>
          <w:szCs w:val="21"/>
          <w:lang w:val="es-ES"/>
        </w:rPr>
      </w:pPr>
      <w:r w:rsidRPr="00386009">
        <w:rPr>
          <w:rFonts w:ascii="Arial" w:hAnsi="Arial" w:cs="Arial"/>
          <w:sz w:val="21"/>
          <w:szCs w:val="21"/>
          <w:lang w:val="es-ES"/>
        </w:rPr>
        <w:t xml:space="preserve">(... ) </w:t>
      </w:r>
    </w:p>
    <w:p w14:paraId="3C35172C" w14:textId="77777777" w:rsidR="00DB2904" w:rsidRPr="00386009" w:rsidRDefault="00DB2904" w:rsidP="00DB2904">
      <w:pPr>
        <w:ind w:left="709" w:right="709"/>
        <w:jc w:val="both"/>
        <w:rPr>
          <w:rFonts w:ascii="Arial" w:hAnsi="Arial" w:cs="Arial"/>
          <w:sz w:val="21"/>
          <w:szCs w:val="21"/>
          <w:lang w:val="es-ES"/>
        </w:rPr>
      </w:pPr>
    </w:p>
    <w:p w14:paraId="5BC6C6C1" w14:textId="77777777" w:rsidR="00DB2904" w:rsidRPr="00386009" w:rsidRDefault="00DB2904" w:rsidP="00DB2904">
      <w:pPr>
        <w:ind w:left="709" w:right="709"/>
        <w:jc w:val="both"/>
        <w:rPr>
          <w:rFonts w:ascii="Arial" w:hAnsi="Arial" w:cs="Arial"/>
          <w:sz w:val="21"/>
          <w:szCs w:val="21"/>
          <w:lang w:val="es-ES"/>
        </w:rPr>
      </w:pPr>
      <w:r w:rsidRPr="00386009">
        <w:rPr>
          <w:rFonts w:ascii="Arial" w:hAnsi="Arial" w:cs="Arial"/>
          <w:sz w:val="21"/>
          <w:szCs w:val="21"/>
          <w:lang w:val="es-ES"/>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73C3B6CC" w14:textId="77777777" w:rsidR="00DB2904" w:rsidRPr="00386009" w:rsidRDefault="00DB2904" w:rsidP="00DB2904">
      <w:pPr>
        <w:spacing w:line="276" w:lineRule="auto"/>
        <w:jc w:val="both"/>
        <w:rPr>
          <w:rFonts w:ascii="Arial" w:hAnsi="Arial" w:cs="Arial"/>
          <w:b/>
          <w:sz w:val="22"/>
          <w:lang w:val="es-ES"/>
        </w:rPr>
      </w:pPr>
    </w:p>
    <w:p w14:paraId="3648A466" w14:textId="77777777" w:rsidR="00DB2904" w:rsidRPr="00386009" w:rsidRDefault="00DB2904" w:rsidP="00DB2904">
      <w:pPr>
        <w:spacing w:line="276" w:lineRule="auto"/>
        <w:ind w:firstLine="709"/>
        <w:jc w:val="both"/>
        <w:rPr>
          <w:rFonts w:ascii="Arial" w:hAnsi="Arial" w:cs="Arial"/>
          <w:sz w:val="22"/>
          <w:lang w:val="es-ES"/>
        </w:rPr>
      </w:pPr>
      <w:r w:rsidRPr="00386009">
        <w:rPr>
          <w:rFonts w:ascii="Arial" w:hAnsi="Arial" w:cs="Arial"/>
          <w:sz w:val="22"/>
          <w:lang w:val="es-ES"/>
        </w:rPr>
        <w:t xml:space="preserve">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e iii) introduce modificaciones en relación con cuatro aspectos que se analizarán a continuación. </w:t>
      </w:r>
    </w:p>
    <w:p w14:paraId="1BD7B34D" w14:textId="77777777" w:rsidR="00DB2904" w:rsidRPr="00386009" w:rsidRDefault="00DB2904" w:rsidP="00DB2904">
      <w:pPr>
        <w:spacing w:before="120" w:after="120" w:line="276" w:lineRule="auto"/>
        <w:ind w:firstLine="709"/>
        <w:jc w:val="both"/>
        <w:rPr>
          <w:rFonts w:ascii="Arial" w:hAnsi="Arial" w:cs="Arial"/>
          <w:sz w:val="22"/>
          <w:lang w:val="es-ES"/>
        </w:rPr>
      </w:pPr>
      <w:r w:rsidRPr="00386009">
        <w:rPr>
          <w:rFonts w:ascii="Arial" w:hAnsi="Arial" w:cs="Arial"/>
          <w:sz w:val="22"/>
          <w:lang w:val="es-ES"/>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386009">
        <w:rPr>
          <w:rFonts w:ascii="Arial" w:eastAsia="Calibri" w:hAnsi="Arial" w:cs="Arial"/>
          <w:sz w:val="22"/>
          <w:lang w:val="es-ES"/>
        </w:rPr>
        <w:t>de selección a través del sistema de subasta</w:t>
      </w:r>
      <w:r w:rsidRPr="00386009">
        <w:rPr>
          <w:rStyle w:val="Refdenotaalpie"/>
          <w:rFonts w:ascii="Arial" w:eastAsia="Calibri" w:hAnsi="Arial" w:cs="Arial"/>
          <w:sz w:val="22"/>
          <w:lang w:val="es-ES"/>
        </w:rPr>
        <w:footnoteReference w:id="24"/>
      </w:r>
      <w:r w:rsidRPr="00386009">
        <w:rPr>
          <w:rFonts w:ascii="Arial" w:eastAsia="Calibri" w:hAnsi="Arial" w:cs="Arial"/>
          <w:sz w:val="22"/>
          <w:lang w:val="es-ES"/>
        </w:rPr>
        <w:t xml:space="preserve">; en el último los documentos o requisitos subsanables pueden y deben solicitarse hasta el momento previo a su realización.  </w:t>
      </w:r>
    </w:p>
    <w:p w14:paraId="3D064712" w14:textId="77777777" w:rsidR="00DB2904" w:rsidRPr="00386009" w:rsidRDefault="00DB2904" w:rsidP="00DB2904">
      <w:pPr>
        <w:spacing w:before="120" w:after="120" w:line="276" w:lineRule="auto"/>
        <w:ind w:firstLine="709"/>
        <w:jc w:val="both"/>
        <w:rPr>
          <w:rFonts w:ascii="Arial" w:hAnsi="Arial" w:cs="Arial"/>
          <w:sz w:val="22"/>
          <w:lang w:val="es-ES"/>
        </w:rPr>
      </w:pPr>
      <w:r w:rsidRPr="00386009">
        <w:rPr>
          <w:rFonts w:ascii="Arial" w:eastAsia="Calibri" w:hAnsi="Arial" w:cs="Arial"/>
          <w:sz w:val="22"/>
          <w:lang w:val="es-ES"/>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34E15CEC" w14:textId="77777777" w:rsidR="00DB2904" w:rsidRPr="00386009" w:rsidRDefault="00DB2904" w:rsidP="00DB2904">
      <w:pPr>
        <w:spacing w:before="120" w:after="120" w:line="276" w:lineRule="auto"/>
        <w:ind w:firstLine="709"/>
        <w:jc w:val="both"/>
        <w:rPr>
          <w:rFonts w:ascii="Arial" w:hAnsi="Arial" w:cs="Arial"/>
          <w:sz w:val="22"/>
          <w:lang w:val="es-ES"/>
        </w:rPr>
      </w:pPr>
      <w:r w:rsidRPr="00386009">
        <w:rPr>
          <w:rFonts w:ascii="Arial" w:eastAsia="Calibri" w:hAnsi="Arial" w:cs="Arial"/>
          <w:sz w:val="22"/>
          <w:lang w:val="es-ES"/>
        </w:rPr>
        <w:t>En efecto, la redacción de la norma permite que la Administración solicite a los oferentes subsanar y que estos lo hagan hasta antes del término del traslado del informe de evaluación: “</w:t>
      </w:r>
      <w:r w:rsidRPr="00386009">
        <w:rPr>
          <w:rFonts w:ascii="Arial" w:hAnsi="Arial" w:cs="Arial"/>
          <w:i/>
          <w:sz w:val="22"/>
          <w:lang w:val="es-ES"/>
        </w:rPr>
        <w:t xml:space="preserve">deberán ser solicitados por las entidades estatales y deberán ser </w:t>
      </w:r>
      <w:r w:rsidRPr="00386009">
        <w:rPr>
          <w:rFonts w:ascii="Arial" w:hAnsi="Arial" w:cs="Arial"/>
          <w:i/>
          <w:sz w:val="22"/>
          <w:lang w:val="es-ES"/>
        </w:rPr>
        <w:lastRenderedPageBreak/>
        <w:t>entregados por los proponentes hasta el término de traslado del informe de evaluación que corresponda a cada modalidad de selección</w:t>
      </w:r>
      <w:r w:rsidRPr="00386009">
        <w:rPr>
          <w:rFonts w:ascii="Arial" w:hAnsi="Arial" w:cs="Arial"/>
          <w:sz w:val="22"/>
          <w:lang w:val="es-ES"/>
        </w:rPr>
        <w:t xml:space="preserve">”. </w:t>
      </w:r>
    </w:p>
    <w:p w14:paraId="44B6AC57" w14:textId="77777777" w:rsidR="00DB2904" w:rsidRPr="00386009" w:rsidRDefault="00DB2904" w:rsidP="00DB2904">
      <w:pPr>
        <w:spacing w:before="120" w:after="120" w:line="276" w:lineRule="auto"/>
        <w:ind w:firstLine="709"/>
        <w:jc w:val="both"/>
        <w:rPr>
          <w:rFonts w:ascii="Arial" w:hAnsi="Arial" w:cs="Arial"/>
          <w:sz w:val="22"/>
          <w:lang w:val="es-ES"/>
        </w:rPr>
      </w:pPr>
      <w:r w:rsidRPr="00386009">
        <w:rPr>
          <w:rFonts w:ascii="Arial" w:hAnsi="Arial" w:cs="Arial"/>
          <w:sz w:val="22"/>
          <w:lang w:val="es-ES"/>
        </w:rPr>
        <w:t xml:space="preserve">No obstante, de la lectura de este aparte podrían, en la práctica, darse dos interpretaciones que dan lugar a dos formas de proceder en los procesos de selección, en lo que se refiere a la subsanabilidad de las ofertas. </w:t>
      </w:r>
      <w:r w:rsidRPr="00386009">
        <w:rPr>
          <w:rFonts w:ascii="Arial" w:hAnsi="Arial" w:cs="Arial"/>
          <w:i/>
          <w:iCs/>
          <w:sz w:val="22"/>
          <w:lang w:val="es-ES"/>
        </w:rPr>
        <w:t>Primera</w:t>
      </w:r>
      <w:r w:rsidRPr="00386009">
        <w:rPr>
          <w:rFonts w:ascii="Arial" w:hAnsi="Arial" w:cs="Arial"/>
          <w:sz w:val="22"/>
          <w:lang w:val="es-ES"/>
        </w:rPr>
        <w:t xml:space="preserve">, que la posibilidad de los oferentes para subsanar es el término del traslado del informe de evaluación, ya que en este documento es donde la Administración establece los requisitos o documentos omitidos que los oferentes deben subsanar, so pena de rechazo; </w:t>
      </w:r>
      <w:r w:rsidRPr="00386009">
        <w:rPr>
          <w:rFonts w:ascii="Arial" w:hAnsi="Arial" w:cs="Arial"/>
          <w:i/>
          <w:iCs/>
          <w:sz w:val="22"/>
          <w:lang w:val="es-ES"/>
        </w:rPr>
        <w:t>segunda</w:t>
      </w:r>
      <w:r w:rsidRPr="00386009">
        <w:rPr>
          <w:rFonts w:ascii="Arial" w:hAnsi="Arial" w:cs="Arial"/>
          <w:sz w:val="22"/>
          <w:lang w:val="es-ES"/>
        </w:rPr>
        <w:t xml:space="preserve">, que el término del traslado del informe de evaluación es el límite para la subsanación de ofertas, pero no el único momento para hacerlo. </w:t>
      </w:r>
    </w:p>
    <w:p w14:paraId="2EFE60F2" w14:textId="77777777" w:rsidR="00DB2904" w:rsidRPr="00386009" w:rsidRDefault="00DB2904" w:rsidP="00DB2904">
      <w:pPr>
        <w:spacing w:before="120" w:after="120" w:line="276" w:lineRule="auto"/>
        <w:ind w:firstLine="709"/>
        <w:jc w:val="both"/>
        <w:rPr>
          <w:rFonts w:ascii="Arial" w:hAnsi="Arial" w:cs="Arial"/>
          <w:sz w:val="22"/>
          <w:lang w:val="es-ES"/>
        </w:rPr>
      </w:pPr>
      <w:r w:rsidRPr="00386009">
        <w:rPr>
          <w:rFonts w:ascii="Arial" w:hAnsi="Arial" w:cs="Arial"/>
          <w:sz w:val="22"/>
          <w:lang w:val="es-ES"/>
        </w:rPr>
        <w:t xml:space="preserve">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w:t>
      </w:r>
    </w:p>
    <w:p w14:paraId="6FD9E77F" w14:textId="77777777" w:rsidR="00DB2904" w:rsidRPr="00386009" w:rsidRDefault="00DB2904" w:rsidP="00DB2904">
      <w:pPr>
        <w:spacing w:before="120" w:after="120" w:line="276" w:lineRule="auto"/>
        <w:ind w:firstLine="709"/>
        <w:jc w:val="both"/>
        <w:rPr>
          <w:rFonts w:ascii="Arial" w:hAnsi="Arial" w:cs="Arial"/>
          <w:sz w:val="22"/>
          <w:lang w:val="es-ES"/>
        </w:rPr>
      </w:pPr>
      <w:r w:rsidRPr="00386009">
        <w:rPr>
          <w:rFonts w:ascii="Arial" w:hAnsi="Arial" w:cs="Arial"/>
          <w:sz w:val="22"/>
          <w:lang w:val="es-ES"/>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1592ED33" w14:textId="77777777" w:rsidR="00DB2904" w:rsidRPr="00386009" w:rsidRDefault="00DB2904" w:rsidP="00DB2904">
      <w:pPr>
        <w:spacing w:before="120" w:after="120" w:line="276" w:lineRule="auto"/>
        <w:ind w:firstLine="709"/>
        <w:jc w:val="both"/>
        <w:rPr>
          <w:rFonts w:ascii="Arial" w:hAnsi="Arial" w:cs="Arial"/>
          <w:sz w:val="22"/>
          <w:lang w:val="es-ES"/>
        </w:rPr>
      </w:pPr>
      <w:r w:rsidRPr="00386009">
        <w:rPr>
          <w:rFonts w:ascii="Arial" w:hAnsi="Arial" w:cs="Arial"/>
          <w:sz w:val="22"/>
          <w:lang w:val="es-ES"/>
        </w:rPr>
        <w:t xml:space="preserve">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14:paraId="40A26CF5" w14:textId="77777777" w:rsidR="00DB2904" w:rsidRPr="00386009" w:rsidRDefault="00DB2904" w:rsidP="00DB2904">
      <w:pPr>
        <w:spacing w:before="120" w:after="120" w:line="276" w:lineRule="auto"/>
        <w:ind w:firstLine="709"/>
        <w:jc w:val="both"/>
        <w:rPr>
          <w:rFonts w:ascii="Arial" w:hAnsi="Arial" w:cs="Arial"/>
          <w:sz w:val="22"/>
          <w:lang w:val="es-ES"/>
        </w:rPr>
      </w:pPr>
      <w:r w:rsidRPr="00386009">
        <w:rPr>
          <w:rFonts w:ascii="Arial" w:hAnsi="Arial" w:cs="Arial"/>
          <w:sz w:val="22"/>
          <w:lang w:val="es-ES"/>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323ACC05" w14:textId="77777777" w:rsidR="00DB2904" w:rsidRPr="00386009" w:rsidRDefault="00DB2904" w:rsidP="00DB2904">
      <w:pPr>
        <w:spacing w:before="120" w:after="120" w:line="276" w:lineRule="auto"/>
        <w:ind w:firstLine="709"/>
        <w:jc w:val="both"/>
        <w:rPr>
          <w:rFonts w:ascii="Arial" w:hAnsi="Arial" w:cs="Arial"/>
          <w:sz w:val="22"/>
          <w:lang w:val="es-ES"/>
        </w:rPr>
      </w:pPr>
      <w:r w:rsidRPr="00386009">
        <w:rPr>
          <w:rFonts w:ascii="Arial" w:eastAsia="Calibri" w:hAnsi="Arial" w:cs="Arial"/>
          <w:sz w:val="22"/>
          <w:lang w:val="es-ES"/>
        </w:rPr>
        <w:lastRenderedPageBreak/>
        <w:t xml:space="preserve">De otro lado, el segundo cambio importante de la Ley 1882 de 2018 fue la introducción de un criterio material, directamente relacionado con los aspectos subsanables: </w:t>
      </w:r>
      <w:r w:rsidRPr="00386009">
        <w:rPr>
          <w:rFonts w:ascii="Arial" w:eastAsia="Calibri" w:hAnsi="Arial" w:cs="Arial"/>
          <w:i/>
          <w:iCs/>
          <w:sz w:val="22"/>
          <w:lang w:val="es-ES"/>
        </w:rPr>
        <w:t>«</w:t>
      </w:r>
      <w:r w:rsidRPr="00386009">
        <w:rPr>
          <w:rFonts w:ascii="Arial" w:hAnsi="Arial" w:cs="Arial"/>
          <w:i/>
          <w:iCs/>
          <w:sz w:val="22"/>
          <w:lang w:val="es-ES"/>
        </w:rPr>
        <w:t>los proponentes no podrán acreditar circunstancias ocurridas con posterioridad al cierre del proceso»</w:t>
      </w:r>
      <w:r w:rsidRPr="00386009">
        <w:rPr>
          <w:rFonts w:ascii="Arial" w:hAnsi="Arial" w:cs="Arial"/>
          <w:b/>
          <w:i/>
          <w:iCs/>
          <w:sz w:val="22"/>
          <w:lang w:val="es-ES"/>
        </w:rPr>
        <w:t>.</w:t>
      </w:r>
      <w:r w:rsidRPr="00386009">
        <w:rPr>
          <w:rFonts w:ascii="Arial" w:hAnsi="Arial" w:cs="Arial"/>
          <w:b/>
          <w:sz w:val="22"/>
          <w:lang w:val="es-ES"/>
        </w:rPr>
        <w:t xml:space="preserve"> </w:t>
      </w:r>
      <w:r w:rsidRPr="00386009">
        <w:rPr>
          <w:rFonts w:ascii="Arial" w:hAnsi="Arial" w:cs="Arial"/>
          <w:sz w:val="22"/>
          <w:lang w:val="es-ES"/>
        </w:rPr>
        <w:t xml:space="preserve">Lo anterior ofrece dos aspectos que merecen clarificación: </w:t>
      </w:r>
      <w:r w:rsidRPr="00386009">
        <w:rPr>
          <w:rFonts w:ascii="Arial" w:hAnsi="Arial" w:cs="Arial"/>
          <w:i/>
          <w:iCs/>
          <w:sz w:val="22"/>
          <w:lang w:val="es-ES"/>
        </w:rPr>
        <w:t>primero</w:t>
      </w:r>
      <w:r w:rsidRPr="00386009">
        <w:rPr>
          <w:rFonts w:ascii="Arial" w:hAnsi="Arial" w:cs="Arial"/>
          <w:sz w:val="22"/>
          <w:lang w:val="es-ES"/>
        </w:rPr>
        <w:t xml:space="preserve">, qué debe entenderse por circunstancias ocurridas con posterioridad; y </w:t>
      </w:r>
      <w:r w:rsidRPr="00386009">
        <w:rPr>
          <w:rFonts w:ascii="Arial" w:hAnsi="Arial" w:cs="Arial"/>
          <w:i/>
          <w:iCs/>
          <w:sz w:val="22"/>
          <w:lang w:val="es-ES"/>
        </w:rPr>
        <w:t>segundo</w:t>
      </w:r>
      <w:r w:rsidRPr="00386009">
        <w:rPr>
          <w:rFonts w:ascii="Arial" w:hAnsi="Arial" w:cs="Arial"/>
          <w:sz w:val="22"/>
          <w:lang w:val="es-ES"/>
        </w:rPr>
        <w:t>, qué es el cierre del proceso.</w:t>
      </w:r>
    </w:p>
    <w:p w14:paraId="14B1AD91" w14:textId="77777777" w:rsidR="00DB2904" w:rsidRPr="00386009" w:rsidRDefault="00DB2904" w:rsidP="00DB2904">
      <w:pPr>
        <w:spacing w:line="276" w:lineRule="auto"/>
        <w:ind w:firstLine="709"/>
        <w:jc w:val="both"/>
        <w:rPr>
          <w:rFonts w:ascii="Arial" w:hAnsi="Arial" w:cs="Arial"/>
          <w:sz w:val="22"/>
          <w:lang w:val="es-ES"/>
        </w:rPr>
      </w:pPr>
      <w:r w:rsidRPr="00386009">
        <w:rPr>
          <w:rFonts w:ascii="Arial" w:hAnsi="Arial" w:cs="Arial"/>
          <w:sz w:val="22"/>
          <w:lang w:val="es-ES"/>
        </w:rPr>
        <w:t>La Sala de Consulta y Servicio Civil del Consejo de Estado ya había tenido la oportunidad de precisar estas expresiones, a propósito de un concepto en el que se refirió al artículo 10 del derogado Decreto 2474 de 2008</w:t>
      </w:r>
      <w:r w:rsidRPr="00386009">
        <w:rPr>
          <w:rStyle w:val="Refdenotaalpie"/>
          <w:rFonts w:ascii="Arial" w:hAnsi="Arial" w:cs="Arial"/>
          <w:sz w:val="22"/>
          <w:lang w:val="es-ES"/>
        </w:rPr>
        <w:footnoteReference w:id="25"/>
      </w:r>
      <w:r w:rsidRPr="00386009">
        <w:rPr>
          <w:rFonts w:ascii="Arial" w:hAnsi="Arial" w:cs="Arial"/>
          <w:sz w:val="22"/>
          <w:lang w:val="es-ES"/>
        </w:rPr>
        <w:t xml:space="preserve">,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14:paraId="7F5C4DAB" w14:textId="77777777" w:rsidR="00DB2904" w:rsidRPr="00386009" w:rsidRDefault="00DB2904" w:rsidP="00DB2904">
      <w:pPr>
        <w:ind w:left="709" w:right="709"/>
        <w:jc w:val="both"/>
        <w:rPr>
          <w:rFonts w:ascii="Arial" w:hAnsi="Arial" w:cs="Arial"/>
          <w:sz w:val="21"/>
          <w:szCs w:val="21"/>
          <w:lang w:val="es-ES"/>
        </w:rPr>
      </w:pPr>
    </w:p>
    <w:p w14:paraId="131C8997" w14:textId="77777777" w:rsidR="00DB2904" w:rsidRPr="00386009" w:rsidRDefault="00DB2904" w:rsidP="00DB2904">
      <w:pPr>
        <w:ind w:left="709" w:right="709"/>
        <w:jc w:val="both"/>
        <w:rPr>
          <w:rFonts w:ascii="Arial" w:hAnsi="Arial" w:cs="Arial"/>
          <w:sz w:val="21"/>
          <w:szCs w:val="21"/>
          <w:lang w:val="es-ES"/>
        </w:rPr>
      </w:pPr>
      <w:r w:rsidRPr="00386009">
        <w:rPr>
          <w:rFonts w:ascii="Arial" w:hAnsi="Arial" w:cs="Arial"/>
          <w:sz w:val="21"/>
          <w:szCs w:val="21"/>
          <w:lang w:val="es-ES"/>
        </w:rPr>
        <w:t>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48D7320F" w14:textId="77777777" w:rsidR="00DB2904" w:rsidRPr="00386009" w:rsidRDefault="00DB2904" w:rsidP="00DB2904">
      <w:pPr>
        <w:ind w:left="709" w:right="709"/>
        <w:jc w:val="both"/>
        <w:rPr>
          <w:rFonts w:ascii="Arial" w:hAnsi="Arial" w:cs="Arial"/>
          <w:sz w:val="21"/>
          <w:szCs w:val="21"/>
          <w:lang w:val="es-ES"/>
        </w:rPr>
      </w:pPr>
      <w:r w:rsidRPr="00386009">
        <w:rPr>
          <w:rFonts w:ascii="Arial" w:hAnsi="Arial" w:cs="Arial"/>
          <w:sz w:val="21"/>
          <w:szCs w:val="21"/>
          <w:lang w:val="es-ES"/>
        </w:rPr>
        <w:t> </w:t>
      </w:r>
    </w:p>
    <w:p w14:paraId="02A838E1" w14:textId="77777777" w:rsidR="00DB2904" w:rsidRPr="00386009" w:rsidRDefault="00DB2904" w:rsidP="00DB2904">
      <w:pPr>
        <w:ind w:left="709" w:right="709"/>
        <w:jc w:val="both"/>
        <w:rPr>
          <w:rFonts w:ascii="Arial" w:hAnsi="Arial" w:cs="Arial"/>
          <w:sz w:val="21"/>
          <w:szCs w:val="21"/>
          <w:lang w:val="es-ES"/>
        </w:rPr>
      </w:pPr>
      <w:r w:rsidRPr="00386009">
        <w:rPr>
          <w:rFonts w:ascii="Arial" w:hAnsi="Arial" w:cs="Arial"/>
          <w:sz w:val="21"/>
          <w:szCs w:val="21"/>
          <w:lang w:val="es-ES"/>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w:t>
      </w:r>
      <w:r w:rsidRPr="00386009">
        <w:rPr>
          <w:rFonts w:ascii="Arial" w:hAnsi="Arial" w:cs="Arial"/>
          <w:sz w:val="21"/>
          <w:szCs w:val="21"/>
          <w:lang w:val="es-ES"/>
        </w:rPr>
        <w:lastRenderedPageBreak/>
        <w:t>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Pr="00386009">
        <w:rPr>
          <w:rStyle w:val="Refdenotaalpie"/>
          <w:rFonts w:ascii="Arial" w:hAnsi="Arial" w:cs="Arial"/>
          <w:sz w:val="21"/>
          <w:szCs w:val="21"/>
          <w:lang w:val="es-ES"/>
        </w:rPr>
        <w:footnoteReference w:id="26"/>
      </w:r>
      <w:r w:rsidRPr="00386009">
        <w:rPr>
          <w:rFonts w:ascii="Arial" w:hAnsi="Arial" w:cs="Arial"/>
          <w:sz w:val="21"/>
          <w:szCs w:val="21"/>
          <w:lang w:val="es-ES"/>
        </w:rPr>
        <w:t>.</w:t>
      </w:r>
    </w:p>
    <w:p w14:paraId="0A9AB189" w14:textId="77777777" w:rsidR="00DB2904" w:rsidRPr="00386009" w:rsidRDefault="00DB2904" w:rsidP="00DB2904">
      <w:pPr>
        <w:spacing w:line="276" w:lineRule="auto"/>
        <w:jc w:val="both"/>
        <w:rPr>
          <w:rFonts w:ascii="Arial" w:hAnsi="Arial" w:cs="Arial"/>
          <w:sz w:val="22"/>
          <w:lang w:val="es-ES"/>
        </w:rPr>
      </w:pPr>
    </w:p>
    <w:p w14:paraId="6B99852C" w14:textId="77777777" w:rsidR="00DB2904" w:rsidRPr="00386009" w:rsidRDefault="00DB2904" w:rsidP="00DB2904">
      <w:pPr>
        <w:spacing w:line="276" w:lineRule="auto"/>
        <w:ind w:firstLine="709"/>
        <w:jc w:val="both"/>
        <w:rPr>
          <w:rFonts w:ascii="Arial" w:eastAsia="Calibri" w:hAnsi="Arial" w:cs="Arial"/>
          <w:sz w:val="22"/>
          <w:lang w:val="es-ES"/>
        </w:rPr>
      </w:pPr>
      <w:r w:rsidRPr="00386009">
        <w:rPr>
          <w:rFonts w:ascii="Arial" w:eastAsia="Calibri" w:hAnsi="Arial" w:cs="Arial"/>
          <w:sz w:val="22"/>
          <w:lang w:val="es-ES"/>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7B96E6DA" w14:textId="77777777" w:rsidR="00DB2904" w:rsidRPr="00386009" w:rsidRDefault="00DB2904" w:rsidP="00DB2904">
      <w:pPr>
        <w:spacing w:before="120" w:after="120" w:line="276" w:lineRule="auto"/>
        <w:ind w:firstLine="709"/>
        <w:jc w:val="both"/>
        <w:rPr>
          <w:rFonts w:ascii="Arial" w:eastAsia="Calibri" w:hAnsi="Arial" w:cs="Arial"/>
          <w:sz w:val="22"/>
          <w:lang w:val="es-ES"/>
        </w:rPr>
      </w:pPr>
      <w:r w:rsidRPr="00386009">
        <w:rPr>
          <w:rFonts w:ascii="Arial" w:eastAsia="Calibri" w:hAnsi="Arial" w:cs="Arial"/>
          <w:sz w:val="22"/>
          <w:lang w:val="es-ES"/>
        </w:rPr>
        <w:t xml:space="preserve">Un mejor entendimiento del significado de la expresión «circunstancias ocurridas con posterioridad al cierre del proceso»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67233041" w14:textId="77777777" w:rsidR="00DB2904" w:rsidRPr="00386009" w:rsidRDefault="00DB2904" w:rsidP="00DB2904">
      <w:pPr>
        <w:spacing w:before="120" w:after="120" w:line="276" w:lineRule="auto"/>
        <w:ind w:firstLine="709"/>
        <w:jc w:val="both"/>
        <w:rPr>
          <w:rFonts w:ascii="Arial" w:eastAsia="Calibri" w:hAnsi="Arial" w:cs="Arial"/>
          <w:sz w:val="22"/>
          <w:lang w:val="es-ES"/>
        </w:rPr>
      </w:pPr>
      <w:r w:rsidRPr="00386009">
        <w:rPr>
          <w:rFonts w:ascii="Arial" w:eastAsia="Calibri" w:hAnsi="Arial" w:cs="Arial"/>
          <w:sz w:val="22"/>
          <w:lang w:val="es-ES"/>
        </w:rPr>
        <w:t xml:space="preserve">Por ejemplo: </w:t>
      </w:r>
    </w:p>
    <w:p w14:paraId="4BFF1F94" w14:textId="77777777" w:rsidR="00DB2904" w:rsidRPr="00386009" w:rsidRDefault="00DB2904" w:rsidP="00DB2904">
      <w:pPr>
        <w:spacing w:before="120" w:after="120" w:line="276" w:lineRule="auto"/>
        <w:ind w:firstLine="709"/>
        <w:jc w:val="both"/>
        <w:rPr>
          <w:rFonts w:ascii="Arial" w:eastAsia="Calibri" w:hAnsi="Arial" w:cs="Arial"/>
          <w:sz w:val="22"/>
          <w:lang w:val="es-ES"/>
        </w:rPr>
      </w:pPr>
      <w:r w:rsidRPr="00386009">
        <w:rPr>
          <w:rFonts w:ascii="Arial" w:eastAsia="Calibri" w:hAnsi="Arial" w:cs="Arial"/>
          <w:sz w:val="22"/>
          <w:lang w:val="es-ES"/>
        </w:rPr>
        <w:t xml:space="preserve">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w:t>
      </w:r>
    </w:p>
    <w:p w14:paraId="156B552C" w14:textId="77777777" w:rsidR="00DB2904" w:rsidRPr="00386009" w:rsidRDefault="00DB2904" w:rsidP="00DB2904">
      <w:pPr>
        <w:spacing w:before="120" w:after="120" w:line="276" w:lineRule="auto"/>
        <w:ind w:firstLine="709"/>
        <w:jc w:val="both"/>
        <w:rPr>
          <w:rFonts w:ascii="Arial" w:eastAsia="Calibri" w:hAnsi="Arial" w:cs="Arial"/>
          <w:sz w:val="22"/>
          <w:lang w:val="es-ES"/>
        </w:rPr>
      </w:pPr>
      <w:r w:rsidRPr="00386009">
        <w:rPr>
          <w:rFonts w:ascii="Arial" w:eastAsia="Calibri" w:hAnsi="Arial" w:cs="Arial"/>
          <w:sz w:val="22"/>
          <w:lang w:val="es-ES"/>
        </w:rPr>
        <w:t>ii) si un oferente presentó la propuesta sin aportar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386009">
        <w:rPr>
          <w:rStyle w:val="Refdenotaalpie"/>
          <w:rFonts w:ascii="Arial" w:eastAsia="Calibri" w:hAnsi="Arial" w:cs="Arial"/>
          <w:sz w:val="22"/>
          <w:lang w:val="es-ES"/>
        </w:rPr>
        <w:footnoteReference w:id="27"/>
      </w:r>
      <w:r w:rsidRPr="00386009">
        <w:rPr>
          <w:rFonts w:ascii="Arial" w:eastAsia="Calibri" w:hAnsi="Arial" w:cs="Arial"/>
          <w:sz w:val="22"/>
          <w:lang w:val="es-ES"/>
        </w:rPr>
        <w:t xml:space="preserve">; </w:t>
      </w:r>
    </w:p>
    <w:p w14:paraId="51AF3BBF" w14:textId="77777777" w:rsidR="00DB2904" w:rsidRPr="00386009" w:rsidRDefault="00DB2904" w:rsidP="00DB2904">
      <w:pPr>
        <w:spacing w:before="120" w:after="120" w:line="276" w:lineRule="auto"/>
        <w:ind w:firstLine="709"/>
        <w:jc w:val="both"/>
        <w:rPr>
          <w:rFonts w:ascii="Arial" w:eastAsia="Calibri" w:hAnsi="Arial" w:cs="Arial"/>
          <w:sz w:val="22"/>
          <w:lang w:val="es-ES"/>
        </w:rPr>
      </w:pPr>
      <w:r w:rsidRPr="00386009">
        <w:rPr>
          <w:rFonts w:ascii="Arial" w:eastAsia="Calibri" w:hAnsi="Arial" w:cs="Arial"/>
          <w:sz w:val="22"/>
          <w:lang w:val="es-ES"/>
        </w:rPr>
        <w:lastRenderedPageBreak/>
        <w:t>iii) si un oferente no anexó el certificado de existencia y representación legal, el documento aportado con posterioridad debe dar cuenta de que la sociedad existe desde antes del cierre del proceso</w:t>
      </w:r>
      <w:r w:rsidRPr="00386009">
        <w:rPr>
          <w:rStyle w:val="Refdenotaalpie"/>
          <w:rFonts w:ascii="Arial" w:eastAsia="Calibri" w:hAnsi="Arial" w:cs="Arial"/>
          <w:sz w:val="22"/>
          <w:lang w:val="es-ES"/>
        </w:rPr>
        <w:footnoteReference w:id="28"/>
      </w:r>
      <w:r w:rsidRPr="00386009">
        <w:rPr>
          <w:rFonts w:ascii="Arial" w:eastAsia="Calibri" w:hAnsi="Arial" w:cs="Arial"/>
          <w:sz w:val="22"/>
          <w:lang w:val="es-ES"/>
        </w:rPr>
        <w:t xml:space="preserve">; </w:t>
      </w:r>
    </w:p>
    <w:p w14:paraId="4A93E228" w14:textId="77777777" w:rsidR="00DB2904" w:rsidRPr="00386009" w:rsidRDefault="00DB2904" w:rsidP="00DB2904">
      <w:pPr>
        <w:spacing w:before="120" w:after="120" w:line="276" w:lineRule="auto"/>
        <w:ind w:firstLine="709"/>
        <w:jc w:val="both"/>
        <w:rPr>
          <w:rFonts w:ascii="Arial" w:eastAsia="Calibri" w:hAnsi="Arial" w:cs="Arial"/>
          <w:sz w:val="22"/>
          <w:lang w:val="es-ES"/>
        </w:rPr>
      </w:pPr>
      <w:r w:rsidRPr="00386009">
        <w:rPr>
          <w:rFonts w:ascii="Arial" w:eastAsia="Calibri" w:hAnsi="Arial" w:cs="Arial"/>
          <w:sz w:val="22"/>
          <w:lang w:val="es-ES"/>
        </w:rPr>
        <w:t xml:space="preserve">iv) si un oferente olvidó adjuntar un certificado que demuestra un título universitario, el documento, aunque tenga fecha posterior al cierre del proceso, debe acreditar que el título académico se obtuvo con anterioridad al cierre del proceso; </w:t>
      </w:r>
    </w:p>
    <w:p w14:paraId="2657F538" w14:textId="77777777" w:rsidR="00DB2904" w:rsidRPr="00386009" w:rsidRDefault="00DB2904" w:rsidP="00DB2904">
      <w:pPr>
        <w:spacing w:before="120" w:after="120" w:line="276" w:lineRule="auto"/>
        <w:ind w:firstLine="709"/>
        <w:jc w:val="both"/>
        <w:rPr>
          <w:rFonts w:ascii="Arial" w:eastAsia="Calibri" w:hAnsi="Arial" w:cs="Arial"/>
          <w:sz w:val="22"/>
          <w:lang w:val="es-ES"/>
        </w:rPr>
      </w:pPr>
      <w:r w:rsidRPr="00386009">
        <w:rPr>
          <w:rFonts w:ascii="Arial" w:eastAsia="Calibri" w:hAnsi="Arial" w:cs="Arial"/>
          <w:sz w:val="22"/>
          <w:lang w:val="es-ES"/>
        </w:rPr>
        <w:t xml:space="preserve">v) si un oferente no aportó un certificado de experiencia, el documento que subsana –sin importar que tenga fecha posterior– debe demostrar que la experiencia que se pretende hacer valer se obtuvo antes de vencerse el término para presentar ofertas, y </w:t>
      </w:r>
    </w:p>
    <w:p w14:paraId="17673346" w14:textId="77777777" w:rsidR="00DB2904" w:rsidRPr="00386009" w:rsidRDefault="00DB2904" w:rsidP="00DB2904">
      <w:pPr>
        <w:spacing w:before="120" w:after="120" w:line="276" w:lineRule="auto"/>
        <w:ind w:firstLine="709"/>
        <w:jc w:val="both"/>
        <w:rPr>
          <w:rFonts w:ascii="Arial" w:eastAsia="Calibri" w:hAnsi="Arial" w:cs="Arial"/>
          <w:sz w:val="22"/>
          <w:lang w:val="es-ES"/>
        </w:rPr>
      </w:pPr>
      <w:r w:rsidRPr="00386009">
        <w:rPr>
          <w:rFonts w:ascii="Arial" w:eastAsia="Calibri" w:hAnsi="Arial" w:cs="Arial"/>
          <w:sz w:val="22"/>
          <w:lang w:val="es-ES"/>
        </w:rPr>
        <w:t xml:space="preserve">vi) si el oferente olvidó firmar la propuesta o presentar una copia de ella, puede subsanar sin que se entienda que acreditó una circunstancia ocurrida con posterioridad al cierre del proceso. </w:t>
      </w:r>
    </w:p>
    <w:p w14:paraId="6D26B44E" w14:textId="77777777" w:rsidR="00DB2904" w:rsidRPr="00386009" w:rsidRDefault="00DB2904" w:rsidP="00DB2904">
      <w:pPr>
        <w:spacing w:before="120" w:after="120" w:line="276" w:lineRule="auto"/>
        <w:ind w:firstLine="709"/>
        <w:jc w:val="both"/>
        <w:rPr>
          <w:rFonts w:ascii="Arial" w:eastAsia="Calibri" w:hAnsi="Arial" w:cs="Arial"/>
          <w:sz w:val="22"/>
          <w:lang w:val="es-ES"/>
        </w:rPr>
      </w:pPr>
      <w:r w:rsidRPr="00386009">
        <w:rPr>
          <w:rFonts w:ascii="Arial" w:eastAsia="Calibri" w:hAnsi="Arial" w:cs="Arial"/>
          <w:sz w:val="22"/>
          <w:lang w:val="es-ES"/>
        </w:rPr>
        <w:t xml:space="preserve">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w:t>
      </w:r>
    </w:p>
    <w:p w14:paraId="00E0172A" w14:textId="77777777" w:rsidR="00DB2904" w:rsidRPr="00386009" w:rsidRDefault="00DB2904" w:rsidP="00DB2904">
      <w:pPr>
        <w:spacing w:before="120" w:after="120" w:line="276" w:lineRule="auto"/>
        <w:ind w:firstLine="709"/>
        <w:jc w:val="both"/>
        <w:rPr>
          <w:rFonts w:ascii="Arial" w:eastAsia="Calibri" w:hAnsi="Arial" w:cs="Arial"/>
          <w:sz w:val="22"/>
          <w:lang w:val="es-ES"/>
        </w:rPr>
      </w:pPr>
      <w:r w:rsidRPr="00386009">
        <w:rPr>
          <w:rFonts w:ascii="Arial" w:eastAsia="Calibri" w:hAnsi="Arial" w:cs="Arial"/>
          <w:sz w:val="22"/>
          <w:lang w:val="es-ES"/>
        </w:rPr>
        <w:t>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386009">
        <w:rPr>
          <w:rFonts w:ascii="Arial" w:eastAsia="Calibri" w:hAnsi="Arial" w:cs="Arial"/>
          <w:sz w:val="22"/>
          <w:vertAlign w:val="superscript"/>
          <w:lang w:val="es-ES"/>
        </w:rPr>
        <w:footnoteReference w:id="29"/>
      </w:r>
      <w:r w:rsidRPr="00386009">
        <w:rPr>
          <w:rFonts w:ascii="Arial" w:eastAsia="Calibri" w:hAnsi="Arial" w:cs="Arial"/>
          <w:sz w:val="22"/>
          <w:lang w:val="es-ES"/>
        </w:rPr>
        <w:t>. 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En tal sentido, indicó que no es relevante que, al subsanar dichos documentos, su fecha de actualización sea posterior a la del cierre, sino que las circunstancias que acrediten hayan ocurrido antes.</w:t>
      </w:r>
    </w:p>
    <w:p w14:paraId="2FE55F6E" w14:textId="77777777" w:rsidR="00DB2904" w:rsidRPr="00386009" w:rsidRDefault="00DB2904" w:rsidP="00DB2904">
      <w:pPr>
        <w:spacing w:before="120" w:after="120" w:line="276" w:lineRule="auto"/>
        <w:ind w:firstLine="709"/>
        <w:jc w:val="both"/>
        <w:rPr>
          <w:rFonts w:ascii="Arial" w:eastAsia="Calibri" w:hAnsi="Arial" w:cs="Arial"/>
          <w:sz w:val="22"/>
          <w:lang w:val="es-ES"/>
        </w:rPr>
      </w:pPr>
      <w:r w:rsidRPr="00386009">
        <w:rPr>
          <w:rFonts w:ascii="Arial" w:eastAsia="Calibri" w:hAnsi="Arial" w:cs="Arial"/>
          <w:sz w:val="22"/>
          <w:lang w:val="es-ES"/>
        </w:rPr>
        <w:t xml:space="preserve">Esta tesis fue reiterada por la Agencia Nacional de Contratación Pública – Colombia Compra Eficiente en el concepto con radicado 4201912000008198, en el que indicó que las certificaciones de experiencia que no otorgaran puntaje podían aportarse corregidos o </w:t>
      </w:r>
      <w:r w:rsidRPr="00386009">
        <w:rPr>
          <w:rFonts w:ascii="Arial" w:eastAsia="Calibri" w:hAnsi="Arial" w:cs="Arial"/>
          <w:sz w:val="22"/>
          <w:lang w:val="es-ES"/>
        </w:rPr>
        <w:lastRenderedPageBreak/>
        <w:t xml:space="preserve">incluso, en reemplazo de las que no cumplieran el requisito habilitante, siempre que en los documentos aportados en la etapa de subsanabilidad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0D8AC925" w14:textId="77777777" w:rsidR="00DB2904" w:rsidRPr="00386009" w:rsidRDefault="00DB2904" w:rsidP="00DB2904">
      <w:pPr>
        <w:spacing w:before="120" w:after="120" w:line="276" w:lineRule="auto"/>
        <w:ind w:firstLine="709"/>
        <w:jc w:val="both"/>
        <w:rPr>
          <w:rFonts w:ascii="Arial" w:eastAsia="Calibri" w:hAnsi="Arial" w:cs="Arial"/>
          <w:sz w:val="22"/>
          <w:lang w:val="es-ES"/>
        </w:rPr>
      </w:pPr>
      <w:r w:rsidRPr="00386009">
        <w:rPr>
          <w:rFonts w:ascii="Arial" w:eastAsia="Calibri" w:hAnsi="Arial" w:cs="Arial"/>
          <w:sz w:val="22"/>
          <w:lang w:val="es-ES"/>
        </w:rPr>
        <w:t xml:space="preserve">Una reiteración de la postura de esta Subdirección, según la cual la subsanabilidad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se encuentra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2201913000008049 del 28 de octubre de 2019 –en el que se iteró que no es posible variar el porcentaje de participación en una unión temporal, porque implicaría una modificación de la oferta y la acreditación de un aspecto que es posterior al cierre del procedimiento de selección–. </w:t>
      </w:r>
    </w:p>
    <w:p w14:paraId="205348AD" w14:textId="77777777" w:rsidR="00DB2904" w:rsidRPr="00386009" w:rsidRDefault="00DB2904" w:rsidP="00DB2904">
      <w:pPr>
        <w:spacing w:before="120" w:after="120" w:line="276" w:lineRule="auto"/>
        <w:ind w:firstLine="709"/>
        <w:jc w:val="both"/>
        <w:rPr>
          <w:rFonts w:ascii="Arial" w:eastAsia="Calibri" w:hAnsi="Arial" w:cs="Arial"/>
          <w:sz w:val="22"/>
          <w:lang w:val="es-ES"/>
        </w:rPr>
      </w:pPr>
      <w:r w:rsidRPr="00386009">
        <w:rPr>
          <w:rFonts w:ascii="Arial" w:eastAsia="Calibri" w:hAnsi="Arial" w:cs="Arial"/>
          <w:sz w:val="22"/>
          <w:lang w:val="es-ES"/>
        </w:rPr>
        <w:t xml:space="preserve">Visto lo anterior, una vez verificada la ausencia de requisitos y/o documentos de la oferta, para saber si se puede subsanar, la Administración se debe preguntar, en primer lugar, si lo que hace falta es un </w:t>
      </w:r>
      <w:r w:rsidRPr="00386009">
        <w:rPr>
          <w:rFonts w:ascii="Arial" w:eastAsia="Calibri" w:hAnsi="Arial" w:cs="Arial"/>
          <w:iCs/>
          <w:sz w:val="22"/>
          <w:lang w:val="es-ES"/>
        </w:rPr>
        <w:t>documento o información</w:t>
      </w:r>
      <w:r w:rsidRPr="00386009">
        <w:rPr>
          <w:rFonts w:ascii="Arial" w:eastAsia="Calibri" w:hAnsi="Arial" w:cs="Arial"/>
          <w:sz w:val="22"/>
          <w:lang w:val="es-ES"/>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3617E7D5" w14:textId="48499551" w:rsidR="00DB2904" w:rsidRPr="00386009" w:rsidRDefault="00DB2904" w:rsidP="002103F6">
      <w:pPr>
        <w:spacing w:before="120" w:after="120" w:line="276" w:lineRule="auto"/>
        <w:ind w:firstLine="709"/>
        <w:jc w:val="both"/>
        <w:rPr>
          <w:rFonts w:ascii="Arial" w:eastAsia="Calibri" w:hAnsi="Arial" w:cs="Arial"/>
          <w:sz w:val="22"/>
          <w:lang w:val="es-ES"/>
        </w:rPr>
      </w:pPr>
      <w:r w:rsidRPr="00386009">
        <w:rPr>
          <w:rFonts w:ascii="Arial" w:eastAsia="Calibri" w:hAnsi="Arial" w:cs="Arial"/>
          <w:sz w:val="22"/>
          <w:lang w:val="es-ES"/>
        </w:rPr>
        <w:t xml:space="preserve">Finalmente, el parágrafo 3 del artículo 5 de la Ley 1882 de 2018 determinó, de manera expresa, que «la no entrega de la garantía de seriedad junto con la propuesta no será subsanable y será causal de rechazo de la misma», dejando claro que se trata de un </w:t>
      </w:r>
      <w:r w:rsidRPr="00386009">
        <w:rPr>
          <w:rFonts w:ascii="Arial" w:eastAsia="Calibri" w:hAnsi="Arial" w:cs="Arial"/>
          <w:sz w:val="22"/>
          <w:lang w:val="es-ES"/>
        </w:rPr>
        <w:lastRenderedPageBreak/>
        <w:t>documento de obligatoria presentación junto con la propuesta y que materializa los principios de seriedad e irrevocabilidad de la oferta.</w:t>
      </w:r>
    </w:p>
    <w:p w14:paraId="2A09EEC3" w14:textId="0F10264A" w:rsidR="0071343B" w:rsidRPr="00386009" w:rsidRDefault="002103F6" w:rsidP="0071343B">
      <w:pPr>
        <w:spacing w:before="120" w:after="120" w:line="276" w:lineRule="auto"/>
        <w:ind w:firstLine="709"/>
        <w:jc w:val="both"/>
        <w:rPr>
          <w:rFonts w:ascii="Arial" w:eastAsia="Calibri" w:hAnsi="Arial" w:cs="Arial"/>
          <w:color w:val="000000"/>
          <w:sz w:val="22"/>
          <w:lang w:val="es-ES"/>
        </w:rPr>
      </w:pPr>
      <w:r w:rsidRPr="00386009">
        <w:rPr>
          <w:rFonts w:ascii="Arial" w:eastAsia="Calibri" w:hAnsi="Arial" w:cs="Arial"/>
          <w:sz w:val="22"/>
          <w:lang w:val="es-ES"/>
        </w:rPr>
        <w:t>Ahora usted pregunta: ¿si un proponente presenta un certificado de antecedentes de un contador vencido, y lo subsana con fecha de expedición posterior al cierre, será suficiente para rechazar al oferente</w:t>
      </w:r>
      <w:r w:rsidRPr="00386009">
        <w:rPr>
          <w:rFonts w:ascii="Arial" w:eastAsia="Calibri" w:hAnsi="Arial" w:cs="Arial"/>
          <w:color w:val="000000"/>
          <w:sz w:val="22"/>
          <w:lang w:val="es-ES"/>
        </w:rPr>
        <w:t>?</w:t>
      </w:r>
      <w:r w:rsidR="00642E5B" w:rsidRPr="00386009">
        <w:rPr>
          <w:rFonts w:ascii="Arial" w:eastAsia="Calibri" w:hAnsi="Arial" w:cs="Arial"/>
          <w:color w:val="000000"/>
          <w:sz w:val="22"/>
          <w:lang w:val="es-ES"/>
        </w:rPr>
        <w:t xml:space="preserve"> </w:t>
      </w:r>
      <w:bookmarkStart w:id="17" w:name="_Hlk42607198"/>
      <w:r w:rsidR="0071343B" w:rsidRPr="00386009">
        <w:rPr>
          <w:rFonts w:ascii="Arial" w:eastAsia="Calibri" w:hAnsi="Arial" w:cs="Arial"/>
          <w:color w:val="000000"/>
          <w:sz w:val="22"/>
          <w:lang w:val="es-ES"/>
        </w:rPr>
        <w:t xml:space="preserve">Explicada el alcance de la regla de subsanabilidad en los procesos de contratación, la entidad determinará si el certificado de antecedentes del contador expedido con fecha posterior al cierre es una circunstancia que se encuadra como posterior al cierre o no y, por tanto, si procede el rechazo de la oferta. </w:t>
      </w:r>
    </w:p>
    <w:p w14:paraId="2D3E78AB" w14:textId="74DA69E2" w:rsidR="005A1679" w:rsidRPr="00386009" w:rsidRDefault="005A1679" w:rsidP="005A1679">
      <w:pPr>
        <w:autoSpaceDE w:val="0"/>
        <w:autoSpaceDN w:val="0"/>
        <w:adjustRightInd w:val="0"/>
        <w:spacing w:line="276" w:lineRule="auto"/>
        <w:ind w:firstLine="708"/>
        <w:jc w:val="both"/>
        <w:rPr>
          <w:rFonts w:ascii="Arial" w:eastAsia="Calibri" w:hAnsi="Arial" w:cs="Arial"/>
          <w:color w:val="000000"/>
          <w:sz w:val="22"/>
          <w:lang w:val="es-ES"/>
        </w:rPr>
      </w:pPr>
      <w:r w:rsidRPr="00386009">
        <w:rPr>
          <w:rFonts w:ascii="Arial" w:eastAsia="Times New Roman" w:hAnsi="Arial" w:cs="Arial"/>
          <w:color w:val="000000"/>
          <w:sz w:val="22"/>
          <w:lang w:val="es-ES" w:eastAsia="es-ES_tradnl"/>
        </w:rPr>
        <w:t>En efecto, usted no solicita que se absuelvan dudas sobre la aplicación de una norma de carácter general en materia de compras y contratación pública, sino que se solucione un problema</w:t>
      </w:r>
      <w:r w:rsidRPr="00386009">
        <w:rPr>
          <w:rFonts w:ascii="Arial" w:eastAsia="Times New Roman" w:hAnsi="Arial" w:cs="Arial"/>
          <w:color w:val="000000"/>
          <w:sz w:val="22"/>
          <w:lang w:val="es-ES" w:eastAsia="es-CO"/>
        </w:rPr>
        <w:t xml:space="preserve"> asociado a un caso específico, frente al cual usted nos pide que determinemos si procede o no el rechazo de la oferta cuando el proponente presenta un certificado de antecedentes de un contador vencido con fecha de expedición posterior al cierre</w:t>
      </w:r>
      <w:r w:rsidRPr="00386009">
        <w:rPr>
          <w:rFonts w:ascii="Arial" w:eastAsia="Calibri" w:hAnsi="Arial" w:cs="Arial"/>
          <w:color w:val="000000"/>
          <w:sz w:val="22"/>
          <w:lang w:val="es-ES"/>
        </w:rPr>
        <w:t>. El pronunciamiento por parte de esta entidad sobre sus preguntas desborda nuestra competencia consultiva, la cual está limitada a resolver problemas de aplicación de normas de carácter general; pero su consulta se refiere a la solución de un caso que, además, envuelve una controversia cuya resolución no le compete resolver a esta entidad, dado que no cuenta con las competencias para brindar asesoría respecto de problemas propios de la ejecución de los contratos estatales; pues en virtud del principio de autonomía de la voluntad, corresponde a las misma partes, ante el surgimiento de circunstancias como la mencionada, determinar en qué evento procede el rechazo de la oferta.</w:t>
      </w:r>
    </w:p>
    <w:bookmarkEnd w:id="17"/>
    <w:p w14:paraId="19AEC189" w14:textId="77777777" w:rsidR="005A1679" w:rsidRPr="00386009" w:rsidRDefault="005A1679" w:rsidP="00CB1244">
      <w:pPr>
        <w:autoSpaceDE w:val="0"/>
        <w:autoSpaceDN w:val="0"/>
        <w:adjustRightInd w:val="0"/>
        <w:spacing w:line="276" w:lineRule="auto"/>
        <w:jc w:val="both"/>
        <w:rPr>
          <w:rFonts w:ascii="Arial" w:eastAsia="Calibri" w:hAnsi="Arial" w:cs="Arial"/>
          <w:color w:val="000000"/>
          <w:sz w:val="22"/>
          <w:lang w:val="es-ES"/>
        </w:rPr>
      </w:pPr>
    </w:p>
    <w:p w14:paraId="5B01FA8E" w14:textId="77777777" w:rsidR="005A1679" w:rsidRPr="00386009" w:rsidRDefault="005A1679" w:rsidP="005A1679">
      <w:pPr>
        <w:spacing w:line="276" w:lineRule="auto"/>
        <w:jc w:val="both"/>
        <w:rPr>
          <w:rFonts w:ascii="Arial" w:eastAsia="Calibri" w:hAnsi="Arial" w:cs="Arial"/>
          <w:b/>
          <w:bCs/>
          <w:color w:val="000000"/>
          <w:sz w:val="22"/>
          <w:lang w:val="es-ES"/>
        </w:rPr>
      </w:pPr>
      <w:r w:rsidRPr="00386009">
        <w:rPr>
          <w:rFonts w:ascii="Arial" w:eastAsia="Calibri" w:hAnsi="Arial" w:cs="Arial"/>
          <w:b/>
          <w:bCs/>
          <w:color w:val="000000"/>
          <w:sz w:val="21"/>
          <w:szCs w:val="21"/>
          <w:lang w:val="es-ES"/>
        </w:rPr>
        <w:t xml:space="preserve">2.4 </w:t>
      </w:r>
      <w:r w:rsidRPr="00386009">
        <w:rPr>
          <w:rFonts w:ascii="Arial" w:eastAsia="Calibri" w:hAnsi="Arial" w:cs="Arial"/>
          <w:b/>
          <w:bCs/>
          <w:color w:val="000000"/>
          <w:sz w:val="22"/>
          <w:lang w:val="es-ES"/>
        </w:rPr>
        <w:t>Experiencia en actividades de mejoramiento o construcción de vías terciarias</w:t>
      </w:r>
    </w:p>
    <w:p w14:paraId="78A7E155" w14:textId="77777777" w:rsidR="005A1679" w:rsidRPr="00386009" w:rsidRDefault="005A1679" w:rsidP="005A1679">
      <w:pPr>
        <w:spacing w:line="276" w:lineRule="auto"/>
        <w:jc w:val="both"/>
        <w:rPr>
          <w:rFonts w:ascii="Arial" w:eastAsia="Calibri" w:hAnsi="Arial" w:cs="Arial"/>
          <w:b/>
          <w:bCs/>
          <w:color w:val="000000"/>
          <w:sz w:val="22"/>
          <w:lang w:val="es-ES"/>
        </w:rPr>
      </w:pPr>
    </w:p>
    <w:p w14:paraId="03E90C54" w14:textId="75F5FAEA" w:rsidR="005A1679" w:rsidRPr="00386009" w:rsidRDefault="005A1679" w:rsidP="005A1679">
      <w:pPr>
        <w:spacing w:line="276" w:lineRule="auto"/>
        <w:jc w:val="both"/>
        <w:rPr>
          <w:rFonts w:ascii="Arial" w:hAnsi="Arial" w:cs="Arial"/>
          <w:color w:val="000000" w:themeColor="text1"/>
          <w:sz w:val="22"/>
          <w:lang w:val="es-ES"/>
        </w:rPr>
      </w:pPr>
      <w:r w:rsidRPr="00386009">
        <w:rPr>
          <w:rFonts w:ascii="Arial" w:hAnsi="Arial" w:cs="Arial"/>
          <w:color w:val="000000" w:themeColor="text1"/>
          <w:sz w:val="22"/>
          <w:lang w:val="es-ES"/>
        </w:rPr>
        <w:t>El artículo 4 de la Ley 1882 de 2018 establece que al Gobierno Nacional corresponde adoptar los «documentos tipo para los pliegos de condiciones de los procesos de selección de obras públicas» y que estos «</w:t>
      </w:r>
      <w:r w:rsidRPr="00386009">
        <w:rPr>
          <w:rFonts w:ascii="Arial" w:hAnsi="Arial" w:cs="Arial"/>
          <w:i/>
          <w:color w:val="000000" w:themeColor="text1"/>
          <w:sz w:val="22"/>
          <w:lang w:val="es-ES"/>
        </w:rPr>
        <w:t>deberán</w:t>
      </w:r>
      <w:r w:rsidRPr="00386009">
        <w:rPr>
          <w:rFonts w:ascii="Arial" w:hAnsi="Arial" w:cs="Arial"/>
          <w:color w:val="000000" w:themeColor="text1"/>
          <w:sz w:val="22"/>
          <w:lang w:val="es-ES"/>
        </w:rPr>
        <w:t xml:space="preserve"> ser utilizados por todas las entidades sometidas al Estatuto General de la Contratación de la Administración Pública en los procesos de selección que adelanten». </w:t>
      </w:r>
    </w:p>
    <w:p w14:paraId="1E8A9630" w14:textId="77777777" w:rsidR="005A1679" w:rsidRPr="00386009" w:rsidRDefault="005A1679" w:rsidP="005A1679">
      <w:pPr>
        <w:spacing w:before="120" w:after="120" w:line="276" w:lineRule="auto"/>
        <w:ind w:firstLine="709"/>
        <w:jc w:val="both"/>
        <w:rPr>
          <w:rFonts w:ascii="Arial" w:hAnsi="Arial" w:cs="Arial"/>
          <w:color w:val="000000" w:themeColor="text1"/>
          <w:sz w:val="22"/>
          <w:lang w:val="es-ES"/>
        </w:rPr>
      </w:pPr>
      <w:r w:rsidRPr="00386009">
        <w:rPr>
          <w:rFonts w:ascii="Arial" w:hAnsi="Arial" w:cs="Arial"/>
          <w:color w:val="000000" w:themeColor="text1"/>
          <w:sz w:val="22"/>
          <w:lang w:val="es-ES"/>
        </w:rPr>
        <w:t xml:space="preserve">Adicionalmente, señala, frente a su contenido, que «[d]entro de los documentos tipo el Gobierno adoptará de manera general y con </w:t>
      </w:r>
      <w:r w:rsidRPr="00386009">
        <w:rPr>
          <w:rFonts w:ascii="Arial" w:hAnsi="Arial" w:cs="Arial"/>
          <w:i/>
          <w:color w:val="000000" w:themeColor="text1"/>
          <w:sz w:val="22"/>
          <w:lang w:val="es-ES"/>
        </w:rPr>
        <w:t>alcance obligatorio</w:t>
      </w:r>
      <w:r w:rsidRPr="00386009">
        <w:rPr>
          <w:rFonts w:ascii="Arial" w:hAnsi="Arial" w:cs="Arial"/>
          <w:color w:val="000000" w:themeColor="text1"/>
          <w:sz w:val="22"/>
          <w:lang w:val="es-ES"/>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45B0653A" w14:textId="77777777" w:rsidR="005A1679" w:rsidRPr="00386009" w:rsidRDefault="005A1679" w:rsidP="005A1679">
      <w:pPr>
        <w:spacing w:before="120" w:after="120" w:line="276" w:lineRule="auto"/>
        <w:ind w:firstLine="709"/>
        <w:jc w:val="both"/>
        <w:rPr>
          <w:rFonts w:ascii="Arial" w:hAnsi="Arial" w:cs="Arial"/>
          <w:color w:val="000000" w:themeColor="text1"/>
          <w:sz w:val="22"/>
          <w:shd w:val="clear" w:color="auto" w:fill="FFFFFF"/>
          <w:lang w:val="es-ES"/>
        </w:rPr>
      </w:pPr>
      <w:r w:rsidRPr="00386009">
        <w:rPr>
          <w:rFonts w:ascii="Arial" w:hAnsi="Arial" w:cs="Arial"/>
          <w:color w:val="000000" w:themeColor="text1"/>
          <w:sz w:val="22"/>
          <w:lang w:val="es-ES"/>
        </w:rPr>
        <w:t>Conforme a lo anterior, el Gobierno Nacional adop</w:t>
      </w:r>
      <w:r w:rsidRPr="00386009">
        <w:rPr>
          <w:rFonts w:ascii="Arial" w:hAnsi="Arial" w:cs="Arial"/>
          <w:color w:val="000000" w:themeColor="text1"/>
          <w:sz w:val="22"/>
          <w:shd w:val="clear" w:color="auto" w:fill="FFFFFF"/>
          <w:lang w:val="es-ES"/>
        </w:rPr>
        <w:t xml:space="preserve">tó los Documentos Tipo para los pliegos de condiciones de los procesos de selección de licitación de obra pública de infraestructura de transporte, mediante la expedición del Decreto 342 de 2018, el cual adiciona al Decreto 1082 de 2015. </w:t>
      </w:r>
    </w:p>
    <w:p w14:paraId="1B283CB3" w14:textId="77777777" w:rsidR="005A1679" w:rsidRPr="00386009" w:rsidRDefault="005A1679" w:rsidP="005A1679">
      <w:pPr>
        <w:spacing w:before="120" w:after="120" w:line="276" w:lineRule="auto"/>
        <w:ind w:firstLine="709"/>
        <w:jc w:val="both"/>
        <w:rPr>
          <w:rFonts w:ascii="Arial" w:hAnsi="Arial" w:cs="Arial"/>
          <w:color w:val="000000" w:themeColor="text1"/>
          <w:sz w:val="22"/>
          <w:shd w:val="clear" w:color="auto" w:fill="FFFFFF"/>
          <w:lang w:val="es-ES"/>
        </w:rPr>
      </w:pPr>
      <w:r w:rsidRPr="00386009">
        <w:rPr>
          <w:rFonts w:ascii="Arial" w:hAnsi="Arial" w:cs="Arial"/>
          <w:color w:val="000000" w:themeColor="text1"/>
          <w:sz w:val="22"/>
          <w:shd w:val="clear" w:color="auto" w:fill="FFFFFF"/>
          <w:lang w:val="es-ES"/>
        </w:rPr>
        <w:lastRenderedPageBreak/>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que en ellos sean fijados. </w:t>
      </w:r>
    </w:p>
    <w:p w14:paraId="71AD59EB" w14:textId="03ACBCAA" w:rsidR="005A1679" w:rsidRPr="00386009" w:rsidRDefault="005A1679" w:rsidP="005A1679">
      <w:pPr>
        <w:spacing w:before="120" w:after="120" w:line="276" w:lineRule="auto"/>
        <w:ind w:firstLine="709"/>
        <w:jc w:val="both"/>
        <w:rPr>
          <w:rFonts w:ascii="Arial" w:hAnsi="Arial" w:cs="Arial"/>
          <w:color w:val="000000" w:themeColor="text1"/>
          <w:sz w:val="22"/>
          <w:shd w:val="clear" w:color="auto" w:fill="FFFFFF"/>
          <w:lang w:val="es-ES"/>
        </w:rPr>
      </w:pPr>
      <w:r w:rsidRPr="00386009">
        <w:rPr>
          <w:rFonts w:ascii="Arial" w:hAnsi="Arial" w:cs="Arial"/>
          <w:color w:val="000000" w:themeColor="text1"/>
          <w:sz w:val="22"/>
          <w:shd w:val="clear" w:color="auto" w:fill="FFFFFF"/>
          <w:lang w:val="es-ES"/>
        </w:rPr>
        <w:t xml:space="preserve">Con el fin de establecer cuáles son los Documentos Tipo sujetos a esta disposición, el artículo 2.2.1.2.6.1.2. del Decreto 1082 de 2015 </w:t>
      </w:r>
      <w:r w:rsidR="00D678E6" w:rsidRPr="00386009">
        <w:rPr>
          <w:rFonts w:ascii="Arial" w:hAnsi="Arial" w:cs="Arial"/>
          <w:color w:val="000000" w:themeColor="text1"/>
          <w:sz w:val="22"/>
          <w:shd w:val="clear" w:color="auto" w:fill="FFFFFF"/>
          <w:lang w:val="es-ES"/>
        </w:rPr>
        <w:t xml:space="preserve">prevé </w:t>
      </w:r>
      <w:r w:rsidRPr="00386009">
        <w:rPr>
          <w:rFonts w:ascii="Arial" w:hAnsi="Arial" w:cs="Arial"/>
          <w:color w:val="000000" w:themeColor="text1"/>
          <w:sz w:val="22"/>
          <w:shd w:val="clear" w:color="auto" w:fill="FFFFFF"/>
          <w:lang w:val="es-ES"/>
        </w:rPr>
        <w:t xml:space="preserve">un listado que determina el alcance de los documentos e incluye expresamente la «Matriz 1 – Experiencia» «en adelante Matriz 1». Por su parte, el artículo 2.2.1.2.6.1.3. </w:t>
      </w:r>
      <w:r w:rsidRPr="00386009">
        <w:rPr>
          <w:rFonts w:ascii="Arial" w:hAnsi="Arial" w:cs="Arial"/>
          <w:i/>
          <w:iCs/>
          <w:color w:val="000000" w:themeColor="text1"/>
          <w:sz w:val="22"/>
          <w:shd w:val="clear" w:color="auto" w:fill="FFFFFF"/>
          <w:lang w:val="es-ES"/>
        </w:rPr>
        <w:t xml:space="preserve">ibidem </w:t>
      </w:r>
      <w:r w:rsidRPr="00386009">
        <w:rPr>
          <w:rFonts w:ascii="Arial" w:hAnsi="Arial" w:cs="Arial"/>
          <w:color w:val="000000" w:themeColor="text1"/>
          <w:sz w:val="22"/>
          <w:shd w:val="clear" w:color="auto" w:fill="FFFFFF"/>
          <w:lang w:val="es-ES"/>
        </w:rPr>
        <w:t>dispone que en el desarrollo e implementación de los documentos, la Agencia Nacional de Contratación Pública – Colombia Compra Eficiente, en coordinación con el Departamento Nacional de Planeación [DNP] y el Ministerio de Transporte, debe «[s]</w:t>
      </w:r>
      <w:proofErr w:type="spellStart"/>
      <w:r w:rsidRPr="00386009">
        <w:rPr>
          <w:rFonts w:ascii="Arial" w:hAnsi="Arial" w:cs="Arial"/>
          <w:color w:val="000000" w:themeColor="text1"/>
          <w:sz w:val="22"/>
          <w:shd w:val="clear" w:color="auto" w:fill="FFFFFF"/>
          <w:lang w:val="es-ES"/>
        </w:rPr>
        <w:t>eñalar</w:t>
      </w:r>
      <w:proofErr w:type="spellEnd"/>
      <w:r w:rsidRPr="00386009">
        <w:rPr>
          <w:rFonts w:ascii="Arial" w:hAnsi="Arial" w:cs="Arial"/>
          <w:color w:val="000000" w:themeColor="text1"/>
          <w:sz w:val="22"/>
          <w:shd w:val="clear" w:color="auto" w:fill="FFFFFF"/>
          <w:lang w:val="es-ES"/>
        </w:rPr>
        <w:t xml:space="preserve"> las actividades sobre las cuales recaerá la verificación de la experiencia de los proponentes, así como los documentos y criterios de acreditación y verificación de experiencia, teniendo en cuenta la cuantía y el tipo de intervención». </w:t>
      </w:r>
    </w:p>
    <w:p w14:paraId="225F83BC" w14:textId="77777777" w:rsidR="005A1679" w:rsidRPr="00386009" w:rsidRDefault="005A1679" w:rsidP="005A1679">
      <w:pPr>
        <w:spacing w:before="120" w:after="120" w:line="276" w:lineRule="auto"/>
        <w:ind w:firstLine="709"/>
        <w:jc w:val="both"/>
        <w:rPr>
          <w:rFonts w:ascii="Arial" w:hAnsi="Arial" w:cs="Arial"/>
          <w:color w:val="000000" w:themeColor="text1"/>
          <w:sz w:val="22"/>
          <w:lang w:val="es-ES"/>
        </w:rPr>
      </w:pPr>
      <w:r w:rsidRPr="00386009">
        <w:rPr>
          <w:rFonts w:ascii="Arial" w:hAnsi="Arial" w:cs="Arial"/>
          <w:color w:val="000000" w:themeColor="text1"/>
          <w:sz w:val="22"/>
          <w:lang w:val="es-ES"/>
        </w:rPr>
        <w:t xml:space="preserve">En cumplimiento de este mandato, la Resolución No. 1798 del 1 de abril de 2019, a través de la cual </w:t>
      </w:r>
      <w:r w:rsidRPr="00386009">
        <w:rPr>
          <w:rFonts w:ascii="Arial" w:hAnsi="Arial" w:cs="Arial"/>
          <w:color w:val="000000" w:themeColor="text1"/>
          <w:sz w:val="22"/>
          <w:shd w:val="clear" w:color="auto" w:fill="FFFFFF"/>
          <w:lang w:val="es-ES"/>
        </w:rPr>
        <w:t>la Agencia Nacional de Contratación Pública – Colombia Compra Eficiente</w:t>
      </w:r>
      <w:r w:rsidRPr="00386009">
        <w:rPr>
          <w:rFonts w:ascii="Arial" w:hAnsi="Arial" w:cs="Arial"/>
          <w:color w:val="000000" w:themeColor="text1"/>
          <w:sz w:val="22"/>
          <w:lang w:val="es-ES"/>
        </w:rPr>
        <w:t xml:space="preserve"> implementó y desarrolló los Documentos Tipo aplicables a los procesos de licitación de obra pública de infraestructura de transporte, determinó los documentos y criterios que debe cumplir el proponente para la acreditación de la experiencia, específicamente en la sección 3.5 del «Documento Base» y en la «Matriz 1 – Experiencia». De igual manera, con el fin de verificar si el objeto a contratar se encuentra enmarcado en las actividades de experiencia, el Anexo 3 – Glosario establece los conceptos propios de la ingeniería civil que deben ser considerados para una adecuada aplicación de los criterios establecidos.</w:t>
      </w:r>
    </w:p>
    <w:p w14:paraId="454D8469" w14:textId="77777777" w:rsidR="005A1679" w:rsidRPr="00386009" w:rsidRDefault="005A1679" w:rsidP="005A1679">
      <w:pPr>
        <w:spacing w:before="120" w:after="120" w:line="276" w:lineRule="auto"/>
        <w:ind w:firstLine="709"/>
        <w:jc w:val="both"/>
        <w:rPr>
          <w:rFonts w:ascii="Arial" w:hAnsi="Arial" w:cs="Arial"/>
          <w:color w:val="000000" w:themeColor="text1"/>
          <w:sz w:val="22"/>
          <w:lang w:val="es-ES"/>
        </w:rPr>
      </w:pPr>
      <w:r w:rsidRPr="00386009">
        <w:rPr>
          <w:rFonts w:ascii="Arial" w:hAnsi="Arial" w:cs="Arial"/>
          <w:color w:val="000000" w:themeColor="text1"/>
          <w:sz w:val="22"/>
          <w:lang w:val="es-ES"/>
        </w:rPr>
        <w:t xml:space="preserve">De acuerdo con las condiciones fijadas en el «Documento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mínimo correspondiente a un porcentaje del presupuesto oficial del proceso de obra </w:t>
      </w:r>
      <w:r w:rsidRPr="00386009">
        <w:rPr>
          <w:rFonts w:ascii="Arial" w:hAnsi="Arial" w:cs="Arial"/>
          <w:color w:val="000000" w:themeColor="text1"/>
          <w:sz w:val="22"/>
          <w:lang w:val="es-ES"/>
        </w:rPr>
        <w:lastRenderedPageBreak/>
        <w:t xml:space="preserve">expresado en SMMLV, cuya verificación se hará con base en la sumatoria de los valores totales ejecutados de los contratos que cumplan con los requisitos establecidos en el pliego de condiciones. </w:t>
      </w:r>
    </w:p>
    <w:p w14:paraId="49DD8410" w14:textId="77777777" w:rsidR="005A1679" w:rsidRPr="00386009" w:rsidRDefault="005A1679" w:rsidP="005A1679">
      <w:pPr>
        <w:spacing w:before="120" w:after="120" w:line="276" w:lineRule="auto"/>
        <w:ind w:firstLine="709"/>
        <w:jc w:val="both"/>
        <w:rPr>
          <w:rFonts w:ascii="Arial" w:hAnsi="Arial" w:cs="Arial"/>
          <w:color w:val="000000" w:themeColor="text1"/>
          <w:sz w:val="22"/>
          <w:lang w:val="es-ES"/>
        </w:rPr>
      </w:pPr>
      <w:r w:rsidRPr="00386009">
        <w:rPr>
          <w:rFonts w:ascii="Arial" w:hAnsi="Arial" w:cs="Arial"/>
          <w:color w:val="000000" w:themeColor="text1"/>
          <w:sz w:val="22"/>
          <w:lang w:val="es-ES"/>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el requisito habilitante, de experiencia de acuerdo con: i) el tipo de obra de infraestructura de transporte, ii) la actividad a contratar y iii) la cuantía del proceso de contratación.</w:t>
      </w:r>
    </w:p>
    <w:p w14:paraId="5220446F" w14:textId="77777777" w:rsidR="005A1679" w:rsidRPr="00386009" w:rsidRDefault="005A1679" w:rsidP="005A1679">
      <w:pPr>
        <w:spacing w:before="120" w:after="120" w:line="276" w:lineRule="auto"/>
        <w:ind w:firstLine="709"/>
        <w:jc w:val="both"/>
        <w:rPr>
          <w:rFonts w:ascii="Arial" w:hAnsi="Arial" w:cs="Arial"/>
          <w:color w:val="000000" w:themeColor="text1"/>
          <w:sz w:val="22"/>
          <w:lang w:val="es-ES"/>
        </w:rPr>
      </w:pPr>
      <w:r w:rsidRPr="00386009">
        <w:rPr>
          <w:rFonts w:ascii="Arial" w:hAnsi="Arial" w:cs="Arial"/>
          <w:color w:val="000000" w:themeColor="text1"/>
          <w:sz w:val="22"/>
          <w:lang w:val="es-ES"/>
        </w:rPr>
        <w:t>Frente al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w:t>
      </w:r>
    </w:p>
    <w:p w14:paraId="3AEE425F" w14:textId="77777777" w:rsidR="005A1679" w:rsidRPr="00386009" w:rsidRDefault="005A1679" w:rsidP="005A1679">
      <w:pPr>
        <w:spacing w:before="120" w:after="120" w:line="276" w:lineRule="auto"/>
        <w:ind w:firstLine="709"/>
        <w:jc w:val="both"/>
        <w:rPr>
          <w:rFonts w:ascii="Arial" w:hAnsi="Arial" w:cs="Arial"/>
          <w:color w:val="000000" w:themeColor="text1"/>
          <w:sz w:val="22"/>
          <w:lang w:val="es-ES"/>
        </w:rPr>
      </w:pPr>
      <w:r w:rsidRPr="00386009">
        <w:rPr>
          <w:rFonts w:ascii="Arial" w:hAnsi="Arial" w:cs="Arial"/>
          <w:color w:val="000000" w:themeColor="text1"/>
          <w:sz w:val="22"/>
          <w:lang w:val="es-ES"/>
        </w:rPr>
        <w:t>Con respecto a la actividad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61750D80" w14:textId="77777777" w:rsidR="005A1679" w:rsidRPr="00386009" w:rsidRDefault="005A1679" w:rsidP="005A1679">
      <w:pPr>
        <w:spacing w:line="276" w:lineRule="auto"/>
        <w:ind w:firstLine="708"/>
        <w:jc w:val="both"/>
        <w:rPr>
          <w:rFonts w:ascii="Arial" w:hAnsi="Arial" w:cs="Arial"/>
          <w:color w:val="000000" w:themeColor="text1"/>
          <w:sz w:val="22"/>
          <w:lang w:val="es-ES"/>
        </w:rPr>
      </w:pPr>
      <w:r w:rsidRPr="00386009">
        <w:rPr>
          <w:rFonts w:ascii="Arial" w:hAnsi="Arial" w:cs="Arial"/>
          <w:color w:val="000000" w:themeColor="text1"/>
          <w:sz w:val="22"/>
          <w:lang w:val="es-ES"/>
        </w:rPr>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14:paraId="6293E348" w14:textId="77777777" w:rsidR="005A1679" w:rsidRPr="00386009" w:rsidRDefault="005A1679" w:rsidP="005A1679">
      <w:pPr>
        <w:spacing w:before="120" w:after="120" w:line="276" w:lineRule="auto"/>
        <w:ind w:right="51" w:firstLine="709"/>
        <w:jc w:val="both"/>
        <w:rPr>
          <w:rFonts w:ascii="Arial" w:eastAsia="Calibri" w:hAnsi="Arial" w:cs="Arial"/>
          <w:sz w:val="22"/>
          <w:lang w:val="es-ES"/>
        </w:rPr>
      </w:pPr>
      <w:r w:rsidRPr="00386009">
        <w:rPr>
          <w:rFonts w:ascii="Arial" w:hAnsi="Arial" w:cs="Arial"/>
          <w:color w:val="000000" w:themeColor="text1"/>
          <w:sz w:val="22"/>
          <w:lang w:val="es-ES"/>
        </w:rPr>
        <w:t xml:space="preserve">Estos tres factores determinan el requisito de experiencia, establecidos en los documentos desarrollados por la Agencia Nacional de Contratación Pública – Colombia Compra Eficiente, e incluidos en la Matriz 1, son resultado del mandato establecido en el artículo 4 de la Ley 1882 de 2018, y por lo tanto, son de obligatorio cumplimiento. </w:t>
      </w:r>
      <w:r w:rsidRPr="00386009">
        <w:rPr>
          <w:rFonts w:ascii="Arial" w:hAnsi="Arial" w:cs="Arial"/>
          <w:color w:val="000000" w:themeColor="text1"/>
          <w:sz w:val="22"/>
          <w:lang w:val="es-ES"/>
        </w:rPr>
        <w:lastRenderedPageBreak/>
        <w:t>Igualmente, se encuentran sometidos a la reglamentación establecida en el Decreto 342 de 2019 y no pueden ser alterados, modificados o adicionados en su contenido.</w:t>
      </w:r>
    </w:p>
    <w:p w14:paraId="5E831DB1" w14:textId="77777777" w:rsidR="005A1679" w:rsidRPr="00386009" w:rsidRDefault="005A1679" w:rsidP="005A1679">
      <w:pPr>
        <w:spacing w:before="120" w:after="120" w:line="276" w:lineRule="auto"/>
        <w:ind w:right="51" w:firstLine="709"/>
        <w:jc w:val="both"/>
        <w:rPr>
          <w:rFonts w:ascii="Arial" w:eastAsia="Calibri" w:hAnsi="Arial" w:cs="Arial"/>
          <w:sz w:val="22"/>
          <w:lang w:val="es-ES"/>
        </w:rPr>
      </w:pPr>
      <w:r w:rsidRPr="00386009">
        <w:rPr>
          <w:rFonts w:ascii="Arial" w:eastAsia="Calibri" w:hAnsi="Arial" w:cs="Arial"/>
          <w:sz w:val="22"/>
          <w:lang w:val="es-ES"/>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6716F5A7" w14:textId="77777777" w:rsidR="005A1679" w:rsidRPr="00386009" w:rsidRDefault="005A1679" w:rsidP="005A1679">
      <w:pPr>
        <w:spacing w:before="120" w:after="120" w:line="276" w:lineRule="auto"/>
        <w:ind w:right="51" w:firstLine="709"/>
        <w:jc w:val="both"/>
        <w:rPr>
          <w:rFonts w:ascii="Arial" w:eastAsia="Calibri" w:hAnsi="Arial" w:cs="Arial"/>
          <w:sz w:val="22"/>
          <w:lang w:val="es-ES"/>
        </w:rPr>
      </w:pPr>
      <w:r w:rsidRPr="00386009">
        <w:rPr>
          <w:rFonts w:ascii="Arial" w:eastAsia="Calibri" w:hAnsi="Arial" w:cs="Arial"/>
          <w:sz w:val="22"/>
          <w:lang w:val="es-ES"/>
        </w:rPr>
        <w:t>a) Identificar en la Matriz 1 el tipo de infraestructura sobre el cual recae la obra a ejecutar. Al respecto esta matriz contiene ocho (8) secciones que corresponden a los tipos de infraestructura estandarizados.</w:t>
      </w:r>
    </w:p>
    <w:p w14:paraId="76DAE626" w14:textId="77777777" w:rsidR="005A1679" w:rsidRPr="00386009" w:rsidRDefault="005A1679" w:rsidP="005A1679">
      <w:pPr>
        <w:spacing w:before="120" w:after="120" w:line="276" w:lineRule="auto"/>
        <w:ind w:right="51" w:firstLine="709"/>
        <w:jc w:val="both"/>
        <w:rPr>
          <w:rFonts w:ascii="Arial" w:eastAsia="Calibri" w:hAnsi="Arial" w:cs="Arial"/>
          <w:sz w:val="22"/>
          <w:lang w:val="es-ES"/>
        </w:rPr>
      </w:pPr>
      <w:r w:rsidRPr="00386009">
        <w:rPr>
          <w:rFonts w:ascii="Arial" w:eastAsia="Calibri" w:hAnsi="Arial" w:cs="Arial"/>
          <w:sz w:val="22"/>
          <w:lang w:val="es-ES"/>
        </w:rPr>
        <w:t xml:space="preserve">b) Definido el tipo de infraestructura, identificar la «ACTIVIDAD A CONTRATAR» acorde con la Matriz 1. </w:t>
      </w:r>
    </w:p>
    <w:p w14:paraId="46BC41E1" w14:textId="77777777" w:rsidR="005A1679" w:rsidRPr="00386009" w:rsidRDefault="005A1679" w:rsidP="005A1679">
      <w:pPr>
        <w:spacing w:before="120" w:after="120" w:line="276" w:lineRule="auto"/>
        <w:ind w:right="51" w:firstLine="709"/>
        <w:jc w:val="both"/>
        <w:rPr>
          <w:rFonts w:ascii="Arial" w:eastAsia="Calibri" w:hAnsi="Arial" w:cs="Arial"/>
          <w:sz w:val="22"/>
          <w:lang w:val="es-ES"/>
        </w:rPr>
      </w:pPr>
      <w:r w:rsidRPr="00386009">
        <w:rPr>
          <w:rFonts w:ascii="Arial" w:eastAsia="Calibri" w:hAnsi="Arial" w:cs="Arial"/>
          <w:sz w:val="22"/>
          <w:lang w:val="es-ES"/>
        </w:rPr>
        <w:t xml:space="preserve">c) Identificar el rango en el cual se encuentra el Proceso de Contratación de acuerdo con el presupuesto oficial. </w:t>
      </w:r>
    </w:p>
    <w:p w14:paraId="3F383B2A" w14:textId="77777777" w:rsidR="005A1679" w:rsidRPr="00386009" w:rsidRDefault="005A1679" w:rsidP="005A1679">
      <w:pPr>
        <w:spacing w:before="120" w:after="120" w:line="276" w:lineRule="auto"/>
        <w:ind w:right="51" w:firstLine="709"/>
        <w:jc w:val="both"/>
        <w:rPr>
          <w:rFonts w:ascii="Arial" w:eastAsia="Calibri" w:hAnsi="Arial" w:cs="Arial"/>
          <w:sz w:val="22"/>
          <w:lang w:val="es-ES"/>
        </w:rPr>
      </w:pPr>
      <w:r w:rsidRPr="00386009">
        <w:rPr>
          <w:rFonts w:ascii="Arial" w:eastAsia="Calibri" w:hAnsi="Arial" w:cs="Arial"/>
          <w:sz w:val="22"/>
          <w:lang w:val="es-ES"/>
        </w:rPr>
        <w:t xml:space="preserve">d) Identificar la «experiencia general» exigible acorde con la Matriz 1 teniendo en cuenta la actividad a contratar y el rango de la cuantía del Proceso de Contratación. </w:t>
      </w:r>
    </w:p>
    <w:p w14:paraId="6B429FB5" w14:textId="77777777" w:rsidR="005A1679" w:rsidRPr="00386009" w:rsidRDefault="005A1679" w:rsidP="005A1679">
      <w:pPr>
        <w:spacing w:before="120" w:after="120" w:line="276" w:lineRule="auto"/>
        <w:ind w:right="51" w:firstLine="709"/>
        <w:jc w:val="both"/>
        <w:rPr>
          <w:rFonts w:ascii="Arial" w:eastAsia="Calibri" w:hAnsi="Arial" w:cs="Arial"/>
          <w:sz w:val="22"/>
          <w:lang w:val="es-ES"/>
        </w:rPr>
      </w:pPr>
      <w:r w:rsidRPr="00386009">
        <w:rPr>
          <w:rFonts w:ascii="Arial" w:eastAsia="Calibri" w:hAnsi="Arial" w:cs="Arial"/>
          <w:sz w:val="22"/>
          <w:lang w:val="es-ES"/>
        </w:rPr>
        <w:t xml:space="preserve">e) Identificar la «experiencia específica» exigible y el porcentaje de dimensionamiento que se puede solicitar acorde con la longitud a ejecutar, de acuerdo con la cuantía del proceso de contratación. Cuando en la «experiencia específica» se indiquen las siglas </w:t>
      </w:r>
      <w:r w:rsidRPr="00386009">
        <w:rPr>
          <w:rFonts w:ascii="Arial" w:eastAsia="Calibri" w:hAnsi="Arial" w:cs="Arial"/>
          <w:i/>
          <w:iCs/>
          <w:sz w:val="22"/>
          <w:lang w:val="es-ES"/>
        </w:rPr>
        <w:t>N.A</w:t>
      </w:r>
      <w:r w:rsidRPr="00386009">
        <w:rPr>
          <w:rFonts w:ascii="Arial" w:eastAsia="Calibri" w:hAnsi="Arial" w:cs="Arial"/>
          <w:sz w:val="22"/>
          <w:lang w:val="es-ES"/>
        </w:rPr>
        <w:t xml:space="preserve"> significa que la entidad estatal no puede exigir a los proponentes experiencia específica en los procesos de contratación. </w:t>
      </w:r>
    </w:p>
    <w:p w14:paraId="75F5E0B5" w14:textId="77777777" w:rsidR="005A1679" w:rsidRPr="00386009" w:rsidRDefault="005A1679" w:rsidP="005A1679">
      <w:pPr>
        <w:spacing w:before="120" w:after="120" w:line="276" w:lineRule="auto"/>
        <w:ind w:right="51" w:firstLine="709"/>
        <w:jc w:val="both"/>
        <w:rPr>
          <w:rFonts w:ascii="Arial" w:eastAsia="Calibri" w:hAnsi="Arial" w:cs="Arial"/>
          <w:sz w:val="22"/>
          <w:lang w:val="es-ES"/>
        </w:rPr>
      </w:pPr>
      <w:r w:rsidRPr="00386009">
        <w:rPr>
          <w:rFonts w:ascii="Arial" w:eastAsia="Calibri" w:hAnsi="Arial" w:cs="Arial"/>
          <w:sz w:val="22"/>
          <w:lang w:val="es-ES"/>
        </w:rPr>
        <w:t xml:space="preserve">De conformidad con el anterior literal, además del tipo de obra de infraestructura de transporte, la actividad a contratar y la cuantía del proceso de contratación, la determinación de la experiencia específica que resulta exigible para la contratación de cierto tipo de obras, exige la acotación del respectivo dimensionamiento, el cual es una de las medidas tomadas para la estandarización de requisitos de experiencia en el marco de la implementación de los Documentos Tipo. </w:t>
      </w:r>
    </w:p>
    <w:p w14:paraId="74BA66A1" w14:textId="77777777" w:rsidR="005A1679" w:rsidRPr="00386009" w:rsidRDefault="005A1679" w:rsidP="005A1679">
      <w:pPr>
        <w:spacing w:before="120" w:after="120" w:line="276" w:lineRule="auto"/>
        <w:ind w:right="51" w:firstLine="709"/>
        <w:jc w:val="both"/>
        <w:rPr>
          <w:rFonts w:ascii="Arial" w:eastAsia="Calibri" w:hAnsi="Arial" w:cs="Arial"/>
          <w:sz w:val="22"/>
          <w:lang w:val="es-ES"/>
        </w:rPr>
      </w:pPr>
      <w:r w:rsidRPr="00386009">
        <w:rPr>
          <w:rFonts w:ascii="Arial" w:eastAsia="Calibri" w:hAnsi="Arial" w:cs="Arial"/>
          <w:sz w:val="22"/>
          <w:lang w:val="es-ES"/>
        </w:rPr>
        <w:t xml:space="preserve">Tal dimensionamiento supone que la experiencia a exigirse para la participación de un proceso de contratación estará determinada por la longitud que este pretende intervenir, de tal manera que a quienes estén interesados en participar se le exigirá acreditar experiencia específica en proyectos en donde hayan intervenido un porcentaje de dicha longitud establecida en kilómetros (KM) en la Matriz 1. </w:t>
      </w:r>
    </w:p>
    <w:p w14:paraId="5F477BC9" w14:textId="79C77866" w:rsidR="00022EA0" w:rsidRPr="00386009" w:rsidRDefault="00DF0CCE" w:rsidP="00022EA0">
      <w:pPr>
        <w:spacing w:before="120" w:after="120" w:line="276" w:lineRule="auto"/>
        <w:ind w:right="51" w:firstLine="709"/>
        <w:jc w:val="both"/>
        <w:rPr>
          <w:rFonts w:ascii="Arial" w:eastAsia="Calibri" w:hAnsi="Arial" w:cs="Arial"/>
          <w:sz w:val="22"/>
          <w:lang w:val="es-ES"/>
        </w:rPr>
      </w:pPr>
      <w:r w:rsidRPr="00386009">
        <w:rPr>
          <w:rFonts w:ascii="Arial" w:eastAsia="Calibri" w:hAnsi="Arial" w:cs="Arial"/>
          <w:sz w:val="22"/>
          <w:lang w:val="es-ES"/>
        </w:rPr>
        <w:t>Ahora</w:t>
      </w:r>
      <w:r w:rsidRPr="00386009">
        <w:rPr>
          <w:rFonts w:ascii="Arial" w:eastAsia="Calibri" w:hAnsi="Arial" w:cs="Arial"/>
          <w:color w:val="000000"/>
          <w:sz w:val="22"/>
          <w:lang w:val="es-ES"/>
        </w:rPr>
        <w:t xml:space="preserve">, usted solicita se revise la experiencia general que se solicita en la actividad de mejoramiento de vías terciarias, </w:t>
      </w:r>
      <w:r w:rsidR="00022EA0" w:rsidRPr="00386009">
        <w:rPr>
          <w:rFonts w:ascii="Arial" w:eastAsia="Calibri" w:hAnsi="Arial" w:cs="Arial"/>
          <w:color w:val="000000"/>
          <w:sz w:val="22"/>
          <w:lang w:val="es-ES"/>
        </w:rPr>
        <w:t>debido a que</w:t>
      </w:r>
      <w:r w:rsidR="002468CB" w:rsidRPr="00386009">
        <w:rPr>
          <w:rFonts w:ascii="Arial" w:eastAsia="Calibri" w:hAnsi="Arial" w:cs="Arial"/>
          <w:color w:val="000000"/>
          <w:sz w:val="22"/>
          <w:lang w:val="es-ES"/>
        </w:rPr>
        <w:t>, según lo afirma,</w:t>
      </w:r>
      <w:r w:rsidR="00022EA0" w:rsidRPr="00386009">
        <w:rPr>
          <w:rFonts w:ascii="Arial" w:eastAsia="Calibri" w:hAnsi="Arial" w:cs="Arial"/>
          <w:color w:val="000000"/>
          <w:sz w:val="22"/>
          <w:lang w:val="es-ES"/>
        </w:rPr>
        <w:t xml:space="preserve"> la actividad de mejoramiento no es tan compleja</w:t>
      </w:r>
      <w:r w:rsidR="00194F14" w:rsidRPr="00386009">
        <w:rPr>
          <w:rFonts w:ascii="Arial" w:eastAsia="Calibri" w:hAnsi="Arial" w:cs="Arial"/>
          <w:color w:val="000000"/>
          <w:sz w:val="22"/>
          <w:lang w:val="es-ES"/>
        </w:rPr>
        <w:t>, por lo cual</w:t>
      </w:r>
      <w:r w:rsidR="00022EA0" w:rsidRPr="00386009">
        <w:rPr>
          <w:rFonts w:ascii="Arial" w:eastAsia="Calibri" w:hAnsi="Arial" w:cs="Arial"/>
          <w:color w:val="000000"/>
          <w:sz w:val="22"/>
          <w:lang w:val="es-ES"/>
        </w:rPr>
        <w:t xml:space="preserve"> se debería incluir la experiencia en actividades como mantenimiento o rehabilitación. </w:t>
      </w:r>
      <w:r w:rsidRPr="00386009">
        <w:rPr>
          <w:rFonts w:ascii="Arial" w:eastAsia="Calibri" w:hAnsi="Arial" w:cs="Arial"/>
          <w:color w:val="000000"/>
          <w:sz w:val="22"/>
          <w:lang w:val="es-ES"/>
        </w:rPr>
        <w:t xml:space="preserve"> </w:t>
      </w:r>
      <w:r w:rsidR="00022EA0" w:rsidRPr="00386009">
        <w:rPr>
          <w:rFonts w:ascii="Arial" w:eastAsia="Calibri" w:hAnsi="Arial" w:cs="Arial"/>
          <w:sz w:val="22"/>
          <w:lang w:val="es-ES"/>
        </w:rPr>
        <w:t xml:space="preserve">Al respecto, es importante señalar, </w:t>
      </w:r>
      <w:r w:rsidR="00194F14" w:rsidRPr="00386009">
        <w:rPr>
          <w:rFonts w:ascii="Arial" w:eastAsia="Calibri" w:hAnsi="Arial" w:cs="Arial"/>
          <w:sz w:val="22"/>
          <w:lang w:val="es-ES"/>
        </w:rPr>
        <w:t>según</w:t>
      </w:r>
      <w:r w:rsidR="00022EA0" w:rsidRPr="00386009">
        <w:rPr>
          <w:rFonts w:ascii="Arial" w:eastAsia="Calibri" w:hAnsi="Arial" w:cs="Arial"/>
          <w:sz w:val="22"/>
          <w:lang w:val="es-ES"/>
        </w:rPr>
        <w:t xml:space="preserve"> se explicó anteriormente, </w:t>
      </w:r>
      <w:r w:rsidR="00194F14" w:rsidRPr="00386009">
        <w:rPr>
          <w:rFonts w:ascii="Arial" w:eastAsia="Calibri" w:hAnsi="Arial" w:cs="Arial"/>
          <w:sz w:val="22"/>
          <w:lang w:val="es-ES"/>
        </w:rPr>
        <w:t xml:space="preserve">que </w:t>
      </w:r>
      <w:r w:rsidR="00022EA0" w:rsidRPr="00386009">
        <w:rPr>
          <w:rFonts w:ascii="Arial" w:eastAsia="Calibri" w:hAnsi="Arial" w:cs="Arial"/>
          <w:sz w:val="22"/>
          <w:lang w:val="es-ES"/>
        </w:rPr>
        <w:t xml:space="preserve">los Documentos Tipo son inalterables y, por tanto, las entidades estatales no pueden incluir o modificar en los documentos del proceso las </w:t>
      </w:r>
      <w:r w:rsidR="00022EA0" w:rsidRPr="00386009">
        <w:rPr>
          <w:rFonts w:ascii="Arial" w:eastAsia="Calibri" w:hAnsi="Arial" w:cs="Arial"/>
          <w:sz w:val="22"/>
          <w:lang w:val="es-ES"/>
        </w:rPr>
        <w:lastRenderedPageBreak/>
        <w:t xml:space="preserve">condiciones habilitantes, factores técnicos y económicos de escogencia y sistemas de ponderación distintos a los señalados en los Documentos Tipo. </w:t>
      </w:r>
    </w:p>
    <w:p w14:paraId="5464B2DF" w14:textId="294A29D1" w:rsidR="00022EA0" w:rsidRPr="00386009" w:rsidRDefault="00022EA0" w:rsidP="00022EA0">
      <w:pPr>
        <w:spacing w:before="120" w:after="120" w:line="276" w:lineRule="auto"/>
        <w:ind w:right="51" w:firstLine="709"/>
        <w:jc w:val="both"/>
        <w:rPr>
          <w:rFonts w:ascii="Arial" w:eastAsia="Calibri" w:hAnsi="Arial" w:cs="Arial"/>
          <w:sz w:val="22"/>
          <w:lang w:val="es-ES"/>
        </w:rPr>
      </w:pPr>
      <w:r w:rsidRPr="00386009">
        <w:rPr>
          <w:rFonts w:ascii="Arial" w:eastAsia="Calibri" w:hAnsi="Arial" w:cs="Arial"/>
          <w:sz w:val="22"/>
          <w:lang w:val="es-ES"/>
        </w:rPr>
        <w:t xml:space="preserve">De este modo, por ahora no es posible que las entidades modifiquen la experiencia general prevista en la «Actividad 2.2 Mejoramiento de Vías Terciarias». Sin embargo, su observación </w:t>
      </w:r>
      <w:r w:rsidR="00732CA8" w:rsidRPr="00386009">
        <w:rPr>
          <w:rFonts w:ascii="Arial" w:eastAsia="Calibri" w:hAnsi="Arial" w:cs="Arial"/>
          <w:sz w:val="22"/>
          <w:lang w:val="es-ES"/>
        </w:rPr>
        <w:t xml:space="preserve">podrá </w:t>
      </w:r>
      <w:r w:rsidRPr="00386009">
        <w:rPr>
          <w:rFonts w:ascii="Arial" w:eastAsia="Calibri" w:hAnsi="Arial" w:cs="Arial"/>
          <w:sz w:val="22"/>
          <w:lang w:val="es-ES"/>
        </w:rPr>
        <w:t xml:space="preserve">ser tenida en cuenta para la </w:t>
      </w:r>
      <w:r w:rsidR="00E96A3E" w:rsidRPr="00386009">
        <w:rPr>
          <w:rFonts w:ascii="Arial" w:eastAsia="Calibri" w:hAnsi="Arial" w:cs="Arial"/>
          <w:sz w:val="22"/>
          <w:lang w:val="es-ES"/>
        </w:rPr>
        <w:t>e</w:t>
      </w:r>
      <w:r w:rsidR="00732CA8" w:rsidRPr="00386009">
        <w:rPr>
          <w:rFonts w:ascii="Arial" w:eastAsia="Calibri" w:hAnsi="Arial" w:cs="Arial"/>
          <w:sz w:val="22"/>
          <w:lang w:val="es-ES"/>
        </w:rPr>
        <w:t xml:space="preserve">ventual </w:t>
      </w:r>
      <w:r w:rsidRPr="00386009">
        <w:rPr>
          <w:rFonts w:ascii="Arial" w:eastAsia="Calibri" w:hAnsi="Arial" w:cs="Arial"/>
          <w:sz w:val="22"/>
          <w:lang w:val="es-ES"/>
        </w:rPr>
        <w:t>modificación que se realice a los Documentos Tipo de Licitación de obra pública de infraestructura de transporte</w:t>
      </w:r>
      <w:r w:rsidR="00070081" w:rsidRPr="00386009">
        <w:rPr>
          <w:rFonts w:ascii="Arial" w:eastAsia="Calibri" w:hAnsi="Arial" w:cs="Arial"/>
          <w:sz w:val="22"/>
          <w:lang w:val="es-ES"/>
        </w:rPr>
        <w:t xml:space="preserve">, considerando la posibilidad de </w:t>
      </w:r>
      <w:r w:rsidRPr="00386009">
        <w:rPr>
          <w:rFonts w:ascii="Arial" w:eastAsia="Calibri" w:hAnsi="Arial" w:cs="Arial"/>
          <w:sz w:val="22"/>
          <w:lang w:val="es-ES"/>
        </w:rPr>
        <w:t xml:space="preserve">ampliar el alcance de la experiencia en la actividad de mejoramiento de vías terciarias. </w:t>
      </w:r>
    </w:p>
    <w:p w14:paraId="362F0195" w14:textId="150F9F13" w:rsidR="00022EA0" w:rsidRPr="00386009" w:rsidRDefault="00022EA0" w:rsidP="00022EA0">
      <w:pPr>
        <w:spacing w:line="276" w:lineRule="auto"/>
        <w:ind w:right="51" w:firstLine="709"/>
        <w:jc w:val="both"/>
        <w:rPr>
          <w:color w:val="000000"/>
          <w:sz w:val="27"/>
          <w:szCs w:val="27"/>
          <w:lang w:val="es-ES"/>
        </w:rPr>
      </w:pPr>
      <w:r w:rsidRPr="00386009">
        <w:rPr>
          <w:rFonts w:ascii="Arial" w:eastAsia="Calibri" w:hAnsi="Arial" w:cs="Arial"/>
          <w:sz w:val="22"/>
          <w:lang w:val="es-ES"/>
        </w:rPr>
        <w:t>En todo caso, no sobra señalar que esta entidad estará atenta al impacto que tenga la incorporación de estos criterios, con el fin de evaluar sus resultados, y tendrá en cuenta las observaciones que, al respecto, sean presentadas para la mejora constante de los</w:t>
      </w:r>
      <w:r w:rsidR="00070081" w:rsidRPr="00386009">
        <w:rPr>
          <w:rFonts w:ascii="Arial" w:eastAsia="Calibri" w:hAnsi="Arial" w:cs="Arial"/>
          <w:sz w:val="22"/>
          <w:lang w:val="es-ES"/>
        </w:rPr>
        <w:t xml:space="preserve"> </w:t>
      </w:r>
      <w:r w:rsidRPr="00386009">
        <w:rPr>
          <w:rFonts w:ascii="Arial" w:eastAsia="Calibri" w:hAnsi="Arial" w:cs="Arial"/>
          <w:sz w:val="22"/>
          <w:lang w:val="es-ES"/>
        </w:rPr>
        <w:t>Documentos Tipo</w:t>
      </w:r>
      <w:r w:rsidRPr="00386009">
        <w:rPr>
          <w:color w:val="000000"/>
          <w:sz w:val="27"/>
          <w:szCs w:val="27"/>
          <w:lang w:val="es-ES"/>
        </w:rPr>
        <w:t>.</w:t>
      </w:r>
    </w:p>
    <w:p w14:paraId="445C9289" w14:textId="77777777" w:rsidR="00022EA0" w:rsidRPr="00386009" w:rsidRDefault="00022EA0" w:rsidP="00022EA0">
      <w:pPr>
        <w:spacing w:line="276" w:lineRule="auto"/>
        <w:ind w:right="49"/>
        <w:jc w:val="both"/>
        <w:rPr>
          <w:rFonts w:ascii="Arial" w:eastAsia="Calibri" w:hAnsi="Arial" w:cs="Arial"/>
          <w:sz w:val="22"/>
          <w:lang w:val="es-ES"/>
        </w:rPr>
      </w:pPr>
    </w:p>
    <w:p w14:paraId="5EE1F98E" w14:textId="41E149D6" w:rsidR="004E2610" w:rsidRPr="00386009" w:rsidRDefault="004E2610" w:rsidP="004E2610">
      <w:pPr>
        <w:numPr>
          <w:ilvl w:val="0"/>
          <w:numId w:val="6"/>
        </w:numPr>
        <w:tabs>
          <w:tab w:val="left" w:pos="284"/>
        </w:tabs>
        <w:spacing w:line="276" w:lineRule="auto"/>
        <w:ind w:left="0" w:firstLine="0"/>
        <w:contextualSpacing/>
        <w:rPr>
          <w:rFonts w:ascii="Arial" w:eastAsia="Calibri" w:hAnsi="Arial" w:cs="Arial"/>
          <w:b/>
          <w:bCs/>
          <w:color w:val="000000"/>
          <w:sz w:val="22"/>
          <w:lang w:val="es-ES"/>
        </w:rPr>
      </w:pPr>
      <w:r w:rsidRPr="00386009">
        <w:rPr>
          <w:rFonts w:ascii="Arial" w:eastAsia="Calibri" w:hAnsi="Arial" w:cs="Arial"/>
          <w:b/>
          <w:bCs/>
          <w:color w:val="000000"/>
          <w:sz w:val="22"/>
          <w:lang w:val="es-ES"/>
        </w:rPr>
        <w:t>Respuesta</w:t>
      </w:r>
      <w:r w:rsidR="00DF0CCE" w:rsidRPr="00386009">
        <w:rPr>
          <w:rFonts w:ascii="Arial" w:eastAsia="Calibri" w:hAnsi="Arial" w:cs="Arial"/>
          <w:b/>
          <w:bCs/>
          <w:color w:val="000000"/>
          <w:sz w:val="22"/>
          <w:lang w:val="es-ES"/>
        </w:rPr>
        <w:t>s</w:t>
      </w:r>
    </w:p>
    <w:p w14:paraId="1E2F9B13" w14:textId="77777777" w:rsidR="004E2610" w:rsidRPr="00386009" w:rsidRDefault="004E2610" w:rsidP="004E2610">
      <w:pPr>
        <w:spacing w:line="276" w:lineRule="auto"/>
        <w:ind w:right="709"/>
        <w:jc w:val="both"/>
        <w:rPr>
          <w:rFonts w:ascii="Arial" w:eastAsia="Calibri" w:hAnsi="Arial" w:cs="Arial"/>
          <w:color w:val="000000"/>
          <w:sz w:val="21"/>
          <w:szCs w:val="21"/>
          <w:lang w:val="es-ES"/>
        </w:rPr>
      </w:pPr>
    </w:p>
    <w:p w14:paraId="3CA0C6AD" w14:textId="46CABF78" w:rsidR="004E2610" w:rsidRPr="00386009" w:rsidRDefault="00642E5B">
      <w:pPr>
        <w:ind w:left="708" w:right="709"/>
        <w:jc w:val="both"/>
        <w:rPr>
          <w:rFonts w:ascii="Arial" w:eastAsia="Calibri" w:hAnsi="Arial" w:cs="Arial"/>
          <w:color w:val="000000"/>
          <w:sz w:val="21"/>
          <w:szCs w:val="21"/>
          <w:lang w:val="es-ES"/>
        </w:rPr>
      </w:pPr>
      <w:r w:rsidRPr="00386009">
        <w:rPr>
          <w:rFonts w:ascii="Arial" w:eastAsia="Calibri" w:hAnsi="Arial" w:cs="Arial"/>
          <w:color w:val="000000"/>
          <w:sz w:val="21"/>
          <w:szCs w:val="21"/>
          <w:lang w:val="es-ES"/>
        </w:rPr>
        <w:t>i) «¿La vigencia de la garantía de seriedad debe ser ampliada por el proponente en caso de que los procesos se suspendan? ¿Puede ser esto una causal de rechazo? ¿La entidad puede solicitar esa ampliación a modo de subsanación (sic)?»</w:t>
      </w:r>
    </w:p>
    <w:p w14:paraId="6B204279" w14:textId="1DA78F6D" w:rsidR="00022EA0" w:rsidRPr="00386009" w:rsidRDefault="00022EA0">
      <w:pPr>
        <w:ind w:right="709"/>
        <w:jc w:val="both"/>
        <w:rPr>
          <w:rFonts w:ascii="Arial" w:eastAsia="Calibri" w:hAnsi="Arial" w:cs="Arial"/>
          <w:color w:val="000000"/>
          <w:sz w:val="21"/>
          <w:szCs w:val="21"/>
          <w:lang w:val="es-ES"/>
        </w:rPr>
      </w:pPr>
    </w:p>
    <w:p w14:paraId="792A3B5C" w14:textId="6047FB56" w:rsidR="00642E5B" w:rsidRPr="00386009" w:rsidRDefault="00C52836" w:rsidP="003D2AAA">
      <w:pPr>
        <w:spacing w:before="120" w:line="276" w:lineRule="auto"/>
        <w:jc w:val="both"/>
        <w:rPr>
          <w:rFonts w:ascii="Arial" w:eastAsia="Calibri" w:hAnsi="Arial" w:cs="Arial"/>
          <w:color w:val="000000"/>
          <w:sz w:val="22"/>
          <w:lang w:val="es-ES"/>
        </w:rPr>
      </w:pPr>
      <w:r w:rsidRPr="00386009">
        <w:rPr>
          <w:rFonts w:ascii="Arial" w:eastAsia="Calibri" w:hAnsi="Arial" w:cs="Arial"/>
          <w:color w:val="000000" w:themeColor="text1"/>
          <w:sz w:val="22"/>
          <w:lang w:val="es-ES"/>
        </w:rPr>
        <w:t xml:space="preserve">Bajo una </w:t>
      </w:r>
      <w:r w:rsidRPr="00386009">
        <w:rPr>
          <w:rFonts w:ascii="Arial" w:eastAsia="Calibri" w:hAnsi="Arial" w:cs="Arial"/>
          <w:i/>
          <w:iCs/>
          <w:color w:val="000000" w:themeColor="text1"/>
          <w:sz w:val="22"/>
          <w:lang w:val="es-ES"/>
        </w:rPr>
        <w:t>interpretación estricta</w:t>
      </w:r>
      <w:r w:rsidRPr="00386009">
        <w:rPr>
          <w:rFonts w:ascii="Arial" w:eastAsia="Calibri" w:hAnsi="Arial" w:cs="Arial"/>
          <w:color w:val="000000" w:themeColor="text1"/>
          <w:sz w:val="22"/>
          <w:lang w:val="es-ES"/>
        </w:rPr>
        <w:t xml:space="preserve">, cuando </w:t>
      </w:r>
      <w:r w:rsidR="00891710" w:rsidRPr="00386009">
        <w:rPr>
          <w:rFonts w:ascii="Arial" w:eastAsia="Calibri" w:hAnsi="Arial" w:cs="Arial"/>
          <w:color w:val="000000" w:themeColor="text1"/>
          <w:sz w:val="22"/>
          <w:lang w:val="es-ES"/>
        </w:rPr>
        <w:t>el artículo 2.2.1.2.3.1.6 del Decreto 1082 de 2015</w:t>
      </w:r>
      <w:r w:rsidRPr="00386009">
        <w:rPr>
          <w:rFonts w:ascii="Arial" w:eastAsia="Calibri" w:hAnsi="Arial" w:cs="Arial"/>
          <w:color w:val="000000" w:themeColor="text1"/>
          <w:sz w:val="22"/>
          <w:lang w:val="es-ES"/>
        </w:rPr>
        <w:t xml:space="preserve"> dispone el cobro</w:t>
      </w:r>
      <w:r w:rsidR="00891710" w:rsidRPr="00386009">
        <w:rPr>
          <w:rFonts w:ascii="Arial" w:eastAsia="Calibri" w:hAnsi="Arial" w:cs="Arial"/>
          <w:color w:val="000000" w:themeColor="text1"/>
          <w:sz w:val="22"/>
          <w:lang w:val="es-ES"/>
        </w:rPr>
        <w:t xml:space="preserve"> </w:t>
      </w:r>
      <w:r w:rsidRPr="00386009">
        <w:rPr>
          <w:rFonts w:ascii="Arial" w:eastAsia="Calibri" w:hAnsi="Arial" w:cs="Arial"/>
          <w:color w:val="000000" w:themeColor="text1"/>
          <w:sz w:val="22"/>
          <w:lang w:val="es-ES"/>
        </w:rPr>
        <w:t xml:space="preserve">por «La no ampliación de la vigencia de la garantía de seriedad de la oferta cuando el plazo para la adjudicación o para suscribir el contrato es prorrogado, siempre que tal prórroga sea inferior a tres (3) meses», se entiende excluidas no solo las </w:t>
      </w:r>
      <w:r w:rsidR="009604B6">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ampliaciones de otras etapas</w:t>
      </w:r>
      <w:r w:rsidR="009604B6">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–v. gr. la recepción de ofertas, la evaluación, la formulación de las observaciones al informe, etc.– sino también la </w:t>
      </w:r>
      <w:r w:rsidR="009604B6">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suspensión</w:t>
      </w:r>
      <w:r w:rsidR="009604B6">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del procedimiento de selección. </w:t>
      </w:r>
      <w:r w:rsidR="00891710" w:rsidRPr="00386009">
        <w:rPr>
          <w:rFonts w:ascii="Arial" w:eastAsia="Calibri" w:hAnsi="Arial" w:cs="Arial"/>
          <w:color w:val="000000" w:themeColor="text1"/>
          <w:sz w:val="22"/>
          <w:lang w:val="es-ES"/>
        </w:rPr>
        <w:t>No obstante, l</w:t>
      </w:r>
      <w:r w:rsidRPr="00386009">
        <w:rPr>
          <w:rFonts w:ascii="Arial" w:eastAsia="Calibri" w:hAnsi="Arial" w:cs="Arial"/>
          <w:color w:val="000000" w:themeColor="text1"/>
          <w:sz w:val="22"/>
          <w:lang w:val="es-ES"/>
        </w:rPr>
        <w:t>o anterior no obsta para que la entidad solicite la ampliación de la garantía de seriedad en la</w:t>
      </w:r>
      <w:r w:rsidR="00891710" w:rsidRPr="00386009">
        <w:rPr>
          <w:rFonts w:ascii="Arial" w:eastAsia="Calibri" w:hAnsi="Arial" w:cs="Arial"/>
          <w:color w:val="000000" w:themeColor="text1"/>
          <w:sz w:val="22"/>
          <w:lang w:val="es-ES"/>
        </w:rPr>
        <w:t>s suspensiones</w:t>
      </w:r>
      <w:r w:rsidR="009604B6">
        <w:rPr>
          <w:rFonts w:ascii="Arial" w:eastAsia="Calibri" w:hAnsi="Arial" w:cs="Arial"/>
          <w:color w:val="000000" w:themeColor="text1"/>
          <w:sz w:val="22"/>
          <w:lang w:val="es-ES"/>
        </w:rPr>
        <w:t xml:space="preserve"> o en la ampliación de otras etapas del procedimiento</w:t>
      </w:r>
      <w:r w:rsidRPr="00386009">
        <w:rPr>
          <w:rFonts w:ascii="Arial" w:eastAsia="Calibri" w:hAnsi="Arial" w:cs="Arial"/>
          <w:color w:val="000000" w:themeColor="text1"/>
          <w:sz w:val="22"/>
          <w:lang w:val="es-ES"/>
        </w:rPr>
        <w:t>; pero como esta</w:t>
      </w:r>
      <w:r w:rsidR="009604B6">
        <w:rPr>
          <w:rFonts w:ascii="Arial" w:eastAsia="Calibri" w:hAnsi="Arial" w:cs="Arial"/>
          <w:color w:val="000000" w:themeColor="text1"/>
          <w:sz w:val="22"/>
          <w:lang w:val="es-ES"/>
        </w:rPr>
        <w:t>s</w:t>
      </w:r>
      <w:r w:rsidRPr="00386009">
        <w:rPr>
          <w:rFonts w:ascii="Arial" w:eastAsia="Calibri" w:hAnsi="Arial" w:cs="Arial"/>
          <w:color w:val="000000" w:themeColor="text1"/>
          <w:sz w:val="22"/>
          <w:lang w:val="es-ES"/>
        </w:rPr>
        <w:t xml:space="preserve"> hipótesis no está</w:t>
      </w:r>
      <w:r w:rsidR="009604B6">
        <w:rPr>
          <w:rFonts w:ascii="Arial" w:eastAsia="Calibri" w:hAnsi="Arial" w:cs="Arial"/>
          <w:color w:val="000000" w:themeColor="text1"/>
          <w:sz w:val="22"/>
          <w:lang w:val="es-ES"/>
        </w:rPr>
        <w:t>n</w:t>
      </w:r>
      <w:r w:rsidRPr="00386009">
        <w:rPr>
          <w:rFonts w:ascii="Arial" w:eastAsia="Calibri" w:hAnsi="Arial" w:cs="Arial"/>
          <w:color w:val="000000" w:themeColor="text1"/>
          <w:sz w:val="22"/>
          <w:lang w:val="es-ES"/>
        </w:rPr>
        <w:t xml:space="preserve"> expresamente prevista</w:t>
      </w:r>
      <w:r w:rsidR="009604B6">
        <w:rPr>
          <w:rFonts w:ascii="Arial" w:eastAsia="Calibri" w:hAnsi="Arial" w:cs="Arial"/>
          <w:color w:val="000000" w:themeColor="text1"/>
          <w:sz w:val="22"/>
          <w:lang w:val="es-ES"/>
        </w:rPr>
        <w:t>s</w:t>
      </w:r>
      <w:r w:rsidRPr="00386009">
        <w:rPr>
          <w:rFonts w:ascii="Arial" w:eastAsia="Calibri" w:hAnsi="Arial" w:cs="Arial"/>
          <w:color w:val="000000" w:themeColor="text1"/>
          <w:sz w:val="22"/>
          <w:lang w:val="es-ES"/>
        </w:rPr>
        <w:t xml:space="preserve"> en </w:t>
      </w:r>
      <w:r w:rsidR="00891710" w:rsidRPr="00386009">
        <w:rPr>
          <w:rFonts w:ascii="Arial" w:eastAsia="Calibri" w:hAnsi="Arial" w:cs="Arial"/>
          <w:color w:val="000000" w:themeColor="text1"/>
          <w:sz w:val="22"/>
          <w:lang w:val="es-ES"/>
        </w:rPr>
        <w:t>el reglamento</w:t>
      </w:r>
      <w:r w:rsidR="009604B6">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el proponente no está obligado a atender el requerimiento,</w:t>
      </w:r>
      <w:r w:rsidR="00891710" w:rsidRPr="00386009">
        <w:rPr>
          <w:rFonts w:ascii="Arial" w:eastAsia="Calibri" w:hAnsi="Arial" w:cs="Arial"/>
          <w:color w:val="000000" w:themeColor="text1"/>
          <w:sz w:val="22"/>
          <w:lang w:val="es-ES"/>
        </w:rPr>
        <w:t xml:space="preserve"> especialmente</w:t>
      </w:r>
      <w:r w:rsidRPr="00386009">
        <w:rPr>
          <w:rFonts w:ascii="Arial" w:eastAsia="Calibri" w:hAnsi="Arial" w:cs="Arial"/>
          <w:color w:val="000000" w:themeColor="text1"/>
          <w:sz w:val="22"/>
          <w:lang w:val="es-ES"/>
        </w:rPr>
        <w:t xml:space="preserve"> cuando la autoridad carecería de la competencia para </w:t>
      </w:r>
      <w:r w:rsidR="00891710" w:rsidRPr="00386009">
        <w:rPr>
          <w:rFonts w:ascii="Arial" w:eastAsia="Calibri" w:hAnsi="Arial" w:cs="Arial"/>
          <w:color w:val="000000" w:themeColor="text1"/>
          <w:sz w:val="22"/>
          <w:lang w:val="es-ES"/>
        </w:rPr>
        <w:t>hacer efectiva la garantía</w:t>
      </w:r>
      <w:r w:rsidRPr="00386009">
        <w:rPr>
          <w:rFonts w:ascii="Arial" w:eastAsia="Calibri" w:hAnsi="Arial" w:cs="Arial"/>
          <w:color w:val="000000" w:themeColor="text1"/>
          <w:sz w:val="22"/>
          <w:lang w:val="es-ES"/>
        </w:rPr>
        <w:t>. En todo caso, si así lo desea, el oferente podrá acceder a la solicitud voluntariamente</w:t>
      </w:r>
      <w:r w:rsidRPr="00386009">
        <w:rPr>
          <w:rFonts w:ascii="Arial" w:eastAsia="Calibri" w:hAnsi="Arial" w:cs="Arial"/>
          <w:color w:val="000000"/>
          <w:sz w:val="22"/>
          <w:lang w:val="es-ES"/>
        </w:rPr>
        <w:t>.</w:t>
      </w:r>
    </w:p>
    <w:p w14:paraId="0F8C92D5" w14:textId="0C3B6E36" w:rsidR="00891710" w:rsidRPr="00386009" w:rsidRDefault="00E91ED1" w:rsidP="00C52836">
      <w:pPr>
        <w:spacing w:before="120" w:line="276" w:lineRule="auto"/>
        <w:ind w:firstLine="708"/>
        <w:jc w:val="both"/>
        <w:rPr>
          <w:rFonts w:ascii="Arial" w:eastAsia="Calibri" w:hAnsi="Arial" w:cs="Arial"/>
          <w:color w:val="000000" w:themeColor="text1"/>
          <w:sz w:val="22"/>
          <w:lang w:val="es-ES"/>
        </w:rPr>
      </w:pPr>
      <w:r w:rsidRPr="00386009">
        <w:rPr>
          <w:rFonts w:ascii="Arial" w:eastAsia="Calibri" w:hAnsi="Arial" w:cs="Arial"/>
          <w:color w:val="000000"/>
          <w:sz w:val="22"/>
          <w:lang w:val="es-ES"/>
        </w:rPr>
        <w:t>Por otra parte</w:t>
      </w:r>
      <w:r w:rsidR="00891710" w:rsidRPr="00386009">
        <w:rPr>
          <w:rFonts w:ascii="Arial" w:eastAsia="Calibri" w:hAnsi="Arial" w:cs="Arial"/>
          <w:color w:val="000000"/>
          <w:sz w:val="22"/>
          <w:lang w:val="es-ES"/>
        </w:rPr>
        <w:t>,</w:t>
      </w:r>
      <w:r w:rsidR="007852A9" w:rsidRPr="00386009">
        <w:rPr>
          <w:rFonts w:ascii="Arial" w:eastAsia="Calibri" w:hAnsi="Arial" w:cs="Arial"/>
          <w:color w:val="000000"/>
          <w:sz w:val="22"/>
          <w:lang w:val="es-ES"/>
        </w:rPr>
        <w:t xml:space="preserve"> </w:t>
      </w:r>
      <w:r w:rsidR="007852A9" w:rsidRPr="00386009">
        <w:rPr>
          <w:rFonts w:ascii="Arial" w:eastAsia="Calibri" w:hAnsi="Arial" w:cs="Arial"/>
          <w:color w:val="000000" w:themeColor="text1"/>
          <w:sz w:val="22"/>
          <w:lang w:val="es-ES"/>
        </w:rPr>
        <w:t>si el proponente entrega la garantía inicial o la subsana oportunamente,</w:t>
      </w:r>
      <w:r w:rsidR="00891710" w:rsidRPr="00386009">
        <w:rPr>
          <w:rFonts w:ascii="Arial" w:eastAsia="Calibri" w:hAnsi="Arial" w:cs="Arial"/>
          <w:color w:val="000000"/>
          <w:sz w:val="22"/>
          <w:lang w:val="es-ES"/>
        </w:rPr>
        <w:t xml:space="preserve"> una vez vencido el término inicialmente previsto en el pliego sin que la entidad solicite oportunamente la ampliación de la seriedad de la oferta en los términos del </w:t>
      </w:r>
      <w:r w:rsidR="001A77B6" w:rsidRPr="00386009">
        <w:rPr>
          <w:rFonts w:ascii="Arial" w:eastAsia="Calibri" w:hAnsi="Arial" w:cs="Arial"/>
          <w:color w:val="000000"/>
          <w:sz w:val="22"/>
          <w:lang w:val="es-ES"/>
        </w:rPr>
        <w:t>Decreto 1082 de 2015</w:t>
      </w:r>
      <w:r w:rsidR="00891710" w:rsidRPr="00386009">
        <w:rPr>
          <w:rFonts w:ascii="Arial" w:eastAsia="Calibri" w:hAnsi="Arial" w:cs="Arial"/>
          <w:color w:val="000000"/>
          <w:sz w:val="22"/>
          <w:lang w:val="es-ES"/>
        </w:rPr>
        <w:t xml:space="preserve">, los proponentes tienen las siguientes opciones: i) atender voluntariamente la solicitud de la Administración; ii) retirar la oferta, caso en el </w:t>
      </w:r>
      <w:r w:rsidR="009604B6">
        <w:rPr>
          <w:rFonts w:ascii="Arial" w:eastAsia="Calibri" w:hAnsi="Arial" w:cs="Arial"/>
          <w:color w:val="000000"/>
          <w:sz w:val="22"/>
          <w:lang w:val="es-ES"/>
        </w:rPr>
        <w:t>cual</w:t>
      </w:r>
      <w:r w:rsidR="00891710" w:rsidRPr="00386009">
        <w:rPr>
          <w:rFonts w:ascii="Arial" w:eastAsia="Calibri" w:hAnsi="Arial" w:cs="Arial"/>
          <w:color w:val="000000"/>
          <w:sz w:val="22"/>
          <w:lang w:val="es-ES"/>
        </w:rPr>
        <w:t xml:space="preserve"> no es posible hacer efectiva la garantía, ya que la negativa sería posterior a la terminación de la cobertura; o iii) continuar en el procedimiento sin prorrogar la garantía, caso en el </w:t>
      </w:r>
      <w:r w:rsidR="009604B6">
        <w:rPr>
          <w:rFonts w:ascii="Arial" w:eastAsia="Calibri" w:hAnsi="Arial" w:cs="Arial"/>
          <w:color w:val="000000"/>
          <w:sz w:val="22"/>
          <w:lang w:val="es-ES"/>
        </w:rPr>
        <w:t>cual</w:t>
      </w:r>
      <w:r w:rsidR="00891710" w:rsidRPr="00386009">
        <w:rPr>
          <w:rFonts w:ascii="Arial" w:eastAsia="Calibri" w:hAnsi="Arial" w:cs="Arial"/>
          <w:color w:val="000000"/>
          <w:sz w:val="22"/>
          <w:lang w:val="es-ES"/>
        </w:rPr>
        <w:t xml:space="preserve"> la </w:t>
      </w:r>
      <w:r w:rsidR="00891710" w:rsidRPr="00386009">
        <w:rPr>
          <w:rFonts w:ascii="Arial" w:eastAsia="Calibri" w:hAnsi="Arial" w:cs="Arial"/>
          <w:color w:val="000000"/>
          <w:sz w:val="22"/>
          <w:lang w:val="es-ES"/>
        </w:rPr>
        <w:lastRenderedPageBreak/>
        <w:t>entidad –además de lo anterior– tampoco podría rechazar la propuesta</w:t>
      </w:r>
      <w:r w:rsidR="001A77B6" w:rsidRPr="00386009">
        <w:rPr>
          <w:rFonts w:ascii="Arial" w:eastAsia="Calibri" w:hAnsi="Arial" w:cs="Arial"/>
          <w:color w:val="000000"/>
          <w:sz w:val="22"/>
          <w:lang w:val="es-ES"/>
        </w:rPr>
        <w:t xml:space="preserve">, pues el supuesto no encaja el </w:t>
      </w:r>
      <w:r w:rsidR="001A77B6" w:rsidRPr="00386009">
        <w:rPr>
          <w:rFonts w:ascii="Arial" w:eastAsia="Calibri" w:hAnsi="Arial" w:cs="Arial"/>
          <w:color w:val="000000" w:themeColor="text1"/>
          <w:sz w:val="22"/>
          <w:lang w:val="es-ES"/>
        </w:rPr>
        <w:t>artículo 5, parágrafos 3 y 5, de la Ley 1150 de 2007</w:t>
      </w:r>
      <w:r w:rsidR="00513A23" w:rsidRPr="00386009">
        <w:rPr>
          <w:rFonts w:ascii="Arial" w:eastAsia="Calibri" w:hAnsi="Arial" w:cs="Arial"/>
          <w:color w:val="000000" w:themeColor="text1"/>
          <w:sz w:val="22"/>
          <w:lang w:val="es-ES"/>
        </w:rPr>
        <w:t>.</w:t>
      </w:r>
    </w:p>
    <w:p w14:paraId="0F21BB6D" w14:textId="6698ADBB" w:rsidR="00E91ED1" w:rsidRPr="00386009" w:rsidRDefault="00E91ED1" w:rsidP="00C52836">
      <w:pPr>
        <w:spacing w:before="120" w:line="276" w:lineRule="auto"/>
        <w:ind w:firstLine="708"/>
        <w:jc w:val="both"/>
        <w:rPr>
          <w:rFonts w:ascii="Arial" w:eastAsia="Calibri" w:hAnsi="Arial" w:cs="Arial"/>
          <w:color w:val="000000"/>
          <w:sz w:val="22"/>
          <w:lang w:val="es-ES"/>
        </w:rPr>
      </w:pPr>
      <w:r w:rsidRPr="00386009">
        <w:rPr>
          <w:rFonts w:ascii="Arial" w:eastAsia="Calibri" w:hAnsi="Arial" w:cs="Arial"/>
          <w:color w:val="000000" w:themeColor="text1"/>
          <w:sz w:val="22"/>
          <w:lang w:val="es-ES"/>
        </w:rPr>
        <w:t xml:space="preserve">Por último, una vez constituida, el requerimiento para ampliar la garantía de seriedad se rige </w:t>
      </w:r>
      <w:r w:rsidR="009604B6">
        <w:rPr>
          <w:rFonts w:ascii="Arial" w:eastAsia="Calibri" w:hAnsi="Arial" w:cs="Arial"/>
          <w:color w:val="000000" w:themeColor="text1"/>
          <w:sz w:val="22"/>
          <w:lang w:val="es-ES"/>
        </w:rPr>
        <w:t xml:space="preserve">estrictamente </w:t>
      </w:r>
      <w:r w:rsidRPr="00386009">
        <w:rPr>
          <w:rFonts w:ascii="Arial" w:eastAsia="Calibri" w:hAnsi="Arial" w:cs="Arial"/>
          <w:color w:val="000000" w:themeColor="text1"/>
          <w:sz w:val="22"/>
          <w:lang w:val="es-ES"/>
        </w:rPr>
        <w:t>por el numeral 1 del artículo 2.2.1.2.3.1.6 del Decreto 1082 de 2015, so pena de hacerla efectiva. Además de que esta disposición no permite expresamente la prórroga derivada de suspensiones del procedimiento, el acatamiento voluntario del oferente no es una subsanación de la propuesta porque esta se limita a la cobertura inicial, no a las ampliaciones por el vencimiento de la misma.</w:t>
      </w:r>
    </w:p>
    <w:p w14:paraId="3C36A8DE" w14:textId="77777777" w:rsidR="00C52836" w:rsidRPr="00386009" w:rsidRDefault="00C52836" w:rsidP="003D2AAA">
      <w:pPr>
        <w:spacing w:line="276" w:lineRule="auto"/>
        <w:ind w:firstLine="708"/>
        <w:jc w:val="both"/>
        <w:rPr>
          <w:rFonts w:ascii="Arial" w:eastAsia="Calibri" w:hAnsi="Arial" w:cs="Arial"/>
          <w:color w:val="000000"/>
          <w:sz w:val="22"/>
          <w:lang w:val="es-ES"/>
        </w:rPr>
      </w:pPr>
    </w:p>
    <w:p w14:paraId="16B8080F" w14:textId="693386E5" w:rsidR="00642E5B" w:rsidRPr="00386009" w:rsidRDefault="00642E5B" w:rsidP="00642E5B">
      <w:pPr>
        <w:ind w:left="708" w:right="709"/>
        <w:jc w:val="both"/>
        <w:rPr>
          <w:rFonts w:ascii="Arial" w:eastAsia="Calibri" w:hAnsi="Arial" w:cs="Arial"/>
          <w:color w:val="000000"/>
          <w:sz w:val="21"/>
          <w:szCs w:val="21"/>
          <w:lang w:val="es-ES"/>
        </w:rPr>
      </w:pPr>
      <w:r w:rsidRPr="00386009">
        <w:rPr>
          <w:rFonts w:ascii="Arial" w:eastAsia="Calibri" w:hAnsi="Arial" w:cs="Arial"/>
          <w:color w:val="000000"/>
          <w:sz w:val="21"/>
          <w:szCs w:val="21"/>
          <w:lang w:val="es-ES"/>
        </w:rPr>
        <w:t xml:space="preserve">ii) «¿Si en los antecedentes de los contadores figura una nota de que el profesional no ha actualizado el registro, será suficiente para que no sea </w:t>
      </w:r>
      <w:r w:rsidR="001A77B6" w:rsidRPr="00386009">
        <w:rPr>
          <w:rFonts w:ascii="Arial" w:eastAsia="Calibri" w:hAnsi="Arial" w:cs="Arial"/>
          <w:color w:val="000000"/>
          <w:sz w:val="21"/>
          <w:szCs w:val="21"/>
          <w:lang w:val="es-ES"/>
        </w:rPr>
        <w:t>válido</w:t>
      </w:r>
      <w:r w:rsidRPr="00386009">
        <w:rPr>
          <w:rFonts w:ascii="Arial" w:eastAsia="Calibri" w:hAnsi="Arial" w:cs="Arial"/>
          <w:color w:val="000000"/>
          <w:sz w:val="21"/>
          <w:szCs w:val="21"/>
          <w:lang w:val="es-ES"/>
        </w:rPr>
        <w:t xml:space="preserve"> el certificado?»</w:t>
      </w:r>
    </w:p>
    <w:p w14:paraId="4CE62C75" w14:textId="3544732D" w:rsidR="0099177B" w:rsidRPr="00386009" w:rsidRDefault="0099177B" w:rsidP="0099177B">
      <w:pPr>
        <w:ind w:right="709"/>
        <w:jc w:val="both"/>
        <w:rPr>
          <w:rFonts w:ascii="Arial" w:eastAsia="Calibri" w:hAnsi="Arial" w:cs="Arial"/>
          <w:color w:val="000000"/>
          <w:sz w:val="21"/>
          <w:szCs w:val="21"/>
          <w:lang w:val="es-ES"/>
        </w:rPr>
      </w:pPr>
    </w:p>
    <w:p w14:paraId="1E0343B1" w14:textId="14F53D90" w:rsidR="0099177B" w:rsidRPr="00386009" w:rsidRDefault="0099177B" w:rsidP="003D2AAA">
      <w:pPr>
        <w:spacing w:before="120" w:after="120" w:line="276" w:lineRule="auto"/>
        <w:jc w:val="both"/>
        <w:rPr>
          <w:rFonts w:ascii="Arial" w:eastAsia="Calibri" w:hAnsi="Arial" w:cs="Arial"/>
          <w:color w:val="000000"/>
          <w:sz w:val="21"/>
          <w:szCs w:val="21"/>
          <w:lang w:val="es-ES"/>
        </w:rPr>
      </w:pPr>
      <w:r w:rsidRPr="00386009">
        <w:rPr>
          <w:rFonts w:ascii="Arial" w:eastAsia="Calibri" w:hAnsi="Arial" w:cs="Arial"/>
          <w:color w:val="000000"/>
          <w:sz w:val="22"/>
          <w:lang w:val="es-ES"/>
        </w:rPr>
        <w:t>El certificado de antecedentes disciplinarios de contadores se presentará con fecha de expedición no mayor a noventa [90] días calendario anteriores a la fecha del cierre del Proceso de Contratación para que sea válido en el Proceso de Contratación.</w:t>
      </w:r>
    </w:p>
    <w:p w14:paraId="3D2305C2" w14:textId="03A0C317" w:rsidR="00396E0D" w:rsidRPr="00386009" w:rsidRDefault="00396E0D" w:rsidP="00642E5B">
      <w:pPr>
        <w:ind w:left="708" w:right="709"/>
        <w:jc w:val="both"/>
        <w:rPr>
          <w:rFonts w:ascii="Arial" w:eastAsia="Calibri" w:hAnsi="Arial" w:cs="Arial"/>
          <w:color w:val="000000"/>
          <w:sz w:val="21"/>
          <w:szCs w:val="21"/>
          <w:lang w:val="es-ES"/>
        </w:rPr>
      </w:pPr>
    </w:p>
    <w:p w14:paraId="4968F424" w14:textId="5A6AD80D" w:rsidR="00396E0D" w:rsidRPr="00386009" w:rsidRDefault="00396E0D" w:rsidP="00642E5B">
      <w:pPr>
        <w:ind w:left="708" w:right="709"/>
        <w:jc w:val="both"/>
        <w:rPr>
          <w:rFonts w:ascii="Arial" w:eastAsia="Calibri" w:hAnsi="Arial" w:cs="Arial"/>
          <w:color w:val="000000"/>
          <w:sz w:val="21"/>
          <w:szCs w:val="21"/>
          <w:lang w:val="es-ES"/>
        </w:rPr>
      </w:pPr>
      <w:r w:rsidRPr="00386009">
        <w:rPr>
          <w:rFonts w:ascii="Arial" w:eastAsia="Calibri" w:hAnsi="Arial" w:cs="Arial"/>
          <w:color w:val="000000"/>
          <w:sz w:val="21"/>
          <w:szCs w:val="21"/>
          <w:lang w:val="es-ES"/>
        </w:rPr>
        <w:t>iii) «¿Si un proponente presenta un certificado de antecedentes de un contador vencido, y lo subsana con fecha de expedición posterior al cierre, será suficiente para rechazar al oferente?»</w:t>
      </w:r>
    </w:p>
    <w:p w14:paraId="5668EB51" w14:textId="26378158" w:rsidR="00642E5B" w:rsidRPr="00386009" w:rsidRDefault="00642E5B" w:rsidP="0099177B">
      <w:pPr>
        <w:ind w:right="709"/>
        <w:jc w:val="both"/>
        <w:rPr>
          <w:rFonts w:ascii="Arial" w:eastAsia="Calibri" w:hAnsi="Arial" w:cs="Arial"/>
          <w:color w:val="000000"/>
          <w:sz w:val="22"/>
          <w:lang w:val="es-ES"/>
        </w:rPr>
      </w:pPr>
    </w:p>
    <w:p w14:paraId="073399A4" w14:textId="78CAF4FA" w:rsidR="0099177B" w:rsidRPr="00386009" w:rsidRDefault="0099177B" w:rsidP="0099177B">
      <w:pPr>
        <w:spacing w:before="120" w:after="120" w:line="276" w:lineRule="auto"/>
        <w:jc w:val="both"/>
        <w:rPr>
          <w:rFonts w:ascii="Arial" w:eastAsia="Calibri" w:hAnsi="Arial" w:cs="Arial"/>
          <w:color w:val="000000"/>
          <w:sz w:val="22"/>
          <w:lang w:val="es-ES"/>
        </w:rPr>
      </w:pPr>
      <w:r w:rsidRPr="00386009">
        <w:rPr>
          <w:rFonts w:ascii="Arial" w:eastAsia="Calibri" w:hAnsi="Arial" w:cs="Arial"/>
          <w:color w:val="000000"/>
          <w:sz w:val="22"/>
          <w:lang w:val="es-ES"/>
        </w:rPr>
        <w:t>Explicado el alcance de la regla de subsanabilidad en los procesos de contratación, la entidad determinará si el certificado de antecedentes del contador</w:t>
      </w:r>
      <w:r w:rsidR="004D1370" w:rsidRPr="00386009">
        <w:rPr>
          <w:rFonts w:ascii="Arial" w:eastAsia="Calibri" w:hAnsi="Arial" w:cs="Arial"/>
          <w:color w:val="000000"/>
          <w:sz w:val="22"/>
          <w:lang w:val="es-ES"/>
        </w:rPr>
        <w:t>,</w:t>
      </w:r>
      <w:r w:rsidRPr="00386009">
        <w:rPr>
          <w:rFonts w:ascii="Arial" w:eastAsia="Calibri" w:hAnsi="Arial" w:cs="Arial"/>
          <w:color w:val="000000"/>
          <w:sz w:val="22"/>
          <w:lang w:val="es-ES"/>
        </w:rPr>
        <w:t xml:space="preserve"> expedido con fecha posterior al cierre</w:t>
      </w:r>
      <w:r w:rsidR="004D1370" w:rsidRPr="00386009">
        <w:rPr>
          <w:rFonts w:ascii="Arial" w:eastAsia="Calibri" w:hAnsi="Arial" w:cs="Arial"/>
          <w:color w:val="000000"/>
          <w:sz w:val="22"/>
          <w:lang w:val="es-ES"/>
        </w:rPr>
        <w:t>,</w:t>
      </w:r>
      <w:r w:rsidRPr="00386009">
        <w:rPr>
          <w:rFonts w:ascii="Arial" w:eastAsia="Calibri" w:hAnsi="Arial" w:cs="Arial"/>
          <w:color w:val="000000"/>
          <w:sz w:val="22"/>
          <w:lang w:val="es-ES"/>
        </w:rPr>
        <w:t xml:space="preserve"> es una circunstancia que se encuadra </w:t>
      </w:r>
      <w:r w:rsidR="004D1370" w:rsidRPr="00386009">
        <w:rPr>
          <w:rFonts w:ascii="Arial" w:eastAsia="Calibri" w:hAnsi="Arial" w:cs="Arial"/>
          <w:color w:val="000000"/>
          <w:sz w:val="22"/>
          <w:lang w:val="es-ES"/>
        </w:rPr>
        <w:t xml:space="preserve">o no </w:t>
      </w:r>
      <w:r w:rsidRPr="00386009">
        <w:rPr>
          <w:rFonts w:ascii="Arial" w:eastAsia="Calibri" w:hAnsi="Arial" w:cs="Arial"/>
          <w:color w:val="000000"/>
          <w:sz w:val="22"/>
          <w:lang w:val="es-ES"/>
        </w:rPr>
        <w:t xml:space="preserve">como posterior al cierre y, por tanto, si procede el rechazo de la oferta. </w:t>
      </w:r>
    </w:p>
    <w:p w14:paraId="6199D502" w14:textId="77777777" w:rsidR="0099177B" w:rsidRPr="00386009" w:rsidRDefault="0099177B" w:rsidP="0099177B">
      <w:pPr>
        <w:autoSpaceDE w:val="0"/>
        <w:autoSpaceDN w:val="0"/>
        <w:adjustRightInd w:val="0"/>
        <w:spacing w:line="276" w:lineRule="auto"/>
        <w:ind w:firstLine="708"/>
        <w:jc w:val="both"/>
        <w:rPr>
          <w:rFonts w:ascii="Arial" w:eastAsia="Calibri" w:hAnsi="Arial" w:cs="Arial"/>
          <w:color w:val="000000"/>
          <w:sz w:val="22"/>
          <w:lang w:val="es-ES"/>
        </w:rPr>
      </w:pPr>
      <w:r w:rsidRPr="00386009">
        <w:rPr>
          <w:rFonts w:ascii="Arial" w:eastAsia="Times New Roman" w:hAnsi="Arial" w:cs="Arial"/>
          <w:color w:val="000000"/>
          <w:sz w:val="22"/>
          <w:lang w:val="es-ES" w:eastAsia="es-ES_tradnl"/>
        </w:rPr>
        <w:t>En efecto, usted no solicita que se absuelvan dudas sobre la aplicación de una norma de carácter general en materia de compras y contratación pública, sino que se solucione un problema</w:t>
      </w:r>
      <w:r w:rsidRPr="00386009">
        <w:rPr>
          <w:rFonts w:ascii="Arial" w:eastAsia="Times New Roman" w:hAnsi="Arial" w:cs="Arial"/>
          <w:color w:val="000000"/>
          <w:sz w:val="22"/>
          <w:lang w:val="es-ES" w:eastAsia="es-CO"/>
        </w:rPr>
        <w:t xml:space="preserve"> asociado a un caso específico, frente al cual usted nos pide que determinemos si procede o no el rechazo de la oferta cuando el proponente presenta un certificado de antecedentes de un contador vencido con fecha de expedición posterior al cierre</w:t>
      </w:r>
      <w:r w:rsidRPr="00386009">
        <w:rPr>
          <w:rFonts w:ascii="Arial" w:eastAsia="Calibri" w:hAnsi="Arial" w:cs="Arial"/>
          <w:color w:val="000000"/>
          <w:sz w:val="22"/>
          <w:lang w:val="es-ES"/>
        </w:rPr>
        <w:t>. El pronunciamiento por parte de esta entidad sobre sus preguntas desborda nuestra competencia consultiva, la cual está limitada a resolver problemas de aplicación de normas de carácter general; pero su consulta se refiere a la solución de un caso que, además, envuelve una controversia cuya resolución no le compete resolver a esta entidad, dado que no cuenta con las competencias para brindar asesoría respecto de problemas propios de la ejecución de los contratos estatales; pues en virtud del principio de autonomía de la voluntad, corresponde a las misma partes, ante el surgimiento de circunstancias como la mencionada, determinar en qué evento procede el rechazo de la oferta.</w:t>
      </w:r>
    </w:p>
    <w:p w14:paraId="3A69C83D" w14:textId="405E64C3" w:rsidR="0099177B" w:rsidRPr="00386009" w:rsidRDefault="0099177B" w:rsidP="0099177B">
      <w:pPr>
        <w:ind w:right="709"/>
        <w:jc w:val="both"/>
        <w:rPr>
          <w:rFonts w:ascii="Arial" w:eastAsia="Calibri" w:hAnsi="Arial" w:cs="Arial"/>
          <w:color w:val="000000"/>
          <w:sz w:val="22"/>
          <w:lang w:val="es-ES"/>
        </w:rPr>
      </w:pPr>
    </w:p>
    <w:p w14:paraId="004C5719" w14:textId="6C902527" w:rsidR="0099177B" w:rsidRPr="00386009" w:rsidRDefault="0099177B" w:rsidP="0099177B">
      <w:pPr>
        <w:ind w:left="708" w:right="709"/>
        <w:jc w:val="both"/>
        <w:rPr>
          <w:rFonts w:ascii="Arial" w:eastAsia="Calibri" w:hAnsi="Arial" w:cs="Arial"/>
          <w:color w:val="000000"/>
          <w:sz w:val="21"/>
          <w:szCs w:val="21"/>
          <w:lang w:val="es-ES"/>
        </w:rPr>
      </w:pPr>
      <w:r w:rsidRPr="00386009">
        <w:rPr>
          <w:rFonts w:ascii="Arial" w:eastAsia="Calibri" w:hAnsi="Arial" w:cs="Arial"/>
          <w:color w:val="000000"/>
          <w:sz w:val="21"/>
          <w:szCs w:val="21"/>
          <w:lang w:val="es-ES"/>
        </w:rPr>
        <w:lastRenderedPageBreak/>
        <w:t>iv) «La entidad en la versión de los pliegos tipo V2, establece para la experiencia en construcción de vías terciarias que es válido contratos de: "Construcción, mejoramiento, mantenimiento y rehabilitación", pero para experiencia en mejoramiento de vías terciarias únicamente figura como valida experiencia: "construcción y mejoramiento". Lo anterior no guarda relación con la complejidad de cada una de las actividades, pues tiene mayor complejidad la construcción de una vía terciaria nueva que el mejoramiento, por lo que creemos que existe una incongruencia en la experiencia aceptada para los contratos de construcción de vías terciarias que no es aceptada para los contratos de mejoramiento, por lo que solicitamos respetuosamente a ustedes aclarar».</w:t>
      </w:r>
    </w:p>
    <w:p w14:paraId="5E23F082" w14:textId="77777777" w:rsidR="0099177B" w:rsidRPr="00386009" w:rsidRDefault="0099177B" w:rsidP="0099177B">
      <w:pPr>
        <w:spacing w:line="276" w:lineRule="auto"/>
        <w:jc w:val="both"/>
        <w:rPr>
          <w:rFonts w:ascii="Arial" w:eastAsia="Calibri" w:hAnsi="Arial" w:cs="Arial"/>
          <w:color w:val="000000"/>
          <w:sz w:val="22"/>
          <w:lang w:val="es-ES"/>
        </w:rPr>
      </w:pPr>
    </w:p>
    <w:p w14:paraId="6E9209ED" w14:textId="23CE8BF6" w:rsidR="0099177B" w:rsidRPr="00386009" w:rsidRDefault="0099177B" w:rsidP="0099177B">
      <w:pPr>
        <w:spacing w:before="120" w:after="120" w:line="276" w:lineRule="auto"/>
        <w:jc w:val="both"/>
        <w:rPr>
          <w:rFonts w:ascii="Arial" w:eastAsia="Calibri" w:hAnsi="Arial" w:cs="Arial"/>
          <w:color w:val="000000"/>
          <w:sz w:val="22"/>
          <w:lang w:val="es-ES"/>
        </w:rPr>
      </w:pPr>
      <w:r w:rsidRPr="00386009">
        <w:rPr>
          <w:rFonts w:ascii="Arial" w:eastAsia="Calibri" w:hAnsi="Arial" w:cs="Arial"/>
          <w:color w:val="000000"/>
          <w:sz w:val="22"/>
          <w:lang w:val="es-ES"/>
        </w:rPr>
        <w:t xml:space="preserve">Los Documentos Tipo son inalterables y, por tanto, las entidades estatales no pueden incluir o modificar en los documentos del proceso las condiciones habilitantes, los factores técnicos y económicos de escogencia y los sistemas de ponderación distintos a los señalados en los Documentos Tipo. </w:t>
      </w:r>
    </w:p>
    <w:p w14:paraId="3C0E0700" w14:textId="426F7A99" w:rsidR="00975B8D" w:rsidRPr="00386009" w:rsidRDefault="0099177B" w:rsidP="005B2FFD">
      <w:pPr>
        <w:spacing w:before="120" w:after="120" w:line="276" w:lineRule="auto"/>
        <w:ind w:firstLine="708"/>
        <w:jc w:val="both"/>
        <w:rPr>
          <w:rFonts w:ascii="Arial" w:eastAsia="Calibri" w:hAnsi="Arial" w:cs="Arial"/>
          <w:color w:val="000000"/>
          <w:sz w:val="22"/>
          <w:lang w:val="es-ES"/>
        </w:rPr>
      </w:pPr>
      <w:r w:rsidRPr="00386009">
        <w:rPr>
          <w:rFonts w:ascii="Arial" w:eastAsia="Calibri" w:hAnsi="Arial" w:cs="Arial"/>
          <w:color w:val="000000"/>
          <w:sz w:val="22"/>
          <w:lang w:val="es-ES"/>
        </w:rPr>
        <w:t xml:space="preserve">De este modo, por ahora no es posible que las entidades modifiquen la experiencia general prevista en la «Actividad 2.2 Mejoramiento de Vías Terciarias». Sin embargo, su observación </w:t>
      </w:r>
      <w:r w:rsidR="004860DC" w:rsidRPr="00386009">
        <w:rPr>
          <w:rFonts w:ascii="Arial" w:eastAsia="Calibri" w:hAnsi="Arial" w:cs="Arial"/>
          <w:color w:val="000000"/>
          <w:sz w:val="22"/>
          <w:lang w:val="es-ES"/>
        </w:rPr>
        <w:t xml:space="preserve">podría ser </w:t>
      </w:r>
      <w:r w:rsidRPr="00386009">
        <w:rPr>
          <w:rFonts w:ascii="Arial" w:eastAsia="Calibri" w:hAnsi="Arial" w:cs="Arial"/>
          <w:color w:val="000000"/>
          <w:sz w:val="22"/>
          <w:lang w:val="es-ES"/>
        </w:rPr>
        <w:t xml:space="preserve">tenida en cuenta para la </w:t>
      </w:r>
      <w:r w:rsidR="004860DC" w:rsidRPr="00386009">
        <w:rPr>
          <w:rFonts w:ascii="Arial" w:eastAsia="Calibri" w:hAnsi="Arial" w:cs="Arial"/>
          <w:color w:val="000000"/>
          <w:sz w:val="22"/>
          <w:lang w:val="es-ES"/>
        </w:rPr>
        <w:t xml:space="preserve">eventual </w:t>
      </w:r>
      <w:r w:rsidRPr="00386009">
        <w:rPr>
          <w:rFonts w:ascii="Arial" w:eastAsia="Calibri" w:hAnsi="Arial" w:cs="Arial"/>
          <w:color w:val="000000"/>
          <w:sz w:val="22"/>
          <w:lang w:val="es-ES"/>
        </w:rPr>
        <w:t>modificación que se realice a los Documentos Tipo de Licitación de obra pública de infraestructura de transporte</w:t>
      </w:r>
      <w:r w:rsidR="004860DC" w:rsidRPr="00386009">
        <w:rPr>
          <w:rFonts w:ascii="Arial" w:eastAsia="Calibri" w:hAnsi="Arial" w:cs="Arial"/>
          <w:color w:val="000000"/>
          <w:sz w:val="22"/>
          <w:lang w:val="es-ES"/>
        </w:rPr>
        <w:t xml:space="preserve">, considerando la posibilidad de </w:t>
      </w:r>
      <w:r w:rsidRPr="00386009">
        <w:rPr>
          <w:rFonts w:ascii="Arial" w:eastAsia="Calibri" w:hAnsi="Arial" w:cs="Arial"/>
          <w:color w:val="000000"/>
          <w:sz w:val="22"/>
          <w:lang w:val="es-ES"/>
        </w:rPr>
        <w:t>ampliar el alcance de la experiencia en la actividad de mejoramiento de vías terciarias.</w:t>
      </w:r>
    </w:p>
    <w:p w14:paraId="1A5BB257" w14:textId="77777777" w:rsidR="004E2610" w:rsidRPr="00386009" w:rsidRDefault="004E2610" w:rsidP="004E2610">
      <w:pPr>
        <w:spacing w:before="120" w:line="276" w:lineRule="auto"/>
        <w:jc w:val="both"/>
        <w:rPr>
          <w:rFonts w:ascii="Arial" w:eastAsia="Calibri" w:hAnsi="Arial" w:cs="Arial"/>
          <w:color w:val="000000"/>
          <w:sz w:val="22"/>
          <w:lang w:val="es-ES"/>
        </w:rPr>
      </w:pPr>
      <w:r w:rsidRPr="00386009">
        <w:rPr>
          <w:rFonts w:ascii="Arial" w:eastAsia="Calibri" w:hAnsi="Arial" w:cs="Arial"/>
          <w:color w:val="000000"/>
          <w:sz w:val="22"/>
          <w:lang w:val="es-ES"/>
        </w:rPr>
        <w:t>Este concepto tiene el alcance previsto en el artículo 28 del Código de Procedimiento Administrativo y de lo Contencioso Administrativo.</w:t>
      </w:r>
    </w:p>
    <w:p w14:paraId="4AD57278" w14:textId="77777777" w:rsidR="004E2610" w:rsidRPr="00386009" w:rsidRDefault="004E2610" w:rsidP="004E2610">
      <w:pPr>
        <w:ind w:firstLine="709"/>
        <w:jc w:val="both"/>
        <w:rPr>
          <w:rFonts w:ascii="Arial" w:eastAsia="Calibri" w:hAnsi="Arial" w:cs="Arial"/>
          <w:color w:val="000000"/>
          <w:sz w:val="22"/>
          <w:lang w:val="es-ES"/>
        </w:rPr>
      </w:pPr>
    </w:p>
    <w:p w14:paraId="79954EA4" w14:textId="31B2EB14" w:rsidR="004E2610" w:rsidRDefault="004E2610" w:rsidP="004E2610">
      <w:pPr>
        <w:jc w:val="both"/>
        <w:rPr>
          <w:rFonts w:ascii="Arial" w:eastAsia="Times New Roman" w:hAnsi="Arial" w:cs="Arial"/>
          <w:color w:val="000000"/>
          <w:sz w:val="22"/>
          <w:lang w:val="es-ES" w:eastAsia="es-CO"/>
        </w:rPr>
      </w:pPr>
      <w:r w:rsidRPr="00386009">
        <w:rPr>
          <w:rFonts w:ascii="Arial" w:eastAsia="Times New Roman" w:hAnsi="Arial" w:cs="Arial"/>
          <w:color w:val="000000"/>
          <w:sz w:val="22"/>
          <w:lang w:val="es-ES" w:eastAsia="es-CO"/>
        </w:rPr>
        <w:t>Atentamente,</w:t>
      </w:r>
    </w:p>
    <w:p w14:paraId="37F11CAF" w14:textId="77777777" w:rsidR="00D57803" w:rsidRPr="00386009" w:rsidRDefault="00D57803" w:rsidP="004E2610">
      <w:pPr>
        <w:jc w:val="both"/>
        <w:rPr>
          <w:rFonts w:ascii="Arial" w:eastAsia="Times New Roman" w:hAnsi="Arial" w:cs="Arial"/>
          <w:color w:val="000000"/>
          <w:sz w:val="22"/>
          <w:lang w:val="es-ES" w:eastAsia="es-CO"/>
        </w:rPr>
      </w:pPr>
    </w:p>
    <w:p w14:paraId="6FF6DCBE" w14:textId="41DDF35D" w:rsidR="004E2610" w:rsidRDefault="00D57803" w:rsidP="004E2610">
      <w:pPr>
        <w:jc w:val="center"/>
        <w:rPr>
          <w:rFonts w:ascii="Arial" w:eastAsia="Calibri" w:hAnsi="Arial" w:cs="Arial"/>
          <w:noProof/>
          <w:color w:val="000000"/>
          <w:lang w:val="es-ES"/>
        </w:rPr>
      </w:pPr>
      <w:r>
        <w:rPr>
          <w:noProof/>
        </w:rPr>
        <w:drawing>
          <wp:inline distT="0" distB="0" distL="0" distR="0" wp14:anchorId="5061F01A" wp14:editId="5844E385">
            <wp:extent cx="2773144" cy="988695"/>
            <wp:effectExtent l="0" t="0" r="0" b="0"/>
            <wp:docPr id="208024860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2">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7ACE0F46" w14:textId="77777777" w:rsidR="00D57803" w:rsidRPr="00386009" w:rsidRDefault="00D57803" w:rsidP="004E2610">
      <w:pPr>
        <w:jc w:val="center"/>
        <w:rPr>
          <w:rFonts w:ascii="Arial" w:eastAsia="Times New Roman" w:hAnsi="Arial" w:cs="Arial"/>
          <w:color w:val="000000"/>
          <w:sz w:val="18"/>
          <w:szCs w:val="20"/>
          <w:lang w:val="es-ES" w:eastAsia="es-CO"/>
        </w:rPr>
      </w:pPr>
    </w:p>
    <w:p w14:paraId="6C7F45E7" w14:textId="77777777" w:rsidR="004E2610" w:rsidRPr="00386009" w:rsidRDefault="004E2610" w:rsidP="004E2610">
      <w:pPr>
        <w:jc w:val="center"/>
        <w:rPr>
          <w:rFonts w:ascii="Arial" w:eastAsia="Times New Roman" w:hAnsi="Arial" w:cs="Arial"/>
          <w:color w:val="000000"/>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E2610" w:rsidRPr="00386009" w14:paraId="49435AE7" w14:textId="77777777" w:rsidTr="004E2610">
        <w:trPr>
          <w:trHeight w:val="315"/>
        </w:trPr>
        <w:tc>
          <w:tcPr>
            <w:tcW w:w="812" w:type="dxa"/>
            <w:vAlign w:val="center"/>
            <w:hideMark/>
          </w:tcPr>
          <w:p w14:paraId="69A9A9E0" w14:textId="77777777" w:rsidR="004E2610" w:rsidRPr="00386009" w:rsidRDefault="004E2610" w:rsidP="004E2610">
            <w:pPr>
              <w:rPr>
                <w:rFonts w:ascii="Arial" w:eastAsia="Times New Roman" w:hAnsi="Arial" w:cs="Arial"/>
                <w:color w:val="000000"/>
                <w:sz w:val="16"/>
                <w:szCs w:val="16"/>
                <w:lang w:val="es-ES" w:eastAsia="es-ES"/>
              </w:rPr>
            </w:pPr>
            <w:r w:rsidRPr="00386009">
              <w:rPr>
                <w:rFonts w:ascii="Arial" w:eastAsia="Times New Roman" w:hAnsi="Arial" w:cs="Arial"/>
                <w:color w:val="000000"/>
                <w:sz w:val="16"/>
                <w:szCs w:val="16"/>
                <w:lang w:val="es-ES" w:eastAsia="es-ES"/>
              </w:rPr>
              <w:t>Elaboró:</w:t>
            </w:r>
          </w:p>
        </w:tc>
        <w:tc>
          <w:tcPr>
            <w:tcW w:w="4413" w:type="dxa"/>
            <w:tcBorders>
              <w:top w:val="nil"/>
              <w:left w:val="nil"/>
              <w:bottom w:val="dotted" w:sz="4" w:space="0" w:color="7F7F7F"/>
              <w:right w:val="nil"/>
            </w:tcBorders>
            <w:vAlign w:val="center"/>
            <w:hideMark/>
          </w:tcPr>
          <w:p w14:paraId="2CE6D310" w14:textId="0D12527E" w:rsidR="004E2610" w:rsidRPr="00386009" w:rsidRDefault="0099177B" w:rsidP="004E2610">
            <w:pPr>
              <w:rPr>
                <w:rFonts w:ascii="Arial" w:eastAsia="Times New Roman" w:hAnsi="Arial" w:cs="Arial"/>
                <w:color w:val="000000"/>
                <w:sz w:val="16"/>
                <w:szCs w:val="16"/>
                <w:lang w:val="es-ES" w:eastAsia="es-ES"/>
              </w:rPr>
            </w:pPr>
            <w:r w:rsidRPr="00386009">
              <w:rPr>
                <w:rFonts w:ascii="Arial" w:eastAsia="Times New Roman" w:hAnsi="Arial" w:cs="Arial"/>
                <w:color w:val="000000"/>
                <w:sz w:val="16"/>
                <w:szCs w:val="16"/>
                <w:lang w:val="es-ES" w:eastAsia="es-ES"/>
              </w:rPr>
              <w:t>Sara Milena Núñez Aldana</w:t>
            </w:r>
          </w:p>
          <w:p w14:paraId="693B0C2C" w14:textId="77777777" w:rsidR="004E2610" w:rsidRPr="00386009" w:rsidRDefault="0099177B" w:rsidP="004E2610">
            <w:pPr>
              <w:rPr>
                <w:rFonts w:ascii="Arial" w:eastAsia="Times New Roman" w:hAnsi="Arial" w:cs="Arial"/>
                <w:color w:val="000000"/>
                <w:sz w:val="16"/>
                <w:szCs w:val="16"/>
                <w:lang w:val="es-ES" w:eastAsia="es-ES"/>
              </w:rPr>
            </w:pPr>
            <w:r w:rsidRPr="00386009">
              <w:rPr>
                <w:rFonts w:ascii="Arial" w:eastAsia="Times New Roman" w:hAnsi="Arial" w:cs="Arial"/>
                <w:color w:val="000000"/>
                <w:sz w:val="16"/>
                <w:szCs w:val="16"/>
                <w:lang w:val="es-ES" w:eastAsia="es-ES"/>
              </w:rPr>
              <w:t xml:space="preserve">Analista T 2- Grado 06 </w:t>
            </w:r>
            <w:r w:rsidR="004E2610" w:rsidRPr="00386009">
              <w:rPr>
                <w:rFonts w:ascii="Arial" w:eastAsia="Times New Roman" w:hAnsi="Arial" w:cs="Arial"/>
                <w:color w:val="000000"/>
                <w:sz w:val="16"/>
                <w:szCs w:val="16"/>
                <w:lang w:val="es-ES" w:eastAsia="es-ES"/>
              </w:rPr>
              <w:t>de la Subdirección de Gestión</w:t>
            </w:r>
            <w:r w:rsidRPr="00386009">
              <w:rPr>
                <w:rFonts w:ascii="Arial" w:eastAsia="Times New Roman" w:hAnsi="Arial" w:cs="Arial"/>
                <w:color w:val="000000"/>
                <w:sz w:val="16"/>
                <w:szCs w:val="16"/>
                <w:lang w:val="es-ES" w:eastAsia="es-ES"/>
              </w:rPr>
              <w:t xml:space="preserve"> </w:t>
            </w:r>
            <w:r w:rsidR="004E2610" w:rsidRPr="00386009">
              <w:rPr>
                <w:rFonts w:ascii="Arial" w:eastAsia="Times New Roman" w:hAnsi="Arial" w:cs="Arial"/>
                <w:color w:val="000000"/>
                <w:sz w:val="16"/>
                <w:szCs w:val="16"/>
                <w:lang w:val="es-ES" w:eastAsia="es-ES"/>
              </w:rPr>
              <w:t>Contractual</w:t>
            </w:r>
          </w:p>
          <w:p w14:paraId="40AA4107" w14:textId="77777777" w:rsidR="000F4CAB" w:rsidRPr="00386009" w:rsidRDefault="000F4CAB" w:rsidP="004E2610">
            <w:pPr>
              <w:rPr>
                <w:rFonts w:ascii="Arial" w:eastAsia="Times New Roman" w:hAnsi="Arial" w:cs="Arial"/>
                <w:color w:val="000000"/>
                <w:sz w:val="16"/>
                <w:szCs w:val="16"/>
                <w:lang w:val="es-ES" w:eastAsia="es-ES"/>
              </w:rPr>
            </w:pPr>
            <w:r w:rsidRPr="00386009">
              <w:rPr>
                <w:rFonts w:ascii="Arial" w:eastAsia="Times New Roman" w:hAnsi="Arial" w:cs="Arial"/>
                <w:color w:val="000000"/>
                <w:sz w:val="16"/>
                <w:szCs w:val="16"/>
                <w:lang w:val="es-ES" w:eastAsia="es-ES"/>
              </w:rPr>
              <w:t xml:space="preserve">Juan David Montoya Penagos </w:t>
            </w:r>
          </w:p>
          <w:p w14:paraId="2E3BDABD" w14:textId="4A84A512" w:rsidR="000F4CAB" w:rsidRPr="00386009" w:rsidRDefault="000F4CAB" w:rsidP="004E2610">
            <w:pPr>
              <w:rPr>
                <w:rFonts w:ascii="Arial" w:eastAsia="Times New Roman" w:hAnsi="Arial" w:cs="Arial"/>
                <w:color w:val="000000"/>
                <w:sz w:val="16"/>
                <w:szCs w:val="16"/>
                <w:lang w:val="es-ES" w:eastAsia="es-ES"/>
              </w:rPr>
            </w:pPr>
            <w:r w:rsidRPr="00386009">
              <w:rPr>
                <w:rFonts w:ascii="Arial" w:eastAsia="Times New Roman" w:hAnsi="Arial" w:cs="Arial"/>
                <w:color w:val="000000"/>
                <w:sz w:val="16"/>
                <w:szCs w:val="16"/>
                <w:lang w:val="es-ES" w:eastAsia="es-ES"/>
              </w:rPr>
              <w:t>Contratista de la Subdirección de Gestión Contractual</w:t>
            </w:r>
          </w:p>
        </w:tc>
      </w:tr>
      <w:tr w:rsidR="004E2610" w:rsidRPr="00386009" w14:paraId="5D31937C" w14:textId="77777777" w:rsidTr="004E2610">
        <w:trPr>
          <w:trHeight w:val="330"/>
        </w:trPr>
        <w:tc>
          <w:tcPr>
            <w:tcW w:w="812" w:type="dxa"/>
            <w:vAlign w:val="center"/>
            <w:hideMark/>
          </w:tcPr>
          <w:p w14:paraId="38032C61" w14:textId="77777777" w:rsidR="004E2610" w:rsidRPr="00386009" w:rsidRDefault="004E2610" w:rsidP="004E2610">
            <w:pPr>
              <w:rPr>
                <w:rFonts w:ascii="Arial" w:eastAsia="Times New Roman" w:hAnsi="Arial" w:cs="Arial"/>
                <w:color w:val="000000"/>
                <w:sz w:val="16"/>
                <w:szCs w:val="16"/>
                <w:lang w:val="es-ES" w:eastAsia="es-ES"/>
              </w:rPr>
            </w:pPr>
            <w:r w:rsidRPr="00386009">
              <w:rPr>
                <w:rFonts w:ascii="Arial" w:eastAsia="Times New Roman" w:hAnsi="Arial" w:cs="Arial"/>
                <w:color w:val="000000"/>
                <w:sz w:val="16"/>
                <w:szCs w:val="16"/>
                <w:lang w:val="es-ES" w:eastAsia="es-ES"/>
              </w:rPr>
              <w:t>Revisó:</w:t>
            </w:r>
          </w:p>
        </w:tc>
        <w:tc>
          <w:tcPr>
            <w:tcW w:w="4413" w:type="dxa"/>
            <w:tcBorders>
              <w:top w:val="dotted" w:sz="4" w:space="0" w:color="7F7F7F"/>
              <w:left w:val="nil"/>
              <w:bottom w:val="dotted" w:sz="4" w:space="0" w:color="7F7F7F"/>
              <w:right w:val="nil"/>
            </w:tcBorders>
            <w:vAlign w:val="center"/>
            <w:hideMark/>
          </w:tcPr>
          <w:p w14:paraId="6CCA649F" w14:textId="56E1ECC1" w:rsidR="004E2610" w:rsidRPr="00386009" w:rsidRDefault="00AC06A2" w:rsidP="004E2610">
            <w:pPr>
              <w:rPr>
                <w:rFonts w:ascii="Arial" w:eastAsia="Times New Roman" w:hAnsi="Arial" w:cs="Arial"/>
                <w:color w:val="000000"/>
                <w:sz w:val="16"/>
                <w:szCs w:val="16"/>
                <w:lang w:val="es-ES" w:eastAsia="es-ES"/>
              </w:rPr>
            </w:pPr>
            <w:r w:rsidRPr="00386009">
              <w:rPr>
                <w:rFonts w:ascii="Arial" w:eastAsia="Times New Roman" w:hAnsi="Arial" w:cs="Arial"/>
                <w:color w:val="000000"/>
                <w:sz w:val="16"/>
                <w:szCs w:val="16"/>
                <w:lang w:val="es-ES" w:eastAsia="es-ES"/>
              </w:rPr>
              <w:t>Cristian Andrés Díaz Díez</w:t>
            </w:r>
          </w:p>
          <w:p w14:paraId="2B830A5E" w14:textId="44FD8B02" w:rsidR="004E2610" w:rsidRPr="00386009" w:rsidRDefault="00AC06A2" w:rsidP="004E2610">
            <w:pPr>
              <w:rPr>
                <w:rFonts w:ascii="Arial" w:eastAsia="Times New Roman" w:hAnsi="Arial" w:cs="Arial"/>
                <w:color w:val="000000"/>
                <w:sz w:val="16"/>
                <w:szCs w:val="16"/>
                <w:lang w:val="es-ES" w:eastAsia="es-ES"/>
              </w:rPr>
            </w:pPr>
            <w:r w:rsidRPr="00386009">
              <w:rPr>
                <w:rFonts w:ascii="Arial" w:eastAsia="Times New Roman" w:hAnsi="Arial" w:cs="Arial"/>
                <w:color w:val="000000"/>
                <w:sz w:val="16"/>
                <w:szCs w:val="16"/>
                <w:lang w:val="es-ES" w:eastAsia="es-ES"/>
              </w:rPr>
              <w:t>Contratista</w:t>
            </w:r>
            <w:r w:rsidR="000F4CAB" w:rsidRPr="00386009">
              <w:rPr>
                <w:rFonts w:ascii="Arial" w:eastAsia="Times New Roman" w:hAnsi="Arial" w:cs="Arial"/>
                <w:color w:val="000000"/>
                <w:sz w:val="16"/>
                <w:szCs w:val="16"/>
                <w:lang w:val="es-ES" w:eastAsia="es-ES"/>
              </w:rPr>
              <w:t xml:space="preserve"> de la</w:t>
            </w:r>
            <w:r w:rsidRPr="00386009">
              <w:rPr>
                <w:rFonts w:ascii="Arial" w:eastAsia="Times New Roman" w:hAnsi="Arial" w:cs="Arial"/>
                <w:color w:val="000000"/>
                <w:sz w:val="16"/>
                <w:szCs w:val="16"/>
                <w:lang w:val="es-ES" w:eastAsia="es-ES"/>
              </w:rPr>
              <w:t xml:space="preserve"> </w:t>
            </w:r>
            <w:r w:rsidR="004E2610" w:rsidRPr="00386009">
              <w:rPr>
                <w:rFonts w:ascii="Arial" w:eastAsia="Times New Roman" w:hAnsi="Arial" w:cs="Arial"/>
                <w:color w:val="000000"/>
                <w:sz w:val="16"/>
                <w:szCs w:val="16"/>
                <w:lang w:val="es-ES" w:eastAsia="es-ES"/>
              </w:rPr>
              <w:t>Subdirec</w:t>
            </w:r>
            <w:r w:rsidRPr="00386009">
              <w:rPr>
                <w:rFonts w:ascii="Arial" w:eastAsia="Times New Roman" w:hAnsi="Arial" w:cs="Arial"/>
                <w:color w:val="000000"/>
                <w:sz w:val="16"/>
                <w:szCs w:val="16"/>
                <w:lang w:val="es-ES" w:eastAsia="es-ES"/>
              </w:rPr>
              <w:t>ción</w:t>
            </w:r>
            <w:r w:rsidR="004E2610" w:rsidRPr="00386009">
              <w:rPr>
                <w:rFonts w:ascii="Arial" w:eastAsia="Times New Roman" w:hAnsi="Arial" w:cs="Arial"/>
                <w:color w:val="000000"/>
                <w:sz w:val="16"/>
                <w:szCs w:val="16"/>
                <w:lang w:val="es-ES" w:eastAsia="es-ES"/>
              </w:rPr>
              <w:t xml:space="preserve"> de Gestión Contractual</w:t>
            </w:r>
          </w:p>
        </w:tc>
      </w:tr>
      <w:tr w:rsidR="004E2610" w:rsidRPr="00386009" w14:paraId="223A1CA1" w14:textId="77777777" w:rsidTr="004E2610">
        <w:trPr>
          <w:trHeight w:val="300"/>
        </w:trPr>
        <w:tc>
          <w:tcPr>
            <w:tcW w:w="812" w:type="dxa"/>
            <w:vAlign w:val="center"/>
            <w:hideMark/>
          </w:tcPr>
          <w:p w14:paraId="51F3E5FF" w14:textId="77777777" w:rsidR="004E2610" w:rsidRPr="00386009" w:rsidRDefault="004E2610" w:rsidP="004E2610">
            <w:pPr>
              <w:rPr>
                <w:rFonts w:ascii="Arial" w:eastAsia="Times New Roman" w:hAnsi="Arial" w:cs="Arial"/>
                <w:color w:val="000000"/>
                <w:sz w:val="16"/>
                <w:szCs w:val="16"/>
                <w:lang w:val="es-ES" w:eastAsia="es-ES"/>
              </w:rPr>
            </w:pPr>
            <w:r w:rsidRPr="00386009">
              <w:rPr>
                <w:rFonts w:ascii="Arial" w:eastAsia="Times New Roman" w:hAnsi="Arial" w:cs="Arial"/>
                <w:color w:val="000000"/>
                <w:sz w:val="16"/>
                <w:szCs w:val="16"/>
                <w:lang w:val="es-ES" w:eastAsia="es-ES"/>
              </w:rPr>
              <w:t>Aprobó:</w:t>
            </w:r>
          </w:p>
        </w:tc>
        <w:tc>
          <w:tcPr>
            <w:tcW w:w="4413" w:type="dxa"/>
            <w:tcBorders>
              <w:top w:val="dotted" w:sz="4" w:space="0" w:color="7F7F7F"/>
              <w:left w:val="nil"/>
              <w:bottom w:val="dotted" w:sz="4" w:space="0" w:color="7F7F7F"/>
              <w:right w:val="nil"/>
            </w:tcBorders>
            <w:vAlign w:val="center"/>
            <w:hideMark/>
          </w:tcPr>
          <w:p w14:paraId="14CB3B56" w14:textId="77777777" w:rsidR="004E2610" w:rsidRPr="00386009" w:rsidRDefault="004E2610" w:rsidP="004E2610">
            <w:pPr>
              <w:rPr>
                <w:rFonts w:ascii="Arial" w:eastAsia="Times New Roman" w:hAnsi="Arial" w:cs="Arial"/>
                <w:color w:val="000000"/>
                <w:sz w:val="16"/>
                <w:szCs w:val="16"/>
                <w:lang w:val="es-ES" w:eastAsia="es-ES"/>
              </w:rPr>
            </w:pPr>
            <w:r w:rsidRPr="00386009">
              <w:rPr>
                <w:rFonts w:ascii="Arial" w:eastAsia="Times New Roman" w:hAnsi="Arial" w:cs="Arial"/>
                <w:color w:val="000000"/>
                <w:sz w:val="16"/>
                <w:szCs w:val="16"/>
                <w:lang w:val="es-ES" w:eastAsia="es-ES"/>
              </w:rPr>
              <w:t>Fabián Gonzalo Marín Cortés</w:t>
            </w:r>
          </w:p>
          <w:p w14:paraId="53B00199" w14:textId="77777777" w:rsidR="004E2610" w:rsidRPr="00386009" w:rsidRDefault="004E2610" w:rsidP="004E2610">
            <w:pPr>
              <w:rPr>
                <w:rFonts w:ascii="Arial" w:eastAsia="Times New Roman" w:hAnsi="Arial" w:cs="Arial"/>
                <w:color w:val="000000"/>
                <w:sz w:val="16"/>
                <w:szCs w:val="16"/>
                <w:lang w:val="es-ES" w:eastAsia="es-ES"/>
              </w:rPr>
            </w:pPr>
            <w:r w:rsidRPr="00386009">
              <w:rPr>
                <w:rFonts w:ascii="Arial" w:eastAsia="Times New Roman" w:hAnsi="Arial" w:cs="Arial"/>
                <w:color w:val="000000"/>
                <w:sz w:val="16"/>
                <w:szCs w:val="16"/>
                <w:lang w:val="es-ES" w:eastAsia="es-ES"/>
              </w:rPr>
              <w:t>Subdirector de Gestión Contractual</w:t>
            </w:r>
          </w:p>
        </w:tc>
      </w:tr>
    </w:tbl>
    <w:p w14:paraId="7EBF297E" w14:textId="77777777" w:rsidR="007B0854" w:rsidRPr="00386009" w:rsidRDefault="007B0854" w:rsidP="00CA287E">
      <w:pPr>
        <w:jc w:val="both"/>
        <w:rPr>
          <w:rFonts w:ascii="Arial" w:eastAsia="Calibri" w:hAnsi="Arial" w:cs="Arial"/>
          <w:color w:val="4E4D4D"/>
          <w:sz w:val="22"/>
          <w:lang w:val="es-ES"/>
        </w:rPr>
      </w:pPr>
    </w:p>
    <w:sectPr w:rsidR="007B0854" w:rsidRPr="00386009"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F396D" w14:textId="77777777" w:rsidR="00144927" w:rsidRDefault="00144927">
      <w:r>
        <w:separator/>
      </w:r>
    </w:p>
  </w:endnote>
  <w:endnote w:type="continuationSeparator" w:id="0">
    <w:p w14:paraId="1253EBC7" w14:textId="77777777" w:rsidR="00144927" w:rsidRDefault="0014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F2C9" w14:textId="77777777" w:rsidR="009A62EC" w:rsidRDefault="009A62EC" w:rsidP="007B0854">
    <w:pPr>
      <w:pStyle w:val="Sinespaciado"/>
      <w:jc w:val="center"/>
      <w:rPr>
        <w:rFonts w:ascii="Arial" w:hAnsi="Arial" w:cs="Arial"/>
        <w:sz w:val="18"/>
        <w:szCs w:val="18"/>
      </w:rPr>
    </w:pPr>
  </w:p>
  <w:p w14:paraId="312C4A14" w14:textId="1CC17C36" w:rsidR="009A62EC" w:rsidRPr="005A79FE" w:rsidRDefault="009A62EC"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A62EC" w:rsidRDefault="009A62EC"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9A62EC" w:rsidRPr="007B0854" w:rsidRDefault="009A62E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19B9D" w14:textId="77777777" w:rsidR="00144927" w:rsidRDefault="00144927">
      <w:r>
        <w:separator/>
      </w:r>
    </w:p>
  </w:footnote>
  <w:footnote w:type="continuationSeparator" w:id="0">
    <w:p w14:paraId="448D3E78" w14:textId="77777777" w:rsidR="00144927" w:rsidRDefault="00144927">
      <w:r>
        <w:continuationSeparator/>
      </w:r>
    </w:p>
  </w:footnote>
  <w:footnote w:id="1">
    <w:p w14:paraId="6F0DC6EA" w14:textId="57859357" w:rsidR="009A62EC" w:rsidRDefault="009A62EC" w:rsidP="005A1679">
      <w:pPr>
        <w:pStyle w:val="Textonotapie"/>
        <w:ind w:firstLine="709"/>
        <w:jc w:val="both"/>
        <w:rPr>
          <w:rFonts w:ascii="Arial" w:hAnsi="Arial" w:cs="Arial"/>
          <w:color w:val="000000" w:themeColor="text1"/>
          <w:sz w:val="19"/>
          <w:szCs w:val="19"/>
        </w:rPr>
      </w:pPr>
      <w:r w:rsidRPr="00131337">
        <w:rPr>
          <w:rStyle w:val="Refdenotaalpie"/>
          <w:rFonts w:ascii="Arial" w:hAnsi="Arial" w:cs="Arial"/>
          <w:color w:val="000000" w:themeColor="text1"/>
          <w:sz w:val="19"/>
          <w:szCs w:val="19"/>
        </w:rPr>
        <w:footnoteRef/>
      </w:r>
      <w:r w:rsidR="00AF2288">
        <w:rPr>
          <w:rFonts w:ascii="Arial" w:hAnsi="Arial" w:cs="Arial"/>
          <w:color w:val="000000" w:themeColor="text1"/>
          <w:sz w:val="19"/>
          <w:szCs w:val="19"/>
        </w:rPr>
        <w:t xml:space="preserve"> </w:t>
      </w:r>
      <w:r w:rsidRPr="00131337">
        <w:rPr>
          <w:rFonts w:ascii="Arial" w:hAnsi="Arial" w:cs="Arial"/>
          <w:color w:val="000000" w:themeColor="text1"/>
          <w:sz w:val="19"/>
          <w:szCs w:val="19"/>
        </w:rPr>
        <w:t xml:space="preserve">Al respecto se pueden consultar las respuestas a las consultas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4201912000006151 del 9 de septiembre de 2019, 4201912000007034 del 11 de octubre de 2019, 4201912000007124 del 17 de octubre de 2019, entre otras. </w:t>
      </w:r>
    </w:p>
    <w:p w14:paraId="6FFA9C21" w14:textId="77777777" w:rsidR="00AF2288" w:rsidRPr="00131337" w:rsidRDefault="00AF2288" w:rsidP="005A1679">
      <w:pPr>
        <w:pStyle w:val="Textonotapie"/>
        <w:ind w:firstLine="709"/>
        <w:jc w:val="both"/>
        <w:rPr>
          <w:rFonts w:ascii="Arial" w:hAnsi="Arial" w:cs="Arial"/>
          <w:color w:val="000000" w:themeColor="text1"/>
          <w:sz w:val="19"/>
          <w:szCs w:val="19"/>
          <w:lang w:val="es-CO"/>
        </w:rPr>
      </w:pPr>
    </w:p>
  </w:footnote>
  <w:footnote w:id="2">
    <w:p w14:paraId="2FF4565F" w14:textId="77777777" w:rsidR="009A62EC" w:rsidRPr="00131337" w:rsidRDefault="009A62EC" w:rsidP="00AE5A06">
      <w:pPr>
        <w:pStyle w:val="Textonotapie"/>
        <w:ind w:firstLine="708"/>
        <w:jc w:val="both"/>
        <w:rPr>
          <w:rFonts w:ascii="Arial" w:hAnsi="Arial" w:cs="Arial"/>
          <w:color w:val="000000" w:themeColor="text1"/>
          <w:sz w:val="19"/>
          <w:szCs w:val="19"/>
        </w:rPr>
      </w:pPr>
      <w:r w:rsidRPr="003D2AAA">
        <w:rPr>
          <w:rStyle w:val="Refdenotaalpie"/>
          <w:rFonts w:ascii="Arial" w:hAnsi="Arial" w:cs="Arial"/>
          <w:color w:val="000000" w:themeColor="text1"/>
          <w:sz w:val="19"/>
          <w:szCs w:val="19"/>
        </w:rPr>
        <w:footnoteRef/>
      </w:r>
      <w:r w:rsidRPr="003D2AAA">
        <w:rPr>
          <w:rFonts w:ascii="Arial" w:hAnsi="Arial" w:cs="Arial"/>
          <w:color w:val="000000" w:themeColor="text1"/>
          <w:sz w:val="19"/>
          <w:szCs w:val="19"/>
        </w:rPr>
        <w:t xml:space="preserve"> </w:t>
      </w:r>
      <w:r w:rsidRPr="00131337">
        <w:rPr>
          <w:rFonts w:ascii="Arial" w:hAnsi="Arial" w:cs="Arial"/>
          <w:color w:val="000000" w:themeColor="text1"/>
          <w:sz w:val="19"/>
          <w:szCs w:val="19"/>
        </w:rPr>
        <w:t>«Artículo 2.2.1.2.3.1.6. Garantía de los Riesgos derivados del incumplimiento de la oferta. La garantía de seriedad de la oferta debe cubrir la sanción derivada del incumplimiento de la oferta, en los siguientes eventos:</w:t>
      </w:r>
    </w:p>
    <w:p w14:paraId="4BA24D62" w14:textId="77777777" w:rsidR="009A62EC" w:rsidRPr="00131337" w:rsidRDefault="009A62EC" w:rsidP="00AE5A06">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 xml:space="preserve">»1.    </w:t>
      </w:r>
      <w:bookmarkStart w:id="5" w:name="_Hlk36666279"/>
      <w:r w:rsidRPr="00131337">
        <w:rPr>
          <w:rFonts w:ascii="Arial" w:hAnsi="Arial" w:cs="Arial"/>
          <w:color w:val="000000" w:themeColor="text1"/>
          <w:sz w:val="19"/>
          <w:szCs w:val="19"/>
        </w:rPr>
        <w:t>La no ampliación de la vigencia de la garantía de seriedad de la oferta cuando el plazo para la adjudicación o para suscribir el contrato es prorrogado, siempre que tal prórroga sea inferior a tres (3) meses.</w:t>
      </w:r>
    </w:p>
    <w:bookmarkEnd w:id="5"/>
    <w:p w14:paraId="2C7F7E65" w14:textId="77777777" w:rsidR="009A62EC" w:rsidRPr="00131337" w:rsidRDefault="009A62EC" w:rsidP="00AE5A06">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»2.    El retiro de la oferta después de vencido el plazo fijado para la presentación de las ofertas.</w:t>
      </w:r>
    </w:p>
    <w:p w14:paraId="3220C1B5" w14:textId="77777777" w:rsidR="009A62EC" w:rsidRPr="00131337" w:rsidRDefault="009A62EC" w:rsidP="00AE5A06">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»3.    La no suscripción del contrato sin justa causa por parte del adjudicatario.</w:t>
      </w:r>
    </w:p>
    <w:p w14:paraId="2DB40E81" w14:textId="77777777" w:rsidR="009A62EC" w:rsidRPr="00131337" w:rsidRDefault="009A62EC" w:rsidP="00AE5A06">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»4.  La falta de otorgamiento por parte del proponente seleccionado de la garantía de cumplimiento del contrato».</w:t>
      </w:r>
    </w:p>
    <w:p w14:paraId="6F9D24DB" w14:textId="77777777" w:rsidR="009A62EC" w:rsidRPr="00131337" w:rsidRDefault="009A62EC" w:rsidP="00AE5A06">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 xml:space="preserve">[…] </w:t>
      </w:r>
    </w:p>
    <w:p w14:paraId="7A9BD606" w14:textId="77777777" w:rsidR="009A62EC" w:rsidRPr="00131337" w:rsidRDefault="009A62EC" w:rsidP="00AE5A06">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w:t>
      </w:r>
      <w:bookmarkStart w:id="6" w:name="_Hlk47443404"/>
      <w:r w:rsidRPr="00131337">
        <w:rPr>
          <w:rFonts w:ascii="Arial" w:hAnsi="Arial" w:cs="Arial"/>
          <w:color w:val="000000" w:themeColor="text1"/>
          <w:sz w:val="19"/>
          <w:szCs w:val="19"/>
        </w:rPr>
        <w:t>Artículo 2.2.1.2.3.1.9</w:t>
      </w:r>
      <w:bookmarkEnd w:id="6"/>
      <w:r w:rsidRPr="00131337">
        <w:rPr>
          <w:rFonts w:ascii="Arial" w:hAnsi="Arial" w:cs="Arial"/>
          <w:color w:val="000000" w:themeColor="text1"/>
          <w:sz w:val="19"/>
          <w:szCs w:val="19"/>
        </w:rPr>
        <w:t xml:space="preserve">. Suficiencia de la garantía de seriedad de la oferta. </w:t>
      </w:r>
      <w:bookmarkStart w:id="7" w:name="_Hlk47443462"/>
      <w:r w:rsidRPr="00131337">
        <w:rPr>
          <w:rFonts w:ascii="Arial" w:hAnsi="Arial" w:cs="Arial"/>
          <w:color w:val="000000" w:themeColor="text1"/>
          <w:sz w:val="19"/>
          <w:szCs w:val="19"/>
        </w:rPr>
        <w:t>La garantía de seriedad de la oferta debe estar vigente desde la presentación de la oferta y hasta la aprobación de la garantía de cumplimiento del contrato y su valor debe ser de por lo menos el diez por ciento (10%) del valor de la oferta.</w:t>
      </w:r>
      <w:bookmarkEnd w:id="7"/>
    </w:p>
    <w:p w14:paraId="476E96BF" w14:textId="77777777" w:rsidR="009A62EC" w:rsidRPr="00131337" w:rsidRDefault="009A62EC" w:rsidP="00AE5A06">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»El valor de la garantía de seriedad de la oferta que presenten los proponentes en el Proceso de Contratación de un Acuerdo Marco de Precio debe ser de mil (1.000) SMMLV.</w:t>
      </w:r>
    </w:p>
    <w:p w14:paraId="7899ECE2" w14:textId="77777777" w:rsidR="009A62EC" w:rsidRPr="00131337" w:rsidRDefault="009A62EC" w:rsidP="00AE5A06">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»El valor de la garantía de seriedad de la oferta que presenten los proponentes en la subasta inversa y en el concurso de méritos debe ser equivalente al diez por ciento (10%) del presupuesto oficial estimado del Proceso de Contratación.</w:t>
      </w:r>
    </w:p>
    <w:p w14:paraId="44218F97" w14:textId="77777777" w:rsidR="009A62EC" w:rsidRPr="00131337" w:rsidRDefault="009A62EC" w:rsidP="00AE5A06">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»Cuando el valor de la oferta o el presupuesto estimado de la contratación sea superior a un millón (1.000.000) de SMMLV se aplicarán las siguientes reglas:</w:t>
      </w:r>
    </w:p>
    <w:p w14:paraId="568E6680" w14:textId="77777777" w:rsidR="009A62EC" w:rsidRPr="00131337" w:rsidRDefault="009A62EC" w:rsidP="00AE5A06">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»1.    Si el valor de la oferta es superior a un millón (1.000.000) de SMMLV y hasta cinco millones (5.000.000) de SMMLV, la Entidad Estatal puede aceptar garantías que cubran al menos el dos punto cinco por ciento (2,5%) del valor de la oferta.</w:t>
      </w:r>
    </w:p>
    <w:p w14:paraId="2FFF23C1" w14:textId="77777777" w:rsidR="009A62EC" w:rsidRPr="00131337" w:rsidRDefault="009A62EC" w:rsidP="00AE5A06">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»2.  Si el valor de la oferta es superior a cinco millones (5.000.000) de SMMLV y hasta diez millones (10.000.000) de SMMLV, la Entidad Estatal puede aceptar garantías que cubran al menos el uno por ciento (1%) del valor de la oferta.</w:t>
      </w:r>
    </w:p>
    <w:p w14:paraId="51C05C9C" w14:textId="4DCAAA49" w:rsidR="009A62EC" w:rsidRPr="00131337" w:rsidRDefault="009A62EC">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»3.    Si el valor de la oferta es superior a diez millones (10.000.000) de SMMLV, la Entidad Estatal puede aceptar garantías que cubran al menos el cero punto cinco por ciento (0,5%) del valor de la oferta».</w:t>
      </w:r>
    </w:p>
  </w:footnote>
  <w:footnote w:id="3">
    <w:p w14:paraId="5B11205A" w14:textId="77777777" w:rsidR="009A62EC" w:rsidRDefault="009A62EC" w:rsidP="00AE5A06">
      <w:pPr>
        <w:pStyle w:val="Textonotapie"/>
        <w:ind w:firstLine="708"/>
        <w:jc w:val="both"/>
        <w:rPr>
          <w:rFonts w:ascii="Arial" w:hAnsi="Arial" w:cs="Arial"/>
          <w:color w:val="000000" w:themeColor="text1"/>
          <w:sz w:val="19"/>
          <w:szCs w:val="19"/>
        </w:rPr>
      </w:pPr>
    </w:p>
    <w:p w14:paraId="5BADB798" w14:textId="7EDF6420" w:rsidR="009A62EC" w:rsidRPr="00131337" w:rsidRDefault="009A62EC" w:rsidP="00AE5A06">
      <w:pPr>
        <w:pStyle w:val="Textonotapie"/>
        <w:ind w:firstLine="708"/>
        <w:jc w:val="both"/>
        <w:rPr>
          <w:rFonts w:ascii="Arial" w:hAnsi="Arial" w:cs="Arial"/>
          <w:color w:val="000000" w:themeColor="text1"/>
          <w:sz w:val="19"/>
          <w:szCs w:val="19"/>
        </w:rPr>
      </w:pPr>
      <w:r w:rsidRPr="003D2AAA">
        <w:rPr>
          <w:rStyle w:val="Refdenotaalpie"/>
          <w:rFonts w:ascii="Arial" w:hAnsi="Arial" w:cs="Arial"/>
          <w:color w:val="000000" w:themeColor="text1"/>
          <w:sz w:val="19"/>
          <w:szCs w:val="19"/>
        </w:rPr>
        <w:footnoteRef/>
      </w:r>
      <w:r w:rsidRPr="003D2AAA">
        <w:rPr>
          <w:rFonts w:ascii="Arial" w:hAnsi="Arial" w:cs="Arial"/>
          <w:color w:val="000000" w:themeColor="text1"/>
          <w:sz w:val="19"/>
          <w:szCs w:val="19"/>
        </w:rPr>
        <w:t xml:space="preserve"> </w:t>
      </w:r>
      <w:r w:rsidRPr="00131337">
        <w:rPr>
          <w:rFonts w:ascii="Arial" w:hAnsi="Arial" w:cs="Arial"/>
          <w:color w:val="000000" w:themeColor="text1"/>
          <w:sz w:val="19"/>
          <w:szCs w:val="19"/>
        </w:rPr>
        <w:t>«Artículo 1068. Mora en el pago de la prima: La mora en el pago de la prima de la póliza o de los certificados o anexos que se expidan con fundamento en ella, producirá la terminación automática del contrato y dará derecho al asegurador para exigir el pago de la prima devengada y de los gastos causados con ocasión de la expedición del contrato.</w:t>
      </w:r>
    </w:p>
    <w:p w14:paraId="326923C7" w14:textId="77777777" w:rsidR="009A62EC" w:rsidRPr="00131337" w:rsidRDefault="009A62EC" w:rsidP="00AE5A06">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»Lo dispuesto en el inciso anterior deberá consignarse por parte del asegurador en la carátula de la póliza, en caracteres destacados.</w:t>
      </w:r>
    </w:p>
    <w:p w14:paraId="068E4FCE" w14:textId="77777777" w:rsidR="009A62EC" w:rsidRPr="00131337" w:rsidRDefault="009A62EC" w:rsidP="00AE5A06">
      <w:pPr>
        <w:pStyle w:val="Textonotapie"/>
        <w:ind w:firstLine="708"/>
        <w:jc w:val="both"/>
        <w:rPr>
          <w:rFonts w:ascii="Arial" w:hAnsi="Arial" w:cs="Arial"/>
          <w:color w:val="000000" w:themeColor="text1"/>
          <w:sz w:val="19"/>
          <w:szCs w:val="19"/>
        </w:rPr>
      </w:pPr>
      <w:r w:rsidRPr="00131337">
        <w:rPr>
          <w:rFonts w:ascii="Arial" w:hAnsi="Arial" w:cs="Arial"/>
          <w:color w:val="000000" w:themeColor="text1"/>
          <w:sz w:val="19"/>
          <w:szCs w:val="19"/>
        </w:rPr>
        <w:t>»Lo dispuesto en este artículo no podrá ser modificado por las partes».</w:t>
      </w:r>
    </w:p>
    <w:p w14:paraId="1C984264" w14:textId="77777777" w:rsidR="009A62EC" w:rsidRPr="00131337" w:rsidRDefault="009A62EC" w:rsidP="00AE5A06">
      <w:pPr>
        <w:pStyle w:val="Textonotapie"/>
        <w:ind w:firstLine="708"/>
        <w:jc w:val="both"/>
        <w:rPr>
          <w:rFonts w:ascii="Arial" w:hAnsi="Arial" w:cs="Arial"/>
          <w:color w:val="000000" w:themeColor="text1"/>
          <w:sz w:val="19"/>
          <w:szCs w:val="19"/>
        </w:rPr>
      </w:pPr>
    </w:p>
  </w:footnote>
  <w:footnote w:id="4">
    <w:p w14:paraId="1837C4C8" w14:textId="77777777" w:rsidR="009A62EC" w:rsidRPr="00CD5120" w:rsidRDefault="009A62EC" w:rsidP="00AE5A06">
      <w:pPr>
        <w:pStyle w:val="Textonotapie"/>
        <w:ind w:firstLine="708"/>
        <w:jc w:val="both"/>
        <w:rPr>
          <w:rFonts w:ascii="Arial" w:hAnsi="Arial" w:cs="Arial"/>
          <w:color w:val="000000" w:themeColor="text1"/>
          <w:sz w:val="19"/>
          <w:szCs w:val="19"/>
        </w:rPr>
      </w:pPr>
      <w:r w:rsidRPr="003D2AAA">
        <w:rPr>
          <w:rStyle w:val="Refdenotaalpie"/>
          <w:rFonts w:ascii="Arial" w:hAnsi="Arial" w:cs="Arial"/>
          <w:color w:val="000000" w:themeColor="text1"/>
          <w:sz w:val="19"/>
          <w:szCs w:val="19"/>
        </w:rPr>
        <w:footnoteRef/>
      </w:r>
      <w:r w:rsidRPr="003D2AAA">
        <w:rPr>
          <w:rFonts w:ascii="Arial" w:hAnsi="Arial" w:cs="Arial"/>
          <w:color w:val="000000" w:themeColor="text1"/>
          <w:sz w:val="19"/>
          <w:szCs w:val="19"/>
        </w:rPr>
        <w:t xml:space="preserve"> </w:t>
      </w:r>
      <w:r w:rsidRPr="00131337">
        <w:rPr>
          <w:rFonts w:ascii="Arial" w:hAnsi="Arial" w:cs="Arial"/>
          <w:color w:val="000000" w:themeColor="text1"/>
          <w:sz w:val="19"/>
          <w:szCs w:val="19"/>
        </w:rPr>
        <w:t xml:space="preserve">CORTE CONSTITUCIONAL. Sentencia C-452 de 1999. M.P. Eduardo Cifuentes Muñoz. </w:t>
      </w:r>
    </w:p>
    <w:p w14:paraId="2E84E6F4" w14:textId="77777777" w:rsidR="009A62EC" w:rsidRPr="00131337" w:rsidRDefault="009A62EC" w:rsidP="00AE5A06">
      <w:pPr>
        <w:pStyle w:val="Textonotapie"/>
        <w:ind w:firstLine="708"/>
        <w:jc w:val="both"/>
        <w:rPr>
          <w:rFonts w:ascii="Arial" w:hAnsi="Arial" w:cs="Arial"/>
          <w:color w:val="000000" w:themeColor="text1"/>
          <w:sz w:val="19"/>
          <w:szCs w:val="19"/>
        </w:rPr>
      </w:pPr>
    </w:p>
  </w:footnote>
  <w:footnote w:id="5">
    <w:p w14:paraId="0998EE02" w14:textId="1F814F67" w:rsidR="009A62EC" w:rsidRPr="00131337" w:rsidRDefault="009A62EC">
      <w:pPr>
        <w:pStyle w:val="Textonotapie"/>
        <w:ind w:firstLine="708"/>
        <w:jc w:val="both"/>
        <w:rPr>
          <w:rFonts w:ascii="Arial" w:hAnsi="Arial" w:cs="Arial"/>
          <w:color w:val="000000" w:themeColor="text1"/>
          <w:sz w:val="19"/>
          <w:szCs w:val="19"/>
        </w:rPr>
      </w:pPr>
      <w:r w:rsidRPr="003D2AAA">
        <w:rPr>
          <w:rStyle w:val="Refdenotaalpie"/>
          <w:rFonts w:ascii="Arial" w:hAnsi="Arial" w:cs="Arial"/>
          <w:color w:val="000000" w:themeColor="text1"/>
          <w:sz w:val="19"/>
          <w:szCs w:val="19"/>
        </w:rPr>
        <w:footnoteRef/>
      </w:r>
      <w:r w:rsidRPr="003D2AAA">
        <w:rPr>
          <w:rFonts w:ascii="Arial" w:hAnsi="Arial" w:cs="Arial"/>
          <w:color w:val="000000" w:themeColor="text1"/>
          <w:sz w:val="19"/>
          <w:szCs w:val="19"/>
        </w:rPr>
        <w:t xml:space="preserve"> </w:t>
      </w:r>
      <w:r w:rsidRPr="00131337">
        <w:rPr>
          <w:rFonts w:ascii="Arial" w:hAnsi="Arial" w:cs="Arial"/>
          <w:color w:val="000000" w:themeColor="text1"/>
          <w:sz w:val="19"/>
          <w:szCs w:val="19"/>
        </w:rPr>
        <w:t>DROMI, José Roberto. La licitación pública. Buenos Aires: Ciudad Argent</w:t>
      </w:r>
      <w:r w:rsidRPr="00CD5120">
        <w:rPr>
          <w:rFonts w:ascii="Arial" w:hAnsi="Arial" w:cs="Arial"/>
          <w:color w:val="000000" w:themeColor="text1"/>
          <w:sz w:val="19"/>
          <w:szCs w:val="19"/>
        </w:rPr>
        <w:t>ina, 1980. pp. 288-289.</w:t>
      </w:r>
    </w:p>
  </w:footnote>
  <w:footnote w:id="6">
    <w:p w14:paraId="6E51B81F" w14:textId="7B872D57" w:rsidR="009A62EC" w:rsidRDefault="009A62EC" w:rsidP="003D2AAA">
      <w:pPr>
        <w:pStyle w:val="Textonotapie"/>
        <w:ind w:firstLine="708"/>
        <w:jc w:val="both"/>
        <w:rPr>
          <w:rFonts w:ascii="Arial" w:hAnsi="Arial" w:cs="Arial"/>
          <w:sz w:val="19"/>
          <w:szCs w:val="19"/>
        </w:rPr>
      </w:pPr>
      <w:r w:rsidRPr="003D2AAA">
        <w:rPr>
          <w:rStyle w:val="Refdenotaalpie"/>
          <w:rFonts w:ascii="Arial" w:hAnsi="Arial" w:cs="Arial"/>
          <w:sz w:val="19"/>
          <w:szCs w:val="19"/>
        </w:rPr>
        <w:footnoteRef/>
      </w:r>
      <w:r w:rsidRPr="003D2AAA">
        <w:rPr>
          <w:rFonts w:ascii="Arial" w:hAnsi="Arial" w:cs="Arial"/>
          <w:sz w:val="19"/>
          <w:szCs w:val="19"/>
        </w:rPr>
        <w:t xml:space="preserve"> </w:t>
      </w:r>
      <w:r>
        <w:rPr>
          <w:rFonts w:ascii="Arial" w:hAnsi="Arial" w:cs="Arial"/>
          <w:sz w:val="19"/>
          <w:szCs w:val="19"/>
        </w:rPr>
        <w:t>Al respecto, el inciso segundo del artículo 41 de la Ley 80 de 1993 dispone que «P</w:t>
      </w:r>
      <w:r w:rsidRPr="00246DE3">
        <w:rPr>
          <w:rFonts w:ascii="Arial" w:hAnsi="Arial" w:cs="Arial"/>
          <w:sz w:val="19"/>
          <w:szCs w:val="19"/>
        </w:rPr>
        <w:t>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r>
        <w:rPr>
          <w:rFonts w:ascii="Arial" w:hAnsi="Arial" w:cs="Arial"/>
          <w:sz w:val="19"/>
          <w:szCs w:val="19"/>
        </w:rPr>
        <w:t>»</w:t>
      </w:r>
      <w:r w:rsidRPr="00246DE3">
        <w:rPr>
          <w:rFonts w:ascii="Arial" w:hAnsi="Arial" w:cs="Arial"/>
          <w:sz w:val="19"/>
          <w:szCs w:val="19"/>
        </w:rPr>
        <w:t>.</w:t>
      </w:r>
    </w:p>
    <w:p w14:paraId="0BE351BA" w14:textId="77777777" w:rsidR="00284E09" w:rsidRPr="003D2AAA" w:rsidRDefault="00284E09" w:rsidP="003D2AAA">
      <w:pPr>
        <w:pStyle w:val="Textonotapie"/>
        <w:ind w:firstLine="708"/>
        <w:jc w:val="both"/>
        <w:rPr>
          <w:rFonts w:ascii="Arial" w:hAnsi="Arial" w:cs="Arial"/>
          <w:sz w:val="19"/>
          <w:szCs w:val="19"/>
        </w:rPr>
      </w:pPr>
    </w:p>
  </w:footnote>
  <w:footnote w:id="7">
    <w:p w14:paraId="0A9E29C8" w14:textId="33103A63" w:rsidR="009A62EC" w:rsidRDefault="009A62EC" w:rsidP="00E338D4">
      <w:pPr>
        <w:pStyle w:val="Textonotapie"/>
        <w:ind w:firstLine="708"/>
        <w:jc w:val="both"/>
        <w:rPr>
          <w:rFonts w:ascii="Arial" w:hAnsi="Arial" w:cs="Arial"/>
          <w:sz w:val="19"/>
          <w:szCs w:val="19"/>
        </w:rPr>
      </w:pPr>
      <w:r w:rsidRPr="003D2AAA">
        <w:rPr>
          <w:rStyle w:val="Refdenotaalpie"/>
          <w:rFonts w:ascii="Arial" w:hAnsi="Arial" w:cs="Arial"/>
          <w:sz w:val="19"/>
          <w:szCs w:val="19"/>
        </w:rPr>
        <w:footnoteRef/>
      </w:r>
      <w:r w:rsidRPr="003D2AAA">
        <w:rPr>
          <w:rFonts w:ascii="Arial" w:hAnsi="Arial" w:cs="Arial"/>
          <w:sz w:val="19"/>
          <w:szCs w:val="19"/>
        </w:rPr>
        <w:t xml:space="preserve"> Al respecto</w:t>
      </w:r>
      <w:r>
        <w:rPr>
          <w:rFonts w:ascii="Arial" w:hAnsi="Arial" w:cs="Arial"/>
          <w:sz w:val="19"/>
          <w:szCs w:val="19"/>
        </w:rPr>
        <w:t>, el numeral 7.3 del «Pliego Tipo – Versión 2» para la licitación pública para los contratos de obra de infraestructura de transporte dispone que la garantía de seriedad de la oferta tiene una vigencia de «</w:t>
      </w:r>
      <w:r w:rsidRPr="00937D3A">
        <w:rPr>
          <w:rFonts w:ascii="Arial" w:hAnsi="Arial" w:cs="Arial"/>
          <w:sz w:val="19"/>
          <w:szCs w:val="19"/>
        </w:rPr>
        <w:t>3 meses contados a partir de la fecha de cierre del Proceso de Contratación</w:t>
      </w:r>
      <w:r>
        <w:rPr>
          <w:rFonts w:ascii="Arial" w:hAnsi="Arial" w:cs="Arial"/>
          <w:sz w:val="19"/>
          <w:szCs w:val="19"/>
        </w:rPr>
        <w:t>», lo que se reitera en el numeral 7.1 del documento base para la selección abreviada de menor cuantía y, con carácter potestativo, en el numeral 7.1 de la invitación para la mínima cuantía.</w:t>
      </w:r>
    </w:p>
    <w:p w14:paraId="109CBC1D" w14:textId="77777777" w:rsidR="009A62EC" w:rsidRPr="003D2AAA" w:rsidRDefault="009A62EC" w:rsidP="003D2AAA">
      <w:pPr>
        <w:pStyle w:val="Textonotapie"/>
        <w:ind w:firstLine="708"/>
        <w:jc w:val="both"/>
        <w:rPr>
          <w:rFonts w:ascii="Arial" w:hAnsi="Arial" w:cs="Arial"/>
          <w:sz w:val="19"/>
          <w:szCs w:val="19"/>
          <w:lang w:val="es-ES"/>
        </w:rPr>
      </w:pPr>
    </w:p>
  </w:footnote>
  <w:footnote w:id="8">
    <w:p w14:paraId="42C5DDA0" w14:textId="2E30F73D" w:rsidR="009A62EC" w:rsidRDefault="009A62EC" w:rsidP="00F876CA">
      <w:pPr>
        <w:pStyle w:val="Textonotapie"/>
        <w:ind w:firstLine="708"/>
        <w:jc w:val="both"/>
        <w:rPr>
          <w:rFonts w:ascii="Arial" w:hAnsi="Arial" w:cs="Arial"/>
          <w:sz w:val="19"/>
          <w:szCs w:val="19"/>
        </w:rPr>
      </w:pPr>
      <w:r w:rsidRPr="003D2AAA">
        <w:rPr>
          <w:rStyle w:val="Refdenotaalpie"/>
          <w:rFonts w:ascii="Arial" w:hAnsi="Arial" w:cs="Arial"/>
          <w:sz w:val="19"/>
          <w:szCs w:val="19"/>
        </w:rPr>
        <w:footnoteRef/>
      </w:r>
      <w:r w:rsidRPr="003D2AAA">
        <w:rPr>
          <w:rFonts w:ascii="Arial" w:hAnsi="Arial" w:cs="Arial"/>
          <w:sz w:val="19"/>
          <w:szCs w:val="19"/>
        </w:rPr>
        <w:t xml:space="preserve"> </w:t>
      </w:r>
      <w:r>
        <w:rPr>
          <w:rFonts w:ascii="Arial" w:hAnsi="Arial" w:cs="Arial"/>
          <w:sz w:val="19"/>
          <w:szCs w:val="19"/>
        </w:rPr>
        <w:t xml:space="preserve">Al respecto, el artículo </w:t>
      </w:r>
      <w:r w:rsidRPr="00B26EB2">
        <w:rPr>
          <w:rFonts w:ascii="Arial" w:hAnsi="Arial" w:cs="Arial"/>
          <w:sz w:val="19"/>
          <w:szCs w:val="19"/>
        </w:rPr>
        <w:t>2.2.1.2.3.2.8</w:t>
      </w:r>
      <w:r>
        <w:rPr>
          <w:rFonts w:ascii="Arial" w:hAnsi="Arial" w:cs="Arial"/>
          <w:sz w:val="19"/>
          <w:szCs w:val="19"/>
        </w:rPr>
        <w:t xml:space="preserve"> del Decreto 1082 de 2015 dispone lo siguiente: «</w:t>
      </w:r>
      <w:r w:rsidRPr="00B26EB2">
        <w:rPr>
          <w:rFonts w:ascii="Arial" w:hAnsi="Arial" w:cs="Arial"/>
          <w:sz w:val="19"/>
          <w:szCs w:val="19"/>
        </w:rPr>
        <w:t>En caso de siniestro en la garantía de la seriedad de la oferta, la compañía de seguros debe responder por el total del valor asegurado a título de sanción</w:t>
      </w:r>
      <w:r>
        <w:rPr>
          <w:rFonts w:ascii="Arial" w:hAnsi="Arial" w:cs="Arial"/>
          <w:sz w:val="19"/>
          <w:szCs w:val="19"/>
        </w:rPr>
        <w:t>»</w:t>
      </w:r>
      <w:r w:rsidRPr="00B26EB2">
        <w:rPr>
          <w:rFonts w:ascii="Arial" w:hAnsi="Arial" w:cs="Arial"/>
          <w:sz w:val="19"/>
          <w:szCs w:val="19"/>
        </w:rPr>
        <w:t>.</w:t>
      </w:r>
    </w:p>
    <w:p w14:paraId="2789A991" w14:textId="77777777" w:rsidR="00F876CA" w:rsidRPr="003D2AAA" w:rsidRDefault="00F876CA" w:rsidP="00F876CA">
      <w:pPr>
        <w:pStyle w:val="Textonotapie"/>
        <w:ind w:firstLine="708"/>
        <w:jc w:val="both"/>
        <w:rPr>
          <w:rFonts w:ascii="Arial" w:hAnsi="Arial" w:cs="Arial"/>
          <w:sz w:val="19"/>
          <w:szCs w:val="19"/>
        </w:rPr>
      </w:pPr>
    </w:p>
  </w:footnote>
  <w:footnote w:id="9">
    <w:p w14:paraId="4C62CE0B" w14:textId="77777777" w:rsidR="009A62EC" w:rsidRPr="00C47A39" w:rsidRDefault="009A62EC" w:rsidP="0086751D">
      <w:pPr>
        <w:pStyle w:val="Textonotapie"/>
        <w:ind w:firstLine="708"/>
        <w:jc w:val="both"/>
        <w:rPr>
          <w:rFonts w:ascii="Arial" w:eastAsia="Calibri" w:hAnsi="Arial" w:cs="Arial"/>
          <w:sz w:val="19"/>
          <w:szCs w:val="19"/>
          <w:lang w:val="es-ES_tradnl"/>
        </w:rPr>
      </w:pPr>
      <w:r>
        <w:rPr>
          <w:rStyle w:val="Refdenotaalpie"/>
        </w:rPr>
        <w:footnoteRef/>
      </w:r>
      <w:r>
        <w:t xml:space="preserve"> </w:t>
      </w:r>
      <w:r w:rsidRPr="00C47A39">
        <w:rPr>
          <w:rFonts w:ascii="Arial" w:eastAsia="Calibri" w:hAnsi="Arial" w:cs="Arial"/>
          <w:sz w:val="19"/>
          <w:szCs w:val="19"/>
          <w:lang w:val="es-ES_tradnl"/>
        </w:rPr>
        <w:t>Para estos efectos, el artículo 1081 del Código de Comercio dispone que «La prescripción de las acciones que se derivan del contrato de seguro o de las disposiciones que lo rigen podrá ser ordinaria o extraordinaria.</w:t>
      </w:r>
    </w:p>
    <w:p w14:paraId="05875C95" w14:textId="77777777" w:rsidR="009A62EC" w:rsidRPr="00C47A39" w:rsidRDefault="009A62EC" w:rsidP="0086751D">
      <w:pPr>
        <w:pStyle w:val="Textonotapie"/>
        <w:ind w:firstLine="708"/>
        <w:jc w:val="both"/>
        <w:rPr>
          <w:rFonts w:ascii="Arial" w:eastAsia="Calibri" w:hAnsi="Arial" w:cs="Arial"/>
          <w:sz w:val="19"/>
          <w:szCs w:val="19"/>
          <w:lang w:val="es-ES_tradnl"/>
        </w:rPr>
      </w:pPr>
      <w:r w:rsidRPr="00C47A39">
        <w:rPr>
          <w:rFonts w:ascii="Arial" w:eastAsia="Calibri" w:hAnsi="Arial" w:cs="Arial"/>
          <w:sz w:val="19"/>
          <w:szCs w:val="19"/>
          <w:lang w:val="es-ES_tradnl"/>
        </w:rPr>
        <w:t>»La prescripción ordinaria será de dos años y empezará a correr desde el momento en que el interesado haya tenido o debido tener conocimiento del hecho que da base a la acción.</w:t>
      </w:r>
    </w:p>
    <w:p w14:paraId="34F778C7" w14:textId="77777777" w:rsidR="009A62EC" w:rsidRPr="00C47A39" w:rsidRDefault="009A62EC" w:rsidP="0086751D">
      <w:pPr>
        <w:pStyle w:val="Textonotapie"/>
        <w:ind w:firstLine="708"/>
        <w:jc w:val="both"/>
        <w:rPr>
          <w:rFonts w:ascii="Arial" w:eastAsia="Calibri" w:hAnsi="Arial" w:cs="Arial"/>
          <w:sz w:val="19"/>
          <w:szCs w:val="19"/>
          <w:lang w:val="es-ES_tradnl"/>
        </w:rPr>
      </w:pPr>
      <w:r w:rsidRPr="00C47A39">
        <w:rPr>
          <w:rFonts w:ascii="Arial" w:eastAsia="Calibri" w:hAnsi="Arial" w:cs="Arial"/>
          <w:sz w:val="19"/>
          <w:szCs w:val="19"/>
          <w:lang w:val="es-ES_tradnl"/>
        </w:rPr>
        <w:t>»La prescripción extraordinaria será de cinco años, correrá contra toda clase de personas y empezará a contarse desde el momento en que nace el respectivo derecho.</w:t>
      </w:r>
    </w:p>
    <w:p w14:paraId="1D174B08" w14:textId="3801EFE3" w:rsidR="009A62EC" w:rsidRDefault="009A62EC" w:rsidP="00030DA7">
      <w:pPr>
        <w:pStyle w:val="Textonotapie"/>
        <w:ind w:firstLine="708"/>
        <w:jc w:val="both"/>
        <w:rPr>
          <w:rFonts w:ascii="Arial" w:eastAsia="Calibri" w:hAnsi="Arial" w:cs="Arial"/>
          <w:sz w:val="19"/>
          <w:szCs w:val="19"/>
          <w:lang w:val="es-ES_tradnl"/>
        </w:rPr>
      </w:pPr>
      <w:r w:rsidRPr="00C47A39">
        <w:rPr>
          <w:rFonts w:ascii="Arial" w:eastAsia="Calibri" w:hAnsi="Arial" w:cs="Arial"/>
          <w:sz w:val="19"/>
          <w:szCs w:val="19"/>
          <w:lang w:val="es-ES_tradnl"/>
        </w:rPr>
        <w:t>»Estos términos no pueden ser modificados por las partes».</w:t>
      </w:r>
    </w:p>
    <w:p w14:paraId="3D5C99ED" w14:textId="77777777" w:rsidR="009A62EC" w:rsidRPr="00C47A39" w:rsidRDefault="009A62EC">
      <w:pPr>
        <w:pStyle w:val="Textonotapie"/>
        <w:ind w:firstLine="708"/>
        <w:jc w:val="both"/>
        <w:rPr>
          <w:rFonts w:ascii="Arial" w:eastAsia="Calibri" w:hAnsi="Arial" w:cs="Arial"/>
          <w:sz w:val="19"/>
          <w:szCs w:val="19"/>
          <w:lang w:val="es-ES_tradnl"/>
        </w:rPr>
      </w:pPr>
    </w:p>
  </w:footnote>
  <w:footnote w:id="10">
    <w:p w14:paraId="001719B5" w14:textId="7B293041" w:rsidR="009A62EC" w:rsidRPr="005E22FE" w:rsidRDefault="009A62EC">
      <w:pPr>
        <w:pStyle w:val="Textonotapie"/>
        <w:ind w:firstLine="708"/>
        <w:jc w:val="both"/>
        <w:rPr>
          <w:rFonts w:ascii="Arial" w:eastAsia="Calibri" w:hAnsi="Arial" w:cs="Arial"/>
          <w:sz w:val="19"/>
          <w:szCs w:val="19"/>
          <w:lang w:val="es-ES_tradnl"/>
        </w:rPr>
      </w:pPr>
      <w:r>
        <w:rPr>
          <w:rStyle w:val="Refdenotaalpie"/>
        </w:rPr>
        <w:footnoteRef/>
      </w:r>
      <w:r>
        <w:t xml:space="preserve"> </w:t>
      </w:r>
      <w:r>
        <w:rPr>
          <w:rFonts w:ascii="Arial" w:eastAsia="Calibri" w:hAnsi="Arial" w:cs="Arial"/>
          <w:sz w:val="19"/>
          <w:szCs w:val="19"/>
          <w:lang w:val="es-ES_tradnl"/>
        </w:rPr>
        <w:t>No en vano, «</w:t>
      </w:r>
      <w:r w:rsidRPr="00505E9A">
        <w:rPr>
          <w:rFonts w:ascii="Arial" w:eastAsia="Calibri" w:hAnsi="Arial" w:cs="Arial"/>
          <w:sz w:val="19"/>
          <w:szCs w:val="19"/>
          <w:lang w:val="es-ES_tradnl"/>
        </w:rPr>
        <w:t>Cuando la administración declara la existencia del siniestro u ocurrencia del riesgo asegurado, concluye que se dio u ocurrieron antecedentes precavidos en el contrato de seguro del que es beneficiario; no significa que el acto jurídico que declara la existencia del siniestro hace que en la vida jurídica el siniestro se dé en ese momento; lo que ocurre es, que previo a proferir ese acto jurídico, el riesgo asegurado ha acaecido; la ocurrencia del siniestro es en lógica, anterior al acto que reconoce su ocurrencia</w:t>
      </w:r>
      <w:r>
        <w:rPr>
          <w:rFonts w:ascii="Arial" w:eastAsia="Calibri" w:hAnsi="Arial" w:cs="Arial"/>
          <w:sz w:val="19"/>
          <w:szCs w:val="19"/>
          <w:lang w:val="es-ES_tradnl"/>
        </w:rPr>
        <w:t>» (C</w:t>
      </w:r>
      <w:r w:rsidRPr="00ED44AB">
        <w:rPr>
          <w:rFonts w:ascii="Arial" w:eastAsia="Calibri" w:hAnsi="Arial" w:cs="Arial"/>
          <w:sz w:val="19"/>
          <w:szCs w:val="19"/>
          <w:lang w:val="es-ES_tradnl"/>
        </w:rPr>
        <w:t>ONSEJO DE ESTADO. Sección Tercera.</w:t>
      </w:r>
      <w:r>
        <w:rPr>
          <w:rFonts w:ascii="Arial" w:eastAsia="Calibri" w:hAnsi="Arial" w:cs="Arial"/>
          <w:sz w:val="19"/>
          <w:szCs w:val="19"/>
          <w:lang w:val="es-ES_tradnl"/>
        </w:rPr>
        <w:t xml:space="preserve"> </w:t>
      </w:r>
      <w:r w:rsidRPr="00F5737F">
        <w:rPr>
          <w:rFonts w:ascii="Arial" w:eastAsia="Calibri" w:hAnsi="Arial" w:cs="Arial"/>
          <w:sz w:val="19"/>
          <w:szCs w:val="19"/>
          <w:lang w:val="es-ES_tradnl"/>
        </w:rPr>
        <w:t xml:space="preserve">Subsección </w:t>
      </w:r>
      <w:r>
        <w:rPr>
          <w:rFonts w:ascii="Arial" w:eastAsia="Calibri" w:hAnsi="Arial" w:cs="Arial"/>
          <w:sz w:val="19"/>
          <w:szCs w:val="19"/>
          <w:lang w:val="es-ES_tradnl"/>
        </w:rPr>
        <w:t>A</w:t>
      </w:r>
      <w:r w:rsidRPr="00F5737F">
        <w:rPr>
          <w:rFonts w:ascii="Arial" w:eastAsia="Calibri" w:hAnsi="Arial" w:cs="Arial"/>
          <w:sz w:val="19"/>
          <w:szCs w:val="19"/>
          <w:lang w:val="es-ES_tradnl"/>
        </w:rPr>
        <w:t xml:space="preserve">. Sentencia del </w:t>
      </w:r>
      <w:r>
        <w:rPr>
          <w:rFonts w:ascii="Arial" w:eastAsia="Calibri" w:hAnsi="Arial" w:cs="Arial"/>
          <w:sz w:val="19"/>
          <w:szCs w:val="19"/>
          <w:lang w:val="es-ES_tradnl"/>
        </w:rPr>
        <w:t>22 de mayo de 2013</w:t>
      </w:r>
      <w:r w:rsidRPr="00F5737F">
        <w:rPr>
          <w:rFonts w:ascii="Arial" w:eastAsia="Calibri" w:hAnsi="Arial" w:cs="Arial"/>
          <w:sz w:val="19"/>
          <w:szCs w:val="19"/>
          <w:lang w:val="es-ES_tradnl"/>
        </w:rPr>
        <w:t xml:space="preserve">. </w:t>
      </w:r>
      <w:r>
        <w:rPr>
          <w:rFonts w:ascii="Arial" w:eastAsia="Calibri" w:hAnsi="Arial" w:cs="Arial"/>
          <w:sz w:val="19"/>
          <w:szCs w:val="19"/>
          <w:lang w:val="es-ES_tradnl"/>
        </w:rPr>
        <w:t>Rad</w:t>
      </w:r>
      <w:r w:rsidRPr="00F5737F">
        <w:rPr>
          <w:rFonts w:ascii="Arial" w:eastAsia="Calibri" w:hAnsi="Arial" w:cs="Arial"/>
          <w:sz w:val="19"/>
          <w:szCs w:val="19"/>
          <w:lang w:val="es-ES_tradnl"/>
        </w:rPr>
        <w:t xml:space="preserve">. </w:t>
      </w:r>
      <w:r>
        <w:rPr>
          <w:rFonts w:ascii="Arial" w:eastAsia="Calibri" w:hAnsi="Arial" w:cs="Arial"/>
          <w:sz w:val="19"/>
          <w:szCs w:val="19"/>
          <w:lang w:val="es-ES_tradnl"/>
        </w:rPr>
        <w:t>24.810</w:t>
      </w:r>
      <w:r w:rsidRPr="00F5737F">
        <w:rPr>
          <w:rFonts w:ascii="Arial" w:eastAsia="Calibri" w:hAnsi="Arial" w:cs="Arial"/>
          <w:sz w:val="19"/>
          <w:szCs w:val="19"/>
          <w:lang w:val="es-ES_tradnl"/>
        </w:rPr>
        <w:t xml:space="preserve">. C.P. </w:t>
      </w:r>
      <w:r w:rsidRPr="005E22FE">
        <w:rPr>
          <w:rFonts w:ascii="Arial" w:eastAsia="Calibri" w:hAnsi="Arial" w:cs="Arial"/>
          <w:sz w:val="19"/>
          <w:szCs w:val="19"/>
          <w:lang w:val="es-ES_tradnl"/>
        </w:rPr>
        <w:t xml:space="preserve">Olga Mélida Valle </w:t>
      </w:r>
      <w:r>
        <w:rPr>
          <w:rFonts w:ascii="Arial" w:eastAsia="Calibri" w:hAnsi="Arial" w:cs="Arial"/>
          <w:sz w:val="19"/>
          <w:szCs w:val="19"/>
          <w:lang w:val="es-ES_tradnl"/>
        </w:rPr>
        <w:t>d</w:t>
      </w:r>
      <w:r w:rsidRPr="005E22FE">
        <w:rPr>
          <w:rFonts w:ascii="Arial" w:eastAsia="Calibri" w:hAnsi="Arial" w:cs="Arial"/>
          <w:sz w:val="19"/>
          <w:szCs w:val="19"/>
          <w:lang w:val="es-ES_tradnl"/>
        </w:rPr>
        <w:t>e De La Hoz</w:t>
      </w:r>
      <w:r>
        <w:rPr>
          <w:rFonts w:ascii="Arial" w:eastAsia="Calibri" w:hAnsi="Arial" w:cs="Arial"/>
          <w:sz w:val="19"/>
          <w:szCs w:val="19"/>
          <w:lang w:val="es-ES_tradnl"/>
        </w:rPr>
        <w:t>).</w:t>
      </w:r>
    </w:p>
  </w:footnote>
  <w:footnote w:id="11">
    <w:p w14:paraId="6F36B3CC" w14:textId="77777777" w:rsidR="009A62EC" w:rsidRDefault="009A62EC" w:rsidP="0083071B">
      <w:pPr>
        <w:pStyle w:val="Textonotapie"/>
        <w:ind w:firstLine="708"/>
        <w:jc w:val="both"/>
        <w:rPr>
          <w:rFonts w:ascii="Arial" w:hAnsi="Arial" w:cs="Arial"/>
          <w:sz w:val="19"/>
          <w:szCs w:val="19"/>
        </w:rPr>
      </w:pPr>
      <w:r w:rsidRPr="003D2AAA">
        <w:rPr>
          <w:rStyle w:val="Refdenotaalpie"/>
          <w:rFonts w:ascii="Arial" w:hAnsi="Arial" w:cs="Arial"/>
          <w:sz w:val="19"/>
          <w:szCs w:val="19"/>
        </w:rPr>
        <w:footnoteRef/>
      </w:r>
      <w:r w:rsidRPr="003D2AAA">
        <w:rPr>
          <w:rFonts w:ascii="Arial" w:hAnsi="Arial" w:cs="Arial"/>
          <w:sz w:val="19"/>
          <w:szCs w:val="19"/>
        </w:rPr>
        <w:t xml:space="preserve"> </w:t>
      </w:r>
      <w:r>
        <w:rPr>
          <w:rFonts w:ascii="Arial" w:hAnsi="Arial" w:cs="Arial"/>
          <w:sz w:val="19"/>
          <w:szCs w:val="19"/>
        </w:rPr>
        <w:t>El artículo 30, inciso 2 del numeral 4, de la Ley 80 de 1993 dispone que «</w:t>
      </w:r>
      <w:r w:rsidRPr="0083071B">
        <w:rPr>
          <w:rFonts w:ascii="Arial" w:hAnsi="Arial" w:cs="Arial"/>
          <w:sz w:val="19"/>
          <w:szCs w:val="19"/>
        </w:rPr>
        <w:t>Como resultado de lo debatido en la audiencia</w:t>
      </w:r>
      <w:r>
        <w:rPr>
          <w:rFonts w:ascii="Arial" w:hAnsi="Arial" w:cs="Arial"/>
          <w:sz w:val="19"/>
          <w:szCs w:val="19"/>
        </w:rPr>
        <w:t xml:space="preserve"> [de asignación de riesgos]</w:t>
      </w:r>
      <w:r w:rsidRPr="0083071B">
        <w:rPr>
          <w:rFonts w:ascii="Arial" w:hAnsi="Arial" w:cs="Arial"/>
          <w:sz w:val="19"/>
          <w:szCs w:val="19"/>
        </w:rPr>
        <w:t xml:space="preserve"> y cuando resulte conveniente, el jefe o representante de la entidad expedirá las modificaciones pertinentes a dichos documentos y prorrogará, si fuere necesario, el plazo de la licitación o concurso hasta por seis (6) días hábiles</w:t>
      </w:r>
      <w:r>
        <w:rPr>
          <w:rFonts w:ascii="Arial" w:hAnsi="Arial" w:cs="Arial"/>
          <w:sz w:val="19"/>
          <w:szCs w:val="19"/>
        </w:rPr>
        <w:t>» (Corchetes fuera de texto)</w:t>
      </w:r>
      <w:r w:rsidRPr="0083071B">
        <w:rPr>
          <w:rFonts w:ascii="Arial" w:hAnsi="Arial" w:cs="Arial"/>
          <w:sz w:val="19"/>
          <w:szCs w:val="19"/>
        </w:rPr>
        <w:t>.</w:t>
      </w:r>
      <w:r>
        <w:rPr>
          <w:rFonts w:ascii="Arial" w:hAnsi="Arial" w:cs="Arial"/>
          <w:sz w:val="19"/>
          <w:szCs w:val="19"/>
        </w:rPr>
        <w:t xml:space="preserve"> </w:t>
      </w:r>
    </w:p>
    <w:p w14:paraId="5223D1F3" w14:textId="4FB3F7C7" w:rsidR="009A62EC" w:rsidRDefault="009A62EC" w:rsidP="0083071B">
      <w:pPr>
        <w:pStyle w:val="Textonotapie"/>
        <w:ind w:firstLine="708"/>
        <w:jc w:val="both"/>
        <w:rPr>
          <w:rFonts w:ascii="Arial" w:hAnsi="Arial" w:cs="Arial"/>
          <w:sz w:val="19"/>
          <w:szCs w:val="19"/>
        </w:rPr>
      </w:pPr>
      <w:r>
        <w:rPr>
          <w:rFonts w:ascii="Arial" w:hAnsi="Arial" w:cs="Arial"/>
          <w:sz w:val="19"/>
          <w:szCs w:val="19"/>
        </w:rPr>
        <w:t>Por su parte, el inciso 2 del numeral 5, prescribe que «</w:t>
      </w:r>
      <w:r w:rsidRPr="0083071B">
        <w:rPr>
          <w:rFonts w:ascii="Arial" w:hAnsi="Arial" w:cs="Arial"/>
          <w:sz w:val="19"/>
          <w:szCs w:val="19"/>
        </w:rPr>
        <w:t>Cuando lo estime conveniente la entidad interesada, de oficio o a solicitud de un número plural de posibles oferentes, dicho plazo</w:t>
      </w:r>
      <w:r>
        <w:rPr>
          <w:rFonts w:ascii="Arial" w:hAnsi="Arial" w:cs="Arial"/>
          <w:sz w:val="19"/>
          <w:szCs w:val="19"/>
        </w:rPr>
        <w:t xml:space="preserve"> [es decir, el de presentación de las ofertas]</w:t>
      </w:r>
      <w:r w:rsidRPr="0083071B">
        <w:rPr>
          <w:rFonts w:ascii="Arial" w:hAnsi="Arial" w:cs="Arial"/>
          <w:sz w:val="19"/>
          <w:szCs w:val="19"/>
        </w:rPr>
        <w:t xml:space="preserve"> se podrá prorrogar antes de su vencimiento, por un término no superior a la mitad del inicialmente fijado. En todo caso no podrán expedirse adendas dentro de los tres (3) días anteriores en que se tiene previsto el cierre del proceso de selección, ni siquiera para extender el término del mismo. La publicación de estas adendas sólo se podrá realizar en días hábiles y horarios laborales</w:t>
      </w:r>
      <w:r>
        <w:rPr>
          <w:rFonts w:ascii="Arial" w:hAnsi="Arial" w:cs="Arial"/>
          <w:sz w:val="19"/>
          <w:szCs w:val="19"/>
        </w:rPr>
        <w:t>» (Corchetes fuera de texto)</w:t>
      </w:r>
      <w:r w:rsidRPr="0083071B">
        <w:rPr>
          <w:rFonts w:ascii="Arial" w:hAnsi="Arial" w:cs="Arial"/>
          <w:sz w:val="19"/>
          <w:szCs w:val="19"/>
        </w:rPr>
        <w:t>.</w:t>
      </w:r>
    </w:p>
    <w:p w14:paraId="779E4281" w14:textId="5FB47E9B" w:rsidR="009A62EC" w:rsidRDefault="009A62EC" w:rsidP="0083071B">
      <w:pPr>
        <w:pStyle w:val="Textonotapie"/>
        <w:ind w:firstLine="708"/>
        <w:jc w:val="both"/>
        <w:rPr>
          <w:rFonts w:ascii="Arial" w:hAnsi="Arial" w:cs="Arial"/>
          <w:sz w:val="19"/>
          <w:szCs w:val="19"/>
        </w:rPr>
      </w:pPr>
      <w:r>
        <w:rPr>
          <w:rFonts w:ascii="Arial" w:hAnsi="Arial" w:cs="Arial"/>
          <w:sz w:val="19"/>
          <w:szCs w:val="19"/>
        </w:rPr>
        <w:t>Finalmente, el inciso 2 del numeral 9, dispone lo siguiente: «</w:t>
      </w:r>
      <w:r w:rsidRPr="00FE6BD5">
        <w:rPr>
          <w:rFonts w:ascii="Arial" w:hAnsi="Arial" w:cs="Arial"/>
          <w:sz w:val="19"/>
          <w:szCs w:val="19"/>
        </w:rPr>
        <w:t>El jefe o representante de la entidad podrá prorrogar dichos plazos</w:t>
      </w:r>
      <w:r>
        <w:rPr>
          <w:rFonts w:ascii="Arial" w:hAnsi="Arial" w:cs="Arial"/>
          <w:sz w:val="19"/>
          <w:szCs w:val="19"/>
        </w:rPr>
        <w:t xml:space="preserve"> [es decir, los adjudicación y firma de contrato]</w:t>
      </w:r>
      <w:r w:rsidRPr="00FE6BD5">
        <w:rPr>
          <w:rFonts w:ascii="Arial" w:hAnsi="Arial" w:cs="Arial"/>
          <w:sz w:val="19"/>
          <w:szCs w:val="19"/>
        </w:rPr>
        <w:t xml:space="preserve"> antes de su vencimiento y por un término total no mayor a la mitad del inicialmente fijado, siempre que las necesidades de la administración así lo exijan</w:t>
      </w:r>
      <w:r>
        <w:rPr>
          <w:rFonts w:ascii="Arial" w:hAnsi="Arial" w:cs="Arial"/>
          <w:sz w:val="19"/>
          <w:szCs w:val="19"/>
        </w:rPr>
        <w:t>» (Corchetes fuera de texto)</w:t>
      </w:r>
      <w:r w:rsidRPr="00FE6BD5">
        <w:rPr>
          <w:rFonts w:ascii="Arial" w:hAnsi="Arial" w:cs="Arial"/>
          <w:sz w:val="19"/>
          <w:szCs w:val="19"/>
        </w:rPr>
        <w:t>.</w:t>
      </w:r>
    </w:p>
    <w:p w14:paraId="05C0C9B4" w14:textId="77777777" w:rsidR="009A62EC" w:rsidRPr="003D2AAA" w:rsidRDefault="009A62EC" w:rsidP="003D2AAA">
      <w:pPr>
        <w:pStyle w:val="Textonotapie"/>
        <w:ind w:firstLine="708"/>
        <w:jc w:val="both"/>
        <w:rPr>
          <w:rFonts w:ascii="Arial" w:hAnsi="Arial" w:cs="Arial"/>
          <w:sz w:val="19"/>
          <w:szCs w:val="19"/>
          <w:lang w:val="es-ES"/>
        </w:rPr>
      </w:pPr>
    </w:p>
  </w:footnote>
  <w:footnote w:id="12">
    <w:p w14:paraId="5A47B639" w14:textId="0E44A98D" w:rsidR="009A62EC" w:rsidRPr="003D2AAA" w:rsidRDefault="009A62EC" w:rsidP="003D2AAA">
      <w:pPr>
        <w:pStyle w:val="Textonotapie"/>
        <w:ind w:firstLine="708"/>
        <w:jc w:val="both"/>
        <w:rPr>
          <w:rFonts w:ascii="Arial" w:hAnsi="Arial" w:cs="Arial"/>
          <w:sz w:val="19"/>
          <w:szCs w:val="19"/>
        </w:rPr>
      </w:pPr>
      <w:r w:rsidRPr="003D2AAA">
        <w:rPr>
          <w:rStyle w:val="Refdenotaalpie"/>
          <w:rFonts w:ascii="Arial" w:hAnsi="Arial" w:cs="Arial"/>
          <w:sz w:val="19"/>
          <w:szCs w:val="19"/>
        </w:rPr>
        <w:footnoteRef/>
      </w:r>
      <w:r w:rsidRPr="003D2AAA">
        <w:rPr>
          <w:rFonts w:ascii="Arial" w:hAnsi="Arial" w:cs="Arial"/>
          <w:sz w:val="19"/>
          <w:szCs w:val="19"/>
        </w:rPr>
        <w:t xml:space="preserve"> </w:t>
      </w:r>
      <w:r w:rsidRPr="00121404">
        <w:rPr>
          <w:rFonts w:ascii="Arial" w:hAnsi="Arial" w:cs="Arial"/>
          <w:sz w:val="19"/>
          <w:szCs w:val="19"/>
        </w:rPr>
        <w:t>El entendimiento de la norma citada supone diferenciar entre dos (2) tipos de ajustes: i) los referidos a las condiciones técnicas, jurídicas y económicas del pliego definitivo y ii) los del cronograma del proceso de selección, de manera que mientras ambos ajustes son posibles antes de la presentarse de las ofertas, después solo se permite modificar los plazos de las etapas siguientes. Por tanto, aunque las condiciones técnicas, jurídicas y económicas no son modificables después de la presentación de las propuestas, nada obsta para que se amplíen los plazos de las diferentes etapas, ya que este aspecto no incide en la comparación de las ofertas.</w:t>
      </w:r>
    </w:p>
  </w:footnote>
  <w:footnote w:id="13">
    <w:p w14:paraId="6DE47F1C" w14:textId="77777777" w:rsidR="00E10D5A" w:rsidRDefault="00E10D5A">
      <w:pPr>
        <w:pStyle w:val="Textonotapie"/>
        <w:ind w:firstLine="708"/>
        <w:jc w:val="both"/>
        <w:rPr>
          <w:rFonts w:ascii="Arial" w:hAnsi="Arial" w:cs="Arial"/>
          <w:sz w:val="19"/>
          <w:szCs w:val="19"/>
        </w:rPr>
      </w:pPr>
    </w:p>
    <w:p w14:paraId="52F1D6C0" w14:textId="10BAEB60" w:rsidR="009A62EC" w:rsidRPr="003D2AAA" w:rsidRDefault="009A62EC">
      <w:pPr>
        <w:pStyle w:val="Textonotapie"/>
        <w:ind w:firstLine="708"/>
        <w:jc w:val="both"/>
        <w:rPr>
          <w:rFonts w:ascii="Arial" w:hAnsi="Arial" w:cs="Arial"/>
          <w:sz w:val="19"/>
          <w:szCs w:val="19"/>
        </w:rPr>
      </w:pPr>
      <w:r w:rsidRPr="00BA7DBC">
        <w:rPr>
          <w:rStyle w:val="Refdenotaalpie"/>
          <w:rFonts w:ascii="Arial" w:hAnsi="Arial" w:cs="Arial"/>
          <w:sz w:val="19"/>
          <w:szCs w:val="19"/>
        </w:rPr>
        <w:footnoteRef/>
      </w:r>
      <w:r w:rsidRPr="00BA7DBC">
        <w:rPr>
          <w:rFonts w:ascii="Arial" w:hAnsi="Arial" w:cs="Arial"/>
          <w:sz w:val="19"/>
          <w:szCs w:val="19"/>
        </w:rPr>
        <w:t xml:space="preserve"> </w:t>
      </w:r>
      <w:r>
        <w:rPr>
          <w:rFonts w:ascii="Arial" w:hAnsi="Arial" w:cs="Arial"/>
          <w:sz w:val="19"/>
          <w:szCs w:val="19"/>
        </w:rPr>
        <w:t xml:space="preserve">Sin perjuicio de lo anterior, es necesario precisar que </w:t>
      </w:r>
      <w:r w:rsidRPr="005B7C05">
        <w:rPr>
          <w:rFonts w:ascii="Arial" w:hAnsi="Arial" w:cs="Arial"/>
          <w:sz w:val="19"/>
          <w:szCs w:val="19"/>
        </w:rPr>
        <w:t>el reglamento</w:t>
      </w:r>
      <w:r>
        <w:rPr>
          <w:rFonts w:ascii="Arial" w:hAnsi="Arial" w:cs="Arial"/>
          <w:sz w:val="19"/>
          <w:szCs w:val="19"/>
        </w:rPr>
        <w:t xml:space="preserve"> también</w:t>
      </w:r>
      <w:r w:rsidRPr="005B7C05">
        <w:rPr>
          <w:rFonts w:ascii="Arial" w:hAnsi="Arial" w:cs="Arial"/>
          <w:sz w:val="19"/>
          <w:szCs w:val="19"/>
        </w:rPr>
        <w:t xml:space="preserve"> permite </w:t>
      </w:r>
      <w:r>
        <w:rPr>
          <w:rFonts w:ascii="Arial" w:hAnsi="Arial" w:cs="Arial"/>
          <w:sz w:val="19"/>
          <w:szCs w:val="19"/>
        </w:rPr>
        <w:t>la suspensión de</w:t>
      </w:r>
      <w:r w:rsidRPr="005B7C05">
        <w:rPr>
          <w:rFonts w:ascii="Arial" w:hAnsi="Arial" w:cs="Arial"/>
          <w:sz w:val="19"/>
          <w:szCs w:val="19"/>
        </w:rPr>
        <w:t xml:space="preserve"> algunas audiencias</w:t>
      </w:r>
      <w:r>
        <w:rPr>
          <w:rFonts w:ascii="Arial" w:hAnsi="Arial" w:cs="Arial"/>
          <w:sz w:val="19"/>
          <w:szCs w:val="19"/>
        </w:rPr>
        <w:t xml:space="preserve">. Por ejemplo, para la licitación pública, el artículo </w:t>
      </w:r>
      <w:r w:rsidRPr="001445D0">
        <w:rPr>
          <w:rFonts w:ascii="Arial" w:hAnsi="Arial" w:cs="Arial"/>
          <w:sz w:val="19"/>
          <w:szCs w:val="19"/>
        </w:rPr>
        <w:t>2.2.1.2.1.1.2</w:t>
      </w:r>
      <w:r>
        <w:rPr>
          <w:rFonts w:ascii="Arial" w:hAnsi="Arial" w:cs="Arial"/>
          <w:sz w:val="19"/>
          <w:szCs w:val="19"/>
        </w:rPr>
        <w:t xml:space="preserve"> del Decreto 1082 de 2015, numeral 1, dispone que «</w:t>
      </w:r>
      <w:r w:rsidRPr="001445D0">
        <w:rPr>
          <w:rFonts w:ascii="Arial" w:hAnsi="Arial" w:cs="Arial"/>
          <w:sz w:val="19"/>
          <w:szCs w:val="19"/>
        </w:rPr>
        <w:t>En la audiencia</w:t>
      </w:r>
      <w:r>
        <w:rPr>
          <w:rFonts w:ascii="Arial" w:hAnsi="Arial" w:cs="Arial"/>
          <w:sz w:val="19"/>
          <w:szCs w:val="19"/>
        </w:rPr>
        <w:t xml:space="preserve"> [de adjudicación]</w:t>
      </w:r>
      <w:r w:rsidRPr="001445D0">
        <w:rPr>
          <w:rFonts w:ascii="Arial" w:hAnsi="Arial" w:cs="Arial"/>
          <w:sz w:val="19"/>
          <w:szCs w:val="19"/>
        </w:rPr>
        <w:t xml:space="preserve"> los oferentes pueden pronunciarse sobre las respuestas dadas por la Entidad Estatal a las observaciones presentadas respecto del informe de evaluación, lo cual no implica una nueva oportunidad para mejorar o modificar la oferta.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r>
        <w:rPr>
          <w:rFonts w:ascii="Arial" w:hAnsi="Arial" w:cs="Arial"/>
          <w:sz w:val="19"/>
          <w:szCs w:val="19"/>
        </w:rPr>
        <w:t>» (Corchetes fuera de texto)</w:t>
      </w:r>
      <w:r w:rsidRPr="001445D0">
        <w:rPr>
          <w:rFonts w:ascii="Arial" w:hAnsi="Arial" w:cs="Arial"/>
          <w:sz w:val="19"/>
          <w:szCs w:val="19"/>
        </w:rPr>
        <w:t>.</w:t>
      </w:r>
      <w:r>
        <w:rPr>
          <w:rFonts w:ascii="Arial" w:hAnsi="Arial" w:cs="Arial"/>
          <w:sz w:val="19"/>
          <w:szCs w:val="19"/>
        </w:rPr>
        <w:t xml:space="preserve"> Igualmente, para la selección abreviada por subasta inversa, el artículo </w:t>
      </w:r>
      <w:r w:rsidRPr="001445D0">
        <w:rPr>
          <w:rFonts w:ascii="Arial" w:hAnsi="Arial" w:cs="Arial"/>
          <w:sz w:val="19"/>
          <w:szCs w:val="19"/>
        </w:rPr>
        <w:t>2.2.1.2.1.2.6</w:t>
      </w:r>
      <w:r>
        <w:rPr>
          <w:rFonts w:ascii="Arial" w:hAnsi="Arial" w:cs="Arial"/>
          <w:sz w:val="19"/>
          <w:szCs w:val="19"/>
        </w:rPr>
        <w:t xml:space="preserve">, inciso 1, </w:t>
      </w:r>
      <w:r w:rsidRPr="00BA7DBC">
        <w:rPr>
          <w:rFonts w:ascii="Arial" w:hAnsi="Arial" w:cs="Arial"/>
          <w:i/>
          <w:iCs/>
          <w:sz w:val="19"/>
          <w:szCs w:val="19"/>
        </w:rPr>
        <w:t>ibidem</w:t>
      </w:r>
      <w:r>
        <w:rPr>
          <w:rFonts w:ascii="Arial" w:hAnsi="Arial" w:cs="Arial"/>
          <w:sz w:val="19"/>
          <w:szCs w:val="19"/>
        </w:rPr>
        <w:t xml:space="preserve"> prescribe lo siguiente: «</w:t>
      </w:r>
      <w:r w:rsidRPr="00BD0A9B">
        <w:rPr>
          <w:rFonts w:ascii="Arial" w:hAnsi="Arial" w:cs="Arial"/>
          <w:sz w:val="19"/>
          <w:szCs w:val="19"/>
        </w:rPr>
        <w:t>Si en el curso de una subasta inversa electrónica se presentan fallas técnicas que impidan a los oferentes presentar sus Lances, la subasta debe ser suspendida y cuando la falla técnica haya sido superada la Entidad Estatal debe reiniciar la subasta</w:t>
      </w:r>
      <w:r>
        <w:rPr>
          <w:rFonts w:ascii="Arial" w:hAnsi="Arial" w:cs="Arial"/>
          <w:sz w:val="19"/>
          <w:szCs w:val="19"/>
        </w:rPr>
        <w:t>»</w:t>
      </w:r>
      <w:r w:rsidRPr="00BD0A9B">
        <w:rPr>
          <w:rFonts w:ascii="Arial" w:hAnsi="Arial" w:cs="Arial"/>
          <w:sz w:val="19"/>
          <w:szCs w:val="19"/>
        </w:rPr>
        <w:t>.</w:t>
      </w:r>
    </w:p>
  </w:footnote>
  <w:footnote w:id="14">
    <w:p w14:paraId="04747CDF" w14:textId="76BA67C0" w:rsidR="009A62EC" w:rsidRPr="003D2AAA" w:rsidRDefault="009A62EC" w:rsidP="003D2AAA">
      <w:pPr>
        <w:pStyle w:val="Textonotapie"/>
        <w:ind w:firstLine="708"/>
        <w:jc w:val="both"/>
        <w:rPr>
          <w:rFonts w:ascii="Arial" w:hAnsi="Arial" w:cs="Arial"/>
          <w:sz w:val="19"/>
          <w:szCs w:val="19"/>
        </w:rPr>
      </w:pPr>
      <w:r w:rsidRPr="003D2AAA">
        <w:rPr>
          <w:rStyle w:val="Refdenotaalpie"/>
          <w:rFonts w:ascii="Arial" w:hAnsi="Arial" w:cs="Arial"/>
          <w:sz w:val="19"/>
          <w:szCs w:val="19"/>
        </w:rPr>
        <w:footnoteRef/>
      </w:r>
      <w:r w:rsidRPr="003D2AAA">
        <w:rPr>
          <w:rFonts w:ascii="Arial" w:hAnsi="Arial" w:cs="Arial"/>
          <w:sz w:val="19"/>
          <w:szCs w:val="19"/>
        </w:rPr>
        <w:t xml:space="preserve"> </w:t>
      </w:r>
      <w:r>
        <w:rPr>
          <w:rFonts w:ascii="Arial" w:hAnsi="Arial" w:cs="Arial"/>
          <w:sz w:val="19"/>
          <w:szCs w:val="19"/>
        </w:rPr>
        <w:t>Al respecto, la jurisprudencia explica que: «</w:t>
      </w:r>
      <w:r w:rsidRPr="000F02F1">
        <w:rPr>
          <w:rFonts w:ascii="Arial" w:hAnsi="Arial" w:cs="Arial"/>
          <w:sz w:val="19"/>
          <w:szCs w:val="19"/>
        </w:rPr>
        <w:t>[…] la descalificación de ofertas no puede depender de la libre discrecionalidad de la Administración, en la medida en que el oferente adquiere el derecho de participar en el procedimiento de selección y se genera para él una situación jurídica particular, en consecuencia, para rechazar o descalificar una propuesta la entidad pública debe sujetarse a determinadas reglas consistentes en que las causales que dan lugar a ello se encuentren previamente establecidas en la ley o deriven del incumplimiento de requisitos de la propuesta o de la omisión de documentos referentes a la futura contratación que sean necesarios para la comparación de las propuestas […], puesto que la causa excluyente debe ser razonable, esencial y proporcionada, toda vez que no tendría justificación excluir una propuesta por una deficiencia que no tenga incidencia alguna en la contratación</w:t>
      </w:r>
      <w:r>
        <w:rPr>
          <w:rFonts w:ascii="Arial" w:hAnsi="Arial" w:cs="Arial"/>
          <w:sz w:val="19"/>
          <w:szCs w:val="19"/>
        </w:rPr>
        <w:t>» (</w:t>
      </w:r>
      <w:r w:rsidRPr="000F02F1">
        <w:rPr>
          <w:rFonts w:ascii="Arial" w:hAnsi="Arial" w:cs="Arial"/>
          <w:sz w:val="19"/>
          <w:szCs w:val="19"/>
        </w:rPr>
        <w:t>CONSEJO DE ESTADO. Sección Tercera. Sentencia del 4 de junio de 2008. Exp. 17.783. C.P. Myriam Guerrero de Escobar</w:t>
      </w:r>
      <w:r>
        <w:rPr>
          <w:rFonts w:ascii="Arial" w:hAnsi="Arial" w:cs="Arial"/>
          <w:sz w:val="19"/>
          <w:szCs w:val="19"/>
        </w:rPr>
        <w:t>)</w:t>
      </w:r>
      <w:r w:rsidRPr="000F02F1">
        <w:rPr>
          <w:rFonts w:ascii="Arial" w:hAnsi="Arial" w:cs="Arial"/>
          <w:sz w:val="19"/>
          <w:szCs w:val="19"/>
        </w:rPr>
        <w:t>.</w:t>
      </w:r>
    </w:p>
  </w:footnote>
  <w:footnote w:id="15">
    <w:p w14:paraId="138365FA" w14:textId="5E4F7FD6" w:rsidR="009A62EC" w:rsidRPr="00131337" w:rsidRDefault="009A62EC" w:rsidP="003E3638">
      <w:pPr>
        <w:pStyle w:val="Textonotapie"/>
        <w:ind w:firstLine="708"/>
        <w:jc w:val="both"/>
        <w:rPr>
          <w:rFonts w:ascii="Arial" w:eastAsia="Calibri" w:hAnsi="Arial" w:cs="Arial"/>
          <w:color w:val="000000" w:themeColor="text1"/>
          <w:sz w:val="19"/>
          <w:szCs w:val="19"/>
        </w:rPr>
      </w:pPr>
      <w:r w:rsidRPr="00CD5120">
        <w:rPr>
          <w:rStyle w:val="Refdenotaalpie"/>
          <w:rFonts w:ascii="Arial" w:hAnsi="Arial" w:cs="Arial"/>
          <w:color w:val="000000" w:themeColor="text1"/>
          <w:sz w:val="19"/>
          <w:szCs w:val="19"/>
        </w:rPr>
        <w:footnoteRef/>
      </w:r>
      <w:r w:rsidRPr="00CD5120">
        <w:rPr>
          <w:rFonts w:ascii="Arial" w:hAnsi="Arial" w:cs="Arial"/>
          <w:color w:val="000000" w:themeColor="text1"/>
          <w:sz w:val="19"/>
          <w:szCs w:val="19"/>
        </w:rPr>
        <w:t xml:space="preserve"> </w:t>
      </w:r>
      <w:r w:rsidRPr="00171853">
        <w:rPr>
          <w:rFonts w:ascii="Arial" w:eastAsia="Calibri" w:hAnsi="Arial"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w:t>
      </w:r>
      <w:r w:rsidRPr="00131337">
        <w:rPr>
          <w:rFonts w:ascii="Arial" w:eastAsia="Calibri" w:hAnsi="Arial" w:cs="Arial"/>
          <w:color w:val="000000" w:themeColor="text1"/>
          <w:sz w:val="19"/>
          <w:szCs w:val="19"/>
        </w:rPr>
        <w:t xml:space="preserve">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32EBE364" w14:textId="77777777" w:rsidR="009A62EC" w:rsidRPr="00131337" w:rsidRDefault="009A62EC" w:rsidP="003E3638">
      <w:pPr>
        <w:pStyle w:val="Textonotapie"/>
        <w:ind w:firstLine="708"/>
        <w:jc w:val="both"/>
        <w:rPr>
          <w:rFonts w:ascii="Arial" w:eastAsia="Calibri" w:hAnsi="Arial" w:cs="Arial"/>
          <w:color w:val="000000" w:themeColor="text1"/>
          <w:sz w:val="19"/>
          <w:szCs w:val="19"/>
        </w:rPr>
      </w:pPr>
      <w:r w:rsidRPr="00131337">
        <w:rPr>
          <w:rFonts w:ascii="Arial" w:eastAsia="Calibri" w:hAnsi="Arial" w:cs="Arial"/>
          <w:color w:val="000000" w:themeColor="text1"/>
          <w:sz w:val="19"/>
          <w:szCs w:val="19"/>
        </w:rPr>
        <w:t>[…]</w:t>
      </w:r>
    </w:p>
    <w:p w14:paraId="1E7F3651" w14:textId="7E5E7F9E" w:rsidR="009A62EC" w:rsidRPr="00131337" w:rsidRDefault="009A62EC" w:rsidP="003E3638">
      <w:pPr>
        <w:pStyle w:val="Textonotapie"/>
        <w:ind w:firstLine="708"/>
        <w:jc w:val="both"/>
        <w:rPr>
          <w:rFonts w:ascii="Arial" w:hAnsi="Arial" w:cs="Arial"/>
          <w:color w:val="000000" w:themeColor="text1"/>
          <w:sz w:val="19"/>
          <w:szCs w:val="19"/>
          <w:lang w:val="es-CO"/>
        </w:rPr>
      </w:pPr>
      <w:r w:rsidRPr="00131337">
        <w:rPr>
          <w:rFonts w:ascii="Arial" w:eastAsia="Calibri" w:hAnsi="Arial" w:cs="Arial"/>
          <w:color w:val="000000" w:themeColor="text1"/>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131337">
        <w:rPr>
          <w:rFonts w:ascii="Arial" w:hAnsi="Arial" w:cs="Arial"/>
          <w:color w:val="000000" w:themeColor="text1"/>
          <w:sz w:val="19"/>
          <w:szCs w:val="19"/>
          <w:lang w:val="es-CO"/>
        </w:rPr>
        <w:t xml:space="preserve"> </w:t>
      </w:r>
    </w:p>
    <w:p w14:paraId="115383BE" w14:textId="77777777" w:rsidR="009A62EC" w:rsidRPr="00131337" w:rsidRDefault="009A62EC" w:rsidP="003E3638">
      <w:pPr>
        <w:pStyle w:val="Textonotapie"/>
        <w:spacing w:line="276" w:lineRule="auto"/>
        <w:jc w:val="both"/>
        <w:rPr>
          <w:rFonts w:ascii="Arial" w:hAnsi="Arial" w:cs="Arial"/>
          <w:color w:val="000000" w:themeColor="text1"/>
          <w:sz w:val="19"/>
          <w:szCs w:val="19"/>
          <w:lang w:val="es-CO"/>
        </w:rPr>
      </w:pPr>
    </w:p>
  </w:footnote>
  <w:footnote w:id="16">
    <w:p w14:paraId="4BF1B9FC" w14:textId="77777777" w:rsidR="009A62EC" w:rsidRPr="004860DC" w:rsidRDefault="009A62EC" w:rsidP="003E3638">
      <w:pPr>
        <w:pStyle w:val="Textonotapie"/>
        <w:spacing w:line="276" w:lineRule="auto"/>
        <w:ind w:firstLine="708"/>
        <w:jc w:val="both"/>
        <w:rPr>
          <w:rFonts w:ascii="Arial" w:hAnsi="Arial" w:cs="Arial"/>
          <w:color w:val="000000" w:themeColor="text1"/>
          <w:sz w:val="19"/>
          <w:szCs w:val="19"/>
          <w:lang w:val="es-CO"/>
        </w:rPr>
      </w:pPr>
      <w:r w:rsidRPr="00171853">
        <w:rPr>
          <w:rFonts w:ascii="Arial" w:eastAsia="Calibri" w:hAnsi="Arial" w:cs="Arial"/>
          <w:color w:val="000000" w:themeColor="text1"/>
          <w:sz w:val="19"/>
          <w:szCs w:val="19"/>
          <w:vertAlign w:val="superscript"/>
        </w:rPr>
        <w:footnoteRef/>
      </w:r>
      <w:r w:rsidRPr="00171853">
        <w:rPr>
          <w:rFonts w:ascii="Arial" w:eastAsia="Calibri" w:hAnsi="Arial" w:cs="Arial"/>
          <w:color w:val="000000" w:themeColor="text1"/>
          <w:sz w:val="19"/>
          <w:szCs w:val="19"/>
          <w:vertAlign w:val="superscript"/>
        </w:rPr>
        <w:t xml:space="preserve"> </w:t>
      </w:r>
      <w:r w:rsidRPr="00171853">
        <w:rPr>
          <w:rFonts w:ascii="Arial" w:eastAsia="Calibri" w:hAnsi="Arial" w:cs="Arial"/>
          <w:color w:val="000000" w:themeColor="text1"/>
          <w:sz w:val="19"/>
          <w:szCs w:val="19"/>
        </w:rPr>
        <w:t xml:space="preserve">Consejo de Estado. Sección Tercera. Sentencia del 26 de junio de 2003. Rad. 13.354. Consejera Ponente: María Elena Giraldo Gómez. </w:t>
      </w:r>
    </w:p>
  </w:footnote>
  <w:footnote w:id="17">
    <w:p w14:paraId="1378C799" w14:textId="77777777" w:rsidR="009A62EC" w:rsidRPr="003D2AAA" w:rsidRDefault="009A62EC" w:rsidP="003E3638">
      <w:pPr>
        <w:pStyle w:val="Textonotapie"/>
        <w:ind w:firstLine="708"/>
        <w:jc w:val="both"/>
        <w:rPr>
          <w:rFonts w:ascii="Arial" w:hAnsi="Arial" w:cs="Arial"/>
          <w:sz w:val="19"/>
          <w:szCs w:val="19"/>
          <w:lang w:val="es-CO"/>
        </w:rPr>
      </w:pPr>
      <w:r w:rsidRPr="003D2AAA">
        <w:rPr>
          <w:rStyle w:val="Refdenotaalpie"/>
          <w:rFonts w:ascii="Arial" w:hAnsi="Arial" w:cs="Arial"/>
          <w:sz w:val="19"/>
          <w:szCs w:val="19"/>
        </w:rPr>
        <w:footnoteRef/>
      </w:r>
      <w:r w:rsidRPr="003D2AAA">
        <w:rPr>
          <w:rFonts w:ascii="Arial" w:hAnsi="Arial" w:cs="Arial"/>
          <w:sz w:val="19"/>
          <w:szCs w:val="19"/>
        </w:rPr>
        <w:t xml:space="preserve"> </w:t>
      </w:r>
      <w:r w:rsidRPr="00171853">
        <w:rPr>
          <w:rFonts w:ascii="Arial" w:eastAsia="Calibri" w:hAnsi="Arial" w:cs="Arial"/>
          <w:color w:val="000000" w:themeColor="text1"/>
          <w:sz w:val="19"/>
          <w:szCs w:val="19"/>
        </w:rPr>
        <w:t>Ministerio de Educación Nacional. Resolución No. 074 de 2002</w:t>
      </w:r>
      <w:r w:rsidRPr="002E289C">
        <w:rPr>
          <w:rFonts w:ascii="Arial" w:eastAsia="Calibri" w:hAnsi="Arial" w:cs="Arial"/>
          <w:color w:val="000000" w:themeColor="text1"/>
          <w:sz w:val="19"/>
          <w:szCs w:val="19"/>
        </w:rPr>
        <w:t xml:space="preserve"> «Artículo segundo. Los certificados de vigencia de inscripción y de antecedentes disciplinarios se expedirán, previa solicitud del interesado, cuando se requiera acreditar la calidad de contador público, sociedad de contadores públicos o persona jurídica </w:t>
      </w:r>
      <w:r w:rsidRPr="004860DC">
        <w:rPr>
          <w:rFonts w:ascii="Arial" w:eastAsia="Calibri" w:hAnsi="Arial" w:cs="Arial"/>
          <w:color w:val="000000" w:themeColor="text1"/>
          <w:sz w:val="19"/>
          <w:szCs w:val="19"/>
        </w:rPr>
        <w:t>inscrita ante la Junta Central de Contadores, habilitados por tanto para ejercer la profesión, y siempre que se solicite información histórica sobre los antecedentes disciplinarios del inscrito».</w:t>
      </w:r>
    </w:p>
  </w:footnote>
  <w:footnote w:id="18">
    <w:p w14:paraId="1B8E0443" w14:textId="77777777" w:rsidR="009A62EC" w:rsidRPr="003D2AAA" w:rsidRDefault="009A62EC" w:rsidP="003E3638">
      <w:pPr>
        <w:pStyle w:val="Textonotapie"/>
        <w:ind w:firstLine="708"/>
        <w:rPr>
          <w:rFonts w:ascii="Arial" w:hAnsi="Arial" w:cs="Arial"/>
          <w:sz w:val="19"/>
          <w:szCs w:val="19"/>
        </w:rPr>
      </w:pPr>
    </w:p>
    <w:p w14:paraId="3246435A" w14:textId="77777777" w:rsidR="009A62EC" w:rsidRPr="003D2AAA" w:rsidRDefault="009A62EC" w:rsidP="003E3638">
      <w:pPr>
        <w:pStyle w:val="Textonotapie"/>
        <w:ind w:firstLine="708"/>
        <w:jc w:val="both"/>
        <w:rPr>
          <w:rFonts w:ascii="Arial" w:hAnsi="Arial" w:cs="Arial"/>
          <w:sz w:val="19"/>
          <w:szCs w:val="19"/>
          <w:lang w:val="es-CO"/>
        </w:rPr>
      </w:pPr>
      <w:r w:rsidRPr="003D2AAA">
        <w:rPr>
          <w:rStyle w:val="Refdenotaalpie"/>
          <w:rFonts w:ascii="Arial" w:hAnsi="Arial" w:cs="Arial"/>
          <w:sz w:val="19"/>
          <w:szCs w:val="19"/>
        </w:rPr>
        <w:footnoteRef/>
      </w:r>
      <w:r w:rsidRPr="003D2AAA">
        <w:rPr>
          <w:rFonts w:ascii="Arial" w:hAnsi="Arial" w:cs="Arial"/>
          <w:sz w:val="19"/>
          <w:szCs w:val="19"/>
        </w:rPr>
        <w:t xml:space="preserve"> </w:t>
      </w:r>
      <w:r w:rsidRPr="00171853">
        <w:rPr>
          <w:rFonts w:ascii="Arial" w:eastAsia="Calibri" w:hAnsi="Arial" w:cs="Arial"/>
          <w:color w:val="000000" w:themeColor="text1"/>
          <w:sz w:val="19"/>
          <w:szCs w:val="19"/>
        </w:rPr>
        <w:t xml:space="preserve">Ministerio de Educación Nacional. Resolución No. 074 de </w:t>
      </w:r>
      <w:r w:rsidRPr="002E289C">
        <w:rPr>
          <w:rFonts w:ascii="Arial" w:eastAsia="Calibri" w:hAnsi="Arial" w:cs="Arial"/>
          <w:color w:val="000000" w:themeColor="text1"/>
          <w:sz w:val="19"/>
          <w:szCs w:val="19"/>
        </w:rPr>
        <w:t>2002</w:t>
      </w:r>
      <w:r w:rsidRPr="00FF509C">
        <w:rPr>
          <w:rFonts w:ascii="Arial" w:eastAsia="Calibri" w:hAnsi="Arial" w:cs="Arial"/>
          <w:color w:val="000000" w:themeColor="text1"/>
          <w:sz w:val="19"/>
          <w:szCs w:val="19"/>
        </w:rPr>
        <w:t xml:space="preserve"> «Artículo tercero. La certificación de antecedentes deberá contener las anotaciones de providencias ejecutoriadas dentro de los cinco [5] años anteriores a su expedición y, en todo caso, aquellas que se refieran a sanciones o inhabilidades que se encuentran vigentes en dicho momento»</w:t>
      </w:r>
    </w:p>
  </w:footnote>
  <w:footnote w:id="19">
    <w:p w14:paraId="4C929256" w14:textId="77777777" w:rsidR="009A62EC" w:rsidRPr="003D2AAA" w:rsidRDefault="009A62EC" w:rsidP="003E3638">
      <w:pPr>
        <w:pStyle w:val="Textonotapie"/>
        <w:rPr>
          <w:rFonts w:ascii="Arial" w:hAnsi="Arial" w:cs="Arial"/>
          <w:sz w:val="19"/>
          <w:szCs w:val="19"/>
        </w:rPr>
      </w:pPr>
    </w:p>
    <w:p w14:paraId="2E04C163" w14:textId="77777777" w:rsidR="009A62EC" w:rsidRPr="00131337" w:rsidRDefault="009A62EC" w:rsidP="003E3638">
      <w:pPr>
        <w:pStyle w:val="Textonotapie"/>
        <w:ind w:firstLine="708"/>
        <w:jc w:val="both"/>
        <w:rPr>
          <w:rFonts w:ascii="Arial" w:eastAsia="Calibri" w:hAnsi="Arial" w:cs="Arial"/>
          <w:color w:val="000000" w:themeColor="text1"/>
          <w:sz w:val="19"/>
          <w:szCs w:val="19"/>
        </w:rPr>
      </w:pPr>
      <w:r w:rsidRPr="003D2AAA">
        <w:rPr>
          <w:rStyle w:val="Refdenotaalpie"/>
          <w:rFonts w:ascii="Arial" w:hAnsi="Arial" w:cs="Arial"/>
          <w:sz w:val="19"/>
          <w:szCs w:val="19"/>
        </w:rPr>
        <w:footnoteRef/>
      </w:r>
      <w:r w:rsidRPr="003D2AAA">
        <w:rPr>
          <w:rFonts w:ascii="Arial" w:hAnsi="Arial" w:cs="Arial"/>
          <w:sz w:val="19"/>
          <w:szCs w:val="19"/>
        </w:rPr>
        <w:t xml:space="preserve"> </w:t>
      </w:r>
      <w:r w:rsidRPr="00171853">
        <w:rPr>
          <w:rFonts w:ascii="Arial" w:eastAsia="Calibri" w:hAnsi="Arial" w:cs="Arial"/>
          <w:color w:val="000000" w:themeColor="text1"/>
          <w:sz w:val="19"/>
          <w:szCs w:val="19"/>
        </w:rPr>
        <w:t>Ministerio de Educación Nacional.  Resolución No. 074 de 2020 «Artículo quinto. Los certificados de vigencia de inscripción y de antecedentes disciplinarios de personas naturales deberán contener la siguiente informació</w:t>
      </w:r>
      <w:r w:rsidRPr="004860DC">
        <w:rPr>
          <w:rFonts w:ascii="Arial" w:eastAsia="Calibri" w:hAnsi="Arial" w:cs="Arial"/>
          <w:color w:val="000000" w:themeColor="text1"/>
          <w:sz w:val="19"/>
          <w:szCs w:val="19"/>
        </w:rPr>
        <w:t xml:space="preserve">n: </w:t>
      </w:r>
    </w:p>
    <w:p w14:paraId="077BCC22" w14:textId="77777777" w:rsidR="009A62EC" w:rsidRPr="00131337" w:rsidRDefault="009A62EC" w:rsidP="003E3638">
      <w:pPr>
        <w:pStyle w:val="Textonotapie"/>
        <w:ind w:firstLine="708"/>
        <w:jc w:val="both"/>
        <w:rPr>
          <w:rFonts w:ascii="Arial" w:eastAsia="Calibri" w:hAnsi="Arial" w:cs="Arial"/>
          <w:color w:val="000000" w:themeColor="text1"/>
          <w:sz w:val="19"/>
          <w:szCs w:val="19"/>
        </w:rPr>
      </w:pPr>
      <w:r w:rsidRPr="00131337">
        <w:rPr>
          <w:rFonts w:ascii="Arial" w:eastAsia="Calibri" w:hAnsi="Arial" w:cs="Arial"/>
          <w:color w:val="000000" w:themeColor="text1"/>
          <w:sz w:val="19"/>
          <w:szCs w:val="19"/>
        </w:rPr>
        <w:t>[…]</w:t>
      </w:r>
    </w:p>
    <w:p w14:paraId="3352EDAC" w14:textId="77777777" w:rsidR="009A62EC" w:rsidRPr="003D2AAA" w:rsidRDefault="009A62EC" w:rsidP="003E3638">
      <w:pPr>
        <w:pStyle w:val="Textonotapie"/>
        <w:ind w:firstLine="708"/>
        <w:jc w:val="both"/>
        <w:rPr>
          <w:rFonts w:ascii="Arial" w:hAnsi="Arial" w:cs="Arial"/>
          <w:sz w:val="19"/>
          <w:szCs w:val="19"/>
          <w:lang w:val="es-CO"/>
        </w:rPr>
      </w:pPr>
      <w:r w:rsidRPr="00131337">
        <w:rPr>
          <w:rFonts w:ascii="Arial" w:eastAsia="Calibri" w:hAnsi="Arial" w:cs="Arial"/>
          <w:color w:val="000000" w:themeColor="text1"/>
          <w:sz w:val="19"/>
          <w:szCs w:val="19"/>
        </w:rPr>
        <w:t xml:space="preserve">d) Si el profesional tiene o no vigente su inscripción ante la Junta Central de Contadores y si durante los últimos cinco (5) años, o desde su registro como contador público, presenta o no anotaciones sobre antecedentes disciplinarios. </w:t>
      </w:r>
    </w:p>
  </w:footnote>
  <w:footnote w:id="20">
    <w:p w14:paraId="0F74B79A" w14:textId="77777777" w:rsidR="009A62EC" w:rsidRPr="003D2AAA" w:rsidRDefault="009A62EC" w:rsidP="003E3638">
      <w:pPr>
        <w:pStyle w:val="Textonotapie"/>
        <w:ind w:firstLine="708"/>
        <w:jc w:val="both"/>
        <w:rPr>
          <w:rFonts w:ascii="Arial" w:hAnsi="Arial" w:cs="Arial"/>
          <w:sz w:val="19"/>
          <w:szCs w:val="19"/>
          <w:lang w:val="es-CO"/>
        </w:rPr>
      </w:pPr>
      <w:r w:rsidRPr="003D2AAA">
        <w:rPr>
          <w:rStyle w:val="Refdenotaalpie"/>
          <w:rFonts w:ascii="Arial" w:hAnsi="Arial" w:cs="Arial"/>
          <w:sz w:val="19"/>
          <w:szCs w:val="19"/>
        </w:rPr>
        <w:footnoteRef/>
      </w:r>
      <w:r w:rsidRPr="003D2AAA">
        <w:rPr>
          <w:rFonts w:ascii="Arial" w:hAnsi="Arial" w:cs="Arial"/>
          <w:sz w:val="19"/>
          <w:szCs w:val="19"/>
        </w:rPr>
        <w:t xml:space="preserve"> </w:t>
      </w:r>
      <w:r w:rsidRPr="00171853">
        <w:rPr>
          <w:rFonts w:ascii="Arial" w:eastAsia="Calibri" w:hAnsi="Arial" w:cs="Arial"/>
          <w:color w:val="000000" w:themeColor="text1"/>
          <w:sz w:val="19"/>
          <w:szCs w:val="19"/>
        </w:rPr>
        <w:t>Ministeri</w:t>
      </w:r>
      <w:r w:rsidRPr="00FF509C">
        <w:rPr>
          <w:rFonts w:ascii="Arial" w:eastAsia="Calibri" w:hAnsi="Arial" w:cs="Arial"/>
          <w:color w:val="000000" w:themeColor="text1"/>
          <w:sz w:val="19"/>
          <w:szCs w:val="19"/>
        </w:rPr>
        <w:t>o de Educación Nacional.  Resolución No. 074 de 2020 «Artículo quinto</w:t>
      </w:r>
      <w:r w:rsidRPr="002B2CF4">
        <w:rPr>
          <w:rFonts w:ascii="Arial" w:eastAsia="Calibri" w:hAnsi="Arial" w:cs="Arial"/>
          <w:color w:val="000000" w:themeColor="text1"/>
          <w:sz w:val="19"/>
          <w:szCs w:val="19"/>
        </w:rPr>
        <w:t xml:space="preserve">. Parágrafo segundo. Los certificados a que se refiere la presente resolución tendrán una vigencia de tres [3] meses, y su valor será el establecido en la fecha de radicación de la respectiva solicitud. </w:t>
      </w:r>
    </w:p>
  </w:footnote>
  <w:footnote w:id="21">
    <w:p w14:paraId="14FC0C1B" w14:textId="77777777" w:rsidR="009A62EC" w:rsidRPr="00131337" w:rsidRDefault="009A62EC" w:rsidP="00DB2904">
      <w:pPr>
        <w:pStyle w:val="Textonotapie"/>
        <w:ind w:firstLine="709"/>
        <w:jc w:val="both"/>
        <w:rPr>
          <w:rFonts w:ascii="Arial" w:hAnsi="Arial" w:cs="Arial"/>
          <w:color w:val="000000" w:themeColor="text1"/>
          <w:sz w:val="19"/>
          <w:szCs w:val="19"/>
        </w:rPr>
      </w:pPr>
      <w:r w:rsidRPr="00171853">
        <w:rPr>
          <w:rStyle w:val="Refdenotaalpie"/>
          <w:rFonts w:ascii="Arial" w:hAnsi="Arial" w:cs="Arial"/>
          <w:color w:val="000000" w:themeColor="text1"/>
          <w:sz w:val="19"/>
          <w:szCs w:val="19"/>
        </w:rPr>
        <w:footnoteRef/>
      </w:r>
      <w:r w:rsidRPr="00171853">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w:t>
      </w:r>
      <w:r w:rsidRPr="00131337">
        <w:rPr>
          <w:rFonts w:ascii="Arial" w:hAnsi="Arial" w:cs="Arial"/>
          <w:color w:val="000000" w:themeColor="text1"/>
          <w:sz w:val="19"/>
          <w:szCs w:val="19"/>
        </w:rPr>
        <w:t xml:space="preserve">cos, económicos y jurídicos necesarios para la evaluación de las propuestas y para solicitar a los proponentes las aclaraciones y explicaciones que se estimen indispensables». </w:t>
      </w:r>
    </w:p>
    <w:p w14:paraId="24692A6C" w14:textId="77777777" w:rsidR="009A62EC" w:rsidRPr="00131337" w:rsidRDefault="009A62EC" w:rsidP="00DB2904">
      <w:pPr>
        <w:pStyle w:val="Textonotapie"/>
        <w:ind w:firstLine="709"/>
        <w:jc w:val="both"/>
        <w:rPr>
          <w:rFonts w:ascii="Arial" w:hAnsi="Arial" w:cs="Arial"/>
          <w:b/>
          <w:color w:val="000000" w:themeColor="text1"/>
          <w:sz w:val="19"/>
          <w:szCs w:val="19"/>
        </w:rPr>
      </w:pPr>
    </w:p>
  </w:footnote>
  <w:footnote w:id="22">
    <w:p w14:paraId="718D3711" w14:textId="77777777" w:rsidR="009A62EC" w:rsidRPr="00131337" w:rsidRDefault="009A62EC" w:rsidP="00DB2904">
      <w:pPr>
        <w:pStyle w:val="Textonotapie"/>
        <w:ind w:firstLine="709"/>
        <w:jc w:val="both"/>
        <w:rPr>
          <w:rFonts w:ascii="Arial" w:hAnsi="Arial" w:cs="Arial"/>
          <w:color w:val="000000" w:themeColor="text1"/>
          <w:sz w:val="19"/>
          <w:szCs w:val="19"/>
        </w:rPr>
      </w:pPr>
      <w:r w:rsidRPr="00171853">
        <w:rPr>
          <w:rStyle w:val="Refdenotaalpie"/>
          <w:rFonts w:ascii="Arial" w:hAnsi="Arial" w:cs="Arial"/>
          <w:color w:val="000000" w:themeColor="text1"/>
          <w:sz w:val="19"/>
          <w:szCs w:val="19"/>
        </w:rPr>
        <w:footnoteRef/>
      </w:r>
      <w:r w:rsidRPr="00171853">
        <w:rPr>
          <w:rFonts w:ascii="Arial" w:hAnsi="Arial" w:cs="Arial"/>
          <w:color w:val="000000" w:themeColor="text1"/>
          <w:sz w:val="19"/>
          <w:szCs w:val="19"/>
        </w:rPr>
        <w:t xml:space="preserve"> Ley 80 de 1993, art. 30.8: «Los informes de evaluación de las propuestas per</w:t>
      </w:r>
      <w:r w:rsidRPr="00D678E6">
        <w:rPr>
          <w:rFonts w:ascii="Arial" w:hAnsi="Arial" w:cs="Arial"/>
          <w:color w:val="000000" w:themeColor="text1"/>
          <w:sz w:val="19"/>
          <w:szCs w:val="19"/>
        </w:rPr>
        <w:t>manecerán en la secretaría de la entidad por un término de cinco (5) días hábiles para que los oferentes presenten las observaciones que estimen pertinentes. En ejercicio de esta facultad, los oferentes no podrán completar, adicionar, modificar o mejorar s</w:t>
      </w:r>
      <w:r w:rsidRPr="00131337">
        <w:rPr>
          <w:rFonts w:ascii="Arial" w:hAnsi="Arial" w:cs="Arial"/>
          <w:color w:val="000000" w:themeColor="text1"/>
          <w:sz w:val="19"/>
          <w:szCs w:val="19"/>
        </w:rPr>
        <w:t>us propuestas».</w:t>
      </w:r>
    </w:p>
  </w:footnote>
  <w:footnote w:id="23">
    <w:p w14:paraId="51866C1A" w14:textId="77777777" w:rsidR="009A62EC" w:rsidRPr="00131337" w:rsidRDefault="009A62EC" w:rsidP="00DB2904">
      <w:pPr>
        <w:pStyle w:val="Textonotapie"/>
        <w:ind w:firstLine="709"/>
        <w:jc w:val="both"/>
        <w:rPr>
          <w:rFonts w:ascii="Arial" w:hAnsi="Arial" w:cs="Arial"/>
          <w:color w:val="000000" w:themeColor="text1"/>
          <w:sz w:val="19"/>
          <w:szCs w:val="19"/>
        </w:rPr>
      </w:pPr>
      <w:r w:rsidRPr="00171853">
        <w:rPr>
          <w:rStyle w:val="Refdenotaalpie"/>
          <w:rFonts w:ascii="Arial" w:hAnsi="Arial" w:cs="Arial"/>
          <w:color w:val="000000" w:themeColor="text1"/>
          <w:sz w:val="19"/>
          <w:szCs w:val="19"/>
        </w:rPr>
        <w:footnoteRef/>
      </w:r>
      <w:r w:rsidRPr="00171853">
        <w:rPr>
          <w:rFonts w:ascii="Arial" w:hAnsi="Arial" w:cs="Arial"/>
          <w:color w:val="000000" w:themeColor="text1"/>
          <w:sz w:val="19"/>
          <w:szCs w:val="19"/>
        </w:rPr>
        <w:t xml:space="preserve"> Consejo de Estado. Sección Tercera, Subsección C. Sentencia del 26 de febrero de 2014. C.P. Enrique Gil Botero, Rad. 1999-00113-01 (25.804). </w:t>
      </w:r>
    </w:p>
  </w:footnote>
  <w:footnote w:id="24">
    <w:p w14:paraId="2CEE1510" w14:textId="77777777" w:rsidR="009A62EC" w:rsidRPr="00131337" w:rsidRDefault="009A62EC" w:rsidP="00DB2904">
      <w:pPr>
        <w:pStyle w:val="Textonotapie"/>
        <w:ind w:firstLine="709"/>
        <w:jc w:val="both"/>
        <w:rPr>
          <w:rFonts w:ascii="Arial" w:hAnsi="Arial" w:cs="Arial"/>
          <w:color w:val="000000" w:themeColor="text1"/>
          <w:sz w:val="19"/>
          <w:szCs w:val="19"/>
          <w:lang w:val="es-CO"/>
        </w:rPr>
      </w:pPr>
      <w:r w:rsidRPr="00171853">
        <w:rPr>
          <w:rStyle w:val="Refdenotaalpie"/>
          <w:rFonts w:ascii="Arial" w:hAnsi="Arial" w:cs="Arial"/>
          <w:color w:val="000000" w:themeColor="text1"/>
          <w:sz w:val="19"/>
          <w:szCs w:val="19"/>
        </w:rPr>
        <w:footnoteRef/>
      </w:r>
      <w:r w:rsidRPr="00171853">
        <w:rPr>
          <w:rStyle w:val="Refdenotaalpie"/>
          <w:rFonts w:ascii="Arial" w:hAnsi="Arial" w:cs="Arial"/>
          <w:color w:val="000000" w:themeColor="text1"/>
          <w:sz w:val="19"/>
          <w:szCs w:val="19"/>
        </w:rPr>
        <w:t xml:space="preserve"> </w:t>
      </w:r>
      <w:r w:rsidRPr="00D678E6">
        <w:rPr>
          <w:rFonts w:ascii="Arial" w:hAnsi="Arial" w:cs="Arial"/>
          <w:color w:val="000000" w:themeColor="text1"/>
          <w:sz w:val="19"/>
          <w:szCs w:val="19"/>
          <w:lang w:val="es-CO"/>
        </w:rPr>
        <w:t>Ley 1150 de 2007, artículo 5, parágrafo 4°: «</w:t>
      </w:r>
      <w:r w:rsidRPr="004860DC">
        <w:rPr>
          <w:rFonts w:ascii="Arial" w:hAnsi="Arial" w:cs="Arial"/>
          <w:color w:val="000000" w:themeColor="text1"/>
          <w:sz w:val="19"/>
          <w:szCs w:val="19"/>
        </w:rPr>
        <w:t xml:space="preserve">En aquellos procesos de selección en los que se </w:t>
      </w:r>
      <w:r w:rsidRPr="00131337">
        <w:rPr>
          <w:rFonts w:ascii="Arial" w:hAnsi="Arial" w:cs="Arial"/>
          <w:color w:val="000000" w:themeColor="text1"/>
          <w:sz w:val="19"/>
          <w:szCs w:val="19"/>
        </w:rPr>
        <w:t>utilice el mecanismo de subasta, los documentos referentes a la futura contratación o a proponente, no necesarios para la comparación de las propuestas, deberán ser solicitados hasta el momento previo a su realización».</w:t>
      </w:r>
    </w:p>
  </w:footnote>
  <w:footnote w:id="25">
    <w:p w14:paraId="44AAC4B4" w14:textId="77777777" w:rsidR="009A62EC" w:rsidRPr="00D678E6" w:rsidRDefault="009A62EC" w:rsidP="00DB2904">
      <w:pPr>
        <w:ind w:firstLine="709"/>
        <w:jc w:val="both"/>
        <w:rPr>
          <w:rFonts w:ascii="Arial" w:hAnsi="Arial" w:cs="Arial"/>
          <w:color w:val="000000" w:themeColor="text1"/>
          <w:sz w:val="19"/>
          <w:szCs w:val="19"/>
        </w:rPr>
      </w:pPr>
      <w:r w:rsidRPr="00171853">
        <w:rPr>
          <w:rStyle w:val="Refdenotaalpie"/>
          <w:rFonts w:ascii="Arial" w:hAnsi="Arial" w:cs="Arial"/>
          <w:color w:val="000000" w:themeColor="text1"/>
          <w:sz w:val="19"/>
          <w:szCs w:val="19"/>
        </w:rPr>
        <w:footnoteRef/>
      </w:r>
      <w:r w:rsidRPr="00171853">
        <w:rPr>
          <w:rFonts w:ascii="Arial" w:hAnsi="Arial" w:cs="Arial"/>
          <w:color w:val="000000" w:themeColor="text1"/>
          <w:sz w:val="19"/>
          <w:szCs w:val="19"/>
        </w:rPr>
        <w:t xml:space="preserve"> Decreto 2474 de 2008 (DEROGADO): «</w:t>
      </w:r>
      <w:r w:rsidRPr="00D678E6">
        <w:rPr>
          <w:rFonts w:ascii="Arial" w:hAnsi="Arial" w:cs="Arial"/>
          <w:color w:val="000000" w:themeColor="text1"/>
          <w:sz w:val="19"/>
          <w:szCs w:val="19"/>
        </w:rPr>
        <w:t>art. 10. Reglas de subsanabilidad. En todo proceso de selección de contratistas primará lo sustancial sobre lo formal. En consecuencia no podrá rechazarse una propuesta por la ausencia de requisitos o la falta de documentos que verifiquen las condiciones d</w:t>
      </w:r>
      <w:r w:rsidRPr="00131337">
        <w:rPr>
          <w:rFonts w:ascii="Arial" w:hAnsi="Arial" w:cs="Arial"/>
          <w:color w:val="000000" w:themeColor="text1"/>
          <w:sz w:val="19"/>
          <w:szCs w:val="19"/>
        </w:rPr>
        <w:t>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131337">
          <w:rPr>
            <w:rStyle w:val="Hipervnculo"/>
            <w:rFonts w:ascii="Arial" w:hAnsi="Arial" w:cs="Arial"/>
            <w:color w:val="000000" w:themeColor="text1"/>
            <w:sz w:val="19"/>
            <w:szCs w:val="19"/>
          </w:rPr>
          <w:t>Ley 1150 de 2007</w:t>
        </w:r>
      </w:hyperlink>
      <w:r w:rsidRPr="00171853">
        <w:rPr>
          <w:rFonts w:ascii="Arial" w:hAnsi="Arial" w:cs="Arial"/>
          <w:color w:val="000000" w:themeColor="text1"/>
          <w:sz w:val="19"/>
          <w:szCs w:val="19"/>
        </w:rPr>
        <w:t> y en el presente decreto.</w:t>
      </w:r>
    </w:p>
    <w:p w14:paraId="66490894" w14:textId="77777777" w:rsidR="009A62EC" w:rsidRPr="00131337" w:rsidRDefault="009A62EC" w:rsidP="00DB2904">
      <w:pPr>
        <w:ind w:firstLine="709"/>
        <w:jc w:val="both"/>
        <w:rPr>
          <w:rFonts w:ascii="Arial" w:hAnsi="Arial" w:cs="Arial"/>
          <w:color w:val="000000" w:themeColor="text1"/>
          <w:sz w:val="19"/>
          <w:szCs w:val="19"/>
        </w:rPr>
      </w:pPr>
      <w:r w:rsidRPr="00131337">
        <w:rPr>
          <w:rFonts w:ascii="Arial" w:hAnsi="Arial" w:cs="Arial"/>
          <w:color w:val="000000" w:themeColor="text1"/>
          <w:sz w:val="19"/>
          <w:szCs w:val="19"/>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1ADAF1C8" w14:textId="77777777" w:rsidR="009A62EC" w:rsidRPr="00131337" w:rsidRDefault="009A62EC" w:rsidP="00DB2904">
      <w:pPr>
        <w:ind w:firstLine="709"/>
        <w:jc w:val="both"/>
        <w:rPr>
          <w:rFonts w:ascii="Arial" w:hAnsi="Arial" w:cs="Arial"/>
          <w:color w:val="000000" w:themeColor="text1"/>
          <w:sz w:val="19"/>
          <w:szCs w:val="19"/>
        </w:rPr>
      </w:pPr>
      <w:r w:rsidRPr="00131337">
        <w:rPr>
          <w:rFonts w:ascii="Arial" w:hAnsi="Arial" w:cs="Arial"/>
          <w:color w:val="000000" w:themeColor="text1"/>
          <w:sz w:val="19"/>
          <w:szCs w:val="19"/>
        </w:rPr>
        <w:t>»Será rechazada la oferta del proponente que dentro del término previsto en el pliego o en la solicitud, no responda al requerimiento que le haga la entidad para subsanarla.</w:t>
      </w:r>
    </w:p>
    <w:p w14:paraId="5C7A3B3B" w14:textId="77777777" w:rsidR="009A62EC" w:rsidRPr="00131337" w:rsidRDefault="009A62EC" w:rsidP="00DB2904">
      <w:pPr>
        <w:ind w:firstLine="709"/>
        <w:jc w:val="both"/>
        <w:rPr>
          <w:rFonts w:ascii="Arial" w:hAnsi="Arial" w:cs="Arial"/>
          <w:color w:val="000000" w:themeColor="text1"/>
          <w:sz w:val="19"/>
          <w:szCs w:val="19"/>
        </w:rPr>
      </w:pPr>
      <w:r w:rsidRPr="00131337">
        <w:rPr>
          <w:rFonts w:ascii="Arial" w:hAnsi="Arial" w:cs="Arial"/>
          <w:color w:val="000000" w:themeColor="text1"/>
          <w:sz w:val="19"/>
          <w:szCs w:val="19"/>
        </w:rPr>
        <w:t>»Cuando se utilice el mecanismo de subasta esta posibilidad deberá ejercerse hasta el momento previo a su realización, de conformidad con el artículo 22 del presente decreto.</w:t>
      </w:r>
    </w:p>
    <w:p w14:paraId="583F1B67" w14:textId="77777777" w:rsidR="009A62EC" w:rsidRPr="00131337" w:rsidRDefault="009A62EC" w:rsidP="00DB2904">
      <w:pPr>
        <w:ind w:firstLine="709"/>
        <w:jc w:val="both"/>
        <w:rPr>
          <w:rFonts w:ascii="Arial" w:hAnsi="Arial" w:cs="Arial"/>
          <w:color w:val="000000" w:themeColor="text1"/>
          <w:sz w:val="19"/>
          <w:szCs w:val="19"/>
        </w:rPr>
      </w:pPr>
      <w:r w:rsidRPr="00131337">
        <w:rPr>
          <w:rFonts w:ascii="Arial" w:hAnsi="Arial" w:cs="Arial"/>
          <w:color w:val="000000" w:themeColor="text1"/>
          <w:sz w:val="19"/>
          <w:szCs w:val="19"/>
        </w:rPr>
        <w:t xml:space="preserve">»En ningún caso la entidad podrá señalar taxativamente los requisitos o documentos subsanables o no subsanables en el pliego de condiciones, </w:t>
      </w:r>
      <w:r w:rsidRPr="00131337">
        <w:rPr>
          <w:rFonts w:ascii="Arial" w:hAnsi="Arial" w:cs="Arial"/>
          <w:bCs/>
          <w:i/>
          <w:iCs/>
          <w:color w:val="000000" w:themeColor="text1"/>
          <w:sz w:val="19"/>
          <w:szCs w:val="19"/>
        </w:rPr>
        <w:t>ni permitir que se subsane la falta de capacidad para presentar la oferta, ni que se acrediten circunstancias ocurridas con posterioridad al cierre del proceso</w:t>
      </w:r>
      <w:r w:rsidRPr="00131337">
        <w:rPr>
          <w:rFonts w:ascii="Arial" w:hAnsi="Arial" w:cs="Arial"/>
          <w:color w:val="000000" w:themeColor="text1"/>
          <w:sz w:val="19"/>
          <w:szCs w:val="19"/>
        </w:rPr>
        <w:t xml:space="preserve">». (Cursivas fuera de texto). </w:t>
      </w:r>
    </w:p>
    <w:p w14:paraId="080B1783" w14:textId="77777777" w:rsidR="009A62EC" w:rsidRPr="00131337" w:rsidRDefault="009A62EC" w:rsidP="00DB2904">
      <w:pPr>
        <w:pStyle w:val="Textonotapie"/>
        <w:ind w:firstLine="709"/>
        <w:jc w:val="both"/>
        <w:rPr>
          <w:rFonts w:ascii="Arial" w:hAnsi="Arial" w:cs="Arial"/>
          <w:color w:val="000000" w:themeColor="text1"/>
          <w:sz w:val="19"/>
          <w:szCs w:val="19"/>
        </w:rPr>
      </w:pPr>
    </w:p>
  </w:footnote>
  <w:footnote w:id="26">
    <w:p w14:paraId="2C91AEF1" w14:textId="77777777" w:rsidR="009A62EC" w:rsidRPr="00131337" w:rsidRDefault="009A62EC" w:rsidP="00DB2904">
      <w:pPr>
        <w:pStyle w:val="Textonotapie"/>
        <w:ind w:firstLine="709"/>
        <w:jc w:val="both"/>
        <w:rPr>
          <w:rFonts w:ascii="Arial" w:hAnsi="Arial" w:cs="Arial"/>
          <w:color w:val="000000" w:themeColor="text1"/>
          <w:sz w:val="19"/>
          <w:szCs w:val="19"/>
          <w:lang w:val="es-CO"/>
        </w:rPr>
      </w:pPr>
      <w:r w:rsidRPr="00171853">
        <w:rPr>
          <w:rStyle w:val="Refdenotaalpie"/>
          <w:rFonts w:ascii="Arial" w:hAnsi="Arial" w:cs="Arial"/>
          <w:color w:val="000000" w:themeColor="text1"/>
          <w:sz w:val="19"/>
          <w:szCs w:val="19"/>
        </w:rPr>
        <w:footnoteRef/>
      </w:r>
      <w:r w:rsidRPr="00171853">
        <w:rPr>
          <w:rFonts w:ascii="Arial" w:hAnsi="Arial" w:cs="Arial"/>
          <w:color w:val="000000" w:themeColor="text1"/>
          <w:sz w:val="19"/>
          <w:szCs w:val="19"/>
        </w:rPr>
        <w:t xml:space="preserve"> </w:t>
      </w:r>
      <w:r w:rsidRPr="00D678E6">
        <w:rPr>
          <w:rFonts w:ascii="Arial" w:hAnsi="Arial" w:cs="Arial"/>
          <w:color w:val="000000" w:themeColor="text1"/>
          <w:sz w:val="19"/>
          <w:szCs w:val="19"/>
          <w:lang w:val="es-CO"/>
        </w:rPr>
        <w:t>Consejo de Estado, Sala de Consulta y Servicio Civil, concepto del 6 de noviembre de 2008. C.P. William Zambrano Cetina. Rad. 2</w:t>
      </w:r>
      <w:r w:rsidRPr="00131337">
        <w:rPr>
          <w:rFonts w:ascii="Arial" w:hAnsi="Arial" w:cs="Arial"/>
          <w:color w:val="000000" w:themeColor="text1"/>
          <w:sz w:val="19"/>
          <w:szCs w:val="19"/>
          <w:lang w:val="es-CO"/>
        </w:rPr>
        <w:t>008-00079-00(1927).</w:t>
      </w:r>
    </w:p>
    <w:p w14:paraId="6BF12FC9" w14:textId="77777777" w:rsidR="009A62EC" w:rsidRPr="00131337" w:rsidRDefault="009A62EC" w:rsidP="00DB2904">
      <w:pPr>
        <w:pStyle w:val="Textonotapie"/>
        <w:ind w:firstLine="709"/>
        <w:jc w:val="both"/>
        <w:rPr>
          <w:rFonts w:ascii="Arial" w:hAnsi="Arial" w:cs="Arial"/>
          <w:color w:val="000000" w:themeColor="text1"/>
          <w:sz w:val="19"/>
          <w:szCs w:val="19"/>
        </w:rPr>
      </w:pPr>
      <w:r w:rsidRPr="00131337">
        <w:rPr>
          <w:rFonts w:ascii="Arial" w:hAnsi="Arial" w:cs="Arial"/>
          <w:color w:val="000000" w:themeColor="text1"/>
          <w:sz w:val="19"/>
          <w:szCs w:val="19"/>
        </w:rPr>
        <w:t xml:space="preserve">  </w:t>
      </w:r>
    </w:p>
  </w:footnote>
  <w:footnote w:id="27">
    <w:p w14:paraId="1EC322DD" w14:textId="77777777" w:rsidR="009A62EC" w:rsidRPr="00131337" w:rsidRDefault="009A62EC" w:rsidP="00DB2904">
      <w:pPr>
        <w:pStyle w:val="Textonotapie"/>
        <w:ind w:firstLine="709"/>
        <w:jc w:val="both"/>
        <w:rPr>
          <w:rFonts w:ascii="Arial" w:hAnsi="Arial" w:cs="Arial"/>
          <w:color w:val="000000" w:themeColor="text1"/>
          <w:sz w:val="19"/>
          <w:szCs w:val="19"/>
        </w:rPr>
      </w:pPr>
      <w:r w:rsidRPr="00171853">
        <w:rPr>
          <w:rStyle w:val="Refdenotaalpie"/>
          <w:rFonts w:ascii="Arial" w:hAnsi="Arial" w:cs="Arial"/>
          <w:color w:val="000000" w:themeColor="text1"/>
          <w:sz w:val="19"/>
          <w:szCs w:val="19"/>
        </w:rPr>
        <w:footnoteRef/>
      </w:r>
      <w:r w:rsidRPr="00171853">
        <w:rPr>
          <w:rFonts w:ascii="Arial" w:hAnsi="Arial" w:cs="Arial"/>
          <w:color w:val="000000" w:themeColor="text1"/>
          <w:sz w:val="19"/>
          <w:szCs w:val="19"/>
        </w:rPr>
        <w:t xml:space="preserve"> </w:t>
      </w:r>
      <w:r w:rsidRPr="00D678E6">
        <w:rPr>
          <w:rFonts w:ascii="Arial" w:hAnsi="Arial" w:cs="Arial"/>
          <w:color w:val="000000" w:themeColor="text1"/>
          <w:sz w:val="19"/>
          <w:szCs w:val="19"/>
          <w:lang w:val="es-CO"/>
        </w:rPr>
        <w:t>Ver Consejo de Estado, Sección Tercera, Subsección C. Sentencia del 26 de febrero de 2011. C.P. Jaime Orlando Santofimio. Rad. 36.408.</w:t>
      </w:r>
      <w:r w:rsidRPr="00131337">
        <w:rPr>
          <w:rFonts w:ascii="Arial" w:hAnsi="Arial" w:cs="Arial"/>
          <w:color w:val="000000" w:themeColor="text1"/>
          <w:sz w:val="19"/>
          <w:szCs w:val="19"/>
        </w:rPr>
        <w:t xml:space="preserve">  </w:t>
      </w:r>
    </w:p>
    <w:p w14:paraId="3F1D410A" w14:textId="77777777" w:rsidR="009A62EC" w:rsidRPr="00131337" w:rsidRDefault="009A62EC" w:rsidP="00DB2904">
      <w:pPr>
        <w:pStyle w:val="Textonotapie"/>
        <w:ind w:firstLine="709"/>
        <w:jc w:val="both"/>
        <w:rPr>
          <w:rFonts w:ascii="Arial" w:hAnsi="Arial" w:cs="Arial"/>
          <w:color w:val="000000" w:themeColor="text1"/>
          <w:sz w:val="19"/>
          <w:szCs w:val="19"/>
        </w:rPr>
      </w:pPr>
    </w:p>
  </w:footnote>
  <w:footnote w:id="28">
    <w:p w14:paraId="605504C8" w14:textId="77777777" w:rsidR="009A62EC" w:rsidRPr="00131337" w:rsidRDefault="009A62EC" w:rsidP="00DB2904">
      <w:pPr>
        <w:pStyle w:val="Textonotapie"/>
        <w:ind w:firstLine="709"/>
        <w:jc w:val="both"/>
        <w:rPr>
          <w:rFonts w:ascii="Arial" w:hAnsi="Arial" w:cs="Arial"/>
          <w:color w:val="000000" w:themeColor="text1"/>
          <w:sz w:val="19"/>
          <w:szCs w:val="19"/>
        </w:rPr>
      </w:pPr>
      <w:r w:rsidRPr="00171853">
        <w:rPr>
          <w:rStyle w:val="Refdenotaalpie"/>
          <w:rFonts w:ascii="Arial" w:hAnsi="Arial" w:cs="Arial"/>
          <w:color w:val="000000" w:themeColor="text1"/>
          <w:sz w:val="19"/>
          <w:szCs w:val="19"/>
        </w:rPr>
        <w:footnoteRef/>
      </w:r>
      <w:r w:rsidRPr="00171853">
        <w:rPr>
          <w:rFonts w:ascii="Arial" w:hAnsi="Arial" w:cs="Arial"/>
          <w:color w:val="000000" w:themeColor="text1"/>
          <w:sz w:val="19"/>
          <w:szCs w:val="19"/>
        </w:rPr>
        <w:t xml:space="preserve"> </w:t>
      </w:r>
      <w:r w:rsidRPr="00D678E6">
        <w:rPr>
          <w:rFonts w:ascii="Arial" w:hAnsi="Arial" w:cs="Arial"/>
          <w:color w:val="000000" w:themeColor="text1"/>
          <w:sz w:val="19"/>
          <w:szCs w:val="19"/>
          <w:lang w:val="es-CO"/>
        </w:rPr>
        <w:t xml:space="preserve">Ver Consejo de Estado, Sección Tercera, Subsección C. Sentencia del 26 de febrero de 2014. </w:t>
      </w:r>
      <w:r w:rsidRPr="00131337">
        <w:rPr>
          <w:rFonts w:ascii="Arial" w:hAnsi="Arial" w:cs="Arial"/>
          <w:color w:val="000000" w:themeColor="text1"/>
          <w:sz w:val="19"/>
          <w:szCs w:val="19"/>
          <w:lang w:val="es-CO"/>
        </w:rPr>
        <w:t>C.P. Enrique Gil Botero. Rad. 25.804.</w:t>
      </w:r>
      <w:r w:rsidRPr="00131337">
        <w:rPr>
          <w:rFonts w:ascii="Arial" w:hAnsi="Arial" w:cs="Arial"/>
          <w:color w:val="000000" w:themeColor="text1"/>
          <w:sz w:val="19"/>
          <w:szCs w:val="19"/>
        </w:rPr>
        <w:t xml:space="preserve">  </w:t>
      </w:r>
    </w:p>
    <w:p w14:paraId="38A558EE" w14:textId="77777777" w:rsidR="009A62EC" w:rsidRPr="00131337" w:rsidRDefault="009A62EC" w:rsidP="00DB2904">
      <w:pPr>
        <w:pStyle w:val="Textonotapie"/>
        <w:ind w:firstLine="709"/>
        <w:jc w:val="both"/>
        <w:rPr>
          <w:rFonts w:ascii="Arial" w:hAnsi="Arial" w:cs="Arial"/>
          <w:color w:val="000000" w:themeColor="text1"/>
          <w:sz w:val="19"/>
          <w:szCs w:val="19"/>
        </w:rPr>
      </w:pPr>
    </w:p>
  </w:footnote>
  <w:footnote w:id="29">
    <w:p w14:paraId="3A5167FF" w14:textId="77777777" w:rsidR="009A62EC" w:rsidRPr="00131337" w:rsidRDefault="009A62EC" w:rsidP="00DB2904">
      <w:pPr>
        <w:pStyle w:val="Textonotapie"/>
        <w:ind w:firstLine="709"/>
        <w:jc w:val="both"/>
        <w:rPr>
          <w:rFonts w:ascii="Arial" w:hAnsi="Arial" w:cs="Arial"/>
          <w:color w:val="000000" w:themeColor="text1"/>
          <w:sz w:val="19"/>
          <w:szCs w:val="19"/>
          <w:lang w:val="es-CO"/>
        </w:rPr>
      </w:pPr>
      <w:r w:rsidRPr="00171853">
        <w:rPr>
          <w:rStyle w:val="Refdenotaalpie"/>
          <w:rFonts w:ascii="Arial" w:hAnsi="Arial" w:cs="Arial"/>
          <w:color w:val="000000" w:themeColor="text1"/>
          <w:sz w:val="19"/>
          <w:szCs w:val="19"/>
        </w:rPr>
        <w:footnoteRef/>
      </w:r>
      <w:r w:rsidRPr="00171853">
        <w:rPr>
          <w:rFonts w:ascii="Arial" w:hAnsi="Arial" w:cs="Arial"/>
          <w:color w:val="000000" w:themeColor="text1"/>
          <w:sz w:val="19"/>
          <w:szCs w:val="19"/>
        </w:rPr>
        <w:t xml:space="preserve"> </w:t>
      </w:r>
      <w:r w:rsidRPr="00D678E6">
        <w:rPr>
          <w:rFonts w:ascii="Arial" w:hAnsi="Arial" w:cs="Arial"/>
          <w:color w:val="000000" w:themeColor="text1"/>
          <w:sz w:val="19"/>
          <w:szCs w:val="19"/>
          <w:lang w:val="es-CO"/>
        </w:rPr>
        <w:t>Consejo de Estado, Sala de Consulta y Servicio Civil, concepto del 20 de mayo de 2010. C.P. Enrique José Arboleda Perdomo. Rad. 2010-00034-00(1992).</w:t>
      </w:r>
    </w:p>
    <w:p w14:paraId="600F6AB1" w14:textId="77777777" w:rsidR="009A62EC" w:rsidRPr="00131337" w:rsidRDefault="009A62EC" w:rsidP="00DB2904">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5923" w14:textId="72BD7C0A" w:rsidR="009A62EC" w:rsidRDefault="009A62EC">
    <w:pPr>
      <w:pStyle w:val="Encabezado"/>
    </w:pPr>
  </w:p>
  <w:p w14:paraId="6A4C7F2C" w14:textId="7D093DBB" w:rsidR="009A62EC" w:rsidRDefault="009A62EC">
    <w:pPr>
      <w:pStyle w:val="Encabezado"/>
    </w:pPr>
  </w:p>
  <w:p w14:paraId="055F2E1F" w14:textId="0B935ADD" w:rsidR="009A62EC" w:rsidRDefault="009A62EC">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9A62EC" w:rsidRDefault="009A62EC">
    <w:pPr>
      <w:pStyle w:val="Encabezado"/>
    </w:pPr>
  </w:p>
  <w:p w14:paraId="3D323BDB" w14:textId="04AF0DE6" w:rsidR="009A62EC" w:rsidRDefault="009A62EC">
    <w:pPr>
      <w:pStyle w:val="Encabezado"/>
    </w:pPr>
  </w:p>
  <w:p w14:paraId="6520770B" w14:textId="18EB07B5" w:rsidR="009A62EC" w:rsidRDefault="009A62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49862DC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3"/>
  </w:num>
  <w:num w:numId="2">
    <w:abstractNumId w:val="2"/>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hideSpellingErrors/>
  <w:hideGrammaticalError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1DEA"/>
    <w:rsid w:val="00002BCC"/>
    <w:rsid w:val="000114DD"/>
    <w:rsid w:val="00022EA0"/>
    <w:rsid w:val="00025103"/>
    <w:rsid w:val="00026415"/>
    <w:rsid w:val="00030DA7"/>
    <w:rsid w:val="000342AB"/>
    <w:rsid w:val="00044810"/>
    <w:rsid w:val="0004643C"/>
    <w:rsid w:val="00046B6A"/>
    <w:rsid w:val="00060EBA"/>
    <w:rsid w:val="0006180F"/>
    <w:rsid w:val="00064A04"/>
    <w:rsid w:val="0006530E"/>
    <w:rsid w:val="00070081"/>
    <w:rsid w:val="00074A6D"/>
    <w:rsid w:val="000754D2"/>
    <w:rsid w:val="00081384"/>
    <w:rsid w:val="00083666"/>
    <w:rsid w:val="000942EB"/>
    <w:rsid w:val="00095168"/>
    <w:rsid w:val="000A2925"/>
    <w:rsid w:val="000A3CD1"/>
    <w:rsid w:val="000A3DB1"/>
    <w:rsid w:val="000B0BA3"/>
    <w:rsid w:val="000B103F"/>
    <w:rsid w:val="000B348C"/>
    <w:rsid w:val="000C03A4"/>
    <w:rsid w:val="000C3A30"/>
    <w:rsid w:val="000C400E"/>
    <w:rsid w:val="000E4ACB"/>
    <w:rsid w:val="000F02F1"/>
    <w:rsid w:val="000F14E8"/>
    <w:rsid w:val="000F4CAB"/>
    <w:rsid w:val="000F6075"/>
    <w:rsid w:val="00100035"/>
    <w:rsid w:val="00100075"/>
    <w:rsid w:val="00103439"/>
    <w:rsid w:val="00103915"/>
    <w:rsid w:val="00107BC1"/>
    <w:rsid w:val="00121404"/>
    <w:rsid w:val="00122B23"/>
    <w:rsid w:val="00123AF3"/>
    <w:rsid w:val="00131337"/>
    <w:rsid w:val="00131392"/>
    <w:rsid w:val="00137409"/>
    <w:rsid w:val="00137FFA"/>
    <w:rsid w:val="0014229F"/>
    <w:rsid w:val="00143C81"/>
    <w:rsid w:val="001445D0"/>
    <w:rsid w:val="00144927"/>
    <w:rsid w:val="00150145"/>
    <w:rsid w:val="00153822"/>
    <w:rsid w:val="001541DB"/>
    <w:rsid w:val="00163F17"/>
    <w:rsid w:val="00171853"/>
    <w:rsid w:val="0017256D"/>
    <w:rsid w:val="00175168"/>
    <w:rsid w:val="00176E5C"/>
    <w:rsid w:val="00185BC9"/>
    <w:rsid w:val="001921AA"/>
    <w:rsid w:val="00194F14"/>
    <w:rsid w:val="00196947"/>
    <w:rsid w:val="00197923"/>
    <w:rsid w:val="001A77B6"/>
    <w:rsid w:val="001B15F9"/>
    <w:rsid w:val="001B4077"/>
    <w:rsid w:val="001C2287"/>
    <w:rsid w:val="001D5054"/>
    <w:rsid w:val="001E4F07"/>
    <w:rsid w:val="001E5723"/>
    <w:rsid w:val="001E6998"/>
    <w:rsid w:val="0020040A"/>
    <w:rsid w:val="002103F6"/>
    <w:rsid w:val="00227EFE"/>
    <w:rsid w:val="00230B6D"/>
    <w:rsid w:val="00234B84"/>
    <w:rsid w:val="00235491"/>
    <w:rsid w:val="002438A1"/>
    <w:rsid w:val="002468CB"/>
    <w:rsid w:val="00246DE3"/>
    <w:rsid w:val="00284E09"/>
    <w:rsid w:val="0028609A"/>
    <w:rsid w:val="00295B67"/>
    <w:rsid w:val="002A236A"/>
    <w:rsid w:val="002A733A"/>
    <w:rsid w:val="002B05BC"/>
    <w:rsid w:val="002B23AB"/>
    <w:rsid w:val="002B2CF4"/>
    <w:rsid w:val="002C0949"/>
    <w:rsid w:val="002C1A39"/>
    <w:rsid w:val="002C7DAF"/>
    <w:rsid w:val="002D4BB5"/>
    <w:rsid w:val="002D5C47"/>
    <w:rsid w:val="002E030B"/>
    <w:rsid w:val="002E101F"/>
    <w:rsid w:val="002E289C"/>
    <w:rsid w:val="002E2990"/>
    <w:rsid w:val="002E5783"/>
    <w:rsid w:val="002F22D2"/>
    <w:rsid w:val="002F2775"/>
    <w:rsid w:val="0030200D"/>
    <w:rsid w:val="003033BA"/>
    <w:rsid w:val="003069DF"/>
    <w:rsid w:val="0031338E"/>
    <w:rsid w:val="0031376B"/>
    <w:rsid w:val="00331EEA"/>
    <w:rsid w:val="00334A88"/>
    <w:rsid w:val="00344842"/>
    <w:rsid w:val="0034680A"/>
    <w:rsid w:val="003516F7"/>
    <w:rsid w:val="0037048E"/>
    <w:rsid w:val="003712D6"/>
    <w:rsid w:val="00381971"/>
    <w:rsid w:val="00386009"/>
    <w:rsid w:val="00386456"/>
    <w:rsid w:val="00393F05"/>
    <w:rsid w:val="00396E0D"/>
    <w:rsid w:val="003A0E2C"/>
    <w:rsid w:val="003A581E"/>
    <w:rsid w:val="003A6E6D"/>
    <w:rsid w:val="003B2566"/>
    <w:rsid w:val="003C29E9"/>
    <w:rsid w:val="003C5620"/>
    <w:rsid w:val="003D2AAA"/>
    <w:rsid w:val="003E2827"/>
    <w:rsid w:val="003E3638"/>
    <w:rsid w:val="003E75C3"/>
    <w:rsid w:val="003E7E41"/>
    <w:rsid w:val="004011C8"/>
    <w:rsid w:val="00411827"/>
    <w:rsid w:val="00425426"/>
    <w:rsid w:val="00430D36"/>
    <w:rsid w:val="004422D6"/>
    <w:rsid w:val="00446323"/>
    <w:rsid w:val="00461E4E"/>
    <w:rsid w:val="00462D3F"/>
    <w:rsid w:val="00464B41"/>
    <w:rsid w:val="0047353C"/>
    <w:rsid w:val="00481F81"/>
    <w:rsid w:val="0048330E"/>
    <w:rsid w:val="004860DC"/>
    <w:rsid w:val="00496FD2"/>
    <w:rsid w:val="004A09B1"/>
    <w:rsid w:val="004A34D2"/>
    <w:rsid w:val="004B6C07"/>
    <w:rsid w:val="004C1092"/>
    <w:rsid w:val="004C744E"/>
    <w:rsid w:val="004D1370"/>
    <w:rsid w:val="004D657A"/>
    <w:rsid w:val="004D7916"/>
    <w:rsid w:val="004E2610"/>
    <w:rsid w:val="004E34D4"/>
    <w:rsid w:val="004F4701"/>
    <w:rsid w:val="004F7B2E"/>
    <w:rsid w:val="005015AE"/>
    <w:rsid w:val="0050263C"/>
    <w:rsid w:val="00507813"/>
    <w:rsid w:val="0051074C"/>
    <w:rsid w:val="00512599"/>
    <w:rsid w:val="00513A23"/>
    <w:rsid w:val="00513AF2"/>
    <w:rsid w:val="00513E6B"/>
    <w:rsid w:val="00515084"/>
    <w:rsid w:val="00525B9B"/>
    <w:rsid w:val="00530EE4"/>
    <w:rsid w:val="005353AF"/>
    <w:rsid w:val="0053748D"/>
    <w:rsid w:val="00543F64"/>
    <w:rsid w:val="0054413A"/>
    <w:rsid w:val="005452C6"/>
    <w:rsid w:val="0055097F"/>
    <w:rsid w:val="005529C5"/>
    <w:rsid w:val="005562E2"/>
    <w:rsid w:val="005564CA"/>
    <w:rsid w:val="00571BBC"/>
    <w:rsid w:val="0057201B"/>
    <w:rsid w:val="005726ED"/>
    <w:rsid w:val="00587203"/>
    <w:rsid w:val="0059174C"/>
    <w:rsid w:val="00592648"/>
    <w:rsid w:val="005A1679"/>
    <w:rsid w:val="005A79FE"/>
    <w:rsid w:val="005A7C11"/>
    <w:rsid w:val="005B2FFD"/>
    <w:rsid w:val="005B5C76"/>
    <w:rsid w:val="005B5D7A"/>
    <w:rsid w:val="005B666D"/>
    <w:rsid w:val="005B7C05"/>
    <w:rsid w:val="005C0AFA"/>
    <w:rsid w:val="005C3B19"/>
    <w:rsid w:val="005D142C"/>
    <w:rsid w:val="005E55F5"/>
    <w:rsid w:val="005F71B7"/>
    <w:rsid w:val="00630DCF"/>
    <w:rsid w:val="0063387F"/>
    <w:rsid w:val="0063791A"/>
    <w:rsid w:val="00637A53"/>
    <w:rsid w:val="00640532"/>
    <w:rsid w:val="00640ADA"/>
    <w:rsid w:val="00642E5B"/>
    <w:rsid w:val="0064568F"/>
    <w:rsid w:val="00654113"/>
    <w:rsid w:val="00655371"/>
    <w:rsid w:val="006706A7"/>
    <w:rsid w:val="00672331"/>
    <w:rsid w:val="00684EF3"/>
    <w:rsid w:val="00693A3A"/>
    <w:rsid w:val="00697665"/>
    <w:rsid w:val="006A0E3A"/>
    <w:rsid w:val="006A2CFA"/>
    <w:rsid w:val="006A7FD0"/>
    <w:rsid w:val="006B07C5"/>
    <w:rsid w:val="006C6966"/>
    <w:rsid w:val="006D7687"/>
    <w:rsid w:val="006E0572"/>
    <w:rsid w:val="006E4967"/>
    <w:rsid w:val="006F0B2D"/>
    <w:rsid w:val="006F4604"/>
    <w:rsid w:val="006F508D"/>
    <w:rsid w:val="006F5C0F"/>
    <w:rsid w:val="00704745"/>
    <w:rsid w:val="00705631"/>
    <w:rsid w:val="0071343B"/>
    <w:rsid w:val="007231AA"/>
    <w:rsid w:val="00726B17"/>
    <w:rsid w:val="00727F15"/>
    <w:rsid w:val="00732036"/>
    <w:rsid w:val="00732CA8"/>
    <w:rsid w:val="00733B72"/>
    <w:rsid w:val="00737919"/>
    <w:rsid w:val="007425C6"/>
    <w:rsid w:val="00742DD2"/>
    <w:rsid w:val="0075647A"/>
    <w:rsid w:val="0075779C"/>
    <w:rsid w:val="007634AD"/>
    <w:rsid w:val="00766808"/>
    <w:rsid w:val="0077308B"/>
    <w:rsid w:val="00776C60"/>
    <w:rsid w:val="00780A16"/>
    <w:rsid w:val="0078122E"/>
    <w:rsid w:val="00784B80"/>
    <w:rsid w:val="007852A9"/>
    <w:rsid w:val="00787CFC"/>
    <w:rsid w:val="007A00E8"/>
    <w:rsid w:val="007A3935"/>
    <w:rsid w:val="007A6942"/>
    <w:rsid w:val="007B0854"/>
    <w:rsid w:val="007B0957"/>
    <w:rsid w:val="007D153B"/>
    <w:rsid w:val="007D55D9"/>
    <w:rsid w:val="007D6C5E"/>
    <w:rsid w:val="007E1514"/>
    <w:rsid w:val="007F2C3A"/>
    <w:rsid w:val="007F72CB"/>
    <w:rsid w:val="00807049"/>
    <w:rsid w:val="008155F6"/>
    <w:rsid w:val="008253FD"/>
    <w:rsid w:val="0083071B"/>
    <w:rsid w:val="0083119B"/>
    <w:rsid w:val="008354B6"/>
    <w:rsid w:val="00836EAB"/>
    <w:rsid w:val="00840641"/>
    <w:rsid w:val="00844232"/>
    <w:rsid w:val="0085092D"/>
    <w:rsid w:val="00855B97"/>
    <w:rsid w:val="0086751D"/>
    <w:rsid w:val="00867968"/>
    <w:rsid w:val="008705CE"/>
    <w:rsid w:val="00877B65"/>
    <w:rsid w:val="0088040C"/>
    <w:rsid w:val="00885121"/>
    <w:rsid w:val="00891710"/>
    <w:rsid w:val="00892A09"/>
    <w:rsid w:val="00894247"/>
    <w:rsid w:val="008A26C0"/>
    <w:rsid w:val="008A4518"/>
    <w:rsid w:val="008B6117"/>
    <w:rsid w:val="008D5B3A"/>
    <w:rsid w:val="008E0D4F"/>
    <w:rsid w:val="008E1C15"/>
    <w:rsid w:val="008E668C"/>
    <w:rsid w:val="008F6C36"/>
    <w:rsid w:val="009016B2"/>
    <w:rsid w:val="009047C5"/>
    <w:rsid w:val="009131E1"/>
    <w:rsid w:val="009133F5"/>
    <w:rsid w:val="00930D44"/>
    <w:rsid w:val="00933A4E"/>
    <w:rsid w:val="00933BF7"/>
    <w:rsid w:val="00937D3A"/>
    <w:rsid w:val="00941CD2"/>
    <w:rsid w:val="0094678F"/>
    <w:rsid w:val="0095385A"/>
    <w:rsid w:val="009554BE"/>
    <w:rsid w:val="00955B8A"/>
    <w:rsid w:val="009604B6"/>
    <w:rsid w:val="0096067A"/>
    <w:rsid w:val="00960A1E"/>
    <w:rsid w:val="00965F93"/>
    <w:rsid w:val="0096683F"/>
    <w:rsid w:val="00972E63"/>
    <w:rsid w:val="00975B8D"/>
    <w:rsid w:val="00977DF6"/>
    <w:rsid w:val="00980956"/>
    <w:rsid w:val="0099177B"/>
    <w:rsid w:val="00993AC5"/>
    <w:rsid w:val="009A62EC"/>
    <w:rsid w:val="009B36BB"/>
    <w:rsid w:val="009C374C"/>
    <w:rsid w:val="009C46B8"/>
    <w:rsid w:val="009C73A8"/>
    <w:rsid w:val="009E3124"/>
    <w:rsid w:val="009E41F9"/>
    <w:rsid w:val="009E4FE1"/>
    <w:rsid w:val="00A0528D"/>
    <w:rsid w:val="00A06A3A"/>
    <w:rsid w:val="00A130F1"/>
    <w:rsid w:val="00A1630F"/>
    <w:rsid w:val="00A16498"/>
    <w:rsid w:val="00A177BB"/>
    <w:rsid w:val="00A24270"/>
    <w:rsid w:val="00A24560"/>
    <w:rsid w:val="00A26A6B"/>
    <w:rsid w:val="00A31ED1"/>
    <w:rsid w:val="00A34538"/>
    <w:rsid w:val="00A40A5F"/>
    <w:rsid w:val="00A52BE1"/>
    <w:rsid w:val="00A55008"/>
    <w:rsid w:val="00A5609E"/>
    <w:rsid w:val="00A652BE"/>
    <w:rsid w:val="00A71024"/>
    <w:rsid w:val="00A767C2"/>
    <w:rsid w:val="00A77E6F"/>
    <w:rsid w:val="00A860E8"/>
    <w:rsid w:val="00A94CDE"/>
    <w:rsid w:val="00AA442B"/>
    <w:rsid w:val="00AA58EA"/>
    <w:rsid w:val="00AB01B9"/>
    <w:rsid w:val="00AC06A2"/>
    <w:rsid w:val="00AD0157"/>
    <w:rsid w:val="00AD08C5"/>
    <w:rsid w:val="00AD0905"/>
    <w:rsid w:val="00AD134D"/>
    <w:rsid w:val="00AE5A06"/>
    <w:rsid w:val="00AE78E3"/>
    <w:rsid w:val="00AF1C16"/>
    <w:rsid w:val="00AF2288"/>
    <w:rsid w:val="00B02414"/>
    <w:rsid w:val="00B05804"/>
    <w:rsid w:val="00B129A6"/>
    <w:rsid w:val="00B151F7"/>
    <w:rsid w:val="00B15F27"/>
    <w:rsid w:val="00B1745B"/>
    <w:rsid w:val="00B22E22"/>
    <w:rsid w:val="00B26EB2"/>
    <w:rsid w:val="00B37AA5"/>
    <w:rsid w:val="00B41600"/>
    <w:rsid w:val="00B4756A"/>
    <w:rsid w:val="00B525CB"/>
    <w:rsid w:val="00B63CB2"/>
    <w:rsid w:val="00B66643"/>
    <w:rsid w:val="00B704E0"/>
    <w:rsid w:val="00B7148B"/>
    <w:rsid w:val="00B9283A"/>
    <w:rsid w:val="00B941BE"/>
    <w:rsid w:val="00BA0D14"/>
    <w:rsid w:val="00BA514B"/>
    <w:rsid w:val="00BB35B1"/>
    <w:rsid w:val="00BB4C8F"/>
    <w:rsid w:val="00BD0A9B"/>
    <w:rsid w:val="00BD78FE"/>
    <w:rsid w:val="00BE46A4"/>
    <w:rsid w:val="00BE7D8D"/>
    <w:rsid w:val="00BF1119"/>
    <w:rsid w:val="00BF4BED"/>
    <w:rsid w:val="00C45930"/>
    <w:rsid w:val="00C52836"/>
    <w:rsid w:val="00C55891"/>
    <w:rsid w:val="00C55AEE"/>
    <w:rsid w:val="00C65B95"/>
    <w:rsid w:val="00C65E40"/>
    <w:rsid w:val="00C736E2"/>
    <w:rsid w:val="00C902B2"/>
    <w:rsid w:val="00C9095B"/>
    <w:rsid w:val="00C9254D"/>
    <w:rsid w:val="00CA287E"/>
    <w:rsid w:val="00CA5419"/>
    <w:rsid w:val="00CA61B3"/>
    <w:rsid w:val="00CA6808"/>
    <w:rsid w:val="00CB1244"/>
    <w:rsid w:val="00CB168A"/>
    <w:rsid w:val="00CB311E"/>
    <w:rsid w:val="00CB3F3C"/>
    <w:rsid w:val="00CB614F"/>
    <w:rsid w:val="00CB79E0"/>
    <w:rsid w:val="00CC00CD"/>
    <w:rsid w:val="00CC2BDD"/>
    <w:rsid w:val="00CD5120"/>
    <w:rsid w:val="00CD7854"/>
    <w:rsid w:val="00CF1516"/>
    <w:rsid w:val="00D12072"/>
    <w:rsid w:val="00D16E39"/>
    <w:rsid w:val="00D25C27"/>
    <w:rsid w:val="00D30B36"/>
    <w:rsid w:val="00D3134B"/>
    <w:rsid w:val="00D57803"/>
    <w:rsid w:val="00D640FE"/>
    <w:rsid w:val="00D678E6"/>
    <w:rsid w:val="00D72E9D"/>
    <w:rsid w:val="00D73025"/>
    <w:rsid w:val="00D77236"/>
    <w:rsid w:val="00D811E0"/>
    <w:rsid w:val="00D82CE5"/>
    <w:rsid w:val="00D94CFB"/>
    <w:rsid w:val="00DA5AB1"/>
    <w:rsid w:val="00DA5C45"/>
    <w:rsid w:val="00DB067A"/>
    <w:rsid w:val="00DB08B4"/>
    <w:rsid w:val="00DB2904"/>
    <w:rsid w:val="00DC08DE"/>
    <w:rsid w:val="00DC51B1"/>
    <w:rsid w:val="00DC52CE"/>
    <w:rsid w:val="00DC62E5"/>
    <w:rsid w:val="00DC774C"/>
    <w:rsid w:val="00DD0085"/>
    <w:rsid w:val="00DD1909"/>
    <w:rsid w:val="00DD735D"/>
    <w:rsid w:val="00DE3119"/>
    <w:rsid w:val="00DE77B3"/>
    <w:rsid w:val="00DF0CCE"/>
    <w:rsid w:val="00DF236B"/>
    <w:rsid w:val="00E0691F"/>
    <w:rsid w:val="00E10D5A"/>
    <w:rsid w:val="00E13AB8"/>
    <w:rsid w:val="00E338D4"/>
    <w:rsid w:val="00E33B62"/>
    <w:rsid w:val="00E35602"/>
    <w:rsid w:val="00E47C98"/>
    <w:rsid w:val="00E71D0C"/>
    <w:rsid w:val="00E87D7A"/>
    <w:rsid w:val="00E91ED1"/>
    <w:rsid w:val="00E96A3E"/>
    <w:rsid w:val="00E97DE2"/>
    <w:rsid w:val="00EC47C6"/>
    <w:rsid w:val="00EC753E"/>
    <w:rsid w:val="00ED1083"/>
    <w:rsid w:val="00F030E6"/>
    <w:rsid w:val="00F07535"/>
    <w:rsid w:val="00F36B50"/>
    <w:rsid w:val="00F454EE"/>
    <w:rsid w:val="00F472DE"/>
    <w:rsid w:val="00F52145"/>
    <w:rsid w:val="00F74CA3"/>
    <w:rsid w:val="00F76DB4"/>
    <w:rsid w:val="00F84899"/>
    <w:rsid w:val="00F859F0"/>
    <w:rsid w:val="00F86237"/>
    <w:rsid w:val="00F86590"/>
    <w:rsid w:val="00F876CA"/>
    <w:rsid w:val="00FC0BD1"/>
    <w:rsid w:val="00FC3F2D"/>
    <w:rsid w:val="00FD18BC"/>
    <w:rsid w:val="00FD72AE"/>
    <w:rsid w:val="00FD79E2"/>
    <w:rsid w:val="00FE11D2"/>
    <w:rsid w:val="00FE141E"/>
    <w:rsid w:val="00FE2A09"/>
    <w:rsid w:val="00FE6B15"/>
    <w:rsid w:val="00FE6BD5"/>
    <w:rsid w:val="00FF509C"/>
    <w:rsid w:val="00FF5C2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99"/>
    <w:semiHidden/>
    <w:unhideWhenUsed/>
    <w:rsid w:val="00DB2904"/>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semiHidden/>
    <w:rsid w:val="00DB2904"/>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50478843">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7788354">
      <w:bodyDiv w:val="1"/>
      <w:marLeft w:val="0"/>
      <w:marRight w:val="0"/>
      <w:marTop w:val="0"/>
      <w:marBottom w:val="0"/>
      <w:divBdr>
        <w:top w:val="none" w:sz="0" w:space="0" w:color="auto"/>
        <w:left w:val="none" w:sz="0" w:space="0" w:color="auto"/>
        <w:bottom w:val="none" w:sz="0" w:space="0" w:color="auto"/>
        <w:right w:val="none" w:sz="0" w:space="0" w:color="auto"/>
      </w:divBdr>
    </w:div>
    <w:div w:id="331371798">
      <w:bodyDiv w:val="1"/>
      <w:marLeft w:val="0"/>
      <w:marRight w:val="0"/>
      <w:marTop w:val="0"/>
      <w:marBottom w:val="0"/>
      <w:divBdr>
        <w:top w:val="none" w:sz="0" w:space="0" w:color="auto"/>
        <w:left w:val="none" w:sz="0" w:space="0" w:color="auto"/>
        <w:bottom w:val="none" w:sz="0" w:space="0" w:color="auto"/>
        <w:right w:val="none" w:sz="0" w:space="0" w:color="auto"/>
      </w:divBdr>
    </w:div>
    <w:div w:id="425200103">
      <w:bodyDiv w:val="1"/>
      <w:marLeft w:val="0"/>
      <w:marRight w:val="0"/>
      <w:marTop w:val="0"/>
      <w:marBottom w:val="0"/>
      <w:divBdr>
        <w:top w:val="none" w:sz="0" w:space="0" w:color="auto"/>
        <w:left w:val="none" w:sz="0" w:space="0" w:color="auto"/>
        <w:bottom w:val="none" w:sz="0" w:space="0" w:color="auto"/>
        <w:right w:val="none" w:sz="0" w:space="0" w:color="auto"/>
      </w:divBdr>
    </w:div>
    <w:div w:id="440611957">
      <w:bodyDiv w:val="1"/>
      <w:marLeft w:val="0"/>
      <w:marRight w:val="0"/>
      <w:marTop w:val="0"/>
      <w:marBottom w:val="0"/>
      <w:divBdr>
        <w:top w:val="none" w:sz="0" w:space="0" w:color="auto"/>
        <w:left w:val="none" w:sz="0" w:space="0" w:color="auto"/>
        <w:bottom w:val="none" w:sz="0" w:space="0" w:color="auto"/>
        <w:right w:val="none" w:sz="0" w:space="0" w:color="auto"/>
      </w:divBdr>
    </w:div>
    <w:div w:id="1146974875">
      <w:bodyDiv w:val="1"/>
      <w:marLeft w:val="0"/>
      <w:marRight w:val="0"/>
      <w:marTop w:val="0"/>
      <w:marBottom w:val="0"/>
      <w:divBdr>
        <w:top w:val="none" w:sz="0" w:space="0" w:color="auto"/>
        <w:left w:val="none" w:sz="0" w:space="0" w:color="auto"/>
        <w:bottom w:val="none" w:sz="0" w:space="0" w:color="auto"/>
        <w:right w:val="none" w:sz="0" w:space="0" w:color="auto"/>
      </w:divBdr>
    </w:div>
    <w:div w:id="134023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AC5F03EF-5E84-4250-954D-408DA2645B3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A82BCA33-790F-4B10-A67A-263FA834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3AE3BD-AF09-2247-A2BB-EB039CC7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32</TotalTime>
  <Pages>34</Pages>
  <Words>13250</Words>
  <Characters>72875</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7</cp:revision>
  <dcterms:created xsi:type="dcterms:W3CDTF">2020-08-11T13:45:00Z</dcterms:created>
  <dcterms:modified xsi:type="dcterms:W3CDTF">2020-08-20T13:23:00Z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