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0E09A0BA" w:rsidR="0034177C" w:rsidRPr="00BD5C6D" w:rsidRDefault="009F59C2" w:rsidP="00116A03">
      <w:pPr>
        <w:spacing w:before="120" w:after="120"/>
        <w:jc w:val="right"/>
        <w:rPr>
          <w:rFonts w:ascii="Arial" w:hAnsi="Arial" w:cs="Arial"/>
          <w:b/>
          <w:sz w:val="16"/>
          <w:szCs w:val="16"/>
          <w:lang w:val="es-CO" w:eastAsia="es-ES"/>
        </w:rPr>
      </w:pPr>
      <w:bookmarkStart w:id="0" w:name="_Hlk28946138"/>
      <w:bookmarkStart w:id="1" w:name="_Hlk29548183"/>
      <w:r w:rsidRPr="00BD5C6D">
        <w:rPr>
          <w:rFonts w:ascii="Arial" w:hAnsi="Arial" w:cs="Arial"/>
          <w:b/>
          <w:sz w:val="16"/>
          <w:szCs w:val="16"/>
          <w:lang w:val="es-CO" w:eastAsia="es-ES"/>
        </w:rPr>
        <w:tab/>
      </w:r>
      <w:r w:rsidR="0034177C" w:rsidRPr="00BD5C6D">
        <w:rPr>
          <w:rFonts w:ascii="Arial" w:hAnsi="Arial" w:cs="Arial"/>
          <w:b/>
          <w:sz w:val="16"/>
          <w:szCs w:val="16"/>
          <w:lang w:val="es-CO" w:eastAsia="es-ES"/>
        </w:rPr>
        <w:t>CCE-DES-FM-17</w:t>
      </w:r>
    </w:p>
    <w:p w14:paraId="2267BA64" w14:textId="77777777" w:rsidR="009574C1" w:rsidRPr="00EF36C2" w:rsidRDefault="009574C1" w:rsidP="008410FF">
      <w:pPr>
        <w:jc w:val="both"/>
        <w:rPr>
          <w:rFonts w:ascii="Arial" w:hAnsi="Arial" w:cs="Arial"/>
          <w:b/>
          <w:sz w:val="16"/>
          <w:szCs w:val="16"/>
          <w:lang w:val="es-CO" w:eastAsia="es-ES"/>
        </w:rPr>
      </w:pPr>
    </w:p>
    <w:p w14:paraId="7570839A" w14:textId="4E632566" w:rsidR="00F34C6F" w:rsidRPr="00BD5C6D" w:rsidRDefault="00F34C6F" w:rsidP="008410FF">
      <w:pPr>
        <w:jc w:val="both"/>
        <w:rPr>
          <w:rFonts w:ascii="Arial" w:eastAsia="Calibri" w:hAnsi="Arial" w:cs="Arial"/>
          <w:b/>
          <w:bCs/>
          <w:sz w:val="22"/>
          <w:lang w:val="es-CO"/>
        </w:rPr>
      </w:pPr>
      <w:r w:rsidRPr="00BD5C6D">
        <w:rPr>
          <w:rFonts w:ascii="Arial" w:eastAsia="Calibri" w:hAnsi="Arial" w:cs="Arial"/>
          <w:b/>
          <w:bCs/>
          <w:sz w:val="22"/>
          <w:lang w:val="es-CO"/>
        </w:rPr>
        <w:t xml:space="preserve">SECOP </w:t>
      </w:r>
      <w:r w:rsidR="003337B4" w:rsidRPr="00BD5C6D">
        <w:rPr>
          <w:rFonts w:ascii="Arial" w:eastAsia="Calibri" w:hAnsi="Arial" w:cs="Arial"/>
          <w:b/>
          <w:sz w:val="22"/>
          <w:lang w:val="es-CO"/>
        </w:rPr>
        <w:t>–</w:t>
      </w:r>
      <w:r w:rsidRPr="00BD5C6D">
        <w:rPr>
          <w:rFonts w:ascii="Arial" w:eastAsia="Calibri" w:hAnsi="Arial" w:cs="Arial"/>
          <w:b/>
          <w:bCs/>
          <w:sz w:val="22"/>
          <w:lang w:val="es-CO"/>
        </w:rPr>
        <w:t xml:space="preserve"> Publicidad </w:t>
      </w:r>
      <w:r w:rsidR="003337B4" w:rsidRPr="00BD5C6D">
        <w:rPr>
          <w:rFonts w:ascii="Arial" w:eastAsia="Calibri" w:hAnsi="Arial" w:cs="Arial"/>
          <w:b/>
          <w:sz w:val="22"/>
          <w:lang w:val="es-CO"/>
        </w:rPr>
        <w:t>–</w:t>
      </w:r>
      <w:r w:rsidRPr="00BD5C6D">
        <w:rPr>
          <w:rFonts w:ascii="Arial" w:eastAsia="Calibri" w:hAnsi="Arial" w:cs="Arial"/>
          <w:b/>
          <w:bCs/>
          <w:sz w:val="22"/>
          <w:lang w:val="es-CO"/>
        </w:rPr>
        <w:t xml:space="preserve"> Entidades de régimen especial </w:t>
      </w:r>
    </w:p>
    <w:p w14:paraId="7875A2AD" w14:textId="77777777" w:rsidR="00F34C6F" w:rsidRPr="00BD5C6D" w:rsidRDefault="00F34C6F" w:rsidP="008410FF">
      <w:pPr>
        <w:jc w:val="both"/>
        <w:rPr>
          <w:rFonts w:ascii="Arial" w:eastAsia="Calibri" w:hAnsi="Arial" w:cs="Arial"/>
          <w:sz w:val="20"/>
          <w:szCs w:val="20"/>
          <w:lang w:val="es-CO"/>
        </w:rPr>
      </w:pPr>
    </w:p>
    <w:p w14:paraId="53EED13D" w14:textId="70937361" w:rsidR="00F34C6F" w:rsidRPr="00BD5C6D" w:rsidRDefault="00BADF2E" w:rsidP="008410FF">
      <w:pPr>
        <w:jc w:val="both"/>
        <w:rPr>
          <w:rFonts w:ascii="Arial" w:eastAsia="Calibri" w:hAnsi="Arial" w:cs="Arial"/>
          <w:sz w:val="20"/>
          <w:szCs w:val="20"/>
          <w:lang w:val="es-CO"/>
        </w:rPr>
      </w:pPr>
      <w:r w:rsidRPr="00BD5C6D">
        <w:rPr>
          <w:rFonts w:ascii="Arial" w:eastAsia="Calibri" w:hAnsi="Arial" w:cs="Arial"/>
          <w:sz w:val="20"/>
          <w:szCs w:val="20"/>
          <w:lang w:val="es-CO"/>
        </w:rPr>
        <w:t xml:space="preserve">[...] </w:t>
      </w:r>
      <w:r w:rsidR="1DDA1FC6" w:rsidRPr="00BD5C6D">
        <w:rPr>
          <w:rFonts w:ascii="Arial" w:eastAsia="Calibri" w:hAnsi="Arial" w:cs="Arial"/>
          <w:sz w:val="20"/>
          <w:szCs w:val="20"/>
          <w:lang w:val="es-CO"/>
        </w:rPr>
        <w:t>l</w:t>
      </w:r>
      <w:r w:rsidR="00F34C6F" w:rsidRPr="00BD5C6D">
        <w:rPr>
          <w:rFonts w:ascii="Arial" w:eastAsia="Calibri" w:hAnsi="Arial" w:cs="Arial"/>
          <w:sz w:val="20"/>
          <w:szCs w:val="20"/>
          <w:lang w:val="es-CO"/>
        </w:rPr>
        <w:t xml:space="preserve">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w:t>
      </w:r>
      <w:r w:rsidR="00785D8E">
        <w:rPr>
          <w:rFonts w:ascii="Arial" w:eastAsia="Calibri" w:hAnsi="Arial" w:cs="Arial"/>
          <w:sz w:val="20"/>
          <w:szCs w:val="20"/>
          <w:lang w:val="es-CO"/>
        </w:rPr>
        <w:t>–</w:t>
      </w:r>
      <w:r w:rsidR="00F34C6F" w:rsidRPr="00BD5C6D">
        <w:rPr>
          <w:rFonts w:ascii="Arial" w:eastAsia="Calibri" w:hAnsi="Arial" w:cs="Arial"/>
          <w:sz w:val="20"/>
          <w:szCs w:val="20"/>
          <w:lang w:val="es-CO"/>
        </w:rPr>
        <w:t>se reitera</w:t>
      </w:r>
      <w:r w:rsidR="00785D8E">
        <w:rPr>
          <w:rFonts w:ascii="Arial" w:eastAsia="Calibri" w:hAnsi="Arial" w:cs="Arial"/>
          <w:sz w:val="20"/>
          <w:szCs w:val="20"/>
          <w:lang w:val="es-CO"/>
        </w:rPr>
        <w:t>–</w:t>
      </w:r>
      <w:r w:rsidR="00F34C6F" w:rsidRPr="00BD5C6D">
        <w:rPr>
          <w:rFonts w:ascii="Arial" w:eastAsia="Calibri" w:hAnsi="Arial" w:cs="Arial"/>
          <w:sz w:val="20"/>
          <w:szCs w:val="20"/>
          <w:lang w:val="es-CO"/>
        </w:rPr>
        <w:t xml:space="preserve"> al hecho de que la contratación implique la ejecución de recursos públicos. </w:t>
      </w:r>
    </w:p>
    <w:p w14:paraId="0BDDFDE2" w14:textId="77777777" w:rsidR="00F34C6F" w:rsidRPr="00BD5C6D" w:rsidRDefault="00F34C6F" w:rsidP="008410FF">
      <w:pPr>
        <w:pStyle w:val="Prrafodelista"/>
        <w:ind w:left="0"/>
        <w:jc w:val="both"/>
        <w:rPr>
          <w:rFonts w:ascii="Arial" w:eastAsia="Calibri" w:hAnsi="Arial" w:cs="Arial"/>
          <w:sz w:val="20"/>
          <w:szCs w:val="20"/>
          <w:lang w:val="es-CO"/>
        </w:rPr>
      </w:pPr>
    </w:p>
    <w:p w14:paraId="5E619015" w14:textId="5BEF36FC" w:rsidR="00F34C6F" w:rsidRPr="00BD5C6D" w:rsidRDefault="00F34C6F" w:rsidP="008410FF">
      <w:pPr>
        <w:pStyle w:val="Prrafodelista"/>
        <w:ind w:left="0"/>
        <w:jc w:val="both"/>
        <w:rPr>
          <w:rFonts w:ascii="Arial" w:eastAsia="Calibri" w:hAnsi="Arial" w:cs="Arial"/>
          <w:b/>
          <w:bCs/>
          <w:sz w:val="22"/>
          <w:lang w:val="es-CO"/>
        </w:rPr>
      </w:pPr>
      <w:r w:rsidRPr="00BD5C6D">
        <w:rPr>
          <w:rFonts w:ascii="Arial" w:eastAsia="Calibri" w:hAnsi="Arial" w:cs="Arial"/>
          <w:b/>
          <w:bCs/>
          <w:sz w:val="22"/>
          <w:lang w:val="es-CO"/>
        </w:rPr>
        <w:t xml:space="preserve">SECOP </w:t>
      </w:r>
      <w:r w:rsidR="003337B4" w:rsidRPr="00BD5C6D">
        <w:rPr>
          <w:rFonts w:ascii="Arial" w:eastAsia="Calibri" w:hAnsi="Arial" w:cs="Arial"/>
          <w:b/>
          <w:sz w:val="22"/>
          <w:lang w:val="es-CO"/>
        </w:rPr>
        <w:t>–</w:t>
      </w:r>
      <w:r w:rsidRPr="00BD5C6D">
        <w:rPr>
          <w:rFonts w:ascii="Arial" w:eastAsia="Calibri" w:hAnsi="Arial" w:cs="Arial"/>
          <w:b/>
          <w:bCs/>
          <w:sz w:val="22"/>
          <w:lang w:val="es-CO"/>
        </w:rPr>
        <w:t xml:space="preserve"> Publicidad </w:t>
      </w:r>
      <w:r w:rsidRPr="00BD5C6D">
        <w:rPr>
          <w:rFonts w:ascii="Arial" w:eastAsia="Calibri" w:hAnsi="Arial" w:cs="Arial"/>
          <w:b/>
          <w:bCs/>
          <w:sz w:val="22"/>
          <w:lang w:val="es-CO"/>
        </w:rPr>
        <w:softHyphen/>
      </w:r>
      <w:r w:rsidR="003337B4" w:rsidRPr="00BD5C6D">
        <w:rPr>
          <w:rFonts w:ascii="Arial" w:eastAsia="Calibri" w:hAnsi="Arial" w:cs="Arial"/>
          <w:b/>
          <w:sz w:val="22"/>
          <w:lang w:val="es-CO"/>
        </w:rPr>
        <w:t>–</w:t>
      </w:r>
      <w:r w:rsidRPr="00BD5C6D">
        <w:rPr>
          <w:rFonts w:ascii="Arial" w:eastAsia="Calibri" w:hAnsi="Arial" w:cs="Arial"/>
          <w:b/>
          <w:bCs/>
          <w:sz w:val="22"/>
          <w:lang w:val="es-CO"/>
        </w:rPr>
        <w:t xml:space="preserve"> Documentos </w:t>
      </w:r>
    </w:p>
    <w:p w14:paraId="5FE14C52" w14:textId="77777777" w:rsidR="00F34C6F" w:rsidRPr="00BD5C6D" w:rsidRDefault="00F34C6F" w:rsidP="008410FF">
      <w:pPr>
        <w:pStyle w:val="Prrafodelista"/>
        <w:ind w:left="0"/>
        <w:jc w:val="both"/>
        <w:rPr>
          <w:rFonts w:ascii="Arial" w:eastAsia="Calibri" w:hAnsi="Arial" w:cs="Arial"/>
          <w:sz w:val="20"/>
          <w:szCs w:val="20"/>
          <w:lang w:val="es-CO"/>
        </w:rPr>
      </w:pPr>
    </w:p>
    <w:p w14:paraId="676DD801" w14:textId="59E6CD59" w:rsidR="00C33688" w:rsidRPr="00BD5C6D" w:rsidRDefault="003337B4" w:rsidP="00094734">
      <w:pPr>
        <w:spacing w:after="120"/>
        <w:jc w:val="both"/>
        <w:rPr>
          <w:rFonts w:ascii="Arial" w:eastAsia="Calibri" w:hAnsi="Arial" w:cs="Arial"/>
          <w:sz w:val="20"/>
          <w:szCs w:val="20"/>
          <w:lang w:val="es-CO"/>
        </w:rPr>
      </w:pPr>
      <w:r w:rsidRPr="00BD5C6D">
        <w:rPr>
          <w:rFonts w:ascii="Arial" w:eastAsia="Calibri" w:hAnsi="Arial" w:cs="Arial"/>
          <w:sz w:val="20"/>
          <w:szCs w:val="20"/>
          <w:lang w:val="es-CO"/>
        </w:rPr>
        <w:t xml:space="preserve">[…] </w:t>
      </w:r>
      <w:r w:rsidR="5961C917" w:rsidRPr="00BD5C6D">
        <w:rPr>
          <w:rFonts w:ascii="Arial" w:eastAsia="Calibri" w:hAnsi="Arial" w:cs="Arial"/>
          <w:sz w:val="20"/>
          <w:szCs w:val="20"/>
          <w:lang w:val="es-CO"/>
        </w:rPr>
        <w:t>e</w:t>
      </w:r>
      <w:r w:rsidR="00F34C6F" w:rsidRPr="00BD5C6D">
        <w:rPr>
          <w:rFonts w:ascii="Arial" w:eastAsia="Calibri" w:hAnsi="Arial" w:cs="Arial"/>
          <w:sz w:val="20"/>
          <w:szCs w:val="20"/>
          <w:lang w:val="es-CO"/>
        </w:rPr>
        <w:t>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p w14:paraId="6139C5B2" w14:textId="7E97EB8E" w:rsidR="00F34C6F" w:rsidRPr="00BD5C6D" w:rsidRDefault="00F34C6F" w:rsidP="00477A51">
      <w:pPr>
        <w:jc w:val="both"/>
        <w:rPr>
          <w:rFonts w:ascii="Arial" w:eastAsia="Calibri" w:hAnsi="Arial" w:cs="Arial"/>
          <w:sz w:val="20"/>
          <w:szCs w:val="20"/>
          <w:lang w:val="es-CO"/>
        </w:rPr>
      </w:pPr>
      <w:r w:rsidRPr="00BD5C6D">
        <w:rPr>
          <w:rFonts w:ascii="Arial" w:eastAsia="Calibri" w:hAnsi="Arial" w:cs="Arial"/>
          <w:sz w:val="20"/>
          <w:szCs w:val="20"/>
          <w:lang w:val="es-CO"/>
        </w:rPr>
        <w:t xml:space="preserve">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00622AB0" w14:textId="3A10D1B8" w:rsidR="00F34C6F" w:rsidRPr="00BD5C6D" w:rsidRDefault="00F34C6F" w:rsidP="008410FF">
      <w:pPr>
        <w:jc w:val="both"/>
        <w:rPr>
          <w:rFonts w:ascii="Arial" w:eastAsia="Calibri" w:hAnsi="Arial" w:cs="Arial"/>
          <w:b/>
          <w:sz w:val="20"/>
          <w:szCs w:val="20"/>
          <w:lang w:val="es-CO"/>
        </w:rPr>
      </w:pPr>
    </w:p>
    <w:p w14:paraId="324A4AB3" w14:textId="4123BA27" w:rsidR="00103AA2" w:rsidRPr="00BD5C6D" w:rsidRDefault="00103AA2" w:rsidP="008410FF">
      <w:pPr>
        <w:jc w:val="both"/>
        <w:rPr>
          <w:rFonts w:ascii="Arial" w:eastAsia="Calibri" w:hAnsi="Arial" w:cs="Arial"/>
          <w:b/>
          <w:sz w:val="22"/>
          <w:lang w:val="es-CO"/>
        </w:rPr>
      </w:pPr>
      <w:r w:rsidRPr="00BD5C6D">
        <w:rPr>
          <w:rFonts w:ascii="Arial" w:eastAsia="Calibri" w:hAnsi="Arial" w:cs="Arial"/>
          <w:b/>
          <w:sz w:val="22"/>
          <w:lang w:val="es-CO"/>
        </w:rPr>
        <w:t>EMPRESAS DE SERVICIOS P</w:t>
      </w:r>
      <w:r w:rsidR="00EF36C2">
        <w:rPr>
          <w:rFonts w:ascii="Arial" w:eastAsia="Calibri" w:hAnsi="Arial" w:cs="Arial"/>
          <w:b/>
          <w:sz w:val="22"/>
          <w:lang w:val="es-CO"/>
        </w:rPr>
        <w:t>Ú</w:t>
      </w:r>
      <w:r w:rsidRPr="00BD5C6D">
        <w:rPr>
          <w:rFonts w:ascii="Arial" w:eastAsia="Calibri" w:hAnsi="Arial" w:cs="Arial"/>
          <w:b/>
          <w:sz w:val="22"/>
          <w:lang w:val="es-CO"/>
        </w:rPr>
        <w:t xml:space="preserve">BLICOS </w:t>
      </w:r>
      <w:r w:rsidR="003337B4" w:rsidRPr="00BD5C6D">
        <w:rPr>
          <w:rFonts w:ascii="Arial" w:eastAsia="Calibri" w:hAnsi="Arial" w:cs="Arial"/>
          <w:b/>
          <w:sz w:val="22"/>
          <w:lang w:val="es-CO"/>
        </w:rPr>
        <w:t>–</w:t>
      </w:r>
      <w:r w:rsidRPr="00BD5C6D">
        <w:rPr>
          <w:rFonts w:ascii="Arial" w:eastAsia="Calibri" w:hAnsi="Arial" w:cs="Arial"/>
          <w:b/>
          <w:sz w:val="22"/>
          <w:lang w:val="es-CO"/>
        </w:rPr>
        <w:t xml:space="preserve"> </w:t>
      </w:r>
      <w:r w:rsidR="00A62C84" w:rsidRPr="00BD5C6D">
        <w:rPr>
          <w:rFonts w:ascii="Arial" w:eastAsia="Calibri" w:hAnsi="Arial" w:cs="Arial"/>
          <w:b/>
          <w:sz w:val="22"/>
          <w:lang w:val="es-CO"/>
        </w:rPr>
        <w:t>Naturaleza jurídica especial</w:t>
      </w:r>
    </w:p>
    <w:p w14:paraId="63F97024" w14:textId="73500B76" w:rsidR="00103AA2" w:rsidRPr="00BD5C6D" w:rsidRDefault="00103AA2" w:rsidP="008410FF">
      <w:pPr>
        <w:jc w:val="both"/>
        <w:rPr>
          <w:rFonts w:ascii="Arial" w:eastAsia="Calibri" w:hAnsi="Arial" w:cs="Arial"/>
          <w:b/>
          <w:sz w:val="20"/>
          <w:szCs w:val="20"/>
          <w:lang w:val="es-CO"/>
        </w:rPr>
      </w:pPr>
    </w:p>
    <w:p w14:paraId="202AE8C2" w14:textId="77777777" w:rsidR="00A62C84" w:rsidRPr="00BD5C6D" w:rsidRDefault="00A62C84" w:rsidP="008410FF">
      <w:pPr>
        <w:jc w:val="both"/>
        <w:rPr>
          <w:rFonts w:ascii="Arial" w:hAnsi="Arial" w:cs="Arial"/>
          <w:sz w:val="20"/>
          <w:szCs w:val="20"/>
          <w:lang w:val="es-CO"/>
        </w:rPr>
      </w:pPr>
      <w:r w:rsidRPr="00BD5C6D">
        <w:rPr>
          <w:rFonts w:ascii="Arial" w:hAnsi="Arial" w:cs="Arial"/>
          <w:sz w:val="20"/>
          <w:szCs w:val="20"/>
          <w:lang w:val="es-CO"/>
        </w:rPr>
        <w:t xml:space="preserve">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60D4ADC5" w14:textId="5A1B3ACD" w:rsidR="00103AA2" w:rsidRPr="00BD5C6D" w:rsidRDefault="00103AA2" w:rsidP="008410FF">
      <w:pPr>
        <w:jc w:val="both"/>
        <w:rPr>
          <w:rFonts w:ascii="Arial" w:eastAsia="Calibri" w:hAnsi="Arial" w:cs="Arial"/>
          <w:b/>
          <w:sz w:val="20"/>
          <w:szCs w:val="20"/>
          <w:lang w:val="es-CO"/>
        </w:rPr>
      </w:pPr>
    </w:p>
    <w:p w14:paraId="61ABBB50" w14:textId="01D0FBD8" w:rsidR="00103AA2" w:rsidRPr="00BD5C6D" w:rsidRDefault="00A62C84" w:rsidP="008410FF">
      <w:pPr>
        <w:jc w:val="both"/>
        <w:rPr>
          <w:rFonts w:ascii="Arial" w:eastAsia="Calibri" w:hAnsi="Arial" w:cs="Arial"/>
          <w:b/>
          <w:sz w:val="22"/>
          <w:lang w:val="es-CO"/>
        </w:rPr>
      </w:pPr>
      <w:r w:rsidRPr="00BD5C6D">
        <w:rPr>
          <w:rFonts w:ascii="Arial" w:eastAsia="Calibri" w:hAnsi="Arial" w:cs="Arial"/>
          <w:b/>
          <w:sz w:val="22"/>
          <w:lang w:val="es-CO"/>
        </w:rPr>
        <w:t>EMPRESAS DE SERVICIOS P</w:t>
      </w:r>
      <w:r w:rsidR="00EF36C2">
        <w:rPr>
          <w:rFonts w:ascii="Arial" w:eastAsia="Calibri" w:hAnsi="Arial" w:cs="Arial"/>
          <w:b/>
          <w:sz w:val="22"/>
          <w:lang w:val="es-CO"/>
        </w:rPr>
        <w:t>Ú</w:t>
      </w:r>
      <w:r w:rsidRPr="00BD5C6D">
        <w:rPr>
          <w:rFonts w:ascii="Arial" w:eastAsia="Calibri" w:hAnsi="Arial" w:cs="Arial"/>
          <w:b/>
          <w:sz w:val="22"/>
          <w:lang w:val="es-CO"/>
        </w:rPr>
        <w:t xml:space="preserve">BLICOS </w:t>
      </w:r>
      <w:r w:rsidR="003337B4" w:rsidRPr="00BD5C6D">
        <w:rPr>
          <w:rFonts w:ascii="Arial" w:eastAsia="Calibri" w:hAnsi="Arial" w:cs="Arial"/>
          <w:b/>
          <w:sz w:val="22"/>
          <w:lang w:val="es-CO"/>
        </w:rPr>
        <w:t>–</w:t>
      </w:r>
      <w:r w:rsidRPr="00BD5C6D">
        <w:rPr>
          <w:rFonts w:ascii="Arial" w:eastAsia="Calibri" w:hAnsi="Arial" w:cs="Arial"/>
          <w:b/>
          <w:sz w:val="22"/>
          <w:lang w:val="es-CO"/>
        </w:rPr>
        <w:t xml:space="preserve"> Régimen contra</w:t>
      </w:r>
      <w:r w:rsidR="00655908">
        <w:rPr>
          <w:rFonts w:ascii="Arial" w:eastAsia="Calibri" w:hAnsi="Arial" w:cs="Arial"/>
          <w:b/>
          <w:sz w:val="22"/>
          <w:lang w:val="es-CO"/>
        </w:rPr>
        <w:t>ctual</w:t>
      </w:r>
      <w:r w:rsidRPr="00BD5C6D">
        <w:rPr>
          <w:rFonts w:ascii="Arial" w:eastAsia="Calibri" w:hAnsi="Arial" w:cs="Arial"/>
          <w:b/>
          <w:sz w:val="22"/>
          <w:lang w:val="es-CO"/>
        </w:rPr>
        <w:t xml:space="preserve"> </w:t>
      </w:r>
    </w:p>
    <w:p w14:paraId="24089C1F" w14:textId="7BC691FE" w:rsidR="00103AA2" w:rsidRPr="00BD5C6D" w:rsidRDefault="00103AA2" w:rsidP="008410FF">
      <w:pPr>
        <w:jc w:val="both"/>
        <w:rPr>
          <w:rFonts w:ascii="Arial" w:eastAsia="Calibri" w:hAnsi="Arial" w:cs="Arial"/>
          <w:b/>
          <w:sz w:val="20"/>
          <w:szCs w:val="20"/>
          <w:lang w:val="es-CO"/>
        </w:rPr>
      </w:pPr>
    </w:p>
    <w:p w14:paraId="3F5D1FC4" w14:textId="77777777" w:rsidR="00794CBB" w:rsidRPr="00BD5C6D" w:rsidRDefault="00A62C84" w:rsidP="00794CBB">
      <w:pPr>
        <w:spacing w:after="120"/>
        <w:jc w:val="both"/>
        <w:rPr>
          <w:rFonts w:ascii="Arial" w:hAnsi="Arial" w:cs="Arial"/>
          <w:sz w:val="20"/>
          <w:szCs w:val="20"/>
          <w:lang w:val="es-CO"/>
        </w:rPr>
      </w:pPr>
      <w:r w:rsidRPr="00BD5C6D">
        <w:rPr>
          <w:rFonts w:ascii="Arial" w:hAnsi="Arial" w:cs="Arial"/>
          <w:sz w:val="20"/>
          <w:szCs w:val="20"/>
          <w:lang w:val="es-CO"/>
        </w:rPr>
        <w:t>Finalmente, en cuanto al régimen jurídico de contratación de las empresas de servicios públicos, el artículo 31 de la Ley 142 de 1994 señala que «los contratos que celebren las entidades estatales que prestan los servicios públicos a los que se refiere esta Ley, y que tengan por objeto la prestación de esos servicios, se regirán por el parágrafo 1 del artículo 32 de la ley 80 de 1993 y por la presente Ley, salvo en lo que la presente Ley disponga otra cosa».</w:t>
      </w:r>
    </w:p>
    <w:p w14:paraId="133E77B4" w14:textId="77777777" w:rsidR="00F952AE" w:rsidRPr="00BD5C6D" w:rsidRDefault="00A62C84" w:rsidP="00F952AE">
      <w:pPr>
        <w:spacing w:after="120"/>
        <w:jc w:val="both"/>
        <w:rPr>
          <w:rFonts w:ascii="Arial" w:hAnsi="Arial" w:cs="Arial"/>
          <w:sz w:val="20"/>
          <w:szCs w:val="20"/>
          <w:lang w:val="es-CO"/>
        </w:rPr>
      </w:pPr>
      <w:r w:rsidRPr="00BD5C6D">
        <w:rPr>
          <w:rFonts w:ascii="Arial" w:hAnsi="Arial" w:cs="Arial"/>
          <w:sz w:val="20"/>
          <w:szCs w:val="20"/>
          <w:lang w:val="es-CO"/>
        </w:rPr>
        <w:t>El parágrafo 1 del artículo 32 de la Ley 80 señala que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p>
    <w:p w14:paraId="09D82DDC" w14:textId="5E82F0A2" w:rsidR="00A62C84" w:rsidRPr="00BD5C6D" w:rsidRDefault="00A62C84" w:rsidP="00F952AE">
      <w:pPr>
        <w:jc w:val="both"/>
        <w:rPr>
          <w:rFonts w:ascii="Arial" w:hAnsi="Arial" w:cs="Arial"/>
          <w:sz w:val="20"/>
          <w:szCs w:val="20"/>
          <w:lang w:val="es-CO"/>
        </w:rPr>
      </w:pPr>
      <w:r w:rsidRPr="00BD5C6D">
        <w:rPr>
          <w:rFonts w:ascii="Arial" w:hAnsi="Arial" w:cs="Arial"/>
          <w:sz w:val="20"/>
          <w:szCs w:val="20"/>
          <w:lang w:val="es-CO"/>
        </w:rPr>
        <w:lastRenderedPageBreak/>
        <w:t xml:space="preserve">Así las cosas, el régimen jurídico aplicable a los contratos que celebren las empresas de servicios públicos, incluso para las oficiales y las mixtas, es el contenido en la Ley 142 de 1994 y en el derecho privado, esto es, no están sometidas al Estatuto General de Contratación Estatal. Sin embargo, como ya se advirtió, eso no las exime del deber de publicar su actividad contractual, cuando ejecuten recursos públicos. </w:t>
      </w:r>
    </w:p>
    <w:p w14:paraId="0A040B52" w14:textId="064B0E38" w:rsidR="008410FF" w:rsidRPr="00BD5C6D" w:rsidRDefault="008410FF" w:rsidP="008410FF">
      <w:pPr>
        <w:pStyle w:val="Default"/>
        <w:rPr>
          <w:color w:val="auto"/>
          <w:sz w:val="20"/>
          <w:szCs w:val="20"/>
        </w:rPr>
      </w:pPr>
    </w:p>
    <w:p w14:paraId="270B6F28" w14:textId="1B4F85D9" w:rsidR="00721BEA" w:rsidRPr="00BD5C6D" w:rsidRDefault="00D56E40" w:rsidP="00477A51">
      <w:pPr>
        <w:pStyle w:val="Default"/>
        <w:jc w:val="both"/>
        <w:rPr>
          <w:rStyle w:val="letra8pt"/>
          <w:rFonts w:eastAsia="Calibri"/>
          <w:b/>
          <w:bCs/>
          <w:color w:val="auto"/>
          <w:sz w:val="22"/>
          <w:szCs w:val="22"/>
        </w:rPr>
      </w:pPr>
      <w:r w:rsidRPr="00BD5C6D">
        <w:rPr>
          <w:b/>
          <w:bCs/>
          <w:color w:val="auto"/>
          <w:sz w:val="22"/>
          <w:szCs w:val="22"/>
        </w:rPr>
        <w:t xml:space="preserve">EMPRESAS DE SERVICIOS PÚBLICOS </w:t>
      </w:r>
      <w:r w:rsidRPr="00BD5C6D">
        <w:rPr>
          <w:rFonts w:eastAsia="Calibri"/>
          <w:b/>
          <w:bCs/>
          <w:color w:val="auto"/>
          <w:sz w:val="22"/>
          <w:szCs w:val="22"/>
        </w:rPr>
        <w:t>–</w:t>
      </w:r>
      <w:r w:rsidR="00721BEA" w:rsidRPr="00BD5C6D">
        <w:rPr>
          <w:rFonts w:eastAsia="Calibri"/>
          <w:b/>
          <w:bCs/>
          <w:color w:val="auto"/>
          <w:sz w:val="22"/>
          <w:szCs w:val="22"/>
        </w:rPr>
        <w:t xml:space="preserve"> </w:t>
      </w:r>
      <w:r w:rsidR="00CF3CA7">
        <w:rPr>
          <w:rFonts w:eastAsia="Calibri"/>
          <w:b/>
          <w:bCs/>
          <w:color w:val="auto"/>
          <w:sz w:val="22"/>
          <w:szCs w:val="22"/>
        </w:rPr>
        <w:t>C</w:t>
      </w:r>
      <w:r w:rsidR="00CF3CA7" w:rsidRPr="00BD5C6D">
        <w:rPr>
          <w:rFonts w:eastAsia="Calibri"/>
          <w:b/>
          <w:bCs/>
          <w:color w:val="auto"/>
          <w:sz w:val="22"/>
          <w:szCs w:val="22"/>
        </w:rPr>
        <w:t>ontratos fondos de solidaridad y redistribución de ingresos</w:t>
      </w:r>
      <w:r w:rsidR="00721BEA" w:rsidRPr="00BD5C6D">
        <w:rPr>
          <w:rFonts w:eastAsia="Calibri"/>
          <w:b/>
          <w:bCs/>
          <w:color w:val="auto"/>
          <w:sz w:val="22"/>
          <w:szCs w:val="22"/>
        </w:rPr>
        <w:t xml:space="preserve"> – SECOP – Recursos </w:t>
      </w:r>
      <w:r w:rsidR="004A5754" w:rsidRPr="00BD5C6D">
        <w:rPr>
          <w:rFonts w:eastAsia="Calibri"/>
          <w:b/>
          <w:bCs/>
          <w:color w:val="auto"/>
          <w:sz w:val="22"/>
          <w:szCs w:val="22"/>
        </w:rPr>
        <w:t>públicos</w:t>
      </w:r>
      <w:r w:rsidR="00721BEA" w:rsidRPr="00BD5C6D">
        <w:rPr>
          <w:rFonts w:eastAsia="Calibri"/>
          <w:b/>
          <w:bCs/>
          <w:color w:val="auto"/>
          <w:sz w:val="22"/>
          <w:szCs w:val="22"/>
        </w:rPr>
        <w:t xml:space="preserve"> </w:t>
      </w:r>
    </w:p>
    <w:p w14:paraId="364AB867" w14:textId="77777777" w:rsidR="00E517F0" w:rsidRDefault="00E517F0" w:rsidP="00477A51">
      <w:pPr>
        <w:ind w:right="51"/>
        <w:jc w:val="both"/>
        <w:rPr>
          <w:rStyle w:val="letra8pt"/>
          <w:rFonts w:ascii="Arial" w:hAnsi="Arial" w:cs="Arial"/>
          <w:color w:val="000000"/>
          <w:sz w:val="21"/>
          <w:szCs w:val="21"/>
          <w:lang w:val="es-CO"/>
        </w:rPr>
      </w:pPr>
    </w:p>
    <w:p w14:paraId="7CB406CD" w14:textId="195A3FB5" w:rsidR="00721BEA" w:rsidRPr="00477A51" w:rsidRDefault="00721BEA" w:rsidP="00477A51">
      <w:pPr>
        <w:spacing w:after="120"/>
        <w:ind w:right="51"/>
        <w:jc w:val="both"/>
        <w:rPr>
          <w:rStyle w:val="letra8pt"/>
          <w:rFonts w:ascii="Arial" w:hAnsi="Arial" w:cs="Arial"/>
          <w:sz w:val="20"/>
          <w:szCs w:val="20"/>
          <w:lang w:val="es-CO"/>
        </w:rPr>
      </w:pPr>
      <w:r w:rsidRPr="00477A51">
        <w:rPr>
          <w:rStyle w:val="letra8pt"/>
          <w:rFonts w:ascii="Arial" w:hAnsi="Arial" w:cs="Arial"/>
          <w:sz w:val="20"/>
          <w:szCs w:val="20"/>
          <w:lang w:val="es-CO"/>
        </w:rPr>
        <w:t xml:space="preserve">El artículo 99 de la citada ley, establece las diferentes formas en que las entidades autorizadas, pueden conceder los subsidios, dentro de ellos a través de la figura de Fondos de solidaridad y redistribución de ingresos, como mecanismo para canalizar los recursos destinados para estos fines. Ahora bien, existe una exigencia legal para asegurar la transferencia de estos recursos, la cual consiste en que las empresas deben firmar contratos con el Municipio. </w:t>
      </w:r>
    </w:p>
    <w:p w14:paraId="2175EC4C" w14:textId="3D143F03" w:rsidR="00721BEA" w:rsidRPr="00477A51" w:rsidRDefault="00721BEA" w:rsidP="00477A51">
      <w:pPr>
        <w:spacing w:before="120"/>
        <w:ind w:right="51"/>
        <w:jc w:val="both"/>
        <w:rPr>
          <w:rFonts w:ascii="Arial" w:hAnsi="Arial" w:cs="Arial"/>
          <w:sz w:val="20"/>
          <w:szCs w:val="20"/>
          <w:lang w:val="es-CO"/>
        </w:rPr>
      </w:pPr>
      <w:r w:rsidRPr="00477A51">
        <w:rPr>
          <w:rStyle w:val="letra8pt"/>
          <w:rFonts w:ascii="Arial" w:hAnsi="Arial" w:cs="Arial"/>
          <w:sz w:val="20"/>
          <w:szCs w:val="20"/>
          <w:lang w:val="es-CO"/>
        </w:rPr>
        <w:t>En este punto, queda plenamente delimitado que una de las partes que suscribe dicho contrato para garantizar la transferencia de recursos, es una entidad estatal, conforme lo establece el artículo segundo de la Ley 80 de 1993, por lo tanto, se encuentra dentro del espectro de los contratos estatales, definidos por el artículo 32 de la misma norma. Por otro lado, la naturaleza de estos recursos es públicos, por lo tanto, se acoge también el criterio expuesto en apartes superiores sobre, la publicación de la contratación cuando se ejecuten recursos públicos.</w:t>
      </w:r>
    </w:p>
    <w:p w14:paraId="6B513FDA" w14:textId="406430E5" w:rsidR="00721BEA" w:rsidRDefault="00721BEA" w:rsidP="008410FF">
      <w:pPr>
        <w:pStyle w:val="Default"/>
        <w:rPr>
          <w:b/>
          <w:bCs/>
          <w:color w:val="auto"/>
          <w:sz w:val="22"/>
          <w:szCs w:val="22"/>
        </w:rPr>
      </w:pPr>
    </w:p>
    <w:p w14:paraId="5EB4A957" w14:textId="77777777" w:rsidR="00CF3CA7" w:rsidRPr="00BD5C6D" w:rsidRDefault="00CF3CA7" w:rsidP="008410FF">
      <w:pPr>
        <w:pStyle w:val="Default"/>
        <w:rPr>
          <w:b/>
          <w:bCs/>
          <w:color w:val="auto"/>
          <w:sz w:val="22"/>
          <w:szCs w:val="22"/>
        </w:rPr>
      </w:pPr>
    </w:p>
    <w:p w14:paraId="7674CDF4" w14:textId="335D85C7" w:rsidR="00721BEA" w:rsidRPr="00BD5C6D" w:rsidRDefault="00721BEA" w:rsidP="00721BEA">
      <w:pPr>
        <w:rPr>
          <w:rFonts w:ascii="Arial" w:hAnsi="Arial" w:cs="Arial"/>
          <w:b/>
          <w:sz w:val="22"/>
          <w:lang w:val="es-CO"/>
        </w:rPr>
      </w:pPr>
      <w:r w:rsidRPr="00BD5C6D">
        <w:rPr>
          <w:rFonts w:ascii="Arial" w:hAnsi="Arial" w:cs="Arial"/>
          <w:sz w:val="22"/>
          <w:lang w:val="es-CO"/>
        </w:rPr>
        <w:t xml:space="preserve">Bogotá D.C., </w:t>
      </w:r>
      <w:r w:rsidR="00663A8C">
        <w:rPr>
          <w:rFonts w:ascii="Arial" w:hAnsi="Arial" w:cs="Arial"/>
          <w:b/>
          <w:sz w:val="22"/>
          <w:lang w:val="es-CO"/>
        </w:rPr>
        <w:t>05/08/2020 Hora 18:57:7s</w:t>
      </w:r>
    </w:p>
    <w:p w14:paraId="7A0E07BE" w14:textId="77777777" w:rsidR="00721BEA" w:rsidRPr="00BD5C6D" w:rsidRDefault="00721BEA" w:rsidP="00721BEA">
      <w:pPr>
        <w:rPr>
          <w:rFonts w:ascii="Arial" w:hAnsi="Arial" w:cs="Arial"/>
          <w:b/>
          <w:sz w:val="22"/>
          <w:lang w:val="es-CO"/>
        </w:rPr>
      </w:pPr>
    </w:p>
    <w:p w14:paraId="074BF8D7" w14:textId="4CE83C2A" w:rsidR="00721BEA" w:rsidRPr="00BD5C6D" w:rsidRDefault="00721BEA" w:rsidP="00721BEA">
      <w:pPr>
        <w:jc w:val="right"/>
        <w:rPr>
          <w:rFonts w:ascii="Arial" w:hAnsi="Arial" w:cs="Arial"/>
          <w:b/>
          <w:sz w:val="22"/>
          <w:lang w:val="es-CO"/>
        </w:rPr>
      </w:pPr>
      <w:r w:rsidRPr="00BD5C6D">
        <w:rPr>
          <w:rFonts w:ascii="Arial" w:hAnsi="Arial" w:cs="Arial"/>
          <w:b/>
          <w:sz w:val="22"/>
          <w:lang w:val="es-CO"/>
        </w:rPr>
        <w:t xml:space="preserve">N° Radicado: </w:t>
      </w:r>
      <w:r w:rsidR="00663A8C">
        <w:rPr>
          <w:rFonts w:ascii="Arial" w:hAnsi="Arial" w:cs="Arial"/>
          <w:b/>
          <w:sz w:val="22"/>
          <w:lang w:val="es-CO"/>
        </w:rPr>
        <w:t>2202013000007140</w:t>
      </w:r>
    </w:p>
    <w:p w14:paraId="537DABA5" w14:textId="30700CCC" w:rsidR="00F34C6F" w:rsidRDefault="00F34C6F" w:rsidP="00C930B0">
      <w:pPr>
        <w:spacing w:line="276" w:lineRule="auto"/>
        <w:jc w:val="right"/>
        <w:rPr>
          <w:rFonts w:ascii="Arial" w:eastAsia="Calibri" w:hAnsi="Arial" w:cs="Arial"/>
          <w:sz w:val="22"/>
          <w:lang w:val="es-CO"/>
        </w:rPr>
      </w:pPr>
    </w:p>
    <w:p w14:paraId="172EC67D" w14:textId="0B16E8A1" w:rsidR="00F34C6F" w:rsidRPr="00BD5C6D" w:rsidRDefault="00F34C6F" w:rsidP="00477A51">
      <w:pPr>
        <w:jc w:val="both"/>
        <w:rPr>
          <w:rFonts w:ascii="Arial" w:eastAsia="Calibri" w:hAnsi="Arial" w:cs="Arial"/>
          <w:sz w:val="22"/>
          <w:lang w:val="es-CO"/>
        </w:rPr>
      </w:pPr>
      <w:r w:rsidRPr="00BD5C6D">
        <w:rPr>
          <w:rFonts w:ascii="Arial" w:eastAsia="Calibri" w:hAnsi="Arial" w:cs="Arial"/>
          <w:sz w:val="22"/>
          <w:lang w:val="es-CO"/>
        </w:rPr>
        <w:t>Señor</w:t>
      </w:r>
    </w:p>
    <w:p w14:paraId="78817250" w14:textId="2E513BA6" w:rsidR="00F34C6F" w:rsidRPr="00BD5C6D" w:rsidRDefault="00D80D47" w:rsidP="00477A51">
      <w:pPr>
        <w:jc w:val="both"/>
        <w:rPr>
          <w:rFonts w:ascii="Arial" w:eastAsia="Calibri" w:hAnsi="Arial" w:cs="Arial"/>
          <w:b/>
          <w:sz w:val="22"/>
          <w:lang w:val="es-CO"/>
        </w:rPr>
      </w:pPr>
      <w:r w:rsidRPr="00BD5C6D">
        <w:rPr>
          <w:rFonts w:ascii="Arial" w:eastAsia="Calibri" w:hAnsi="Arial" w:cs="Arial"/>
          <w:b/>
          <w:sz w:val="22"/>
          <w:lang w:val="es-CO"/>
        </w:rPr>
        <w:t xml:space="preserve">Luis Esteban Reyes Arias </w:t>
      </w:r>
    </w:p>
    <w:p w14:paraId="190B5D27" w14:textId="470185EC" w:rsidR="00F34C6F" w:rsidRDefault="00D80D47" w:rsidP="00C930B0">
      <w:pPr>
        <w:jc w:val="both"/>
        <w:rPr>
          <w:rFonts w:ascii="Arial" w:eastAsia="Calibri" w:hAnsi="Arial" w:cs="Arial"/>
          <w:sz w:val="22"/>
          <w:lang w:val="es-CO"/>
        </w:rPr>
      </w:pPr>
      <w:r w:rsidRPr="00BD5C6D">
        <w:rPr>
          <w:rFonts w:ascii="Arial" w:eastAsia="Calibri" w:hAnsi="Arial" w:cs="Arial"/>
          <w:sz w:val="22"/>
          <w:lang w:val="es-CO"/>
        </w:rPr>
        <w:t xml:space="preserve">Bogotá D.C. </w:t>
      </w:r>
    </w:p>
    <w:p w14:paraId="207B9889" w14:textId="40978587" w:rsidR="00C930B0" w:rsidRDefault="00C930B0" w:rsidP="00C930B0">
      <w:pPr>
        <w:jc w:val="both"/>
        <w:rPr>
          <w:rFonts w:ascii="Arial" w:eastAsia="Calibri" w:hAnsi="Arial" w:cs="Arial"/>
          <w:sz w:val="22"/>
          <w:lang w:val="es-CO"/>
        </w:rPr>
      </w:pPr>
    </w:p>
    <w:p w14:paraId="0FEA6A02" w14:textId="77777777" w:rsidR="00C930B0" w:rsidRPr="00BD5C6D" w:rsidRDefault="00C930B0" w:rsidP="00477A51">
      <w:pPr>
        <w:jc w:val="both"/>
        <w:rPr>
          <w:rFonts w:ascii="Arial" w:eastAsia="Calibri" w:hAnsi="Arial" w:cs="Arial"/>
          <w:sz w:val="22"/>
          <w:lang w:val="es-CO"/>
        </w:rPr>
      </w:pPr>
    </w:p>
    <w:p w14:paraId="4BE1148E" w14:textId="54CE9F09" w:rsidR="00F34C6F" w:rsidRPr="00BD5C6D" w:rsidRDefault="00C930B0" w:rsidP="00477A51">
      <w:pPr>
        <w:rPr>
          <w:rFonts w:ascii="Arial" w:eastAsia="Calibri" w:hAnsi="Arial" w:cs="Arial"/>
          <w:b/>
          <w:bCs/>
          <w:sz w:val="22"/>
          <w:lang w:val="es-CO"/>
        </w:rPr>
      </w:pPr>
      <w:r>
        <w:rPr>
          <w:rFonts w:ascii="Arial" w:eastAsia="Calibri" w:hAnsi="Arial" w:cs="Arial"/>
          <w:b/>
          <w:sz w:val="22"/>
          <w:lang w:val="es-CO"/>
        </w:rPr>
        <w:t xml:space="preserve">                                           </w:t>
      </w:r>
      <w:r w:rsidR="00F34C6F" w:rsidRPr="00BD5C6D">
        <w:rPr>
          <w:rFonts w:ascii="Arial" w:eastAsia="Calibri" w:hAnsi="Arial" w:cs="Arial"/>
          <w:b/>
          <w:bCs/>
          <w:sz w:val="22"/>
          <w:lang w:val="es-CO"/>
        </w:rPr>
        <w:t xml:space="preserve">Concepto C </w:t>
      </w:r>
      <w:r w:rsidR="004A5754">
        <w:rPr>
          <w:rFonts w:ascii="Arial" w:eastAsia="Calibri" w:hAnsi="Arial" w:cs="Arial"/>
          <w:b/>
          <w:bCs/>
          <w:sz w:val="22"/>
          <w:lang w:val="es-CO"/>
        </w:rPr>
        <w:t>–</w:t>
      </w:r>
      <w:r w:rsidR="00F34C6F" w:rsidRPr="00BD5C6D">
        <w:rPr>
          <w:rFonts w:ascii="Arial" w:eastAsia="Calibri" w:hAnsi="Arial" w:cs="Arial"/>
          <w:b/>
          <w:bCs/>
          <w:sz w:val="22"/>
          <w:lang w:val="es-CO"/>
        </w:rPr>
        <w:t xml:space="preserve"> </w:t>
      </w:r>
      <w:r w:rsidR="00D80D47" w:rsidRPr="00BD5C6D">
        <w:rPr>
          <w:rFonts w:ascii="Arial" w:eastAsia="Calibri" w:hAnsi="Arial" w:cs="Arial"/>
          <w:b/>
          <w:bCs/>
          <w:sz w:val="22"/>
          <w:lang w:val="es-CO"/>
        </w:rPr>
        <w:t>449</w:t>
      </w:r>
      <w:r w:rsidR="00F34C6F" w:rsidRPr="00BD5C6D">
        <w:rPr>
          <w:rFonts w:ascii="Arial" w:eastAsia="Calibri" w:hAnsi="Arial" w:cs="Arial"/>
          <w:b/>
          <w:bCs/>
          <w:sz w:val="22"/>
          <w:lang w:val="es-CO"/>
        </w:rPr>
        <w:t xml:space="preserve"> de 2020</w:t>
      </w:r>
    </w:p>
    <w:p w14:paraId="330B3697" w14:textId="77777777" w:rsidR="00F34C6F" w:rsidRPr="00BD5C6D" w:rsidRDefault="00F34C6F" w:rsidP="00477A51">
      <w:pPr>
        <w:jc w:val="both"/>
        <w:rPr>
          <w:rFonts w:ascii="Arial" w:eastAsia="Calibri" w:hAnsi="Arial" w:cs="Arial"/>
          <w:b/>
          <w:sz w:val="22"/>
          <w:lang w:val="es-CO"/>
        </w:rPr>
      </w:pPr>
    </w:p>
    <w:tbl>
      <w:tblPr>
        <w:tblStyle w:val="Tablaconcuadrcula"/>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2"/>
        <w:gridCol w:w="6176"/>
      </w:tblGrid>
      <w:tr w:rsidR="00D80D47" w:rsidRPr="00BD5C6D" w14:paraId="16FEE77C" w14:textId="77777777" w:rsidTr="0036514A">
        <w:trPr>
          <w:trHeight w:val="1523"/>
        </w:trPr>
        <w:tc>
          <w:tcPr>
            <w:tcW w:w="2662" w:type="dxa"/>
          </w:tcPr>
          <w:p w14:paraId="503A0909" w14:textId="77777777" w:rsidR="00F34C6F" w:rsidRPr="00BD5C6D" w:rsidRDefault="00F34C6F" w:rsidP="0036514A">
            <w:pPr>
              <w:spacing w:after="120"/>
              <w:jc w:val="both"/>
              <w:rPr>
                <w:rFonts w:ascii="Arial" w:eastAsia="Calibri" w:hAnsi="Arial" w:cs="Arial"/>
                <w:sz w:val="22"/>
                <w:lang w:val="es-CO"/>
              </w:rPr>
            </w:pPr>
            <w:r w:rsidRPr="00BD5C6D">
              <w:rPr>
                <w:rFonts w:ascii="Arial" w:eastAsia="Calibri" w:hAnsi="Arial" w:cs="Arial"/>
                <w:b/>
                <w:bCs/>
                <w:sz w:val="22"/>
                <w:lang w:val="es-CO"/>
              </w:rPr>
              <w:t>Temas</w:t>
            </w:r>
            <w:r w:rsidRPr="00BD5C6D">
              <w:rPr>
                <w:rFonts w:ascii="Arial" w:eastAsia="Calibri" w:hAnsi="Arial" w:cs="Arial"/>
                <w:sz w:val="22"/>
                <w:lang w:val="es-CO"/>
              </w:rPr>
              <w:t xml:space="preserve">:                                      </w:t>
            </w:r>
          </w:p>
        </w:tc>
        <w:tc>
          <w:tcPr>
            <w:tcW w:w="6176" w:type="dxa"/>
          </w:tcPr>
          <w:p w14:paraId="5D79715D" w14:textId="4FC91F7A" w:rsidR="00F34C6F" w:rsidRPr="004A5754" w:rsidRDefault="00784468" w:rsidP="0036514A">
            <w:pPr>
              <w:jc w:val="both"/>
              <w:rPr>
                <w:rFonts w:ascii="Arial" w:eastAsia="Calibri" w:hAnsi="Arial" w:cs="Arial"/>
                <w:sz w:val="22"/>
                <w:lang w:val="es-CO"/>
              </w:rPr>
            </w:pPr>
            <w:r w:rsidRPr="0036514A">
              <w:rPr>
                <w:rFonts w:ascii="Arial" w:eastAsia="Calibri" w:hAnsi="Arial" w:cs="Arial"/>
                <w:sz w:val="22"/>
              </w:rPr>
              <w:t xml:space="preserve">SECOP – Publicidad – Entidades de régimen especial /SECOP – Publicidad </w:t>
            </w:r>
            <w:r w:rsidRPr="0036514A">
              <w:rPr>
                <w:rFonts w:ascii="Arial" w:eastAsia="Calibri" w:hAnsi="Arial" w:cs="Arial"/>
                <w:sz w:val="22"/>
              </w:rPr>
              <w:softHyphen/>
              <w:t>– Documentos</w:t>
            </w:r>
            <w:r w:rsidR="004A5754">
              <w:rPr>
                <w:rFonts w:ascii="Arial" w:eastAsia="Calibri" w:hAnsi="Arial" w:cs="Arial"/>
                <w:sz w:val="22"/>
              </w:rPr>
              <w:t xml:space="preserve"> </w:t>
            </w:r>
            <w:r w:rsidRPr="0036514A">
              <w:rPr>
                <w:rFonts w:ascii="Arial" w:eastAsia="Calibri" w:hAnsi="Arial" w:cs="Arial"/>
                <w:sz w:val="22"/>
              </w:rPr>
              <w:t xml:space="preserve">/ EMPRESAS DE SERVICIOS PUBLICOS </w:t>
            </w:r>
            <w:r w:rsidR="004A5754">
              <w:rPr>
                <w:rFonts w:ascii="Arial" w:eastAsia="Calibri" w:hAnsi="Arial" w:cs="Arial"/>
                <w:sz w:val="22"/>
              </w:rPr>
              <w:t>–</w:t>
            </w:r>
            <w:r w:rsidRPr="0036514A">
              <w:rPr>
                <w:rFonts w:ascii="Arial" w:eastAsia="Calibri" w:hAnsi="Arial" w:cs="Arial"/>
                <w:sz w:val="22"/>
              </w:rPr>
              <w:t xml:space="preserve"> Naturaleza jurídica especial /</w:t>
            </w:r>
            <w:r w:rsidR="004A5754">
              <w:rPr>
                <w:rFonts w:ascii="Arial" w:eastAsia="Calibri" w:hAnsi="Arial" w:cs="Arial"/>
                <w:sz w:val="22"/>
              </w:rPr>
              <w:t xml:space="preserve"> </w:t>
            </w:r>
            <w:r w:rsidRPr="0036514A">
              <w:rPr>
                <w:rFonts w:ascii="Arial" w:eastAsia="Calibri" w:hAnsi="Arial" w:cs="Arial"/>
                <w:sz w:val="22"/>
              </w:rPr>
              <w:t xml:space="preserve">EMPRESAS DE SERVICIOS PUBLICOS </w:t>
            </w:r>
            <w:r w:rsidR="004A5754">
              <w:rPr>
                <w:rFonts w:ascii="Arial" w:eastAsia="Calibri" w:hAnsi="Arial" w:cs="Arial"/>
                <w:sz w:val="22"/>
              </w:rPr>
              <w:t>–</w:t>
            </w:r>
            <w:r w:rsidRPr="0036514A">
              <w:rPr>
                <w:rFonts w:ascii="Arial" w:eastAsia="Calibri" w:hAnsi="Arial" w:cs="Arial"/>
                <w:sz w:val="22"/>
              </w:rPr>
              <w:t xml:space="preserve"> Régimen contratac</w:t>
            </w:r>
            <w:r w:rsidR="004A5754">
              <w:rPr>
                <w:rFonts w:ascii="Arial" w:eastAsia="Calibri" w:hAnsi="Arial" w:cs="Arial"/>
                <w:sz w:val="22"/>
              </w:rPr>
              <w:t>tual</w:t>
            </w:r>
            <w:r w:rsidRPr="0036514A">
              <w:rPr>
                <w:rFonts w:ascii="Arial" w:eastAsia="Calibri" w:hAnsi="Arial" w:cs="Arial"/>
                <w:sz w:val="22"/>
              </w:rPr>
              <w:t xml:space="preserve"> </w:t>
            </w:r>
            <w:r w:rsidR="00721BEA" w:rsidRPr="0036514A">
              <w:rPr>
                <w:rFonts w:ascii="Arial" w:eastAsia="Calibri" w:hAnsi="Arial" w:cs="Arial"/>
                <w:sz w:val="22"/>
              </w:rPr>
              <w:t xml:space="preserve">/ </w:t>
            </w:r>
            <w:r w:rsidR="00721BEA" w:rsidRPr="0036514A">
              <w:rPr>
                <w:rFonts w:ascii="Arial" w:hAnsi="Arial" w:cs="Arial"/>
                <w:sz w:val="22"/>
              </w:rPr>
              <w:t xml:space="preserve">EMPRESAS DE SERVICIOS PÚBLICOS </w:t>
            </w:r>
            <w:r w:rsidR="00721BEA" w:rsidRPr="0036514A">
              <w:rPr>
                <w:rFonts w:ascii="Arial" w:eastAsia="Calibri" w:hAnsi="Arial" w:cs="Arial"/>
                <w:sz w:val="22"/>
              </w:rPr>
              <w:t xml:space="preserve">– </w:t>
            </w:r>
            <w:r w:rsidR="004A5754">
              <w:rPr>
                <w:rFonts w:ascii="Arial" w:eastAsia="Calibri" w:hAnsi="Arial" w:cs="Arial"/>
                <w:sz w:val="22"/>
              </w:rPr>
              <w:t>C</w:t>
            </w:r>
            <w:r w:rsidR="004A5754" w:rsidRPr="004A5754">
              <w:rPr>
                <w:rFonts w:ascii="Arial" w:eastAsia="Calibri" w:hAnsi="Arial" w:cs="Arial"/>
                <w:sz w:val="22"/>
              </w:rPr>
              <w:t>ontratos fondos de solidaridad y redistribución de ingresos</w:t>
            </w:r>
            <w:r w:rsidR="00721BEA" w:rsidRPr="0036514A">
              <w:rPr>
                <w:rFonts w:ascii="Arial" w:eastAsia="Calibri" w:hAnsi="Arial" w:cs="Arial"/>
                <w:sz w:val="22"/>
              </w:rPr>
              <w:t xml:space="preserve"> – SECOP – Recursos Públicos </w:t>
            </w:r>
          </w:p>
        </w:tc>
      </w:tr>
      <w:tr w:rsidR="008410FF" w:rsidRPr="00BD5C6D" w14:paraId="2CC6EA59" w14:textId="77777777" w:rsidTr="008410FF">
        <w:trPr>
          <w:trHeight w:val="499"/>
        </w:trPr>
        <w:tc>
          <w:tcPr>
            <w:tcW w:w="2662" w:type="dxa"/>
          </w:tcPr>
          <w:p w14:paraId="4C034CB3" w14:textId="77777777" w:rsidR="00F34C6F" w:rsidRPr="00BD5C6D" w:rsidRDefault="00F34C6F" w:rsidP="00116A03">
            <w:pPr>
              <w:spacing w:before="120" w:after="120"/>
              <w:jc w:val="both"/>
              <w:rPr>
                <w:rFonts w:ascii="Arial" w:eastAsia="Calibri" w:hAnsi="Arial" w:cs="Arial"/>
                <w:sz w:val="22"/>
                <w:lang w:val="es-CO"/>
              </w:rPr>
            </w:pPr>
            <w:r w:rsidRPr="00BD5C6D">
              <w:rPr>
                <w:rFonts w:ascii="Arial" w:eastAsia="Calibri" w:hAnsi="Arial" w:cs="Arial"/>
                <w:b/>
                <w:sz w:val="22"/>
                <w:lang w:val="es-CO"/>
              </w:rPr>
              <w:t>Radicación:</w:t>
            </w:r>
            <w:r w:rsidRPr="00BD5C6D">
              <w:rPr>
                <w:rFonts w:ascii="Arial" w:eastAsia="Calibri" w:hAnsi="Arial" w:cs="Arial"/>
                <w:sz w:val="22"/>
                <w:lang w:val="es-CO"/>
              </w:rPr>
              <w:t xml:space="preserve">                              </w:t>
            </w:r>
          </w:p>
        </w:tc>
        <w:tc>
          <w:tcPr>
            <w:tcW w:w="6176" w:type="dxa"/>
          </w:tcPr>
          <w:p w14:paraId="35A241E6" w14:textId="71EA2AA7" w:rsidR="00F34C6F" w:rsidRPr="00BD5C6D" w:rsidRDefault="00F34C6F" w:rsidP="00116A03">
            <w:pPr>
              <w:spacing w:before="120" w:after="120"/>
              <w:jc w:val="both"/>
              <w:rPr>
                <w:rFonts w:ascii="Arial" w:eastAsia="Calibri" w:hAnsi="Arial" w:cs="Arial"/>
                <w:sz w:val="22"/>
                <w:lang w:val="es-CO"/>
              </w:rPr>
            </w:pPr>
            <w:r w:rsidRPr="00BD5C6D">
              <w:rPr>
                <w:rFonts w:ascii="Arial" w:eastAsia="Calibri" w:hAnsi="Arial" w:cs="Arial"/>
                <w:sz w:val="22"/>
                <w:lang w:val="es-CO"/>
              </w:rPr>
              <w:t xml:space="preserve">Respuesta a la consulta # </w:t>
            </w:r>
            <w:r w:rsidR="00D80D47" w:rsidRPr="00BD5C6D">
              <w:rPr>
                <w:rFonts w:ascii="Arial" w:eastAsia="Calibri" w:hAnsi="Arial" w:cs="Arial"/>
                <w:sz w:val="22"/>
                <w:lang w:val="es-CO"/>
              </w:rPr>
              <w:t>4202012000005195</w:t>
            </w:r>
            <w:r w:rsidRPr="00BD5C6D">
              <w:rPr>
                <w:rFonts w:ascii="Arial" w:eastAsia="Calibri" w:hAnsi="Arial" w:cs="Arial"/>
                <w:sz w:val="22"/>
                <w:lang w:val="es-CO"/>
              </w:rPr>
              <w:t xml:space="preserve"> </w:t>
            </w:r>
          </w:p>
        </w:tc>
      </w:tr>
    </w:tbl>
    <w:p w14:paraId="66193158" w14:textId="77777777" w:rsidR="00F34C6F" w:rsidRPr="00BD5C6D" w:rsidRDefault="00F34C6F" w:rsidP="00477A51">
      <w:pPr>
        <w:spacing w:line="276" w:lineRule="auto"/>
        <w:jc w:val="both"/>
        <w:rPr>
          <w:rFonts w:ascii="Arial" w:eastAsia="Calibri" w:hAnsi="Arial" w:cs="Arial"/>
          <w:sz w:val="22"/>
          <w:lang w:val="es-CO"/>
        </w:rPr>
      </w:pPr>
    </w:p>
    <w:p w14:paraId="50B2774D" w14:textId="08C445E1" w:rsidR="00F34C6F" w:rsidRPr="00BD5C6D" w:rsidRDefault="00F34C6F" w:rsidP="00477A51">
      <w:pPr>
        <w:tabs>
          <w:tab w:val="left" w:pos="3736"/>
        </w:tabs>
        <w:spacing w:before="120" w:line="276" w:lineRule="auto"/>
        <w:jc w:val="both"/>
        <w:rPr>
          <w:rFonts w:ascii="Arial" w:eastAsia="Calibri" w:hAnsi="Arial" w:cs="Arial"/>
          <w:sz w:val="22"/>
          <w:lang w:val="es-CO"/>
        </w:rPr>
      </w:pPr>
      <w:r w:rsidRPr="00BD5C6D">
        <w:rPr>
          <w:rFonts w:ascii="Arial" w:eastAsia="Calibri" w:hAnsi="Arial" w:cs="Arial"/>
          <w:sz w:val="22"/>
          <w:lang w:val="es-CO"/>
        </w:rPr>
        <w:t>Estimad</w:t>
      </w:r>
      <w:r w:rsidR="00D80D47" w:rsidRPr="00BD5C6D">
        <w:rPr>
          <w:rFonts w:ascii="Arial" w:eastAsia="Calibri" w:hAnsi="Arial" w:cs="Arial"/>
          <w:sz w:val="22"/>
          <w:lang w:val="es-CO"/>
        </w:rPr>
        <w:t>o</w:t>
      </w:r>
      <w:r w:rsidRPr="00BD5C6D">
        <w:rPr>
          <w:rFonts w:ascii="Arial" w:eastAsia="Calibri" w:hAnsi="Arial" w:cs="Arial"/>
          <w:sz w:val="22"/>
          <w:lang w:val="es-CO"/>
        </w:rPr>
        <w:t xml:space="preserve"> señor </w:t>
      </w:r>
      <w:r w:rsidR="00D80D47" w:rsidRPr="00BD5C6D">
        <w:rPr>
          <w:rFonts w:ascii="Arial" w:eastAsia="Calibri" w:hAnsi="Arial" w:cs="Arial"/>
          <w:sz w:val="22"/>
          <w:lang w:val="es-CO"/>
        </w:rPr>
        <w:t>Reyes</w:t>
      </w:r>
      <w:r w:rsidRPr="00BD5C6D">
        <w:rPr>
          <w:rFonts w:ascii="Arial" w:eastAsia="Calibri" w:hAnsi="Arial" w:cs="Arial"/>
          <w:sz w:val="22"/>
          <w:lang w:val="es-CO"/>
        </w:rPr>
        <w:t>,</w:t>
      </w:r>
      <w:r w:rsidRPr="00BD5C6D">
        <w:rPr>
          <w:rFonts w:ascii="Arial" w:eastAsia="Calibri" w:hAnsi="Arial" w:cs="Arial"/>
          <w:sz w:val="22"/>
          <w:lang w:val="es-CO"/>
        </w:rPr>
        <w:tab/>
      </w:r>
    </w:p>
    <w:p w14:paraId="6997AB8C" w14:textId="77777777" w:rsidR="00F34C6F" w:rsidRPr="00BD5C6D" w:rsidRDefault="00F34C6F" w:rsidP="00477A51">
      <w:pPr>
        <w:spacing w:line="276" w:lineRule="auto"/>
        <w:jc w:val="both"/>
        <w:rPr>
          <w:rFonts w:ascii="Arial" w:eastAsia="Calibri" w:hAnsi="Arial" w:cs="Arial"/>
          <w:sz w:val="22"/>
          <w:lang w:val="es-CO"/>
        </w:rPr>
      </w:pPr>
    </w:p>
    <w:p w14:paraId="7A9D0D3F" w14:textId="71C968C1" w:rsidR="00F34C6F" w:rsidRPr="00BD5C6D" w:rsidRDefault="00F34C6F" w:rsidP="00477A51">
      <w:pPr>
        <w:spacing w:line="276" w:lineRule="auto"/>
        <w:jc w:val="both"/>
        <w:rPr>
          <w:rFonts w:ascii="Arial" w:eastAsia="Calibri" w:hAnsi="Arial" w:cs="Arial"/>
          <w:sz w:val="22"/>
          <w:lang w:val="es-CO"/>
        </w:rPr>
      </w:pPr>
      <w:r w:rsidRPr="00BD5C6D">
        <w:rPr>
          <w:rFonts w:ascii="Arial" w:eastAsia="Calibri" w:hAnsi="Arial" w:cs="Arial"/>
          <w:sz w:val="22"/>
          <w:lang w:val="es-CO"/>
        </w:rPr>
        <w:lastRenderedPageBreak/>
        <w:t xml:space="preserve">La Agencia Nacional de Contratación Pública </w:t>
      </w:r>
      <w:r w:rsidR="003B19B2">
        <w:rPr>
          <w:rFonts w:ascii="Arial" w:eastAsia="Calibri" w:hAnsi="Arial" w:cs="Arial"/>
          <w:sz w:val="22"/>
          <w:lang w:val="es-CO"/>
        </w:rPr>
        <w:t>–</w:t>
      </w:r>
      <w:r w:rsidR="00784468" w:rsidRPr="00BD5C6D">
        <w:rPr>
          <w:rFonts w:ascii="Arial" w:eastAsia="Calibri" w:hAnsi="Arial" w:cs="Arial"/>
          <w:sz w:val="22"/>
          <w:lang w:val="es-CO"/>
        </w:rPr>
        <w:t xml:space="preserve"> </w:t>
      </w:r>
      <w:r w:rsidRPr="00BD5C6D">
        <w:rPr>
          <w:rFonts w:ascii="Arial" w:eastAsia="Calibri" w:hAnsi="Arial" w:cs="Arial"/>
          <w:sz w:val="22"/>
          <w:lang w:val="es-CO"/>
        </w:rPr>
        <w:t xml:space="preserve">Colombia Compra Eficiente responde su consulta del </w:t>
      </w:r>
      <w:r w:rsidR="00D80D47" w:rsidRPr="00BD5C6D">
        <w:rPr>
          <w:rFonts w:ascii="Arial" w:eastAsia="Calibri" w:hAnsi="Arial" w:cs="Arial"/>
          <w:sz w:val="22"/>
          <w:lang w:val="es-CO"/>
        </w:rPr>
        <w:t>19 de junio</w:t>
      </w:r>
      <w:r w:rsidRPr="00BD5C6D">
        <w:rPr>
          <w:rFonts w:ascii="Arial" w:eastAsia="Calibri" w:hAnsi="Arial" w:cs="Arial"/>
          <w:sz w:val="22"/>
          <w:lang w:val="es-CO"/>
        </w:rPr>
        <w:t xml:space="preserve"> del 2020, en ejercicio de la competencia otorgada por el numeral 8 del artículo 11 y el numeral 5 del artículo 3 del Decreto Ley 4170 de 2011. </w:t>
      </w:r>
    </w:p>
    <w:p w14:paraId="76121F99" w14:textId="7AD0ADCF" w:rsidR="00F34C6F" w:rsidRPr="00BD5C6D" w:rsidRDefault="00F34C6F" w:rsidP="00477A51">
      <w:pPr>
        <w:pStyle w:val="Prrafodelista"/>
        <w:spacing w:line="276" w:lineRule="auto"/>
        <w:ind w:left="0"/>
        <w:jc w:val="both"/>
        <w:rPr>
          <w:rFonts w:ascii="Arial" w:eastAsia="Calibri" w:hAnsi="Arial" w:cs="Arial"/>
          <w:sz w:val="22"/>
          <w:lang w:val="es-CO"/>
        </w:rPr>
      </w:pPr>
    </w:p>
    <w:p w14:paraId="30531836" w14:textId="77777777" w:rsidR="00F34C6F" w:rsidRPr="00BD5C6D" w:rsidRDefault="00F34C6F" w:rsidP="00477A51">
      <w:pPr>
        <w:pStyle w:val="Prrafodelista"/>
        <w:numPr>
          <w:ilvl w:val="0"/>
          <w:numId w:val="7"/>
        </w:numPr>
        <w:tabs>
          <w:tab w:val="left" w:pos="0"/>
        </w:tabs>
        <w:spacing w:before="120" w:line="276" w:lineRule="auto"/>
        <w:ind w:left="284" w:hanging="284"/>
        <w:jc w:val="both"/>
        <w:rPr>
          <w:rFonts w:ascii="Arial" w:eastAsia="Calibri" w:hAnsi="Arial" w:cs="Arial"/>
          <w:b/>
          <w:sz w:val="22"/>
          <w:lang w:val="es-CO"/>
        </w:rPr>
      </w:pPr>
      <w:r w:rsidRPr="00BD5C6D">
        <w:rPr>
          <w:rFonts w:ascii="Arial" w:eastAsia="Calibri" w:hAnsi="Arial" w:cs="Arial"/>
          <w:b/>
          <w:sz w:val="22"/>
          <w:lang w:val="es-CO"/>
        </w:rPr>
        <w:t>Problemas planteados</w:t>
      </w:r>
    </w:p>
    <w:p w14:paraId="3D06672A" w14:textId="77777777" w:rsidR="00C930B0" w:rsidRDefault="00C930B0" w:rsidP="00477A51">
      <w:pPr>
        <w:spacing w:line="276" w:lineRule="auto"/>
        <w:jc w:val="both"/>
        <w:rPr>
          <w:rFonts w:ascii="Arial" w:eastAsia="Calibri" w:hAnsi="Arial" w:cs="Arial"/>
          <w:sz w:val="22"/>
          <w:lang w:val="es-CO"/>
        </w:rPr>
      </w:pPr>
    </w:p>
    <w:p w14:paraId="28F54B24" w14:textId="3B826014" w:rsidR="00AE1699" w:rsidRDefault="00F34C6F" w:rsidP="0036514A">
      <w:pPr>
        <w:spacing w:after="120" w:line="276" w:lineRule="auto"/>
        <w:jc w:val="both"/>
        <w:rPr>
          <w:rFonts w:ascii="Arial" w:eastAsia="Calibri" w:hAnsi="Arial" w:cs="Arial"/>
          <w:sz w:val="22"/>
          <w:lang w:val="es-CO"/>
        </w:rPr>
      </w:pPr>
      <w:r w:rsidRPr="00BD5C6D">
        <w:rPr>
          <w:rFonts w:ascii="Arial" w:eastAsia="Calibri" w:hAnsi="Arial" w:cs="Arial"/>
          <w:sz w:val="22"/>
          <w:lang w:val="es-CO"/>
        </w:rPr>
        <w:t xml:space="preserve">Usted </w:t>
      </w:r>
      <w:r w:rsidR="00D80D47" w:rsidRPr="00BD5C6D">
        <w:rPr>
          <w:rFonts w:ascii="Arial" w:eastAsia="Calibri" w:hAnsi="Arial" w:cs="Arial"/>
          <w:sz w:val="22"/>
          <w:lang w:val="es-CO"/>
        </w:rPr>
        <w:t xml:space="preserve">consulta sobre la necesidad </w:t>
      </w:r>
      <w:r w:rsidR="00926B78">
        <w:rPr>
          <w:rFonts w:ascii="Arial" w:eastAsia="Calibri" w:hAnsi="Arial" w:cs="Arial"/>
          <w:sz w:val="22"/>
          <w:lang w:val="es-CO"/>
        </w:rPr>
        <w:t>publicar</w:t>
      </w:r>
      <w:r w:rsidR="00D80D47" w:rsidRPr="00BD5C6D">
        <w:rPr>
          <w:rFonts w:ascii="Arial" w:eastAsia="Calibri" w:hAnsi="Arial" w:cs="Arial"/>
          <w:sz w:val="22"/>
          <w:lang w:val="es-CO"/>
        </w:rPr>
        <w:t xml:space="preserve"> en el SECOP II</w:t>
      </w:r>
      <w:r w:rsidR="00926B78">
        <w:rPr>
          <w:rFonts w:ascii="Arial" w:eastAsia="Calibri" w:hAnsi="Arial" w:cs="Arial"/>
          <w:sz w:val="22"/>
          <w:lang w:val="es-CO"/>
        </w:rPr>
        <w:t xml:space="preserve"> </w:t>
      </w:r>
      <w:r w:rsidR="005E6BEA" w:rsidRPr="00BD5C6D">
        <w:rPr>
          <w:rFonts w:ascii="Arial" w:eastAsia="Calibri" w:hAnsi="Arial" w:cs="Arial"/>
          <w:sz w:val="22"/>
          <w:lang w:val="es-CO"/>
        </w:rPr>
        <w:t xml:space="preserve">los contratos que trata el numeral 8 del </w:t>
      </w:r>
      <w:r w:rsidR="00BD5C6D" w:rsidRPr="00BD5C6D">
        <w:rPr>
          <w:rFonts w:ascii="Arial" w:eastAsia="Calibri" w:hAnsi="Arial" w:cs="Arial"/>
          <w:sz w:val="22"/>
          <w:lang w:val="es-CO"/>
        </w:rPr>
        <w:t>artículo</w:t>
      </w:r>
      <w:r w:rsidR="005E6BEA" w:rsidRPr="00BD5C6D">
        <w:rPr>
          <w:rFonts w:ascii="Arial" w:eastAsia="Calibri" w:hAnsi="Arial" w:cs="Arial"/>
          <w:sz w:val="22"/>
          <w:lang w:val="es-CO"/>
        </w:rPr>
        <w:t xml:space="preserve"> 99 de la Ley 142 de 1994, los cuales tienen como propósito asegurar la transferencia de los recursos para el pago de los subsidios a los prestadores de los servicios públicos domiciliarios de acueducto, alcantarillado y aseo, con desembolso de los recursos que se registran en los Fondos de Solidaridad y Redistribución de los </w:t>
      </w:r>
      <w:r w:rsidR="00926B78">
        <w:rPr>
          <w:rFonts w:ascii="Arial" w:eastAsia="Calibri" w:hAnsi="Arial" w:cs="Arial"/>
          <w:sz w:val="22"/>
          <w:lang w:val="es-CO"/>
        </w:rPr>
        <w:t>I</w:t>
      </w:r>
      <w:r w:rsidR="005E6BEA" w:rsidRPr="00BD5C6D">
        <w:rPr>
          <w:rFonts w:ascii="Arial" w:eastAsia="Calibri" w:hAnsi="Arial" w:cs="Arial"/>
          <w:sz w:val="22"/>
          <w:lang w:val="es-CO"/>
        </w:rPr>
        <w:t xml:space="preserve">ngresos </w:t>
      </w:r>
      <w:r w:rsidR="00C930B0">
        <w:rPr>
          <w:rFonts w:ascii="Arial" w:eastAsia="Calibri" w:hAnsi="Arial" w:cs="Arial"/>
          <w:sz w:val="22"/>
          <w:lang w:val="es-CO"/>
        </w:rPr>
        <w:t>–</w:t>
      </w:r>
      <w:r w:rsidR="005E6BEA" w:rsidRPr="00BD5C6D">
        <w:rPr>
          <w:rFonts w:ascii="Arial" w:eastAsia="Calibri" w:hAnsi="Arial" w:cs="Arial"/>
          <w:sz w:val="22"/>
          <w:lang w:val="es-CO"/>
        </w:rPr>
        <w:t>FSRI</w:t>
      </w:r>
      <w:r w:rsidR="00C930B0">
        <w:rPr>
          <w:rFonts w:ascii="Arial" w:eastAsia="Calibri" w:hAnsi="Arial" w:cs="Arial"/>
          <w:sz w:val="22"/>
          <w:lang w:val="es-CO"/>
        </w:rPr>
        <w:t>–</w:t>
      </w:r>
      <w:r w:rsidR="005E6BEA" w:rsidRPr="00BD5C6D">
        <w:rPr>
          <w:rFonts w:ascii="Arial" w:eastAsia="Calibri" w:hAnsi="Arial" w:cs="Arial"/>
          <w:sz w:val="22"/>
          <w:lang w:val="es-CO"/>
        </w:rPr>
        <w:t xml:space="preserve">. </w:t>
      </w:r>
      <w:bookmarkStart w:id="2" w:name="_Hlk47523566"/>
      <w:r w:rsidR="00AE1699">
        <w:rPr>
          <w:rFonts w:ascii="Arial" w:eastAsia="Calibri" w:hAnsi="Arial" w:cs="Arial"/>
          <w:sz w:val="22"/>
          <w:lang w:val="es-CO"/>
        </w:rPr>
        <w:t xml:space="preserve">Adicionalmente, solicita «[…] </w:t>
      </w:r>
      <w:r w:rsidR="00AE1699" w:rsidRPr="00AE1699">
        <w:rPr>
          <w:rFonts w:ascii="Arial" w:eastAsia="Calibri" w:hAnsi="Arial" w:cs="Arial"/>
          <w:sz w:val="22"/>
          <w:lang w:val="es-CO"/>
        </w:rPr>
        <w:t>realizar y agendar una reunión con la Agencia Nacional de Contratación Pública – Colombia Compra Eficiente (ANCPCCE) con el fin de aclarar lo pertinente; para dicha reunión se contará con asistencia del Departamento Nacional de Planeación (DNP) y la Superintendencia de Servicios Públicos Domiciliarios (SSPD) con el propósito de unificar una postura sectorial al respecto</w:t>
      </w:r>
      <w:r w:rsidR="00AE1699">
        <w:rPr>
          <w:rFonts w:ascii="Arial" w:eastAsia="Calibri" w:hAnsi="Arial" w:cs="Arial"/>
          <w:sz w:val="22"/>
          <w:lang w:val="es-CO"/>
        </w:rPr>
        <w:t>».</w:t>
      </w:r>
      <w:bookmarkEnd w:id="2"/>
    </w:p>
    <w:p w14:paraId="21C28F85" w14:textId="77777777" w:rsidR="00586D14" w:rsidRPr="00BD5C6D" w:rsidRDefault="00586D14" w:rsidP="00477A51">
      <w:pPr>
        <w:spacing w:line="276" w:lineRule="auto"/>
        <w:jc w:val="both"/>
        <w:rPr>
          <w:rFonts w:ascii="Arial" w:eastAsia="Calibri" w:hAnsi="Arial" w:cs="Arial"/>
          <w:sz w:val="22"/>
          <w:lang w:val="es-CO"/>
        </w:rPr>
      </w:pPr>
    </w:p>
    <w:p w14:paraId="67BE20B5" w14:textId="77777777" w:rsidR="00F34C6F" w:rsidRPr="00BD5C6D" w:rsidRDefault="00F34C6F" w:rsidP="00477A51">
      <w:pPr>
        <w:pStyle w:val="Prrafodelista"/>
        <w:numPr>
          <w:ilvl w:val="0"/>
          <w:numId w:val="7"/>
        </w:numPr>
        <w:spacing w:line="276" w:lineRule="auto"/>
        <w:ind w:left="284" w:hanging="284"/>
        <w:jc w:val="both"/>
        <w:rPr>
          <w:rFonts w:ascii="Arial" w:eastAsia="Calibri" w:hAnsi="Arial" w:cs="Arial"/>
          <w:sz w:val="22"/>
          <w:lang w:val="es-CO"/>
        </w:rPr>
      </w:pPr>
      <w:r w:rsidRPr="00BD5C6D">
        <w:rPr>
          <w:rFonts w:ascii="Arial" w:eastAsia="Calibri" w:hAnsi="Arial" w:cs="Arial"/>
          <w:b/>
          <w:sz w:val="22"/>
          <w:lang w:val="es-CO"/>
        </w:rPr>
        <w:t>Consideraciones</w:t>
      </w:r>
    </w:p>
    <w:p w14:paraId="0CE85DE3" w14:textId="77777777" w:rsidR="00784468" w:rsidRPr="00BD5C6D" w:rsidRDefault="00784468" w:rsidP="00477A51">
      <w:pPr>
        <w:spacing w:line="276" w:lineRule="auto"/>
        <w:jc w:val="both"/>
        <w:rPr>
          <w:rFonts w:ascii="Arial" w:eastAsia="Calibri" w:hAnsi="Arial" w:cs="Arial"/>
          <w:bCs/>
          <w:sz w:val="22"/>
          <w:lang w:val="es-CO"/>
        </w:rPr>
      </w:pPr>
    </w:p>
    <w:p w14:paraId="1C6BCC87" w14:textId="56C4A15C" w:rsidR="00F34C6F" w:rsidRPr="00BD5C6D" w:rsidRDefault="00F34C6F" w:rsidP="00477A51">
      <w:pPr>
        <w:spacing w:line="276" w:lineRule="auto"/>
        <w:jc w:val="both"/>
        <w:rPr>
          <w:rFonts w:ascii="Arial" w:eastAsia="Calibri" w:hAnsi="Arial" w:cs="Arial"/>
          <w:bCs/>
          <w:sz w:val="22"/>
          <w:lang w:val="es-CO"/>
        </w:rPr>
      </w:pPr>
      <w:r w:rsidRPr="00BD5C6D">
        <w:rPr>
          <w:rFonts w:ascii="Arial" w:eastAsia="Calibri" w:hAnsi="Arial" w:cs="Arial"/>
          <w:bCs/>
          <w:sz w:val="22"/>
          <w:lang w:val="es-CO"/>
        </w:rPr>
        <w:t>La Agencia Nacional de Contratación Pública estudió por primera vez este tema en la consulta No. 4201913000005397 del 9 de agosto de 2019</w:t>
      </w:r>
      <w:r w:rsidR="00784468" w:rsidRPr="00BD5C6D">
        <w:rPr>
          <w:rFonts w:ascii="Arial" w:eastAsia="Calibri" w:hAnsi="Arial" w:cs="Arial"/>
          <w:bCs/>
          <w:sz w:val="22"/>
          <w:lang w:val="es-CO"/>
        </w:rPr>
        <w:t>,</w:t>
      </w:r>
      <w:r w:rsidRPr="00BD5C6D">
        <w:rPr>
          <w:rFonts w:ascii="Arial" w:eastAsia="Calibri" w:hAnsi="Arial" w:cs="Arial"/>
          <w:bCs/>
          <w:sz w:val="22"/>
          <w:lang w:val="es-CO"/>
        </w:rPr>
        <w:t xml:space="preserve"> y reiteró la posición en las siguientes consultas: 4201912000006611 del 25 de septiembre de 2019, </w:t>
      </w:r>
      <w:r w:rsidRPr="00BD5C6D">
        <w:rPr>
          <w:rFonts w:ascii="Arial" w:hAnsi="Arial" w:cs="Arial"/>
          <w:sz w:val="22"/>
          <w:lang w:val="es-CO"/>
        </w:rPr>
        <w:t xml:space="preserve">4201913000006847 del 4 de octubre de 2019, </w:t>
      </w:r>
      <w:r w:rsidRPr="00BD5C6D">
        <w:rPr>
          <w:rFonts w:ascii="Arial" w:eastAsia="Calibri" w:hAnsi="Arial" w:cs="Arial"/>
          <w:bCs/>
          <w:sz w:val="22"/>
          <w:lang w:val="es-CO"/>
        </w:rPr>
        <w:t>4201912000007762 del 18 de noviembre de 2019, y finalmente en la consulta 4201912000007828 del 13 de noviembre de 2019</w:t>
      </w:r>
      <w:r w:rsidRPr="00BD5C6D">
        <w:rPr>
          <w:rFonts w:ascii="Arial" w:hAnsi="Arial" w:cs="Arial"/>
          <w:sz w:val="22"/>
          <w:lang w:val="es-CO"/>
        </w:rPr>
        <w:t xml:space="preserve">. </w:t>
      </w:r>
      <w:r w:rsidRPr="00BD5C6D">
        <w:rPr>
          <w:rFonts w:ascii="Arial" w:eastAsia="Calibri" w:hAnsi="Arial" w:cs="Arial"/>
          <w:bCs/>
          <w:sz w:val="22"/>
          <w:lang w:val="es-CO"/>
        </w:rPr>
        <w:t xml:space="preserve">Todos los criterios en torno al tema planteado </w:t>
      </w:r>
      <w:r w:rsidR="006342EE">
        <w:rPr>
          <w:rFonts w:ascii="Arial" w:eastAsia="Calibri" w:hAnsi="Arial" w:cs="Arial"/>
          <w:bCs/>
          <w:sz w:val="22"/>
          <w:lang w:val="es-CO"/>
        </w:rPr>
        <w:t>se recogieron</w:t>
      </w:r>
      <w:r w:rsidRPr="00BD5C6D">
        <w:rPr>
          <w:rFonts w:ascii="Arial" w:eastAsia="Calibri" w:hAnsi="Arial" w:cs="Arial"/>
          <w:bCs/>
          <w:sz w:val="22"/>
          <w:lang w:val="es-CO"/>
        </w:rPr>
        <w:t xml:space="preserve"> en el </w:t>
      </w:r>
      <w:r w:rsidR="006342EE">
        <w:rPr>
          <w:rFonts w:ascii="Arial" w:eastAsia="Calibri" w:hAnsi="Arial" w:cs="Arial"/>
          <w:bCs/>
          <w:sz w:val="22"/>
          <w:lang w:val="es-CO"/>
        </w:rPr>
        <w:t>C</w:t>
      </w:r>
      <w:r w:rsidRPr="00BD5C6D">
        <w:rPr>
          <w:rFonts w:ascii="Arial" w:eastAsia="Calibri" w:hAnsi="Arial" w:cs="Arial"/>
          <w:bCs/>
          <w:sz w:val="22"/>
          <w:lang w:val="es-CO"/>
        </w:rPr>
        <w:t>oncepto</w:t>
      </w:r>
      <w:r w:rsidR="006342EE">
        <w:rPr>
          <w:rFonts w:ascii="Arial" w:eastAsia="Calibri" w:hAnsi="Arial" w:cs="Arial"/>
          <w:bCs/>
          <w:sz w:val="22"/>
          <w:lang w:val="es-CO"/>
        </w:rPr>
        <w:t xml:space="preserve"> de Unificación </w:t>
      </w:r>
      <w:r w:rsidR="006342EE" w:rsidRPr="00BD5C6D">
        <w:rPr>
          <w:rFonts w:ascii="Arial" w:eastAsia="Calibri" w:hAnsi="Arial" w:cs="Arial"/>
          <w:bCs/>
          <w:sz w:val="22"/>
          <w:lang w:val="es-CO"/>
        </w:rPr>
        <w:t>CU-003 de 2020</w:t>
      </w:r>
      <w:r w:rsidRPr="00BD5C6D">
        <w:rPr>
          <w:rFonts w:ascii="Arial" w:eastAsia="Calibri" w:hAnsi="Arial" w:cs="Arial"/>
          <w:bCs/>
          <w:sz w:val="22"/>
          <w:lang w:val="es-CO"/>
        </w:rPr>
        <w:t xml:space="preserve">. La tesis </w:t>
      </w:r>
      <w:r w:rsidR="00C472F9">
        <w:rPr>
          <w:rFonts w:ascii="Arial" w:eastAsia="Calibri" w:hAnsi="Arial" w:cs="Arial"/>
          <w:bCs/>
          <w:sz w:val="22"/>
          <w:lang w:val="es-CO"/>
        </w:rPr>
        <w:t>expuesta</w:t>
      </w:r>
      <w:r w:rsidR="00C472F9" w:rsidRPr="00BD5C6D">
        <w:rPr>
          <w:rFonts w:ascii="Arial" w:eastAsia="Calibri" w:hAnsi="Arial" w:cs="Arial"/>
          <w:bCs/>
          <w:sz w:val="22"/>
          <w:lang w:val="es-CO"/>
        </w:rPr>
        <w:t xml:space="preserve"> </w:t>
      </w:r>
      <w:r w:rsidRPr="00BD5C6D">
        <w:rPr>
          <w:rFonts w:ascii="Arial" w:eastAsia="Calibri" w:hAnsi="Arial" w:cs="Arial"/>
          <w:bCs/>
          <w:sz w:val="22"/>
          <w:lang w:val="es-CO"/>
        </w:rPr>
        <w:t>en est</w:t>
      </w:r>
      <w:r w:rsidR="006342EE">
        <w:rPr>
          <w:rFonts w:ascii="Arial" w:eastAsia="Calibri" w:hAnsi="Arial" w:cs="Arial"/>
          <w:bCs/>
          <w:sz w:val="22"/>
          <w:lang w:val="es-CO"/>
        </w:rPr>
        <w:t>o</w:t>
      </w:r>
      <w:r w:rsidRPr="00BD5C6D">
        <w:rPr>
          <w:rFonts w:ascii="Arial" w:eastAsia="Calibri" w:hAnsi="Arial" w:cs="Arial"/>
          <w:bCs/>
          <w:sz w:val="22"/>
          <w:lang w:val="es-CO"/>
        </w:rPr>
        <w:t>s con</w:t>
      </w:r>
      <w:r w:rsidR="006342EE">
        <w:rPr>
          <w:rFonts w:ascii="Arial" w:eastAsia="Calibri" w:hAnsi="Arial" w:cs="Arial"/>
          <w:bCs/>
          <w:sz w:val="22"/>
          <w:lang w:val="es-CO"/>
        </w:rPr>
        <w:t>ceptos</w:t>
      </w:r>
      <w:r w:rsidRPr="00BD5C6D">
        <w:rPr>
          <w:rFonts w:ascii="Arial" w:eastAsia="Calibri" w:hAnsi="Arial" w:cs="Arial"/>
          <w:bCs/>
          <w:sz w:val="22"/>
          <w:lang w:val="es-CO"/>
        </w:rPr>
        <w:t xml:space="preserve"> se expone</w:t>
      </w:r>
      <w:r w:rsidR="00926B78">
        <w:rPr>
          <w:rFonts w:ascii="Arial" w:eastAsia="Calibri" w:hAnsi="Arial" w:cs="Arial"/>
          <w:bCs/>
          <w:sz w:val="22"/>
          <w:lang w:val="es-CO"/>
        </w:rPr>
        <w:t xml:space="preserve"> a continuación:</w:t>
      </w:r>
      <w:r w:rsidRPr="00BD5C6D">
        <w:rPr>
          <w:rFonts w:ascii="Arial" w:eastAsia="Calibri" w:hAnsi="Arial" w:cs="Arial"/>
          <w:bCs/>
          <w:sz w:val="22"/>
          <w:lang w:val="es-CO"/>
        </w:rPr>
        <w:t xml:space="preserve"> </w:t>
      </w:r>
    </w:p>
    <w:p w14:paraId="7FC8E88D" w14:textId="77777777" w:rsidR="00784468" w:rsidRPr="00BD5C6D" w:rsidRDefault="00784468" w:rsidP="00477A51">
      <w:pPr>
        <w:tabs>
          <w:tab w:val="left" w:pos="426"/>
        </w:tabs>
        <w:spacing w:line="276" w:lineRule="auto"/>
        <w:jc w:val="both"/>
        <w:rPr>
          <w:rFonts w:ascii="Arial" w:eastAsia="Calibri" w:hAnsi="Arial" w:cs="Arial"/>
          <w:b/>
          <w:sz w:val="22"/>
          <w:lang w:val="es-CO"/>
        </w:rPr>
      </w:pPr>
    </w:p>
    <w:p w14:paraId="753CCFE1" w14:textId="49669758" w:rsidR="00F34C6F" w:rsidRPr="00BD5C6D" w:rsidRDefault="00F34C6F" w:rsidP="00477A51">
      <w:pPr>
        <w:tabs>
          <w:tab w:val="left" w:pos="426"/>
        </w:tabs>
        <w:spacing w:line="276" w:lineRule="auto"/>
        <w:jc w:val="both"/>
        <w:rPr>
          <w:rFonts w:ascii="Arial" w:eastAsia="Calibri" w:hAnsi="Arial" w:cs="Arial"/>
          <w:b/>
          <w:sz w:val="22"/>
          <w:lang w:val="es-CO"/>
        </w:rPr>
      </w:pPr>
      <w:r w:rsidRPr="00BD5C6D">
        <w:rPr>
          <w:rFonts w:ascii="Arial" w:eastAsia="Calibri" w:hAnsi="Arial" w:cs="Arial"/>
          <w:b/>
          <w:sz w:val="22"/>
          <w:lang w:val="es-CO"/>
        </w:rPr>
        <w:t>2.1. Publicidad de los contratos en el Sistema Electrónico de Contratación Pública –SECOP–</w:t>
      </w:r>
    </w:p>
    <w:p w14:paraId="46AEB4EF" w14:textId="77777777" w:rsidR="00784468" w:rsidRPr="00BD5C6D" w:rsidRDefault="00784468" w:rsidP="00477A51">
      <w:pPr>
        <w:spacing w:line="276" w:lineRule="auto"/>
        <w:jc w:val="both"/>
        <w:rPr>
          <w:rFonts w:ascii="Arial" w:eastAsia="Calibri" w:hAnsi="Arial" w:cs="Arial"/>
          <w:sz w:val="22"/>
          <w:lang w:val="es-CO"/>
        </w:rPr>
      </w:pPr>
    </w:p>
    <w:p w14:paraId="4C9FF467" w14:textId="05991950" w:rsidR="00F34C6F" w:rsidRPr="00BD5C6D" w:rsidRDefault="00F34C6F" w:rsidP="00477A51">
      <w:pPr>
        <w:spacing w:line="276" w:lineRule="auto"/>
        <w:jc w:val="both"/>
        <w:rPr>
          <w:rFonts w:ascii="Arial" w:eastAsia="Calibri" w:hAnsi="Arial" w:cs="Arial"/>
          <w:sz w:val="22"/>
          <w:lang w:val="es-CO"/>
        </w:rPr>
      </w:pPr>
      <w:r w:rsidRPr="00BD5C6D">
        <w:rPr>
          <w:rFonts w:ascii="Arial" w:eastAsia="Calibri" w:hAnsi="Arial" w:cs="Arial"/>
          <w:sz w:val="22"/>
          <w:lang w:val="es-CO"/>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14AEA376" w14:textId="77777777" w:rsidR="00116A03" w:rsidRPr="00BD5C6D" w:rsidRDefault="00116A03" w:rsidP="00477A51">
      <w:pPr>
        <w:tabs>
          <w:tab w:val="left" w:pos="3885"/>
        </w:tabs>
        <w:ind w:left="709" w:right="709"/>
        <w:jc w:val="both"/>
        <w:rPr>
          <w:rFonts w:ascii="Arial" w:hAnsi="Arial" w:cs="Arial"/>
          <w:sz w:val="21"/>
          <w:szCs w:val="21"/>
          <w:lang w:val="es-CO"/>
        </w:rPr>
      </w:pPr>
    </w:p>
    <w:p w14:paraId="73A233CC" w14:textId="1AF2DCD7" w:rsidR="00F34C6F" w:rsidRPr="00BD5C6D" w:rsidRDefault="00F34C6F" w:rsidP="0036514A">
      <w:pPr>
        <w:tabs>
          <w:tab w:val="left" w:pos="3885"/>
        </w:tabs>
        <w:spacing w:after="120"/>
        <w:ind w:left="709" w:right="709"/>
        <w:jc w:val="both"/>
        <w:rPr>
          <w:rFonts w:ascii="Arial" w:hAnsi="Arial" w:cs="Arial"/>
          <w:sz w:val="21"/>
          <w:szCs w:val="21"/>
          <w:lang w:val="es-CO"/>
        </w:rPr>
      </w:pPr>
      <w:r w:rsidRPr="00BD5C6D">
        <w:rPr>
          <w:rFonts w:ascii="Arial" w:hAnsi="Arial" w:cs="Arial"/>
          <w:sz w:val="21"/>
          <w:szCs w:val="21"/>
          <w:lang w:val="es-CO"/>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EACDCFE" w14:textId="3B00EA10" w:rsidR="00751CC3" w:rsidRPr="00BD5C6D" w:rsidRDefault="00F34C6F" w:rsidP="00477A51">
      <w:pPr>
        <w:tabs>
          <w:tab w:val="left" w:pos="3885"/>
          <w:tab w:val="left" w:pos="8222"/>
        </w:tabs>
        <w:spacing w:before="120"/>
        <w:ind w:left="709" w:right="709"/>
        <w:jc w:val="both"/>
        <w:rPr>
          <w:rFonts w:ascii="Arial" w:hAnsi="Arial" w:cs="Arial"/>
          <w:sz w:val="22"/>
          <w:lang w:val="es-CO"/>
        </w:rPr>
      </w:pPr>
      <w:r w:rsidRPr="00BD5C6D">
        <w:rPr>
          <w:rFonts w:ascii="Arial" w:hAnsi="Arial" w:cs="Arial"/>
          <w:sz w:val="21"/>
          <w:szCs w:val="21"/>
          <w:lang w:val="es-CO"/>
        </w:rPr>
        <w:t xml:space="preserve">La primera de ellas, como el derecho que tienen las personas directamente involucradas, al conocimiento de las actuaciones judiciales y administrativas, la cual se concreta a través de los mecanismos de comunicación y la segunda, </w:t>
      </w:r>
      <w:r w:rsidRPr="00BD5C6D">
        <w:rPr>
          <w:rFonts w:ascii="Arial" w:hAnsi="Arial" w:cs="Arial"/>
          <w:sz w:val="21"/>
          <w:szCs w:val="21"/>
          <w:lang w:val="es-CO"/>
        </w:rPr>
        <w:lastRenderedPageBreak/>
        <w:t>como el reconocimiento del derecho que tiene la comunidad de conocer las actuaciones de las autoridades públicas y, a través de ese conocimiento, a exigir que ellas se surtan conforme a la ley</w:t>
      </w:r>
      <w:r w:rsidRPr="00BD5C6D">
        <w:rPr>
          <w:rStyle w:val="Refdenotaalpie"/>
          <w:rFonts w:ascii="Arial" w:eastAsia="Calibri" w:hAnsi="Arial" w:cs="Arial"/>
          <w:sz w:val="21"/>
          <w:szCs w:val="21"/>
          <w:lang w:val="es-CO"/>
        </w:rPr>
        <w:footnoteReference w:id="1"/>
      </w:r>
      <w:r w:rsidRPr="00BD5C6D">
        <w:rPr>
          <w:rFonts w:ascii="Arial" w:eastAsia="Calibri" w:hAnsi="Arial" w:cs="Arial"/>
          <w:sz w:val="21"/>
          <w:szCs w:val="21"/>
          <w:lang w:val="es-CO"/>
        </w:rPr>
        <w:t>.</w:t>
      </w:r>
    </w:p>
    <w:p w14:paraId="42FEB5CB" w14:textId="77777777" w:rsidR="00116A03" w:rsidRPr="00BD5C6D" w:rsidRDefault="00116A03" w:rsidP="00477A51">
      <w:pPr>
        <w:tabs>
          <w:tab w:val="left" w:pos="3885"/>
          <w:tab w:val="left" w:pos="8222"/>
        </w:tabs>
        <w:ind w:left="709" w:right="709"/>
        <w:jc w:val="both"/>
        <w:rPr>
          <w:rFonts w:ascii="Arial" w:eastAsia="Calibri" w:hAnsi="Arial" w:cs="Arial"/>
          <w:sz w:val="22"/>
          <w:lang w:val="es-CO"/>
        </w:rPr>
      </w:pPr>
    </w:p>
    <w:p w14:paraId="038E3C0D" w14:textId="0AC1AC61" w:rsidR="00F34C6F" w:rsidRPr="00BD5C6D" w:rsidRDefault="00F34C6F" w:rsidP="00477A51">
      <w:pPr>
        <w:spacing w:after="120" w:line="276" w:lineRule="auto"/>
        <w:ind w:firstLine="709"/>
        <w:jc w:val="both"/>
        <w:rPr>
          <w:rFonts w:ascii="Arial" w:eastAsia="Calibri" w:hAnsi="Arial" w:cs="Arial"/>
          <w:sz w:val="22"/>
          <w:lang w:val="es-CO"/>
        </w:rPr>
      </w:pPr>
      <w:r w:rsidRPr="00BD5C6D">
        <w:rPr>
          <w:rFonts w:ascii="Arial" w:eastAsia="Calibri" w:hAnsi="Arial" w:cs="Arial"/>
          <w:sz w:val="22"/>
          <w:lang w:val="es-CO"/>
        </w:rPr>
        <w:t xml:space="preserve">El principio de publicidad impone a las autoridades administrativas el deber de dar a conocer sus actos, contratos y decisiones, para que se divulguen y eventualmente se controlen las actuaciones. </w:t>
      </w:r>
    </w:p>
    <w:p w14:paraId="02A269A9" w14:textId="77777777" w:rsidR="00F34C6F" w:rsidRPr="00BD5C6D" w:rsidRDefault="00F34C6F" w:rsidP="00116A03">
      <w:pPr>
        <w:spacing w:before="120" w:after="120" w:line="276" w:lineRule="auto"/>
        <w:ind w:firstLine="709"/>
        <w:jc w:val="both"/>
        <w:rPr>
          <w:rFonts w:ascii="Arial" w:eastAsia="Calibri" w:hAnsi="Arial" w:cs="Arial"/>
          <w:sz w:val="22"/>
          <w:lang w:val="es-CO"/>
        </w:rPr>
      </w:pPr>
      <w:r w:rsidRPr="00BD5C6D">
        <w:rPr>
          <w:rFonts w:ascii="Arial" w:eastAsia="Calibri" w:hAnsi="Arial" w:cs="Arial"/>
          <w:sz w:val="22"/>
          <w:lang w:val="es-CO"/>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BD5C6D">
        <w:rPr>
          <w:rStyle w:val="Refdenotaalpie"/>
          <w:rFonts w:ascii="Arial" w:eastAsia="Calibri" w:hAnsi="Arial" w:cs="Arial"/>
          <w:sz w:val="22"/>
          <w:lang w:val="es-CO"/>
        </w:rPr>
        <w:footnoteReference w:id="2"/>
      </w:r>
      <w:r w:rsidRPr="00BD5C6D">
        <w:rPr>
          <w:rFonts w:ascii="Arial" w:eastAsia="Calibri" w:hAnsi="Arial" w:cs="Arial"/>
          <w:sz w:val="22"/>
          <w:lang w:val="es-CO"/>
        </w:rPr>
        <w:t xml:space="preserve">. </w:t>
      </w:r>
    </w:p>
    <w:p w14:paraId="2BBC2EF2" w14:textId="77777777" w:rsidR="00F34C6F" w:rsidRPr="00BD5C6D" w:rsidRDefault="00F34C6F" w:rsidP="00116A03">
      <w:pPr>
        <w:spacing w:before="120" w:after="120" w:line="276" w:lineRule="auto"/>
        <w:ind w:firstLine="709"/>
        <w:jc w:val="both"/>
        <w:rPr>
          <w:rFonts w:ascii="Arial" w:eastAsia="Calibri" w:hAnsi="Arial" w:cs="Arial"/>
          <w:sz w:val="22"/>
          <w:lang w:val="es-CO"/>
        </w:rPr>
      </w:pPr>
      <w:r w:rsidRPr="00BD5C6D">
        <w:rPr>
          <w:rFonts w:ascii="Arial" w:hAnsi="Arial" w:cs="Arial"/>
          <w:sz w:val="22"/>
          <w:lang w:val="es-CO"/>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BD5C6D">
        <w:rPr>
          <w:rStyle w:val="Refdenotaalpie"/>
          <w:rFonts w:ascii="Arial" w:hAnsi="Arial" w:cs="Arial"/>
          <w:sz w:val="22"/>
          <w:lang w:val="es-CO"/>
        </w:rPr>
        <w:footnoteReference w:id="3"/>
      </w:r>
      <w:r w:rsidRPr="00BD5C6D">
        <w:rPr>
          <w:rFonts w:ascii="Arial" w:hAnsi="Arial" w:cs="Arial"/>
          <w:sz w:val="22"/>
          <w:lang w:val="es-CO"/>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D61B662" w14:textId="639FD8F9" w:rsidR="00F34C6F" w:rsidRPr="00BD5C6D" w:rsidRDefault="00F34C6F" w:rsidP="00116A03">
      <w:pPr>
        <w:pStyle w:val="NormalWeb"/>
        <w:spacing w:before="120" w:beforeAutospacing="0" w:after="120" w:afterAutospacing="0" w:line="276" w:lineRule="auto"/>
        <w:ind w:firstLine="709"/>
        <w:jc w:val="both"/>
        <w:rPr>
          <w:rFonts w:ascii="Arial" w:eastAsiaTheme="minorHAnsi" w:hAnsi="Arial" w:cs="Arial"/>
          <w:sz w:val="22"/>
          <w:szCs w:val="22"/>
          <w:lang w:eastAsia="en-US"/>
        </w:rPr>
      </w:pPr>
      <w:r w:rsidRPr="00BD5C6D">
        <w:rPr>
          <w:rFonts w:ascii="Arial" w:eastAsiaTheme="minorHAnsi" w:hAnsi="Arial" w:cs="Arial"/>
          <w:sz w:val="22"/>
          <w:szCs w:val="22"/>
          <w:lang w:eastAsia="en-US"/>
        </w:rPr>
        <w:lastRenderedPageBreak/>
        <w:t xml:space="preserve">La </w:t>
      </w:r>
      <w:r w:rsidR="00BD5C6D">
        <w:rPr>
          <w:rFonts w:ascii="Arial" w:eastAsiaTheme="minorHAnsi" w:hAnsi="Arial" w:cs="Arial"/>
          <w:sz w:val="22"/>
          <w:szCs w:val="22"/>
          <w:lang w:eastAsia="en-US"/>
        </w:rPr>
        <w:t>mencionada ley</w:t>
      </w:r>
      <w:r w:rsidRPr="00BD5C6D">
        <w:rPr>
          <w:rFonts w:ascii="Arial" w:eastAsiaTheme="minorHAnsi" w:hAnsi="Arial" w:cs="Arial"/>
          <w:sz w:val="22"/>
          <w:szCs w:val="22"/>
          <w:lang w:eastAsia="en-US"/>
        </w:rPr>
        <w:t xml:space="preserve">, en el literal e) del artículo 9, </w:t>
      </w:r>
      <w:r w:rsidR="00BD5C6D">
        <w:rPr>
          <w:rFonts w:ascii="Arial" w:eastAsiaTheme="minorHAnsi" w:hAnsi="Arial" w:cs="Arial"/>
          <w:sz w:val="22"/>
          <w:szCs w:val="22"/>
          <w:lang w:eastAsia="en-US"/>
        </w:rPr>
        <w:t xml:space="preserve">establece </w:t>
      </w:r>
      <w:r w:rsidRPr="00BD5C6D">
        <w:rPr>
          <w:rFonts w:ascii="Arial" w:eastAsiaTheme="minorHAnsi" w:hAnsi="Arial" w:cs="Arial"/>
          <w:sz w:val="22"/>
          <w:szCs w:val="22"/>
          <w:lang w:eastAsia="en-US"/>
        </w:rPr>
        <w:t>que los sujetos obligados, que son todas las entidades públicas</w:t>
      </w:r>
      <w:r w:rsidRPr="00BD5C6D">
        <w:rPr>
          <w:rStyle w:val="Refdenotaalpie"/>
          <w:rFonts w:ascii="Arial" w:eastAsiaTheme="minorHAnsi" w:hAnsi="Arial" w:cs="Arial"/>
          <w:sz w:val="22"/>
          <w:szCs w:val="22"/>
          <w:lang w:eastAsia="en-US"/>
        </w:rPr>
        <w:footnoteReference w:id="4"/>
      </w:r>
      <w:r w:rsidRPr="00BD5C6D">
        <w:rPr>
          <w:rFonts w:ascii="Arial" w:eastAsiaTheme="minorHAnsi" w:hAnsi="Arial" w:cs="Arial"/>
          <w:sz w:val="22"/>
          <w:szCs w:val="22"/>
          <w:lang w:eastAsia="en-US"/>
        </w:rPr>
        <w:t>, deben publicar la información relativa a su contratación. Esta obligación fue desarrollada por el Decreto Único Reglamentario 1081 de 2015</w:t>
      </w:r>
      <w:r w:rsidRPr="00BD5C6D">
        <w:rPr>
          <w:rStyle w:val="Refdenotaalpie"/>
          <w:rFonts w:ascii="Arial" w:eastAsiaTheme="minorHAnsi" w:hAnsi="Arial" w:cs="Arial"/>
          <w:sz w:val="22"/>
          <w:szCs w:val="22"/>
          <w:lang w:eastAsia="en-US"/>
        </w:rPr>
        <w:footnoteReference w:id="5"/>
      </w:r>
      <w:r w:rsidRPr="00BD5C6D">
        <w:rPr>
          <w:rFonts w:ascii="Arial" w:eastAsiaTheme="minorHAnsi" w:hAnsi="Arial" w:cs="Arial"/>
          <w:sz w:val="22"/>
          <w:szCs w:val="22"/>
          <w:lang w:eastAsia="en-US"/>
        </w:rPr>
        <w:t>, el cual dispuso que la publicación de la información contractual de los sujetos obligados, que contratan con cargo a recursos públicos, debe hacerse en el Sistema Electrónico de Contratación Pública ─</w:t>
      </w:r>
      <w:r w:rsidRPr="00BD5C6D">
        <w:rPr>
          <w:rFonts w:ascii="Arial" w:eastAsiaTheme="minorHAnsi" w:hAnsi="Arial" w:cs="Arial"/>
          <w:sz w:val="22"/>
          <w:szCs w:val="22"/>
          <w:lang w:eastAsia="en-US"/>
        </w:rPr>
        <w:softHyphen/>
        <w:t xml:space="preserve"> </w:t>
      </w:r>
      <w:r w:rsidRPr="00BD5C6D">
        <w:rPr>
          <w:rFonts w:ascii="Arial" w:eastAsiaTheme="minorHAnsi" w:hAnsi="Arial" w:cs="Arial"/>
          <w:sz w:val="22"/>
          <w:szCs w:val="22"/>
          <w:lang w:eastAsia="en-US"/>
        </w:rPr>
        <w:softHyphen/>
        <w:t>SECOP.</w:t>
      </w:r>
    </w:p>
    <w:p w14:paraId="589EAE7C" w14:textId="77777777" w:rsidR="00F34C6F" w:rsidRPr="00BD5C6D" w:rsidRDefault="00F34C6F" w:rsidP="00116A03">
      <w:pPr>
        <w:spacing w:before="120" w:after="120" w:line="276" w:lineRule="auto"/>
        <w:ind w:firstLine="709"/>
        <w:jc w:val="both"/>
        <w:rPr>
          <w:rFonts w:ascii="Arial" w:hAnsi="Arial" w:cs="Arial"/>
          <w:sz w:val="22"/>
          <w:lang w:val="es-CO"/>
        </w:rPr>
      </w:pPr>
      <w:r w:rsidRPr="00BD5C6D">
        <w:rPr>
          <w:rFonts w:ascii="Arial" w:hAnsi="Arial" w:cs="Arial"/>
          <w:sz w:val="22"/>
          <w:lang w:val="es-CO"/>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A989FA4" w14:textId="77777777" w:rsidR="00F34C6F" w:rsidRPr="00BD5C6D" w:rsidRDefault="00F34C6F" w:rsidP="00116A03">
      <w:pPr>
        <w:spacing w:before="120" w:after="120" w:line="276" w:lineRule="auto"/>
        <w:ind w:firstLine="709"/>
        <w:jc w:val="both"/>
        <w:rPr>
          <w:rFonts w:ascii="Arial" w:eastAsia="Calibri" w:hAnsi="Arial" w:cs="Arial"/>
          <w:sz w:val="22"/>
          <w:lang w:val="es-CO"/>
        </w:rPr>
      </w:pPr>
      <w:r w:rsidRPr="00BD5C6D">
        <w:rPr>
          <w:rFonts w:ascii="Arial" w:eastAsia="Calibri" w:hAnsi="Arial" w:cs="Arial"/>
          <w:sz w:val="22"/>
          <w:lang w:val="es-CO"/>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D5C6D">
        <w:rPr>
          <w:rStyle w:val="Refdenotaalpie"/>
          <w:rFonts w:ascii="Arial" w:eastAsia="Calibri" w:hAnsi="Arial" w:cs="Arial"/>
          <w:sz w:val="22"/>
          <w:lang w:val="es-CO"/>
        </w:rPr>
        <w:footnoteReference w:id="6"/>
      </w:r>
      <w:r w:rsidRPr="00BD5C6D">
        <w:rPr>
          <w:rFonts w:ascii="Arial" w:eastAsia="Calibri" w:hAnsi="Arial" w:cs="Arial"/>
          <w:sz w:val="22"/>
          <w:lang w:val="es-CO"/>
        </w:rPr>
        <w:t>.</w:t>
      </w:r>
    </w:p>
    <w:p w14:paraId="2C313331" w14:textId="77777777" w:rsidR="00F34C6F" w:rsidRPr="00BD5C6D" w:rsidRDefault="00F34C6F" w:rsidP="00116A03">
      <w:pPr>
        <w:spacing w:before="120" w:after="120" w:line="276" w:lineRule="auto"/>
        <w:ind w:firstLine="709"/>
        <w:jc w:val="both"/>
        <w:rPr>
          <w:rFonts w:ascii="Arial" w:hAnsi="Arial" w:cs="Arial"/>
          <w:sz w:val="22"/>
          <w:lang w:val="es-CO"/>
        </w:rPr>
      </w:pPr>
      <w:r w:rsidRPr="00BD5C6D">
        <w:rPr>
          <w:rFonts w:ascii="Arial" w:hAnsi="Arial" w:cs="Arial"/>
          <w:sz w:val="22"/>
          <w:lang w:val="es-CO"/>
        </w:rPr>
        <w:t>Para el año 2013, la Agencia Nacional de Contratación Pública ─ Colombia Compra Eficiente, mediante la Circular Externa No 1 del</w:t>
      </w:r>
      <w:r w:rsidRPr="00BD5C6D">
        <w:rPr>
          <w:sz w:val="22"/>
          <w:lang w:val="es-CO"/>
        </w:rPr>
        <w:t xml:space="preserve"> </w:t>
      </w:r>
      <w:r w:rsidRPr="00BD5C6D">
        <w:rPr>
          <w:rFonts w:ascii="Arial" w:hAnsi="Arial" w:cs="Arial"/>
          <w:sz w:val="22"/>
          <w:lang w:val="es-CO"/>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BD5C6D">
        <w:rPr>
          <w:rStyle w:val="Refdenotaalpie"/>
          <w:rFonts w:ascii="Arial" w:hAnsi="Arial" w:cs="Arial"/>
          <w:sz w:val="22"/>
          <w:lang w:val="es-CO"/>
        </w:rPr>
        <w:footnoteReference w:id="7"/>
      </w:r>
      <w:r w:rsidRPr="00BD5C6D">
        <w:rPr>
          <w:rFonts w:ascii="Arial" w:hAnsi="Arial" w:cs="Arial"/>
          <w:sz w:val="22"/>
          <w:lang w:val="es-CO"/>
        </w:rPr>
        <w:t xml:space="preserve">. Además, la Circular Externa Única, en el numeral 1.1., establece, de manera enunciativa, que deben publicar en el SECOP: «2. Las entidades del Estado que tienen un régimen especial de </w:t>
      </w:r>
      <w:r w:rsidRPr="00BD5C6D">
        <w:rPr>
          <w:rFonts w:ascii="Arial" w:hAnsi="Arial" w:cs="Arial"/>
          <w:sz w:val="22"/>
          <w:lang w:val="es-CO"/>
        </w:rPr>
        <w:lastRenderedPageBreak/>
        <w:t>contratación, siempre y cuando el contrato ejecute o tenga como fuente de financiación dineros públicos, sin importar su proporción, a través del módulo [Régimen Especial], de acuerdo con lo establecido en su propio manual de contratación».</w:t>
      </w:r>
    </w:p>
    <w:p w14:paraId="7685A5C1" w14:textId="77777777" w:rsidR="00F34C6F" w:rsidRPr="00BD5C6D" w:rsidRDefault="00F34C6F" w:rsidP="00477A51">
      <w:pPr>
        <w:spacing w:before="120" w:line="276" w:lineRule="auto"/>
        <w:ind w:firstLine="709"/>
        <w:jc w:val="both"/>
        <w:rPr>
          <w:rFonts w:ascii="Arial" w:hAnsi="Arial" w:cs="Arial"/>
          <w:sz w:val="22"/>
          <w:lang w:val="es-CO"/>
        </w:rPr>
      </w:pPr>
      <w:r w:rsidRPr="00BD5C6D">
        <w:rPr>
          <w:rFonts w:ascii="Arial" w:hAnsi="Arial" w:cs="Arial"/>
          <w:sz w:val="22"/>
          <w:lang w:val="es-CO"/>
        </w:rPr>
        <w:t>El debate sobre la obligatoriedad o no de publicar en el SECOP, para las entidades con régimen especial de contratación, ya fue definido, al menos de manera preliminar, por el Consejo de Estado. La Sección Tercera expresó que la obligación prevista en la Circular Externa No. 1 se ajusta a la normativa superior:</w:t>
      </w:r>
    </w:p>
    <w:p w14:paraId="0034DDD8" w14:textId="77777777" w:rsidR="00F34C6F" w:rsidRPr="00BD5C6D" w:rsidRDefault="00F34C6F" w:rsidP="00477A51">
      <w:pPr>
        <w:spacing w:line="276" w:lineRule="auto"/>
        <w:jc w:val="both"/>
        <w:rPr>
          <w:rFonts w:ascii="Arial" w:hAnsi="Arial" w:cs="Arial"/>
          <w:sz w:val="22"/>
          <w:lang w:val="es-CO"/>
        </w:rPr>
      </w:pPr>
    </w:p>
    <w:p w14:paraId="3F1CC373" w14:textId="2D203776" w:rsidR="00F34C6F" w:rsidRPr="00BD5C6D" w:rsidRDefault="00F34C6F" w:rsidP="0036514A">
      <w:pPr>
        <w:tabs>
          <w:tab w:val="left" w:pos="3885"/>
        </w:tabs>
        <w:spacing w:after="120"/>
        <w:ind w:left="709" w:right="709"/>
        <w:jc w:val="both"/>
        <w:rPr>
          <w:rFonts w:ascii="Arial" w:hAnsi="Arial" w:cs="Arial"/>
          <w:sz w:val="21"/>
          <w:szCs w:val="21"/>
          <w:lang w:val="es-CO"/>
        </w:rPr>
      </w:pPr>
      <w:r w:rsidRPr="00BD5C6D">
        <w:rPr>
          <w:rFonts w:ascii="Arial" w:hAnsi="Arial" w:cs="Arial"/>
          <w:sz w:val="21"/>
          <w:szCs w:val="21"/>
          <w:lang w:val="es-CO"/>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D82E9C2" w14:textId="77777777" w:rsidR="00F34C6F" w:rsidRPr="00BD5C6D" w:rsidRDefault="00F34C6F" w:rsidP="00477A51">
      <w:pPr>
        <w:tabs>
          <w:tab w:val="left" w:pos="3885"/>
        </w:tabs>
        <w:ind w:left="709" w:right="709"/>
        <w:jc w:val="both"/>
        <w:rPr>
          <w:rFonts w:ascii="Arial" w:hAnsi="Arial" w:cs="Arial"/>
          <w:sz w:val="21"/>
          <w:szCs w:val="21"/>
          <w:lang w:val="es-CO"/>
        </w:rPr>
      </w:pPr>
      <w:r w:rsidRPr="00BD5C6D">
        <w:rPr>
          <w:rFonts w:ascii="Arial" w:hAnsi="Arial" w:cs="Arial"/>
          <w:sz w:val="21"/>
          <w:szCs w:val="21"/>
          <w:lang w:val="es-CO"/>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324EA3F9" w14:textId="77777777" w:rsidR="00F34C6F" w:rsidRPr="00BD5C6D" w:rsidRDefault="00F34C6F" w:rsidP="00477A51">
      <w:pPr>
        <w:tabs>
          <w:tab w:val="left" w:pos="3885"/>
        </w:tabs>
        <w:spacing w:after="120"/>
        <w:ind w:left="709" w:right="709"/>
        <w:jc w:val="both"/>
        <w:rPr>
          <w:rFonts w:ascii="Arial" w:hAnsi="Arial" w:cs="Arial"/>
          <w:sz w:val="21"/>
          <w:szCs w:val="21"/>
          <w:lang w:val="es-CO"/>
        </w:rPr>
      </w:pPr>
      <w:r w:rsidRPr="00BD5C6D">
        <w:rPr>
          <w:rFonts w:ascii="Arial" w:hAnsi="Arial" w:cs="Arial"/>
          <w:sz w:val="21"/>
          <w:szCs w:val="21"/>
          <w:lang w:val="es-CO"/>
        </w:rPr>
        <w:t>[…]</w:t>
      </w:r>
    </w:p>
    <w:p w14:paraId="19B97140" w14:textId="77777777" w:rsidR="00F34C6F" w:rsidRPr="00BD5C6D" w:rsidRDefault="00F34C6F" w:rsidP="00477A51">
      <w:pPr>
        <w:tabs>
          <w:tab w:val="left" w:pos="3885"/>
        </w:tabs>
        <w:spacing w:before="120"/>
        <w:ind w:left="709" w:right="709"/>
        <w:jc w:val="both"/>
        <w:rPr>
          <w:rFonts w:ascii="Arial" w:hAnsi="Arial" w:cs="Arial"/>
          <w:sz w:val="21"/>
          <w:szCs w:val="21"/>
          <w:lang w:val="es-CO"/>
        </w:rPr>
      </w:pPr>
      <w:r w:rsidRPr="00BD5C6D">
        <w:rPr>
          <w:rFonts w:ascii="Arial" w:hAnsi="Arial" w:cs="Arial"/>
          <w:sz w:val="21"/>
          <w:szCs w:val="21"/>
          <w:lang w:val="es-CO"/>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BD5C6D">
        <w:rPr>
          <w:rStyle w:val="Refdenotaalpie"/>
          <w:rFonts w:ascii="Arial" w:hAnsi="Arial" w:cs="Arial"/>
          <w:sz w:val="21"/>
          <w:szCs w:val="21"/>
          <w:lang w:val="es-CO"/>
        </w:rPr>
        <w:footnoteReference w:id="8"/>
      </w:r>
      <w:r w:rsidRPr="00BD5C6D">
        <w:rPr>
          <w:rStyle w:val="Refdenotaalpie"/>
          <w:rFonts w:ascii="Arial" w:hAnsi="Arial" w:cs="Arial"/>
          <w:sz w:val="21"/>
          <w:szCs w:val="21"/>
          <w:lang w:val="es-CO"/>
        </w:rPr>
        <w:t>.</w:t>
      </w:r>
    </w:p>
    <w:p w14:paraId="7A3A5CAB" w14:textId="77777777" w:rsidR="00F34C6F" w:rsidRPr="00BD5C6D" w:rsidRDefault="00F34C6F" w:rsidP="00477A51">
      <w:pPr>
        <w:tabs>
          <w:tab w:val="left" w:pos="3885"/>
        </w:tabs>
        <w:spacing w:line="276" w:lineRule="auto"/>
        <w:ind w:left="709" w:right="709"/>
        <w:jc w:val="both"/>
        <w:rPr>
          <w:rFonts w:ascii="Arial" w:eastAsia="Calibri" w:hAnsi="Arial" w:cs="Arial"/>
          <w:sz w:val="22"/>
          <w:lang w:val="es-CO"/>
        </w:rPr>
      </w:pPr>
    </w:p>
    <w:p w14:paraId="2C0203B5" w14:textId="3DD122DD" w:rsidR="00F34C6F" w:rsidRDefault="00F34C6F" w:rsidP="00FA5B0C">
      <w:pPr>
        <w:spacing w:line="276" w:lineRule="auto"/>
        <w:ind w:firstLine="708"/>
        <w:jc w:val="both"/>
        <w:rPr>
          <w:rFonts w:ascii="Arial" w:hAnsi="Arial" w:cs="Arial"/>
          <w:sz w:val="22"/>
          <w:lang w:val="es-CO"/>
        </w:rPr>
      </w:pPr>
      <w:r w:rsidRPr="00BD5C6D">
        <w:rPr>
          <w:rFonts w:ascii="Arial" w:hAnsi="Arial" w:cs="Arial"/>
          <w:sz w:val="22"/>
          <w:lang w:val="es-CO"/>
        </w:rPr>
        <w:t>Adicionalmente, el deber p</w:t>
      </w:r>
      <w:r w:rsidR="00FA5B0C">
        <w:rPr>
          <w:rFonts w:ascii="Arial" w:hAnsi="Arial" w:cs="Arial"/>
          <w:sz w:val="22"/>
          <w:lang w:val="es-CO"/>
        </w:rPr>
        <w:t>u</w:t>
      </w:r>
      <w:r w:rsidRPr="00BD5C6D">
        <w:rPr>
          <w:rFonts w:ascii="Arial" w:hAnsi="Arial" w:cs="Arial"/>
          <w:sz w:val="22"/>
          <w:lang w:val="es-CO"/>
        </w:rPr>
        <w:t>blica</w:t>
      </w:r>
      <w:r w:rsidR="00FA5B0C">
        <w:rPr>
          <w:rFonts w:ascii="Arial" w:hAnsi="Arial" w:cs="Arial"/>
          <w:sz w:val="22"/>
          <w:lang w:val="es-CO"/>
        </w:rPr>
        <w:t>r</w:t>
      </w:r>
      <w:r w:rsidRPr="00BD5C6D">
        <w:rPr>
          <w:rFonts w:ascii="Arial" w:hAnsi="Arial" w:cs="Arial"/>
          <w:sz w:val="22"/>
          <w:lang w:val="es-CO"/>
        </w:rPr>
        <w:t xml:space="preserve">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5E754D9F" w14:textId="77777777" w:rsidR="00FA5B0C" w:rsidRPr="00BD5C6D" w:rsidRDefault="00FA5B0C" w:rsidP="00477A51">
      <w:pPr>
        <w:spacing w:line="276" w:lineRule="auto"/>
        <w:ind w:firstLine="708"/>
        <w:jc w:val="both"/>
        <w:rPr>
          <w:rFonts w:ascii="Arial" w:hAnsi="Arial" w:cs="Arial"/>
          <w:sz w:val="22"/>
          <w:lang w:val="es-CO"/>
        </w:rPr>
      </w:pPr>
    </w:p>
    <w:p w14:paraId="2DD4EF9E" w14:textId="77777777" w:rsidR="00F34C6F" w:rsidRPr="00BD5C6D" w:rsidRDefault="00F34C6F" w:rsidP="00477A51">
      <w:pPr>
        <w:ind w:leftChars="295" w:left="708" w:right="709"/>
        <w:jc w:val="both"/>
        <w:rPr>
          <w:rFonts w:ascii="Arial" w:hAnsi="Arial" w:cs="Arial"/>
          <w:sz w:val="21"/>
          <w:szCs w:val="21"/>
          <w:lang w:val="es-CO"/>
        </w:rPr>
      </w:pPr>
      <w:r w:rsidRPr="00BD5C6D">
        <w:rPr>
          <w:rFonts w:ascii="Arial" w:hAnsi="Arial" w:cs="Arial"/>
          <w:sz w:val="21"/>
          <w:szCs w:val="21"/>
          <w:lang w:val="es-CO"/>
        </w:rPr>
        <w:t xml:space="preserve">Por consiguiente, otra conclusión natural de lo que se viene de decir es que la exigibilidad prevista en el literal c) del artículo 3° de la Ley 1150 de 2007 y aquella reflejada en la Circular Externa sobre deber de informar no alteran ni trastocan </w:t>
      </w:r>
      <w:r w:rsidRPr="00BD5C6D">
        <w:rPr>
          <w:rFonts w:ascii="Arial" w:hAnsi="Arial" w:cs="Arial"/>
          <w:sz w:val="21"/>
          <w:szCs w:val="21"/>
          <w:lang w:val="es-CO"/>
        </w:rPr>
        <w:lastRenderedPageBreak/>
        <w:t>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5CF949E7" w14:textId="77777777" w:rsidR="00F34C6F" w:rsidRPr="00BD5C6D" w:rsidRDefault="00F34C6F" w:rsidP="00477A51">
      <w:pPr>
        <w:spacing w:line="276" w:lineRule="auto"/>
        <w:ind w:leftChars="709" w:left="1702" w:right="709"/>
        <w:jc w:val="both"/>
        <w:rPr>
          <w:rFonts w:ascii="Arial" w:hAnsi="Arial" w:cs="Arial"/>
          <w:sz w:val="21"/>
          <w:szCs w:val="21"/>
          <w:lang w:val="es-CO"/>
        </w:rPr>
      </w:pPr>
    </w:p>
    <w:p w14:paraId="62950406" w14:textId="77777777" w:rsidR="00F34C6F" w:rsidRPr="00BD5C6D" w:rsidRDefault="00F34C6F" w:rsidP="00477A51">
      <w:pPr>
        <w:spacing w:after="120" w:line="276" w:lineRule="auto"/>
        <w:ind w:firstLine="709"/>
        <w:jc w:val="both"/>
        <w:rPr>
          <w:rFonts w:ascii="Arial" w:hAnsi="Arial" w:cs="Arial"/>
          <w:sz w:val="22"/>
          <w:lang w:val="es-CO"/>
        </w:rPr>
      </w:pPr>
      <w:r w:rsidRPr="00BD5C6D">
        <w:rPr>
          <w:rFonts w:ascii="Arial" w:hAnsi="Arial" w:cs="Arial"/>
          <w:sz w:val="22"/>
          <w:lang w:val="es-CO"/>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9C8439C" w14:textId="77777777" w:rsidR="00F34C6F" w:rsidRPr="00BD5C6D" w:rsidRDefault="00F34C6F" w:rsidP="00477A51">
      <w:pPr>
        <w:spacing w:before="120" w:line="276" w:lineRule="auto"/>
        <w:ind w:firstLine="709"/>
        <w:jc w:val="both"/>
        <w:rPr>
          <w:rFonts w:ascii="Arial" w:hAnsi="Arial" w:cs="Arial"/>
          <w:sz w:val="22"/>
          <w:lang w:val="es-CO"/>
        </w:rPr>
      </w:pPr>
      <w:r w:rsidRPr="00BD5C6D">
        <w:rPr>
          <w:rFonts w:ascii="Arial" w:hAnsi="Arial" w:cs="Arial"/>
          <w:sz w:val="22"/>
          <w:lang w:val="es-CO"/>
        </w:rPr>
        <w:t xml:space="preserve">Dentro de las razones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62D65A96" w14:textId="77777777" w:rsidR="00F34C6F" w:rsidRPr="00BD5C6D" w:rsidRDefault="00F34C6F" w:rsidP="00477A51">
      <w:pPr>
        <w:spacing w:line="276" w:lineRule="auto"/>
        <w:ind w:firstLine="708"/>
        <w:jc w:val="both"/>
        <w:rPr>
          <w:rFonts w:ascii="Arial" w:hAnsi="Arial" w:cs="Arial"/>
          <w:sz w:val="22"/>
          <w:lang w:val="es-CO"/>
        </w:rPr>
      </w:pPr>
    </w:p>
    <w:p w14:paraId="545E1F0E" w14:textId="77777777" w:rsidR="00F34C6F" w:rsidRPr="00BD5C6D" w:rsidRDefault="00F34C6F" w:rsidP="0036514A">
      <w:pPr>
        <w:pStyle w:val="Prrafodelista"/>
        <w:numPr>
          <w:ilvl w:val="1"/>
          <w:numId w:val="8"/>
        </w:numPr>
        <w:tabs>
          <w:tab w:val="left" w:pos="284"/>
          <w:tab w:val="left" w:pos="426"/>
        </w:tabs>
        <w:spacing w:after="120" w:line="276" w:lineRule="auto"/>
        <w:ind w:left="0" w:firstLine="0"/>
        <w:jc w:val="both"/>
        <w:rPr>
          <w:rFonts w:ascii="Arial" w:hAnsi="Arial" w:cs="Arial"/>
          <w:b/>
          <w:sz w:val="22"/>
          <w:lang w:val="es-CO"/>
        </w:rPr>
      </w:pPr>
      <w:r w:rsidRPr="00BD5C6D">
        <w:rPr>
          <w:rFonts w:ascii="Arial" w:hAnsi="Arial" w:cs="Arial"/>
          <w:b/>
          <w:sz w:val="22"/>
          <w:lang w:val="es-CO"/>
        </w:rPr>
        <w:t xml:space="preserve">Precedentes de Colombia Compra Eficiente sobre los documentos que publican en el SECOP las entidades de régimen especial </w:t>
      </w:r>
    </w:p>
    <w:p w14:paraId="39DA51E0" w14:textId="77777777" w:rsidR="00F34C6F" w:rsidRPr="00BD5C6D" w:rsidRDefault="00F34C6F" w:rsidP="00116A03">
      <w:pPr>
        <w:pStyle w:val="Prrafodelista"/>
        <w:spacing w:before="120" w:after="120" w:line="276" w:lineRule="auto"/>
        <w:ind w:left="0"/>
        <w:jc w:val="both"/>
        <w:rPr>
          <w:rFonts w:ascii="Arial" w:hAnsi="Arial" w:cs="Arial"/>
          <w:b/>
          <w:sz w:val="22"/>
          <w:lang w:val="es-CO"/>
        </w:rPr>
      </w:pPr>
    </w:p>
    <w:p w14:paraId="0783C689" w14:textId="0653A24D" w:rsidR="00F34C6F" w:rsidRPr="00BD5C6D" w:rsidRDefault="00F34C6F" w:rsidP="00116A03">
      <w:pPr>
        <w:pStyle w:val="Prrafodelista"/>
        <w:spacing w:before="120" w:after="120" w:line="276" w:lineRule="auto"/>
        <w:ind w:left="0"/>
        <w:contextualSpacing w:val="0"/>
        <w:jc w:val="both"/>
        <w:rPr>
          <w:rFonts w:ascii="Arial" w:eastAsia="Calibri" w:hAnsi="Arial" w:cs="Arial"/>
          <w:sz w:val="22"/>
          <w:lang w:val="es-CO"/>
        </w:rPr>
      </w:pPr>
      <w:r w:rsidRPr="00BD5C6D">
        <w:rPr>
          <w:rFonts w:ascii="Arial" w:eastAsia="Calibri" w:hAnsi="Arial" w:cs="Arial"/>
          <w:sz w:val="22"/>
          <w:lang w:val="es-CO"/>
        </w:rPr>
        <w:t xml:space="preserve">Determinada la obligación que tienen las entidades sujetas a un régimen especial de publicar su actividad contractual en el SECOP, a </w:t>
      </w:r>
      <w:r w:rsidR="00C522A4" w:rsidRPr="00BD5C6D">
        <w:rPr>
          <w:rFonts w:ascii="Arial" w:eastAsia="Calibri" w:hAnsi="Arial" w:cs="Arial"/>
          <w:sz w:val="22"/>
          <w:lang w:val="es-CO"/>
        </w:rPr>
        <w:t>continuación,</w:t>
      </w:r>
      <w:r w:rsidRPr="00BD5C6D">
        <w:rPr>
          <w:rFonts w:ascii="Arial" w:eastAsia="Calibri" w:hAnsi="Arial" w:cs="Arial"/>
          <w:sz w:val="22"/>
          <w:lang w:val="es-CO"/>
        </w:rPr>
        <w:t xml:space="preserve"> se identificarán los documentos que deben publicar, n</w:t>
      </w:r>
      <w:r w:rsidRPr="00BD5C6D">
        <w:rPr>
          <w:rFonts w:ascii="Arial" w:hAnsi="Arial" w:cs="Arial"/>
          <w:bCs/>
          <w:sz w:val="22"/>
          <w:lang w:val="es-CO"/>
        </w:rPr>
        <w:t>o sin antes explicar la posición que la Agencia Nacional de Contratación Pública ─ Colombia Compra Eficiente ha adoptado desde el 2016 hasta el 2019.</w:t>
      </w:r>
    </w:p>
    <w:p w14:paraId="6564262C" w14:textId="77777777" w:rsidR="00F34C6F" w:rsidRPr="00BD5C6D" w:rsidRDefault="00F34C6F" w:rsidP="00116A03">
      <w:pPr>
        <w:pStyle w:val="Prrafodelista"/>
        <w:spacing w:before="120" w:after="120" w:line="276" w:lineRule="auto"/>
        <w:ind w:left="0" w:firstLine="709"/>
        <w:contextualSpacing w:val="0"/>
        <w:jc w:val="both"/>
        <w:rPr>
          <w:rFonts w:ascii="Arial" w:hAnsi="Arial" w:cs="Arial"/>
          <w:bCs/>
          <w:sz w:val="22"/>
          <w:lang w:val="es-CO"/>
        </w:rPr>
      </w:pPr>
      <w:r w:rsidRPr="00BD5C6D">
        <w:rPr>
          <w:rFonts w:ascii="Arial" w:hAnsi="Arial" w:cs="Arial"/>
          <w:bCs/>
          <w:sz w:val="22"/>
          <w:lang w:val="es-CO"/>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BD5C6D">
        <w:rPr>
          <w:rStyle w:val="Refdenotaalpie"/>
          <w:rFonts w:ascii="Arial" w:hAnsi="Arial" w:cs="Arial"/>
          <w:bCs/>
          <w:sz w:val="22"/>
          <w:lang w:val="es-CO"/>
        </w:rPr>
        <w:footnoteReference w:id="9"/>
      </w:r>
      <w:r w:rsidRPr="00BD5C6D">
        <w:rPr>
          <w:rFonts w:ascii="Arial" w:hAnsi="Arial" w:cs="Arial"/>
          <w:bCs/>
          <w:sz w:val="22"/>
          <w:lang w:val="es-CO"/>
        </w:rPr>
        <w:t>.</w:t>
      </w:r>
    </w:p>
    <w:p w14:paraId="4E194CDC" w14:textId="77777777" w:rsidR="00F34C6F" w:rsidRPr="00BD5C6D" w:rsidRDefault="00F34C6F" w:rsidP="00116A03">
      <w:pPr>
        <w:pStyle w:val="Prrafodelista"/>
        <w:spacing w:before="120" w:after="120" w:line="276" w:lineRule="auto"/>
        <w:ind w:left="0" w:firstLine="709"/>
        <w:contextualSpacing w:val="0"/>
        <w:jc w:val="both"/>
        <w:rPr>
          <w:rFonts w:ascii="Arial" w:eastAsia="Calibri" w:hAnsi="Arial" w:cs="Arial"/>
          <w:sz w:val="22"/>
          <w:lang w:val="es-CO"/>
        </w:rPr>
      </w:pPr>
      <w:r w:rsidRPr="00BD5C6D">
        <w:rPr>
          <w:rFonts w:ascii="Arial" w:hAnsi="Arial" w:cs="Arial"/>
          <w:sz w:val="22"/>
          <w:lang w:val="es-CO"/>
        </w:rPr>
        <w:lastRenderedPageBreak/>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BD5C6D">
        <w:rPr>
          <w:rFonts w:ascii="Arial" w:eastAsia="Calibri" w:hAnsi="Arial" w:cs="Arial"/>
          <w:sz w:val="22"/>
          <w:lang w:val="es-CO"/>
        </w:rPr>
        <w:t xml:space="preserve">documentos del proceso que se debían publicar. </w:t>
      </w:r>
    </w:p>
    <w:p w14:paraId="3BA67CD2" w14:textId="1B33604A" w:rsidR="00F34C6F" w:rsidRPr="00BD5C6D" w:rsidRDefault="00F34C6F" w:rsidP="00116A03">
      <w:pPr>
        <w:pStyle w:val="Prrafodelista"/>
        <w:spacing w:before="120" w:after="120" w:line="276" w:lineRule="auto"/>
        <w:ind w:left="0" w:firstLine="709"/>
        <w:contextualSpacing w:val="0"/>
        <w:jc w:val="both"/>
        <w:rPr>
          <w:rFonts w:ascii="Arial" w:eastAsia="Calibri" w:hAnsi="Arial" w:cs="Arial"/>
          <w:sz w:val="22"/>
          <w:lang w:val="es-CO"/>
        </w:rPr>
      </w:pPr>
      <w:r w:rsidRPr="00BD5C6D">
        <w:rPr>
          <w:rFonts w:ascii="Arial" w:eastAsia="Calibri" w:hAnsi="Arial" w:cs="Arial"/>
          <w:sz w:val="22"/>
          <w:lang w:val="es-CO"/>
        </w:rPr>
        <w:t xml:space="preserve">Posteriormente, en el año 2018, cambió el fundamento normativo que define los documentos que las entidades de régimen especial debían publicar en el SECOP. En el concepto con radicado No. 4201814000008329 del 8 de octubre de 2018 se </w:t>
      </w:r>
      <w:r w:rsidR="00BA44B5">
        <w:rPr>
          <w:rFonts w:ascii="Arial" w:eastAsia="Calibri" w:hAnsi="Arial" w:cs="Arial"/>
          <w:sz w:val="22"/>
          <w:lang w:val="es-CO"/>
        </w:rPr>
        <w:t>explicó</w:t>
      </w:r>
      <w:r w:rsidR="00BA44B5" w:rsidRPr="00BD5C6D">
        <w:rPr>
          <w:rFonts w:ascii="Arial" w:eastAsia="Calibri" w:hAnsi="Arial" w:cs="Arial"/>
          <w:sz w:val="22"/>
          <w:lang w:val="es-CO"/>
        </w:rPr>
        <w:t xml:space="preserve"> </w:t>
      </w:r>
      <w:r w:rsidRPr="00BD5C6D">
        <w:rPr>
          <w:rFonts w:ascii="Arial" w:eastAsia="Calibri" w:hAnsi="Arial" w:cs="Arial"/>
          <w:sz w:val="22"/>
          <w:lang w:val="es-CO"/>
        </w:rPr>
        <w:t>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BD5C6D">
        <w:rPr>
          <w:rStyle w:val="Refdenotaalpie"/>
          <w:rFonts w:ascii="Arial" w:eastAsia="Calibri" w:hAnsi="Arial" w:cs="Arial"/>
          <w:sz w:val="22"/>
          <w:lang w:val="es-CO"/>
        </w:rPr>
        <w:footnoteReference w:id="10"/>
      </w:r>
      <w:r w:rsidRPr="00BD5C6D">
        <w:rPr>
          <w:rFonts w:ascii="Arial" w:eastAsia="Calibri" w:hAnsi="Arial" w:cs="Arial"/>
          <w:sz w:val="22"/>
          <w:lang w:val="es-CO"/>
        </w:rPr>
        <w:t xml:space="preserve">. </w:t>
      </w:r>
    </w:p>
    <w:p w14:paraId="7D0F6984" w14:textId="77777777" w:rsidR="00F34C6F" w:rsidRPr="00BD5C6D" w:rsidRDefault="00F34C6F" w:rsidP="00116A03">
      <w:pPr>
        <w:pStyle w:val="Prrafodelista"/>
        <w:spacing w:before="120" w:after="120" w:line="276" w:lineRule="auto"/>
        <w:ind w:left="0" w:firstLine="709"/>
        <w:contextualSpacing w:val="0"/>
        <w:jc w:val="both"/>
        <w:rPr>
          <w:rFonts w:ascii="Arial" w:eastAsia="Calibri" w:hAnsi="Arial" w:cs="Arial"/>
          <w:sz w:val="22"/>
          <w:lang w:val="es-CO"/>
        </w:rPr>
      </w:pPr>
      <w:r w:rsidRPr="00BD5C6D">
        <w:rPr>
          <w:rFonts w:ascii="Arial" w:eastAsia="Calibri" w:hAnsi="Arial" w:cs="Arial"/>
          <w:sz w:val="22"/>
          <w:lang w:val="es-CO"/>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534FD600" w14:textId="77777777" w:rsidR="00F34C6F" w:rsidRPr="00BD5C6D" w:rsidRDefault="00F34C6F" w:rsidP="00116A03">
      <w:pPr>
        <w:pStyle w:val="Prrafodelista"/>
        <w:spacing w:before="120" w:after="120" w:line="276" w:lineRule="auto"/>
        <w:ind w:left="0" w:firstLine="709"/>
        <w:contextualSpacing w:val="0"/>
        <w:jc w:val="both"/>
        <w:rPr>
          <w:rFonts w:ascii="Arial" w:eastAsia="Calibri" w:hAnsi="Arial" w:cs="Arial"/>
          <w:sz w:val="22"/>
          <w:lang w:val="es-CO"/>
        </w:rPr>
      </w:pPr>
      <w:r w:rsidRPr="00BD5C6D">
        <w:rPr>
          <w:rFonts w:ascii="Arial" w:eastAsia="Calibri" w:hAnsi="Arial" w:cs="Arial"/>
          <w:sz w:val="22"/>
          <w:lang w:val="es-CO"/>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w:t>
      </w:r>
      <w:r w:rsidRPr="00BD5C6D">
        <w:rPr>
          <w:rFonts w:ascii="Arial" w:eastAsia="Calibri" w:hAnsi="Arial" w:cs="Arial"/>
          <w:sz w:val="22"/>
          <w:lang w:val="es-CO"/>
        </w:rPr>
        <w:lastRenderedPageBreak/>
        <w:t xml:space="preserve">contratos. Lo anterior implica que se deberá publicar cada procedimiento para la adquisición de un producto o servicio, incluidos los datos de adjudicación y ejecución del contrato. </w:t>
      </w:r>
    </w:p>
    <w:p w14:paraId="38D1B151" w14:textId="77777777" w:rsidR="00F34C6F" w:rsidRPr="00BD5C6D" w:rsidRDefault="00F34C6F" w:rsidP="00116A03">
      <w:pPr>
        <w:pStyle w:val="Prrafodelista"/>
        <w:spacing w:before="120" w:after="120" w:line="276" w:lineRule="auto"/>
        <w:ind w:left="0" w:firstLine="709"/>
        <w:contextualSpacing w:val="0"/>
        <w:jc w:val="both"/>
        <w:rPr>
          <w:rFonts w:ascii="Arial" w:eastAsia="Calibri" w:hAnsi="Arial" w:cs="Arial"/>
          <w:sz w:val="22"/>
          <w:lang w:val="es-CO"/>
        </w:rPr>
      </w:pPr>
      <w:r w:rsidRPr="00BD5C6D">
        <w:rPr>
          <w:rFonts w:ascii="Arial" w:eastAsia="Calibri" w:hAnsi="Arial" w:cs="Arial"/>
          <w:sz w:val="22"/>
          <w:lang w:val="es-CO"/>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BD5C6D">
        <w:rPr>
          <w:rStyle w:val="Refdenotaalpie"/>
          <w:rFonts w:ascii="Arial" w:eastAsia="Calibri" w:hAnsi="Arial" w:cs="Arial"/>
          <w:sz w:val="22"/>
          <w:lang w:val="es-CO"/>
        </w:rPr>
        <w:footnoteReference w:id="11"/>
      </w:r>
      <w:r w:rsidRPr="00BD5C6D">
        <w:rPr>
          <w:rFonts w:ascii="Arial" w:eastAsia="Calibri" w:hAnsi="Arial" w:cs="Arial"/>
          <w:sz w:val="22"/>
          <w:lang w:val="es-CO"/>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BD5C6D">
        <w:rPr>
          <w:rStyle w:val="Refdenotaalpie"/>
          <w:rFonts w:ascii="Arial" w:eastAsia="Calibri" w:hAnsi="Arial" w:cs="Arial"/>
          <w:sz w:val="22"/>
          <w:lang w:val="es-CO"/>
        </w:rPr>
        <w:footnoteReference w:id="12"/>
      </w:r>
      <w:r w:rsidRPr="00BD5C6D">
        <w:rPr>
          <w:rFonts w:ascii="Arial" w:eastAsia="Calibri" w:hAnsi="Arial" w:cs="Arial"/>
          <w:sz w:val="22"/>
          <w:lang w:val="es-CO"/>
        </w:rPr>
        <w:t>. Finalmente, el artículo 10 establece la obligación que tienen las entidades de publicar en el SECOP el Plan Anual de Adquisiciones</w:t>
      </w:r>
      <w:r w:rsidRPr="00BD5C6D">
        <w:rPr>
          <w:rStyle w:val="Refdenotaalpie"/>
          <w:rFonts w:ascii="Arial" w:eastAsia="Calibri" w:hAnsi="Arial" w:cs="Arial"/>
          <w:sz w:val="22"/>
          <w:lang w:val="es-CO"/>
        </w:rPr>
        <w:footnoteReference w:id="13"/>
      </w:r>
      <w:r w:rsidRPr="00BD5C6D">
        <w:rPr>
          <w:rFonts w:ascii="Arial" w:eastAsia="Calibri" w:hAnsi="Arial" w:cs="Arial"/>
          <w:sz w:val="22"/>
          <w:lang w:val="es-CO"/>
        </w:rPr>
        <w:t xml:space="preserve">.  </w:t>
      </w:r>
    </w:p>
    <w:p w14:paraId="6306272E" w14:textId="649DD555" w:rsidR="00C522A4" w:rsidRPr="00CD098F" w:rsidRDefault="00F34C6F" w:rsidP="00477A51">
      <w:pPr>
        <w:spacing w:after="120" w:line="276" w:lineRule="auto"/>
        <w:ind w:firstLine="709"/>
        <w:jc w:val="both"/>
        <w:rPr>
          <w:lang w:val="es-CO"/>
        </w:rPr>
      </w:pPr>
      <w:r w:rsidRPr="00BD5C6D">
        <w:rPr>
          <w:rFonts w:ascii="Arial" w:eastAsia="Calibri" w:hAnsi="Arial" w:cs="Arial"/>
          <w:sz w:val="22"/>
          <w:lang w:val="es-CO"/>
        </w:rPr>
        <w:t xml:space="preserve">De conformidad con lo anterior, el Decreto 103 de 2015 señala que los documentos que deben publicar las entidades estatales son: i) las autorizaciones, requerimientos, aprobaciones o informes del supervisor o del interventor, que prueben la ejecución del contrato, ii) los procedimientos, lineamientos y políticas en materia de adquisición que </w:t>
      </w:r>
      <w:r w:rsidRPr="00BD5C6D">
        <w:rPr>
          <w:rFonts w:ascii="Arial" w:eastAsia="Calibri" w:hAnsi="Arial" w:cs="Arial"/>
          <w:sz w:val="22"/>
          <w:lang w:val="es-CO"/>
        </w:rPr>
        <w:lastRenderedPageBreak/>
        <w:t xml:space="preserve">corresponden a </w:t>
      </w:r>
      <w:r w:rsidR="00CD098F" w:rsidRPr="00BD5C6D">
        <w:rPr>
          <w:rFonts w:ascii="Arial" w:eastAsia="Calibri" w:hAnsi="Arial" w:cs="Arial"/>
          <w:sz w:val="22"/>
          <w:lang w:val="es-CO"/>
        </w:rPr>
        <w:t>los documentos</w:t>
      </w:r>
      <w:r w:rsidRPr="00BD5C6D">
        <w:rPr>
          <w:rFonts w:ascii="Arial" w:eastAsia="Calibri" w:hAnsi="Arial" w:cs="Arial"/>
          <w:sz w:val="22"/>
          <w:lang w:val="es-CO"/>
        </w:rPr>
        <w:t xml:space="preserve"> que los conforman, previstos en el manual de contratación de la entidad, y finalmente, iii) el plan anual de adquisiciones. </w:t>
      </w:r>
    </w:p>
    <w:p w14:paraId="48461CAA" w14:textId="160E0C8D" w:rsidR="00C522A4" w:rsidRPr="00CD098F" w:rsidRDefault="00F34C6F" w:rsidP="00477A51">
      <w:pPr>
        <w:spacing w:line="276" w:lineRule="auto"/>
        <w:ind w:firstLine="708"/>
        <w:jc w:val="both"/>
        <w:rPr>
          <w:lang w:val="es-CO"/>
        </w:rPr>
      </w:pPr>
      <w:r w:rsidRPr="00BD5C6D">
        <w:rPr>
          <w:rFonts w:ascii="Arial" w:eastAsia="Calibri" w:hAnsi="Arial" w:cs="Arial"/>
          <w:sz w:val="22"/>
          <w:lang w:val="es-CO"/>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o para proveerlos a terceros.  </w:t>
      </w:r>
    </w:p>
    <w:p w14:paraId="4C74AFBD" w14:textId="77777777" w:rsidR="00F34C6F" w:rsidRPr="00BD5C6D" w:rsidRDefault="00F34C6F" w:rsidP="00116A03">
      <w:pPr>
        <w:pStyle w:val="Prrafodelista"/>
        <w:spacing w:before="120" w:after="120" w:line="276" w:lineRule="auto"/>
        <w:ind w:left="0" w:firstLine="709"/>
        <w:jc w:val="both"/>
        <w:rPr>
          <w:rFonts w:ascii="Arial" w:eastAsia="Calibri" w:hAnsi="Arial" w:cs="Arial"/>
          <w:sz w:val="22"/>
          <w:lang w:val="es-CO"/>
        </w:rPr>
      </w:pPr>
      <w:r w:rsidRPr="00BD5C6D">
        <w:rPr>
          <w:rFonts w:ascii="Arial" w:eastAsia="Calibri" w:hAnsi="Arial" w:cs="Arial"/>
          <w:sz w:val="22"/>
          <w:lang w:val="es-CO"/>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3386CFAF" w14:textId="77777777" w:rsidR="00F34C6F" w:rsidRPr="00BD5C6D" w:rsidRDefault="00F34C6F" w:rsidP="00116A03">
      <w:pPr>
        <w:shd w:val="clear" w:color="auto" w:fill="FFFFFF"/>
        <w:spacing w:before="120" w:after="120" w:line="276" w:lineRule="auto"/>
        <w:ind w:firstLine="709"/>
        <w:jc w:val="both"/>
        <w:rPr>
          <w:rFonts w:ascii="Arial" w:eastAsia="Times New Roman" w:hAnsi="Arial" w:cs="Arial"/>
          <w:sz w:val="22"/>
          <w:lang w:val="es-CO" w:eastAsia="es-CO"/>
        </w:rPr>
      </w:pPr>
      <w:r w:rsidRPr="00BD5C6D">
        <w:rPr>
          <w:rFonts w:ascii="Arial" w:eastAsia="Calibri" w:hAnsi="Arial" w:cs="Arial"/>
          <w:sz w:val="22"/>
          <w:lang w:val="es-CO"/>
        </w:rPr>
        <w:t>Por lo tanto, en estos casos aplica la Ley 1712 de 2014 y el Decreto 103 de 2015, no el Decreto 1082 de 2015, porque esta última norma rige a las entidades sometidas al Estatuto General de Contratación Pública, y por lo tanto no aplica a las entidades que se rigen por el derecho privado. Por su parte, la Ley 1712 de 2014 y el Decreto reglamentario 103 de 2015 rigen a cualquier entidad pública, incluyendo</w:t>
      </w:r>
      <w:r w:rsidRPr="00BD5C6D">
        <w:rPr>
          <w:rFonts w:ascii="Arial" w:hAnsi="Arial" w:cs="Arial"/>
          <w:sz w:val="22"/>
          <w:lang w:val="es-CO"/>
        </w:rPr>
        <w:t xml:space="preserve"> </w:t>
      </w:r>
      <w:r w:rsidRPr="00BD5C6D">
        <w:rPr>
          <w:rFonts w:ascii="Arial" w:eastAsia="Times New Roman" w:hAnsi="Arial" w:cs="Arial"/>
          <w:sz w:val="22"/>
          <w:lang w:val="es-CO" w:eastAsia="es-CO"/>
        </w:rPr>
        <w:t>las pertenecientes a todas las ramas del poder público, en todos los niveles de la estructura estatal, central o descentralizada por servicios o territorialmente, en los órdenes nacional, departamental, municipal y distrital.</w:t>
      </w:r>
    </w:p>
    <w:p w14:paraId="685CE0AB" w14:textId="34043B90" w:rsidR="005518FA" w:rsidRPr="00BD5C6D" w:rsidRDefault="00F34C6F" w:rsidP="00116A03">
      <w:pPr>
        <w:pStyle w:val="Prrafodelista"/>
        <w:spacing w:before="120" w:after="120" w:line="276" w:lineRule="auto"/>
        <w:ind w:left="0" w:firstLine="709"/>
        <w:jc w:val="both"/>
        <w:rPr>
          <w:rFonts w:ascii="Arial" w:eastAsia="Calibri" w:hAnsi="Arial" w:cs="Arial"/>
          <w:sz w:val="22"/>
          <w:lang w:val="es-CO"/>
        </w:rPr>
      </w:pPr>
      <w:r w:rsidRPr="00BD5C6D">
        <w:rPr>
          <w:rFonts w:ascii="Arial" w:eastAsia="Calibri" w:hAnsi="Arial" w:cs="Arial"/>
          <w:sz w:val="22"/>
          <w:lang w:val="es-CO"/>
        </w:rPr>
        <w:t xml:space="preserve">Identificados los documentos que deben publicar las entidades de régimen especial y su fundamento normativo, a </w:t>
      </w:r>
      <w:r w:rsidR="00517CBA" w:rsidRPr="00BD5C6D">
        <w:rPr>
          <w:rFonts w:ascii="Arial" w:eastAsia="Calibri" w:hAnsi="Arial" w:cs="Arial"/>
          <w:sz w:val="22"/>
          <w:lang w:val="es-CO"/>
        </w:rPr>
        <w:t>continuación,</w:t>
      </w:r>
      <w:r w:rsidRPr="00BD5C6D">
        <w:rPr>
          <w:rFonts w:ascii="Arial" w:eastAsia="Calibri" w:hAnsi="Arial" w:cs="Arial"/>
          <w:sz w:val="22"/>
          <w:lang w:val="es-CO"/>
        </w:rPr>
        <w:t xml:space="preserve"> se explicará cuándo se deben publicar, no sin antes explicar la posición que Colombia Compra Eficiente ha tenido en relación con este asunto. </w:t>
      </w:r>
    </w:p>
    <w:p w14:paraId="4738D443" w14:textId="0F81EA91" w:rsidR="00C522A4" w:rsidRPr="005518FA" w:rsidRDefault="00F34C6F">
      <w:pPr>
        <w:pStyle w:val="Prrafodelista"/>
        <w:spacing w:before="120" w:after="120" w:line="276" w:lineRule="auto"/>
        <w:ind w:left="0" w:firstLine="709"/>
        <w:jc w:val="both"/>
        <w:rPr>
          <w:lang w:val="es-CO"/>
        </w:rPr>
      </w:pPr>
      <w:r w:rsidRPr="00BD5C6D">
        <w:rPr>
          <w:rFonts w:ascii="Arial" w:eastAsia="Calibri" w:hAnsi="Arial" w:cs="Arial"/>
          <w:sz w:val="22"/>
          <w:lang w:val="es-CO"/>
        </w:rPr>
        <w:t xml:space="preserve">En el año 2017, en la consulta con radicado No. 4201713000005390, se </w:t>
      </w:r>
      <w:r w:rsidR="00882659">
        <w:rPr>
          <w:rFonts w:ascii="Arial" w:eastAsia="Calibri" w:hAnsi="Arial" w:cs="Arial"/>
          <w:sz w:val="22"/>
          <w:lang w:val="es-CO"/>
        </w:rPr>
        <w:t>explicó</w:t>
      </w:r>
      <w:r w:rsidRPr="00BD5C6D">
        <w:rPr>
          <w:rFonts w:ascii="Arial" w:eastAsia="Calibri" w:hAnsi="Arial" w:cs="Arial"/>
          <w:sz w:val="22"/>
          <w:lang w:val="es-CO"/>
        </w:rPr>
        <w:t xml:space="preserve"> que el plazo para publicar por parte de las entidades de régimen especial es el que se fije en el manual de contratación de la entidad</w:t>
      </w:r>
      <w:r w:rsidRPr="00BD5C6D">
        <w:rPr>
          <w:rStyle w:val="Refdenotaalpie"/>
          <w:rFonts w:ascii="Arial" w:eastAsia="Calibri" w:hAnsi="Arial" w:cs="Arial"/>
          <w:sz w:val="22"/>
          <w:lang w:val="es-CO"/>
        </w:rPr>
        <w:footnoteReference w:id="14"/>
      </w:r>
      <w:r w:rsidRPr="00BD5C6D">
        <w:rPr>
          <w:rFonts w:ascii="Arial" w:eastAsia="Calibri" w:hAnsi="Arial" w:cs="Arial"/>
          <w:sz w:val="22"/>
          <w:lang w:val="es-CO"/>
        </w:rPr>
        <w:t xml:space="preserve">. Por su parte, en el año 2018, con la expedición de la Circular Externa Única, se cambió la postura y se indica: «las entidades que aun utilizan el SECOP I están obligadas a publicar los documentos del proceso dentro de los tres (3) </w:t>
      </w:r>
      <w:r w:rsidRPr="00BD5C6D">
        <w:rPr>
          <w:rFonts w:ascii="Arial" w:eastAsia="Calibri" w:hAnsi="Arial" w:cs="Arial"/>
          <w:sz w:val="22"/>
          <w:lang w:val="es-CO"/>
        </w:rPr>
        <w:lastRenderedPageBreak/>
        <w:t>días siguientes a su expedición</w:t>
      </w:r>
      <w:r w:rsidRPr="00BD5C6D">
        <w:rPr>
          <w:rStyle w:val="Refdenotaalpie"/>
          <w:rFonts w:ascii="Arial" w:eastAsia="Calibri" w:hAnsi="Arial" w:cs="Arial"/>
          <w:sz w:val="22"/>
          <w:lang w:val="es-CO"/>
        </w:rPr>
        <w:footnoteReference w:id="15"/>
      </w:r>
      <w:r w:rsidRPr="00BD5C6D">
        <w:rPr>
          <w:rFonts w:ascii="Arial" w:eastAsia="Calibri" w:hAnsi="Arial" w:cs="Arial"/>
          <w:sz w:val="22"/>
          <w:lang w:val="es-CO"/>
        </w:rPr>
        <w:t xml:space="preserve"> […]». De lo regulado en la Circular Externa Única se infiere que se otorga un tratamiento igualitario a las entidades, independientemente de su régimen de contratación, por lo tanto, aplica el artículo 2.2.1.1.1.7.1. del Decreto 1082 de 2015. </w:t>
      </w:r>
    </w:p>
    <w:p w14:paraId="2E6C66C9" w14:textId="06107480" w:rsidR="00C522A4" w:rsidRPr="005518FA" w:rsidRDefault="00F34C6F">
      <w:pPr>
        <w:pStyle w:val="Prrafodelista"/>
        <w:spacing w:before="120" w:after="120" w:line="276" w:lineRule="auto"/>
        <w:ind w:left="0" w:firstLine="709"/>
        <w:jc w:val="both"/>
        <w:rPr>
          <w:lang w:val="es-CO"/>
        </w:rPr>
      </w:pPr>
      <w:r w:rsidRPr="00BD5C6D">
        <w:rPr>
          <w:rFonts w:ascii="Arial" w:eastAsia="Calibri" w:hAnsi="Arial" w:cs="Arial"/>
          <w:sz w:val="22"/>
          <w:lang w:val="es-CO"/>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71E61E68" w14:textId="40521257" w:rsidR="005518FA" w:rsidRDefault="00F34C6F">
      <w:pPr>
        <w:pStyle w:val="Prrafodelista"/>
        <w:spacing w:before="120" w:after="120" w:line="276" w:lineRule="auto"/>
        <w:ind w:left="0" w:firstLine="709"/>
        <w:jc w:val="both"/>
        <w:rPr>
          <w:rFonts w:ascii="Arial" w:eastAsia="Calibri" w:hAnsi="Arial" w:cs="Arial"/>
          <w:sz w:val="22"/>
          <w:lang w:val="es-CO"/>
        </w:rPr>
      </w:pPr>
      <w:r w:rsidRPr="00BD5C6D">
        <w:rPr>
          <w:rFonts w:ascii="Arial" w:eastAsia="Calibri" w:hAnsi="Arial" w:cs="Arial"/>
          <w:sz w:val="22"/>
          <w:lang w:val="es-CO"/>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BD5C6D">
        <w:rPr>
          <w:rFonts w:ascii="Arial" w:eastAsia="Calibri" w:hAnsi="Arial" w:cs="Arial"/>
          <w:i/>
          <w:sz w:val="22"/>
          <w:lang w:val="es-CO"/>
        </w:rPr>
        <w:t xml:space="preserve"> </w:t>
      </w:r>
      <w:r w:rsidRPr="00BD5C6D">
        <w:rPr>
          <w:rFonts w:ascii="Arial" w:eastAsia="Calibri" w:hAnsi="Arial" w:cs="Arial"/>
          <w:sz w:val="22"/>
          <w:lang w:val="es-CO"/>
        </w:rPr>
        <w:t>razón de ser de la norma»</w:t>
      </w:r>
      <w:r w:rsidRPr="00BD5C6D">
        <w:rPr>
          <w:rStyle w:val="Refdenotaalpie"/>
          <w:rFonts w:ascii="Arial" w:eastAsia="Calibri" w:hAnsi="Arial" w:cs="Arial"/>
          <w:sz w:val="22"/>
          <w:lang w:val="es-CO"/>
        </w:rPr>
        <w:footnoteReference w:id="16"/>
      </w:r>
      <w:r w:rsidRPr="00BD5C6D">
        <w:rPr>
          <w:rFonts w:ascii="Arial" w:eastAsia="Calibri" w:hAnsi="Arial" w:cs="Arial"/>
          <w:sz w:val="22"/>
          <w:lang w:val="es-CO"/>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6E408063" w14:textId="27966428" w:rsidR="00C522A4" w:rsidRPr="005518FA" w:rsidRDefault="00F34C6F">
      <w:pPr>
        <w:pStyle w:val="Prrafodelista"/>
        <w:spacing w:before="120" w:after="120" w:line="276" w:lineRule="auto"/>
        <w:ind w:left="0" w:firstLine="709"/>
        <w:jc w:val="both"/>
        <w:rPr>
          <w:lang w:val="es-CO"/>
        </w:rPr>
      </w:pPr>
      <w:r w:rsidRPr="00BD5C6D">
        <w:rPr>
          <w:rFonts w:ascii="Arial" w:eastAsia="Calibri" w:hAnsi="Arial" w:cs="Arial"/>
          <w:sz w:val="22"/>
          <w:lang w:val="es-CO"/>
        </w:rPr>
        <w:t xml:space="preserve">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w:t>
      </w:r>
      <w:r w:rsidRPr="00BD5C6D">
        <w:rPr>
          <w:rFonts w:ascii="Arial" w:eastAsia="Calibri" w:hAnsi="Arial" w:cs="Arial"/>
          <w:sz w:val="22"/>
          <w:lang w:val="es-CO"/>
        </w:rPr>
        <w:lastRenderedPageBreak/>
        <w:t>que presenten observaciones o soliciten aclaraciones</w:t>
      </w:r>
      <w:r w:rsidRPr="00BD5C6D">
        <w:rPr>
          <w:rStyle w:val="Refdenotaalpie"/>
          <w:rFonts w:ascii="Arial" w:eastAsia="Calibri" w:hAnsi="Arial" w:cs="Arial"/>
          <w:sz w:val="22"/>
          <w:lang w:val="es-CO"/>
        </w:rPr>
        <w:footnoteReference w:id="17"/>
      </w:r>
      <w:r w:rsidRPr="00BD5C6D">
        <w:rPr>
          <w:rFonts w:ascii="Arial" w:eastAsia="Calibri" w:hAnsi="Arial" w:cs="Arial"/>
          <w:sz w:val="22"/>
          <w:lang w:val="es-CO"/>
        </w:rPr>
        <w:t xml:space="preserve">.En este sentido, las entidades sometidas al régimen de contratación de Ley 80 de 1993 publicarán en el SECOP sus documentos dentro de los 3 días siguientes a su expedición. </w:t>
      </w:r>
    </w:p>
    <w:p w14:paraId="610082ED" w14:textId="159D95B0" w:rsidR="00C522A4" w:rsidRPr="005518FA" w:rsidRDefault="00F34C6F" w:rsidP="00477A51">
      <w:pPr>
        <w:pStyle w:val="Prrafodelista"/>
        <w:spacing w:before="120" w:after="120" w:line="276" w:lineRule="auto"/>
        <w:ind w:left="0" w:firstLine="708"/>
        <w:jc w:val="both"/>
        <w:rPr>
          <w:lang w:val="es-CO"/>
        </w:rPr>
      </w:pPr>
      <w:r w:rsidRPr="00BD5C6D">
        <w:rPr>
          <w:rFonts w:ascii="Arial" w:eastAsia="Calibri" w:hAnsi="Arial" w:cs="Arial"/>
          <w:sz w:val="22"/>
          <w:lang w:val="es-CO"/>
        </w:rPr>
        <w:t xml:space="preserve">Si bien, tal y cómo se mencionó en el acápite anterior, el Decreto 1082 de 2015 no aplica a las empresas industriales y comerciales del Estado,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35F58A0D" w14:textId="59843503" w:rsidR="00C522A4" w:rsidRPr="00BD5C6D" w:rsidRDefault="00F34C6F">
      <w:pPr>
        <w:pStyle w:val="Prrafodelista"/>
        <w:spacing w:before="120" w:after="120" w:line="276" w:lineRule="auto"/>
        <w:ind w:left="0"/>
        <w:jc w:val="both"/>
        <w:rPr>
          <w:rFonts w:ascii="Arial" w:eastAsia="Calibri" w:hAnsi="Arial" w:cs="Arial"/>
          <w:sz w:val="22"/>
          <w:lang w:val="es-CO"/>
        </w:rPr>
      </w:pPr>
      <w:r w:rsidRPr="00BD5C6D">
        <w:rPr>
          <w:rFonts w:ascii="Arial" w:eastAsia="Calibri" w:hAnsi="Arial" w:cs="Arial"/>
          <w:sz w:val="22"/>
          <w:lang w:val="es-CO"/>
        </w:rPr>
        <w:tab/>
        <w:t xml:space="preserve">A su vez, no es posible que las entidades definan el momento en el cual publicarán sus documentos contractuales en su manual de contratación, porque este es un asunto que debe definir el legislador o el gobierno por medio de un Decreto reglamentario. </w:t>
      </w:r>
    </w:p>
    <w:p w14:paraId="3C4D9DCC" w14:textId="3FF29725" w:rsidR="00C522A4" w:rsidRPr="00BD5C6D" w:rsidRDefault="00F34C6F">
      <w:pPr>
        <w:pStyle w:val="Prrafodelista"/>
        <w:spacing w:before="120" w:after="120" w:line="276" w:lineRule="auto"/>
        <w:ind w:left="0"/>
        <w:jc w:val="both"/>
        <w:rPr>
          <w:rFonts w:ascii="Arial" w:eastAsia="Calibri" w:hAnsi="Arial" w:cs="Arial"/>
          <w:sz w:val="22"/>
          <w:lang w:val="es-CO"/>
        </w:rPr>
      </w:pPr>
      <w:r w:rsidRPr="00BD5C6D">
        <w:rPr>
          <w:rFonts w:ascii="Arial" w:eastAsia="Calibri" w:hAnsi="Arial" w:cs="Arial"/>
          <w:sz w:val="22"/>
          <w:lang w:val="es-CO"/>
        </w:rPr>
        <w:tab/>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E016FAA" w14:textId="77777777" w:rsidR="00F34C6F" w:rsidRPr="00BD5C6D" w:rsidRDefault="00F34C6F">
      <w:pPr>
        <w:pStyle w:val="Prrafodelista"/>
        <w:spacing w:before="120" w:after="120" w:line="276" w:lineRule="auto"/>
        <w:ind w:left="0"/>
        <w:jc w:val="both"/>
        <w:rPr>
          <w:rFonts w:ascii="Arial" w:eastAsia="Calibri" w:hAnsi="Arial" w:cs="Arial"/>
          <w:sz w:val="22"/>
          <w:lang w:val="es-CO"/>
        </w:rPr>
      </w:pPr>
      <w:r w:rsidRPr="00BD5C6D">
        <w:rPr>
          <w:rFonts w:ascii="Arial" w:eastAsia="Calibri" w:hAnsi="Arial" w:cs="Arial"/>
          <w:sz w:val="22"/>
          <w:lang w:val="es-CO"/>
        </w:rPr>
        <w:tab/>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08259D76" w14:textId="2EF27591" w:rsidR="00F34C6F" w:rsidRPr="00BD5C6D" w:rsidRDefault="00F34C6F" w:rsidP="00477A51">
      <w:pPr>
        <w:pStyle w:val="Prrafodelista"/>
        <w:spacing w:before="120" w:line="276" w:lineRule="auto"/>
        <w:ind w:left="0"/>
        <w:jc w:val="both"/>
        <w:rPr>
          <w:rFonts w:ascii="Arial" w:eastAsia="Calibri" w:hAnsi="Arial" w:cs="Arial"/>
          <w:sz w:val="22"/>
          <w:lang w:val="es-CO"/>
        </w:rPr>
      </w:pPr>
      <w:r w:rsidRPr="00BD5C6D">
        <w:rPr>
          <w:rFonts w:ascii="Arial" w:eastAsia="Calibri" w:hAnsi="Arial" w:cs="Arial"/>
          <w:sz w:val="22"/>
          <w:lang w:val="es-CO"/>
        </w:rPr>
        <w:tab/>
      </w:r>
    </w:p>
    <w:p w14:paraId="26165D09" w14:textId="5E48E368" w:rsidR="00F34C6F" w:rsidRPr="00BD5C6D" w:rsidRDefault="00F34C6F" w:rsidP="0036514A">
      <w:pPr>
        <w:spacing w:line="276" w:lineRule="auto"/>
        <w:jc w:val="both"/>
        <w:rPr>
          <w:rFonts w:ascii="Arial" w:hAnsi="Arial" w:cs="Arial"/>
          <w:b/>
          <w:sz w:val="22"/>
          <w:lang w:val="es-CO"/>
        </w:rPr>
      </w:pPr>
      <w:r w:rsidRPr="00BD5C6D">
        <w:rPr>
          <w:rFonts w:ascii="Arial" w:hAnsi="Arial" w:cs="Arial"/>
          <w:b/>
          <w:sz w:val="22"/>
          <w:lang w:val="es-CO"/>
        </w:rPr>
        <w:t xml:space="preserve">2.3. Empresas de </w:t>
      </w:r>
      <w:r w:rsidR="00552705" w:rsidRPr="00BD5C6D">
        <w:rPr>
          <w:rFonts w:ascii="Arial" w:hAnsi="Arial" w:cs="Arial"/>
          <w:b/>
          <w:sz w:val="22"/>
          <w:lang w:val="es-CO"/>
        </w:rPr>
        <w:t xml:space="preserve">servicios públicos domiciliarios </w:t>
      </w:r>
    </w:p>
    <w:p w14:paraId="42FBD958" w14:textId="77777777" w:rsidR="00F34C6F" w:rsidRPr="00BD5C6D" w:rsidRDefault="00F34C6F" w:rsidP="00477A51">
      <w:pPr>
        <w:spacing w:line="276" w:lineRule="auto"/>
        <w:jc w:val="both"/>
        <w:rPr>
          <w:rFonts w:ascii="Arial" w:hAnsi="Arial" w:cs="Arial"/>
          <w:sz w:val="22"/>
          <w:lang w:val="es-CO"/>
        </w:rPr>
      </w:pPr>
    </w:p>
    <w:p w14:paraId="52CDCBDA" w14:textId="0223289E" w:rsidR="00F34C6F" w:rsidRPr="00BD5C6D" w:rsidRDefault="00F34C6F" w:rsidP="00477A51">
      <w:pPr>
        <w:spacing w:line="276" w:lineRule="auto"/>
        <w:jc w:val="both"/>
        <w:rPr>
          <w:rFonts w:ascii="Arial" w:hAnsi="Arial" w:cs="Arial"/>
          <w:sz w:val="22"/>
          <w:lang w:val="es-CO"/>
        </w:rPr>
      </w:pPr>
      <w:r w:rsidRPr="00BD5C6D">
        <w:rPr>
          <w:rFonts w:ascii="Arial" w:hAnsi="Arial" w:cs="Arial"/>
          <w:sz w:val="22"/>
          <w:lang w:val="es-CO"/>
        </w:rPr>
        <w:t xml:space="preserve">El artículo 14 de la Ley 142 de 1994 contiene las definiciones para la correcta aplicación e interpretación del régimen de servicios públicos domiciliarios. Esta norma define las </w:t>
      </w:r>
      <w:r w:rsidR="00552705" w:rsidRPr="00BD5C6D">
        <w:rPr>
          <w:rFonts w:ascii="Arial" w:hAnsi="Arial" w:cs="Arial"/>
          <w:sz w:val="22"/>
          <w:lang w:val="es-CO"/>
        </w:rPr>
        <w:t>empresas de servicios públicos oficial</w:t>
      </w:r>
      <w:r w:rsidRPr="00BD5C6D">
        <w:rPr>
          <w:rFonts w:ascii="Arial" w:hAnsi="Arial" w:cs="Arial"/>
          <w:sz w:val="22"/>
          <w:lang w:val="es-CO"/>
        </w:rPr>
        <w:t xml:space="preserve">, la mixta y la privada, en los siguientes términos: </w:t>
      </w:r>
    </w:p>
    <w:p w14:paraId="3C123D97" w14:textId="77777777" w:rsidR="00F34C6F" w:rsidRPr="00BD5C6D" w:rsidRDefault="00F34C6F" w:rsidP="00477A51">
      <w:pPr>
        <w:spacing w:line="276" w:lineRule="auto"/>
        <w:jc w:val="both"/>
        <w:rPr>
          <w:rFonts w:ascii="Arial" w:hAnsi="Arial" w:cs="Arial"/>
          <w:sz w:val="22"/>
          <w:lang w:val="es-CO"/>
        </w:rPr>
      </w:pPr>
    </w:p>
    <w:p w14:paraId="60760A57" w14:textId="77777777" w:rsidR="00F34C6F" w:rsidRPr="00BD5C6D" w:rsidRDefault="00F34C6F" w:rsidP="00477A51">
      <w:pPr>
        <w:pStyle w:val="NormalWeb"/>
        <w:spacing w:before="0" w:beforeAutospacing="0" w:after="120" w:afterAutospacing="0"/>
        <w:ind w:left="709" w:right="474"/>
        <w:jc w:val="both"/>
        <w:rPr>
          <w:rFonts w:ascii="Arial" w:hAnsi="Arial" w:cs="Arial"/>
          <w:sz w:val="21"/>
          <w:szCs w:val="21"/>
          <w:lang w:eastAsia="es-ES_tradnl"/>
        </w:rPr>
      </w:pPr>
      <w:r w:rsidRPr="00BD5C6D">
        <w:rPr>
          <w:rFonts w:ascii="Arial" w:hAnsi="Arial" w:cs="Arial"/>
          <w:sz w:val="21"/>
          <w:szCs w:val="21"/>
          <w:lang w:eastAsia="es-ES_tradnl"/>
        </w:rPr>
        <w:t>14.5. Empresa de servicios públicos oficial. Es aquella en cuyo capital la Nación, las entidades territoriales, o las entidades descentralizadas de aquella o estas tienen el 100% de los aportes.</w:t>
      </w:r>
    </w:p>
    <w:p w14:paraId="28351F50" w14:textId="77777777" w:rsidR="00F34C6F" w:rsidRPr="00BD5C6D" w:rsidRDefault="00F34C6F" w:rsidP="00116A03">
      <w:pPr>
        <w:pStyle w:val="NormalWeb"/>
        <w:spacing w:before="120" w:beforeAutospacing="0" w:after="120" w:afterAutospacing="0"/>
        <w:ind w:left="709" w:right="474"/>
        <w:jc w:val="both"/>
        <w:rPr>
          <w:rFonts w:ascii="Arial" w:hAnsi="Arial" w:cs="Arial"/>
          <w:sz w:val="21"/>
          <w:szCs w:val="21"/>
          <w:lang w:eastAsia="es-ES_tradnl"/>
        </w:rPr>
      </w:pPr>
      <w:r w:rsidRPr="00BD5C6D">
        <w:rPr>
          <w:rFonts w:ascii="Arial" w:hAnsi="Arial" w:cs="Arial"/>
          <w:sz w:val="21"/>
          <w:szCs w:val="21"/>
          <w:lang w:eastAsia="es-ES_tradnl"/>
        </w:rPr>
        <w:lastRenderedPageBreak/>
        <w:t>14.6. Empresa de servicios públicos mixta. Es aquella en cuyo capital la Nación, las entidades territoriales, o las entidades descentralizadas de aquella o éstas tienen aportes iguales o superiores al 50%. </w:t>
      </w:r>
    </w:p>
    <w:p w14:paraId="0C976FD8" w14:textId="77777777" w:rsidR="00F34C6F" w:rsidRPr="00BD5C6D" w:rsidRDefault="00F34C6F" w:rsidP="00477A51">
      <w:pPr>
        <w:pStyle w:val="NormalWeb"/>
        <w:spacing w:before="120" w:beforeAutospacing="0" w:after="0" w:afterAutospacing="0"/>
        <w:ind w:left="709" w:right="474"/>
        <w:jc w:val="both"/>
        <w:rPr>
          <w:rFonts w:ascii="Arial" w:hAnsi="Arial" w:cs="Arial"/>
          <w:sz w:val="21"/>
          <w:szCs w:val="21"/>
          <w:lang w:eastAsia="es-ES_tradnl"/>
        </w:rPr>
      </w:pPr>
      <w:r w:rsidRPr="00BD5C6D">
        <w:rPr>
          <w:rFonts w:ascii="Arial" w:hAnsi="Arial" w:cs="Arial"/>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28AA71C2" w14:textId="77777777" w:rsidR="00F34C6F" w:rsidRPr="00BD5C6D" w:rsidRDefault="00F34C6F" w:rsidP="00477A51">
      <w:pPr>
        <w:pStyle w:val="NormalWeb"/>
        <w:spacing w:before="0" w:beforeAutospacing="0" w:after="0" w:afterAutospacing="0"/>
        <w:jc w:val="both"/>
        <w:rPr>
          <w:rFonts w:ascii="Arial" w:hAnsi="Arial" w:cs="Arial"/>
          <w:sz w:val="22"/>
          <w:lang w:eastAsia="es-ES_tradnl"/>
        </w:rPr>
      </w:pPr>
    </w:p>
    <w:p w14:paraId="43BB342F" w14:textId="77777777" w:rsidR="00F34C6F" w:rsidRPr="00BD5C6D" w:rsidRDefault="00F34C6F" w:rsidP="00477A51">
      <w:pPr>
        <w:pStyle w:val="NormalWeb"/>
        <w:spacing w:before="0" w:beforeAutospacing="0" w:after="120" w:afterAutospacing="0" w:line="276" w:lineRule="auto"/>
        <w:ind w:firstLine="708"/>
        <w:jc w:val="both"/>
        <w:rPr>
          <w:rFonts w:ascii="Arial" w:hAnsi="Arial" w:cs="Arial"/>
          <w:sz w:val="22"/>
          <w:lang w:eastAsia="es-ES_tradnl"/>
        </w:rPr>
      </w:pPr>
      <w:r w:rsidRPr="00BD5C6D">
        <w:rPr>
          <w:rFonts w:ascii="Arial" w:hAnsi="Arial" w:cs="Arial"/>
          <w:sz w:val="22"/>
          <w:lang w:eastAsia="es-ES_tradnl"/>
        </w:rPr>
        <w:t xml:space="preserve">A su turno, el artículo 17 de la ley citada señala que «las empresas de servicios públicos son sociedades por acciones cuyo objeto es la prestación de los servicios públicos de que trata esta ley». </w:t>
      </w:r>
    </w:p>
    <w:p w14:paraId="7FCDD6FF" w14:textId="77777777" w:rsidR="00F34C6F" w:rsidRPr="00BD5C6D" w:rsidRDefault="00F34C6F" w:rsidP="00116A03">
      <w:pPr>
        <w:pStyle w:val="NormalWeb"/>
        <w:spacing w:before="120" w:beforeAutospacing="0" w:after="120" w:afterAutospacing="0" w:line="276" w:lineRule="auto"/>
        <w:ind w:firstLine="708"/>
        <w:jc w:val="both"/>
        <w:rPr>
          <w:rFonts w:ascii="Arial" w:hAnsi="Arial" w:cs="Arial"/>
          <w:sz w:val="22"/>
          <w:lang w:eastAsia="es-ES_tradnl"/>
        </w:rPr>
      </w:pPr>
      <w:r w:rsidRPr="00BD5C6D">
        <w:rPr>
          <w:rFonts w:ascii="Arial" w:hAnsi="Arial" w:cs="Arial"/>
          <w:sz w:val="22"/>
          <w:lang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es del 100%</w:t>
      </w:r>
      <w:r w:rsidRPr="00BD5C6D">
        <w:rPr>
          <w:rStyle w:val="Refdenotaalpie"/>
          <w:rFonts w:ascii="Arial" w:hAnsi="Arial" w:cs="Arial"/>
          <w:sz w:val="22"/>
          <w:lang w:eastAsia="es-ES_tradnl"/>
        </w:rPr>
        <w:footnoteReference w:id="18"/>
      </w:r>
      <w:r w:rsidRPr="00BD5C6D">
        <w:rPr>
          <w:rFonts w:ascii="Arial" w:hAnsi="Arial" w:cs="Arial"/>
          <w:sz w:val="22"/>
          <w:lang w:eastAsia="es-ES_tradnl"/>
        </w:rPr>
        <w:t xml:space="preserve">. </w:t>
      </w:r>
    </w:p>
    <w:p w14:paraId="16BDF25F" w14:textId="600A47D5" w:rsidR="00F34C6F" w:rsidRPr="00BD5C6D" w:rsidRDefault="00F34C6F" w:rsidP="00116A03">
      <w:pPr>
        <w:pStyle w:val="NormalWeb"/>
        <w:spacing w:before="120" w:beforeAutospacing="0" w:after="120" w:afterAutospacing="0" w:line="276" w:lineRule="auto"/>
        <w:ind w:firstLine="708"/>
        <w:jc w:val="both"/>
        <w:rPr>
          <w:rFonts w:ascii="Arial" w:hAnsi="Arial" w:cs="Arial"/>
          <w:sz w:val="22"/>
          <w:lang w:eastAsia="es-ES_tradnl"/>
        </w:rPr>
      </w:pPr>
      <w:r w:rsidRPr="00BD5C6D">
        <w:rPr>
          <w:rFonts w:ascii="Arial" w:hAnsi="Arial" w:cs="Arial"/>
          <w:sz w:val="22"/>
          <w:lang w:eastAsia="es-ES_tradnl"/>
        </w:rPr>
        <w:t xml:space="preserve">Lo anterior llevó a pensar que el legislador </w:t>
      </w:r>
      <w:r w:rsidR="00552705">
        <w:rPr>
          <w:rFonts w:ascii="Arial" w:hAnsi="Arial" w:cs="Arial"/>
          <w:sz w:val="22"/>
          <w:lang w:eastAsia="es-ES_tradnl"/>
        </w:rPr>
        <w:t>excluyó</w:t>
      </w:r>
      <w:r w:rsidRPr="00BD5C6D">
        <w:rPr>
          <w:rFonts w:ascii="Arial" w:hAnsi="Arial" w:cs="Arial"/>
          <w:sz w:val="22"/>
          <w:lang w:eastAsia="es-ES_tradnl"/>
        </w:rPr>
        <w:t xml:space="preserve"> de la Rama Ejecutiva a las empresas de servicios públicos mixta </w:t>
      </w:r>
      <w:r w:rsidR="00552705">
        <w:rPr>
          <w:rFonts w:ascii="Arial" w:hAnsi="Arial" w:cs="Arial"/>
          <w:sz w:val="22"/>
          <w:lang w:eastAsia="es-ES_tradnl"/>
        </w:rPr>
        <w:t>–</w:t>
      </w:r>
      <w:r w:rsidRPr="00BD5C6D">
        <w:rPr>
          <w:rFonts w:ascii="Arial" w:hAnsi="Arial" w:cs="Arial"/>
          <w:sz w:val="22"/>
          <w:lang w:eastAsia="es-ES_tradnl"/>
        </w:rPr>
        <w:t>capital público superior al 50%</w:t>
      </w:r>
      <w:r w:rsidR="00552705">
        <w:rPr>
          <w:rFonts w:ascii="Arial" w:hAnsi="Arial" w:cs="Arial"/>
          <w:sz w:val="22"/>
          <w:lang w:eastAsia="es-ES_tradnl"/>
        </w:rPr>
        <w:t>–</w:t>
      </w:r>
      <w:r w:rsidRPr="00BD5C6D">
        <w:rPr>
          <w:rFonts w:ascii="Arial" w:hAnsi="Arial" w:cs="Arial"/>
          <w:sz w:val="22"/>
          <w:lang w:eastAsia="es-ES_tradnl"/>
        </w:rPr>
        <w:t xml:space="preserve"> y las privadas </w:t>
      </w:r>
      <w:r w:rsidR="00552705">
        <w:rPr>
          <w:rFonts w:ascii="Arial" w:hAnsi="Arial" w:cs="Arial"/>
          <w:sz w:val="22"/>
          <w:lang w:eastAsia="es-ES_tradnl"/>
        </w:rPr>
        <w:t>–</w:t>
      </w:r>
      <w:r w:rsidRPr="00BD5C6D">
        <w:rPr>
          <w:rFonts w:ascii="Arial" w:hAnsi="Arial" w:cs="Arial"/>
          <w:sz w:val="22"/>
          <w:lang w:eastAsia="es-ES_tradnl"/>
        </w:rPr>
        <w:t>capital público inferior al 50%</w:t>
      </w:r>
      <w:r w:rsidR="00552705">
        <w:rPr>
          <w:rFonts w:ascii="Arial" w:hAnsi="Arial" w:cs="Arial"/>
          <w:sz w:val="22"/>
          <w:lang w:eastAsia="es-ES_tradnl"/>
        </w:rPr>
        <w:t>–</w:t>
      </w:r>
      <w:r w:rsidRPr="00BD5C6D">
        <w:rPr>
          <w:rFonts w:ascii="Arial" w:hAnsi="Arial" w:cs="Arial"/>
          <w:sz w:val="22"/>
          <w:lang w:eastAsia="es-ES_tradnl"/>
        </w:rPr>
        <w:t>.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w:t>
      </w:r>
      <w:r w:rsidR="00116A03" w:rsidRPr="00BD5C6D">
        <w:rPr>
          <w:rFonts w:ascii="Arial" w:hAnsi="Arial" w:cs="Arial"/>
          <w:sz w:val="22"/>
          <w:lang w:eastAsia="es-ES_tradnl"/>
        </w:rPr>
        <w:t>»</w:t>
      </w:r>
      <w:r w:rsidRPr="00BD5C6D">
        <w:rPr>
          <w:rFonts w:ascii="Arial" w:hAnsi="Arial" w:cs="Arial"/>
          <w:sz w:val="22"/>
          <w:lang w:eastAsia="es-ES_tradnl"/>
        </w:rPr>
        <w:t xml:space="preserve">. </w:t>
      </w:r>
    </w:p>
    <w:p w14:paraId="1007D233" w14:textId="4654B893" w:rsidR="00F34C6F" w:rsidRDefault="00F34C6F" w:rsidP="008C1333">
      <w:pPr>
        <w:pStyle w:val="NormalWeb"/>
        <w:spacing w:before="120" w:beforeAutospacing="0" w:after="0" w:afterAutospacing="0" w:line="276" w:lineRule="auto"/>
        <w:ind w:firstLine="708"/>
        <w:jc w:val="both"/>
        <w:rPr>
          <w:rFonts w:ascii="Arial" w:hAnsi="Arial" w:cs="Arial"/>
          <w:sz w:val="22"/>
          <w:lang w:eastAsia="es-ES_tradnl"/>
        </w:rPr>
      </w:pPr>
      <w:r w:rsidRPr="00BD5C6D">
        <w:rPr>
          <w:rFonts w:ascii="Arial" w:hAnsi="Arial" w:cs="Arial"/>
          <w:sz w:val="22"/>
          <w:lang w:eastAsia="es-ES_tradnl"/>
        </w:rPr>
        <w:t xml:space="preserve">La Corte Constitucional, además de señalar la pertenencia a la Rama Ejecutiva de las empresas de servicios públicos mixtas y privadas, también sostuvo que se trataba de entidades descentralizadas por servicios, en los términos del artículo 68 de la Ley 489 de 1998: </w:t>
      </w:r>
    </w:p>
    <w:p w14:paraId="3B39BC77" w14:textId="77777777" w:rsidR="008C1333" w:rsidRPr="00BD5C6D" w:rsidRDefault="008C1333" w:rsidP="0036514A">
      <w:pPr>
        <w:pStyle w:val="NormalWeb"/>
        <w:spacing w:before="0" w:beforeAutospacing="0" w:after="0" w:afterAutospacing="0" w:line="276" w:lineRule="auto"/>
        <w:ind w:firstLine="708"/>
        <w:jc w:val="both"/>
        <w:rPr>
          <w:rFonts w:ascii="Arial" w:hAnsi="Arial" w:cs="Arial"/>
          <w:sz w:val="22"/>
          <w:lang w:eastAsia="es-ES_tradnl"/>
        </w:rPr>
      </w:pPr>
    </w:p>
    <w:p w14:paraId="352840EB" w14:textId="182A5979" w:rsidR="00116A03" w:rsidRPr="00BD5C6D" w:rsidRDefault="00F34C6F" w:rsidP="0036514A">
      <w:pPr>
        <w:pStyle w:val="NormalWeb"/>
        <w:spacing w:before="0" w:beforeAutospacing="0" w:after="0" w:afterAutospacing="0"/>
        <w:ind w:left="709" w:right="474"/>
        <w:jc w:val="both"/>
        <w:rPr>
          <w:rFonts w:ascii="Arial" w:hAnsi="Arial" w:cs="Arial"/>
          <w:sz w:val="21"/>
          <w:szCs w:val="21"/>
          <w:lang w:eastAsia="es-ES_tradnl"/>
        </w:rPr>
      </w:pPr>
      <w:r w:rsidRPr="00BD5C6D">
        <w:rPr>
          <w:rFonts w:ascii="Arial" w:hAnsi="Arial" w:cs="Arial"/>
          <w:sz w:val="21"/>
          <w:szCs w:val="21"/>
          <w:lang w:eastAsia="es-ES_tradnl"/>
        </w:rPr>
        <w:t xml:space="preserve">Nótese cómo una empresa de servicios públicos privada es aquella que mayoritariamente pertenece a particulares, lo cual, a contrario sensu, significa </w:t>
      </w:r>
      <w:r w:rsidRPr="00BD5C6D">
        <w:rPr>
          <w:rFonts w:ascii="Arial" w:hAnsi="Arial" w:cs="Arial"/>
          <w:sz w:val="21"/>
          <w:szCs w:val="21"/>
          <w:lang w:eastAsia="es-ES_tradnl"/>
        </w:rPr>
        <w:lastRenderedPageBreak/>
        <w:t>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6F85CF9B" w14:textId="77777777" w:rsidR="00F34C6F" w:rsidRPr="00BD5C6D" w:rsidRDefault="00F34C6F" w:rsidP="00477A51">
      <w:pPr>
        <w:pStyle w:val="NormalWeb"/>
        <w:spacing w:before="0" w:beforeAutospacing="0" w:after="120" w:afterAutospacing="0"/>
        <w:ind w:left="709" w:right="333"/>
        <w:jc w:val="both"/>
        <w:rPr>
          <w:rFonts w:ascii="Arial" w:hAnsi="Arial" w:cs="Arial"/>
          <w:sz w:val="21"/>
          <w:szCs w:val="21"/>
          <w:lang w:eastAsia="es-ES_tradnl"/>
        </w:rPr>
      </w:pPr>
      <w:r w:rsidRPr="00BD5C6D">
        <w:rPr>
          <w:rFonts w:ascii="Arial" w:hAnsi="Arial" w:cs="Arial"/>
          <w:sz w:val="21"/>
          <w:szCs w:val="21"/>
          <w:lang w:eastAsia="es-ES_tradnl"/>
        </w:rPr>
        <w:t>[…]</w:t>
      </w:r>
    </w:p>
    <w:p w14:paraId="1FBFEF42" w14:textId="77777777" w:rsidR="00F34C6F" w:rsidRPr="00BD5C6D" w:rsidRDefault="00F34C6F" w:rsidP="00477A51">
      <w:pPr>
        <w:pStyle w:val="NormalWeb"/>
        <w:spacing w:before="120" w:beforeAutospacing="0" w:after="0" w:afterAutospacing="0"/>
        <w:ind w:left="709" w:right="474"/>
        <w:jc w:val="both"/>
        <w:rPr>
          <w:rFonts w:ascii="Arial" w:hAnsi="Arial" w:cs="Arial"/>
          <w:sz w:val="22"/>
          <w:lang w:eastAsia="es-ES_tradnl"/>
        </w:rPr>
      </w:pPr>
      <w:r w:rsidRPr="00BD5C6D">
        <w:rPr>
          <w:rFonts w:ascii="Arial" w:hAnsi="Arial" w:cs="Arial"/>
          <w:sz w:val="21"/>
          <w:szCs w:val="21"/>
          <w:lang w:eastAsia="es-ES_tradnl"/>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r w:rsidRPr="00BD5C6D">
        <w:rPr>
          <w:rStyle w:val="Refdenotaalpie"/>
          <w:rFonts w:ascii="Arial" w:hAnsi="Arial" w:cs="Arial"/>
          <w:sz w:val="22"/>
          <w:lang w:eastAsia="es-ES_tradnl"/>
        </w:rPr>
        <w:footnoteReference w:id="19"/>
      </w:r>
      <w:r w:rsidRPr="00BD5C6D">
        <w:rPr>
          <w:rFonts w:ascii="Arial" w:hAnsi="Arial" w:cs="Arial"/>
          <w:sz w:val="22"/>
          <w:lang w:eastAsia="es-ES_tradnl"/>
        </w:rPr>
        <w:t>.</w:t>
      </w:r>
    </w:p>
    <w:p w14:paraId="214A7133" w14:textId="77777777" w:rsidR="00F34C6F" w:rsidRPr="00BD5C6D" w:rsidRDefault="00F34C6F" w:rsidP="00477A51">
      <w:pPr>
        <w:pStyle w:val="NormalWeb"/>
        <w:spacing w:before="0" w:beforeAutospacing="0" w:after="0" w:afterAutospacing="0"/>
        <w:jc w:val="both"/>
        <w:rPr>
          <w:rFonts w:ascii="Arial" w:hAnsi="Arial" w:cs="Arial"/>
          <w:sz w:val="22"/>
          <w:lang w:eastAsia="es-ES_tradnl"/>
        </w:rPr>
      </w:pPr>
    </w:p>
    <w:p w14:paraId="3FE56A2C" w14:textId="2BC7CF8B" w:rsidR="00F34C6F" w:rsidRDefault="00F34C6F" w:rsidP="00477A51">
      <w:pPr>
        <w:pStyle w:val="NormalWeb"/>
        <w:spacing w:before="0" w:beforeAutospacing="0" w:after="0" w:afterAutospacing="0" w:line="276" w:lineRule="auto"/>
        <w:ind w:firstLine="708"/>
        <w:jc w:val="both"/>
        <w:rPr>
          <w:rFonts w:ascii="Arial" w:hAnsi="Arial" w:cs="Arial"/>
          <w:sz w:val="22"/>
          <w:lang w:eastAsia="es-ES_tradnl"/>
        </w:rPr>
      </w:pPr>
      <w:r w:rsidRPr="00BD5C6D">
        <w:rPr>
          <w:rFonts w:ascii="Arial" w:hAnsi="Arial" w:cs="Arial"/>
          <w:sz w:val="22"/>
          <w:lang w:eastAsia="es-ES_tradnl"/>
        </w:rPr>
        <w:t xml:space="preserve">En esta providencia también </w:t>
      </w:r>
      <w:r w:rsidR="00552705">
        <w:rPr>
          <w:rFonts w:ascii="Arial" w:hAnsi="Arial" w:cs="Arial"/>
          <w:sz w:val="22"/>
          <w:lang w:eastAsia="es-ES_tradnl"/>
        </w:rPr>
        <w:t>aclara que</w:t>
      </w:r>
      <w:r w:rsidRPr="00BD5C6D">
        <w:rPr>
          <w:rFonts w:ascii="Arial" w:hAnsi="Arial" w:cs="Arial"/>
          <w:sz w:val="22"/>
          <w:lang w:eastAsia="es-ES_tradnl"/>
        </w:rPr>
        <w:t xml:space="preserve"> las empresas prestadoras de servicios públicos, de carácter mixto o privado, no </w:t>
      </w:r>
      <w:r w:rsidR="00552705">
        <w:rPr>
          <w:rFonts w:ascii="Arial" w:hAnsi="Arial" w:cs="Arial"/>
          <w:sz w:val="22"/>
          <w:lang w:eastAsia="es-ES_tradnl"/>
        </w:rPr>
        <w:t>son</w:t>
      </w:r>
      <w:r w:rsidRPr="00BD5C6D">
        <w:rPr>
          <w:rFonts w:ascii="Arial" w:hAnsi="Arial" w:cs="Arial"/>
          <w:sz w:val="22"/>
          <w:lang w:eastAsia="es-ES_tradnl"/>
        </w:rPr>
        <w:t xml:space="preserve"> empresas de economía mixta. La anterior conclusión fue fundamentada sobre la idea del carácter o naturaleza especial que la Constitución </w:t>
      </w:r>
      <w:r w:rsidR="007145D9">
        <w:rPr>
          <w:rFonts w:ascii="Arial" w:hAnsi="Arial" w:cs="Arial"/>
          <w:sz w:val="22"/>
          <w:lang w:eastAsia="es-ES_tradnl"/>
        </w:rPr>
        <w:t>otorgó</w:t>
      </w:r>
      <w:r w:rsidRPr="00BD5C6D">
        <w:rPr>
          <w:rFonts w:ascii="Arial" w:hAnsi="Arial" w:cs="Arial"/>
          <w:sz w:val="22"/>
          <w:lang w:eastAsia="es-ES_tradnl"/>
        </w:rPr>
        <w:t xml:space="preserve"> a las </w:t>
      </w:r>
      <w:r w:rsidR="007145D9" w:rsidRPr="00BD5C6D">
        <w:rPr>
          <w:rFonts w:ascii="Arial" w:hAnsi="Arial" w:cs="Arial"/>
          <w:sz w:val="22"/>
          <w:lang w:eastAsia="es-ES_tradnl"/>
        </w:rPr>
        <w:t>empresas de servicios públicos</w:t>
      </w:r>
      <w:r w:rsidRPr="00BD5C6D">
        <w:rPr>
          <w:rFonts w:ascii="Arial" w:hAnsi="Arial" w:cs="Arial"/>
          <w:sz w:val="22"/>
          <w:lang w:eastAsia="es-ES_tradnl"/>
        </w:rPr>
        <w:t xml:space="preserve">: </w:t>
      </w:r>
    </w:p>
    <w:p w14:paraId="2057ECBC" w14:textId="77777777" w:rsidR="00521286" w:rsidRPr="00BD5C6D" w:rsidRDefault="00521286" w:rsidP="00477A51">
      <w:pPr>
        <w:pStyle w:val="NormalWeb"/>
        <w:spacing w:before="0" w:beforeAutospacing="0" w:after="0" w:afterAutospacing="0" w:line="276" w:lineRule="auto"/>
        <w:ind w:firstLine="708"/>
        <w:jc w:val="both"/>
        <w:rPr>
          <w:rFonts w:ascii="Arial" w:hAnsi="Arial" w:cs="Arial"/>
          <w:sz w:val="22"/>
          <w:lang w:eastAsia="es-ES_tradnl"/>
        </w:rPr>
      </w:pPr>
    </w:p>
    <w:p w14:paraId="763C221D" w14:textId="77777777" w:rsidR="00F34C6F" w:rsidRPr="00BD5C6D" w:rsidRDefault="00F34C6F" w:rsidP="00477A51">
      <w:pPr>
        <w:ind w:left="708" w:right="474"/>
        <w:jc w:val="both"/>
        <w:rPr>
          <w:rFonts w:ascii="Arial" w:hAnsi="Arial" w:cs="Arial"/>
          <w:sz w:val="21"/>
          <w:szCs w:val="21"/>
          <w:lang w:val="es-CO"/>
        </w:rPr>
      </w:pPr>
      <w:r w:rsidRPr="00BD5C6D">
        <w:rPr>
          <w:rFonts w:ascii="Arial" w:hAnsi="Arial" w:cs="Arial"/>
          <w:sz w:val="21"/>
          <w:szCs w:val="21"/>
          <w:lang w:val="es-CO"/>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7BF59A9B" w14:textId="77777777" w:rsidR="00F34C6F" w:rsidRPr="00BD5C6D" w:rsidRDefault="00F34C6F" w:rsidP="00477A51">
      <w:pPr>
        <w:spacing w:after="120" w:line="276" w:lineRule="auto"/>
        <w:ind w:left="360" w:right="474" w:firstLine="348"/>
        <w:jc w:val="both"/>
        <w:rPr>
          <w:rFonts w:ascii="Arial" w:hAnsi="Arial" w:cs="Arial"/>
          <w:sz w:val="21"/>
          <w:szCs w:val="21"/>
          <w:lang w:val="es-CO"/>
        </w:rPr>
      </w:pPr>
      <w:r w:rsidRPr="00BD5C6D">
        <w:rPr>
          <w:rFonts w:ascii="Arial" w:hAnsi="Arial" w:cs="Arial"/>
          <w:sz w:val="21"/>
          <w:szCs w:val="21"/>
          <w:lang w:val="es-CO"/>
        </w:rPr>
        <w:t xml:space="preserve">[…] </w:t>
      </w:r>
    </w:p>
    <w:p w14:paraId="66281B6B" w14:textId="77777777" w:rsidR="00F34C6F" w:rsidRPr="00BD5C6D" w:rsidRDefault="00F34C6F" w:rsidP="00477A51">
      <w:pPr>
        <w:spacing w:before="120"/>
        <w:ind w:left="708" w:right="474"/>
        <w:jc w:val="both"/>
        <w:rPr>
          <w:rFonts w:ascii="Arial" w:hAnsi="Arial" w:cs="Arial"/>
          <w:sz w:val="21"/>
          <w:szCs w:val="21"/>
          <w:lang w:val="es-CO"/>
        </w:rPr>
      </w:pPr>
      <w:r w:rsidRPr="00BD5C6D">
        <w:rPr>
          <w:rFonts w:ascii="Arial" w:hAnsi="Arial" w:cs="Arial"/>
          <w:sz w:val="21"/>
          <w:szCs w:val="21"/>
          <w:lang w:val="es-CO"/>
        </w:rPr>
        <w:t xml:space="preserve">Al parecer de la Corte, la interpretación según la cual las empresas de servicios públicos son sociedades de economía mixta resulta contraria a la Constitución. Ciertamente, según se dijo arriba, del artículo 365 superior se desprende que el régimen y la naturaleza jurídica de los prestadores de servicios públicos es especial; además, del numeral 7° del artículo 150 de la Carta, se extrae que el </w:t>
      </w:r>
      <w:r w:rsidRPr="00BD5C6D">
        <w:rPr>
          <w:rFonts w:ascii="Arial" w:hAnsi="Arial" w:cs="Arial"/>
          <w:sz w:val="21"/>
          <w:szCs w:val="21"/>
          <w:lang w:val="es-CO"/>
        </w:rPr>
        <w:lastRenderedPageBreak/>
        <w:t>legislador está constitucionalmente autorizado para crear o autorizar la creación de «otras entidades del orden nacional», distintas de los establecimientos públicos, las empresas comerciales e industriales de Estado y las sociedades de economía mixta</w:t>
      </w:r>
      <w:r w:rsidRPr="00BD5C6D">
        <w:rPr>
          <w:rStyle w:val="Refdenotaalpie"/>
          <w:rFonts w:ascii="Arial" w:hAnsi="Arial" w:cs="Arial"/>
          <w:sz w:val="21"/>
          <w:szCs w:val="21"/>
          <w:lang w:val="es-CO"/>
        </w:rPr>
        <w:footnoteReference w:id="20"/>
      </w:r>
      <w:r w:rsidRPr="00BD5C6D">
        <w:rPr>
          <w:rFonts w:ascii="Arial" w:hAnsi="Arial" w:cs="Arial"/>
          <w:sz w:val="21"/>
          <w:szCs w:val="21"/>
          <w:lang w:val="es-CO"/>
        </w:rPr>
        <w:t>.</w:t>
      </w:r>
    </w:p>
    <w:p w14:paraId="2BB0C9C3" w14:textId="77777777" w:rsidR="00F34C6F" w:rsidRPr="00BD5C6D" w:rsidRDefault="00F34C6F" w:rsidP="00477A51">
      <w:pPr>
        <w:spacing w:line="276" w:lineRule="auto"/>
        <w:jc w:val="both"/>
        <w:rPr>
          <w:rFonts w:ascii="Arial" w:hAnsi="Arial" w:cs="Arial"/>
          <w:sz w:val="22"/>
          <w:lang w:val="es-CO"/>
        </w:rPr>
      </w:pPr>
    </w:p>
    <w:p w14:paraId="38391B47" w14:textId="2B71CA1C" w:rsidR="00F34C6F" w:rsidRPr="00BD5C6D" w:rsidRDefault="00F34C6F" w:rsidP="00477A51">
      <w:pPr>
        <w:spacing w:after="120" w:line="276" w:lineRule="auto"/>
        <w:ind w:firstLine="708"/>
        <w:jc w:val="both"/>
        <w:rPr>
          <w:rFonts w:ascii="Arial" w:hAnsi="Arial" w:cs="Arial"/>
          <w:sz w:val="22"/>
          <w:lang w:val="es-CO"/>
        </w:rPr>
      </w:pPr>
      <w:r w:rsidRPr="00BD5C6D">
        <w:rPr>
          <w:rFonts w:ascii="Arial" w:hAnsi="Arial" w:cs="Arial"/>
          <w:sz w:val="22"/>
          <w:lang w:val="es-CO"/>
        </w:rPr>
        <w:t xml:space="preserve">Así las cosas, es impreciso afirmar que existen empresas de servicios públicos, cuya naturaleza jurídica es de sociedad de economía mixta, toda vez que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15BBEF28" w14:textId="77777777" w:rsidR="00DD390E" w:rsidRPr="00BD5C6D" w:rsidRDefault="00F34C6F" w:rsidP="00116A03">
      <w:pPr>
        <w:spacing w:before="120" w:after="120" w:line="276" w:lineRule="auto"/>
        <w:ind w:firstLine="708"/>
        <w:jc w:val="both"/>
        <w:rPr>
          <w:rFonts w:ascii="Arial" w:hAnsi="Arial" w:cs="Arial"/>
          <w:sz w:val="20"/>
          <w:szCs w:val="20"/>
          <w:lang w:val="es-CO"/>
        </w:rPr>
      </w:pPr>
      <w:r w:rsidRPr="00BD5C6D">
        <w:rPr>
          <w:rFonts w:ascii="Arial" w:hAnsi="Arial" w:cs="Arial"/>
          <w:sz w:val="22"/>
          <w:lang w:val="es-CO"/>
        </w:rPr>
        <w:t>Finalmente, en cuanto al régimen jurídico de contratación de las empresas de servicios públicos, el artículo 31 de la Ley 142 de 1994 señala que «los</w:t>
      </w:r>
      <w:r w:rsidRPr="00BD5C6D">
        <w:rPr>
          <w:rFonts w:ascii="Arial" w:hAnsi="Arial" w:cs="Arial"/>
          <w:sz w:val="20"/>
          <w:szCs w:val="20"/>
          <w:lang w:val="es-CO"/>
        </w:rPr>
        <w:t xml:space="preserve"> </w:t>
      </w:r>
      <w:r w:rsidRPr="00BD5C6D">
        <w:rPr>
          <w:rFonts w:ascii="Arial" w:hAnsi="Arial" w:cs="Arial"/>
          <w:sz w:val="22"/>
          <w:lang w:val="es-CO"/>
        </w:rPr>
        <w:t>contratos que celebren las entidades estatales que prestan los servicios públicos a los que se refiere esta Ley, y que tengan por objeto la prestación de esos servicios, se regirán por el parágrafo 1 del artículo 32 de la ley 80 de 1993 y por la presente Ley, salvo en lo que la presente Ley disponga otra cosa».</w:t>
      </w:r>
      <w:r w:rsidRPr="00BD5C6D">
        <w:rPr>
          <w:rFonts w:ascii="Arial" w:hAnsi="Arial" w:cs="Arial"/>
          <w:sz w:val="20"/>
          <w:szCs w:val="20"/>
          <w:lang w:val="es-CO"/>
        </w:rPr>
        <w:t> </w:t>
      </w:r>
    </w:p>
    <w:p w14:paraId="5BE5E5A0" w14:textId="348C380E" w:rsidR="00DD390E" w:rsidRPr="00BD5C6D" w:rsidRDefault="00F34C6F" w:rsidP="00116A03">
      <w:pPr>
        <w:spacing w:before="120" w:after="120" w:line="276" w:lineRule="auto"/>
        <w:ind w:firstLine="708"/>
        <w:jc w:val="both"/>
        <w:rPr>
          <w:rFonts w:ascii="Arial" w:hAnsi="Arial" w:cs="Arial"/>
          <w:sz w:val="22"/>
          <w:lang w:val="es-CO"/>
        </w:rPr>
      </w:pPr>
      <w:r w:rsidRPr="00BD5C6D">
        <w:rPr>
          <w:rFonts w:ascii="Arial" w:hAnsi="Arial" w:cs="Arial"/>
          <w:sz w:val="22"/>
          <w:lang w:val="es-CO"/>
        </w:rPr>
        <w:t xml:space="preserve">El parágrafo 1 del artículo 32 de la Ley 80 señala que «los contratos que celebren los </w:t>
      </w:r>
      <w:r w:rsidR="00BA44B5" w:rsidRPr="00BD5C6D">
        <w:rPr>
          <w:rFonts w:ascii="Arial" w:hAnsi="Arial" w:cs="Arial"/>
          <w:sz w:val="22"/>
          <w:lang w:val="es-CO"/>
        </w:rPr>
        <w:t>establecimientos de crédito</w:t>
      </w:r>
      <w:r w:rsidRPr="00BD5C6D">
        <w:rPr>
          <w:rFonts w:ascii="Arial" w:hAnsi="Arial" w:cs="Arial"/>
          <w:sz w:val="22"/>
          <w:lang w:val="es-CO"/>
        </w:rPr>
        <w:t>,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 </w:t>
      </w:r>
    </w:p>
    <w:p w14:paraId="01D839AE" w14:textId="0EB4503F" w:rsidR="00F34C6F" w:rsidRPr="00BD5C6D" w:rsidRDefault="00F34C6F" w:rsidP="00116A03">
      <w:pPr>
        <w:spacing w:before="120" w:after="120" w:line="276" w:lineRule="auto"/>
        <w:ind w:firstLine="708"/>
        <w:jc w:val="both"/>
        <w:rPr>
          <w:rFonts w:ascii="Arial" w:hAnsi="Arial" w:cs="Arial"/>
          <w:sz w:val="22"/>
          <w:lang w:val="es-CO"/>
        </w:rPr>
      </w:pPr>
      <w:r w:rsidRPr="00BD5C6D">
        <w:rPr>
          <w:rFonts w:ascii="Arial" w:hAnsi="Arial" w:cs="Arial"/>
          <w:sz w:val="22"/>
          <w:lang w:val="es-CO"/>
        </w:rPr>
        <w:t xml:space="preserve">Así las cosas, el régimen jurídico aplicable a los contratos que celebren las empresas de servicios públicos, incluso para las oficiales y las mixtas, es el contenido en la Ley 142 de 1994 y en el derecho privado, esto es, no están sometidas al Estatuto General de Contratación Estatal. Sin embargo, como ya se advirtió, eso no las exime del deber de publicar su actividad contractual, cuando ejecuten recursos públicos. </w:t>
      </w:r>
    </w:p>
    <w:p w14:paraId="4848B085" w14:textId="2FFD75A0" w:rsidR="00306CCD" w:rsidRPr="00BD5C6D" w:rsidRDefault="008570C2" w:rsidP="00477A51">
      <w:pPr>
        <w:spacing w:before="120" w:line="276" w:lineRule="auto"/>
        <w:ind w:firstLine="708"/>
        <w:jc w:val="both"/>
        <w:rPr>
          <w:rFonts w:ascii="Arial" w:hAnsi="Arial" w:cs="Arial"/>
          <w:sz w:val="22"/>
          <w:lang w:val="es-CO"/>
        </w:rPr>
      </w:pPr>
      <w:r w:rsidRPr="00BD5C6D">
        <w:rPr>
          <w:rFonts w:ascii="Arial" w:hAnsi="Arial" w:cs="Arial"/>
          <w:sz w:val="22"/>
          <w:lang w:val="es-CO"/>
        </w:rPr>
        <w:t>Ahora, la Ley 142 de 1994 en</w:t>
      </w:r>
      <w:r w:rsidR="009C42FD" w:rsidRPr="00BD5C6D">
        <w:rPr>
          <w:rFonts w:ascii="Arial" w:hAnsi="Arial" w:cs="Arial"/>
          <w:sz w:val="22"/>
          <w:lang w:val="es-CO"/>
        </w:rPr>
        <w:t xml:space="preserve"> </w:t>
      </w:r>
      <w:r w:rsidR="00F964A2" w:rsidRPr="00BD5C6D">
        <w:rPr>
          <w:rFonts w:ascii="Arial" w:hAnsi="Arial" w:cs="Arial"/>
          <w:sz w:val="22"/>
          <w:lang w:val="es-CO"/>
        </w:rPr>
        <w:t>el capítulo</w:t>
      </w:r>
      <w:r w:rsidRPr="00BD5C6D">
        <w:rPr>
          <w:rFonts w:ascii="Arial" w:hAnsi="Arial" w:cs="Arial"/>
          <w:sz w:val="22"/>
          <w:lang w:val="es-CO"/>
        </w:rPr>
        <w:t xml:space="preserve"> tercero, artículo 99</w:t>
      </w:r>
      <w:r w:rsidR="009C42FD" w:rsidRPr="00BD5C6D">
        <w:rPr>
          <w:rFonts w:ascii="Arial" w:hAnsi="Arial" w:cs="Arial"/>
          <w:sz w:val="22"/>
          <w:lang w:val="es-CO"/>
        </w:rPr>
        <w:t xml:space="preserve">, </w:t>
      </w:r>
      <w:r w:rsidRPr="00BD5C6D">
        <w:rPr>
          <w:rFonts w:ascii="Arial" w:hAnsi="Arial" w:cs="Arial"/>
          <w:sz w:val="22"/>
          <w:lang w:val="es-CO"/>
        </w:rPr>
        <w:t xml:space="preserve">autoriza las entidades señaladas en el </w:t>
      </w:r>
      <w:r w:rsidR="00C522A4" w:rsidRPr="00BD5C6D">
        <w:rPr>
          <w:rFonts w:ascii="Arial" w:hAnsi="Arial" w:cs="Arial"/>
          <w:sz w:val="22"/>
          <w:lang w:val="es-CO"/>
        </w:rPr>
        <w:t>artículo</w:t>
      </w:r>
      <w:r w:rsidRPr="00BD5C6D">
        <w:rPr>
          <w:rFonts w:ascii="Arial" w:hAnsi="Arial" w:cs="Arial"/>
          <w:sz w:val="22"/>
          <w:lang w:val="es-CO"/>
        </w:rPr>
        <w:t xml:space="preserve"> 368 de la constitución política para conceder subsidios en materia de servicios públicos domiciliarios «La Nación, los departamentos, los distritos, los municipios y las entidades descentralizadas»</w:t>
      </w:r>
      <w:r w:rsidR="000B1737" w:rsidRPr="00BD5C6D">
        <w:rPr>
          <w:rFonts w:ascii="Arial" w:hAnsi="Arial" w:cs="Arial"/>
          <w:sz w:val="22"/>
          <w:lang w:val="es-CO"/>
        </w:rPr>
        <w:t xml:space="preserve">. Con el fin de lograr este cometido, el artículo 89 de la Ley 142 de 1994, </w:t>
      </w:r>
      <w:r w:rsidR="00BA44B5">
        <w:rPr>
          <w:rFonts w:ascii="Arial" w:hAnsi="Arial" w:cs="Arial"/>
          <w:sz w:val="22"/>
          <w:lang w:val="es-CO"/>
        </w:rPr>
        <w:t xml:space="preserve">se </w:t>
      </w:r>
      <w:r w:rsidR="000B1737" w:rsidRPr="00BD5C6D">
        <w:rPr>
          <w:rFonts w:ascii="Arial" w:hAnsi="Arial" w:cs="Arial"/>
          <w:sz w:val="22"/>
          <w:lang w:val="es-CO"/>
        </w:rPr>
        <w:t xml:space="preserve">refiere los fondos de solidaridad y redistribución de ingresos así: </w:t>
      </w:r>
    </w:p>
    <w:p w14:paraId="3267FD90" w14:textId="77777777" w:rsidR="00176221" w:rsidRPr="00BD5C6D" w:rsidRDefault="00176221" w:rsidP="00477A51">
      <w:pPr>
        <w:spacing w:line="276" w:lineRule="auto"/>
        <w:ind w:firstLine="708"/>
        <w:jc w:val="both"/>
        <w:rPr>
          <w:rFonts w:ascii="Arial" w:hAnsi="Arial" w:cs="Arial"/>
          <w:sz w:val="22"/>
          <w:lang w:val="es-CO"/>
        </w:rPr>
      </w:pPr>
    </w:p>
    <w:p w14:paraId="4F3E8317" w14:textId="23CD3F7F" w:rsidR="00176221" w:rsidRPr="00BD5C6D" w:rsidRDefault="00306CCD" w:rsidP="00477A51">
      <w:pPr>
        <w:spacing w:line="276" w:lineRule="auto"/>
        <w:ind w:left="709" w:right="709"/>
        <w:jc w:val="both"/>
        <w:rPr>
          <w:rStyle w:val="letra8pt"/>
          <w:rFonts w:ascii="Arial" w:hAnsi="Arial" w:cs="Arial"/>
          <w:sz w:val="21"/>
          <w:szCs w:val="21"/>
          <w:lang w:val="es-CO"/>
        </w:rPr>
      </w:pPr>
      <w:r w:rsidRPr="00BD5C6D">
        <w:rPr>
          <w:rFonts w:ascii="Arial" w:hAnsi="Arial" w:cs="Arial"/>
          <w:sz w:val="21"/>
          <w:szCs w:val="21"/>
          <w:lang w:val="es-CO"/>
        </w:rPr>
        <w:lastRenderedPageBreak/>
        <w:t>[…] Los concejos municipales están en la obligación de crear "fondos de solidaridad y redistribución de ingresos", para que al presupuesto del municipio se incorporen las transferencias que a dichos fondos deberán hacer las empresas de servicios públicos, según el servicio de que se trate, de acuerdo con lo establecido en el artículo 89.2 de la presente Ley. Los recursos de dichos fondos serán destinados a dar subsidios a los usuarios de estratos 1, 2 y 3, como inversión social, en los términos de esta Ley. A igual procedimiento y sistema se sujetarán los fondos distritales y departamentales que deberán ser creados por las autoridades correspondientes en cada caso. </w:t>
      </w:r>
      <w:r w:rsidRPr="00BD5C6D">
        <w:rPr>
          <w:rStyle w:val="letra8pt"/>
          <w:rFonts w:ascii="Arial" w:hAnsi="Arial" w:cs="Arial"/>
          <w:sz w:val="21"/>
          <w:szCs w:val="21"/>
          <w:lang w:val="es-CO"/>
        </w:rPr>
        <w:t> </w:t>
      </w:r>
    </w:p>
    <w:p w14:paraId="37000627" w14:textId="77777777" w:rsidR="00176221" w:rsidRPr="00BD5C6D" w:rsidRDefault="00176221" w:rsidP="00477A51">
      <w:pPr>
        <w:spacing w:line="276" w:lineRule="auto"/>
        <w:ind w:left="709" w:right="709"/>
        <w:jc w:val="both"/>
        <w:rPr>
          <w:rStyle w:val="letra8pt"/>
          <w:rFonts w:ascii="Arial" w:hAnsi="Arial" w:cs="Arial"/>
          <w:sz w:val="21"/>
          <w:szCs w:val="21"/>
          <w:lang w:val="es-CO"/>
        </w:rPr>
      </w:pPr>
    </w:p>
    <w:p w14:paraId="5F29753E" w14:textId="33528930" w:rsidR="00F34C6F" w:rsidRDefault="00176221" w:rsidP="00AF7DC7">
      <w:pPr>
        <w:spacing w:line="276" w:lineRule="auto"/>
        <w:ind w:right="51" w:firstLine="709"/>
        <w:jc w:val="both"/>
        <w:rPr>
          <w:rStyle w:val="letra8pt"/>
          <w:rFonts w:ascii="Arial" w:hAnsi="Arial" w:cs="Arial"/>
          <w:sz w:val="22"/>
          <w:lang w:val="es-CO"/>
        </w:rPr>
      </w:pPr>
      <w:r w:rsidRPr="00BD5C6D">
        <w:rPr>
          <w:rStyle w:val="letra8pt"/>
          <w:rFonts w:ascii="Arial" w:hAnsi="Arial" w:cs="Arial"/>
          <w:sz w:val="22"/>
          <w:lang w:val="es-CO"/>
        </w:rPr>
        <w:t xml:space="preserve">El artículo 99 de la citada ley, establece las diferentes formas en que las entidades autorizadas, pueden conceder los subsidios, dentro de ellos a </w:t>
      </w:r>
      <w:r w:rsidR="004D6195" w:rsidRPr="00BD5C6D">
        <w:rPr>
          <w:rStyle w:val="letra8pt"/>
          <w:rFonts w:ascii="Arial" w:hAnsi="Arial" w:cs="Arial"/>
          <w:sz w:val="22"/>
          <w:lang w:val="es-CO"/>
        </w:rPr>
        <w:t>través</w:t>
      </w:r>
      <w:r w:rsidRPr="00BD5C6D">
        <w:rPr>
          <w:rStyle w:val="letra8pt"/>
          <w:rFonts w:ascii="Arial" w:hAnsi="Arial" w:cs="Arial"/>
          <w:sz w:val="22"/>
          <w:lang w:val="es-CO"/>
        </w:rPr>
        <w:t xml:space="preserve"> de la figura de </w:t>
      </w:r>
      <w:r w:rsidR="00AB5119">
        <w:rPr>
          <w:rStyle w:val="letra8pt"/>
          <w:rFonts w:ascii="Arial" w:hAnsi="Arial" w:cs="Arial"/>
          <w:sz w:val="22"/>
          <w:lang w:val="es-CO"/>
        </w:rPr>
        <w:t>f</w:t>
      </w:r>
      <w:r w:rsidRPr="00BD5C6D">
        <w:rPr>
          <w:rStyle w:val="letra8pt"/>
          <w:rFonts w:ascii="Arial" w:hAnsi="Arial" w:cs="Arial"/>
          <w:sz w:val="22"/>
          <w:lang w:val="es-CO"/>
        </w:rPr>
        <w:t xml:space="preserve">ondos de solidaridad y redistribución de ingresos, como </w:t>
      </w:r>
      <w:r w:rsidR="004D6195" w:rsidRPr="00BD5C6D">
        <w:rPr>
          <w:rStyle w:val="letra8pt"/>
          <w:rFonts w:ascii="Arial" w:hAnsi="Arial" w:cs="Arial"/>
          <w:sz w:val="22"/>
          <w:lang w:val="es-CO"/>
        </w:rPr>
        <w:t>mecanismo para canalizar los recursos destinados para estos fines</w:t>
      </w:r>
      <w:r w:rsidR="008559B2">
        <w:rPr>
          <w:rStyle w:val="Refdenotaalpie"/>
          <w:rFonts w:ascii="Arial" w:hAnsi="Arial" w:cs="Arial"/>
          <w:sz w:val="22"/>
          <w:lang w:val="es-CO"/>
        </w:rPr>
        <w:footnoteReference w:id="21"/>
      </w:r>
      <w:r w:rsidR="004D6195" w:rsidRPr="00BD5C6D">
        <w:rPr>
          <w:rStyle w:val="letra8pt"/>
          <w:rFonts w:ascii="Arial" w:hAnsi="Arial" w:cs="Arial"/>
          <w:sz w:val="22"/>
          <w:lang w:val="es-CO"/>
        </w:rPr>
        <w:t xml:space="preserve">. </w:t>
      </w:r>
      <w:r w:rsidR="00486CD4" w:rsidRPr="00BD5C6D">
        <w:rPr>
          <w:rStyle w:val="letra8pt"/>
          <w:rFonts w:ascii="Arial" w:hAnsi="Arial" w:cs="Arial"/>
          <w:sz w:val="22"/>
          <w:lang w:val="es-CO"/>
        </w:rPr>
        <w:t xml:space="preserve">Ahora bien, </w:t>
      </w:r>
      <w:r w:rsidR="00647AF3" w:rsidRPr="00BD5C6D">
        <w:rPr>
          <w:rStyle w:val="letra8pt"/>
          <w:rFonts w:ascii="Arial" w:hAnsi="Arial" w:cs="Arial"/>
          <w:sz w:val="22"/>
          <w:lang w:val="es-CO"/>
        </w:rPr>
        <w:t>existe una exigencia legal para asegurar la transferencia de estos recursos, la cual consi</w:t>
      </w:r>
      <w:r w:rsidR="00815760" w:rsidRPr="00BD5C6D">
        <w:rPr>
          <w:rStyle w:val="letra8pt"/>
          <w:rFonts w:ascii="Arial" w:hAnsi="Arial" w:cs="Arial"/>
          <w:sz w:val="22"/>
          <w:lang w:val="es-CO"/>
        </w:rPr>
        <w:t xml:space="preserve">ste en que las empresas deben firmar contratos con el </w:t>
      </w:r>
      <w:r w:rsidR="00BA44B5">
        <w:rPr>
          <w:rStyle w:val="letra8pt"/>
          <w:rFonts w:ascii="Arial" w:hAnsi="Arial" w:cs="Arial"/>
          <w:sz w:val="22"/>
          <w:lang w:val="es-CO"/>
        </w:rPr>
        <w:t>m</w:t>
      </w:r>
      <w:r w:rsidR="00815760" w:rsidRPr="00BD5C6D">
        <w:rPr>
          <w:rStyle w:val="letra8pt"/>
          <w:rFonts w:ascii="Arial" w:hAnsi="Arial" w:cs="Arial"/>
          <w:sz w:val="22"/>
          <w:lang w:val="es-CO"/>
        </w:rPr>
        <w:t xml:space="preserve">unicipio. </w:t>
      </w:r>
      <w:r w:rsidR="00A3120D">
        <w:rPr>
          <w:rStyle w:val="letra8pt"/>
          <w:rFonts w:ascii="Arial" w:hAnsi="Arial" w:cs="Arial"/>
          <w:sz w:val="22"/>
          <w:lang w:val="es-CO"/>
        </w:rPr>
        <w:t>Por tanto</w:t>
      </w:r>
      <w:r w:rsidR="00815760" w:rsidRPr="00BD5C6D">
        <w:rPr>
          <w:rStyle w:val="letra8pt"/>
          <w:rFonts w:ascii="Arial" w:hAnsi="Arial" w:cs="Arial"/>
          <w:sz w:val="22"/>
          <w:lang w:val="es-CO"/>
        </w:rPr>
        <w:t>,</w:t>
      </w:r>
      <w:r w:rsidR="00A3120D">
        <w:rPr>
          <w:rStyle w:val="letra8pt"/>
          <w:rFonts w:ascii="Arial" w:hAnsi="Arial" w:cs="Arial"/>
          <w:sz w:val="22"/>
          <w:lang w:val="es-CO"/>
        </w:rPr>
        <w:t xml:space="preserve"> teniendo en cuenta</w:t>
      </w:r>
      <w:r w:rsidR="00815760" w:rsidRPr="00BD5C6D">
        <w:rPr>
          <w:rStyle w:val="letra8pt"/>
          <w:rFonts w:ascii="Arial" w:hAnsi="Arial" w:cs="Arial"/>
          <w:sz w:val="22"/>
          <w:lang w:val="es-CO"/>
        </w:rPr>
        <w:t xml:space="preserve"> </w:t>
      </w:r>
      <w:r w:rsidR="00A3120D">
        <w:rPr>
          <w:rStyle w:val="letra8pt"/>
          <w:rFonts w:ascii="Arial" w:hAnsi="Arial" w:cs="Arial"/>
          <w:sz w:val="22"/>
          <w:lang w:val="es-CO"/>
        </w:rPr>
        <w:t>estos recursos</w:t>
      </w:r>
      <w:r w:rsidR="002B06AB">
        <w:rPr>
          <w:rStyle w:val="letra8pt"/>
          <w:rFonts w:ascii="Arial" w:hAnsi="Arial" w:cs="Arial"/>
          <w:sz w:val="22"/>
          <w:lang w:val="es-CO"/>
        </w:rPr>
        <w:t xml:space="preserve"> son públicos</w:t>
      </w:r>
      <w:r w:rsidR="00815760" w:rsidRPr="00BD5C6D">
        <w:rPr>
          <w:rStyle w:val="Refdenotaalpie"/>
          <w:rFonts w:ascii="Arial" w:hAnsi="Arial" w:cs="Arial"/>
          <w:sz w:val="22"/>
          <w:lang w:val="es-CO"/>
        </w:rPr>
        <w:footnoteReference w:id="22"/>
      </w:r>
      <w:r w:rsidR="00837D59" w:rsidRPr="00BD5C6D">
        <w:rPr>
          <w:rStyle w:val="letra8pt"/>
          <w:rFonts w:ascii="Arial" w:hAnsi="Arial" w:cs="Arial"/>
          <w:sz w:val="22"/>
          <w:lang w:val="es-CO"/>
        </w:rPr>
        <w:t xml:space="preserve">, se acoge el criterio expuesto en </w:t>
      </w:r>
      <w:r w:rsidR="00E30712">
        <w:rPr>
          <w:rStyle w:val="letra8pt"/>
          <w:rFonts w:ascii="Arial" w:hAnsi="Arial" w:cs="Arial"/>
          <w:sz w:val="22"/>
          <w:lang w:val="es-CO"/>
        </w:rPr>
        <w:t xml:space="preserve">los </w:t>
      </w:r>
      <w:r w:rsidR="00837D59" w:rsidRPr="00BD5C6D">
        <w:rPr>
          <w:rStyle w:val="letra8pt"/>
          <w:rFonts w:ascii="Arial" w:hAnsi="Arial" w:cs="Arial"/>
          <w:sz w:val="22"/>
          <w:lang w:val="es-CO"/>
        </w:rPr>
        <w:t>apart</w:t>
      </w:r>
      <w:r w:rsidR="00E30712">
        <w:rPr>
          <w:rStyle w:val="letra8pt"/>
          <w:rFonts w:ascii="Arial" w:hAnsi="Arial" w:cs="Arial"/>
          <w:sz w:val="22"/>
          <w:lang w:val="es-CO"/>
        </w:rPr>
        <w:t>ados</w:t>
      </w:r>
      <w:r w:rsidR="00837D59" w:rsidRPr="00BD5C6D">
        <w:rPr>
          <w:rStyle w:val="letra8pt"/>
          <w:rFonts w:ascii="Arial" w:hAnsi="Arial" w:cs="Arial"/>
          <w:sz w:val="22"/>
          <w:lang w:val="es-CO"/>
        </w:rPr>
        <w:t xml:space="preserve"> </w:t>
      </w:r>
      <w:r w:rsidR="00E30712">
        <w:rPr>
          <w:rStyle w:val="letra8pt"/>
          <w:rFonts w:ascii="Arial" w:hAnsi="Arial" w:cs="Arial"/>
          <w:sz w:val="22"/>
          <w:lang w:val="es-CO"/>
        </w:rPr>
        <w:t>precedentes</w:t>
      </w:r>
      <w:r w:rsidR="00837D59" w:rsidRPr="00BD5C6D">
        <w:rPr>
          <w:rStyle w:val="letra8pt"/>
          <w:rFonts w:ascii="Arial" w:hAnsi="Arial" w:cs="Arial"/>
          <w:sz w:val="22"/>
          <w:lang w:val="es-CO"/>
        </w:rPr>
        <w:t xml:space="preserve"> sobre la publicación de </w:t>
      </w:r>
      <w:r w:rsidR="00E30712">
        <w:rPr>
          <w:rStyle w:val="letra8pt"/>
          <w:rFonts w:ascii="Arial" w:hAnsi="Arial" w:cs="Arial"/>
          <w:sz w:val="22"/>
          <w:lang w:val="es-CO"/>
        </w:rPr>
        <w:t>contratos</w:t>
      </w:r>
      <w:r w:rsidR="00837D59" w:rsidRPr="00BD5C6D">
        <w:rPr>
          <w:rStyle w:val="letra8pt"/>
          <w:rFonts w:ascii="Arial" w:hAnsi="Arial" w:cs="Arial"/>
          <w:sz w:val="22"/>
          <w:lang w:val="es-CO"/>
        </w:rPr>
        <w:t xml:space="preserve"> cuando se ejecuten recursos </w:t>
      </w:r>
      <w:r w:rsidR="002B06AB">
        <w:rPr>
          <w:rStyle w:val="letra8pt"/>
          <w:rFonts w:ascii="Arial" w:hAnsi="Arial" w:cs="Arial"/>
          <w:sz w:val="22"/>
          <w:lang w:val="es-CO"/>
        </w:rPr>
        <w:t>de esta naturaleza</w:t>
      </w:r>
      <w:r w:rsidR="00837D59" w:rsidRPr="00BD5C6D">
        <w:rPr>
          <w:rStyle w:val="letra8pt"/>
          <w:rFonts w:ascii="Arial" w:hAnsi="Arial" w:cs="Arial"/>
          <w:sz w:val="22"/>
          <w:lang w:val="es-CO"/>
        </w:rPr>
        <w:t>.</w:t>
      </w:r>
    </w:p>
    <w:p w14:paraId="6D4D618B" w14:textId="77777777" w:rsidR="00AF7DC7" w:rsidRPr="00EB1CD3" w:rsidRDefault="00AF7DC7" w:rsidP="0036514A">
      <w:pPr>
        <w:spacing w:line="276" w:lineRule="auto"/>
        <w:ind w:right="51" w:firstLine="709"/>
        <w:jc w:val="both"/>
        <w:rPr>
          <w:rFonts w:ascii="Arial" w:hAnsi="Arial" w:cs="Arial"/>
          <w:sz w:val="22"/>
          <w:lang w:val="es-CO"/>
        </w:rPr>
      </w:pPr>
    </w:p>
    <w:p w14:paraId="5483ABBC" w14:textId="71097514" w:rsidR="00F34C6F" w:rsidRPr="00BD5C6D" w:rsidRDefault="00F34C6F" w:rsidP="0036514A">
      <w:pPr>
        <w:pStyle w:val="Prrafodelista"/>
        <w:numPr>
          <w:ilvl w:val="0"/>
          <w:numId w:val="7"/>
        </w:numPr>
        <w:spacing w:after="120"/>
        <w:jc w:val="both"/>
        <w:rPr>
          <w:rFonts w:ascii="Arial" w:eastAsia="Calibri" w:hAnsi="Arial" w:cs="Arial"/>
          <w:sz w:val="20"/>
          <w:szCs w:val="20"/>
          <w:lang w:val="es-CO"/>
        </w:rPr>
      </w:pPr>
      <w:r w:rsidRPr="00BD5C6D">
        <w:rPr>
          <w:rFonts w:ascii="Arial" w:eastAsia="Calibri" w:hAnsi="Arial" w:cs="Arial"/>
          <w:b/>
          <w:sz w:val="22"/>
          <w:szCs w:val="20"/>
          <w:lang w:val="es-CO"/>
        </w:rPr>
        <w:lastRenderedPageBreak/>
        <w:t>Respuesta</w:t>
      </w:r>
    </w:p>
    <w:p w14:paraId="12DD795A" w14:textId="77777777" w:rsidR="00DD390E" w:rsidRPr="00BD5C6D" w:rsidRDefault="00DD390E" w:rsidP="00477A51">
      <w:pPr>
        <w:pStyle w:val="Prrafodelista"/>
        <w:spacing w:before="120"/>
        <w:ind w:left="360"/>
        <w:jc w:val="both"/>
        <w:rPr>
          <w:rFonts w:ascii="Arial" w:eastAsia="Calibri" w:hAnsi="Arial" w:cs="Arial"/>
          <w:sz w:val="20"/>
          <w:szCs w:val="20"/>
          <w:lang w:val="es-CO"/>
        </w:rPr>
      </w:pPr>
      <w:bookmarkStart w:id="4" w:name="_Hlk47523502"/>
    </w:p>
    <w:p w14:paraId="5B6047B1" w14:textId="19575960" w:rsidR="00D56E40" w:rsidRPr="00477A51" w:rsidRDefault="008043FA" w:rsidP="00477A51">
      <w:pPr>
        <w:ind w:left="708" w:right="333"/>
        <w:jc w:val="both"/>
        <w:rPr>
          <w:rFonts w:ascii="Arial" w:eastAsia="Calibri" w:hAnsi="Arial" w:cs="Arial"/>
          <w:sz w:val="21"/>
          <w:szCs w:val="21"/>
          <w:lang w:val="es-CO"/>
        </w:rPr>
      </w:pPr>
      <w:r w:rsidRPr="00477A51">
        <w:rPr>
          <w:rFonts w:ascii="Arial" w:eastAsia="Calibri" w:hAnsi="Arial" w:cs="Arial"/>
          <w:sz w:val="21"/>
          <w:szCs w:val="21"/>
          <w:lang w:val="es-CO"/>
        </w:rPr>
        <w:t xml:space="preserve">¿Se deben publicar en SECOP </w:t>
      </w:r>
      <w:r w:rsidR="00D56E40" w:rsidRPr="00477A51">
        <w:rPr>
          <w:rFonts w:ascii="Arial" w:eastAsia="Calibri" w:hAnsi="Arial" w:cs="Arial"/>
          <w:sz w:val="21"/>
          <w:szCs w:val="21"/>
          <w:lang w:val="es-CO"/>
        </w:rPr>
        <w:t>II los</w:t>
      </w:r>
      <w:r w:rsidRPr="00477A51">
        <w:rPr>
          <w:rFonts w:ascii="Arial" w:eastAsia="Calibri" w:hAnsi="Arial" w:cs="Arial"/>
          <w:sz w:val="21"/>
          <w:szCs w:val="21"/>
          <w:lang w:val="es-CO"/>
        </w:rPr>
        <w:t xml:space="preserve"> contratos de que trata el numeral 8 del artículo 99 de la Ley 142 de 1994?</w:t>
      </w:r>
    </w:p>
    <w:p w14:paraId="5716D88C" w14:textId="77777777" w:rsidR="00D56E40" w:rsidRPr="00BD5C6D" w:rsidRDefault="00D56E40" w:rsidP="00477A51">
      <w:pPr>
        <w:ind w:left="708" w:right="333"/>
        <w:jc w:val="both"/>
        <w:rPr>
          <w:rFonts w:ascii="Arial" w:eastAsia="Calibri" w:hAnsi="Arial" w:cs="Arial"/>
          <w:sz w:val="22"/>
          <w:lang w:val="es-CO"/>
        </w:rPr>
      </w:pPr>
    </w:p>
    <w:p w14:paraId="4DC6CE1E" w14:textId="5B16DAEE" w:rsidR="00F45659" w:rsidRDefault="00BA44B5" w:rsidP="00477A51">
      <w:pPr>
        <w:spacing w:line="276" w:lineRule="auto"/>
        <w:jc w:val="both"/>
        <w:rPr>
          <w:rFonts w:ascii="Arial" w:eastAsia="Calibri" w:hAnsi="Arial" w:cs="Arial"/>
          <w:sz w:val="22"/>
          <w:lang w:val="es-CO"/>
        </w:rPr>
      </w:pPr>
      <w:r>
        <w:rPr>
          <w:rFonts w:ascii="Arial" w:eastAsia="Calibri" w:hAnsi="Arial" w:cs="Arial"/>
          <w:sz w:val="22"/>
          <w:lang w:val="es-CO"/>
        </w:rPr>
        <w:t>A</w:t>
      </w:r>
      <w:r w:rsidR="00C522A4">
        <w:rPr>
          <w:rFonts w:ascii="Arial" w:eastAsia="Calibri" w:hAnsi="Arial" w:cs="Arial"/>
          <w:sz w:val="22"/>
          <w:lang w:val="es-CO"/>
        </w:rPr>
        <w:t>tendiendo</w:t>
      </w:r>
      <w:r w:rsidR="00D56E40" w:rsidRPr="00BD5C6D">
        <w:rPr>
          <w:rFonts w:ascii="Arial" w:eastAsia="Calibri" w:hAnsi="Arial" w:cs="Arial"/>
          <w:sz w:val="22"/>
          <w:lang w:val="es-CO"/>
        </w:rPr>
        <w:t xml:space="preserve"> el criterio orgánico y presupuestal expuesto en la parte considerativa del presente concepto</w:t>
      </w:r>
      <w:r>
        <w:rPr>
          <w:rFonts w:ascii="Arial" w:eastAsia="Calibri" w:hAnsi="Arial" w:cs="Arial"/>
          <w:sz w:val="22"/>
          <w:lang w:val="es-CO"/>
        </w:rPr>
        <w:t xml:space="preserve">, </w:t>
      </w:r>
      <w:r w:rsidR="008E79B3">
        <w:rPr>
          <w:rFonts w:ascii="Arial" w:eastAsia="Calibri" w:hAnsi="Arial" w:cs="Arial"/>
          <w:sz w:val="22"/>
          <w:lang w:val="es-CO"/>
        </w:rPr>
        <w:t>s</w:t>
      </w:r>
      <w:r w:rsidRPr="00BD5C6D">
        <w:rPr>
          <w:rFonts w:ascii="Arial" w:eastAsia="Calibri" w:hAnsi="Arial" w:cs="Arial"/>
          <w:sz w:val="22"/>
          <w:lang w:val="es-CO"/>
        </w:rPr>
        <w:t xml:space="preserve">e deben </w:t>
      </w:r>
      <w:r>
        <w:rPr>
          <w:rFonts w:ascii="Arial" w:eastAsia="Calibri" w:hAnsi="Arial" w:cs="Arial"/>
          <w:sz w:val="22"/>
          <w:lang w:val="es-CO"/>
        </w:rPr>
        <w:t>publicar</w:t>
      </w:r>
      <w:r w:rsidRPr="00BD5C6D">
        <w:rPr>
          <w:rFonts w:ascii="Arial" w:eastAsia="Calibri" w:hAnsi="Arial" w:cs="Arial"/>
          <w:sz w:val="22"/>
          <w:lang w:val="es-CO"/>
        </w:rPr>
        <w:t xml:space="preserve"> a través de la plataforma SECOP</w:t>
      </w:r>
      <w:r>
        <w:rPr>
          <w:rFonts w:ascii="Arial" w:eastAsia="Calibri" w:hAnsi="Arial" w:cs="Arial"/>
          <w:sz w:val="22"/>
          <w:lang w:val="es-CO"/>
        </w:rPr>
        <w:t xml:space="preserve"> </w:t>
      </w:r>
      <w:r w:rsidRPr="00BA44B5">
        <w:rPr>
          <w:rFonts w:ascii="Arial" w:eastAsia="Calibri" w:hAnsi="Arial" w:cs="Arial"/>
          <w:sz w:val="22"/>
          <w:lang w:val="es-CO"/>
        </w:rPr>
        <w:t>los contratos de que trata el numeral 8 del artículo 99 de la Ley 142 de 1994</w:t>
      </w:r>
      <w:r w:rsidR="00D56E40" w:rsidRPr="00BD5C6D">
        <w:rPr>
          <w:rFonts w:ascii="Arial" w:eastAsia="Calibri" w:hAnsi="Arial" w:cs="Arial"/>
          <w:sz w:val="22"/>
          <w:lang w:val="es-CO"/>
        </w:rPr>
        <w:t xml:space="preserve">. Lo anterior teniendo </w:t>
      </w:r>
      <w:r w:rsidR="00366009">
        <w:rPr>
          <w:rFonts w:ascii="Arial" w:eastAsia="Calibri" w:hAnsi="Arial" w:cs="Arial"/>
          <w:sz w:val="22"/>
          <w:lang w:val="es-CO"/>
        </w:rPr>
        <w:t>en cuenta</w:t>
      </w:r>
      <w:r w:rsidR="00D56E40" w:rsidRPr="00BD5C6D">
        <w:rPr>
          <w:rFonts w:ascii="Arial" w:eastAsia="Calibri" w:hAnsi="Arial" w:cs="Arial"/>
          <w:sz w:val="22"/>
          <w:lang w:val="es-CO"/>
        </w:rPr>
        <w:t xml:space="preserve"> que</w:t>
      </w:r>
      <w:r w:rsidR="00F45659" w:rsidRPr="00F45659">
        <w:rPr>
          <w:rFonts w:ascii="Arial" w:eastAsia="Calibri" w:hAnsi="Arial" w:cs="Arial"/>
          <w:sz w:val="22"/>
          <w:lang w:val="es-CO"/>
        </w:rPr>
        <w:t xml:space="preserve"> la Ley 1150 de 2007, al ocuparse de la contratación pública electrónica, </w:t>
      </w:r>
      <w:r w:rsidR="00882659">
        <w:rPr>
          <w:rFonts w:ascii="Arial" w:eastAsia="Calibri" w:hAnsi="Arial" w:cs="Arial"/>
          <w:sz w:val="22"/>
          <w:lang w:val="es-CO"/>
        </w:rPr>
        <w:t>dispuso</w:t>
      </w:r>
      <w:r w:rsidR="00F45659" w:rsidRPr="00F45659">
        <w:rPr>
          <w:rFonts w:ascii="Arial" w:eastAsia="Calibri" w:hAnsi="Arial" w:cs="Arial"/>
          <w:sz w:val="22"/>
          <w:lang w:val="es-CO"/>
        </w:rPr>
        <w:t xml:space="preserve"> que las obligaciones relacionadas con el cumplimiento del SECOP es aplicable a la contratación con recursos públicos al margen del régimen jurídico sustancial que gobierne el contrato celebrado.</w:t>
      </w:r>
      <w:r w:rsidR="007F01FC">
        <w:rPr>
          <w:rFonts w:ascii="Arial" w:eastAsia="Calibri" w:hAnsi="Arial" w:cs="Arial"/>
          <w:sz w:val="22"/>
          <w:lang w:val="es-CO"/>
        </w:rPr>
        <w:t xml:space="preserve"> </w:t>
      </w:r>
      <w:r w:rsidR="00BB4271">
        <w:rPr>
          <w:rFonts w:ascii="Arial" w:eastAsia="Calibri" w:hAnsi="Arial" w:cs="Arial"/>
          <w:sz w:val="22"/>
          <w:lang w:val="es-CO"/>
        </w:rPr>
        <w:t>Naturalmente</w:t>
      </w:r>
      <w:r w:rsidR="007F01FC">
        <w:rPr>
          <w:rFonts w:ascii="Arial" w:eastAsia="Calibri" w:hAnsi="Arial" w:cs="Arial"/>
          <w:sz w:val="22"/>
          <w:lang w:val="es-CO"/>
        </w:rPr>
        <w:t xml:space="preserve">, </w:t>
      </w:r>
      <w:r w:rsidR="00683BF8">
        <w:rPr>
          <w:rFonts w:ascii="Arial" w:eastAsia="Calibri" w:hAnsi="Arial" w:cs="Arial"/>
          <w:sz w:val="22"/>
          <w:lang w:val="es-CO"/>
        </w:rPr>
        <w:t>si se cumplen</w:t>
      </w:r>
      <w:r w:rsidR="007F01FC">
        <w:rPr>
          <w:rFonts w:ascii="Arial" w:eastAsia="Calibri" w:hAnsi="Arial" w:cs="Arial"/>
          <w:sz w:val="22"/>
          <w:lang w:val="es-CO"/>
        </w:rPr>
        <w:t xml:space="preserve"> las condiciones </w:t>
      </w:r>
      <w:r w:rsidR="00BB4271">
        <w:rPr>
          <w:rFonts w:ascii="Arial" w:eastAsia="Calibri" w:hAnsi="Arial" w:cs="Arial"/>
          <w:sz w:val="22"/>
          <w:lang w:val="es-CO"/>
        </w:rPr>
        <w:t>de</w:t>
      </w:r>
      <w:r w:rsidR="007F01FC">
        <w:rPr>
          <w:rFonts w:ascii="Arial" w:eastAsia="Calibri" w:hAnsi="Arial" w:cs="Arial"/>
          <w:sz w:val="22"/>
          <w:lang w:val="es-CO"/>
        </w:rPr>
        <w:t xml:space="preserve"> las Circulares Externas </w:t>
      </w:r>
      <w:r w:rsidR="00A22E0D">
        <w:rPr>
          <w:rFonts w:ascii="Arial" w:eastAsia="Calibri" w:hAnsi="Arial" w:cs="Arial"/>
          <w:sz w:val="22"/>
          <w:lang w:val="es-CO"/>
        </w:rPr>
        <w:t>01 de 2019, 02 de 2009 y 03 de 2020</w:t>
      </w:r>
      <w:r w:rsidR="00683BF8">
        <w:rPr>
          <w:rFonts w:ascii="Arial" w:eastAsia="Calibri" w:hAnsi="Arial" w:cs="Arial"/>
          <w:sz w:val="22"/>
          <w:lang w:val="es-CO"/>
        </w:rPr>
        <w:t>, los contratos se publicaran en el SECOP II</w:t>
      </w:r>
      <w:r w:rsidR="00BB4271">
        <w:rPr>
          <w:rFonts w:ascii="Arial" w:eastAsia="Calibri" w:hAnsi="Arial" w:cs="Arial"/>
          <w:sz w:val="22"/>
          <w:lang w:val="es-CO"/>
        </w:rPr>
        <w:t>.</w:t>
      </w:r>
    </w:p>
    <w:bookmarkEnd w:id="4"/>
    <w:p w14:paraId="1B895B9D" w14:textId="77777777" w:rsidR="00AE1699" w:rsidRPr="00AE1699" w:rsidRDefault="00AE1699" w:rsidP="00AE1699">
      <w:pPr>
        <w:spacing w:line="276" w:lineRule="auto"/>
        <w:jc w:val="both"/>
        <w:rPr>
          <w:rFonts w:ascii="Arial" w:eastAsia="Calibri" w:hAnsi="Arial" w:cs="Arial"/>
          <w:sz w:val="22"/>
          <w:lang w:val="es-CO"/>
        </w:rPr>
      </w:pPr>
    </w:p>
    <w:p w14:paraId="7F8C43BD" w14:textId="17258107" w:rsidR="00AE1699" w:rsidRPr="0036514A" w:rsidRDefault="00AE1699" w:rsidP="0036514A">
      <w:pPr>
        <w:ind w:left="709" w:right="709"/>
        <w:jc w:val="both"/>
        <w:rPr>
          <w:rFonts w:ascii="Arial" w:eastAsia="Calibri" w:hAnsi="Arial" w:cs="Arial"/>
          <w:sz w:val="21"/>
          <w:szCs w:val="21"/>
          <w:lang w:val="es-CO"/>
        </w:rPr>
      </w:pPr>
      <w:r w:rsidRPr="0036514A">
        <w:rPr>
          <w:rFonts w:ascii="Arial" w:eastAsia="Calibri" w:hAnsi="Arial" w:cs="Arial"/>
          <w:sz w:val="21"/>
          <w:szCs w:val="21"/>
          <w:lang w:val="es-CO"/>
        </w:rPr>
        <w:t>Adicionalmente, solicita «[…] realizar y agendar una reunión con la Agencia Nacional de Contratación Pública – Colombia Compra Eficiente (ANCPCCE) con el fin de aclarar lo pertinente; para dicha reunión se contará con asistencia del Departamento Nacional de Planeación (DNP) y la Superintendencia de Servicios Públicos Domiciliarios (SSPD) con el propósito de unificar una postura sectorial al respecto».</w:t>
      </w:r>
    </w:p>
    <w:p w14:paraId="430FA238" w14:textId="77777777" w:rsidR="00AE1699" w:rsidRPr="00AE1699" w:rsidRDefault="00AE1699" w:rsidP="00AE1699">
      <w:pPr>
        <w:spacing w:line="276" w:lineRule="auto"/>
        <w:jc w:val="both"/>
        <w:rPr>
          <w:rFonts w:ascii="Arial" w:eastAsia="Calibri" w:hAnsi="Arial" w:cs="Arial"/>
          <w:sz w:val="22"/>
          <w:lang w:val="es-CO"/>
        </w:rPr>
      </w:pPr>
    </w:p>
    <w:p w14:paraId="3A44475B" w14:textId="4E06F56D" w:rsidR="00AE1699" w:rsidRPr="00BD5C6D" w:rsidRDefault="00AE1699" w:rsidP="00477A51">
      <w:pPr>
        <w:spacing w:line="276" w:lineRule="auto"/>
        <w:jc w:val="both"/>
        <w:rPr>
          <w:rFonts w:ascii="Arial" w:eastAsia="Calibri" w:hAnsi="Arial" w:cs="Arial"/>
          <w:sz w:val="22"/>
          <w:lang w:val="es-CO"/>
        </w:rPr>
      </w:pPr>
      <w:r>
        <w:rPr>
          <w:rFonts w:ascii="Arial" w:eastAsia="Calibri" w:hAnsi="Arial" w:cs="Arial"/>
          <w:sz w:val="22"/>
          <w:lang w:val="es-CO"/>
        </w:rPr>
        <w:t>Agradecemos el interés</w:t>
      </w:r>
      <w:r w:rsidR="00350F49">
        <w:rPr>
          <w:rFonts w:ascii="Arial" w:eastAsia="Calibri" w:hAnsi="Arial" w:cs="Arial"/>
          <w:sz w:val="22"/>
          <w:lang w:val="es-CO"/>
        </w:rPr>
        <w:t xml:space="preserve"> </w:t>
      </w:r>
      <w:r w:rsidR="003B19B2">
        <w:rPr>
          <w:rFonts w:ascii="Arial" w:eastAsia="Calibri" w:hAnsi="Arial" w:cs="Arial"/>
          <w:sz w:val="22"/>
          <w:lang w:val="es-CO"/>
        </w:rPr>
        <w:t xml:space="preserve">que manifiesta el peticionario en que la </w:t>
      </w:r>
      <w:r w:rsidR="003B19B2" w:rsidRPr="00BD5C6D">
        <w:rPr>
          <w:rFonts w:ascii="Arial" w:eastAsia="Calibri" w:hAnsi="Arial" w:cs="Arial"/>
          <w:sz w:val="22"/>
          <w:lang w:val="es-CO"/>
        </w:rPr>
        <w:t xml:space="preserve">Agencia Nacional de Contratación Pública </w:t>
      </w:r>
      <w:r w:rsidR="003B19B2">
        <w:rPr>
          <w:rFonts w:ascii="Arial" w:eastAsia="Calibri" w:hAnsi="Arial" w:cs="Arial"/>
          <w:sz w:val="22"/>
          <w:lang w:val="es-CO"/>
        </w:rPr>
        <w:t>–</w:t>
      </w:r>
      <w:r w:rsidR="003B19B2" w:rsidRPr="00BD5C6D">
        <w:rPr>
          <w:rFonts w:ascii="Arial" w:eastAsia="Calibri" w:hAnsi="Arial" w:cs="Arial"/>
          <w:sz w:val="22"/>
          <w:lang w:val="es-CO"/>
        </w:rPr>
        <w:t xml:space="preserve"> Colombia Compra Eficiente</w:t>
      </w:r>
      <w:r w:rsidR="003B19B2">
        <w:rPr>
          <w:rFonts w:ascii="Arial" w:eastAsia="Calibri" w:hAnsi="Arial" w:cs="Arial"/>
          <w:sz w:val="22"/>
          <w:lang w:val="es-CO"/>
        </w:rPr>
        <w:t xml:space="preserve"> participe en la reunión de la referencia. </w:t>
      </w:r>
      <w:r w:rsidR="00843B7F">
        <w:rPr>
          <w:rFonts w:ascii="Arial" w:eastAsia="Calibri" w:hAnsi="Arial" w:cs="Arial"/>
          <w:sz w:val="22"/>
          <w:lang w:val="es-CO"/>
        </w:rPr>
        <w:t>Al respecto, c</w:t>
      </w:r>
      <w:r w:rsidR="003C7A0F">
        <w:rPr>
          <w:rFonts w:ascii="Arial" w:eastAsia="Calibri" w:hAnsi="Arial" w:cs="Arial"/>
          <w:sz w:val="22"/>
          <w:lang w:val="es-CO"/>
        </w:rPr>
        <w:t xml:space="preserve">onsiderando que a través del presente concepto se deja constancia del fundamento legal y los argumentos que sustentan la posición sobre </w:t>
      </w:r>
      <w:r w:rsidR="005351ED">
        <w:rPr>
          <w:rFonts w:ascii="Arial" w:eastAsia="Calibri" w:hAnsi="Arial" w:cs="Arial"/>
          <w:sz w:val="22"/>
          <w:lang w:val="es-CO"/>
        </w:rPr>
        <w:t>el objeto de la consulta</w:t>
      </w:r>
      <w:r w:rsidR="003C7A0F">
        <w:rPr>
          <w:rFonts w:ascii="Arial" w:eastAsia="Calibri" w:hAnsi="Arial" w:cs="Arial"/>
          <w:sz w:val="22"/>
          <w:lang w:val="es-CO"/>
        </w:rPr>
        <w:t>, no es posible atender la petición en los términos solicitados</w:t>
      </w:r>
      <w:r w:rsidR="005351ED">
        <w:rPr>
          <w:rFonts w:ascii="Arial" w:eastAsia="Calibri" w:hAnsi="Arial" w:cs="Arial"/>
          <w:sz w:val="22"/>
          <w:lang w:val="es-CO"/>
        </w:rPr>
        <w:t>. En todo caso, estaremos atentos a atender cualquier inquietud adicional sobre el tema.</w:t>
      </w:r>
    </w:p>
    <w:p w14:paraId="25B317F5" w14:textId="7E7B57E4" w:rsidR="00F34C6F" w:rsidRPr="00BD5C6D" w:rsidRDefault="00F34C6F" w:rsidP="0036514A">
      <w:pPr>
        <w:spacing w:before="120" w:line="276" w:lineRule="auto"/>
        <w:jc w:val="both"/>
        <w:rPr>
          <w:rFonts w:ascii="Arial" w:eastAsia="Calibri" w:hAnsi="Arial" w:cs="Arial"/>
          <w:sz w:val="22"/>
          <w:lang w:val="es-CO"/>
        </w:rPr>
      </w:pPr>
      <w:r w:rsidRPr="00BD5C6D">
        <w:rPr>
          <w:rFonts w:ascii="Arial" w:eastAsia="Calibri" w:hAnsi="Arial" w:cs="Arial"/>
          <w:sz w:val="22"/>
          <w:lang w:val="es-CO"/>
        </w:rPr>
        <w:t>Este concepto tiene el alcance previsto en el artículo 28 del Código de Procedimiento Administrativo y de lo Contencioso Administrativo.</w:t>
      </w:r>
    </w:p>
    <w:p w14:paraId="495EAA04" w14:textId="77777777" w:rsidR="00F842F6" w:rsidRDefault="00F842F6" w:rsidP="0036514A">
      <w:pPr>
        <w:jc w:val="both"/>
        <w:rPr>
          <w:rFonts w:ascii="Arial" w:eastAsia="Times New Roman" w:hAnsi="Arial" w:cs="Arial"/>
          <w:sz w:val="22"/>
          <w:lang w:val="es-CO" w:eastAsia="es-CO"/>
        </w:rPr>
      </w:pPr>
    </w:p>
    <w:p w14:paraId="4F522FBB" w14:textId="3A6ED7EE" w:rsidR="00F34C6F" w:rsidRPr="00BD5C6D" w:rsidRDefault="00F34C6F" w:rsidP="0036514A">
      <w:pPr>
        <w:spacing w:after="120"/>
        <w:jc w:val="both"/>
        <w:rPr>
          <w:rFonts w:ascii="Arial" w:eastAsia="Times New Roman" w:hAnsi="Arial" w:cs="Arial"/>
          <w:sz w:val="22"/>
          <w:lang w:val="es-CO" w:eastAsia="es-CO"/>
        </w:rPr>
      </w:pPr>
      <w:r w:rsidRPr="00BD5C6D">
        <w:rPr>
          <w:rFonts w:ascii="Arial" w:eastAsia="Calibri" w:hAnsi="Arial" w:cs="Arial"/>
          <w:noProof/>
          <w:sz w:val="22"/>
          <w:lang w:val="es-CO" w:eastAsia="es-CO"/>
        </w:rPr>
        <mc:AlternateContent>
          <mc:Choice Requires="wps">
            <w:drawing>
              <wp:anchor distT="0" distB="0" distL="114300" distR="114300" simplePos="0" relativeHeight="251659264" behindDoc="0" locked="0" layoutInCell="1" allowOverlap="1" wp14:anchorId="6739228F" wp14:editId="15EFA743">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8AA69B6">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5AFA9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r w:rsidRPr="00BD5C6D">
        <w:rPr>
          <w:rFonts w:ascii="Arial" w:eastAsia="Times New Roman" w:hAnsi="Arial" w:cs="Arial"/>
          <w:sz w:val="22"/>
          <w:lang w:val="es-CO" w:eastAsia="es-CO"/>
        </w:rPr>
        <w:t>Atentamente,</w:t>
      </w:r>
    </w:p>
    <w:p w14:paraId="1EFDF506" w14:textId="3023728E" w:rsidR="00F34C6F" w:rsidRPr="00BD5C6D" w:rsidRDefault="00CC5419" w:rsidP="00116A03">
      <w:pPr>
        <w:spacing w:before="120" w:after="120"/>
        <w:jc w:val="center"/>
        <w:rPr>
          <w:rFonts w:ascii="Arial" w:eastAsia="Times New Roman" w:hAnsi="Arial" w:cs="Arial"/>
          <w:sz w:val="22"/>
          <w:lang w:val="es-CO" w:eastAsia="es-CO"/>
        </w:rPr>
      </w:pPr>
      <w:r>
        <w:rPr>
          <w:noProof/>
        </w:rPr>
        <w:drawing>
          <wp:inline distT="0" distB="0" distL="0" distR="0" wp14:anchorId="5AEE6ECD" wp14:editId="3B76D4E0">
            <wp:extent cx="2773045" cy="866775"/>
            <wp:effectExtent l="0" t="0" r="0" b="0"/>
            <wp:docPr id="72753546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86677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21BEA" w:rsidRPr="00BD5C6D" w14:paraId="59F499DF" w14:textId="77777777" w:rsidTr="00976D57">
        <w:trPr>
          <w:trHeight w:val="315"/>
        </w:trPr>
        <w:tc>
          <w:tcPr>
            <w:tcW w:w="812" w:type="dxa"/>
            <w:vAlign w:val="center"/>
          </w:tcPr>
          <w:bookmarkEnd w:id="0"/>
          <w:bookmarkEnd w:id="1"/>
          <w:p w14:paraId="3BF6C76F" w14:textId="77777777" w:rsidR="00721BEA" w:rsidRPr="00BD5C6D" w:rsidRDefault="00721BEA"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Elaboró:</w:t>
            </w:r>
          </w:p>
        </w:tc>
        <w:tc>
          <w:tcPr>
            <w:tcW w:w="4413" w:type="dxa"/>
            <w:tcBorders>
              <w:bottom w:val="dotted" w:sz="4" w:space="0" w:color="7F7F7F" w:themeColor="text1" w:themeTint="80"/>
            </w:tcBorders>
            <w:vAlign w:val="center"/>
          </w:tcPr>
          <w:p w14:paraId="054DD16F" w14:textId="77777777" w:rsidR="00721BEA" w:rsidRPr="00BD5C6D" w:rsidRDefault="00721BEA"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 xml:space="preserve">Omar Germán Mejía Olmos </w:t>
            </w:r>
          </w:p>
          <w:p w14:paraId="15683637" w14:textId="606F6E2F" w:rsidR="00721BEA" w:rsidRPr="00BD5C6D" w:rsidRDefault="00721BEA"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 xml:space="preserve">Contratista </w:t>
            </w:r>
            <w:r w:rsidR="006278B7">
              <w:rPr>
                <w:rFonts w:ascii="Arial" w:eastAsia="Times New Roman" w:hAnsi="Arial" w:cs="Arial"/>
                <w:sz w:val="16"/>
                <w:szCs w:val="16"/>
                <w:lang w:val="es-CO" w:eastAsia="es-ES"/>
              </w:rPr>
              <w:t>de la</w:t>
            </w:r>
            <w:r w:rsidRPr="00BD5C6D">
              <w:rPr>
                <w:rFonts w:ascii="Arial" w:eastAsia="Times New Roman" w:hAnsi="Arial" w:cs="Arial"/>
                <w:sz w:val="16"/>
                <w:szCs w:val="16"/>
                <w:lang w:val="es-CO" w:eastAsia="es-ES"/>
              </w:rPr>
              <w:t xml:space="preserve"> Subdirección de Gestión Contractual</w:t>
            </w:r>
          </w:p>
        </w:tc>
      </w:tr>
      <w:tr w:rsidR="00721BEA" w:rsidRPr="00BD5C6D" w14:paraId="312A7082" w14:textId="77777777" w:rsidTr="00976D57">
        <w:trPr>
          <w:trHeight w:val="330"/>
        </w:trPr>
        <w:tc>
          <w:tcPr>
            <w:tcW w:w="812" w:type="dxa"/>
            <w:vAlign w:val="center"/>
          </w:tcPr>
          <w:p w14:paraId="17BFDB34" w14:textId="77777777" w:rsidR="00721BEA" w:rsidRPr="00BD5C6D" w:rsidRDefault="00721BEA"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6490F8A" w14:textId="2DE2EC00" w:rsidR="00721BEA" w:rsidRPr="00BD5C6D" w:rsidRDefault="006278B7" w:rsidP="00976D57">
            <w:pPr>
              <w:rPr>
                <w:rFonts w:ascii="Arial" w:eastAsia="Times New Roman" w:hAnsi="Arial" w:cs="Arial"/>
                <w:sz w:val="16"/>
                <w:szCs w:val="16"/>
                <w:lang w:val="es-CO" w:eastAsia="es-ES"/>
              </w:rPr>
            </w:pPr>
            <w:r>
              <w:rPr>
                <w:rFonts w:ascii="Arial" w:eastAsia="Times New Roman" w:hAnsi="Arial" w:cs="Arial"/>
                <w:sz w:val="16"/>
                <w:szCs w:val="16"/>
                <w:lang w:val="es-CO" w:eastAsia="es-ES"/>
              </w:rPr>
              <w:t>Juan David Montoya Penagos</w:t>
            </w:r>
          </w:p>
          <w:p w14:paraId="2BE5FD12" w14:textId="75847731" w:rsidR="00721BEA" w:rsidRPr="00BD5C6D" w:rsidRDefault="006278B7"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 xml:space="preserve">Contratista </w:t>
            </w:r>
            <w:r>
              <w:rPr>
                <w:rFonts w:ascii="Arial" w:eastAsia="Times New Roman" w:hAnsi="Arial" w:cs="Arial"/>
                <w:sz w:val="16"/>
                <w:szCs w:val="16"/>
                <w:lang w:val="es-CO" w:eastAsia="es-ES"/>
              </w:rPr>
              <w:t>de la</w:t>
            </w:r>
            <w:r w:rsidRPr="00BD5C6D">
              <w:rPr>
                <w:rFonts w:ascii="Arial" w:eastAsia="Times New Roman" w:hAnsi="Arial" w:cs="Arial"/>
                <w:sz w:val="16"/>
                <w:szCs w:val="16"/>
                <w:lang w:val="es-CO" w:eastAsia="es-ES"/>
              </w:rPr>
              <w:t xml:space="preserve"> Subdirección de Gestión Contractual</w:t>
            </w:r>
          </w:p>
        </w:tc>
      </w:tr>
      <w:tr w:rsidR="00721BEA" w:rsidRPr="00BD5C6D" w14:paraId="1F017AE8" w14:textId="77777777" w:rsidTr="00976D57">
        <w:trPr>
          <w:trHeight w:val="300"/>
        </w:trPr>
        <w:tc>
          <w:tcPr>
            <w:tcW w:w="812" w:type="dxa"/>
            <w:vAlign w:val="center"/>
          </w:tcPr>
          <w:p w14:paraId="442B0451" w14:textId="77777777" w:rsidR="00721BEA" w:rsidRPr="00BD5C6D" w:rsidRDefault="00721BEA"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1517024" w14:textId="77777777" w:rsidR="00721BEA" w:rsidRPr="00BD5C6D" w:rsidRDefault="00721BEA"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Fabián Gonzalo Marín Cortés</w:t>
            </w:r>
          </w:p>
          <w:p w14:paraId="6C47F150" w14:textId="77777777" w:rsidR="00721BEA" w:rsidRPr="00BD5C6D" w:rsidRDefault="00721BEA" w:rsidP="00976D57">
            <w:pPr>
              <w:rPr>
                <w:rFonts w:ascii="Arial" w:eastAsia="Times New Roman" w:hAnsi="Arial" w:cs="Arial"/>
                <w:sz w:val="16"/>
                <w:szCs w:val="16"/>
                <w:lang w:val="es-CO" w:eastAsia="es-ES"/>
              </w:rPr>
            </w:pPr>
            <w:r w:rsidRPr="00BD5C6D">
              <w:rPr>
                <w:rFonts w:ascii="Arial" w:eastAsia="Times New Roman" w:hAnsi="Arial" w:cs="Arial"/>
                <w:sz w:val="16"/>
                <w:szCs w:val="16"/>
                <w:lang w:val="es-CO" w:eastAsia="es-ES"/>
              </w:rPr>
              <w:t>Subdirector de Gestión Contractual</w:t>
            </w:r>
          </w:p>
        </w:tc>
      </w:tr>
    </w:tbl>
    <w:p w14:paraId="33FF83A2" w14:textId="77777777" w:rsidR="0034177C" w:rsidRPr="00BD5C6D" w:rsidRDefault="0034177C" w:rsidP="00116A03">
      <w:pPr>
        <w:spacing w:before="120" w:after="120" w:line="276" w:lineRule="auto"/>
        <w:jc w:val="both"/>
        <w:rPr>
          <w:rFonts w:ascii="Arial" w:eastAsia="Calibri" w:hAnsi="Arial" w:cs="Arial"/>
          <w:b/>
          <w:sz w:val="22"/>
          <w:lang w:val="es-CO"/>
        </w:rPr>
      </w:pPr>
    </w:p>
    <w:sectPr w:rsidR="0034177C" w:rsidRPr="00BD5C6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81413" w14:textId="77777777" w:rsidR="007D2D11" w:rsidRDefault="007D2D11">
      <w:r>
        <w:separator/>
      </w:r>
    </w:p>
  </w:endnote>
  <w:endnote w:type="continuationSeparator" w:id="0">
    <w:p w14:paraId="3B3792F8" w14:textId="77777777" w:rsidR="007D2D11" w:rsidRDefault="007D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A2848" w14:textId="77777777" w:rsidR="00876BB2" w:rsidRDefault="00876BB2" w:rsidP="00FE42ED">
    <w:pPr>
      <w:pStyle w:val="Piedepgina"/>
      <w:jc w:val="right"/>
      <w:rPr>
        <w:rFonts w:ascii="Arial" w:hAnsi="Arial" w:cs="Arial"/>
        <w:bCs/>
        <w:color w:val="7F7F7F" w:themeColor="text1" w:themeTint="80"/>
        <w:sz w:val="16"/>
        <w:szCs w:val="16"/>
      </w:rPr>
    </w:pPr>
  </w:p>
  <w:p w14:paraId="7A3785F3" w14:textId="2FC88EC7"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239421E6" w:rsidP="00322937">
    <w:pPr>
      <w:pStyle w:val="Piedepgina"/>
      <w:jc w:val="center"/>
      <w:rPr>
        <w:lang w:val="es-ES"/>
      </w:rPr>
    </w:pPr>
    <w:r>
      <w:rPr>
        <w:noProof/>
      </w:rPr>
      <w:drawing>
        <wp:inline distT="0" distB="0" distL="0" distR="0" wp14:anchorId="608B196D" wp14:editId="70370374">
          <wp:extent cx="3700130" cy="519139"/>
          <wp:effectExtent l="0" t="0" r="0" b="0"/>
          <wp:docPr id="8522061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EF0DB" w14:textId="77777777" w:rsidR="007D2D11" w:rsidRDefault="007D2D11">
      <w:r>
        <w:separator/>
      </w:r>
    </w:p>
  </w:footnote>
  <w:footnote w:type="continuationSeparator" w:id="0">
    <w:p w14:paraId="51B76749" w14:textId="77777777" w:rsidR="007D2D11" w:rsidRDefault="007D2D11">
      <w:r>
        <w:continuationSeparator/>
      </w:r>
    </w:p>
  </w:footnote>
  <w:footnote w:id="1">
    <w:p w14:paraId="652D148C" w14:textId="3DE02C49"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Corte Constitucional. Sentencia C- 341 del 4 de junio de 2014. M. P. Mauricio González Cuervo</w:t>
      </w:r>
    </w:p>
  </w:footnote>
  <w:footnote w:id="2">
    <w:p w14:paraId="0D7A2930"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28AC040"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»Lo anterior, sin perjuicio de las publicaciones previstas en el numeral 3 del artículo 30 de la Ley 80 de 1993.</w:t>
      </w:r>
    </w:p>
    <w:p w14:paraId="3FFE185D"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11F97BB5"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w:t>
      </w:r>
    </w:p>
    <w:p w14:paraId="2B0B9304"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613C622"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p>
  </w:footnote>
  <w:footnote w:id="3">
    <w:p w14:paraId="288C0C40" w14:textId="75DD7FAB" w:rsidR="00F34C6F" w:rsidRDefault="00F34C6F" w:rsidP="0036514A">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29129FD" w14:textId="77777777" w:rsidR="005F44B9" w:rsidRPr="009574C1" w:rsidRDefault="005F44B9" w:rsidP="00477A51">
      <w:pPr>
        <w:pStyle w:val="Textonotapie"/>
        <w:jc w:val="both"/>
        <w:rPr>
          <w:rFonts w:ascii="Arial" w:hAnsi="Arial" w:cs="Arial"/>
          <w:color w:val="000000" w:themeColor="text1"/>
          <w:sz w:val="19"/>
          <w:szCs w:val="19"/>
          <w:lang w:val="es-CO"/>
        </w:rPr>
      </w:pPr>
    </w:p>
  </w:footnote>
  <w:footnote w:id="4">
    <w:p w14:paraId="1FBEB078"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184AE6D"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A248CB4" w14:textId="77777777" w:rsidR="00F34C6F" w:rsidRPr="009574C1" w:rsidRDefault="00F34C6F" w:rsidP="00F34C6F">
      <w:pPr>
        <w:pStyle w:val="Textonotapie"/>
        <w:jc w:val="both"/>
        <w:rPr>
          <w:rFonts w:ascii="Arial" w:hAnsi="Arial" w:cs="Arial"/>
          <w:color w:val="000000" w:themeColor="text1"/>
          <w:sz w:val="19"/>
          <w:szCs w:val="19"/>
          <w:lang w:val="es-CO"/>
        </w:rPr>
      </w:pPr>
    </w:p>
  </w:footnote>
  <w:footnote w:id="5">
    <w:p w14:paraId="373687AB"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Fonts w:ascii="Arial" w:eastAsia="Times New Roman" w:hAnsi="Arial" w:cs="Arial"/>
          <w:color w:val="000000" w:themeColor="text1"/>
          <w:sz w:val="19"/>
          <w:szCs w:val="19"/>
          <w:vertAlign w:val="superscript"/>
          <w:lang w:val="es-ES" w:eastAsia="es-ES"/>
        </w:rPr>
        <w:footnoteRef/>
      </w:r>
      <w:r w:rsidRPr="009574C1">
        <w:rPr>
          <w:rFonts w:ascii="Arial" w:eastAsia="Times New Roman" w:hAnsi="Arial" w:cs="Arial"/>
          <w:color w:val="000000" w:themeColor="text1"/>
          <w:sz w:val="19"/>
          <w:szCs w:val="19"/>
          <w:vertAlign w:val="superscript"/>
          <w:lang w:val="es-ES" w:eastAsia="es-ES"/>
        </w:rPr>
        <w:t xml:space="preserve"> </w:t>
      </w:r>
      <w:r w:rsidRPr="009574C1">
        <w:rPr>
          <w:rFonts w:ascii="Arial" w:hAnsi="Arial" w:cs="Arial"/>
          <w:color w:val="000000" w:themeColor="text1"/>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41FF8064"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Fonts w:ascii="Arial" w:hAnsi="Arial" w:cs="Arial"/>
          <w:color w:val="000000" w:themeColor="text1"/>
          <w:sz w:val="19"/>
          <w:szCs w:val="19"/>
        </w:rPr>
        <w:t>[…]</w:t>
      </w:r>
    </w:p>
    <w:p w14:paraId="076054B2" w14:textId="659BFB7E" w:rsidR="00F34C6F" w:rsidRPr="009574C1" w:rsidRDefault="00DD390E" w:rsidP="00F34C6F">
      <w:pPr>
        <w:pStyle w:val="Textonotapie"/>
        <w:ind w:firstLine="709"/>
        <w:jc w:val="both"/>
        <w:rPr>
          <w:rFonts w:ascii="Arial" w:eastAsia="Times New Roman" w:hAnsi="Arial" w:cs="Arial"/>
          <w:color w:val="000000" w:themeColor="text1"/>
          <w:sz w:val="19"/>
          <w:szCs w:val="19"/>
          <w:lang w:val="es-ES" w:eastAsia="es-ES"/>
        </w:rPr>
      </w:pPr>
      <w:r w:rsidRPr="009574C1">
        <w:rPr>
          <w:rFonts w:ascii="Arial" w:eastAsia="Times New Roman" w:hAnsi="Arial" w:cs="Arial"/>
          <w:color w:val="000000" w:themeColor="text1"/>
          <w:sz w:val="19"/>
          <w:szCs w:val="19"/>
          <w:lang w:val="es-ES" w:eastAsia="es-ES"/>
        </w:rPr>
        <w:t xml:space="preserve"> </w:t>
      </w:r>
      <w:r w:rsidR="00F34C6F" w:rsidRPr="009574C1">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59DE80B" w14:textId="77777777" w:rsidR="00F34C6F" w:rsidRPr="009574C1" w:rsidRDefault="00F34C6F" w:rsidP="00F34C6F">
      <w:pPr>
        <w:pStyle w:val="Textonotapie"/>
        <w:ind w:firstLine="709"/>
        <w:jc w:val="both"/>
        <w:rPr>
          <w:rFonts w:ascii="Arial" w:eastAsia="Times New Roman" w:hAnsi="Arial" w:cs="Arial"/>
          <w:color w:val="000000" w:themeColor="text1"/>
          <w:sz w:val="19"/>
          <w:szCs w:val="19"/>
          <w:lang w:val="es-ES" w:eastAsia="es-ES"/>
        </w:rPr>
      </w:pPr>
    </w:p>
  </w:footnote>
  <w:footnote w:id="6">
    <w:p w14:paraId="65DB9B04"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C</w:t>
      </w:r>
      <w:proofErr w:type="spellStart"/>
      <w:r w:rsidRPr="009574C1">
        <w:rPr>
          <w:rFonts w:ascii="Arial" w:eastAsia="Times New Roman" w:hAnsi="Arial" w:cs="Arial"/>
          <w:color w:val="000000" w:themeColor="text1"/>
          <w:sz w:val="19"/>
          <w:szCs w:val="19"/>
          <w:lang w:val="es-ES" w:eastAsia="es-ES"/>
        </w:rPr>
        <w:t>orte</w:t>
      </w:r>
      <w:proofErr w:type="spellEnd"/>
      <w:r w:rsidRPr="009574C1">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34D6DFC7"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p>
  </w:footnote>
  <w:footnote w:id="7">
    <w:p w14:paraId="3253A611" w14:textId="77777777" w:rsidR="00F34C6F" w:rsidRPr="009574C1" w:rsidRDefault="00F34C6F" w:rsidP="00F34C6F">
      <w:pPr>
        <w:pStyle w:val="Textonotapie"/>
        <w:ind w:firstLine="708"/>
        <w:jc w:val="both"/>
        <w:rPr>
          <w:rFonts w:ascii="Arial" w:hAnsi="Arial" w:cs="Arial"/>
          <w:color w:val="000000" w:themeColor="text1"/>
          <w:sz w:val="19"/>
          <w:szCs w:val="19"/>
          <w:lang w:val="es-CO"/>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56EB1BCC" w14:textId="4D77C07A" w:rsidR="00F34C6F" w:rsidRPr="009574C1" w:rsidRDefault="00F34C6F" w:rsidP="00A539C0">
      <w:pPr>
        <w:pStyle w:val="Textonotapie"/>
        <w:ind w:firstLine="708"/>
        <w:jc w:val="both"/>
        <w:rPr>
          <w:rFonts w:ascii="Arial" w:hAnsi="Arial" w:cs="Arial"/>
          <w:color w:val="000000" w:themeColor="text1"/>
          <w:sz w:val="19"/>
          <w:szCs w:val="19"/>
          <w:lang w:val="es-CO"/>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Consejo de Estado. Sección Tercera. Subsección C. Auto del 14 de agosto de 2017. Exp. 58.820. C.P. Jaime Orlando Santofimio Gamboa. </w:t>
      </w:r>
    </w:p>
  </w:footnote>
  <w:footnote w:id="9">
    <w:p w14:paraId="65572BCE" w14:textId="61178D2D" w:rsidR="00F34C6F" w:rsidRPr="009574C1" w:rsidRDefault="00F34C6F" w:rsidP="0036514A">
      <w:pPr>
        <w:pStyle w:val="Prrafodelista"/>
        <w:ind w:left="0" w:firstLine="708"/>
        <w:jc w:val="both"/>
        <w:rPr>
          <w:lang w:val="es-ES"/>
        </w:rPr>
      </w:pPr>
      <w:r w:rsidRPr="009574C1">
        <w:rPr>
          <w:rStyle w:val="Refdenotaalpie"/>
          <w:rFonts w:ascii="Arial" w:hAnsi="Arial" w:cs="Arial"/>
          <w:color w:val="000000" w:themeColor="text1"/>
          <w:sz w:val="19"/>
          <w:szCs w:val="19"/>
        </w:rPr>
        <w:footnoteRef/>
      </w:r>
      <w:r w:rsidRPr="009574C1">
        <w:rPr>
          <w:color w:val="000000" w:themeColor="text1"/>
          <w:sz w:val="19"/>
          <w:szCs w:val="19"/>
        </w:rPr>
        <w:t xml:space="preserve"> </w:t>
      </w:r>
      <w:r w:rsidRPr="009574C1">
        <w:rPr>
          <w:rFonts w:ascii="Arial" w:hAnsi="Arial" w:cs="Arial"/>
          <w:bCs/>
          <w:color w:val="000000" w:themeColor="text1"/>
          <w:sz w:val="19"/>
          <w:szCs w:val="19"/>
          <w:lang w:val="es-ES"/>
        </w:rPr>
        <w:t>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w:t>
      </w:r>
    </w:p>
  </w:footnote>
  <w:footnote w:id="10">
    <w:p w14:paraId="5C386FCD"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56704D80" w14:textId="061FDDD1" w:rsidR="00F34C6F" w:rsidRPr="009574C1" w:rsidRDefault="00F34C6F" w:rsidP="00477A51">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1">
    <w:p w14:paraId="2D59FB59" w14:textId="2B96D2DA"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5423C1B2" w14:textId="77777777" w:rsidR="00784468" w:rsidRPr="009574C1" w:rsidRDefault="00784468" w:rsidP="00F34C6F">
      <w:pPr>
        <w:pStyle w:val="Textonotapie"/>
        <w:ind w:firstLine="708"/>
        <w:jc w:val="both"/>
        <w:rPr>
          <w:rFonts w:ascii="Arial" w:hAnsi="Arial" w:cs="Arial"/>
          <w:color w:val="000000" w:themeColor="text1"/>
          <w:sz w:val="19"/>
          <w:szCs w:val="19"/>
        </w:rPr>
      </w:pPr>
    </w:p>
  </w:footnote>
  <w:footnote w:id="12">
    <w:p w14:paraId="700C429F"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2164BDEE" w14:textId="77777777" w:rsidR="00F34C6F" w:rsidRPr="009574C1" w:rsidRDefault="00F34C6F" w:rsidP="00F34C6F">
      <w:pPr>
        <w:pStyle w:val="Textonotapie"/>
        <w:ind w:firstLine="708"/>
        <w:jc w:val="both"/>
        <w:rPr>
          <w:rFonts w:ascii="Arial" w:hAnsi="Arial" w:cs="Arial"/>
          <w:color w:val="000000" w:themeColor="text1"/>
          <w:sz w:val="19"/>
          <w:szCs w:val="19"/>
        </w:rPr>
      </w:pPr>
    </w:p>
  </w:footnote>
  <w:footnote w:id="13">
    <w:p w14:paraId="30D72A27"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rFonts w:ascii="Arial" w:hAnsi="Arial" w:cs="Arial"/>
          <w:color w:val="000000" w:themeColor="text1"/>
          <w:sz w:val="19"/>
          <w:szCs w:val="19"/>
        </w:rPr>
        <w:footnoteRef/>
      </w:r>
      <w:r w:rsidRPr="009574C1">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4978FA13"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»Los sujetos obligados que no contratan con cargo a recursos públicos no están obligados a publicar su Plan Anual de Adquisiciones.</w:t>
      </w:r>
    </w:p>
    <w:p w14:paraId="411E97EC"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04F6F011" w14:textId="0F8D5812" w:rsidR="00F34C6F" w:rsidRPr="009574C1" w:rsidRDefault="00F34C6F" w:rsidP="00A539C0">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4">
    <w:p w14:paraId="10647739"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6D7F48F3" w14:textId="3C786668" w:rsidR="00F34C6F" w:rsidRPr="009574C1" w:rsidRDefault="00F34C6F" w:rsidP="00477A51">
      <w:pPr>
        <w:pStyle w:val="Textonotapie"/>
        <w:ind w:firstLine="708"/>
        <w:jc w:val="both"/>
        <w:rPr>
          <w:rFonts w:ascii="Arial" w:hAnsi="Arial" w:cs="Arial"/>
          <w:color w:val="000000" w:themeColor="text1"/>
          <w:sz w:val="19"/>
          <w:szCs w:val="19"/>
          <w:lang w:val="es-CO"/>
        </w:rPr>
      </w:pPr>
      <w:r w:rsidRPr="009574C1">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footnote>
  <w:footnote w:id="15">
    <w:p w14:paraId="471E867E"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791A5F1F" w14:textId="77777777" w:rsidR="00F34C6F" w:rsidRPr="009574C1" w:rsidRDefault="00F34C6F" w:rsidP="00F34C6F">
      <w:pPr>
        <w:pStyle w:val="Textonotapie"/>
        <w:ind w:firstLine="709"/>
        <w:jc w:val="both"/>
        <w:rPr>
          <w:rFonts w:ascii="Arial" w:hAnsi="Arial" w:cs="Arial"/>
          <w:color w:val="000000" w:themeColor="text1"/>
          <w:sz w:val="19"/>
          <w:szCs w:val="19"/>
        </w:rPr>
      </w:pPr>
      <w:r w:rsidRPr="009574C1">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37B17C18" w14:textId="5F8FCF9D" w:rsidR="00116A03" w:rsidRPr="009574C1" w:rsidRDefault="00F34C6F" w:rsidP="00F34C6F">
      <w:pPr>
        <w:pStyle w:val="Textonotapie"/>
        <w:ind w:firstLine="709"/>
        <w:jc w:val="both"/>
        <w:rPr>
          <w:rFonts w:ascii="Arial" w:hAnsi="Arial" w:cs="Arial"/>
          <w:color w:val="000000" w:themeColor="text1"/>
          <w:sz w:val="19"/>
          <w:szCs w:val="19"/>
        </w:rPr>
      </w:pPr>
      <w:r w:rsidRPr="009574C1">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6">
    <w:p w14:paraId="70E4D705" w14:textId="395B5582" w:rsidR="00F34C6F" w:rsidRDefault="00F34C6F" w:rsidP="00A539C0">
      <w:pPr>
        <w:pStyle w:val="Textonotapie"/>
        <w:ind w:firstLine="708"/>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Corte Constitucional. Sentencia C- 083 del 1 de marzo de 1995. M.P. Carlos Gaviria Díaz</w:t>
      </w:r>
      <w:r w:rsidR="00AB5119">
        <w:rPr>
          <w:rFonts w:ascii="Arial" w:hAnsi="Arial" w:cs="Arial"/>
          <w:color w:val="000000" w:themeColor="text1"/>
          <w:sz w:val="19"/>
          <w:szCs w:val="19"/>
        </w:rPr>
        <w:t>.</w:t>
      </w:r>
    </w:p>
    <w:p w14:paraId="7FEC3B75" w14:textId="77777777" w:rsidR="00AB5119" w:rsidRPr="009574C1" w:rsidRDefault="00AB5119" w:rsidP="00A539C0">
      <w:pPr>
        <w:pStyle w:val="Textonotapie"/>
        <w:ind w:firstLine="708"/>
        <w:jc w:val="both"/>
        <w:rPr>
          <w:rFonts w:ascii="Arial" w:hAnsi="Arial" w:cs="Arial"/>
          <w:color w:val="000000" w:themeColor="text1"/>
          <w:sz w:val="19"/>
          <w:szCs w:val="19"/>
        </w:rPr>
      </w:pPr>
    </w:p>
  </w:footnote>
  <w:footnote w:id="17">
    <w:p w14:paraId="1619BF26"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4C6D0AB" w14:textId="77777777" w:rsidR="00F34C6F" w:rsidRPr="009574C1" w:rsidRDefault="00F34C6F" w:rsidP="00F34C6F">
      <w:pPr>
        <w:pStyle w:val="Textonotapie"/>
        <w:ind w:firstLine="708"/>
        <w:jc w:val="both"/>
        <w:rPr>
          <w:rFonts w:ascii="Arial" w:hAnsi="Arial" w:cs="Arial"/>
          <w:color w:val="000000" w:themeColor="text1"/>
          <w:sz w:val="19"/>
          <w:szCs w:val="19"/>
        </w:rPr>
      </w:pPr>
      <w:r w:rsidRPr="009574C1">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8">
    <w:p w14:paraId="0A403559" w14:textId="7469697C" w:rsidR="00F34C6F" w:rsidRPr="009574C1" w:rsidRDefault="00F34C6F" w:rsidP="00F34C6F">
      <w:pPr>
        <w:pStyle w:val="Textonotapie"/>
        <w:ind w:firstLine="708"/>
        <w:jc w:val="both"/>
        <w:rPr>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 xml:space="preserve">Ley 489 de 1998: </w:t>
      </w:r>
      <w:r w:rsidR="00DD390E" w:rsidRPr="009574C1">
        <w:rPr>
          <w:rFonts w:ascii="Arial" w:hAnsi="Arial" w:cs="Arial"/>
          <w:color w:val="000000" w:themeColor="text1"/>
          <w:sz w:val="19"/>
          <w:szCs w:val="19"/>
        </w:rPr>
        <w:t>«</w:t>
      </w:r>
      <w:r w:rsidRPr="009574C1">
        <w:rPr>
          <w:rFonts w:ascii="Arial" w:hAnsi="Arial" w:cs="Arial"/>
          <w:color w:val="000000" w:themeColor="text1"/>
          <w:sz w:val="19"/>
          <w:szCs w:val="19"/>
        </w:rPr>
        <w:t>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477A51">
        <w:rPr>
          <w:rFonts w:ascii="Arial" w:hAnsi="Arial" w:cs="Arial"/>
          <w:bCs/>
          <w:i/>
          <w:iCs/>
          <w:color w:val="000000" w:themeColor="text1"/>
          <w:sz w:val="19"/>
          <w:szCs w:val="19"/>
        </w:rPr>
        <w:t>las empresas oficiales de servicios públicos</w:t>
      </w:r>
      <w:r w:rsidRPr="009574C1">
        <w:rPr>
          <w:rFonts w:ascii="Arial" w:hAnsi="Arial" w:cs="Arial"/>
          <w:color w:val="000000" w:themeColor="text1"/>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00DD390E" w:rsidRPr="009574C1">
        <w:rPr>
          <w:rFonts w:ascii="Arial" w:hAnsi="Arial" w:cs="Arial"/>
          <w:color w:val="000000" w:themeColor="text1"/>
          <w:sz w:val="19"/>
          <w:szCs w:val="19"/>
        </w:rPr>
        <w:t>»</w:t>
      </w:r>
      <w:r w:rsidR="009D6971">
        <w:rPr>
          <w:rFonts w:ascii="Arial" w:hAnsi="Arial" w:cs="Arial"/>
          <w:color w:val="000000" w:themeColor="text1"/>
          <w:sz w:val="19"/>
          <w:szCs w:val="19"/>
        </w:rPr>
        <w:t xml:space="preserve"> (Énfasis fuera de texto)</w:t>
      </w:r>
      <w:r w:rsidRPr="009574C1">
        <w:rPr>
          <w:rFonts w:ascii="Arial" w:hAnsi="Arial" w:cs="Arial"/>
          <w:color w:val="000000" w:themeColor="text1"/>
          <w:sz w:val="19"/>
          <w:szCs w:val="19"/>
        </w:rPr>
        <w:t>.</w:t>
      </w:r>
    </w:p>
  </w:footnote>
  <w:footnote w:id="19">
    <w:p w14:paraId="4F483B75" w14:textId="2B1C92D4" w:rsidR="00F34C6F" w:rsidRDefault="00F34C6F" w:rsidP="00A539C0">
      <w:pPr>
        <w:pStyle w:val="Textonotapie"/>
        <w:ind w:firstLine="708"/>
        <w:rPr>
          <w:color w:val="000000" w:themeColor="text1"/>
          <w:sz w:val="19"/>
          <w:szCs w:val="19"/>
        </w:rPr>
      </w:pPr>
      <w:r w:rsidRPr="009574C1">
        <w:rPr>
          <w:rStyle w:val="Refdenotaalpie"/>
          <w:color w:val="000000" w:themeColor="text1"/>
          <w:sz w:val="19"/>
          <w:szCs w:val="19"/>
        </w:rPr>
        <w:footnoteRef/>
      </w:r>
      <w:r w:rsidRPr="009574C1">
        <w:rPr>
          <w:color w:val="000000" w:themeColor="text1"/>
          <w:sz w:val="19"/>
          <w:szCs w:val="19"/>
        </w:rPr>
        <w:t xml:space="preserve"> </w:t>
      </w:r>
      <w:r w:rsidRPr="009574C1">
        <w:rPr>
          <w:rFonts w:ascii="Arial" w:hAnsi="Arial" w:cs="Arial"/>
          <w:color w:val="000000" w:themeColor="text1"/>
          <w:sz w:val="19"/>
          <w:szCs w:val="19"/>
        </w:rPr>
        <w:t>Corte Constitucional. Sentencia C-736 de 2007. C.P. Marco Gerardo Monroy Cabra.</w:t>
      </w:r>
    </w:p>
    <w:p w14:paraId="03A346A3" w14:textId="77777777" w:rsidR="00AB5119" w:rsidRPr="009574C1" w:rsidRDefault="00AB5119" w:rsidP="00A539C0">
      <w:pPr>
        <w:pStyle w:val="Textonotapie"/>
        <w:ind w:firstLine="708"/>
        <w:rPr>
          <w:color w:val="000000" w:themeColor="text1"/>
          <w:sz w:val="19"/>
          <w:szCs w:val="19"/>
          <w:lang w:val="es-ES"/>
        </w:rPr>
      </w:pPr>
    </w:p>
  </w:footnote>
  <w:footnote w:id="20">
    <w:p w14:paraId="211DD697" w14:textId="77777777" w:rsidR="00F34C6F" w:rsidRPr="009574C1" w:rsidRDefault="00F34C6F" w:rsidP="00F34C6F">
      <w:pPr>
        <w:pStyle w:val="Textonotapie"/>
        <w:ind w:firstLine="708"/>
        <w:rPr>
          <w:color w:val="000000" w:themeColor="text1"/>
          <w:sz w:val="19"/>
          <w:szCs w:val="19"/>
          <w:lang w:val="es-ES"/>
        </w:rPr>
      </w:pPr>
      <w:r w:rsidRPr="009574C1">
        <w:rPr>
          <w:rStyle w:val="Refdenotaalpie"/>
          <w:color w:val="000000" w:themeColor="text1"/>
          <w:sz w:val="19"/>
          <w:szCs w:val="19"/>
        </w:rPr>
        <w:footnoteRef/>
      </w:r>
      <w:r w:rsidRPr="009574C1">
        <w:rPr>
          <w:i/>
          <w:color w:val="000000" w:themeColor="text1"/>
          <w:sz w:val="19"/>
          <w:szCs w:val="19"/>
        </w:rPr>
        <w:t xml:space="preserve"> </w:t>
      </w:r>
      <w:r w:rsidRPr="009574C1">
        <w:rPr>
          <w:rFonts w:ascii="Arial" w:hAnsi="Arial" w:cs="Arial"/>
          <w:i/>
          <w:iCs/>
          <w:color w:val="000000" w:themeColor="text1"/>
          <w:sz w:val="19"/>
          <w:szCs w:val="19"/>
        </w:rPr>
        <w:t>Ibídem.</w:t>
      </w:r>
      <w:r w:rsidRPr="009574C1">
        <w:rPr>
          <w:color w:val="000000" w:themeColor="text1"/>
          <w:sz w:val="19"/>
          <w:szCs w:val="19"/>
        </w:rPr>
        <w:t xml:space="preserve"> </w:t>
      </w:r>
    </w:p>
  </w:footnote>
  <w:footnote w:id="21">
    <w:p w14:paraId="61ECB34A" w14:textId="77777777" w:rsidR="008559B2" w:rsidRPr="00A10627" w:rsidRDefault="008559B2" w:rsidP="008559B2">
      <w:pPr>
        <w:pStyle w:val="NormalWeb"/>
        <w:spacing w:before="0" w:beforeAutospacing="0" w:after="0" w:afterAutospacing="0"/>
        <w:ind w:firstLine="851"/>
        <w:jc w:val="both"/>
        <w:rPr>
          <w:rFonts w:ascii="Arial" w:hAnsi="Arial" w:cs="Arial"/>
          <w:sz w:val="19"/>
          <w:szCs w:val="19"/>
        </w:rPr>
      </w:pPr>
      <w:r w:rsidRPr="00A10627">
        <w:rPr>
          <w:rStyle w:val="Refdenotaalpie"/>
          <w:rFonts w:ascii="Arial" w:hAnsi="Arial" w:cs="Arial"/>
          <w:sz w:val="19"/>
          <w:szCs w:val="19"/>
        </w:rPr>
        <w:footnoteRef/>
      </w:r>
      <w:r w:rsidRPr="00A10627">
        <w:rPr>
          <w:rFonts w:ascii="Arial" w:hAnsi="Arial" w:cs="Arial"/>
          <w:sz w:val="19"/>
          <w:szCs w:val="19"/>
        </w:rPr>
        <w:t xml:space="preserve"> Ley 142 de 1994: </w:t>
      </w:r>
      <w:r w:rsidRPr="00A10627">
        <w:rPr>
          <w:rFonts w:ascii="Arial" w:eastAsia="Calibri" w:hAnsi="Arial" w:cs="Arial"/>
          <w:sz w:val="19"/>
          <w:szCs w:val="19"/>
        </w:rPr>
        <w:t>«</w:t>
      </w:r>
      <w:r w:rsidRPr="00A10627">
        <w:rPr>
          <w:rFonts w:ascii="Arial" w:hAnsi="Arial" w:cs="Arial"/>
          <w:sz w:val="19"/>
          <w:szCs w:val="19"/>
        </w:rPr>
        <w:t>Artículo99</w:t>
      </w:r>
      <w:r w:rsidRPr="00A10627">
        <w:rPr>
          <w:rFonts w:ascii="Arial" w:hAnsi="Arial" w:cs="Arial"/>
          <w:b/>
          <w:bCs/>
          <w:sz w:val="19"/>
          <w:szCs w:val="19"/>
        </w:rPr>
        <w:t xml:space="preserve">. </w:t>
      </w:r>
      <w:r w:rsidRPr="00A10627">
        <w:rPr>
          <w:rFonts w:ascii="Arial" w:hAnsi="Arial" w:cs="Arial"/>
          <w:sz w:val="19"/>
          <w:szCs w:val="19"/>
        </w:rPr>
        <w:t>FORMA DE SUBSIDIAR. Las entidades señaladas en el artículo </w:t>
      </w:r>
      <w:hyperlink r:id="rId1" w:anchor="368" w:history="1">
        <w:r w:rsidRPr="00A10627">
          <w:rPr>
            <w:rStyle w:val="Hipervnculo"/>
            <w:rFonts w:ascii="Arial" w:hAnsi="Arial" w:cs="Arial"/>
            <w:color w:val="auto"/>
            <w:sz w:val="19"/>
            <w:szCs w:val="19"/>
          </w:rPr>
          <w:t>368</w:t>
        </w:r>
      </w:hyperlink>
      <w:r w:rsidRPr="00A10627">
        <w:rPr>
          <w:rFonts w:ascii="Arial" w:hAnsi="Arial" w:cs="Arial"/>
          <w:sz w:val="19"/>
          <w:szCs w:val="19"/>
        </w:rPr>
        <w:t> de la Constitución Política podrán conceder subsidios en sus respectivos presupuestos de acuerdo a las siguientes reglas: </w:t>
      </w:r>
      <w:r w:rsidRPr="00A10627">
        <w:rPr>
          <w:rStyle w:val="letra8pt"/>
          <w:rFonts w:ascii="Arial" w:hAnsi="Arial" w:cs="Arial"/>
          <w:sz w:val="19"/>
          <w:szCs w:val="19"/>
        </w:rPr>
        <w:t> </w:t>
      </w:r>
    </w:p>
    <w:p w14:paraId="50A6FF70" w14:textId="77777777" w:rsidR="008559B2" w:rsidRDefault="008559B2" w:rsidP="008559B2">
      <w:pPr>
        <w:pStyle w:val="NormalWeb"/>
        <w:spacing w:before="0" w:beforeAutospacing="0" w:after="0" w:afterAutospacing="0"/>
        <w:ind w:firstLine="851"/>
        <w:jc w:val="both"/>
        <w:rPr>
          <w:rFonts w:ascii="Arial" w:eastAsia="Calibri" w:hAnsi="Arial" w:cs="Arial"/>
          <w:sz w:val="19"/>
          <w:szCs w:val="19"/>
        </w:rPr>
      </w:pPr>
      <w:r>
        <w:rPr>
          <w:rFonts w:ascii="Arial" w:eastAsia="Calibri" w:hAnsi="Arial" w:cs="Arial"/>
          <w:sz w:val="19"/>
          <w:szCs w:val="19"/>
        </w:rPr>
        <w:t>[…]</w:t>
      </w:r>
    </w:p>
    <w:p w14:paraId="31A2588F" w14:textId="77777777" w:rsidR="008559B2" w:rsidRDefault="008559B2" w:rsidP="008559B2">
      <w:pPr>
        <w:ind w:firstLine="851"/>
        <w:jc w:val="both"/>
        <w:rPr>
          <w:rFonts w:ascii="Arial" w:hAnsi="Arial" w:cs="Arial"/>
          <w:sz w:val="19"/>
          <w:szCs w:val="19"/>
        </w:rPr>
      </w:pPr>
      <w:r w:rsidRPr="00A10627">
        <w:rPr>
          <w:rFonts w:ascii="Arial" w:eastAsia="Calibri" w:hAnsi="Arial" w:cs="Arial"/>
          <w:sz w:val="19"/>
          <w:szCs w:val="19"/>
        </w:rPr>
        <w:t>»</w:t>
      </w:r>
      <w:r w:rsidRPr="00A10627">
        <w:rPr>
          <w:rFonts w:ascii="Arial" w:hAnsi="Arial" w:cs="Arial"/>
          <w:sz w:val="19"/>
          <w:szCs w:val="19"/>
        </w:rPr>
        <w:t>99.8. Cuando los Concejos creen los fondos de solidaridad para subsidios y redistribución de ingresos y autoricen el pago de subsidios a través de las empresas pero con desembolsos de los recursos que manejen las tesorerías municipales, la transferencia de recursos se hará en un plazo de 30 días, contados desde la misma fecha en que se expida la factura a cargo del municipio. Para asegurar la transferencia, las empresas firmarán contratos con el municipio</w:t>
      </w:r>
      <w:r>
        <w:rPr>
          <w:rFonts w:ascii="Arial" w:hAnsi="Arial" w:cs="Arial"/>
          <w:sz w:val="19"/>
          <w:szCs w:val="19"/>
        </w:rPr>
        <w:t>»</w:t>
      </w:r>
      <w:r w:rsidRPr="00A10627">
        <w:rPr>
          <w:rFonts w:ascii="Arial" w:hAnsi="Arial" w:cs="Arial"/>
          <w:sz w:val="19"/>
          <w:szCs w:val="19"/>
        </w:rPr>
        <w:t>.</w:t>
      </w:r>
    </w:p>
    <w:p w14:paraId="3C2C3CDE" w14:textId="77777777" w:rsidR="008559B2" w:rsidRPr="00A10627" w:rsidRDefault="008559B2" w:rsidP="008559B2">
      <w:pPr>
        <w:ind w:firstLine="851"/>
        <w:jc w:val="both"/>
        <w:rPr>
          <w:rFonts w:ascii="Arial" w:hAnsi="Arial" w:cs="Arial"/>
          <w:sz w:val="19"/>
          <w:szCs w:val="19"/>
        </w:rPr>
      </w:pPr>
      <w:r>
        <w:rPr>
          <w:rFonts w:ascii="Arial" w:hAnsi="Arial" w:cs="Arial"/>
          <w:sz w:val="19"/>
          <w:szCs w:val="19"/>
        </w:rPr>
        <w:t>[…]</w:t>
      </w:r>
      <w:r w:rsidRPr="00A10627">
        <w:rPr>
          <w:rFonts w:ascii="Arial" w:hAnsi="Arial" w:cs="Arial"/>
          <w:sz w:val="19"/>
          <w:szCs w:val="19"/>
        </w:rPr>
        <w:t> </w:t>
      </w:r>
      <w:r w:rsidRPr="00A10627">
        <w:rPr>
          <w:rStyle w:val="letra8pt"/>
          <w:rFonts w:ascii="Arial" w:hAnsi="Arial" w:cs="Arial"/>
          <w:sz w:val="19"/>
          <w:szCs w:val="19"/>
        </w:rPr>
        <w:t> </w:t>
      </w:r>
    </w:p>
    <w:p w14:paraId="0827DF1A" w14:textId="77777777" w:rsidR="008559B2" w:rsidRPr="00477A51" w:rsidRDefault="008559B2" w:rsidP="008559B2">
      <w:pPr>
        <w:pStyle w:val="Textonotapie"/>
        <w:ind w:firstLine="851"/>
        <w:jc w:val="both"/>
        <w:rPr>
          <w:rFonts w:ascii="Arial" w:hAnsi="Arial" w:cs="Arial"/>
          <w:sz w:val="19"/>
          <w:szCs w:val="19"/>
          <w:lang w:val="es-CO"/>
        </w:rPr>
      </w:pPr>
    </w:p>
  </w:footnote>
  <w:footnote w:id="22">
    <w:p w14:paraId="5E1058E5" w14:textId="29FB9D0F" w:rsidR="00815760" w:rsidRPr="00D23216" w:rsidRDefault="00815760" w:rsidP="00815760">
      <w:pPr>
        <w:pStyle w:val="Textonotapie"/>
        <w:ind w:firstLine="851"/>
        <w:jc w:val="both"/>
        <w:rPr>
          <w:rFonts w:ascii="Arial" w:hAnsi="Arial" w:cs="Arial"/>
          <w:sz w:val="19"/>
          <w:szCs w:val="19"/>
        </w:rPr>
      </w:pPr>
      <w:r w:rsidRPr="00815760">
        <w:rPr>
          <w:rStyle w:val="Refdenotaalpie"/>
          <w:rFonts w:ascii="Arial" w:hAnsi="Arial" w:cs="Arial"/>
          <w:sz w:val="19"/>
          <w:szCs w:val="19"/>
        </w:rPr>
        <w:footnoteRef/>
      </w:r>
      <w:r w:rsidRPr="00815760">
        <w:rPr>
          <w:rFonts w:ascii="Arial" w:hAnsi="Arial" w:cs="Arial"/>
          <w:sz w:val="19"/>
          <w:szCs w:val="19"/>
        </w:rPr>
        <w:t xml:space="preserve"> </w:t>
      </w:r>
      <w:r w:rsidRPr="00D23216">
        <w:rPr>
          <w:rFonts w:ascii="Arial" w:hAnsi="Arial" w:cs="Arial"/>
          <w:sz w:val="19"/>
          <w:szCs w:val="19"/>
          <w:lang w:val="es-CO"/>
        </w:rPr>
        <w:t xml:space="preserve">Ley 142 de 1994: </w:t>
      </w:r>
      <w:r w:rsidRPr="00D23216">
        <w:rPr>
          <w:rFonts w:ascii="Arial" w:eastAsia="Calibri" w:hAnsi="Arial" w:cs="Arial"/>
          <w:sz w:val="22"/>
        </w:rPr>
        <w:t>«</w:t>
      </w:r>
      <w:r w:rsidRPr="00D23216">
        <w:rPr>
          <w:rFonts w:ascii="Arial" w:hAnsi="Arial" w:cs="Arial"/>
          <w:sz w:val="19"/>
          <w:szCs w:val="19"/>
          <w:lang w:val="es-CO"/>
        </w:rPr>
        <w:t xml:space="preserve">Artículo 89 </w:t>
      </w:r>
      <w:bookmarkStart w:id="3" w:name="89"/>
      <w:r w:rsidRPr="00D23216">
        <w:rPr>
          <w:rFonts w:ascii="Arial" w:hAnsi="Arial" w:cs="Arial"/>
          <w:sz w:val="19"/>
          <w:szCs w:val="19"/>
        </w:rPr>
        <w:t>APLICACIÓN DE LOS CRITERIOS DE SOLIDARIDAD Y REDISTRIBUCIÓN DE INGRESOS.</w:t>
      </w:r>
      <w:bookmarkEnd w:id="3"/>
      <w:r w:rsidRPr="00D23216">
        <w:rPr>
          <w:rFonts w:ascii="Arial" w:hAnsi="Arial" w:cs="Arial"/>
          <w:sz w:val="19"/>
          <w:szCs w:val="19"/>
        </w:rPr>
        <w:t> Las comisiones de regulación exigirán gradualmente a todos quienes prestan servicios públicos que, al cobrar las tarifas que estén en vigencia al promulgarse esta Ley, distingan en las facturas entre el valor que corresponde al servicio y el factor que se aplica para dar subsidios a los usuarios de los estratos 1 y 2. Igualmente, definirán las condiciones para aplicarlos al estrato 3.</w:t>
      </w:r>
    </w:p>
    <w:p w14:paraId="34C50CC9" w14:textId="5C20D66A" w:rsidR="00D23216" w:rsidRPr="00D23216" w:rsidRDefault="00D23216" w:rsidP="00815760">
      <w:pPr>
        <w:pStyle w:val="Textonotapie"/>
        <w:ind w:firstLine="851"/>
        <w:jc w:val="both"/>
        <w:rPr>
          <w:rFonts w:ascii="Arial" w:hAnsi="Arial" w:cs="Arial"/>
          <w:sz w:val="19"/>
          <w:szCs w:val="19"/>
        </w:rPr>
      </w:pPr>
      <w:r w:rsidRPr="00D23216">
        <w:rPr>
          <w:rFonts w:ascii="Arial" w:hAnsi="Arial" w:cs="Arial"/>
          <w:sz w:val="19"/>
          <w:szCs w:val="19"/>
        </w:rPr>
        <w:t>[…]</w:t>
      </w:r>
    </w:p>
    <w:p w14:paraId="4075EB4C" w14:textId="78527E5C" w:rsidR="00815760" w:rsidRPr="00815760" w:rsidRDefault="00815760" w:rsidP="00A539C0">
      <w:pPr>
        <w:pStyle w:val="Textonotapie"/>
        <w:ind w:firstLine="851"/>
        <w:jc w:val="both"/>
        <w:rPr>
          <w:rFonts w:ascii="Arial" w:hAnsi="Arial" w:cs="Arial"/>
          <w:sz w:val="19"/>
          <w:szCs w:val="19"/>
          <w:lang w:val="es-CO"/>
        </w:rPr>
      </w:pPr>
      <w:r w:rsidRPr="00D23216">
        <w:rPr>
          <w:rFonts w:ascii="Arial" w:eastAsia="Calibri" w:hAnsi="Arial" w:cs="Arial"/>
          <w:sz w:val="19"/>
          <w:szCs w:val="19"/>
        </w:rPr>
        <w:t>»</w:t>
      </w:r>
      <w:r w:rsidR="00D23216">
        <w:rPr>
          <w:rFonts w:ascii="Arial" w:eastAsia="Calibri" w:hAnsi="Arial" w:cs="Arial"/>
          <w:sz w:val="19"/>
          <w:szCs w:val="19"/>
        </w:rPr>
        <w:t xml:space="preserve"> 89.6 </w:t>
      </w:r>
      <w:r w:rsidR="00D23216" w:rsidRPr="00D23216">
        <w:rPr>
          <w:rFonts w:ascii="Arial" w:hAnsi="Arial" w:cs="Arial"/>
          <w:sz w:val="19"/>
          <w:szCs w:val="19"/>
        </w:rPr>
        <w:t>Los recursos que aquí se asignan a los "fondos de solidaridad y redistribución de ingresos" son públicos. Por lo tanto, quienes hagan los recaudos estarán sujetos a las normas sobre declaración y sanciones que se aplican a los retenedores en el Decreto 624 de 1989 y en las normas concordantes o que lo sustituyan; pero deberán hacer devoluciones en el momento en que el usuario les demuestre que tiene derecho a ellas. La obligación de los retenedores que hagan el cobro del factor o factores se extinguirá y cobrará en la forma prevista para las obligaciones que regulan las normas aludidas, en lo que sean compatibles con esta ley y con la naturaleza de los cobros respectivos; y las moras se sancionarán como las moras de quienes están sujetos a las obligaciones que regulan tales normas</w:t>
      </w:r>
      <w:r w:rsidR="00D23216" w:rsidRPr="00D80D47">
        <w:rPr>
          <w:rFonts w:ascii="Arial" w:eastAsia="Calibri" w:hAnsi="Arial" w:cs="Arial"/>
          <w:sz w:val="22"/>
        </w:rPr>
        <w:t>»</w:t>
      </w:r>
      <w:r w:rsidR="00552705">
        <w:rPr>
          <w:rFonts w:ascii="Arial" w:eastAsia="Calibri" w:hAnsi="Arial" w:cs="Arial"/>
          <w:sz w:val="22"/>
        </w:rPr>
        <w:t>.</w:t>
      </w:r>
      <w:r w:rsidR="00837D59">
        <w:rPr>
          <w:rFonts w:ascii="Arial" w:eastAsia="Calibri" w:hAnsi="Arial" w:cs="Arial"/>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583DE3"/>
    <w:multiLevelType w:val="multilevel"/>
    <w:tmpl w:val="F9548F4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35FBF"/>
    <w:rsid w:val="00036A71"/>
    <w:rsid w:val="000534BA"/>
    <w:rsid w:val="00074429"/>
    <w:rsid w:val="00084B97"/>
    <w:rsid w:val="000942EB"/>
    <w:rsid w:val="00094734"/>
    <w:rsid w:val="00095382"/>
    <w:rsid w:val="000B103F"/>
    <w:rsid w:val="000B1737"/>
    <w:rsid w:val="000F14E8"/>
    <w:rsid w:val="00100645"/>
    <w:rsid w:val="00103915"/>
    <w:rsid w:val="00103AA2"/>
    <w:rsid w:val="00106DB3"/>
    <w:rsid w:val="00106DBA"/>
    <w:rsid w:val="00116A03"/>
    <w:rsid w:val="0012204A"/>
    <w:rsid w:val="00122B23"/>
    <w:rsid w:val="00137FD4"/>
    <w:rsid w:val="00137FFA"/>
    <w:rsid w:val="001721D0"/>
    <w:rsid w:val="00176221"/>
    <w:rsid w:val="001B0444"/>
    <w:rsid w:val="0020632A"/>
    <w:rsid w:val="002110EB"/>
    <w:rsid w:val="00211338"/>
    <w:rsid w:val="00234B84"/>
    <w:rsid w:val="00246A9A"/>
    <w:rsid w:val="002B06AB"/>
    <w:rsid w:val="002C4C0C"/>
    <w:rsid w:val="003033BA"/>
    <w:rsid w:val="00306CCD"/>
    <w:rsid w:val="00322937"/>
    <w:rsid w:val="003337B4"/>
    <w:rsid w:val="0034177C"/>
    <w:rsid w:val="0034680A"/>
    <w:rsid w:val="00350F49"/>
    <w:rsid w:val="00353DD5"/>
    <w:rsid w:val="0036514A"/>
    <w:rsid w:val="00366009"/>
    <w:rsid w:val="00386456"/>
    <w:rsid w:val="003A0878"/>
    <w:rsid w:val="003A581E"/>
    <w:rsid w:val="003B19B2"/>
    <w:rsid w:val="003B1AA1"/>
    <w:rsid w:val="003C0F18"/>
    <w:rsid w:val="003C7A0F"/>
    <w:rsid w:val="00415438"/>
    <w:rsid w:val="00423F9F"/>
    <w:rsid w:val="004422D6"/>
    <w:rsid w:val="004455D0"/>
    <w:rsid w:val="004525B1"/>
    <w:rsid w:val="00476B4C"/>
    <w:rsid w:val="00477A51"/>
    <w:rsid w:val="00486CD4"/>
    <w:rsid w:val="0049241A"/>
    <w:rsid w:val="004A34D2"/>
    <w:rsid w:val="004A5754"/>
    <w:rsid w:val="004D6195"/>
    <w:rsid w:val="0051074C"/>
    <w:rsid w:val="00513AF2"/>
    <w:rsid w:val="00516479"/>
    <w:rsid w:val="00517CBA"/>
    <w:rsid w:val="00521286"/>
    <w:rsid w:val="005351ED"/>
    <w:rsid w:val="0054413A"/>
    <w:rsid w:val="005518FA"/>
    <w:rsid w:val="00552705"/>
    <w:rsid w:val="005564CA"/>
    <w:rsid w:val="0056182B"/>
    <w:rsid w:val="005756AA"/>
    <w:rsid w:val="00586D14"/>
    <w:rsid w:val="005D51FA"/>
    <w:rsid w:val="005D791B"/>
    <w:rsid w:val="005E6BEA"/>
    <w:rsid w:val="005E7337"/>
    <w:rsid w:val="005F44B9"/>
    <w:rsid w:val="00614817"/>
    <w:rsid w:val="00625844"/>
    <w:rsid w:val="006278B7"/>
    <w:rsid w:val="00633DBF"/>
    <w:rsid w:val="006342EE"/>
    <w:rsid w:val="00647AF3"/>
    <w:rsid w:val="00655371"/>
    <w:rsid w:val="00655908"/>
    <w:rsid w:val="00663A8C"/>
    <w:rsid w:val="00683BF8"/>
    <w:rsid w:val="006870E7"/>
    <w:rsid w:val="00697665"/>
    <w:rsid w:val="006A7CB5"/>
    <w:rsid w:val="006A7FD0"/>
    <w:rsid w:val="006C77E2"/>
    <w:rsid w:val="006D7687"/>
    <w:rsid w:val="006E0572"/>
    <w:rsid w:val="006F3162"/>
    <w:rsid w:val="00704051"/>
    <w:rsid w:val="00705631"/>
    <w:rsid w:val="007068FD"/>
    <w:rsid w:val="007102BB"/>
    <w:rsid w:val="007145D9"/>
    <w:rsid w:val="00715EAA"/>
    <w:rsid w:val="00721BEA"/>
    <w:rsid w:val="00742DD2"/>
    <w:rsid w:val="00746E08"/>
    <w:rsid w:val="00747C96"/>
    <w:rsid w:val="0075094E"/>
    <w:rsid w:val="00751CC3"/>
    <w:rsid w:val="007522E8"/>
    <w:rsid w:val="0075647A"/>
    <w:rsid w:val="007634AD"/>
    <w:rsid w:val="0078122E"/>
    <w:rsid w:val="00784468"/>
    <w:rsid w:val="00785D8E"/>
    <w:rsid w:val="00794CBB"/>
    <w:rsid w:val="00795647"/>
    <w:rsid w:val="0079648F"/>
    <w:rsid w:val="007B0854"/>
    <w:rsid w:val="007D2D11"/>
    <w:rsid w:val="007F01FC"/>
    <w:rsid w:val="007F3EB4"/>
    <w:rsid w:val="007F6B46"/>
    <w:rsid w:val="007F72CB"/>
    <w:rsid w:val="0080426A"/>
    <w:rsid w:val="008043FA"/>
    <w:rsid w:val="00815760"/>
    <w:rsid w:val="008217B7"/>
    <w:rsid w:val="0083119B"/>
    <w:rsid w:val="00836EAB"/>
    <w:rsid w:val="00837D59"/>
    <w:rsid w:val="008410FF"/>
    <w:rsid w:val="00843B7F"/>
    <w:rsid w:val="0085092D"/>
    <w:rsid w:val="00850F79"/>
    <w:rsid w:val="008559B2"/>
    <w:rsid w:val="008570C2"/>
    <w:rsid w:val="00865EB7"/>
    <w:rsid w:val="00873EAF"/>
    <w:rsid w:val="00876BB2"/>
    <w:rsid w:val="00882659"/>
    <w:rsid w:val="0089774F"/>
    <w:rsid w:val="008C1333"/>
    <w:rsid w:val="008C2DE9"/>
    <w:rsid w:val="008D6CB5"/>
    <w:rsid w:val="008E1C15"/>
    <w:rsid w:val="008E79B3"/>
    <w:rsid w:val="008F538E"/>
    <w:rsid w:val="009047C5"/>
    <w:rsid w:val="00926B78"/>
    <w:rsid w:val="009516C7"/>
    <w:rsid w:val="0095385A"/>
    <w:rsid w:val="009574C1"/>
    <w:rsid w:val="00984209"/>
    <w:rsid w:val="009877A5"/>
    <w:rsid w:val="00991EBE"/>
    <w:rsid w:val="00996301"/>
    <w:rsid w:val="009C42FD"/>
    <w:rsid w:val="009D6971"/>
    <w:rsid w:val="009F59C2"/>
    <w:rsid w:val="00A22E0D"/>
    <w:rsid w:val="00A24560"/>
    <w:rsid w:val="00A3120D"/>
    <w:rsid w:val="00A34538"/>
    <w:rsid w:val="00A37FB6"/>
    <w:rsid w:val="00A40CA2"/>
    <w:rsid w:val="00A539C0"/>
    <w:rsid w:val="00A62C84"/>
    <w:rsid w:val="00A62D08"/>
    <w:rsid w:val="00AA08E7"/>
    <w:rsid w:val="00AA442B"/>
    <w:rsid w:val="00AA669D"/>
    <w:rsid w:val="00AB5119"/>
    <w:rsid w:val="00AE1699"/>
    <w:rsid w:val="00AF62B4"/>
    <w:rsid w:val="00AF7DC7"/>
    <w:rsid w:val="00B01EEA"/>
    <w:rsid w:val="00B13B79"/>
    <w:rsid w:val="00B13EC0"/>
    <w:rsid w:val="00B17AF3"/>
    <w:rsid w:val="00B22E22"/>
    <w:rsid w:val="00B525CB"/>
    <w:rsid w:val="00B63872"/>
    <w:rsid w:val="00B63CB2"/>
    <w:rsid w:val="00B64EDB"/>
    <w:rsid w:val="00B7315F"/>
    <w:rsid w:val="00B91B8E"/>
    <w:rsid w:val="00BA44B5"/>
    <w:rsid w:val="00BADF2E"/>
    <w:rsid w:val="00BB4271"/>
    <w:rsid w:val="00BC05CE"/>
    <w:rsid w:val="00BD11DC"/>
    <w:rsid w:val="00BD14EE"/>
    <w:rsid w:val="00BD5C6D"/>
    <w:rsid w:val="00BD78FE"/>
    <w:rsid w:val="00BF68F7"/>
    <w:rsid w:val="00C058DD"/>
    <w:rsid w:val="00C3337A"/>
    <w:rsid w:val="00C33688"/>
    <w:rsid w:val="00C36BAE"/>
    <w:rsid w:val="00C45F58"/>
    <w:rsid w:val="00C472F9"/>
    <w:rsid w:val="00C522A4"/>
    <w:rsid w:val="00C930B0"/>
    <w:rsid w:val="00CC00CD"/>
    <w:rsid w:val="00CC5419"/>
    <w:rsid w:val="00CD098F"/>
    <w:rsid w:val="00CF3CA7"/>
    <w:rsid w:val="00D01760"/>
    <w:rsid w:val="00D106E8"/>
    <w:rsid w:val="00D16E39"/>
    <w:rsid w:val="00D223B6"/>
    <w:rsid w:val="00D23216"/>
    <w:rsid w:val="00D56E40"/>
    <w:rsid w:val="00D60327"/>
    <w:rsid w:val="00D664F9"/>
    <w:rsid w:val="00D66FCB"/>
    <w:rsid w:val="00D72E9D"/>
    <w:rsid w:val="00D80D47"/>
    <w:rsid w:val="00D82CE5"/>
    <w:rsid w:val="00DA5AB1"/>
    <w:rsid w:val="00DC62E5"/>
    <w:rsid w:val="00DD390E"/>
    <w:rsid w:val="00DD735D"/>
    <w:rsid w:val="00DE3119"/>
    <w:rsid w:val="00DF236B"/>
    <w:rsid w:val="00E13AB8"/>
    <w:rsid w:val="00E25CB3"/>
    <w:rsid w:val="00E30712"/>
    <w:rsid w:val="00E33B62"/>
    <w:rsid w:val="00E4143A"/>
    <w:rsid w:val="00E517F0"/>
    <w:rsid w:val="00E72759"/>
    <w:rsid w:val="00EB1CD3"/>
    <w:rsid w:val="00EE59B5"/>
    <w:rsid w:val="00EF36C2"/>
    <w:rsid w:val="00F00161"/>
    <w:rsid w:val="00F16D95"/>
    <w:rsid w:val="00F34C6F"/>
    <w:rsid w:val="00F45659"/>
    <w:rsid w:val="00F842F6"/>
    <w:rsid w:val="00F84899"/>
    <w:rsid w:val="00F859F0"/>
    <w:rsid w:val="00F952AE"/>
    <w:rsid w:val="00F964A2"/>
    <w:rsid w:val="00FA5B0C"/>
    <w:rsid w:val="00FE141E"/>
    <w:rsid w:val="00FE42ED"/>
    <w:rsid w:val="1DDA1FC6"/>
    <w:rsid w:val="239421E6"/>
    <w:rsid w:val="4835BBD1"/>
    <w:rsid w:val="5961C917"/>
    <w:rsid w:val="72C6B76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iPriority w:val="9"/>
    <w:unhideWhenUsed/>
    <w:qFormat/>
    <w:rsid w:val="00F34C6F"/>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34C6F"/>
    <w:rPr>
      <w:rFonts w:asciiTheme="majorHAnsi" w:eastAsiaTheme="majorEastAsia" w:hAnsiTheme="majorHAnsi" w:cstheme="majorBidi"/>
      <w:color w:val="365F91" w:themeColor="accent1" w:themeShade="BF"/>
      <w:sz w:val="26"/>
      <w:szCs w:val="26"/>
      <w:lang w:val="es-MX"/>
    </w:rPr>
  </w:style>
  <w:style w:type="character" w:customStyle="1" w:styleId="NormalWebCar">
    <w:name w:val="Normal (Web) Car"/>
    <w:link w:val="NormalWeb"/>
    <w:uiPriority w:val="99"/>
    <w:rsid w:val="00F34C6F"/>
    <w:rPr>
      <w:rFonts w:ascii="Times New Roman" w:eastAsia="Times New Roman" w:hAnsi="Times New Roman" w:cs="Times New Roman"/>
      <w:sz w:val="24"/>
      <w:szCs w:val="24"/>
      <w:lang w:eastAsia="es-CO"/>
    </w:rPr>
  </w:style>
  <w:style w:type="paragraph" w:customStyle="1" w:styleId="Default">
    <w:name w:val="Default"/>
    <w:rsid w:val="008410FF"/>
    <w:pPr>
      <w:autoSpaceDE w:val="0"/>
      <w:autoSpaceDN w:val="0"/>
      <w:adjustRightInd w:val="0"/>
      <w:spacing w:after="0" w:line="240" w:lineRule="auto"/>
    </w:pPr>
    <w:rPr>
      <w:rFonts w:ascii="Arial" w:hAnsi="Arial" w:cs="Arial"/>
      <w:color w:val="000000"/>
      <w:sz w:val="24"/>
      <w:szCs w:val="24"/>
    </w:rPr>
  </w:style>
  <w:style w:type="character" w:customStyle="1" w:styleId="letra8pt">
    <w:name w:val="letra8pt"/>
    <w:basedOn w:val="Fuentedeprrafopredeter"/>
    <w:rsid w:val="00306CCD"/>
  </w:style>
  <w:style w:type="character" w:customStyle="1" w:styleId="baj">
    <w:name w:val="b_aj"/>
    <w:basedOn w:val="Fuentedeprrafopredeter"/>
    <w:rsid w:val="0047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14697397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1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081B-C8CB-4FD3-8607-5247FEEE3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19DB9-7048-4A35-B7FC-3E68F0E68D9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73F3C11-FE4E-47C9-83D2-29E98CDF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17</Pages>
  <Words>5987</Words>
  <Characters>32934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2020-02-17T19:55:00Z</cp:lastPrinted>
  <dcterms:created xsi:type="dcterms:W3CDTF">2020-08-20T15:21:00Z</dcterms:created>
  <dcterms:modified xsi:type="dcterms:W3CDTF">2020-08-20T15:21:00Z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