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0E09A0BA" w:rsidR="0034177C" w:rsidRPr="009574C1" w:rsidRDefault="009F59C2" w:rsidP="00E37458">
      <w:pPr>
        <w:jc w:val="right"/>
        <w:rPr>
          <w:rFonts w:ascii="Arial" w:hAnsi="Arial" w:cs="Arial"/>
          <w:b/>
          <w:color w:val="000000" w:themeColor="text1"/>
          <w:sz w:val="16"/>
          <w:szCs w:val="16"/>
          <w:lang w:eastAsia="es-ES"/>
        </w:rPr>
      </w:pPr>
      <w:bookmarkStart w:id="0" w:name="_Hlk28946138"/>
      <w:bookmarkStart w:id="1" w:name="_Hlk29548183"/>
      <w:r w:rsidRPr="009574C1">
        <w:rPr>
          <w:rFonts w:ascii="Arial" w:hAnsi="Arial" w:cs="Arial"/>
          <w:b/>
          <w:color w:val="000000" w:themeColor="text1"/>
          <w:sz w:val="16"/>
          <w:szCs w:val="16"/>
          <w:lang w:eastAsia="es-ES"/>
        </w:rPr>
        <w:tab/>
      </w:r>
      <w:r w:rsidR="0034177C" w:rsidRPr="009574C1">
        <w:rPr>
          <w:rFonts w:ascii="Arial" w:hAnsi="Arial" w:cs="Arial"/>
          <w:b/>
          <w:color w:val="000000" w:themeColor="text1"/>
          <w:sz w:val="16"/>
          <w:szCs w:val="16"/>
          <w:lang w:eastAsia="es-ES"/>
        </w:rPr>
        <w:t>CCE-DES-FM-17</w:t>
      </w:r>
    </w:p>
    <w:p w14:paraId="2267BA64" w14:textId="77777777" w:rsidR="009574C1" w:rsidRPr="00E37458" w:rsidRDefault="009574C1" w:rsidP="00E37458">
      <w:pPr>
        <w:jc w:val="both"/>
        <w:rPr>
          <w:rFonts w:ascii="Arial" w:hAnsi="Arial" w:cs="Arial"/>
          <w:b/>
          <w:color w:val="000000" w:themeColor="text1"/>
          <w:sz w:val="16"/>
          <w:szCs w:val="16"/>
          <w:lang w:eastAsia="es-ES"/>
        </w:rPr>
      </w:pPr>
    </w:p>
    <w:p w14:paraId="7570839A" w14:textId="4E632566" w:rsidR="00F34C6F" w:rsidRPr="003337B4" w:rsidRDefault="00F34C6F" w:rsidP="00E37458">
      <w:pPr>
        <w:jc w:val="both"/>
        <w:rPr>
          <w:rFonts w:ascii="Arial" w:eastAsia="Calibri" w:hAnsi="Arial" w:cs="Arial"/>
          <w:b/>
          <w:bCs/>
          <w:color w:val="000000" w:themeColor="text1"/>
          <w:sz w:val="22"/>
        </w:rPr>
      </w:pPr>
      <w:r w:rsidRPr="003337B4">
        <w:rPr>
          <w:rFonts w:ascii="Arial" w:eastAsia="Calibri" w:hAnsi="Arial" w:cs="Arial"/>
          <w:b/>
          <w:bCs/>
          <w:color w:val="000000" w:themeColor="text1"/>
          <w:sz w:val="22"/>
        </w:rPr>
        <w:t xml:space="preserve">SECOP </w:t>
      </w:r>
      <w:r w:rsidR="003337B4" w:rsidRPr="003337B4">
        <w:rPr>
          <w:rFonts w:ascii="Arial" w:eastAsia="Calibri" w:hAnsi="Arial" w:cs="Arial"/>
          <w:b/>
          <w:color w:val="000000" w:themeColor="text1"/>
          <w:sz w:val="22"/>
        </w:rPr>
        <w:t>–</w:t>
      </w:r>
      <w:r w:rsidRPr="003337B4">
        <w:rPr>
          <w:rFonts w:ascii="Arial" w:eastAsia="Calibri" w:hAnsi="Arial" w:cs="Arial"/>
          <w:b/>
          <w:bCs/>
          <w:color w:val="000000" w:themeColor="text1"/>
          <w:sz w:val="22"/>
        </w:rPr>
        <w:t xml:space="preserve"> Publicidad </w:t>
      </w:r>
      <w:r w:rsidR="003337B4" w:rsidRPr="003337B4">
        <w:rPr>
          <w:rFonts w:ascii="Arial" w:eastAsia="Calibri" w:hAnsi="Arial" w:cs="Arial"/>
          <w:b/>
          <w:color w:val="000000" w:themeColor="text1"/>
          <w:sz w:val="22"/>
        </w:rPr>
        <w:t>–</w:t>
      </w:r>
      <w:r w:rsidRPr="003337B4">
        <w:rPr>
          <w:rFonts w:ascii="Arial" w:eastAsia="Calibri" w:hAnsi="Arial" w:cs="Arial"/>
          <w:b/>
          <w:bCs/>
          <w:color w:val="000000" w:themeColor="text1"/>
          <w:sz w:val="22"/>
        </w:rPr>
        <w:t xml:space="preserve"> Entidades de régimen especial </w:t>
      </w:r>
    </w:p>
    <w:p w14:paraId="7875A2AD" w14:textId="77777777" w:rsidR="00F34C6F" w:rsidRPr="009574C1" w:rsidRDefault="00F34C6F" w:rsidP="008410FF">
      <w:pPr>
        <w:jc w:val="both"/>
        <w:rPr>
          <w:rFonts w:ascii="Arial" w:eastAsia="Calibri" w:hAnsi="Arial" w:cs="Arial"/>
          <w:color w:val="000000" w:themeColor="text1"/>
          <w:sz w:val="20"/>
          <w:szCs w:val="20"/>
        </w:rPr>
      </w:pPr>
    </w:p>
    <w:p w14:paraId="53EED13D" w14:textId="52EABF46" w:rsidR="00F34C6F" w:rsidRPr="009574C1" w:rsidRDefault="00BADF2E" w:rsidP="008410FF">
      <w:pPr>
        <w:jc w:val="both"/>
        <w:rPr>
          <w:rFonts w:ascii="Arial" w:eastAsia="Calibri" w:hAnsi="Arial" w:cs="Arial"/>
          <w:color w:val="000000" w:themeColor="text1"/>
          <w:sz w:val="20"/>
          <w:szCs w:val="20"/>
        </w:rPr>
      </w:pPr>
      <w:r w:rsidRPr="239421E6">
        <w:rPr>
          <w:rFonts w:ascii="Arial" w:eastAsia="Calibri" w:hAnsi="Arial" w:cs="Arial"/>
          <w:color w:val="000000" w:themeColor="text1"/>
          <w:sz w:val="20"/>
          <w:szCs w:val="20"/>
        </w:rPr>
        <w:t xml:space="preserve">[...] </w:t>
      </w:r>
      <w:r w:rsidR="1DDA1FC6" w:rsidRPr="239421E6">
        <w:rPr>
          <w:rFonts w:ascii="Arial" w:eastAsia="Calibri" w:hAnsi="Arial" w:cs="Arial"/>
          <w:color w:val="000000" w:themeColor="text1"/>
          <w:sz w:val="20"/>
          <w:szCs w:val="20"/>
        </w:rPr>
        <w:t>l</w:t>
      </w:r>
      <w:r w:rsidR="00F34C6F" w:rsidRPr="239421E6">
        <w:rPr>
          <w:rFonts w:ascii="Arial" w:eastAsia="Calibri" w:hAnsi="Arial" w:cs="Arial"/>
          <w:color w:val="000000" w:themeColor="text1"/>
          <w:sz w:val="20"/>
          <w:szCs w:val="20"/>
        </w:rPr>
        <w:t xml:space="preserve">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w:t>
      </w:r>
    </w:p>
    <w:p w14:paraId="0BDDFDE2" w14:textId="77777777" w:rsidR="00F34C6F" w:rsidRPr="009574C1" w:rsidRDefault="00F34C6F" w:rsidP="008410FF">
      <w:pPr>
        <w:pStyle w:val="Prrafodelista"/>
        <w:ind w:left="0"/>
        <w:jc w:val="both"/>
        <w:rPr>
          <w:rFonts w:ascii="Arial" w:eastAsia="Calibri" w:hAnsi="Arial" w:cs="Arial"/>
          <w:color w:val="000000" w:themeColor="text1"/>
          <w:sz w:val="20"/>
          <w:szCs w:val="20"/>
        </w:rPr>
      </w:pPr>
    </w:p>
    <w:p w14:paraId="5E619015" w14:textId="5BEF36FC" w:rsidR="00F34C6F" w:rsidRPr="003337B4" w:rsidRDefault="00F34C6F" w:rsidP="008410FF">
      <w:pPr>
        <w:pStyle w:val="Prrafodelista"/>
        <w:ind w:left="0"/>
        <w:jc w:val="both"/>
        <w:rPr>
          <w:rFonts w:ascii="Arial" w:eastAsia="Calibri" w:hAnsi="Arial" w:cs="Arial"/>
          <w:b/>
          <w:bCs/>
          <w:color w:val="000000" w:themeColor="text1"/>
          <w:sz w:val="22"/>
        </w:rPr>
      </w:pPr>
      <w:r w:rsidRPr="003337B4">
        <w:rPr>
          <w:rFonts w:ascii="Arial" w:eastAsia="Calibri" w:hAnsi="Arial" w:cs="Arial"/>
          <w:b/>
          <w:bCs/>
          <w:color w:val="000000" w:themeColor="text1"/>
          <w:sz w:val="22"/>
        </w:rPr>
        <w:t xml:space="preserve">SECOP </w:t>
      </w:r>
      <w:r w:rsidR="003337B4" w:rsidRPr="003337B4">
        <w:rPr>
          <w:rFonts w:ascii="Arial" w:eastAsia="Calibri" w:hAnsi="Arial" w:cs="Arial"/>
          <w:b/>
          <w:color w:val="000000" w:themeColor="text1"/>
          <w:sz w:val="22"/>
        </w:rPr>
        <w:t>–</w:t>
      </w:r>
      <w:r w:rsidRPr="003337B4">
        <w:rPr>
          <w:rFonts w:ascii="Arial" w:eastAsia="Calibri" w:hAnsi="Arial" w:cs="Arial"/>
          <w:b/>
          <w:bCs/>
          <w:color w:val="000000" w:themeColor="text1"/>
          <w:sz w:val="22"/>
        </w:rPr>
        <w:t xml:space="preserve"> Publicidad </w:t>
      </w:r>
      <w:r w:rsidRPr="003337B4">
        <w:rPr>
          <w:rFonts w:ascii="Arial" w:eastAsia="Calibri" w:hAnsi="Arial" w:cs="Arial"/>
          <w:b/>
          <w:bCs/>
          <w:color w:val="000000" w:themeColor="text1"/>
          <w:sz w:val="22"/>
        </w:rPr>
        <w:softHyphen/>
      </w:r>
      <w:r w:rsidR="003337B4" w:rsidRPr="003337B4">
        <w:rPr>
          <w:rFonts w:ascii="Arial" w:eastAsia="Calibri" w:hAnsi="Arial" w:cs="Arial"/>
          <w:b/>
          <w:color w:val="000000" w:themeColor="text1"/>
          <w:sz w:val="22"/>
        </w:rPr>
        <w:t>–</w:t>
      </w:r>
      <w:r w:rsidRPr="003337B4">
        <w:rPr>
          <w:rFonts w:ascii="Arial" w:eastAsia="Calibri" w:hAnsi="Arial" w:cs="Arial"/>
          <w:b/>
          <w:bCs/>
          <w:color w:val="000000" w:themeColor="text1"/>
          <w:sz w:val="22"/>
        </w:rPr>
        <w:t xml:space="preserve"> Documentos </w:t>
      </w:r>
    </w:p>
    <w:p w14:paraId="5FE14C52" w14:textId="77777777" w:rsidR="00F34C6F" w:rsidRPr="009574C1" w:rsidRDefault="00F34C6F" w:rsidP="008410FF">
      <w:pPr>
        <w:pStyle w:val="Prrafodelista"/>
        <w:ind w:left="0"/>
        <w:jc w:val="both"/>
        <w:rPr>
          <w:rFonts w:ascii="Arial" w:eastAsia="Calibri" w:hAnsi="Arial" w:cs="Arial"/>
          <w:color w:val="000000" w:themeColor="text1"/>
          <w:sz w:val="20"/>
          <w:szCs w:val="20"/>
        </w:rPr>
      </w:pPr>
    </w:p>
    <w:p w14:paraId="676DD801" w14:textId="59E6CD59" w:rsidR="00C33688" w:rsidRDefault="003337B4" w:rsidP="00094734">
      <w:pPr>
        <w:spacing w:after="120"/>
        <w:jc w:val="both"/>
        <w:rPr>
          <w:rFonts w:ascii="Arial" w:eastAsia="Calibri" w:hAnsi="Arial" w:cs="Arial"/>
          <w:color w:val="000000" w:themeColor="text1"/>
          <w:sz w:val="20"/>
          <w:szCs w:val="20"/>
        </w:rPr>
      </w:pPr>
      <w:r w:rsidRPr="239421E6">
        <w:rPr>
          <w:rFonts w:ascii="Arial" w:eastAsia="Calibri" w:hAnsi="Arial" w:cs="Arial"/>
          <w:color w:val="000000" w:themeColor="text1"/>
          <w:sz w:val="20"/>
          <w:szCs w:val="20"/>
        </w:rPr>
        <w:t xml:space="preserve">[…] </w:t>
      </w:r>
      <w:r w:rsidR="5961C917" w:rsidRPr="239421E6">
        <w:rPr>
          <w:rFonts w:ascii="Arial" w:eastAsia="Calibri" w:hAnsi="Arial" w:cs="Arial"/>
          <w:color w:val="000000" w:themeColor="text1"/>
          <w:sz w:val="20"/>
          <w:szCs w:val="20"/>
        </w:rPr>
        <w:t>e</w:t>
      </w:r>
      <w:r w:rsidR="00F34C6F" w:rsidRPr="239421E6">
        <w:rPr>
          <w:rFonts w:ascii="Arial" w:eastAsia="Calibri" w:hAnsi="Arial" w:cs="Arial"/>
          <w:color w:val="000000" w:themeColor="text1"/>
          <w:sz w:val="20"/>
          <w:szCs w:val="20"/>
        </w:rPr>
        <w:t xml:space="preserve">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w:t>
      </w:r>
      <w:proofErr w:type="spellStart"/>
      <w:r w:rsidR="00F34C6F" w:rsidRPr="239421E6">
        <w:rPr>
          <w:rFonts w:ascii="Arial" w:eastAsia="Calibri" w:hAnsi="Arial" w:cs="Arial"/>
          <w:color w:val="000000" w:themeColor="text1"/>
          <w:sz w:val="20"/>
          <w:szCs w:val="20"/>
        </w:rPr>
        <w:t>ii</w:t>
      </w:r>
      <w:proofErr w:type="spellEnd"/>
      <w:r w:rsidR="00F34C6F" w:rsidRPr="239421E6">
        <w:rPr>
          <w:rFonts w:ascii="Arial" w:eastAsia="Calibri" w:hAnsi="Arial" w:cs="Arial"/>
          <w:color w:val="000000" w:themeColor="text1"/>
          <w:sz w:val="20"/>
          <w:szCs w:val="20"/>
        </w:rPr>
        <w:t xml:space="preserve">) en relación con los procedimientos, lineamientos y políticas en materia de adquisición se deberán publicar los documentos previstos en el manual de contratación de la entidad y, finalmente, </w:t>
      </w:r>
      <w:proofErr w:type="spellStart"/>
      <w:r w:rsidR="00F34C6F" w:rsidRPr="239421E6">
        <w:rPr>
          <w:rFonts w:ascii="Arial" w:eastAsia="Calibri" w:hAnsi="Arial" w:cs="Arial"/>
          <w:color w:val="000000" w:themeColor="text1"/>
          <w:sz w:val="20"/>
          <w:szCs w:val="20"/>
        </w:rPr>
        <w:t>iii</w:t>
      </w:r>
      <w:proofErr w:type="spellEnd"/>
      <w:r w:rsidR="00F34C6F" w:rsidRPr="239421E6">
        <w:rPr>
          <w:rFonts w:ascii="Arial" w:eastAsia="Calibri" w:hAnsi="Arial" w:cs="Arial"/>
          <w:color w:val="000000" w:themeColor="text1"/>
          <w:sz w:val="20"/>
          <w:szCs w:val="20"/>
        </w:rPr>
        <w:t>) el plan anual de adquisiciones.</w:t>
      </w:r>
    </w:p>
    <w:p w14:paraId="6139C5B2" w14:textId="7E97EB8E" w:rsidR="00F34C6F" w:rsidRPr="009574C1" w:rsidRDefault="00F34C6F" w:rsidP="00094734">
      <w:pPr>
        <w:spacing w:after="120"/>
        <w:jc w:val="both"/>
        <w:rPr>
          <w:rFonts w:ascii="Arial" w:eastAsia="Calibri" w:hAnsi="Arial" w:cs="Arial"/>
          <w:color w:val="000000" w:themeColor="text1"/>
          <w:sz w:val="20"/>
          <w:szCs w:val="20"/>
        </w:rPr>
      </w:pPr>
      <w:r w:rsidRPr="009574C1">
        <w:rPr>
          <w:rFonts w:ascii="Arial" w:eastAsia="Calibri" w:hAnsi="Arial" w:cs="Arial"/>
          <w:color w:val="000000" w:themeColor="text1"/>
          <w:sz w:val="20"/>
          <w:szCs w:val="20"/>
        </w:rPr>
        <w:t xml:space="preserve">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00622AB0" w14:textId="3A10D1B8" w:rsidR="00F34C6F" w:rsidRPr="009574C1" w:rsidRDefault="00F34C6F" w:rsidP="008410FF">
      <w:pPr>
        <w:jc w:val="both"/>
        <w:rPr>
          <w:rFonts w:ascii="Arial" w:eastAsia="Calibri" w:hAnsi="Arial" w:cs="Arial"/>
          <w:b/>
          <w:color w:val="000000" w:themeColor="text1"/>
          <w:sz w:val="20"/>
          <w:szCs w:val="20"/>
        </w:rPr>
      </w:pPr>
    </w:p>
    <w:p w14:paraId="324A4AB3" w14:textId="2FD9273F" w:rsidR="00103AA2" w:rsidRPr="003337B4" w:rsidRDefault="00103AA2" w:rsidP="008410FF">
      <w:pPr>
        <w:jc w:val="both"/>
        <w:rPr>
          <w:rFonts w:ascii="Arial" w:eastAsia="Calibri" w:hAnsi="Arial" w:cs="Arial"/>
          <w:b/>
          <w:color w:val="000000" w:themeColor="text1"/>
          <w:sz w:val="22"/>
        </w:rPr>
      </w:pPr>
      <w:r w:rsidRPr="003337B4">
        <w:rPr>
          <w:rFonts w:ascii="Arial" w:eastAsia="Calibri" w:hAnsi="Arial" w:cs="Arial"/>
          <w:b/>
          <w:color w:val="000000" w:themeColor="text1"/>
          <w:sz w:val="22"/>
        </w:rPr>
        <w:t>EMPRESAS DE SERVICIOS P</w:t>
      </w:r>
      <w:r w:rsidR="00902E4F">
        <w:rPr>
          <w:rFonts w:ascii="Arial" w:eastAsia="Calibri" w:hAnsi="Arial" w:cs="Arial"/>
          <w:b/>
          <w:color w:val="000000" w:themeColor="text1"/>
          <w:sz w:val="22"/>
        </w:rPr>
        <w:t>Ú</w:t>
      </w:r>
      <w:r w:rsidRPr="003337B4">
        <w:rPr>
          <w:rFonts w:ascii="Arial" w:eastAsia="Calibri" w:hAnsi="Arial" w:cs="Arial"/>
          <w:b/>
          <w:color w:val="000000" w:themeColor="text1"/>
          <w:sz w:val="22"/>
        </w:rPr>
        <w:t xml:space="preserve">BLICOS </w:t>
      </w:r>
      <w:r w:rsidR="003337B4" w:rsidRPr="003337B4">
        <w:rPr>
          <w:rFonts w:ascii="Arial" w:eastAsia="Calibri" w:hAnsi="Arial" w:cs="Arial"/>
          <w:b/>
          <w:color w:val="000000" w:themeColor="text1"/>
          <w:sz w:val="22"/>
        </w:rPr>
        <w:t>–</w:t>
      </w:r>
      <w:r w:rsidRPr="003337B4">
        <w:rPr>
          <w:rFonts w:ascii="Arial" w:eastAsia="Calibri" w:hAnsi="Arial" w:cs="Arial"/>
          <w:b/>
          <w:color w:val="000000" w:themeColor="text1"/>
          <w:sz w:val="22"/>
        </w:rPr>
        <w:t xml:space="preserve"> </w:t>
      </w:r>
      <w:r w:rsidR="00A62C84" w:rsidRPr="003337B4">
        <w:rPr>
          <w:rFonts w:ascii="Arial" w:eastAsia="Calibri" w:hAnsi="Arial" w:cs="Arial"/>
          <w:b/>
          <w:color w:val="000000" w:themeColor="text1"/>
          <w:sz w:val="22"/>
        </w:rPr>
        <w:t>Naturaleza jurídica especial</w:t>
      </w:r>
    </w:p>
    <w:p w14:paraId="63F97024" w14:textId="73500B76" w:rsidR="00103AA2" w:rsidRPr="009574C1" w:rsidRDefault="00103AA2" w:rsidP="008410FF">
      <w:pPr>
        <w:jc w:val="both"/>
        <w:rPr>
          <w:rFonts w:ascii="Arial" w:eastAsia="Calibri" w:hAnsi="Arial" w:cs="Arial"/>
          <w:b/>
          <w:color w:val="000000" w:themeColor="text1"/>
          <w:sz w:val="20"/>
          <w:szCs w:val="20"/>
        </w:rPr>
      </w:pPr>
    </w:p>
    <w:p w14:paraId="202AE8C2" w14:textId="77777777" w:rsidR="00A62C84" w:rsidRPr="009574C1" w:rsidRDefault="00A62C84" w:rsidP="008410FF">
      <w:pPr>
        <w:jc w:val="both"/>
        <w:rPr>
          <w:rFonts w:ascii="Arial" w:hAnsi="Arial" w:cs="Arial"/>
          <w:color w:val="000000" w:themeColor="text1"/>
          <w:sz w:val="20"/>
          <w:szCs w:val="20"/>
          <w:lang w:val="es-ES"/>
        </w:rPr>
      </w:pPr>
      <w:r w:rsidRPr="009574C1">
        <w:rPr>
          <w:rFonts w:ascii="Arial" w:hAnsi="Arial" w:cs="Arial"/>
          <w:color w:val="000000" w:themeColor="text1"/>
          <w:sz w:val="20"/>
          <w:szCs w:val="20"/>
          <w:lang w:val="es-ES"/>
        </w:rPr>
        <w:t xml:space="preserve">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60D4ADC5" w14:textId="5A1B3ACD" w:rsidR="00103AA2" w:rsidRPr="009574C1" w:rsidRDefault="00103AA2" w:rsidP="008410FF">
      <w:pPr>
        <w:jc w:val="both"/>
        <w:rPr>
          <w:rFonts w:ascii="Arial" w:eastAsia="Calibri" w:hAnsi="Arial" w:cs="Arial"/>
          <w:b/>
          <w:color w:val="000000" w:themeColor="text1"/>
          <w:sz w:val="20"/>
          <w:szCs w:val="20"/>
        </w:rPr>
      </w:pPr>
    </w:p>
    <w:p w14:paraId="61ABBB50" w14:textId="392444CF" w:rsidR="00103AA2" w:rsidRPr="003337B4" w:rsidRDefault="00A62C84" w:rsidP="008410FF">
      <w:pPr>
        <w:jc w:val="both"/>
        <w:rPr>
          <w:rFonts w:ascii="Arial" w:eastAsia="Calibri" w:hAnsi="Arial" w:cs="Arial"/>
          <w:b/>
          <w:color w:val="000000" w:themeColor="text1"/>
          <w:sz w:val="22"/>
        </w:rPr>
      </w:pPr>
      <w:r w:rsidRPr="003337B4">
        <w:rPr>
          <w:rFonts w:ascii="Arial" w:eastAsia="Calibri" w:hAnsi="Arial" w:cs="Arial"/>
          <w:b/>
          <w:color w:val="000000" w:themeColor="text1"/>
          <w:sz w:val="22"/>
        </w:rPr>
        <w:t>EMPRESAS DE SERVICIOS P</w:t>
      </w:r>
      <w:r w:rsidR="00902E4F">
        <w:rPr>
          <w:rFonts w:ascii="Arial" w:eastAsia="Calibri" w:hAnsi="Arial" w:cs="Arial"/>
          <w:b/>
          <w:color w:val="000000" w:themeColor="text1"/>
          <w:sz w:val="22"/>
        </w:rPr>
        <w:t>Ú</w:t>
      </w:r>
      <w:r w:rsidRPr="003337B4">
        <w:rPr>
          <w:rFonts w:ascii="Arial" w:eastAsia="Calibri" w:hAnsi="Arial" w:cs="Arial"/>
          <w:b/>
          <w:color w:val="000000" w:themeColor="text1"/>
          <w:sz w:val="22"/>
        </w:rPr>
        <w:t xml:space="preserve">BLICOS </w:t>
      </w:r>
      <w:r w:rsidR="003337B4" w:rsidRPr="003337B4">
        <w:rPr>
          <w:rFonts w:ascii="Arial" w:eastAsia="Calibri" w:hAnsi="Arial" w:cs="Arial"/>
          <w:b/>
          <w:color w:val="000000" w:themeColor="text1"/>
          <w:sz w:val="22"/>
        </w:rPr>
        <w:t>–</w:t>
      </w:r>
      <w:r w:rsidRPr="003337B4">
        <w:rPr>
          <w:rFonts w:ascii="Arial" w:eastAsia="Calibri" w:hAnsi="Arial" w:cs="Arial"/>
          <w:b/>
          <w:color w:val="000000" w:themeColor="text1"/>
          <w:sz w:val="22"/>
        </w:rPr>
        <w:t xml:space="preserve"> Régimen jurídico de contratación </w:t>
      </w:r>
    </w:p>
    <w:p w14:paraId="24089C1F" w14:textId="7BC691FE" w:rsidR="00103AA2" w:rsidRPr="009574C1" w:rsidRDefault="00103AA2" w:rsidP="008410FF">
      <w:pPr>
        <w:jc w:val="both"/>
        <w:rPr>
          <w:rFonts w:ascii="Arial" w:eastAsia="Calibri" w:hAnsi="Arial" w:cs="Arial"/>
          <w:b/>
          <w:color w:val="000000" w:themeColor="text1"/>
          <w:sz w:val="20"/>
          <w:szCs w:val="20"/>
        </w:rPr>
      </w:pPr>
    </w:p>
    <w:p w14:paraId="3F5D1FC4" w14:textId="77777777" w:rsidR="00794CBB" w:rsidRDefault="00A62C84" w:rsidP="00794CBB">
      <w:pPr>
        <w:spacing w:after="120"/>
        <w:jc w:val="both"/>
        <w:rPr>
          <w:rFonts w:ascii="Arial" w:hAnsi="Arial" w:cs="Arial"/>
          <w:color w:val="000000" w:themeColor="text1"/>
          <w:sz w:val="20"/>
          <w:szCs w:val="20"/>
          <w:lang w:val="es-ES"/>
        </w:rPr>
      </w:pPr>
      <w:r w:rsidRPr="009574C1">
        <w:rPr>
          <w:rFonts w:ascii="Arial" w:hAnsi="Arial" w:cs="Arial"/>
          <w:color w:val="000000" w:themeColor="text1"/>
          <w:sz w:val="20"/>
          <w:szCs w:val="20"/>
          <w:lang w:val="es-ES"/>
        </w:rPr>
        <w:t>Finalmente, en cuanto al régimen jurídico de contratación de las empresas de servicios públicos, el artículo 31 de la Ley 142 de 1994 señala que «los</w:t>
      </w:r>
      <w:r w:rsidRPr="009574C1">
        <w:rPr>
          <w:rFonts w:ascii="Arial" w:hAnsi="Arial" w:cs="Arial"/>
          <w:color w:val="000000" w:themeColor="text1"/>
          <w:sz w:val="20"/>
          <w:szCs w:val="20"/>
        </w:rPr>
        <w:t xml:space="preserve"> </w:t>
      </w:r>
      <w:r w:rsidRPr="009574C1">
        <w:rPr>
          <w:rFonts w:ascii="Arial" w:hAnsi="Arial" w:cs="Arial"/>
          <w:color w:val="000000" w:themeColor="text1"/>
          <w:sz w:val="20"/>
          <w:szCs w:val="20"/>
          <w:lang w:val="es-ES"/>
        </w:rPr>
        <w:t>contratos que celebren las entidades estatales que prestan los servicios públicos a los que se refiere esta Ley, y que tengan por objeto la prestación de esos servicios, se regirán por el parágrafo 1 del artículo 32 de la ley 80 de 1993 y por la presente Ley, salvo en lo que la presente Ley disponga otra cosa».</w:t>
      </w:r>
    </w:p>
    <w:p w14:paraId="133E77B4" w14:textId="77777777" w:rsidR="00F952AE" w:rsidRDefault="00A62C84" w:rsidP="00F952AE">
      <w:pPr>
        <w:spacing w:after="120"/>
        <w:jc w:val="both"/>
        <w:rPr>
          <w:rFonts w:ascii="Arial" w:hAnsi="Arial" w:cs="Arial"/>
          <w:color w:val="000000" w:themeColor="text1"/>
          <w:sz w:val="20"/>
          <w:szCs w:val="20"/>
          <w:lang w:val="es-ES"/>
        </w:rPr>
      </w:pPr>
      <w:r w:rsidRPr="009574C1">
        <w:rPr>
          <w:rFonts w:ascii="Arial" w:hAnsi="Arial" w:cs="Arial"/>
          <w:color w:val="000000" w:themeColor="text1"/>
          <w:sz w:val="20"/>
          <w:szCs w:val="20"/>
          <w:lang w:val="es-ES"/>
        </w:rPr>
        <w:t>El parágrafo 1 del artículo 32 de la Ley 80 señala que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p>
    <w:p w14:paraId="09D82DDC" w14:textId="5E82F0A2" w:rsidR="00A62C84" w:rsidRPr="009574C1" w:rsidRDefault="00A62C84" w:rsidP="00F952AE">
      <w:pPr>
        <w:jc w:val="both"/>
        <w:rPr>
          <w:rFonts w:ascii="Arial" w:hAnsi="Arial" w:cs="Arial"/>
          <w:color w:val="000000" w:themeColor="text1"/>
          <w:sz w:val="20"/>
          <w:szCs w:val="20"/>
          <w:lang w:val="es-ES"/>
        </w:rPr>
      </w:pPr>
      <w:r w:rsidRPr="009574C1">
        <w:rPr>
          <w:rFonts w:ascii="Arial" w:hAnsi="Arial" w:cs="Arial"/>
          <w:color w:val="000000" w:themeColor="text1"/>
          <w:sz w:val="20"/>
          <w:szCs w:val="20"/>
          <w:lang w:val="es-ES"/>
        </w:rPr>
        <w:t xml:space="preserve">Así las cosas, el régimen jurídico aplicable a los contratos que celebren las empresas de servicios públicos, incluso para las oficiales y las mixtas, es el contenido en la Ley 142 de 1994 y en el derecho privado, esto es, no están sometidas al Estatuto General de Contratación Estatal. Sin embargo, como </w:t>
      </w:r>
      <w:r w:rsidRPr="009574C1">
        <w:rPr>
          <w:rFonts w:ascii="Arial" w:hAnsi="Arial" w:cs="Arial"/>
          <w:color w:val="000000" w:themeColor="text1"/>
          <w:sz w:val="20"/>
          <w:szCs w:val="20"/>
          <w:lang w:val="es-ES"/>
        </w:rPr>
        <w:lastRenderedPageBreak/>
        <w:t xml:space="preserve">ya se advirtió, eso no las exime del deber de publicar su actividad contractual, cuando ejecuten recursos públicos. </w:t>
      </w:r>
    </w:p>
    <w:p w14:paraId="0A040B52" w14:textId="77777777" w:rsidR="008410FF" w:rsidRPr="008410FF" w:rsidRDefault="008410FF" w:rsidP="008410FF">
      <w:pPr>
        <w:pStyle w:val="Default"/>
        <w:rPr>
          <w:sz w:val="20"/>
          <w:szCs w:val="20"/>
        </w:rPr>
      </w:pPr>
    </w:p>
    <w:p w14:paraId="5833093A" w14:textId="031B6CC2" w:rsidR="008410FF" w:rsidRPr="00E37458" w:rsidRDefault="008410FF" w:rsidP="008410FF">
      <w:pPr>
        <w:pStyle w:val="Default"/>
        <w:rPr>
          <w:sz w:val="20"/>
          <w:szCs w:val="20"/>
        </w:rPr>
      </w:pPr>
      <w:r w:rsidRPr="008410FF">
        <w:t xml:space="preserve"> </w:t>
      </w:r>
    </w:p>
    <w:p w14:paraId="3ADF7C02" w14:textId="77777777" w:rsidR="008410FF" w:rsidRPr="008410FF" w:rsidRDefault="008410FF" w:rsidP="008410FF">
      <w:pPr>
        <w:pStyle w:val="Default"/>
        <w:rPr>
          <w:color w:val="auto"/>
          <w:sz w:val="22"/>
          <w:szCs w:val="22"/>
        </w:rPr>
      </w:pPr>
      <w:r w:rsidRPr="008410FF">
        <w:rPr>
          <w:color w:val="auto"/>
          <w:sz w:val="22"/>
          <w:szCs w:val="22"/>
        </w:rPr>
        <w:t xml:space="preserve">Bogotá D.C., </w:t>
      </w:r>
      <w:r w:rsidRPr="008410FF">
        <w:rPr>
          <w:b/>
          <w:bCs/>
          <w:color w:val="auto"/>
          <w:sz w:val="22"/>
          <w:szCs w:val="22"/>
        </w:rPr>
        <w:t xml:space="preserve">18/02/2020 Hora 11:10:57s </w:t>
      </w:r>
    </w:p>
    <w:p w14:paraId="537DABA5" w14:textId="2AA5290D" w:rsidR="00F34C6F" w:rsidRPr="008410FF" w:rsidRDefault="008410FF" w:rsidP="008410FF">
      <w:pPr>
        <w:spacing w:before="120" w:after="120" w:line="276" w:lineRule="auto"/>
        <w:jc w:val="right"/>
        <w:rPr>
          <w:rFonts w:ascii="Arial" w:eastAsia="Calibri" w:hAnsi="Arial" w:cs="Arial"/>
          <w:color w:val="000000" w:themeColor="text1"/>
          <w:sz w:val="22"/>
        </w:rPr>
      </w:pPr>
      <w:proofErr w:type="spellStart"/>
      <w:r w:rsidRPr="008410FF">
        <w:rPr>
          <w:rFonts w:ascii="Arial" w:hAnsi="Arial" w:cs="Arial"/>
          <w:b/>
          <w:bCs/>
          <w:sz w:val="22"/>
        </w:rPr>
        <w:t>N°</w:t>
      </w:r>
      <w:proofErr w:type="spellEnd"/>
      <w:r w:rsidRPr="008410FF">
        <w:rPr>
          <w:rFonts w:ascii="Arial" w:hAnsi="Arial" w:cs="Arial"/>
          <w:b/>
          <w:bCs/>
          <w:sz w:val="22"/>
        </w:rPr>
        <w:t xml:space="preserve"> Radicado: 2202013000001036</w:t>
      </w:r>
    </w:p>
    <w:p w14:paraId="172EC67D" w14:textId="77777777" w:rsidR="00F34C6F" w:rsidRPr="009574C1" w:rsidRDefault="00F34C6F" w:rsidP="00116A03">
      <w:pPr>
        <w:spacing w:before="120" w:after="120"/>
        <w:jc w:val="both"/>
        <w:rPr>
          <w:rFonts w:ascii="Arial" w:eastAsia="Calibri" w:hAnsi="Arial" w:cs="Arial"/>
          <w:color w:val="000000" w:themeColor="text1"/>
          <w:sz w:val="22"/>
        </w:rPr>
      </w:pPr>
      <w:r w:rsidRPr="009574C1">
        <w:rPr>
          <w:rFonts w:ascii="Arial" w:eastAsia="Calibri" w:hAnsi="Arial" w:cs="Arial"/>
          <w:color w:val="000000" w:themeColor="text1"/>
          <w:sz w:val="22"/>
        </w:rPr>
        <w:t>Señora</w:t>
      </w:r>
    </w:p>
    <w:p w14:paraId="78817250" w14:textId="77777777" w:rsidR="00F34C6F" w:rsidRPr="009574C1" w:rsidRDefault="00F34C6F" w:rsidP="00116A03">
      <w:pPr>
        <w:spacing w:before="120" w:after="120"/>
        <w:jc w:val="both"/>
        <w:rPr>
          <w:rFonts w:ascii="Arial" w:eastAsia="Calibri" w:hAnsi="Arial" w:cs="Arial"/>
          <w:b/>
          <w:color w:val="000000" w:themeColor="text1"/>
          <w:sz w:val="22"/>
        </w:rPr>
      </w:pPr>
      <w:r w:rsidRPr="009574C1">
        <w:rPr>
          <w:rFonts w:ascii="Arial" w:eastAsia="Calibri" w:hAnsi="Arial" w:cs="Arial"/>
          <w:b/>
          <w:color w:val="000000" w:themeColor="text1"/>
          <w:sz w:val="22"/>
        </w:rPr>
        <w:t>Anyela Portilla Zambrano</w:t>
      </w:r>
    </w:p>
    <w:p w14:paraId="190B5D27" w14:textId="77777777" w:rsidR="00F34C6F" w:rsidRPr="009574C1" w:rsidRDefault="00F34C6F" w:rsidP="00116A03">
      <w:pPr>
        <w:spacing w:before="120" w:after="120"/>
        <w:jc w:val="both"/>
        <w:rPr>
          <w:rFonts w:ascii="Arial" w:eastAsia="Calibri" w:hAnsi="Arial" w:cs="Arial"/>
          <w:color w:val="000000" w:themeColor="text1"/>
          <w:sz w:val="22"/>
        </w:rPr>
      </w:pPr>
      <w:r w:rsidRPr="009574C1">
        <w:rPr>
          <w:rFonts w:ascii="Arial" w:eastAsia="Calibri" w:hAnsi="Arial" w:cs="Arial"/>
          <w:color w:val="000000" w:themeColor="text1"/>
          <w:sz w:val="22"/>
        </w:rPr>
        <w:t>Ciudad</w:t>
      </w:r>
    </w:p>
    <w:p w14:paraId="239FFE07" w14:textId="77777777" w:rsidR="00F34C6F" w:rsidRPr="009574C1" w:rsidRDefault="00F34C6F" w:rsidP="00116A03">
      <w:pPr>
        <w:spacing w:before="120" w:after="120"/>
        <w:jc w:val="both"/>
        <w:rPr>
          <w:rFonts w:ascii="Arial" w:eastAsia="Calibri" w:hAnsi="Arial" w:cs="Arial"/>
          <w:b/>
          <w:color w:val="000000" w:themeColor="text1"/>
          <w:sz w:val="22"/>
        </w:rPr>
      </w:pPr>
    </w:p>
    <w:p w14:paraId="4BE1148E" w14:textId="77777777" w:rsidR="00F34C6F" w:rsidRPr="009574C1" w:rsidRDefault="00F34C6F" w:rsidP="00116A03">
      <w:pPr>
        <w:spacing w:before="120" w:after="120"/>
        <w:jc w:val="center"/>
        <w:rPr>
          <w:rFonts w:ascii="Arial" w:eastAsia="Calibri" w:hAnsi="Arial" w:cs="Arial"/>
          <w:b/>
          <w:bCs/>
          <w:color w:val="000000" w:themeColor="text1"/>
          <w:sz w:val="22"/>
        </w:rPr>
      </w:pPr>
      <w:r w:rsidRPr="009574C1">
        <w:rPr>
          <w:rFonts w:ascii="Arial" w:eastAsia="Calibri" w:hAnsi="Arial" w:cs="Arial"/>
          <w:b/>
          <w:bCs/>
          <w:color w:val="000000" w:themeColor="text1"/>
          <w:sz w:val="22"/>
        </w:rPr>
        <w:t>Concepto C ─ 116 de 2020</w:t>
      </w:r>
    </w:p>
    <w:p w14:paraId="330B3697" w14:textId="77777777" w:rsidR="00F34C6F" w:rsidRPr="009574C1" w:rsidRDefault="00F34C6F" w:rsidP="00116A03">
      <w:pPr>
        <w:spacing w:before="120" w:after="120"/>
        <w:jc w:val="both"/>
        <w:rPr>
          <w:rFonts w:ascii="Arial" w:eastAsia="Calibri" w:hAnsi="Arial" w:cs="Arial"/>
          <w:b/>
          <w:color w:val="000000" w:themeColor="text1"/>
          <w:sz w:val="22"/>
        </w:rPr>
      </w:pPr>
    </w:p>
    <w:tbl>
      <w:tblPr>
        <w:tblStyle w:val="Tablaconcuadrcula"/>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2"/>
        <w:gridCol w:w="6176"/>
      </w:tblGrid>
      <w:tr w:rsidR="009574C1" w:rsidRPr="009574C1" w14:paraId="16FEE77C" w14:textId="77777777" w:rsidTr="008410FF">
        <w:trPr>
          <w:trHeight w:val="1666"/>
        </w:trPr>
        <w:tc>
          <w:tcPr>
            <w:tcW w:w="2662" w:type="dxa"/>
          </w:tcPr>
          <w:p w14:paraId="503A0909" w14:textId="77777777" w:rsidR="00F34C6F" w:rsidRPr="009574C1" w:rsidRDefault="00F34C6F" w:rsidP="00116A03">
            <w:pPr>
              <w:spacing w:before="120" w:after="120"/>
              <w:jc w:val="both"/>
              <w:rPr>
                <w:rFonts w:ascii="Arial" w:eastAsia="Calibri" w:hAnsi="Arial" w:cs="Arial"/>
                <w:color w:val="000000" w:themeColor="text1"/>
                <w:sz w:val="22"/>
              </w:rPr>
            </w:pPr>
            <w:r w:rsidRPr="009574C1">
              <w:rPr>
                <w:rFonts w:ascii="Arial" w:eastAsia="Calibri" w:hAnsi="Arial" w:cs="Arial"/>
                <w:b/>
                <w:bCs/>
                <w:color w:val="000000" w:themeColor="text1"/>
                <w:sz w:val="22"/>
              </w:rPr>
              <w:t>Temas</w:t>
            </w:r>
            <w:r w:rsidRPr="009574C1">
              <w:rPr>
                <w:rFonts w:ascii="Arial" w:eastAsia="Calibri" w:hAnsi="Arial" w:cs="Arial"/>
                <w:color w:val="000000" w:themeColor="text1"/>
                <w:sz w:val="22"/>
              </w:rPr>
              <w:t xml:space="preserve">:                                      </w:t>
            </w:r>
          </w:p>
        </w:tc>
        <w:tc>
          <w:tcPr>
            <w:tcW w:w="6176" w:type="dxa"/>
          </w:tcPr>
          <w:p w14:paraId="33A07F5F" w14:textId="5A2C41E8" w:rsidR="00784468" w:rsidRPr="009574C1" w:rsidRDefault="00784468" w:rsidP="00116A03">
            <w:pPr>
              <w:spacing w:before="120" w:after="120"/>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SECOP – Publicidad – Entidades de régimen especial /SECOP – Publicidad </w:t>
            </w:r>
            <w:r w:rsidRPr="009574C1">
              <w:rPr>
                <w:rFonts w:ascii="Arial" w:eastAsia="Calibri" w:hAnsi="Arial" w:cs="Arial"/>
                <w:color w:val="000000" w:themeColor="text1"/>
                <w:sz w:val="22"/>
              </w:rPr>
              <w:softHyphen/>
              <w:t xml:space="preserve">– Documentos/ EMPRESAS DE SERVICIOS PUBLICOS — Naturaleza jurídica especial /EMPRESAS DE SERVICIOS PUBLICOS — Régimen jurídico de contratación </w:t>
            </w:r>
          </w:p>
          <w:p w14:paraId="5D79715D" w14:textId="5A7919B3" w:rsidR="00F34C6F" w:rsidRPr="009574C1" w:rsidRDefault="00F34C6F" w:rsidP="00116A03">
            <w:pPr>
              <w:spacing w:before="120" w:after="120"/>
              <w:jc w:val="both"/>
              <w:rPr>
                <w:rFonts w:ascii="Arial" w:eastAsia="Calibri" w:hAnsi="Arial" w:cs="Arial"/>
                <w:color w:val="000000" w:themeColor="text1"/>
                <w:sz w:val="22"/>
              </w:rPr>
            </w:pPr>
          </w:p>
        </w:tc>
      </w:tr>
      <w:tr w:rsidR="008410FF" w:rsidRPr="009574C1" w14:paraId="2CC6EA59" w14:textId="77777777" w:rsidTr="008410FF">
        <w:trPr>
          <w:trHeight w:val="499"/>
        </w:trPr>
        <w:tc>
          <w:tcPr>
            <w:tcW w:w="2662" w:type="dxa"/>
          </w:tcPr>
          <w:p w14:paraId="4C034CB3" w14:textId="77777777" w:rsidR="00F34C6F" w:rsidRPr="009574C1" w:rsidRDefault="00F34C6F" w:rsidP="00116A03">
            <w:pPr>
              <w:spacing w:before="120" w:after="120"/>
              <w:jc w:val="both"/>
              <w:rPr>
                <w:rFonts w:ascii="Arial" w:eastAsia="Calibri" w:hAnsi="Arial" w:cs="Arial"/>
                <w:color w:val="000000" w:themeColor="text1"/>
                <w:sz w:val="22"/>
              </w:rPr>
            </w:pPr>
            <w:r w:rsidRPr="009574C1">
              <w:rPr>
                <w:rFonts w:ascii="Arial" w:eastAsia="Calibri" w:hAnsi="Arial" w:cs="Arial"/>
                <w:b/>
                <w:color w:val="000000" w:themeColor="text1"/>
                <w:sz w:val="22"/>
              </w:rPr>
              <w:t>Radicación:</w:t>
            </w:r>
            <w:r w:rsidRPr="009574C1">
              <w:rPr>
                <w:rFonts w:ascii="Arial" w:eastAsia="Calibri" w:hAnsi="Arial" w:cs="Arial"/>
                <w:color w:val="000000" w:themeColor="text1"/>
                <w:sz w:val="22"/>
              </w:rPr>
              <w:t xml:space="preserve">                              </w:t>
            </w:r>
          </w:p>
        </w:tc>
        <w:tc>
          <w:tcPr>
            <w:tcW w:w="6176" w:type="dxa"/>
          </w:tcPr>
          <w:p w14:paraId="35A241E6" w14:textId="77777777" w:rsidR="00F34C6F" w:rsidRPr="009574C1" w:rsidRDefault="00F34C6F" w:rsidP="00116A03">
            <w:pPr>
              <w:spacing w:before="120" w:after="120"/>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Respuesta a la consulta # 4202013000001028 </w:t>
            </w:r>
          </w:p>
        </w:tc>
      </w:tr>
    </w:tbl>
    <w:p w14:paraId="66193158" w14:textId="77777777" w:rsidR="00F34C6F" w:rsidRPr="009574C1" w:rsidRDefault="00F34C6F" w:rsidP="00116A03">
      <w:pPr>
        <w:spacing w:before="120" w:after="120" w:line="276" w:lineRule="auto"/>
        <w:jc w:val="both"/>
        <w:rPr>
          <w:rFonts w:ascii="Arial" w:eastAsia="Calibri" w:hAnsi="Arial" w:cs="Arial"/>
          <w:color w:val="000000" w:themeColor="text1"/>
          <w:sz w:val="22"/>
        </w:rPr>
      </w:pPr>
    </w:p>
    <w:p w14:paraId="50B2774D" w14:textId="77777777" w:rsidR="00F34C6F" w:rsidRPr="009574C1" w:rsidRDefault="00F34C6F" w:rsidP="00E37458">
      <w:pPr>
        <w:tabs>
          <w:tab w:val="left" w:pos="3736"/>
        </w:tabs>
        <w:spacing w:line="276" w:lineRule="auto"/>
        <w:jc w:val="both"/>
        <w:rPr>
          <w:rFonts w:ascii="Arial" w:eastAsia="Calibri" w:hAnsi="Arial" w:cs="Arial"/>
          <w:color w:val="000000" w:themeColor="text1"/>
          <w:sz w:val="22"/>
        </w:rPr>
      </w:pPr>
      <w:r w:rsidRPr="009574C1">
        <w:rPr>
          <w:rFonts w:ascii="Arial" w:eastAsia="Calibri" w:hAnsi="Arial" w:cs="Arial"/>
          <w:color w:val="000000" w:themeColor="text1"/>
          <w:sz w:val="22"/>
        </w:rPr>
        <w:t>Estimada señora Portilla,</w:t>
      </w:r>
      <w:r w:rsidRPr="009574C1">
        <w:rPr>
          <w:rFonts w:ascii="Arial" w:eastAsia="Calibri" w:hAnsi="Arial" w:cs="Arial"/>
          <w:color w:val="000000" w:themeColor="text1"/>
          <w:sz w:val="22"/>
        </w:rPr>
        <w:tab/>
      </w:r>
    </w:p>
    <w:p w14:paraId="6997AB8C" w14:textId="77777777" w:rsidR="00F34C6F" w:rsidRPr="009574C1" w:rsidRDefault="00F34C6F" w:rsidP="00E37458">
      <w:pPr>
        <w:spacing w:line="276" w:lineRule="auto"/>
        <w:jc w:val="both"/>
        <w:rPr>
          <w:rFonts w:ascii="Arial" w:eastAsia="Calibri" w:hAnsi="Arial" w:cs="Arial"/>
          <w:color w:val="000000" w:themeColor="text1"/>
          <w:sz w:val="22"/>
        </w:rPr>
      </w:pPr>
    </w:p>
    <w:p w14:paraId="7A9D0D3F" w14:textId="03DE7274" w:rsidR="00F34C6F" w:rsidRPr="009574C1" w:rsidRDefault="00F34C6F" w:rsidP="00E37458">
      <w:pPr>
        <w:spacing w:line="276" w:lineRule="auto"/>
        <w:jc w:val="both"/>
        <w:rPr>
          <w:rFonts w:ascii="Arial" w:eastAsia="Calibri" w:hAnsi="Arial" w:cs="Arial"/>
          <w:color w:val="000000" w:themeColor="text1"/>
          <w:sz w:val="22"/>
        </w:rPr>
      </w:pPr>
      <w:r w:rsidRPr="009574C1">
        <w:rPr>
          <w:rFonts w:ascii="Arial" w:eastAsia="Calibri" w:hAnsi="Arial" w:cs="Arial"/>
          <w:color w:val="000000" w:themeColor="text1"/>
          <w:sz w:val="22"/>
        </w:rPr>
        <w:t>La Agencia Nacional de Contratación Pública ─</w:t>
      </w:r>
      <w:r w:rsidR="00784468" w:rsidRPr="009574C1">
        <w:rPr>
          <w:rFonts w:ascii="Arial" w:eastAsia="Calibri" w:hAnsi="Arial" w:cs="Arial"/>
          <w:color w:val="000000" w:themeColor="text1"/>
          <w:sz w:val="22"/>
        </w:rPr>
        <w:t xml:space="preserve"> </w:t>
      </w:r>
      <w:r w:rsidRPr="009574C1">
        <w:rPr>
          <w:rFonts w:ascii="Arial" w:eastAsia="Calibri" w:hAnsi="Arial" w:cs="Arial"/>
          <w:color w:val="000000" w:themeColor="text1"/>
          <w:sz w:val="22"/>
        </w:rPr>
        <w:t xml:space="preserve">Colombia Compra Eficiente responde su consulta del 12 de febrero del 2020, en ejercicio de la competencia otorgada por el numeral 8 del artículo 11 y el numeral 5 del artículo 3 del Decreto Ley 4170 de 2011. </w:t>
      </w:r>
    </w:p>
    <w:p w14:paraId="76121F99" w14:textId="7AD0ADCF" w:rsidR="00F34C6F" w:rsidRPr="009574C1" w:rsidRDefault="00F34C6F" w:rsidP="00E37458">
      <w:pPr>
        <w:pStyle w:val="Prrafodelista"/>
        <w:spacing w:line="276" w:lineRule="auto"/>
        <w:ind w:left="0"/>
        <w:jc w:val="both"/>
        <w:rPr>
          <w:rFonts w:ascii="Arial" w:eastAsia="Calibri" w:hAnsi="Arial" w:cs="Arial"/>
          <w:color w:val="000000" w:themeColor="text1"/>
          <w:sz w:val="22"/>
        </w:rPr>
      </w:pPr>
    </w:p>
    <w:p w14:paraId="30531836" w14:textId="16C1C190" w:rsidR="00F34C6F" w:rsidRDefault="00F34C6F" w:rsidP="00E37458">
      <w:pPr>
        <w:pStyle w:val="Prrafodelista"/>
        <w:numPr>
          <w:ilvl w:val="0"/>
          <w:numId w:val="7"/>
        </w:numPr>
        <w:tabs>
          <w:tab w:val="left" w:pos="0"/>
        </w:tabs>
        <w:spacing w:line="276" w:lineRule="auto"/>
        <w:ind w:left="284" w:hanging="284"/>
        <w:jc w:val="both"/>
        <w:rPr>
          <w:rFonts w:ascii="Arial" w:eastAsia="Calibri" w:hAnsi="Arial" w:cs="Arial"/>
          <w:b/>
          <w:color w:val="000000" w:themeColor="text1"/>
          <w:sz w:val="22"/>
        </w:rPr>
      </w:pPr>
      <w:r w:rsidRPr="009574C1">
        <w:rPr>
          <w:rFonts w:ascii="Arial" w:eastAsia="Calibri" w:hAnsi="Arial" w:cs="Arial"/>
          <w:b/>
          <w:color w:val="000000" w:themeColor="text1"/>
          <w:sz w:val="22"/>
        </w:rPr>
        <w:t>Problemas planteados</w:t>
      </w:r>
    </w:p>
    <w:p w14:paraId="222B7187" w14:textId="77777777" w:rsidR="00E37458" w:rsidRPr="009574C1" w:rsidRDefault="00E37458" w:rsidP="00E37458">
      <w:pPr>
        <w:pStyle w:val="Prrafodelista"/>
        <w:tabs>
          <w:tab w:val="left" w:pos="0"/>
        </w:tabs>
        <w:spacing w:line="276" w:lineRule="auto"/>
        <w:ind w:left="284"/>
        <w:jc w:val="both"/>
        <w:rPr>
          <w:rFonts w:ascii="Arial" w:eastAsia="Calibri" w:hAnsi="Arial" w:cs="Arial"/>
          <w:b/>
          <w:color w:val="000000" w:themeColor="text1"/>
          <w:sz w:val="22"/>
        </w:rPr>
      </w:pPr>
    </w:p>
    <w:p w14:paraId="3AEC736D" w14:textId="07D96E50" w:rsidR="00F34C6F" w:rsidRPr="009574C1" w:rsidRDefault="00F34C6F" w:rsidP="00E37458">
      <w:pPr>
        <w:spacing w:line="276" w:lineRule="auto"/>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Usted plantea la siguiente consulta: «Para las empresas de servicios públicos, sean industrial y comercial del Estado o de economía mixta [con porcentaje mayoritario del Estado], para efectos de la contratación ¿se rigen por el derecho privado o por el Estatuto General de contratación? Revisando el portal se puede observar que hay diferentes criterios tomados por las empresas, se puede observar que unas únicamente publican los contratos y su fundamento es lo establecido en el manual de contratación [derecho privado y que la ley 142 de 1994, así lo estipula] y otras hacen lo contenido en la contratación pública Ley 80 de 1993. Entonces si en los manuales de contratación las empresas no se estipula que se realice publicación en el </w:t>
      </w:r>
      <w:proofErr w:type="spellStart"/>
      <w:r w:rsidRPr="009574C1">
        <w:rPr>
          <w:rFonts w:ascii="Arial" w:eastAsia="Calibri" w:hAnsi="Arial" w:cs="Arial"/>
          <w:color w:val="000000" w:themeColor="text1"/>
          <w:sz w:val="22"/>
        </w:rPr>
        <w:t>Secop</w:t>
      </w:r>
      <w:proofErr w:type="spellEnd"/>
      <w:r w:rsidRPr="009574C1">
        <w:rPr>
          <w:rFonts w:ascii="Arial" w:eastAsia="Calibri" w:hAnsi="Arial" w:cs="Arial"/>
          <w:color w:val="000000" w:themeColor="text1"/>
          <w:sz w:val="22"/>
        </w:rPr>
        <w:t xml:space="preserve"> ¿no se realiza?». </w:t>
      </w:r>
    </w:p>
    <w:p w14:paraId="1C14DF10" w14:textId="3B699FF2" w:rsidR="00F34C6F" w:rsidRPr="009574C1" w:rsidRDefault="00F34C6F" w:rsidP="00E37458">
      <w:pPr>
        <w:spacing w:line="276" w:lineRule="auto"/>
        <w:jc w:val="both"/>
        <w:rPr>
          <w:rFonts w:ascii="Arial" w:eastAsia="Calibri" w:hAnsi="Arial" w:cs="Arial"/>
          <w:color w:val="000000" w:themeColor="text1"/>
          <w:sz w:val="22"/>
        </w:rPr>
      </w:pPr>
    </w:p>
    <w:p w14:paraId="67BE20B5" w14:textId="77777777" w:rsidR="00F34C6F" w:rsidRPr="009574C1" w:rsidRDefault="00F34C6F" w:rsidP="00E37458">
      <w:pPr>
        <w:pStyle w:val="Prrafodelista"/>
        <w:numPr>
          <w:ilvl w:val="0"/>
          <w:numId w:val="7"/>
        </w:numPr>
        <w:spacing w:line="276" w:lineRule="auto"/>
        <w:ind w:left="284" w:hanging="284"/>
        <w:jc w:val="both"/>
        <w:rPr>
          <w:rFonts w:ascii="Arial" w:eastAsia="Calibri" w:hAnsi="Arial" w:cs="Arial"/>
          <w:color w:val="000000" w:themeColor="text1"/>
          <w:sz w:val="22"/>
        </w:rPr>
      </w:pPr>
      <w:r w:rsidRPr="009574C1">
        <w:rPr>
          <w:rFonts w:ascii="Arial" w:eastAsia="Calibri" w:hAnsi="Arial" w:cs="Arial"/>
          <w:b/>
          <w:color w:val="000000" w:themeColor="text1"/>
          <w:sz w:val="22"/>
        </w:rPr>
        <w:t>Consideraciones</w:t>
      </w:r>
    </w:p>
    <w:p w14:paraId="0CE85DE3" w14:textId="77777777" w:rsidR="00784468" w:rsidRPr="009574C1" w:rsidRDefault="00784468" w:rsidP="00E37458">
      <w:pPr>
        <w:spacing w:line="276" w:lineRule="auto"/>
        <w:jc w:val="both"/>
        <w:rPr>
          <w:rFonts w:ascii="Arial" w:eastAsia="Calibri" w:hAnsi="Arial" w:cs="Arial"/>
          <w:bCs/>
          <w:color w:val="000000" w:themeColor="text1"/>
          <w:sz w:val="22"/>
        </w:rPr>
      </w:pPr>
    </w:p>
    <w:p w14:paraId="1C6BCC87" w14:textId="2195DA67" w:rsidR="00F34C6F" w:rsidRPr="009574C1" w:rsidRDefault="00F34C6F" w:rsidP="00E37458">
      <w:pPr>
        <w:spacing w:line="276" w:lineRule="auto"/>
        <w:jc w:val="both"/>
        <w:rPr>
          <w:rFonts w:ascii="Arial" w:eastAsia="Calibri" w:hAnsi="Arial" w:cs="Arial"/>
          <w:bCs/>
          <w:color w:val="000000" w:themeColor="text1"/>
          <w:sz w:val="22"/>
        </w:rPr>
      </w:pPr>
      <w:r w:rsidRPr="009574C1">
        <w:rPr>
          <w:rFonts w:ascii="Arial" w:eastAsia="Calibri" w:hAnsi="Arial" w:cs="Arial"/>
          <w:bCs/>
          <w:color w:val="000000" w:themeColor="text1"/>
          <w:sz w:val="22"/>
        </w:rPr>
        <w:t>La Agencia Nacional de Contratación Pública estudió por primera vez este tema en la consulta No. 4201913000005397 del 9 de agosto de 2019</w:t>
      </w:r>
      <w:r w:rsidR="00784468" w:rsidRPr="009574C1">
        <w:rPr>
          <w:rFonts w:ascii="Arial" w:eastAsia="Calibri" w:hAnsi="Arial" w:cs="Arial"/>
          <w:bCs/>
          <w:color w:val="000000" w:themeColor="text1"/>
          <w:sz w:val="22"/>
        </w:rPr>
        <w:t>,</w:t>
      </w:r>
      <w:r w:rsidRPr="009574C1">
        <w:rPr>
          <w:rFonts w:ascii="Arial" w:eastAsia="Calibri" w:hAnsi="Arial" w:cs="Arial"/>
          <w:bCs/>
          <w:color w:val="000000" w:themeColor="text1"/>
          <w:sz w:val="22"/>
        </w:rPr>
        <w:t xml:space="preserve"> y reiteró la posición en las siguientes consultas: 4201912000006611 del 25 de septiembre de 2019, </w:t>
      </w:r>
      <w:r w:rsidRPr="009574C1">
        <w:rPr>
          <w:rFonts w:ascii="Arial" w:hAnsi="Arial" w:cs="Arial"/>
          <w:color w:val="000000" w:themeColor="text1"/>
          <w:sz w:val="22"/>
        </w:rPr>
        <w:t xml:space="preserve">4201913000006847 del 4 de octubre de 2019, </w:t>
      </w:r>
      <w:r w:rsidRPr="009574C1">
        <w:rPr>
          <w:rFonts w:ascii="Arial" w:eastAsia="Calibri" w:hAnsi="Arial" w:cs="Arial"/>
          <w:bCs/>
          <w:color w:val="000000" w:themeColor="text1"/>
          <w:sz w:val="22"/>
        </w:rPr>
        <w:t>4201912000007762 del 18 de noviembre de 2019, y finalmente en la consulta 4201912000007828 del 13 de noviembre de 2019</w:t>
      </w:r>
      <w:r w:rsidRPr="009574C1">
        <w:rPr>
          <w:rFonts w:ascii="Arial" w:hAnsi="Arial" w:cs="Arial"/>
          <w:color w:val="000000" w:themeColor="text1"/>
          <w:sz w:val="22"/>
        </w:rPr>
        <w:t xml:space="preserve">. </w:t>
      </w:r>
      <w:r w:rsidRPr="009574C1">
        <w:rPr>
          <w:rFonts w:ascii="Arial" w:eastAsia="Calibri" w:hAnsi="Arial" w:cs="Arial"/>
          <w:bCs/>
          <w:color w:val="000000" w:themeColor="text1"/>
          <w:sz w:val="22"/>
        </w:rPr>
        <w:t xml:space="preserve">Todos los criterios en torno al tema planteado fueron recogidos y unificados en el concepto 4201912000008073 y 420201200000029, bajo el número interno CU-003 de 2020. La tesis acogida en estas consultas es la que a continuación se expone. </w:t>
      </w:r>
    </w:p>
    <w:p w14:paraId="7FC8E88D" w14:textId="77777777" w:rsidR="00784468" w:rsidRPr="009574C1" w:rsidRDefault="00784468" w:rsidP="00E37458">
      <w:pPr>
        <w:tabs>
          <w:tab w:val="left" w:pos="426"/>
        </w:tabs>
        <w:spacing w:line="276" w:lineRule="auto"/>
        <w:jc w:val="both"/>
        <w:rPr>
          <w:rFonts w:ascii="Arial" w:eastAsia="Calibri" w:hAnsi="Arial" w:cs="Arial"/>
          <w:b/>
          <w:color w:val="000000" w:themeColor="text1"/>
          <w:sz w:val="22"/>
        </w:rPr>
      </w:pPr>
    </w:p>
    <w:p w14:paraId="753CCFE1" w14:textId="49669758" w:rsidR="00F34C6F" w:rsidRPr="009574C1" w:rsidRDefault="00F34C6F" w:rsidP="00E37458">
      <w:pPr>
        <w:tabs>
          <w:tab w:val="left" w:pos="426"/>
        </w:tabs>
        <w:spacing w:line="276" w:lineRule="auto"/>
        <w:jc w:val="both"/>
        <w:rPr>
          <w:rFonts w:ascii="Arial" w:eastAsia="Calibri" w:hAnsi="Arial" w:cs="Arial"/>
          <w:b/>
          <w:color w:val="000000" w:themeColor="text1"/>
          <w:sz w:val="22"/>
        </w:rPr>
      </w:pPr>
      <w:r w:rsidRPr="009574C1">
        <w:rPr>
          <w:rFonts w:ascii="Arial" w:eastAsia="Calibri" w:hAnsi="Arial" w:cs="Arial"/>
          <w:b/>
          <w:color w:val="000000" w:themeColor="text1"/>
          <w:sz w:val="22"/>
        </w:rPr>
        <w:t>2.1. Publicidad de los contratos en el Sistema Electrónico de Contratación Pública –SECOP–</w:t>
      </w:r>
    </w:p>
    <w:p w14:paraId="46AEB4EF" w14:textId="77777777" w:rsidR="00784468" w:rsidRPr="009574C1" w:rsidRDefault="00784468" w:rsidP="00E37458">
      <w:pPr>
        <w:spacing w:line="276" w:lineRule="auto"/>
        <w:jc w:val="both"/>
        <w:rPr>
          <w:rFonts w:ascii="Arial" w:eastAsia="Calibri" w:hAnsi="Arial" w:cs="Arial"/>
          <w:color w:val="000000" w:themeColor="text1"/>
          <w:sz w:val="22"/>
        </w:rPr>
      </w:pPr>
    </w:p>
    <w:p w14:paraId="4C9FF467" w14:textId="598E6467" w:rsidR="00F34C6F" w:rsidRPr="009574C1" w:rsidRDefault="00F34C6F" w:rsidP="00E37458">
      <w:pPr>
        <w:spacing w:line="276" w:lineRule="auto"/>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14AEA376" w14:textId="77777777" w:rsidR="00116A03" w:rsidRPr="009574C1" w:rsidRDefault="00116A03" w:rsidP="00E37458">
      <w:pPr>
        <w:tabs>
          <w:tab w:val="left" w:pos="3885"/>
        </w:tabs>
        <w:ind w:left="709" w:right="709"/>
        <w:jc w:val="both"/>
        <w:rPr>
          <w:rFonts w:ascii="Arial" w:hAnsi="Arial" w:cs="Arial"/>
          <w:color w:val="000000" w:themeColor="text1"/>
          <w:sz w:val="21"/>
          <w:szCs w:val="21"/>
          <w:lang w:val="es-ES"/>
        </w:rPr>
      </w:pPr>
    </w:p>
    <w:p w14:paraId="727AFF54" w14:textId="5D39FD13" w:rsidR="00F34C6F" w:rsidRPr="009574C1" w:rsidRDefault="00F34C6F" w:rsidP="00E37458">
      <w:pPr>
        <w:tabs>
          <w:tab w:val="left" w:pos="3885"/>
        </w:tabs>
        <w:ind w:left="709" w:right="709"/>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3A233CC" w14:textId="77777777" w:rsidR="00F34C6F" w:rsidRPr="009574C1" w:rsidRDefault="00F34C6F" w:rsidP="00E37458">
      <w:pPr>
        <w:tabs>
          <w:tab w:val="left" w:pos="3885"/>
        </w:tabs>
        <w:ind w:left="709" w:right="709"/>
        <w:jc w:val="both"/>
        <w:rPr>
          <w:rFonts w:ascii="Arial" w:hAnsi="Arial" w:cs="Arial"/>
          <w:color w:val="000000" w:themeColor="text1"/>
          <w:sz w:val="21"/>
          <w:szCs w:val="21"/>
          <w:lang w:val="es-ES"/>
        </w:rPr>
      </w:pPr>
    </w:p>
    <w:p w14:paraId="30AA03BC" w14:textId="77777777" w:rsidR="00F34C6F" w:rsidRPr="009574C1" w:rsidRDefault="00F34C6F" w:rsidP="00E37458">
      <w:pPr>
        <w:tabs>
          <w:tab w:val="left" w:pos="3885"/>
          <w:tab w:val="left" w:pos="8222"/>
        </w:tabs>
        <w:ind w:left="709" w:right="709"/>
        <w:jc w:val="both"/>
        <w:rPr>
          <w:rFonts w:ascii="Arial" w:hAnsi="Arial" w:cs="Arial"/>
          <w:color w:val="000000" w:themeColor="text1"/>
          <w:sz w:val="22"/>
          <w:lang w:val="es-ES"/>
        </w:rPr>
      </w:pPr>
      <w:r w:rsidRPr="009574C1">
        <w:rPr>
          <w:rFonts w:ascii="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574C1">
        <w:rPr>
          <w:rFonts w:ascii="Arial" w:hAnsi="Arial" w:cs="Arial"/>
          <w:color w:val="000000" w:themeColor="text1"/>
          <w:sz w:val="21"/>
          <w:szCs w:val="21"/>
          <w:lang w:val="es-ES"/>
        </w:rPr>
        <w:t>autoridades públicas</w:t>
      </w:r>
      <w:proofErr w:type="gramEnd"/>
      <w:r w:rsidRPr="009574C1">
        <w:rPr>
          <w:rFonts w:ascii="Arial" w:hAnsi="Arial" w:cs="Arial"/>
          <w:color w:val="000000" w:themeColor="text1"/>
          <w:sz w:val="21"/>
          <w:szCs w:val="21"/>
          <w:lang w:val="es-ES"/>
        </w:rPr>
        <w:t xml:space="preserve"> y, a través de ese conocimiento, a exigir que ellas se surtan conforme a la ley</w:t>
      </w:r>
      <w:r w:rsidRPr="009574C1">
        <w:rPr>
          <w:rStyle w:val="Refdenotaalpie"/>
          <w:rFonts w:ascii="Arial" w:eastAsia="Calibri" w:hAnsi="Arial" w:cs="Arial"/>
          <w:color w:val="000000" w:themeColor="text1"/>
          <w:sz w:val="21"/>
          <w:szCs w:val="21"/>
        </w:rPr>
        <w:footnoteReference w:id="1"/>
      </w:r>
      <w:r w:rsidRPr="009574C1">
        <w:rPr>
          <w:rFonts w:ascii="Arial" w:eastAsia="Calibri" w:hAnsi="Arial" w:cs="Arial"/>
          <w:color w:val="000000" w:themeColor="text1"/>
          <w:sz w:val="21"/>
          <w:szCs w:val="21"/>
        </w:rPr>
        <w:t>.</w:t>
      </w:r>
    </w:p>
    <w:p w14:paraId="42FEB5CB" w14:textId="77777777" w:rsidR="00116A03" w:rsidRPr="009574C1" w:rsidRDefault="00116A03" w:rsidP="00E37458">
      <w:pPr>
        <w:spacing w:line="276" w:lineRule="auto"/>
        <w:ind w:firstLine="709"/>
        <w:jc w:val="both"/>
        <w:rPr>
          <w:rFonts w:ascii="Arial" w:eastAsia="Calibri" w:hAnsi="Arial" w:cs="Arial"/>
          <w:color w:val="000000" w:themeColor="text1"/>
          <w:sz w:val="22"/>
        </w:rPr>
      </w:pPr>
    </w:p>
    <w:p w14:paraId="038E3C0D" w14:textId="0AC1AC61" w:rsidR="00F34C6F" w:rsidRPr="009574C1" w:rsidRDefault="00F34C6F" w:rsidP="00E37458">
      <w:pPr>
        <w:spacing w:line="276" w:lineRule="auto"/>
        <w:ind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02A269A9" w14:textId="77777777" w:rsidR="00F34C6F" w:rsidRPr="009574C1" w:rsidRDefault="00F34C6F" w:rsidP="00116A03">
      <w:pPr>
        <w:spacing w:before="120" w:after="120" w:line="276" w:lineRule="auto"/>
        <w:ind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9574C1">
        <w:rPr>
          <w:rStyle w:val="Refdenotaalpie"/>
          <w:rFonts w:ascii="Arial" w:eastAsia="Calibri" w:hAnsi="Arial" w:cs="Arial"/>
          <w:color w:val="000000" w:themeColor="text1"/>
          <w:sz w:val="22"/>
        </w:rPr>
        <w:footnoteReference w:id="2"/>
      </w:r>
      <w:r w:rsidRPr="009574C1">
        <w:rPr>
          <w:rFonts w:ascii="Arial" w:eastAsia="Calibri" w:hAnsi="Arial" w:cs="Arial"/>
          <w:color w:val="000000" w:themeColor="text1"/>
          <w:sz w:val="22"/>
        </w:rPr>
        <w:t xml:space="preserve">. </w:t>
      </w:r>
    </w:p>
    <w:p w14:paraId="2BBC2EF2" w14:textId="77777777" w:rsidR="00F34C6F" w:rsidRPr="009574C1" w:rsidRDefault="00F34C6F" w:rsidP="00116A03">
      <w:pPr>
        <w:spacing w:before="120" w:after="120" w:line="276" w:lineRule="auto"/>
        <w:ind w:firstLine="709"/>
        <w:jc w:val="both"/>
        <w:rPr>
          <w:rFonts w:ascii="Arial" w:eastAsia="Calibri" w:hAnsi="Arial" w:cs="Arial"/>
          <w:color w:val="000000" w:themeColor="text1"/>
          <w:sz w:val="22"/>
        </w:rPr>
      </w:pPr>
      <w:r w:rsidRPr="009574C1">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574C1">
        <w:rPr>
          <w:rStyle w:val="Refdenotaalpie"/>
          <w:rFonts w:ascii="Arial" w:hAnsi="Arial" w:cs="Arial"/>
          <w:color w:val="000000" w:themeColor="text1"/>
          <w:sz w:val="22"/>
        </w:rPr>
        <w:footnoteReference w:id="3"/>
      </w:r>
      <w:r w:rsidRPr="009574C1">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D61B662" w14:textId="77777777" w:rsidR="00F34C6F" w:rsidRPr="009574C1" w:rsidRDefault="00F34C6F" w:rsidP="00116A03">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9574C1">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9574C1">
        <w:rPr>
          <w:rStyle w:val="Refdenotaalpie"/>
          <w:rFonts w:ascii="Arial" w:eastAsiaTheme="minorHAnsi" w:hAnsi="Arial" w:cs="Arial"/>
          <w:color w:val="000000" w:themeColor="text1"/>
          <w:sz w:val="22"/>
          <w:szCs w:val="22"/>
          <w:lang w:val="es-MX" w:eastAsia="en-US"/>
        </w:rPr>
        <w:footnoteReference w:id="4"/>
      </w:r>
      <w:r w:rsidRPr="009574C1">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9574C1">
        <w:rPr>
          <w:rStyle w:val="Refdenotaalpie"/>
          <w:rFonts w:ascii="Arial" w:eastAsiaTheme="minorHAnsi" w:hAnsi="Arial" w:cs="Arial"/>
          <w:color w:val="000000" w:themeColor="text1"/>
          <w:sz w:val="22"/>
          <w:szCs w:val="22"/>
          <w:lang w:val="es-MX" w:eastAsia="en-US"/>
        </w:rPr>
        <w:footnoteReference w:id="5"/>
      </w:r>
      <w:r w:rsidRPr="009574C1">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9574C1">
        <w:rPr>
          <w:rFonts w:ascii="Arial" w:eastAsiaTheme="minorHAnsi" w:hAnsi="Arial" w:cs="Arial"/>
          <w:color w:val="000000" w:themeColor="text1"/>
          <w:sz w:val="22"/>
          <w:szCs w:val="22"/>
          <w:lang w:val="es-MX" w:eastAsia="en-US"/>
        </w:rPr>
        <w:softHyphen/>
        <w:t xml:space="preserve"> </w:t>
      </w:r>
      <w:r w:rsidRPr="009574C1">
        <w:rPr>
          <w:rFonts w:ascii="Arial" w:eastAsiaTheme="minorHAnsi" w:hAnsi="Arial" w:cs="Arial"/>
          <w:color w:val="000000" w:themeColor="text1"/>
          <w:sz w:val="22"/>
          <w:szCs w:val="22"/>
          <w:lang w:val="es-MX" w:eastAsia="en-US"/>
        </w:rPr>
        <w:softHyphen/>
        <w:t>SECOP.</w:t>
      </w:r>
    </w:p>
    <w:p w14:paraId="589EAE7C" w14:textId="77777777" w:rsidR="00F34C6F" w:rsidRPr="009574C1" w:rsidRDefault="00F34C6F" w:rsidP="00116A03">
      <w:pPr>
        <w:spacing w:before="120" w:after="120" w:line="276" w:lineRule="auto"/>
        <w:ind w:firstLine="709"/>
        <w:jc w:val="both"/>
        <w:rPr>
          <w:rFonts w:ascii="Arial" w:hAnsi="Arial" w:cs="Arial"/>
          <w:color w:val="000000" w:themeColor="text1"/>
          <w:sz w:val="22"/>
          <w:lang w:val="es-ES"/>
        </w:rPr>
      </w:pPr>
      <w:r w:rsidRPr="009574C1">
        <w:rPr>
          <w:rFonts w:ascii="Arial" w:hAnsi="Arial" w:cs="Arial"/>
          <w:color w:val="000000" w:themeColor="text1"/>
          <w:sz w:val="22"/>
        </w:rPr>
        <w:t xml:space="preserve">Asimismo, de </w:t>
      </w:r>
      <w:r w:rsidRPr="009574C1">
        <w:rPr>
          <w:rFonts w:ascii="Arial" w:hAnsi="Arial" w:cs="Arial"/>
          <w:color w:val="000000" w:themeColor="text1"/>
          <w:sz w:val="22"/>
          <w:lang w:val="es-ES"/>
        </w:rPr>
        <w:t xml:space="preserve">acuerdo con el literal g) del artículo 11 de la misma Ley, todos los destinatarios de la ley de transparencia deben garantizar la publicidad de «sus </w:t>
      </w:r>
      <w:r w:rsidRPr="009574C1">
        <w:rPr>
          <w:rFonts w:ascii="Arial" w:hAnsi="Arial" w:cs="Arial"/>
          <w:color w:val="000000" w:themeColor="text1"/>
          <w:sz w:val="22"/>
          <w:lang w:val="es-ES"/>
        </w:rPr>
        <w:lastRenderedPageBreak/>
        <w:t xml:space="preserve">procedimientos, lineamientos, políticas en materia de adquisiciones y compras, así como todos los datos de adjudicación y ejecución de contratos, incluidos concursos y licitaciones», y esta información también debe estar en el SECOP. </w:t>
      </w:r>
    </w:p>
    <w:p w14:paraId="5A989FA4" w14:textId="77777777" w:rsidR="00F34C6F" w:rsidRPr="009574C1" w:rsidRDefault="00F34C6F" w:rsidP="00116A03">
      <w:pPr>
        <w:spacing w:before="120" w:after="120" w:line="276" w:lineRule="auto"/>
        <w:ind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574C1">
        <w:rPr>
          <w:rStyle w:val="Refdenotaalpie"/>
          <w:rFonts w:ascii="Arial" w:eastAsia="Calibri" w:hAnsi="Arial" w:cs="Arial"/>
          <w:color w:val="000000" w:themeColor="text1"/>
          <w:sz w:val="22"/>
        </w:rPr>
        <w:footnoteReference w:id="6"/>
      </w:r>
      <w:r w:rsidRPr="009574C1">
        <w:rPr>
          <w:rFonts w:ascii="Arial" w:eastAsia="Calibri" w:hAnsi="Arial" w:cs="Arial"/>
          <w:color w:val="000000" w:themeColor="text1"/>
          <w:sz w:val="22"/>
        </w:rPr>
        <w:t>.</w:t>
      </w:r>
    </w:p>
    <w:p w14:paraId="2C313331" w14:textId="77777777" w:rsidR="00F34C6F" w:rsidRPr="009574C1" w:rsidRDefault="00F34C6F" w:rsidP="00116A03">
      <w:pPr>
        <w:spacing w:before="120" w:after="120" w:line="276" w:lineRule="auto"/>
        <w:ind w:firstLine="709"/>
        <w:jc w:val="both"/>
        <w:rPr>
          <w:rFonts w:ascii="Arial" w:hAnsi="Arial" w:cs="Arial"/>
          <w:color w:val="000000" w:themeColor="text1"/>
          <w:sz w:val="22"/>
          <w:lang w:val="es-ES"/>
        </w:rPr>
      </w:pPr>
      <w:r w:rsidRPr="009574C1">
        <w:rPr>
          <w:rFonts w:ascii="Arial" w:hAnsi="Arial" w:cs="Arial"/>
          <w:color w:val="000000" w:themeColor="text1"/>
          <w:sz w:val="22"/>
          <w:lang w:val="es-ES"/>
        </w:rPr>
        <w:t>Para el año 2013, la Agencia Nacional de Contratación Pública ─ Colombia Compra Eficiente, mediante la Circular Externa No 1 del</w:t>
      </w:r>
      <w:r w:rsidRPr="009574C1">
        <w:rPr>
          <w:color w:val="000000" w:themeColor="text1"/>
          <w:sz w:val="22"/>
        </w:rPr>
        <w:t xml:space="preserve"> </w:t>
      </w:r>
      <w:r w:rsidRPr="009574C1">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9574C1">
        <w:rPr>
          <w:rStyle w:val="Refdenotaalpie"/>
          <w:rFonts w:ascii="Arial" w:hAnsi="Arial" w:cs="Arial"/>
          <w:color w:val="000000" w:themeColor="text1"/>
          <w:sz w:val="22"/>
          <w:lang w:val="es-ES"/>
        </w:rPr>
        <w:footnoteReference w:id="7"/>
      </w:r>
      <w:r w:rsidRPr="009574C1">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7685A5C1" w14:textId="77777777" w:rsidR="00F34C6F" w:rsidRPr="009574C1" w:rsidRDefault="00F34C6F" w:rsidP="00E37458">
      <w:pPr>
        <w:spacing w:line="276" w:lineRule="auto"/>
        <w:ind w:firstLine="709"/>
        <w:jc w:val="both"/>
        <w:rPr>
          <w:rFonts w:ascii="Arial" w:hAnsi="Arial" w:cs="Arial"/>
          <w:color w:val="000000" w:themeColor="text1"/>
          <w:sz w:val="22"/>
          <w:lang w:val="es-ES"/>
        </w:rPr>
      </w:pPr>
      <w:r w:rsidRPr="009574C1">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expresó que la obligación prevista en la Circular Externa No. 1 se ajusta a la normativa superior:</w:t>
      </w:r>
    </w:p>
    <w:p w14:paraId="0034DDD8" w14:textId="77777777" w:rsidR="00F34C6F" w:rsidRPr="009574C1" w:rsidRDefault="00F34C6F" w:rsidP="00E37458">
      <w:pPr>
        <w:spacing w:line="276" w:lineRule="auto"/>
        <w:jc w:val="both"/>
        <w:rPr>
          <w:rFonts w:ascii="Arial" w:hAnsi="Arial" w:cs="Arial"/>
          <w:color w:val="000000" w:themeColor="text1"/>
          <w:sz w:val="22"/>
          <w:lang w:val="es-ES"/>
        </w:rPr>
      </w:pPr>
    </w:p>
    <w:p w14:paraId="072F5D59" w14:textId="77777777" w:rsidR="00F34C6F" w:rsidRPr="009574C1" w:rsidRDefault="00F34C6F" w:rsidP="00E37458">
      <w:pPr>
        <w:tabs>
          <w:tab w:val="left" w:pos="3885"/>
        </w:tabs>
        <w:ind w:left="709" w:right="709"/>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F1CC373" w14:textId="77777777" w:rsidR="00F34C6F" w:rsidRPr="009574C1" w:rsidRDefault="00F34C6F" w:rsidP="00E37458">
      <w:pPr>
        <w:tabs>
          <w:tab w:val="left" w:pos="3885"/>
        </w:tabs>
        <w:ind w:left="709" w:right="709"/>
        <w:jc w:val="both"/>
        <w:rPr>
          <w:rFonts w:ascii="Arial" w:hAnsi="Arial" w:cs="Arial"/>
          <w:color w:val="000000" w:themeColor="text1"/>
          <w:sz w:val="21"/>
          <w:szCs w:val="21"/>
          <w:lang w:val="es-ES"/>
        </w:rPr>
      </w:pPr>
    </w:p>
    <w:p w14:paraId="4D82E9C2" w14:textId="77777777" w:rsidR="00F34C6F" w:rsidRPr="009574C1" w:rsidRDefault="00F34C6F" w:rsidP="00E37458">
      <w:pPr>
        <w:tabs>
          <w:tab w:val="left" w:pos="3885"/>
        </w:tabs>
        <w:ind w:left="709" w:right="709"/>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9574C1">
        <w:rPr>
          <w:rFonts w:ascii="Arial" w:hAnsi="Arial" w:cs="Arial"/>
          <w:color w:val="000000" w:themeColor="text1"/>
          <w:sz w:val="21"/>
          <w:szCs w:val="21"/>
          <w:lang w:val="es-ES"/>
        </w:rPr>
        <w:t>en razón de</w:t>
      </w:r>
      <w:proofErr w:type="gramEnd"/>
      <w:r w:rsidRPr="009574C1">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w:t>
      </w:r>
      <w:r w:rsidRPr="009574C1">
        <w:rPr>
          <w:rFonts w:ascii="Arial" w:hAnsi="Arial" w:cs="Arial"/>
          <w:color w:val="000000" w:themeColor="text1"/>
          <w:sz w:val="21"/>
          <w:szCs w:val="21"/>
          <w:lang w:val="es-ES"/>
        </w:rPr>
        <w:lastRenderedPageBreak/>
        <w:t>otras fuentes. ¿Dónde se debe surtir ese deber de información? Por conducto del sistema electrónico SECOP.</w:t>
      </w:r>
    </w:p>
    <w:p w14:paraId="324EA3F9" w14:textId="77777777" w:rsidR="00F34C6F" w:rsidRPr="009574C1" w:rsidRDefault="00F34C6F" w:rsidP="00E37458">
      <w:pPr>
        <w:tabs>
          <w:tab w:val="left" w:pos="3885"/>
        </w:tabs>
        <w:ind w:left="709" w:right="709"/>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w:t>
      </w:r>
    </w:p>
    <w:p w14:paraId="19B97140" w14:textId="77777777" w:rsidR="00F34C6F" w:rsidRPr="009574C1" w:rsidRDefault="00F34C6F" w:rsidP="00E37458">
      <w:pPr>
        <w:tabs>
          <w:tab w:val="left" w:pos="3885"/>
        </w:tabs>
        <w:ind w:left="709" w:right="709"/>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9574C1">
        <w:rPr>
          <w:rStyle w:val="Refdenotaalpie"/>
          <w:rFonts w:ascii="Arial" w:hAnsi="Arial" w:cs="Arial"/>
          <w:color w:val="000000" w:themeColor="text1"/>
          <w:sz w:val="21"/>
          <w:szCs w:val="21"/>
        </w:rPr>
        <w:footnoteReference w:id="8"/>
      </w:r>
      <w:r w:rsidRPr="009574C1">
        <w:rPr>
          <w:rStyle w:val="Refdenotaalpie"/>
          <w:rFonts w:ascii="Arial" w:hAnsi="Arial" w:cs="Arial"/>
          <w:color w:val="000000" w:themeColor="text1"/>
          <w:sz w:val="21"/>
          <w:szCs w:val="21"/>
        </w:rPr>
        <w:t>.</w:t>
      </w:r>
    </w:p>
    <w:p w14:paraId="7A3A5CAB" w14:textId="77777777" w:rsidR="00F34C6F" w:rsidRPr="009574C1" w:rsidRDefault="00F34C6F" w:rsidP="00E37458">
      <w:pPr>
        <w:tabs>
          <w:tab w:val="left" w:pos="3885"/>
        </w:tabs>
        <w:spacing w:line="276" w:lineRule="auto"/>
        <w:ind w:left="709" w:right="709"/>
        <w:jc w:val="both"/>
        <w:rPr>
          <w:rFonts w:ascii="Arial" w:eastAsia="Calibri" w:hAnsi="Arial" w:cs="Arial"/>
          <w:color w:val="000000" w:themeColor="text1"/>
          <w:sz w:val="22"/>
        </w:rPr>
      </w:pPr>
    </w:p>
    <w:p w14:paraId="2C0203B5" w14:textId="77777777" w:rsidR="00F34C6F" w:rsidRPr="009574C1" w:rsidRDefault="00F34C6F" w:rsidP="00E37458">
      <w:pPr>
        <w:spacing w:line="276" w:lineRule="auto"/>
        <w:ind w:firstLine="708"/>
        <w:jc w:val="both"/>
        <w:rPr>
          <w:rFonts w:ascii="Arial" w:hAnsi="Arial" w:cs="Arial"/>
          <w:color w:val="000000" w:themeColor="text1"/>
          <w:sz w:val="22"/>
          <w:lang w:val="es-ES"/>
        </w:rPr>
      </w:pPr>
      <w:r w:rsidRPr="009574C1">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2DD4EF9E" w14:textId="77777777" w:rsidR="00F34C6F" w:rsidRPr="009574C1" w:rsidRDefault="00F34C6F" w:rsidP="00E37458">
      <w:pPr>
        <w:ind w:leftChars="295" w:left="708" w:right="709"/>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5CF949E7" w14:textId="77777777" w:rsidR="00F34C6F" w:rsidRPr="009574C1" w:rsidRDefault="00F34C6F" w:rsidP="00E37458">
      <w:pPr>
        <w:spacing w:line="276" w:lineRule="auto"/>
        <w:ind w:leftChars="709" w:left="1702" w:right="709"/>
        <w:jc w:val="both"/>
        <w:rPr>
          <w:rFonts w:ascii="Arial" w:hAnsi="Arial" w:cs="Arial"/>
          <w:color w:val="000000" w:themeColor="text1"/>
          <w:sz w:val="21"/>
          <w:szCs w:val="21"/>
          <w:lang w:val="es-ES"/>
        </w:rPr>
      </w:pPr>
    </w:p>
    <w:p w14:paraId="62950406" w14:textId="77777777" w:rsidR="00F34C6F" w:rsidRPr="009574C1" w:rsidRDefault="00F34C6F" w:rsidP="00E37458">
      <w:pPr>
        <w:spacing w:line="276" w:lineRule="auto"/>
        <w:ind w:firstLine="709"/>
        <w:jc w:val="both"/>
        <w:rPr>
          <w:rFonts w:ascii="Arial" w:hAnsi="Arial" w:cs="Arial"/>
          <w:color w:val="000000" w:themeColor="text1"/>
          <w:sz w:val="22"/>
          <w:lang w:val="es-ES"/>
        </w:rPr>
      </w:pPr>
      <w:r w:rsidRPr="009574C1">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9C8439C" w14:textId="77777777" w:rsidR="00F34C6F" w:rsidRPr="009574C1" w:rsidRDefault="00F34C6F" w:rsidP="00E37458">
      <w:pPr>
        <w:spacing w:line="276" w:lineRule="auto"/>
        <w:ind w:firstLine="709"/>
        <w:jc w:val="both"/>
        <w:rPr>
          <w:rFonts w:ascii="Arial" w:hAnsi="Arial" w:cs="Arial"/>
          <w:color w:val="000000" w:themeColor="text1"/>
          <w:sz w:val="22"/>
          <w:lang w:val="es-ES"/>
        </w:rPr>
      </w:pPr>
      <w:r w:rsidRPr="009574C1">
        <w:rPr>
          <w:rFonts w:ascii="Arial" w:hAnsi="Arial" w:cs="Arial"/>
          <w:color w:val="000000" w:themeColor="text1"/>
          <w:sz w:val="22"/>
          <w:lang w:val="es-ES"/>
        </w:rPr>
        <w:t xml:space="preserve">Dentro de las razones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62D65A96" w14:textId="77777777" w:rsidR="00F34C6F" w:rsidRPr="009574C1" w:rsidRDefault="00F34C6F" w:rsidP="00E37458">
      <w:pPr>
        <w:spacing w:line="276" w:lineRule="auto"/>
        <w:ind w:firstLine="708"/>
        <w:jc w:val="both"/>
        <w:rPr>
          <w:rFonts w:ascii="Arial" w:hAnsi="Arial" w:cs="Arial"/>
          <w:color w:val="000000" w:themeColor="text1"/>
          <w:sz w:val="22"/>
          <w:lang w:val="es-ES"/>
        </w:rPr>
      </w:pPr>
    </w:p>
    <w:p w14:paraId="545E1F0E" w14:textId="77777777" w:rsidR="00F34C6F" w:rsidRPr="009574C1" w:rsidRDefault="00F34C6F" w:rsidP="00E37458">
      <w:pPr>
        <w:pStyle w:val="Prrafodelista"/>
        <w:numPr>
          <w:ilvl w:val="1"/>
          <w:numId w:val="8"/>
        </w:numPr>
        <w:tabs>
          <w:tab w:val="left" w:pos="284"/>
          <w:tab w:val="left" w:pos="426"/>
        </w:tabs>
        <w:spacing w:line="276" w:lineRule="auto"/>
        <w:ind w:left="0" w:firstLine="0"/>
        <w:jc w:val="both"/>
        <w:rPr>
          <w:rFonts w:ascii="Arial" w:hAnsi="Arial" w:cs="Arial"/>
          <w:b/>
          <w:color w:val="000000" w:themeColor="text1"/>
          <w:sz w:val="22"/>
          <w:lang w:val="es-ES"/>
        </w:rPr>
      </w:pPr>
      <w:r w:rsidRPr="009574C1">
        <w:rPr>
          <w:rFonts w:ascii="Arial" w:hAnsi="Arial" w:cs="Arial"/>
          <w:b/>
          <w:color w:val="000000" w:themeColor="text1"/>
          <w:sz w:val="22"/>
          <w:lang w:val="es-ES"/>
        </w:rPr>
        <w:t xml:space="preserve">Precedentes de Colombia Compra Eficiente sobre los documentos que publican en el SECOP las entidades de régimen especial </w:t>
      </w:r>
    </w:p>
    <w:p w14:paraId="39DA51E0" w14:textId="77777777" w:rsidR="00F34C6F" w:rsidRPr="009574C1" w:rsidRDefault="00F34C6F" w:rsidP="00E37458">
      <w:pPr>
        <w:pStyle w:val="Prrafodelista"/>
        <w:spacing w:line="276" w:lineRule="auto"/>
        <w:ind w:left="0"/>
        <w:jc w:val="both"/>
        <w:rPr>
          <w:rFonts w:ascii="Arial" w:hAnsi="Arial" w:cs="Arial"/>
          <w:b/>
          <w:color w:val="000000" w:themeColor="text1"/>
          <w:sz w:val="22"/>
          <w:lang w:val="es-ES"/>
        </w:rPr>
      </w:pPr>
    </w:p>
    <w:p w14:paraId="0783C689" w14:textId="77777777" w:rsidR="00F34C6F" w:rsidRPr="009574C1" w:rsidRDefault="00F34C6F" w:rsidP="00E37458">
      <w:pPr>
        <w:pStyle w:val="Prrafodelista"/>
        <w:spacing w:line="276" w:lineRule="auto"/>
        <w:ind w:left="0"/>
        <w:contextualSpacing w:val="0"/>
        <w:jc w:val="both"/>
        <w:rPr>
          <w:rFonts w:ascii="Arial" w:eastAsia="Calibri" w:hAnsi="Arial" w:cs="Arial"/>
          <w:color w:val="000000" w:themeColor="text1"/>
          <w:sz w:val="22"/>
          <w:lang w:val="es-ES"/>
        </w:rPr>
      </w:pPr>
      <w:r w:rsidRPr="009574C1">
        <w:rPr>
          <w:rFonts w:ascii="Arial" w:eastAsia="Calibri" w:hAnsi="Arial" w:cs="Arial"/>
          <w:color w:val="000000" w:themeColor="text1"/>
          <w:sz w:val="22"/>
          <w:lang w:val="es-ES"/>
        </w:rPr>
        <w:lastRenderedPageBreak/>
        <w:t xml:space="preserve">Determinada la obligación que tienen las entidades sujetas a un régimen especial de publicar su actividad contractual en el SECOP, a </w:t>
      </w:r>
      <w:proofErr w:type="gramStart"/>
      <w:r w:rsidRPr="009574C1">
        <w:rPr>
          <w:rFonts w:ascii="Arial" w:eastAsia="Calibri" w:hAnsi="Arial" w:cs="Arial"/>
          <w:color w:val="000000" w:themeColor="text1"/>
          <w:sz w:val="22"/>
          <w:lang w:val="es-ES"/>
        </w:rPr>
        <w:t>continuación</w:t>
      </w:r>
      <w:proofErr w:type="gramEnd"/>
      <w:r w:rsidRPr="009574C1">
        <w:rPr>
          <w:rFonts w:ascii="Arial" w:eastAsia="Calibri" w:hAnsi="Arial" w:cs="Arial"/>
          <w:color w:val="000000" w:themeColor="text1"/>
          <w:sz w:val="22"/>
          <w:lang w:val="es-ES"/>
        </w:rPr>
        <w:t xml:space="preserve"> se identificarán los documentos que deben publicar, n</w:t>
      </w:r>
      <w:r w:rsidRPr="009574C1">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6564262C" w14:textId="77777777" w:rsidR="00F34C6F" w:rsidRPr="009574C1" w:rsidRDefault="00F34C6F" w:rsidP="00116A03">
      <w:pPr>
        <w:pStyle w:val="Prrafodelista"/>
        <w:spacing w:before="120" w:after="120" w:line="276" w:lineRule="auto"/>
        <w:ind w:left="0" w:firstLine="709"/>
        <w:contextualSpacing w:val="0"/>
        <w:jc w:val="both"/>
        <w:rPr>
          <w:rFonts w:ascii="Arial" w:hAnsi="Arial" w:cs="Arial"/>
          <w:bCs/>
          <w:color w:val="000000" w:themeColor="text1"/>
          <w:sz w:val="22"/>
          <w:lang w:val="es-ES"/>
        </w:rPr>
      </w:pPr>
      <w:r w:rsidRPr="009574C1">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9574C1">
        <w:rPr>
          <w:rStyle w:val="Refdenotaalpie"/>
          <w:rFonts w:ascii="Arial" w:hAnsi="Arial" w:cs="Arial"/>
          <w:bCs/>
          <w:color w:val="000000" w:themeColor="text1"/>
          <w:sz w:val="22"/>
          <w:lang w:val="es-ES"/>
        </w:rPr>
        <w:footnoteReference w:id="9"/>
      </w:r>
      <w:r w:rsidRPr="009574C1">
        <w:rPr>
          <w:rFonts w:ascii="Arial" w:hAnsi="Arial" w:cs="Arial"/>
          <w:bCs/>
          <w:color w:val="000000" w:themeColor="text1"/>
          <w:sz w:val="22"/>
          <w:lang w:val="es-ES"/>
        </w:rPr>
        <w:t>.</w:t>
      </w:r>
    </w:p>
    <w:p w14:paraId="4E194CDC" w14:textId="77777777" w:rsidR="00F34C6F" w:rsidRPr="009574C1" w:rsidRDefault="00F34C6F" w:rsidP="00116A03">
      <w:pPr>
        <w:pStyle w:val="Prrafodelista"/>
        <w:spacing w:before="120" w:after="120" w:line="276" w:lineRule="auto"/>
        <w:ind w:left="0" w:firstLine="709"/>
        <w:contextualSpacing w:val="0"/>
        <w:jc w:val="both"/>
        <w:rPr>
          <w:rFonts w:ascii="Arial" w:eastAsia="Calibri" w:hAnsi="Arial" w:cs="Arial"/>
          <w:color w:val="000000" w:themeColor="text1"/>
          <w:sz w:val="22"/>
          <w:lang w:val="es-ES"/>
        </w:rPr>
      </w:pPr>
      <w:r w:rsidRPr="009574C1">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9574C1">
        <w:rPr>
          <w:rFonts w:ascii="Arial" w:eastAsia="Calibri" w:hAnsi="Arial" w:cs="Arial"/>
          <w:color w:val="000000" w:themeColor="text1"/>
          <w:sz w:val="22"/>
          <w:lang w:val="es-ES"/>
        </w:rPr>
        <w:t xml:space="preserve">documentos del proceso que se debían publicar. </w:t>
      </w:r>
    </w:p>
    <w:p w14:paraId="3BA67CD2" w14:textId="77777777" w:rsidR="00F34C6F" w:rsidRPr="009574C1" w:rsidRDefault="00F34C6F" w:rsidP="00116A03">
      <w:pPr>
        <w:pStyle w:val="Prrafodelista"/>
        <w:spacing w:before="120" w:after="120" w:line="276" w:lineRule="auto"/>
        <w:ind w:left="0" w:firstLine="709"/>
        <w:contextualSpacing w:val="0"/>
        <w:jc w:val="both"/>
        <w:rPr>
          <w:rFonts w:ascii="Arial" w:eastAsia="Calibri" w:hAnsi="Arial" w:cs="Arial"/>
          <w:color w:val="000000" w:themeColor="text1"/>
          <w:sz w:val="22"/>
          <w:lang w:val="es-ES"/>
        </w:rPr>
      </w:pPr>
      <w:r w:rsidRPr="009574C1">
        <w:rPr>
          <w:rFonts w:ascii="Arial" w:eastAsia="Calibri" w:hAnsi="Arial"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9574C1">
        <w:rPr>
          <w:rStyle w:val="Refdenotaalpie"/>
          <w:rFonts w:ascii="Arial" w:eastAsia="Calibri" w:hAnsi="Arial" w:cs="Arial"/>
          <w:color w:val="000000" w:themeColor="text1"/>
          <w:sz w:val="22"/>
          <w:lang w:val="es-ES"/>
        </w:rPr>
        <w:footnoteReference w:id="10"/>
      </w:r>
      <w:r w:rsidRPr="009574C1">
        <w:rPr>
          <w:rFonts w:ascii="Arial" w:eastAsia="Calibri" w:hAnsi="Arial" w:cs="Arial"/>
          <w:color w:val="000000" w:themeColor="text1"/>
          <w:sz w:val="22"/>
          <w:lang w:val="es-ES"/>
        </w:rPr>
        <w:t xml:space="preserve">. </w:t>
      </w:r>
    </w:p>
    <w:p w14:paraId="7D0F6984" w14:textId="77777777" w:rsidR="00F34C6F" w:rsidRPr="009574C1" w:rsidRDefault="00F34C6F" w:rsidP="00116A03">
      <w:pPr>
        <w:pStyle w:val="Prrafodelista"/>
        <w:spacing w:before="120" w:after="120" w:line="276" w:lineRule="auto"/>
        <w:ind w:left="0" w:firstLine="709"/>
        <w:contextualSpacing w:val="0"/>
        <w:jc w:val="both"/>
        <w:rPr>
          <w:rFonts w:ascii="Arial" w:eastAsia="Calibri" w:hAnsi="Arial" w:cs="Arial"/>
          <w:color w:val="000000" w:themeColor="text1"/>
          <w:sz w:val="22"/>
          <w:lang w:val="es-ES"/>
        </w:rPr>
      </w:pPr>
      <w:r w:rsidRPr="009574C1">
        <w:rPr>
          <w:rFonts w:ascii="Arial" w:eastAsia="Calibri" w:hAnsi="Arial" w:cs="Arial"/>
          <w:color w:val="000000" w:themeColor="text1"/>
          <w:sz w:val="22"/>
          <w:lang w:val="es-ES"/>
        </w:rPr>
        <w:lastRenderedPageBreak/>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534FD600" w14:textId="77777777" w:rsidR="00F34C6F" w:rsidRPr="009574C1" w:rsidRDefault="00F34C6F" w:rsidP="00116A03">
      <w:pPr>
        <w:pStyle w:val="Prrafodelista"/>
        <w:spacing w:before="120" w:after="120" w:line="276" w:lineRule="auto"/>
        <w:ind w:left="0" w:firstLine="709"/>
        <w:contextualSpacing w:val="0"/>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38D1B151" w14:textId="77777777" w:rsidR="00F34C6F" w:rsidRPr="009574C1" w:rsidRDefault="00F34C6F" w:rsidP="00116A03">
      <w:pPr>
        <w:pStyle w:val="Prrafodelista"/>
        <w:spacing w:before="120" w:after="120" w:line="276" w:lineRule="auto"/>
        <w:ind w:left="0" w:firstLine="709"/>
        <w:contextualSpacing w:val="0"/>
        <w:jc w:val="both"/>
        <w:rPr>
          <w:rFonts w:ascii="Arial" w:eastAsia="Calibri" w:hAnsi="Arial" w:cs="Arial"/>
          <w:color w:val="000000" w:themeColor="text1"/>
          <w:sz w:val="22"/>
        </w:rPr>
      </w:pPr>
      <w:r w:rsidRPr="009574C1">
        <w:rPr>
          <w:rFonts w:ascii="Arial" w:eastAsia="Calibri" w:hAnsi="Arial"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9574C1">
        <w:rPr>
          <w:rStyle w:val="Refdenotaalpie"/>
          <w:rFonts w:ascii="Arial" w:eastAsia="Calibri" w:hAnsi="Arial" w:cs="Arial"/>
          <w:color w:val="000000" w:themeColor="text1"/>
          <w:sz w:val="22"/>
        </w:rPr>
        <w:footnoteReference w:id="11"/>
      </w:r>
      <w:r w:rsidRPr="009574C1">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9574C1">
        <w:rPr>
          <w:rStyle w:val="Refdenotaalpie"/>
          <w:rFonts w:ascii="Arial" w:eastAsia="Calibri" w:hAnsi="Arial" w:cs="Arial"/>
          <w:color w:val="000000" w:themeColor="text1"/>
          <w:sz w:val="22"/>
        </w:rPr>
        <w:footnoteReference w:id="12"/>
      </w:r>
      <w:r w:rsidRPr="009574C1">
        <w:rPr>
          <w:rFonts w:ascii="Arial" w:eastAsia="Calibri" w:hAnsi="Arial" w:cs="Arial"/>
          <w:color w:val="000000" w:themeColor="text1"/>
          <w:sz w:val="22"/>
        </w:rPr>
        <w:t>. Finalmente, el artículo 10 establece la obligación que tienen las entidades de publicar en el SECOP el Plan Anual de Adquisiciones</w:t>
      </w:r>
      <w:r w:rsidRPr="009574C1">
        <w:rPr>
          <w:rStyle w:val="Refdenotaalpie"/>
          <w:rFonts w:ascii="Arial" w:eastAsia="Calibri" w:hAnsi="Arial" w:cs="Arial"/>
          <w:color w:val="000000" w:themeColor="text1"/>
          <w:sz w:val="22"/>
        </w:rPr>
        <w:footnoteReference w:id="13"/>
      </w:r>
      <w:r w:rsidRPr="009574C1">
        <w:rPr>
          <w:rFonts w:ascii="Arial" w:eastAsia="Calibri" w:hAnsi="Arial" w:cs="Arial"/>
          <w:color w:val="000000" w:themeColor="text1"/>
          <w:sz w:val="22"/>
        </w:rPr>
        <w:t xml:space="preserve">.  </w:t>
      </w:r>
    </w:p>
    <w:p w14:paraId="5F8C38CE"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lastRenderedPageBreak/>
        <w:t xml:space="preserve">De conformidad con lo anterior, el Decreto 103 de 2015 señala que los documentos que deben publicar las entidades estatales son: i) las autorizaciones, requerimientos, aprobaciones o informes del supervisor o del interventor, que prueben la ejecución del contrato, </w:t>
      </w:r>
      <w:proofErr w:type="spellStart"/>
      <w:r w:rsidRPr="009574C1">
        <w:rPr>
          <w:rFonts w:ascii="Arial" w:eastAsia="Calibri" w:hAnsi="Arial" w:cs="Arial"/>
          <w:color w:val="000000" w:themeColor="text1"/>
          <w:sz w:val="22"/>
        </w:rPr>
        <w:t>ii</w:t>
      </w:r>
      <w:proofErr w:type="spellEnd"/>
      <w:r w:rsidRPr="009574C1">
        <w:rPr>
          <w:rFonts w:ascii="Arial" w:eastAsia="Calibri" w:hAnsi="Arial" w:cs="Arial"/>
          <w:color w:val="000000" w:themeColor="text1"/>
          <w:sz w:val="22"/>
        </w:rPr>
        <w:t xml:space="preserve">) los procedimientos, lineamientos y políticas en materia de adquisición que corresponden a los  documentos que los conforman, previstos en el manual de contratación de la entidad, y finalmente, </w:t>
      </w:r>
      <w:proofErr w:type="spellStart"/>
      <w:r w:rsidRPr="009574C1">
        <w:rPr>
          <w:rFonts w:ascii="Arial" w:eastAsia="Calibri" w:hAnsi="Arial" w:cs="Arial"/>
          <w:color w:val="000000" w:themeColor="text1"/>
          <w:sz w:val="22"/>
        </w:rPr>
        <w:t>iii</w:t>
      </w:r>
      <w:proofErr w:type="spellEnd"/>
      <w:r w:rsidRPr="009574C1">
        <w:rPr>
          <w:rFonts w:ascii="Arial" w:eastAsia="Calibri" w:hAnsi="Arial" w:cs="Arial"/>
          <w:color w:val="000000" w:themeColor="text1"/>
          <w:sz w:val="22"/>
        </w:rPr>
        <w:t xml:space="preserve">) el plan anual de adquisiciones. </w:t>
      </w:r>
    </w:p>
    <w:p w14:paraId="216C2283"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o para proveerlos a terceros.  </w:t>
      </w:r>
    </w:p>
    <w:p w14:paraId="4C74AFBD"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3386CFAF" w14:textId="77777777" w:rsidR="00F34C6F" w:rsidRPr="009574C1" w:rsidRDefault="00F34C6F" w:rsidP="00116A03">
      <w:pPr>
        <w:shd w:val="clear" w:color="auto" w:fill="FFFFFF"/>
        <w:spacing w:before="120" w:after="120" w:line="276" w:lineRule="auto"/>
        <w:ind w:firstLine="709"/>
        <w:jc w:val="both"/>
        <w:rPr>
          <w:rFonts w:ascii="Arial" w:eastAsia="Times New Roman" w:hAnsi="Arial" w:cs="Arial"/>
          <w:color w:val="000000" w:themeColor="text1"/>
          <w:sz w:val="22"/>
          <w:lang w:val="es-CO" w:eastAsia="es-CO"/>
        </w:rPr>
      </w:pPr>
      <w:r w:rsidRPr="009574C1">
        <w:rPr>
          <w:rFonts w:ascii="Arial" w:eastAsia="Calibri" w:hAnsi="Arial" w:cs="Arial"/>
          <w:color w:val="000000" w:themeColor="text1"/>
          <w:sz w:val="22"/>
        </w:rPr>
        <w:t>Por lo tanto, en estos casos aplica la Ley 1712 de 2014 y el Decreto 103 de 2015, no el Decreto 1082 de 2015, porque esta última norma rige a las entidades sometidas al Estatuto General de Contratación Pública, y por lo tanto no aplica a las entidades que se rigen por el derecho privado. Por su parte, la Ley 1712 de 2014 y el Decreto reglamentario 103 de 2015 rigen a cualquier entidad pública, incluyendo</w:t>
      </w:r>
      <w:r w:rsidRPr="009574C1">
        <w:rPr>
          <w:rFonts w:ascii="Arial" w:hAnsi="Arial" w:cs="Arial"/>
          <w:color w:val="000000" w:themeColor="text1"/>
          <w:sz w:val="22"/>
        </w:rPr>
        <w:t xml:space="preserve"> </w:t>
      </w:r>
      <w:r w:rsidRPr="009574C1">
        <w:rPr>
          <w:rFonts w:ascii="Arial" w:eastAsia="Times New Roman" w:hAnsi="Arial" w:cs="Arial"/>
          <w:color w:val="000000" w:themeColor="text1"/>
          <w:sz w:val="22"/>
          <w:lang w:val="es-CO" w:eastAsia="es-CO"/>
        </w:rPr>
        <w:t>las pertenecientes a todas las ramas del poder público, en todos los niveles de la estructura estatal, central o descentralizada por servicios o territorialmente, en los órdenes nacional, departamental, municipal y distrital.</w:t>
      </w:r>
    </w:p>
    <w:p w14:paraId="55DA473D"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Identificados los documentos que deben publicar las entidades de régimen especial y su fundamento normativo, a </w:t>
      </w:r>
      <w:proofErr w:type="gramStart"/>
      <w:r w:rsidRPr="009574C1">
        <w:rPr>
          <w:rFonts w:ascii="Arial" w:eastAsia="Calibri" w:hAnsi="Arial" w:cs="Arial"/>
          <w:color w:val="000000" w:themeColor="text1"/>
          <w:sz w:val="22"/>
        </w:rPr>
        <w:t>continuación</w:t>
      </w:r>
      <w:proofErr w:type="gramEnd"/>
      <w:r w:rsidRPr="009574C1">
        <w:rPr>
          <w:rFonts w:ascii="Arial" w:eastAsia="Calibri" w:hAnsi="Arial" w:cs="Arial"/>
          <w:color w:val="000000" w:themeColor="text1"/>
          <w:sz w:val="22"/>
        </w:rPr>
        <w:t xml:space="preserve"> se explicará cuándo se deben publicar, no sin antes explicar la posición que Colombia Compra Eficiente ha tenido en relación con este asunto. </w:t>
      </w:r>
    </w:p>
    <w:p w14:paraId="31EBC0C2"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En el año 2017, en la consulta con radicado No. 4201713000005390, se prevé que el plazo para publicar por parte de las entidades de régimen especial es el que se fije en el </w:t>
      </w:r>
      <w:r w:rsidRPr="009574C1">
        <w:rPr>
          <w:rFonts w:ascii="Arial" w:eastAsia="Calibri" w:hAnsi="Arial" w:cs="Arial"/>
          <w:color w:val="000000" w:themeColor="text1"/>
          <w:sz w:val="22"/>
        </w:rPr>
        <w:lastRenderedPageBreak/>
        <w:t>manual de contratación de la entidad</w:t>
      </w:r>
      <w:r w:rsidRPr="009574C1">
        <w:rPr>
          <w:rStyle w:val="Refdenotaalpie"/>
          <w:rFonts w:ascii="Arial" w:eastAsia="Calibri" w:hAnsi="Arial" w:cs="Arial"/>
          <w:color w:val="000000" w:themeColor="text1"/>
          <w:sz w:val="22"/>
        </w:rPr>
        <w:footnoteReference w:id="14"/>
      </w:r>
      <w:r w:rsidRPr="009574C1">
        <w:rPr>
          <w:rFonts w:ascii="Arial" w:eastAsia="Calibri" w:hAnsi="Arial" w:cs="Arial"/>
          <w:color w:val="000000" w:themeColor="text1"/>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w:t>
      </w:r>
      <w:r w:rsidRPr="009574C1">
        <w:rPr>
          <w:rStyle w:val="Refdenotaalpie"/>
          <w:rFonts w:ascii="Arial" w:eastAsia="Calibri" w:hAnsi="Arial" w:cs="Arial"/>
          <w:color w:val="000000" w:themeColor="text1"/>
          <w:sz w:val="22"/>
        </w:rPr>
        <w:footnoteReference w:id="15"/>
      </w:r>
      <w:r w:rsidRPr="009574C1">
        <w:rPr>
          <w:rFonts w:ascii="Arial" w:eastAsia="Calibri" w:hAnsi="Arial" w:cs="Arial"/>
          <w:color w:val="000000" w:themeColor="text1"/>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3C4EA4E6"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3018DDE7"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9574C1">
        <w:rPr>
          <w:rFonts w:ascii="Arial" w:eastAsia="Calibri" w:hAnsi="Arial" w:cs="Arial"/>
          <w:i/>
          <w:color w:val="000000" w:themeColor="text1"/>
          <w:sz w:val="22"/>
        </w:rPr>
        <w:t xml:space="preserve"> </w:t>
      </w:r>
      <w:r w:rsidRPr="009574C1">
        <w:rPr>
          <w:rFonts w:ascii="Arial" w:eastAsia="Calibri" w:hAnsi="Arial" w:cs="Arial"/>
          <w:color w:val="000000" w:themeColor="text1"/>
          <w:sz w:val="22"/>
        </w:rPr>
        <w:t>razón de ser de la norma»</w:t>
      </w:r>
      <w:r w:rsidRPr="009574C1">
        <w:rPr>
          <w:rStyle w:val="Refdenotaalpie"/>
          <w:rFonts w:ascii="Arial" w:eastAsia="Calibri" w:hAnsi="Arial" w:cs="Arial"/>
          <w:color w:val="000000" w:themeColor="text1"/>
          <w:sz w:val="22"/>
        </w:rPr>
        <w:footnoteReference w:id="16"/>
      </w:r>
      <w:r w:rsidRPr="009574C1">
        <w:rPr>
          <w:rFonts w:ascii="Arial" w:eastAsia="Calibri" w:hAnsi="Arial" w:cs="Arial"/>
          <w:color w:val="000000" w:themeColor="text1"/>
          <w:sz w:val="22"/>
        </w:rPr>
        <w:t xml:space="preserve">. En este sentido, el juez razona por analogía cuando aplica una ley frente una </w:t>
      </w:r>
      <w:r w:rsidRPr="009574C1">
        <w:rPr>
          <w:rFonts w:ascii="Arial" w:eastAsia="Calibri" w:hAnsi="Arial" w:cs="Arial"/>
          <w:color w:val="000000" w:themeColor="text1"/>
          <w:sz w:val="22"/>
        </w:rPr>
        <w:lastRenderedPageBreak/>
        <w:t xml:space="preserve">situación no contemplada explícitamente en ella, a partir del estudio de situaciones fácticas que fueron tratadas por el legislador y guardan similitud con el asunto tratado. </w:t>
      </w:r>
    </w:p>
    <w:p w14:paraId="4505B24C"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9574C1">
        <w:rPr>
          <w:rStyle w:val="Refdenotaalpie"/>
          <w:rFonts w:ascii="Arial" w:eastAsia="Calibri" w:hAnsi="Arial" w:cs="Arial"/>
          <w:color w:val="000000" w:themeColor="text1"/>
          <w:sz w:val="22"/>
        </w:rPr>
        <w:footnoteReference w:id="17"/>
      </w:r>
      <w:r w:rsidRPr="009574C1">
        <w:rPr>
          <w:rFonts w:ascii="Arial" w:eastAsia="Calibri" w:hAnsi="Arial" w:cs="Arial"/>
          <w:color w:val="000000" w:themeColor="text1"/>
          <w:sz w:val="22"/>
        </w:rPr>
        <w:t xml:space="preserve">.En este sentido, las entidades sometidas al régimen de contratación de Ley 80 de 1993 publicarán en el SECOP sus documentos dentro de los 3 días siguientes a su expedición. </w:t>
      </w:r>
    </w:p>
    <w:p w14:paraId="0695DD1D"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Si bien, tal y cómo se mencionó en el acápite anterior, el Decreto 1082 de 2015 no aplica a las empresas industriales y comerciales del Estado, porque su régimen de contratación es el derecho privado, será posible aplicarle esta norma en virtud de la analogía. </w:t>
      </w:r>
    </w:p>
    <w:p w14:paraId="3E504A4C"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Lo anterior, debido a que esta norma guarda similitud con el asunto tratado ya que regula la publicidad de los documentos del SECOP y, por lo tanto, es viable aplicarle la consecuencia jurídica de esta norma a las entidades de régimen especial. </w:t>
      </w:r>
    </w:p>
    <w:p w14:paraId="293F1842" w14:textId="77777777" w:rsidR="00F34C6F" w:rsidRPr="009574C1" w:rsidRDefault="00F34C6F" w:rsidP="00116A03">
      <w:pPr>
        <w:pStyle w:val="Prrafodelista"/>
        <w:spacing w:before="120" w:after="120" w:line="276" w:lineRule="auto"/>
        <w:ind w:left="0"/>
        <w:jc w:val="both"/>
        <w:rPr>
          <w:rFonts w:ascii="Arial" w:eastAsia="Calibri" w:hAnsi="Arial" w:cs="Arial"/>
          <w:color w:val="000000" w:themeColor="text1"/>
          <w:sz w:val="22"/>
        </w:rPr>
      </w:pPr>
      <w:r w:rsidRPr="009574C1">
        <w:rPr>
          <w:rFonts w:ascii="Arial" w:eastAsia="Calibri" w:hAnsi="Arial" w:cs="Arial"/>
          <w:color w:val="000000" w:themeColor="text1"/>
          <w:sz w:val="22"/>
        </w:rPr>
        <w:tab/>
        <w:t xml:space="preserve">A su vez, no es posible que las entidades definan el momento en el cual publicarán sus documentos contractuales en su manual de contratación, porque este es un asunto que debe definir el legislador o el gobierno por medio de un Decreto reglamentario. </w:t>
      </w:r>
    </w:p>
    <w:p w14:paraId="74925CDD" w14:textId="77777777" w:rsidR="00F34C6F" w:rsidRPr="009574C1" w:rsidRDefault="00F34C6F" w:rsidP="00116A03">
      <w:pPr>
        <w:pStyle w:val="Prrafodelista"/>
        <w:spacing w:before="120" w:after="120" w:line="276" w:lineRule="auto"/>
        <w:ind w:left="0"/>
        <w:jc w:val="both"/>
        <w:rPr>
          <w:rFonts w:ascii="Arial" w:eastAsia="Calibri" w:hAnsi="Arial" w:cs="Arial"/>
          <w:color w:val="000000" w:themeColor="text1"/>
          <w:sz w:val="22"/>
        </w:rPr>
      </w:pPr>
      <w:r w:rsidRPr="009574C1">
        <w:rPr>
          <w:rFonts w:ascii="Arial" w:eastAsia="Calibri" w:hAnsi="Arial" w:cs="Arial"/>
          <w:color w:val="000000" w:themeColor="text1"/>
          <w:sz w:val="22"/>
        </w:rPr>
        <w:tab/>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E016FAA" w14:textId="77777777" w:rsidR="00F34C6F" w:rsidRPr="009574C1" w:rsidRDefault="00F34C6F" w:rsidP="00E37458">
      <w:pPr>
        <w:pStyle w:val="Prrafodelista"/>
        <w:spacing w:line="276" w:lineRule="auto"/>
        <w:ind w:left="0"/>
        <w:jc w:val="both"/>
        <w:rPr>
          <w:rFonts w:ascii="Arial" w:eastAsia="Calibri" w:hAnsi="Arial" w:cs="Arial"/>
          <w:color w:val="000000" w:themeColor="text1"/>
          <w:sz w:val="22"/>
        </w:rPr>
      </w:pPr>
      <w:r w:rsidRPr="009574C1">
        <w:rPr>
          <w:rFonts w:ascii="Arial" w:eastAsia="Calibri" w:hAnsi="Arial" w:cs="Arial"/>
          <w:color w:val="000000" w:themeColor="text1"/>
          <w:sz w:val="22"/>
        </w:rPr>
        <w:tab/>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08259D76" w14:textId="2EF27591" w:rsidR="00F34C6F" w:rsidRPr="009574C1" w:rsidRDefault="00F34C6F" w:rsidP="00E37458">
      <w:pPr>
        <w:pStyle w:val="Prrafodelista"/>
        <w:spacing w:line="276" w:lineRule="auto"/>
        <w:ind w:left="0"/>
        <w:jc w:val="both"/>
        <w:rPr>
          <w:rFonts w:ascii="Arial" w:eastAsia="Calibri" w:hAnsi="Arial" w:cs="Arial"/>
          <w:color w:val="000000" w:themeColor="text1"/>
          <w:sz w:val="22"/>
        </w:rPr>
      </w:pPr>
      <w:r w:rsidRPr="009574C1">
        <w:rPr>
          <w:rFonts w:ascii="Arial" w:eastAsia="Calibri" w:hAnsi="Arial" w:cs="Arial"/>
          <w:color w:val="000000" w:themeColor="text1"/>
          <w:sz w:val="22"/>
        </w:rPr>
        <w:tab/>
      </w:r>
    </w:p>
    <w:p w14:paraId="26165D09" w14:textId="77777777" w:rsidR="00F34C6F" w:rsidRPr="009574C1" w:rsidRDefault="00F34C6F" w:rsidP="00E37458">
      <w:pPr>
        <w:spacing w:line="276" w:lineRule="auto"/>
        <w:jc w:val="both"/>
        <w:rPr>
          <w:rFonts w:ascii="Arial" w:hAnsi="Arial" w:cs="Arial"/>
          <w:b/>
          <w:color w:val="000000" w:themeColor="text1"/>
          <w:sz w:val="22"/>
          <w:lang w:val="es-ES"/>
        </w:rPr>
      </w:pPr>
      <w:r w:rsidRPr="009574C1">
        <w:rPr>
          <w:rFonts w:ascii="Arial" w:hAnsi="Arial" w:cs="Arial"/>
          <w:b/>
          <w:color w:val="000000" w:themeColor="text1"/>
          <w:sz w:val="22"/>
          <w:lang w:val="es-ES"/>
        </w:rPr>
        <w:t xml:space="preserve">2.3. Empresas de Servicios Públicos Domiciliarios </w:t>
      </w:r>
    </w:p>
    <w:p w14:paraId="42FBD958" w14:textId="77777777" w:rsidR="00F34C6F" w:rsidRPr="009574C1" w:rsidRDefault="00F34C6F" w:rsidP="00E37458">
      <w:pPr>
        <w:spacing w:line="276" w:lineRule="auto"/>
        <w:jc w:val="both"/>
        <w:rPr>
          <w:rFonts w:ascii="Arial" w:hAnsi="Arial" w:cs="Arial"/>
          <w:color w:val="000000" w:themeColor="text1"/>
          <w:sz w:val="22"/>
          <w:lang w:val="es-ES"/>
        </w:rPr>
      </w:pPr>
    </w:p>
    <w:p w14:paraId="52CDCBDA" w14:textId="77777777" w:rsidR="00F34C6F" w:rsidRPr="009574C1" w:rsidRDefault="00F34C6F" w:rsidP="00E37458">
      <w:pPr>
        <w:spacing w:line="276" w:lineRule="auto"/>
        <w:jc w:val="both"/>
        <w:rPr>
          <w:rFonts w:ascii="Arial" w:hAnsi="Arial" w:cs="Arial"/>
          <w:color w:val="000000" w:themeColor="text1"/>
          <w:sz w:val="22"/>
          <w:lang w:val="es-ES"/>
        </w:rPr>
      </w:pPr>
      <w:r w:rsidRPr="009574C1">
        <w:rPr>
          <w:rFonts w:ascii="Arial" w:hAnsi="Arial" w:cs="Arial"/>
          <w:color w:val="000000" w:themeColor="text1"/>
          <w:sz w:val="22"/>
          <w:lang w:val="es-ES"/>
        </w:rPr>
        <w:lastRenderedPageBreak/>
        <w:t xml:space="preserve">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3C123D97" w14:textId="77777777" w:rsidR="00F34C6F" w:rsidRPr="009574C1" w:rsidRDefault="00F34C6F" w:rsidP="00E37458">
      <w:pPr>
        <w:spacing w:line="276" w:lineRule="auto"/>
        <w:jc w:val="both"/>
        <w:rPr>
          <w:rFonts w:ascii="Arial" w:hAnsi="Arial" w:cs="Arial"/>
          <w:color w:val="000000" w:themeColor="text1"/>
          <w:sz w:val="22"/>
          <w:lang w:val="es-ES"/>
        </w:rPr>
      </w:pPr>
    </w:p>
    <w:p w14:paraId="60760A57" w14:textId="77777777" w:rsidR="00F34C6F" w:rsidRPr="009574C1" w:rsidRDefault="00F34C6F" w:rsidP="00E37458">
      <w:pPr>
        <w:pStyle w:val="NormalWeb"/>
        <w:spacing w:before="0" w:beforeAutospacing="0" w:after="0" w:afterAutospacing="0"/>
        <w:ind w:left="709" w:right="474"/>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14.5. Empresa de servicios públicos oficial. Es aquella en cuyo capital la Nación, las entidades territoriales, o las entidades descentralizadas de aquella o estas tienen el 100% de los aportes.</w:t>
      </w:r>
    </w:p>
    <w:p w14:paraId="28351F50" w14:textId="77777777" w:rsidR="00F34C6F" w:rsidRPr="009574C1" w:rsidRDefault="00F34C6F" w:rsidP="00E37458">
      <w:pPr>
        <w:pStyle w:val="NormalWeb"/>
        <w:spacing w:before="0" w:beforeAutospacing="0" w:after="0" w:afterAutospacing="0"/>
        <w:ind w:left="709" w:right="474"/>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14.6. Empresa de servicios públicos mixta. Es aquella en cuyo capital la Nación, las entidades territoriales, o las entidades descentralizadas de aquella o éstas tienen aportes iguales o superiores al 50%. </w:t>
      </w:r>
    </w:p>
    <w:p w14:paraId="0C976FD8" w14:textId="77777777" w:rsidR="00F34C6F" w:rsidRPr="009574C1" w:rsidRDefault="00F34C6F" w:rsidP="00E37458">
      <w:pPr>
        <w:pStyle w:val="NormalWeb"/>
        <w:spacing w:before="0" w:beforeAutospacing="0" w:after="0" w:afterAutospacing="0"/>
        <w:ind w:left="709" w:right="474"/>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28AA71C2" w14:textId="77777777" w:rsidR="00F34C6F" w:rsidRPr="009574C1" w:rsidRDefault="00F34C6F" w:rsidP="00E37458">
      <w:pPr>
        <w:pStyle w:val="NormalWeb"/>
        <w:spacing w:before="0" w:beforeAutospacing="0" w:after="0" w:afterAutospacing="0"/>
        <w:jc w:val="both"/>
        <w:rPr>
          <w:rFonts w:ascii="Arial" w:hAnsi="Arial" w:cs="Arial"/>
          <w:color w:val="000000" w:themeColor="text1"/>
          <w:sz w:val="22"/>
          <w:lang w:val="es-ES" w:eastAsia="es-ES_tradnl"/>
        </w:rPr>
      </w:pPr>
    </w:p>
    <w:p w14:paraId="43BB342F" w14:textId="77777777" w:rsidR="00F34C6F" w:rsidRPr="009574C1" w:rsidRDefault="00F34C6F" w:rsidP="00E37458">
      <w:pPr>
        <w:pStyle w:val="NormalWeb"/>
        <w:spacing w:before="0" w:beforeAutospacing="0" w:after="0" w:afterAutospacing="0" w:line="276" w:lineRule="auto"/>
        <w:ind w:firstLine="708"/>
        <w:jc w:val="both"/>
        <w:rPr>
          <w:rFonts w:ascii="Arial" w:hAnsi="Arial" w:cs="Arial"/>
          <w:color w:val="000000" w:themeColor="text1"/>
          <w:sz w:val="22"/>
          <w:lang w:val="es-ES" w:eastAsia="es-ES_tradnl"/>
        </w:rPr>
      </w:pPr>
      <w:r w:rsidRPr="009574C1">
        <w:rPr>
          <w:rFonts w:ascii="Arial" w:hAnsi="Arial" w:cs="Arial"/>
          <w:color w:val="000000" w:themeColor="text1"/>
          <w:sz w:val="22"/>
          <w:lang w:val="es-ES" w:eastAsia="es-ES_tradnl"/>
        </w:rPr>
        <w:t xml:space="preserve">A su turno, el artículo 17 de la ley citada señala que «las empresas de servicios públicos son sociedades por acciones cuyo objeto es la prestación de los servicios públicos de que trata esta ley». </w:t>
      </w:r>
    </w:p>
    <w:p w14:paraId="7FCDD6FF" w14:textId="77777777" w:rsidR="00F34C6F" w:rsidRPr="009574C1" w:rsidRDefault="00F34C6F" w:rsidP="00116A03">
      <w:pPr>
        <w:pStyle w:val="NormalWeb"/>
        <w:spacing w:before="120" w:beforeAutospacing="0" w:after="120" w:afterAutospacing="0" w:line="276" w:lineRule="auto"/>
        <w:ind w:firstLine="708"/>
        <w:jc w:val="both"/>
        <w:rPr>
          <w:rFonts w:ascii="Arial" w:hAnsi="Arial" w:cs="Arial"/>
          <w:color w:val="000000" w:themeColor="text1"/>
          <w:sz w:val="22"/>
          <w:lang w:val="es-ES" w:eastAsia="es-ES_tradnl"/>
        </w:rPr>
      </w:pPr>
      <w:r w:rsidRPr="009574C1">
        <w:rPr>
          <w:rFonts w:ascii="Arial" w:hAnsi="Arial" w:cs="Arial"/>
          <w:color w:val="000000" w:themeColor="text1"/>
          <w:sz w:val="22"/>
          <w:lang w:val="es-ES"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es del 100%</w:t>
      </w:r>
      <w:r w:rsidRPr="009574C1">
        <w:rPr>
          <w:rStyle w:val="Refdenotaalpie"/>
          <w:rFonts w:ascii="Arial" w:hAnsi="Arial" w:cs="Arial"/>
          <w:color w:val="000000" w:themeColor="text1"/>
          <w:sz w:val="22"/>
          <w:lang w:val="es-ES" w:eastAsia="es-ES_tradnl"/>
        </w:rPr>
        <w:footnoteReference w:id="18"/>
      </w:r>
      <w:r w:rsidRPr="009574C1">
        <w:rPr>
          <w:rFonts w:ascii="Arial" w:hAnsi="Arial" w:cs="Arial"/>
          <w:color w:val="000000" w:themeColor="text1"/>
          <w:sz w:val="22"/>
          <w:lang w:val="es-ES" w:eastAsia="es-ES_tradnl"/>
        </w:rPr>
        <w:t xml:space="preserve">. </w:t>
      </w:r>
    </w:p>
    <w:p w14:paraId="16BDF25F" w14:textId="4D0EC69E" w:rsidR="00F34C6F" w:rsidRPr="009574C1" w:rsidRDefault="00F34C6F" w:rsidP="00116A03">
      <w:pPr>
        <w:pStyle w:val="NormalWeb"/>
        <w:spacing w:before="120" w:beforeAutospacing="0" w:after="120" w:afterAutospacing="0" w:line="276" w:lineRule="auto"/>
        <w:ind w:firstLine="708"/>
        <w:jc w:val="both"/>
        <w:rPr>
          <w:rFonts w:ascii="Arial" w:hAnsi="Arial" w:cs="Arial"/>
          <w:color w:val="000000" w:themeColor="text1"/>
          <w:sz w:val="22"/>
          <w:lang w:val="es-ES" w:eastAsia="es-ES_tradnl"/>
        </w:rPr>
      </w:pPr>
      <w:r w:rsidRPr="009574C1">
        <w:rPr>
          <w:rFonts w:ascii="Arial" w:hAnsi="Arial" w:cs="Arial"/>
          <w:color w:val="000000" w:themeColor="text1"/>
          <w:sz w:val="22"/>
          <w:lang w:val="es-ES" w:eastAsia="es-ES_tradnl"/>
        </w:rPr>
        <w:t>Lo anterior llevó a pensar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w:t>
      </w:r>
      <w:r w:rsidR="00116A03" w:rsidRPr="009574C1">
        <w:rPr>
          <w:rFonts w:ascii="Arial" w:hAnsi="Arial" w:cs="Arial"/>
          <w:color w:val="000000" w:themeColor="text1"/>
          <w:sz w:val="22"/>
          <w:lang w:val="es-ES" w:eastAsia="es-ES_tradnl"/>
        </w:rPr>
        <w:t>»</w:t>
      </w:r>
      <w:r w:rsidRPr="009574C1">
        <w:rPr>
          <w:rFonts w:ascii="Arial" w:hAnsi="Arial" w:cs="Arial"/>
          <w:color w:val="000000" w:themeColor="text1"/>
          <w:sz w:val="22"/>
          <w:lang w:val="es-ES" w:eastAsia="es-ES_tradnl"/>
        </w:rPr>
        <w:t xml:space="preserve">. </w:t>
      </w:r>
    </w:p>
    <w:p w14:paraId="1007D233" w14:textId="77777777" w:rsidR="00F34C6F" w:rsidRPr="009574C1" w:rsidRDefault="00F34C6F" w:rsidP="00116A03">
      <w:pPr>
        <w:pStyle w:val="NormalWeb"/>
        <w:spacing w:before="120" w:beforeAutospacing="0" w:after="120" w:afterAutospacing="0" w:line="276" w:lineRule="auto"/>
        <w:ind w:firstLine="708"/>
        <w:jc w:val="both"/>
        <w:rPr>
          <w:rFonts w:ascii="Arial" w:hAnsi="Arial" w:cs="Arial"/>
          <w:color w:val="000000" w:themeColor="text1"/>
          <w:sz w:val="22"/>
          <w:lang w:val="es-ES" w:eastAsia="es-ES_tradnl"/>
        </w:rPr>
      </w:pPr>
      <w:r w:rsidRPr="009574C1">
        <w:rPr>
          <w:rFonts w:ascii="Arial" w:hAnsi="Arial" w:cs="Arial"/>
          <w:color w:val="000000" w:themeColor="text1"/>
          <w:sz w:val="22"/>
          <w:lang w:val="es-ES" w:eastAsia="es-ES_tradnl"/>
        </w:rPr>
        <w:t xml:space="preserve">La Corte Constitucional, además de señalar la pertenencia a la Rama Ejecutiva de las empresas de servicios públicos mixtas y privadas, también sostuvo que se trataba de </w:t>
      </w:r>
      <w:r w:rsidRPr="009574C1">
        <w:rPr>
          <w:rFonts w:ascii="Arial" w:hAnsi="Arial" w:cs="Arial"/>
          <w:color w:val="000000" w:themeColor="text1"/>
          <w:sz w:val="22"/>
          <w:lang w:val="es-ES" w:eastAsia="es-ES_tradnl"/>
        </w:rPr>
        <w:lastRenderedPageBreak/>
        <w:t xml:space="preserve">entidades descentralizadas por servicios, en los términos del artículo 68 de la Ley 489 de 1998: </w:t>
      </w:r>
    </w:p>
    <w:p w14:paraId="001678E5" w14:textId="77777777" w:rsidR="00F34C6F" w:rsidRPr="009574C1" w:rsidRDefault="00F34C6F" w:rsidP="00E37458">
      <w:pPr>
        <w:pStyle w:val="NormalWeb"/>
        <w:spacing w:before="0" w:beforeAutospacing="0" w:after="0" w:afterAutospacing="0"/>
        <w:ind w:left="709" w:right="476"/>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352840EB" w14:textId="77777777" w:rsidR="00116A03" w:rsidRPr="009574C1" w:rsidRDefault="00F34C6F" w:rsidP="00E37458">
      <w:pPr>
        <w:pStyle w:val="NormalWeb"/>
        <w:spacing w:before="0" w:beforeAutospacing="0" w:after="0" w:afterAutospacing="0"/>
        <w:ind w:left="709" w:right="476"/>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 </w:t>
      </w:r>
    </w:p>
    <w:p w14:paraId="243A92E0" w14:textId="079D35DE" w:rsidR="00F34C6F" w:rsidRPr="009574C1" w:rsidRDefault="00F34C6F" w:rsidP="00E37458">
      <w:pPr>
        <w:pStyle w:val="NormalWeb"/>
        <w:spacing w:before="0" w:beforeAutospacing="0" w:after="0" w:afterAutospacing="0"/>
        <w:ind w:left="709" w:right="476"/>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 xml:space="preserve">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76216FAB" w14:textId="77777777" w:rsidR="00F34C6F" w:rsidRPr="009574C1" w:rsidRDefault="00F34C6F" w:rsidP="00116A03">
      <w:pPr>
        <w:pStyle w:val="NormalWeb"/>
        <w:spacing w:before="120" w:beforeAutospacing="0" w:after="120" w:afterAutospacing="0"/>
        <w:ind w:left="709" w:right="474"/>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w:t>
      </w:r>
    </w:p>
    <w:p w14:paraId="70519425" w14:textId="77777777" w:rsidR="00F34C6F" w:rsidRPr="009574C1" w:rsidRDefault="00F34C6F" w:rsidP="00E37458">
      <w:pPr>
        <w:pStyle w:val="NormalWeb"/>
        <w:spacing w:before="0" w:beforeAutospacing="0" w:after="0" w:afterAutospacing="0"/>
        <w:ind w:left="709" w:right="476"/>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 xml:space="preserve">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w:t>
      </w:r>
      <w:proofErr w:type="gramStart"/>
      <w:r w:rsidRPr="009574C1">
        <w:rPr>
          <w:rFonts w:ascii="Arial" w:hAnsi="Arial" w:cs="Arial"/>
          <w:color w:val="000000" w:themeColor="text1"/>
          <w:sz w:val="21"/>
          <w:szCs w:val="21"/>
          <w:lang w:val="es-ES" w:eastAsia="es-ES_tradnl"/>
        </w:rPr>
        <w:t>que</w:t>
      </w:r>
      <w:proofErr w:type="gramEnd"/>
      <w:r w:rsidRPr="009574C1">
        <w:rPr>
          <w:rFonts w:ascii="Arial" w:hAnsi="Arial" w:cs="Arial"/>
          <w:color w:val="000000" w:themeColor="text1"/>
          <w:sz w:val="21"/>
          <w:szCs w:val="21"/>
          <w:lang w:val="es-ES" w:eastAsia="es-ES_tradnl"/>
        </w:rPr>
        <w:t xml:space="preserve"> de esta manera, se entienden como parte de la Rama Ejecutiva en su sector descentralizado nacional.</w:t>
      </w:r>
    </w:p>
    <w:p w14:paraId="04AD4EC0" w14:textId="77777777" w:rsidR="00F34C6F" w:rsidRPr="009574C1" w:rsidRDefault="00F34C6F" w:rsidP="00E37458">
      <w:pPr>
        <w:pStyle w:val="NormalWeb"/>
        <w:spacing w:before="0" w:beforeAutospacing="0" w:after="0" w:afterAutospacing="0"/>
        <w:ind w:left="709" w:right="476"/>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 </w:t>
      </w:r>
    </w:p>
    <w:p w14:paraId="07B2C03E" w14:textId="77777777" w:rsidR="00F34C6F" w:rsidRPr="009574C1" w:rsidRDefault="00F34C6F" w:rsidP="00E37458">
      <w:pPr>
        <w:pStyle w:val="NormalWeb"/>
        <w:spacing w:before="0" w:beforeAutospacing="0" w:after="0" w:afterAutospacing="0"/>
        <w:ind w:left="709" w:right="476"/>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 xml:space="preserve">Así las cosas, de cara a la constitucionalidad del artículo 38 de la Ley 498 de 1998, y concretamente de la expresión “las empresas oficiales de servicios públicos domiciliarios” contenida en su literal d), la Corte declarará su </w:t>
      </w:r>
      <w:proofErr w:type="spellStart"/>
      <w:r w:rsidRPr="009574C1">
        <w:rPr>
          <w:rFonts w:ascii="Arial" w:hAnsi="Arial" w:cs="Arial"/>
          <w:color w:val="000000" w:themeColor="text1"/>
          <w:sz w:val="21"/>
          <w:szCs w:val="21"/>
          <w:lang w:val="es-ES" w:eastAsia="es-ES_tradnl"/>
        </w:rPr>
        <w:t>exequibilidad</w:t>
      </w:r>
      <w:proofErr w:type="spellEnd"/>
      <w:r w:rsidRPr="009574C1">
        <w:rPr>
          <w:rFonts w:ascii="Arial" w:hAnsi="Arial" w:cs="Arial"/>
          <w:color w:val="000000" w:themeColor="text1"/>
          <w:sz w:val="21"/>
          <w:szCs w:val="21"/>
          <w:lang w:val="es-ES" w:eastAsia="es-ES_tradnl"/>
        </w:rPr>
        <w:t xml:space="preserve">, por considerar que dentro del supuesto normativo del literal g) se comprenden las empresas mixtas o privadas de servicios públicos, que de esta manera viene a conformar también la Rama Ejecutiva del poder público. </w:t>
      </w:r>
    </w:p>
    <w:p w14:paraId="6F85CF9B" w14:textId="77777777" w:rsidR="00F34C6F" w:rsidRPr="009574C1" w:rsidRDefault="00F34C6F" w:rsidP="00116A03">
      <w:pPr>
        <w:pStyle w:val="NormalWeb"/>
        <w:spacing w:before="120" w:beforeAutospacing="0" w:after="120" w:afterAutospacing="0"/>
        <w:ind w:left="709" w:right="333"/>
        <w:jc w:val="both"/>
        <w:rPr>
          <w:rFonts w:ascii="Arial" w:hAnsi="Arial" w:cs="Arial"/>
          <w:color w:val="000000" w:themeColor="text1"/>
          <w:sz w:val="21"/>
          <w:szCs w:val="21"/>
          <w:lang w:val="es-ES" w:eastAsia="es-ES_tradnl"/>
        </w:rPr>
      </w:pPr>
      <w:r w:rsidRPr="009574C1">
        <w:rPr>
          <w:rFonts w:ascii="Arial" w:hAnsi="Arial" w:cs="Arial"/>
          <w:color w:val="000000" w:themeColor="text1"/>
          <w:sz w:val="21"/>
          <w:szCs w:val="21"/>
          <w:lang w:val="es-ES" w:eastAsia="es-ES_tradnl"/>
        </w:rPr>
        <w:t>[…]</w:t>
      </w:r>
    </w:p>
    <w:p w14:paraId="1FBFEF42" w14:textId="77777777" w:rsidR="00F34C6F" w:rsidRPr="009574C1" w:rsidRDefault="00F34C6F" w:rsidP="00E37458">
      <w:pPr>
        <w:pStyle w:val="NormalWeb"/>
        <w:spacing w:before="0" w:beforeAutospacing="0" w:after="0" w:afterAutospacing="0"/>
        <w:ind w:left="709" w:right="474"/>
        <w:jc w:val="both"/>
        <w:rPr>
          <w:rFonts w:ascii="Arial" w:hAnsi="Arial" w:cs="Arial"/>
          <w:color w:val="000000" w:themeColor="text1"/>
          <w:sz w:val="22"/>
          <w:lang w:val="es-ES" w:eastAsia="es-ES_tradnl"/>
        </w:rPr>
      </w:pPr>
      <w:r w:rsidRPr="009574C1">
        <w:rPr>
          <w:rFonts w:ascii="Arial" w:hAnsi="Arial" w:cs="Arial"/>
          <w:color w:val="000000" w:themeColor="text1"/>
          <w:sz w:val="21"/>
          <w:szCs w:val="21"/>
          <w:lang w:val="es-ES" w:eastAsia="es-ES_tradnl"/>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r w:rsidRPr="009574C1">
        <w:rPr>
          <w:rStyle w:val="Refdenotaalpie"/>
          <w:rFonts w:ascii="Arial" w:hAnsi="Arial" w:cs="Arial"/>
          <w:color w:val="000000" w:themeColor="text1"/>
          <w:sz w:val="22"/>
          <w:lang w:val="es-ES" w:eastAsia="es-ES_tradnl"/>
        </w:rPr>
        <w:footnoteReference w:id="19"/>
      </w:r>
      <w:r w:rsidRPr="009574C1">
        <w:rPr>
          <w:rFonts w:ascii="Arial" w:hAnsi="Arial" w:cs="Arial"/>
          <w:color w:val="000000" w:themeColor="text1"/>
          <w:sz w:val="22"/>
          <w:lang w:val="es-ES" w:eastAsia="es-ES_tradnl"/>
        </w:rPr>
        <w:t>.</w:t>
      </w:r>
    </w:p>
    <w:p w14:paraId="214A7133" w14:textId="77777777" w:rsidR="00F34C6F" w:rsidRPr="009574C1" w:rsidRDefault="00F34C6F" w:rsidP="00E37458">
      <w:pPr>
        <w:pStyle w:val="NormalWeb"/>
        <w:spacing w:before="0" w:beforeAutospacing="0" w:after="0" w:afterAutospacing="0"/>
        <w:jc w:val="both"/>
        <w:rPr>
          <w:rFonts w:ascii="Arial" w:hAnsi="Arial" w:cs="Arial"/>
          <w:color w:val="000000" w:themeColor="text1"/>
          <w:sz w:val="22"/>
          <w:lang w:val="es-ES" w:eastAsia="es-ES_tradnl"/>
        </w:rPr>
      </w:pPr>
    </w:p>
    <w:p w14:paraId="3FE56A2C" w14:textId="77777777" w:rsidR="00F34C6F" w:rsidRPr="009574C1" w:rsidRDefault="00F34C6F" w:rsidP="00E37458">
      <w:pPr>
        <w:pStyle w:val="NormalWeb"/>
        <w:spacing w:before="0" w:beforeAutospacing="0" w:after="0" w:afterAutospacing="0" w:line="276" w:lineRule="auto"/>
        <w:ind w:firstLine="708"/>
        <w:jc w:val="both"/>
        <w:rPr>
          <w:rFonts w:ascii="Arial" w:hAnsi="Arial" w:cs="Arial"/>
          <w:color w:val="000000" w:themeColor="text1"/>
          <w:sz w:val="22"/>
          <w:lang w:val="es-ES" w:eastAsia="es-ES_tradnl"/>
        </w:rPr>
      </w:pPr>
      <w:r w:rsidRPr="009574C1">
        <w:rPr>
          <w:rFonts w:ascii="Arial" w:hAnsi="Arial" w:cs="Arial"/>
          <w:color w:val="000000" w:themeColor="text1"/>
          <w:sz w:val="22"/>
          <w:lang w:val="es-ES" w:eastAsia="es-ES_tradnl"/>
        </w:rPr>
        <w:t xml:space="preserve">En esta providencia también se hace una aclaración que resulta importante: las empresas prestadoras de servicios públicos, de carácter mixto o privado, no deben ser consideradas como empresas de economía mixta. La anterior conclusión fue fundamentada sobre la idea del carácter o naturaleza especial que la Constitución le dio a las Empresas de Servicios Públicos: </w:t>
      </w:r>
    </w:p>
    <w:p w14:paraId="763C221D" w14:textId="77777777" w:rsidR="00F34C6F" w:rsidRPr="009574C1" w:rsidRDefault="00F34C6F" w:rsidP="00116A03">
      <w:pPr>
        <w:spacing w:before="120" w:after="120"/>
        <w:ind w:left="708" w:right="474"/>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7BF59A9B" w14:textId="77777777" w:rsidR="00F34C6F" w:rsidRPr="009574C1" w:rsidRDefault="00F34C6F" w:rsidP="00116A03">
      <w:pPr>
        <w:spacing w:before="120" w:after="120" w:line="276" w:lineRule="auto"/>
        <w:ind w:left="360" w:right="474" w:firstLine="348"/>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 xml:space="preserve">[…] </w:t>
      </w:r>
    </w:p>
    <w:p w14:paraId="66281B6B" w14:textId="77777777" w:rsidR="00F34C6F" w:rsidRPr="009574C1" w:rsidRDefault="00F34C6F" w:rsidP="00E37458">
      <w:pPr>
        <w:ind w:left="708" w:right="474"/>
        <w:jc w:val="both"/>
        <w:rPr>
          <w:rFonts w:ascii="Arial" w:hAnsi="Arial" w:cs="Arial"/>
          <w:color w:val="000000" w:themeColor="text1"/>
          <w:sz w:val="21"/>
          <w:szCs w:val="21"/>
          <w:lang w:val="es-ES"/>
        </w:rPr>
      </w:pPr>
      <w:r w:rsidRPr="009574C1">
        <w:rPr>
          <w:rFonts w:ascii="Arial" w:hAnsi="Arial" w:cs="Arial"/>
          <w:color w:val="000000" w:themeColor="text1"/>
          <w:sz w:val="21"/>
          <w:szCs w:val="21"/>
          <w:lang w:val="es-ES"/>
        </w:rPr>
        <w:t>Al parecer de la Corte, la interpretación según la cual las empresas de servicios públicos son sociedades de economía mixta resulta contraria a la Constitución. Ciertamente, según se dijo arriba, del artículo 365 superior se desprende que el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distintas de los establecimientos públicos, las empresas comerciales e industriales de Estado y las sociedades de economía mixta</w:t>
      </w:r>
      <w:r w:rsidRPr="009574C1">
        <w:rPr>
          <w:rStyle w:val="Refdenotaalpie"/>
          <w:rFonts w:ascii="Arial" w:hAnsi="Arial" w:cs="Arial"/>
          <w:color w:val="000000" w:themeColor="text1"/>
          <w:sz w:val="21"/>
          <w:szCs w:val="21"/>
          <w:lang w:val="es-ES"/>
        </w:rPr>
        <w:footnoteReference w:id="20"/>
      </w:r>
      <w:r w:rsidRPr="009574C1">
        <w:rPr>
          <w:rFonts w:ascii="Arial" w:hAnsi="Arial" w:cs="Arial"/>
          <w:color w:val="000000" w:themeColor="text1"/>
          <w:sz w:val="21"/>
          <w:szCs w:val="21"/>
          <w:lang w:val="es-ES"/>
        </w:rPr>
        <w:t>.</w:t>
      </w:r>
    </w:p>
    <w:p w14:paraId="2BB0C9C3" w14:textId="77777777" w:rsidR="00F34C6F" w:rsidRPr="009574C1" w:rsidRDefault="00F34C6F" w:rsidP="00E37458">
      <w:pPr>
        <w:spacing w:line="276" w:lineRule="auto"/>
        <w:jc w:val="both"/>
        <w:rPr>
          <w:rFonts w:ascii="Arial" w:hAnsi="Arial" w:cs="Arial"/>
          <w:color w:val="000000" w:themeColor="text1"/>
          <w:sz w:val="22"/>
          <w:lang w:val="es-ES"/>
        </w:rPr>
      </w:pPr>
    </w:p>
    <w:p w14:paraId="38391B47" w14:textId="77777777" w:rsidR="00F34C6F" w:rsidRPr="009574C1" w:rsidRDefault="00F34C6F" w:rsidP="00E37458">
      <w:pPr>
        <w:spacing w:line="276" w:lineRule="auto"/>
        <w:ind w:firstLine="708"/>
        <w:jc w:val="both"/>
        <w:rPr>
          <w:rFonts w:ascii="Arial" w:hAnsi="Arial" w:cs="Arial"/>
          <w:color w:val="000000" w:themeColor="text1"/>
          <w:sz w:val="22"/>
          <w:lang w:val="es-ES"/>
        </w:rPr>
      </w:pPr>
      <w:r w:rsidRPr="009574C1">
        <w:rPr>
          <w:rFonts w:ascii="Arial" w:hAnsi="Arial" w:cs="Arial"/>
          <w:color w:val="000000" w:themeColor="text1"/>
          <w:sz w:val="22"/>
          <w:lang w:val="es-ES"/>
        </w:rPr>
        <w:t xml:space="preserve">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15BBEF28" w14:textId="77777777" w:rsidR="00DD390E" w:rsidRPr="009574C1" w:rsidRDefault="00F34C6F" w:rsidP="00116A03">
      <w:pPr>
        <w:spacing w:before="120" w:after="120" w:line="276" w:lineRule="auto"/>
        <w:ind w:firstLine="708"/>
        <w:jc w:val="both"/>
        <w:rPr>
          <w:rFonts w:ascii="Arial" w:hAnsi="Arial" w:cs="Arial"/>
          <w:color w:val="000000" w:themeColor="text1"/>
          <w:sz w:val="20"/>
          <w:szCs w:val="20"/>
        </w:rPr>
      </w:pPr>
      <w:r w:rsidRPr="009574C1">
        <w:rPr>
          <w:rFonts w:ascii="Arial" w:hAnsi="Arial" w:cs="Arial"/>
          <w:color w:val="000000" w:themeColor="text1"/>
          <w:sz w:val="22"/>
          <w:lang w:val="es-ES"/>
        </w:rPr>
        <w:t>Finalmente, en cuanto al régimen jurídico de contratación de las empresas de servicios públicos, el artículo 31 de la Ley 142 de 1994 señala que «los</w:t>
      </w:r>
      <w:r w:rsidRPr="009574C1">
        <w:rPr>
          <w:rFonts w:ascii="Arial" w:hAnsi="Arial" w:cs="Arial"/>
          <w:color w:val="000000" w:themeColor="text1"/>
          <w:sz w:val="20"/>
          <w:szCs w:val="20"/>
        </w:rPr>
        <w:t xml:space="preserve"> </w:t>
      </w:r>
      <w:r w:rsidRPr="009574C1">
        <w:rPr>
          <w:rFonts w:ascii="Arial" w:hAnsi="Arial" w:cs="Arial"/>
          <w:color w:val="000000" w:themeColor="text1"/>
          <w:sz w:val="22"/>
          <w:lang w:val="es-ES"/>
        </w:rPr>
        <w:t xml:space="preserve">contratos que celebren las entidades estatales que prestan los servicios públicos a los que se refiere esta Ley, y que tengan por objeto la prestación de esos servicios, se regirán por el parágrafo 1 </w:t>
      </w:r>
      <w:r w:rsidRPr="009574C1">
        <w:rPr>
          <w:rFonts w:ascii="Arial" w:hAnsi="Arial" w:cs="Arial"/>
          <w:color w:val="000000" w:themeColor="text1"/>
          <w:sz w:val="22"/>
          <w:lang w:val="es-ES"/>
        </w:rPr>
        <w:lastRenderedPageBreak/>
        <w:t>del artículo 32 de la ley 80 de 1993 y por la presente Ley, salvo en lo que la presente Ley disponga otra cosa».</w:t>
      </w:r>
      <w:r w:rsidRPr="009574C1">
        <w:rPr>
          <w:rFonts w:ascii="Arial" w:hAnsi="Arial" w:cs="Arial"/>
          <w:color w:val="000000" w:themeColor="text1"/>
          <w:sz w:val="20"/>
          <w:szCs w:val="20"/>
        </w:rPr>
        <w:t> </w:t>
      </w:r>
    </w:p>
    <w:p w14:paraId="5BE5E5A0" w14:textId="77777777" w:rsidR="00DD390E" w:rsidRPr="009574C1" w:rsidRDefault="00F34C6F" w:rsidP="00116A03">
      <w:pPr>
        <w:spacing w:before="120" w:after="120" w:line="276" w:lineRule="auto"/>
        <w:ind w:firstLine="708"/>
        <w:jc w:val="both"/>
        <w:rPr>
          <w:rFonts w:ascii="Arial" w:hAnsi="Arial" w:cs="Arial"/>
          <w:color w:val="000000" w:themeColor="text1"/>
          <w:sz w:val="22"/>
          <w:lang w:val="es-ES"/>
        </w:rPr>
      </w:pPr>
      <w:r w:rsidRPr="009574C1">
        <w:rPr>
          <w:rFonts w:ascii="Arial" w:hAnsi="Arial" w:cs="Arial"/>
          <w:color w:val="000000" w:themeColor="text1"/>
          <w:sz w:val="22"/>
          <w:lang w:val="es-ES"/>
        </w:rPr>
        <w:t>El parágrafo 1 del artículo 32 de la Ley 80 señala que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 </w:t>
      </w:r>
    </w:p>
    <w:p w14:paraId="01D839AE" w14:textId="65D29D35" w:rsidR="00F34C6F" w:rsidRPr="009574C1" w:rsidRDefault="00F34C6F" w:rsidP="00E37458">
      <w:pPr>
        <w:spacing w:line="276" w:lineRule="auto"/>
        <w:ind w:firstLine="708"/>
        <w:jc w:val="both"/>
        <w:rPr>
          <w:rFonts w:ascii="Arial" w:hAnsi="Arial" w:cs="Arial"/>
          <w:color w:val="000000" w:themeColor="text1"/>
          <w:sz w:val="22"/>
          <w:lang w:val="es-ES"/>
        </w:rPr>
      </w:pPr>
      <w:r w:rsidRPr="009574C1">
        <w:rPr>
          <w:rFonts w:ascii="Arial" w:hAnsi="Arial" w:cs="Arial"/>
          <w:color w:val="000000" w:themeColor="text1"/>
          <w:sz w:val="22"/>
          <w:lang w:val="es-ES"/>
        </w:rPr>
        <w:t xml:space="preserve">Así las cosas, el régimen jurídico aplicable a los contratos que celebren las empresas de servicios públicos, incluso para las oficiales y las mixtas, es el contenido en la Ley 142 de 1994 y en el derecho privado, esto es, no están sometidas al Estatuto General de Contratación Estatal. Sin embargo, como ya se advirtió, eso no las exime del deber de publicar su actividad contractual, cuando ejecuten recursos públicos. </w:t>
      </w:r>
    </w:p>
    <w:p w14:paraId="5F29753E" w14:textId="7027229B" w:rsidR="00F34C6F" w:rsidRPr="009574C1" w:rsidRDefault="00F34C6F" w:rsidP="00E37458">
      <w:pPr>
        <w:pStyle w:val="Prrafodelista"/>
        <w:spacing w:line="276" w:lineRule="auto"/>
        <w:ind w:left="0"/>
        <w:jc w:val="both"/>
        <w:rPr>
          <w:rFonts w:ascii="Arial" w:eastAsia="Calibri" w:hAnsi="Arial" w:cs="Arial"/>
          <w:color w:val="000000" w:themeColor="text1"/>
          <w:sz w:val="22"/>
        </w:rPr>
      </w:pPr>
    </w:p>
    <w:p w14:paraId="5483ABBC" w14:textId="71097514" w:rsidR="00F34C6F" w:rsidRPr="009574C1" w:rsidRDefault="00F34C6F" w:rsidP="00E37458">
      <w:pPr>
        <w:pStyle w:val="Prrafodelista"/>
        <w:numPr>
          <w:ilvl w:val="0"/>
          <w:numId w:val="7"/>
        </w:numPr>
        <w:jc w:val="both"/>
        <w:rPr>
          <w:rFonts w:ascii="Arial" w:eastAsia="Calibri" w:hAnsi="Arial" w:cs="Arial"/>
          <w:color w:val="000000" w:themeColor="text1"/>
          <w:sz w:val="20"/>
          <w:szCs w:val="20"/>
        </w:rPr>
      </w:pPr>
      <w:r w:rsidRPr="009574C1">
        <w:rPr>
          <w:rFonts w:ascii="Arial" w:eastAsia="Calibri" w:hAnsi="Arial" w:cs="Arial"/>
          <w:b/>
          <w:color w:val="000000" w:themeColor="text1"/>
          <w:sz w:val="22"/>
          <w:szCs w:val="20"/>
        </w:rPr>
        <w:t>Respuesta</w:t>
      </w:r>
    </w:p>
    <w:p w14:paraId="12DD795A" w14:textId="77777777" w:rsidR="00DD390E" w:rsidRPr="009574C1" w:rsidRDefault="00DD390E" w:rsidP="00E37458">
      <w:pPr>
        <w:pStyle w:val="Prrafodelista"/>
        <w:ind w:left="360"/>
        <w:jc w:val="both"/>
        <w:rPr>
          <w:rFonts w:ascii="Arial" w:eastAsia="Calibri" w:hAnsi="Arial" w:cs="Arial"/>
          <w:color w:val="000000" w:themeColor="text1"/>
          <w:sz w:val="20"/>
          <w:szCs w:val="20"/>
        </w:rPr>
      </w:pPr>
    </w:p>
    <w:p w14:paraId="545EBC16" w14:textId="77777777" w:rsidR="00F34C6F" w:rsidRPr="009574C1" w:rsidRDefault="00F34C6F" w:rsidP="00E37458">
      <w:pPr>
        <w:ind w:left="708" w:right="333"/>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«Para las empresas de servicios públicos, sean industrial y comercial del Estado o de economía mixta [con porcentaje mayoritario del Estado], para efectos de la contratación ¿se rigen por el derecho privado o por el Estatuto General de contratación? Revisando el portal se puede observar que hay diferentes criterios tomados por las empresas, se puede observar que hay diferentes criterios tomados por las empresas, se puede observar que unas únicamente publican los contratos y su fundamento es lo establecido en el manual de contratación [derecho privado y que la ley 142 de 1994, así lo estipula] y otras hacen lo contenido en la contratación pública Ley 80 de 1993. Entonces si en los manuales de contratación las empresas no se estipula que se realice publicación en el </w:t>
      </w:r>
      <w:proofErr w:type="spellStart"/>
      <w:r w:rsidRPr="009574C1">
        <w:rPr>
          <w:rFonts w:ascii="Arial" w:eastAsia="Calibri" w:hAnsi="Arial" w:cs="Arial"/>
          <w:color w:val="000000" w:themeColor="text1"/>
          <w:sz w:val="22"/>
        </w:rPr>
        <w:t>Secop</w:t>
      </w:r>
      <w:proofErr w:type="spellEnd"/>
      <w:r w:rsidRPr="009574C1">
        <w:rPr>
          <w:rFonts w:ascii="Arial" w:eastAsia="Calibri" w:hAnsi="Arial" w:cs="Arial"/>
          <w:color w:val="000000" w:themeColor="text1"/>
          <w:sz w:val="22"/>
        </w:rPr>
        <w:t xml:space="preserve"> ¿no se realiza?»</w:t>
      </w:r>
    </w:p>
    <w:p w14:paraId="51626B3D" w14:textId="77777777" w:rsidR="00F34C6F" w:rsidRPr="009574C1" w:rsidRDefault="00F34C6F" w:rsidP="00E37458">
      <w:pPr>
        <w:spacing w:line="276" w:lineRule="auto"/>
        <w:ind w:right="333"/>
        <w:jc w:val="both"/>
        <w:rPr>
          <w:rFonts w:ascii="Arial" w:eastAsia="Calibri" w:hAnsi="Arial" w:cs="Arial"/>
          <w:color w:val="000000" w:themeColor="text1"/>
          <w:sz w:val="22"/>
        </w:rPr>
      </w:pPr>
    </w:p>
    <w:p w14:paraId="47B8D56E" w14:textId="77777777" w:rsidR="00F34C6F" w:rsidRPr="009574C1" w:rsidRDefault="00F34C6F" w:rsidP="00E37458">
      <w:pPr>
        <w:spacing w:line="276" w:lineRule="auto"/>
        <w:ind w:right="49"/>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El régimen jurídico aplicable a los contratos que celebren las empresas de servicios públicos es el de la Ley 142 de 1994 y el derecho privado y no el Estatuto General de Contratación Pública. </w:t>
      </w:r>
    </w:p>
    <w:p w14:paraId="18E0C7BD" w14:textId="77777777" w:rsidR="00F34C6F" w:rsidRPr="009574C1" w:rsidRDefault="00F34C6F" w:rsidP="00116A03">
      <w:pPr>
        <w:spacing w:before="120" w:after="120" w:line="276" w:lineRule="auto"/>
        <w:ind w:firstLine="708"/>
        <w:jc w:val="both"/>
        <w:rPr>
          <w:rFonts w:ascii="Arial" w:eastAsia="Calibri" w:hAnsi="Arial" w:cs="Arial"/>
          <w:color w:val="000000" w:themeColor="text1"/>
          <w:sz w:val="22"/>
          <w:lang w:val="es-ES"/>
        </w:rPr>
      </w:pPr>
      <w:r w:rsidRPr="009574C1">
        <w:rPr>
          <w:rFonts w:ascii="Arial" w:eastAsia="Calibri" w:hAnsi="Arial" w:cs="Arial"/>
          <w:color w:val="000000" w:themeColor="text1"/>
          <w:sz w:val="22"/>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w:t>
      </w:r>
    </w:p>
    <w:p w14:paraId="025B4AEC" w14:textId="77777777" w:rsidR="00F34C6F" w:rsidRPr="009574C1" w:rsidRDefault="00F34C6F" w:rsidP="00116A03">
      <w:pPr>
        <w:spacing w:before="120" w:after="120" w:line="276" w:lineRule="auto"/>
        <w:ind w:firstLine="708"/>
        <w:jc w:val="both"/>
        <w:rPr>
          <w:rFonts w:ascii="Arial" w:eastAsia="Calibri" w:hAnsi="Arial" w:cs="Arial"/>
          <w:color w:val="000000" w:themeColor="text1"/>
          <w:sz w:val="22"/>
        </w:rPr>
      </w:pPr>
      <w:r w:rsidRPr="009574C1">
        <w:rPr>
          <w:rFonts w:ascii="Arial" w:eastAsia="Calibri" w:hAnsi="Arial" w:cs="Arial"/>
          <w:color w:val="000000" w:themeColor="text1"/>
          <w:sz w:val="22"/>
        </w:rPr>
        <w:t xml:space="preserve">Ahora, el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w:t>
      </w:r>
      <w:proofErr w:type="spellStart"/>
      <w:r w:rsidRPr="009574C1">
        <w:rPr>
          <w:rFonts w:ascii="Arial" w:eastAsia="Calibri" w:hAnsi="Arial" w:cs="Arial"/>
          <w:color w:val="000000" w:themeColor="text1"/>
          <w:sz w:val="22"/>
        </w:rPr>
        <w:t>ii</w:t>
      </w:r>
      <w:proofErr w:type="spellEnd"/>
      <w:r w:rsidRPr="009574C1">
        <w:rPr>
          <w:rFonts w:ascii="Arial" w:eastAsia="Calibri" w:hAnsi="Arial" w:cs="Arial"/>
          <w:color w:val="000000" w:themeColor="text1"/>
          <w:sz w:val="22"/>
        </w:rPr>
        <w:t xml:space="preserve">) en relación con los procedimientos, </w:t>
      </w:r>
      <w:r w:rsidRPr="009574C1">
        <w:rPr>
          <w:rFonts w:ascii="Arial" w:eastAsia="Calibri" w:hAnsi="Arial" w:cs="Arial"/>
          <w:color w:val="000000" w:themeColor="text1"/>
          <w:sz w:val="22"/>
        </w:rPr>
        <w:lastRenderedPageBreak/>
        <w:t xml:space="preserve">lineamientos y políticas en materia de adquisición se deberán publicar los documentos previstos en el manual de contratación de la entidad y, finalmente, </w:t>
      </w:r>
      <w:proofErr w:type="spellStart"/>
      <w:r w:rsidRPr="009574C1">
        <w:rPr>
          <w:rFonts w:ascii="Arial" w:eastAsia="Calibri" w:hAnsi="Arial" w:cs="Arial"/>
          <w:color w:val="000000" w:themeColor="text1"/>
          <w:sz w:val="22"/>
        </w:rPr>
        <w:t>iii</w:t>
      </w:r>
      <w:proofErr w:type="spellEnd"/>
      <w:r w:rsidRPr="009574C1">
        <w:rPr>
          <w:rFonts w:ascii="Arial" w:eastAsia="Calibri" w:hAnsi="Arial" w:cs="Arial"/>
          <w:color w:val="000000" w:themeColor="text1"/>
          <w:sz w:val="22"/>
        </w:rPr>
        <w:t xml:space="preserve">) el plan anual de adquisiciones. </w:t>
      </w:r>
    </w:p>
    <w:p w14:paraId="0355E820" w14:textId="77777777" w:rsidR="00F34C6F" w:rsidRPr="009574C1" w:rsidRDefault="00F34C6F" w:rsidP="00116A03">
      <w:pPr>
        <w:pStyle w:val="Prrafodelista"/>
        <w:tabs>
          <w:tab w:val="left" w:pos="2835"/>
        </w:tabs>
        <w:spacing w:before="120" w:after="120" w:line="276" w:lineRule="auto"/>
        <w:ind w:left="0" w:firstLine="709"/>
        <w:jc w:val="both"/>
        <w:rPr>
          <w:rFonts w:ascii="Arial" w:eastAsia="Calibri" w:hAnsi="Arial" w:cs="Arial"/>
          <w:color w:val="000000" w:themeColor="text1"/>
          <w:sz w:val="22"/>
        </w:rPr>
      </w:pPr>
      <w:r w:rsidRPr="009574C1">
        <w:rPr>
          <w:rFonts w:ascii="Arial" w:eastAsia="Calibri" w:hAnsi="Arial" w:cs="Arial"/>
          <w:color w:val="000000" w:themeColor="text1"/>
          <w:sz w:val="22"/>
        </w:rPr>
        <w:t>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w:t>
      </w:r>
    </w:p>
    <w:p w14:paraId="11B6C36F" w14:textId="77777777" w:rsidR="00F34C6F" w:rsidRPr="009574C1" w:rsidRDefault="00F34C6F" w:rsidP="00116A03">
      <w:pPr>
        <w:pStyle w:val="Prrafodelista"/>
        <w:spacing w:before="120" w:after="120" w:line="276" w:lineRule="auto"/>
        <w:ind w:left="0" w:firstLine="709"/>
        <w:jc w:val="both"/>
        <w:rPr>
          <w:rFonts w:ascii="Arial" w:eastAsia="Calibri" w:hAnsi="Arial" w:cs="Arial"/>
          <w:color w:val="000000" w:themeColor="text1"/>
          <w:sz w:val="22"/>
        </w:rPr>
      </w:pPr>
    </w:p>
    <w:p w14:paraId="2B743F74" w14:textId="77777777" w:rsidR="00F34C6F" w:rsidRPr="009574C1" w:rsidRDefault="00F34C6F" w:rsidP="00116A03">
      <w:pPr>
        <w:spacing w:before="120" w:after="120" w:line="276" w:lineRule="auto"/>
        <w:ind w:firstLine="708"/>
        <w:jc w:val="both"/>
        <w:rPr>
          <w:rFonts w:ascii="Arial" w:eastAsia="Calibri" w:hAnsi="Arial" w:cs="Arial"/>
          <w:color w:val="000000" w:themeColor="text1"/>
          <w:sz w:val="22"/>
        </w:rPr>
      </w:pPr>
      <w:r w:rsidRPr="009574C1">
        <w:rPr>
          <w:rFonts w:ascii="Arial" w:eastAsia="Calibri" w:hAnsi="Arial" w:cs="Arial"/>
          <w:color w:val="000000" w:themeColor="text1"/>
          <w:sz w:val="22"/>
        </w:rPr>
        <w:t>Este concepto tiene el alcance previsto en el artículo 28 del Código de Procedimiento Administrativo y de lo Contencioso Administrativo.</w:t>
      </w:r>
    </w:p>
    <w:p w14:paraId="25B317F5" w14:textId="77777777" w:rsidR="00F34C6F" w:rsidRPr="009574C1" w:rsidRDefault="00F34C6F" w:rsidP="00116A03">
      <w:pPr>
        <w:spacing w:before="120" w:after="120" w:line="276" w:lineRule="auto"/>
        <w:jc w:val="both"/>
        <w:rPr>
          <w:rFonts w:ascii="Arial" w:eastAsia="Calibri" w:hAnsi="Arial" w:cs="Arial"/>
          <w:color w:val="000000" w:themeColor="text1"/>
          <w:sz w:val="22"/>
        </w:rPr>
      </w:pPr>
    </w:p>
    <w:p w14:paraId="4F522FBB" w14:textId="2B7B6931" w:rsidR="00F34C6F" w:rsidRPr="009574C1" w:rsidRDefault="00F34C6F" w:rsidP="00116A03">
      <w:pPr>
        <w:spacing w:before="120" w:after="120"/>
        <w:jc w:val="both"/>
        <w:rPr>
          <w:rFonts w:ascii="Arial" w:eastAsia="Times New Roman" w:hAnsi="Arial" w:cs="Arial"/>
          <w:color w:val="000000" w:themeColor="text1"/>
          <w:sz w:val="22"/>
          <w:lang w:eastAsia="es-CO"/>
        </w:rPr>
      </w:pPr>
      <w:r w:rsidRPr="009574C1">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6739228F" wp14:editId="15EFA743">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8AA69B6">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5AFA9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r w:rsidRPr="009574C1">
        <w:rPr>
          <w:rFonts w:ascii="Arial" w:eastAsia="Times New Roman" w:hAnsi="Arial" w:cs="Arial"/>
          <w:color w:val="000000" w:themeColor="text1"/>
          <w:sz w:val="22"/>
          <w:lang w:eastAsia="es-CO"/>
        </w:rPr>
        <w:t>Atentamente,</w:t>
      </w:r>
    </w:p>
    <w:p w14:paraId="1EFDF506" w14:textId="0B75ABC9" w:rsidR="00F34C6F" w:rsidRPr="009574C1" w:rsidRDefault="00D1064C" w:rsidP="00116A03">
      <w:pPr>
        <w:spacing w:before="120" w:after="120"/>
        <w:jc w:val="center"/>
        <w:rPr>
          <w:rFonts w:ascii="Arial" w:eastAsia="Times New Roman" w:hAnsi="Arial" w:cs="Arial"/>
          <w:color w:val="000000" w:themeColor="text1"/>
          <w:sz w:val="22"/>
          <w:lang w:eastAsia="es-CO"/>
        </w:rPr>
      </w:pPr>
      <w:r>
        <w:rPr>
          <w:noProof/>
          <w:lang w:val="en-US"/>
        </w:rPr>
        <w:drawing>
          <wp:inline distT="0" distB="0" distL="0" distR="0" wp14:anchorId="3C4BECDA" wp14:editId="47CA2ED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4518"/>
      </w:tblGrid>
      <w:tr w:rsidR="009574C1" w:rsidRPr="009574C1" w14:paraId="5D2D2237" w14:textId="77777777" w:rsidTr="00876BB2">
        <w:trPr>
          <w:trHeight w:val="281"/>
        </w:trPr>
        <w:tc>
          <w:tcPr>
            <w:tcW w:w="831" w:type="dxa"/>
            <w:vAlign w:val="center"/>
          </w:tcPr>
          <w:p w14:paraId="1AF10F8E" w14:textId="77777777" w:rsidR="00F34C6F" w:rsidRPr="009574C1" w:rsidRDefault="00F34C6F" w:rsidP="00116A03">
            <w:pPr>
              <w:spacing w:before="120" w:after="120"/>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Elaboró:</w:t>
            </w:r>
          </w:p>
        </w:tc>
        <w:tc>
          <w:tcPr>
            <w:tcW w:w="4518" w:type="dxa"/>
            <w:tcBorders>
              <w:bottom w:val="dotted" w:sz="4" w:space="0" w:color="7F7F7F" w:themeColor="text1" w:themeTint="80"/>
            </w:tcBorders>
            <w:vAlign w:val="center"/>
          </w:tcPr>
          <w:p w14:paraId="2CEE696B" w14:textId="77777777" w:rsidR="00F34C6F" w:rsidRPr="009574C1" w:rsidRDefault="00F34C6F" w:rsidP="00D1064C">
            <w:pPr>
              <w:jc w:val="both"/>
              <w:rPr>
                <w:rFonts w:ascii="Arial" w:eastAsia="Times New Roman" w:hAnsi="Arial" w:cs="Arial"/>
                <w:color w:val="000000" w:themeColor="text1"/>
                <w:sz w:val="16"/>
                <w:szCs w:val="16"/>
                <w:lang w:eastAsia="es-ES"/>
              </w:rPr>
            </w:pPr>
            <w:proofErr w:type="spellStart"/>
            <w:r w:rsidRPr="009574C1">
              <w:rPr>
                <w:rFonts w:ascii="Arial" w:eastAsia="Times New Roman" w:hAnsi="Arial" w:cs="Arial"/>
                <w:color w:val="000000" w:themeColor="text1"/>
                <w:sz w:val="16"/>
                <w:szCs w:val="16"/>
                <w:lang w:eastAsia="es-ES"/>
              </w:rPr>
              <w:t>Leider</w:t>
            </w:r>
            <w:proofErr w:type="spellEnd"/>
            <w:r w:rsidRPr="009574C1">
              <w:rPr>
                <w:rFonts w:ascii="Arial" w:eastAsia="Times New Roman" w:hAnsi="Arial" w:cs="Arial"/>
                <w:color w:val="000000" w:themeColor="text1"/>
                <w:sz w:val="16"/>
                <w:szCs w:val="16"/>
                <w:lang w:eastAsia="es-ES"/>
              </w:rPr>
              <w:t xml:space="preserve"> Gómez Caballero</w:t>
            </w:r>
          </w:p>
          <w:p w14:paraId="514EF580" w14:textId="77777777" w:rsidR="00F34C6F" w:rsidRPr="009574C1" w:rsidRDefault="00F34C6F" w:rsidP="00D1064C">
            <w:pPr>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Contratista</w:t>
            </w:r>
          </w:p>
        </w:tc>
      </w:tr>
      <w:tr w:rsidR="009574C1" w:rsidRPr="009574C1" w14:paraId="67D23E3B" w14:textId="77777777" w:rsidTr="00876BB2">
        <w:trPr>
          <w:trHeight w:val="294"/>
        </w:trPr>
        <w:tc>
          <w:tcPr>
            <w:tcW w:w="831" w:type="dxa"/>
            <w:vAlign w:val="center"/>
          </w:tcPr>
          <w:p w14:paraId="27867558" w14:textId="77777777" w:rsidR="00F34C6F" w:rsidRPr="009574C1" w:rsidRDefault="00F34C6F" w:rsidP="00116A03">
            <w:pPr>
              <w:spacing w:before="120" w:after="120"/>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Revisó:</w:t>
            </w:r>
          </w:p>
        </w:tc>
        <w:tc>
          <w:tcPr>
            <w:tcW w:w="4518" w:type="dxa"/>
            <w:tcBorders>
              <w:top w:val="dotted" w:sz="4" w:space="0" w:color="7F7F7F" w:themeColor="text1" w:themeTint="80"/>
              <w:bottom w:val="dotted" w:sz="4" w:space="0" w:color="7F7F7F" w:themeColor="text1" w:themeTint="80"/>
            </w:tcBorders>
            <w:vAlign w:val="center"/>
          </w:tcPr>
          <w:p w14:paraId="6C5070E1" w14:textId="77777777" w:rsidR="00F34C6F" w:rsidRPr="009574C1" w:rsidRDefault="00F34C6F" w:rsidP="00D1064C">
            <w:pPr>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Fabián Gonzalo Marín Cortés</w:t>
            </w:r>
          </w:p>
          <w:p w14:paraId="6507659E" w14:textId="77777777" w:rsidR="00F34C6F" w:rsidRPr="009574C1" w:rsidRDefault="00F34C6F" w:rsidP="00D1064C">
            <w:pPr>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Subdirector de Gestión Contractual</w:t>
            </w:r>
          </w:p>
        </w:tc>
      </w:tr>
      <w:tr w:rsidR="00F34C6F" w:rsidRPr="009574C1" w14:paraId="67F81104" w14:textId="77777777" w:rsidTr="00876BB2">
        <w:trPr>
          <w:trHeight w:val="267"/>
        </w:trPr>
        <w:tc>
          <w:tcPr>
            <w:tcW w:w="831" w:type="dxa"/>
            <w:vAlign w:val="center"/>
          </w:tcPr>
          <w:p w14:paraId="07AA437D" w14:textId="77777777" w:rsidR="00F34C6F" w:rsidRPr="009574C1" w:rsidRDefault="00F34C6F" w:rsidP="00116A03">
            <w:pPr>
              <w:spacing w:before="120" w:after="120"/>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Aprobó:</w:t>
            </w:r>
          </w:p>
        </w:tc>
        <w:tc>
          <w:tcPr>
            <w:tcW w:w="4518" w:type="dxa"/>
            <w:tcBorders>
              <w:top w:val="dotted" w:sz="4" w:space="0" w:color="7F7F7F" w:themeColor="text1" w:themeTint="80"/>
              <w:bottom w:val="dotted" w:sz="4" w:space="0" w:color="7F7F7F" w:themeColor="text1" w:themeTint="80"/>
            </w:tcBorders>
            <w:vAlign w:val="center"/>
          </w:tcPr>
          <w:p w14:paraId="29EBD506" w14:textId="77777777" w:rsidR="00F34C6F" w:rsidRPr="009574C1" w:rsidRDefault="00F34C6F" w:rsidP="00D1064C">
            <w:pPr>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Fabián Gonzalo Marín Cortés</w:t>
            </w:r>
          </w:p>
          <w:p w14:paraId="57580D03" w14:textId="77777777" w:rsidR="00F34C6F" w:rsidRPr="009574C1" w:rsidRDefault="00F34C6F" w:rsidP="00D1064C">
            <w:pPr>
              <w:jc w:val="both"/>
              <w:rPr>
                <w:rFonts w:ascii="Arial" w:eastAsia="Times New Roman" w:hAnsi="Arial" w:cs="Arial"/>
                <w:color w:val="000000" w:themeColor="text1"/>
                <w:sz w:val="16"/>
                <w:szCs w:val="16"/>
                <w:lang w:eastAsia="es-ES"/>
              </w:rPr>
            </w:pPr>
            <w:r w:rsidRPr="009574C1">
              <w:rPr>
                <w:rFonts w:ascii="Arial" w:eastAsia="Times New Roman" w:hAnsi="Arial" w:cs="Arial"/>
                <w:color w:val="000000" w:themeColor="text1"/>
                <w:sz w:val="16"/>
                <w:szCs w:val="16"/>
                <w:lang w:eastAsia="es-ES"/>
              </w:rPr>
              <w:t>Subdirector de Gestión Contractual</w:t>
            </w:r>
          </w:p>
        </w:tc>
      </w:tr>
      <w:bookmarkEnd w:id="0"/>
      <w:bookmarkEnd w:id="1"/>
    </w:tbl>
    <w:p w14:paraId="33FF83A2" w14:textId="77777777" w:rsidR="0034177C" w:rsidRPr="009574C1" w:rsidRDefault="0034177C" w:rsidP="00116A03">
      <w:pPr>
        <w:spacing w:before="120" w:after="120" w:line="276" w:lineRule="auto"/>
        <w:jc w:val="both"/>
        <w:rPr>
          <w:rFonts w:ascii="Arial" w:eastAsia="Calibri" w:hAnsi="Arial" w:cs="Arial"/>
          <w:b/>
          <w:color w:val="000000" w:themeColor="text1"/>
          <w:sz w:val="22"/>
        </w:rPr>
      </w:pPr>
    </w:p>
    <w:sectPr w:rsidR="0034177C" w:rsidRPr="009574C1"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746EE" w14:textId="77777777" w:rsidR="005255FC" w:rsidRDefault="005255FC">
      <w:r>
        <w:separator/>
      </w:r>
    </w:p>
  </w:endnote>
  <w:endnote w:type="continuationSeparator" w:id="0">
    <w:p w14:paraId="588FEC62" w14:textId="77777777" w:rsidR="005255FC" w:rsidRDefault="0052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2056" w14:textId="77777777" w:rsidR="00E37458" w:rsidRDefault="00E37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55CEBC3F"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1064C">
      <w:rPr>
        <w:rFonts w:ascii="Arial" w:hAnsi="Arial" w:cs="Arial"/>
        <w:b/>
        <w:bCs/>
        <w:noProof/>
        <w:color w:val="7F7F7F" w:themeColor="text1" w:themeTint="80"/>
        <w:sz w:val="16"/>
        <w:szCs w:val="16"/>
      </w:rPr>
      <w:t>17</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1064C">
      <w:rPr>
        <w:rFonts w:ascii="Arial" w:hAnsi="Arial" w:cs="Arial"/>
        <w:b/>
        <w:bCs/>
        <w:noProof/>
        <w:color w:val="7F7F7F" w:themeColor="text1" w:themeTint="80"/>
        <w:sz w:val="16"/>
        <w:szCs w:val="16"/>
      </w:rPr>
      <w:t>17</w:t>
    </w:r>
    <w:r w:rsidR="00FE42ED" w:rsidRPr="00084B97">
      <w:rPr>
        <w:rFonts w:ascii="Arial" w:hAnsi="Arial" w:cs="Arial"/>
        <w:b/>
        <w:bCs/>
        <w:color w:val="7F7F7F" w:themeColor="text1" w:themeTint="80"/>
        <w:sz w:val="16"/>
        <w:szCs w:val="16"/>
      </w:rPr>
      <w:fldChar w:fldCharType="end"/>
    </w:r>
  </w:p>
  <w:p w14:paraId="48FC6A04" w14:textId="5FD1A7C9" w:rsidR="009047C5" w:rsidRDefault="239421E6" w:rsidP="00322937">
    <w:pPr>
      <w:pStyle w:val="Piedepgina"/>
      <w:jc w:val="center"/>
      <w:rPr>
        <w:lang w:val="es-ES"/>
      </w:rPr>
    </w:pPr>
    <w:r>
      <w:rPr>
        <w:noProof/>
        <w:lang w:val="en-US"/>
      </w:rPr>
      <w:drawing>
        <wp:inline distT="0" distB="0" distL="0" distR="0" wp14:anchorId="608B196D" wp14:editId="70370374">
          <wp:extent cx="3700130" cy="519139"/>
          <wp:effectExtent l="0" t="0" r="0" b="0"/>
          <wp:docPr id="8522061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3C6C" w14:textId="77777777" w:rsidR="00E37458" w:rsidRDefault="00E374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5D5E3" w14:textId="77777777" w:rsidR="005255FC" w:rsidRDefault="005255FC">
      <w:r>
        <w:separator/>
      </w:r>
    </w:p>
  </w:footnote>
  <w:footnote w:type="continuationSeparator" w:id="0">
    <w:p w14:paraId="657A3B91" w14:textId="77777777" w:rsidR="005255FC" w:rsidRDefault="005255FC">
      <w:r>
        <w:continuationSeparator/>
      </w:r>
    </w:p>
  </w:footnote>
  <w:footnote w:id="1">
    <w:p w14:paraId="3C821359"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Corte Constitucional. Sentencia C- 341 del 4 de junio de 2014. M. P. Mauricio González Cuervo</w:t>
      </w:r>
    </w:p>
    <w:p w14:paraId="652D148C" w14:textId="77777777" w:rsidR="00F34C6F" w:rsidRPr="009574C1" w:rsidRDefault="00F34C6F" w:rsidP="00F34C6F">
      <w:pPr>
        <w:pStyle w:val="Textonotapie"/>
        <w:ind w:firstLine="708"/>
        <w:jc w:val="both"/>
        <w:rPr>
          <w:rFonts w:ascii="Arial" w:hAnsi="Arial" w:cs="Arial"/>
          <w:color w:val="000000" w:themeColor="text1"/>
          <w:sz w:val="19"/>
          <w:szCs w:val="19"/>
        </w:rPr>
      </w:pPr>
    </w:p>
  </w:footnote>
  <w:footnote w:id="2">
    <w:p w14:paraId="0D7A2930"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28AC040"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»Lo anterior, sin perjuicio de las publicaciones previstas en el numeral 3 del artículo 30 de la Ley 80 de 1993.</w:t>
      </w:r>
    </w:p>
    <w:p w14:paraId="3FFE185D"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r w:rsidRPr="009574C1">
        <w:rPr>
          <w:rFonts w:ascii="Arial" w:hAnsi="Arial" w:cs="Arial"/>
          <w:color w:val="000000" w:themeColor="text1"/>
          <w:sz w:val="19"/>
          <w:szCs w:val="19"/>
        </w:rPr>
        <w:t xml:space="preserve">Secop, el cual: </w:t>
      </w:r>
    </w:p>
    <w:p w14:paraId="11F97BB5"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w:t>
      </w:r>
    </w:p>
    <w:p w14:paraId="2B0B9304"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613C622"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p>
  </w:footnote>
  <w:footnote w:id="3">
    <w:p w14:paraId="6FA503B4"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88C0C40"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p>
  </w:footnote>
  <w:footnote w:id="4">
    <w:p w14:paraId="1FBEB078"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184AE6D"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A248CB4" w14:textId="77777777" w:rsidR="00F34C6F" w:rsidRPr="009574C1" w:rsidRDefault="00F34C6F" w:rsidP="00F34C6F">
      <w:pPr>
        <w:pStyle w:val="Textonotapie"/>
        <w:jc w:val="both"/>
        <w:rPr>
          <w:rFonts w:ascii="Arial" w:hAnsi="Arial" w:cs="Arial"/>
          <w:color w:val="000000" w:themeColor="text1"/>
          <w:sz w:val="19"/>
          <w:szCs w:val="19"/>
          <w:lang w:val="es-CO"/>
        </w:rPr>
      </w:pPr>
    </w:p>
  </w:footnote>
  <w:footnote w:id="5">
    <w:p w14:paraId="373687AB"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Fonts w:ascii="Arial" w:eastAsia="Times New Roman" w:hAnsi="Arial" w:cs="Arial"/>
          <w:color w:val="000000" w:themeColor="text1"/>
          <w:sz w:val="19"/>
          <w:szCs w:val="19"/>
          <w:vertAlign w:val="superscript"/>
          <w:lang w:val="es-ES" w:eastAsia="es-ES"/>
        </w:rPr>
        <w:footnoteRef/>
      </w:r>
      <w:r w:rsidRPr="009574C1">
        <w:rPr>
          <w:rFonts w:ascii="Arial" w:eastAsia="Times New Roman" w:hAnsi="Arial" w:cs="Arial"/>
          <w:color w:val="000000" w:themeColor="text1"/>
          <w:sz w:val="19"/>
          <w:szCs w:val="19"/>
          <w:vertAlign w:val="superscript"/>
          <w:lang w:val="es-ES" w:eastAsia="es-ES"/>
        </w:rPr>
        <w:t xml:space="preserve"> </w:t>
      </w:r>
      <w:r w:rsidRPr="009574C1">
        <w:rPr>
          <w:rFonts w:ascii="Arial" w:hAnsi="Arial" w:cs="Arial"/>
          <w:color w:val="000000" w:themeColor="text1"/>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41FF8064"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Fonts w:ascii="Arial" w:hAnsi="Arial" w:cs="Arial"/>
          <w:color w:val="000000" w:themeColor="text1"/>
          <w:sz w:val="19"/>
          <w:szCs w:val="19"/>
        </w:rPr>
        <w:t>[…]</w:t>
      </w:r>
    </w:p>
    <w:p w14:paraId="076054B2" w14:textId="659BFB7E" w:rsidR="00F34C6F" w:rsidRPr="009574C1" w:rsidRDefault="00DD390E" w:rsidP="00F34C6F">
      <w:pPr>
        <w:pStyle w:val="Textonotapie"/>
        <w:ind w:firstLine="709"/>
        <w:jc w:val="both"/>
        <w:rPr>
          <w:rFonts w:ascii="Arial" w:eastAsia="Times New Roman" w:hAnsi="Arial" w:cs="Arial"/>
          <w:color w:val="000000" w:themeColor="text1"/>
          <w:sz w:val="19"/>
          <w:szCs w:val="19"/>
          <w:lang w:val="es-ES" w:eastAsia="es-ES"/>
        </w:rPr>
      </w:pPr>
      <w:r w:rsidRPr="009574C1">
        <w:rPr>
          <w:rFonts w:ascii="Arial" w:eastAsia="Times New Roman" w:hAnsi="Arial" w:cs="Arial"/>
          <w:color w:val="000000" w:themeColor="text1"/>
          <w:sz w:val="19"/>
          <w:szCs w:val="19"/>
          <w:lang w:val="es-ES" w:eastAsia="es-ES"/>
        </w:rPr>
        <w:t xml:space="preserve"> </w:t>
      </w:r>
      <w:r w:rsidR="00F34C6F" w:rsidRPr="009574C1">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59DE80B" w14:textId="77777777" w:rsidR="00F34C6F" w:rsidRPr="009574C1" w:rsidRDefault="00F34C6F" w:rsidP="00F34C6F">
      <w:pPr>
        <w:pStyle w:val="Textonotapie"/>
        <w:ind w:firstLine="709"/>
        <w:jc w:val="both"/>
        <w:rPr>
          <w:rFonts w:ascii="Arial" w:eastAsia="Times New Roman" w:hAnsi="Arial" w:cs="Arial"/>
          <w:color w:val="000000" w:themeColor="text1"/>
          <w:sz w:val="19"/>
          <w:szCs w:val="19"/>
          <w:lang w:val="es-ES" w:eastAsia="es-ES"/>
        </w:rPr>
      </w:pPr>
    </w:p>
  </w:footnote>
  <w:footnote w:id="6">
    <w:p w14:paraId="65DB9B04"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C</w:t>
      </w:r>
      <w:r w:rsidRPr="009574C1">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34D6DFC7"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p>
  </w:footnote>
  <w:footnote w:id="7">
    <w:p w14:paraId="3253A611"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4E16ACAC"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Consejo de Estado. Sección Tercera. Subsección C. Auto del 14 de agosto de 2017. </w:t>
      </w:r>
      <w:r w:rsidRPr="009574C1">
        <w:rPr>
          <w:rFonts w:ascii="Arial" w:hAnsi="Arial" w:cs="Arial"/>
          <w:color w:val="000000" w:themeColor="text1"/>
          <w:sz w:val="19"/>
          <w:szCs w:val="19"/>
        </w:rPr>
        <w:t xml:space="preserve">Exp. 58.820. C.P. Jaime Orlando Santofimio Gamboa. </w:t>
      </w:r>
    </w:p>
    <w:p w14:paraId="56EB1BCC"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p>
  </w:footnote>
  <w:footnote w:id="9">
    <w:p w14:paraId="14964EBC" w14:textId="77777777" w:rsidR="00F34C6F" w:rsidRPr="009574C1" w:rsidRDefault="00F34C6F" w:rsidP="00F34C6F">
      <w:pPr>
        <w:pStyle w:val="Prrafodelista"/>
        <w:ind w:left="0" w:firstLine="708"/>
        <w:jc w:val="both"/>
        <w:rPr>
          <w:rFonts w:ascii="Arial" w:hAnsi="Arial" w:cs="Arial"/>
          <w:bCs/>
          <w:color w:val="000000" w:themeColor="text1"/>
          <w:sz w:val="19"/>
          <w:szCs w:val="19"/>
          <w:lang w:val="es-ES"/>
        </w:rPr>
      </w:pPr>
      <w:r w:rsidRPr="009574C1">
        <w:rPr>
          <w:rStyle w:val="Refdenotaalpie"/>
          <w:rFonts w:ascii="Arial" w:hAnsi="Arial" w:cs="Arial"/>
          <w:color w:val="000000" w:themeColor="text1"/>
          <w:sz w:val="19"/>
          <w:szCs w:val="19"/>
        </w:rPr>
        <w:footnoteRef/>
      </w:r>
      <w:r w:rsidRPr="009574C1">
        <w:rPr>
          <w:color w:val="000000" w:themeColor="text1"/>
          <w:sz w:val="19"/>
          <w:szCs w:val="19"/>
        </w:rPr>
        <w:t xml:space="preserve"> </w:t>
      </w:r>
      <w:r w:rsidRPr="009574C1">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65572BCE" w14:textId="77777777" w:rsidR="00F34C6F" w:rsidRPr="009574C1" w:rsidRDefault="00F34C6F" w:rsidP="00F34C6F">
      <w:pPr>
        <w:pStyle w:val="Textonotapie"/>
        <w:ind w:firstLine="708"/>
        <w:jc w:val="both"/>
        <w:rPr>
          <w:color w:val="000000" w:themeColor="text1"/>
          <w:sz w:val="19"/>
          <w:szCs w:val="19"/>
          <w:lang w:val="es-ES"/>
        </w:rPr>
      </w:pPr>
    </w:p>
  </w:footnote>
  <w:footnote w:id="10">
    <w:p w14:paraId="5C386FCD"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7C25EFE0"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56704D80" w14:textId="77777777" w:rsidR="00F34C6F" w:rsidRPr="009574C1" w:rsidRDefault="00F34C6F" w:rsidP="00F34C6F">
      <w:pPr>
        <w:pStyle w:val="Textonotapie"/>
        <w:jc w:val="both"/>
        <w:rPr>
          <w:rFonts w:ascii="Arial" w:hAnsi="Arial" w:cs="Arial"/>
          <w:color w:val="000000" w:themeColor="text1"/>
          <w:sz w:val="19"/>
          <w:szCs w:val="19"/>
        </w:rPr>
      </w:pPr>
    </w:p>
  </w:footnote>
  <w:footnote w:id="11">
    <w:p w14:paraId="2D59FB59" w14:textId="2B96D2DA"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5423C1B2" w14:textId="77777777" w:rsidR="00784468" w:rsidRPr="009574C1" w:rsidRDefault="00784468" w:rsidP="00F34C6F">
      <w:pPr>
        <w:pStyle w:val="Textonotapie"/>
        <w:ind w:firstLine="708"/>
        <w:jc w:val="both"/>
        <w:rPr>
          <w:rFonts w:ascii="Arial" w:hAnsi="Arial" w:cs="Arial"/>
          <w:color w:val="000000" w:themeColor="text1"/>
          <w:sz w:val="19"/>
          <w:szCs w:val="19"/>
        </w:rPr>
      </w:pPr>
    </w:p>
  </w:footnote>
  <w:footnote w:id="12">
    <w:p w14:paraId="700C429F"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2164BDEE" w14:textId="77777777" w:rsidR="00F34C6F" w:rsidRPr="009574C1" w:rsidRDefault="00F34C6F" w:rsidP="00F34C6F">
      <w:pPr>
        <w:pStyle w:val="Textonotapie"/>
        <w:ind w:firstLine="708"/>
        <w:jc w:val="both"/>
        <w:rPr>
          <w:rFonts w:ascii="Arial" w:hAnsi="Arial" w:cs="Arial"/>
          <w:color w:val="000000" w:themeColor="text1"/>
          <w:sz w:val="19"/>
          <w:szCs w:val="19"/>
        </w:rPr>
      </w:pPr>
    </w:p>
  </w:footnote>
  <w:footnote w:id="13">
    <w:p w14:paraId="30D72A27"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w:t>
      </w:r>
      <w:r w:rsidRPr="009574C1">
        <w:rPr>
          <w:rFonts w:ascii="Arial" w:hAnsi="Arial" w:cs="Arial"/>
          <w:color w:val="000000" w:themeColor="text1"/>
          <w:sz w:val="19"/>
          <w:szCs w:val="19"/>
        </w:rPr>
        <w:t>Secop el Plan Anual de Adquisiciones, de acuerdo con lo previsto en el artículo 74 de la Ley 1474 de 2011, el literal e) del artículo 9° de la Ley 1712 de 2014 y el Decreto 1510 de 2013, o el que lo modifique, sustituya o adicione.</w:t>
      </w:r>
    </w:p>
    <w:p w14:paraId="4978FA13"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»Los sujetos obligados que no contratan con cargo a recursos públicos no están obligados a publicar su Plan Anual de Adquisiciones.</w:t>
      </w:r>
    </w:p>
    <w:p w14:paraId="411E97EC"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4DB71D96"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04F6F011" w14:textId="77777777" w:rsidR="00F34C6F" w:rsidRPr="009574C1" w:rsidRDefault="00F34C6F" w:rsidP="00F34C6F">
      <w:pPr>
        <w:pStyle w:val="Textonotapie"/>
        <w:ind w:firstLine="708"/>
        <w:jc w:val="both"/>
        <w:rPr>
          <w:rFonts w:ascii="Arial" w:hAnsi="Arial" w:cs="Arial"/>
          <w:color w:val="000000" w:themeColor="text1"/>
          <w:sz w:val="19"/>
          <w:szCs w:val="19"/>
        </w:rPr>
      </w:pPr>
    </w:p>
  </w:footnote>
  <w:footnote w:id="14">
    <w:p w14:paraId="10647739"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793E7E46"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6D7F48F3" w14:textId="77777777" w:rsidR="00F34C6F" w:rsidRPr="009574C1" w:rsidRDefault="00F34C6F" w:rsidP="00F34C6F">
      <w:pPr>
        <w:pStyle w:val="Textonotapie"/>
        <w:jc w:val="both"/>
        <w:rPr>
          <w:rFonts w:ascii="Arial" w:hAnsi="Arial" w:cs="Arial"/>
          <w:color w:val="000000" w:themeColor="text1"/>
          <w:sz w:val="19"/>
          <w:szCs w:val="19"/>
          <w:lang w:val="es-CO"/>
        </w:rPr>
      </w:pPr>
    </w:p>
  </w:footnote>
  <w:footnote w:id="15">
    <w:p w14:paraId="471E867E"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791A5F1F"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03C00FD1" w14:textId="6EA12912" w:rsidR="00F34C6F" w:rsidRPr="009574C1" w:rsidRDefault="00F34C6F" w:rsidP="00F34C6F">
      <w:pPr>
        <w:pStyle w:val="Textonotapie"/>
        <w:ind w:firstLine="709"/>
        <w:jc w:val="both"/>
        <w:rPr>
          <w:rFonts w:ascii="Arial" w:hAnsi="Arial" w:cs="Arial"/>
          <w:color w:val="000000" w:themeColor="text1"/>
          <w:sz w:val="19"/>
          <w:szCs w:val="19"/>
        </w:rPr>
      </w:pPr>
      <w:r w:rsidRPr="009574C1">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37B17C18" w14:textId="77777777" w:rsidR="00116A03" w:rsidRPr="009574C1" w:rsidRDefault="00116A03" w:rsidP="00F34C6F">
      <w:pPr>
        <w:pStyle w:val="Textonotapie"/>
        <w:ind w:firstLine="709"/>
        <w:jc w:val="both"/>
        <w:rPr>
          <w:rFonts w:ascii="Arial" w:hAnsi="Arial" w:cs="Arial"/>
          <w:color w:val="000000" w:themeColor="text1"/>
          <w:sz w:val="19"/>
          <w:szCs w:val="19"/>
        </w:rPr>
      </w:pPr>
    </w:p>
  </w:footnote>
  <w:footnote w:id="16">
    <w:p w14:paraId="7A2B7999"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Corte Constitucional. Sentencia C- 083 del 1 de marzo de 1995. M.P. Carlos Gaviria Díaz</w:t>
      </w:r>
    </w:p>
    <w:p w14:paraId="70E4D705" w14:textId="77777777" w:rsidR="00F34C6F" w:rsidRPr="009574C1" w:rsidRDefault="00F34C6F" w:rsidP="00F34C6F">
      <w:pPr>
        <w:pStyle w:val="Textonotapie"/>
        <w:ind w:firstLine="708"/>
        <w:jc w:val="both"/>
        <w:rPr>
          <w:rFonts w:ascii="Arial" w:hAnsi="Arial" w:cs="Arial"/>
          <w:color w:val="000000" w:themeColor="text1"/>
          <w:sz w:val="19"/>
          <w:szCs w:val="19"/>
        </w:rPr>
      </w:pPr>
    </w:p>
  </w:footnote>
  <w:footnote w:id="17">
    <w:p w14:paraId="1619BF26"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4C6D0AB"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8">
    <w:p w14:paraId="0A403559" w14:textId="43A9EB05" w:rsidR="00F34C6F" w:rsidRPr="009574C1" w:rsidRDefault="00F34C6F" w:rsidP="00F34C6F">
      <w:pPr>
        <w:pStyle w:val="Textonotapie"/>
        <w:ind w:firstLine="708"/>
        <w:jc w:val="both"/>
        <w:rPr>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 xml:space="preserve">Ley 489 de 1998: </w:t>
      </w:r>
      <w:r w:rsidR="00DD390E" w:rsidRPr="009574C1">
        <w:rPr>
          <w:rFonts w:ascii="Arial" w:hAnsi="Arial" w:cs="Arial"/>
          <w:color w:val="000000" w:themeColor="text1"/>
          <w:sz w:val="19"/>
          <w:szCs w:val="19"/>
        </w:rPr>
        <w:t>«</w:t>
      </w:r>
      <w:r w:rsidRPr="009574C1">
        <w:rPr>
          <w:rFonts w:ascii="Arial" w:hAnsi="Arial" w:cs="Arial"/>
          <w:color w:val="000000" w:themeColor="text1"/>
          <w:sz w:val="19"/>
          <w:szCs w:val="19"/>
        </w:rPr>
        <w:t>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9574C1">
        <w:rPr>
          <w:rFonts w:ascii="Arial" w:hAnsi="Arial" w:cs="Arial"/>
          <w:b/>
          <w:color w:val="000000" w:themeColor="text1"/>
          <w:sz w:val="19"/>
          <w:szCs w:val="19"/>
        </w:rPr>
        <w:t>las empresas oficiales de servicios públicos</w:t>
      </w:r>
      <w:r w:rsidRPr="009574C1">
        <w:rPr>
          <w:rFonts w:ascii="Arial" w:hAnsi="Arial" w:cs="Arial"/>
          <w:color w:val="000000" w:themeColor="text1"/>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00DD390E" w:rsidRPr="009574C1">
        <w:rPr>
          <w:rFonts w:ascii="Arial" w:hAnsi="Arial" w:cs="Arial"/>
          <w:color w:val="000000" w:themeColor="text1"/>
          <w:sz w:val="19"/>
          <w:szCs w:val="19"/>
        </w:rPr>
        <w:t>»</w:t>
      </w:r>
      <w:r w:rsidRPr="009574C1">
        <w:rPr>
          <w:rFonts w:ascii="Arial" w:hAnsi="Arial" w:cs="Arial"/>
          <w:color w:val="000000" w:themeColor="text1"/>
          <w:sz w:val="19"/>
          <w:szCs w:val="19"/>
        </w:rPr>
        <w:t>.</w:t>
      </w:r>
    </w:p>
  </w:footnote>
  <w:footnote w:id="19">
    <w:p w14:paraId="5C4B494F" w14:textId="77777777" w:rsidR="00F34C6F" w:rsidRPr="009574C1" w:rsidRDefault="00F34C6F" w:rsidP="00F34C6F">
      <w:pPr>
        <w:pStyle w:val="Textonotapie"/>
        <w:ind w:firstLine="708"/>
        <w:rPr>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Corte Constitucional. Sentencia C-736 de 2007. C.P. Marco Gerardo Monroy Cabra.</w:t>
      </w:r>
      <w:r w:rsidRPr="009574C1">
        <w:rPr>
          <w:color w:val="000000" w:themeColor="text1"/>
          <w:sz w:val="19"/>
          <w:szCs w:val="19"/>
        </w:rPr>
        <w:t xml:space="preserve">  </w:t>
      </w:r>
    </w:p>
    <w:p w14:paraId="4F483B75" w14:textId="77777777" w:rsidR="00F34C6F" w:rsidRPr="009574C1" w:rsidRDefault="00F34C6F" w:rsidP="00F34C6F">
      <w:pPr>
        <w:pStyle w:val="Textonotapie"/>
        <w:ind w:firstLine="708"/>
        <w:rPr>
          <w:color w:val="000000" w:themeColor="text1"/>
          <w:sz w:val="19"/>
          <w:szCs w:val="19"/>
          <w:lang w:val="es-ES"/>
        </w:rPr>
      </w:pPr>
    </w:p>
  </w:footnote>
  <w:footnote w:id="20">
    <w:p w14:paraId="211DD697" w14:textId="77777777" w:rsidR="00F34C6F" w:rsidRPr="009574C1" w:rsidRDefault="00F34C6F" w:rsidP="00F34C6F">
      <w:pPr>
        <w:pStyle w:val="Textonotapie"/>
        <w:ind w:firstLine="708"/>
        <w:rPr>
          <w:color w:val="000000" w:themeColor="text1"/>
          <w:sz w:val="19"/>
          <w:szCs w:val="19"/>
          <w:lang w:val="es-ES"/>
        </w:rPr>
      </w:pPr>
      <w:r w:rsidRPr="009574C1">
        <w:rPr>
          <w:rStyle w:val="Refdenotaalpie"/>
          <w:color w:val="000000" w:themeColor="text1"/>
          <w:sz w:val="19"/>
          <w:szCs w:val="19"/>
        </w:rPr>
        <w:footnoteRef/>
      </w:r>
      <w:r w:rsidRPr="009574C1">
        <w:rPr>
          <w:i/>
          <w:color w:val="000000" w:themeColor="text1"/>
          <w:sz w:val="19"/>
          <w:szCs w:val="19"/>
        </w:rPr>
        <w:t xml:space="preserve"> </w:t>
      </w:r>
      <w:r w:rsidRPr="009574C1">
        <w:rPr>
          <w:rFonts w:ascii="Arial" w:hAnsi="Arial" w:cs="Arial"/>
          <w:i/>
          <w:iCs/>
          <w:color w:val="000000" w:themeColor="text1"/>
          <w:sz w:val="19"/>
          <w:szCs w:val="19"/>
        </w:rPr>
        <w:t>Ibídem.</w:t>
      </w:r>
      <w:r w:rsidRPr="009574C1">
        <w:rPr>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F2E9" w14:textId="77777777" w:rsidR="00E37458" w:rsidRDefault="00E374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BE58" w14:textId="77777777" w:rsidR="00E37458" w:rsidRDefault="00E374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583DE3"/>
    <w:multiLevelType w:val="multilevel"/>
    <w:tmpl w:val="F9548F4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84B97"/>
    <w:rsid w:val="000942EB"/>
    <w:rsid w:val="00094734"/>
    <w:rsid w:val="000B103F"/>
    <w:rsid w:val="000F14E8"/>
    <w:rsid w:val="00103915"/>
    <w:rsid w:val="00103AA2"/>
    <w:rsid w:val="00116A03"/>
    <w:rsid w:val="0012204A"/>
    <w:rsid w:val="00122B23"/>
    <w:rsid w:val="00137FFA"/>
    <w:rsid w:val="001B0444"/>
    <w:rsid w:val="0020632A"/>
    <w:rsid w:val="002110EB"/>
    <w:rsid w:val="00211338"/>
    <w:rsid w:val="00234B84"/>
    <w:rsid w:val="002C4C0C"/>
    <w:rsid w:val="003033BA"/>
    <w:rsid w:val="00322937"/>
    <w:rsid w:val="003337B4"/>
    <w:rsid w:val="0034177C"/>
    <w:rsid w:val="0034680A"/>
    <w:rsid w:val="00353DD5"/>
    <w:rsid w:val="00386456"/>
    <w:rsid w:val="003A0878"/>
    <w:rsid w:val="003A581E"/>
    <w:rsid w:val="00423F9F"/>
    <w:rsid w:val="004422D6"/>
    <w:rsid w:val="004455D0"/>
    <w:rsid w:val="00487FF4"/>
    <w:rsid w:val="0049241A"/>
    <w:rsid w:val="004A34D2"/>
    <w:rsid w:val="0051074C"/>
    <w:rsid w:val="00513AF2"/>
    <w:rsid w:val="005255FC"/>
    <w:rsid w:val="0054413A"/>
    <w:rsid w:val="005564CA"/>
    <w:rsid w:val="0056182B"/>
    <w:rsid w:val="005756AA"/>
    <w:rsid w:val="005D51FA"/>
    <w:rsid w:val="005D791B"/>
    <w:rsid w:val="00614817"/>
    <w:rsid w:val="00633DBF"/>
    <w:rsid w:val="00655371"/>
    <w:rsid w:val="00697665"/>
    <w:rsid w:val="006A7CB5"/>
    <w:rsid w:val="006A7FD0"/>
    <w:rsid w:val="006D7687"/>
    <w:rsid w:val="006E0572"/>
    <w:rsid w:val="00705631"/>
    <w:rsid w:val="00715EAA"/>
    <w:rsid w:val="00742DD2"/>
    <w:rsid w:val="00746E08"/>
    <w:rsid w:val="00747C96"/>
    <w:rsid w:val="0075094E"/>
    <w:rsid w:val="007522E8"/>
    <w:rsid w:val="0075647A"/>
    <w:rsid w:val="007634AD"/>
    <w:rsid w:val="0078122E"/>
    <w:rsid w:val="00784468"/>
    <w:rsid w:val="00794CBB"/>
    <w:rsid w:val="00795647"/>
    <w:rsid w:val="0079648F"/>
    <w:rsid w:val="007B0854"/>
    <w:rsid w:val="007F6B46"/>
    <w:rsid w:val="007F72CB"/>
    <w:rsid w:val="0080426A"/>
    <w:rsid w:val="008217B7"/>
    <w:rsid w:val="0083119B"/>
    <w:rsid w:val="00836EAB"/>
    <w:rsid w:val="008410FF"/>
    <w:rsid w:val="0085092D"/>
    <w:rsid w:val="00850F79"/>
    <w:rsid w:val="00876BB2"/>
    <w:rsid w:val="0089774F"/>
    <w:rsid w:val="008E1C15"/>
    <w:rsid w:val="008F538E"/>
    <w:rsid w:val="00902E4F"/>
    <w:rsid w:val="009047C5"/>
    <w:rsid w:val="0095385A"/>
    <w:rsid w:val="009574C1"/>
    <w:rsid w:val="00984209"/>
    <w:rsid w:val="009F59C2"/>
    <w:rsid w:val="00A24560"/>
    <w:rsid w:val="00A34538"/>
    <w:rsid w:val="00A37FB6"/>
    <w:rsid w:val="00A62C84"/>
    <w:rsid w:val="00AA08E7"/>
    <w:rsid w:val="00AA442B"/>
    <w:rsid w:val="00AA669D"/>
    <w:rsid w:val="00B01EEA"/>
    <w:rsid w:val="00B13B79"/>
    <w:rsid w:val="00B13EC0"/>
    <w:rsid w:val="00B22E22"/>
    <w:rsid w:val="00B525CB"/>
    <w:rsid w:val="00B63872"/>
    <w:rsid w:val="00B63CB2"/>
    <w:rsid w:val="00B64EDB"/>
    <w:rsid w:val="00B7315F"/>
    <w:rsid w:val="00B91B8E"/>
    <w:rsid w:val="00BADF2E"/>
    <w:rsid w:val="00BD78FE"/>
    <w:rsid w:val="00C33688"/>
    <w:rsid w:val="00CC00CD"/>
    <w:rsid w:val="00D01760"/>
    <w:rsid w:val="00D1064C"/>
    <w:rsid w:val="00D16E39"/>
    <w:rsid w:val="00D223B6"/>
    <w:rsid w:val="00D60327"/>
    <w:rsid w:val="00D72E9D"/>
    <w:rsid w:val="00D82CE5"/>
    <w:rsid w:val="00DA5AB1"/>
    <w:rsid w:val="00DC62E5"/>
    <w:rsid w:val="00DD390E"/>
    <w:rsid w:val="00DD735D"/>
    <w:rsid w:val="00DE3119"/>
    <w:rsid w:val="00DF236B"/>
    <w:rsid w:val="00E13AB8"/>
    <w:rsid w:val="00E25CB3"/>
    <w:rsid w:val="00E33B62"/>
    <w:rsid w:val="00E37458"/>
    <w:rsid w:val="00E4143A"/>
    <w:rsid w:val="00EE59B5"/>
    <w:rsid w:val="00F16D95"/>
    <w:rsid w:val="00F34C6F"/>
    <w:rsid w:val="00F84899"/>
    <w:rsid w:val="00F859F0"/>
    <w:rsid w:val="00F952AE"/>
    <w:rsid w:val="00FE141E"/>
    <w:rsid w:val="00FE42ED"/>
    <w:rsid w:val="1DDA1FC6"/>
    <w:rsid w:val="239421E6"/>
    <w:rsid w:val="4835BBD1"/>
    <w:rsid w:val="5961C917"/>
    <w:rsid w:val="72C6B76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iPriority w:val="9"/>
    <w:unhideWhenUsed/>
    <w:qFormat/>
    <w:rsid w:val="00F34C6F"/>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34C6F"/>
    <w:rPr>
      <w:rFonts w:asciiTheme="majorHAnsi" w:eastAsiaTheme="majorEastAsia" w:hAnsiTheme="majorHAnsi" w:cstheme="majorBidi"/>
      <w:color w:val="365F91" w:themeColor="accent1" w:themeShade="BF"/>
      <w:sz w:val="26"/>
      <w:szCs w:val="26"/>
      <w:lang w:val="es-MX"/>
    </w:rPr>
  </w:style>
  <w:style w:type="character" w:customStyle="1" w:styleId="NormalWebCar">
    <w:name w:val="Normal (Web) Car"/>
    <w:link w:val="NormalWeb"/>
    <w:uiPriority w:val="99"/>
    <w:rsid w:val="00F34C6F"/>
    <w:rPr>
      <w:rFonts w:ascii="Times New Roman" w:eastAsia="Times New Roman" w:hAnsi="Times New Roman" w:cs="Times New Roman"/>
      <w:sz w:val="24"/>
      <w:szCs w:val="24"/>
      <w:lang w:eastAsia="es-CO"/>
    </w:rPr>
  </w:style>
  <w:style w:type="paragraph" w:customStyle="1" w:styleId="Default">
    <w:name w:val="Default"/>
    <w:rsid w:val="008410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081B-C8CB-4FD3-8607-5247FEEE3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9DB9-7048-4A35-B7FC-3E68F0E68D9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6097965-471C-42C5-88B2-619F15AF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5821</Words>
  <Characters>32020</Characters>
  <Application>Microsoft Office Word</Application>
  <DocSecurity>0</DocSecurity>
  <Lines>266</Lines>
  <Paragraphs>75</Paragraphs>
  <ScaleCrop>false</ScaleCrop>
  <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2020-02-17T19:55:00Z</cp:lastPrinted>
  <dcterms:created xsi:type="dcterms:W3CDTF">2020-08-20T15:22:00Z</dcterms:created>
  <dcterms:modified xsi:type="dcterms:W3CDTF">2020-08-20T15:22:00Z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