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7358" w14:textId="77777777" w:rsidR="00B60B49" w:rsidRPr="00876411" w:rsidRDefault="00B60B49" w:rsidP="009F5055">
      <w:pPr>
        <w:jc w:val="both"/>
        <w:rPr>
          <w:b/>
          <w:bCs/>
          <w:sz w:val="21"/>
          <w:szCs w:val="21"/>
        </w:rPr>
      </w:pPr>
    </w:p>
    <w:p w14:paraId="33632193" w14:textId="11A6DC74" w:rsidR="3FA4CB87" w:rsidRDefault="3FA4CB87" w:rsidP="7AD3C750">
      <w:pPr>
        <w:spacing w:line="259" w:lineRule="auto"/>
        <w:ind w:left="300"/>
        <w:jc w:val="both"/>
        <w:rPr>
          <w:b/>
          <w:bCs/>
        </w:rPr>
      </w:pPr>
      <w:r w:rsidRPr="7AD3C750">
        <w:rPr>
          <w:b/>
          <w:bCs/>
        </w:rPr>
        <w:t>CONTRATO ESTATAL – Requisitos de perfeccionamiento</w:t>
      </w:r>
    </w:p>
    <w:p w14:paraId="20D0073B" w14:textId="77777777" w:rsidR="00B60B49" w:rsidRPr="00876411" w:rsidRDefault="00B60B49" w:rsidP="00137D5B">
      <w:pPr>
        <w:jc w:val="both"/>
        <w:rPr>
          <w:b/>
          <w:bCs/>
          <w:sz w:val="21"/>
          <w:szCs w:val="21"/>
        </w:rPr>
      </w:pPr>
    </w:p>
    <w:p w14:paraId="5150E040" w14:textId="6DBF32C5" w:rsidR="00876411" w:rsidRPr="00876411" w:rsidRDefault="009F5055" w:rsidP="00137D5B">
      <w:pPr>
        <w:ind w:left="300"/>
        <w:jc w:val="both"/>
        <w:rPr>
          <w:sz w:val="20"/>
          <w:szCs w:val="20"/>
        </w:rPr>
      </w:pPr>
      <w:r w:rsidRPr="7AD3C750">
        <w:rPr>
          <w:sz w:val="20"/>
          <w:szCs w:val="20"/>
        </w:rPr>
        <w:t xml:space="preserve">La Ley 80 de 1993, en el texto original del artículo 41, indicó que los requisitos para perfeccionar el contrato son: i) llegar a un acuerdo sobre el objeto y la contraprestación y </w:t>
      </w:r>
      <w:proofErr w:type="spellStart"/>
      <w:r w:rsidRPr="7AD3C750">
        <w:rPr>
          <w:sz w:val="20"/>
          <w:szCs w:val="20"/>
        </w:rPr>
        <w:t>ii</w:t>
      </w:r>
      <w:proofErr w:type="spellEnd"/>
      <w:r w:rsidRPr="7AD3C750">
        <w:rPr>
          <w:sz w:val="20"/>
          <w:szCs w:val="20"/>
        </w:rPr>
        <w:t xml:space="preserve">) que conste por escrito. Por su parte, para iniciar la ejecución se requería: i) la constitución y aprobación de la garantía y </w:t>
      </w:r>
      <w:proofErr w:type="spellStart"/>
      <w:r w:rsidRPr="7AD3C750">
        <w:rPr>
          <w:sz w:val="20"/>
          <w:szCs w:val="20"/>
        </w:rPr>
        <w:t>ii</w:t>
      </w:r>
      <w:proofErr w:type="spellEnd"/>
      <w:r w:rsidRPr="7AD3C750">
        <w:rPr>
          <w:sz w:val="20"/>
          <w:szCs w:val="20"/>
        </w:rPr>
        <w:t>) la existen</w:t>
      </w:r>
      <w:r w:rsidR="00876411" w:rsidRPr="7AD3C750">
        <w:rPr>
          <w:sz w:val="20"/>
          <w:szCs w:val="20"/>
        </w:rPr>
        <w:t xml:space="preserve">cia del registro presupuestal. </w:t>
      </w:r>
    </w:p>
    <w:p w14:paraId="33371D37" w14:textId="12822DDF" w:rsidR="009F5055" w:rsidRPr="00876411" w:rsidRDefault="00876411" w:rsidP="00137D5B">
      <w:pPr>
        <w:ind w:left="300"/>
        <w:jc w:val="both"/>
        <w:rPr>
          <w:sz w:val="20"/>
          <w:szCs w:val="20"/>
        </w:rPr>
      </w:pPr>
      <w:r w:rsidRPr="7AD3C750">
        <w:rPr>
          <w:sz w:val="20"/>
          <w:szCs w:val="20"/>
        </w:rPr>
        <w:t>[…]</w:t>
      </w:r>
      <w:r w:rsidR="6035574C" w:rsidRPr="7AD3C750">
        <w:rPr>
          <w:sz w:val="20"/>
          <w:szCs w:val="20"/>
        </w:rPr>
        <w:t xml:space="preserve"> </w:t>
      </w:r>
      <w:r w:rsidR="009F5055" w:rsidRPr="7AD3C750">
        <w:rPr>
          <w:sz w:val="20"/>
          <w:szCs w:val="20"/>
        </w:rPr>
        <w:t>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w:t>
      </w:r>
    </w:p>
    <w:p w14:paraId="3852628C" w14:textId="77777777" w:rsidR="00B60B49" w:rsidRPr="00876411" w:rsidRDefault="00B60B49" w:rsidP="00137D5B">
      <w:pPr>
        <w:jc w:val="both"/>
        <w:rPr>
          <w:sz w:val="20"/>
          <w:szCs w:val="20"/>
        </w:rPr>
      </w:pPr>
    </w:p>
    <w:p w14:paraId="646898F4" w14:textId="68786D5A" w:rsidR="009F5055" w:rsidRPr="00876411" w:rsidRDefault="006E47BB" w:rsidP="7AD3C750">
      <w:pPr>
        <w:ind w:left="300"/>
        <w:jc w:val="both"/>
        <w:rPr>
          <w:b/>
          <w:bCs/>
        </w:rPr>
      </w:pPr>
      <w:r>
        <w:rPr>
          <w:b/>
          <w:bCs/>
        </w:rPr>
        <w:t xml:space="preserve">APORTES </w:t>
      </w:r>
      <w:r w:rsidR="493AA1B3" w:rsidRPr="7AD3C750">
        <w:rPr>
          <w:b/>
          <w:bCs/>
        </w:rPr>
        <w:t>SEGURIDAD SOCIAL</w:t>
      </w:r>
      <w:r w:rsidR="009F5055" w:rsidRPr="7AD3C750">
        <w:rPr>
          <w:b/>
          <w:bCs/>
        </w:rPr>
        <w:t xml:space="preserve"> –</w:t>
      </w:r>
      <w:r w:rsidR="51A2EC1F" w:rsidRPr="7AD3C750">
        <w:rPr>
          <w:b/>
          <w:bCs/>
        </w:rPr>
        <w:t xml:space="preserve"> </w:t>
      </w:r>
      <w:r w:rsidR="1BB33536" w:rsidRPr="7AD3C750">
        <w:rPr>
          <w:b/>
          <w:bCs/>
        </w:rPr>
        <w:t xml:space="preserve">Procesos de contratación – </w:t>
      </w:r>
      <w:r w:rsidR="009F5055" w:rsidRPr="7AD3C750">
        <w:rPr>
          <w:b/>
          <w:bCs/>
        </w:rPr>
        <w:t xml:space="preserve">Ley 789 de 2002 </w:t>
      </w:r>
      <w:r w:rsidR="399AC29C" w:rsidRPr="7AD3C750">
        <w:rPr>
          <w:b/>
          <w:bCs/>
        </w:rPr>
        <w:t>– Obligación de verificación – Entida</w:t>
      </w:r>
      <w:r w:rsidR="3139D3BC" w:rsidRPr="7AD3C750">
        <w:rPr>
          <w:b/>
          <w:bCs/>
        </w:rPr>
        <w:t>d</w:t>
      </w:r>
      <w:r w:rsidR="399AC29C" w:rsidRPr="7AD3C750">
        <w:rPr>
          <w:b/>
          <w:bCs/>
        </w:rPr>
        <w:t xml:space="preserve"> estatal</w:t>
      </w:r>
    </w:p>
    <w:p w14:paraId="6FA5F41B" w14:textId="77777777" w:rsidR="00B60B49" w:rsidRPr="00876411" w:rsidRDefault="00B60B49" w:rsidP="00CA2FA8">
      <w:pPr>
        <w:jc w:val="both"/>
        <w:rPr>
          <w:b/>
          <w:bCs/>
          <w:sz w:val="21"/>
          <w:szCs w:val="21"/>
        </w:rPr>
      </w:pPr>
    </w:p>
    <w:p w14:paraId="1BC0A30B" w14:textId="3BA71993" w:rsidR="009F5055" w:rsidRPr="00876411" w:rsidRDefault="009F5055" w:rsidP="00137D5B">
      <w:pPr>
        <w:ind w:left="300"/>
        <w:jc w:val="both"/>
        <w:rPr>
          <w:sz w:val="20"/>
          <w:szCs w:val="20"/>
        </w:rPr>
      </w:pPr>
      <w:r w:rsidRPr="00876411">
        <w:rPr>
          <w:sz w:val="20"/>
          <w:szCs w:val="20"/>
        </w:rPr>
        <w:t>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p>
    <w:p w14:paraId="753E55DA" w14:textId="77777777" w:rsidR="00B60B49" w:rsidRPr="00876411" w:rsidRDefault="00B60B49" w:rsidP="00CA2FA8">
      <w:pPr>
        <w:jc w:val="both"/>
        <w:rPr>
          <w:sz w:val="21"/>
          <w:szCs w:val="21"/>
        </w:rPr>
      </w:pPr>
    </w:p>
    <w:p w14:paraId="1F210E79" w14:textId="1F3DC3C7" w:rsidR="009F5055" w:rsidRPr="00876411" w:rsidRDefault="006E47BB" w:rsidP="7AD3C750">
      <w:pPr>
        <w:ind w:left="300"/>
        <w:jc w:val="both"/>
        <w:rPr>
          <w:b/>
          <w:bCs/>
        </w:rPr>
      </w:pPr>
      <w:r>
        <w:rPr>
          <w:b/>
          <w:bCs/>
        </w:rPr>
        <w:t xml:space="preserve">APORTES </w:t>
      </w:r>
      <w:r w:rsidR="009F5055" w:rsidRPr="7AD3C750">
        <w:rPr>
          <w:b/>
          <w:bCs/>
        </w:rPr>
        <w:t xml:space="preserve">SEGURIDAD SOCIAL – Obligación del contratista </w:t>
      </w:r>
      <w:r w:rsidR="41D13643" w:rsidRPr="7AD3C750">
        <w:rPr>
          <w:b/>
          <w:bCs/>
        </w:rPr>
        <w:t>–</w:t>
      </w:r>
      <w:r w:rsidR="009F5055" w:rsidRPr="7AD3C750">
        <w:rPr>
          <w:b/>
          <w:bCs/>
        </w:rPr>
        <w:t xml:space="preserve"> Verificación</w:t>
      </w:r>
      <w:r w:rsidR="1DAEFB26" w:rsidRPr="7AD3C750">
        <w:rPr>
          <w:b/>
          <w:bCs/>
        </w:rPr>
        <w:t xml:space="preserve"> – Entidad estatal</w:t>
      </w:r>
    </w:p>
    <w:p w14:paraId="3CA7DAC1" w14:textId="77777777" w:rsidR="00B60B49" w:rsidRPr="00876411" w:rsidRDefault="00B60B49" w:rsidP="00CA2FA8">
      <w:pPr>
        <w:jc w:val="both"/>
        <w:rPr>
          <w:b/>
          <w:bCs/>
          <w:sz w:val="21"/>
          <w:szCs w:val="21"/>
        </w:rPr>
      </w:pPr>
    </w:p>
    <w:p w14:paraId="5234E97C" w14:textId="757BC052" w:rsidR="009F5055" w:rsidRPr="00876411" w:rsidRDefault="009F5055" w:rsidP="00137D5B">
      <w:pPr>
        <w:ind w:left="300"/>
        <w:jc w:val="both"/>
        <w:rPr>
          <w:sz w:val="20"/>
          <w:szCs w:val="20"/>
        </w:rPr>
      </w:pPr>
      <w:r w:rsidRPr="00876411">
        <w:rPr>
          <w:sz w:val="20"/>
          <w:szCs w:val="20"/>
        </w:rPr>
        <w:t xml:space="preserve">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876411">
        <w:rPr>
          <w:sz w:val="20"/>
          <w:szCs w:val="20"/>
        </w:rPr>
        <w:t>ii</w:t>
      </w:r>
      <w:proofErr w:type="spellEnd"/>
      <w:r w:rsidRPr="00876411">
        <w:rPr>
          <w:sz w:val="20"/>
          <w:szCs w:val="20"/>
        </w:rPr>
        <w:t xml:space="preserve">)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r w:rsidR="00876411" w:rsidRPr="00876411">
        <w:rPr>
          <w:sz w:val="20"/>
          <w:szCs w:val="20"/>
        </w:rPr>
        <w:t>[</w:t>
      </w:r>
      <w:r w:rsidRPr="00876411">
        <w:rPr>
          <w:sz w:val="20"/>
          <w:szCs w:val="20"/>
        </w:rPr>
        <w:t>…</w:t>
      </w:r>
      <w:r w:rsidR="00876411" w:rsidRPr="00876411">
        <w:rPr>
          <w:sz w:val="20"/>
          <w:szCs w:val="20"/>
        </w:rPr>
        <w:t>]</w:t>
      </w:r>
      <w:r w:rsidRPr="00876411">
        <w:rPr>
          <w:sz w:val="20"/>
          <w:szCs w:val="20"/>
        </w:rPr>
        <w:t xml:space="preserve">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39A63B36" w14:textId="77777777" w:rsidR="008B34F1" w:rsidRPr="00876411" w:rsidRDefault="008B34F1" w:rsidP="00CA2FA8">
      <w:pPr>
        <w:jc w:val="both"/>
        <w:rPr>
          <w:sz w:val="21"/>
          <w:szCs w:val="21"/>
        </w:rPr>
      </w:pPr>
    </w:p>
    <w:p w14:paraId="52EE165C" w14:textId="56651E82" w:rsidR="009F5055" w:rsidRPr="00876411" w:rsidRDefault="629F2D7C" w:rsidP="7AD3C750">
      <w:pPr>
        <w:ind w:left="300"/>
        <w:jc w:val="both"/>
        <w:rPr>
          <w:b/>
          <w:bCs/>
        </w:rPr>
      </w:pPr>
      <w:r w:rsidRPr="7AD3C750">
        <w:rPr>
          <w:b/>
          <w:bCs/>
        </w:rPr>
        <w:t>CONTRATOS DE PRESTACIÓN DE SERVICIOS</w:t>
      </w:r>
      <w:r w:rsidR="009F5055" w:rsidRPr="7AD3C750">
        <w:rPr>
          <w:b/>
          <w:bCs/>
        </w:rPr>
        <w:t xml:space="preserve"> – </w:t>
      </w:r>
      <w:r w:rsidR="4C29719E" w:rsidRPr="7AD3C750">
        <w:rPr>
          <w:b/>
          <w:bCs/>
        </w:rPr>
        <w:t xml:space="preserve">Pago de seguridad social – </w:t>
      </w:r>
      <w:r w:rsidR="009F5055" w:rsidRPr="7AD3C750">
        <w:rPr>
          <w:b/>
          <w:bCs/>
        </w:rPr>
        <w:t>Ley 1955 de 2019</w:t>
      </w:r>
      <w:r w:rsidR="53E51641" w:rsidRPr="7AD3C750">
        <w:rPr>
          <w:b/>
          <w:bCs/>
        </w:rPr>
        <w:t xml:space="preserve"> – Ob</w:t>
      </w:r>
      <w:r w:rsidR="686612BF" w:rsidRPr="7AD3C750">
        <w:rPr>
          <w:b/>
          <w:bCs/>
        </w:rPr>
        <w:t>ligación – Mes vencido</w:t>
      </w:r>
      <w:r w:rsidR="53E51641" w:rsidRPr="7AD3C750">
        <w:rPr>
          <w:b/>
          <w:bCs/>
        </w:rPr>
        <w:t xml:space="preserve"> </w:t>
      </w:r>
    </w:p>
    <w:p w14:paraId="0EDB4275" w14:textId="77777777" w:rsidR="008B34F1" w:rsidRPr="00876411" w:rsidRDefault="008B34F1" w:rsidP="00CA2FA8">
      <w:pPr>
        <w:jc w:val="both"/>
        <w:rPr>
          <w:sz w:val="21"/>
          <w:szCs w:val="21"/>
        </w:rPr>
      </w:pPr>
    </w:p>
    <w:p w14:paraId="12DC98DF" w14:textId="0C9130BD" w:rsidR="009F5055" w:rsidRPr="00876411" w:rsidRDefault="009F5055" w:rsidP="00137D5B">
      <w:pPr>
        <w:ind w:left="300"/>
        <w:jc w:val="both"/>
        <w:rPr>
          <w:sz w:val="20"/>
          <w:szCs w:val="20"/>
        </w:rPr>
      </w:pPr>
      <w:r w:rsidRPr="00876411">
        <w:rPr>
          <w:sz w:val="20"/>
          <w:szCs w:val="20"/>
        </w:rPr>
        <w:t>La Ley 1955 de 2019, en el artículo 336, dejó sin efectos el artículo 135 de la Ley 1735 de 2015 y reguló el tema en el artículo 244, señalando 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90778E9" w14:textId="77777777" w:rsidR="008B34F1" w:rsidRPr="00876411" w:rsidRDefault="008B34F1" w:rsidP="00CA2FA8">
      <w:pPr>
        <w:jc w:val="both"/>
        <w:rPr>
          <w:sz w:val="21"/>
          <w:szCs w:val="21"/>
        </w:rPr>
      </w:pPr>
    </w:p>
    <w:p w14:paraId="33E1677F" w14:textId="6B5ECEBB" w:rsidR="009F5055" w:rsidRPr="00876411" w:rsidRDefault="006E47BB" w:rsidP="00137D5B">
      <w:pPr>
        <w:ind w:left="300"/>
        <w:jc w:val="both"/>
        <w:rPr>
          <w:b/>
          <w:bCs/>
        </w:rPr>
      </w:pPr>
      <w:r>
        <w:rPr>
          <w:b/>
          <w:bCs/>
        </w:rPr>
        <w:t xml:space="preserve">APORTES </w:t>
      </w:r>
      <w:r w:rsidR="009F5055" w:rsidRPr="00876411">
        <w:rPr>
          <w:b/>
          <w:bCs/>
        </w:rPr>
        <w:t xml:space="preserve">SEGURIDAD SOCIAL – Ley 1955 de 2019 – Cambios importantes </w:t>
      </w:r>
    </w:p>
    <w:p w14:paraId="6232734F" w14:textId="77777777" w:rsidR="008B34F1" w:rsidRPr="00876411" w:rsidRDefault="008B34F1" w:rsidP="00CA2FA8">
      <w:pPr>
        <w:jc w:val="both"/>
        <w:rPr>
          <w:sz w:val="21"/>
          <w:szCs w:val="21"/>
        </w:rPr>
      </w:pPr>
    </w:p>
    <w:p w14:paraId="4318B6AB" w14:textId="1A39F575" w:rsidR="008B34F1" w:rsidRPr="00876411" w:rsidRDefault="009F5055" w:rsidP="7AD3C750">
      <w:pPr>
        <w:ind w:left="300"/>
        <w:jc w:val="both"/>
        <w:rPr>
          <w:sz w:val="20"/>
          <w:szCs w:val="20"/>
        </w:rPr>
      </w:pPr>
      <w:r w:rsidRPr="7AD3C750">
        <w:rPr>
          <w:sz w:val="20"/>
          <w:szCs w:val="20"/>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w:t>
      </w:r>
    </w:p>
    <w:p w14:paraId="4BD72E83" w14:textId="77777777" w:rsidR="009F5055" w:rsidRPr="00876411" w:rsidRDefault="009F5055" w:rsidP="00CA2FA8">
      <w:pPr>
        <w:ind w:left="300"/>
      </w:pPr>
    </w:p>
    <w:p w14:paraId="3F474E37" w14:textId="15243BE0" w:rsidR="28C869A6" w:rsidRDefault="28C869A6" w:rsidP="7AD3C750">
      <w:pPr>
        <w:spacing w:line="259" w:lineRule="auto"/>
        <w:ind w:left="300"/>
        <w:jc w:val="both"/>
        <w:rPr>
          <w:b/>
          <w:bCs/>
        </w:rPr>
      </w:pPr>
      <w:r w:rsidRPr="7AD3C750">
        <w:rPr>
          <w:b/>
          <w:bCs/>
        </w:rPr>
        <w:lastRenderedPageBreak/>
        <w:t>VIGENCIA DEL CONTRATO – Definición – Plazo – Diferencias</w:t>
      </w:r>
    </w:p>
    <w:p w14:paraId="31E9261F" w14:textId="01681144" w:rsidR="7AD3C750" w:rsidRDefault="7AD3C750" w:rsidP="7AD3C750">
      <w:pPr>
        <w:spacing w:line="259" w:lineRule="auto"/>
        <w:ind w:left="300"/>
        <w:jc w:val="both"/>
        <w:rPr>
          <w:b/>
          <w:bCs/>
        </w:rPr>
      </w:pPr>
    </w:p>
    <w:p w14:paraId="6650745F" w14:textId="5E188C1E" w:rsidR="00D56622" w:rsidRPr="00876411" w:rsidRDefault="00D56622" w:rsidP="00137D5B">
      <w:pPr>
        <w:ind w:left="300"/>
        <w:jc w:val="both"/>
        <w:rPr>
          <w:sz w:val="20"/>
          <w:szCs w:val="20"/>
        </w:rPr>
      </w:pPr>
      <w:r w:rsidRPr="00876411">
        <w:rPr>
          <w:sz w:val="20"/>
          <w:szCs w:val="20"/>
        </w:rPr>
        <w:t xml:space="preserve">La vigencia del contrato se define como el período en el que existen obligaciones derivadas de aquel. En tal sentido, plazo del contrato no es sinónimo de su vigencia, pues, si bien es cierto, mientras perdure el plazo –o sea, mientras no se haya vencido– el contrato se encuentra vigente, no lo es menos que la terminación del plazo no necesariamente hace cesar la vigencia del contrato. </w:t>
      </w:r>
      <w:r w:rsidR="00876411" w:rsidRPr="00876411">
        <w:rPr>
          <w:sz w:val="20"/>
          <w:szCs w:val="20"/>
        </w:rPr>
        <w:t>[</w:t>
      </w:r>
      <w:r w:rsidRPr="00876411">
        <w:rPr>
          <w:sz w:val="20"/>
          <w:szCs w:val="20"/>
        </w:rPr>
        <w:t>…</w:t>
      </w:r>
      <w:r w:rsidR="00876411" w:rsidRPr="00876411">
        <w:rPr>
          <w:sz w:val="20"/>
          <w:szCs w:val="20"/>
        </w:rPr>
        <w:t>]</w:t>
      </w:r>
      <w:r w:rsidRPr="00876411">
        <w:rPr>
          <w:sz w:val="20"/>
          <w:szCs w:val="20"/>
        </w:rPr>
        <w:t xml:space="preserve"> Esta forma de concebir el plazo de ejecución, como tiempo dentro del cual han de cumplirse las obligaciones, pero cuyo vencimiento no extingue el contrato, guarda consonancia con el artículo 1625 del Código Civil</w:t>
      </w:r>
    </w:p>
    <w:p w14:paraId="1CEC51F5" w14:textId="77777777" w:rsidR="00D56622" w:rsidRPr="00876411" w:rsidRDefault="00D56622" w:rsidP="00137D5B">
      <w:pPr>
        <w:ind w:left="300"/>
        <w:jc w:val="both"/>
        <w:rPr>
          <w:sz w:val="21"/>
          <w:szCs w:val="21"/>
        </w:rPr>
      </w:pPr>
    </w:p>
    <w:p w14:paraId="5B288468" w14:textId="09CB25D9" w:rsidR="62FB794B" w:rsidRDefault="006E47BB" w:rsidP="7AD3C750">
      <w:pPr>
        <w:spacing w:line="259" w:lineRule="auto"/>
        <w:ind w:left="300"/>
        <w:jc w:val="both"/>
        <w:rPr>
          <w:b/>
          <w:bCs/>
        </w:rPr>
      </w:pPr>
      <w:r>
        <w:rPr>
          <w:b/>
          <w:bCs/>
        </w:rPr>
        <w:t xml:space="preserve">APORTES </w:t>
      </w:r>
      <w:r w:rsidR="62FB794B" w:rsidRPr="7AD3C750">
        <w:rPr>
          <w:b/>
          <w:bCs/>
        </w:rPr>
        <w:t>SEGURIDAD SOCIAL</w:t>
      </w:r>
      <w:r w:rsidR="00D56622" w:rsidRPr="7AD3C750">
        <w:rPr>
          <w:b/>
          <w:bCs/>
        </w:rPr>
        <w:t xml:space="preserve"> –</w:t>
      </w:r>
      <w:r w:rsidR="3365D73E" w:rsidRPr="7AD3C750">
        <w:rPr>
          <w:b/>
          <w:bCs/>
        </w:rPr>
        <w:t xml:space="preserve"> Deber de verificación – Entidad estatal </w:t>
      </w:r>
    </w:p>
    <w:p w14:paraId="3B6E1E3D" w14:textId="77777777" w:rsidR="00D56622" w:rsidRPr="00876411" w:rsidRDefault="00D56622" w:rsidP="00CA2FA8">
      <w:pPr>
        <w:jc w:val="both"/>
        <w:rPr>
          <w:b/>
          <w:bCs/>
        </w:rPr>
      </w:pPr>
    </w:p>
    <w:p w14:paraId="4209C917" w14:textId="3CF9AD6D" w:rsidR="00D56622" w:rsidRPr="00876411" w:rsidRDefault="00137D5B" w:rsidP="00137D5B">
      <w:pPr>
        <w:ind w:left="300"/>
        <w:jc w:val="both"/>
        <w:rPr>
          <w:sz w:val="20"/>
          <w:szCs w:val="20"/>
        </w:rPr>
      </w:pPr>
      <w:r w:rsidRPr="00876411">
        <w:rPr>
          <w:sz w:val="20"/>
          <w:szCs w:val="20"/>
        </w:rPr>
        <w:t>S</w:t>
      </w:r>
      <w:r w:rsidR="00D56622" w:rsidRPr="00876411">
        <w:rPr>
          <w:sz w:val="20"/>
          <w:szCs w:val="20"/>
        </w:rPr>
        <w:t>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w:t>
      </w:r>
    </w:p>
    <w:p w14:paraId="3797C1B4" w14:textId="1EB7DE60" w:rsidR="009F5055" w:rsidRDefault="009F5055">
      <w:pPr>
        <w:spacing w:line="253" w:lineRule="exact"/>
        <w:ind w:left="300"/>
      </w:pPr>
    </w:p>
    <w:p w14:paraId="0EDAD18F" w14:textId="77777777" w:rsidR="00527FDA" w:rsidRPr="00876411" w:rsidRDefault="00527FDA">
      <w:pPr>
        <w:spacing w:line="253" w:lineRule="exact"/>
        <w:ind w:left="300"/>
      </w:pPr>
    </w:p>
    <w:p w14:paraId="53EEDDCC" w14:textId="77777777" w:rsidR="007A733C" w:rsidRPr="00876411" w:rsidRDefault="009F5055">
      <w:pPr>
        <w:spacing w:line="253" w:lineRule="exact"/>
        <w:ind w:left="300"/>
        <w:rPr>
          <w:b/>
        </w:rPr>
      </w:pPr>
      <w:r w:rsidRPr="00876411">
        <w:t xml:space="preserve">Bogotá D.C., </w:t>
      </w:r>
      <w:r w:rsidRPr="00876411">
        <w:rPr>
          <w:b/>
        </w:rPr>
        <w:t>04/02/2020 Hora 18:54:44s</w:t>
      </w:r>
    </w:p>
    <w:p w14:paraId="0DBFB8EC" w14:textId="77777777" w:rsidR="007A733C" w:rsidRPr="00876411" w:rsidRDefault="009F5055">
      <w:pPr>
        <w:spacing w:before="2"/>
        <w:ind w:left="5699"/>
        <w:rPr>
          <w:b/>
        </w:rPr>
      </w:pPr>
      <w:proofErr w:type="spellStart"/>
      <w:r w:rsidRPr="00876411">
        <w:rPr>
          <w:b/>
        </w:rPr>
        <w:t>N°</w:t>
      </w:r>
      <w:proofErr w:type="spellEnd"/>
      <w:r w:rsidRPr="00876411">
        <w:rPr>
          <w:b/>
        </w:rPr>
        <w:t xml:space="preserve"> Radicado: 2202013000000702</w:t>
      </w:r>
    </w:p>
    <w:p w14:paraId="0F25F919" w14:textId="77777777" w:rsidR="007A733C" w:rsidRPr="00876411" w:rsidRDefault="007A733C">
      <w:pPr>
        <w:pStyle w:val="Textoindependiente"/>
        <w:spacing w:before="9"/>
        <w:rPr>
          <w:b/>
          <w:sz w:val="13"/>
        </w:rPr>
      </w:pPr>
    </w:p>
    <w:p w14:paraId="37AF5BBE" w14:textId="77777777" w:rsidR="00A06E14" w:rsidRDefault="00A06E14">
      <w:pPr>
        <w:pStyle w:val="Textoindependiente"/>
        <w:spacing w:before="93" w:line="253" w:lineRule="exact"/>
        <w:ind w:left="300"/>
      </w:pPr>
    </w:p>
    <w:p w14:paraId="3ED1F2DF" w14:textId="03824575" w:rsidR="007A733C" w:rsidRPr="00876411" w:rsidRDefault="009F5055">
      <w:pPr>
        <w:pStyle w:val="Textoindependiente"/>
        <w:spacing w:before="93" w:line="253" w:lineRule="exact"/>
        <w:ind w:left="300"/>
      </w:pPr>
      <w:r w:rsidRPr="00876411">
        <w:t>Señora</w:t>
      </w:r>
    </w:p>
    <w:p w14:paraId="175F3718" w14:textId="77777777" w:rsidR="007A733C" w:rsidRPr="00876411" w:rsidRDefault="009F5055">
      <w:pPr>
        <w:pStyle w:val="Ttulo1"/>
        <w:spacing w:line="253" w:lineRule="exact"/>
      </w:pPr>
      <w:proofErr w:type="spellStart"/>
      <w:r w:rsidRPr="00876411">
        <w:t>Maria</w:t>
      </w:r>
      <w:proofErr w:type="spellEnd"/>
      <w:r w:rsidRPr="00876411">
        <w:t xml:space="preserve"> Isabel Bravo Hernández</w:t>
      </w:r>
    </w:p>
    <w:p w14:paraId="3AD164A4" w14:textId="77777777" w:rsidR="007A733C" w:rsidRPr="00876411" w:rsidRDefault="009F5055">
      <w:pPr>
        <w:pStyle w:val="Textoindependiente"/>
        <w:spacing w:line="253" w:lineRule="exact"/>
        <w:ind w:left="300"/>
      </w:pPr>
      <w:r w:rsidRPr="00876411">
        <w:t>Dosquebradas, Risaralda</w:t>
      </w:r>
    </w:p>
    <w:p w14:paraId="0E0EC804" w14:textId="77777777" w:rsidR="007A733C" w:rsidRPr="00876411" w:rsidRDefault="007A733C">
      <w:pPr>
        <w:pStyle w:val="Textoindependiente"/>
        <w:rPr>
          <w:sz w:val="20"/>
        </w:rPr>
      </w:pPr>
    </w:p>
    <w:p w14:paraId="681BEC29" w14:textId="5D5F5160" w:rsidR="007A733C" w:rsidRDefault="007A733C">
      <w:pPr>
        <w:pStyle w:val="Textoindependiente"/>
        <w:spacing w:before="9"/>
        <w:rPr>
          <w:sz w:val="24"/>
        </w:rPr>
      </w:pPr>
    </w:p>
    <w:p w14:paraId="2CC1C969" w14:textId="21588C73" w:rsidR="00A06E14" w:rsidRDefault="00A06E14">
      <w:pPr>
        <w:pStyle w:val="Textoindependiente"/>
        <w:spacing w:before="9"/>
        <w:rPr>
          <w:sz w:val="24"/>
        </w:rPr>
      </w:pPr>
    </w:p>
    <w:p w14:paraId="5D10E04E" w14:textId="77777777" w:rsidR="00A06E14" w:rsidRPr="00876411" w:rsidRDefault="00A06E14">
      <w:pPr>
        <w:pStyle w:val="Textoindependiente"/>
        <w:spacing w:before="9"/>
        <w:rPr>
          <w:sz w:val="24"/>
        </w:rPr>
      </w:pPr>
    </w:p>
    <w:tbl>
      <w:tblPr>
        <w:tblStyle w:val="NormalTable0"/>
        <w:tblW w:w="0" w:type="auto"/>
        <w:tblInd w:w="108" w:type="dxa"/>
        <w:tblLayout w:type="fixed"/>
        <w:tblLook w:val="01E0" w:firstRow="1" w:lastRow="1" w:firstColumn="1" w:lastColumn="1" w:noHBand="0" w:noVBand="0"/>
      </w:tblPr>
      <w:tblGrid>
        <w:gridCol w:w="2199"/>
        <w:gridCol w:w="7131"/>
      </w:tblGrid>
      <w:tr w:rsidR="00876411" w:rsidRPr="00876411" w14:paraId="3BF098D5" w14:textId="77777777">
        <w:trPr>
          <w:trHeight w:val="1262"/>
        </w:trPr>
        <w:tc>
          <w:tcPr>
            <w:tcW w:w="2199" w:type="dxa"/>
          </w:tcPr>
          <w:p w14:paraId="123FCF44" w14:textId="77777777" w:rsidR="007A733C" w:rsidRPr="00876411" w:rsidRDefault="009F5055">
            <w:pPr>
              <w:pStyle w:val="TableParagraph"/>
              <w:spacing w:line="246" w:lineRule="exact"/>
              <w:ind w:left="200"/>
              <w:rPr>
                <w:b/>
              </w:rPr>
            </w:pPr>
            <w:r w:rsidRPr="00876411">
              <w:rPr>
                <w:b/>
              </w:rPr>
              <w:t>Temas:</w:t>
            </w:r>
          </w:p>
        </w:tc>
        <w:tc>
          <w:tcPr>
            <w:tcW w:w="7131" w:type="dxa"/>
          </w:tcPr>
          <w:p w14:paraId="34FF2C89" w14:textId="77777777" w:rsidR="007A733C" w:rsidRPr="00876411" w:rsidRDefault="009F5055">
            <w:pPr>
              <w:pStyle w:val="TableParagraph"/>
              <w:spacing w:line="240" w:lineRule="auto"/>
              <w:ind w:left="691" w:right="198"/>
              <w:jc w:val="both"/>
            </w:pPr>
            <w:r w:rsidRPr="00876411">
              <w:t>SEGURIDAD SOCIAL ― Verificación ― Pago ― Persona natural ― Persona jurídica / SEGURIDAD SOCIAL ― Ley 1955 de 2019 ― Imposibilidad de retención y giro / CONTRATO DE PRESTACIÓN DE SERVICIOS ― Pagos ― Seguridad social</w:t>
            </w:r>
          </w:p>
          <w:p w14:paraId="3C5C4C87" w14:textId="77777777" w:rsidR="007A733C" w:rsidRPr="00876411" w:rsidRDefault="009F5055">
            <w:pPr>
              <w:pStyle w:val="TableParagraph"/>
              <w:spacing w:line="236" w:lineRule="exact"/>
              <w:ind w:left="691"/>
              <w:jc w:val="both"/>
            </w:pPr>
            <w:r w:rsidRPr="00876411">
              <w:t>― Mes vencido</w:t>
            </w:r>
          </w:p>
        </w:tc>
      </w:tr>
      <w:tr w:rsidR="007A733C" w:rsidRPr="00876411" w14:paraId="4BA6AEED" w14:textId="77777777">
        <w:trPr>
          <w:trHeight w:val="249"/>
        </w:trPr>
        <w:tc>
          <w:tcPr>
            <w:tcW w:w="2199" w:type="dxa"/>
          </w:tcPr>
          <w:p w14:paraId="1823E94A" w14:textId="77777777" w:rsidR="007A733C" w:rsidRPr="00876411" w:rsidRDefault="009F5055">
            <w:pPr>
              <w:pStyle w:val="TableParagraph"/>
              <w:spacing w:line="229" w:lineRule="exact"/>
              <w:ind w:left="260"/>
              <w:rPr>
                <w:b/>
              </w:rPr>
            </w:pPr>
            <w:r w:rsidRPr="00876411">
              <w:rPr>
                <w:b/>
              </w:rPr>
              <w:t>Radicación:</w:t>
            </w:r>
          </w:p>
        </w:tc>
        <w:tc>
          <w:tcPr>
            <w:tcW w:w="7131" w:type="dxa"/>
          </w:tcPr>
          <w:p w14:paraId="34B9816B" w14:textId="77777777" w:rsidR="007A733C" w:rsidRPr="00876411" w:rsidRDefault="009F5055">
            <w:pPr>
              <w:pStyle w:val="TableParagraph"/>
              <w:spacing w:line="229" w:lineRule="exact"/>
              <w:ind w:left="691"/>
            </w:pPr>
            <w:r w:rsidRPr="00876411">
              <w:t>Respuesta a consulta # 4201912000008226</w:t>
            </w:r>
          </w:p>
        </w:tc>
      </w:tr>
    </w:tbl>
    <w:p w14:paraId="549197C2" w14:textId="77777777" w:rsidR="007A733C" w:rsidRPr="00876411" w:rsidRDefault="007A733C">
      <w:pPr>
        <w:pStyle w:val="Textoindependiente"/>
        <w:rPr>
          <w:sz w:val="20"/>
        </w:rPr>
      </w:pPr>
    </w:p>
    <w:p w14:paraId="7077C943" w14:textId="77777777" w:rsidR="007A733C" w:rsidRPr="00876411" w:rsidRDefault="007A733C">
      <w:pPr>
        <w:pStyle w:val="Textoindependiente"/>
        <w:rPr>
          <w:sz w:val="20"/>
        </w:rPr>
      </w:pPr>
    </w:p>
    <w:p w14:paraId="3E70FCBC" w14:textId="77777777" w:rsidR="007A733C" w:rsidRPr="00876411" w:rsidRDefault="007A733C">
      <w:pPr>
        <w:pStyle w:val="Textoindependiente"/>
        <w:spacing w:before="11"/>
        <w:rPr>
          <w:sz w:val="17"/>
        </w:rPr>
      </w:pPr>
    </w:p>
    <w:p w14:paraId="0F9C99A2" w14:textId="77777777" w:rsidR="007A733C" w:rsidRPr="00876411" w:rsidRDefault="009F5055">
      <w:pPr>
        <w:pStyle w:val="Ttulo1"/>
        <w:spacing w:before="93"/>
        <w:ind w:left="3405" w:right="3551"/>
        <w:jc w:val="center"/>
      </w:pPr>
      <w:r w:rsidRPr="00876411">
        <w:t>Concepto C-006 de 2020</w:t>
      </w:r>
    </w:p>
    <w:p w14:paraId="05BE8D75" w14:textId="6B7A09F1" w:rsidR="007A733C" w:rsidRDefault="007A733C">
      <w:pPr>
        <w:pStyle w:val="Textoindependiente"/>
        <w:spacing w:before="9"/>
        <w:rPr>
          <w:b/>
          <w:sz w:val="13"/>
        </w:rPr>
      </w:pPr>
    </w:p>
    <w:p w14:paraId="43DC5B2F" w14:textId="77A304FE" w:rsidR="00A06E14" w:rsidRDefault="00A06E14">
      <w:pPr>
        <w:pStyle w:val="Textoindependiente"/>
        <w:spacing w:before="9"/>
        <w:rPr>
          <w:b/>
          <w:sz w:val="13"/>
        </w:rPr>
      </w:pPr>
    </w:p>
    <w:p w14:paraId="44038C32" w14:textId="77777777" w:rsidR="00A06E14" w:rsidRPr="00876411" w:rsidRDefault="00A06E14">
      <w:pPr>
        <w:pStyle w:val="Textoindependiente"/>
        <w:spacing w:before="9"/>
        <w:rPr>
          <w:b/>
          <w:sz w:val="13"/>
        </w:rPr>
      </w:pPr>
    </w:p>
    <w:p w14:paraId="7A457E6B" w14:textId="77777777" w:rsidR="007A733C" w:rsidRPr="00876411" w:rsidRDefault="009F5055">
      <w:pPr>
        <w:pStyle w:val="Textoindependiente"/>
        <w:spacing w:before="93"/>
        <w:ind w:left="300"/>
        <w:jc w:val="both"/>
      </w:pPr>
      <w:r w:rsidRPr="00876411">
        <w:t>Estimada señora Bravo,</w:t>
      </w:r>
    </w:p>
    <w:p w14:paraId="570FC28F" w14:textId="77777777" w:rsidR="007A733C" w:rsidRPr="00876411" w:rsidRDefault="007A733C">
      <w:pPr>
        <w:pStyle w:val="Textoindependiente"/>
        <w:spacing w:before="11"/>
        <w:rPr>
          <w:sz w:val="21"/>
        </w:rPr>
      </w:pPr>
    </w:p>
    <w:p w14:paraId="12A7D32D" w14:textId="77777777" w:rsidR="007A733C" w:rsidRPr="00876411" w:rsidRDefault="009F5055">
      <w:pPr>
        <w:pStyle w:val="Textoindependiente"/>
        <w:spacing w:line="276" w:lineRule="auto"/>
        <w:ind w:left="300" w:right="449"/>
        <w:jc w:val="both"/>
      </w:pPr>
      <w:r w:rsidRPr="00876411">
        <w:t>La Agencia Nacional de Contratación Pública ― Colombia Compra Eficiente responde su consulta del 10 de diciembre de 2019, en ejercicio de la competencia otorgada por el numeral 8 del artículo 11 y el numeral 5 del artículo 3 del Decreto Ley 4170 de 2011.</w:t>
      </w:r>
    </w:p>
    <w:p w14:paraId="4B5D160D" w14:textId="77777777" w:rsidR="007A733C" w:rsidRPr="00876411" w:rsidRDefault="007A733C">
      <w:pPr>
        <w:pStyle w:val="Textoindependiente"/>
        <w:spacing w:before="2"/>
      </w:pPr>
    </w:p>
    <w:p w14:paraId="4D23CD1C" w14:textId="77777777" w:rsidR="007A733C" w:rsidRPr="00876411" w:rsidRDefault="009F5055">
      <w:pPr>
        <w:pStyle w:val="Ttulo1"/>
        <w:numPr>
          <w:ilvl w:val="0"/>
          <w:numId w:val="2"/>
        </w:numPr>
        <w:tabs>
          <w:tab w:val="left" w:pos="661"/>
        </w:tabs>
        <w:ind w:hanging="361"/>
      </w:pPr>
      <w:r w:rsidRPr="00876411">
        <w:t>Problema</w:t>
      </w:r>
      <w:r w:rsidRPr="00876411">
        <w:rPr>
          <w:spacing w:val="-2"/>
        </w:rPr>
        <w:t xml:space="preserve"> </w:t>
      </w:r>
      <w:r w:rsidRPr="00876411">
        <w:t>planteado</w:t>
      </w:r>
    </w:p>
    <w:p w14:paraId="71808396" w14:textId="77777777" w:rsidR="007A733C" w:rsidRPr="00876411" w:rsidRDefault="007A733C">
      <w:pPr>
        <w:pStyle w:val="Textoindependiente"/>
        <w:spacing w:before="11"/>
        <w:rPr>
          <w:b/>
          <w:sz w:val="21"/>
        </w:rPr>
      </w:pPr>
    </w:p>
    <w:p w14:paraId="6A44F837" w14:textId="77777777" w:rsidR="007A733C" w:rsidRPr="00876411" w:rsidRDefault="009F5055">
      <w:pPr>
        <w:pStyle w:val="Textoindependiente"/>
        <w:spacing w:line="276" w:lineRule="auto"/>
        <w:ind w:left="300" w:right="455"/>
        <w:jc w:val="both"/>
      </w:pPr>
      <w:r w:rsidRPr="00876411">
        <w:t>En virtud del artículo 244 de la Ley 1955 de 2019, los trabajadores independientes cotizarán mes vencido al Sistema de Seguridad Social Integral. El solicitante pregunta:</w:t>
      </w:r>
    </w:p>
    <w:p w14:paraId="72F35761" w14:textId="77777777" w:rsidR="007A733C" w:rsidRPr="00876411" w:rsidRDefault="009F5055">
      <w:pPr>
        <w:pStyle w:val="Textoindependiente"/>
        <w:spacing w:line="276" w:lineRule="auto"/>
        <w:ind w:left="300" w:right="455"/>
        <w:jc w:val="both"/>
      </w:pPr>
      <w:r w:rsidRPr="00876411">
        <w:t>¿es posible que los supervisores soliciten el pago del mes de diciembre aun cuando la planilla no se encuentre vencida, para la firma del acta final?</w:t>
      </w:r>
    </w:p>
    <w:p w14:paraId="7C6C18AC" w14:textId="77777777" w:rsidR="007A733C" w:rsidRPr="00876411" w:rsidRDefault="007A733C">
      <w:pPr>
        <w:pStyle w:val="Textoindependiente"/>
        <w:spacing w:before="3"/>
        <w:rPr>
          <w:sz w:val="25"/>
        </w:rPr>
      </w:pPr>
    </w:p>
    <w:p w14:paraId="59FB892D" w14:textId="77777777" w:rsidR="007A733C" w:rsidRPr="00876411" w:rsidRDefault="009F5055">
      <w:pPr>
        <w:pStyle w:val="Ttulo1"/>
        <w:numPr>
          <w:ilvl w:val="0"/>
          <w:numId w:val="2"/>
        </w:numPr>
        <w:tabs>
          <w:tab w:val="left" w:pos="661"/>
        </w:tabs>
        <w:spacing w:before="1"/>
        <w:ind w:hanging="361"/>
      </w:pPr>
      <w:r w:rsidRPr="00876411">
        <w:t>Consideraciones</w:t>
      </w:r>
    </w:p>
    <w:p w14:paraId="21CA6595" w14:textId="77777777" w:rsidR="007A733C" w:rsidRPr="00876411" w:rsidRDefault="007A733C">
      <w:pPr>
        <w:pStyle w:val="Textoindependiente"/>
        <w:spacing w:before="10"/>
        <w:rPr>
          <w:b/>
          <w:sz w:val="21"/>
        </w:rPr>
      </w:pPr>
    </w:p>
    <w:p w14:paraId="6CA7BD9F" w14:textId="77777777" w:rsidR="007A733C" w:rsidRPr="00876411" w:rsidRDefault="009F5055">
      <w:pPr>
        <w:pStyle w:val="Textoindependiente"/>
        <w:spacing w:before="1" w:line="276" w:lineRule="auto"/>
        <w:ind w:left="300" w:right="444"/>
        <w:jc w:val="both"/>
      </w:pPr>
      <w:r w:rsidRPr="00876411">
        <w:t>Para desarrollar el problema planteado, en primer lugar se explicará en qué momento las entidades pueden solicitar el pago de los aportes al Sistema de Seguridad Social; en segundo lugar, se analizarán los cambios que efectuó la Ley 1955 de 2019 sobre la metodología que había implementado el Decreto 1273 de 2018 –dejado sin efectos–, referido al pago al Sistema de Seguridad Social Integral por parte de los trabajadores independientes; y, por último, se determinará si el supervisor tiene la facultad de solicitar el pago del mes de diciembre, a pesar de que para el pago del contrato solo se requiere presentar el pago de seguridad social mes vencido.</w:t>
      </w:r>
    </w:p>
    <w:p w14:paraId="17E1A453" w14:textId="77777777" w:rsidR="007A733C" w:rsidRPr="00876411" w:rsidRDefault="007A733C">
      <w:pPr>
        <w:pStyle w:val="Textoindependiente"/>
        <w:spacing w:before="4"/>
        <w:rPr>
          <w:sz w:val="11"/>
        </w:rPr>
      </w:pPr>
    </w:p>
    <w:p w14:paraId="4669CC29" w14:textId="77777777" w:rsidR="007A733C" w:rsidRPr="00876411" w:rsidRDefault="009F5055">
      <w:pPr>
        <w:pStyle w:val="Ttulo1"/>
        <w:numPr>
          <w:ilvl w:val="1"/>
          <w:numId w:val="2"/>
        </w:numPr>
        <w:tabs>
          <w:tab w:val="left" w:pos="726"/>
        </w:tabs>
        <w:spacing w:before="93" w:line="276" w:lineRule="auto"/>
        <w:ind w:right="448" w:firstLine="0"/>
        <w:jc w:val="both"/>
      </w:pPr>
      <w:r w:rsidRPr="00876411">
        <w:t>Verificación por parte de las entidades estatales del pago al Sistema de Seguridad Social</w:t>
      </w:r>
      <w:r w:rsidRPr="00876411">
        <w:rPr>
          <w:spacing w:val="-3"/>
        </w:rPr>
        <w:t xml:space="preserve"> </w:t>
      </w:r>
      <w:r w:rsidRPr="00876411">
        <w:t>Integral</w:t>
      </w:r>
    </w:p>
    <w:p w14:paraId="63CA09B9" w14:textId="77777777" w:rsidR="007A733C" w:rsidRPr="00876411" w:rsidRDefault="007A733C">
      <w:pPr>
        <w:pStyle w:val="Textoindependiente"/>
        <w:spacing w:before="3"/>
        <w:rPr>
          <w:b/>
          <w:sz w:val="25"/>
        </w:rPr>
      </w:pPr>
    </w:p>
    <w:p w14:paraId="58E3ED53" w14:textId="77777777" w:rsidR="007A733C" w:rsidRPr="00876411" w:rsidRDefault="009F5055">
      <w:pPr>
        <w:pStyle w:val="Textoindependiente"/>
        <w:spacing w:before="1" w:line="276" w:lineRule="auto"/>
        <w:ind w:left="300" w:right="450"/>
        <w:jc w:val="both"/>
      </w:pPr>
      <w:r w:rsidRPr="00876411">
        <w:t>La Ley 80 de 1993, en el texto original del artículo 41, indicó que los requisitos para perfeccionar el contrato son: i) llegar a un acuerdo sobre el objeto y la contraprestación y</w:t>
      </w:r>
    </w:p>
    <w:p w14:paraId="3B14714E" w14:textId="77777777" w:rsidR="007A733C" w:rsidRPr="00876411" w:rsidRDefault="009F5055">
      <w:pPr>
        <w:pStyle w:val="Textoindependiente"/>
        <w:spacing w:line="278" w:lineRule="auto"/>
        <w:ind w:left="300" w:right="448"/>
        <w:jc w:val="both"/>
      </w:pPr>
      <w:proofErr w:type="spellStart"/>
      <w:r w:rsidRPr="00876411">
        <w:t>ii</w:t>
      </w:r>
      <w:proofErr w:type="spellEnd"/>
      <w:r w:rsidRPr="00876411">
        <w:t xml:space="preserve">) que conste por escrito. Por su parte, para iniciar la ejecución se requería: i) la constitución y aprobación de la garantía y </w:t>
      </w:r>
      <w:proofErr w:type="spellStart"/>
      <w:r w:rsidRPr="00876411">
        <w:t>ii</w:t>
      </w:r>
      <w:proofErr w:type="spellEnd"/>
      <w:r w:rsidRPr="00876411">
        <w:t>) la existencia del registro presupuestal.</w:t>
      </w:r>
    </w:p>
    <w:p w14:paraId="1A4B833F" w14:textId="21031ACB" w:rsidR="007A733C" w:rsidRPr="00876411" w:rsidRDefault="009F5055">
      <w:pPr>
        <w:pStyle w:val="Textoindependiente"/>
        <w:spacing w:line="276" w:lineRule="auto"/>
        <w:ind w:left="300" w:right="447" w:firstLine="707"/>
        <w:jc w:val="both"/>
      </w:pPr>
      <w:r w:rsidRPr="00876411">
        <w:t>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00876411">
        <w:rPr>
          <w:rStyle w:val="Refdenotaalpie"/>
        </w:rPr>
        <w:footnoteReference w:id="1"/>
      </w:r>
      <w:r w:rsidRPr="00876411">
        <w:t>.</w:t>
      </w:r>
    </w:p>
    <w:p w14:paraId="0A166731" w14:textId="545ABC6F" w:rsidR="007A733C" w:rsidRPr="00876411" w:rsidRDefault="009F5055" w:rsidP="00876411">
      <w:pPr>
        <w:pStyle w:val="Textoindependiente"/>
        <w:spacing w:line="276" w:lineRule="auto"/>
        <w:ind w:left="300" w:right="452" w:firstLine="707"/>
        <w:jc w:val="both"/>
      </w:pPr>
      <w:r w:rsidRPr="00876411">
        <w:lastRenderedPageBreak/>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 para presentar la oferta las personas jurídicas deben</w:t>
      </w:r>
      <w:r w:rsidR="00876411">
        <w:t xml:space="preserve"> </w:t>
      </w:r>
      <w:r w:rsidRPr="00876411">
        <w:t>acreditar el requisito señalado anteriormente, es decir, el pago al sistema de seguridad social de sus empleados.</w:t>
      </w:r>
    </w:p>
    <w:p w14:paraId="188187AA" w14:textId="6BCD8CD7" w:rsidR="007A733C" w:rsidRPr="00876411" w:rsidRDefault="009F5055">
      <w:pPr>
        <w:pStyle w:val="Textoindependiente"/>
        <w:spacing w:line="276" w:lineRule="auto"/>
        <w:ind w:left="300" w:right="446" w:firstLine="707"/>
        <w:jc w:val="both"/>
      </w:pPr>
      <w:r w:rsidRPr="00876411">
        <w:t xml:space="preserve">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w:t>
      </w:r>
      <w:r w:rsidRPr="00876411">
        <w:rPr>
          <w:spacing w:val="2"/>
        </w:rPr>
        <w:t xml:space="preserve">los </w:t>
      </w:r>
      <w:r w:rsidRPr="00876411">
        <w:t>contratistas hayan realizado los aportes al Sistema de Seguridad Social Integral</w:t>
      </w:r>
      <w:r w:rsidR="00876411">
        <w:rPr>
          <w:rStyle w:val="Refdenotaalpie"/>
        </w:rPr>
        <w:footnoteReference w:id="2"/>
      </w:r>
      <w:r w:rsidRPr="00876411">
        <w:t>. Por lo tanto, la jurisprudencia reiteró la necesidad de que las entidades estatales, durante la ejecución del contrato, verifiquen el cumplimiento de las obligaciones del Sistema de Seguridad Social Integral por parte de los</w:t>
      </w:r>
      <w:r w:rsidRPr="00876411">
        <w:rPr>
          <w:spacing w:val="-6"/>
        </w:rPr>
        <w:t xml:space="preserve"> </w:t>
      </w:r>
      <w:r w:rsidRPr="00876411">
        <w:t>oferentes.</w:t>
      </w:r>
    </w:p>
    <w:p w14:paraId="3C3E3576" w14:textId="77777777" w:rsidR="007A733C" w:rsidRPr="00876411" w:rsidRDefault="009F5055">
      <w:pPr>
        <w:pStyle w:val="Textoindependiente"/>
        <w:spacing w:line="276" w:lineRule="auto"/>
        <w:ind w:left="300" w:right="450" w:firstLine="707"/>
        <w:jc w:val="both"/>
      </w:pPr>
      <w:r w:rsidRPr="00876411">
        <w:t>Luego, el artículo 23 de la Ley 1150 de 2007 modificó el inciso segundo del artículo 41 de la Ley 80 de 1993, incluyendo la obligación, para los proponentes y contratistas, de estar a paz y salvo con los aportes parafiscales al Sistema de Seguridad Social integral, al</w:t>
      </w:r>
      <w:r w:rsidRPr="00876411">
        <w:rPr>
          <w:spacing w:val="-4"/>
        </w:rPr>
        <w:t xml:space="preserve"> </w:t>
      </w:r>
      <w:r w:rsidRPr="00876411">
        <w:t>señalar:</w:t>
      </w:r>
    </w:p>
    <w:p w14:paraId="3995CC41" w14:textId="77777777" w:rsidR="007A733C" w:rsidRPr="00876411" w:rsidRDefault="007A733C">
      <w:pPr>
        <w:pStyle w:val="Textoindependiente"/>
        <w:spacing w:before="10"/>
        <w:rPr>
          <w:sz w:val="20"/>
        </w:rPr>
      </w:pPr>
    </w:p>
    <w:p w14:paraId="42C9B207" w14:textId="77777777" w:rsidR="007A733C" w:rsidRPr="00876411" w:rsidRDefault="009F5055">
      <w:pPr>
        <w:ind w:left="1010"/>
        <w:rPr>
          <w:sz w:val="21"/>
        </w:rPr>
      </w:pPr>
      <w:r w:rsidRPr="00876411">
        <w:rPr>
          <w:sz w:val="21"/>
        </w:rPr>
        <w:t>[…]</w:t>
      </w:r>
    </w:p>
    <w:p w14:paraId="4EBF9D45" w14:textId="77777777" w:rsidR="007A733C" w:rsidRPr="00876411" w:rsidRDefault="007A733C">
      <w:pPr>
        <w:pStyle w:val="Textoindependiente"/>
        <w:rPr>
          <w:sz w:val="21"/>
        </w:rPr>
      </w:pPr>
    </w:p>
    <w:p w14:paraId="28013B08" w14:textId="77777777" w:rsidR="007A733C" w:rsidRPr="00876411" w:rsidRDefault="009F5055">
      <w:pPr>
        <w:ind w:left="1010" w:right="1155"/>
        <w:jc w:val="both"/>
        <w:rPr>
          <w:sz w:val="21"/>
        </w:rPr>
      </w:pPr>
      <w:r w:rsidRPr="00876411">
        <w:rPr>
          <w:sz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2426903" w14:textId="77777777" w:rsidR="007A733C" w:rsidRPr="00876411" w:rsidRDefault="007A733C">
      <w:pPr>
        <w:pStyle w:val="Textoindependiente"/>
        <w:spacing w:before="2"/>
        <w:rPr>
          <w:sz w:val="21"/>
        </w:rPr>
      </w:pPr>
    </w:p>
    <w:p w14:paraId="58C38064" w14:textId="77777777" w:rsidR="007A733C" w:rsidRPr="00876411" w:rsidRDefault="009F5055">
      <w:pPr>
        <w:ind w:left="1010" w:right="1163"/>
        <w:jc w:val="both"/>
        <w:rPr>
          <w:sz w:val="21"/>
        </w:rPr>
      </w:pPr>
      <w:r w:rsidRPr="00876411">
        <w:rPr>
          <w:sz w:val="21"/>
        </w:rPr>
        <w:t xml:space="preserve">Parágrafo 1. El requisito establecido en la parte final del inciso segundo de este </w:t>
      </w:r>
      <w:r w:rsidRPr="00876411">
        <w:rPr>
          <w:sz w:val="21"/>
        </w:rPr>
        <w:lastRenderedPageBreak/>
        <w:t>artículo deberá acreditarse para la realización de cada pago derivado del contrato</w:t>
      </w:r>
      <w:r w:rsidRPr="00876411">
        <w:rPr>
          <w:spacing w:val="-2"/>
          <w:sz w:val="21"/>
        </w:rPr>
        <w:t xml:space="preserve"> </w:t>
      </w:r>
      <w:r w:rsidRPr="00876411">
        <w:rPr>
          <w:sz w:val="21"/>
        </w:rPr>
        <w:t>estatal.</w:t>
      </w:r>
    </w:p>
    <w:p w14:paraId="5F21502C" w14:textId="77777777" w:rsidR="007A733C" w:rsidRPr="00876411" w:rsidRDefault="007A733C">
      <w:pPr>
        <w:pStyle w:val="Textoindependiente"/>
        <w:spacing w:before="11"/>
        <w:rPr>
          <w:sz w:val="20"/>
        </w:rPr>
      </w:pPr>
    </w:p>
    <w:p w14:paraId="1C0D8BA4" w14:textId="77777777" w:rsidR="007A733C" w:rsidRPr="00876411" w:rsidRDefault="009F5055">
      <w:pPr>
        <w:ind w:left="1010" w:right="1157"/>
        <w:jc w:val="both"/>
        <w:rPr>
          <w:sz w:val="21"/>
        </w:rPr>
      </w:pPr>
      <w:r w:rsidRPr="00876411">
        <w:rPr>
          <w:sz w:val="21"/>
        </w:rPr>
        <w:t>El servidor público que sin justa causa no verifique el pago de los aportes a que se refiere el presente artículo, incurrirá en causal de mala conducta, que será sancionada con arreglo al régimen disciplinario vigente.</w:t>
      </w:r>
    </w:p>
    <w:p w14:paraId="4EB2DC62" w14:textId="77777777" w:rsidR="007A733C" w:rsidRPr="00876411" w:rsidRDefault="007A733C">
      <w:pPr>
        <w:pStyle w:val="Textoindependiente"/>
        <w:spacing w:before="4"/>
        <w:rPr>
          <w:sz w:val="25"/>
        </w:rPr>
      </w:pPr>
    </w:p>
    <w:p w14:paraId="3EBD7238" w14:textId="77777777" w:rsidR="007A733C" w:rsidRPr="00876411" w:rsidRDefault="009F5055">
      <w:pPr>
        <w:pStyle w:val="Textoindependiente"/>
        <w:spacing w:line="276" w:lineRule="auto"/>
        <w:ind w:left="300" w:right="452" w:firstLine="709"/>
        <w:jc w:val="both"/>
      </w:pPr>
      <w:r w:rsidRPr="00876411">
        <w:t xml:space="preserve">De la lectura integral del artículo 23 de la Ley 1150 de 2007 se infiere </w:t>
      </w:r>
      <w:proofErr w:type="gramStart"/>
      <w:r w:rsidRPr="00876411">
        <w:t>que</w:t>
      </w:r>
      <w:proofErr w:type="gramEnd"/>
      <w:r w:rsidRPr="00876411">
        <w:t xml:space="preserv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14:paraId="1EF809B7" w14:textId="39074074" w:rsidR="007A733C" w:rsidRPr="00876411" w:rsidRDefault="009F5055" w:rsidP="00876411">
      <w:pPr>
        <w:pStyle w:val="Textoindependiente"/>
        <w:spacing w:before="1" w:line="276" w:lineRule="auto"/>
        <w:ind w:left="300" w:right="451" w:firstLine="709"/>
        <w:jc w:val="both"/>
      </w:pPr>
      <w:r w:rsidRPr="00876411">
        <w:t>No obstante, el artículo 50 de la Ley 789 de 2002 previó una regla especial para las personas jurídicas que aspiran a celebrar contratos con las entidades estatales. Para</w:t>
      </w:r>
      <w:r w:rsidR="00876411">
        <w:t xml:space="preserve"> </w:t>
      </w:r>
      <w:r w:rsidRPr="00876411">
        <w:t>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2C9982EE" w14:textId="77777777" w:rsidR="007A733C" w:rsidRPr="00876411" w:rsidRDefault="009F5055">
      <w:pPr>
        <w:pStyle w:val="Textoindependiente"/>
        <w:spacing w:line="276" w:lineRule="auto"/>
        <w:ind w:left="300" w:right="451" w:firstLine="709"/>
        <w:jc w:val="both"/>
      </w:pPr>
      <w:r w:rsidRPr="00876411">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876411">
        <w:t>ii</w:t>
      </w:r>
      <w:proofErr w:type="spellEnd"/>
      <w:r w:rsidRPr="00876411">
        <w:t>)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w:t>
      </w:r>
      <w:r w:rsidRPr="00876411">
        <w:rPr>
          <w:spacing w:val="-5"/>
        </w:rPr>
        <w:t xml:space="preserve"> </w:t>
      </w:r>
      <w:r w:rsidRPr="00876411">
        <w:t>facturas.</w:t>
      </w:r>
    </w:p>
    <w:p w14:paraId="1840A8F3" w14:textId="77777777" w:rsidR="007A733C" w:rsidRPr="00876411" w:rsidRDefault="009F5055">
      <w:pPr>
        <w:pStyle w:val="Textoindependiente"/>
        <w:spacing w:before="1" w:line="276" w:lineRule="auto"/>
        <w:ind w:left="300" w:right="446" w:firstLine="709"/>
        <w:jc w:val="both"/>
      </w:pPr>
      <w:r w:rsidRPr="00876411">
        <w:t>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039E2682" w14:textId="77777777" w:rsidR="007A733C" w:rsidRPr="00876411" w:rsidRDefault="009F5055">
      <w:pPr>
        <w:pStyle w:val="Textoindependiente"/>
        <w:spacing w:line="276" w:lineRule="auto"/>
        <w:ind w:left="300" w:right="447" w:firstLine="709"/>
        <w:jc w:val="both"/>
      </w:pPr>
      <w:r w:rsidRPr="00876411">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w:t>
      </w:r>
      <w:r w:rsidRPr="00876411">
        <w:rPr>
          <w:spacing w:val="-18"/>
        </w:rPr>
        <w:t xml:space="preserve"> </w:t>
      </w:r>
      <w:r w:rsidRPr="00876411">
        <w:t>liquidación.</w:t>
      </w:r>
    </w:p>
    <w:p w14:paraId="6537ED7D" w14:textId="77777777" w:rsidR="007A733C" w:rsidRPr="00876411" w:rsidRDefault="007A733C">
      <w:pPr>
        <w:pStyle w:val="Textoindependiente"/>
        <w:spacing w:before="3"/>
        <w:rPr>
          <w:sz w:val="25"/>
        </w:rPr>
      </w:pPr>
    </w:p>
    <w:p w14:paraId="2D9ED151" w14:textId="77777777" w:rsidR="007A733C" w:rsidRPr="00876411" w:rsidRDefault="009F5055">
      <w:pPr>
        <w:pStyle w:val="Ttulo1"/>
        <w:numPr>
          <w:ilvl w:val="1"/>
          <w:numId w:val="1"/>
        </w:numPr>
        <w:tabs>
          <w:tab w:val="left" w:pos="751"/>
        </w:tabs>
        <w:spacing w:line="276" w:lineRule="auto"/>
        <w:ind w:right="449" w:firstLine="0"/>
        <w:jc w:val="both"/>
      </w:pPr>
      <w:r w:rsidRPr="00876411">
        <w:t>Cambios que realizó la Ley 1955 de 2019 al Decreto 1273 de 2018. Cotización mes vencido y deber de verificación de las entidades estatales durante toda la vigencia del</w:t>
      </w:r>
      <w:r w:rsidRPr="00876411">
        <w:rPr>
          <w:spacing w:val="-3"/>
        </w:rPr>
        <w:t xml:space="preserve"> </w:t>
      </w:r>
      <w:r w:rsidRPr="00876411">
        <w:t>contrato</w:t>
      </w:r>
    </w:p>
    <w:p w14:paraId="40D0E266" w14:textId="77777777" w:rsidR="007A733C" w:rsidRPr="00876411" w:rsidRDefault="007A733C">
      <w:pPr>
        <w:pStyle w:val="Textoindependiente"/>
        <w:spacing w:before="2"/>
        <w:rPr>
          <w:b/>
          <w:sz w:val="25"/>
        </w:rPr>
      </w:pPr>
    </w:p>
    <w:p w14:paraId="2BAC9678" w14:textId="642E2354" w:rsidR="007A733C" w:rsidRPr="00876411" w:rsidRDefault="009F5055" w:rsidP="00876411">
      <w:pPr>
        <w:pStyle w:val="Textoindependiente"/>
        <w:spacing w:before="1" w:line="276" w:lineRule="auto"/>
        <w:ind w:left="300" w:right="447"/>
        <w:jc w:val="both"/>
      </w:pPr>
      <w:r w:rsidRPr="00876411">
        <w:t xml:space="preserve">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w:t>
      </w:r>
      <w:proofErr w:type="spellStart"/>
      <w:r w:rsidRPr="00876411">
        <w:t>ii</w:t>
      </w:r>
      <w:proofErr w:type="spellEnd"/>
      <w:r w:rsidRPr="00876411">
        <w:t>) la de los contratistas «de prestación de servicios personales relacionados con</w:t>
      </w:r>
      <w:r w:rsidRPr="00876411">
        <w:rPr>
          <w:spacing w:val="10"/>
        </w:rPr>
        <w:t xml:space="preserve"> </w:t>
      </w:r>
      <w:r w:rsidRPr="00876411">
        <w:t>las</w:t>
      </w:r>
      <w:r w:rsidRPr="00876411">
        <w:rPr>
          <w:spacing w:val="10"/>
        </w:rPr>
        <w:t xml:space="preserve"> </w:t>
      </w:r>
      <w:r w:rsidRPr="00876411">
        <w:t>funciones</w:t>
      </w:r>
      <w:r w:rsidRPr="00876411">
        <w:rPr>
          <w:spacing w:val="11"/>
        </w:rPr>
        <w:t xml:space="preserve"> </w:t>
      </w:r>
      <w:r w:rsidRPr="00876411">
        <w:t>de</w:t>
      </w:r>
      <w:r w:rsidRPr="00876411">
        <w:rPr>
          <w:spacing w:val="8"/>
        </w:rPr>
        <w:t xml:space="preserve"> </w:t>
      </w:r>
      <w:r w:rsidRPr="00876411">
        <w:t>la</w:t>
      </w:r>
      <w:r w:rsidRPr="00876411">
        <w:rPr>
          <w:spacing w:val="13"/>
        </w:rPr>
        <w:t xml:space="preserve"> </w:t>
      </w:r>
      <w:r w:rsidRPr="00876411">
        <w:t>entidad</w:t>
      </w:r>
      <w:r w:rsidRPr="00876411">
        <w:rPr>
          <w:spacing w:val="11"/>
        </w:rPr>
        <w:t xml:space="preserve"> </w:t>
      </w:r>
      <w:r w:rsidRPr="00876411">
        <w:t>contratante</w:t>
      </w:r>
      <w:r w:rsidRPr="00876411">
        <w:rPr>
          <w:spacing w:val="12"/>
        </w:rPr>
        <w:t xml:space="preserve"> </w:t>
      </w:r>
      <w:r w:rsidRPr="00876411">
        <w:t>y</w:t>
      </w:r>
      <w:r w:rsidRPr="00876411">
        <w:rPr>
          <w:spacing w:val="8"/>
        </w:rPr>
        <w:t xml:space="preserve"> </w:t>
      </w:r>
      <w:r w:rsidRPr="00876411">
        <w:t>que</w:t>
      </w:r>
      <w:r w:rsidRPr="00876411">
        <w:rPr>
          <w:spacing w:val="13"/>
        </w:rPr>
        <w:t xml:space="preserve"> </w:t>
      </w:r>
      <w:r w:rsidRPr="00876411">
        <w:t>no</w:t>
      </w:r>
      <w:r w:rsidRPr="00876411">
        <w:rPr>
          <w:spacing w:val="11"/>
        </w:rPr>
        <w:t xml:space="preserve"> </w:t>
      </w:r>
      <w:r w:rsidRPr="00876411">
        <w:t>impliquen</w:t>
      </w:r>
      <w:r w:rsidRPr="00876411">
        <w:rPr>
          <w:spacing w:val="10"/>
        </w:rPr>
        <w:t xml:space="preserve"> </w:t>
      </w:r>
      <w:r w:rsidRPr="00876411">
        <w:t>subcontratación</w:t>
      </w:r>
      <w:r w:rsidRPr="00876411">
        <w:rPr>
          <w:spacing w:val="11"/>
        </w:rPr>
        <w:t xml:space="preserve"> </w:t>
      </w:r>
      <w:r w:rsidRPr="00876411">
        <w:t>alguna</w:t>
      </w:r>
      <w:r w:rsidRPr="00876411">
        <w:rPr>
          <w:spacing w:val="10"/>
        </w:rPr>
        <w:t xml:space="preserve"> </w:t>
      </w:r>
      <w:r w:rsidRPr="00876411">
        <w:t>o</w:t>
      </w:r>
      <w:r w:rsidR="00876411">
        <w:t xml:space="preserve"> </w:t>
      </w:r>
      <w:r w:rsidRPr="00876411">
        <w:t>compra de insumos o expensas relacionados directamente con la ejecución del contrato»</w:t>
      </w:r>
      <w:r w:rsidR="00876411">
        <w:rPr>
          <w:rStyle w:val="Refdenotaalpie"/>
        </w:rPr>
        <w:footnoteReference w:id="3"/>
      </w:r>
      <w:r w:rsidRPr="00876411">
        <w:t>.</w:t>
      </w:r>
    </w:p>
    <w:p w14:paraId="171554C9" w14:textId="77777777" w:rsidR="007A733C" w:rsidRPr="00876411" w:rsidRDefault="009F5055">
      <w:pPr>
        <w:pStyle w:val="Textoindependiente"/>
        <w:spacing w:line="276" w:lineRule="auto"/>
        <w:ind w:left="300" w:right="450" w:firstLine="709"/>
        <w:jc w:val="both"/>
      </w:pPr>
      <w:r w:rsidRPr="00876411">
        <w:t>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–públicos y privados– deben retener directamente la cotización de los contratistas, a partir de la fecha y con la metodología que determine el Gobierno Nacional por vía reglamentaria.</w:t>
      </w:r>
    </w:p>
    <w:p w14:paraId="5A4C671B" w14:textId="576A2396" w:rsidR="007A733C" w:rsidRPr="00876411" w:rsidRDefault="009F5055" w:rsidP="00876411">
      <w:pPr>
        <w:pStyle w:val="Textoindependiente"/>
        <w:spacing w:line="276" w:lineRule="auto"/>
        <w:ind w:left="300" w:right="447" w:firstLine="709"/>
        <w:jc w:val="both"/>
        <w:rPr>
          <w:sz w:val="11"/>
        </w:rPr>
      </w:pPr>
      <w:r w:rsidRPr="00876411">
        <w:t xml:space="preserve">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w:t>
      </w:r>
      <w:r w:rsidRPr="00876411">
        <w:lastRenderedPageBreak/>
        <w:t>en cuenta los ingresos percibidos en el período de cotización, esto es, el mes anterior</w:t>
      </w:r>
      <w:r w:rsidR="00876411">
        <w:rPr>
          <w:rStyle w:val="Refdenotaalpie"/>
        </w:rPr>
        <w:footnoteReference w:id="4"/>
      </w:r>
      <w:r w:rsidRPr="00876411">
        <w:t>. Conforme a lo previsto, para pagar el mes de diciembre basta acreditar el pago de la seguridad social de</w:t>
      </w:r>
      <w:r w:rsidRPr="00876411">
        <w:rPr>
          <w:spacing w:val="-7"/>
        </w:rPr>
        <w:t xml:space="preserve"> </w:t>
      </w:r>
      <w:r w:rsidRPr="00876411">
        <w:t>noviembre.</w:t>
      </w:r>
    </w:p>
    <w:p w14:paraId="401C5DE9" w14:textId="77777777" w:rsidR="007A733C" w:rsidRPr="00876411" w:rsidRDefault="009F5055">
      <w:pPr>
        <w:pStyle w:val="Textoindependiente"/>
        <w:spacing w:before="93" w:line="276" w:lineRule="auto"/>
        <w:ind w:left="300" w:right="450" w:firstLine="709"/>
        <w:jc w:val="both"/>
      </w:pPr>
      <w:r w:rsidRPr="00876411">
        <w:t>El pago mes vencido se reiteró en el artículo 3.2.7.6 del citado Decreto, previendo que dicho ajuste empezaría a regir a partir del 1 de octubre de 2018. Así lo sostuvo en los siguientes términos:</w:t>
      </w:r>
    </w:p>
    <w:p w14:paraId="1B4B8B17" w14:textId="77777777" w:rsidR="007A733C" w:rsidRPr="00876411" w:rsidRDefault="007A733C">
      <w:pPr>
        <w:pStyle w:val="Textoindependiente"/>
        <w:spacing w:before="10"/>
        <w:rPr>
          <w:sz w:val="21"/>
        </w:rPr>
      </w:pPr>
    </w:p>
    <w:p w14:paraId="3C23A3DC" w14:textId="77777777" w:rsidR="007A733C" w:rsidRPr="00876411" w:rsidRDefault="009F5055">
      <w:pPr>
        <w:ind w:left="1010" w:right="1154"/>
        <w:jc w:val="both"/>
        <w:rPr>
          <w:sz w:val="21"/>
        </w:rPr>
      </w:pPr>
      <w:r w:rsidRPr="00876411">
        <w:rPr>
          <w:sz w:val="21"/>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3E51F2BB" w14:textId="77777777" w:rsidR="007A733C" w:rsidRPr="00876411" w:rsidRDefault="007A733C">
      <w:pPr>
        <w:pStyle w:val="Textoindependiente"/>
        <w:spacing w:before="1"/>
        <w:rPr>
          <w:sz w:val="23"/>
        </w:rPr>
      </w:pPr>
    </w:p>
    <w:p w14:paraId="68D9D888" w14:textId="77777777" w:rsidR="007A733C" w:rsidRPr="00876411" w:rsidRDefault="009F5055">
      <w:pPr>
        <w:pStyle w:val="Textoindependiente"/>
        <w:spacing w:before="1" w:line="276" w:lineRule="auto"/>
        <w:ind w:left="300" w:right="451" w:firstLine="709"/>
        <w:jc w:val="both"/>
      </w:pPr>
      <w:r w:rsidRPr="00876411">
        <w:t>Lo anterior implica que el pago al Sistema de Seguridad Social Integral, como se observa en la norma transcrita, es mes vencido.</w:t>
      </w:r>
    </w:p>
    <w:p w14:paraId="0854C921" w14:textId="77777777" w:rsidR="007A733C" w:rsidRPr="00876411" w:rsidRDefault="009F5055">
      <w:pPr>
        <w:pStyle w:val="Textoindependiente"/>
        <w:spacing w:line="276" w:lineRule="auto"/>
        <w:ind w:left="300" w:right="446" w:firstLine="709"/>
        <w:jc w:val="both"/>
      </w:pPr>
      <w:r w:rsidRPr="00876411">
        <w:t>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w:t>
      </w:r>
    </w:p>
    <w:p w14:paraId="14C14519" w14:textId="0999920F" w:rsidR="007A733C" w:rsidRPr="00876411" w:rsidRDefault="009F5055" w:rsidP="00876411">
      <w:pPr>
        <w:pStyle w:val="Textoindependiente"/>
        <w:spacing w:line="276" w:lineRule="auto"/>
        <w:ind w:left="300" w:right="448" w:firstLine="709"/>
        <w:jc w:val="both"/>
        <w:rPr>
          <w:sz w:val="11"/>
        </w:rPr>
      </w:pPr>
      <w:r w:rsidRPr="00876411">
        <w:t>Posteriormente, la Ley 1955 de 2019, en el artículo 336, dejó sin efectos el artículo 135 de la Ley 1735 de 2015 y reguló el tema en el artículo 244, señalando que los trabajadores independientes con ingresos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w:t>
      </w:r>
      <w:r w:rsidRPr="00876411">
        <w:rPr>
          <w:spacing w:val="-42"/>
        </w:rPr>
        <w:t xml:space="preserve"> </w:t>
      </w:r>
      <w:r w:rsidRPr="00876411">
        <w:t>[IVA]</w:t>
      </w:r>
      <w:r w:rsidR="00876411">
        <w:rPr>
          <w:rStyle w:val="Refdenotaalpie"/>
        </w:rPr>
        <w:footnoteReference w:id="5"/>
      </w:r>
      <w:r w:rsidRPr="00876411">
        <w:t>.</w:t>
      </w:r>
    </w:p>
    <w:p w14:paraId="55849863" w14:textId="77777777" w:rsidR="007A733C" w:rsidRPr="00876411" w:rsidRDefault="009F5055">
      <w:pPr>
        <w:pStyle w:val="Textoindependiente"/>
        <w:spacing w:before="93" w:line="276" w:lineRule="auto"/>
        <w:ind w:left="300" w:right="451" w:firstLine="709"/>
        <w:jc w:val="both"/>
      </w:pPr>
      <w:r w:rsidRPr="00876411">
        <w:lastRenderedPageBreak/>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 08SE2019120300000025234 del 28 de junio de 2019, en los siguientes términos:</w:t>
      </w:r>
    </w:p>
    <w:p w14:paraId="5AD6F2AB" w14:textId="77777777" w:rsidR="007A733C" w:rsidRPr="00876411" w:rsidRDefault="007A733C">
      <w:pPr>
        <w:pStyle w:val="Textoindependiente"/>
        <w:spacing w:before="2"/>
        <w:rPr>
          <w:sz w:val="25"/>
        </w:rPr>
      </w:pPr>
    </w:p>
    <w:p w14:paraId="032868C2" w14:textId="77777777" w:rsidR="007A733C" w:rsidRPr="00876411" w:rsidRDefault="009F5055">
      <w:pPr>
        <w:ind w:left="1010" w:right="1154"/>
        <w:jc w:val="both"/>
        <w:rPr>
          <w:sz w:val="21"/>
        </w:rPr>
      </w:pPr>
      <w:r w:rsidRPr="00876411">
        <w:rPr>
          <w:sz w:val="21"/>
        </w:rPr>
        <w:t>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w:t>
      </w:r>
      <w:r w:rsidRPr="00876411">
        <w:rPr>
          <w:spacing w:val="-7"/>
          <w:sz w:val="21"/>
        </w:rPr>
        <w:t xml:space="preserve"> </w:t>
      </w:r>
      <w:r w:rsidRPr="00876411">
        <w:rPr>
          <w:sz w:val="21"/>
        </w:rPr>
        <w:t>personales.</w:t>
      </w:r>
    </w:p>
    <w:p w14:paraId="40479DC3" w14:textId="77777777" w:rsidR="007A733C" w:rsidRPr="00876411" w:rsidRDefault="007A733C">
      <w:pPr>
        <w:pStyle w:val="Textoindependiente"/>
        <w:rPr>
          <w:sz w:val="21"/>
        </w:rPr>
      </w:pPr>
    </w:p>
    <w:p w14:paraId="167C2008" w14:textId="77777777" w:rsidR="007A733C" w:rsidRPr="00876411" w:rsidRDefault="009F5055">
      <w:pPr>
        <w:ind w:left="1010" w:right="1154"/>
        <w:jc w:val="both"/>
        <w:rPr>
          <w:sz w:val="21"/>
        </w:rPr>
      </w:pPr>
      <w:r w:rsidRPr="00876411">
        <w:rPr>
          <w:sz w:val="21"/>
        </w:rPr>
        <w:t>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w:t>
      </w:r>
      <w:r w:rsidRPr="00876411">
        <w:rPr>
          <w:spacing w:val="-4"/>
          <w:sz w:val="21"/>
        </w:rPr>
        <w:t xml:space="preserve"> </w:t>
      </w:r>
      <w:r w:rsidRPr="00876411">
        <w:rPr>
          <w:sz w:val="21"/>
        </w:rPr>
        <w:t>vencido.</w:t>
      </w:r>
    </w:p>
    <w:p w14:paraId="32E58363" w14:textId="77777777" w:rsidR="007A733C" w:rsidRPr="00876411" w:rsidRDefault="007A733C">
      <w:pPr>
        <w:pStyle w:val="Textoindependiente"/>
        <w:rPr>
          <w:sz w:val="21"/>
        </w:rPr>
      </w:pPr>
    </w:p>
    <w:p w14:paraId="29EE3473" w14:textId="77777777" w:rsidR="007A733C" w:rsidRPr="00876411" w:rsidRDefault="009F5055">
      <w:pPr>
        <w:ind w:left="1010" w:right="1155"/>
        <w:jc w:val="both"/>
        <w:rPr>
          <w:sz w:val="21"/>
        </w:rPr>
      </w:pPr>
      <w:r w:rsidRPr="00876411">
        <w:rPr>
          <w:sz w:val="21"/>
        </w:rPr>
        <w:t xml:space="preserve">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w:t>
      </w:r>
      <w:r w:rsidRPr="00876411">
        <w:rPr>
          <w:sz w:val="21"/>
        </w:rPr>
        <w:lastRenderedPageBreak/>
        <w:t>Nacional de Desarrollo 2018- 2022 «Pacto por Colombia, Pacto por la</w:t>
      </w:r>
      <w:r w:rsidRPr="00876411">
        <w:rPr>
          <w:spacing w:val="-4"/>
          <w:sz w:val="21"/>
        </w:rPr>
        <w:t xml:space="preserve"> </w:t>
      </w:r>
      <w:r w:rsidRPr="00876411">
        <w:rPr>
          <w:sz w:val="21"/>
        </w:rPr>
        <w:t>Equidad».</w:t>
      </w:r>
    </w:p>
    <w:p w14:paraId="325EDE32" w14:textId="77777777" w:rsidR="007A733C" w:rsidRPr="00876411" w:rsidRDefault="007A733C">
      <w:pPr>
        <w:pStyle w:val="Textoindependiente"/>
        <w:spacing w:before="1"/>
        <w:rPr>
          <w:sz w:val="21"/>
        </w:rPr>
      </w:pPr>
    </w:p>
    <w:p w14:paraId="7A86DACF" w14:textId="18314C67" w:rsidR="007A733C" w:rsidRPr="00876411" w:rsidRDefault="009F5055" w:rsidP="00876411">
      <w:pPr>
        <w:pStyle w:val="Textoindependiente"/>
        <w:spacing w:line="278" w:lineRule="auto"/>
        <w:ind w:left="300" w:right="453" w:firstLine="709"/>
        <w:jc w:val="both"/>
      </w:pPr>
      <w:r w:rsidRPr="00876411">
        <w:t>Conforme a lo anterior, actualmente, al pago al sistema de Seguridad Social Integral por parte de los trabajadores independientes, le aplican las siguientes reglas: i)</w:t>
      </w:r>
      <w:r w:rsidR="00876411">
        <w:t xml:space="preserve"> </w:t>
      </w:r>
      <w:r w:rsidRPr="00876411">
        <w:t xml:space="preserve">rige para los trabajadores independientes que celebren contratos de prestación de servicios personales, como los que tienen contratos diferentes a prestación de servicios personales, con ingresos netos iguales o superiores a un [1] salario mínimo legal mensual vigente, </w:t>
      </w:r>
      <w:proofErr w:type="spellStart"/>
      <w:r w:rsidRPr="00876411">
        <w:t>ii</w:t>
      </w:r>
      <w:proofErr w:type="spellEnd"/>
      <w:r w:rsidRPr="00876411">
        <w:t xml:space="preserve">) la base mínima de cotización es el 40% del valor mensualizado de ingresos o del contrato, </w:t>
      </w:r>
      <w:proofErr w:type="spellStart"/>
      <w:r w:rsidRPr="00876411">
        <w:t>iii</w:t>
      </w:r>
      <w:proofErr w:type="spellEnd"/>
      <w:r w:rsidRPr="00876411">
        <w:t xml:space="preserve">) la cotización se realizará mes vencido, y finalmente, </w:t>
      </w:r>
      <w:proofErr w:type="spellStart"/>
      <w:r w:rsidRPr="00876411">
        <w:t>iv</w:t>
      </w:r>
      <w:proofErr w:type="spellEnd"/>
      <w:r w:rsidRPr="00876411">
        <w:t>) el pago lo efectuará directamente el trabajador</w:t>
      </w:r>
      <w:r w:rsidRPr="00876411">
        <w:rPr>
          <w:spacing w:val="-7"/>
        </w:rPr>
        <w:t xml:space="preserve"> </w:t>
      </w:r>
      <w:r w:rsidRPr="00876411">
        <w:t>independiente.</w:t>
      </w:r>
    </w:p>
    <w:p w14:paraId="228529D7" w14:textId="77777777" w:rsidR="007A733C" w:rsidRPr="00876411" w:rsidRDefault="009F5055">
      <w:pPr>
        <w:pStyle w:val="Textoindependiente"/>
        <w:spacing w:line="276" w:lineRule="auto"/>
        <w:ind w:left="300" w:right="451" w:firstLine="709"/>
        <w:jc w:val="both"/>
      </w:pPr>
      <w:r w:rsidRPr="00876411">
        <w:t xml:space="preserve">En este sentido, para que a los contratistas se les pague el mes de diciembre, bastará con que presenten el pago del sistema de seguridad social del mes de noviembre. Ahora, usted pregunta: ¿es posible que los supervisores soliciten el pago del mes de diciembre aun cuando la planilla no se encuentre vencida, para la firma del acta final? Para responder, previamente se explicará el alcance del deber de verificación a cargo de los </w:t>
      </w:r>
      <w:proofErr w:type="spellStart"/>
      <w:r w:rsidRPr="00876411">
        <w:t>supervidores</w:t>
      </w:r>
      <w:proofErr w:type="spellEnd"/>
      <w:r w:rsidRPr="00876411">
        <w:t xml:space="preserve"> y ordenadores del</w:t>
      </w:r>
      <w:r w:rsidRPr="00876411">
        <w:rPr>
          <w:spacing w:val="-11"/>
        </w:rPr>
        <w:t xml:space="preserve"> </w:t>
      </w:r>
      <w:r w:rsidRPr="00876411">
        <w:t>gasto.</w:t>
      </w:r>
    </w:p>
    <w:p w14:paraId="69A2F3A5" w14:textId="77777777" w:rsidR="007A733C" w:rsidRPr="00876411" w:rsidRDefault="009F5055">
      <w:pPr>
        <w:pStyle w:val="Textoindependiente"/>
        <w:spacing w:line="276" w:lineRule="auto"/>
        <w:ind w:left="300" w:right="445" w:firstLine="709"/>
        <w:jc w:val="both"/>
      </w:pPr>
      <w:r w:rsidRPr="00876411">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w:t>
      </w:r>
      <w:proofErr w:type="gramStart"/>
      <w:r w:rsidRPr="00876411">
        <w:t>esta aplique</w:t>
      </w:r>
      <w:proofErr w:type="gramEnd"/>
      <w:r w:rsidRPr="00876411">
        <w:t>, las entidades estatales deben verificar que el contratista se</w:t>
      </w:r>
      <w:r w:rsidRPr="00876411">
        <w:rPr>
          <w:spacing w:val="20"/>
        </w:rPr>
        <w:t xml:space="preserve"> </w:t>
      </w:r>
      <w:r w:rsidRPr="00876411">
        <w:t>encuentre</w:t>
      </w:r>
      <w:r w:rsidRPr="00876411">
        <w:rPr>
          <w:spacing w:val="20"/>
        </w:rPr>
        <w:t xml:space="preserve"> </w:t>
      </w:r>
      <w:r w:rsidRPr="00876411">
        <w:t>al</w:t>
      </w:r>
      <w:r w:rsidRPr="00876411">
        <w:rPr>
          <w:spacing w:val="20"/>
        </w:rPr>
        <w:t xml:space="preserve"> </w:t>
      </w:r>
      <w:r w:rsidRPr="00876411">
        <w:t>día</w:t>
      </w:r>
      <w:r w:rsidRPr="00876411">
        <w:rPr>
          <w:spacing w:val="20"/>
        </w:rPr>
        <w:t xml:space="preserve"> </w:t>
      </w:r>
      <w:r w:rsidRPr="00876411">
        <w:t>en</w:t>
      </w:r>
      <w:r w:rsidRPr="00876411">
        <w:rPr>
          <w:spacing w:val="20"/>
        </w:rPr>
        <w:t xml:space="preserve"> </w:t>
      </w:r>
      <w:r w:rsidRPr="00876411">
        <w:t>el</w:t>
      </w:r>
      <w:r w:rsidRPr="00876411">
        <w:rPr>
          <w:spacing w:val="20"/>
        </w:rPr>
        <w:t xml:space="preserve"> </w:t>
      </w:r>
      <w:r w:rsidRPr="00876411">
        <w:t>pago</w:t>
      </w:r>
      <w:r w:rsidRPr="00876411">
        <w:rPr>
          <w:spacing w:val="20"/>
        </w:rPr>
        <w:t xml:space="preserve"> </w:t>
      </w:r>
      <w:r w:rsidRPr="00876411">
        <w:t>de</w:t>
      </w:r>
      <w:r w:rsidRPr="00876411">
        <w:rPr>
          <w:spacing w:val="20"/>
        </w:rPr>
        <w:t xml:space="preserve"> </w:t>
      </w:r>
      <w:r w:rsidRPr="00876411">
        <w:t>sus</w:t>
      </w:r>
      <w:r w:rsidRPr="00876411">
        <w:rPr>
          <w:spacing w:val="20"/>
        </w:rPr>
        <w:t xml:space="preserve"> </w:t>
      </w:r>
      <w:r w:rsidRPr="00876411">
        <w:t>aportes</w:t>
      </w:r>
      <w:r w:rsidRPr="00876411">
        <w:rPr>
          <w:spacing w:val="20"/>
        </w:rPr>
        <w:t xml:space="preserve"> </w:t>
      </w:r>
      <w:r w:rsidRPr="00876411">
        <w:t>al</w:t>
      </w:r>
      <w:r w:rsidRPr="00876411">
        <w:rPr>
          <w:spacing w:val="21"/>
        </w:rPr>
        <w:t xml:space="preserve"> </w:t>
      </w:r>
      <w:r w:rsidRPr="00876411">
        <w:t>Sistema</w:t>
      </w:r>
      <w:r w:rsidRPr="00876411">
        <w:rPr>
          <w:spacing w:val="20"/>
        </w:rPr>
        <w:t xml:space="preserve"> </w:t>
      </w:r>
      <w:r w:rsidRPr="00876411">
        <w:t>de</w:t>
      </w:r>
      <w:r w:rsidRPr="00876411">
        <w:rPr>
          <w:spacing w:val="18"/>
        </w:rPr>
        <w:t xml:space="preserve"> </w:t>
      </w:r>
      <w:r w:rsidRPr="00876411">
        <w:t>Seguridad</w:t>
      </w:r>
      <w:r w:rsidRPr="00876411">
        <w:rPr>
          <w:spacing w:val="18"/>
        </w:rPr>
        <w:t xml:space="preserve"> </w:t>
      </w:r>
      <w:r w:rsidRPr="00876411">
        <w:t>Social</w:t>
      </w:r>
      <w:r w:rsidRPr="00876411">
        <w:rPr>
          <w:spacing w:val="21"/>
        </w:rPr>
        <w:t xml:space="preserve"> </w:t>
      </w:r>
      <w:r w:rsidRPr="00876411">
        <w:t>Integral,</w:t>
      </w:r>
    </w:p>
    <w:p w14:paraId="2B69F947" w14:textId="77777777" w:rsidR="007A733C" w:rsidRPr="00876411" w:rsidRDefault="009F5055">
      <w:pPr>
        <w:pStyle w:val="Textoindependiente"/>
        <w:spacing w:line="276" w:lineRule="auto"/>
        <w:ind w:left="300" w:right="446"/>
        <w:jc w:val="both"/>
      </w:pPr>
      <w:r w:rsidRPr="00876411">
        <w:t xml:space="preserve">«durante toda su vigencia», o sea, durante toda la vigencia del contrato, pues así lo exige el mencionado artículo. Ahora, ¿qué se entiende por </w:t>
      </w:r>
      <w:r w:rsidRPr="00876411">
        <w:rPr>
          <w:i/>
        </w:rPr>
        <w:t xml:space="preserve">vigencia </w:t>
      </w:r>
      <w:r w:rsidRPr="00876411">
        <w:t>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w:t>
      </w:r>
      <w:r w:rsidRPr="00876411">
        <w:rPr>
          <w:spacing w:val="-11"/>
        </w:rPr>
        <w:t xml:space="preserve"> </w:t>
      </w:r>
      <w:r w:rsidRPr="00876411">
        <w:t>contrato?</w:t>
      </w:r>
    </w:p>
    <w:p w14:paraId="41BEFDD3" w14:textId="53E75388" w:rsidR="007A733C" w:rsidRPr="00876411" w:rsidRDefault="009F5055" w:rsidP="00876411">
      <w:pPr>
        <w:pStyle w:val="Textoindependiente"/>
        <w:spacing w:line="276" w:lineRule="auto"/>
        <w:ind w:left="300" w:right="444" w:firstLine="709"/>
        <w:jc w:val="both"/>
      </w:pPr>
      <w:r w:rsidRPr="00876411">
        <w:t xml:space="preserve">La vigencia del contrato se define como el período en el que existen obligaciones derivadas de aquel. En tal sentido, </w:t>
      </w:r>
      <w:r w:rsidRPr="00876411">
        <w:rPr>
          <w:i/>
        </w:rPr>
        <w:t xml:space="preserve">plazo </w:t>
      </w:r>
      <w:r w:rsidRPr="00876411">
        <w:t xml:space="preserve">del contrato no es sinónimo de su </w:t>
      </w:r>
      <w:r w:rsidRPr="00876411">
        <w:rPr>
          <w:i/>
        </w:rPr>
        <w:t>vigencia</w:t>
      </w:r>
      <w:r w:rsidRPr="00876411">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00876411">
        <w:rPr>
          <w:rStyle w:val="Refdenotaalpie"/>
        </w:rPr>
        <w:footnoteReference w:id="6"/>
      </w:r>
      <w:r w:rsidRPr="00876411">
        <w:t>– o</w:t>
      </w:r>
      <w:r w:rsidRPr="00876411">
        <w:rPr>
          <w:spacing w:val="-24"/>
        </w:rPr>
        <w:t xml:space="preserve"> </w:t>
      </w:r>
      <w:r w:rsidRPr="00876411">
        <w:t>bien</w:t>
      </w:r>
      <w:r w:rsidR="00876411">
        <w:t xml:space="preserve"> </w:t>
      </w:r>
      <w:r w:rsidRPr="00876411">
        <w:t xml:space="preserve">porque, </w:t>
      </w:r>
      <w:r w:rsidRPr="00876411">
        <w:lastRenderedPageBreak/>
        <w:t>contractual o normativamente, han permanecido obligaciones que deben cumplirse después de la finalización del plazo contractual –o sea, después de lo que suele</w:t>
      </w:r>
      <w:r w:rsidRPr="00876411">
        <w:rPr>
          <w:spacing w:val="10"/>
        </w:rPr>
        <w:t xml:space="preserve"> </w:t>
      </w:r>
      <w:r w:rsidRPr="00876411">
        <w:t>llamarse</w:t>
      </w:r>
      <w:r w:rsidRPr="00876411">
        <w:rPr>
          <w:spacing w:val="11"/>
        </w:rPr>
        <w:t xml:space="preserve"> </w:t>
      </w:r>
      <w:r w:rsidRPr="00876411">
        <w:t>la</w:t>
      </w:r>
      <w:r w:rsidRPr="00876411">
        <w:rPr>
          <w:spacing w:val="10"/>
        </w:rPr>
        <w:t xml:space="preserve"> </w:t>
      </w:r>
      <w:r w:rsidRPr="00876411">
        <w:t>«terminación»</w:t>
      </w:r>
      <w:r w:rsidRPr="00876411">
        <w:rPr>
          <w:spacing w:val="11"/>
        </w:rPr>
        <w:t xml:space="preserve"> </w:t>
      </w:r>
      <w:r w:rsidRPr="00876411">
        <w:t>del</w:t>
      </w:r>
      <w:r w:rsidRPr="00876411">
        <w:rPr>
          <w:spacing w:val="12"/>
        </w:rPr>
        <w:t xml:space="preserve"> </w:t>
      </w:r>
      <w:r w:rsidRPr="00876411">
        <w:t>contrato–,</w:t>
      </w:r>
      <w:r w:rsidRPr="00876411">
        <w:rPr>
          <w:spacing w:val="9"/>
        </w:rPr>
        <w:t xml:space="preserve"> </w:t>
      </w:r>
      <w:r w:rsidRPr="00876411">
        <w:t>como,</w:t>
      </w:r>
      <w:r w:rsidRPr="00876411">
        <w:rPr>
          <w:spacing w:val="10"/>
        </w:rPr>
        <w:t xml:space="preserve"> </w:t>
      </w:r>
      <w:r w:rsidRPr="00876411">
        <w:t>por</w:t>
      </w:r>
      <w:r w:rsidRPr="00876411">
        <w:rPr>
          <w:spacing w:val="11"/>
        </w:rPr>
        <w:t xml:space="preserve"> </w:t>
      </w:r>
      <w:r w:rsidRPr="00876411">
        <w:t>ejemplo,</w:t>
      </w:r>
      <w:r w:rsidRPr="00876411">
        <w:rPr>
          <w:spacing w:val="9"/>
        </w:rPr>
        <w:t xml:space="preserve"> </w:t>
      </w:r>
      <w:r w:rsidRPr="00876411">
        <w:t>suscribir</w:t>
      </w:r>
      <w:r w:rsidRPr="00876411">
        <w:rPr>
          <w:spacing w:val="11"/>
        </w:rPr>
        <w:t xml:space="preserve"> </w:t>
      </w:r>
      <w:r w:rsidRPr="00876411">
        <w:t>la</w:t>
      </w:r>
      <w:r w:rsidRPr="00876411">
        <w:rPr>
          <w:spacing w:val="10"/>
        </w:rPr>
        <w:t xml:space="preserve"> </w:t>
      </w:r>
      <w:r w:rsidRPr="00876411">
        <w:t>liquidación</w:t>
      </w:r>
    </w:p>
    <w:p w14:paraId="571C605E" w14:textId="48922945" w:rsidR="007A733C" w:rsidRPr="00876411" w:rsidRDefault="009F5055">
      <w:pPr>
        <w:pStyle w:val="Textoindependiente"/>
        <w:spacing w:line="276" w:lineRule="auto"/>
        <w:ind w:left="300" w:right="449"/>
        <w:jc w:val="both"/>
      </w:pPr>
      <w:r w:rsidRPr="00876411">
        <w:t>–en ciertos eventos–, efectuar el pago final, actualizar el valor y la vigencia de las garantías, suscribir el acta de recibo final –cuando así se haya pactado– o hacer los aportes a la seguridad social sobre los ingresos del mes anterior</w:t>
      </w:r>
      <w:r w:rsidR="00876411">
        <w:rPr>
          <w:rStyle w:val="Refdenotaalpie"/>
        </w:rPr>
        <w:footnoteReference w:id="7"/>
      </w:r>
      <w:r w:rsidRPr="00876411">
        <w:t>.</w:t>
      </w:r>
    </w:p>
    <w:p w14:paraId="76A9D262" w14:textId="77777777" w:rsidR="007A733C" w:rsidRPr="00876411" w:rsidRDefault="009F5055">
      <w:pPr>
        <w:pStyle w:val="Textoindependiente"/>
        <w:spacing w:line="276" w:lineRule="auto"/>
        <w:ind w:left="300" w:right="453" w:firstLine="709"/>
        <w:jc w:val="both"/>
      </w:pPr>
      <w:r w:rsidRPr="00876411">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14:paraId="6BF8EA71" w14:textId="77777777" w:rsidR="007A733C" w:rsidRPr="00876411" w:rsidRDefault="007A733C">
      <w:pPr>
        <w:pStyle w:val="Textoindependiente"/>
        <w:spacing w:before="3"/>
        <w:rPr>
          <w:sz w:val="25"/>
        </w:rPr>
      </w:pPr>
    </w:p>
    <w:p w14:paraId="4746E02B" w14:textId="77777777" w:rsidR="007A733C" w:rsidRPr="00876411" w:rsidRDefault="009F5055">
      <w:pPr>
        <w:ind w:left="1010" w:right="1161"/>
        <w:jc w:val="both"/>
        <w:rPr>
          <w:sz w:val="21"/>
        </w:rPr>
      </w:pPr>
      <w:r w:rsidRPr="00876411">
        <w:rPr>
          <w:sz w:val="21"/>
        </w:rPr>
        <w:t>Toda obligación puede extinguirse por una convención en que las partes interesadas, siendo capaces de disponer libremente de lo suyo, consientan en darla por nula.</w:t>
      </w:r>
    </w:p>
    <w:p w14:paraId="0512B9DA" w14:textId="77777777" w:rsidR="007A733C" w:rsidRPr="00876411" w:rsidRDefault="007A733C">
      <w:pPr>
        <w:pStyle w:val="Textoindependiente"/>
        <w:spacing w:before="11"/>
        <w:rPr>
          <w:sz w:val="20"/>
        </w:rPr>
      </w:pPr>
    </w:p>
    <w:p w14:paraId="3A7086B6" w14:textId="77777777" w:rsidR="007A733C" w:rsidRPr="00876411" w:rsidRDefault="009F5055">
      <w:pPr>
        <w:spacing w:line="480" w:lineRule="auto"/>
        <w:ind w:left="1010" w:right="3069"/>
        <w:rPr>
          <w:sz w:val="21"/>
        </w:rPr>
      </w:pPr>
      <w:r w:rsidRPr="00876411">
        <w:rPr>
          <w:sz w:val="21"/>
        </w:rPr>
        <w:t>Las obligaciones se extinguen además en todo o en parte: 1° Por la solución o pago efectivo;</w:t>
      </w:r>
    </w:p>
    <w:p w14:paraId="09ECB589" w14:textId="77777777" w:rsidR="007A733C" w:rsidRPr="00876411" w:rsidRDefault="009F5055">
      <w:pPr>
        <w:spacing w:line="480" w:lineRule="auto"/>
        <w:ind w:left="1010" w:right="6528"/>
        <w:rPr>
          <w:sz w:val="21"/>
        </w:rPr>
      </w:pPr>
      <w:r w:rsidRPr="00876411">
        <w:rPr>
          <w:sz w:val="21"/>
        </w:rPr>
        <w:t>2° Por la novación; 3° Por la transacción; 4° Por la</w:t>
      </w:r>
      <w:r w:rsidRPr="00876411">
        <w:rPr>
          <w:spacing w:val="-4"/>
          <w:sz w:val="21"/>
        </w:rPr>
        <w:t xml:space="preserve"> </w:t>
      </w:r>
      <w:r w:rsidRPr="00876411">
        <w:rPr>
          <w:sz w:val="21"/>
        </w:rPr>
        <w:t>remisión;</w:t>
      </w:r>
    </w:p>
    <w:p w14:paraId="58FCEBD6" w14:textId="77777777" w:rsidR="007A733C" w:rsidRPr="00876411" w:rsidRDefault="009F5055">
      <w:pPr>
        <w:spacing w:before="1" w:line="480" w:lineRule="auto"/>
        <w:ind w:left="1010" w:right="6231"/>
        <w:rPr>
          <w:sz w:val="21"/>
        </w:rPr>
      </w:pPr>
      <w:r w:rsidRPr="00876411">
        <w:rPr>
          <w:sz w:val="21"/>
        </w:rPr>
        <w:t>5° Por la compensación; 6° Por la confusión;</w:t>
      </w:r>
    </w:p>
    <w:p w14:paraId="79F04AE1" w14:textId="77777777" w:rsidR="007A733C" w:rsidRPr="00876411" w:rsidRDefault="009F5055">
      <w:pPr>
        <w:spacing w:line="241" w:lineRule="exact"/>
        <w:ind w:left="1010"/>
        <w:rPr>
          <w:sz w:val="21"/>
        </w:rPr>
      </w:pPr>
      <w:r w:rsidRPr="00876411">
        <w:rPr>
          <w:sz w:val="21"/>
        </w:rPr>
        <w:t>7° Por la pérdida de la cosa que se debe;</w:t>
      </w:r>
    </w:p>
    <w:p w14:paraId="12758749" w14:textId="77777777" w:rsidR="007A733C" w:rsidRPr="00876411" w:rsidRDefault="007A733C">
      <w:pPr>
        <w:pStyle w:val="Textoindependiente"/>
        <w:spacing w:before="2"/>
        <w:rPr>
          <w:sz w:val="21"/>
        </w:rPr>
      </w:pPr>
    </w:p>
    <w:p w14:paraId="41D3C493" w14:textId="77777777" w:rsidR="007A733C" w:rsidRPr="00876411" w:rsidRDefault="009F5055">
      <w:pPr>
        <w:spacing w:line="480" w:lineRule="auto"/>
        <w:ind w:left="1010" w:right="3838"/>
        <w:rPr>
          <w:sz w:val="21"/>
        </w:rPr>
      </w:pPr>
      <w:r w:rsidRPr="00876411">
        <w:rPr>
          <w:sz w:val="21"/>
        </w:rPr>
        <w:t>8° Por la declaración de nulidad o por la rescisión; 9° Por el evento de la condición resolutoria;</w:t>
      </w:r>
    </w:p>
    <w:p w14:paraId="5862C37A" w14:textId="25D4C39E" w:rsidR="007A733C" w:rsidRDefault="009F5055" w:rsidP="00876411">
      <w:pPr>
        <w:spacing w:line="241" w:lineRule="exact"/>
        <w:ind w:left="1010"/>
        <w:rPr>
          <w:sz w:val="21"/>
        </w:rPr>
      </w:pPr>
      <w:r w:rsidRPr="00876411">
        <w:rPr>
          <w:sz w:val="21"/>
        </w:rPr>
        <w:t>10° Por la prescripción.</w:t>
      </w:r>
    </w:p>
    <w:p w14:paraId="6E61559E" w14:textId="77777777" w:rsidR="00876411" w:rsidRPr="00876411" w:rsidRDefault="00876411" w:rsidP="00876411">
      <w:pPr>
        <w:spacing w:line="241" w:lineRule="exact"/>
        <w:ind w:left="1010"/>
        <w:rPr>
          <w:sz w:val="11"/>
        </w:rPr>
      </w:pPr>
    </w:p>
    <w:p w14:paraId="5FF1F842" w14:textId="77777777" w:rsidR="007A733C" w:rsidRPr="00876411" w:rsidRDefault="009F5055">
      <w:pPr>
        <w:pStyle w:val="Textoindependiente"/>
        <w:spacing w:before="93" w:line="276" w:lineRule="auto"/>
        <w:ind w:left="300" w:right="452" w:firstLine="709"/>
        <w:jc w:val="both"/>
      </w:pPr>
      <w:r w:rsidRPr="00876411">
        <w:lastRenderedPageBreak/>
        <w:t xml:space="preserve">Esto significa </w:t>
      </w:r>
      <w:proofErr w:type="gramStart"/>
      <w:r w:rsidRPr="00876411">
        <w:t>que</w:t>
      </w:r>
      <w:proofErr w:type="gramEnd"/>
      <w:r w:rsidRPr="00876411">
        <w:t xml:space="preserve"> si la totalidad de las obligaciones no se ha extinguido por alguno de los modos previstos en el citado artículo, el contrato permanece vigente.</w:t>
      </w:r>
    </w:p>
    <w:p w14:paraId="60CDED1E" w14:textId="77777777" w:rsidR="007A733C" w:rsidRPr="00876411" w:rsidRDefault="009F5055">
      <w:pPr>
        <w:pStyle w:val="Textoindependiente"/>
        <w:spacing w:line="276" w:lineRule="auto"/>
        <w:ind w:left="300" w:right="447" w:firstLine="709"/>
        <w:jc w:val="both"/>
      </w:pPr>
      <w:r w:rsidRPr="00876411">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w:t>
      </w:r>
      <w:r w:rsidRPr="00876411">
        <w:rPr>
          <w:spacing w:val="-14"/>
        </w:rPr>
        <w:t xml:space="preserve"> </w:t>
      </w:r>
      <w:r w:rsidRPr="00876411">
        <w:t>1993–.</w:t>
      </w:r>
    </w:p>
    <w:p w14:paraId="570E7C60" w14:textId="77777777" w:rsidR="007A733C" w:rsidRPr="00876411" w:rsidRDefault="009F5055">
      <w:pPr>
        <w:pStyle w:val="Textoindependiente"/>
        <w:spacing w:line="276" w:lineRule="auto"/>
        <w:ind w:left="300" w:right="446" w:firstLine="709"/>
        <w:jc w:val="both"/>
      </w:pPr>
      <w:r w:rsidRPr="00876411">
        <w:t>Ahora bien, las cotizaciones, por parte de los contratistas de prestación de servicios –considerados,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61C65EF7" w14:textId="77777777" w:rsidR="007A733C" w:rsidRPr="00876411" w:rsidRDefault="007A733C">
      <w:pPr>
        <w:pStyle w:val="Textoindependiente"/>
        <w:spacing w:before="4"/>
        <w:rPr>
          <w:sz w:val="25"/>
        </w:rPr>
      </w:pPr>
    </w:p>
    <w:p w14:paraId="12361FBF" w14:textId="77777777" w:rsidR="007A733C" w:rsidRPr="00876411" w:rsidRDefault="009F5055">
      <w:pPr>
        <w:ind w:left="1010" w:right="1154"/>
        <w:jc w:val="both"/>
        <w:rPr>
          <w:sz w:val="21"/>
        </w:rPr>
      </w:pPr>
      <w:r w:rsidRPr="00876411">
        <w:rPr>
          <w:sz w:val="21"/>
        </w:rPr>
        <w:t xml:space="preserve">«Artículo </w:t>
      </w:r>
      <w:r w:rsidRPr="00876411">
        <w:rPr>
          <w:i/>
          <w:sz w:val="21"/>
        </w:rPr>
        <w:t xml:space="preserve">3.2.2.1. Plazos para la autoliquidación y el pago de los aportes al Sistema de Seguridad Social Integral y Aportes Parafiscales. </w:t>
      </w:r>
      <w:r w:rsidRPr="00876411">
        <w:rPr>
          <w:sz w:val="21"/>
        </w:rPr>
        <w:t>Todos los aportantes a los Sistemas de Salud, Pensiones y Riesgos Laborales del Sistema 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416C9916" w14:textId="77777777" w:rsidR="007A733C" w:rsidRPr="00876411" w:rsidRDefault="007A733C">
      <w:pPr>
        <w:pStyle w:val="Textoindependiente"/>
        <w:spacing w:before="1"/>
      </w:pPr>
    </w:p>
    <w:tbl>
      <w:tblPr>
        <w:tblStyle w:val="NormalTable0"/>
        <w:tblW w:w="0" w:type="auto"/>
        <w:tblInd w:w="166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40"/>
        <w:gridCol w:w="4148"/>
      </w:tblGrid>
      <w:tr w:rsidR="00876411" w:rsidRPr="00876411" w14:paraId="396ABFFE" w14:textId="77777777">
        <w:trPr>
          <w:trHeight w:val="725"/>
        </w:trPr>
        <w:tc>
          <w:tcPr>
            <w:tcW w:w="1940" w:type="dxa"/>
          </w:tcPr>
          <w:p w14:paraId="7E39AB64" w14:textId="77777777" w:rsidR="007A733C" w:rsidRPr="00876411" w:rsidRDefault="009F5055">
            <w:pPr>
              <w:pStyle w:val="TableParagraph"/>
              <w:spacing w:before="118" w:line="240" w:lineRule="auto"/>
              <w:ind w:left="718" w:right="681"/>
              <w:rPr>
                <w:b/>
                <w:sz w:val="21"/>
              </w:rPr>
            </w:pPr>
            <w:r w:rsidRPr="00876411">
              <w:rPr>
                <w:b/>
                <w:sz w:val="21"/>
              </w:rPr>
              <w:t>Día hábil</w:t>
            </w:r>
          </w:p>
        </w:tc>
        <w:tc>
          <w:tcPr>
            <w:tcW w:w="4148" w:type="dxa"/>
          </w:tcPr>
          <w:p w14:paraId="057129B2" w14:textId="77777777" w:rsidR="007A733C" w:rsidRPr="00876411" w:rsidRDefault="009F5055">
            <w:pPr>
              <w:pStyle w:val="TableParagraph"/>
              <w:spacing w:line="237" w:lineRule="exact"/>
              <w:rPr>
                <w:b/>
                <w:sz w:val="21"/>
              </w:rPr>
            </w:pPr>
            <w:r w:rsidRPr="00876411">
              <w:rPr>
                <w:b/>
                <w:sz w:val="21"/>
              </w:rPr>
              <w:t>Dos últimos dígitos del</w:t>
            </w:r>
          </w:p>
          <w:p w14:paraId="615949A2" w14:textId="77777777" w:rsidR="007A733C" w:rsidRPr="00876411" w:rsidRDefault="009F5055">
            <w:pPr>
              <w:pStyle w:val="TableParagraph"/>
              <w:tabs>
                <w:tab w:val="left" w:pos="1334"/>
                <w:tab w:val="left" w:pos="1746"/>
                <w:tab w:val="left" w:pos="3163"/>
              </w:tabs>
              <w:spacing w:before="1" w:line="240" w:lineRule="atLeast"/>
              <w:ind w:right="708"/>
              <w:rPr>
                <w:b/>
                <w:sz w:val="21"/>
              </w:rPr>
            </w:pPr>
            <w:r w:rsidRPr="00876411">
              <w:rPr>
                <w:b/>
                <w:sz w:val="21"/>
              </w:rPr>
              <w:t>NIT</w:t>
            </w:r>
            <w:r w:rsidRPr="00876411">
              <w:rPr>
                <w:b/>
                <w:sz w:val="21"/>
              </w:rPr>
              <w:tab/>
              <w:t>o</w:t>
            </w:r>
            <w:r w:rsidRPr="00876411">
              <w:rPr>
                <w:b/>
                <w:sz w:val="21"/>
              </w:rPr>
              <w:tab/>
              <w:t>documento</w:t>
            </w:r>
            <w:r w:rsidRPr="00876411">
              <w:rPr>
                <w:b/>
                <w:sz w:val="21"/>
              </w:rPr>
              <w:tab/>
            </w:r>
            <w:r w:rsidRPr="00876411">
              <w:rPr>
                <w:b/>
                <w:spacing w:val="-10"/>
                <w:sz w:val="21"/>
              </w:rPr>
              <w:t xml:space="preserve">de </w:t>
            </w:r>
            <w:r w:rsidRPr="00876411">
              <w:rPr>
                <w:b/>
                <w:sz w:val="21"/>
              </w:rPr>
              <w:t>identificación</w:t>
            </w:r>
          </w:p>
        </w:tc>
      </w:tr>
      <w:tr w:rsidR="00876411" w:rsidRPr="00876411" w14:paraId="2939B73B" w14:textId="77777777">
        <w:trPr>
          <w:trHeight w:val="255"/>
        </w:trPr>
        <w:tc>
          <w:tcPr>
            <w:tcW w:w="1940" w:type="dxa"/>
          </w:tcPr>
          <w:p w14:paraId="4F543B94" w14:textId="77777777" w:rsidR="007A733C" w:rsidRPr="00876411" w:rsidRDefault="009F5055">
            <w:pPr>
              <w:pStyle w:val="TableParagraph"/>
              <w:spacing w:line="235" w:lineRule="exact"/>
              <w:ind w:left="718"/>
              <w:rPr>
                <w:sz w:val="14"/>
              </w:rPr>
            </w:pPr>
            <w:r w:rsidRPr="00876411">
              <w:rPr>
                <w:position w:val="-6"/>
                <w:sz w:val="21"/>
              </w:rPr>
              <w:t>2</w:t>
            </w:r>
            <w:r w:rsidRPr="00876411">
              <w:rPr>
                <w:sz w:val="14"/>
              </w:rPr>
              <w:t>o</w:t>
            </w:r>
          </w:p>
        </w:tc>
        <w:tc>
          <w:tcPr>
            <w:tcW w:w="4148" w:type="dxa"/>
          </w:tcPr>
          <w:p w14:paraId="6D7E8178" w14:textId="77777777" w:rsidR="007A733C" w:rsidRPr="00876411" w:rsidRDefault="009F5055">
            <w:pPr>
              <w:pStyle w:val="TableParagraph"/>
              <w:spacing w:line="235" w:lineRule="exact"/>
              <w:rPr>
                <w:sz w:val="21"/>
              </w:rPr>
            </w:pPr>
            <w:r w:rsidRPr="00876411">
              <w:rPr>
                <w:sz w:val="21"/>
              </w:rPr>
              <w:t>00 al 07</w:t>
            </w:r>
          </w:p>
        </w:tc>
      </w:tr>
      <w:tr w:rsidR="00876411" w:rsidRPr="00876411" w14:paraId="3E8BE6A3" w14:textId="77777777">
        <w:trPr>
          <w:trHeight w:val="250"/>
        </w:trPr>
        <w:tc>
          <w:tcPr>
            <w:tcW w:w="1940" w:type="dxa"/>
          </w:tcPr>
          <w:p w14:paraId="263715CC" w14:textId="77777777" w:rsidR="007A733C" w:rsidRPr="00876411" w:rsidRDefault="009F5055">
            <w:pPr>
              <w:pStyle w:val="TableParagraph"/>
              <w:ind w:left="718"/>
              <w:rPr>
                <w:sz w:val="21"/>
              </w:rPr>
            </w:pPr>
            <w:r w:rsidRPr="00876411">
              <w:rPr>
                <w:sz w:val="21"/>
              </w:rPr>
              <w:t>3°</w:t>
            </w:r>
          </w:p>
        </w:tc>
        <w:tc>
          <w:tcPr>
            <w:tcW w:w="4148" w:type="dxa"/>
          </w:tcPr>
          <w:p w14:paraId="2A4BF1E7" w14:textId="77777777" w:rsidR="007A733C" w:rsidRPr="00876411" w:rsidRDefault="009F5055">
            <w:pPr>
              <w:pStyle w:val="TableParagraph"/>
              <w:rPr>
                <w:sz w:val="21"/>
              </w:rPr>
            </w:pPr>
            <w:r w:rsidRPr="00876411">
              <w:rPr>
                <w:sz w:val="21"/>
              </w:rPr>
              <w:t>08 al 14</w:t>
            </w:r>
          </w:p>
        </w:tc>
      </w:tr>
      <w:tr w:rsidR="00876411" w:rsidRPr="00876411" w14:paraId="48B0F1E0" w14:textId="77777777">
        <w:trPr>
          <w:trHeight w:val="250"/>
        </w:trPr>
        <w:tc>
          <w:tcPr>
            <w:tcW w:w="1940" w:type="dxa"/>
          </w:tcPr>
          <w:p w14:paraId="181BCC24" w14:textId="77777777" w:rsidR="007A733C" w:rsidRPr="00876411" w:rsidRDefault="009F5055">
            <w:pPr>
              <w:pStyle w:val="TableParagraph"/>
              <w:ind w:left="718"/>
              <w:rPr>
                <w:sz w:val="21"/>
              </w:rPr>
            </w:pPr>
            <w:r w:rsidRPr="00876411">
              <w:rPr>
                <w:sz w:val="21"/>
              </w:rPr>
              <w:t>4°</w:t>
            </w:r>
          </w:p>
        </w:tc>
        <w:tc>
          <w:tcPr>
            <w:tcW w:w="4148" w:type="dxa"/>
          </w:tcPr>
          <w:p w14:paraId="7D733B25" w14:textId="77777777" w:rsidR="007A733C" w:rsidRPr="00876411" w:rsidRDefault="009F5055">
            <w:pPr>
              <w:pStyle w:val="TableParagraph"/>
              <w:rPr>
                <w:sz w:val="21"/>
              </w:rPr>
            </w:pPr>
            <w:r w:rsidRPr="00876411">
              <w:rPr>
                <w:sz w:val="21"/>
              </w:rPr>
              <w:t>15 al 21</w:t>
            </w:r>
          </w:p>
        </w:tc>
      </w:tr>
      <w:tr w:rsidR="00876411" w:rsidRPr="00876411" w14:paraId="321E34E2" w14:textId="77777777">
        <w:trPr>
          <w:trHeight w:val="250"/>
        </w:trPr>
        <w:tc>
          <w:tcPr>
            <w:tcW w:w="1940" w:type="dxa"/>
          </w:tcPr>
          <w:p w14:paraId="473C0CE5" w14:textId="77777777" w:rsidR="007A733C" w:rsidRPr="00876411" w:rsidRDefault="009F5055">
            <w:pPr>
              <w:pStyle w:val="TableParagraph"/>
              <w:ind w:left="718"/>
              <w:rPr>
                <w:sz w:val="14"/>
              </w:rPr>
            </w:pPr>
            <w:r w:rsidRPr="00876411">
              <w:rPr>
                <w:position w:val="-6"/>
                <w:sz w:val="21"/>
              </w:rPr>
              <w:t>5</w:t>
            </w:r>
            <w:r w:rsidRPr="00876411">
              <w:rPr>
                <w:sz w:val="14"/>
              </w:rPr>
              <w:t>o</w:t>
            </w:r>
          </w:p>
        </w:tc>
        <w:tc>
          <w:tcPr>
            <w:tcW w:w="4148" w:type="dxa"/>
          </w:tcPr>
          <w:p w14:paraId="65C783F5" w14:textId="77777777" w:rsidR="007A733C" w:rsidRPr="00876411" w:rsidRDefault="009F5055">
            <w:pPr>
              <w:pStyle w:val="TableParagraph"/>
              <w:rPr>
                <w:sz w:val="21"/>
              </w:rPr>
            </w:pPr>
            <w:r w:rsidRPr="00876411">
              <w:rPr>
                <w:sz w:val="21"/>
              </w:rPr>
              <w:t>22 al 28</w:t>
            </w:r>
          </w:p>
        </w:tc>
      </w:tr>
      <w:tr w:rsidR="00876411" w:rsidRPr="00876411" w14:paraId="14CB461A" w14:textId="77777777">
        <w:trPr>
          <w:trHeight w:val="247"/>
        </w:trPr>
        <w:tc>
          <w:tcPr>
            <w:tcW w:w="1940" w:type="dxa"/>
          </w:tcPr>
          <w:p w14:paraId="4BDF84A3" w14:textId="77777777" w:rsidR="007A733C" w:rsidRPr="00876411" w:rsidRDefault="009F5055">
            <w:pPr>
              <w:pStyle w:val="TableParagraph"/>
              <w:spacing w:line="228" w:lineRule="exact"/>
              <w:ind w:left="718"/>
              <w:rPr>
                <w:sz w:val="14"/>
              </w:rPr>
            </w:pPr>
            <w:r w:rsidRPr="00876411">
              <w:rPr>
                <w:position w:val="-6"/>
                <w:sz w:val="21"/>
              </w:rPr>
              <w:t>6</w:t>
            </w:r>
            <w:r w:rsidRPr="00876411">
              <w:rPr>
                <w:sz w:val="14"/>
              </w:rPr>
              <w:t>o</w:t>
            </w:r>
          </w:p>
        </w:tc>
        <w:tc>
          <w:tcPr>
            <w:tcW w:w="4148" w:type="dxa"/>
          </w:tcPr>
          <w:p w14:paraId="58F04671" w14:textId="77777777" w:rsidR="007A733C" w:rsidRPr="00876411" w:rsidRDefault="009F5055">
            <w:pPr>
              <w:pStyle w:val="TableParagraph"/>
              <w:spacing w:line="228" w:lineRule="exact"/>
              <w:rPr>
                <w:sz w:val="21"/>
              </w:rPr>
            </w:pPr>
            <w:r w:rsidRPr="00876411">
              <w:rPr>
                <w:sz w:val="21"/>
              </w:rPr>
              <w:t>29 al 35</w:t>
            </w:r>
          </w:p>
        </w:tc>
      </w:tr>
      <w:tr w:rsidR="00876411" w:rsidRPr="00876411" w14:paraId="0C770738" w14:textId="77777777">
        <w:trPr>
          <w:trHeight w:val="250"/>
        </w:trPr>
        <w:tc>
          <w:tcPr>
            <w:tcW w:w="1940" w:type="dxa"/>
          </w:tcPr>
          <w:p w14:paraId="554D203F" w14:textId="77777777" w:rsidR="007A733C" w:rsidRPr="00876411" w:rsidRDefault="009F5055">
            <w:pPr>
              <w:pStyle w:val="TableParagraph"/>
              <w:ind w:left="718"/>
              <w:rPr>
                <w:i/>
                <w:sz w:val="14"/>
              </w:rPr>
            </w:pPr>
            <w:r w:rsidRPr="00876411">
              <w:rPr>
                <w:i/>
                <w:position w:val="-6"/>
                <w:sz w:val="21"/>
              </w:rPr>
              <w:t>7</w:t>
            </w:r>
            <w:r w:rsidRPr="00876411">
              <w:rPr>
                <w:i/>
                <w:sz w:val="14"/>
              </w:rPr>
              <w:t>o</w:t>
            </w:r>
          </w:p>
        </w:tc>
        <w:tc>
          <w:tcPr>
            <w:tcW w:w="4148" w:type="dxa"/>
          </w:tcPr>
          <w:p w14:paraId="0ADAF1B3" w14:textId="77777777" w:rsidR="007A733C" w:rsidRPr="00876411" w:rsidRDefault="009F5055">
            <w:pPr>
              <w:pStyle w:val="TableParagraph"/>
              <w:rPr>
                <w:sz w:val="21"/>
              </w:rPr>
            </w:pPr>
            <w:r w:rsidRPr="00876411">
              <w:rPr>
                <w:sz w:val="21"/>
              </w:rPr>
              <w:t>36 al 42</w:t>
            </w:r>
          </w:p>
        </w:tc>
      </w:tr>
      <w:tr w:rsidR="00876411" w:rsidRPr="00876411" w14:paraId="1E2D03DE" w14:textId="77777777">
        <w:trPr>
          <w:trHeight w:val="250"/>
        </w:trPr>
        <w:tc>
          <w:tcPr>
            <w:tcW w:w="1940" w:type="dxa"/>
          </w:tcPr>
          <w:p w14:paraId="4D5CA2BE" w14:textId="77777777" w:rsidR="007A733C" w:rsidRPr="00876411" w:rsidRDefault="009F5055">
            <w:pPr>
              <w:pStyle w:val="TableParagraph"/>
              <w:ind w:left="718"/>
              <w:rPr>
                <w:sz w:val="14"/>
              </w:rPr>
            </w:pPr>
            <w:r w:rsidRPr="00876411">
              <w:rPr>
                <w:position w:val="-6"/>
                <w:sz w:val="21"/>
              </w:rPr>
              <w:t>8</w:t>
            </w:r>
            <w:r w:rsidRPr="00876411">
              <w:rPr>
                <w:sz w:val="14"/>
              </w:rPr>
              <w:t>o</w:t>
            </w:r>
          </w:p>
        </w:tc>
        <w:tc>
          <w:tcPr>
            <w:tcW w:w="4148" w:type="dxa"/>
          </w:tcPr>
          <w:p w14:paraId="75DC4416" w14:textId="77777777" w:rsidR="007A733C" w:rsidRPr="00876411" w:rsidRDefault="009F5055">
            <w:pPr>
              <w:pStyle w:val="TableParagraph"/>
              <w:rPr>
                <w:sz w:val="21"/>
              </w:rPr>
            </w:pPr>
            <w:r w:rsidRPr="00876411">
              <w:rPr>
                <w:sz w:val="21"/>
              </w:rPr>
              <w:t>43 al 49</w:t>
            </w:r>
          </w:p>
        </w:tc>
      </w:tr>
      <w:tr w:rsidR="00876411" w:rsidRPr="00876411" w14:paraId="3806A683" w14:textId="77777777">
        <w:trPr>
          <w:trHeight w:val="250"/>
        </w:trPr>
        <w:tc>
          <w:tcPr>
            <w:tcW w:w="1940" w:type="dxa"/>
          </w:tcPr>
          <w:p w14:paraId="3FFA2980" w14:textId="77777777" w:rsidR="007A733C" w:rsidRPr="00876411" w:rsidRDefault="009F5055">
            <w:pPr>
              <w:pStyle w:val="TableParagraph"/>
              <w:ind w:left="718"/>
              <w:rPr>
                <w:sz w:val="21"/>
              </w:rPr>
            </w:pPr>
            <w:r w:rsidRPr="00876411">
              <w:rPr>
                <w:sz w:val="21"/>
              </w:rPr>
              <w:t>9°</w:t>
            </w:r>
          </w:p>
        </w:tc>
        <w:tc>
          <w:tcPr>
            <w:tcW w:w="4148" w:type="dxa"/>
          </w:tcPr>
          <w:p w14:paraId="7B16E2C5" w14:textId="77777777" w:rsidR="007A733C" w:rsidRPr="00876411" w:rsidRDefault="009F5055">
            <w:pPr>
              <w:pStyle w:val="TableParagraph"/>
              <w:rPr>
                <w:sz w:val="21"/>
              </w:rPr>
            </w:pPr>
            <w:r w:rsidRPr="00876411">
              <w:rPr>
                <w:sz w:val="21"/>
              </w:rPr>
              <w:t>50 al 56</w:t>
            </w:r>
          </w:p>
        </w:tc>
      </w:tr>
      <w:tr w:rsidR="00876411" w:rsidRPr="00876411" w14:paraId="1D99DE97" w14:textId="77777777">
        <w:trPr>
          <w:trHeight w:val="245"/>
        </w:trPr>
        <w:tc>
          <w:tcPr>
            <w:tcW w:w="1940" w:type="dxa"/>
          </w:tcPr>
          <w:p w14:paraId="722ECEAC" w14:textId="77777777" w:rsidR="007A733C" w:rsidRPr="00876411" w:rsidRDefault="009F5055">
            <w:pPr>
              <w:pStyle w:val="TableParagraph"/>
              <w:spacing w:line="225" w:lineRule="exact"/>
              <w:ind w:left="718"/>
              <w:rPr>
                <w:sz w:val="21"/>
              </w:rPr>
            </w:pPr>
            <w:r w:rsidRPr="00876411">
              <w:rPr>
                <w:sz w:val="21"/>
              </w:rPr>
              <w:t>10°</w:t>
            </w:r>
          </w:p>
        </w:tc>
        <w:tc>
          <w:tcPr>
            <w:tcW w:w="4148" w:type="dxa"/>
          </w:tcPr>
          <w:p w14:paraId="08BB8995" w14:textId="77777777" w:rsidR="007A733C" w:rsidRPr="00876411" w:rsidRDefault="009F5055">
            <w:pPr>
              <w:pStyle w:val="TableParagraph"/>
              <w:spacing w:line="225" w:lineRule="exact"/>
              <w:rPr>
                <w:sz w:val="21"/>
              </w:rPr>
            </w:pPr>
            <w:r w:rsidRPr="00876411">
              <w:rPr>
                <w:sz w:val="21"/>
              </w:rPr>
              <w:t>57 al 63</w:t>
            </w:r>
          </w:p>
        </w:tc>
      </w:tr>
      <w:tr w:rsidR="00876411" w:rsidRPr="00876411" w14:paraId="1153834B" w14:textId="77777777">
        <w:trPr>
          <w:trHeight w:val="250"/>
        </w:trPr>
        <w:tc>
          <w:tcPr>
            <w:tcW w:w="1940" w:type="dxa"/>
          </w:tcPr>
          <w:p w14:paraId="32FD08F1" w14:textId="77777777" w:rsidR="007A733C" w:rsidRPr="00876411" w:rsidRDefault="009F5055">
            <w:pPr>
              <w:pStyle w:val="TableParagraph"/>
              <w:ind w:left="718"/>
              <w:rPr>
                <w:sz w:val="21"/>
              </w:rPr>
            </w:pPr>
            <w:r w:rsidRPr="00876411">
              <w:rPr>
                <w:sz w:val="21"/>
              </w:rPr>
              <w:t>11°</w:t>
            </w:r>
          </w:p>
        </w:tc>
        <w:tc>
          <w:tcPr>
            <w:tcW w:w="4148" w:type="dxa"/>
          </w:tcPr>
          <w:p w14:paraId="304CE755" w14:textId="77777777" w:rsidR="007A733C" w:rsidRPr="00876411" w:rsidRDefault="009F5055">
            <w:pPr>
              <w:pStyle w:val="TableParagraph"/>
              <w:rPr>
                <w:sz w:val="21"/>
              </w:rPr>
            </w:pPr>
            <w:r w:rsidRPr="00876411">
              <w:rPr>
                <w:sz w:val="21"/>
              </w:rPr>
              <w:t>64 al 69</w:t>
            </w:r>
          </w:p>
        </w:tc>
      </w:tr>
      <w:tr w:rsidR="00876411" w:rsidRPr="00876411" w14:paraId="3A111874" w14:textId="77777777">
        <w:trPr>
          <w:trHeight w:val="245"/>
        </w:trPr>
        <w:tc>
          <w:tcPr>
            <w:tcW w:w="1940" w:type="dxa"/>
          </w:tcPr>
          <w:p w14:paraId="4BE09ECD" w14:textId="77777777" w:rsidR="007A733C" w:rsidRPr="00876411" w:rsidRDefault="009F5055">
            <w:pPr>
              <w:pStyle w:val="TableParagraph"/>
              <w:spacing w:line="225" w:lineRule="exact"/>
              <w:ind w:left="718"/>
              <w:rPr>
                <w:sz w:val="21"/>
              </w:rPr>
            </w:pPr>
            <w:r w:rsidRPr="00876411">
              <w:rPr>
                <w:sz w:val="21"/>
              </w:rPr>
              <w:t>12°</w:t>
            </w:r>
          </w:p>
        </w:tc>
        <w:tc>
          <w:tcPr>
            <w:tcW w:w="4148" w:type="dxa"/>
          </w:tcPr>
          <w:p w14:paraId="0338EE0D" w14:textId="77777777" w:rsidR="007A733C" w:rsidRPr="00876411" w:rsidRDefault="009F5055">
            <w:pPr>
              <w:pStyle w:val="TableParagraph"/>
              <w:spacing w:line="225" w:lineRule="exact"/>
              <w:rPr>
                <w:sz w:val="21"/>
              </w:rPr>
            </w:pPr>
            <w:r w:rsidRPr="00876411">
              <w:rPr>
                <w:sz w:val="21"/>
              </w:rPr>
              <w:t>70 al 75</w:t>
            </w:r>
          </w:p>
        </w:tc>
      </w:tr>
      <w:tr w:rsidR="00876411" w:rsidRPr="00876411" w14:paraId="571E6EC1" w14:textId="77777777">
        <w:trPr>
          <w:trHeight w:val="250"/>
        </w:trPr>
        <w:tc>
          <w:tcPr>
            <w:tcW w:w="1940" w:type="dxa"/>
          </w:tcPr>
          <w:p w14:paraId="3CE3E8AB" w14:textId="77777777" w:rsidR="007A733C" w:rsidRPr="00876411" w:rsidRDefault="009F5055">
            <w:pPr>
              <w:pStyle w:val="TableParagraph"/>
              <w:ind w:left="718"/>
              <w:rPr>
                <w:sz w:val="21"/>
              </w:rPr>
            </w:pPr>
            <w:r w:rsidRPr="00876411">
              <w:rPr>
                <w:sz w:val="21"/>
              </w:rPr>
              <w:t>13°</w:t>
            </w:r>
          </w:p>
        </w:tc>
        <w:tc>
          <w:tcPr>
            <w:tcW w:w="4148" w:type="dxa"/>
          </w:tcPr>
          <w:p w14:paraId="0E61C064" w14:textId="77777777" w:rsidR="007A733C" w:rsidRPr="00876411" w:rsidRDefault="009F5055">
            <w:pPr>
              <w:pStyle w:val="TableParagraph"/>
              <w:rPr>
                <w:sz w:val="21"/>
              </w:rPr>
            </w:pPr>
            <w:r w:rsidRPr="00876411">
              <w:rPr>
                <w:sz w:val="21"/>
              </w:rPr>
              <w:t>76 al 81</w:t>
            </w:r>
          </w:p>
        </w:tc>
      </w:tr>
      <w:tr w:rsidR="00876411" w:rsidRPr="00876411" w14:paraId="71BBF7C8" w14:textId="77777777">
        <w:trPr>
          <w:trHeight w:val="247"/>
        </w:trPr>
        <w:tc>
          <w:tcPr>
            <w:tcW w:w="1940" w:type="dxa"/>
          </w:tcPr>
          <w:p w14:paraId="458BC551" w14:textId="77777777" w:rsidR="007A733C" w:rsidRPr="00876411" w:rsidRDefault="009F5055">
            <w:pPr>
              <w:pStyle w:val="TableParagraph"/>
              <w:spacing w:line="228" w:lineRule="exact"/>
              <w:ind w:left="718"/>
              <w:rPr>
                <w:sz w:val="21"/>
              </w:rPr>
            </w:pPr>
            <w:r w:rsidRPr="00876411">
              <w:rPr>
                <w:sz w:val="21"/>
              </w:rPr>
              <w:t>14°</w:t>
            </w:r>
          </w:p>
        </w:tc>
        <w:tc>
          <w:tcPr>
            <w:tcW w:w="4148" w:type="dxa"/>
          </w:tcPr>
          <w:p w14:paraId="1E1DA126" w14:textId="77777777" w:rsidR="007A733C" w:rsidRPr="00876411" w:rsidRDefault="009F5055">
            <w:pPr>
              <w:pStyle w:val="TableParagraph"/>
              <w:spacing w:line="228" w:lineRule="exact"/>
              <w:rPr>
                <w:sz w:val="21"/>
              </w:rPr>
            </w:pPr>
            <w:r w:rsidRPr="00876411">
              <w:rPr>
                <w:sz w:val="21"/>
              </w:rPr>
              <w:t>82 al 87</w:t>
            </w:r>
          </w:p>
        </w:tc>
      </w:tr>
      <w:tr w:rsidR="00876411" w:rsidRPr="00876411" w14:paraId="6B89B112" w14:textId="77777777">
        <w:trPr>
          <w:trHeight w:val="255"/>
        </w:trPr>
        <w:tc>
          <w:tcPr>
            <w:tcW w:w="1940" w:type="dxa"/>
          </w:tcPr>
          <w:p w14:paraId="531DB0B6" w14:textId="77777777" w:rsidR="007A733C" w:rsidRPr="00876411" w:rsidRDefault="009F5055">
            <w:pPr>
              <w:pStyle w:val="TableParagraph"/>
              <w:spacing w:line="235" w:lineRule="exact"/>
              <w:ind w:left="718"/>
              <w:rPr>
                <w:sz w:val="21"/>
              </w:rPr>
            </w:pPr>
            <w:r w:rsidRPr="00876411">
              <w:rPr>
                <w:sz w:val="21"/>
              </w:rPr>
              <w:t>15°</w:t>
            </w:r>
          </w:p>
        </w:tc>
        <w:tc>
          <w:tcPr>
            <w:tcW w:w="4148" w:type="dxa"/>
          </w:tcPr>
          <w:p w14:paraId="3511161A" w14:textId="77777777" w:rsidR="007A733C" w:rsidRPr="00876411" w:rsidRDefault="009F5055">
            <w:pPr>
              <w:pStyle w:val="TableParagraph"/>
              <w:spacing w:line="235" w:lineRule="exact"/>
              <w:rPr>
                <w:sz w:val="21"/>
              </w:rPr>
            </w:pPr>
            <w:r w:rsidRPr="00876411">
              <w:rPr>
                <w:sz w:val="21"/>
              </w:rPr>
              <w:t>88 al 93</w:t>
            </w:r>
          </w:p>
        </w:tc>
      </w:tr>
      <w:tr w:rsidR="00876411" w:rsidRPr="00876411" w14:paraId="6155C4D8" w14:textId="77777777">
        <w:trPr>
          <w:trHeight w:val="264"/>
        </w:trPr>
        <w:tc>
          <w:tcPr>
            <w:tcW w:w="1940" w:type="dxa"/>
          </w:tcPr>
          <w:p w14:paraId="1C5AE046" w14:textId="77777777" w:rsidR="007A733C" w:rsidRPr="00876411" w:rsidRDefault="009F5055">
            <w:pPr>
              <w:pStyle w:val="TableParagraph"/>
              <w:spacing w:line="237" w:lineRule="exact"/>
              <w:ind w:left="718"/>
              <w:rPr>
                <w:sz w:val="21"/>
              </w:rPr>
            </w:pPr>
            <w:r w:rsidRPr="00876411">
              <w:rPr>
                <w:sz w:val="21"/>
              </w:rPr>
              <w:t>16°</w:t>
            </w:r>
          </w:p>
        </w:tc>
        <w:tc>
          <w:tcPr>
            <w:tcW w:w="4148" w:type="dxa"/>
          </w:tcPr>
          <w:p w14:paraId="655AA416" w14:textId="77777777" w:rsidR="007A733C" w:rsidRPr="00876411" w:rsidRDefault="009F5055">
            <w:pPr>
              <w:pStyle w:val="TableParagraph"/>
              <w:spacing w:line="237" w:lineRule="exact"/>
              <w:rPr>
                <w:sz w:val="21"/>
              </w:rPr>
            </w:pPr>
            <w:r w:rsidRPr="00876411">
              <w:rPr>
                <w:sz w:val="21"/>
              </w:rPr>
              <w:t>94 al 99</w:t>
            </w:r>
          </w:p>
        </w:tc>
      </w:tr>
    </w:tbl>
    <w:p w14:paraId="2DAF840B" w14:textId="77777777" w:rsidR="007A733C" w:rsidRPr="00876411" w:rsidRDefault="007A733C">
      <w:pPr>
        <w:pStyle w:val="Textoindependiente"/>
        <w:rPr>
          <w:sz w:val="20"/>
        </w:rPr>
      </w:pPr>
    </w:p>
    <w:p w14:paraId="41695291" w14:textId="77777777" w:rsidR="007A733C" w:rsidRPr="00876411" w:rsidRDefault="007A733C">
      <w:pPr>
        <w:pStyle w:val="Textoindependiente"/>
        <w:spacing w:before="4"/>
        <w:rPr>
          <w:sz w:val="20"/>
        </w:rPr>
      </w:pPr>
    </w:p>
    <w:p w14:paraId="009163D7" w14:textId="77777777" w:rsidR="007A733C" w:rsidRPr="00876411" w:rsidRDefault="009F5055">
      <w:pPr>
        <w:pStyle w:val="Textoindependiente"/>
        <w:ind w:left="300"/>
      </w:pPr>
      <w:r w:rsidRPr="00876411">
        <w:t>Así lo reconoció el Ministerio de Salud recientemente:</w:t>
      </w:r>
    </w:p>
    <w:p w14:paraId="64AFD671" w14:textId="77777777" w:rsidR="007A733C" w:rsidRPr="00876411" w:rsidRDefault="007A733C">
      <w:pPr>
        <w:pStyle w:val="Textoindependiente"/>
        <w:spacing w:before="7"/>
        <w:rPr>
          <w:sz w:val="28"/>
        </w:rPr>
      </w:pPr>
    </w:p>
    <w:p w14:paraId="48C294C1" w14:textId="77777777" w:rsidR="007A733C" w:rsidRPr="00876411" w:rsidRDefault="009F5055">
      <w:pPr>
        <w:ind w:left="1010" w:right="1153"/>
        <w:jc w:val="both"/>
        <w:rPr>
          <w:sz w:val="21"/>
        </w:rPr>
      </w:pPr>
      <w:r w:rsidRPr="00876411">
        <w:rPr>
          <w:sz w:val="21"/>
        </w:rPr>
        <w:lastRenderedPageBreak/>
        <w:t>[…], respecto del pago de la seguridad social, como requisito a cumplir por parte de los contratistas de prestación de servicios, le informo que, a la luz de la Ley 1955 de 2019, el artículo 244 establece que la cotización se realiza mes vencido, al disponer lo siguiente:</w:t>
      </w:r>
    </w:p>
    <w:p w14:paraId="6BD17E09" w14:textId="77777777" w:rsidR="007A733C" w:rsidRPr="00876411" w:rsidRDefault="007A733C">
      <w:pPr>
        <w:pStyle w:val="Textoindependiente"/>
        <w:rPr>
          <w:sz w:val="21"/>
        </w:rPr>
      </w:pPr>
    </w:p>
    <w:p w14:paraId="5EDD1BE0" w14:textId="77777777" w:rsidR="007A733C" w:rsidRPr="00876411" w:rsidRDefault="009F5055">
      <w:pPr>
        <w:spacing w:line="241" w:lineRule="exact"/>
        <w:ind w:left="1010"/>
        <w:jc w:val="both"/>
        <w:rPr>
          <w:sz w:val="21"/>
        </w:rPr>
      </w:pPr>
      <w:r w:rsidRPr="00876411">
        <w:rPr>
          <w:sz w:val="21"/>
        </w:rPr>
        <w:t>ARTÍCULO 244. INGRESO BASE DE COTIZACIÓN (IBC) DE LOS</w:t>
      </w:r>
    </w:p>
    <w:p w14:paraId="63833CE9" w14:textId="77777777" w:rsidR="007A733C" w:rsidRPr="00876411" w:rsidRDefault="009F5055">
      <w:pPr>
        <w:ind w:left="1010" w:right="1154"/>
        <w:jc w:val="both"/>
        <w:rPr>
          <w:sz w:val="21"/>
        </w:rPr>
      </w:pPr>
      <w:r w:rsidRPr="00876411">
        <w:rPr>
          <w:sz w:val="21"/>
        </w:rPr>
        <w:t xml:space="preserve">INDEPENDIENTES. </w:t>
      </w:r>
      <w:r w:rsidRPr="00876411">
        <w:rPr>
          <w:i/>
          <w:sz w:val="21"/>
        </w:rPr>
        <w:t xml:space="preserve">Los trabajadores independientes </w:t>
      </w:r>
      <w:r w:rsidRPr="00876411">
        <w:rPr>
          <w:sz w:val="21"/>
        </w:rPr>
        <w:t xml:space="preserve">con ingresos netos iguales o superiores a 1 salario mínimo legal mensual vigente que </w:t>
      </w:r>
      <w:r w:rsidRPr="00876411">
        <w:rPr>
          <w:i/>
          <w:sz w:val="21"/>
        </w:rPr>
        <w:t xml:space="preserve">celebren contratos de </w:t>
      </w:r>
      <w:proofErr w:type="spellStart"/>
      <w:r w:rsidRPr="00876411">
        <w:rPr>
          <w:i/>
          <w:sz w:val="21"/>
        </w:rPr>
        <w:t>prestación</w:t>
      </w:r>
      <w:proofErr w:type="spellEnd"/>
      <w:r w:rsidRPr="00876411">
        <w:rPr>
          <w:i/>
          <w:sz w:val="21"/>
        </w:rPr>
        <w:t xml:space="preserve"> de servicios personales, </w:t>
      </w:r>
      <w:proofErr w:type="spellStart"/>
      <w:r w:rsidRPr="00876411">
        <w:rPr>
          <w:i/>
          <w:sz w:val="21"/>
        </w:rPr>
        <w:t>cotizarán</w:t>
      </w:r>
      <w:proofErr w:type="spellEnd"/>
      <w:r w:rsidRPr="00876411">
        <w:rPr>
          <w:i/>
          <w:sz w:val="21"/>
        </w:rPr>
        <w:t xml:space="preserve"> mes vencido al Sistema de Seguridad Social Integral</w:t>
      </w:r>
      <w:r w:rsidRPr="00876411">
        <w:rPr>
          <w:sz w:val="21"/>
        </w:rPr>
        <w:t>, sobre una base mínima del 40% del valor mensualizado del contrato, sin incluir el valor del Impuesto al Valor Agregado (IVA).</w:t>
      </w:r>
    </w:p>
    <w:p w14:paraId="3CC49CFF" w14:textId="77777777" w:rsidR="007A733C" w:rsidRPr="00876411" w:rsidRDefault="009F5055">
      <w:pPr>
        <w:spacing w:before="1"/>
        <w:ind w:left="1010"/>
        <w:jc w:val="both"/>
        <w:rPr>
          <w:i/>
          <w:sz w:val="21"/>
        </w:rPr>
      </w:pPr>
      <w:r w:rsidRPr="00876411">
        <w:rPr>
          <w:i/>
          <w:sz w:val="21"/>
        </w:rPr>
        <w:t>(...). (cursivas fuera de texto)</w:t>
      </w:r>
    </w:p>
    <w:p w14:paraId="5DC7C11F" w14:textId="77777777" w:rsidR="007A733C" w:rsidRPr="00876411" w:rsidRDefault="007A733C">
      <w:pPr>
        <w:pStyle w:val="Textoindependiente"/>
        <w:spacing w:before="11"/>
        <w:rPr>
          <w:i/>
          <w:sz w:val="20"/>
        </w:rPr>
      </w:pPr>
    </w:p>
    <w:p w14:paraId="53489DF9" w14:textId="3E9611A4" w:rsidR="007A733C" w:rsidRPr="00876411" w:rsidRDefault="009F5055">
      <w:pPr>
        <w:ind w:left="1010" w:right="1156"/>
        <w:jc w:val="both"/>
        <w:rPr>
          <w:sz w:val="14"/>
        </w:rPr>
      </w:pPr>
      <w:r w:rsidRPr="00876411">
        <w:rPr>
          <w:sz w:val="21"/>
        </w:rPr>
        <w:t xml:space="preserve">Es decir, se entiende por mes vencido, el aporte posterior que realiza un contratista independiente, al Sistema de Seguridad Social Integral, el cual debe ser sobre la base mínima del 40% del valor mensual del mismo. A manera de ejemplo, el pago de septiembre se paga en el mes de octubre, y así sucesivamente, cumpliendo en estricto orden con las fechas o plazos de pago, según los últimos dos dígitos del documento de identidad, conforme a lo establecido en el Decreto 1990 de 2016, por el cual se </w:t>
      </w:r>
      <w:r w:rsidRPr="00876411">
        <w:rPr>
          <w:i/>
          <w:sz w:val="21"/>
        </w:rPr>
        <w:t>“</w:t>
      </w:r>
      <w:proofErr w:type="spellStart"/>
      <w:r w:rsidRPr="00876411">
        <w:rPr>
          <w:i/>
          <w:sz w:val="21"/>
        </w:rPr>
        <w:t>Sustitúyase</w:t>
      </w:r>
      <w:proofErr w:type="spellEnd"/>
      <w:r w:rsidRPr="00876411">
        <w:rPr>
          <w:i/>
          <w:sz w:val="21"/>
        </w:rPr>
        <w:t xml:space="preserve"> el </w:t>
      </w:r>
      <w:proofErr w:type="spellStart"/>
      <w:r w:rsidRPr="00876411">
        <w:rPr>
          <w:i/>
          <w:sz w:val="21"/>
        </w:rPr>
        <w:t>Título</w:t>
      </w:r>
      <w:proofErr w:type="spellEnd"/>
      <w:r w:rsidRPr="00876411">
        <w:rPr>
          <w:i/>
          <w:sz w:val="21"/>
        </w:rPr>
        <w:t xml:space="preserve"> 2 de la Parte 2 del Libro 3 del Decreto </w:t>
      </w:r>
      <w:proofErr w:type="spellStart"/>
      <w:r w:rsidRPr="00876411">
        <w:rPr>
          <w:i/>
          <w:sz w:val="21"/>
        </w:rPr>
        <w:t>Único</w:t>
      </w:r>
      <w:proofErr w:type="spellEnd"/>
      <w:r w:rsidRPr="00876411">
        <w:rPr>
          <w:i/>
          <w:sz w:val="21"/>
        </w:rPr>
        <w:t xml:space="preserve"> Reglamentario del Sector Salud y </w:t>
      </w:r>
      <w:proofErr w:type="spellStart"/>
      <w:r w:rsidRPr="00876411">
        <w:rPr>
          <w:i/>
          <w:sz w:val="21"/>
        </w:rPr>
        <w:t>Protección</w:t>
      </w:r>
      <w:proofErr w:type="spellEnd"/>
      <w:r w:rsidRPr="00876411">
        <w:rPr>
          <w:i/>
          <w:sz w:val="21"/>
        </w:rPr>
        <w:t xml:space="preserve"> Social, Decreto 780 de 2016, el cual quedará </w:t>
      </w:r>
      <w:proofErr w:type="spellStart"/>
      <w:r w:rsidRPr="00876411">
        <w:rPr>
          <w:i/>
          <w:sz w:val="21"/>
        </w:rPr>
        <w:t>asi</w:t>
      </w:r>
      <w:proofErr w:type="spellEnd"/>
      <w:r w:rsidRPr="00876411">
        <w:rPr>
          <w:i/>
          <w:sz w:val="21"/>
        </w:rPr>
        <w:t xml:space="preserve">́: TÍTULO 2 PLAZOS PARA EL PAGO, </w:t>
      </w:r>
      <w:proofErr w:type="spellStart"/>
      <w:r w:rsidRPr="00876411">
        <w:rPr>
          <w:i/>
          <w:sz w:val="21"/>
        </w:rPr>
        <w:t>Artículo</w:t>
      </w:r>
      <w:proofErr w:type="spellEnd"/>
      <w:r w:rsidRPr="00876411">
        <w:rPr>
          <w:i/>
          <w:sz w:val="21"/>
        </w:rPr>
        <w:t xml:space="preserve"> 3.2.2.1.Plazos para la </w:t>
      </w:r>
      <w:proofErr w:type="spellStart"/>
      <w:r w:rsidRPr="00876411">
        <w:rPr>
          <w:i/>
          <w:sz w:val="21"/>
        </w:rPr>
        <w:t>autoliquidación</w:t>
      </w:r>
      <w:proofErr w:type="spellEnd"/>
      <w:r w:rsidRPr="00876411">
        <w:rPr>
          <w:i/>
          <w:sz w:val="21"/>
        </w:rPr>
        <w:t xml:space="preserve"> y el pago de los aportes al Sistema de Seguridad Social Integral y Aportes Parafiscales.(...)”</w:t>
      </w:r>
      <w:r w:rsidR="00876411">
        <w:rPr>
          <w:rStyle w:val="Refdenotaalpie"/>
          <w:i/>
          <w:sz w:val="21"/>
        </w:rPr>
        <w:footnoteReference w:id="8"/>
      </w:r>
    </w:p>
    <w:p w14:paraId="23E13FE3" w14:textId="77777777" w:rsidR="007A733C" w:rsidRPr="00876411" w:rsidRDefault="007A733C">
      <w:pPr>
        <w:pStyle w:val="Textoindependiente"/>
        <w:spacing w:before="1"/>
        <w:rPr>
          <w:sz w:val="25"/>
        </w:rPr>
      </w:pPr>
    </w:p>
    <w:p w14:paraId="135CA68F" w14:textId="77777777" w:rsidR="007A733C" w:rsidRPr="00876411" w:rsidRDefault="009F5055">
      <w:pPr>
        <w:pStyle w:val="Textoindependiente"/>
        <w:ind w:left="1010"/>
        <w:jc w:val="both"/>
      </w:pPr>
      <w:r w:rsidRPr="00876411">
        <w:t>De lo anterior, puede concluirse:</w:t>
      </w:r>
    </w:p>
    <w:p w14:paraId="646E6D2D" w14:textId="77777777" w:rsidR="007A733C" w:rsidRPr="00876411" w:rsidRDefault="009F5055">
      <w:pPr>
        <w:pStyle w:val="Prrafodelista"/>
        <w:numPr>
          <w:ilvl w:val="2"/>
          <w:numId w:val="1"/>
        </w:numPr>
        <w:tabs>
          <w:tab w:val="left" w:pos="1213"/>
        </w:tabs>
        <w:spacing w:before="37" w:line="276" w:lineRule="auto"/>
        <w:ind w:right="446" w:firstLine="709"/>
        <w:jc w:val="both"/>
      </w:pPr>
      <w:r w:rsidRPr="00876411">
        <w:t xml:space="preserve">Los contratistas de prestación de servicios –trabajadores independientes–, que devenguen una suma neta igual o superior a un salario mínimo legal mensual vigente, tienen la obligación de pagar sus aportes al Sistema de Seguridad Social Integral, </w:t>
      </w:r>
      <w:r w:rsidRPr="00876411">
        <w:rPr>
          <w:i/>
          <w:spacing w:val="-2"/>
        </w:rPr>
        <w:t xml:space="preserve">mes </w:t>
      </w:r>
      <w:r w:rsidRPr="00876411">
        <w:rPr>
          <w:i/>
        </w:rPr>
        <w:t>vencido</w:t>
      </w:r>
      <w:r w:rsidRPr="00876411">
        <w:t>, sobre la base mínima del 40% del valor mensualizado del contrato, sin incluir el IVA. Así se deduce actualmente del artículo 244 de la Ley 1955 de</w:t>
      </w:r>
      <w:r w:rsidRPr="00876411">
        <w:rPr>
          <w:spacing w:val="-20"/>
        </w:rPr>
        <w:t xml:space="preserve"> </w:t>
      </w:r>
      <w:r w:rsidRPr="00876411">
        <w:t>2019.</w:t>
      </w:r>
    </w:p>
    <w:p w14:paraId="7B5F3E25" w14:textId="77777777" w:rsidR="007A733C" w:rsidRPr="00876411" w:rsidRDefault="009F5055">
      <w:pPr>
        <w:pStyle w:val="Prrafodelista"/>
        <w:numPr>
          <w:ilvl w:val="2"/>
          <w:numId w:val="1"/>
        </w:numPr>
        <w:tabs>
          <w:tab w:val="left" w:pos="1291"/>
        </w:tabs>
        <w:spacing w:before="1" w:line="276" w:lineRule="auto"/>
        <w:ind w:right="449" w:firstLine="709"/>
        <w:jc w:val="both"/>
      </w:pPr>
      <w:r w:rsidRPr="00876411">
        <w:t>Los contratistas obligados a cotizar al Sistema de Seguridad Social Integral deben hacerlo, a más tardar, en los días hábiles previstos en el artículo 3.2.2.1. del Decreto 1990 de 2016, según los dos últimos dígitos del NIT o documento de identificación, por el mes anterior. Así, por ejemplo, el pago de los aportes a la seguridad social del mes de diciembre debe efectuarse en enero, según los plazos establecidos en dicho</w:t>
      </w:r>
      <w:r w:rsidRPr="00876411">
        <w:rPr>
          <w:spacing w:val="-2"/>
        </w:rPr>
        <w:t xml:space="preserve"> </w:t>
      </w:r>
      <w:r w:rsidRPr="00876411">
        <w:t>Decreto.</w:t>
      </w:r>
    </w:p>
    <w:p w14:paraId="11AC8807" w14:textId="0F55106F" w:rsidR="007A733C" w:rsidRPr="00876411" w:rsidRDefault="009F5055" w:rsidP="00510320">
      <w:pPr>
        <w:pStyle w:val="Prrafodelista"/>
        <w:numPr>
          <w:ilvl w:val="2"/>
          <w:numId w:val="1"/>
        </w:numPr>
        <w:tabs>
          <w:tab w:val="left" w:pos="1318"/>
        </w:tabs>
        <w:spacing w:before="93" w:line="276" w:lineRule="auto"/>
        <w:ind w:right="443" w:firstLine="709"/>
        <w:jc w:val="both"/>
      </w:pPr>
      <w:r w:rsidRPr="00876411">
        <w:t>Como las entidades estatales tienen el deber de verificar, para «cada pago», que los contratistas hayan cumplido sus obligaciones con el Sistema de Seguridad</w:t>
      </w:r>
      <w:r w:rsidRPr="00876411">
        <w:rPr>
          <w:spacing w:val="19"/>
        </w:rPr>
        <w:t xml:space="preserve"> </w:t>
      </w:r>
      <w:r w:rsidRPr="00876411">
        <w:t>Social</w:t>
      </w:r>
      <w:r w:rsidR="00876411">
        <w:t xml:space="preserve"> </w:t>
      </w:r>
      <w:r w:rsidRPr="00876411">
        <w:t xml:space="preserve">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w:t>
      </w:r>
      <w:r w:rsidRPr="00876411">
        <w:lastRenderedPageBreak/>
        <w:t>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artículo 3.2.2.1. del Decreto 1990 de 2016.</w:t>
      </w:r>
    </w:p>
    <w:p w14:paraId="7227FA43" w14:textId="3E585D9D" w:rsidR="007A733C" w:rsidRPr="00876411" w:rsidRDefault="006E47BB" w:rsidP="0050600C">
      <w:pPr>
        <w:pStyle w:val="Prrafodelista"/>
        <w:numPr>
          <w:ilvl w:val="2"/>
          <w:numId w:val="1"/>
        </w:numPr>
        <w:tabs>
          <w:tab w:val="left" w:pos="1318"/>
        </w:tabs>
        <w:spacing w:before="4" w:line="276" w:lineRule="auto"/>
        <w:ind w:right="449" w:firstLine="709"/>
        <w:jc w:val="both"/>
        <w:rPr>
          <w:sz w:val="11"/>
        </w:rPr>
      </w:pPr>
      <w:r>
        <w:rPr>
          <w:noProof/>
          <w:lang w:val="en-US"/>
        </w:rPr>
        <mc:AlternateContent>
          <mc:Choice Requires="wps">
            <w:drawing>
              <wp:anchor distT="0" distB="0" distL="0" distR="0" simplePos="0" relativeHeight="487592448" behindDoc="1" locked="0" layoutInCell="1" allowOverlap="1" wp14:anchorId="37C683E0" wp14:editId="379DDDF2">
                <wp:simplePos x="0" y="0"/>
                <wp:positionH relativeFrom="page">
                  <wp:posOffset>1080135</wp:posOffset>
                </wp:positionH>
                <wp:positionV relativeFrom="paragraph">
                  <wp:posOffset>2489200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D042" id="Rectangle 4" o:spid="_x0000_s1026" style="position:absolute;margin-left:85.05pt;margin-top:196pt;width:2in;height:.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" fillcolor="black" stroked="f">
                <w10:wrap type="topAndBottom" anchorx="page"/>
              </v:rect>
            </w:pict>
          </mc:Fallback>
        </mc:AlternateContent>
      </w:r>
      <w:r w:rsidR="009F5055" w:rsidRPr="00876411">
        <w:t>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111 de 1996</w:t>
      </w:r>
      <w:r w:rsidR="00876411">
        <w:rPr>
          <w:rStyle w:val="Refdenotaalpie"/>
        </w:rPr>
        <w:footnoteReference w:id="9"/>
      </w:r>
      <w:r w:rsidR="009F5055" w:rsidRPr="00876411">
        <w:t xml:space="preserve"> y el artículo 13 del Decreto 115 de 1996</w:t>
      </w:r>
      <w:r w:rsidR="00876411">
        <w:rPr>
          <w:rStyle w:val="Refdenotaalpie"/>
        </w:rPr>
        <w:footnoteReference w:id="10"/>
      </w:r>
      <w:r w:rsidR="009F5055" w:rsidRPr="00876411">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02B8C65E" w14:textId="77777777" w:rsidR="007A733C" w:rsidRPr="00876411" w:rsidRDefault="009F5055">
      <w:pPr>
        <w:pStyle w:val="Prrafodelista"/>
        <w:numPr>
          <w:ilvl w:val="2"/>
          <w:numId w:val="1"/>
        </w:numPr>
        <w:tabs>
          <w:tab w:val="left" w:pos="1298"/>
        </w:tabs>
        <w:spacing w:before="93" w:line="276" w:lineRule="auto"/>
        <w:ind w:right="443" w:firstLine="709"/>
        <w:jc w:val="both"/>
      </w:pPr>
      <w:r w:rsidRPr="00876411">
        <w:t xml:space="preserve">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w:t>
      </w:r>
      <w:r w:rsidRPr="00876411">
        <w:lastRenderedPageBreak/>
        <w:t xml:space="preserve">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w:t>
      </w:r>
      <w:r w:rsidRPr="00876411">
        <w:rPr>
          <w:spacing w:val="3"/>
        </w:rPr>
        <w:t xml:space="preserve">no </w:t>
      </w:r>
      <w:r w:rsidRPr="00876411">
        <w:t xml:space="preserve">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w:t>
      </w:r>
      <w:r w:rsidRPr="00876411">
        <w:rPr>
          <w:spacing w:val="3"/>
        </w:rPr>
        <w:t xml:space="preserve">en </w:t>
      </w:r>
      <w:r w:rsidRPr="00876411">
        <w:t>caso negativo, requerirlo y reportarlo a las autoridades competentes para adelantar las investigaciones y procedimientos administrativos sancionatorios pertinentes, entre las que se encuentra la Unidad de Gestión Pensional y Parafiscales</w:t>
      </w:r>
      <w:r w:rsidRPr="00876411">
        <w:rPr>
          <w:spacing w:val="-7"/>
        </w:rPr>
        <w:t xml:space="preserve"> </w:t>
      </w:r>
      <w:r w:rsidRPr="00876411">
        <w:t>[UGPP].</w:t>
      </w:r>
    </w:p>
    <w:p w14:paraId="059EB887" w14:textId="77777777" w:rsidR="007A733C" w:rsidRPr="00876411" w:rsidRDefault="009F5055">
      <w:pPr>
        <w:pStyle w:val="Prrafodelista"/>
        <w:numPr>
          <w:ilvl w:val="2"/>
          <w:numId w:val="1"/>
        </w:numPr>
        <w:tabs>
          <w:tab w:val="left" w:pos="1333"/>
        </w:tabs>
        <w:spacing w:before="2" w:line="276" w:lineRule="auto"/>
        <w:ind w:right="450" w:firstLine="709"/>
        <w:jc w:val="both"/>
      </w:pPr>
      <w:r w:rsidRPr="00876411">
        <w:t>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w:t>
      </w:r>
      <w:r w:rsidRPr="00876411">
        <w:rPr>
          <w:spacing w:val="-14"/>
        </w:rPr>
        <w:t xml:space="preserve"> </w:t>
      </w:r>
      <w:r w:rsidRPr="00876411">
        <w:t>noviembre.</w:t>
      </w:r>
    </w:p>
    <w:p w14:paraId="3519C540" w14:textId="77777777" w:rsidR="007A733C" w:rsidRPr="00876411" w:rsidRDefault="007A733C">
      <w:pPr>
        <w:pStyle w:val="Textoindependiente"/>
        <w:spacing w:before="3"/>
        <w:rPr>
          <w:sz w:val="25"/>
        </w:rPr>
      </w:pPr>
    </w:p>
    <w:p w14:paraId="38B0E72E" w14:textId="77777777" w:rsidR="007A733C" w:rsidRPr="00876411" w:rsidRDefault="009F5055">
      <w:pPr>
        <w:pStyle w:val="Ttulo1"/>
        <w:numPr>
          <w:ilvl w:val="0"/>
          <w:numId w:val="2"/>
        </w:numPr>
        <w:tabs>
          <w:tab w:val="left" w:pos="661"/>
        </w:tabs>
        <w:ind w:hanging="361"/>
      </w:pPr>
      <w:r w:rsidRPr="00876411">
        <w:t>Respuesta</w:t>
      </w:r>
    </w:p>
    <w:p w14:paraId="75A1B07A" w14:textId="77777777" w:rsidR="007A733C" w:rsidRPr="00876411" w:rsidRDefault="007A733C">
      <w:pPr>
        <w:pStyle w:val="Textoindependiente"/>
        <w:spacing w:before="5"/>
        <w:rPr>
          <w:b/>
          <w:sz w:val="28"/>
        </w:rPr>
      </w:pPr>
    </w:p>
    <w:p w14:paraId="56FC3BE5" w14:textId="77777777" w:rsidR="007A733C" w:rsidRPr="00876411" w:rsidRDefault="009F5055">
      <w:pPr>
        <w:pStyle w:val="Textoindependiente"/>
        <w:spacing w:line="278" w:lineRule="auto"/>
        <w:ind w:left="1010" w:right="1159"/>
      </w:pPr>
      <w:r w:rsidRPr="00876411">
        <w:t>¿Es posible que los supervisores soliciten el pago del mes de diciembre aun cuando la planilla no se encuentre vencida, para la firma del acta final?</w:t>
      </w:r>
    </w:p>
    <w:p w14:paraId="25929889" w14:textId="77777777" w:rsidR="007A733C" w:rsidRPr="00876411" w:rsidRDefault="007A733C">
      <w:pPr>
        <w:pStyle w:val="Textoindependiente"/>
        <w:spacing w:before="10"/>
        <w:rPr>
          <w:sz w:val="24"/>
        </w:rPr>
      </w:pPr>
    </w:p>
    <w:p w14:paraId="496C73D9" w14:textId="5232B479" w:rsidR="007A733C" w:rsidRPr="00876411" w:rsidRDefault="009F5055" w:rsidP="00876411">
      <w:pPr>
        <w:pStyle w:val="Textoindependiente"/>
        <w:spacing w:line="278" w:lineRule="auto"/>
        <w:ind w:left="300" w:right="447" w:firstLine="709"/>
      </w:pPr>
      <w:r w:rsidRPr="00876411">
        <w:t>Las entidades estatales deben respetar el derecho del contratista a hacer los aportes al Sistema de Seguridad Social Integral a más tardar en las fechas indicadas en</w:t>
      </w:r>
      <w:r w:rsidR="00876411">
        <w:t xml:space="preserve"> </w:t>
      </w:r>
      <w:r w:rsidRPr="00876411">
        <w:t xml:space="preserve">el artículo 3.2.2.1. del Decreto 1990 de 2016 y de conformidad con el artículo 244 de la Ley 1955 de 2019, que establece que la cotización se realiza mes vencido. Por tanto, en diciembre, el </w:t>
      </w:r>
      <w:proofErr w:type="spellStart"/>
      <w:r w:rsidRPr="00876411">
        <w:t>supervidor</w:t>
      </w:r>
      <w:proofErr w:type="spellEnd"/>
      <w:r w:rsidRPr="00876411">
        <w:t xml:space="preserve"> debe verificar que el contratista haya hecho sus aportes por lo devengado en noviembre.</w:t>
      </w:r>
    </w:p>
    <w:p w14:paraId="60A53448" w14:textId="77777777" w:rsidR="007A733C" w:rsidRPr="00876411" w:rsidRDefault="009F5055">
      <w:pPr>
        <w:pStyle w:val="Textoindependiente"/>
        <w:spacing w:line="276" w:lineRule="auto"/>
        <w:ind w:left="300" w:right="446" w:firstLine="709"/>
        <w:jc w:val="both"/>
      </w:pPr>
      <w:r w:rsidRPr="00876411">
        <w:t xml:space="preserve">Sin perjuicio de lo anterior, en todo caso, las entidades estatales –los supervisores o interventores, pero también los ordenadores del gasto– tienen el deber de verificar que </w:t>
      </w:r>
      <w:r w:rsidRPr="00876411">
        <w:lastRenderedPageBreak/>
        <w:t>el contratista haya cumplido con la cotización al Sistema de Seguridad Social Integral por el IBC de diciembre, así se haya firmado el acta de recibo final o efectuado el pago de los honorarios de dicho mes, ello a partir de lo previsto en el artículo 50 de la Ley 789 de 2002, que establece que este deber de verificación es por toda la vigencia del contrato.</w:t>
      </w:r>
    </w:p>
    <w:p w14:paraId="3CD38FF0" w14:textId="77777777" w:rsidR="007A733C" w:rsidRPr="00876411" w:rsidRDefault="009F5055">
      <w:pPr>
        <w:pStyle w:val="Textoindependiente"/>
        <w:spacing w:after="6" w:line="278" w:lineRule="auto"/>
        <w:ind w:left="300" w:right="448" w:firstLine="709"/>
        <w:jc w:val="both"/>
      </w:pPr>
      <w:r w:rsidRPr="00876411">
        <w:t>Este concepto tiene el alcance previsto en el artículo 28 del Código de Procedimiento Administrativo y de lo Contencioso Administrativo.</w:t>
      </w:r>
    </w:p>
    <w:p w14:paraId="1B45C59A" w14:textId="6F43C0E3" w:rsidR="007A733C" w:rsidRPr="00876411" w:rsidRDefault="006E47BB">
      <w:pPr>
        <w:pStyle w:val="Textoindependiente"/>
        <w:spacing w:line="20" w:lineRule="exact"/>
        <w:ind w:left="977"/>
        <w:rPr>
          <w:sz w:val="2"/>
        </w:rPr>
      </w:pPr>
      <w:r>
        <w:rPr>
          <w:noProof/>
          <w:sz w:val="2"/>
          <w:lang w:val="en-US"/>
        </w:rPr>
        <mc:AlternateContent>
          <mc:Choice Requires="wpg">
            <w:drawing>
              <wp:inline distT="0" distB="0" distL="0" distR="0" wp14:anchorId="72908A5E" wp14:editId="1BDC58B4">
                <wp:extent cx="4686300" cy="9525"/>
                <wp:effectExtent l="13970" t="2540" r="5080"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5" name="Line 3"/>
                        <wps:cNvCnPr>
                          <a:cxnSpLocks noChangeShapeType="1"/>
                        </wps:cNvCnPr>
                        <wps:spPr bwMode="auto">
                          <a:xfrm>
                            <a:off x="0" y="8"/>
                            <a:ext cx="738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569220"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X8WCTHICAAB3BQAADgAAAAAAAAAAAAAA&#10;AAAuAgAAZHJzL2Uyb0RvYy54bWxQSwECLQAUAAYACAAAACEAlB0b19oAAAADAQAADwAAAAAAAAAA&#10;AAAAAADMBAAAZHJzL2Rvd25yZXYueG1sUEsFBgAAAAAEAAQA8wAAANMFAAAAAA==&#10;">
                <v:line id="Line 3" o:spid="_x0000_s1027" style="position:absolute;visibility:visible;mso-wrap-style:square" from="0,8" to="7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cGIcYAAADaAAAADwAAAGRycy9kb3ducmV2LnhtbESPT2vCQBTE74V+h+UVegl101pLja4i&#10;opASL/451Nsj+0xCs29Ddk3it+8WhB6HmfkNM18OphYdta6yrOB1FIMgzq2uuFBwOm5fPkE4j6yx&#10;tkwKbuRguXh8mGOibc976g6+EAHCLkEFpfdNIqXLSzLoRrYhDt7FtgZ9kG0hdYt9gJtavsXxhzRY&#10;cVgosaF1SfnP4WoURF/TLNbF++78Pb70OptGG5delXp+GlYzEJ4G/x++t1OtYAJ/V8IN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BiHGAAAA2gAAAA8AAAAAAAAA&#10;AAAAAAAAoQIAAGRycy9kb3ducmV2LnhtbFBLBQYAAAAABAAEAPkAAACUAwAAAAA=&#10;" strokecolor="#dbdbdb"/>
                <w10:anchorlock/>
              </v:group>
            </w:pict>
          </mc:Fallback>
        </mc:AlternateContent>
      </w:r>
    </w:p>
    <w:p w14:paraId="5EBA6F7F" w14:textId="77777777" w:rsidR="007A733C" w:rsidRPr="00876411" w:rsidRDefault="007A733C">
      <w:pPr>
        <w:pStyle w:val="Textoindependiente"/>
        <w:spacing w:before="2"/>
        <w:rPr>
          <w:sz w:val="19"/>
        </w:rPr>
      </w:pPr>
    </w:p>
    <w:p w14:paraId="31545113" w14:textId="77777777" w:rsidR="007A733C" w:rsidRPr="00876411" w:rsidRDefault="009F5055">
      <w:pPr>
        <w:pStyle w:val="Textoindependiente"/>
        <w:spacing w:before="1" w:after="19"/>
        <w:ind w:left="300"/>
      </w:pPr>
      <w:r w:rsidRPr="00876411">
        <w:t>Atentamente,</w:t>
      </w:r>
    </w:p>
    <w:p w14:paraId="47A70593" w14:textId="77777777" w:rsidR="00527FDA" w:rsidRPr="009D5D6D" w:rsidRDefault="00527FDA" w:rsidP="00527FDA">
      <w:pPr>
        <w:pStyle w:val="Textoindependiente"/>
        <w:jc w:val="center"/>
      </w:pPr>
      <w:r>
        <w:rPr>
          <w:noProof/>
          <w:lang w:val="en-US"/>
        </w:rPr>
        <w:drawing>
          <wp:inline distT="0" distB="0" distL="0" distR="0" wp14:anchorId="249F7981" wp14:editId="5A222601">
            <wp:extent cx="2773144" cy="988695"/>
            <wp:effectExtent l="0" t="0" r="0" b="0"/>
            <wp:docPr id="13063697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D0D1085" w14:textId="510C07F2" w:rsidR="007A733C" w:rsidRPr="00527FDA" w:rsidRDefault="009F5055" w:rsidP="00527FDA">
      <w:pPr>
        <w:pStyle w:val="Textoindependiente"/>
        <w:spacing w:before="1" w:after="19"/>
        <w:ind w:left="300"/>
      </w:pPr>
      <w:r w:rsidRPr="00527FDA">
        <w:t>Proyectaron: Sara Milena Núñez Aldana</w:t>
      </w:r>
      <w:r w:rsidR="00527FDA">
        <w:t xml:space="preserve"> / </w:t>
      </w:r>
      <w:r w:rsidRPr="00527FDA">
        <w:t>Cristian Andrés Díaz Díez</w:t>
      </w:r>
    </w:p>
    <w:sectPr w:rsidR="007A733C" w:rsidRPr="00527FDA">
      <w:headerReference w:type="default" r:id="rId12"/>
      <w:footerReference w:type="default" r:id="rId13"/>
      <w:pgSz w:w="12240" w:h="15840"/>
      <w:pgMar w:top="1540" w:right="1300" w:bottom="1660" w:left="1400" w:header="766"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C63B" w14:textId="77777777" w:rsidR="00C418C3" w:rsidRDefault="00C418C3">
      <w:r>
        <w:separator/>
      </w:r>
    </w:p>
  </w:endnote>
  <w:endnote w:type="continuationSeparator" w:id="0">
    <w:p w14:paraId="6F18ECAF" w14:textId="77777777" w:rsidR="00C418C3" w:rsidRDefault="00C4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EA01" w14:textId="3ACF0925" w:rsidR="007A733C" w:rsidRDefault="009F5055">
    <w:pPr>
      <w:pStyle w:val="Textoindependiente"/>
      <w:spacing w:line="14" w:lineRule="auto"/>
      <w:rPr>
        <w:sz w:val="20"/>
      </w:rPr>
    </w:pPr>
    <w:r>
      <w:rPr>
        <w:noProof/>
        <w:lang w:val="en-US"/>
      </w:rPr>
      <w:drawing>
        <wp:anchor distT="0" distB="0" distL="0" distR="0" simplePos="0" relativeHeight="251657728" behindDoc="1" locked="0" layoutInCell="1" allowOverlap="1" wp14:anchorId="604C5565" wp14:editId="6B74E03A">
          <wp:simplePos x="0" y="0"/>
          <wp:positionH relativeFrom="page">
            <wp:posOffset>1746504</wp:posOffset>
          </wp:positionH>
          <wp:positionV relativeFrom="page">
            <wp:posOffset>9133217</wp:posOffset>
          </wp:positionV>
          <wp:extent cx="4240784" cy="594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sidR="006E47BB">
      <w:rPr>
        <w:noProof/>
        <w:lang w:val="en-US"/>
      </w:rPr>
      <mc:AlternateContent>
        <mc:Choice Requires="wps">
          <w:drawing>
            <wp:anchor distT="0" distB="0" distL="114300" distR="114300" simplePos="0" relativeHeight="251658752" behindDoc="1" locked="0" layoutInCell="1" allowOverlap="1" wp14:anchorId="7DCAF76B" wp14:editId="4211AAB7">
              <wp:simplePos x="0" y="0"/>
              <wp:positionH relativeFrom="page">
                <wp:posOffset>3769360</wp:posOffset>
              </wp:positionH>
              <wp:positionV relativeFrom="page">
                <wp:posOffset>8990965</wp:posOffset>
              </wp:positionV>
              <wp:extent cx="2032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C8DE" w14:textId="7A206727" w:rsidR="007A733C" w:rsidRDefault="009F5055">
                          <w:pPr>
                            <w:spacing w:before="14"/>
                            <w:ind w:left="60"/>
                            <w:rPr>
                              <w:sz w:val="18"/>
                            </w:rPr>
                          </w:pPr>
                          <w:r>
                            <w:fldChar w:fldCharType="begin"/>
                          </w:r>
                          <w:r>
                            <w:rPr>
                              <w:sz w:val="18"/>
                            </w:rPr>
                            <w:instrText xml:space="preserve"> PAGE </w:instrText>
                          </w:r>
                          <w:r>
                            <w:fldChar w:fldCharType="separate"/>
                          </w:r>
                          <w:r w:rsidR="003E5D40">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AF76B" id="_x0000_t202" coordsize="21600,21600" o:spt="202" path="m,l,21600r21600,l21600,xe">
              <v:stroke joinstyle="miter"/>
              <v:path gradientshapeok="t" o:connecttype="rect"/>
            </v:shapetype>
            <v:shape id="Text Box 1" o:spid="_x0000_s1026" type="#_x0000_t202" style="position:absolute;margin-left:296.8pt;margin-top:707.95pt;width:16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" filled="f" stroked="f">
              <v:textbox inset="0,0,0,0">
                <w:txbxContent>
                  <w:p w14:paraId="6E82C8DE" w14:textId="7A206727" w:rsidR="007A733C" w:rsidRDefault="009F5055">
                    <w:pPr>
                      <w:spacing w:before="14"/>
                      <w:ind w:left="60"/>
                      <w:rPr>
                        <w:sz w:val="18"/>
                      </w:rPr>
                    </w:pPr>
                    <w:r>
                      <w:fldChar w:fldCharType="begin"/>
                    </w:r>
                    <w:r>
                      <w:rPr>
                        <w:sz w:val="18"/>
                      </w:rPr>
                      <w:instrText xml:space="preserve"> PAGE </w:instrText>
                    </w:r>
                    <w:r>
                      <w:fldChar w:fldCharType="separate"/>
                    </w:r>
                    <w:r w:rsidR="003E5D40">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42C89" w14:textId="77777777" w:rsidR="00C418C3" w:rsidRDefault="00C418C3">
      <w:r>
        <w:separator/>
      </w:r>
    </w:p>
  </w:footnote>
  <w:footnote w:type="continuationSeparator" w:id="0">
    <w:p w14:paraId="2B995461" w14:textId="77777777" w:rsidR="00C418C3" w:rsidRDefault="00C418C3">
      <w:r>
        <w:continuationSeparator/>
      </w:r>
    </w:p>
  </w:footnote>
  <w:footnote w:id="1">
    <w:p w14:paraId="26AE942B" w14:textId="77777777" w:rsidR="00876411" w:rsidRPr="00876411" w:rsidRDefault="00876411" w:rsidP="00876411">
      <w:pPr>
        <w:spacing w:before="82"/>
        <w:ind w:left="300" w:right="447" w:firstLine="709"/>
        <w:jc w:val="both"/>
        <w:rPr>
          <w:sz w:val="19"/>
        </w:rPr>
      </w:pPr>
      <w:r>
        <w:rPr>
          <w:rStyle w:val="Refdenotaalpie"/>
        </w:rPr>
        <w:footnoteRef/>
      </w:r>
      <w:r>
        <w:t xml:space="preserve"> </w:t>
      </w:r>
      <w:r w:rsidRPr="00876411">
        <w:rPr>
          <w:sz w:val="19"/>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w:t>
      </w:r>
      <w:r w:rsidRPr="00876411">
        <w:rPr>
          <w:spacing w:val="-4"/>
          <w:sz w:val="19"/>
        </w:rPr>
        <w:t xml:space="preserve"> </w:t>
      </w:r>
      <w:r w:rsidRPr="00876411">
        <w:rPr>
          <w:sz w:val="19"/>
        </w:rPr>
        <w:t>cotizadas.</w:t>
      </w:r>
    </w:p>
    <w:p w14:paraId="127704F9" w14:textId="77777777" w:rsidR="00876411" w:rsidRPr="00876411" w:rsidRDefault="00876411" w:rsidP="00876411">
      <w:pPr>
        <w:ind w:left="300" w:right="446" w:firstLine="709"/>
        <w:jc w:val="both"/>
        <w:rPr>
          <w:sz w:val="19"/>
        </w:rPr>
      </w:pPr>
      <w:r w:rsidRPr="00876411">
        <w:rPr>
          <w:sz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7B0685A4" w14:textId="77777777" w:rsidR="00876411" w:rsidRPr="00876411" w:rsidRDefault="00876411" w:rsidP="00876411">
      <w:pPr>
        <w:spacing w:before="1"/>
        <w:ind w:left="300" w:right="448" w:firstLine="709"/>
        <w:jc w:val="both"/>
        <w:rPr>
          <w:sz w:val="19"/>
        </w:rPr>
      </w:pPr>
      <w:r w:rsidRPr="00876411">
        <w:rPr>
          <w:sz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4441E5D4" w14:textId="77777777" w:rsidR="00876411" w:rsidRPr="00876411" w:rsidRDefault="00876411" w:rsidP="00876411">
      <w:pPr>
        <w:ind w:left="300" w:right="448" w:firstLine="709"/>
        <w:jc w:val="both"/>
        <w:rPr>
          <w:sz w:val="19"/>
        </w:rPr>
      </w:pPr>
      <w:r w:rsidRPr="00876411">
        <w:rPr>
          <w:sz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F279C3D" w14:textId="3B12758E" w:rsidR="00876411" w:rsidRPr="00876411" w:rsidRDefault="00876411">
      <w:pPr>
        <w:pStyle w:val="Textonotapie"/>
      </w:pPr>
    </w:p>
  </w:footnote>
  <w:footnote w:id="2">
    <w:p w14:paraId="1583CC78" w14:textId="5513837F" w:rsidR="00876411" w:rsidRPr="00876411" w:rsidRDefault="00876411" w:rsidP="00876411">
      <w:pPr>
        <w:spacing w:before="80"/>
        <w:ind w:left="300" w:right="447" w:firstLine="709"/>
        <w:rPr>
          <w:sz w:val="19"/>
        </w:rPr>
      </w:pPr>
      <w:r>
        <w:rPr>
          <w:rStyle w:val="Refdenotaalpie"/>
        </w:rPr>
        <w:footnoteRef/>
      </w:r>
      <w:r>
        <w:t xml:space="preserve"> </w:t>
      </w:r>
      <w:r w:rsidRPr="00876411">
        <w:rPr>
          <w:sz w:val="19"/>
        </w:rPr>
        <w:t>Consejo de Estado. Sección Tercera. Sentencia del 8 de junio de 2011. Rad. 20001-23-31- 000-2005-00409-01[AP]. Consejero Ponente: Enrique Gil Botero.</w:t>
      </w:r>
    </w:p>
    <w:p w14:paraId="47A1179B" w14:textId="2559E4F7" w:rsidR="00876411" w:rsidRPr="00876411" w:rsidRDefault="00876411">
      <w:pPr>
        <w:pStyle w:val="Textonotapie"/>
        <w:rPr>
          <w:lang w:val="es-MX"/>
        </w:rPr>
      </w:pPr>
    </w:p>
  </w:footnote>
  <w:footnote w:id="3">
    <w:p w14:paraId="74CCCAA4" w14:textId="77777777" w:rsidR="00876411" w:rsidRPr="00876411" w:rsidRDefault="00876411" w:rsidP="00876411">
      <w:pPr>
        <w:spacing w:before="80"/>
        <w:ind w:left="300" w:right="448" w:firstLine="709"/>
        <w:jc w:val="both"/>
        <w:rPr>
          <w:sz w:val="19"/>
        </w:rPr>
      </w:pPr>
      <w:r>
        <w:rPr>
          <w:rStyle w:val="Refdenotaalpie"/>
        </w:rPr>
        <w:footnoteRef/>
      </w:r>
      <w:r>
        <w:t xml:space="preserve"> </w:t>
      </w:r>
      <w:r w:rsidRPr="00876411">
        <w:rPr>
          <w:sz w:val="19"/>
        </w:rPr>
        <w:t>Ley 1753 de 2015: «Artículo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w:t>
      </w:r>
      <w:r w:rsidRPr="00876411">
        <w:rPr>
          <w:sz w:val="19"/>
        </w:rPr>
        <w:t>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w:t>
      </w:r>
      <w:r w:rsidRPr="00876411">
        <w:rPr>
          <w:spacing w:val="-3"/>
          <w:sz w:val="19"/>
        </w:rPr>
        <w:t xml:space="preserve"> </w:t>
      </w:r>
      <w:r w:rsidRPr="00876411">
        <w:rPr>
          <w:sz w:val="19"/>
        </w:rPr>
        <w:t>Tributario.</w:t>
      </w:r>
    </w:p>
    <w:p w14:paraId="6F86F87A" w14:textId="77777777" w:rsidR="00876411" w:rsidRPr="00876411" w:rsidRDefault="00876411" w:rsidP="00876411">
      <w:pPr>
        <w:spacing w:before="2"/>
        <w:ind w:left="300" w:right="447" w:firstLine="709"/>
        <w:jc w:val="both"/>
        <w:rPr>
          <w:sz w:val="19"/>
        </w:rPr>
      </w:pPr>
      <w:r w:rsidRPr="00876411">
        <w:rPr>
          <w:sz w:val="19"/>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w:t>
      </w:r>
      <w:r w:rsidRPr="00876411">
        <w:rPr>
          <w:spacing w:val="-7"/>
          <w:sz w:val="19"/>
        </w:rPr>
        <w:t xml:space="preserve"> </w:t>
      </w:r>
      <w:r w:rsidRPr="00876411">
        <w:rPr>
          <w:sz w:val="19"/>
        </w:rPr>
        <w:t>UGPP.</w:t>
      </w:r>
    </w:p>
    <w:p w14:paraId="27F746C0" w14:textId="77777777" w:rsidR="00876411" w:rsidRPr="00876411" w:rsidRDefault="00876411" w:rsidP="00876411">
      <w:pPr>
        <w:ind w:left="300" w:right="447" w:firstLine="709"/>
        <w:jc w:val="both"/>
        <w:rPr>
          <w:sz w:val="19"/>
        </w:rPr>
      </w:pPr>
      <w:r w:rsidRPr="00876411">
        <w:rPr>
          <w:sz w:val="19"/>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w:t>
      </w:r>
      <w:r w:rsidRPr="00876411">
        <w:rPr>
          <w:spacing w:val="-2"/>
          <w:sz w:val="19"/>
        </w:rPr>
        <w:t xml:space="preserve"> </w:t>
      </w:r>
      <w:r w:rsidRPr="00876411">
        <w:rPr>
          <w:sz w:val="19"/>
        </w:rPr>
        <w:t>Nacional.</w:t>
      </w:r>
    </w:p>
    <w:p w14:paraId="590E4B9E" w14:textId="549B8D0B" w:rsidR="00876411" w:rsidRDefault="00876411" w:rsidP="00876411">
      <w:pPr>
        <w:ind w:left="300" w:right="445" w:firstLine="709"/>
        <w:jc w:val="both"/>
        <w:rPr>
          <w:sz w:val="19"/>
        </w:rPr>
      </w:pPr>
      <w:r w:rsidRPr="00876411">
        <w:rPr>
          <w:sz w:val="19"/>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14:paraId="6E7EC2DF" w14:textId="77777777" w:rsidR="00876411" w:rsidRPr="00876411" w:rsidRDefault="00876411" w:rsidP="00876411">
      <w:pPr>
        <w:ind w:left="300" w:right="445" w:firstLine="709"/>
        <w:jc w:val="both"/>
      </w:pPr>
    </w:p>
  </w:footnote>
  <w:footnote w:id="4">
    <w:p w14:paraId="0B60F5E3" w14:textId="77777777" w:rsidR="00876411" w:rsidRPr="00876411" w:rsidRDefault="00876411" w:rsidP="00876411">
      <w:pPr>
        <w:spacing w:before="80"/>
        <w:ind w:left="300" w:right="454"/>
        <w:jc w:val="both"/>
        <w:rPr>
          <w:sz w:val="19"/>
        </w:rPr>
      </w:pPr>
      <w:r>
        <w:rPr>
          <w:rStyle w:val="Refdenotaalpie"/>
        </w:rPr>
        <w:footnoteRef/>
      </w:r>
      <w:r>
        <w:t xml:space="preserve"> </w:t>
      </w:r>
      <w:r w:rsidRPr="00876411">
        <w:rPr>
          <w:sz w:val="19"/>
        </w:rPr>
        <w:t>Decreto 1273 de 2018: «Artículo 2.2.1.1.1.7 Pago de cotizaciones de los trabajadores independientes al Sistema de Seguridad Social Integral. El pago de las cotizaciones al Sistema de Seguridad Social Integral de los trabajadores independientes se efectuará mes vencido, por periodos</w:t>
      </w:r>
      <w:r>
        <w:rPr>
          <w:sz w:val="19"/>
        </w:rPr>
        <w:t xml:space="preserve"> </w:t>
      </w:r>
      <w:r w:rsidRPr="00876411">
        <w:rPr>
          <w:sz w:val="19"/>
        </w:rPr>
        <w:t>mensuales, a través de la Planilla Integrada de Liquidación de Aportes [PILA] y teniendo en cuenta los ingresos percibidos en el periodo de cotización, esto es, el mes anterior.</w:t>
      </w:r>
    </w:p>
    <w:p w14:paraId="21C5BD37" w14:textId="77777777" w:rsidR="00876411" w:rsidRPr="00876411" w:rsidRDefault="00876411" w:rsidP="00876411">
      <w:pPr>
        <w:ind w:left="300" w:right="450" w:firstLine="709"/>
        <w:jc w:val="both"/>
        <w:rPr>
          <w:sz w:val="19"/>
        </w:rPr>
      </w:pPr>
      <w:r w:rsidRPr="00876411">
        <w:rPr>
          <w:sz w:val="19"/>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14:paraId="078B41BF" w14:textId="4C6F89C8" w:rsidR="00876411" w:rsidRPr="00876411" w:rsidRDefault="00876411" w:rsidP="00876411">
      <w:pPr>
        <w:ind w:left="300" w:right="449" w:firstLine="709"/>
        <w:jc w:val="both"/>
        <w:rPr>
          <w:sz w:val="19"/>
        </w:rPr>
      </w:pPr>
    </w:p>
    <w:p w14:paraId="07A01317" w14:textId="2CCDFE19" w:rsidR="00876411" w:rsidRPr="00876411" w:rsidRDefault="00876411">
      <w:pPr>
        <w:pStyle w:val="Textonotapie"/>
      </w:pPr>
    </w:p>
  </w:footnote>
  <w:footnote w:id="5">
    <w:p w14:paraId="727C24FC" w14:textId="2AB09E60" w:rsidR="00876411" w:rsidRPr="00876411" w:rsidRDefault="00876411" w:rsidP="00876411">
      <w:pPr>
        <w:ind w:left="300" w:right="449" w:firstLine="709"/>
        <w:jc w:val="both"/>
        <w:rPr>
          <w:sz w:val="19"/>
        </w:rPr>
      </w:pPr>
      <w:r>
        <w:rPr>
          <w:rStyle w:val="Refdenotaalpie"/>
        </w:rPr>
        <w:footnoteRef/>
      </w:r>
      <w:r>
        <w:t xml:space="preserve"> </w:t>
      </w:r>
      <w:r w:rsidRPr="00876411">
        <w:rPr>
          <w:sz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FA3CD69" w14:textId="77777777" w:rsidR="00876411" w:rsidRPr="00876411" w:rsidRDefault="00876411" w:rsidP="00876411">
      <w:pPr>
        <w:ind w:left="300" w:right="447" w:firstLine="709"/>
        <w:jc w:val="both"/>
        <w:rPr>
          <w:sz w:val="19"/>
        </w:rPr>
      </w:pPr>
      <w:r w:rsidRPr="00876411">
        <w:rPr>
          <w:sz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A0C0457" w14:textId="77777777" w:rsidR="00876411" w:rsidRPr="00876411" w:rsidRDefault="00876411" w:rsidP="00876411">
      <w:pPr>
        <w:spacing w:before="1"/>
        <w:ind w:left="300" w:right="449" w:firstLine="709"/>
        <w:jc w:val="both"/>
        <w:rPr>
          <w:sz w:val="19"/>
        </w:rPr>
      </w:pPr>
      <w:r w:rsidRPr="00876411">
        <w:rPr>
          <w:sz w:val="19"/>
        </w:rPr>
        <w:t>»El Gobierno nacional reglamentará el mecanismo para realizar la mensualización de que trata el presente artículo.</w:t>
      </w:r>
    </w:p>
    <w:p w14:paraId="00C89C14" w14:textId="77777777" w:rsidR="00876411" w:rsidRPr="00876411" w:rsidRDefault="00876411" w:rsidP="00876411">
      <w:pPr>
        <w:spacing w:before="83"/>
        <w:ind w:left="300" w:right="448"/>
        <w:jc w:val="both"/>
        <w:rPr>
          <w:sz w:val="19"/>
        </w:rPr>
      </w:pPr>
      <w:r w:rsidRPr="00876411">
        <w:rPr>
          <w:sz w:val="19"/>
        </w:rPr>
        <w:t>»Parágrafo. Para efectos de la determinación del ingreso base de cotización de los trabajadores</w:t>
      </w:r>
      <w:r w:rsidRPr="00876411">
        <w:rPr>
          <w:spacing w:val="15"/>
          <w:sz w:val="19"/>
        </w:rPr>
        <w:t xml:space="preserve"> </w:t>
      </w:r>
      <w:r w:rsidRPr="00876411">
        <w:rPr>
          <w:sz w:val="19"/>
        </w:rPr>
        <w:t>independientes</w:t>
      </w:r>
      <w:r w:rsidRPr="00876411">
        <w:rPr>
          <w:spacing w:val="18"/>
          <w:sz w:val="19"/>
        </w:rPr>
        <w:t xml:space="preserve"> </w:t>
      </w:r>
      <w:r w:rsidRPr="00876411">
        <w:rPr>
          <w:sz w:val="19"/>
        </w:rPr>
        <w:t>por</w:t>
      </w:r>
      <w:r w:rsidRPr="00876411">
        <w:rPr>
          <w:spacing w:val="15"/>
          <w:sz w:val="19"/>
        </w:rPr>
        <w:t xml:space="preserve"> </w:t>
      </w:r>
      <w:r w:rsidRPr="00876411">
        <w:rPr>
          <w:sz w:val="19"/>
        </w:rPr>
        <w:t>cuenta</w:t>
      </w:r>
      <w:r w:rsidRPr="00876411">
        <w:rPr>
          <w:spacing w:val="15"/>
          <w:sz w:val="19"/>
        </w:rPr>
        <w:t xml:space="preserve"> </w:t>
      </w:r>
      <w:r w:rsidRPr="00876411">
        <w:rPr>
          <w:sz w:val="19"/>
        </w:rPr>
        <w:t>propia</w:t>
      </w:r>
      <w:r w:rsidRPr="00876411">
        <w:rPr>
          <w:spacing w:val="18"/>
          <w:sz w:val="19"/>
        </w:rPr>
        <w:t xml:space="preserve"> </w:t>
      </w:r>
      <w:r w:rsidRPr="00876411">
        <w:rPr>
          <w:sz w:val="19"/>
        </w:rPr>
        <w:t>y</w:t>
      </w:r>
      <w:r w:rsidRPr="00876411">
        <w:rPr>
          <w:spacing w:val="13"/>
          <w:sz w:val="19"/>
        </w:rPr>
        <w:t xml:space="preserve"> </w:t>
      </w:r>
      <w:r w:rsidRPr="00876411">
        <w:rPr>
          <w:sz w:val="19"/>
        </w:rPr>
        <w:t>para</w:t>
      </w:r>
      <w:r w:rsidRPr="00876411">
        <w:rPr>
          <w:spacing w:val="17"/>
          <w:sz w:val="19"/>
        </w:rPr>
        <w:t xml:space="preserve"> </w:t>
      </w:r>
      <w:r w:rsidRPr="00876411">
        <w:rPr>
          <w:sz w:val="19"/>
        </w:rPr>
        <w:t>quienes</w:t>
      </w:r>
      <w:r w:rsidRPr="00876411">
        <w:rPr>
          <w:spacing w:val="16"/>
          <w:sz w:val="19"/>
        </w:rPr>
        <w:t xml:space="preserve"> </w:t>
      </w:r>
      <w:r w:rsidRPr="00876411">
        <w:rPr>
          <w:sz w:val="19"/>
        </w:rPr>
        <w:t>celebren</w:t>
      </w:r>
      <w:r w:rsidRPr="00876411">
        <w:rPr>
          <w:spacing w:val="15"/>
          <w:sz w:val="19"/>
        </w:rPr>
        <w:t xml:space="preserve"> </w:t>
      </w:r>
      <w:r w:rsidRPr="00876411">
        <w:rPr>
          <w:sz w:val="19"/>
        </w:rPr>
        <w:t>contratos</w:t>
      </w:r>
      <w:r w:rsidRPr="00876411">
        <w:rPr>
          <w:spacing w:val="18"/>
          <w:sz w:val="19"/>
        </w:rPr>
        <w:t xml:space="preserve"> </w:t>
      </w:r>
      <w:r w:rsidRPr="00876411">
        <w:rPr>
          <w:sz w:val="19"/>
        </w:rPr>
        <w:t>diferentes</w:t>
      </w:r>
      <w:r w:rsidRPr="00876411">
        <w:rPr>
          <w:spacing w:val="15"/>
          <w:sz w:val="19"/>
        </w:rPr>
        <w:t xml:space="preserve"> </w:t>
      </w:r>
      <w:r w:rsidRPr="00876411">
        <w:rPr>
          <w:sz w:val="19"/>
        </w:rPr>
        <w:t>de</w:t>
      </w:r>
      <w:r>
        <w:rPr>
          <w:sz w:val="19"/>
        </w:rPr>
        <w:t xml:space="preserve"> </w:t>
      </w:r>
      <w:r w:rsidRPr="00876411">
        <w:rPr>
          <w:sz w:val="19"/>
        </w:rPr>
        <w:t>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w:t>
      </w:r>
      <w:r w:rsidRPr="00876411">
        <w:rPr>
          <w:spacing w:val="-1"/>
          <w:sz w:val="19"/>
        </w:rPr>
        <w:t xml:space="preserve"> </w:t>
      </w:r>
      <w:r w:rsidRPr="00876411">
        <w:rPr>
          <w:sz w:val="19"/>
        </w:rPr>
        <w:t>costos.</w:t>
      </w:r>
    </w:p>
    <w:p w14:paraId="2B184DBC" w14:textId="77777777" w:rsidR="00876411" w:rsidRPr="00876411" w:rsidRDefault="00876411" w:rsidP="00876411">
      <w:pPr>
        <w:ind w:left="300" w:right="450" w:firstLine="709"/>
        <w:jc w:val="both"/>
        <w:rPr>
          <w:sz w:val="19"/>
        </w:rPr>
      </w:pPr>
      <w:r w:rsidRPr="00876411">
        <w:rPr>
          <w:sz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w:t>
      </w:r>
      <w:r w:rsidRPr="00876411">
        <w:rPr>
          <w:spacing w:val="-1"/>
          <w:sz w:val="19"/>
        </w:rPr>
        <w:t xml:space="preserve"> </w:t>
      </w:r>
      <w:r w:rsidRPr="00876411">
        <w:rPr>
          <w:sz w:val="19"/>
        </w:rPr>
        <w:t>documentos».</w:t>
      </w:r>
    </w:p>
    <w:p w14:paraId="6A0F7D95" w14:textId="2994CBF9" w:rsidR="00876411" w:rsidRPr="00876411" w:rsidRDefault="00876411" w:rsidP="00876411">
      <w:pPr>
        <w:spacing w:before="1"/>
        <w:ind w:left="300" w:right="450" w:firstLine="709"/>
        <w:jc w:val="both"/>
        <w:rPr>
          <w:sz w:val="19"/>
        </w:rPr>
      </w:pPr>
    </w:p>
    <w:p w14:paraId="358146E4" w14:textId="21770D83" w:rsidR="00876411" w:rsidRPr="00876411" w:rsidRDefault="00876411">
      <w:pPr>
        <w:pStyle w:val="Textonotapie"/>
      </w:pPr>
    </w:p>
  </w:footnote>
  <w:footnote w:id="6">
    <w:p w14:paraId="21C058EB" w14:textId="50A334B4" w:rsidR="00876411" w:rsidRPr="00876411" w:rsidRDefault="00876411" w:rsidP="00876411">
      <w:pPr>
        <w:spacing w:before="80" w:line="217" w:lineRule="exact"/>
        <w:ind w:left="1010"/>
        <w:rPr>
          <w:sz w:val="19"/>
        </w:rPr>
      </w:pPr>
      <w:r>
        <w:rPr>
          <w:rStyle w:val="Refdenotaalpie"/>
        </w:rPr>
        <w:footnoteRef/>
      </w:r>
      <w:r w:rsidRPr="00876411">
        <w:rPr>
          <w:sz w:val="19"/>
        </w:rPr>
        <w:t xml:space="preserve"> En efecto, el artículo 1608 del Código Civil prevé lo siguiente: </w:t>
      </w:r>
      <w:r w:rsidRPr="00876411">
        <w:rPr>
          <w:sz w:val="19"/>
        </w:rPr>
        <w:t>« El deudor está en mora:</w:t>
      </w:r>
    </w:p>
    <w:p w14:paraId="6B2003E3" w14:textId="77777777" w:rsidR="00876411" w:rsidRPr="00876411" w:rsidRDefault="00876411" w:rsidP="00876411">
      <w:pPr>
        <w:spacing w:line="244" w:lineRule="auto"/>
        <w:ind w:left="300" w:right="458" w:firstLine="709"/>
        <w:rPr>
          <w:sz w:val="19"/>
        </w:rPr>
      </w:pPr>
      <w:r w:rsidRPr="00876411">
        <w:rPr>
          <w:sz w:val="19"/>
        </w:rPr>
        <w:t xml:space="preserve">1° </w:t>
      </w:r>
      <w:r w:rsidRPr="00876411">
        <w:rPr>
          <w:i/>
          <w:sz w:val="19"/>
        </w:rPr>
        <w:t>Cuando no ha cumplido la obligación dentro del término estipulado</w:t>
      </w:r>
      <w:r w:rsidRPr="00876411">
        <w:rPr>
          <w:sz w:val="19"/>
        </w:rPr>
        <w:t>; salvo que la ley, en casos especiales, exija que se requiera al deudor para constituirlo en mora.</w:t>
      </w:r>
    </w:p>
    <w:p w14:paraId="46421779" w14:textId="77777777" w:rsidR="00876411" w:rsidRPr="00876411" w:rsidRDefault="00876411" w:rsidP="00876411">
      <w:pPr>
        <w:ind w:left="300" w:right="458" w:firstLine="709"/>
        <w:rPr>
          <w:sz w:val="19"/>
        </w:rPr>
      </w:pPr>
      <w:r w:rsidRPr="00876411">
        <w:rPr>
          <w:sz w:val="19"/>
        </w:rPr>
        <w:t>2° Cuando la cosa no ha podido ser dada o ejecutada sino dentro de cierto tiempo y el deudor lo ha dejado pasar sin darla o</w:t>
      </w:r>
      <w:r w:rsidRPr="00876411">
        <w:rPr>
          <w:spacing w:val="-4"/>
          <w:sz w:val="19"/>
        </w:rPr>
        <w:t xml:space="preserve"> </w:t>
      </w:r>
      <w:r w:rsidRPr="00876411">
        <w:rPr>
          <w:sz w:val="19"/>
        </w:rPr>
        <w:t>ejecutarla.</w:t>
      </w:r>
    </w:p>
    <w:p w14:paraId="1A7BEC19" w14:textId="06E5B594" w:rsidR="00876411" w:rsidRPr="00876411" w:rsidRDefault="00876411" w:rsidP="00876411">
      <w:pPr>
        <w:ind w:left="300" w:firstLine="709"/>
      </w:pPr>
      <w:r w:rsidRPr="00876411">
        <w:rPr>
          <w:sz w:val="19"/>
        </w:rPr>
        <w:t>3° En los demás casos, cuando el deudor ha sido judicialmente reconvenido por el acreedor» (cursivas fuera de texto).</w:t>
      </w:r>
    </w:p>
  </w:footnote>
  <w:footnote w:id="7">
    <w:p w14:paraId="35DFBC61" w14:textId="4BB9A39A" w:rsidR="00876411" w:rsidRPr="00876411" w:rsidRDefault="00876411" w:rsidP="00876411">
      <w:pPr>
        <w:spacing w:before="80"/>
        <w:ind w:left="300" w:right="448" w:firstLine="709"/>
        <w:jc w:val="both"/>
        <w:rPr>
          <w:sz w:val="19"/>
        </w:rPr>
      </w:pPr>
      <w:r>
        <w:rPr>
          <w:rStyle w:val="Refdenotaalpie"/>
        </w:rPr>
        <w:footnoteRef/>
      </w:r>
      <w:r>
        <w:t xml:space="preserve"> </w:t>
      </w:r>
      <w:r w:rsidRPr="00876411">
        <w:rPr>
          <w:sz w:val="19"/>
        </w:rPr>
        <w:t xml:space="preserve">Sobre el entendimiento de la vigencia del contrato, como un concepto distinto al plazo de ejecución, puede verse la siguiente providencia: Consejo de Estado. Sección Tercera. Sentencia del 18 de marzo de 2004. </w:t>
      </w:r>
      <w:r w:rsidRPr="00876411">
        <w:rPr>
          <w:sz w:val="19"/>
        </w:rPr>
        <w:t xml:space="preserve">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w:t>
      </w:r>
      <w:r w:rsidRPr="00876411">
        <w:rPr>
          <w:sz w:val="19"/>
        </w:rPr>
        <w:t>contrato, puede consultarse el fallo del Consejo de Estado. Sección Tercera. Subsección B. Sentencia del 1 de agosto de 2018. Exp. 40.237. Consejero Ponente: Ramiro Pazos</w:t>
      </w:r>
      <w:r w:rsidRPr="00876411">
        <w:rPr>
          <w:spacing w:val="-15"/>
          <w:sz w:val="19"/>
        </w:rPr>
        <w:t xml:space="preserve"> </w:t>
      </w:r>
      <w:r w:rsidRPr="00876411">
        <w:rPr>
          <w:sz w:val="19"/>
        </w:rPr>
        <w:t>Guerrero.</w:t>
      </w:r>
    </w:p>
    <w:p w14:paraId="2A4613E2" w14:textId="03B2DCFC" w:rsidR="00876411" w:rsidRPr="00876411" w:rsidRDefault="00876411">
      <w:pPr>
        <w:pStyle w:val="Textonotapie"/>
        <w:rPr>
          <w:lang w:val="es-MX"/>
        </w:rPr>
      </w:pPr>
    </w:p>
  </w:footnote>
  <w:footnote w:id="8">
    <w:p w14:paraId="4135DA77" w14:textId="78233688" w:rsidR="00876411" w:rsidRPr="00876411" w:rsidRDefault="00876411" w:rsidP="00876411">
      <w:pPr>
        <w:spacing w:before="80"/>
        <w:ind w:left="1010"/>
        <w:rPr>
          <w:sz w:val="19"/>
        </w:rPr>
      </w:pPr>
      <w:r>
        <w:rPr>
          <w:rStyle w:val="Refdenotaalpie"/>
        </w:rPr>
        <w:footnoteRef/>
      </w:r>
      <w:r>
        <w:t xml:space="preserve"> </w:t>
      </w:r>
      <w:r w:rsidRPr="00876411">
        <w:rPr>
          <w:sz w:val="19"/>
        </w:rPr>
        <w:t>Ministerio de Salud. Concepto del 28 de octubre de 2019. Radicado 201911601443771.</w:t>
      </w:r>
    </w:p>
    <w:p w14:paraId="1E2FA882" w14:textId="76C08D54" w:rsidR="00876411" w:rsidRPr="00876411" w:rsidRDefault="00876411">
      <w:pPr>
        <w:pStyle w:val="Textonotapie"/>
        <w:rPr>
          <w:lang w:val="es-MX"/>
        </w:rPr>
      </w:pPr>
    </w:p>
  </w:footnote>
  <w:footnote w:id="9">
    <w:p w14:paraId="2FE8A9B7" w14:textId="4F4BD9C1" w:rsidR="00876411" w:rsidRPr="00876411" w:rsidRDefault="00876411" w:rsidP="00876411">
      <w:pPr>
        <w:spacing w:before="80"/>
        <w:ind w:left="300" w:right="447" w:firstLine="709"/>
        <w:jc w:val="both"/>
        <w:rPr>
          <w:sz w:val="19"/>
        </w:rPr>
      </w:pPr>
      <w:r>
        <w:rPr>
          <w:rStyle w:val="Refdenotaalpie"/>
        </w:rPr>
        <w:footnoteRef/>
      </w:r>
      <w:r>
        <w:t xml:space="preserve"> </w:t>
      </w:r>
      <w:r w:rsidRPr="00876411">
        <w:rPr>
          <w:sz w:val="19"/>
        </w:rPr>
        <w:t xml:space="preserve">Esta norma establece: «Las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w:t>
      </w:r>
      <w:r w:rsidRPr="00876411">
        <w:rPr>
          <w:sz w:val="19"/>
        </w:rPr>
        <w:t>contracreditarse.</w:t>
      </w:r>
    </w:p>
    <w:p w14:paraId="0BC3A089" w14:textId="77777777" w:rsidR="00876411" w:rsidRPr="00876411" w:rsidRDefault="00876411" w:rsidP="00876411">
      <w:pPr>
        <w:ind w:left="300" w:right="451" w:firstLine="709"/>
        <w:jc w:val="both"/>
        <w:rPr>
          <w:sz w:val="19"/>
        </w:rPr>
      </w:pPr>
      <w:r w:rsidRPr="00876411">
        <w:rPr>
          <w:sz w:val="19"/>
        </w:rPr>
        <w:t>»Al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w:t>
      </w:r>
      <w:r w:rsidRPr="00876411">
        <w:rPr>
          <w:spacing w:val="-6"/>
          <w:sz w:val="19"/>
        </w:rPr>
        <w:t xml:space="preserve"> </w:t>
      </w:r>
      <w:r w:rsidRPr="00876411">
        <w:rPr>
          <w:sz w:val="19"/>
        </w:rPr>
        <w:t>origen.</w:t>
      </w:r>
    </w:p>
    <w:p w14:paraId="6AF24D15" w14:textId="77777777" w:rsidR="00876411" w:rsidRPr="00876411" w:rsidRDefault="00876411" w:rsidP="00876411">
      <w:pPr>
        <w:ind w:left="300" w:right="447" w:firstLine="709"/>
        <w:jc w:val="both"/>
        <w:rPr>
          <w:sz w:val="19"/>
        </w:rPr>
      </w:pPr>
      <w:r w:rsidRPr="00876411">
        <w:rPr>
          <w:sz w:val="19"/>
        </w:rPr>
        <w:t>»Igualmente, cada órgano constituirá al 31 de diciembre del año cuentas por pagar con las obligaciones correspondientes a los anticipas pactados en los contratos y a la entrega de bienes y servicios.</w:t>
      </w:r>
    </w:p>
    <w:p w14:paraId="6C840A00" w14:textId="77777777" w:rsidR="00876411" w:rsidRPr="00876411" w:rsidRDefault="00876411" w:rsidP="00876411">
      <w:pPr>
        <w:ind w:left="300" w:right="448" w:firstLine="709"/>
        <w:jc w:val="both"/>
        <w:rPr>
          <w:sz w:val="19"/>
        </w:rPr>
      </w:pPr>
      <w:r w:rsidRPr="00876411">
        <w:rPr>
          <w:sz w:val="19"/>
        </w:rPr>
        <w:t xml:space="preserve">»El Gobierno Nacional establecerá los requisitos y plazos que se deben observar para el cumplimiento del presente artículo (Ley 38/89, artículo 72, Ley 179/94, artículo </w:t>
      </w:r>
      <w:hyperlink r:id="rId1" w:anchor="38">
        <w:r w:rsidRPr="00876411">
          <w:rPr>
            <w:sz w:val="19"/>
          </w:rPr>
          <w:t xml:space="preserve">38, </w:t>
        </w:r>
      </w:hyperlink>
      <w:r w:rsidRPr="00876411">
        <w:rPr>
          <w:sz w:val="19"/>
        </w:rPr>
        <w:t>Ley 225/95, artículo 8o. )».</w:t>
      </w:r>
    </w:p>
    <w:p w14:paraId="06D58657" w14:textId="43255E1E" w:rsidR="00876411" w:rsidRPr="00876411" w:rsidRDefault="00876411">
      <w:pPr>
        <w:pStyle w:val="Textonotapie"/>
      </w:pPr>
    </w:p>
  </w:footnote>
  <w:footnote w:id="10">
    <w:p w14:paraId="6E79F696" w14:textId="77777777" w:rsidR="00876411" w:rsidRPr="00876411" w:rsidRDefault="00876411" w:rsidP="00876411">
      <w:pPr>
        <w:ind w:left="300" w:right="449" w:firstLine="709"/>
        <w:jc w:val="both"/>
        <w:rPr>
          <w:sz w:val="19"/>
        </w:rPr>
      </w:pPr>
      <w:r>
        <w:rPr>
          <w:rStyle w:val="Refdenotaalpie"/>
        </w:rPr>
        <w:footnoteRef/>
      </w:r>
      <w:r>
        <w:t xml:space="preserve"> </w:t>
      </w:r>
      <w:r w:rsidRPr="00876411">
        <w:rPr>
          <w:sz w:val="19"/>
        </w:rPr>
        <w:t>Al tenor de esta disposición «El presupuesto de gastos comprende las apropiaciones para gastos de funcionamiento, gastos de operación comercial, servicio de la deuda y gastos de inversión que se causen durante la vigencia fiscal respectiva.</w:t>
      </w:r>
    </w:p>
    <w:p w14:paraId="57F5D745" w14:textId="77777777" w:rsidR="00876411" w:rsidRPr="00876411" w:rsidRDefault="00876411" w:rsidP="00876411">
      <w:pPr>
        <w:ind w:left="300" w:right="448" w:firstLine="709"/>
        <w:jc w:val="both"/>
        <w:rPr>
          <w:sz w:val="19"/>
        </w:rPr>
      </w:pPr>
      <w:r w:rsidRPr="00876411">
        <w:rPr>
          <w:sz w:val="19"/>
        </w:rPr>
        <w:t xml:space="preserve">»La </w:t>
      </w:r>
      <w:r w:rsidRPr="00876411">
        <w:rPr>
          <w:sz w:val="19"/>
        </w:rPr>
        <w:t>causación del gasto debe contar con la apropiación presupuestal correspondiente, así su pago se efectúe en la siguiente vigencia fiscal. El pago deberá incluirse en el presupuesto del año siguiente como una cuenta por pagar».</w:t>
      </w:r>
    </w:p>
    <w:p w14:paraId="119DAE2F" w14:textId="70D0EADD" w:rsidR="00876411" w:rsidRPr="00876411" w:rsidRDefault="0087641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46AB" w14:textId="77777777" w:rsidR="007A733C" w:rsidRDefault="009F5055">
    <w:pPr>
      <w:pStyle w:val="Textoindependiente"/>
      <w:spacing w:line="14" w:lineRule="auto"/>
      <w:rPr>
        <w:sz w:val="20"/>
      </w:rPr>
    </w:pPr>
    <w:r>
      <w:rPr>
        <w:noProof/>
        <w:lang w:val="en-US"/>
      </w:rPr>
      <w:drawing>
        <wp:anchor distT="0" distB="0" distL="0" distR="0" simplePos="0" relativeHeight="251656704" behindDoc="1" locked="0" layoutInCell="1" allowOverlap="1" wp14:anchorId="5240EE14" wp14:editId="1FFA4C42">
          <wp:simplePos x="0" y="0"/>
          <wp:positionH relativeFrom="page">
            <wp:posOffset>5530642</wp:posOffset>
          </wp:positionH>
          <wp:positionV relativeFrom="page">
            <wp:posOffset>486269</wp:posOffset>
          </wp:positionV>
          <wp:extent cx="1128151" cy="4365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D1C61"/>
    <w:multiLevelType w:val="multilevel"/>
    <w:tmpl w:val="D8A838A4"/>
    <w:lvl w:ilvl="0">
      <w:start w:val="2"/>
      <w:numFmt w:val="decimal"/>
      <w:lvlText w:val="%1"/>
      <w:lvlJc w:val="left"/>
      <w:pPr>
        <w:ind w:left="300" w:hanging="450"/>
        <w:jc w:val="left"/>
      </w:pPr>
      <w:rPr>
        <w:rFonts w:hint="default"/>
        <w:lang w:val="es-ES" w:eastAsia="en-US" w:bidi="ar-SA"/>
      </w:rPr>
    </w:lvl>
    <w:lvl w:ilvl="1">
      <w:start w:val="2"/>
      <w:numFmt w:val="decimal"/>
      <w:lvlText w:val="%1.%2."/>
      <w:lvlJc w:val="left"/>
      <w:pPr>
        <w:ind w:left="300" w:hanging="450"/>
        <w:jc w:val="left"/>
      </w:pPr>
      <w:rPr>
        <w:rFonts w:ascii="Arial" w:eastAsia="Arial" w:hAnsi="Arial" w:cs="Arial" w:hint="default"/>
        <w:b/>
        <w:bCs/>
        <w:color w:val="4E4D4D"/>
        <w:spacing w:val="-1"/>
        <w:w w:val="100"/>
        <w:sz w:val="22"/>
        <w:szCs w:val="22"/>
        <w:lang w:val="es-ES" w:eastAsia="en-US" w:bidi="ar-SA"/>
      </w:rPr>
    </w:lvl>
    <w:lvl w:ilvl="2">
      <w:start w:val="1"/>
      <w:numFmt w:val="lowerRoman"/>
      <w:lvlText w:val="%3)"/>
      <w:lvlJc w:val="left"/>
      <w:pPr>
        <w:ind w:left="300" w:hanging="203"/>
        <w:jc w:val="left"/>
      </w:pPr>
      <w:rPr>
        <w:rFonts w:ascii="Arial" w:eastAsia="Arial" w:hAnsi="Arial" w:cs="Arial" w:hint="default"/>
        <w:i/>
        <w:color w:val="4E4D4D"/>
        <w:spacing w:val="0"/>
        <w:w w:val="100"/>
        <w:sz w:val="22"/>
        <w:szCs w:val="22"/>
        <w:lang w:val="es-ES" w:eastAsia="en-US" w:bidi="ar-SA"/>
      </w:rPr>
    </w:lvl>
    <w:lvl w:ilvl="3">
      <w:numFmt w:val="bullet"/>
      <w:lvlText w:val="•"/>
      <w:lvlJc w:val="left"/>
      <w:pPr>
        <w:ind w:left="3072" w:hanging="203"/>
      </w:pPr>
      <w:rPr>
        <w:rFonts w:hint="default"/>
        <w:lang w:val="es-ES" w:eastAsia="en-US" w:bidi="ar-SA"/>
      </w:rPr>
    </w:lvl>
    <w:lvl w:ilvl="4">
      <w:numFmt w:val="bullet"/>
      <w:lvlText w:val="•"/>
      <w:lvlJc w:val="left"/>
      <w:pPr>
        <w:ind w:left="3996" w:hanging="203"/>
      </w:pPr>
      <w:rPr>
        <w:rFonts w:hint="default"/>
        <w:lang w:val="es-ES" w:eastAsia="en-US" w:bidi="ar-SA"/>
      </w:rPr>
    </w:lvl>
    <w:lvl w:ilvl="5">
      <w:numFmt w:val="bullet"/>
      <w:lvlText w:val="•"/>
      <w:lvlJc w:val="left"/>
      <w:pPr>
        <w:ind w:left="4920" w:hanging="203"/>
      </w:pPr>
      <w:rPr>
        <w:rFonts w:hint="default"/>
        <w:lang w:val="es-ES" w:eastAsia="en-US" w:bidi="ar-SA"/>
      </w:rPr>
    </w:lvl>
    <w:lvl w:ilvl="6">
      <w:numFmt w:val="bullet"/>
      <w:lvlText w:val="•"/>
      <w:lvlJc w:val="left"/>
      <w:pPr>
        <w:ind w:left="5844" w:hanging="203"/>
      </w:pPr>
      <w:rPr>
        <w:rFonts w:hint="default"/>
        <w:lang w:val="es-ES" w:eastAsia="en-US" w:bidi="ar-SA"/>
      </w:rPr>
    </w:lvl>
    <w:lvl w:ilvl="7">
      <w:numFmt w:val="bullet"/>
      <w:lvlText w:val="•"/>
      <w:lvlJc w:val="left"/>
      <w:pPr>
        <w:ind w:left="6768" w:hanging="203"/>
      </w:pPr>
      <w:rPr>
        <w:rFonts w:hint="default"/>
        <w:lang w:val="es-ES" w:eastAsia="en-US" w:bidi="ar-SA"/>
      </w:rPr>
    </w:lvl>
    <w:lvl w:ilvl="8">
      <w:numFmt w:val="bullet"/>
      <w:lvlText w:val="•"/>
      <w:lvlJc w:val="left"/>
      <w:pPr>
        <w:ind w:left="7692" w:hanging="203"/>
      </w:pPr>
      <w:rPr>
        <w:rFonts w:hint="default"/>
        <w:lang w:val="es-ES" w:eastAsia="en-US" w:bidi="ar-SA"/>
      </w:rPr>
    </w:lvl>
  </w:abstractNum>
  <w:abstractNum w:abstractNumId="1" w15:restartNumberingAfterBreak="0">
    <w:nsid w:val="5BA0645E"/>
    <w:multiLevelType w:val="multilevel"/>
    <w:tmpl w:val="3A787736"/>
    <w:lvl w:ilvl="0">
      <w:start w:val="1"/>
      <w:numFmt w:val="decimal"/>
      <w:lvlText w:val="%1."/>
      <w:lvlJc w:val="left"/>
      <w:pPr>
        <w:ind w:left="660" w:hanging="360"/>
        <w:jc w:val="left"/>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300" w:hanging="425"/>
        <w:jc w:val="left"/>
      </w:pPr>
      <w:rPr>
        <w:rFonts w:ascii="Arial" w:eastAsia="Arial" w:hAnsi="Arial" w:cs="Arial" w:hint="default"/>
        <w:b/>
        <w:bCs/>
        <w:color w:val="4E4D4D"/>
        <w:spacing w:val="-3"/>
        <w:w w:val="100"/>
        <w:sz w:val="22"/>
        <w:szCs w:val="22"/>
        <w:lang w:val="es-ES" w:eastAsia="en-US" w:bidi="ar-SA"/>
      </w:rPr>
    </w:lvl>
    <w:lvl w:ilvl="2">
      <w:numFmt w:val="bullet"/>
      <w:lvlText w:val="•"/>
      <w:lvlJc w:val="left"/>
      <w:pPr>
        <w:ind w:left="1646" w:hanging="425"/>
      </w:pPr>
      <w:rPr>
        <w:rFonts w:hint="default"/>
        <w:lang w:val="es-ES" w:eastAsia="en-US" w:bidi="ar-SA"/>
      </w:rPr>
    </w:lvl>
    <w:lvl w:ilvl="3">
      <w:numFmt w:val="bullet"/>
      <w:lvlText w:val="•"/>
      <w:lvlJc w:val="left"/>
      <w:pPr>
        <w:ind w:left="2633" w:hanging="425"/>
      </w:pPr>
      <w:rPr>
        <w:rFonts w:hint="default"/>
        <w:lang w:val="es-ES" w:eastAsia="en-US" w:bidi="ar-SA"/>
      </w:rPr>
    </w:lvl>
    <w:lvl w:ilvl="4">
      <w:numFmt w:val="bullet"/>
      <w:lvlText w:val="•"/>
      <w:lvlJc w:val="left"/>
      <w:pPr>
        <w:ind w:left="3620" w:hanging="425"/>
      </w:pPr>
      <w:rPr>
        <w:rFonts w:hint="default"/>
        <w:lang w:val="es-ES" w:eastAsia="en-US" w:bidi="ar-SA"/>
      </w:rPr>
    </w:lvl>
    <w:lvl w:ilvl="5">
      <w:numFmt w:val="bullet"/>
      <w:lvlText w:val="•"/>
      <w:lvlJc w:val="left"/>
      <w:pPr>
        <w:ind w:left="4606" w:hanging="425"/>
      </w:pPr>
      <w:rPr>
        <w:rFonts w:hint="default"/>
        <w:lang w:val="es-ES" w:eastAsia="en-US" w:bidi="ar-SA"/>
      </w:rPr>
    </w:lvl>
    <w:lvl w:ilvl="6">
      <w:numFmt w:val="bullet"/>
      <w:lvlText w:val="•"/>
      <w:lvlJc w:val="left"/>
      <w:pPr>
        <w:ind w:left="5593" w:hanging="425"/>
      </w:pPr>
      <w:rPr>
        <w:rFonts w:hint="default"/>
        <w:lang w:val="es-ES" w:eastAsia="en-US" w:bidi="ar-SA"/>
      </w:rPr>
    </w:lvl>
    <w:lvl w:ilvl="7">
      <w:numFmt w:val="bullet"/>
      <w:lvlText w:val="•"/>
      <w:lvlJc w:val="left"/>
      <w:pPr>
        <w:ind w:left="6580" w:hanging="425"/>
      </w:pPr>
      <w:rPr>
        <w:rFonts w:hint="default"/>
        <w:lang w:val="es-ES" w:eastAsia="en-US" w:bidi="ar-SA"/>
      </w:rPr>
    </w:lvl>
    <w:lvl w:ilvl="8">
      <w:numFmt w:val="bullet"/>
      <w:lvlText w:val="•"/>
      <w:lvlJc w:val="left"/>
      <w:pPr>
        <w:ind w:left="7566" w:hanging="42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3C"/>
    <w:rsid w:val="00042E19"/>
    <w:rsid w:val="00137D5B"/>
    <w:rsid w:val="003E5D40"/>
    <w:rsid w:val="00527FDA"/>
    <w:rsid w:val="006E47BB"/>
    <w:rsid w:val="00735B71"/>
    <w:rsid w:val="007A733C"/>
    <w:rsid w:val="00826842"/>
    <w:rsid w:val="00876411"/>
    <w:rsid w:val="008B34F1"/>
    <w:rsid w:val="009F5055"/>
    <w:rsid w:val="00A02F3B"/>
    <w:rsid w:val="00A06E14"/>
    <w:rsid w:val="00AD0D2A"/>
    <w:rsid w:val="00B60B49"/>
    <w:rsid w:val="00BA589D"/>
    <w:rsid w:val="00C418C3"/>
    <w:rsid w:val="00CA2FA8"/>
    <w:rsid w:val="00D56622"/>
    <w:rsid w:val="00DF4985"/>
    <w:rsid w:val="00F65489"/>
    <w:rsid w:val="0117D486"/>
    <w:rsid w:val="03EB5351"/>
    <w:rsid w:val="07305C36"/>
    <w:rsid w:val="1BB33536"/>
    <w:rsid w:val="1DAEFB26"/>
    <w:rsid w:val="26F2B5DC"/>
    <w:rsid w:val="28C869A6"/>
    <w:rsid w:val="30B0FD1F"/>
    <w:rsid w:val="3139D3BC"/>
    <w:rsid w:val="3365D73E"/>
    <w:rsid w:val="36EFB6B1"/>
    <w:rsid w:val="399AC29C"/>
    <w:rsid w:val="3B9D8467"/>
    <w:rsid w:val="3FA4CB87"/>
    <w:rsid w:val="41D13643"/>
    <w:rsid w:val="47D7F515"/>
    <w:rsid w:val="493AA1B3"/>
    <w:rsid w:val="4998096F"/>
    <w:rsid w:val="4C29719E"/>
    <w:rsid w:val="509CEA67"/>
    <w:rsid w:val="51A2EC1F"/>
    <w:rsid w:val="52D9EFCA"/>
    <w:rsid w:val="52F41DA8"/>
    <w:rsid w:val="53E51641"/>
    <w:rsid w:val="6035574C"/>
    <w:rsid w:val="629F2D7C"/>
    <w:rsid w:val="62FB794B"/>
    <w:rsid w:val="639764AD"/>
    <w:rsid w:val="662FB0AA"/>
    <w:rsid w:val="67EB79EE"/>
    <w:rsid w:val="686612BF"/>
    <w:rsid w:val="6A4B0D05"/>
    <w:rsid w:val="780C35A9"/>
    <w:rsid w:val="7AD3C750"/>
    <w:rsid w:val="7DFDB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298EB"/>
  <w15:docId w15:val="{69EF0F62-FD25-4E87-98A7-E51BC715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firstLine="709"/>
      <w:jc w:val="both"/>
    </w:pPr>
  </w:style>
  <w:style w:type="paragraph" w:customStyle="1" w:styleId="TableParagraph">
    <w:name w:val="Table Paragraph"/>
    <w:basedOn w:val="Normal"/>
    <w:uiPriority w:val="1"/>
    <w:qFormat/>
    <w:pPr>
      <w:spacing w:line="230" w:lineRule="exact"/>
      <w:ind w:left="710"/>
    </w:pPr>
  </w:style>
  <w:style w:type="paragraph" w:styleId="Textonotapie">
    <w:name w:val="footnote text"/>
    <w:basedOn w:val="Normal"/>
    <w:link w:val="TextonotapieCar"/>
    <w:uiPriority w:val="99"/>
    <w:semiHidden/>
    <w:unhideWhenUsed/>
    <w:rsid w:val="00876411"/>
    <w:rPr>
      <w:sz w:val="20"/>
      <w:szCs w:val="20"/>
    </w:rPr>
  </w:style>
  <w:style w:type="character" w:customStyle="1" w:styleId="TextonotapieCar">
    <w:name w:val="Texto nota pie Car"/>
    <w:basedOn w:val="Fuentedeprrafopredeter"/>
    <w:link w:val="Textonotapie"/>
    <w:uiPriority w:val="99"/>
    <w:semiHidden/>
    <w:rsid w:val="00876411"/>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76411"/>
    <w:rPr>
      <w:vertAlign w:val="superscript"/>
    </w:rPr>
  </w:style>
  <w:style w:type="character" w:customStyle="1" w:styleId="TextoindependienteCar">
    <w:name w:val="Texto independiente Car"/>
    <w:basedOn w:val="Fuentedeprrafopredeter"/>
    <w:link w:val="Textoindependiente"/>
    <w:uiPriority w:val="1"/>
    <w:rsid w:val="00527FD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0FAFF-FD67-401B-A6FB-7E0D01FF41A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915B085-CF2E-457E-9082-78C9C1DBB791}">
  <ds:schemaRefs>
    <ds:schemaRef ds:uri="http://schemas.microsoft.com/sharepoint/v3/contenttype/forms"/>
  </ds:schemaRefs>
</ds:datastoreItem>
</file>

<file path=customXml/itemProps3.xml><?xml version="1.0" encoding="utf-8"?>
<ds:datastoreItem xmlns:ds="http://schemas.openxmlformats.org/officeDocument/2006/customXml" ds:itemID="{C6D58FB8-62B6-4CA2-922D-6E94C0B2E74D}">
  <ds:schemaRefs>
    <ds:schemaRef ds:uri="http://schemas.openxmlformats.org/officeDocument/2006/bibliography"/>
  </ds:schemaRefs>
</ds:datastoreItem>
</file>

<file path=customXml/itemProps4.xml><?xml version="1.0" encoding="utf-8"?>
<ds:datastoreItem xmlns:ds="http://schemas.openxmlformats.org/officeDocument/2006/customXml" ds:itemID="{94F09A7F-84E2-4100-906E-852DE5AB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5388</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2020-08-20T16:17:00Z</dcterms:created>
  <dcterms:modified xsi:type="dcterms:W3CDTF">2020-08-20T16:17:00Z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vt:lpwstr>
  </property>
  <property fmtid="{D5CDD505-2E9C-101B-9397-08002B2CF9AE}" pid="4" name="LastSaved">
    <vt:filetime>2020-03-06T00:00:00Z</vt:filetime>
  </property>
  <property fmtid="{D5CDD505-2E9C-101B-9397-08002B2CF9AE}" pid="5" name="ContentTypeId">
    <vt:lpwstr>0x010100F2E0F32964D9B84EA054B84E5D4157A0</vt:lpwstr>
  </property>
</Properties>
</file>