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F221" w14:textId="77777777" w:rsidR="00954313" w:rsidRPr="00747B16" w:rsidRDefault="00954313" w:rsidP="00954313">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747B16">
        <w:rPr>
          <w:rFonts w:ascii="Arial" w:hAnsi="Arial" w:cs="Arial"/>
          <w:b/>
          <w:color w:val="000000" w:themeColor="text1"/>
          <w:sz w:val="20"/>
          <w:szCs w:val="20"/>
          <w:lang w:val="es-ES_tradnl" w:eastAsia="es-ES"/>
        </w:rPr>
        <w:tab/>
      </w:r>
      <w:r w:rsidRPr="00747B16">
        <w:rPr>
          <w:rFonts w:ascii="Arial" w:hAnsi="Arial" w:cs="Arial"/>
          <w:b/>
          <w:color w:val="000000" w:themeColor="text1"/>
          <w:sz w:val="16"/>
          <w:szCs w:val="16"/>
          <w:lang w:val="es-ES_tradnl" w:eastAsia="es-ES"/>
        </w:rPr>
        <w:t>CCE-DES-FM-17</w:t>
      </w:r>
    </w:p>
    <w:p w14:paraId="301BCE55" w14:textId="77777777" w:rsidR="00954313" w:rsidRPr="009E34DD" w:rsidRDefault="00954313" w:rsidP="00954313">
      <w:pPr>
        <w:jc w:val="both"/>
        <w:rPr>
          <w:rFonts w:ascii="Arial" w:eastAsia="Calibri" w:hAnsi="Arial" w:cs="Arial"/>
          <w:b/>
          <w:color w:val="000000" w:themeColor="text1"/>
          <w:sz w:val="16"/>
          <w:szCs w:val="16"/>
          <w:lang w:val="es-ES_tradnl"/>
        </w:rPr>
      </w:pPr>
    </w:p>
    <w:p w14:paraId="35C74D66" w14:textId="456EC154" w:rsidR="00954313" w:rsidRPr="00747B16" w:rsidRDefault="00954313" w:rsidP="798A939A">
      <w:pPr>
        <w:jc w:val="both"/>
        <w:rPr>
          <w:rFonts w:ascii="Arial" w:eastAsia="Calibri" w:hAnsi="Arial" w:cs="Arial"/>
          <w:color w:val="000000" w:themeColor="text1"/>
          <w:sz w:val="22"/>
        </w:rPr>
      </w:pPr>
      <w:r w:rsidRPr="798A939A">
        <w:rPr>
          <w:rFonts w:ascii="Arial" w:eastAsia="Calibri" w:hAnsi="Arial" w:cs="Arial"/>
          <w:b/>
          <w:bCs/>
          <w:color w:val="000000" w:themeColor="text1"/>
          <w:sz w:val="22"/>
        </w:rPr>
        <w:t xml:space="preserve">SECOP </w:t>
      </w:r>
      <w:r w:rsidR="00F77852" w:rsidRPr="798A939A">
        <w:rPr>
          <w:rFonts w:ascii="Arial" w:eastAsia="Calibri" w:hAnsi="Arial" w:cs="Arial"/>
          <w:b/>
          <w:bCs/>
          <w:color w:val="000000" w:themeColor="text1"/>
          <w:sz w:val="22"/>
        </w:rPr>
        <w:t>–</w:t>
      </w:r>
      <w:r w:rsidR="00732F1B" w:rsidRPr="798A939A">
        <w:rPr>
          <w:rFonts w:ascii="Arial" w:eastAsia="Calibri" w:hAnsi="Arial" w:cs="Arial"/>
          <w:b/>
          <w:bCs/>
          <w:color w:val="000000" w:themeColor="text1"/>
          <w:sz w:val="20"/>
          <w:szCs w:val="20"/>
        </w:rPr>
        <w:t xml:space="preserve"> </w:t>
      </w:r>
      <w:r w:rsidRPr="798A939A">
        <w:rPr>
          <w:rFonts w:ascii="Arial" w:eastAsia="Calibri" w:hAnsi="Arial" w:cs="Arial"/>
          <w:b/>
          <w:bCs/>
          <w:color w:val="000000" w:themeColor="text1"/>
          <w:sz w:val="22"/>
        </w:rPr>
        <w:t xml:space="preserve">Publicidad </w:t>
      </w:r>
      <w:r w:rsidR="00F77852" w:rsidRPr="798A939A">
        <w:rPr>
          <w:rFonts w:ascii="Arial" w:eastAsia="Calibri" w:hAnsi="Arial" w:cs="Arial"/>
          <w:b/>
          <w:bCs/>
          <w:color w:val="000000" w:themeColor="text1"/>
          <w:sz w:val="22"/>
        </w:rPr>
        <w:t>–</w:t>
      </w:r>
      <w:r w:rsidRPr="798A939A">
        <w:rPr>
          <w:rFonts w:ascii="Arial" w:eastAsia="Calibri" w:hAnsi="Arial" w:cs="Arial"/>
          <w:b/>
          <w:bCs/>
          <w:color w:val="000000" w:themeColor="text1"/>
          <w:sz w:val="22"/>
        </w:rPr>
        <w:t xml:space="preserve"> Entidades </w:t>
      </w:r>
      <w:r w:rsidR="0045655C">
        <w:rPr>
          <w:rFonts w:ascii="Arial" w:eastAsia="Calibri" w:hAnsi="Arial" w:cs="Arial"/>
          <w:b/>
          <w:bCs/>
          <w:color w:val="000000" w:themeColor="text1"/>
          <w:sz w:val="22"/>
        </w:rPr>
        <w:t>con</w:t>
      </w:r>
      <w:r w:rsidRPr="798A939A">
        <w:rPr>
          <w:rFonts w:ascii="Arial" w:eastAsia="Calibri" w:hAnsi="Arial" w:cs="Arial"/>
          <w:b/>
          <w:bCs/>
          <w:color w:val="000000" w:themeColor="text1"/>
          <w:sz w:val="22"/>
        </w:rPr>
        <w:t xml:space="preserve"> régimen especial </w:t>
      </w:r>
      <w:r w:rsidR="00F77852" w:rsidRPr="798A939A">
        <w:rPr>
          <w:rFonts w:ascii="Arial" w:eastAsia="Calibri" w:hAnsi="Arial" w:cs="Arial"/>
          <w:b/>
          <w:bCs/>
          <w:color w:val="000000" w:themeColor="text1"/>
          <w:sz w:val="22"/>
        </w:rPr>
        <w:t>–</w:t>
      </w:r>
      <w:r w:rsidR="00732F1B" w:rsidRPr="798A939A">
        <w:rPr>
          <w:rFonts w:ascii="Arial" w:eastAsia="Calibri" w:hAnsi="Arial" w:cs="Arial"/>
          <w:b/>
          <w:bCs/>
          <w:color w:val="000000" w:themeColor="text1"/>
          <w:sz w:val="20"/>
          <w:szCs w:val="20"/>
        </w:rPr>
        <w:t xml:space="preserve"> </w:t>
      </w:r>
      <w:r w:rsidRPr="798A939A">
        <w:rPr>
          <w:rFonts w:ascii="Arial" w:eastAsia="Calibri" w:hAnsi="Arial" w:cs="Arial"/>
          <w:b/>
          <w:bCs/>
          <w:color w:val="000000" w:themeColor="text1"/>
          <w:sz w:val="22"/>
        </w:rPr>
        <w:t xml:space="preserve">Reiteración </w:t>
      </w:r>
      <w:r w:rsidR="1BBEDC1C" w:rsidRPr="798A939A">
        <w:rPr>
          <w:rFonts w:ascii="Arial" w:eastAsia="Calibri" w:hAnsi="Arial" w:cs="Arial"/>
          <w:b/>
          <w:bCs/>
          <w:color w:val="000000" w:themeColor="text1"/>
          <w:sz w:val="22"/>
        </w:rPr>
        <w:t>–</w:t>
      </w:r>
      <w:r w:rsidRPr="798A939A">
        <w:rPr>
          <w:rFonts w:ascii="Arial" w:eastAsia="Calibri" w:hAnsi="Arial" w:cs="Arial"/>
          <w:b/>
          <w:bCs/>
          <w:color w:val="000000" w:themeColor="text1"/>
          <w:sz w:val="22"/>
        </w:rPr>
        <w:t xml:space="preserve"> Concepto unificado </w:t>
      </w:r>
      <w:r w:rsidR="1CBDCB5F" w:rsidRPr="798A939A">
        <w:rPr>
          <w:rFonts w:ascii="Arial" w:eastAsia="Calibri" w:hAnsi="Arial" w:cs="Arial"/>
          <w:b/>
          <w:bCs/>
          <w:color w:val="000000" w:themeColor="text1"/>
          <w:sz w:val="22"/>
        </w:rPr>
        <w:t>–</w:t>
      </w:r>
      <w:r w:rsidR="1CBDCB5F" w:rsidRPr="798A939A">
        <w:rPr>
          <w:rFonts w:ascii="Arial" w:eastAsia="Calibri" w:hAnsi="Arial" w:cs="Arial"/>
          <w:b/>
          <w:bCs/>
          <w:color w:val="000000" w:themeColor="text1"/>
          <w:sz w:val="20"/>
          <w:szCs w:val="20"/>
        </w:rPr>
        <w:t xml:space="preserve"> </w:t>
      </w:r>
      <w:r w:rsidRPr="798A939A">
        <w:rPr>
          <w:rFonts w:ascii="Arial" w:eastAsia="Calibri" w:hAnsi="Arial" w:cs="Arial"/>
          <w:b/>
          <w:bCs/>
          <w:color w:val="000000" w:themeColor="text1"/>
          <w:sz w:val="22"/>
        </w:rPr>
        <w:t>CU-003 de 2020</w:t>
      </w:r>
    </w:p>
    <w:p w14:paraId="39F11693" w14:textId="77777777" w:rsidR="00954313" w:rsidRPr="00747B16" w:rsidRDefault="00954313" w:rsidP="00747B16">
      <w:pPr>
        <w:jc w:val="both"/>
        <w:rPr>
          <w:rFonts w:ascii="Arial" w:hAnsi="Arial" w:cs="Arial"/>
          <w:color w:val="000000" w:themeColor="text1"/>
          <w:sz w:val="22"/>
        </w:rPr>
      </w:pPr>
    </w:p>
    <w:p w14:paraId="70FBDB0B" w14:textId="6D9CF555" w:rsidR="00954313" w:rsidRPr="00747B16" w:rsidRDefault="2588EB18" w:rsidP="00747B16">
      <w:pPr>
        <w:jc w:val="both"/>
        <w:rPr>
          <w:rFonts w:ascii="Arial" w:eastAsia="Calibri" w:hAnsi="Arial" w:cs="Arial"/>
          <w:color w:val="000000" w:themeColor="text1"/>
          <w:sz w:val="20"/>
          <w:szCs w:val="20"/>
          <w:lang w:val="es-ES"/>
        </w:rPr>
      </w:pPr>
      <w:r w:rsidRPr="64671FB5">
        <w:rPr>
          <w:rFonts w:ascii="Arial" w:eastAsia="Calibri" w:hAnsi="Arial" w:cs="Arial"/>
          <w:color w:val="000000" w:themeColor="text1"/>
          <w:sz w:val="20"/>
          <w:szCs w:val="20"/>
        </w:rPr>
        <w:t xml:space="preserve">[...] </w:t>
      </w:r>
      <w:r w:rsidR="00954313" w:rsidRPr="64671FB5">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090F2671" w14:textId="77777777" w:rsidR="00954313" w:rsidRPr="00747B16" w:rsidRDefault="00954313" w:rsidP="00747B16">
      <w:pPr>
        <w:pStyle w:val="Prrafodelista"/>
        <w:ind w:left="0"/>
        <w:jc w:val="both"/>
        <w:rPr>
          <w:rFonts w:ascii="Arial" w:eastAsia="Calibri" w:hAnsi="Arial" w:cs="Arial"/>
          <w:color w:val="000000" w:themeColor="text1"/>
          <w:sz w:val="20"/>
          <w:szCs w:val="20"/>
        </w:rPr>
      </w:pPr>
    </w:p>
    <w:p w14:paraId="254270D4" w14:textId="6E4F9125" w:rsidR="00954313" w:rsidRPr="00747B16" w:rsidRDefault="00954313" w:rsidP="00747B16">
      <w:pPr>
        <w:pStyle w:val="Prrafodelista"/>
        <w:ind w:left="0"/>
        <w:jc w:val="both"/>
        <w:rPr>
          <w:rFonts w:ascii="Arial" w:eastAsia="Calibri" w:hAnsi="Arial" w:cs="Arial"/>
          <w:b/>
          <w:color w:val="000000" w:themeColor="text1"/>
          <w:sz w:val="22"/>
          <w:szCs w:val="20"/>
        </w:rPr>
      </w:pPr>
      <w:r w:rsidRPr="00747B16">
        <w:rPr>
          <w:rFonts w:ascii="Arial" w:eastAsia="Calibri" w:hAnsi="Arial" w:cs="Arial"/>
          <w:b/>
          <w:color w:val="000000" w:themeColor="text1"/>
          <w:sz w:val="22"/>
          <w:szCs w:val="20"/>
        </w:rPr>
        <w:t xml:space="preserve">SECOP </w:t>
      </w:r>
      <w:r w:rsidR="00F77852">
        <w:rPr>
          <w:rFonts w:ascii="Arial" w:eastAsia="Calibri" w:hAnsi="Arial" w:cs="Arial"/>
          <w:b/>
          <w:bCs/>
          <w:color w:val="000000" w:themeColor="text1"/>
          <w:sz w:val="22"/>
        </w:rPr>
        <w:t>–</w:t>
      </w:r>
      <w:r w:rsidRPr="00747B16">
        <w:rPr>
          <w:rFonts w:ascii="Arial" w:eastAsia="Calibri" w:hAnsi="Arial" w:cs="Arial"/>
          <w:b/>
          <w:color w:val="000000" w:themeColor="text1"/>
          <w:sz w:val="22"/>
          <w:szCs w:val="20"/>
        </w:rPr>
        <w:t xml:space="preserve"> Publicidad </w:t>
      </w:r>
      <w:r w:rsidRPr="00747B16">
        <w:rPr>
          <w:rFonts w:ascii="Arial" w:eastAsia="Calibri" w:hAnsi="Arial" w:cs="Arial"/>
          <w:b/>
          <w:color w:val="000000" w:themeColor="text1"/>
          <w:sz w:val="22"/>
          <w:szCs w:val="20"/>
        </w:rPr>
        <w:softHyphen/>
      </w:r>
      <w:r w:rsidR="00F77852">
        <w:rPr>
          <w:rFonts w:ascii="Arial" w:eastAsia="Calibri" w:hAnsi="Arial" w:cs="Arial"/>
          <w:b/>
          <w:bCs/>
          <w:color w:val="000000" w:themeColor="text1"/>
          <w:sz w:val="22"/>
        </w:rPr>
        <w:t xml:space="preserve">– </w:t>
      </w:r>
      <w:r w:rsidRPr="00747B16">
        <w:rPr>
          <w:rFonts w:ascii="Arial" w:eastAsia="Calibri" w:hAnsi="Arial" w:cs="Arial"/>
          <w:b/>
          <w:color w:val="000000" w:themeColor="text1"/>
          <w:sz w:val="22"/>
          <w:szCs w:val="20"/>
        </w:rPr>
        <w:t xml:space="preserve">Documentos </w:t>
      </w:r>
    </w:p>
    <w:p w14:paraId="00EF3C34" w14:textId="77777777" w:rsidR="00954313" w:rsidRPr="00747B16" w:rsidRDefault="00954313" w:rsidP="00747B16">
      <w:pPr>
        <w:pStyle w:val="Prrafodelista"/>
        <w:ind w:left="0"/>
        <w:jc w:val="both"/>
        <w:rPr>
          <w:rFonts w:ascii="Arial" w:eastAsia="Calibri" w:hAnsi="Arial" w:cs="Arial"/>
          <w:color w:val="000000" w:themeColor="text1"/>
          <w:sz w:val="20"/>
          <w:szCs w:val="20"/>
        </w:rPr>
      </w:pPr>
    </w:p>
    <w:p w14:paraId="03FBC02C" w14:textId="6A9A0A34" w:rsidR="006833DF" w:rsidRPr="00A112A0" w:rsidRDefault="006833DF" w:rsidP="00A112A0">
      <w:pPr>
        <w:spacing w:after="120"/>
        <w:jc w:val="both"/>
        <w:rPr>
          <w:rFonts w:ascii="Arial" w:eastAsia="Calibri" w:hAnsi="Arial" w:cs="Arial"/>
          <w:bCs/>
          <w:color w:val="000000" w:themeColor="text1"/>
          <w:sz w:val="20"/>
          <w:szCs w:val="20"/>
        </w:rPr>
      </w:pPr>
      <w:r>
        <w:rPr>
          <w:rFonts w:ascii="Arial" w:eastAsia="Calibri" w:hAnsi="Arial" w:cs="Arial"/>
          <w:color w:val="000000" w:themeColor="text1"/>
          <w:sz w:val="20"/>
          <w:szCs w:val="20"/>
        </w:rPr>
        <w:t xml:space="preserve">[…] </w:t>
      </w:r>
      <w:r w:rsidR="00F77852">
        <w:rPr>
          <w:rFonts w:ascii="Arial" w:eastAsia="Calibri" w:hAnsi="Arial" w:cs="Arial"/>
          <w:color w:val="000000" w:themeColor="text1"/>
          <w:sz w:val="20"/>
          <w:szCs w:val="20"/>
        </w:rPr>
        <w:t>e</w:t>
      </w:r>
      <w:r w:rsidR="00954313" w:rsidRPr="00747B16">
        <w:rPr>
          <w:rFonts w:ascii="Arial" w:eastAsia="Calibri" w:hAnsi="Arial" w:cs="Arial"/>
          <w:color w:val="000000" w:themeColor="text1"/>
          <w:sz w:val="20"/>
          <w:szCs w:val="20"/>
        </w:rPr>
        <w:t xml:space="preserve">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w:t>
      </w:r>
      <w:proofErr w:type="spellStart"/>
      <w:r w:rsidR="00954313" w:rsidRPr="00747B16">
        <w:rPr>
          <w:rFonts w:ascii="Arial" w:eastAsia="Calibri" w:hAnsi="Arial" w:cs="Arial"/>
          <w:color w:val="000000" w:themeColor="text1"/>
          <w:sz w:val="20"/>
          <w:szCs w:val="20"/>
        </w:rPr>
        <w:t>ii</w:t>
      </w:r>
      <w:proofErr w:type="spellEnd"/>
      <w:r w:rsidR="00954313" w:rsidRPr="00747B16">
        <w:rPr>
          <w:rFonts w:ascii="Arial" w:eastAsia="Calibri" w:hAnsi="Arial" w:cs="Arial"/>
          <w:color w:val="000000" w:themeColor="text1"/>
          <w:sz w:val="20"/>
          <w:szCs w:val="20"/>
        </w:rPr>
        <w:t>) en relación con los procedimientos, lineamientos y políticas en materia de adquisición se deberán publicar</w:t>
      </w:r>
      <w:r w:rsidR="00954313" w:rsidRPr="00A112A0">
        <w:rPr>
          <w:rFonts w:ascii="Arial" w:eastAsia="Calibri" w:hAnsi="Arial" w:cs="Arial"/>
          <w:bCs/>
          <w:color w:val="000000" w:themeColor="text1"/>
          <w:sz w:val="20"/>
          <w:szCs w:val="20"/>
        </w:rPr>
        <w:t xml:space="preserve"> los documentos previstos en el manual de contratación de la entidad y, finalmente, </w:t>
      </w:r>
      <w:proofErr w:type="spellStart"/>
      <w:r w:rsidR="00954313" w:rsidRPr="00A112A0">
        <w:rPr>
          <w:rFonts w:ascii="Arial" w:eastAsia="Calibri" w:hAnsi="Arial" w:cs="Arial"/>
          <w:bCs/>
          <w:color w:val="000000" w:themeColor="text1"/>
          <w:sz w:val="20"/>
          <w:szCs w:val="20"/>
        </w:rPr>
        <w:t>iii</w:t>
      </w:r>
      <w:proofErr w:type="spellEnd"/>
      <w:r w:rsidR="00954313" w:rsidRPr="00A112A0">
        <w:rPr>
          <w:rFonts w:ascii="Arial" w:eastAsia="Calibri" w:hAnsi="Arial" w:cs="Arial"/>
          <w:bCs/>
          <w:color w:val="000000" w:themeColor="text1"/>
          <w:sz w:val="20"/>
          <w:szCs w:val="20"/>
        </w:rPr>
        <w:t xml:space="preserve">) el plan anual de adquisiciones. </w:t>
      </w:r>
    </w:p>
    <w:p w14:paraId="74E5396E" w14:textId="06D712E0" w:rsidR="00954313" w:rsidRPr="00747B16" w:rsidRDefault="00954313" w:rsidP="00E758EE">
      <w:pPr>
        <w:jc w:val="both"/>
        <w:rPr>
          <w:rFonts w:ascii="Arial" w:eastAsia="Calibri" w:hAnsi="Arial" w:cs="Arial"/>
          <w:color w:val="000000" w:themeColor="text1"/>
          <w:sz w:val="20"/>
          <w:szCs w:val="20"/>
        </w:rPr>
      </w:pPr>
      <w:r w:rsidRPr="00A112A0">
        <w:rPr>
          <w:rFonts w:ascii="Arial" w:eastAsia="Calibri" w:hAnsi="Arial" w:cs="Arial"/>
          <w:bCs/>
          <w:color w:val="000000" w:themeColor="text1"/>
          <w:sz w:val="20"/>
          <w:szCs w:val="20"/>
        </w:rPr>
        <w:t>Frente al segundo grupo de documentos, debido a que estas entidades están sometidas al derecho privado, y por lo tanto no celebran</w:t>
      </w:r>
      <w:r w:rsidRPr="00747B16">
        <w:rPr>
          <w:rFonts w:ascii="Arial" w:eastAsia="Calibri" w:hAnsi="Arial" w:cs="Arial"/>
          <w:color w:val="000000" w:themeColor="text1"/>
          <w:sz w:val="20"/>
          <w:szCs w:val="20"/>
        </w:rPr>
        <w:t xml:space="preserve"> sus procesos de contratación con las modalidades de contratación previstas en la Ley 80 de 1993; cada una definirá en su manual de contratación el procedimiento para la contratación de sus bienes y servicios. </w:t>
      </w:r>
    </w:p>
    <w:p w14:paraId="18D9270D" w14:textId="77777777" w:rsidR="00954313" w:rsidRPr="00747B16" w:rsidRDefault="00954313" w:rsidP="00E758EE">
      <w:pPr>
        <w:jc w:val="both"/>
        <w:rPr>
          <w:rFonts w:ascii="Arial" w:eastAsia="Calibri" w:hAnsi="Arial" w:cs="Arial"/>
          <w:b/>
          <w:bCs/>
          <w:color w:val="000000" w:themeColor="text1"/>
          <w:sz w:val="20"/>
          <w:szCs w:val="20"/>
          <w:lang w:val="es-ES_tradnl"/>
        </w:rPr>
      </w:pPr>
    </w:p>
    <w:p w14:paraId="5DBBE6ED" w14:textId="0F49E512" w:rsidR="00954313" w:rsidRPr="00747B16" w:rsidRDefault="00954313" w:rsidP="00E758EE">
      <w:pPr>
        <w:pStyle w:val="Prrafodelista"/>
        <w:ind w:left="0"/>
        <w:jc w:val="both"/>
        <w:rPr>
          <w:rFonts w:ascii="Arial" w:eastAsia="Calibri" w:hAnsi="Arial" w:cs="Arial"/>
          <w:b/>
          <w:color w:val="000000" w:themeColor="text1"/>
          <w:sz w:val="22"/>
          <w:szCs w:val="20"/>
        </w:rPr>
      </w:pPr>
      <w:r w:rsidRPr="00747B16">
        <w:rPr>
          <w:rFonts w:ascii="Arial" w:eastAsia="Calibri" w:hAnsi="Arial" w:cs="Arial"/>
          <w:b/>
          <w:color w:val="000000" w:themeColor="text1"/>
          <w:sz w:val="22"/>
          <w:szCs w:val="20"/>
        </w:rPr>
        <w:t xml:space="preserve">SECOP </w:t>
      </w:r>
      <w:r w:rsidR="00F77852">
        <w:rPr>
          <w:rFonts w:ascii="Arial" w:eastAsia="Calibri" w:hAnsi="Arial" w:cs="Arial"/>
          <w:b/>
          <w:bCs/>
          <w:color w:val="000000" w:themeColor="text1"/>
          <w:sz w:val="22"/>
        </w:rPr>
        <w:t>–</w:t>
      </w:r>
      <w:r w:rsidRPr="00747B16">
        <w:rPr>
          <w:rFonts w:ascii="Arial" w:eastAsia="Calibri" w:hAnsi="Arial" w:cs="Arial"/>
          <w:b/>
          <w:color w:val="000000" w:themeColor="text1"/>
          <w:sz w:val="22"/>
          <w:szCs w:val="20"/>
        </w:rPr>
        <w:t xml:space="preserve"> Publicidad </w:t>
      </w:r>
      <w:r w:rsidRPr="00747B16">
        <w:rPr>
          <w:rFonts w:ascii="Arial" w:eastAsia="Calibri" w:hAnsi="Arial" w:cs="Arial"/>
          <w:b/>
          <w:color w:val="000000" w:themeColor="text1"/>
          <w:sz w:val="22"/>
          <w:szCs w:val="20"/>
        </w:rPr>
        <w:softHyphen/>
      </w:r>
      <w:r w:rsidR="00F77852">
        <w:rPr>
          <w:rFonts w:ascii="Arial" w:eastAsia="Calibri" w:hAnsi="Arial" w:cs="Arial"/>
          <w:b/>
          <w:bCs/>
          <w:color w:val="000000" w:themeColor="text1"/>
          <w:sz w:val="22"/>
        </w:rPr>
        <w:t>–</w:t>
      </w:r>
      <w:r w:rsidRPr="00747B16">
        <w:rPr>
          <w:rFonts w:ascii="Arial" w:eastAsia="Calibri" w:hAnsi="Arial" w:cs="Arial"/>
          <w:b/>
          <w:color w:val="000000" w:themeColor="text1"/>
          <w:sz w:val="22"/>
          <w:szCs w:val="20"/>
        </w:rPr>
        <w:t xml:space="preserve"> Oportunidad </w:t>
      </w:r>
      <w:r w:rsidR="00F77852">
        <w:rPr>
          <w:rFonts w:ascii="Arial" w:eastAsia="Calibri" w:hAnsi="Arial" w:cs="Arial"/>
          <w:b/>
          <w:bCs/>
          <w:color w:val="000000" w:themeColor="text1"/>
          <w:sz w:val="22"/>
        </w:rPr>
        <w:t xml:space="preserve">– </w:t>
      </w:r>
      <w:r w:rsidRPr="00747B16">
        <w:rPr>
          <w:rFonts w:ascii="Arial" w:eastAsia="Calibri" w:hAnsi="Arial" w:cs="Arial"/>
          <w:b/>
          <w:color w:val="000000" w:themeColor="text1"/>
          <w:sz w:val="22"/>
          <w:szCs w:val="20"/>
        </w:rPr>
        <w:t>3 días</w:t>
      </w:r>
    </w:p>
    <w:p w14:paraId="0C96FDB3" w14:textId="77777777" w:rsidR="00954313" w:rsidRPr="00747B16" w:rsidRDefault="00954313" w:rsidP="00747B16">
      <w:pPr>
        <w:pStyle w:val="Prrafodelista"/>
        <w:ind w:left="0"/>
        <w:jc w:val="both"/>
        <w:rPr>
          <w:rFonts w:ascii="Arial" w:eastAsia="Calibri" w:hAnsi="Arial" w:cs="Arial"/>
          <w:color w:val="000000" w:themeColor="text1"/>
          <w:sz w:val="20"/>
          <w:szCs w:val="20"/>
        </w:rPr>
      </w:pPr>
    </w:p>
    <w:p w14:paraId="32F80E23" w14:textId="77777777" w:rsidR="00A112A0" w:rsidRDefault="00954313" w:rsidP="0050776A">
      <w:pPr>
        <w:spacing w:after="120"/>
        <w:jc w:val="both"/>
        <w:rPr>
          <w:rFonts w:ascii="Arial" w:eastAsia="Calibri" w:hAnsi="Arial" w:cs="Arial"/>
          <w:color w:val="000000" w:themeColor="text1"/>
          <w:sz w:val="20"/>
          <w:szCs w:val="20"/>
        </w:rPr>
      </w:pPr>
      <w:r w:rsidRPr="00747B16">
        <w:rPr>
          <w:rFonts w:ascii="Arial" w:eastAsia="Calibri" w:hAnsi="Arial" w:cs="Arial"/>
          <w:color w:val="000000" w:themeColor="text1"/>
          <w:sz w:val="20"/>
          <w:szCs w:val="20"/>
        </w:rPr>
        <w:t>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647BD62" w14:textId="77777777" w:rsidR="00A112A0" w:rsidRDefault="00954313" w:rsidP="0050776A">
      <w:pPr>
        <w:spacing w:after="120"/>
        <w:jc w:val="both"/>
        <w:rPr>
          <w:rFonts w:ascii="Arial" w:eastAsia="Calibri" w:hAnsi="Arial" w:cs="Arial"/>
          <w:color w:val="000000" w:themeColor="text1"/>
          <w:sz w:val="20"/>
          <w:szCs w:val="20"/>
        </w:rPr>
      </w:pPr>
      <w:r w:rsidRPr="00747B16">
        <w:rPr>
          <w:rFonts w:ascii="Arial" w:eastAsia="Calibri" w:hAnsi="Arial" w:cs="Arial"/>
          <w:color w:val="000000" w:themeColor="text1"/>
          <w:sz w:val="20"/>
          <w:szCs w:val="20"/>
        </w:rPr>
        <w:t>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w:t>
      </w:r>
      <w:r w:rsidR="00D427EB" w:rsidRPr="00747B16">
        <w:rPr>
          <w:rFonts w:ascii="Arial" w:eastAsia="Calibri" w:hAnsi="Arial" w:cs="Arial"/>
          <w:color w:val="000000" w:themeColor="text1"/>
          <w:sz w:val="20"/>
          <w:szCs w:val="20"/>
        </w:rPr>
        <w:t xml:space="preserve">ue se refiere el 2.2.1.2.1.4.6 </w:t>
      </w:r>
      <w:r w:rsidRPr="00747B16">
        <w:rPr>
          <w:rFonts w:ascii="Arial" w:eastAsia="Calibri" w:hAnsi="Arial" w:cs="Arial"/>
          <w:color w:val="000000" w:themeColor="text1"/>
          <w:sz w:val="20"/>
          <w:szCs w:val="20"/>
        </w:rPr>
        <w:t xml:space="preserve">del presente decreto». </w:t>
      </w:r>
    </w:p>
    <w:p w14:paraId="178F6936" w14:textId="3666F167" w:rsidR="00954313" w:rsidRPr="00747B16" w:rsidRDefault="00954313" w:rsidP="0050776A">
      <w:pPr>
        <w:spacing w:after="120"/>
        <w:jc w:val="both"/>
        <w:rPr>
          <w:rFonts w:ascii="Arial" w:eastAsia="Calibri" w:hAnsi="Arial" w:cs="Arial"/>
          <w:color w:val="000000" w:themeColor="text1"/>
          <w:sz w:val="20"/>
          <w:szCs w:val="20"/>
        </w:rPr>
      </w:pPr>
      <w:r w:rsidRPr="798A939A">
        <w:rPr>
          <w:rFonts w:ascii="Arial" w:eastAsia="Calibri" w:hAnsi="Arial" w:cs="Arial"/>
          <w:color w:val="000000" w:themeColor="text1"/>
          <w:sz w:val="20"/>
          <w:szCs w:val="20"/>
        </w:rPr>
        <w:t>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w:t>
      </w:r>
      <w:r w:rsidR="00D427EB" w:rsidRPr="798A939A">
        <w:rPr>
          <w:rFonts w:ascii="Arial" w:eastAsia="Calibri" w:hAnsi="Arial" w:cs="Arial"/>
          <w:color w:val="000000" w:themeColor="text1"/>
          <w:sz w:val="20"/>
          <w:szCs w:val="20"/>
        </w:rPr>
        <w:t>ción de la contratación directa</w:t>
      </w:r>
      <w:r w:rsidRPr="798A939A">
        <w:rPr>
          <w:rFonts w:ascii="Arial" w:eastAsia="Calibri" w:hAnsi="Arial" w:cs="Arial"/>
          <w:color w:val="000000" w:themeColor="text1"/>
          <w:sz w:val="20"/>
          <w:szCs w:val="20"/>
        </w:rPr>
        <w:t>.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w:t>
      </w:r>
    </w:p>
    <w:p w14:paraId="59A6BF68" w14:textId="77777777" w:rsidR="0050776A" w:rsidRDefault="0050776A" w:rsidP="0050776A">
      <w:pPr>
        <w:pStyle w:val="Default"/>
        <w:rPr>
          <w:sz w:val="22"/>
          <w:szCs w:val="22"/>
        </w:rPr>
      </w:pPr>
      <w:r>
        <w:rPr>
          <w:sz w:val="22"/>
          <w:szCs w:val="22"/>
        </w:rPr>
        <w:lastRenderedPageBreak/>
        <w:t xml:space="preserve">Bogotá D.C., </w:t>
      </w:r>
      <w:r>
        <w:rPr>
          <w:b/>
          <w:bCs/>
          <w:sz w:val="22"/>
          <w:szCs w:val="22"/>
        </w:rPr>
        <w:t xml:space="preserve">03/03/2020 Hora 9:20:53s </w:t>
      </w:r>
    </w:p>
    <w:p w14:paraId="28C890D3" w14:textId="77777777" w:rsidR="0050776A" w:rsidRPr="0007192D" w:rsidRDefault="0050776A" w:rsidP="0050776A">
      <w:pPr>
        <w:tabs>
          <w:tab w:val="left" w:pos="3374"/>
        </w:tabs>
        <w:spacing w:line="276" w:lineRule="auto"/>
        <w:jc w:val="right"/>
        <w:rPr>
          <w:rFonts w:ascii="Arial" w:hAnsi="Arial" w:cs="Arial"/>
          <w:b/>
          <w:bCs/>
          <w:sz w:val="22"/>
        </w:rPr>
      </w:pPr>
      <w:proofErr w:type="spellStart"/>
      <w:r w:rsidRPr="0007192D">
        <w:rPr>
          <w:rFonts w:ascii="Arial" w:hAnsi="Arial" w:cs="Arial"/>
          <w:b/>
          <w:bCs/>
          <w:sz w:val="22"/>
        </w:rPr>
        <w:t>N°</w:t>
      </w:r>
      <w:proofErr w:type="spellEnd"/>
      <w:r w:rsidRPr="0007192D">
        <w:rPr>
          <w:rFonts w:ascii="Arial" w:hAnsi="Arial" w:cs="Arial"/>
          <w:b/>
          <w:bCs/>
          <w:sz w:val="22"/>
        </w:rPr>
        <w:t xml:space="preserve"> Radicado: 2202013000001531</w:t>
      </w:r>
    </w:p>
    <w:p w14:paraId="2E2772E4" w14:textId="33679B96" w:rsidR="00954313" w:rsidRPr="00747B16" w:rsidRDefault="00954313" w:rsidP="0050776A">
      <w:pPr>
        <w:tabs>
          <w:tab w:val="left" w:pos="3374"/>
        </w:tabs>
        <w:spacing w:line="276" w:lineRule="auto"/>
        <w:jc w:val="right"/>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ab/>
      </w:r>
    </w:p>
    <w:p w14:paraId="3A6F612E" w14:textId="77777777" w:rsidR="00954313" w:rsidRPr="00747B16" w:rsidRDefault="00954313" w:rsidP="00954313">
      <w:pPr>
        <w:spacing w:line="276" w:lineRule="auto"/>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Señora</w:t>
      </w:r>
    </w:p>
    <w:p w14:paraId="5DEFFF12" w14:textId="77777777" w:rsidR="00954313" w:rsidRPr="00747B16" w:rsidRDefault="00954313" w:rsidP="00954313">
      <w:pPr>
        <w:spacing w:line="276" w:lineRule="auto"/>
        <w:rPr>
          <w:rFonts w:ascii="Arial" w:eastAsia="Calibri" w:hAnsi="Arial" w:cs="Arial"/>
          <w:b/>
          <w:color w:val="000000" w:themeColor="text1"/>
          <w:sz w:val="22"/>
          <w:lang w:val="es-ES_tradnl"/>
        </w:rPr>
      </w:pPr>
      <w:r w:rsidRPr="00747B16">
        <w:rPr>
          <w:rFonts w:ascii="Arial" w:eastAsia="Calibri" w:hAnsi="Arial" w:cs="Arial"/>
          <w:b/>
          <w:color w:val="000000" w:themeColor="text1"/>
          <w:sz w:val="22"/>
          <w:lang w:val="es-ES_tradnl"/>
        </w:rPr>
        <w:t>María Cristina Collazos</w:t>
      </w:r>
    </w:p>
    <w:p w14:paraId="5B193BD1" w14:textId="77777777" w:rsidR="00954313" w:rsidRPr="00747B16" w:rsidRDefault="00954313" w:rsidP="00954313">
      <w:pPr>
        <w:spacing w:line="276" w:lineRule="auto"/>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Ciudad</w:t>
      </w:r>
    </w:p>
    <w:p w14:paraId="72189870" w14:textId="77777777" w:rsidR="00954313" w:rsidRPr="00747B16" w:rsidRDefault="00954313" w:rsidP="00954313">
      <w:pPr>
        <w:spacing w:line="276" w:lineRule="auto"/>
        <w:jc w:val="center"/>
        <w:rPr>
          <w:rFonts w:ascii="Arial" w:eastAsia="Calibri" w:hAnsi="Arial" w:cs="Arial"/>
          <w:b/>
          <w:color w:val="000000" w:themeColor="text1"/>
          <w:sz w:val="22"/>
          <w:lang w:val="es-ES_tradnl"/>
        </w:rPr>
      </w:pPr>
      <w:r w:rsidRPr="00747B16">
        <w:rPr>
          <w:rFonts w:ascii="Arial" w:eastAsia="Calibri" w:hAnsi="Arial" w:cs="Arial"/>
          <w:b/>
          <w:color w:val="000000" w:themeColor="text1"/>
          <w:sz w:val="22"/>
          <w:lang w:val="es-ES_tradnl"/>
        </w:rPr>
        <w:t>Concepto C ─ 061 de 2020</w:t>
      </w:r>
    </w:p>
    <w:p w14:paraId="349D06E3" w14:textId="77777777" w:rsidR="00954313" w:rsidRPr="00747B16" w:rsidRDefault="00954313" w:rsidP="00954313">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47B16" w:rsidRPr="00747B16" w14:paraId="43ED6290" w14:textId="77777777" w:rsidTr="00C60A71">
        <w:tc>
          <w:tcPr>
            <w:tcW w:w="2689" w:type="dxa"/>
            <w:hideMark/>
          </w:tcPr>
          <w:p w14:paraId="071DF23C" w14:textId="77777777" w:rsidR="00954313" w:rsidRPr="00747B16" w:rsidRDefault="00954313" w:rsidP="00C60A71">
            <w:pPr>
              <w:spacing w:line="276" w:lineRule="auto"/>
              <w:rPr>
                <w:rFonts w:ascii="Arial" w:eastAsia="Calibri" w:hAnsi="Arial" w:cs="Arial"/>
                <w:color w:val="000000" w:themeColor="text1"/>
                <w:sz w:val="22"/>
                <w:lang w:val="es-ES_tradnl"/>
              </w:rPr>
            </w:pPr>
            <w:r w:rsidRPr="00747B16">
              <w:rPr>
                <w:rFonts w:ascii="Arial" w:eastAsia="Calibri" w:hAnsi="Arial" w:cs="Arial"/>
                <w:b/>
                <w:color w:val="000000" w:themeColor="text1"/>
                <w:sz w:val="22"/>
                <w:lang w:val="es-ES_tradnl"/>
              </w:rPr>
              <w:t>Temas:</w:t>
            </w:r>
            <w:r w:rsidRPr="00747B16">
              <w:rPr>
                <w:rFonts w:ascii="Arial" w:eastAsia="Calibri" w:hAnsi="Arial" w:cs="Arial"/>
                <w:color w:val="000000" w:themeColor="text1"/>
                <w:sz w:val="22"/>
                <w:lang w:val="es-ES_tradnl"/>
              </w:rPr>
              <w:t xml:space="preserve">           </w:t>
            </w:r>
          </w:p>
          <w:p w14:paraId="22E28B04" w14:textId="77777777" w:rsidR="00954313" w:rsidRPr="00747B16" w:rsidRDefault="00954313" w:rsidP="00C60A71">
            <w:pPr>
              <w:spacing w:line="276" w:lineRule="auto"/>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 xml:space="preserve">                           </w:t>
            </w:r>
          </w:p>
        </w:tc>
        <w:tc>
          <w:tcPr>
            <w:tcW w:w="6237" w:type="dxa"/>
            <w:hideMark/>
          </w:tcPr>
          <w:p w14:paraId="67FBDA2A" w14:textId="77777777" w:rsidR="00954313" w:rsidRPr="00747B16" w:rsidRDefault="00954313" w:rsidP="00C60A71">
            <w:pPr>
              <w:spacing w:line="276" w:lineRule="auto"/>
              <w:jc w:val="both"/>
              <w:rPr>
                <w:rFonts w:ascii="Arial" w:eastAsia="Calibri" w:hAnsi="Arial" w:cs="Arial"/>
                <w:color w:val="000000" w:themeColor="text1"/>
                <w:sz w:val="22"/>
              </w:rPr>
            </w:pPr>
            <w:r w:rsidRPr="00747B16">
              <w:rPr>
                <w:rFonts w:ascii="Arial" w:eastAsia="Calibri" w:hAnsi="Arial" w:cs="Arial"/>
                <w:color w:val="000000" w:themeColor="text1"/>
                <w:sz w:val="22"/>
                <w:lang w:val="es-ES_tradnl"/>
              </w:rPr>
              <w:t>SECOP – Publicidad – Entidades de régimen especial – Reiteración de Concepto unificado CU-003 de 2020 / SECOP – Publicidad – Documentos / SECOP – Publicidad – Oportunidad – 3 días</w:t>
            </w:r>
          </w:p>
        </w:tc>
      </w:tr>
      <w:tr w:rsidR="00954313" w:rsidRPr="00747B16" w14:paraId="0412661E" w14:textId="77777777" w:rsidTr="00C60A71">
        <w:tc>
          <w:tcPr>
            <w:tcW w:w="2689" w:type="dxa"/>
          </w:tcPr>
          <w:p w14:paraId="04EAF7F9" w14:textId="77777777" w:rsidR="00954313" w:rsidRPr="00747B16" w:rsidRDefault="00954313" w:rsidP="00C60A71">
            <w:pPr>
              <w:spacing w:line="276" w:lineRule="auto"/>
              <w:rPr>
                <w:rFonts w:ascii="Arial" w:eastAsia="Calibri" w:hAnsi="Arial" w:cs="Arial"/>
                <w:b/>
                <w:color w:val="000000" w:themeColor="text1"/>
                <w:sz w:val="22"/>
                <w:lang w:val="es-ES_tradnl"/>
              </w:rPr>
            </w:pPr>
            <w:r w:rsidRPr="00747B16">
              <w:rPr>
                <w:rFonts w:ascii="Arial" w:eastAsia="Calibri" w:hAnsi="Arial" w:cs="Arial"/>
                <w:b/>
                <w:color w:val="000000" w:themeColor="text1"/>
                <w:sz w:val="22"/>
                <w:lang w:val="es-ES_tradnl"/>
              </w:rPr>
              <w:t>Radicación:</w:t>
            </w:r>
            <w:r w:rsidRPr="00747B16">
              <w:rPr>
                <w:rFonts w:ascii="Arial" w:eastAsia="Calibri" w:hAnsi="Arial" w:cs="Arial"/>
                <w:color w:val="000000" w:themeColor="text1"/>
                <w:sz w:val="22"/>
                <w:lang w:val="es-ES_tradnl"/>
              </w:rPr>
              <w:t xml:space="preserve">                              </w:t>
            </w:r>
          </w:p>
        </w:tc>
        <w:tc>
          <w:tcPr>
            <w:tcW w:w="6237" w:type="dxa"/>
          </w:tcPr>
          <w:p w14:paraId="4537ADC6" w14:textId="77777777" w:rsidR="00954313" w:rsidRPr="00747B16" w:rsidRDefault="00954313" w:rsidP="00C60A71">
            <w:pPr>
              <w:spacing w:line="276" w:lineRule="auto"/>
              <w:jc w:val="both"/>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 xml:space="preserve">Respuesta a consulta # </w:t>
            </w:r>
            <w:r w:rsidRPr="00747B16">
              <w:rPr>
                <w:rFonts w:ascii="Arial" w:hAnsi="Arial" w:cs="Arial"/>
                <w:color w:val="000000" w:themeColor="text1"/>
                <w:sz w:val="22"/>
                <w:lang w:val="es-ES_tradnl"/>
              </w:rPr>
              <w:t>4202012000000402</w:t>
            </w:r>
          </w:p>
        </w:tc>
      </w:tr>
    </w:tbl>
    <w:p w14:paraId="5D27EFD5" w14:textId="77777777" w:rsidR="00954313" w:rsidRPr="00747B16" w:rsidRDefault="00954313" w:rsidP="00954313">
      <w:pPr>
        <w:spacing w:line="276" w:lineRule="auto"/>
        <w:rPr>
          <w:rFonts w:ascii="Arial" w:eastAsia="Calibri" w:hAnsi="Arial" w:cs="Arial"/>
          <w:color w:val="000000" w:themeColor="text1"/>
          <w:sz w:val="22"/>
          <w:lang w:val="es-ES_tradnl"/>
        </w:rPr>
      </w:pPr>
    </w:p>
    <w:p w14:paraId="6028B151" w14:textId="77777777" w:rsidR="00954313" w:rsidRPr="00747B16" w:rsidRDefault="00954313" w:rsidP="00954313">
      <w:pPr>
        <w:spacing w:line="276" w:lineRule="auto"/>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Estimada señora Collazos,</w:t>
      </w:r>
    </w:p>
    <w:p w14:paraId="142762B2" w14:textId="77777777" w:rsidR="00954313" w:rsidRPr="00747B16" w:rsidRDefault="00954313" w:rsidP="00954313">
      <w:pPr>
        <w:spacing w:line="276" w:lineRule="auto"/>
        <w:rPr>
          <w:rFonts w:ascii="Arial" w:eastAsia="Calibri" w:hAnsi="Arial" w:cs="Arial"/>
          <w:color w:val="000000" w:themeColor="text1"/>
          <w:sz w:val="22"/>
          <w:lang w:val="es-ES_tradnl"/>
        </w:rPr>
      </w:pPr>
    </w:p>
    <w:p w14:paraId="4601FA37" w14:textId="77777777" w:rsidR="00954313" w:rsidRPr="00747B16" w:rsidRDefault="00954313" w:rsidP="00954313">
      <w:pPr>
        <w:tabs>
          <w:tab w:val="left" w:pos="426"/>
        </w:tabs>
        <w:spacing w:line="276" w:lineRule="auto"/>
        <w:jc w:val="both"/>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La Agencia Nacional de Contratación Pública ― Colombia Compra Eficiente responde su consulta del 21 de enero de 2020, en ejercicio de la competencia otorgada por el numeral 8 del artículo 11 y el numeral 5 del artículo 3 del Decreto Ley 4170 de 2011.</w:t>
      </w:r>
    </w:p>
    <w:p w14:paraId="54E8E89F" w14:textId="77777777" w:rsidR="00954313" w:rsidRPr="00E758EE" w:rsidRDefault="00954313" w:rsidP="00954313">
      <w:pPr>
        <w:tabs>
          <w:tab w:val="left" w:pos="426"/>
        </w:tabs>
        <w:spacing w:line="276" w:lineRule="auto"/>
        <w:jc w:val="both"/>
        <w:rPr>
          <w:rFonts w:ascii="Arial" w:eastAsia="Calibri" w:hAnsi="Arial" w:cs="Arial"/>
          <w:color w:val="000000" w:themeColor="text1"/>
          <w:sz w:val="20"/>
          <w:szCs w:val="20"/>
          <w:lang w:val="es-ES_tradnl"/>
        </w:rPr>
      </w:pPr>
    </w:p>
    <w:p w14:paraId="0630F109" w14:textId="77777777" w:rsidR="00954313" w:rsidRPr="00747B16" w:rsidRDefault="00954313" w:rsidP="00954313">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747B16">
        <w:rPr>
          <w:rFonts w:ascii="Arial" w:eastAsia="Calibri" w:hAnsi="Arial" w:cs="Arial"/>
          <w:b/>
          <w:color w:val="000000" w:themeColor="text1"/>
          <w:sz w:val="22"/>
          <w:lang w:val="es-ES_tradnl"/>
        </w:rPr>
        <w:t xml:space="preserve">Problemas planteados </w:t>
      </w:r>
    </w:p>
    <w:p w14:paraId="1E9B8E82" w14:textId="77777777" w:rsidR="00954313" w:rsidRPr="00E758EE" w:rsidRDefault="00954313" w:rsidP="00954313">
      <w:pPr>
        <w:tabs>
          <w:tab w:val="left" w:pos="426"/>
        </w:tabs>
        <w:spacing w:line="276" w:lineRule="auto"/>
        <w:jc w:val="both"/>
        <w:rPr>
          <w:rFonts w:ascii="Arial" w:eastAsia="Calibri" w:hAnsi="Arial" w:cs="Arial"/>
          <w:b/>
          <w:color w:val="000000" w:themeColor="text1"/>
          <w:sz w:val="20"/>
          <w:szCs w:val="20"/>
          <w:lang w:val="es-ES_tradnl"/>
        </w:rPr>
      </w:pPr>
    </w:p>
    <w:p w14:paraId="50B6D975" w14:textId="77777777" w:rsidR="00954313" w:rsidRPr="00747B16" w:rsidRDefault="00954313" w:rsidP="00954313">
      <w:pPr>
        <w:tabs>
          <w:tab w:val="left" w:pos="426"/>
        </w:tabs>
        <w:spacing w:line="276" w:lineRule="auto"/>
        <w:jc w:val="both"/>
        <w:rPr>
          <w:rFonts w:ascii="Arial" w:eastAsia="Calibri" w:hAnsi="Arial" w:cs="Arial"/>
          <w:color w:val="000000" w:themeColor="text1"/>
          <w:sz w:val="22"/>
        </w:rPr>
      </w:pPr>
      <w:r w:rsidRPr="00747B16">
        <w:rPr>
          <w:rFonts w:ascii="Arial" w:eastAsia="Calibri" w:hAnsi="Arial" w:cs="Arial"/>
          <w:color w:val="000000" w:themeColor="text1"/>
          <w:sz w:val="22"/>
          <w:lang w:val="es-ES_tradnl"/>
        </w:rPr>
        <w:t xml:space="preserve">Usted realiza las siguientes preguntas, relacionadas con el deber de publicación de los documentos del proceso en el SECOP: i) «¿en una contratación directa es necesario publicar los estudios previos dentro de los tres (3) días siguientes a su aprobación, antes de culminar el proceso de contratación o sea realizar el respectivo contrato?», o </w:t>
      </w:r>
      <w:proofErr w:type="spellStart"/>
      <w:r w:rsidRPr="00747B16">
        <w:rPr>
          <w:rFonts w:ascii="Arial" w:eastAsia="Calibri" w:hAnsi="Arial" w:cs="Arial"/>
          <w:color w:val="000000" w:themeColor="text1"/>
          <w:sz w:val="22"/>
          <w:lang w:val="es-ES_tradnl"/>
        </w:rPr>
        <w:t>ii</w:t>
      </w:r>
      <w:proofErr w:type="spellEnd"/>
      <w:r w:rsidRPr="00747B16">
        <w:rPr>
          <w:rFonts w:ascii="Arial" w:eastAsia="Calibri" w:hAnsi="Arial" w:cs="Arial"/>
          <w:color w:val="000000" w:themeColor="text1"/>
          <w:sz w:val="22"/>
          <w:lang w:val="es-ES_tradnl"/>
        </w:rPr>
        <w:t>) «¿A lo que hace referencia la norma es que en tratándose de contratación directa, la publicación debe realizarse una vez se haya realizado el contrato, dentro de los tres (3) días siguientes a la firma o legalización del contrato, publicando todos los documentos del proceso contractual?».</w:t>
      </w:r>
    </w:p>
    <w:p w14:paraId="555A7B48" w14:textId="77777777" w:rsidR="00954313" w:rsidRPr="00E758EE" w:rsidRDefault="00954313" w:rsidP="00954313">
      <w:pPr>
        <w:tabs>
          <w:tab w:val="left" w:pos="426"/>
        </w:tabs>
        <w:spacing w:line="276" w:lineRule="auto"/>
        <w:jc w:val="both"/>
        <w:rPr>
          <w:rFonts w:ascii="Arial" w:eastAsia="Calibri" w:hAnsi="Arial" w:cs="Arial"/>
          <w:color w:val="000000" w:themeColor="text1"/>
          <w:sz w:val="20"/>
          <w:szCs w:val="20"/>
          <w:lang w:val="es-ES_tradnl"/>
        </w:rPr>
      </w:pPr>
    </w:p>
    <w:p w14:paraId="0C02A4BC" w14:textId="77777777" w:rsidR="00954313" w:rsidRPr="00747B16" w:rsidRDefault="00954313" w:rsidP="00954313">
      <w:pPr>
        <w:tabs>
          <w:tab w:val="left" w:pos="426"/>
        </w:tabs>
        <w:spacing w:line="276" w:lineRule="auto"/>
        <w:jc w:val="both"/>
        <w:rPr>
          <w:rFonts w:ascii="Arial" w:eastAsia="Calibri" w:hAnsi="Arial" w:cs="Arial"/>
          <w:b/>
          <w:color w:val="000000" w:themeColor="text1"/>
          <w:sz w:val="22"/>
          <w:lang w:val="es-ES_tradnl"/>
        </w:rPr>
      </w:pPr>
      <w:r w:rsidRPr="00747B16">
        <w:rPr>
          <w:rFonts w:ascii="Arial" w:eastAsia="Calibri" w:hAnsi="Arial" w:cs="Arial"/>
          <w:b/>
          <w:color w:val="000000" w:themeColor="text1"/>
          <w:sz w:val="22"/>
          <w:lang w:val="es-ES_tradnl"/>
        </w:rPr>
        <w:t>2. Consideraciones</w:t>
      </w:r>
    </w:p>
    <w:bookmarkEnd w:id="0"/>
    <w:bookmarkEnd w:id="1"/>
    <w:p w14:paraId="5C76689B" w14:textId="77777777" w:rsidR="00954313" w:rsidRPr="00E758EE" w:rsidRDefault="00954313" w:rsidP="00954313">
      <w:pPr>
        <w:spacing w:line="276" w:lineRule="auto"/>
        <w:jc w:val="both"/>
        <w:rPr>
          <w:rFonts w:ascii="Arial" w:hAnsi="Arial" w:cs="Arial"/>
          <w:color w:val="000000" w:themeColor="text1"/>
          <w:sz w:val="20"/>
          <w:szCs w:val="20"/>
          <w:lang w:val="es-ES_tradnl"/>
        </w:rPr>
      </w:pPr>
    </w:p>
    <w:p w14:paraId="4597F7DF" w14:textId="77777777" w:rsidR="00954313" w:rsidRPr="00747B16" w:rsidRDefault="00954313" w:rsidP="00954313">
      <w:pPr>
        <w:spacing w:line="276" w:lineRule="auto"/>
        <w:jc w:val="both"/>
        <w:rPr>
          <w:rFonts w:ascii="Arial" w:eastAsia="Calibri" w:hAnsi="Arial" w:cs="Arial"/>
          <w:color w:val="000000" w:themeColor="text1"/>
          <w:sz w:val="22"/>
        </w:rPr>
      </w:pPr>
      <w:r w:rsidRPr="00747B16">
        <w:rPr>
          <w:rFonts w:ascii="Arial" w:hAnsi="Arial" w:cs="Arial"/>
          <w:color w:val="000000" w:themeColor="text1"/>
          <w:sz w:val="22"/>
          <w:lang w:val="es-ES_tradnl"/>
        </w:rPr>
        <w:t xml:space="preserve">Para resolver esta consulta se hará un análisis de los siguientes temas: i) </w:t>
      </w:r>
      <w:r w:rsidRPr="00747B16">
        <w:rPr>
          <w:rFonts w:ascii="Arial" w:eastAsia="Calibri" w:hAnsi="Arial" w:cs="Arial"/>
          <w:color w:val="000000" w:themeColor="text1"/>
          <w:sz w:val="22"/>
        </w:rPr>
        <w:t xml:space="preserve">el SECOP, como plataforma que las entidades deben utilizar para publicar la actividad contractual y </w:t>
      </w:r>
      <w:proofErr w:type="spellStart"/>
      <w:r w:rsidRPr="00747B16">
        <w:rPr>
          <w:rFonts w:ascii="Arial" w:eastAsia="Calibri" w:hAnsi="Arial" w:cs="Arial"/>
          <w:color w:val="000000" w:themeColor="text1"/>
          <w:sz w:val="22"/>
        </w:rPr>
        <w:t>ii</w:t>
      </w:r>
      <w:proofErr w:type="spellEnd"/>
      <w:r w:rsidRPr="00747B16">
        <w:rPr>
          <w:rFonts w:ascii="Arial" w:eastAsia="Calibri" w:hAnsi="Arial" w:cs="Arial"/>
          <w:color w:val="000000" w:themeColor="text1"/>
          <w:sz w:val="22"/>
        </w:rPr>
        <w:t>) documentos contractuales que deben publicarse, así como el momento de su publicación.</w:t>
      </w:r>
    </w:p>
    <w:p w14:paraId="720CFFA0" w14:textId="6EAB0FEF" w:rsidR="00954313" w:rsidRPr="00747B16" w:rsidRDefault="00954313" w:rsidP="00954313">
      <w:pPr>
        <w:spacing w:line="276" w:lineRule="auto"/>
        <w:jc w:val="both"/>
        <w:rPr>
          <w:rFonts w:ascii="Arial" w:hAnsi="Arial" w:cs="Arial"/>
          <w:color w:val="000000" w:themeColor="text1"/>
          <w:sz w:val="22"/>
          <w:lang w:val="es-ES_tradnl"/>
        </w:rPr>
      </w:pPr>
      <w:r w:rsidRPr="00747B16">
        <w:rPr>
          <w:rFonts w:ascii="Arial" w:eastAsia="Calibri" w:hAnsi="Arial" w:cs="Arial"/>
          <w:color w:val="000000" w:themeColor="text1"/>
          <w:sz w:val="22"/>
        </w:rPr>
        <w:t>En este concepto se reiter</w:t>
      </w:r>
      <w:r w:rsidR="004172A0" w:rsidRPr="00747B16">
        <w:rPr>
          <w:rFonts w:ascii="Arial" w:eastAsia="Calibri" w:hAnsi="Arial" w:cs="Arial"/>
          <w:color w:val="000000" w:themeColor="text1"/>
          <w:sz w:val="22"/>
        </w:rPr>
        <w:t>ar</w:t>
      </w:r>
      <w:r w:rsidRPr="00747B16">
        <w:rPr>
          <w:rFonts w:ascii="Arial" w:eastAsia="Calibri" w:hAnsi="Arial" w:cs="Arial"/>
          <w:color w:val="000000" w:themeColor="text1"/>
          <w:sz w:val="22"/>
        </w:rPr>
        <w:t xml:space="preserve">án las tesis expuestas en los conceptos expedidos para responder las consultas con radicado No. 4201912000008073 del 2 de diciembre de 2019, No. 420201200000029 del 3 de enero de 2020 y No. </w:t>
      </w:r>
      <w:r w:rsidRPr="00747B16">
        <w:rPr>
          <w:rFonts w:ascii="Arial" w:hAnsi="Arial" w:cs="Arial"/>
          <w:color w:val="000000" w:themeColor="text1"/>
          <w:sz w:val="22"/>
          <w:lang w:val="es-ES_tradnl"/>
        </w:rPr>
        <w:t xml:space="preserve">4202012000000944 del 10 de febrero de 2020. </w:t>
      </w:r>
    </w:p>
    <w:p w14:paraId="77B78041" w14:textId="77777777" w:rsidR="00954313" w:rsidRPr="00747B16" w:rsidRDefault="00954313" w:rsidP="00954313">
      <w:pPr>
        <w:spacing w:before="120" w:line="276" w:lineRule="auto"/>
        <w:ind w:firstLine="709"/>
        <w:jc w:val="both"/>
        <w:rPr>
          <w:rFonts w:ascii="Arial" w:eastAsia="Calibri" w:hAnsi="Arial" w:cs="Arial"/>
          <w:bCs/>
          <w:color w:val="000000" w:themeColor="text1"/>
          <w:sz w:val="22"/>
        </w:rPr>
      </w:pPr>
      <w:r w:rsidRPr="00747B16">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w:t>
      </w:r>
      <w:r w:rsidRPr="00747B16">
        <w:rPr>
          <w:rFonts w:ascii="Arial" w:eastAsia="Calibri" w:hAnsi="Arial" w:cs="Arial"/>
          <w:bCs/>
          <w:color w:val="000000" w:themeColor="text1"/>
          <w:sz w:val="22"/>
        </w:rPr>
        <w:lastRenderedPageBreak/>
        <w:t xml:space="preserve">siguientes consultas: 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14:paraId="55C02371" w14:textId="77777777" w:rsidR="00954313" w:rsidRPr="00E758EE" w:rsidRDefault="00954313" w:rsidP="00954313">
      <w:pPr>
        <w:spacing w:line="276" w:lineRule="auto"/>
        <w:jc w:val="both"/>
        <w:rPr>
          <w:rFonts w:ascii="Arial" w:hAnsi="Arial" w:cs="Arial"/>
          <w:color w:val="000000" w:themeColor="text1"/>
          <w:sz w:val="20"/>
          <w:szCs w:val="20"/>
          <w:lang w:val="es-ES"/>
        </w:rPr>
      </w:pPr>
    </w:p>
    <w:p w14:paraId="471C7A32" w14:textId="77777777" w:rsidR="00954313" w:rsidRPr="00747B16" w:rsidRDefault="00954313" w:rsidP="00954313">
      <w:pPr>
        <w:tabs>
          <w:tab w:val="left" w:pos="426"/>
        </w:tabs>
        <w:spacing w:line="276" w:lineRule="auto"/>
        <w:jc w:val="both"/>
        <w:rPr>
          <w:rFonts w:ascii="Arial" w:eastAsia="Calibri" w:hAnsi="Arial" w:cs="Arial"/>
          <w:b/>
          <w:color w:val="000000" w:themeColor="text1"/>
          <w:sz w:val="22"/>
        </w:rPr>
      </w:pPr>
      <w:r w:rsidRPr="00747B16">
        <w:rPr>
          <w:rFonts w:ascii="Arial" w:eastAsia="Calibri" w:hAnsi="Arial" w:cs="Arial"/>
          <w:b/>
          <w:color w:val="000000" w:themeColor="text1"/>
          <w:sz w:val="22"/>
        </w:rPr>
        <w:t>2.1. Publicidad de la actividad contractual en el Sistema Electrónico de Contratación Pública –SECOP–</w:t>
      </w:r>
    </w:p>
    <w:p w14:paraId="2A88A955" w14:textId="77777777" w:rsidR="00954313" w:rsidRPr="00E758EE" w:rsidRDefault="00954313" w:rsidP="00954313">
      <w:pPr>
        <w:pStyle w:val="Prrafodelista"/>
        <w:spacing w:line="276" w:lineRule="auto"/>
        <w:ind w:left="0" w:firstLine="709"/>
        <w:jc w:val="both"/>
        <w:rPr>
          <w:rFonts w:ascii="Arial" w:eastAsia="Calibri" w:hAnsi="Arial" w:cs="Arial"/>
          <w:b/>
          <w:color w:val="000000" w:themeColor="text1"/>
          <w:sz w:val="20"/>
          <w:szCs w:val="20"/>
        </w:rPr>
      </w:pPr>
    </w:p>
    <w:p w14:paraId="57D4DB33" w14:textId="77777777" w:rsidR="00954313" w:rsidRPr="00747B16" w:rsidRDefault="00954313" w:rsidP="00954313">
      <w:pPr>
        <w:spacing w:line="276" w:lineRule="auto"/>
        <w:ind w:firstLine="709"/>
        <w:jc w:val="both"/>
        <w:rPr>
          <w:rFonts w:ascii="Arial" w:eastAsia="Calibri" w:hAnsi="Arial" w:cs="Arial"/>
          <w:color w:val="000000" w:themeColor="text1"/>
          <w:sz w:val="22"/>
        </w:rPr>
      </w:pPr>
      <w:r w:rsidRPr="00747B16">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14:paraId="1BEA0BA5" w14:textId="77777777" w:rsidR="00954313" w:rsidRPr="00747B16" w:rsidRDefault="00954313" w:rsidP="00954313">
      <w:pPr>
        <w:ind w:firstLine="709"/>
        <w:jc w:val="both"/>
        <w:rPr>
          <w:rFonts w:ascii="Arial" w:eastAsia="Calibri" w:hAnsi="Arial" w:cs="Arial"/>
          <w:color w:val="000000" w:themeColor="text1"/>
          <w:sz w:val="22"/>
        </w:rPr>
      </w:pPr>
    </w:p>
    <w:p w14:paraId="7CCD83CB"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345EE31"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p>
    <w:p w14:paraId="5CCFB9EC" w14:textId="77777777" w:rsidR="00954313" w:rsidRPr="00747B16" w:rsidRDefault="00954313" w:rsidP="00954313">
      <w:pPr>
        <w:tabs>
          <w:tab w:val="left" w:pos="3885"/>
          <w:tab w:val="left" w:pos="8222"/>
        </w:tabs>
        <w:ind w:left="709" w:right="709"/>
        <w:jc w:val="both"/>
        <w:rPr>
          <w:rFonts w:ascii="Arial" w:hAnsi="Arial" w:cs="Arial"/>
          <w:color w:val="000000" w:themeColor="text1"/>
          <w:sz w:val="22"/>
          <w:lang w:val="es-ES"/>
        </w:rPr>
      </w:pPr>
      <w:r w:rsidRPr="00747B16">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747B16">
        <w:rPr>
          <w:rFonts w:ascii="Arial" w:hAnsi="Arial" w:cs="Arial"/>
          <w:color w:val="000000" w:themeColor="text1"/>
          <w:sz w:val="21"/>
          <w:szCs w:val="21"/>
          <w:lang w:val="es-ES"/>
        </w:rPr>
        <w:t>autoridades públicas</w:t>
      </w:r>
      <w:proofErr w:type="gramEnd"/>
      <w:r w:rsidRPr="00747B16">
        <w:rPr>
          <w:rFonts w:ascii="Arial" w:hAnsi="Arial" w:cs="Arial"/>
          <w:color w:val="000000" w:themeColor="text1"/>
          <w:sz w:val="21"/>
          <w:szCs w:val="21"/>
          <w:lang w:val="es-ES"/>
        </w:rPr>
        <w:t xml:space="preserve"> y, a través de ese conocimiento, a exigir que ellas se surtan conforme a la ley</w:t>
      </w:r>
      <w:r w:rsidRPr="00747B16">
        <w:rPr>
          <w:rStyle w:val="Refdenotaalpie"/>
          <w:rFonts w:ascii="Arial" w:eastAsia="Calibri" w:hAnsi="Arial" w:cs="Arial"/>
          <w:color w:val="000000" w:themeColor="text1"/>
          <w:sz w:val="21"/>
          <w:szCs w:val="21"/>
        </w:rPr>
        <w:footnoteReference w:id="2"/>
      </w:r>
      <w:r w:rsidRPr="00747B16">
        <w:rPr>
          <w:rFonts w:ascii="Arial" w:eastAsia="Calibri" w:hAnsi="Arial" w:cs="Arial"/>
          <w:color w:val="000000" w:themeColor="text1"/>
          <w:sz w:val="21"/>
          <w:szCs w:val="21"/>
        </w:rPr>
        <w:t>.</w:t>
      </w:r>
    </w:p>
    <w:p w14:paraId="281C70C5" w14:textId="77777777" w:rsidR="00954313" w:rsidRPr="00747B16" w:rsidRDefault="00954313" w:rsidP="00954313">
      <w:pPr>
        <w:spacing w:line="276" w:lineRule="auto"/>
        <w:ind w:right="709"/>
        <w:jc w:val="both"/>
        <w:rPr>
          <w:rFonts w:ascii="Arial" w:eastAsia="Calibri" w:hAnsi="Arial" w:cs="Arial"/>
          <w:color w:val="000000" w:themeColor="text1"/>
          <w:sz w:val="22"/>
        </w:rPr>
      </w:pPr>
    </w:p>
    <w:p w14:paraId="661F0DD4" w14:textId="77777777" w:rsidR="00954313" w:rsidRPr="00747B16" w:rsidRDefault="00954313" w:rsidP="00954313">
      <w:pPr>
        <w:spacing w:line="276" w:lineRule="auto"/>
        <w:ind w:firstLine="709"/>
        <w:jc w:val="both"/>
        <w:rPr>
          <w:rFonts w:ascii="Arial" w:eastAsia="Calibri" w:hAnsi="Arial" w:cs="Arial"/>
          <w:color w:val="000000" w:themeColor="text1"/>
          <w:sz w:val="22"/>
        </w:rPr>
      </w:pPr>
      <w:r w:rsidRPr="00747B16">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50627D2B" w14:textId="77777777" w:rsidR="00954313" w:rsidRPr="00747B16" w:rsidRDefault="00954313" w:rsidP="00954313">
      <w:pPr>
        <w:spacing w:before="120" w:after="120" w:line="276" w:lineRule="auto"/>
        <w:ind w:firstLine="709"/>
        <w:jc w:val="both"/>
        <w:rPr>
          <w:rFonts w:ascii="Arial" w:eastAsia="Calibri" w:hAnsi="Arial" w:cs="Arial"/>
          <w:color w:val="000000" w:themeColor="text1"/>
          <w:sz w:val="22"/>
        </w:rPr>
      </w:pPr>
      <w:r w:rsidRPr="00747B16">
        <w:rPr>
          <w:rFonts w:ascii="Arial" w:eastAsia="Calibri" w:hAnsi="Arial" w:cs="Arial"/>
          <w:color w:val="000000" w:themeColor="text1"/>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747B16">
        <w:rPr>
          <w:rStyle w:val="Refdenotaalpie"/>
          <w:rFonts w:ascii="Arial" w:eastAsia="Calibri" w:hAnsi="Arial" w:cs="Arial"/>
          <w:color w:val="000000" w:themeColor="text1"/>
          <w:sz w:val="22"/>
        </w:rPr>
        <w:footnoteReference w:id="3"/>
      </w:r>
      <w:r w:rsidRPr="00747B16">
        <w:rPr>
          <w:rFonts w:ascii="Arial" w:eastAsia="Calibri" w:hAnsi="Arial" w:cs="Arial"/>
          <w:color w:val="000000" w:themeColor="text1"/>
          <w:sz w:val="22"/>
        </w:rPr>
        <w:t xml:space="preserve">. </w:t>
      </w:r>
    </w:p>
    <w:p w14:paraId="6D68BDD3" w14:textId="77777777" w:rsidR="00954313" w:rsidRPr="00747B16" w:rsidRDefault="00954313" w:rsidP="00954313">
      <w:pPr>
        <w:spacing w:before="120" w:after="120" w:line="276" w:lineRule="auto"/>
        <w:ind w:firstLine="709"/>
        <w:jc w:val="both"/>
        <w:rPr>
          <w:rFonts w:ascii="Arial" w:eastAsia="Calibri" w:hAnsi="Arial" w:cs="Arial"/>
          <w:color w:val="000000" w:themeColor="text1"/>
          <w:sz w:val="22"/>
        </w:rPr>
      </w:pPr>
      <w:r w:rsidRPr="00747B16">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47B16">
        <w:rPr>
          <w:rStyle w:val="Refdenotaalpie"/>
          <w:rFonts w:ascii="Arial" w:hAnsi="Arial" w:cs="Arial"/>
          <w:color w:val="000000" w:themeColor="text1"/>
          <w:sz w:val="22"/>
        </w:rPr>
        <w:footnoteReference w:id="4"/>
      </w:r>
      <w:r w:rsidRPr="00747B16">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647345F" w14:textId="77777777" w:rsidR="00954313" w:rsidRPr="00747B16" w:rsidRDefault="00954313" w:rsidP="00954313">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747B16">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747B16">
        <w:rPr>
          <w:rStyle w:val="Refdenotaalpie"/>
          <w:rFonts w:ascii="Arial" w:eastAsiaTheme="minorHAnsi" w:hAnsi="Arial" w:cs="Arial"/>
          <w:color w:val="000000" w:themeColor="text1"/>
          <w:sz w:val="22"/>
          <w:szCs w:val="22"/>
          <w:lang w:val="es-MX" w:eastAsia="en-US"/>
        </w:rPr>
        <w:footnoteReference w:id="5"/>
      </w:r>
      <w:r w:rsidRPr="00747B16">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747B16">
        <w:rPr>
          <w:rStyle w:val="Refdenotaalpie"/>
          <w:rFonts w:ascii="Arial" w:eastAsiaTheme="minorHAnsi" w:hAnsi="Arial" w:cs="Arial"/>
          <w:color w:val="000000" w:themeColor="text1"/>
          <w:sz w:val="22"/>
          <w:szCs w:val="22"/>
          <w:lang w:val="es-MX" w:eastAsia="en-US"/>
        </w:rPr>
        <w:footnoteReference w:id="6"/>
      </w:r>
      <w:r w:rsidRPr="00747B16">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747B16">
        <w:rPr>
          <w:rFonts w:ascii="Arial" w:eastAsiaTheme="minorHAnsi" w:hAnsi="Arial" w:cs="Arial"/>
          <w:color w:val="000000" w:themeColor="text1"/>
          <w:sz w:val="22"/>
          <w:szCs w:val="22"/>
          <w:lang w:val="es-MX" w:eastAsia="en-US"/>
        </w:rPr>
        <w:softHyphen/>
        <w:t xml:space="preserve"> </w:t>
      </w:r>
      <w:r w:rsidRPr="00747B16">
        <w:rPr>
          <w:rFonts w:ascii="Arial" w:eastAsiaTheme="minorHAnsi" w:hAnsi="Arial" w:cs="Arial"/>
          <w:color w:val="000000" w:themeColor="text1"/>
          <w:sz w:val="22"/>
          <w:szCs w:val="22"/>
          <w:lang w:val="es-MX" w:eastAsia="en-US"/>
        </w:rPr>
        <w:softHyphen/>
        <w:t>SECOP.</w:t>
      </w:r>
    </w:p>
    <w:p w14:paraId="54B10FEE"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rPr>
        <w:t xml:space="preserve">Asimismo, de </w:t>
      </w:r>
      <w:r w:rsidRPr="00747B16">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7BCFB20" w14:textId="77777777" w:rsidR="00954313" w:rsidRPr="00747B16" w:rsidRDefault="00954313" w:rsidP="00954313">
      <w:pPr>
        <w:spacing w:before="120" w:after="120" w:line="276" w:lineRule="auto"/>
        <w:ind w:firstLine="709"/>
        <w:jc w:val="both"/>
        <w:rPr>
          <w:rFonts w:ascii="Arial" w:eastAsia="Calibri" w:hAnsi="Arial" w:cs="Arial"/>
          <w:color w:val="000000" w:themeColor="text1"/>
          <w:sz w:val="22"/>
        </w:rPr>
      </w:pPr>
      <w:r w:rsidRPr="00747B16">
        <w:rPr>
          <w:rFonts w:ascii="Arial" w:eastAsia="Calibri" w:hAnsi="Arial" w:cs="Arial"/>
          <w:color w:val="000000" w:themeColor="text1"/>
          <w:sz w:val="22"/>
        </w:rPr>
        <w:t xml:space="preserve">El derecho de acceso a la información pública o de interés público permite a toda persona, sin necesidad de acreditar calidad, interés o condición particular, conocer la </w:t>
      </w:r>
      <w:r w:rsidRPr="00747B16">
        <w:rPr>
          <w:rFonts w:ascii="Arial" w:eastAsia="Calibri" w:hAnsi="Arial" w:cs="Arial"/>
          <w:color w:val="000000" w:themeColor="text1"/>
          <w:sz w:val="22"/>
        </w:rPr>
        <w:lastRenderedPageBreak/>
        <w:t>existencia de información pública, acceder a la misma y difundirla o publicarla, según su interés</w:t>
      </w:r>
      <w:r w:rsidRPr="00747B16">
        <w:rPr>
          <w:rStyle w:val="Refdenotaalpie"/>
          <w:rFonts w:ascii="Arial" w:eastAsia="Calibri" w:hAnsi="Arial" w:cs="Arial"/>
          <w:color w:val="000000" w:themeColor="text1"/>
          <w:sz w:val="22"/>
        </w:rPr>
        <w:footnoteReference w:id="7"/>
      </w:r>
      <w:r w:rsidRPr="00747B16">
        <w:rPr>
          <w:rFonts w:ascii="Arial" w:eastAsia="Calibri" w:hAnsi="Arial" w:cs="Arial"/>
          <w:color w:val="000000" w:themeColor="text1"/>
          <w:sz w:val="22"/>
        </w:rPr>
        <w:t>.</w:t>
      </w:r>
    </w:p>
    <w:p w14:paraId="17FAB00D"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Para el año 2013, la Agencia Nacional de Contratación Pública ─ Colombia Compra Eficiente, mediante la Circular Externa No 1 del</w:t>
      </w:r>
      <w:r w:rsidRPr="00747B16">
        <w:rPr>
          <w:color w:val="000000" w:themeColor="text1"/>
          <w:sz w:val="22"/>
        </w:rPr>
        <w:t xml:space="preserve"> </w:t>
      </w:r>
      <w:r w:rsidRPr="00747B16">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747B16">
        <w:rPr>
          <w:rStyle w:val="Refdenotaalpie"/>
          <w:rFonts w:ascii="Arial" w:hAnsi="Arial" w:cs="Arial"/>
          <w:color w:val="000000" w:themeColor="text1"/>
          <w:sz w:val="22"/>
          <w:lang w:val="es-ES"/>
        </w:rPr>
        <w:footnoteReference w:id="8"/>
      </w:r>
      <w:r w:rsidRPr="00747B16">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740A9C2" w14:textId="77777777" w:rsidR="00954313" w:rsidRPr="00747B16" w:rsidRDefault="00954313" w:rsidP="00954313">
      <w:pPr>
        <w:spacing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6BD3272" w14:textId="77777777" w:rsidR="00954313" w:rsidRPr="00747B16" w:rsidRDefault="00954313" w:rsidP="00954313">
      <w:pPr>
        <w:spacing w:line="276" w:lineRule="auto"/>
        <w:jc w:val="both"/>
        <w:rPr>
          <w:rFonts w:ascii="Arial" w:hAnsi="Arial" w:cs="Arial"/>
          <w:color w:val="000000" w:themeColor="text1"/>
          <w:sz w:val="22"/>
          <w:lang w:val="es-ES"/>
        </w:rPr>
      </w:pPr>
    </w:p>
    <w:p w14:paraId="33451762"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C9EC784"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p>
    <w:p w14:paraId="725906A4"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747B16">
        <w:rPr>
          <w:rFonts w:ascii="Arial" w:hAnsi="Arial" w:cs="Arial"/>
          <w:color w:val="000000" w:themeColor="text1"/>
          <w:sz w:val="21"/>
          <w:szCs w:val="21"/>
          <w:lang w:val="es-ES"/>
        </w:rPr>
        <w:t>en razón de</w:t>
      </w:r>
      <w:proofErr w:type="gramEnd"/>
      <w:r w:rsidRPr="00747B16">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5C60ACCD"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w:t>
      </w:r>
    </w:p>
    <w:p w14:paraId="03D20B9E"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p>
    <w:p w14:paraId="2C146964" w14:textId="77777777" w:rsidR="00954313" w:rsidRPr="00747B16" w:rsidRDefault="00954313" w:rsidP="00954313">
      <w:pPr>
        <w:tabs>
          <w:tab w:val="left" w:pos="3885"/>
        </w:tabs>
        <w:ind w:left="709"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 xml:space="preserve">Así, lo que resulta también razonable afirmar es que el aludido deber de informar ya se encontraba bien dispuesto y definido desde el precepto legal de 2007, </w:t>
      </w:r>
      <w:r w:rsidRPr="00747B16">
        <w:rPr>
          <w:rFonts w:ascii="Arial" w:hAnsi="Arial" w:cs="Arial"/>
          <w:color w:val="000000" w:themeColor="text1"/>
          <w:sz w:val="21"/>
          <w:szCs w:val="21"/>
          <w:lang w:val="es-ES"/>
        </w:rPr>
        <w:lastRenderedPageBreak/>
        <w:t>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747B16">
        <w:rPr>
          <w:rStyle w:val="Refdenotaalpie"/>
          <w:rFonts w:ascii="Arial" w:hAnsi="Arial" w:cs="Arial"/>
          <w:color w:val="000000" w:themeColor="text1"/>
          <w:sz w:val="21"/>
          <w:szCs w:val="21"/>
        </w:rPr>
        <w:footnoteReference w:id="9"/>
      </w:r>
      <w:r w:rsidRPr="00747B16">
        <w:rPr>
          <w:rStyle w:val="Refdenotaalpie"/>
          <w:rFonts w:ascii="Arial" w:hAnsi="Arial" w:cs="Arial"/>
          <w:color w:val="000000" w:themeColor="text1"/>
          <w:sz w:val="21"/>
          <w:szCs w:val="21"/>
        </w:rPr>
        <w:t>.</w:t>
      </w:r>
    </w:p>
    <w:p w14:paraId="261BF5A0" w14:textId="77777777" w:rsidR="00954313" w:rsidRPr="00747B16" w:rsidRDefault="00954313" w:rsidP="00954313">
      <w:pPr>
        <w:tabs>
          <w:tab w:val="left" w:pos="3885"/>
        </w:tabs>
        <w:spacing w:line="276" w:lineRule="auto"/>
        <w:ind w:left="709" w:right="709"/>
        <w:jc w:val="both"/>
        <w:rPr>
          <w:rFonts w:ascii="Arial" w:eastAsia="Calibri" w:hAnsi="Arial" w:cs="Arial"/>
          <w:color w:val="000000" w:themeColor="text1"/>
          <w:sz w:val="22"/>
        </w:rPr>
      </w:pPr>
    </w:p>
    <w:p w14:paraId="19AABBDE" w14:textId="77777777" w:rsidR="00954313" w:rsidRPr="00747B16" w:rsidRDefault="00954313" w:rsidP="00954313">
      <w:pPr>
        <w:spacing w:line="276" w:lineRule="auto"/>
        <w:ind w:firstLine="708"/>
        <w:jc w:val="both"/>
        <w:rPr>
          <w:rFonts w:ascii="Arial" w:hAnsi="Arial" w:cs="Arial"/>
          <w:color w:val="000000" w:themeColor="text1"/>
          <w:sz w:val="22"/>
          <w:lang w:val="es-ES"/>
        </w:rPr>
      </w:pPr>
      <w:r w:rsidRPr="00747B16">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45F5E4BA" w14:textId="77777777" w:rsidR="00954313" w:rsidRPr="00747B16" w:rsidRDefault="00954313" w:rsidP="00954313">
      <w:pPr>
        <w:ind w:leftChars="709" w:left="1702" w:right="709" w:firstLine="2"/>
        <w:jc w:val="both"/>
        <w:rPr>
          <w:rFonts w:ascii="Arial" w:hAnsi="Arial" w:cs="Arial"/>
          <w:color w:val="000000" w:themeColor="text1"/>
          <w:sz w:val="21"/>
          <w:szCs w:val="21"/>
          <w:lang w:val="es-ES"/>
        </w:rPr>
      </w:pPr>
    </w:p>
    <w:p w14:paraId="05548C70" w14:textId="77777777" w:rsidR="00954313" w:rsidRPr="00747B16" w:rsidRDefault="00954313" w:rsidP="00954313">
      <w:pPr>
        <w:ind w:leftChars="295" w:left="708" w:right="709"/>
        <w:jc w:val="both"/>
        <w:rPr>
          <w:rFonts w:ascii="Arial" w:hAnsi="Arial" w:cs="Arial"/>
          <w:color w:val="000000" w:themeColor="text1"/>
          <w:sz w:val="21"/>
          <w:szCs w:val="21"/>
          <w:lang w:val="es-ES"/>
        </w:rPr>
      </w:pPr>
      <w:r w:rsidRPr="00747B16">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79C6880" w14:textId="77777777" w:rsidR="00954313" w:rsidRPr="00747B16" w:rsidRDefault="00954313" w:rsidP="00954313">
      <w:pPr>
        <w:spacing w:line="276" w:lineRule="auto"/>
        <w:ind w:leftChars="709" w:left="1702" w:right="709"/>
        <w:jc w:val="both"/>
        <w:rPr>
          <w:rFonts w:ascii="Arial" w:hAnsi="Arial" w:cs="Arial"/>
          <w:color w:val="000000" w:themeColor="text1"/>
          <w:sz w:val="21"/>
          <w:szCs w:val="21"/>
          <w:lang w:val="es-ES"/>
        </w:rPr>
      </w:pPr>
    </w:p>
    <w:p w14:paraId="6661B8BC" w14:textId="77777777" w:rsidR="00954313" w:rsidRPr="00747B16" w:rsidRDefault="00954313" w:rsidP="00954313">
      <w:pPr>
        <w:spacing w:line="276" w:lineRule="auto"/>
        <w:ind w:firstLine="708"/>
        <w:jc w:val="both"/>
        <w:rPr>
          <w:rFonts w:ascii="Arial" w:hAnsi="Arial" w:cs="Arial"/>
          <w:color w:val="000000" w:themeColor="text1"/>
          <w:sz w:val="22"/>
          <w:lang w:val="es-ES"/>
        </w:rPr>
      </w:pPr>
      <w:r w:rsidRPr="00747B16">
        <w:rPr>
          <w:rFonts w:ascii="Arial" w:hAnsi="Arial" w:cs="Arial"/>
          <w:color w:val="000000" w:themeColor="text1"/>
          <w:sz w:val="22"/>
          <w:lang w:val="es-ES"/>
        </w:rPr>
        <w:t>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4DF8F404" w14:textId="77777777" w:rsidR="00954313" w:rsidRPr="00E758EE" w:rsidRDefault="00954313" w:rsidP="00954313">
      <w:pPr>
        <w:spacing w:line="276" w:lineRule="auto"/>
        <w:jc w:val="both"/>
        <w:rPr>
          <w:rFonts w:ascii="Arial" w:hAnsi="Arial" w:cs="Arial"/>
          <w:color w:val="000000" w:themeColor="text1"/>
          <w:sz w:val="20"/>
          <w:szCs w:val="20"/>
          <w:lang w:val="es-ES"/>
        </w:rPr>
      </w:pPr>
    </w:p>
    <w:p w14:paraId="62B6109F" w14:textId="77777777" w:rsidR="00954313" w:rsidRPr="00747B16" w:rsidRDefault="00954313" w:rsidP="00E758EE">
      <w:pPr>
        <w:spacing w:line="276" w:lineRule="auto"/>
        <w:jc w:val="both"/>
        <w:rPr>
          <w:rFonts w:ascii="Arial" w:hAnsi="Arial" w:cs="Arial"/>
          <w:b/>
          <w:bCs/>
          <w:color w:val="000000" w:themeColor="text1"/>
          <w:sz w:val="22"/>
          <w:lang w:val="es-ES"/>
        </w:rPr>
      </w:pPr>
      <w:r w:rsidRPr="00747B16">
        <w:rPr>
          <w:rFonts w:ascii="Arial" w:hAnsi="Arial" w:cs="Arial"/>
          <w:b/>
          <w:bCs/>
          <w:color w:val="000000" w:themeColor="text1"/>
          <w:sz w:val="22"/>
          <w:lang w:val="es-ES"/>
        </w:rPr>
        <w:t>2.2. Documentos del proceso que deben publicarse en el SECOP. El caso de la contratación directa</w:t>
      </w:r>
    </w:p>
    <w:p w14:paraId="7A90C659" w14:textId="77777777" w:rsidR="00E758EE" w:rsidRPr="00E758EE" w:rsidRDefault="00E758EE" w:rsidP="00E758EE">
      <w:pPr>
        <w:spacing w:line="276" w:lineRule="auto"/>
        <w:jc w:val="both"/>
        <w:rPr>
          <w:rFonts w:ascii="Arial" w:hAnsi="Arial" w:cs="Arial"/>
          <w:color w:val="000000" w:themeColor="text1"/>
          <w:sz w:val="20"/>
          <w:szCs w:val="20"/>
          <w:lang w:val="es-ES"/>
        </w:rPr>
      </w:pPr>
    </w:p>
    <w:p w14:paraId="4779657E" w14:textId="0FB053F0" w:rsidR="00954313" w:rsidRPr="00747B16" w:rsidRDefault="00954313" w:rsidP="00E758EE">
      <w:pPr>
        <w:spacing w:line="276" w:lineRule="auto"/>
        <w:jc w:val="both"/>
        <w:rPr>
          <w:rFonts w:ascii="Arial" w:hAnsi="Arial" w:cs="Arial"/>
          <w:color w:val="000000" w:themeColor="text1"/>
          <w:sz w:val="22"/>
          <w:lang w:val="es-ES"/>
        </w:rPr>
      </w:pPr>
      <w:r w:rsidRPr="00747B16">
        <w:rPr>
          <w:rFonts w:ascii="Arial" w:hAnsi="Arial" w:cs="Arial"/>
          <w:color w:val="000000" w:themeColor="text1"/>
          <w:sz w:val="22"/>
          <w:lang w:val="es-ES"/>
        </w:rPr>
        <w:t>Teniendo en cuenta que la consulta versa sobre la publicidad de los documentos del proceso en la modalidad de contratación directa, se analizará la forma como las disposiciones normativas que regulan el tema se aplican en dicho caso.</w:t>
      </w:r>
    </w:p>
    <w:p w14:paraId="17376606"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 xml:space="preserve">Como se indicó, 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w:t>
      </w:r>
      <w:r w:rsidRPr="00747B16">
        <w:rPr>
          <w:rFonts w:ascii="Arial" w:hAnsi="Arial" w:cs="Arial"/>
          <w:color w:val="000000" w:themeColor="text1"/>
          <w:sz w:val="22"/>
          <w:lang w:val="es-ES"/>
        </w:rPr>
        <w:lastRenderedPageBreak/>
        <w:t>Contratación. Los documentos de las operaciones que se realicen en bolsa de productos no tienen que ser publicados en el SECOP».</w:t>
      </w:r>
    </w:p>
    <w:p w14:paraId="4351A016"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D7756C4"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w:t>
      </w:r>
      <w:r w:rsidRPr="00747B16">
        <w:rPr>
          <w:rStyle w:val="Refdenotaalpie"/>
          <w:rFonts w:ascii="Arial" w:hAnsi="Arial" w:cs="Arial"/>
          <w:color w:val="000000" w:themeColor="text1"/>
          <w:sz w:val="22"/>
          <w:lang w:val="es-ES"/>
        </w:rPr>
        <w:footnoteReference w:id="10"/>
      </w:r>
      <w:r w:rsidRPr="00747B16">
        <w:rPr>
          <w:rFonts w:ascii="Arial" w:hAnsi="Arial" w:cs="Arial"/>
          <w:color w:val="000000" w:themeColor="text1"/>
          <w:sz w:val="22"/>
          <w:lang w:val="es-ES"/>
        </w:rPr>
        <w:t xml:space="preserve"> del presente decreto».</w:t>
      </w:r>
    </w:p>
    <w:p w14:paraId="564870D2" w14:textId="77777777" w:rsidR="00954313" w:rsidRPr="00747B16" w:rsidRDefault="00954313" w:rsidP="00954313">
      <w:pPr>
        <w:spacing w:before="120" w:after="120" w:line="276" w:lineRule="auto"/>
        <w:ind w:firstLine="709"/>
        <w:jc w:val="both"/>
        <w:rPr>
          <w:rFonts w:ascii="Arial" w:hAnsi="Arial" w:cs="Arial"/>
          <w:color w:val="000000" w:themeColor="text1"/>
          <w:sz w:val="22"/>
          <w:lang w:val="es-ES"/>
        </w:rPr>
      </w:pPr>
      <w:r w:rsidRPr="00747B16">
        <w:rPr>
          <w:rFonts w:ascii="Arial" w:hAnsi="Arial" w:cs="Arial"/>
          <w:color w:val="000000" w:themeColor="text1"/>
          <w:sz w:val="22"/>
          <w:lang w:val="es-ES"/>
        </w:rPr>
        <w:t>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w:t>
      </w:r>
      <w:r w:rsidRPr="00747B16">
        <w:rPr>
          <w:rStyle w:val="Refdenotaalpie"/>
          <w:rFonts w:ascii="Arial" w:hAnsi="Arial" w:cs="Arial"/>
          <w:color w:val="000000" w:themeColor="text1"/>
          <w:sz w:val="22"/>
          <w:lang w:val="es-ES"/>
        </w:rPr>
        <w:footnoteReference w:id="11"/>
      </w:r>
      <w:r w:rsidRPr="00747B16">
        <w:rPr>
          <w:rFonts w:ascii="Arial" w:hAnsi="Arial" w:cs="Arial"/>
          <w:color w:val="000000" w:themeColor="text1"/>
          <w:sz w:val="22"/>
          <w:lang w:val="es-ES"/>
        </w:rPr>
        <w:t>. Por lo tanto, en este supuesto, por sustracción de materia, no hay que publicar dicho documento en el SECOP. Algo similar sucede en la contratación de urgencia manifiesta, en la cual no se requiere de la elaboración de estudios y documentos previos</w:t>
      </w:r>
      <w:r w:rsidRPr="00747B16">
        <w:rPr>
          <w:rStyle w:val="Refdenotaalpie"/>
          <w:rFonts w:ascii="Arial" w:hAnsi="Arial" w:cs="Arial"/>
          <w:color w:val="000000" w:themeColor="text1"/>
          <w:sz w:val="22"/>
          <w:lang w:val="es-ES"/>
        </w:rPr>
        <w:footnoteReference w:id="12"/>
      </w:r>
      <w:r w:rsidRPr="00747B16">
        <w:rPr>
          <w:rFonts w:ascii="Arial" w:hAnsi="Arial" w:cs="Arial"/>
          <w:color w:val="000000" w:themeColor="text1"/>
          <w:sz w:val="22"/>
          <w:lang w:val="es-ES"/>
        </w:rPr>
        <w:t>, de manera que, obviamente, estos no se publican.</w:t>
      </w:r>
    </w:p>
    <w:p w14:paraId="341D1D67" w14:textId="77777777" w:rsidR="00954313" w:rsidRPr="00747B16" w:rsidRDefault="00954313" w:rsidP="00954313">
      <w:pPr>
        <w:spacing w:line="276" w:lineRule="auto"/>
        <w:ind w:firstLine="709"/>
        <w:jc w:val="both"/>
        <w:rPr>
          <w:rFonts w:ascii="Arial" w:hAnsi="Arial" w:cs="Arial"/>
          <w:color w:val="000000" w:themeColor="text1"/>
          <w:sz w:val="22"/>
        </w:rPr>
      </w:pPr>
      <w:r w:rsidRPr="00747B16">
        <w:rPr>
          <w:rFonts w:ascii="Arial" w:hAnsi="Arial" w:cs="Arial"/>
          <w:color w:val="000000" w:themeColor="text1"/>
          <w:sz w:val="22"/>
          <w:lang w:val="es-ES"/>
        </w:rPr>
        <w:t>En los demás casos de contratación directa los estudios previos, una vez expedidos, deben publicarse en el SECOP dentro de los tres (3) días siguientes.</w:t>
      </w:r>
    </w:p>
    <w:p w14:paraId="5BFDCE96" w14:textId="77777777" w:rsidR="00954313" w:rsidRPr="00747B16" w:rsidRDefault="00954313" w:rsidP="00954313">
      <w:pPr>
        <w:spacing w:line="276" w:lineRule="auto"/>
        <w:jc w:val="both"/>
        <w:rPr>
          <w:rFonts w:ascii="Arial" w:hAnsi="Arial" w:cs="Arial"/>
          <w:color w:val="000000" w:themeColor="text1"/>
          <w:sz w:val="22"/>
        </w:rPr>
      </w:pPr>
    </w:p>
    <w:p w14:paraId="32EB25FD" w14:textId="77777777" w:rsidR="00954313" w:rsidRPr="00747B16" w:rsidRDefault="00954313" w:rsidP="00954313">
      <w:pPr>
        <w:pStyle w:val="Prrafodelista"/>
        <w:tabs>
          <w:tab w:val="left" w:pos="284"/>
        </w:tabs>
        <w:spacing w:line="276" w:lineRule="auto"/>
        <w:ind w:left="0"/>
        <w:jc w:val="both"/>
        <w:rPr>
          <w:rFonts w:ascii="Arial" w:eastAsia="Calibri" w:hAnsi="Arial" w:cs="Arial"/>
          <w:color w:val="000000" w:themeColor="text1"/>
          <w:sz w:val="22"/>
          <w:lang w:val="es-ES_tradnl"/>
        </w:rPr>
      </w:pPr>
      <w:r w:rsidRPr="00747B16">
        <w:rPr>
          <w:rFonts w:ascii="Arial" w:eastAsia="Calibri" w:hAnsi="Arial" w:cs="Arial"/>
          <w:b/>
          <w:color w:val="000000" w:themeColor="text1"/>
          <w:sz w:val="22"/>
          <w:lang w:val="es-ES_tradnl"/>
        </w:rPr>
        <w:t>3. Respuestas</w:t>
      </w:r>
    </w:p>
    <w:p w14:paraId="021D180E" w14:textId="77777777" w:rsidR="00954313" w:rsidRPr="00747B16" w:rsidRDefault="00954313" w:rsidP="00954313">
      <w:pPr>
        <w:spacing w:line="276" w:lineRule="auto"/>
        <w:ind w:left="709" w:right="709"/>
        <w:jc w:val="both"/>
        <w:rPr>
          <w:rFonts w:ascii="Arial" w:eastAsia="Calibri" w:hAnsi="Arial" w:cs="Arial"/>
          <w:i/>
          <w:color w:val="000000" w:themeColor="text1"/>
          <w:sz w:val="22"/>
          <w:lang w:val="es-ES_tradnl"/>
        </w:rPr>
      </w:pPr>
    </w:p>
    <w:p w14:paraId="31308CF4" w14:textId="77777777" w:rsidR="00954313" w:rsidRPr="00747B16" w:rsidRDefault="00954313" w:rsidP="00954313">
      <w:pPr>
        <w:spacing w:line="276" w:lineRule="auto"/>
        <w:ind w:left="708" w:right="709"/>
        <w:jc w:val="both"/>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lastRenderedPageBreak/>
        <w:t>i) «¿en una contratación directa es necesario publicar los estudios previos dentro de los tres (3) días siguientes a su aprobación, antes de culminar el proceso de contratación o sea realizar el respectivo contrato?».</w:t>
      </w:r>
    </w:p>
    <w:p w14:paraId="2E9C4B81" w14:textId="77777777" w:rsidR="00954313" w:rsidRPr="00747B16" w:rsidRDefault="00954313" w:rsidP="00954313">
      <w:pPr>
        <w:spacing w:line="276" w:lineRule="auto"/>
        <w:jc w:val="both"/>
        <w:rPr>
          <w:rFonts w:ascii="Arial" w:eastAsia="Calibri" w:hAnsi="Arial" w:cs="Arial"/>
          <w:color w:val="000000" w:themeColor="text1"/>
          <w:sz w:val="22"/>
          <w:lang w:val="es-ES_tradnl"/>
        </w:rPr>
      </w:pPr>
    </w:p>
    <w:p w14:paraId="3D095CB2" w14:textId="77777777" w:rsidR="00954313" w:rsidRPr="00747B16" w:rsidRDefault="00954313" w:rsidP="00954313">
      <w:pPr>
        <w:spacing w:line="276" w:lineRule="auto"/>
        <w:jc w:val="both"/>
        <w:rPr>
          <w:rFonts w:ascii="Arial" w:hAnsi="Arial" w:cs="Arial"/>
          <w:color w:val="000000" w:themeColor="text1"/>
          <w:sz w:val="22"/>
          <w:lang w:val="es-ES"/>
        </w:rPr>
      </w:pPr>
      <w:r w:rsidRPr="00747B16">
        <w:rPr>
          <w:rFonts w:ascii="Arial" w:eastAsia="Calibri" w:hAnsi="Arial" w:cs="Arial"/>
          <w:color w:val="000000" w:themeColor="text1"/>
          <w:sz w:val="22"/>
          <w:lang w:val="es-ES_tradnl"/>
        </w:rPr>
        <w:t xml:space="preserve">Todo depende de la causal de contratación directa, pues, como se vio, si bien la regla general es que sí deben publicar dentro de los tres (3) días siguientes a su expedición, el reglamento establece algunas excepciones, tratándose de: </w:t>
      </w:r>
      <w:r w:rsidRPr="00747B16">
        <w:rPr>
          <w:rFonts w:ascii="Arial" w:hAnsi="Arial" w:cs="Arial"/>
          <w:color w:val="000000" w:themeColor="text1"/>
          <w:sz w:val="22"/>
          <w:lang w:val="es-ES"/>
        </w:rPr>
        <w:t xml:space="preserve">i) la contratación de empréstitos, </w:t>
      </w:r>
      <w:proofErr w:type="spellStart"/>
      <w:r w:rsidRPr="00747B16">
        <w:rPr>
          <w:rFonts w:ascii="Arial" w:hAnsi="Arial" w:cs="Arial"/>
          <w:color w:val="000000" w:themeColor="text1"/>
          <w:sz w:val="22"/>
          <w:lang w:val="es-ES"/>
        </w:rPr>
        <w:t>ii</w:t>
      </w:r>
      <w:proofErr w:type="spellEnd"/>
      <w:r w:rsidRPr="00747B16">
        <w:rPr>
          <w:rFonts w:ascii="Arial" w:hAnsi="Arial" w:cs="Arial"/>
          <w:color w:val="000000" w:themeColor="text1"/>
          <w:sz w:val="22"/>
          <w:lang w:val="es-ES"/>
        </w:rPr>
        <w:t xml:space="preserve">) los contratos interadministrativos que celebre el Ministerio de Hacienda y Crédito Público con el Banco de la República, </w:t>
      </w:r>
      <w:proofErr w:type="spellStart"/>
      <w:r w:rsidRPr="00747B16">
        <w:rPr>
          <w:rFonts w:ascii="Arial" w:hAnsi="Arial" w:cs="Arial"/>
          <w:color w:val="000000" w:themeColor="text1"/>
          <w:sz w:val="22"/>
          <w:lang w:val="es-ES"/>
        </w:rPr>
        <w:t>iii</w:t>
      </w:r>
      <w:proofErr w:type="spellEnd"/>
      <w:r w:rsidRPr="00747B16">
        <w:rPr>
          <w:rFonts w:ascii="Arial" w:hAnsi="Arial" w:cs="Arial"/>
          <w:color w:val="000000" w:themeColor="text1"/>
          <w:sz w:val="22"/>
          <w:lang w:val="es-ES"/>
        </w:rPr>
        <w:t xml:space="preserve">) los contratos de bienes y servicios en el Sector Defensa, la Dirección Nacional de Inteligencia y la Unidad Nacional de Protección que necesiten reserva para su adquisición y </w:t>
      </w:r>
      <w:proofErr w:type="spellStart"/>
      <w:r w:rsidRPr="00747B16">
        <w:rPr>
          <w:rFonts w:ascii="Arial" w:hAnsi="Arial" w:cs="Arial"/>
          <w:color w:val="000000" w:themeColor="text1"/>
          <w:sz w:val="22"/>
          <w:lang w:val="es-ES"/>
        </w:rPr>
        <w:t>iv</w:t>
      </w:r>
      <w:proofErr w:type="spellEnd"/>
      <w:r w:rsidRPr="00747B16">
        <w:rPr>
          <w:rFonts w:ascii="Arial" w:hAnsi="Arial" w:cs="Arial"/>
          <w:color w:val="000000" w:themeColor="text1"/>
          <w:sz w:val="22"/>
          <w:lang w:val="es-ES"/>
        </w:rPr>
        <w:t>) los contratos celebrados por urgencia manifiesta.</w:t>
      </w:r>
    </w:p>
    <w:p w14:paraId="2B35E16C" w14:textId="77777777" w:rsidR="00954313" w:rsidRPr="00E758EE" w:rsidRDefault="00954313" w:rsidP="00954313">
      <w:pPr>
        <w:spacing w:line="276" w:lineRule="auto"/>
        <w:jc w:val="both"/>
        <w:rPr>
          <w:rFonts w:ascii="Arial" w:eastAsia="Calibri" w:hAnsi="Arial" w:cs="Arial"/>
          <w:color w:val="000000" w:themeColor="text1"/>
          <w:sz w:val="16"/>
          <w:szCs w:val="16"/>
          <w:lang w:val="es-ES_tradnl"/>
        </w:rPr>
      </w:pPr>
    </w:p>
    <w:p w14:paraId="4D15AE05" w14:textId="77777777" w:rsidR="00954313" w:rsidRPr="00747B16" w:rsidRDefault="00954313" w:rsidP="00954313">
      <w:pPr>
        <w:spacing w:line="276" w:lineRule="auto"/>
        <w:ind w:left="708" w:right="709"/>
        <w:jc w:val="both"/>
        <w:rPr>
          <w:rFonts w:ascii="Arial" w:eastAsia="Calibri" w:hAnsi="Arial" w:cs="Arial"/>
          <w:color w:val="000000" w:themeColor="text1"/>
          <w:sz w:val="22"/>
          <w:lang w:val="es-ES_tradnl"/>
        </w:rPr>
      </w:pPr>
      <w:proofErr w:type="spellStart"/>
      <w:r w:rsidRPr="00747B16">
        <w:rPr>
          <w:rFonts w:ascii="Arial" w:eastAsia="Calibri" w:hAnsi="Arial" w:cs="Arial"/>
          <w:color w:val="000000" w:themeColor="text1"/>
          <w:sz w:val="22"/>
          <w:lang w:val="es-ES_tradnl"/>
        </w:rPr>
        <w:t>ii</w:t>
      </w:r>
      <w:proofErr w:type="spellEnd"/>
      <w:r w:rsidRPr="00747B16">
        <w:rPr>
          <w:rFonts w:ascii="Arial" w:eastAsia="Calibri" w:hAnsi="Arial" w:cs="Arial"/>
          <w:color w:val="000000" w:themeColor="text1"/>
          <w:sz w:val="22"/>
          <w:lang w:val="es-ES_tradnl"/>
        </w:rPr>
        <w:t>) «¿A lo que hace referencia la norma es que en tratándose de contratación directa, la publicación debe realizarse una vez se haya realizado el contrato, dentro de los tres (3) días siguientes a la firma o legalización del contrato, publicando todos los documentos del proceso contractual?».</w:t>
      </w:r>
    </w:p>
    <w:p w14:paraId="53C1E216" w14:textId="77777777" w:rsidR="00954313" w:rsidRPr="00E758EE" w:rsidRDefault="00954313" w:rsidP="00954313">
      <w:pPr>
        <w:spacing w:line="276" w:lineRule="auto"/>
        <w:ind w:left="708" w:right="709"/>
        <w:jc w:val="both"/>
        <w:rPr>
          <w:rFonts w:ascii="Arial" w:eastAsia="Calibri" w:hAnsi="Arial" w:cs="Arial"/>
          <w:color w:val="000000" w:themeColor="text1"/>
          <w:sz w:val="16"/>
          <w:szCs w:val="16"/>
          <w:lang w:val="es-ES_tradnl"/>
        </w:rPr>
      </w:pPr>
    </w:p>
    <w:p w14:paraId="500B51E3" w14:textId="77777777" w:rsidR="00954313" w:rsidRPr="00747B16" w:rsidRDefault="00954313" w:rsidP="00954313">
      <w:pPr>
        <w:spacing w:line="276" w:lineRule="auto"/>
        <w:jc w:val="both"/>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 xml:space="preserve">El artículo </w:t>
      </w:r>
      <w:r w:rsidRPr="00747B16">
        <w:rPr>
          <w:rFonts w:ascii="Arial" w:hAnsi="Arial" w:cs="Arial"/>
          <w:color w:val="000000" w:themeColor="text1"/>
          <w:sz w:val="22"/>
          <w:lang w:val="es-ES"/>
        </w:rPr>
        <w:t>2.2.1.1.1.7.1. del Decreto 1082 de 2015 es claro al establecer que «La Entidad Estatal está obligada a publicar en el SECOP los Documentos del Proceso y los actos administrativos del Proceso de Contratación, dentro de los tres (3) días siguientes a su expedición». Como antes del contrato se expiden otros documentos del proceso, como el acto administrativo de justificación de la contratación directa o los estudios previos –aunque esto varía según la causal de contratación directa, como se explicó–, dichos documentos se deben publicar dentro del término de los tres (3) días siguientes, sin que la entidad pueda esperar para hacerlo a que se celebre el contrato en un momento posterior a dicho plazo.</w:t>
      </w:r>
    </w:p>
    <w:p w14:paraId="5D5160E2" w14:textId="77777777" w:rsidR="00954313" w:rsidRPr="00E758EE" w:rsidRDefault="00954313" w:rsidP="00954313">
      <w:pPr>
        <w:spacing w:line="276" w:lineRule="auto"/>
        <w:jc w:val="both"/>
        <w:rPr>
          <w:rFonts w:ascii="Arial" w:eastAsia="Calibri" w:hAnsi="Arial" w:cs="Arial"/>
          <w:color w:val="000000" w:themeColor="text1"/>
          <w:sz w:val="16"/>
          <w:szCs w:val="16"/>
          <w:lang w:val="es-ES_tradnl"/>
        </w:rPr>
      </w:pPr>
    </w:p>
    <w:p w14:paraId="15FE9BC4" w14:textId="77777777" w:rsidR="00954313" w:rsidRPr="00747B16" w:rsidRDefault="00954313" w:rsidP="00954313">
      <w:pPr>
        <w:spacing w:line="276" w:lineRule="auto"/>
        <w:jc w:val="both"/>
        <w:rPr>
          <w:rFonts w:ascii="Arial" w:eastAsia="Calibri" w:hAnsi="Arial" w:cs="Arial"/>
          <w:color w:val="000000" w:themeColor="text1"/>
          <w:sz w:val="22"/>
          <w:lang w:val="es-ES_tradnl"/>
        </w:rPr>
      </w:pPr>
      <w:r w:rsidRPr="00747B1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3AA63A0" w14:textId="77777777" w:rsidR="00954313" w:rsidRPr="00E758EE" w:rsidRDefault="00954313" w:rsidP="00954313">
      <w:pPr>
        <w:spacing w:line="276" w:lineRule="auto"/>
        <w:jc w:val="both"/>
        <w:rPr>
          <w:rFonts w:ascii="Arial" w:eastAsia="Calibri" w:hAnsi="Arial" w:cs="Arial"/>
          <w:color w:val="000000" w:themeColor="text1"/>
          <w:sz w:val="16"/>
          <w:szCs w:val="16"/>
          <w:lang w:val="es-ES_tradnl"/>
        </w:rPr>
      </w:pPr>
    </w:p>
    <w:p w14:paraId="1ABCDE86" w14:textId="77777777" w:rsidR="00954313" w:rsidRPr="00747B16" w:rsidRDefault="00954313" w:rsidP="00954313">
      <w:pPr>
        <w:spacing w:line="276" w:lineRule="auto"/>
        <w:jc w:val="both"/>
        <w:rPr>
          <w:rFonts w:ascii="Arial" w:eastAsia="Calibri" w:hAnsi="Arial" w:cs="Arial"/>
          <w:color w:val="000000" w:themeColor="text1"/>
          <w:sz w:val="22"/>
          <w:lang w:val="es-ES_tradnl"/>
        </w:rPr>
      </w:pPr>
      <w:r w:rsidRPr="00747B16">
        <w:rPr>
          <w:noProof/>
          <w:color w:val="000000" w:themeColor="text1"/>
          <w:lang w:eastAsia="es-CO"/>
        </w:rPr>
        <mc:AlternateContent>
          <mc:Choice Requires="wps">
            <w:drawing>
              <wp:anchor distT="0" distB="0" distL="114300" distR="114300" simplePos="0" relativeHeight="251658240" behindDoc="0" locked="0" layoutInCell="1" allowOverlap="1" wp14:anchorId="59DAAA15" wp14:editId="34BBCA4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E4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AB175A6" w14:textId="77777777" w:rsidR="00954313" w:rsidRPr="00747B16" w:rsidRDefault="00954313" w:rsidP="00954313">
      <w:pPr>
        <w:spacing w:line="276" w:lineRule="auto"/>
        <w:rPr>
          <w:rFonts w:ascii="Arial" w:hAnsi="Arial" w:cs="Arial"/>
          <w:color w:val="000000" w:themeColor="text1"/>
          <w:sz w:val="22"/>
          <w:lang w:val="es-ES_tradnl" w:eastAsia="es-CO"/>
        </w:rPr>
      </w:pPr>
      <w:r w:rsidRPr="00747B16">
        <w:rPr>
          <w:rFonts w:ascii="Arial" w:hAnsi="Arial" w:cs="Arial"/>
          <w:color w:val="000000" w:themeColor="text1"/>
          <w:sz w:val="22"/>
          <w:lang w:val="es-ES_tradnl" w:eastAsia="es-CO"/>
        </w:rPr>
        <w:t>Atentamente,</w:t>
      </w:r>
    </w:p>
    <w:p w14:paraId="64FB3945" w14:textId="501EDD42" w:rsidR="00954313" w:rsidRPr="00747B16" w:rsidRDefault="00E758EE" w:rsidP="00954313">
      <w:pPr>
        <w:spacing w:line="276" w:lineRule="auto"/>
        <w:jc w:val="center"/>
        <w:rPr>
          <w:rFonts w:ascii="Arial" w:hAnsi="Arial" w:cs="Arial"/>
          <w:color w:val="000000" w:themeColor="text1"/>
          <w:sz w:val="18"/>
          <w:szCs w:val="20"/>
          <w:lang w:val="es-ES_tradnl" w:eastAsia="es-CO"/>
        </w:rPr>
      </w:pPr>
      <w:r>
        <w:rPr>
          <w:noProof/>
        </w:rPr>
        <w:drawing>
          <wp:inline distT="0" distB="0" distL="0" distR="0" wp14:anchorId="4B1B1C3F" wp14:editId="11119796">
            <wp:extent cx="2773045" cy="988695"/>
            <wp:effectExtent l="0" t="0" r="0" b="0"/>
            <wp:docPr id="197405275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47B16" w:rsidRPr="00747B16" w14:paraId="3E557641" w14:textId="77777777" w:rsidTr="00C60A71">
        <w:trPr>
          <w:trHeight w:val="315"/>
        </w:trPr>
        <w:tc>
          <w:tcPr>
            <w:tcW w:w="812" w:type="dxa"/>
            <w:vAlign w:val="center"/>
            <w:hideMark/>
          </w:tcPr>
          <w:p w14:paraId="14D0EF59"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E7AF6A9"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Cristian Andrés Díaz Díez</w:t>
            </w:r>
          </w:p>
        </w:tc>
      </w:tr>
      <w:tr w:rsidR="00747B16" w:rsidRPr="00747B16" w14:paraId="54C76F3C" w14:textId="77777777" w:rsidTr="00C60A71">
        <w:trPr>
          <w:trHeight w:val="330"/>
        </w:trPr>
        <w:tc>
          <w:tcPr>
            <w:tcW w:w="812" w:type="dxa"/>
            <w:vAlign w:val="center"/>
            <w:hideMark/>
          </w:tcPr>
          <w:p w14:paraId="6FA672AD"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8A5999"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Fabián Gonzalo Marín Cortés</w:t>
            </w:r>
          </w:p>
          <w:p w14:paraId="599C1B12"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Subdirector de Gestión Contractual</w:t>
            </w:r>
          </w:p>
        </w:tc>
      </w:tr>
      <w:tr w:rsidR="00954313" w:rsidRPr="00747B16" w14:paraId="1DF8F7AE" w14:textId="77777777" w:rsidTr="00C60A71">
        <w:trPr>
          <w:trHeight w:val="300"/>
        </w:trPr>
        <w:tc>
          <w:tcPr>
            <w:tcW w:w="812" w:type="dxa"/>
            <w:vAlign w:val="center"/>
            <w:hideMark/>
          </w:tcPr>
          <w:p w14:paraId="020327A5"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14860F"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Fabián Gonzalo Marín Cortés</w:t>
            </w:r>
          </w:p>
          <w:p w14:paraId="0467D23C" w14:textId="77777777" w:rsidR="00954313" w:rsidRPr="00747B16" w:rsidRDefault="00954313" w:rsidP="00C60A71">
            <w:pPr>
              <w:spacing w:line="276" w:lineRule="auto"/>
              <w:rPr>
                <w:rFonts w:ascii="Arial" w:hAnsi="Arial" w:cs="Arial"/>
                <w:color w:val="000000" w:themeColor="text1"/>
                <w:sz w:val="16"/>
                <w:szCs w:val="16"/>
                <w:lang w:val="es-ES_tradnl" w:eastAsia="es-ES"/>
              </w:rPr>
            </w:pPr>
            <w:r w:rsidRPr="00747B16">
              <w:rPr>
                <w:rFonts w:ascii="Arial" w:hAnsi="Arial" w:cs="Arial"/>
                <w:color w:val="000000" w:themeColor="text1"/>
                <w:sz w:val="16"/>
                <w:szCs w:val="16"/>
                <w:lang w:val="es-ES_tradnl" w:eastAsia="es-ES"/>
              </w:rPr>
              <w:t>Subdirector de Gestión Contractual</w:t>
            </w:r>
          </w:p>
        </w:tc>
      </w:tr>
      <w:bookmarkEnd w:id="2"/>
    </w:tbl>
    <w:p w14:paraId="7EBF297E" w14:textId="77777777" w:rsidR="007B0854" w:rsidRPr="00747B16" w:rsidRDefault="007B0854" w:rsidP="00954313">
      <w:pPr>
        <w:rPr>
          <w:color w:val="000000" w:themeColor="text1"/>
          <w:lang w:val="es-ES_tradnl"/>
        </w:rPr>
      </w:pPr>
    </w:p>
    <w:sectPr w:rsidR="007B0854" w:rsidRPr="00747B1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5445" w14:textId="77777777" w:rsidR="006D7D75" w:rsidRDefault="006D7D75">
      <w:r>
        <w:separator/>
      </w:r>
    </w:p>
  </w:endnote>
  <w:endnote w:type="continuationSeparator" w:id="0">
    <w:p w14:paraId="79320058" w14:textId="77777777" w:rsidR="006D7D75" w:rsidRDefault="006D7D75">
      <w:r>
        <w:continuationSeparator/>
      </w:r>
    </w:p>
  </w:endnote>
  <w:endnote w:type="continuationNotice" w:id="1">
    <w:p w14:paraId="6A772874" w14:textId="77777777" w:rsidR="006D7D75" w:rsidRDefault="006D7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3588C888"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D427EB">
      <w:rPr>
        <w:rFonts w:ascii="Arial" w:hAnsi="Arial" w:cs="Arial"/>
        <w:noProof/>
        <w:sz w:val="18"/>
        <w:szCs w:val="18"/>
      </w:rPr>
      <w:t>2</w:t>
    </w:r>
    <w:r w:rsidRPr="00D04413">
      <w:rPr>
        <w:rFonts w:ascii="Arial" w:hAnsi="Arial" w:cs="Arial"/>
        <w:sz w:val="18"/>
        <w:szCs w:val="18"/>
      </w:rPr>
      <w:fldChar w:fldCharType="end"/>
    </w:r>
  </w:p>
  <w:p w14:paraId="48FC6A04" w14:textId="0E0B8C38" w:rsidR="009047C5" w:rsidRDefault="798A939A" w:rsidP="007B0854">
    <w:pPr>
      <w:pStyle w:val="Piedepgina"/>
      <w:jc w:val="center"/>
      <w:rPr>
        <w:lang w:val="es-ES"/>
      </w:rPr>
    </w:pPr>
    <w:r>
      <w:rPr>
        <w:noProof/>
      </w:rPr>
      <w:drawing>
        <wp:inline distT="0" distB="0" distL="0" distR="0" wp14:anchorId="608B196D" wp14:editId="72767477">
          <wp:extent cx="4241994" cy="595165"/>
          <wp:effectExtent l="0" t="0" r="6350" b="0"/>
          <wp:docPr id="633665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7C7D" w14:textId="77777777" w:rsidR="006D7D75" w:rsidRDefault="006D7D75">
      <w:r>
        <w:separator/>
      </w:r>
    </w:p>
  </w:footnote>
  <w:footnote w:type="continuationSeparator" w:id="0">
    <w:p w14:paraId="1683D982" w14:textId="77777777" w:rsidR="006D7D75" w:rsidRDefault="006D7D75">
      <w:r>
        <w:continuationSeparator/>
      </w:r>
    </w:p>
  </w:footnote>
  <w:footnote w:type="continuationNotice" w:id="1">
    <w:p w14:paraId="2C497551" w14:textId="77777777" w:rsidR="006D7D75" w:rsidRDefault="006D7D75"/>
  </w:footnote>
  <w:footnote w:id="2">
    <w:p w14:paraId="2812BADF"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Corte Constitucional. Sentencia C-341 del 4 de junio de 2014. M.P. Mauricio González Cuervo.</w:t>
      </w:r>
    </w:p>
    <w:p w14:paraId="7197CF35"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3">
    <w:p w14:paraId="67F5080E"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E42FF31"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rPr>
        <w:t>»Lo anterior, sin perjuicio de las publicaciones previstas en el numeral 3 del artículo 30 de la Ley 80 de 1993.</w:t>
      </w:r>
    </w:p>
    <w:p w14:paraId="2B44C92D"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8E69D0A"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rPr>
        <w:t>[…]</w:t>
      </w:r>
    </w:p>
    <w:p w14:paraId="12234C5F"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F3593C7"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4">
    <w:p w14:paraId="75732D21"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E97444C"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5">
    <w:p w14:paraId="6C23F471"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A659547"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661C92F1"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6">
    <w:p w14:paraId="713E12B2"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Fonts w:ascii="Arial" w:hAnsi="Arial" w:cs="Arial"/>
          <w:color w:val="000000" w:themeColor="text1"/>
          <w:sz w:val="19"/>
          <w:szCs w:val="19"/>
          <w:vertAlign w:val="superscript"/>
          <w:lang w:val="es-ES" w:eastAsia="es-ES"/>
        </w:rPr>
        <w:footnoteRef/>
      </w:r>
      <w:r w:rsidRPr="00747B16">
        <w:rPr>
          <w:rFonts w:ascii="Arial" w:hAnsi="Arial" w:cs="Arial"/>
          <w:color w:val="000000" w:themeColor="text1"/>
          <w:sz w:val="19"/>
          <w:szCs w:val="19"/>
          <w:vertAlign w:val="superscript"/>
          <w:lang w:val="es-ES" w:eastAsia="es-ES"/>
        </w:rPr>
        <w:t xml:space="preserve"> </w:t>
      </w:r>
      <w:r w:rsidRPr="00747B16">
        <w:rPr>
          <w:rFonts w:ascii="Arial" w:hAnsi="Arial" w:cs="Arial"/>
          <w:color w:val="000000" w:themeColor="text1"/>
          <w:sz w:val="19"/>
          <w:szCs w:val="19"/>
          <w:lang w:val="es-ES" w:eastAsia="es-ES"/>
        </w:rPr>
        <w:t>«</w:t>
      </w:r>
      <w:r w:rsidRPr="00747B1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602D1F" w14:textId="77777777" w:rsidR="00954313" w:rsidRPr="00747B16" w:rsidRDefault="00954313" w:rsidP="00954313">
      <w:pPr>
        <w:pStyle w:val="Textonotapie"/>
        <w:ind w:firstLine="709"/>
        <w:jc w:val="both"/>
        <w:rPr>
          <w:rFonts w:ascii="Arial" w:hAnsi="Arial" w:cs="Arial"/>
          <w:color w:val="000000" w:themeColor="text1"/>
          <w:sz w:val="19"/>
          <w:szCs w:val="19"/>
          <w:lang w:val="es-ES" w:eastAsia="es-ES"/>
        </w:rPr>
      </w:pPr>
      <w:r w:rsidRPr="00747B16">
        <w:rPr>
          <w:rFonts w:ascii="Arial" w:hAnsi="Arial" w:cs="Arial"/>
          <w:color w:val="000000" w:themeColor="text1"/>
          <w:sz w:val="19"/>
          <w:szCs w:val="19"/>
        </w:rPr>
        <w:t>[…].</w:t>
      </w:r>
    </w:p>
    <w:p w14:paraId="05B00536" w14:textId="77777777" w:rsidR="00954313" w:rsidRPr="00747B16" w:rsidRDefault="00954313" w:rsidP="00954313">
      <w:pPr>
        <w:pStyle w:val="Textonotapie"/>
        <w:ind w:firstLine="709"/>
        <w:jc w:val="both"/>
        <w:rPr>
          <w:rFonts w:ascii="Arial" w:hAnsi="Arial" w:cs="Arial"/>
          <w:color w:val="000000" w:themeColor="text1"/>
          <w:sz w:val="19"/>
          <w:szCs w:val="19"/>
          <w:lang w:val="es-ES" w:eastAsia="es-ES"/>
        </w:rPr>
      </w:pPr>
      <w:r w:rsidRPr="00747B1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CC4A156" w14:textId="77777777" w:rsidR="00954313" w:rsidRPr="00747B16" w:rsidRDefault="00954313" w:rsidP="00954313">
      <w:pPr>
        <w:pStyle w:val="Textonotapie"/>
        <w:ind w:firstLine="709"/>
        <w:jc w:val="both"/>
        <w:rPr>
          <w:rFonts w:ascii="Arial" w:hAnsi="Arial" w:cs="Arial"/>
          <w:color w:val="000000" w:themeColor="text1"/>
          <w:sz w:val="19"/>
          <w:szCs w:val="19"/>
          <w:lang w:val="es-ES" w:eastAsia="es-ES"/>
        </w:rPr>
      </w:pPr>
    </w:p>
  </w:footnote>
  <w:footnote w:id="7">
    <w:p w14:paraId="2E6E4D57"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C</w:t>
      </w:r>
      <w:r w:rsidRPr="00747B16">
        <w:rPr>
          <w:rFonts w:ascii="Arial" w:hAnsi="Arial" w:cs="Arial"/>
          <w:color w:val="000000" w:themeColor="text1"/>
          <w:sz w:val="19"/>
          <w:szCs w:val="19"/>
          <w:lang w:val="es-ES" w:eastAsia="es-ES"/>
        </w:rPr>
        <w:t xml:space="preserve">orte Constitucional. Sentencia C-274 de 9 de mayo de 2013. M.P. María Victoria Calle Correa. </w:t>
      </w:r>
    </w:p>
    <w:p w14:paraId="5899C810"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8">
    <w:p w14:paraId="1E9CF644"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06A04A20"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9">
    <w:p w14:paraId="4E4862AC" w14:textId="77777777" w:rsidR="00954313" w:rsidRPr="00747B16" w:rsidRDefault="00954313" w:rsidP="00954313">
      <w:pPr>
        <w:pStyle w:val="Textonotapie"/>
        <w:ind w:firstLine="709"/>
        <w:jc w:val="both"/>
        <w:rPr>
          <w:rFonts w:ascii="Arial" w:hAnsi="Arial" w:cs="Arial"/>
          <w:color w:val="000000" w:themeColor="text1"/>
          <w:sz w:val="19"/>
          <w:szCs w:val="19"/>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Consejo de Estado. Sección Tercera. Subsección C. Auto del 14 de agosto de 2017. Exp. 58.820. C.P. Jaime Orlando Santofimio Gamboa. </w:t>
      </w:r>
    </w:p>
    <w:p w14:paraId="49FE5167"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10">
    <w:p w14:paraId="3C85ABFE" w14:textId="77777777" w:rsidR="00954313" w:rsidRPr="00747B16" w:rsidRDefault="00954313" w:rsidP="00954313">
      <w:pPr>
        <w:pStyle w:val="Textonotapie"/>
        <w:ind w:firstLine="709"/>
        <w:jc w:val="both"/>
        <w:rPr>
          <w:rFonts w:ascii="Arial" w:hAnsi="Arial" w:cs="Arial"/>
          <w:color w:val="000000" w:themeColor="text1"/>
          <w:sz w:val="19"/>
          <w:szCs w:val="19"/>
          <w:lang w:val="es-ES"/>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w:t>
      </w:r>
      <w:r w:rsidRPr="00747B16">
        <w:rPr>
          <w:rFonts w:ascii="Arial" w:hAnsi="Arial" w:cs="Arial"/>
          <w:color w:val="000000" w:themeColor="text1"/>
          <w:sz w:val="19"/>
          <w:szCs w:val="19"/>
          <w:lang w:val="es-ES"/>
        </w:rPr>
        <w:t>Es decir, Contratación de Bienes y Servicios en el Sector Defensa, la Dirección Nacional de Inteligencia y la Unidad Nacional de Protección que necesiten reserva para su adquisición</w:t>
      </w:r>
    </w:p>
    <w:p w14:paraId="6F24055D"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 w:id="11">
    <w:p w14:paraId="53EEB5AC" w14:textId="77777777" w:rsidR="00954313" w:rsidRPr="00747B16" w:rsidRDefault="00954313" w:rsidP="00954313">
      <w:pPr>
        <w:pStyle w:val="Textonotapie"/>
        <w:ind w:firstLine="709"/>
        <w:jc w:val="both"/>
        <w:rPr>
          <w:rFonts w:ascii="Arial" w:hAnsi="Arial" w:cs="Arial"/>
          <w:color w:val="000000" w:themeColor="text1"/>
          <w:sz w:val="19"/>
          <w:szCs w:val="19"/>
          <w:lang w:val="es-ES"/>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w:t>
      </w:r>
      <w:r w:rsidRPr="00747B16">
        <w:rPr>
          <w:rFonts w:ascii="Arial" w:hAnsi="Arial" w:cs="Arial"/>
          <w:color w:val="000000" w:themeColor="text1"/>
          <w:sz w:val="19"/>
          <w:szCs w:val="19"/>
          <w:lang w:val="es-ES"/>
        </w:rPr>
        <w:t>Artículo 2.2.1.2.1.4.1. del Decreto 1082 de 2015.</w:t>
      </w:r>
    </w:p>
    <w:p w14:paraId="07BC6F1D" w14:textId="77777777" w:rsidR="00954313" w:rsidRPr="00747B16" w:rsidRDefault="00954313" w:rsidP="00954313">
      <w:pPr>
        <w:pStyle w:val="Textonotapie"/>
        <w:ind w:firstLine="709"/>
        <w:jc w:val="both"/>
        <w:rPr>
          <w:rFonts w:ascii="Arial" w:hAnsi="Arial" w:cs="Arial"/>
          <w:color w:val="000000" w:themeColor="text1"/>
          <w:sz w:val="19"/>
          <w:szCs w:val="19"/>
          <w:lang w:val="es-ES"/>
        </w:rPr>
      </w:pPr>
    </w:p>
  </w:footnote>
  <w:footnote w:id="12">
    <w:p w14:paraId="62FF6707" w14:textId="77777777" w:rsidR="00954313" w:rsidRPr="00747B16" w:rsidRDefault="00954313" w:rsidP="00954313">
      <w:pPr>
        <w:ind w:firstLine="709"/>
        <w:jc w:val="both"/>
        <w:rPr>
          <w:rFonts w:ascii="Arial" w:hAnsi="Arial" w:cs="Arial"/>
          <w:color w:val="000000" w:themeColor="text1"/>
          <w:sz w:val="19"/>
          <w:szCs w:val="19"/>
          <w:lang w:val="es-ES"/>
        </w:rPr>
      </w:pPr>
      <w:r w:rsidRPr="00747B16">
        <w:rPr>
          <w:rStyle w:val="Refdenotaalpie"/>
          <w:rFonts w:ascii="Arial" w:hAnsi="Arial" w:cs="Arial"/>
          <w:color w:val="000000" w:themeColor="text1"/>
          <w:sz w:val="19"/>
          <w:szCs w:val="19"/>
        </w:rPr>
        <w:footnoteRef/>
      </w:r>
      <w:r w:rsidRPr="00747B16">
        <w:rPr>
          <w:rFonts w:ascii="Arial" w:hAnsi="Arial" w:cs="Arial"/>
          <w:color w:val="000000" w:themeColor="text1"/>
          <w:sz w:val="19"/>
          <w:szCs w:val="19"/>
        </w:rPr>
        <w:t xml:space="preserve"> </w:t>
      </w:r>
      <w:r w:rsidRPr="00747B16">
        <w:rPr>
          <w:rFonts w:ascii="Arial" w:hAnsi="Arial" w:cs="Arial"/>
          <w:color w:val="000000" w:themeColor="text1"/>
          <w:sz w:val="19"/>
          <w:szCs w:val="19"/>
          <w:lang w:val="es-ES"/>
        </w:rPr>
        <w:t>«Artículo 2.2.1.2.1.4.2. Declaración de urgencia manifiesta. Si la causal de contratación directa es la urgencia manifiesta, el acto administrativo que la declare hará las veces del acto ad­ministrativo de justificación, y en este caso la Entidad Estatal no está obligada a elaborar estudios y documentos previos» (Decreto 1082 de 2015).</w:t>
      </w:r>
    </w:p>
    <w:p w14:paraId="7B2059EC" w14:textId="77777777" w:rsidR="00954313" w:rsidRPr="00747B16" w:rsidRDefault="00954313" w:rsidP="00954313">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1C2468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7192D"/>
    <w:rsid w:val="00091E89"/>
    <w:rsid w:val="000942EB"/>
    <w:rsid w:val="000B103F"/>
    <w:rsid w:val="000C2912"/>
    <w:rsid w:val="000F14E8"/>
    <w:rsid w:val="00103915"/>
    <w:rsid w:val="00122B23"/>
    <w:rsid w:val="00137FFA"/>
    <w:rsid w:val="001A5DC0"/>
    <w:rsid w:val="00234B84"/>
    <w:rsid w:val="002A6CB1"/>
    <w:rsid w:val="003033BA"/>
    <w:rsid w:val="00343A30"/>
    <w:rsid w:val="0034680A"/>
    <w:rsid w:val="00386456"/>
    <w:rsid w:val="003A581E"/>
    <w:rsid w:val="004172A0"/>
    <w:rsid w:val="00423DD2"/>
    <w:rsid w:val="004422D6"/>
    <w:rsid w:val="0045655C"/>
    <w:rsid w:val="004A34D2"/>
    <w:rsid w:val="0050776A"/>
    <w:rsid w:val="0051074C"/>
    <w:rsid w:val="00513AF2"/>
    <w:rsid w:val="0054413A"/>
    <w:rsid w:val="005564CA"/>
    <w:rsid w:val="00655371"/>
    <w:rsid w:val="006833DF"/>
    <w:rsid w:val="00697665"/>
    <w:rsid w:val="006A7FD0"/>
    <w:rsid w:val="006D7687"/>
    <w:rsid w:val="006D7D75"/>
    <w:rsid w:val="006E0572"/>
    <w:rsid w:val="00705631"/>
    <w:rsid w:val="00732F1B"/>
    <w:rsid w:val="00742DD2"/>
    <w:rsid w:val="00747B16"/>
    <w:rsid w:val="0075647A"/>
    <w:rsid w:val="007634AD"/>
    <w:rsid w:val="0078122E"/>
    <w:rsid w:val="007B0854"/>
    <w:rsid w:val="007F72CB"/>
    <w:rsid w:val="0083119B"/>
    <w:rsid w:val="00836EAB"/>
    <w:rsid w:val="0085092D"/>
    <w:rsid w:val="008C08A2"/>
    <w:rsid w:val="008E1C15"/>
    <w:rsid w:val="00903686"/>
    <w:rsid w:val="009047C5"/>
    <w:rsid w:val="0095385A"/>
    <w:rsid w:val="00954313"/>
    <w:rsid w:val="009874F6"/>
    <w:rsid w:val="009E34DD"/>
    <w:rsid w:val="00A112A0"/>
    <w:rsid w:val="00A24560"/>
    <w:rsid w:val="00A34538"/>
    <w:rsid w:val="00AA442B"/>
    <w:rsid w:val="00B053F2"/>
    <w:rsid w:val="00B22E22"/>
    <w:rsid w:val="00B525CB"/>
    <w:rsid w:val="00B61F92"/>
    <w:rsid w:val="00B63CB2"/>
    <w:rsid w:val="00B86482"/>
    <w:rsid w:val="00BD78FE"/>
    <w:rsid w:val="00C60A71"/>
    <w:rsid w:val="00C73BCA"/>
    <w:rsid w:val="00CC00CD"/>
    <w:rsid w:val="00D00F2C"/>
    <w:rsid w:val="00D16E39"/>
    <w:rsid w:val="00D427EB"/>
    <w:rsid w:val="00D72E9D"/>
    <w:rsid w:val="00D82CE5"/>
    <w:rsid w:val="00DA5AB1"/>
    <w:rsid w:val="00DC62E5"/>
    <w:rsid w:val="00DD735D"/>
    <w:rsid w:val="00DE3119"/>
    <w:rsid w:val="00DF236B"/>
    <w:rsid w:val="00E13AB8"/>
    <w:rsid w:val="00E33B62"/>
    <w:rsid w:val="00E758EE"/>
    <w:rsid w:val="00E93E63"/>
    <w:rsid w:val="00E96436"/>
    <w:rsid w:val="00F77852"/>
    <w:rsid w:val="00F84899"/>
    <w:rsid w:val="00F859F0"/>
    <w:rsid w:val="00FE141E"/>
    <w:rsid w:val="1BBEDC1C"/>
    <w:rsid w:val="1CBDCB5F"/>
    <w:rsid w:val="2588EB18"/>
    <w:rsid w:val="64671FB5"/>
    <w:rsid w:val="798A939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7B39CD1C-F630-4334-BE0C-00461D69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954313"/>
    <w:rPr>
      <w:rFonts w:ascii="Times New Roman" w:eastAsia="Times New Roman" w:hAnsi="Times New Roman" w:cs="Times New Roman"/>
      <w:sz w:val="24"/>
      <w:szCs w:val="24"/>
      <w:lang w:eastAsia="es-CO"/>
    </w:rPr>
  </w:style>
  <w:style w:type="paragraph" w:customStyle="1" w:styleId="Default">
    <w:name w:val="Default"/>
    <w:rsid w:val="005077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85A6-D25E-43AE-B4DB-9AB3D40D8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9D4D2-2611-472C-93C9-E55457BB57C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F6432AB-A36F-4EF1-B0C5-91148B0F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3017</Words>
  <Characters>16596</Characters>
  <Application>Microsoft Office Word</Application>
  <DocSecurity>0</DocSecurity>
  <Lines>138</Lines>
  <Paragraphs>39</Paragraphs>
  <ScaleCrop>false</ScaleCrop>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cp:revision>
  <dcterms:created xsi:type="dcterms:W3CDTF">2020-08-20T20:50:00Z</dcterms:created>
  <dcterms:modified xsi:type="dcterms:W3CDTF">2020-08-20T20:50:00Z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