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C95B8" w14:textId="77777777" w:rsidR="00C350E5" w:rsidRPr="00C93F82" w:rsidRDefault="00C350E5" w:rsidP="00C93F82">
      <w:pPr>
        <w:pStyle w:val="Textoindependiente"/>
        <w:rPr>
          <w:rFonts w:ascii="Times New Roman"/>
          <w:sz w:val="20"/>
        </w:rPr>
      </w:pPr>
    </w:p>
    <w:p w14:paraId="7BE51594" w14:textId="11EF9A2B" w:rsidR="00750191" w:rsidRPr="00C93F82" w:rsidRDefault="00750191" w:rsidP="259ABB06">
      <w:pPr>
        <w:ind w:left="300"/>
        <w:jc w:val="both"/>
        <w:rPr>
          <w:b/>
          <w:bCs/>
        </w:rPr>
      </w:pPr>
      <w:r w:rsidRPr="259ABB06">
        <w:rPr>
          <w:b/>
          <w:bCs/>
        </w:rPr>
        <w:t xml:space="preserve">SUBSANABILIDAD – Modificaciones </w:t>
      </w:r>
      <w:r w:rsidR="7A314F21" w:rsidRPr="259ABB06">
        <w:rPr>
          <w:b/>
          <w:bCs/>
        </w:rPr>
        <w:t xml:space="preserve">– </w:t>
      </w:r>
      <w:r w:rsidRPr="259ABB06">
        <w:rPr>
          <w:b/>
          <w:bCs/>
        </w:rPr>
        <w:t>Ley 1882 de 2018</w:t>
      </w:r>
    </w:p>
    <w:p w14:paraId="1E79DBA2" w14:textId="77777777" w:rsidR="00750191" w:rsidRPr="00C93F82" w:rsidRDefault="00750191" w:rsidP="00C93F82">
      <w:pPr>
        <w:jc w:val="both"/>
      </w:pPr>
    </w:p>
    <w:p w14:paraId="43EB9BE9" w14:textId="77777777" w:rsidR="00750191" w:rsidRPr="00C93F82" w:rsidRDefault="00750191" w:rsidP="00C93F82">
      <w:pPr>
        <w:ind w:left="300"/>
        <w:jc w:val="both"/>
        <w:rPr>
          <w:sz w:val="20"/>
          <w:szCs w:val="20"/>
        </w:rPr>
      </w:pPr>
      <w:r w:rsidRPr="00C93F82">
        <w:rPr>
          <w:sz w:val="20"/>
          <w:szCs w:val="20"/>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p>
    <w:p w14:paraId="40C90D1D" w14:textId="77777777" w:rsidR="00750191" w:rsidRPr="00C93F82" w:rsidRDefault="00750191" w:rsidP="00C93F82">
      <w:pPr>
        <w:jc w:val="both"/>
      </w:pPr>
    </w:p>
    <w:p w14:paraId="7C08F8B5" w14:textId="77777777" w:rsidR="00750191" w:rsidRPr="00C93F82" w:rsidRDefault="00750191" w:rsidP="00C93F82">
      <w:pPr>
        <w:ind w:left="300"/>
        <w:jc w:val="both"/>
        <w:rPr>
          <w:b/>
          <w:bCs/>
        </w:rPr>
      </w:pPr>
      <w:r w:rsidRPr="00C93F82">
        <w:rPr>
          <w:b/>
          <w:bCs/>
        </w:rPr>
        <w:t>SUBSANABILIDAD – Ley 1882 de 2018 – Límite temporal</w:t>
      </w:r>
    </w:p>
    <w:p w14:paraId="7F3A3C86" w14:textId="77777777" w:rsidR="00750191" w:rsidRPr="00C93F82" w:rsidRDefault="00750191" w:rsidP="00C93F82">
      <w:pPr>
        <w:jc w:val="both"/>
      </w:pPr>
    </w:p>
    <w:p w14:paraId="7830DBC9" w14:textId="77777777" w:rsidR="00750191" w:rsidRPr="00C93F82" w:rsidRDefault="00750191" w:rsidP="00C93F82">
      <w:pPr>
        <w:ind w:left="300"/>
        <w:jc w:val="both"/>
        <w:rPr>
          <w:sz w:val="20"/>
          <w:szCs w:val="20"/>
        </w:rPr>
      </w:pPr>
      <w:r w:rsidRPr="00C93F82">
        <w:rPr>
          <w:sz w:val="20"/>
          <w:szCs w:val="20"/>
        </w:rPr>
        <w:t>La norma fijó un límite final para que la Administración y los oferentes subsanen los requisitos o documentos que puedan y deban ser subsanados, pero nada impide, y la norma no lo hace, que la Administración requiera al proponente antes de publicar el informe de evaluación.</w:t>
      </w:r>
    </w:p>
    <w:p w14:paraId="056C98A5" w14:textId="77777777" w:rsidR="00750191" w:rsidRPr="00C93F82" w:rsidRDefault="00750191" w:rsidP="00C93F82">
      <w:pPr>
        <w:jc w:val="both"/>
      </w:pPr>
    </w:p>
    <w:p w14:paraId="3228B7B3" w14:textId="77777777" w:rsidR="00750191" w:rsidRPr="00C93F82" w:rsidRDefault="00750191" w:rsidP="00C93F82">
      <w:pPr>
        <w:ind w:left="300"/>
        <w:jc w:val="both"/>
        <w:rPr>
          <w:b/>
          <w:bCs/>
        </w:rPr>
      </w:pPr>
      <w:r w:rsidRPr="00C93F82">
        <w:rPr>
          <w:b/>
          <w:bCs/>
        </w:rPr>
        <w:t xml:space="preserve">SUBSANABILIDAD – Ley 1882 de 2018 – Criterio material </w:t>
      </w:r>
    </w:p>
    <w:p w14:paraId="5F1C2BFC" w14:textId="77777777" w:rsidR="00750191" w:rsidRPr="00C93F82" w:rsidRDefault="00750191" w:rsidP="00C93F82">
      <w:pPr>
        <w:jc w:val="both"/>
        <w:rPr>
          <w:sz w:val="21"/>
          <w:szCs w:val="21"/>
        </w:rPr>
      </w:pPr>
    </w:p>
    <w:p w14:paraId="56D05A35" w14:textId="77777777" w:rsidR="00750191" w:rsidRPr="00C93F82" w:rsidRDefault="00750191" w:rsidP="00C93F82">
      <w:pPr>
        <w:ind w:left="300"/>
        <w:jc w:val="both"/>
        <w:rPr>
          <w:sz w:val="20"/>
          <w:szCs w:val="20"/>
        </w:rPr>
      </w:pPr>
      <w:r w:rsidRPr="00C93F82">
        <w:rPr>
          <w:sz w:val="20"/>
          <w:szCs w:val="20"/>
        </w:rPr>
        <w:t>El segundo cambio importante de la Ley 1882 de 2018 fue la introducción de un criterio material, directamente relacionado con los aspectos subsanables: «los proponentes no podrán acreditar circunstancias ocurridas con posterioridad al cierre del proceso». Lo anterior nos ofrece dos aspectos que merecen clarificación; primero, qué debe entenderse por circunstancias ocurridas con posterioridad; y segundo, qué es el cierre del proceso.</w:t>
      </w:r>
    </w:p>
    <w:p w14:paraId="1221802B" w14:textId="77777777" w:rsidR="00750191" w:rsidRPr="00C93F82" w:rsidRDefault="00750191" w:rsidP="00C93F82">
      <w:pPr>
        <w:jc w:val="both"/>
      </w:pPr>
    </w:p>
    <w:p w14:paraId="2A3EAE17" w14:textId="53CDAC0D" w:rsidR="00750191" w:rsidRPr="00C93F82" w:rsidRDefault="00750191" w:rsidP="259ABB06">
      <w:pPr>
        <w:ind w:left="300"/>
        <w:jc w:val="both"/>
        <w:rPr>
          <w:b/>
          <w:bCs/>
        </w:rPr>
      </w:pPr>
      <w:r w:rsidRPr="259ABB06">
        <w:rPr>
          <w:b/>
          <w:bCs/>
        </w:rPr>
        <w:t>SUBSANABILIDAD – Circunstancias  posteri</w:t>
      </w:r>
      <w:r w:rsidR="3AB1FF4D" w:rsidRPr="259ABB06">
        <w:rPr>
          <w:b/>
          <w:bCs/>
        </w:rPr>
        <w:t>ores – Cierre del proceso</w:t>
      </w:r>
      <w:r w:rsidRPr="259ABB06">
        <w:rPr>
          <w:b/>
          <w:bCs/>
        </w:rPr>
        <w:t xml:space="preserve"> </w:t>
      </w:r>
    </w:p>
    <w:p w14:paraId="41A9723C" w14:textId="77777777" w:rsidR="00750191" w:rsidRPr="00C93F82" w:rsidRDefault="00750191" w:rsidP="00C93F82">
      <w:pPr>
        <w:jc w:val="both"/>
        <w:rPr>
          <w:b/>
          <w:bCs/>
        </w:rPr>
      </w:pPr>
    </w:p>
    <w:p w14:paraId="1C904563" w14:textId="77777777" w:rsidR="00750191" w:rsidRPr="00C93F82" w:rsidRDefault="00750191" w:rsidP="00C93F82">
      <w:pPr>
        <w:ind w:left="300"/>
        <w:jc w:val="both"/>
        <w:rPr>
          <w:sz w:val="20"/>
          <w:szCs w:val="20"/>
        </w:rPr>
      </w:pPr>
      <w:r w:rsidRPr="00C93F82">
        <w:rPr>
          <w:sz w:val="20"/>
          <w:szCs w:val="20"/>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14:paraId="65C2956B" w14:textId="77777777" w:rsidR="00750191" w:rsidRPr="00C93F82" w:rsidRDefault="00750191" w:rsidP="00C93F82">
      <w:pPr>
        <w:ind w:left="300"/>
        <w:jc w:val="both"/>
        <w:rPr>
          <w:sz w:val="20"/>
          <w:szCs w:val="20"/>
        </w:rPr>
      </w:pPr>
    </w:p>
    <w:p w14:paraId="74EB1B62" w14:textId="1B06D413" w:rsidR="00750191" w:rsidRPr="00C93F82" w:rsidRDefault="00750191" w:rsidP="259ABB06">
      <w:pPr>
        <w:ind w:left="300"/>
        <w:jc w:val="both"/>
        <w:rPr>
          <w:b/>
          <w:bCs/>
        </w:rPr>
      </w:pPr>
      <w:r w:rsidRPr="259ABB06">
        <w:rPr>
          <w:b/>
          <w:bCs/>
        </w:rPr>
        <w:t xml:space="preserve">SUBSANABILIDAD – Certificaciones – Documentos </w:t>
      </w:r>
      <w:r w:rsidR="7AF2827C" w:rsidRPr="259ABB06">
        <w:rPr>
          <w:b/>
          <w:bCs/>
        </w:rPr>
        <w:t>– Equipo mínimo de trabajo</w:t>
      </w:r>
    </w:p>
    <w:p w14:paraId="7A8685EB" w14:textId="77777777" w:rsidR="00750191" w:rsidRPr="00C93F82" w:rsidRDefault="00750191" w:rsidP="00C93F82">
      <w:pPr>
        <w:jc w:val="both"/>
      </w:pPr>
    </w:p>
    <w:p w14:paraId="15CC8A60" w14:textId="77777777" w:rsidR="00750191" w:rsidRPr="00C93F82" w:rsidRDefault="00750191" w:rsidP="00C93F82">
      <w:pPr>
        <w:ind w:left="300"/>
        <w:jc w:val="both"/>
        <w:rPr>
          <w:sz w:val="20"/>
          <w:szCs w:val="20"/>
        </w:rPr>
      </w:pPr>
      <w:r w:rsidRPr="00C93F82">
        <w:rPr>
          <w:sz w:val="20"/>
          <w:szCs w:val="20"/>
        </w:rPr>
        <w:t>Es posible subsanar documentos o requisitos relativos al equipo mínimo de trabajo, cuando este aspecto no otorgue puntaje en la evaluación de las ofertas, siempre y cuando lo acreditado no constituyan circunstancias ocurridas con posterioridad al cierre del proceso, en los términos ya explicados. Para los procesos de selección de consultores y los demás en los que se haya determinado que la formación académica del equipo mínimo de trabajo es un aspecto que da puntaje no es posible subsanar. Sin embargo, en este evento, sí es posible aclarar o explicar aspectos oscuros o dudosos de la oferta.</w:t>
      </w:r>
    </w:p>
    <w:p w14:paraId="62E53E0B" w14:textId="77777777" w:rsidR="00750191" w:rsidRPr="00C93F82" w:rsidRDefault="00750191" w:rsidP="00C93F82">
      <w:pPr>
        <w:jc w:val="both"/>
      </w:pPr>
    </w:p>
    <w:p w14:paraId="0F8A1C8B" w14:textId="77777777" w:rsidR="00750191" w:rsidRPr="00C93F82" w:rsidRDefault="00750191" w:rsidP="00C93F82">
      <w:pPr>
        <w:ind w:left="300"/>
        <w:jc w:val="both"/>
        <w:rPr>
          <w:b/>
          <w:bCs/>
        </w:rPr>
      </w:pPr>
      <w:r w:rsidRPr="00C93F82">
        <w:rPr>
          <w:b/>
          <w:bCs/>
        </w:rPr>
        <w:t>FACTOR PUNTUABLE – Equipo de trabajo – Experiencia</w:t>
      </w:r>
    </w:p>
    <w:p w14:paraId="4075AD3B" w14:textId="77777777" w:rsidR="00750191" w:rsidRPr="00C93F82" w:rsidRDefault="00750191" w:rsidP="00C93F82"/>
    <w:p w14:paraId="7D8374C4" w14:textId="2BBB3BCA" w:rsidR="00750191" w:rsidRPr="00C93F82" w:rsidRDefault="00750191" w:rsidP="00BA11A2">
      <w:pPr>
        <w:ind w:left="301"/>
        <w:jc w:val="both"/>
        <w:rPr>
          <w:sz w:val="20"/>
          <w:szCs w:val="20"/>
        </w:rPr>
      </w:pPr>
      <w:r w:rsidRPr="00C93F82">
        <w:rPr>
          <w:sz w:val="20"/>
          <w:szCs w:val="20"/>
        </w:rPr>
        <w:t xml:space="preserve">La entidad contratante tiene discrecionalidad en la configuración de los pliegos de condiciones, y en uso de esta facultad puede determinar que la conformación de un equipo mínimo de trabajo sea un factor que otorgue puntaje. No obstante, esta facultad está restringida o limitada por el numeral 1º del artículo 5 de la Ley 1150 de 2007, que señala que el factor de experiencia no otorgará puntaje en los procesos de selección, razón por la que la decisión de otorgar puntaje al equipo de trabajo estaría reducida a aspectos como la formación académica de los profesionales propuestos, pero nunca a su experiencia. Asimismo, en virtud del numeral 4 del artículo 5 de la Ley 1150 de 2007, en los procesos para la selección de consultores «se podrán utilizar criterios de experiencia específica del oferente y del equipo de trabajo, en el campo de que se trate». De conformidad con el numeral 1º de la norma citada </w:t>
      </w:r>
      <w:r w:rsidRPr="00C93F82">
        <w:rPr>
          <w:sz w:val="20"/>
          <w:szCs w:val="20"/>
        </w:rPr>
        <w:lastRenderedPageBreak/>
        <w:t>los requisitos habilitantes son la capacidad jurídica, las</w:t>
      </w:r>
      <w:r w:rsidR="00C93F82" w:rsidRPr="00C93F82">
        <w:rPr>
          <w:sz w:val="20"/>
          <w:szCs w:val="20"/>
        </w:rPr>
        <w:t xml:space="preserve"> </w:t>
      </w:r>
      <w:r w:rsidRPr="00C93F82">
        <w:rPr>
          <w:sz w:val="20"/>
          <w:szCs w:val="20"/>
        </w:rPr>
        <w:t>condiciones de experiencia, la capacidad financiera y de organización y no el equipo de trabajo.</w:t>
      </w:r>
    </w:p>
    <w:p w14:paraId="667B154A" w14:textId="04FCD767" w:rsidR="00130126" w:rsidRDefault="00130126" w:rsidP="00BA11A2">
      <w:pPr>
        <w:ind w:left="301"/>
        <w:rPr>
          <w:sz w:val="20"/>
        </w:rPr>
      </w:pPr>
    </w:p>
    <w:p w14:paraId="72E03713" w14:textId="77777777" w:rsidR="00BA11A2" w:rsidRPr="00C93F82" w:rsidRDefault="00BA11A2" w:rsidP="00BA11A2">
      <w:pPr>
        <w:ind w:left="301"/>
        <w:rPr>
          <w:sz w:val="20"/>
        </w:rPr>
      </w:pPr>
    </w:p>
    <w:p w14:paraId="1AEC94A6" w14:textId="77777777" w:rsidR="00C350E5" w:rsidRPr="00BA11A2" w:rsidRDefault="00750191" w:rsidP="00BA11A2">
      <w:pPr>
        <w:ind w:left="301"/>
        <w:rPr>
          <w:b/>
        </w:rPr>
      </w:pPr>
      <w:r w:rsidRPr="00BA11A2">
        <w:t xml:space="preserve">Bogotá D.C., </w:t>
      </w:r>
      <w:r w:rsidRPr="00BA11A2">
        <w:rPr>
          <w:b/>
        </w:rPr>
        <w:t>05/02/2020 Hora 15:45:32s</w:t>
      </w:r>
    </w:p>
    <w:p w14:paraId="010F52D7" w14:textId="77777777" w:rsidR="00C350E5" w:rsidRPr="00BA11A2" w:rsidRDefault="00750191">
      <w:pPr>
        <w:ind w:left="6011"/>
        <w:rPr>
          <w:b/>
        </w:rPr>
      </w:pPr>
      <w:r w:rsidRPr="00BA11A2">
        <w:rPr>
          <w:b/>
        </w:rPr>
        <w:t>N° Radicado: 2202013000000718</w:t>
      </w:r>
    </w:p>
    <w:p w14:paraId="43E9ADDD" w14:textId="77777777" w:rsidR="00C350E5" w:rsidRPr="00C93F82" w:rsidRDefault="00C350E5">
      <w:pPr>
        <w:pStyle w:val="Textoindependiente"/>
        <w:spacing w:before="1"/>
        <w:rPr>
          <w:b/>
          <w:sz w:val="12"/>
        </w:rPr>
      </w:pPr>
    </w:p>
    <w:p w14:paraId="76BFD41F" w14:textId="73412585" w:rsidR="00C350E5" w:rsidRPr="00C93F82" w:rsidRDefault="00750191">
      <w:pPr>
        <w:spacing w:before="93" w:line="229" w:lineRule="exact"/>
        <w:ind w:left="300"/>
        <w:rPr>
          <w:sz w:val="20"/>
        </w:rPr>
      </w:pPr>
      <w:r w:rsidRPr="00C93F82">
        <w:rPr>
          <w:sz w:val="20"/>
        </w:rPr>
        <w:t>Señor</w:t>
      </w:r>
    </w:p>
    <w:p w14:paraId="38399097" w14:textId="77777777" w:rsidR="00C350E5" w:rsidRPr="00C93F82" w:rsidRDefault="00750191">
      <w:pPr>
        <w:spacing w:line="229" w:lineRule="exact"/>
        <w:ind w:left="300"/>
        <w:rPr>
          <w:b/>
          <w:sz w:val="20"/>
        </w:rPr>
      </w:pPr>
      <w:r w:rsidRPr="00C93F82">
        <w:rPr>
          <w:b/>
          <w:sz w:val="20"/>
        </w:rPr>
        <w:t>Carlos Esteban Cajigas Álvarez</w:t>
      </w:r>
    </w:p>
    <w:p w14:paraId="136CB6EB" w14:textId="0B667D1E" w:rsidR="00C350E5" w:rsidRDefault="00750191">
      <w:pPr>
        <w:spacing w:before="3"/>
        <w:ind w:left="300"/>
        <w:rPr>
          <w:sz w:val="20"/>
        </w:rPr>
      </w:pPr>
      <w:r w:rsidRPr="00C93F82">
        <w:rPr>
          <w:sz w:val="20"/>
        </w:rPr>
        <w:t>Ciudad</w:t>
      </w:r>
    </w:p>
    <w:p w14:paraId="4CB2027A" w14:textId="77777777" w:rsidR="00C350E5" w:rsidRPr="00C93F82" w:rsidRDefault="00C350E5">
      <w:pPr>
        <w:pStyle w:val="Textoindependiente"/>
        <w:spacing w:before="9"/>
        <w:rPr>
          <w:sz w:val="13"/>
        </w:rPr>
      </w:pPr>
    </w:p>
    <w:p w14:paraId="6415E97F" w14:textId="77777777" w:rsidR="00C350E5" w:rsidRPr="00C93F82" w:rsidRDefault="00750191">
      <w:pPr>
        <w:pStyle w:val="Ttulo1"/>
        <w:spacing w:before="93"/>
        <w:ind w:left="3302" w:right="3450" w:firstLine="0"/>
        <w:jc w:val="center"/>
      </w:pPr>
      <w:r w:rsidRPr="00C93F82">
        <w:t>Concepto C ─ 013 de 2020</w:t>
      </w:r>
    </w:p>
    <w:p w14:paraId="5217413D" w14:textId="77777777" w:rsidR="00BA11A2" w:rsidRPr="00C93F82" w:rsidRDefault="00BA11A2">
      <w:pPr>
        <w:pStyle w:val="Textoindependiente"/>
        <w:spacing w:before="6"/>
        <w:rPr>
          <w:b/>
          <w:sz w:val="24"/>
        </w:rPr>
      </w:pPr>
    </w:p>
    <w:tbl>
      <w:tblPr>
        <w:tblStyle w:val="TableNormal"/>
        <w:tblW w:w="0" w:type="auto"/>
        <w:tblInd w:w="108" w:type="dxa"/>
        <w:tblLayout w:type="fixed"/>
        <w:tblLook w:val="01E0" w:firstRow="1" w:lastRow="1" w:firstColumn="1" w:lastColumn="1" w:noHBand="0" w:noVBand="0"/>
      </w:tblPr>
      <w:tblGrid>
        <w:gridCol w:w="2169"/>
        <w:gridCol w:w="7162"/>
      </w:tblGrid>
      <w:tr w:rsidR="00C93F82" w:rsidRPr="00C93F82" w14:paraId="1F66950A" w14:textId="77777777">
        <w:trPr>
          <w:trHeight w:val="4212"/>
        </w:trPr>
        <w:tc>
          <w:tcPr>
            <w:tcW w:w="2169" w:type="dxa"/>
          </w:tcPr>
          <w:p w14:paraId="0B75547F" w14:textId="77777777" w:rsidR="00C350E5" w:rsidRPr="00C93F82" w:rsidRDefault="00750191">
            <w:pPr>
              <w:pStyle w:val="TableParagraph"/>
              <w:spacing w:line="246" w:lineRule="exact"/>
              <w:ind w:left="200"/>
              <w:rPr>
                <w:b/>
              </w:rPr>
            </w:pPr>
            <w:r w:rsidRPr="00C93F82">
              <w:rPr>
                <w:b/>
              </w:rPr>
              <w:t>Temas:</w:t>
            </w:r>
          </w:p>
        </w:tc>
        <w:tc>
          <w:tcPr>
            <w:tcW w:w="7162" w:type="dxa"/>
          </w:tcPr>
          <w:p w14:paraId="2F374ADA" w14:textId="77777777" w:rsidR="00C350E5" w:rsidRPr="00C93F82" w:rsidRDefault="00750191">
            <w:pPr>
              <w:pStyle w:val="TableParagraph"/>
              <w:spacing w:line="246" w:lineRule="exact"/>
            </w:pPr>
            <w:r w:rsidRPr="00C93F82">
              <w:t>SUBSANABILIDAD DE OFERTAS ― Decreto Ley 222 de 1983</w:t>
            </w:r>
          </w:p>
          <w:p w14:paraId="773F684E" w14:textId="77777777" w:rsidR="00C350E5" w:rsidRPr="00C93F82" w:rsidRDefault="00750191">
            <w:pPr>
              <w:pStyle w:val="TableParagraph"/>
            </w:pPr>
            <w:r w:rsidRPr="00C93F82">
              <w:t>― Formalismo procedimental</w:t>
            </w:r>
          </w:p>
          <w:p w14:paraId="569173BE" w14:textId="77777777" w:rsidR="00C350E5" w:rsidRPr="00C93F82" w:rsidRDefault="00750191">
            <w:pPr>
              <w:pStyle w:val="TableParagraph"/>
              <w:spacing w:before="2" w:line="253" w:lineRule="exact"/>
            </w:pPr>
            <w:r w:rsidRPr="00C93F82">
              <w:t>SUBSANABILIDAD DE OFERTAS ― Ley 80 de 1993 ―</w:t>
            </w:r>
          </w:p>
          <w:p w14:paraId="25122029" w14:textId="77777777" w:rsidR="00C350E5" w:rsidRPr="00C93F82" w:rsidRDefault="00750191">
            <w:pPr>
              <w:pStyle w:val="TableParagraph"/>
              <w:spacing w:line="253" w:lineRule="exact"/>
            </w:pPr>
            <w:r w:rsidRPr="00C93F82">
              <w:t>Criterio de comparación de ofertas</w:t>
            </w:r>
          </w:p>
          <w:p w14:paraId="43687A18" w14:textId="77777777" w:rsidR="00C350E5" w:rsidRPr="00C93F82" w:rsidRDefault="00750191">
            <w:pPr>
              <w:pStyle w:val="TableParagraph"/>
              <w:spacing w:line="252" w:lineRule="exact"/>
            </w:pPr>
            <w:r w:rsidRPr="00C93F82">
              <w:t>SUBSANABILIDAD DE OFERTAS ― Ley 1150 de 2007 ―</w:t>
            </w:r>
          </w:p>
          <w:p w14:paraId="1A20C336" w14:textId="77777777" w:rsidR="00C350E5" w:rsidRPr="00C93F82" w:rsidRDefault="00750191">
            <w:pPr>
              <w:pStyle w:val="TableParagraph"/>
              <w:spacing w:line="253" w:lineRule="exact"/>
            </w:pPr>
            <w:r w:rsidRPr="00C93F82">
              <w:t>Criterio de puntaje</w:t>
            </w:r>
          </w:p>
          <w:p w14:paraId="75EDB5F2" w14:textId="77777777" w:rsidR="00C350E5" w:rsidRPr="00C93F82" w:rsidRDefault="00750191">
            <w:pPr>
              <w:pStyle w:val="TableParagraph"/>
            </w:pPr>
            <w:r w:rsidRPr="00C93F82">
              <w:t>SUBSANABILIDAD DE OFERTAS ― Ley 1150 de 2007 ―</w:t>
            </w:r>
          </w:p>
          <w:p w14:paraId="3B6A021F" w14:textId="77777777" w:rsidR="00C350E5" w:rsidRPr="00C93F82" w:rsidRDefault="00750191">
            <w:pPr>
              <w:pStyle w:val="TableParagraph"/>
              <w:spacing w:before="1" w:line="253" w:lineRule="exact"/>
            </w:pPr>
            <w:r w:rsidRPr="00C93F82">
              <w:t>Oportunidad</w:t>
            </w:r>
          </w:p>
          <w:p w14:paraId="6CE026D1" w14:textId="77777777" w:rsidR="00C350E5" w:rsidRPr="00C93F82" w:rsidRDefault="00750191">
            <w:pPr>
              <w:pStyle w:val="TableParagraph"/>
            </w:pPr>
            <w:r w:rsidRPr="00C93F82">
              <w:t>SUBSANABILIDAD DE OFERTAS ― Ley 1882 de 2018 SUBSANABILIDAD DE OFERTAS ― Ley 1882 de 2018 ―</w:t>
            </w:r>
          </w:p>
          <w:p w14:paraId="6E3E0BAC" w14:textId="77777777" w:rsidR="00C350E5" w:rsidRPr="00C93F82" w:rsidRDefault="00750191">
            <w:pPr>
              <w:pStyle w:val="TableParagraph"/>
              <w:spacing w:line="252" w:lineRule="exact"/>
            </w:pPr>
            <w:r w:rsidRPr="00C93F82">
              <w:t>Oportunidad</w:t>
            </w:r>
          </w:p>
          <w:p w14:paraId="5D52A71D" w14:textId="77777777" w:rsidR="00C350E5" w:rsidRPr="00C93F82" w:rsidRDefault="00750191">
            <w:pPr>
              <w:pStyle w:val="TableParagraph"/>
            </w:pPr>
            <w:r w:rsidRPr="00C93F82">
              <w:t>SUBSANABILIDAD  DE  OFERTAS  ―  Ley  1882  de  2018</w:t>
            </w:r>
            <w:r w:rsidRPr="00C93F82">
              <w:rPr>
                <w:spacing w:val="17"/>
              </w:rPr>
              <w:t xml:space="preserve"> </w:t>
            </w:r>
            <w:r w:rsidRPr="00C93F82">
              <w:t>―</w:t>
            </w:r>
          </w:p>
          <w:p w14:paraId="46E1F773" w14:textId="77777777" w:rsidR="00C350E5" w:rsidRPr="00C93F82" w:rsidRDefault="00750191">
            <w:pPr>
              <w:pStyle w:val="TableParagraph"/>
              <w:spacing w:before="2"/>
            </w:pPr>
            <w:r w:rsidRPr="00C93F82">
              <w:t>Circunstancias ocurridas con posterioridad al cierre del</w:t>
            </w:r>
            <w:r w:rsidRPr="00C93F82">
              <w:rPr>
                <w:spacing w:val="1"/>
              </w:rPr>
              <w:t xml:space="preserve"> </w:t>
            </w:r>
            <w:r w:rsidRPr="00C93F82">
              <w:t>proceso</w:t>
            </w:r>
          </w:p>
          <w:p w14:paraId="65DED08A" w14:textId="77777777" w:rsidR="00C350E5" w:rsidRPr="00C93F82" w:rsidRDefault="00750191">
            <w:pPr>
              <w:pStyle w:val="TableParagraph"/>
              <w:spacing w:line="253" w:lineRule="exact"/>
            </w:pPr>
            <w:r w:rsidRPr="00C93F82">
              <w:t>― Alcance</w:t>
            </w:r>
          </w:p>
          <w:p w14:paraId="2FF32F33" w14:textId="7F9F6D47" w:rsidR="00C350E5" w:rsidRPr="00C93F82" w:rsidRDefault="00750191">
            <w:pPr>
              <w:pStyle w:val="TableParagraph"/>
              <w:spacing w:line="253" w:lineRule="exact"/>
            </w:pPr>
            <w:r w:rsidRPr="00C93F82">
              <w:t>SUBSANABILIDAD DE OFERTAS ― Equipo e trabajo</w:t>
            </w:r>
          </w:p>
        </w:tc>
      </w:tr>
      <w:tr w:rsidR="00C350E5" w:rsidRPr="00C93F82" w14:paraId="49885F72" w14:textId="77777777">
        <w:trPr>
          <w:trHeight w:val="669"/>
        </w:trPr>
        <w:tc>
          <w:tcPr>
            <w:tcW w:w="2169" w:type="dxa"/>
          </w:tcPr>
          <w:p w14:paraId="3D706E7C" w14:textId="77777777" w:rsidR="00C350E5" w:rsidRPr="00C93F82" w:rsidRDefault="00C350E5">
            <w:pPr>
              <w:pStyle w:val="TableParagraph"/>
              <w:ind w:left="0"/>
              <w:rPr>
                <w:b/>
                <w:sz w:val="24"/>
              </w:rPr>
            </w:pPr>
          </w:p>
          <w:p w14:paraId="1D4B5A53" w14:textId="77777777" w:rsidR="00C350E5" w:rsidRPr="00C93F82" w:rsidRDefault="00750191">
            <w:pPr>
              <w:pStyle w:val="TableParagraph"/>
              <w:spacing w:before="140" w:line="233" w:lineRule="exact"/>
              <w:ind w:left="200"/>
              <w:rPr>
                <w:b/>
              </w:rPr>
            </w:pPr>
            <w:r w:rsidRPr="00C93F82">
              <w:rPr>
                <w:b/>
              </w:rPr>
              <w:t>Radicación:</w:t>
            </w:r>
          </w:p>
        </w:tc>
        <w:tc>
          <w:tcPr>
            <w:tcW w:w="7162" w:type="dxa"/>
          </w:tcPr>
          <w:p w14:paraId="6ED4DC5E" w14:textId="1ABD5545" w:rsidR="00C350E5" w:rsidRDefault="00C350E5">
            <w:pPr>
              <w:pStyle w:val="TableParagraph"/>
              <w:ind w:left="0"/>
              <w:rPr>
                <w:b/>
                <w:sz w:val="24"/>
              </w:rPr>
            </w:pPr>
          </w:p>
          <w:p w14:paraId="77170785" w14:textId="77777777" w:rsidR="00C350E5" w:rsidRPr="00C93F82" w:rsidRDefault="00750191">
            <w:pPr>
              <w:pStyle w:val="TableParagraph"/>
              <w:spacing w:before="140" w:line="233" w:lineRule="exact"/>
            </w:pPr>
            <w:r w:rsidRPr="00C93F82">
              <w:t>Respuesta a consulta # 4201912000008484</w:t>
            </w:r>
          </w:p>
        </w:tc>
      </w:tr>
    </w:tbl>
    <w:p w14:paraId="0FC26212" w14:textId="12D3DBA1" w:rsidR="00C350E5" w:rsidRDefault="00C350E5">
      <w:pPr>
        <w:pStyle w:val="Textoindependiente"/>
        <w:rPr>
          <w:b/>
          <w:sz w:val="20"/>
        </w:rPr>
      </w:pPr>
    </w:p>
    <w:p w14:paraId="3BEFE687" w14:textId="77777777" w:rsidR="00C350E5" w:rsidRPr="00C93F82" w:rsidRDefault="00750191">
      <w:pPr>
        <w:pStyle w:val="Textoindependiente"/>
        <w:spacing w:before="93"/>
        <w:ind w:left="300"/>
        <w:jc w:val="both"/>
      </w:pPr>
      <w:r w:rsidRPr="00C93F82">
        <w:t>Estimado señor,</w:t>
      </w:r>
    </w:p>
    <w:p w14:paraId="7D6B9312" w14:textId="77777777" w:rsidR="00C350E5" w:rsidRPr="00C93F82" w:rsidRDefault="00C350E5">
      <w:pPr>
        <w:pStyle w:val="Textoindependiente"/>
        <w:spacing w:before="1"/>
      </w:pPr>
    </w:p>
    <w:p w14:paraId="22F60510" w14:textId="77777777" w:rsidR="00C350E5" w:rsidRPr="00C93F82" w:rsidRDefault="00750191">
      <w:pPr>
        <w:pStyle w:val="Textoindependiente"/>
        <w:spacing w:line="276" w:lineRule="auto"/>
        <w:ind w:left="300" w:right="452"/>
        <w:jc w:val="both"/>
      </w:pPr>
      <w:r w:rsidRPr="00C93F82">
        <w:t>La Agencia Nacional de Contratación Pública ―Colombia Compra Eficiente responde su consulta del 23 de diciembre de 2019, en ejercicio de la competencia otorgada por el numeral 8 del artículo 11 y el numeral 5 del artículo 3 del Decreto Ley 4170 de 2011.</w:t>
      </w:r>
    </w:p>
    <w:p w14:paraId="532D0377" w14:textId="77777777" w:rsidR="00C350E5" w:rsidRPr="00C93F82" w:rsidRDefault="00C350E5">
      <w:pPr>
        <w:pStyle w:val="Textoindependiente"/>
        <w:spacing w:before="3"/>
        <w:rPr>
          <w:sz w:val="25"/>
        </w:rPr>
      </w:pPr>
    </w:p>
    <w:p w14:paraId="00EABF1B" w14:textId="77777777" w:rsidR="00C350E5" w:rsidRPr="00C93F82" w:rsidRDefault="00750191">
      <w:pPr>
        <w:pStyle w:val="Ttulo1"/>
        <w:numPr>
          <w:ilvl w:val="0"/>
          <w:numId w:val="2"/>
        </w:numPr>
        <w:tabs>
          <w:tab w:val="left" w:pos="586"/>
        </w:tabs>
        <w:ind w:hanging="286"/>
      </w:pPr>
      <w:r w:rsidRPr="00C93F82">
        <w:t>Problemas</w:t>
      </w:r>
      <w:r w:rsidRPr="00C93F82">
        <w:rPr>
          <w:spacing w:val="-2"/>
        </w:rPr>
        <w:t xml:space="preserve"> </w:t>
      </w:r>
      <w:r w:rsidRPr="00C93F82">
        <w:t>planteados</w:t>
      </w:r>
    </w:p>
    <w:p w14:paraId="48B21E3D" w14:textId="77777777" w:rsidR="00C350E5" w:rsidRPr="00C93F82" w:rsidRDefault="00C350E5">
      <w:pPr>
        <w:pStyle w:val="Textoindependiente"/>
        <w:spacing w:before="8"/>
        <w:rPr>
          <w:b/>
          <w:sz w:val="28"/>
        </w:rPr>
      </w:pPr>
    </w:p>
    <w:p w14:paraId="743EE32C" w14:textId="77777777" w:rsidR="00C350E5" w:rsidRPr="00C93F82" w:rsidRDefault="00750191">
      <w:pPr>
        <w:pStyle w:val="Textoindependiente"/>
        <w:spacing w:line="276" w:lineRule="auto"/>
        <w:ind w:left="300" w:right="453"/>
        <w:jc w:val="both"/>
      </w:pPr>
      <w:r w:rsidRPr="00C93F82">
        <w:t>Usted realiza las siguientes preguntas: i) ¿Se considera que aportar certificaciones o documentos</w:t>
      </w:r>
      <w:r w:rsidRPr="00C93F82">
        <w:rPr>
          <w:spacing w:val="28"/>
        </w:rPr>
        <w:t xml:space="preserve"> </w:t>
      </w:r>
      <w:r w:rsidRPr="00C93F82">
        <w:t>con</w:t>
      </w:r>
      <w:r w:rsidRPr="00C93F82">
        <w:rPr>
          <w:spacing w:val="26"/>
        </w:rPr>
        <w:t xml:space="preserve"> </w:t>
      </w:r>
      <w:r w:rsidRPr="00C93F82">
        <w:t>falencias</w:t>
      </w:r>
      <w:r w:rsidRPr="00C93F82">
        <w:rPr>
          <w:spacing w:val="29"/>
        </w:rPr>
        <w:t xml:space="preserve"> </w:t>
      </w:r>
      <w:r w:rsidRPr="00C93F82">
        <w:t>del</w:t>
      </w:r>
      <w:r w:rsidRPr="00C93F82">
        <w:rPr>
          <w:spacing w:val="29"/>
        </w:rPr>
        <w:t xml:space="preserve"> </w:t>
      </w:r>
      <w:r w:rsidRPr="00C93F82">
        <w:t>equipo</w:t>
      </w:r>
      <w:r w:rsidRPr="00C93F82">
        <w:rPr>
          <w:spacing w:val="26"/>
        </w:rPr>
        <w:t xml:space="preserve"> </w:t>
      </w:r>
      <w:r w:rsidRPr="00C93F82">
        <w:t>mínimo</w:t>
      </w:r>
      <w:r w:rsidRPr="00C93F82">
        <w:rPr>
          <w:spacing w:val="29"/>
        </w:rPr>
        <w:t xml:space="preserve"> </w:t>
      </w:r>
      <w:r w:rsidRPr="00C93F82">
        <w:t>de</w:t>
      </w:r>
      <w:r w:rsidRPr="00C93F82">
        <w:rPr>
          <w:spacing w:val="23"/>
        </w:rPr>
        <w:t xml:space="preserve"> </w:t>
      </w:r>
      <w:r w:rsidRPr="00C93F82">
        <w:t>trabajo</w:t>
      </w:r>
      <w:r w:rsidRPr="00C93F82">
        <w:rPr>
          <w:spacing w:val="29"/>
        </w:rPr>
        <w:t xml:space="preserve"> </w:t>
      </w:r>
      <w:r w:rsidRPr="00C93F82">
        <w:t>debidamente</w:t>
      </w:r>
      <w:r w:rsidRPr="00C93F82">
        <w:rPr>
          <w:spacing w:val="28"/>
        </w:rPr>
        <w:t xml:space="preserve"> </w:t>
      </w:r>
      <w:r w:rsidRPr="00C93F82">
        <w:t>propuesto</w:t>
      </w:r>
      <w:r w:rsidRPr="00C93F82">
        <w:rPr>
          <w:spacing w:val="28"/>
        </w:rPr>
        <w:t xml:space="preserve"> </w:t>
      </w:r>
      <w:r w:rsidRPr="00C93F82">
        <w:t>en</w:t>
      </w:r>
      <w:r w:rsidRPr="00C93F82">
        <w:rPr>
          <w:spacing w:val="29"/>
        </w:rPr>
        <w:t xml:space="preserve"> </w:t>
      </w:r>
      <w:r w:rsidRPr="00C93F82">
        <w:t>un</w:t>
      </w:r>
    </w:p>
    <w:p w14:paraId="2B9E128F" w14:textId="22303727" w:rsidR="00C350E5" w:rsidRDefault="00750191" w:rsidP="00C9438E">
      <w:pPr>
        <w:pStyle w:val="Textoindependiente"/>
        <w:spacing w:line="276" w:lineRule="auto"/>
        <w:ind w:left="300" w:right="446"/>
        <w:jc w:val="both"/>
      </w:pPr>
      <w:r w:rsidRPr="00C93F82">
        <w:t>―proceso público licitación, etc.― es mejorar la propuesta?; ii) ¿la conformación de un equipo</w:t>
      </w:r>
      <w:r w:rsidRPr="00C93F82">
        <w:rPr>
          <w:spacing w:val="14"/>
        </w:rPr>
        <w:t xml:space="preserve"> </w:t>
      </w:r>
      <w:r w:rsidRPr="00C93F82">
        <w:t>mínimo</w:t>
      </w:r>
      <w:r w:rsidRPr="00C93F82">
        <w:rPr>
          <w:spacing w:val="15"/>
        </w:rPr>
        <w:t xml:space="preserve"> </w:t>
      </w:r>
      <w:r w:rsidRPr="00C93F82">
        <w:t>de</w:t>
      </w:r>
      <w:r w:rsidRPr="00C93F82">
        <w:rPr>
          <w:spacing w:val="15"/>
        </w:rPr>
        <w:t xml:space="preserve"> </w:t>
      </w:r>
      <w:r w:rsidRPr="00C93F82">
        <w:t>trabajo</w:t>
      </w:r>
      <w:r w:rsidRPr="00C93F82">
        <w:rPr>
          <w:spacing w:val="14"/>
        </w:rPr>
        <w:t xml:space="preserve"> </w:t>
      </w:r>
      <w:r w:rsidRPr="00C93F82">
        <w:t>puede</w:t>
      </w:r>
      <w:r w:rsidRPr="00C93F82">
        <w:rPr>
          <w:spacing w:val="15"/>
        </w:rPr>
        <w:t xml:space="preserve"> </w:t>
      </w:r>
      <w:r w:rsidRPr="00C93F82">
        <w:t>estipularse</w:t>
      </w:r>
      <w:r w:rsidRPr="00C93F82">
        <w:rPr>
          <w:spacing w:val="15"/>
        </w:rPr>
        <w:t xml:space="preserve"> </w:t>
      </w:r>
      <w:r w:rsidRPr="00C93F82">
        <w:t>como</w:t>
      </w:r>
      <w:r w:rsidRPr="00C93F82">
        <w:rPr>
          <w:spacing w:val="15"/>
        </w:rPr>
        <w:t xml:space="preserve"> </w:t>
      </w:r>
      <w:r w:rsidRPr="00C93F82">
        <w:t>factor</w:t>
      </w:r>
      <w:r w:rsidRPr="00C93F82">
        <w:rPr>
          <w:spacing w:val="14"/>
        </w:rPr>
        <w:t xml:space="preserve"> </w:t>
      </w:r>
      <w:r w:rsidRPr="00C93F82">
        <w:t>de</w:t>
      </w:r>
      <w:r w:rsidRPr="00C93F82">
        <w:rPr>
          <w:spacing w:val="15"/>
        </w:rPr>
        <w:t xml:space="preserve"> </w:t>
      </w:r>
      <w:r w:rsidRPr="00C93F82">
        <w:t>calificación</w:t>
      </w:r>
      <w:r w:rsidRPr="00C93F82">
        <w:rPr>
          <w:spacing w:val="15"/>
        </w:rPr>
        <w:t xml:space="preserve"> </w:t>
      </w:r>
      <w:r w:rsidRPr="00C93F82">
        <w:t>―asignación</w:t>
      </w:r>
      <w:r w:rsidRPr="00C93F82">
        <w:rPr>
          <w:spacing w:val="15"/>
        </w:rPr>
        <w:t xml:space="preserve"> </w:t>
      </w:r>
      <w:r w:rsidRPr="00C93F82">
        <w:t>d</w:t>
      </w:r>
      <w:r w:rsidR="00C9438E" w:rsidRPr="00C93F82">
        <w:t xml:space="preserve">e </w:t>
      </w:r>
      <w:r w:rsidRPr="00C93F82">
        <w:t>puntaje― o únicamente como habilitante?; iii) si se estipula como puntuable ¿las deficiencias en sus documentos pueden ser subsanadas?</w:t>
      </w:r>
    </w:p>
    <w:p w14:paraId="2EC09E79" w14:textId="77777777" w:rsidR="00BA11A2" w:rsidRPr="00C93F82" w:rsidRDefault="00BA11A2" w:rsidP="00C9438E">
      <w:pPr>
        <w:pStyle w:val="Textoindependiente"/>
        <w:spacing w:line="276" w:lineRule="auto"/>
        <w:ind w:left="300" w:right="446"/>
        <w:jc w:val="both"/>
      </w:pPr>
    </w:p>
    <w:p w14:paraId="6D5586A4" w14:textId="77777777" w:rsidR="00C350E5" w:rsidRPr="00C93F82" w:rsidRDefault="00750191">
      <w:pPr>
        <w:pStyle w:val="Ttulo1"/>
        <w:numPr>
          <w:ilvl w:val="0"/>
          <w:numId w:val="2"/>
        </w:numPr>
        <w:tabs>
          <w:tab w:val="left" w:pos="586"/>
        </w:tabs>
        <w:ind w:hanging="286"/>
      </w:pPr>
      <w:r w:rsidRPr="00C93F82">
        <w:lastRenderedPageBreak/>
        <w:t>Consideraciones</w:t>
      </w:r>
    </w:p>
    <w:p w14:paraId="051B20AB" w14:textId="77777777" w:rsidR="00C350E5" w:rsidRPr="00C93F82" w:rsidRDefault="00C350E5">
      <w:pPr>
        <w:pStyle w:val="Textoindependiente"/>
        <w:spacing w:before="5"/>
        <w:rPr>
          <w:b/>
          <w:sz w:val="28"/>
        </w:rPr>
      </w:pPr>
    </w:p>
    <w:p w14:paraId="7CC0E090" w14:textId="1F5CEF89" w:rsidR="00C350E5" w:rsidRDefault="00750191">
      <w:pPr>
        <w:pStyle w:val="Textoindependiente"/>
        <w:spacing w:line="276" w:lineRule="auto"/>
        <w:ind w:left="300" w:right="445"/>
        <w:jc w:val="both"/>
      </w:pPr>
      <w:r w:rsidRPr="00C93F82">
        <w:t>La Agencia Nacional de Contratación Pública ― Colombia Compra Eficiente, en los conceptos con radicado No. 2201913000008048 y No. 2201913000008049 del 28 de octubre de 2019, reiterado y desarrollado en los conceptos identificados con radicado No. 2201913000008850 del 29 de noviembre de 2019, radicado No. 2201913000009225 del 13 de diciembre de 2019 y radicado No. 2201913000009373 del 17 de diciembre de 2019, estudió i) el régimen jurídico de subsanabilidad de las ofertas y ii) las modificaciones de la Ley 1882 de 2018. La tesis desarrollada en estos conceptos se expone a</w:t>
      </w:r>
      <w:r w:rsidRPr="00C93F82">
        <w:rPr>
          <w:spacing w:val="-3"/>
        </w:rPr>
        <w:t xml:space="preserve"> </w:t>
      </w:r>
      <w:r w:rsidRPr="00C93F82">
        <w:t>continuación.</w:t>
      </w:r>
    </w:p>
    <w:p w14:paraId="0E73E71B" w14:textId="77777777" w:rsidR="00C350E5" w:rsidRPr="00C93F82" w:rsidRDefault="00C350E5">
      <w:pPr>
        <w:pStyle w:val="Textoindependiente"/>
        <w:spacing w:before="6"/>
        <w:rPr>
          <w:sz w:val="25"/>
        </w:rPr>
      </w:pPr>
    </w:p>
    <w:p w14:paraId="0F75B4C7" w14:textId="77777777" w:rsidR="00C350E5" w:rsidRPr="00C93F82" w:rsidRDefault="00750191">
      <w:pPr>
        <w:pStyle w:val="Ttulo1"/>
        <w:numPr>
          <w:ilvl w:val="1"/>
          <w:numId w:val="2"/>
        </w:numPr>
        <w:tabs>
          <w:tab w:val="left" w:pos="726"/>
        </w:tabs>
      </w:pPr>
      <w:r w:rsidRPr="00C93F82">
        <w:t>Régimen jurídico de la subsanabilidad de las</w:t>
      </w:r>
      <w:r w:rsidRPr="00C93F82">
        <w:rPr>
          <w:spacing w:val="-3"/>
        </w:rPr>
        <w:t xml:space="preserve"> </w:t>
      </w:r>
      <w:r w:rsidRPr="00C93F82">
        <w:t>ofertas</w:t>
      </w:r>
    </w:p>
    <w:p w14:paraId="31A4F216" w14:textId="77777777" w:rsidR="00C350E5" w:rsidRPr="00C93F82" w:rsidRDefault="00C350E5">
      <w:pPr>
        <w:pStyle w:val="Textoindependiente"/>
        <w:spacing w:before="7"/>
        <w:rPr>
          <w:b/>
          <w:sz w:val="28"/>
        </w:rPr>
      </w:pPr>
    </w:p>
    <w:p w14:paraId="1FE80DE3" w14:textId="77777777" w:rsidR="00C350E5" w:rsidRPr="00C93F82" w:rsidRDefault="00750191">
      <w:pPr>
        <w:pStyle w:val="Textoindependiente"/>
        <w:spacing w:line="276" w:lineRule="auto"/>
        <w:ind w:left="300" w:right="454"/>
        <w:jc w:val="both"/>
      </w:pPr>
      <w:r w:rsidRPr="00C93F82">
        <w:t>La posibilidad de enmendar, corregir o subsanar los errores en los que se incurren en los documentos contentivos de la oferta es un tema que ha tenido diferentes momentos o etapas en el ordenamiento jurídico colombiano.</w:t>
      </w:r>
    </w:p>
    <w:p w14:paraId="2469736A" w14:textId="77777777" w:rsidR="00C350E5" w:rsidRPr="00C93F82" w:rsidRDefault="00750191">
      <w:pPr>
        <w:pStyle w:val="Textoindependiente"/>
        <w:spacing w:line="276" w:lineRule="auto"/>
        <w:ind w:left="300" w:right="448" w:firstLine="707"/>
        <w:jc w:val="both"/>
      </w:pPr>
      <w:r w:rsidRPr="00C93F82">
        <w:t xml:space="preserve">En un </w:t>
      </w:r>
      <w:r w:rsidRPr="00C93F82">
        <w:rPr>
          <w:i/>
        </w:rPr>
        <w:t>primer momento</w:t>
      </w:r>
      <w:r w:rsidRPr="00C93F82">
        <w:t>,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w:t>
      </w:r>
      <w:r w:rsidRPr="00C93F82">
        <w:rPr>
          <w:spacing w:val="-2"/>
        </w:rPr>
        <w:t xml:space="preserve"> </w:t>
      </w:r>
      <w:r w:rsidRPr="00C93F82">
        <w:t>esta.</w:t>
      </w:r>
    </w:p>
    <w:p w14:paraId="7C7D7AF4" w14:textId="77777777" w:rsidR="00C350E5" w:rsidRPr="00C93F82" w:rsidRDefault="00750191">
      <w:pPr>
        <w:pStyle w:val="Textoindependiente"/>
        <w:spacing w:line="276" w:lineRule="auto"/>
        <w:ind w:left="300" w:right="449" w:firstLine="707"/>
        <w:jc w:val="both"/>
      </w:pPr>
      <w:r w:rsidRPr="00C93F82">
        <w:t xml:space="preserve">En un </w:t>
      </w:r>
      <w:r w:rsidRPr="00C93F82">
        <w:rPr>
          <w:i/>
        </w:rPr>
        <w:t xml:space="preserve">segundo momento </w:t>
      </w:r>
      <w:r w:rsidRPr="00C93F82">
        <w:t>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14:paraId="74E2CD7C" w14:textId="77777777" w:rsidR="00C350E5" w:rsidRPr="00C93F82" w:rsidRDefault="00750191">
      <w:pPr>
        <w:pStyle w:val="Textoindependiente"/>
        <w:spacing w:line="276" w:lineRule="auto"/>
        <w:ind w:left="300" w:right="457" w:firstLine="707"/>
        <w:jc w:val="both"/>
      </w:pPr>
      <w:r w:rsidRPr="00C93F82">
        <w:t>En este nuevo escenario constitucional, el numeral 15 del artículo 25 de la Ley 80 de 1993 dispuso lo siguiente:</w:t>
      </w:r>
    </w:p>
    <w:p w14:paraId="3BF20F26" w14:textId="77777777" w:rsidR="00C350E5" w:rsidRPr="00C93F82" w:rsidRDefault="00C350E5">
      <w:pPr>
        <w:pStyle w:val="Textoindependiente"/>
        <w:spacing w:before="2"/>
        <w:rPr>
          <w:sz w:val="25"/>
        </w:rPr>
      </w:pPr>
    </w:p>
    <w:p w14:paraId="503BFD72" w14:textId="77777777" w:rsidR="00C350E5" w:rsidRPr="00C93F82" w:rsidRDefault="00750191">
      <w:pPr>
        <w:ind w:left="1008" w:right="452"/>
        <w:jc w:val="both"/>
        <w:rPr>
          <w:sz w:val="21"/>
        </w:rPr>
      </w:pPr>
      <w:r w:rsidRPr="00C93F82">
        <w:rPr>
          <w:sz w:val="21"/>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2876D3AF" w14:textId="77777777" w:rsidR="00C350E5" w:rsidRPr="00C93F82" w:rsidRDefault="00C350E5">
      <w:pPr>
        <w:pStyle w:val="Textoindependiente"/>
        <w:rPr>
          <w:sz w:val="21"/>
        </w:rPr>
      </w:pPr>
    </w:p>
    <w:p w14:paraId="71A3AF2C" w14:textId="77777777" w:rsidR="00C350E5" w:rsidRPr="00C93F82" w:rsidRDefault="00750191">
      <w:pPr>
        <w:spacing w:before="1"/>
        <w:ind w:left="1008" w:right="455"/>
        <w:jc w:val="both"/>
        <w:rPr>
          <w:sz w:val="21"/>
        </w:rPr>
      </w:pPr>
      <w:r w:rsidRPr="00C93F82">
        <w:rPr>
          <w:sz w:val="21"/>
        </w:rPr>
        <w:t>La ausencia de requisitos o la falta de documentos referentes a la futura contratación o al proponente, no necesarios para la comparación de propuestas, no servirá de</w:t>
      </w:r>
      <w:r w:rsidRPr="00C93F82">
        <w:rPr>
          <w:spacing w:val="-36"/>
          <w:sz w:val="21"/>
        </w:rPr>
        <w:t xml:space="preserve"> </w:t>
      </w:r>
      <w:r w:rsidRPr="00C93F82">
        <w:rPr>
          <w:sz w:val="21"/>
        </w:rPr>
        <w:t>título suficiente para el rechazo de los ofrecimientos</w:t>
      </w:r>
      <w:r w:rsidRPr="00C93F82">
        <w:rPr>
          <w:spacing w:val="-10"/>
          <w:sz w:val="21"/>
        </w:rPr>
        <w:t xml:space="preserve"> </w:t>
      </w:r>
      <w:r w:rsidRPr="00C93F82">
        <w:rPr>
          <w:sz w:val="21"/>
        </w:rPr>
        <w:t>hechos.</w:t>
      </w:r>
    </w:p>
    <w:p w14:paraId="26A9B142" w14:textId="77777777" w:rsidR="00C350E5" w:rsidRPr="00C93F82" w:rsidRDefault="00C350E5">
      <w:pPr>
        <w:pStyle w:val="Textoindependiente"/>
        <w:spacing w:before="9"/>
      </w:pPr>
    </w:p>
    <w:p w14:paraId="5701F409" w14:textId="77777777" w:rsidR="00C350E5" w:rsidRPr="00C93F82" w:rsidRDefault="00750191">
      <w:pPr>
        <w:pStyle w:val="Textoindependiente"/>
        <w:spacing w:line="276" w:lineRule="auto"/>
        <w:ind w:left="300" w:right="450" w:firstLine="707"/>
        <w:jc w:val="both"/>
      </w:pPr>
      <w:r w:rsidRPr="00C93F82">
        <w:t xml:space="preserve">Bajo el amparo de esta norma, el régimen jurídico de subsanabilidad de las ofertas sufre un cambio fundamental, pues ya no era posible rechazar las ofertas por falta de requisitos o documentos que no fueran </w:t>
      </w:r>
      <w:r w:rsidRPr="00C93F82">
        <w:rPr>
          <w:i/>
        </w:rPr>
        <w:t>necesarios para la comparación de propuestas</w:t>
      </w:r>
      <w:r w:rsidRPr="00C93F82">
        <w:t xml:space="preserve">. De esta manera, la ley introdujo un primer criterio jurídico, aunque </w:t>
      </w:r>
      <w:r w:rsidRPr="00C93F82">
        <w:lastRenderedPageBreak/>
        <w:t>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 subsanar.</w:t>
      </w:r>
    </w:p>
    <w:p w14:paraId="00FBECEB" w14:textId="58FEE892" w:rsidR="00C350E5" w:rsidRPr="00C93F82" w:rsidRDefault="00750191">
      <w:pPr>
        <w:pStyle w:val="Textoindependiente"/>
        <w:spacing w:line="276" w:lineRule="auto"/>
        <w:ind w:left="300" w:right="451" w:firstLine="707"/>
        <w:jc w:val="both"/>
      </w:pPr>
      <w:r w:rsidRPr="00C93F82">
        <w:t>Esta norma debía leerse en conjunto con otras de la Ley 80 de 1993, particularmente con el artículo 30.7</w:t>
      </w:r>
      <w:r w:rsidR="001962E3">
        <w:rPr>
          <w:rStyle w:val="Refdenotaalpie"/>
        </w:rPr>
        <w:footnoteReference w:id="1"/>
      </w:r>
      <w:r w:rsidRPr="00C93F82">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001962E3">
        <w:rPr>
          <w:rStyle w:val="Refdenotaalpie"/>
        </w:rPr>
        <w:footnoteReference w:id="2"/>
      </w:r>
      <w:r w:rsidRPr="00C93F82">
        <w:t>, que consagró el término de 5 días hábiles para que los oferentes presenten observaciones al informe de evaluación de las propuestas, sin que sea posible completar, adicionar, modificar o mejorar su oferta.</w:t>
      </w:r>
    </w:p>
    <w:p w14:paraId="5BBC9935" w14:textId="77777777" w:rsidR="00C350E5" w:rsidRPr="00C93F82" w:rsidRDefault="00750191">
      <w:pPr>
        <w:pStyle w:val="Textoindependiente"/>
        <w:spacing w:before="1" w:line="276" w:lineRule="auto"/>
        <w:ind w:left="300" w:right="451" w:firstLine="707"/>
        <w:jc w:val="both"/>
      </w:pPr>
      <w:r w:rsidRPr="00C93F82">
        <w:t>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w:t>
      </w:r>
    </w:p>
    <w:p w14:paraId="6D4E7C0A" w14:textId="77777777" w:rsidR="00C350E5" w:rsidRPr="00C93F82" w:rsidRDefault="00750191">
      <w:pPr>
        <w:pStyle w:val="Textoindependiente"/>
        <w:spacing w:line="276" w:lineRule="auto"/>
        <w:ind w:left="300" w:right="453" w:firstLine="704"/>
        <w:jc w:val="both"/>
      </w:pPr>
      <w:r w:rsidRPr="00C93F82">
        <w:t xml:space="preserve">En un </w:t>
      </w:r>
      <w:r w:rsidRPr="00C93F82">
        <w:rPr>
          <w:i/>
        </w:rPr>
        <w:t>tercer momento</w:t>
      </w:r>
      <w:r w:rsidRPr="00C93F82">
        <w:t>, y siguiendo la línea trazada por la Ley 80 de 1993, el legislador expidió la Ley 1150 de 2007, que en el parágrafo 1º del artículo 5 determinó lo siguiente:</w:t>
      </w:r>
    </w:p>
    <w:p w14:paraId="76F9859D" w14:textId="77777777" w:rsidR="00C350E5" w:rsidRPr="00C93F82" w:rsidRDefault="00C350E5">
      <w:pPr>
        <w:pStyle w:val="Textoindependiente"/>
        <w:spacing w:before="3"/>
        <w:rPr>
          <w:sz w:val="25"/>
        </w:rPr>
      </w:pPr>
    </w:p>
    <w:p w14:paraId="5D87CD26" w14:textId="77777777" w:rsidR="00C350E5" w:rsidRPr="00C93F82" w:rsidRDefault="00750191">
      <w:pPr>
        <w:spacing w:before="1"/>
        <w:ind w:left="1005" w:right="448"/>
        <w:jc w:val="both"/>
        <w:rPr>
          <w:sz w:val="21"/>
        </w:rPr>
      </w:pPr>
      <w:r w:rsidRPr="00C93F82">
        <w:rPr>
          <w:sz w:val="21"/>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C93F82">
        <w:rPr>
          <w:b/>
          <w:sz w:val="21"/>
        </w:rPr>
        <w:t xml:space="preserve">, </w:t>
      </w:r>
      <w:r w:rsidRPr="00C93F82">
        <w:rPr>
          <w:sz w:val="21"/>
        </w:rPr>
        <w:t>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p>
    <w:p w14:paraId="3DD6010C" w14:textId="77777777" w:rsidR="00C350E5" w:rsidRPr="00C93F82" w:rsidRDefault="00C350E5">
      <w:pPr>
        <w:pStyle w:val="Textoindependiente"/>
        <w:rPr>
          <w:sz w:val="20"/>
        </w:rPr>
      </w:pPr>
    </w:p>
    <w:p w14:paraId="6B5484F1" w14:textId="77777777" w:rsidR="00C350E5" w:rsidRPr="00C93F82" w:rsidRDefault="00C350E5">
      <w:pPr>
        <w:pStyle w:val="Textoindependiente"/>
        <w:spacing w:before="6"/>
        <w:rPr>
          <w:sz w:val="9"/>
        </w:rPr>
      </w:pPr>
    </w:p>
    <w:p w14:paraId="247D0DA2" w14:textId="77777777" w:rsidR="00C350E5" w:rsidRPr="00C93F82" w:rsidRDefault="00750191">
      <w:pPr>
        <w:pStyle w:val="Textoindependiente"/>
        <w:spacing w:before="93" w:line="276" w:lineRule="auto"/>
        <w:ind w:left="300" w:right="447" w:firstLine="704"/>
        <w:jc w:val="both"/>
      </w:pPr>
      <w:r w:rsidRPr="00C93F82">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14:paraId="6C80D1E5" w14:textId="77777777" w:rsidR="00C350E5" w:rsidRPr="00C93F82" w:rsidRDefault="00750191">
      <w:pPr>
        <w:pStyle w:val="Textoindependiente"/>
        <w:spacing w:line="276" w:lineRule="auto"/>
        <w:ind w:left="300" w:right="449" w:firstLine="707"/>
        <w:jc w:val="both"/>
      </w:pPr>
      <w:r w:rsidRPr="00C93F82">
        <w:t xml:space="preserve">A partir de la Ley 1150 de 2007 la Administración contó con un criterio más claro y </w:t>
      </w:r>
      <w:r w:rsidRPr="00C93F82">
        <w:lastRenderedPageBreak/>
        <w:t>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w:t>
      </w:r>
    </w:p>
    <w:p w14:paraId="25013A6D" w14:textId="77777777" w:rsidR="00C350E5" w:rsidRPr="00C93F82" w:rsidRDefault="00750191">
      <w:pPr>
        <w:pStyle w:val="Textoindependiente"/>
        <w:spacing w:line="276" w:lineRule="auto"/>
        <w:ind w:left="300" w:right="455" w:firstLine="704"/>
        <w:jc w:val="both"/>
      </w:pPr>
      <w:r w:rsidRPr="00C93F82">
        <w:t>Si al verificar la Administración encuentra que lo omitido por el proponente es un aspecto que otorga puntaje no es posible subsanarlo; pero si lo omitido no otorga puntaje la Administración debe requerir al proponente para que lo subsane.</w:t>
      </w:r>
    </w:p>
    <w:p w14:paraId="3B2B215E" w14:textId="77777777" w:rsidR="00C350E5" w:rsidRPr="00C93F82" w:rsidRDefault="00750191">
      <w:pPr>
        <w:pStyle w:val="Textoindependiente"/>
        <w:spacing w:line="276" w:lineRule="auto"/>
        <w:ind w:left="300" w:right="445" w:firstLine="704"/>
        <w:jc w:val="both"/>
      </w:pPr>
      <w:r w:rsidRPr="00C93F82">
        <w:t>El artículo 5 de la Ley 1150 de 2007, además de consagrar un criterio más claro, y de paso reducir la discrecionalidad de la Administración, fijó un ámbito temporal para la subsanación de las ofertas: «</w:t>
      </w:r>
      <w:r w:rsidRPr="00C93F82">
        <w:rPr>
          <w:i/>
        </w:rPr>
        <w:t>en cualquier momento, hasta la adjudicación</w:t>
      </w:r>
      <w:r w:rsidRPr="00C93F82">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C93F82">
        <w:rPr>
          <w:spacing w:val="-42"/>
        </w:rPr>
        <w:t xml:space="preserve"> </w:t>
      </w:r>
      <w:r w:rsidRPr="00C93F82">
        <w:t>términos:</w:t>
      </w:r>
    </w:p>
    <w:p w14:paraId="00ABEEB7" w14:textId="77777777" w:rsidR="00C350E5" w:rsidRPr="00C93F82" w:rsidRDefault="00C350E5">
      <w:pPr>
        <w:pStyle w:val="Textoindependiente"/>
        <w:spacing w:before="3"/>
        <w:rPr>
          <w:sz w:val="25"/>
        </w:rPr>
      </w:pPr>
    </w:p>
    <w:p w14:paraId="5EF1949B" w14:textId="20C760D2" w:rsidR="00C350E5" w:rsidRPr="00C93F82" w:rsidRDefault="00750191">
      <w:pPr>
        <w:ind w:left="1005" w:right="444"/>
        <w:jc w:val="both"/>
        <w:rPr>
          <w:sz w:val="21"/>
        </w:rPr>
      </w:pPr>
      <w:r w:rsidRPr="00C93F82">
        <w:rPr>
          <w:sz w:val="21"/>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w:t>
      </w:r>
      <w:r w:rsidRPr="00C93F82">
        <w:rPr>
          <w:spacing w:val="5"/>
          <w:sz w:val="21"/>
        </w:rPr>
        <w:t xml:space="preserve">le </w:t>
      </w:r>
      <w:r w:rsidRPr="00C93F82">
        <w:rPr>
          <w:sz w:val="21"/>
        </w:rPr>
        <w:t>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w:t>
      </w:r>
      <w:r w:rsidRPr="00C93F82">
        <w:rPr>
          <w:spacing w:val="-12"/>
          <w:sz w:val="21"/>
        </w:rPr>
        <w:t xml:space="preserve"> </w:t>
      </w:r>
      <w:r w:rsidRPr="00C93F82">
        <w:rPr>
          <w:sz w:val="21"/>
        </w:rPr>
        <w:t>suficientemente</w:t>
      </w:r>
      <w:r w:rsidR="001962E3">
        <w:rPr>
          <w:rStyle w:val="Refdenotaalpie"/>
          <w:sz w:val="21"/>
        </w:rPr>
        <w:footnoteReference w:id="3"/>
      </w:r>
      <w:r w:rsidRPr="00C93F82">
        <w:rPr>
          <w:position w:val="7"/>
          <w:sz w:val="14"/>
        </w:rPr>
        <w:t>3</w:t>
      </w:r>
      <w:r w:rsidRPr="00C93F82">
        <w:rPr>
          <w:sz w:val="21"/>
        </w:rPr>
        <w:t>.</w:t>
      </w:r>
    </w:p>
    <w:p w14:paraId="2BD9E466" w14:textId="77777777" w:rsidR="001962E3" w:rsidRPr="00C93F82" w:rsidRDefault="001962E3">
      <w:pPr>
        <w:pStyle w:val="Textoindependiente"/>
        <w:spacing w:before="10"/>
        <w:rPr>
          <w:sz w:val="24"/>
        </w:rPr>
      </w:pPr>
    </w:p>
    <w:p w14:paraId="2710C4AC" w14:textId="77777777" w:rsidR="00C350E5" w:rsidRPr="00C93F82" w:rsidRDefault="00750191">
      <w:pPr>
        <w:pStyle w:val="Ttulo1"/>
        <w:numPr>
          <w:ilvl w:val="1"/>
          <w:numId w:val="2"/>
        </w:numPr>
        <w:tabs>
          <w:tab w:val="left" w:pos="726"/>
        </w:tabs>
      </w:pPr>
      <w:r w:rsidRPr="00C93F82">
        <w:t>Modificaciones de la Ley 1882 de</w:t>
      </w:r>
      <w:r w:rsidRPr="00C93F82">
        <w:rPr>
          <w:spacing w:val="-19"/>
        </w:rPr>
        <w:t xml:space="preserve"> </w:t>
      </w:r>
      <w:r w:rsidRPr="00C93F82">
        <w:t>2018</w:t>
      </w:r>
    </w:p>
    <w:p w14:paraId="4955B9F3" w14:textId="77777777" w:rsidR="00C350E5" w:rsidRPr="00C93F82" w:rsidRDefault="00C350E5">
      <w:pPr>
        <w:pStyle w:val="Textoindependiente"/>
        <w:spacing w:before="8"/>
        <w:rPr>
          <w:b/>
          <w:sz w:val="28"/>
        </w:rPr>
      </w:pPr>
    </w:p>
    <w:p w14:paraId="78CB7358" w14:textId="77777777" w:rsidR="00C350E5" w:rsidRPr="00C93F82" w:rsidRDefault="00750191">
      <w:pPr>
        <w:pStyle w:val="Textoindependiente"/>
        <w:spacing w:line="276" w:lineRule="auto"/>
        <w:ind w:left="300" w:right="451"/>
        <w:jc w:val="both"/>
      </w:pPr>
      <w:r w:rsidRPr="00C93F82">
        <w:t xml:space="preserve">En un </w:t>
      </w:r>
      <w:r w:rsidRPr="00C93F82">
        <w:rPr>
          <w:i/>
        </w:rPr>
        <w:t>cuarto momento</w:t>
      </w:r>
      <w:r w:rsidRPr="00C93F82">
        <w:t>, el legislador expidió la Ley 1882 de 2018, con la finalidad de introducir cambios y ajustes para fortalecer la contratación pública. El artículo 5 modificó el parágrafo 1º del artículo 5 de la Ley 1150 de</w:t>
      </w:r>
      <w:r w:rsidRPr="00C93F82">
        <w:rPr>
          <w:spacing w:val="-14"/>
        </w:rPr>
        <w:t xml:space="preserve"> </w:t>
      </w:r>
      <w:r w:rsidRPr="00C93F82">
        <w:t>2007:</w:t>
      </w:r>
    </w:p>
    <w:p w14:paraId="3014EF88" w14:textId="77777777" w:rsidR="00C350E5" w:rsidRPr="00C93F82" w:rsidRDefault="00C350E5">
      <w:pPr>
        <w:pStyle w:val="Textoindependiente"/>
        <w:spacing w:before="4"/>
        <w:rPr>
          <w:sz w:val="25"/>
        </w:rPr>
      </w:pPr>
    </w:p>
    <w:p w14:paraId="2E35F1EC" w14:textId="77777777" w:rsidR="00C350E5" w:rsidRPr="00C93F82" w:rsidRDefault="00750191">
      <w:pPr>
        <w:ind w:left="1005" w:right="5162"/>
        <w:rPr>
          <w:sz w:val="21"/>
        </w:rPr>
      </w:pPr>
      <w:r w:rsidRPr="00C93F82">
        <w:rPr>
          <w:sz w:val="21"/>
        </w:rPr>
        <w:t>Artículo 5°. De la selección objetiva. [... ]</w:t>
      </w:r>
    </w:p>
    <w:p w14:paraId="668EC971" w14:textId="77777777" w:rsidR="00C350E5" w:rsidRPr="00C93F82" w:rsidRDefault="00C350E5">
      <w:pPr>
        <w:pStyle w:val="Textoindependiente"/>
        <w:spacing w:before="10"/>
        <w:rPr>
          <w:sz w:val="20"/>
        </w:rPr>
      </w:pPr>
    </w:p>
    <w:p w14:paraId="35CA929E" w14:textId="04B4B4A5" w:rsidR="00C350E5" w:rsidRPr="00C93F82" w:rsidRDefault="00750191" w:rsidP="001962E3">
      <w:pPr>
        <w:ind w:left="1005" w:right="453"/>
        <w:jc w:val="both"/>
        <w:rPr>
          <w:sz w:val="21"/>
        </w:rPr>
      </w:pPr>
      <w:r w:rsidRPr="00C93F82">
        <w:rPr>
          <w:sz w:val="21"/>
        </w:rPr>
        <w:t xml:space="preserve">Parágrafo 1º. La ausencia de requisitos o la falta de documentos referentes a la futura contratación o al proponente, no necesarios para la comparación de las propuestas no </w:t>
      </w:r>
      <w:r w:rsidR="001962E3" w:rsidRPr="00C93F82">
        <w:rPr>
          <w:sz w:val="21"/>
        </w:rPr>
        <w:t xml:space="preserve">servirán </w:t>
      </w:r>
      <w:r w:rsidR="001962E3">
        <w:rPr>
          <w:spacing w:val="33"/>
          <w:sz w:val="21"/>
        </w:rPr>
        <w:t>d</w:t>
      </w:r>
      <w:r w:rsidR="001962E3" w:rsidRPr="00C93F82">
        <w:rPr>
          <w:spacing w:val="33"/>
          <w:sz w:val="21"/>
        </w:rPr>
        <w:t>e</w:t>
      </w:r>
      <w:r w:rsidRPr="00C93F82">
        <w:rPr>
          <w:sz w:val="21"/>
        </w:rPr>
        <w:t xml:space="preserve"> título </w:t>
      </w:r>
      <w:r w:rsidRPr="00C93F82">
        <w:rPr>
          <w:spacing w:val="34"/>
          <w:sz w:val="21"/>
        </w:rPr>
        <w:t xml:space="preserve"> </w:t>
      </w:r>
      <w:r w:rsidRPr="00C93F82">
        <w:rPr>
          <w:sz w:val="21"/>
        </w:rPr>
        <w:t xml:space="preserve">suficiente </w:t>
      </w:r>
      <w:r w:rsidRPr="00C93F82">
        <w:rPr>
          <w:spacing w:val="33"/>
          <w:sz w:val="21"/>
        </w:rPr>
        <w:t xml:space="preserve"> </w:t>
      </w:r>
      <w:r w:rsidRPr="00C93F82">
        <w:rPr>
          <w:sz w:val="21"/>
        </w:rPr>
        <w:t xml:space="preserve">para </w:t>
      </w:r>
      <w:r w:rsidRPr="00C93F82">
        <w:rPr>
          <w:spacing w:val="34"/>
          <w:sz w:val="21"/>
        </w:rPr>
        <w:t xml:space="preserve"> </w:t>
      </w:r>
      <w:r w:rsidRPr="00C93F82">
        <w:rPr>
          <w:sz w:val="21"/>
        </w:rPr>
        <w:t xml:space="preserve">el </w:t>
      </w:r>
      <w:r w:rsidRPr="00C93F82">
        <w:rPr>
          <w:spacing w:val="33"/>
          <w:sz w:val="21"/>
        </w:rPr>
        <w:t xml:space="preserve"> </w:t>
      </w:r>
      <w:r w:rsidRPr="00C93F82">
        <w:rPr>
          <w:sz w:val="21"/>
        </w:rPr>
        <w:t xml:space="preserve">rechazo </w:t>
      </w:r>
      <w:r w:rsidRPr="00C93F82">
        <w:rPr>
          <w:spacing w:val="34"/>
          <w:sz w:val="21"/>
        </w:rPr>
        <w:t xml:space="preserve"> </w:t>
      </w:r>
      <w:r w:rsidRPr="00C93F82">
        <w:rPr>
          <w:sz w:val="21"/>
        </w:rPr>
        <w:t xml:space="preserve">de </w:t>
      </w:r>
      <w:r w:rsidRPr="00C93F82">
        <w:rPr>
          <w:spacing w:val="33"/>
          <w:sz w:val="21"/>
        </w:rPr>
        <w:t xml:space="preserve"> </w:t>
      </w:r>
      <w:r w:rsidRPr="00C93F82">
        <w:rPr>
          <w:sz w:val="21"/>
        </w:rPr>
        <w:t xml:space="preserve">los </w:t>
      </w:r>
      <w:r w:rsidRPr="00C93F82">
        <w:rPr>
          <w:spacing w:val="33"/>
          <w:sz w:val="21"/>
        </w:rPr>
        <w:t xml:space="preserve"> </w:t>
      </w:r>
      <w:r w:rsidRPr="00C93F82">
        <w:rPr>
          <w:sz w:val="21"/>
        </w:rPr>
        <w:t xml:space="preserve">ofrecimientos </w:t>
      </w:r>
      <w:r w:rsidRPr="00C93F82">
        <w:rPr>
          <w:spacing w:val="34"/>
          <w:sz w:val="21"/>
        </w:rPr>
        <w:t xml:space="preserve"> </w:t>
      </w:r>
      <w:r w:rsidRPr="00C93F82">
        <w:rPr>
          <w:sz w:val="21"/>
        </w:rPr>
        <w:t xml:space="preserve">hechos. </w:t>
      </w:r>
      <w:r w:rsidRPr="00C93F82">
        <w:rPr>
          <w:spacing w:val="32"/>
          <w:sz w:val="21"/>
        </w:rPr>
        <w:t xml:space="preserve"> </w:t>
      </w:r>
      <w:r w:rsidRPr="00C93F82">
        <w:rPr>
          <w:sz w:val="21"/>
        </w:rPr>
        <w:t>En</w:t>
      </w:r>
      <w:r w:rsidR="001962E3">
        <w:rPr>
          <w:sz w:val="21"/>
        </w:rPr>
        <w:t xml:space="preserve"> </w:t>
      </w:r>
      <w:r w:rsidRPr="00C93F82">
        <w:rPr>
          <w:sz w:val="21"/>
        </w:rPr>
        <w:t xml:space="preserve">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w:t>
      </w:r>
      <w:r w:rsidRPr="00C93F82">
        <w:rPr>
          <w:sz w:val="21"/>
        </w:rPr>
        <w:lastRenderedPageBreak/>
        <w:t>anteriormente señalado. Durante el término otorgado para subsanar las ofertas, los proponentes no podrán acreditar circunstancias ocurridas con posterioridad al cierre del</w:t>
      </w:r>
      <w:r w:rsidRPr="00C93F82">
        <w:rPr>
          <w:spacing w:val="-2"/>
          <w:sz w:val="21"/>
        </w:rPr>
        <w:t xml:space="preserve"> </w:t>
      </w:r>
      <w:r w:rsidRPr="00C93F82">
        <w:rPr>
          <w:sz w:val="21"/>
        </w:rPr>
        <w:t>proceso.</w:t>
      </w:r>
    </w:p>
    <w:p w14:paraId="37678579" w14:textId="77777777" w:rsidR="00C350E5" w:rsidRPr="00C93F82" w:rsidRDefault="00C350E5">
      <w:pPr>
        <w:pStyle w:val="Textoindependiente"/>
        <w:spacing w:before="3"/>
        <w:rPr>
          <w:sz w:val="25"/>
        </w:rPr>
      </w:pPr>
    </w:p>
    <w:p w14:paraId="19785724" w14:textId="77777777" w:rsidR="00C350E5" w:rsidRPr="00C93F82" w:rsidRDefault="00750191">
      <w:pPr>
        <w:pStyle w:val="Textoindependiente"/>
        <w:spacing w:before="1" w:line="276" w:lineRule="auto"/>
        <w:ind w:left="300" w:right="453" w:firstLine="704"/>
        <w:jc w:val="both"/>
      </w:pPr>
      <w:r w:rsidRPr="00C93F82">
        <w:t xml:space="preserve">Como puede observarse, </w:t>
      </w:r>
      <w:bookmarkStart w:id="0" w:name="_Hlk34820373"/>
      <w:r w:rsidRPr="00C93F82">
        <w:t>esta norma: i) mantiene el criterio de la Ley 80 de 1993, relativo a que todo lo que no sea necesario para la comparación de propuestas no es título suficiente para su rechazo; ii) mantiene el criterio aclaratorio de la Ley 1150 de 2007,</w:t>
      </w:r>
      <w:r w:rsidRPr="00C93F82">
        <w:rPr>
          <w:spacing w:val="11"/>
        </w:rPr>
        <w:t xml:space="preserve"> </w:t>
      </w:r>
      <w:r w:rsidRPr="00C93F82">
        <w:t>según</w:t>
      </w:r>
      <w:r w:rsidRPr="00C93F82">
        <w:rPr>
          <w:spacing w:val="13"/>
        </w:rPr>
        <w:t xml:space="preserve"> </w:t>
      </w:r>
      <w:r w:rsidRPr="00C93F82">
        <w:t>el</w:t>
      </w:r>
      <w:r w:rsidRPr="00C93F82">
        <w:rPr>
          <w:spacing w:val="12"/>
        </w:rPr>
        <w:t xml:space="preserve"> </w:t>
      </w:r>
      <w:r w:rsidRPr="00C93F82">
        <w:t>cual</w:t>
      </w:r>
      <w:r w:rsidRPr="00C93F82">
        <w:rPr>
          <w:spacing w:val="13"/>
        </w:rPr>
        <w:t xml:space="preserve"> </w:t>
      </w:r>
      <w:r w:rsidRPr="00C93F82">
        <w:t>todo</w:t>
      </w:r>
      <w:r w:rsidRPr="00C93F82">
        <w:rPr>
          <w:spacing w:val="11"/>
        </w:rPr>
        <w:t xml:space="preserve"> </w:t>
      </w:r>
      <w:r w:rsidRPr="00C93F82">
        <w:t>lo</w:t>
      </w:r>
      <w:r w:rsidRPr="00C93F82">
        <w:rPr>
          <w:spacing w:val="12"/>
        </w:rPr>
        <w:t xml:space="preserve"> </w:t>
      </w:r>
      <w:r w:rsidRPr="00C93F82">
        <w:t>que</w:t>
      </w:r>
      <w:r w:rsidRPr="00C93F82">
        <w:rPr>
          <w:spacing w:val="11"/>
        </w:rPr>
        <w:t xml:space="preserve"> </w:t>
      </w:r>
      <w:r w:rsidRPr="00C93F82">
        <w:t>no</w:t>
      </w:r>
      <w:r w:rsidRPr="00C93F82">
        <w:rPr>
          <w:spacing w:val="12"/>
        </w:rPr>
        <w:t xml:space="preserve"> </w:t>
      </w:r>
      <w:r w:rsidRPr="00C93F82">
        <w:t>afecte</w:t>
      </w:r>
      <w:r w:rsidRPr="00C93F82">
        <w:rPr>
          <w:spacing w:val="10"/>
        </w:rPr>
        <w:t xml:space="preserve"> </w:t>
      </w:r>
      <w:r w:rsidRPr="00C93F82">
        <w:t>la</w:t>
      </w:r>
      <w:r w:rsidRPr="00C93F82">
        <w:rPr>
          <w:spacing w:val="13"/>
        </w:rPr>
        <w:t xml:space="preserve"> </w:t>
      </w:r>
      <w:r w:rsidRPr="00C93F82">
        <w:t>asignación</w:t>
      </w:r>
      <w:r w:rsidRPr="00C93F82">
        <w:rPr>
          <w:spacing w:val="12"/>
        </w:rPr>
        <w:t xml:space="preserve"> </w:t>
      </w:r>
      <w:r w:rsidRPr="00C93F82">
        <w:t>de</w:t>
      </w:r>
      <w:r w:rsidRPr="00C93F82">
        <w:rPr>
          <w:spacing w:val="10"/>
        </w:rPr>
        <w:t xml:space="preserve"> </w:t>
      </w:r>
      <w:r w:rsidRPr="00C93F82">
        <w:t>puntaje</w:t>
      </w:r>
      <w:r w:rsidRPr="00C93F82">
        <w:rPr>
          <w:spacing w:val="10"/>
        </w:rPr>
        <w:t xml:space="preserve"> </w:t>
      </w:r>
      <w:r w:rsidRPr="00C93F82">
        <w:t>puede</w:t>
      </w:r>
      <w:r w:rsidRPr="00C93F82">
        <w:rPr>
          <w:spacing w:val="12"/>
        </w:rPr>
        <w:t xml:space="preserve"> </w:t>
      </w:r>
      <w:r w:rsidRPr="00C93F82">
        <w:t>subsanarse</w:t>
      </w:r>
      <w:r w:rsidRPr="00C93F82">
        <w:rPr>
          <w:spacing w:val="12"/>
        </w:rPr>
        <w:t xml:space="preserve"> </w:t>
      </w:r>
      <w:r w:rsidRPr="00C93F82">
        <w:t>y,</w:t>
      </w:r>
    </w:p>
    <w:p w14:paraId="38B3ADEF" w14:textId="05A6D5B2" w:rsidR="00C350E5" w:rsidRPr="00C93F82" w:rsidRDefault="00750191">
      <w:pPr>
        <w:pStyle w:val="Textoindependiente"/>
        <w:spacing w:line="278" w:lineRule="auto"/>
        <w:ind w:left="300" w:right="454"/>
        <w:jc w:val="both"/>
      </w:pPr>
      <w:r w:rsidRPr="00C93F82">
        <w:t>iii) introduce modificaciones en relación con cuatro aspectos que se analizarán a continuación.</w:t>
      </w:r>
    </w:p>
    <w:bookmarkEnd w:id="0"/>
    <w:p w14:paraId="602489F5" w14:textId="3244C625" w:rsidR="00C350E5" w:rsidRPr="00C93F82" w:rsidRDefault="00750191">
      <w:pPr>
        <w:pStyle w:val="Textoindependiente"/>
        <w:spacing w:line="276" w:lineRule="auto"/>
        <w:ind w:left="300" w:right="445" w:firstLine="704"/>
        <w:jc w:val="both"/>
      </w:pPr>
      <w:r w:rsidRPr="00C93F82">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001962E3">
        <w:rPr>
          <w:rStyle w:val="Refdenotaalpie"/>
        </w:rPr>
        <w:footnoteReference w:id="4"/>
      </w:r>
      <w:r w:rsidRPr="00C93F82">
        <w:t>; en el último los documentos o requisitos subsanables pueden y deben solicitarse hasta el momento previo a su</w:t>
      </w:r>
      <w:r w:rsidRPr="00C93F82">
        <w:rPr>
          <w:spacing w:val="-8"/>
        </w:rPr>
        <w:t xml:space="preserve"> </w:t>
      </w:r>
      <w:r w:rsidRPr="00C93F82">
        <w:t>realización.</w:t>
      </w:r>
    </w:p>
    <w:p w14:paraId="74CD5790" w14:textId="77777777" w:rsidR="00C350E5" w:rsidRPr="00C93F82" w:rsidRDefault="00750191">
      <w:pPr>
        <w:pStyle w:val="Textoindependiente"/>
        <w:spacing w:line="276" w:lineRule="auto"/>
        <w:ind w:left="300" w:right="452" w:firstLine="704"/>
        <w:jc w:val="both"/>
      </w:pPr>
      <w:r w:rsidRPr="00C93F82">
        <w:t xml:space="preserve">Frente a la regla general, </w:t>
      </w:r>
      <w:bookmarkStart w:id="1" w:name="_Hlk34820417"/>
      <w:r w:rsidRPr="00C93F82">
        <w:t>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C93F82">
        <w:rPr>
          <w:spacing w:val="-10"/>
        </w:rPr>
        <w:t xml:space="preserve"> </w:t>
      </w:r>
      <w:r w:rsidRPr="00C93F82">
        <w:t>evaluación.</w:t>
      </w:r>
      <w:bookmarkEnd w:id="1"/>
    </w:p>
    <w:p w14:paraId="04A52E2C" w14:textId="77777777" w:rsidR="00C350E5" w:rsidRPr="00C93F82" w:rsidRDefault="00750191">
      <w:pPr>
        <w:spacing w:line="276" w:lineRule="auto"/>
        <w:ind w:left="300" w:right="448" w:firstLine="704"/>
        <w:jc w:val="both"/>
      </w:pPr>
      <w:r w:rsidRPr="00C93F82">
        <w:t>En efecto, la redacción de la norma permite que la Administración solicite a los oferentes subsanar y que estos lo hagan hasta antes del término del traslado del informe de evaluación: «</w:t>
      </w:r>
      <w:r w:rsidRPr="00C93F82">
        <w:rPr>
          <w:i/>
        </w:rPr>
        <w:t xml:space="preserve">deberán ser </w:t>
      </w:r>
      <w:r w:rsidRPr="00C93F82">
        <w:rPr>
          <w:b/>
          <w:i/>
        </w:rPr>
        <w:t xml:space="preserve">solicitados </w:t>
      </w:r>
      <w:r w:rsidRPr="00C93F82">
        <w:rPr>
          <w:i/>
        </w:rPr>
        <w:t xml:space="preserve">por las entidades estatales y deberán ser </w:t>
      </w:r>
      <w:r w:rsidRPr="00C93F82">
        <w:rPr>
          <w:b/>
          <w:i/>
        </w:rPr>
        <w:t xml:space="preserve">entregados </w:t>
      </w:r>
      <w:r w:rsidRPr="00C93F82">
        <w:rPr>
          <w:i/>
        </w:rPr>
        <w:t xml:space="preserve">por los proponentes </w:t>
      </w:r>
      <w:r w:rsidRPr="00C93F82">
        <w:rPr>
          <w:b/>
          <w:i/>
        </w:rPr>
        <w:t xml:space="preserve">hasta </w:t>
      </w:r>
      <w:r w:rsidRPr="00C93F82">
        <w:rPr>
          <w:i/>
        </w:rPr>
        <w:t xml:space="preserve">el término de traslado del informe de evaluación que corresponda a cada modalidad de selección» </w:t>
      </w:r>
      <w:r w:rsidRPr="00C93F82">
        <w:t>—cursivas fuera de texto—.</w:t>
      </w:r>
    </w:p>
    <w:p w14:paraId="38560543" w14:textId="5E3E0019" w:rsidR="00C350E5" w:rsidRPr="00C93F82" w:rsidRDefault="00750191" w:rsidP="001962E3">
      <w:pPr>
        <w:pStyle w:val="Textoindependiente"/>
        <w:spacing w:line="276" w:lineRule="auto"/>
        <w:ind w:left="300" w:right="448" w:firstLine="704"/>
        <w:jc w:val="both"/>
      </w:pPr>
      <w:r w:rsidRPr="00C93F82">
        <w:t>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w:t>
      </w:r>
      <w:r w:rsidRPr="00C93F82">
        <w:rPr>
          <w:spacing w:val="12"/>
        </w:rPr>
        <w:t xml:space="preserve"> </w:t>
      </w:r>
      <w:r w:rsidRPr="00C93F82">
        <w:t>este</w:t>
      </w:r>
      <w:r w:rsidRPr="00C93F82">
        <w:rPr>
          <w:spacing w:val="12"/>
        </w:rPr>
        <w:t xml:space="preserve"> </w:t>
      </w:r>
      <w:r w:rsidRPr="00C93F82">
        <w:t>documento</w:t>
      </w:r>
      <w:r w:rsidRPr="00C93F82">
        <w:rPr>
          <w:spacing w:val="12"/>
        </w:rPr>
        <w:t xml:space="preserve"> </w:t>
      </w:r>
      <w:r w:rsidRPr="00C93F82">
        <w:t>donde</w:t>
      </w:r>
      <w:r w:rsidRPr="00C93F82">
        <w:rPr>
          <w:spacing w:val="12"/>
        </w:rPr>
        <w:t xml:space="preserve"> </w:t>
      </w:r>
      <w:r w:rsidRPr="00C93F82">
        <w:t>la</w:t>
      </w:r>
      <w:r w:rsidRPr="00C93F82">
        <w:rPr>
          <w:spacing w:val="10"/>
        </w:rPr>
        <w:t xml:space="preserve"> </w:t>
      </w:r>
      <w:r w:rsidRPr="00C93F82">
        <w:t>Administración</w:t>
      </w:r>
      <w:r w:rsidRPr="00C93F82">
        <w:rPr>
          <w:spacing w:val="10"/>
        </w:rPr>
        <w:t xml:space="preserve"> </w:t>
      </w:r>
      <w:r w:rsidRPr="00C93F82">
        <w:t>consigna</w:t>
      </w:r>
      <w:r w:rsidRPr="00C93F82">
        <w:rPr>
          <w:spacing w:val="10"/>
        </w:rPr>
        <w:t xml:space="preserve"> </w:t>
      </w:r>
      <w:r w:rsidRPr="00C93F82">
        <w:t>los</w:t>
      </w:r>
      <w:r w:rsidRPr="00C93F82">
        <w:rPr>
          <w:spacing w:val="12"/>
        </w:rPr>
        <w:t xml:space="preserve"> </w:t>
      </w:r>
      <w:r w:rsidRPr="00C93F82">
        <w:t>requisitos</w:t>
      </w:r>
      <w:r w:rsidRPr="00C93F82">
        <w:rPr>
          <w:spacing w:val="12"/>
        </w:rPr>
        <w:t xml:space="preserve"> </w:t>
      </w:r>
      <w:r w:rsidRPr="00C93F82">
        <w:t>o</w:t>
      </w:r>
      <w:r w:rsidRPr="00C93F82">
        <w:rPr>
          <w:spacing w:val="11"/>
        </w:rPr>
        <w:t xml:space="preserve"> </w:t>
      </w:r>
      <w:r w:rsidRPr="00C93F82">
        <w:t>documentos</w:t>
      </w:r>
      <w:r w:rsidR="001962E3">
        <w:t xml:space="preserve"> </w:t>
      </w:r>
      <w:r w:rsidRPr="00C93F82">
        <w:t>omitidos que los oferentes deben subsanar, so pena de rechazo; segunda, que el término del traslado del informe de evaluación es el límite para la subsanación de ofertas, pero no el único momento para hacerlo.</w:t>
      </w:r>
    </w:p>
    <w:p w14:paraId="5714AC56" w14:textId="77777777" w:rsidR="00C350E5" w:rsidRPr="00C93F82" w:rsidRDefault="00750191">
      <w:pPr>
        <w:pStyle w:val="Textoindependiente"/>
        <w:spacing w:line="276" w:lineRule="auto"/>
        <w:ind w:left="300" w:right="450" w:firstLine="704"/>
        <w:jc w:val="both"/>
      </w:pPr>
      <w:r w:rsidRPr="00C93F82">
        <w:t xml:space="preserve">De acuerdo con la primera interpretación, el informe de evaluación se convierte en la oportunidad que adopta la Administración para decirle a los oferentes qué documentos o requisitos omitió y debe subsanar y, consecuentemente, el término del traslado es la </w:t>
      </w:r>
      <w:r w:rsidRPr="00C93F82">
        <w:lastRenderedPageBreak/>
        <w:t>oportunidad del proponente para cumplir con lo solicitado.</w:t>
      </w:r>
    </w:p>
    <w:p w14:paraId="4F2446A5" w14:textId="77777777" w:rsidR="00C350E5" w:rsidRPr="00C93F82" w:rsidRDefault="00750191">
      <w:pPr>
        <w:pStyle w:val="Textoindependiente"/>
        <w:spacing w:line="276" w:lineRule="auto"/>
        <w:ind w:left="300" w:right="450" w:firstLine="704"/>
        <w:jc w:val="both"/>
      </w:pPr>
      <w:r w:rsidRPr="00C93F82">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 ley.</w:t>
      </w:r>
    </w:p>
    <w:p w14:paraId="3DB6F4E5" w14:textId="77777777" w:rsidR="00C350E5" w:rsidRPr="00C93F82" w:rsidRDefault="00750191">
      <w:pPr>
        <w:pStyle w:val="Textoindependiente"/>
        <w:spacing w:line="276" w:lineRule="auto"/>
        <w:ind w:left="300" w:right="443" w:firstLine="704"/>
        <w:jc w:val="both"/>
      </w:pPr>
      <w:r w:rsidRPr="00C93F82">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2EDDBD93" w14:textId="77777777" w:rsidR="00C350E5" w:rsidRPr="00C93F82" w:rsidRDefault="00750191">
      <w:pPr>
        <w:pStyle w:val="Textoindependiente"/>
        <w:spacing w:line="276" w:lineRule="auto"/>
        <w:ind w:left="300" w:right="451" w:firstLine="704"/>
        <w:jc w:val="both"/>
      </w:pPr>
      <w:r w:rsidRPr="00C93F82">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14:paraId="0BBE75B7" w14:textId="77777777" w:rsidR="00C350E5" w:rsidRPr="00C93F82" w:rsidRDefault="00750191">
      <w:pPr>
        <w:spacing w:before="1" w:line="276" w:lineRule="auto"/>
        <w:ind w:left="300" w:right="446" w:firstLine="704"/>
        <w:jc w:val="both"/>
      </w:pPr>
      <w:r w:rsidRPr="00C93F82">
        <w:t xml:space="preserve">De otro lado, </w:t>
      </w:r>
      <w:bookmarkStart w:id="2" w:name="_Hlk34820662"/>
      <w:r w:rsidRPr="00C93F82">
        <w:t>el segundo cambio importante de la Ley 1882 de 2018 fue la introducción de un criterio material, directamente relacionado con los aspectos subsanables: «</w:t>
      </w:r>
      <w:r w:rsidRPr="00C93F82">
        <w:rPr>
          <w:i/>
        </w:rPr>
        <w:t>los proponentes no podrán acreditar circunstancias ocurridas con posterioridad al cierre del proceso</w:t>
      </w:r>
      <w:r w:rsidRPr="00C93F82">
        <w:t>»</w:t>
      </w:r>
      <w:r w:rsidRPr="00C93F82">
        <w:rPr>
          <w:b/>
        </w:rPr>
        <w:t xml:space="preserve">. </w:t>
      </w:r>
      <w:r w:rsidRPr="00C93F82">
        <w:t>Lo anterior nos ofrece dos aspectos que merecen clarificación; primero, qué debe entenderse por circunstancias ocurridas con posterioridad; y segundo, qué es el cierre del</w:t>
      </w:r>
      <w:r w:rsidRPr="00C93F82">
        <w:rPr>
          <w:spacing w:val="-8"/>
        </w:rPr>
        <w:t xml:space="preserve"> </w:t>
      </w:r>
      <w:r w:rsidRPr="00C93F82">
        <w:t>proceso.</w:t>
      </w:r>
    </w:p>
    <w:bookmarkEnd w:id="2"/>
    <w:p w14:paraId="7F1B9A35" w14:textId="57F89EA8" w:rsidR="00C350E5" w:rsidRPr="00C93F82" w:rsidRDefault="00750191" w:rsidP="00BA11A2">
      <w:pPr>
        <w:pStyle w:val="Textoindependiente"/>
        <w:spacing w:line="276" w:lineRule="auto"/>
        <w:ind w:left="300" w:right="453" w:firstLine="704"/>
        <w:jc w:val="both"/>
      </w:pPr>
      <w:r w:rsidRPr="00C93F82">
        <w:t>La Sala de Consulta y Servicio Civil del Consejo de Estado ya había tenido la oportunidad de precisar estas expresiones, a propósito de un concepto en el que se</w:t>
      </w:r>
      <w:r w:rsidR="00BA11A2">
        <w:t xml:space="preserve"> </w:t>
      </w:r>
      <w:r w:rsidRPr="00C93F82">
        <w:t>refirió al artículo 10 del derogado Decreto 2474 de 2008</w:t>
      </w:r>
      <w:r w:rsidR="001962E3">
        <w:rPr>
          <w:rStyle w:val="Refdenotaalpie"/>
        </w:rPr>
        <w:footnoteReference w:id="5"/>
      </w:r>
      <w:r w:rsidRPr="00C93F82">
        <w:t xml:space="preserve">, que había determinado que en </w:t>
      </w:r>
      <w:r w:rsidRPr="00C93F82">
        <w:lastRenderedPageBreak/>
        <w:t>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p>
    <w:p w14:paraId="60F7DC09" w14:textId="77777777" w:rsidR="00C350E5" w:rsidRPr="00C93F82" w:rsidRDefault="00C350E5">
      <w:pPr>
        <w:pStyle w:val="Textoindependiente"/>
        <w:spacing w:before="2"/>
        <w:rPr>
          <w:sz w:val="25"/>
        </w:rPr>
      </w:pPr>
    </w:p>
    <w:p w14:paraId="1FC13DFB" w14:textId="77777777" w:rsidR="00C350E5" w:rsidRPr="00C93F82" w:rsidRDefault="00750191">
      <w:pPr>
        <w:spacing w:before="1"/>
        <w:ind w:left="1005" w:right="1014"/>
        <w:jc w:val="both"/>
        <w:rPr>
          <w:sz w:val="21"/>
        </w:rPr>
      </w:pPr>
      <w:r w:rsidRPr="00C93F82">
        <w:rPr>
          <w:sz w:val="21"/>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w:t>
      </w:r>
      <w:r w:rsidRPr="00C93F82">
        <w:rPr>
          <w:spacing w:val="-4"/>
          <w:sz w:val="21"/>
        </w:rPr>
        <w:t xml:space="preserve"> </w:t>
      </w:r>
      <w:r w:rsidRPr="00C93F82">
        <w:rPr>
          <w:sz w:val="21"/>
        </w:rPr>
        <w:t>ofertas.</w:t>
      </w:r>
    </w:p>
    <w:p w14:paraId="53739190" w14:textId="77777777" w:rsidR="00C350E5" w:rsidRPr="00C93F82" w:rsidRDefault="00C350E5">
      <w:pPr>
        <w:pStyle w:val="Textoindependiente"/>
        <w:spacing w:before="10"/>
        <w:rPr>
          <w:sz w:val="20"/>
        </w:rPr>
      </w:pPr>
    </w:p>
    <w:p w14:paraId="7D6CD99E" w14:textId="51AFC7C1" w:rsidR="00C350E5" w:rsidRPr="00C93F82" w:rsidRDefault="00750191" w:rsidP="001962E3">
      <w:pPr>
        <w:ind w:left="1005" w:right="1013"/>
        <w:jc w:val="both"/>
        <w:rPr>
          <w:sz w:val="20"/>
        </w:rPr>
      </w:pPr>
      <w:r w:rsidRPr="00C93F82">
        <w:rPr>
          <w:sz w:val="2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w:t>
      </w:r>
      <w:r w:rsidRPr="00C93F82">
        <w:rPr>
          <w:spacing w:val="4"/>
          <w:sz w:val="21"/>
        </w:rPr>
        <w:t xml:space="preserve">de </w:t>
      </w:r>
      <w:r w:rsidRPr="00C93F82">
        <w:rPr>
          <w:sz w:val="21"/>
        </w:rPr>
        <w:t>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w:t>
      </w:r>
      <w:r w:rsidRPr="00C93F82">
        <w:rPr>
          <w:spacing w:val="-21"/>
          <w:sz w:val="21"/>
        </w:rPr>
        <w:t xml:space="preserve"> </w:t>
      </w:r>
      <w:r w:rsidRPr="00C93F82">
        <w:rPr>
          <w:sz w:val="21"/>
        </w:rPr>
        <w:t>participar</w:t>
      </w:r>
      <w:r w:rsidR="001962E3">
        <w:rPr>
          <w:rStyle w:val="Refdenotaalpie"/>
          <w:sz w:val="21"/>
        </w:rPr>
        <w:footnoteReference w:id="6"/>
      </w:r>
      <w:r w:rsidRPr="00C93F82">
        <w:rPr>
          <w:sz w:val="21"/>
        </w:rPr>
        <w:t>.</w:t>
      </w:r>
    </w:p>
    <w:p w14:paraId="2E52CFAB" w14:textId="77777777" w:rsidR="00C350E5" w:rsidRPr="00C93F82" w:rsidRDefault="00C350E5">
      <w:pPr>
        <w:pStyle w:val="Textoindependiente"/>
        <w:spacing w:before="9"/>
      </w:pPr>
    </w:p>
    <w:p w14:paraId="39F59DFA" w14:textId="77777777" w:rsidR="00C350E5" w:rsidRPr="00C93F82" w:rsidRDefault="00750191">
      <w:pPr>
        <w:pStyle w:val="Textoindependiente"/>
        <w:spacing w:line="276" w:lineRule="auto"/>
        <w:ind w:left="300" w:right="448" w:firstLine="704"/>
        <w:jc w:val="both"/>
      </w:pPr>
      <w:bookmarkStart w:id="3" w:name="_Hlk34820754"/>
      <w:r w:rsidRPr="00C93F82">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bookmarkEnd w:id="3"/>
    <w:p w14:paraId="1EBA44E8" w14:textId="77777777" w:rsidR="00C350E5" w:rsidRPr="00C93F82" w:rsidRDefault="00750191">
      <w:pPr>
        <w:pStyle w:val="Textoindependiente"/>
        <w:spacing w:before="2" w:line="276" w:lineRule="auto"/>
        <w:ind w:left="300" w:right="447" w:firstLine="704"/>
        <w:jc w:val="both"/>
      </w:pPr>
      <w:r w:rsidRPr="00C93F82">
        <w:t xml:space="preserve">Un mejor entendimiento del significado de la expresión «circunstancias ocurridas con posterioridad al cierre del proceso» lleva necesariamente a distinguir entre la prueba de un hecho y el hecho mismo. En el caso de la subsanabilidad de las ofertas, una cosa </w:t>
      </w:r>
      <w:r w:rsidRPr="00C93F82">
        <w:lastRenderedPageBreak/>
        <w:t>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14:paraId="6F62F15F" w14:textId="3FDBEAAA" w:rsidR="00C350E5" w:rsidRPr="00C93F82" w:rsidRDefault="00750191" w:rsidP="001962E3">
      <w:pPr>
        <w:pStyle w:val="Textoindependiente"/>
        <w:spacing w:line="276" w:lineRule="auto"/>
        <w:ind w:left="300" w:right="443" w:firstLine="704"/>
        <w:jc w:val="both"/>
      </w:pPr>
      <w:r w:rsidRPr="00C93F82">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001962E3">
        <w:rPr>
          <w:rStyle w:val="Refdenotaalpie"/>
        </w:rPr>
        <w:footnoteReference w:id="7"/>
      </w:r>
      <w:r w:rsidRPr="00C93F82">
        <w:t>; iii) si un oferente no anexó el Certificado de existencia y representación legal, el documento aportado con posterioridad debe dar cuenta de que la sociedad existe antes del cierre del proceso</w:t>
      </w:r>
      <w:r w:rsidR="001962E3">
        <w:rPr>
          <w:rStyle w:val="Refdenotaalpie"/>
        </w:rPr>
        <w:footnoteReference w:id="8"/>
      </w:r>
      <w:r w:rsidRPr="00C93F82">
        <w:t>; iv) si un oferente olvidó adjuntar un certificado que demuestra un título universitario, el documento, aunque tenga fecha posterior al cierre del proceso, debe acreditar que el título académico se obtuvo con anterioridad al mismo; v) si un oferente no allegó un certificado de experiencia, el documento que subsana —sin importar que tenga fecha posterior— debe demostrar que la experiencia que se pretende hacer valer se obtuvo antes de vencerse el término para presentar ofertas; vi) si el oferente olvidó firmar la propuesta o presentar una copia de ella, puede subsanar sin que con ello se entienda que acreditó una circunstancia ocurrida con posterioridad al cierre del</w:t>
      </w:r>
      <w:r w:rsidRPr="00C93F82">
        <w:rPr>
          <w:spacing w:val="19"/>
        </w:rPr>
        <w:t xml:space="preserve"> </w:t>
      </w:r>
      <w:r w:rsidRPr="00C93F82">
        <w:t>proceso</w:t>
      </w:r>
      <w:r w:rsidRPr="00C93F82">
        <w:rPr>
          <w:spacing w:val="18"/>
        </w:rPr>
        <w:t xml:space="preserve"> </w:t>
      </w:r>
      <w:r w:rsidRPr="00C93F82">
        <w:t>y</w:t>
      </w:r>
      <w:r w:rsidRPr="00C93F82">
        <w:rPr>
          <w:spacing w:val="15"/>
        </w:rPr>
        <w:t xml:space="preserve"> </w:t>
      </w:r>
      <w:r w:rsidRPr="00C93F82">
        <w:t>vii)</w:t>
      </w:r>
      <w:r w:rsidRPr="00C93F82">
        <w:rPr>
          <w:spacing w:val="17"/>
        </w:rPr>
        <w:t xml:space="preserve"> </w:t>
      </w:r>
      <w:r w:rsidRPr="00C93F82">
        <w:t>si</w:t>
      </w:r>
      <w:r w:rsidRPr="00C93F82">
        <w:rPr>
          <w:spacing w:val="19"/>
        </w:rPr>
        <w:t xml:space="preserve"> </w:t>
      </w:r>
      <w:r w:rsidRPr="00C93F82">
        <w:t>el</w:t>
      </w:r>
      <w:r w:rsidRPr="00C93F82">
        <w:rPr>
          <w:spacing w:val="19"/>
        </w:rPr>
        <w:t xml:space="preserve"> </w:t>
      </w:r>
      <w:r w:rsidRPr="00C93F82">
        <w:t>oferente</w:t>
      </w:r>
      <w:r w:rsidRPr="00C93F82">
        <w:rPr>
          <w:spacing w:val="18"/>
        </w:rPr>
        <w:t xml:space="preserve"> </w:t>
      </w:r>
      <w:r w:rsidRPr="00C93F82">
        <w:t>olvidó</w:t>
      </w:r>
      <w:r w:rsidRPr="00C93F82">
        <w:rPr>
          <w:spacing w:val="18"/>
        </w:rPr>
        <w:t xml:space="preserve"> </w:t>
      </w:r>
      <w:r w:rsidRPr="00C93F82">
        <w:t>adjuntar</w:t>
      </w:r>
      <w:r w:rsidRPr="00C93F82">
        <w:rPr>
          <w:spacing w:val="17"/>
        </w:rPr>
        <w:t xml:space="preserve"> </w:t>
      </w:r>
      <w:r w:rsidRPr="00C93F82">
        <w:t>la</w:t>
      </w:r>
      <w:r w:rsidRPr="00C93F82">
        <w:rPr>
          <w:spacing w:val="15"/>
        </w:rPr>
        <w:t xml:space="preserve"> </w:t>
      </w:r>
      <w:r w:rsidRPr="00C93F82">
        <w:t>carta</w:t>
      </w:r>
      <w:r w:rsidRPr="00C93F82">
        <w:rPr>
          <w:spacing w:val="19"/>
        </w:rPr>
        <w:t xml:space="preserve"> </w:t>
      </w:r>
      <w:r w:rsidRPr="00C93F82">
        <w:t>de</w:t>
      </w:r>
      <w:r w:rsidRPr="00C93F82">
        <w:rPr>
          <w:spacing w:val="18"/>
        </w:rPr>
        <w:t xml:space="preserve"> </w:t>
      </w:r>
      <w:r w:rsidRPr="00C93F82">
        <w:t>conformación</w:t>
      </w:r>
      <w:r w:rsidRPr="00C93F82">
        <w:rPr>
          <w:spacing w:val="25"/>
        </w:rPr>
        <w:t xml:space="preserve"> </w:t>
      </w:r>
      <w:r w:rsidRPr="00C93F82">
        <w:t>del</w:t>
      </w:r>
      <w:r w:rsidRPr="00C93F82">
        <w:rPr>
          <w:spacing w:val="19"/>
        </w:rPr>
        <w:t xml:space="preserve"> </w:t>
      </w:r>
      <w:r w:rsidRPr="00C93F82">
        <w:t>consorcio</w:t>
      </w:r>
      <w:r w:rsidRPr="00C93F82">
        <w:rPr>
          <w:spacing w:val="19"/>
        </w:rPr>
        <w:t xml:space="preserve"> </w:t>
      </w:r>
      <w:r w:rsidRPr="00C93F82">
        <w:t>o</w:t>
      </w:r>
      <w:r w:rsidR="001962E3">
        <w:t xml:space="preserve"> </w:t>
      </w:r>
      <w:r w:rsidRPr="00C93F82">
        <w:t>unión temporal, la puede allegar siempre que demuestre que fue conformado antes del cierre del proceso.</w:t>
      </w:r>
    </w:p>
    <w:p w14:paraId="41D2C046" w14:textId="77777777" w:rsidR="00C350E5" w:rsidRPr="00C93F82" w:rsidRDefault="00750191">
      <w:pPr>
        <w:pStyle w:val="Textoindependiente"/>
        <w:spacing w:line="276" w:lineRule="auto"/>
        <w:ind w:left="300" w:right="446" w:firstLine="704"/>
        <w:jc w:val="both"/>
      </w:pPr>
      <w:r w:rsidRPr="00C93F82">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w:t>
      </w:r>
    </w:p>
    <w:p w14:paraId="4D271386" w14:textId="0D8CB90B" w:rsidR="00C350E5" w:rsidRPr="00C93F82" w:rsidRDefault="00750191">
      <w:pPr>
        <w:pStyle w:val="Textoindependiente"/>
        <w:spacing w:line="276" w:lineRule="auto"/>
        <w:ind w:left="300" w:right="446" w:firstLine="704"/>
        <w:jc w:val="both"/>
      </w:pPr>
      <w:r w:rsidRPr="00C93F82">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1962E3">
        <w:rPr>
          <w:rStyle w:val="Refdenotaalpie"/>
        </w:rPr>
        <w:footnoteReference w:id="9"/>
      </w:r>
      <w:r w:rsidRPr="00C93F82">
        <w:t>.</w:t>
      </w:r>
    </w:p>
    <w:p w14:paraId="6F24CA34" w14:textId="77777777" w:rsidR="00C350E5" w:rsidRPr="00C93F82" w:rsidRDefault="00750191">
      <w:pPr>
        <w:pStyle w:val="Textoindependiente"/>
        <w:spacing w:line="276" w:lineRule="auto"/>
        <w:ind w:left="300" w:right="449" w:firstLine="704"/>
        <w:jc w:val="both"/>
      </w:pPr>
      <w:r w:rsidRPr="00C93F82">
        <w:lastRenderedPageBreak/>
        <w:t xml:space="preserve">Visto lo anterior, verificada la ausencia de requisitos y/o documentos de la oferta, para saber si se puede subsanar, la Administración se debe preguntar, en primer lugar, si lo que hace falta es un </w:t>
      </w:r>
      <w:r w:rsidRPr="00C93F82">
        <w:rPr>
          <w:i/>
        </w:rPr>
        <w:t xml:space="preserve">ítem </w:t>
      </w:r>
      <w:r w:rsidRPr="00C93F82">
        <w:t>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w:t>
      </w:r>
      <w:r w:rsidRPr="00C93F82">
        <w:rPr>
          <w:spacing w:val="-4"/>
        </w:rPr>
        <w:t xml:space="preserve"> </w:t>
      </w:r>
      <w:r w:rsidRPr="00C93F82">
        <w:t>proceso.</w:t>
      </w:r>
    </w:p>
    <w:p w14:paraId="716E1484" w14:textId="77777777" w:rsidR="00C350E5" w:rsidRPr="00C93F82" w:rsidRDefault="00750191">
      <w:pPr>
        <w:pStyle w:val="Textoindependiente"/>
        <w:spacing w:line="276" w:lineRule="auto"/>
        <w:ind w:left="300" w:right="449" w:firstLine="704"/>
        <w:jc w:val="both"/>
      </w:pPr>
      <w:r w:rsidRPr="00C93F82">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2715EDE3" w14:textId="77777777" w:rsidR="00C350E5" w:rsidRPr="00C93F82" w:rsidRDefault="00750191">
      <w:pPr>
        <w:pStyle w:val="Textoindependiente"/>
        <w:spacing w:before="1" w:line="276" w:lineRule="auto"/>
        <w:ind w:left="300" w:right="452" w:firstLine="704"/>
        <w:jc w:val="both"/>
      </w:pPr>
      <w:r w:rsidRPr="00C93F82">
        <w:t>Descendiendo las anteriores consideraciones a la consulta planteada, se advierte que es necesario determinar cuáles son los aspectos del equipo de trabajo o de los profesionales que lo componen que será objeto de puntuación, para determinar si es posible que la Administración les asigne puntaje y si sería posible o no subsanar documentos o requisitos relacionados con esos ítems.</w:t>
      </w:r>
    </w:p>
    <w:p w14:paraId="5ED7600E" w14:textId="77D2D41F" w:rsidR="00C350E5" w:rsidRPr="00C93F82" w:rsidRDefault="00750191" w:rsidP="001962E3">
      <w:pPr>
        <w:pStyle w:val="Textoindependiente"/>
        <w:spacing w:line="276" w:lineRule="auto"/>
        <w:ind w:left="300" w:right="447" w:firstLine="704"/>
        <w:jc w:val="both"/>
      </w:pPr>
      <w:r w:rsidRPr="00C93F82">
        <w:t xml:space="preserve">El numeral 1º del artículo 5 de la Ley 1150 de 2007 señala que la capacidad jurídica </w:t>
      </w:r>
      <w:r w:rsidRPr="00C93F82">
        <w:rPr>
          <w:sz w:val="20"/>
        </w:rPr>
        <w:t xml:space="preserve">y </w:t>
      </w:r>
      <w:r w:rsidRPr="00C93F82">
        <w:t>las condiciones de experiencia, capacidad financiera y de organización de los proponentes serán objeto de verificación de cumplimiento como requisitos habilitantes para la participación en el proceso de selección y no otorgarán puntaje, salvo que se trate de un proceso de selección de consultores, donde es posible utilizar como un criterio de</w:t>
      </w:r>
      <w:r w:rsidR="001962E3">
        <w:t xml:space="preserve"> </w:t>
      </w:r>
      <w:r w:rsidRPr="00C93F82">
        <w:t>evaluación el equipo de trabajo, de conformidad con el numeral 4 del artículo 5 de la Ley 1150 de 2007.</w:t>
      </w:r>
    </w:p>
    <w:p w14:paraId="078CEFED" w14:textId="77777777" w:rsidR="00C350E5" w:rsidRPr="00C93F82" w:rsidRDefault="00750191">
      <w:pPr>
        <w:pStyle w:val="Textoindependiente"/>
        <w:spacing w:line="276" w:lineRule="auto"/>
        <w:ind w:left="300" w:right="450" w:firstLine="704"/>
        <w:jc w:val="both"/>
      </w:pPr>
      <w:r w:rsidRPr="00C93F82">
        <w:t>Así las cosas, cuando la Administración quiere asignar puntaje al equipo de trabajo, se debe atender lo dispuesto por esta norma, es decir, no sería posible que se le asignara puntaje a la experiencia de los miembros del equipo de trabajo, pues ello iría en contra del numeral 1º del artículo 5 de la Ley 1150 de 2007, que si bien se refería a los requisitos habilitantes del proponente, lo cierto es que la intención del legislador era que esos factores no tuvieran un carácter puntuable, sino de habilitación y ello, sería extensible a los miembros del equipo de trabajo.</w:t>
      </w:r>
    </w:p>
    <w:p w14:paraId="44DD0DB8" w14:textId="77777777" w:rsidR="00C350E5" w:rsidRPr="00C93F82" w:rsidRDefault="00750191">
      <w:pPr>
        <w:pStyle w:val="Textoindependiente"/>
        <w:spacing w:line="276" w:lineRule="auto"/>
        <w:ind w:left="300" w:right="452" w:firstLine="707"/>
        <w:jc w:val="both"/>
      </w:pPr>
      <w:r w:rsidRPr="00C93F82">
        <w:t>Por el contrario, la Administración podría, dentro de su discrecionalidad, decidir que va a asignar puntaje a la formación académica de los miembros del equipo de trabajo, pues ello no estaría prohibido por la Ley, como sí ocurre con el factor experiencia. Así las cosas, cuando se habla de otorgar puntaje al equipo de trabajo es necesario advertir que ello sería posible, solo si se tratara de dar puntaje a los títulos académicos o perfil profesional de los miembros del equipo de trabajo, pero no a su experiencia.</w:t>
      </w:r>
    </w:p>
    <w:p w14:paraId="6F6435A4" w14:textId="77777777" w:rsidR="00C350E5" w:rsidRPr="00C93F82" w:rsidRDefault="00750191">
      <w:pPr>
        <w:pStyle w:val="Textoindependiente"/>
        <w:spacing w:line="276" w:lineRule="auto"/>
        <w:ind w:left="300" w:right="454" w:firstLine="704"/>
        <w:jc w:val="both"/>
      </w:pPr>
      <w:r w:rsidRPr="00C93F82">
        <w:t xml:space="preserve">En este orden, si en un proceso de selección, la entidad decidiera que va a </w:t>
      </w:r>
      <w:r w:rsidRPr="00C93F82">
        <w:lastRenderedPageBreak/>
        <w:t>calificar y otorgar puntaje a la formación profesional del equipo de trabajo, los documentos relacionados con este factor no serían subsanables, solo se podrían aclarar los puntos dudosos u obscuros en relación con este</w:t>
      </w:r>
      <w:r w:rsidRPr="00C93F82">
        <w:rPr>
          <w:spacing w:val="-14"/>
        </w:rPr>
        <w:t xml:space="preserve"> </w:t>
      </w:r>
      <w:r w:rsidRPr="00C93F82">
        <w:t>ítem.</w:t>
      </w:r>
    </w:p>
    <w:p w14:paraId="726AC0B2" w14:textId="77777777" w:rsidR="00C350E5" w:rsidRPr="00C93F82" w:rsidRDefault="00750191">
      <w:pPr>
        <w:pStyle w:val="Textoindependiente"/>
        <w:spacing w:line="276" w:lineRule="auto"/>
        <w:ind w:left="300" w:right="450" w:firstLine="709"/>
        <w:jc w:val="both"/>
      </w:pPr>
      <w:r w:rsidRPr="00C93F82">
        <w:t>En efecto, el parágrafo 1º del artículo 5 de la Ley 1150 de 2007, modificado por el artículo 5 de la Ley 1882 de 2018, establece la subsanabilidad de requisitos o documentos no necesarios para la comparación de las propuestas, es decir, los que no afectan la asignación de</w:t>
      </w:r>
      <w:r w:rsidRPr="00C93F82">
        <w:rPr>
          <w:spacing w:val="-5"/>
        </w:rPr>
        <w:t xml:space="preserve"> </w:t>
      </w:r>
      <w:r w:rsidRPr="00C93F82">
        <w:t>puntaje.</w:t>
      </w:r>
    </w:p>
    <w:p w14:paraId="046F7111" w14:textId="77777777" w:rsidR="00C350E5" w:rsidRPr="00C93F82" w:rsidRDefault="00750191">
      <w:pPr>
        <w:pStyle w:val="Textoindependiente"/>
        <w:spacing w:before="1" w:line="276" w:lineRule="auto"/>
        <w:ind w:left="300" w:right="446" w:firstLine="707"/>
        <w:jc w:val="both"/>
      </w:pPr>
      <w:r w:rsidRPr="00C93F82">
        <w:t>Sin embargo, la jurisprudencia del Consejo de Estado, al interpretar el parágrafo citado, y antes de la modificación introducida por la Ley 1882 de 2018, en concordancia con el numeral 7 del artículo 30 de la Ley 80 de 1993, y con el fin de garantizar el  derecho que tienen los oferentes de aclarar aspectos de sus propuestas, interpretó que existe diferencia entre «subsanar» y «aclarar». El primero se predica de la oportunidad que tienen los proponentes de aportar un requisito que no otorga puntaje y no fue aportado con la propuesta inicial; el segundo por su parte, se refiere a aspectos confusos, contradictorios o que generan duda con relación a los requisitos y documentos que se encuentran en la propuesta, incluidos aquellos que otorgan puntaje,</w:t>
      </w:r>
      <w:r w:rsidRPr="00C93F82">
        <w:rPr>
          <w:spacing w:val="-23"/>
        </w:rPr>
        <w:t xml:space="preserve"> </w:t>
      </w:r>
      <w:r w:rsidRPr="00C93F82">
        <w:t>señaló:</w:t>
      </w:r>
    </w:p>
    <w:p w14:paraId="42514B27" w14:textId="77777777" w:rsidR="00C350E5" w:rsidRPr="00C93F82" w:rsidRDefault="00C350E5">
      <w:pPr>
        <w:pStyle w:val="Textoindependiente"/>
        <w:spacing w:before="10"/>
        <w:rPr>
          <w:sz w:val="21"/>
        </w:rPr>
      </w:pPr>
    </w:p>
    <w:p w14:paraId="43BCF6ED" w14:textId="77777777" w:rsidR="00C350E5" w:rsidRPr="00C93F82" w:rsidRDefault="00750191">
      <w:pPr>
        <w:ind w:left="1005" w:right="1158"/>
        <w:jc w:val="both"/>
        <w:rPr>
          <w:sz w:val="21"/>
        </w:rPr>
      </w:pPr>
      <w:r w:rsidRPr="00C93F82">
        <w:rPr>
          <w:sz w:val="21"/>
        </w:rPr>
        <w:t>Más adelante, el art. 30.7 retomó el tema, para agregar elementos de valoración sobre la subsanabilidad de las ofertas. Expresó que durante el lapso en que la administración las evalúa, debe pedirle al oferente que aclare y explique lo que necesite</w:t>
      </w:r>
      <w:r w:rsidRPr="00C93F82">
        <w:rPr>
          <w:spacing w:val="-5"/>
          <w:sz w:val="21"/>
        </w:rPr>
        <w:t xml:space="preserve"> </w:t>
      </w:r>
      <w:r w:rsidRPr="00C93F82">
        <w:rPr>
          <w:sz w:val="21"/>
        </w:rPr>
        <w:t>esclarecimiento.</w:t>
      </w:r>
    </w:p>
    <w:p w14:paraId="4359C12F" w14:textId="77777777" w:rsidR="00C350E5" w:rsidRPr="00C93F82" w:rsidRDefault="00C350E5">
      <w:pPr>
        <w:pStyle w:val="Textoindependiente"/>
        <w:rPr>
          <w:sz w:val="21"/>
        </w:rPr>
      </w:pPr>
    </w:p>
    <w:p w14:paraId="7D2F3176" w14:textId="742EC4D6" w:rsidR="00C350E5" w:rsidRPr="00C93F82" w:rsidRDefault="00750191" w:rsidP="001962E3">
      <w:pPr>
        <w:ind w:left="1005" w:right="1156"/>
        <w:jc w:val="both"/>
        <w:rPr>
          <w:sz w:val="21"/>
        </w:rPr>
      </w:pPr>
      <w:r w:rsidRPr="00C93F82">
        <w:rPr>
          <w:sz w:val="21"/>
        </w:rPr>
        <w:t>7o. De acuerdo con la naturaleza, objeto y cuantía del contrato, en los pliegos de condiciones o términos de referencia, se señalará el plazo razonable dentro del cual la entidad deberá elaborar los estudios técnicos, económicos y</w:t>
      </w:r>
      <w:r w:rsidR="001962E3">
        <w:rPr>
          <w:sz w:val="21"/>
        </w:rPr>
        <w:t xml:space="preserve"> </w:t>
      </w:r>
      <w:r w:rsidRPr="00C93F82">
        <w:rPr>
          <w:sz w:val="21"/>
        </w:rPr>
        <w:t>jurídicos necesarios para la evaluación de las propuestas y para solicitar a los proponentes las aclaraciones y explicaciones que se estimen indispensables.</w:t>
      </w:r>
    </w:p>
    <w:p w14:paraId="16897DA5" w14:textId="77777777" w:rsidR="00C350E5" w:rsidRPr="00C93F82" w:rsidRDefault="00C350E5">
      <w:pPr>
        <w:pStyle w:val="Textoindependiente"/>
        <w:spacing w:before="10"/>
        <w:rPr>
          <w:sz w:val="20"/>
        </w:rPr>
      </w:pPr>
    </w:p>
    <w:p w14:paraId="33A5ED7F" w14:textId="77777777" w:rsidR="00C350E5" w:rsidRPr="00C93F82" w:rsidRDefault="00750191">
      <w:pPr>
        <w:ind w:left="1005" w:right="1154"/>
        <w:jc w:val="both"/>
        <w:rPr>
          <w:sz w:val="21"/>
        </w:rPr>
      </w:pPr>
      <w:r w:rsidRPr="00C93F82">
        <w:rPr>
          <w:sz w:val="21"/>
        </w:rPr>
        <w:t xml:space="preserve">De conformidad con esta norma, para evitar el rechazo </w:t>
      </w:r>
      <w:r w:rsidRPr="00C93F82">
        <w:rPr>
          <w:i/>
          <w:sz w:val="21"/>
        </w:rPr>
        <w:t xml:space="preserve">in limine </w:t>
      </w:r>
      <w:r w:rsidRPr="00C93F82">
        <w:rPr>
          <w:sz w:val="21"/>
        </w:rPr>
        <w:t>de las ofertas, las entidades estatales tienen la carga de buscar claridad a los aspectos dudosos que surjan durante la evaluación de las ofertas. Por tanto, si no comprende algo, si existe contradicción, si un requisito fue omitido, etc., la entidad solicitará a los proponentes las aclaraciones y explicaciones que se estimen indispensables, comportamiento que realiza el principio de economía vertido en el art. 25.15, de manera que la entidad no puede rechazar de plano la propuesta sin solicitar previamente que se aclare.</w:t>
      </w:r>
    </w:p>
    <w:p w14:paraId="7F94F0B5" w14:textId="77777777" w:rsidR="00C350E5" w:rsidRPr="00C93F82" w:rsidRDefault="00C350E5">
      <w:pPr>
        <w:pStyle w:val="Textoindependiente"/>
        <w:spacing w:before="2"/>
        <w:rPr>
          <w:sz w:val="21"/>
        </w:rPr>
      </w:pPr>
    </w:p>
    <w:p w14:paraId="0FE34C37" w14:textId="77777777" w:rsidR="00C350E5" w:rsidRPr="00C93F82" w:rsidRDefault="00750191">
      <w:pPr>
        <w:ind w:left="1005" w:right="1155"/>
        <w:jc w:val="both"/>
        <w:rPr>
          <w:sz w:val="21"/>
        </w:rPr>
      </w:pPr>
      <w:r w:rsidRPr="00C93F82">
        <w:rPr>
          <w:sz w:val="21"/>
        </w:rPr>
        <w:t>De esta manera, cabe advertirle a la administración que la posibilidad de aclarar y corregir la oferta no es un derecho que tiene la entidad, sino un derecho que tiene el contratista; así que para aquéllas se trata de un deber, de una obligación, para que los oferentes logren participar con efectividad en los procesos de selección, para bien del interés general. Por tanto, si las entidades no conceden a los proponentes la oportunidad de corregir la oferta incompleta o que no se comprende –sólo en aquellos aspectos susceptibles  de corregirse- violan el derecho del oferente a hacerlo, e incumplirán la obligación que les asigna la</w:t>
      </w:r>
      <w:r w:rsidRPr="00C93F82">
        <w:rPr>
          <w:spacing w:val="-6"/>
          <w:sz w:val="21"/>
        </w:rPr>
        <w:t xml:space="preserve"> </w:t>
      </w:r>
      <w:r w:rsidRPr="00C93F82">
        <w:rPr>
          <w:sz w:val="21"/>
        </w:rPr>
        <w:t>ley.</w:t>
      </w:r>
    </w:p>
    <w:p w14:paraId="1DEF8238" w14:textId="77777777" w:rsidR="00C350E5" w:rsidRPr="00C93F82" w:rsidRDefault="00C350E5">
      <w:pPr>
        <w:pStyle w:val="Textoindependiente"/>
        <w:rPr>
          <w:sz w:val="21"/>
        </w:rPr>
      </w:pPr>
    </w:p>
    <w:p w14:paraId="08636694" w14:textId="77777777" w:rsidR="00C350E5" w:rsidRPr="00C93F82" w:rsidRDefault="00750191">
      <w:pPr>
        <w:spacing w:line="241" w:lineRule="exact"/>
        <w:ind w:left="1005"/>
        <w:jc w:val="both"/>
        <w:rPr>
          <w:sz w:val="21"/>
        </w:rPr>
      </w:pPr>
      <w:r w:rsidRPr="00C93F82">
        <w:rPr>
          <w:sz w:val="21"/>
        </w:rPr>
        <w:t>En conclusión, que las ofertas se pueden corregir y aclarar lo confirma el art.</w:t>
      </w:r>
    </w:p>
    <w:p w14:paraId="6862F323" w14:textId="3D5374F8" w:rsidR="00C350E5" w:rsidRPr="00C93F82" w:rsidRDefault="00750191">
      <w:pPr>
        <w:ind w:left="1005" w:right="1155"/>
        <w:jc w:val="both"/>
        <w:rPr>
          <w:sz w:val="21"/>
        </w:rPr>
      </w:pPr>
      <w:r w:rsidRPr="00C93F82">
        <w:rPr>
          <w:sz w:val="21"/>
        </w:rPr>
        <w:lastRenderedPageBreak/>
        <w:t>30.7 de la Ley 80. Si no se pudiera, ¿para qué solicitar a los proponentes las aclaraciones y explicaciones que se estimen indispensables, si lo que respondieran no se pudiera tener en cuenta?</w:t>
      </w:r>
      <w:r w:rsidR="001962E3">
        <w:rPr>
          <w:rStyle w:val="Refdenotaalpie"/>
          <w:sz w:val="21"/>
        </w:rPr>
        <w:footnoteReference w:id="10"/>
      </w:r>
      <w:r w:rsidRPr="00C93F82">
        <w:rPr>
          <w:sz w:val="21"/>
        </w:rPr>
        <w:t>.</w:t>
      </w:r>
    </w:p>
    <w:p w14:paraId="305902FF" w14:textId="77777777" w:rsidR="001962E3" w:rsidRPr="00C93F82" w:rsidRDefault="001962E3">
      <w:pPr>
        <w:pStyle w:val="Textoindependiente"/>
        <w:spacing w:before="2"/>
        <w:rPr>
          <w:sz w:val="24"/>
        </w:rPr>
      </w:pPr>
    </w:p>
    <w:p w14:paraId="71B2ACDE" w14:textId="77777777" w:rsidR="00C350E5" w:rsidRPr="00C93F82" w:rsidRDefault="00750191">
      <w:pPr>
        <w:pStyle w:val="Textoindependiente"/>
        <w:spacing w:before="1" w:line="276" w:lineRule="auto"/>
        <w:ind w:left="300" w:right="448" w:firstLine="704"/>
        <w:jc w:val="both"/>
      </w:pPr>
      <w:r w:rsidRPr="00C93F82">
        <w:t>Así las cosas, si la formación académica de un equipo mínimo de trabajo es un aspecto que otorga puntaje, no es posible subsanar, pero sí aclarar. Por ejemplo, si no se relaciona un ingeniero civil que ha sido solicitado como parte del equipo mínimo de trabajo, no sería posible subsanar este defecto, pues no se puede corregir lo que no se aportó. Ahora, este requisito sí podría ser aclarado si, por ejemplo, se relaciona el profesional exigido por la entidad, pero se aportó un documento que deja dudas respecto de sus títulos. En este último caso, la entidad tiene el deber de pedirle al proponente que aclare un aspecto que ofrece dudas pero que ya existe dentro de la propuesta.</w:t>
      </w:r>
    </w:p>
    <w:p w14:paraId="223A0663" w14:textId="4905B664" w:rsidR="00C350E5" w:rsidRPr="00C93F82" w:rsidRDefault="00750191" w:rsidP="001962E3">
      <w:pPr>
        <w:pStyle w:val="Textoindependiente"/>
        <w:spacing w:line="276" w:lineRule="auto"/>
        <w:ind w:left="300" w:right="453" w:firstLine="704"/>
        <w:jc w:val="both"/>
        <w:rPr>
          <w:sz w:val="9"/>
        </w:rPr>
      </w:pPr>
      <w:r w:rsidRPr="00C93F82">
        <w:t>Si en el proceso de selección, la formación académica del equipo de trabajo no fue dispuesta como un requisito que otorgue puntaje, es posible subsanar y también aclarar. En este evento, si no se relaciona el ingeniero civil que ha solicitado la entidad, sería posible presentarlo, porque ese requisito no otorga puntaje y, por tanto, es subsanable. En los mismos términos, sería posible aclarar todos los aspectos dudosos de la oferta en relación con el equipo de</w:t>
      </w:r>
      <w:r w:rsidRPr="00C93F82">
        <w:rPr>
          <w:spacing w:val="-10"/>
        </w:rPr>
        <w:t xml:space="preserve"> </w:t>
      </w:r>
      <w:r w:rsidRPr="00C93F82">
        <w:t>trabajo.</w:t>
      </w:r>
    </w:p>
    <w:p w14:paraId="2713B62B" w14:textId="3E1B81DB" w:rsidR="00C350E5" w:rsidRDefault="00750191">
      <w:pPr>
        <w:pStyle w:val="Textoindependiente"/>
        <w:spacing w:before="93" w:line="276" w:lineRule="auto"/>
        <w:ind w:left="300" w:right="445"/>
        <w:jc w:val="both"/>
      </w:pPr>
      <w:r w:rsidRPr="00C93F82">
        <w:t>Se reitera que si la Administración, al verificar, encuentra que lo omitido por el proponente es un aspecto que otorga puntaje, entonces no es posible subsanarlo; pero si lo omitido no otorga puntaje la Administración debe requerir al proponente para que lo subsane, siempre y cuando lo acreditado no constituyan circunstancias ocurridas con posterioridad al cierre del proceso, en los términos ya explicados.</w:t>
      </w:r>
    </w:p>
    <w:p w14:paraId="3A405DEC" w14:textId="77777777" w:rsidR="00C350E5" w:rsidRPr="00C93F82" w:rsidRDefault="00C350E5">
      <w:pPr>
        <w:pStyle w:val="Textoindependiente"/>
        <w:spacing w:before="3"/>
        <w:rPr>
          <w:sz w:val="25"/>
        </w:rPr>
      </w:pPr>
    </w:p>
    <w:p w14:paraId="525FF974" w14:textId="77777777" w:rsidR="00C350E5" w:rsidRPr="00C93F82" w:rsidRDefault="00750191">
      <w:pPr>
        <w:pStyle w:val="Ttulo1"/>
        <w:numPr>
          <w:ilvl w:val="0"/>
          <w:numId w:val="2"/>
        </w:numPr>
        <w:tabs>
          <w:tab w:val="left" w:pos="586"/>
        </w:tabs>
        <w:ind w:hanging="286"/>
      </w:pPr>
      <w:r w:rsidRPr="00C93F82">
        <w:t>Respuestas</w:t>
      </w:r>
    </w:p>
    <w:p w14:paraId="46F1C55C" w14:textId="77777777" w:rsidR="00C350E5" w:rsidRPr="00C93F82" w:rsidRDefault="00C350E5">
      <w:pPr>
        <w:pStyle w:val="Textoindependiente"/>
        <w:spacing w:before="7"/>
        <w:rPr>
          <w:b/>
          <w:sz w:val="28"/>
        </w:rPr>
      </w:pPr>
    </w:p>
    <w:p w14:paraId="442D3BAE" w14:textId="77777777" w:rsidR="00C350E5" w:rsidRPr="00C93F82" w:rsidRDefault="00750191">
      <w:pPr>
        <w:pStyle w:val="Prrafodelista"/>
        <w:numPr>
          <w:ilvl w:val="0"/>
          <w:numId w:val="1"/>
        </w:numPr>
        <w:tabs>
          <w:tab w:val="left" w:pos="936"/>
        </w:tabs>
        <w:spacing w:line="276" w:lineRule="auto"/>
        <w:ind w:right="1159" w:firstLine="0"/>
        <w:jc w:val="both"/>
      </w:pPr>
      <w:r w:rsidRPr="00C93F82">
        <w:t>¿Se considera que aportar certificaciones o documentos con falencias del equipo mínimo de trabajo debidamente propuesto en un ―proceso público licitación, etc.― es mejorar la</w:t>
      </w:r>
      <w:r w:rsidRPr="00C93F82">
        <w:rPr>
          <w:spacing w:val="-8"/>
        </w:rPr>
        <w:t xml:space="preserve"> </w:t>
      </w:r>
      <w:r w:rsidRPr="00C93F82">
        <w:t>propuesta?</w:t>
      </w:r>
    </w:p>
    <w:p w14:paraId="16575336" w14:textId="77777777" w:rsidR="00C350E5" w:rsidRPr="00C93F82" w:rsidRDefault="00C350E5">
      <w:pPr>
        <w:pStyle w:val="Textoindependiente"/>
        <w:spacing w:before="3"/>
        <w:rPr>
          <w:sz w:val="25"/>
        </w:rPr>
      </w:pPr>
    </w:p>
    <w:p w14:paraId="2F1FFFA8" w14:textId="77777777" w:rsidR="00C350E5" w:rsidRPr="00C93F82" w:rsidRDefault="00750191">
      <w:pPr>
        <w:pStyle w:val="Textoindependiente"/>
        <w:spacing w:line="276" w:lineRule="auto"/>
        <w:ind w:left="300" w:right="444"/>
        <w:jc w:val="both"/>
      </w:pPr>
      <w:bookmarkStart w:id="4" w:name="_Hlk34820190"/>
      <w:r w:rsidRPr="00C93F82">
        <w:t>Es posible subsanar documentos o requisitos relativos al equipo mínimo de trabajo, cuando este aspecto no otorgue puntaje en la evaluación de las ofertas, siempre y cuando lo acreditado no constituyan circunstancias ocurridas con posterioridad al cierre del proceso, en los términos ya explicados. Para los procesos de selección de consultores y los demás en los que se haya determinado que la formación académica del equipo mínimo de trabajo es un aspecto que da puntaje no es posible subsanar. Sin embargo, en este evento, sí es posible aclarar o explicar aspectos oscuros o dudosos de la</w:t>
      </w:r>
      <w:r w:rsidRPr="00C93F82">
        <w:rPr>
          <w:spacing w:val="-2"/>
        </w:rPr>
        <w:t xml:space="preserve"> </w:t>
      </w:r>
      <w:r w:rsidRPr="00C93F82">
        <w:t>oferta.</w:t>
      </w:r>
    </w:p>
    <w:bookmarkEnd w:id="4"/>
    <w:p w14:paraId="799F9CFB" w14:textId="77777777" w:rsidR="00C350E5" w:rsidRPr="00C93F82" w:rsidRDefault="00C350E5">
      <w:pPr>
        <w:pStyle w:val="Textoindependiente"/>
        <w:spacing w:before="3"/>
        <w:rPr>
          <w:sz w:val="25"/>
        </w:rPr>
      </w:pPr>
    </w:p>
    <w:p w14:paraId="7B5637ED" w14:textId="77777777" w:rsidR="00C350E5" w:rsidRPr="00C93F82" w:rsidRDefault="00750191">
      <w:pPr>
        <w:pStyle w:val="Prrafodelista"/>
        <w:numPr>
          <w:ilvl w:val="0"/>
          <w:numId w:val="1"/>
        </w:numPr>
        <w:tabs>
          <w:tab w:val="left" w:pos="968"/>
        </w:tabs>
        <w:spacing w:line="276" w:lineRule="auto"/>
        <w:ind w:right="1156" w:firstLine="0"/>
        <w:jc w:val="both"/>
      </w:pPr>
      <w:r w:rsidRPr="00C93F82">
        <w:t xml:space="preserve">¿La conformación de un equipo mínimo de trabajo puede estipularse como </w:t>
      </w:r>
      <w:r w:rsidRPr="00C93F82">
        <w:lastRenderedPageBreak/>
        <w:t>factor de calificación ―asignación de puntaje― o únicamente como habilitante?</w:t>
      </w:r>
    </w:p>
    <w:p w14:paraId="35AC6AEC" w14:textId="77777777" w:rsidR="00C350E5" w:rsidRPr="00C93F82" w:rsidRDefault="00C350E5">
      <w:pPr>
        <w:pStyle w:val="Textoindependiente"/>
        <w:spacing w:before="5"/>
        <w:rPr>
          <w:sz w:val="25"/>
        </w:rPr>
      </w:pPr>
    </w:p>
    <w:p w14:paraId="328EA1E6" w14:textId="77777777" w:rsidR="00C350E5" w:rsidRPr="00C93F82" w:rsidRDefault="00750191">
      <w:pPr>
        <w:pStyle w:val="Textoindependiente"/>
        <w:spacing w:line="276" w:lineRule="auto"/>
        <w:ind w:left="300" w:right="443"/>
        <w:jc w:val="both"/>
      </w:pPr>
      <w:r w:rsidRPr="00C93F82">
        <w:t xml:space="preserve">Sí, </w:t>
      </w:r>
      <w:bookmarkStart w:id="5" w:name="_Hlk34820245"/>
      <w:r w:rsidRPr="00C93F82">
        <w:t>la entidad contratante tiene discrecionalidad en la configuración de los pliegos de condiciones, y en uso de esta facultad puede determinar que la conformación de un equipo mínimo de trabajo sea un factor que otorgue puntaje. No obstante, esta facultad está restringida o limitada por el numeral 1º del artículo 5 de la Ley 1150 de 2007, que señala que el factor de experiencia no otorgará puntaje en los procesos de selección, razón por la que la decisión de otorgar puntaje al equipo de trabajo estaría reducida a aspectos como la formación académica de los profesionales propuestos, pero nunca a su experiencia. Asimismo, en virtud del numeral 4 del artículo 5 de la Ley 1150 de 2007, en los procesos para la selección de consultores «se podrán utilizar criterios de experiencia específica del oferente y del equipo de trabajo, en el campo de que se trate». De conformidad con el numeral 1º de la norma citada los requisitos habilitantes son la capacidad jurídica, las condiciones de experiencia, la capacidad financiera y de organización y no el equipo de trabajo.</w:t>
      </w:r>
    </w:p>
    <w:bookmarkEnd w:id="5"/>
    <w:p w14:paraId="24E5B6F1" w14:textId="77777777" w:rsidR="00C350E5" w:rsidRPr="00C93F82" w:rsidRDefault="00C350E5">
      <w:pPr>
        <w:pStyle w:val="Textoindependiente"/>
        <w:spacing w:before="3"/>
        <w:rPr>
          <w:sz w:val="25"/>
        </w:rPr>
      </w:pPr>
    </w:p>
    <w:p w14:paraId="1BA812D8" w14:textId="77777777" w:rsidR="00C350E5" w:rsidRPr="00C93F82" w:rsidRDefault="00750191">
      <w:pPr>
        <w:pStyle w:val="Prrafodelista"/>
        <w:numPr>
          <w:ilvl w:val="0"/>
          <w:numId w:val="1"/>
        </w:numPr>
        <w:tabs>
          <w:tab w:val="left" w:pos="1085"/>
        </w:tabs>
        <w:spacing w:before="1" w:line="276" w:lineRule="auto"/>
        <w:ind w:right="1167" w:firstLine="0"/>
        <w:jc w:val="both"/>
      </w:pPr>
      <w:r w:rsidRPr="00C93F82">
        <w:t>Si se estipula como puntuable ¿las deficiencias en sus documentos pueden ser</w:t>
      </w:r>
      <w:r w:rsidRPr="00C93F82">
        <w:rPr>
          <w:spacing w:val="-4"/>
        </w:rPr>
        <w:t xml:space="preserve"> </w:t>
      </w:r>
      <w:r w:rsidRPr="00C93F82">
        <w:t>subsanadas?</w:t>
      </w:r>
    </w:p>
    <w:p w14:paraId="12751FAA" w14:textId="77777777" w:rsidR="00C350E5" w:rsidRPr="00C93F82" w:rsidRDefault="00C350E5">
      <w:pPr>
        <w:pStyle w:val="Textoindependiente"/>
        <w:spacing w:before="9"/>
      </w:pPr>
    </w:p>
    <w:p w14:paraId="324C66CB" w14:textId="77777777" w:rsidR="00C350E5" w:rsidRPr="00C93F82" w:rsidRDefault="00750191">
      <w:pPr>
        <w:pStyle w:val="Textoindependiente"/>
        <w:spacing w:line="276" w:lineRule="auto"/>
        <w:ind w:left="300" w:right="448"/>
        <w:jc w:val="both"/>
      </w:pPr>
      <w:r w:rsidRPr="00C93F82">
        <w:t>Los documentos o requisitos que se pueden subsanar en un proceso de selección de contratistas son aquellos que no otorgan puntaje. Entonces, si se presentan deficiencias en documentos que acreditan un factor puntuable, no es posible subsanar.</w:t>
      </w:r>
    </w:p>
    <w:p w14:paraId="38104FC4" w14:textId="77777777" w:rsidR="00C350E5" w:rsidRPr="00C93F82" w:rsidRDefault="00C350E5">
      <w:pPr>
        <w:pStyle w:val="Textoindependiente"/>
        <w:spacing w:before="3"/>
        <w:rPr>
          <w:sz w:val="25"/>
        </w:rPr>
      </w:pPr>
    </w:p>
    <w:p w14:paraId="64D0D9C2" w14:textId="77777777" w:rsidR="00C350E5" w:rsidRPr="00C93F82" w:rsidRDefault="00750191">
      <w:pPr>
        <w:pStyle w:val="Textoindependiente"/>
        <w:spacing w:line="278" w:lineRule="auto"/>
        <w:ind w:left="300" w:right="285" w:firstLine="707"/>
      </w:pPr>
      <w:r w:rsidRPr="00C93F82">
        <w:t>Este concepto tiene el alcance previsto en el artículo 28 del Código de Procedimiento Administrativo y de lo Contencioso Administrativo.</w:t>
      </w:r>
    </w:p>
    <w:p w14:paraId="3B3ED339" w14:textId="2C84BDD7" w:rsidR="00C350E5" w:rsidRPr="00C93F82" w:rsidRDefault="00BA11A2">
      <w:pPr>
        <w:pStyle w:val="Textoindependiente"/>
        <w:spacing w:before="6"/>
      </w:pPr>
      <w:r>
        <w:rPr>
          <w:noProof/>
        </w:rPr>
        <mc:AlternateContent>
          <mc:Choice Requires="wps">
            <w:drawing>
              <wp:anchor distT="0" distB="0" distL="0" distR="0" simplePos="0" relativeHeight="251657728" behindDoc="1" locked="0" layoutInCell="1" allowOverlap="1" wp14:anchorId="3E8DA279" wp14:editId="3937CB73">
                <wp:simplePos x="0" y="0"/>
                <wp:positionH relativeFrom="page">
                  <wp:posOffset>1514475</wp:posOffset>
                </wp:positionH>
                <wp:positionV relativeFrom="paragraph">
                  <wp:posOffset>194310</wp:posOffset>
                </wp:positionV>
                <wp:extent cx="46863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D9C1" id="Freeform 2" o:spid="_x0000_s1026" style="position:absolute;margin-left:119.25pt;margin-top:15.3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" path="m,l7380,e" filled="f" strokecolor="#dbdbdb">
                <v:path arrowok="t" o:connecttype="custom" o:connectlocs="0,0;4686300,0" o:connectangles="0,0"/>
                <w10:wrap type="topAndBottom" anchorx="page"/>
              </v:shape>
            </w:pict>
          </mc:Fallback>
        </mc:AlternateContent>
      </w:r>
    </w:p>
    <w:p w14:paraId="743A1330" w14:textId="77777777" w:rsidR="00C350E5" w:rsidRPr="00C93F82" w:rsidRDefault="00750191">
      <w:pPr>
        <w:pStyle w:val="Textoindependiente"/>
        <w:spacing w:before="197" w:after="25"/>
        <w:ind w:left="300"/>
      </w:pPr>
      <w:r w:rsidRPr="00C93F82">
        <w:t>Atentamente,</w:t>
      </w:r>
    </w:p>
    <w:p w14:paraId="2656C409" w14:textId="77777777" w:rsidR="001962E3" w:rsidRPr="00B944A3" w:rsidRDefault="001962E3" w:rsidP="001962E3">
      <w:pPr>
        <w:pStyle w:val="Textoindependiente"/>
        <w:spacing w:before="1"/>
        <w:jc w:val="center"/>
        <w:rPr>
          <w:sz w:val="31"/>
        </w:rPr>
      </w:pPr>
      <w:r>
        <w:rPr>
          <w:noProof/>
        </w:rPr>
        <w:drawing>
          <wp:inline distT="0" distB="0" distL="0" distR="0" wp14:anchorId="6850E36A" wp14:editId="796708AB">
            <wp:extent cx="2773144" cy="988695"/>
            <wp:effectExtent l="0" t="0" r="0" b="0"/>
            <wp:docPr id="63089741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920CA17" w14:textId="77777777" w:rsidR="00C350E5" w:rsidRPr="001962E3" w:rsidRDefault="00750191" w:rsidP="001962E3">
      <w:pPr>
        <w:pStyle w:val="Textoindependiente"/>
        <w:ind w:left="301"/>
      </w:pPr>
      <w:r w:rsidRPr="001962E3">
        <w:t>Proyectó: Leider Gómez Caballero</w:t>
      </w:r>
    </w:p>
    <w:sectPr w:rsidR="00C350E5" w:rsidRPr="001962E3">
      <w:headerReference w:type="default" r:id="rId12"/>
      <w:footerReference w:type="default" r:id="rId13"/>
      <w:pgSz w:w="12240" w:h="15840"/>
      <w:pgMar w:top="1560" w:right="1300" w:bottom="1660" w:left="1400" w:header="766"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BDB0" w14:textId="77777777" w:rsidR="00B32A49" w:rsidRDefault="00B32A49">
      <w:r>
        <w:separator/>
      </w:r>
    </w:p>
  </w:endnote>
  <w:endnote w:type="continuationSeparator" w:id="0">
    <w:p w14:paraId="50A38D2B" w14:textId="77777777" w:rsidR="00B32A49" w:rsidRDefault="00B3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7067" w14:textId="59AA0518" w:rsidR="00BA11A2" w:rsidRDefault="00BA11A2">
    <w:pPr>
      <w:pStyle w:val="Textoindependiente"/>
      <w:spacing w:line="14" w:lineRule="auto"/>
      <w:rPr>
        <w:sz w:val="20"/>
      </w:rPr>
    </w:pPr>
  </w:p>
  <w:p w14:paraId="6A925636" w14:textId="77777777" w:rsidR="00BA11A2" w:rsidRDefault="00BA11A2">
    <w:pPr>
      <w:pStyle w:val="Textoindependiente"/>
      <w:spacing w:line="14" w:lineRule="auto"/>
      <w:rPr>
        <w:sz w:val="20"/>
      </w:rPr>
    </w:pPr>
  </w:p>
  <w:p w14:paraId="772FE613" w14:textId="77777777" w:rsidR="00BA11A2" w:rsidRDefault="00BA11A2">
    <w:pPr>
      <w:pStyle w:val="Textoindependiente"/>
      <w:spacing w:line="14" w:lineRule="auto"/>
      <w:rPr>
        <w:sz w:val="20"/>
      </w:rPr>
    </w:pPr>
  </w:p>
  <w:p w14:paraId="4F471503" w14:textId="04875B62" w:rsidR="00C350E5" w:rsidRDefault="00750191">
    <w:pPr>
      <w:pStyle w:val="Textoindependiente"/>
      <w:spacing w:line="14" w:lineRule="auto"/>
      <w:rPr>
        <w:sz w:val="20"/>
      </w:rPr>
    </w:pPr>
    <w:r>
      <w:rPr>
        <w:noProof/>
        <w:lang w:val="en-US"/>
      </w:rPr>
      <w:drawing>
        <wp:anchor distT="0" distB="0" distL="0" distR="0" simplePos="0" relativeHeight="251660288" behindDoc="1" locked="0" layoutInCell="1" allowOverlap="1" wp14:anchorId="42FA1B61" wp14:editId="0FF92771">
          <wp:simplePos x="0" y="0"/>
          <wp:positionH relativeFrom="page">
            <wp:posOffset>1746504</wp:posOffset>
          </wp:positionH>
          <wp:positionV relativeFrom="page">
            <wp:posOffset>9133217</wp:posOffset>
          </wp:positionV>
          <wp:extent cx="4240784" cy="5949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sidR="00BA11A2">
      <w:rPr>
        <w:noProof/>
      </w:rPr>
      <mc:AlternateContent>
        <mc:Choice Requires="wps">
          <w:drawing>
            <wp:anchor distT="0" distB="0" distL="114300" distR="114300" simplePos="0" relativeHeight="251658752" behindDoc="1" locked="0" layoutInCell="1" allowOverlap="1" wp14:anchorId="39B7545F" wp14:editId="7D88CF58">
              <wp:simplePos x="0" y="0"/>
              <wp:positionH relativeFrom="page">
                <wp:posOffset>3769360</wp:posOffset>
              </wp:positionH>
              <wp:positionV relativeFrom="page">
                <wp:posOffset>8990965</wp:posOffset>
              </wp:positionV>
              <wp:extent cx="20320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8A2A" w14:textId="36736E6E" w:rsidR="00C350E5" w:rsidRDefault="00750191">
                          <w:pPr>
                            <w:spacing w:before="14"/>
                            <w:ind w:left="60"/>
                            <w:rPr>
                              <w:sz w:val="18"/>
                            </w:rPr>
                          </w:pPr>
                          <w:r>
                            <w:fldChar w:fldCharType="begin"/>
                          </w:r>
                          <w:r>
                            <w:rPr>
                              <w:sz w:val="18"/>
                            </w:rPr>
                            <w:instrText xml:space="preserve"> PAGE </w:instrText>
                          </w:r>
                          <w:r>
                            <w:fldChar w:fldCharType="separate"/>
                          </w:r>
                          <w:r w:rsidR="009F43D6">
                            <w:rPr>
                              <w:noProof/>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7545F" id="_x0000_t202" coordsize="21600,21600" o:spt="202" path="m,l,21600r21600,l21600,xe">
              <v:stroke joinstyle="miter"/>
              <v:path gradientshapeok="t" o:connecttype="rect"/>
            </v:shapetype>
            <v:shape id="Text Box 1" o:spid="_x0000_s1026" type="#_x0000_t202" style="position:absolute;margin-left:296.8pt;margin-top:707.95pt;width:16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" filled="f" stroked="f">
              <v:textbox inset="0,0,0,0">
                <w:txbxContent>
                  <w:p w14:paraId="492C8A2A" w14:textId="36736E6E" w:rsidR="00C350E5" w:rsidRDefault="00750191">
                    <w:pPr>
                      <w:spacing w:before="14"/>
                      <w:ind w:left="60"/>
                      <w:rPr>
                        <w:sz w:val="18"/>
                      </w:rPr>
                    </w:pPr>
                    <w:r>
                      <w:fldChar w:fldCharType="begin"/>
                    </w:r>
                    <w:r>
                      <w:rPr>
                        <w:sz w:val="18"/>
                      </w:rPr>
                      <w:instrText xml:space="preserve"> PAGE </w:instrText>
                    </w:r>
                    <w:r>
                      <w:fldChar w:fldCharType="separate"/>
                    </w:r>
                    <w:r w:rsidR="009F43D6">
                      <w:rPr>
                        <w:noProof/>
                        <w:sz w:val="18"/>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DF1C" w14:textId="77777777" w:rsidR="00B32A49" w:rsidRDefault="00B32A49">
      <w:r>
        <w:separator/>
      </w:r>
    </w:p>
  </w:footnote>
  <w:footnote w:type="continuationSeparator" w:id="0">
    <w:p w14:paraId="7693E573" w14:textId="77777777" w:rsidR="00B32A49" w:rsidRDefault="00B32A49">
      <w:r>
        <w:continuationSeparator/>
      </w:r>
    </w:p>
  </w:footnote>
  <w:footnote w:id="1">
    <w:p w14:paraId="4BBF6EA6" w14:textId="77777777" w:rsidR="001962E3" w:rsidRPr="00C93F82" w:rsidRDefault="001962E3" w:rsidP="001962E3">
      <w:pPr>
        <w:spacing w:before="82" w:line="242" w:lineRule="auto"/>
        <w:ind w:left="300" w:right="449" w:firstLine="707"/>
        <w:jc w:val="both"/>
        <w:rPr>
          <w:sz w:val="19"/>
        </w:rPr>
      </w:pPr>
      <w:r>
        <w:rPr>
          <w:rStyle w:val="Refdenotaalpie"/>
        </w:rPr>
        <w:footnoteRef/>
      </w:r>
      <w:r>
        <w:t xml:space="preserve"> </w:t>
      </w:r>
      <w:r w:rsidRPr="00C93F82">
        <w:rPr>
          <w:sz w:val="19"/>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w:t>
      </w:r>
      <w:r w:rsidRPr="00C93F82">
        <w:rPr>
          <w:b/>
          <w:sz w:val="19"/>
        </w:rPr>
        <w:t>para solicitar a los proponentes las aclaraciones y explicaciones que se estimen indispensables</w:t>
      </w:r>
      <w:r w:rsidRPr="00C93F82">
        <w:rPr>
          <w:sz w:val="19"/>
        </w:rPr>
        <w:t>». (Negrillas fuera de texto).</w:t>
      </w:r>
    </w:p>
    <w:p w14:paraId="5D655245" w14:textId="378ADD26" w:rsidR="001962E3" w:rsidRPr="001962E3" w:rsidRDefault="001962E3">
      <w:pPr>
        <w:pStyle w:val="Textonotapie"/>
        <w:rPr>
          <w:lang w:val="es-MX"/>
        </w:rPr>
      </w:pPr>
    </w:p>
  </w:footnote>
  <w:footnote w:id="2">
    <w:p w14:paraId="66A56807" w14:textId="77777777" w:rsidR="001962E3" w:rsidRPr="00C93F82" w:rsidRDefault="001962E3" w:rsidP="001962E3">
      <w:pPr>
        <w:spacing w:line="242" w:lineRule="auto"/>
        <w:ind w:left="300" w:right="447" w:firstLine="707"/>
        <w:jc w:val="both"/>
        <w:rPr>
          <w:sz w:val="19"/>
        </w:rPr>
      </w:pPr>
      <w:r>
        <w:rPr>
          <w:rStyle w:val="Refdenotaalpie"/>
        </w:rPr>
        <w:footnoteRef/>
      </w:r>
      <w:r>
        <w:t xml:space="preserve"> </w:t>
      </w:r>
      <w:r w:rsidRPr="00C93F82">
        <w:rPr>
          <w:sz w:val="19"/>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w:t>
      </w:r>
      <w:r w:rsidRPr="00C93F82">
        <w:rPr>
          <w:spacing w:val="-3"/>
          <w:sz w:val="19"/>
        </w:rPr>
        <w:t xml:space="preserve"> </w:t>
      </w:r>
      <w:r w:rsidRPr="00C93F82">
        <w:rPr>
          <w:sz w:val="19"/>
        </w:rPr>
        <w:t>propuestas».</w:t>
      </w:r>
    </w:p>
    <w:p w14:paraId="462D0188" w14:textId="74377A80" w:rsidR="001962E3" w:rsidRPr="001962E3" w:rsidRDefault="001962E3">
      <w:pPr>
        <w:pStyle w:val="Textonotapie"/>
      </w:pPr>
    </w:p>
  </w:footnote>
  <w:footnote w:id="3">
    <w:p w14:paraId="51478A92" w14:textId="77777777" w:rsidR="001962E3" w:rsidRPr="00C93F82" w:rsidRDefault="001962E3" w:rsidP="001962E3">
      <w:pPr>
        <w:spacing w:before="85"/>
        <w:ind w:left="1008"/>
        <w:rPr>
          <w:sz w:val="19"/>
        </w:rPr>
      </w:pPr>
      <w:r>
        <w:rPr>
          <w:rStyle w:val="Refdenotaalpie"/>
        </w:rPr>
        <w:footnoteRef/>
      </w:r>
      <w:r>
        <w:t xml:space="preserve"> </w:t>
      </w:r>
      <w:r w:rsidRPr="00C93F82">
        <w:rPr>
          <w:sz w:val="19"/>
        </w:rPr>
        <w:t>Consejo</w:t>
      </w:r>
      <w:r w:rsidRPr="00C93F82">
        <w:rPr>
          <w:spacing w:val="24"/>
          <w:sz w:val="19"/>
        </w:rPr>
        <w:t xml:space="preserve"> </w:t>
      </w:r>
      <w:r w:rsidRPr="00C93F82">
        <w:rPr>
          <w:sz w:val="19"/>
        </w:rPr>
        <w:t>de</w:t>
      </w:r>
      <w:r w:rsidRPr="00C93F82">
        <w:rPr>
          <w:spacing w:val="23"/>
          <w:sz w:val="19"/>
        </w:rPr>
        <w:t xml:space="preserve"> </w:t>
      </w:r>
      <w:r w:rsidRPr="00C93F82">
        <w:rPr>
          <w:sz w:val="19"/>
        </w:rPr>
        <w:t>Estado.</w:t>
      </w:r>
      <w:r w:rsidRPr="00C93F82">
        <w:rPr>
          <w:spacing w:val="24"/>
          <w:sz w:val="19"/>
        </w:rPr>
        <w:t xml:space="preserve"> </w:t>
      </w:r>
      <w:r w:rsidRPr="00C93F82">
        <w:rPr>
          <w:sz w:val="19"/>
        </w:rPr>
        <w:t>Sección</w:t>
      </w:r>
      <w:r w:rsidRPr="00C93F82">
        <w:rPr>
          <w:spacing w:val="26"/>
          <w:sz w:val="19"/>
        </w:rPr>
        <w:t xml:space="preserve"> </w:t>
      </w:r>
      <w:r w:rsidRPr="00C93F82">
        <w:rPr>
          <w:sz w:val="19"/>
        </w:rPr>
        <w:t>Tercera,</w:t>
      </w:r>
      <w:r w:rsidRPr="00C93F82">
        <w:rPr>
          <w:spacing w:val="24"/>
          <w:sz w:val="19"/>
        </w:rPr>
        <w:t xml:space="preserve"> </w:t>
      </w:r>
      <w:r w:rsidRPr="00C93F82">
        <w:rPr>
          <w:sz w:val="19"/>
        </w:rPr>
        <w:t>Subsección</w:t>
      </w:r>
      <w:r w:rsidRPr="00C93F82">
        <w:rPr>
          <w:spacing w:val="24"/>
          <w:sz w:val="19"/>
        </w:rPr>
        <w:t xml:space="preserve"> </w:t>
      </w:r>
      <w:r w:rsidRPr="00C93F82">
        <w:rPr>
          <w:sz w:val="19"/>
        </w:rPr>
        <w:t>C.</w:t>
      </w:r>
      <w:r w:rsidRPr="00C93F82">
        <w:rPr>
          <w:spacing w:val="25"/>
          <w:sz w:val="19"/>
        </w:rPr>
        <w:t xml:space="preserve"> </w:t>
      </w:r>
      <w:r w:rsidRPr="00C93F82">
        <w:rPr>
          <w:sz w:val="19"/>
        </w:rPr>
        <w:t>Sentencia</w:t>
      </w:r>
      <w:r w:rsidRPr="00C93F82">
        <w:rPr>
          <w:spacing w:val="23"/>
          <w:sz w:val="19"/>
        </w:rPr>
        <w:t xml:space="preserve"> </w:t>
      </w:r>
      <w:r w:rsidRPr="00C93F82">
        <w:rPr>
          <w:sz w:val="19"/>
        </w:rPr>
        <w:t>del</w:t>
      </w:r>
      <w:r w:rsidRPr="00C93F82">
        <w:rPr>
          <w:spacing w:val="25"/>
          <w:sz w:val="19"/>
        </w:rPr>
        <w:t xml:space="preserve"> </w:t>
      </w:r>
      <w:r w:rsidRPr="00C93F82">
        <w:rPr>
          <w:sz w:val="19"/>
        </w:rPr>
        <w:t>26</w:t>
      </w:r>
      <w:r w:rsidRPr="00C93F82">
        <w:rPr>
          <w:spacing w:val="24"/>
          <w:sz w:val="19"/>
        </w:rPr>
        <w:t xml:space="preserve"> </w:t>
      </w:r>
      <w:r w:rsidRPr="00C93F82">
        <w:rPr>
          <w:sz w:val="19"/>
        </w:rPr>
        <w:t>de</w:t>
      </w:r>
      <w:r w:rsidRPr="00C93F82">
        <w:rPr>
          <w:spacing w:val="24"/>
          <w:sz w:val="19"/>
        </w:rPr>
        <w:t xml:space="preserve"> </w:t>
      </w:r>
      <w:r w:rsidRPr="00C93F82">
        <w:rPr>
          <w:sz w:val="19"/>
        </w:rPr>
        <w:t>febrero</w:t>
      </w:r>
      <w:r w:rsidRPr="00C93F82">
        <w:rPr>
          <w:spacing w:val="23"/>
          <w:sz w:val="19"/>
        </w:rPr>
        <w:t xml:space="preserve"> </w:t>
      </w:r>
      <w:r w:rsidRPr="00C93F82">
        <w:rPr>
          <w:sz w:val="19"/>
        </w:rPr>
        <w:t>de</w:t>
      </w:r>
      <w:r w:rsidRPr="00C93F82">
        <w:rPr>
          <w:spacing w:val="27"/>
          <w:sz w:val="19"/>
        </w:rPr>
        <w:t xml:space="preserve"> </w:t>
      </w:r>
      <w:r w:rsidRPr="00C93F82">
        <w:rPr>
          <w:sz w:val="19"/>
        </w:rPr>
        <w:t>2014.</w:t>
      </w:r>
    </w:p>
    <w:p w14:paraId="409BD3AA" w14:textId="77777777" w:rsidR="001962E3" w:rsidRPr="00C93F82" w:rsidRDefault="001962E3" w:rsidP="001962E3">
      <w:pPr>
        <w:spacing w:before="9"/>
        <w:ind w:left="300"/>
        <w:rPr>
          <w:sz w:val="19"/>
        </w:rPr>
      </w:pPr>
      <w:r w:rsidRPr="00C93F82">
        <w:rPr>
          <w:sz w:val="19"/>
        </w:rPr>
        <w:t>C.P. Enrique Gil Botero, Rad. 1999-00113-01 (25.804).</w:t>
      </w:r>
    </w:p>
    <w:p w14:paraId="1BDA26BE" w14:textId="5CF86667" w:rsidR="001962E3" w:rsidRPr="001962E3" w:rsidRDefault="001962E3">
      <w:pPr>
        <w:pStyle w:val="Textonotapie"/>
      </w:pPr>
    </w:p>
  </w:footnote>
  <w:footnote w:id="4">
    <w:p w14:paraId="1F2F23CF" w14:textId="77777777" w:rsidR="001962E3" w:rsidRPr="00C93F82" w:rsidRDefault="001962E3" w:rsidP="001962E3">
      <w:pPr>
        <w:spacing w:before="80"/>
        <w:ind w:left="300" w:right="448" w:firstLine="707"/>
        <w:jc w:val="both"/>
        <w:rPr>
          <w:sz w:val="19"/>
        </w:rPr>
      </w:pPr>
      <w:r>
        <w:rPr>
          <w:rStyle w:val="Refdenotaalpie"/>
        </w:rPr>
        <w:footnoteRef/>
      </w:r>
      <w:r>
        <w:t xml:space="preserve"> </w:t>
      </w:r>
      <w:r w:rsidRPr="00C93F82">
        <w:rPr>
          <w:sz w:val="19"/>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14:paraId="1372353D" w14:textId="50803A40" w:rsidR="001962E3" w:rsidRPr="001962E3" w:rsidRDefault="001962E3">
      <w:pPr>
        <w:pStyle w:val="Textonotapie"/>
      </w:pPr>
    </w:p>
  </w:footnote>
  <w:footnote w:id="5">
    <w:p w14:paraId="57F8FC97" w14:textId="77777777" w:rsidR="001962E3" w:rsidRPr="00C93F82" w:rsidRDefault="001962E3" w:rsidP="001962E3">
      <w:pPr>
        <w:spacing w:before="82" w:line="242" w:lineRule="auto"/>
        <w:ind w:left="300" w:right="448" w:firstLine="707"/>
        <w:jc w:val="both"/>
        <w:rPr>
          <w:sz w:val="19"/>
        </w:rPr>
      </w:pPr>
      <w:r>
        <w:rPr>
          <w:rStyle w:val="Refdenotaalpie"/>
        </w:rPr>
        <w:footnoteRef/>
      </w:r>
      <w:r>
        <w:t xml:space="preserve"> </w:t>
      </w:r>
      <w:r w:rsidRPr="00C93F82">
        <w:rPr>
          <w:sz w:val="19"/>
        </w:rPr>
        <w:t xml:space="preserve">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C93F82">
          <w:rPr>
            <w:sz w:val="19"/>
          </w:rPr>
          <w:t xml:space="preserve">Ley 1150 de 2007 </w:t>
        </w:r>
      </w:hyperlink>
      <w:r w:rsidRPr="00C93F82">
        <w:rPr>
          <w:sz w:val="19"/>
        </w:rPr>
        <w:t>y en el presente</w:t>
      </w:r>
      <w:r w:rsidRPr="00C93F82">
        <w:rPr>
          <w:spacing w:val="-20"/>
          <w:sz w:val="19"/>
        </w:rPr>
        <w:t xml:space="preserve"> </w:t>
      </w:r>
      <w:r w:rsidRPr="00C93F82">
        <w:rPr>
          <w:sz w:val="19"/>
        </w:rPr>
        <w:t>decreto.</w:t>
      </w:r>
    </w:p>
    <w:p w14:paraId="05FF183B" w14:textId="77777777" w:rsidR="001962E3" w:rsidRPr="00C93F82" w:rsidRDefault="001962E3" w:rsidP="001962E3">
      <w:pPr>
        <w:ind w:left="300" w:right="452" w:firstLine="707"/>
        <w:jc w:val="both"/>
        <w:rPr>
          <w:sz w:val="19"/>
        </w:rPr>
      </w:pPr>
      <w:r w:rsidRPr="00C93F82">
        <w:rPr>
          <w:sz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6514E13" w14:textId="77777777" w:rsidR="001962E3" w:rsidRPr="00C93F82" w:rsidRDefault="001962E3" w:rsidP="001962E3">
      <w:pPr>
        <w:spacing w:before="1"/>
        <w:ind w:left="300" w:right="450"/>
        <w:jc w:val="both"/>
        <w:rPr>
          <w:sz w:val="19"/>
        </w:rPr>
      </w:pPr>
      <w:r w:rsidRPr="00C93F82">
        <w:rPr>
          <w:sz w:val="19"/>
        </w:rPr>
        <w:t>Será rechazada la oferta del proponente que dentro del término previsto en el pliego o en la solicitud, no responda al requerimiento que le haga la entidad para subsanarla.</w:t>
      </w:r>
    </w:p>
    <w:p w14:paraId="182D030D" w14:textId="77777777" w:rsidR="001962E3" w:rsidRPr="00C93F82" w:rsidRDefault="001962E3" w:rsidP="001962E3">
      <w:pPr>
        <w:ind w:left="300" w:right="453" w:firstLine="707"/>
        <w:jc w:val="both"/>
        <w:rPr>
          <w:sz w:val="19"/>
        </w:rPr>
      </w:pPr>
      <w:r w:rsidRPr="00C93F82">
        <w:rPr>
          <w:sz w:val="19"/>
        </w:rPr>
        <w:t>»Cuando se utilice el mecanismo de subasta esta posibilidad deberá ejercerse hasta el momento previo a su realización, de conformidad con el artículo 22 del presente decreto.</w:t>
      </w:r>
    </w:p>
    <w:p w14:paraId="11DABC87" w14:textId="77777777" w:rsidR="001962E3" w:rsidRPr="00C93F82" w:rsidRDefault="001962E3" w:rsidP="001962E3">
      <w:pPr>
        <w:ind w:left="300" w:right="447"/>
        <w:jc w:val="both"/>
        <w:rPr>
          <w:sz w:val="19"/>
        </w:rPr>
      </w:pPr>
      <w:r w:rsidRPr="00C93F82">
        <w:rPr>
          <w:sz w:val="19"/>
        </w:rPr>
        <w:t xml:space="preserve">“En ningún caso la entidad podrá señalar taxativamente los requisitos o documentos subsanables o no subsanables en el pliego de condiciones, </w:t>
      </w:r>
      <w:r w:rsidRPr="00C93F82">
        <w:rPr>
          <w:b/>
          <w:sz w:val="19"/>
        </w:rPr>
        <w:t>ni permitir que se subsane la falta de capacidad para presentar la oferta, ni que se acrediten circunstancias ocurridas con posterioridad al cierre del proceso</w:t>
      </w:r>
      <w:r w:rsidRPr="00C93F82">
        <w:rPr>
          <w:sz w:val="19"/>
        </w:rPr>
        <w:t>». (Negrillas fuera de texto).</w:t>
      </w:r>
    </w:p>
    <w:p w14:paraId="1E3911CB" w14:textId="70806127" w:rsidR="001962E3" w:rsidRPr="001962E3" w:rsidRDefault="001962E3">
      <w:pPr>
        <w:pStyle w:val="Textonotapie"/>
        <w:rPr>
          <w:lang w:val="es-MX"/>
        </w:rPr>
      </w:pPr>
    </w:p>
  </w:footnote>
  <w:footnote w:id="6">
    <w:p w14:paraId="755D8F35" w14:textId="77777777" w:rsidR="001962E3" w:rsidRPr="00C93F82" w:rsidRDefault="001962E3" w:rsidP="001962E3">
      <w:pPr>
        <w:ind w:left="1008"/>
        <w:rPr>
          <w:sz w:val="19"/>
        </w:rPr>
      </w:pPr>
      <w:r>
        <w:rPr>
          <w:rStyle w:val="Refdenotaalpie"/>
        </w:rPr>
        <w:footnoteRef/>
      </w:r>
      <w:r>
        <w:t xml:space="preserve"> </w:t>
      </w:r>
      <w:r w:rsidRPr="00C93F82">
        <w:rPr>
          <w:sz w:val="19"/>
        </w:rPr>
        <w:t>Consejo de Estado, Sala de Consulta y Servicio Civil, concepto del 6 de noviembre de 2008.</w:t>
      </w:r>
    </w:p>
    <w:p w14:paraId="214BC7FC" w14:textId="77777777" w:rsidR="001962E3" w:rsidRPr="00C93F82" w:rsidRDefault="001962E3" w:rsidP="001962E3">
      <w:pPr>
        <w:spacing w:before="9"/>
        <w:ind w:left="300"/>
        <w:rPr>
          <w:sz w:val="19"/>
        </w:rPr>
      </w:pPr>
      <w:r w:rsidRPr="00C93F82">
        <w:rPr>
          <w:sz w:val="19"/>
        </w:rPr>
        <w:t>C.P. William Zambrano Cetina. Rad. 2008-00079-00(1927).</w:t>
      </w:r>
    </w:p>
    <w:p w14:paraId="2F629983" w14:textId="6D26ADAB" w:rsidR="001962E3" w:rsidRPr="001962E3" w:rsidRDefault="001962E3">
      <w:pPr>
        <w:pStyle w:val="Textonotapie"/>
      </w:pPr>
    </w:p>
  </w:footnote>
  <w:footnote w:id="7">
    <w:p w14:paraId="10616E32" w14:textId="77777777" w:rsidR="001962E3" w:rsidRPr="00C93F82" w:rsidRDefault="001962E3" w:rsidP="001962E3">
      <w:pPr>
        <w:spacing w:before="94"/>
        <w:ind w:left="1008"/>
        <w:rPr>
          <w:sz w:val="19"/>
        </w:rPr>
      </w:pPr>
      <w:r>
        <w:rPr>
          <w:rStyle w:val="Refdenotaalpie"/>
        </w:rPr>
        <w:footnoteRef/>
      </w:r>
      <w:r>
        <w:t xml:space="preserve"> </w:t>
      </w:r>
      <w:r w:rsidRPr="00C93F82">
        <w:rPr>
          <w:sz w:val="19"/>
        </w:rPr>
        <w:t>Ver Consejo de Estado, Sección Tercera, Subsección C. Sentencia del 26 de febrero de</w:t>
      </w:r>
      <w:r w:rsidRPr="00C93F82">
        <w:rPr>
          <w:spacing w:val="-23"/>
          <w:sz w:val="19"/>
        </w:rPr>
        <w:t xml:space="preserve"> </w:t>
      </w:r>
      <w:r w:rsidRPr="00C93F82">
        <w:rPr>
          <w:sz w:val="19"/>
        </w:rPr>
        <w:t>2011.</w:t>
      </w:r>
    </w:p>
    <w:p w14:paraId="148E0C80" w14:textId="2C3A73D8" w:rsidR="001962E3" w:rsidRPr="001962E3" w:rsidRDefault="001962E3" w:rsidP="001962E3">
      <w:pPr>
        <w:spacing w:before="12"/>
        <w:ind w:left="300"/>
        <w:rPr>
          <w:lang w:val="es-MX"/>
        </w:rPr>
      </w:pPr>
      <w:r w:rsidRPr="00C93F82">
        <w:rPr>
          <w:sz w:val="19"/>
        </w:rPr>
        <w:t>C.P. Jaime Orlando Santofimio. Rad. 36.408.</w:t>
      </w:r>
    </w:p>
  </w:footnote>
  <w:footnote w:id="8">
    <w:p w14:paraId="0965E8EC" w14:textId="77777777" w:rsidR="001962E3" w:rsidRPr="00C93F82" w:rsidRDefault="001962E3" w:rsidP="001962E3">
      <w:pPr>
        <w:spacing w:before="12"/>
        <w:ind w:left="300"/>
        <w:rPr>
          <w:sz w:val="19"/>
        </w:rPr>
      </w:pPr>
      <w:r>
        <w:rPr>
          <w:rStyle w:val="Refdenotaalpie"/>
        </w:rPr>
        <w:footnoteRef/>
      </w:r>
      <w:r>
        <w:t xml:space="preserve"> </w:t>
      </w:r>
      <w:r w:rsidRPr="00C93F82">
        <w:rPr>
          <w:sz w:val="19"/>
        </w:rPr>
        <w:t>Ver Consejo de Estado, Sección Tercera, Subsección C. Sentencia del 26 de febrero de 2014.</w:t>
      </w:r>
      <w:r>
        <w:rPr>
          <w:sz w:val="19"/>
        </w:rPr>
        <w:t xml:space="preserve"> </w:t>
      </w:r>
      <w:r w:rsidRPr="00C93F82">
        <w:rPr>
          <w:sz w:val="19"/>
        </w:rPr>
        <w:t>C.P. Enrique Gil Botero. Rad. 25.804.</w:t>
      </w:r>
    </w:p>
    <w:p w14:paraId="213D5774" w14:textId="56BE276A" w:rsidR="001962E3" w:rsidRPr="00C93F82" w:rsidRDefault="001962E3" w:rsidP="001962E3">
      <w:pPr>
        <w:ind w:left="1008"/>
        <w:rPr>
          <w:sz w:val="19"/>
        </w:rPr>
      </w:pPr>
    </w:p>
    <w:p w14:paraId="072219CE" w14:textId="5FBC4F42" w:rsidR="001962E3" w:rsidRPr="001962E3" w:rsidRDefault="001962E3">
      <w:pPr>
        <w:pStyle w:val="Textonotapie"/>
      </w:pPr>
    </w:p>
  </w:footnote>
  <w:footnote w:id="9">
    <w:p w14:paraId="788C7839" w14:textId="77777777" w:rsidR="001962E3" w:rsidRPr="00C93F82" w:rsidRDefault="001962E3" w:rsidP="001962E3">
      <w:pPr>
        <w:spacing w:before="82" w:line="252" w:lineRule="auto"/>
        <w:ind w:left="300" w:firstLine="707"/>
        <w:rPr>
          <w:sz w:val="19"/>
        </w:rPr>
      </w:pPr>
      <w:r>
        <w:rPr>
          <w:rStyle w:val="Refdenotaalpie"/>
        </w:rPr>
        <w:footnoteRef/>
      </w:r>
      <w:r>
        <w:t xml:space="preserve"> </w:t>
      </w:r>
      <w:r w:rsidRPr="00C93F82">
        <w:rPr>
          <w:sz w:val="19"/>
        </w:rPr>
        <w:t>Consejo de Estado, Sala de Consulta y Servicio Civil, concepto del 20 de mayo de 2010. C.P. Enrique José Arboleda Perdomo. Rad. 2010-00034-00(1992).</w:t>
      </w:r>
    </w:p>
    <w:p w14:paraId="6AA385C7" w14:textId="01CDC391" w:rsidR="001962E3" w:rsidRPr="001962E3" w:rsidRDefault="001962E3">
      <w:pPr>
        <w:pStyle w:val="Textonotapie"/>
        <w:rPr>
          <w:lang w:val="es-MX"/>
        </w:rPr>
      </w:pPr>
    </w:p>
  </w:footnote>
  <w:footnote w:id="10">
    <w:p w14:paraId="0D3B21A5" w14:textId="77777777" w:rsidR="001962E3" w:rsidRPr="00C93F82" w:rsidRDefault="001962E3" w:rsidP="001962E3">
      <w:pPr>
        <w:spacing w:before="85"/>
        <w:ind w:left="1008"/>
        <w:rPr>
          <w:sz w:val="19"/>
        </w:rPr>
      </w:pPr>
      <w:r>
        <w:rPr>
          <w:rStyle w:val="Refdenotaalpie"/>
        </w:rPr>
        <w:footnoteRef/>
      </w:r>
      <w:r>
        <w:t xml:space="preserve"> </w:t>
      </w:r>
      <w:r w:rsidRPr="00C93F82">
        <w:rPr>
          <w:sz w:val="19"/>
        </w:rPr>
        <w:t>Consejo de Estado. Sección Tercera, Subsección C, sentencia del 26 de abril de 2014, Rad.</w:t>
      </w:r>
    </w:p>
    <w:p w14:paraId="30866ED7" w14:textId="77777777" w:rsidR="001962E3" w:rsidRPr="00C93F82" w:rsidRDefault="001962E3" w:rsidP="001962E3">
      <w:pPr>
        <w:spacing w:before="9"/>
        <w:ind w:left="300"/>
        <w:rPr>
          <w:sz w:val="19"/>
        </w:rPr>
      </w:pPr>
      <w:r w:rsidRPr="00C93F82">
        <w:rPr>
          <w:sz w:val="19"/>
        </w:rPr>
        <w:t>13001-23-31-000-1999-00113-01 (25.804) C.P. Enrique Gil Botero.</w:t>
      </w:r>
    </w:p>
    <w:p w14:paraId="45BB3160" w14:textId="7F3B78BF" w:rsidR="001962E3" w:rsidRPr="001962E3" w:rsidRDefault="001962E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904E" w14:textId="77777777" w:rsidR="00C350E5" w:rsidRDefault="00750191">
    <w:pPr>
      <w:pStyle w:val="Textoindependiente"/>
      <w:spacing w:line="14" w:lineRule="auto"/>
      <w:rPr>
        <w:sz w:val="20"/>
      </w:rPr>
    </w:pPr>
    <w:r>
      <w:rPr>
        <w:noProof/>
        <w:lang w:val="en-US"/>
      </w:rPr>
      <w:drawing>
        <wp:anchor distT="0" distB="0" distL="0" distR="0" simplePos="0" relativeHeight="251657216" behindDoc="1" locked="0" layoutInCell="1" allowOverlap="1" wp14:anchorId="334775FA" wp14:editId="5785CC43">
          <wp:simplePos x="0" y="0"/>
          <wp:positionH relativeFrom="page">
            <wp:posOffset>5530642</wp:posOffset>
          </wp:positionH>
          <wp:positionV relativeFrom="page">
            <wp:posOffset>486269</wp:posOffset>
          </wp:positionV>
          <wp:extent cx="1128151" cy="4365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1F0D"/>
    <w:multiLevelType w:val="hybridMultilevel"/>
    <w:tmpl w:val="CBFE7E24"/>
    <w:lvl w:ilvl="0" w:tplc="A92ED0F0">
      <w:start w:val="1"/>
      <w:numFmt w:val="lowerRoman"/>
      <w:lvlText w:val="%1)"/>
      <w:lvlJc w:val="left"/>
      <w:pPr>
        <w:ind w:left="725" w:hanging="210"/>
        <w:jc w:val="left"/>
      </w:pPr>
      <w:rPr>
        <w:rFonts w:ascii="Arial" w:eastAsia="Arial" w:hAnsi="Arial" w:cs="Arial" w:hint="default"/>
        <w:color w:val="4E4D4D"/>
        <w:w w:val="100"/>
        <w:sz w:val="22"/>
        <w:szCs w:val="22"/>
        <w:lang w:val="es-ES" w:eastAsia="en-US" w:bidi="ar-SA"/>
      </w:rPr>
    </w:lvl>
    <w:lvl w:ilvl="1" w:tplc="14C04C20">
      <w:numFmt w:val="bullet"/>
      <w:lvlText w:val="•"/>
      <w:lvlJc w:val="left"/>
      <w:pPr>
        <w:ind w:left="1602" w:hanging="210"/>
      </w:pPr>
      <w:rPr>
        <w:rFonts w:hint="default"/>
        <w:lang w:val="es-ES" w:eastAsia="en-US" w:bidi="ar-SA"/>
      </w:rPr>
    </w:lvl>
    <w:lvl w:ilvl="2" w:tplc="D2FA3A26">
      <w:numFmt w:val="bullet"/>
      <w:lvlText w:val="•"/>
      <w:lvlJc w:val="left"/>
      <w:pPr>
        <w:ind w:left="2484" w:hanging="210"/>
      </w:pPr>
      <w:rPr>
        <w:rFonts w:hint="default"/>
        <w:lang w:val="es-ES" w:eastAsia="en-US" w:bidi="ar-SA"/>
      </w:rPr>
    </w:lvl>
    <w:lvl w:ilvl="3" w:tplc="141A8C56">
      <w:numFmt w:val="bullet"/>
      <w:lvlText w:val="•"/>
      <w:lvlJc w:val="left"/>
      <w:pPr>
        <w:ind w:left="3366" w:hanging="210"/>
      </w:pPr>
      <w:rPr>
        <w:rFonts w:hint="default"/>
        <w:lang w:val="es-ES" w:eastAsia="en-US" w:bidi="ar-SA"/>
      </w:rPr>
    </w:lvl>
    <w:lvl w:ilvl="4" w:tplc="2C6C9A4E">
      <w:numFmt w:val="bullet"/>
      <w:lvlText w:val="•"/>
      <w:lvlJc w:val="left"/>
      <w:pPr>
        <w:ind w:left="4248" w:hanging="210"/>
      </w:pPr>
      <w:rPr>
        <w:rFonts w:hint="default"/>
        <w:lang w:val="es-ES" w:eastAsia="en-US" w:bidi="ar-SA"/>
      </w:rPr>
    </w:lvl>
    <w:lvl w:ilvl="5" w:tplc="33ACC4FE">
      <w:numFmt w:val="bullet"/>
      <w:lvlText w:val="•"/>
      <w:lvlJc w:val="left"/>
      <w:pPr>
        <w:ind w:left="5130" w:hanging="210"/>
      </w:pPr>
      <w:rPr>
        <w:rFonts w:hint="default"/>
        <w:lang w:val="es-ES" w:eastAsia="en-US" w:bidi="ar-SA"/>
      </w:rPr>
    </w:lvl>
    <w:lvl w:ilvl="6" w:tplc="BB0E947E">
      <w:numFmt w:val="bullet"/>
      <w:lvlText w:val="•"/>
      <w:lvlJc w:val="left"/>
      <w:pPr>
        <w:ind w:left="6012" w:hanging="210"/>
      </w:pPr>
      <w:rPr>
        <w:rFonts w:hint="default"/>
        <w:lang w:val="es-ES" w:eastAsia="en-US" w:bidi="ar-SA"/>
      </w:rPr>
    </w:lvl>
    <w:lvl w:ilvl="7" w:tplc="17CC6BAC">
      <w:numFmt w:val="bullet"/>
      <w:lvlText w:val="•"/>
      <w:lvlJc w:val="left"/>
      <w:pPr>
        <w:ind w:left="6894" w:hanging="210"/>
      </w:pPr>
      <w:rPr>
        <w:rFonts w:hint="default"/>
        <w:lang w:val="es-ES" w:eastAsia="en-US" w:bidi="ar-SA"/>
      </w:rPr>
    </w:lvl>
    <w:lvl w:ilvl="8" w:tplc="26480DA0">
      <w:numFmt w:val="bullet"/>
      <w:lvlText w:val="•"/>
      <w:lvlJc w:val="left"/>
      <w:pPr>
        <w:ind w:left="7776" w:hanging="210"/>
      </w:pPr>
      <w:rPr>
        <w:rFonts w:hint="default"/>
        <w:lang w:val="es-ES" w:eastAsia="en-US" w:bidi="ar-SA"/>
      </w:rPr>
    </w:lvl>
  </w:abstractNum>
  <w:abstractNum w:abstractNumId="1" w15:restartNumberingAfterBreak="0">
    <w:nsid w:val="77570D62"/>
    <w:multiLevelType w:val="multilevel"/>
    <w:tmpl w:val="79AC5404"/>
    <w:lvl w:ilvl="0">
      <w:start w:val="1"/>
      <w:numFmt w:val="decimal"/>
      <w:lvlText w:val="%1."/>
      <w:lvlJc w:val="left"/>
      <w:pPr>
        <w:ind w:left="585" w:hanging="285"/>
        <w:jc w:val="left"/>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6"/>
        <w:jc w:val="left"/>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700" w:hanging="426"/>
      </w:pPr>
      <w:rPr>
        <w:rFonts w:hint="default"/>
        <w:lang w:val="es-ES" w:eastAsia="en-US" w:bidi="ar-SA"/>
      </w:rPr>
    </w:lvl>
    <w:lvl w:ilvl="3">
      <w:numFmt w:val="bullet"/>
      <w:lvlText w:val="•"/>
      <w:lvlJc w:val="left"/>
      <w:pPr>
        <w:ind w:left="2680" w:hanging="426"/>
      </w:pPr>
      <w:rPr>
        <w:rFonts w:hint="default"/>
        <w:lang w:val="es-ES" w:eastAsia="en-US" w:bidi="ar-SA"/>
      </w:rPr>
    </w:lvl>
    <w:lvl w:ilvl="4">
      <w:numFmt w:val="bullet"/>
      <w:lvlText w:val="•"/>
      <w:lvlJc w:val="left"/>
      <w:pPr>
        <w:ind w:left="3660" w:hanging="426"/>
      </w:pPr>
      <w:rPr>
        <w:rFonts w:hint="default"/>
        <w:lang w:val="es-ES" w:eastAsia="en-US" w:bidi="ar-SA"/>
      </w:rPr>
    </w:lvl>
    <w:lvl w:ilvl="5">
      <w:numFmt w:val="bullet"/>
      <w:lvlText w:val="•"/>
      <w:lvlJc w:val="left"/>
      <w:pPr>
        <w:ind w:left="4640" w:hanging="426"/>
      </w:pPr>
      <w:rPr>
        <w:rFonts w:hint="default"/>
        <w:lang w:val="es-ES" w:eastAsia="en-US" w:bidi="ar-SA"/>
      </w:rPr>
    </w:lvl>
    <w:lvl w:ilvl="6">
      <w:numFmt w:val="bullet"/>
      <w:lvlText w:val="•"/>
      <w:lvlJc w:val="left"/>
      <w:pPr>
        <w:ind w:left="5620" w:hanging="426"/>
      </w:pPr>
      <w:rPr>
        <w:rFonts w:hint="default"/>
        <w:lang w:val="es-ES" w:eastAsia="en-US" w:bidi="ar-SA"/>
      </w:rPr>
    </w:lvl>
    <w:lvl w:ilvl="7">
      <w:numFmt w:val="bullet"/>
      <w:lvlText w:val="•"/>
      <w:lvlJc w:val="left"/>
      <w:pPr>
        <w:ind w:left="6600" w:hanging="426"/>
      </w:pPr>
      <w:rPr>
        <w:rFonts w:hint="default"/>
        <w:lang w:val="es-ES" w:eastAsia="en-US" w:bidi="ar-SA"/>
      </w:rPr>
    </w:lvl>
    <w:lvl w:ilvl="8">
      <w:numFmt w:val="bullet"/>
      <w:lvlText w:val="•"/>
      <w:lvlJc w:val="left"/>
      <w:pPr>
        <w:ind w:left="7580" w:hanging="426"/>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E5"/>
    <w:rsid w:val="00130126"/>
    <w:rsid w:val="001962E3"/>
    <w:rsid w:val="00435416"/>
    <w:rsid w:val="00750191"/>
    <w:rsid w:val="009E4ECF"/>
    <w:rsid w:val="009F43D6"/>
    <w:rsid w:val="00B32A49"/>
    <w:rsid w:val="00BA11A2"/>
    <w:rsid w:val="00BE6741"/>
    <w:rsid w:val="00C350E5"/>
    <w:rsid w:val="00C93F82"/>
    <w:rsid w:val="00C9438E"/>
    <w:rsid w:val="0770E1D8"/>
    <w:rsid w:val="259ABB06"/>
    <w:rsid w:val="3007669E"/>
    <w:rsid w:val="3AB1FF4D"/>
    <w:rsid w:val="7A314F21"/>
    <w:rsid w:val="7AF282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EA1D"/>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725" w:hanging="286"/>
    </w:pPr>
  </w:style>
  <w:style w:type="paragraph" w:customStyle="1" w:styleId="TableParagraph">
    <w:name w:val="Table Paragraph"/>
    <w:basedOn w:val="Normal"/>
    <w:uiPriority w:val="1"/>
    <w:qFormat/>
    <w:pPr>
      <w:ind w:left="721"/>
    </w:pPr>
  </w:style>
  <w:style w:type="paragraph" w:styleId="Textonotapie">
    <w:name w:val="footnote text"/>
    <w:basedOn w:val="Normal"/>
    <w:link w:val="TextonotapieCar"/>
    <w:uiPriority w:val="99"/>
    <w:semiHidden/>
    <w:unhideWhenUsed/>
    <w:rsid w:val="001962E3"/>
    <w:rPr>
      <w:sz w:val="20"/>
      <w:szCs w:val="20"/>
    </w:rPr>
  </w:style>
  <w:style w:type="character" w:customStyle="1" w:styleId="TextonotapieCar">
    <w:name w:val="Texto nota pie Car"/>
    <w:basedOn w:val="Fuentedeprrafopredeter"/>
    <w:link w:val="Textonotapie"/>
    <w:uiPriority w:val="99"/>
    <w:semiHidden/>
    <w:rsid w:val="001962E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962E3"/>
    <w:rPr>
      <w:vertAlign w:val="superscript"/>
    </w:rPr>
  </w:style>
  <w:style w:type="character" w:customStyle="1" w:styleId="TextoindependienteCar">
    <w:name w:val="Texto independiente Car"/>
    <w:basedOn w:val="Fuentedeprrafopredeter"/>
    <w:link w:val="Textoindependiente"/>
    <w:uiPriority w:val="1"/>
    <w:rsid w:val="001962E3"/>
    <w:rPr>
      <w:rFonts w:ascii="Arial" w:eastAsia="Arial" w:hAnsi="Arial" w:cs="Arial"/>
      <w:lang w:val="es-ES"/>
    </w:rPr>
  </w:style>
  <w:style w:type="paragraph" w:styleId="Encabezado">
    <w:name w:val="header"/>
    <w:basedOn w:val="Normal"/>
    <w:link w:val="EncabezadoCar"/>
    <w:uiPriority w:val="99"/>
    <w:unhideWhenUsed/>
    <w:rsid w:val="00BA11A2"/>
    <w:pPr>
      <w:tabs>
        <w:tab w:val="center" w:pos="4419"/>
        <w:tab w:val="right" w:pos="8838"/>
      </w:tabs>
    </w:pPr>
  </w:style>
  <w:style w:type="character" w:customStyle="1" w:styleId="EncabezadoCar">
    <w:name w:val="Encabezado Car"/>
    <w:basedOn w:val="Fuentedeprrafopredeter"/>
    <w:link w:val="Encabezado"/>
    <w:uiPriority w:val="99"/>
    <w:rsid w:val="00BA11A2"/>
    <w:rPr>
      <w:rFonts w:ascii="Arial" w:eastAsia="Arial" w:hAnsi="Arial" w:cs="Arial"/>
      <w:lang w:val="es-ES"/>
    </w:rPr>
  </w:style>
  <w:style w:type="paragraph" w:styleId="Piedepgina">
    <w:name w:val="footer"/>
    <w:basedOn w:val="Normal"/>
    <w:link w:val="PiedepginaCar"/>
    <w:uiPriority w:val="99"/>
    <w:unhideWhenUsed/>
    <w:rsid w:val="00BA11A2"/>
    <w:pPr>
      <w:tabs>
        <w:tab w:val="center" w:pos="4419"/>
        <w:tab w:val="right" w:pos="8838"/>
      </w:tabs>
    </w:pPr>
  </w:style>
  <w:style w:type="character" w:customStyle="1" w:styleId="PiedepginaCar">
    <w:name w:val="Pie de página Car"/>
    <w:basedOn w:val="Fuentedeprrafopredeter"/>
    <w:link w:val="Piedepgina"/>
    <w:uiPriority w:val="99"/>
    <w:rsid w:val="00BA11A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FE2D1-6713-47AC-BE09-6C8961549E4C}">
  <ds:schemaRefs>
    <ds:schemaRef ds:uri="http://schemas.openxmlformats.org/officeDocument/2006/bibliography"/>
  </ds:schemaRefs>
</ds:datastoreItem>
</file>

<file path=customXml/itemProps2.xml><?xml version="1.0" encoding="utf-8"?>
<ds:datastoreItem xmlns:ds="http://schemas.openxmlformats.org/officeDocument/2006/customXml" ds:itemID="{B0B1B92C-B973-40C2-979A-EB34F72B6FFE}">
  <ds:schemaRefs>
    <ds:schemaRef ds:uri="http://schemas.microsoft.com/sharepoint/v3/contenttype/forms"/>
  </ds:schemaRefs>
</ds:datastoreItem>
</file>

<file path=customXml/itemProps3.xml><?xml version="1.0" encoding="utf-8"?>
<ds:datastoreItem xmlns:ds="http://schemas.openxmlformats.org/officeDocument/2006/customXml" ds:itemID="{E0DE0B5A-821B-4B73-9613-7DCC770E04D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86FD5AC-711B-4C0B-A68B-83921F40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5428</Words>
  <Characters>29855</Characters>
  <Application>Microsoft Office Word</Application>
  <DocSecurity>0</DocSecurity>
  <Lines>248</Lines>
  <Paragraphs>70</Paragraphs>
  <ScaleCrop>false</ScaleCrop>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2020-08-21T14:45:00Z</dcterms:created>
  <dcterms:modified xsi:type="dcterms:W3CDTF">2020-08-21T14:45:00Z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