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3C786B" w:rsidRDefault="009F59C2" w:rsidP="00D66CC3">
      <w:pPr>
        <w:jc w:val="right"/>
        <w:rPr>
          <w:rFonts w:ascii="Arial" w:hAnsi="Arial" w:cs="Arial"/>
          <w:b/>
          <w:sz w:val="16"/>
          <w:szCs w:val="16"/>
          <w:lang w:eastAsia="es-ES"/>
        </w:rPr>
      </w:pPr>
      <w:bookmarkStart w:id="0" w:name="_Hlk28946138"/>
      <w:bookmarkStart w:id="1" w:name="_Hlk29548183"/>
      <w:r w:rsidRPr="003C786B">
        <w:rPr>
          <w:rFonts w:ascii="Arial" w:hAnsi="Arial" w:cs="Arial"/>
          <w:b/>
          <w:sz w:val="21"/>
          <w:szCs w:val="21"/>
          <w:lang w:eastAsia="es-ES"/>
        </w:rPr>
        <w:tab/>
      </w:r>
      <w:r w:rsidR="0034177C" w:rsidRPr="003C786B">
        <w:rPr>
          <w:rFonts w:ascii="Arial" w:hAnsi="Arial" w:cs="Arial"/>
          <w:b/>
          <w:sz w:val="16"/>
          <w:szCs w:val="16"/>
          <w:lang w:eastAsia="es-ES"/>
        </w:rPr>
        <w:t>CCE-DES-FM-17</w:t>
      </w:r>
    </w:p>
    <w:p w14:paraId="33FF83A2" w14:textId="77777777" w:rsidR="0034177C" w:rsidRPr="003C786B" w:rsidRDefault="0034177C" w:rsidP="00D66CC3">
      <w:pPr>
        <w:jc w:val="both"/>
        <w:rPr>
          <w:rFonts w:ascii="Arial" w:eastAsia="Calibri" w:hAnsi="Arial" w:cs="Arial"/>
          <w:b/>
          <w:sz w:val="22"/>
        </w:rPr>
      </w:pPr>
    </w:p>
    <w:p w14:paraId="70723DAC" w14:textId="4772B548" w:rsidR="00B05A55" w:rsidRPr="003C786B" w:rsidRDefault="00B05A55" w:rsidP="00D66CC3">
      <w:pPr>
        <w:jc w:val="both"/>
        <w:rPr>
          <w:rFonts w:ascii="Arial" w:eastAsia="Calibri" w:hAnsi="Arial" w:cs="Arial"/>
          <w:b/>
          <w:bCs/>
          <w:sz w:val="22"/>
          <w:lang w:val="es-ES_tradnl"/>
        </w:rPr>
      </w:pPr>
      <w:r w:rsidRPr="003C786B">
        <w:rPr>
          <w:rFonts w:ascii="Arial" w:eastAsia="Calibri" w:hAnsi="Arial" w:cs="Arial"/>
          <w:b/>
          <w:bCs/>
          <w:sz w:val="22"/>
          <w:lang w:val="es-ES_tradnl"/>
        </w:rPr>
        <w:t>INHA</w:t>
      </w:r>
      <w:r w:rsidR="003C786B">
        <w:rPr>
          <w:rFonts w:ascii="Arial" w:eastAsia="Calibri" w:hAnsi="Arial" w:cs="Arial"/>
          <w:b/>
          <w:bCs/>
          <w:sz w:val="22"/>
          <w:lang w:val="es-ES_tradnl"/>
        </w:rPr>
        <w:t xml:space="preserve">BILIDADES E INCOMPATIBILIDADES </w:t>
      </w:r>
      <w:r w:rsidR="003C786B" w:rsidRPr="00312D57">
        <w:rPr>
          <w:b/>
          <w:bCs/>
        </w:rPr>
        <w:t>–</w:t>
      </w:r>
      <w:r w:rsidR="003C786B">
        <w:rPr>
          <w:rFonts w:ascii="Arial" w:eastAsia="Calibri" w:hAnsi="Arial" w:cs="Arial"/>
          <w:b/>
          <w:bCs/>
          <w:sz w:val="22"/>
          <w:lang w:val="es-ES_tradnl"/>
        </w:rPr>
        <w:t xml:space="preserve"> Concepto </w:t>
      </w:r>
      <w:r w:rsidR="003C786B" w:rsidRPr="00312D57">
        <w:rPr>
          <w:b/>
          <w:bCs/>
        </w:rPr>
        <w:t>–</w:t>
      </w:r>
      <w:r w:rsidRPr="003C786B">
        <w:rPr>
          <w:rFonts w:ascii="Arial" w:eastAsia="Calibri" w:hAnsi="Arial" w:cs="Arial"/>
          <w:b/>
          <w:bCs/>
          <w:sz w:val="22"/>
          <w:lang w:val="es-ES_tradnl"/>
        </w:rPr>
        <w:t xml:space="preserve"> Principio de legalidad </w:t>
      </w:r>
      <w:r w:rsidR="003C786B" w:rsidRPr="00312D57">
        <w:rPr>
          <w:b/>
          <w:bCs/>
        </w:rPr>
        <w:t>–</w:t>
      </w:r>
      <w:r w:rsidRPr="003C786B">
        <w:rPr>
          <w:rFonts w:ascii="Arial" w:eastAsia="Calibri" w:hAnsi="Arial" w:cs="Arial"/>
          <w:b/>
          <w:bCs/>
          <w:sz w:val="22"/>
          <w:lang w:val="es-ES_tradnl"/>
        </w:rPr>
        <w:t xml:space="preserve"> Interpretación restrictiva</w:t>
      </w:r>
    </w:p>
    <w:p w14:paraId="69B4F3B1" w14:textId="77777777" w:rsidR="00B05A55" w:rsidRPr="003C786B" w:rsidRDefault="00B05A55" w:rsidP="00D66CC3">
      <w:pPr>
        <w:jc w:val="both"/>
        <w:rPr>
          <w:rFonts w:ascii="Arial" w:eastAsia="Calibri" w:hAnsi="Arial" w:cs="Arial"/>
          <w:b/>
          <w:bCs/>
          <w:sz w:val="20"/>
          <w:szCs w:val="20"/>
          <w:lang w:val="es-ES_tradnl"/>
        </w:rPr>
      </w:pPr>
    </w:p>
    <w:p w14:paraId="5DF5CDCD" w14:textId="6F8A1F44" w:rsidR="00B05A55" w:rsidRPr="003C786B" w:rsidRDefault="00B05A55" w:rsidP="00D66CC3">
      <w:pPr>
        <w:jc w:val="both"/>
        <w:rPr>
          <w:rFonts w:ascii="Arial" w:eastAsia="Calibri" w:hAnsi="Arial" w:cs="Arial"/>
          <w:sz w:val="20"/>
          <w:szCs w:val="20"/>
          <w:lang w:val="es-ES_tradnl"/>
        </w:rPr>
      </w:pPr>
      <w:r w:rsidRPr="003C786B">
        <w:rPr>
          <w:rFonts w:ascii="Arial" w:eastAsia="Calibri" w:hAnsi="Arial" w:cs="Arial"/>
          <w:sz w:val="20"/>
          <w:szCs w:val="20"/>
          <w:lang w:val="es-ES_tradnl"/>
        </w:rPr>
        <w:t xml:space="preserve">El régimen de inhabilidades e incompatibilidades opera como un límite o restricción a la capacidad para presentar ofertas en los procedimientos de selección y para celebrar contratos estatales, que busca salvaguardar principios como la probidad y la transparencia en la actividad de adquisición de bienes y servicios por parte de las entidades públicas. Las </w:t>
      </w:r>
      <w:r w:rsidRPr="003C786B">
        <w:rPr>
          <w:rFonts w:ascii="Arial" w:eastAsia="Calibri" w:hAnsi="Arial" w:cs="Arial"/>
          <w:i/>
          <w:iCs/>
          <w:sz w:val="20"/>
          <w:szCs w:val="20"/>
          <w:lang w:val="es-ES_tradnl"/>
        </w:rPr>
        <w:t>inhabilidades</w:t>
      </w:r>
      <w:r w:rsidRPr="003C786B">
        <w:rPr>
          <w:rFonts w:ascii="Arial" w:eastAsia="Calibri" w:hAnsi="Arial" w:cs="Arial"/>
          <w:sz w:val="20"/>
          <w:szCs w:val="20"/>
          <w:lang w:val="es-ES_tradnl"/>
        </w:rPr>
        <w:t xml:space="preserve"> son prohibiciones para concurrir a los procedimientos de selección y para contratar con el Estado, que se derivan i) de la existencia de comportamientos reprochables o de sanciones anteriormente impuestas, </w:t>
      </w:r>
      <w:proofErr w:type="spellStart"/>
      <w:r w:rsidRPr="003C786B">
        <w:rPr>
          <w:rFonts w:ascii="Arial" w:eastAsia="Calibri" w:hAnsi="Arial" w:cs="Arial"/>
          <w:sz w:val="20"/>
          <w:szCs w:val="20"/>
          <w:lang w:val="es-ES_tradnl"/>
        </w:rPr>
        <w:t>ii</w:t>
      </w:r>
      <w:proofErr w:type="spellEnd"/>
      <w:r w:rsidRPr="003C786B">
        <w:rPr>
          <w:rFonts w:ascii="Arial" w:eastAsia="Calibri" w:hAnsi="Arial" w:cs="Arial"/>
          <w:sz w:val="20"/>
          <w:szCs w:val="20"/>
          <w:lang w:val="es-ES_tradnl"/>
        </w:rPr>
        <w:t xml:space="preserve">) de vínculos personales relativos al parentesco o al estado civil o </w:t>
      </w:r>
      <w:proofErr w:type="spellStart"/>
      <w:r w:rsidRPr="003C786B">
        <w:rPr>
          <w:rFonts w:ascii="Arial" w:eastAsia="Calibri" w:hAnsi="Arial" w:cs="Arial"/>
          <w:sz w:val="20"/>
          <w:szCs w:val="20"/>
          <w:lang w:val="es-ES_tradnl"/>
        </w:rPr>
        <w:t>iii</w:t>
      </w:r>
      <w:proofErr w:type="spellEnd"/>
      <w:r w:rsidRPr="003C786B">
        <w:rPr>
          <w:rFonts w:ascii="Arial" w:eastAsia="Calibri" w:hAnsi="Arial" w:cs="Arial"/>
          <w:sz w:val="20"/>
          <w:szCs w:val="20"/>
          <w:lang w:val="es-ES_tradnl"/>
        </w:rPr>
        <w:t xml:space="preserve">) de una actividad u oficio que se desempeñó en el pasado. De otro lado, las </w:t>
      </w:r>
      <w:r w:rsidRPr="003C786B">
        <w:rPr>
          <w:rFonts w:ascii="Arial" w:eastAsia="Calibri" w:hAnsi="Arial" w:cs="Arial"/>
          <w:i/>
          <w:iCs/>
          <w:sz w:val="20"/>
          <w:szCs w:val="20"/>
          <w:lang w:val="es-ES_tradnl"/>
        </w:rPr>
        <w:t>incompatibilidades</w:t>
      </w:r>
      <w:r w:rsidRPr="003C786B">
        <w:rPr>
          <w:rFonts w:ascii="Arial" w:eastAsia="Calibri" w:hAnsi="Arial" w:cs="Arial"/>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20DE6A2B" w14:textId="0F9BADD8" w:rsidR="00FA039C" w:rsidRPr="003C786B" w:rsidRDefault="00FA039C" w:rsidP="00D66CC3">
      <w:pPr>
        <w:jc w:val="both"/>
        <w:rPr>
          <w:rFonts w:ascii="Arial" w:eastAsia="Calibri" w:hAnsi="Arial" w:cs="Arial"/>
          <w:sz w:val="20"/>
          <w:szCs w:val="20"/>
          <w:lang w:val="es-ES_tradnl"/>
        </w:rPr>
      </w:pPr>
    </w:p>
    <w:p w14:paraId="6ED06EA9" w14:textId="5E32417A" w:rsidR="00FA039C" w:rsidRPr="003C786B" w:rsidRDefault="003C786B" w:rsidP="00FA039C">
      <w:pPr>
        <w:jc w:val="both"/>
        <w:rPr>
          <w:rFonts w:ascii="Arial" w:hAnsi="Arial" w:cs="Arial"/>
          <w:b/>
          <w:bCs/>
          <w:sz w:val="22"/>
          <w:lang w:val="es-ES_tradnl"/>
        </w:rPr>
      </w:pPr>
      <w:r>
        <w:rPr>
          <w:rFonts w:ascii="Arial" w:hAnsi="Arial" w:cs="Arial"/>
          <w:b/>
          <w:bCs/>
          <w:sz w:val="22"/>
          <w:lang w:val="es-ES_tradnl"/>
        </w:rPr>
        <w:t xml:space="preserve">LICITACIÓN PÚBLICA </w:t>
      </w:r>
      <w:r w:rsidRPr="00312D57">
        <w:rPr>
          <w:b/>
          <w:bCs/>
        </w:rPr>
        <w:t>–</w:t>
      </w:r>
      <w:r>
        <w:rPr>
          <w:rFonts w:ascii="Arial" w:hAnsi="Arial" w:cs="Arial"/>
          <w:b/>
          <w:bCs/>
          <w:sz w:val="22"/>
          <w:lang w:val="es-ES_tradnl"/>
        </w:rPr>
        <w:t xml:space="preserve"> Estudios y obra </w:t>
      </w:r>
      <w:r w:rsidRPr="00312D57">
        <w:rPr>
          <w:b/>
          <w:bCs/>
        </w:rPr>
        <w:t>–</w:t>
      </w:r>
      <w:r w:rsidR="00FA039C" w:rsidRPr="003C786B">
        <w:rPr>
          <w:rFonts w:ascii="Arial" w:hAnsi="Arial" w:cs="Arial"/>
          <w:b/>
          <w:bCs/>
          <w:sz w:val="22"/>
          <w:lang w:val="es-ES_tradnl"/>
        </w:rPr>
        <w:t xml:space="preserve"> </w:t>
      </w:r>
      <w:r w:rsidR="005D3341" w:rsidRPr="003C786B">
        <w:rPr>
          <w:rFonts w:ascii="Arial" w:hAnsi="Arial" w:cs="Arial"/>
          <w:b/>
          <w:bCs/>
          <w:sz w:val="22"/>
          <w:lang w:val="es-ES_tradnl"/>
        </w:rPr>
        <w:t>Contratación conjunta</w:t>
      </w:r>
    </w:p>
    <w:p w14:paraId="4D323956" w14:textId="77777777" w:rsidR="00FA039C" w:rsidRPr="003C786B" w:rsidRDefault="00FA039C" w:rsidP="00FA039C">
      <w:pPr>
        <w:jc w:val="both"/>
        <w:rPr>
          <w:rFonts w:ascii="Arial" w:hAnsi="Arial" w:cs="Arial"/>
          <w:sz w:val="20"/>
          <w:szCs w:val="20"/>
          <w:lang w:val="es-ES_tradnl"/>
        </w:rPr>
      </w:pPr>
    </w:p>
    <w:p w14:paraId="1ACE8078" w14:textId="77777777" w:rsidR="00FA039C" w:rsidRPr="003C786B" w:rsidRDefault="00FA039C" w:rsidP="00FA039C">
      <w:pPr>
        <w:jc w:val="both"/>
        <w:rPr>
          <w:rFonts w:ascii="Arial" w:hAnsi="Arial" w:cs="Arial"/>
          <w:sz w:val="20"/>
          <w:szCs w:val="20"/>
          <w:lang w:val="es-ES_tradnl"/>
        </w:rPr>
      </w:pPr>
      <w:r w:rsidRPr="003C786B">
        <w:rPr>
          <w:rFonts w:ascii="Arial" w:hAnsi="Arial" w:cs="Arial"/>
          <w:sz w:val="20"/>
          <w:szCs w:val="20"/>
          <w:lang w:val="es-ES_tradnl"/>
        </w:rPr>
        <w:t>El artículo 87 de La Ley 1474 de 2011, que modificó el numeral 12 del artículo 25 de la Ley 80 de 1993, indica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 De acuerdo con la definición de los estudios de ingeniería establecida en el artículo 12 de la Ley 1683 de 2013 se concluye que para adelantar el proceso de contratación cuyo objeto consiste en la construcción de una obra, se requiere contar con los «estudios de prefactibilidad» y con los «estudios de factibilidad», porque a través de estos se verifica la «viabilidad» del proyecto. Una vez la entidad estatal tenga los estudios de prefactibilidad y de factibilidad para adelantar el procedimiento de selección, cuyo objeto consiste en la construcción de la obra, se podrá incluir en el objeto del mismo procedimiento la elaboración de estudios de «Fase 3. Estudios y diseños definitivos».</w:t>
      </w:r>
    </w:p>
    <w:p w14:paraId="39E51F05" w14:textId="77777777" w:rsidR="00B05A55" w:rsidRPr="003C786B" w:rsidRDefault="00B05A55" w:rsidP="00D66CC3">
      <w:pPr>
        <w:jc w:val="both"/>
        <w:rPr>
          <w:rFonts w:ascii="Arial" w:hAnsi="Arial" w:cs="Arial"/>
          <w:sz w:val="20"/>
          <w:szCs w:val="20"/>
          <w:lang w:val="es-ES_tradnl"/>
        </w:rPr>
      </w:pPr>
    </w:p>
    <w:p w14:paraId="7AAD0616" w14:textId="456E4C3F" w:rsidR="77ABCEDB" w:rsidRDefault="77ABCEDB" w:rsidP="3F5DE051">
      <w:pPr>
        <w:jc w:val="both"/>
        <w:rPr>
          <w:rFonts w:ascii="Arial" w:eastAsia="Arial" w:hAnsi="Arial" w:cs="Arial"/>
          <w:b/>
          <w:bCs/>
          <w:sz w:val="22"/>
        </w:rPr>
      </w:pPr>
      <w:r w:rsidRPr="3F5DE051">
        <w:rPr>
          <w:rFonts w:ascii="Arial" w:hAnsi="Arial" w:cs="Arial"/>
          <w:b/>
          <w:bCs/>
          <w:sz w:val="22"/>
          <w:lang w:val="es-ES"/>
        </w:rPr>
        <w:t>PLIEGO DE CONDIC</w:t>
      </w:r>
      <w:r w:rsidRPr="3F5DE051">
        <w:rPr>
          <w:rFonts w:ascii="Arial" w:eastAsia="Arial" w:hAnsi="Arial" w:cs="Arial"/>
          <w:b/>
          <w:bCs/>
          <w:sz w:val="22"/>
          <w:lang w:val="es-ES"/>
        </w:rPr>
        <w:t xml:space="preserve">IONES </w:t>
      </w:r>
      <w:r w:rsidRPr="3F5DE051">
        <w:rPr>
          <w:rFonts w:ascii="Arial" w:eastAsia="Arial" w:hAnsi="Arial" w:cs="Arial"/>
          <w:b/>
          <w:bCs/>
          <w:sz w:val="22"/>
        </w:rPr>
        <w:t xml:space="preserve">– Ley – </w:t>
      </w:r>
      <w:r w:rsidR="15577C88" w:rsidRPr="3F5DE051">
        <w:rPr>
          <w:rFonts w:ascii="Arial" w:eastAsia="Arial" w:hAnsi="Arial" w:cs="Arial"/>
          <w:b/>
          <w:bCs/>
          <w:sz w:val="22"/>
        </w:rPr>
        <w:t>Procedimiento de selección – Contrato – Entidad estatal – Causal – C</w:t>
      </w:r>
      <w:r w:rsidR="6E414C85" w:rsidRPr="3F5DE051">
        <w:rPr>
          <w:rFonts w:ascii="Arial" w:eastAsia="Arial" w:hAnsi="Arial" w:cs="Arial"/>
          <w:b/>
          <w:bCs/>
          <w:sz w:val="22"/>
        </w:rPr>
        <w:t>o</w:t>
      </w:r>
      <w:r w:rsidR="15577C88" w:rsidRPr="3F5DE051">
        <w:rPr>
          <w:rFonts w:ascii="Arial" w:eastAsia="Arial" w:hAnsi="Arial" w:cs="Arial"/>
          <w:b/>
          <w:bCs/>
          <w:sz w:val="22"/>
        </w:rPr>
        <w:t xml:space="preserve">nflicto de intereses – Improcedencia </w:t>
      </w:r>
    </w:p>
    <w:p w14:paraId="53DB3308" w14:textId="14483B8B" w:rsidR="3F5DE051" w:rsidRDefault="3F5DE051" w:rsidP="3F5DE051">
      <w:pPr>
        <w:jc w:val="both"/>
        <w:rPr>
          <w:b/>
          <w:bCs/>
        </w:rPr>
      </w:pPr>
    </w:p>
    <w:p w14:paraId="5ED3597D" w14:textId="06F3CC5E" w:rsidR="00B05A55" w:rsidRPr="003C786B" w:rsidRDefault="00F431BE" w:rsidP="00D66CC3">
      <w:pPr>
        <w:jc w:val="both"/>
        <w:rPr>
          <w:rFonts w:ascii="Arial" w:hAnsi="Arial" w:cs="Arial"/>
          <w:sz w:val="20"/>
          <w:szCs w:val="20"/>
          <w:lang w:val="es-ES_tradnl"/>
        </w:rPr>
      </w:pPr>
      <w:r w:rsidRPr="003C786B">
        <w:rPr>
          <w:rFonts w:ascii="Arial" w:hAnsi="Arial" w:cs="Arial"/>
          <w:sz w:val="20"/>
          <w:szCs w:val="20"/>
          <w:lang w:val="es-ES_tradnl"/>
        </w:rPr>
        <w:t xml:space="preserve">En consecuencia, si bien se ha dicho que el pliego de condiciones es «la ley del procedimiento de selección y del contrato», en esta frase la palabra «ley» no se utiliza en sentido formal, sino material. Además, el pliego de condiciones es un acto administrativo general –ni siquiera un reglamento– y, por lo tanto, no puede abrogarse la regulación de situaciones que gozan de reserva de ley, como el establecimiento de causales de inhabilidad o de incompatibilidad para participar en el correspondiente procedimiento de selección. Ahora bien, la Sala de Consulta y Servicio Civil del Consejo de Estado ha indicado en varios conceptos que las entidades estatales pueden incluir en el pliego de condiciones causales de conflicto de interés, pudiendo prever dentro de estas que el consultor que realizó los estudios y diseños tenga prohibido presentarse a la licitación pública cuyo </w:t>
      </w:r>
      <w:r w:rsidRPr="003C786B">
        <w:rPr>
          <w:rFonts w:ascii="Arial" w:hAnsi="Arial" w:cs="Arial"/>
          <w:sz w:val="20"/>
          <w:szCs w:val="20"/>
          <w:lang w:val="es-ES_tradnl"/>
        </w:rPr>
        <w:lastRenderedPageBreak/>
        <w:t>objeto es la contratación de la obra. Sin embargo, esta Subdirección se aparta de dicha tesis, porque al igual que las causales de inhabilidad e incompatibilidad, las causales de conflicto de interés son disposiciones que gozan de reserva de ley. Actualmente, dichas causales están previstas para los servidores públicos –y no para los proponentes o contratistas– en el artículo 11 de la Ley 1437 de 2011.</w:t>
      </w:r>
    </w:p>
    <w:p w14:paraId="3E95116F" w14:textId="313286AD" w:rsidR="008604E9" w:rsidRDefault="008604E9" w:rsidP="008604E9">
      <w:pPr>
        <w:pStyle w:val="Default"/>
      </w:pPr>
    </w:p>
    <w:p w14:paraId="7A65682C" w14:textId="77777777" w:rsidR="008604E9" w:rsidRDefault="008604E9" w:rsidP="008604E9">
      <w:pPr>
        <w:pStyle w:val="Default"/>
      </w:pPr>
    </w:p>
    <w:p w14:paraId="77CA959B" w14:textId="1F5A4B36" w:rsidR="008604E9" w:rsidRPr="008604E9" w:rsidRDefault="008604E9" w:rsidP="008604E9">
      <w:pPr>
        <w:pStyle w:val="Default"/>
        <w:rPr>
          <w:sz w:val="22"/>
          <w:szCs w:val="22"/>
        </w:rPr>
      </w:pPr>
      <w:r w:rsidRPr="008604E9">
        <w:rPr>
          <w:sz w:val="22"/>
          <w:szCs w:val="22"/>
        </w:rPr>
        <w:t xml:space="preserve">Bogotá D.C., </w:t>
      </w:r>
      <w:r w:rsidRPr="008604E9">
        <w:rPr>
          <w:b/>
          <w:bCs/>
          <w:sz w:val="22"/>
          <w:szCs w:val="22"/>
        </w:rPr>
        <w:t xml:space="preserve">14/02/2020 Hora 16:55:43s </w:t>
      </w:r>
    </w:p>
    <w:p w14:paraId="7E80B7C1" w14:textId="31DA43AF" w:rsidR="00A37FB6" w:rsidRPr="008604E9" w:rsidRDefault="008604E9" w:rsidP="008604E9">
      <w:pPr>
        <w:tabs>
          <w:tab w:val="left" w:pos="3374"/>
        </w:tabs>
        <w:spacing w:line="276" w:lineRule="auto"/>
        <w:jc w:val="right"/>
        <w:rPr>
          <w:rFonts w:ascii="Arial" w:eastAsia="Calibri" w:hAnsi="Arial" w:cs="Arial"/>
          <w:sz w:val="22"/>
        </w:rPr>
      </w:pPr>
      <w:proofErr w:type="spellStart"/>
      <w:r w:rsidRPr="008604E9">
        <w:rPr>
          <w:rFonts w:ascii="Arial" w:hAnsi="Arial" w:cs="Arial"/>
          <w:b/>
          <w:bCs/>
          <w:sz w:val="22"/>
        </w:rPr>
        <w:t>N°</w:t>
      </w:r>
      <w:proofErr w:type="spellEnd"/>
      <w:r w:rsidRPr="008604E9">
        <w:rPr>
          <w:rFonts w:ascii="Arial" w:hAnsi="Arial" w:cs="Arial"/>
          <w:b/>
          <w:bCs/>
          <w:sz w:val="22"/>
        </w:rPr>
        <w:t xml:space="preserve"> Radicado: 2202013000000991</w:t>
      </w:r>
      <w:r w:rsidR="00A37FB6" w:rsidRPr="008604E9">
        <w:rPr>
          <w:rFonts w:ascii="Arial" w:eastAsia="Calibri" w:hAnsi="Arial" w:cs="Arial"/>
          <w:sz w:val="22"/>
        </w:rPr>
        <w:tab/>
      </w:r>
    </w:p>
    <w:p w14:paraId="2B166DFC" w14:textId="77777777" w:rsidR="00A37FB6" w:rsidRPr="003C786B" w:rsidRDefault="00A37FB6" w:rsidP="00F23E3A">
      <w:pPr>
        <w:spacing w:line="276" w:lineRule="auto"/>
        <w:rPr>
          <w:rFonts w:ascii="Arial" w:eastAsia="Calibri" w:hAnsi="Arial" w:cs="Arial"/>
          <w:sz w:val="22"/>
        </w:rPr>
      </w:pPr>
      <w:r w:rsidRPr="003C786B">
        <w:rPr>
          <w:rFonts w:ascii="Arial" w:eastAsia="Calibri" w:hAnsi="Arial" w:cs="Arial"/>
          <w:sz w:val="22"/>
        </w:rPr>
        <w:t>Señor(a)</w:t>
      </w:r>
    </w:p>
    <w:p w14:paraId="16863497" w14:textId="195AA891" w:rsidR="00A37FB6" w:rsidRPr="003C786B" w:rsidRDefault="001F7D57" w:rsidP="00F23E3A">
      <w:pPr>
        <w:spacing w:line="276" w:lineRule="auto"/>
        <w:rPr>
          <w:rFonts w:ascii="Arial" w:eastAsia="Calibri" w:hAnsi="Arial" w:cs="Arial"/>
          <w:b/>
          <w:sz w:val="22"/>
        </w:rPr>
      </w:pPr>
      <w:r w:rsidRPr="003C786B">
        <w:rPr>
          <w:rFonts w:ascii="Arial" w:eastAsia="Calibri" w:hAnsi="Arial" w:cs="Arial"/>
          <w:b/>
          <w:sz w:val="22"/>
        </w:rPr>
        <w:t xml:space="preserve">Julio César Solano Andrade </w:t>
      </w:r>
      <w:r w:rsidR="00A37FB6" w:rsidRPr="003C786B">
        <w:rPr>
          <w:rFonts w:ascii="Arial" w:eastAsia="Calibri" w:hAnsi="Arial" w:cs="Arial"/>
          <w:b/>
          <w:sz w:val="22"/>
        </w:rPr>
        <w:t xml:space="preserve"> </w:t>
      </w:r>
    </w:p>
    <w:p w14:paraId="359C48BE" w14:textId="77777777" w:rsidR="00A37FB6" w:rsidRPr="003C786B" w:rsidRDefault="00A37FB6" w:rsidP="00F23E3A">
      <w:pPr>
        <w:spacing w:line="276" w:lineRule="auto"/>
        <w:rPr>
          <w:rFonts w:ascii="Arial" w:eastAsia="Calibri" w:hAnsi="Arial" w:cs="Arial"/>
          <w:sz w:val="22"/>
        </w:rPr>
      </w:pPr>
      <w:r w:rsidRPr="003C786B">
        <w:rPr>
          <w:rFonts w:ascii="Arial" w:eastAsia="Calibri" w:hAnsi="Arial" w:cs="Arial"/>
          <w:sz w:val="22"/>
        </w:rPr>
        <w:t>Ciudad</w:t>
      </w:r>
    </w:p>
    <w:p w14:paraId="479F6A3A" w14:textId="3047637A" w:rsidR="00A37FB6" w:rsidRPr="003C786B" w:rsidRDefault="00A37FB6" w:rsidP="00F23E3A">
      <w:pPr>
        <w:spacing w:line="276" w:lineRule="auto"/>
        <w:jc w:val="center"/>
        <w:rPr>
          <w:rFonts w:ascii="Arial" w:eastAsia="Calibri" w:hAnsi="Arial" w:cs="Arial"/>
          <w:b/>
          <w:sz w:val="22"/>
        </w:rPr>
      </w:pPr>
      <w:r w:rsidRPr="003C786B">
        <w:rPr>
          <w:rFonts w:ascii="Arial" w:eastAsia="Calibri" w:hAnsi="Arial" w:cs="Arial"/>
          <w:b/>
          <w:sz w:val="22"/>
        </w:rPr>
        <w:t>Concepto C ─ 0</w:t>
      </w:r>
      <w:r w:rsidR="00A346CD" w:rsidRPr="003C786B">
        <w:rPr>
          <w:rFonts w:ascii="Arial" w:eastAsia="Calibri" w:hAnsi="Arial" w:cs="Arial"/>
          <w:b/>
          <w:sz w:val="22"/>
        </w:rPr>
        <w:t>07</w:t>
      </w:r>
      <w:r w:rsidRPr="003C786B">
        <w:rPr>
          <w:rFonts w:ascii="Arial" w:eastAsia="Calibri" w:hAnsi="Arial" w:cs="Arial"/>
          <w:b/>
          <w:sz w:val="22"/>
        </w:rPr>
        <w:t xml:space="preserve"> de 2020</w:t>
      </w:r>
    </w:p>
    <w:p w14:paraId="49BB1EAB" w14:textId="77777777" w:rsidR="00A37FB6" w:rsidRPr="003C786B" w:rsidRDefault="00A37FB6" w:rsidP="00F23E3A">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C786B" w:rsidRPr="003C786B" w14:paraId="20C2FA60" w14:textId="77777777" w:rsidTr="00C13484">
        <w:tc>
          <w:tcPr>
            <w:tcW w:w="2689" w:type="dxa"/>
            <w:hideMark/>
          </w:tcPr>
          <w:p w14:paraId="2A9459AB" w14:textId="77777777" w:rsidR="00A37FB6" w:rsidRPr="003C786B" w:rsidRDefault="00A37FB6" w:rsidP="00F23E3A">
            <w:pPr>
              <w:spacing w:line="276" w:lineRule="auto"/>
              <w:rPr>
                <w:rFonts w:ascii="Arial" w:eastAsia="Calibri" w:hAnsi="Arial" w:cs="Arial"/>
                <w:sz w:val="22"/>
              </w:rPr>
            </w:pPr>
            <w:r w:rsidRPr="003C786B">
              <w:rPr>
                <w:rFonts w:ascii="Arial" w:eastAsia="Calibri" w:hAnsi="Arial" w:cs="Arial"/>
                <w:b/>
                <w:sz w:val="22"/>
              </w:rPr>
              <w:t>Temas:</w:t>
            </w:r>
            <w:r w:rsidRPr="003C786B">
              <w:rPr>
                <w:rFonts w:ascii="Arial" w:eastAsia="Calibri" w:hAnsi="Arial" w:cs="Arial"/>
                <w:sz w:val="22"/>
              </w:rPr>
              <w:t xml:space="preserve">           </w:t>
            </w:r>
          </w:p>
          <w:p w14:paraId="1840BCE8" w14:textId="77777777" w:rsidR="00A37FB6" w:rsidRPr="003C786B" w:rsidRDefault="00A37FB6" w:rsidP="00F23E3A">
            <w:pPr>
              <w:spacing w:line="276" w:lineRule="auto"/>
              <w:rPr>
                <w:rFonts w:ascii="Arial" w:eastAsia="Calibri" w:hAnsi="Arial" w:cs="Arial"/>
                <w:sz w:val="22"/>
              </w:rPr>
            </w:pPr>
            <w:r w:rsidRPr="003C786B">
              <w:rPr>
                <w:rFonts w:ascii="Arial" w:eastAsia="Calibri" w:hAnsi="Arial" w:cs="Arial"/>
                <w:sz w:val="22"/>
              </w:rPr>
              <w:t xml:space="preserve">                           </w:t>
            </w:r>
          </w:p>
        </w:tc>
        <w:tc>
          <w:tcPr>
            <w:tcW w:w="6237" w:type="dxa"/>
            <w:hideMark/>
          </w:tcPr>
          <w:p w14:paraId="069BC436" w14:textId="74AFAE90" w:rsidR="00A37FB6" w:rsidRPr="003C786B" w:rsidRDefault="00FB1417" w:rsidP="00F23E3A">
            <w:pPr>
              <w:spacing w:line="276" w:lineRule="auto"/>
              <w:jc w:val="both"/>
              <w:rPr>
                <w:rFonts w:ascii="Arial" w:eastAsia="Calibri" w:hAnsi="Arial" w:cs="Arial"/>
                <w:sz w:val="22"/>
              </w:rPr>
            </w:pPr>
            <w:r w:rsidRPr="003C786B">
              <w:rPr>
                <w:rFonts w:ascii="Arial" w:eastAsia="Calibri" w:hAnsi="Arial" w:cs="Arial"/>
                <w:sz w:val="22"/>
              </w:rPr>
              <w:t>INHABILIDADES E INCOMPATIBILIDADES ― Concepto ― Principio de legalidad ― Interpretación restrictiva</w:t>
            </w:r>
            <w:r w:rsidR="00AA669D" w:rsidRPr="003C786B">
              <w:rPr>
                <w:rFonts w:ascii="Arial" w:eastAsia="Calibri" w:hAnsi="Arial" w:cs="Arial"/>
                <w:sz w:val="22"/>
              </w:rPr>
              <w:t xml:space="preserve"> / </w:t>
            </w:r>
            <w:r w:rsidRPr="003C786B">
              <w:rPr>
                <w:rFonts w:ascii="Arial" w:eastAsia="Calibri" w:hAnsi="Arial" w:cs="Arial"/>
                <w:sz w:val="22"/>
              </w:rPr>
              <w:t>LICITACIÓN PÚBLICA ― Estudios y obra ― Contratación conjunta</w:t>
            </w:r>
            <w:r w:rsidR="00AA669D" w:rsidRPr="003C786B">
              <w:rPr>
                <w:rFonts w:ascii="Arial" w:eastAsia="Calibri" w:hAnsi="Arial" w:cs="Arial"/>
                <w:sz w:val="22"/>
              </w:rPr>
              <w:t xml:space="preserve"> / </w:t>
            </w:r>
            <w:r w:rsidRPr="003C786B">
              <w:rPr>
                <w:rFonts w:ascii="Arial" w:eastAsia="Calibri" w:hAnsi="Arial" w:cs="Arial"/>
                <w:sz w:val="22"/>
              </w:rPr>
              <w:t>CONTRATISTA DE ESTUDIOS Y DISEÑOS ― Participación en licitación de obra ― Viabilidad ― Ausencia de conflicto de interés</w:t>
            </w:r>
          </w:p>
        </w:tc>
      </w:tr>
      <w:tr w:rsidR="00A37FB6" w:rsidRPr="003C786B" w14:paraId="62473A71" w14:textId="77777777" w:rsidTr="00C13484">
        <w:tc>
          <w:tcPr>
            <w:tcW w:w="2689" w:type="dxa"/>
          </w:tcPr>
          <w:p w14:paraId="730BF589" w14:textId="77777777" w:rsidR="00A37FB6" w:rsidRPr="003C786B" w:rsidRDefault="00A37FB6" w:rsidP="00F23E3A">
            <w:pPr>
              <w:spacing w:line="276" w:lineRule="auto"/>
              <w:rPr>
                <w:rFonts w:ascii="Arial" w:eastAsia="Calibri" w:hAnsi="Arial" w:cs="Arial"/>
                <w:b/>
                <w:sz w:val="22"/>
              </w:rPr>
            </w:pPr>
            <w:r w:rsidRPr="003C786B">
              <w:rPr>
                <w:rFonts w:ascii="Arial" w:eastAsia="Calibri" w:hAnsi="Arial" w:cs="Arial"/>
                <w:b/>
                <w:sz w:val="22"/>
              </w:rPr>
              <w:t>Radicación:</w:t>
            </w:r>
            <w:r w:rsidRPr="003C786B">
              <w:rPr>
                <w:rFonts w:ascii="Arial" w:eastAsia="Calibri" w:hAnsi="Arial" w:cs="Arial"/>
                <w:sz w:val="22"/>
              </w:rPr>
              <w:t xml:space="preserve">                              </w:t>
            </w:r>
          </w:p>
        </w:tc>
        <w:tc>
          <w:tcPr>
            <w:tcW w:w="6237" w:type="dxa"/>
          </w:tcPr>
          <w:p w14:paraId="2CD77F9B" w14:textId="68A728E9" w:rsidR="00A37FB6" w:rsidRPr="003C786B" w:rsidRDefault="00A37FB6" w:rsidP="00F23E3A">
            <w:pPr>
              <w:spacing w:line="276" w:lineRule="auto"/>
              <w:jc w:val="both"/>
              <w:rPr>
                <w:rFonts w:ascii="Arial" w:eastAsia="Calibri" w:hAnsi="Arial" w:cs="Arial"/>
                <w:sz w:val="22"/>
              </w:rPr>
            </w:pPr>
            <w:r w:rsidRPr="003C786B">
              <w:rPr>
                <w:rFonts w:ascii="Arial" w:eastAsia="Calibri" w:hAnsi="Arial" w:cs="Arial"/>
                <w:sz w:val="22"/>
              </w:rPr>
              <w:t xml:space="preserve">Respuesta a consulta # </w:t>
            </w:r>
            <w:r w:rsidR="006C1C9E" w:rsidRPr="003C786B">
              <w:rPr>
                <w:rFonts w:ascii="Arial" w:hAnsi="Arial" w:cs="Arial"/>
                <w:sz w:val="22"/>
                <w:lang w:val="es-ES_tradnl"/>
              </w:rPr>
              <w:t>4201913000008325</w:t>
            </w:r>
          </w:p>
        </w:tc>
      </w:tr>
    </w:tbl>
    <w:p w14:paraId="6199F8C9" w14:textId="77777777" w:rsidR="00A37FB6" w:rsidRPr="003C786B" w:rsidRDefault="00A37FB6" w:rsidP="00F23E3A">
      <w:pPr>
        <w:spacing w:line="276" w:lineRule="auto"/>
        <w:jc w:val="both"/>
        <w:rPr>
          <w:rFonts w:ascii="Arial" w:eastAsia="Calibri" w:hAnsi="Arial" w:cs="Arial"/>
          <w:sz w:val="22"/>
        </w:rPr>
      </w:pPr>
    </w:p>
    <w:p w14:paraId="6AEA1AE6" w14:textId="77777777" w:rsidR="00A37FB6" w:rsidRPr="003C786B" w:rsidRDefault="00A37FB6" w:rsidP="00F23E3A">
      <w:pPr>
        <w:spacing w:line="276" w:lineRule="auto"/>
        <w:rPr>
          <w:rFonts w:ascii="Arial" w:eastAsia="Calibri" w:hAnsi="Arial" w:cs="Arial"/>
          <w:sz w:val="22"/>
        </w:rPr>
      </w:pPr>
    </w:p>
    <w:p w14:paraId="2F0DA2F5" w14:textId="2AACA7D6" w:rsidR="00A37FB6" w:rsidRPr="003C786B" w:rsidRDefault="006C1C9E" w:rsidP="00F23E3A">
      <w:pPr>
        <w:spacing w:line="276" w:lineRule="auto"/>
        <w:rPr>
          <w:rFonts w:ascii="Arial" w:eastAsia="Calibri" w:hAnsi="Arial" w:cs="Arial"/>
          <w:sz w:val="22"/>
        </w:rPr>
      </w:pPr>
      <w:r w:rsidRPr="003C786B">
        <w:rPr>
          <w:rFonts w:ascii="Arial" w:eastAsia="Calibri" w:hAnsi="Arial" w:cs="Arial"/>
          <w:sz w:val="22"/>
        </w:rPr>
        <w:t>Estimado señor Solano,</w:t>
      </w:r>
    </w:p>
    <w:p w14:paraId="3CAF7803" w14:textId="77777777" w:rsidR="006C1C9E" w:rsidRPr="003C786B" w:rsidRDefault="006C1C9E" w:rsidP="00F23E3A">
      <w:pPr>
        <w:spacing w:line="276" w:lineRule="auto"/>
        <w:rPr>
          <w:rFonts w:ascii="Arial" w:eastAsia="Calibri" w:hAnsi="Arial" w:cs="Arial"/>
          <w:sz w:val="22"/>
        </w:rPr>
      </w:pPr>
    </w:p>
    <w:p w14:paraId="37E551C1" w14:textId="06304835" w:rsidR="00A37FB6" w:rsidRPr="003C786B" w:rsidRDefault="006C1C9E" w:rsidP="00F23E3A">
      <w:pPr>
        <w:tabs>
          <w:tab w:val="left" w:pos="426"/>
        </w:tabs>
        <w:spacing w:line="276" w:lineRule="auto"/>
        <w:jc w:val="both"/>
        <w:rPr>
          <w:rFonts w:ascii="Arial" w:eastAsia="Calibri" w:hAnsi="Arial" w:cs="Arial"/>
          <w:sz w:val="22"/>
        </w:rPr>
      </w:pPr>
      <w:r w:rsidRPr="003C786B">
        <w:rPr>
          <w:rFonts w:ascii="Arial" w:eastAsia="Calibri" w:hAnsi="Arial" w:cs="Arial"/>
          <w:sz w:val="22"/>
        </w:rPr>
        <w:t>La Agencia Nacional de Contratación Pública ―</w:t>
      </w:r>
      <w:r w:rsidR="00AE70B1" w:rsidRPr="003C786B">
        <w:rPr>
          <w:rFonts w:ascii="Arial" w:eastAsia="Calibri" w:hAnsi="Arial" w:cs="Arial"/>
          <w:sz w:val="22"/>
        </w:rPr>
        <w:t xml:space="preserve"> </w:t>
      </w:r>
      <w:r w:rsidRPr="003C786B">
        <w:rPr>
          <w:rFonts w:ascii="Arial" w:eastAsia="Calibri" w:hAnsi="Arial" w:cs="Arial"/>
          <w:sz w:val="22"/>
        </w:rPr>
        <w:t>Colombia Compra Eficiente</w:t>
      </w:r>
      <w:r w:rsidR="00AE70B1" w:rsidRPr="003C786B">
        <w:rPr>
          <w:rFonts w:ascii="Arial" w:eastAsia="Calibri" w:hAnsi="Arial" w:cs="Arial"/>
          <w:sz w:val="22"/>
        </w:rPr>
        <w:t xml:space="preserve"> </w:t>
      </w:r>
      <w:r w:rsidRPr="003C786B">
        <w:rPr>
          <w:rFonts w:ascii="Arial" w:eastAsia="Calibri" w:hAnsi="Arial" w:cs="Arial"/>
          <w:sz w:val="22"/>
        </w:rPr>
        <w:t>responde su consulta del 5 de diciembre de 2019, remitida a esta entidad por motivo de competencia por parte del Departamento Administrativo de la Función Pública el 12 de diciembre de 2019, en ejercicio de la competencia otorgada por el numeral 8 del artículo 11 y el numeral 5 del artículo 3 del Decreto Ley 4170 de 2011.</w:t>
      </w:r>
    </w:p>
    <w:p w14:paraId="3F99F54D" w14:textId="77777777" w:rsidR="006C1C9E" w:rsidRPr="003C786B" w:rsidRDefault="006C1C9E" w:rsidP="00F23E3A">
      <w:pPr>
        <w:spacing w:line="276" w:lineRule="auto"/>
        <w:jc w:val="both"/>
        <w:rPr>
          <w:rFonts w:ascii="Arial" w:eastAsia="Calibri" w:hAnsi="Arial" w:cs="Arial"/>
          <w:sz w:val="22"/>
        </w:rPr>
      </w:pPr>
    </w:p>
    <w:p w14:paraId="737E2623" w14:textId="77777777" w:rsidR="00A37FB6" w:rsidRPr="003C786B" w:rsidRDefault="00A37FB6" w:rsidP="00F23E3A">
      <w:pPr>
        <w:pStyle w:val="Prrafodelista"/>
        <w:numPr>
          <w:ilvl w:val="0"/>
          <w:numId w:val="6"/>
        </w:numPr>
        <w:tabs>
          <w:tab w:val="left" w:pos="284"/>
        </w:tabs>
        <w:spacing w:line="276" w:lineRule="auto"/>
        <w:ind w:left="0" w:firstLine="0"/>
        <w:jc w:val="both"/>
        <w:rPr>
          <w:rFonts w:ascii="Arial" w:eastAsia="Calibri" w:hAnsi="Arial" w:cs="Arial"/>
          <w:b/>
          <w:sz w:val="22"/>
        </w:rPr>
      </w:pPr>
      <w:r w:rsidRPr="003C786B">
        <w:rPr>
          <w:rFonts w:ascii="Arial" w:eastAsia="Calibri" w:hAnsi="Arial" w:cs="Arial"/>
          <w:b/>
          <w:sz w:val="22"/>
        </w:rPr>
        <w:t xml:space="preserve">Problemas planteados </w:t>
      </w:r>
    </w:p>
    <w:p w14:paraId="498A026D" w14:textId="77777777" w:rsidR="00A37FB6" w:rsidRPr="003C786B" w:rsidRDefault="00A37FB6" w:rsidP="00F23E3A">
      <w:pPr>
        <w:tabs>
          <w:tab w:val="left" w:pos="426"/>
        </w:tabs>
        <w:spacing w:line="276" w:lineRule="auto"/>
        <w:jc w:val="both"/>
        <w:rPr>
          <w:rFonts w:ascii="Arial" w:eastAsia="Calibri" w:hAnsi="Arial" w:cs="Arial"/>
          <w:b/>
          <w:sz w:val="22"/>
        </w:rPr>
      </w:pPr>
    </w:p>
    <w:p w14:paraId="4E8BF739" w14:textId="407E7465" w:rsidR="00A37FB6" w:rsidRPr="003C786B" w:rsidRDefault="00A37FB6" w:rsidP="00F23E3A">
      <w:pPr>
        <w:tabs>
          <w:tab w:val="left" w:pos="426"/>
        </w:tabs>
        <w:spacing w:line="276" w:lineRule="auto"/>
        <w:jc w:val="both"/>
        <w:rPr>
          <w:rFonts w:ascii="Arial" w:eastAsia="Calibri" w:hAnsi="Arial" w:cs="Arial"/>
          <w:sz w:val="22"/>
        </w:rPr>
      </w:pPr>
      <w:r w:rsidRPr="003C786B">
        <w:rPr>
          <w:rFonts w:ascii="Arial" w:eastAsia="Calibri" w:hAnsi="Arial" w:cs="Arial"/>
          <w:sz w:val="22"/>
        </w:rPr>
        <w:t>Usted realiza la</w:t>
      </w:r>
      <w:r w:rsidR="00611B77" w:rsidRPr="003C786B">
        <w:rPr>
          <w:rFonts w:ascii="Arial" w:eastAsia="Calibri" w:hAnsi="Arial" w:cs="Arial"/>
          <w:sz w:val="22"/>
        </w:rPr>
        <w:t>s</w:t>
      </w:r>
      <w:r w:rsidRPr="003C786B">
        <w:rPr>
          <w:rFonts w:ascii="Arial" w:eastAsia="Calibri" w:hAnsi="Arial" w:cs="Arial"/>
          <w:sz w:val="22"/>
        </w:rPr>
        <w:t xml:space="preserve"> siguiente</w:t>
      </w:r>
      <w:r w:rsidR="00611B77" w:rsidRPr="003C786B">
        <w:rPr>
          <w:rFonts w:ascii="Arial" w:eastAsia="Calibri" w:hAnsi="Arial" w:cs="Arial"/>
          <w:sz w:val="22"/>
        </w:rPr>
        <w:t>s</w:t>
      </w:r>
      <w:r w:rsidRPr="003C786B">
        <w:rPr>
          <w:rFonts w:ascii="Arial" w:eastAsia="Calibri" w:hAnsi="Arial" w:cs="Arial"/>
          <w:sz w:val="22"/>
        </w:rPr>
        <w:t xml:space="preserve"> pregunta</w:t>
      </w:r>
      <w:r w:rsidR="00611B77" w:rsidRPr="003C786B">
        <w:rPr>
          <w:rFonts w:ascii="Arial" w:eastAsia="Calibri" w:hAnsi="Arial" w:cs="Arial"/>
          <w:sz w:val="22"/>
        </w:rPr>
        <w:t>s</w:t>
      </w:r>
      <w:r w:rsidRPr="003C786B">
        <w:rPr>
          <w:rFonts w:ascii="Arial" w:eastAsia="Calibri" w:hAnsi="Arial" w:cs="Arial"/>
          <w:sz w:val="22"/>
        </w:rPr>
        <w:t xml:space="preserve">: </w:t>
      </w:r>
      <w:r w:rsidR="00611B77" w:rsidRPr="003C786B">
        <w:rPr>
          <w:rFonts w:ascii="Arial" w:eastAsia="Calibri" w:hAnsi="Arial" w:cs="Arial"/>
          <w:sz w:val="22"/>
        </w:rPr>
        <w:t xml:space="preserve">i) </w:t>
      </w:r>
      <w:r w:rsidR="00BE194E" w:rsidRPr="003C786B">
        <w:rPr>
          <w:rFonts w:ascii="Arial" w:eastAsia="Calibri" w:hAnsi="Arial" w:cs="Arial"/>
          <w:sz w:val="22"/>
        </w:rPr>
        <w:t xml:space="preserve">«Se presenta inhabilidad o incompatibilidad en un proceso licitatorio de contratación pública, cuando quien ganó el proceso para realizar los estudios previos se presenta a licitar con un precio más bajo que el que estipuló para la obra en el resultado de los </w:t>
      </w:r>
      <w:proofErr w:type="gramStart"/>
      <w:r w:rsidR="00BE194E" w:rsidRPr="003C786B">
        <w:rPr>
          <w:rFonts w:ascii="Arial" w:eastAsia="Calibri" w:hAnsi="Arial" w:cs="Arial"/>
          <w:sz w:val="22"/>
        </w:rPr>
        <w:t>estudios?.</w:t>
      </w:r>
      <w:proofErr w:type="gramEnd"/>
      <w:r w:rsidR="00BE194E" w:rsidRPr="003C786B">
        <w:rPr>
          <w:rFonts w:ascii="Arial" w:eastAsia="Calibri" w:hAnsi="Arial" w:cs="Arial"/>
          <w:sz w:val="22"/>
        </w:rPr>
        <w:t xml:space="preserve"> (sic) Es decir, quien realizó los estudios predios (sic) estipuló como precio de la obra un valor de 60 y cuando se presenta a licitar por la obra, dice que cobra 50</w:t>
      </w:r>
      <w:r w:rsidR="005178B0" w:rsidRPr="003C786B">
        <w:rPr>
          <w:rFonts w:ascii="Arial" w:eastAsia="Calibri" w:hAnsi="Arial" w:cs="Arial"/>
          <w:sz w:val="22"/>
        </w:rPr>
        <w:t xml:space="preserve">»; </w:t>
      </w:r>
      <w:proofErr w:type="spellStart"/>
      <w:r w:rsidR="005178B0" w:rsidRPr="003C786B">
        <w:rPr>
          <w:rFonts w:ascii="Arial" w:eastAsia="Calibri" w:hAnsi="Arial" w:cs="Arial"/>
          <w:sz w:val="22"/>
        </w:rPr>
        <w:t>i</w:t>
      </w:r>
      <w:r w:rsidR="00611B77" w:rsidRPr="003C786B">
        <w:rPr>
          <w:rFonts w:ascii="Arial" w:eastAsia="Calibri" w:hAnsi="Arial" w:cs="Arial"/>
          <w:sz w:val="22"/>
        </w:rPr>
        <w:t>i</w:t>
      </w:r>
      <w:proofErr w:type="spellEnd"/>
      <w:r w:rsidR="00611B77" w:rsidRPr="003C786B">
        <w:rPr>
          <w:rFonts w:ascii="Arial" w:eastAsia="Calibri" w:hAnsi="Arial" w:cs="Arial"/>
          <w:sz w:val="22"/>
        </w:rPr>
        <w:t>)</w:t>
      </w:r>
      <w:r w:rsidR="00BE194E" w:rsidRPr="003C786B">
        <w:rPr>
          <w:rFonts w:ascii="Arial" w:eastAsia="Calibri" w:hAnsi="Arial" w:cs="Arial"/>
          <w:sz w:val="22"/>
        </w:rPr>
        <w:t xml:space="preserve"> </w:t>
      </w:r>
      <w:r w:rsidR="00611B77" w:rsidRPr="003C786B">
        <w:rPr>
          <w:rFonts w:ascii="Arial" w:eastAsia="Calibri" w:hAnsi="Arial" w:cs="Arial"/>
          <w:sz w:val="22"/>
        </w:rPr>
        <w:t>«</w:t>
      </w:r>
      <w:r w:rsidR="00BE194E" w:rsidRPr="003C786B">
        <w:rPr>
          <w:rFonts w:ascii="Arial" w:eastAsia="Calibri" w:hAnsi="Arial" w:cs="Arial"/>
          <w:sz w:val="22"/>
        </w:rPr>
        <w:t xml:space="preserve">el director de la </w:t>
      </w:r>
      <w:proofErr w:type="gramStart"/>
      <w:r w:rsidR="00BE194E" w:rsidRPr="003C786B">
        <w:rPr>
          <w:rFonts w:ascii="Arial" w:eastAsia="Calibri" w:hAnsi="Arial" w:cs="Arial"/>
          <w:sz w:val="22"/>
        </w:rPr>
        <w:t>entidad,</w:t>
      </w:r>
      <w:proofErr w:type="gramEnd"/>
      <w:r w:rsidR="00BE194E" w:rsidRPr="003C786B">
        <w:rPr>
          <w:rFonts w:ascii="Arial" w:eastAsia="Calibri" w:hAnsi="Arial" w:cs="Arial"/>
          <w:sz w:val="22"/>
        </w:rPr>
        <w:t xml:space="preserve"> puede objetar esta situación y manifestar en el pliego de condiciones de la obra que quien realizó los estudios previos, no puede presentarse a licitar por la obra?»</w:t>
      </w:r>
      <w:r w:rsidR="00BE33E3" w:rsidRPr="003C786B">
        <w:rPr>
          <w:rFonts w:ascii="Arial" w:eastAsia="Calibri" w:hAnsi="Arial" w:cs="Arial"/>
          <w:sz w:val="22"/>
        </w:rPr>
        <w:t>.</w:t>
      </w:r>
      <w:r w:rsidR="00BE194E" w:rsidRPr="003C786B">
        <w:rPr>
          <w:rFonts w:ascii="Arial" w:eastAsia="Calibri" w:hAnsi="Arial" w:cs="Arial"/>
          <w:sz w:val="22"/>
        </w:rPr>
        <w:t xml:space="preserve">  </w:t>
      </w:r>
    </w:p>
    <w:p w14:paraId="6A32A1B1" w14:textId="33A59142" w:rsidR="00A37FB6" w:rsidRPr="003C786B" w:rsidRDefault="0010298F" w:rsidP="0010298F">
      <w:pPr>
        <w:tabs>
          <w:tab w:val="left" w:pos="426"/>
        </w:tabs>
        <w:spacing w:line="276" w:lineRule="auto"/>
        <w:jc w:val="both"/>
        <w:rPr>
          <w:rFonts w:ascii="Arial" w:eastAsia="Calibri" w:hAnsi="Arial" w:cs="Arial"/>
          <w:b/>
          <w:sz w:val="22"/>
        </w:rPr>
      </w:pPr>
      <w:r w:rsidRPr="003C786B">
        <w:rPr>
          <w:rFonts w:ascii="Arial" w:eastAsia="Calibri" w:hAnsi="Arial" w:cs="Arial"/>
          <w:b/>
          <w:sz w:val="22"/>
        </w:rPr>
        <w:lastRenderedPageBreak/>
        <w:t xml:space="preserve">2. </w:t>
      </w:r>
      <w:r w:rsidR="00A37FB6" w:rsidRPr="003C786B">
        <w:rPr>
          <w:rFonts w:ascii="Arial" w:eastAsia="Calibri" w:hAnsi="Arial" w:cs="Arial"/>
          <w:b/>
          <w:sz w:val="22"/>
        </w:rPr>
        <w:t>Consideraciones</w:t>
      </w:r>
    </w:p>
    <w:bookmarkEnd w:id="0"/>
    <w:bookmarkEnd w:id="1"/>
    <w:p w14:paraId="5D8BAB86" w14:textId="77777777" w:rsidR="00D94962" w:rsidRPr="003C786B" w:rsidRDefault="00D94962" w:rsidP="00F23E3A">
      <w:pPr>
        <w:spacing w:line="276" w:lineRule="auto"/>
        <w:jc w:val="both"/>
        <w:rPr>
          <w:rFonts w:ascii="Arial" w:hAnsi="Arial" w:cs="Arial"/>
          <w:sz w:val="22"/>
          <w:lang w:val="es-ES_tradnl"/>
        </w:rPr>
      </w:pPr>
    </w:p>
    <w:p w14:paraId="3CE1C1EB" w14:textId="582C7F36" w:rsidR="00F72043" w:rsidRPr="003C786B" w:rsidRDefault="00F72043" w:rsidP="00F23E3A">
      <w:pPr>
        <w:spacing w:line="276" w:lineRule="auto"/>
        <w:jc w:val="both"/>
        <w:rPr>
          <w:rFonts w:ascii="Arial" w:hAnsi="Arial" w:cs="Arial"/>
          <w:sz w:val="22"/>
          <w:lang w:val="es-ES_tradnl"/>
        </w:rPr>
      </w:pPr>
      <w:r w:rsidRPr="003C786B">
        <w:rPr>
          <w:rFonts w:ascii="Arial" w:hAnsi="Arial" w:cs="Arial"/>
          <w:sz w:val="22"/>
          <w:lang w:val="es-ES_tradnl"/>
        </w:rPr>
        <w:t xml:space="preserve">Para resolver esta consulta se hará un análisis de los siguientes temas: i) el régimen de inhabilidades e incompatibilidades para contratar con el Estado; </w:t>
      </w:r>
      <w:proofErr w:type="spellStart"/>
      <w:r w:rsidRPr="003C786B">
        <w:rPr>
          <w:rFonts w:ascii="Arial" w:hAnsi="Arial" w:cs="Arial"/>
          <w:sz w:val="22"/>
          <w:lang w:val="es-ES_tradnl"/>
        </w:rPr>
        <w:t>ii</w:t>
      </w:r>
      <w:proofErr w:type="spellEnd"/>
      <w:r w:rsidRPr="003C786B">
        <w:rPr>
          <w:rFonts w:ascii="Arial" w:hAnsi="Arial" w:cs="Arial"/>
          <w:sz w:val="22"/>
          <w:lang w:val="es-ES_tradnl"/>
        </w:rPr>
        <w:t xml:space="preserve">) posibilidad de realizar el proceso de licitación pública para adelantar estudios y diseños y a su vez la construcción de la obra y </w:t>
      </w:r>
      <w:proofErr w:type="spellStart"/>
      <w:r w:rsidRPr="003C786B">
        <w:rPr>
          <w:rFonts w:ascii="Arial" w:hAnsi="Arial" w:cs="Arial"/>
          <w:sz w:val="22"/>
          <w:lang w:val="es-ES_tradnl"/>
        </w:rPr>
        <w:t>iii</w:t>
      </w:r>
      <w:proofErr w:type="spellEnd"/>
      <w:r w:rsidRPr="003C786B">
        <w:rPr>
          <w:rFonts w:ascii="Arial" w:hAnsi="Arial" w:cs="Arial"/>
          <w:sz w:val="22"/>
          <w:lang w:val="es-ES_tradnl"/>
        </w:rPr>
        <w:t xml:space="preserve">) posibilidad de que </w:t>
      </w:r>
      <w:r w:rsidR="00052E6D" w:rsidRPr="003C786B">
        <w:rPr>
          <w:rFonts w:ascii="Arial" w:hAnsi="Arial" w:cs="Arial"/>
          <w:sz w:val="22"/>
          <w:lang w:val="es-ES_tradnl"/>
        </w:rPr>
        <w:t xml:space="preserve">el </w:t>
      </w:r>
      <w:r w:rsidRPr="003C786B">
        <w:rPr>
          <w:rFonts w:ascii="Arial" w:hAnsi="Arial" w:cs="Arial"/>
          <w:sz w:val="22"/>
          <w:lang w:val="es-ES_tradnl"/>
        </w:rPr>
        <w:t>contratista que elaboró los estudios y diseños participe como oferente en la licitación pública de la obra.</w:t>
      </w:r>
    </w:p>
    <w:p w14:paraId="3BD93A33" w14:textId="77777777" w:rsidR="00F72043" w:rsidRPr="003C786B" w:rsidRDefault="00F72043" w:rsidP="00F23E3A">
      <w:pPr>
        <w:spacing w:line="276" w:lineRule="auto"/>
        <w:jc w:val="both"/>
        <w:rPr>
          <w:rFonts w:ascii="Arial" w:hAnsi="Arial" w:cs="Arial"/>
          <w:sz w:val="22"/>
          <w:lang w:val="es-ES_tradnl"/>
        </w:rPr>
      </w:pPr>
    </w:p>
    <w:p w14:paraId="3984640B" w14:textId="62976528" w:rsidR="0096318D" w:rsidRPr="003C786B" w:rsidRDefault="0096318D" w:rsidP="00F23E3A">
      <w:pPr>
        <w:tabs>
          <w:tab w:val="left" w:pos="426"/>
        </w:tabs>
        <w:spacing w:line="276" w:lineRule="auto"/>
        <w:jc w:val="both"/>
        <w:rPr>
          <w:rFonts w:ascii="Arial" w:eastAsia="Calibri" w:hAnsi="Arial" w:cs="Arial"/>
          <w:b/>
          <w:sz w:val="22"/>
          <w:lang w:val="es-ES_tradnl"/>
        </w:rPr>
      </w:pPr>
      <w:r w:rsidRPr="003C786B">
        <w:rPr>
          <w:rFonts w:ascii="Arial" w:eastAsia="Calibri" w:hAnsi="Arial" w:cs="Arial"/>
          <w:b/>
          <w:sz w:val="22"/>
          <w:lang w:val="es-ES_tradnl"/>
        </w:rPr>
        <w:t>2.</w:t>
      </w:r>
      <w:r w:rsidR="00052E6D" w:rsidRPr="003C786B">
        <w:rPr>
          <w:rFonts w:ascii="Arial" w:eastAsia="Calibri" w:hAnsi="Arial" w:cs="Arial"/>
          <w:b/>
          <w:sz w:val="22"/>
          <w:lang w:val="es-ES_tradnl"/>
        </w:rPr>
        <w:t>1</w:t>
      </w:r>
      <w:r w:rsidRPr="003C786B">
        <w:rPr>
          <w:rFonts w:ascii="Arial" w:eastAsia="Calibri" w:hAnsi="Arial" w:cs="Arial"/>
          <w:b/>
          <w:sz w:val="22"/>
          <w:lang w:val="es-ES_tradnl"/>
        </w:rPr>
        <w:t xml:space="preserve">. Régimen de inhabilidades e incompatibilidades en la contratación estatal: un límite a la capacidad contractual. La interpretación restrictiva como criterio hermenéutico de los enunciados normativos gravosos </w:t>
      </w:r>
    </w:p>
    <w:p w14:paraId="7CB4E798" w14:textId="77777777" w:rsidR="009256D5" w:rsidRPr="003C786B" w:rsidRDefault="009256D5" w:rsidP="00F23E3A">
      <w:pPr>
        <w:spacing w:line="276" w:lineRule="auto"/>
        <w:jc w:val="both"/>
        <w:rPr>
          <w:rFonts w:ascii="Arial" w:eastAsia="Calibri" w:hAnsi="Arial" w:cs="Arial"/>
          <w:sz w:val="22"/>
          <w:lang w:val="es-ES_tradnl"/>
        </w:rPr>
      </w:pPr>
    </w:p>
    <w:p w14:paraId="1A8179DD" w14:textId="77D9E1B5" w:rsidR="0096318D" w:rsidRPr="003C786B" w:rsidRDefault="0096318D" w:rsidP="00F23E3A">
      <w:pPr>
        <w:spacing w:line="276" w:lineRule="auto"/>
        <w:jc w:val="both"/>
        <w:rPr>
          <w:rFonts w:ascii="Arial" w:eastAsia="Calibri" w:hAnsi="Arial" w:cs="Arial"/>
          <w:sz w:val="22"/>
          <w:lang w:val="es-ES_tradnl"/>
        </w:rPr>
      </w:pPr>
      <w:r w:rsidRPr="003C786B">
        <w:rPr>
          <w:rFonts w:ascii="Arial" w:eastAsia="Calibri" w:hAnsi="Arial" w:cs="Arial"/>
          <w:sz w:val="22"/>
          <w:lang w:val="es-ES_tradnl"/>
        </w:rPr>
        <w:t xml:space="preserve">En la contratación estatal, la </w:t>
      </w:r>
      <w:r w:rsidRPr="003C786B">
        <w:rPr>
          <w:rFonts w:ascii="Arial" w:eastAsia="Calibri" w:hAnsi="Arial" w:cs="Arial"/>
          <w:i/>
          <w:iCs/>
          <w:sz w:val="22"/>
          <w:lang w:val="es-ES_tradnl"/>
        </w:rPr>
        <w:t>capacidad</w:t>
      </w:r>
      <w:r w:rsidRPr="003C786B">
        <w:rPr>
          <w:rFonts w:ascii="Arial" w:eastAsia="Calibri" w:hAnsi="Arial" w:cs="Arial"/>
          <w:sz w:val="22"/>
          <w:lang w:val="es-ES_tradnl"/>
        </w:rPr>
        <w:t xml:space="preserve"> también es un requisito de validez de los contratos, tanto en el régimen de las entidades sujetas al Estatuto General de Contratación de la Administración Pública</w:t>
      </w:r>
      <w:r w:rsidRPr="003C786B">
        <w:rPr>
          <w:rFonts w:ascii="Arial" w:eastAsia="Calibri" w:hAnsi="Arial" w:cs="Arial"/>
          <w:sz w:val="22"/>
          <w:vertAlign w:val="superscript"/>
          <w:lang w:val="es-ES_tradnl"/>
        </w:rPr>
        <w:footnoteReference w:id="1"/>
      </w:r>
      <w:r w:rsidRPr="003C786B">
        <w:rPr>
          <w:rFonts w:ascii="Arial" w:eastAsia="Calibri" w:hAnsi="Arial" w:cs="Arial"/>
          <w:sz w:val="22"/>
          <w:lang w:val="es-ES_tradnl"/>
        </w:rPr>
        <w:t xml:space="preserve"> como en el de las entidades exceptuadas de aquel</w:t>
      </w:r>
      <w:r w:rsidRPr="003C786B">
        <w:rPr>
          <w:rFonts w:ascii="Arial" w:eastAsia="Calibri" w:hAnsi="Arial" w:cs="Arial"/>
          <w:sz w:val="22"/>
          <w:vertAlign w:val="superscript"/>
          <w:lang w:val="es-ES_tradnl"/>
        </w:rPr>
        <w:footnoteReference w:id="2"/>
      </w:r>
      <w:r w:rsidRPr="003C786B">
        <w:rPr>
          <w:rFonts w:ascii="Arial" w:eastAsia="Calibri" w:hAnsi="Arial" w:cs="Arial"/>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3C786B">
        <w:rPr>
          <w:rFonts w:ascii="Arial" w:eastAsia="Calibri" w:hAnsi="Arial" w:cs="Arial"/>
          <w:sz w:val="22"/>
          <w:vertAlign w:val="superscript"/>
          <w:lang w:val="es-ES_tradnl"/>
        </w:rPr>
        <w:footnoteReference w:id="3"/>
      </w:r>
      <w:r w:rsidRPr="003C786B">
        <w:rPr>
          <w:rFonts w:ascii="Arial" w:eastAsia="Calibri" w:hAnsi="Arial" w:cs="Arial"/>
          <w:sz w:val="22"/>
          <w:lang w:val="es-ES_tradnl"/>
        </w:rPr>
        <w:t xml:space="preserve">–, se destaca el régimen de inhabilidades e incompatibilidades </w:t>
      </w:r>
      <w:r w:rsidRPr="003C786B">
        <w:rPr>
          <w:rFonts w:ascii="Arial" w:eastAsia="Calibri" w:hAnsi="Arial" w:cs="Arial"/>
          <w:sz w:val="22"/>
          <w:lang w:val="es-ES_tradnl"/>
        </w:rPr>
        <w:lastRenderedPageBreak/>
        <w:t>como un conjunto de enunciados normativos que imponen restricciones para los sujetos que, eventualmente, pretendan participar en los procedimientos de selección o celebrar contratos con las entidades estatales</w:t>
      </w:r>
      <w:r w:rsidRPr="003C786B">
        <w:rPr>
          <w:rFonts w:ascii="Arial" w:eastAsia="Calibri" w:hAnsi="Arial" w:cs="Arial"/>
          <w:sz w:val="22"/>
          <w:vertAlign w:val="superscript"/>
          <w:lang w:val="es-ES_tradnl"/>
        </w:rPr>
        <w:footnoteReference w:id="4"/>
      </w:r>
      <w:r w:rsidRPr="003C786B">
        <w:rPr>
          <w:rFonts w:ascii="Arial" w:eastAsia="Calibri" w:hAnsi="Arial" w:cs="Arial"/>
          <w:sz w:val="22"/>
          <w:lang w:val="es-ES_tradnl"/>
        </w:rPr>
        <w:t>.</w:t>
      </w:r>
    </w:p>
    <w:p w14:paraId="742CCFE6" w14:textId="77777777" w:rsidR="0096318D" w:rsidRPr="003C786B" w:rsidRDefault="0096318D"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3C786B">
        <w:rPr>
          <w:rFonts w:ascii="Arial" w:eastAsia="Calibri" w:hAnsi="Arial" w:cs="Arial"/>
          <w:sz w:val="22"/>
          <w:vertAlign w:val="superscript"/>
          <w:lang w:val="es-ES_tradnl"/>
        </w:rPr>
        <w:footnoteReference w:id="5"/>
      </w:r>
      <w:r w:rsidRPr="003C786B">
        <w:rPr>
          <w:rFonts w:ascii="Arial" w:eastAsia="Calibri" w:hAnsi="Arial" w:cs="Arial"/>
          <w:sz w:val="22"/>
          <w:lang w:val="es-ES_tradnl"/>
        </w:rPr>
        <w:t xml:space="preserve">, </w:t>
      </w:r>
      <w:proofErr w:type="spellStart"/>
      <w:r w:rsidRPr="003C786B">
        <w:rPr>
          <w:rFonts w:ascii="Arial" w:eastAsia="Calibri" w:hAnsi="Arial" w:cs="Arial"/>
          <w:sz w:val="22"/>
          <w:lang w:val="es-ES_tradnl"/>
        </w:rPr>
        <w:t>ii</w:t>
      </w:r>
      <w:proofErr w:type="spellEnd"/>
      <w:r w:rsidRPr="003C786B">
        <w:rPr>
          <w:rFonts w:ascii="Arial" w:eastAsia="Calibri" w:hAnsi="Arial" w:cs="Arial"/>
          <w:sz w:val="22"/>
          <w:lang w:val="es-ES_tradnl"/>
        </w:rPr>
        <w:t>) de vínculos personales relativos al parentesco o al estado civil</w:t>
      </w:r>
      <w:r w:rsidRPr="003C786B">
        <w:rPr>
          <w:rFonts w:ascii="Arial" w:eastAsia="Calibri" w:hAnsi="Arial" w:cs="Arial"/>
          <w:sz w:val="22"/>
          <w:vertAlign w:val="superscript"/>
          <w:lang w:val="es-ES_tradnl"/>
        </w:rPr>
        <w:footnoteReference w:id="6"/>
      </w:r>
      <w:r w:rsidRPr="003C786B">
        <w:rPr>
          <w:rFonts w:ascii="Arial" w:eastAsia="Calibri" w:hAnsi="Arial" w:cs="Arial"/>
          <w:sz w:val="22"/>
          <w:lang w:val="es-ES_tradnl"/>
        </w:rPr>
        <w:t xml:space="preserve"> o </w:t>
      </w:r>
      <w:proofErr w:type="spellStart"/>
      <w:r w:rsidRPr="003C786B">
        <w:rPr>
          <w:rFonts w:ascii="Arial" w:eastAsia="Calibri" w:hAnsi="Arial" w:cs="Arial"/>
          <w:sz w:val="22"/>
          <w:lang w:val="es-ES_tradnl"/>
        </w:rPr>
        <w:t>iii</w:t>
      </w:r>
      <w:proofErr w:type="spellEnd"/>
      <w:r w:rsidRPr="003C786B">
        <w:rPr>
          <w:rFonts w:ascii="Arial" w:eastAsia="Calibri" w:hAnsi="Arial" w:cs="Arial"/>
          <w:sz w:val="22"/>
          <w:lang w:val="es-ES_tradnl"/>
        </w:rPr>
        <w:t xml:space="preserve">) de una actividad u oficio que se desempeñó en el </w:t>
      </w:r>
      <w:r w:rsidRPr="003C786B">
        <w:rPr>
          <w:rFonts w:ascii="Arial" w:eastAsia="Calibri" w:hAnsi="Arial" w:cs="Arial"/>
          <w:sz w:val="22"/>
          <w:lang w:val="es-ES_tradnl"/>
        </w:rPr>
        <w:lastRenderedPageBreak/>
        <w:t>pasado</w:t>
      </w:r>
      <w:r w:rsidRPr="003C786B">
        <w:rPr>
          <w:rFonts w:ascii="Arial" w:eastAsia="Calibri" w:hAnsi="Arial" w:cs="Arial"/>
          <w:sz w:val="22"/>
          <w:vertAlign w:val="superscript"/>
          <w:lang w:val="es-ES_tradnl"/>
        </w:rPr>
        <w:footnoteReference w:id="7"/>
      </w:r>
      <w:r w:rsidRPr="003C786B">
        <w:rPr>
          <w:rFonts w:ascii="Arial" w:eastAsia="Calibri" w:hAnsi="Arial" w:cs="Arial"/>
          <w:sz w:val="22"/>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3C786B">
        <w:rPr>
          <w:rFonts w:ascii="Arial" w:eastAsia="Calibri" w:hAnsi="Arial" w:cs="Arial"/>
          <w:sz w:val="22"/>
          <w:vertAlign w:val="superscript"/>
          <w:lang w:val="es-ES_tradnl"/>
        </w:rPr>
        <w:footnoteReference w:id="8"/>
      </w:r>
      <w:r w:rsidRPr="003C786B">
        <w:rPr>
          <w:rFonts w:ascii="Arial" w:eastAsia="Calibri" w:hAnsi="Arial" w:cs="Arial"/>
          <w:sz w:val="22"/>
          <w:lang w:val="es-ES_tradnl"/>
        </w:rPr>
        <w:t xml:space="preserve">. </w:t>
      </w:r>
    </w:p>
    <w:p w14:paraId="7630A8BB" w14:textId="77777777" w:rsidR="0096318D" w:rsidRPr="003C786B" w:rsidRDefault="0096318D"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w:t>
      </w:r>
      <w:r w:rsidRPr="003C786B">
        <w:rPr>
          <w:rFonts w:ascii="Arial" w:eastAsia="Calibri" w:hAnsi="Arial" w:cs="Arial"/>
          <w:sz w:val="22"/>
          <w:lang w:val="es-ES_tradnl"/>
        </w:rPr>
        <w:lastRenderedPageBreak/>
        <w:t xml:space="preserve">la función administrativa y de la gestión fiscal, especialmente con probidad y transparencia. Es por ello </w:t>
      </w:r>
      <w:proofErr w:type="gramStart"/>
      <w:r w:rsidRPr="003C786B">
        <w:rPr>
          <w:rFonts w:ascii="Arial" w:eastAsia="Calibri" w:hAnsi="Arial" w:cs="Arial"/>
          <w:sz w:val="22"/>
          <w:lang w:val="es-ES_tradnl"/>
        </w:rPr>
        <w:t>que</w:t>
      </w:r>
      <w:proofErr w:type="gramEnd"/>
      <w:r w:rsidRPr="003C786B">
        <w:rPr>
          <w:rFonts w:ascii="Arial" w:eastAsia="Calibri" w:hAnsi="Arial" w:cs="Arial"/>
          <w:sz w:val="22"/>
          <w:lang w:val="es-ES_tradnl"/>
        </w:rPr>
        <w:t>, como lo ha destacado la doctrina, las inhabilidades e incompatibilidades se han convertido en herramientas en la lucha contra la corrupción, adoptando paulatinamente un cariz sancionatorio o «</w:t>
      </w:r>
      <w:proofErr w:type="spellStart"/>
      <w:r w:rsidRPr="003C786B">
        <w:rPr>
          <w:rFonts w:ascii="Arial" w:eastAsia="Calibri" w:hAnsi="Arial" w:cs="Arial"/>
          <w:sz w:val="22"/>
          <w:lang w:val="es-ES_tradnl"/>
        </w:rPr>
        <w:t>neopunitivo</w:t>
      </w:r>
      <w:proofErr w:type="spellEnd"/>
      <w:r w:rsidRPr="003C786B">
        <w:rPr>
          <w:rFonts w:ascii="Arial" w:eastAsia="Calibri" w:hAnsi="Arial" w:cs="Arial"/>
          <w:sz w:val="22"/>
          <w:lang w:val="es-ES_tradnl"/>
        </w:rPr>
        <w:t>»</w:t>
      </w:r>
      <w:r w:rsidRPr="003C786B">
        <w:rPr>
          <w:rFonts w:ascii="Arial" w:eastAsia="Calibri" w:hAnsi="Arial" w:cs="Arial"/>
          <w:sz w:val="22"/>
          <w:vertAlign w:val="superscript"/>
          <w:lang w:val="es-ES_tradnl"/>
        </w:rPr>
        <w:footnoteReference w:id="9"/>
      </w:r>
      <w:r w:rsidRPr="003C786B">
        <w:rPr>
          <w:rFonts w:ascii="Arial" w:eastAsia="Calibri" w:hAnsi="Arial" w:cs="Arial"/>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43C609A4" w14:textId="77777777" w:rsidR="0096318D" w:rsidRPr="003C786B" w:rsidRDefault="0096318D"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3C786B">
        <w:rPr>
          <w:rFonts w:ascii="Arial" w:eastAsia="Calibri" w:hAnsi="Arial" w:cs="Arial"/>
          <w:i/>
          <w:iCs/>
          <w:sz w:val="22"/>
          <w:lang w:val="es-ES_tradnl"/>
        </w:rPr>
        <w:t>restrictiva</w:t>
      </w:r>
      <w:r w:rsidRPr="003C786B">
        <w:rPr>
          <w:rFonts w:ascii="Arial" w:eastAsia="Calibri" w:hAnsi="Arial" w:cs="Arial"/>
          <w:sz w:val="22"/>
          <w:vertAlign w:val="superscript"/>
          <w:lang w:val="es-ES_tradnl"/>
        </w:rPr>
        <w:footnoteReference w:id="10"/>
      </w:r>
      <w:r w:rsidRPr="003C786B">
        <w:rPr>
          <w:rFonts w:ascii="Arial" w:eastAsia="Calibri" w:hAnsi="Arial" w:cs="Arial"/>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1F6CAE39" w14:textId="77777777" w:rsidR="0096318D" w:rsidRPr="003C786B" w:rsidRDefault="0096318D"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3C786B">
        <w:rPr>
          <w:rFonts w:ascii="Arial" w:eastAsia="Calibri" w:hAnsi="Arial" w:cs="Arial"/>
          <w:sz w:val="22"/>
          <w:vertAlign w:val="superscript"/>
          <w:lang w:val="es-ES_tradnl"/>
        </w:rPr>
        <w:footnoteReference w:id="11"/>
      </w:r>
      <w:r w:rsidRPr="003C786B">
        <w:rPr>
          <w:rFonts w:ascii="Arial" w:eastAsia="Calibri" w:hAnsi="Arial" w:cs="Arial"/>
          <w:sz w:val="22"/>
          <w:lang w:val="es-ES_tradnl"/>
        </w:rPr>
        <w:t xml:space="preserve">.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w:t>
      </w:r>
      <w:r w:rsidRPr="003C786B">
        <w:rPr>
          <w:rFonts w:ascii="Arial" w:eastAsia="Calibri" w:hAnsi="Arial" w:cs="Arial"/>
          <w:sz w:val="22"/>
          <w:lang w:val="es-ES_tradnl"/>
        </w:rPr>
        <w:lastRenderedPageBreak/>
        <w:t>las leyes” lo que se traduce en que pueden hacer todo aquello que no les esté expresamente prohibido»</w:t>
      </w:r>
      <w:r w:rsidRPr="003C786B">
        <w:rPr>
          <w:rFonts w:ascii="Arial" w:eastAsia="Calibri" w:hAnsi="Arial" w:cs="Arial"/>
          <w:sz w:val="22"/>
          <w:vertAlign w:val="superscript"/>
          <w:lang w:val="es-ES_tradnl"/>
        </w:rPr>
        <w:footnoteReference w:id="12"/>
      </w:r>
      <w:r w:rsidRPr="003C786B">
        <w:rPr>
          <w:rFonts w:ascii="Arial" w:eastAsia="Calibri" w:hAnsi="Arial" w:cs="Arial"/>
          <w:sz w:val="22"/>
          <w:lang w:val="es-ES_tradnl"/>
        </w:rPr>
        <w:t>. En tal sentido, la Sección Tercera ha señalado que:</w:t>
      </w:r>
    </w:p>
    <w:p w14:paraId="27648BC9" w14:textId="77777777" w:rsidR="0096318D" w:rsidRPr="003C786B" w:rsidRDefault="0096318D" w:rsidP="00F23E3A">
      <w:pPr>
        <w:spacing w:line="276" w:lineRule="auto"/>
        <w:ind w:firstLine="709"/>
        <w:jc w:val="both"/>
        <w:rPr>
          <w:rFonts w:ascii="Arial" w:eastAsia="Calibri" w:hAnsi="Arial" w:cs="Arial"/>
          <w:sz w:val="22"/>
          <w:lang w:val="es-ES_tradnl"/>
        </w:rPr>
      </w:pPr>
    </w:p>
    <w:p w14:paraId="382FC456" w14:textId="3FEE3D83" w:rsidR="0096318D" w:rsidRPr="003C786B" w:rsidRDefault="0096318D" w:rsidP="00150BAE">
      <w:pPr>
        <w:ind w:left="709" w:right="709"/>
        <w:jc w:val="both"/>
        <w:rPr>
          <w:rFonts w:ascii="Arial" w:hAnsi="Arial" w:cs="Arial"/>
          <w:sz w:val="21"/>
          <w:szCs w:val="21"/>
          <w:lang w:val="es-ES_tradnl"/>
        </w:rPr>
      </w:pPr>
      <w:r w:rsidRPr="003C786B">
        <w:rPr>
          <w:rFonts w:ascii="Arial" w:hAnsi="Arial" w:cs="Arial"/>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3C786B">
        <w:rPr>
          <w:rFonts w:ascii="Arial" w:hAnsi="Arial" w:cs="Arial"/>
          <w:sz w:val="21"/>
          <w:szCs w:val="21"/>
          <w:vertAlign w:val="superscript"/>
          <w:lang w:val="es-ES_tradnl"/>
        </w:rPr>
        <w:footnoteReference w:id="13"/>
      </w:r>
      <w:r w:rsidRPr="003C786B">
        <w:rPr>
          <w:rFonts w:ascii="Arial" w:hAnsi="Arial" w:cs="Arial"/>
          <w:sz w:val="21"/>
          <w:szCs w:val="21"/>
          <w:lang w:val="es-ES_tradnl"/>
        </w:rPr>
        <w:t>.</w:t>
      </w:r>
    </w:p>
    <w:p w14:paraId="31BAA1A8" w14:textId="77777777" w:rsidR="00F23E3A" w:rsidRPr="003C786B" w:rsidRDefault="00F23E3A" w:rsidP="00150BAE">
      <w:pPr>
        <w:ind w:left="709" w:right="709"/>
        <w:jc w:val="both"/>
        <w:rPr>
          <w:rFonts w:ascii="Arial" w:hAnsi="Arial" w:cs="Arial"/>
          <w:bCs/>
          <w:sz w:val="21"/>
          <w:szCs w:val="21"/>
          <w:lang w:val="es-ES_tradnl"/>
        </w:rPr>
      </w:pPr>
    </w:p>
    <w:p w14:paraId="615F134D" w14:textId="5FD8866B" w:rsidR="0096318D" w:rsidRPr="003C786B" w:rsidRDefault="0096318D" w:rsidP="00150BAE">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También ha dicho que:</w:t>
      </w:r>
    </w:p>
    <w:p w14:paraId="10A98F4A" w14:textId="77777777" w:rsidR="00F23E3A" w:rsidRPr="003C786B" w:rsidRDefault="00F23E3A" w:rsidP="00150BAE">
      <w:pPr>
        <w:ind w:firstLine="709"/>
        <w:jc w:val="both"/>
        <w:rPr>
          <w:rFonts w:ascii="Arial" w:eastAsia="Calibri" w:hAnsi="Arial" w:cs="Arial"/>
          <w:sz w:val="21"/>
          <w:szCs w:val="21"/>
          <w:lang w:val="es-ES_tradnl"/>
        </w:rPr>
      </w:pPr>
    </w:p>
    <w:p w14:paraId="65FC017D" w14:textId="53EACA3F" w:rsidR="0096318D" w:rsidRPr="003C786B" w:rsidRDefault="0096318D" w:rsidP="00150BAE">
      <w:pPr>
        <w:ind w:left="709" w:right="709"/>
        <w:jc w:val="both"/>
        <w:rPr>
          <w:rFonts w:ascii="Arial" w:hAnsi="Arial" w:cs="Arial"/>
          <w:sz w:val="21"/>
          <w:szCs w:val="21"/>
          <w:lang w:val="es-ES_tradnl"/>
        </w:rPr>
      </w:pPr>
      <w:r w:rsidRPr="003C786B">
        <w:rPr>
          <w:rFonts w:ascii="Arial" w:hAnsi="Arial" w:cs="Arial"/>
          <w:sz w:val="21"/>
          <w:szCs w:val="21"/>
          <w:lang w:val="es-ES_tradnl"/>
        </w:rPr>
        <w:t xml:space="preserve">[…] la aplicación de estos preceptos exige una interpretación restrictiva, dado que según el principio hermenéutico </w:t>
      </w:r>
      <w:r w:rsidRPr="003C786B">
        <w:rPr>
          <w:rFonts w:ascii="Arial" w:hAnsi="Arial" w:cs="Arial"/>
          <w:i/>
          <w:iCs/>
          <w:sz w:val="21"/>
          <w:szCs w:val="21"/>
          <w:lang w:val="es-ES_tradnl"/>
        </w:rPr>
        <w:t xml:space="preserve">pro </w:t>
      </w:r>
      <w:proofErr w:type="spellStart"/>
      <w:r w:rsidRPr="003C786B">
        <w:rPr>
          <w:rFonts w:ascii="Arial" w:hAnsi="Arial" w:cs="Arial"/>
          <w:i/>
          <w:iCs/>
          <w:sz w:val="21"/>
          <w:szCs w:val="21"/>
          <w:lang w:val="es-ES_tradnl"/>
        </w:rPr>
        <w:t>libertate</w:t>
      </w:r>
      <w:proofErr w:type="spellEnd"/>
      <w:r w:rsidRPr="003C786B">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3C786B">
        <w:rPr>
          <w:rFonts w:ascii="Arial" w:hAnsi="Arial" w:cs="Arial"/>
          <w:sz w:val="21"/>
          <w:szCs w:val="21"/>
          <w:vertAlign w:val="superscript"/>
          <w:lang w:val="es-ES_tradnl"/>
        </w:rPr>
        <w:footnoteReference w:id="14"/>
      </w:r>
      <w:r w:rsidRPr="003C786B">
        <w:rPr>
          <w:rFonts w:ascii="Arial" w:hAnsi="Arial" w:cs="Arial"/>
          <w:sz w:val="21"/>
          <w:szCs w:val="21"/>
          <w:lang w:val="es-ES_tradnl"/>
        </w:rPr>
        <w:t>.</w:t>
      </w:r>
    </w:p>
    <w:p w14:paraId="715DADD9" w14:textId="77777777" w:rsidR="00F23E3A" w:rsidRPr="003C786B" w:rsidRDefault="00F23E3A" w:rsidP="00F23E3A">
      <w:pPr>
        <w:spacing w:line="276" w:lineRule="auto"/>
        <w:ind w:left="709" w:right="709"/>
        <w:jc w:val="both"/>
        <w:rPr>
          <w:rFonts w:ascii="Arial" w:hAnsi="Arial" w:cs="Arial"/>
          <w:sz w:val="21"/>
          <w:szCs w:val="21"/>
          <w:lang w:val="es-ES_tradnl"/>
        </w:rPr>
      </w:pPr>
    </w:p>
    <w:p w14:paraId="0FD1FD0B" w14:textId="77777777" w:rsidR="0096318D" w:rsidRPr="003C786B" w:rsidRDefault="0096318D"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 xml:space="preserve">Como se aprecia, el principio </w:t>
      </w:r>
      <w:r w:rsidRPr="003C786B">
        <w:rPr>
          <w:rFonts w:ascii="Arial" w:eastAsia="Calibri" w:hAnsi="Arial" w:cs="Arial"/>
          <w:i/>
          <w:iCs/>
          <w:sz w:val="22"/>
          <w:lang w:val="es-ES_tradnl"/>
        </w:rPr>
        <w:t xml:space="preserve">pro </w:t>
      </w:r>
      <w:proofErr w:type="spellStart"/>
      <w:r w:rsidRPr="003C786B">
        <w:rPr>
          <w:rFonts w:ascii="Arial" w:eastAsia="Calibri" w:hAnsi="Arial" w:cs="Arial"/>
          <w:i/>
          <w:iCs/>
          <w:sz w:val="22"/>
          <w:lang w:val="es-ES_tradnl"/>
        </w:rPr>
        <w:t>libertate</w:t>
      </w:r>
      <w:proofErr w:type="spellEnd"/>
      <w:r w:rsidRPr="003C786B">
        <w:rPr>
          <w:rFonts w:ascii="Arial" w:eastAsia="Calibri" w:hAnsi="Arial" w:cs="Arial"/>
          <w:sz w:val="22"/>
          <w:lang w:val="es-ES_tradnl"/>
        </w:rPr>
        <w:t xml:space="preserve"> es el que debe dirigir la interpretación de las disposiciones normativas que consagran restricciones de derechos, como sucede con las causales de inhabilidad e incompatibilidad en la contratación estatal.</w:t>
      </w:r>
    </w:p>
    <w:p w14:paraId="76B45479" w14:textId="77777777" w:rsidR="00F72043" w:rsidRPr="003C786B" w:rsidRDefault="00F72043" w:rsidP="00F23E3A">
      <w:pPr>
        <w:spacing w:line="276" w:lineRule="auto"/>
        <w:jc w:val="both"/>
        <w:rPr>
          <w:rFonts w:ascii="Arial" w:eastAsia="Calibri" w:hAnsi="Arial" w:cs="Arial"/>
          <w:sz w:val="22"/>
          <w:lang w:val="es-ES_tradnl"/>
        </w:rPr>
      </w:pPr>
      <w:r w:rsidRPr="003C786B">
        <w:rPr>
          <w:rFonts w:ascii="Arial" w:eastAsia="Calibri" w:hAnsi="Arial" w:cs="Arial"/>
          <w:sz w:val="22"/>
          <w:lang w:val="es-ES_tradnl"/>
        </w:rPr>
        <w:t xml:space="preserve"> </w:t>
      </w:r>
    </w:p>
    <w:p w14:paraId="7F199D9D" w14:textId="237C36A3" w:rsidR="00F72043" w:rsidRPr="003C786B" w:rsidRDefault="00F72043" w:rsidP="00F23E3A">
      <w:pPr>
        <w:spacing w:line="276" w:lineRule="auto"/>
        <w:jc w:val="both"/>
        <w:rPr>
          <w:rFonts w:ascii="Arial" w:eastAsia="Calibri" w:hAnsi="Arial" w:cs="Arial"/>
          <w:b/>
          <w:sz w:val="22"/>
          <w:lang w:val="es-ES_tradnl"/>
        </w:rPr>
      </w:pPr>
      <w:r w:rsidRPr="003C786B">
        <w:rPr>
          <w:rFonts w:ascii="Arial" w:hAnsi="Arial" w:cs="Arial"/>
          <w:b/>
          <w:sz w:val="22"/>
          <w:lang w:val="es-ES_tradnl"/>
        </w:rPr>
        <w:t>2.2.</w:t>
      </w:r>
      <w:r w:rsidR="001A040D" w:rsidRPr="003C786B">
        <w:rPr>
          <w:rFonts w:ascii="Arial" w:hAnsi="Arial" w:cs="Arial"/>
          <w:b/>
          <w:sz w:val="22"/>
          <w:lang w:val="es-ES_tradnl"/>
        </w:rPr>
        <w:t xml:space="preserve"> </w:t>
      </w:r>
      <w:r w:rsidRPr="003C786B">
        <w:rPr>
          <w:rFonts w:ascii="Arial" w:eastAsia="Calibri" w:hAnsi="Arial" w:cs="Arial"/>
          <w:b/>
          <w:sz w:val="22"/>
          <w:lang w:val="es-ES_tradnl"/>
        </w:rPr>
        <w:t>Viabilidad de realizar el proceso de licitación pública para adelantar los estudios y diseños y a su vez la construcción de la obra</w:t>
      </w:r>
    </w:p>
    <w:p w14:paraId="14C09363" w14:textId="77777777" w:rsidR="00F72043" w:rsidRPr="003C786B" w:rsidRDefault="00F72043" w:rsidP="00F23E3A">
      <w:pPr>
        <w:spacing w:line="276" w:lineRule="auto"/>
        <w:jc w:val="both"/>
        <w:rPr>
          <w:rFonts w:ascii="Arial" w:hAnsi="Arial" w:cs="Arial"/>
          <w:b/>
          <w:sz w:val="22"/>
          <w:lang w:val="es-ES_tradnl"/>
        </w:rPr>
      </w:pPr>
    </w:p>
    <w:p w14:paraId="3AE3007A" w14:textId="77777777" w:rsidR="00F72043" w:rsidRPr="003C786B" w:rsidRDefault="00F72043" w:rsidP="00F23E3A">
      <w:pPr>
        <w:spacing w:line="276" w:lineRule="auto"/>
        <w:jc w:val="both"/>
        <w:rPr>
          <w:rFonts w:ascii="Arial" w:eastAsia="Calibri" w:hAnsi="Arial" w:cs="Arial"/>
          <w:sz w:val="22"/>
          <w:lang w:val="es-ES_tradnl"/>
        </w:rPr>
      </w:pPr>
      <w:r w:rsidRPr="003C786B">
        <w:rPr>
          <w:rFonts w:ascii="Arial" w:eastAsia="Calibri" w:hAnsi="Arial" w:cs="Arial"/>
          <w:sz w:val="22"/>
          <w:lang w:val="es-ES_tradnl"/>
        </w:rPr>
        <w:t>El artículo 87 de La Ley 1474 de 2011, que modificó el numeral 12 del artículo 25 de la Ley 80 de 1993, indica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 Así lo indica dicha norma:</w:t>
      </w:r>
    </w:p>
    <w:p w14:paraId="3196150C" w14:textId="77777777" w:rsidR="00F72043" w:rsidRPr="003C786B" w:rsidRDefault="00F72043" w:rsidP="00F23E3A">
      <w:pPr>
        <w:spacing w:line="276" w:lineRule="auto"/>
        <w:jc w:val="both"/>
        <w:rPr>
          <w:rFonts w:ascii="Arial" w:eastAsia="Calibri" w:hAnsi="Arial" w:cs="Arial"/>
          <w:sz w:val="22"/>
          <w:lang w:val="es-ES_tradnl"/>
        </w:rPr>
      </w:pPr>
      <w:r w:rsidRPr="003C786B">
        <w:rPr>
          <w:rFonts w:ascii="Arial" w:eastAsia="Calibri" w:hAnsi="Arial" w:cs="Arial"/>
          <w:sz w:val="22"/>
          <w:lang w:val="es-ES_tradnl"/>
        </w:rPr>
        <w:lastRenderedPageBreak/>
        <w:t xml:space="preserve"> </w:t>
      </w:r>
    </w:p>
    <w:p w14:paraId="65B24732" w14:textId="77777777" w:rsidR="00F72043" w:rsidRPr="003C786B" w:rsidRDefault="00F72043" w:rsidP="00150BAE">
      <w:pPr>
        <w:tabs>
          <w:tab w:val="left" w:pos="8222"/>
        </w:tabs>
        <w:ind w:left="709" w:right="709"/>
        <w:jc w:val="both"/>
        <w:rPr>
          <w:rFonts w:ascii="Arial" w:eastAsia="Calibri" w:hAnsi="Arial" w:cs="Arial"/>
          <w:sz w:val="21"/>
          <w:szCs w:val="21"/>
          <w:lang w:val="es-ES_tradnl"/>
        </w:rPr>
      </w:pPr>
      <w:r w:rsidRPr="003C786B">
        <w:rPr>
          <w:rFonts w:ascii="Arial" w:eastAsia="Calibri" w:hAnsi="Arial" w:cs="Arial"/>
          <w:sz w:val="21"/>
          <w:szCs w:val="21"/>
          <w:lang w:val="es-ES_tradnl"/>
        </w:rPr>
        <w:t>El numeral 12 del artículo </w:t>
      </w:r>
      <w:hyperlink r:id="rId11" w:anchor="25" w:history="1">
        <w:r w:rsidRPr="003C786B">
          <w:rPr>
            <w:rFonts w:ascii="Arial" w:eastAsia="Calibri" w:hAnsi="Arial" w:cs="Arial"/>
            <w:sz w:val="21"/>
            <w:szCs w:val="21"/>
            <w:lang w:val="es-ES_tradnl"/>
          </w:rPr>
          <w:t>25</w:t>
        </w:r>
      </w:hyperlink>
      <w:r w:rsidRPr="003C786B">
        <w:rPr>
          <w:rFonts w:ascii="Arial" w:eastAsia="Calibri" w:hAnsi="Arial" w:cs="Arial"/>
          <w:sz w:val="21"/>
          <w:szCs w:val="21"/>
          <w:lang w:val="es-ES_tradnl"/>
        </w:rPr>
        <w:t> de la Ley 80 de 1993 quedará así:</w:t>
      </w:r>
    </w:p>
    <w:p w14:paraId="03624134" w14:textId="77777777" w:rsidR="00F72043" w:rsidRPr="003C786B" w:rsidRDefault="00F72043" w:rsidP="00150BAE">
      <w:pPr>
        <w:tabs>
          <w:tab w:val="left" w:pos="8222"/>
        </w:tabs>
        <w:ind w:left="709" w:right="709"/>
        <w:jc w:val="both"/>
        <w:rPr>
          <w:rFonts w:ascii="Arial" w:eastAsia="Calibri" w:hAnsi="Arial" w:cs="Arial"/>
          <w:sz w:val="21"/>
          <w:szCs w:val="21"/>
          <w:lang w:val="es-ES_tradnl"/>
        </w:rPr>
      </w:pPr>
    </w:p>
    <w:p w14:paraId="6B6C1AEA" w14:textId="77777777" w:rsidR="00F72043" w:rsidRPr="003C786B" w:rsidRDefault="00F72043" w:rsidP="00150BAE">
      <w:pPr>
        <w:tabs>
          <w:tab w:val="left" w:pos="8222"/>
        </w:tabs>
        <w:ind w:left="709" w:right="709"/>
        <w:jc w:val="both"/>
        <w:rPr>
          <w:rFonts w:ascii="Arial" w:eastAsia="Calibri" w:hAnsi="Arial" w:cs="Arial"/>
          <w:sz w:val="21"/>
          <w:szCs w:val="21"/>
          <w:lang w:val="es-ES_tradnl"/>
        </w:rPr>
      </w:pPr>
      <w:r w:rsidRPr="003C786B">
        <w:rPr>
          <w:rFonts w:ascii="Arial" w:eastAsia="Calibri" w:hAnsi="Arial" w:cs="Arial"/>
          <w:sz w:val="21"/>
          <w:szCs w:val="21"/>
          <w:lang w:val="es-ES_tradnl"/>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2D517799" w14:textId="77777777" w:rsidR="00F72043" w:rsidRPr="003C786B" w:rsidRDefault="00F72043" w:rsidP="00150BAE">
      <w:pPr>
        <w:tabs>
          <w:tab w:val="left" w:pos="8222"/>
        </w:tabs>
        <w:ind w:left="709" w:right="709"/>
        <w:jc w:val="both"/>
        <w:rPr>
          <w:rFonts w:ascii="Arial" w:eastAsia="Calibri" w:hAnsi="Arial" w:cs="Arial"/>
          <w:sz w:val="21"/>
          <w:szCs w:val="21"/>
          <w:lang w:val="es-ES_tradnl"/>
        </w:rPr>
      </w:pPr>
    </w:p>
    <w:p w14:paraId="2965F456" w14:textId="77777777" w:rsidR="00F72043" w:rsidRPr="003C786B" w:rsidRDefault="00F72043" w:rsidP="00150BAE">
      <w:pPr>
        <w:tabs>
          <w:tab w:val="left" w:pos="8222"/>
        </w:tabs>
        <w:ind w:left="709" w:right="709"/>
        <w:jc w:val="both"/>
        <w:rPr>
          <w:rFonts w:ascii="Arial" w:eastAsia="Calibri" w:hAnsi="Arial" w:cs="Arial"/>
          <w:sz w:val="21"/>
          <w:szCs w:val="21"/>
          <w:lang w:val="es-ES_tradnl"/>
        </w:rPr>
      </w:pPr>
      <w:r w:rsidRPr="003C786B">
        <w:rPr>
          <w:rFonts w:ascii="Arial" w:eastAsia="Calibri" w:hAnsi="Arial" w:cs="Arial"/>
          <w:sz w:val="21"/>
          <w:szCs w:val="21"/>
          <w:lang w:val="es-ES_tradnl"/>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475B5338" w14:textId="77777777" w:rsidR="00F72043" w:rsidRPr="003C786B" w:rsidRDefault="00F72043" w:rsidP="00F23E3A">
      <w:pPr>
        <w:tabs>
          <w:tab w:val="left" w:pos="8222"/>
        </w:tabs>
        <w:spacing w:line="276" w:lineRule="auto"/>
        <w:ind w:left="709" w:right="709"/>
        <w:jc w:val="both"/>
        <w:rPr>
          <w:rFonts w:ascii="Arial" w:eastAsia="Calibri" w:hAnsi="Arial" w:cs="Arial"/>
          <w:sz w:val="21"/>
          <w:szCs w:val="21"/>
          <w:lang w:val="es-ES_tradnl"/>
        </w:rPr>
      </w:pPr>
    </w:p>
    <w:p w14:paraId="15946C3B" w14:textId="56A5683D" w:rsidR="00F72043" w:rsidRPr="003C786B" w:rsidRDefault="00F72043"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 xml:space="preserve">De acuerdo con el inciso final, para adelantar </w:t>
      </w:r>
      <w:r w:rsidR="00F31A6E" w:rsidRPr="003C786B">
        <w:rPr>
          <w:rFonts w:ascii="Arial" w:eastAsia="Calibri" w:hAnsi="Arial" w:cs="Arial"/>
          <w:sz w:val="22"/>
          <w:lang w:val="es-ES_tradnl"/>
        </w:rPr>
        <w:t>la</w:t>
      </w:r>
      <w:r w:rsidRPr="003C786B">
        <w:rPr>
          <w:rFonts w:ascii="Arial" w:eastAsia="Calibri" w:hAnsi="Arial" w:cs="Arial"/>
          <w:sz w:val="22"/>
          <w:lang w:val="es-ES_tradnl"/>
        </w:rPr>
        <w:t xml:space="preserve"> contratación cuyo objeto consiste en </w:t>
      </w:r>
      <w:r w:rsidR="00F31A6E" w:rsidRPr="003C786B">
        <w:rPr>
          <w:rFonts w:ascii="Arial" w:eastAsia="Calibri" w:hAnsi="Arial" w:cs="Arial"/>
          <w:sz w:val="22"/>
          <w:lang w:val="es-ES_tradnl"/>
        </w:rPr>
        <w:t>realizar</w:t>
      </w:r>
      <w:r w:rsidRPr="003C786B">
        <w:rPr>
          <w:rFonts w:ascii="Arial" w:eastAsia="Calibri" w:hAnsi="Arial" w:cs="Arial"/>
          <w:sz w:val="22"/>
          <w:lang w:val="es-ES_tradnl"/>
        </w:rPr>
        <w:t xml:space="preserve"> una obra, se requiere que al menos </w:t>
      </w:r>
      <w:r w:rsidR="00F31A6E" w:rsidRPr="003C786B">
        <w:rPr>
          <w:rFonts w:ascii="Arial" w:eastAsia="Calibri" w:hAnsi="Arial" w:cs="Arial"/>
          <w:sz w:val="22"/>
          <w:lang w:val="es-ES_tradnl"/>
        </w:rPr>
        <w:t>existan</w:t>
      </w:r>
      <w:r w:rsidRPr="003C786B">
        <w:rPr>
          <w:rFonts w:ascii="Arial" w:eastAsia="Calibri" w:hAnsi="Arial" w:cs="Arial"/>
          <w:sz w:val="22"/>
          <w:lang w:val="es-ES_tradnl"/>
        </w:rPr>
        <w:t xml:space="preserve"> los estudios de viabilidad del proyecto y su impacto social, económico y ambiental. No obstante, permite que en un mismo procedimiento de selección se contrate la obra y la elaboración de los estudios y diseños que expliquen con mayor detalle las obras y estructuras que se requieran. </w:t>
      </w:r>
    </w:p>
    <w:p w14:paraId="7A08C196" w14:textId="18945155" w:rsidR="00F72043" w:rsidRPr="003C786B" w:rsidRDefault="00F72043"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Lo anterior se reitera con lo previsto en el artículo 2.2.1.1.2.1.1. del Decreto 1082 de 2015, el cual señala que cuando</w:t>
      </w:r>
      <w:r w:rsidR="000921C6" w:rsidRPr="003C786B">
        <w:rPr>
          <w:rFonts w:ascii="Arial" w:eastAsia="Calibri" w:hAnsi="Arial" w:cs="Arial"/>
          <w:sz w:val="22"/>
          <w:lang w:val="es-ES_tradnl"/>
        </w:rPr>
        <w:t xml:space="preserve"> </w:t>
      </w:r>
      <w:r w:rsidRPr="003C786B">
        <w:rPr>
          <w:rFonts w:ascii="Arial" w:eastAsia="Calibri" w:hAnsi="Arial" w:cs="Arial"/>
          <w:sz w:val="22"/>
          <w:lang w:val="es-ES_tradnl"/>
        </w:rPr>
        <w:t>el objeto a contratar</w:t>
      </w:r>
      <w:r w:rsidR="000921C6" w:rsidRPr="003C786B">
        <w:rPr>
          <w:rFonts w:ascii="Arial" w:eastAsia="Calibri" w:hAnsi="Arial" w:cs="Arial"/>
          <w:sz w:val="22"/>
          <w:lang w:val="es-ES_tradnl"/>
        </w:rPr>
        <w:t xml:space="preserve"> </w:t>
      </w:r>
      <w:r w:rsidRPr="003C786B">
        <w:rPr>
          <w:rFonts w:ascii="Arial" w:eastAsia="Calibri" w:hAnsi="Arial" w:cs="Arial"/>
          <w:sz w:val="22"/>
          <w:lang w:val="es-ES_tradnl"/>
        </w:rPr>
        <w:t>incluye el diseño y construcción, los estudios previos deben contener los documentos técnicos del proyecto</w:t>
      </w:r>
      <w:r w:rsidRPr="003C786B">
        <w:rPr>
          <w:rFonts w:ascii="Arial" w:eastAsia="Calibri" w:hAnsi="Arial" w:cs="Arial"/>
          <w:sz w:val="22"/>
          <w:vertAlign w:val="superscript"/>
          <w:lang w:val="es-ES_tradnl"/>
        </w:rPr>
        <w:footnoteReference w:id="15"/>
      </w:r>
      <w:r w:rsidRPr="003C786B">
        <w:rPr>
          <w:rFonts w:ascii="Arial" w:eastAsia="Calibri" w:hAnsi="Arial" w:cs="Arial"/>
          <w:sz w:val="22"/>
          <w:lang w:val="es-ES_tradnl"/>
        </w:rPr>
        <w:t xml:space="preserve">. En este sentido, de forma expresa se prevé la posibilidad de que en un mismo procedimiento de selección se contrate la elaboración de los diseños y la construcción de una obra. </w:t>
      </w:r>
    </w:p>
    <w:p w14:paraId="3CF79380" w14:textId="27D8B6AE" w:rsidR="00F72043" w:rsidRPr="003C786B" w:rsidRDefault="00F72043"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 xml:space="preserve">Ahora, ¿qué ha de entenderse por estudios de </w:t>
      </w:r>
      <w:r w:rsidR="000921C6" w:rsidRPr="003C786B">
        <w:rPr>
          <w:rFonts w:ascii="Arial" w:eastAsia="Calibri" w:hAnsi="Arial" w:cs="Arial"/>
          <w:sz w:val="22"/>
          <w:lang w:val="es-ES_tradnl"/>
        </w:rPr>
        <w:t>«</w:t>
      </w:r>
      <w:r w:rsidRPr="003C786B">
        <w:rPr>
          <w:rFonts w:ascii="Arial" w:eastAsia="Calibri" w:hAnsi="Arial" w:cs="Arial"/>
          <w:sz w:val="22"/>
          <w:lang w:val="es-ES_tradnl"/>
        </w:rPr>
        <w:t>viabilidad</w:t>
      </w:r>
      <w:r w:rsidR="00C91FB2" w:rsidRPr="003C786B">
        <w:rPr>
          <w:rFonts w:ascii="Arial" w:eastAsia="Calibri" w:hAnsi="Arial" w:cs="Arial"/>
          <w:sz w:val="22"/>
          <w:lang w:val="es-ES_tradnl"/>
        </w:rPr>
        <w:t xml:space="preserve">» </w:t>
      </w:r>
      <w:r w:rsidRPr="003C786B">
        <w:rPr>
          <w:rFonts w:ascii="Arial" w:eastAsia="Calibri" w:hAnsi="Arial" w:cs="Arial"/>
          <w:sz w:val="22"/>
          <w:lang w:val="es-ES_tradnl"/>
        </w:rPr>
        <w:t xml:space="preserve">de un proyecto de construcción? </w:t>
      </w:r>
      <w:r w:rsidR="00172D04" w:rsidRPr="003C786B">
        <w:rPr>
          <w:rFonts w:ascii="Arial" w:eastAsia="Calibri" w:hAnsi="Arial" w:cs="Arial"/>
          <w:sz w:val="22"/>
          <w:lang w:val="es-ES_tradnl"/>
        </w:rPr>
        <w:t>El artículo 12 de l</w:t>
      </w:r>
      <w:r w:rsidRPr="003C786B">
        <w:rPr>
          <w:rFonts w:ascii="Arial" w:eastAsia="Calibri" w:hAnsi="Arial" w:cs="Arial"/>
          <w:sz w:val="22"/>
          <w:lang w:val="es-ES_tradnl"/>
        </w:rPr>
        <w:t>a Ley 1682 de 2013</w:t>
      </w:r>
      <w:r w:rsidR="00172D04" w:rsidRPr="003C786B">
        <w:rPr>
          <w:rFonts w:ascii="Arial" w:eastAsia="Calibri" w:hAnsi="Arial" w:cs="Arial"/>
          <w:sz w:val="22"/>
          <w:lang w:val="es-ES_tradnl"/>
        </w:rPr>
        <w:t xml:space="preserve"> </w:t>
      </w:r>
      <w:r w:rsidRPr="003C786B">
        <w:rPr>
          <w:rFonts w:ascii="Arial" w:eastAsia="Calibri" w:hAnsi="Arial" w:cs="Arial"/>
          <w:sz w:val="22"/>
          <w:lang w:val="es-ES_tradnl"/>
        </w:rPr>
        <w:t>define y clasifica los diversos estudios de ingeniería que se adelantan para la ejecución de los proyectos de infraestructura en</w:t>
      </w:r>
      <w:r w:rsidR="006911AD" w:rsidRPr="003C786B">
        <w:rPr>
          <w:rFonts w:ascii="Arial" w:eastAsia="Calibri" w:hAnsi="Arial" w:cs="Arial"/>
          <w:sz w:val="22"/>
          <w:lang w:val="es-ES_tradnl"/>
        </w:rPr>
        <w:t xml:space="preserve"> las siguientes tipologías</w:t>
      </w:r>
      <w:r w:rsidRPr="003C786B">
        <w:rPr>
          <w:rFonts w:ascii="Arial" w:eastAsia="Calibri" w:hAnsi="Arial" w:cs="Arial"/>
          <w:sz w:val="22"/>
          <w:lang w:val="es-ES_tradnl"/>
        </w:rPr>
        <w:t xml:space="preserve">: i) fase I –prefactibilidad–, </w:t>
      </w:r>
      <w:proofErr w:type="spellStart"/>
      <w:r w:rsidRPr="003C786B">
        <w:rPr>
          <w:rFonts w:ascii="Arial" w:eastAsia="Calibri" w:hAnsi="Arial" w:cs="Arial"/>
          <w:sz w:val="22"/>
          <w:lang w:val="es-ES_tradnl"/>
        </w:rPr>
        <w:t>ii</w:t>
      </w:r>
      <w:proofErr w:type="spellEnd"/>
      <w:r w:rsidRPr="003C786B">
        <w:rPr>
          <w:rFonts w:ascii="Arial" w:eastAsia="Calibri" w:hAnsi="Arial" w:cs="Arial"/>
          <w:sz w:val="22"/>
          <w:lang w:val="es-ES_tradnl"/>
        </w:rPr>
        <w:t xml:space="preserve">) fase II –factibilidad– y </w:t>
      </w:r>
      <w:proofErr w:type="spellStart"/>
      <w:r w:rsidRPr="003C786B">
        <w:rPr>
          <w:rFonts w:ascii="Arial" w:eastAsia="Calibri" w:hAnsi="Arial" w:cs="Arial"/>
          <w:sz w:val="22"/>
          <w:lang w:val="es-ES_tradnl"/>
        </w:rPr>
        <w:t>iii</w:t>
      </w:r>
      <w:proofErr w:type="spellEnd"/>
      <w:r w:rsidRPr="003C786B">
        <w:rPr>
          <w:rFonts w:ascii="Arial" w:eastAsia="Calibri" w:hAnsi="Arial" w:cs="Arial"/>
          <w:sz w:val="22"/>
          <w:lang w:val="es-ES_tradnl"/>
        </w:rPr>
        <w:t xml:space="preserve">) fase III –estudios y diseños definitivos–. Así las define el artículo: </w:t>
      </w:r>
    </w:p>
    <w:p w14:paraId="00E260A8" w14:textId="77777777" w:rsidR="00F72043" w:rsidRPr="003C786B" w:rsidRDefault="00F72043" w:rsidP="00F23E3A">
      <w:pPr>
        <w:spacing w:line="276" w:lineRule="auto"/>
        <w:jc w:val="both"/>
        <w:rPr>
          <w:rFonts w:ascii="Arial" w:eastAsia="Calibri" w:hAnsi="Arial" w:cs="Arial"/>
          <w:sz w:val="22"/>
          <w:lang w:val="es-ES_tradnl"/>
        </w:rPr>
      </w:pPr>
    </w:p>
    <w:p w14:paraId="0AD1209E" w14:textId="4D8EB116" w:rsidR="00F72043" w:rsidRPr="003C786B" w:rsidRDefault="00F72043" w:rsidP="00C620E6">
      <w:pPr>
        <w:ind w:left="709" w:right="709"/>
        <w:jc w:val="both"/>
        <w:rPr>
          <w:rFonts w:ascii="Arial" w:eastAsia="Calibri" w:hAnsi="Arial" w:cs="Arial"/>
          <w:sz w:val="21"/>
          <w:szCs w:val="21"/>
          <w:lang w:val="es-ES_tradnl"/>
        </w:rPr>
      </w:pPr>
      <w:r w:rsidRPr="003C786B">
        <w:rPr>
          <w:rFonts w:ascii="Arial" w:eastAsia="Calibri" w:hAnsi="Arial" w:cs="Arial"/>
          <w:sz w:val="21"/>
          <w:szCs w:val="21"/>
          <w:lang w:val="es-ES_tradnl"/>
        </w:rPr>
        <w:t>En lo que se refiere a la infraestructura de transporte terrestre, aeronáutica, aeroportuaria y acuática, se tendrán en cuenta las siguientes definiciones:</w:t>
      </w:r>
    </w:p>
    <w:p w14:paraId="13DD0410" w14:textId="77777777" w:rsidR="00F72043" w:rsidRPr="003C786B" w:rsidRDefault="00F72043" w:rsidP="00150BAE">
      <w:pPr>
        <w:ind w:left="709" w:right="709"/>
        <w:jc w:val="both"/>
        <w:rPr>
          <w:rFonts w:ascii="Arial" w:eastAsia="Calibri" w:hAnsi="Arial" w:cs="Arial"/>
          <w:sz w:val="21"/>
          <w:szCs w:val="21"/>
          <w:lang w:val="es-ES_tradnl"/>
        </w:rPr>
      </w:pPr>
      <w:r w:rsidRPr="003C786B">
        <w:rPr>
          <w:rFonts w:ascii="Arial" w:eastAsia="Calibri" w:hAnsi="Arial" w:cs="Arial"/>
          <w:sz w:val="21"/>
          <w:szCs w:val="21"/>
          <w:lang w:val="es-ES_tradnl"/>
        </w:rPr>
        <w:t>[…]</w:t>
      </w:r>
    </w:p>
    <w:p w14:paraId="20F18D8D" w14:textId="77777777" w:rsidR="00F72043" w:rsidRPr="003C786B" w:rsidRDefault="00F72043" w:rsidP="00150BAE">
      <w:pPr>
        <w:ind w:left="709" w:right="709"/>
        <w:jc w:val="both"/>
        <w:rPr>
          <w:rFonts w:ascii="Arial" w:eastAsia="Calibri" w:hAnsi="Arial" w:cs="Arial"/>
          <w:sz w:val="21"/>
          <w:szCs w:val="21"/>
          <w:lang w:val="es-ES_tradnl"/>
        </w:rPr>
      </w:pPr>
    </w:p>
    <w:p w14:paraId="6DD03119"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r w:rsidRPr="003C786B">
        <w:rPr>
          <w:rStyle w:val="baj"/>
          <w:rFonts w:ascii="Arial" w:hAnsi="Arial" w:cs="Arial"/>
          <w:b/>
          <w:bCs/>
          <w:sz w:val="21"/>
          <w:szCs w:val="21"/>
        </w:rPr>
        <w:t>Estudios de Ingeniería</w:t>
      </w:r>
      <w:r w:rsidRPr="003C786B">
        <w:rPr>
          <w:rFonts w:ascii="Arial" w:hAnsi="Arial" w:cs="Arial"/>
          <w:sz w:val="21"/>
          <w:szCs w:val="21"/>
        </w:rPr>
        <w:t>. Sin perjuicio de lo previsto en la Ley </w:t>
      </w:r>
      <w:hyperlink r:id="rId12" w:anchor="Inicio" w:history="1">
        <w:r w:rsidRPr="003C786B">
          <w:rPr>
            <w:rFonts w:ascii="Arial" w:hAnsi="Arial" w:cs="Arial"/>
            <w:sz w:val="21"/>
            <w:szCs w:val="21"/>
          </w:rPr>
          <w:t>1508</w:t>
        </w:r>
      </w:hyperlink>
      <w:r w:rsidRPr="003C786B">
        <w:rPr>
          <w:rFonts w:ascii="Arial" w:hAnsi="Arial" w:cs="Arial"/>
          <w:sz w:val="21"/>
          <w:szCs w:val="21"/>
        </w:rPr>
        <w:t xml:space="preserve"> de 2012 y sus decretos reglamentarios, las siguientes definiciones deben tenerse en </w:t>
      </w:r>
      <w:r w:rsidRPr="003C786B">
        <w:rPr>
          <w:rFonts w:ascii="Arial" w:hAnsi="Arial" w:cs="Arial"/>
          <w:sz w:val="21"/>
          <w:szCs w:val="21"/>
        </w:rPr>
        <w:lastRenderedPageBreak/>
        <w:t>cuenta en la preparación de los diversos estudios de ingeniería que se adelanten para la ejecución de los proyectos de infraestructura:</w:t>
      </w:r>
    </w:p>
    <w:p w14:paraId="66F89097" w14:textId="77777777" w:rsidR="00F72043" w:rsidRPr="003C786B" w:rsidRDefault="00F72043" w:rsidP="00150BAE">
      <w:pPr>
        <w:pStyle w:val="NormalWeb"/>
        <w:spacing w:before="0" w:beforeAutospacing="0" w:after="0" w:afterAutospacing="0"/>
        <w:ind w:left="709" w:right="709"/>
        <w:jc w:val="both"/>
        <w:rPr>
          <w:rFonts w:ascii="Arial" w:eastAsiaTheme="minorHAnsi" w:hAnsi="Arial" w:cs="Arial"/>
          <w:sz w:val="21"/>
          <w:szCs w:val="21"/>
          <w:lang w:val="es-ES_tradnl"/>
        </w:rPr>
      </w:pPr>
    </w:p>
    <w:p w14:paraId="68CFE6DE"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r w:rsidRPr="003C786B">
        <w:rPr>
          <w:rFonts w:ascii="Arial" w:hAnsi="Arial" w:cs="Arial"/>
          <w:sz w:val="21"/>
          <w:szCs w:val="21"/>
        </w:rPr>
        <w:t>Fase 1. </w:t>
      </w:r>
      <w:r w:rsidRPr="003C786B">
        <w:rPr>
          <w:rStyle w:val="iaj"/>
          <w:rFonts w:ascii="Arial" w:hAnsi="Arial" w:cs="Arial"/>
          <w:i/>
          <w:iCs/>
          <w:sz w:val="21"/>
          <w:szCs w:val="21"/>
        </w:rPr>
        <w:t>Prefactibilidad</w:t>
      </w:r>
      <w:r w:rsidRPr="003C786B">
        <w:rPr>
          <w:rFonts w:ascii="Arial" w:hAnsi="Arial" w:cs="Arial"/>
          <w:sz w:val="21"/>
          <w:szCs w:val="21"/>
        </w:rPr>
        <w:t>. Es la fase en la cual se debe realizar el prediseño aproximado del proyecto, presentando alternativas y realizar la evaluación económica preliminar recurriendo a costos obtenidos en proyectos con condiciones similares, utilizando modelos de simulación debidamente aprobados por las entidades solicitantes. En esta fase se debe consultar la herramienta o base de datos que determine el Ministerio de Ambiente y Desarrollo Sostenible para tal fin, dentro de la Ventanilla Integral de Trámites Ambientales en Línea (Vital). El objetivo de la fase 1 es surtir el proceso para establecer la alternativa de trazado que a este nivel satisface en mayor medida los requisitos técnicos y financieros.</w:t>
      </w:r>
    </w:p>
    <w:p w14:paraId="0AD8AFB7"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p>
    <w:p w14:paraId="35D9A386"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r w:rsidRPr="003C786B">
        <w:rPr>
          <w:rFonts w:ascii="Arial" w:hAnsi="Arial" w:cs="Arial"/>
          <w:sz w:val="21"/>
          <w:szCs w:val="21"/>
        </w:rPr>
        <w:t>Fase 2. </w:t>
      </w:r>
      <w:r w:rsidRPr="003C786B">
        <w:rPr>
          <w:rStyle w:val="iaj"/>
          <w:rFonts w:ascii="Arial" w:hAnsi="Arial" w:cs="Arial"/>
          <w:i/>
          <w:iCs/>
          <w:sz w:val="21"/>
          <w:szCs w:val="21"/>
        </w:rPr>
        <w:t>Factibilidad. </w:t>
      </w:r>
      <w:r w:rsidRPr="003C786B">
        <w:rPr>
          <w:rFonts w:ascii="Arial" w:hAnsi="Arial" w:cs="Arial"/>
          <w:sz w:val="21"/>
          <w:szCs w:val="21"/>
        </w:rPr>
        <w:t>Es la fase en la cual se debe diseñar el proyecto y efectuar la evaluación económica final, mediante la simulación con el modelo aprobado por las entidades contratantes. Tiene por finalidad establecer si el proyecto es factible para su ejecución, considerando todos los aspectos relacionados con el mismo.</w:t>
      </w:r>
    </w:p>
    <w:p w14:paraId="79630D50"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p>
    <w:p w14:paraId="6802BAC2"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r w:rsidRPr="003C786B">
        <w:rPr>
          <w:rFonts w:ascii="Arial" w:hAnsi="Arial" w:cs="Arial"/>
          <w:sz w:val="21"/>
          <w:szCs w:val="21"/>
        </w:rPr>
        <w:t>En esta fase se identifican las redes, infraestructuras y activos existentes, las comunidades étnicas y el patrimonio urbano, arquitectónico, cultural y arqueológico que puedan impactar el proyecto, así como títulos mineros en procesos de adjudicación, otorgados, existentes y en explotación.</w:t>
      </w:r>
    </w:p>
    <w:p w14:paraId="4BC398B1"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p>
    <w:p w14:paraId="29C58D94"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r w:rsidRPr="003C786B">
        <w:rPr>
          <w:rFonts w:ascii="Arial" w:hAnsi="Arial" w:cs="Arial"/>
          <w:sz w:val="21"/>
          <w:szCs w:val="21"/>
        </w:rPr>
        <w:t>Desarrollados los estudios de factibilidad del proyecto, podrá la entidad pública o el responsable del diseño si ya fue adjudicado el proyecto, continuar con la elaboración de los diseños definitivos.</w:t>
      </w:r>
    </w:p>
    <w:p w14:paraId="1AD520FD"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p>
    <w:p w14:paraId="7D5F428D"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r w:rsidRPr="003C786B">
        <w:rPr>
          <w:rFonts w:ascii="Arial" w:hAnsi="Arial" w:cs="Arial"/>
          <w:sz w:val="21"/>
          <w:szCs w:val="21"/>
        </w:rPr>
        <w:t>Finalizada esta fase de factibilidad, la entidad pública o el contratista, si ya fue adjudicado el proyecto de infraestructura de transporte, adelantará el estudio de impacto ambiental, el cual será sometido a aprobación de la autoridad ambiental quien otorgará la licencia respectiva.</w:t>
      </w:r>
    </w:p>
    <w:p w14:paraId="4A8927B6"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p>
    <w:p w14:paraId="0AC56123" w14:textId="77777777" w:rsidR="00F72043" w:rsidRPr="003C786B" w:rsidRDefault="00F72043" w:rsidP="00150BAE">
      <w:pPr>
        <w:pStyle w:val="NormalWeb"/>
        <w:spacing w:before="0" w:beforeAutospacing="0" w:after="0" w:afterAutospacing="0"/>
        <w:ind w:left="709" w:right="709"/>
        <w:jc w:val="both"/>
        <w:rPr>
          <w:rFonts w:ascii="Arial" w:hAnsi="Arial" w:cs="Arial"/>
          <w:sz w:val="21"/>
          <w:szCs w:val="21"/>
        </w:rPr>
      </w:pPr>
      <w:r w:rsidRPr="003C786B">
        <w:rPr>
          <w:rFonts w:ascii="Arial" w:hAnsi="Arial" w:cs="Arial"/>
          <w:sz w:val="21"/>
          <w:szCs w:val="21"/>
        </w:rPr>
        <w:t>Fase 3. </w:t>
      </w:r>
      <w:r w:rsidRPr="003C786B">
        <w:rPr>
          <w:rStyle w:val="iaj"/>
          <w:rFonts w:ascii="Arial" w:hAnsi="Arial" w:cs="Arial"/>
          <w:i/>
          <w:iCs/>
          <w:sz w:val="21"/>
          <w:szCs w:val="21"/>
        </w:rPr>
        <w:t>Estudios y diseños definitivos</w:t>
      </w:r>
      <w:r w:rsidRPr="003C786B">
        <w:rPr>
          <w:rFonts w:ascii="Arial" w:hAnsi="Arial" w:cs="Arial"/>
          <w:sz w:val="21"/>
          <w:szCs w:val="21"/>
        </w:rPr>
        <w:t xml:space="preserve">.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w:t>
      </w:r>
      <w:proofErr w:type="spellStart"/>
      <w:r w:rsidRPr="003C786B">
        <w:rPr>
          <w:rFonts w:ascii="Arial" w:hAnsi="Arial" w:cs="Arial"/>
          <w:sz w:val="21"/>
          <w:szCs w:val="21"/>
        </w:rPr>
        <w:t>compo</w:t>
      </w:r>
      <w:r w:rsidRPr="003C786B">
        <w:rPr>
          <w:rFonts w:ascii="Arial" w:eastAsia="Calibri" w:hAnsi="Arial" w:cs="Arial"/>
          <w:sz w:val="21"/>
          <w:szCs w:val="21"/>
          <w:lang w:val="es-ES_tradnl" w:eastAsia="en-US"/>
        </w:rPr>
        <w:t>nent</w:t>
      </w:r>
      <w:proofErr w:type="spellEnd"/>
      <w:r w:rsidRPr="003C786B">
        <w:rPr>
          <w:rFonts w:ascii="Arial" w:hAnsi="Arial" w:cs="Arial"/>
          <w:sz w:val="21"/>
          <w:szCs w:val="21"/>
        </w:rPr>
        <w:t xml:space="preserve">es de </w:t>
      </w:r>
      <w:r w:rsidRPr="003C786B">
        <w:rPr>
          <w:rFonts w:ascii="Arial" w:eastAsia="Calibri" w:hAnsi="Arial" w:cs="Arial"/>
          <w:sz w:val="21"/>
          <w:szCs w:val="21"/>
          <w:lang w:val="es-ES_tradnl" w:eastAsia="en-US"/>
        </w:rPr>
        <w:t xml:space="preserve">tal </w:t>
      </w:r>
      <w:r w:rsidRPr="003C786B">
        <w:rPr>
          <w:rFonts w:ascii="Arial" w:hAnsi="Arial" w:cs="Arial"/>
          <w:sz w:val="21"/>
          <w:szCs w:val="21"/>
        </w:rPr>
        <w:t xml:space="preserve">manera que se pueda </w:t>
      </w:r>
      <w:proofErr w:type="gramStart"/>
      <w:r w:rsidRPr="003C786B">
        <w:rPr>
          <w:rFonts w:ascii="Arial" w:hAnsi="Arial" w:cs="Arial"/>
          <w:sz w:val="21"/>
          <w:szCs w:val="21"/>
        </w:rPr>
        <w:t>dar inicio a</w:t>
      </w:r>
      <w:proofErr w:type="gramEnd"/>
      <w:r w:rsidRPr="003C786B">
        <w:rPr>
          <w:rFonts w:ascii="Arial" w:hAnsi="Arial" w:cs="Arial"/>
          <w:sz w:val="21"/>
          <w:szCs w:val="21"/>
        </w:rPr>
        <w:t xml:space="preserve"> su construcción.</w:t>
      </w:r>
    </w:p>
    <w:p w14:paraId="512C4465" w14:textId="77777777" w:rsidR="00F72043" w:rsidRPr="003C786B" w:rsidRDefault="00F72043" w:rsidP="00150BAE">
      <w:pPr>
        <w:jc w:val="both"/>
        <w:rPr>
          <w:rFonts w:ascii="Arial" w:eastAsia="Calibri" w:hAnsi="Arial" w:cs="Arial"/>
          <w:sz w:val="22"/>
          <w:lang w:val="es-ES_tradnl"/>
        </w:rPr>
      </w:pPr>
    </w:p>
    <w:p w14:paraId="2A48B7E0" w14:textId="61C0CA77" w:rsidR="00F72043" w:rsidRPr="003C786B" w:rsidRDefault="00F72043" w:rsidP="00F23E3A">
      <w:pPr>
        <w:spacing w:line="276" w:lineRule="auto"/>
        <w:ind w:firstLine="709"/>
        <w:jc w:val="both"/>
        <w:rPr>
          <w:rFonts w:ascii="Arial" w:eastAsia="Calibri" w:hAnsi="Arial" w:cs="Arial"/>
          <w:sz w:val="22"/>
          <w:lang w:val="es-ES_tradnl"/>
        </w:rPr>
      </w:pPr>
      <w:r w:rsidRPr="003C786B">
        <w:rPr>
          <w:rFonts w:ascii="Arial" w:eastAsia="Calibri" w:hAnsi="Arial" w:cs="Arial"/>
          <w:sz w:val="22"/>
          <w:lang w:val="es-ES_tradnl"/>
        </w:rPr>
        <w:t xml:space="preserve">De acuerdo con la definición de los estudios de ingeniería, se concluye que para adelantar el proceso de contratación cuyo objeto consiste en la construcción de una obra, se requiere contar con los </w:t>
      </w:r>
      <w:r w:rsidR="00871FD2" w:rsidRPr="003C786B">
        <w:rPr>
          <w:rFonts w:ascii="Arial" w:eastAsia="Calibri" w:hAnsi="Arial" w:cs="Arial"/>
          <w:sz w:val="22"/>
          <w:lang w:val="es-ES_tradnl"/>
        </w:rPr>
        <w:t>«</w:t>
      </w:r>
      <w:r w:rsidRPr="003C786B">
        <w:rPr>
          <w:rFonts w:ascii="Arial" w:eastAsia="Calibri" w:hAnsi="Arial" w:cs="Arial"/>
          <w:sz w:val="22"/>
          <w:lang w:val="es-ES_tradnl"/>
        </w:rPr>
        <w:t>estudios de prefactibilidad</w:t>
      </w:r>
      <w:r w:rsidR="00871FD2" w:rsidRPr="003C786B">
        <w:rPr>
          <w:rFonts w:ascii="Arial" w:eastAsia="Calibri" w:hAnsi="Arial" w:cs="Arial"/>
          <w:sz w:val="22"/>
          <w:lang w:val="es-ES_tradnl"/>
        </w:rPr>
        <w:t>»</w:t>
      </w:r>
      <w:r w:rsidRPr="003C786B">
        <w:rPr>
          <w:rFonts w:ascii="Arial" w:eastAsia="Calibri" w:hAnsi="Arial" w:cs="Arial"/>
          <w:sz w:val="22"/>
          <w:lang w:val="es-ES_tradnl"/>
        </w:rPr>
        <w:t xml:space="preserve"> y con los </w:t>
      </w:r>
      <w:r w:rsidR="00871FD2" w:rsidRPr="003C786B">
        <w:rPr>
          <w:rFonts w:ascii="Arial" w:eastAsia="Calibri" w:hAnsi="Arial" w:cs="Arial"/>
          <w:sz w:val="22"/>
          <w:lang w:val="es-ES_tradnl"/>
        </w:rPr>
        <w:t>«</w:t>
      </w:r>
      <w:r w:rsidRPr="003C786B">
        <w:rPr>
          <w:rFonts w:ascii="Arial" w:eastAsia="Calibri" w:hAnsi="Arial" w:cs="Arial"/>
          <w:sz w:val="22"/>
          <w:lang w:val="es-ES_tradnl"/>
        </w:rPr>
        <w:t>estudios de factibilidad</w:t>
      </w:r>
      <w:r w:rsidR="00871FD2" w:rsidRPr="003C786B">
        <w:rPr>
          <w:rFonts w:ascii="Arial" w:eastAsia="Calibri" w:hAnsi="Arial" w:cs="Arial"/>
          <w:sz w:val="22"/>
          <w:lang w:val="es-ES_tradnl"/>
        </w:rPr>
        <w:t>»</w:t>
      </w:r>
      <w:r w:rsidRPr="003C786B">
        <w:rPr>
          <w:rFonts w:ascii="Arial" w:eastAsia="Calibri" w:hAnsi="Arial" w:cs="Arial"/>
          <w:sz w:val="22"/>
          <w:lang w:val="es-ES_tradnl"/>
        </w:rPr>
        <w:t xml:space="preserve">, porque a través de estos se verifica la </w:t>
      </w:r>
      <w:r w:rsidR="00871FD2" w:rsidRPr="003C786B">
        <w:rPr>
          <w:rFonts w:ascii="Arial" w:eastAsia="Calibri" w:hAnsi="Arial" w:cs="Arial"/>
          <w:sz w:val="22"/>
          <w:lang w:val="es-ES_tradnl"/>
        </w:rPr>
        <w:t>«</w:t>
      </w:r>
      <w:r w:rsidRPr="003C786B">
        <w:rPr>
          <w:rFonts w:ascii="Arial" w:eastAsia="Calibri" w:hAnsi="Arial" w:cs="Arial"/>
          <w:sz w:val="22"/>
          <w:lang w:val="es-ES_tradnl"/>
        </w:rPr>
        <w:t>viabilidad</w:t>
      </w:r>
      <w:r w:rsidR="00871FD2" w:rsidRPr="003C786B">
        <w:rPr>
          <w:rFonts w:ascii="Arial" w:eastAsia="Calibri" w:hAnsi="Arial" w:cs="Arial"/>
          <w:sz w:val="22"/>
          <w:lang w:val="es-ES_tradnl"/>
        </w:rPr>
        <w:t>»</w:t>
      </w:r>
      <w:r w:rsidRPr="003C786B">
        <w:rPr>
          <w:rFonts w:ascii="Arial" w:eastAsia="Calibri" w:hAnsi="Arial" w:cs="Arial"/>
          <w:sz w:val="22"/>
          <w:lang w:val="es-ES_tradnl"/>
        </w:rPr>
        <w:t xml:space="preserve"> del proyecto. Una vez la entidad estatal tenga los estudios de prefactibilidad y de factibilidad para adelantar el procedimiento de selección, cuyo objeto consiste en la construcción de la obra, se podrá incluir en el objeto </w:t>
      </w:r>
      <w:r w:rsidRPr="003C786B">
        <w:rPr>
          <w:rFonts w:ascii="Arial" w:eastAsia="Calibri" w:hAnsi="Arial" w:cs="Arial"/>
          <w:sz w:val="22"/>
          <w:lang w:val="es-ES_tradnl"/>
        </w:rPr>
        <w:lastRenderedPageBreak/>
        <w:t>del mismo procedimiento la elaboración de estudios de «Fase 3. Estudios y diseños definitivos».</w:t>
      </w:r>
    </w:p>
    <w:p w14:paraId="42C2D668" w14:textId="77777777" w:rsidR="00F72043" w:rsidRPr="003C786B" w:rsidRDefault="00F72043" w:rsidP="00F23E3A">
      <w:pPr>
        <w:spacing w:line="276" w:lineRule="auto"/>
        <w:jc w:val="both"/>
        <w:rPr>
          <w:rFonts w:ascii="Arial" w:eastAsia="Calibri" w:hAnsi="Arial" w:cs="Arial"/>
          <w:sz w:val="22"/>
          <w:lang w:val="es-ES_tradnl"/>
        </w:rPr>
      </w:pPr>
    </w:p>
    <w:p w14:paraId="47A818F1" w14:textId="77777777" w:rsidR="00F72043" w:rsidRPr="003C786B" w:rsidRDefault="00F72043" w:rsidP="00F23E3A">
      <w:pPr>
        <w:spacing w:line="276" w:lineRule="auto"/>
        <w:jc w:val="both"/>
        <w:rPr>
          <w:rFonts w:ascii="Arial" w:hAnsi="Arial" w:cs="Arial"/>
          <w:b/>
          <w:sz w:val="22"/>
          <w:lang w:val="es-ES_tradnl"/>
        </w:rPr>
      </w:pPr>
      <w:r w:rsidRPr="003C786B">
        <w:rPr>
          <w:rFonts w:ascii="Arial" w:hAnsi="Arial" w:cs="Arial"/>
          <w:b/>
          <w:sz w:val="22"/>
          <w:lang w:val="es-ES_tradnl"/>
        </w:rPr>
        <w:t xml:space="preserve">2.3. </w:t>
      </w:r>
      <w:r w:rsidRPr="003C786B">
        <w:rPr>
          <w:rFonts w:ascii="Arial" w:hAnsi="Arial" w:cs="Arial"/>
          <w:b/>
          <w:bCs/>
          <w:sz w:val="22"/>
          <w:lang w:val="es-ES_tradnl"/>
        </w:rPr>
        <w:t>Posibilidad de que contratista que elaboró los estudios y diseños participe como oferente en la licitación pública de la obra</w:t>
      </w:r>
    </w:p>
    <w:p w14:paraId="16D1A221" w14:textId="77777777" w:rsidR="00F72043" w:rsidRPr="003C786B" w:rsidRDefault="00F72043" w:rsidP="00F23E3A">
      <w:pPr>
        <w:spacing w:line="276" w:lineRule="auto"/>
        <w:jc w:val="both"/>
        <w:rPr>
          <w:rFonts w:ascii="Arial" w:hAnsi="Arial" w:cs="Arial"/>
          <w:bCs/>
          <w:sz w:val="22"/>
          <w:lang w:val="es-ES_tradnl"/>
        </w:rPr>
      </w:pPr>
    </w:p>
    <w:p w14:paraId="034597E5" w14:textId="270F07EF" w:rsidR="00F72043" w:rsidRPr="003C786B" w:rsidRDefault="00871FD2" w:rsidP="00F23E3A">
      <w:pPr>
        <w:spacing w:line="276" w:lineRule="auto"/>
        <w:jc w:val="both"/>
        <w:rPr>
          <w:rFonts w:ascii="Arial" w:hAnsi="Arial" w:cs="Arial"/>
          <w:bCs/>
          <w:sz w:val="22"/>
          <w:lang w:val="es-ES_tradnl"/>
        </w:rPr>
      </w:pPr>
      <w:r w:rsidRPr="003C786B">
        <w:rPr>
          <w:rFonts w:ascii="Arial" w:hAnsi="Arial" w:cs="Arial"/>
          <w:bCs/>
          <w:sz w:val="22"/>
          <w:lang w:val="es-ES_tradnl"/>
        </w:rPr>
        <w:t>C</w:t>
      </w:r>
      <w:r w:rsidR="00F72043" w:rsidRPr="003C786B">
        <w:rPr>
          <w:rFonts w:ascii="Arial" w:hAnsi="Arial" w:cs="Arial"/>
          <w:bCs/>
          <w:sz w:val="22"/>
          <w:lang w:val="es-ES_tradnl"/>
        </w:rPr>
        <w:t>omo se indicó, previo a la apertura de un procedimiento de licitación pública para la contratación de una obra, la entidad estatal debe contar con «los estudios y diseños que permitan establecer la viabilidad del proyecto y su impacto social, económico y ambiental», en los términos del numeral 12 del artículo 25 de la Ley 80 de 1993, modificado por el artículo 87 de la Ley 1474 de 2011; de manera que la falta o insuficiencia de estos estudios atenta contra el principio de planeación y puede generar responsabilidad, tanto para la entidad como para los servidores públicos a cargo del procedimiento, de conformidad con el numeral 3 del artículo 26 de la Ley 80 de 1993</w:t>
      </w:r>
      <w:r w:rsidR="00F72043" w:rsidRPr="003C786B">
        <w:rPr>
          <w:rStyle w:val="Refdenotaalpie"/>
          <w:rFonts w:ascii="Arial" w:hAnsi="Arial" w:cs="Arial"/>
          <w:bCs/>
          <w:sz w:val="22"/>
          <w:lang w:val="es-ES_tradnl"/>
        </w:rPr>
        <w:footnoteReference w:id="16"/>
      </w:r>
      <w:r w:rsidR="00F72043" w:rsidRPr="003C786B">
        <w:rPr>
          <w:rFonts w:ascii="Arial" w:hAnsi="Arial" w:cs="Arial"/>
          <w:bCs/>
          <w:sz w:val="22"/>
          <w:lang w:val="es-ES_tradnl"/>
        </w:rPr>
        <w:t>.</w:t>
      </w:r>
    </w:p>
    <w:p w14:paraId="1FE0DFBF" w14:textId="35200239" w:rsidR="00F72043" w:rsidRPr="003C786B" w:rsidRDefault="00F72043" w:rsidP="00F23E3A">
      <w:pPr>
        <w:spacing w:line="276" w:lineRule="auto"/>
        <w:ind w:firstLine="709"/>
        <w:jc w:val="both"/>
        <w:rPr>
          <w:rFonts w:ascii="Arial" w:hAnsi="Arial" w:cs="Arial"/>
          <w:bCs/>
          <w:sz w:val="22"/>
          <w:lang w:val="es-ES_tradnl"/>
        </w:rPr>
      </w:pPr>
      <w:r w:rsidRPr="003C786B">
        <w:rPr>
          <w:rFonts w:ascii="Arial" w:hAnsi="Arial" w:cs="Arial"/>
          <w:bCs/>
          <w:sz w:val="22"/>
          <w:lang w:val="es-ES_tradnl"/>
        </w:rPr>
        <w:t>Los estudios y diseños de la obra pueden obtenerse de manera previa, mediante la celebración de un contrato de consultoría</w:t>
      </w:r>
      <w:r w:rsidRPr="003C786B">
        <w:rPr>
          <w:rStyle w:val="Refdenotaalpie"/>
          <w:rFonts w:ascii="Arial" w:hAnsi="Arial" w:cs="Arial"/>
          <w:bCs/>
          <w:sz w:val="22"/>
          <w:lang w:val="es-ES_tradnl"/>
        </w:rPr>
        <w:footnoteReference w:id="17"/>
      </w:r>
      <w:r w:rsidRPr="003C786B">
        <w:rPr>
          <w:rFonts w:ascii="Arial" w:hAnsi="Arial" w:cs="Arial"/>
          <w:bCs/>
          <w:sz w:val="22"/>
          <w:lang w:val="es-ES_tradnl"/>
        </w:rPr>
        <w:t xml:space="preserve">, que es un contrato independiente al de obra y cuyo objeto puede ser el encargo de la realización de los referidos estudios a un tercero, para que los haga de manera idónea y autónoma. De otra parte, como se consideró en el acápite anterior, los estudios y diseños de la obra pueden contratarse </w:t>
      </w:r>
      <w:proofErr w:type="gramStart"/>
      <w:r w:rsidRPr="003C786B">
        <w:rPr>
          <w:rFonts w:ascii="Arial" w:hAnsi="Arial" w:cs="Arial"/>
          <w:bCs/>
          <w:sz w:val="22"/>
          <w:lang w:val="es-ES_tradnl"/>
        </w:rPr>
        <w:t>conjuntamente con</w:t>
      </w:r>
      <w:proofErr w:type="gramEnd"/>
      <w:r w:rsidRPr="003C786B">
        <w:rPr>
          <w:rFonts w:ascii="Arial" w:hAnsi="Arial" w:cs="Arial"/>
          <w:bCs/>
          <w:sz w:val="22"/>
          <w:lang w:val="es-ES_tradnl"/>
        </w:rPr>
        <w:t xml:space="preserve"> la construcción de la obra.</w:t>
      </w:r>
    </w:p>
    <w:p w14:paraId="10F454AB" w14:textId="51BE644D" w:rsidR="00F72043" w:rsidRPr="003C786B" w:rsidRDefault="00F72043" w:rsidP="00F23E3A">
      <w:pPr>
        <w:spacing w:line="276" w:lineRule="auto"/>
        <w:ind w:firstLine="709"/>
        <w:jc w:val="both"/>
        <w:rPr>
          <w:rFonts w:ascii="Arial" w:hAnsi="Arial" w:cs="Arial"/>
          <w:bCs/>
          <w:sz w:val="22"/>
          <w:lang w:val="es-ES_tradnl"/>
        </w:rPr>
      </w:pPr>
      <w:r w:rsidRPr="003C786B">
        <w:rPr>
          <w:rFonts w:ascii="Arial" w:hAnsi="Arial" w:cs="Arial"/>
          <w:bCs/>
          <w:sz w:val="22"/>
          <w:lang w:val="es-ES_tradnl"/>
        </w:rPr>
        <w:t xml:space="preserve">Sin perjuicio de lo anterior y en atención al objeto de la consulta que origina el presente concepto, cabe preguntarse si una persona que fue contratada para realizar los estudios y diseños que servirán para un futuro contrato de obra, puede, a su vez, ser oferente en el proceso </w:t>
      </w:r>
      <w:r w:rsidR="00A114CB" w:rsidRPr="003C786B">
        <w:rPr>
          <w:rFonts w:ascii="Arial" w:hAnsi="Arial" w:cs="Arial"/>
          <w:bCs/>
          <w:sz w:val="22"/>
          <w:lang w:val="es-ES_tradnl"/>
        </w:rPr>
        <w:t>de licitación</w:t>
      </w:r>
      <w:r w:rsidRPr="003C786B">
        <w:rPr>
          <w:rFonts w:ascii="Arial" w:hAnsi="Arial" w:cs="Arial"/>
          <w:bCs/>
          <w:sz w:val="22"/>
          <w:lang w:val="es-ES_tradnl"/>
        </w:rPr>
        <w:t xml:space="preserve"> subsecuente para </w:t>
      </w:r>
      <w:r w:rsidR="00A114CB" w:rsidRPr="003C786B">
        <w:rPr>
          <w:rFonts w:ascii="Arial" w:hAnsi="Arial" w:cs="Arial"/>
          <w:bCs/>
          <w:sz w:val="22"/>
          <w:lang w:val="es-ES_tradnl"/>
        </w:rPr>
        <w:t xml:space="preserve">celebrar el </w:t>
      </w:r>
      <w:r w:rsidRPr="003C786B">
        <w:rPr>
          <w:rFonts w:ascii="Arial" w:hAnsi="Arial" w:cs="Arial"/>
          <w:bCs/>
          <w:sz w:val="22"/>
          <w:lang w:val="es-ES_tradnl"/>
        </w:rPr>
        <w:t>contrato de obra o si, por el contrario, dicha circunstancia le impide participar en la licitación pública.</w:t>
      </w:r>
    </w:p>
    <w:p w14:paraId="0860EA08" w14:textId="05AF67D6" w:rsidR="00F72043" w:rsidRPr="003C786B" w:rsidRDefault="00F72043" w:rsidP="00F23E3A">
      <w:pPr>
        <w:spacing w:line="276" w:lineRule="auto"/>
        <w:ind w:firstLine="709"/>
        <w:jc w:val="both"/>
        <w:rPr>
          <w:rFonts w:ascii="Arial" w:hAnsi="Arial" w:cs="Arial"/>
          <w:bCs/>
          <w:sz w:val="22"/>
          <w:lang w:val="es-ES_tradnl"/>
        </w:rPr>
      </w:pPr>
      <w:r w:rsidRPr="003C786B">
        <w:rPr>
          <w:rFonts w:ascii="Arial" w:hAnsi="Arial" w:cs="Arial"/>
          <w:bCs/>
          <w:sz w:val="22"/>
          <w:lang w:val="es-ES_tradnl"/>
        </w:rPr>
        <w:t>Revisadas las causales de inhabilidad e incompatibilidad previstas en el artículo 8 de la Ley 80 de 1993,</w:t>
      </w:r>
      <w:r w:rsidR="00C634EA" w:rsidRPr="003C786B">
        <w:rPr>
          <w:rFonts w:ascii="Arial" w:hAnsi="Arial" w:cs="Arial"/>
          <w:bCs/>
          <w:sz w:val="22"/>
          <w:lang w:val="es-ES_tradnl"/>
        </w:rPr>
        <w:t xml:space="preserve"> </w:t>
      </w:r>
      <w:r w:rsidRPr="003C786B">
        <w:rPr>
          <w:rFonts w:ascii="Arial" w:hAnsi="Arial" w:cs="Arial"/>
          <w:bCs/>
          <w:sz w:val="22"/>
          <w:lang w:val="es-ES_tradnl"/>
        </w:rPr>
        <w:t xml:space="preserve">dicho supuesto no </w:t>
      </w:r>
      <w:r w:rsidR="00C634EA" w:rsidRPr="003C786B">
        <w:rPr>
          <w:rFonts w:ascii="Arial" w:hAnsi="Arial" w:cs="Arial"/>
          <w:bCs/>
          <w:sz w:val="22"/>
          <w:lang w:val="es-ES_tradnl"/>
        </w:rPr>
        <w:t>constituye</w:t>
      </w:r>
      <w:r w:rsidRPr="003C786B">
        <w:rPr>
          <w:rFonts w:ascii="Arial" w:hAnsi="Arial" w:cs="Arial"/>
          <w:bCs/>
          <w:sz w:val="22"/>
          <w:lang w:val="es-ES_tradnl"/>
        </w:rPr>
        <w:t xml:space="preserve"> una limitante de la capacidad legal para celebrar el contrato de obra con la entidad estatal encargada del proyecto. En </w:t>
      </w:r>
      <w:r w:rsidRPr="003C786B">
        <w:rPr>
          <w:rFonts w:ascii="Arial" w:hAnsi="Arial" w:cs="Arial"/>
          <w:bCs/>
          <w:sz w:val="22"/>
          <w:lang w:val="es-ES_tradnl"/>
        </w:rPr>
        <w:lastRenderedPageBreak/>
        <w:t>consecuencia, dado que dichas causales son taxativas y de interpretación restrictiva, el supuesto</w:t>
      </w:r>
      <w:r w:rsidR="002F454C" w:rsidRPr="003C786B">
        <w:rPr>
          <w:rFonts w:ascii="Arial" w:hAnsi="Arial" w:cs="Arial"/>
          <w:bCs/>
          <w:sz w:val="22"/>
          <w:lang w:val="es-ES_tradnl"/>
        </w:rPr>
        <w:t xml:space="preserve"> </w:t>
      </w:r>
      <w:r w:rsidRPr="003C786B">
        <w:rPr>
          <w:rFonts w:ascii="Arial" w:hAnsi="Arial" w:cs="Arial"/>
          <w:bCs/>
          <w:sz w:val="22"/>
          <w:lang w:val="es-ES_tradnl"/>
        </w:rPr>
        <w:t>mencionado no genera inhabilidad o incompatibilidad para contratar con el Estado.</w:t>
      </w:r>
    </w:p>
    <w:p w14:paraId="08FEFA72" w14:textId="3ED9B1EC" w:rsidR="00F72043" w:rsidRPr="003C786B" w:rsidRDefault="00F72043" w:rsidP="00F23E3A">
      <w:pPr>
        <w:spacing w:line="276" w:lineRule="auto"/>
        <w:ind w:firstLine="709"/>
        <w:jc w:val="both"/>
        <w:rPr>
          <w:rFonts w:ascii="Arial" w:hAnsi="Arial" w:cs="Arial"/>
          <w:bCs/>
          <w:sz w:val="22"/>
          <w:lang w:val="es-ES_tradnl"/>
        </w:rPr>
      </w:pPr>
      <w:r w:rsidRPr="003C786B">
        <w:rPr>
          <w:rFonts w:ascii="Arial" w:hAnsi="Arial" w:cs="Arial"/>
          <w:bCs/>
          <w:sz w:val="22"/>
          <w:lang w:val="es-ES_tradnl"/>
        </w:rPr>
        <w:t xml:space="preserve">Esta circunstancia solo está prohibida en los contratos interadministrativos, ya que el artículo 2, numeral 4º, literal c), en </w:t>
      </w:r>
      <w:r w:rsidR="002C7F9C" w:rsidRPr="003C786B">
        <w:rPr>
          <w:rFonts w:ascii="Arial" w:hAnsi="Arial" w:cs="Arial"/>
          <w:bCs/>
          <w:sz w:val="22"/>
          <w:lang w:val="es-ES_tradnl"/>
        </w:rPr>
        <w:t>el</w:t>
      </w:r>
      <w:r w:rsidRPr="003C786B">
        <w:rPr>
          <w:rFonts w:ascii="Arial" w:hAnsi="Arial" w:cs="Arial"/>
          <w:bCs/>
          <w:sz w:val="22"/>
          <w:lang w:val="es-ES_tradnl"/>
        </w:rPr>
        <w:t xml:space="preserve"> cuarto inciso, establece: «En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Pero esta prohibición no puede extenderse a los otros casos de celebración de contratos de obra, porque,</w:t>
      </w:r>
      <w:r w:rsidR="003074AE" w:rsidRPr="003C786B">
        <w:rPr>
          <w:rFonts w:ascii="Arial" w:hAnsi="Arial" w:cs="Arial"/>
          <w:bCs/>
          <w:sz w:val="22"/>
          <w:lang w:val="es-ES_tradnl"/>
        </w:rPr>
        <w:t xml:space="preserve"> </w:t>
      </w:r>
      <w:r w:rsidRPr="003C786B">
        <w:rPr>
          <w:rFonts w:ascii="Arial" w:hAnsi="Arial" w:cs="Arial"/>
          <w:bCs/>
          <w:sz w:val="22"/>
          <w:lang w:val="es-ES_tradnl"/>
        </w:rPr>
        <w:t>como se anotó, las causales de inhabilidad e incompatibilidad no admiten una interpretación amplia o teleológica.</w:t>
      </w:r>
    </w:p>
    <w:p w14:paraId="38DA8A1B" w14:textId="563AC091" w:rsidR="00F72043" w:rsidRPr="003C786B" w:rsidRDefault="00F72043" w:rsidP="00F23E3A">
      <w:pPr>
        <w:spacing w:line="276" w:lineRule="auto"/>
        <w:ind w:firstLine="709"/>
        <w:jc w:val="both"/>
        <w:rPr>
          <w:rFonts w:ascii="Arial" w:hAnsi="Arial" w:cs="Arial"/>
          <w:bCs/>
          <w:sz w:val="22"/>
          <w:lang w:val="es-ES_tradnl"/>
        </w:rPr>
      </w:pPr>
      <w:r w:rsidRPr="003C786B">
        <w:rPr>
          <w:rFonts w:ascii="Arial" w:hAnsi="Arial" w:cs="Arial"/>
          <w:bCs/>
          <w:sz w:val="22"/>
          <w:lang w:val="es-ES_tradnl"/>
        </w:rPr>
        <w:t>Ni siquiera una prohibición de tal naturaleza puede incluirse en el pliego de condiciones, para evitar que se presente el contratista que celebró el contrato de consultoría en ejecución del cual se elaboraron los estudios y diseños, pues, según se expresó en un numeral anterior de este concepto, las inhabilidades e incompatibilidades solo pueden ser creadas por el legislador formal</w:t>
      </w:r>
      <w:r w:rsidR="00AC7720" w:rsidRPr="003C786B">
        <w:rPr>
          <w:rFonts w:ascii="Arial" w:hAnsi="Arial" w:cs="Arial"/>
          <w:bCs/>
          <w:sz w:val="22"/>
          <w:lang w:val="es-ES_tradnl"/>
        </w:rPr>
        <w:t>,</w:t>
      </w:r>
      <w:r w:rsidRPr="003C786B">
        <w:rPr>
          <w:rFonts w:ascii="Arial" w:hAnsi="Arial" w:cs="Arial"/>
          <w:bCs/>
          <w:sz w:val="22"/>
          <w:lang w:val="es-ES_tradnl"/>
        </w:rPr>
        <w:t xml:space="preserve"> es decir, se rigen por el principio de tipicidad estricta. En consecuencia, si bien se ha dicho que el pliego de condiciones es «la ley del procedimiento de selección y del contrato», en esta frase la palabra «ley» no se utiliza en sentido formal, sino material. Además, el pliego de condiciones es un acto administrativo general –ni siquiera un reglamento– y, por lo tanto, no puede abrogarse la regulación de situaciones que gozan de reserva de ley, como el establecimiento de causales de inhabilidad o de incompatibilidad para participar en el correspondiente procedimiento de selección.</w:t>
      </w:r>
    </w:p>
    <w:p w14:paraId="32F10B78" w14:textId="77777777" w:rsidR="00F72043" w:rsidRPr="003C786B" w:rsidRDefault="00F72043" w:rsidP="00F23E3A">
      <w:pPr>
        <w:spacing w:line="276" w:lineRule="auto"/>
        <w:ind w:firstLine="709"/>
        <w:jc w:val="both"/>
        <w:rPr>
          <w:rFonts w:ascii="Arial" w:hAnsi="Arial" w:cs="Arial"/>
          <w:bCs/>
          <w:sz w:val="22"/>
          <w:lang w:val="es-ES_tradnl"/>
        </w:rPr>
      </w:pPr>
      <w:r w:rsidRPr="003C786B">
        <w:rPr>
          <w:rFonts w:ascii="Arial" w:hAnsi="Arial" w:cs="Arial"/>
          <w:bCs/>
          <w:sz w:val="22"/>
          <w:lang w:val="es-ES_tradnl"/>
        </w:rPr>
        <w:t>Ahora bien, la Sala de Consulta y Servicio Civil del Consejo de Estado ha indicado en varios conceptos que las entidades estatales pueden incluir en el pliego de condiciones causales de conflicto de interés, pudiendo prever dentro de estas que el consultor que realizó los estudios y diseños tenga prohibido presentarse a la licitación pública cuyo objeto es la contratación de la obra</w:t>
      </w:r>
      <w:r w:rsidRPr="003C786B">
        <w:rPr>
          <w:rStyle w:val="Refdenotaalpie"/>
          <w:rFonts w:ascii="Arial" w:hAnsi="Arial" w:cs="Arial"/>
          <w:bCs/>
          <w:sz w:val="22"/>
          <w:lang w:val="es-ES_tradnl"/>
        </w:rPr>
        <w:footnoteReference w:id="18"/>
      </w:r>
      <w:r w:rsidRPr="003C786B">
        <w:rPr>
          <w:rFonts w:ascii="Arial" w:hAnsi="Arial" w:cs="Arial"/>
          <w:bCs/>
          <w:sz w:val="22"/>
          <w:lang w:val="es-ES_tradnl"/>
        </w:rPr>
        <w:t>. Sin embargo, esta Subdirección se aparta de dicha tesis, porque al igual que las causales de inhabilidad e incompatibilidad, las causales de conflicto de interés son disposiciones que gozan de reserva de ley. Actualmente, dichas causales están previstas para los servidores públicos –y no para los proponentes o contratistas– en el artículo 11 de la Ley 1437 de 2011</w:t>
      </w:r>
      <w:r w:rsidRPr="003C786B">
        <w:rPr>
          <w:rStyle w:val="Refdenotaalpie"/>
          <w:rFonts w:ascii="Arial" w:hAnsi="Arial" w:cs="Arial"/>
          <w:bCs/>
          <w:sz w:val="22"/>
          <w:lang w:val="es-ES_tradnl"/>
        </w:rPr>
        <w:footnoteReference w:id="19"/>
      </w:r>
      <w:r w:rsidRPr="003C786B">
        <w:rPr>
          <w:rFonts w:ascii="Arial" w:hAnsi="Arial" w:cs="Arial"/>
          <w:bCs/>
          <w:sz w:val="22"/>
          <w:lang w:val="es-ES_tradnl"/>
        </w:rPr>
        <w:t>.</w:t>
      </w:r>
    </w:p>
    <w:p w14:paraId="6451D661" w14:textId="2F483402" w:rsidR="00F72043" w:rsidRPr="003C786B" w:rsidRDefault="00F72043" w:rsidP="00F23E3A">
      <w:pPr>
        <w:spacing w:line="276" w:lineRule="auto"/>
        <w:ind w:firstLine="709"/>
        <w:jc w:val="both"/>
        <w:rPr>
          <w:rFonts w:ascii="Arial" w:hAnsi="Arial" w:cs="Arial"/>
          <w:bCs/>
          <w:sz w:val="22"/>
          <w:lang w:val="es-ES_tradnl"/>
        </w:rPr>
      </w:pPr>
      <w:proofErr w:type="gramStart"/>
      <w:r w:rsidRPr="003C786B">
        <w:rPr>
          <w:rFonts w:ascii="Arial" w:hAnsi="Arial" w:cs="Arial"/>
          <w:bCs/>
          <w:sz w:val="22"/>
          <w:lang w:val="es-ES_tradnl"/>
        </w:rPr>
        <w:lastRenderedPageBreak/>
        <w:t>Admitir</w:t>
      </w:r>
      <w:proofErr w:type="gramEnd"/>
      <w:r w:rsidRPr="003C786B">
        <w:rPr>
          <w:rFonts w:ascii="Arial" w:hAnsi="Arial" w:cs="Arial"/>
          <w:bCs/>
          <w:sz w:val="22"/>
          <w:lang w:val="es-ES_tradnl"/>
        </w:rPr>
        <w:t xml:space="preserve"> que las entidades estatales</w:t>
      </w:r>
      <w:r w:rsidR="009F5D34" w:rsidRPr="003C786B">
        <w:rPr>
          <w:rFonts w:ascii="Arial" w:hAnsi="Arial" w:cs="Arial"/>
          <w:bCs/>
          <w:sz w:val="22"/>
          <w:lang w:val="es-ES_tradnl"/>
        </w:rPr>
        <w:t xml:space="preserve"> incluyan</w:t>
      </w:r>
      <w:r w:rsidRPr="003C786B">
        <w:rPr>
          <w:rFonts w:ascii="Arial" w:hAnsi="Arial" w:cs="Arial"/>
          <w:bCs/>
          <w:sz w:val="22"/>
          <w:lang w:val="es-ES_tradnl"/>
        </w:rPr>
        <w:t xml:space="preserve"> en el pliego de condiciones</w:t>
      </w:r>
      <w:r w:rsidR="009F5D34" w:rsidRPr="003C786B">
        <w:rPr>
          <w:rFonts w:ascii="Arial" w:hAnsi="Arial" w:cs="Arial"/>
          <w:bCs/>
          <w:sz w:val="22"/>
          <w:lang w:val="es-ES_tradnl"/>
        </w:rPr>
        <w:t xml:space="preserve"> </w:t>
      </w:r>
      <w:r w:rsidRPr="003C786B">
        <w:rPr>
          <w:rFonts w:ascii="Arial" w:hAnsi="Arial" w:cs="Arial"/>
          <w:bCs/>
          <w:sz w:val="22"/>
          <w:lang w:val="es-ES_tradnl"/>
        </w:rPr>
        <w:t>causales de «conflicto de interés» no guardaría diferencia con aceptar que puedan establecer</w:t>
      </w:r>
      <w:r w:rsidR="009F5D34" w:rsidRPr="003C786B">
        <w:rPr>
          <w:rFonts w:ascii="Arial" w:hAnsi="Arial" w:cs="Arial"/>
          <w:bCs/>
          <w:sz w:val="22"/>
          <w:lang w:val="es-ES_tradnl"/>
        </w:rPr>
        <w:t xml:space="preserve"> </w:t>
      </w:r>
      <w:r w:rsidRPr="003C786B">
        <w:rPr>
          <w:rFonts w:ascii="Arial" w:hAnsi="Arial" w:cs="Arial"/>
          <w:bCs/>
          <w:sz w:val="22"/>
          <w:lang w:val="es-ES_tradnl"/>
        </w:rPr>
        <w:t xml:space="preserve">inhabilidades o incompatibilidades, pues el efecto sería exactamente el mismo: prohibir que </w:t>
      </w:r>
      <w:r w:rsidRPr="003C786B">
        <w:rPr>
          <w:rFonts w:ascii="Arial" w:hAnsi="Arial" w:cs="Arial"/>
          <w:bCs/>
          <w:sz w:val="22"/>
          <w:lang w:val="es-ES_tradnl"/>
        </w:rPr>
        <w:lastRenderedPageBreak/>
        <w:t>determinados sujetos se presenten al procedimiento de selección o celebren el contrato estatal. Tal habilitación pondría gravemente en riesgo los principios de legalidad y de libre concurrencia, ya que, de un lado, las prohibiciones para participar en la actividad contractual del Estado solo pueden ser creadas por el constituyente o el legislador, y de otro, todos los sujetos que no estén incursos en las causales de inhabilidad e incompatibilidad y que cumplan con los demás requisitos habilitantes, pueden presentarse al procedimiento de selección.</w:t>
      </w:r>
    </w:p>
    <w:p w14:paraId="464152BB" w14:textId="7AB66C41" w:rsidR="00375DD3" w:rsidRPr="003C786B" w:rsidRDefault="00ED069A" w:rsidP="00BA1266">
      <w:pPr>
        <w:spacing w:line="276" w:lineRule="auto"/>
        <w:ind w:firstLine="709"/>
        <w:jc w:val="both"/>
        <w:rPr>
          <w:rFonts w:ascii="Arial" w:hAnsi="Arial" w:cs="Arial"/>
          <w:bCs/>
          <w:sz w:val="22"/>
          <w:lang w:val="es-ES_tradnl"/>
        </w:rPr>
      </w:pPr>
      <w:r w:rsidRPr="003C786B">
        <w:rPr>
          <w:rFonts w:ascii="Arial" w:hAnsi="Arial" w:cs="Arial"/>
          <w:bCs/>
          <w:sz w:val="22"/>
          <w:lang w:val="es-ES_tradnl"/>
        </w:rPr>
        <w:t>De otro lado</w:t>
      </w:r>
      <w:r w:rsidR="00EA0B3F" w:rsidRPr="003C786B">
        <w:rPr>
          <w:rFonts w:ascii="Arial" w:hAnsi="Arial" w:cs="Arial"/>
          <w:bCs/>
          <w:sz w:val="22"/>
          <w:lang w:val="es-ES_tradnl"/>
        </w:rPr>
        <w:t xml:space="preserve">, </w:t>
      </w:r>
      <w:r w:rsidR="00E6039E" w:rsidRPr="003C786B">
        <w:rPr>
          <w:rFonts w:ascii="Arial" w:hAnsi="Arial" w:cs="Arial"/>
          <w:bCs/>
          <w:sz w:val="22"/>
          <w:lang w:val="es-ES_tradnl"/>
        </w:rPr>
        <w:t xml:space="preserve">si bien </w:t>
      </w:r>
      <w:r w:rsidRPr="003C786B">
        <w:rPr>
          <w:rFonts w:ascii="Arial" w:hAnsi="Arial" w:cs="Arial"/>
          <w:bCs/>
          <w:sz w:val="22"/>
          <w:lang w:val="es-ES_tradnl"/>
        </w:rPr>
        <w:t>la Ley 842 de 2003</w:t>
      </w:r>
      <w:r w:rsidR="00B22024" w:rsidRPr="003C786B">
        <w:rPr>
          <w:rFonts w:ascii="Arial" w:hAnsi="Arial" w:cs="Arial"/>
          <w:bCs/>
          <w:sz w:val="22"/>
          <w:lang w:val="es-ES_tradnl"/>
        </w:rPr>
        <w:t xml:space="preserve"> –</w:t>
      </w:r>
      <w:r w:rsidRPr="003C786B">
        <w:rPr>
          <w:rFonts w:ascii="Arial" w:hAnsi="Arial" w:cs="Arial"/>
          <w:bCs/>
          <w:sz w:val="22"/>
          <w:lang w:val="es-ES_tradnl"/>
        </w:rPr>
        <w:t>«Por la cual se modifica la reglamentación del ejercicio de la ingeniería, de sus profesiones afines y de sus profesiones auxiliares, se adopta el Código de Ética Profesional y se dictan otras disposiciones»</w:t>
      </w:r>
      <w:r w:rsidR="00B22024" w:rsidRPr="003C786B">
        <w:rPr>
          <w:rFonts w:ascii="Arial" w:hAnsi="Arial" w:cs="Arial"/>
          <w:bCs/>
          <w:sz w:val="22"/>
          <w:lang w:val="es-ES_tradnl"/>
        </w:rPr>
        <w:t xml:space="preserve">– </w:t>
      </w:r>
      <w:r w:rsidR="00E6039E" w:rsidRPr="003C786B">
        <w:rPr>
          <w:rFonts w:ascii="Arial" w:hAnsi="Arial" w:cs="Arial"/>
          <w:bCs/>
          <w:sz w:val="22"/>
          <w:lang w:val="es-ES_tradnl"/>
        </w:rPr>
        <w:t>establece</w:t>
      </w:r>
      <w:r w:rsidR="00DE74A8" w:rsidRPr="003C786B">
        <w:rPr>
          <w:rFonts w:ascii="Arial" w:hAnsi="Arial" w:cs="Arial"/>
          <w:bCs/>
          <w:sz w:val="22"/>
          <w:lang w:val="es-ES_tradnl"/>
        </w:rPr>
        <w:t xml:space="preserve"> un conjunto de prohibiciones para los profesionales de la ingeniería, algunas de las cuales se aplican en los procedimientos de selección de los contratistas del Estado, se trata de prohibiciones dirigidas a los </w:t>
      </w:r>
      <w:r w:rsidR="00DE74A8" w:rsidRPr="003C786B">
        <w:rPr>
          <w:rFonts w:ascii="Arial" w:hAnsi="Arial" w:cs="Arial"/>
          <w:bCs/>
          <w:i/>
          <w:iCs/>
          <w:sz w:val="22"/>
          <w:lang w:val="es-ES_tradnl"/>
        </w:rPr>
        <w:t>profesionales</w:t>
      </w:r>
      <w:r w:rsidR="00DE74A8" w:rsidRPr="003C786B">
        <w:rPr>
          <w:rFonts w:ascii="Arial" w:hAnsi="Arial" w:cs="Arial"/>
          <w:bCs/>
          <w:sz w:val="22"/>
          <w:lang w:val="es-ES_tradnl"/>
        </w:rPr>
        <w:t>, n</w:t>
      </w:r>
      <w:r w:rsidR="00CD078A" w:rsidRPr="003C786B">
        <w:rPr>
          <w:rFonts w:ascii="Arial" w:hAnsi="Arial" w:cs="Arial"/>
          <w:bCs/>
          <w:sz w:val="22"/>
          <w:lang w:val="es-ES_tradnl"/>
        </w:rPr>
        <w:t xml:space="preserve">o necesariamente a los </w:t>
      </w:r>
      <w:r w:rsidR="00CD078A" w:rsidRPr="003C786B">
        <w:rPr>
          <w:rFonts w:ascii="Arial" w:hAnsi="Arial" w:cs="Arial"/>
          <w:bCs/>
          <w:i/>
          <w:iCs/>
          <w:sz w:val="22"/>
          <w:lang w:val="es-ES_tradnl"/>
        </w:rPr>
        <w:t>proponentes</w:t>
      </w:r>
      <w:r w:rsidR="00CD078A" w:rsidRPr="003C786B">
        <w:rPr>
          <w:rFonts w:ascii="Arial" w:hAnsi="Arial" w:cs="Arial"/>
          <w:bCs/>
          <w:sz w:val="22"/>
          <w:lang w:val="es-ES_tradnl"/>
        </w:rPr>
        <w:t>.</w:t>
      </w:r>
      <w:r w:rsidR="00375DD3" w:rsidRPr="003C786B">
        <w:rPr>
          <w:rFonts w:ascii="Arial" w:hAnsi="Arial" w:cs="Arial"/>
          <w:bCs/>
          <w:sz w:val="22"/>
          <w:lang w:val="es-ES_tradnl"/>
        </w:rPr>
        <w:t xml:space="preserve"> Así se infiere del artículo 30 de la mencionada Ley, que prevé lo siguiente: «</w:t>
      </w:r>
      <w:r w:rsidR="00B75424" w:rsidRPr="003C786B">
        <w:rPr>
          <w:rFonts w:ascii="Arial" w:hAnsi="Arial" w:cs="Arial"/>
          <w:bCs/>
          <w:sz w:val="22"/>
          <w:lang w:val="es-ES_tradnl"/>
        </w:rPr>
        <w:t xml:space="preserve">Los ingenieros, sus profesionales afines y sus profesionales auxiliares, para todos los efectos del Código de Ética Profesional y su Régimen Disciplinario contemplados en esta ley, se denominarán "Los profesionales"». </w:t>
      </w:r>
      <w:r w:rsidR="00BD7ABD" w:rsidRPr="003C786B">
        <w:rPr>
          <w:rFonts w:ascii="Arial" w:hAnsi="Arial" w:cs="Arial"/>
          <w:bCs/>
          <w:sz w:val="22"/>
          <w:lang w:val="es-ES_tradnl"/>
        </w:rPr>
        <w:t xml:space="preserve"> </w:t>
      </w:r>
    </w:p>
    <w:p w14:paraId="3CEF4132" w14:textId="38A8FEBC" w:rsidR="00F603CC" w:rsidRPr="003C786B" w:rsidRDefault="00BD7ABD" w:rsidP="00BA1266">
      <w:pPr>
        <w:spacing w:line="276" w:lineRule="auto"/>
        <w:ind w:firstLine="709"/>
        <w:jc w:val="both"/>
        <w:rPr>
          <w:rFonts w:ascii="Arial" w:hAnsi="Arial" w:cs="Arial"/>
          <w:bCs/>
          <w:sz w:val="22"/>
          <w:lang w:val="es-ES_tradnl"/>
        </w:rPr>
      </w:pPr>
      <w:r w:rsidRPr="003C786B">
        <w:rPr>
          <w:rFonts w:ascii="Arial" w:hAnsi="Arial" w:cs="Arial"/>
          <w:bCs/>
          <w:sz w:val="22"/>
          <w:lang w:val="es-ES_tradnl"/>
        </w:rPr>
        <w:t>En tal sentido, conviene referirse, de manera especial, a la</w:t>
      </w:r>
      <w:r w:rsidR="00F603CC" w:rsidRPr="003C786B">
        <w:rPr>
          <w:rFonts w:ascii="Arial" w:hAnsi="Arial" w:cs="Arial"/>
          <w:bCs/>
          <w:sz w:val="22"/>
          <w:lang w:val="es-ES_tradnl"/>
        </w:rPr>
        <w:t xml:space="preserve"> prohibición prevista en el literal a) del artículo 44 de dicha Ley, según </w:t>
      </w:r>
      <w:r w:rsidR="00BA1266" w:rsidRPr="003C786B">
        <w:rPr>
          <w:rFonts w:ascii="Arial" w:hAnsi="Arial" w:cs="Arial"/>
          <w:bCs/>
          <w:sz w:val="22"/>
          <w:lang w:val="es-ES_tradnl"/>
        </w:rPr>
        <w:t>la</w:t>
      </w:r>
      <w:r w:rsidR="00F603CC" w:rsidRPr="003C786B">
        <w:rPr>
          <w:rFonts w:ascii="Arial" w:hAnsi="Arial" w:cs="Arial"/>
          <w:bCs/>
          <w:sz w:val="22"/>
          <w:lang w:val="es-ES_tradnl"/>
        </w:rPr>
        <w:t xml:space="preserve"> cual:</w:t>
      </w:r>
      <w:r w:rsidR="00BA1266" w:rsidRPr="003C786B">
        <w:rPr>
          <w:rFonts w:ascii="Arial" w:hAnsi="Arial" w:cs="Arial"/>
          <w:bCs/>
          <w:sz w:val="22"/>
          <w:lang w:val="es-ES_tradnl"/>
        </w:rPr>
        <w:t xml:space="preserve"> </w:t>
      </w:r>
      <w:r w:rsidR="00F603CC" w:rsidRPr="003C786B">
        <w:rPr>
          <w:rFonts w:ascii="Arial" w:hAnsi="Arial" w:cs="Arial"/>
          <w:bCs/>
          <w:sz w:val="22"/>
          <w:lang w:val="es-ES_tradnl"/>
        </w:rPr>
        <w:t xml:space="preserve">«Los </w:t>
      </w:r>
      <w:r w:rsidR="00F603CC" w:rsidRPr="003C786B">
        <w:rPr>
          <w:rFonts w:ascii="Arial" w:hAnsi="Arial" w:cs="Arial"/>
          <w:bCs/>
          <w:i/>
          <w:iCs/>
          <w:sz w:val="22"/>
          <w:lang w:val="es-ES_tradnl"/>
        </w:rPr>
        <w:t>profesionales</w:t>
      </w:r>
      <w:r w:rsidR="00F603CC" w:rsidRPr="003C786B">
        <w:rPr>
          <w:rFonts w:ascii="Arial" w:hAnsi="Arial" w:cs="Arial"/>
          <w:bCs/>
          <w:sz w:val="22"/>
          <w:lang w:val="es-ES_tradnl"/>
        </w:rPr>
        <w:t xml:space="preserve"> que hayan actuado como asesores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w:t>
      </w:r>
      <w:r w:rsidR="00BA1266" w:rsidRPr="003C786B">
        <w:rPr>
          <w:rFonts w:ascii="Arial" w:hAnsi="Arial" w:cs="Arial"/>
          <w:bCs/>
          <w:sz w:val="22"/>
          <w:lang w:val="es-ES_tradnl"/>
        </w:rPr>
        <w:t>» (cursiva fuera de texto)</w:t>
      </w:r>
      <w:r w:rsidR="00F603CC" w:rsidRPr="003C786B">
        <w:rPr>
          <w:rFonts w:ascii="Arial" w:hAnsi="Arial" w:cs="Arial"/>
          <w:bCs/>
          <w:sz w:val="22"/>
          <w:lang w:val="es-ES_tradnl"/>
        </w:rPr>
        <w:t>.</w:t>
      </w:r>
    </w:p>
    <w:p w14:paraId="336153E0" w14:textId="71DC7461" w:rsidR="00640AEF" w:rsidRPr="003C786B" w:rsidRDefault="001F34D4" w:rsidP="00BA1266">
      <w:pPr>
        <w:spacing w:line="276" w:lineRule="auto"/>
        <w:ind w:firstLine="709"/>
        <w:jc w:val="both"/>
        <w:rPr>
          <w:rFonts w:ascii="Arial" w:hAnsi="Arial" w:cs="Arial"/>
          <w:bCs/>
          <w:sz w:val="22"/>
          <w:lang w:val="es-ES_tradnl"/>
        </w:rPr>
      </w:pPr>
      <w:r w:rsidRPr="003C786B">
        <w:rPr>
          <w:rFonts w:ascii="Arial" w:hAnsi="Arial" w:cs="Arial"/>
          <w:bCs/>
          <w:sz w:val="22"/>
          <w:lang w:val="es-ES_tradnl"/>
        </w:rPr>
        <w:t xml:space="preserve">Como se observa, </w:t>
      </w:r>
      <w:r w:rsidR="006C6B1D" w:rsidRPr="003C786B">
        <w:rPr>
          <w:rFonts w:ascii="Arial" w:hAnsi="Arial" w:cs="Arial"/>
          <w:bCs/>
          <w:sz w:val="22"/>
          <w:lang w:val="es-ES_tradnl"/>
        </w:rPr>
        <w:t>esta norma</w:t>
      </w:r>
      <w:r w:rsidRPr="003C786B">
        <w:rPr>
          <w:rFonts w:ascii="Arial" w:hAnsi="Arial" w:cs="Arial"/>
          <w:bCs/>
          <w:sz w:val="22"/>
          <w:lang w:val="es-ES_tradnl"/>
        </w:rPr>
        <w:t xml:space="preserve"> prohíbe que el profesional que ha actuado como </w:t>
      </w:r>
      <w:r w:rsidRPr="003C786B">
        <w:rPr>
          <w:rFonts w:ascii="Arial" w:hAnsi="Arial" w:cs="Arial"/>
          <w:bCs/>
          <w:i/>
          <w:iCs/>
          <w:sz w:val="22"/>
          <w:lang w:val="es-ES_tradnl"/>
        </w:rPr>
        <w:t>asesor</w:t>
      </w:r>
      <w:r w:rsidR="00962E23" w:rsidRPr="003C786B">
        <w:rPr>
          <w:rFonts w:ascii="Arial" w:hAnsi="Arial" w:cs="Arial"/>
          <w:bCs/>
          <w:sz w:val="22"/>
          <w:lang w:val="es-ES_tradnl"/>
        </w:rPr>
        <w:t xml:space="preserve"> de quien está interesado en contratar un servicio participe en las actividades</w:t>
      </w:r>
      <w:r w:rsidR="0094362D" w:rsidRPr="003C786B">
        <w:rPr>
          <w:rFonts w:ascii="Arial" w:hAnsi="Arial" w:cs="Arial"/>
          <w:bCs/>
          <w:sz w:val="22"/>
          <w:lang w:val="es-ES_tradnl"/>
        </w:rPr>
        <w:t xml:space="preserve"> que serán contratadas, salvo que así lo permitan las condiciones de la convocatoria. </w:t>
      </w:r>
    </w:p>
    <w:p w14:paraId="30FCA327" w14:textId="13E6FFC3" w:rsidR="00422FA3" w:rsidRPr="003C786B" w:rsidRDefault="00422FA3" w:rsidP="00BA1266">
      <w:pPr>
        <w:spacing w:line="276" w:lineRule="auto"/>
        <w:ind w:firstLine="709"/>
        <w:jc w:val="both"/>
        <w:rPr>
          <w:rFonts w:ascii="Arial" w:hAnsi="Arial" w:cs="Arial"/>
          <w:bCs/>
          <w:sz w:val="22"/>
          <w:lang w:val="es-ES_tradnl"/>
        </w:rPr>
      </w:pPr>
      <w:r w:rsidRPr="003C786B">
        <w:rPr>
          <w:rFonts w:ascii="Arial" w:hAnsi="Arial" w:cs="Arial"/>
          <w:bCs/>
          <w:sz w:val="22"/>
          <w:lang w:val="es-ES_tradnl"/>
        </w:rPr>
        <w:t xml:space="preserve">La palabra </w:t>
      </w:r>
      <w:r w:rsidRPr="003C786B">
        <w:rPr>
          <w:rFonts w:ascii="Arial" w:hAnsi="Arial" w:cs="Arial"/>
          <w:bCs/>
          <w:i/>
          <w:iCs/>
          <w:sz w:val="22"/>
          <w:lang w:val="es-ES_tradnl"/>
        </w:rPr>
        <w:t>asesor</w:t>
      </w:r>
      <w:r w:rsidRPr="003C786B">
        <w:rPr>
          <w:rFonts w:ascii="Arial" w:hAnsi="Arial" w:cs="Arial"/>
          <w:bCs/>
          <w:sz w:val="22"/>
          <w:lang w:val="es-ES_tradnl"/>
        </w:rPr>
        <w:t xml:space="preserve"> en el artículo 44 de la Ley 842 de 2003 debe </w:t>
      </w:r>
      <w:r w:rsidR="00C3024A" w:rsidRPr="003C786B">
        <w:rPr>
          <w:rFonts w:ascii="Arial" w:hAnsi="Arial" w:cs="Arial"/>
          <w:bCs/>
          <w:sz w:val="22"/>
          <w:lang w:val="es-ES_tradnl"/>
        </w:rPr>
        <w:t>interpretarse</w:t>
      </w:r>
      <w:r w:rsidR="0016755F" w:rsidRPr="003C786B">
        <w:rPr>
          <w:rFonts w:ascii="Arial" w:hAnsi="Arial" w:cs="Arial"/>
          <w:bCs/>
          <w:sz w:val="22"/>
          <w:lang w:val="es-ES_tradnl"/>
        </w:rPr>
        <w:t xml:space="preserve"> restrictivamente y</w:t>
      </w:r>
      <w:r w:rsidR="00C3024A" w:rsidRPr="003C786B">
        <w:rPr>
          <w:rFonts w:ascii="Arial" w:hAnsi="Arial" w:cs="Arial"/>
          <w:bCs/>
          <w:sz w:val="22"/>
          <w:lang w:val="es-ES_tradnl"/>
        </w:rPr>
        <w:t xml:space="preserve"> en</w:t>
      </w:r>
      <w:r w:rsidRPr="003C786B">
        <w:rPr>
          <w:rFonts w:ascii="Arial" w:hAnsi="Arial" w:cs="Arial"/>
          <w:bCs/>
          <w:sz w:val="22"/>
          <w:lang w:val="es-ES_tradnl"/>
        </w:rPr>
        <w:t xml:space="preserve"> armonía con el artículo 32, numeral </w:t>
      </w:r>
      <w:r w:rsidR="00F44920" w:rsidRPr="003C786B">
        <w:rPr>
          <w:rFonts w:ascii="Arial" w:hAnsi="Arial" w:cs="Arial"/>
          <w:bCs/>
          <w:sz w:val="22"/>
          <w:lang w:val="es-ES_tradnl"/>
        </w:rPr>
        <w:t>2º de la Ley 80 de 1993, que define el objeto de los contratos de consultoría</w:t>
      </w:r>
      <w:r w:rsidR="00F44920" w:rsidRPr="003C786B">
        <w:rPr>
          <w:rStyle w:val="Refdenotaalpie"/>
          <w:rFonts w:ascii="Arial" w:hAnsi="Arial" w:cs="Arial"/>
          <w:bCs/>
          <w:sz w:val="22"/>
          <w:lang w:val="es-ES_tradnl"/>
        </w:rPr>
        <w:footnoteReference w:id="20"/>
      </w:r>
      <w:r w:rsidR="00C3024A" w:rsidRPr="003C786B">
        <w:rPr>
          <w:rFonts w:ascii="Arial" w:hAnsi="Arial" w:cs="Arial"/>
          <w:bCs/>
          <w:sz w:val="22"/>
          <w:lang w:val="es-ES_tradnl"/>
        </w:rPr>
        <w:t xml:space="preserve">, disponiendo que la </w:t>
      </w:r>
      <w:r w:rsidR="00C3024A" w:rsidRPr="003C786B">
        <w:rPr>
          <w:rFonts w:ascii="Arial" w:hAnsi="Arial" w:cs="Arial"/>
          <w:bCs/>
          <w:i/>
          <w:iCs/>
          <w:sz w:val="22"/>
          <w:lang w:val="es-ES_tradnl"/>
        </w:rPr>
        <w:t>asesoría</w:t>
      </w:r>
      <w:r w:rsidR="00C3024A" w:rsidRPr="003C786B">
        <w:rPr>
          <w:rFonts w:ascii="Arial" w:hAnsi="Arial" w:cs="Arial"/>
          <w:bCs/>
          <w:sz w:val="22"/>
          <w:lang w:val="es-ES_tradnl"/>
        </w:rPr>
        <w:t xml:space="preserve"> es una actividad diferente a la </w:t>
      </w:r>
      <w:r w:rsidR="00343D80" w:rsidRPr="003C786B">
        <w:rPr>
          <w:rFonts w:ascii="Arial" w:hAnsi="Arial" w:cs="Arial"/>
          <w:bCs/>
          <w:i/>
          <w:iCs/>
          <w:sz w:val="22"/>
          <w:lang w:val="es-ES_tradnl"/>
        </w:rPr>
        <w:t>elaboración de los estudios y diseños</w:t>
      </w:r>
      <w:r w:rsidR="00343D80" w:rsidRPr="003C786B">
        <w:rPr>
          <w:rFonts w:ascii="Arial" w:hAnsi="Arial" w:cs="Arial"/>
          <w:bCs/>
          <w:sz w:val="22"/>
          <w:lang w:val="es-ES_tradnl"/>
        </w:rPr>
        <w:t>.</w:t>
      </w:r>
      <w:r w:rsidR="00CC668E" w:rsidRPr="003C786B">
        <w:rPr>
          <w:rFonts w:ascii="Arial" w:hAnsi="Arial" w:cs="Arial"/>
          <w:bCs/>
          <w:sz w:val="22"/>
          <w:lang w:val="es-ES_tradnl"/>
        </w:rPr>
        <w:t xml:space="preserve"> En consecuencia, no todo el que celebra un contrato de consultoría con una entidad estatal lo hace para asesorarla, ya </w:t>
      </w:r>
      <w:r w:rsidR="00CC668E" w:rsidRPr="003C786B">
        <w:rPr>
          <w:rFonts w:ascii="Arial" w:hAnsi="Arial" w:cs="Arial"/>
          <w:bCs/>
          <w:sz w:val="22"/>
          <w:lang w:val="es-ES_tradnl"/>
        </w:rPr>
        <w:lastRenderedPageBreak/>
        <w:t>que</w:t>
      </w:r>
      <w:r w:rsidR="006F36DF" w:rsidRPr="003C786B">
        <w:rPr>
          <w:rFonts w:ascii="Arial" w:hAnsi="Arial" w:cs="Arial"/>
          <w:bCs/>
          <w:sz w:val="22"/>
          <w:lang w:val="es-ES_tradnl"/>
        </w:rPr>
        <w:t>, normativamente,</w:t>
      </w:r>
      <w:r w:rsidR="00CC668E" w:rsidRPr="003C786B">
        <w:rPr>
          <w:rFonts w:ascii="Arial" w:hAnsi="Arial" w:cs="Arial"/>
          <w:bCs/>
          <w:sz w:val="22"/>
          <w:lang w:val="es-ES_tradnl"/>
        </w:rPr>
        <w:t xml:space="preserve"> el objeto de esta tipología contractual incluye</w:t>
      </w:r>
      <w:r w:rsidR="006F36DF" w:rsidRPr="003C786B">
        <w:rPr>
          <w:rFonts w:ascii="Arial" w:hAnsi="Arial" w:cs="Arial"/>
          <w:bCs/>
          <w:sz w:val="22"/>
          <w:lang w:val="es-ES_tradnl"/>
        </w:rPr>
        <w:t xml:space="preserve"> actividades diversas, como los estudios y diseños, los estudios para la ejecución de proyectos de inversión,</w:t>
      </w:r>
      <w:r w:rsidR="004A4E6F" w:rsidRPr="003C786B">
        <w:rPr>
          <w:rFonts w:ascii="Arial" w:hAnsi="Arial" w:cs="Arial"/>
          <w:bCs/>
          <w:sz w:val="22"/>
          <w:lang w:val="es-ES_tradnl"/>
        </w:rPr>
        <w:t xml:space="preserve"> los estudios de diagnóstico, la interventoría, la gerencia de obra o de proyectos y </w:t>
      </w:r>
      <w:r w:rsidR="004A4E6F" w:rsidRPr="003C786B">
        <w:rPr>
          <w:rFonts w:ascii="Arial" w:hAnsi="Arial" w:cs="Arial"/>
          <w:bCs/>
          <w:i/>
          <w:iCs/>
          <w:sz w:val="22"/>
          <w:lang w:val="es-ES_tradnl"/>
        </w:rPr>
        <w:t>la asesoría</w:t>
      </w:r>
      <w:r w:rsidR="004A4E6F" w:rsidRPr="003C786B">
        <w:rPr>
          <w:rFonts w:ascii="Arial" w:hAnsi="Arial" w:cs="Arial"/>
          <w:bCs/>
          <w:sz w:val="22"/>
          <w:lang w:val="es-ES_tradnl"/>
        </w:rPr>
        <w:t>, entre otr</w:t>
      </w:r>
      <w:r w:rsidR="0016755F" w:rsidRPr="003C786B">
        <w:rPr>
          <w:rFonts w:ascii="Arial" w:hAnsi="Arial" w:cs="Arial"/>
          <w:bCs/>
          <w:sz w:val="22"/>
          <w:lang w:val="es-ES_tradnl"/>
        </w:rPr>
        <w:t>a</w:t>
      </w:r>
      <w:r w:rsidR="004A4E6F" w:rsidRPr="003C786B">
        <w:rPr>
          <w:rFonts w:ascii="Arial" w:hAnsi="Arial" w:cs="Arial"/>
          <w:bCs/>
          <w:sz w:val="22"/>
          <w:lang w:val="es-ES_tradnl"/>
        </w:rPr>
        <w:t>s.</w:t>
      </w:r>
    </w:p>
    <w:p w14:paraId="4F80CAD6" w14:textId="395BAD16" w:rsidR="0098264A" w:rsidRPr="003C786B" w:rsidRDefault="0098264A" w:rsidP="00BA1266">
      <w:pPr>
        <w:spacing w:line="276" w:lineRule="auto"/>
        <w:ind w:firstLine="709"/>
        <w:jc w:val="both"/>
        <w:rPr>
          <w:rFonts w:ascii="Arial" w:hAnsi="Arial" w:cs="Arial"/>
          <w:bCs/>
          <w:sz w:val="22"/>
          <w:lang w:val="es-ES_tradnl"/>
        </w:rPr>
      </w:pPr>
      <w:r w:rsidRPr="003C786B">
        <w:rPr>
          <w:rFonts w:ascii="Arial" w:hAnsi="Arial" w:cs="Arial"/>
          <w:bCs/>
          <w:sz w:val="22"/>
          <w:lang w:val="es-ES_tradnl"/>
        </w:rPr>
        <w:t xml:space="preserve">Partiendo de esta precisión conceptual y guiados por el criterio de interpretación restrictiva que gobierna </w:t>
      </w:r>
      <w:r w:rsidR="001F7B70" w:rsidRPr="003C786B">
        <w:rPr>
          <w:rFonts w:ascii="Arial" w:hAnsi="Arial" w:cs="Arial"/>
          <w:bCs/>
          <w:sz w:val="22"/>
          <w:lang w:val="es-ES_tradnl"/>
        </w:rPr>
        <w:t xml:space="preserve">tanto </w:t>
      </w:r>
      <w:r w:rsidRPr="003C786B">
        <w:rPr>
          <w:rFonts w:ascii="Arial" w:hAnsi="Arial" w:cs="Arial"/>
          <w:bCs/>
          <w:sz w:val="22"/>
          <w:lang w:val="es-ES_tradnl"/>
        </w:rPr>
        <w:t xml:space="preserve">las </w:t>
      </w:r>
      <w:r w:rsidR="008C41AA" w:rsidRPr="003C786B">
        <w:rPr>
          <w:rFonts w:ascii="Arial" w:hAnsi="Arial" w:cs="Arial"/>
          <w:bCs/>
          <w:sz w:val="22"/>
          <w:lang w:val="es-ES_tradnl"/>
        </w:rPr>
        <w:t>inhabilidades e incompatibilidades</w:t>
      </w:r>
      <w:r w:rsidR="001F7B70" w:rsidRPr="003C786B">
        <w:rPr>
          <w:rFonts w:ascii="Arial" w:hAnsi="Arial" w:cs="Arial"/>
          <w:bCs/>
          <w:sz w:val="22"/>
          <w:lang w:val="es-ES_tradnl"/>
        </w:rPr>
        <w:t xml:space="preserve"> como, </w:t>
      </w:r>
      <w:r w:rsidR="008C41AA" w:rsidRPr="003C786B">
        <w:rPr>
          <w:rFonts w:ascii="Arial" w:hAnsi="Arial" w:cs="Arial"/>
          <w:bCs/>
          <w:sz w:val="22"/>
          <w:lang w:val="es-ES_tradnl"/>
        </w:rPr>
        <w:t>en general</w:t>
      </w:r>
      <w:r w:rsidR="001F7B70" w:rsidRPr="003C786B">
        <w:rPr>
          <w:rFonts w:ascii="Arial" w:hAnsi="Arial" w:cs="Arial"/>
          <w:bCs/>
          <w:sz w:val="22"/>
          <w:lang w:val="es-ES_tradnl"/>
        </w:rPr>
        <w:t>,</w:t>
      </w:r>
      <w:r w:rsidR="008C41AA" w:rsidRPr="003C786B">
        <w:rPr>
          <w:rFonts w:ascii="Arial" w:hAnsi="Arial" w:cs="Arial"/>
          <w:bCs/>
          <w:sz w:val="22"/>
          <w:lang w:val="es-ES_tradnl"/>
        </w:rPr>
        <w:t xml:space="preserve"> las prohibiciones, debe indicarse que cuando el artículo 44 de la mencionada Ley 842 establece que «Los </w:t>
      </w:r>
      <w:r w:rsidR="008C41AA" w:rsidRPr="003C786B">
        <w:rPr>
          <w:rFonts w:ascii="Arial" w:hAnsi="Arial" w:cs="Arial"/>
          <w:bCs/>
          <w:i/>
          <w:iCs/>
          <w:sz w:val="22"/>
          <w:lang w:val="es-ES_tradnl"/>
        </w:rPr>
        <w:t>profesionales</w:t>
      </w:r>
      <w:r w:rsidR="008C41AA" w:rsidRPr="003C786B">
        <w:rPr>
          <w:rFonts w:ascii="Arial" w:hAnsi="Arial" w:cs="Arial"/>
          <w:bCs/>
          <w:sz w:val="22"/>
          <w:lang w:val="es-ES_tradnl"/>
        </w:rPr>
        <w:t xml:space="preserve"> que hayan actuado como </w:t>
      </w:r>
      <w:r w:rsidR="008C41AA" w:rsidRPr="003C786B">
        <w:rPr>
          <w:rFonts w:ascii="Arial" w:hAnsi="Arial" w:cs="Arial"/>
          <w:bCs/>
          <w:i/>
          <w:iCs/>
          <w:sz w:val="22"/>
          <w:lang w:val="es-ES_tradnl"/>
        </w:rPr>
        <w:t>asesores</w:t>
      </w:r>
      <w:r w:rsidR="008C41AA" w:rsidRPr="003C786B">
        <w:rPr>
          <w:rFonts w:ascii="Arial" w:hAnsi="Arial" w:cs="Arial"/>
          <w:bCs/>
          <w:sz w:val="22"/>
          <w:lang w:val="es-ES_tradnl"/>
        </w:rPr>
        <w:t xml:space="preserve"> de la parte contratante en un concurso o licitación deberán abstenerse de intervenir directa o indirectamente en las tareas profesionales requeridas para el desarrollo del trabajo que dio lugar al mismo, salvo que su intervención estuviese establecida en las bases del concurso o licitación»</w:t>
      </w:r>
      <w:r w:rsidR="006175EE" w:rsidRPr="003C786B">
        <w:rPr>
          <w:rFonts w:ascii="Arial" w:hAnsi="Arial" w:cs="Arial"/>
          <w:bCs/>
          <w:sz w:val="22"/>
          <w:lang w:val="es-ES_tradnl"/>
        </w:rPr>
        <w:t xml:space="preserve"> (cursiva fuera de texto), </w:t>
      </w:r>
      <w:r w:rsidR="00510FD0" w:rsidRPr="003C786B">
        <w:rPr>
          <w:rFonts w:ascii="Arial" w:hAnsi="Arial" w:cs="Arial"/>
          <w:bCs/>
          <w:sz w:val="22"/>
          <w:lang w:val="es-ES_tradnl"/>
        </w:rPr>
        <w:t xml:space="preserve">lo que </w:t>
      </w:r>
      <w:r w:rsidR="006175EE" w:rsidRPr="003C786B">
        <w:rPr>
          <w:rFonts w:ascii="Arial" w:hAnsi="Arial" w:cs="Arial"/>
          <w:bCs/>
          <w:sz w:val="22"/>
          <w:lang w:val="es-ES_tradnl"/>
        </w:rPr>
        <w:t xml:space="preserve">prohíbe </w:t>
      </w:r>
      <w:r w:rsidR="00510FD0" w:rsidRPr="003C786B">
        <w:rPr>
          <w:rFonts w:ascii="Arial" w:hAnsi="Arial" w:cs="Arial"/>
          <w:bCs/>
          <w:sz w:val="22"/>
          <w:lang w:val="es-ES_tradnl"/>
        </w:rPr>
        <w:t xml:space="preserve">es </w:t>
      </w:r>
      <w:r w:rsidR="006175EE" w:rsidRPr="003C786B">
        <w:rPr>
          <w:rFonts w:ascii="Arial" w:hAnsi="Arial" w:cs="Arial"/>
          <w:bCs/>
          <w:sz w:val="22"/>
          <w:lang w:val="es-ES_tradnl"/>
        </w:rPr>
        <w:t xml:space="preserve">que los profesionales </w:t>
      </w:r>
      <w:r w:rsidR="00854E4B" w:rsidRPr="003C786B">
        <w:rPr>
          <w:rFonts w:ascii="Arial" w:hAnsi="Arial" w:cs="Arial"/>
          <w:bCs/>
          <w:sz w:val="22"/>
          <w:lang w:val="es-ES_tradnl"/>
        </w:rPr>
        <w:t>que asesoraron</w:t>
      </w:r>
      <w:r w:rsidR="006175EE" w:rsidRPr="003C786B">
        <w:rPr>
          <w:rFonts w:ascii="Arial" w:hAnsi="Arial" w:cs="Arial"/>
          <w:bCs/>
          <w:sz w:val="22"/>
          <w:lang w:val="es-ES_tradnl"/>
        </w:rPr>
        <w:t xml:space="preserve"> </w:t>
      </w:r>
      <w:r w:rsidR="00854E4B" w:rsidRPr="003C786B">
        <w:rPr>
          <w:rFonts w:ascii="Arial" w:hAnsi="Arial" w:cs="Arial"/>
          <w:bCs/>
          <w:sz w:val="22"/>
          <w:lang w:val="es-ES_tradnl"/>
        </w:rPr>
        <w:t>a</w:t>
      </w:r>
      <w:r w:rsidR="006175EE" w:rsidRPr="003C786B">
        <w:rPr>
          <w:rFonts w:ascii="Arial" w:hAnsi="Arial" w:cs="Arial"/>
          <w:bCs/>
          <w:sz w:val="22"/>
          <w:lang w:val="es-ES_tradnl"/>
        </w:rPr>
        <w:t xml:space="preserve"> la entidad contratante en el correspondiente procedimiento de selección,</w:t>
      </w:r>
      <w:r w:rsidR="00510FD0" w:rsidRPr="003C786B">
        <w:rPr>
          <w:rFonts w:ascii="Arial" w:hAnsi="Arial" w:cs="Arial"/>
          <w:bCs/>
          <w:sz w:val="22"/>
          <w:lang w:val="es-ES_tradnl"/>
        </w:rPr>
        <w:t xml:space="preserve"> participen luego en la ejecución de las labores que motivaron la realización de la convocatoria. Por ejemplo, que quien actuó como asesor en un concurso de méritos de arquitectura</w:t>
      </w:r>
      <w:r w:rsidR="00C867D7" w:rsidRPr="003C786B">
        <w:rPr>
          <w:rFonts w:ascii="Arial" w:hAnsi="Arial" w:cs="Arial"/>
          <w:bCs/>
          <w:sz w:val="22"/>
          <w:lang w:val="es-ES_tradnl"/>
        </w:rPr>
        <w:t>, trabaje posteriormente en la elaboración del diseño arquitectónico</w:t>
      </w:r>
      <w:r w:rsidR="00B12193" w:rsidRPr="003C786B">
        <w:rPr>
          <w:rStyle w:val="Refdenotaalpie"/>
          <w:rFonts w:ascii="Arial" w:hAnsi="Arial" w:cs="Arial"/>
          <w:bCs/>
          <w:sz w:val="22"/>
          <w:lang w:val="es-ES_tradnl"/>
        </w:rPr>
        <w:footnoteReference w:id="21"/>
      </w:r>
      <w:r w:rsidR="00C867D7" w:rsidRPr="003C786B">
        <w:rPr>
          <w:rFonts w:ascii="Arial" w:hAnsi="Arial" w:cs="Arial"/>
          <w:bCs/>
          <w:sz w:val="22"/>
          <w:lang w:val="es-ES_tradnl"/>
        </w:rPr>
        <w:t>.</w:t>
      </w:r>
      <w:r w:rsidR="005D09E1" w:rsidRPr="003C786B">
        <w:rPr>
          <w:rFonts w:ascii="Arial" w:hAnsi="Arial" w:cs="Arial"/>
          <w:bCs/>
          <w:sz w:val="22"/>
          <w:lang w:val="es-ES_tradnl"/>
        </w:rPr>
        <w:t xml:space="preserve"> Pero la norma no proscribe que quien hizo los estudios y diseños </w:t>
      </w:r>
      <w:r w:rsidR="007E4A8A" w:rsidRPr="003C786B">
        <w:rPr>
          <w:rFonts w:ascii="Arial" w:hAnsi="Arial" w:cs="Arial"/>
          <w:bCs/>
          <w:sz w:val="22"/>
          <w:lang w:val="es-ES_tradnl"/>
        </w:rPr>
        <w:t xml:space="preserve">se presente al proceso de licitación pública </w:t>
      </w:r>
      <w:r w:rsidR="00947B7A" w:rsidRPr="003C786B">
        <w:rPr>
          <w:rFonts w:ascii="Arial" w:hAnsi="Arial" w:cs="Arial"/>
          <w:bCs/>
          <w:sz w:val="22"/>
          <w:lang w:val="es-ES_tradnl"/>
        </w:rPr>
        <w:t>cuyo objeto es contratar la obra o particip</w:t>
      </w:r>
      <w:r w:rsidR="00091BB9" w:rsidRPr="003C786B">
        <w:rPr>
          <w:rFonts w:ascii="Arial" w:hAnsi="Arial" w:cs="Arial"/>
          <w:bCs/>
          <w:sz w:val="22"/>
          <w:lang w:val="es-ES_tradnl"/>
        </w:rPr>
        <w:t>e</w:t>
      </w:r>
      <w:r w:rsidR="00947B7A" w:rsidRPr="003C786B">
        <w:rPr>
          <w:rFonts w:ascii="Arial" w:hAnsi="Arial" w:cs="Arial"/>
          <w:bCs/>
          <w:sz w:val="22"/>
          <w:lang w:val="es-ES_tradnl"/>
        </w:rPr>
        <w:t xml:space="preserve"> en la construcción, pues en este </w:t>
      </w:r>
      <w:r w:rsidR="001821AC" w:rsidRPr="003C786B">
        <w:rPr>
          <w:rFonts w:ascii="Arial" w:hAnsi="Arial" w:cs="Arial"/>
          <w:bCs/>
          <w:sz w:val="22"/>
          <w:lang w:val="es-ES_tradnl"/>
        </w:rPr>
        <w:t xml:space="preserve">caso el diseñador no actúa como </w:t>
      </w:r>
      <w:r w:rsidR="001821AC" w:rsidRPr="003C786B">
        <w:rPr>
          <w:rFonts w:ascii="Arial" w:hAnsi="Arial" w:cs="Arial"/>
          <w:bCs/>
          <w:i/>
          <w:iCs/>
          <w:sz w:val="22"/>
          <w:lang w:val="es-ES_tradnl"/>
        </w:rPr>
        <w:t>asesor</w:t>
      </w:r>
      <w:r w:rsidR="001821AC" w:rsidRPr="003C786B">
        <w:rPr>
          <w:rFonts w:ascii="Arial" w:hAnsi="Arial" w:cs="Arial"/>
          <w:bCs/>
          <w:sz w:val="22"/>
          <w:lang w:val="es-ES_tradnl"/>
        </w:rPr>
        <w:t>.</w:t>
      </w:r>
      <w:r w:rsidR="00C867D7" w:rsidRPr="003C786B">
        <w:rPr>
          <w:rFonts w:ascii="Arial" w:hAnsi="Arial" w:cs="Arial"/>
          <w:bCs/>
          <w:sz w:val="22"/>
          <w:lang w:val="es-ES_tradnl"/>
        </w:rPr>
        <w:t xml:space="preserve"> </w:t>
      </w:r>
      <w:r w:rsidR="006175EE" w:rsidRPr="003C786B">
        <w:rPr>
          <w:rFonts w:ascii="Arial" w:hAnsi="Arial" w:cs="Arial"/>
          <w:bCs/>
          <w:sz w:val="22"/>
          <w:lang w:val="es-ES_tradnl"/>
        </w:rPr>
        <w:t xml:space="preserve"> </w:t>
      </w:r>
      <w:r w:rsidR="008C41AA" w:rsidRPr="003C786B">
        <w:rPr>
          <w:rFonts w:ascii="Arial" w:hAnsi="Arial" w:cs="Arial"/>
          <w:bCs/>
          <w:sz w:val="22"/>
          <w:lang w:val="es-ES_tradnl"/>
        </w:rPr>
        <w:t xml:space="preserve"> </w:t>
      </w:r>
    </w:p>
    <w:p w14:paraId="6D089914" w14:textId="007854CC" w:rsidR="00F72043" w:rsidRPr="003C786B" w:rsidRDefault="00F72043" w:rsidP="00B87866">
      <w:pPr>
        <w:spacing w:line="276" w:lineRule="auto"/>
        <w:ind w:firstLine="709"/>
        <w:jc w:val="both"/>
        <w:rPr>
          <w:rFonts w:ascii="Arial" w:hAnsi="Arial" w:cs="Arial"/>
          <w:bCs/>
          <w:sz w:val="22"/>
          <w:lang w:val="es-ES_tradnl"/>
        </w:rPr>
      </w:pPr>
      <w:r w:rsidRPr="003C786B">
        <w:rPr>
          <w:rFonts w:ascii="Arial" w:hAnsi="Arial" w:cs="Arial"/>
          <w:bCs/>
          <w:sz w:val="22"/>
          <w:lang w:val="es-ES_tradnl"/>
        </w:rPr>
        <w:t xml:space="preserve">A modo de conclusión, una persona que </w:t>
      </w:r>
      <w:r w:rsidR="00336972" w:rsidRPr="003C786B">
        <w:rPr>
          <w:rFonts w:ascii="Arial" w:hAnsi="Arial" w:cs="Arial"/>
          <w:bCs/>
          <w:sz w:val="22"/>
          <w:lang w:val="es-ES_tradnl"/>
        </w:rPr>
        <w:t>fue</w:t>
      </w:r>
      <w:r w:rsidRPr="003C786B">
        <w:rPr>
          <w:rFonts w:ascii="Arial" w:hAnsi="Arial" w:cs="Arial"/>
          <w:bCs/>
          <w:sz w:val="22"/>
          <w:lang w:val="es-ES_tradnl"/>
        </w:rPr>
        <w:t xml:space="preserve"> contratada para </w:t>
      </w:r>
      <w:r w:rsidR="00E04179" w:rsidRPr="003C786B">
        <w:rPr>
          <w:rFonts w:ascii="Arial" w:hAnsi="Arial" w:cs="Arial"/>
          <w:bCs/>
          <w:sz w:val="22"/>
          <w:lang w:val="es-ES_tradnl"/>
        </w:rPr>
        <w:t>elaborar</w:t>
      </w:r>
      <w:r w:rsidRPr="003C786B">
        <w:rPr>
          <w:rFonts w:ascii="Arial" w:hAnsi="Arial" w:cs="Arial"/>
          <w:bCs/>
          <w:sz w:val="22"/>
          <w:lang w:val="es-ES_tradnl"/>
        </w:rPr>
        <w:t xml:space="preserve"> los estudios y diseños previos de una</w:t>
      </w:r>
      <w:r w:rsidR="00260F08" w:rsidRPr="003C786B">
        <w:rPr>
          <w:rFonts w:ascii="Arial" w:hAnsi="Arial" w:cs="Arial"/>
          <w:bCs/>
          <w:sz w:val="22"/>
          <w:lang w:val="es-ES_tradnl"/>
        </w:rPr>
        <w:t xml:space="preserve"> </w:t>
      </w:r>
      <w:r w:rsidRPr="003C786B">
        <w:rPr>
          <w:rFonts w:ascii="Arial" w:hAnsi="Arial" w:cs="Arial"/>
          <w:bCs/>
          <w:sz w:val="22"/>
          <w:lang w:val="es-ES_tradnl"/>
        </w:rPr>
        <w:t>obra</w:t>
      </w:r>
      <w:r w:rsidR="00336972" w:rsidRPr="003C786B">
        <w:rPr>
          <w:rFonts w:ascii="Arial" w:hAnsi="Arial" w:cs="Arial"/>
          <w:bCs/>
          <w:sz w:val="22"/>
          <w:lang w:val="es-ES_tradnl"/>
        </w:rPr>
        <w:t xml:space="preserve"> </w:t>
      </w:r>
      <w:r w:rsidRPr="003C786B">
        <w:rPr>
          <w:rFonts w:ascii="Arial" w:hAnsi="Arial" w:cs="Arial"/>
          <w:bCs/>
          <w:sz w:val="22"/>
          <w:lang w:val="es-ES_tradnl"/>
        </w:rPr>
        <w:t xml:space="preserve">no está inhabilitada ni está en situación de incompatibilidad para participar en el posterior procedimiento de licitación para seleccionar </w:t>
      </w:r>
      <w:r w:rsidR="008B5B04" w:rsidRPr="003C786B">
        <w:rPr>
          <w:rFonts w:ascii="Arial" w:hAnsi="Arial" w:cs="Arial"/>
          <w:bCs/>
          <w:sz w:val="22"/>
          <w:lang w:val="es-ES_tradnl"/>
        </w:rPr>
        <w:t>a</w:t>
      </w:r>
      <w:r w:rsidRPr="003C786B">
        <w:rPr>
          <w:rFonts w:ascii="Arial" w:hAnsi="Arial" w:cs="Arial"/>
          <w:bCs/>
          <w:sz w:val="22"/>
          <w:lang w:val="es-ES_tradnl"/>
        </w:rPr>
        <w:t xml:space="preserve">l contratista que se encargará de la obra. De otro lado, la entidad contratante no puede crear dicha prohibición como causal de conflicto de interés en el pliego de condiciones, porque atentaría contra los principios de legalidad y de libre concurrencia. </w:t>
      </w:r>
    </w:p>
    <w:p w14:paraId="2359D38D" w14:textId="77777777" w:rsidR="00B87866" w:rsidRPr="003C786B" w:rsidRDefault="00B87866" w:rsidP="00B87866">
      <w:pPr>
        <w:spacing w:line="276" w:lineRule="auto"/>
        <w:ind w:firstLine="709"/>
        <w:jc w:val="both"/>
        <w:rPr>
          <w:rFonts w:ascii="Arial" w:hAnsi="Arial" w:cs="Arial"/>
          <w:bCs/>
          <w:sz w:val="22"/>
          <w:lang w:val="es-ES_tradnl"/>
        </w:rPr>
      </w:pPr>
    </w:p>
    <w:p w14:paraId="687CB649" w14:textId="77777777" w:rsidR="00A37FB6" w:rsidRPr="003C786B" w:rsidRDefault="00A37FB6" w:rsidP="00F23E3A">
      <w:pPr>
        <w:pStyle w:val="Prrafodelista"/>
        <w:numPr>
          <w:ilvl w:val="0"/>
          <w:numId w:val="6"/>
        </w:numPr>
        <w:tabs>
          <w:tab w:val="left" w:pos="284"/>
        </w:tabs>
        <w:spacing w:line="276" w:lineRule="auto"/>
        <w:ind w:left="0" w:hanging="142"/>
        <w:jc w:val="both"/>
        <w:rPr>
          <w:rFonts w:ascii="Arial" w:eastAsia="Calibri" w:hAnsi="Arial" w:cs="Arial"/>
          <w:sz w:val="22"/>
        </w:rPr>
      </w:pPr>
      <w:r w:rsidRPr="003C786B">
        <w:rPr>
          <w:rFonts w:ascii="Arial" w:eastAsia="Calibri" w:hAnsi="Arial" w:cs="Arial"/>
          <w:b/>
          <w:sz w:val="22"/>
        </w:rPr>
        <w:t>Respuestas</w:t>
      </w:r>
    </w:p>
    <w:p w14:paraId="1369FD7E" w14:textId="77777777" w:rsidR="00A37FB6" w:rsidRPr="003C786B" w:rsidRDefault="00A37FB6" w:rsidP="00F23E3A">
      <w:pPr>
        <w:spacing w:line="276" w:lineRule="auto"/>
        <w:ind w:left="709" w:right="709"/>
        <w:jc w:val="both"/>
        <w:rPr>
          <w:rFonts w:ascii="Arial" w:eastAsia="Calibri" w:hAnsi="Arial" w:cs="Arial"/>
          <w:i/>
          <w:sz w:val="22"/>
        </w:rPr>
      </w:pPr>
    </w:p>
    <w:p w14:paraId="66BC8E46" w14:textId="4E333E24" w:rsidR="00A37FB6" w:rsidRPr="003C786B" w:rsidRDefault="00FA19FB" w:rsidP="00F23E3A">
      <w:pPr>
        <w:spacing w:line="276" w:lineRule="auto"/>
        <w:ind w:left="708" w:right="709"/>
        <w:jc w:val="both"/>
        <w:rPr>
          <w:rFonts w:ascii="Arial" w:eastAsia="Calibri" w:hAnsi="Arial" w:cs="Arial"/>
          <w:sz w:val="22"/>
        </w:rPr>
      </w:pPr>
      <w:r w:rsidRPr="003C786B">
        <w:rPr>
          <w:rFonts w:ascii="Arial" w:eastAsia="Calibri" w:hAnsi="Arial" w:cs="Arial"/>
          <w:sz w:val="22"/>
        </w:rPr>
        <w:t xml:space="preserve">i) ¿«Se presenta inhabilidad o incompatibilidad en un proceso licitatorio de contratación pública, cuando quien ganó el proceso para realizar los estudios previos se presenta a licitar con un precio más bajo que el que estipuló para la obra en el resultado de los </w:t>
      </w:r>
      <w:proofErr w:type="gramStart"/>
      <w:r w:rsidRPr="003C786B">
        <w:rPr>
          <w:rFonts w:ascii="Arial" w:eastAsia="Calibri" w:hAnsi="Arial" w:cs="Arial"/>
          <w:sz w:val="22"/>
        </w:rPr>
        <w:t>estudios?.</w:t>
      </w:r>
      <w:proofErr w:type="gramEnd"/>
      <w:r w:rsidRPr="003C786B">
        <w:rPr>
          <w:rFonts w:ascii="Arial" w:eastAsia="Calibri" w:hAnsi="Arial" w:cs="Arial"/>
          <w:sz w:val="22"/>
        </w:rPr>
        <w:t xml:space="preserve"> (sic) Es decir, quien realizó los estudios predios (sic) estipuló como precio de la obra un valor de 60 y cuando se presenta a licitar por la obra, dice que cobra 50»</w:t>
      </w:r>
    </w:p>
    <w:p w14:paraId="1D8EC610" w14:textId="77777777" w:rsidR="00FA19FB" w:rsidRPr="003C786B" w:rsidRDefault="00FA19FB" w:rsidP="00F23E3A">
      <w:pPr>
        <w:spacing w:line="276" w:lineRule="auto"/>
        <w:jc w:val="both"/>
        <w:rPr>
          <w:rFonts w:ascii="Arial" w:eastAsia="Calibri" w:hAnsi="Arial" w:cs="Arial"/>
          <w:sz w:val="22"/>
        </w:rPr>
      </w:pPr>
    </w:p>
    <w:p w14:paraId="2DE31733" w14:textId="0CBB205A" w:rsidR="00D91951" w:rsidRPr="003C786B" w:rsidRDefault="00473979" w:rsidP="003D55E4">
      <w:pPr>
        <w:spacing w:line="276" w:lineRule="auto"/>
        <w:jc w:val="both"/>
        <w:rPr>
          <w:rFonts w:ascii="Arial" w:hAnsi="Arial" w:cs="Arial"/>
          <w:bCs/>
          <w:sz w:val="22"/>
          <w:lang w:val="es-ES_tradnl"/>
        </w:rPr>
      </w:pPr>
      <w:r w:rsidRPr="003C786B">
        <w:rPr>
          <w:rFonts w:ascii="Arial" w:eastAsia="Calibri" w:hAnsi="Arial" w:cs="Arial"/>
          <w:sz w:val="22"/>
        </w:rPr>
        <w:lastRenderedPageBreak/>
        <w:t xml:space="preserve">Una persona contratada para realizar los estudios y diseños previos de una obra no está inhabilitada ni incursa en una incompatibilidad para participar en la licitación pública que seleccionará el contratista encargado de la construcción de la obra. Ello, incluso, a pesar de que en la licitación dicho proponente presente una oferta por un precio mayor al que diagnosticó como presupuesto de la obra en el estudio y diseño previo, pues si el precio se establece en el pliego de condiciones como criterio de evaluación, el proponente entra a competir con los demás por este factor y deberá asumir la consecuencia en la calificación de señalar un precio mayor, pudiendo obtener un menor puntaje en este </w:t>
      </w:r>
      <w:r w:rsidRPr="003C786B">
        <w:rPr>
          <w:rFonts w:ascii="Arial" w:eastAsia="Calibri" w:hAnsi="Arial" w:cs="Arial"/>
          <w:i/>
          <w:iCs/>
          <w:sz w:val="22"/>
        </w:rPr>
        <w:t>ítem</w:t>
      </w:r>
      <w:r w:rsidRPr="003C786B">
        <w:rPr>
          <w:rFonts w:ascii="Arial" w:eastAsia="Calibri" w:hAnsi="Arial" w:cs="Arial"/>
          <w:sz w:val="22"/>
        </w:rPr>
        <w:t>, respecto de alguien que oferte un precio menor</w:t>
      </w:r>
      <w:r w:rsidR="00D91951" w:rsidRPr="003C786B">
        <w:rPr>
          <w:rFonts w:ascii="Arial" w:hAnsi="Arial" w:cs="Arial"/>
          <w:bCs/>
          <w:sz w:val="22"/>
          <w:lang w:val="es-ES_tradnl"/>
        </w:rPr>
        <w:t>.</w:t>
      </w:r>
    </w:p>
    <w:p w14:paraId="3CF543DD" w14:textId="77777777" w:rsidR="00A37FB6" w:rsidRPr="003C786B" w:rsidRDefault="00A37FB6" w:rsidP="00F23E3A">
      <w:pPr>
        <w:spacing w:line="276" w:lineRule="auto"/>
        <w:jc w:val="both"/>
        <w:rPr>
          <w:rFonts w:ascii="Arial" w:eastAsia="Calibri" w:hAnsi="Arial" w:cs="Arial"/>
          <w:sz w:val="22"/>
        </w:rPr>
      </w:pPr>
    </w:p>
    <w:p w14:paraId="2344F0AB" w14:textId="3C07F0D4" w:rsidR="005756AA" w:rsidRPr="003C786B" w:rsidRDefault="00F132C2" w:rsidP="00F23E3A">
      <w:pPr>
        <w:spacing w:line="276" w:lineRule="auto"/>
        <w:ind w:left="709" w:right="709"/>
        <w:jc w:val="both"/>
        <w:rPr>
          <w:rFonts w:ascii="Arial" w:eastAsia="Calibri" w:hAnsi="Arial" w:cs="Arial"/>
          <w:sz w:val="22"/>
        </w:rPr>
      </w:pPr>
      <w:proofErr w:type="spellStart"/>
      <w:r w:rsidRPr="003C786B">
        <w:rPr>
          <w:rFonts w:ascii="Arial" w:eastAsia="Calibri" w:hAnsi="Arial" w:cs="Arial"/>
          <w:sz w:val="22"/>
        </w:rPr>
        <w:t>ii</w:t>
      </w:r>
      <w:proofErr w:type="spellEnd"/>
      <w:r w:rsidRPr="003C786B">
        <w:rPr>
          <w:rFonts w:ascii="Arial" w:eastAsia="Calibri" w:hAnsi="Arial" w:cs="Arial"/>
          <w:sz w:val="22"/>
        </w:rPr>
        <w:t xml:space="preserve">) ¿«el director de la </w:t>
      </w:r>
      <w:proofErr w:type="gramStart"/>
      <w:r w:rsidRPr="003C786B">
        <w:rPr>
          <w:rFonts w:ascii="Arial" w:eastAsia="Calibri" w:hAnsi="Arial" w:cs="Arial"/>
          <w:sz w:val="22"/>
        </w:rPr>
        <w:t>entidad,</w:t>
      </w:r>
      <w:proofErr w:type="gramEnd"/>
      <w:r w:rsidRPr="003C786B">
        <w:rPr>
          <w:rFonts w:ascii="Arial" w:eastAsia="Calibri" w:hAnsi="Arial" w:cs="Arial"/>
          <w:sz w:val="22"/>
        </w:rPr>
        <w:t xml:space="preserve"> puede objetar esta situación y manifestar en el pliego de condiciones de la obra que quien realizó los estudios previos, no puede presentarse a licitar por la obra?»  </w:t>
      </w:r>
    </w:p>
    <w:p w14:paraId="7C65E4D4" w14:textId="77777777" w:rsidR="00260F08" w:rsidRPr="003C786B" w:rsidRDefault="00260F08" w:rsidP="00F23E3A">
      <w:pPr>
        <w:spacing w:line="276" w:lineRule="auto"/>
        <w:jc w:val="both"/>
        <w:rPr>
          <w:rFonts w:ascii="Arial" w:hAnsi="Arial" w:cs="Arial"/>
          <w:bCs/>
          <w:sz w:val="22"/>
          <w:lang w:val="es-ES_tradnl"/>
        </w:rPr>
      </w:pPr>
    </w:p>
    <w:p w14:paraId="43BCB444" w14:textId="62FF6F83" w:rsidR="00473979" w:rsidRPr="003C786B" w:rsidRDefault="00473979" w:rsidP="00F23E3A">
      <w:pPr>
        <w:spacing w:line="276" w:lineRule="auto"/>
        <w:jc w:val="both"/>
        <w:rPr>
          <w:rFonts w:ascii="Arial" w:hAnsi="Arial" w:cs="Arial"/>
          <w:bCs/>
          <w:sz w:val="22"/>
          <w:lang w:val="es-ES_tradnl"/>
        </w:rPr>
      </w:pPr>
      <w:r w:rsidRPr="003C786B">
        <w:rPr>
          <w:rFonts w:ascii="Arial" w:hAnsi="Arial" w:cs="Arial"/>
          <w:bCs/>
          <w:sz w:val="22"/>
          <w:lang w:val="es-ES_tradnl"/>
        </w:rPr>
        <w:t>La entidad contratante no puede crear dicha prohibición como causal de conflicto de interés en el pliego de condiciones, porque atentaría contra los principios de legalidad y de libre concurrencia.</w:t>
      </w:r>
    </w:p>
    <w:p w14:paraId="14AEB661" w14:textId="77777777" w:rsidR="000E3936" w:rsidRPr="003C786B" w:rsidRDefault="000E3936" w:rsidP="000E3936">
      <w:pPr>
        <w:spacing w:line="276" w:lineRule="auto"/>
        <w:jc w:val="both"/>
        <w:rPr>
          <w:rFonts w:ascii="Arial" w:eastAsia="Calibri" w:hAnsi="Arial" w:cs="Arial"/>
          <w:sz w:val="22"/>
        </w:rPr>
      </w:pPr>
    </w:p>
    <w:p w14:paraId="47DEA7AA" w14:textId="7498602E" w:rsidR="00A37FB6" w:rsidRPr="003C786B" w:rsidRDefault="00A37FB6" w:rsidP="000E3936">
      <w:pPr>
        <w:spacing w:line="276" w:lineRule="auto"/>
        <w:jc w:val="both"/>
        <w:rPr>
          <w:rFonts w:ascii="Arial" w:eastAsia="Calibri" w:hAnsi="Arial" w:cs="Arial"/>
          <w:sz w:val="22"/>
        </w:rPr>
      </w:pPr>
      <w:r w:rsidRPr="003C786B">
        <w:rPr>
          <w:rFonts w:ascii="Arial" w:eastAsia="Calibri" w:hAnsi="Arial" w:cs="Arial"/>
          <w:sz w:val="22"/>
        </w:rPr>
        <w:t>Este concepto tiene el alcance previsto en el artículo 28 del Código de Procedimiento Administrativo y de lo Contencioso Administrativo.</w:t>
      </w:r>
    </w:p>
    <w:p w14:paraId="43D2F84E" w14:textId="77777777" w:rsidR="00A37FB6" w:rsidRPr="003C786B" w:rsidRDefault="00A37FB6" w:rsidP="00F23E3A">
      <w:pPr>
        <w:spacing w:line="276" w:lineRule="auto"/>
        <w:jc w:val="both"/>
        <w:rPr>
          <w:rFonts w:ascii="Arial" w:eastAsia="Calibri" w:hAnsi="Arial" w:cs="Arial"/>
          <w:sz w:val="22"/>
        </w:rPr>
      </w:pPr>
    </w:p>
    <w:p w14:paraId="0F8C901F" w14:textId="77777777" w:rsidR="00A37FB6" w:rsidRPr="003C786B" w:rsidRDefault="00A37FB6" w:rsidP="00F23E3A">
      <w:pPr>
        <w:spacing w:line="276" w:lineRule="auto"/>
        <w:jc w:val="both"/>
        <w:rPr>
          <w:rFonts w:ascii="Arial" w:eastAsia="Calibri" w:hAnsi="Arial" w:cs="Arial"/>
          <w:sz w:val="22"/>
        </w:rPr>
      </w:pPr>
      <w:r w:rsidRPr="003C786B">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3C786B" w:rsidRDefault="00A37FB6" w:rsidP="00F23E3A">
      <w:pPr>
        <w:spacing w:line="276" w:lineRule="auto"/>
        <w:rPr>
          <w:rFonts w:ascii="Arial" w:eastAsia="Times New Roman" w:hAnsi="Arial" w:cs="Arial"/>
          <w:sz w:val="22"/>
          <w:lang w:eastAsia="es-CO"/>
        </w:rPr>
      </w:pPr>
      <w:r w:rsidRPr="003C786B">
        <w:rPr>
          <w:rFonts w:ascii="Arial" w:eastAsia="Times New Roman" w:hAnsi="Arial" w:cs="Arial"/>
          <w:sz w:val="22"/>
          <w:lang w:eastAsia="es-CO"/>
        </w:rPr>
        <w:t>Atentamente,</w:t>
      </w:r>
    </w:p>
    <w:p w14:paraId="57DD1EBD" w14:textId="7C20DE47" w:rsidR="00746E08" w:rsidRPr="003C786B" w:rsidRDefault="003C786B" w:rsidP="00F23E3A">
      <w:pPr>
        <w:spacing w:line="276" w:lineRule="auto"/>
        <w:jc w:val="center"/>
        <w:rPr>
          <w:rFonts w:ascii="Arial" w:eastAsia="Times New Roman" w:hAnsi="Arial" w:cs="Arial"/>
          <w:sz w:val="18"/>
          <w:szCs w:val="20"/>
          <w:lang w:eastAsia="es-CO"/>
        </w:rPr>
      </w:pPr>
      <w:r>
        <w:rPr>
          <w:noProof/>
        </w:rPr>
        <w:drawing>
          <wp:inline distT="0" distB="0" distL="0" distR="0" wp14:anchorId="13FC4E0B" wp14:editId="7A787BC9">
            <wp:extent cx="2773144" cy="988695"/>
            <wp:effectExtent l="0" t="0" r="0" b="0"/>
            <wp:docPr id="2038554509"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C786B" w:rsidRPr="003C786B" w14:paraId="469202AF" w14:textId="77777777" w:rsidTr="009E1BE1">
        <w:trPr>
          <w:trHeight w:val="315"/>
        </w:trPr>
        <w:tc>
          <w:tcPr>
            <w:tcW w:w="812" w:type="dxa"/>
            <w:vAlign w:val="center"/>
            <w:hideMark/>
          </w:tcPr>
          <w:p w14:paraId="3F62A0B3" w14:textId="77777777" w:rsidR="00746E08" w:rsidRPr="003C786B" w:rsidRDefault="00746E08"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27C42F69" w:rsidR="00746E08" w:rsidRPr="003C786B" w:rsidRDefault="00644C0A"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Cristian Andrés Díaz Díez</w:t>
            </w:r>
          </w:p>
          <w:p w14:paraId="51C325E7" w14:textId="60CAB374" w:rsidR="00746E08" w:rsidRPr="003C786B" w:rsidRDefault="00644C0A"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Contratista</w:t>
            </w:r>
          </w:p>
        </w:tc>
      </w:tr>
      <w:tr w:rsidR="003C786B" w:rsidRPr="003C786B" w14:paraId="10BC78E8" w14:textId="77777777" w:rsidTr="009E1BE1">
        <w:trPr>
          <w:trHeight w:val="330"/>
        </w:trPr>
        <w:tc>
          <w:tcPr>
            <w:tcW w:w="812" w:type="dxa"/>
            <w:vAlign w:val="center"/>
            <w:hideMark/>
          </w:tcPr>
          <w:p w14:paraId="6A7DBF66" w14:textId="77777777" w:rsidR="00746E08" w:rsidRPr="003C786B" w:rsidRDefault="00746E08"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3C786B" w:rsidRDefault="00746E08"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Fabián Gonzalo Marín Cortés</w:t>
            </w:r>
          </w:p>
          <w:p w14:paraId="19E8BD8D" w14:textId="69868F8E" w:rsidR="00746E08" w:rsidRPr="003C786B" w:rsidRDefault="00746E08"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Subdirector de Gestión Contractual</w:t>
            </w:r>
          </w:p>
        </w:tc>
      </w:tr>
      <w:tr w:rsidR="00746E08" w:rsidRPr="003C786B" w14:paraId="50741B38" w14:textId="77777777" w:rsidTr="009E1BE1">
        <w:trPr>
          <w:trHeight w:val="300"/>
        </w:trPr>
        <w:tc>
          <w:tcPr>
            <w:tcW w:w="812" w:type="dxa"/>
            <w:vAlign w:val="center"/>
            <w:hideMark/>
          </w:tcPr>
          <w:p w14:paraId="297715FA" w14:textId="77777777" w:rsidR="00746E08" w:rsidRPr="003C786B" w:rsidRDefault="00746E08"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3C786B" w:rsidRDefault="00746E08"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Fabián Gonzalo Marín Cortés</w:t>
            </w:r>
          </w:p>
          <w:p w14:paraId="17847B1F" w14:textId="71EB0D70" w:rsidR="00746E08" w:rsidRPr="003C786B" w:rsidRDefault="00746E08" w:rsidP="00F23E3A">
            <w:pPr>
              <w:spacing w:line="276" w:lineRule="auto"/>
              <w:rPr>
                <w:rFonts w:ascii="Arial" w:eastAsia="Times New Roman" w:hAnsi="Arial" w:cs="Arial"/>
                <w:sz w:val="16"/>
                <w:szCs w:val="16"/>
                <w:lang w:eastAsia="es-ES"/>
              </w:rPr>
            </w:pPr>
            <w:r w:rsidRPr="003C786B">
              <w:rPr>
                <w:rFonts w:ascii="Arial" w:eastAsia="Times New Roman" w:hAnsi="Arial" w:cs="Arial"/>
                <w:sz w:val="16"/>
                <w:szCs w:val="16"/>
                <w:lang w:eastAsia="es-ES"/>
              </w:rPr>
              <w:t>Subdirector de Gestión Contractual</w:t>
            </w:r>
          </w:p>
        </w:tc>
      </w:tr>
    </w:tbl>
    <w:p w14:paraId="35B56F46" w14:textId="77777777" w:rsidR="00746E08" w:rsidRPr="003C786B" w:rsidRDefault="00746E08" w:rsidP="00F23E3A">
      <w:pPr>
        <w:spacing w:line="276" w:lineRule="auto"/>
        <w:rPr>
          <w:rFonts w:ascii="Arial" w:eastAsia="Times New Roman" w:hAnsi="Arial" w:cs="Arial"/>
          <w:sz w:val="16"/>
          <w:szCs w:val="16"/>
          <w:lang w:eastAsia="es-ES"/>
        </w:rPr>
      </w:pPr>
    </w:p>
    <w:sectPr w:rsidR="00746E08" w:rsidRPr="003C786B"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BBC50" w14:textId="77777777" w:rsidR="00F53573" w:rsidRDefault="00F53573">
      <w:r>
        <w:separator/>
      </w:r>
    </w:p>
  </w:endnote>
  <w:endnote w:type="continuationSeparator" w:id="0">
    <w:p w14:paraId="6CA3196C" w14:textId="77777777" w:rsidR="00F53573" w:rsidRDefault="00F5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Default="008217B7" w:rsidP="00322937">
    <w:pPr>
      <w:pStyle w:val="Sinespaciado"/>
      <w:jc w:val="right"/>
      <w:rPr>
        <w:rFonts w:ascii="Arial" w:hAnsi="Arial" w:cs="Arial"/>
        <w:sz w:val="18"/>
        <w:szCs w:val="18"/>
      </w:rPr>
    </w:pPr>
  </w:p>
  <w:p w14:paraId="7A3785F3" w14:textId="53F0F19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334152">
      <w:rPr>
        <w:rFonts w:ascii="Arial" w:hAnsi="Arial" w:cs="Arial"/>
        <w:b/>
        <w:bCs/>
        <w:noProof/>
        <w:color w:val="7F7F7F" w:themeColor="text1" w:themeTint="80"/>
        <w:sz w:val="16"/>
        <w:szCs w:val="16"/>
      </w:rPr>
      <w:t>16</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334152">
      <w:rPr>
        <w:rFonts w:ascii="Arial" w:hAnsi="Arial" w:cs="Arial"/>
        <w:b/>
        <w:bCs/>
        <w:noProof/>
        <w:color w:val="7F7F7F" w:themeColor="text1" w:themeTint="80"/>
        <w:sz w:val="16"/>
        <w:szCs w:val="16"/>
      </w:rPr>
      <w:t>16</w:t>
    </w:r>
    <w:r w:rsidR="00FE42ED" w:rsidRPr="00084B97">
      <w:rPr>
        <w:rFonts w:ascii="Arial" w:hAnsi="Arial" w:cs="Arial"/>
        <w:b/>
        <w:bCs/>
        <w:color w:val="7F7F7F" w:themeColor="text1" w:themeTint="80"/>
        <w:sz w:val="16"/>
        <w:szCs w:val="16"/>
      </w:rPr>
      <w:fldChar w:fldCharType="end"/>
    </w:r>
  </w:p>
  <w:p w14:paraId="48FC6A04" w14:textId="5FD1A7C9" w:rsidR="009047C5" w:rsidRDefault="3F5DE051" w:rsidP="00322937">
    <w:pPr>
      <w:pStyle w:val="Piedepgina"/>
      <w:jc w:val="center"/>
      <w:rPr>
        <w:lang w:val="es-ES"/>
      </w:rPr>
    </w:pPr>
    <w:r>
      <w:rPr>
        <w:noProof/>
      </w:rPr>
      <w:drawing>
        <wp:inline distT="0" distB="0" distL="0" distR="0" wp14:anchorId="608B196D" wp14:editId="7C604DB4">
          <wp:extent cx="3700130" cy="519139"/>
          <wp:effectExtent l="0" t="0" r="0" b="0"/>
          <wp:docPr id="19876757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EAA36" w14:textId="77777777" w:rsidR="00F53573" w:rsidRDefault="00F53573">
      <w:r>
        <w:separator/>
      </w:r>
    </w:p>
  </w:footnote>
  <w:footnote w:type="continuationSeparator" w:id="0">
    <w:p w14:paraId="2F536542" w14:textId="77777777" w:rsidR="00F53573" w:rsidRDefault="00F53573">
      <w:r>
        <w:continuationSeparator/>
      </w:r>
    </w:p>
  </w:footnote>
  <w:footnote w:id="1">
    <w:p w14:paraId="05E5404E" w14:textId="77777777" w:rsidR="0096318D" w:rsidRPr="003C786B" w:rsidRDefault="0096318D" w:rsidP="00E06E08">
      <w:pPr>
        <w:pStyle w:val="Textonotapie"/>
        <w:ind w:firstLine="709"/>
        <w:jc w:val="both"/>
        <w:rPr>
          <w:rFonts w:ascii="Arial" w:hAnsi="Arial" w:cs="Arial"/>
          <w:sz w:val="19"/>
          <w:szCs w:val="19"/>
        </w:rPr>
      </w:pPr>
      <w:r w:rsidRPr="003C786B">
        <w:rPr>
          <w:rStyle w:val="Refdenotaalpie"/>
          <w:rFonts w:ascii="Arial" w:hAnsi="Arial" w:cs="Arial"/>
          <w:sz w:val="19"/>
          <w:szCs w:val="19"/>
        </w:rPr>
        <w:footnoteRef/>
      </w:r>
      <w:r w:rsidRPr="003C786B">
        <w:rPr>
          <w:rFonts w:ascii="Arial" w:hAnsi="Arial" w:cs="Arial"/>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46E09161" w14:textId="77777777" w:rsidR="0096318D" w:rsidRPr="003C786B" w:rsidRDefault="0096318D" w:rsidP="00E06E08">
      <w:pPr>
        <w:pStyle w:val="Textonotapie"/>
        <w:ind w:firstLine="709"/>
        <w:jc w:val="both"/>
        <w:rPr>
          <w:rFonts w:ascii="Arial" w:hAnsi="Arial" w:cs="Arial"/>
          <w:sz w:val="19"/>
          <w:szCs w:val="19"/>
        </w:rPr>
      </w:pPr>
      <w:proofErr w:type="gramStart"/>
      <w:r w:rsidRPr="003C786B">
        <w:rPr>
          <w:rFonts w:ascii="Arial" w:hAnsi="Arial" w:cs="Arial"/>
          <w:sz w:val="19"/>
          <w:szCs w:val="19"/>
        </w:rPr>
        <w:t>»Las</w:t>
      </w:r>
      <w:proofErr w:type="gramEnd"/>
      <w:r w:rsidRPr="003C786B">
        <w:rPr>
          <w:rFonts w:ascii="Arial" w:hAnsi="Arial" w:cs="Arial"/>
          <w:sz w:val="19"/>
          <w:szCs w:val="19"/>
        </w:rPr>
        <w:t xml:space="preserve"> personas jurídicas nacionales y extranjeras deberán acreditar que su duración no será inferior a la del plazo del contrato y un año más».</w:t>
      </w:r>
    </w:p>
    <w:p w14:paraId="3036140D" w14:textId="77777777" w:rsidR="0096318D" w:rsidRPr="003C786B" w:rsidRDefault="0096318D" w:rsidP="00E06E08">
      <w:pPr>
        <w:pStyle w:val="Textonotapie"/>
        <w:ind w:firstLine="709"/>
        <w:jc w:val="both"/>
        <w:rPr>
          <w:rFonts w:ascii="Arial" w:hAnsi="Arial" w:cs="Arial"/>
          <w:sz w:val="19"/>
          <w:szCs w:val="19"/>
        </w:rPr>
      </w:pPr>
    </w:p>
  </w:footnote>
  <w:footnote w:id="2">
    <w:p w14:paraId="25ABFA16" w14:textId="77777777" w:rsidR="0096318D" w:rsidRPr="003C786B" w:rsidRDefault="0096318D" w:rsidP="00E06E08">
      <w:pPr>
        <w:pStyle w:val="Textonotapie"/>
        <w:ind w:firstLine="709"/>
        <w:jc w:val="both"/>
        <w:rPr>
          <w:rFonts w:ascii="Arial" w:hAnsi="Arial" w:cs="Arial"/>
          <w:sz w:val="19"/>
          <w:szCs w:val="19"/>
        </w:rPr>
      </w:pPr>
      <w:r w:rsidRPr="003C786B">
        <w:rPr>
          <w:rStyle w:val="Refdenotaalpie"/>
          <w:rFonts w:ascii="Arial" w:hAnsi="Arial" w:cs="Arial"/>
          <w:sz w:val="19"/>
          <w:szCs w:val="19"/>
        </w:rPr>
        <w:footnoteRef/>
      </w:r>
      <w:r w:rsidRPr="003C786B">
        <w:rPr>
          <w:rFonts w:ascii="Arial" w:hAnsi="Arial" w:cs="Arial"/>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51A5DCC8" w14:textId="77777777" w:rsidR="0096318D" w:rsidRPr="003C786B" w:rsidRDefault="0096318D" w:rsidP="00E06E08">
      <w:pPr>
        <w:pStyle w:val="Textonotapie"/>
        <w:ind w:firstLine="709"/>
        <w:jc w:val="both"/>
        <w:rPr>
          <w:rFonts w:ascii="Arial" w:hAnsi="Arial" w:cs="Arial"/>
          <w:sz w:val="19"/>
          <w:szCs w:val="19"/>
        </w:rPr>
      </w:pPr>
      <w:proofErr w:type="gramStart"/>
      <w:r w:rsidRPr="003C786B">
        <w:rPr>
          <w:rFonts w:ascii="Arial" w:hAnsi="Arial" w:cs="Arial"/>
          <w:sz w:val="19"/>
          <w:szCs w:val="19"/>
        </w:rPr>
        <w:t>»1o.</w:t>
      </w:r>
      <w:proofErr w:type="gramEnd"/>
      <w:r w:rsidRPr="003C786B">
        <w:rPr>
          <w:rFonts w:ascii="Arial" w:hAnsi="Arial" w:cs="Arial"/>
          <w:sz w:val="19"/>
          <w:szCs w:val="19"/>
        </w:rPr>
        <w:t>) que sea legalmente capaz.</w:t>
      </w:r>
    </w:p>
    <w:p w14:paraId="6313C6BC" w14:textId="77777777" w:rsidR="0096318D" w:rsidRPr="003C786B" w:rsidRDefault="0096318D" w:rsidP="00E06E08">
      <w:pPr>
        <w:pStyle w:val="Textonotapie"/>
        <w:ind w:firstLine="709"/>
        <w:jc w:val="both"/>
        <w:rPr>
          <w:rFonts w:ascii="Arial" w:hAnsi="Arial" w:cs="Arial"/>
          <w:sz w:val="19"/>
          <w:szCs w:val="19"/>
        </w:rPr>
      </w:pPr>
      <w:r w:rsidRPr="003C786B">
        <w:rPr>
          <w:rFonts w:ascii="Arial" w:hAnsi="Arial" w:cs="Arial"/>
          <w:sz w:val="19"/>
          <w:szCs w:val="19"/>
        </w:rPr>
        <w:t>[…]</w:t>
      </w:r>
    </w:p>
    <w:p w14:paraId="08BC1196" w14:textId="77777777" w:rsidR="0096318D" w:rsidRPr="003C786B" w:rsidRDefault="0096318D" w:rsidP="00E06E08">
      <w:pPr>
        <w:pStyle w:val="Textonotapie"/>
        <w:ind w:firstLine="709"/>
        <w:jc w:val="both"/>
        <w:rPr>
          <w:rFonts w:ascii="Arial" w:hAnsi="Arial" w:cs="Arial"/>
          <w:sz w:val="19"/>
          <w:szCs w:val="19"/>
        </w:rPr>
      </w:pPr>
      <w:proofErr w:type="gramStart"/>
      <w:r w:rsidRPr="003C786B">
        <w:rPr>
          <w:rFonts w:ascii="Arial" w:hAnsi="Arial" w:cs="Arial"/>
          <w:sz w:val="19"/>
          <w:szCs w:val="19"/>
        </w:rPr>
        <w:t>»La</w:t>
      </w:r>
      <w:proofErr w:type="gramEnd"/>
      <w:r w:rsidRPr="003C786B">
        <w:rPr>
          <w:rFonts w:ascii="Arial" w:hAnsi="Arial" w:cs="Arial"/>
          <w:sz w:val="19"/>
          <w:szCs w:val="19"/>
        </w:rPr>
        <w:t xml:space="preserve"> capacidad legal de una persona consiste en poderse obligar por sí misma, sin el ministerio o la autorización de otra».</w:t>
      </w:r>
    </w:p>
    <w:p w14:paraId="31FB6190" w14:textId="77777777" w:rsidR="0096318D" w:rsidRPr="003C786B" w:rsidRDefault="0096318D" w:rsidP="00E06E08">
      <w:pPr>
        <w:pStyle w:val="Textonotapie"/>
        <w:ind w:firstLine="709"/>
        <w:jc w:val="both"/>
        <w:rPr>
          <w:rFonts w:ascii="Arial" w:hAnsi="Arial" w:cs="Arial"/>
          <w:sz w:val="19"/>
          <w:szCs w:val="19"/>
          <w:lang w:val="es-CO"/>
        </w:rPr>
      </w:pPr>
    </w:p>
  </w:footnote>
  <w:footnote w:id="3">
    <w:p w14:paraId="13DAA263" w14:textId="77777777" w:rsidR="0096318D" w:rsidRPr="003C786B" w:rsidRDefault="0096318D"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Los incisos 1 y 2 de dicho artículo disponen: </w:t>
      </w:r>
      <w:r w:rsidRPr="003C786B">
        <w:rPr>
          <w:rFonts w:ascii="Arial" w:hAnsi="Arial" w:cs="Arial"/>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59477F9" w14:textId="77777777" w:rsidR="0096318D" w:rsidRPr="003C786B" w:rsidRDefault="0096318D"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BCB5449" w14:textId="77777777" w:rsidR="0096318D" w:rsidRPr="003C786B" w:rsidRDefault="0096318D" w:rsidP="00E06E08">
      <w:pPr>
        <w:pStyle w:val="Textonotapie"/>
        <w:ind w:firstLine="709"/>
        <w:jc w:val="both"/>
        <w:rPr>
          <w:rFonts w:ascii="Arial" w:hAnsi="Arial" w:cs="Arial"/>
          <w:sz w:val="19"/>
          <w:szCs w:val="19"/>
          <w:lang w:val="es-CO"/>
        </w:rPr>
      </w:pPr>
    </w:p>
  </w:footnote>
  <w:footnote w:id="4">
    <w:p w14:paraId="726D63A3" w14:textId="77777777" w:rsidR="0096318D" w:rsidRPr="003C786B" w:rsidRDefault="0096318D"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3C786B">
        <w:rPr>
          <w:rFonts w:ascii="Arial" w:hAnsi="Arial" w:cs="Arial"/>
          <w:i/>
          <w:iCs/>
          <w:sz w:val="19"/>
          <w:szCs w:val="19"/>
          <w:lang w:val="es-ES"/>
        </w:rPr>
        <w:t>el régimen de inhabilidades e incompatibilidades</w:t>
      </w:r>
      <w:r w:rsidRPr="003C786B">
        <w:rPr>
          <w:rFonts w:ascii="Arial" w:hAnsi="Arial" w:cs="Arial"/>
          <w:sz w:val="19"/>
          <w:szCs w:val="19"/>
          <w:lang w:val="es-ES"/>
        </w:rPr>
        <w:t xml:space="preserve"> (1) y la obligación de ciertos proponentes de inscribirse en el </w:t>
      </w:r>
      <w:r w:rsidRPr="003C786B">
        <w:rPr>
          <w:rFonts w:ascii="Arial" w:hAnsi="Arial" w:cs="Arial"/>
          <w:i/>
          <w:iCs/>
          <w:sz w:val="19"/>
          <w:szCs w:val="19"/>
          <w:lang w:val="es-ES"/>
        </w:rPr>
        <w:t>registro único</w:t>
      </w:r>
      <w:r w:rsidRPr="003C786B">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69944C70" w14:textId="77777777" w:rsidR="0096318D" w:rsidRPr="003C786B" w:rsidRDefault="0096318D" w:rsidP="00E06E08">
      <w:pPr>
        <w:pStyle w:val="Textonotapie"/>
        <w:ind w:firstLine="709"/>
        <w:jc w:val="both"/>
        <w:rPr>
          <w:rFonts w:ascii="Arial" w:hAnsi="Arial" w:cs="Arial"/>
          <w:sz w:val="19"/>
          <w:szCs w:val="19"/>
          <w:lang w:val="es-ES"/>
        </w:rPr>
      </w:pPr>
    </w:p>
  </w:footnote>
  <w:footnote w:id="5">
    <w:p w14:paraId="79455800" w14:textId="77777777" w:rsidR="0096318D" w:rsidRPr="003C786B" w:rsidRDefault="0096318D" w:rsidP="00E06E08">
      <w:pPr>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b, Ley 80/93); «Quienes dieron lugar a la declaratoria de caducidad»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d), Ley 80/93); «Quienes sin justa causa se abstengan de suscribir el contrato estatal adjudicado»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a), b) y c), Ley 1474/11, modificado por el art. 43, Ley 1955/19).</w:t>
      </w:r>
    </w:p>
    <w:p w14:paraId="744DE6BE" w14:textId="77777777" w:rsidR="0096318D" w:rsidRPr="003C786B" w:rsidRDefault="0096318D" w:rsidP="00E06E08">
      <w:pPr>
        <w:ind w:firstLine="709"/>
        <w:jc w:val="both"/>
        <w:rPr>
          <w:rFonts w:ascii="Arial" w:hAnsi="Arial" w:cs="Arial"/>
          <w:sz w:val="19"/>
          <w:szCs w:val="19"/>
          <w:lang w:val="es-ES"/>
        </w:rPr>
      </w:pPr>
    </w:p>
  </w:footnote>
  <w:footnote w:id="6">
    <w:p w14:paraId="6B99F2D8" w14:textId="77777777" w:rsidR="0096318D" w:rsidRPr="003C786B" w:rsidRDefault="0096318D"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2º,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2º,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2º,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d), Ley 80/93).</w:t>
      </w:r>
    </w:p>
    <w:p w14:paraId="0C0630FF" w14:textId="77777777" w:rsidR="0096318D" w:rsidRPr="003C786B" w:rsidRDefault="0096318D" w:rsidP="00E06E08">
      <w:pPr>
        <w:pStyle w:val="Textonotapie"/>
        <w:ind w:firstLine="709"/>
        <w:jc w:val="both"/>
        <w:rPr>
          <w:rFonts w:ascii="Arial" w:hAnsi="Arial" w:cs="Arial"/>
          <w:sz w:val="19"/>
          <w:szCs w:val="19"/>
          <w:lang w:val="es-CO"/>
        </w:rPr>
      </w:pPr>
    </w:p>
  </w:footnote>
  <w:footnote w:id="7">
    <w:p w14:paraId="64926919" w14:textId="77777777" w:rsidR="0096318D" w:rsidRPr="003C786B" w:rsidRDefault="0096318D"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k), Ley 80/93, modificado por el art. 33, Ley 1778/16); «Quienes fueron miembros de la junta o consejo directivo o servidores públicos de la entidad contratante»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2º,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2º,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f), Ley 80/93, adicionado por el art. 4º, Ley 1474/2011) [a pesar de que la norma la califica como una incompatibilidad, en realidad se trata de una inhabilidad, ya que en dicha causal no existe concurrencia de calidades en un sujeto]. </w:t>
      </w:r>
    </w:p>
    <w:p w14:paraId="5FD6C257" w14:textId="77777777" w:rsidR="0096318D" w:rsidRPr="003C786B" w:rsidRDefault="0096318D" w:rsidP="00E06E08">
      <w:pPr>
        <w:pStyle w:val="Textonotapie"/>
        <w:ind w:firstLine="709"/>
        <w:jc w:val="both"/>
        <w:rPr>
          <w:rFonts w:ascii="Arial" w:hAnsi="Arial" w:cs="Arial"/>
          <w:sz w:val="19"/>
          <w:szCs w:val="19"/>
          <w:lang w:val="es-CO"/>
        </w:rPr>
      </w:pPr>
      <w:r w:rsidRPr="003C786B">
        <w:rPr>
          <w:rFonts w:ascii="Arial" w:hAnsi="Arial" w:cs="Arial"/>
          <w:sz w:val="19"/>
          <w:szCs w:val="19"/>
          <w:lang w:val="es-ES"/>
        </w:rPr>
        <w:t xml:space="preserve">  </w:t>
      </w:r>
    </w:p>
  </w:footnote>
  <w:footnote w:id="8">
    <w:p w14:paraId="4CEA70C7" w14:textId="77777777" w:rsidR="0096318D" w:rsidRPr="003C786B" w:rsidRDefault="0096318D" w:rsidP="00E06E08">
      <w:pPr>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Como las señaladas a continuación: «Los servidores públicos»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1º,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2º,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3C786B">
        <w:rPr>
          <w:rFonts w:ascii="Arial" w:hAnsi="Arial" w:cs="Arial"/>
          <w:sz w:val="19"/>
          <w:szCs w:val="19"/>
          <w:lang w:val="es-ES"/>
        </w:rPr>
        <w:t>num</w:t>
      </w:r>
      <w:proofErr w:type="spellEnd"/>
      <w:r w:rsidRPr="003C786B">
        <w:rPr>
          <w:rFonts w:ascii="Arial" w:hAnsi="Arial" w:cs="Arial"/>
          <w:sz w:val="19"/>
          <w:szCs w:val="19"/>
          <w:lang w:val="es-ES"/>
        </w:rPr>
        <w:t xml:space="preserve">. 2º, </w:t>
      </w:r>
      <w:proofErr w:type="spellStart"/>
      <w:r w:rsidRPr="003C786B">
        <w:rPr>
          <w:rFonts w:ascii="Arial" w:hAnsi="Arial" w:cs="Arial"/>
          <w:sz w:val="19"/>
          <w:szCs w:val="19"/>
          <w:lang w:val="es-ES"/>
        </w:rPr>
        <w:t>lit.</w:t>
      </w:r>
      <w:proofErr w:type="spellEnd"/>
      <w:r w:rsidRPr="003C786B">
        <w:rPr>
          <w:rFonts w:ascii="Arial" w:hAnsi="Arial" w:cs="Arial"/>
          <w:sz w:val="19"/>
          <w:szCs w:val="19"/>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3C786B">
        <w:rPr>
          <w:rFonts w:ascii="Arial" w:hAnsi="Arial" w:cs="Arial"/>
          <w:sz w:val="19"/>
          <w:szCs w:val="19"/>
          <w:lang w:val="es-ES"/>
        </w:rPr>
        <w:t>consaguinidad</w:t>
      </w:r>
      <w:proofErr w:type="spellEnd"/>
      <w:r w:rsidRPr="003C786B">
        <w:rPr>
          <w:rFonts w:ascii="Arial" w:hAnsi="Arial" w:cs="Arial"/>
          <w:sz w:val="19"/>
          <w:szCs w:val="19"/>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58F54EB8" w14:textId="77777777" w:rsidR="0096318D" w:rsidRPr="003C786B" w:rsidRDefault="0096318D" w:rsidP="00E06E08">
      <w:pPr>
        <w:ind w:firstLine="709"/>
        <w:jc w:val="both"/>
        <w:rPr>
          <w:rFonts w:ascii="Arial" w:hAnsi="Arial" w:cs="Arial"/>
          <w:sz w:val="19"/>
          <w:szCs w:val="19"/>
          <w:lang w:val="es-ES"/>
        </w:rPr>
      </w:pPr>
    </w:p>
  </w:footnote>
  <w:footnote w:id="9">
    <w:p w14:paraId="55D9CD2C" w14:textId="77777777" w:rsidR="0096318D" w:rsidRPr="003C786B" w:rsidRDefault="0096318D"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BARRETO ROZO, Antonio Alejandro. Inhabilidades de la contratación estatal, efectos y </w:t>
      </w:r>
      <w:proofErr w:type="spellStart"/>
      <w:r w:rsidRPr="003C786B">
        <w:rPr>
          <w:rFonts w:ascii="Arial" w:hAnsi="Arial" w:cs="Arial"/>
          <w:sz w:val="19"/>
          <w:szCs w:val="19"/>
          <w:lang w:val="es-ES"/>
        </w:rPr>
        <w:t>neopunitivismo</w:t>
      </w:r>
      <w:proofErr w:type="spellEnd"/>
      <w:r w:rsidRPr="003C786B">
        <w:rPr>
          <w:rFonts w:ascii="Arial" w:hAnsi="Arial" w:cs="Arial"/>
          <w:sz w:val="19"/>
          <w:szCs w:val="19"/>
          <w:lang w:val="es-ES"/>
        </w:rPr>
        <w:t xml:space="preserve"> en el Estatuto Anticorrupción. En: ALVIAR GARCÍA, Helena (Coordinadora). Nuevas tendencias del Derecho administrativo. Bogotá: Universidad de los Andes; Temis, 2016. pp. 63-99.</w:t>
      </w:r>
    </w:p>
    <w:p w14:paraId="1FA0F325" w14:textId="77777777" w:rsidR="0096318D" w:rsidRPr="003C786B" w:rsidRDefault="0096318D" w:rsidP="00E06E08">
      <w:pPr>
        <w:pStyle w:val="Textonotapie"/>
        <w:ind w:firstLine="709"/>
        <w:jc w:val="both"/>
        <w:rPr>
          <w:rFonts w:ascii="Arial" w:hAnsi="Arial" w:cs="Arial"/>
          <w:sz w:val="19"/>
          <w:szCs w:val="19"/>
          <w:lang w:val="es-ES"/>
        </w:rPr>
      </w:pPr>
    </w:p>
  </w:footnote>
  <w:footnote w:id="10">
    <w:p w14:paraId="7C9C83F7" w14:textId="77777777" w:rsidR="0096318D" w:rsidRPr="003C786B" w:rsidRDefault="0096318D"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proofErr w:type="spellStart"/>
      <w:r w:rsidRPr="003C786B">
        <w:rPr>
          <w:rFonts w:ascii="Arial" w:hAnsi="Arial" w:cs="Arial"/>
          <w:sz w:val="19"/>
          <w:szCs w:val="19"/>
          <w:lang w:val="es-ES"/>
        </w:rPr>
        <w:t>Ibíd</w:t>
      </w:r>
      <w:proofErr w:type="spellEnd"/>
      <w:r w:rsidRPr="003C786B">
        <w:rPr>
          <w:rFonts w:ascii="Arial" w:hAnsi="Arial" w:cs="Arial"/>
          <w:sz w:val="19"/>
          <w:szCs w:val="19"/>
          <w:lang w:val="es-ES"/>
        </w:rPr>
        <w:t>., p. 69.</w:t>
      </w:r>
    </w:p>
    <w:p w14:paraId="1B7F9D68" w14:textId="77777777" w:rsidR="0096318D" w:rsidRPr="003C786B" w:rsidRDefault="0096318D" w:rsidP="00E06E08">
      <w:pPr>
        <w:pStyle w:val="Textonotapie"/>
        <w:ind w:firstLine="709"/>
        <w:jc w:val="both"/>
        <w:rPr>
          <w:rFonts w:ascii="Arial" w:hAnsi="Arial" w:cs="Arial"/>
          <w:sz w:val="19"/>
          <w:szCs w:val="19"/>
          <w:lang w:val="es-ES"/>
        </w:rPr>
      </w:pPr>
    </w:p>
  </w:footnote>
  <w:footnote w:id="11">
    <w:p w14:paraId="09C6703B" w14:textId="77777777" w:rsidR="0096318D" w:rsidRPr="003C786B" w:rsidRDefault="0096318D"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1CCC4BEC" w14:textId="77777777" w:rsidR="0096318D" w:rsidRPr="003C786B" w:rsidRDefault="0096318D" w:rsidP="00E06E08">
      <w:pPr>
        <w:pStyle w:val="Textonotapie"/>
        <w:ind w:firstLine="709"/>
        <w:jc w:val="both"/>
        <w:rPr>
          <w:rFonts w:ascii="Arial" w:hAnsi="Arial" w:cs="Arial"/>
          <w:sz w:val="19"/>
          <w:szCs w:val="19"/>
          <w:lang w:val="es-ES"/>
        </w:rPr>
      </w:pPr>
    </w:p>
  </w:footnote>
  <w:footnote w:id="12">
    <w:p w14:paraId="648950F5" w14:textId="77777777" w:rsidR="0096318D" w:rsidRPr="003C786B" w:rsidRDefault="0096318D"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Consejo de Estado. Sala de Consulta y Servicio Civil. Concepto del 30 de abril de 2015. Expediente: 2251. Consejero Ponente: Álvaro </w:t>
      </w:r>
      <w:proofErr w:type="spellStart"/>
      <w:r w:rsidRPr="003C786B">
        <w:rPr>
          <w:rFonts w:ascii="Arial" w:hAnsi="Arial" w:cs="Arial"/>
          <w:sz w:val="19"/>
          <w:szCs w:val="19"/>
          <w:lang w:val="es-ES"/>
        </w:rPr>
        <w:t>Namén</w:t>
      </w:r>
      <w:proofErr w:type="spellEnd"/>
      <w:r w:rsidRPr="003C786B">
        <w:rPr>
          <w:rFonts w:ascii="Arial" w:hAnsi="Arial" w:cs="Arial"/>
          <w:sz w:val="19"/>
          <w:szCs w:val="19"/>
          <w:lang w:val="es-ES"/>
        </w:rPr>
        <w:t xml:space="preserve"> Vargas.</w:t>
      </w:r>
    </w:p>
    <w:p w14:paraId="02F3B800" w14:textId="77777777" w:rsidR="0096318D" w:rsidRPr="003C786B" w:rsidRDefault="0096318D" w:rsidP="00E06E08">
      <w:pPr>
        <w:pStyle w:val="Textonotapie"/>
        <w:ind w:firstLine="709"/>
        <w:jc w:val="both"/>
        <w:rPr>
          <w:rFonts w:ascii="Arial" w:hAnsi="Arial" w:cs="Arial"/>
          <w:sz w:val="19"/>
          <w:szCs w:val="19"/>
          <w:lang w:val="es-ES"/>
        </w:rPr>
      </w:pPr>
    </w:p>
  </w:footnote>
  <w:footnote w:id="13">
    <w:p w14:paraId="5AE6882D" w14:textId="77777777" w:rsidR="0096318D" w:rsidRPr="003C786B" w:rsidRDefault="0096318D" w:rsidP="00E06E08">
      <w:pPr>
        <w:pStyle w:val="Textonotapie"/>
        <w:ind w:firstLine="709"/>
        <w:jc w:val="both"/>
        <w:rPr>
          <w:rFonts w:ascii="Arial" w:hAnsi="Arial" w:cs="Arial"/>
          <w:sz w:val="19"/>
          <w:szCs w:val="19"/>
        </w:rPr>
      </w:pPr>
      <w:r w:rsidRPr="003C786B">
        <w:rPr>
          <w:rStyle w:val="Refdenotaalpie"/>
          <w:rFonts w:ascii="Arial" w:hAnsi="Arial" w:cs="Arial"/>
          <w:sz w:val="19"/>
          <w:szCs w:val="19"/>
        </w:rPr>
        <w:footnoteRef/>
      </w:r>
      <w:r w:rsidRPr="003C786B">
        <w:rPr>
          <w:rFonts w:ascii="Arial" w:hAnsi="Arial" w:cs="Arial"/>
          <w:sz w:val="19"/>
          <w:szCs w:val="19"/>
        </w:rPr>
        <w:t xml:space="preserve"> Consejo de Estado. Sección Tercera. Subsección A. Sentencia del 24 de junio de 2015. </w:t>
      </w:r>
      <w:proofErr w:type="spellStart"/>
      <w:r w:rsidRPr="003C786B">
        <w:rPr>
          <w:rFonts w:ascii="Arial" w:hAnsi="Arial" w:cs="Arial"/>
          <w:sz w:val="19"/>
          <w:szCs w:val="19"/>
        </w:rPr>
        <w:t>Exp</w:t>
      </w:r>
      <w:proofErr w:type="spellEnd"/>
      <w:r w:rsidRPr="003C786B">
        <w:rPr>
          <w:rFonts w:ascii="Arial" w:hAnsi="Arial" w:cs="Arial"/>
          <w:sz w:val="19"/>
          <w:szCs w:val="19"/>
        </w:rPr>
        <w:t>. 40.635. Consejero Ponente: Hernán Andrade Rincón (E).</w:t>
      </w:r>
    </w:p>
    <w:p w14:paraId="59031EAF" w14:textId="77777777" w:rsidR="0096318D" w:rsidRPr="003C786B" w:rsidRDefault="0096318D" w:rsidP="00E06E08">
      <w:pPr>
        <w:pStyle w:val="Textonotapie"/>
        <w:ind w:firstLine="709"/>
        <w:jc w:val="both"/>
        <w:rPr>
          <w:rFonts w:ascii="Arial" w:hAnsi="Arial" w:cs="Arial"/>
          <w:sz w:val="19"/>
          <w:szCs w:val="19"/>
          <w:lang w:val="es-ES"/>
        </w:rPr>
      </w:pPr>
    </w:p>
  </w:footnote>
  <w:footnote w:id="14">
    <w:p w14:paraId="67BD0579" w14:textId="122290E0" w:rsidR="0096318D" w:rsidRPr="003C786B" w:rsidRDefault="0096318D" w:rsidP="00E06E08">
      <w:pPr>
        <w:pStyle w:val="Textonotapie"/>
        <w:ind w:firstLine="709"/>
        <w:jc w:val="both"/>
        <w:rPr>
          <w:rFonts w:ascii="Arial" w:hAnsi="Arial" w:cs="Arial"/>
          <w:sz w:val="19"/>
          <w:szCs w:val="19"/>
        </w:rPr>
      </w:pPr>
      <w:r w:rsidRPr="003C786B">
        <w:rPr>
          <w:rStyle w:val="Refdenotaalpie"/>
          <w:rFonts w:ascii="Arial" w:hAnsi="Arial" w:cs="Arial"/>
          <w:sz w:val="19"/>
          <w:szCs w:val="19"/>
        </w:rPr>
        <w:footnoteRef/>
      </w:r>
      <w:r w:rsidRPr="003C786B">
        <w:rPr>
          <w:rFonts w:ascii="Arial" w:hAnsi="Arial" w:cs="Arial"/>
          <w:sz w:val="19"/>
          <w:szCs w:val="19"/>
        </w:rPr>
        <w:t xml:space="preserve"> Consejo de Estado. Sección Tercera. Subsección C. Sentencia del 22 de mayo de 2013. </w:t>
      </w:r>
      <w:proofErr w:type="spellStart"/>
      <w:r w:rsidRPr="003C786B">
        <w:rPr>
          <w:rFonts w:ascii="Arial" w:hAnsi="Arial" w:cs="Arial"/>
          <w:sz w:val="19"/>
          <w:szCs w:val="19"/>
        </w:rPr>
        <w:t>Exp</w:t>
      </w:r>
      <w:proofErr w:type="spellEnd"/>
      <w:r w:rsidRPr="003C786B">
        <w:rPr>
          <w:rFonts w:ascii="Arial" w:hAnsi="Arial" w:cs="Arial"/>
          <w:sz w:val="19"/>
          <w:szCs w:val="19"/>
        </w:rPr>
        <w:t xml:space="preserve">. 24.057. Consejera Ponente: Olga </w:t>
      </w:r>
      <w:proofErr w:type="spellStart"/>
      <w:r w:rsidRPr="003C786B">
        <w:rPr>
          <w:rFonts w:ascii="Arial" w:hAnsi="Arial" w:cs="Arial"/>
          <w:sz w:val="19"/>
          <w:szCs w:val="19"/>
        </w:rPr>
        <w:t>Melida</w:t>
      </w:r>
      <w:proofErr w:type="spellEnd"/>
      <w:r w:rsidRPr="003C786B">
        <w:rPr>
          <w:rFonts w:ascii="Arial" w:hAnsi="Arial" w:cs="Arial"/>
          <w:sz w:val="19"/>
          <w:szCs w:val="19"/>
        </w:rPr>
        <w:t xml:space="preserve"> Valle De </w:t>
      </w:r>
      <w:proofErr w:type="spellStart"/>
      <w:r w:rsidRPr="003C786B">
        <w:rPr>
          <w:rFonts w:ascii="Arial" w:hAnsi="Arial" w:cs="Arial"/>
          <w:sz w:val="19"/>
          <w:szCs w:val="19"/>
        </w:rPr>
        <w:t>De</w:t>
      </w:r>
      <w:proofErr w:type="spellEnd"/>
      <w:r w:rsidRPr="003C786B">
        <w:rPr>
          <w:rFonts w:ascii="Arial" w:hAnsi="Arial" w:cs="Arial"/>
          <w:sz w:val="19"/>
          <w:szCs w:val="19"/>
        </w:rPr>
        <w:t xml:space="preserve"> La Hoz.</w:t>
      </w:r>
    </w:p>
    <w:p w14:paraId="5987F45B" w14:textId="77777777" w:rsidR="0096318D" w:rsidRPr="003C786B" w:rsidRDefault="0096318D" w:rsidP="00E06E08">
      <w:pPr>
        <w:pStyle w:val="Textonotapie"/>
        <w:ind w:firstLine="709"/>
        <w:jc w:val="both"/>
        <w:rPr>
          <w:rFonts w:ascii="Arial" w:hAnsi="Arial" w:cs="Arial"/>
          <w:sz w:val="19"/>
          <w:szCs w:val="19"/>
          <w:lang w:val="es-ES"/>
        </w:rPr>
      </w:pPr>
    </w:p>
  </w:footnote>
  <w:footnote w:id="15">
    <w:p w14:paraId="52E1ED5F" w14:textId="77777777" w:rsidR="00F72043" w:rsidRPr="003C786B" w:rsidRDefault="00F72043" w:rsidP="00E06E08">
      <w:pPr>
        <w:pStyle w:val="Textonotapie"/>
        <w:ind w:firstLine="709"/>
        <w:jc w:val="both"/>
        <w:rPr>
          <w:rFonts w:ascii="Arial" w:hAnsi="Arial" w:cs="Arial"/>
          <w:sz w:val="19"/>
          <w:szCs w:val="19"/>
        </w:rPr>
      </w:pPr>
      <w:r w:rsidRPr="003C786B">
        <w:rPr>
          <w:rStyle w:val="Refdenotaalpie"/>
          <w:rFonts w:ascii="Arial" w:hAnsi="Arial" w:cs="Arial"/>
          <w:sz w:val="19"/>
          <w:szCs w:val="19"/>
        </w:rPr>
        <w:footnoteRef/>
      </w:r>
      <w:r w:rsidRPr="003C786B">
        <w:rPr>
          <w:rFonts w:ascii="Arial" w:hAnsi="Arial" w:cs="Arial"/>
          <w:sz w:val="19"/>
          <w:szCs w:val="19"/>
        </w:rPr>
        <w:t xml:space="preserve"> Decreto 1082 de 2015: «Artículo 2.2.1.1.2.1.1</w:t>
      </w:r>
      <w:r w:rsidRPr="003C786B">
        <w:rPr>
          <w:rFonts w:ascii="Arial" w:hAnsi="Arial" w:cs="Arial"/>
          <w:b/>
          <w:bCs/>
          <w:sz w:val="19"/>
          <w:szCs w:val="19"/>
        </w:rPr>
        <w:t>. </w:t>
      </w:r>
      <w:r w:rsidRPr="003C786B">
        <w:rPr>
          <w:rFonts w:ascii="Arial" w:hAnsi="Arial" w:cs="Arial"/>
          <w:bCs/>
          <w:iCs/>
          <w:sz w:val="19"/>
          <w:szCs w:val="19"/>
        </w:rPr>
        <w:t>Estudios y documentos previos</w:t>
      </w:r>
      <w:r w:rsidRPr="003C786B">
        <w:rPr>
          <w:rFonts w:ascii="Arial" w:hAnsi="Arial" w:cs="Arial"/>
          <w:b/>
          <w:bCs/>
          <w:i/>
          <w:iCs/>
          <w:sz w:val="19"/>
          <w:szCs w:val="19"/>
        </w:rPr>
        <w:t>.</w:t>
      </w:r>
      <w:r w:rsidRPr="003C786B">
        <w:rPr>
          <w:rFonts w:ascii="Arial" w:hAnsi="Arial" w:cs="Arial"/>
          <w:i/>
          <w:iCs/>
          <w:sz w:val="19"/>
          <w:szCs w:val="19"/>
        </w:rPr>
        <w:t> </w:t>
      </w:r>
      <w:r w:rsidRPr="003C786B">
        <w:rPr>
          <w:rFonts w:ascii="Arial" w:hAnsi="Arial" w:cs="Arial"/>
          <w:sz w:val="19"/>
          <w:szCs w:val="19"/>
        </w:rPr>
        <w:t>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w:t>
      </w:r>
    </w:p>
    <w:p w14:paraId="405C3951" w14:textId="77777777" w:rsidR="00F72043" w:rsidRPr="003C786B" w:rsidRDefault="00F72043" w:rsidP="00E06E08">
      <w:pPr>
        <w:pStyle w:val="Textonotapie"/>
        <w:ind w:firstLine="709"/>
        <w:jc w:val="both"/>
        <w:rPr>
          <w:rFonts w:ascii="Arial" w:hAnsi="Arial" w:cs="Arial"/>
          <w:sz w:val="19"/>
          <w:szCs w:val="19"/>
        </w:rPr>
      </w:pPr>
      <w:r w:rsidRPr="003C786B">
        <w:rPr>
          <w:rFonts w:ascii="Arial" w:hAnsi="Arial" w:cs="Arial"/>
          <w:sz w:val="19"/>
          <w:szCs w:val="19"/>
        </w:rPr>
        <w:t xml:space="preserve">»[…] </w:t>
      </w:r>
    </w:p>
    <w:p w14:paraId="4DE62FFF" w14:textId="73FF01F7" w:rsidR="00F72043" w:rsidRPr="003C786B" w:rsidRDefault="00F72043" w:rsidP="00E06E08">
      <w:pPr>
        <w:pStyle w:val="Textonotapie"/>
        <w:ind w:firstLine="709"/>
        <w:jc w:val="both"/>
        <w:rPr>
          <w:rFonts w:ascii="Arial" w:hAnsi="Arial" w:cs="Arial"/>
          <w:sz w:val="19"/>
          <w:szCs w:val="19"/>
        </w:rPr>
      </w:pPr>
      <w:r w:rsidRPr="003C786B">
        <w:rPr>
          <w:rFonts w:ascii="Arial" w:hAnsi="Arial" w:cs="Arial"/>
          <w:sz w:val="19"/>
          <w:szCs w:val="19"/>
        </w:rPr>
        <w:t xml:space="preserve">»2. </w:t>
      </w:r>
      <w:proofErr w:type="gramStart"/>
      <w:r w:rsidRPr="003C786B">
        <w:rPr>
          <w:rFonts w:ascii="Arial" w:hAnsi="Arial" w:cs="Arial"/>
          <w:sz w:val="19"/>
          <w:szCs w:val="19"/>
        </w:rPr>
        <w:t>El objeto a contratar</w:t>
      </w:r>
      <w:proofErr w:type="gramEnd"/>
      <w:r w:rsidRPr="003C786B">
        <w:rPr>
          <w:rFonts w:ascii="Arial" w:hAnsi="Arial" w:cs="Arial"/>
          <w:sz w:val="19"/>
          <w:szCs w:val="19"/>
        </w:rPr>
        <w:t>, con sus especificaciones, las autorizaciones, permisos y licen</w:t>
      </w:r>
      <w:r w:rsidRPr="003C786B">
        <w:rPr>
          <w:rFonts w:ascii="Arial" w:hAnsi="Arial" w:cs="Arial"/>
          <w:sz w:val="19"/>
          <w:szCs w:val="19"/>
        </w:rPr>
        <w:softHyphen/>
        <w:t>cias requeridos para su ejecución, y cuando el contrato incluye diseño y construcción, los documentos técnicos para el desarrollo del proyecto»</w:t>
      </w:r>
    </w:p>
  </w:footnote>
  <w:footnote w:id="16">
    <w:p w14:paraId="12CC2354" w14:textId="08D81445" w:rsidR="00F72043" w:rsidRPr="003C786B" w:rsidRDefault="00F72043"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«Las entidades y los servidores </w:t>
      </w:r>
      <w:proofErr w:type="gramStart"/>
      <w:r w:rsidRPr="003C786B">
        <w:rPr>
          <w:rFonts w:ascii="Arial" w:hAnsi="Arial" w:cs="Arial"/>
          <w:sz w:val="19"/>
          <w:szCs w:val="19"/>
          <w:lang w:val="es-ES"/>
        </w:rPr>
        <w:t>públicos,</w:t>
      </w:r>
      <w:proofErr w:type="gramEnd"/>
      <w:r w:rsidRPr="003C786B">
        <w:rPr>
          <w:rFonts w:ascii="Arial" w:hAnsi="Arial" w:cs="Arial"/>
          <w:sz w:val="19"/>
          <w:szCs w:val="19"/>
          <w:lang w:val="es-ES"/>
        </w:rPr>
        <w:t xml:space="preserve"> responderán cuando hubieren abierto licitaciones sin haber elaborado previamente los correspondientes pliegos de condiciones, diseños, estudios, planos y evaluaciones que fueren necesarios, o cuando los pliegos de condiciones hayan sido elaborados en forma incompleta, ambigua o confusa que conduzcan a interpretaciones o decisiones de carácter subjetivo por parte de aquellos».</w:t>
      </w:r>
    </w:p>
    <w:p w14:paraId="648E5270" w14:textId="77777777" w:rsidR="00660B1A" w:rsidRPr="003C786B" w:rsidRDefault="00660B1A" w:rsidP="00E06E08">
      <w:pPr>
        <w:pStyle w:val="Textonotapie"/>
        <w:ind w:firstLine="709"/>
        <w:jc w:val="both"/>
        <w:rPr>
          <w:rFonts w:ascii="Arial" w:hAnsi="Arial" w:cs="Arial"/>
          <w:sz w:val="19"/>
          <w:szCs w:val="19"/>
          <w:lang w:val="es-ES"/>
        </w:rPr>
      </w:pPr>
    </w:p>
  </w:footnote>
  <w:footnote w:id="17">
    <w:p w14:paraId="3C741140" w14:textId="77777777" w:rsidR="00F72043" w:rsidRPr="003C786B" w:rsidRDefault="00F72043" w:rsidP="00E06E08">
      <w:pPr>
        <w:pStyle w:val="Textonotapie"/>
        <w:ind w:firstLine="709"/>
        <w:jc w:val="both"/>
        <w:rPr>
          <w:rFonts w:ascii="Arial" w:hAnsi="Arial" w:cs="Arial"/>
          <w:sz w:val="19"/>
          <w:szCs w:val="19"/>
        </w:rPr>
      </w:pPr>
      <w:r w:rsidRPr="003C786B">
        <w:rPr>
          <w:rStyle w:val="Refdenotaalpie"/>
          <w:rFonts w:ascii="Arial" w:hAnsi="Arial" w:cs="Arial"/>
          <w:sz w:val="19"/>
          <w:szCs w:val="19"/>
        </w:rPr>
        <w:footnoteRef/>
      </w:r>
      <w:r w:rsidRPr="003C786B">
        <w:rPr>
          <w:rFonts w:ascii="Arial" w:hAnsi="Arial" w:cs="Arial"/>
          <w:sz w:val="19"/>
          <w:szCs w:val="19"/>
        </w:rPr>
        <w:t xml:space="preserve"> Este tipo contractual se define en el artículo 32, numeral 2º de la Ley 80 de 1993 de la siguiente manera: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BC6A5E2" w14:textId="590856D2" w:rsidR="00F72043" w:rsidRPr="003C786B" w:rsidRDefault="00F72043" w:rsidP="00E06E08">
      <w:pPr>
        <w:pStyle w:val="Textonotapie"/>
        <w:ind w:firstLine="709"/>
        <w:jc w:val="both"/>
        <w:rPr>
          <w:rFonts w:ascii="Arial" w:hAnsi="Arial" w:cs="Arial"/>
          <w:sz w:val="19"/>
          <w:szCs w:val="19"/>
        </w:rPr>
      </w:pPr>
      <w:proofErr w:type="gramStart"/>
      <w:r w:rsidRPr="003C786B">
        <w:rPr>
          <w:rFonts w:ascii="Arial" w:hAnsi="Arial" w:cs="Arial"/>
          <w:sz w:val="19"/>
          <w:szCs w:val="19"/>
        </w:rPr>
        <w:t>»Son</w:t>
      </w:r>
      <w:proofErr w:type="gramEnd"/>
      <w:r w:rsidRPr="003C786B">
        <w:rPr>
          <w:rFonts w:ascii="Arial" w:hAnsi="Arial" w:cs="Arial"/>
          <w:sz w:val="19"/>
          <w:szCs w:val="19"/>
        </w:rPr>
        <w:t xml:space="preserve"> también contratos de consultoría los que tienen por objeto la interventoría, asesoría, gerencia de obra o de proyectos, dirección, programación y la ejecución de diseños, planos, anteproyectos y proyectos». </w:t>
      </w:r>
    </w:p>
    <w:p w14:paraId="2FF7AC01" w14:textId="77777777" w:rsidR="00660B1A" w:rsidRPr="003C786B" w:rsidRDefault="00660B1A" w:rsidP="00E06E08">
      <w:pPr>
        <w:pStyle w:val="Textonotapie"/>
        <w:ind w:firstLine="709"/>
        <w:jc w:val="both"/>
        <w:rPr>
          <w:rFonts w:ascii="Arial" w:hAnsi="Arial" w:cs="Arial"/>
          <w:sz w:val="19"/>
          <w:szCs w:val="19"/>
        </w:rPr>
      </w:pPr>
    </w:p>
  </w:footnote>
  <w:footnote w:id="18">
    <w:p w14:paraId="1ED69C94" w14:textId="5B9D5485" w:rsidR="00F72043" w:rsidRPr="003C786B" w:rsidRDefault="00F72043"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 xml:space="preserve">Al respecto, véase los conceptos del: 10 de agosto de 2006. </w:t>
      </w:r>
      <w:proofErr w:type="spellStart"/>
      <w:r w:rsidRPr="003C786B">
        <w:rPr>
          <w:rFonts w:ascii="Arial" w:hAnsi="Arial" w:cs="Arial"/>
          <w:sz w:val="19"/>
          <w:szCs w:val="19"/>
          <w:lang w:val="es-ES"/>
        </w:rPr>
        <w:t>Exp</w:t>
      </w:r>
      <w:proofErr w:type="spellEnd"/>
      <w:r w:rsidRPr="003C786B">
        <w:rPr>
          <w:rFonts w:ascii="Arial" w:hAnsi="Arial" w:cs="Arial"/>
          <w:sz w:val="19"/>
          <w:szCs w:val="19"/>
          <w:lang w:val="es-ES"/>
        </w:rPr>
        <w:t>. 1</w:t>
      </w:r>
      <w:r w:rsidR="00C61D16" w:rsidRPr="003C786B">
        <w:rPr>
          <w:rFonts w:ascii="Arial" w:hAnsi="Arial" w:cs="Arial"/>
          <w:sz w:val="19"/>
          <w:szCs w:val="19"/>
          <w:lang w:val="es-ES"/>
        </w:rPr>
        <w:t>.</w:t>
      </w:r>
      <w:r w:rsidRPr="003C786B">
        <w:rPr>
          <w:rFonts w:ascii="Arial" w:hAnsi="Arial" w:cs="Arial"/>
          <w:sz w:val="19"/>
          <w:szCs w:val="19"/>
          <w:lang w:val="es-ES"/>
        </w:rPr>
        <w:t xml:space="preserve">767. Consejero Ponente: Luis Fernando Álvarez Jaramillo; y del 23 de marzo de 2011. </w:t>
      </w:r>
      <w:proofErr w:type="spellStart"/>
      <w:r w:rsidRPr="003C786B">
        <w:rPr>
          <w:rFonts w:ascii="Arial" w:hAnsi="Arial" w:cs="Arial"/>
          <w:sz w:val="19"/>
          <w:szCs w:val="19"/>
          <w:lang w:val="es-ES"/>
        </w:rPr>
        <w:t>Exp</w:t>
      </w:r>
      <w:proofErr w:type="spellEnd"/>
      <w:r w:rsidRPr="003C786B">
        <w:rPr>
          <w:rFonts w:ascii="Arial" w:hAnsi="Arial" w:cs="Arial"/>
          <w:sz w:val="19"/>
          <w:szCs w:val="19"/>
          <w:lang w:val="es-ES"/>
        </w:rPr>
        <w:t>. 2</w:t>
      </w:r>
      <w:r w:rsidR="00C61D16" w:rsidRPr="003C786B">
        <w:rPr>
          <w:rFonts w:ascii="Arial" w:hAnsi="Arial" w:cs="Arial"/>
          <w:sz w:val="19"/>
          <w:szCs w:val="19"/>
          <w:lang w:val="es-ES"/>
        </w:rPr>
        <w:t>.</w:t>
      </w:r>
      <w:r w:rsidRPr="003C786B">
        <w:rPr>
          <w:rFonts w:ascii="Arial" w:hAnsi="Arial" w:cs="Arial"/>
          <w:sz w:val="19"/>
          <w:szCs w:val="19"/>
          <w:lang w:val="es-ES"/>
        </w:rPr>
        <w:t xml:space="preserve">045. Consejero Ponente: Enrique José Arboleda Perdomo. </w:t>
      </w:r>
    </w:p>
    <w:p w14:paraId="308DF31D" w14:textId="77777777" w:rsidR="00660B1A" w:rsidRPr="003C786B" w:rsidRDefault="00660B1A" w:rsidP="00E06E08">
      <w:pPr>
        <w:pStyle w:val="Textonotapie"/>
        <w:ind w:firstLine="709"/>
        <w:jc w:val="both"/>
        <w:rPr>
          <w:rFonts w:ascii="Arial" w:hAnsi="Arial" w:cs="Arial"/>
          <w:sz w:val="19"/>
          <w:szCs w:val="19"/>
          <w:lang w:val="es-ES"/>
        </w:rPr>
      </w:pPr>
    </w:p>
  </w:footnote>
  <w:footnote w:id="19">
    <w:p w14:paraId="2A41AC90" w14:textId="77777777" w:rsidR="00F72043" w:rsidRPr="003C786B" w:rsidRDefault="00F72043"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w:t>
      </w:r>
    </w:p>
    <w:p w14:paraId="3485DF23"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14:paraId="0ECE1EDB"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»2. Haber conocido del asunto, en oportunidad anterior, el servidor, su cónyuge, compañero permanente o alguno de sus parientes indicados en el numeral precedente.</w:t>
      </w:r>
    </w:p>
    <w:p w14:paraId="14826292"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»3. Ser el servidor, su cónyuge, compañero permanente o alguno de sus parientes arriba indicados, curador o tutor de persona interesada en el asunto.</w:t>
      </w:r>
    </w:p>
    <w:p w14:paraId="690C388E"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»4. Ser alguno de los interesados en la actuación administrativa: representante, apoderado, dependiente, mandatario o administrador de los negocios del servidor público.</w:t>
      </w:r>
    </w:p>
    <w:p w14:paraId="14E27E4C"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»5. Existir litigio o controversia ante autoridades administrativas o jurisdiccionales entre el servidor, su cónyuge, compañero permanente, o alguno de sus parientes indicados en el numeral 1, y cualquiera de los interesados en la actuación, su representante o apoderado.</w:t>
      </w:r>
    </w:p>
    <w:p w14:paraId="5013F3DD"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w:t>
      </w:r>
    </w:p>
    <w:p w14:paraId="287F3F5A"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»7. 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w:t>
      </w:r>
    </w:p>
    <w:p w14:paraId="34AE1FE9"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»8. Existir enemistad grave por hechos ajenos a la actuación administrativa, o amistad entrañable entre el servidor y alguna de las personas interesadas en la actuación administrativa, su representante o apoderado.</w:t>
      </w:r>
    </w:p>
    <w:p w14:paraId="170AFAAC"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»9. 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w:t>
      </w:r>
    </w:p>
    <w:p w14:paraId="1B3F67D6"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»10. Ser el servidor, su cónyuge, compañero permanente o alguno de sus parientes indicados en el numeral anterior, socio de alguna de las personas interesadas en la actuación administrativa o su representante o apoderado en sociedad de personas.</w:t>
      </w:r>
    </w:p>
    <w:p w14:paraId="6A7F3DED"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 xml:space="preserve">»11. Haber dado el servidor consejo o concepto por fuera de la actuación administrativa sobre las cuestiones materia de </w:t>
      </w:r>
      <w:proofErr w:type="gramStart"/>
      <w:r w:rsidRPr="003C786B">
        <w:rPr>
          <w:rFonts w:ascii="Arial" w:hAnsi="Arial" w:cs="Arial"/>
          <w:sz w:val="19"/>
          <w:szCs w:val="19"/>
          <w:lang w:val="es-ES"/>
        </w:rPr>
        <w:t>la misma</w:t>
      </w:r>
      <w:proofErr w:type="gramEnd"/>
      <w:r w:rsidRPr="003C786B">
        <w:rPr>
          <w:rFonts w:ascii="Arial" w:hAnsi="Arial" w:cs="Arial"/>
          <w:sz w:val="19"/>
          <w:szCs w:val="19"/>
          <w:lang w:val="es-ES"/>
        </w:rPr>
        <w:t>, o haber intervenido en esta como apoderado, Agente del Ministerio Público, perito o testigo. Sin embargo, no tendrán el carácter de concepto las referencias o explicaciones que el servidor público haga sobre el contenido de una decisión tomada por la administración.</w:t>
      </w:r>
    </w:p>
    <w:p w14:paraId="2E77AE5A"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»12. Ser el servidor, su cónyuge, compañero permanente o alguno de sus parientes indicados en el numeral 1, heredero o legatario de alguna de las personas interesadas en la actuación administrativa.</w:t>
      </w:r>
    </w:p>
    <w:p w14:paraId="406872D6"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»13. Tener el servidor, su cónyuge, compañero permanente o alguno de sus parientes en segundo grado de consanguinidad o primero civil, decisión administrativa pendiente en que se controvierta la misma cuestión jurídica que él debe resolver.</w:t>
      </w:r>
    </w:p>
    <w:p w14:paraId="020A41CE"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»14. Haber hecho parte de listas de candidatos a cuerpos colegiados de elección popular inscritas o integradas también por el interesado en el período electoral coincidente con la actuación administrativa o en alguno de los dos períodos anteriores.</w:t>
      </w:r>
    </w:p>
    <w:p w14:paraId="5E8B28F1"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»15. Haber sido recomendado por el interesado en la actuación para llegar al cargo que ocupa el servidor público o haber sido señalado por este como referencia con el mismo fin.</w:t>
      </w:r>
    </w:p>
    <w:p w14:paraId="1BAE8CBB" w14:textId="77777777" w:rsidR="00F72043" w:rsidRPr="003C786B" w:rsidRDefault="00F72043" w:rsidP="00E06E08">
      <w:pPr>
        <w:pStyle w:val="Textonotapie"/>
        <w:ind w:firstLine="709"/>
        <w:jc w:val="both"/>
        <w:rPr>
          <w:rFonts w:ascii="Arial" w:hAnsi="Arial" w:cs="Arial"/>
          <w:sz w:val="19"/>
          <w:szCs w:val="19"/>
          <w:lang w:val="es-ES"/>
        </w:rPr>
      </w:pPr>
      <w:r w:rsidRPr="003C786B">
        <w:rPr>
          <w:rFonts w:ascii="Arial" w:hAnsi="Arial" w:cs="Arial"/>
          <w:sz w:val="19"/>
          <w:szCs w:val="19"/>
          <w:lang w:val="es-ES"/>
        </w:rPr>
        <w:t>»16. Dentro del año anterior, haber tenido interés directo o haber actuado como representante, asesor, presidente, gerente, director, miembro de Junta Directiva o socio de gremio, sindicato, sociedad, asociación o grupo social o económico interesado en el asunto objeto de definición».</w:t>
      </w:r>
    </w:p>
  </w:footnote>
  <w:footnote w:id="20">
    <w:p w14:paraId="3A615A83" w14:textId="757AAA3E" w:rsidR="00F44920" w:rsidRPr="003C786B" w:rsidRDefault="00F44920" w:rsidP="00E06E08">
      <w:pPr>
        <w:pStyle w:val="Textonotapie"/>
        <w:ind w:firstLine="709"/>
        <w:jc w:val="both"/>
        <w:rPr>
          <w:rFonts w:ascii="Arial" w:hAnsi="Arial" w:cs="Arial"/>
          <w:sz w:val="19"/>
          <w:szCs w:val="19"/>
          <w:lang w:val="es-ES"/>
        </w:rPr>
      </w:pPr>
      <w:r w:rsidRPr="003C786B">
        <w:rPr>
          <w:rStyle w:val="Refdenotaalpie"/>
          <w:rFonts w:ascii="Arial" w:hAnsi="Arial" w:cs="Arial"/>
          <w:sz w:val="19"/>
          <w:szCs w:val="19"/>
        </w:rPr>
        <w:footnoteRef/>
      </w:r>
      <w:r w:rsidRPr="003C786B">
        <w:rPr>
          <w:rFonts w:ascii="Arial" w:hAnsi="Arial" w:cs="Arial"/>
          <w:sz w:val="19"/>
          <w:szCs w:val="19"/>
        </w:rPr>
        <w:t xml:space="preserve"> </w:t>
      </w:r>
      <w:r w:rsidRPr="003C786B">
        <w:rPr>
          <w:rFonts w:ascii="Arial" w:hAnsi="Arial" w:cs="Arial"/>
          <w:sz w:val="19"/>
          <w:szCs w:val="19"/>
          <w:lang w:val="es-ES"/>
        </w:rPr>
        <w:t>Dicho numeral establece: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227B38BE" w14:textId="7DE1F592" w:rsidR="00F44920" w:rsidRPr="003C786B" w:rsidRDefault="00F44920" w:rsidP="00E06E08">
      <w:pPr>
        <w:pStyle w:val="Textonotapie"/>
        <w:ind w:firstLine="709"/>
        <w:jc w:val="both"/>
        <w:rPr>
          <w:rFonts w:ascii="Arial" w:hAnsi="Arial" w:cs="Arial"/>
          <w:sz w:val="19"/>
          <w:szCs w:val="19"/>
          <w:lang w:val="es-ES"/>
        </w:rPr>
      </w:pPr>
      <w:proofErr w:type="gramStart"/>
      <w:r w:rsidRPr="003C786B">
        <w:rPr>
          <w:rFonts w:ascii="Arial" w:hAnsi="Arial" w:cs="Arial"/>
          <w:sz w:val="19"/>
          <w:szCs w:val="19"/>
          <w:lang w:val="es-ES"/>
        </w:rPr>
        <w:t>»Son</w:t>
      </w:r>
      <w:proofErr w:type="gramEnd"/>
      <w:r w:rsidRPr="003C786B">
        <w:rPr>
          <w:rFonts w:ascii="Arial" w:hAnsi="Arial" w:cs="Arial"/>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2F2CEC79" w14:textId="42A600D4" w:rsidR="00F44920" w:rsidRPr="003C786B" w:rsidRDefault="00F44920" w:rsidP="00E06E08">
      <w:pPr>
        <w:pStyle w:val="Textonotapie"/>
        <w:ind w:firstLine="709"/>
        <w:jc w:val="both"/>
        <w:rPr>
          <w:rFonts w:ascii="Arial" w:hAnsi="Arial" w:cs="Arial"/>
          <w:sz w:val="19"/>
          <w:szCs w:val="19"/>
          <w:lang w:val="es-CO"/>
        </w:rPr>
      </w:pPr>
      <w:proofErr w:type="gramStart"/>
      <w:r w:rsidRPr="003C786B">
        <w:rPr>
          <w:rFonts w:ascii="Arial" w:hAnsi="Arial" w:cs="Arial"/>
          <w:sz w:val="19"/>
          <w:szCs w:val="19"/>
          <w:lang w:val="es-ES"/>
        </w:rPr>
        <w:t>»Ninguna</w:t>
      </w:r>
      <w:proofErr w:type="gramEnd"/>
      <w:r w:rsidRPr="003C786B">
        <w:rPr>
          <w:rFonts w:ascii="Arial" w:hAnsi="Arial" w:cs="Arial"/>
          <w:sz w:val="19"/>
          <w:szCs w:val="19"/>
          <w:lang w:val="es-ES"/>
        </w:rPr>
        <w:t xml:space="preserve"> orden del interventor de una obra podrá darse verbalmente. Es obligatorio para el interventor entregar por escrito sus órdenes o sugerencias y ellas deben </w:t>
      </w:r>
      <w:proofErr w:type="gramStart"/>
      <w:r w:rsidRPr="003C786B">
        <w:rPr>
          <w:rFonts w:ascii="Arial" w:hAnsi="Arial" w:cs="Arial"/>
          <w:sz w:val="19"/>
          <w:szCs w:val="19"/>
          <w:lang w:val="es-ES"/>
        </w:rPr>
        <w:t>enmarcarse dentro de</w:t>
      </w:r>
      <w:proofErr w:type="gramEnd"/>
      <w:r w:rsidRPr="003C786B">
        <w:rPr>
          <w:rFonts w:ascii="Arial" w:hAnsi="Arial" w:cs="Arial"/>
          <w:sz w:val="19"/>
          <w:szCs w:val="19"/>
          <w:lang w:val="es-ES"/>
        </w:rPr>
        <w:t xml:space="preserve"> los términos del respectivo contrato».</w:t>
      </w:r>
    </w:p>
  </w:footnote>
  <w:footnote w:id="21">
    <w:p w14:paraId="4F39A7E7" w14:textId="275D3D90" w:rsidR="00424073" w:rsidRPr="003C786B" w:rsidRDefault="00B12193" w:rsidP="00E06E08">
      <w:pPr>
        <w:ind w:firstLine="709"/>
        <w:jc w:val="both"/>
        <w:rPr>
          <w:rFonts w:ascii="Arial" w:hAnsi="Arial" w:cs="Arial"/>
          <w:sz w:val="19"/>
          <w:szCs w:val="19"/>
        </w:rPr>
      </w:pPr>
      <w:r w:rsidRPr="003C786B">
        <w:rPr>
          <w:rStyle w:val="Refdenotaalpie"/>
          <w:rFonts w:ascii="Arial" w:hAnsi="Arial" w:cs="Arial"/>
          <w:sz w:val="19"/>
          <w:szCs w:val="19"/>
        </w:rPr>
        <w:footnoteRef/>
      </w:r>
      <w:r w:rsidRPr="003C786B">
        <w:rPr>
          <w:rFonts w:ascii="Arial" w:hAnsi="Arial" w:cs="Arial"/>
          <w:sz w:val="19"/>
          <w:szCs w:val="19"/>
        </w:rPr>
        <w:t xml:space="preserve"> </w:t>
      </w:r>
      <w:r w:rsidR="00072A53" w:rsidRPr="003C786B">
        <w:rPr>
          <w:rFonts w:ascii="Arial" w:hAnsi="Arial" w:cs="Arial"/>
          <w:sz w:val="19"/>
          <w:szCs w:val="19"/>
        </w:rPr>
        <w:t>El artículo 2.2.1.2.1.3.9.</w:t>
      </w:r>
      <w:r w:rsidR="00424073" w:rsidRPr="003C786B">
        <w:rPr>
          <w:rFonts w:ascii="Arial" w:hAnsi="Arial" w:cs="Arial"/>
          <w:sz w:val="19"/>
          <w:szCs w:val="19"/>
        </w:rPr>
        <w:t xml:space="preserve">, numeral 2º, </w:t>
      </w:r>
      <w:r w:rsidR="00072A53" w:rsidRPr="003C786B">
        <w:rPr>
          <w:rFonts w:ascii="Arial" w:hAnsi="Arial" w:cs="Arial"/>
          <w:sz w:val="19"/>
          <w:szCs w:val="19"/>
        </w:rPr>
        <w:t>del Decreto 1082 de 2015</w:t>
      </w:r>
      <w:r w:rsidR="00424073" w:rsidRPr="003C786B">
        <w:rPr>
          <w:rFonts w:ascii="Arial" w:hAnsi="Arial" w:cs="Arial"/>
          <w:sz w:val="19"/>
          <w:szCs w:val="19"/>
        </w:rPr>
        <w:t xml:space="preserve"> establece que el organismo asesor en el concurso de arquitectura «Es el ente idóneo en la materia de arquitectura que organiza y diseña los aspectos técnicos del concurso de arquitectura y, actúa como coordinador entre la Entidad Estatal promotora y el jurado calificador, y entre éstos con los proponentes</w:t>
      </w:r>
      <w:r w:rsidR="00CE6353" w:rsidRPr="003C786B">
        <w:rPr>
          <w:rFonts w:ascii="Arial" w:hAnsi="Arial" w:cs="Arial"/>
          <w:sz w:val="19"/>
          <w:szCs w:val="19"/>
        </w:rPr>
        <w:t>»</w:t>
      </w:r>
      <w:r w:rsidR="00424073" w:rsidRPr="003C786B">
        <w:rPr>
          <w:rFonts w:ascii="Arial" w:hAnsi="Arial" w:cs="Arial"/>
          <w:sz w:val="19"/>
          <w:szCs w:val="19"/>
        </w:rPr>
        <w:t>.</w:t>
      </w:r>
    </w:p>
    <w:p w14:paraId="56692004" w14:textId="71EB3722" w:rsidR="00B12193" w:rsidRPr="003C786B" w:rsidRDefault="00B12193" w:rsidP="00E06E08">
      <w:pPr>
        <w:pStyle w:val="Textonotapie"/>
        <w:ind w:firstLine="709"/>
        <w:jc w:val="both"/>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C7269C2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AF8"/>
    <w:rsid w:val="0002400D"/>
    <w:rsid w:val="00027C8A"/>
    <w:rsid w:val="00052E6D"/>
    <w:rsid w:val="00062363"/>
    <w:rsid w:val="00072A53"/>
    <w:rsid w:val="00084AA0"/>
    <w:rsid w:val="00084B97"/>
    <w:rsid w:val="00085147"/>
    <w:rsid w:val="00091BB9"/>
    <w:rsid w:val="000921C6"/>
    <w:rsid w:val="000942EB"/>
    <w:rsid w:val="00096EE0"/>
    <w:rsid w:val="000B103F"/>
    <w:rsid w:val="000B6F0F"/>
    <w:rsid w:val="000C0D40"/>
    <w:rsid w:val="000C6017"/>
    <w:rsid w:val="000E3936"/>
    <w:rsid w:val="000F14E8"/>
    <w:rsid w:val="0010298F"/>
    <w:rsid w:val="00103915"/>
    <w:rsid w:val="00122B23"/>
    <w:rsid w:val="00132207"/>
    <w:rsid w:val="00137FFA"/>
    <w:rsid w:val="00150BAE"/>
    <w:rsid w:val="00155152"/>
    <w:rsid w:val="00157A04"/>
    <w:rsid w:val="001659D9"/>
    <w:rsid w:val="0016755F"/>
    <w:rsid w:val="001704FF"/>
    <w:rsid w:val="00172D04"/>
    <w:rsid w:val="00181317"/>
    <w:rsid w:val="001821AC"/>
    <w:rsid w:val="00191592"/>
    <w:rsid w:val="001A040D"/>
    <w:rsid w:val="001A7081"/>
    <w:rsid w:val="001B0444"/>
    <w:rsid w:val="001B3138"/>
    <w:rsid w:val="001D6956"/>
    <w:rsid w:val="001E60CB"/>
    <w:rsid w:val="001F34D4"/>
    <w:rsid w:val="001F7B70"/>
    <w:rsid w:val="001F7D57"/>
    <w:rsid w:val="0020632A"/>
    <w:rsid w:val="002110EB"/>
    <w:rsid w:val="00211338"/>
    <w:rsid w:val="002233B1"/>
    <w:rsid w:val="002345CE"/>
    <w:rsid w:val="00234B84"/>
    <w:rsid w:val="00236952"/>
    <w:rsid w:val="00254705"/>
    <w:rsid w:val="00260F08"/>
    <w:rsid w:val="002A11F2"/>
    <w:rsid w:val="002C4C0C"/>
    <w:rsid w:val="002C7F9C"/>
    <w:rsid w:val="002D55B9"/>
    <w:rsid w:val="002D6C6B"/>
    <w:rsid w:val="002F454C"/>
    <w:rsid w:val="003033BA"/>
    <w:rsid w:val="003074AE"/>
    <w:rsid w:val="00322937"/>
    <w:rsid w:val="0032544F"/>
    <w:rsid w:val="00325E6F"/>
    <w:rsid w:val="00334152"/>
    <w:rsid w:val="00336972"/>
    <w:rsid w:val="0034177C"/>
    <w:rsid w:val="00343D80"/>
    <w:rsid w:val="0034680A"/>
    <w:rsid w:val="00353DD5"/>
    <w:rsid w:val="00356094"/>
    <w:rsid w:val="00375DD3"/>
    <w:rsid w:val="00386456"/>
    <w:rsid w:val="003A0878"/>
    <w:rsid w:val="003A2753"/>
    <w:rsid w:val="003A581E"/>
    <w:rsid w:val="003B5017"/>
    <w:rsid w:val="003C63A9"/>
    <w:rsid w:val="003C786B"/>
    <w:rsid w:val="003D2E2C"/>
    <w:rsid w:val="003D55E4"/>
    <w:rsid w:val="003F78EE"/>
    <w:rsid w:val="00422FA3"/>
    <w:rsid w:val="00423F9F"/>
    <w:rsid w:val="00424073"/>
    <w:rsid w:val="00427331"/>
    <w:rsid w:val="00440794"/>
    <w:rsid w:val="004422D6"/>
    <w:rsid w:val="004569DB"/>
    <w:rsid w:val="004602CA"/>
    <w:rsid w:val="00463FE5"/>
    <w:rsid w:val="00473979"/>
    <w:rsid w:val="0049094E"/>
    <w:rsid w:val="0049241A"/>
    <w:rsid w:val="004A34D2"/>
    <w:rsid w:val="004A4E6F"/>
    <w:rsid w:val="0051074C"/>
    <w:rsid w:val="00510FD0"/>
    <w:rsid w:val="00513AF2"/>
    <w:rsid w:val="005178B0"/>
    <w:rsid w:val="00520695"/>
    <w:rsid w:val="0054413A"/>
    <w:rsid w:val="005564CA"/>
    <w:rsid w:val="0056182B"/>
    <w:rsid w:val="005756AA"/>
    <w:rsid w:val="00596405"/>
    <w:rsid w:val="0059772E"/>
    <w:rsid w:val="005B2A2E"/>
    <w:rsid w:val="005D09E1"/>
    <w:rsid w:val="005D0F03"/>
    <w:rsid w:val="005D3341"/>
    <w:rsid w:val="005D3A59"/>
    <w:rsid w:val="005D51FA"/>
    <w:rsid w:val="005D791B"/>
    <w:rsid w:val="005F1A12"/>
    <w:rsid w:val="00611B77"/>
    <w:rsid w:val="00614817"/>
    <w:rsid w:val="006175EE"/>
    <w:rsid w:val="00617FF2"/>
    <w:rsid w:val="00633DBF"/>
    <w:rsid w:val="006344B7"/>
    <w:rsid w:val="00640AEF"/>
    <w:rsid w:val="006426BC"/>
    <w:rsid w:val="00644C0A"/>
    <w:rsid w:val="00655371"/>
    <w:rsid w:val="00660B1A"/>
    <w:rsid w:val="006911AD"/>
    <w:rsid w:val="006967F3"/>
    <w:rsid w:val="00697665"/>
    <w:rsid w:val="006A7CB5"/>
    <w:rsid w:val="006A7FD0"/>
    <w:rsid w:val="006B60C8"/>
    <w:rsid w:val="006C1C9E"/>
    <w:rsid w:val="006C6B1D"/>
    <w:rsid w:val="006D7687"/>
    <w:rsid w:val="006E0572"/>
    <w:rsid w:val="006F36DF"/>
    <w:rsid w:val="00705631"/>
    <w:rsid w:val="00715EAA"/>
    <w:rsid w:val="00742DD2"/>
    <w:rsid w:val="00746E08"/>
    <w:rsid w:val="00747C96"/>
    <w:rsid w:val="0075094E"/>
    <w:rsid w:val="00751504"/>
    <w:rsid w:val="007522E8"/>
    <w:rsid w:val="0075647A"/>
    <w:rsid w:val="007634AD"/>
    <w:rsid w:val="0078122E"/>
    <w:rsid w:val="00790122"/>
    <w:rsid w:val="00795647"/>
    <w:rsid w:val="007A4609"/>
    <w:rsid w:val="007B0854"/>
    <w:rsid w:val="007B6F1D"/>
    <w:rsid w:val="007D7BD9"/>
    <w:rsid w:val="007E4A8A"/>
    <w:rsid w:val="007F4562"/>
    <w:rsid w:val="007F6B46"/>
    <w:rsid w:val="007F72CB"/>
    <w:rsid w:val="0081537B"/>
    <w:rsid w:val="008217B7"/>
    <w:rsid w:val="0083119B"/>
    <w:rsid w:val="00836EAB"/>
    <w:rsid w:val="0085092D"/>
    <w:rsid w:val="00850F79"/>
    <w:rsid w:val="00854E4B"/>
    <w:rsid w:val="008604E9"/>
    <w:rsid w:val="00870F20"/>
    <w:rsid w:val="00871FD2"/>
    <w:rsid w:val="0089774F"/>
    <w:rsid w:val="008A55BC"/>
    <w:rsid w:val="008B5B04"/>
    <w:rsid w:val="008C41AA"/>
    <w:rsid w:val="008D6DE0"/>
    <w:rsid w:val="008E1C15"/>
    <w:rsid w:val="008F538E"/>
    <w:rsid w:val="009039F1"/>
    <w:rsid w:val="009047C5"/>
    <w:rsid w:val="009058E3"/>
    <w:rsid w:val="009256D5"/>
    <w:rsid w:val="0094362D"/>
    <w:rsid w:val="00947B7A"/>
    <w:rsid w:val="0095385A"/>
    <w:rsid w:val="00962E23"/>
    <w:rsid w:val="0096318D"/>
    <w:rsid w:val="0098264A"/>
    <w:rsid w:val="0099575F"/>
    <w:rsid w:val="009A7824"/>
    <w:rsid w:val="009D0BBF"/>
    <w:rsid w:val="009E1BE1"/>
    <w:rsid w:val="009F0BB6"/>
    <w:rsid w:val="009F59C2"/>
    <w:rsid w:val="009F5D34"/>
    <w:rsid w:val="00A1023E"/>
    <w:rsid w:val="00A114A5"/>
    <w:rsid w:val="00A114CB"/>
    <w:rsid w:val="00A24560"/>
    <w:rsid w:val="00A278BD"/>
    <w:rsid w:val="00A34538"/>
    <w:rsid w:val="00A346CD"/>
    <w:rsid w:val="00A37FB6"/>
    <w:rsid w:val="00A754E3"/>
    <w:rsid w:val="00AA08E7"/>
    <w:rsid w:val="00AA442B"/>
    <w:rsid w:val="00AA669D"/>
    <w:rsid w:val="00AB7B91"/>
    <w:rsid w:val="00AC7720"/>
    <w:rsid w:val="00AD4117"/>
    <w:rsid w:val="00AE70B1"/>
    <w:rsid w:val="00AF6DAE"/>
    <w:rsid w:val="00B030B1"/>
    <w:rsid w:val="00B05A55"/>
    <w:rsid w:val="00B073F3"/>
    <w:rsid w:val="00B12193"/>
    <w:rsid w:val="00B13EC0"/>
    <w:rsid w:val="00B22024"/>
    <w:rsid w:val="00B22E22"/>
    <w:rsid w:val="00B23041"/>
    <w:rsid w:val="00B25ADA"/>
    <w:rsid w:val="00B460E5"/>
    <w:rsid w:val="00B525CB"/>
    <w:rsid w:val="00B6166E"/>
    <w:rsid w:val="00B63872"/>
    <w:rsid w:val="00B63CB2"/>
    <w:rsid w:val="00B64EDB"/>
    <w:rsid w:val="00B7315F"/>
    <w:rsid w:val="00B75424"/>
    <w:rsid w:val="00B87866"/>
    <w:rsid w:val="00B91B8E"/>
    <w:rsid w:val="00B92156"/>
    <w:rsid w:val="00BA1266"/>
    <w:rsid w:val="00BD3D51"/>
    <w:rsid w:val="00BD78FE"/>
    <w:rsid w:val="00BD7ABD"/>
    <w:rsid w:val="00BE194E"/>
    <w:rsid w:val="00BE33E3"/>
    <w:rsid w:val="00C04D43"/>
    <w:rsid w:val="00C3024A"/>
    <w:rsid w:val="00C40E3E"/>
    <w:rsid w:val="00C531C9"/>
    <w:rsid w:val="00C60414"/>
    <w:rsid w:val="00C61D16"/>
    <w:rsid w:val="00C620E6"/>
    <w:rsid w:val="00C634EA"/>
    <w:rsid w:val="00C653AC"/>
    <w:rsid w:val="00C867D7"/>
    <w:rsid w:val="00C91FB2"/>
    <w:rsid w:val="00C93443"/>
    <w:rsid w:val="00CC00CD"/>
    <w:rsid w:val="00CC668E"/>
    <w:rsid w:val="00CC709F"/>
    <w:rsid w:val="00CD078A"/>
    <w:rsid w:val="00CE6353"/>
    <w:rsid w:val="00CF20BB"/>
    <w:rsid w:val="00D01760"/>
    <w:rsid w:val="00D16E39"/>
    <w:rsid w:val="00D223B6"/>
    <w:rsid w:val="00D26A74"/>
    <w:rsid w:val="00D361BF"/>
    <w:rsid w:val="00D60327"/>
    <w:rsid w:val="00D66CC3"/>
    <w:rsid w:val="00D72E9D"/>
    <w:rsid w:val="00D82CE5"/>
    <w:rsid w:val="00D90FE4"/>
    <w:rsid w:val="00D91951"/>
    <w:rsid w:val="00D94962"/>
    <w:rsid w:val="00DA5AB1"/>
    <w:rsid w:val="00DB04D4"/>
    <w:rsid w:val="00DB6633"/>
    <w:rsid w:val="00DC62E5"/>
    <w:rsid w:val="00DD6ABE"/>
    <w:rsid w:val="00DD735D"/>
    <w:rsid w:val="00DE3119"/>
    <w:rsid w:val="00DE6E0C"/>
    <w:rsid w:val="00DE74A8"/>
    <w:rsid w:val="00DF236B"/>
    <w:rsid w:val="00E04179"/>
    <w:rsid w:val="00E06E08"/>
    <w:rsid w:val="00E10A7E"/>
    <w:rsid w:val="00E11C35"/>
    <w:rsid w:val="00E13AB8"/>
    <w:rsid w:val="00E22816"/>
    <w:rsid w:val="00E22F43"/>
    <w:rsid w:val="00E25CB3"/>
    <w:rsid w:val="00E33B62"/>
    <w:rsid w:val="00E3604F"/>
    <w:rsid w:val="00E4143A"/>
    <w:rsid w:val="00E471D7"/>
    <w:rsid w:val="00E56D69"/>
    <w:rsid w:val="00E6039E"/>
    <w:rsid w:val="00E61AEE"/>
    <w:rsid w:val="00E70BCE"/>
    <w:rsid w:val="00EA0B3F"/>
    <w:rsid w:val="00EA3A6A"/>
    <w:rsid w:val="00EC6C6C"/>
    <w:rsid w:val="00ED069A"/>
    <w:rsid w:val="00EE59B5"/>
    <w:rsid w:val="00F132C2"/>
    <w:rsid w:val="00F23E3A"/>
    <w:rsid w:val="00F31A6E"/>
    <w:rsid w:val="00F358DD"/>
    <w:rsid w:val="00F42770"/>
    <w:rsid w:val="00F431BE"/>
    <w:rsid w:val="00F44920"/>
    <w:rsid w:val="00F5291B"/>
    <w:rsid w:val="00F53573"/>
    <w:rsid w:val="00F561C2"/>
    <w:rsid w:val="00F603CC"/>
    <w:rsid w:val="00F72043"/>
    <w:rsid w:val="00F84899"/>
    <w:rsid w:val="00F859F0"/>
    <w:rsid w:val="00FA039C"/>
    <w:rsid w:val="00FA19FB"/>
    <w:rsid w:val="00FB0924"/>
    <w:rsid w:val="00FB1417"/>
    <w:rsid w:val="00FC1D2E"/>
    <w:rsid w:val="00FC53F2"/>
    <w:rsid w:val="00FD1B9A"/>
    <w:rsid w:val="00FD29A3"/>
    <w:rsid w:val="00FD61AC"/>
    <w:rsid w:val="00FE141E"/>
    <w:rsid w:val="00FE42ED"/>
    <w:rsid w:val="00FF0706"/>
    <w:rsid w:val="15577C88"/>
    <w:rsid w:val="28C70AEA"/>
    <w:rsid w:val="3F5DE051"/>
    <w:rsid w:val="4E493584"/>
    <w:rsid w:val="5943D6C1"/>
    <w:rsid w:val="6A5D75EA"/>
    <w:rsid w:val="6E414C85"/>
    <w:rsid w:val="730A9AF8"/>
    <w:rsid w:val="77ABCEDB"/>
    <w:rsid w:val="7D2881C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paragraph" w:customStyle="1" w:styleId="Default">
    <w:name w:val="Default"/>
    <w:rsid w:val="008604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5660062">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1508_201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080_199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468D727-2669-4AE5-90F6-BD6A2C36275B}">
  <ds:schemaRefs>
    <ds:schemaRef ds:uri="http://schemas.openxmlformats.org/officeDocument/2006/bibliography"/>
  </ds:schemaRefs>
</ds:datastoreItem>
</file>

<file path=customXml/itemProps3.xml><?xml version="1.0" encoding="utf-8"?>
<ds:datastoreItem xmlns:ds="http://schemas.openxmlformats.org/officeDocument/2006/customXml" ds:itemID="{FE59B030-49B6-4FB3-91B2-69B0EA54E03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D84DE4E-4EB5-4D9F-9F9C-55635450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15</Pages>
  <Words>4629</Words>
  <Characters>25461</Characters>
  <Application>Microsoft Office Word</Application>
  <DocSecurity>0</DocSecurity>
  <Lines>212</Lines>
  <Paragraphs>60</Paragraphs>
  <ScaleCrop>false</ScaleCrop>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cp:lastPrinted>2020-01-30T15:05:00Z</cp:lastPrinted>
  <dcterms:created xsi:type="dcterms:W3CDTF">2020-08-21T15:58:00Z</dcterms:created>
  <dcterms:modified xsi:type="dcterms:W3CDTF">2020-08-21T15:58:00Z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