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4F1691FC" w:rsidR="00DE5124" w:rsidRPr="00134EDD" w:rsidRDefault="00DE5124" w:rsidP="00DE5124">
      <w:pPr>
        <w:jc w:val="right"/>
        <w:rPr>
          <w:rFonts w:ascii="Arial" w:hAnsi="Arial" w:cs="Arial"/>
          <w:b/>
          <w:sz w:val="16"/>
          <w:szCs w:val="16"/>
          <w:lang w:eastAsia="es-ES"/>
        </w:rPr>
      </w:pPr>
      <w:bookmarkStart w:id="0" w:name="_Hlk29548183"/>
      <w:bookmarkStart w:id="1" w:name="_Hlk28946138"/>
      <w:r w:rsidRPr="00134EDD">
        <w:rPr>
          <w:rFonts w:ascii="Arial" w:hAnsi="Arial" w:cs="Arial"/>
          <w:b/>
          <w:sz w:val="16"/>
          <w:szCs w:val="16"/>
          <w:lang w:eastAsia="es-ES"/>
        </w:rPr>
        <w:t>CCE-DES-FM-17</w:t>
      </w:r>
      <w:bookmarkEnd w:id="0"/>
      <w:bookmarkEnd w:id="1"/>
    </w:p>
    <w:p w14:paraId="1F85047A" w14:textId="77777777" w:rsidR="001A2559" w:rsidRPr="00C8109B" w:rsidRDefault="001A2559" w:rsidP="001A2559">
      <w:pPr>
        <w:pStyle w:val="Prrafodelista"/>
        <w:spacing w:line="276" w:lineRule="auto"/>
        <w:ind w:left="0"/>
        <w:jc w:val="both"/>
        <w:rPr>
          <w:rFonts w:ascii="Arial" w:eastAsia="Calibri" w:hAnsi="Arial" w:cs="Arial"/>
          <w:sz w:val="16"/>
          <w:szCs w:val="16"/>
        </w:rPr>
      </w:pPr>
    </w:p>
    <w:p w14:paraId="043A5E6E" w14:textId="6EFEB5E3" w:rsidR="00134EDD" w:rsidRPr="00134EDD" w:rsidRDefault="00134EDD" w:rsidP="00134EDD">
      <w:pPr>
        <w:pStyle w:val="Textoindependiente"/>
        <w:spacing w:before="0" w:beforeAutospacing="0" w:after="0" w:afterAutospacing="0" w:line="276" w:lineRule="auto"/>
        <w:jc w:val="both"/>
        <w:rPr>
          <w:rFonts w:ascii="Arial" w:hAnsi="Arial" w:cs="Arial"/>
          <w:b/>
          <w:bCs/>
          <w:sz w:val="22"/>
          <w:szCs w:val="22"/>
        </w:rPr>
      </w:pPr>
      <w:bookmarkStart w:id="2" w:name="_Hlk38283712"/>
      <w:bookmarkStart w:id="3" w:name="_Hlk38449610"/>
      <w:bookmarkStart w:id="4" w:name="_Hlk29890381"/>
      <w:r w:rsidRPr="00134EDD">
        <w:rPr>
          <w:rFonts w:ascii="Arial" w:hAnsi="Arial" w:cs="Arial"/>
          <w:b/>
          <w:bCs/>
          <w:sz w:val="22"/>
          <w:szCs w:val="22"/>
        </w:rPr>
        <w:t>REGAL</w:t>
      </w:r>
      <w:r w:rsidR="00F04375">
        <w:rPr>
          <w:rFonts w:ascii="Arial" w:hAnsi="Arial" w:cs="Arial"/>
          <w:b/>
          <w:bCs/>
          <w:sz w:val="22"/>
          <w:szCs w:val="22"/>
        </w:rPr>
        <w:t>Í</w:t>
      </w:r>
      <w:r w:rsidRPr="00134EDD">
        <w:rPr>
          <w:rFonts w:ascii="Arial" w:hAnsi="Arial" w:cs="Arial"/>
          <w:b/>
          <w:bCs/>
          <w:sz w:val="22"/>
          <w:szCs w:val="22"/>
        </w:rPr>
        <w:t xml:space="preserve">AS – Noción – Contraprestación económica </w:t>
      </w:r>
    </w:p>
    <w:p w14:paraId="4E4545DA" w14:textId="77777777" w:rsidR="00134EDD" w:rsidRPr="00134EDD" w:rsidRDefault="00134EDD" w:rsidP="00134EDD">
      <w:pPr>
        <w:pStyle w:val="Textoindependiente"/>
        <w:spacing w:before="0" w:beforeAutospacing="0" w:after="0" w:afterAutospacing="0"/>
        <w:jc w:val="both"/>
        <w:rPr>
          <w:rFonts w:ascii="Arial" w:hAnsi="Arial" w:cs="Arial"/>
          <w:sz w:val="20"/>
          <w:szCs w:val="20"/>
        </w:rPr>
      </w:pPr>
    </w:p>
    <w:p w14:paraId="52959642" w14:textId="77777777" w:rsidR="00134EDD" w:rsidRPr="00134EDD" w:rsidRDefault="00134EDD" w:rsidP="00134EDD">
      <w:pPr>
        <w:pStyle w:val="Textoindependiente"/>
        <w:spacing w:before="0" w:beforeAutospacing="0" w:after="120" w:afterAutospacing="0"/>
        <w:jc w:val="both"/>
        <w:rPr>
          <w:rFonts w:ascii="Arial" w:hAnsi="Arial" w:cs="Arial"/>
          <w:sz w:val="20"/>
          <w:szCs w:val="20"/>
        </w:rPr>
      </w:pPr>
      <w:r w:rsidRPr="00134EDD">
        <w:rPr>
          <w:rFonts w:ascii="Arial" w:hAnsi="Arial" w:cs="Arial"/>
          <w:sz w:val="20"/>
          <w:szCs w:val="20"/>
        </w:rPr>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p w14:paraId="4FB2488E" w14:textId="77777777" w:rsidR="00134EDD" w:rsidRPr="00134EDD" w:rsidRDefault="00134EDD" w:rsidP="00C8109B">
      <w:pPr>
        <w:jc w:val="both"/>
        <w:rPr>
          <w:rFonts w:ascii="Arial" w:hAnsi="Arial" w:cs="Arial"/>
          <w:spacing w:val="-3"/>
          <w:sz w:val="20"/>
          <w:szCs w:val="20"/>
          <w:shd w:val="clear" w:color="auto" w:fill="FFFFFF"/>
        </w:rPr>
      </w:pPr>
      <w:r w:rsidRPr="00134EDD">
        <w:rPr>
          <w:rFonts w:ascii="Arial" w:hAnsi="Arial" w:cs="Arial"/>
          <w:sz w:val="20"/>
          <w:szCs w:val="20"/>
        </w:rPr>
        <w:t xml:space="preserve">En ese sentido, la Corte Constitucional se ha encargado de definir las regalías como una contraprestación recibida a cambio de la concesión de derechos a particulares para la exploración de recursos naturales, diferenciándolas de otros ingresos nacionales como los impuestos, como quiera que estas carecen del carácter impositivo de los tributos. </w:t>
      </w:r>
      <w:r w:rsidRPr="00134EDD">
        <w:rPr>
          <w:rFonts w:ascii="Arial" w:hAnsi="Arial" w:cs="Arial"/>
          <w:sz w:val="20"/>
          <w:szCs w:val="20"/>
          <w:shd w:val="clear" w:color="auto" w:fill="FFFFFF"/>
        </w:rPr>
        <w:t>Las regalías son comprendidas por el derecho constitucional como una contraprestación económica que recibe el Estado, en razón de la extracción de recursos naturales no renovables existentes en el subsuelo.  Como lo ha explicado la jurisprudencia reiterada, este concepto refiere a la “c</w:t>
      </w:r>
      <w:r w:rsidRPr="00134EDD">
        <w:rPr>
          <w:rFonts w:ascii="Arial" w:hAnsi="Arial" w:cs="Arial"/>
          <w:spacing w:val="-3"/>
          <w:sz w:val="20"/>
          <w:szCs w:val="20"/>
          <w:shd w:val="clear" w:color="auto" w:fill="FFFFFF"/>
        </w:rPr>
        <w:t>ontraprestación económica que percibe el Estado de las personas a quienes se les concede el derecho a explotar los recursos naturales no renovables en determinado porcentaje sobre el producto bruto explotado.</w:t>
      </w:r>
    </w:p>
    <w:p w14:paraId="05963C9E" w14:textId="77777777" w:rsidR="00134EDD" w:rsidRPr="00134EDD" w:rsidRDefault="00134EDD" w:rsidP="00C8109B">
      <w:pPr>
        <w:jc w:val="both"/>
        <w:rPr>
          <w:rFonts w:ascii="Arial" w:hAnsi="Arial" w:cs="Arial"/>
          <w:spacing w:val="-3"/>
          <w:sz w:val="20"/>
          <w:szCs w:val="20"/>
          <w:shd w:val="clear" w:color="auto" w:fill="FFFFFF"/>
        </w:rPr>
      </w:pPr>
    </w:p>
    <w:p w14:paraId="6FA02262" w14:textId="77777777" w:rsidR="00134EDD" w:rsidRPr="00134EDD" w:rsidRDefault="00134EDD" w:rsidP="00C8109B">
      <w:pPr>
        <w:jc w:val="both"/>
        <w:rPr>
          <w:rFonts w:ascii="Arial" w:hAnsi="Arial" w:cs="Arial"/>
          <w:b/>
          <w:bCs/>
          <w:spacing w:val="-3"/>
          <w:sz w:val="22"/>
          <w:shd w:val="clear" w:color="auto" w:fill="FFFFFF"/>
        </w:rPr>
      </w:pPr>
      <w:r w:rsidRPr="00134EDD">
        <w:rPr>
          <w:rFonts w:ascii="Arial" w:hAnsi="Arial" w:cs="Arial"/>
          <w:b/>
          <w:bCs/>
          <w:spacing w:val="-3"/>
          <w:sz w:val="22"/>
          <w:shd w:val="clear" w:color="auto" w:fill="FFFFFF"/>
        </w:rPr>
        <w:t>SISTEMA GENERAL DE REGALÍAS – Normativa – Objetivos</w:t>
      </w:r>
    </w:p>
    <w:p w14:paraId="6D53F126" w14:textId="77777777" w:rsidR="00134EDD" w:rsidRPr="00134EDD" w:rsidRDefault="00134EDD" w:rsidP="00C8109B">
      <w:pPr>
        <w:jc w:val="both"/>
        <w:rPr>
          <w:rFonts w:ascii="Arial" w:hAnsi="Arial" w:cs="Arial"/>
          <w:spacing w:val="-3"/>
          <w:sz w:val="20"/>
          <w:szCs w:val="20"/>
          <w:shd w:val="clear" w:color="auto" w:fill="FFFFFF"/>
        </w:rPr>
      </w:pPr>
    </w:p>
    <w:p w14:paraId="48574035" w14:textId="77777777" w:rsidR="00134EDD" w:rsidRPr="00134EDD" w:rsidRDefault="00134EDD" w:rsidP="00C8109B">
      <w:pPr>
        <w:pStyle w:val="Textoindependiente"/>
        <w:spacing w:before="0" w:beforeAutospacing="0" w:after="120" w:afterAutospacing="0"/>
        <w:jc w:val="both"/>
        <w:rPr>
          <w:rFonts w:ascii="Arial" w:hAnsi="Arial" w:cs="Arial"/>
          <w:sz w:val="20"/>
          <w:szCs w:val="20"/>
        </w:rPr>
      </w:pPr>
      <w:r w:rsidRPr="00134EDD">
        <w:rPr>
          <w:rFonts w:ascii="Arial" w:hAnsi="Arial" w:cs="Arial"/>
          <w:sz w:val="20"/>
          <w:szCs w:val="20"/>
        </w:rPr>
        <w:t>Con la expedición de la Ley 1530 de 2012, el legislador reguló la organización y el funcionamiento del Sistema General de Regalías. Este nuevo esquema determinó la distribución, objetivos, fines, administración, ejecución, control, el uso eficiente y la destinación de los ingresos provenientes de la explotación de los recursos naturales no renovables precisando las condiciones de participación de sus beneficiarios.</w:t>
      </w:r>
    </w:p>
    <w:p w14:paraId="5646FF67" w14:textId="77777777" w:rsidR="00134EDD" w:rsidRPr="00134EDD" w:rsidRDefault="00134EDD" w:rsidP="00C8109B">
      <w:pPr>
        <w:pStyle w:val="Textoindependiente"/>
        <w:spacing w:before="0" w:beforeAutospacing="0" w:after="0" w:afterAutospacing="0"/>
        <w:jc w:val="both"/>
        <w:rPr>
          <w:rFonts w:ascii="Arial" w:hAnsi="Arial" w:cs="Arial"/>
          <w:sz w:val="20"/>
          <w:szCs w:val="20"/>
        </w:rPr>
      </w:pPr>
      <w:r w:rsidRPr="00134EDD">
        <w:rPr>
          <w:rFonts w:ascii="Arial" w:hAnsi="Arial" w:cs="Arial"/>
          <w:sz w:val="20"/>
          <w:szCs w:val="20"/>
        </w:rPr>
        <w:t>Entre los objetivos previstos en el artículo 2 de la Ley 1530 de 2012, se encuentran los siguientes: i) crear condiciones de equidad en la distribución de los ingresos para generar ahorro para épocas de escasez; ii) distribuir los recursos hacia la población más pobre generando mayor equidad social; iii) promover el desarrollo y la competitividad entidades territoriales; iv) incentivar proyectos mineroenergéticos; tanto para la pequeña y media industria como para la minería artesanal; v) propiciar la inversión en la restauración social y económica de los territorios donde se desarrollen actividades de explotación y exploración, entre otros.</w:t>
      </w:r>
    </w:p>
    <w:p w14:paraId="7CC0FD90" w14:textId="77777777" w:rsidR="00134EDD" w:rsidRPr="00134EDD" w:rsidRDefault="00134EDD" w:rsidP="00C8109B">
      <w:pPr>
        <w:pStyle w:val="Textoindependiente"/>
        <w:spacing w:before="0" w:beforeAutospacing="0" w:after="0" w:afterAutospacing="0"/>
        <w:jc w:val="both"/>
        <w:rPr>
          <w:rFonts w:ascii="Arial" w:hAnsi="Arial" w:cs="Arial"/>
          <w:sz w:val="20"/>
          <w:szCs w:val="20"/>
        </w:rPr>
      </w:pPr>
    </w:p>
    <w:p w14:paraId="12CC73C7" w14:textId="77777777" w:rsidR="00134EDD" w:rsidRPr="00134EDD" w:rsidRDefault="00134EDD" w:rsidP="00C8109B">
      <w:pPr>
        <w:pStyle w:val="Textoindependiente"/>
        <w:spacing w:before="0" w:beforeAutospacing="0" w:after="0" w:afterAutospacing="0"/>
        <w:jc w:val="both"/>
        <w:rPr>
          <w:rFonts w:ascii="Arial" w:hAnsi="Arial" w:cs="Arial"/>
          <w:b/>
          <w:bCs/>
          <w:spacing w:val="-3"/>
          <w:sz w:val="22"/>
          <w:szCs w:val="22"/>
          <w:shd w:val="clear" w:color="auto" w:fill="FFFFFF"/>
        </w:rPr>
      </w:pPr>
      <w:r w:rsidRPr="00134EDD">
        <w:rPr>
          <w:rFonts w:ascii="Arial" w:hAnsi="Arial" w:cs="Arial"/>
          <w:b/>
          <w:bCs/>
          <w:spacing w:val="-3"/>
          <w:sz w:val="22"/>
          <w:szCs w:val="22"/>
          <w:shd w:val="clear" w:color="auto" w:fill="FFFFFF"/>
        </w:rPr>
        <w:t>SISTEMA GENERAL DE REGALÍAS – Recursos – Inversión</w:t>
      </w:r>
    </w:p>
    <w:p w14:paraId="48825383" w14:textId="77777777" w:rsidR="00134EDD" w:rsidRPr="00134EDD" w:rsidRDefault="00134EDD" w:rsidP="00C8109B">
      <w:pPr>
        <w:pStyle w:val="Textoindependiente"/>
        <w:spacing w:before="0" w:beforeAutospacing="0" w:after="0" w:afterAutospacing="0"/>
        <w:jc w:val="both"/>
        <w:rPr>
          <w:rFonts w:ascii="Arial" w:hAnsi="Arial" w:cs="Arial"/>
          <w:sz w:val="20"/>
          <w:szCs w:val="20"/>
        </w:rPr>
      </w:pPr>
    </w:p>
    <w:p w14:paraId="4ACAA799" w14:textId="77777777" w:rsidR="00134EDD" w:rsidRPr="00134EDD" w:rsidRDefault="00134EDD" w:rsidP="00C8109B">
      <w:pPr>
        <w:pStyle w:val="Textoindependiente"/>
        <w:spacing w:before="0" w:beforeAutospacing="0" w:after="0" w:afterAutospacing="0"/>
        <w:jc w:val="both"/>
        <w:rPr>
          <w:rFonts w:ascii="Arial" w:hAnsi="Arial" w:cs="Arial"/>
          <w:sz w:val="20"/>
          <w:szCs w:val="20"/>
        </w:rPr>
      </w:pPr>
      <w:r w:rsidRPr="00134EDD">
        <w:rPr>
          <w:rFonts w:ascii="Arial" w:hAnsi="Arial" w:cs="Arial"/>
          <w:sz w:val="20"/>
          <w:szCs w:val="20"/>
        </w:rPr>
        <w:t>En virtud del artículo 6 La Ley 1530 de 2012, los recursos del Sistema General de Regalías financiarán proyectos de inversión presentados a los órganos colegiados de administración y decisión, quienes serán los encargados de viabilizarlos, priorizarlos, aprobarlos y designar el ejecutor de los</w:t>
      </w:r>
      <w:r w:rsidRPr="00134EDD">
        <w:rPr>
          <w:rFonts w:ascii="Arial" w:hAnsi="Arial" w:cs="Arial"/>
          <w:spacing w:val="-5"/>
          <w:sz w:val="20"/>
          <w:szCs w:val="20"/>
        </w:rPr>
        <w:t xml:space="preserve"> </w:t>
      </w:r>
      <w:r w:rsidRPr="00134EDD">
        <w:rPr>
          <w:rFonts w:ascii="Arial" w:hAnsi="Arial" w:cs="Arial"/>
          <w:sz w:val="20"/>
          <w:szCs w:val="20"/>
        </w:rPr>
        <w:t xml:space="preserve">mismos. La ley también estableció las reglas generales de los proyectos de inversión, disponiendo en el artículo 28 que dichos proyectos serán ejecutados por quien designe </w:t>
      </w:r>
      <w:r w:rsidRPr="00134EDD">
        <w:rPr>
          <w:rFonts w:ascii="Arial" w:hAnsi="Arial" w:cs="Arial"/>
          <w:spacing w:val="-3"/>
          <w:sz w:val="20"/>
          <w:szCs w:val="20"/>
        </w:rPr>
        <w:t xml:space="preserve">el </w:t>
      </w:r>
      <w:r w:rsidRPr="00134EDD">
        <w:rPr>
          <w:rFonts w:ascii="Arial" w:hAnsi="Arial" w:cs="Arial"/>
          <w:sz w:val="20"/>
          <w:szCs w:val="20"/>
        </w:rPr>
        <w:t>«Órgano Colegiado de Administración y Decisión – OCAD-, con estricta sujeción al régimen presupuestal definido en esta ley y al de contratación pública vigente y aplicable y el ejecutor</w:t>
      </w:r>
      <w:r w:rsidRPr="00134EDD">
        <w:rPr>
          <w:rFonts w:ascii="Arial" w:hAnsi="Arial" w:cs="Arial"/>
          <w:spacing w:val="9"/>
          <w:sz w:val="20"/>
          <w:szCs w:val="20"/>
        </w:rPr>
        <w:t xml:space="preserve"> </w:t>
      </w:r>
      <w:r w:rsidRPr="00134EDD">
        <w:rPr>
          <w:rFonts w:ascii="Arial" w:hAnsi="Arial" w:cs="Arial"/>
          <w:sz w:val="20"/>
          <w:szCs w:val="20"/>
        </w:rPr>
        <w:t>garantizará</w:t>
      </w:r>
      <w:r w:rsidRPr="00134EDD">
        <w:rPr>
          <w:rFonts w:ascii="Arial" w:hAnsi="Arial" w:cs="Arial"/>
          <w:spacing w:val="11"/>
          <w:sz w:val="20"/>
          <w:szCs w:val="20"/>
        </w:rPr>
        <w:t xml:space="preserve"> </w:t>
      </w:r>
      <w:r w:rsidRPr="00134EDD">
        <w:rPr>
          <w:rFonts w:ascii="Arial" w:hAnsi="Arial" w:cs="Arial"/>
          <w:sz w:val="20"/>
          <w:szCs w:val="20"/>
        </w:rPr>
        <w:t>la</w:t>
      </w:r>
      <w:r w:rsidRPr="00134EDD">
        <w:rPr>
          <w:rFonts w:ascii="Arial" w:hAnsi="Arial" w:cs="Arial"/>
          <w:spacing w:val="16"/>
          <w:sz w:val="20"/>
          <w:szCs w:val="20"/>
        </w:rPr>
        <w:t xml:space="preserve"> </w:t>
      </w:r>
      <w:r w:rsidRPr="00134EDD">
        <w:rPr>
          <w:rFonts w:ascii="Arial" w:hAnsi="Arial" w:cs="Arial"/>
          <w:sz w:val="20"/>
          <w:szCs w:val="20"/>
        </w:rPr>
        <w:t>correcta</w:t>
      </w:r>
      <w:r w:rsidRPr="00134EDD">
        <w:rPr>
          <w:rFonts w:ascii="Arial" w:hAnsi="Arial" w:cs="Arial"/>
          <w:spacing w:val="11"/>
          <w:sz w:val="20"/>
          <w:szCs w:val="20"/>
        </w:rPr>
        <w:t xml:space="preserve"> </w:t>
      </w:r>
      <w:r w:rsidRPr="00134EDD">
        <w:rPr>
          <w:rFonts w:ascii="Arial" w:hAnsi="Arial" w:cs="Arial"/>
          <w:sz w:val="20"/>
          <w:szCs w:val="20"/>
        </w:rPr>
        <w:t>ejecución</w:t>
      </w:r>
      <w:r w:rsidRPr="00134EDD">
        <w:rPr>
          <w:rFonts w:ascii="Arial" w:hAnsi="Arial" w:cs="Arial"/>
          <w:spacing w:val="11"/>
          <w:sz w:val="20"/>
          <w:szCs w:val="20"/>
        </w:rPr>
        <w:t xml:space="preserve"> </w:t>
      </w:r>
      <w:r w:rsidRPr="00134EDD">
        <w:rPr>
          <w:rFonts w:ascii="Arial" w:hAnsi="Arial" w:cs="Arial"/>
          <w:sz w:val="20"/>
          <w:szCs w:val="20"/>
        </w:rPr>
        <w:t>de</w:t>
      </w:r>
      <w:r w:rsidRPr="00134EDD">
        <w:rPr>
          <w:rFonts w:ascii="Arial" w:hAnsi="Arial" w:cs="Arial"/>
          <w:spacing w:val="11"/>
          <w:sz w:val="20"/>
          <w:szCs w:val="20"/>
        </w:rPr>
        <w:t xml:space="preserve"> </w:t>
      </w:r>
      <w:r w:rsidRPr="00134EDD">
        <w:rPr>
          <w:rFonts w:ascii="Arial" w:hAnsi="Arial" w:cs="Arial"/>
          <w:sz w:val="20"/>
          <w:szCs w:val="20"/>
        </w:rPr>
        <w:t>los</w:t>
      </w:r>
      <w:r w:rsidRPr="00134EDD">
        <w:rPr>
          <w:rFonts w:ascii="Arial" w:hAnsi="Arial" w:cs="Arial"/>
          <w:spacing w:val="11"/>
          <w:sz w:val="20"/>
          <w:szCs w:val="20"/>
        </w:rPr>
        <w:t xml:space="preserve"> </w:t>
      </w:r>
      <w:r w:rsidRPr="00134EDD">
        <w:rPr>
          <w:rFonts w:ascii="Arial" w:hAnsi="Arial" w:cs="Arial"/>
          <w:sz w:val="20"/>
          <w:szCs w:val="20"/>
        </w:rPr>
        <w:t>recursos</w:t>
      </w:r>
      <w:r w:rsidRPr="00134EDD">
        <w:rPr>
          <w:rFonts w:ascii="Arial" w:hAnsi="Arial" w:cs="Arial"/>
          <w:spacing w:val="10"/>
          <w:sz w:val="20"/>
          <w:szCs w:val="20"/>
        </w:rPr>
        <w:t xml:space="preserve"> </w:t>
      </w:r>
      <w:r w:rsidRPr="00134EDD">
        <w:rPr>
          <w:rFonts w:ascii="Arial" w:hAnsi="Arial" w:cs="Arial"/>
          <w:sz w:val="20"/>
          <w:szCs w:val="20"/>
        </w:rPr>
        <w:t>asignados</w:t>
      </w:r>
      <w:r w:rsidRPr="00134EDD">
        <w:rPr>
          <w:rFonts w:ascii="Arial" w:hAnsi="Arial" w:cs="Arial"/>
          <w:spacing w:val="11"/>
          <w:sz w:val="20"/>
          <w:szCs w:val="20"/>
        </w:rPr>
        <w:t xml:space="preserve"> </w:t>
      </w:r>
      <w:r w:rsidRPr="00134EDD">
        <w:rPr>
          <w:rFonts w:ascii="Arial" w:hAnsi="Arial" w:cs="Arial"/>
          <w:sz w:val="20"/>
          <w:szCs w:val="20"/>
        </w:rPr>
        <w:t>al</w:t>
      </w:r>
      <w:r w:rsidRPr="00134EDD">
        <w:rPr>
          <w:rFonts w:ascii="Arial" w:hAnsi="Arial" w:cs="Arial"/>
          <w:spacing w:val="11"/>
          <w:sz w:val="20"/>
          <w:szCs w:val="20"/>
        </w:rPr>
        <w:t xml:space="preserve"> </w:t>
      </w:r>
      <w:r w:rsidRPr="00134EDD">
        <w:rPr>
          <w:rFonts w:ascii="Arial" w:hAnsi="Arial" w:cs="Arial"/>
          <w:sz w:val="20"/>
          <w:szCs w:val="20"/>
        </w:rPr>
        <w:t>proyecto</w:t>
      </w:r>
      <w:r w:rsidRPr="00134EDD">
        <w:rPr>
          <w:rFonts w:ascii="Arial" w:hAnsi="Arial" w:cs="Arial"/>
          <w:spacing w:val="11"/>
          <w:sz w:val="20"/>
          <w:szCs w:val="20"/>
        </w:rPr>
        <w:t xml:space="preserve"> </w:t>
      </w:r>
      <w:r w:rsidRPr="00134EDD">
        <w:rPr>
          <w:rFonts w:ascii="Arial" w:hAnsi="Arial" w:cs="Arial"/>
          <w:sz w:val="20"/>
          <w:szCs w:val="20"/>
        </w:rPr>
        <w:t>de inversión». A su vez, el inciso 2 de la misma norma prescribe que para ejecutar dichos proyectos se deberán aplicar las normas contractuales previstas en la Ley 1286 de 2009.</w:t>
      </w:r>
    </w:p>
    <w:p w14:paraId="64195395" w14:textId="77777777" w:rsidR="00134EDD" w:rsidRPr="00134EDD" w:rsidRDefault="00134EDD" w:rsidP="00C8109B">
      <w:pPr>
        <w:pStyle w:val="Textoindependiente"/>
        <w:spacing w:before="0" w:beforeAutospacing="0" w:after="0" w:afterAutospacing="0"/>
        <w:jc w:val="both"/>
        <w:rPr>
          <w:rFonts w:ascii="Arial" w:hAnsi="Arial" w:cs="Arial"/>
          <w:b/>
          <w:bCs/>
          <w:spacing w:val="-3"/>
          <w:sz w:val="22"/>
          <w:szCs w:val="22"/>
          <w:shd w:val="clear" w:color="auto" w:fill="FFFFFF"/>
        </w:rPr>
      </w:pPr>
    </w:p>
    <w:p w14:paraId="37E5D5B3" w14:textId="403C748E" w:rsidR="00134EDD" w:rsidRPr="00134EDD" w:rsidRDefault="00134EDD" w:rsidP="00C8109B">
      <w:pPr>
        <w:pStyle w:val="Textoindependiente"/>
        <w:spacing w:before="0" w:beforeAutospacing="0" w:after="0" w:afterAutospacing="0"/>
        <w:jc w:val="both"/>
        <w:rPr>
          <w:rFonts w:ascii="Arial" w:hAnsi="Arial" w:cs="Arial"/>
          <w:b/>
          <w:bCs/>
          <w:spacing w:val="-3"/>
          <w:sz w:val="22"/>
          <w:szCs w:val="22"/>
          <w:shd w:val="clear" w:color="auto" w:fill="FFFFFF"/>
        </w:rPr>
      </w:pPr>
      <w:r w:rsidRPr="00134EDD">
        <w:rPr>
          <w:rFonts w:ascii="Arial" w:hAnsi="Arial" w:cs="Arial"/>
          <w:b/>
          <w:bCs/>
          <w:spacing w:val="-3"/>
          <w:sz w:val="22"/>
          <w:szCs w:val="22"/>
          <w:shd w:val="clear" w:color="auto" w:fill="FFFFFF"/>
        </w:rPr>
        <w:t>SISTEMA GENERAL DE REGALÍAS – Normativa – Ciencia – Tecnología – Innovación</w:t>
      </w:r>
    </w:p>
    <w:p w14:paraId="0743F5BE" w14:textId="77777777" w:rsidR="00134EDD" w:rsidRPr="00134EDD" w:rsidRDefault="00134EDD" w:rsidP="00C8109B">
      <w:pPr>
        <w:pStyle w:val="Textoindependiente"/>
        <w:spacing w:before="0" w:beforeAutospacing="0" w:after="0" w:afterAutospacing="0"/>
        <w:jc w:val="both"/>
        <w:rPr>
          <w:rFonts w:ascii="Arial" w:hAnsi="Arial" w:cs="Arial"/>
          <w:sz w:val="20"/>
          <w:szCs w:val="20"/>
        </w:rPr>
      </w:pPr>
    </w:p>
    <w:p w14:paraId="553738F6" w14:textId="77777777" w:rsidR="00134EDD" w:rsidRPr="00134EDD" w:rsidRDefault="00134EDD" w:rsidP="00134EDD">
      <w:pPr>
        <w:pStyle w:val="NormalWeb"/>
        <w:spacing w:before="0" w:beforeAutospacing="0" w:after="120" w:afterAutospacing="0"/>
        <w:jc w:val="both"/>
        <w:rPr>
          <w:rFonts w:ascii="Arial" w:hAnsi="Arial" w:cs="Arial"/>
          <w:sz w:val="20"/>
          <w:szCs w:val="20"/>
        </w:rPr>
      </w:pPr>
      <w:r w:rsidRPr="00134EDD">
        <w:rPr>
          <w:rFonts w:ascii="Arial" w:hAnsi="Arial" w:cs="Arial"/>
          <w:sz w:val="20"/>
          <w:szCs w:val="20"/>
        </w:rPr>
        <w:t xml:space="preserve">El artículo  361 de la Constitución fue objeto de modificación por parte del Acto Legislativo 4 de 2017, el cual adicionó los parágrafos 4 y 5, el primero relacionado con la financiación de proyectos </w:t>
      </w:r>
      <w:r w:rsidRPr="00134EDD">
        <w:rPr>
          <w:rFonts w:ascii="Arial" w:hAnsi="Arial" w:cs="Arial"/>
          <w:sz w:val="20"/>
          <w:szCs w:val="20"/>
        </w:rPr>
        <w:lastRenderedPageBreak/>
        <w:t xml:space="preserve">relacionados con el Acuerdo Final de Paz, y el segundo con la inversión de recursos del Fondo de Ciencia, Tecnología e Innovación, definiéndose que «Los programas o proyectos de inversión que se financien con recursos del Fondo de Ciencia, Tecnología e Innovación del Sistema General de Regalías, serán definidos por el Órgano Colegiado de Administración y Decisión (OCAD) de Ciencia, Tecnología e Innovación, a través de convocatorias públicas, abiertas y competitivas». </w:t>
      </w:r>
    </w:p>
    <w:p w14:paraId="42912563" w14:textId="77777777" w:rsidR="00134EDD" w:rsidRPr="00134EDD" w:rsidRDefault="00134EDD" w:rsidP="00134EDD">
      <w:pPr>
        <w:pStyle w:val="NormalWeb"/>
        <w:spacing w:before="0" w:beforeAutospacing="0" w:after="0" w:afterAutospacing="0"/>
        <w:jc w:val="both"/>
        <w:rPr>
          <w:rFonts w:ascii="Arial" w:hAnsi="Arial" w:cs="Arial"/>
          <w:sz w:val="20"/>
          <w:szCs w:val="20"/>
        </w:rPr>
      </w:pPr>
      <w:r w:rsidRPr="00134EDD">
        <w:rPr>
          <w:rFonts w:ascii="Arial" w:hAnsi="Arial" w:cs="Arial"/>
          <w:sz w:val="20"/>
          <w:szCs w:val="20"/>
        </w:rPr>
        <w:t xml:space="preserve">El parágrafo 5 del artículo 361 superior fue regulado por la Ley 1923 de 2018, la cual establece en su artículo 3 </w:t>
      </w:r>
      <w:r w:rsidRPr="00134EDD">
        <w:rPr>
          <w:rStyle w:val="Textoennegrita"/>
          <w:rFonts w:ascii="Arial" w:hAnsi="Arial" w:cs="Arial"/>
          <w:b w:val="0"/>
          <w:bCs w:val="0"/>
          <w:sz w:val="20"/>
          <w:szCs w:val="20"/>
        </w:rPr>
        <w:t>que</w:t>
      </w:r>
      <w:r w:rsidRPr="00134EDD">
        <w:rPr>
          <w:rStyle w:val="nfasis"/>
          <w:rFonts w:ascii="Arial" w:hAnsi="Arial" w:cs="Arial"/>
          <w:sz w:val="20"/>
          <w:szCs w:val="20"/>
        </w:rPr>
        <w:t> «</w:t>
      </w:r>
      <w:r w:rsidRPr="00134EDD">
        <w:rPr>
          <w:rFonts w:ascii="Arial" w:hAnsi="Arial" w:cs="Arial"/>
          <w:sz w:val="20"/>
          <w:szCs w:val="20"/>
        </w:rPr>
        <w:t>Solo podrán presentar y ejecutar programas o proyectos de inversión a los que se refiere la presente ley, las entidades que hagan parte del Sistema Nacional de Ciencia, Tecnología e Innovación, de conformidad con lo establecido en el artículo 20 de la Ley 1286 de 2009 o la que la modifique o sustituya». Ahora, el artículo 20 de la Ley 1286 de 2009, si bien no contiene un listado de las entidades que hacen parte del Sistema Nacional de Ciencia, Tecnología e Innovación, si establece que del mismo hacen las «organizaciones públicas, privadas o mixtas que realicen o promuevan el desarrollo de actividades científicas, tecnológicas y de innovación», texto normativo abierto que integra al sistema a todas las entidades que realicen o promuevan actividades científicas, tecnológicas y de innovación, independiente de su naturaleza, quienes en virtud de la remisión del artículo 3 de la Ley 1923 de 2018, podrán presentar proyectos al Órgano Colegiado de Administración y Decisión de Ciencia, y de ser escogidas podrán ser ejecutoras de recursos del SGR provenientes del Fondo de Ciencia, Tecnología e Innovación.</w:t>
      </w:r>
    </w:p>
    <w:p w14:paraId="14E90E20" w14:textId="77777777" w:rsidR="00134EDD" w:rsidRPr="00134EDD" w:rsidRDefault="00134EDD" w:rsidP="00134EDD">
      <w:pPr>
        <w:pStyle w:val="NormalWeb"/>
        <w:spacing w:before="0" w:beforeAutospacing="0" w:after="0" w:afterAutospacing="0"/>
        <w:jc w:val="both"/>
        <w:rPr>
          <w:rFonts w:ascii="Arial" w:hAnsi="Arial" w:cs="Arial"/>
          <w:sz w:val="20"/>
          <w:szCs w:val="20"/>
        </w:rPr>
      </w:pPr>
    </w:p>
    <w:p w14:paraId="4BCFABA7" w14:textId="70AAFB0B" w:rsidR="00134EDD" w:rsidRPr="00134EDD" w:rsidRDefault="00134EDD" w:rsidP="00134EDD">
      <w:pPr>
        <w:pStyle w:val="NormalWeb"/>
        <w:spacing w:before="0" w:beforeAutospacing="0" w:after="0" w:afterAutospacing="0"/>
        <w:jc w:val="both"/>
        <w:rPr>
          <w:rFonts w:ascii="Arial" w:hAnsi="Arial" w:cs="Arial"/>
          <w:b/>
          <w:bCs/>
          <w:sz w:val="22"/>
          <w:szCs w:val="22"/>
        </w:rPr>
      </w:pPr>
      <w:r w:rsidRPr="00134EDD">
        <w:rPr>
          <w:rFonts w:ascii="Arial" w:hAnsi="Arial" w:cs="Arial"/>
          <w:b/>
          <w:bCs/>
          <w:sz w:val="22"/>
          <w:szCs w:val="22"/>
        </w:rPr>
        <w:t>SECOP – Obligación – Publicación – Documentos –</w:t>
      </w:r>
      <w:r w:rsidR="00B25BBC">
        <w:rPr>
          <w:rFonts w:ascii="Arial" w:hAnsi="Arial" w:cs="Arial"/>
          <w:b/>
          <w:bCs/>
          <w:sz w:val="22"/>
          <w:szCs w:val="22"/>
        </w:rPr>
        <w:t xml:space="preserve"> </w:t>
      </w:r>
      <w:bookmarkStart w:id="5" w:name="_GoBack"/>
      <w:bookmarkEnd w:id="5"/>
      <w:r w:rsidRPr="00134EDD">
        <w:rPr>
          <w:rFonts w:ascii="Arial" w:hAnsi="Arial" w:cs="Arial"/>
          <w:b/>
          <w:bCs/>
          <w:sz w:val="22"/>
          <w:szCs w:val="22"/>
        </w:rPr>
        <w:t>EGCAP –</w:t>
      </w:r>
      <w:r w:rsidR="00B25BBC">
        <w:rPr>
          <w:rFonts w:ascii="Arial" w:hAnsi="Arial" w:cs="Arial"/>
          <w:b/>
          <w:bCs/>
          <w:sz w:val="22"/>
          <w:szCs w:val="22"/>
        </w:rPr>
        <w:t xml:space="preserve"> </w:t>
      </w:r>
      <w:r w:rsidRPr="00134EDD">
        <w:rPr>
          <w:rFonts w:ascii="Arial" w:hAnsi="Arial" w:cs="Arial"/>
          <w:b/>
          <w:bCs/>
          <w:sz w:val="22"/>
          <w:szCs w:val="22"/>
        </w:rPr>
        <w:t>Entidades exceptuadas</w:t>
      </w:r>
    </w:p>
    <w:p w14:paraId="78F91130" w14:textId="77777777" w:rsidR="00134EDD" w:rsidRPr="00134EDD" w:rsidRDefault="00134EDD" w:rsidP="00134EDD">
      <w:pPr>
        <w:pStyle w:val="NormalWeb"/>
        <w:spacing w:before="0" w:beforeAutospacing="0" w:after="0" w:afterAutospacing="0"/>
        <w:jc w:val="both"/>
        <w:rPr>
          <w:rFonts w:ascii="Arial" w:hAnsi="Arial" w:cs="Arial"/>
          <w:sz w:val="20"/>
          <w:szCs w:val="20"/>
        </w:rPr>
      </w:pPr>
    </w:p>
    <w:p w14:paraId="06155162" w14:textId="77777777" w:rsidR="00134EDD" w:rsidRPr="00134EDD" w:rsidRDefault="00134EDD" w:rsidP="00134EDD">
      <w:pPr>
        <w:pStyle w:val="NormalWeb"/>
        <w:spacing w:before="0" w:beforeAutospacing="0" w:after="120" w:afterAutospacing="0"/>
        <w:jc w:val="both"/>
        <w:rPr>
          <w:rFonts w:ascii="Arial" w:hAnsi="Arial" w:cs="Arial"/>
          <w:sz w:val="20"/>
          <w:szCs w:val="20"/>
        </w:rPr>
      </w:pPr>
      <w:r w:rsidRPr="00134EDD">
        <w:rPr>
          <w:rFonts w:ascii="Arial" w:hAnsi="Arial" w:cs="Arial"/>
          <w:sz w:val="20"/>
          <w:szCs w:val="20"/>
        </w:rPr>
        <w:t>La obligación de publicar la documentación relacionada con los procesos de contratación en el SECOP, en el caso de las entidades estatales regidas por el Estatuto General de Contratación de la Administración Pública, fue reglamentada por el artículo 2.2.1.1.1.7.1 del Decreto 1082 de 2015, en el que se estableció que «La Entidad Estatal está obligada a publicar en el Secop los Documentos del Proceso y los actos administrativos del Proceso de Contratación, dentro de los tres (3) días siguientes a su expedición». El cumplimiento de esta obligación, conforme precisó esta Agencia en el concepto CU-367 del 23 de julio de 2020 –radicado No. 2202013000006561–, implica que las entidades estatales «deben publicar en dicha plataforma, además del Plan Anual de Adquisiciones, todos los documentos, actos administrativos o actuaciones producidos con ocasión del Proceso de Contratación».</w:t>
      </w:r>
    </w:p>
    <w:p w14:paraId="7ADFC24A" w14:textId="77777777" w:rsidR="00134EDD" w:rsidRPr="00134EDD" w:rsidRDefault="00134EDD" w:rsidP="00134EDD">
      <w:pPr>
        <w:pStyle w:val="NormalWeb"/>
        <w:spacing w:before="0" w:beforeAutospacing="0" w:after="0" w:afterAutospacing="0"/>
        <w:jc w:val="both"/>
        <w:rPr>
          <w:rFonts w:ascii="Arial" w:hAnsi="Arial" w:cs="Arial"/>
          <w:sz w:val="20"/>
          <w:szCs w:val="20"/>
        </w:rPr>
      </w:pPr>
      <w:r w:rsidRPr="00134EDD">
        <w:rPr>
          <w:rFonts w:ascii="Arial" w:hAnsi="Arial" w:cs="Arial"/>
          <w:sz w:val="20"/>
          <w:szCs w:val="20"/>
        </w:rPr>
        <w:t>En cuanto a la obligación de publicar en el SECOP de las entidades estatales exceptuadas del EGCAP, esta Agencia expidió el concepto CU–003 del 15 de enero de 2020 –radicado No. 2202013000000164–, en el que se determinó que estas deben publicar en dicha plataforma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14:paraId="6C7D94D8" w14:textId="77777777" w:rsidR="00134EDD" w:rsidRPr="00134EDD" w:rsidRDefault="00134EDD" w:rsidP="00134EDD">
      <w:pPr>
        <w:pStyle w:val="NormalWeb"/>
        <w:spacing w:before="0" w:beforeAutospacing="0" w:after="0" w:afterAutospacing="0"/>
        <w:jc w:val="both"/>
        <w:rPr>
          <w:rFonts w:ascii="Arial" w:hAnsi="Arial" w:cs="Arial"/>
          <w:b/>
          <w:bCs/>
          <w:sz w:val="22"/>
          <w:szCs w:val="22"/>
        </w:rPr>
      </w:pPr>
    </w:p>
    <w:p w14:paraId="28C40680" w14:textId="77777777" w:rsidR="00134EDD" w:rsidRPr="00134EDD" w:rsidRDefault="00134EDD" w:rsidP="00134EDD">
      <w:pPr>
        <w:pStyle w:val="NormalWeb"/>
        <w:spacing w:before="0" w:beforeAutospacing="0" w:after="240" w:afterAutospacing="0"/>
        <w:jc w:val="both"/>
        <w:rPr>
          <w:rFonts w:ascii="Arial" w:hAnsi="Arial" w:cs="Arial"/>
          <w:b/>
          <w:bCs/>
          <w:sz w:val="22"/>
          <w:szCs w:val="22"/>
        </w:rPr>
      </w:pPr>
      <w:r w:rsidRPr="00134EDD">
        <w:rPr>
          <w:rFonts w:ascii="Arial" w:hAnsi="Arial" w:cs="Arial"/>
          <w:b/>
          <w:bCs/>
          <w:sz w:val="22"/>
          <w:szCs w:val="22"/>
        </w:rPr>
        <w:t>SECOP – Transparencia – Información pública</w:t>
      </w:r>
    </w:p>
    <w:p w14:paraId="033A22DD" w14:textId="77777777" w:rsidR="00134EDD" w:rsidRPr="00134EDD" w:rsidRDefault="00134EDD" w:rsidP="00134EDD">
      <w:pPr>
        <w:pStyle w:val="NormalWeb"/>
        <w:spacing w:before="0" w:beforeAutospacing="0" w:after="0"/>
        <w:jc w:val="both"/>
        <w:rPr>
          <w:rFonts w:ascii="Arial" w:hAnsi="Arial" w:cs="Arial"/>
          <w:sz w:val="20"/>
          <w:szCs w:val="20"/>
        </w:rPr>
      </w:pPr>
      <w:r w:rsidRPr="00134EDD">
        <w:rPr>
          <w:rFonts w:ascii="Arial" w:hAnsi="Arial" w:cs="Arial"/>
          <w:sz w:val="20"/>
          <w:szCs w:val="20"/>
        </w:rPr>
        <w:t xml:space="preserve">La Ley 1712 de 2014, por medio de la cual se regula la transparencia y el derecho de acceso a la información pública nacional, identifica como principios que orientan el derecho de acceso a la información pública el de máxima publicidad y transparencia en la información. El principio de máxima publicidad establece que «toda información en posesión, bajo control o custodia de un sujeto obligado es pública y no podrá ser reservada o limitada sino por disposición constitucional o legal» . Por su parte, el principio de transparencia en la información alude al deber de los sujetos obligados de proporcionar y facilitar el acceso a la misma en los términos más amplios posibles, y a través de los medios y procedimientos que establezca la ley. </w:t>
      </w:r>
    </w:p>
    <w:p w14:paraId="68581AE6" w14:textId="77777777" w:rsidR="00134EDD" w:rsidRPr="00134EDD" w:rsidRDefault="00134EDD" w:rsidP="00134EDD">
      <w:pPr>
        <w:pStyle w:val="NormalWeb"/>
        <w:spacing w:after="0"/>
        <w:jc w:val="both"/>
        <w:rPr>
          <w:rFonts w:ascii="Arial" w:hAnsi="Arial" w:cs="Arial"/>
          <w:sz w:val="20"/>
          <w:szCs w:val="20"/>
        </w:rPr>
      </w:pPr>
      <w:r w:rsidRPr="00134EDD">
        <w:rPr>
          <w:rFonts w:ascii="Arial" w:hAnsi="Arial" w:cs="Arial"/>
          <w:sz w:val="20"/>
          <w:szCs w:val="20"/>
        </w:rPr>
        <w:lastRenderedPageBreak/>
        <w:t>La ley citada establece, en el literal e) del artículo 9, que los sujetos obligados, deben publicar la información relativa a su contratación. Esta obligación fue en principio desarrollada por el Decreto 103 de 2015, hoy compilado en el Decreto Único Reglamentario 1081 de 2015 , el cual dispuso que la publicación de la información contractual de los sujetos obligados, que contratan con cargo a recursos públicos, debe hacerse en el Sistema Electrónico de Contratación Pública –SECOP–.</w:t>
      </w:r>
      <w:r w:rsidRPr="00134EDD">
        <w:rPr>
          <w:rFonts w:ascii="Arial" w:hAnsi="Arial" w:cs="Arial"/>
          <w:sz w:val="20"/>
          <w:szCs w:val="20"/>
        </w:rPr>
        <w:tab/>
        <w:t>El Decreto 1081 de 2015 señala en el artículo 2.1.1.2.1.7, que las entidades deberán publicar en el SECOP la información de su gestión contractual . Por su parte, el artículo 2.1.1.2.1.9 expresa que las entidades deberán publicar los procedimientos, lineamientos y políticas en materia de adquisición, que no son otros que los previstos en el manual de contratación, el cual debe publicarse en el sitio web del sujeto obligado . El artículo 2.1.1.2.1.10 establece la obligación que tienen las entidades de publicar en el SECOP el Plan Anual de Adquisiciones.</w:t>
      </w:r>
    </w:p>
    <w:p w14:paraId="170CE69D" w14:textId="77777777" w:rsidR="00134EDD" w:rsidRPr="00134EDD" w:rsidRDefault="00134EDD" w:rsidP="00134EDD">
      <w:pPr>
        <w:pStyle w:val="NormalWeb"/>
        <w:spacing w:before="0" w:beforeAutospacing="0" w:after="0" w:afterAutospacing="0"/>
        <w:jc w:val="both"/>
        <w:rPr>
          <w:rFonts w:ascii="Arial" w:hAnsi="Arial" w:cs="Arial"/>
          <w:b/>
          <w:bCs/>
          <w:sz w:val="22"/>
          <w:szCs w:val="22"/>
        </w:rPr>
      </w:pPr>
      <w:r w:rsidRPr="00134EDD">
        <w:rPr>
          <w:rFonts w:ascii="Arial" w:hAnsi="Arial" w:cs="Arial"/>
          <w:b/>
          <w:bCs/>
          <w:sz w:val="22"/>
          <w:szCs w:val="22"/>
        </w:rPr>
        <w:t>LEY 1712 de 2014 –Sujetos obligados – Recursos públicos – Instituciones privadas – Educación superior</w:t>
      </w:r>
    </w:p>
    <w:p w14:paraId="64F7E595" w14:textId="77777777" w:rsidR="00134EDD" w:rsidRPr="00134EDD" w:rsidRDefault="00134EDD" w:rsidP="00134EDD">
      <w:pPr>
        <w:pStyle w:val="NormalWeb"/>
        <w:spacing w:before="0" w:beforeAutospacing="0" w:after="0" w:afterAutospacing="0"/>
        <w:jc w:val="both"/>
        <w:rPr>
          <w:rFonts w:ascii="Arial" w:hAnsi="Arial" w:cs="Arial"/>
          <w:sz w:val="20"/>
          <w:szCs w:val="20"/>
        </w:rPr>
      </w:pPr>
    </w:p>
    <w:p w14:paraId="152F6916" w14:textId="77777777" w:rsidR="00134EDD" w:rsidRPr="00134EDD" w:rsidRDefault="00134EDD" w:rsidP="00134EDD">
      <w:pPr>
        <w:spacing w:after="120"/>
        <w:jc w:val="both"/>
        <w:rPr>
          <w:rFonts w:ascii="Arial" w:eastAsia="Calibri" w:hAnsi="Arial" w:cs="Arial"/>
          <w:sz w:val="20"/>
          <w:szCs w:val="20"/>
          <w:lang w:val="es-ES"/>
        </w:rPr>
      </w:pPr>
      <w:r w:rsidRPr="00134EDD">
        <w:rPr>
          <w:rFonts w:ascii="Arial" w:eastAsia="Calibri" w:hAnsi="Arial" w:cs="Arial"/>
          <w:sz w:val="20"/>
          <w:szCs w:val="20"/>
          <w:lang w:val="es-ES"/>
        </w:rPr>
        <w:t xml:space="preserve">Las instituciones privadas de educación superior al no ostentar la calidad entidades estatales, ni estar, en principio, definidas como sujetos obligados por la Ley 1712 de 2014, no estan obligadas a publicar en el SECOP su actividad contractual. </w:t>
      </w:r>
    </w:p>
    <w:p w14:paraId="56DF304E" w14:textId="150831FC" w:rsidR="00134EDD" w:rsidRPr="00134EDD" w:rsidRDefault="00134EDD" w:rsidP="00134EDD">
      <w:pPr>
        <w:jc w:val="both"/>
        <w:rPr>
          <w:rFonts w:ascii="Arial" w:eastAsia="Calibri" w:hAnsi="Arial" w:cs="Arial"/>
          <w:sz w:val="20"/>
          <w:szCs w:val="20"/>
          <w:lang w:val="es-ES"/>
        </w:rPr>
      </w:pPr>
      <w:r w:rsidRPr="00134EDD">
        <w:rPr>
          <w:rFonts w:ascii="Arial" w:eastAsia="Calibri" w:hAnsi="Arial" w:cs="Arial"/>
          <w:sz w:val="20"/>
          <w:szCs w:val="20"/>
          <w:lang w:val="es-ES"/>
        </w:rPr>
        <w:t xml:space="preserve">Sin embargo, al ser un proyecto presentado por una institución privada de educación superior seleccionado para la ejecución de recursos del SGR, dicha institución se convierte en un </w:t>
      </w:r>
      <w:r w:rsidRPr="00134EDD">
        <w:rPr>
          <w:rFonts w:ascii="Arial" w:eastAsia="Calibri" w:hAnsi="Arial" w:cs="Arial"/>
          <w:i/>
          <w:iCs/>
          <w:sz w:val="20"/>
          <w:szCs w:val="20"/>
          <w:lang w:val="es-ES"/>
        </w:rPr>
        <w:t>sujeto obligado</w:t>
      </w:r>
      <w:r w:rsidRPr="00134EDD">
        <w:rPr>
          <w:rFonts w:ascii="Arial" w:eastAsia="Calibri" w:hAnsi="Arial" w:cs="Arial"/>
          <w:sz w:val="20"/>
          <w:szCs w:val="20"/>
          <w:lang w:val="es-ES"/>
        </w:rPr>
        <w:t xml:space="preserve"> por la normativa de la transparencia y acceso a la información pública en virtud del inciso final del artículo 5 de la Ley 1712 de 2014. En razón de tal calidad, y de conformidad con los artículos artículo 11 de la Ley 1712 de 2014, 2.1.1.2.1.7, 2.1.1.2.1.8 y 2.1.1.2.1.9 del Decreto 1081 de 2015, estará obligada a publicar en el SECOP I los procedimientos y la información de la gestión contractual relacionada con la ejecución de los recursos públicos de los que se beneficia. </w:t>
      </w:r>
    </w:p>
    <w:p w14:paraId="7A5C8525" w14:textId="744D8C5B" w:rsidR="003275EF" w:rsidRPr="00C8109B" w:rsidRDefault="003275EF" w:rsidP="003275EF">
      <w:pPr>
        <w:autoSpaceDE w:val="0"/>
        <w:autoSpaceDN w:val="0"/>
        <w:adjustRightInd w:val="0"/>
        <w:rPr>
          <w:rFonts w:ascii="Arial" w:hAnsi="Arial" w:cs="Arial"/>
          <w:color w:val="000000"/>
          <w:sz w:val="20"/>
          <w:szCs w:val="20"/>
          <w:lang w:val="es-CO"/>
        </w:rPr>
      </w:pPr>
    </w:p>
    <w:p w14:paraId="778A62B3" w14:textId="77777777" w:rsidR="00C8109B" w:rsidRDefault="00C8109B" w:rsidP="003275EF">
      <w:pPr>
        <w:autoSpaceDE w:val="0"/>
        <w:autoSpaceDN w:val="0"/>
        <w:adjustRightInd w:val="0"/>
        <w:rPr>
          <w:rFonts w:ascii="Arial" w:hAnsi="Arial" w:cs="Arial"/>
          <w:color w:val="000000"/>
          <w:sz w:val="20"/>
          <w:szCs w:val="20"/>
          <w:lang w:val="es-CO"/>
        </w:rPr>
      </w:pPr>
    </w:p>
    <w:p w14:paraId="4A6CE4F6" w14:textId="49525B6E" w:rsidR="003275EF" w:rsidRPr="003275EF" w:rsidRDefault="003275EF" w:rsidP="003275EF">
      <w:pPr>
        <w:autoSpaceDE w:val="0"/>
        <w:autoSpaceDN w:val="0"/>
        <w:adjustRightInd w:val="0"/>
        <w:rPr>
          <w:rFonts w:ascii="Arial" w:hAnsi="Arial" w:cs="Arial"/>
          <w:color w:val="000000"/>
          <w:sz w:val="22"/>
          <w:lang w:val="es-CO"/>
        </w:rPr>
      </w:pPr>
      <w:r w:rsidRPr="003275EF">
        <w:rPr>
          <w:rFonts w:ascii="Arial" w:hAnsi="Arial" w:cs="Arial"/>
          <w:color w:val="000000"/>
          <w:sz w:val="22"/>
          <w:lang w:val="es-CO"/>
        </w:rPr>
        <w:t xml:space="preserve">Bogotá D.C., </w:t>
      </w:r>
      <w:r w:rsidRPr="003275EF">
        <w:rPr>
          <w:rFonts w:ascii="Arial" w:hAnsi="Arial" w:cs="Arial"/>
          <w:b/>
          <w:bCs/>
          <w:color w:val="000000"/>
          <w:sz w:val="22"/>
          <w:lang w:val="es-CO"/>
        </w:rPr>
        <w:t xml:space="preserve">31/07/2020 Hora 19:22:55s </w:t>
      </w:r>
    </w:p>
    <w:p w14:paraId="5FBBB9F3" w14:textId="4E988968" w:rsidR="003275EF" w:rsidRPr="00134EDD" w:rsidRDefault="003275EF" w:rsidP="003275EF">
      <w:pPr>
        <w:jc w:val="right"/>
        <w:rPr>
          <w:rFonts w:ascii="Arial" w:hAnsi="Arial" w:cs="Arial"/>
          <w:b/>
          <w:sz w:val="22"/>
        </w:rPr>
      </w:pPr>
      <w:r w:rsidRPr="003275EF">
        <w:rPr>
          <w:rFonts w:ascii="Arial" w:hAnsi="Arial" w:cs="Arial"/>
          <w:b/>
          <w:bCs/>
          <w:color w:val="000000"/>
          <w:sz w:val="22"/>
          <w:lang w:val="es-CO"/>
        </w:rPr>
        <w:t>N° Radicado: 2202013000006980</w:t>
      </w:r>
    </w:p>
    <w:p w14:paraId="1A6F1B4C" w14:textId="794278CE" w:rsidR="009B7F9B" w:rsidRDefault="009B7F9B" w:rsidP="009B7F9B">
      <w:pPr>
        <w:rPr>
          <w:rFonts w:ascii="Arial" w:eastAsia="Calibri" w:hAnsi="Arial" w:cs="Arial"/>
          <w:sz w:val="22"/>
        </w:rPr>
      </w:pPr>
    </w:p>
    <w:p w14:paraId="76CE4BD4" w14:textId="77777777" w:rsidR="00E45206" w:rsidRPr="00134EDD" w:rsidRDefault="00E45206" w:rsidP="009B7F9B">
      <w:pPr>
        <w:rPr>
          <w:rFonts w:ascii="Arial" w:eastAsia="Calibri" w:hAnsi="Arial" w:cs="Arial"/>
          <w:sz w:val="22"/>
        </w:rPr>
      </w:pPr>
    </w:p>
    <w:p w14:paraId="1C09940F" w14:textId="5DE62D28" w:rsidR="00CF22D5" w:rsidRPr="00134EDD" w:rsidRDefault="009B7F9B" w:rsidP="009B7F9B">
      <w:pPr>
        <w:rPr>
          <w:rFonts w:ascii="Arial" w:eastAsia="Calibri" w:hAnsi="Arial" w:cs="Arial"/>
          <w:sz w:val="22"/>
        </w:rPr>
      </w:pPr>
      <w:r w:rsidRPr="00134EDD">
        <w:rPr>
          <w:rFonts w:ascii="Arial" w:eastAsia="Calibri" w:hAnsi="Arial" w:cs="Arial"/>
          <w:sz w:val="22"/>
        </w:rPr>
        <w:t>Señor</w:t>
      </w:r>
      <w:r w:rsidR="00134EDD">
        <w:rPr>
          <w:rFonts w:ascii="Arial" w:eastAsia="Calibri" w:hAnsi="Arial" w:cs="Arial"/>
          <w:sz w:val="22"/>
        </w:rPr>
        <w:t>a y señor</w:t>
      </w:r>
    </w:p>
    <w:p w14:paraId="493B49C6" w14:textId="77777777" w:rsidR="00CF22D5" w:rsidRPr="00134EDD" w:rsidRDefault="00CF22D5" w:rsidP="00CF22D5">
      <w:pPr>
        <w:rPr>
          <w:rFonts w:ascii="Arial" w:eastAsia="Calibri" w:hAnsi="Arial" w:cs="Arial"/>
          <w:b/>
          <w:sz w:val="22"/>
        </w:rPr>
      </w:pPr>
      <w:r w:rsidRPr="00134EDD">
        <w:rPr>
          <w:rFonts w:ascii="Arial" w:eastAsia="Calibri" w:hAnsi="Arial" w:cs="Arial"/>
          <w:b/>
          <w:sz w:val="22"/>
        </w:rPr>
        <w:t xml:space="preserve">F. Yaneth López </w:t>
      </w:r>
    </w:p>
    <w:p w14:paraId="2A4AA8A6" w14:textId="6A4E2040" w:rsidR="00CF22D5" w:rsidRPr="00134EDD" w:rsidRDefault="00CF22D5" w:rsidP="009B7F9B">
      <w:pPr>
        <w:rPr>
          <w:rFonts w:ascii="Arial" w:eastAsia="Calibri" w:hAnsi="Arial" w:cs="Arial"/>
          <w:b/>
          <w:bCs/>
          <w:sz w:val="22"/>
        </w:rPr>
      </w:pPr>
      <w:r w:rsidRPr="00134EDD">
        <w:rPr>
          <w:rFonts w:ascii="Arial" w:eastAsia="Calibri" w:hAnsi="Arial" w:cs="Arial"/>
          <w:b/>
          <w:bCs/>
          <w:sz w:val="22"/>
        </w:rPr>
        <w:t xml:space="preserve">Alexis Ferley Bohórquez </w:t>
      </w:r>
    </w:p>
    <w:p w14:paraId="62AAF159" w14:textId="29C46697" w:rsidR="009B7F9B" w:rsidRPr="00134EDD" w:rsidRDefault="00CF22D5" w:rsidP="009B7F9B">
      <w:pPr>
        <w:rPr>
          <w:rFonts w:ascii="Arial" w:eastAsia="Calibri" w:hAnsi="Arial" w:cs="Arial"/>
          <w:sz w:val="22"/>
        </w:rPr>
      </w:pPr>
      <w:r w:rsidRPr="00134EDD">
        <w:rPr>
          <w:rFonts w:ascii="Arial" w:eastAsia="Calibri" w:hAnsi="Arial" w:cs="Arial"/>
          <w:sz w:val="22"/>
        </w:rPr>
        <w:t>Yopal, Casanare</w:t>
      </w:r>
    </w:p>
    <w:p w14:paraId="52F9C018" w14:textId="77777777" w:rsidR="009B7F9B" w:rsidRPr="00134EDD" w:rsidRDefault="009B7F9B" w:rsidP="009B7F9B">
      <w:pPr>
        <w:rPr>
          <w:rFonts w:ascii="Arial" w:eastAsia="Calibri" w:hAnsi="Arial" w:cs="Arial"/>
          <w:sz w:val="22"/>
        </w:rPr>
      </w:pPr>
    </w:p>
    <w:p w14:paraId="2921B229" w14:textId="77777777" w:rsidR="009B7F9B" w:rsidRPr="00134EDD" w:rsidRDefault="009B7F9B" w:rsidP="009B7F9B">
      <w:pPr>
        <w:rPr>
          <w:rFonts w:ascii="Arial" w:eastAsia="Calibri" w:hAnsi="Arial" w:cs="Arial"/>
          <w:sz w:val="22"/>
        </w:rPr>
      </w:pPr>
    </w:p>
    <w:p w14:paraId="0CBC855F" w14:textId="0B7C31E2" w:rsidR="009B7F9B" w:rsidRPr="00134EDD" w:rsidRDefault="00AE5EFA" w:rsidP="008C0579">
      <w:pPr>
        <w:rPr>
          <w:rFonts w:ascii="Arial" w:eastAsia="Calibri" w:hAnsi="Arial" w:cs="Arial"/>
          <w:b/>
          <w:sz w:val="22"/>
        </w:rPr>
      </w:pPr>
      <w:r w:rsidRPr="00134EDD">
        <w:rPr>
          <w:rFonts w:ascii="Arial" w:eastAsia="Calibri" w:hAnsi="Arial" w:cs="Arial"/>
          <w:b/>
          <w:sz w:val="22"/>
        </w:rPr>
        <w:t xml:space="preserve">                                            </w:t>
      </w:r>
      <w:r w:rsidR="009B7F9B" w:rsidRPr="00134EDD">
        <w:rPr>
          <w:rFonts w:ascii="Arial" w:eastAsia="Calibri" w:hAnsi="Arial" w:cs="Arial"/>
          <w:b/>
          <w:sz w:val="22"/>
        </w:rPr>
        <w:t xml:space="preserve">Concepto C – </w:t>
      </w:r>
      <w:r w:rsidR="00CF22D5" w:rsidRPr="00134EDD">
        <w:rPr>
          <w:rFonts w:ascii="Arial" w:eastAsia="Calibri" w:hAnsi="Arial" w:cs="Arial"/>
          <w:b/>
          <w:sz w:val="22"/>
        </w:rPr>
        <w:t>504</w:t>
      </w:r>
      <w:r w:rsidR="006E15C5" w:rsidRPr="00134EDD">
        <w:rPr>
          <w:rFonts w:ascii="Arial" w:eastAsia="Calibri" w:hAnsi="Arial" w:cs="Arial"/>
          <w:b/>
          <w:sz w:val="22"/>
        </w:rPr>
        <w:t xml:space="preserve"> </w:t>
      </w:r>
      <w:r w:rsidR="009B7F9B" w:rsidRPr="00134EDD">
        <w:rPr>
          <w:rFonts w:ascii="Arial" w:eastAsia="Calibri" w:hAnsi="Arial" w:cs="Arial"/>
          <w:b/>
          <w:sz w:val="22"/>
        </w:rPr>
        <w:t>de 2020</w:t>
      </w:r>
    </w:p>
    <w:p w14:paraId="5D75EA89" w14:textId="77777777" w:rsidR="00E45206" w:rsidRPr="00134EDD" w:rsidRDefault="00E45206"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4EDD" w:rsidRPr="00134EDD" w14:paraId="2123D216" w14:textId="77777777" w:rsidTr="00786D18">
        <w:trPr>
          <w:trHeight w:val="1029"/>
        </w:trPr>
        <w:tc>
          <w:tcPr>
            <w:tcW w:w="2689" w:type="dxa"/>
            <w:hideMark/>
          </w:tcPr>
          <w:p w14:paraId="3EC1F9B4" w14:textId="77777777" w:rsidR="009B7F9B" w:rsidRPr="00134EDD" w:rsidRDefault="009B7F9B" w:rsidP="00786D18">
            <w:pPr>
              <w:rPr>
                <w:rFonts w:ascii="Arial" w:eastAsia="Calibri" w:hAnsi="Arial" w:cs="Arial"/>
                <w:sz w:val="22"/>
              </w:rPr>
            </w:pPr>
            <w:r w:rsidRPr="00134EDD">
              <w:rPr>
                <w:rFonts w:ascii="Arial" w:eastAsia="Calibri" w:hAnsi="Arial" w:cs="Arial"/>
                <w:b/>
                <w:sz w:val="22"/>
              </w:rPr>
              <w:t>Temas:</w:t>
            </w:r>
            <w:r w:rsidRPr="00134EDD">
              <w:rPr>
                <w:rFonts w:ascii="Arial" w:eastAsia="Calibri" w:hAnsi="Arial" w:cs="Arial"/>
                <w:sz w:val="22"/>
              </w:rPr>
              <w:t xml:space="preserve">              </w:t>
            </w:r>
          </w:p>
        </w:tc>
        <w:tc>
          <w:tcPr>
            <w:tcW w:w="6237" w:type="dxa"/>
            <w:hideMark/>
          </w:tcPr>
          <w:p w14:paraId="32953520" w14:textId="0BE36930" w:rsidR="009B7F9B" w:rsidRPr="00134EDD" w:rsidRDefault="00134EDD" w:rsidP="00134EDD">
            <w:pPr>
              <w:spacing w:after="120"/>
              <w:jc w:val="both"/>
              <w:rPr>
                <w:rFonts w:ascii="Arial" w:eastAsia="Calibri" w:hAnsi="Arial" w:cs="Arial"/>
                <w:sz w:val="22"/>
                <w:lang w:val="es-CO"/>
              </w:rPr>
            </w:pPr>
            <w:r w:rsidRPr="00134EDD">
              <w:rPr>
                <w:rFonts w:ascii="Arial" w:eastAsia="Calibri" w:hAnsi="Arial" w:cs="Arial"/>
                <w:sz w:val="22"/>
              </w:rPr>
              <w:t>REGAL</w:t>
            </w:r>
            <w:r w:rsidR="00E44BC3">
              <w:rPr>
                <w:rFonts w:ascii="Arial" w:eastAsia="Calibri" w:hAnsi="Arial" w:cs="Arial"/>
                <w:sz w:val="22"/>
              </w:rPr>
              <w:t>Í</w:t>
            </w:r>
            <w:r w:rsidRPr="00134EDD">
              <w:rPr>
                <w:rFonts w:ascii="Arial" w:eastAsia="Calibri" w:hAnsi="Arial" w:cs="Arial"/>
                <w:sz w:val="22"/>
              </w:rPr>
              <w:t>AS – Noción– Contraprestación económica / SISTEMA ENERAL DE REGALÍAS – Normativa – Objetivos /</w:t>
            </w:r>
            <w:r w:rsidRPr="00134EDD">
              <w:rPr>
                <w:rFonts w:ascii="Arial" w:hAnsi="Arial" w:cs="Arial"/>
              </w:rPr>
              <w:t xml:space="preserve"> </w:t>
            </w:r>
            <w:r w:rsidRPr="00134EDD">
              <w:rPr>
                <w:rFonts w:ascii="Arial" w:eastAsia="Calibri" w:hAnsi="Arial" w:cs="Arial"/>
                <w:sz w:val="22"/>
              </w:rPr>
              <w:t xml:space="preserve">SISTEMA GENERAL DE REGALÍAS – Recursos – Inversión / SISTEMA GENERAL DE REGALÍAS – Normativa – Ciencia – Tecnología – Innovación / SECOP – Obligación – Publicación – Documentos –EGCAP –Entidades exceptuadas / SECOP – Transparencia – </w:t>
            </w:r>
            <w:r w:rsidRPr="00134EDD">
              <w:rPr>
                <w:rFonts w:ascii="Arial" w:eastAsia="Calibri" w:hAnsi="Arial" w:cs="Arial"/>
                <w:sz w:val="22"/>
              </w:rPr>
              <w:lastRenderedPageBreak/>
              <w:t>Información pública / LEY 1712 de 2014 –Sujetos obligados – Recursos públicos – Instituciones privadas – Educación superior</w:t>
            </w:r>
          </w:p>
        </w:tc>
      </w:tr>
      <w:tr w:rsidR="00134EDD" w:rsidRPr="00134EDD" w14:paraId="0EED7CDA" w14:textId="77777777" w:rsidTr="00786D18">
        <w:trPr>
          <w:trHeight w:val="264"/>
        </w:trPr>
        <w:tc>
          <w:tcPr>
            <w:tcW w:w="2689" w:type="dxa"/>
          </w:tcPr>
          <w:p w14:paraId="763F5813" w14:textId="1E4FAB17" w:rsidR="009B7F9B" w:rsidRPr="00134EDD" w:rsidRDefault="00134EDD" w:rsidP="00786D18">
            <w:pPr>
              <w:rPr>
                <w:rFonts w:ascii="Arial" w:eastAsia="Calibri" w:hAnsi="Arial" w:cs="Arial"/>
                <w:b/>
                <w:sz w:val="22"/>
              </w:rPr>
            </w:pPr>
            <w:r w:rsidRPr="00134EDD">
              <w:rPr>
                <w:rFonts w:ascii="Arial" w:eastAsia="Calibri" w:hAnsi="Arial" w:cs="Arial"/>
                <w:b/>
                <w:sz w:val="22"/>
              </w:rPr>
              <w:lastRenderedPageBreak/>
              <w:t>/</w:t>
            </w:r>
            <w:r w:rsidR="009B7F9B" w:rsidRPr="00134EDD">
              <w:rPr>
                <w:rFonts w:ascii="Arial" w:eastAsia="Calibri" w:hAnsi="Arial" w:cs="Arial"/>
                <w:b/>
                <w:sz w:val="22"/>
              </w:rPr>
              <w:t>Radicación:</w:t>
            </w:r>
            <w:r w:rsidR="009B7F9B" w:rsidRPr="00134EDD">
              <w:rPr>
                <w:rFonts w:ascii="Arial" w:eastAsia="Calibri" w:hAnsi="Arial" w:cs="Arial"/>
                <w:sz w:val="22"/>
              </w:rPr>
              <w:t xml:space="preserve">                              </w:t>
            </w:r>
          </w:p>
        </w:tc>
        <w:tc>
          <w:tcPr>
            <w:tcW w:w="6237" w:type="dxa"/>
          </w:tcPr>
          <w:p w14:paraId="7722D90B" w14:textId="29707087" w:rsidR="009B7F9B" w:rsidRPr="00134EDD" w:rsidRDefault="009B7F9B" w:rsidP="00786D18">
            <w:pPr>
              <w:jc w:val="both"/>
              <w:rPr>
                <w:rFonts w:ascii="Arial" w:eastAsia="Calibri" w:hAnsi="Arial" w:cs="Arial"/>
                <w:sz w:val="22"/>
              </w:rPr>
            </w:pPr>
            <w:r w:rsidRPr="00134EDD">
              <w:rPr>
                <w:rFonts w:ascii="Arial" w:eastAsia="Calibri" w:hAnsi="Arial" w:cs="Arial"/>
                <w:sz w:val="22"/>
              </w:rPr>
              <w:t xml:space="preserve">Respuesta consulta # </w:t>
            </w:r>
            <w:r w:rsidR="00492D50" w:rsidRPr="00134EDD">
              <w:rPr>
                <w:rFonts w:ascii="Arial" w:eastAsia="Calibri" w:hAnsi="Arial" w:cs="Arial"/>
                <w:sz w:val="22"/>
              </w:rPr>
              <w:t>420201300000</w:t>
            </w:r>
            <w:r w:rsidR="00CF22D5" w:rsidRPr="00134EDD">
              <w:rPr>
                <w:rFonts w:ascii="Arial" w:eastAsia="Calibri" w:hAnsi="Arial" w:cs="Arial"/>
                <w:sz w:val="22"/>
              </w:rPr>
              <w:t>6152</w:t>
            </w:r>
          </w:p>
        </w:tc>
      </w:tr>
    </w:tbl>
    <w:p w14:paraId="47DB626E" w14:textId="77777777" w:rsidR="009B7F9B" w:rsidRPr="00134EDD" w:rsidRDefault="009B7F9B" w:rsidP="008C0579">
      <w:pPr>
        <w:spacing w:line="276" w:lineRule="auto"/>
        <w:rPr>
          <w:rFonts w:ascii="Arial" w:eastAsia="Calibri" w:hAnsi="Arial" w:cs="Arial"/>
          <w:sz w:val="22"/>
        </w:rPr>
      </w:pPr>
    </w:p>
    <w:p w14:paraId="4EEEC9F2" w14:textId="04926BE8" w:rsidR="009B7F9B" w:rsidRDefault="009B7F9B" w:rsidP="008C0579">
      <w:pPr>
        <w:spacing w:line="276" w:lineRule="auto"/>
        <w:rPr>
          <w:rFonts w:ascii="Arial" w:eastAsia="Calibri" w:hAnsi="Arial" w:cs="Arial"/>
          <w:sz w:val="22"/>
        </w:rPr>
      </w:pPr>
    </w:p>
    <w:p w14:paraId="39C63AA8" w14:textId="4B3F5F55" w:rsidR="009B7F9B" w:rsidRPr="00134EDD" w:rsidRDefault="009B7F9B" w:rsidP="008C0579">
      <w:pPr>
        <w:spacing w:line="276" w:lineRule="auto"/>
        <w:rPr>
          <w:rFonts w:ascii="Arial" w:eastAsia="Calibri" w:hAnsi="Arial" w:cs="Arial"/>
          <w:sz w:val="22"/>
        </w:rPr>
      </w:pPr>
      <w:r w:rsidRPr="00134EDD">
        <w:rPr>
          <w:rFonts w:ascii="Arial" w:eastAsia="Calibri" w:hAnsi="Arial" w:cs="Arial"/>
          <w:sz w:val="22"/>
        </w:rPr>
        <w:t>Estimad</w:t>
      </w:r>
      <w:r w:rsidR="00CF22D5" w:rsidRPr="00134EDD">
        <w:rPr>
          <w:rFonts w:ascii="Arial" w:eastAsia="Calibri" w:hAnsi="Arial" w:cs="Arial"/>
          <w:sz w:val="22"/>
        </w:rPr>
        <w:t>a</w:t>
      </w:r>
      <w:r w:rsidRPr="00134EDD">
        <w:rPr>
          <w:rFonts w:ascii="Arial" w:eastAsia="Calibri" w:hAnsi="Arial" w:cs="Arial"/>
          <w:sz w:val="22"/>
        </w:rPr>
        <w:t xml:space="preserve"> señor</w:t>
      </w:r>
      <w:r w:rsidR="00492D50" w:rsidRPr="00134EDD">
        <w:rPr>
          <w:rFonts w:ascii="Arial" w:eastAsia="Calibri" w:hAnsi="Arial" w:cs="Arial"/>
          <w:sz w:val="22"/>
        </w:rPr>
        <w:t>a</w:t>
      </w:r>
      <w:r w:rsidRPr="00134EDD">
        <w:rPr>
          <w:rFonts w:ascii="Arial" w:eastAsia="Calibri" w:hAnsi="Arial" w:cs="Arial"/>
          <w:sz w:val="22"/>
        </w:rPr>
        <w:t xml:space="preserve"> </w:t>
      </w:r>
      <w:r w:rsidR="00CF22D5" w:rsidRPr="00134EDD">
        <w:rPr>
          <w:rFonts w:ascii="Arial" w:eastAsia="Calibri" w:hAnsi="Arial" w:cs="Arial"/>
          <w:sz w:val="22"/>
        </w:rPr>
        <w:t>L</w:t>
      </w:r>
      <w:r w:rsidR="00134EDD" w:rsidRPr="00134EDD">
        <w:rPr>
          <w:rFonts w:ascii="Arial" w:eastAsia="Calibri" w:hAnsi="Arial" w:cs="Arial"/>
          <w:sz w:val="22"/>
        </w:rPr>
        <w:t>ó</w:t>
      </w:r>
      <w:r w:rsidR="00CF22D5" w:rsidRPr="00134EDD">
        <w:rPr>
          <w:rFonts w:ascii="Arial" w:eastAsia="Calibri" w:hAnsi="Arial" w:cs="Arial"/>
          <w:sz w:val="22"/>
        </w:rPr>
        <w:t xml:space="preserve">pez y </w:t>
      </w:r>
      <w:r w:rsidR="00134EDD">
        <w:rPr>
          <w:rFonts w:ascii="Arial" w:eastAsia="Calibri" w:hAnsi="Arial" w:cs="Arial"/>
          <w:sz w:val="22"/>
        </w:rPr>
        <w:t xml:space="preserve">estimado </w:t>
      </w:r>
      <w:r w:rsidR="00CF22D5" w:rsidRPr="00134EDD">
        <w:rPr>
          <w:rFonts w:ascii="Arial" w:eastAsia="Calibri" w:hAnsi="Arial" w:cs="Arial"/>
          <w:sz w:val="22"/>
        </w:rPr>
        <w:t>señor Bohórquez</w:t>
      </w:r>
      <w:r w:rsidR="006E15C5" w:rsidRPr="00134EDD">
        <w:rPr>
          <w:rFonts w:ascii="Arial" w:eastAsia="Calibri" w:hAnsi="Arial" w:cs="Arial"/>
          <w:sz w:val="22"/>
        </w:rPr>
        <w:t>,</w:t>
      </w:r>
    </w:p>
    <w:p w14:paraId="1FE03DA8" w14:textId="77777777" w:rsidR="00E45206" w:rsidRPr="00134EDD" w:rsidRDefault="00E45206" w:rsidP="009B7F9B">
      <w:pPr>
        <w:spacing w:line="276" w:lineRule="auto"/>
        <w:jc w:val="both"/>
        <w:rPr>
          <w:rFonts w:ascii="Arial" w:eastAsia="Calibri" w:hAnsi="Arial" w:cs="Arial"/>
          <w:sz w:val="22"/>
        </w:rPr>
      </w:pPr>
    </w:p>
    <w:p w14:paraId="0F5DA20E" w14:textId="41AD7F9F" w:rsidR="009B7F9B" w:rsidRPr="00134EDD" w:rsidRDefault="009B7F9B" w:rsidP="009B7F9B">
      <w:pPr>
        <w:spacing w:line="276" w:lineRule="auto"/>
        <w:jc w:val="both"/>
        <w:rPr>
          <w:rFonts w:ascii="Arial" w:eastAsia="Calibri" w:hAnsi="Arial" w:cs="Arial"/>
          <w:sz w:val="22"/>
        </w:rPr>
      </w:pPr>
      <w:r w:rsidRPr="00134EDD">
        <w:rPr>
          <w:rFonts w:ascii="Arial" w:eastAsia="Calibri" w:hAnsi="Arial" w:cs="Arial"/>
          <w:sz w:val="22"/>
        </w:rPr>
        <w:t xml:space="preserve">La Agencia Nacional de Contratación Pública – Colombia Compra Eficiente responde su consulta del </w:t>
      </w:r>
      <w:r w:rsidR="00CF22D5" w:rsidRPr="00134EDD">
        <w:rPr>
          <w:rFonts w:ascii="Arial" w:eastAsia="Calibri" w:hAnsi="Arial" w:cs="Arial"/>
          <w:sz w:val="22"/>
        </w:rPr>
        <w:t>21</w:t>
      </w:r>
      <w:r w:rsidR="006E15C5" w:rsidRPr="00134EDD">
        <w:rPr>
          <w:rFonts w:ascii="Arial" w:eastAsia="Calibri" w:hAnsi="Arial" w:cs="Arial"/>
          <w:sz w:val="22"/>
        </w:rPr>
        <w:t xml:space="preserve"> </w:t>
      </w:r>
      <w:r w:rsidRPr="00134EDD">
        <w:rPr>
          <w:rFonts w:ascii="Arial" w:eastAsia="Calibri" w:hAnsi="Arial" w:cs="Arial"/>
          <w:sz w:val="22"/>
        </w:rPr>
        <w:t xml:space="preserve">de </w:t>
      </w:r>
      <w:r w:rsidR="00492D50" w:rsidRPr="00134EDD">
        <w:rPr>
          <w:rFonts w:ascii="Arial" w:eastAsia="Calibri" w:hAnsi="Arial" w:cs="Arial"/>
          <w:sz w:val="22"/>
        </w:rPr>
        <w:t>julio</w:t>
      </w:r>
      <w:r w:rsidR="006E15C5" w:rsidRPr="00134EDD">
        <w:rPr>
          <w:rFonts w:ascii="Arial" w:eastAsia="Calibri" w:hAnsi="Arial" w:cs="Arial"/>
          <w:sz w:val="22"/>
        </w:rPr>
        <w:t xml:space="preserve"> </w:t>
      </w:r>
      <w:r w:rsidRPr="00134EDD">
        <w:rPr>
          <w:rFonts w:ascii="Arial" w:eastAsia="Calibri" w:hAnsi="Arial" w:cs="Arial"/>
          <w:sz w:val="22"/>
        </w:rPr>
        <w:t xml:space="preserve"> de 2020, en ejercicio de la competencia otorgada por el numeral 5 del artículo 3 y por el numeral 8 del artículo 11 del Decreto 4170 de 2011.</w:t>
      </w:r>
    </w:p>
    <w:p w14:paraId="161EB3FA" w14:textId="77777777" w:rsidR="009B7F9B" w:rsidRPr="00134EDD" w:rsidRDefault="009B7F9B" w:rsidP="009B7F9B">
      <w:pPr>
        <w:spacing w:line="276" w:lineRule="auto"/>
        <w:jc w:val="both"/>
        <w:rPr>
          <w:rFonts w:ascii="Arial" w:eastAsia="Calibri" w:hAnsi="Arial" w:cs="Arial"/>
          <w:sz w:val="22"/>
        </w:rPr>
      </w:pPr>
    </w:p>
    <w:p w14:paraId="32EB3CD6" w14:textId="77777777" w:rsidR="009B7F9B" w:rsidRPr="00134EDD"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134EDD">
        <w:rPr>
          <w:rFonts w:ascii="Arial" w:eastAsia="Calibri" w:hAnsi="Arial" w:cs="Arial"/>
          <w:b/>
          <w:sz w:val="22"/>
        </w:rPr>
        <w:t>Problemas planteados</w:t>
      </w:r>
    </w:p>
    <w:p w14:paraId="0589AE5E" w14:textId="77777777" w:rsidR="009B7F9B" w:rsidRPr="00134EDD" w:rsidRDefault="009B7F9B" w:rsidP="009B7F9B">
      <w:pPr>
        <w:pStyle w:val="Prrafodelista"/>
        <w:tabs>
          <w:tab w:val="left" w:pos="284"/>
        </w:tabs>
        <w:spacing w:line="276" w:lineRule="auto"/>
        <w:ind w:left="0"/>
        <w:rPr>
          <w:rFonts w:ascii="Arial" w:eastAsia="Calibri" w:hAnsi="Arial" w:cs="Arial"/>
          <w:b/>
          <w:sz w:val="22"/>
        </w:rPr>
      </w:pPr>
    </w:p>
    <w:p w14:paraId="0DF310B6" w14:textId="2D198C7E" w:rsidR="009B7F9B" w:rsidRPr="00134EDD" w:rsidRDefault="00BA740B" w:rsidP="004E71CF">
      <w:pPr>
        <w:autoSpaceDE w:val="0"/>
        <w:autoSpaceDN w:val="0"/>
        <w:adjustRightInd w:val="0"/>
        <w:spacing w:line="276" w:lineRule="auto"/>
        <w:jc w:val="both"/>
        <w:rPr>
          <w:rFonts w:ascii="Arial" w:hAnsi="Arial" w:cs="Arial"/>
          <w:sz w:val="22"/>
          <w:lang w:val="es-CO"/>
        </w:rPr>
      </w:pPr>
      <w:bookmarkStart w:id="6" w:name="_Hlk44670585"/>
      <w:r w:rsidRPr="00134EDD">
        <w:rPr>
          <w:rFonts w:ascii="Arial" w:eastAsia="Calibri" w:hAnsi="Arial" w:cs="Arial"/>
          <w:sz w:val="22"/>
        </w:rPr>
        <w:t>En la petición</w:t>
      </w:r>
      <w:r w:rsidR="00506B36" w:rsidRPr="00134EDD">
        <w:rPr>
          <w:rFonts w:ascii="Arial" w:eastAsia="Calibri" w:hAnsi="Arial" w:cs="Arial"/>
          <w:sz w:val="22"/>
        </w:rPr>
        <w:t xml:space="preserve"> se realiza la siguiente pregunta,  relacionada con la ejecución de recursos del Sistema General de Regalías adjudicados por e</w:t>
      </w:r>
      <w:r w:rsidR="00506B36" w:rsidRPr="00134EDD">
        <w:rPr>
          <w:rFonts w:ascii="Arial" w:hAnsi="Arial" w:cs="Arial"/>
          <w:sz w:val="22"/>
          <w:lang w:val="es-CO"/>
        </w:rPr>
        <w:t xml:space="preserve">l Órgano Colegiado de Administración y Decisión del Fondo de Ciencia, Tecnología e Innovación a la Fundación Universitaria Internacional del </w:t>
      </w:r>
      <w:r w:rsidR="00134EDD" w:rsidRPr="00134EDD">
        <w:rPr>
          <w:rFonts w:ascii="Arial" w:hAnsi="Arial" w:cs="Arial"/>
          <w:sz w:val="22"/>
          <w:lang w:val="es-CO"/>
        </w:rPr>
        <w:t>Trópico</w:t>
      </w:r>
      <w:r w:rsidR="00506B36" w:rsidRPr="00134EDD">
        <w:rPr>
          <w:rFonts w:ascii="Arial" w:hAnsi="Arial" w:cs="Arial"/>
          <w:sz w:val="22"/>
          <w:lang w:val="es-CO"/>
        </w:rPr>
        <w:t xml:space="preserve"> </w:t>
      </w:r>
      <w:r w:rsidR="00134EDD" w:rsidRPr="00134EDD">
        <w:rPr>
          <w:rFonts w:ascii="Arial" w:hAnsi="Arial" w:cs="Arial"/>
          <w:sz w:val="22"/>
          <w:lang w:val="es-CO"/>
        </w:rPr>
        <w:t>Americano</w:t>
      </w:r>
      <w:r w:rsidR="00506B36" w:rsidRPr="00134EDD">
        <w:rPr>
          <w:rFonts w:ascii="Arial" w:hAnsi="Arial" w:cs="Arial"/>
          <w:sz w:val="22"/>
          <w:lang w:val="es-CO"/>
        </w:rPr>
        <w:t xml:space="preserve"> – Unitr</w:t>
      </w:r>
      <w:r w:rsidR="00134EDD">
        <w:rPr>
          <w:rFonts w:ascii="Arial" w:hAnsi="Arial" w:cs="Arial"/>
          <w:sz w:val="22"/>
          <w:lang w:val="es-CO"/>
        </w:rPr>
        <w:t>ó</w:t>
      </w:r>
      <w:r w:rsidR="00506B36" w:rsidRPr="00134EDD">
        <w:rPr>
          <w:rFonts w:ascii="Arial" w:hAnsi="Arial" w:cs="Arial"/>
          <w:sz w:val="22"/>
          <w:lang w:val="es-CO"/>
        </w:rPr>
        <w:t xml:space="preserve">pico en el marco de la convocatoria No. 9 de Minciencias: </w:t>
      </w:r>
      <w:bookmarkStart w:id="7" w:name="_Hlk40095622"/>
      <w:r w:rsidR="009B7F9B" w:rsidRPr="00134EDD">
        <w:rPr>
          <w:rFonts w:ascii="Arial" w:eastAsia="Calibri" w:hAnsi="Arial" w:cs="Arial"/>
          <w:sz w:val="22"/>
        </w:rPr>
        <w:t xml:space="preserve">«[…] </w:t>
      </w:r>
      <w:r w:rsidR="00506B36" w:rsidRPr="00134EDD">
        <w:rPr>
          <w:rFonts w:ascii="Arial" w:hAnsi="Arial" w:cs="Arial"/>
          <w:sz w:val="22"/>
          <w:lang w:val="es-CO"/>
        </w:rPr>
        <w:t xml:space="preserve">¿Siendo Unitrópico una institución de educación superior con autonomía universitaria de derecho privado, está obligada a publicar en el SECOP la actividad contractual que surja en ejecución del citado proyecto? </w:t>
      </w:r>
      <w:r w:rsidR="009B7F9B" w:rsidRPr="00134EDD">
        <w:rPr>
          <w:rFonts w:ascii="Arial" w:hAnsi="Arial" w:cs="Arial"/>
          <w:sz w:val="22"/>
          <w:lang w:val="es-CO"/>
        </w:rPr>
        <w:t>[…]».</w:t>
      </w:r>
      <w:bookmarkEnd w:id="6"/>
      <w:bookmarkEnd w:id="7"/>
    </w:p>
    <w:p w14:paraId="5B7FF7D0" w14:textId="77777777" w:rsidR="00E45206" w:rsidRPr="00134EDD" w:rsidRDefault="00E45206" w:rsidP="009B7F9B">
      <w:pPr>
        <w:spacing w:line="276" w:lineRule="auto"/>
        <w:ind w:left="709" w:right="709"/>
        <w:jc w:val="both"/>
        <w:rPr>
          <w:rFonts w:ascii="Arial" w:eastAsia="Calibri" w:hAnsi="Arial" w:cs="Arial"/>
          <w:sz w:val="21"/>
          <w:szCs w:val="21"/>
        </w:rPr>
      </w:pPr>
    </w:p>
    <w:p w14:paraId="73D03073" w14:textId="079E6BD8" w:rsidR="009B7F9B" w:rsidRPr="00134EDD"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134EDD">
        <w:rPr>
          <w:rFonts w:ascii="Arial" w:eastAsia="Calibri" w:hAnsi="Arial" w:cs="Arial"/>
          <w:b/>
          <w:sz w:val="22"/>
        </w:rPr>
        <w:t>Consideraciones</w:t>
      </w:r>
    </w:p>
    <w:p w14:paraId="32A99A97" w14:textId="19662352" w:rsidR="004E71CF" w:rsidRPr="00134EDD" w:rsidRDefault="004E71CF" w:rsidP="004E71CF">
      <w:pPr>
        <w:pStyle w:val="Textoindependiente"/>
        <w:spacing w:before="0" w:beforeAutospacing="0" w:after="0" w:afterAutospacing="0" w:line="276" w:lineRule="auto"/>
        <w:ind w:right="306"/>
        <w:jc w:val="both"/>
        <w:rPr>
          <w:rFonts w:ascii="Arial" w:hAnsi="Arial" w:cs="Arial"/>
          <w:sz w:val="22"/>
          <w:szCs w:val="22"/>
        </w:rPr>
      </w:pPr>
    </w:p>
    <w:p w14:paraId="7E65B05D" w14:textId="6967EDB1" w:rsidR="00134EDD" w:rsidRPr="00134EDD" w:rsidRDefault="00134EDD" w:rsidP="004E71CF">
      <w:pPr>
        <w:pStyle w:val="Textoindependiente"/>
        <w:spacing w:before="0" w:beforeAutospacing="0" w:after="0" w:afterAutospacing="0" w:line="276" w:lineRule="auto"/>
        <w:ind w:right="306"/>
        <w:jc w:val="both"/>
        <w:rPr>
          <w:rFonts w:ascii="Arial" w:hAnsi="Arial" w:cs="Arial"/>
          <w:sz w:val="22"/>
          <w:szCs w:val="22"/>
        </w:rPr>
      </w:pPr>
      <w:r w:rsidRPr="00134EDD">
        <w:rPr>
          <w:rFonts w:ascii="Arial" w:hAnsi="Arial" w:cs="Arial"/>
          <w:sz w:val="22"/>
          <w:szCs w:val="22"/>
        </w:rPr>
        <w:t>Para resolver el interrogante planteado, en primera medida, se harán algunas consideraciones en torno al Sistema General de Regalías y la ejecución de recursos del al Fondo de Ciencia, Tecnología e Innovación. Seguidamente, nos referiremos a la obligación de publicar en el SECOP y la normativa de la transparencia y acceso a la información pública.</w:t>
      </w:r>
    </w:p>
    <w:p w14:paraId="293C721C" w14:textId="77777777" w:rsidR="00E45206" w:rsidRPr="00134EDD" w:rsidRDefault="00E45206" w:rsidP="004E71CF">
      <w:pPr>
        <w:pStyle w:val="Textoindependiente"/>
        <w:spacing w:before="0" w:beforeAutospacing="0" w:after="120" w:afterAutospacing="0" w:line="276" w:lineRule="auto"/>
        <w:ind w:right="49"/>
        <w:jc w:val="both"/>
        <w:rPr>
          <w:rFonts w:ascii="Arial" w:hAnsi="Arial" w:cs="Arial"/>
          <w:sz w:val="22"/>
          <w:szCs w:val="22"/>
        </w:rPr>
      </w:pPr>
    </w:p>
    <w:p w14:paraId="5719B25A" w14:textId="7A8C0696" w:rsidR="002B5C1F" w:rsidRPr="00134EDD" w:rsidRDefault="002B5C1F" w:rsidP="002B5C1F">
      <w:pPr>
        <w:pStyle w:val="Textoindependiente"/>
        <w:numPr>
          <w:ilvl w:val="1"/>
          <w:numId w:val="8"/>
        </w:numPr>
        <w:tabs>
          <w:tab w:val="left" w:pos="709"/>
        </w:tabs>
        <w:spacing w:before="0" w:beforeAutospacing="0" w:after="120" w:afterAutospacing="0" w:line="276" w:lineRule="auto"/>
        <w:ind w:left="0" w:right="49" w:firstLine="0"/>
        <w:jc w:val="both"/>
        <w:rPr>
          <w:rFonts w:ascii="Arial" w:hAnsi="Arial" w:cs="Arial"/>
          <w:b/>
          <w:bCs/>
          <w:sz w:val="22"/>
          <w:szCs w:val="22"/>
        </w:rPr>
      </w:pPr>
      <w:r w:rsidRPr="00134EDD">
        <w:rPr>
          <w:rFonts w:ascii="Arial" w:hAnsi="Arial" w:cs="Arial"/>
          <w:b/>
          <w:bCs/>
          <w:sz w:val="22"/>
          <w:szCs w:val="22"/>
        </w:rPr>
        <w:t>El Sistema General de Regalías y la ejecución de recursos del al Fondo de Ciencia, Tecnología e Innovación</w:t>
      </w:r>
    </w:p>
    <w:p w14:paraId="6664D382" w14:textId="5FC1A944" w:rsidR="004E71CF" w:rsidRPr="00134EDD" w:rsidRDefault="004E71CF" w:rsidP="002B5C1F">
      <w:pPr>
        <w:pStyle w:val="Textoindependiente"/>
        <w:spacing w:before="0" w:beforeAutospacing="0" w:after="120" w:afterAutospacing="0" w:line="276" w:lineRule="auto"/>
        <w:ind w:right="49"/>
        <w:jc w:val="both"/>
        <w:rPr>
          <w:rFonts w:ascii="Arial" w:hAnsi="Arial" w:cs="Arial"/>
          <w:sz w:val="22"/>
          <w:szCs w:val="22"/>
        </w:rPr>
      </w:pPr>
      <w:r w:rsidRPr="00134EDD">
        <w:rPr>
          <w:rFonts w:ascii="Arial" w:hAnsi="Arial" w:cs="Arial"/>
          <w:sz w:val="22"/>
          <w:szCs w:val="22"/>
        </w:rPr>
        <w:t xml:space="preserve">La Agencia Nacional de Contratación Pública - Colombia Compra Eficiente no es competente para resolver consultas referidas a actividades contractuales específicas, ni para intervenir en el desarrollo de los procesos de contratación que estas tramitan, ni para </w:t>
      </w:r>
      <w:r w:rsidR="007C615C" w:rsidRPr="00134EDD">
        <w:rPr>
          <w:rFonts w:ascii="Arial" w:hAnsi="Arial" w:cs="Arial"/>
          <w:sz w:val="22"/>
          <w:szCs w:val="22"/>
        </w:rPr>
        <w:lastRenderedPageBreak/>
        <w:t>resolver consultas referentes a la</w:t>
      </w:r>
      <w:r w:rsidRPr="00134EDD">
        <w:rPr>
          <w:rFonts w:ascii="Arial" w:hAnsi="Arial" w:cs="Arial"/>
          <w:sz w:val="22"/>
          <w:szCs w:val="22"/>
        </w:rPr>
        <w:t xml:space="preserve"> ejecu</w:t>
      </w:r>
      <w:r w:rsidR="007C615C" w:rsidRPr="00134EDD">
        <w:rPr>
          <w:rFonts w:ascii="Arial" w:hAnsi="Arial" w:cs="Arial"/>
          <w:sz w:val="22"/>
          <w:szCs w:val="22"/>
        </w:rPr>
        <w:t>ción de</w:t>
      </w:r>
      <w:r w:rsidRPr="00134EDD">
        <w:rPr>
          <w:rFonts w:ascii="Arial" w:hAnsi="Arial" w:cs="Arial"/>
          <w:sz w:val="22"/>
          <w:szCs w:val="22"/>
        </w:rPr>
        <w:t xml:space="preserve"> recursos provenientes del Sistema General de Regalías</w:t>
      </w:r>
      <w:r w:rsidR="00A108E0" w:rsidRPr="00780DA3">
        <w:rPr>
          <w:rFonts w:ascii="Arial" w:hAnsi="Arial" w:cs="Arial"/>
          <w:sz w:val="22"/>
          <w:vertAlign w:val="superscript"/>
        </w:rPr>
        <w:footnoteReference w:id="1"/>
      </w:r>
      <w:r w:rsidRPr="00134EDD">
        <w:rPr>
          <w:rFonts w:ascii="Arial" w:hAnsi="Arial" w:cs="Arial"/>
          <w:sz w:val="22"/>
          <w:szCs w:val="22"/>
        </w:rPr>
        <w:t>.</w:t>
      </w:r>
    </w:p>
    <w:p w14:paraId="2B48106A" w14:textId="6F3F892B" w:rsidR="004E71CF" w:rsidRPr="00134EDD" w:rsidRDefault="004E71CF" w:rsidP="002B5C1F">
      <w:pPr>
        <w:pStyle w:val="Textoindependiente"/>
        <w:spacing w:before="0" w:beforeAutospacing="0" w:after="0" w:afterAutospacing="0" w:line="276" w:lineRule="auto"/>
        <w:ind w:firstLine="708"/>
        <w:jc w:val="both"/>
        <w:rPr>
          <w:rFonts w:ascii="Arial" w:hAnsi="Arial" w:cs="Arial"/>
          <w:sz w:val="22"/>
          <w:szCs w:val="22"/>
        </w:rPr>
      </w:pPr>
      <w:bookmarkStart w:id="8" w:name="_Hlk46840163"/>
      <w:r w:rsidRPr="00134EDD">
        <w:rPr>
          <w:rFonts w:ascii="Arial" w:hAnsi="Arial" w:cs="Arial"/>
          <w:sz w:val="22"/>
          <w:szCs w:val="22"/>
        </w:rPr>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bookmarkEnd w:id="8"/>
    <w:p w14:paraId="737E22AA" w14:textId="77777777" w:rsidR="004E71CF" w:rsidRPr="00134EDD" w:rsidRDefault="004E71CF" w:rsidP="004E71CF">
      <w:pPr>
        <w:pStyle w:val="Textoindependiente"/>
        <w:spacing w:before="0" w:beforeAutospacing="0" w:after="0" w:afterAutospacing="0" w:line="276" w:lineRule="auto"/>
        <w:ind w:firstLine="708"/>
        <w:jc w:val="both"/>
        <w:rPr>
          <w:rFonts w:ascii="Arial" w:hAnsi="Arial" w:cs="Arial"/>
          <w:sz w:val="22"/>
          <w:szCs w:val="22"/>
        </w:rPr>
      </w:pPr>
    </w:p>
    <w:p w14:paraId="54A6A8BB" w14:textId="3F502082" w:rsidR="004E71CF" w:rsidRPr="00134EDD" w:rsidRDefault="004E71CF" w:rsidP="004E71CF">
      <w:pPr>
        <w:pStyle w:val="Prrafodelista"/>
        <w:ind w:left="709" w:right="709"/>
        <w:jc w:val="both"/>
        <w:rPr>
          <w:rFonts w:ascii="Arial" w:hAnsi="Arial" w:cs="Arial"/>
          <w:sz w:val="21"/>
        </w:rPr>
      </w:pPr>
      <w:r w:rsidRPr="00134EDD">
        <w:rPr>
          <w:rFonts w:ascii="Arial" w:hAnsi="Arial" w:cs="Arial"/>
          <w:sz w:val="21"/>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w:t>
      </w:r>
      <w:r w:rsidRPr="00134EDD">
        <w:rPr>
          <w:rFonts w:ascii="Arial" w:hAnsi="Arial" w:cs="Arial"/>
          <w:spacing w:val="-11"/>
          <w:sz w:val="21"/>
        </w:rPr>
        <w:t xml:space="preserve"> </w:t>
      </w:r>
      <w:r w:rsidRPr="00134EDD">
        <w:rPr>
          <w:rFonts w:ascii="Arial" w:hAnsi="Arial" w:cs="Arial"/>
          <w:sz w:val="21"/>
        </w:rPr>
        <w:t>renovables.</w:t>
      </w:r>
    </w:p>
    <w:p w14:paraId="7FFBEA46" w14:textId="77777777" w:rsidR="004E71CF" w:rsidRPr="00134EDD" w:rsidRDefault="004E71CF" w:rsidP="004E71CF">
      <w:pPr>
        <w:pStyle w:val="Prrafodelista"/>
        <w:ind w:left="709" w:right="709"/>
        <w:jc w:val="both"/>
        <w:rPr>
          <w:rFonts w:ascii="Arial" w:hAnsi="Arial" w:cs="Arial"/>
          <w:sz w:val="21"/>
        </w:rPr>
      </w:pPr>
    </w:p>
    <w:p w14:paraId="65D987C0" w14:textId="77777777" w:rsidR="004E71CF" w:rsidRPr="00134EDD" w:rsidRDefault="004E71CF" w:rsidP="004E71CF">
      <w:pPr>
        <w:pStyle w:val="Prrafodelista"/>
        <w:ind w:left="709" w:right="709"/>
        <w:jc w:val="both"/>
        <w:rPr>
          <w:rFonts w:ascii="Arial" w:hAnsi="Arial" w:cs="Arial"/>
          <w:sz w:val="21"/>
        </w:rPr>
      </w:pPr>
      <w:r w:rsidRPr="00134EDD">
        <w:rPr>
          <w:rFonts w:ascii="Arial" w:hAnsi="Arial" w:cs="Arial"/>
          <w:sz w:val="21"/>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127BC7F7" w14:textId="77777777" w:rsidR="002B5C1F" w:rsidRPr="00134EDD" w:rsidRDefault="002B5C1F" w:rsidP="002B5C1F">
      <w:pPr>
        <w:pStyle w:val="Textoindependiente"/>
        <w:spacing w:before="0" w:beforeAutospacing="0" w:after="0" w:afterAutospacing="0" w:line="276" w:lineRule="auto"/>
        <w:jc w:val="both"/>
        <w:rPr>
          <w:rFonts w:ascii="Arial" w:hAnsi="Arial" w:cs="Arial"/>
          <w:sz w:val="22"/>
          <w:szCs w:val="22"/>
        </w:rPr>
      </w:pPr>
    </w:p>
    <w:p w14:paraId="11DDBB42" w14:textId="4359B19D" w:rsidR="00F3090C" w:rsidRPr="00134EDD" w:rsidRDefault="00F3090C" w:rsidP="00A108E0">
      <w:pPr>
        <w:pStyle w:val="Textoindependiente"/>
        <w:spacing w:before="0" w:beforeAutospacing="0" w:after="0" w:afterAutospacing="0" w:line="276" w:lineRule="auto"/>
        <w:jc w:val="both"/>
        <w:rPr>
          <w:rFonts w:ascii="Arial" w:hAnsi="Arial" w:cs="Arial"/>
          <w:sz w:val="21"/>
          <w:szCs w:val="21"/>
          <w:shd w:val="clear" w:color="auto" w:fill="FFFFFF"/>
        </w:rPr>
      </w:pPr>
      <w:bookmarkStart w:id="9" w:name="_Hlk46840181"/>
      <w:r w:rsidRPr="00134EDD">
        <w:rPr>
          <w:rFonts w:ascii="Arial" w:hAnsi="Arial" w:cs="Arial"/>
          <w:sz w:val="22"/>
          <w:szCs w:val="22"/>
        </w:rPr>
        <w:t>En ese sentid</w:t>
      </w:r>
      <w:r w:rsidR="002B5C1F" w:rsidRPr="00134EDD">
        <w:rPr>
          <w:rFonts w:ascii="Arial" w:hAnsi="Arial" w:cs="Arial"/>
          <w:sz w:val="22"/>
          <w:szCs w:val="22"/>
        </w:rPr>
        <w:t>o</w:t>
      </w:r>
      <w:r w:rsidR="00F018E4" w:rsidRPr="00134EDD">
        <w:rPr>
          <w:rFonts w:ascii="Arial" w:hAnsi="Arial" w:cs="Arial"/>
          <w:sz w:val="22"/>
          <w:szCs w:val="22"/>
        </w:rPr>
        <w:t>,</w:t>
      </w:r>
      <w:r w:rsidRPr="00134EDD">
        <w:rPr>
          <w:rFonts w:ascii="Arial" w:hAnsi="Arial" w:cs="Arial"/>
          <w:sz w:val="22"/>
          <w:szCs w:val="22"/>
        </w:rPr>
        <w:t xml:space="preserve"> la Corte Constitucional se ha encargado de </w:t>
      </w:r>
      <w:r w:rsidR="00F018E4" w:rsidRPr="00134EDD">
        <w:rPr>
          <w:rFonts w:ascii="Arial" w:hAnsi="Arial" w:cs="Arial"/>
          <w:sz w:val="22"/>
          <w:szCs w:val="22"/>
        </w:rPr>
        <w:t xml:space="preserve">definir las regalías como una contraprestación recibida a cambio de la </w:t>
      </w:r>
      <w:r w:rsidR="002971E5" w:rsidRPr="00134EDD">
        <w:rPr>
          <w:rFonts w:ascii="Arial" w:hAnsi="Arial" w:cs="Arial"/>
          <w:sz w:val="22"/>
          <w:szCs w:val="22"/>
        </w:rPr>
        <w:t>concesión</w:t>
      </w:r>
      <w:r w:rsidR="00F018E4" w:rsidRPr="00134EDD">
        <w:rPr>
          <w:rFonts w:ascii="Arial" w:hAnsi="Arial" w:cs="Arial"/>
          <w:sz w:val="22"/>
          <w:szCs w:val="22"/>
        </w:rPr>
        <w:t xml:space="preserve"> de derechos a particulares para la exploración de recursos naturales, </w:t>
      </w:r>
      <w:r w:rsidR="002971E5" w:rsidRPr="00134EDD">
        <w:rPr>
          <w:rFonts w:ascii="Arial" w:hAnsi="Arial" w:cs="Arial"/>
          <w:sz w:val="22"/>
          <w:szCs w:val="22"/>
        </w:rPr>
        <w:t>diferenciándolas</w:t>
      </w:r>
      <w:r w:rsidR="00F018E4" w:rsidRPr="00134EDD">
        <w:rPr>
          <w:rFonts w:ascii="Arial" w:hAnsi="Arial" w:cs="Arial"/>
          <w:sz w:val="22"/>
          <w:szCs w:val="22"/>
        </w:rPr>
        <w:t xml:space="preserve"> de otros ingresos nacionales como los impuestos, como quiera que estas carecen del carácter impositivo de los tributos</w:t>
      </w:r>
      <w:bookmarkEnd w:id="9"/>
      <w:r w:rsidR="00A108E0">
        <w:rPr>
          <w:rStyle w:val="Refdenotaalpie"/>
          <w:rFonts w:ascii="Arial" w:hAnsi="Arial" w:cs="Arial"/>
          <w:sz w:val="22"/>
          <w:szCs w:val="22"/>
        </w:rPr>
        <w:footnoteReference w:id="2"/>
      </w:r>
      <w:r w:rsidR="00F018E4" w:rsidRPr="00134EDD">
        <w:rPr>
          <w:rFonts w:ascii="Arial" w:hAnsi="Arial" w:cs="Arial"/>
          <w:sz w:val="22"/>
          <w:szCs w:val="22"/>
        </w:rPr>
        <w:t xml:space="preserve">. </w:t>
      </w:r>
    </w:p>
    <w:p w14:paraId="66A86A9A" w14:textId="77777777" w:rsidR="002B5C1F" w:rsidRPr="00134EDD" w:rsidRDefault="002B5C1F" w:rsidP="002B5C1F">
      <w:pPr>
        <w:pStyle w:val="Textoindependiente"/>
        <w:spacing w:before="0" w:beforeAutospacing="0" w:after="0" w:afterAutospacing="0" w:line="276" w:lineRule="auto"/>
        <w:jc w:val="both"/>
        <w:rPr>
          <w:rFonts w:ascii="Arial" w:hAnsi="Arial" w:cs="Arial"/>
          <w:sz w:val="22"/>
          <w:szCs w:val="22"/>
        </w:rPr>
      </w:pPr>
    </w:p>
    <w:p w14:paraId="0614F570" w14:textId="6A5513EC" w:rsidR="0085394C" w:rsidRPr="00134EDD" w:rsidRDefault="00F018E4" w:rsidP="002B5C1F">
      <w:pPr>
        <w:pStyle w:val="Textoindependiente"/>
        <w:spacing w:before="0" w:beforeAutospacing="0" w:after="0" w:afterAutospacing="0" w:line="276" w:lineRule="auto"/>
        <w:jc w:val="both"/>
        <w:rPr>
          <w:rFonts w:ascii="Arial" w:hAnsi="Arial" w:cs="Arial"/>
          <w:sz w:val="22"/>
          <w:szCs w:val="22"/>
        </w:rPr>
      </w:pPr>
      <w:bookmarkStart w:id="13" w:name="_Hlk46840419"/>
      <w:r w:rsidRPr="00134EDD">
        <w:rPr>
          <w:rFonts w:ascii="Arial" w:hAnsi="Arial" w:cs="Arial"/>
          <w:sz w:val="22"/>
          <w:szCs w:val="22"/>
        </w:rPr>
        <w:t>E</w:t>
      </w:r>
      <w:r w:rsidR="004E71CF" w:rsidRPr="00134EDD">
        <w:rPr>
          <w:rFonts w:ascii="Arial" w:hAnsi="Arial" w:cs="Arial"/>
          <w:sz w:val="22"/>
          <w:szCs w:val="22"/>
        </w:rPr>
        <w:t>l Acto Legislativo</w:t>
      </w:r>
      <w:r w:rsidRPr="00134EDD">
        <w:rPr>
          <w:rFonts w:ascii="Arial" w:hAnsi="Arial" w:cs="Arial"/>
          <w:sz w:val="22"/>
          <w:szCs w:val="22"/>
        </w:rPr>
        <w:t xml:space="preserve"> 5 de 2011, </w:t>
      </w:r>
      <w:r w:rsidR="002971E5" w:rsidRPr="00134EDD">
        <w:rPr>
          <w:rFonts w:ascii="Arial" w:hAnsi="Arial" w:cs="Arial"/>
          <w:sz w:val="22"/>
          <w:szCs w:val="22"/>
        </w:rPr>
        <w:t>también</w:t>
      </w:r>
      <w:r w:rsidR="004E71CF" w:rsidRPr="00134EDD">
        <w:rPr>
          <w:rFonts w:ascii="Arial" w:hAnsi="Arial" w:cs="Arial"/>
          <w:sz w:val="22"/>
          <w:szCs w:val="22"/>
        </w:rPr>
        <w:t xml:space="preserve"> reformó el artículo 361 de la Constitución Política y creó el nuevo marco normativo del Sistema General de Regalías (SGR)</w:t>
      </w:r>
      <w:r w:rsidR="00F508CA">
        <w:rPr>
          <w:rStyle w:val="Refdenotaalpie"/>
          <w:rFonts w:ascii="Arial" w:hAnsi="Arial" w:cs="Arial"/>
          <w:sz w:val="22"/>
          <w:szCs w:val="22"/>
        </w:rPr>
        <w:footnoteReference w:id="3"/>
      </w:r>
      <w:r w:rsidR="004E71CF" w:rsidRPr="00134EDD">
        <w:rPr>
          <w:rFonts w:ascii="Arial" w:hAnsi="Arial" w:cs="Arial"/>
          <w:sz w:val="22"/>
          <w:szCs w:val="22"/>
        </w:rPr>
        <w:t xml:space="preserve"> en el cual estableció un esquema para la distribución, administración y ejecución de las regalías</w:t>
      </w:r>
      <w:r w:rsidR="0085394C" w:rsidRPr="00134EDD">
        <w:rPr>
          <w:rFonts w:ascii="Arial" w:hAnsi="Arial" w:cs="Arial"/>
          <w:sz w:val="22"/>
          <w:szCs w:val="22"/>
        </w:rPr>
        <w:t xml:space="preserve">, estableciendo </w:t>
      </w:r>
      <w:r w:rsidR="003D1A0D" w:rsidRPr="00134EDD">
        <w:rPr>
          <w:rFonts w:ascii="Arial" w:hAnsi="Arial" w:cs="Arial"/>
          <w:sz w:val="22"/>
          <w:szCs w:val="22"/>
        </w:rPr>
        <w:t>unos fines</w:t>
      </w:r>
      <w:r w:rsidR="0085394C" w:rsidRPr="00134EDD">
        <w:rPr>
          <w:rFonts w:ascii="Arial" w:hAnsi="Arial" w:cs="Arial"/>
          <w:sz w:val="22"/>
          <w:szCs w:val="22"/>
        </w:rPr>
        <w:t xml:space="preserve"> para las inversiones que se realicen de los recursos del SGR:</w:t>
      </w:r>
    </w:p>
    <w:bookmarkEnd w:id="13"/>
    <w:p w14:paraId="474F76AE" w14:textId="77777777" w:rsidR="003D1A0D" w:rsidRPr="00134EDD" w:rsidRDefault="003D1A0D" w:rsidP="0085394C">
      <w:pPr>
        <w:pStyle w:val="Textoindependiente"/>
        <w:spacing w:before="0" w:beforeAutospacing="0" w:after="0" w:afterAutospacing="0" w:line="276" w:lineRule="auto"/>
        <w:ind w:left="709" w:right="709"/>
        <w:jc w:val="both"/>
        <w:rPr>
          <w:rFonts w:ascii="Arial" w:hAnsi="Arial" w:cs="Arial"/>
          <w:sz w:val="21"/>
          <w:szCs w:val="21"/>
        </w:rPr>
      </w:pPr>
    </w:p>
    <w:p w14:paraId="4BC1CF28" w14:textId="32E2F14A" w:rsidR="007C615C" w:rsidRPr="00134EDD" w:rsidRDefault="0085394C" w:rsidP="003D1A0D">
      <w:pPr>
        <w:pStyle w:val="Textoindependiente"/>
        <w:spacing w:before="0" w:beforeAutospacing="0" w:after="0" w:afterAutospacing="0"/>
        <w:ind w:left="709" w:right="709"/>
        <w:jc w:val="both"/>
        <w:rPr>
          <w:rFonts w:ascii="Arial" w:hAnsi="Arial" w:cs="Arial"/>
          <w:sz w:val="21"/>
          <w:szCs w:val="21"/>
        </w:rPr>
      </w:pPr>
      <w:r w:rsidRPr="00134EDD">
        <w:rPr>
          <w:rFonts w:ascii="Arial" w:hAnsi="Arial" w:cs="Arial"/>
          <w:sz w:val="21"/>
          <w:szCs w:val="21"/>
        </w:rPr>
        <w:t>Artículo 361.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r w:rsidR="004E71CF" w:rsidRPr="00134EDD">
        <w:rPr>
          <w:rFonts w:ascii="Arial" w:hAnsi="Arial" w:cs="Arial"/>
          <w:sz w:val="21"/>
          <w:szCs w:val="21"/>
        </w:rPr>
        <w:t xml:space="preserve"> </w:t>
      </w:r>
    </w:p>
    <w:p w14:paraId="40F68644" w14:textId="77777777" w:rsidR="0085394C" w:rsidRPr="00134EDD" w:rsidRDefault="0085394C" w:rsidP="003D1A0D">
      <w:pPr>
        <w:pStyle w:val="Textoindependiente"/>
        <w:ind w:left="709" w:right="709"/>
        <w:jc w:val="both"/>
        <w:rPr>
          <w:rFonts w:ascii="Arial" w:hAnsi="Arial" w:cs="Arial"/>
          <w:sz w:val="21"/>
          <w:szCs w:val="21"/>
        </w:rPr>
      </w:pPr>
      <w:r w:rsidRPr="00134EDD">
        <w:rPr>
          <w:rFonts w:ascii="Arial" w:hAnsi="Arial" w:cs="Arial"/>
          <w:sz w:val="21"/>
          <w:szCs w:val="21"/>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14:paraId="265DE60B" w14:textId="07301FDC" w:rsidR="0085394C" w:rsidRPr="00134EDD" w:rsidRDefault="0085394C" w:rsidP="003D1A0D">
      <w:pPr>
        <w:pStyle w:val="Textoindependiente"/>
        <w:spacing w:before="0" w:beforeAutospacing="0" w:after="0" w:afterAutospacing="0"/>
        <w:ind w:left="709" w:right="709"/>
        <w:jc w:val="both"/>
        <w:rPr>
          <w:rFonts w:ascii="Arial" w:hAnsi="Arial" w:cs="Arial"/>
          <w:sz w:val="21"/>
          <w:szCs w:val="21"/>
        </w:rPr>
      </w:pPr>
      <w:r w:rsidRPr="00134EDD">
        <w:rPr>
          <w:rFonts w:ascii="Arial" w:hAnsi="Arial" w:cs="Arial"/>
          <w:sz w:val="21"/>
          <w:szCs w:val="21"/>
        </w:rPr>
        <w:t xml:space="preserve">Para efectos de cumplir con los objetivos y fines del Sistema General de Regalías, créanse los Fondos de Ciencia, Tecnología e Innovación; de Desarrollo Regional; de Compensación Regional; y de Ahorro y Estabilización. </w:t>
      </w:r>
    </w:p>
    <w:p w14:paraId="745D05F8" w14:textId="7BE6E569" w:rsidR="004E71CF" w:rsidRPr="00134EDD" w:rsidRDefault="004E71CF" w:rsidP="0085394C">
      <w:pPr>
        <w:pStyle w:val="Textoindependiente"/>
        <w:spacing w:after="120" w:afterAutospacing="0" w:line="276" w:lineRule="auto"/>
        <w:jc w:val="both"/>
        <w:rPr>
          <w:rFonts w:ascii="Arial" w:hAnsi="Arial" w:cs="Arial"/>
          <w:sz w:val="22"/>
          <w:szCs w:val="22"/>
        </w:rPr>
      </w:pPr>
      <w:r w:rsidRPr="00134EDD">
        <w:rPr>
          <w:rFonts w:ascii="Arial" w:hAnsi="Arial" w:cs="Arial"/>
          <w:sz w:val="22"/>
          <w:szCs w:val="22"/>
        </w:rPr>
        <w:t xml:space="preserve">Para la distribución de los recursos provenientes de las regalías </w:t>
      </w:r>
      <w:r w:rsidR="00F018E4" w:rsidRPr="00134EDD">
        <w:rPr>
          <w:rFonts w:ascii="Arial" w:hAnsi="Arial" w:cs="Arial"/>
          <w:sz w:val="22"/>
          <w:szCs w:val="22"/>
        </w:rPr>
        <w:t xml:space="preserve">se </w:t>
      </w:r>
      <w:r w:rsidRPr="00134EDD">
        <w:rPr>
          <w:rFonts w:ascii="Arial" w:hAnsi="Arial" w:cs="Arial"/>
          <w:sz w:val="22"/>
          <w:szCs w:val="22"/>
        </w:rPr>
        <w:t xml:space="preserve">dispuso la creación de los siguientes fondos: i) Fondo de Ciencia, Tecnología e Innovación, ii) Fondo de Desarrollo Regional, iii) Fondo de Compensación Regional y iv) Fondo de Ahorro y Estabilización, </w:t>
      </w:r>
      <w:r w:rsidR="002971E5" w:rsidRPr="00134EDD">
        <w:rPr>
          <w:rFonts w:ascii="Arial" w:hAnsi="Arial" w:cs="Arial"/>
          <w:sz w:val="22"/>
          <w:szCs w:val="22"/>
        </w:rPr>
        <w:t>indicándose</w:t>
      </w:r>
      <w:r w:rsidRPr="00134EDD">
        <w:rPr>
          <w:rFonts w:ascii="Arial" w:hAnsi="Arial" w:cs="Arial"/>
          <w:sz w:val="22"/>
          <w:szCs w:val="22"/>
        </w:rPr>
        <w:t xml:space="preserve"> los porcentajes de los recursos de regalías que corresponde</w:t>
      </w:r>
      <w:r w:rsidR="00F018E4" w:rsidRPr="00134EDD">
        <w:rPr>
          <w:rFonts w:ascii="Arial" w:hAnsi="Arial" w:cs="Arial"/>
          <w:sz w:val="22"/>
          <w:szCs w:val="22"/>
        </w:rPr>
        <w:t>n</w:t>
      </w:r>
      <w:r w:rsidRPr="00134EDD">
        <w:rPr>
          <w:rFonts w:ascii="Arial" w:hAnsi="Arial" w:cs="Arial"/>
          <w:sz w:val="22"/>
          <w:szCs w:val="22"/>
        </w:rPr>
        <w:t xml:space="preserve"> a cada uno</w:t>
      </w:r>
      <w:r w:rsidR="00F018E4" w:rsidRPr="00134EDD">
        <w:rPr>
          <w:rFonts w:ascii="Arial" w:hAnsi="Arial" w:cs="Arial"/>
          <w:sz w:val="22"/>
          <w:szCs w:val="22"/>
        </w:rPr>
        <w:t>.</w:t>
      </w:r>
    </w:p>
    <w:p w14:paraId="2F59519F" w14:textId="77777777" w:rsidR="004E71CF" w:rsidRPr="00134EDD" w:rsidRDefault="004E71CF" w:rsidP="004E71CF">
      <w:pPr>
        <w:pStyle w:val="Textoindependiente"/>
        <w:spacing w:before="0" w:beforeAutospacing="0" w:after="120" w:afterAutospacing="0" w:line="276" w:lineRule="auto"/>
        <w:ind w:firstLine="708"/>
        <w:jc w:val="both"/>
        <w:rPr>
          <w:rFonts w:ascii="Arial" w:hAnsi="Arial" w:cs="Arial"/>
          <w:sz w:val="22"/>
          <w:szCs w:val="22"/>
        </w:rPr>
      </w:pPr>
      <w:r w:rsidRPr="00134EDD">
        <w:rPr>
          <w:rFonts w:ascii="Arial" w:hAnsi="Arial" w:cs="Arial"/>
          <w:sz w:val="22"/>
          <w:szCs w:val="22"/>
        </w:rPr>
        <w:lastRenderedPageBreak/>
        <w:t>La modificación del artículo 361 de la Constitución Política previó que los Fondos de Ciencia, Tecnología e Innovación tienen como finalidad la financiación de proyectos regionales acordados entre las entidades territoriales y el Gobierno Nacional. A su vez, en el inciso 3 del parágrafo 2 dispuso que los programas y/o proyectos en ciencia, tecnología e innovación de los departamentos, municipios y distritos financiados con los recursos del Fondo</w:t>
      </w:r>
      <w:r w:rsidRPr="00134EDD">
        <w:rPr>
          <w:rFonts w:ascii="Arial" w:hAnsi="Arial" w:cs="Arial"/>
          <w:spacing w:val="26"/>
          <w:sz w:val="22"/>
          <w:szCs w:val="22"/>
        </w:rPr>
        <w:t xml:space="preserve"> </w:t>
      </w:r>
      <w:r w:rsidRPr="00134EDD">
        <w:rPr>
          <w:rFonts w:ascii="Arial" w:hAnsi="Arial" w:cs="Arial"/>
          <w:sz w:val="22"/>
          <w:szCs w:val="22"/>
        </w:rPr>
        <w:t>de</w:t>
      </w:r>
      <w:r w:rsidRPr="00134EDD">
        <w:rPr>
          <w:rFonts w:ascii="Arial" w:hAnsi="Arial" w:cs="Arial"/>
          <w:spacing w:val="26"/>
          <w:sz w:val="22"/>
          <w:szCs w:val="22"/>
        </w:rPr>
        <w:t xml:space="preserve"> </w:t>
      </w:r>
      <w:r w:rsidRPr="00134EDD">
        <w:rPr>
          <w:rFonts w:ascii="Arial" w:hAnsi="Arial" w:cs="Arial"/>
          <w:sz w:val="22"/>
          <w:szCs w:val="22"/>
        </w:rPr>
        <w:t>Ciencia,</w:t>
      </w:r>
      <w:r w:rsidRPr="00134EDD">
        <w:rPr>
          <w:rFonts w:ascii="Arial" w:hAnsi="Arial" w:cs="Arial"/>
          <w:spacing w:val="26"/>
          <w:sz w:val="22"/>
          <w:szCs w:val="22"/>
        </w:rPr>
        <w:t xml:space="preserve"> </w:t>
      </w:r>
      <w:r w:rsidRPr="00134EDD">
        <w:rPr>
          <w:rFonts w:ascii="Arial" w:hAnsi="Arial" w:cs="Arial"/>
          <w:sz w:val="22"/>
          <w:szCs w:val="22"/>
        </w:rPr>
        <w:t>Tecnología</w:t>
      </w:r>
      <w:r w:rsidRPr="00134EDD">
        <w:rPr>
          <w:rFonts w:ascii="Arial" w:hAnsi="Arial" w:cs="Arial"/>
          <w:spacing w:val="26"/>
          <w:sz w:val="22"/>
          <w:szCs w:val="22"/>
        </w:rPr>
        <w:t xml:space="preserve"> </w:t>
      </w:r>
      <w:r w:rsidRPr="00134EDD">
        <w:rPr>
          <w:rFonts w:ascii="Arial" w:hAnsi="Arial" w:cs="Arial"/>
          <w:sz w:val="22"/>
          <w:szCs w:val="22"/>
        </w:rPr>
        <w:t>e</w:t>
      </w:r>
      <w:r w:rsidRPr="00134EDD">
        <w:rPr>
          <w:rFonts w:ascii="Arial" w:hAnsi="Arial" w:cs="Arial"/>
          <w:spacing w:val="27"/>
          <w:sz w:val="22"/>
          <w:szCs w:val="22"/>
        </w:rPr>
        <w:t xml:space="preserve"> </w:t>
      </w:r>
      <w:r w:rsidRPr="00134EDD">
        <w:rPr>
          <w:rFonts w:ascii="Arial" w:hAnsi="Arial" w:cs="Arial"/>
          <w:sz w:val="22"/>
          <w:szCs w:val="22"/>
        </w:rPr>
        <w:t>Innovación</w:t>
      </w:r>
      <w:r w:rsidRPr="00134EDD">
        <w:rPr>
          <w:rStyle w:val="Refdenotaalpie"/>
          <w:rFonts w:ascii="Arial" w:hAnsi="Arial" w:cs="Arial"/>
          <w:sz w:val="22"/>
          <w:szCs w:val="22"/>
        </w:rPr>
        <w:footnoteReference w:id="4"/>
      </w:r>
      <w:r w:rsidRPr="00134EDD">
        <w:rPr>
          <w:rFonts w:ascii="Arial" w:hAnsi="Arial" w:cs="Arial"/>
          <w:spacing w:val="25"/>
          <w:sz w:val="22"/>
          <w:szCs w:val="22"/>
        </w:rPr>
        <w:t xml:space="preserve"> </w:t>
      </w:r>
      <w:r w:rsidRPr="00134EDD">
        <w:rPr>
          <w:rFonts w:ascii="Arial" w:hAnsi="Arial" w:cs="Arial"/>
          <w:sz w:val="22"/>
          <w:szCs w:val="22"/>
        </w:rPr>
        <w:t>(FCTel),</w:t>
      </w:r>
      <w:r w:rsidRPr="00134EDD">
        <w:rPr>
          <w:rFonts w:ascii="Arial" w:hAnsi="Arial" w:cs="Arial"/>
          <w:spacing w:val="25"/>
          <w:sz w:val="22"/>
          <w:szCs w:val="22"/>
        </w:rPr>
        <w:t xml:space="preserve"> </w:t>
      </w:r>
      <w:r w:rsidRPr="00134EDD">
        <w:rPr>
          <w:rFonts w:ascii="Arial" w:hAnsi="Arial" w:cs="Arial"/>
          <w:sz w:val="22"/>
          <w:szCs w:val="22"/>
        </w:rPr>
        <w:t>se</w:t>
      </w:r>
      <w:r w:rsidRPr="00134EDD">
        <w:rPr>
          <w:rFonts w:ascii="Arial" w:hAnsi="Arial" w:cs="Arial"/>
          <w:spacing w:val="26"/>
          <w:sz w:val="22"/>
          <w:szCs w:val="22"/>
        </w:rPr>
        <w:t xml:space="preserve"> </w:t>
      </w:r>
      <w:r w:rsidRPr="00134EDD">
        <w:rPr>
          <w:rFonts w:ascii="Arial" w:hAnsi="Arial" w:cs="Arial"/>
          <w:sz w:val="22"/>
          <w:szCs w:val="22"/>
        </w:rPr>
        <w:t>definirían</w:t>
      </w:r>
      <w:r w:rsidRPr="00134EDD">
        <w:rPr>
          <w:rFonts w:ascii="Arial" w:hAnsi="Arial" w:cs="Arial"/>
          <w:spacing w:val="28"/>
          <w:sz w:val="22"/>
          <w:szCs w:val="22"/>
        </w:rPr>
        <w:t xml:space="preserve"> </w:t>
      </w:r>
      <w:r w:rsidRPr="00134EDD">
        <w:rPr>
          <w:rFonts w:ascii="Arial" w:hAnsi="Arial" w:cs="Arial"/>
          <w:sz w:val="22"/>
          <w:szCs w:val="22"/>
        </w:rPr>
        <w:t>por</w:t>
      </w:r>
      <w:r w:rsidRPr="00134EDD">
        <w:rPr>
          <w:rFonts w:ascii="Arial" w:hAnsi="Arial" w:cs="Arial"/>
          <w:spacing w:val="25"/>
          <w:sz w:val="22"/>
          <w:szCs w:val="22"/>
        </w:rPr>
        <w:t xml:space="preserve"> </w:t>
      </w:r>
      <w:r w:rsidRPr="00134EDD">
        <w:rPr>
          <w:rFonts w:ascii="Arial" w:hAnsi="Arial" w:cs="Arial"/>
          <w:sz w:val="22"/>
          <w:szCs w:val="22"/>
        </w:rPr>
        <w:t>un</w:t>
      </w:r>
      <w:r w:rsidRPr="00134EDD">
        <w:rPr>
          <w:rFonts w:ascii="Arial" w:hAnsi="Arial" w:cs="Arial"/>
          <w:spacing w:val="27"/>
          <w:sz w:val="22"/>
          <w:szCs w:val="22"/>
        </w:rPr>
        <w:t xml:space="preserve"> </w:t>
      </w:r>
      <w:r w:rsidRPr="00134EDD">
        <w:rPr>
          <w:rFonts w:ascii="Arial" w:hAnsi="Arial" w:cs="Arial"/>
          <w:sz w:val="22"/>
          <w:szCs w:val="22"/>
        </w:rPr>
        <w:t>Órgano Colegiado de Administración y Decisión</w:t>
      </w:r>
      <w:r w:rsidRPr="00134EDD">
        <w:rPr>
          <w:rStyle w:val="Refdenotaalpie"/>
          <w:rFonts w:ascii="Arial" w:hAnsi="Arial" w:cs="Arial"/>
          <w:sz w:val="22"/>
          <w:szCs w:val="22"/>
        </w:rPr>
        <w:footnoteReference w:id="5"/>
      </w:r>
      <w:r w:rsidRPr="00134EDD">
        <w:rPr>
          <w:rFonts w:ascii="Arial" w:hAnsi="Arial" w:cs="Arial"/>
          <w:sz w:val="22"/>
          <w:szCs w:val="22"/>
        </w:rPr>
        <w:t xml:space="preserve"> (OCAD), en el cual tendrán asiento el Gobierno Nacional, las gobernaciones y las universidades.</w:t>
      </w:r>
    </w:p>
    <w:p w14:paraId="74BC4701" w14:textId="3821D196" w:rsidR="004E71CF" w:rsidRPr="00134EDD" w:rsidRDefault="003D1A0D" w:rsidP="004E71CF">
      <w:pPr>
        <w:pStyle w:val="Textoindependiente"/>
        <w:spacing w:before="0" w:beforeAutospacing="0" w:after="120" w:afterAutospacing="0" w:line="276" w:lineRule="auto"/>
        <w:ind w:firstLine="708"/>
        <w:jc w:val="both"/>
        <w:rPr>
          <w:rFonts w:ascii="Arial" w:hAnsi="Arial" w:cs="Arial"/>
          <w:sz w:val="22"/>
          <w:szCs w:val="22"/>
        </w:rPr>
      </w:pPr>
      <w:bookmarkStart w:id="14" w:name="_Hlk46840480"/>
      <w:r w:rsidRPr="00134EDD">
        <w:rPr>
          <w:rFonts w:ascii="Arial" w:hAnsi="Arial" w:cs="Arial"/>
          <w:sz w:val="22"/>
          <w:szCs w:val="22"/>
        </w:rPr>
        <w:t>C</w:t>
      </w:r>
      <w:r w:rsidR="004E71CF" w:rsidRPr="00134EDD">
        <w:rPr>
          <w:rFonts w:ascii="Arial" w:hAnsi="Arial" w:cs="Arial"/>
          <w:sz w:val="22"/>
          <w:szCs w:val="22"/>
        </w:rPr>
        <w:t>on la expedición de la Ley 1530 de 2012, el legislador reguló la organización y el funcionamiento del Sistema General de Regalías. Este nuevo esquema determinó la distribución, objetivos, fines, administración, ejecución, control, el uso eficiente y la destinación de los ingresos provenientes de la explotación de los recursos naturales no renovables</w:t>
      </w:r>
      <w:r w:rsidR="0090203B">
        <w:rPr>
          <w:rFonts w:ascii="Arial" w:hAnsi="Arial" w:cs="Arial"/>
          <w:sz w:val="22"/>
          <w:szCs w:val="22"/>
        </w:rPr>
        <w:t>,</w:t>
      </w:r>
      <w:r w:rsidR="004E71CF" w:rsidRPr="00134EDD">
        <w:rPr>
          <w:rFonts w:ascii="Arial" w:hAnsi="Arial" w:cs="Arial"/>
          <w:sz w:val="22"/>
          <w:szCs w:val="22"/>
        </w:rPr>
        <w:t xml:space="preserve"> precisando las condiciones de participación de sus beneficiarios</w:t>
      </w:r>
      <w:r w:rsidR="004E71CF" w:rsidRPr="00134EDD">
        <w:rPr>
          <w:rStyle w:val="Refdenotaalpie"/>
          <w:rFonts w:ascii="Arial" w:hAnsi="Arial" w:cs="Arial"/>
          <w:sz w:val="22"/>
          <w:szCs w:val="22"/>
        </w:rPr>
        <w:footnoteReference w:id="6"/>
      </w:r>
      <w:r w:rsidR="004E71CF" w:rsidRPr="00134EDD">
        <w:rPr>
          <w:rFonts w:ascii="Arial" w:hAnsi="Arial" w:cs="Arial"/>
          <w:sz w:val="22"/>
          <w:szCs w:val="22"/>
        </w:rPr>
        <w:t>.</w:t>
      </w:r>
    </w:p>
    <w:p w14:paraId="027BC8A2" w14:textId="2AC0F21A" w:rsidR="004E71CF" w:rsidRPr="00134EDD" w:rsidRDefault="002B5C1F" w:rsidP="007C615C">
      <w:pPr>
        <w:pStyle w:val="Textoindependiente"/>
        <w:spacing w:before="0" w:beforeAutospacing="0" w:after="120" w:afterAutospacing="0" w:line="276" w:lineRule="auto"/>
        <w:ind w:firstLine="708"/>
        <w:jc w:val="both"/>
        <w:rPr>
          <w:rFonts w:ascii="Arial" w:hAnsi="Arial" w:cs="Arial"/>
          <w:sz w:val="22"/>
          <w:szCs w:val="22"/>
        </w:rPr>
      </w:pPr>
      <w:r w:rsidRPr="00134EDD">
        <w:rPr>
          <w:rFonts w:ascii="Arial" w:hAnsi="Arial" w:cs="Arial"/>
          <w:sz w:val="22"/>
          <w:szCs w:val="22"/>
        </w:rPr>
        <w:t>Entre</w:t>
      </w:r>
      <w:r w:rsidR="004E71CF" w:rsidRPr="00134EDD">
        <w:rPr>
          <w:rFonts w:ascii="Arial" w:hAnsi="Arial" w:cs="Arial"/>
          <w:sz w:val="22"/>
          <w:szCs w:val="22"/>
        </w:rPr>
        <w:t xml:space="preserve"> los objetivos previstos en el artículo 2 de la </w:t>
      </w:r>
      <w:r w:rsidRPr="00134EDD">
        <w:rPr>
          <w:rFonts w:ascii="Arial" w:hAnsi="Arial" w:cs="Arial"/>
          <w:sz w:val="22"/>
          <w:szCs w:val="22"/>
        </w:rPr>
        <w:t>Ley 1530 de 2012,</w:t>
      </w:r>
      <w:r w:rsidR="004E71CF" w:rsidRPr="00134EDD">
        <w:rPr>
          <w:rFonts w:ascii="Arial" w:hAnsi="Arial" w:cs="Arial"/>
          <w:sz w:val="22"/>
          <w:szCs w:val="22"/>
        </w:rPr>
        <w:t xml:space="preserve"> se encuentran los siguientes: i) crear condiciones de equidad en la distribución de los ingresos para generar ahorro para épocas de escasez; ii) distribuir los recursos hacia la población más pobre generando mayor equidad social; iii) promover el desarrollo y la competitividad entidades territoriales; iv) incentivar proyectos mineroenergéticos; tanto para la pequeña y media industria como para la minería artesanal; v) propiciar la inversión en la restauración social y económica de los territorios donde se desarrollen actividades de explotación y exploración, entre otros.</w:t>
      </w:r>
    </w:p>
    <w:p w14:paraId="58BFF76E" w14:textId="61EDF746" w:rsidR="004E71CF" w:rsidRPr="00134EDD" w:rsidRDefault="004E71CF" w:rsidP="007C615C">
      <w:pPr>
        <w:pStyle w:val="Textoindependiente"/>
        <w:spacing w:before="0" w:beforeAutospacing="0" w:after="120" w:afterAutospacing="0" w:line="276" w:lineRule="auto"/>
        <w:ind w:firstLine="709"/>
        <w:jc w:val="both"/>
        <w:rPr>
          <w:rFonts w:ascii="Arial" w:hAnsi="Arial" w:cs="Arial"/>
          <w:sz w:val="22"/>
          <w:szCs w:val="22"/>
        </w:rPr>
      </w:pPr>
      <w:bookmarkStart w:id="15" w:name="_Hlk46840595"/>
      <w:bookmarkEnd w:id="14"/>
      <w:r w:rsidRPr="00134EDD">
        <w:rPr>
          <w:rFonts w:ascii="Arial" w:hAnsi="Arial" w:cs="Arial"/>
          <w:sz w:val="22"/>
          <w:szCs w:val="22"/>
        </w:rPr>
        <w:lastRenderedPageBreak/>
        <w:t xml:space="preserve">En virtud del artículo 6 La Ley 1530 de 2012, los recursos del Sistema General de Regalías financiarán proyectos de inversión </w:t>
      </w:r>
      <w:r w:rsidR="003D1A0D" w:rsidRPr="00134EDD">
        <w:rPr>
          <w:rFonts w:ascii="Arial" w:hAnsi="Arial" w:cs="Arial"/>
          <w:sz w:val="22"/>
          <w:szCs w:val="22"/>
        </w:rPr>
        <w:t>presentados a los órganos colegiados de administración y decisión</w:t>
      </w:r>
      <w:r w:rsidRPr="00134EDD">
        <w:rPr>
          <w:rFonts w:ascii="Arial" w:hAnsi="Arial" w:cs="Arial"/>
          <w:sz w:val="22"/>
          <w:szCs w:val="22"/>
        </w:rPr>
        <w:t>, quien</w:t>
      </w:r>
      <w:r w:rsidR="003D1A0D" w:rsidRPr="00134EDD">
        <w:rPr>
          <w:rFonts w:ascii="Arial" w:hAnsi="Arial" w:cs="Arial"/>
          <w:sz w:val="22"/>
          <w:szCs w:val="22"/>
        </w:rPr>
        <w:t>es</w:t>
      </w:r>
      <w:r w:rsidRPr="00134EDD">
        <w:rPr>
          <w:rFonts w:ascii="Arial" w:hAnsi="Arial" w:cs="Arial"/>
          <w:sz w:val="22"/>
          <w:szCs w:val="22"/>
        </w:rPr>
        <w:t xml:space="preserve"> será</w:t>
      </w:r>
      <w:r w:rsidR="003D1A0D" w:rsidRPr="00134EDD">
        <w:rPr>
          <w:rFonts w:ascii="Arial" w:hAnsi="Arial" w:cs="Arial"/>
          <w:sz w:val="22"/>
          <w:szCs w:val="22"/>
        </w:rPr>
        <w:t xml:space="preserve">n los </w:t>
      </w:r>
      <w:r w:rsidRPr="00134EDD">
        <w:rPr>
          <w:rFonts w:ascii="Arial" w:hAnsi="Arial" w:cs="Arial"/>
          <w:sz w:val="22"/>
          <w:szCs w:val="22"/>
        </w:rPr>
        <w:t>encargados de viabilizarlos, priorizarlos, aprobarlos y designar el ejecutor de los</w:t>
      </w:r>
      <w:r w:rsidRPr="00134EDD">
        <w:rPr>
          <w:rFonts w:ascii="Arial" w:hAnsi="Arial" w:cs="Arial"/>
          <w:spacing w:val="-5"/>
          <w:sz w:val="22"/>
          <w:szCs w:val="22"/>
        </w:rPr>
        <w:t xml:space="preserve"> </w:t>
      </w:r>
      <w:r w:rsidRPr="00134EDD">
        <w:rPr>
          <w:rFonts w:ascii="Arial" w:hAnsi="Arial" w:cs="Arial"/>
          <w:sz w:val="22"/>
          <w:szCs w:val="22"/>
        </w:rPr>
        <w:t>mismos.</w:t>
      </w:r>
      <w:r w:rsidR="003D1A0D" w:rsidRPr="00134EDD">
        <w:rPr>
          <w:rFonts w:ascii="Arial" w:hAnsi="Arial" w:cs="Arial"/>
          <w:sz w:val="22"/>
          <w:szCs w:val="22"/>
        </w:rPr>
        <w:t xml:space="preserve"> </w:t>
      </w:r>
      <w:r w:rsidR="002B5C1F" w:rsidRPr="00134EDD">
        <w:rPr>
          <w:rFonts w:ascii="Arial" w:hAnsi="Arial" w:cs="Arial"/>
          <w:sz w:val="22"/>
          <w:szCs w:val="22"/>
        </w:rPr>
        <w:t>La l</w:t>
      </w:r>
      <w:r w:rsidRPr="00134EDD">
        <w:rPr>
          <w:rFonts w:ascii="Arial" w:hAnsi="Arial" w:cs="Arial"/>
          <w:sz w:val="22"/>
          <w:szCs w:val="22"/>
        </w:rPr>
        <w:t>ey</w:t>
      </w:r>
      <w:r w:rsidR="002B5C1F" w:rsidRPr="00134EDD">
        <w:rPr>
          <w:rFonts w:ascii="Arial" w:hAnsi="Arial" w:cs="Arial"/>
          <w:sz w:val="22"/>
          <w:szCs w:val="22"/>
        </w:rPr>
        <w:t xml:space="preserve"> </w:t>
      </w:r>
      <w:r w:rsidR="002971E5" w:rsidRPr="00134EDD">
        <w:rPr>
          <w:rFonts w:ascii="Arial" w:hAnsi="Arial" w:cs="Arial"/>
          <w:sz w:val="22"/>
          <w:szCs w:val="22"/>
        </w:rPr>
        <w:t>también</w:t>
      </w:r>
      <w:r w:rsidRPr="00134EDD">
        <w:rPr>
          <w:rFonts w:ascii="Arial" w:hAnsi="Arial" w:cs="Arial"/>
          <w:sz w:val="22"/>
          <w:szCs w:val="22"/>
        </w:rPr>
        <w:t xml:space="preserve"> estableció las reglas generales de los proyectos de inversión</w:t>
      </w:r>
      <w:r w:rsidR="002B5C1F" w:rsidRPr="00134EDD">
        <w:rPr>
          <w:rFonts w:ascii="Arial" w:hAnsi="Arial" w:cs="Arial"/>
          <w:sz w:val="22"/>
          <w:szCs w:val="22"/>
        </w:rPr>
        <w:t>, disponiendo en</w:t>
      </w:r>
      <w:r w:rsidRPr="00134EDD">
        <w:rPr>
          <w:rFonts w:ascii="Arial" w:hAnsi="Arial" w:cs="Arial"/>
          <w:sz w:val="22"/>
          <w:szCs w:val="22"/>
        </w:rPr>
        <w:t xml:space="preserve"> el artículo 28 que dichos proyectos serán ejecutados por quien designe </w:t>
      </w:r>
      <w:r w:rsidRPr="00134EDD">
        <w:rPr>
          <w:rFonts w:ascii="Arial" w:hAnsi="Arial" w:cs="Arial"/>
          <w:spacing w:val="-3"/>
          <w:sz w:val="22"/>
          <w:szCs w:val="22"/>
        </w:rPr>
        <w:t xml:space="preserve">el </w:t>
      </w:r>
      <w:r w:rsidR="0085394C" w:rsidRPr="00134EDD">
        <w:rPr>
          <w:rFonts w:ascii="Arial" w:hAnsi="Arial" w:cs="Arial"/>
          <w:sz w:val="22"/>
          <w:szCs w:val="22"/>
        </w:rPr>
        <w:t>«</w:t>
      </w:r>
      <w:r w:rsidRPr="00134EDD">
        <w:rPr>
          <w:rFonts w:ascii="Arial" w:hAnsi="Arial" w:cs="Arial"/>
          <w:sz w:val="22"/>
          <w:szCs w:val="22"/>
        </w:rPr>
        <w:t>Órgano Colegiado de Administración y Decisión – OCAD-, con estricta sujeción al régimen presupuestal definido en esta ley y al de contratación pública vigente y aplicable y el ejecutor</w:t>
      </w:r>
      <w:r w:rsidRPr="00134EDD">
        <w:rPr>
          <w:rFonts w:ascii="Arial" w:hAnsi="Arial" w:cs="Arial"/>
          <w:spacing w:val="9"/>
          <w:sz w:val="22"/>
          <w:szCs w:val="22"/>
        </w:rPr>
        <w:t xml:space="preserve"> </w:t>
      </w:r>
      <w:r w:rsidRPr="00134EDD">
        <w:rPr>
          <w:rFonts w:ascii="Arial" w:hAnsi="Arial" w:cs="Arial"/>
          <w:sz w:val="22"/>
          <w:szCs w:val="22"/>
        </w:rPr>
        <w:t>garantizará</w:t>
      </w:r>
      <w:r w:rsidRPr="00134EDD">
        <w:rPr>
          <w:rFonts w:ascii="Arial" w:hAnsi="Arial" w:cs="Arial"/>
          <w:spacing w:val="11"/>
          <w:sz w:val="22"/>
          <w:szCs w:val="22"/>
        </w:rPr>
        <w:t xml:space="preserve"> </w:t>
      </w:r>
      <w:r w:rsidRPr="00134EDD">
        <w:rPr>
          <w:rFonts w:ascii="Arial" w:hAnsi="Arial" w:cs="Arial"/>
          <w:sz w:val="22"/>
          <w:szCs w:val="22"/>
        </w:rPr>
        <w:t>la</w:t>
      </w:r>
      <w:r w:rsidRPr="00134EDD">
        <w:rPr>
          <w:rFonts w:ascii="Arial" w:hAnsi="Arial" w:cs="Arial"/>
          <w:spacing w:val="16"/>
          <w:sz w:val="22"/>
          <w:szCs w:val="22"/>
        </w:rPr>
        <w:t xml:space="preserve"> </w:t>
      </w:r>
      <w:r w:rsidRPr="00134EDD">
        <w:rPr>
          <w:rFonts w:ascii="Arial" w:hAnsi="Arial" w:cs="Arial"/>
          <w:sz w:val="22"/>
          <w:szCs w:val="22"/>
        </w:rPr>
        <w:t>correcta</w:t>
      </w:r>
      <w:r w:rsidRPr="00134EDD">
        <w:rPr>
          <w:rFonts w:ascii="Arial" w:hAnsi="Arial" w:cs="Arial"/>
          <w:spacing w:val="11"/>
          <w:sz w:val="22"/>
          <w:szCs w:val="22"/>
        </w:rPr>
        <w:t xml:space="preserve"> </w:t>
      </w:r>
      <w:r w:rsidRPr="00134EDD">
        <w:rPr>
          <w:rFonts w:ascii="Arial" w:hAnsi="Arial" w:cs="Arial"/>
          <w:sz w:val="22"/>
          <w:szCs w:val="22"/>
        </w:rPr>
        <w:t>ejecución</w:t>
      </w:r>
      <w:r w:rsidRPr="00134EDD">
        <w:rPr>
          <w:rFonts w:ascii="Arial" w:hAnsi="Arial" w:cs="Arial"/>
          <w:spacing w:val="11"/>
          <w:sz w:val="22"/>
          <w:szCs w:val="22"/>
        </w:rPr>
        <w:t xml:space="preserve"> </w:t>
      </w:r>
      <w:r w:rsidRPr="00134EDD">
        <w:rPr>
          <w:rFonts w:ascii="Arial" w:hAnsi="Arial" w:cs="Arial"/>
          <w:sz w:val="22"/>
          <w:szCs w:val="22"/>
        </w:rPr>
        <w:t>de</w:t>
      </w:r>
      <w:r w:rsidRPr="00134EDD">
        <w:rPr>
          <w:rFonts w:ascii="Arial" w:hAnsi="Arial" w:cs="Arial"/>
          <w:spacing w:val="11"/>
          <w:sz w:val="22"/>
          <w:szCs w:val="22"/>
        </w:rPr>
        <w:t xml:space="preserve"> </w:t>
      </w:r>
      <w:r w:rsidRPr="00134EDD">
        <w:rPr>
          <w:rFonts w:ascii="Arial" w:hAnsi="Arial" w:cs="Arial"/>
          <w:sz w:val="22"/>
          <w:szCs w:val="22"/>
        </w:rPr>
        <w:t>los</w:t>
      </w:r>
      <w:r w:rsidRPr="00134EDD">
        <w:rPr>
          <w:rFonts w:ascii="Arial" w:hAnsi="Arial" w:cs="Arial"/>
          <w:spacing w:val="11"/>
          <w:sz w:val="22"/>
          <w:szCs w:val="22"/>
        </w:rPr>
        <w:t xml:space="preserve"> </w:t>
      </w:r>
      <w:r w:rsidRPr="00134EDD">
        <w:rPr>
          <w:rFonts w:ascii="Arial" w:hAnsi="Arial" w:cs="Arial"/>
          <w:sz w:val="22"/>
          <w:szCs w:val="22"/>
        </w:rPr>
        <w:t>recursos</w:t>
      </w:r>
      <w:r w:rsidRPr="00134EDD">
        <w:rPr>
          <w:rFonts w:ascii="Arial" w:hAnsi="Arial" w:cs="Arial"/>
          <w:spacing w:val="10"/>
          <w:sz w:val="22"/>
          <w:szCs w:val="22"/>
        </w:rPr>
        <w:t xml:space="preserve"> </w:t>
      </w:r>
      <w:r w:rsidRPr="00134EDD">
        <w:rPr>
          <w:rFonts w:ascii="Arial" w:hAnsi="Arial" w:cs="Arial"/>
          <w:sz w:val="22"/>
          <w:szCs w:val="22"/>
        </w:rPr>
        <w:t>asignados</w:t>
      </w:r>
      <w:r w:rsidRPr="00134EDD">
        <w:rPr>
          <w:rFonts w:ascii="Arial" w:hAnsi="Arial" w:cs="Arial"/>
          <w:spacing w:val="11"/>
          <w:sz w:val="22"/>
          <w:szCs w:val="22"/>
        </w:rPr>
        <w:t xml:space="preserve"> </w:t>
      </w:r>
      <w:r w:rsidRPr="00134EDD">
        <w:rPr>
          <w:rFonts w:ascii="Arial" w:hAnsi="Arial" w:cs="Arial"/>
          <w:sz w:val="22"/>
          <w:szCs w:val="22"/>
        </w:rPr>
        <w:t>al</w:t>
      </w:r>
      <w:r w:rsidRPr="00134EDD">
        <w:rPr>
          <w:rFonts w:ascii="Arial" w:hAnsi="Arial" w:cs="Arial"/>
          <w:spacing w:val="11"/>
          <w:sz w:val="22"/>
          <w:szCs w:val="22"/>
        </w:rPr>
        <w:t xml:space="preserve"> </w:t>
      </w:r>
      <w:r w:rsidRPr="00134EDD">
        <w:rPr>
          <w:rFonts w:ascii="Arial" w:hAnsi="Arial" w:cs="Arial"/>
          <w:sz w:val="22"/>
          <w:szCs w:val="22"/>
        </w:rPr>
        <w:t>proyecto</w:t>
      </w:r>
      <w:r w:rsidRPr="00134EDD">
        <w:rPr>
          <w:rFonts w:ascii="Arial" w:hAnsi="Arial" w:cs="Arial"/>
          <w:spacing w:val="11"/>
          <w:sz w:val="22"/>
          <w:szCs w:val="22"/>
        </w:rPr>
        <w:t xml:space="preserve"> </w:t>
      </w:r>
      <w:r w:rsidRPr="00134EDD">
        <w:rPr>
          <w:rFonts w:ascii="Arial" w:hAnsi="Arial" w:cs="Arial"/>
          <w:sz w:val="22"/>
          <w:szCs w:val="22"/>
        </w:rPr>
        <w:t>de inversión</w:t>
      </w:r>
      <w:r w:rsidR="0085394C" w:rsidRPr="00134EDD">
        <w:rPr>
          <w:rFonts w:ascii="Arial" w:hAnsi="Arial" w:cs="Arial"/>
          <w:sz w:val="22"/>
          <w:szCs w:val="22"/>
        </w:rPr>
        <w:t>»</w:t>
      </w:r>
      <w:r w:rsidRPr="00134EDD">
        <w:rPr>
          <w:rFonts w:ascii="Arial" w:hAnsi="Arial" w:cs="Arial"/>
          <w:sz w:val="22"/>
          <w:szCs w:val="22"/>
        </w:rPr>
        <w:t>. A su vez, el inciso 2 de la misma norma prescribe que para ejecutar dichos proyectos se deberán aplicar las normas contractuales previstas en la Ley 1286 de 2009.</w:t>
      </w:r>
    </w:p>
    <w:p w14:paraId="5AA59B11" w14:textId="7BFF9E1F" w:rsidR="00270627" w:rsidRPr="00134EDD" w:rsidRDefault="00824B7F" w:rsidP="003D1A0D">
      <w:pPr>
        <w:pStyle w:val="NormalWeb"/>
        <w:spacing w:before="0" w:beforeAutospacing="0" w:after="120" w:afterAutospacing="0" w:line="276" w:lineRule="auto"/>
        <w:ind w:firstLine="708"/>
        <w:jc w:val="both"/>
        <w:rPr>
          <w:rFonts w:ascii="Arial" w:hAnsi="Arial" w:cs="Arial"/>
          <w:sz w:val="22"/>
          <w:szCs w:val="22"/>
        </w:rPr>
      </w:pPr>
      <w:bookmarkStart w:id="16" w:name="_Hlk46840795"/>
      <w:bookmarkEnd w:id="15"/>
      <w:r w:rsidRPr="00134EDD">
        <w:rPr>
          <w:rFonts w:ascii="Arial" w:hAnsi="Arial" w:cs="Arial"/>
          <w:sz w:val="22"/>
          <w:szCs w:val="22"/>
        </w:rPr>
        <w:t>El artículo  361 de la Constitución fue objeto de modificación por parte del Acto Legislativo 4 de 2017, el cual adicionó los parágrafos 4 y 5</w:t>
      </w:r>
      <w:r w:rsidR="00270627" w:rsidRPr="00134EDD">
        <w:rPr>
          <w:rFonts w:ascii="Arial" w:hAnsi="Arial" w:cs="Arial"/>
          <w:sz w:val="22"/>
          <w:szCs w:val="22"/>
        </w:rPr>
        <w:t xml:space="preserve">, el primero relacionado </w:t>
      </w:r>
      <w:r w:rsidRPr="00134EDD">
        <w:rPr>
          <w:rFonts w:ascii="Arial" w:hAnsi="Arial" w:cs="Arial"/>
          <w:sz w:val="22"/>
          <w:szCs w:val="22"/>
        </w:rPr>
        <w:t>con la financiación de proyectos relacionados con el Acuerdo Final de Paz</w:t>
      </w:r>
      <w:r w:rsidR="00270627" w:rsidRPr="00134EDD">
        <w:rPr>
          <w:rFonts w:ascii="Arial" w:hAnsi="Arial" w:cs="Arial"/>
          <w:sz w:val="22"/>
          <w:szCs w:val="22"/>
        </w:rPr>
        <w:t xml:space="preserve">, y el segundo con la inversión de recursos del Fondo de Ciencia, Tecnología e Innovación, </w:t>
      </w:r>
      <w:r w:rsidR="002971E5" w:rsidRPr="00134EDD">
        <w:rPr>
          <w:rFonts w:ascii="Arial" w:hAnsi="Arial" w:cs="Arial"/>
          <w:sz w:val="22"/>
          <w:szCs w:val="22"/>
        </w:rPr>
        <w:t>definiéndose</w:t>
      </w:r>
      <w:r w:rsidR="00270627" w:rsidRPr="00134EDD">
        <w:rPr>
          <w:rFonts w:ascii="Arial" w:hAnsi="Arial" w:cs="Arial"/>
          <w:sz w:val="22"/>
          <w:szCs w:val="22"/>
        </w:rPr>
        <w:t xml:space="preserve"> que «Los programas o proyectos de inversión que se financien con recursos del Fondo de Ciencia, Tecnología e Innovación del Sistema General de Regalías, serán definidos por el Órgano Colegiado de Administración y Decisión (OCAD) de Ciencia, Tecnología e Innovación, a través de convocatorias públicas, abiertas y competitivas»</w:t>
      </w:r>
      <w:r w:rsidR="00270627" w:rsidRPr="00134EDD">
        <w:rPr>
          <w:rStyle w:val="Refdenotaalpie"/>
          <w:rFonts w:ascii="Arial" w:hAnsi="Arial" w:cs="Arial"/>
          <w:sz w:val="22"/>
          <w:szCs w:val="22"/>
        </w:rPr>
        <w:footnoteReference w:id="7"/>
      </w:r>
      <w:r w:rsidR="00270627" w:rsidRPr="00134EDD">
        <w:rPr>
          <w:rFonts w:ascii="Arial" w:hAnsi="Arial" w:cs="Arial"/>
          <w:sz w:val="22"/>
          <w:szCs w:val="22"/>
        </w:rPr>
        <w:t xml:space="preserve">. </w:t>
      </w:r>
    </w:p>
    <w:p w14:paraId="616B0047" w14:textId="533D5C1C" w:rsidR="00270627" w:rsidRPr="00134EDD" w:rsidRDefault="00270627" w:rsidP="0084702E">
      <w:pPr>
        <w:pStyle w:val="NormalWeb"/>
        <w:spacing w:before="0" w:beforeAutospacing="0" w:after="120" w:afterAutospacing="0" w:line="276" w:lineRule="auto"/>
        <w:ind w:firstLine="709"/>
        <w:jc w:val="both"/>
        <w:rPr>
          <w:rFonts w:ascii="Arial" w:hAnsi="Arial" w:cs="Arial"/>
          <w:sz w:val="22"/>
          <w:szCs w:val="22"/>
        </w:rPr>
      </w:pPr>
      <w:r w:rsidRPr="00134EDD">
        <w:rPr>
          <w:rFonts w:ascii="Arial" w:hAnsi="Arial" w:cs="Arial"/>
          <w:sz w:val="22"/>
          <w:szCs w:val="22"/>
        </w:rPr>
        <w:t xml:space="preserve">El parágrafo 5 del artículo </w:t>
      </w:r>
      <w:r w:rsidR="0084702E" w:rsidRPr="00134EDD">
        <w:rPr>
          <w:rFonts w:ascii="Arial" w:hAnsi="Arial" w:cs="Arial"/>
          <w:sz w:val="22"/>
          <w:szCs w:val="22"/>
        </w:rPr>
        <w:t>361 superior</w:t>
      </w:r>
      <w:r w:rsidRPr="00134EDD">
        <w:rPr>
          <w:rFonts w:ascii="Arial" w:hAnsi="Arial" w:cs="Arial"/>
          <w:sz w:val="22"/>
          <w:szCs w:val="22"/>
        </w:rPr>
        <w:t xml:space="preserve"> fue regulado por la Ley 1923 de 2018</w:t>
      </w:r>
      <w:r w:rsidR="0084702E" w:rsidRPr="00134EDD">
        <w:rPr>
          <w:rFonts w:ascii="Arial" w:hAnsi="Arial" w:cs="Arial"/>
          <w:sz w:val="22"/>
          <w:szCs w:val="22"/>
        </w:rPr>
        <w:t xml:space="preserve">, la cual establece en </w:t>
      </w:r>
      <w:r w:rsidR="00C33D6E">
        <w:rPr>
          <w:rFonts w:ascii="Arial" w:hAnsi="Arial" w:cs="Arial"/>
          <w:sz w:val="22"/>
          <w:szCs w:val="22"/>
        </w:rPr>
        <w:t>el</w:t>
      </w:r>
      <w:r w:rsidR="00C33D6E" w:rsidRPr="00134EDD">
        <w:rPr>
          <w:rFonts w:ascii="Arial" w:hAnsi="Arial" w:cs="Arial"/>
          <w:sz w:val="22"/>
          <w:szCs w:val="22"/>
        </w:rPr>
        <w:t xml:space="preserve"> </w:t>
      </w:r>
      <w:r w:rsidR="0084702E" w:rsidRPr="00134EDD">
        <w:rPr>
          <w:rFonts w:ascii="Arial" w:hAnsi="Arial" w:cs="Arial"/>
          <w:sz w:val="22"/>
          <w:szCs w:val="22"/>
        </w:rPr>
        <w:t xml:space="preserve">artículo 3 </w:t>
      </w:r>
      <w:r w:rsidR="0084702E" w:rsidRPr="00134EDD">
        <w:rPr>
          <w:rStyle w:val="Textoennegrita"/>
          <w:rFonts w:ascii="Arial" w:hAnsi="Arial" w:cs="Arial"/>
          <w:b w:val="0"/>
          <w:bCs w:val="0"/>
          <w:sz w:val="22"/>
          <w:szCs w:val="22"/>
        </w:rPr>
        <w:t>que</w:t>
      </w:r>
      <w:r w:rsidR="0084702E" w:rsidRPr="00134EDD">
        <w:rPr>
          <w:rStyle w:val="nfasis"/>
          <w:rFonts w:ascii="Arial" w:hAnsi="Arial" w:cs="Arial"/>
          <w:sz w:val="22"/>
          <w:szCs w:val="22"/>
        </w:rPr>
        <w:t> «</w:t>
      </w:r>
      <w:r w:rsidR="0084702E" w:rsidRPr="00134EDD">
        <w:rPr>
          <w:rFonts w:ascii="Arial" w:hAnsi="Arial" w:cs="Arial"/>
          <w:sz w:val="22"/>
          <w:szCs w:val="22"/>
        </w:rPr>
        <w:t>Solo podrán presentar y ejecutar programas o proyectos de inversión a los que se refiere la presente ley, las entidades que hagan parte del Sistema Nacional de Ciencia, Tecnología e Innovación, de conformidad con lo establecido en el artículo 20 de la Ley 1286 de 2009</w:t>
      </w:r>
      <w:r w:rsidR="0084702E" w:rsidRPr="00134EDD">
        <w:rPr>
          <w:rStyle w:val="Refdenotaalpie"/>
          <w:rFonts w:ascii="Arial" w:hAnsi="Arial" w:cs="Arial"/>
          <w:sz w:val="22"/>
          <w:szCs w:val="22"/>
        </w:rPr>
        <w:footnoteReference w:id="8"/>
      </w:r>
      <w:r w:rsidR="0084702E" w:rsidRPr="00134EDD">
        <w:rPr>
          <w:rFonts w:ascii="Arial" w:hAnsi="Arial" w:cs="Arial"/>
          <w:sz w:val="22"/>
          <w:szCs w:val="22"/>
        </w:rPr>
        <w:t xml:space="preserve"> o la que la modifique o sustituya».</w:t>
      </w:r>
      <w:r w:rsidR="001822F2" w:rsidRPr="00134EDD">
        <w:rPr>
          <w:rFonts w:ascii="Arial" w:hAnsi="Arial" w:cs="Arial"/>
          <w:sz w:val="22"/>
          <w:szCs w:val="22"/>
        </w:rPr>
        <w:t xml:space="preserve"> Ahora</w:t>
      </w:r>
      <w:r w:rsidR="003D1A0D" w:rsidRPr="00134EDD">
        <w:rPr>
          <w:rFonts w:ascii="Arial" w:hAnsi="Arial" w:cs="Arial"/>
          <w:sz w:val="22"/>
          <w:szCs w:val="22"/>
        </w:rPr>
        <w:t>,</w:t>
      </w:r>
      <w:r w:rsidR="001822F2" w:rsidRPr="00134EDD">
        <w:rPr>
          <w:rFonts w:ascii="Arial" w:hAnsi="Arial" w:cs="Arial"/>
          <w:sz w:val="22"/>
          <w:szCs w:val="22"/>
        </w:rPr>
        <w:t xml:space="preserve"> el artículo 20 </w:t>
      </w:r>
      <w:r w:rsidR="001822F2" w:rsidRPr="00134EDD">
        <w:rPr>
          <w:rFonts w:ascii="Arial" w:hAnsi="Arial" w:cs="Arial"/>
          <w:sz w:val="22"/>
          <w:szCs w:val="22"/>
        </w:rPr>
        <w:lastRenderedPageBreak/>
        <w:t xml:space="preserve">de la Ley 1286 de 2009, si bien no contiene un listado de </w:t>
      </w:r>
      <w:r w:rsidR="00A73151" w:rsidRPr="00134EDD">
        <w:rPr>
          <w:rFonts w:ascii="Arial" w:hAnsi="Arial" w:cs="Arial"/>
          <w:sz w:val="22"/>
          <w:szCs w:val="22"/>
        </w:rPr>
        <w:t>las entidades que hacen parte del Sistema Nacional de Ciencia, Tecnología e Innovación, s</w:t>
      </w:r>
      <w:r w:rsidR="00C33D6E">
        <w:rPr>
          <w:rFonts w:ascii="Arial" w:hAnsi="Arial" w:cs="Arial"/>
          <w:sz w:val="22"/>
          <w:szCs w:val="22"/>
        </w:rPr>
        <w:t>í</w:t>
      </w:r>
      <w:r w:rsidR="00A73151" w:rsidRPr="00134EDD">
        <w:rPr>
          <w:rFonts w:ascii="Arial" w:hAnsi="Arial" w:cs="Arial"/>
          <w:sz w:val="22"/>
          <w:szCs w:val="22"/>
        </w:rPr>
        <w:t xml:space="preserve"> establece que del mismo hacen</w:t>
      </w:r>
      <w:r w:rsidR="00C33D6E">
        <w:rPr>
          <w:rFonts w:ascii="Arial" w:hAnsi="Arial" w:cs="Arial"/>
          <w:sz w:val="22"/>
          <w:szCs w:val="22"/>
        </w:rPr>
        <w:t xml:space="preserve"> parte</w:t>
      </w:r>
      <w:r w:rsidR="00A73151" w:rsidRPr="00134EDD">
        <w:rPr>
          <w:rFonts w:ascii="Arial" w:hAnsi="Arial" w:cs="Arial"/>
          <w:sz w:val="22"/>
          <w:szCs w:val="22"/>
        </w:rPr>
        <w:t xml:space="preserve"> las «organizaciones públicas, privadas o mixtas que realicen o promuevan el desarrollo de actividades científicas, tecnológicas y de innovación», texto normativo abierto que integra al sistema a todas las entidades que realicen o promuevan actividades científicas, tecnológicas y de innovación, independiente de su naturaleza, quienes en virtud de la remisión del artículo 3 de la Ley 1923 de 2018, podrán presentar</w:t>
      </w:r>
      <w:r w:rsidR="00F3090C" w:rsidRPr="00134EDD">
        <w:rPr>
          <w:rFonts w:ascii="Arial" w:hAnsi="Arial" w:cs="Arial"/>
          <w:sz w:val="22"/>
          <w:szCs w:val="22"/>
        </w:rPr>
        <w:t xml:space="preserve"> proyectos al Órgano Colegiado de Administración y Decisión de Ciencia, y de ser escogidas podrán ser</w:t>
      </w:r>
      <w:r w:rsidR="00A73151" w:rsidRPr="00134EDD">
        <w:rPr>
          <w:rFonts w:ascii="Arial" w:hAnsi="Arial" w:cs="Arial"/>
          <w:sz w:val="22"/>
          <w:szCs w:val="22"/>
        </w:rPr>
        <w:t xml:space="preserve"> ejecutoras de recursos del SGR provenientes del Fondo de Ciencia, Tecnología e Innovación</w:t>
      </w:r>
      <w:r w:rsidR="00F3090C" w:rsidRPr="00134EDD">
        <w:rPr>
          <w:rFonts w:ascii="Arial" w:hAnsi="Arial" w:cs="Arial"/>
          <w:sz w:val="22"/>
          <w:szCs w:val="22"/>
        </w:rPr>
        <w:t>.</w:t>
      </w:r>
    </w:p>
    <w:bookmarkEnd w:id="16"/>
    <w:p w14:paraId="2FD1B126" w14:textId="3DDBCAA4" w:rsidR="001822F2" w:rsidRPr="00134EDD" w:rsidRDefault="0084702E" w:rsidP="00F3090C">
      <w:pPr>
        <w:pStyle w:val="NormalWeb"/>
        <w:spacing w:before="0" w:beforeAutospacing="0" w:after="120" w:afterAutospacing="0" w:line="276" w:lineRule="auto"/>
        <w:ind w:firstLine="709"/>
        <w:jc w:val="both"/>
        <w:rPr>
          <w:rFonts w:ascii="Arial" w:hAnsi="Arial" w:cs="Arial"/>
          <w:sz w:val="22"/>
          <w:szCs w:val="22"/>
        </w:rPr>
      </w:pPr>
      <w:r w:rsidRPr="00134EDD">
        <w:rPr>
          <w:rFonts w:ascii="Arial" w:hAnsi="Arial" w:cs="Arial"/>
          <w:sz w:val="22"/>
          <w:szCs w:val="22"/>
        </w:rPr>
        <w:t xml:space="preserve">De otro lado, sobre la ejecución de los </w:t>
      </w:r>
      <w:r w:rsidR="002971E5" w:rsidRPr="00134EDD">
        <w:rPr>
          <w:rFonts w:ascii="Arial" w:hAnsi="Arial" w:cs="Arial"/>
          <w:sz w:val="22"/>
          <w:szCs w:val="22"/>
        </w:rPr>
        <w:t>recursos del</w:t>
      </w:r>
      <w:r w:rsidR="001822F2" w:rsidRPr="00134EDD">
        <w:rPr>
          <w:rFonts w:ascii="Arial" w:hAnsi="Arial" w:cs="Arial"/>
          <w:sz w:val="22"/>
          <w:szCs w:val="22"/>
        </w:rPr>
        <w:t xml:space="preserve"> Fondo de Ciencia, Tecnología e Innovación</w:t>
      </w:r>
      <w:r w:rsidRPr="00134EDD">
        <w:rPr>
          <w:rFonts w:ascii="Arial" w:hAnsi="Arial" w:cs="Arial"/>
          <w:sz w:val="22"/>
          <w:szCs w:val="22"/>
        </w:rPr>
        <w:t xml:space="preserve"> de los proyectos</w:t>
      </w:r>
      <w:r w:rsidR="001822F2" w:rsidRPr="00134EDD">
        <w:rPr>
          <w:rFonts w:ascii="Arial" w:hAnsi="Arial" w:cs="Arial"/>
          <w:sz w:val="22"/>
          <w:szCs w:val="22"/>
        </w:rPr>
        <w:t xml:space="preserve">, el artículo 6 establece la responsabilidad de los ejecutores de reportar la correcta ejecución de los recursos asignados al programa o proyecto de inversión, </w:t>
      </w:r>
      <w:r w:rsidR="002971E5" w:rsidRPr="00134EDD">
        <w:rPr>
          <w:rFonts w:ascii="Arial" w:hAnsi="Arial" w:cs="Arial"/>
          <w:sz w:val="22"/>
          <w:szCs w:val="22"/>
        </w:rPr>
        <w:t>así</w:t>
      </w:r>
      <w:r w:rsidR="001822F2" w:rsidRPr="00134EDD">
        <w:rPr>
          <w:rFonts w:ascii="Arial" w:hAnsi="Arial" w:cs="Arial"/>
          <w:sz w:val="22"/>
          <w:szCs w:val="22"/>
        </w:rPr>
        <w:t xml:space="preserve"> como de suministrar y registrar de la información requerida por el Sistema de Monitoreo, Seguimiento, Control y Evaluación (SMSCE) del SGR.  </w:t>
      </w:r>
    </w:p>
    <w:p w14:paraId="7B28190D" w14:textId="74037E3A" w:rsidR="0084702E" w:rsidRPr="00134EDD" w:rsidRDefault="00A73151" w:rsidP="001822F2">
      <w:pPr>
        <w:pStyle w:val="NormalWeb"/>
        <w:spacing w:before="0" w:beforeAutospacing="0" w:after="120" w:afterAutospacing="0" w:line="276" w:lineRule="auto"/>
        <w:ind w:firstLine="709"/>
        <w:jc w:val="both"/>
        <w:rPr>
          <w:rFonts w:ascii="Arial" w:hAnsi="Arial" w:cs="Arial"/>
          <w:sz w:val="22"/>
          <w:szCs w:val="22"/>
        </w:rPr>
      </w:pPr>
      <w:r w:rsidRPr="00134EDD">
        <w:rPr>
          <w:rFonts w:ascii="Arial" w:hAnsi="Arial" w:cs="Arial"/>
          <w:sz w:val="22"/>
          <w:szCs w:val="22"/>
        </w:rPr>
        <w:t>En conclusión</w:t>
      </w:r>
      <w:r w:rsidR="00891475" w:rsidRPr="00134EDD">
        <w:rPr>
          <w:rFonts w:ascii="Arial" w:hAnsi="Arial" w:cs="Arial"/>
          <w:sz w:val="22"/>
          <w:szCs w:val="22"/>
        </w:rPr>
        <w:t xml:space="preserve">, </w:t>
      </w:r>
      <w:bookmarkStart w:id="17" w:name="_Hlk46840664"/>
      <w:r w:rsidR="00786D18" w:rsidRPr="00134EDD">
        <w:rPr>
          <w:rFonts w:ascii="Arial" w:hAnsi="Arial" w:cs="Arial"/>
          <w:sz w:val="22"/>
          <w:szCs w:val="22"/>
        </w:rPr>
        <w:t>las regalías son una contraprestación económica que recibe el Estado, en razón de la extracción de recursos naturales no renovables existentes en el subsuelo. L</w:t>
      </w:r>
      <w:r w:rsidR="00891475" w:rsidRPr="00134EDD">
        <w:rPr>
          <w:rFonts w:ascii="Arial" w:hAnsi="Arial" w:cs="Arial"/>
          <w:sz w:val="22"/>
          <w:szCs w:val="22"/>
        </w:rPr>
        <w:t xml:space="preserve">os artículos 360 y 361 superiores establecen el SGR, </w:t>
      </w:r>
      <w:r w:rsidR="002971E5" w:rsidRPr="00134EDD">
        <w:rPr>
          <w:rFonts w:ascii="Arial" w:hAnsi="Arial" w:cs="Arial"/>
          <w:sz w:val="22"/>
          <w:szCs w:val="22"/>
        </w:rPr>
        <w:t>regulando la</w:t>
      </w:r>
      <w:r w:rsidR="00891475" w:rsidRPr="00134EDD">
        <w:rPr>
          <w:rFonts w:ascii="Arial" w:hAnsi="Arial" w:cs="Arial"/>
          <w:sz w:val="22"/>
          <w:szCs w:val="22"/>
        </w:rPr>
        <w:t xml:space="preserve"> distribución de los recursos entre</w:t>
      </w:r>
      <w:r w:rsidR="00786D18" w:rsidRPr="00134EDD">
        <w:rPr>
          <w:rFonts w:ascii="Arial" w:hAnsi="Arial" w:cs="Arial"/>
          <w:sz w:val="22"/>
          <w:szCs w:val="22"/>
        </w:rPr>
        <w:t xml:space="preserve"> </w:t>
      </w:r>
      <w:r w:rsidR="00891475" w:rsidRPr="00134EDD">
        <w:rPr>
          <w:rFonts w:ascii="Arial" w:hAnsi="Arial" w:cs="Arial"/>
          <w:sz w:val="22"/>
          <w:szCs w:val="22"/>
        </w:rPr>
        <w:t>los fondos de</w:t>
      </w:r>
      <w:r w:rsidR="00786D18" w:rsidRPr="00134EDD">
        <w:rPr>
          <w:rFonts w:ascii="Arial" w:hAnsi="Arial" w:cs="Arial"/>
          <w:sz w:val="22"/>
          <w:szCs w:val="22"/>
        </w:rPr>
        <w:t xml:space="preserve">: </w:t>
      </w:r>
      <w:r w:rsidR="00891475" w:rsidRPr="00134EDD">
        <w:rPr>
          <w:rFonts w:ascii="Arial" w:hAnsi="Arial" w:cs="Arial"/>
          <w:sz w:val="22"/>
          <w:szCs w:val="22"/>
        </w:rPr>
        <w:t xml:space="preserve"> </w:t>
      </w:r>
      <w:r w:rsidR="00786D18" w:rsidRPr="00134EDD">
        <w:rPr>
          <w:rFonts w:ascii="Arial" w:hAnsi="Arial" w:cs="Arial"/>
          <w:sz w:val="22"/>
          <w:szCs w:val="22"/>
        </w:rPr>
        <w:t xml:space="preserve">i) </w:t>
      </w:r>
      <w:r w:rsidR="00891475" w:rsidRPr="00134EDD">
        <w:rPr>
          <w:rFonts w:ascii="Arial" w:hAnsi="Arial" w:cs="Arial"/>
          <w:sz w:val="22"/>
          <w:szCs w:val="22"/>
        </w:rPr>
        <w:t xml:space="preserve">Ciencia, Tecnología e Innovación, </w:t>
      </w:r>
      <w:r w:rsidR="00786D18" w:rsidRPr="00134EDD">
        <w:rPr>
          <w:rFonts w:ascii="Arial" w:hAnsi="Arial" w:cs="Arial"/>
          <w:sz w:val="22"/>
          <w:szCs w:val="22"/>
        </w:rPr>
        <w:t xml:space="preserve">ii) </w:t>
      </w:r>
      <w:r w:rsidR="00891475" w:rsidRPr="00134EDD">
        <w:rPr>
          <w:rFonts w:ascii="Arial" w:hAnsi="Arial" w:cs="Arial"/>
          <w:sz w:val="22"/>
          <w:szCs w:val="22"/>
        </w:rPr>
        <w:t xml:space="preserve">Desarrollo </w:t>
      </w:r>
      <w:r w:rsidR="002971E5" w:rsidRPr="00134EDD">
        <w:rPr>
          <w:rFonts w:ascii="Arial" w:hAnsi="Arial" w:cs="Arial"/>
          <w:sz w:val="22"/>
          <w:szCs w:val="22"/>
        </w:rPr>
        <w:t>Regional, iii</w:t>
      </w:r>
      <w:r w:rsidR="00786D18" w:rsidRPr="00134EDD">
        <w:rPr>
          <w:rFonts w:ascii="Arial" w:hAnsi="Arial" w:cs="Arial"/>
          <w:sz w:val="22"/>
          <w:szCs w:val="22"/>
        </w:rPr>
        <w:t xml:space="preserve">) </w:t>
      </w:r>
      <w:r w:rsidR="00891475" w:rsidRPr="00134EDD">
        <w:rPr>
          <w:rFonts w:ascii="Arial" w:hAnsi="Arial" w:cs="Arial"/>
          <w:sz w:val="22"/>
          <w:szCs w:val="22"/>
        </w:rPr>
        <w:t xml:space="preserve">Compensación Regional y  </w:t>
      </w:r>
      <w:r w:rsidR="00786D18" w:rsidRPr="00134EDD">
        <w:rPr>
          <w:rFonts w:ascii="Arial" w:hAnsi="Arial" w:cs="Arial"/>
          <w:sz w:val="22"/>
          <w:szCs w:val="22"/>
        </w:rPr>
        <w:t xml:space="preserve">iv) </w:t>
      </w:r>
      <w:r w:rsidR="00891475" w:rsidRPr="00134EDD">
        <w:rPr>
          <w:rFonts w:ascii="Arial" w:hAnsi="Arial" w:cs="Arial"/>
          <w:sz w:val="22"/>
          <w:szCs w:val="22"/>
        </w:rPr>
        <w:t>de Ahorro y Estabilización</w:t>
      </w:r>
      <w:r w:rsidR="00786D18" w:rsidRPr="00134EDD">
        <w:rPr>
          <w:rFonts w:ascii="Arial" w:hAnsi="Arial" w:cs="Arial"/>
          <w:sz w:val="22"/>
          <w:szCs w:val="22"/>
        </w:rPr>
        <w:t>, creados por el Acto Legislativo 2 de 2015.</w:t>
      </w:r>
      <w:r w:rsidR="00891475" w:rsidRPr="00134EDD">
        <w:rPr>
          <w:rFonts w:ascii="Arial" w:hAnsi="Arial" w:cs="Arial"/>
          <w:sz w:val="22"/>
          <w:szCs w:val="22"/>
        </w:rPr>
        <w:t xml:space="preserve"> </w:t>
      </w:r>
      <w:r w:rsidR="00786D18" w:rsidRPr="00134EDD">
        <w:rPr>
          <w:rFonts w:ascii="Arial" w:hAnsi="Arial" w:cs="Arial"/>
          <w:sz w:val="22"/>
          <w:szCs w:val="22"/>
        </w:rPr>
        <w:t>Estos r</w:t>
      </w:r>
      <w:r w:rsidR="00891475" w:rsidRPr="00134EDD">
        <w:rPr>
          <w:rFonts w:ascii="Arial" w:hAnsi="Arial" w:cs="Arial"/>
          <w:sz w:val="22"/>
          <w:szCs w:val="22"/>
        </w:rPr>
        <w:t>ecursos</w:t>
      </w:r>
      <w:r w:rsidR="00F42D87">
        <w:rPr>
          <w:rFonts w:ascii="Arial" w:hAnsi="Arial" w:cs="Arial"/>
          <w:sz w:val="22"/>
          <w:szCs w:val="22"/>
        </w:rPr>
        <w:t>,</w:t>
      </w:r>
      <w:r w:rsidR="00891475" w:rsidRPr="00134EDD">
        <w:rPr>
          <w:rFonts w:ascii="Arial" w:hAnsi="Arial" w:cs="Arial"/>
          <w:sz w:val="22"/>
          <w:szCs w:val="22"/>
        </w:rPr>
        <w:t xml:space="preserve"> conforme al artículo 6 de la Ley 1530 de 2012</w:t>
      </w:r>
      <w:r w:rsidR="00F42D87">
        <w:rPr>
          <w:rFonts w:ascii="Arial" w:hAnsi="Arial" w:cs="Arial"/>
          <w:sz w:val="22"/>
          <w:szCs w:val="22"/>
        </w:rPr>
        <w:t>,</w:t>
      </w:r>
      <w:r w:rsidR="00891475" w:rsidRPr="00134EDD">
        <w:rPr>
          <w:rFonts w:ascii="Arial" w:hAnsi="Arial" w:cs="Arial"/>
          <w:sz w:val="22"/>
          <w:szCs w:val="22"/>
        </w:rPr>
        <w:t xml:space="preserve"> deberá</w:t>
      </w:r>
      <w:r w:rsidR="00786D18" w:rsidRPr="00134EDD">
        <w:rPr>
          <w:rFonts w:ascii="Arial" w:hAnsi="Arial" w:cs="Arial"/>
          <w:sz w:val="22"/>
          <w:szCs w:val="22"/>
        </w:rPr>
        <w:t>n</w:t>
      </w:r>
      <w:r w:rsidR="00891475" w:rsidRPr="00134EDD">
        <w:rPr>
          <w:rFonts w:ascii="Arial" w:hAnsi="Arial" w:cs="Arial"/>
          <w:sz w:val="22"/>
          <w:szCs w:val="22"/>
        </w:rPr>
        <w:t xml:space="preserve"> ser invertidos en los proyectos </w:t>
      </w:r>
      <w:r w:rsidR="00786D18" w:rsidRPr="00134EDD">
        <w:rPr>
          <w:rFonts w:ascii="Arial" w:hAnsi="Arial" w:cs="Arial"/>
          <w:sz w:val="22"/>
          <w:szCs w:val="22"/>
        </w:rPr>
        <w:t xml:space="preserve">de inversión definidos por los </w:t>
      </w:r>
      <w:r w:rsidR="00891475" w:rsidRPr="00134EDD">
        <w:rPr>
          <w:rFonts w:ascii="Arial" w:hAnsi="Arial" w:cs="Arial"/>
          <w:sz w:val="22"/>
          <w:szCs w:val="22"/>
        </w:rPr>
        <w:t>órganos colegiados de administración y decisión</w:t>
      </w:r>
      <w:r w:rsidR="00786D18" w:rsidRPr="00134EDD">
        <w:rPr>
          <w:rFonts w:ascii="Arial" w:hAnsi="Arial" w:cs="Arial"/>
          <w:sz w:val="22"/>
          <w:szCs w:val="22"/>
        </w:rPr>
        <w:t>. En el caso de los proyectos de inversión con cargo al Fondo de Ciencia, Tecnología e Innovación, la Ley 1923 de 2018 establece que los proyectos a ser financiados deberán ser definidos por el Órgano Colegiado de Administración y Decisión de Ciencia y Tec</w:t>
      </w:r>
      <w:r w:rsidR="003D1A0D" w:rsidRPr="00134EDD">
        <w:rPr>
          <w:rFonts w:ascii="Arial" w:hAnsi="Arial" w:cs="Arial"/>
          <w:sz w:val="22"/>
          <w:szCs w:val="22"/>
        </w:rPr>
        <w:t>nología</w:t>
      </w:r>
      <w:r w:rsidR="00786D18" w:rsidRPr="00134EDD">
        <w:rPr>
          <w:rFonts w:ascii="Arial" w:hAnsi="Arial" w:cs="Arial"/>
          <w:sz w:val="22"/>
          <w:szCs w:val="22"/>
        </w:rPr>
        <w:t xml:space="preserve"> a través de convocatorias públicas, abiertas y competitivas</w:t>
      </w:r>
      <w:r w:rsidR="003D1A0D" w:rsidRPr="00134EDD">
        <w:rPr>
          <w:rFonts w:ascii="Arial" w:hAnsi="Arial" w:cs="Arial"/>
          <w:sz w:val="22"/>
          <w:szCs w:val="22"/>
        </w:rPr>
        <w:t xml:space="preserve">, en las que podrán participar las </w:t>
      </w:r>
      <w:r w:rsidR="00786D18" w:rsidRPr="00134EDD">
        <w:rPr>
          <w:rFonts w:ascii="Arial" w:hAnsi="Arial" w:cs="Arial"/>
          <w:sz w:val="22"/>
          <w:szCs w:val="22"/>
        </w:rPr>
        <w:t>organizaciones p</w:t>
      </w:r>
      <w:r w:rsidR="002B5C1F" w:rsidRPr="00134EDD">
        <w:rPr>
          <w:rFonts w:ascii="Arial" w:hAnsi="Arial" w:cs="Arial"/>
          <w:sz w:val="22"/>
          <w:szCs w:val="22"/>
        </w:rPr>
        <w:t>ú</w:t>
      </w:r>
      <w:r w:rsidR="00786D18" w:rsidRPr="00134EDD">
        <w:rPr>
          <w:rFonts w:ascii="Arial" w:hAnsi="Arial" w:cs="Arial"/>
          <w:sz w:val="22"/>
          <w:szCs w:val="22"/>
        </w:rPr>
        <w:t>blicas, privadas o mixtas que hagan parte del Sistema Nacional de Ciencia, Tecnología e Innovación, conforme al artículo 20 de la Ley 1286 de 2009</w:t>
      </w:r>
      <w:r w:rsidR="003D1A0D" w:rsidRPr="00134EDD">
        <w:rPr>
          <w:rFonts w:ascii="Arial" w:hAnsi="Arial" w:cs="Arial"/>
          <w:sz w:val="22"/>
          <w:szCs w:val="22"/>
        </w:rPr>
        <w:t>.</w:t>
      </w:r>
      <w:bookmarkEnd w:id="17"/>
    </w:p>
    <w:p w14:paraId="5BEFF799" w14:textId="03E1002C" w:rsidR="009B7F9B" w:rsidRPr="00134EDD"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12B36543" w:rsidR="009B7F9B" w:rsidRPr="00134EDD" w:rsidRDefault="008E36A6" w:rsidP="005B3353">
      <w:pPr>
        <w:pStyle w:val="Prrafodelista"/>
        <w:widowControl w:val="0"/>
        <w:numPr>
          <w:ilvl w:val="1"/>
          <w:numId w:val="8"/>
        </w:numPr>
        <w:tabs>
          <w:tab w:val="left" w:pos="0"/>
        </w:tabs>
        <w:autoSpaceDE w:val="0"/>
        <w:autoSpaceDN w:val="0"/>
        <w:spacing w:line="276" w:lineRule="auto"/>
        <w:ind w:left="0" w:hanging="11"/>
        <w:jc w:val="both"/>
        <w:rPr>
          <w:rFonts w:ascii="Arial" w:eastAsia="Arial" w:hAnsi="Arial" w:cs="Arial"/>
          <w:b/>
          <w:bCs/>
          <w:sz w:val="22"/>
          <w:lang w:val="es-ES"/>
        </w:rPr>
      </w:pPr>
      <w:r w:rsidRPr="00134EDD">
        <w:rPr>
          <w:rFonts w:ascii="Arial" w:eastAsia="Arial" w:hAnsi="Arial" w:cs="Arial"/>
          <w:b/>
          <w:bCs/>
          <w:sz w:val="22"/>
          <w:lang w:val="es-ES"/>
        </w:rPr>
        <w:t xml:space="preserve">La obligación de publicar en el SECOP y la normativa </w:t>
      </w:r>
      <w:r w:rsidR="009E5805" w:rsidRPr="00134EDD">
        <w:rPr>
          <w:rFonts w:ascii="Arial" w:eastAsia="Arial" w:hAnsi="Arial" w:cs="Arial"/>
          <w:b/>
          <w:bCs/>
          <w:sz w:val="22"/>
          <w:lang w:val="es-ES"/>
        </w:rPr>
        <w:t>de la transparencia y</w:t>
      </w:r>
      <w:r w:rsidRPr="00134EDD">
        <w:rPr>
          <w:rFonts w:ascii="Arial" w:eastAsia="Arial" w:hAnsi="Arial" w:cs="Arial"/>
          <w:b/>
          <w:bCs/>
          <w:sz w:val="22"/>
          <w:lang w:val="es-ES"/>
        </w:rPr>
        <w:t xml:space="preserve"> acceso a la información pública</w:t>
      </w:r>
      <w:r w:rsidR="009B7F9B" w:rsidRPr="00134EDD">
        <w:rPr>
          <w:rFonts w:ascii="Arial" w:eastAsia="Arial" w:hAnsi="Arial" w:cs="Arial"/>
          <w:b/>
          <w:bCs/>
          <w:sz w:val="22"/>
          <w:lang w:val="es-ES"/>
        </w:rPr>
        <w:t xml:space="preserve"> </w:t>
      </w:r>
    </w:p>
    <w:p w14:paraId="618C0518" w14:textId="2DE6C957" w:rsidR="00107E4D" w:rsidRDefault="00107E4D" w:rsidP="00A108E0">
      <w:pPr>
        <w:widowControl w:val="0"/>
        <w:tabs>
          <w:tab w:val="left" w:pos="728"/>
        </w:tabs>
        <w:autoSpaceDE w:val="0"/>
        <w:autoSpaceDN w:val="0"/>
        <w:spacing w:line="276" w:lineRule="auto"/>
        <w:jc w:val="both"/>
        <w:rPr>
          <w:rFonts w:ascii="Arial" w:eastAsia="Arial" w:hAnsi="Arial" w:cs="Arial"/>
          <w:b/>
          <w:bCs/>
          <w:sz w:val="22"/>
          <w:lang w:val="es-ES"/>
        </w:rPr>
      </w:pPr>
    </w:p>
    <w:p w14:paraId="2F76E796" w14:textId="0F8B0699" w:rsidR="00A108E0" w:rsidRPr="00F84CD8" w:rsidRDefault="00A108E0" w:rsidP="00A108E0">
      <w:pPr>
        <w:pStyle w:val="Prrafodelista"/>
        <w:tabs>
          <w:tab w:val="left" w:pos="284"/>
        </w:tabs>
        <w:spacing w:after="120" w:line="276" w:lineRule="auto"/>
        <w:ind w:left="0"/>
        <w:jc w:val="both"/>
        <w:rPr>
          <w:rFonts w:ascii="Arial" w:eastAsia="Calibri" w:hAnsi="Arial" w:cs="Arial"/>
          <w:b/>
          <w:sz w:val="22"/>
        </w:rPr>
      </w:pPr>
      <w:r w:rsidRPr="00F84CD8">
        <w:rPr>
          <w:rFonts w:ascii="Arial" w:eastAsia="Calibri" w:hAnsi="Arial" w:cs="Arial"/>
          <w:sz w:val="22"/>
          <w:lang w:val="es-ES"/>
        </w:rPr>
        <w:t xml:space="preserve">La Agencia Nacional de Contratación Pública – Colombia Compra Eficiente 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 ratificado en los conceptos C-433 y C-474  del 24 de julio de 2020. </w:t>
      </w:r>
      <w:r>
        <w:rPr>
          <w:rFonts w:ascii="Arial" w:eastAsia="Calibri" w:hAnsi="Arial" w:cs="Arial"/>
          <w:sz w:val="22"/>
          <w:lang w:val="es-ES"/>
        </w:rPr>
        <w:t>Algunas consideraciones de la</w:t>
      </w:r>
      <w:r w:rsidRPr="00F84CD8">
        <w:rPr>
          <w:rFonts w:ascii="Arial" w:eastAsia="Calibri" w:hAnsi="Arial" w:cs="Arial"/>
          <w:sz w:val="22"/>
          <w:lang w:val="es-ES"/>
        </w:rPr>
        <w:t xml:space="preserve"> tesis expuesta se desarrolla</w:t>
      </w:r>
      <w:r>
        <w:rPr>
          <w:rFonts w:ascii="Arial" w:eastAsia="Calibri" w:hAnsi="Arial" w:cs="Arial"/>
          <w:sz w:val="22"/>
          <w:lang w:val="es-ES"/>
        </w:rPr>
        <w:t>n</w:t>
      </w:r>
      <w:r w:rsidRPr="00F84CD8">
        <w:rPr>
          <w:rFonts w:ascii="Arial" w:eastAsia="Calibri" w:hAnsi="Arial" w:cs="Arial"/>
          <w:sz w:val="22"/>
          <w:lang w:val="es-ES"/>
        </w:rPr>
        <w:t xml:space="preserve"> a continuación: </w:t>
      </w:r>
    </w:p>
    <w:p w14:paraId="6E259D23" w14:textId="6388D580" w:rsidR="00107E4D" w:rsidRPr="00134EDD" w:rsidRDefault="00A108E0" w:rsidP="00C37F4E">
      <w:pPr>
        <w:widowControl w:val="0"/>
        <w:tabs>
          <w:tab w:val="left" w:pos="728"/>
        </w:tabs>
        <w:autoSpaceDE w:val="0"/>
        <w:autoSpaceDN w:val="0"/>
        <w:spacing w:after="120" w:line="276" w:lineRule="auto"/>
        <w:jc w:val="both"/>
        <w:rPr>
          <w:rFonts w:ascii="Arial" w:eastAsia="Arial" w:hAnsi="Arial" w:cs="Arial"/>
          <w:sz w:val="22"/>
          <w:lang w:val="es-ES"/>
        </w:rPr>
      </w:pPr>
      <w:r>
        <w:rPr>
          <w:rFonts w:ascii="Arial" w:eastAsia="Arial" w:hAnsi="Arial" w:cs="Arial"/>
          <w:sz w:val="22"/>
          <w:lang w:val="es-ES"/>
        </w:rPr>
        <w:tab/>
      </w:r>
      <w:r w:rsidR="00107E4D" w:rsidRPr="00134EDD">
        <w:rPr>
          <w:rFonts w:ascii="Arial" w:eastAsia="Arial" w:hAnsi="Arial" w:cs="Arial"/>
          <w:sz w:val="22"/>
          <w:lang w:val="es-ES"/>
        </w:rPr>
        <w:t xml:space="preserve">El literal c) del artículo 3 de la Ley 1150 de 2007 </w:t>
      </w:r>
      <w:r w:rsidR="00C37F4E" w:rsidRPr="00134EDD">
        <w:rPr>
          <w:rFonts w:ascii="Arial" w:eastAsia="Arial" w:hAnsi="Arial" w:cs="Arial"/>
          <w:sz w:val="22"/>
          <w:lang w:val="es-ES"/>
        </w:rPr>
        <w:t>dispone la creación d</w:t>
      </w:r>
      <w:r w:rsidR="00107E4D" w:rsidRPr="00134EDD">
        <w:rPr>
          <w:rFonts w:ascii="Arial" w:eastAsia="Arial" w:hAnsi="Arial" w:cs="Arial"/>
          <w:sz w:val="22"/>
          <w:lang w:val="es-ES"/>
        </w:rPr>
        <w:t>el Sistema Electrónico para la Contratación Pública –SECOP–</w:t>
      </w:r>
      <w:r w:rsidR="00C37F4E" w:rsidRPr="00134EDD">
        <w:rPr>
          <w:rFonts w:ascii="Arial" w:eastAsia="Arial" w:hAnsi="Arial" w:cs="Arial"/>
          <w:sz w:val="22"/>
          <w:lang w:val="es-ES"/>
        </w:rPr>
        <w:t>, estableciendo que este</w:t>
      </w:r>
      <w:r w:rsidR="00107E4D" w:rsidRPr="00134EDD">
        <w:rPr>
          <w:rFonts w:ascii="Arial" w:eastAsia="Arial" w:hAnsi="Arial" w:cs="Arial"/>
          <w:sz w:val="22"/>
          <w:lang w:val="es-ES"/>
        </w:rPr>
        <w:t xml:space="preserve"> «contará con la información oficial de la contratación realizada con dineros públicos, para lo cual establecerá los patrones a que haya lugar y se encargará de su difusión a través de canales electrónicos»</w:t>
      </w:r>
      <w:r w:rsidR="00107E4D" w:rsidRPr="00134EDD">
        <w:rPr>
          <w:rFonts w:ascii="Arial" w:eastAsia="Arial" w:hAnsi="Arial" w:cs="Arial"/>
          <w:sz w:val="22"/>
          <w:vertAlign w:val="superscript"/>
          <w:lang w:val="es-ES"/>
        </w:rPr>
        <w:footnoteReference w:id="9"/>
      </w:r>
      <w:r w:rsidR="00107E4D" w:rsidRPr="00134EDD">
        <w:rPr>
          <w:rFonts w:ascii="Arial" w:eastAsia="Arial" w:hAnsi="Arial" w:cs="Arial"/>
          <w:sz w:val="22"/>
          <w:lang w:val="es-ES"/>
        </w:rPr>
        <w:t>.</w:t>
      </w:r>
      <w:r w:rsidR="00C37F4E" w:rsidRPr="00134EDD">
        <w:rPr>
          <w:rFonts w:ascii="Arial" w:eastAsia="Arial" w:hAnsi="Arial" w:cs="Arial"/>
          <w:sz w:val="22"/>
          <w:lang w:val="es-ES"/>
        </w:rPr>
        <w:t xml:space="preserve"> Dicha norma dispone además que, el SECOP </w:t>
      </w:r>
      <w:r w:rsidR="002971E5" w:rsidRPr="00134EDD">
        <w:rPr>
          <w:rFonts w:ascii="Arial" w:eastAsia="Arial" w:hAnsi="Arial" w:cs="Arial"/>
          <w:sz w:val="22"/>
          <w:lang w:val="es-ES"/>
        </w:rPr>
        <w:t>servirá</w:t>
      </w:r>
      <w:r w:rsidR="00C37F4E" w:rsidRPr="00134EDD">
        <w:rPr>
          <w:rFonts w:ascii="Arial" w:eastAsia="Arial" w:hAnsi="Arial" w:cs="Arial"/>
          <w:sz w:val="22"/>
          <w:lang w:val="es-ES"/>
        </w:rPr>
        <w:t xml:space="preserve"> como punto único de ingreso de información y de generación de reportes para las entidades estatales y la ciudadanía.</w:t>
      </w:r>
    </w:p>
    <w:p w14:paraId="41487BF4" w14:textId="5639533A" w:rsidR="006041D1" w:rsidRPr="00134EDD" w:rsidRDefault="006041D1" w:rsidP="006041D1">
      <w:pPr>
        <w:spacing w:after="120" w:line="276" w:lineRule="auto"/>
        <w:jc w:val="both"/>
        <w:rPr>
          <w:rFonts w:ascii="Arial" w:eastAsia="Calibri" w:hAnsi="Arial" w:cs="Arial"/>
          <w:sz w:val="22"/>
          <w:lang w:val="es-ES"/>
        </w:rPr>
      </w:pPr>
      <w:r w:rsidRPr="00134EDD">
        <w:rPr>
          <w:rFonts w:ascii="Arial" w:eastAsia="Arial" w:hAnsi="Arial" w:cs="Arial"/>
          <w:sz w:val="22"/>
          <w:lang w:val="es-ES"/>
        </w:rPr>
        <w:tab/>
      </w:r>
      <w:r w:rsidRPr="00134EDD">
        <w:rPr>
          <w:rFonts w:ascii="Arial" w:eastAsia="Calibri" w:hAnsi="Arial" w:cs="Arial"/>
          <w:sz w:val="22"/>
          <w:lang w:val="es-ES"/>
        </w:rPr>
        <w:t xml:space="preserve">Para el cumplimiento de </w:t>
      </w:r>
      <w:r w:rsidR="00C37F4E" w:rsidRPr="00134EDD">
        <w:rPr>
          <w:rFonts w:ascii="Arial" w:eastAsia="Calibri" w:hAnsi="Arial" w:cs="Arial"/>
          <w:sz w:val="22"/>
          <w:lang w:val="es-ES"/>
        </w:rPr>
        <w:t xml:space="preserve">tales </w:t>
      </w:r>
      <w:r w:rsidR="002971E5" w:rsidRPr="00134EDD">
        <w:rPr>
          <w:rFonts w:ascii="Arial" w:eastAsia="Calibri" w:hAnsi="Arial" w:cs="Arial"/>
          <w:sz w:val="22"/>
          <w:lang w:val="es-ES"/>
        </w:rPr>
        <w:t>propósitos</w:t>
      </w:r>
      <w:r w:rsidR="00C37F4E" w:rsidRPr="00134EDD">
        <w:rPr>
          <w:rFonts w:ascii="Arial" w:eastAsia="Calibri" w:hAnsi="Arial" w:cs="Arial"/>
          <w:sz w:val="22"/>
          <w:lang w:val="es-ES"/>
        </w:rPr>
        <w:t xml:space="preserve"> </w:t>
      </w:r>
      <w:r w:rsidRPr="00134EDD">
        <w:rPr>
          <w:rFonts w:ascii="Arial" w:eastAsia="Calibri" w:hAnsi="Arial" w:cs="Arial"/>
          <w:sz w:val="22"/>
          <w:lang w:val="es-ES"/>
        </w:rPr>
        <w:t xml:space="preserve">se atribuyó a la Agencia Nacional de Contratación Pública – Colombia Compra Eficiente la función de desarrollar  y administrar </w:t>
      </w:r>
      <w:r w:rsidRPr="00134EDD">
        <w:rPr>
          <w:rFonts w:ascii="Arial" w:eastAsia="Calibri" w:hAnsi="Arial" w:cs="Arial"/>
          <w:sz w:val="22"/>
          <w:lang w:val="es-ES"/>
        </w:rPr>
        <w:lastRenderedPageBreak/>
        <w:t>el SECOP</w:t>
      </w:r>
      <w:r w:rsidRPr="00134EDD">
        <w:rPr>
          <w:rStyle w:val="Refdenotaalpie"/>
          <w:rFonts w:ascii="Arial" w:eastAsia="Calibri" w:hAnsi="Arial" w:cs="Arial"/>
          <w:sz w:val="22"/>
          <w:lang w:val="es-ES"/>
        </w:rPr>
        <w:footnoteReference w:id="10"/>
      </w:r>
      <w:r w:rsidRPr="00134EDD">
        <w:rPr>
          <w:rFonts w:ascii="Arial" w:eastAsia="Calibri" w:hAnsi="Arial" w:cs="Arial"/>
          <w:sz w:val="22"/>
          <w:lang w:val="es-ES"/>
        </w:rPr>
        <w:t>, cometido funcional en virtud del cual se desarrolló la primera versión  de la plataforma</w:t>
      </w:r>
      <w:r w:rsidR="00445A78">
        <w:rPr>
          <w:rFonts w:ascii="Arial" w:eastAsia="Calibri" w:hAnsi="Arial" w:cs="Arial"/>
          <w:sz w:val="22"/>
          <w:lang w:val="es-ES"/>
        </w:rPr>
        <w:t xml:space="preserve"> </w:t>
      </w:r>
      <w:r w:rsidRPr="00134EDD">
        <w:rPr>
          <w:rFonts w:ascii="Arial" w:eastAsia="Calibri" w:hAnsi="Arial" w:cs="Arial"/>
          <w:sz w:val="22"/>
          <w:lang w:val="es-ES"/>
        </w:rPr>
        <w:t xml:space="preserve">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 </w:t>
      </w:r>
      <w:r w:rsidR="002971E5" w:rsidRPr="00134EDD">
        <w:rPr>
          <w:rFonts w:ascii="Arial" w:eastAsia="Calibri" w:hAnsi="Arial" w:cs="Arial"/>
          <w:sz w:val="22"/>
          <w:lang w:val="es-ES"/>
        </w:rPr>
        <w:t>Asimismo,</w:t>
      </w:r>
      <w:r w:rsidRPr="00134EDD">
        <w:rPr>
          <w:rFonts w:ascii="Arial" w:eastAsia="Calibri" w:hAnsi="Arial" w:cs="Arial"/>
          <w:sz w:val="22"/>
          <w:lang w:val="es-ES"/>
        </w:rPr>
        <w:t xml:space="preserve"> se desarrolló, una segunda versión de la plataforma –SECOP II– de naturaleza transaccional, que permite gestionar en línea todos los procedimientos de contratación, con cuentas y usuarios asociados a estas, para las entidades y los proveedores, y vista pública para cualquier </w:t>
      </w:r>
      <w:bookmarkStart w:id="18" w:name="_Hlk46840906"/>
      <w:r w:rsidRPr="00134EDD">
        <w:rPr>
          <w:rFonts w:ascii="Arial" w:eastAsia="Calibri" w:hAnsi="Arial" w:cs="Arial"/>
          <w:sz w:val="22"/>
          <w:lang w:val="es-ES"/>
        </w:rPr>
        <w:t xml:space="preserve">interesado en hacer seguimiento a la contratación pública. </w:t>
      </w:r>
    </w:p>
    <w:p w14:paraId="5C5F71C5" w14:textId="2089C3DC" w:rsidR="00C37F4E" w:rsidRPr="00134EDD" w:rsidRDefault="00C37F4E" w:rsidP="006041D1">
      <w:pPr>
        <w:spacing w:after="120" w:line="276" w:lineRule="auto"/>
        <w:jc w:val="both"/>
        <w:rPr>
          <w:rFonts w:ascii="Arial" w:eastAsia="Calibri" w:hAnsi="Arial" w:cs="Arial"/>
          <w:i/>
          <w:iCs/>
          <w:sz w:val="22"/>
          <w:lang w:val="es-ES"/>
        </w:rPr>
      </w:pPr>
      <w:r w:rsidRPr="00134EDD">
        <w:rPr>
          <w:rFonts w:ascii="Arial" w:eastAsia="Calibri" w:hAnsi="Arial" w:cs="Arial"/>
          <w:sz w:val="22"/>
          <w:lang w:val="es-ES"/>
        </w:rPr>
        <w:tab/>
        <w:t xml:space="preserve">La obligación de publicar la documentación relacionada con los procesos de </w:t>
      </w:r>
      <w:r w:rsidR="00282946" w:rsidRPr="00134EDD">
        <w:rPr>
          <w:rFonts w:ascii="Arial" w:eastAsia="Calibri" w:hAnsi="Arial" w:cs="Arial"/>
          <w:sz w:val="22"/>
          <w:lang w:val="es-ES"/>
        </w:rPr>
        <w:t xml:space="preserve">contratación en el </w:t>
      </w:r>
      <w:r w:rsidRPr="00134EDD">
        <w:rPr>
          <w:rFonts w:ascii="Arial" w:eastAsia="Calibri" w:hAnsi="Arial" w:cs="Arial"/>
          <w:sz w:val="22"/>
          <w:lang w:val="es-ES"/>
        </w:rPr>
        <w:t xml:space="preserve">SECOP, en el caso de las entidades estatales regidas por el Estatuto General de </w:t>
      </w:r>
      <w:r w:rsidR="002971E5" w:rsidRPr="00134EDD">
        <w:rPr>
          <w:rFonts w:ascii="Arial" w:eastAsia="Calibri" w:hAnsi="Arial" w:cs="Arial"/>
          <w:sz w:val="22"/>
          <w:lang w:val="es-ES"/>
        </w:rPr>
        <w:t>Contratación</w:t>
      </w:r>
      <w:r w:rsidRPr="00134EDD">
        <w:rPr>
          <w:rFonts w:ascii="Arial" w:eastAsia="Calibri" w:hAnsi="Arial" w:cs="Arial"/>
          <w:sz w:val="22"/>
          <w:lang w:val="es-ES"/>
        </w:rPr>
        <w:t xml:space="preserve"> de la Administración </w:t>
      </w:r>
      <w:r w:rsidR="002971E5" w:rsidRPr="00134EDD">
        <w:rPr>
          <w:rFonts w:ascii="Arial" w:eastAsia="Calibri" w:hAnsi="Arial" w:cs="Arial"/>
          <w:sz w:val="22"/>
          <w:lang w:val="es-ES"/>
        </w:rPr>
        <w:t>Pública</w:t>
      </w:r>
      <w:r w:rsidRPr="00134EDD">
        <w:rPr>
          <w:rFonts w:ascii="Arial" w:eastAsia="Calibri" w:hAnsi="Arial" w:cs="Arial"/>
          <w:sz w:val="22"/>
          <w:lang w:val="es-ES"/>
        </w:rPr>
        <w:t xml:space="preserve">, fue reglamentada por el artículo </w:t>
      </w:r>
      <w:r w:rsidRPr="00134EDD">
        <w:rPr>
          <w:rFonts w:ascii="Arial" w:eastAsia="Arial" w:hAnsi="Arial" w:cs="Arial"/>
          <w:sz w:val="22"/>
          <w:lang w:val="es-ES"/>
        </w:rPr>
        <w:t>2.2.1.1.1.7.1 del Decreto 1082 de 2015</w:t>
      </w:r>
      <w:r w:rsidR="00282946" w:rsidRPr="00134EDD">
        <w:rPr>
          <w:rFonts w:ascii="Arial" w:eastAsia="Arial" w:hAnsi="Arial" w:cs="Arial"/>
          <w:sz w:val="22"/>
          <w:lang w:val="es-ES"/>
        </w:rPr>
        <w:t>, en el que se estableció que «L</w:t>
      </w:r>
      <w:r w:rsidR="00282946" w:rsidRPr="00134EDD">
        <w:rPr>
          <w:rFonts w:ascii="Arial" w:hAnsi="Arial" w:cs="Arial"/>
          <w:sz w:val="22"/>
        </w:rPr>
        <w:t xml:space="preserve">a Entidad Estatal está obligada a publicar en el Secop los Documentos del Proceso y los actos administrativos del Proceso de Contratación, dentro de los tres (3) días siguientes a su expedición». El cumplimiento de esta obligación, conforme </w:t>
      </w:r>
      <w:r w:rsidR="002971E5" w:rsidRPr="00134EDD">
        <w:rPr>
          <w:rFonts w:ascii="Arial" w:hAnsi="Arial" w:cs="Arial"/>
          <w:sz w:val="22"/>
        </w:rPr>
        <w:t>precisó</w:t>
      </w:r>
      <w:r w:rsidR="00282946" w:rsidRPr="00134EDD">
        <w:rPr>
          <w:rFonts w:ascii="Arial" w:hAnsi="Arial" w:cs="Arial"/>
          <w:sz w:val="22"/>
        </w:rPr>
        <w:t xml:space="preserve"> esta Agencia en el concepto CU-367 del 23 de julio de 2020 –radicado No. 2202013000006561–, implica que las entidades estatales «</w:t>
      </w:r>
      <w:r w:rsidR="00282946" w:rsidRPr="00134EDD">
        <w:rPr>
          <w:rFonts w:ascii="Arial" w:eastAsia="Calibri" w:hAnsi="Arial" w:cs="Arial"/>
          <w:sz w:val="22"/>
          <w:lang w:val="es-ES"/>
        </w:rPr>
        <w:t xml:space="preserve">deben publicar en dicha plataforma, además del Plan Anual de Adquisiciones, todos los documentos, actos administrativos o actuaciones producidos con ocasión del </w:t>
      </w:r>
      <w:r w:rsidR="00282946" w:rsidRPr="00134EDD">
        <w:rPr>
          <w:rFonts w:ascii="Arial" w:eastAsia="Calibri" w:hAnsi="Arial" w:cs="Arial"/>
          <w:i/>
          <w:iCs/>
          <w:sz w:val="22"/>
          <w:lang w:val="es-ES"/>
        </w:rPr>
        <w:t>Proceso de Contratación».</w:t>
      </w:r>
    </w:p>
    <w:p w14:paraId="2778F796" w14:textId="4D99F42F" w:rsidR="008E36A6" w:rsidRPr="00134EDD" w:rsidRDefault="008E36A6" w:rsidP="006041D1">
      <w:pPr>
        <w:spacing w:after="120" w:line="276" w:lineRule="auto"/>
        <w:jc w:val="both"/>
        <w:rPr>
          <w:rFonts w:ascii="Arial" w:eastAsia="Calibri" w:hAnsi="Arial" w:cs="Arial"/>
          <w:sz w:val="22"/>
          <w:lang w:val="es-ES"/>
        </w:rPr>
      </w:pPr>
      <w:r w:rsidRPr="00134EDD">
        <w:rPr>
          <w:rFonts w:ascii="Arial" w:eastAsia="Calibri" w:hAnsi="Arial" w:cs="Arial"/>
          <w:sz w:val="22"/>
          <w:lang w:val="es-ES"/>
        </w:rPr>
        <w:tab/>
        <w:t>En cuanto a la obligación de publicar en el SECOP de las entidades estatales exceptuadas del EGCAP</w:t>
      </w:r>
      <w:r w:rsidR="002971E5" w:rsidRPr="00134EDD">
        <w:rPr>
          <w:rFonts w:ascii="Arial" w:eastAsia="Calibri" w:hAnsi="Arial" w:cs="Arial"/>
          <w:sz w:val="22"/>
          <w:lang w:val="es-ES"/>
        </w:rPr>
        <w:t>,</w:t>
      </w:r>
      <w:r w:rsidRPr="00134EDD">
        <w:rPr>
          <w:rFonts w:ascii="Arial" w:eastAsia="Calibri" w:hAnsi="Arial" w:cs="Arial"/>
          <w:sz w:val="22"/>
          <w:lang w:val="es-ES"/>
        </w:rPr>
        <w:t xml:space="preserve"> esta Agencia expidió el concepto CU–003 del 15 de enero de 2020 –radicado No. 2202013000000164–, en el que se determinó que estas deben publicar en dicha plataforma </w:t>
      </w:r>
      <w:r w:rsidR="002971E5" w:rsidRPr="00134EDD">
        <w:rPr>
          <w:rFonts w:ascii="Arial" w:eastAsia="Calibri" w:hAnsi="Arial" w:cs="Arial"/>
          <w:sz w:val="22"/>
        </w:rPr>
        <w:t>«</w:t>
      </w:r>
      <w:r w:rsidRPr="00134EDD">
        <w:rPr>
          <w:rFonts w:ascii="Arial" w:eastAsia="Calibri" w:hAnsi="Arial" w:cs="Arial"/>
          <w:sz w:val="22"/>
        </w:rPr>
        <w:t>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bookmarkEnd w:id="18"/>
    <w:p w14:paraId="0E41D8A5" w14:textId="4E19ECAB" w:rsidR="006041D1" w:rsidRPr="00134EDD" w:rsidRDefault="008E36A6" w:rsidP="00107E4D">
      <w:pPr>
        <w:widowControl w:val="0"/>
        <w:tabs>
          <w:tab w:val="left" w:pos="728"/>
        </w:tabs>
        <w:autoSpaceDE w:val="0"/>
        <w:autoSpaceDN w:val="0"/>
        <w:spacing w:after="120" w:line="276" w:lineRule="auto"/>
        <w:jc w:val="both"/>
        <w:rPr>
          <w:rFonts w:ascii="Arial" w:eastAsia="Arial" w:hAnsi="Arial" w:cs="Arial"/>
          <w:sz w:val="22"/>
          <w:lang w:val="es-ES"/>
        </w:rPr>
      </w:pPr>
      <w:r w:rsidRPr="00134EDD">
        <w:rPr>
          <w:rFonts w:ascii="Arial" w:eastAsia="Arial" w:hAnsi="Arial" w:cs="Arial"/>
          <w:sz w:val="22"/>
          <w:lang w:val="es-ES"/>
        </w:rPr>
        <w:tab/>
        <w:t xml:space="preserve">Ahora bien, </w:t>
      </w:r>
      <w:r w:rsidR="00772F60" w:rsidRPr="00134EDD">
        <w:rPr>
          <w:rFonts w:ascii="Arial" w:eastAsia="Arial" w:hAnsi="Arial" w:cs="Arial"/>
          <w:sz w:val="22"/>
          <w:lang w:val="es-ES"/>
        </w:rPr>
        <w:t>ni</w:t>
      </w:r>
      <w:r w:rsidRPr="00134EDD">
        <w:rPr>
          <w:rFonts w:ascii="Arial" w:eastAsia="Arial" w:hAnsi="Arial" w:cs="Arial"/>
          <w:sz w:val="22"/>
          <w:lang w:val="es-ES"/>
        </w:rPr>
        <w:t xml:space="preserve"> en el caso de la</w:t>
      </w:r>
      <w:r w:rsidR="00772F60" w:rsidRPr="00134EDD">
        <w:rPr>
          <w:rFonts w:ascii="Arial" w:eastAsia="Arial" w:hAnsi="Arial" w:cs="Arial"/>
          <w:sz w:val="22"/>
          <w:lang w:val="es-ES"/>
        </w:rPr>
        <w:t xml:space="preserve">s entidades estatales regidas por el EGCAP, ni en el de las exceptuadas, los fundamentos normativos de la obligación de publicar en el SECOP la documentación contractual se encuentran </w:t>
      </w:r>
      <w:r w:rsidR="002971E5" w:rsidRPr="00134EDD">
        <w:rPr>
          <w:rFonts w:ascii="Arial" w:eastAsia="Arial" w:hAnsi="Arial" w:cs="Arial"/>
          <w:sz w:val="22"/>
          <w:lang w:val="es-ES"/>
        </w:rPr>
        <w:t>únicamente</w:t>
      </w:r>
      <w:r w:rsidR="00772F60" w:rsidRPr="00134EDD">
        <w:rPr>
          <w:rFonts w:ascii="Arial" w:eastAsia="Arial" w:hAnsi="Arial" w:cs="Arial"/>
          <w:sz w:val="22"/>
          <w:lang w:val="es-ES"/>
        </w:rPr>
        <w:t xml:space="preserve"> en la normativa del Sistema de Compra </w:t>
      </w:r>
      <w:r w:rsidR="002971E5" w:rsidRPr="00134EDD">
        <w:rPr>
          <w:rFonts w:ascii="Arial" w:eastAsia="Arial" w:hAnsi="Arial" w:cs="Arial"/>
          <w:sz w:val="22"/>
          <w:lang w:val="es-ES"/>
        </w:rPr>
        <w:t>Pública</w:t>
      </w:r>
      <w:r w:rsidR="00772F60" w:rsidRPr="00134EDD">
        <w:rPr>
          <w:rFonts w:ascii="Arial" w:eastAsia="Arial" w:hAnsi="Arial" w:cs="Arial"/>
          <w:sz w:val="22"/>
          <w:lang w:val="es-ES"/>
        </w:rPr>
        <w:t xml:space="preserve">, sino que en ambos casos esta deviene de la carga establecida en el literal </w:t>
      </w:r>
      <w:r w:rsidR="00772F60" w:rsidRPr="00134EDD">
        <w:rPr>
          <w:rFonts w:ascii="Arial" w:eastAsia="Arial" w:hAnsi="Arial" w:cs="Arial"/>
          <w:sz w:val="22"/>
          <w:lang w:val="es-ES"/>
        </w:rPr>
        <w:lastRenderedPageBreak/>
        <w:t xml:space="preserve">g del artículo 11 de la Ley 1712 de 2014 en el sentido publicar </w:t>
      </w:r>
      <w:r w:rsidR="00B95D94" w:rsidRPr="00134EDD">
        <w:rPr>
          <w:rFonts w:ascii="Arial" w:eastAsia="Arial" w:hAnsi="Arial" w:cs="Arial"/>
          <w:sz w:val="22"/>
          <w:lang w:val="es-ES"/>
        </w:rPr>
        <w:t xml:space="preserve">los </w:t>
      </w:r>
      <w:r w:rsidR="00772F60" w:rsidRPr="00134EDD">
        <w:rPr>
          <w:rFonts w:ascii="Arial" w:eastAsia="Arial" w:hAnsi="Arial" w:cs="Arial"/>
          <w:sz w:val="22"/>
          <w:lang w:val="es-ES"/>
        </w:rPr>
        <w:t xml:space="preserve">«procedimientos, lineamientos, políticas en materia de adquisiciones y compras, así como todos los datos de adjudicación y ejecución de contratos, incluidos concursos y licitaciones». </w:t>
      </w:r>
    </w:p>
    <w:p w14:paraId="340A2753" w14:textId="48D29128" w:rsidR="00107E4D" w:rsidRPr="00134EDD"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134EDD">
        <w:rPr>
          <w:rFonts w:ascii="Arial" w:eastAsia="Arial" w:hAnsi="Arial" w:cs="Arial"/>
          <w:sz w:val="22"/>
          <w:lang w:val="es-ES"/>
        </w:rPr>
        <w:tab/>
      </w:r>
      <w:bookmarkStart w:id="19" w:name="_Hlk46841129"/>
      <w:r w:rsidR="009E5805" w:rsidRPr="00134EDD">
        <w:rPr>
          <w:rFonts w:ascii="Arial" w:eastAsia="Arial" w:hAnsi="Arial" w:cs="Arial"/>
          <w:sz w:val="22"/>
          <w:lang w:val="es-ES"/>
        </w:rPr>
        <w:t>L</w:t>
      </w:r>
      <w:r w:rsidRPr="00134EDD">
        <w:rPr>
          <w:rFonts w:ascii="Arial" w:eastAsia="Arial" w:hAnsi="Arial" w:cs="Arial"/>
          <w:sz w:val="22"/>
          <w:lang w:val="es-ES"/>
        </w:rPr>
        <w:t xml:space="preserve">a Ley 1712 de 2014, por medio de la cual se regula la transparencia </w:t>
      </w:r>
      <w:r w:rsidR="00B95D94" w:rsidRPr="00134EDD">
        <w:rPr>
          <w:rFonts w:ascii="Arial" w:eastAsia="Arial" w:hAnsi="Arial" w:cs="Arial"/>
          <w:sz w:val="22"/>
          <w:lang w:val="es-ES"/>
        </w:rPr>
        <w:t xml:space="preserve">y </w:t>
      </w:r>
      <w:r w:rsidRPr="00134EDD">
        <w:rPr>
          <w:rFonts w:ascii="Arial" w:eastAsia="Arial" w:hAnsi="Arial" w:cs="Arial"/>
          <w:sz w:val="22"/>
          <w:lang w:val="es-ES"/>
        </w:rPr>
        <w:t>el derecho de acceso a la información pública nacional</w:t>
      </w:r>
      <w:r w:rsidR="00B95D94" w:rsidRPr="00134EDD">
        <w:rPr>
          <w:rFonts w:ascii="Arial" w:eastAsia="Arial" w:hAnsi="Arial" w:cs="Arial"/>
          <w:sz w:val="22"/>
          <w:lang w:val="es-ES"/>
        </w:rPr>
        <w:t xml:space="preserve">, </w:t>
      </w:r>
      <w:r w:rsidRPr="00134EDD">
        <w:rPr>
          <w:rFonts w:ascii="Arial" w:eastAsia="Arial" w:hAnsi="Arial" w:cs="Arial"/>
          <w:sz w:val="22"/>
          <w:lang w:val="es-ES"/>
        </w:rPr>
        <w:t>identifica como principios que orientan el derecho de acceso a la información pública el de máxima publicidad</w:t>
      </w:r>
      <w:r w:rsidR="009E5805" w:rsidRPr="00134EDD">
        <w:rPr>
          <w:rFonts w:ascii="Arial" w:eastAsia="Arial" w:hAnsi="Arial" w:cs="Arial"/>
          <w:sz w:val="22"/>
          <w:lang w:val="es-ES"/>
        </w:rPr>
        <w:t xml:space="preserve"> y</w:t>
      </w:r>
      <w:r w:rsidRPr="00134EDD">
        <w:rPr>
          <w:rFonts w:ascii="Arial" w:eastAsia="Arial" w:hAnsi="Arial" w:cs="Arial"/>
          <w:sz w:val="22"/>
          <w:lang w:val="es-ES"/>
        </w:rPr>
        <w:t xml:space="preserve"> transparencia en la información. El principio de máxima publicidad establece que «toda información en posesión, bajo control o custodia de un sujeto obligado es pública y no podrá ser reservada o limitada sino por disposición constitucional o legal»</w:t>
      </w:r>
      <w:r w:rsidRPr="00134EDD">
        <w:rPr>
          <w:rFonts w:ascii="Arial" w:eastAsia="Arial" w:hAnsi="Arial" w:cs="Arial"/>
          <w:sz w:val="22"/>
          <w:vertAlign w:val="superscript"/>
          <w:lang w:val="es-ES"/>
        </w:rPr>
        <w:footnoteReference w:id="11"/>
      </w:r>
      <w:r w:rsidRPr="00134EDD">
        <w:rPr>
          <w:rFonts w:ascii="Arial" w:eastAsia="Arial" w:hAnsi="Arial" w:cs="Arial"/>
          <w:sz w:val="22"/>
          <w:lang w:val="es-ES"/>
        </w:rPr>
        <w:t xml:space="preserve">. </w:t>
      </w:r>
      <w:r w:rsidR="009E5805" w:rsidRPr="00134EDD">
        <w:rPr>
          <w:rFonts w:ascii="Arial" w:eastAsia="Arial" w:hAnsi="Arial" w:cs="Arial"/>
          <w:sz w:val="22"/>
          <w:lang w:val="es-ES"/>
        </w:rPr>
        <w:t>Por su parte, e</w:t>
      </w:r>
      <w:r w:rsidRPr="00134EDD">
        <w:rPr>
          <w:rFonts w:ascii="Arial" w:eastAsia="Arial" w:hAnsi="Arial" w:cs="Arial"/>
          <w:sz w:val="22"/>
          <w:lang w:val="es-ES"/>
        </w:rPr>
        <w:t>l principio de transparencia en la información alude al deber de los sujetos</w:t>
      </w:r>
      <w:r w:rsidR="00B95D94" w:rsidRPr="00134EDD">
        <w:rPr>
          <w:rFonts w:ascii="Arial" w:eastAsia="Arial" w:hAnsi="Arial" w:cs="Arial"/>
          <w:sz w:val="22"/>
          <w:lang w:val="es-ES"/>
        </w:rPr>
        <w:t xml:space="preserve"> obligados</w:t>
      </w:r>
      <w:r w:rsidRPr="00134EDD">
        <w:rPr>
          <w:rFonts w:ascii="Arial" w:eastAsia="Arial" w:hAnsi="Arial" w:cs="Arial"/>
          <w:sz w:val="22"/>
          <w:lang w:val="es-ES"/>
        </w:rPr>
        <w:t xml:space="preserve"> de proporcionar y facilitar el acceso a la misma en los términos más amplios posibles, y a través de los medios y procedimientos que establezca la ley. </w:t>
      </w:r>
    </w:p>
    <w:p w14:paraId="04936C4E" w14:textId="47DBAC57" w:rsidR="00107E4D" w:rsidRPr="00134EDD"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134EDD">
        <w:rPr>
          <w:rFonts w:ascii="Arial" w:eastAsia="Arial" w:hAnsi="Arial" w:cs="Arial"/>
          <w:sz w:val="22"/>
          <w:lang w:val="es-ES"/>
        </w:rPr>
        <w:tab/>
        <w:t xml:space="preserve">La ley citada establece, en el literal e) del artículo 9, que los sujetos obligados, deben publicar la información relativa a su contratación. Esta obligación </w:t>
      </w:r>
      <w:r w:rsidR="002971E5" w:rsidRPr="00134EDD">
        <w:rPr>
          <w:rFonts w:ascii="Arial" w:eastAsia="Arial" w:hAnsi="Arial" w:cs="Arial"/>
          <w:sz w:val="22"/>
          <w:lang w:val="es-ES"/>
        </w:rPr>
        <w:t>fue en</w:t>
      </w:r>
      <w:r w:rsidRPr="00134EDD">
        <w:rPr>
          <w:rFonts w:ascii="Arial" w:eastAsia="Arial" w:hAnsi="Arial" w:cs="Arial"/>
          <w:sz w:val="22"/>
          <w:lang w:val="es-ES"/>
        </w:rPr>
        <w:t xml:space="preserve"> principio desarrollada por </w:t>
      </w:r>
      <w:r w:rsidR="002971E5" w:rsidRPr="00134EDD">
        <w:rPr>
          <w:rFonts w:ascii="Arial" w:eastAsia="Arial" w:hAnsi="Arial" w:cs="Arial"/>
          <w:sz w:val="22"/>
          <w:lang w:val="es-ES"/>
        </w:rPr>
        <w:t>el Decreto</w:t>
      </w:r>
      <w:r w:rsidRPr="00134EDD">
        <w:rPr>
          <w:rFonts w:ascii="Arial" w:eastAsia="Arial" w:hAnsi="Arial" w:cs="Arial"/>
          <w:sz w:val="22"/>
          <w:lang w:val="es-ES"/>
        </w:rPr>
        <w:t xml:space="preserve"> 103 de 2015, hoy compilado en el Decreto Único Reglamentario 1081 de 2015</w:t>
      </w:r>
      <w:r w:rsidRPr="00134EDD">
        <w:rPr>
          <w:rFonts w:ascii="Arial" w:eastAsia="Arial" w:hAnsi="Arial" w:cs="Arial"/>
          <w:sz w:val="22"/>
          <w:vertAlign w:val="superscript"/>
          <w:lang w:val="es-ES"/>
        </w:rPr>
        <w:footnoteReference w:id="12"/>
      </w:r>
      <w:r w:rsidRPr="00134EDD">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7B8F73E1" w14:textId="0FF275ED" w:rsidR="00D12042" w:rsidRPr="00134EDD" w:rsidRDefault="00107E4D" w:rsidP="00F4430F">
      <w:pPr>
        <w:widowControl w:val="0"/>
        <w:tabs>
          <w:tab w:val="left" w:pos="728"/>
        </w:tabs>
        <w:autoSpaceDE w:val="0"/>
        <w:autoSpaceDN w:val="0"/>
        <w:spacing w:after="120" w:line="276" w:lineRule="auto"/>
        <w:jc w:val="both"/>
        <w:rPr>
          <w:rFonts w:ascii="Arial" w:eastAsia="Calibri" w:hAnsi="Arial" w:cs="Arial"/>
          <w:sz w:val="22"/>
          <w:lang w:val="es-ES"/>
        </w:rPr>
      </w:pPr>
      <w:r w:rsidRPr="00134EDD">
        <w:rPr>
          <w:rFonts w:ascii="Arial" w:eastAsia="Arial" w:hAnsi="Arial" w:cs="Arial"/>
          <w:sz w:val="22"/>
          <w:lang w:val="es-ES"/>
        </w:rPr>
        <w:tab/>
      </w:r>
      <w:r w:rsidR="00F4430F" w:rsidRPr="00134EDD">
        <w:rPr>
          <w:rFonts w:ascii="Arial" w:eastAsia="Calibri" w:hAnsi="Arial" w:cs="Arial"/>
          <w:sz w:val="22"/>
          <w:lang w:val="es-ES"/>
        </w:rPr>
        <w:t>El Decreto 1081 de 2015</w:t>
      </w:r>
      <w:r w:rsidR="00D12042" w:rsidRPr="00134EDD">
        <w:rPr>
          <w:rFonts w:ascii="Arial" w:eastAsia="Calibri" w:hAnsi="Arial" w:cs="Arial"/>
          <w:sz w:val="22"/>
          <w:lang w:val="es-ES"/>
        </w:rPr>
        <w:t xml:space="preserve"> señala en el artículo 2.1.1.2.1.7, que las entidades deberán publicar en el SECOP </w:t>
      </w:r>
      <w:r w:rsidR="00D12042" w:rsidRPr="00134EDD">
        <w:rPr>
          <w:rFonts w:ascii="Arial" w:hAnsi="Arial" w:cs="Arial"/>
          <w:sz w:val="22"/>
          <w:lang w:val="es-ES"/>
        </w:rPr>
        <w:t>la información de su gestión contractual</w:t>
      </w:r>
      <w:r w:rsidR="00D12042" w:rsidRPr="00134EDD">
        <w:rPr>
          <w:rStyle w:val="Refdenotaalpie"/>
          <w:rFonts w:ascii="Arial" w:hAnsi="Arial" w:cs="Arial"/>
          <w:sz w:val="22"/>
          <w:lang w:val="es-ES"/>
        </w:rPr>
        <w:footnoteReference w:id="13"/>
      </w:r>
      <w:r w:rsidR="00D12042" w:rsidRPr="00134EDD">
        <w:rPr>
          <w:rFonts w:ascii="Arial" w:eastAsia="Calibri" w:hAnsi="Arial" w:cs="Arial"/>
          <w:sz w:val="22"/>
          <w:lang w:val="es-ES"/>
        </w:rPr>
        <w:t xml:space="preserve">. Por su parte, el artículo </w:t>
      </w:r>
      <w:r w:rsidR="00D12042" w:rsidRPr="00134EDD">
        <w:rPr>
          <w:rFonts w:ascii="Arial" w:eastAsia="Calibri" w:hAnsi="Arial" w:cs="Arial"/>
          <w:sz w:val="22"/>
          <w:lang w:val="es-ES"/>
        </w:rPr>
        <w:lastRenderedPageBreak/>
        <w:t>2.1.1.2.1.9 expresa que las entidades deberán publicar los procedimientos, lineamientos y políticas en materia de adquisición, que no son otros que los previstos en el manual de contratación, el cual debe publicarse en el sitio web del sujeto obligado</w:t>
      </w:r>
      <w:r w:rsidR="00D12042" w:rsidRPr="00134EDD">
        <w:rPr>
          <w:rStyle w:val="Refdenotaalpie"/>
          <w:rFonts w:ascii="Arial" w:eastAsia="Calibri" w:hAnsi="Arial" w:cs="Arial"/>
          <w:sz w:val="22"/>
          <w:lang w:val="es-ES"/>
        </w:rPr>
        <w:footnoteReference w:id="14"/>
      </w:r>
      <w:r w:rsidR="00D12042" w:rsidRPr="00134EDD">
        <w:rPr>
          <w:rFonts w:ascii="Arial" w:eastAsia="Calibri" w:hAnsi="Arial" w:cs="Arial"/>
          <w:sz w:val="22"/>
          <w:lang w:val="es-ES"/>
        </w:rPr>
        <w:t>. El artículo 2.1.1.2.1.10 establece la obligación que tienen las entidades de publicar en el SECOP el Plan Anual de Adquisiciones</w:t>
      </w:r>
      <w:r w:rsidR="00D12042" w:rsidRPr="00134EDD">
        <w:rPr>
          <w:rStyle w:val="Refdenotaalpie"/>
          <w:rFonts w:ascii="Arial" w:eastAsia="Calibri" w:hAnsi="Arial" w:cs="Arial"/>
          <w:sz w:val="22"/>
          <w:lang w:val="es-ES"/>
        </w:rPr>
        <w:footnoteReference w:id="15"/>
      </w:r>
      <w:r w:rsidR="00D12042" w:rsidRPr="00134EDD">
        <w:rPr>
          <w:rFonts w:ascii="Arial" w:eastAsia="Calibri" w:hAnsi="Arial" w:cs="Arial"/>
          <w:sz w:val="22"/>
          <w:lang w:val="es-ES"/>
        </w:rPr>
        <w:t xml:space="preserve">. </w:t>
      </w:r>
    </w:p>
    <w:bookmarkEnd w:id="19"/>
    <w:p w14:paraId="495D889B" w14:textId="77777777" w:rsidR="00D12042" w:rsidRPr="00134EDD" w:rsidRDefault="00D12042" w:rsidP="00D12042">
      <w:pPr>
        <w:spacing w:before="120" w:after="120" w:line="276" w:lineRule="auto"/>
        <w:ind w:firstLine="709"/>
        <w:jc w:val="both"/>
        <w:rPr>
          <w:rFonts w:ascii="Arial" w:eastAsia="Calibri" w:hAnsi="Arial" w:cs="Arial"/>
          <w:sz w:val="22"/>
          <w:lang w:val="es-ES"/>
        </w:rPr>
      </w:pPr>
      <w:r w:rsidRPr="00134EDD">
        <w:rPr>
          <w:rFonts w:ascii="Arial" w:eastAsia="Calibri" w:hAnsi="Arial" w:cs="Arial"/>
          <w:sz w:val="22"/>
          <w:lang w:val="es-ES"/>
        </w:rPr>
        <w:t xml:space="preserve">De otro lado, el artículo 2.1.1.2.1.8, establece los efectos de </w:t>
      </w:r>
      <w:r w:rsidRPr="00134EDD">
        <w:rPr>
          <w:rFonts w:ascii="Arial" w:hAnsi="Arial" w:cs="Arial"/>
          <w:sz w:val="22"/>
          <w:lang w:val="es-ES"/>
        </w:rPr>
        <w:t>la obligación contenida en el literal g) del artículo 11 de la Ley 1712 de 2014, en relación con los documentos producidos durante la ejecución del contrato, señalando que se</w:t>
      </w:r>
      <w:r w:rsidRPr="00134EDD">
        <w:rPr>
          <w:rFonts w:ascii="Arial" w:eastAsia="Calibri" w:hAnsi="Arial" w:cs="Arial"/>
          <w:sz w:val="22"/>
          <w:lang w:val="es-ES"/>
        </w:rPr>
        <w:t xml:space="preserve"> deben publicar las aprobaciones, autorizaciones, requerimientos o informes del supervisor o interventor, que prueben la ejecución del contrato</w:t>
      </w:r>
      <w:r w:rsidRPr="00134EDD">
        <w:rPr>
          <w:rStyle w:val="Refdenotaalpie"/>
          <w:rFonts w:ascii="Arial" w:eastAsia="Calibri" w:hAnsi="Arial" w:cs="Arial"/>
          <w:sz w:val="22"/>
          <w:lang w:val="es-ES"/>
        </w:rPr>
        <w:footnoteReference w:id="16"/>
      </w:r>
      <w:r w:rsidRPr="00134EDD">
        <w:rPr>
          <w:rFonts w:ascii="Arial" w:eastAsia="Calibri" w:hAnsi="Arial" w:cs="Arial"/>
          <w:sz w:val="22"/>
          <w:lang w:val="es-ES"/>
        </w:rPr>
        <w:t>.</w:t>
      </w:r>
    </w:p>
    <w:p w14:paraId="733F80FD" w14:textId="0AB08F98" w:rsidR="00D12042" w:rsidRPr="00134EDD" w:rsidRDefault="00D12042" w:rsidP="00D12042">
      <w:pPr>
        <w:spacing w:before="120" w:after="120" w:line="276" w:lineRule="auto"/>
        <w:ind w:firstLine="709"/>
        <w:jc w:val="both"/>
        <w:rPr>
          <w:rFonts w:ascii="Arial" w:eastAsia="Calibri" w:hAnsi="Arial" w:cs="Arial"/>
          <w:sz w:val="22"/>
          <w:lang w:val="es-ES"/>
        </w:rPr>
      </w:pPr>
      <w:r w:rsidRPr="00134EDD">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134EDD">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w:t>
      </w:r>
      <w:r w:rsidRPr="00134EDD">
        <w:rPr>
          <w:rFonts w:ascii="Arial" w:eastAsia="Arial" w:hAnsi="Arial" w:cs="Arial"/>
          <w:sz w:val="22"/>
          <w:lang w:val="es-ES"/>
        </w:rPr>
        <w:lastRenderedPageBreak/>
        <w:t>cuanto a la publicidad, sino que</w:t>
      </w:r>
      <w:r w:rsidR="00F4430F" w:rsidRPr="00134EDD">
        <w:rPr>
          <w:rFonts w:ascii="Arial" w:eastAsia="Arial" w:hAnsi="Arial" w:cs="Arial"/>
          <w:sz w:val="22"/>
          <w:lang w:val="es-ES"/>
        </w:rPr>
        <w:t xml:space="preserve">  </w:t>
      </w:r>
      <w:r w:rsidR="002971E5" w:rsidRPr="00134EDD">
        <w:rPr>
          <w:rFonts w:ascii="Arial" w:eastAsia="Arial" w:hAnsi="Arial" w:cs="Arial"/>
          <w:sz w:val="22"/>
          <w:lang w:val="es-ES"/>
        </w:rPr>
        <w:t>amplían</w:t>
      </w:r>
      <w:r w:rsidR="00F4430F" w:rsidRPr="00134EDD">
        <w:rPr>
          <w:rFonts w:ascii="Arial" w:eastAsia="Arial" w:hAnsi="Arial" w:cs="Arial"/>
          <w:sz w:val="22"/>
          <w:lang w:val="es-ES"/>
        </w:rPr>
        <w:t xml:space="preserve"> </w:t>
      </w:r>
      <w:r w:rsidRPr="00134EDD">
        <w:rPr>
          <w:rFonts w:ascii="Arial" w:eastAsia="Arial" w:hAnsi="Arial" w:cs="Arial"/>
          <w:sz w:val="22"/>
          <w:lang w:val="es-ES"/>
        </w:rPr>
        <w:t xml:space="preserve"> </w:t>
      </w:r>
      <w:r w:rsidR="00F4430F" w:rsidRPr="00134EDD">
        <w:rPr>
          <w:rFonts w:ascii="Arial" w:eastAsia="Arial" w:hAnsi="Arial" w:cs="Arial"/>
          <w:sz w:val="22"/>
          <w:lang w:val="es-ES"/>
        </w:rPr>
        <w:t xml:space="preserve">el contenido del deber de publicar en el SECOP la actividad </w:t>
      </w:r>
      <w:r w:rsidR="002971E5" w:rsidRPr="00134EDD">
        <w:rPr>
          <w:rFonts w:ascii="Arial" w:eastAsia="Arial" w:hAnsi="Arial" w:cs="Arial"/>
          <w:sz w:val="22"/>
          <w:lang w:val="es-ES"/>
        </w:rPr>
        <w:t>contractual</w:t>
      </w:r>
      <w:r w:rsidR="00F4430F" w:rsidRPr="00134EDD">
        <w:rPr>
          <w:rFonts w:ascii="Arial" w:eastAsia="Arial" w:hAnsi="Arial" w:cs="Arial"/>
          <w:sz w:val="22"/>
          <w:lang w:val="es-ES"/>
        </w:rPr>
        <w:t xml:space="preserve"> al establecerse que se deben publicar </w:t>
      </w:r>
      <w:r w:rsidRPr="00134EDD">
        <w:rPr>
          <w:rFonts w:ascii="Arial" w:eastAsia="Arial" w:hAnsi="Arial" w:cs="Arial"/>
          <w:sz w:val="22"/>
          <w:lang w:val="es-ES"/>
        </w:rPr>
        <w:t xml:space="preserve">los «procedimientos» y la información relativa a la «gestión contractual», </w:t>
      </w:r>
      <w:r w:rsidRPr="00134EDD">
        <w:rPr>
          <w:rFonts w:ascii="Arial" w:eastAsia="Calibri" w:hAnsi="Arial" w:cs="Arial"/>
          <w:sz w:val="22"/>
          <w:lang w:val="es-ES"/>
        </w:rPr>
        <w:t xml:space="preserve">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0CFB8F6B" w14:textId="080186EA" w:rsidR="00ED13B3" w:rsidRPr="00134EDD" w:rsidRDefault="00ED13B3" w:rsidP="00ED13B3">
      <w:pPr>
        <w:spacing w:before="120" w:line="276" w:lineRule="auto"/>
        <w:ind w:firstLine="709"/>
        <w:jc w:val="both"/>
        <w:rPr>
          <w:rFonts w:ascii="Arial" w:eastAsia="Calibri" w:hAnsi="Arial" w:cs="Arial"/>
          <w:sz w:val="22"/>
          <w:lang w:val="es-ES"/>
        </w:rPr>
      </w:pPr>
      <w:bookmarkStart w:id="20" w:name="_Hlk46841352"/>
      <w:r w:rsidRPr="00134EDD">
        <w:rPr>
          <w:rFonts w:ascii="Arial" w:eastAsia="Calibri" w:hAnsi="Arial" w:cs="Arial"/>
          <w:sz w:val="22"/>
          <w:lang w:val="es-ES"/>
        </w:rPr>
        <w:t xml:space="preserve">La obligatoriedad de publicar en el SECOP la actividad contractual en virtud de </w:t>
      </w:r>
      <w:r w:rsidR="002971E5" w:rsidRPr="00134EDD">
        <w:rPr>
          <w:rFonts w:ascii="Arial" w:eastAsia="Calibri" w:hAnsi="Arial" w:cs="Arial"/>
          <w:sz w:val="22"/>
          <w:lang w:val="es-ES"/>
        </w:rPr>
        <w:t>las normas analizadas</w:t>
      </w:r>
      <w:r w:rsidRPr="00134EDD">
        <w:rPr>
          <w:rFonts w:ascii="Arial" w:eastAsia="Calibri" w:hAnsi="Arial" w:cs="Arial"/>
          <w:sz w:val="22"/>
          <w:lang w:val="es-ES"/>
        </w:rPr>
        <w:t xml:space="preserve"> del régimen de la transparencia y acceso a la información pública, </w:t>
      </w:r>
      <w:r w:rsidR="00B95D94" w:rsidRPr="00134EDD">
        <w:rPr>
          <w:rFonts w:ascii="Arial" w:eastAsia="Calibri" w:hAnsi="Arial" w:cs="Arial"/>
          <w:sz w:val="22"/>
          <w:lang w:val="es-ES"/>
        </w:rPr>
        <w:t xml:space="preserve">está </w:t>
      </w:r>
      <w:r w:rsidRPr="00134EDD">
        <w:rPr>
          <w:rFonts w:ascii="Arial" w:eastAsia="Calibri" w:hAnsi="Arial" w:cs="Arial"/>
          <w:sz w:val="22"/>
          <w:lang w:val="es-ES"/>
        </w:rPr>
        <w:t xml:space="preserve">determinada por la calidad de </w:t>
      </w:r>
      <w:r w:rsidRPr="00134EDD">
        <w:rPr>
          <w:rFonts w:ascii="Arial" w:eastAsia="Calibri" w:hAnsi="Arial" w:cs="Arial"/>
          <w:i/>
          <w:iCs/>
          <w:sz w:val="22"/>
          <w:lang w:val="es-ES"/>
        </w:rPr>
        <w:t>sujeto obligado</w:t>
      </w:r>
      <w:r w:rsidRPr="00134EDD">
        <w:rPr>
          <w:rFonts w:ascii="Arial" w:eastAsia="Calibri" w:hAnsi="Arial" w:cs="Arial"/>
          <w:sz w:val="22"/>
          <w:lang w:val="es-ES"/>
        </w:rPr>
        <w:t xml:space="preserve"> en los términos del artículo 5 de la Ley 1712 de 2014, en el que se establecen diferentes </w:t>
      </w:r>
      <w:r w:rsidR="00B95D94" w:rsidRPr="00134EDD">
        <w:rPr>
          <w:rFonts w:ascii="Arial" w:eastAsia="Calibri" w:hAnsi="Arial" w:cs="Arial"/>
          <w:sz w:val="22"/>
          <w:lang w:val="es-ES"/>
        </w:rPr>
        <w:t>requisitos</w:t>
      </w:r>
      <w:r w:rsidRPr="00134EDD">
        <w:rPr>
          <w:rFonts w:ascii="Arial" w:eastAsia="Calibri" w:hAnsi="Arial" w:cs="Arial"/>
          <w:sz w:val="22"/>
          <w:lang w:val="es-ES"/>
        </w:rPr>
        <w:t xml:space="preserve"> para establecer si una entidad estatal o una persona es un sujeto obligado</w:t>
      </w:r>
      <w:bookmarkEnd w:id="20"/>
      <w:r w:rsidRPr="00134EDD">
        <w:rPr>
          <w:rFonts w:ascii="Arial" w:eastAsia="Calibri" w:hAnsi="Arial" w:cs="Arial"/>
          <w:sz w:val="22"/>
          <w:lang w:val="es-ES"/>
        </w:rPr>
        <w:t>:</w:t>
      </w:r>
    </w:p>
    <w:p w14:paraId="173AC007" w14:textId="43E57920" w:rsidR="00ED13B3" w:rsidRPr="00134EDD" w:rsidRDefault="00ED13B3" w:rsidP="00A108E0">
      <w:pPr>
        <w:spacing w:line="276" w:lineRule="auto"/>
        <w:ind w:firstLine="709"/>
        <w:jc w:val="both"/>
        <w:rPr>
          <w:rFonts w:ascii="Arial" w:eastAsia="Calibri" w:hAnsi="Arial" w:cs="Arial"/>
          <w:sz w:val="22"/>
          <w:lang w:val="es-ES"/>
        </w:rPr>
      </w:pPr>
    </w:p>
    <w:p w14:paraId="587F6B9B" w14:textId="77777777" w:rsidR="00ED13B3" w:rsidRPr="00ED13B3" w:rsidRDefault="00ED13B3" w:rsidP="00ED13B3">
      <w:pPr>
        <w:ind w:left="709" w:right="709"/>
        <w:jc w:val="both"/>
        <w:rPr>
          <w:rFonts w:ascii="Arial" w:eastAsia="Times New Roman" w:hAnsi="Arial" w:cs="Arial"/>
          <w:sz w:val="21"/>
          <w:szCs w:val="21"/>
          <w:lang w:val="es-CO" w:eastAsia="es-CO"/>
        </w:rPr>
      </w:pPr>
      <w:r w:rsidRPr="007119F1">
        <w:rPr>
          <w:rFonts w:ascii="Arial" w:eastAsia="Times New Roman" w:hAnsi="Arial" w:cs="Arial"/>
          <w:b/>
          <w:bCs/>
          <w:sz w:val="21"/>
          <w:szCs w:val="21"/>
          <w:lang w:val="es-CO" w:eastAsia="es-CO"/>
        </w:rPr>
        <w:t>Artículo 5°.</w:t>
      </w:r>
      <w:r w:rsidRPr="00A108E0">
        <w:rPr>
          <w:rFonts w:ascii="Arial" w:eastAsia="Times New Roman" w:hAnsi="Arial" w:cs="Arial"/>
          <w:b/>
          <w:bCs/>
          <w:sz w:val="21"/>
          <w:szCs w:val="21"/>
          <w:lang w:val="es-CO" w:eastAsia="es-CO"/>
        </w:rPr>
        <w:t> Ámbito</w:t>
      </w:r>
      <w:r w:rsidRPr="00ED13B3">
        <w:rPr>
          <w:rFonts w:ascii="Arial" w:eastAsia="Times New Roman" w:hAnsi="Arial" w:cs="Arial"/>
          <w:sz w:val="21"/>
          <w:szCs w:val="21"/>
          <w:lang w:val="es-CO" w:eastAsia="es-CO"/>
        </w:rPr>
        <w:t xml:space="preserve"> de aplicación. Las disposiciones de esta ley serán aplicables a las siguientes personas en calidad de sujetos obligados:  </w:t>
      </w:r>
    </w:p>
    <w:p w14:paraId="2B4FF912"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3612E043"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a) Toda entidad pública, incluyendo las pertenecientes a todas las Ramas del Poder Público, en todos los niveles de la estructura estatal, central o descentralizada por servicios o territorialmente, en los órdenes nacional, departamental, municipal y distrital.  </w:t>
      </w:r>
    </w:p>
    <w:p w14:paraId="0D323113"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59916B5C"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b) Los órganos, organismos y entidades estatales independientes o autónomos y de control.  </w:t>
      </w:r>
    </w:p>
    <w:p w14:paraId="3AD090DF"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6E529CCA"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c) Las personas naturales y jurídicas, públicas o privadas, que presten función pública, que presten servicios públicos respecto de la información directamente relacionada con la prestación del servicio público.  </w:t>
      </w:r>
    </w:p>
    <w:p w14:paraId="7255F328"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665E3672"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d) Cualquier persona natural, jurídica o dependencia de persona jurídica que desempeñe función pública o de autoridad pública, respecto de la información directamente relacionada con el desempeño de su función.  </w:t>
      </w:r>
    </w:p>
    <w:p w14:paraId="475BA96D"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227F97A9"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e) Las empresas públicas creadas por ley, las empresas del Estado y sociedades en que este tenga participación.  </w:t>
      </w:r>
    </w:p>
    <w:p w14:paraId="13E9F8CD"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11FA921D"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f) Los partidos o movimientos políticos y los grupos significativos de ciudadanos.  </w:t>
      </w:r>
    </w:p>
    <w:p w14:paraId="54C41A81"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0239BB02"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g) Las entidades que administren instituciones parafiscales, fondos o recursos de naturaleza u origen público.  </w:t>
      </w:r>
    </w:p>
    <w:p w14:paraId="7BC7DDAA"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w:t>
      </w:r>
    </w:p>
    <w:p w14:paraId="3D8FCDD4" w14:textId="77777777" w:rsidR="00ED13B3" w:rsidRPr="00ED13B3" w:rsidRDefault="00ED13B3" w:rsidP="00ED13B3">
      <w:pPr>
        <w:ind w:left="709" w:right="709"/>
        <w:jc w:val="both"/>
        <w:rPr>
          <w:rFonts w:ascii="Arial" w:eastAsia="Times New Roman" w:hAnsi="Arial" w:cs="Arial"/>
          <w:sz w:val="21"/>
          <w:szCs w:val="21"/>
          <w:lang w:val="es-CO" w:eastAsia="es-CO"/>
        </w:rPr>
      </w:pPr>
      <w:r w:rsidRPr="00ED13B3">
        <w:rPr>
          <w:rFonts w:ascii="Arial" w:eastAsia="Times New Roman" w:hAnsi="Arial" w:cs="Arial"/>
          <w:sz w:val="21"/>
          <w:szCs w:val="21"/>
          <w:lang w:val="es-CO" w:eastAsia="es-CO"/>
        </w:rPr>
        <w:t xml:space="preserve">Las personas naturales o jurídicas que reciban o intermedien fondos o beneficios públicos territoriales y nacionales y no cumplan ninguno de los otros requisitos para ser considerados sujetos obligados, solo deberán cumplir con la presente </w:t>
      </w:r>
      <w:r w:rsidRPr="00ED13B3">
        <w:rPr>
          <w:rFonts w:ascii="Arial" w:eastAsia="Times New Roman" w:hAnsi="Arial" w:cs="Arial"/>
          <w:sz w:val="21"/>
          <w:szCs w:val="21"/>
          <w:lang w:val="es-CO" w:eastAsia="es-CO"/>
        </w:rPr>
        <w:lastRenderedPageBreak/>
        <w:t>ley respecto de aquella información que se produzca en relación con fondos públicos que reciban o intermedien.  </w:t>
      </w:r>
    </w:p>
    <w:p w14:paraId="0E5058D9" w14:textId="77777777" w:rsidR="00A108E0" w:rsidRDefault="00A108E0" w:rsidP="00ED13B3">
      <w:pPr>
        <w:spacing w:before="120" w:after="120" w:line="276" w:lineRule="auto"/>
        <w:jc w:val="both"/>
        <w:rPr>
          <w:rFonts w:ascii="Arial" w:eastAsia="Calibri" w:hAnsi="Arial" w:cs="Arial"/>
          <w:sz w:val="22"/>
          <w:lang w:val="es-ES"/>
        </w:rPr>
      </w:pPr>
    </w:p>
    <w:p w14:paraId="5485AF9F" w14:textId="777994DA" w:rsidR="00ED13B3" w:rsidRPr="00134EDD" w:rsidRDefault="00ED13B3" w:rsidP="00ED13B3">
      <w:pPr>
        <w:spacing w:before="120" w:after="120" w:line="276" w:lineRule="auto"/>
        <w:jc w:val="both"/>
        <w:rPr>
          <w:rFonts w:ascii="Arial" w:eastAsia="Calibri" w:hAnsi="Arial" w:cs="Arial"/>
          <w:sz w:val="22"/>
          <w:lang w:val="es-ES"/>
        </w:rPr>
      </w:pPr>
      <w:r w:rsidRPr="00134EDD">
        <w:rPr>
          <w:rFonts w:ascii="Arial" w:eastAsia="Calibri" w:hAnsi="Arial" w:cs="Arial"/>
          <w:sz w:val="22"/>
          <w:lang w:val="es-ES"/>
        </w:rPr>
        <w:t xml:space="preserve">Sobre la calidad de </w:t>
      </w:r>
      <w:r w:rsidRPr="00134EDD">
        <w:rPr>
          <w:rFonts w:ascii="Arial" w:eastAsia="Calibri" w:hAnsi="Arial" w:cs="Arial"/>
          <w:i/>
          <w:iCs/>
          <w:sz w:val="22"/>
          <w:lang w:val="es-ES"/>
        </w:rPr>
        <w:t>sujeto obligado</w:t>
      </w:r>
      <w:r w:rsidRPr="00134EDD">
        <w:rPr>
          <w:rFonts w:ascii="Arial" w:eastAsia="Calibri" w:hAnsi="Arial" w:cs="Arial"/>
          <w:sz w:val="22"/>
          <w:lang w:val="es-ES"/>
        </w:rPr>
        <w:t xml:space="preserve"> de las entidades estatales, el literal a no da cabida a la menor duda, al </w:t>
      </w:r>
      <w:r w:rsidR="003E1ED3" w:rsidRPr="00134EDD">
        <w:rPr>
          <w:rFonts w:ascii="Arial" w:eastAsia="Calibri" w:hAnsi="Arial" w:cs="Arial"/>
          <w:sz w:val="22"/>
          <w:lang w:val="es-ES"/>
        </w:rPr>
        <w:t xml:space="preserve">referirse a toda entidad </w:t>
      </w:r>
      <w:r w:rsidR="002971E5" w:rsidRPr="00134EDD">
        <w:rPr>
          <w:rFonts w:ascii="Arial" w:eastAsia="Calibri" w:hAnsi="Arial" w:cs="Arial"/>
          <w:sz w:val="22"/>
          <w:lang w:val="es-ES"/>
        </w:rPr>
        <w:t>pública</w:t>
      </w:r>
      <w:r w:rsidR="00A169CF">
        <w:rPr>
          <w:rFonts w:ascii="Arial" w:eastAsia="Calibri" w:hAnsi="Arial" w:cs="Arial"/>
          <w:sz w:val="22"/>
          <w:lang w:val="es-ES"/>
        </w:rPr>
        <w:t>, es decir, a los órganos</w:t>
      </w:r>
      <w:r w:rsidR="003E1ED3" w:rsidRPr="00134EDD">
        <w:rPr>
          <w:rFonts w:ascii="Arial" w:eastAsia="Calibri" w:hAnsi="Arial" w:cs="Arial"/>
          <w:sz w:val="22"/>
          <w:lang w:val="es-ES"/>
        </w:rPr>
        <w:t xml:space="preserve"> de todas las Ramas del Poder Público, en todos los niveles de la estructura estatal, lo cual </w:t>
      </w:r>
      <w:r w:rsidR="002971E5" w:rsidRPr="00134EDD">
        <w:rPr>
          <w:rFonts w:ascii="Arial" w:eastAsia="Calibri" w:hAnsi="Arial" w:cs="Arial"/>
          <w:sz w:val="22"/>
          <w:lang w:val="es-ES"/>
        </w:rPr>
        <w:t>involucra</w:t>
      </w:r>
      <w:r w:rsidR="003E1ED3" w:rsidRPr="00134EDD">
        <w:rPr>
          <w:rFonts w:ascii="Arial" w:eastAsia="Calibri" w:hAnsi="Arial" w:cs="Arial"/>
          <w:sz w:val="22"/>
          <w:lang w:val="es-ES"/>
        </w:rPr>
        <w:t xml:space="preserve"> a todas las entidades estatales sin que sea relevante su régimen de contratación, razón por la que las disposiciones de la Ley 1712 de 2014 y el Decreto 1081 de 2015 cobijan tanto entidades que apliquen el EGCAP, como a las exceptuadas.</w:t>
      </w:r>
    </w:p>
    <w:p w14:paraId="2CA8BF1A" w14:textId="61EF7B20" w:rsidR="00FA523E" w:rsidRPr="00134EDD" w:rsidRDefault="003E1ED3" w:rsidP="00ED13B3">
      <w:pPr>
        <w:spacing w:before="120" w:after="120" w:line="276" w:lineRule="auto"/>
        <w:jc w:val="both"/>
        <w:rPr>
          <w:rFonts w:ascii="Arial" w:eastAsia="Calibri" w:hAnsi="Arial" w:cs="Arial"/>
          <w:sz w:val="22"/>
          <w:lang w:val="es-ES"/>
        </w:rPr>
      </w:pPr>
      <w:r w:rsidRPr="00134EDD">
        <w:rPr>
          <w:rFonts w:ascii="Arial" w:eastAsia="Calibri" w:hAnsi="Arial" w:cs="Arial"/>
          <w:sz w:val="22"/>
          <w:lang w:val="es-ES"/>
        </w:rPr>
        <w:tab/>
        <w:t>De otra parte, la entidad en torno a la que se indaga, al no ser una entidad pública, sino una</w:t>
      </w:r>
      <w:r w:rsidR="00FA523E" w:rsidRPr="00134EDD">
        <w:rPr>
          <w:rFonts w:ascii="Arial" w:eastAsia="Calibri" w:hAnsi="Arial" w:cs="Arial"/>
          <w:sz w:val="22"/>
          <w:lang w:val="es-ES"/>
        </w:rPr>
        <w:t xml:space="preserve"> institución privada de educación superior, organizada como una</w:t>
      </w:r>
      <w:r w:rsidRPr="00134EDD">
        <w:rPr>
          <w:rFonts w:ascii="Arial" w:eastAsia="Calibri" w:hAnsi="Arial" w:cs="Arial"/>
          <w:sz w:val="22"/>
          <w:lang w:val="es-ES"/>
        </w:rPr>
        <w:t xml:space="preserve"> asociación de utilidad común sin ánimo de lucro</w:t>
      </w:r>
      <w:r w:rsidRPr="00134EDD">
        <w:rPr>
          <w:rStyle w:val="Refdenotaalpie"/>
          <w:rFonts w:ascii="Arial" w:eastAsia="Calibri" w:hAnsi="Arial" w:cs="Arial"/>
          <w:sz w:val="22"/>
          <w:lang w:val="es-ES"/>
        </w:rPr>
        <w:footnoteReference w:id="17"/>
      </w:r>
      <w:r w:rsidR="00FA523E" w:rsidRPr="00134EDD">
        <w:rPr>
          <w:rFonts w:ascii="Arial" w:eastAsia="Calibri" w:hAnsi="Arial" w:cs="Arial"/>
          <w:sz w:val="22"/>
          <w:lang w:val="es-ES"/>
        </w:rPr>
        <w:t xml:space="preserve">, en principio, no </w:t>
      </w:r>
      <w:r w:rsidR="002971E5" w:rsidRPr="00134EDD">
        <w:rPr>
          <w:rFonts w:ascii="Arial" w:eastAsia="Calibri" w:hAnsi="Arial" w:cs="Arial"/>
          <w:sz w:val="22"/>
          <w:lang w:val="es-ES"/>
        </w:rPr>
        <w:t>encajaría</w:t>
      </w:r>
      <w:r w:rsidR="00FA523E" w:rsidRPr="00134EDD">
        <w:rPr>
          <w:rFonts w:ascii="Arial" w:eastAsia="Calibri" w:hAnsi="Arial" w:cs="Arial"/>
          <w:sz w:val="22"/>
          <w:lang w:val="es-ES"/>
        </w:rPr>
        <w:t xml:space="preserve"> en  el supuesto del literal a, ni en ninguno de los definidos en los otros literales del artículo 5 de la Ley 1712 de 2014, no s</w:t>
      </w:r>
      <w:r w:rsidR="00B95D94" w:rsidRPr="00134EDD">
        <w:rPr>
          <w:rFonts w:ascii="Arial" w:eastAsia="Calibri" w:hAnsi="Arial" w:cs="Arial"/>
          <w:sz w:val="22"/>
          <w:lang w:val="es-ES"/>
        </w:rPr>
        <w:t xml:space="preserve">iendo entonces </w:t>
      </w:r>
      <w:r w:rsidR="00FA523E" w:rsidRPr="00134EDD">
        <w:rPr>
          <w:rFonts w:ascii="Arial" w:eastAsia="Calibri" w:hAnsi="Arial" w:cs="Arial"/>
          <w:sz w:val="22"/>
          <w:lang w:val="es-ES"/>
        </w:rPr>
        <w:t xml:space="preserve">un </w:t>
      </w:r>
      <w:r w:rsidR="00FA523E" w:rsidRPr="00134EDD">
        <w:rPr>
          <w:rFonts w:ascii="Arial" w:eastAsia="Calibri" w:hAnsi="Arial" w:cs="Arial"/>
          <w:i/>
          <w:iCs/>
          <w:sz w:val="22"/>
          <w:lang w:val="es-ES"/>
        </w:rPr>
        <w:t>sujeto obligado</w:t>
      </w:r>
      <w:r w:rsidR="00FA523E" w:rsidRPr="00134EDD">
        <w:rPr>
          <w:rFonts w:ascii="Arial" w:eastAsia="Calibri" w:hAnsi="Arial" w:cs="Arial"/>
          <w:sz w:val="22"/>
          <w:lang w:val="es-ES"/>
        </w:rPr>
        <w:t xml:space="preserve">, por lo que no estaría obligada a publicar la información de su actividad contractual. </w:t>
      </w:r>
    </w:p>
    <w:p w14:paraId="6531321C" w14:textId="703ACC5B" w:rsidR="003E1ED3" w:rsidRPr="00134EDD" w:rsidRDefault="00FA523E" w:rsidP="00ED13B3">
      <w:pPr>
        <w:spacing w:before="120" w:after="120" w:line="276" w:lineRule="auto"/>
        <w:jc w:val="both"/>
        <w:rPr>
          <w:rFonts w:ascii="Arial" w:eastAsia="Calibri" w:hAnsi="Arial" w:cs="Arial"/>
          <w:sz w:val="22"/>
          <w:lang w:val="es-ES"/>
        </w:rPr>
      </w:pPr>
      <w:r w:rsidRPr="00134EDD">
        <w:rPr>
          <w:rFonts w:ascii="Arial" w:eastAsia="Calibri" w:hAnsi="Arial" w:cs="Arial"/>
          <w:sz w:val="22"/>
          <w:lang w:val="es-ES"/>
        </w:rPr>
        <w:tab/>
        <w:t xml:space="preserve">Sin embargo, el hecho de que a una institución privada de educación superior le sea asignada la ejecución de recursos del SGR, obliga nuevamente a revisar el artículo 5 </w:t>
      </w:r>
      <w:r w:rsidRPr="00134EDD">
        <w:rPr>
          <w:rFonts w:ascii="Arial" w:eastAsia="Calibri" w:hAnsi="Arial" w:cs="Arial"/>
          <w:i/>
          <w:iCs/>
          <w:sz w:val="22"/>
          <w:lang w:val="es-ES"/>
        </w:rPr>
        <w:t>Ib</w:t>
      </w:r>
      <w:r w:rsidR="00491AB9" w:rsidRPr="00134EDD">
        <w:rPr>
          <w:rFonts w:ascii="Arial" w:eastAsia="Calibri" w:hAnsi="Arial" w:cs="Arial"/>
          <w:i/>
          <w:iCs/>
          <w:sz w:val="22"/>
          <w:lang w:val="es-ES"/>
        </w:rPr>
        <w:t>í</w:t>
      </w:r>
      <w:r w:rsidRPr="00134EDD">
        <w:rPr>
          <w:rFonts w:ascii="Arial" w:eastAsia="Calibri" w:hAnsi="Arial" w:cs="Arial"/>
          <w:i/>
          <w:iCs/>
          <w:sz w:val="22"/>
          <w:lang w:val="es-ES"/>
        </w:rPr>
        <w:t>dem</w:t>
      </w:r>
      <w:r w:rsidRPr="00134EDD">
        <w:rPr>
          <w:rFonts w:ascii="Arial" w:eastAsia="Calibri" w:hAnsi="Arial" w:cs="Arial"/>
          <w:sz w:val="22"/>
          <w:lang w:val="es-ES"/>
        </w:rPr>
        <w:t xml:space="preserve">, </w:t>
      </w:r>
      <w:r w:rsidR="00491AB9" w:rsidRPr="00134EDD">
        <w:rPr>
          <w:rFonts w:ascii="Arial" w:eastAsia="Calibri" w:hAnsi="Arial" w:cs="Arial"/>
          <w:sz w:val="22"/>
          <w:lang w:val="es-ES"/>
        </w:rPr>
        <w:t>encontrando que tal circunstancia, si bien no encaja en lo establecido en los literales a, b, c, d, e, f y g, configura el supuesto de hecho del último inciso del artículo en comento, que</w:t>
      </w:r>
      <w:r w:rsidR="0040088E">
        <w:rPr>
          <w:rFonts w:ascii="Arial" w:eastAsia="Calibri" w:hAnsi="Arial" w:cs="Arial"/>
          <w:sz w:val="22"/>
          <w:lang w:val="es-ES"/>
        </w:rPr>
        <w:t>,</w:t>
      </w:r>
      <w:r w:rsidR="00491AB9" w:rsidRPr="00134EDD">
        <w:rPr>
          <w:rFonts w:ascii="Arial" w:eastAsia="Calibri" w:hAnsi="Arial" w:cs="Arial"/>
          <w:sz w:val="22"/>
          <w:lang w:val="es-ES"/>
        </w:rPr>
        <w:t xml:space="preserve"> mediante una f</w:t>
      </w:r>
      <w:r w:rsidR="0040088E">
        <w:rPr>
          <w:rFonts w:ascii="Arial" w:eastAsia="Calibri" w:hAnsi="Arial" w:cs="Arial"/>
          <w:sz w:val="22"/>
          <w:lang w:val="es-ES"/>
        </w:rPr>
        <w:t>ó</w:t>
      </w:r>
      <w:r w:rsidR="00491AB9" w:rsidRPr="00134EDD">
        <w:rPr>
          <w:rFonts w:ascii="Arial" w:eastAsia="Calibri" w:hAnsi="Arial" w:cs="Arial"/>
          <w:sz w:val="22"/>
          <w:lang w:val="es-ES"/>
        </w:rPr>
        <w:t xml:space="preserve">rmula residual hace </w:t>
      </w:r>
      <w:r w:rsidR="00491AB9" w:rsidRPr="00134EDD">
        <w:rPr>
          <w:rFonts w:ascii="Arial" w:eastAsia="Calibri" w:hAnsi="Arial" w:cs="Arial"/>
          <w:i/>
          <w:iCs/>
          <w:sz w:val="22"/>
          <w:lang w:val="es-ES"/>
        </w:rPr>
        <w:t>sujetos obligados</w:t>
      </w:r>
      <w:r w:rsidR="00491AB9" w:rsidRPr="00134EDD">
        <w:rPr>
          <w:rFonts w:ascii="Arial" w:eastAsia="Calibri" w:hAnsi="Arial" w:cs="Arial"/>
          <w:sz w:val="22"/>
          <w:lang w:val="es-ES"/>
        </w:rPr>
        <w:t xml:space="preserve"> de la normativa de la transparencia</w:t>
      </w:r>
      <w:r w:rsidR="00B95D94" w:rsidRPr="00134EDD">
        <w:rPr>
          <w:rFonts w:ascii="Arial" w:eastAsia="Calibri" w:hAnsi="Arial" w:cs="Arial"/>
          <w:sz w:val="22"/>
          <w:lang w:val="es-ES"/>
        </w:rPr>
        <w:t xml:space="preserve"> y acceso a la información pública</w:t>
      </w:r>
      <w:r w:rsidR="00491AB9" w:rsidRPr="00134EDD">
        <w:rPr>
          <w:rFonts w:ascii="Arial" w:eastAsia="Calibri" w:hAnsi="Arial" w:cs="Arial"/>
          <w:sz w:val="22"/>
          <w:lang w:val="es-ES"/>
        </w:rPr>
        <w:t xml:space="preserve">, a todas las personas naturales o jurídicas que reciban o intermedien fondos o beneficios públicos territoriales y nacionales, que no cumplan los requisitos establecidos en los literales. </w:t>
      </w:r>
    </w:p>
    <w:p w14:paraId="225B3B71" w14:textId="126A49CD" w:rsidR="00491AB9" w:rsidRPr="00134EDD" w:rsidRDefault="00491AB9" w:rsidP="0065090D">
      <w:pPr>
        <w:spacing w:before="120" w:after="120" w:line="276" w:lineRule="auto"/>
        <w:jc w:val="both"/>
        <w:rPr>
          <w:rFonts w:ascii="Arial" w:eastAsia="Calibri" w:hAnsi="Arial" w:cs="Arial"/>
          <w:sz w:val="22"/>
          <w:lang w:val="es-ES"/>
        </w:rPr>
      </w:pPr>
      <w:r w:rsidRPr="00134EDD">
        <w:rPr>
          <w:rFonts w:ascii="Arial" w:eastAsia="Calibri" w:hAnsi="Arial" w:cs="Arial"/>
          <w:sz w:val="22"/>
          <w:lang w:val="es-ES"/>
        </w:rPr>
        <w:tab/>
        <w:t xml:space="preserve">En ese orden, la situación puesta de presente en la consulta </w:t>
      </w:r>
      <w:r w:rsidR="0065090D" w:rsidRPr="00134EDD">
        <w:rPr>
          <w:rFonts w:ascii="Arial" w:eastAsia="Calibri" w:hAnsi="Arial" w:cs="Arial"/>
          <w:sz w:val="22"/>
          <w:lang w:val="es-ES"/>
        </w:rPr>
        <w:t xml:space="preserve">en la que un proyecto presentado por una persona jurídica de utilidad común, es favorecido con su escogencia por parte  del Órgano Colegiado de Administración y Decisión del Fondo de Ciencia, Tecnología e Innovación, proyecto en el marco del cual la referida persona jurídica de derecho privado ejecutará recursos del SGR, indudablemente constituye la recepción de un beneficio originado en recursos públicos del Fondo de Ciencia, Tecnología e </w:t>
      </w:r>
      <w:r w:rsidR="00F27C05" w:rsidRPr="00134EDD">
        <w:rPr>
          <w:rFonts w:ascii="Arial" w:eastAsia="Calibri" w:hAnsi="Arial" w:cs="Arial"/>
          <w:sz w:val="22"/>
          <w:lang w:val="es-ES"/>
        </w:rPr>
        <w:t xml:space="preserve">Innovación, que hacen que la entidad que los recibe sea un </w:t>
      </w:r>
      <w:r w:rsidR="00F27C05" w:rsidRPr="00134EDD">
        <w:rPr>
          <w:rFonts w:ascii="Arial" w:eastAsia="Calibri" w:hAnsi="Arial" w:cs="Arial"/>
          <w:i/>
          <w:iCs/>
          <w:sz w:val="22"/>
          <w:lang w:val="es-ES"/>
        </w:rPr>
        <w:t>sujeto obligado</w:t>
      </w:r>
      <w:r w:rsidR="00F27C05" w:rsidRPr="00134EDD">
        <w:rPr>
          <w:rFonts w:ascii="Arial" w:eastAsia="Calibri" w:hAnsi="Arial" w:cs="Arial"/>
          <w:sz w:val="22"/>
          <w:lang w:val="es-ES"/>
        </w:rPr>
        <w:t xml:space="preserve"> por la Ley 1712 de 2014, conforme al inciso final del artículo 5 de dicha norma. </w:t>
      </w:r>
    </w:p>
    <w:p w14:paraId="497A9740" w14:textId="6E3CD326" w:rsidR="00F27C05" w:rsidRPr="00134EDD" w:rsidRDefault="00F27C05" w:rsidP="0065090D">
      <w:pPr>
        <w:spacing w:before="120" w:after="120" w:line="276" w:lineRule="auto"/>
        <w:jc w:val="both"/>
        <w:rPr>
          <w:rFonts w:ascii="Arial" w:eastAsia="Calibri" w:hAnsi="Arial" w:cs="Arial"/>
          <w:sz w:val="22"/>
          <w:lang w:val="es-ES"/>
        </w:rPr>
      </w:pPr>
      <w:r w:rsidRPr="00134EDD">
        <w:rPr>
          <w:rFonts w:ascii="Arial" w:eastAsia="Calibri" w:hAnsi="Arial" w:cs="Arial"/>
          <w:sz w:val="22"/>
          <w:lang w:val="es-ES"/>
        </w:rPr>
        <w:tab/>
        <w:t xml:space="preserve">Conforme a esto, las </w:t>
      </w:r>
      <w:r w:rsidR="002971E5" w:rsidRPr="00134EDD">
        <w:rPr>
          <w:rFonts w:ascii="Arial" w:eastAsia="Calibri" w:hAnsi="Arial" w:cs="Arial"/>
          <w:sz w:val="22"/>
          <w:lang w:val="es-ES"/>
        </w:rPr>
        <w:t>instituciones</w:t>
      </w:r>
      <w:r w:rsidRPr="00134EDD">
        <w:rPr>
          <w:rFonts w:ascii="Arial" w:eastAsia="Calibri" w:hAnsi="Arial" w:cs="Arial"/>
          <w:sz w:val="22"/>
          <w:lang w:val="es-ES"/>
        </w:rPr>
        <w:t xml:space="preserve"> privadas de educación superior que sean beneficiarias de proyectos del SGR, son sujetos obligados en el marco de la normativa de la transparencia y acceso a la información pública, por lo que en virtud del literal g del </w:t>
      </w:r>
      <w:r w:rsidRPr="00134EDD">
        <w:rPr>
          <w:rFonts w:ascii="Arial" w:eastAsia="Calibri" w:hAnsi="Arial" w:cs="Arial"/>
          <w:sz w:val="22"/>
          <w:lang w:val="es-ES"/>
        </w:rPr>
        <w:lastRenderedPageBreak/>
        <w:t>artículo 11 de la Ley 1712 de 2014, así como por cuenta de los artículos 2.1.1.2.1.7, 2.1.1.2.1.8 y 2.1.1.2.1.9 del Decreto 1081 de 2015, deberán publicar en el SECOP</w:t>
      </w:r>
      <w:r w:rsidR="00B95D94" w:rsidRPr="00134EDD">
        <w:rPr>
          <w:rFonts w:ascii="Arial" w:eastAsia="Calibri" w:hAnsi="Arial" w:cs="Arial"/>
          <w:sz w:val="22"/>
          <w:lang w:val="es-ES"/>
        </w:rPr>
        <w:t xml:space="preserve"> I</w:t>
      </w:r>
      <w:r w:rsidRPr="00134EDD">
        <w:rPr>
          <w:rFonts w:ascii="Arial" w:eastAsia="Calibri" w:hAnsi="Arial" w:cs="Arial"/>
          <w:sz w:val="22"/>
          <w:lang w:val="es-ES"/>
        </w:rPr>
        <w:t xml:space="preserve"> </w:t>
      </w:r>
      <w:r w:rsidRPr="00134EDD">
        <w:rPr>
          <w:rFonts w:ascii="Arial" w:hAnsi="Arial" w:cs="Arial"/>
          <w:sz w:val="22"/>
          <w:lang w:val="es-ES"/>
        </w:rPr>
        <w:t>la documentación de los procesos de selección que adelante y en general información de su gestión contractual</w:t>
      </w:r>
      <w:r w:rsidRPr="00134EDD">
        <w:rPr>
          <w:rStyle w:val="Refdenotaalpie"/>
          <w:rFonts w:ascii="Arial" w:hAnsi="Arial" w:cs="Arial"/>
          <w:sz w:val="22"/>
          <w:lang w:val="es-ES"/>
        </w:rPr>
        <w:footnoteReference w:id="18"/>
      </w:r>
      <w:r w:rsidRPr="00134EDD">
        <w:rPr>
          <w:rFonts w:ascii="Arial" w:eastAsia="Calibri" w:hAnsi="Arial" w:cs="Arial"/>
          <w:sz w:val="22"/>
          <w:lang w:val="es-ES"/>
        </w:rPr>
        <w:t xml:space="preserve">.  Dicha documentación, conforme indica el inciso segundo del artículo 2.1.1.2.1.7, deberá ser publicada dentro del plazo previsto en el artículo 19 del Decreto 1510 de 2013, hoy compilado en el artículo </w:t>
      </w:r>
      <w:r w:rsidRPr="00134EDD">
        <w:rPr>
          <w:rFonts w:ascii="Arial" w:eastAsia="Arial" w:hAnsi="Arial" w:cs="Arial"/>
          <w:sz w:val="22"/>
          <w:lang w:val="es-ES"/>
        </w:rPr>
        <w:t xml:space="preserve">2.2.1.1.1.7.1. del Decreto 1082 de 2015, </w:t>
      </w:r>
      <w:r w:rsidR="00B7547A" w:rsidRPr="00134EDD">
        <w:rPr>
          <w:rFonts w:ascii="Arial" w:eastAsia="Arial" w:hAnsi="Arial" w:cs="Arial"/>
          <w:sz w:val="22"/>
          <w:lang w:val="es-ES"/>
        </w:rPr>
        <w:t xml:space="preserve">esto es, dentro de los tres (3) días </w:t>
      </w:r>
      <w:r w:rsidR="002971E5" w:rsidRPr="00134EDD">
        <w:rPr>
          <w:rFonts w:ascii="Arial" w:eastAsia="Arial" w:hAnsi="Arial" w:cs="Arial"/>
          <w:sz w:val="22"/>
          <w:lang w:val="es-ES"/>
        </w:rPr>
        <w:t>hábiles</w:t>
      </w:r>
      <w:r w:rsidR="00B7547A" w:rsidRPr="00134EDD">
        <w:rPr>
          <w:rFonts w:ascii="Arial" w:eastAsia="Arial" w:hAnsi="Arial" w:cs="Arial"/>
          <w:sz w:val="22"/>
          <w:lang w:val="es-ES"/>
        </w:rPr>
        <w:t xml:space="preserve"> siguientes a su expedición. </w:t>
      </w:r>
    </w:p>
    <w:p w14:paraId="6A9B4E26" w14:textId="20D96295" w:rsidR="009B7F9B" w:rsidRPr="00134EDD" w:rsidRDefault="00B7547A" w:rsidP="00A108E0">
      <w:pPr>
        <w:spacing w:before="120" w:line="276" w:lineRule="auto"/>
        <w:ind w:firstLine="708"/>
        <w:jc w:val="both"/>
        <w:rPr>
          <w:rStyle w:val="Textoennegrita"/>
          <w:rFonts w:ascii="Arial" w:hAnsi="Arial" w:cs="Arial"/>
          <w:b w:val="0"/>
          <w:bCs w:val="0"/>
          <w:sz w:val="22"/>
          <w:lang w:val="es-ES"/>
        </w:rPr>
      </w:pPr>
      <w:r w:rsidRPr="00134EDD">
        <w:rPr>
          <w:rFonts w:ascii="Arial" w:eastAsia="Calibri" w:hAnsi="Arial" w:cs="Arial"/>
          <w:sz w:val="22"/>
          <w:lang w:val="es-ES"/>
        </w:rPr>
        <w:t xml:space="preserve">Es importante destacar que, conforme indica el inciso final del artículo 5 de la Ley 1712 de 2014, la única documentación contractual que estarán obligadas a publicar estas instituciones será la relacionada con la ejecución de los recursos de origen público de los que se beneficien, es decir los provenientes del SGR, lo cual excluye la publicación de la documentación referente a la actividad contractual que realice con recursos de origen privado en el normal transcurso de sus negocios.   </w:t>
      </w:r>
    </w:p>
    <w:p w14:paraId="51FA0C59" w14:textId="77777777" w:rsidR="00A108E0" w:rsidRDefault="00A108E0" w:rsidP="009B7F9B">
      <w:pPr>
        <w:pStyle w:val="Prrafodelista"/>
        <w:tabs>
          <w:tab w:val="left" w:pos="284"/>
        </w:tabs>
        <w:spacing w:line="276" w:lineRule="auto"/>
        <w:ind w:left="0"/>
        <w:jc w:val="both"/>
        <w:rPr>
          <w:rFonts w:ascii="Arial" w:eastAsia="Calibri" w:hAnsi="Arial" w:cs="Arial"/>
          <w:b/>
          <w:sz w:val="22"/>
          <w:lang w:val="es-ES_tradnl"/>
        </w:rPr>
      </w:pPr>
    </w:p>
    <w:p w14:paraId="39997576" w14:textId="16A4F93B" w:rsidR="009B7F9B" w:rsidRPr="00134EDD" w:rsidRDefault="009B7F9B" w:rsidP="009B7F9B">
      <w:pPr>
        <w:pStyle w:val="Prrafodelista"/>
        <w:tabs>
          <w:tab w:val="left" w:pos="284"/>
        </w:tabs>
        <w:spacing w:line="276" w:lineRule="auto"/>
        <w:ind w:left="0"/>
        <w:jc w:val="both"/>
        <w:rPr>
          <w:rFonts w:ascii="Arial" w:eastAsia="Calibri" w:hAnsi="Arial" w:cs="Arial"/>
          <w:sz w:val="22"/>
          <w:lang w:val="es-ES_tradnl"/>
        </w:rPr>
      </w:pPr>
      <w:r w:rsidRPr="00134EDD">
        <w:rPr>
          <w:rFonts w:ascii="Arial" w:eastAsia="Calibri" w:hAnsi="Arial" w:cs="Arial"/>
          <w:b/>
          <w:sz w:val="22"/>
          <w:lang w:val="es-ES_tradnl"/>
        </w:rPr>
        <w:t>3. Respuesta</w:t>
      </w:r>
    </w:p>
    <w:p w14:paraId="4F3C0942" w14:textId="77777777" w:rsidR="009B7F9B" w:rsidRPr="00134EDD" w:rsidRDefault="009B7F9B" w:rsidP="009B7F9B">
      <w:pPr>
        <w:spacing w:line="276" w:lineRule="auto"/>
        <w:ind w:left="709" w:right="709"/>
        <w:jc w:val="both"/>
        <w:rPr>
          <w:rFonts w:ascii="Arial" w:eastAsia="Calibri" w:hAnsi="Arial" w:cs="Arial"/>
          <w:i/>
          <w:sz w:val="22"/>
          <w:lang w:val="es-ES_tradnl"/>
        </w:rPr>
      </w:pPr>
    </w:p>
    <w:p w14:paraId="198A96D5" w14:textId="256F9C6C" w:rsidR="00492D50" w:rsidRPr="00134EDD" w:rsidRDefault="00B7547A" w:rsidP="00923029">
      <w:pPr>
        <w:ind w:left="709" w:right="709"/>
        <w:jc w:val="both"/>
        <w:rPr>
          <w:rFonts w:ascii="Arial" w:hAnsi="Arial" w:cs="Arial"/>
          <w:sz w:val="21"/>
          <w:szCs w:val="21"/>
          <w:lang w:val="es-CO"/>
        </w:rPr>
      </w:pPr>
      <w:r w:rsidRPr="00134EDD">
        <w:rPr>
          <w:rFonts w:ascii="Arial" w:eastAsia="Calibri" w:hAnsi="Arial" w:cs="Arial"/>
          <w:sz w:val="21"/>
          <w:szCs w:val="21"/>
        </w:rPr>
        <w:t xml:space="preserve">«[…] </w:t>
      </w:r>
      <w:r w:rsidRPr="00134EDD">
        <w:rPr>
          <w:rFonts w:ascii="Arial" w:hAnsi="Arial" w:cs="Arial"/>
          <w:sz w:val="21"/>
          <w:szCs w:val="21"/>
          <w:lang w:val="es-CO"/>
        </w:rPr>
        <w:t>¿Siendo Unitrópico una institución de educación superior con autonomía universitaria de derecho privado, está obligada a publicar en el SECOP la actividad contractual que surja en ejecución del citado proyecto? […]».</w:t>
      </w:r>
    </w:p>
    <w:p w14:paraId="45D0923B" w14:textId="77777777" w:rsidR="00B7547A" w:rsidRPr="00134EDD" w:rsidRDefault="00B7547A" w:rsidP="00923029">
      <w:pPr>
        <w:ind w:left="709" w:right="709"/>
        <w:jc w:val="both"/>
        <w:rPr>
          <w:rFonts w:ascii="Arial" w:eastAsia="Calibri" w:hAnsi="Arial" w:cs="Arial"/>
          <w:sz w:val="21"/>
          <w:szCs w:val="21"/>
          <w:lang w:val="es-ES_tradnl"/>
        </w:rPr>
      </w:pPr>
    </w:p>
    <w:p w14:paraId="3D322EFC" w14:textId="1ABEBBAB" w:rsidR="00107E4D" w:rsidRPr="00134EDD" w:rsidRDefault="00B7547A" w:rsidP="005B3353">
      <w:pPr>
        <w:spacing w:after="120" w:line="276" w:lineRule="auto"/>
        <w:jc w:val="both"/>
        <w:rPr>
          <w:rFonts w:ascii="Arial" w:eastAsia="Calibri" w:hAnsi="Arial" w:cs="Arial"/>
          <w:sz w:val="22"/>
          <w:lang w:val="es-ES"/>
        </w:rPr>
      </w:pPr>
      <w:bookmarkStart w:id="21" w:name="_Hlk46841385"/>
      <w:r w:rsidRPr="00134EDD">
        <w:rPr>
          <w:rFonts w:ascii="Arial" w:eastAsia="Calibri" w:hAnsi="Arial" w:cs="Arial"/>
          <w:sz w:val="22"/>
          <w:lang w:val="es-ES"/>
        </w:rPr>
        <w:t>Las instituciones privadas de educación superior</w:t>
      </w:r>
      <w:r w:rsidR="009914AA">
        <w:rPr>
          <w:rFonts w:ascii="Arial" w:eastAsia="Calibri" w:hAnsi="Arial" w:cs="Arial"/>
          <w:sz w:val="22"/>
          <w:lang w:val="es-ES"/>
        </w:rPr>
        <w:t>,</w:t>
      </w:r>
      <w:r w:rsidRPr="00134EDD">
        <w:rPr>
          <w:rFonts w:ascii="Arial" w:eastAsia="Calibri" w:hAnsi="Arial" w:cs="Arial"/>
          <w:sz w:val="22"/>
          <w:lang w:val="es-ES"/>
        </w:rPr>
        <w:t xml:space="preserve"> al no ostentar la calidad entidades estatales, ni </w:t>
      </w:r>
      <w:r w:rsidR="005B3353" w:rsidRPr="00134EDD">
        <w:rPr>
          <w:rFonts w:ascii="Arial" w:eastAsia="Calibri" w:hAnsi="Arial" w:cs="Arial"/>
          <w:sz w:val="22"/>
          <w:lang w:val="es-ES"/>
        </w:rPr>
        <w:t xml:space="preserve">estar, en principio, definidas como sujetos obligados por la Ley 1712 de 2014, no </w:t>
      </w:r>
      <w:r w:rsidR="009914AA" w:rsidRPr="00134EDD">
        <w:rPr>
          <w:rFonts w:ascii="Arial" w:eastAsia="Calibri" w:hAnsi="Arial" w:cs="Arial"/>
          <w:sz w:val="22"/>
          <w:lang w:val="es-ES"/>
        </w:rPr>
        <w:t>están</w:t>
      </w:r>
      <w:r w:rsidR="005B3353" w:rsidRPr="00134EDD">
        <w:rPr>
          <w:rFonts w:ascii="Arial" w:eastAsia="Calibri" w:hAnsi="Arial" w:cs="Arial"/>
          <w:sz w:val="22"/>
          <w:lang w:val="es-ES"/>
        </w:rPr>
        <w:t xml:space="preserve"> </w:t>
      </w:r>
      <w:r w:rsidR="009914AA">
        <w:rPr>
          <w:rFonts w:ascii="Arial" w:eastAsia="Calibri" w:hAnsi="Arial" w:cs="Arial"/>
          <w:sz w:val="22"/>
          <w:lang w:val="es-ES"/>
        </w:rPr>
        <w:t xml:space="preserve">por regla general </w:t>
      </w:r>
      <w:r w:rsidR="005B3353" w:rsidRPr="00134EDD">
        <w:rPr>
          <w:rFonts w:ascii="Arial" w:eastAsia="Calibri" w:hAnsi="Arial" w:cs="Arial"/>
          <w:sz w:val="22"/>
          <w:lang w:val="es-ES"/>
        </w:rPr>
        <w:t xml:space="preserve">obligadas a publicar en el SECOP su actividad contractual. </w:t>
      </w:r>
    </w:p>
    <w:p w14:paraId="6D0C304C" w14:textId="2232454C" w:rsidR="005B3353" w:rsidRPr="00134EDD" w:rsidRDefault="005B3353" w:rsidP="00492D50">
      <w:pPr>
        <w:spacing w:line="276" w:lineRule="auto"/>
        <w:jc w:val="both"/>
        <w:rPr>
          <w:rFonts w:ascii="Arial" w:eastAsia="Calibri" w:hAnsi="Arial" w:cs="Arial"/>
          <w:sz w:val="22"/>
          <w:lang w:val="es-ES"/>
        </w:rPr>
      </w:pPr>
      <w:r w:rsidRPr="00134EDD">
        <w:rPr>
          <w:rFonts w:ascii="Arial" w:eastAsia="Calibri" w:hAnsi="Arial" w:cs="Arial"/>
          <w:sz w:val="22"/>
          <w:lang w:val="es-ES"/>
        </w:rPr>
        <w:tab/>
        <w:t xml:space="preserve">Sin embargo, al ser un proyecto presentado por una institución privada de educación superior seleccionado para la ejecución de recursos del SGR, dicha institución se convierte en un </w:t>
      </w:r>
      <w:r w:rsidRPr="00134EDD">
        <w:rPr>
          <w:rFonts w:ascii="Arial" w:eastAsia="Calibri" w:hAnsi="Arial" w:cs="Arial"/>
          <w:i/>
          <w:iCs/>
          <w:sz w:val="22"/>
          <w:lang w:val="es-ES"/>
        </w:rPr>
        <w:t>sujeto obligado</w:t>
      </w:r>
      <w:r w:rsidRPr="00134EDD">
        <w:rPr>
          <w:rFonts w:ascii="Arial" w:eastAsia="Calibri" w:hAnsi="Arial" w:cs="Arial"/>
          <w:sz w:val="22"/>
          <w:lang w:val="es-ES"/>
        </w:rPr>
        <w:t xml:space="preserve"> por la normativa de la transparencia y acceso a la información pública</w:t>
      </w:r>
      <w:r w:rsidR="009914AA">
        <w:rPr>
          <w:rFonts w:ascii="Arial" w:eastAsia="Calibri" w:hAnsi="Arial" w:cs="Arial"/>
          <w:sz w:val="22"/>
          <w:lang w:val="es-ES"/>
        </w:rPr>
        <w:t>,</w:t>
      </w:r>
      <w:r w:rsidRPr="00134EDD">
        <w:rPr>
          <w:rFonts w:ascii="Arial" w:eastAsia="Calibri" w:hAnsi="Arial" w:cs="Arial"/>
          <w:sz w:val="22"/>
          <w:lang w:val="es-ES"/>
        </w:rPr>
        <w:t xml:space="preserve"> en virtud del inciso final del artículo 5 de la Ley 1712 de 2014. </w:t>
      </w:r>
      <w:r w:rsidR="009914AA" w:rsidRPr="00134EDD">
        <w:rPr>
          <w:rFonts w:ascii="Arial" w:eastAsia="Calibri" w:hAnsi="Arial" w:cs="Arial"/>
          <w:sz w:val="22"/>
          <w:lang w:val="es-ES"/>
        </w:rPr>
        <w:t>Debido a</w:t>
      </w:r>
      <w:r w:rsidRPr="00134EDD">
        <w:rPr>
          <w:rFonts w:ascii="Arial" w:eastAsia="Calibri" w:hAnsi="Arial" w:cs="Arial"/>
          <w:sz w:val="22"/>
          <w:lang w:val="es-ES"/>
        </w:rPr>
        <w:t xml:space="preserve"> tal calidad, y de conformidad con los </w:t>
      </w:r>
      <w:r w:rsidR="002971E5" w:rsidRPr="00134EDD">
        <w:rPr>
          <w:rFonts w:ascii="Arial" w:eastAsia="Calibri" w:hAnsi="Arial" w:cs="Arial"/>
          <w:sz w:val="22"/>
          <w:lang w:val="es-ES"/>
        </w:rPr>
        <w:t>artículos</w:t>
      </w:r>
      <w:r w:rsidRPr="00134EDD">
        <w:rPr>
          <w:rFonts w:ascii="Arial" w:eastAsia="Calibri" w:hAnsi="Arial" w:cs="Arial"/>
          <w:sz w:val="22"/>
          <w:lang w:val="es-ES"/>
        </w:rPr>
        <w:t xml:space="preserve"> artículo 11 de la Ley 1712 de 2014, 2.1.1.2.1.7, 2.1.1.2.1.8 y 2.1.1.2.1.9 del Decreto 1081 de 2015, estará obligada a publicar en el SECOP I los </w:t>
      </w:r>
      <w:r w:rsidRPr="00134EDD">
        <w:rPr>
          <w:rFonts w:ascii="Arial" w:eastAsia="Calibri" w:hAnsi="Arial" w:cs="Arial"/>
          <w:sz w:val="22"/>
          <w:lang w:val="es-ES"/>
        </w:rPr>
        <w:lastRenderedPageBreak/>
        <w:t xml:space="preserve">procedimientos y la información de la gestión contractual relacionada con la ejecución de los recursos públicos de los que se beneficia. </w:t>
      </w:r>
    </w:p>
    <w:bookmarkEnd w:id="21"/>
    <w:p w14:paraId="20C6ACED" w14:textId="00E4B11B" w:rsidR="00E45206" w:rsidRDefault="00E45206" w:rsidP="009B7F9B">
      <w:pPr>
        <w:spacing w:line="276" w:lineRule="auto"/>
        <w:jc w:val="both"/>
        <w:rPr>
          <w:rFonts w:ascii="Arial" w:eastAsia="Calibri" w:hAnsi="Arial" w:cs="Arial"/>
          <w:sz w:val="22"/>
          <w:lang w:val="es-ES"/>
        </w:rPr>
      </w:pPr>
    </w:p>
    <w:p w14:paraId="75FDC6B6" w14:textId="77777777" w:rsidR="009B7F9B" w:rsidRPr="00134EDD" w:rsidRDefault="009B7F9B" w:rsidP="009B7F9B">
      <w:pPr>
        <w:spacing w:line="276" w:lineRule="auto"/>
        <w:jc w:val="both"/>
        <w:rPr>
          <w:rFonts w:ascii="Arial" w:eastAsia="Calibri" w:hAnsi="Arial" w:cs="Arial"/>
          <w:sz w:val="22"/>
        </w:rPr>
      </w:pPr>
      <w:r w:rsidRPr="00134EDD">
        <w:rPr>
          <w:rFonts w:ascii="Arial" w:eastAsia="Calibri" w:hAnsi="Arial" w:cs="Arial"/>
          <w:sz w:val="22"/>
        </w:rPr>
        <w:t>Este concepto tiene el alcance previsto en el artículo 28 del Código de Procedimiento Administrativo y de lo Contencioso Administrativo.</w:t>
      </w:r>
    </w:p>
    <w:p w14:paraId="23BD3479" w14:textId="75CF1306" w:rsidR="009B7F9B" w:rsidRPr="00134EDD" w:rsidRDefault="009B7F9B" w:rsidP="009B7F9B">
      <w:pPr>
        <w:spacing w:line="276" w:lineRule="auto"/>
        <w:jc w:val="both"/>
        <w:rPr>
          <w:rFonts w:ascii="Arial" w:eastAsia="Times New Roman" w:hAnsi="Arial" w:cs="Arial"/>
          <w:sz w:val="22"/>
          <w:lang w:eastAsia="es-CO"/>
        </w:rPr>
      </w:pPr>
      <w:r w:rsidRPr="00134EDD">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250FE17C" wp14:editId="2419C8E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9B6BEF"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134EDD" w:rsidRDefault="009B7F9B" w:rsidP="009B7F9B">
      <w:pPr>
        <w:spacing w:line="276" w:lineRule="auto"/>
        <w:jc w:val="both"/>
        <w:rPr>
          <w:rFonts w:ascii="Arial" w:hAnsi="Arial" w:cs="Arial"/>
          <w:sz w:val="22"/>
          <w:szCs w:val="20"/>
        </w:rPr>
      </w:pPr>
      <w:r w:rsidRPr="00134EDD">
        <w:rPr>
          <w:rFonts w:ascii="Arial" w:eastAsia="Times New Roman" w:hAnsi="Arial" w:cs="Arial"/>
          <w:sz w:val="22"/>
          <w:lang w:eastAsia="es-CO"/>
        </w:rPr>
        <w:t>Atentamente,</w:t>
      </w:r>
    </w:p>
    <w:p w14:paraId="07CEE023" w14:textId="4BB2E59B" w:rsidR="009B7F9B" w:rsidRPr="00134EDD" w:rsidRDefault="00D4289D" w:rsidP="009B7F9B">
      <w:pPr>
        <w:spacing w:after="18"/>
        <w:jc w:val="center"/>
        <w:rPr>
          <w:rFonts w:ascii="Arial" w:eastAsia="Times New Roman" w:hAnsi="Arial" w:cs="Arial"/>
          <w:sz w:val="18"/>
          <w:szCs w:val="20"/>
          <w:lang w:eastAsia="es-CO"/>
        </w:rPr>
      </w:pPr>
      <w:r>
        <w:rPr>
          <w:noProof/>
          <w:lang w:val="en-US"/>
        </w:rPr>
        <w:drawing>
          <wp:inline distT="0" distB="0" distL="0" distR="0" wp14:anchorId="291F39E9" wp14:editId="2DFD67E0">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F62D4D8" w14:textId="77777777" w:rsidR="009B7F9B" w:rsidRPr="00D4289D" w:rsidRDefault="009B7F9B" w:rsidP="009B7F9B">
      <w:pPr>
        <w:rPr>
          <w:rFonts w:ascii="Arial" w:hAnsi="Arial" w:cs="Arial"/>
          <w:sz w:val="16"/>
          <w:szCs w:val="16"/>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CF22D5" w:rsidRPr="00134EDD" w14:paraId="7AA6FB0A" w14:textId="77777777" w:rsidTr="00786D18">
        <w:trPr>
          <w:trHeight w:val="286"/>
        </w:trPr>
        <w:tc>
          <w:tcPr>
            <w:tcW w:w="817" w:type="dxa"/>
            <w:vAlign w:val="center"/>
          </w:tcPr>
          <w:p w14:paraId="1D8C3425" w14:textId="77777777"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26B92278" w14:textId="77777777"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Alejandro Sarmiento Cantillo</w:t>
            </w:r>
          </w:p>
          <w:p w14:paraId="276C23D2" w14:textId="396B2A71"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 xml:space="preserve">Contratista </w:t>
            </w:r>
            <w:r w:rsidR="009B52BF" w:rsidRPr="00134EDD">
              <w:rPr>
                <w:rFonts w:ascii="Arial" w:eastAsia="Times New Roman" w:hAnsi="Arial" w:cs="Arial"/>
                <w:sz w:val="14"/>
                <w:szCs w:val="14"/>
                <w:lang w:eastAsia="es-ES"/>
              </w:rPr>
              <w:t>de la</w:t>
            </w:r>
            <w:r w:rsidRPr="00134EDD">
              <w:rPr>
                <w:rFonts w:ascii="Arial" w:eastAsia="Times New Roman" w:hAnsi="Arial" w:cs="Arial"/>
                <w:sz w:val="14"/>
                <w:szCs w:val="14"/>
                <w:lang w:eastAsia="es-ES"/>
              </w:rPr>
              <w:t xml:space="preserve"> Subdirección de Gestión Contractual</w:t>
            </w:r>
          </w:p>
        </w:tc>
      </w:tr>
      <w:tr w:rsidR="00CF22D5" w:rsidRPr="00134EDD" w14:paraId="427093FF" w14:textId="77777777" w:rsidTr="00786D18">
        <w:trPr>
          <w:trHeight w:val="299"/>
        </w:trPr>
        <w:tc>
          <w:tcPr>
            <w:tcW w:w="817" w:type="dxa"/>
            <w:vAlign w:val="center"/>
          </w:tcPr>
          <w:p w14:paraId="72F9A0F8" w14:textId="77777777"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35FE6D10" w14:textId="7D993498" w:rsidR="009B7F9B" w:rsidRDefault="00EB4616" w:rsidP="00786D18">
            <w:pPr>
              <w:rPr>
                <w:rFonts w:ascii="Arial" w:eastAsia="Times New Roman" w:hAnsi="Arial" w:cs="Arial"/>
                <w:sz w:val="14"/>
                <w:szCs w:val="14"/>
                <w:lang w:eastAsia="es-ES"/>
              </w:rPr>
            </w:pPr>
            <w:r>
              <w:rPr>
                <w:rFonts w:ascii="Arial" w:eastAsia="Times New Roman" w:hAnsi="Arial" w:cs="Arial"/>
                <w:sz w:val="14"/>
                <w:szCs w:val="14"/>
                <w:lang w:eastAsia="es-ES"/>
              </w:rPr>
              <w:t>Cristian Andrés Díaz Díez</w:t>
            </w:r>
          </w:p>
          <w:p w14:paraId="60C00AF0" w14:textId="5BDABBCA" w:rsidR="00EB4616" w:rsidRPr="00134EDD" w:rsidRDefault="00EB4616" w:rsidP="00786D18">
            <w:pPr>
              <w:rPr>
                <w:rFonts w:ascii="Arial" w:eastAsia="Times New Roman" w:hAnsi="Arial" w:cs="Arial"/>
                <w:sz w:val="14"/>
                <w:szCs w:val="14"/>
                <w:lang w:eastAsia="es-ES"/>
              </w:rPr>
            </w:pPr>
            <w:r>
              <w:rPr>
                <w:rFonts w:ascii="Arial" w:eastAsia="Times New Roman" w:hAnsi="Arial" w:cs="Arial"/>
                <w:sz w:val="14"/>
                <w:szCs w:val="14"/>
                <w:lang w:eastAsia="es-ES"/>
              </w:rPr>
              <w:t>Contratista, Subdirección de Gestión Contractual</w:t>
            </w:r>
          </w:p>
        </w:tc>
      </w:tr>
      <w:tr w:rsidR="00CF22D5" w:rsidRPr="00134EDD" w14:paraId="0D3F12A6" w14:textId="77777777" w:rsidTr="00786D18">
        <w:trPr>
          <w:trHeight w:val="272"/>
        </w:trPr>
        <w:tc>
          <w:tcPr>
            <w:tcW w:w="817" w:type="dxa"/>
            <w:vAlign w:val="center"/>
          </w:tcPr>
          <w:p w14:paraId="73EA6C4F" w14:textId="77777777"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34A0844" w14:textId="77777777"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Fabián Gonzalo Marín Cortés</w:t>
            </w:r>
          </w:p>
          <w:p w14:paraId="4A2BCC07" w14:textId="77777777" w:rsidR="009B7F9B" w:rsidRPr="00134EDD" w:rsidRDefault="009B7F9B" w:rsidP="00786D18">
            <w:pPr>
              <w:rPr>
                <w:rFonts w:ascii="Arial" w:eastAsia="Times New Roman" w:hAnsi="Arial" w:cs="Arial"/>
                <w:sz w:val="14"/>
                <w:szCs w:val="14"/>
                <w:lang w:eastAsia="es-ES"/>
              </w:rPr>
            </w:pPr>
            <w:r w:rsidRPr="00134EDD">
              <w:rPr>
                <w:rFonts w:ascii="Arial" w:eastAsia="Times New Roman" w:hAnsi="Arial" w:cs="Arial"/>
                <w:sz w:val="14"/>
                <w:szCs w:val="14"/>
                <w:lang w:eastAsia="es-ES"/>
              </w:rPr>
              <w:t>Subdirector de Gestión Contractual</w:t>
            </w:r>
          </w:p>
        </w:tc>
      </w:tr>
      <w:bookmarkEnd w:id="2"/>
      <w:bookmarkEnd w:id="3"/>
    </w:tbl>
    <w:p w14:paraId="47BB1636" w14:textId="77777777" w:rsidR="009B7F9B" w:rsidRPr="00134EDD" w:rsidRDefault="009B7F9B" w:rsidP="009B7F9B">
      <w:pPr>
        <w:rPr>
          <w:rFonts w:ascii="Arial" w:hAnsi="Arial" w:cs="Arial"/>
        </w:rPr>
      </w:pPr>
    </w:p>
    <w:bookmarkEnd w:id="4"/>
    <w:p w14:paraId="35B56F46" w14:textId="644DEC1B" w:rsidR="00746E08" w:rsidRDefault="00746E08" w:rsidP="00746E08">
      <w:pPr>
        <w:rPr>
          <w:rFonts w:ascii="Arial" w:eastAsia="Times New Roman" w:hAnsi="Arial" w:cs="Arial"/>
          <w:sz w:val="16"/>
          <w:szCs w:val="16"/>
          <w:lang w:eastAsia="es-ES"/>
        </w:rPr>
      </w:pPr>
    </w:p>
    <w:p w14:paraId="1C67AED6" w14:textId="77777777" w:rsidR="00134EDD" w:rsidRPr="00134EDD" w:rsidRDefault="00134EDD" w:rsidP="00746E08">
      <w:pPr>
        <w:rPr>
          <w:rFonts w:ascii="Arial" w:eastAsia="Times New Roman" w:hAnsi="Arial" w:cs="Arial"/>
          <w:sz w:val="16"/>
          <w:szCs w:val="16"/>
          <w:lang w:eastAsia="es-ES"/>
        </w:rPr>
      </w:pPr>
    </w:p>
    <w:sectPr w:rsidR="00134EDD" w:rsidRPr="00134EDD"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F032A" w14:textId="77777777" w:rsidR="005276DE" w:rsidRDefault="005276DE">
      <w:r>
        <w:separator/>
      </w:r>
    </w:p>
  </w:endnote>
  <w:endnote w:type="continuationSeparator" w:id="0">
    <w:p w14:paraId="505042B8" w14:textId="77777777" w:rsidR="005276DE" w:rsidRDefault="0052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3CB14C70" w:rsidR="00134EDD" w:rsidRDefault="00134EDD" w:rsidP="00322937">
    <w:pPr>
      <w:pStyle w:val="Sinespaciado"/>
      <w:jc w:val="right"/>
      <w:rPr>
        <w:rFonts w:ascii="Arial" w:hAnsi="Arial" w:cs="Arial"/>
        <w:sz w:val="18"/>
        <w:szCs w:val="18"/>
      </w:rPr>
    </w:pPr>
  </w:p>
  <w:p w14:paraId="7A3785F3" w14:textId="6C4D9CFA" w:rsidR="00134EDD" w:rsidRPr="00E15059" w:rsidRDefault="00134EDD"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00B25BBC">
      <w:rPr>
        <w:rFonts w:ascii="Arial" w:hAnsi="Arial" w:cs="Arial"/>
        <w:b/>
        <w:bCs/>
        <w:noProof/>
        <w:color w:val="7F7F7F"/>
        <w:sz w:val="16"/>
        <w:szCs w:val="16"/>
      </w:rPr>
      <w:t>3</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00B25BBC">
      <w:rPr>
        <w:rFonts w:ascii="Arial" w:hAnsi="Arial" w:cs="Arial"/>
        <w:b/>
        <w:bCs/>
        <w:noProof/>
        <w:color w:val="7F7F7F"/>
        <w:sz w:val="16"/>
        <w:szCs w:val="16"/>
      </w:rPr>
      <w:t>17</w:t>
    </w:r>
    <w:r w:rsidRPr="00E15059">
      <w:rPr>
        <w:rFonts w:ascii="Arial" w:hAnsi="Arial" w:cs="Arial"/>
        <w:b/>
        <w:bCs/>
        <w:color w:val="7F7F7F"/>
        <w:sz w:val="16"/>
        <w:szCs w:val="16"/>
      </w:rPr>
      <w:fldChar w:fldCharType="end"/>
    </w:r>
  </w:p>
  <w:p w14:paraId="48FC6A04" w14:textId="5FD1A7C9" w:rsidR="00134EDD" w:rsidRDefault="00134ED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34EDD" w:rsidRDefault="00134EDD" w:rsidP="007B0854">
    <w:pPr>
      <w:pStyle w:val="Piedepgina"/>
      <w:jc w:val="center"/>
      <w:rPr>
        <w:lang w:val="es-ES"/>
      </w:rPr>
    </w:pPr>
  </w:p>
  <w:p w14:paraId="6C0EFC49" w14:textId="77777777" w:rsidR="00134EDD" w:rsidRPr="007B0854" w:rsidRDefault="00134EDD" w:rsidP="007B0854">
    <w:pPr>
      <w:pStyle w:val="Piedepgina"/>
      <w:jc w:val="center"/>
      <w:rPr>
        <w:lang w:val="es-ES"/>
      </w:rPr>
    </w:pPr>
  </w:p>
  <w:p w14:paraId="7DC37BF5" w14:textId="77777777" w:rsidR="00134EDD" w:rsidRDefault="00134E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3E89" w14:textId="77777777" w:rsidR="005276DE" w:rsidRDefault="005276DE">
      <w:r>
        <w:separator/>
      </w:r>
    </w:p>
  </w:footnote>
  <w:footnote w:type="continuationSeparator" w:id="0">
    <w:p w14:paraId="27F6D4B3" w14:textId="77777777" w:rsidR="005276DE" w:rsidRDefault="005276DE">
      <w:r>
        <w:continuationSeparator/>
      </w:r>
    </w:p>
  </w:footnote>
  <w:footnote w:id="1">
    <w:p w14:paraId="23878AF8" w14:textId="77777777" w:rsidR="00A108E0" w:rsidRPr="00F508CA" w:rsidRDefault="00A108E0" w:rsidP="00F508CA">
      <w:pPr>
        <w:pStyle w:val="Textonotapie"/>
        <w:ind w:firstLine="708"/>
        <w:jc w:val="both"/>
        <w:rPr>
          <w:rFonts w:ascii="Arial" w:hAnsi="Arial" w:cs="Arial"/>
          <w:color w:val="000000" w:themeColor="text1"/>
          <w:sz w:val="19"/>
          <w:szCs w:val="19"/>
        </w:rPr>
      </w:pPr>
      <w:r w:rsidRPr="00F508CA">
        <w:rPr>
          <w:rStyle w:val="Refdenotaalpie"/>
          <w:rFonts w:ascii="Arial" w:hAnsi="Arial" w:cs="Arial"/>
          <w:color w:val="000000" w:themeColor="text1"/>
          <w:sz w:val="19"/>
          <w:szCs w:val="19"/>
        </w:rPr>
        <w:footnoteRef/>
      </w:r>
      <w:r w:rsidRPr="00F508CA">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21EB09D6" w14:textId="77777777" w:rsidR="00A108E0" w:rsidRPr="00F508CA" w:rsidRDefault="00A108E0" w:rsidP="00F508CA">
      <w:pPr>
        <w:pStyle w:val="Textonotapie"/>
        <w:ind w:firstLine="708"/>
        <w:jc w:val="both"/>
        <w:rPr>
          <w:rFonts w:ascii="Arial" w:hAnsi="Arial" w:cs="Arial"/>
          <w:color w:val="000000" w:themeColor="text1"/>
          <w:sz w:val="19"/>
          <w:szCs w:val="19"/>
          <w:lang w:val="es-ES"/>
        </w:rPr>
      </w:pPr>
      <w:r w:rsidRPr="00F508CA">
        <w:rPr>
          <w:rFonts w:ascii="Arial" w:hAnsi="Arial" w:cs="Arial"/>
          <w:color w:val="000000" w:themeColor="text1"/>
          <w:sz w:val="19"/>
          <w:szCs w:val="19"/>
          <w:lang w:val="es-ES"/>
        </w:rPr>
        <w:t xml:space="preserve">[...] </w:t>
      </w:r>
    </w:p>
    <w:p w14:paraId="50E523FE" w14:textId="77777777" w:rsidR="00A108E0" w:rsidRPr="00F508CA" w:rsidRDefault="00A108E0" w:rsidP="00F508CA">
      <w:pPr>
        <w:pStyle w:val="Textonotapie"/>
        <w:ind w:firstLine="708"/>
        <w:jc w:val="both"/>
        <w:rPr>
          <w:rFonts w:ascii="Arial" w:hAnsi="Arial" w:cs="Arial"/>
          <w:color w:val="000000" w:themeColor="text1"/>
          <w:sz w:val="19"/>
          <w:szCs w:val="19"/>
          <w:lang w:val="es-ES"/>
        </w:rPr>
      </w:pPr>
      <w:r w:rsidRPr="00F508CA">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14:paraId="01A2AB88" w14:textId="77777777" w:rsidR="00A108E0" w:rsidRPr="00F508CA" w:rsidRDefault="00A108E0" w:rsidP="00F508CA">
      <w:pPr>
        <w:pStyle w:val="Textonotapie"/>
        <w:ind w:firstLine="708"/>
        <w:jc w:val="both"/>
        <w:rPr>
          <w:rFonts w:ascii="Arial" w:hAnsi="Arial" w:cs="Arial"/>
          <w:color w:val="000000" w:themeColor="text1"/>
          <w:sz w:val="19"/>
          <w:szCs w:val="19"/>
          <w:lang w:val="es-ES"/>
        </w:rPr>
      </w:pPr>
      <w:r w:rsidRPr="00F508CA">
        <w:rPr>
          <w:rFonts w:ascii="Arial" w:hAnsi="Arial" w:cs="Arial"/>
          <w:color w:val="000000" w:themeColor="text1"/>
          <w:sz w:val="19"/>
          <w:szCs w:val="19"/>
          <w:lang w:val="es-ES"/>
        </w:rPr>
        <w:t>[..]</w:t>
      </w:r>
    </w:p>
    <w:p w14:paraId="589B353B" w14:textId="77777777" w:rsidR="00A108E0" w:rsidRPr="00F508CA" w:rsidRDefault="00A108E0" w:rsidP="00F508CA">
      <w:pPr>
        <w:pStyle w:val="Textonotapie"/>
        <w:ind w:firstLine="708"/>
        <w:jc w:val="both"/>
        <w:rPr>
          <w:rFonts w:ascii="Arial" w:hAnsi="Arial" w:cs="Arial"/>
          <w:color w:val="000000" w:themeColor="text1"/>
          <w:sz w:val="19"/>
          <w:szCs w:val="19"/>
          <w:lang w:val="es-ES"/>
        </w:rPr>
      </w:pPr>
      <w:r w:rsidRPr="00F508CA">
        <w:rPr>
          <w:rFonts w:ascii="Arial" w:eastAsia="Times New Roman" w:hAnsi="Arial" w:cs="Arial"/>
          <w:color w:val="000000" w:themeColor="text1"/>
          <w:sz w:val="19"/>
          <w:szCs w:val="19"/>
          <w:lang w:val="es-CO" w:eastAsia="es-ES_tradnl"/>
        </w:rPr>
        <w:t>»</w:t>
      </w:r>
      <w:r w:rsidRPr="00F508CA">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5555F472" w14:textId="77777777" w:rsidR="00A108E0" w:rsidRPr="00F508CA" w:rsidRDefault="00A108E0" w:rsidP="00F508CA">
      <w:pPr>
        <w:pStyle w:val="Textonotapie"/>
        <w:ind w:firstLine="708"/>
        <w:jc w:val="both"/>
        <w:rPr>
          <w:rFonts w:ascii="Arial" w:hAnsi="Arial" w:cs="Arial"/>
          <w:color w:val="000000" w:themeColor="text1"/>
          <w:sz w:val="19"/>
          <w:szCs w:val="19"/>
          <w:lang w:val="es-ES"/>
        </w:rPr>
      </w:pPr>
      <w:r w:rsidRPr="00F508CA">
        <w:rPr>
          <w:rFonts w:ascii="Arial" w:hAnsi="Arial" w:cs="Arial"/>
          <w:color w:val="000000" w:themeColor="text1"/>
          <w:sz w:val="19"/>
          <w:szCs w:val="19"/>
          <w:lang w:val="es-ES"/>
        </w:rPr>
        <w:t xml:space="preserve">[...] </w:t>
      </w:r>
    </w:p>
    <w:p w14:paraId="5D8FA0D0" w14:textId="77777777" w:rsidR="00A108E0" w:rsidRPr="00F508CA" w:rsidRDefault="00A108E0" w:rsidP="00F508CA">
      <w:pPr>
        <w:pStyle w:val="Textonotapie"/>
        <w:ind w:firstLine="708"/>
        <w:jc w:val="both"/>
        <w:rPr>
          <w:rFonts w:ascii="Arial" w:hAnsi="Arial" w:cs="Arial"/>
          <w:color w:val="000000" w:themeColor="text1"/>
          <w:sz w:val="19"/>
          <w:szCs w:val="19"/>
          <w:lang w:val="es-ES"/>
        </w:rPr>
      </w:pPr>
      <w:r w:rsidRPr="00F508CA">
        <w:rPr>
          <w:rFonts w:ascii="Arial" w:eastAsia="Times New Roman" w:hAnsi="Arial" w:cs="Arial"/>
          <w:color w:val="000000" w:themeColor="text1"/>
          <w:sz w:val="19"/>
          <w:szCs w:val="19"/>
          <w:lang w:val="es-CO" w:eastAsia="es-ES_tradnl"/>
        </w:rPr>
        <w:t>»</w:t>
      </w:r>
      <w:r w:rsidRPr="00F508CA">
        <w:rPr>
          <w:rFonts w:ascii="Arial" w:hAnsi="Arial" w:cs="Arial"/>
          <w:color w:val="000000" w:themeColor="text1"/>
          <w:sz w:val="19"/>
          <w:szCs w:val="19"/>
          <w:lang w:val="es-ES"/>
        </w:rPr>
        <w:t xml:space="preserve">8. Absolver consultas sobre la aplicación de normas de carácter general». </w:t>
      </w:r>
    </w:p>
  </w:footnote>
  <w:footnote w:id="2">
    <w:p w14:paraId="72F54751" w14:textId="77777777" w:rsidR="00A108E0" w:rsidRPr="00F508CA" w:rsidRDefault="00A108E0" w:rsidP="00F508CA">
      <w:pPr>
        <w:pStyle w:val="Textonotapie"/>
        <w:ind w:firstLine="708"/>
        <w:jc w:val="both"/>
        <w:rPr>
          <w:rFonts w:ascii="Arial" w:hAnsi="Arial" w:cs="Arial"/>
          <w:sz w:val="19"/>
          <w:szCs w:val="19"/>
          <w:shd w:val="clear" w:color="auto" w:fill="FFFFFF"/>
        </w:rPr>
      </w:pPr>
      <w:r w:rsidRPr="00F508CA">
        <w:rPr>
          <w:rStyle w:val="Refdenotaalpie"/>
          <w:rFonts w:ascii="Arial" w:hAnsi="Arial" w:cs="Arial"/>
          <w:sz w:val="19"/>
          <w:szCs w:val="19"/>
        </w:rPr>
        <w:footnoteRef/>
      </w:r>
      <w:r w:rsidRPr="00F508CA">
        <w:rPr>
          <w:rFonts w:ascii="Arial" w:hAnsi="Arial" w:cs="Arial"/>
          <w:sz w:val="19"/>
          <w:szCs w:val="19"/>
        </w:rPr>
        <w:t xml:space="preserve"> Al respecto, la Corte indicó:</w:t>
      </w:r>
      <w:bookmarkStart w:id="10" w:name="_Hlk46840252"/>
      <w:r w:rsidRPr="00F508CA">
        <w:rPr>
          <w:rFonts w:ascii="Arial" w:hAnsi="Arial" w:cs="Arial"/>
          <w:sz w:val="19"/>
          <w:szCs w:val="19"/>
        </w:rPr>
        <w:t xml:space="preserve"> «</w:t>
      </w:r>
      <w:r w:rsidRPr="00F508CA">
        <w:rPr>
          <w:rFonts w:ascii="Arial" w:hAnsi="Arial" w:cs="Arial"/>
          <w:sz w:val="19"/>
          <w:szCs w:val="19"/>
          <w:shd w:val="clear" w:color="auto" w:fill="FFFFFF"/>
        </w:rPr>
        <w:t>Las regalías son comprendidas por el derecho constitucional como una </w:t>
      </w:r>
      <w:r w:rsidRPr="00F508CA">
        <w:rPr>
          <w:rFonts w:ascii="Arial" w:hAnsi="Arial" w:cs="Arial"/>
          <w:i/>
          <w:iCs/>
          <w:sz w:val="19"/>
          <w:szCs w:val="19"/>
          <w:shd w:val="clear" w:color="auto" w:fill="FFFFFF"/>
        </w:rPr>
        <w:t>contraprestación económica </w:t>
      </w:r>
      <w:r w:rsidRPr="00F508CA">
        <w:rPr>
          <w:rFonts w:ascii="Arial" w:hAnsi="Arial" w:cs="Arial"/>
          <w:sz w:val="19"/>
          <w:szCs w:val="19"/>
          <w:shd w:val="clear" w:color="auto" w:fill="FFFFFF"/>
        </w:rPr>
        <w:t>que recibe el Estado, en razón de la extracción de recursos naturales no renovables existentes en el subsuelo.  Como lo ha explicado la jurisprudencia reiterada, este concepto refiere a la </w:t>
      </w:r>
      <w:r w:rsidRPr="00F508CA">
        <w:rPr>
          <w:rFonts w:ascii="Arial" w:hAnsi="Arial" w:cs="Arial"/>
          <w:i/>
          <w:iCs/>
          <w:sz w:val="19"/>
          <w:szCs w:val="19"/>
          <w:shd w:val="clear" w:color="auto" w:fill="FFFFFF"/>
        </w:rPr>
        <w:t>“c</w:t>
      </w:r>
      <w:r w:rsidRPr="00F508CA">
        <w:rPr>
          <w:rFonts w:ascii="Arial" w:hAnsi="Arial" w:cs="Arial"/>
          <w:i/>
          <w:iCs/>
          <w:spacing w:val="-3"/>
          <w:sz w:val="19"/>
          <w:szCs w:val="19"/>
          <w:shd w:val="clear" w:color="auto" w:fill="FFFFFF"/>
        </w:rPr>
        <w:t>ontraprestación económica que percibe el Estado de las personas a quienes se les concede el derecho a explotar los recursos naturales no renovables en determinado porcentaje sobre el producto bruto explotado </w:t>
      </w:r>
      <w:bookmarkStart w:id="11" w:name="_ftnref51"/>
      <w:bookmarkEnd w:id="10"/>
      <w:r w:rsidRPr="00F508CA">
        <w:rPr>
          <w:rFonts w:ascii="Arial" w:hAnsi="Arial" w:cs="Arial"/>
          <w:sz w:val="19"/>
          <w:szCs w:val="19"/>
        </w:rPr>
        <w:fldChar w:fldCharType="begin"/>
      </w:r>
      <w:r w:rsidRPr="00F508CA">
        <w:rPr>
          <w:rFonts w:ascii="Arial" w:hAnsi="Arial" w:cs="Arial"/>
          <w:sz w:val="19"/>
          <w:szCs w:val="19"/>
        </w:rPr>
        <w:instrText xml:space="preserve"> HYPERLINK "https://www.corteconstitucional.gov.co/RELATORIA/2013/C-010-13.htm" \l "_ftn51" \o "" </w:instrText>
      </w:r>
      <w:r w:rsidRPr="00F508CA">
        <w:rPr>
          <w:rFonts w:ascii="Arial" w:hAnsi="Arial" w:cs="Arial"/>
          <w:sz w:val="19"/>
          <w:szCs w:val="19"/>
        </w:rPr>
        <w:fldChar w:fldCharType="separate"/>
      </w:r>
      <w:r w:rsidRPr="00F508CA">
        <w:rPr>
          <w:rStyle w:val="Hipervnculo"/>
          <w:rFonts w:ascii="Arial" w:hAnsi="Arial" w:cs="Arial"/>
          <w:b/>
          <w:bCs/>
          <w:i/>
          <w:iCs/>
          <w:color w:val="auto"/>
          <w:sz w:val="19"/>
          <w:szCs w:val="19"/>
          <w:shd w:val="clear" w:color="auto" w:fill="FFFFFF"/>
          <w:vertAlign w:val="superscript"/>
        </w:rPr>
        <w:t>[51]</w:t>
      </w:r>
      <w:r w:rsidRPr="00F508CA">
        <w:rPr>
          <w:rFonts w:ascii="Arial" w:hAnsi="Arial" w:cs="Arial"/>
          <w:sz w:val="19"/>
          <w:szCs w:val="19"/>
        </w:rPr>
        <w:fldChar w:fldCharType="end"/>
      </w:r>
      <w:bookmarkEnd w:id="11"/>
      <w:r w:rsidRPr="00F508CA">
        <w:rPr>
          <w:rFonts w:ascii="Arial" w:hAnsi="Arial" w:cs="Arial"/>
          <w:i/>
          <w:iCs/>
          <w:spacing w:val="-3"/>
          <w:sz w:val="19"/>
          <w:szCs w:val="19"/>
          <w:shd w:val="clear" w:color="auto" w:fill="FFFFFF"/>
        </w:rPr>
        <w:t>”</w:t>
      </w:r>
      <w:bookmarkStart w:id="12" w:name="_ftnref52"/>
      <w:r w:rsidRPr="00F508CA">
        <w:rPr>
          <w:rFonts w:ascii="Arial" w:hAnsi="Arial" w:cs="Arial"/>
          <w:i/>
          <w:iCs/>
          <w:spacing w:val="-3"/>
          <w:sz w:val="19"/>
          <w:szCs w:val="19"/>
          <w:shd w:val="clear" w:color="auto" w:fill="FFFFFF"/>
        </w:rPr>
        <w:fldChar w:fldCharType="begin"/>
      </w:r>
      <w:r w:rsidRPr="00F508CA">
        <w:rPr>
          <w:rFonts w:ascii="Arial" w:hAnsi="Arial" w:cs="Arial"/>
          <w:i/>
          <w:iCs/>
          <w:spacing w:val="-3"/>
          <w:sz w:val="19"/>
          <w:szCs w:val="19"/>
          <w:shd w:val="clear" w:color="auto" w:fill="FFFFFF"/>
        </w:rPr>
        <w:instrText xml:space="preserve"> HYPERLINK "https://www.corteconstitucional.gov.co/RELATORIA/2013/C-010-13.htm" \l "_ftn52" \o "" </w:instrText>
      </w:r>
      <w:r w:rsidRPr="00F508CA">
        <w:rPr>
          <w:rFonts w:ascii="Arial" w:hAnsi="Arial" w:cs="Arial"/>
          <w:i/>
          <w:iCs/>
          <w:spacing w:val="-3"/>
          <w:sz w:val="19"/>
          <w:szCs w:val="19"/>
          <w:shd w:val="clear" w:color="auto" w:fill="FFFFFF"/>
        </w:rPr>
        <w:fldChar w:fldCharType="separate"/>
      </w:r>
      <w:r w:rsidRPr="00F508CA">
        <w:rPr>
          <w:rStyle w:val="Hipervnculo"/>
          <w:rFonts w:ascii="Arial" w:hAnsi="Arial" w:cs="Arial"/>
          <w:b/>
          <w:bCs/>
          <w:i/>
          <w:iCs/>
          <w:color w:val="auto"/>
          <w:spacing w:val="-3"/>
          <w:sz w:val="19"/>
          <w:szCs w:val="19"/>
          <w:vertAlign w:val="superscript"/>
        </w:rPr>
        <w:t>[52]</w:t>
      </w:r>
      <w:r w:rsidRPr="00F508CA">
        <w:rPr>
          <w:rFonts w:ascii="Arial" w:hAnsi="Arial" w:cs="Arial"/>
          <w:i/>
          <w:iCs/>
          <w:spacing w:val="-3"/>
          <w:sz w:val="19"/>
          <w:szCs w:val="19"/>
          <w:shd w:val="clear" w:color="auto" w:fill="FFFFFF"/>
        </w:rPr>
        <w:fldChar w:fldCharType="end"/>
      </w:r>
      <w:bookmarkEnd w:id="12"/>
      <w:r w:rsidRPr="00F508CA">
        <w:rPr>
          <w:rFonts w:ascii="Arial" w:hAnsi="Arial" w:cs="Arial"/>
          <w:spacing w:val="-3"/>
          <w:sz w:val="19"/>
          <w:szCs w:val="19"/>
          <w:shd w:val="clear" w:color="auto" w:fill="FFFFFF"/>
        </w:rPr>
        <w:t>  A su vez, de acuerdo con el mismo precedente, en lo que respecta al derecho a las compensaciones, este </w:t>
      </w:r>
      <w:r w:rsidRPr="00F508CA">
        <w:rPr>
          <w:rFonts w:ascii="Arial" w:hAnsi="Arial" w:cs="Arial"/>
          <w:sz w:val="19"/>
          <w:szCs w:val="19"/>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7379107B" w14:textId="46BDF020" w:rsidR="00A108E0" w:rsidRPr="00F508CA" w:rsidRDefault="00A108E0" w:rsidP="00F508CA">
      <w:pPr>
        <w:pStyle w:val="Textonotapie"/>
        <w:ind w:firstLine="708"/>
        <w:jc w:val="both"/>
        <w:rPr>
          <w:rFonts w:ascii="Arial" w:hAnsi="Arial" w:cs="Arial"/>
          <w:sz w:val="19"/>
          <w:szCs w:val="19"/>
          <w:lang w:val="es-CO"/>
        </w:rPr>
      </w:pPr>
      <w:r w:rsidRPr="00F508CA">
        <w:rPr>
          <w:rFonts w:ascii="Arial" w:hAnsi="Arial" w:cs="Arial"/>
          <w:sz w:val="19"/>
          <w:szCs w:val="19"/>
          <w:shd w:val="clear" w:color="auto" w:fill="FFFFFF"/>
        </w:rPr>
        <w:t>»Así lo  ha explicado la Corte al prever que las regalías carecen de naturaleza tributaria, ya que </w:t>
      </w:r>
      <w:r w:rsidRPr="00F508CA">
        <w:rPr>
          <w:rFonts w:ascii="Arial" w:hAnsi="Arial" w:cs="Arial"/>
          <w:i/>
          <w:iCs/>
          <w:sz w:val="19"/>
          <w:szCs w:val="19"/>
          <w:shd w:val="clear" w:color="auto" w:fill="FFFFFF"/>
        </w:rPr>
        <w:t>“</w:t>
      </w:r>
      <w:r w:rsidRPr="00F508CA">
        <w:rPr>
          <w:rFonts w:ascii="Arial" w:hAnsi="Arial" w:cs="Arial"/>
          <w:sz w:val="19"/>
          <w:szCs w:val="19"/>
          <w:shd w:val="clear" w:color="auto" w:fill="FFFFFF"/>
        </w:rPr>
        <w:t>[a]</w:t>
      </w:r>
      <w:r w:rsidRPr="00F508CA">
        <w:rPr>
          <w:rFonts w:ascii="Arial" w:hAnsi="Arial" w:cs="Arial"/>
          <w:i/>
          <w:iCs/>
          <w:sz w:val="19"/>
          <w:szCs w:val="19"/>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F508CA">
        <w:rPr>
          <w:rFonts w:ascii="Arial" w:hAnsi="Arial" w:cs="Arial"/>
          <w:sz w:val="19"/>
          <w:szCs w:val="19"/>
          <w:lang w:val="es-CO"/>
        </w:rPr>
        <w:t>Corte Constitucional. Sentencias C-748 de 2012 y C-010 de 2013. M.P. Luis Ernesto Vargas Silva.</w:t>
      </w:r>
    </w:p>
  </w:footnote>
  <w:footnote w:id="3">
    <w:p w14:paraId="362B04C0" w14:textId="77777777" w:rsidR="00F508CA" w:rsidRPr="00F508CA" w:rsidRDefault="00F508CA" w:rsidP="00F508CA">
      <w:pPr>
        <w:pStyle w:val="Textonotapie"/>
        <w:jc w:val="both"/>
        <w:rPr>
          <w:rFonts w:ascii="Arial" w:hAnsi="Arial" w:cs="Arial"/>
          <w:sz w:val="19"/>
          <w:szCs w:val="19"/>
        </w:rPr>
      </w:pPr>
    </w:p>
    <w:p w14:paraId="5CEA2A8F" w14:textId="655952C9" w:rsidR="00F508CA" w:rsidRPr="00F508CA" w:rsidRDefault="00F508CA" w:rsidP="00F508CA">
      <w:pPr>
        <w:pStyle w:val="Textonotapie"/>
        <w:ind w:firstLine="708"/>
        <w:jc w:val="both"/>
        <w:rPr>
          <w:rFonts w:ascii="Arial" w:hAnsi="Arial" w:cs="Arial"/>
          <w:sz w:val="19"/>
          <w:szCs w:val="19"/>
          <w:lang w:val="es-CO"/>
        </w:rPr>
      </w:pPr>
      <w:r w:rsidRPr="00F508CA">
        <w:rPr>
          <w:rStyle w:val="Refdenotaalpie"/>
          <w:rFonts w:ascii="Arial" w:hAnsi="Arial" w:cs="Arial"/>
          <w:sz w:val="19"/>
          <w:szCs w:val="19"/>
        </w:rPr>
        <w:footnoteRef/>
      </w:r>
      <w:r w:rsidRPr="00F508CA">
        <w:rPr>
          <w:rFonts w:ascii="Arial" w:hAnsi="Arial" w:cs="Arial"/>
          <w:sz w:val="19"/>
          <w:szCs w:val="19"/>
        </w:rPr>
        <w:t xml:space="preserve"> El artículo 361 superior posteriormente fue modificado por el Acto legislativo 5 de 2019, que reformó el SGR, no obstante, tal modificaciónaun no ha entrado en vigor, comoquiera que ello fue supeditado a la expedición de la correspondiente ley que lo implementara, la cual aun no ha sido expedida.</w:t>
      </w:r>
    </w:p>
  </w:footnote>
  <w:footnote w:id="4">
    <w:p w14:paraId="1751226B" w14:textId="5388CADB" w:rsidR="00134EDD" w:rsidRPr="00F508CA" w:rsidRDefault="00134EDD" w:rsidP="00F508CA">
      <w:pPr>
        <w:ind w:firstLine="720"/>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 conformidad con lo señalado en el artículo 29 de la Ley 1530 de 2012 «el Fondo de Ciencia, Tecnología e Innovación tiene como objeto incrementar la capacidad científica, tecnológica, de innovación y de competitividad de las regiones, mediante proyectos que contribuyan a la producción, uso, integración y apropiación del conocimiento en el aparato productivo y en la sociedad en general, incluidos proyectos relacionados con biotecnología y tecnologías de la información y las comunicaciones, contribuyendo al progreso social, al dinamismo económico, al crecimiento sostenible y una mayor prosperidad para toda la población».</w:t>
      </w:r>
    </w:p>
    <w:p w14:paraId="1EA22D34" w14:textId="77777777" w:rsidR="00134EDD" w:rsidRPr="00F508CA" w:rsidRDefault="00134EDD" w:rsidP="00F508CA">
      <w:pPr>
        <w:pStyle w:val="Textonotapie"/>
        <w:ind w:firstLine="720"/>
        <w:jc w:val="both"/>
        <w:rPr>
          <w:rFonts w:ascii="Arial" w:hAnsi="Arial" w:cs="Arial"/>
          <w:sz w:val="19"/>
          <w:szCs w:val="19"/>
          <w:lang w:val="es-CO"/>
        </w:rPr>
      </w:pPr>
    </w:p>
  </w:footnote>
  <w:footnote w:id="5">
    <w:p w14:paraId="4EACDE8F" w14:textId="25FE831D" w:rsidR="00134EDD" w:rsidRPr="00F508CA" w:rsidRDefault="00134EDD" w:rsidP="00F508CA">
      <w:pPr>
        <w:pStyle w:val="Textonotapie"/>
        <w:ind w:firstLine="720"/>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Ley 1530 de 2015 «Artículo 6</w:t>
      </w:r>
      <w:r w:rsidRPr="00F508CA">
        <w:rPr>
          <w:rFonts w:ascii="Arial" w:hAnsi="Arial" w:cs="Arial"/>
          <w:b/>
          <w:sz w:val="19"/>
          <w:szCs w:val="19"/>
        </w:rPr>
        <w:t xml:space="preserve">. </w:t>
      </w:r>
      <w:r w:rsidRPr="00F508CA">
        <w:rPr>
          <w:rFonts w:ascii="Arial" w:hAnsi="Arial" w:cs="Arial"/>
          <w:sz w:val="19"/>
          <w:szCs w:val="19"/>
        </w:rPr>
        <w:t>Órganos colegiados de administración y decisión. Los órganos colegiados de administración y decisión son los responsables de definir los proyectos de inversión sometidos a su consideración que se financiarán con recursos del Sistema General de Regalías, así como evaluar, viabilizar, aprobar y priorizar la conveniencia y oportunidad de financiarlos. También designarán su ejecutor que será de naturaleza pública; todo de conformidad con lo previsto en la presente</w:t>
      </w:r>
      <w:r w:rsidRPr="00F508CA">
        <w:rPr>
          <w:rFonts w:ascii="Arial" w:hAnsi="Arial" w:cs="Arial"/>
          <w:spacing w:val="-13"/>
          <w:sz w:val="19"/>
          <w:szCs w:val="19"/>
        </w:rPr>
        <w:t xml:space="preserve"> </w:t>
      </w:r>
      <w:r w:rsidRPr="00F508CA">
        <w:rPr>
          <w:rFonts w:ascii="Arial" w:hAnsi="Arial" w:cs="Arial"/>
          <w:sz w:val="19"/>
          <w:szCs w:val="19"/>
        </w:rPr>
        <w:t>ley».</w:t>
      </w:r>
    </w:p>
    <w:p w14:paraId="58E2F667" w14:textId="77777777" w:rsidR="00134EDD" w:rsidRPr="00F508CA" w:rsidRDefault="00134EDD" w:rsidP="00F508CA">
      <w:pPr>
        <w:pStyle w:val="Textonotapie"/>
        <w:ind w:firstLine="720"/>
        <w:jc w:val="both"/>
        <w:rPr>
          <w:rFonts w:ascii="Arial" w:hAnsi="Arial" w:cs="Arial"/>
          <w:sz w:val="19"/>
          <w:szCs w:val="19"/>
          <w:lang w:val="es-CO"/>
        </w:rPr>
      </w:pPr>
    </w:p>
  </w:footnote>
  <w:footnote w:id="6">
    <w:p w14:paraId="1613C12F" w14:textId="0C052172" w:rsidR="00134EDD" w:rsidRPr="00F508CA" w:rsidRDefault="00134EDD" w:rsidP="00F508CA">
      <w:pPr>
        <w:ind w:firstLine="720"/>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Ley 1530 de 2015 «</w:t>
      </w:r>
      <w:r w:rsidRPr="00F508CA">
        <w:rPr>
          <w:rStyle w:val="Textoennegrita"/>
          <w:rFonts w:ascii="Arial" w:hAnsi="Arial" w:cs="Arial"/>
          <w:b w:val="0"/>
          <w:bCs w:val="0"/>
          <w:sz w:val="19"/>
          <w:szCs w:val="19"/>
        </w:rPr>
        <w:t>Artículo 1°.</w:t>
      </w:r>
      <w:r w:rsidRPr="00F508CA">
        <w:rPr>
          <w:rFonts w:ascii="Arial" w:hAnsi="Arial" w:cs="Arial"/>
          <w:sz w:val="19"/>
          <w:szCs w:val="19"/>
        </w:rPr>
        <w:t> Objeto. Conforme con lo dispuesto por el artículo 360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0EE6F3E8" w14:textId="77777777" w:rsidR="00134EDD" w:rsidRPr="00F508CA" w:rsidRDefault="00134EDD" w:rsidP="00F508CA">
      <w:pPr>
        <w:pStyle w:val="Textonotapie"/>
        <w:ind w:firstLine="720"/>
        <w:jc w:val="both"/>
        <w:rPr>
          <w:rFonts w:ascii="Arial" w:hAnsi="Arial" w:cs="Arial"/>
          <w:sz w:val="19"/>
          <w:szCs w:val="19"/>
          <w:lang w:val="es-CO"/>
        </w:rPr>
      </w:pPr>
    </w:p>
  </w:footnote>
  <w:footnote w:id="7">
    <w:p w14:paraId="1B2E3E9B" w14:textId="77777777" w:rsidR="00134EDD" w:rsidRPr="00F508CA" w:rsidRDefault="00134EDD" w:rsidP="00F508CA">
      <w:pPr>
        <w:pStyle w:val="Textonotapie"/>
        <w:ind w:firstLine="708"/>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Constitución Política «Artículo 361. […] </w:t>
      </w:r>
      <w:r w:rsidRPr="00F508CA">
        <w:rPr>
          <w:rStyle w:val="baj"/>
          <w:rFonts w:ascii="Arial" w:hAnsi="Arial" w:cs="Arial"/>
          <w:sz w:val="19"/>
          <w:szCs w:val="19"/>
        </w:rPr>
        <w:t>Parágrafo 5o</w:t>
      </w:r>
      <w:r w:rsidRPr="00F508CA">
        <w:rPr>
          <w:rStyle w:val="baj"/>
          <w:rFonts w:ascii="Arial" w:hAnsi="Arial" w:cs="Arial"/>
          <w:b/>
          <w:bCs/>
          <w:sz w:val="19"/>
          <w:szCs w:val="19"/>
        </w:rPr>
        <w:t>.</w:t>
      </w:r>
      <w:r w:rsidRPr="00F508CA">
        <w:rPr>
          <w:rFonts w:ascii="Arial" w:hAnsi="Arial" w:cs="Arial"/>
          <w:sz w:val="19"/>
          <w:szCs w:val="19"/>
        </w:rPr>
        <w:t> &lt;Parágrafo adicionado por el artículo </w:t>
      </w:r>
      <w:hyperlink r:id="rId1" w:anchor="1" w:history="1">
        <w:r w:rsidRPr="00F508CA">
          <w:rPr>
            <w:rStyle w:val="Hipervnculo"/>
            <w:rFonts w:ascii="Arial" w:hAnsi="Arial" w:cs="Arial"/>
            <w:color w:val="auto"/>
            <w:sz w:val="19"/>
            <w:szCs w:val="19"/>
          </w:rPr>
          <w:t>1</w:t>
        </w:r>
      </w:hyperlink>
      <w:r w:rsidRPr="00F508CA">
        <w:rPr>
          <w:rFonts w:ascii="Arial" w:hAnsi="Arial" w:cs="Arial"/>
          <w:sz w:val="19"/>
          <w:szCs w:val="19"/>
        </w:rPr>
        <w:t> del Acto Legislativo 4 de 2017. El nuevo texto es el siguiente:&gt;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14:paraId="0524D607" w14:textId="0C2F7887" w:rsidR="00134EDD" w:rsidRPr="00F508CA" w:rsidRDefault="00134EDD" w:rsidP="00F508CA">
      <w:pPr>
        <w:pStyle w:val="Textonotapie"/>
        <w:ind w:firstLine="708"/>
        <w:jc w:val="both"/>
        <w:rPr>
          <w:rFonts w:ascii="Arial" w:hAnsi="Arial" w:cs="Arial"/>
          <w:sz w:val="19"/>
          <w:szCs w:val="19"/>
        </w:rPr>
      </w:pPr>
      <w:r w:rsidRPr="00F508CA">
        <w:rPr>
          <w:rFonts w:ascii="Arial" w:hAnsi="Arial" w:cs="Arial"/>
          <w:sz w:val="19"/>
          <w:szCs w:val="19"/>
        </w:rPr>
        <w:t>»Lo establecido en el presente parágrafo regirá desde la entrada en vigencia de la ley que lo reglamente».</w:t>
      </w:r>
    </w:p>
    <w:p w14:paraId="13CB8224" w14:textId="77777777" w:rsidR="00134EDD" w:rsidRPr="00F508CA" w:rsidRDefault="00134EDD" w:rsidP="00F508CA">
      <w:pPr>
        <w:pStyle w:val="Textonotapie"/>
        <w:ind w:firstLine="708"/>
        <w:jc w:val="both"/>
        <w:rPr>
          <w:rFonts w:ascii="Arial" w:hAnsi="Arial" w:cs="Arial"/>
          <w:sz w:val="19"/>
          <w:szCs w:val="19"/>
          <w:lang w:val="es-CO"/>
        </w:rPr>
      </w:pPr>
    </w:p>
  </w:footnote>
  <w:footnote w:id="8">
    <w:p w14:paraId="3B8F8BA9" w14:textId="118E808C" w:rsidR="00134EDD" w:rsidRPr="00F508CA" w:rsidRDefault="00134EDD" w:rsidP="00F508CA">
      <w:pPr>
        <w:pStyle w:val="Textonotapie"/>
        <w:ind w:firstLine="708"/>
        <w:jc w:val="both"/>
        <w:rPr>
          <w:rFonts w:ascii="Arial" w:hAnsi="Arial" w:cs="Arial"/>
          <w:sz w:val="19"/>
          <w:szCs w:val="19"/>
          <w:lang w:val="es-CO"/>
        </w:rPr>
      </w:pPr>
      <w:r w:rsidRPr="00F508CA">
        <w:rPr>
          <w:rStyle w:val="Refdenotaalpie"/>
          <w:rFonts w:ascii="Arial" w:hAnsi="Arial" w:cs="Arial"/>
          <w:sz w:val="19"/>
          <w:szCs w:val="19"/>
        </w:rPr>
        <w:footnoteRef/>
      </w:r>
      <w:r w:rsidRPr="00F508CA">
        <w:rPr>
          <w:rFonts w:ascii="Arial" w:hAnsi="Arial" w:cs="Arial"/>
          <w:sz w:val="19"/>
          <w:szCs w:val="19"/>
        </w:rPr>
        <w:t xml:space="preserve"> </w:t>
      </w:r>
      <w:r w:rsidRPr="00F508CA">
        <w:rPr>
          <w:rFonts w:ascii="Arial" w:hAnsi="Arial" w:cs="Arial"/>
          <w:sz w:val="19"/>
          <w:szCs w:val="19"/>
          <w:lang w:val="es-CO"/>
        </w:rPr>
        <w:t xml:space="preserve">Ley 1286 de 2009 «Artículo 20.Componentes del Sistema. El Sistema Nacional de Ciencia, Tecnología e Innovación -SNCTI- es un sistema abierto del cual forman parte las políticas, estrategias, programas, metodologías y mecanismos para la gestión, promoción, financiación, protección y divulgación de la investigación científica y la innovación tecnológica, así como las organizaciones públicas, privadas o mixtas que realicen o promuevan el desarrollo de actividades científicas, tecnológicas y de innovación. </w:t>
      </w:r>
    </w:p>
    <w:p w14:paraId="43DC7574" w14:textId="2FB680FA" w:rsidR="00134EDD" w:rsidRPr="00F508CA" w:rsidRDefault="00134EDD" w:rsidP="00F508CA">
      <w:pPr>
        <w:pStyle w:val="Textonotapie"/>
        <w:ind w:firstLine="708"/>
        <w:jc w:val="both"/>
        <w:rPr>
          <w:rFonts w:ascii="Arial" w:hAnsi="Arial" w:cs="Arial"/>
          <w:sz w:val="19"/>
          <w:szCs w:val="19"/>
          <w:lang w:val="es-CO"/>
        </w:rPr>
      </w:pPr>
      <w:r w:rsidRPr="00F508CA">
        <w:rPr>
          <w:rFonts w:ascii="Arial" w:hAnsi="Arial" w:cs="Arial"/>
          <w:sz w:val="19"/>
          <w:szCs w:val="19"/>
          <w:lang w:val="es-CO"/>
        </w:rPr>
        <w:t xml:space="preserve">»Parágrafo 1°. Las organizaciones públicas, privadas o mixtas a que hace referencia el presente artículo podrán ser objeto de apoyo por parte de las entidades de fomento de la ciencia, la tecnología y la innovación. Cada entidad de fomento establecerá la naturaleza de dicho apoyo y las condiciones bajo las cuales se podrá obtener, de acuerdo con los lineamientos de política que orienten la acción del Sistema Nacional de Ciencia, Tecnología e Innovación -SNCTI- y de conformidad con las normas que regulan este campo. </w:t>
      </w:r>
    </w:p>
    <w:p w14:paraId="1360FE2B" w14:textId="303EC366" w:rsidR="00134EDD" w:rsidRPr="00F508CA" w:rsidRDefault="00134EDD" w:rsidP="00F508CA">
      <w:pPr>
        <w:pStyle w:val="Textonotapie"/>
        <w:ind w:firstLine="708"/>
        <w:jc w:val="both"/>
        <w:rPr>
          <w:rFonts w:ascii="Arial" w:hAnsi="Arial" w:cs="Arial"/>
          <w:sz w:val="19"/>
          <w:szCs w:val="19"/>
          <w:lang w:val="es-CO"/>
        </w:rPr>
      </w:pPr>
      <w:r w:rsidRPr="00F508CA">
        <w:rPr>
          <w:rFonts w:ascii="Arial" w:hAnsi="Arial" w:cs="Arial"/>
          <w:sz w:val="19"/>
          <w:szCs w:val="19"/>
          <w:lang w:val="es-CO"/>
        </w:rPr>
        <w:t>»Parágrafo 2°. Las Asambleas Departamentales, los Concejos Distritales y los Concejos Municipales podrán ordenar la creación de unidades regionales de investigación científica e innovación con sus fondos regionales de fomento».</w:t>
      </w:r>
    </w:p>
  </w:footnote>
  <w:footnote w:id="9">
    <w:p w14:paraId="77179030" w14:textId="77777777" w:rsidR="00134EDD" w:rsidRPr="00F508CA" w:rsidRDefault="00134EDD" w:rsidP="00F508CA">
      <w:pPr>
        <w:pStyle w:val="Textonotapie"/>
        <w:ind w:right="49" w:firstLine="709"/>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 Lo anterior, sin perjuicio de las publicaciones previstas en el numeral 3 del artículo 30 de la Ley 80 de 1993.</w:t>
      </w:r>
    </w:p>
    <w:p w14:paraId="46499111"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w:t>
      </w:r>
    </w:p>
    <w:p w14:paraId="69FD9694"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34EDD" w:rsidRPr="00F508CA" w:rsidRDefault="00134EDD" w:rsidP="00F508CA">
      <w:pPr>
        <w:pStyle w:val="Textonotapie"/>
        <w:ind w:right="49"/>
        <w:jc w:val="both"/>
        <w:rPr>
          <w:rFonts w:ascii="Arial" w:hAnsi="Arial" w:cs="Arial"/>
          <w:sz w:val="19"/>
          <w:szCs w:val="19"/>
        </w:rPr>
      </w:pPr>
    </w:p>
  </w:footnote>
  <w:footnote w:id="10">
    <w:p w14:paraId="5DD0BAF9" w14:textId="77777777" w:rsidR="00134EDD" w:rsidRPr="00F508CA" w:rsidRDefault="00134EDD" w:rsidP="00F508CA">
      <w:pPr>
        <w:pStyle w:val="Textonotapie"/>
        <w:ind w:firstLine="708"/>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Decreto 4170 de 2011: «Artículo 3. Funciones: La Agencia Nacional de Contratación Pública –Colombia Compra Eficiente– ejercerá las siguientes funciones: [...]</w:t>
      </w:r>
    </w:p>
    <w:p w14:paraId="2BA1BF25" w14:textId="77777777" w:rsidR="00134EDD" w:rsidRPr="00F508CA" w:rsidRDefault="00134EDD" w:rsidP="00F508CA">
      <w:pPr>
        <w:pStyle w:val="Textonotapie"/>
        <w:ind w:firstLine="708"/>
        <w:jc w:val="both"/>
        <w:rPr>
          <w:rFonts w:ascii="Arial" w:hAnsi="Arial" w:cs="Arial"/>
          <w:sz w:val="19"/>
          <w:szCs w:val="19"/>
        </w:rPr>
      </w:pPr>
      <w:r w:rsidRPr="00F508CA">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11">
    <w:p w14:paraId="045E75DF" w14:textId="77777777" w:rsidR="00134EDD" w:rsidRPr="00F508CA" w:rsidRDefault="00134EDD" w:rsidP="00F508CA">
      <w:pPr>
        <w:pStyle w:val="Textonotapie"/>
        <w:ind w:right="49" w:firstLine="709"/>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34EDD" w:rsidRPr="00F508CA" w:rsidRDefault="00134EDD" w:rsidP="00F508CA">
      <w:pPr>
        <w:pStyle w:val="Textonotapie"/>
        <w:ind w:right="49" w:firstLine="709"/>
        <w:jc w:val="both"/>
        <w:rPr>
          <w:rFonts w:ascii="Arial" w:hAnsi="Arial" w:cs="Arial"/>
          <w:sz w:val="19"/>
          <w:szCs w:val="19"/>
        </w:rPr>
      </w:pPr>
    </w:p>
  </w:footnote>
  <w:footnote w:id="12">
    <w:p w14:paraId="24804CE1"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vertAlign w:val="superscript"/>
          <w:lang w:val="es-ES" w:eastAsia="es-ES"/>
        </w:rPr>
        <w:footnoteRef/>
      </w:r>
      <w:r w:rsidRPr="00F508CA">
        <w:rPr>
          <w:rFonts w:ascii="Arial" w:hAnsi="Arial" w:cs="Arial"/>
          <w:sz w:val="19"/>
          <w:szCs w:val="19"/>
          <w:vertAlign w:val="superscript"/>
          <w:lang w:val="es-ES" w:eastAsia="es-ES"/>
        </w:rPr>
        <w:t xml:space="preserve"> </w:t>
      </w:r>
      <w:r w:rsidRPr="00F508CA">
        <w:rPr>
          <w:rFonts w:ascii="Arial" w:hAnsi="Arial" w:cs="Arial"/>
          <w:sz w:val="19"/>
          <w:szCs w:val="19"/>
          <w:lang w:val="es-ES" w:eastAsia="es-ES"/>
        </w:rPr>
        <w:t>«</w:t>
      </w:r>
      <w:r w:rsidRPr="00F508CA">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34EDD" w:rsidRPr="00F508CA" w:rsidRDefault="00134EDD" w:rsidP="00F508CA">
      <w:pPr>
        <w:pStyle w:val="Textonotapie"/>
        <w:ind w:right="49" w:firstLine="709"/>
        <w:jc w:val="both"/>
        <w:rPr>
          <w:rFonts w:ascii="Arial" w:hAnsi="Arial" w:cs="Arial"/>
          <w:sz w:val="19"/>
          <w:szCs w:val="19"/>
          <w:lang w:val="es-ES" w:eastAsia="es-ES"/>
        </w:rPr>
      </w:pPr>
      <w:r w:rsidRPr="00F508CA">
        <w:rPr>
          <w:rFonts w:ascii="Arial" w:hAnsi="Arial" w:cs="Arial"/>
          <w:sz w:val="19"/>
          <w:szCs w:val="19"/>
        </w:rPr>
        <w:t>[…].</w:t>
      </w:r>
    </w:p>
    <w:p w14:paraId="7737F1C8" w14:textId="77777777" w:rsidR="00134EDD" w:rsidRPr="00F508CA" w:rsidRDefault="00134EDD" w:rsidP="00F508CA">
      <w:pPr>
        <w:pStyle w:val="Textonotapie"/>
        <w:ind w:right="49" w:firstLine="709"/>
        <w:jc w:val="both"/>
        <w:rPr>
          <w:rFonts w:ascii="Arial" w:hAnsi="Arial" w:cs="Arial"/>
          <w:sz w:val="19"/>
          <w:szCs w:val="19"/>
          <w:lang w:val="es-ES" w:eastAsia="es-ES"/>
        </w:rPr>
      </w:pPr>
      <w:r w:rsidRPr="00F508CA">
        <w:rPr>
          <w:rFonts w:ascii="Arial" w:hAnsi="Arial" w:cs="Arial"/>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8438782" w14:textId="77777777" w:rsidR="00134EDD" w:rsidRPr="00F508CA" w:rsidRDefault="00134EDD" w:rsidP="00F508CA">
      <w:pPr>
        <w:pStyle w:val="Textonotapie"/>
        <w:ind w:right="49" w:firstLine="709"/>
        <w:jc w:val="both"/>
        <w:rPr>
          <w:rFonts w:ascii="Arial" w:hAnsi="Arial" w:cs="Arial"/>
          <w:sz w:val="19"/>
          <w:szCs w:val="19"/>
          <w:lang w:val="es-ES" w:eastAsia="es-ES"/>
        </w:rPr>
      </w:pPr>
    </w:p>
  </w:footnote>
  <w:footnote w:id="13">
    <w:p w14:paraId="01ABB628" w14:textId="77777777" w:rsidR="00134EDD" w:rsidRPr="00F508CA" w:rsidRDefault="00134EDD" w:rsidP="00F508CA">
      <w:pPr>
        <w:pStyle w:val="NormalWeb"/>
        <w:spacing w:before="0" w:beforeAutospacing="0" w:after="0" w:afterAutospacing="0"/>
        <w:ind w:firstLine="708"/>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Decreto 1081 de 2015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134EDD" w:rsidRPr="00F508CA" w:rsidRDefault="00134EDD" w:rsidP="00F508CA">
      <w:pPr>
        <w:jc w:val="both"/>
        <w:rPr>
          <w:rFonts w:ascii="Arial" w:eastAsia="Times New Roman" w:hAnsi="Arial" w:cs="Arial"/>
          <w:sz w:val="19"/>
          <w:szCs w:val="19"/>
          <w:lang w:val="es-CO" w:eastAsia="es-CO"/>
        </w:rPr>
      </w:pPr>
      <w:r w:rsidRPr="00F508CA">
        <w:rPr>
          <w:rFonts w:ascii="Arial" w:eastAsia="Times New Roman" w:hAnsi="Arial" w:cs="Arial"/>
          <w:sz w:val="19"/>
          <w:szCs w:val="19"/>
          <w:lang w:val="es-CO" w:eastAsia="es-CO"/>
        </w:rPr>
        <w:t>  </w:t>
      </w:r>
      <w:r w:rsidRPr="00F508CA">
        <w:rPr>
          <w:rFonts w:ascii="Arial" w:eastAsia="Times New Roman" w:hAnsi="Arial" w:cs="Arial"/>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134EDD" w:rsidRPr="00F508CA" w:rsidRDefault="00134EDD" w:rsidP="00F508CA">
      <w:pPr>
        <w:jc w:val="both"/>
        <w:rPr>
          <w:rFonts w:ascii="Arial" w:hAnsi="Arial" w:cs="Arial"/>
          <w:sz w:val="19"/>
          <w:szCs w:val="19"/>
          <w:lang w:val="es-CO"/>
        </w:rPr>
      </w:pPr>
      <w:r w:rsidRPr="00F508CA">
        <w:rPr>
          <w:rFonts w:ascii="Arial" w:eastAsia="Times New Roman" w:hAnsi="Arial" w:cs="Arial"/>
          <w:sz w:val="19"/>
          <w:szCs w:val="19"/>
          <w:lang w:val="es-CO" w:eastAsia="es-CO"/>
        </w:rPr>
        <w:t>  </w:t>
      </w:r>
      <w:r w:rsidRPr="00F508CA">
        <w:rPr>
          <w:rFonts w:ascii="Arial" w:eastAsia="Times New Roman" w:hAnsi="Arial" w:cs="Arial"/>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F508CA">
        <w:rPr>
          <w:rFonts w:ascii="Arial" w:hAnsi="Arial" w:cs="Arial"/>
          <w:sz w:val="19"/>
          <w:szCs w:val="19"/>
          <w:lang w:val="es-CO"/>
        </w:rPr>
        <w:t>».</w:t>
      </w:r>
    </w:p>
    <w:p w14:paraId="2A928C9C" w14:textId="77777777" w:rsidR="00134EDD" w:rsidRPr="00F508CA" w:rsidRDefault="00134EDD" w:rsidP="00F508CA">
      <w:pPr>
        <w:jc w:val="both"/>
        <w:rPr>
          <w:rFonts w:ascii="Arial" w:eastAsia="Times New Roman" w:hAnsi="Arial" w:cs="Arial"/>
          <w:sz w:val="19"/>
          <w:szCs w:val="19"/>
          <w:lang w:val="es-CO" w:eastAsia="es-CO"/>
        </w:rPr>
      </w:pPr>
    </w:p>
  </w:footnote>
  <w:footnote w:id="14">
    <w:p w14:paraId="53290A26" w14:textId="77777777" w:rsidR="00134EDD" w:rsidRPr="00F508CA" w:rsidRDefault="00134EDD" w:rsidP="00F508CA">
      <w:pPr>
        <w:pStyle w:val="Textonotapie"/>
        <w:ind w:right="49" w:firstLine="709"/>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134EDD" w:rsidRPr="00F508CA" w:rsidRDefault="00134EDD" w:rsidP="00F508CA">
      <w:pPr>
        <w:pStyle w:val="Textonotapie"/>
        <w:ind w:right="49" w:firstLine="709"/>
        <w:jc w:val="both"/>
        <w:rPr>
          <w:rFonts w:ascii="Arial" w:hAnsi="Arial" w:cs="Arial"/>
          <w:sz w:val="19"/>
          <w:szCs w:val="19"/>
        </w:rPr>
      </w:pPr>
    </w:p>
  </w:footnote>
  <w:footnote w:id="15">
    <w:p w14:paraId="3E10B0C5" w14:textId="77777777" w:rsidR="00134EDD" w:rsidRPr="00F508CA" w:rsidRDefault="00134EDD" w:rsidP="00F508CA">
      <w:pPr>
        <w:pStyle w:val="Textonotapie"/>
        <w:ind w:right="49" w:firstLine="709"/>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 xml:space="preserve">»Los sujetos obligados que no contratan con cargo a recursos públicos no están obligados a publicar su Plan Anual de Adquisiciones. </w:t>
      </w:r>
    </w:p>
    <w:p w14:paraId="212394C4"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D0EE0B8" w14:textId="77777777" w:rsidR="00134EDD" w:rsidRPr="00F508CA" w:rsidRDefault="00134EDD" w:rsidP="00F508CA">
      <w:pPr>
        <w:pStyle w:val="Textonotapie"/>
        <w:ind w:right="49" w:firstLine="709"/>
        <w:jc w:val="both"/>
        <w:rPr>
          <w:rFonts w:ascii="Arial" w:hAnsi="Arial" w:cs="Arial"/>
          <w:sz w:val="19"/>
          <w:szCs w:val="19"/>
        </w:rPr>
      </w:pPr>
      <w:r w:rsidRPr="00F508CA">
        <w:rPr>
          <w:rFonts w:ascii="Arial" w:hAnsi="Arial" w:cs="Arial"/>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ECFD18D" w14:textId="77777777" w:rsidR="00134EDD" w:rsidRPr="00F508CA" w:rsidRDefault="00134EDD" w:rsidP="00F508CA">
      <w:pPr>
        <w:pStyle w:val="Textonotapie"/>
        <w:ind w:right="49" w:firstLine="709"/>
        <w:jc w:val="both"/>
        <w:rPr>
          <w:rFonts w:ascii="Arial" w:hAnsi="Arial" w:cs="Arial"/>
          <w:sz w:val="19"/>
          <w:szCs w:val="19"/>
        </w:rPr>
      </w:pPr>
    </w:p>
  </w:footnote>
  <w:footnote w:id="16">
    <w:p w14:paraId="35A6FED7" w14:textId="77777777" w:rsidR="00134EDD" w:rsidRPr="00F508CA" w:rsidRDefault="00134EDD" w:rsidP="00F508CA">
      <w:pPr>
        <w:pStyle w:val="Textonotapie"/>
        <w:ind w:right="49" w:firstLine="709"/>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628B583E" w14:textId="77777777" w:rsidR="00134EDD" w:rsidRPr="00F508CA" w:rsidRDefault="00134EDD" w:rsidP="00F508CA">
      <w:pPr>
        <w:pStyle w:val="Textonotapie"/>
        <w:ind w:right="49" w:firstLine="709"/>
        <w:jc w:val="both"/>
        <w:rPr>
          <w:rFonts w:ascii="Arial" w:hAnsi="Arial" w:cs="Arial"/>
          <w:sz w:val="19"/>
          <w:szCs w:val="19"/>
        </w:rPr>
      </w:pPr>
    </w:p>
  </w:footnote>
  <w:footnote w:id="17">
    <w:p w14:paraId="3BB84CAE" w14:textId="30210CC1" w:rsidR="00134EDD" w:rsidRPr="00F508CA" w:rsidRDefault="00134EDD" w:rsidP="00F508CA">
      <w:pPr>
        <w:pStyle w:val="Textonotapie"/>
        <w:ind w:firstLine="708"/>
        <w:jc w:val="both"/>
        <w:rPr>
          <w:rFonts w:ascii="Arial" w:hAnsi="Arial" w:cs="Arial"/>
          <w:sz w:val="19"/>
          <w:szCs w:val="19"/>
          <w:lang w:val="es-CO"/>
        </w:rPr>
      </w:pPr>
      <w:r w:rsidRPr="00F508CA">
        <w:rPr>
          <w:rStyle w:val="Refdenotaalpie"/>
          <w:rFonts w:ascii="Arial" w:hAnsi="Arial" w:cs="Arial"/>
          <w:sz w:val="19"/>
          <w:szCs w:val="19"/>
        </w:rPr>
        <w:footnoteRef/>
      </w:r>
      <w:r w:rsidRPr="00F508CA">
        <w:rPr>
          <w:rFonts w:ascii="Arial" w:hAnsi="Arial" w:cs="Arial"/>
          <w:sz w:val="19"/>
          <w:szCs w:val="19"/>
        </w:rPr>
        <w:t xml:space="preserve"> Ley 30 de 1992 «</w:t>
      </w:r>
      <w:r w:rsidRPr="00F508CA">
        <w:rPr>
          <w:rStyle w:val="Textoennegrita"/>
          <w:rFonts w:ascii="Arial" w:hAnsi="Arial" w:cs="Arial"/>
          <w:b w:val="0"/>
          <w:bCs w:val="0"/>
          <w:sz w:val="19"/>
          <w:szCs w:val="19"/>
        </w:rPr>
        <w:t>Artículo 98</w:t>
      </w:r>
      <w:r w:rsidRPr="00F508CA">
        <w:rPr>
          <w:rStyle w:val="Textoennegrita"/>
          <w:rFonts w:ascii="Arial" w:hAnsi="Arial" w:cs="Arial"/>
          <w:sz w:val="19"/>
          <w:szCs w:val="19"/>
        </w:rPr>
        <w:t>.</w:t>
      </w:r>
      <w:r w:rsidRPr="00F508CA">
        <w:rPr>
          <w:rFonts w:ascii="Arial" w:hAnsi="Arial" w:cs="Arial"/>
          <w:sz w:val="19"/>
          <w:szCs w:val="19"/>
        </w:rPr>
        <w:t> Las instituciones privadas de Educación Superior deben ser personas jurídicas de utilidad común, sin ánimo de lucro, organizadas como corporaciones, fundaciones o instituciones de economía solidaria». </w:t>
      </w:r>
    </w:p>
  </w:footnote>
  <w:footnote w:id="18">
    <w:p w14:paraId="3E808A9B" w14:textId="77777777" w:rsidR="00134EDD" w:rsidRPr="00F508CA" w:rsidRDefault="00134EDD" w:rsidP="00F508CA">
      <w:pPr>
        <w:pStyle w:val="NormalWeb"/>
        <w:spacing w:before="0" w:beforeAutospacing="0" w:after="0" w:afterAutospacing="0"/>
        <w:ind w:firstLine="708"/>
        <w:jc w:val="both"/>
        <w:rPr>
          <w:rFonts w:ascii="Arial" w:hAnsi="Arial" w:cs="Arial"/>
          <w:sz w:val="19"/>
          <w:szCs w:val="19"/>
        </w:rPr>
      </w:pPr>
      <w:r w:rsidRPr="00F508CA">
        <w:rPr>
          <w:rStyle w:val="Refdenotaalpie"/>
          <w:rFonts w:ascii="Arial" w:hAnsi="Arial" w:cs="Arial"/>
          <w:sz w:val="19"/>
          <w:szCs w:val="19"/>
        </w:rPr>
        <w:footnoteRef/>
      </w:r>
      <w:r w:rsidRPr="00F508CA">
        <w:rPr>
          <w:rFonts w:ascii="Arial" w:hAnsi="Arial" w:cs="Arial"/>
          <w:sz w:val="19"/>
          <w:szCs w:val="19"/>
        </w:rPr>
        <w:t xml:space="preserve"> Decreto 1081 de 2015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4522D28" w14:textId="77777777" w:rsidR="00134EDD" w:rsidRPr="00F508CA" w:rsidRDefault="00134EDD" w:rsidP="00F508CA">
      <w:pPr>
        <w:jc w:val="both"/>
        <w:rPr>
          <w:rFonts w:ascii="Arial" w:eastAsia="Times New Roman" w:hAnsi="Arial" w:cs="Arial"/>
          <w:sz w:val="19"/>
          <w:szCs w:val="19"/>
          <w:lang w:val="es-CO" w:eastAsia="es-CO"/>
        </w:rPr>
      </w:pPr>
      <w:r w:rsidRPr="00F508CA">
        <w:rPr>
          <w:rFonts w:ascii="Arial" w:eastAsia="Times New Roman" w:hAnsi="Arial" w:cs="Arial"/>
          <w:sz w:val="19"/>
          <w:szCs w:val="19"/>
          <w:lang w:val="es-CO" w:eastAsia="es-CO"/>
        </w:rPr>
        <w:t>  </w:t>
      </w:r>
      <w:r w:rsidRPr="00F508CA">
        <w:rPr>
          <w:rFonts w:ascii="Arial" w:eastAsia="Times New Roman" w:hAnsi="Arial" w:cs="Arial"/>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3F9B30FF" w14:textId="77777777" w:rsidR="00134EDD" w:rsidRPr="00F508CA" w:rsidRDefault="00134EDD" w:rsidP="00F508CA">
      <w:pPr>
        <w:jc w:val="both"/>
        <w:rPr>
          <w:rFonts w:ascii="Arial" w:hAnsi="Arial" w:cs="Arial"/>
          <w:sz w:val="19"/>
          <w:szCs w:val="19"/>
          <w:lang w:val="es-CO"/>
        </w:rPr>
      </w:pPr>
      <w:r w:rsidRPr="00F508CA">
        <w:rPr>
          <w:rFonts w:ascii="Arial" w:eastAsia="Times New Roman" w:hAnsi="Arial" w:cs="Arial"/>
          <w:sz w:val="19"/>
          <w:szCs w:val="19"/>
          <w:lang w:val="es-CO" w:eastAsia="es-CO"/>
        </w:rPr>
        <w:t>  </w:t>
      </w:r>
      <w:r w:rsidRPr="00F508CA">
        <w:rPr>
          <w:rFonts w:ascii="Arial" w:eastAsia="Times New Roman" w:hAnsi="Arial" w:cs="Arial"/>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F508CA">
        <w:rPr>
          <w:rFonts w:ascii="Arial" w:hAnsi="Arial" w:cs="Arial"/>
          <w:sz w:val="19"/>
          <w:szCs w:val="19"/>
          <w:lang w:val="es-CO"/>
        </w:rPr>
        <w:t>».</w:t>
      </w:r>
    </w:p>
    <w:p w14:paraId="3FB37BD5" w14:textId="77777777" w:rsidR="00134EDD" w:rsidRPr="00F508CA" w:rsidRDefault="00134EDD" w:rsidP="00F508CA">
      <w:pPr>
        <w:jc w:val="both"/>
        <w:rPr>
          <w:rFonts w:ascii="Arial" w:eastAsia="Times New Roman" w:hAnsi="Arial" w:cs="Arial"/>
          <w:sz w:val="19"/>
          <w:szCs w:val="19"/>
          <w:lang w:val="es-CO" w:eastAsia="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D67BD5" w:rsidR="00134EDD" w:rsidRDefault="00134EDD">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34EDD" w:rsidRDefault="00134E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3E6"/>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EDD"/>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2F2"/>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6D64"/>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1BAD"/>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627"/>
    <w:rsid w:val="00270EAA"/>
    <w:rsid w:val="00271891"/>
    <w:rsid w:val="0027322D"/>
    <w:rsid w:val="00273832"/>
    <w:rsid w:val="00273978"/>
    <w:rsid w:val="00273AAE"/>
    <w:rsid w:val="002740C5"/>
    <w:rsid w:val="002758CB"/>
    <w:rsid w:val="00275E80"/>
    <w:rsid w:val="00277DDC"/>
    <w:rsid w:val="00280DF5"/>
    <w:rsid w:val="00282946"/>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1E5"/>
    <w:rsid w:val="00297C23"/>
    <w:rsid w:val="002A0043"/>
    <w:rsid w:val="002A0D45"/>
    <w:rsid w:val="002A2269"/>
    <w:rsid w:val="002A23F7"/>
    <w:rsid w:val="002A3CB2"/>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5C1F"/>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5EF"/>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BBE"/>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1A0D"/>
    <w:rsid w:val="003D3093"/>
    <w:rsid w:val="003D3C2E"/>
    <w:rsid w:val="003D3E2D"/>
    <w:rsid w:val="003D4456"/>
    <w:rsid w:val="003D4467"/>
    <w:rsid w:val="003D4E6B"/>
    <w:rsid w:val="003D741C"/>
    <w:rsid w:val="003E001D"/>
    <w:rsid w:val="003E1391"/>
    <w:rsid w:val="003E14BA"/>
    <w:rsid w:val="003E1ED3"/>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088E"/>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0D9F"/>
    <w:rsid w:val="00441949"/>
    <w:rsid w:val="00441E6D"/>
    <w:rsid w:val="0044219E"/>
    <w:rsid w:val="0044228D"/>
    <w:rsid w:val="004422D6"/>
    <w:rsid w:val="00445A78"/>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AB9"/>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1CF"/>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06B36"/>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67E1"/>
    <w:rsid w:val="005276DE"/>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65"/>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35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1962"/>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1D1"/>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90D"/>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19F1"/>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2F60"/>
    <w:rsid w:val="0077377C"/>
    <w:rsid w:val="0077470A"/>
    <w:rsid w:val="00775007"/>
    <w:rsid w:val="007759E8"/>
    <w:rsid w:val="00776709"/>
    <w:rsid w:val="0078122E"/>
    <w:rsid w:val="00781331"/>
    <w:rsid w:val="00782053"/>
    <w:rsid w:val="00782878"/>
    <w:rsid w:val="00783027"/>
    <w:rsid w:val="007839BF"/>
    <w:rsid w:val="00783AEB"/>
    <w:rsid w:val="007843B6"/>
    <w:rsid w:val="00785913"/>
    <w:rsid w:val="00786353"/>
    <w:rsid w:val="007866FF"/>
    <w:rsid w:val="00786CB0"/>
    <w:rsid w:val="00786D18"/>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15C"/>
    <w:rsid w:val="007C643C"/>
    <w:rsid w:val="007C72EC"/>
    <w:rsid w:val="007C755B"/>
    <w:rsid w:val="007D0056"/>
    <w:rsid w:val="007D02FD"/>
    <w:rsid w:val="007D0313"/>
    <w:rsid w:val="007D0FED"/>
    <w:rsid w:val="007D2D49"/>
    <w:rsid w:val="007D2E15"/>
    <w:rsid w:val="007D2FC7"/>
    <w:rsid w:val="007D319C"/>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3D2"/>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7F"/>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4702E"/>
    <w:rsid w:val="008502CC"/>
    <w:rsid w:val="008502F9"/>
    <w:rsid w:val="0085092D"/>
    <w:rsid w:val="00850C0A"/>
    <w:rsid w:val="00850F79"/>
    <w:rsid w:val="0085136E"/>
    <w:rsid w:val="0085175C"/>
    <w:rsid w:val="00851933"/>
    <w:rsid w:val="0085394C"/>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D5"/>
    <w:rsid w:val="008820EF"/>
    <w:rsid w:val="0088288B"/>
    <w:rsid w:val="0088292E"/>
    <w:rsid w:val="00883014"/>
    <w:rsid w:val="0088373F"/>
    <w:rsid w:val="00883844"/>
    <w:rsid w:val="00884680"/>
    <w:rsid w:val="008847A7"/>
    <w:rsid w:val="00890802"/>
    <w:rsid w:val="00890A55"/>
    <w:rsid w:val="00890A9A"/>
    <w:rsid w:val="00891475"/>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4D09"/>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6A6"/>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03B"/>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4AA"/>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5805"/>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08E0"/>
    <w:rsid w:val="00A11AF8"/>
    <w:rsid w:val="00A11E7B"/>
    <w:rsid w:val="00A11E97"/>
    <w:rsid w:val="00A131B4"/>
    <w:rsid w:val="00A13947"/>
    <w:rsid w:val="00A14083"/>
    <w:rsid w:val="00A147D1"/>
    <w:rsid w:val="00A14C37"/>
    <w:rsid w:val="00A14C5B"/>
    <w:rsid w:val="00A155F8"/>
    <w:rsid w:val="00A16471"/>
    <w:rsid w:val="00A167C9"/>
    <w:rsid w:val="00A16841"/>
    <w:rsid w:val="00A169CF"/>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2C5"/>
    <w:rsid w:val="00A65D14"/>
    <w:rsid w:val="00A67017"/>
    <w:rsid w:val="00A7024A"/>
    <w:rsid w:val="00A705DE"/>
    <w:rsid w:val="00A7084E"/>
    <w:rsid w:val="00A70E24"/>
    <w:rsid w:val="00A714F9"/>
    <w:rsid w:val="00A73151"/>
    <w:rsid w:val="00A73795"/>
    <w:rsid w:val="00A73C36"/>
    <w:rsid w:val="00A73FD1"/>
    <w:rsid w:val="00A74CAD"/>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46C3"/>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5BBC"/>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47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36F3"/>
    <w:rsid w:val="00B93D22"/>
    <w:rsid w:val="00B94EDD"/>
    <w:rsid w:val="00B95D94"/>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49B0"/>
    <w:rsid w:val="00C15753"/>
    <w:rsid w:val="00C17545"/>
    <w:rsid w:val="00C227EF"/>
    <w:rsid w:val="00C22BD5"/>
    <w:rsid w:val="00C24368"/>
    <w:rsid w:val="00C252EE"/>
    <w:rsid w:val="00C25D13"/>
    <w:rsid w:val="00C260FC"/>
    <w:rsid w:val="00C27DDB"/>
    <w:rsid w:val="00C30364"/>
    <w:rsid w:val="00C30E74"/>
    <w:rsid w:val="00C313BC"/>
    <w:rsid w:val="00C3362A"/>
    <w:rsid w:val="00C33983"/>
    <w:rsid w:val="00C33D6E"/>
    <w:rsid w:val="00C34032"/>
    <w:rsid w:val="00C34B29"/>
    <w:rsid w:val="00C37F4E"/>
    <w:rsid w:val="00C40657"/>
    <w:rsid w:val="00C407B5"/>
    <w:rsid w:val="00C4125C"/>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09B"/>
    <w:rsid w:val="00C81223"/>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E9C"/>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2D5"/>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289D"/>
    <w:rsid w:val="00D43481"/>
    <w:rsid w:val="00D436D7"/>
    <w:rsid w:val="00D44622"/>
    <w:rsid w:val="00D4505E"/>
    <w:rsid w:val="00D4544E"/>
    <w:rsid w:val="00D461FA"/>
    <w:rsid w:val="00D46FBE"/>
    <w:rsid w:val="00D514F0"/>
    <w:rsid w:val="00D55DB3"/>
    <w:rsid w:val="00D56875"/>
    <w:rsid w:val="00D60327"/>
    <w:rsid w:val="00D60BFB"/>
    <w:rsid w:val="00D61A5A"/>
    <w:rsid w:val="00D61ACF"/>
    <w:rsid w:val="00D61C81"/>
    <w:rsid w:val="00D63962"/>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BC3"/>
    <w:rsid w:val="00E44E85"/>
    <w:rsid w:val="00E45206"/>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4616"/>
    <w:rsid w:val="00EB5921"/>
    <w:rsid w:val="00EB5C48"/>
    <w:rsid w:val="00EB5CEA"/>
    <w:rsid w:val="00EB76C1"/>
    <w:rsid w:val="00EB7A25"/>
    <w:rsid w:val="00EC268B"/>
    <w:rsid w:val="00EC33B9"/>
    <w:rsid w:val="00EC628B"/>
    <w:rsid w:val="00EC7EFE"/>
    <w:rsid w:val="00ED068F"/>
    <w:rsid w:val="00ED13B3"/>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8E4"/>
    <w:rsid w:val="00F01A5F"/>
    <w:rsid w:val="00F02556"/>
    <w:rsid w:val="00F02870"/>
    <w:rsid w:val="00F02C21"/>
    <w:rsid w:val="00F02F6D"/>
    <w:rsid w:val="00F04375"/>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27C05"/>
    <w:rsid w:val="00F303EC"/>
    <w:rsid w:val="00F3090C"/>
    <w:rsid w:val="00F316F5"/>
    <w:rsid w:val="00F31A1D"/>
    <w:rsid w:val="00F324C0"/>
    <w:rsid w:val="00F3472E"/>
    <w:rsid w:val="00F357E7"/>
    <w:rsid w:val="00F3693B"/>
    <w:rsid w:val="00F36BB5"/>
    <w:rsid w:val="00F37157"/>
    <w:rsid w:val="00F372D2"/>
    <w:rsid w:val="00F402FD"/>
    <w:rsid w:val="00F40599"/>
    <w:rsid w:val="00F4094F"/>
    <w:rsid w:val="00F42B15"/>
    <w:rsid w:val="00F42D87"/>
    <w:rsid w:val="00F430A9"/>
    <w:rsid w:val="00F43C2D"/>
    <w:rsid w:val="00F43C80"/>
    <w:rsid w:val="00F442F0"/>
    <w:rsid w:val="00F4430F"/>
    <w:rsid w:val="00F44379"/>
    <w:rsid w:val="00F443D6"/>
    <w:rsid w:val="00F45A81"/>
    <w:rsid w:val="00F460D4"/>
    <w:rsid w:val="00F47665"/>
    <w:rsid w:val="00F508CA"/>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23E"/>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 w:type="character" w:customStyle="1" w:styleId="baj">
    <w:name w:val="b_aj"/>
    <w:basedOn w:val="Fuentedeprrafopredeter"/>
    <w:rsid w:val="0082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41728244">
      <w:bodyDiv w:val="1"/>
      <w:marLeft w:val="0"/>
      <w:marRight w:val="0"/>
      <w:marTop w:val="0"/>
      <w:marBottom w:val="0"/>
      <w:divBdr>
        <w:top w:val="none" w:sz="0" w:space="0" w:color="auto"/>
        <w:left w:val="none" w:sz="0" w:space="0" w:color="auto"/>
        <w:bottom w:val="none" w:sz="0" w:space="0" w:color="auto"/>
        <w:right w:val="none" w:sz="0" w:space="0" w:color="auto"/>
      </w:divBdr>
    </w:div>
    <w:div w:id="473105929">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28260435">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84980642">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38405250">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37623901">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87172272">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2647166">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acto_legislativo_04_201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84DAE95-E54D-4930-B01F-300E02AF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5546</Words>
  <Characters>31616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cp:lastPrinted>2020-01-30T15:05:00Z</cp:lastPrinted>
  <dcterms:created xsi:type="dcterms:W3CDTF">2020-08-21T16:40:00Z</dcterms:created>
  <dcterms:modified xsi:type="dcterms:W3CDTF">2020-08-21T16:40:00Z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