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485B6" w14:textId="77777777" w:rsidR="00054D1E" w:rsidRPr="00D30D3D" w:rsidRDefault="00054D1E" w:rsidP="007A3E35">
      <w:pPr>
        <w:ind w:left="300" w:right="306"/>
        <w:jc w:val="both"/>
        <w:rPr>
          <w:b/>
        </w:rPr>
      </w:pPr>
    </w:p>
    <w:p w14:paraId="696A6EDB" w14:textId="77777777" w:rsidR="00054D1E" w:rsidRPr="00D30D3D" w:rsidRDefault="00DC1EFB" w:rsidP="007A3E35">
      <w:pPr>
        <w:spacing w:before="93" w:line="253" w:lineRule="exact"/>
        <w:ind w:left="300" w:right="306"/>
        <w:rPr>
          <w:b/>
        </w:rPr>
      </w:pPr>
      <w:r>
        <w:rPr>
          <w:b/>
        </w:rPr>
        <w:t>CENTROS PROVINCIALES DE GESTIÓ</w:t>
      </w:r>
      <w:r w:rsidR="00054D1E" w:rsidRPr="00D30D3D">
        <w:rPr>
          <w:b/>
        </w:rPr>
        <w:t xml:space="preserve">N AGROEMPRESARIAL – Naturaleza jurídica  </w:t>
      </w:r>
    </w:p>
    <w:p w14:paraId="332BBC4C" w14:textId="77777777" w:rsidR="00054D1E" w:rsidRPr="00D30D3D" w:rsidRDefault="00054D1E" w:rsidP="007A3E35">
      <w:pPr>
        <w:ind w:left="300" w:right="306"/>
        <w:jc w:val="both"/>
        <w:rPr>
          <w:b/>
        </w:rPr>
      </w:pPr>
    </w:p>
    <w:p w14:paraId="471712B5" w14:textId="4420BBE8" w:rsidR="00C357ED" w:rsidRPr="00D30D3D" w:rsidRDefault="00054D1E" w:rsidP="007A3E35">
      <w:pPr>
        <w:pStyle w:val="Textoindependiente"/>
        <w:spacing w:after="120"/>
        <w:ind w:left="300" w:right="306"/>
        <w:jc w:val="both"/>
        <w:rPr>
          <w:sz w:val="20"/>
          <w:szCs w:val="20"/>
        </w:rPr>
      </w:pPr>
      <w:r w:rsidRPr="00D30D3D">
        <w:rPr>
          <w:sz w:val="20"/>
          <w:szCs w:val="20"/>
        </w:rPr>
        <w:t xml:space="preserve">Los Centros Provinciales de Gestión </w:t>
      </w:r>
      <w:proofErr w:type="gramStart"/>
      <w:r w:rsidRPr="00D30D3D">
        <w:rPr>
          <w:sz w:val="20"/>
          <w:szCs w:val="20"/>
        </w:rPr>
        <w:t>Agro empresarial</w:t>
      </w:r>
      <w:proofErr w:type="gramEnd"/>
      <w:r w:rsidRPr="00D30D3D">
        <w:rPr>
          <w:sz w:val="20"/>
          <w:szCs w:val="20"/>
        </w:rPr>
        <w:t xml:space="preserve"> son los organismos para la coordinación, organización y gestión de los proyectos, negocios y planes generales de asistencia técnica directa rural, por encadenamientos productivos, que por su adecuada formulación garantizan el acceso a las entidades financieras, al capital de riesgo y a los instrumentos de política del Estado.</w:t>
      </w:r>
    </w:p>
    <w:p w14:paraId="5B358B62" w14:textId="77777777" w:rsidR="00054D1E" w:rsidRPr="00D30D3D" w:rsidRDefault="00C357ED" w:rsidP="007A3E35">
      <w:pPr>
        <w:pStyle w:val="Textoindependiente"/>
        <w:spacing w:before="120"/>
        <w:ind w:left="300" w:right="306"/>
        <w:jc w:val="both"/>
        <w:rPr>
          <w:sz w:val="20"/>
          <w:szCs w:val="20"/>
        </w:rPr>
      </w:pPr>
      <w:r w:rsidRPr="00D30D3D">
        <w:rPr>
          <w:sz w:val="20"/>
          <w:szCs w:val="20"/>
        </w:rPr>
        <w:t>E</w:t>
      </w:r>
      <w:r w:rsidR="00054D1E" w:rsidRPr="00D30D3D">
        <w:rPr>
          <w:sz w:val="20"/>
          <w:szCs w:val="20"/>
        </w:rPr>
        <w:t>l Decreto 1071 de 2015, Decreto Único Reglamentario del Sector Administrativo Agropecuario, Pesquero y de Desarrollo Rural, y establecieron la posibilidad de crear Centros de Provinciales de Gestión Agroempresarial, mediante la asociación de municipios para el cumplimiento de la prestación del servicio obligatorio de asistencia técnica directa rural.</w:t>
      </w:r>
    </w:p>
    <w:p w14:paraId="30312271" w14:textId="77777777" w:rsidR="00054D1E" w:rsidRPr="00D30D3D" w:rsidRDefault="00054D1E" w:rsidP="007A3E35">
      <w:pPr>
        <w:ind w:left="300" w:right="306"/>
        <w:jc w:val="both"/>
        <w:rPr>
          <w:sz w:val="21"/>
          <w:szCs w:val="21"/>
        </w:rPr>
      </w:pPr>
    </w:p>
    <w:p w14:paraId="68031BD8" w14:textId="7B61D7A6" w:rsidR="00054D1E" w:rsidRPr="00D30D3D" w:rsidRDefault="00DC1EFB" w:rsidP="33DB5B98">
      <w:pPr>
        <w:spacing w:before="93" w:line="253" w:lineRule="exact"/>
        <w:ind w:left="300" w:right="306"/>
        <w:jc w:val="both"/>
        <w:rPr>
          <w:b/>
          <w:bCs/>
        </w:rPr>
      </w:pPr>
      <w:r w:rsidRPr="33DB5B98">
        <w:rPr>
          <w:b/>
          <w:bCs/>
        </w:rPr>
        <w:t>CENTROS PROVINCIALES DE GESTIÓ</w:t>
      </w:r>
      <w:r w:rsidR="00054D1E" w:rsidRPr="33DB5B98">
        <w:rPr>
          <w:b/>
          <w:bCs/>
        </w:rPr>
        <w:t xml:space="preserve">N AGROEMPRESARIAL – Régimen jurídico </w:t>
      </w:r>
      <w:r w:rsidR="4334E6D4" w:rsidRPr="33DB5B98">
        <w:rPr>
          <w:b/>
          <w:bCs/>
        </w:rPr>
        <w:t>Contrac</w:t>
      </w:r>
      <w:r w:rsidR="002A0C18">
        <w:rPr>
          <w:b/>
          <w:bCs/>
        </w:rPr>
        <w:t>tu</w:t>
      </w:r>
      <w:r w:rsidR="4334E6D4" w:rsidRPr="33DB5B98">
        <w:rPr>
          <w:b/>
          <w:bCs/>
        </w:rPr>
        <w:t xml:space="preserve">al </w:t>
      </w:r>
      <w:r w:rsidR="00054D1E" w:rsidRPr="33DB5B98">
        <w:rPr>
          <w:b/>
          <w:bCs/>
        </w:rPr>
        <w:t xml:space="preserve">– Estatuto General de Contratación </w:t>
      </w:r>
      <w:r w:rsidR="00880D52">
        <w:rPr>
          <w:b/>
          <w:bCs/>
        </w:rPr>
        <w:t xml:space="preserve">de la administración </w:t>
      </w:r>
      <w:r w:rsidR="00054D1E" w:rsidRPr="33DB5B98">
        <w:rPr>
          <w:b/>
          <w:bCs/>
        </w:rPr>
        <w:t>Pública</w:t>
      </w:r>
    </w:p>
    <w:p w14:paraId="5A5022A8" w14:textId="77777777" w:rsidR="00054D1E" w:rsidRPr="00D30D3D" w:rsidRDefault="00054D1E" w:rsidP="007A3E35">
      <w:pPr>
        <w:ind w:left="300" w:right="306"/>
        <w:jc w:val="both"/>
        <w:rPr>
          <w:b/>
        </w:rPr>
      </w:pPr>
    </w:p>
    <w:p w14:paraId="4F4E642B" w14:textId="77777777" w:rsidR="00963108" w:rsidRPr="00D30D3D" w:rsidRDefault="00054D1E" w:rsidP="007A3E35">
      <w:pPr>
        <w:pStyle w:val="Textoindependiente"/>
        <w:ind w:left="300" w:right="306"/>
        <w:jc w:val="both"/>
        <w:rPr>
          <w:sz w:val="20"/>
          <w:szCs w:val="20"/>
        </w:rPr>
      </w:pPr>
      <w:r w:rsidRPr="00D30D3D">
        <w:rPr>
          <w:sz w:val="20"/>
          <w:szCs w:val="20"/>
        </w:rPr>
        <w:t>En el ordenamiento jurídico no hay disposición que exceptúe a los Centros Provinciales de Gestión Agroempresarial de la aplicación de la Ley 80 de 1993, por el contrario, como se anotó, el Decreto 1071 de 2015 estableció que respecto de la contratación de estos se aplicarían las normas de contratación administrativa.</w:t>
      </w:r>
    </w:p>
    <w:p w14:paraId="0D6596FF" w14:textId="77777777" w:rsidR="00963108" w:rsidRPr="00D30D3D" w:rsidRDefault="00963108" w:rsidP="007A3E35">
      <w:pPr>
        <w:pStyle w:val="Textoindependiente"/>
        <w:ind w:left="300" w:right="306"/>
        <w:rPr>
          <w:rFonts w:ascii="Times New Roman"/>
          <w:sz w:val="20"/>
        </w:rPr>
      </w:pPr>
    </w:p>
    <w:p w14:paraId="0D5E7228" w14:textId="77777777" w:rsidR="00963108" w:rsidRPr="00D30D3D" w:rsidRDefault="00963108" w:rsidP="007A3E35">
      <w:pPr>
        <w:pStyle w:val="Textoindependiente"/>
        <w:ind w:left="300" w:right="306"/>
        <w:rPr>
          <w:rFonts w:ascii="Times New Roman"/>
          <w:sz w:val="20"/>
        </w:rPr>
      </w:pPr>
    </w:p>
    <w:p w14:paraId="7B4E20E0" w14:textId="77777777" w:rsidR="00963108" w:rsidRPr="00D30D3D" w:rsidRDefault="00DF3659" w:rsidP="00B8700F">
      <w:pPr>
        <w:spacing w:line="253" w:lineRule="exact"/>
        <w:ind w:left="300" w:right="306"/>
        <w:rPr>
          <w:b/>
        </w:rPr>
      </w:pPr>
      <w:r w:rsidRPr="00D30D3D">
        <w:t xml:space="preserve">Bogotá D.C., </w:t>
      </w:r>
      <w:r w:rsidRPr="00D30D3D">
        <w:rPr>
          <w:b/>
        </w:rPr>
        <w:t>06/11/2019 Hora 15:2:28s</w:t>
      </w:r>
    </w:p>
    <w:p w14:paraId="7F5021FD" w14:textId="77777777" w:rsidR="00963108" w:rsidRPr="00D30D3D" w:rsidRDefault="00DF3659" w:rsidP="00B8700F">
      <w:pPr>
        <w:pStyle w:val="Ttulo1"/>
        <w:ind w:left="300" w:right="306" w:firstLine="0"/>
        <w:jc w:val="right"/>
      </w:pPr>
      <w:proofErr w:type="spellStart"/>
      <w:r w:rsidRPr="00D30D3D">
        <w:t>N°</w:t>
      </w:r>
      <w:proofErr w:type="spellEnd"/>
      <w:r w:rsidRPr="00D30D3D">
        <w:t xml:space="preserve"> Radicado: 2201913000008258</w:t>
      </w:r>
    </w:p>
    <w:p w14:paraId="4034E76A" w14:textId="77777777" w:rsidR="00963108" w:rsidRPr="00D30D3D" w:rsidRDefault="00963108" w:rsidP="00B8700F">
      <w:pPr>
        <w:pStyle w:val="Textoindependiente"/>
        <w:ind w:left="300" w:right="306"/>
        <w:rPr>
          <w:b/>
          <w:sz w:val="13"/>
        </w:rPr>
      </w:pPr>
    </w:p>
    <w:p w14:paraId="1704BB21" w14:textId="77777777" w:rsidR="00B8700F" w:rsidRDefault="00DF3659" w:rsidP="00B8700F">
      <w:pPr>
        <w:ind w:left="300" w:right="306"/>
      </w:pPr>
      <w:r w:rsidRPr="00D30D3D">
        <w:t>Señor</w:t>
      </w:r>
    </w:p>
    <w:p w14:paraId="75A436FA" w14:textId="77777777" w:rsidR="00B8700F" w:rsidRDefault="00DF3659" w:rsidP="00B8700F">
      <w:pPr>
        <w:ind w:left="300" w:right="306"/>
        <w:rPr>
          <w:b/>
        </w:rPr>
      </w:pPr>
      <w:r w:rsidRPr="00D30D3D">
        <w:rPr>
          <w:b/>
        </w:rPr>
        <w:t>Ciudadano</w:t>
      </w:r>
    </w:p>
    <w:p w14:paraId="489E94C4" w14:textId="37DE0A89" w:rsidR="00963108" w:rsidRPr="00D30D3D" w:rsidRDefault="00DF3659" w:rsidP="00B8700F">
      <w:pPr>
        <w:ind w:left="300" w:right="306"/>
      </w:pPr>
      <w:r w:rsidRPr="00D30D3D">
        <w:t>Ciudad</w:t>
      </w:r>
    </w:p>
    <w:p w14:paraId="06BDF315" w14:textId="77777777" w:rsidR="00963108" w:rsidRPr="00D30D3D" w:rsidRDefault="00963108" w:rsidP="00B8700F">
      <w:pPr>
        <w:pStyle w:val="Textoindependiente"/>
        <w:rPr>
          <w:sz w:val="20"/>
        </w:rPr>
      </w:pPr>
    </w:p>
    <w:p w14:paraId="402311DE" w14:textId="77777777" w:rsidR="00963108" w:rsidRPr="00D30D3D" w:rsidRDefault="00963108" w:rsidP="00B8700F">
      <w:pPr>
        <w:pStyle w:val="Textoindependiente"/>
        <w:rPr>
          <w:sz w:val="24"/>
        </w:rPr>
      </w:pPr>
    </w:p>
    <w:tbl>
      <w:tblPr>
        <w:tblStyle w:val="TableNormal"/>
        <w:tblW w:w="0" w:type="auto"/>
        <w:tblInd w:w="108" w:type="dxa"/>
        <w:tblLayout w:type="fixed"/>
        <w:tblLook w:val="01E0" w:firstRow="1" w:lastRow="1" w:firstColumn="1" w:lastColumn="1" w:noHBand="0" w:noVBand="0"/>
      </w:tblPr>
      <w:tblGrid>
        <w:gridCol w:w="2328"/>
        <w:gridCol w:w="6998"/>
      </w:tblGrid>
      <w:tr w:rsidR="00D30D3D" w:rsidRPr="00D30D3D" w14:paraId="4F8F6D9A" w14:textId="77777777">
        <w:trPr>
          <w:trHeight w:val="249"/>
        </w:trPr>
        <w:tc>
          <w:tcPr>
            <w:tcW w:w="2328" w:type="dxa"/>
          </w:tcPr>
          <w:p w14:paraId="1C71560E" w14:textId="77777777" w:rsidR="00963108" w:rsidRPr="00D30D3D" w:rsidRDefault="00DF3659" w:rsidP="00B8700F">
            <w:pPr>
              <w:pStyle w:val="TableParagraph"/>
              <w:rPr>
                <w:b/>
              </w:rPr>
            </w:pPr>
            <w:r w:rsidRPr="00D30D3D">
              <w:rPr>
                <w:b/>
              </w:rPr>
              <w:t>Radicación:</w:t>
            </w:r>
          </w:p>
        </w:tc>
        <w:tc>
          <w:tcPr>
            <w:tcW w:w="6998" w:type="dxa"/>
          </w:tcPr>
          <w:p w14:paraId="42FF19D9" w14:textId="77777777" w:rsidR="00963108" w:rsidRPr="00D30D3D" w:rsidRDefault="00DF3659" w:rsidP="00B8700F">
            <w:pPr>
              <w:pStyle w:val="TableParagraph"/>
              <w:ind w:left="562"/>
            </w:pPr>
            <w:r w:rsidRPr="00D30D3D">
              <w:t>Respuesta a consulta # 4201912000006106</w:t>
            </w:r>
          </w:p>
        </w:tc>
      </w:tr>
      <w:tr w:rsidR="00D30D3D" w:rsidRPr="00D30D3D" w14:paraId="51F77D89" w14:textId="77777777">
        <w:trPr>
          <w:trHeight w:val="253"/>
        </w:trPr>
        <w:tc>
          <w:tcPr>
            <w:tcW w:w="2328" w:type="dxa"/>
          </w:tcPr>
          <w:p w14:paraId="4C6C89A2" w14:textId="77777777" w:rsidR="00963108" w:rsidRPr="00D30D3D" w:rsidRDefault="00DF3659" w:rsidP="00B8700F">
            <w:pPr>
              <w:pStyle w:val="TableParagraph"/>
              <w:spacing w:line="234" w:lineRule="exact"/>
              <w:rPr>
                <w:b/>
              </w:rPr>
            </w:pPr>
            <w:r w:rsidRPr="00D30D3D">
              <w:rPr>
                <w:b/>
              </w:rPr>
              <w:t>Temas:</w:t>
            </w:r>
          </w:p>
        </w:tc>
        <w:tc>
          <w:tcPr>
            <w:tcW w:w="6998" w:type="dxa"/>
          </w:tcPr>
          <w:p w14:paraId="7AE8D9C6" w14:textId="77777777" w:rsidR="00963108" w:rsidRPr="00D30D3D" w:rsidRDefault="00DF3659" w:rsidP="00B8700F">
            <w:pPr>
              <w:pStyle w:val="TableParagraph"/>
              <w:spacing w:line="234" w:lineRule="exact"/>
              <w:ind w:left="562"/>
            </w:pPr>
            <w:r w:rsidRPr="00D30D3D">
              <w:t>Ley 80 de 1993, régimen especial</w:t>
            </w:r>
          </w:p>
        </w:tc>
      </w:tr>
      <w:tr w:rsidR="00963108" w:rsidRPr="00D30D3D" w14:paraId="23E2B16D" w14:textId="77777777">
        <w:trPr>
          <w:trHeight w:val="502"/>
        </w:trPr>
        <w:tc>
          <w:tcPr>
            <w:tcW w:w="2328" w:type="dxa"/>
          </w:tcPr>
          <w:p w14:paraId="1E97CD4F" w14:textId="77777777" w:rsidR="00963108" w:rsidRPr="00D30D3D" w:rsidRDefault="00DF3659" w:rsidP="00B8700F">
            <w:pPr>
              <w:pStyle w:val="TableParagraph"/>
              <w:spacing w:line="252" w:lineRule="exact"/>
              <w:ind w:right="543"/>
              <w:rPr>
                <w:b/>
              </w:rPr>
            </w:pPr>
            <w:r w:rsidRPr="00D30D3D">
              <w:rPr>
                <w:b/>
              </w:rPr>
              <w:t>Tipo de asunto consultado:</w:t>
            </w:r>
          </w:p>
        </w:tc>
        <w:tc>
          <w:tcPr>
            <w:tcW w:w="6998" w:type="dxa"/>
          </w:tcPr>
          <w:p w14:paraId="40AC0FB0" w14:textId="77777777" w:rsidR="00963108" w:rsidRPr="00D30D3D" w:rsidRDefault="00DF3659" w:rsidP="00B8700F">
            <w:pPr>
              <w:pStyle w:val="TableParagraph"/>
              <w:spacing w:line="252" w:lineRule="exact"/>
              <w:ind w:left="562" w:right="211"/>
            </w:pPr>
            <w:r w:rsidRPr="00D30D3D">
              <w:t>Régimen de contratación aplicable a los Centros Provinciales de Gestión</w:t>
            </w:r>
            <w:r w:rsidRPr="00D30D3D">
              <w:rPr>
                <w:spacing w:val="-3"/>
              </w:rPr>
              <w:t xml:space="preserve"> </w:t>
            </w:r>
            <w:r w:rsidRPr="00D30D3D">
              <w:t>Agroempresarial</w:t>
            </w:r>
          </w:p>
        </w:tc>
      </w:tr>
    </w:tbl>
    <w:p w14:paraId="4ABD57F2" w14:textId="77777777" w:rsidR="00963108" w:rsidRPr="00D30D3D" w:rsidRDefault="00963108" w:rsidP="00B8700F">
      <w:pPr>
        <w:pStyle w:val="Textoindependiente"/>
        <w:rPr>
          <w:sz w:val="20"/>
        </w:rPr>
      </w:pPr>
    </w:p>
    <w:p w14:paraId="5CE3C557" w14:textId="77777777" w:rsidR="00963108" w:rsidRPr="00D30D3D" w:rsidRDefault="00963108" w:rsidP="00B8700F">
      <w:pPr>
        <w:pStyle w:val="Textoindependiente"/>
        <w:rPr>
          <w:sz w:val="15"/>
        </w:rPr>
      </w:pPr>
    </w:p>
    <w:p w14:paraId="2916800F" w14:textId="77777777" w:rsidR="00963108" w:rsidRPr="00D30D3D" w:rsidRDefault="00DF3659" w:rsidP="00B8700F">
      <w:pPr>
        <w:pStyle w:val="Textoindependiente"/>
        <w:ind w:left="300"/>
        <w:jc w:val="both"/>
      </w:pPr>
      <w:r w:rsidRPr="00D30D3D">
        <w:t>Estimado señor,</w:t>
      </w:r>
    </w:p>
    <w:p w14:paraId="5F3B970A" w14:textId="77777777" w:rsidR="00963108" w:rsidRPr="00D30D3D" w:rsidRDefault="00963108" w:rsidP="00B8700F">
      <w:pPr>
        <w:pStyle w:val="Textoindependiente"/>
      </w:pPr>
    </w:p>
    <w:p w14:paraId="0C1E4170" w14:textId="77777777" w:rsidR="006F46E9" w:rsidRPr="00D30D3D" w:rsidRDefault="00DF3659" w:rsidP="00B8700F">
      <w:pPr>
        <w:pStyle w:val="Textoindependiente"/>
        <w:ind w:left="300" w:right="304"/>
        <w:jc w:val="both"/>
      </w:pPr>
      <w:r w:rsidRPr="00D30D3D">
        <w:t>La Agencia Nacional de Contratación Pública -Colombia Compra Eficiente- responde su consulta del 6 de septiembre de 2019, en ejercicio de la competencia otorgada por el numeral 8 del artículo 11 y el numeral 5 del artículo 3 del Decreto Ley 4170 de 2011.</w:t>
      </w:r>
    </w:p>
    <w:p w14:paraId="7FC12140" w14:textId="77777777" w:rsidR="006F46E9" w:rsidRPr="00D30D3D" w:rsidRDefault="006F46E9" w:rsidP="00B8700F">
      <w:pPr>
        <w:pStyle w:val="Textoindependiente"/>
        <w:ind w:left="300" w:right="304"/>
        <w:jc w:val="both"/>
      </w:pPr>
    </w:p>
    <w:p w14:paraId="2F25A3F7" w14:textId="77777777" w:rsidR="00963108" w:rsidRPr="00D30D3D" w:rsidRDefault="00DF3659" w:rsidP="00B8700F">
      <w:pPr>
        <w:pStyle w:val="Ttulo1"/>
        <w:numPr>
          <w:ilvl w:val="0"/>
          <w:numId w:val="1"/>
        </w:numPr>
        <w:tabs>
          <w:tab w:val="left" w:pos="544"/>
        </w:tabs>
        <w:ind w:hanging="244"/>
      </w:pPr>
      <w:r w:rsidRPr="00D30D3D">
        <w:t>Problema</w:t>
      </w:r>
      <w:r w:rsidRPr="00D30D3D">
        <w:rPr>
          <w:spacing w:val="-2"/>
        </w:rPr>
        <w:t xml:space="preserve"> </w:t>
      </w:r>
      <w:r w:rsidRPr="00D30D3D">
        <w:t>Planteado</w:t>
      </w:r>
    </w:p>
    <w:p w14:paraId="520FFD31" w14:textId="77777777" w:rsidR="00963108" w:rsidRPr="00D30D3D" w:rsidRDefault="00963108" w:rsidP="00B8700F">
      <w:pPr>
        <w:pStyle w:val="Textoindependiente"/>
        <w:rPr>
          <w:b/>
        </w:rPr>
      </w:pPr>
    </w:p>
    <w:p w14:paraId="4A711F0F" w14:textId="77777777" w:rsidR="00963108" w:rsidRPr="00D30D3D" w:rsidRDefault="00DF3659" w:rsidP="00B8700F">
      <w:pPr>
        <w:pStyle w:val="Textoindependiente"/>
        <w:ind w:left="300" w:right="304"/>
        <w:jc w:val="both"/>
      </w:pPr>
      <w:r w:rsidRPr="00D30D3D">
        <w:t>“Los Centros Provinciales de gestión agroempresarial al adelantar los procesos de selección de contratistas para adquirir los bienes, servicios u obras que requieren para cumplir con sus fines, ¿Deben hacer aplicando el Estatuto General de Contratación Pública o cuenta con un régimen excepcional o especial para ello?”.</w:t>
      </w:r>
    </w:p>
    <w:p w14:paraId="70C16F9E" w14:textId="77777777" w:rsidR="00963108" w:rsidRPr="00D30D3D" w:rsidRDefault="00963108" w:rsidP="00B8700F">
      <w:pPr>
        <w:pStyle w:val="Textoindependiente"/>
      </w:pPr>
    </w:p>
    <w:p w14:paraId="47E3F330" w14:textId="77777777" w:rsidR="00963108" w:rsidRPr="00D30D3D" w:rsidRDefault="00DF3659" w:rsidP="00B8700F">
      <w:pPr>
        <w:pStyle w:val="Ttulo1"/>
        <w:numPr>
          <w:ilvl w:val="0"/>
          <w:numId w:val="1"/>
        </w:numPr>
        <w:tabs>
          <w:tab w:val="left" w:pos="544"/>
        </w:tabs>
        <w:ind w:hanging="244"/>
      </w:pPr>
      <w:r w:rsidRPr="00D30D3D">
        <w:t>Consideraciones</w:t>
      </w:r>
    </w:p>
    <w:p w14:paraId="0EF55CC5" w14:textId="77777777" w:rsidR="00963108" w:rsidRPr="00D30D3D" w:rsidRDefault="00963108" w:rsidP="00B8700F">
      <w:pPr>
        <w:pStyle w:val="Textoindependiente"/>
        <w:rPr>
          <w:b/>
          <w:sz w:val="21"/>
        </w:rPr>
      </w:pPr>
    </w:p>
    <w:p w14:paraId="75F4AD5B" w14:textId="77777777" w:rsidR="00963108" w:rsidRPr="00D30D3D" w:rsidRDefault="00DF3659" w:rsidP="00B8700F">
      <w:pPr>
        <w:pStyle w:val="Textoindependiente"/>
        <w:ind w:left="300" w:right="310"/>
        <w:jc w:val="both"/>
      </w:pPr>
      <w:r w:rsidRPr="00D30D3D">
        <w:t>Los Centros Provinciales de Gestión Agroempresarial son los organismos para la coordinación, organización y gestión de los proyectos, negocios y planes generales de asistencia técnica directa rural, por encadenamientos productivos, que por su adecuada formulación garantizan el acceso a las entidades financieras, al capital de riesgo y a los instrumentos de política del Estado.</w:t>
      </w:r>
    </w:p>
    <w:p w14:paraId="46AB7A50" w14:textId="77777777" w:rsidR="00963108" w:rsidRPr="00D30D3D" w:rsidRDefault="00963108" w:rsidP="00B8700F">
      <w:pPr>
        <w:pStyle w:val="Textoindependiente"/>
      </w:pPr>
    </w:p>
    <w:p w14:paraId="3B802B73" w14:textId="77777777" w:rsidR="00963108" w:rsidRPr="00D30D3D" w:rsidRDefault="00DF3659" w:rsidP="00B8700F">
      <w:pPr>
        <w:pStyle w:val="Textoindependiente"/>
        <w:ind w:left="300" w:right="302"/>
        <w:jc w:val="both"/>
      </w:pPr>
      <w:r w:rsidRPr="00D30D3D">
        <w:t>La Ley 607 de 2000, que tenía por objeto garantizar la asistencia técnica directa rural agropecuaria, medio ambiental, asuntos de aguas y pesquera, fue reglamentada parcialmente por el Decreto 2980 de 2004, y posteriormente el Decreto 1071 de 2015, Decreto Único Reglamentario del Sector Administrativo Agropecuario, Pesquero y de Desarrollo Rural, y establecieron la posibilidad de crear Centros de Provinciales de Gestión</w:t>
      </w:r>
      <w:r w:rsidR="00054D1E" w:rsidRPr="00D30D3D">
        <w:t xml:space="preserve"> </w:t>
      </w:r>
      <w:r w:rsidRPr="00D30D3D">
        <w:t>Agroempresarial, mediante la asociación de municipios para el cumplimiento de la prestación del servicio obligatorio de asistencia técnica directa rural</w:t>
      </w:r>
      <w:r w:rsidR="00A92D3C" w:rsidRPr="00D30D3D">
        <w:rPr>
          <w:rStyle w:val="Refdenotaalpie"/>
        </w:rPr>
        <w:footnoteReference w:id="1"/>
      </w:r>
      <w:r w:rsidRPr="00D30D3D">
        <w:t>.</w:t>
      </w:r>
    </w:p>
    <w:p w14:paraId="1A2A2702" w14:textId="77777777" w:rsidR="00963108" w:rsidRPr="00D30D3D" w:rsidRDefault="00963108" w:rsidP="00B8700F">
      <w:pPr>
        <w:pStyle w:val="Textoindependiente"/>
        <w:rPr>
          <w:sz w:val="21"/>
        </w:rPr>
      </w:pPr>
    </w:p>
    <w:p w14:paraId="5E273ED5" w14:textId="77777777" w:rsidR="00963108" w:rsidRPr="00D30D3D" w:rsidRDefault="00DF3659" w:rsidP="00B8700F">
      <w:pPr>
        <w:pStyle w:val="Textoindependiente"/>
        <w:ind w:left="300" w:right="305"/>
        <w:jc w:val="both"/>
      </w:pPr>
      <w:r w:rsidRPr="00D30D3D">
        <w:t xml:space="preserve">Posteriormente, la Ley 1876 de 2017, en el artículo 40, estableció la posibilidad para los municipios de asociarse o autorizar la asociación de las Unidades Municipales de Asistencia Técnica Agropecuaria – </w:t>
      </w:r>
      <w:proofErr w:type="spellStart"/>
      <w:r w:rsidRPr="00D30D3D">
        <w:t>Umata</w:t>
      </w:r>
      <w:proofErr w:type="spellEnd"/>
      <w:r w:rsidRPr="00D30D3D">
        <w:t xml:space="preserve"> para atender las demandas identificadas por provincia, cuenca, subregión o cualquier otro tipo de organización territorial dentro de un departamento, e incluso en relación con otros departamentos</w:t>
      </w:r>
      <w:r w:rsidR="00A92D3C" w:rsidRPr="00D30D3D">
        <w:rPr>
          <w:rStyle w:val="Refdenotaalpie"/>
        </w:rPr>
        <w:footnoteReference w:id="2"/>
      </w:r>
      <w:r w:rsidRPr="00D30D3D">
        <w:t>. Así mismo, el artículo estableció que los Centros Provinciales de Gestión Agroempresarial se sujetarán a las normas sobre contratación administrativa.</w:t>
      </w:r>
    </w:p>
    <w:p w14:paraId="49573C0E" w14:textId="77777777" w:rsidR="00963108" w:rsidRPr="00D30D3D" w:rsidRDefault="00963108" w:rsidP="00B8700F">
      <w:pPr>
        <w:pStyle w:val="Textoindependiente"/>
      </w:pPr>
    </w:p>
    <w:p w14:paraId="32A7C8BE" w14:textId="77777777" w:rsidR="00963108" w:rsidRPr="00D30D3D" w:rsidRDefault="00DF3659" w:rsidP="00B8700F">
      <w:pPr>
        <w:pStyle w:val="Textoindependiente"/>
        <w:ind w:left="300" w:right="304"/>
        <w:jc w:val="both"/>
      </w:pPr>
      <w:r w:rsidRPr="00D30D3D">
        <w:t>La Constitución Política establece, en el inciso final del artículo 150, que le corresponde al Congreso de la República expedir el estatuto general de la contratación de la Administración pública y en especial de la Administración nacional</w:t>
      </w:r>
      <w:r w:rsidR="00A92D3C" w:rsidRPr="00D30D3D">
        <w:rPr>
          <w:rStyle w:val="Refdenotaalpie"/>
        </w:rPr>
        <w:footnoteReference w:id="3"/>
      </w:r>
      <w:r w:rsidRPr="00D30D3D">
        <w:t>. Así, la potestad constitucional de configuración del régimen de contratación está en cabeza del legislador, permitiéndole determinar si las entidades estatales deben, conforme a la Constitución y la ley, aplicar las normas del Estatuto General de la Contratación o si deben regirse por un régimen especial o exceptuado de contratación</w:t>
      </w:r>
      <w:r w:rsidR="00A92D3C" w:rsidRPr="00D30D3D">
        <w:rPr>
          <w:rStyle w:val="Refdenotaalpie"/>
        </w:rPr>
        <w:footnoteReference w:id="4"/>
      </w:r>
      <w:r w:rsidRPr="00D30D3D">
        <w:t>.</w:t>
      </w:r>
    </w:p>
    <w:p w14:paraId="0A0128CC" w14:textId="77777777" w:rsidR="00963108" w:rsidRPr="00D30D3D" w:rsidRDefault="00963108" w:rsidP="00B8700F">
      <w:pPr>
        <w:pStyle w:val="Textoindependiente"/>
        <w:rPr>
          <w:sz w:val="21"/>
        </w:rPr>
      </w:pPr>
    </w:p>
    <w:p w14:paraId="6986BE99" w14:textId="77777777" w:rsidR="00963108" w:rsidRPr="00D30D3D" w:rsidRDefault="00DF3659" w:rsidP="00B8700F">
      <w:pPr>
        <w:pStyle w:val="Textoindependiente"/>
        <w:ind w:left="300" w:right="304"/>
        <w:jc w:val="both"/>
      </w:pPr>
      <w:r w:rsidRPr="00D30D3D">
        <w:t xml:space="preserve">Ahora, la Ley 80 de 1993, Estatuto General de Contratación de la Administración Pública, </w:t>
      </w:r>
      <w:r w:rsidRPr="00D30D3D">
        <w:lastRenderedPageBreak/>
        <w:t>establece las reglas y principios que rigen los contratos celebrados por las entidades estatales, así como cuáles son las entidades estatales</w:t>
      </w:r>
      <w:r w:rsidR="00A92D3C" w:rsidRPr="00D30D3D">
        <w:rPr>
          <w:rStyle w:val="Refdenotaalpie"/>
        </w:rPr>
        <w:footnoteReference w:id="5"/>
      </w:r>
      <w:r w:rsidRPr="00D30D3D">
        <w:t>, que en todo caso serán las que allí</w:t>
      </w:r>
      <w:r w:rsidR="00ED5093" w:rsidRPr="00D30D3D">
        <w:t xml:space="preserve"> </w:t>
      </w:r>
      <w:r w:rsidRPr="00D30D3D">
        <w:t>se describen, y de manera general, los organismos o dependencias del Estado a los que la ley otorgue capacidad para celebrar contratos, como es el caso de los Centros Provinciales de Gestión, pues el inciso 2 del artículo 2.4.3.1.2 del Decreto 1071 de 2015, y el artículo 40 de la Ley 1876 de 2017 establecen que los contratos que celebren los centros estarán sujetos a la aplicación de las normas sobre contratación administrativa</w:t>
      </w:r>
      <w:r w:rsidR="00A92D3C" w:rsidRPr="00D30D3D">
        <w:rPr>
          <w:rStyle w:val="Refdenotaalpie"/>
        </w:rPr>
        <w:footnoteReference w:id="6"/>
      </w:r>
      <w:r w:rsidRPr="00D30D3D">
        <w:t>.</w:t>
      </w:r>
    </w:p>
    <w:p w14:paraId="1D6FC70E" w14:textId="77777777" w:rsidR="00963108" w:rsidRPr="00D30D3D" w:rsidRDefault="00963108" w:rsidP="00B8700F">
      <w:pPr>
        <w:pStyle w:val="Textoindependiente"/>
      </w:pPr>
    </w:p>
    <w:p w14:paraId="64341E3A" w14:textId="77777777" w:rsidR="00963108" w:rsidRPr="00D30D3D" w:rsidRDefault="00DF3659" w:rsidP="00B8700F">
      <w:pPr>
        <w:pStyle w:val="Textoindependiente"/>
        <w:ind w:left="300" w:right="311"/>
        <w:jc w:val="both"/>
      </w:pPr>
      <w:r w:rsidRPr="00D30D3D">
        <w:t>Conforme a lo anterior, en el ordenamiento jurídico no hay disposición que exceptúe a los Centros Provinciales de Gestión Agroempresarial de la aplicación de la Ley 80 de 1993, por el contrario, como se anotó, el Decreto 1071 de 2015 estableció que respecto de la contratación de estos se aplicarían las normas de contratación</w:t>
      </w:r>
      <w:r w:rsidRPr="00D30D3D">
        <w:rPr>
          <w:spacing w:val="-16"/>
        </w:rPr>
        <w:t xml:space="preserve"> </w:t>
      </w:r>
      <w:r w:rsidRPr="00D30D3D">
        <w:t>administrativa.</w:t>
      </w:r>
    </w:p>
    <w:p w14:paraId="330B2D35" w14:textId="77777777" w:rsidR="00ED5093" w:rsidRPr="00D30D3D" w:rsidRDefault="00ED5093" w:rsidP="00B8700F">
      <w:pPr>
        <w:pStyle w:val="Textoindependiente"/>
      </w:pPr>
    </w:p>
    <w:p w14:paraId="4ED21375" w14:textId="77777777" w:rsidR="00963108" w:rsidRPr="00D30D3D" w:rsidRDefault="00DF3659" w:rsidP="00B8700F">
      <w:pPr>
        <w:pStyle w:val="Ttulo1"/>
        <w:numPr>
          <w:ilvl w:val="0"/>
          <w:numId w:val="1"/>
        </w:numPr>
        <w:tabs>
          <w:tab w:val="left" w:pos="544"/>
        </w:tabs>
        <w:ind w:hanging="244"/>
      </w:pPr>
      <w:r w:rsidRPr="00D30D3D">
        <w:t>Respuesta</w:t>
      </w:r>
    </w:p>
    <w:p w14:paraId="6C415B19" w14:textId="77777777" w:rsidR="00963108" w:rsidRPr="00D30D3D" w:rsidRDefault="00963108" w:rsidP="00B8700F">
      <w:pPr>
        <w:pStyle w:val="Textoindependiente"/>
        <w:rPr>
          <w:b/>
          <w:sz w:val="21"/>
        </w:rPr>
      </w:pPr>
    </w:p>
    <w:p w14:paraId="2250C7FE" w14:textId="77777777" w:rsidR="00963108" w:rsidRPr="00D30D3D" w:rsidRDefault="00DF3659" w:rsidP="00B8700F">
      <w:pPr>
        <w:pStyle w:val="Textoindependiente"/>
        <w:ind w:left="300" w:right="304"/>
        <w:jc w:val="both"/>
      </w:pPr>
      <w:r w:rsidRPr="00D30D3D">
        <w:t>En el ordenamiento jurídico vigente no hay disposición que exceptúe a los Centro Provinciales de Gestión Agroempresarial de la aplicación de la Ley 80 de 1993, el artículo 40 de la Ley 1876 de 2015, dispuso expresamente que los contratos que celebren estos Centros aplicarán las normas de contratación administrativa.</w:t>
      </w:r>
    </w:p>
    <w:p w14:paraId="10152322" w14:textId="77777777" w:rsidR="00963108" w:rsidRPr="00D30D3D" w:rsidRDefault="00963108" w:rsidP="00B8700F">
      <w:pPr>
        <w:pStyle w:val="Textoindependiente"/>
        <w:rPr>
          <w:sz w:val="21"/>
        </w:rPr>
      </w:pPr>
    </w:p>
    <w:p w14:paraId="15F18A40" w14:textId="77777777" w:rsidR="00963108" w:rsidRPr="00D30D3D" w:rsidRDefault="00DF3659" w:rsidP="00B8700F">
      <w:pPr>
        <w:pStyle w:val="Textoindependiente"/>
        <w:ind w:left="300" w:right="312"/>
        <w:jc w:val="both"/>
      </w:pPr>
      <w:r w:rsidRPr="00D30D3D">
        <w:t>Este concepto tiene el alcance previsto en el artículo 28 del Código de Procedimiento Administrativo y de lo Contencioso Administrativo.</w:t>
      </w:r>
    </w:p>
    <w:p w14:paraId="6E5163E2" w14:textId="77777777" w:rsidR="00963108" w:rsidRPr="00D30D3D" w:rsidRDefault="003F07CB" w:rsidP="00B8700F">
      <w:pPr>
        <w:pStyle w:val="Textoindependiente"/>
        <w:rPr>
          <w:sz w:val="19"/>
        </w:rPr>
      </w:pPr>
      <w:r w:rsidRPr="00D30D3D">
        <w:rPr>
          <w:noProof/>
          <w:lang w:val="en-US"/>
        </w:rPr>
        <mc:AlternateContent>
          <mc:Choice Requires="wps">
            <w:drawing>
              <wp:anchor distT="0" distB="0" distL="0" distR="0" simplePos="0" relativeHeight="487588864" behindDoc="1" locked="0" layoutInCell="1" allowOverlap="1" wp14:anchorId="21EB464F" wp14:editId="59F50F8D">
                <wp:simplePos x="0" y="0"/>
                <wp:positionH relativeFrom="page">
                  <wp:posOffset>1514475</wp:posOffset>
                </wp:positionH>
                <wp:positionV relativeFrom="paragraph">
                  <wp:posOffset>172720</wp:posOffset>
                </wp:positionV>
                <wp:extent cx="46863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Freeform 3" style="position:absolute;margin-left:119.25pt;margin-top:13.6pt;width:36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" w14:anchorId="6EEE6A59">
                <v:path arrowok="t" o:connecttype="custom" o:connectlocs="0,0;4686300,0" o:connectangles="0,0"/>
                <w10:wrap type="topAndBottom" anchorx="page"/>
              </v:shape>
            </w:pict>
          </mc:Fallback>
        </mc:AlternateContent>
      </w:r>
    </w:p>
    <w:p w14:paraId="5D522E97" w14:textId="77777777" w:rsidR="00B75F27" w:rsidRDefault="00B75F27" w:rsidP="00B8700F">
      <w:pPr>
        <w:pStyle w:val="Textoindependiente"/>
        <w:ind w:left="300"/>
      </w:pPr>
    </w:p>
    <w:p w14:paraId="4371BC81" w14:textId="27C8CC4B" w:rsidR="00963108" w:rsidRPr="00D30D3D" w:rsidRDefault="00DF3659" w:rsidP="00B8700F">
      <w:pPr>
        <w:pStyle w:val="Textoindependiente"/>
        <w:ind w:left="300"/>
      </w:pPr>
      <w:r w:rsidRPr="00D30D3D">
        <w:t>Atentamente,</w:t>
      </w:r>
    </w:p>
    <w:p w14:paraId="7D596DD0" w14:textId="66F63A4A" w:rsidR="00963108" w:rsidRPr="00D30D3D" w:rsidRDefault="00B8700F" w:rsidP="00B8700F">
      <w:pPr>
        <w:pStyle w:val="Textoindependiente"/>
        <w:ind w:left="337"/>
        <w:jc w:val="center"/>
        <w:rPr>
          <w:sz w:val="20"/>
        </w:rPr>
      </w:pPr>
      <w:r>
        <w:rPr>
          <w:noProof/>
        </w:rPr>
        <w:drawing>
          <wp:inline distT="0" distB="0" distL="0" distR="0" wp14:anchorId="0F271E13" wp14:editId="007E3D27">
            <wp:extent cx="2773045" cy="988695"/>
            <wp:effectExtent l="0" t="0" r="0" b="0"/>
            <wp:docPr id="1478912327"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FBEE7D5" w14:textId="3CA84E9C" w:rsidR="00963108" w:rsidRPr="00D30D3D" w:rsidRDefault="00DF3659" w:rsidP="00B8700F">
      <w:pPr>
        <w:pStyle w:val="Textoindependiente"/>
        <w:spacing w:before="24"/>
        <w:ind w:left="300"/>
        <w:rPr>
          <w:sz w:val="26"/>
        </w:rPr>
      </w:pPr>
      <w:r w:rsidRPr="00D30D3D">
        <w:t>Proyectó: Ana María Pérez Cárdenas</w:t>
      </w:r>
    </w:p>
    <w:sectPr w:rsidR="00963108" w:rsidRPr="00D30D3D">
      <w:headerReference w:type="default" r:id="rId12"/>
      <w:footerReference w:type="default" r:id="rId13"/>
      <w:pgSz w:w="12240" w:h="15840"/>
      <w:pgMar w:top="1560" w:right="1300" w:bottom="206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6F1D1" w14:textId="77777777" w:rsidR="00E67C95" w:rsidRDefault="00E67C95">
      <w:r>
        <w:separator/>
      </w:r>
    </w:p>
  </w:endnote>
  <w:endnote w:type="continuationSeparator" w:id="0">
    <w:p w14:paraId="5804A239" w14:textId="77777777" w:rsidR="00E67C95" w:rsidRDefault="00E6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EB50B" w14:textId="77777777" w:rsidR="00963108" w:rsidRDefault="00DF3659">
    <w:pPr>
      <w:pStyle w:val="Textoindependiente"/>
      <w:spacing w:line="14" w:lineRule="auto"/>
      <w:rPr>
        <w:sz w:val="20"/>
      </w:rPr>
    </w:pPr>
    <w:r>
      <w:rPr>
        <w:noProof/>
        <w:lang w:val="en-US"/>
      </w:rPr>
      <w:drawing>
        <wp:anchor distT="0" distB="0" distL="0" distR="0" simplePos="0" relativeHeight="487519744" behindDoc="1" locked="0" layoutInCell="1" allowOverlap="1" wp14:anchorId="62993503" wp14:editId="2A938D42">
          <wp:simplePos x="0" y="0"/>
          <wp:positionH relativeFrom="page">
            <wp:posOffset>1137919</wp:posOffset>
          </wp:positionH>
          <wp:positionV relativeFrom="page">
            <wp:posOffset>8688387</wp:posOffset>
          </wp:positionV>
          <wp:extent cx="5612130" cy="787120"/>
          <wp:effectExtent l="0" t="0" r="0" b="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22480" w14:textId="77777777" w:rsidR="00E67C95" w:rsidRDefault="00E67C95">
      <w:r>
        <w:separator/>
      </w:r>
    </w:p>
  </w:footnote>
  <w:footnote w:type="continuationSeparator" w:id="0">
    <w:p w14:paraId="2FA839F9" w14:textId="77777777" w:rsidR="00E67C95" w:rsidRDefault="00E67C95">
      <w:r>
        <w:continuationSeparator/>
      </w:r>
    </w:p>
  </w:footnote>
  <w:footnote w:id="1">
    <w:p w14:paraId="532F0C85" w14:textId="77777777" w:rsidR="00A92D3C" w:rsidRPr="00B75F27" w:rsidRDefault="00A92D3C" w:rsidP="00122135">
      <w:pPr>
        <w:ind w:left="300" w:right="305" w:firstLine="707"/>
        <w:jc w:val="both"/>
        <w:rPr>
          <w:sz w:val="18"/>
          <w:szCs w:val="18"/>
        </w:rPr>
      </w:pPr>
      <w:r w:rsidRPr="00B75F27">
        <w:rPr>
          <w:rStyle w:val="Refdenotaalpie"/>
          <w:sz w:val="18"/>
          <w:szCs w:val="18"/>
        </w:rPr>
        <w:footnoteRef/>
      </w:r>
      <w:r w:rsidRPr="00B75F27">
        <w:rPr>
          <w:sz w:val="18"/>
          <w:szCs w:val="18"/>
        </w:rPr>
        <w:t xml:space="preserve"> Decreto 1071 de 2015: “Artículo 2.4.3.1.1. Objeto. Los municipios podrán asociarse para el cumplimiento de la prestación del servicio obligatorio de asistencia técnica directa rural, fortaleciendo los encadenamientos productivos con enfoque agroempresarial mediante la creación de Centros Provinciales de Gestión Agroempresarial, en adelante CPGA.</w:t>
      </w:r>
    </w:p>
    <w:p w14:paraId="4F001DF0" w14:textId="77777777" w:rsidR="00A92D3C" w:rsidRPr="00B75F27" w:rsidRDefault="00A92D3C" w:rsidP="00122135">
      <w:pPr>
        <w:pStyle w:val="Textonotapie"/>
        <w:rPr>
          <w:sz w:val="18"/>
          <w:szCs w:val="18"/>
        </w:rPr>
      </w:pPr>
    </w:p>
  </w:footnote>
  <w:footnote w:id="2">
    <w:p w14:paraId="52894EF0" w14:textId="77777777" w:rsidR="00A92D3C" w:rsidRPr="00B75F27" w:rsidRDefault="00A92D3C" w:rsidP="00122135">
      <w:pPr>
        <w:ind w:left="300" w:right="308" w:firstLine="707"/>
        <w:jc w:val="both"/>
        <w:rPr>
          <w:sz w:val="18"/>
          <w:szCs w:val="18"/>
        </w:rPr>
      </w:pPr>
      <w:r w:rsidRPr="00B75F27">
        <w:rPr>
          <w:rStyle w:val="Refdenotaalpie"/>
          <w:sz w:val="18"/>
          <w:szCs w:val="18"/>
        </w:rPr>
        <w:footnoteRef/>
      </w:r>
      <w:r w:rsidRPr="00B75F27">
        <w:rPr>
          <w:sz w:val="18"/>
          <w:szCs w:val="18"/>
        </w:rPr>
        <w:t xml:space="preserve"> Ley 1876 de 2017: “Artículo 40. Centros Provinciales de Gestión Agroempresarial (CPGA). Los municipios podrán asociarse o autorizar la asociación de las Umata, como respuesta a las demandas identificadas por provincia, cuenca, subregión o cualquier otro tipo de organización territorial dentro de un departamento, e incluso en relación con otros departamentos; dicha asociación se podrá dar para la participación en la planeación y/o prestación del servicio de extensión agropecuaria, acompañamiento a productores, ejecución de proyectos agropecuarios, articulación institucional, apoyo logístico del sector, levantamiento de información y demás actividades que promuevan el desarrollo agropecuario y rural”.</w:t>
      </w:r>
    </w:p>
    <w:p w14:paraId="78A6235A" w14:textId="77777777" w:rsidR="00A92D3C" w:rsidRPr="00B75F27" w:rsidRDefault="00A92D3C" w:rsidP="00122135">
      <w:pPr>
        <w:pStyle w:val="Textonotapie"/>
        <w:rPr>
          <w:sz w:val="18"/>
          <w:szCs w:val="18"/>
        </w:rPr>
      </w:pPr>
    </w:p>
  </w:footnote>
  <w:footnote w:id="3">
    <w:p w14:paraId="18A72F8E" w14:textId="77777777" w:rsidR="00A92D3C" w:rsidRPr="00B75F27" w:rsidRDefault="00A92D3C" w:rsidP="00122135">
      <w:pPr>
        <w:ind w:left="300" w:right="307" w:firstLine="709"/>
        <w:jc w:val="both"/>
        <w:rPr>
          <w:sz w:val="18"/>
          <w:szCs w:val="18"/>
        </w:rPr>
      </w:pPr>
      <w:r w:rsidRPr="00B75F27">
        <w:rPr>
          <w:rStyle w:val="Refdenotaalpie"/>
          <w:sz w:val="18"/>
          <w:szCs w:val="18"/>
        </w:rPr>
        <w:footnoteRef/>
      </w:r>
      <w:r w:rsidRPr="00B75F27">
        <w:rPr>
          <w:sz w:val="18"/>
          <w:szCs w:val="18"/>
        </w:rPr>
        <w:t xml:space="preserve"> “Artículo 150: “(…) Compete al Congreso expedir el estatuto general de contratación de la administración pública y en especial de la administración nacional”.</w:t>
      </w:r>
    </w:p>
  </w:footnote>
  <w:footnote w:id="4">
    <w:p w14:paraId="60D817CD" w14:textId="77777777" w:rsidR="00A92D3C" w:rsidRPr="00B75F27" w:rsidRDefault="00A92D3C" w:rsidP="00122135">
      <w:pPr>
        <w:pStyle w:val="Textoindependiente"/>
        <w:rPr>
          <w:sz w:val="18"/>
          <w:szCs w:val="18"/>
        </w:rPr>
      </w:pPr>
    </w:p>
    <w:p w14:paraId="5D15FCAC" w14:textId="77777777" w:rsidR="00A92D3C" w:rsidRPr="00B75F27" w:rsidRDefault="00A92D3C" w:rsidP="00122135">
      <w:pPr>
        <w:ind w:left="1008"/>
        <w:rPr>
          <w:sz w:val="18"/>
          <w:szCs w:val="18"/>
        </w:rPr>
      </w:pPr>
      <w:r w:rsidRPr="00B75F27">
        <w:rPr>
          <w:position w:val="6"/>
          <w:sz w:val="18"/>
          <w:szCs w:val="18"/>
        </w:rPr>
        <w:t xml:space="preserve">4 </w:t>
      </w:r>
      <w:r w:rsidRPr="00B75F27">
        <w:rPr>
          <w:sz w:val="18"/>
          <w:szCs w:val="18"/>
        </w:rPr>
        <w:t>Corte Constitucional. Sala Plena. Sentencia C-629 de 2003 Magistrado Ponente: Álvaro Tafur Galvis.</w:t>
      </w:r>
    </w:p>
    <w:p w14:paraId="2F8B2D39" w14:textId="77777777" w:rsidR="00A92D3C" w:rsidRPr="00B75F27" w:rsidRDefault="00A92D3C" w:rsidP="00122135">
      <w:pPr>
        <w:ind w:left="300"/>
        <w:rPr>
          <w:sz w:val="18"/>
          <w:szCs w:val="18"/>
          <w:lang w:val="es-MX"/>
        </w:rPr>
      </w:pPr>
      <w:r w:rsidRPr="00B75F27">
        <w:rPr>
          <w:sz w:val="18"/>
          <w:szCs w:val="18"/>
        </w:rPr>
        <w:t>Bogotá, D.C., 29 de julio de 2003. Expediente D-4448.</w:t>
      </w:r>
    </w:p>
  </w:footnote>
  <w:footnote w:id="5">
    <w:p w14:paraId="460D97BB" w14:textId="77777777" w:rsidR="00A92D3C" w:rsidRPr="00B75F27" w:rsidRDefault="00A92D3C" w:rsidP="00122135">
      <w:pPr>
        <w:ind w:left="300" w:right="307" w:firstLine="420"/>
        <w:jc w:val="both"/>
        <w:rPr>
          <w:sz w:val="18"/>
          <w:szCs w:val="18"/>
        </w:rPr>
      </w:pPr>
      <w:r w:rsidRPr="00B75F27">
        <w:rPr>
          <w:position w:val="6"/>
          <w:sz w:val="18"/>
          <w:szCs w:val="18"/>
        </w:rPr>
        <w:t xml:space="preserve">5 </w:t>
      </w:r>
      <w:r w:rsidRPr="00B75F27">
        <w:rPr>
          <w:sz w:val="18"/>
          <w:szCs w:val="18"/>
        </w:rPr>
        <w:t>Artículo 2. numeral 1: “a) Se denominan entidades estatales: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1282B3A8" w14:textId="77777777" w:rsidR="00A92D3C" w:rsidRPr="00B75F27" w:rsidRDefault="00A92D3C" w:rsidP="00122135">
      <w:pPr>
        <w:pStyle w:val="Textonotapie"/>
        <w:rPr>
          <w:sz w:val="18"/>
          <w:szCs w:val="18"/>
        </w:rPr>
      </w:pPr>
    </w:p>
  </w:footnote>
  <w:footnote w:id="6">
    <w:p w14:paraId="3B32FBE3" w14:textId="77777777" w:rsidR="00A92D3C" w:rsidRPr="00B75F27" w:rsidRDefault="00A92D3C" w:rsidP="00122135">
      <w:pPr>
        <w:ind w:left="1008"/>
        <w:rPr>
          <w:sz w:val="18"/>
          <w:szCs w:val="18"/>
        </w:rPr>
      </w:pPr>
      <w:r w:rsidRPr="00B75F27">
        <w:rPr>
          <w:rStyle w:val="Refdenotaalpie"/>
          <w:sz w:val="18"/>
          <w:szCs w:val="18"/>
        </w:rPr>
        <w:footnoteRef/>
      </w:r>
      <w:r w:rsidRPr="00B75F27">
        <w:rPr>
          <w:sz w:val="18"/>
          <w:szCs w:val="18"/>
        </w:rPr>
        <w:t xml:space="preserve"> Decreto 1071 de 2015, articulo 2.4.3.1.2.</w:t>
      </w:r>
    </w:p>
    <w:p w14:paraId="2DF614B9" w14:textId="77777777" w:rsidR="00A92D3C" w:rsidRPr="00B75F27" w:rsidRDefault="00A92D3C" w:rsidP="00122135">
      <w:pPr>
        <w:ind w:left="300"/>
        <w:rPr>
          <w:sz w:val="18"/>
          <w:szCs w:val="18"/>
        </w:rPr>
      </w:pPr>
      <w:r w:rsidRPr="00B75F27">
        <w:rPr>
          <w:sz w:val="18"/>
          <w:szCs w:val="18"/>
        </w:rPr>
        <w:t>(…)</w:t>
      </w:r>
    </w:p>
    <w:p w14:paraId="2C44884B" w14:textId="2124F871" w:rsidR="00A92D3C" w:rsidRPr="00B75F27" w:rsidRDefault="00A92D3C" w:rsidP="00122135">
      <w:pPr>
        <w:ind w:left="300" w:right="306"/>
        <w:jc w:val="both"/>
        <w:rPr>
          <w:sz w:val="18"/>
          <w:szCs w:val="18"/>
        </w:rPr>
      </w:pPr>
      <w:r w:rsidRPr="00B75F27">
        <w:rPr>
          <w:sz w:val="18"/>
          <w:szCs w:val="18"/>
        </w:rPr>
        <w:t>“En el manejo de los recursos, el CPGA observará los principios del sistema presupuestal, contenidos en el Estatuto Orgánico del Presupuesto y los contratos que celebren se sujetarán a las normas sobre contratación administrativa”.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98B58" w14:textId="77777777" w:rsidR="00963108" w:rsidRDefault="00DF3659">
    <w:pPr>
      <w:pStyle w:val="Textoindependiente"/>
      <w:spacing w:line="14" w:lineRule="auto"/>
      <w:rPr>
        <w:sz w:val="20"/>
      </w:rPr>
    </w:pPr>
    <w:r>
      <w:rPr>
        <w:noProof/>
        <w:lang w:val="en-US"/>
      </w:rPr>
      <w:drawing>
        <wp:anchor distT="0" distB="0" distL="0" distR="0" simplePos="0" relativeHeight="487519232" behindDoc="1" locked="0" layoutInCell="1" allowOverlap="1" wp14:anchorId="054869FA" wp14:editId="46165A76">
          <wp:simplePos x="0" y="0"/>
          <wp:positionH relativeFrom="page">
            <wp:posOffset>5304473</wp:posOffset>
          </wp:positionH>
          <wp:positionV relativeFrom="page">
            <wp:posOffset>468247</wp:posOffset>
          </wp:positionV>
          <wp:extent cx="1346374" cy="521377"/>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BE0767"/>
    <w:multiLevelType w:val="hybridMultilevel"/>
    <w:tmpl w:val="6DAA71B8"/>
    <w:lvl w:ilvl="0" w:tplc="2EB07528">
      <w:start w:val="1"/>
      <w:numFmt w:val="decimal"/>
      <w:lvlText w:val="%1."/>
      <w:lvlJc w:val="left"/>
      <w:pPr>
        <w:ind w:left="543" w:hanging="243"/>
        <w:jc w:val="left"/>
      </w:pPr>
      <w:rPr>
        <w:rFonts w:ascii="Arial" w:eastAsia="Arial" w:hAnsi="Arial" w:cs="Arial" w:hint="default"/>
        <w:b/>
        <w:bCs/>
        <w:color w:val="auto"/>
        <w:spacing w:val="-1"/>
        <w:w w:val="100"/>
        <w:sz w:val="22"/>
        <w:szCs w:val="22"/>
        <w:lang w:val="es-ES" w:eastAsia="en-US" w:bidi="ar-SA"/>
      </w:rPr>
    </w:lvl>
    <w:lvl w:ilvl="1" w:tplc="E9E46D1A">
      <w:numFmt w:val="bullet"/>
      <w:lvlText w:val="•"/>
      <w:lvlJc w:val="left"/>
      <w:pPr>
        <w:ind w:left="1440" w:hanging="243"/>
      </w:pPr>
      <w:rPr>
        <w:rFonts w:hint="default"/>
        <w:lang w:val="es-ES" w:eastAsia="en-US" w:bidi="ar-SA"/>
      </w:rPr>
    </w:lvl>
    <w:lvl w:ilvl="2" w:tplc="16F05404">
      <w:numFmt w:val="bullet"/>
      <w:lvlText w:val="•"/>
      <w:lvlJc w:val="left"/>
      <w:pPr>
        <w:ind w:left="2340" w:hanging="243"/>
      </w:pPr>
      <w:rPr>
        <w:rFonts w:hint="default"/>
        <w:lang w:val="es-ES" w:eastAsia="en-US" w:bidi="ar-SA"/>
      </w:rPr>
    </w:lvl>
    <w:lvl w:ilvl="3" w:tplc="A1281B64">
      <w:numFmt w:val="bullet"/>
      <w:lvlText w:val="•"/>
      <w:lvlJc w:val="left"/>
      <w:pPr>
        <w:ind w:left="3240" w:hanging="243"/>
      </w:pPr>
      <w:rPr>
        <w:rFonts w:hint="default"/>
        <w:lang w:val="es-ES" w:eastAsia="en-US" w:bidi="ar-SA"/>
      </w:rPr>
    </w:lvl>
    <w:lvl w:ilvl="4" w:tplc="0EA64A78">
      <w:numFmt w:val="bullet"/>
      <w:lvlText w:val="•"/>
      <w:lvlJc w:val="left"/>
      <w:pPr>
        <w:ind w:left="4140" w:hanging="243"/>
      </w:pPr>
      <w:rPr>
        <w:rFonts w:hint="default"/>
        <w:lang w:val="es-ES" w:eastAsia="en-US" w:bidi="ar-SA"/>
      </w:rPr>
    </w:lvl>
    <w:lvl w:ilvl="5" w:tplc="3E14ED90">
      <w:numFmt w:val="bullet"/>
      <w:lvlText w:val="•"/>
      <w:lvlJc w:val="left"/>
      <w:pPr>
        <w:ind w:left="5040" w:hanging="243"/>
      </w:pPr>
      <w:rPr>
        <w:rFonts w:hint="default"/>
        <w:lang w:val="es-ES" w:eastAsia="en-US" w:bidi="ar-SA"/>
      </w:rPr>
    </w:lvl>
    <w:lvl w:ilvl="6" w:tplc="66868090">
      <w:numFmt w:val="bullet"/>
      <w:lvlText w:val="•"/>
      <w:lvlJc w:val="left"/>
      <w:pPr>
        <w:ind w:left="5940" w:hanging="243"/>
      </w:pPr>
      <w:rPr>
        <w:rFonts w:hint="default"/>
        <w:lang w:val="es-ES" w:eastAsia="en-US" w:bidi="ar-SA"/>
      </w:rPr>
    </w:lvl>
    <w:lvl w:ilvl="7" w:tplc="75BE72DC">
      <w:numFmt w:val="bullet"/>
      <w:lvlText w:val="•"/>
      <w:lvlJc w:val="left"/>
      <w:pPr>
        <w:ind w:left="6840" w:hanging="243"/>
      </w:pPr>
      <w:rPr>
        <w:rFonts w:hint="default"/>
        <w:lang w:val="es-ES" w:eastAsia="en-US" w:bidi="ar-SA"/>
      </w:rPr>
    </w:lvl>
    <w:lvl w:ilvl="8" w:tplc="00DC5868">
      <w:numFmt w:val="bullet"/>
      <w:lvlText w:val="•"/>
      <w:lvlJc w:val="left"/>
      <w:pPr>
        <w:ind w:left="7740" w:hanging="24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08"/>
    <w:rsid w:val="00054D1E"/>
    <w:rsid w:val="00122135"/>
    <w:rsid w:val="002A0C18"/>
    <w:rsid w:val="002E6C9B"/>
    <w:rsid w:val="003F07CB"/>
    <w:rsid w:val="00603C66"/>
    <w:rsid w:val="006F46E9"/>
    <w:rsid w:val="007A3E35"/>
    <w:rsid w:val="00854A92"/>
    <w:rsid w:val="00880D52"/>
    <w:rsid w:val="00963108"/>
    <w:rsid w:val="00A92D3C"/>
    <w:rsid w:val="00B75F27"/>
    <w:rsid w:val="00B8700F"/>
    <w:rsid w:val="00C357ED"/>
    <w:rsid w:val="00D30D3D"/>
    <w:rsid w:val="00DC1EFB"/>
    <w:rsid w:val="00DF3659"/>
    <w:rsid w:val="00E67C95"/>
    <w:rsid w:val="00ED5093"/>
    <w:rsid w:val="33DB5B98"/>
    <w:rsid w:val="4334E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F727"/>
  <w15:docId w15:val="{A2386C36-62B4-4A50-BE01-9E66A8B9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pPr>
  </w:style>
  <w:style w:type="paragraph" w:customStyle="1" w:styleId="TableParagraph">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A92D3C"/>
    <w:rPr>
      <w:sz w:val="20"/>
      <w:szCs w:val="20"/>
    </w:rPr>
  </w:style>
  <w:style w:type="character" w:customStyle="1" w:styleId="TextonotapieCar">
    <w:name w:val="Texto nota pie Car"/>
    <w:basedOn w:val="Fuentedeprrafopredeter"/>
    <w:link w:val="Textonotapie"/>
    <w:uiPriority w:val="99"/>
    <w:semiHidden/>
    <w:rsid w:val="00A92D3C"/>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A92D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906E6-7202-466D-A3C9-E4F045990D56}">
  <ds:schemaRefs>
    <ds:schemaRef ds:uri="http://schemas.microsoft.com/sharepoint/v3/contenttype/forms"/>
  </ds:schemaRefs>
</ds:datastoreItem>
</file>

<file path=customXml/itemProps2.xml><?xml version="1.0" encoding="utf-8"?>
<ds:datastoreItem xmlns:ds="http://schemas.openxmlformats.org/officeDocument/2006/customXml" ds:itemID="{05DD358A-49E7-4814-9EAD-F4EB936C8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969841-B581-4E6F-B138-85B309B923B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BB9EDAE-AC83-4DA3-9F3F-E554967C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4979</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dcterms:created xsi:type="dcterms:W3CDTF">2020-08-21T18:48:00Z</dcterms:created>
  <dcterms:modified xsi:type="dcterms:W3CDTF">2020-08-21T18:48:00Z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Microsoft Word</vt:lpwstr>
  </property>
  <property fmtid="{D5CDD505-2E9C-101B-9397-08002B2CF9AE}" pid="4" name="LastSaved">
    <vt:filetime>2020-03-25T00:00:00Z</vt:filetime>
  </property>
  <property fmtid="{D5CDD505-2E9C-101B-9397-08002B2CF9AE}" pid="5" name="ContentTypeId">
    <vt:lpwstr>0x010100F2E0F32964D9B84EA054B84E5D4157A0</vt:lpwstr>
  </property>
</Properties>
</file>