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49D6C" w14:textId="77777777" w:rsidR="00243590" w:rsidRPr="00185A30" w:rsidRDefault="003C0C3C">
      <w:pPr>
        <w:jc w:val="right"/>
        <w:rPr>
          <w:rFonts w:ascii="Arial" w:hAnsi="Arial" w:cs="Arial"/>
          <w:sz w:val="16"/>
          <w:szCs w:val="16"/>
          <w:lang w:eastAsia="es-ES"/>
        </w:rPr>
      </w:pPr>
      <w:bookmarkStart w:id="0" w:name="_Hlk29548183"/>
      <w:bookmarkStart w:id="1" w:name="_Hlk28946138"/>
      <w:r>
        <w:rPr>
          <w:rFonts w:ascii="Arial" w:hAnsi="Arial" w:cs="Arial"/>
          <w:b/>
          <w:sz w:val="16"/>
          <w:szCs w:val="16"/>
          <w:lang w:eastAsia="es-ES"/>
        </w:rPr>
        <w:tab/>
      </w:r>
      <w:r w:rsidRPr="00185A30">
        <w:rPr>
          <w:rFonts w:ascii="Arial" w:hAnsi="Arial" w:cs="Arial"/>
          <w:sz w:val="16"/>
          <w:szCs w:val="16"/>
          <w:lang w:eastAsia="es-ES"/>
        </w:rPr>
        <w:t>CCE-DES-FM-17</w:t>
      </w:r>
    </w:p>
    <w:p w14:paraId="672A6659" w14:textId="77777777" w:rsidR="00243590" w:rsidRPr="00185A30" w:rsidRDefault="00243590">
      <w:pPr>
        <w:spacing w:line="276" w:lineRule="auto"/>
        <w:jc w:val="both"/>
        <w:rPr>
          <w:rFonts w:ascii="Arial" w:eastAsia="Calibri" w:hAnsi="Arial" w:cs="Arial"/>
          <w:b/>
          <w:sz w:val="16"/>
          <w:szCs w:val="16"/>
        </w:rPr>
      </w:pPr>
    </w:p>
    <w:p w14:paraId="304C7951" w14:textId="77777777" w:rsidR="00243590" w:rsidRDefault="003C0C3C">
      <w:pPr>
        <w:jc w:val="both"/>
        <w:rPr>
          <w:rFonts w:ascii="Arial" w:eastAsia="Calibri" w:hAnsi="Arial" w:cs="Arial"/>
          <w:b/>
          <w:sz w:val="22"/>
        </w:rPr>
      </w:pPr>
      <w:r>
        <w:rPr>
          <w:rFonts w:ascii="Arial" w:eastAsia="Calibri" w:hAnsi="Arial" w:cs="Arial"/>
          <w:b/>
          <w:sz w:val="22"/>
        </w:rPr>
        <w:t>ADICIÓN – Concepto – Distintos supuestos – Prohibición de adicionar en más del 50%</w:t>
      </w:r>
    </w:p>
    <w:p w14:paraId="0A37501D" w14:textId="77777777" w:rsidR="00243590" w:rsidRDefault="00243590">
      <w:pPr>
        <w:jc w:val="both"/>
        <w:rPr>
          <w:rFonts w:ascii="Arial" w:eastAsia="Calibri" w:hAnsi="Arial" w:cs="Arial"/>
          <w:b/>
          <w:sz w:val="22"/>
        </w:rPr>
      </w:pPr>
    </w:p>
    <w:p w14:paraId="6DF08622" w14:textId="77777777" w:rsidR="00243590" w:rsidRDefault="003C0C3C">
      <w:pPr>
        <w:jc w:val="both"/>
        <w:rPr>
          <w:rFonts w:ascii="Arial" w:eastAsia="Calibri" w:hAnsi="Arial" w:cs="Arial"/>
          <w:bCs/>
          <w:sz w:val="20"/>
          <w:szCs w:val="20"/>
        </w:rPr>
      </w:pPr>
      <w:r>
        <w:rPr>
          <w:rFonts w:ascii="Arial" w:eastAsia="Calibri" w:hAnsi="Arial" w:cs="Arial"/>
          <w:bCs/>
          <w:sz w:val="20"/>
          <w:szCs w:val="20"/>
        </w:rPr>
        <w:t xml:space="preserve">Durante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w:t>
      </w:r>
      <w:proofErr w:type="spellStart"/>
      <w:r>
        <w:rPr>
          <w:rFonts w:ascii="Arial" w:eastAsia="Calibri" w:hAnsi="Arial" w:cs="Arial"/>
          <w:bCs/>
          <w:sz w:val="20"/>
          <w:szCs w:val="20"/>
        </w:rPr>
        <w:t>ii</w:t>
      </w:r>
      <w:proofErr w:type="spellEnd"/>
      <w:r>
        <w:rPr>
          <w:rFonts w:ascii="Arial" w:eastAsia="Calibri" w:hAnsi="Arial" w:cs="Arial"/>
          <w:bCs/>
          <w:sz w:val="20"/>
          <w:szCs w:val="20"/>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nociones doctrinarias y empleadas en la práctica por las entidades estatales, que actualmente no tienen un fundamento particular en el ordenamiento jurídico, el cual no le asigna efectos específicos a cada uno de ellos. Lo importante, y que se reiteró en distintos lugares de este concepto es que frente a cualquier incremento del valor inicial del contrato, que es lo que implica una adición, por cualquiera de los dos supuesto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 celebrar todos los tipos de acuerdos indicados, siempre se debe observar esta última disposición. </w:t>
      </w:r>
    </w:p>
    <w:p w14:paraId="5DAB6C7B" w14:textId="77777777" w:rsidR="00243590" w:rsidRDefault="00243590">
      <w:pPr>
        <w:jc w:val="both"/>
        <w:rPr>
          <w:rFonts w:ascii="Arial" w:eastAsia="Calibri" w:hAnsi="Arial" w:cs="Arial"/>
          <w:b/>
          <w:sz w:val="22"/>
        </w:rPr>
      </w:pPr>
    </w:p>
    <w:p w14:paraId="5134C2C3" w14:textId="15BA0E3F" w:rsidR="00243590" w:rsidRDefault="002C641B">
      <w:pPr>
        <w:jc w:val="both"/>
        <w:rPr>
          <w:rFonts w:ascii="Arial" w:eastAsia="Calibri" w:hAnsi="Arial" w:cs="Arial"/>
          <w:b/>
          <w:sz w:val="22"/>
        </w:rPr>
      </w:pPr>
      <w:r>
        <w:rPr>
          <w:rFonts w:ascii="Arial" w:eastAsia="Calibri" w:hAnsi="Arial" w:cs="Arial"/>
          <w:b/>
          <w:sz w:val="22"/>
        </w:rPr>
        <w:t>ADICIÓN</w:t>
      </w:r>
      <w:r w:rsidR="003C0C3C">
        <w:rPr>
          <w:rFonts w:ascii="Arial" w:eastAsia="Calibri" w:hAnsi="Arial" w:cs="Arial"/>
          <w:b/>
          <w:sz w:val="22"/>
        </w:rPr>
        <w:t xml:space="preserve"> – </w:t>
      </w:r>
      <w:r>
        <w:rPr>
          <w:rFonts w:ascii="Arial" w:eastAsia="Calibri" w:hAnsi="Arial" w:cs="Arial"/>
          <w:b/>
          <w:sz w:val="22"/>
        </w:rPr>
        <w:t xml:space="preserve">Prohibición – </w:t>
      </w:r>
      <w:r w:rsidR="003C0C3C">
        <w:rPr>
          <w:rFonts w:ascii="Arial" w:eastAsia="Calibri" w:hAnsi="Arial" w:cs="Arial"/>
          <w:b/>
          <w:sz w:val="22"/>
        </w:rPr>
        <w:t>Contenid</w:t>
      </w:r>
      <w:r w:rsidR="008239C4">
        <w:rPr>
          <w:rFonts w:ascii="Arial" w:eastAsia="Calibri" w:hAnsi="Arial" w:cs="Arial"/>
          <w:b/>
          <w:sz w:val="22"/>
        </w:rPr>
        <w:t>o – Cálculo del monto ― Ley 80 de 1993 ― Parágrafo artículo 40</w:t>
      </w:r>
    </w:p>
    <w:p w14:paraId="02EB378F" w14:textId="77777777" w:rsidR="00243590" w:rsidRDefault="00243590">
      <w:pPr>
        <w:jc w:val="both"/>
        <w:rPr>
          <w:rFonts w:ascii="Arial" w:eastAsia="Calibri" w:hAnsi="Arial" w:cs="Arial"/>
          <w:b/>
          <w:sz w:val="22"/>
        </w:rPr>
      </w:pPr>
    </w:p>
    <w:p w14:paraId="163A39A5" w14:textId="77777777" w:rsidR="00243590" w:rsidRDefault="003C0C3C">
      <w:pPr>
        <w:jc w:val="both"/>
        <w:rPr>
          <w:rFonts w:ascii="Arial" w:eastAsia="Calibri" w:hAnsi="Arial" w:cs="Arial"/>
          <w:bCs/>
          <w:sz w:val="20"/>
          <w:szCs w:val="20"/>
        </w:rPr>
      </w:pPr>
      <w:r>
        <w:rPr>
          <w:rFonts w:ascii="Arial" w:eastAsia="Calibri" w:hAnsi="Arial" w:cs="Arial"/>
          <w:bCs/>
          <w:sz w:val="20"/>
          <w:szCs w:val="20"/>
        </w:rPr>
        <w:t>Dicha norma además de consagrar una prohibición trae implícita una autorización, consistente en la posibilidad de adicionar los contratos estatales, siempre que no se supere el tope establecido. Debe tenerse en cuenta que el cálculo del límite debe hacerse en salarios mínimos para efectos de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w:t>
      </w:r>
    </w:p>
    <w:p w14:paraId="6A05A809" w14:textId="77777777" w:rsidR="00243590" w:rsidRDefault="00243590">
      <w:pPr>
        <w:jc w:val="both"/>
        <w:rPr>
          <w:rFonts w:ascii="Arial" w:eastAsia="Calibri" w:hAnsi="Arial" w:cs="Arial"/>
          <w:bCs/>
          <w:sz w:val="22"/>
        </w:rPr>
      </w:pPr>
    </w:p>
    <w:p w14:paraId="5C26D8CD" w14:textId="0A90C6D6" w:rsidR="00243590" w:rsidRDefault="003C0C3C">
      <w:pPr>
        <w:jc w:val="both"/>
        <w:rPr>
          <w:rFonts w:ascii="Arial" w:eastAsia="Calibri" w:hAnsi="Arial" w:cs="Arial"/>
          <w:b/>
          <w:sz w:val="22"/>
        </w:rPr>
      </w:pPr>
      <w:r>
        <w:rPr>
          <w:rFonts w:ascii="Arial" w:eastAsia="Calibri" w:hAnsi="Arial" w:cs="Arial"/>
          <w:b/>
          <w:sz w:val="22"/>
        </w:rPr>
        <w:t>ADICIÓN</w:t>
      </w:r>
      <w:r w:rsidR="002C641B">
        <w:rPr>
          <w:rFonts w:ascii="Arial" w:eastAsia="Calibri" w:hAnsi="Arial" w:cs="Arial"/>
          <w:b/>
          <w:sz w:val="22"/>
        </w:rPr>
        <w:t xml:space="preserve"> </w:t>
      </w:r>
      <w:r w:rsidR="00727DDB">
        <w:rPr>
          <w:rFonts w:ascii="Arial" w:eastAsia="Calibri" w:hAnsi="Arial" w:cs="Arial"/>
          <w:b/>
          <w:sz w:val="22"/>
        </w:rPr>
        <w:t xml:space="preserve">– </w:t>
      </w:r>
      <w:r w:rsidR="008239C4">
        <w:rPr>
          <w:rFonts w:ascii="Arial" w:eastAsia="Calibri" w:hAnsi="Arial" w:cs="Arial"/>
          <w:b/>
          <w:sz w:val="22"/>
        </w:rPr>
        <w:t>Lí</w:t>
      </w:r>
      <w:r w:rsidR="002C641B">
        <w:rPr>
          <w:rFonts w:ascii="Arial" w:eastAsia="Calibri" w:hAnsi="Arial" w:cs="Arial"/>
          <w:b/>
          <w:sz w:val="22"/>
        </w:rPr>
        <w:t>mite</w:t>
      </w:r>
      <w:r w:rsidR="00F11D1F">
        <w:rPr>
          <w:rFonts w:ascii="Arial" w:eastAsia="Calibri" w:hAnsi="Arial" w:cs="Arial"/>
          <w:b/>
          <w:sz w:val="22"/>
        </w:rPr>
        <w:t>s |</w:t>
      </w:r>
      <w:bookmarkStart w:id="2" w:name="_GoBack"/>
      <w:bookmarkEnd w:id="2"/>
      <w:r w:rsidR="002C641B">
        <w:rPr>
          <w:rFonts w:ascii="Arial" w:eastAsia="Calibri" w:hAnsi="Arial" w:cs="Arial"/>
          <w:b/>
          <w:sz w:val="22"/>
        </w:rPr>
        <w:t xml:space="preserve">– </w:t>
      </w:r>
      <w:r>
        <w:rPr>
          <w:rFonts w:ascii="Arial" w:eastAsia="Calibri" w:hAnsi="Arial" w:cs="Arial"/>
          <w:b/>
          <w:sz w:val="22"/>
        </w:rPr>
        <w:t xml:space="preserve">Excepción a la regla </w:t>
      </w:r>
      <w:r w:rsidR="00727DDB">
        <w:rPr>
          <w:rFonts w:ascii="Arial" w:eastAsia="Calibri" w:hAnsi="Arial" w:cs="Arial"/>
          <w:b/>
          <w:sz w:val="22"/>
        </w:rPr>
        <w:t xml:space="preserve">– </w:t>
      </w:r>
      <w:r>
        <w:rPr>
          <w:rFonts w:ascii="Arial" w:eastAsia="Calibri" w:hAnsi="Arial" w:cs="Arial"/>
          <w:b/>
          <w:sz w:val="22"/>
        </w:rPr>
        <w:t xml:space="preserve"> Decreto 440 de 2020</w:t>
      </w:r>
    </w:p>
    <w:p w14:paraId="5A39BBE3" w14:textId="77777777" w:rsidR="00243590" w:rsidRDefault="00243590">
      <w:pPr>
        <w:spacing w:line="276" w:lineRule="auto"/>
        <w:jc w:val="both"/>
        <w:rPr>
          <w:rFonts w:ascii="Arial" w:eastAsia="Calibri" w:hAnsi="Arial" w:cs="Arial"/>
          <w:b/>
          <w:sz w:val="22"/>
        </w:rPr>
      </w:pPr>
    </w:p>
    <w:p w14:paraId="6D9B0E45" w14:textId="3DB47718" w:rsidR="00243590" w:rsidRDefault="003C0C3C">
      <w:pPr>
        <w:jc w:val="both"/>
        <w:rPr>
          <w:rFonts w:ascii="Arial" w:eastAsia="Calibri" w:hAnsi="Arial" w:cs="Arial"/>
          <w:sz w:val="20"/>
          <w:szCs w:val="20"/>
        </w:rPr>
      </w:pPr>
      <w:r>
        <w:rPr>
          <w:rFonts w:ascii="Arial" w:eastAsia="Calibri" w:hAnsi="Arial" w:cs="Arial"/>
          <w:sz w:val="20"/>
          <w:szCs w:val="20"/>
        </w:rPr>
        <w:t xml:space="preserve">Si bien la postura jurisprudencial y doctrinaria es clara frente a la imposibilidad de adicionar los contratos estatales por más del 50% de su valor inicial, exceptuados los de interventoría conforme lo dispuesto en el artículo 85 de la Ley 1474 de 2011; el Decreto 440 y 537 de 2020, rompen la excepción a esta regla de carácter cuantitativo. La actual emergencia presentada a nivel global a causa del coronavirus COVID-19, supone una exigencia por parte del Estado colombiano, encaminado a garantizar la salud de todos los habitantes del territorio nacional y a disminuir la propagación del virus, teniendo presente el factor de inmediatez con que se debe obrar para conjurar la crisis. </w:t>
      </w:r>
    </w:p>
    <w:p w14:paraId="4F49B713" w14:textId="77777777" w:rsidR="00185A30" w:rsidRDefault="00185A30">
      <w:pPr>
        <w:jc w:val="both"/>
        <w:rPr>
          <w:rFonts w:ascii="Arial" w:eastAsia="Calibri" w:hAnsi="Arial" w:cs="Arial"/>
          <w:sz w:val="20"/>
          <w:szCs w:val="20"/>
        </w:rPr>
      </w:pPr>
    </w:p>
    <w:p w14:paraId="41C8F396" w14:textId="77777777" w:rsidR="00243590" w:rsidRDefault="00243590">
      <w:pPr>
        <w:jc w:val="both"/>
        <w:rPr>
          <w:rFonts w:ascii="Arial" w:hAnsi="Arial" w:cs="Arial"/>
          <w:bCs/>
          <w:sz w:val="22"/>
        </w:rPr>
      </w:pPr>
    </w:p>
    <w:p w14:paraId="0F76EDB0" w14:textId="77777777" w:rsidR="00243590" w:rsidRDefault="003C0C3C">
      <w:pPr>
        <w:jc w:val="both"/>
        <w:rPr>
          <w:rFonts w:ascii="Arial" w:hAnsi="Arial" w:cs="Arial"/>
          <w:b/>
          <w:sz w:val="22"/>
        </w:rPr>
      </w:pPr>
      <w:r>
        <w:rPr>
          <w:rFonts w:ascii="Arial" w:hAnsi="Arial" w:cs="Arial"/>
          <w:sz w:val="22"/>
        </w:rPr>
        <w:lastRenderedPageBreak/>
        <w:t xml:space="preserve">Bogotá D.C., </w:t>
      </w:r>
      <w:r w:rsidR="002A6D6E">
        <w:rPr>
          <w:rFonts w:ascii="Arial" w:hAnsi="Arial" w:cs="Arial"/>
          <w:b/>
          <w:sz w:val="22"/>
        </w:rPr>
        <w:t>28/05/2020 Hora 20:50:22s</w:t>
      </w:r>
    </w:p>
    <w:p w14:paraId="0D9A9201" w14:textId="77777777" w:rsidR="00243590" w:rsidRDefault="003C0C3C">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002A6D6E">
        <w:rPr>
          <w:rFonts w:ascii="Arial" w:hAnsi="Arial" w:cs="Arial"/>
          <w:b/>
          <w:sz w:val="22"/>
        </w:rPr>
        <w:t>2202013000004357</w:t>
      </w:r>
    </w:p>
    <w:p w14:paraId="0D0B940D" w14:textId="77777777" w:rsidR="00243590" w:rsidRDefault="003C0C3C">
      <w:pPr>
        <w:tabs>
          <w:tab w:val="left" w:pos="3374"/>
        </w:tabs>
        <w:rPr>
          <w:rFonts w:ascii="Arial" w:eastAsia="Calibri" w:hAnsi="Arial" w:cs="Arial"/>
          <w:sz w:val="22"/>
        </w:rPr>
      </w:pPr>
      <w:r>
        <w:rPr>
          <w:rFonts w:ascii="Arial" w:eastAsia="Calibri" w:hAnsi="Arial" w:cs="Arial"/>
          <w:sz w:val="22"/>
        </w:rPr>
        <w:tab/>
      </w:r>
    </w:p>
    <w:p w14:paraId="63D37C31" w14:textId="77777777" w:rsidR="00243590" w:rsidRDefault="003C0C3C">
      <w:pPr>
        <w:rPr>
          <w:rFonts w:ascii="Arial" w:eastAsia="Calibri" w:hAnsi="Arial" w:cs="Arial"/>
          <w:sz w:val="22"/>
        </w:rPr>
      </w:pPr>
      <w:r>
        <w:rPr>
          <w:rFonts w:ascii="Arial" w:eastAsia="Calibri" w:hAnsi="Arial" w:cs="Arial"/>
          <w:sz w:val="22"/>
        </w:rPr>
        <w:t>Señor</w:t>
      </w:r>
    </w:p>
    <w:p w14:paraId="35161518" w14:textId="77777777" w:rsidR="00243590" w:rsidRDefault="003C0C3C">
      <w:pPr>
        <w:rPr>
          <w:rFonts w:ascii="Arial" w:eastAsia="Calibri" w:hAnsi="Arial" w:cs="Arial"/>
          <w:b/>
          <w:sz w:val="22"/>
        </w:rPr>
      </w:pPr>
      <w:r>
        <w:rPr>
          <w:rFonts w:ascii="Arial" w:eastAsia="Calibri" w:hAnsi="Arial" w:cs="Arial"/>
          <w:b/>
          <w:sz w:val="22"/>
        </w:rPr>
        <w:t xml:space="preserve">Rubén Darío </w:t>
      </w:r>
      <w:bookmarkStart w:id="3" w:name="_Hlk40111888"/>
      <w:r>
        <w:rPr>
          <w:rFonts w:ascii="Arial" w:eastAsia="Calibri" w:hAnsi="Arial" w:cs="Arial"/>
          <w:b/>
          <w:sz w:val="22"/>
        </w:rPr>
        <w:t>Sánchez Castro</w:t>
      </w:r>
      <w:bookmarkEnd w:id="3"/>
    </w:p>
    <w:p w14:paraId="3A846580" w14:textId="77777777" w:rsidR="00243590" w:rsidRDefault="003C0C3C">
      <w:pPr>
        <w:rPr>
          <w:rFonts w:ascii="Arial" w:eastAsia="Calibri" w:hAnsi="Arial" w:cs="Arial"/>
          <w:sz w:val="22"/>
        </w:rPr>
      </w:pPr>
      <w:r>
        <w:rPr>
          <w:rFonts w:ascii="Arial" w:eastAsia="Calibri" w:hAnsi="Arial" w:cs="Arial"/>
          <w:sz w:val="22"/>
        </w:rPr>
        <w:t>Ciudad</w:t>
      </w:r>
    </w:p>
    <w:p w14:paraId="4CA84561" w14:textId="77777777" w:rsidR="00243590" w:rsidRDefault="003C0C3C">
      <w:pPr>
        <w:rPr>
          <w:rFonts w:ascii="Arial" w:eastAsia="Calibri" w:hAnsi="Arial" w:cs="Arial"/>
          <w:sz w:val="22"/>
        </w:rPr>
      </w:pPr>
      <w:r>
        <w:rPr>
          <w:rFonts w:ascii="Arial" w:eastAsia="Calibri" w:hAnsi="Arial" w:cs="Arial"/>
          <w:sz w:val="22"/>
        </w:rPr>
        <w:t xml:space="preserve">                                            </w:t>
      </w:r>
    </w:p>
    <w:p w14:paraId="1C2E13AA" w14:textId="77777777" w:rsidR="00243590" w:rsidRDefault="003C0C3C">
      <w:pPr>
        <w:rPr>
          <w:rFonts w:ascii="Arial" w:eastAsia="Calibri" w:hAnsi="Arial" w:cs="Arial"/>
          <w:sz w:val="22"/>
        </w:rPr>
      </w:pPr>
      <w:r>
        <w:rPr>
          <w:rFonts w:ascii="Arial" w:eastAsia="Calibri" w:hAnsi="Arial" w:cs="Arial"/>
          <w:sz w:val="22"/>
        </w:rPr>
        <w:t xml:space="preserve">                       </w:t>
      </w:r>
    </w:p>
    <w:p w14:paraId="328B40BA" w14:textId="77777777" w:rsidR="00243590" w:rsidRDefault="003C0C3C">
      <w:pPr>
        <w:rPr>
          <w:rFonts w:ascii="Arial" w:eastAsia="Calibri" w:hAnsi="Arial" w:cs="Arial"/>
          <w:b/>
          <w:sz w:val="22"/>
        </w:rPr>
      </w:pPr>
      <w:r>
        <w:rPr>
          <w:rFonts w:ascii="Arial" w:eastAsia="Calibri" w:hAnsi="Arial" w:cs="Arial"/>
          <w:b/>
          <w:sz w:val="22"/>
        </w:rPr>
        <w:t xml:space="preserve">                                            Concepto C – 308 de 2020</w:t>
      </w:r>
    </w:p>
    <w:p w14:paraId="0E27B00A" w14:textId="77777777" w:rsidR="00243590" w:rsidRDefault="0024359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43590" w14:paraId="389F216F" w14:textId="77777777">
        <w:trPr>
          <w:trHeight w:val="1375"/>
        </w:trPr>
        <w:tc>
          <w:tcPr>
            <w:tcW w:w="2689" w:type="dxa"/>
          </w:tcPr>
          <w:p w14:paraId="3ADBE070" w14:textId="77777777" w:rsidR="00243590" w:rsidRDefault="003C0C3C">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78ED280F" w14:textId="77777777" w:rsidR="00243590" w:rsidRDefault="003C0C3C">
            <w:pPr>
              <w:rPr>
                <w:rFonts w:ascii="Arial" w:eastAsia="Calibri" w:hAnsi="Arial" w:cs="Arial"/>
                <w:sz w:val="22"/>
              </w:rPr>
            </w:pPr>
            <w:r>
              <w:rPr>
                <w:rFonts w:ascii="Arial" w:eastAsia="Calibri" w:hAnsi="Arial" w:cs="Arial"/>
                <w:sz w:val="22"/>
              </w:rPr>
              <w:t xml:space="preserve">                           </w:t>
            </w:r>
          </w:p>
        </w:tc>
        <w:tc>
          <w:tcPr>
            <w:tcW w:w="6237" w:type="dxa"/>
          </w:tcPr>
          <w:p w14:paraId="2CBC5DF5" w14:textId="77777777" w:rsidR="00243590" w:rsidRDefault="003C0C3C">
            <w:pPr>
              <w:jc w:val="both"/>
              <w:rPr>
                <w:rFonts w:ascii="Arial" w:eastAsia="Calibri" w:hAnsi="Arial" w:cs="Arial"/>
                <w:bCs/>
                <w:sz w:val="22"/>
              </w:rPr>
            </w:pPr>
            <w:r>
              <w:rPr>
                <w:rFonts w:ascii="Arial" w:eastAsia="Calibri" w:hAnsi="Arial" w:cs="Arial"/>
                <w:bCs/>
                <w:sz w:val="22"/>
              </w:rPr>
              <w:t xml:space="preserve">ADICIÓN </w:t>
            </w:r>
            <w:proofErr w:type="gramStart"/>
            <w:r w:rsidR="00727DDB">
              <w:rPr>
                <w:rFonts w:ascii="Arial" w:eastAsia="Calibri" w:hAnsi="Arial" w:cs="Arial"/>
                <w:b/>
                <w:sz w:val="22"/>
              </w:rPr>
              <w:t xml:space="preserve">– </w:t>
            </w:r>
            <w:r>
              <w:rPr>
                <w:rFonts w:ascii="Arial" w:eastAsia="Calibri" w:hAnsi="Arial" w:cs="Arial"/>
                <w:bCs/>
                <w:sz w:val="22"/>
              </w:rPr>
              <w:t xml:space="preserve"> Concepto</w:t>
            </w:r>
            <w:proofErr w:type="gramEnd"/>
            <w:r>
              <w:rPr>
                <w:rFonts w:ascii="Arial" w:eastAsia="Calibri" w:hAnsi="Arial" w:cs="Arial"/>
                <w:bCs/>
                <w:sz w:val="22"/>
              </w:rPr>
              <w:t xml:space="preserve"> </w:t>
            </w:r>
            <w:r w:rsidR="00727DDB">
              <w:rPr>
                <w:rFonts w:ascii="Arial" w:eastAsia="Calibri" w:hAnsi="Arial" w:cs="Arial"/>
                <w:b/>
                <w:sz w:val="22"/>
              </w:rPr>
              <w:t xml:space="preserve">– </w:t>
            </w:r>
            <w:r>
              <w:rPr>
                <w:rFonts w:ascii="Arial" w:eastAsia="Calibri" w:hAnsi="Arial" w:cs="Arial"/>
                <w:bCs/>
                <w:sz w:val="22"/>
              </w:rPr>
              <w:t xml:space="preserve"> Distintos supuestos </w:t>
            </w:r>
            <w:r w:rsidR="00727DDB">
              <w:rPr>
                <w:rFonts w:ascii="Arial" w:eastAsia="Calibri" w:hAnsi="Arial" w:cs="Arial"/>
                <w:b/>
                <w:sz w:val="22"/>
              </w:rPr>
              <w:t xml:space="preserve">– </w:t>
            </w:r>
            <w:r>
              <w:rPr>
                <w:rFonts w:ascii="Arial" w:eastAsia="Calibri" w:hAnsi="Arial" w:cs="Arial"/>
                <w:bCs/>
                <w:sz w:val="22"/>
              </w:rPr>
              <w:t xml:space="preserve"> Prohibición de adicionar en más del 50% / </w:t>
            </w:r>
            <w:r w:rsidR="00AD7239">
              <w:rPr>
                <w:rFonts w:ascii="Arial" w:eastAsia="Calibri" w:hAnsi="Arial" w:cs="Arial"/>
                <w:bCs/>
                <w:sz w:val="22"/>
              </w:rPr>
              <w:t>ADICIÓN</w:t>
            </w:r>
            <w:r>
              <w:rPr>
                <w:rFonts w:ascii="Arial" w:eastAsia="Calibri" w:hAnsi="Arial" w:cs="Arial"/>
                <w:bCs/>
                <w:sz w:val="22"/>
              </w:rPr>
              <w:t xml:space="preserve"> </w:t>
            </w:r>
            <w:r w:rsidR="00727DDB">
              <w:rPr>
                <w:rFonts w:ascii="Arial" w:eastAsia="Calibri" w:hAnsi="Arial" w:cs="Arial"/>
                <w:b/>
                <w:sz w:val="22"/>
              </w:rPr>
              <w:t xml:space="preserve">– </w:t>
            </w:r>
            <w:r>
              <w:rPr>
                <w:rFonts w:ascii="Arial" w:eastAsia="Calibri" w:hAnsi="Arial" w:cs="Arial"/>
                <w:bCs/>
                <w:sz w:val="22"/>
              </w:rPr>
              <w:t xml:space="preserve"> </w:t>
            </w:r>
            <w:r w:rsidR="00C05D95">
              <w:rPr>
                <w:rFonts w:ascii="Arial" w:eastAsia="Calibri" w:hAnsi="Arial" w:cs="Arial"/>
                <w:bCs/>
                <w:sz w:val="22"/>
              </w:rPr>
              <w:t xml:space="preserve">Prohibición - </w:t>
            </w:r>
            <w:r>
              <w:rPr>
                <w:rFonts w:ascii="Arial" w:eastAsia="Calibri" w:hAnsi="Arial" w:cs="Arial"/>
                <w:bCs/>
                <w:sz w:val="22"/>
              </w:rPr>
              <w:t xml:space="preserve">Contenido </w:t>
            </w:r>
            <w:r w:rsidR="00727DDB">
              <w:rPr>
                <w:rFonts w:ascii="Arial" w:eastAsia="Calibri" w:hAnsi="Arial" w:cs="Arial"/>
                <w:b/>
                <w:sz w:val="22"/>
              </w:rPr>
              <w:t xml:space="preserve">– </w:t>
            </w:r>
            <w:r>
              <w:rPr>
                <w:rFonts w:ascii="Arial" w:eastAsia="Calibri" w:hAnsi="Arial" w:cs="Arial"/>
                <w:bCs/>
                <w:sz w:val="22"/>
              </w:rPr>
              <w:t xml:space="preserve"> Cálculo del monto </w:t>
            </w:r>
            <w:r w:rsidR="00727DDB">
              <w:rPr>
                <w:rFonts w:ascii="Arial" w:eastAsia="Calibri" w:hAnsi="Arial" w:cs="Arial"/>
                <w:b/>
                <w:sz w:val="22"/>
              </w:rPr>
              <w:t xml:space="preserve">– </w:t>
            </w:r>
            <w:r>
              <w:rPr>
                <w:rFonts w:ascii="Arial" w:eastAsia="Calibri" w:hAnsi="Arial" w:cs="Arial"/>
                <w:bCs/>
                <w:sz w:val="22"/>
              </w:rPr>
              <w:t xml:space="preserve"> Ley 80, artículo 40, parágrafo / ADICIÓN </w:t>
            </w:r>
            <w:r w:rsidR="00727DDB">
              <w:rPr>
                <w:rFonts w:ascii="Arial" w:eastAsia="Calibri" w:hAnsi="Arial" w:cs="Arial"/>
                <w:b/>
                <w:sz w:val="22"/>
              </w:rPr>
              <w:t xml:space="preserve">– </w:t>
            </w:r>
            <w:r>
              <w:rPr>
                <w:rFonts w:ascii="Arial" w:eastAsia="Calibri" w:hAnsi="Arial" w:cs="Arial"/>
                <w:bCs/>
                <w:sz w:val="22"/>
              </w:rPr>
              <w:t xml:space="preserve"> Excepción a la regla </w:t>
            </w:r>
            <w:r w:rsidR="00727DDB">
              <w:rPr>
                <w:rFonts w:ascii="Arial" w:eastAsia="Calibri" w:hAnsi="Arial" w:cs="Arial"/>
                <w:b/>
                <w:sz w:val="22"/>
              </w:rPr>
              <w:t xml:space="preserve">– </w:t>
            </w:r>
            <w:r>
              <w:rPr>
                <w:rFonts w:ascii="Arial" w:eastAsia="Calibri" w:hAnsi="Arial" w:cs="Arial"/>
                <w:bCs/>
                <w:sz w:val="22"/>
              </w:rPr>
              <w:t xml:space="preserve"> Decreto 440 de 2020</w:t>
            </w:r>
          </w:p>
          <w:p w14:paraId="60061E4C" w14:textId="77777777" w:rsidR="00243590" w:rsidRDefault="00243590">
            <w:pPr>
              <w:jc w:val="both"/>
              <w:rPr>
                <w:rFonts w:ascii="Arial" w:eastAsia="Calibri" w:hAnsi="Arial" w:cs="Arial"/>
                <w:bCs/>
                <w:sz w:val="22"/>
              </w:rPr>
            </w:pPr>
          </w:p>
        </w:tc>
      </w:tr>
      <w:tr w:rsidR="00243590" w14:paraId="26C29924" w14:textId="77777777">
        <w:trPr>
          <w:trHeight w:val="80"/>
        </w:trPr>
        <w:tc>
          <w:tcPr>
            <w:tcW w:w="2689" w:type="dxa"/>
          </w:tcPr>
          <w:p w14:paraId="35A71396" w14:textId="77777777" w:rsidR="00243590" w:rsidRDefault="003C0C3C">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tcPr>
          <w:p w14:paraId="058F3A29" w14:textId="77777777" w:rsidR="00243590" w:rsidRDefault="003C0C3C">
            <w:pPr>
              <w:jc w:val="both"/>
              <w:rPr>
                <w:rFonts w:ascii="Arial" w:eastAsia="Calibri" w:hAnsi="Arial" w:cs="Arial"/>
                <w:sz w:val="22"/>
              </w:rPr>
            </w:pPr>
            <w:r>
              <w:rPr>
                <w:rFonts w:ascii="Arial" w:eastAsia="Calibri" w:hAnsi="Arial" w:cs="Arial"/>
                <w:sz w:val="22"/>
              </w:rPr>
              <w:t xml:space="preserve">Respuesta a consulta # </w:t>
            </w:r>
            <w:r>
              <w:rPr>
                <w:rFonts w:ascii="Arial" w:eastAsia="Calibri" w:hAnsi="Arial" w:cs="Arial"/>
                <w:sz w:val="22"/>
                <w:szCs w:val="22"/>
                <w:lang w:eastAsia="en-US"/>
              </w:rPr>
              <w:t>4202013000002931</w:t>
            </w:r>
          </w:p>
          <w:p w14:paraId="44EAFD9C" w14:textId="77777777" w:rsidR="00243590" w:rsidRDefault="00243590">
            <w:pPr>
              <w:jc w:val="both"/>
              <w:rPr>
                <w:rFonts w:ascii="Arial" w:eastAsia="Calibri" w:hAnsi="Arial" w:cs="Arial"/>
                <w:sz w:val="22"/>
              </w:rPr>
            </w:pPr>
          </w:p>
        </w:tc>
      </w:tr>
    </w:tbl>
    <w:p w14:paraId="4B94D5A5" w14:textId="77777777" w:rsidR="00243590" w:rsidRDefault="00243590">
      <w:pPr>
        <w:jc w:val="both"/>
        <w:rPr>
          <w:rFonts w:ascii="Arial" w:eastAsia="Calibri" w:hAnsi="Arial" w:cs="Arial"/>
          <w:sz w:val="22"/>
        </w:rPr>
      </w:pPr>
    </w:p>
    <w:p w14:paraId="3DEEC669" w14:textId="77777777" w:rsidR="00243590" w:rsidRDefault="00243590">
      <w:pPr>
        <w:rPr>
          <w:rFonts w:ascii="Arial" w:eastAsia="Calibri" w:hAnsi="Arial" w:cs="Arial"/>
          <w:sz w:val="22"/>
        </w:rPr>
      </w:pPr>
    </w:p>
    <w:p w14:paraId="0DB0E61E" w14:textId="77777777" w:rsidR="00243590" w:rsidRDefault="003C0C3C">
      <w:pPr>
        <w:rPr>
          <w:rFonts w:ascii="Arial" w:eastAsia="Calibri" w:hAnsi="Arial" w:cs="Arial"/>
          <w:sz w:val="22"/>
        </w:rPr>
      </w:pPr>
      <w:r>
        <w:rPr>
          <w:rFonts w:ascii="Arial" w:eastAsia="Calibri" w:hAnsi="Arial" w:cs="Arial"/>
          <w:sz w:val="22"/>
        </w:rPr>
        <w:t>Estimado señor, Sánchez Castro:</w:t>
      </w:r>
    </w:p>
    <w:p w14:paraId="3656B9AB" w14:textId="77777777" w:rsidR="00243590" w:rsidRDefault="00243590">
      <w:pPr>
        <w:rPr>
          <w:rFonts w:ascii="Arial" w:eastAsia="Calibri" w:hAnsi="Arial" w:cs="Arial"/>
          <w:sz w:val="22"/>
        </w:rPr>
      </w:pPr>
    </w:p>
    <w:p w14:paraId="1C390A59" w14:textId="77777777" w:rsidR="00243590" w:rsidRDefault="003C0C3C">
      <w:pPr>
        <w:spacing w:line="276" w:lineRule="auto"/>
        <w:ind w:right="49"/>
        <w:jc w:val="both"/>
        <w:rPr>
          <w:rFonts w:ascii="Arial" w:eastAsia="Calibri" w:hAnsi="Arial" w:cs="Arial"/>
          <w:sz w:val="22"/>
        </w:rPr>
      </w:pPr>
      <w:bookmarkStart w:id="4" w:name="_Hlk40119891"/>
      <w:r>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20 de abril de 2020. </w:t>
      </w:r>
    </w:p>
    <w:bookmarkEnd w:id="4"/>
    <w:p w14:paraId="45FB0818" w14:textId="77777777" w:rsidR="00243590" w:rsidRDefault="00243590">
      <w:pPr>
        <w:spacing w:line="276" w:lineRule="auto"/>
        <w:jc w:val="both"/>
        <w:rPr>
          <w:rFonts w:ascii="Arial" w:eastAsia="Calibri" w:hAnsi="Arial" w:cs="Arial"/>
          <w:sz w:val="22"/>
        </w:rPr>
      </w:pPr>
    </w:p>
    <w:p w14:paraId="253FF427" w14:textId="77777777" w:rsidR="00243590" w:rsidRDefault="003C0C3C">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Pr>
          <w:rFonts w:ascii="Arial" w:eastAsia="Calibri" w:hAnsi="Arial" w:cs="Arial"/>
          <w:b/>
          <w:sz w:val="22"/>
          <w:lang w:val="es-CO"/>
        </w:rPr>
        <w:t xml:space="preserve">Problemas planteados </w:t>
      </w:r>
    </w:p>
    <w:p w14:paraId="049F31CB" w14:textId="77777777" w:rsidR="00243590" w:rsidRDefault="00243590">
      <w:pPr>
        <w:tabs>
          <w:tab w:val="left" w:pos="426"/>
        </w:tabs>
        <w:spacing w:line="276" w:lineRule="auto"/>
        <w:jc w:val="both"/>
        <w:rPr>
          <w:rFonts w:ascii="Arial" w:eastAsia="Calibri" w:hAnsi="Arial" w:cs="Arial"/>
          <w:b/>
          <w:sz w:val="22"/>
        </w:rPr>
      </w:pPr>
    </w:p>
    <w:p w14:paraId="55D5E1A1" w14:textId="77777777" w:rsidR="00243590" w:rsidRDefault="003C0C3C">
      <w:pPr>
        <w:tabs>
          <w:tab w:val="left" w:pos="426"/>
        </w:tabs>
        <w:spacing w:line="276" w:lineRule="auto"/>
        <w:jc w:val="both"/>
        <w:rPr>
          <w:rFonts w:ascii="Arial" w:eastAsia="Calibri" w:hAnsi="Arial" w:cs="Arial"/>
          <w:sz w:val="22"/>
        </w:rPr>
      </w:pPr>
      <w:r>
        <w:rPr>
          <w:rFonts w:ascii="Arial" w:eastAsia="Calibri" w:hAnsi="Arial" w:cs="Arial"/>
          <w:sz w:val="22"/>
        </w:rPr>
        <w:t xml:space="preserve">Usted realiza la siguiente consulta: i) Aclarar el alcance del artículo 8 del Decreto </w:t>
      </w:r>
      <w:proofErr w:type="spellStart"/>
      <w:r>
        <w:rPr>
          <w:rFonts w:ascii="Arial" w:eastAsia="Calibri" w:hAnsi="Arial" w:cs="Arial"/>
          <w:sz w:val="22"/>
        </w:rPr>
        <w:t>Nº</w:t>
      </w:r>
      <w:proofErr w:type="spellEnd"/>
      <w:r>
        <w:rPr>
          <w:rFonts w:ascii="Arial" w:eastAsia="Calibri" w:hAnsi="Arial" w:cs="Arial"/>
          <w:sz w:val="22"/>
        </w:rPr>
        <w:t xml:space="preserve"> 440 del 20 de marzo de 2020, el cual permite la adición sin límite de valor de los contratos celebrados por las entidades estatales relacionados con la gestión y mitigación de la situación de emergencia. </w:t>
      </w:r>
    </w:p>
    <w:p w14:paraId="53128261" w14:textId="77777777" w:rsidR="00243590" w:rsidRDefault="00243590">
      <w:pPr>
        <w:tabs>
          <w:tab w:val="left" w:pos="426"/>
        </w:tabs>
        <w:spacing w:line="276" w:lineRule="auto"/>
        <w:jc w:val="both"/>
        <w:rPr>
          <w:rFonts w:ascii="Arial" w:eastAsia="Calibri" w:hAnsi="Arial" w:cs="Arial"/>
          <w:sz w:val="22"/>
        </w:rPr>
      </w:pPr>
    </w:p>
    <w:p w14:paraId="1D521996" w14:textId="77777777" w:rsidR="00243590" w:rsidRDefault="003C0C3C">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Pr>
          <w:rFonts w:ascii="Arial" w:eastAsia="Calibri" w:hAnsi="Arial" w:cs="Arial"/>
          <w:b/>
          <w:sz w:val="22"/>
          <w:lang w:val="es-CO"/>
        </w:rPr>
        <w:t>Consideraciones</w:t>
      </w:r>
    </w:p>
    <w:bookmarkEnd w:id="0"/>
    <w:bookmarkEnd w:id="1"/>
    <w:p w14:paraId="62486C05" w14:textId="77777777" w:rsidR="00243590" w:rsidRDefault="00243590">
      <w:pPr>
        <w:spacing w:line="276" w:lineRule="auto"/>
        <w:jc w:val="both"/>
        <w:rPr>
          <w:rFonts w:ascii="Arial" w:eastAsia="Calibri" w:hAnsi="Arial" w:cs="Arial"/>
          <w:b/>
          <w:sz w:val="22"/>
        </w:rPr>
      </w:pPr>
    </w:p>
    <w:p w14:paraId="4D48558A" w14:textId="77777777" w:rsidR="00727DDB" w:rsidRPr="00727DDB" w:rsidRDefault="003C0C3C" w:rsidP="00727DDB">
      <w:pPr>
        <w:spacing w:line="276" w:lineRule="auto"/>
        <w:jc w:val="both"/>
        <w:rPr>
          <w:rFonts w:ascii="Arial" w:eastAsia="Calibri" w:hAnsi="Arial" w:cs="Arial"/>
          <w:b/>
          <w:bCs/>
          <w:sz w:val="22"/>
        </w:rPr>
      </w:pPr>
      <w:r>
        <w:rPr>
          <w:rFonts w:ascii="Arial" w:eastAsia="Calibri" w:hAnsi="Arial" w:cs="Arial"/>
          <w:sz w:val="22"/>
        </w:rPr>
        <w:t>Para resolver esta consulta se hará un análisis de los siguientes temas: i) normas expedidas a partir de la pandemia originada por el COVID-19 en materia de contratación estatal, </w:t>
      </w:r>
      <w:proofErr w:type="spellStart"/>
      <w:r>
        <w:rPr>
          <w:rFonts w:ascii="Arial" w:eastAsia="Calibri" w:hAnsi="Arial" w:cs="Arial"/>
          <w:sz w:val="22"/>
        </w:rPr>
        <w:t>ii</w:t>
      </w:r>
      <w:proofErr w:type="spellEnd"/>
      <w:r>
        <w:rPr>
          <w:rFonts w:ascii="Arial" w:eastAsia="Calibri" w:hAnsi="Arial" w:cs="Arial"/>
          <w:sz w:val="22"/>
        </w:rPr>
        <w:t xml:space="preserve">) adición de los contratos estatales y </w:t>
      </w:r>
      <w:proofErr w:type="spellStart"/>
      <w:r>
        <w:rPr>
          <w:rFonts w:ascii="Arial" w:eastAsia="Calibri" w:hAnsi="Arial" w:cs="Arial"/>
          <w:sz w:val="22"/>
        </w:rPr>
        <w:t>iii</w:t>
      </w:r>
      <w:proofErr w:type="spellEnd"/>
      <w:r>
        <w:rPr>
          <w:rFonts w:ascii="Arial" w:eastAsia="Calibri" w:hAnsi="Arial" w:cs="Arial"/>
          <w:sz w:val="22"/>
        </w:rPr>
        <w:t xml:space="preserve">) </w:t>
      </w:r>
      <w:r w:rsidR="00727DDB">
        <w:rPr>
          <w:rFonts w:ascii="Arial" w:eastAsia="Calibri" w:hAnsi="Arial" w:cs="Arial"/>
          <w:sz w:val="22"/>
        </w:rPr>
        <w:t>l</w:t>
      </w:r>
      <w:r w:rsidR="00727DDB" w:rsidRPr="00727DDB">
        <w:rPr>
          <w:rFonts w:ascii="Arial" w:eastAsia="Calibri" w:hAnsi="Arial" w:cs="Arial"/>
          <w:sz w:val="22"/>
        </w:rPr>
        <w:t>a posibilidad de adicionar sin límite de valor los contratos celebrados por las entidades estatales que se relacionen con bienes, obras o servicios para gestionar o mitigar los efectos de la emergencia causada por el coronavirus –COVID-19–</w:t>
      </w:r>
    </w:p>
    <w:p w14:paraId="128DFBED" w14:textId="77777777" w:rsidR="00243590" w:rsidRDefault="003C0C3C">
      <w:pPr>
        <w:spacing w:line="276" w:lineRule="auto"/>
        <w:jc w:val="both"/>
        <w:rPr>
          <w:rFonts w:ascii="Arial" w:eastAsia="Calibri" w:hAnsi="Arial" w:cs="Arial"/>
          <w:sz w:val="22"/>
        </w:rPr>
      </w:pPr>
      <w:r>
        <w:rPr>
          <w:rFonts w:ascii="Arial" w:eastAsia="Calibri" w:hAnsi="Arial" w:cs="Arial"/>
          <w:sz w:val="22"/>
        </w:rPr>
        <w:lastRenderedPageBreak/>
        <w:t xml:space="preserve">posibilidad de adicionar sin límite de valor los contratos celebrados por las entidades estatales que se relacionen con bienes, obras o servicios </w:t>
      </w:r>
      <w:bookmarkStart w:id="5" w:name="_Hlk40115022"/>
      <w:r>
        <w:rPr>
          <w:rFonts w:ascii="Arial" w:eastAsia="Calibri" w:hAnsi="Arial" w:cs="Arial"/>
          <w:sz w:val="22"/>
        </w:rPr>
        <w:t>para gestionar o mitigar los efectos de la emergencia causada por el coronavirus –COVID-19–</w:t>
      </w:r>
      <w:bookmarkEnd w:id="5"/>
      <w:r>
        <w:rPr>
          <w:rFonts w:ascii="Arial" w:eastAsia="Calibri" w:hAnsi="Arial" w:cs="Arial"/>
          <w:sz w:val="22"/>
        </w:rPr>
        <w:t xml:space="preserve">. </w:t>
      </w:r>
    </w:p>
    <w:p w14:paraId="4101652C" w14:textId="77777777" w:rsidR="00243590" w:rsidRDefault="00243590">
      <w:pPr>
        <w:spacing w:line="276" w:lineRule="auto"/>
        <w:jc w:val="both"/>
        <w:rPr>
          <w:rFonts w:ascii="Arial" w:eastAsia="Calibri" w:hAnsi="Arial" w:cs="Arial"/>
          <w:sz w:val="22"/>
        </w:rPr>
      </w:pPr>
    </w:p>
    <w:p w14:paraId="23B23B76" w14:textId="77777777" w:rsidR="00243590" w:rsidRDefault="003C0C3C">
      <w:pPr>
        <w:spacing w:line="276" w:lineRule="auto"/>
        <w:jc w:val="both"/>
        <w:rPr>
          <w:rFonts w:ascii="Arial" w:eastAsia="Calibri" w:hAnsi="Arial" w:cs="Arial"/>
          <w:b/>
          <w:bCs/>
          <w:sz w:val="22"/>
        </w:rPr>
      </w:pPr>
      <w:r>
        <w:rPr>
          <w:rFonts w:ascii="Arial" w:eastAsia="Calibri" w:hAnsi="Arial" w:cs="Arial"/>
          <w:b/>
          <w:bCs/>
          <w:sz w:val="22"/>
        </w:rPr>
        <w:t>2.1. Disposiciones normativas expedidas a partir de la pandemia originada por el COVID-19 en materia de contratación estatal</w:t>
      </w:r>
    </w:p>
    <w:p w14:paraId="4B99056E" w14:textId="77777777" w:rsidR="00243590" w:rsidRDefault="00243590">
      <w:pPr>
        <w:spacing w:line="276" w:lineRule="auto"/>
        <w:jc w:val="both"/>
        <w:rPr>
          <w:rFonts w:ascii="Arial" w:eastAsia="Calibri" w:hAnsi="Arial" w:cs="Arial"/>
          <w:b/>
          <w:bCs/>
          <w:sz w:val="22"/>
        </w:rPr>
      </w:pPr>
    </w:p>
    <w:p w14:paraId="6C5F5D56" w14:textId="77777777" w:rsidR="00243590" w:rsidRDefault="003C0C3C">
      <w:pPr>
        <w:spacing w:after="120" w:line="276" w:lineRule="auto"/>
        <w:jc w:val="both"/>
        <w:rPr>
          <w:rFonts w:ascii="Arial" w:eastAsia="Calibri" w:hAnsi="Arial" w:cs="Arial"/>
          <w:sz w:val="22"/>
        </w:rPr>
      </w:pPr>
      <w:r>
        <w:rPr>
          <w:rFonts w:ascii="Arial" w:eastAsia="Calibri" w:hAnsi="Arial" w:cs="Arial"/>
          <w:sz w:val="22"/>
        </w:rPr>
        <w:t xml:space="preserve">La Organización Mundial de la Salud, a raíz del brote surgido por el coronavirus COVID-19, lo </w:t>
      </w:r>
      <w:proofErr w:type="gramStart"/>
      <w:r>
        <w:rPr>
          <w:rFonts w:ascii="Arial" w:eastAsia="Calibri" w:hAnsi="Arial" w:cs="Arial"/>
          <w:sz w:val="22"/>
        </w:rPr>
        <w:t>declaró como</w:t>
      </w:r>
      <w:proofErr w:type="gramEnd"/>
      <w:r>
        <w:rPr>
          <w:rFonts w:ascii="Arial" w:eastAsia="Calibri" w:hAnsi="Arial" w:cs="Arial"/>
          <w:sz w:val="22"/>
        </w:rPr>
        <w:t xml:space="preserve"> una pandemia el 11 de marzo de 2020, por su rápida velocidad de propagación. En esta medida, solicitó a los Estados tomar acciones urgentes frente a la identificación, aislamiento, monitoreo de los posibles casos y el tratamiento de los casos confirmados, así como la divulgación de las medidas preventivas, con el objetivo de mitigar el contagio. </w:t>
      </w:r>
    </w:p>
    <w:p w14:paraId="570D8277" w14:textId="77777777" w:rsidR="00243590" w:rsidRDefault="003C0C3C">
      <w:pPr>
        <w:spacing w:after="120" w:line="276" w:lineRule="auto"/>
        <w:ind w:left="142" w:firstLine="567"/>
        <w:jc w:val="both"/>
        <w:rPr>
          <w:rFonts w:ascii="Arial" w:eastAsia="Calibri" w:hAnsi="Arial" w:cs="Arial"/>
          <w:sz w:val="22"/>
        </w:rPr>
      </w:pPr>
      <w:r>
        <w:rPr>
          <w:rFonts w:ascii="Arial" w:eastAsia="Calibri" w:hAnsi="Arial" w:cs="Arial"/>
          <w:sz w:val="22"/>
        </w:rPr>
        <w:t xml:space="preserve">A raíz de la declaración de pandemia del coronavirus COVID-19, el Ministerio de Salud y Protección Social, mediante Resolución 385 del 12 de marzo de 2020, declaró el estado de emergencia sanitaria por causa del nuevo coronavirus, estableciendo medidas destinadas a la prevención y contención del riesgo epidemiológico asociado con el COVID-19. </w:t>
      </w:r>
    </w:p>
    <w:p w14:paraId="1BFF4CDF"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 xml:space="preserve">En virtud de lo anterior, mediante Decreto 417 del 17 de marzo de 2020, se declaró por el término de treinta (30) días el Estado de Emergencia Económica, Social y Ecológica en todo el territorio Nacional, con lo cual, el </w:t>
      </w:r>
      <w:proofErr w:type="gramStart"/>
      <w:r>
        <w:rPr>
          <w:rFonts w:ascii="Arial" w:eastAsia="Calibri" w:hAnsi="Arial" w:cs="Arial"/>
          <w:sz w:val="22"/>
        </w:rPr>
        <w:t>Presidente</w:t>
      </w:r>
      <w:proofErr w:type="gramEnd"/>
      <w:r>
        <w:rPr>
          <w:rFonts w:ascii="Arial" w:eastAsia="Calibri" w:hAnsi="Arial" w:cs="Arial"/>
          <w:sz w:val="22"/>
        </w:rPr>
        <w:t xml:space="preserve"> de la República quedó autorizado para dictar decretos con fuerza de ley destinados exclusivamente a conjurar la crisis y a impedir la extensión de sus efectos. </w:t>
      </w:r>
    </w:p>
    <w:p w14:paraId="28DD6DA5"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 xml:space="preserve">Mediante 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contacto entre los participantes en los procesos de contratación, en las actuaciones contractuales sancionatorias, siempre y cuando se respete el derecho al debido proceso y el contratista pueda ejercer su derecho de defensa. Adicionalmente se permitió a las autoridades administrativas y a la Agencia 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contribuyan a atender la pandemia. </w:t>
      </w:r>
    </w:p>
    <w:p w14:paraId="16557593" w14:textId="77777777" w:rsidR="00243590" w:rsidRDefault="003C0C3C">
      <w:pPr>
        <w:spacing w:line="276" w:lineRule="auto"/>
        <w:ind w:firstLine="709"/>
        <w:jc w:val="both"/>
        <w:rPr>
          <w:rFonts w:ascii="Arial" w:eastAsia="Calibri" w:hAnsi="Arial" w:cs="Arial"/>
          <w:sz w:val="22"/>
        </w:rPr>
      </w:pPr>
      <w:r>
        <w:rPr>
          <w:rFonts w:ascii="Arial" w:eastAsia="Calibri" w:hAnsi="Arial" w:cs="Arial"/>
          <w:sz w:val="22"/>
        </w:rPr>
        <w:t xml:space="preserve">A través del Decreto 531 del 8 de abril de 2020, se ordenó el aislamiento preventivo  obligatorio a partir de las cero horas (00:00 a.m.) del día 13 de abril de 2020, hasta las cero horas (00:00 a.m.) del 27 de abril de 2020, por lo que se expidió el Decreto 537 de 12 de </w:t>
      </w:r>
      <w:r>
        <w:rPr>
          <w:rFonts w:ascii="Arial" w:eastAsia="Calibri" w:hAnsi="Arial" w:cs="Arial"/>
          <w:sz w:val="22"/>
        </w:rPr>
        <w:lastRenderedPageBreak/>
        <w:t xml:space="preserve">abril de 2020, con el propósito de mantener las medidas adoptadas por el Decreto 440 del 20 de marzo de 2020, además de incluir varias disposiciones, encaminadas a configurar catálogos de emergencia conformados por proveedores preexistentes y nuevos de bienes o servicios útiles y necesarios para mitigar la pandemia o impedir la  extensión de sus efectos. </w:t>
      </w:r>
    </w:p>
    <w:p w14:paraId="1299C43A" w14:textId="77777777" w:rsidR="00243590" w:rsidRDefault="00243590">
      <w:pPr>
        <w:spacing w:line="276" w:lineRule="auto"/>
        <w:ind w:firstLine="709"/>
        <w:jc w:val="both"/>
        <w:rPr>
          <w:rFonts w:ascii="Arial" w:eastAsia="Calibri" w:hAnsi="Arial" w:cs="Arial"/>
          <w:sz w:val="22"/>
        </w:rPr>
      </w:pPr>
    </w:p>
    <w:p w14:paraId="0F4450EC" w14:textId="77777777" w:rsidR="00243590" w:rsidRDefault="003C0C3C">
      <w:pPr>
        <w:spacing w:line="276" w:lineRule="auto"/>
        <w:jc w:val="both"/>
        <w:rPr>
          <w:rFonts w:ascii="Arial" w:eastAsia="Calibri" w:hAnsi="Arial" w:cs="Arial"/>
          <w:b/>
          <w:bCs/>
          <w:sz w:val="22"/>
        </w:rPr>
      </w:pPr>
      <w:r>
        <w:rPr>
          <w:rFonts w:ascii="Arial" w:eastAsia="Calibri" w:hAnsi="Arial" w:cs="Arial"/>
          <w:b/>
          <w:bCs/>
          <w:sz w:val="22"/>
        </w:rPr>
        <w:t>2.2. Adición en los contratos estatales</w:t>
      </w:r>
    </w:p>
    <w:p w14:paraId="4DDBEF00" w14:textId="77777777" w:rsidR="00243590" w:rsidRDefault="00243590">
      <w:pPr>
        <w:spacing w:line="276" w:lineRule="auto"/>
        <w:jc w:val="both"/>
        <w:rPr>
          <w:rFonts w:ascii="Arial" w:eastAsia="Calibri" w:hAnsi="Arial" w:cs="Arial"/>
          <w:b/>
          <w:bCs/>
          <w:sz w:val="22"/>
        </w:rPr>
      </w:pPr>
    </w:p>
    <w:p w14:paraId="6C34E74D" w14:textId="77777777" w:rsidR="00243590" w:rsidRDefault="003C0C3C">
      <w:pPr>
        <w:spacing w:after="120" w:line="276" w:lineRule="auto"/>
        <w:jc w:val="both"/>
        <w:rPr>
          <w:rFonts w:ascii="Arial" w:eastAsia="Calibri" w:hAnsi="Arial" w:cs="Arial"/>
          <w:sz w:val="22"/>
        </w:rPr>
      </w:pPr>
      <w:r>
        <w:rPr>
          <w:rFonts w:ascii="Arial" w:eastAsia="Calibri" w:hAnsi="Arial" w:cs="Arial"/>
          <w:sz w:val="22"/>
        </w:rPr>
        <w:t>La Agencia Nacional de Contratación Pública – Colombia Compra Eficiente, en los conceptos con radicado Nos. 4201912000007298 de 23 de octubre de 2019, 4201913000006294 del 16 de septiembre de 2019, C–062 del 25 de marzo de 2020 y en el C–100 del 27 de marzo de 2020 estudió asuntos relacionados con la adición de los contratos estatales. Entre otros aspectos, allí se analizó el tope hasta el cual se pueden adicionar, por lo que se reiteran dichas consideraciones.</w:t>
      </w:r>
    </w:p>
    <w:p w14:paraId="714660F9"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 xml:space="preserve">Es oportuno explicar que la palabra </w:t>
      </w:r>
      <w:r>
        <w:rPr>
          <w:rFonts w:ascii="Arial" w:eastAsia="Calibri" w:hAnsi="Arial" w:cs="Arial"/>
          <w:i/>
          <w:iCs/>
          <w:sz w:val="22"/>
        </w:rPr>
        <w:t xml:space="preserve">adición </w:t>
      </w:r>
      <w:r>
        <w:rPr>
          <w:rFonts w:ascii="Arial" w:eastAsia="Calibri" w:hAnsi="Arial" w:cs="Arial"/>
          <w:sz w:val="22"/>
        </w:rPr>
        <w:t xml:space="preserve">significa «acción y efecto de añadir o agregar». Los contratos estatales pueden ser objeto de situaciones que impliquen la 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790EFC8B"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 xml:space="preserve">La ejecución de los contratos estatales está sujeta a los </w:t>
      </w:r>
      <w:r w:rsidR="0012706B">
        <w:rPr>
          <w:rFonts w:ascii="Arial" w:eastAsia="Calibri" w:hAnsi="Arial" w:cs="Arial"/>
          <w:sz w:val="22"/>
        </w:rPr>
        <w:t>cambios</w:t>
      </w:r>
      <w:r>
        <w:rPr>
          <w:rFonts w:ascii="Arial" w:eastAsia="Calibri" w:hAnsi="Arial" w:cs="Arial"/>
          <w:sz w:val="22"/>
        </w:rPr>
        <w:t xml:space="preserve"> propios del paso del tiempo. Así, durante la etapa de planeación, las entidades públicas estiman y determinan las prestaciones que demanda la satisfacción de la necesidad de interés colectivo que pretende satisfacer. No obstante, durante la ejecución del contrato, las partes identifican alguna de las siguientes situaciones: i) la necesidad de mayores cantidades de bienes o actividades inicialmente previstos, a lo que se le conoce como «mayores cantidades de obra», «obras adicionales» o adición de «ítems contractuales»; y </w:t>
      </w:r>
      <w:proofErr w:type="spellStart"/>
      <w:r>
        <w:rPr>
          <w:rFonts w:ascii="Arial" w:eastAsia="Calibri" w:hAnsi="Arial" w:cs="Arial"/>
          <w:sz w:val="22"/>
        </w:rPr>
        <w:t>ii</w:t>
      </w:r>
      <w:proofErr w:type="spellEnd"/>
      <w:r>
        <w:rPr>
          <w:rFonts w:ascii="Arial" w:eastAsia="Calibri" w:hAnsi="Arial" w:cs="Arial"/>
          <w:sz w:val="22"/>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361FAD76"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Lo importante es que frente a cualquier incremento del valor inicial del contrato</w:t>
      </w:r>
      <w:r>
        <w:rPr>
          <w:rFonts w:ascii="Arial" w:eastAsia="Calibri" w:hAnsi="Arial" w:cs="Arial"/>
          <w:i/>
          <w:iCs/>
          <w:sz w:val="22"/>
        </w:rPr>
        <w:t xml:space="preserve"> </w:t>
      </w:r>
      <w:r>
        <w:rPr>
          <w:rFonts w:ascii="Arial" w:eastAsia="Calibri" w:hAnsi="Arial" w:cs="Arial"/>
          <w:sz w:val="22"/>
        </w:rPr>
        <w:t xml:space="preserve">por cualquiera de </w:t>
      </w:r>
      <w:proofErr w:type="gramStart"/>
      <w:r>
        <w:rPr>
          <w:rFonts w:ascii="Arial" w:eastAsia="Calibri" w:hAnsi="Arial" w:cs="Arial"/>
          <w:sz w:val="22"/>
        </w:rPr>
        <w:t>los dos supuesto</w:t>
      </w:r>
      <w:proofErr w:type="gramEnd"/>
      <w:r>
        <w:rPr>
          <w:rFonts w:ascii="Arial" w:eastAsia="Calibri" w:hAnsi="Arial" w:cs="Arial"/>
          <w:sz w:val="22"/>
        </w:rPr>
        <w:t xml:space="preserve">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w:t>
      </w:r>
      <w:r>
        <w:rPr>
          <w:rFonts w:ascii="Arial" w:eastAsia="Calibri" w:hAnsi="Arial" w:cs="Arial"/>
          <w:sz w:val="22"/>
        </w:rPr>
        <w:lastRenderedPageBreak/>
        <w:t>aunque es posible celebrar todos los tipos de acuerdos indicados, siempre debe observarse esta última disposición</w:t>
      </w:r>
      <w:r>
        <w:rPr>
          <w:rFonts w:ascii="Arial" w:eastAsia="Calibri" w:hAnsi="Arial" w:cs="Arial"/>
          <w:sz w:val="22"/>
          <w:vertAlign w:val="superscript"/>
        </w:rPr>
        <w:footnoteReference w:id="1"/>
      </w:r>
      <w:r>
        <w:rPr>
          <w:rFonts w:ascii="Arial" w:eastAsia="Calibri" w:hAnsi="Arial" w:cs="Arial"/>
          <w:sz w:val="22"/>
        </w:rPr>
        <w:t>.</w:t>
      </w:r>
    </w:p>
    <w:p w14:paraId="75525E05"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 xml:space="preserve">Dicha norma además de consagrar una prohibición trae implícita una autorización, consistente en la posibilidad de adicionar los contratos estatales, siempre que no se supere el tope establecido. Debe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salarios mínimos,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3BCC8A61" w14:textId="77777777" w:rsidR="00243590" w:rsidRDefault="003C0C3C">
      <w:pPr>
        <w:spacing w:line="276" w:lineRule="auto"/>
        <w:ind w:firstLine="708"/>
        <w:jc w:val="both"/>
        <w:rPr>
          <w:rFonts w:ascii="Arial" w:eastAsia="Calibri" w:hAnsi="Arial" w:cs="Arial"/>
          <w:sz w:val="22"/>
        </w:rPr>
      </w:pPr>
      <w:r>
        <w:rPr>
          <w:rFonts w:ascii="Arial" w:eastAsia="Calibri" w:hAnsi="Arial" w:cs="Arial"/>
          <w:sz w:val="22"/>
        </w:rPr>
        <w:t>El razonamiento anterior se fundamenta en la forma como la Ley 80 de 1993 estableció el tope para las adiciones, acudiendo a una forma de actualización del valor, de acuerdo con los incrementos que tenga el salario mínimo, lo que resulta especialmente relevante en contratos de larga duración. Sin perjuicio de lo expuesto previamente por la Subdirección de Gestión Contractual, en torno al tope de la adición de los contratos, se señalarán algunas otras posturas que no se comparten, por considerarlas contrarias a la regulación actual contenida en la Ley 80 de 1993.</w:t>
      </w:r>
    </w:p>
    <w:p w14:paraId="3461D779" w14:textId="77777777" w:rsidR="00243590" w:rsidRDefault="00243590">
      <w:pPr>
        <w:spacing w:line="276" w:lineRule="auto"/>
        <w:jc w:val="both"/>
        <w:rPr>
          <w:rFonts w:ascii="Arial" w:eastAsia="Calibri" w:hAnsi="Arial" w:cs="Arial"/>
          <w:b/>
          <w:sz w:val="22"/>
        </w:rPr>
      </w:pPr>
    </w:p>
    <w:p w14:paraId="7DCCAC89" w14:textId="77777777" w:rsidR="00243590" w:rsidRDefault="003C0C3C">
      <w:pPr>
        <w:spacing w:line="276" w:lineRule="auto"/>
        <w:jc w:val="both"/>
        <w:rPr>
          <w:rFonts w:ascii="Arial" w:eastAsia="Calibri" w:hAnsi="Arial" w:cs="Arial"/>
          <w:b/>
          <w:sz w:val="22"/>
        </w:rPr>
      </w:pPr>
      <w:r>
        <w:rPr>
          <w:rFonts w:ascii="Arial" w:eastAsia="Calibri" w:hAnsi="Arial" w:cs="Arial"/>
          <w:b/>
          <w:sz w:val="22"/>
        </w:rPr>
        <w:t>2.2. Dos posturas en torno al límite para adicionar los contratos estatales</w:t>
      </w:r>
    </w:p>
    <w:p w14:paraId="3CF2D8B6" w14:textId="77777777" w:rsidR="00243590" w:rsidRDefault="00243590">
      <w:pPr>
        <w:spacing w:line="276" w:lineRule="auto"/>
        <w:jc w:val="both"/>
        <w:rPr>
          <w:rFonts w:ascii="Arial" w:eastAsia="Calibri" w:hAnsi="Arial" w:cs="Arial"/>
          <w:b/>
          <w:sz w:val="22"/>
        </w:rPr>
      </w:pPr>
    </w:p>
    <w:p w14:paraId="1AFAF09E" w14:textId="77777777" w:rsidR="00243590" w:rsidRDefault="003C0C3C">
      <w:pPr>
        <w:spacing w:after="120" w:line="276" w:lineRule="auto"/>
        <w:jc w:val="both"/>
        <w:rPr>
          <w:rFonts w:ascii="Arial" w:eastAsia="Calibri" w:hAnsi="Arial" w:cs="Arial"/>
          <w:sz w:val="22"/>
        </w:rPr>
      </w:pPr>
      <w:r>
        <w:rPr>
          <w:rFonts w:ascii="Arial" w:eastAsia="Calibri" w:hAnsi="Arial" w:cs="Arial"/>
          <w:sz w:val="22"/>
        </w:rPr>
        <w:t>Antes de señalar las dos posturas, se aclara que el presente problema ocurre, especialmente, en los contratos cuya estructuración y pago se realiza por precios unitarios, aunque también se extiende al de administración delegada o reembolso de gastos</w:t>
      </w:r>
      <w:r>
        <w:rPr>
          <w:rFonts w:ascii="Arial" w:eastAsia="Calibri" w:hAnsi="Arial" w:cs="Arial"/>
          <w:sz w:val="22"/>
          <w:vertAlign w:val="superscript"/>
        </w:rPr>
        <w:footnoteReference w:id="2"/>
      </w:r>
      <w:r>
        <w:rPr>
          <w:rFonts w:ascii="Arial" w:eastAsia="Calibri" w:hAnsi="Arial" w:cs="Arial"/>
          <w:sz w:val="22"/>
        </w:rPr>
        <w:t>, ya que en el de precio global, como más adelante se expondrá, existe un mayor consenso en torno a la forma de aplicar el parágrafo del artículo 40.</w:t>
      </w:r>
    </w:p>
    <w:p w14:paraId="5AE676CF"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lastRenderedPageBreak/>
        <w:t>La primera postura, que fue señalada por la Sala de Consulta y Servicio Civil del Consejo de Estado, y adoptada por el Consejo de Estado en otros pronunciamientos, considera que solo hay lugar a la celebración de un contrato adicional, y por tanto que se encuentre sometido al parágrafo del artículo 40 de la Ley 80 de 1993, cuando se adicione una obra u actividad que no estaba contemplada en el alcance inicial del contrato.</w:t>
      </w:r>
    </w:p>
    <w:p w14:paraId="13844B48" w14:textId="77777777" w:rsidR="00243590" w:rsidRDefault="003C0C3C">
      <w:pPr>
        <w:spacing w:line="276" w:lineRule="auto"/>
        <w:ind w:firstLine="709"/>
        <w:jc w:val="both"/>
        <w:rPr>
          <w:rFonts w:ascii="Arial" w:eastAsia="Calibri" w:hAnsi="Arial" w:cs="Arial"/>
          <w:sz w:val="22"/>
        </w:rPr>
      </w:pPr>
      <w:r>
        <w:rPr>
          <w:rFonts w:ascii="Arial" w:eastAsia="Calibri" w:hAnsi="Arial" w:cs="Arial"/>
          <w:sz w:val="22"/>
        </w:rPr>
        <w:t>En tal sentido, la prohibición es inaplicable a otros aumentos del valor, originados, por ejemplo, en mayores cantidades de obra, ya que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0FB78278" w14:textId="77777777" w:rsidR="00243590" w:rsidRDefault="00243590">
      <w:pPr>
        <w:spacing w:line="276" w:lineRule="auto"/>
        <w:jc w:val="both"/>
        <w:rPr>
          <w:rFonts w:ascii="Arial" w:eastAsia="Calibri" w:hAnsi="Arial" w:cs="Arial"/>
          <w:sz w:val="22"/>
        </w:rPr>
      </w:pPr>
    </w:p>
    <w:p w14:paraId="379EF4C3"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2C73619E"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Por lo mismo, no se trata de que exista un «cambio» o «adición» en el contrato, sino de la aplicación de las reglas contractuales previamente determinadas en el contrato original. Es una operación matemática y no más.</w:t>
      </w:r>
    </w:p>
    <w:p w14:paraId="5AB927DA" w14:textId="77777777" w:rsidR="00243590" w:rsidRDefault="003C0C3C">
      <w:pPr>
        <w:ind w:left="709" w:right="709"/>
        <w:jc w:val="both"/>
        <w:rPr>
          <w:rFonts w:ascii="Arial" w:eastAsia="Calibri" w:hAnsi="Arial" w:cs="Arial"/>
          <w:sz w:val="21"/>
          <w:szCs w:val="21"/>
        </w:rPr>
      </w:pPr>
      <w:r>
        <w:rPr>
          <w:rFonts w:ascii="Arial" w:eastAsia="Calibri" w:hAnsi="Arial" w:cs="Arial"/>
          <w:sz w:val="21"/>
          <w:szCs w:val="21"/>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Pr>
          <w:rFonts w:ascii="Arial" w:eastAsia="Calibri" w:hAnsi="Arial" w:cs="Arial"/>
          <w:sz w:val="21"/>
          <w:szCs w:val="21"/>
          <w:vertAlign w:val="superscript"/>
        </w:rPr>
        <w:footnoteReference w:id="3"/>
      </w:r>
      <w:r>
        <w:rPr>
          <w:rFonts w:ascii="Arial" w:eastAsia="Calibri" w:hAnsi="Arial" w:cs="Arial"/>
          <w:sz w:val="21"/>
          <w:szCs w:val="21"/>
        </w:rPr>
        <w:t>.</w:t>
      </w:r>
    </w:p>
    <w:p w14:paraId="29D6B04F" w14:textId="77777777" w:rsidR="00243590" w:rsidRDefault="003C0C3C">
      <w:pPr>
        <w:spacing w:line="276" w:lineRule="auto"/>
        <w:jc w:val="both"/>
        <w:rPr>
          <w:rFonts w:ascii="Arial" w:eastAsia="Calibri" w:hAnsi="Arial" w:cs="Arial"/>
          <w:sz w:val="22"/>
        </w:rPr>
      </w:pPr>
      <w:r>
        <w:rPr>
          <w:rFonts w:ascii="Arial" w:eastAsia="Calibri" w:hAnsi="Arial" w:cs="Arial"/>
          <w:sz w:val="22"/>
        </w:rPr>
        <w:t xml:space="preserve"> </w:t>
      </w:r>
    </w:p>
    <w:p w14:paraId="6E8CF719" w14:textId="77777777" w:rsidR="00243590" w:rsidRDefault="003C0C3C">
      <w:pPr>
        <w:spacing w:line="276" w:lineRule="auto"/>
        <w:ind w:firstLine="709"/>
        <w:jc w:val="both"/>
        <w:rPr>
          <w:rFonts w:ascii="Arial" w:eastAsia="Calibri" w:hAnsi="Arial" w:cs="Arial"/>
          <w:sz w:val="22"/>
        </w:rPr>
      </w:pPr>
      <w:r>
        <w:rPr>
          <w:rFonts w:ascii="Arial" w:eastAsia="Calibri" w:hAnsi="Arial" w:cs="Arial"/>
          <w:sz w:val="22"/>
        </w:rPr>
        <w:lastRenderedPageBreak/>
        <w:t>Esta postura también es defendida por cierto sector de la doctrina</w:t>
      </w:r>
      <w:r>
        <w:rPr>
          <w:rFonts w:ascii="Arial" w:eastAsia="Calibri" w:hAnsi="Arial" w:cs="Arial"/>
          <w:sz w:val="22"/>
          <w:vertAlign w:val="superscript"/>
        </w:rPr>
        <w:footnoteReference w:id="4"/>
      </w:r>
      <w:r>
        <w:rPr>
          <w:rFonts w:ascii="Arial" w:eastAsia="Calibri" w:hAnsi="Arial" w:cs="Arial"/>
          <w:sz w:val="22"/>
        </w:rPr>
        <w:t xml:space="preserve">. Bajo esta se amplía el límite establecido por el legislador en el artículo 40, ya que este tipo de modificaciones, para ejecutar más de un mismo ítem o actividad pactada en el contrato –estas posturas las considerarían «precisiones» o «determinaciones del valor final»–, no se tendrían en cuenta para señalar en qué porcentaje se ha adicionado un contrato, ya que ellas no son </w:t>
      </w:r>
      <w:r>
        <w:rPr>
          <w:rFonts w:ascii="Arial" w:eastAsia="Calibri" w:hAnsi="Arial" w:cs="Arial"/>
          <w:i/>
          <w:sz w:val="22"/>
        </w:rPr>
        <w:t>contratos adicionales</w:t>
      </w:r>
      <w:r>
        <w:rPr>
          <w:rFonts w:ascii="Arial" w:eastAsia="Calibri" w:hAnsi="Arial" w:cs="Arial"/>
          <w:sz w:val="22"/>
        </w:rPr>
        <w:t>:</w:t>
      </w:r>
    </w:p>
    <w:p w14:paraId="1FC39945" w14:textId="77777777" w:rsidR="00243590" w:rsidRDefault="00243590">
      <w:pPr>
        <w:spacing w:line="276" w:lineRule="auto"/>
        <w:jc w:val="both"/>
        <w:rPr>
          <w:rFonts w:ascii="Arial" w:eastAsia="Calibri" w:hAnsi="Arial" w:cs="Arial"/>
          <w:sz w:val="22"/>
        </w:rPr>
      </w:pPr>
    </w:p>
    <w:p w14:paraId="76281979"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Pr>
          <w:rFonts w:ascii="Arial" w:eastAsia="Calibri" w:hAnsi="Arial" w:cs="Arial"/>
          <w:sz w:val="21"/>
          <w:szCs w:val="21"/>
        </w:rPr>
        <w:t>unitarios,</w:t>
      </w:r>
      <w:proofErr w:type="gramEnd"/>
      <w:r>
        <w:rPr>
          <w:rFonts w:ascii="Arial" w:eastAsia="Calibri" w:hAnsi="Arial" w:cs="Arial"/>
          <w:sz w:val="21"/>
          <w:szCs w:val="21"/>
        </w:rPr>
        <w:t xml:space="preserve"> debe ampararse bajo el ropaje de un contrato adicional y, en consecuencia aplicando el límite del 50%.</w:t>
      </w:r>
    </w:p>
    <w:p w14:paraId="3CCE1813"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Insistimos que no podemos compartir este planteamiento por lo siguiente:</w:t>
      </w:r>
    </w:p>
    <w:p w14:paraId="14D312EB"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220C8D1B"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 Si por decir algo, esas cantidades se acaban en la calle 94, lo faltante, esto es desde la calle 95 a la 100, no es una obra adicional ya que ella hace parte del objetivo inicial, vale decir, que no se requiere pactar un elemento nuevo necesario o accesorio al objeto primigenio pues lo carente hacer parte de él desde el principio.</w:t>
      </w:r>
    </w:p>
    <w:p w14:paraId="451E6260"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4AE98D83" w14:textId="77777777" w:rsidR="00243590" w:rsidRDefault="003C0C3C">
      <w:pPr>
        <w:ind w:left="709" w:right="709"/>
        <w:jc w:val="both"/>
        <w:rPr>
          <w:rFonts w:ascii="Arial" w:eastAsia="Calibri" w:hAnsi="Arial" w:cs="Arial"/>
          <w:sz w:val="21"/>
          <w:szCs w:val="21"/>
        </w:rPr>
      </w:pPr>
      <w:r>
        <w:rPr>
          <w:rFonts w:ascii="Arial" w:eastAsia="Calibri" w:hAnsi="Arial" w:cs="Arial"/>
          <w:sz w:val="21"/>
          <w:szCs w:val="21"/>
        </w:rPr>
        <w:t>- La inyección de los nuevos recursos no se hace al ampro de un contrato adicional sino como parte de un trámite interno oficial, con información al contratista para que pueda seguir avanzando en la obra</w:t>
      </w:r>
      <w:r>
        <w:rPr>
          <w:rFonts w:ascii="Arial" w:eastAsia="Calibri" w:hAnsi="Arial" w:cs="Arial"/>
          <w:sz w:val="21"/>
          <w:szCs w:val="21"/>
          <w:vertAlign w:val="superscript"/>
        </w:rPr>
        <w:footnoteReference w:id="5"/>
      </w:r>
      <w:r>
        <w:rPr>
          <w:rFonts w:ascii="Arial" w:eastAsia="Calibri" w:hAnsi="Arial" w:cs="Arial"/>
          <w:sz w:val="21"/>
          <w:szCs w:val="21"/>
        </w:rPr>
        <w:t>.</w:t>
      </w:r>
    </w:p>
    <w:p w14:paraId="0562CB0E" w14:textId="77777777" w:rsidR="00243590" w:rsidRDefault="00243590">
      <w:pPr>
        <w:spacing w:line="276" w:lineRule="auto"/>
        <w:ind w:left="709" w:right="758"/>
        <w:jc w:val="both"/>
        <w:rPr>
          <w:rFonts w:ascii="Arial" w:eastAsia="Calibri" w:hAnsi="Arial" w:cs="Arial"/>
          <w:sz w:val="21"/>
          <w:szCs w:val="21"/>
        </w:rPr>
      </w:pPr>
    </w:p>
    <w:p w14:paraId="2D146C9F"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Por su parte, el Consejo de estado en otras providencias, reiteró el criterio desarrollado en el concepto de la Sala de Consulta y Servicio de Civil del Consejo de Estado citado previamente</w:t>
      </w:r>
      <w:r>
        <w:rPr>
          <w:rFonts w:ascii="Arial" w:eastAsia="Calibri" w:hAnsi="Arial" w:cs="Arial"/>
          <w:sz w:val="22"/>
          <w:vertAlign w:val="superscript"/>
        </w:rPr>
        <w:footnoteReference w:id="6"/>
      </w:r>
      <w:r>
        <w:rPr>
          <w:rFonts w:ascii="Arial" w:eastAsia="Calibri" w:hAnsi="Arial" w:cs="Arial"/>
          <w:sz w:val="22"/>
        </w:rPr>
        <w:t xml:space="preserve">. </w:t>
      </w:r>
    </w:p>
    <w:p w14:paraId="4BE22595" w14:textId="77777777" w:rsidR="00243590" w:rsidRDefault="003C0C3C">
      <w:pPr>
        <w:spacing w:line="276" w:lineRule="auto"/>
        <w:ind w:firstLine="709"/>
        <w:jc w:val="both"/>
        <w:rPr>
          <w:rFonts w:ascii="Arial" w:eastAsia="Calibri" w:hAnsi="Arial" w:cs="Arial"/>
          <w:sz w:val="22"/>
        </w:rPr>
      </w:pPr>
      <w:r>
        <w:rPr>
          <w:rFonts w:ascii="Arial" w:eastAsia="Calibri" w:hAnsi="Arial" w:cs="Arial"/>
          <w:sz w:val="22"/>
        </w:rPr>
        <w:lastRenderedPageBreak/>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 </w:t>
      </w:r>
    </w:p>
    <w:p w14:paraId="34CE0A41" w14:textId="77777777" w:rsidR="00243590" w:rsidRDefault="00243590">
      <w:pPr>
        <w:spacing w:line="276" w:lineRule="auto"/>
        <w:jc w:val="both"/>
        <w:rPr>
          <w:rFonts w:ascii="Arial" w:eastAsia="Calibri" w:hAnsi="Arial" w:cs="Arial"/>
          <w:sz w:val="22"/>
        </w:rPr>
      </w:pPr>
    </w:p>
    <w:p w14:paraId="0F97B512" w14:textId="77777777" w:rsidR="00243590" w:rsidRDefault="003C0C3C">
      <w:pPr>
        <w:spacing w:line="276" w:lineRule="auto"/>
        <w:ind w:left="709" w:right="758"/>
        <w:jc w:val="both"/>
        <w:rPr>
          <w:rFonts w:ascii="Arial" w:eastAsia="Calibri" w:hAnsi="Arial" w:cs="Arial"/>
          <w:sz w:val="21"/>
          <w:szCs w:val="21"/>
        </w:rPr>
      </w:pPr>
      <w:r>
        <w:rPr>
          <w:rFonts w:ascii="Arial" w:eastAsia="Calibri" w:hAnsi="Arial" w:cs="Arial"/>
          <w:sz w:val="21"/>
          <w:szCs w:val="21"/>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Pr>
          <w:rFonts w:ascii="Arial" w:eastAsia="Calibri" w:hAnsi="Arial" w:cs="Arial"/>
          <w:i/>
          <w:iCs/>
          <w:sz w:val="21"/>
          <w:szCs w:val="21"/>
        </w:rPr>
        <w:t xml:space="preserve">obra adicional </w:t>
      </w:r>
      <w:r>
        <w:rPr>
          <w:rFonts w:ascii="Arial" w:eastAsia="Calibri" w:hAnsi="Arial" w:cs="Arial"/>
          <w:sz w:val="21"/>
          <w:szCs w:val="21"/>
        </w:rPr>
        <w:t>conduce a una adición del contrato, luego debe tener como límite el 50% analizado.</w:t>
      </w:r>
    </w:p>
    <w:p w14:paraId="074A65D5" w14:textId="77777777" w:rsidR="00243590" w:rsidRDefault="003C0C3C">
      <w:pPr>
        <w:spacing w:line="276" w:lineRule="auto"/>
        <w:ind w:left="709" w:right="758"/>
        <w:jc w:val="both"/>
        <w:rPr>
          <w:rFonts w:ascii="Arial" w:eastAsia="Calibri" w:hAnsi="Arial" w:cs="Arial"/>
          <w:sz w:val="21"/>
          <w:szCs w:val="21"/>
        </w:rPr>
      </w:pPr>
      <w:r>
        <w:rPr>
          <w:rFonts w:ascii="Arial" w:eastAsia="Calibri" w:hAnsi="Arial" w:cs="Arial"/>
          <w:sz w:val="21"/>
          <w:szCs w:val="21"/>
        </w:rPr>
        <w:t>[…]</w:t>
      </w:r>
    </w:p>
    <w:p w14:paraId="62EBF3C5" w14:textId="77777777" w:rsidR="00243590" w:rsidRDefault="00243590">
      <w:pPr>
        <w:spacing w:line="276" w:lineRule="auto"/>
        <w:ind w:left="709" w:right="758"/>
        <w:jc w:val="both"/>
        <w:rPr>
          <w:rFonts w:ascii="Arial" w:eastAsia="Calibri" w:hAnsi="Arial" w:cs="Arial"/>
          <w:sz w:val="21"/>
          <w:szCs w:val="21"/>
        </w:rPr>
      </w:pPr>
    </w:p>
    <w:p w14:paraId="3B847DC0" w14:textId="77777777" w:rsidR="00243590" w:rsidRDefault="003C0C3C">
      <w:pPr>
        <w:spacing w:line="276" w:lineRule="auto"/>
        <w:ind w:left="709" w:right="758"/>
        <w:jc w:val="both"/>
        <w:rPr>
          <w:rFonts w:ascii="Arial" w:eastAsia="Calibri" w:hAnsi="Arial" w:cs="Arial"/>
          <w:sz w:val="21"/>
          <w:szCs w:val="21"/>
        </w:rPr>
      </w:pPr>
      <w:r>
        <w:rPr>
          <w:rFonts w:ascii="Arial" w:eastAsia="Calibri" w:hAnsi="Arial" w:cs="Arial"/>
          <w:sz w:val="21"/>
          <w:szCs w:val="21"/>
        </w:rPr>
        <w:t>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mayor cantidad, sino su valor. Si sobrepasa el límite legal no es posible ejecutarlo</w:t>
      </w:r>
      <w:r>
        <w:rPr>
          <w:rFonts w:ascii="Arial" w:eastAsia="Calibri" w:hAnsi="Arial" w:cs="Arial"/>
          <w:sz w:val="21"/>
          <w:szCs w:val="21"/>
          <w:vertAlign w:val="superscript"/>
        </w:rPr>
        <w:footnoteReference w:id="7"/>
      </w:r>
      <w:r>
        <w:rPr>
          <w:rFonts w:ascii="Arial" w:eastAsia="Calibri" w:hAnsi="Arial" w:cs="Arial"/>
          <w:sz w:val="21"/>
          <w:szCs w:val="21"/>
        </w:rPr>
        <w:t>. (Aparte en corchetes fuera del original).</w:t>
      </w:r>
    </w:p>
    <w:p w14:paraId="6D98A12B" w14:textId="77777777" w:rsidR="00243590" w:rsidRDefault="00243590">
      <w:pPr>
        <w:spacing w:line="276" w:lineRule="auto"/>
        <w:jc w:val="both"/>
        <w:rPr>
          <w:rFonts w:ascii="Arial" w:eastAsia="Calibri" w:hAnsi="Arial" w:cs="Arial"/>
          <w:sz w:val="22"/>
        </w:rPr>
      </w:pPr>
    </w:p>
    <w:p w14:paraId="6E54ED04" w14:textId="77777777" w:rsidR="00243590" w:rsidRDefault="003C0C3C">
      <w:pPr>
        <w:spacing w:line="276" w:lineRule="auto"/>
        <w:ind w:firstLine="709"/>
        <w:jc w:val="both"/>
        <w:rPr>
          <w:rFonts w:ascii="Arial" w:eastAsia="Calibri" w:hAnsi="Arial" w:cs="Arial"/>
          <w:sz w:val="22"/>
        </w:rPr>
      </w:pPr>
      <w:r>
        <w:rPr>
          <w:rFonts w:ascii="Arial" w:eastAsia="Calibri" w:hAnsi="Arial" w:cs="Arial"/>
          <w:sz w:val="22"/>
        </w:rPr>
        <w:t>La postura anterior también es defendida por la Sección Tercera del Consejo de Estado y por la mayoría de las entidades, porque en el año 2010 se demandó la legalidad del artículo 73 del Decreto 2474 de 2008, que autorizaba la adición de algunos contratos por encima del 50%. La Sección Tercera declaró su nulidad, en la sentencia del 14 de abril de 2010, bajo los siguientes argumentos:</w:t>
      </w:r>
    </w:p>
    <w:p w14:paraId="2946DB82" w14:textId="77777777" w:rsidR="00243590" w:rsidRDefault="00243590">
      <w:pPr>
        <w:spacing w:line="276" w:lineRule="auto"/>
        <w:jc w:val="both"/>
        <w:rPr>
          <w:rFonts w:ascii="Arial" w:eastAsia="Calibri" w:hAnsi="Arial" w:cs="Arial"/>
          <w:sz w:val="22"/>
        </w:rPr>
      </w:pPr>
    </w:p>
    <w:p w14:paraId="0E7949FA" w14:textId="77777777" w:rsidR="00243590" w:rsidRDefault="003C0C3C">
      <w:pPr>
        <w:spacing w:line="276" w:lineRule="auto"/>
        <w:ind w:left="709" w:right="758"/>
        <w:jc w:val="both"/>
        <w:rPr>
          <w:rFonts w:ascii="Arial" w:eastAsia="Calibri" w:hAnsi="Arial" w:cs="Arial"/>
          <w:sz w:val="21"/>
          <w:szCs w:val="21"/>
        </w:rPr>
      </w:pPr>
      <w:r>
        <w:rPr>
          <w:rFonts w:ascii="Arial" w:eastAsia="Calibri" w:hAnsi="Arial" w:cs="Arial"/>
          <w:sz w:val="21"/>
          <w:szCs w:val="21"/>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w:t>
      </w:r>
      <w:proofErr w:type="gramStart"/>
      <w:r>
        <w:rPr>
          <w:rFonts w:ascii="Arial" w:eastAsia="Calibri" w:hAnsi="Arial" w:cs="Arial"/>
          <w:sz w:val="21"/>
          <w:szCs w:val="21"/>
        </w:rPr>
        <w:t>obstante</w:t>
      </w:r>
      <w:proofErr w:type="gramEnd"/>
      <w:r>
        <w:rPr>
          <w:rFonts w:ascii="Arial" w:eastAsia="Calibri" w:hAnsi="Arial" w:cs="Arial"/>
          <w:sz w:val="21"/>
          <w:szCs w:val="21"/>
        </w:rPr>
        <w:t xml:space="preserve"> lo anterior, la legislación vigente contempla una </w:t>
      </w:r>
      <w:r>
        <w:rPr>
          <w:rFonts w:ascii="Arial" w:eastAsia="Calibri" w:hAnsi="Arial" w:cs="Arial"/>
          <w:sz w:val="21"/>
          <w:szCs w:val="21"/>
        </w:rPr>
        <w:lastRenderedPageBreak/>
        <w:t>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5997CC1D" w14:textId="77777777" w:rsidR="00243590" w:rsidRDefault="00243590">
      <w:pPr>
        <w:spacing w:line="276" w:lineRule="auto"/>
        <w:ind w:left="709" w:right="758"/>
        <w:jc w:val="both"/>
        <w:rPr>
          <w:rFonts w:ascii="Arial" w:eastAsia="Calibri" w:hAnsi="Arial" w:cs="Arial"/>
          <w:sz w:val="21"/>
          <w:szCs w:val="21"/>
        </w:rPr>
      </w:pPr>
    </w:p>
    <w:p w14:paraId="2FE57080" w14:textId="77777777" w:rsidR="00243590" w:rsidRDefault="003C0C3C">
      <w:pPr>
        <w:spacing w:line="276" w:lineRule="auto"/>
        <w:ind w:left="709" w:right="758"/>
        <w:jc w:val="both"/>
        <w:rPr>
          <w:rFonts w:ascii="Arial" w:eastAsia="Calibri" w:hAnsi="Arial" w:cs="Arial"/>
          <w:sz w:val="21"/>
          <w:szCs w:val="21"/>
        </w:rPr>
      </w:pPr>
      <w:r>
        <w:rPr>
          <w:rFonts w:ascii="Arial" w:eastAsia="Calibri" w:hAnsi="Arial" w:cs="Arial"/>
          <w:sz w:val="21"/>
          <w:szCs w:val="21"/>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Pr>
          <w:rFonts w:ascii="Arial" w:eastAsia="Calibri" w:hAnsi="Arial" w:cs="Arial"/>
          <w:sz w:val="21"/>
          <w:szCs w:val="21"/>
          <w:vertAlign w:val="superscript"/>
        </w:rPr>
        <w:footnoteReference w:id="8"/>
      </w:r>
      <w:r>
        <w:rPr>
          <w:rFonts w:ascii="Arial" w:eastAsia="Calibri" w:hAnsi="Arial" w:cs="Arial"/>
          <w:sz w:val="21"/>
          <w:szCs w:val="21"/>
        </w:rPr>
        <w:t>.</w:t>
      </w:r>
    </w:p>
    <w:p w14:paraId="110FFD37" w14:textId="77777777" w:rsidR="00243590" w:rsidRDefault="00243590">
      <w:pPr>
        <w:spacing w:line="276" w:lineRule="auto"/>
        <w:jc w:val="both"/>
        <w:rPr>
          <w:rFonts w:ascii="Arial" w:eastAsia="Calibri" w:hAnsi="Arial" w:cs="Arial"/>
          <w:sz w:val="22"/>
        </w:rPr>
      </w:pPr>
    </w:p>
    <w:p w14:paraId="7AFA648B" w14:textId="77777777" w:rsidR="00243590" w:rsidRDefault="003C0C3C">
      <w:pPr>
        <w:spacing w:after="120" w:line="276" w:lineRule="auto"/>
        <w:ind w:firstLine="709"/>
        <w:jc w:val="both"/>
        <w:rPr>
          <w:rFonts w:ascii="Arial" w:eastAsia="Calibri" w:hAnsi="Arial" w:cs="Arial"/>
          <w:sz w:val="22"/>
        </w:rPr>
      </w:pPr>
      <w:r>
        <w:rPr>
          <w:rFonts w:ascii="Arial" w:eastAsia="Calibri" w:hAnsi="Arial" w:cs="Arial"/>
          <w:sz w:val="22"/>
        </w:rPr>
        <w:t xml:space="preserve">Esta Agencia comparte la última postura, ya que es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 </w:t>
      </w:r>
    </w:p>
    <w:p w14:paraId="120F6343" w14:textId="77777777" w:rsidR="00243590" w:rsidRDefault="003C0C3C">
      <w:pPr>
        <w:spacing w:line="276" w:lineRule="auto"/>
        <w:ind w:firstLine="709"/>
        <w:jc w:val="both"/>
        <w:rPr>
          <w:rFonts w:ascii="Arial" w:eastAsia="Calibri" w:hAnsi="Arial" w:cs="Arial"/>
          <w:sz w:val="22"/>
        </w:rPr>
      </w:pPr>
      <w:r>
        <w:rPr>
          <w:rFonts w:ascii="Arial" w:eastAsia="Calibri" w:hAnsi="Arial" w:cs="Arial"/>
          <w:sz w:val="22"/>
        </w:rPr>
        <w:t xml:space="preserve">Actualmente, solo existe una posibilidad para adicionar contratos en más del 50% y es la contenida en el artículo 85 de la Ley 1474 de 2011, para los contratos de interventoría que, por su naturaleza de seguimiento técnico, deberá someterse al plazo en que haya sido prorrogado el contrato objeto de vigilancia. </w:t>
      </w:r>
    </w:p>
    <w:p w14:paraId="6B699379" w14:textId="77777777" w:rsidR="00243590" w:rsidRDefault="00243590">
      <w:pPr>
        <w:spacing w:line="276" w:lineRule="auto"/>
        <w:ind w:firstLine="709"/>
        <w:jc w:val="both"/>
        <w:rPr>
          <w:rFonts w:ascii="Arial" w:eastAsia="Calibri" w:hAnsi="Arial" w:cs="Arial"/>
          <w:sz w:val="22"/>
        </w:rPr>
      </w:pPr>
    </w:p>
    <w:p w14:paraId="14ACC7B1" w14:textId="77777777" w:rsidR="00243590" w:rsidRDefault="003C0C3C">
      <w:pPr>
        <w:spacing w:line="276" w:lineRule="auto"/>
        <w:jc w:val="both"/>
        <w:rPr>
          <w:rFonts w:ascii="Arial" w:eastAsia="Calibri" w:hAnsi="Arial" w:cs="Arial"/>
          <w:b/>
          <w:bCs/>
          <w:sz w:val="22"/>
        </w:rPr>
      </w:pPr>
      <w:r>
        <w:rPr>
          <w:rFonts w:ascii="Arial" w:eastAsia="Calibri" w:hAnsi="Arial" w:cs="Arial"/>
          <w:b/>
          <w:bCs/>
          <w:sz w:val="22"/>
        </w:rPr>
        <w:t>2.3. La posibilidad de adicionar sin límite de valor los contratos celebrados por las entidades estatales que se relacionen con bienes, obras o servicios para gestionar o mitigar los efectos de la emergencia causada por el coronavirus –COVID-19–</w:t>
      </w:r>
    </w:p>
    <w:p w14:paraId="3FE9F23F" w14:textId="77777777" w:rsidR="00061D19" w:rsidRDefault="00061D19">
      <w:pPr>
        <w:spacing w:line="276" w:lineRule="auto"/>
        <w:jc w:val="both"/>
        <w:rPr>
          <w:rFonts w:ascii="Arial" w:eastAsia="Calibri" w:hAnsi="Arial" w:cs="Arial"/>
          <w:b/>
          <w:bCs/>
          <w:sz w:val="22"/>
        </w:rPr>
      </w:pPr>
    </w:p>
    <w:p w14:paraId="1D7937AD" w14:textId="77777777" w:rsidR="00243590" w:rsidRDefault="003C0C3C">
      <w:pPr>
        <w:spacing w:line="276" w:lineRule="auto"/>
        <w:jc w:val="both"/>
        <w:rPr>
          <w:rFonts w:ascii="Arial" w:eastAsia="Calibri" w:hAnsi="Arial" w:cs="Arial"/>
          <w:sz w:val="22"/>
        </w:rPr>
      </w:pPr>
      <w:r>
        <w:rPr>
          <w:rFonts w:ascii="Arial" w:eastAsia="Calibri" w:hAnsi="Arial" w:cs="Arial"/>
          <w:sz w:val="22"/>
        </w:rPr>
        <w:t xml:space="preserve">Si bien la postura jurisprudencial y doctrinaria es clara frente a la imposibilidad de adicionar los contratos estatales por más del 50% de su valor inicial, exceptuados los de interventoría conforme lo dispuesto en el artículo 85 de la Ley 1474 de 2011, los Decretos 440 y 537 de 2020 excepcionan esta regla. La actual emergencia presentada a nivel global a causa del coronavirus supone una exige al Estado colombiano garantizar la salud de todos los habitantes del territorio nacional y a disminuir la propagación del virus, atendiendo a la inmediatez con que se debe obrar para conjurar la crisis. Sin embargo, la excepción a la </w:t>
      </w:r>
      <w:r>
        <w:rPr>
          <w:rFonts w:ascii="Arial" w:eastAsia="Calibri" w:hAnsi="Arial" w:cs="Arial"/>
          <w:sz w:val="22"/>
        </w:rPr>
        <w:lastRenderedPageBreak/>
        <w:t>regla se configura en el marco del Estado de Emergencia Económica, Social y Ecológica, así como de la Emergencia Sanitaria, lo que implica delimitar las circunstancias en que puede ser adicionado un contrato por encima del 50% de su valor inicial. En esta medida se dispone los siguiente:</w:t>
      </w:r>
    </w:p>
    <w:p w14:paraId="1F72F646" w14:textId="77777777" w:rsidR="00243590" w:rsidRDefault="00243590">
      <w:pPr>
        <w:spacing w:line="276" w:lineRule="auto"/>
        <w:jc w:val="both"/>
        <w:rPr>
          <w:rFonts w:ascii="Arial" w:eastAsia="Calibri" w:hAnsi="Arial" w:cs="Arial"/>
          <w:sz w:val="22"/>
        </w:rPr>
      </w:pPr>
    </w:p>
    <w:p w14:paraId="70482412"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Artículo 8. Adiciónese los siguientes incisos al parágrafo del artículo 40 de la Ley 80 de 1993, así:</w:t>
      </w:r>
    </w:p>
    <w:p w14:paraId="36388283" w14:textId="77777777" w:rsidR="00243590" w:rsidRDefault="003C0C3C">
      <w:pPr>
        <w:spacing w:after="120"/>
        <w:ind w:left="709" w:right="709"/>
        <w:jc w:val="both"/>
        <w:rPr>
          <w:rFonts w:ascii="Arial" w:eastAsia="Calibri" w:hAnsi="Arial" w:cs="Arial"/>
          <w:sz w:val="21"/>
          <w:szCs w:val="21"/>
        </w:rPr>
      </w:pPr>
      <w:r>
        <w:rPr>
          <w:rFonts w:ascii="Arial" w:eastAsia="Calibri" w:hAnsi="Arial" w:cs="Arial"/>
          <w:sz w:val="21"/>
          <w:szCs w:val="21"/>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41582E04" w14:textId="77777777" w:rsidR="00243590" w:rsidRDefault="003C0C3C">
      <w:pPr>
        <w:ind w:left="709" w:right="709"/>
        <w:jc w:val="both"/>
        <w:rPr>
          <w:rFonts w:ascii="Arial" w:eastAsia="Calibri" w:hAnsi="Arial" w:cs="Arial"/>
          <w:sz w:val="21"/>
          <w:szCs w:val="21"/>
        </w:rPr>
      </w:pPr>
      <w:r>
        <w:rPr>
          <w:rFonts w:ascii="Arial" w:eastAsia="Calibri" w:hAnsi="Arial" w:cs="Arial"/>
          <w:sz w:val="21"/>
          <w:szCs w:val="21"/>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p>
    <w:p w14:paraId="08CE6F91" w14:textId="77777777" w:rsidR="00243590" w:rsidRDefault="00243590">
      <w:pPr>
        <w:spacing w:line="276" w:lineRule="auto"/>
        <w:jc w:val="both"/>
        <w:rPr>
          <w:rFonts w:ascii="Arial" w:eastAsia="Calibri" w:hAnsi="Arial" w:cs="Arial"/>
          <w:sz w:val="22"/>
        </w:rPr>
      </w:pPr>
    </w:p>
    <w:p w14:paraId="7DCBAC46" w14:textId="77777777" w:rsidR="00243590" w:rsidRDefault="003C0C3C">
      <w:pPr>
        <w:spacing w:line="276" w:lineRule="auto"/>
        <w:ind w:firstLine="708"/>
        <w:jc w:val="both"/>
        <w:rPr>
          <w:rFonts w:ascii="Arial" w:eastAsia="Calibri" w:hAnsi="Arial" w:cs="Arial"/>
          <w:sz w:val="22"/>
        </w:rPr>
      </w:pPr>
      <w:r>
        <w:rPr>
          <w:rFonts w:ascii="Arial" w:eastAsia="Calibri" w:hAnsi="Arial" w:cs="Arial"/>
          <w:sz w:val="22"/>
        </w:rPr>
        <w:t>El artículo 8 de los Decretos 440 y 537 del 2020 permite adicionar los contratos sin límite de valor para los bienes, obras o servicios destinados a gestionar y mitigar las situaciones originadas por la pandemia. En esta medida impone a la Administración el deber de justificar la conexidad que existe entre el objeto a adicionar y la situación de emergencia. Por tanto, no es deliberada la adición a los contratos que se realicen en virtud de los decretos mencionados, pues las entidad</w:t>
      </w:r>
      <w:r w:rsidR="009D43A9">
        <w:rPr>
          <w:rFonts w:ascii="Arial" w:eastAsia="Calibri" w:hAnsi="Arial" w:cs="Arial"/>
          <w:sz w:val="22"/>
        </w:rPr>
        <w:t>es</w:t>
      </w:r>
      <w:r>
        <w:rPr>
          <w:rFonts w:ascii="Arial" w:eastAsia="Calibri" w:hAnsi="Arial" w:cs="Arial"/>
          <w:sz w:val="22"/>
        </w:rPr>
        <w:t xml:space="preserve"> deben observar los principios de la función administrativa y la contratación estatal y, por otro lado, la naturaleza de los bienes, obras o servicios y su destinación a mitigar los efectos de la pandemia originada por el COVID-19. </w:t>
      </w:r>
    </w:p>
    <w:p w14:paraId="61CDCEAD" w14:textId="77777777" w:rsidR="00243590" w:rsidRDefault="00243590">
      <w:pPr>
        <w:spacing w:line="276" w:lineRule="auto"/>
        <w:ind w:firstLine="709"/>
        <w:jc w:val="both"/>
        <w:rPr>
          <w:rFonts w:ascii="Arial" w:eastAsia="Calibri" w:hAnsi="Arial" w:cs="Arial"/>
          <w:sz w:val="22"/>
        </w:rPr>
      </w:pPr>
    </w:p>
    <w:p w14:paraId="7D854840" w14:textId="77777777" w:rsidR="00243590" w:rsidRDefault="003C0C3C">
      <w:pPr>
        <w:spacing w:line="276" w:lineRule="auto"/>
        <w:jc w:val="both"/>
        <w:rPr>
          <w:rFonts w:ascii="Arial" w:eastAsia="Calibri" w:hAnsi="Arial" w:cs="Arial"/>
          <w:sz w:val="22"/>
        </w:rPr>
      </w:pPr>
      <w:r>
        <w:rPr>
          <w:rFonts w:ascii="Arial" w:eastAsia="Calibri" w:hAnsi="Arial" w:cs="Arial"/>
          <w:b/>
          <w:sz w:val="22"/>
        </w:rPr>
        <w:t>Respuesta</w:t>
      </w:r>
    </w:p>
    <w:p w14:paraId="6BB9E253" w14:textId="77777777" w:rsidR="00243590" w:rsidRDefault="00243590">
      <w:pPr>
        <w:spacing w:line="276" w:lineRule="auto"/>
        <w:ind w:left="709" w:right="709"/>
        <w:jc w:val="both"/>
        <w:rPr>
          <w:rFonts w:ascii="Arial" w:eastAsia="Calibri" w:hAnsi="Arial" w:cs="Arial"/>
          <w:i/>
          <w:sz w:val="22"/>
        </w:rPr>
      </w:pPr>
    </w:p>
    <w:p w14:paraId="6323397D" w14:textId="77777777" w:rsidR="00243590" w:rsidRDefault="003C0C3C">
      <w:pPr>
        <w:spacing w:line="276" w:lineRule="auto"/>
        <w:ind w:left="709" w:right="709"/>
        <w:jc w:val="both"/>
        <w:rPr>
          <w:rFonts w:ascii="Arial" w:eastAsia="Calibri" w:hAnsi="Arial" w:cs="Arial"/>
          <w:iCs/>
          <w:sz w:val="22"/>
        </w:rPr>
      </w:pPr>
      <w:r>
        <w:rPr>
          <w:rFonts w:ascii="Arial" w:eastAsia="Calibri" w:hAnsi="Arial" w:cs="Arial"/>
          <w:iCs/>
          <w:sz w:val="22"/>
        </w:rPr>
        <w:t xml:space="preserve">«Aclarar el alcance del artículo 8 del Decreto N.º 440 del 20 de marzo de 2020, que permite que todos los contratos que se relacionen con bienes, obras o servicios que permitan una mejor gestión y mitigación de la situación de esta emergencia, se pueden adicionar sin limitación de valor». </w:t>
      </w:r>
    </w:p>
    <w:p w14:paraId="23DE523C" w14:textId="77777777" w:rsidR="00243590" w:rsidRDefault="00243590">
      <w:pPr>
        <w:spacing w:line="276" w:lineRule="auto"/>
        <w:ind w:left="709" w:right="709"/>
        <w:jc w:val="both"/>
        <w:rPr>
          <w:rFonts w:ascii="Arial" w:eastAsia="Calibri" w:hAnsi="Arial" w:cs="Arial"/>
          <w:iCs/>
          <w:sz w:val="22"/>
        </w:rPr>
      </w:pPr>
    </w:p>
    <w:p w14:paraId="72CFFF1F" w14:textId="77777777" w:rsidR="00243590" w:rsidRDefault="003C0C3C">
      <w:pPr>
        <w:spacing w:after="120" w:line="276" w:lineRule="auto"/>
        <w:ind w:right="51"/>
        <w:jc w:val="both"/>
        <w:rPr>
          <w:rFonts w:ascii="Arial" w:eastAsia="Calibri" w:hAnsi="Arial" w:cs="Arial"/>
          <w:iCs/>
          <w:sz w:val="22"/>
        </w:rPr>
      </w:pPr>
      <w:r>
        <w:rPr>
          <w:rFonts w:ascii="Arial" w:eastAsia="Calibri" w:hAnsi="Arial" w:cs="Arial"/>
          <w:iCs/>
          <w:sz w:val="22"/>
        </w:rPr>
        <w:t xml:space="preserve">Para adicionar contratos estatales sin límite de valor, debe establecerse de forma clara la conexidad que existe entre los bienes, obras o servicios con la emergencia presentada por la pandemia del coronavirus –COVID-19–, justificando la necesidad de </w:t>
      </w:r>
      <w:proofErr w:type="gramStart"/>
      <w:r>
        <w:rPr>
          <w:rFonts w:ascii="Arial" w:eastAsia="Calibri" w:hAnsi="Arial" w:cs="Arial"/>
          <w:iCs/>
          <w:sz w:val="22"/>
        </w:rPr>
        <w:t>los mismos</w:t>
      </w:r>
      <w:proofErr w:type="gramEnd"/>
      <w:r>
        <w:rPr>
          <w:rFonts w:ascii="Arial" w:eastAsia="Calibri" w:hAnsi="Arial" w:cs="Arial"/>
          <w:iCs/>
          <w:sz w:val="22"/>
        </w:rPr>
        <w:t xml:space="preserve">. </w:t>
      </w:r>
    </w:p>
    <w:p w14:paraId="4BDD3CB5" w14:textId="77777777" w:rsidR="00243590" w:rsidRDefault="003C0C3C">
      <w:pPr>
        <w:spacing w:after="120" w:line="276" w:lineRule="auto"/>
        <w:ind w:right="51" w:firstLine="708"/>
        <w:jc w:val="both"/>
        <w:rPr>
          <w:rFonts w:ascii="Arial" w:eastAsia="Calibri" w:hAnsi="Arial" w:cs="Arial"/>
          <w:iCs/>
          <w:sz w:val="22"/>
        </w:rPr>
      </w:pPr>
      <w:bookmarkStart w:id="6" w:name="_Hlk40120504"/>
      <w:r>
        <w:rPr>
          <w:rFonts w:ascii="Arial" w:eastAsia="Calibri" w:hAnsi="Arial" w:cs="Arial"/>
          <w:iCs/>
          <w:sz w:val="22"/>
        </w:rPr>
        <w:lastRenderedPageBreak/>
        <w:t xml:space="preserve">Es oportuno considerar que la adición sin el límite fijado solo podrá realizarse hasta tanto se encuentre vigente la Emergencia Sanitaria declarada por el Ministerio de Salud y Protección Social, disposición introducida en </w:t>
      </w:r>
      <w:r>
        <w:rPr>
          <w:rFonts w:ascii="Arial" w:eastAsia="Calibri" w:hAnsi="Arial" w:cs="Arial"/>
          <w:sz w:val="22"/>
        </w:rPr>
        <w:t>los Decretos 440 y 537 del 2020</w:t>
      </w:r>
      <w:r>
        <w:rPr>
          <w:rFonts w:ascii="Arial" w:eastAsia="Calibri" w:hAnsi="Arial" w:cs="Arial"/>
          <w:iCs/>
          <w:sz w:val="22"/>
        </w:rPr>
        <w:t xml:space="preserve">. Una vez finalizado el Estado de Emergencia, los contratos suscritos en virtud de este y sobre los cuales no se hubiesen realizado adiciones superiores al 50%, podrán adicionarse conforme el inciso final del parágrafo del artículo 40 de la Ley 80 de 1993. </w:t>
      </w:r>
      <w:bookmarkEnd w:id="6"/>
    </w:p>
    <w:p w14:paraId="52E56223" w14:textId="77777777" w:rsidR="00243590" w:rsidRDefault="00243590">
      <w:pPr>
        <w:spacing w:line="276" w:lineRule="auto"/>
        <w:ind w:right="709" w:firstLine="709"/>
        <w:jc w:val="both"/>
        <w:rPr>
          <w:rFonts w:ascii="Arial" w:eastAsia="Calibri" w:hAnsi="Arial" w:cs="Arial"/>
          <w:iCs/>
          <w:sz w:val="22"/>
        </w:rPr>
      </w:pPr>
    </w:p>
    <w:p w14:paraId="22058DED" w14:textId="77777777" w:rsidR="00243590" w:rsidRDefault="003C0C3C">
      <w:pPr>
        <w:spacing w:before="120" w:after="120"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07547A01" w14:textId="77777777" w:rsidR="00243590" w:rsidRDefault="00243590">
      <w:pPr>
        <w:spacing w:line="276" w:lineRule="auto"/>
        <w:jc w:val="both"/>
        <w:rPr>
          <w:rFonts w:ascii="Arial" w:eastAsia="Calibri" w:hAnsi="Arial" w:cs="Arial"/>
          <w:sz w:val="22"/>
        </w:rPr>
      </w:pPr>
    </w:p>
    <w:p w14:paraId="446C6471" w14:textId="77777777" w:rsidR="00243590" w:rsidRDefault="003C0C3C">
      <w:pPr>
        <w:jc w:val="both"/>
        <w:rPr>
          <w:rFonts w:ascii="Arial" w:eastAsia="Calibri" w:hAnsi="Arial" w:cs="Arial"/>
          <w:sz w:val="22"/>
        </w:rPr>
      </w:pPr>
      <w:r>
        <w:rPr>
          <w:noProof/>
          <w:lang w:val="en-US" w:eastAsia="en-US"/>
        </w:rPr>
        <mc:AlternateContent>
          <mc:Choice Requires="wps">
            <w:drawing>
              <wp:anchor distT="0" distB="0" distL="114300" distR="114300" simplePos="0" relativeHeight="251658240" behindDoc="0" locked="0" layoutInCell="1" allowOverlap="1" wp14:anchorId="4DDA14F0" wp14:editId="07777777">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w16cex="http://schemas.microsoft.com/office/word/2018/wordml/cex" xmlns:w16="http://schemas.microsoft.com/office/word/2018/wordml" xmlns:wpsCustomData="http://www.wps.cn/officeDocument/2013/wpsCustomData" xmlns:wp14="http://schemas.microsoft.com/office/word/2010/wordml" xmlns:a14="http://schemas.microsoft.com/office/drawing/2010/main" xmlns:pic="http://schemas.openxmlformats.org/drawingml/2006/picture" xmlns:a="http://schemas.openxmlformats.org/drawingml/2006/main">
            <w:pict w14:anchorId="6E26B4D3">
              <v:line id="_x0000_s1026" style="position:absolute;left:0pt;margin-left:119.25pt;margin-top:0.8pt;height:0pt;width:369pt;mso-position-horizontal-relative:page;z-index:251658240;mso-width-relative:page;mso-height-relative:page;" coordsize="21600,21600" o:spid="_x0000_s1026" filled="f" stroked="t" o:spt="20" o:gfxdata="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ZnV7TAAAA&#10;BwEAAA8AAAAAAAAAAQAgAAAAIgAAAGRycy9kb3ducmV2LnhtbFBLAQIUABQAAAAIAIdO4kCGAmm5&#10;sAEAAFkDAAAOAAAAAAAAAAEAIAAAACIBAABkcnMvZTJvRG9jLnhtbFBLBQYAAAAABgAGAFkBAABE&#10;BQAAAAA=&#10;">
                <v:fill on="f" focussize="0,0"/>
                <v:stroke color="#DBDBDB" joinstyle="round"/>
                <v:imagedata o:title=""/>
                <o:lock v:ext="edit" aspectratio="f"/>
              </v:line>
            </w:pict>
          </mc:Fallback>
        </mc:AlternateContent>
      </w:r>
    </w:p>
    <w:p w14:paraId="7F16B3CB" w14:textId="77777777" w:rsidR="00243590" w:rsidRDefault="003C0C3C" w:rsidP="23BDD61F">
      <w:pPr>
        <w:rPr>
          <w:rFonts w:ascii="Arial" w:hAnsi="Arial" w:cs="Arial"/>
          <w:sz w:val="22"/>
          <w:szCs w:val="22"/>
          <w:lang w:eastAsia="es-CO"/>
        </w:rPr>
      </w:pPr>
      <w:r w:rsidRPr="23BDD61F">
        <w:rPr>
          <w:rFonts w:ascii="Arial" w:hAnsi="Arial" w:cs="Arial"/>
          <w:sz w:val="22"/>
          <w:szCs w:val="22"/>
          <w:lang w:eastAsia="es-CO"/>
        </w:rPr>
        <w:t>Atentamente,</w:t>
      </w:r>
    </w:p>
    <w:p w14:paraId="6D46DD03" w14:textId="7CE1D57B" w:rsidR="00243590" w:rsidRDefault="00243590" w:rsidP="23BDD61F">
      <w:pPr>
        <w:rPr>
          <w:rFonts w:ascii="Arial" w:hAnsi="Arial" w:cs="Arial"/>
          <w:sz w:val="22"/>
          <w:szCs w:val="22"/>
          <w:lang w:eastAsia="es-CO"/>
        </w:rPr>
      </w:pPr>
    </w:p>
    <w:p w14:paraId="144A5D23" w14:textId="4C8D4E5B" w:rsidR="00243590" w:rsidRDefault="5C32E4D2" w:rsidP="23BDD61F">
      <w:pPr>
        <w:jc w:val="center"/>
      </w:pPr>
      <w:r>
        <w:rPr>
          <w:noProof/>
          <w:lang w:val="en-US" w:eastAsia="en-US"/>
        </w:rPr>
        <w:drawing>
          <wp:inline distT="0" distB="0" distL="0" distR="0" wp14:anchorId="3D79E1B4" wp14:editId="035C5222">
            <wp:extent cx="2460644" cy="871708"/>
            <wp:effectExtent l="0" t="0" r="0" b="0"/>
            <wp:docPr id="1432857841" name="Imagen 143285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60644" cy="871708"/>
                    </a:xfrm>
                    <a:prstGeom prst="rect">
                      <a:avLst/>
                    </a:prstGeom>
                  </pic:spPr>
                </pic:pic>
              </a:graphicData>
            </a:graphic>
          </wp:inline>
        </w:drawing>
      </w:r>
    </w:p>
    <w:p w14:paraId="738610EB" w14:textId="77777777" w:rsidR="00243590" w:rsidRDefault="00243590">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43590" w14:paraId="73578AEC" w14:textId="77777777">
        <w:trPr>
          <w:trHeight w:val="315"/>
        </w:trPr>
        <w:tc>
          <w:tcPr>
            <w:tcW w:w="812" w:type="dxa"/>
            <w:vAlign w:val="center"/>
          </w:tcPr>
          <w:p w14:paraId="37EFBCBB" w14:textId="77777777" w:rsidR="00243590" w:rsidRDefault="003C0C3C">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tcPr>
          <w:p w14:paraId="3FABA904" w14:textId="77777777" w:rsidR="00243590" w:rsidRDefault="003C0C3C">
            <w:pPr>
              <w:rPr>
                <w:rFonts w:ascii="Arial" w:hAnsi="Arial" w:cs="Arial"/>
                <w:sz w:val="16"/>
                <w:szCs w:val="16"/>
                <w:lang w:eastAsia="es-ES"/>
              </w:rPr>
            </w:pPr>
            <w:r>
              <w:rPr>
                <w:rFonts w:ascii="Arial" w:hAnsi="Arial" w:cs="Arial"/>
                <w:sz w:val="16"/>
                <w:szCs w:val="16"/>
                <w:lang w:eastAsia="es-ES"/>
              </w:rPr>
              <w:t xml:space="preserve">Omar Germán Mejía Olmos </w:t>
            </w:r>
          </w:p>
          <w:p w14:paraId="79C6BF81" w14:textId="77777777" w:rsidR="00243590" w:rsidRDefault="003C0C3C">
            <w:pPr>
              <w:rPr>
                <w:rFonts w:ascii="Arial" w:hAnsi="Arial" w:cs="Arial"/>
                <w:sz w:val="16"/>
                <w:szCs w:val="16"/>
                <w:lang w:eastAsia="es-ES"/>
              </w:rPr>
            </w:pPr>
            <w:r>
              <w:rPr>
                <w:rFonts w:ascii="Arial" w:hAnsi="Arial" w:cs="Arial"/>
                <w:sz w:val="16"/>
                <w:szCs w:val="16"/>
                <w:lang w:eastAsia="es-ES"/>
              </w:rPr>
              <w:t>Contratista de la Subdirección de Gestión Contractual</w:t>
            </w:r>
          </w:p>
        </w:tc>
      </w:tr>
      <w:tr w:rsidR="00243590" w14:paraId="63396EBC" w14:textId="77777777">
        <w:trPr>
          <w:trHeight w:val="330"/>
        </w:trPr>
        <w:tc>
          <w:tcPr>
            <w:tcW w:w="812" w:type="dxa"/>
            <w:vAlign w:val="center"/>
          </w:tcPr>
          <w:p w14:paraId="479AFFF9" w14:textId="77777777" w:rsidR="00243590" w:rsidRDefault="003C0C3C">
            <w:pPr>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045A31D0" w14:textId="77777777" w:rsidR="00243590" w:rsidRDefault="003C0C3C">
            <w:pPr>
              <w:rPr>
                <w:rFonts w:ascii="Arial" w:hAnsi="Arial" w:cs="Arial"/>
                <w:sz w:val="16"/>
                <w:szCs w:val="16"/>
                <w:lang w:eastAsia="es-ES"/>
              </w:rPr>
            </w:pPr>
            <w:r>
              <w:rPr>
                <w:rFonts w:ascii="Arial" w:hAnsi="Arial" w:cs="Arial"/>
                <w:sz w:val="16"/>
                <w:szCs w:val="16"/>
                <w:lang w:eastAsia="es-ES"/>
              </w:rPr>
              <w:t xml:space="preserve">Juan David Montoya Penagos </w:t>
            </w:r>
          </w:p>
          <w:p w14:paraId="429DCFB2" w14:textId="77777777" w:rsidR="00243590" w:rsidRDefault="003C0C3C">
            <w:pPr>
              <w:rPr>
                <w:rFonts w:ascii="Arial" w:hAnsi="Arial" w:cs="Arial"/>
                <w:sz w:val="16"/>
                <w:szCs w:val="16"/>
                <w:lang w:eastAsia="es-ES"/>
              </w:rPr>
            </w:pPr>
            <w:r>
              <w:rPr>
                <w:rFonts w:ascii="Arial" w:hAnsi="Arial" w:cs="Arial"/>
                <w:sz w:val="16"/>
                <w:szCs w:val="16"/>
                <w:lang w:eastAsia="es-ES"/>
              </w:rPr>
              <w:t>Contratista de la Subdirección de Gestión Contractual</w:t>
            </w:r>
          </w:p>
        </w:tc>
      </w:tr>
      <w:tr w:rsidR="00243590" w14:paraId="67C4E959" w14:textId="77777777">
        <w:trPr>
          <w:trHeight w:val="300"/>
        </w:trPr>
        <w:tc>
          <w:tcPr>
            <w:tcW w:w="812" w:type="dxa"/>
            <w:vAlign w:val="center"/>
          </w:tcPr>
          <w:p w14:paraId="68943B0B" w14:textId="77777777" w:rsidR="00243590" w:rsidRDefault="003C0C3C">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379FA026" w14:textId="77777777" w:rsidR="00243590" w:rsidRDefault="003C0C3C">
            <w:pPr>
              <w:rPr>
                <w:rFonts w:ascii="Arial" w:hAnsi="Arial" w:cs="Arial"/>
                <w:sz w:val="16"/>
                <w:szCs w:val="16"/>
                <w:lang w:eastAsia="es-ES"/>
              </w:rPr>
            </w:pPr>
            <w:r>
              <w:rPr>
                <w:rFonts w:ascii="Arial" w:hAnsi="Arial" w:cs="Arial"/>
                <w:sz w:val="16"/>
                <w:szCs w:val="16"/>
                <w:lang w:eastAsia="es-ES"/>
              </w:rPr>
              <w:t>Fabián Gonzalo Marín Cortés</w:t>
            </w:r>
          </w:p>
          <w:p w14:paraId="1D14E497" w14:textId="77777777" w:rsidR="00243590" w:rsidRDefault="003C0C3C">
            <w:pPr>
              <w:rPr>
                <w:rFonts w:ascii="Arial" w:hAnsi="Arial" w:cs="Arial"/>
                <w:sz w:val="16"/>
                <w:szCs w:val="16"/>
                <w:lang w:eastAsia="es-ES"/>
              </w:rPr>
            </w:pPr>
            <w:r>
              <w:rPr>
                <w:rFonts w:ascii="Arial" w:hAnsi="Arial" w:cs="Arial"/>
                <w:sz w:val="16"/>
                <w:szCs w:val="16"/>
                <w:lang w:eastAsia="es-ES"/>
              </w:rPr>
              <w:t>Subdirector de Gestión Contractual</w:t>
            </w:r>
          </w:p>
        </w:tc>
      </w:tr>
    </w:tbl>
    <w:p w14:paraId="637805D2" w14:textId="77777777" w:rsidR="00243590" w:rsidRDefault="00243590">
      <w:pPr>
        <w:rPr>
          <w:rFonts w:ascii="Arial" w:hAnsi="Arial" w:cs="Arial"/>
          <w:sz w:val="16"/>
          <w:szCs w:val="16"/>
          <w:lang w:eastAsia="es-ES"/>
        </w:rPr>
      </w:pPr>
    </w:p>
    <w:sectPr w:rsidR="00243590">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249BA" w14:textId="77777777" w:rsidR="00E82432" w:rsidRDefault="00E82432">
      <w:r>
        <w:separator/>
      </w:r>
    </w:p>
  </w:endnote>
  <w:endnote w:type="continuationSeparator" w:id="0">
    <w:p w14:paraId="679F575D" w14:textId="77777777" w:rsidR="00E82432" w:rsidRDefault="00E8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0D7D" w14:textId="77777777" w:rsidR="00243590" w:rsidRDefault="00243590">
    <w:pPr>
      <w:pStyle w:val="Sinespaciado"/>
      <w:jc w:val="right"/>
      <w:rPr>
        <w:rFonts w:ascii="Arial" w:hAnsi="Arial" w:cs="Arial"/>
        <w:sz w:val="18"/>
        <w:szCs w:val="18"/>
      </w:rPr>
    </w:pPr>
  </w:p>
  <w:p w14:paraId="1021AC83" w14:textId="4BE14742" w:rsidR="00243590" w:rsidRDefault="003C0C3C">
    <w:pPr>
      <w:pStyle w:val="Piedepgina"/>
      <w:jc w:val="right"/>
      <w:rPr>
        <w:rFonts w:ascii="Arial" w:hAnsi="Arial" w:cs="Arial"/>
        <w:color w:val="7F7F7F" w:themeColor="text1" w:themeTint="80"/>
        <w:sz w:val="16"/>
        <w:szCs w:val="16"/>
      </w:rPr>
    </w:pPr>
    <w:r>
      <w:rPr>
        <w:rFonts w:ascii="Arial" w:hAnsi="Arial" w:cs="Arial"/>
        <w:bCs/>
        <w:color w:val="7F7F7F" w:themeColor="text1" w:themeTint="80"/>
        <w:sz w:val="16"/>
        <w:szCs w:val="16"/>
      </w:rPr>
      <w:t xml:space="preserve">Página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PAGE  \* Arabic  \* MERGEFORMAT</w:instrText>
    </w:r>
    <w:r>
      <w:rPr>
        <w:rFonts w:ascii="Arial" w:hAnsi="Arial" w:cs="Arial"/>
        <w:b/>
        <w:bCs/>
        <w:color w:val="7F7F7F" w:themeColor="text1" w:themeTint="80"/>
        <w:sz w:val="16"/>
        <w:szCs w:val="16"/>
      </w:rPr>
      <w:fldChar w:fldCharType="separate"/>
    </w:r>
    <w:r w:rsidR="008239C4">
      <w:rPr>
        <w:rFonts w:ascii="Arial" w:hAnsi="Arial" w:cs="Arial"/>
        <w:b/>
        <w:bCs/>
        <w:noProof/>
        <w:color w:val="7F7F7F" w:themeColor="text1" w:themeTint="80"/>
        <w:sz w:val="16"/>
        <w:szCs w:val="16"/>
      </w:rPr>
      <w:t>2</w:t>
    </w:r>
    <w:r>
      <w:rPr>
        <w:rFonts w:ascii="Arial" w:hAnsi="Arial" w:cs="Arial"/>
        <w:b/>
        <w:bCs/>
        <w:color w:val="7F7F7F" w:themeColor="text1" w:themeTint="80"/>
        <w:sz w:val="16"/>
        <w:szCs w:val="16"/>
      </w:rPr>
      <w:fldChar w:fldCharType="end"/>
    </w:r>
    <w:r>
      <w:rPr>
        <w:rFonts w:ascii="Arial" w:hAnsi="Arial" w:cs="Arial"/>
        <w:color w:val="7F7F7F" w:themeColor="text1" w:themeTint="80"/>
        <w:sz w:val="16"/>
        <w:szCs w:val="16"/>
      </w:rPr>
      <w:t xml:space="preserve"> de </w:t>
    </w:r>
    <w:r>
      <w:rPr>
        <w:rFonts w:ascii="Arial" w:hAnsi="Arial" w:cs="Arial"/>
        <w:b/>
        <w:bCs/>
        <w:color w:val="7F7F7F" w:themeColor="text1" w:themeTint="80"/>
        <w:sz w:val="16"/>
        <w:szCs w:val="16"/>
      </w:rPr>
      <w:fldChar w:fldCharType="begin"/>
    </w:r>
    <w:r>
      <w:rPr>
        <w:rFonts w:ascii="Arial" w:hAnsi="Arial" w:cs="Arial"/>
        <w:b/>
        <w:bCs/>
        <w:color w:val="7F7F7F" w:themeColor="text1" w:themeTint="80"/>
        <w:sz w:val="16"/>
        <w:szCs w:val="16"/>
      </w:rPr>
      <w:instrText>NUMPAGES  \* Arabic  \* MERGEFORMAT</w:instrText>
    </w:r>
    <w:r>
      <w:rPr>
        <w:rFonts w:ascii="Arial" w:hAnsi="Arial" w:cs="Arial"/>
        <w:b/>
        <w:bCs/>
        <w:color w:val="7F7F7F" w:themeColor="text1" w:themeTint="80"/>
        <w:sz w:val="16"/>
        <w:szCs w:val="16"/>
      </w:rPr>
      <w:fldChar w:fldCharType="separate"/>
    </w:r>
    <w:r w:rsidR="008239C4">
      <w:rPr>
        <w:rFonts w:ascii="Arial" w:hAnsi="Arial" w:cs="Arial"/>
        <w:b/>
        <w:bCs/>
        <w:noProof/>
        <w:color w:val="7F7F7F" w:themeColor="text1" w:themeTint="80"/>
        <w:sz w:val="16"/>
        <w:szCs w:val="16"/>
      </w:rPr>
      <w:t>11</w:t>
    </w:r>
    <w:r>
      <w:rPr>
        <w:rFonts w:ascii="Arial" w:hAnsi="Arial" w:cs="Arial"/>
        <w:b/>
        <w:bCs/>
        <w:color w:val="7F7F7F" w:themeColor="text1" w:themeTint="80"/>
        <w:sz w:val="16"/>
        <w:szCs w:val="16"/>
      </w:rPr>
      <w:fldChar w:fldCharType="end"/>
    </w:r>
  </w:p>
  <w:p w14:paraId="6B62F1B3" w14:textId="77777777" w:rsidR="00243590" w:rsidRDefault="23BDD61F">
    <w:pPr>
      <w:pStyle w:val="Piedepgina"/>
      <w:jc w:val="center"/>
      <w:rPr>
        <w:lang w:val="es-ES"/>
      </w:rPr>
    </w:pPr>
    <w:r>
      <w:rPr>
        <w:noProof/>
        <w:lang w:val="en-US"/>
      </w:rPr>
      <w:drawing>
        <wp:inline distT="0" distB="0" distL="0" distR="0" wp14:anchorId="64674BF5" wp14:editId="3B92F595">
          <wp:extent cx="3699510" cy="518795"/>
          <wp:effectExtent l="0" t="0" r="0" b="0"/>
          <wp:docPr id="9279271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699510" cy="518795"/>
                  </a:xfrm>
                  <a:prstGeom prst="rect">
                    <a:avLst/>
                  </a:prstGeom>
                </pic:spPr>
              </pic:pic>
            </a:graphicData>
          </a:graphic>
        </wp:inline>
      </w:drawing>
    </w:r>
  </w:p>
  <w:p w14:paraId="02F2C34E" w14:textId="77777777" w:rsidR="00243590" w:rsidRDefault="00243590">
    <w:pPr>
      <w:pStyle w:val="Piedepgina"/>
      <w:jc w:val="center"/>
      <w:rPr>
        <w:lang w:val="es-ES"/>
      </w:rPr>
    </w:pPr>
  </w:p>
  <w:p w14:paraId="680A4E5D" w14:textId="77777777" w:rsidR="00243590" w:rsidRDefault="0024359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70ED" w14:textId="77777777" w:rsidR="00E82432" w:rsidRDefault="00E82432">
      <w:r>
        <w:separator/>
      </w:r>
    </w:p>
  </w:footnote>
  <w:footnote w:type="continuationSeparator" w:id="0">
    <w:p w14:paraId="1C707DC8" w14:textId="77777777" w:rsidR="00E82432" w:rsidRDefault="00E82432">
      <w:r>
        <w:continuationSeparator/>
      </w:r>
    </w:p>
  </w:footnote>
  <w:footnote w:id="1">
    <w:p w14:paraId="2DB56F69" w14:textId="77777777" w:rsidR="00243590" w:rsidRDefault="003C0C3C">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Lo anterior, sin perjuicio de lo prescrito por la Ley 1474 de 2011, que en su artículo 85, en relación con los contratos de interventoría, excepciona la aplicación de la restricción analizada, de manera que podrán adicionarse sin importar su monto: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61829076" w14:textId="77777777" w:rsidR="00243590" w:rsidRDefault="00243590">
      <w:pPr>
        <w:pStyle w:val="Textonotapie"/>
        <w:ind w:firstLine="708"/>
        <w:jc w:val="both"/>
        <w:rPr>
          <w:rFonts w:ascii="Arial" w:hAnsi="Arial" w:cs="Arial"/>
          <w:color w:val="404040" w:themeColor="text1" w:themeTint="BF"/>
          <w:sz w:val="19"/>
          <w:szCs w:val="19"/>
          <w:lang w:val="es-CO"/>
        </w:rPr>
      </w:pPr>
    </w:p>
  </w:footnote>
  <w:footnote w:id="2">
    <w:p w14:paraId="0D05F282" w14:textId="77777777" w:rsidR="00243590" w:rsidRDefault="003C0C3C">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Consejo de Estado. Sala de Consulta y Servicio Civil. Concepto del 18 de julio de 2002. Exp. 1.439 C.P. Susana Montes Echeverri.</w:t>
      </w:r>
    </w:p>
  </w:footnote>
  <w:footnote w:id="3">
    <w:p w14:paraId="61A1864F" w14:textId="77777777" w:rsidR="00243590" w:rsidRDefault="003C0C3C">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Ibíd.</w:t>
      </w:r>
    </w:p>
    <w:p w14:paraId="2BA226A1" w14:textId="77777777" w:rsidR="00243590" w:rsidRDefault="00243590">
      <w:pPr>
        <w:pStyle w:val="Textonotapie"/>
        <w:ind w:firstLine="708"/>
        <w:jc w:val="both"/>
        <w:rPr>
          <w:rFonts w:ascii="Arial" w:hAnsi="Arial" w:cs="Arial"/>
          <w:color w:val="404040" w:themeColor="text1" w:themeTint="BF"/>
          <w:sz w:val="19"/>
          <w:szCs w:val="19"/>
          <w:lang w:val="es-CO"/>
        </w:rPr>
      </w:pPr>
    </w:p>
  </w:footnote>
  <w:footnote w:id="4">
    <w:p w14:paraId="6BE30947" w14:textId="77777777" w:rsidR="00243590" w:rsidRDefault="003C0C3C">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DÁVILA VINUEZA, Luis Guillermo. Régimen jurídico de la contratación estatal. Tercera edición, Bogotá: Legis, 2016, p. 635 y 636.</w:t>
      </w:r>
    </w:p>
    <w:p w14:paraId="17AD93B2" w14:textId="77777777" w:rsidR="00243590" w:rsidRDefault="00243590">
      <w:pPr>
        <w:pStyle w:val="Textonotapie"/>
        <w:ind w:firstLine="708"/>
        <w:jc w:val="both"/>
        <w:rPr>
          <w:rFonts w:ascii="Arial" w:hAnsi="Arial" w:cs="Arial"/>
          <w:color w:val="404040" w:themeColor="text1" w:themeTint="BF"/>
          <w:sz w:val="19"/>
          <w:szCs w:val="19"/>
        </w:rPr>
      </w:pPr>
    </w:p>
  </w:footnote>
  <w:footnote w:id="5">
    <w:p w14:paraId="4F2F2243" w14:textId="77777777" w:rsidR="00243590" w:rsidRDefault="003C0C3C">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Ibíd. p. 592</w:t>
      </w:r>
    </w:p>
    <w:p w14:paraId="0DE4B5B7" w14:textId="77777777" w:rsidR="00243590" w:rsidRDefault="00243590">
      <w:pPr>
        <w:pStyle w:val="Textonotapie"/>
        <w:ind w:firstLine="708"/>
        <w:jc w:val="both"/>
        <w:rPr>
          <w:rFonts w:ascii="Arial" w:hAnsi="Arial" w:cs="Arial"/>
          <w:color w:val="404040" w:themeColor="text1" w:themeTint="BF"/>
          <w:sz w:val="19"/>
          <w:szCs w:val="19"/>
        </w:rPr>
      </w:pPr>
    </w:p>
  </w:footnote>
  <w:footnote w:id="6">
    <w:p w14:paraId="76D99803" w14:textId="77777777" w:rsidR="00243590" w:rsidRDefault="003C0C3C">
      <w:pPr>
        <w:pStyle w:val="Textonotapie"/>
        <w:ind w:firstLine="708"/>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Cfr. Consejo de Estado. Sección Tercera. Sentencia del 22 de abril de 2004. Exp. 22.178 y en la Sentencia de la misma Sección del 15 de julio de 2004. Exp. AP-1164-02.</w:t>
      </w:r>
    </w:p>
    <w:p w14:paraId="66204FF1" w14:textId="77777777" w:rsidR="00243590" w:rsidRDefault="00243590">
      <w:pPr>
        <w:pStyle w:val="Textonotapie"/>
        <w:ind w:firstLine="708"/>
        <w:jc w:val="both"/>
        <w:rPr>
          <w:rFonts w:ascii="Arial" w:hAnsi="Arial" w:cs="Arial"/>
          <w:color w:val="404040" w:themeColor="text1" w:themeTint="BF"/>
          <w:sz w:val="19"/>
          <w:szCs w:val="19"/>
          <w:lang w:val="es-CO"/>
        </w:rPr>
      </w:pPr>
    </w:p>
  </w:footnote>
  <w:footnote w:id="7">
    <w:p w14:paraId="091F2087" w14:textId="77777777" w:rsidR="00243590" w:rsidRDefault="003C0C3C">
      <w:pPr>
        <w:pStyle w:val="Textonotapie"/>
        <w:ind w:firstLine="708"/>
        <w:jc w:val="both"/>
        <w:rPr>
          <w:rFonts w:ascii="Arial" w:hAnsi="Arial" w:cs="Arial"/>
          <w:color w:val="404040" w:themeColor="text1" w:themeTint="BF"/>
          <w:sz w:val="19"/>
          <w:szCs w:val="19"/>
          <w:lang w:val="es-CO"/>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MARÍN CORTÉS. Fabián G. El precio. Serie: Las Cláusulas del Contrato Estatal. Medellín: Centro de Estudios de Derecho Administrativo ― CEDA y Librería Jurídica Sánchez, 2012. p. 220 y 221.</w:t>
      </w:r>
    </w:p>
  </w:footnote>
  <w:footnote w:id="8">
    <w:p w14:paraId="35BC8082" w14:textId="77777777" w:rsidR="00243590" w:rsidRDefault="003C0C3C">
      <w:pPr>
        <w:pStyle w:val="Textonotapie"/>
        <w:ind w:firstLine="708"/>
        <w:jc w:val="both"/>
        <w:rPr>
          <w:rFonts w:ascii="Arial" w:hAnsi="Arial" w:cs="Arial"/>
          <w:color w:val="404040" w:themeColor="text1" w:themeTint="BF"/>
          <w:sz w:val="19"/>
          <w:szCs w:val="19"/>
          <w:lang w:val="es-CO"/>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Consejo de Estado. Sección Tercera. Sentencia del 14 de abril de 2010. Exp. 36.054. M.P.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44E8" w14:textId="77777777" w:rsidR="00243590" w:rsidRDefault="003C0C3C">
    <w:pPr>
      <w:pStyle w:val="Encabezado"/>
    </w:pPr>
    <w:r>
      <w:rPr>
        <w:noProof/>
        <w:lang w:val="en-US"/>
      </w:rPr>
      <w:drawing>
        <wp:anchor distT="0" distB="0" distL="114300" distR="114300" simplePos="0" relativeHeight="251661312" behindDoc="1" locked="0" layoutInCell="1" allowOverlap="1" wp14:anchorId="5E2D3D79" wp14:editId="07777777">
          <wp:simplePos x="0" y="0"/>
          <wp:positionH relativeFrom="column">
            <wp:posOffset>4382135</wp:posOffset>
          </wp:positionH>
          <wp:positionV relativeFrom="paragraph">
            <wp:posOffset>482600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7300" cy="516255"/>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01C06310"/>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162"/>
    <w:rsid w:val="00013D80"/>
    <w:rsid w:val="00030D26"/>
    <w:rsid w:val="00061D19"/>
    <w:rsid w:val="0006474E"/>
    <w:rsid w:val="00084B97"/>
    <w:rsid w:val="00092FC8"/>
    <w:rsid w:val="000942EB"/>
    <w:rsid w:val="000B103F"/>
    <w:rsid w:val="000B2058"/>
    <w:rsid w:val="000B4600"/>
    <w:rsid w:val="000C286C"/>
    <w:rsid w:val="000F14E8"/>
    <w:rsid w:val="000F360A"/>
    <w:rsid w:val="00103915"/>
    <w:rsid w:val="001059ED"/>
    <w:rsid w:val="001220C9"/>
    <w:rsid w:val="00122B23"/>
    <w:rsid w:val="0012706B"/>
    <w:rsid w:val="00137FFA"/>
    <w:rsid w:val="001474CA"/>
    <w:rsid w:val="0018413B"/>
    <w:rsid w:val="00185A30"/>
    <w:rsid w:val="001B0444"/>
    <w:rsid w:val="001D5927"/>
    <w:rsid w:val="0020632A"/>
    <w:rsid w:val="002110EB"/>
    <w:rsid w:val="00211338"/>
    <w:rsid w:val="00234B84"/>
    <w:rsid w:val="002425EF"/>
    <w:rsid w:val="00243590"/>
    <w:rsid w:val="00243646"/>
    <w:rsid w:val="002516DB"/>
    <w:rsid w:val="00251DF6"/>
    <w:rsid w:val="00295053"/>
    <w:rsid w:val="002A6D6E"/>
    <w:rsid w:val="002C4C0C"/>
    <w:rsid w:val="002C641B"/>
    <w:rsid w:val="002E3B51"/>
    <w:rsid w:val="002E557C"/>
    <w:rsid w:val="003033BA"/>
    <w:rsid w:val="003214B3"/>
    <w:rsid w:val="00322937"/>
    <w:rsid w:val="0033415B"/>
    <w:rsid w:val="0034177C"/>
    <w:rsid w:val="00345191"/>
    <w:rsid w:val="0034680A"/>
    <w:rsid w:val="00353DD5"/>
    <w:rsid w:val="00354C49"/>
    <w:rsid w:val="003616CD"/>
    <w:rsid w:val="003837EA"/>
    <w:rsid w:val="00386456"/>
    <w:rsid w:val="003A0878"/>
    <w:rsid w:val="003A581E"/>
    <w:rsid w:val="003C0C3C"/>
    <w:rsid w:val="00417341"/>
    <w:rsid w:val="0042094C"/>
    <w:rsid w:val="00423F9F"/>
    <w:rsid w:val="004422D6"/>
    <w:rsid w:val="004423E9"/>
    <w:rsid w:val="00444D0E"/>
    <w:rsid w:val="0049241A"/>
    <w:rsid w:val="004A0C3D"/>
    <w:rsid w:val="004A34D2"/>
    <w:rsid w:val="004C03CE"/>
    <w:rsid w:val="004D5391"/>
    <w:rsid w:val="00500BB0"/>
    <w:rsid w:val="005022B5"/>
    <w:rsid w:val="0051074C"/>
    <w:rsid w:val="00513AF2"/>
    <w:rsid w:val="0054413A"/>
    <w:rsid w:val="005564CA"/>
    <w:rsid w:val="0056182B"/>
    <w:rsid w:val="00562079"/>
    <w:rsid w:val="005756AA"/>
    <w:rsid w:val="00585DD3"/>
    <w:rsid w:val="005976F3"/>
    <w:rsid w:val="005A7A1B"/>
    <w:rsid w:val="005B2C1F"/>
    <w:rsid w:val="005C5D69"/>
    <w:rsid w:val="005D51FA"/>
    <w:rsid w:val="005D791B"/>
    <w:rsid w:val="00614817"/>
    <w:rsid w:val="00620678"/>
    <w:rsid w:val="00633DBF"/>
    <w:rsid w:val="00655371"/>
    <w:rsid w:val="00662F97"/>
    <w:rsid w:val="006724D1"/>
    <w:rsid w:val="00674867"/>
    <w:rsid w:val="00686904"/>
    <w:rsid w:val="00697665"/>
    <w:rsid w:val="006A63E5"/>
    <w:rsid w:val="006A7CB5"/>
    <w:rsid w:val="006A7FD0"/>
    <w:rsid w:val="006D15BB"/>
    <w:rsid w:val="006D64F0"/>
    <w:rsid w:val="006D7687"/>
    <w:rsid w:val="006E0572"/>
    <w:rsid w:val="006E1997"/>
    <w:rsid w:val="00705631"/>
    <w:rsid w:val="00712371"/>
    <w:rsid w:val="00715EAA"/>
    <w:rsid w:val="00727DDB"/>
    <w:rsid w:val="00742DD2"/>
    <w:rsid w:val="00746E08"/>
    <w:rsid w:val="00747C96"/>
    <w:rsid w:val="0075094E"/>
    <w:rsid w:val="007522E8"/>
    <w:rsid w:val="0075647A"/>
    <w:rsid w:val="007634AD"/>
    <w:rsid w:val="0078122E"/>
    <w:rsid w:val="00795647"/>
    <w:rsid w:val="007B0854"/>
    <w:rsid w:val="007B3E94"/>
    <w:rsid w:val="007E29F9"/>
    <w:rsid w:val="007E534F"/>
    <w:rsid w:val="007F50CA"/>
    <w:rsid w:val="007F6B46"/>
    <w:rsid w:val="007F72CB"/>
    <w:rsid w:val="00812052"/>
    <w:rsid w:val="008217B7"/>
    <w:rsid w:val="008239C4"/>
    <w:rsid w:val="0083119B"/>
    <w:rsid w:val="00836EAB"/>
    <w:rsid w:val="00837705"/>
    <w:rsid w:val="00845A8C"/>
    <w:rsid w:val="0085092D"/>
    <w:rsid w:val="00850F79"/>
    <w:rsid w:val="00853C4C"/>
    <w:rsid w:val="00860FBF"/>
    <w:rsid w:val="00884405"/>
    <w:rsid w:val="008917ED"/>
    <w:rsid w:val="008976FE"/>
    <w:rsid w:val="0089774F"/>
    <w:rsid w:val="008E1C15"/>
    <w:rsid w:val="008E56E0"/>
    <w:rsid w:val="008F538E"/>
    <w:rsid w:val="009047C5"/>
    <w:rsid w:val="0092508B"/>
    <w:rsid w:val="0095385A"/>
    <w:rsid w:val="009773A9"/>
    <w:rsid w:val="009822FB"/>
    <w:rsid w:val="009A5E9E"/>
    <w:rsid w:val="009A65E4"/>
    <w:rsid w:val="009D43A9"/>
    <w:rsid w:val="009F59C2"/>
    <w:rsid w:val="009F74DA"/>
    <w:rsid w:val="00A240A3"/>
    <w:rsid w:val="00A24560"/>
    <w:rsid w:val="00A275F9"/>
    <w:rsid w:val="00A34538"/>
    <w:rsid w:val="00A37FB6"/>
    <w:rsid w:val="00AA08E7"/>
    <w:rsid w:val="00AA3B3D"/>
    <w:rsid w:val="00AA442B"/>
    <w:rsid w:val="00AA669D"/>
    <w:rsid w:val="00AC062F"/>
    <w:rsid w:val="00AD7239"/>
    <w:rsid w:val="00B06B66"/>
    <w:rsid w:val="00B13EC0"/>
    <w:rsid w:val="00B22E22"/>
    <w:rsid w:val="00B46463"/>
    <w:rsid w:val="00B525CB"/>
    <w:rsid w:val="00B61E42"/>
    <w:rsid w:val="00B63872"/>
    <w:rsid w:val="00B63CB2"/>
    <w:rsid w:val="00B64EDB"/>
    <w:rsid w:val="00B7315F"/>
    <w:rsid w:val="00B756FF"/>
    <w:rsid w:val="00B87A16"/>
    <w:rsid w:val="00B91B8E"/>
    <w:rsid w:val="00BC2704"/>
    <w:rsid w:val="00BC69FB"/>
    <w:rsid w:val="00BD3BBF"/>
    <w:rsid w:val="00BD78FE"/>
    <w:rsid w:val="00C05D95"/>
    <w:rsid w:val="00C32900"/>
    <w:rsid w:val="00C37092"/>
    <w:rsid w:val="00C670C7"/>
    <w:rsid w:val="00CC00CD"/>
    <w:rsid w:val="00CF604B"/>
    <w:rsid w:val="00D01760"/>
    <w:rsid w:val="00D07FA3"/>
    <w:rsid w:val="00D16CBB"/>
    <w:rsid w:val="00D16E39"/>
    <w:rsid w:val="00D21711"/>
    <w:rsid w:val="00D223B6"/>
    <w:rsid w:val="00D57D88"/>
    <w:rsid w:val="00D60327"/>
    <w:rsid w:val="00D72E9D"/>
    <w:rsid w:val="00D82CE5"/>
    <w:rsid w:val="00D90DF6"/>
    <w:rsid w:val="00DA0655"/>
    <w:rsid w:val="00DA5AB1"/>
    <w:rsid w:val="00DA63E1"/>
    <w:rsid w:val="00DB13AF"/>
    <w:rsid w:val="00DB3E82"/>
    <w:rsid w:val="00DB74B1"/>
    <w:rsid w:val="00DC62E5"/>
    <w:rsid w:val="00DD735D"/>
    <w:rsid w:val="00DE3119"/>
    <w:rsid w:val="00DF236B"/>
    <w:rsid w:val="00E13AB8"/>
    <w:rsid w:val="00E229D7"/>
    <w:rsid w:val="00E25CB3"/>
    <w:rsid w:val="00E33B62"/>
    <w:rsid w:val="00E4143A"/>
    <w:rsid w:val="00E469BB"/>
    <w:rsid w:val="00E56618"/>
    <w:rsid w:val="00E65326"/>
    <w:rsid w:val="00E82432"/>
    <w:rsid w:val="00EC41BD"/>
    <w:rsid w:val="00ED27B4"/>
    <w:rsid w:val="00EE18CA"/>
    <w:rsid w:val="00EE59B5"/>
    <w:rsid w:val="00EE5B77"/>
    <w:rsid w:val="00F1161F"/>
    <w:rsid w:val="00F11D1F"/>
    <w:rsid w:val="00F51ADC"/>
    <w:rsid w:val="00F84899"/>
    <w:rsid w:val="00F859F0"/>
    <w:rsid w:val="00FD2E57"/>
    <w:rsid w:val="00FE141E"/>
    <w:rsid w:val="00FE42ED"/>
    <w:rsid w:val="00FF7CA5"/>
    <w:rsid w:val="208D559D"/>
    <w:rsid w:val="23BDD61F"/>
    <w:rsid w:val="5C32E4D2"/>
    <w:rsid w:val="7695A8E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0C12C73B"/>
  <w15:docId w15:val="{D7454893-DD56-7246-95C0-EE92DE3C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Pr>
      <w:rFonts w:asciiTheme="minorHAnsi" w:eastAsiaTheme="minorHAnsi" w:hAnsiTheme="minorHAnsi" w:cstheme="minorBid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Pr>
      <w:rFonts w:ascii="Tahoma" w:eastAsiaTheme="minorHAnsi" w:hAnsi="Tahoma" w:cs="Tahoma"/>
      <w:sz w:val="16"/>
      <w:szCs w:val="16"/>
      <w:lang w:val="es-MX" w:eastAsia="en-US"/>
    </w:rPr>
  </w:style>
  <w:style w:type="paragraph" w:styleId="Encabezado">
    <w:name w:val="header"/>
    <w:basedOn w:val="Normal"/>
    <w:link w:val="EncabezadoCar"/>
    <w:uiPriority w:val="99"/>
    <w:unhideWhenUsed/>
    <w:pPr>
      <w:tabs>
        <w:tab w:val="center" w:pos="4252"/>
        <w:tab w:val="right" w:pos="8504"/>
      </w:tabs>
    </w:pPr>
    <w:rPr>
      <w:rFonts w:asciiTheme="minorHAnsi" w:eastAsiaTheme="minorHAnsi" w:hAnsiTheme="minorHAnsi" w:cstheme="minorBidi"/>
      <w:szCs w:val="22"/>
      <w:lang w:val="es-MX" w:eastAsia="en-US"/>
    </w:rPr>
  </w:style>
  <w:style w:type="paragraph" w:styleId="NormalWeb">
    <w:name w:val="Normal (Web)"/>
    <w:basedOn w:val="Normal"/>
    <w:uiPriority w:val="99"/>
    <w:semiHidden/>
    <w:unhideWhenUsed/>
    <w:pPr>
      <w:spacing w:before="100" w:beforeAutospacing="1" w:after="100" w:afterAutospacing="1"/>
    </w:pPr>
    <w:rPr>
      <w:lang w:eastAsia="es-CO"/>
    </w:r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semiHidden/>
    <w:unhideWhenUsed/>
    <w:rPr>
      <w:color w:val="F2F2F2" w:themeColor="hyperlink"/>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Pr>
      <w:sz w:val="24"/>
      <w:lang w:val="es-MX"/>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MX"/>
    </w:rPr>
  </w:style>
  <w:style w:type="character" w:customStyle="1" w:styleId="EncabezadoCar">
    <w:name w:val="Encabezado Car"/>
    <w:basedOn w:val="Fuentedeprrafopredeter"/>
    <w:link w:val="Encabezado"/>
    <w:uiPriority w:val="99"/>
    <w:rPr>
      <w:sz w:val="24"/>
      <w:lang w:val="es-MX"/>
    </w:rPr>
  </w:style>
  <w:style w:type="paragraph" w:styleId="Prrafodelista">
    <w:name w:val="List Paragraph"/>
    <w:basedOn w:val="Normal"/>
    <w:link w:val="PrrafodelistaCar"/>
    <w:uiPriority w:val="34"/>
    <w:qFormat/>
    <w:pPr>
      <w:ind w:left="720"/>
      <w:contextualSpacing/>
    </w:pPr>
    <w:rPr>
      <w:rFonts w:asciiTheme="minorHAnsi" w:eastAsiaTheme="minorHAnsi" w:hAnsiTheme="minorHAnsi" w:cstheme="minorBidi"/>
      <w:szCs w:val="22"/>
      <w:lang w:val="es-MX" w:eastAsia="en-US"/>
    </w:rPr>
  </w:style>
  <w:style w:type="character" w:customStyle="1" w:styleId="TextocomentarioCar">
    <w:name w:val="Texto comentario Car"/>
    <w:basedOn w:val="Fuentedeprrafopredeter"/>
    <w:link w:val="Textocomentario"/>
    <w:uiPriority w:val="99"/>
    <w:semiHidden/>
    <w:rPr>
      <w:sz w:val="20"/>
      <w:szCs w:val="20"/>
      <w:lang w:val="es-MX"/>
    </w:rPr>
  </w:style>
  <w:style w:type="character" w:customStyle="1" w:styleId="AsuntodelcomentarioCar">
    <w:name w:val="Asunto del comentario Car"/>
    <w:basedOn w:val="TextocomentarioCar"/>
    <w:link w:val="Asuntodelcomentario"/>
    <w:uiPriority w:val="99"/>
    <w:semiHidden/>
    <w:rPr>
      <w:b/>
      <w:bCs/>
      <w:sz w:val="20"/>
      <w:szCs w:val="20"/>
      <w:lang w:val="es-MX"/>
    </w:rPr>
  </w:style>
  <w:style w:type="paragraph" w:styleId="Sinespaciado">
    <w:name w:val="No Spacing"/>
    <w:uiPriority w:val="1"/>
    <w:qFormat/>
    <w:rPr>
      <w:sz w:val="24"/>
      <w:szCs w:val="22"/>
      <w:lang w:val="es-MX" w:eastAsia="en-US"/>
    </w:rPr>
  </w:style>
  <w:style w:type="character" w:customStyle="1" w:styleId="TextonotapieCar">
    <w:name w:val="Texto nota pie Car"/>
    <w:basedOn w:val="Fuentedeprrafopredeter"/>
    <w:link w:val="Textonotapie"/>
    <w:uiPriority w:val="99"/>
    <w:semiHidden/>
    <w:locked/>
    <w:rPr>
      <w:sz w:val="20"/>
      <w:szCs w:val="20"/>
      <w:lang w:val="es-MX"/>
    </w:rPr>
  </w:style>
  <w:style w:type="character" w:customStyle="1" w:styleId="TextonotapieCar1">
    <w:name w:val="Texto nota pie Car1"/>
    <w:basedOn w:val="Fuentedeprrafopredeter"/>
    <w:uiPriority w:val="99"/>
    <w:semiHidden/>
    <w:rPr>
      <w:sz w:val="20"/>
      <w:szCs w:val="20"/>
      <w:lang w:val="es-MX"/>
    </w:rPr>
  </w:style>
  <w:style w:type="character" w:customStyle="1" w:styleId="PrrafodelistaCar">
    <w:name w:val="Párrafo de lista Car"/>
    <w:link w:val="Prrafodelista"/>
    <w:uiPriority w:val="34"/>
    <w:qFormat/>
    <w:locked/>
    <w:rPr>
      <w:sz w:val="24"/>
      <w:lang w:val="es-MX"/>
    </w:rPr>
  </w:style>
  <w:style w:type="paragraph" w:customStyle="1" w:styleId="Capitulo1">
    <w:name w:val="Capitulo 1"/>
    <w:basedOn w:val="Normal"/>
    <w:qFormat/>
    <w:pPr>
      <w:keepNext/>
      <w:spacing w:before="120" w:after="200" w:line="276" w:lineRule="auto"/>
      <w:ind w:left="720" w:hanging="360"/>
      <w:outlineLvl w:val="1"/>
    </w:pPr>
    <w:rPr>
      <w:rFonts w:ascii="Arial" w:hAnsi="Arial" w:cs="Arial"/>
      <w:b/>
      <w:color w:val="000000"/>
      <w:sz w:val="20"/>
      <w:szCs w:val="20"/>
      <w:lang w:eastAsia="es-CO"/>
    </w:rPr>
  </w:style>
  <w:style w:type="table" w:customStyle="1" w:styleId="Tablaconcuadrcula1">
    <w:name w:val="Tabla con cuadrícula1"/>
    <w:basedOn w:val="Tabla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64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8B83F57-CE3F-4E4C-9E18-5808EB1A7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58DC4-E2C6-458B-A435-73DFF426D71A}">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DB6DCF3-9AD1-499C-A59B-9423C5A2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4254</Words>
  <Characters>23400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 Olmos</dc:creator>
  <cp:lastModifiedBy>Juan Manuel Castillo López</cp:lastModifiedBy>
  <cp:revision>2</cp:revision>
  <cp:lastPrinted>2020-01-30T15:05:00Z</cp:lastPrinted>
  <dcterms:created xsi:type="dcterms:W3CDTF">2020-08-22T15:42:00Z</dcterms:created>
  <dcterms:modified xsi:type="dcterms:W3CDTF">2020-08-22T15:42:00Z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KSOProductBuildVer">
    <vt:lpwstr>2058-11.2.0.9363</vt:lpwstr>
  </property>
</Properties>
</file>