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2333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12333"/>
      </w:tblGrid>
      <w:tr w:rsidR="009047C5" w:rsidRPr="00416B09" w14:paraId="48FC69B6" w14:textId="77777777" w:rsidTr="000F14E8">
        <w:trPr>
          <w:trHeight w:val="560"/>
        </w:trPr>
        <w:tc>
          <w:tcPr>
            <w:tcW w:w="12333" w:type="dxa"/>
            <w:shd w:val="clear" w:color="auto" w:fill="DBDBDB"/>
          </w:tcPr>
          <w:p w14:paraId="48FC69B5" w14:textId="77777777" w:rsidR="009047C5" w:rsidRPr="00416B09" w:rsidRDefault="009047C5" w:rsidP="00416B09">
            <w:pPr>
              <w:spacing w:line="276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14:paraId="6B2F1370" w14:textId="77777777" w:rsidR="00122B23" w:rsidRPr="00416B09" w:rsidRDefault="00122B23" w:rsidP="00416B09">
      <w:pPr>
        <w:spacing w:line="276" w:lineRule="auto"/>
        <w:rPr>
          <w:rFonts w:ascii="Arial" w:hAnsi="Arial" w:cs="Arial"/>
          <w:color w:val="4E4D4D"/>
          <w:sz w:val="22"/>
        </w:rPr>
      </w:pPr>
    </w:p>
    <w:p w14:paraId="66E8F4EF" w14:textId="4E1733E7" w:rsidR="00122B23" w:rsidRPr="00416B09" w:rsidRDefault="00122B23" w:rsidP="00416B09">
      <w:pPr>
        <w:spacing w:line="276" w:lineRule="auto"/>
        <w:rPr>
          <w:rFonts w:ascii="Arial" w:hAnsi="Arial" w:cs="Arial"/>
          <w:b/>
          <w:sz w:val="22"/>
        </w:rPr>
      </w:pPr>
      <w:r w:rsidRPr="00416B09">
        <w:rPr>
          <w:rFonts w:ascii="Arial" w:hAnsi="Arial" w:cs="Arial"/>
          <w:color w:val="4E4D4D"/>
          <w:sz w:val="22"/>
        </w:rPr>
        <w:t>Bogotá D.C</w:t>
      </w:r>
      <w:r w:rsidRPr="00416B09">
        <w:rPr>
          <w:rFonts w:ascii="Arial" w:hAnsi="Arial" w:cs="Arial"/>
          <w:sz w:val="22"/>
        </w:rPr>
        <w:t xml:space="preserve">., </w:t>
      </w:r>
      <w:r w:rsidRPr="00416B09">
        <w:rPr>
          <w:rFonts w:ascii="Arial" w:hAnsi="Arial" w:cs="Arial"/>
          <w:b/>
          <w:sz w:val="22"/>
        </w:rPr>
        <w:t>##</w:t>
      </w:r>
      <w:proofErr w:type="spellStart"/>
      <w:r w:rsidRPr="00416B09">
        <w:rPr>
          <w:rFonts w:ascii="Arial" w:hAnsi="Arial" w:cs="Arial"/>
          <w:b/>
          <w:sz w:val="22"/>
        </w:rPr>
        <w:t>FechaActual</w:t>
      </w:r>
      <w:proofErr w:type="spellEnd"/>
    </w:p>
    <w:p w14:paraId="12095842" w14:textId="77777777" w:rsidR="00122B23" w:rsidRPr="00416B09" w:rsidRDefault="00122B23" w:rsidP="00416B09">
      <w:pPr>
        <w:spacing w:line="276" w:lineRule="auto"/>
        <w:jc w:val="right"/>
        <w:rPr>
          <w:rFonts w:ascii="Arial" w:hAnsi="Arial" w:cs="Arial"/>
          <w:b/>
          <w:sz w:val="22"/>
        </w:rPr>
      </w:pPr>
      <w:r w:rsidRPr="00416B09">
        <w:rPr>
          <w:rFonts w:ascii="Arial" w:hAnsi="Arial" w:cs="Arial"/>
          <w:b/>
          <w:sz w:val="22"/>
        </w:rPr>
        <w:t>N° Radicado: ##Respuesta</w:t>
      </w:r>
    </w:p>
    <w:p w14:paraId="1C57553C" w14:textId="77777777" w:rsidR="0078122E" w:rsidRPr="00416B09" w:rsidRDefault="0078122E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</w:p>
    <w:p w14:paraId="6119A54E" w14:textId="106CDBA8" w:rsidR="0078122E" w:rsidRPr="00416B09" w:rsidRDefault="0078122E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  <w:r w:rsidRPr="00416B09">
        <w:rPr>
          <w:rFonts w:ascii="Arial" w:eastAsia="Calibri" w:hAnsi="Arial" w:cs="Arial"/>
          <w:color w:val="4E4D4D"/>
          <w:sz w:val="22"/>
        </w:rPr>
        <w:t>Señor</w:t>
      </w:r>
    </w:p>
    <w:p w14:paraId="2FE783B8" w14:textId="77E83DA5" w:rsidR="0078122E" w:rsidRPr="00416B09" w:rsidRDefault="007750B8" w:rsidP="00416B09">
      <w:pPr>
        <w:spacing w:line="276" w:lineRule="auto"/>
        <w:rPr>
          <w:rFonts w:ascii="Arial" w:eastAsia="Calibri" w:hAnsi="Arial" w:cs="Arial"/>
          <w:b/>
          <w:color w:val="4E4D4D"/>
          <w:sz w:val="22"/>
        </w:rPr>
      </w:pPr>
      <w:r>
        <w:rPr>
          <w:rFonts w:ascii="Arial" w:eastAsia="Calibri" w:hAnsi="Arial" w:cs="Arial"/>
          <w:b/>
          <w:color w:val="4E4D4D"/>
          <w:sz w:val="22"/>
        </w:rPr>
        <w:t>Carlos Alberto Moreno Figueroa</w:t>
      </w:r>
    </w:p>
    <w:p w14:paraId="5FB4F046" w14:textId="47570550" w:rsidR="0078122E" w:rsidRPr="00416B09" w:rsidRDefault="007750B8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  <w:r>
        <w:rPr>
          <w:rFonts w:ascii="Arial" w:eastAsia="Calibri" w:hAnsi="Arial" w:cs="Arial"/>
          <w:color w:val="4E4D4D"/>
          <w:sz w:val="22"/>
        </w:rPr>
        <w:t>Sincelejo, Sucre</w:t>
      </w:r>
    </w:p>
    <w:p w14:paraId="38008298" w14:textId="6923FA84" w:rsidR="0078122E" w:rsidRDefault="0078122E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</w:p>
    <w:p w14:paraId="244E822E" w14:textId="77777777" w:rsidR="00D04014" w:rsidRPr="00416B09" w:rsidRDefault="00D04014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949"/>
      </w:tblGrid>
      <w:tr w:rsidR="0078122E" w:rsidRPr="00416B09" w14:paraId="17213140" w14:textId="77777777" w:rsidTr="00E068DB">
        <w:tc>
          <w:tcPr>
            <w:tcW w:w="2977" w:type="dxa"/>
          </w:tcPr>
          <w:p w14:paraId="069EE181" w14:textId="77777777" w:rsidR="0078122E" w:rsidRPr="00416B09" w:rsidRDefault="0078122E" w:rsidP="00416B09">
            <w:pPr>
              <w:spacing w:line="276" w:lineRule="auto"/>
              <w:rPr>
                <w:rFonts w:ascii="Arial" w:eastAsia="Calibri" w:hAnsi="Arial" w:cs="Arial"/>
                <w:color w:val="4E4D4D"/>
                <w:sz w:val="22"/>
              </w:rPr>
            </w:pPr>
            <w:r w:rsidRPr="00416B09">
              <w:rPr>
                <w:rFonts w:ascii="Arial" w:eastAsia="Calibri" w:hAnsi="Arial" w:cs="Arial"/>
                <w:b/>
                <w:color w:val="4E4D4D"/>
                <w:sz w:val="22"/>
              </w:rPr>
              <w:t>Radicación:</w:t>
            </w:r>
            <w:r w:rsidRPr="00416B09">
              <w:rPr>
                <w:rFonts w:ascii="Arial" w:eastAsia="Calibri" w:hAnsi="Arial" w:cs="Arial"/>
                <w:color w:val="4E4D4D"/>
                <w:sz w:val="22"/>
              </w:rPr>
              <w:t xml:space="preserve">                              </w:t>
            </w:r>
          </w:p>
        </w:tc>
        <w:tc>
          <w:tcPr>
            <w:tcW w:w="5949" w:type="dxa"/>
          </w:tcPr>
          <w:p w14:paraId="183DD500" w14:textId="69FAC210" w:rsidR="0078122E" w:rsidRPr="00416B09" w:rsidRDefault="0078122E" w:rsidP="00416B09">
            <w:pPr>
              <w:spacing w:line="276" w:lineRule="auto"/>
              <w:rPr>
                <w:rFonts w:ascii="Arial" w:eastAsia="Calibri" w:hAnsi="Arial" w:cs="Arial"/>
                <w:color w:val="4E4D4D"/>
                <w:sz w:val="22"/>
              </w:rPr>
            </w:pPr>
            <w:r w:rsidRPr="00416B09">
              <w:rPr>
                <w:rFonts w:ascii="Arial" w:eastAsia="Calibri" w:hAnsi="Arial" w:cs="Arial"/>
                <w:color w:val="4E4D4D"/>
                <w:sz w:val="22"/>
              </w:rPr>
              <w:t xml:space="preserve">Respuesta a consulta # </w:t>
            </w:r>
            <w:r w:rsidR="006627F7" w:rsidRPr="006627F7">
              <w:rPr>
                <w:rFonts w:ascii="Arial" w:eastAsia="Calibri" w:hAnsi="Arial" w:cs="Arial"/>
                <w:color w:val="4E4D4D"/>
                <w:sz w:val="22"/>
              </w:rPr>
              <w:t>4201913000006742</w:t>
            </w:r>
          </w:p>
        </w:tc>
      </w:tr>
      <w:tr w:rsidR="0078122E" w:rsidRPr="00416B09" w14:paraId="2CD83FEC" w14:textId="77777777" w:rsidTr="00E068DB">
        <w:tc>
          <w:tcPr>
            <w:tcW w:w="2977" w:type="dxa"/>
          </w:tcPr>
          <w:p w14:paraId="6F6B2C54" w14:textId="77777777" w:rsidR="0078122E" w:rsidRPr="00416B09" w:rsidRDefault="0078122E" w:rsidP="00416B09">
            <w:pPr>
              <w:spacing w:line="276" w:lineRule="auto"/>
              <w:rPr>
                <w:rFonts w:ascii="Arial" w:eastAsia="Calibri" w:hAnsi="Arial" w:cs="Arial"/>
                <w:color w:val="4E4D4D"/>
                <w:sz w:val="22"/>
              </w:rPr>
            </w:pPr>
            <w:r w:rsidRPr="00416B09">
              <w:rPr>
                <w:rFonts w:ascii="Arial" w:eastAsia="Calibri" w:hAnsi="Arial" w:cs="Arial"/>
                <w:b/>
                <w:color w:val="4E4D4D"/>
                <w:sz w:val="22"/>
              </w:rPr>
              <w:t>Temas:</w:t>
            </w:r>
            <w:r w:rsidRPr="00416B09">
              <w:rPr>
                <w:rFonts w:ascii="Arial" w:eastAsia="Calibri" w:hAnsi="Arial" w:cs="Arial"/>
                <w:color w:val="4E4D4D"/>
                <w:sz w:val="22"/>
              </w:rPr>
              <w:t xml:space="preserve">                                      </w:t>
            </w:r>
          </w:p>
        </w:tc>
        <w:tc>
          <w:tcPr>
            <w:tcW w:w="5949" w:type="dxa"/>
          </w:tcPr>
          <w:p w14:paraId="7D9088AD" w14:textId="77777777" w:rsidR="0078122E" w:rsidRPr="00416B09" w:rsidRDefault="0078122E" w:rsidP="00416B09">
            <w:pPr>
              <w:spacing w:line="276" w:lineRule="auto"/>
              <w:jc w:val="both"/>
              <w:rPr>
                <w:rFonts w:ascii="Arial" w:eastAsia="Calibri" w:hAnsi="Arial" w:cs="Arial"/>
                <w:color w:val="4E4D4D"/>
                <w:sz w:val="22"/>
              </w:rPr>
            </w:pPr>
            <w:r w:rsidRPr="00416B09">
              <w:rPr>
                <w:rFonts w:ascii="Arial" w:eastAsia="Calibri" w:hAnsi="Arial" w:cs="Arial"/>
                <w:color w:val="4E4D4D"/>
                <w:sz w:val="22"/>
              </w:rPr>
              <w:t>Aplicación Ley de Garantías, contratación directa</w:t>
            </w:r>
          </w:p>
        </w:tc>
      </w:tr>
      <w:tr w:rsidR="0078122E" w:rsidRPr="00416B09" w14:paraId="3AC61D91" w14:textId="77777777" w:rsidTr="00E068DB">
        <w:tc>
          <w:tcPr>
            <w:tcW w:w="2977" w:type="dxa"/>
          </w:tcPr>
          <w:p w14:paraId="7F1909F0" w14:textId="77777777" w:rsidR="0078122E" w:rsidRPr="00416B09" w:rsidRDefault="0078122E" w:rsidP="00416B09">
            <w:pPr>
              <w:spacing w:line="276" w:lineRule="auto"/>
              <w:rPr>
                <w:rFonts w:ascii="Arial" w:eastAsia="Calibri" w:hAnsi="Arial" w:cs="Arial"/>
                <w:color w:val="4E4D4D"/>
                <w:sz w:val="22"/>
              </w:rPr>
            </w:pPr>
            <w:r w:rsidRPr="00416B09">
              <w:rPr>
                <w:rFonts w:ascii="Arial" w:eastAsia="Calibri" w:hAnsi="Arial" w:cs="Arial"/>
                <w:b/>
                <w:color w:val="4E4D4D"/>
                <w:sz w:val="22"/>
              </w:rPr>
              <w:t>Tipo de asunto consultado:</w:t>
            </w:r>
          </w:p>
        </w:tc>
        <w:tc>
          <w:tcPr>
            <w:tcW w:w="5949" w:type="dxa"/>
          </w:tcPr>
          <w:p w14:paraId="7E9F27C8" w14:textId="77777777" w:rsidR="0078122E" w:rsidRPr="00416B09" w:rsidRDefault="0078122E" w:rsidP="00416B09">
            <w:pPr>
              <w:spacing w:line="276" w:lineRule="auto"/>
              <w:jc w:val="both"/>
              <w:rPr>
                <w:rFonts w:ascii="Arial" w:eastAsia="Calibri" w:hAnsi="Arial" w:cs="Arial"/>
                <w:color w:val="4E4D4D"/>
                <w:sz w:val="22"/>
              </w:rPr>
            </w:pPr>
            <w:r w:rsidRPr="00416B09">
              <w:rPr>
                <w:rFonts w:ascii="Arial" w:eastAsia="Calibri" w:hAnsi="Arial" w:cs="Arial"/>
                <w:color w:val="4E4D4D"/>
                <w:sz w:val="22"/>
              </w:rPr>
              <w:t>Restricción de Ley de Garantías que aplica para las elecciones del año 2019</w:t>
            </w:r>
          </w:p>
        </w:tc>
      </w:tr>
    </w:tbl>
    <w:p w14:paraId="5D690B88" w14:textId="72E4EB96" w:rsidR="0078122E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532EC144" w14:textId="77777777" w:rsidR="00D04014" w:rsidRPr="00416B09" w:rsidRDefault="00D04014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7F9FE7C0" w14:textId="5AD1F09A" w:rsidR="0078122E" w:rsidRPr="00416B09" w:rsidRDefault="0078122E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  <w:r w:rsidRPr="00416B09">
        <w:rPr>
          <w:rFonts w:ascii="Arial" w:eastAsia="Calibri" w:hAnsi="Arial" w:cs="Arial"/>
          <w:color w:val="4E4D4D"/>
          <w:sz w:val="22"/>
        </w:rPr>
        <w:t>Estimado señor</w:t>
      </w:r>
      <w:r w:rsidR="006627F7">
        <w:rPr>
          <w:rFonts w:ascii="Arial" w:eastAsia="Calibri" w:hAnsi="Arial" w:cs="Arial"/>
          <w:color w:val="4E4D4D"/>
          <w:sz w:val="22"/>
        </w:rPr>
        <w:t xml:space="preserve"> Moreno</w:t>
      </w:r>
      <w:r w:rsidRPr="00416B09">
        <w:rPr>
          <w:rFonts w:ascii="Arial" w:eastAsia="Calibri" w:hAnsi="Arial" w:cs="Arial"/>
          <w:color w:val="4E4D4D"/>
          <w:sz w:val="22"/>
        </w:rPr>
        <w:t>,</w:t>
      </w:r>
    </w:p>
    <w:p w14:paraId="348ABE84" w14:textId="77777777" w:rsidR="0078122E" w:rsidRPr="00416B09" w:rsidRDefault="0078122E" w:rsidP="00416B09">
      <w:pPr>
        <w:spacing w:line="276" w:lineRule="auto"/>
        <w:rPr>
          <w:rFonts w:ascii="Arial" w:eastAsia="Calibri" w:hAnsi="Arial" w:cs="Arial"/>
          <w:color w:val="4E4D4D"/>
          <w:sz w:val="22"/>
        </w:rPr>
      </w:pPr>
    </w:p>
    <w:p w14:paraId="49BB9AE7" w14:textId="2223BEBF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  <w:r w:rsidRPr="00416B09">
        <w:rPr>
          <w:rFonts w:ascii="Arial" w:eastAsia="Calibri" w:hAnsi="Arial" w:cs="Arial"/>
          <w:color w:val="4E4D4D"/>
          <w:sz w:val="22"/>
        </w:rPr>
        <w:t xml:space="preserve">La Agencia Nacional de Contratación Pública -Colombia Compra Eficiente-, responde su consulta </w:t>
      </w:r>
      <w:r w:rsidR="006627F7">
        <w:rPr>
          <w:rFonts w:ascii="Arial" w:eastAsia="Calibri" w:hAnsi="Arial" w:cs="Arial"/>
          <w:color w:val="4E4D4D"/>
          <w:sz w:val="22"/>
        </w:rPr>
        <w:t xml:space="preserve">remitida </w:t>
      </w:r>
      <w:r w:rsidRPr="00416B09">
        <w:rPr>
          <w:rFonts w:ascii="Arial" w:eastAsia="Calibri" w:hAnsi="Arial" w:cs="Arial"/>
          <w:color w:val="4E4D4D"/>
          <w:sz w:val="22"/>
        </w:rPr>
        <w:t xml:space="preserve">el </w:t>
      </w:r>
      <w:r w:rsidR="006627F7">
        <w:rPr>
          <w:rFonts w:ascii="Arial" w:eastAsia="Calibri" w:hAnsi="Arial" w:cs="Arial"/>
          <w:color w:val="4E4D4D"/>
          <w:sz w:val="22"/>
        </w:rPr>
        <w:t>1 de octubre</w:t>
      </w:r>
      <w:r w:rsidRPr="00416B09">
        <w:rPr>
          <w:rFonts w:ascii="Arial" w:eastAsia="Calibri" w:hAnsi="Arial" w:cs="Arial"/>
          <w:color w:val="4E4D4D"/>
          <w:sz w:val="22"/>
        </w:rPr>
        <w:t xml:space="preserve"> de 2019</w:t>
      </w:r>
      <w:r w:rsidR="008D2194">
        <w:rPr>
          <w:rFonts w:ascii="Arial" w:eastAsia="Calibri" w:hAnsi="Arial" w:cs="Arial"/>
          <w:color w:val="4E4D4D"/>
          <w:sz w:val="22"/>
        </w:rPr>
        <w:t>,</w:t>
      </w:r>
      <w:r w:rsidRPr="00416B09">
        <w:rPr>
          <w:rFonts w:ascii="Arial" w:eastAsia="Calibri" w:hAnsi="Arial" w:cs="Arial"/>
          <w:color w:val="4E4D4D"/>
          <w:sz w:val="22"/>
        </w:rPr>
        <w:t xml:space="preserve"> en ejercicio de la competencia otorgada por el numeral 8 del artículo 11 y el numeral 5 del artículo 3 del Decreto Ley 4170 de 2011.</w:t>
      </w:r>
    </w:p>
    <w:p w14:paraId="3D327EAA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55320511" w14:textId="4631C6A2" w:rsidR="0078122E" w:rsidRPr="002A6FFA" w:rsidRDefault="00416B09" w:rsidP="00416B0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/>
          <w:color w:val="4E4D4D"/>
          <w:sz w:val="22"/>
        </w:rPr>
      </w:pPr>
      <w:r w:rsidRPr="002A6FFA">
        <w:rPr>
          <w:rFonts w:ascii="Arial" w:eastAsia="Calibri" w:hAnsi="Arial" w:cs="Arial"/>
          <w:b/>
          <w:color w:val="4E4D4D"/>
          <w:sz w:val="22"/>
        </w:rPr>
        <w:t>Problema Planteado</w:t>
      </w:r>
    </w:p>
    <w:p w14:paraId="7AF937B0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45DA44F6" w14:textId="7C5F6DAE" w:rsidR="0078122E" w:rsidRPr="00416B09" w:rsidRDefault="0078122E" w:rsidP="008F39C5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  <w:r w:rsidRPr="00416B09">
        <w:rPr>
          <w:rFonts w:ascii="Arial" w:eastAsia="Calibri" w:hAnsi="Arial" w:cs="Arial"/>
          <w:color w:val="4E4D4D"/>
          <w:sz w:val="22"/>
        </w:rPr>
        <w:t>“</w:t>
      </w:r>
      <w:r w:rsidR="008F39C5">
        <w:rPr>
          <w:rFonts w:ascii="Arial" w:eastAsia="Calibri" w:hAnsi="Arial" w:cs="Arial"/>
          <w:color w:val="4E4D4D"/>
          <w:sz w:val="22"/>
        </w:rPr>
        <w:t xml:space="preserve">(…) </w:t>
      </w:r>
      <w:r w:rsidR="008F39C5" w:rsidRPr="008F39C5">
        <w:rPr>
          <w:rFonts w:ascii="Arial" w:eastAsia="Calibri" w:hAnsi="Arial" w:cs="Arial"/>
          <w:color w:val="4E4D4D"/>
          <w:sz w:val="22"/>
        </w:rPr>
        <w:t>solicito que se me aclaren en</w:t>
      </w:r>
      <w:r w:rsidR="008F39C5">
        <w:rPr>
          <w:rFonts w:ascii="Arial" w:eastAsia="Calibri" w:hAnsi="Arial" w:cs="Arial"/>
          <w:color w:val="4E4D4D"/>
          <w:sz w:val="22"/>
        </w:rPr>
        <w:t xml:space="preserve"> </w:t>
      </w:r>
      <w:r w:rsidR="008F39C5" w:rsidRPr="008F39C5">
        <w:rPr>
          <w:rFonts w:ascii="Arial" w:eastAsia="Calibri" w:hAnsi="Arial" w:cs="Arial"/>
          <w:color w:val="4E4D4D"/>
          <w:sz w:val="22"/>
        </w:rPr>
        <w:t xml:space="preserve">materia </w:t>
      </w:r>
      <w:r w:rsidR="008F39C5">
        <w:rPr>
          <w:rFonts w:ascii="Arial" w:eastAsia="Calibri" w:hAnsi="Arial" w:cs="Arial"/>
          <w:color w:val="4E4D4D"/>
          <w:sz w:val="22"/>
        </w:rPr>
        <w:t xml:space="preserve">(sic) </w:t>
      </w:r>
      <w:r w:rsidR="008F39C5" w:rsidRPr="008F39C5">
        <w:rPr>
          <w:rFonts w:ascii="Arial" w:eastAsia="Calibri" w:hAnsi="Arial" w:cs="Arial"/>
          <w:color w:val="4E4D4D"/>
          <w:sz w:val="22"/>
        </w:rPr>
        <w:t>sobre las restricciones para la contratación directa y demás que</w:t>
      </w:r>
      <w:r w:rsidR="008F39C5">
        <w:rPr>
          <w:rFonts w:ascii="Arial" w:eastAsia="Calibri" w:hAnsi="Arial" w:cs="Arial"/>
          <w:color w:val="4E4D4D"/>
          <w:sz w:val="22"/>
        </w:rPr>
        <w:t xml:space="preserve"> </w:t>
      </w:r>
      <w:r w:rsidR="008F39C5" w:rsidRPr="008F39C5">
        <w:rPr>
          <w:rFonts w:ascii="Arial" w:eastAsia="Calibri" w:hAnsi="Arial" w:cs="Arial"/>
          <w:color w:val="4E4D4D"/>
          <w:sz w:val="22"/>
        </w:rPr>
        <w:t>impone el Artículo 33 de Ley 993 del 2005</w:t>
      </w:r>
      <w:r w:rsidR="008F39C5">
        <w:rPr>
          <w:rFonts w:ascii="Arial" w:eastAsia="Calibri" w:hAnsi="Arial" w:cs="Arial"/>
          <w:color w:val="4E4D4D"/>
          <w:sz w:val="22"/>
        </w:rPr>
        <w:t xml:space="preserve"> (sic)</w:t>
      </w:r>
      <w:r w:rsidR="008F39C5" w:rsidRPr="008F39C5">
        <w:rPr>
          <w:rFonts w:ascii="Arial" w:eastAsia="Calibri" w:hAnsi="Arial" w:cs="Arial"/>
          <w:color w:val="4E4D4D"/>
          <w:sz w:val="22"/>
        </w:rPr>
        <w:t xml:space="preserve"> en el periodo de las</w:t>
      </w:r>
      <w:r w:rsidR="008F39C5">
        <w:rPr>
          <w:rFonts w:ascii="Arial" w:eastAsia="Calibri" w:hAnsi="Arial" w:cs="Arial"/>
          <w:color w:val="4E4D4D"/>
          <w:sz w:val="22"/>
        </w:rPr>
        <w:t xml:space="preserve"> </w:t>
      </w:r>
      <w:r w:rsidR="008F39C5" w:rsidRPr="008F39C5">
        <w:rPr>
          <w:rFonts w:ascii="Arial" w:eastAsia="Calibri" w:hAnsi="Arial" w:cs="Arial"/>
          <w:color w:val="4E4D4D"/>
          <w:sz w:val="22"/>
        </w:rPr>
        <w:t>elecciones de las autoridades locales 2019 en lo respecto a la ejecución</w:t>
      </w:r>
      <w:r w:rsidR="008F39C5">
        <w:rPr>
          <w:rFonts w:ascii="Arial" w:eastAsia="Calibri" w:hAnsi="Arial" w:cs="Arial"/>
          <w:color w:val="4E4D4D"/>
          <w:sz w:val="22"/>
        </w:rPr>
        <w:t xml:space="preserve"> </w:t>
      </w:r>
      <w:r w:rsidR="008F39C5" w:rsidRPr="008F39C5">
        <w:rPr>
          <w:rFonts w:ascii="Arial" w:eastAsia="Calibri" w:hAnsi="Arial" w:cs="Arial"/>
          <w:color w:val="4E4D4D"/>
          <w:sz w:val="22"/>
        </w:rPr>
        <w:t>de los recursos públicos a través de los Fondos de Servicios Educativos</w:t>
      </w:r>
      <w:r w:rsidR="008F39C5">
        <w:rPr>
          <w:rFonts w:ascii="Arial" w:eastAsia="Calibri" w:hAnsi="Arial" w:cs="Arial"/>
          <w:color w:val="4E4D4D"/>
          <w:sz w:val="22"/>
        </w:rPr>
        <w:t xml:space="preserve"> </w:t>
      </w:r>
      <w:r w:rsidR="008F39C5" w:rsidRPr="008F39C5">
        <w:rPr>
          <w:rFonts w:ascii="Arial" w:eastAsia="Calibri" w:hAnsi="Arial" w:cs="Arial"/>
          <w:color w:val="4E4D4D"/>
          <w:sz w:val="22"/>
        </w:rPr>
        <w:t>Docentes, teniendo en cuenta que pertenecemos al régimen especial</w:t>
      </w:r>
      <w:r w:rsidRPr="00416B09">
        <w:rPr>
          <w:rFonts w:ascii="Arial" w:eastAsia="Calibri" w:hAnsi="Arial" w:cs="Arial"/>
          <w:color w:val="4E4D4D"/>
          <w:sz w:val="22"/>
        </w:rPr>
        <w:t>”</w:t>
      </w:r>
      <w:r w:rsidR="008F39C5">
        <w:rPr>
          <w:rFonts w:ascii="Arial" w:eastAsia="Calibri" w:hAnsi="Arial" w:cs="Arial"/>
          <w:color w:val="4E4D4D"/>
          <w:sz w:val="22"/>
        </w:rPr>
        <w:t>.</w:t>
      </w:r>
      <w:r w:rsidRPr="00416B09">
        <w:rPr>
          <w:rFonts w:ascii="Arial" w:eastAsia="Calibri" w:hAnsi="Arial" w:cs="Arial"/>
          <w:color w:val="4E4D4D"/>
          <w:sz w:val="22"/>
        </w:rPr>
        <w:t xml:space="preserve"> </w:t>
      </w:r>
    </w:p>
    <w:p w14:paraId="61946C1B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16042060" w14:textId="35F12668" w:rsidR="0078122E" w:rsidRPr="002F029D" w:rsidRDefault="002F029D" w:rsidP="002F029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/>
          <w:color w:val="4E4D4D"/>
          <w:sz w:val="22"/>
        </w:rPr>
      </w:pPr>
      <w:r w:rsidRPr="002F029D">
        <w:rPr>
          <w:rFonts w:ascii="Arial" w:eastAsia="Calibri" w:hAnsi="Arial" w:cs="Arial"/>
          <w:b/>
          <w:color w:val="4E4D4D"/>
          <w:sz w:val="22"/>
        </w:rPr>
        <w:t>Consideraciones</w:t>
      </w:r>
    </w:p>
    <w:p w14:paraId="375AD12D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32BD135D" w14:textId="5C856080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>Las Leyes 60 de 1993 y 715 de 2001 descentralizaron el sistema educativo en Colombia, asignándole a los departamentos, distritos y municipios las competencias y los recursos económicos para dirigir las instituciones educativas</w:t>
      </w:r>
      <w:r w:rsidR="00D04014" w:rsidRPr="00136A15">
        <w:rPr>
          <w:rStyle w:val="Refdenotaalpie"/>
          <w:rFonts w:ascii="Arial" w:hAnsi="Arial" w:cs="Arial"/>
          <w:color w:val="4E4D4D"/>
          <w:sz w:val="22"/>
        </w:rPr>
        <w:footnoteReference w:id="1"/>
      </w:r>
      <w:r w:rsidRPr="00136A15">
        <w:rPr>
          <w:rFonts w:ascii="Arial" w:hAnsi="Arial" w:cs="Arial"/>
          <w:color w:val="4E4D4D"/>
          <w:sz w:val="22"/>
        </w:rPr>
        <w:t>.</w:t>
      </w:r>
    </w:p>
    <w:p w14:paraId="1A9CAE14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07CF0033" w14:textId="52FD5A7D" w:rsidR="007459F2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 xml:space="preserve">Es decir, el sistema educativo está descentralizado </w:t>
      </w:r>
      <w:r w:rsidR="005D4B31">
        <w:rPr>
          <w:rFonts w:ascii="Arial" w:hAnsi="Arial" w:cs="Arial"/>
          <w:color w:val="4E4D4D"/>
          <w:sz w:val="22"/>
        </w:rPr>
        <w:t>debido a</w:t>
      </w:r>
      <w:r w:rsidRPr="00136A15">
        <w:rPr>
          <w:rFonts w:ascii="Arial" w:hAnsi="Arial" w:cs="Arial"/>
          <w:color w:val="4E4D4D"/>
          <w:sz w:val="22"/>
        </w:rPr>
        <w:t xml:space="preserve"> las competencias que se les han otorgado a</w:t>
      </w:r>
      <w:r w:rsidR="005D4B31">
        <w:rPr>
          <w:rFonts w:ascii="Arial" w:hAnsi="Arial" w:cs="Arial"/>
          <w:color w:val="4E4D4D"/>
          <w:sz w:val="22"/>
        </w:rPr>
        <w:t xml:space="preserve"> los</w:t>
      </w:r>
      <w:r w:rsidRPr="00136A15">
        <w:rPr>
          <w:rFonts w:ascii="Arial" w:hAnsi="Arial" w:cs="Arial"/>
          <w:color w:val="4E4D4D"/>
          <w:sz w:val="22"/>
        </w:rPr>
        <w:t xml:space="preserve"> en</w:t>
      </w:r>
      <w:r w:rsidR="005D4B31">
        <w:rPr>
          <w:rFonts w:ascii="Arial" w:hAnsi="Arial" w:cs="Arial"/>
          <w:color w:val="4E4D4D"/>
          <w:sz w:val="22"/>
        </w:rPr>
        <w:t>tes</w:t>
      </w:r>
      <w:r w:rsidRPr="00136A15">
        <w:rPr>
          <w:rFonts w:ascii="Arial" w:hAnsi="Arial" w:cs="Arial"/>
          <w:color w:val="4E4D4D"/>
          <w:sz w:val="22"/>
        </w:rPr>
        <w:t xml:space="preserve"> territoriales</w:t>
      </w:r>
      <w:r w:rsidR="005D4B31">
        <w:rPr>
          <w:rFonts w:ascii="Arial" w:hAnsi="Arial" w:cs="Arial"/>
          <w:color w:val="4E4D4D"/>
          <w:sz w:val="22"/>
        </w:rPr>
        <w:t>, con lo cual</w:t>
      </w:r>
      <w:r w:rsidR="00681D4E">
        <w:rPr>
          <w:rFonts w:ascii="Arial" w:hAnsi="Arial" w:cs="Arial"/>
          <w:color w:val="4E4D4D"/>
          <w:sz w:val="22"/>
        </w:rPr>
        <w:t>,</w:t>
      </w:r>
      <w:r w:rsidR="005D4B31">
        <w:rPr>
          <w:rFonts w:ascii="Arial" w:hAnsi="Arial" w:cs="Arial"/>
          <w:color w:val="4E4D4D"/>
          <w:sz w:val="22"/>
        </w:rPr>
        <w:t xml:space="preserve"> </w:t>
      </w:r>
      <w:r w:rsidRPr="00136A15">
        <w:rPr>
          <w:rFonts w:ascii="Arial" w:hAnsi="Arial" w:cs="Arial"/>
          <w:color w:val="4E4D4D"/>
          <w:sz w:val="22"/>
        </w:rPr>
        <w:t>administra</w:t>
      </w:r>
      <w:r w:rsidR="00681D4E">
        <w:rPr>
          <w:rFonts w:ascii="Arial" w:hAnsi="Arial" w:cs="Arial"/>
          <w:color w:val="4E4D4D"/>
          <w:sz w:val="22"/>
        </w:rPr>
        <w:t>n</w:t>
      </w:r>
      <w:r w:rsidRPr="00136A15">
        <w:rPr>
          <w:rFonts w:ascii="Arial" w:hAnsi="Arial" w:cs="Arial"/>
          <w:color w:val="4E4D4D"/>
          <w:sz w:val="22"/>
        </w:rPr>
        <w:t xml:space="preserve"> instituciones educativas </w:t>
      </w:r>
      <w:r w:rsidR="005D4B31">
        <w:rPr>
          <w:rFonts w:ascii="Arial" w:hAnsi="Arial" w:cs="Arial"/>
          <w:color w:val="4E4D4D"/>
          <w:sz w:val="22"/>
        </w:rPr>
        <w:t>sin que estas sean</w:t>
      </w:r>
      <w:r w:rsidRPr="00136A15">
        <w:rPr>
          <w:rFonts w:ascii="Arial" w:hAnsi="Arial" w:cs="Arial"/>
          <w:color w:val="4E4D4D"/>
          <w:sz w:val="22"/>
        </w:rPr>
        <w:t xml:space="preserve"> entidades descentralizadas.</w:t>
      </w:r>
    </w:p>
    <w:p w14:paraId="4B14012F" w14:textId="77777777" w:rsidR="00487576" w:rsidRPr="00136A15" w:rsidRDefault="00487576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2B474A38" w14:textId="5CBC8201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 xml:space="preserve">Conforme a lo anterior, las instituciones educativas pertenecen a la entidad territorial que haya efectuado su reconocimiento de carácter oficial. No obstante, carecen de personería jurídica, pero tienen capacidad para contratar y se concreta en la competencia que le otorgó el legislador en la Ley 715 de 2001 para administrar los fondos de servicios educativos, siendo cuentas contables que les permiten a </w:t>
      </w:r>
      <w:r>
        <w:rPr>
          <w:rFonts w:ascii="Arial" w:hAnsi="Arial" w:cs="Arial"/>
          <w:color w:val="4E4D4D"/>
          <w:sz w:val="22"/>
        </w:rPr>
        <w:t>estas</w:t>
      </w:r>
      <w:r w:rsidRPr="00136A15">
        <w:rPr>
          <w:rFonts w:ascii="Arial" w:hAnsi="Arial" w:cs="Arial"/>
          <w:color w:val="4E4D4D"/>
          <w:sz w:val="22"/>
        </w:rPr>
        <w:t xml:space="preserve"> instituciones realizar la gestión y ejecución presupuestal de los recursos que reciben</w:t>
      </w:r>
      <w:r w:rsidRPr="00136A15">
        <w:rPr>
          <w:rStyle w:val="Refdenotaalpie"/>
          <w:rFonts w:ascii="Arial" w:hAnsi="Arial" w:cs="Arial"/>
          <w:color w:val="4E4D4D"/>
          <w:sz w:val="22"/>
        </w:rPr>
        <w:footnoteReference w:id="2"/>
      </w:r>
      <w:r w:rsidRPr="00136A15">
        <w:rPr>
          <w:rFonts w:ascii="Arial" w:hAnsi="Arial" w:cs="Arial"/>
          <w:color w:val="4E4D4D"/>
          <w:sz w:val="22"/>
        </w:rPr>
        <w:t xml:space="preserve"> </w:t>
      </w:r>
      <w:r w:rsidRPr="00136A15">
        <w:rPr>
          <w:rStyle w:val="Refdenotaalpie"/>
          <w:rFonts w:ascii="Arial" w:hAnsi="Arial" w:cs="Arial"/>
          <w:color w:val="4E4D4D"/>
          <w:sz w:val="22"/>
        </w:rPr>
        <w:footnoteReference w:id="3"/>
      </w:r>
      <w:r>
        <w:rPr>
          <w:rFonts w:ascii="Arial" w:hAnsi="Arial" w:cs="Arial"/>
          <w:color w:val="4E4D4D"/>
          <w:sz w:val="22"/>
        </w:rPr>
        <w:t>.</w:t>
      </w:r>
    </w:p>
    <w:p w14:paraId="68F707D4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7F00C29E" w14:textId="704F8947" w:rsidR="007459F2" w:rsidRPr="00136A15" w:rsidRDefault="007459F2" w:rsidP="00BF5B45">
      <w:pPr>
        <w:pStyle w:val="Default"/>
        <w:spacing w:line="276" w:lineRule="auto"/>
        <w:jc w:val="both"/>
        <w:rPr>
          <w:color w:val="4E4D4D"/>
          <w:sz w:val="22"/>
        </w:rPr>
      </w:pPr>
      <w:r w:rsidRPr="00136A15">
        <w:rPr>
          <w:color w:val="4E4D4D"/>
          <w:sz w:val="22"/>
          <w:szCs w:val="22"/>
          <w:lang w:val="es-MX"/>
        </w:rPr>
        <w:t>Los fondos de servicios educativos tampoco cuentan con personería jurídica según lo previsto en el artículo 2.3.1.6.3.4 del Decreto 1075 de 2015, Decreto Único Reglamentario del Sector Educación</w:t>
      </w:r>
      <w:r w:rsidR="008D2194">
        <w:rPr>
          <w:color w:val="4E4D4D"/>
          <w:sz w:val="22"/>
          <w:szCs w:val="22"/>
          <w:lang w:val="es-MX"/>
        </w:rPr>
        <w:t>,</w:t>
      </w:r>
      <w:r w:rsidRPr="00136A15">
        <w:rPr>
          <w:color w:val="4E4D4D"/>
          <w:sz w:val="22"/>
          <w:szCs w:val="22"/>
          <w:lang w:val="es-MX"/>
        </w:rPr>
        <w:t xml:space="preserve"> </w:t>
      </w:r>
      <w:r w:rsidR="00BF5B45">
        <w:rPr>
          <w:color w:val="4E4D4D"/>
          <w:sz w:val="22"/>
          <w:szCs w:val="22"/>
          <w:lang w:val="es-MX"/>
        </w:rPr>
        <w:t>que dispone</w:t>
      </w:r>
      <w:r w:rsidR="008D2194">
        <w:rPr>
          <w:color w:val="4E4D4D"/>
          <w:sz w:val="22"/>
          <w:szCs w:val="22"/>
          <w:lang w:val="es-MX"/>
        </w:rPr>
        <w:t>:</w:t>
      </w:r>
      <w:r w:rsidR="00BF5B45">
        <w:rPr>
          <w:color w:val="4E4D4D"/>
          <w:sz w:val="22"/>
          <w:szCs w:val="22"/>
          <w:lang w:val="es-MX"/>
        </w:rPr>
        <w:t xml:space="preserve"> “</w:t>
      </w:r>
      <w:r w:rsidRPr="00BF5B45">
        <w:rPr>
          <w:color w:val="4E4D4D"/>
          <w:sz w:val="22"/>
          <w:szCs w:val="22"/>
          <w:lang w:val="es-MX"/>
        </w:rPr>
        <w:t>Los fondos de servicios educativos carecen de personería jurídica. El rector o director rural es el ordenador del gasto del Fondo de Servicios Educativos y su ejercicio no implica representación legal</w:t>
      </w:r>
      <w:r w:rsidR="00BF5B45">
        <w:rPr>
          <w:color w:val="4E4D4D"/>
          <w:sz w:val="22"/>
          <w:szCs w:val="22"/>
          <w:lang w:val="es-MX"/>
        </w:rPr>
        <w:t>”.</w:t>
      </w:r>
    </w:p>
    <w:p w14:paraId="074BAFB7" w14:textId="77777777" w:rsidR="00BF5B45" w:rsidRDefault="00BF5B45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6AE65412" w14:textId="049FF376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 xml:space="preserve">Respecto de la capacidad para contratar con la que cuentan las instituciones educativas por medio de los fondos de servicios educativos, hay que precisar que cuando se trate de actos y contratos cuya cuantía no exceda los veinte (20) salarios mínimos mensuales legales vigentes se sujetarán a las condiciones previstas en el reglamento de contratación que </w:t>
      </w:r>
      <w:r w:rsidRPr="00136A15">
        <w:rPr>
          <w:rFonts w:ascii="Arial" w:hAnsi="Arial" w:cs="Arial"/>
          <w:color w:val="4E4D4D"/>
          <w:sz w:val="22"/>
        </w:rPr>
        <w:lastRenderedPageBreak/>
        <w:t>expida el consejo directivo de la institución, de conformidad con lo dispuesto en el artículo 13 de la Ley 715 de 20</w:t>
      </w:r>
      <w:r w:rsidR="007F0630">
        <w:rPr>
          <w:rFonts w:ascii="Arial" w:hAnsi="Arial" w:cs="Arial"/>
          <w:color w:val="4E4D4D"/>
          <w:sz w:val="22"/>
        </w:rPr>
        <w:t>01</w:t>
      </w:r>
      <w:r w:rsidRPr="00136A15">
        <w:rPr>
          <w:rStyle w:val="Refdenotaalpie"/>
          <w:rFonts w:ascii="Arial" w:hAnsi="Arial" w:cs="Arial"/>
          <w:color w:val="4E4D4D"/>
          <w:sz w:val="22"/>
        </w:rPr>
        <w:footnoteReference w:id="4"/>
      </w:r>
      <w:r w:rsidR="00304503">
        <w:rPr>
          <w:rFonts w:ascii="Arial" w:hAnsi="Arial" w:cs="Arial"/>
          <w:color w:val="4E4D4D"/>
          <w:sz w:val="22"/>
        </w:rPr>
        <w:t xml:space="preserve"> y el </w:t>
      </w:r>
      <w:r w:rsidR="00304503" w:rsidRPr="00304503">
        <w:rPr>
          <w:rFonts w:ascii="Arial" w:hAnsi="Arial" w:cs="Arial"/>
          <w:color w:val="4E4D4D"/>
          <w:sz w:val="22"/>
        </w:rPr>
        <w:t>Decreto 1075 de 2015</w:t>
      </w:r>
      <w:r w:rsidR="00304503">
        <w:rPr>
          <w:rStyle w:val="Refdenotaalpie"/>
          <w:rFonts w:ascii="Arial" w:hAnsi="Arial" w:cs="Arial"/>
          <w:color w:val="4E4D4D"/>
          <w:sz w:val="22"/>
        </w:rPr>
        <w:footnoteReference w:id="5"/>
      </w:r>
      <w:r w:rsidRPr="00136A15">
        <w:rPr>
          <w:rFonts w:ascii="Arial" w:hAnsi="Arial" w:cs="Arial"/>
          <w:color w:val="4E4D4D"/>
          <w:sz w:val="22"/>
        </w:rPr>
        <w:t>.</w:t>
      </w:r>
    </w:p>
    <w:p w14:paraId="21342A61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694A9E2F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 xml:space="preserve">Cuando la celebración de </w:t>
      </w:r>
      <w:r>
        <w:rPr>
          <w:rFonts w:ascii="Arial" w:hAnsi="Arial" w:cs="Arial"/>
          <w:color w:val="4E4D4D"/>
          <w:sz w:val="22"/>
        </w:rPr>
        <w:t xml:space="preserve">los </w:t>
      </w:r>
      <w:r w:rsidRPr="00136A15">
        <w:rPr>
          <w:rFonts w:ascii="Arial" w:hAnsi="Arial" w:cs="Arial"/>
          <w:color w:val="4E4D4D"/>
          <w:sz w:val="22"/>
        </w:rPr>
        <w:t>contratos</w:t>
      </w:r>
      <w:r>
        <w:rPr>
          <w:rFonts w:ascii="Arial" w:hAnsi="Arial" w:cs="Arial"/>
          <w:color w:val="4E4D4D"/>
          <w:sz w:val="22"/>
        </w:rPr>
        <w:t xml:space="preserve"> </w:t>
      </w:r>
      <w:r w:rsidRPr="00136A15">
        <w:rPr>
          <w:rFonts w:ascii="Arial" w:hAnsi="Arial" w:cs="Arial"/>
          <w:color w:val="4E4D4D"/>
          <w:sz w:val="22"/>
        </w:rPr>
        <w:t>con recursos del fondo de servicios educativos supere la cuantía de</w:t>
      </w:r>
      <w:r>
        <w:rPr>
          <w:rFonts w:ascii="Arial" w:hAnsi="Arial" w:cs="Arial"/>
          <w:color w:val="4E4D4D"/>
          <w:sz w:val="22"/>
        </w:rPr>
        <w:t xml:space="preserve"> </w:t>
      </w:r>
      <w:r w:rsidRPr="00136A15">
        <w:rPr>
          <w:rFonts w:ascii="Arial" w:hAnsi="Arial" w:cs="Arial"/>
          <w:color w:val="4E4D4D"/>
          <w:sz w:val="22"/>
        </w:rPr>
        <w:t>veinte (20) salarios mínimos legales mensuales vigentes</w:t>
      </w:r>
      <w:r>
        <w:rPr>
          <w:rFonts w:ascii="Arial" w:hAnsi="Arial" w:cs="Arial"/>
          <w:color w:val="4E4D4D"/>
          <w:sz w:val="22"/>
        </w:rPr>
        <w:t xml:space="preserve">, </w:t>
      </w:r>
      <w:r w:rsidRPr="00136A15">
        <w:rPr>
          <w:rFonts w:ascii="Arial" w:hAnsi="Arial" w:cs="Arial"/>
          <w:color w:val="4E4D4D"/>
          <w:sz w:val="22"/>
        </w:rPr>
        <w:t>debe hacerse con sujeción a la Ley 80 de 1993.</w:t>
      </w:r>
    </w:p>
    <w:p w14:paraId="6EA34DD5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09EDDFA4" w14:textId="5229031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>Ahora, la Ley 996 de 2005</w:t>
      </w:r>
      <w:r w:rsidR="005405B2">
        <w:rPr>
          <w:rFonts w:ascii="Arial" w:hAnsi="Arial" w:cs="Arial"/>
          <w:color w:val="4E4D4D"/>
          <w:sz w:val="22"/>
        </w:rPr>
        <w:t xml:space="preserve"> o Ley de </w:t>
      </w:r>
      <w:r w:rsidR="00D04014">
        <w:rPr>
          <w:rFonts w:ascii="Arial" w:hAnsi="Arial" w:cs="Arial"/>
          <w:color w:val="4E4D4D"/>
          <w:sz w:val="22"/>
        </w:rPr>
        <w:t>Garantías</w:t>
      </w:r>
      <w:r w:rsidRPr="00136A15">
        <w:rPr>
          <w:rFonts w:ascii="Arial" w:hAnsi="Arial" w:cs="Arial"/>
          <w:color w:val="4E4D4D"/>
          <w:sz w:val="22"/>
        </w:rPr>
        <w:t>, establece un catálogo de prohibiciones para brindar mayores garantías durante la etapa preelectoral.</w:t>
      </w:r>
      <w:r>
        <w:rPr>
          <w:rFonts w:ascii="Arial" w:hAnsi="Arial" w:cs="Arial"/>
          <w:color w:val="4E4D4D"/>
          <w:sz w:val="22"/>
        </w:rPr>
        <w:t xml:space="preserve"> </w:t>
      </w:r>
      <w:r w:rsidRPr="00136A15">
        <w:rPr>
          <w:rFonts w:ascii="Arial" w:hAnsi="Arial" w:cs="Arial"/>
          <w:color w:val="4E4D4D"/>
          <w:sz w:val="22"/>
        </w:rPr>
        <w:t xml:space="preserve">El parágrafo del artículo 38 </w:t>
      </w:r>
      <w:r w:rsidRPr="002A7E4D">
        <w:rPr>
          <w:rFonts w:ascii="Arial" w:hAnsi="Arial" w:cs="Arial"/>
          <w:i/>
          <w:color w:val="4E4D4D"/>
          <w:sz w:val="22"/>
        </w:rPr>
        <w:t>ibidem</w:t>
      </w:r>
      <w:r w:rsidRPr="00136A15">
        <w:rPr>
          <w:rFonts w:ascii="Arial" w:hAnsi="Arial" w:cs="Arial"/>
          <w:color w:val="4E4D4D"/>
          <w:sz w:val="22"/>
        </w:rPr>
        <w:t xml:space="preserve"> establece la prohibición para gobernadores, alcaldes, secretarios, gerentes y directores de entidades de orden municipal, departamental o distrital, para celebrar convenios o contratos interadministrativos para la ejecución de recursos públicos dentro de los cuatro (4) meses anteriores a cualquier elección, en los siguientes términos:</w:t>
      </w:r>
    </w:p>
    <w:p w14:paraId="05A9426A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59CFD704" w14:textId="5B16E43A" w:rsidR="007459F2" w:rsidRPr="00740633" w:rsidRDefault="007459F2" w:rsidP="00740633">
      <w:pPr>
        <w:ind w:left="708" w:right="709"/>
        <w:jc w:val="both"/>
        <w:rPr>
          <w:rFonts w:ascii="Arial" w:hAnsi="Arial" w:cs="Arial"/>
          <w:color w:val="4E4D4D"/>
          <w:sz w:val="21"/>
          <w:szCs w:val="21"/>
        </w:rPr>
      </w:pPr>
      <w:r w:rsidRPr="00740633">
        <w:rPr>
          <w:rFonts w:ascii="Arial" w:hAnsi="Arial" w:cs="Arial"/>
          <w:color w:val="4E4D4D"/>
          <w:sz w:val="21"/>
          <w:szCs w:val="21"/>
        </w:rPr>
        <w:t>“Artículo 38. prohibiciones para los servidores públicos. A los empleados del Estado les está prohibido:</w:t>
      </w:r>
      <w:r w:rsidR="00740633" w:rsidRPr="00740633">
        <w:rPr>
          <w:rFonts w:ascii="Arial" w:hAnsi="Arial" w:cs="Arial"/>
          <w:color w:val="4E4D4D"/>
          <w:sz w:val="21"/>
          <w:szCs w:val="21"/>
        </w:rPr>
        <w:t xml:space="preserve"> </w:t>
      </w:r>
      <w:r w:rsidRPr="00740633">
        <w:rPr>
          <w:rFonts w:ascii="Arial" w:hAnsi="Arial" w:cs="Arial"/>
          <w:color w:val="4E4D4D"/>
          <w:sz w:val="21"/>
          <w:szCs w:val="21"/>
        </w:rPr>
        <w:t>(…)</w:t>
      </w:r>
    </w:p>
    <w:p w14:paraId="183E7906" w14:textId="77777777" w:rsidR="00740633" w:rsidRPr="00740633" w:rsidRDefault="00740633" w:rsidP="00740633">
      <w:pPr>
        <w:ind w:left="708" w:right="709"/>
        <w:jc w:val="both"/>
        <w:rPr>
          <w:rFonts w:ascii="Arial" w:hAnsi="Arial" w:cs="Arial"/>
          <w:color w:val="4E4D4D"/>
          <w:sz w:val="21"/>
          <w:szCs w:val="21"/>
        </w:rPr>
      </w:pPr>
    </w:p>
    <w:p w14:paraId="1578A932" w14:textId="77777777" w:rsidR="007459F2" w:rsidRPr="00740633" w:rsidRDefault="007459F2" w:rsidP="00740633">
      <w:pPr>
        <w:ind w:left="708" w:right="709"/>
        <w:jc w:val="both"/>
        <w:rPr>
          <w:rFonts w:ascii="Arial" w:hAnsi="Arial" w:cs="Arial"/>
          <w:color w:val="4E4D4D"/>
          <w:sz w:val="21"/>
          <w:szCs w:val="21"/>
        </w:rPr>
      </w:pPr>
      <w:r w:rsidRPr="00740633">
        <w:rPr>
          <w:rFonts w:ascii="Arial" w:hAnsi="Arial" w:cs="Arial"/>
          <w:color w:val="4E4D4D"/>
          <w:sz w:val="21"/>
          <w:szCs w:val="21"/>
        </w:rPr>
        <w:t>Los Gobernadores, Alcaldes Municipales y/o Distritales, Secretarios, Gerentes y directores de Entidades Descentralizadas del orden Municipal, Departamental o Distrital, dentro de los cuatro (4) meses anteriores a las elecciones, no podrán celebrar convenios interadministrativos para la ejecución de recursos públicos, ni participar, promover y destinar recursos públicos de las entidades a su cargo, como tampoco de las que participen como miembros de sus juntas directivas, en o para reuniones de carácter proselitista en las que participen los candidatos a cargos de elección popular. Tampoco podrán hacerlo cuando participen voceros de los candidatos”.</w:t>
      </w:r>
    </w:p>
    <w:p w14:paraId="50FF967D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783D2381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lastRenderedPageBreak/>
        <w:t>Para precisar el ámbito de aplicación del anterior parágrafo es necesario identificar la naturaleza jurídica de las entidades públicas que celebrarán el convenio o contrato interadministrativo, toda vez que, de acuerdo con lo definido en la Ley 996 de 2005, la prohibición de celebrar esa clase de convenios o contratos aplica a las entidades territoriales y a las entidades descentralizadas del orden municipal, departamental o distrital.</w:t>
      </w:r>
    </w:p>
    <w:p w14:paraId="5C8813DB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6B6EAC78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>El artículo 68 de la Ley 489 de 1998 estableció como características o atributos de las entidades descentralizadas: la personería jurídica, la autonomía administrativa y la autonomía presupuestal o financiera. En concordancia con lo anterior, el parágrafo primero del mismo artículo señala que a las entidades descentralizadas del nivel territorial les aplicará el mismo régimen jurídico</w:t>
      </w:r>
      <w:r w:rsidRPr="00136A15">
        <w:rPr>
          <w:rStyle w:val="Refdenotaalpie"/>
          <w:rFonts w:ascii="Arial" w:hAnsi="Arial" w:cs="Arial"/>
          <w:color w:val="4E4D4D"/>
          <w:sz w:val="22"/>
        </w:rPr>
        <w:footnoteReference w:id="6"/>
      </w:r>
      <w:r w:rsidRPr="00136A15">
        <w:rPr>
          <w:rFonts w:ascii="Arial" w:hAnsi="Arial" w:cs="Arial"/>
          <w:color w:val="4E4D4D"/>
          <w:sz w:val="22"/>
        </w:rPr>
        <w:t>.</w:t>
      </w:r>
    </w:p>
    <w:p w14:paraId="0FDB77B9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718CBF0F" w14:textId="41D22BD3" w:rsidR="007459F2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136A15">
        <w:rPr>
          <w:rFonts w:ascii="Arial" w:hAnsi="Arial" w:cs="Arial"/>
          <w:color w:val="4E4D4D"/>
          <w:sz w:val="22"/>
        </w:rPr>
        <w:t xml:space="preserve">Así las cosas, ni los fondos de servicios educativos ni las instituciones educativas departamentales, distritales o municipales son entidades descentralizadas porque carecen </w:t>
      </w:r>
      <w:r w:rsidR="00DE2A14">
        <w:rPr>
          <w:rFonts w:ascii="Arial" w:hAnsi="Arial" w:cs="Arial"/>
          <w:color w:val="4E4D4D"/>
          <w:sz w:val="22"/>
        </w:rPr>
        <w:t xml:space="preserve">de </w:t>
      </w:r>
      <w:r w:rsidR="00AD331B">
        <w:rPr>
          <w:rFonts w:ascii="Arial" w:hAnsi="Arial" w:cs="Arial"/>
          <w:color w:val="4E4D4D"/>
          <w:sz w:val="22"/>
        </w:rPr>
        <w:t>personería</w:t>
      </w:r>
      <w:r w:rsidR="00DE2A14">
        <w:rPr>
          <w:rFonts w:ascii="Arial" w:hAnsi="Arial" w:cs="Arial"/>
          <w:color w:val="4E4D4D"/>
          <w:sz w:val="22"/>
        </w:rPr>
        <w:t xml:space="preserve"> jurídica</w:t>
      </w:r>
      <w:r w:rsidR="00AD331B">
        <w:rPr>
          <w:rFonts w:ascii="Arial" w:hAnsi="Arial" w:cs="Arial"/>
          <w:color w:val="4E4D4D"/>
          <w:sz w:val="22"/>
        </w:rPr>
        <w:t>,</w:t>
      </w:r>
      <w:r w:rsidR="00DE2A14">
        <w:rPr>
          <w:rFonts w:ascii="Arial" w:hAnsi="Arial" w:cs="Arial"/>
          <w:color w:val="4E4D4D"/>
          <w:sz w:val="22"/>
        </w:rPr>
        <w:t xml:space="preserve"> uno </w:t>
      </w:r>
      <w:r w:rsidRPr="00136A15">
        <w:rPr>
          <w:rFonts w:ascii="Arial" w:hAnsi="Arial" w:cs="Arial"/>
          <w:color w:val="4E4D4D"/>
          <w:sz w:val="22"/>
        </w:rPr>
        <w:t xml:space="preserve">los atributos a los que hace referencia el artículo 68 de la Ley 489 de 1998 para </w:t>
      </w:r>
      <w:r w:rsidR="00C844AF">
        <w:rPr>
          <w:rFonts w:ascii="Arial" w:hAnsi="Arial" w:cs="Arial"/>
          <w:color w:val="4E4D4D"/>
          <w:sz w:val="22"/>
        </w:rPr>
        <w:t>ostentar</w:t>
      </w:r>
      <w:r w:rsidRPr="00136A15">
        <w:rPr>
          <w:rFonts w:ascii="Arial" w:hAnsi="Arial" w:cs="Arial"/>
          <w:color w:val="4E4D4D"/>
          <w:sz w:val="22"/>
        </w:rPr>
        <w:t xml:space="preserve"> tal calidad.</w:t>
      </w:r>
    </w:p>
    <w:p w14:paraId="3F8A8DE6" w14:textId="77777777" w:rsidR="007459F2" w:rsidRPr="00136A15" w:rsidRDefault="007459F2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3828F1A3" w14:textId="52C8704B" w:rsidR="002A153D" w:rsidRDefault="006B2580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>
        <w:rPr>
          <w:rFonts w:ascii="Arial" w:hAnsi="Arial" w:cs="Arial"/>
          <w:color w:val="4E4D4D"/>
          <w:sz w:val="22"/>
        </w:rPr>
        <w:t xml:space="preserve">La </w:t>
      </w:r>
      <w:r w:rsidR="002A153D">
        <w:rPr>
          <w:rFonts w:ascii="Arial" w:hAnsi="Arial" w:cs="Arial"/>
          <w:color w:val="4E4D4D"/>
          <w:sz w:val="22"/>
        </w:rPr>
        <w:t xml:space="preserve">restricción </w:t>
      </w:r>
      <w:r w:rsidRPr="00136A15">
        <w:rPr>
          <w:rFonts w:ascii="Arial" w:hAnsi="Arial" w:cs="Arial"/>
          <w:color w:val="4E4D4D"/>
          <w:sz w:val="22"/>
        </w:rPr>
        <w:t>del artículo 38 de la Ley 996 de 2005</w:t>
      </w:r>
      <w:r>
        <w:rPr>
          <w:rFonts w:ascii="Arial" w:hAnsi="Arial" w:cs="Arial"/>
          <w:color w:val="4E4D4D"/>
          <w:sz w:val="22"/>
        </w:rPr>
        <w:t xml:space="preserve"> aplica para cualquier clase de elecciones, por lo tanto, es </w:t>
      </w:r>
      <w:r w:rsidR="002A153D">
        <w:rPr>
          <w:rFonts w:ascii="Arial" w:hAnsi="Arial" w:cs="Arial"/>
          <w:color w:val="4E4D4D"/>
          <w:sz w:val="22"/>
        </w:rPr>
        <w:t>é</w:t>
      </w:r>
      <w:r>
        <w:rPr>
          <w:rFonts w:ascii="Arial" w:hAnsi="Arial" w:cs="Arial"/>
          <w:color w:val="4E4D4D"/>
          <w:sz w:val="22"/>
        </w:rPr>
        <w:t xml:space="preserve">sta la prohibición </w:t>
      </w:r>
      <w:r w:rsidR="007459F2" w:rsidRPr="00136A15">
        <w:rPr>
          <w:rFonts w:ascii="Arial" w:hAnsi="Arial" w:cs="Arial"/>
          <w:color w:val="4E4D4D"/>
          <w:sz w:val="22"/>
        </w:rPr>
        <w:t xml:space="preserve">que </w:t>
      </w:r>
      <w:r>
        <w:rPr>
          <w:rFonts w:ascii="Arial" w:hAnsi="Arial" w:cs="Arial"/>
          <w:color w:val="4E4D4D"/>
          <w:sz w:val="22"/>
        </w:rPr>
        <w:t xml:space="preserve">le aplica al periodo anterior a las elecciones territoriales que </w:t>
      </w:r>
      <w:r w:rsidR="007459F2" w:rsidRPr="00136A15">
        <w:rPr>
          <w:rFonts w:ascii="Arial" w:hAnsi="Arial" w:cs="Arial"/>
          <w:color w:val="4E4D4D"/>
          <w:sz w:val="22"/>
        </w:rPr>
        <w:t>se llevarán a cabo e</w:t>
      </w:r>
      <w:r>
        <w:rPr>
          <w:rFonts w:ascii="Arial" w:hAnsi="Arial" w:cs="Arial"/>
          <w:color w:val="4E4D4D"/>
          <w:sz w:val="22"/>
        </w:rPr>
        <w:t>l 27 de octubre de 2019</w:t>
      </w:r>
      <w:r w:rsidR="007459F2" w:rsidRPr="00136A15">
        <w:rPr>
          <w:rFonts w:ascii="Arial" w:hAnsi="Arial" w:cs="Arial"/>
          <w:color w:val="4E4D4D"/>
          <w:sz w:val="22"/>
        </w:rPr>
        <w:t>.</w:t>
      </w:r>
    </w:p>
    <w:p w14:paraId="1FAC207A" w14:textId="77777777" w:rsidR="002A153D" w:rsidRDefault="002A153D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41727650" w14:textId="012541B8" w:rsidR="007459F2" w:rsidRDefault="002A153D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>
        <w:rPr>
          <w:rFonts w:ascii="Arial" w:hAnsi="Arial" w:cs="Arial"/>
          <w:color w:val="4E4D4D"/>
          <w:sz w:val="22"/>
        </w:rPr>
        <w:t xml:space="preserve">El articulo 38 de la Ley 996 de 2005 contiene una prohibición diferente a la establecida en el articulo 33 de la misma ley, pues la primera limita los contratos o convenios interadministrativos en las condiciones antes descritas, mientras el articulo 33 restringe </w:t>
      </w:r>
      <w:r w:rsidR="00800A36">
        <w:rPr>
          <w:rFonts w:ascii="Arial" w:hAnsi="Arial" w:cs="Arial"/>
          <w:color w:val="4E4D4D"/>
          <w:sz w:val="22"/>
        </w:rPr>
        <w:t>cualquier contratación directa únicamente antes de la elección presidencial, en los siguientes términos:</w:t>
      </w:r>
    </w:p>
    <w:p w14:paraId="6DA3AD33" w14:textId="0D56E472" w:rsidR="00800A36" w:rsidRDefault="00800A36" w:rsidP="007459F2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5986B085" w14:textId="72342B0F" w:rsidR="00800A36" w:rsidRPr="00800A36" w:rsidRDefault="00800A36" w:rsidP="00800A36">
      <w:pPr>
        <w:ind w:left="708" w:right="709"/>
        <w:jc w:val="both"/>
        <w:rPr>
          <w:rFonts w:ascii="Arial" w:hAnsi="Arial" w:cs="Arial"/>
          <w:color w:val="4E4D4D"/>
          <w:sz w:val="21"/>
          <w:szCs w:val="21"/>
        </w:rPr>
      </w:pPr>
      <w:r w:rsidRPr="00800A36">
        <w:rPr>
          <w:rFonts w:ascii="Arial" w:hAnsi="Arial" w:cs="Arial"/>
          <w:color w:val="4E4D4D"/>
          <w:sz w:val="21"/>
          <w:szCs w:val="21"/>
        </w:rPr>
        <w:t xml:space="preserve">Artículo 33. Restricciones a la contratación pública. Durante los cuatro (4) meses anteriores a la elección presidencial y hasta la realización de la elección en la </w:t>
      </w:r>
      <w:r w:rsidRPr="00800A36">
        <w:rPr>
          <w:rFonts w:ascii="Arial" w:hAnsi="Arial" w:cs="Arial"/>
          <w:color w:val="4E4D4D"/>
          <w:sz w:val="21"/>
          <w:szCs w:val="21"/>
        </w:rPr>
        <w:lastRenderedPageBreak/>
        <w:t>segunda vuelta, si fuere el caso, queda prohibida la contratación directa por parte de todos los entes del Estado.</w:t>
      </w:r>
    </w:p>
    <w:p w14:paraId="73CFE33F" w14:textId="1B16FCBF" w:rsidR="00D534BE" w:rsidRDefault="00D534BE" w:rsidP="00800A36">
      <w:pPr>
        <w:ind w:left="708" w:right="709"/>
        <w:jc w:val="both"/>
        <w:rPr>
          <w:rFonts w:ascii="Arial" w:hAnsi="Arial" w:cs="Arial"/>
          <w:color w:val="4E4D4D"/>
          <w:sz w:val="21"/>
          <w:szCs w:val="21"/>
        </w:rPr>
      </w:pPr>
    </w:p>
    <w:p w14:paraId="27DD8D58" w14:textId="5E721D25" w:rsidR="00800A36" w:rsidRDefault="00800A36" w:rsidP="008D2194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 w:rsidRPr="00800A36">
        <w:rPr>
          <w:rFonts w:ascii="Arial" w:hAnsi="Arial" w:cs="Arial"/>
          <w:color w:val="4E4D4D"/>
          <w:sz w:val="22"/>
        </w:rPr>
        <w:t>En reiteradas ocasiones el Consejo de Estado por conducto de su Sala de</w:t>
      </w:r>
      <w:r>
        <w:rPr>
          <w:rFonts w:ascii="Arial" w:hAnsi="Arial" w:cs="Arial"/>
          <w:color w:val="4E4D4D"/>
          <w:sz w:val="22"/>
        </w:rPr>
        <w:t xml:space="preserve"> </w:t>
      </w:r>
      <w:r w:rsidRPr="00800A36">
        <w:rPr>
          <w:rFonts w:ascii="Arial" w:hAnsi="Arial" w:cs="Arial"/>
          <w:color w:val="4E4D4D"/>
          <w:sz w:val="22"/>
        </w:rPr>
        <w:t>Consulta y Servicio Civil, ha tenido la oportunidad de referirse sobre el alcance de la</w:t>
      </w:r>
      <w:r>
        <w:rPr>
          <w:rFonts w:ascii="Arial" w:hAnsi="Arial" w:cs="Arial"/>
          <w:color w:val="4E4D4D"/>
          <w:sz w:val="22"/>
        </w:rPr>
        <w:t xml:space="preserve"> </w:t>
      </w:r>
      <w:r w:rsidRPr="00800A36">
        <w:rPr>
          <w:rFonts w:ascii="Arial" w:hAnsi="Arial" w:cs="Arial"/>
          <w:color w:val="4E4D4D"/>
          <w:sz w:val="22"/>
        </w:rPr>
        <w:t>prohibición establecida en el parágrafo del artículo 38, comparando este precepto con la</w:t>
      </w:r>
      <w:r>
        <w:rPr>
          <w:rFonts w:ascii="Arial" w:hAnsi="Arial" w:cs="Arial"/>
          <w:color w:val="4E4D4D"/>
          <w:sz w:val="22"/>
        </w:rPr>
        <w:t xml:space="preserve"> </w:t>
      </w:r>
      <w:r w:rsidRPr="00800A36">
        <w:rPr>
          <w:rFonts w:ascii="Arial" w:hAnsi="Arial" w:cs="Arial"/>
          <w:color w:val="4E4D4D"/>
          <w:sz w:val="22"/>
        </w:rPr>
        <w:t>prohibición que fue establecida por el legislador en el artículo 33 de la misma norma</w:t>
      </w:r>
      <w:r>
        <w:rPr>
          <w:rFonts w:ascii="Arial" w:hAnsi="Arial" w:cs="Arial"/>
          <w:color w:val="4E4D4D"/>
          <w:sz w:val="22"/>
        </w:rPr>
        <w:t>, para afirmar que estas prohibiciones son diferentes,</w:t>
      </w:r>
      <w:r w:rsidR="00D84450">
        <w:rPr>
          <w:rFonts w:ascii="Arial" w:hAnsi="Arial" w:cs="Arial"/>
          <w:color w:val="4E4D4D"/>
          <w:sz w:val="22"/>
        </w:rPr>
        <w:t xml:space="preserve"> pues tienen condiciones disimiles.</w:t>
      </w:r>
      <w:r>
        <w:rPr>
          <w:rFonts w:ascii="Arial" w:hAnsi="Arial" w:cs="Arial"/>
          <w:color w:val="4E4D4D"/>
          <w:sz w:val="22"/>
        </w:rPr>
        <w:t xml:space="preserve"> </w:t>
      </w:r>
      <w:r w:rsidR="00D84450">
        <w:rPr>
          <w:rFonts w:ascii="Arial" w:hAnsi="Arial" w:cs="Arial"/>
          <w:color w:val="4E4D4D"/>
          <w:sz w:val="22"/>
        </w:rPr>
        <w:t>E</w:t>
      </w:r>
      <w:r>
        <w:rPr>
          <w:rFonts w:ascii="Arial" w:hAnsi="Arial" w:cs="Arial"/>
          <w:color w:val="4E4D4D"/>
          <w:sz w:val="22"/>
        </w:rPr>
        <w:t>n c</w:t>
      </w:r>
      <w:r w:rsidRPr="00800A36">
        <w:rPr>
          <w:rFonts w:ascii="Arial" w:hAnsi="Arial" w:cs="Arial"/>
          <w:color w:val="4E4D4D"/>
          <w:sz w:val="22"/>
        </w:rPr>
        <w:t>oncepto del 17 de febrero de 20</w:t>
      </w:r>
      <w:r w:rsidR="003475BF">
        <w:rPr>
          <w:rFonts w:ascii="Arial" w:hAnsi="Arial" w:cs="Arial"/>
          <w:color w:val="4E4D4D"/>
          <w:sz w:val="22"/>
        </w:rPr>
        <w:t>06</w:t>
      </w:r>
      <w:r w:rsidRPr="00800A36">
        <w:rPr>
          <w:rFonts w:ascii="Arial" w:hAnsi="Arial" w:cs="Arial"/>
          <w:color w:val="4E4D4D"/>
          <w:sz w:val="22"/>
        </w:rPr>
        <w:t>, radicación No</w:t>
      </w:r>
      <w:r>
        <w:rPr>
          <w:rFonts w:ascii="Arial" w:hAnsi="Arial" w:cs="Arial"/>
          <w:color w:val="4E4D4D"/>
          <w:sz w:val="22"/>
        </w:rPr>
        <w:t xml:space="preserve"> </w:t>
      </w:r>
      <w:r w:rsidR="003475BF" w:rsidRPr="003475BF">
        <w:rPr>
          <w:rFonts w:ascii="Arial" w:hAnsi="Arial" w:cs="Arial"/>
          <w:color w:val="4E4D4D"/>
          <w:sz w:val="22"/>
        </w:rPr>
        <w:t>11001-03-06-000-2006-00019-00(1720)</w:t>
      </w:r>
      <w:r w:rsidR="003475BF">
        <w:rPr>
          <w:rFonts w:ascii="Arial" w:hAnsi="Arial" w:cs="Arial"/>
          <w:color w:val="4E4D4D"/>
          <w:sz w:val="22"/>
        </w:rPr>
        <w:t xml:space="preserve">, Consejero ponente </w:t>
      </w:r>
      <w:r w:rsidR="003475BF" w:rsidRPr="003475BF">
        <w:rPr>
          <w:rFonts w:ascii="Arial" w:hAnsi="Arial" w:cs="Arial"/>
          <w:color w:val="4E4D4D"/>
          <w:sz w:val="22"/>
        </w:rPr>
        <w:t>Luis Fernando Álvarez Jaramillo</w:t>
      </w:r>
      <w:r w:rsidR="008019C0">
        <w:rPr>
          <w:rFonts w:ascii="Arial" w:hAnsi="Arial" w:cs="Arial"/>
          <w:color w:val="4E4D4D"/>
          <w:sz w:val="22"/>
        </w:rPr>
        <w:t>, esa sala manifestó:</w:t>
      </w:r>
    </w:p>
    <w:p w14:paraId="0CB08FC8" w14:textId="6C88B60F" w:rsidR="008019C0" w:rsidRDefault="008019C0" w:rsidP="00800A36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53BD4573" w14:textId="470336E2" w:rsidR="008019C0" w:rsidRPr="008019C0" w:rsidRDefault="003475BF" w:rsidP="008019C0">
      <w:pPr>
        <w:ind w:left="708" w:right="709"/>
        <w:jc w:val="both"/>
        <w:rPr>
          <w:rFonts w:ascii="Arial" w:hAnsi="Arial" w:cs="Arial"/>
          <w:color w:val="4E4D4D"/>
          <w:sz w:val="21"/>
          <w:szCs w:val="21"/>
        </w:rPr>
      </w:pPr>
      <w:r>
        <w:rPr>
          <w:rFonts w:ascii="Arial" w:hAnsi="Arial" w:cs="Arial"/>
          <w:color w:val="4E4D4D"/>
          <w:sz w:val="21"/>
          <w:szCs w:val="21"/>
        </w:rPr>
        <w:t>La</w:t>
      </w:r>
      <w:r w:rsidRPr="003475BF">
        <w:rPr>
          <w:rFonts w:ascii="Arial" w:hAnsi="Arial" w:cs="Arial"/>
          <w:color w:val="4E4D4D"/>
          <w:sz w:val="21"/>
          <w:szCs w:val="21"/>
        </w:rPr>
        <w:t xml:space="preserve"> interpretación sistemática de las disposiciones consagradas en los artículos 32, 33 y el parágrafo del artículo 38 de la ley 996 de 2.005 lleva a concluir que dichas normas contienen restricciones y prohibiciones para periodos preelectorales diferentes; las dos primeras, de manera específica para los cuatro meses anteriores a la elección presidencial; el último, de manera más genérica para los cuatro meses anteriores a las elecciones para cualquier cargo de elección popular a que se refiere la ley –incluido el de Presidente de la República-; de manera que dichas restricciones no se excluyen sino que se integran parcialmente, lo que permite concluir que en periodo preelectoral para elección de Presidente de la República, a todos los entes del Estado, incluidos los territoriales, se aplican las restricciones de los artículos 32 y 33 con sus excepciones, así como las del parágrafo del artículo 38. En cambio, para elecciones en general, excluyendo las correspondientes a Presidente de la República, a las autoridades territoriales allí mencionadas sólo se aplican las restricciones contenidas en el parágrafo del artículo 38.”</w:t>
      </w:r>
      <w:r w:rsidR="008019C0" w:rsidRPr="008019C0">
        <w:rPr>
          <w:rFonts w:ascii="Arial" w:hAnsi="Arial" w:cs="Arial"/>
          <w:color w:val="4E4D4D"/>
          <w:sz w:val="21"/>
          <w:szCs w:val="21"/>
        </w:rPr>
        <w:t>.</w:t>
      </w:r>
    </w:p>
    <w:p w14:paraId="3AADB68C" w14:textId="77777777" w:rsidR="00800A36" w:rsidRPr="00800A36" w:rsidRDefault="00800A36" w:rsidP="00800A36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0C82CF78" w14:textId="74C6F8D0" w:rsidR="00D534BE" w:rsidRPr="00D84450" w:rsidRDefault="008019C0" w:rsidP="00D534B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4E4D4D"/>
          <w:sz w:val="22"/>
        </w:rPr>
      </w:pPr>
      <w:r w:rsidRPr="00D84450">
        <w:rPr>
          <w:rFonts w:ascii="Arial" w:hAnsi="Arial" w:cs="Arial"/>
          <w:b/>
          <w:color w:val="4E4D4D"/>
          <w:sz w:val="22"/>
        </w:rPr>
        <w:t>Respuesta</w:t>
      </w:r>
      <w:r w:rsidR="00D84450">
        <w:rPr>
          <w:rFonts w:ascii="Arial" w:hAnsi="Arial" w:cs="Arial"/>
          <w:b/>
          <w:color w:val="4E4D4D"/>
          <w:sz w:val="22"/>
        </w:rPr>
        <w:t xml:space="preserve"> </w:t>
      </w:r>
    </w:p>
    <w:p w14:paraId="7E0AD5B2" w14:textId="4ECDA1EB" w:rsidR="0078122E" w:rsidRDefault="0078122E" w:rsidP="00416B09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00B5191C" w14:textId="426262CB" w:rsidR="0078122E" w:rsidRDefault="006921E4" w:rsidP="00735F0E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>
        <w:rPr>
          <w:rFonts w:ascii="Arial" w:hAnsi="Arial" w:cs="Arial"/>
          <w:color w:val="4E4D4D"/>
          <w:sz w:val="22"/>
        </w:rPr>
        <w:t>Por virtud del artículo 38 de la Ley 996 de 2005 las entidades de orden territorial t</w:t>
      </w:r>
      <w:r w:rsidRPr="006921E4">
        <w:rPr>
          <w:rFonts w:ascii="Arial" w:hAnsi="Arial" w:cs="Arial"/>
          <w:color w:val="4E4D4D"/>
          <w:sz w:val="22"/>
        </w:rPr>
        <w:t>ienen</w:t>
      </w:r>
      <w:r w:rsidR="00735F0E">
        <w:rPr>
          <w:rFonts w:ascii="Arial" w:hAnsi="Arial" w:cs="Arial"/>
          <w:color w:val="4E4D4D"/>
          <w:sz w:val="22"/>
        </w:rPr>
        <w:t xml:space="preserve"> </w:t>
      </w:r>
      <w:r w:rsidRPr="006921E4">
        <w:rPr>
          <w:rFonts w:ascii="Arial" w:hAnsi="Arial" w:cs="Arial"/>
          <w:color w:val="4E4D4D"/>
          <w:sz w:val="22"/>
        </w:rPr>
        <w:t>prohibido</w:t>
      </w:r>
      <w:r w:rsidR="005A1FA2">
        <w:rPr>
          <w:rFonts w:ascii="Arial" w:hAnsi="Arial" w:cs="Arial"/>
          <w:color w:val="4E4D4D"/>
          <w:sz w:val="22"/>
        </w:rPr>
        <w:t>,</w:t>
      </w:r>
      <w:r w:rsidRPr="006921E4">
        <w:rPr>
          <w:rFonts w:ascii="Arial" w:hAnsi="Arial" w:cs="Arial"/>
          <w:color w:val="4E4D4D"/>
          <w:sz w:val="22"/>
        </w:rPr>
        <w:t xml:space="preserve"> a partir del 27 de junio </w:t>
      </w:r>
      <w:r>
        <w:rPr>
          <w:rFonts w:ascii="Arial" w:hAnsi="Arial" w:cs="Arial"/>
          <w:color w:val="4E4D4D"/>
          <w:sz w:val="22"/>
        </w:rPr>
        <w:t>de 2019</w:t>
      </w:r>
      <w:r w:rsidRPr="006921E4">
        <w:rPr>
          <w:rFonts w:ascii="Arial" w:hAnsi="Arial" w:cs="Arial"/>
          <w:color w:val="4E4D4D"/>
          <w:sz w:val="22"/>
        </w:rPr>
        <w:t>, celebrar convenios o contratos</w:t>
      </w:r>
      <w:r w:rsidR="00735F0E">
        <w:rPr>
          <w:rFonts w:ascii="Arial" w:hAnsi="Arial" w:cs="Arial"/>
          <w:color w:val="4E4D4D"/>
          <w:sz w:val="22"/>
        </w:rPr>
        <w:t xml:space="preserve"> </w:t>
      </w:r>
      <w:r w:rsidRPr="006921E4">
        <w:rPr>
          <w:rFonts w:ascii="Arial" w:hAnsi="Arial" w:cs="Arial"/>
          <w:color w:val="4E4D4D"/>
          <w:sz w:val="22"/>
        </w:rPr>
        <w:t>interadministrativos para la ejecución de recursos públicos</w:t>
      </w:r>
      <w:r>
        <w:rPr>
          <w:rFonts w:ascii="Arial" w:hAnsi="Arial" w:cs="Arial"/>
          <w:color w:val="4E4D4D"/>
          <w:sz w:val="22"/>
        </w:rPr>
        <w:t xml:space="preserve">, </w:t>
      </w:r>
      <w:r w:rsidR="008D2194">
        <w:rPr>
          <w:rFonts w:ascii="Arial" w:hAnsi="Arial" w:cs="Arial"/>
          <w:color w:val="4E4D4D"/>
          <w:sz w:val="22"/>
        </w:rPr>
        <w:t xml:space="preserve">pero </w:t>
      </w:r>
      <w:r>
        <w:rPr>
          <w:rFonts w:ascii="Arial" w:hAnsi="Arial" w:cs="Arial"/>
          <w:color w:val="4E4D4D"/>
          <w:sz w:val="22"/>
        </w:rPr>
        <w:t>esta prohibición no aplica para</w:t>
      </w:r>
      <w:r w:rsidR="00735F0E">
        <w:rPr>
          <w:rFonts w:ascii="Arial" w:hAnsi="Arial" w:cs="Arial"/>
          <w:color w:val="4E4D4D"/>
          <w:sz w:val="22"/>
        </w:rPr>
        <w:t xml:space="preserve"> </w:t>
      </w:r>
      <w:r w:rsidRPr="006921E4">
        <w:rPr>
          <w:rFonts w:ascii="Arial" w:hAnsi="Arial" w:cs="Arial"/>
          <w:color w:val="4E4D4D"/>
          <w:sz w:val="22"/>
        </w:rPr>
        <w:t>fondos de servicios educativos ni para instituciones educativas departamentales, distritales o municipales pues no son entidades descentralizadas.</w:t>
      </w:r>
    </w:p>
    <w:p w14:paraId="420EF5B9" w14:textId="52F593AC" w:rsidR="005A1FA2" w:rsidRDefault="005A1FA2" w:rsidP="006921E4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7E2EEEB9" w14:textId="17DEC47A" w:rsidR="005A1FA2" w:rsidRDefault="005A1FA2" w:rsidP="006921E4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>
        <w:rPr>
          <w:rFonts w:ascii="Arial" w:hAnsi="Arial" w:cs="Arial"/>
          <w:color w:val="4E4D4D"/>
          <w:sz w:val="22"/>
        </w:rPr>
        <w:t>Por otra parte, el artículo 33 de la Ley 996 no es aplicable durante la presente vigencia fiscal</w:t>
      </w:r>
      <w:r w:rsidR="0048394A">
        <w:rPr>
          <w:rFonts w:ascii="Arial" w:hAnsi="Arial" w:cs="Arial"/>
          <w:color w:val="4E4D4D"/>
          <w:sz w:val="22"/>
        </w:rPr>
        <w:t>,</w:t>
      </w:r>
      <w:r>
        <w:rPr>
          <w:rFonts w:ascii="Arial" w:hAnsi="Arial" w:cs="Arial"/>
          <w:color w:val="4E4D4D"/>
          <w:sz w:val="22"/>
        </w:rPr>
        <w:t xml:space="preserve"> toda vez que en el año 2019 no se adelantará ninguna elección presidencial.</w:t>
      </w:r>
    </w:p>
    <w:p w14:paraId="322F02AE" w14:textId="7862B7B7" w:rsidR="005A1FA2" w:rsidRDefault="005A1FA2" w:rsidP="006921E4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  <w:r>
        <w:rPr>
          <w:rFonts w:ascii="Arial" w:hAnsi="Arial" w:cs="Arial"/>
          <w:color w:val="4E4D4D"/>
          <w:sz w:val="22"/>
        </w:rPr>
        <w:t xml:space="preserve">  </w:t>
      </w:r>
    </w:p>
    <w:p w14:paraId="60EC7CA5" w14:textId="77777777" w:rsidR="005A1FA2" w:rsidRPr="006921E4" w:rsidRDefault="005A1FA2" w:rsidP="006921E4">
      <w:pPr>
        <w:spacing w:line="276" w:lineRule="auto"/>
        <w:jc w:val="both"/>
        <w:rPr>
          <w:rFonts w:ascii="Arial" w:hAnsi="Arial" w:cs="Arial"/>
          <w:color w:val="4E4D4D"/>
          <w:sz w:val="22"/>
        </w:rPr>
      </w:pPr>
    </w:p>
    <w:p w14:paraId="3E90FBFF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  <w:r w:rsidRPr="00416B09">
        <w:rPr>
          <w:rFonts w:ascii="Arial" w:eastAsia="Calibri" w:hAnsi="Arial" w:cs="Arial"/>
          <w:color w:val="4E4D4D"/>
          <w:sz w:val="22"/>
        </w:rPr>
        <w:t>Este concepto tiene el alcance previsto en el artículo 28 del Código de Procedimiento Administrativo y de lo Contencioso Administrativo.</w:t>
      </w:r>
    </w:p>
    <w:p w14:paraId="5B2041A6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</w:p>
    <w:p w14:paraId="7F8364B4" w14:textId="77777777" w:rsidR="0078122E" w:rsidRPr="00416B09" w:rsidRDefault="0078122E" w:rsidP="00416B09">
      <w:pPr>
        <w:spacing w:line="276" w:lineRule="auto"/>
        <w:jc w:val="both"/>
        <w:rPr>
          <w:rFonts w:ascii="Arial" w:eastAsia="Calibri" w:hAnsi="Arial" w:cs="Arial"/>
          <w:color w:val="4E4D4D"/>
          <w:sz w:val="22"/>
        </w:rPr>
      </w:pPr>
      <w:r w:rsidRPr="00416B09">
        <w:rPr>
          <w:rFonts w:ascii="Arial" w:eastAsia="Calibri" w:hAnsi="Arial" w:cs="Arial"/>
          <w:noProof/>
          <w:color w:val="4E4D4D"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0D8DE" wp14:editId="20ECA8D9">
                <wp:simplePos x="0" y="0"/>
                <wp:positionH relativeFrom="page">
                  <wp:posOffset>1514475</wp:posOffset>
                </wp:positionH>
                <wp:positionV relativeFrom="paragraph">
                  <wp:posOffset>10160</wp:posOffset>
                </wp:positionV>
                <wp:extent cx="46863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BDB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C7340B" id="Conector recto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19.25pt,.8pt" to="48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" strokecolor="#dbdbdb">
                <w10:wrap anchorx="page"/>
              </v:line>
            </w:pict>
          </mc:Fallback>
        </mc:AlternateContent>
      </w:r>
    </w:p>
    <w:p w14:paraId="6EBB40B4" w14:textId="77777777" w:rsidR="0078122E" w:rsidRPr="00416B09" w:rsidRDefault="0078122E" w:rsidP="00416B09">
      <w:pPr>
        <w:spacing w:line="276" w:lineRule="auto"/>
        <w:rPr>
          <w:rFonts w:ascii="Arial" w:eastAsia="Times New Roman" w:hAnsi="Arial" w:cs="Arial"/>
          <w:color w:val="4E4D4D"/>
          <w:sz w:val="22"/>
          <w:lang w:eastAsia="es-CO"/>
        </w:rPr>
      </w:pPr>
      <w:r w:rsidRPr="00416B09">
        <w:rPr>
          <w:rFonts w:ascii="Arial" w:eastAsia="Times New Roman" w:hAnsi="Arial" w:cs="Arial"/>
          <w:color w:val="4E4D4D"/>
          <w:sz w:val="22"/>
          <w:lang w:eastAsia="es-CO"/>
        </w:rPr>
        <w:t>Atentamente,</w:t>
      </w:r>
    </w:p>
    <w:p w14:paraId="20AE2836" w14:textId="77777777" w:rsidR="0078122E" w:rsidRPr="00416B09" w:rsidRDefault="0078122E" w:rsidP="00416B09">
      <w:pPr>
        <w:spacing w:line="276" w:lineRule="auto"/>
        <w:rPr>
          <w:rFonts w:ascii="Arial" w:eastAsia="Times New Roman" w:hAnsi="Arial" w:cs="Arial"/>
          <w:color w:val="4E4D4D"/>
          <w:sz w:val="22"/>
          <w:lang w:eastAsia="es-CO"/>
        </w:rPr>
      </w:pPr>
      <w:r w:rsidRPr="00416B09">
        <w:rPr>
          <w:rFonts w:ascii="Arial" w:eastAsia="Times New Roman" w:hAnsi="Arial" w:cs="Arial"/>
          <w:color w:val="4E4D4D"/>
          <w:sz w:val="22"/>
          <w:lang w:eastAsia="es-CO"/>
        </w:rPr>
        <w:t> </w:t>
      </w:r>
    </w:p>
    <w:p w14:paraId="28469E64" w14:textId="31854532" w:rsidR="0078122E" w:rsidRPr="00416B09" w:rsidRDefault="002F7E36" w:rsidP="00416B09">
      <w:pPr>
        <w:spacing w:line="276" w:lineRule="auto"/>
        <w:rPr>
          <w:rFonts w:ascii="Arial" w:eastAsia="Times New Roman" w:hAnsi="Arial" w:cs="Arial"/>
          <w:color w:val="4E4D4D"/>
          <w:sz w:val="22"/>
          <w:lang w:eastAsia="es-CO"/>
        </w:rPr>
      </w:pPr>
      <w:r>
        <w:rPr>
          <w:noProof/>
          <w:lang w:val="en-US"/>
        </w:rPr>
        <w:drawing>
          <wp:inline distT="0" distB="0" distL="0" distR="0" wp14:anchorId="60BC5E37" wp14:editId="357746A9">
            <wp:extent cx="2354825" cy="1440000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_marin-0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5294" r="8247" b="4695"/>
                    <a:stretch/>
                  </pic:blipFill>
                  <pic:spPr bwMode="auto">
                    <a:xfrm>
                      <a:off x="0" y="0"/>
                      <a:ext cx="2354825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B90E1" w14:textId="4A01661D" w:rsidR="00122B23" w:rsidRPr="009360BE" w:rsidRDefault="0078122E" w:rsidP="00416B09">
      <w:pPr>
        <w:spacing w:line="276" w:lineRule="auto"/>
        <w:rPr>
          <w:rFonts w:ascii="Arial" w:eastAsia="Times New Roman" w:hAnsi="Arial" w:cs="Arial"/>
          <w:color w:val="4E4D4D"/>
          <w:sz w:val="22"/>
          <w:lang w:eastAsia="es-CO"/>
        </w:rPr>
      </w:pPr>
      <w:r w:rsidRPr="00416B09">
        <w:rPr>
          <w:rFonts w:ascii="Arial" w:eastAsia="Times New Roman" w:hAnsi="Arial" w:cs="Arial"/>
          <w:color w:val="4E4D4D"/>
          <w:sz w:val="22"/>
          <w:lang w:eastAsia="es-CO"/>
        </w:rPr>
        <w:t xml:space="preserve">Proyectó: </w:t>
      </w:r>
      <w:r w:rsidR="009360BE">
        <w:rPr>
          <w:rFonts w:ascii="Arial" w:eastAsia="Times New Roman" w:hAnsi="Arial" w:cs="Arial"/>
          <w:color w:val="4E4D4D"/>
          <w:sz w:val="22"/>
          <w:lang w:eastAsia="es-CO"/>
        </w:rPr>
        <w:t>Felipe Muñoz Tocarruncho</w:t>
      </w:r>
    </w:p>
    <w:sectPr w:rsidR="00122B23" w:rsidRPr="009360BE" w:rsidSect="00D04014">
      <w:headerReference w:type="default" r:id="rId12"/>
      <w:footerReference w:type="default" r:id="rId13"/>
      <w:pgSz w:w="12240" w:h="15840"/>
      <w:pgMar w:top="2091" w:right="1608" w:bottom="1417" w:left="1701" w:header="71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3B80A" w14:textId="77777777" w:rsidR="001559CC" w:rsidRDefault="001559CC">
      <w:r>
        <w:separator/>
      </w:r>
    </w:p>
  </w:endnote>
  <w:endnote w:type="continuationSeparator" w:id="0">
    <w:p w14:paraId="72D502E6" w14:textId="77777777" w:rsidR="001559CC" w:rsidRDefault="0015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0"/>
        <w:szCs w:val="10"/>
      </w:rPr>
      <w:id w:val="1232736725"/>
      <w:docPartObj>
        <w:docPartGallery w:val="Page Numbers (Bottom of Page)"/>
        <w:docPartUnique/>
      </w:docPartObj>
    </w:sdtPr>
    <w:sdtEndPr/>
    <w:sdtContent>
      <w:p w14:paraId="48FC6A02" w14:textId="687B3983" w:rsidR="009047C5" w:rsidRPr="00237485" w:rsidRDefault="00742DD2" w:rsidP="00237485">
        <w:pPr>
          <w:pStyle w:val="Piedepgina"/>
          <w:spacing w:before="240"/>
          <w:jc w:val="right"/>
          <w:rPr>
            <w:sz w:val="10"/>
            <w:szCs w:val="10"/>
            <w:lang w:val="es-ES"/>
          </w:rPr>
        </w:pPr>
        <w:r w:rsidRPr="00237485">
          <w:rPr>
            <w:noProof/>
            <w:sz w:val="10"/>
            <w:szCs w:val="10"/>
            <w:lang w:val="en-US"/>
          </w:rPr>
          <w:drawing>
            <wp:inline distT="0" distB="0" distL="0" distR="0" wp14:anchorId="5A5A5272" wp14:editId="5619C2EB">
              <wp:extent cx="5612130" cy="787400"/>
              <wp:effectExtent l="0" t="0" r="1270" b="0"/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e_pagina_pie_pagina_exce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8FC6A03" w14:textId="77777777" w:rsidR="009047C5" w:rsidRPr="00237485" w:rsidRDefault="009047C5" w:rsidP="00237485">
    <w:pPr>
      <w:pStyle w:val="Piedepgina"/>
      <w:spacing w:before="240"/>
      <w:rPr>
        <w:sz w:val="10"/>
        <w:szCs w:val="10"/>
      </w:rPr>
    </w:pPr>
  </w:p>
  <w:p w14:paraId="48FC6A04" w14:textId="77777777" w:rsidR="009047C5" w:rsidRPr="00237485" w:rsidRDefault="009047C5" w:rsidP="00237485">
    <w:pPr>
      <w:tabs>
        <w:tab w:val="left" w:pos="7125"/>
      </w:tabs>
      <w:spacing w:before="240"/>
      <w:rPr>
        <w:sz w:val="10"/>
        <w:szCs w:val="10"/>
      </w:rPr>
    </w:pPr>
    <w:r w:rsidRPr="00237485"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2BF8" w14:textId="77777777" w:rsidR="001559CC" w:rsidRDefault="001559CC">
      <w:r>
        <w:separator/>
      </w:r>
    </w:p>
  </w:footnote>
  <w:footnote w:type="continuationSeparator" w:id="0">
    <w:p w14:paraId="7D13560B" w14:textId="77777777" w:rsidR="001559CC" w:rsidRDefault="001559CC">
      <w:r>
        <w:continuationSeparator/>
      </w:r>
    </w:p>
  </w:footnote>
  <w:footnote w:id="1">
    <w:p w14:paraId="03D3E858" w14:textId="77777777" w:rsidR="00D04014" w:rsidRPr="00487576" w:rsidRDefault="00D04014" w:rsidP="00D04014">
      <w:pPr>
        <w:ind w:firstLine="708"/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Style w:val="Refdenotaalpie"/>
          <w:rFonts w:ascii="Arial" w:hAnsi="Arial" w:cs="Arial"/>
          <w:sz w:val="18"/>
          <w:szCs w:val="18"/>
        </w:rPr>
        <w:footnoteRef/>
      </w:r>
      <w:r w:rsidRPr="00487576">
        <w:rPr>
          <w:rFonts w:ascii="Arial" w:hAnsi="Arial" w:cs="Arial"/>
          <w:sz w:val="18"/>
          <w:szCs w:val="18"/>
        </w:rPr>
        <w:t xml:space="preserve"> </w:t>
      </w:r>
      <w:r w:rsidRPr="00487576">
        <w:rPr>
          <w:rFonts w:ascii="Arial" w:hAnsi="Arial" w:cs="Arial"/>
          <w:color w:val="4E4D4D"/>
          <w:sz w:val="18"/>
          <w:szCs w:val="18"/>
        </w:rPr>
        <w:t>Ley 60 de 1993: “Artículo 2. Competencias de los Municipios. Corresponde a los Municipios, a través de las dependencias de su organización central o de las entidades descentralizadas municipales competentes, en su carácter de entidades ejecutoras principales de las acciones en materia social, dirigir, prestar o participar en la prestación de los servicios directamente, conforme a la ley, a las normas técnicas de carácter nacional, a las ordenanzas y a los respectivos acuerdos municipales.</w:t>
      </w:r>
      <w:r>
        <w:rPr>
          <w:rFonts w:ascii="Arial" w:hAnsi="Arial" w:cs="Arial"/>
          <w:color w:val="4E4D4D"/>
          <w:sz w:val="18"/>
          <w:szCs w:val="18"/>
        </w:rPr>
        <w:t xml:space="preserve"> </w:t>
      </w:r>
      <w:r w:rsidRPr="00487576">
        <w:rPr>
          <w:rFonts w:ascii="Arial" w:hAnsi="Arial" w:cs="Arial"/>
          <w:color w:val="4E4D4D"/>
          <w:sz w:val="18"/>
          <w:szCs w:val="18"/>
        </w:rPr>
        <w:t xml:space="preserve">(…) </w:t>
      </w:r>
    </w:p>
    <w:p w14:paraId="73852346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</w:p>
    <w:p w14:paraId="55A7342E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Fonts w:ascii="Arial" w:hAnsi="Arial" w:cs="Arial"/>
          <w:color w:val="4E4D4D"/>
          <w:sz w:val="18"/>
          <w:szCs w:val="18"/>
        </w:rPr>
        <w:t>“Artículo 3. Competencias de los departamentos. Corresponde a los departamentos, a través de las dependencias de su organización central o de las entidades descentralizadas departamentales competentes, conforme a la Constitución Política, la ley, a las normas técnicas nacionales y a las respectivas ordenanzas</w:t>
      </w:r>
      <w:r>
        <w:rPr>
          <w:rFonts w:ascii="Arial" w:hAnsi="Arial" w:cs="Arial"/>
          <w:color w:val="4E4D4D"/>
          <w:sz w:val="18"/>
          <w:szCs w:val="18"/>
        </w:rPr>
        <w:t xml:space="preserve"> </w:t>
      </w:r>
      <w:r w:rsidRPr="00487576">
        <w:rPr>
          <w:rFonts w:ascii="Arial" w:hAnsi="Arial" w:cs="Arial"/>
          <w:color w:val="4E4D4D"/>
          <w:sz w:val="18"/>
          <w:szCs w:val="18"/>
        </w:rPr>
        <w:t>(…)</w:t>
      </w:r>
    </w:p>
    <w:p w14:paraId="0A89BD61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</w:p>
    <w:p w14:paraId="6132DE98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Fonts w:ascii="Arial" w:hAnsi="Arial" w:cs="Arial"/>
          <w:color w:val="4E4D4D"/>
          <w:sz w:val="18"/>
          <w:szCs w:val="18"/>
        </w:rPr>
        <w:t xml:space="preserve">“Artículo 4. Competencias de los distritos. Corresponde a los distritos, a través de las dependencias de su organización central o de las entidades descentralizadas competentes, conforme a la Ley, a las normas técnicas nacionales y a los respectivos acuerdos”. </w:t>
      </w:r>
    </w:p>
    <w:p w14:paraId="77925B6F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</w:p>
    <w:p w14:paraId="44CAB8F2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Fonts w:ascii="Arial" w:hAnsi="Arial" w:cs="Arial"/>
          <w:color w:val="4E4D4D"/>
          <w:sz w:val="18"/>
          <w:szCs w:val="18"/>
        </w:rPr>
        <w:t xml:space="preserve">Ley 715 de 2005: “Artículo 9. (…) Las instituciones educativas estatales son departamentales, distritales o municipales”.  </w:t>
      </w:r>
    </w:p>
    <w:p w14:paraId="3025ED10" w14:textId="77777777" w:rsidR="00D04014" w:rsidRPr="00487576" w:rsidRDefault="00D04014" w:rsidP="00D04014">
      <w:pPr>
        <w:jc w:val="both"/>
        <w:rPr>
          <w:rFonts w:ascii="Arial" w:hAnsi="Arial" w:cs="Arial"/>
          <w:color w:val="4E4D4D"/>
          <w:sz w:val="18"/>
          <w:szCs w:val="18"/>
        </w:rPr>
      </w:pPr>
    </w:p>
  </w:footnote>
  <w:footnote w:id="2">
    <w:p w14:paraId="154450D1" w14:textId="77777777" w:rsidR="007459F2" w:rsidRPr="00487576" w:rsidRDefault="007459F2" w:rsidP="007459F2">
      <w:pPr>
        <w:pStyle w:val="Textonotapie"/>
        <w:ind w:firstLine="708"/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Style w:val="Refdenotaalpie"/>
          <w:rFonts w:ascii="Arial" w:hAnsi="Arial" w:cs="Arial"/>
          <w:sz w:val="18"/>
          <w:szCs w:val="18"/>
        </w:rPr>
        <w:footnoteRef/>
      </w:r>
      <w:r w:rsidRPr="00487576">
        <w:rPr>
          <w:rFonts w:ascii="Arial" w:hAnsi="Arial" w:cs="Arial"/>
          <w:sz w:val="18"/>
          <w:szCs w:val="18"/>
        </w:rPr>
        <w:t xml:space="preserve"> </w:t>
      </w:r>
      <w:r w:rsidRPr="00487576">
        <w:rPr>
          <w:rFonts w:ascii="Arial" w:hAnsi="Arial" w:cs="Arial"/>
          <w:color w:val="4E4D4D"/>
          <w:sz w:val="18"/>
          <w:szCs w:val="18"/>
        </w:rPr>
        <w:t>“Artículo 11. Fondos de servicios educativos. Las instituciones educativas estatales podrán administrar Fondos de Servicios Educativos en los cuales se manejarán los recursos destinados a financiar gastos distintos a los de personal, que faciliten el funcionamiento de la institución”.</w:t>
      </w:r>
    </w:p>
    <w:p w14:paraId="78DD18EC" w14:textId="77777777" w:rsidR="007459F2" w:rsidRPr="00487576" w:rsidRDefault="007459F2" w:rsidP="007459F2">
      <w:pPr>
        <w:pStyle w:val="Textonotapie"/>
        <w:ind w:firstLine="708"/>
        <w:jc w:val="both"/>
        <w:rPr>
          <w:rFonts w:ascii="Arial" w:hAnsi="Arial" w:cs="Arial"/>
          <w:sz w:val="18"/>
          <w:szCs w:val="18"/>
          <w:lang w:val="es-419"/>
        </w:rPr>
      </w:pPr>
    </w:p>
  </w:footnote>
  <w:footnote w:id="3">
    <w:p w14:paraId="2DFDD6AF" w14:textId="342CF7CE" w:rsidR="007459F2" w:rsidRPr="007F0630" w:rsidRDefault="007459F2" w:rsidP="007F0630">
      <w:pPr>
        <w:pStyle w:val="Textonotapie"/>
        <w:ind w:firstLine="708"/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Style w:val="Refdenotaalpie"/>
          <w:rFonts w:ascii="Arial" w:hAnsi="Arial" w:cs="Arial"/>
          <w:sz w:val="18"/>
          <w:szCs w:val="18"/>
        </w:rPr>
        <w:footnoteRef/>
      </w:r>
      <w:r w:rsidRPr="00487576">
        <w:rPr>
          <w:rFonts w:ascii="Arial" w:hAnsi="Arial" w:cs="Arial"/>
          <w:sz w:val="18"/>
          <w:szCs w:val="18"/>
        </w:rPr>
        <w:t xml:space="preserve"> </w:t>
      </w:r>
      <w:r w:rsidRPr="00487576">
        <w:rPr>
          <w:rFonts w:ascii="Arial" w:hAnsi="Arial" w:cs="Arial"/>
          <w:color w:val="4E4D4D"/>
          <w:sz w:val="18"/>
          <w:szCs w:val="18"/>
        </w:rPr>
        <w:t>Consejo de Estado. Sala de lo Contencioso Administrativo. Sección Tercera.</w:t>
      </w:r>
      <w:r w:rsidR="007F0630">
        <w:rPr>
          <w:rFonts w:ascii="Arial" w:hAnsi="Arial" w:cs="Arial"/>
          <w:color w:val="4E4D4D"/>
          <w:sz w:val="18"/>
          <w:szCs w:val="18"/>
        </w:rPr>
        <w:t xml:space="preserve"> </w:t>
      </w:r>
      <w:r w:rsidR="00BF5B45">
        <w:rPr>
          <w:rFonts w:ascii="Arial" w:hAnsi="Arial" w:cs="Arial"/>
          <w:color w:val="4E4D4D"/>
          <w:sz w:val="18"/>
          <w:szCs w:val="18"/>
        </w:rPr>
        <w:t>Subsección</w:t>
      </w:r>
      <w:r w:rsidR="007F0630">
        <w:rPr>
          <w:rFonts w:ascii="Arial" w:hAnsi="Arial" w:cs="Arial"/>
          <w:color w:val="4E4D4D"/>
          <w:sz w:val="18"/>
          <w:szCs w:val="18"/>
        </w:rPr>
        <w:t xml:space="preserve"> A</w:t>
      </w:r>
      <w:r w:rsidRPr="00487576">
        <w:rPr>
          <w:rFonts w:ascii="Arial" w:hAnsi="Arial" w:cs="Arial"/>
          <w:color w:val="4E4D4D"/>
          <w:sz w:val="18"/>
          <w:szCs w:val="18"/>
        </w:rPr>
        <w:t xml:space="preserve"> Consejera Ponente: Marta Nubia Velásquez Rico. Radicación número: 68001-23-31-000-2005-03845-01(51.634).</w:t>
      </w:r>
    </w:p>
  </w:footnote>
  <w:footnote w:id="4">
    <w:p w14:paraId="6CC3CDE0" w14:textId="3C11340B" w:rsidR="007459F2" w:rsidRPr="00487576" w:rsidRDefault="007459F2" w:rsidP="00EB438F">
      <w:pPr>
        <w:pStyle w:val="Default"/>
        <w:ind w:firstLine="708"/>
        <w:jc w:val="both"/>
        <w:rPr>
          <w:color w:val="4E4D4D"/>
          <w:sz w:val="18"/>
          <w:szCs w:val="18"/>
        </w:rPr>
      </w:pPr>
      <w:r w:rsidRPr="00487576">
        <w:rPr>
          <w:rStyle w:val="Refdenotaalpie"/>
          <w:sz w:val="18"/>
          <w:szCs w:val="18"/>
        </w:rPr>
        <w:footnoteRef/>
      </w:r>
      <w:r w:rsidRPr="00487576">
        <w:rPr>
          <w:sz w:val="18"/>
          <w:szCs w:val="18"/>
        </w:rPr>
        <w:t xml:space="preserve"> </w:t>
      </w:r>
      <w:r w:rsidRPr="00487576">
        <w:rPr>
          <w:color w:val="4E4D4D"/>
          <w:sz w:val="18"/>
          <w:szCs w:val="18"/>
          <w:lang w:val="es-MX"/>
        </w:rPr>
        <w:t>“Artículo 13. Procedimientos de contratación de los fondos de servicios educativos. (…) Los actos y contratos de cuantía superior a veinte (20) salarios mínimos mensuales se regirán por las reglas de la contratación estatal, teniendo en cuenta su valor y naturaleza, y las circunstancias en las que se celebren. El Gobierno Nacional podrá indicar los casos en los cuales la cuantía señalada en el presente inciso será menor</w:t>
      </w:r>
    </w:p>
    <w:p w14:paraId="2EBE03E9" w14:textId="77777777" w:rsidR="007459F2" w:rsidRPr="00487576" w:rsidRDefault="007459F2" w:rsidP="007459F2">
      <w:pPr>
        <w:autoSpaceDE w:val="0"/>
        <w:autoSpaceDN w:val="0"/>
        <w:adjustRightInd w:val="0"/>
        <w:jc w:val="both"/>
        <w:rPr>
          <w:rFonts w:ascii="Arial" w:hAnsi="Arial" w:cs="Arial"/>
          <w:color w:val="4E4D4D"/>
          <w:sz w:val="18"/>
          <w:szCs w:val="18"/>
        </w:rPr>
      </w:pPr>
    </w:p>
    <w:p w14:paraId="74EA3E17" w14:textId="3A347767" w:rsidR="007459F2" w:rsidRDefault="007459F2" w:rsidP="00304503">
      <w:pPr>
        <w:autoSpaceDE w:val="0"/>
        <w:autoSpaceDN w:val="0"/>
        <w:adjustRightInd w:val="0"/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Fonts w:ascii="Arial" w:hAnsi="Arial" w:cs="Arial"/>
          <w:color w:val="4E4D4D"/>
          <w:sz w:val="18"/>
          <w:szCs w:val="18"/>
        </w:rPr>
        <w:t xml:space="preserve">“Con estricta sujeción a los principios y propósitos enunciados en el primer inciso de este artículo, y a los reglamentos de esta Ley, el Consejo Directivo de cada establecimiento podrá señalar, con base en la experiencia y en el análisis concreto de las necesidades del establecimiento, los trámites, garantías y constancias que deben cumplirse para que el rector o director celebre cualquier acto o contrato que cree, extinga o modifique obligaciones que deban registrarse en el Fondo, y cuya cuantía sea inferior a veinte (20) salarios mínimos mensuales. El Consejo puede exigir, además, que ciertos actos o contratos requieran una autorización suya específica”. </w:t>
      </w:r>
    </w:p>
    <w:p w14:paraId="09D5872F" w14:textId="77777777" w:rsidR="00304503" w:rsidRPr="00304503" w:rsidRDefault="00304503" w:rsidP="00304503">
      <w:pPr>
        <w:autoSpaceDE w:val="0"/>
        <w:autoSpaceDN w:val="0"/>
        <w:adjustRightInd w:val="0"/>
        <w:jc w:val="both"/>
        <w:rPr>
          <w:rFonts w:ascii="Arial" w:hAnsi="Arial" w:cs="Arial"/>
          <w:color w:val="4E4D4D"/>
          <w:sz w:val="18"/>
          <w:szCs w:val="18"/>
        </w:rPr>
      </w:pPr>
    </w:p>
  </w:footnote>
  <w:footnote w:id="5">
    <w:p w14:paraId="05D15674" w14:textId="478849DB" w:rsidR="00304503" w:rsidRPr="00304503" w:rsidRDefault="00304503" w:rsidP="006921E4">
      <w:pPr>
        <w:pStyle w:val="Textonotapie"/>
        <w:ind w:firstLine="708"/>
        <w:jc w:val="both"/>
        <w:rPr>
          <w:lang w:val="es-419"/>
        </w:rPr>
      </w:pPr>
      <w:r>
        <w:rPr>
          <w:rStyle w:val="Refdenotaalpie"/>
        </w:rPr>
        <w:footnoteRef/>
      </w:r>
      <w:r>
        <w:t xml:space="preserve"> “</w:t>
      </w:r>
      <w:r w:rsidRPr="00304503">
        <w:rPr>
          <w:rFonts w:ascii="Arial" w:hAnsi="Arial" w:cs="Arial"/>
          <w:color w:val="4E4D4D"/>
          <w:sz w:val="18"/>
          <w:szCs w:val="18"/>
        </w:rPr>
        <w:t>Decreto 1075 de 2015: “Artículo 2.3.1.6.3.5. Funciones del Consejo Directivo. (…) 6. Reglamentar mediante acuerdo los procedimientos, formalidades y garantías para toda contratación que no supere los veinte (20) salarios mínimos legales mensuales vigentes (SMLMV)”.</w:t>
      </w:r>
      <w:r w:rsidRPr="00304503">
        <w:rPr>
          <w:lang w:val="es-419"/>
        </w:rPr>
        <w:t xml:space="preserve"> </w:t>
      </w:r>
    </w:p>
  </w:footnote>
  <w:footnote w:id="6">
    <w:p w14:paraId="5616C360" w14:textId="5293BCE8" w:rsidR="00EB438F" w:rsidRDefault="007459F2" w:rsidP="00EB438F">
      <w:pPr>
        <w:pStyle w:val="Textonotapie"/>
        <w:ind w:firstLine="708"/>
        <w:jc w:val="both"/>
        <w:rPr>
          <w:rFonts w:ascii="Arial" w:hAnsi="Arial" w:cs="Arial"/>
          <w:color w:val="4E4D4D"/>
          <w:sz w:val="18"/>
          <w:szCs w:val="18"/>
        </w:rPr>
      </w:pPr>
      <w:r w:rsidRPr="00487576">
        <w:rPr>
          <w:rStyle w:val="Refdenotaalpie"/>
          <w:rFonts w:ascii="Arial" w:hAnsi="Arial" w:cs="Arial"/>
          <w:sz w:val="18"/>
          <w:szCs w:val="18"/>
        </w:rPr>
        <w:footnoteRef/>
      </w:r>
      <w:r w:rsidRPr="00487576">
        <w:rPr>
          <w:rFonts w:ascii="Arial" w:hAnsi="Arial" w:cs="Arial"/>
          <w:sz w:val="18"/>
          <w:szCs w:val="18"/>
        </w:rPr>
        <w:t xml:space="preserve">  </w:t>
      </w:r>
      <w:r w:rsidRPr="00487576">
        <w:rPr>
          <w:rFonts w:ascii="Arial" w:hAnsi="Arial" w:cs="Arial"/>
          <w:color w:val="4E4D4D"/>
          <w:sz w:val="18"/>
          <w:szCs w:val="18"/>
        </w:rPr>
        <w:t>“Artículo 68. Son entidades descentralizadas del orden nacional, los establecimientos públicos, las empresas industriales y comerciales del Estado, las sociedades públicas y las sociedades de economía mixta, las superintendencias y las unidades administrativas especiales con personería jurídica, las empresas sociales del Estado, las empresas oficiales de servicios públicos y las demás entidades creadas por la ley o con su autorización, cuyo objeto principal sea el ejercicio de funciones administrativas, la prestación de servicios públicos o la realización de actividades industriales o comerciales con personería jurídica, autonomía administrativa y patrimonio propio. Como órganos del Estado aun cuando gozan de autonomía administrativa están sujetas al control político y a la suprema dirección del órgano de la administración al cual están adscritas</w:t>
      </w:r>
      <w:r w:rsidR="0048394A">
        <w:rPr>
          <w:rFonts w:ascii="Arial" w:hAnsi="Arial" w:cs="Arial"/>
          <w:color w:val="4E4D4D"/>
          <w:sz w:val="18"/>
          <w:szCs w:val="18"/>
        </w:rPr>
        <w:t>.</w:t>
      </w:r>
    </w:p>
    <w:p w14:paraId="11036298" w14:textId="77777777" w:rsidR="00FA4311" w:rsidRPr="00487576" w:rsidRDefault="00FA4311" w:rsidP="00EB438F">
      <w:pPr>
        <w:pStyle w:val="Textonotapie"/>
        <w:ind w:firstLine="708"/>
        <w:jc w:val="both"/>
        <w:rPr>
          <w:rFonts w:ascii="Arial" w:hAnsi="Arial" w:cs="Arial"/>
          <w:color w:val="4E4D4D"/>
          <w:sz w:val="18"/>
          <w:szCs w:val="18"/>
        </w:rPr>
      </w:pPr>
    </w:p>
    <w:p w14:paraId="6B29646D" w14:textId="5AB4E78D" w:rsidR="007459F2" w:rsidRPr="00487576" w:rsidRDefault="007459F2" w:rsidP="007459F2">
      <w:pPr>
        <w:pStyle w:val="Textonotapie"/>
        <w:jc w:val="both"/>
        <w:rPr>
          <w:rFonts w:ascii="Arial" w:hAnsi="Arial" w:cs="Arial"/>
          <w:sz w:val="18"/>
          <w:szCs w:val="18"/>
          <w:lang w:val="es-419"/>
        </w:rPr>
      </w:pPr>
      <w:r w:rsidRPr="00487576">
        <w:rPr>
          <w:rFonts w:ascii="Arial" w:hAnsi="Arial" w:cs="Arial"/>
          <w:color w:val="4E4D4D"/>
          <w:sz w:val="18"/>
          <w:szCs w:val="18"/>
        </w:rPr>
        <w:t>“Parágrafo 1. De conformidad con el inciso segundo del artículo 210 de la Constitución Política, el régimen jurídico aquí previsto para las entidades descentralizadas es aplicable a las de las entidades territoriales sin perjuicio de las competencias asignadas por la Constitución y la ley a las autoridades del orden territorial”.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69FB" w14:textId="77777777" w:rsidR="009047C5" w:rsidRDefault="009047C5" w:rsidP="009047C5">
    <w:pPr>
      <w:rPr>
        <w:rFonts w:ascii="Arial" w:hAnsi="Arial" w:cs="Arial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8FC6A05" wp14:editId="48FC6A06">
          <wp:simplePos x="0" y="0"/>
          <wp:positionH relativeFrom="column">
            <wp:posOffset>4142740</wp:posOffset>
          </wp:positionH>
          <wp:positionV relativeFrom="paragraph">
            <wp:posOffset>-29210</wp:posOffset>
          </wp:positionV>
          <wp:extent cx="1500505" cy="616585"/>
          <wp:effectExtent l="0" t="0" r="4445" b="0"/>
          <wp:wrapTight wrapText="bothSides">
            <wp:wrapPolygon edited="0">
              <wp:start x="18099" y="0"/>
              <wp:lineTo x="1645" y="667"/>
              <wp:lineTo x="548" y="1335"/>
              <wp:lineTo x="548" y="18019"/>
              <wp:lineTo x="1920" y="19353"/>
              <wp:lineTo x="11243" y="20688"/>
              <wp:lineTo x="12614" y="20688"/>
              <wp:lineTo x="20019" y="19353"/>
              <wp:lineTo x="21390" y="18019"/>
              <wp:lineTo x="20841" y="1335"/>
              <wp:lineTo x="20293" y="0"/>
              <wp:lineTo x="18099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616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C69FC" w14:textId="77777777" w:rsidR="009047C5" w:rsidRDefault="009047C5" w:rsidP="009047C5">
    <w:pPr>
      <w:jc w:val="right"/>
      <w:rPr>
        <w:rFonts w:ascii="Arial" w:hAnsi="Arial" w:cs="Arial"/>
        <w:i/>
        <w:sz w:val="18"/>
        <w:szCs w:val="20"/>
      </w:rPr>
    </w:pPr>
  </w:p>
  <w:p w14:paraId="48FC69FD" w14:textId="77777777" w:rsidR="009047C5" w:rsidRDefault="009047C5" w:rsidP="009047C5">
    <w:pPr>
      <w:jc w:val="right"/>
      <w:rPr>
        <w:rFonts w:ascii="Arial" w:hAnsi="Arial" w:cs="Arial"/>
        <w:i/>
        <w:sz w:val="18"/>
        <w:szCs w:val="20"/>
      </w:rPr>
    </w:pPr>
  </w:p>
  <w:p w14:paraId="48FC69FE" w14:textId="77777777" w:rsidR="009047C5" w:rsidRDefault="009047C5" w:rsidP="009047C5">
    <w:pPr>
      <w:jc w:val="right"/>
      <w:rPr>
        <w:rFonts w:ascii="Arial" w:hAnsi="Arial" w:cs="Arial"/>
        <w:i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E6C"/>
    <w:multiLevelType w:val="multilevel"/>
    <w:tmpl w:val="83640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41044"/>
    <w:multiLevelType w:val="hybridMultilevel"/>
    <w:tmpl w:val="83640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9AB"/>
    <w:multiLevelType w:val="hybridMultilevel"/>
    <w:tmpl w:val="F7E4801A"/>
    <w:lvl w:ilvl="0" w:tplc="07686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E63A8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2A3E"/>
    <w:multiLevelType w:val="hybridMultilevel"/>
    <w:tmpl w:val="C2A4B150"/>
    <w:lvl w:ilvl="0" w:tplc="8C6207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6BFF7097"/>
    <w:multiLevelType w:val="hybridMultilevel"/>
    <w:tmpl w:val="C2A4B150"/>
    <w:lvl w:ilvl="0" w:tplc="8C6207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7E9D0EDA"/>
    <w:multiLevelType w:val="hybridMultilevel"/>
    <w:tmpl w:val="2BDAB8F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5A"/>
    <w:rsid w:val="000942EB"/>
    <w:rsid w:val="000B103F"/>
    <w:rsid w:val="000F14E8"/>
    <w:rsid w:val="00103915"/>
    <w:rsid w:val="00122B23"/>
    <w:rsid w:val="00137FFA"/>
    <w:rsid w:val="001559CC"/>
    <w:rsid w:val="00180223"/>
    <w:rsid w:val="001B4832"/>
    <w:rsid w:val="00234B84"/>
    <w:rsid w:val="00237485"/>
    <w:rsid w:val="002A153D"/>
    <w:rsid w:val="002A6FFA"/>
    <w:rsid w:val="002F029D"/>
    <w:rsid w:val="002F7E36"/>
    <w:rsid w:val="003033BA"/>
    <w:rsid w:val="00304503"/>
    <w:rsid w:val="0034680A"/>
    <w:rsid w:val="003475BF"/>
    <w:rsid w:val="00364CE1"/>
    <w:rsid w:val="00386456"/>
    <w:rsid w:val="003A581E"/>
    <w:rsid w:val="003A6F88"/>
    <w:rsid w:val="00416B09"/>
    <w:rsid w:val="004422D6"/>
    <w:rsid w:val="0048394A"/>
    <w:rsid w:val="00487576"/>
    <w:rsid w:val="004A4547"/>
    <w:rsid w:val="004C088E"/>
    <w:rsid w:val="0051074C"/>
    <w:rsid w:val="00513AF2"/>
    <w:rsid w:val="005405B2"/>
    <w:rsid w:val="0054413A"/>
    <w:rsid w:val="005564CA"/>
    <w:rsid w:val="005A1FA2"/>
    <w:rsid w:val="005D4B31"/>
    <w:rsid w:val="005E04BF"/>
    <w:rsid w:val="00655371"/>
    <w:rsid w:val="006627F7"/>
    <w:rsid w:val="00674892"/>
    <w:rsid w:val="00681D4E"/>
    <w:rsid w:val="006921E4"/>
    <w:rsid w:val="00697665"/>
    <w:rsid w:val="006A7FD0"/>
    <w:rsid w:val="006B2580"/>
    <w:rsid w:val="006D7687"/>
    <w:rsid w:val="006E0572"/>
    <w:rsid w:val="00705631"/>
    <w:rsid w:val="00735F0E"/>
    <w:rsid w:val="00740633"/>
    <w:rsid w:val="00742DD2"/>
    <w:rsid w:val="007459F2"/>
    <w:rsid w:val="0075647A"/>
    <w:rsid w:val="007634AD"/>
    <w:rsid w:val="007750B8"/>
    <w:rsid w:val="0078122E"/>
    <w:rsid w:val="007E565B"/>
    <w:rsid w:val="007F0630"/>
    <w:rsid w:val="007F2164"/>
    <w:rsid w:val="007F72CB"/>
    <w:rsid w:val="00800A36"/>
    <w:rsid w:val="008019C0"/>
    <w:rsid w:val="0083119B"/>
    <w:rsid w:val="00836EAB"/>
    <w:rsid w:val="0085092D"/>
    <w:rsid w:val="008D2194"/>
    <w:rsid w:val="008E1C15"/>
    <w:rsid w:val="008F39C5"/>
    <w:rsid w:val="009047C5"/>
    <w:rsid w:val="009360BE"/>
    <w:rsid w:val="0095385A"/>
    <w:rsid w:val="009F3B91"/>
    <w:rsid w:val="00A1127A"/>
    <w:rsid w:val="00A24560"/>
    <w:rsid w:val="00A34538"/>
    <w:rsid w:val="00AA442B"/>
    <w:rsid w:val="00AD331B"/>
    <w:rsid w:val="00AD4B8F"/>
    <w:rsid w:val="00AF1DE8"/>
    <w:rsid w:val="00B22E22"/>
    <w:rsid w:val="00B525CB"/>
    <w:rsid w:val="00B63CB2"/>
    <w:rsid w:val="00BD78FE"/>
    <w:rsid w:val="00BF5256"/>
    <w:rsid w:val="00BF5B45"/>
    <w:rsid w:val="00C844AF"/>
    <w:rsid w:val="00CC00CD"/>
    <w:rsid w:val="00D04014"/>
    <w:rsid w:val="00D16E39"/>
    <w:rsid w:val="00D534BE"/>
    <w:rsid w:val="00D72E9D"/>
    <w:rsid w:val="00D82CE5"/>
    <w:rsid w:val="00D84450"/>
    <w:rsid w:val="00DA5AB1"/>
    <w:rsid w:val="00DC62E5"/>
    <w:rsid w:val="00DD735D"/>
    <w:rsid w:val="00DE2A14"/>
    <w:rsid w:val="00DE3119"/>
    <w:rsid w:val="00DF236B"/>
    <w:rsid w:val="00E068DB"/>
    <w:rsid w:val="00E13AB8"/>
    <w:rsid w:val="00E33B62"/>
    <w:rsid w:val="00E96165"/>
    <w:rsid w:val="00EB438F"/>
    <w:rsid w:val="00ED02DA"/>
    <w:rsid w:val="00F859F0"/>
    <w:rsid w:val="00FA4311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C69B5"/>
  <w15:docId w15:val="{C31D0A22-2FF0-4CBA-A8CA-3DB1845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38"/>
    <w:pPr>
      <w:spacing w:after="0" w:line="240" w:lineRule="auto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345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38"/>
    <w:rPr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5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538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047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7C5"/>
    <w:rPr>
      <w:sz w:val="24"/>
      <w:lang w:val="es-MX"/>
    </w:rPr>
  </w:style>
  <w:style w:type="table" w:styleId="Tablaconcuadrcula">
    <w:name w:val="Table Grid"/>
    <w:basedOn w:val="Tablanormal"/>
    <w:uiPriority w:val="59"/>
    <w:rsid w:val="0090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47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A5A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5A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5AB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5A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5AB1"/>
    <w:rPr>
      <w:b/>
      <w:bCs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85092D"/>
    <w:rPr>
      <w:color w:val="F2F2F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B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59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59F2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7459F2"/>
    <w:rPr>
      <w:vertAlign w:val="superscript"/>
    </w:rPr>
  </w:style>
  <w:style w:type="paragraph" w:customStyle="1" w:styleId="Default">
    <w:name w:val="Default"/>
    <w:rsid w:val="00745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mena.cabezas\AppData\Local\Microsoft\Windows\INetCache\Content.Outlook\N37DCYCK\Respuesta%20a%20consultas.dotm" TargetMode="Externa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rgbClr val="DBDBDB"/>
      </a:lt1>
      <a:dk2>
        <a:srgbClr val="0E63A8"/>
      </a:dk2>
      <a:lt2>
        <a:srgbClr val="F2F2F2"/>
      </a:lt2>
      <a:accent1>
        <a:srgbClr val="4F81BD"/>
      </a:accent1>
      <a:accent2>
        <a:srgbClr val="FFFFFF"/>
      </a:accent2>
      <a:accent3>
        <a:srgbClr val="DBDBDB"/>
      </a:accent3>
      <a:accent4>
        <a:srgbClr val="F2F2F2"/>
      </a:accent4>
      <a:accent5>
        <a:srgbClr val="F2F2F2"/>
      </a:accent5>
      <a:accent6>
        <a:srgbClr val="F2F2F2"/>
      </a:accent6>
      <a:hlink>
        <a:srgbClr val="F2F2F2"/>
      </a:hlink>
      <a:folHlink>
        <a:srgbClr val="F2F2F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21DE8-0FAB-4FEA-A3E3-3374BA91C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4ACD3-7185-4723-AD6A-D39EFE707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AACCB-338D-4E1C-91B3-8763C3BB1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D2540-6A82-46D6-8169-24F659DF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a consultas</Template>
  <TotalTime>0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DIRECCIÓN CONTRACTUAL</vt:lpstr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DIRECCIÓN CONTRACTUAL</dc:title>
  <dc:creator>felipe.munoz@colombiacompra.gov.co</dc:creator>
  <cp:lastModifiedBy>Nina María Padrón</cp:lastModifiedBy>
  <cp:revision>2</cp:revision>
  <dcterms:created xsi:type="dcterms:W3CDTF">2020-08-24T15:49:00Z</dcterms:created>
  <dcterms:modified xsi:type="dcterms:W3CDTF">2020-08-24T15:49:00Z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