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18E3988C" w:rsidR="005204A7" w:rsidRDefault="003D4BD3" w:rsidP="005204A7">
      <w:pPr>
        <w:jc w:val="both"/>
        <w:rPr>
          <w:rFonts w:ascii="Arial" w:eastAsia="Calibri" w:hAnsi="Arial" w:cs="Arial"/>
          <w:b/>
          <w:color w:val="000000" w:themeColor="text1"/>
          <w:sz w:val="22"/>
        </w:rPr>
      </w:pPr>
      <w:r>
        <w:rPr>
          <w:rFonts w:ascii="Arial" w:eastAsia="Calibri" w:hAnsi="Arial" w:cs="Arial"/>
          <w:b/>
          <w:color w:val="000000" w:themeColor="text1"/>
          <w:sz w:val="22"/>
        </w:rPr>
        <w:t>PROPONENTE PLURAL</w:t>
      </w:r>
      <w:r w:rsidR="00D02A84" w:rsidRPr="00D02A84">
        <w:rPr>
          <w:rFonts w:ascii="Arial" w:eastAsia="Calibri" w:hAnsi="Arial" w:cs="Arial"/>
          <w:b/>
          <w:color w:val="000000" w:themeColor="text1"/>
          <w:sz w:val="22"/>
        </w:rPr>
        <w:t xml:space="preserve"> ‒ </w:t>
      </w:r>
      <w:r>
        <w:rPr>
          <w:rFonts w:ascii="Arial" w:eastAsia="Calibri" w:hAnsi="Arial" w:cs="Arial"/>
          <w:b/>
          <w:color w:val="000000" w:themeColor="text1"/>
          <w:sz w:val="22"/>
        </w:rPr>
        <w:t>Consorcio</w:t>
      </w:r>
      <w:r w:rsidR="00D02A84" w:rsidRPr="00D02A84">
        <w:rPr>
          <w:rFonts w:ascii="Arial" w:eastAsia="Calibri" w:hAnsi="Arial" w:cs="Arial"/>
          <w:b/>
          <w:color w:val="000000" w:themeColor="text1"/>
          <w:sz w:val="22"/>
        </w:rPr>
        <w:t xml:space="preserve"> ‒ </w:t>
      </w:r>
      <w:r>
        <w:rPr>
          <w:rFonts w:ascii="Arial" w:eastAsia="Calibri" w:hAnsi="Arial" w:cs="Arial"/>
          <w:b/>
          <w:color w:val="000000" w:themeColor="text1"/>
          <w:sz w:val="22"/>
        </w:rPr>
        <w:t>Unión temporal</w:t>
      </w:r>
      <w:r w:rsidR="00D02A84" w:rsidRPr="00D02A84">
        <w:rPr>
          <w:rFonts w:ascii="Arial" w:eastAsia="Calibri" w:hAnsi="Arial" w:cs="Arial"/>
          <w:b/>
          <w:color w:val="000000" w:themeColor="text1"/>
          <w:sz w:val="22"/>
        </w:rPr>
        <w:t xml:space="preserve"> ‒ </w:t>
      </w:r>
      <w:r>
        <w:rPr>
          <w:rFonts w:ascii="Arial" w:eastAsia="Calibri" w:hAnsi="Arial" w:cs="Arial"/>
          <w:b/>
          <w:color w:val="000000" w:themeColor="text1"/>
          <w:sz w:val="22"/>
        </w:rPr>
        <w:t>Concepto – Diferencias</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7A416A87" w14:textId="4EEB5627" w:rsidR="005204A7" w:rsidRPr="006C15D5" w:rsidRDefault="0077638E" w:rsidP="00DE57DA">
      <w:pPr>
        <w:jc w:val="both"/>
        <w:rPr>
          <w:rFonts w:ascii="Arial" w:eastAsia="Calibri" w:hAnsi="Arial" w:cs="Arial"/>
          <w:bCs/>
          <w:color w:val="000000" w:themeColor="text1"/>
          <w:sz w:val="20"/>
          <w:szCs w:val="20"/>
        </w:rPr>
      </w:pPr>
      <w:r w:rsidRPr="0077638E">
        <w:rPr>
          <w:rFonts w:ascii="Arial" w:eastAsia="Calibri" w:hAnsi="Arial" w:cs="Arial"/>
          <w:bCs/>
          <w:color w:val="000000" w:themeColor="text1"/>
          <w:sz w:val="20"/>
          <w:szCs w:val="20"/>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00DE57DA" w:rsidRPr="00DE57DA">
        <w:rPr>
          <w:rFonts w:ascii="Arial" w:eastAsia="Calibri" w:hAnsi="Arial" w:cs="Arial"/>
          <w:bCs/>
          <w:color w:val="000000" w:themeColor="text1"/>
          <w:sz w:val="20"/>
          <w:szCs w:val="20"/>
        </w:rPr>
        <w:t>.</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27F20549" w:rsidR="005204A7" w:rsidRDefault="00B3678E"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PLIEGO TIPO – Licitación pública – Versión 2 – Proponente plural – </w:t>
      </w:r>
      <w:r w:rsidR="00780C18">
        <w:rPr>
          <w:rFonts w:ascii="Arial" w:eastAsia="Calibri" w:hAnsi="Arial" w:cs="Arial"/>
          <w:b/>
          <w:color w:val="000000" w:themeColor="text1"/>
          <w:sz w:val="22"/>
        </w:rPr>
        <w:t>V</w:t>
      </w:r>
      <w:r>
        <w:rPr>
          <w:rFonts w:ascii="Arial" w:eastAsia="Calibri" w:hAnsi="Arial" w:cs="Arial"/>
          <w:b/>
          <w:color w:val="000000" w:themeColor="text1"/>
          <w:sz w:val="22"/>
        </w:rPr>
        <w:t xml:space="preserve">igencia </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69ABECAC" w:rsidR="00295636" w:rsidRDefault="00B3678E" w:rsidP="005204A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B3678E">
        <w:rPr>
          <w:rFonts w:ascii="Arial" w:eastAsia="Calibri" w:hAnsi="Arial" w:cs="Arial"/>
          <w:color w:val="000000" w:themeColor="text1"/>
          <w:sz w:val="20"/>
          <w:szCs w:val="20"/>
        </w:rPr>
        <w:t xml:space="preserve">la entidad no puede ampliar ni restringir el alcance </w:t>
      </w:r>
      <w:r w:rsidR="00AF387F">
        <w:rPr>
          <w:rFonts w:ascii="Arial" w:eastAsia="Calibri" w:hAnsi="Arial" w:cs="Arial"/>
          <w:color w:val="000000" w:themeColor="text1"/>
          <w:sz w:val="20"/>
          <w:szCs w:val="20"/>
        </w:rPr>
        <w:t>d</w:t>
      </w:r>
      <w:r w:rsidRPr="00B3678E">
        <w:rPr>
          <w:rFonts w:ascii="Arial" w:eastAsia="Calibri" w:hAnsi="Arial" w:cs="Arial"/>
          <w:color w:val="000000" w:themeColor="text1"/>
          <w:sz w:val="20"/>
          <w:szCs w:val="20"/>
        </w:rPr>
        <w:t xml:space="preserve">el </w:t>
      </w:r>
      <w:r w:rsidR="00AF387F">
        <w:rPr>
          <w:rFonts w:ascii="Arial" w:eastAsia="Calibri" w:hAnsi="Arial" w:cs="Arial"/>
          <w:color w:val="000000" w:themeColor="text1"/>
          <w:sz w:val="20"/>
          <w:szCs w:val="20"/>
        </w:rPr>
        <w:t>[…]</w:t>
      </w:r>
      <w:r w:rsidRPr="00B3678E">
        <w:rPr>
          <w:rFonts w:ascii="Arial" w:eastAsia="Calibri" w:hAnsi="Arial" w:cs="Arial"/>
          <w:color w:val="000000" w:themeColor="text1"/>
          <w:sz w:val="20"/>
          <w:szCs w:val="20"/>
        </w:rPr>
        <w:t xml:space="preserve"> numeral 3.3.3, literal D, del pliego. Para entender su alcance es necesario tener en cuenta que el año adicional de vigencia comienza al finalizar el plazo de ejecución del contrato. A esto se refiere el documento base cuando dispone que «[…] la vigencia de la estructura plural no sea inferior a la del plazo del contrato y un año adicional […]». Aunque la segunda parte de la disposición indica que «[…] Para efectos de la evaluación, </w:t>
      </w:r>
      <w:r w:rsidRPr="00AF387F">
        <w:rPr>
          <w:rFonts w:ascii="Arial" w:eastAsia="Calibri" w:hAnsi="Arial" w:cs="Arial"/>
          <w:i/>
          <w:iCs/>
          <w:color w:val="000000" w:themeColor="text1"/>
          <w:sz w:val="20"/>
          <w:szCs w:val="20"/>
        </w:rPr>
        <w:t>este plazo</w:t>
      </w:r>
      <w:r w:rsidRPr="00B3678E">
        <w:rPr>
          <w:rFonts w:ascii="Arial" w:eastAsia="Calibri" w:hAnsi="Arial" w:cs="Arial"/>
          <w:color w:val="000000" w:themeColor="text1"/>
          <w:sz w:val="20"/>
          <w:szCs w:val="20"/>
        </w:rPr>
        <w:t xml:space="preserve"> será contado a partir de la fecha del cierre del Proceso de Contratación»  –énfasis fuera de texto–, es claro la expresión «este plazo» se refiere a la «vigencia de la estructura plural»</w:t>
      </w:r>
      <w:r w:rsidR="00295636" w:rsidRPr="00295636">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6C448CD2" w14:textId="472ED3ED" w:rsidR="005204A7" w:rsidRDefault="00282D8F" w:rsidP="005204A7">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FORMATO 2 – Unión </w:t>
      </w:r>
      <w:r w:rsidR="00A648E0">
        <w:rPr>
          <w:rFonts w:ascii="Arial" w:eastAsia="Calibri" w:hAnsi="Arial" w:cs="Arial"/>
          <w:b/>
          <w:color w:val="000000" w:themeColor="text1"/>
          <w:sz w:val="22"/>
        </w:rPr>
        <w:t>t</w:t>
      </w:r>
      <w:r>
        <w:rPr>
          <w:rFonts w:ascii="Arial" w:eastAsia="Calibri" w:hAnsi="Arial" w:cs="Arial"/>
          <w:b/>
          <w:color w:val="000000" w:themeColor="text1"/>
          <w:sz w:val="22"/>
        </w:rPr>
        <w:t xml:space="preserve">emporal </w:t>
      </w:r>
    </w:p>
    <w:p w14:paraId="1CDB5685" w14:textId="77777777" w:rsidR="005204A7" w:rsidRDefault="005204A7" w:rsidP="005204A7">
      <w:pPr>
        <w:jc w:val="both"/>
        <w:rPr>
          <w:rFonts w:ascii="Arial" w:eastAsia="Calibri" w:hAnsi="Arial" w:cs="Arial"/>
          <w:b/>
          <w:color w:val="000000" w:themeColor="text1"/>
          <w:sz w:val="20"/>
          <w:szCs w:val="20"/>
        </w:rPr>
      </w:pPr>
    </w:p>
    <w:p w14:paraId="67B619AD" w14:textId="7B0050A6" w:rsidR="00295636" w:rsidRDefault="00282D8F" w:rsidP="00A648E0">
      <w:pPr>
        <w:jc w:val="both"/>
        <w:rPr>
          <w:rFonts w:ascii="Arial" w:eastAsia="Calibri" w:hAnsi="Arial" w:cs="Arial"/>
          <w:bCs/>
          <w:color w:val="000000" w:themeColor="text1"/>
          <w:sz w:val="20"/>
          <w:szCs w:val="20"/>
          <w:lang w:val="es-ES"/>
        </w:rPr>
      </w:pPr>
      <w:r w:rsidRPr="00282D8F">
        <w:rPr>
          <w:rFonts w:ascii="Arial" w:eastAsia="Calibri" w:hAnsi="Arial" w:cs="Arial"/>
          <w:bCs/>
          <w:color w:val="000000" w:themeColor="text1"/>
          <w:sz w:val="20"/>
          <w:szCs w:val="20"/>
          <w:lang w:val="es-ES"/>
        </w:rPr>
        <w:t>No obstante, cuando el «Formato 2B» señala que la unión temporal «[…] no será inferior al del plazo de ejecución del contrato y un año adicional contado a partir de la fecha del cierre del Proceso de Contratación», es posible concluir que la vigencia de la estructura plural es de un año contado a partir del cierre del procedimiento mas el plazo de ejecución del contrato –</w:t>
      </w:r>
      <w:r w:rsidRPr="00282D8F">
        <w:rPr>
          <w:rFonts w:ascii="Arial" w:eastAsia="Calibri" w:hAnsi="Arial" w:cs="Arial"/>
          <w:bCs/>
          <w:i/>
          <w:iCs/>
          <w:color w:val="000000" w:themeColor="text1"/>
          <w:sz w:val="20"/>
          <w:szCs w:val="20"/>
          <w:lang w:val="es-ES"/>
        </w:rPr>
        <w:t>primera postura</w:t>
      </w:r>
      <w:r w:rsidRPr="00282D8F">
        <w:rPr>
          <w:rFonts w:ascii="Arial" w:eastAsia="Calibri" w:hAnsi="Arial" w:cs="Arial"/>
          <w:bCs/>
          <w:color w:val="000000" w:themeColor="text1"/>
          <w:sz w:val="20"/>
          <w:szCs w:val="20"/>
          <w:lang w:val="es-ES"/>
        </w:rPr>
        <w:t>–, o que, contada desde el cierre, no puede ser inferior al plazo del contrato y un año adicional desde el vencimiento del término de ejecución –</w:t>
      </w:r>
      <w:r w:rsidRPr="00282D8F">
        <w:rPr>
          <w:rFonts w:ascii="Arial" w:eastAsia="Calibri" w:hAnsi="Arial" w:cs="Arial"/>
          <w:bCs/>
          <w:i/>
          <w:iCs/>
          <w:color w:val="000000" w:themeColor="text1"/>
          <w:sz w:val="20"/>
          <w:szCs w:val="20"/>
          <w:lang w:val="es-ES"/>
        </w:rPr>
        <w:t>segunda postura</w:t>
      </w:r>
      <w:r w:rsidRPr="00282D8F">
        <w:rPr>
          <w:rFonts w:ascii="Arial" w:eastAsia="Calibri" w:hAnsi="Arial" w:cs="Arial"/>
          <w:bCs/>
          <w:color w:val="000000" w:themeColor="text1"/>
          <w:sz w:val="20"/>
          <w:szCs w:val="20"/>
          <w:lang w:val="es-ES"/>
        </w:rPr>
        <w:t xml:space="preserve">–. En esta medida, la contradicción con el documento base es producto de la interpretación del numeral 1 del «Formato 2B – Documento de Conformación de Unión Temporal», pues la incongruencia solo surge si se adopta la primera postura; pero como se explicó </w:t>
      </w:r>
      <w:r w:rsidRPr="00282D8F">
        <w:rPr>
          <w:rFonts w:ascii="Arial" w:eastAsia="Calibri" w:hAnsi="Arial" w:cs="Arial"/>
          <w:bCs/>
          <w:i/>
          <w:iCs/>
          <w:color w:val="000000" w:themeColor="text1"/>
          <w:sz w:val="20"/>
          <w:szCs w:val="20"/>
          <w:lang w:val="es-ES"/>
        </w:rPr>
        <w:t>ut supra</w:t>
      </w:r>
      <w:r w:rsidRPr="00282D8F">
        <w:rPr>
          <w:rFonts w:ascii="Arial" w:eastAsia="Calibri" w:hAnsi="Arial" w:cs="Arial"/>
          <w:bCs/>
          <w:color w:val="000000" w:themeColor="text1"/>
          <w:sz w:val="20"/>
          <w:szCs w:val="20"/>
          <w:lang w:val="es-ES"/>
        </w:rPr>
        <w:t xml:space="preserve"> esta idea es insostenible, ya que el pliego –al igual que el «Formato 2A»– exige que el año adicional se cuente después de la terminación del contrato</w:t>
      </w:r>
      <w:r w:rsidR="00295636" w:rsidRPr="00295636">
        <w:rPr>
          <w:rFonts w:ascii="Arial" w:eastAsia="Calibri" w:hAnsi="Arial" w:cs="Arial"/>
          <w:bCs/>
          <w:color w:val="000000" w:themeColor="text1"/>
          <w:sz w:val="20"/>
          <w:szCs w:val="20"/>
          <w:lang w:val="es-ES"/>
        </w:rPr>
        <w:t>.</w:t>
      </w:r>
    </w:p>
    <w:p w14:paraId="4F5F72A1" w14:textId="77777777" w:rsidR="00A648E0" w:rsidRDefault="00A648E0" w:rsidP="00A648E0">
      <w:pPr>
        <w:jc w:val="both"/>
        <w:rPr>
          <w:rFonts w:ascii="Arial" w:eastAsia="Calibri" w:hAnsi="Arial" w:cs="Arial"/>
          <w:b/>
          <w:color w:val="000000" w:themeColor="text1"/>
          <w:sz w:val="22"/>
        </w:rPr>
      </w:pPr>
    </w:p>
    <w:p w14:paraId="5622F527" w14:textId="3528E811" w:rsidR="00282D8F" w:rsidRPr="00295636" w:rsidRDefault="00A648E0" w:rsidP="00A648E0">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UNIÓN TEMPORAL – Formato 2B – Pliego tipo – Interpretación sistemática</w:t>
      </w:r>
    </w:p>
    <w:p w14:paraId="4A61ECE4" w14:textId="77777777" w:rsidR="00A648E0" w:rsidRDefault="00A648E0" w:rsidP="005204A7">
      <w:pPr>
        <w:jc w:val="both"/>
        <w:rPr>
          <w:rFonts w:ascii="Arial" w:eastAsia="Calibri" w:hAnsi="Arial" w:cs="Arial"/>
          <w:bCs/>
          <w:color w:val="000000" w:themeColor="text1"/>
          <w:sz w:val="20"/>
          <w:szCs w:val="20"/>
          <w:lang w:val="es-ES"/>
        </w:rPr>
      </w:pPr>
    </w:p>
    <w:p w14:paraId="3F60EF7C" w14:textId="7AB344C3" w:rsidR="004F31BC" w:rsidRPr="00037414" w:rsidRDefault="00780C18" w:rsidP="005204A7">
      <w:pPr>
        <w:jc w:val="both"/>
        <w:rPr>
          <w:rFonts w:ascii="Arial" w:eastAsia="Calibri" w:hAnsi="Arial" w:cs="Arial"/>
          <w:bCs/>
          <w:color w:val="000000" w:themeColor="text1"/>
          <w:sz w:val="20"/>
          <w:szCs w:val="20"/>
        </w:rPr>
      </w:pPr>
      <w:r w:rsidRPr="00780C18">
        <w:rPr>
          <w:rFonts w:ascii="Arial" w:eastAsia="Calibri" w:hAnsi="Arial" w:cs="Arial"/>
          <w:bCs/>
          <w:color w:val="000000" w:themeColor="text1"/>
          <w:sz w:val="20"/>
          <w:szCs w:val="20"/>
          <w:lang w:val="es-ES"/>
        </w:rPr>
        <w:t>Por tanto, para efectos del numeral 1 del «Formato 2B», debe entenderse que las uniones temporales tienen una vigencia que, desde el cierre del procedimiento de selección,  no puede ser inferior al plazo del contrato y un año adicional a este último. Esto es congruente con el literal D del numeral 3.3.3 del pliego tipo, en la medida que los proponentes plurales –después del cierre, conforme a la exigencia del documento base– deben mantener su capacidad contractual durante la evaluación de las propuestas, la ejecución del contrato y el año adicional, especialmente, cuando carece de sentido que este último plazo se cuente desde la etapa posterior a la entrega de las propuestas, ya que no existe cumplimiento de las obligaciones contractuales durante la selección del contratista</w:t>
      </w:r>
      <w:r w:rsidR="004F31BC">
        <w:rPr>
          <w:rFonts w:ascii="Arial" w:eastAsia="Calibri" w:hAnsi="Arial" w:cs="Arial"/>
          <w:color w:val="000000" w:themeColor="text1"/>
          <w:sz w:val="20"/>
          <w:szCs w:val="20"/>
        </w:rPr>
        <w:t>.</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6C2D1181" w14:textId="4B32024A" w:rsidR="00387D0F" w:rsidRDefault="00387D0F" w:rsidP="00387D0F">
      <w:pPr>
        <w:rPr>
          <w:rFonts w:ascii="Arial" w:hAnsi="Arial" w:cs="Arial"/>
          <w:b/>
          <w:sz w:val="22"/>
          <w:szCs w:val="20"/>
        </w:rPr>
      </w:pPr>
      <w:r w:rsidRPr="00387D0F">
        <w:rPr>
          <w:rFonts w:ascii="Arial" w:hAnsi="Arial" w:cs="Arial"/>
          <w:sz w:val="22"/>
          <w:szCs w:val="20"/>
        </w:rPr>
        <w:lastRenderedPageBreak/>
        <w:t xml:space="preserve">Bogotá D.C., </w:t>
      </w:r>
      <w:r w:rsidR="00037B4E" w:rsidRPr="00037B4E">
        <w:rPr>
          <w:rFonts w:ascii="Arial" w:hAnsi="Arial" w:cs="Arial"/>
          <w:b/>
          <w:sz w:val="22"/>
          <w:szCs w:val="20"/>
        </w:rPr>
        <w:t>09/09/2020 Hora 17:27:0s</w:t>
      </w:r>
    </w:p>
    <w:p w14:paraId="355C471E" w14:textId="77777777" w:rsidR="00387D0F" w:rsidRPr="00387D0F" w:rsidRDefault="00387D0F" w:rsidP="00387D0F">
      <w:pPr>
        <w:rPr>
          <w:rFonts w:ascii="Arial" w:hAnsi="Arial" w:cs="Arial"/>
          <w:b/>
          <w:sz w:val="22"/>
          <w:szCs w:val="20"/>
        </w:rPr>
      </w:pPr>
    </w:p>
    <w:p w14:paraId="18057FBF" w14:textId="33D30329" w:rsidR="00387D0F" w:rsidRPr="00387D0F" w:rsidRDefault="00387D0F" w:rsidP="00387D0F">
      <w:pPr>
        <w:jc w:val="right"/>
        <w:rPr>
          <w:rFonts w:ascii="Arial" w:hAnsi="Arial" w:cs="Arial"/>
          <w:b/>
          <w:sz w:val="22"/>
          <w:szCs w:val="20"/>
        </w:rPr>
      </w:pPr>
      <w:proofErr w:type="spellStart"/>
      <w:r w:rsidRPr="00387D0F">
        <w:rPr>
          <w:rFonts w:ascii="Arial" w:hAnsi="Arial" w:cs="Arial"/>
          <w:b/>
          <w:sz w:val="22"/>
          <w:szCs w:val="20"/>
        </w:rPr>
        <w:t>N°</w:t>
      </w:r>
      <w:proofErr w:type="spellEnd"/>
      <w:r w:rsidRPr="00387D0F">
        <w:rPr>
          <w:rFonts w:ascii="Arial" w:hAnsi="Arial" w:cs="Arial"/>
          <w:b/>
          <w:sz w:val="22"/>
          <w:szCs w:val="20"/>
        </w:rPr>
        <w:t xml:space="preserve"> Radicado: </w:t>
      </w:r>
      <w:r w:rsidR="00037B4E" w:rsidRPr="00037B4E">
        <w:rPr>
          <w:rFonts w:ascii="Arial" w:hAnsi="Arial" w:cs="Arial"/>
          <w:b/>
          <w:sz w:val="22"/>
          <w:szCs w:val="20"/>
        </w:rPr>
        <w:t>2202013000008603</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71FB5826" w14:textId="19ECF5A6" w:rsidR="00E6266E" w:rsidRDefault="00E6266E" w:rsidP="00BE1E33">
      <w:pPr>
        <w:rPr>
          <w:rFonts w:ascii="Arial" w:eastAsia="Calibri" w:hAnsi="Arial" w:cs="Arial"/>
          <w:b/>
          <w:color w:val="000000" w:themeColor="text1"/>
          <w:sz w:val="22"/>
        </w:rPr>
      </w:pPr>
      <w:r w:rsidRPr="00E6266E">
        <w:rPr>
          <w:rFonts w:ascii="Arial" w:eastAsia="Calibri" w:hAnsi="Arial" w:cs="Arial"/>
          <w:b/>
          <w:color w:val="000000" w:themeColor="text1"/>
          <w:sz w:val="22"/>
        </w:rPr>
        <w:t>Hebert Leonardo Camargo</w:t>
      </w:r>
    </w:p>
    <w:p w14:paraId="04EF8353" w14:textId="4BEE57FE" w:rsidR="00BE1E33" w:rsidRPr="006C15D5" w:rsidRDefault="00E6266E" w:rsidP="00BE1E33">
      <w:pPr>
        <w:rPr>
          <w:rFonts w:ascii="Arial" w:eastAsia="Calibri" w:hAnsi="Arial" w:cs="Arial"/>
          <w:color w:val="000000" w:themeColor="text1"/>
          <w:sz w:val="22"/>
        </w:rPr>
      </w:pPr>
      <w:r w:rsidRPr="00E6266E">
        <w:rPr>
          <w:rFonts w:ascii="Arial" w:eastAsia="Calibri" w:hAnsi="Arial" w:cs="Arial"/>
          <w:color w:val="000000" w:themeColor="text1"/>
          <w:sz w:val="22"/>
        </w:rPr>
        <w:t>Villavicencio</w:t>
      </w:r>
      <w:r>
        <w:rPr>
          <w:rFonts w:ascii="Arial" w:eastAsia="Calibri" w:hAnsi="Arial" w:cs="Arial"/>
          <w:color w:val="000000" w:themeColor="text1"/>
          <w:sz w:val="22"/>
        </w:rPr>
        <w:t>, Meta</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6B90DE12"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F1B9C">
        <w:rPr>
          <w:rFonts w:ascii="Arial" w:eastAsia="Calibri" w:hAnsi="Arial" w:cs="Arial"/>
          <w:b/>
          <w:color w:val="000000" w:themeColor="text1"/>
          <w:sz w:val="22"/>
        </w:rPr>
        <w:t>51</w:t>
      </w:r>
      <w:r w:rsidR="00127F76">
        <w:rPr>
          <w:rFonts w:ascii="Arial" w:eastAsia="Calibri" w:hAnsi="Arial" w:cs="Arial"/>
          <w:b/>
          <w:color w:val="000000" w:themeColor="text1"/>
          <w:sz w:val="22"/>
        </w:rPr>
        <w:t>8</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7F48991A" w:rsidR="00BE1E33" w:rsidRPr="006C15D5" w:rsidRDefault="00A648E0">
            <w:pPr>
              <w:jc w:val="both"/>
              <w:rPr>
                <w:rFonts w:ascii="Arial" w:eastAsia="Calibri" w:hAnsi="Arial" w:cs="Arial"/>
                <w:color w:val="000000" w:themeColor="text1"/>
                <w:sz w:val="22"/>
              </w:rPr>
            </w:pPr>
            <w:r w:rsidRPr="00A648E0">
              <w:rPr>
                <w:rFonts w:ascii="Arial" w:eastAsia="Calibri" w:hAnsi="Arial" w:cs="Arial"/>
                <w:color w:val="000000" w:themeColor="text1"/>
                <w:sz w:val="22"/>
              </w:rPr>
              <w:t>PROPONENTE PLURAL ‒ Consorcio ‒ Unión temporal ‒ Concepto – Diferencias</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A648E0">
              <w:rPr>
                <w:rFonts w:ascii="Arial" w:eastAsia="Calibri" w:hAnsi="Arial" w:cs="Arial"/>
                <w:color w:val="000000" w:themeColor="text1"/>
                <w:sz w:val="22"/>
              </w:rPr>
              <w:t xml:space="preserve">PLIEGO TIPO – Licitación pública – Versión 2 – Proponente plural – Vigencia </w:t>
            </w:r>
            <w:r w:rsidR="00FA0CF5">
              <w:rPr>
                <w:rFonts w:ascii="Arial" w:eastAsia="Calibri" w:hAnsi="Arial" w:cs="Arial"/>
                <w:color w:val="000000" w:themeColor="text1"/>
                <w:sz w:val="22"/>
              </w:rPr>
              <w:t xml:space="preserve">/ </w:t>
            </w:r>
            <w:r w:rsidRPr="00A648E0">
              <w:rPr>
                <w:rFonts w:ascii="Arial" w:eastAsia="Calibri" w:hAnsi="Arial" w:cs="Arial"/>
                <w:color w:val="000000" w:themeColor="text1"/>
                <w:sz w:val="22"/>
              </w:rPr>
              <w:t>FORMATO 2 – Unión temporal</w:t>
            </w:r>
            <w:r>
              <w:rPr>
                <w:rFonts w:ascii="Arial" w:eastAsia="Calibri" w:hAnsi="Arial" w:cs="Arial"/>
                <w:color w:val="000000" w:themeColor="text1"/>
                <w:sz w:val="22"/>
              </w:rPr>
              <w:t xml:space="preserve"> / </w:t>
            </w:r>
            <w:r w:rsidRPr="00A648E0">
              <w:rPr>
                <w:rFonts w:ascii="Arial" w:eastAsia="Calibri" w:hAnsi="Arial" w:cs="Arial"/>
                <w:color w:val="000000" w:themeColor="text1"/>
                <w:sz w:val="22"/>
              </w:rPr>
              <w:t>UNIÓN TEMPORAL – Formato 2B – Pliego tipo – Interpretación sistemática</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700F07FA"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6F3B66" w:rsidRPr="006F3B66">
              <w:rPr>
                <w:rFonts w:ascii="Arial" w:eastAsia="Calibri" w:hAnsi="Arial" w:cs="Arial"/>
                <w:color w:val="000000" w:themeColor="text1"/>
                <w:sz w:val="22"/>
              </w:rPr>
              <w:t>4202013000006409</w:t>
            </w:r>
            <w:r w:rsidRPr="006C15D5">
              <w:rPr>
                <w:rFonts w:ascii="Arial" w:eastAsia="Calibri" w:hAnsi="Arial" w:cs="Arial"/>
                <w:color w:val="000000" w:themeColor="text1"/>
                <w:sz w:val="22"/>
              </w:rPr>
              <w:t xml:space="preserve"> </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625CD84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 Camargo</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4F5F889D"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464D59">
        <w:rPr>
          <w:rFonts w:ascii="Arial" w:eastAsia="Calibri" w:hAnsi="Arial" w:cs="Arial"/>
          <w:color w:val="000000" w:themeColor="text1"/>
          <w:sz w:val="22"/>
        </w:rPr>
        <w:t>2</w:t>
      </w:r>
      <w:r w:rsidR="00EF02BC">
        <w:rPr>
          <w:rFonts w:ascii="Arial" w:eastAsia="Calibri" w:hAnsi="Arial" w:cs="Arial"/>
          <w:color w:val="000000" w:themeColor="text1"/>
          <w:sz w:val="22"/>
        </w:rPr>
        <w:t>9</w:t>
      </w:r>
      <w:r w:rsidR="00464D59">
        <w:rPr>
          <w:rFonts w:ascii="Arial" w:eastAsia="Calibri" w:hAnsi="Arial" w:cs="Arial"/>
          <w:color w:val="000000" w:themeColor="text1"/>
          <w:sz w:val="22"/>
        </w:rPr>
        <w:t xml:space="preserve"> de julio</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33FF5823" w14:textId="1701EE97" w:rsidR="00185441" w:rsidRDefault="002D2B71" w:rsidP="00950763">
      <w:pPr>
        <w:tabs>
          <w:tab w:val="left" w:pos="426"/>
        </w:tabs>
        <w:spacing w:line="276" w:lineRule="auto"/>
        <w:jc w:val="both"/>
        <w:rPr>
          <w:rFonts w:ascii="Arial" w:eastAsia="Calibri" w:hAnsi="Arial" w:cs="Arial"/>
          <w:color w:val="000000" w:themeColor="text1"/>
          <w:sz w:val="22"/>
        </w:rPr>
      </w:pPr>
      <w:bookmarkStart w:id="2" w:name="_Hlk49352499"/>
      <w:bookmarkStart w:id="3" w:name="_Hlk41142281"/>
      <w:bookmarkStart w:id="4" w:name="_Hlk41043439"/>
      <w:r>
        <w:rPr>
          <w:rFonts w:ascii="Arial" w:eastAsia="Calibri" w:hAnsi="Arial" w:cs="Arial"/>
          <w:color w:val="000000" w:themeColor="text1"/>
          <w:sz w:val="22"/>
        </w:rPr>
        <w:t>En</w:t>
      </w:r>
      <w:r w:rsidR="00950763">
        <w:rPr>
          <w:rFonts w:ascii="Arial" w:eastAsia="Calibri" w:hAnsi="Arial" w:cs="Arial"/>
          <w:color w:val="000000" w:themeColor="text1"/>
          <w:sz w:val="22"/>
        </w:rPr>
        <w:t xml:space="preserve"> los «Documentos Tipo – Versión 2» para</w:t>
      </w:r>
      <w:r w:rsidR="00091F2D">
        <w:rPr>
          <w:rFonts w:ascii="Arial" w:eastAsia="Calibri" w:hAnsi="Arial" w:cs="Arial"/>
          <w:color w:val="000000" w:themeColor="text1"/>
          <w:sz w:val="22"/>
        </w:rPr>
        <w:t xml:space="preserve"> los procedimientos de licitación de obra pública </w:t>
      </w:r>
      <w:r w:rsidR="00950763">
        <w:rPr>
          <w:rFonts w:ascii="Arial" w:eastAsia="Calibri" w:hAnsi="Arial" w:cs="Arial"/>
          <w:color w:val="000000" w:themeColor="text1"/>
          <w:sz w:val="22"/>
        </w:rPr>
        <w:t>de</w:t>
      </w:r>
      <w:r w:rsidR="00091F2D">
        <w:rPr>
          <w:rFonts w:ascii="Arial" w:eastAsia="Calibri" w:hAnsi="Arial" w:cs="Arial"/>
          <w:color w:val="000000" w:themeColor="text1"/>
          <w:sz w:val="22"/>
        </w:rPr>
        <w:t xml:space="preserve"> infraestructura de transporte</w:t>
      </w:r>
      <w:r w:rsidR="00950763">
        <w:rPr>
          <w:rFonts w:ascii="Arial" w:eastAsia="Calibri" w:hAnsi="Arial" w:cs="Arial"/>
          <w:color w:val="000000" w:themeColor="text1"/>
          <w:sz w:val="22"/>
        </w:rPr>
        <w:t xml:space="preserve">, partiendo de una presunta contradicción entre </w:t>
      </w:r>
      <w:bookmarkStart w:id="5" w:name="_Hlk49338482"/>
      <w:r w:rsidR="00950763">
        <w:rPr>
          <w:rFonts w:ascii="Arial" w:eastAsia="Calibri" w:hAnsi="Arial" w:cs="Arial"/>
          <w:color w:val="000000" w:themeColor="text1"/>
          <w:sz w:val="22"/>
        </w:rPr>
        <w:t>el numeral 3.3.3, literal D, del pliego</w:t>
      </w:r>
      <w:bookmarkEnd w:id="5"/>
      <w:r w:rsidR="00950763">
        <w:rPr>
          <w:rFonts w:ascii="Arial" w:eastAsia="Calibri" w:hAnsi="Arial" w:cs="Arial"/>
          <w:color w:val="000000" w:themeColor="text1"/>
          <w:sz w:val="22"/>
        </w:rPr>
        <w:t xml:space="preserve"> y el «Formato 2 – </w:t>
      </w:r>
      <w:r w:rsidR="00950763" w:rsidRPr="00950763">
        <w:rPr>
          <w:rFonts w:ascii="Arial" w:eastAsia="Calibri" w:hAnsi="Arial" w:cs="Arial"/>
          <w:color w:val="000000" w:themeColor="text1"/>
          <w:sz w:val="22"/>
        </w:rPr>
        <w:t>Conformación de Proponente Plural</w:t>
      </w:r>
      <w:r w:rsidR="00950763">
        <w:rPr>
          <w:rFonts w:ascii="Arial" w:eastAsia="Calibri" w:hAnsi="Arial" w:cs="Arial"/>
          <w:color w:val="000000" w:themeColor="text1"/>
          <w:sz w:val="22"/>
        </w:rPr>
        <w:t>» respecto a la vigencia de los consorcios y las uniones temporales, usted realiza las siguientes preguntas: i) «</w:t>
      </w:r>
      <w:r w:rsidR="00950763" w:rsidRPr="00950763">
        <w:rPr>
          <w:rFonts w:ascii="Arial" w:eastAsia="Calibri" w:hAnsi="Arial" w:cs="Arial"/>
          <w:color w:val="000000" w:themeColor="text1"/>
          <w:sz w:val="22"/>
        </w:rPr>
        <w:t>Cuál es el punto de partida para el año adicional, el cierre del proceso o el vencimiento del plazo de</w:t>
      </w:r>
      <w:r w:rsidR="00950763">
        <w:rPr>
          <w:rFonts w:ascii="Arial" w:eastAsia="Calibri" w:hAnsi="Arial" w:cs="Arial"/>
          <w:color w:val="000000" w:themeColor="text1"/>
          <w:sz w:val="22"/>
        </w:rPr>
        <w:t xml:space="preserve"> </w:t>
      </w:r>
      <w:r w:rsidR="00950763" w:rsidRPr="00950763">
        <w:rPr>
          <w:rFonts w:ascii="Arial" w:eastAsia="Calibri" w:hAnsi="Arial" w:cs="Arial"/>
          <w:color w:val="000000" w:themeColor="text1"/>
          <w:sz w:val="22"/>
        </w:rPr>
        <w:t>ejecución del contrato, pues da vigencias disimiles?</w:t>
      </w:r>
      <w:r w:rsidR="00950763">
        <w:rPr>
          <w:rFonts w:ascii="Arial" w:eastAsia="Calibri" w:hAnsi="Arial" w:cs="Arial"/>
          <w:color w:val="000000" w:themeColor="text1"/>
          <w:sz w:val="22"/>
        </w:rPr>
        <w:t>»</w:t>
      </w:r>
      <w:bookmarkEnd w:id="2"/>
      <w:r w:rsidR="00950763">
        <w:rPr>
          <w:rFonts w:ascii="Arial" w:eastAsia="Calibri" w:hAnsi="Arial" w:cs="Arial"/>
          <w:color w:val="000000" w:themeColor="text1"/>
          <w:sz w:val="22"/>
        </w:rPr>
        <w:t xml:space="preserve">, </w:t>
      </w:r>
      <w:bookmarkStart w:id="6" w:name="_Hlk49354606"/>
      <w:r w:rsidR="00950763">
        <w:rPr>
          <w:rFonts w:ascii="Arial" w:eastAsia="Calibri" w:hAnsi="Arial" w:cs="Arial"/>
          <w:color w:val="000000" w:themeColor="text1"/>
          <w:sz w:val="22"/>
        </w:rPr>
        <w:t>ii) «</w:t>
      </w:r>
      <w:r w:rsidR="00950763" w:rsidRPr="00950763">
        <w:rPr>
          <w:rFonts w:ascii="Arial" w:eastAsia="Calibri" w:hAnsi="Arial" w:cs="Arial"/>
          <w:color w:val="000000" w:themeColor="text1"/>
          <w:sz w:val="22"/>
        </w:rPr>
        <w:t>El plazo de duración de los proponentes plurales no debe contemplar que cobije las obligaciones</w:t>
      </w:r>
      <w:r w:rsidR="00950763">
        <w:rPr>
          <w:rFonts w:ascii="Arial" w:eastAsia="Calibri" w:hAnsi="Arial" w:cs="Arial"/>
          <w:color w:val="000000" w:themeColor="text1"/>
          <w:sz w:val="22"/>
        </w:rPr>
        <w:t xml:space="preserve"> </w:t>
      </w:r>
      <w:r w:rsidR="00950763" w:rsidRPr="00950763">
        <w:rPr>
          <w:rFonts w:ascii="Arial" w:eastAsia="Calibri" w:hAnsi="Arial" w:cs="Arial"/>
          <w:color w:val="000000" w:themeColor="text1"/>
          <w:sz w:val="22"/>
        </w:rPr>
        <w:t>post contractuales, tales como la de duración y vigencia del amparo de estabilidad de la obra, de</w:t>
      </w:r>
      <w:r w:rsidR="00950763">
        <w:rPr>
          <w:rFonts w:ascii="Arial" w:eastAsia="Calibri" w:hAnsi="Arial" w:cs="Arial"/>
          <w:color w:val="000000" w:themeColor="text1"/>
          <w:sz w:val="22"/>
        </w:rPr>
        <w:t xml:space="preserve"> </w:t>
      </w:r>
      <w:r w:rsidR="00950763" w:rsidRPr="00950763">
        <w:rPr>
          <w:rFonts w:ascii="Arial" w:eastAsia="Calibri" w:hAnsi="Arial" w:cs="Arial"/>
          <w:color w:val="000000" w:themeColor="text1"/>
          <w:sz w:val="22"/>
        </w:rPr>
        <w:t>acuerdo al artículo 2.2.1.2.3.1.14. Decreto 1082 de 2015?</w:t>
      </w:r>
      <w:r w:rsidR="00950763">
        <w:rPr>
          <w:rFonts w:ascii="Arial" w:eastAsia="Calibri" w:hAnsi="Arial" w:cs="Arial"/>
          <w:color w:val="000000" w:themeColor="text1"/>
          <w:sz w:val="22"/>
        </w:rPr>
        <w:t>»</w:t>
      </w:r>
      <w:bookmarkEnd w:id="6"/>
      <w:r w:rsidR="00950763">
        <w:rPr>
          <w:rFonts w:ascii="Arial" w:eastAsia="Calibri" w:hAnsi="Arial" w:cs="Arial"/>
          <w:color w:val="000000" w:themeColor="text1"/>
          <w:sz w:val="22"/>
        </w:rPr>
        <w:t xml:space="preserve"> y iii) </w:t>
      </w:r>
      <w:bookmarkStart w:id="7" w:name="_Hlk49363819"/>
      <w:r w:rsidR="00950763">
        <w:rPr>
          <w:rFonts w:ascii="Arial" w:eastAsia="Calibri" w:hAnsi="Arial" w:cs="Arial"/>
          <w:color w:val="000000" w:themeColor="text1"/>
          <w:sz w:val="22"/>
        </w:rPr>
        <w:t>«</w:t>
      </w:r>
      <w:r w:rsidR="00950763" w:rsidRPr="00950763">
        <w:rPr>
          <w:rFonts w:ascii="Arial" w:eastAsia="Calibri" w:hAnsi="Arial" w:cs="Arial"/>
          <w:color w:val="000000" w:themeColor="text1"/>
          <w:sz w:val="22"/>
        </w:rPr>
        <w:t>Incluir esa mención "a partir de la fecha del cierre del proceso de contratación", que hace el pliego</w:t>
      </w:r>
      <w:r w:rsidR="00950763">
        <w:rPr>
          <w:rFonts w:ascii="Arial" w:eastAsia="Calibri" w:hAnsi="Arial" w:cs="Arial"/>
          <w:color w:val="000000" w:themeColor="text1"/>
          <w:sz w:val="22"/>
        </w:rPr>
        <w:t xml:space="preserve"> </w:t>
      </w:r>
      <w:r w:rsidR="00950763" w:rsidRPr="00950763">
        <w:rPr>
          <w:rFonts w:ascii="Arial" w:eastAsia="Calibri" w:hAnsi="Arial" w:cs="Arial"/>
          <w:color w:val="000000" w:themeColor="text1"/>
          <w:sz w:val="22"/>
        </w:rPr>
        <w:t>tipo, en el formato 2, determina una modificación, atendiendo a lo dispuesto en el literal I del punto 1.17</w:t>
      </w:r>
      <w:r w:rsidR="00950763">
        <w:rPr>
          <w:rFonts w:ascii="Arial" w:eastAsia="Calibri" w:hAnsi="Arial" w:cs="Arial"/>
          <w:color w:val="000000" w:themeColor="text1"/>
          <w:sz w:val="22"/>
        </w:rPr>
        <w:t xml:space="preserve"> </w:t>
      </w:r>
      <w:r w:rsidR="00950763" w:rsidRPr="00950763">
        <w:rPr>
          <w:rFonts w:ascii="Arial" w:eastAsia="Calibri" w:hAnsi="Arial" w:cs="Arial"/>
          <w:color w:val="000000" w:themeColor="text1"/>
          <w:sz w:val="22"/>
        </w:rPr>
        <w:t>del pliego de condiciones?</w:t>
      </w:r>
      <w:r w:rsidR="00950763">
        <w:rPr>
          <w:rFonts w:ascii="Arial" w:eastAsia="Calibri" w:hAnsi="Arial" w:cs="Arial"/>
          <w:color w:val="000000" w:themeColor="text1"/>
          <w:sz w:val="22"/>
        </w:rPr>
        <w:t>».</w:t>
      </w:r>
      <w:bookmarkEnd w:id="7"/>
      <w:r w:rsidR="00EA62F1">
        <w:rPr>
          <w:rFonts w:ascii="Arial" w:eastAsia="Calibri" w:hAnsi="Arial" w:cs="Arial"/>
          <w:color w:val="000000" w:themeColor="text1"/>
          <w:sz w:val="22"/>
        </w:rPr>
        <w:t xml:space="preserve"> </w:t>
      </w:r>
      <w:bookmarkEnd w:id="3"/>
      <w:bookmarkEnd w:id="4"/>
    </w:p>
    <w:p w14:paraId="1EBED483" w14:textId="77777777" w:rsidR="00185441" w:rsidRPr="006C15D5" w:rsidRDefault="00185441"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lastRenderedPageBreak/>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0C5C01D8" w14:textId="02AF38B1" w:rsidR="002C1969" w:rsidRDefault="002C1969" w:rsidP="00DC432A">
      <w:pPr>
        <w:spacing w:after="120" w:line="276" w:lineRule="auto"/>
        <w:jc w:val="both"/>
        <w:rPr>
          <w:rFonts w:ascii="Arial" w:hAnsi="Arial" w:cs="Arial"/>
          <w:color w:val="000000" w:themeColor="text1"/>
          <w:sz w:val="22"/>
        </w:rPr>
      </w:pPr>
      <w:r w:rsidRPr="002C1969">
        <w:rPr>
          <w:rFonts w:ascii="Arial" w:hAnsi="Arial" w:cs="Arial"/>
          <w:color w:val="000000" w:themeColor="text1"/>
          <w:sz w:val="22"/>
        </w:rPr>
        <w:t xml:space="preserve">Para </w:t>
      </w:r>
      <w:r>
        <w:rPr>
          <w:rFonts w:ascii="Arial" w:hAnsi="Arial" w:cs="Arial"/>
          <w:color w:val="000000" w:themeColor="text1"/>
          <w:sz w:val="22"/>
        </w:rPr>
        <w:t>resolver las inquietudes planteadas</w:t>
      </w:r>
      <w:r w:rsidRPr="002C1969">
        <w:rPr>
          <w:rFonts w:ascii="Arial" w:hAnsi="Arial" w:cs="Arial"/>
          <w:color w:val="000000" w:themeColor="text1"/>
          <w:sz w:val="22"/>
        </w:rPr>
        <w:t>, en primer lugar se analizará la naturaleza de los consorcios y uniones temporales. En segundo lugar,</w:t>
      </w:r>
      <w:r>
        <w:rPr>
          <w:rFonts w:ascii="Arial" w:hAnsi="Arial" w:cs="Arial"/>
          <w:color w:val="000000" w:themeColor="text1"/>
          <w:sz w:val="22"/>
        </w:rPr>
        <w:t xml:space="preserve"> conforme a las reglas del </w:t>
      </w:r>
      <w:r>
        <w:rPr>
          <w:rFonts w:ascii="Arial" w:eastAsia="Calibri" w:hAnsi="Arial" w:cs="Arial"/>
          <w:color w:val="000000" w:themeColor="text1"/>
          <w:sz w:val="22"/>
        </w:rPr>
        <w:t xml:space="preserve">numeral 3.3.3, literal D, del pliego y el «Formato 2 – </w:t>
      </w:r>
      <w:r w:rsidRPr="00950763">
        <w:rPr>
          <w:rFonts w:ascii="Arial" w:eastAsia="Calibri" w:hAnsi="Arial" w:cs="Arial"/>
          <w:color w:val="000000" w:themeColor="text1"/>
          <w:sz w:val="22"/>
        </w:rPr>
        <w:t>Conformación de Proponente Plural</w:t>
      </w:r>
      <w:r>
        <w:rPr>
          <w:rFonts w:ascii="Arial" w:eastAsia="Calibri" w:hAnsi="Arial" w:cs="Arial"/>
          <w:color w:val="000000" w:themeColor="text1"/>
          <w:sz w:val="22"/>
        </w:rPr>
        <w:t>»</w:t>
      </w:r>
      <w:r>
        <w:rPr>
          <w:rFonts w:ascii="Arial" w:hAnsi="Arial" w:cs="Arial"/>
          <w:color w:val="000000" w:themeColor="text1"/>
          <w:sz w:val="22"/>
        </w:rPr>
        <w:t xml:space="preserve">, </w:t>
      </w:r>
      <w:r w:rsidRPr="002C1969">
        <w:rPr>
          <w:rFonts w:ascii="Arial" w:hAnsi="Arial" w:cs="Arial"/>
          <w:color w:val="000000" w:themeColor="text1"/>
          <w:sz w:val="22"/>
        </w:rPr>
        <w:t>se explicará</w:t>
      </w:r>
      <w:r>
        <w:rPr>
          <w:rFonts w:ascii="Arial" w:hAnsi="Arial" w:cs="Arial"/>
          <w:color w:val="000000" w:themeColor="text1"/>
          <w:sz w:val="22"/>
        </w:rPr>
        <w:t xml:space="preserve"> la vigencia </w:t>
      </w:r>
      <w:r w:rsidR="00C134EE">
        <w:rPr>
          <w:rFonts w:ascii="Arial" w:hAnsi="Arial" w:cs="Arial"/>
          <w:color w:val="000000" w:themeColor="text1"/>
          <w:sz w:val="22"/>
        </w:rPr>
        <w:t>de los consorcios y las uniones temporales</w:t>
      </w:r>
      <w:r>
        <w:rPr>
          <w:rFonts w:ascii="Arial" w:hAnsi="Arial" w:cs="Arial"/>
          <w:color w:val="000000" w:themeColor="text1"/>
          <w:sz w:val="22"/>
        </w:rPr>
        <w:t>.</w:t>
      </w:r>
    </w:p>
    <w:p w14:paraId="7D8930E9" w14:textId="2C7FCB85" w:rsidR="002D2B71" w:rsidRDefault="00CB59D4" w:rsidP="00813F60">
      <w:pPr>
        <w:spacing w:line="276" w:lineRule="auto"/>
        <w:ind w:firstLine="708"/>
        <w:jc w:val="both"/>
        <w:rPr>
          <w:rFonts w:ascii="Arial" w:eastAsia="Calibri" w:hAnsi="Arial" w:cs="Arial"/>
          <w:color w:val="000000" w:themeColor="text1"/>
          <w:sz w:val="22"/>
        </w:rPr>
      </w:pPr>
      <w:r>
        <w:rPr>
          <w:rFonts w:ascii="Arial" w:hAnsi="Arial" w:cs="Arial"/>
          <w:color w:val="000000" w:themeColor="text1"/>
          <w:sz w:val="22"/>
        </w:rPr>
        <w:t xml:space="preserve">La Agencia Nacional de Contratación Pública – Colombia Compra Eficiente </w:t>
      </w:r>
      <w:r>
        <w:rPr>
          <w:rFonts w:ascii="Arial" w:eastAsia="Calibri" w:hAnsi="Arial" w:cs="Arial"/>
          <w:color w:val="000000" w:themeColor="text1"/>
          <w:sz w:val="22"/>
        </w:rPr>
        <w:t xml:space="preserve">en el Concepto </w:t>
      </w:r>
      <w:r w:rsidR="00F128A4" w:rsidRPr="00F128A4">
        <w:rPr>
          <w:rFonts w:ascii="Arial" w:eastAsia="Calibri" w:hAnsi="Arial" w:cs="Arial"/>
          <w:color w:val="000000" w:themeColor="text1"/>
          <w:sz w:val="22"/>
        </w:rPr>
        <w:t>4201913000007643 del 26 de diciembre de 2019</w:t>
      </w:r>
      <w:r>
        <w:rPr>
          <w:rFonts w:ascii="Arial" w:eastAsia="Calibri" w:hAnsi="Arial" w:cs="Arial"/>
          <w:color w:val="000000" w:themeColor="text1"/>
          <w:sz w:val="22"/>
        </w:rPr>
        <w:t xml:space="preserve">, </w:t>
      </w:r>
      <w:r w:rsidR="00813F60">
        <w:rPr>
          <w:rFonts w:ascii="Arial" w:eastAsia="Calibri" w:hAnsi="Arial" w:cs="Arial"/>
          <w:color w:val="000000" w:themeColor="text1"/>
          <w:sz w:val="22"/>
        </w:rPr>
        <w:t>así como en el Concepto C-343 del 17 de junio de 2020, explicó la naturaleza jurídica de los consorcios y las uniones temporales</w:t>
      </w:r>
      <w:r>
        <w:rPr>
          <w:rFonts w:ascii="Arial" w:eastAsia="Calibri" w:hAnsi="Arial" w:cs="Arial"/>
          <w:color w:val="000000" w:themeColor="text1"/>
          <w:sz w:val="22"/>
        </w:rPr>
        <w:t xml:space="preserve">. La tesis desarrollada en estos conceptos </w:t>
      </w:r>
      <w:r w:rsidR="00DC432A">
        <w:rPr>
          <w:rFonts w:ascii="Arial" w:eastAsia="Calibri" w:hAnsi="Arial" w:cs="Arial"/>
          <w:color w:val="000000" w:themeColor="text1"/>
          <w:sz w:val="22"/>
        </w:rPr>
        <w:t>se reitera a continuación</w:t>
      </w:r>
      <w:r w:rsidR="00813F60">
        <w:rPr>
          <w:rFonts w:ascii="Arial" w:eastAsia="Calibri" w:hAnsi="Arial" w:cs="Arial"/>
          <w:color w:val="000000" w:themeColor="text1"/>
          <w:sz w:val="22"/>
        </w:rPr>
        <w:t>:</w:t>
      </w:r>
    </w:p>
    <w:p w14:paraId="6B69E043" w14:textId="77777777" w:rsidR="002D2B71" w:rsidRDefault="002D2B71" w:rsidP="00813F60">
      <w:pPr>
        <w:spacing w:line="276" w:lineRule="auto"/>
        <w:ind w:firstLine="708"/>
        <w:jc w:val="both"/>
        <w:rPr>
          <w:rFonts w:ascii="Arial" w:eastAsia="Calibri" w:hAnsi="Arial" w:cs="Arial"/>
          <w:color w:val="000000" w:themeColor="text1"/>
          <w:sz w:val="22"/>
        </w:rPr>
      </w:pPr>
    </w:p>
    <w:p w14:paraId="5BE9BC42" w14:textId="6B358A7F" w:rsidR="00CB59D4" w:rsidRDefault="00813F60" w:rsidP="00813F60">
      <w:pPr>
        <w:spacing w:line="276" w:lineRule="auto"/>
        <w:jc w:val="both"/>
        <w:rPr>
          <w:rFonts w:ascii="Arial" w:eastAsia="Calibri" w:hAnsi="Arial" w:cs="Arial"/>
          <w:b/>
          <w:bCs/>
          <w:color w:val="000000" w:themeColor="text1"/>
          <w:sz w:val="22"/>
        </w:rPr>
      </w:pPr>
      <w:bookmarkStart w:id="8" w:name="_Hlk49332494"/>
      <w:r w:rsidRPr="00813F60">
        <w:rPr>
          <w:rFonts w:ascii="Arial" w:eastAsia="Calibri" w:hAnsi="Arial" w:cs="Arial"/>
          <w:b/>
          <w:bCs/>
          <w:color w:val="000000" w:themeColor="text1"/>
          <w:sz w:val="22"/>
        </w:rPr>
        <w:t>2.1. Naturaleza de los consorcios y uniones temporales</w:t>
      </w:r>
      <w:r w:rsidR="00CB59D4" w:rsidRPr="00813F60">
        <w:rPr>
          <w:rFonts w:ascii="Arial" w:eastAsia="Calibri" w:hAnsi="Arial" w:cs="Arial"/>
          <w:b/>
          <w:bCs/>
          <w:color w:val="000000" w:themeColor="text1"/>
          <w:sz w:val="22"/>
        </w:rPr>
        <w:t xml:space="preserve"> </w:t>
      </w:r>
    </w:p>
    <w:bookmarkEnd w:id="8"/>
    <w:p w14:paraId="000F25EC" w14:textId="2B8CEF5C" w:rsidR="00813F60" w:rsidRDefault="00813F60" w:rsidP="00813F60">
      <w:pPr>
        <w:spacing w:line="276" w:lineRule="auto"/>
        <w:jc w:val="both"/>
        <w:rPr>
          <w:rFonts w:ascii="Arial" w:eastAsia="Calibri" w:hAnsi="Arial" w:cs="Arial"/>
          <w:b/>
          <w:bCs/>
          <w:color w:val="000000" w:themeColor="text1"/>
          <w:sz w:val="22"/>
        </w:rPr>
      </w:pPr>
    </w:p>
    <w:p w14:paraId="3A2C731C" w14:textId="5492D14B" w:rsidR="00813F60" w:rsidRPr="0037664B" w:rsidRDefault="00813F60" w:rsidP="00813F60">
      <w:pPr>
        <w:spacing w:after="120" w:line="276" w:lineRule="auto"/>
        <w:jc w:val="both"/>
        <w:rPr>
          <w:rFonts w:ascii="Arial" w:eastAsia="Calibri" w:hAnsi="Arial" w:cs="Arial"/>
          <w:sz w:val="22"/>
        </w:rPr>
      </w:pPr>
      <w:r>
        <w:rPr>
          <w:rFonts w:ascii="Arial" w:hAnsi="Arial" w:cs="Arial"/>
          <w:sz w:val="22"/>
        </w:rPr>
        <w:t xml:space="preserve">La capacidad jurídica es uno de los presupuestos del contrato estatal, pues se entiende </w:t>
      </w:r>
      <w:r w:rsidRPr="0037664B">
        <w:rPr>
          <w:rFonts w:ascii="Arial" w:hAnsi="Arial" w:cs="Arial"/>
          <w:sz w:val="22"/>
        </w:rPr>
        <w:t>como la aptitud de un sujeto para ser titular de derecho</w:t>
      </w:r>
      <w:r>
        <w:rPr>
          <w:rFonts w:ascii="Arial" w:hAnsi="Arial" w:cs="Arial"/>
          <w:sz w:val="22"/>
        </w:rPr>
        <w:t>s</w:t>
      </w:r>
      <w:r w:rsidRPr="0037664B">
        <w:rPr>
          <w:rFonts w:ascii="Arial" w:hAnsi="Arial" w:cs="Arial"/>
          <w:sz w:val="22"/>
        </w:rPr>
        <w:t xml:space="preserve"> y obligaciones, de ejercer o exigir los primeros y contraer las segundas en forma personal</w:t>
      </w:r>
      <w:r w:rsidR="000C4A2C">
        <w:rPr>
          <w:rFonts w:ascii="Arial" w:hAnsi="Arial" w:cs="Arial"/>
          <w:sz w:val="22"/>
        </w:rPr>
        <w:t xml:space="preserve">, sumada la posibilidad </w:t>
      </w:r>
      <w:r w:rsidRPr="0037664B">
        <w:rPr>
          <w:rFonts w:ascii="Arial" w:hAnsi="Arial" w:cs="Arial"/>
          <w:sz w:val="22"/>
        </w:rPr>
        <w:t xml:space="preserve">de comparecer en juicio. La capacidad jurídica permite crear, modificar o extinguir relaciones jurídicas de forma voluntaria </w:t>
      </w:r>
      <w:r w:rsidRPr="0037664B">
        <w:rPr>
          <w:rFonts w:ascii="Arial" w:eastAsia="Calibri" w:hAnsi="Arial" w:cs="Arial"/>
          <w:sz w:val="22"/>
        </w:rPr>
        <w:t>y autónoma.</w:t>
      </w:r>
    </w:p>
    <w:p w14:paraId="5648BBB5" w14:textId="2DFC032A" w:rsidR="00813F60" w:rsidRPr="0037664B" w:rsidRDefault="00813F60" w:rsidP="00813F60">
      <w:pPr>
        <w:spacing w:after="120" w:line="276" w:lineRule="auto"/>
        <w:ind w:firstLine="709"/>
        <w:jc w:val="both"/>
      </w:pPr>
      <w:r>
        <w:rPr>
          <w:rFonts w:ascii="Arial" w:eastAsia="Calibri" w:hAnsi="Arial" w:cs="Arial"/>
          <w:sz w:val="22"/>
        </w:rPr>
        <w:t>D</w:t>
      </w:r>
      <w:r w:rsidRPr="0037664B">
        <w:rPr>
          <w:rFonts w:ascii="Arial" w:hAnsi="Arial" w:cs="Arial"/>
          <w:sz w:val="22"/>
        </w:rPr>
        <w:t xml:space="preserve">e acuerdo </w:t>
      </w:r>
      <w:r w:rsidR="000C4A2C">
        <w:rPr>
          <w:rFonts w:ascii="Arial" w:hAnsi="Arial" w:cs="Arial"/>
          <w:sz w:val="22"/>
        </w:rPr>
        <w:t>a</w:t>
      </w:r>
      <w:r w:rsidRPr="0037664B">
        <w:rPr>
          <w:rFonts w:ascii="Arial" w:hAnsi="Arial" w:cs="Arial"/>
          <w:sz w:val="22"/>
        </w:rPr>
        <w:t xml:space="preserve">l Código Civil, </w:t>
      </w:r>
      <w:r>
        <w:rPr>
          <w:rFonts w:ascii="Arial" w:hAnsi="Arial" w:cs="Arial"/>
          <w:sz w:val="22"/>
        </w:rPr>
        <w:t xml:space="preserve">la capacidad </w:t>
      </w:r>
      <w:r w:rsidRPr="0037664B">
        <w:rPr>
          <w:rFonts w:ascii="Arial" w:hAnsi="Arial" w:cs="Arial"/>
          <w:sz w:val="22"/>
        </w:rPr>
        <w:t xml:space="preserve">se refiere a la facultad que la ley le confiere a la persona para ejercer derechos y contraer obligaciones, partiendo del supuesto de que todas las personas naturales mayores de edad son capaces, con excepción de aquellas que la ley expresamente excluye de </w:t>
      </w:r>
      <w:r w:rsidR="000C4A2C">
        <w:rPr>
          <w:rFonts w:ascii="Arial" w:hAnsi="Arial" w:cs="Arial"/>
          <w:sz w:val="22"/>
        </w:rPr>
        <w:t xml:space="preserve">esta </w:t>
      </w:r>
      <w:r w:rsidRPr="0037664B">
        <w:rPr>
          <w:rFonts w:ascii="Arial" w:hAnsi="Arial" w:cs="Arial"/>
          <w:sz w:val="22"/>
        </w:rPr>
        <w:t xml:space="preserve">presunción </w:t>
      </w:r>
      <w:r>
        <w:rPr>
          <w:rFonts w:ascii="Arial" w:hAnsi="Arial" w:cs="Arial"/>
          <w:sz w:val="22"/>
        </w:rPr>
        <w:t>–</w:t>
      </w:r>
      <w:r w:rsidRPr="0037664B">
        <w:rPr>
          <w:rFonts w:ascii="Arial" w:hAnsi="Arial" w:cs="Arial"/>
          <w:sz w:val="22"/>
        </w:rPr>
        <w:t>artículos 1502, 1503 y 1504</w:t>
      </w:r>
      <w:r>
        <w:rPr>
          <w:rFonts w:ascii="Arial" w:hAnsi="Arial" w:cs="Arial"/>
          <w:sz w:val="22"/>
        </w:rPr>
        <w:t>–</w:t>
      </w:r>
      <w:r w:rsidRPr="0037664B">
        <w:rPr>
          <w:rFonts w:ascii="Arial" w:hAnsi="Arial" w:cs="Arial"/>
          <w:sz w:val="22"/>
        </w:rPr>
        <w:t xml:space="preserve">, y de que la capacidad de las personas jurídicas se circunscribe </w:t>
      </w:r>
      <w:r>
        <w:rPr>
          <w:rFonts w:ascii="Arial" w:hAnsi="Arial" w:cs="Arial"/>
          <w:sz w:val="22"/>
        </w:rPr>
        <w:t>a</w:t>
      </w:r>
      <w:r w:rsidRPr="0037664B">
        <w:rPr>
          <w:rFonts w:ascii="Arial" w:hAnsi="Arial" w:cs="Arial"/>
          <w:sz w:val="22"/>
        </w:rPr>
        <w:t xml:space="preserve"> su objeto social</w:t>
      </w:r>
      <w:r w:rsidR="000E284C">
        <w:rPr>
          <w:rFonts w:ascii="Arial" w:hAnsi="Arial" w:cs="Arial"/>
          <w:sz w:val="22"/>
        </w:rPr>
        <w:t xml:space="preserve"> –</w:t>
      </w:r>
      <w:r w:rsidR="006D0131">
        <w:rPr>
          <w:rFonts w:ascii="Arial" w:hAnsi="Arial" w:cs="Arial"/>
          <w:sz w:val="22"/>
        </w:rPr>
        <w:t>artículo 99 del Código de Comercio–</w:t>
      </w:r>
      <w:r w:rsidRPr="0037664B">
        <w:rPr>
          <w:rFonts w:ascii="Arial" w:hAnsi="Arial" w:cs="Arial"/>
          <w:sz w:val="22"/>
        </w:rPr>
        <w:t>.</w:t>
      </w:r>
      <w:r>
        <w:t xml:space="preserve"> </w:t>
      </w:r>
      <w:r>
        <w:rPr>
          <w:rFonts w:ascii="Arial" w:hAnsi="Arial" w:cs="Arial"/>
          <w:sz w:val="22"/>
        </w:rPr>
        <w:t>Al respecto, e</w:t>
      </w:r>
      <w:r w:rsidRPr="00312B97">
        <w:rPr>
          <w:rFonts w:ascii="Arial" w:hAnsi="Arial" w:cs="Arial"/>
          <w:sz w:val="22"/>
        </w:rPr>
        <w:t>l artículo 6 Ley 80 de 1993 dispone que:</w:t>
      </w:r>
      <w:r>
        <w:rPr>
          <w:rFonts w:ascii="Arial" w:hAnsi="Arial" w:cs="Arial"/>
          <w:sz w:val="22"/>
        </w:rPr>
        <w:t xml:space="preserve"> </w:t>
      </w:r>
      <w:r w:rsidRPr="00312B97">
        <w:rPr>
          <w:rFonts w:ascii="Arial" w:hAnsi="Arial" w:cs="Arial"/>
          <w:sz w:val="22"/>
        </w:rPr>
        <w:t>«Pueden celebrar contratos con las entidades estatales las personas consideradas legalmente capaces en las disposiciones vigentes. También podrán celebrar contratos con las entidades estatales, los consorcios y uniones temporales».</w:t>
      </w:r>
    </w:p>
    <w:p w14:paraId="3F55F3FB" w14:textId="577E0B45" w:rsidR="00813F60" w:rsidRPr="0037664B" w:rsidRDefault="00813F60" w:rsidP="00813F60">
      <w:pPr>
        <w:spacing w:line="276" w:lineRule="auto"/>
        <w:ind w:firstLine="709"/>
        <w:jc w:val="both"/>
        <w:rPr>
          <w:rFonts w:ascii="Arial" w:hAnsi="Arial" w:cs="Arial"/>
          <w:sz w:val="22"/>
        </w:rPr>
      </w:pPr>
      <w:r w:rsidRPr="0037664B">
        <w:rPr>
          <w:rFonts w:ascii="Arial" w:hAnsi="Arial" w:cs="Arial"/>
          <w:sz w:val="22"/>
        </w:rPr>
        <w:t>En consecuencia, pueden celebrar contratos estatales las personas naturales mayores de edad, las personas jurídicas que tengan dentro de su objeto</w:t>
      </w:r>
      <w:r w:rsidRPr="0037664B">
        <w:rPr>
          <w:rFonts w:ascii="Arial" w:hAnsi="Arial" w:cs="Arial"/>
          <w:spacing w:val="43"/>
          <w:sz w:val="22"/>
        </w:rPr>
        <w:t xml:space="preserve"> </w:t>
      </w:r>
      <w:r w:rsidRPr="0037664B">
        <w:rPr>
          <w:rFonts w:ascii="Arial" w:hAnsi="Arial" w:cs="Arial"/>
          <w:sz w:val="22"/>
        </w:rPr>
        <w:t>social</w:t>
      </w:r>
      <w:r w:rsidRPr="0037664B">
        <w:rPr>
          <w:rFonts w:ascii="Arial" w:hAnsi="Arial" w:cs="Arial"/>
          <w:spacing w:val="44"/>
          <w:sz w:val="22"/>
        </w:rPr>
        <w:t xml:space="preserve"> </w:t>
      </w:r>
      <w:r w:rsidRPr="0037664B">
        <w:rPr>
          <w:rFonts w:ascii="Arial" w:hAnsi="Arial" w:cs="Arial"/>
          <w:sz w:val="22"/>
        </w:rPr>
        <w:t>actividades</w:t>
      </w:r>
      <w:r w:rsidRPr="0037664B">
        <w:rPr>
          <w:rFonts w:ascii="Arial" w:hAnsi="Arial" w:cs="Arial"/>
          <w:spacing w:val="44"/>
          <w:sz w:val="22"/>
        </w:rPr>
        <w:t xml:space="preserve"> </w:t>
      </w:r>
      <w:r w:rsidRPr="0037664B">
        <w:rPr>
          <w:rFonts w:ascii="Arial" w:hAnsi="Arial" w:cs="Arial"/>
          <w:sz w:val="22"/>
        </w:rPr>
        <w:t>relacionadas</w:t>
      </w:r>
      <w:r w:rsidRPr="0037664B">
        <w:rPr>
          <w:rFonts w:ascii="Arial" w:hAnsi="Arial" w:cs="Arial"/>
          <w:spacing w:val="44"/>
          <w:sz w:val="22"/>
        </w:rPr>
        <w:t xml:space="preserve"> </w:t>
      </w:r>
      <w:r w:rsidRPr="0037664B">
        <w:rPr>
          <w:rFonts w:ascii="Arial" w:hAnsi="Arial" w:cs="Arial"/>
          <w:sz w:val="22"/>
        </w:rPr>
        <w:t>con</w:t>
      </w:r>
      <w:r w:rsidRPr="0037664B">
        <w:rPr>
          <w:rFonts w:ascii="Arial" w:hAnsi="Arial" w:cs="Arial"/>
          <w:spacing w:val="43"/>
          <w:sz w:val="22"/>
        </w:rPr>
        <w:t xml:space="preserve"> </w:t>
      </w:r>
      <w:r w:rsidRPr="0037664B">
        <w:rPr>
          <w:rFonts w:ascii="Arial" w:hAnsi="Arial" w:cs="Arial"/>
          <w:sz w:val="22"/>
        </w:rPr>
        <w:t>el</w:t>
      </w:r>
      <w:r w:rsidRPr="0037664B">
        <w:rPr>
          <w:rFonts w:ascii="Arial" w:hAnsi="Arial" w:cs="Arial"/>
          <w:spacing w:val="45"/>
          <w:sz w:val="22"/>
        </w:rPr>
        <w:t xml:space="preserve"> </w:t>
      </w:r>
      <w:r w:rsidRPr="0037664B">
        <w:rPr>
          <w:rFonts w:ascii="Arial" w:hAnsi="Arial" w:cs="Arial"/>
          <w:sz w:val="22"/>
        </w:rPr>
        <w:t>objeto</w:t>
      </w:r>
      <w:r w:rsidRPr="0037664B">
        <w:rPr>
          <w:rFonts w:ascii="Arial" w:hAnsi="Arial" w:cs="Arial"/>
          <w:spacing w:val="43"/>
          <w:sz w:val="22"/>
        </w:rPr>
        <w:t xml:space="preserve"> </w:t>
      </w:r>
      <w:r w:rsidRPr="0037664B">
        <w:rPr>
          <w:rFonts w:ascii="Arial" w:hAnsi="Arial" w:cs="Arial"/>
          <w:sz w:val="22"/>
        </w:rPr>
        <w:t>a</w:t>
      </w:r>
      <w:r w:rsidRPr="0037664B">
        <w:rPr>
          <w:rFonts w:ascii="Arial" w:hAnsi="Arial" w:cs="Arial"/>
          <w:spacing w:val="44"/>
          <w:sz w:val="22"/>
        </w:rPr>
        <w:t xml:space="preserve"> </w:t>
      </w:r>
      <w:r w:rsidRPr="0037664B">
        <w:rPr>
          <w:rFonts w:ascii="Arial" w:hAnsi="Arial" w:cs="Arial"/>
          <w:sz w:val="22"/>
        </w:rPr>
        <w:t>contratar</w:t>
      </w:r>
      <w:r w:rsidRPr="0037664B">
        <w:rPr>
          <w:rFonts w:ascii="Arial" w:hAnsi="Arial" w:cs="Arial"/>
          <w:spacing w:val="47"/>
          <w:sz w:val="22"/>
        </w:rPr>
        <w:t xml:space="preserve"> </w:t>
      </w:r>
      <w:r w:rsidRPr="0037664B">
        <w:rPr>
          <w:rFonts w:ascii="Arial" w:hAnsi="Arial" w:cs="Arial"/>
          <w:sz w:val="22"/>
        </w:rPr>
        <w:t>y,</w:t>
      </w:r>
      <w:r w:rsidRPr="0037664B">
        <w:rPr>
          <w:rFonts w:ascii="Arial" w:hAnsi="Arial" w:cs="Arial"/>
          <w:spacing w:val="44"/>
          <w:sz w:val="22"/>
        </w:rPr>
        <w:t xml:space="preserve"> </w:t>
      </w:r>
      <w:r>
        <w:rPr>
          <w:rFonts w:ascii="Arial" w:hAnsi="Arial" w:cs="Arial"/>
          <w:sz w:val="22"/>
        </w:rPr>
        <w:t>en</w:t>
      </w:r>
      <w:r w:rsidRPr="0037664B">
        <w:rPr>
          <w:rFonts w:ascii="Arial" w:hAnsi="Arial" w:cs="Arial"/>
          <w:spacing w:val="46"/>
          <w:sz w:val="22"/>
        </w:rPr>
        <w:t xml:space="preserve"> </w:t>
      </w:r>
      <w:r w:rsidRPr="0037664B">
        <w:rPr>
          <w:rFonts w:ascii="Arial" w:hAnsi="Arial" w:cs="Arial"/>
          <w:sz w:val="22"/>
        </w:rPr>
        <w:t>virtud</w:t>
      </w:r>
      <w:r w:rsidRPr="0037664B">
        <w:rPr>
          <w:rFonts w:ascii="Arial" w:hAnsi="Arial" w:cs="Arial"/>
          <w:spacing w:val="43"/>
          <w:sz w:val="22"/>
        </w:rPr>
        <w:t xml:space="preserve"> </w:t>
      </w:r>
      <w:r w:rsidRPr="0037664B">
        <w:rPr>
          <w:rFonts w:ascii="Arial" w:hAnsi="Arial" w:cs="Arial"/>
          <w:sz w:val="22"/>
        </w:rPr>
        <w:t>de</w:t>
      </w:r>
      <w:r w:rsidRPr="0037664B">
        <w:rPr>
          <w:rFonts w:ascii="Arial" w:hAnsi="Arial" w:cs="Arial"/>
          <w:spacing w:val="44"/>
          <w:sz w:val="22"/>
        </w:rPr>
        <w:t xml:space="preserve"> </w:t>
      </w:r>
      <w:r w:rsidRPr="0037664B">
        <w:rPr>
          <w:rFonts w:ascii="Arial" w:hAnsi="Arial" w:cs="Arial"/>
          <w:sz w:val="22"/>
        </w:rPr>
        <w:t>la</w:t>
      </w:r>
      <w:r w:rsidRPr="0037664B">
        <w:rPr>
          <w:rFonts w:ascii="Arial" w:hAnsi="Arial" w:cs="Arial"/>
          <w:spacing w:val="43"/>
          <w:sz w:val="22"/>
        </w:rPr>
        <w:t xml:space="preserve"> </w:t>
      </w:r>
      <w:r w:rsidRPr="0037664B">
        <w:rPr>
          <w:rFonts w:ascii="Arial" w:hAnsi="Arial" w:cs="Arial"/>
          <w:sz w:val="22"/>
        </w:rPr>
        <w:t>ley, también pueden hacer</w:t>
      </w:r>
      <w:r>
        <w:rPr>
          <w:rFonts w:ascii="Arial" w:hAnsi="Arial" w:cs="Arial"/>
          <w:sz w:val="22"/>
        </w:rPr>
        <w:t>lo</w:t>
      </w:r>
      <w:r w:rsidRPr="0037664B">
        <w:rPr>
          <w:rFonts w:ascii="Arial" w:hAnsi="Arial" w:cs="Arial"/>
          <w:sz w:val="22"/>
        </w:rPr>
        <w:t xml:space="preserve"> los consorcios y </w:t>
      </w:r>
      <w:r>
        <w:rPr>
          <w:rFonts w:ascii="Arial" w:hAnsi="Arial" w:cs="Arial"/>
          <w:sz w:val="22"/>
        </w:rPr>
        <w:t xml:space="preserve">las </w:t>
      </w:r>
      <w:r w:rsidRPr="0037664B">
        <w:rPr>
          <w:rFonts w:ascii="Arial" w:hAnsi="Arial" w:cs="Arial"/>
          <w:sz w:val="22"/>
        </w:rPr>
        <w:t>uniones temporales.</w:t>
      </w:r>
      <w:r>
        <w:rPr>
          <w:rFonts w:ascii="Arial" w:hAnsi="Arial" w:cs="Arial"/>
          <w:sz w:val="22"/>
        </w:rPr>
        <w:t xml:space="preserve"> Si bien </w:t>
      </w:r>
      <w:r w:rsidRPr="0037664B">
        <w:rPr>
          <w:rFonts w:ascii="Arial" w:hAnsi="Arial" w:cs="Arial"/>
          <w:sz w:val="22"/>
        </w:rPr>
        <w:t>no son personas jurídicas</w:t>
      </w:r>
      <w:r>
        <w:rPr>
          <w:rFonts w:ascii="Arial" w:hAnsi="Arial" w:cs="Arial"/>
          <w:sz w:val="22"/>
        </w:rPr>
        <w:t>, e</w:t>
      </w:r>
      <w:r w:rsidRPr="0037664B">
        <w:rPr>
          <w:rFonts w:ascii="Arial" w:hAnsi="Arial" w:cs="Arial"/>
          <w:sz w:val="22"/>
        </w:rPr>
        <w:t>l artículo 7 de la Ley 80 de 1993 define estos sujetos para la presentación de oferta</w:t>
      </w:r>
      <w:r>
        <w:rPr>
          <w:rFonts w:ascii="Arial" w:hAnsi="Arial" w:cs="Arial"/>
          <w:sz w:val="22"/>
        </w:rPr>
        <w:t>s</w:t>
      </w:r>
      <w:r w:rsidRPr="0037664B">
        <w:rPr>
          <w:rFonts w:ascii="Arial" w:hAnsi="Arial" w:cs="Arial"/>
          <w:sz w:val="22"/>
        </w:rPr>
        <w:t xml:space="preserve"> por un número plural de interesados</w:t>
      </w:r>
      <w:r>
        <w:rPr>
          <w:rFonts w:ascii="Arial" w:hAnsi="Arial" w:cs="Arial"/>
          <w:sz w:val="22"/>
        </w:rPr>
        <w:t xml:space="preserve">. </w:t>
      </w:r>
      <w:r w:rsidR="00AB5263">
        <w:rPr>
          <w:rFonts w:ascii="Arial" w:hAnsi="Arial" w:cs="Arial"/>
          <w:sz w:val="22"/>
        </w:rPr>
        <w:t>En lo pertinente, l</w:t>
      </w:r>
      <w:r>
        <w:rPr>
          <w:rFonts w:ascii="Arial" w:hAnsi="Arial" w:cs="Arial"/>
          <w:sz w:val="22"/>
        </w:rPr>
        <w:t xml:space="preserve">a norma dispone </w:t>
      </w:r>
      <w:r w:rsidR="00DA546F">
        <w:rPr>
          <w:rFonts w:ascii="Arial" w:hAnsi="Arial" w:cs="Arial"/>
          <w:sz w:val="22"/>
        </w:rPr>
        <w:t>lo siguiente</w:t>
      </w:r>
      <w:r w:rsidRPr="0037664B">
        <w:rPr>
          <w:rFonts w:ascii="Arial" w:hAnsi="Arial" w:cs="Arial"/>
          <w:sz w:val="22"/>
        </w:rPr>
        <w:t>:</w:t>
      </w:r>
    </w:p>
    <w:p w14:paraId="5F7DCD3B" w14:textId="77777777" w:rsidR="00813F60" w:rsidRPr="0037664B" w:rsidRDefault="00813F60" w:rsidP="00813F60">
      <w:pPr>
        <w:pStyle w:val="Textoindependiente"/>
        <w:rPr>
          <w:sz w:val="25"/>
          <w:lang w:val="es-CO"/>
        </w:rPr>
      </w:pPr>
    </w:p>
    <w:p w14:paraId="78374398" w14:textId="77777777" w:rsidR="00813F60" w:rsidRPr="0037664B" w:rsidRDefault="00813F60" w:rsidP="00813F60">
      <w:pPr>
        <w:pStyle w:val="Textoindependiente"/>
        <w:spacing w:after="120"/>
        <w:ind w:left="709" w:right="709"/>
        <w:jc w:val="both"/>
        <w:rPr>
          <w:sz w:val="21"/>
          <w:szCs w:val="21"/>
          <w:lang w:val="es-CO"/>
        </w:rPr>
      </w:pPr>
      <w:r w:rsidRPr="0037664B">
        <w:rPr>
          <w:sz w:val="21"/>
          <w:szCs w:val="21"/>
          <w:lang w:val="es-CO"/>
        </w:rPr>
        <w:t>Para los efectos de esta ley se entiende por:</w:t>
      </w:r>
    </w:p>
    <w:p w14:paraId="7B292563" w14:textId="77777777" w:rsidR="00813F60" w:rsidRPr="0037664B" w:rsidRDefault="00813F60" w:rsidP="00813F60">
      <w:pPr>
        <w:pStyle w:val="Textoindependiente"/>
        <w:spacing w:after="120"/>
        <w:ind w:left="709" w:right="709"/>
        <w:jc w:val="both"/>
        <w:rPr>
          <w:sz w:val="21"/>
          <w:szCs w:val="21"/>
          <w:lang w:val="es-CO"/>
        </w:rPr>
      </w:pPr>
      <w:r w:rsidRPr="0037664B">
        <w:rPr>
          <w:sz w:val="21"/>
          <w:szCs w:val="21"/>
          <w:lang w:val="es-CO"/>
        </w:rPr>
        <w:t>1o. Consorcio:</w:t>
      </w:r>
    </w:p>
    <w:p w14:paraId="748C3AE0" w14:textId="77777777" w:rsidR="00813F60" w:rsidRPr="0037664B" w:rsidRDefault="00813F60" w:rsidP="00813F60">
      <w:pPr>
        <w:pStyle w:val="Textoindependiente"/>
        <w:spacing w:after="120"/>
        <w:ind w:left="709" w:right="709"/>
        <w:jc w:val="both"/>
        <w:rPr>
          <w:sz w:val="21"/>
          <w:szCs w:val="21"/>
          <w:lang w:val="es-CO"/>
        </w:rPr>
      </w:pPr>
      <w:r w:rsidRPr="0037664B">
        <w:rPr>
          <w:sz w:val="21"/>
          <w:szCs w:val="21"/>
          <w:lang w:val="es-CO"/>
        </w:rPr>
        <w:t xml:space="preserve">Cuando dos o más personas en forma conjunta presentan una misma propuesta para la adjudicación, celebración y ejecución de un contrato, respondiendo solidariamente de todas y cada una de las obligaciones derivadas de la </w:t>
      </w:r>
      <w:r w:rsidRPr="0037664B">
        <w:rPr>
          <w:sz w:val="21"/>
          <w:szCs w:val="21"/>
          <w:lang w:val="es-CO"/>
        </w:rPr>
        <w:lastRenderedPageBreak/>
        <w:t>propuesta y del contrato. En consecuencia, las actuaciones, hechos y omisiones que se presenten en desarrollo de la propuesta y del contrato, afectarán a todos los miembros que lo</w:t>
      </w:r>
      <w:r w:rsidRPr="0037664B">
        <w:rPr>
          <w:spacing w:val="-13"/>
          <w:sz w:val="21"/>
          <w:szCs w:val="21"/>
          <w:lang w:val="es-CO"/>
        </w:rPr>
        <w:t xml:space="preserve"> </w:t>
      </w:r>
      <w:r w:rsidRPr="0037664B">
        <w:rPr>
          <w:sz w:val="21"/>
          <w:szCs w:val="21"/>
          <w:lang w:val="es-CO"/>
        </w:rPr>
        <w:t>conforman.</w:t>
      </w:r>
    </w:p>
    <w:p w14:paraId="42BBA394" w14:textId="77777777" w:rsidR="00813F60" w:rsidRPr="0037664B" w:rsidRDefault="00813F60" w:rsidP="00813F60">
      <w:pPr>
        <w:pStyle w:val="Textoindependiente"/>
        <w:spacing w:after="120"/>
        <w:ind w:left="709" w:right="709"/>
        <w:jc w:val="both"/>
        <w:rPr>
          <w:sz w:val="21"/>
          <w:szCs w:val="21"/>
          <w:lang w:val="es-CO"/>
        </w:rPr>
      </w:pPr>
      <w:r w:rsidRPr="0037664B">
        <w:rPr>
          <w:sz w:val="21"/>
          <w:szCs w:val="21"/>
          <w:lang w:val="es-CO"/>
        </w:rPr>
        <w:t>2o. Unión Temporal:</w:t>
      </w:r>
    </w:p>
    <w:p w14:paraId="337F3683" w14:textId="7FC6F84A" w:rsidR="00813F60" w:rsidRDefault="00813F60" w:rsidP="00AB5263">
      <w:pPr>
        <w:pStyle w:val="Textoindependiente"/>
        <w:ind w:left="709" w:right="709"/>
        <w:jc w:val="both"/>
        <w:rPr>
          <w:sz w:val="21"/>
          <w:szCs w:val="21"/>
          <w:lang w:val="es-CO"/>
        </w:rPr>
      </w:pPr>
      <w:r w:rsidRPr="0037664B">
        <w:rPr>
          <w:sz w:val="21"/>
          <w:szCs w:val="21"/>
          <w:lang w:val="es-CO"/>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0F3020A1" w14:textId="52157604" w:rsidR="00AB5263" w:rsidRPr="0037664B" w:rsidRDefault="00AB5263" w:rsidP="00AB5263">
      <w:pPr>
        <w:pStyle w:val="Textoindependiente"/>
        <w:ind w:left="709" w:right="709"/>
        <w:jc w:val="both"/>
        <w:rPr>
          <w:sz w:val="21"/>
          <w:szCs w:val="21"/>
          <w:lang w:val="es-CO"/>
        </w:rPr>
      </w:pPr>
      <w:r>
        <w:rPr>
          <w:sz w:val="21"/>
          <w:szCs w:val="21"/>
          <w:lang w:val="es-CO"/>
        </w:rPr>
        <w:t xml:space="preserve">[…] </w:t>
      </w:r>
    </w:p>
    <w:p w14:paraId="3A21B6BB" w14:textId="13D5A2A3" w:rsidR="00813F60" w:rsidRPr="0037664B" w:rsidRDefault="00813F60" w:rsidP="00813F60">
      <w:pPr>
        <w:pStyle w:val="Textoindependiente"/>
        <w:spacing w:line="276" w:lineRule="auto"/>
        <w:ind w:left="709" w:right="736"/>
        <w:jc w:val="both"/>
        <w:rPr>
          <w:sz w:val="21"/>
          <w:szCs w:val="21"/>
          <w:lang w:val="es-CO"/>
        </w:rPr>
      </w:pPr>
    </w:p>
    <w:p w14:paraId="5958849B" w14:textId="6F94837C" w:rsidR="00813F60" w:rsidRPr="0037664B" w:rsidRDefault="00813F60" w:rsidP="00AB5263">
      <w:pPr>
        <w:pStyle w:val="Textoindependiente"/>
        <w:spacing w:after="120" w:line="276" w:lineRule="auto"/>
        <w:ind w:right="306" w:firstLine="709"/>
        <w:jc w:val="both"/>
        <w:rPr>
          <w:sz w:val="21"/>
          <w:szCs w:val="21"/>
          <w:lang w:val="es-CO"/>
        </w:rPr>
      </w:pPr>
      <w:r w:rsidRPr="0037664B">
        <w:rPr>
          <w:lang w:val="es-CO"/>
        </w:rPr>
        <w:t>Los consorcios</w:t>
      </w:r>
      <w:r>
        <w:rPr>
          <w:lang w:val="es-CO"/>
        </w:rPr>
        <w:t xml:space="preserve"> </w:t>
      </w:r>
      <w:r w:rsidRPr="0037664B">
        <w:rPr>
          <w:lang w:val="es-CO"/>
        </w:rPr>
        <w:t xml:space="preserve">o uniones temporales son convenios de asociación provenientes de la colaboración empresarial, mediante los cuales sus integrantes se unen y </w:t>
      </w:r>
      <w:r>
        <w:rPr>
          <w:lang w:val="es-CO"/>
        </w:rPr>
        <w:t xml:space="preserve">se </w:t>
      </w:r>
      <w:r w:rsidRPr="0037664B">
        <w:rPr>
          <w:lang w:val="es-CO"/>
        </w:rPr>
        <w:t>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37664B">
        <w:rPr>
          <w:rStyle w:val="Refdenotaalpie"/>
          <w:lang w:val="es-CO"/>
        </w:rPr>
        <w:footnoteReference w:id="1"/>
      </w:r>
      <w:r w:rsidRPr="0037664B">
        <w:rPr>
          <w:lang w:val="es-CO"/>
        </w:rPr>
        <w:t xml:space="preserve">. La diferencia radica en la responsabilidad frente a las eventuales sanciones por el incumplimiento de las obligaciones, toda vez que tratándose de una unión temporal, </w:t>
      </w:r>
      <w:r>
        <w:rPr>
          <w:lang w:val="es-CO"/>
        </w:rPr>
        <w:t>e</w:t>
      </w:r>
      <w:r w:rsidRPr="0037664B">
        <w:rPr>
          <w:lang w:val="es-CO"/>
        </w:rPr>
        <w:t xml:space="preserve">stas se individualizan según </w:t>
      </w:r>
      <w:r>
        <w:rPr>
          <w:lang w:val="es-CO"/>
        </w:rPr>
        <w:t>la</w:t>
      </w:r>
      <w:r w:rsidRPr="0037664B">
        <w:rPr>
          <w:lang w:val="es-CO"/>
        </w:rPr>
        <w:t xml:space="preserve"> participación de sus miembros, mientras que en el consorcio </w:t>
      </w:r>
      <w:r>
        <w:rPr>
          <w:lang w:val="es-CO"/>
        </w:rPr>
        <w:t>los</w:t>
      </w:r>
      <w:r w:rsidRPr="0037664B">
        <w:rPr>
          <w:lang w:val="es-CO"/>
        </w:rPr>
        <w:t xml:space="preserve"> miembros responden </w:t>
      </w:r>
      <w:r>
        <w:rPr>
          <w:lang w:val="es-CO"/>
        </w:rPr>
        <w:t>solidariamente, con independencia de este aspecto</w:t>
      </w:r>
      <w:r>
        <w:rPr>
          <w:rStyle w:val="Refdenotaalpie"/>
          <w:lang w:val="es-CO"/>
        </w:rPr>
        <w:footnoteReference w:id="2"/>
      </w:r>
      <w:r w:rsidRPr="0037664B">
        <w:rPr>
          <w:lang w:val="es-CO"/>
        </w:rPr>
        <w:t xml:space="preserve">. </w:t>
      </w:r>
    </w:p>
    <w:p w14:paraId="33E404B4" w14:textId="347B1B4E" w:rsidR="00813F60" w:rsidRPr="0037664B" w:rsidRDefault="00813F60" w:rsidP="00813F60">
      <w:pPr>
        <w:spacing w:after="120" w:line="276" w:lineRule="auto"/>
        <w:ind w:firstLine="709"/>
        <w:jc w:val="both"/>
        <w:rPr>
          <w:rFonts w:ascii="Arial" w:hAnsi="Arial" w:cs="Arial"/>
          <w:sz w:val="22"/>
        </w:rPr>
      </w:pPr>
      <w:r>
        <w:rPr>
          <w:rFonts w:ascii="Arial" w:hAnsi="Arial" w:cs="Arial"/>
          <w:sz w:val="22"/>
        </w:rPr>
        <w:lastRenderedPageBreak/>
        <w:t xml:space="preserve">En la medida </w:t>
      </w:r>
      <w:r w:rsidR="002C4D04">
        <w:rPr>
          <w:rFonts w:ascii="Arial" w:hAnsi="Arial" w:cs="Arial"/>
          <w:sz w:val="22"/>
        </w:rPr>
        <w:t xml:space="preserve">en </w:t>
      </w:r>
      <w:r>
        <w:rPr>
          <w:rFonts w:ascii="Arial" w:hAnsi="Arial" w:cs="Arial"/>
          <w:sz w:val="22"/>
        </w:rPr>
        <w:t>que los consorcios y las uniones temporales no son personas jurídicas</w:t>
      </w:r>
      <w:r w:rsidRPr="0037664B">
        <w:rPr>
          <w:rFonts w:ascii="Arial" w:hAnsi="Arial" w:cs="Arial"/>
          <w:sz w:val="22"/>
        </w:rPr>
        <w:t xml:space="preserve">, su creación </w:t>
      </w:r>
      <w:r>
        <w:rPr>
          <w:rFonts w:ascii="Arial" w:hAnsi="Arial" w:cs="Arial"/>
          <w:sz w:val="22"/>
        </w:rPr>
        <w:t>depende de</w:t>
      </w:r>
      <w:r w:rsidRPr="0037664B">
        <w:rPr>
          <w:rFonts w:ascii="Arial" w:hAnsi="Arial" w:cs="Arial"/>
          <w:sz w:val="22"/>
        </w:rPr>
        <w:t xml:space="preserve"> un acuerdo privado en el que concurre la voluntad de sus integrantes para regular su objeto, la participación de los miembros, las obligaciones frente al proyecto, la responsabilidad de los miembros</w:t>
      </w:r>
      <w:r>
        <w:rPr>
          <w:rFonts w:ascii="Arial" w:hAnsi="Arial" w:cs="Arial"/>
          <w:sz w:val="22"/>
        </w:rPr>
        <w:t>,</w:t>
      </w:r>
      <w:r w:rsidRPr="0037664B">
        <w:rPr>
          <w:rFonts w:ascii="Arial" w:hAnsi="Arial" w:cs="Arial"/>
          <w:sz w:val="22"/>
        </w:rPr>
        <w:t xml:space="preserve"> la forma en que regirán sus relaciones internas y el relacionamiento con la entidad contratante, mediante la designación de un representante</w:t>
      </w:r>
      <w:r>
        <w:rPr>
          <w:rFonts w:ascii="Arial" w:hAnsi="Arial" w:cs="Arial"/>
          <w:sz w:val="22"/>
        </w:rPr>
        <w:t>, conforme</w:t>
      </w:r>
      <w:r w:rsidRPr="0037664B">
        <w:rPr>
          <w:rFonts w:ascii="Arial" w:hAnsi="Arial" w:cs="Arial"/>
          <w:sz w:val="22"/>
        </w:rPr>
        <w:t xml:space="preserve"> el parágrafo </w:t>
      </w:r>
      <w:r>
        <w:rPr>
          <w:rFonts w:ascii="Arial" w:hAnsi="Arial" w:cs="Arial"/>
          <w:sz w:val="22"/>
        </w:rPr>
        <w:t xml:space="preserve">1 </w:t>
      </w:r>
      <w:r w:rsidRPr="0037664B">
        <w:rPr>
          <w:rFonts w:ascii="Arial" w:hAnsi="Arial" w:cs="Arial"/>
          <w:sz w:val="22"/>
        </w:rPr>
        <w:t xml:space="preserve">del artículo 7 de la Ley 80 de 1993. Por lo anterior, </w:t>
      </w:r>
      <w:r>
        <w:rPr>
          <w:rFonts w:ascii="Arial" w:hAnsi="Arial" w:cs="Arial"/>
          <w:sz w:val="22"/>
        </w:rPr>
        <w:t>la</w:t>
      </w:r>
      <w:r w:rsidRPr="0037664B">
        <w:rPr>
          <w:rFonts w:ascii="Arial" w:hAnsi="Arial" w:cs="Arial"/>
          <w:sz w:val="22"/>
        </w:rPr>
        <w:t xml:space="preserve"> constitución del consorcio o unión temporal </w:t>
      </w:r>
      <w:r>
        <w:rPr>
          <w:rFonts w:ascii="Arial" w:hAnsi="Arial" w:cs="Arial"/>
          <w:sz w:val="22"/>
        </w:rPr>
        <w:t>supone</w:t>
      </w:r>
      <w:r w:rsidRPr="0037664B">
        <w:rPr>
          <w:rFonts w:ascii="Arial" w:hAnsi="Arial" w:cs="Arial"/>
          <w:sz w:val="22"/>
        </w:rPr>
        <w:t xml:space="preserve"> </w:t>
      </w:r>
      <w:r>
        <w:rPr>
          <w:rFonts w:ascii="Arial" w:hAnsi="Arial" w:cs="Arial"/>
          <w:sz w:val="22"/>
        </w:rPr>
        <w:t>la asignación de</w:t>
      </w:r>
      <w:r w:rsidRPr="0037664B">
        <w:rPr>
          <w:rFonts w:ascii="Arial" w:hAnsi="Arial" w:cs="Arial"/>
          <w:sz w:val="22"/>
        </w:rPr>
        <w:t xml:space="preserve"> facultades </w:t>
      </w:r>
      <w:r>
        <w:rPr>
          <w:rFonts w:ascii="Arial" w:hAnsi="Arial" w:cs="Arial"/>
          <w:sz w:val="22"/>
        </w:rPr>
        <w:t>a</w:t>
      </w:r>
      <w:r w:rsidRPr="0037664B">
        <w:rPr>
          <w:rFonts w:ascii="Arial" w:hAnsi="Arial" w:cs="Arial"/>
          <w:sz w:val="22"/>
        </w:rPr>
        <w:t xml:space="preserve">l </w:t>
      </w:r>
      <w:r w:rsidRPr="0037664B">
        <w:rPr>
          <w:rFonts w:ascii="Arial" w:hAnsi="Arial" w:cs="Arial"/>
          <w:sz w:val="22"/>
          <w:shd w:val="clear" w:color="auto" w:fill="FFFFFF"/>
        </w:rPr>
        <w:t>«</w:t>
      </w:r>
      <w:r w:rsidRPr="0037664B">
        <w:rPr>
          <w:rFonts w:ascii="Arial" w:hAnsi="Arial" w:cs="Arial"/>
          <w:sz w:val="22"/>
        </w:rPr>
        <w:t>representante</w:t>
      </w:r>
      <w:r w:rsidRPr="0037664B">
        <w:rPr>
          <w:rFonts w:ascii="Arial" w:hAnsi="Arial" w:cs="Arial"/>
          <w:sz w:val="22"/>
          <w:shd w:val="clear" w:color="auto" w:fill="FFFFFF"/>
        </w:rPr>
        <w:t>»</w:t>
      </w:r>
      <w:r w:rsidRPr="0037664B">
        <w:rPr>
          <w:rFonts w:ascii="Arial" w:hAnsi="Arial" w:cs="Arial"/>
          <w:sz w:val="22"/>
        </w:rPr>
        <w:t xml:space="preserve"> del </w:t>
      </w:r>
      <w:r>
        <w:rPr>
          <w:rFonts w:ascii="Arial" w:hAnsi="Arial" w:cs="Arial"/>
          <w:sz w:val="22"/>
        </w:rPr>
        <w:t>proponente plural, pues –para efectos d</w:t>
      </w:r>
      <w:r w:rsidRPr="0037664B">
        <w:rPr>
          <w:rFonts w:ascii="Arial" w:hAnsi="Arial" w:cs="Arial"/>
          <w:sz w:val="22"/>
        </w:rPr>
        <w:t>el artículo 1505 del Código Civil</w:t>
      </w:r>
      <w:r>
        <w:rPr>
          <w:rFonts w:ascii="Arial" w:hAnsi="Arial" w:cs="Arial"/>
          <w:sz w:val="22"/>
        </w:rPr>
        <w:t>–</w:t>
      </w:r>
      <w:r w:rsidRPr="0037664B">
        <w:rPr>
          <w:rFonts w:ascii="Arial" w:hAnsi="Arial" w:cs="Arial"/>
          <w:sz w:val="22"/>
        </w:rPr>
        <w:t xml:space="preserve">  </w:t>
      </w:r>
      <w:r w:rsidRPr="0037664B">
        <w:rPr>
          <w:rFonts w:ascii="Arial" w:hAnsi="Arial" w:cs="Arial"/>
          <w:sz w:val="22"/>
          <w:shd w:val="clear" w:color="auto" w:fill="FFFFFF"/>
        </w:rPr>
        <w:t>«</w:t>
      </w:r>
      <w:r w:rsidRPr="0037664B">
        <w:rPr>
          <w:rFonts w:ascii="Arial" w:hAnsi="Arial" w:cs="Arial"/>
          <w:sz w:val="22"/>
        </w:rPr>
        <w:t>Lo que una persona ejecuta a nombre de otra, estando facultada por ella o por la ley para representarla, produce respecto del representado iguales efectos que si hubiese contratado él</w:t>
      </w:r>
      <w:r w:rsidRPr="0037664B">
        <w:rPr>
          <w:rFonts w:ascii="Arial" w:hAnsi="Arial" w:cs="Arial"/>
          <w:spacing w:val="-3"/>
          <w:sz w:val="22"/>
        </w:rPr>
        <w:t xml:space="preserve"> </w:t>
      </w:r>
      <w:r w:rsidRPr="0037664B">
        <w:rPr>
          <w:rFonts w:ascii="Arial" w:hAnsi="Arial" w:cs="Arial"/>
          <w:sz w:val="22"/>
        </w:rPr>
        <w:t>mismo»</w:t>
      </w:r>
      <w:r>
        <w:rPr>
          <w:rFonts w:ascii="Arial" w:hAnsi="Arial" w:cs="Arial"/>
          <w:sz w:val="22"/>
        </w:rPr>
        <w:t>.</w:t>
      </w:r>
    </w:p>
    <w:p w14:paraId="4D95316D" w14:textId="3132F849" w:rsidR="00813F60" w:rsidRPr="0037664B" w:rsidRDefault="00813F60" w:rsidP="00813F60">
      <w:pPr>
        <w:spacing w:after="120" w:line="276" w:lineRule="auto"/>
        <w:ind w:firstLine="709"/>
        <w:jc w:val="both"/>
        <w:rPr>
          <w:rFonts w:ascii="Arial" w:hAnsi="Arial" w:cs="Arial"/>
          <w:sz w:val="21"/>
          <w:szCs w:val="21"/>
        </w:rPr>
      </w:pPr>
      <w:r w:rsidRPr="0037664B">
        <w:rPr>
          <w:rFonts w:ascii="Arial" w:hAnsi="Arial" w:cs="Arial"/>
          <w:sz w:val="22"/>
        </w:rPr>
        <w:t>E</w:t>
      </w:r>
      <w:r>
        <w:rPr>
          <w:rFonts w:ascii="Arial" w:hAnsi="Arial" w:cs="Arial"/>
          <w:sz w:val="22"/>
        </w:rPr>
        <w:t>n el derecho privado, e</w:t>
      </w:r>
      <w:r w:rsidRPr="0037664B">
        <w:rPr>
          <w:rFonts w:ascii="Arial" w:hAnsi="Arial" w:cs="Arial"/>
          <w:sz w:val="22"/>
        </w:rPr>
        <w:t xml:space="preserve">l acuerdo de voluntades que constituye el consorcio o unión temporal </w:t>
      </w:r>
      <w:r w:rsidR="005212B7">
        <w:rPr>
          <w:rFonts w:ascii="Arial" w:hAnsi="Arial" w:cs="Arial"/>
          <w:sz w:val="22"/>
        </w:rPr>
        <w:t>es</w:t>
      </w:r>
      <w:r w:rsidRPr="0037664B">
        <w:rPr>
          <w:rFonts w:ascii="Arial" w:hAnsi="Arial" w:cs="Arial"/>
          <w:sz w:val="22"/>
        </w:rPr>
        <w:t xml:space="preserve"> un contrato principal, oneroso, conmutativo, bilateral o plurilateral</w:t>
      </w:r>
      <w:r w:rsidRPr="0037664B">
        <w:rPr>
          <w:rStyle w:val="Refdenotaalpie"/>
          <w:rFonts w:ascii="Arial" w:hAnsi="Arial" w:cs="Arial"/>
          <w:sz w:val="22"/>
        </w:rPr>
        <w:footnoteReference w:id="3"/>
      </w:r>
      <w:r w:rsidRPr="0037664B">
        <w:rPr>
          <w:rFonts w:ascii="Arial" w:hAnsi="Arial" w:cs="Arial"/>
          <w:sz w:val="22"/>
        </w:rPr>
        <w:t>. E</w:t>
      </w:r>
      <w:r w:rsidR="000C4A2C">
        <w:rPr>
          <w:rFonts w:ascii="Arial" w:hAnsi="Arial" w:cs="Arial"/>
          <w:sz w:val="22"/>
        </w:rPr>
        <w:t>n el derecho público, e</w:t>
      </w:r>
      <w:r w:rsidRPr="0037664B">
        <w:rPr>
          <w:rFonts w:ascii="Arial" w:hAnsi="Arial" w:cs="Arial"/>
          <w:sz w:val="22"/>
        </w:rPr>
        <w:t xml:space="preserve">l ente debidamente constituido será un sujeto con capacidad para contratar, para ejecutar las obligaciones y </w:t>
      </w:r>
      <w:r w:rsidR="000C4A2C">
        <w:rPr>
          <w:rFonts w:ascii="Arial" w:hAnsi="Arial" w:cs="Arial"/>
          <w:sz w:val="22"/>
        </w:rPr>
        <w:t>ejercer</w:t>
      </w:r>
      <w:r w:rsidRPr="0037664B">
        <w:rPr>
          <w:rFonts w:ascii="Arial" w:hAnsi="Arial" w:cs="Arial"/>
          <w:sz w:val="22"/>
        </w:rPr>
        <w:t xml:space="preserve"> los derechos que </w:t>
      </w:r>
      <w:r>
        <w:rPr>
          <w:rFonts w:ascii="Arial" w:hAnsi="Arial" w:cs="Arial"/>
          <w:sz w:val="22"/>
        </w:rPr>
        <w:t>derivan</w:t>
      </w:r>
      <w:r w:rsidRPr="0037664B">
        <w:rPr>
          <w:rFonts w:ascii="Arial" w:hAnsi="Arial" w:cs="Arial"/>
          <w:sz w:val="22"/>
        </w:rPr>
        <w:t xml:space="preserve"> del contrato</w:t>
      </w:r>
      <w:r w:rsidR="000C4A2C">
        <w:rPr>
          <w:rFonts w:ascii="Arial" w:hAnsi="Arial" w:cs="Arial"/>
          <w:sz w:val="22"/>
        </w:rPr>
        <w:t>, así como</w:t>
      </w:r>
      <w:r w:rsidRPr="0037664B">
        <w:rPr>
          <w:rFonts w:ascii="Arial" w:hAnsi="Arial" w:cs="Arial"/>
          <w:sz w:val="22"/>
        </w:rPr>
        <w:t xml:space="preserve"> para interrelacionarse con la entidad estatal contratante en todo lo </w:t>
      </w:r>
      <w:r w:rsidR="000C4A2C">
        <w:rPr>
          <w:rFonts w:ascii="Arial" w:hAnsi="Arial" w:cs="Arial"/>
          <w:sz w:val="22"/>
        </w:rPr>
        <w:t>referente a la ejecución del objeto contractual</w:t>
      </w:r>
      <w:r w:rsidRPr="0037664B">
        <w:rPr>
          <w:rFonts w:ascii="Arial" w:hAnsi="Arial" w:cs="Arial"/>
          <w:sz w:val="22"/>
        </w:rPr>
        <w:t xml:space="preserve">. Inclusive, los consorcios y uniones temporales, </w:t>
      </w:r>
      <w:r>
        <w:rPr>
          <w:rFonts w:ascii="Arial" w:hAnsi="Arial" w:cs="Arial"/>
          <w:sz w:val="22"/>
        </w:rPr>
        <w:t>a través</w:t>
      </w:r>
      <w:r w:rsidRPr="0037664B">
        <w:rPr>
          <w:rFonts w:ascii="Arial" w:hAnsi="Arial" w:cs="Arial"/>
          <w:sz w:val="22"/>
        </w:rPr>
        <w:t xml:space="preserve"> de su representante, tienen capacidad y están legitimados para comparecer al proceso, en orden </w:t>
      </w:r>
      <w:r w:rsidR="000C4A2C">
        <w:rPr>
          <w:rFonts w:ascii="Arial" w:hAnsi="Arial" w:cs="Arial"/>
          <w:sz w:val="22"/>
        </w:rPr>
        <w:t>de proteger</w:t>
      </w:r>
      <w:r w:rsidRPr="0037664B">
        <w:rPr>
          <w:rFonts w:ascii="Arial" w:hAnsi="Arial" w:cs="Arial"/>
          <w:sz w:val="22"/>
        </w:rPr>
        <w:t xml:space="preserve"> sus derechos o responder por el incumplimiento de sus</w:t>
      </w:r>
      <w:r w:rsidRPr="0037664B">
        <w:rPr>
          <w:rFonts w:ascii="Arial" w:hAnsi="Arial" w:cs="Arial"/>
          <w:spacing w:val="-5"/>
          <w:sz w:val="22"/>
        </w:rPr>
        <w:t xml:space="preserve"> </w:t>
      </w:r>
      <w:r w:rsidRPr="0037664B">
        <w:rPr>
          <w:rFonts w:ascii="Arial" w:hAnsi="Arial" w:cs="Arial"/>
          <w:sz w:val="22"/>
        </w:rPr>
        <w:t>obligaciones</w:t>
      </w:r>
      <w:r>
        <w:rPr>
          <w:rStyle w:val="Refdenotaalpie"/>
          <w:rFonts w:ascii="Arial" w:hAnsi="Arial" w:cs="Arial"/>
          <w:sz w:val="22"/>
        </w:rPr>
        <w:footnoteReference w:id="4"/>
      </w:r>
      <w:r w:rsidRPr="0037664B">
        <w:rPr>
          <w:rFonts w:ascii="Arial" w:hAnsi="Arial" w:cs="Arial"/>
          <w:sz w:val="22"/>
        </w:rPr>
        <w:t>.</w:t>
      </w:r>
      <w:r>
        <w:rPr>
          <w:rFonts w:ascii="Arial" w:hAnsi="Arial" w:cs="Arial"/>
          <w:sz w:val="22"/>
        </w:rPr>
        <w:t xml:space="preserve"> </w:t>
      </w:r>
    </w:p>
    <w:p w14:paraId="57DE0CD5" w14:textId="3B7E9280" w:rsidR="002D2B71" w:rsidRDefault="00813F60" w:rsidP="002D2B71">
      <w:pPr>
        <w:pStyle w:val="Textoindependiente"/>
        <w:spacing w:line="276" w:lineRule="auto"/>
        <w:ind w:firstLine="709"/>
        <w:jc w:val="both"/>
        <w:rPr>
          <w:rFonts w:eastAsia="Calibri"/>
          <w:b/>
          <w:bCs/>
          <w:color w:val="000000" w:themeColor="text1"/>
        </w:rPr>
      </w:pPr>
      <w:r w:rsidRPr="0037664B">
        <w:rPr>
          <w:lang w:val="es-CO"/>
        </w:rPr>
        <w:t xml:space="preserve">En conclusión, los consorcios y uniones temporales no son personas jurídicas, pero </w:t>
      </w:r>
      <w:r w:rsidRPr="0037664B">
        <w:rPr>
          <w:lang w:val="es-CO"/>
        </w:rPr>
        <w:lastRenderedPageBreak/>
        <w:t xml:space="preserve">son entes creados por el acuerdo de voluntades de sus miembros que están facultados, en virtud de la ley, para celebrar y ejecutar contratos con entidades estatales y para ser parte en procesos administrativos y judiciales derivados de </w:t>
      </w:r>
      <w:r>
        <w:rPr>
          <w:lang w:val="es-CO"/>
        </w:rPr>
        <w:t>su</w:t>
      </w:r>
      <w:r w:rsidRPr="0037664B">
        <w:rPr>
          <w:lang w:val="es-CO"/>
        </w:rPr>
        <w:t xml:space="preserve"> celebración y ejecución.</w:t>
      </w:r>
    </w:p>
    <w:p w14:paraId="4A366F80" w14:textId="77777777" w:rsidR="002D2B71" w:rsidRDefault="002D2B71" w:rsidP="00DA546F">
      <w:pPr>
        <w:spacing w:line="276" w:lineRule="auto"/>
        <w:jc w:val="both"/>
        <w:rPr>
          <w:rFonts w:ascii="Arial" w:eastAsia="Calibri" w:hAnsi="Arial" w:cs="Arial"/>
          <w:b/>
          <w:bCs/>
          <w:color w:val="000000" w:themeColor="text1"/>
          <w:sz w:val="22"/>
        </w:rPr>
      </w:pPr>
    </w:p>
    <w:p w14:paraId="08F0D4FB" w14:textId="157CD1C0" w:rsidR="00DA546F" w:rsidRDefault="00DA546F" w:rsidP="00DA546F">
      <w:pPr>
        <w:spacing w:line="276" w:lineRule="auto"/>
        <w:jc w:val="both"/>
        <w:rPr>
          <w:rFonts w:ascii="Arial" w:eastAsia="Calibri" w:hAnsi="Arial" w:cs="Arial"/>
          <w:b/>
          <w:bCs/>
          <w:color w:val="000000" w:themeColor="text1"/>
          <w:sz w:val="22"/>
        </w:rPr>
      </w:pPr>
      <w:r w:rsidRPr="00813F60">
        <w:rPr>
          <w:rFonts w:ascii="Arial" w:eastAsia="Calibri" w:hAnsi="Arial" w:cs="Arial"/>
          <w:b/>
          <w:bCs/>
          <w:color w:val="000000" w:themeColor="text1"/>
          <w:sz w:val="22"/>
        </w:rPr>
        <w:t>2.</w:t>
      </w:r>
      <w:r>
        <w:rPr>
          <w:rFonts w:ascii="Arial" w:eastAsia="Calibri" w:hAnsi="Arial" w:cs="Arial"/>
          <w:b/>
          <w:bCs/>
          <w:color w:val="000000" w:themeColor="text1"/>
          <w:sz w:val="22"/>
        </w:rPr>
        <w:t>2</w:t>
      </w:r>
      <w:r w:rsidRPr="00813F60">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Vigencia de los consorcios y las uniones temporales en </w:t>
      </w:r>
      <w:bookmarkStart w:id="9" w:name="_Hlk49338131"/>
      <w:r>
        <w:rPr>
          <w:rFonts w:ascii="Arial" w:eastAsia="Calibri" w:hAnsi="Arial" w:cs="Arial"/>
          <w:b/>
          <w:bCs/>
          <w:color w:val="000000" w:themeColor="text1"/>
          <w:sz w:val="22"/>
        </w:rPr>
        <w:t>los «Documentos Tipo – Versión 2»</w:t>
      </w:r>
      <w:r w:rsidR="00FD6DBA">
        <w:rPr>
          <w:rFonts w:ascii="Arial" w:eastAsia="Calibri" w:hAnsi="Arial" w:cs="Arial"/>
          <w:b/>
          <w:bCs/>
          <w:color w:val="000000" w:themeColor="text1"/>
          <w:sz w:val="22"/>
        </w:rPr>
        <w:t>,</w:t>
      </w:r>
      <w:r>
        <w:rPr>
          <w:rFonts w:ascii="Arial" w:eastAsia="Calibri" w:hAnsi="Arial" w:cs="Arial"/>
          <w:b/>
          <w:bCs/>
          <w:color w:val="000000" w:themeColor="text1"/>
          <w:sz w:val="22"/>
        </w:rPr>
        <w:t xml:space="preserve"> para los procedimientos de licitación pública</w:t>
      </w:r>
      <w:bookmarkEnd w:id="9"/>
    </w:p>
    <w:p w14:paraId="72F01D2A" w14:textId="77777777" w:rsidR="00DA546F" w:rsidRDefault="00DA546F" w:rsidP="00DA546F">
      <w:pPr>
        <w:spacing w:line="276" w:lineRule="auto"/>
        <w:jc w:val="both"/>
        <w:rPr>
          <w:rFonts w:ascii="Arial" w:eastAsia="Calibri" w:hAnsi="Arial" w:cs="Arial"/>
          <w:b/>
          <w:bCs/>
          <w:color w:val="000000" w:themeColor="text1"/>
          <w:sz w:val="22"/>
        </w:rPr>
      </w:pPr>
    </w:p>
    <w:p w14:paraId="6E5CAB63" w14:textId="6162C700" w:rsidR="001764B9" w:rsidRDefault="00FC33B7" w:rsidP="001764B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Por tratarse de un requisito </w:t>
      </w:r>
      <w:r w:rsidR="00DC182F">
        <w:rPr>
          <w:rFonts w:ascii="Arial" w:eastAsia="Calibri" w:hAnsi="Arial" w:cs="Arial"/>
          <w:color w:val="000000" w:themeColor="text1"/>
          <w:sz w:val="22"/>
        </w:rPr>
        <w:t>contractual</w:t>
      </w:r>
      <w:r>
        <w:rPr>
          <w:rFonts w:ascii="Arial" w:eastAsia="Calibri" w:hAnsi="Arial" w:cs="Arial"/>
          <w:color w:val="000000" w:themeColor="text1"/>
          <w:sz w:val="22"/>
        </w:rPr>
        <w:t xml:space="preserve">, importa que el proponente acredite su capacidad durante el procedimiento de selección y que la mantenga durante la ejecución de las obligaciones. Esta exigencia es especialmente relevante tratándose de las personas jurídicas interesadas </w:t>
      </w:r>
      <w:r w:rsidR="007A01A1">
        <w:rPr>
          <w:rFonts w:ascii="Arial" w:eastAsia="Calibri" w:hAnsi="Arial" w:cs="Arial"/>
          <w:color w:val="000000" w:themeColor="text1"/>
          <w:sz w:val="22"/>
        </w:rPr>
        <w:t>contratar con el Estado</w:t>
      </w:r>
      <w:r w:rsidR="00DF2E8B">
        <w:rPr>
          <w:rFonts w:ascii="Arial" w:eastAsia="Calibri" w:hAnsi="Arial" w:cs="Arial"/>
          <w:color w:val="000000" w:themeColor="text1"/>
          <w:sz w:val="22"/>
        </w:rPr>
        <w:t xml:space="preserve">, pues </w:t>
      </w:r>
      <w:r w:rsidR="007A01A1">
        <w:rPr>
          <w:rFonts w:ascii="Arial" w:eastAsia="Calibri" w:hAnsi="Arial" w:cs="Arial"/>
          <w:color w:val="000000" w:themeColor="text1"/>
          <w:sz w:val="22"/>
        </w:rPr>
        <w:t>el contrato de</w:t>
      </w:r>
      <w:r w:rsidR="00DF2E8B">
        <w:rPr>
          <w:rFonts w:ascii="Arial" w:eastAsia="Calibri" w:hAnsi="Arial" w:cs="Arial"/>
          <w:color w:val="000000" w:themeColor="text1"/>
          <w:sz w:val="22"/>
        </w:rPr>
        <w:t xml:space="preserve"> sociedad </w:t>
      </w:r>
      <w:r w:rsidR="007A01A1">
        <w:rPr>
          <w:rFonts w:ascii="Arial" w:eastAsia="Calibri" w:hAnsi="Arial" w:cs="Arial"/>
          <w:color w:val="000000" w:themeColor="text1"/>
          <w:sz w:val="22"/>
        </w:rPr>
        <w:t xml:space="preserve">finaliza </w:t>
      </w:r>
      <w:r w:rsidR="00DF2E8B">
        <w:rPr>
          <w:rFonts w:ascii="Arial" w:eastAsia="Calibri" w:hAnsi="Arial" w:cs="Arial"/>
          <w:color w:val="000000" w:themeColor="text1"/>
          <w:sz w:val="22"/>
        </w:rPr>
        <w:t xml:space="preserve">por el vencimiento </w:t>
      </w:r>
      <w:r w:rsidR="007A01A1">
        <w:rPr>
          <w:rFonts w:ascii="Arial" w:eastAsia="Calibri" w:hAnsi="Arial" w:cs="Arial"/>
          <w:color w:val="000000" w:themeColor="text1"/>
          <w:sz w:val="22"/>
        </w:rPr>
        <w:t>del plazo de vigencia</w:t>
      </w:r>
      <w:r w:rsidR="00D94695">
        <w:rPr>
          <w:rFonts w:ascii="Arial" w:eastAsia="Calibri" w:hAnsi="Arial" w:cs="Arial"/>
          <w:color w:val="000000" w:themeColor="text1"/>
          <w:sz w:val="22"/>
        </w:rPr>
        <w:t xml:space="preserve"> </w:t>
      </w:r>
      <w:r w:rsidR="00D94695" w:rsidRPr="00D94695">
        <w:rPr>
          <w:rFonts w:ascii="Arial" w:eastAsia="Calibri" w:hAnsi="Arial" w:cs="Arial"/>
          <w:color w:val="000000" w:themeColor="text1"/>
          <w:sz w:val="22"/>
        </w:rPr>
        <w:t>si no fuere prorrogado válidamente antes de su expiración</w:t>
      </w:r>
      <w:r w:rsidR="00307469">
        <w:rPr>
          <w:rFonts w:ascii="Arial" w:eastAsia="Calibri" w:hAnsi="Arial" w:cs="Arial"/>
          <w:color w:val="000000" w:themeColor="text1"/>
          <w:sz w:val="22"/>
        </w:rPr>
        <w:t xml:space="preserve">. Según el inciso primero </w:t>
      </w:r>
      <w:r w:rsidR="00FA77B7">
        <w:rPr>
          <w:rFonts w:ascii="Arial" w:eastAsia="Calibri" w:hAnsi="Arial" w:cs="Arial"/>
          <w:color w:val="000000" w:themeColor="text1"/>
          <w:sz w:val="22"/>
        </w:rPr>
        <w:t>del artículo 219 del Código de Comercio, esta causal</w:t>
      </w:r>
      <w:r w:rsidR="00990391">
        <w:rPr>
          <w:rFonts w:ascii="Arial" w:eastAsia="Calibri" w:hAnsi="Arial" w:cs="Arial"/>
          <w:color w:val="000000" w:themeColor="text1"/>
          <w:sz w:val="22"/>
        </w:rPr>
        <w:t xml:space="preserve"> de disolución</w:t>
      </w:r>
      <w:r w:rsidR="00FA77B7">
        <w:rPr>
          <w:rFonts w:ascii="Arial" w:eastAsia="Calibri" w:hAnsi="Arial" w:cs="Arial"/>
          <w:color w:val="000000" w:themeColor="text1"/>
          <w:sz w:val="22"/>
        </w:rPr>
        <w:t xml:space="preserve"> opera </w:t>
      </w:r>
      <w:r w:rsidR="00FA77B7" w:rsidRPr="00FA77B7">
        <w:rPr>
          <w:rFonts w:ascii="Arial" w:eastAsia="Calibri" w:hAnsi="Arial" w:cs="Arial"/>
          <w:i/>
          <w:iCs/>
          <w:color w:val="000000" w:themeColor="text1"/>
          <w:sz w:val="22"/>
        </w:rPr>
        <w:t>ipso iure</w:t>
      </w:r>
      <w:r w:rsidR="00FA77B7">
        <w:rPr>
          <w:rFonts w:ascii="Arial" w:eastAsia="Calibri" w:hAnsi="Arial" w:cs="Arial"/>
          <w:color w:val="000000" w:themeColor="text1"/>
          <w:sz w:val="22"/>
        </w:rPr>
        <w:t>, es decir, sin formalidad adicional</w:t>
      </w:r>
      <w:r w:rsidR="00FA77B7">
        <w:rPr>
          <w:rStyle w:val="Refdenotaalpie"/>
          <w:rFonts w:ascii="Arial" w:eastAsia="Calibri" w:hAnsi="Arial" w:cs="Arial"/>
          <w:color w:val="000000" w:themeColor="text1"/>
          <w:sz w:val="22"/>
        </w:rPr>
        <w:footnoteReference w:id="5"/>
      </w:r>
      <w:r w:rsidR="00FA77B7">
        <w:rPr>
          <w:rFonts w:ascii="Arial" w:eastAsia="Calibri" w:hAnsi="Arial" w:cs="Arial"/>
          <w:color w:val="000000" w:themeColor="text1"/>
          <w:sz w:val="22"/>
        </w:rPr>
        <w:t xml:space="preserve">. </w:t>
      </w:r>
      <w:r w:rsidR="00990391">
        <w:rPr>
          <w:rFonts w:ascii="Arial" w:eastAsia="Calibri" w:hAnsi="Arial" w:cs="Arial"/>
          <w:color w:val="000000" w:themeColor="text1"/>
          <w:sz w:val="22"/>
        </w:rPr>
        <w:t xml:space="preserve">En esta medida, una vez disuelta la sociedad entra en estado de liquidación, lo que –conforme al </w:t>
      </w:r>
      <w:bookmarkStart w:id="10" w:name="_Hlk49336274"/>
      <w:r w:rsidR="00990391">
        <w:rPr>
          <w:rFonts w:ascii="Arial" w:eastAsia="Calibri" w:hAnsi="Arial" w:cs="Arial"/>
          <w:color w:val="000000" w:themeColor="text1"/>
          <w:sz w:val="22"/>
        </w:rPr>
        <w:t xml:space="preserve">artículo 222 </w:t>
      </w:r>
      <w:bookmarkEnd w:id="10"/>
      <w:r w:rsidR="00990391" w:rsidRPr="00990391">
        <w:rPr>
          <w:rFonts w:ascii="Arial" w:eastAsia="Calibri" w:hAnsi="Arial" w:cs="Arial"/>
          <w:i/>
          <w:iCs/>
          <w:color w:val="000000" w:themeColor="text1"/>
          <w:sz w:val="22"/>
        </w:rPr>
        <w:t>ibidem</w:t>
      </w:r>
      <w:r w:rsidR="00990391">
        <w:rPr>
          <w:rFonts w:ascii="Arial" w:eastAsia="Calibri" w:hAnsi="Arial" w:cs="Arial"/>
          <w:color w:val="000000" w:themeColor="text1"/>
          <w:sz w:val="22"/>
        </w:rPr>
        <w:t>– limita el objeto social a las actividades necesarias para la misma</w:t>
      </w:r>
      <w:r w:rsidR="00990391">
        <w:rPr>
          <w:rStyle w:val="Refdenotaalpie"/>
          <w:rFonts w:ascii="Arial" w:eastAsia="Calibri" w:hAnsi="Arial" w:cs="Arial"/>
          <w:color w:val="000000" w:themeColor="text1"/>
          <w:sz w:val="22"/>
        </w:rPr>
        <w:footnoteReference w:id="6"/>
      </w:r>
      <w:r w:rsidR="00990391">
        <w:rPr>
          <w:rFonts w:ascii="Arial" w:eastAsia="Calibri" w:hAnsi="Arial" w:cs="Arial"/>
          <w:color w:val="000000" w:themeColor="text1"/>
          <w:sz w:val="22"/>
        </w:rPr>
        <w:t xml:space="preserve">. </w:t>
      </w:r>
    </w:p>
    <w:p w14:paraId="0501A9DA" w14:textId="27844813" w:rsidR="001764B9" w:rsidRDefault="00990391" w:rsidP="001764B9">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Para evitar esta situación, la Ley 80 de 1993</w:t>
      </w:r>
      <w:r w:rsidR="001764B9">
        <w:rPr>
          <w:rFonts w:ascii="Arial" w:eastAsia="Calibri" w:hAnsi="Arial" w:cs="Arial"/>
          <w:color w:val="000000" w:themeColor="text1"/>
          <w:sz w:val="22"/>
        </w:rPr>
        <w:t>, en el inciso segundo del artículo 6, exige que «</w:t>
      </w:r>
      <w:r w:rsidR="001764B9" w:rsidRPr="001764B9">
        <w:rPr>
          <w:rFonts w:ascii="Arial" w:eastAsia="Calibri" w:hAnsi="Arial" w:cs="Arial"/>
          <w:color w:val="000000" w:themeColor="text1"/>
          <w:sz w:val="22"/>
        </w:rPr>
        <w:t>Las personas jurídicas nacionales y extranjeras deberán acreditar que su duración no será inferior a la del plazo del contrato y un año más</w:t>
      </w:r>
      <w:r w:rsidR="001764B9">
        <w:rPr>
          <w:rFonts w:ascii="Arial" w:eastAsia="Calibri" w:hAnsi="Arial" w:cs="Arial"/>
          <w:color w:val="000000" w:themeColor="text1"/>
          <w:sz w:val="22"/>
        </w:rPr>
        <w:t>», razón por la cual, con documentos como el registro único de proponentes o el certificado de existencia y representación legal, la entidad verifica si la persona jurídica tiene una duración indefinida o, por el contrario, si el plazo de vigencia de la sociedad es superior al dispuesto en la norma citada.</w:t>
      </w:r>
    </w:p>
    <w:p w14:paraId="51902901" w14:textId="46836C9C" w:rsidR="00E40987" w:rsidRDefault="001764B9" w:rsidP="001764B9">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Tratándose </w:t>
      </w:r>
      <w:r w:rsidR="009D11B7">
        <w:rPr>
          <w:rFonts w:ascii="Arial" w:eastAsia="Calibri" w:hAnsi="Arial" w:cs="Arial"/>
          <w:color w:val="000000" w:themeColor="text1"/>
          <w:sz w:val="22"/>
        </w:rPr>
        <w:t xml:space="preserve">de consorcios y uniones temporales </w:t>
      </w:r>
      <w:r>
        <w:rPr>
          <w:rFonts w:ascii="Arial" w:eastAsia="Calibri" w:hAnsi="Arial" w:cs="Arial"/>
          <w:color w:val="000000" w:themeColor="text1"/>
          <w:sz w:val="22"/>
        </w:rPr>
        <w:t>rige un principio similar</w:t>
      </w:r>
      <w:r w:rsidR="009D11B7">
        <w:rPr>
          <w:rFonts w:ascii="Arial" w:eastAsia="Calibri" w:hAnsi="Arial" w:cs="Arial"/>
          <w:color w:val="000000" w:themeColor="text1"/>
          <w:sz w:val="22"/>
        </w:rPr>
        <w:t xml:space="preserve"> </w:t>
      </w:r>
      <w:r w:rsidR="00E40987">
        <w:rPr>
          <w:rFonts w:ascii="Arial" w:eastAsia="Calibri" w:hAnsi="Arial" w:cs="Arial"/>
          <w:color w:val="000000" w:themeColor="text1"/>
          <w:sz w:val="22"/>
        </w:rPr>
        <w:t>al descrito en los párrafos precedentes</w:t>
      </w:r>
      <w:r w:rsidR="009D11B7">
        <w:rPr>
          <w:rFonts w:ascii="Arial" w:eastAsia="Calibri" w:hAnsi="Arial" w:cs="Arial"/>
          <w:color w:val="000000" w:themeColor="text1"/>
          <w:sz w:val="22"/>
        </w:rPr>
        <w:t>.</w:t>
      </w:r>
      <w:r>
        <w:rPr>
          <w:rFonts w:ascii="Arial" w:eastAsia="Calibri" w:hAnsi="Arial" w:cs="Arial"/>
          <w:color w:val="000000" w:themeColor="text1"/>
          <w:sz w:val="22"/>
        </w:rPr>
        <w:t xml:space="preserve"> </w:t>
      </w:r>
      <w:r w:rsidR="00D054B2">
        <w:rPr>
          <w:rFonts w:ascii="Arial" w:eastAsia="Calibri" w:hAnsi="Arial" w:cs="Arial"/>
          <w:color w:val="000000" w:themeColor="text1"/>
          <w:sz w:val="22"/>
        </w:rPr>
        <w:t>Aunque no son personas jurídicas independientes</w:t>
      </w:r>
      <w:r w:rsidR="009D11B7">
        <w:rPr>
          <w:rFonts w:ascii="Arial" w:eastAsia="Calibri" w:hAnsi="Arial" w:cs="Arial"/>
          <w:color w:val="000000" w:themeColor="text1"/>
          <w:sz w:val="22"/>
        </w:rPr>
        <w:t xml:space="preserve"> de los miembros que la integran,</w:t>
      </w:r>
      <w:r w:rsidR="00D054B2">
        <w:rPr>
          <w:rFonts w:ascii="Arial" w:eastAsia="Calibri" w:hAnsi="Arial" w:cs="Arial"/>
          <w:color w:val="000000" w:themeColor="text1"/>
          <w:sz w:val="22"/>
        </w:rPr>
        <w:t xml:space="preserve"> </w:t>
      </w:r>
      <w:r w:rsidR="00D054B2" w:rsidRPr="00D054B2">
        <w:rPr>
          <w:rFonts w:ascii="Arial" w:eastAsia="Calibri" w:hAnsi="Arial" w:cs="Arial"/>
          <w:color w:val="000000" w:themeColor="text1"/>
          <w:sz w:val="22"/>
        </w:rPr>
        <w:t>los «Documentos Tipo – Versión 2» para los procedimientos de licitación pública</w:t>
      </w:r>
      <w:r w:rsidR="009D11B7">
        <w:rPr>
          <w:rFonts w:ascii="Arial" w:eastAsia="Calibri" w:hAnsi="Arial" w:cs="Arial"/>
          <w:color w:val="000000" w:themeColor="text1"/>
          <w:sz w:val="22"/>
        </w:rPr>
        <w:t xml:space="preserve"> </w:t>
      </w:r>
      <w:r w:rsidR="00E40987">
        <w:rPr>
          <w:rFonts w:ascii="Arial" w:eastAsia="Calibri" w:hAnsi="Arial" w:cs="Arial"/>
          <w:color w:val="000000" w:themeColor="text1"/>
          <w:sz w:val="22"/>
        </w:rPr>
        <w:t xml:space="preserve">regulan el plazo de vigencia de la estructura plural. Especialmente, </w:t>
      </w:r>
      <w:r w:rsidR="00E40987" w:rsidRPr="00E40987">
        <w:rPr>
          <w:rFonts w:ascii="Arial" w:eastAsia="Calibri" w:hAnsi="Arial" w:cs="Arial"/>
          <w:color w:val="000000" w:themeColor="text1"/>
          <w:sz w:val="22"/>
        </w:rPr>
        <w:t>el numeral 3.3.3, literal D, del pliego</w:t>
      </w:r>
      <w:r w:rsidR="00E40987">
        <w:rPr>
          <w:rFonts w:ascii="Arial" w:eastAsia="Calibri" w:hAnsi="Arial" w:cs="Arial"/>
          <w:color w:val="000000" w:themeColor="text1"/>
          <w:sz w:val="22"/>
        </w:rPr>
        <w:t xml:space="preserve"> dispone que el documento de conformación del consorcio </w:t>
      </w:r>
      <w:r w:rsidR="00E40987">
        <w:rPr>
          <w:rFonts w:ascii="Arial" w:eastAsia="Calibri" w:hAnsi="Arial" w:cs="Arial"/>
          <w:color w:val="000000" w:themeColor="text1"/>
          <w:sz w:val="22"/>
        </w:rPr>
        <w:lastRenderedPageBreak/>
        <w:t>o la unión temporal –entre otros requisitos– debe «</w:t>
      </w:r>
      <w:r w:rsidR="00E40987" w:rsidRPr="00E40987">
        <w:rPr>
          <w:rFonts w:ascii="Arial" w:eastAsia="Calibri" w:hAnsi="Arial" w:cs="Arial"/>
          <w:color w:val="000000" w:themeColor="text1"/>
          <w:sz w:val="22"/>
        </w:rPr>
        <w:t xml:space="preserve">Acreditar que </w:t>
      </w:r>
      <w:bookmarkStart w:id="11" w:name="_Hlk49340063"/>
      <w:r w:rsidR="00E40987" w:rsidRPr="00E40987">
        <w:rPr>
          <w:rFonts w:ascii="Arial" w:eastAsia="Calibri" w:hAnsi="Arial" w:cs="Arial"/>
          <w:color w:val="000000" w:themeColor="text1"/>
          <w:sz w:val="22"/>
        </w:rPr>
        <w:t>la vigencia de la estructura plural no sea inferior a la del plazo del contrato y un año adicional</w:t>
      </w:r>
      <w:bookmarkEnd w:id="11"/>
      <w:r w:rsidR="00E40987" w:rsidRPr="00E40987">
        <w:rPr>
          <w:rFonts w:ascii="Arial" w:eastAsia="Calibri" w:hAnsi="Arial" w:cs="Arial"/>
          <w:color w:val="000000" w:themeColor="text1"/>
          <w:sz w:val="22"/>
        </w:rPr>
        <w:t xml:space="preserve">. </w:t>
      </w:r>
      <w:bookmarkStart w:id="12" w:name="_Hlk49340160"/>
      <w:r w:rsidR="00E40987" w:rsidRPr="00E40987">
        <w:rPr>
          <w:rFonts w:ascii="Arial" w:eastAsia="Calibri" w:hAnsi="Arial" w:cs="Arial"/>
          <w:color w:val="000000" w:themeColor="text1"/>
          <w:sz w:val="22"/>
        </w:rPr>
        <w:t>Para efectos de la evaluación, este plazo será contado a partir de la fecha del cierre del Proceso de Contratación</w:t>
      </w:r>
      <w:bookmarkEnd w:id="12"/>
      <w:r w:rsidR="00E40987">
        <w:rPr>
          <w:rFonts w:ascii="Arial" w:eastAsia="Calibri" w:hAnsi="Arial" w:cs="Arial"/>
          <w:color w:val="000000" w:themeColor="text1"/>
          <w:sz w:val="22"/>
        </w:rPr>
        <w:t>»</w:t>
      </w:r>
      <w:r w:rsidR="00E40987" w:rsidRPr="00E40987">
        <w:rPr>
          <w:rFonts w:ascii="Arial" w:eastAsia="Calibri" w:hAnsi="Arial" w:cs="Arial"/>
          <w:color w:val="000000" w:themeColor="text1"/>
          <w:sz w:val="22"/>
        </w:rPr>
        <w:t>.</w:t>
      </w:r>
    </w:p>
    <w:p w14:paraId="3BFF241F" w14:textId="77777777" w:rsidR="00F232CF" w:rsidRDefault="00F232CF" w:rsidP="001764B9">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Naturalmente, se trata de un aspecto inmodificable del pliego tipo. </w:t>
      </w:r>
      <w:r w:rsidR="009A12B9">
        <w:rPr>
          <w:rFonts w:ascii="Arial" w:eastAsia="Calibri" w:hAnsi="Arial" w:cs="Arial"/>
          <w:color w:val="000000" w:themeColor="text1"/>
          <w:sz w:val="22"/>
        </w:rPr>
        <w:t xml:space="preserve">Al respecto, </w:t>
      </w:r>
      <w:r w:rsidRPr="00F232CF">
        <w:rPr>
          <w:rFonts w:ascii="Arial" w:eastAsia="Calibri" w:hAnsi="Arial" w:cs="Arial"/>
          <w:color w:val="000000" w:themeColor="text1"/>
          <w:sz w:val="22"/>
        </w:rPr>
        <w:t>conforme a</w:t>
      </w:r>
      <w:r>
        <w:rPr>
          <w:rFonts w:ascii="Arial" w:eastAsia="Calibri" w:hAnsi="Arial" w:cs="Arial"/>
          <w:color w:val="000000" w:themeColor="text1"/>
          <w:sz w:val="22"/>
        </w:rPr>
        <w:t>l</w:t>
      </w:r>
      <w:r w:rsidRPr="00F232CF">
        <w:rPr>
          <w:rFonts w:ascii="Arial" w:eastAsia="Calibri" w:hAnsi="Arial" w:cs="Arial"/>
          <w:color w:val="000000" w:themeColor="text1"/>
          <w:sz w:val="22"/>
        </w:rPr>
        <w:t xml:space="preserve"> artículo 2.2.1.2.6.1.4</w:t>
      </w:r>
      <w:r>
        <w:rPr>
          <w:rFonts w:ascii="Arial" w:eastAsia="Calibri" w:hAnsi="Arial" w:cs="Arial"/>
          <w:color w:val="000000" w:themeColor="text1"/>
          <w:sz w:val="22"/>
        </w:rPr>
        <w:t xml:space="preserve"> </w:t>
      </w:r>
      <w:r w:rsidRPr="00F232CF">
        <w:rPr>
          <w:rFonts w:ascii="Arial" w:eastAsia="Calibri" w:hAnsi="Arial" w:cs="Arial"/>
          <w:color w:val="000000" w:themeColor="text1"/>
          <w:sz w:val="22"/>
        </w:rPr>
        <w:t>del Decreto 1082 de 2015, la regla general frente la aplicación de los documentos base es su inalterabilidad, es decir, no podrán incluirse o modificarse las condiciones habilitantes, los factores técnicos y económicos de escogencia y los sistemas de ponderación. En todo caso, si el objeto contractual incluye bienes o servicios ajenos a la obra pública de infraestructura de transporte, la entidad podrá incluir experiencia adicional con fundamento e</w:t>
      </w:r>
      <w:r>
        <w:rPr>
          <w:rFonts w:ascii="Arial" w:eastAsia="Calibri" w:hAnsi="Arial" w:cs="Arial"/>
          <w:color w:val="000000" w:themeColor="text1"/>
          <w:sz w:val="22"/>
        </w:rPr>
        <w:t>n el</w:t>
      </w:r>
      <w:r w:rsidRPr="00F232CF">
        <w:rPr>
          <w:rFonts w:ascii="Arial" w:eastAsia="Calibri" w:hAnsi="Arial" w:cs="Arial"/>
          <w:color w:val="000000" w:themeColor="text1"/>
          <w:sz w:val="22"/>
        </w:rPr>
        <w:t xml:space="preserve"> artículo 2.2.1.2.6.1.5</w:t>
      </w:r>
      <w:r>
        <w:rPr>
          <w:rFonts w:ascii="Arial" w:eastAsia="Calibri" w:hAnsi="Arial" w:cs="Arial"/>
          <w:color w:val="000000" w:themeColor="text1"/>
          <w:sz w:val="22"/>
        </w:rPr>
        <w:t xml:space="preserve"> </w:t>
      </w:r>
      <w:r w:rsidRPr="00F232CF">
        <w:rPr>
          <w:rFonts w:ascii="Arial" w:eastAsia="Calibri" w:hAnsi="Arial" w:cs="Arial"/>
          <w:i/>
          <w:iCs/>
          <w:color w:val="000000" w:themeColor="text1"/>
          <w:sz w:val="22"/>
        </w:rPr>
        <w:t>ibidem</w:t>
      </w:r>
      <w:r w:rsidRPr="00F232CF">
        <w:rPr>
          <w:rFonts w:ascii="Arial" w:eastAsia="Calibri" w:hAnsi="Arial" w:cs="Arial"/>
          <w:color w:val="000000" w:themeColor="text1"/>
          <w:sz w:val="22"/>
        </w:rPr>
        <w:t>. Además, cuando el pliego tipo expresamente lo permita, la entidad podrá modificar los aspectos incluidos en corchetes y resaltados en gris.</w:t>
      </w:r>
      <w:r>
        <w:rPr>
          <w:rFonts w:ascii="Arial" w:eastAsia="Calibri" w:hAnsi="Arial" w:cs="Arial"/>
          <w:color w:val="000000" w:themeColor="text1"/>
          <w:sz w:val="22"/>
        </w:rPr>
        <w:t xml:space="preserve"> </w:t>
      </w:r>
    </w:p>
    <w:p w14:paraId="4218D998" w14:textId="7F2148B2" w:rsidR="00CB003C" w:rsidRDefault="00F232CF" w:rsidP="00CB003C">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Lo anterior significa que </w:t>
      </w:r>
      <w:bookmarkStart w:id="13" w:name="_Hlk49367919"/>
      <w:r>
        <w:rPr>
          <w:rFonts w:ascii="Arial" w:eastAsia="Calibri" w:hAnsi="Arial" w:cs="Arial"/>
          <w:color w:val="000000" w:themeColor="text1"/>
          <w:sz w:val="22"/>
        </w:rPr>
        <w:t>la entidad no</w:t>
      </w:r>
      <w:r w:rsidR="00DE54BD">
        <w:rPr>
          <w:rFonts w:ascii="Arial" w:eastAsia="Calibri" w:hAnsi="Arial" w:cs="Arial"/>
          <w:color w:val="000000" w:themeColor="text1"/>
          <w:sz w:val="22"/>
        </w:rPr>
        <w:t xml:space="preserve"> puede</w:t>
      </w:r>
      <w:r>
        <w:rPr>
          <w:rFonts w:ascii="Arial" w:eastAsia="Calibri" w:hAnsi="Arial" w:cs="Arial"/>
          <w:color w:val="000000" w:themeColor="text1"/>
          <w:sz w:val="22"/>
        </w:rPr>
        <w:t xml:space="preserve"> ampliar ni restringir el alcance </w:t>
      </w:r>
      <w:r w:rsidR="00B3678E">
        <w:rPr>
          <w:rFonts w:ascii="Arial" w:eastAsia="Calibri" w:hAnsi="Arial" w:cs="Arial"/>
          <w:color w:val="000000" w:themeColor="text1"/>
          <w:sz w:val="22"/>
        </w:rPr>
        <w:t>d</w:t>
      </w:r>
      <w:r>
        <w:rPr>
          <w:rFonts w:ascii="Arial" w:eastAsia="Calibri" w:hAnsi="Arial" w:cs="Arial"/>
          <w:color w:val="000000" w:themeColor="text1"/>
          <w:sz w:val="22"/>
        </w:rPr>
        <w:t>el citado</w:t>
      </w:r>
      <w:r w:rsidRPr="00E40987">
        <w:rPr>
          <w:rFonts w:ascii="Arial" w:eastAsia="Calibri" w:hAnsi="Arial" w:cs="Arial"/>
          <w:color w:val="000000" w:themeColor="text1"/>
          <w:sz w:val="22"/>
        </w:rPr>
        <w:t xml:space="preserve"> numeral 3.3.3, literal D, del pliego</w:t>
      </w:r>
      <w:r>
        <w:rPr>
          <w:rFonts w:ascii="Arial" w:eastAsia="Calibri" w:hAnsi="Arial" w:cs="Arial"/>
          <w:color w:val="000000" w:themeColor="text1"/>
          <w:sz w:val="22"/>
        </w:rPr>
        <w:t>.</w:t>
      </w:r>
      <w:r w:rsidR="006D12BD">
        <w:rPr>
          <w:rFonts w:ascii="Arial" w:eastAsia="Calibri" w:hAnsi="Arial" w:cs="Arial"/>
          <w:color w:val="000000" w:themeColor="text1"/>
          <w:sz w:val="22"/>
        </w:rPr>
        <w:t xml:space="preserve"> Para entender su alcance es necesario tener en cuenta que el año adicional de vigencia comienza al finalizar el plazo de ejecución del contrato</w:t>
      </w:r>
      <w:r w:rsidR="00CF7D98">
        <w:rPr>
          <w:rFonts w:ascii="Arial" w:eastAsia="Calibri" w:hAnsi="Arial" w:cs="Arial"/>
          <w:color w:val="000000" w:themeColor="text1"/>
          <w:sz w:val="22"/>
        </w:rPr>
        <w:t xml:space="preserve">. A esto se refiere el documento base cuando dispone que «[…] </w:t>
      </w:r>
      <w:r w:rsidR="00CF7D98" w:rsidRPr="00CF7D98">
        <w:rPr>
          <w:rFonts w:ascii="Arial" w:eastAsia="Calibri" w:hAnsi="Arial" w:cs="Arial"/>
          <w:color w:val="000000" w:themeColor="text1"/>
          <w:sz w:val="22"/>
        </w:rPr>
        <w:t>la vigencia de la estructura plural no sea inferior a la del plazo del contrato y un año adicional</w:t>
      </w:r>
      <w:r w:rsidR="00CF7D98">
        <w:rPr>
          <w:rFonts w:ascii="Arial" w:eastAsia="Calibri" w:hAnsi="Arial" w:cs="Arial"/>
          <w:color w:val="000000" w:themeColor="text1"/>
          <w:sz w:val="22"/>
        </w:rPr>
        <w:t xml:space="preserve"> […]». Aunque la segunda parte de la disposición indica que «</w:t>
      </w:r>
      <w:r w:rsidR="00CF7D98">
        <w:t xml:space="preserve">[…] </w:t>
      </w:r>
      <w:r w:rsidR="00CF7D98" w:rsidRPr="00CF7D98">
        <w:rPr>
          <w:rFonts w:ascii="Arial" w:eastAsia="Calibri" w:hAnsi="Arial" w:cs="Arial"/>
          <w:color w:val="000000" w:themeColor="text1"/>
          <w:sz w:val="22"/>
        </w:rPr>
        <w:t xml:space="preserve">Para efectos de la evaluación, </w:t>
      </w:r>
      <w:r w:rsidR="00CF7D98" w:rsidRPr="00CF7D98">
        <w:rPr>
          <w:rFonts w:ascii="Arial" w:eastAsia="Calibri" w:hAnsi="Arial" w:cs="Arial"/>
          <w:i/>
          <w:iCs/>
          <w:color w:val="000000" w:themeColor="text1"/>
          <w:sz w:val="22"/>
        </w:rPr>
        <w:t>este plazo</w:t>
      </w:r>
      <w:r w:rsidR="00CF7D98" w:rsidRPr="00CF7D98">
        <w:rPr>
          <w:rFonts w:ascii="Arial" w:eastAsia="Calibri" w:hAnsi="Arial" w:cs="Arial"/>
          <w:color w:val="000000" w:themeColor="text1"/>
          <w:sz w:val="22"/>
        </w:rPr>
        <w:t xml:space="preserve"> será contado a partir de la fecha del cierre del Proceso de Contratación</w:t>
      </w:r>
      <w:r w:rsidR="00CF7D98">
        <w:rPr>
          <w:rFonts w:ascii="Arial" w:eastAsia="Calibri" w:hAnsi="Arial" w:cs="Arial"/>
          <w:color w:val="000000" w:themeColor="text1"/>
          <w:sz w:val="22"/>
        </w:rPr>
        <w:t xml:space="preserve">»  –énfasis fuera de texto–, es claro la expresión «este plazo» se refiere a la «vigencia de la estructura plural». </w:t>
      </w:r>
    </w:p>
    <w:bookmarkEnd w:id="13"/>
    <w:p w14:paraId="56371F74" w14:textId="33D2BF4A" w:rsidR="007119E2" w:rsidRDefault="007119E2" w:rsidP="00DD565E">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Según la </w:t>
      </w:r>
      <w:r w:rsidR="00E052D3">
        <w:rPr>
          <w:rFonts w:ascii="Arial" w:eastAsia="Calibri" w:hAnsi="Arial" w:cs="Arial"/>
          <w:color w:val="000000" w:themeColor="text1"/>
          <w:sz w:val="22"/>
        </w:rPr>
        <w:t xml:space="preserve">Gramática de la Lengua Castellana, «este» es un pronombre demostrativo, es decir, «[…] </w:t>
      </w:r>
      <w:r w:rsidR="00E052D3" w:rsidRPr="00E052D3">
        <w:rPr>
          <w:rFonts w:ascii="Arial" w:eastAsia="Calibri" w:hAnsi="Arial" w:cs="Arial"/>
          <w:color w:val="000000" w:themeColor="text1"/>
          <w:sz w:val="22"/>
        </w:rPr>
        <w:t>aquellos d</w:t>
      </w:r>
      <w:r w:rsidR="00767B80">
        <w:rPr>
          <w:rFonts w:ascii="Arial" w:eastAsia="Calibri" w:hAnsi="Arial" w:cs="Arial"/>
          <w:color w:val="000000" w:themeColor="text1"/>
          <w:sz w:val="22"/>
        </w:rPr>
        <w:t>e</w:t>
      </w:r>
      <w:r w:rsidR="00E052D3" w:rsidRPr="00E052D3">
        <w:rPr>
          <w:rFonts w:ascii="Arial" w:eastAsia="Calibri" w:hAnsi="Arial" w:cs="Arial"/>
          <w:color w:val="000000" w:themeColor="text1"/>
          <w:sz w:val="22"/>
        </w:rPr>
        <w:t xml:space="preserve"> que nos</w:t>
      </w:r>
      <w:r w:rsidR="00E052D3">
        <w:rPr>
          <w:rFonts w:ascii="Arial" w:eastAsia="Calibri" w:hAnsi="Arial" w:cs="Arial"/>
          <w:color w:val="000000" w:themeColor="text1"/>
          <w:sz w:val="22"/>
        </w:rPr>
        <w:t xml:space="preserve"> </w:t>
      </w:r>
      <w:r w:rsidR="00E052D3" w:rsidRPr="00E052D3">
        <w:rPr>
          <w:rFonts w:ascii="Arial" w:eastAsia="Calibri" w:hAnsi="Arial" w:cs="Arial"/>
          <w:color w:val="000000" w:themeColor="text1"/>
          <w:sz w:val="22"/>
        </w:rPr>
        <w:t>servimos para mostrar los objetos, señalando su situación</w:t>
      </w:r>
      <w:r w:rsidR="00E052D3">
        <w:rPr>
          <w:rFonts w:ascii="Arial" w:eastAsia="Calibri" w:hAnsi="Arial" w:cs="Arial"/>
          <w:color w:val="000000" w:themeColor="text1"/>
          <w:sz w:val="22"/>
        </w:rPr>
        <w:t xml:space="preserve"> </w:t>
      </w:r>
      <w:r w:rsidR="00E052D3" w:rsidRPr="00E052D3">
        <w:rPr>
          <w:rFonts w:ascii="Arial" w:eastAsia="Calibri" w:hAnsi="Arial" w:cs="Arial"/>
          <w:color w:val="000000" w:themeColor="text1"/>
          <w:sz w:val="22"/>
        </w:rPr>
        <w:t>respecto de determinada persona</w:t>
      </w:r>
      <w:r w:rsidR="00E052D3">
        <w:rPr>
          <w:rFonts w:ascii="Arial" w:eastAsia="Calibri" w:hAnsi="Arial" w:cs="Arial"/>
          <w:color w:val="000000" w:themeColor="text1"/>
          <w:sz w:val="22"/>
        </w:rPr>
        <w:t>»</w:t>
      </w:r>
      <w:r w:rsidR="00E052D3">
        <w:rPr>
          <w:rStyle w:val="Refdenotaalpie"/>
          <w:rFonts w:ascii="Arial" w:eastAsia="Calibri" w:hAnsi="Arial" w:cs="Arial"/>
          <w:color w:val="000000" w:themeColor="text1"/>
          <w:sz w:val="22"/>
        </w:rPr>
        <w:footnoteReference w:id="7"/>
      </w:r>
      <w:r w:rsidR="00767B80">
        <w:rPr>
          <w:rFonts w:ascii="Arial" w:eastAsia="Calibri" w:hAnsi="Arial" w:cs="Arial"/>
          <w:color w:val="000000" w:themeColor="text1"/>
          <w:sz w:val="22"/>
        </w:rPr>
        <w:t xml:space="preserve">. Sin embargo, es una fuente de indeterminación si no </w:t>
      </w:r>
      <w:r w:rsidR="00B52FDB">
        <w:rPr>
          <w:rFonts w:ascii="Arial" w:eastAsia="Calibri" w:hAnsi="Arial" w:cs="Arial"/>
          <w:color w:val="000000" w:themeColor="text1"/>
          <w:sz w:val="22"/>
        </w:rPr>
        <w:t>es claro qué aspecto de una enumeración previa señala el pronombre</w:t>
      </w:r>
      <w:r w:rsidR="00DD565E">
        <w:rPr>
          <w:rStyle w:val="Refdenotaalpie"/>
          <w:rFonts w:ascii="Arial" w:eastAsia="Calibri" w:hAnsi="Arial" w:cs="Arial"/>
          <w:color w:val="000000" w:themeColor="text1"/>
          <w:sz w:val="22"/>
        </w:rPr>
        <w:footnoteReference w:id="8"/>
      </w:r>
      <w:r w:rsidR="00DD565E">
        <w:rPr>
          <w:rFonts w:ascii="Arial" w:eastAsia="Calibri" w:hAnsi="Arial" w:cs="Arial"/>
          <w:color w:val="000000" w:themeColor="text1"/>
          <w:sz w:val="22"/>
        </w:rPr>
        <w:t xml:space="preserve">. </w:t>
      </w:r>
    </w:p>
    <w:p w14:paraId="08D0E13C" w14:textId="25792644" w:rsidR="007119E2" w:rsidRDefault="00B52FDB" w:rsidP="00CB003C">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lastRenderedPageBreak/>
        <w:t>Para eliminar cualquier ambigüedad</w:t>
      </w:r>
      <w:r w:rsidR="00CF7D98">
        <w:rPr>
          <w:rFonts w:ascii="Arial" w:eastAsia="Calibri" w:hAnsi="Arial" w:cs="Arial"/>
          <w:color w:val="000000" w:themeColor="text1"/>
          <w:sz w:val="22"/>
        </w:rPr>
        <w:t>,</w:t>
      </w:r>
      <w:r w:rsidR="00DD565E">
        <w:rPr>
          <w:rFonts w:ascii="Arial" w:eastAsia="Calibri" w:hAnsi="Arial" w:cs="Arial"/>
          <w:color w:val="000000" w:themeColor="text1"/>
          <w:sz w:val="22"/>
        </w:rPr>
        <w:t xml:space="preserve"> es preciso aclarar que</w:t>
      </w:r>
      <w:r w:rsidR="00CF7D98">
        <w:rPr>
          <w:rFonts w:ascii="Arial" w:eastAsia="Calibri" w:hAnsi="Arial" w:cs="Arial"/>
          <w:color w:val="000000" w:themeColor="text1"/>
          <w:sz w:val="22"/>
        </w:rPr>
        <w:t xml:space="preserve"> la expresión «este plazo»</w:t>
      </w:r>
      <w:r w:rsidR="00CB003C">
        <w:rPr>
          <w:rFonts w:ascii="Arial" w:eastAsia="Calibri" w:hAnsi="Arial" w:cs="Arial"/>
          <w:color w:val="000000" w:themeColor="text1"/>
          <w:sz w:val="22"/>
        </w:rPr>
        <w:t xml:space="preserve"> del segundo aparte del literal D</w:t>
      </w:r>
      <w:r w:rsidR="00CF7D98">
        <w:rPr>
          <w:rFonts w:ascii="Arial" w:eastAsia="Calibri" w:hAnsi="Arial" w:cs="Arial"/>
          <w:color w:val="000000" w:themeColor="text1"/>
          <w:sz w:val="22"/>
        </w:rPr>
        <w:t xml:space="preserve"> no </w:t>
      </w:r>
      <w:r w:rsidR="007119E2">
        <w:rPr>
          <w:rFonts w:ascii="Arial" w:eastAsia="Calibri" w:hAnsi="Arial" w:cs="Arial"/>
          <w:color w:val="000000" w:themeColor="text1"/>
          <w:sz w:val="22"/>
        </w:rPr>
        <w:t xml:space="preserve">se relaciona </w:t>
      </w:r>
      <w:r w:rsidR="00CF7D98">
        <w:rPr>
          <w:rFonts w:ascii="Arial" w:eastAsia="Calibri" w:hAnsi="Arial" w:cs="Arial"/>
          <w:color w:val="000000" w:themeColor="text1"/>
          <w:sz w:val="22"/>
        </w:rPr>
        <w:t>con el «plazo del contrato»</w:t>
      </w:r>
      <w:r w:rsidR="00CB003C">
        <w:rPr>
          <w:rFonts w:ascii="Arial" w:eastAsia="Calibri" w:hAnsi="Arial" w:cs="Arial"/>
          <w:color w:val="000000" w:themeColor="text1"/>
          <w:sz w:val="22"/>
        </w:rPr>
        <w:t xml:space="preserve"> del primer aparte</w:t>
      </w:r>
      <w:r w:rsidR="00CF7D98">
        <w:rPr>
          <w:rFonts w:ascii="Arial" w:eastAsia="Calibri" w:hAnsi="Arial" w:cs="Arial"/>
          <w:color w:val="000000" w:themeColor="text1"/>
          <w:sz w:val="22"/>
        </w:rPr>
        <w:t xml:space="preserve">, porque durante la evaluación de las propuestas </w:t>
      </w:r>
      <w:r w:rsidR="00CB003C">
        <w:rPr>
          <w:rFonts w:ascii="Arial" w:eastAsia="Calibri" w:hAnsi="Arial" w:cs="Arial"/>
          <w:color w:val="000000" w:themeColor="text1"/>
          <w:sz w:val="22"/>
        </w:rPr>
        <w:t>no existe ejecución de</w:t>
      </w:r>
      <w:r w:rsidR="00CF7D98">
        <w:rPr>
          <w:rFonts w:ascii="Arial" w:eastAsia="Calibri" w:hAnsi="Arial" w:cs="Arial"/>
          <w:color w:val="000000" w:themeColor="text1"/>
          <w:sz w:val="22"/>
        </w:rPr>
        <w:t xml:space="preserve"> las obligaciones</w:t>
      </w:r>
      <w:r w:rsidR="00DD565E">
        <w:rPr>
          <w:rFonts w:ascii="Arial" w:eastAsia="Calibri" w:hAnsi="Arial" w:cs="Arial"/>
          <w:color w:val="000000" w:themeColor="text1"/>
          <w:sz w:val="22"/>
        </w:rPr>
        <w:t>, tratándose de etapas que se excluyen entre sí</w:t>
      </w:r>
      <w:r w:rsidR="00CB003C">
        <w:rPr>
          <w:rFonts w:ascii="Arial" w:eastAsia="Calibri" w:hAnsi="Arial" w:cs="Arial"/>
          <w:color w:val="000000" w:themeColor="text1"/>
          <w:sz w:val="22"/>
        </w:rPr>
        <w:t xml:space="preserve">. Igualmente, tampoco </w:t>
      </w:r>
      <w:r w:rsidR="007119E2">
        <w:rPr>
          <w:rFonts w:ascii="Arial" w:eastAsia="Calibri" w:hAnsi="Arial" w:cs="Arial"/>
          <w:color w:val="000000" w:themeColor="text1"/>
          <w:sz w:val="22"/>
        </w:rPr>
        <w:t>se refiere</w:t>
      </w:r>
      <w:r w:rsidR="00CB003C">
        <w:rPr>
          <w:rFonts w:ascii="Arial" w:eastAsia="Calibri" w:hAnsi="Arial" w:cs="Arial"/>
          <w:color w:val="000000" w:themeColor="text1"/>
          <w:sz w:val="22"/>
        </w:rPr>
        <w:t xml:space="preserve"> al «año adicional» porque lleva al absurdo de que este cómputo inicie durante la fase de evaluación,</w:t>
      </w:r>
      <w:r w:rsidR="007119E2">
        <w:rPr>
          <w:rFonts w:ascii="Arial" w:eastAsia="Calibri" w:hAnsi="Arial" w:cs="Arial"/>
          <w:color w:val="000000" w:themeColor="text1"/>
          <w:sz w:val="22"/>
        </w:rPr>
        <w:t xml:space="preserve"> </w:t>
      </w:r>
      <w:r w:rsidR="00CB003C">
        <w:rPr>
          <w:rFonts w:ascii="Arial" w:eastAsia="Calibri" w:hAnsi="Arial" w:cs="Arial"/>
          <w:color w:val="000000" w:themeColor="text1"/>
          <w:sz w:val="22"/>
        </w:rPr>
        <w:t xml:space="preserve">no una vez </w:t>
      </w:r>
      <w:r w:rsidR="007119E2">
        <w:rPr>
          <w:rFonts w:ascii="Arial" w:eastAsia="Calibri" w:hAnsi="Arial" w:cs="Arial"/>
          <w:color w:val="000000" w:themeColor="text1"/>
          <w:sz w:val="22"/>
        </w:rPr>
        <w:t>vencido el término para ejecutar</w:t>
      </w:r>
      <w:r w:rsidR="008012DE">
        <w:rPr>
          <w:rFonts w:ascii="Arial" w:eastAsia="Calibri" w:hAnsi="Arial" w:cs="Arial"/>
          <w:color w:val="000000" w:themeColor="text1"/>
          <w:sz w:val="22"/>
        </w:rPr>
        <w:t xml:space="preserve">. </w:t>
      </w:r>
      <w:r w:rsidR="007119E2">
        <w:rPr>
          <w:rFonts w:ascii="Arial" w:eastAsia="Calibri" w:hAnsi="Arial" w:cs="Arial"/>
          <w:color w:val="000000" w:themeColor="text1"/>
          <w:sz w:val="22"/>
        </w:rPr>
        <w:t>De manera que</w:t>
      </w:r>
      <w:r w:rsidR="008012DE">
        <w:rPr>
          <w:rFonts w:ascii="Arial" w:eastAsia="Calibri" w:hAnsi="Arial" w:cs="Arial"/>
          <w:color w:val="000000" w:themeColor="text1"/>
          <w:sz w:val="22"/>
        </w:rPr>
        <w:t xml:space="preserve"> la expresión «este plazo» del segundo aparte del literal D se </w:t>
      </w:r>
      <w:r w:rsidR="007119E2">
        <w:rPr>
          <w:rFonts w:ascii="Arial" w:eastAsia="Calibri" w:hAnsi="Arial" w:cs="Arial"/>
          <w:color w:val="000000" w:themeColor="text1"/>
          <w:sz w:val="22"/>
        </w:rPr>
        <w:t>relaciona con</w:t>
      </w:r>
      <w:r w:rsidR="008012DE">
        <w:rPr>
          <w:rFonts w:ascii="Arial" w:eastAsia="Calibri" w:hAnsi="Arial" w:cs="Arial"/>
          <w:color w:val="000000" w:themeColor="text1"/>
          <w:sz w:val="22"/>
        </w:rPr>
        <w:t xml:space="preserve"> la «vigencia de la estructura plural»</w:t>
      </w:r>
      <w:r w:rsidR="007119E2">
        <w:rPr>
          <w:rFonts w:ascii="Arial" w:eastAsia="Calibri" w:hAnsi="Arial" w:cs="Arial"/>
          <w:color w:val="000000" w:themeColor="text1"/>
          <w:sz w:val="22"/>
        </w:rPr>
        <w:t xml:space="preserve"> del primer apartado</w:t>
      </w:r>
      <w:r w:rsidR="008012DE">
        <w:rPr>
          <w:rFonts w:ascii="Arial" w:eastAsia="Calibri" w:hAnsi="Arial" w:cs="Arial"/>
          <w:color w:val="000000" w:themeColor="text1"/>
          <w:sz w:val="22"/>
        </w:rPr>
        <w:t>, lo que es m</w:t>
      </w:r>
      <w:r w:rsidR="00C67C58">
        <w:rPr>
          <w:rFonts w:ascii="Arial" w:eastAsia="Calibri" w:hAnsi="Arial" w:cs="Arial"/>
          <w:color w:val="000000" w:themeColor="text1"/>
          <w:sz w:val="22"/>
        </w:rPr>
        <w:t>á</w:t>
      </w:r>
      <w:r w:rsidR="008012DE">
        <w:rPr>
          <w:rFonts w:ascii="Arial" w:eastAsia="Calibri" w:hAnsi="Arial" w:cs="Arial"/>
          <w:color w:val="000000" w:themeColor="text1"/>
          <w:sz w:val="22"/>
        </w:rPr>
        <w:t>s razonable en la medida que los consorcios y las uniones temporales</w:t>
      </w:r>
      <w:r w:rsidR="007119E2">
        <w:rPr>
          <w:rFonts w:ascii="Arial" w:eastAsia="Calibri" w:hAnsi="Arial" w:cs="Arial"/>
          <w:color w:val="000000" w:themeColor="text1"/>
          <w:sz w:val="22"/>
        </w:rPr>
        <w:t xml:space="preserve"> –después del cierre del procedimiento de selección</w:t>
      </w:r>
      <w:r w:rsidR="00EA6693">
        <w:rPr>
          <w:rFonts w:ascii="Arial" w:eastAsia="Calibri" w:hAnsi="Arial" w:cs="Arial"/>
          <w:color w:val="000000" w:themeColor="text1"/>
          <w:sz w:val="22"/>
        </w:rPr>
        <w:t>, conforme a la exigencia del pliego de condiciones</w:t>
      </w:r>
      <w:r w:rsidR="007119E2">
        <w:rPr>
          <w:rFonts w:ascii="Arial" w:eastAsia="Calibri" w:hAnsi="Arial" w:cs="Arial"/>
          <w:color w:val="000000" w:themeColor="text1"/>
          <w:sz w:val="22"/>
        </w:rPr>
        <w:t>–</w:t>
      </w:r>
      <w:r w:rsidR="008012DE">
        <w:rPr>
          <w:rFonts w:ascii="Arial" w:eastAsia="Calibri" w:hAnsi="Arial" w:cs="Arial"/>
          <w:color w:val="000000" w:themeColor="text1"/>
          <w:sz w:val="22"/>
        </w:rPr>
        <w:t xml:space="preserve"> deben mantener su </w:t>
      </w:r>
      <w:r w:rsidR="00F07342">
        <w:rPr>
          <w:rFonts w:ascii="Arial" w:eastAsia="Calibri" w:hAnsi="Arial" w:cs="Arial"/>
          <w:color w:val="000000" w:themeColor="text1"/>
          <w:sz w:val="22"/>
        </w:rPr>
        <w:t xml:space="preserve">existencia y </w:t>
      </w:r>
      <w:r w:rsidR="008012DE">
        <w:rPr>
          <w:rFonts w:ascii="Arial" w:eastAsia="Calibri" w:hAnsi="Arial" w:cs="Arial"/>
          <w:color w:val="000000" w:themeColor="text1"/>
          <w:sz w:val="22"/>
        </w:rPr>
        <w:t xml:space="preserve">capacidad contractual durante la evaluación de las propuestas, la ejecución del contrato y </w:t>
      </w:r>
      <w:r w:rsidR="007119E2">
        <w:rPr>
          <w:rFonts w:ascii="Arial" w:eastAsia="Calibri" w:hAnsi="Arial" w:cs="Arial"/>
          <w:color w:val="000000" w:themeColor="text1"/>
          <w:sz w:val="22"/>
        </w:rPr>
        <w:t>el año adicional a este.</w:t>
      </w:r>
      <w:r w:rsidR="008012DE">
        <w:rPr>
          <w:rFonts w:ascii="Arial" w:eastAsia="Calibri" w:hAnsi="Arial" w:cs="Arial"/>
          <w:color w:val="000000" w:themeColor="text1"/>
          <w:sz w:val="22"/>
        </w:rPr>
        <w:t xml:space="preserve"> </w:t>
      </w:r>
    </w:p>
    <w:p w14:paraId="67CBE260" w14:textId="53DD33ED" w:rsidR="000E284C" w:rsidRDefault="0054785D" w:rsidP="00904226">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La</w:t>
      </w:r>
      <w:r w:rsidR="007119E2">
        <w:rPr>
          <w:rFonts w:ascii="Arial" w:eastAsia="Calibri" w:hAnsi="Arial" w:cs="Arial"/>
          <w:color w:val="000000" w:themeColor="text1"/>
          <w:sz w:val="22"/>
        </w:rPr>
        <w:t xml:space="preserve"> precisión es importante, porque esta pauta hermenéutica</w:t>
      </w:r>
      <w:r w:rsidR="00162BA0">
        <w:rPr>
          <w:rFonts w:ascii="Arial" w:eastAsia="Calibri" w:hAnsi="Arial" w:cs="Arial"/>
          <w:color w:val="000000" w:themeColor="text1"/>
          <w:sz w:val="22"/>
        </w:rPr>
        <w:t xml:space="preserve"> sobre el alcance del </w:t>
      </w:r>
      <w:r w:rsidR="00162BA0" w:rsidRPr="00E40987">
        <w:rPr>
          <w:rFonts w:ascii="Arial" w:eastAsia="Calibri" w:hAnsi="Arial" w:cs="Arial"/>
          <w:color w:val="000000" w:themeColor="text1"/>
          <w:sz w:val="22"/>
        </w:rPr>
        <w:t>numeral 3.3.3, literal D, del pliego</w:t>
      </w:r>
      <w:r w:rsidR="00162BA0">
        <w:rPr>
          <w:rFonts w:ascii="Arial" w:eastAsia="Calibri" w:hAnsi="Arial" w:cs="Arial"/>
          <w:color w:val="000000" w:themeColor="text1"/>
          <w:sz w:val="22"/>
        </w:rPr>
        <w:t xml:space="preserve"> tipo</w:t>
      </w:r>
      <w:r w:rsidR="007119E2">
        <w:rPr>
          <w:rFonts w:ascii="Arial" w:eastAsia="Calibri" w:hAnsi="Arial" w:cs="Arial"/>
          <w:color w:val="000000" w:themeColor="text1"/>
          <w:sz w:val="22"/>
        </w:rPr>
        <w:t xml:space="preserve"> condiciona la interpretación del «Formato 2 – </w:t>
      </w:r>
      <w:r w:rsidR="007119E2" w:rsidRPr="00950763">
        <w:rPr>
          <w:rFonts w:ascii="Arial" w:eastAsia="Calibri" w:hAnsi="Arial" w:cs="Arial"/>
          <w:color w:val="000000" w:themeColor="text1"/>
          <w:sz w:val="22"/>
        </w:rPr>
        <w:t>Conformación de Proponente Plural</w:t>
      </w:r>
      <w:r w:rsidR="007119E2">
        <w:rPr>
          <w:rFonts w:ascii="Arial" w:eastAsia="Calibri" w:hAnsi="Arial" w:cs="Arial"/>
          <w:color w:val="000000" w:themeColor="text1"/>
          <w:sz w:val="22"/>
        </w:rPr>
        <w:t>»</w:t>
      </w:r>
      <w:r w:rsidR="00162BA0">
        <w:rPr>
          <w:rFonts w:ascii="Arial" w:eastAsia="Calibri" w:hAnsi="Arial" w:cs="Arial"/>
          <w:color w:val="000000" w:themeColor="text1"/>
          <w:sz w:val="22"/>
        </w:rPr>
        <w:t>. En efecto, mientras el numeral 1 del «</w:t>
      </w:r>
      <w:r w:rsidR="00162BA0" w:rsidRPr="00162BA0">
        <w:rPr>
          <w:rFonts w:ascii="Arial" w:eastAsia="Calibri" w:hAnsi="Arial" w:cs="Arial"/>
          <w:color w:val="000000" w:themeColor="text1"/>
          <w:sz w:val="22"/>
        </w:rPr>
        <w:t>Formato 2</w:t>
      </w:r>
      <w:r w:rsidR="00162BA0">
        <w:rPr>
          <w:rFonts w:ascii="Arial" w:eastAsia="Calibri" w:hAnsi="Arial" w:cs="Arial"/>
          <w:color w:val="000000" w:themeColor="text1"/>
          <w:sz w:val="22"/>
        </w:rPr>
        <w:t>A</w:t>
      </w:r>
      <w:r w:rsidR="00162BA0" w:rsidRPr="00162BA0">
        <w:rPr>
          <w:rFonts w:ascii="Arial" w:eastAsia="Calibri" w:hAnsi="Arial" w:cs="Arial"/>
          <w:color w:val="000000" w:themeColor="text1"/>
          <w:sz w:val="22"/>
        </w:rPr>
        <w:t xml:space="preserve"> </w:t>
      </w:r>
      <w:r w:rsidR="00162BA0">
        <w:rPr>
          <w:rFonts w:ascii="Arial" w:eastAsia="Calibri" w:hAnsi="Arial" w:cs="Arial"/>
          <w:color w:val="000000" w:themeColor="text1"/>
          <w:sz w:val="22"/>
        </w:rPr>
        <w:t>–</w:t>
      </w:r>
      <w:r w:rsidR="00162BA0" w:rsidRPr="00162BA0">
        <w:rPr>
          <w:rFonts w:ascii="Arial" w:eastAsia="Calibri" w:hAnsi="Arial" w:cs="Arial"/>
          <w:color w:val="000000" w:themeColor="text1"/>
          <w:sz w:val="22"/>
        </w:rPr>
        <w:t xml:space="preserve"> Documento </w:t>
      </w:r>
      <w:r w:rsidR="00162BA0">
        <w:rPr>
          <w:rFonts w:ascii="Arial" w:eastAsia="Calibri" w:hAnsi="Arial" w:cs="Arial"/>
          <w:color w:val="000000" w:themeColor="text1"/>
          <w:sz w:val="22"/>
        </w:rPr>
        <w:t>d</w:t>
      </w:r>
      <w:r w:rsidR="00162BA0" w:rsidRPr="00162BA0">
        <w:rPr>
          <w:rFonts w:ascii="Arial" w:eastAsia="Calibri" w:hAnsi="Arial" w:cs="Arial"/>
          <w:color w:val="000000" w:themeColor="text1"/>
          <w:sz w:val="22"/>
        </w:rPr>
        <w:t xml:space="preserve">e Conformación </w:t>
      </w:r>
      <w:r w:rsidR="00162BA0">
        <w:rPr>
          <w:rFonts w:ascii="Arial" w:eastAsia="Calibri" w:hAnsi="Arial" w:cs="Arial"/>
          <w:color w:val="000000" w:themeColor="text1"/>
          <w:sz w:val="22"/>
        </w:rPr>
        <w:t>d</w:t>
      </w:r>
      <w:r w:rsidR="00162BA0" w:rsidRPr="00162BA0">
        <w:rPr>
          <w:rFonts w:ascii="Arial" w:eastAsia="Calibri" w:hAnsi="Arial" w:cs="Arial"/>
          <w:color w:val="000000" w:themeColor="text1"/>
          <w:sz w:val="22"/>
        </w:rPr>
        <w:t>e Consorcio</w:t>
      </w:r>
      <w:r w:rsidR="00162BA0">
        <w:rPr>
          <w:rFonts w:ascii="Arial" w:eastAsia="Calibri" w:hAnsi="Arial" w:cs="Arial"/>
          <w:color w:val="000000" w:themeColor="text1"/>
          <w:sz w:val="22"/>
        </w:rPr>
        <w:t>» dispone que «</w:t>
      </w:r>
      <w:r w:rsidR="00162BA0" w:rsidRPr="00162BA0">
        <w:rPr>
          <w:rFonts w:ascii="Arial" w:eastAsia="Calibri" w:hAnsi="Arial" w:cs="Arial"/>
          <w:color w:val="000000" w:themeColor="text1"/>
          <w:sz w:val="22"/>
        </w:rPr>
        <w:t xml:space="preserve">La duración </w:t>
      </w:r>
      <w:r w:rsidR="00162BA0">
        <w:rPr>
          <w:rFonts w:ascii="Arial" w:eastAsia="Calibri" w:hAnsi="Arial" w:cs="Arial"/>
          <w:color w:val="000000" w:themeColor="text1"/>
          <w:sz w:val="22"/>
        </w:rPr>
        <w:t>[…]</w:t>
      </w:r>
      <w:r w:rsidR="00162BA0" w:rsidRPr="00162BA0">
        <w:rPr>
          <w:rFonts w:ascii="Arial" w:eastAsia="Calibri" w:hAnsi="Arial" w:cs="Arial"/>
          <w:color w:val="000000" w:themeColor="text1"/>
          <w:sz w:val="22"/>
        </w:rPr>
        <w:t xml:space="preserve"> no será inferior al del plazo de ejecución del contrato y un año más</w:t>
      </w:r>
      <w:r w:rsidR="00162BA0">
        <w:rPr>
          <w:rFonts w:ascii="Arial" w:eastAsia="Calibri" w:hAnsi="Arial" w:cs="Arial"/>
          <w:color w:val="000000" w:themeColor="text1"/>
          <w:sz w:val="22"/>
        </w:rPr>
        <w:t xml:space="preserve">», el mismo numeral del </w:t>
      </w:r>
      <w:bookmarkStart w:id="14" w:name="_Hlk49348539"/>
      <w:r w:rsidR="00162BA0">
        <w:rPr>
          <w:rFonts w:ascii="Arial" w:eastAsia="Calibri" w:hAnsi="Arial" w:cs="Arial"/>
          <w:color w:val="000000" w:themeColor="text1"/>
          <w:sz w:val="22"/>
        </w:rPr>
        <w:t>«</w:t>
      </w:r>
      <w:r w:rsidR="00162BA0" w:rsidRPr="00162BA0">
        <w:rPr>
          <w:rFonts w:ascii="Arial" w:eastAsia="Calibri" w:hAnsi="Arial" w:cs="Arial"/>
          <w:color w:val="000000" w:themeColor="text1"/>
          <w:sz w:val="22"/>
        </w:rPr>
        <w:t>Formato 2</w:t>
      </w:r>
      <w:r w:rsidR="00162BA0">
        <w:rPr>
          <w:rFonts w:ascii="Arial" w:eastAsia="Calibri" w:hAnsi="Arial" w:cs="Arial"/>
          <w:color w:val="000000" w:themeColor="text1"/>
          <w:sz w:val="22"/>
        </w:rPr>
        <w:t>B</w:t>
      </w:r>
      <w:r w:rsidR="00162BA0" w:rsidRPr="00162BA0">
        <w:rPr>
          <w:rFonts w:ascii="Arial" w:eastAsia="Calibri" w:hAnsi="Arial" w:cs="Arial"/>
          <w:color w:val="000000" w:themeColor="text1"/>
          <w:sz w:val="22"/>
        </w:rPr>
        <w:t xml:space="preserve"> </w:t>
      </w:r>
      <w:r w:rsidR="00162BA0">
        <w:rPr>
          <w:rFonts w:ascii="Arial" w:eastAsia="Calibri" w:hAnsi="Arial" w:cs="Arial"/>
          <w:color w:val="000000" w:themeColor="text1"/>
          <w:sz w:val="22"/>
        </w:rPr>
        <w:t>–</w:t>
      </w:r>
      <w:r w:rsidR="00162BA0" w:rsidRPr="00162BA0">
        <w:rPr>
          <w:rFonts w:ascii="Arial" w:eastAsia="Calibri" w:hAnsi="Arial" w:cs="Arial"/>
          <w:color w:val="000000" w:themeColor="text1"/>
          <w:sz w:val="22"/>
        </w:rPr>
        <w:t xml:space="preserve"> Documento </w:t>
      </w:r>
      <w:r w:rsidR="00162BA0">
        <w:rPr>
          <w:rFonts w:ascii="Arial" w:eastAsia="Calibri" w:hAnsi="Arial" w:cs="Arial"/>
          <w:color w:val="000000" w:themeColor="text1"/>
          <w:sz w:val="22"/>
        </w:rPr>
        <w:t>d</w:t>
      </w:r>
      <w:r w:rsidR="00162BA0" w:rsidRPr="00162BA0">
        <w:rPr>
          <w:rFonts w:ascii="Arial" w:eastAsia="Calibri" w:hAnsi="Arial" w:cs="Arial"/>
          <w:color w:val="000000" w:themeColor="text1"/>
          <w:sz w:val="22"/>
        </w:rPr>
        <w:t xml:space="preserve">e Conformación </w:t>
      </w:r>
      <w:r w:rsidR="00162BA0">
        <w:rPr>
          <w:rFonts w:ascii="Arial" w:eastAsia="Calibri" w:hAnsi="Arial" w:cs="Arial"/>
          <w:color w:val="000000" w:themeColor="text1"/>
          <w:sz w:val="22"/>
        </w:rPr>
        <w:t>d</w:t>
      </w:r>
      <w:r w:rsidR="00162BA0" w:rsidRPr="00162BA0">
        <w:rPr>
          <w:rFonts w:ascii="Arial" w:eastAsia="Calibri" w:hAnsi="Arial" w:cs="Arial"/>
          <w:color w:val="000000" w:themeColor="text1"/>
          <w:sz w:val="22"/>
        </w:rPr>
        <w:t xml:space="preserve">e </w:t>
      </w:r>
      <w:r w:rsidR="00162BA0">
        <w:rPr>
          <w:rFonts w:ascii="Arial" w:eastAsia="Calibri" w:hAnsi="Arial" w:cs="Arial"/>
          <w:color w:val="000000" w:themeColor="text1"/>
          <w:sz w:val="22"/>
        </w:rPr>
        <w:t>Unión Temporal»</w:t>
      </w:r>
      <w:bookmarkEnd w:id="14"/>
      <w:r w:rsidR="00162BA0">
        <w:rPr>
          <w:rFonts w:ascii="Arial" w:eastAsia="Calibri" w:hAnsi="Arial" w:cs="Arial"/>
          <w:color w:val="000000" w:themeColor="text1"/>
          <w:sz w:val="22"/>
        </w:rPr>
        <w:t xml:space="preserve"> dispone que «</w:t>
      </w:r>
      <w:r w:rsidR="00162BA0" w:rsidRPr="00162BA0">
        <w:rPr>
          <w:rFonts w:ascii="Arial" w:eastAsia="Calibri" w:hAnsi="Arial" w:cs="Arial"/>
          <w:color w:val="000000" w:themeColor="text1"/>
          <w:sz w:val="22"/>
        </w:rPr>
        <w:t xml:space="preserve">La duración </w:t>
      </w:r>
      <w:r w:rsidR="003C6749">
        <w:rPr>
          <w:rFonts w:ascii="Arial" w:eastAsia="Calibri" w:hAnsi="Arial" w:cs="Arial"/>
          <w:color w:val="000000" w:themeColor="text1"/>
          <w:sz w:val="22"/>
        </w:rPr>
        <w:t xml:space="preserve">[…] </w:t>
      </w:r>
      <w:r w:rsidR="00162BA0" w:rsidRPr="00162BA0">
        <w:rPr>
          <w:rFonts w:ascii="Arial" w:eastAsia="Calibri" w:hAnsi="Arial" w:cs="Arial"/>
          <w:color w:val="000000" w:themeColor="text1"/>
          <w:sz w:val="22"/>
        </w:rPr>
        <w:t>no será inferior al del plazo de ejecución del contrato y un año adicional contado a partir de la fecha del cierre del Proceso de Contratación</w:t>
      </w:r>
      <w:r w:rsidR="003C6749">
        <w:rPr>
          <w:rFonts w:ascii="Arial" w:eastAsia="Calibri" w:hAnsi="Arial" w:cs="Arial"/>
          <w:color w:val="000000" w:themeColor="text1"/>
          <w:sz w:val="22"/>
        </w:rPr>
        <w:t>»</w:t>
      </w:r>
      <w:r w:rsidR="00904226">
        <w:rPr>
          <w:rFonts w:ascii="Arial" w:eastAsia="Calibri" w:hAnsi="Arial" w:cs="Arial"/>
          <w:color w:val="000000" w:themeColor="text1"/>
          <w:sz w:val="22"/>
        </w:rPr>
        <w:t xml:space="preserve">. </w:t>
      </w:r>
      <w:bookmarkStart w:id="15" w:name="_Hlk49365039"/>
      <w:r w:rsidR="00904226">
        <w:rPr>
          <w:rFonts w:ascii="Arial" w:eastAsia="Calibri" w:hAnsi="Arial" w:cs="Arial"/>
          <w:color w:val="000000" w:themeColor="text1"/>
          <w:sz w:val="22"/>
        </w:rPr>
        <w:t xml:space="preserve">Lo dispuesto en el «Formato 2» también hace parte de los documentos tipo adoptados mediante la Resolución 045 del 14 de febrero de 2020, por lo que –salvo autorización expresa para llenar los espacios en gris– </w:t>
      </w:r>
      <w:r w:rsidR="00A46CF8">
        <w:rPr>
          <w:rFonts w:ascii="Arial" w:eastAsia="Calibri" w:hAnsi="Arial" w:cs="Arial"/>
          <w:color w:val="000000" w:themeColor="text1"/>
          <w:sz w:val="22"/>
        </w:rPr>
        <w:t>es</w:t>
      </w:r>
      <w:r w:rsidR="00904226">
        <w:rPr>
          <w:rFonts w:ascii="Arial" w:eastAsia="Calibri" w:hAnsi="Arial" w:cs="Arial"/>
          <w:color w:val="000000" w:themeColor="text1"/>
          <w:sz w:val="22"/>
        </w:rPr>
        <w:t xml:space="preserve"> inmodificable.</w:t>
      </w:r>
      <w:bookmarkEnd w:id="15"/>
      <w:r w:rsidR="00904226">
        <w:rPr>
          <w:rFonts w:ascii="Arial" w:eastAsia="Calibri" w:hAnsi="Arial" w:cs="Arial"/>
          <w:color w:val="000000" w:themeColor="text1"/>
          <w:sz w:val="22"/>
        </w:rPr>
        <w:t xml:space="preserve"> </w:t>
      </w:r>
      <w:r w:rsidR="003C6749">
        <w:rPr>
          <w:rFonts w:ascii="Arial" w:eastAsia="Calibri" w:hAnsi="Arial" w:cs="Arial"/>
          <w:color w:val="000000" w:themeColor="text1"/>
          <w:sz w:val="22"/>
        </w:rPr>
        <w:t xml:space="preserve"> </w:t>
      </w:r>
    </w:p>
    <w:p w14:paraId="3CD88F87" w14:textId="77777777" w:rsidR="00EA6693" w:rsidRDefault="00DA65B2" w:rsidP="00EA6693">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Al respecto, </w:t>
      </w:r>
      <w:r w:rsidR="006D0131">
        <w:rPr>
          <w:rFonts w:ascii="Arial" w:eastAsia="Calibri" w:hAnsi="Arial" w:cs="Arial"/>
          <w:color w:val="000000" w:themeColor="text1"/>
          <w:sz w:val="22"/>
        </w:rPr>
        <w:t xml:space="preserve">el «Formato 2A» </w:t>
      </w:r>
      <w:r w:rsidR="002E5AEA">
        <w:rPr>
          <w:rFonts w:ascii="Arial" w:eastAsia="Calibri" w:hAnsi="Arial" w:cs="Arial"/>
          <w:color w:val="000000" w:themeColor="text1"/>
          <w:sz w:val="22"/>
        </w:rPr>
        <w:t xml:space="preserve">retoma la primera parte del literal D del numeral 3.3.3 del documento base en la medida que </w:t>
      </w:r>
      <w:r w:rsidR="002E5AEA" w:rsidRPr="002E5AEA">
        <w:rPr>
          <w:rFonts w:ascii="Arial" w:eastAsia="Calibri" w:hAnsi="Arial" w:cs="Arial"/>
          <w:color w:val="000000" w:themeColor="text1"/>
          <w:sz w:val="22"/>
        </w:rPr>
        <w:t xml:space="preserve">la vigencia </w:t>
      </w:r>
      <w:r>
        <w:rPr>
          <w:rFonts w:ascii="Arial" w:eastAsia="Calibri" w:hAnsi="Arial" w:cs="Arial"/>
          <w:color w:val="000000" w:themeColor="text1"/>
          <w:sz w:val="22"/>
        </w:rPr>
        <w:t>del consorcio</w:t>
      </w:r>
      <w:r w:rsidR="002E5AEA" w:rsidRPr="002E5AEA">
        <w:rPr>
          <w:rFonts w:ascii="Arial" w:eastAsia="Calibri" w:hAnsi="Arial" w:cs="Arial"/>
          <w:color w:val="000000" w:themeColor="text1"/>
          <w:sz w:val="22"/>
        </w:rPr>
        <w:t xml:space="preserve"> </w:t>
      </w:r>
      <w:r w:rsidR="002E5AEA">
        <w:rPr>
          <w:rFonts w:ascii="Arial" w:eastAsia="Calibri" w:hAnsi="Arial" w:cs="Arial"/>
          <w:color w:val="000000" w:themeColor="text1"/>
          <w:sz w:val="22"/>
        </w:rPr>
        <w:t>no puede ser</w:t>
      </w:r>
      <w:r w:rsidR="002E5AEA" w:rsidRPr="002E5AEA">
        <w:rPr>
          <w:rFonts w:ascii="Arial" w:eastAsia="Calibri" w:hAnsi="Arial" w:cs="Arial"/>
          <w:color w:val="000000" w:themeColor="text1"/>
          <w:sz w:val="22"/>
        </w:rPr>
        <w:t xml:space="preserve"> inferior a la del plazo del contrato y un año adicional</w:t>
      </w:r>
      <w:r w:rsidR="002E5AEA">
        <w:rPr>
          <w:rFonts w:ascii="Arial" w:eastAsia="Calibri" w:hAnsi="Arial" w:cs="Arial"/>
          <w:color w:val="000000" w:themeColor="text1"/>
          <w:sz w:val="22"/>
        </w:rPr>
        <w:t>. Si bien no dispone que «</w:t>
      </w:r>
      <w:r w:rsidR="002E5AEA" w:rsidRPr="002E5AEA">
        <w:rPr>
          <w:rFonts w:ascii="Arial" w:eastAsia="Calibri" w:hAnsi="Arial" w:cs="Arial"/>
          <w:color w:val="000000" w:themeColor="text1"/>
          <w:sz w:val="22"/>
        </w:rPr>
        <w:t>Para efectos de la evaluación, este plazo será contado a partir de la fecha del cierre del Proceso de Contratación</w:t>
      </w:r>
      <w:r w:rsidR="002E5AEA">
        <w:rPr>
          <w:rFonts w:ascii="Arial" w:eastAsia="Calibri" w:hAnsi="Arial" w:cs="Arial"/>
          <w:color w:val="000000" w:themeColor="text1"/>
          <w:sz w:val="22"/>
        </w:rPr>
        <w:t xml:space="preserve">», el contenido se integra al formato en virtud de la interpretación sistemática del pliego de condiciones. </w:t>
      </w:r>
    </w:p>
    <w:p w14:paraId="7EA3FEB2" w14:textId="607AE1F9" w:rsidR="00B95A93" w:rsidRDefault="00DA65B2" w:rsidP="00EA6693">
      <w:pPr>
        <w:spacing w:after="120" w:line="276" w:lineRule="auto"/>
        <w:ind w:firstLine="709"/>
        <w:jc w:val="both"/>
        <w:rPr>
          <w:rFonts w:ascii="Arial" w:eastAsia="Calibri" w:hAnsi="Arial" w:cs="Arial"/>
          <w:color w:val="000000" w:themeColor="text1"/>
          <w:sz w:val="22"/>
        </w:rPr>
      </w:pPr>
      <w:r w:rsidRPr="00DA65B2">
        <w:rPr>
          <w:rFonts w:ascii="Arial" w:eastAsia="Calibri" w:hAnsi="Arial" w:cs="Arial"/>
          <w:color w:val="000000" w:themeColor="text1"/>
          <w:sz w:val="22"/>
        </w:rPr>
        <w:t>No obstante</w:t>
      </w:r>
      <w:r>
        <w:rPr>
          <w:rFonts w:ascii="Arial" w:eastAsia="Calibri" w:hAnsi="Arial" w:cs="Arial"/>
          <w:color w:val="000000" w:themeColor="text1"/>
          <w:sz w:val="22"/>
        </w:rPr>
        <w:t>, cuando el «Formato 2B» señala que la unión temporal «[…]</w:t>
      </w:r>
      <w:r w:rsidRPr="00DA65B2">
        <w:rPr>
          <w:rFonts w:ascii="Arial" w:eastAsia="Calibri" w:hAnsi="Arial" w:cs="Arial"/>
          <w:color w:val="000000" w:themeColor="text1"/>
          <w:sz w:val="22"/>
        </w:rPr>
        <w:t xml:space="preserve"> </w:t>
      </w:r>
      <w:r w:rsidRPr="00162BA0">
        <w:rPr>
          <w:rFonts w:ascii="Arial" w:eastAsia="Calibri" w:hAnsi="Arial" w:cs="Arial"/>
          <w:color w:val="000000" w:themeColor="text1"/>
          <w:sz w:val="22"/>
        </w:rPr>
        <w:t>no será inferior al del plazo de ejecución del contrato y un año adicional contado a partir de la fecha del cierre del Proceso de Contratación</w:t>
      </w:r>
      <w:r>
        <w:rPr>
          <w:rFonts w:ascii="Arial" w:eastAsia="Calibri" w:hAnsi="Arial" w:cs="Arial"/>
          <w:color w:val="000000" w:themeColor="text1"/>
          <w:sz w:val="22"/>
        </w:rPr>
        <w:t xml:space="preserve">», </w:t>
      </w:r>
      <w:r w:rsidR="00890B23">
        <w:rPr>
          <w:rFonts w:ascii="Arial" w:eastAsia="Calibri" w:hAnsi="Arial" w:cs="Arial"/>
          <w:color w:val="000000" w:themeColor="text1"/>
          <w:sz w:val="22"/>
        </w:rPr>
        <w:t xml:space="preserve">es posible </w:t>
      </w:r>
      <w:r w:rsidR="00E51679">
        <w:rPr>
          <w:rFonts w:ascii="Arial" w:eastAsia="Calibri" w:hAnsi="Arial" w:cs="Arial"/>
          <w:color w:val="000000" w:themeColor="text1"/>
          <w:sz w:val="22"/>
        </w:rPr>
        <w:t>concluir</w:t>
      </w:r>
      <w:r w:rsidR="00890B23">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w:t>
      </w:r>
      <w:r w:rsidR="00890B23">
        <w:rPr>
          <w:rFonts w:ascii="Arial" w:eastAsia="Calibri" w:hAnsi="Arial" w:cs="Arial"/>
          <w:color w:val="000000" w:themeColor="text1"/>
          <w:sz w:val="22"/>
        </w:rPr>
        <w:t>la vigencia de la estructura plural es de un año contado a partir del cierre del procedimiento mas el plazo de ejecución del contrato</w:t>
      </w:r>
      <w:r w:rsidR="00EA6693">
        <w:rPr>
          <w:rFonts w:ascii="Arial" w:eastAsia="Calibri" w:hAnsi="Arial" w:cs="Arial"/>
          <w:color w:val="000000" w:themeColor="text1"/>
          <w:sz w:val="22"/>
        </w:rPr>
        <w:t xml:space="preserve"> –</w:t>
      </w:r>
      <w:r w:rsidR="00EA6693" w:rsidRPr="00EA6693">
        <w:rPr>
          <w:rFonts w:ascii="Arial" w:eastAsia="Calibri" w:hAnsi="Arial" w:cs="Arial"/>
          <w:i/>
          <w:iCs/>
          <w:color w:val="000000" w:themeColor="text1"/>
          <w:sz w:val="22"/>
        </w:rPr>
        <w:t>primera postura</w:t>
      </w:r>
      <w:r w:rsidR="00EA6693">
        <w:rPr>
          <w:rFonts w:ascii="Arial" w:eastAsia="Calibri" w:hAnsi="Arial" w:cs="Arial"/>
          <w:color w:val="000000" w:themeColor="text1"/>
          <w:sz w:val="22"/>
        </w:rPr>
        <w:t>–</w:t>
      </w:r>
      <w:r w:rsidR="00890B23">
        <w:rPr>
          <w:rFonts w:ascii="Arial" w:eastAsia="Calibri" w:hAnsi="Arial" w:cs="Arial"/>
          <w:color w:val="000000" w:themeColor="text1"/>
          <w:sz w:val="22"/>
        </w:rPr>
        <w:t>, o que</w:t>
      </w:r>
      <w:r w:rsidR="00E51679">
        <w:rPr>
          <w:rFonts w:ascii="Arial" w:eastAsia="Calibri" w:hAnsi="Arial" w:cs="Arial"/>
          <w:color w:val="000000" w:themeColor="text1"/>
          <w:sz w:val="22"/>
        </w:rPr>
        <w:t>, contada desde el cierre,</w:t>
      </w:r>
      <w:r w:rsidR="00890B23">
        <w:rPr>
          <w:rFonts w:ascii="Arial" w:eastAsia="Calibri" w:hAnsi="Arial" w:cs="Arial"/>
          <w:color w:val="000000" w:themeColor="text1"/>
          <w:sz w:val="22"/>
        </w:rPr>
        <w:t xml:space="preserve"> </w:t>
      </w:r>
      <w:r w:rsidR="00E51679">
        <w:rPr>
          <w:rFonts w:ascii="Arial" w:eastAsia="Calibri" w:hAnsi="Arial" w:cs="Arial"/>
          <w:color w:val="000000" w:themeColor="text1"/>
          <w:sz w:val="22"/>
        </w:rPr>
        <w:t>no puede ser</w:t>
      </w:r>
      <w:r w:rsidR="00890B23">
        <w:rPr>
          <w:rFonts w:ascii="Arial" w:eastAsia="Calibri" w:hAnsi="Arial" w:cs="Arial"/>
          <w:color w:val="000000" w:themeColor="text1"/>
          <w:sz w:val="22"/>
        </w:rPr>
        <w:t xml:space="preserve"> inferior al plazo del contrato y un año adicional </w:t>
      </w:r>
      <w:r w:rsidR="00E51679">
        <w:rPr>
          <w:rFonts w:ascii="Arial" w:eastAsia="Calibri" w:hAnsi="Arial" w:cs="Arial"/>
          <w:color w:val="000000" w:themeColor="text1"/>
          <w:sz w:val="22"/>
        </w:rPr>
        <w:t>desde el vencimiento del término de ejecución</w:t>
      </w:r>
      <w:r w:rsidR="00EA6693">
        <w:rPr>
          <w:rFonts w:ascii="Arial" w:eastAsia="Calibri" w:hAnsi="Arial" w:cs="Arial"/>
          <w:color w:val="000000" w:themeColor="text1"/>
          <w:sz w:val="22"/>
        </w:rPr>
        <w:t xml:space="preserve"> –</w:t>
      </w:r>
      <w:r w:rsidR="00EA6693" w:rsidRPr="00EA6693">
        <w:rPr>
          <w:rFonts w:ascii="Arial" w:eastAsia="Calibri" w:hAnsi="Arial" w:cs="Arial"/>
          <w:i/>
          <w:iCs/>
          <w:color w:val="000000" w:themeColor="text1"/>
          <w:sz w:val="22"/>
        </w:rPr>
        <w:t>segunda postura</w:t>
      </w:r>
      <w:r w:rsidR="00EA6693">
        <w:rPr>
          <w:rFonts w:ascii="Arial" w:eastAsia="Calibri" w:hAnsi="Arial" w:cs="Arial"/>
          <w:color w:val="000000" w:themeColor="text1"/>
          <w:sz w:val="22"/>
        </w:rPr>
        <w:t>–</w:t>
      </w:r>
      <w:r w:rsidR="00E51679">
        <w:rPr>
          <w:rFonts w:ascii="Arial" w:eastAsia="Calibri" w:hAnsi="Arial" w:cs="Arial"/>
          <w:color w:val="000000" w:themeColor="text1"/>
          <w:sz w:val="22"/>
        </w:rPr>
        <w:t>. En esta medida, la contradicción con el documento</w:t>
      </w:r>
      <w:r w:rsidR="00EA6693">
        <w:rPr>
          <w:rFonts w:ascii="Arial" w:eastAsia="Calibri" w:hAnsi="Arial" w:cs="Arial"/>
          <w:color w:val="000000" w:themeColor="text1"/>
          <w:sz w:val="22"/>
        </w:rPr>
        <w:t xml:space="preserve"> base</w:t>
      </w:r>
      <w:r w:rsidR="001F311C">
        <w:rPr>
          <w:rFonts w:ascii="Arial" w:eastAsia="Calibri" w:hAnsi="Arial" w:cs="Arial"/>
          <w:color w:val="000000" w:themeColor="text1"/>
          <w:sz w:val="22"/>
        </w:rPr>
        <w:t xml:space="preserve"> es producto de la interpretación del numeral 1 del </w:t>
      </w:r>
      <w:r w:rsidR="001F311C" w:rsidRPr="001F311C">
        <w:rPr>
          <w:rFonts w:ascii="Arial" w:eastAsia="Calibri" w:hAnsi="Arial" w:cs="Arial"/>
          <w:color w:val="000000" w:themeColor="text1"/>
          <w:sz w:val="22"/>
        </w:rPr>
        <w:t>«Formato 2B – Documento de Conformación de Unión Temporal»</w:t>
      </w:r>
      <w:r w:rsidR="00EA6693">
        <w:rPr>
          <w:rFonts w:ascii="Arial" w:eastAsia="Calibri" w:hAnsi="Arial" w:cs="Arial"/>
          <w:color w:val="000000" w:themeColor="text1"/>
          <w:sz w:val="22"/>
        </w:rPr>
        <w:t xml:space="preserve">, pues la incongruencia solo surge si se adopta la </w:t>
      </w:r>
      <w:r w:rsidR="00EA6693" w:rsidRPr="00EA6693">
        <w:rPr>
          <w:rFonts w:ascii="Arial" w:eastAsia="Calibri" w:hAnsi="Arial" w:cs="Arial"/>
          <w:i/>
          <w:iCs/>
          <w:color w:val="000000" w:themeColor="text1"/>
          <w:sz w:val="22"/>
        </w:rPr>
        <w:t>primera postura</w:t>
      </w:r>
      <w:r w:rsidR="00B95A93">
        <w:rPr>
          <w:rFonts w:ascii="Arial" w:eastAsia="Calibri" w:hAnsi="Arial" w:cs="Arial"/>
          <w:color w:val="000000" w:themeColor="text1"/>
          <w:sz w:val="22"/>
        </w:rPr>
        <w:t xml:space="preserve">; pero como se explicó </w:t>
      </w:r>
      <w:r w:rsidR="00B95A93" w:rsidRPr="00B95A93">
        <w:rPr>
          <w:rFonts w:ascii="Arial" w:eastAsia="Calibri" w:hAnsi="Arial" w:cs="Arial"/>
          <w:i/>
          <w:iCs/>
          <w:color w:val="000000" w:themeColor="text1"/>
          <w:sz w:val="22"/>
        </w:rPr>
        <w:t>ut supra</w:t>
      </w:r>
      <w:r w:rsidR="00B95A93">
        <w:rPr>
          <w:rFonts w:ascii="Arial" w:eastAsia="Calibri" w:hAnsi="Arial" w:cs="Arial"/>
          <w:color w:val="000000" w:themeColor="text1"/>
          <w:sz w:val="22"/>
        </w:rPr>
        <w:t xml:space="preserve"> esta idea es insostenible</w:t>
      </w:r>
      <w:r w:rsidR="00904226">
        <w:rPr>
          <w:rFonts w:ascii="Arial" w:eastAsia="Calibri" w:hAnsi="Arial" w:cs="Arial"/>
          <w:color w:val="000000" w:themeColor="text1"/>
          <w:sz w:val="22"/>
        </w:rPr>
        <w:t>,</w:t>
      </w:r>
      <w:r w:rsidR="00B95A93">
        <w:rPr>
          <w:rFonts w:ascii="Arial" w:eastAsia="Calibri" w:hAnsi="Arial" w:cs="Arial"/>
          <w:color w:val="000000" w:themeColor="text1"/>
          <w:sz w:val="22"/>
        </w:rPr>
        <w:t xml:space="preserve"> </w:t>
      </w:r>
      <w:r w:rsidR="00904226">
        <w:rPr>
          <w:rFonts w:ascii="Arial" w:eastAsia="Calibri" w:hAnsi="Arial" w:cs="Arial"/>
          <w:color w:val="000000" w:themeColor="text1"/>
          <w:sz w:val="22"/>
        </w:rPr>
        <w:t>ya que el</w:t>
      </w:r>
      <w:r w:rsidR="00B95A93">
        <w:rPr>
          <w:rFonts w:ascii="Arial" w:eastAsia="Calibri" w:hAnsi="Arial" w:cs="Arial"/>
          <w:color w:val="000000" w:themeColor="text1"/>
          <w:sz w:val="22"/>
        </w:rPr>
        <w:t xml:space="preserve"> pliego –al igual que el «Formato 2A»– exige que el año adicional se cuente después de la terminación del contrato.</w:t>
      </w:r>
    </w:p>
    <w:p w14:paraId="6B8FB490" w14:textId="345B3F0A" w:rsidR="008F6D40" w:rsidRDefault="00B95A93" w:rsidP="0090422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rPr>
        <w:lastRenderedPageBreak/>
        <w:t xml:space="preserve">En esta medida, para efectos del plazo de vigencia de la unión temporal es necesario armonizar el numeral 1 del </w:t>
      </w:r>
      <w:r w:rsidRPr="001F311C">
        <w:rPr>
          <w:rFonts w:ascii="Arial" w:eastAsia="Calibri" w:hAnsi="Arial" w:cs="Arial"/>
          <w:color w:val="000000" w:themeColor="text1"/>
          <w:sz w:val="22"/>
        </w:rPr>
        <w:t>«Formato 2B</w:t>
      </w:r>
      <w:r>
        <w:rPr>
          <w:rFonts w:ascii="Arial" w:eastAsia="Calibri" w:hAnsi="Arial" w:cs="Arial"/>
          <w:color w:val="000000" w:themeColor="text1"/>
          <w:sz w:val="22"/>
        </w:rPr>
        <w:t>» con el literal D del numeral 3.3.3 del pliego tipo</w:t>
      </w:r>
      <w:r w:rsidR="00904226">
        <w:rPr>
          <w:rFonts w:ascii="Arial" w:eastAsia="Calibri" w:hAnsi="Arial" w:cs="Arial"/>
          <w:color w:val="000000" w:themeColor="text1"/>
          <w:sz w:val="22"/>
        </w:rPr>
        <w:t>, interpretando sistemáticamente ambos documentos del procedimiento de selección</w:t>
      </w:r>
      <w:r w:rsidR="00C2197A">
        <w:rPr>
          <w:rStyle w:val="Refdenotaalpie"/>
          <w:rFonts w:ascii="Arial" w:eastAsia="Calibri" w:hAnsi="Arial" w:cs="Arial"/>
          <w:color w:val="000000" w:themeColor="text1"/>
          <w:sz w:val="22"/>
          <w:lang w:val="es-ES"/>
        </w:rPr>
        <w:footnoteReference w:id="9"/>
      </w:r>
      <w:r>
        <w:rPr>
          <w:rFonts w:ascii="Arial" w:eastAsia="Calibri" w:hAnsi="Arial" w:cs="Arial"/>
          <w:color w:val="000000" w:themeColor="text1"/>
          <w:sz w:val="22"/>
        </w:rPr>
        <w:t xml:space="preserve">. Esto se fundamenta </w:t>
      </w:r>
      <w:r>
        <w:rPr>
          <w:rFonts w:ascii="Arial" w:eastAsia="Calibri" w:hAnsi="Arial" w:cs="Arial"/>
          <w:color w:val="000000" w:themeColor="text1"/>
          <w:sz w:val="22"/>
          <w:lang w:val="es-ES"/>
        </w:rPr>
        <w:t>el artículo 30 del Código Civil, el cual exige tener en cuenta el contexto normativo para determinar el sentido y alcance de las disposiciones</w:t>
      </w:r>
      <w:r>
        <w:rPr>
          <w:rStyle w:val="Refdenotaalpie"/>
          <w:rFonts w:ascii="Arial" w:eastAsia="Calibri" w:hAnsi="Arial" w:cs="Arial"/>
          <w:color w:val="000000" w:themeColor="text1"/>
          <w:sz w:val="22"/>
          <w:lang w:val="es-ES"/>
        </w:rPr>
        <w:footnoteReference w:id="10"/>
      </w:r>
      <w:r w:rsidR="00904226">
        <w:rPr>
          <w:rFonts w:ascii="Arial" w:eastAsia="Calibri" w:hAnsi="Arial" w:cs="Arial"/>
          <w:color w:val="000000" w:themeColor="text1"/>
          <w:sz w:val="22"/>
          <w:lang w:val="es-ES"/>
        </w:rPr>
        <w:t xml:space="preserve">. Además, este criterio de interpretación también se retoma </w:t>
      </w:r>
      <w:r w:rsidR="000A4C83">
        <w:rPr>
          <w:rFonts w:ascii="Arial" w:eastAsia="Calibri" w:hAnsi="Arial" w:cs="Arial"/>
          <w:color w:val="000000" w:themeColor="text1"/>
          <w:sz w:val="22"/>
          <w:lang w:val="es-ES"/>
        </w:rPr>
        <w:t>d</w:t>
      </w:r>
      <w:r w:rsidR="00904226">
        <w:rPr>
          <w:rFonts w:ascii="Arial" w:eastAsia="Calibri" w:hAnsi="Arial" w:cs="Arial"/>
          <w:color w:val="000000" w:themeColor="text1"/>
          <w:sz w:val="22"/>
          <w:lang w:val="es-ES"/>
        </w:rPr>
        <w:t>el numeral 1.17 del documento base cuando dispone que «[…]</w:t>
      </w:r>
      <w:r w:rsidR="00904226" w:rsidRPr="00904226">
        <w:rPr>
          <w:rFonts w:ascii="Arial" w:eastAsia="Calibri" w:hAnsi="Arial" w:cs="Arial"/>
          <w:color w:val="000000" w:themeColor="text1"/>
          <w:sz w:val="22"/>
          <w:lang w:val="es-ES"/>
        </w:rPr>
        <w:t xml:space="preserve">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r w:rsidR="00904226">
        <w:rPr>
          <w:rFonts w:ascii="Arial" w:eastAsia="Calibri" w:hAnsi="Arial" w:cs="Arial"/>
          <w:color w:val="000000" w:themeColor="text1"/>
          <w:sz w:val="22"/>
          <w:lang w:val="es-ES"/>
        </w:rPr>
        <w:t>»</w:t>
      </w:r>
      <w:r w:rsidR="00904226" w:rsidRPr="00904226">
        <w:rPr>
          <w:rFonts w:ascii="Arial" w:eastAsia="Calibri" w:hAnsi="Arial" w:cs="Arial"/>
          <w:color w:val="000000" w:themeColor="text1"/>
          <w:sz w:val="22"/>
          <w:lang w:val="es-ES"/>
        </w:rPr>
        <w:t>.</w:t>
      </w:r>
      <w:r w:rsidR="00904226">
        <w:rPr>
          <w:rFonts w:ascii="Arial" w:eastAsia="Calibri" w:hAnsi="Arial" w:cs="Arial"/>
          <w:color w:val="000000" w:themeColor="text1"/>
          <w:sz w:val="22"/>
          <w:lang w:val="es-ES"/>
        </w:rPr>
        <w:t xml:space="preserve"> </w:t>
      </w:r>
    </w:p>
    <w:p w14:paraId="58C75BCF" w14:textId="61675DC6" w:rsidR="00813F60" w:rsidRPr="002D2B71" w:rsidRDefault="00904226" w:rsidP="002D2B71">
      <w:pPr>
        <w:spacing w:line="276" w:lineRule="auto"/>
        <w:ind w:firstLine="709"/>
        <w:jc w:val="both"/>
        <w:rPr>
          <w:rFonts w:ascii="Arial" w:eastAsia="Calibri" w:hAnsi="Arial" w:cs="Arial"/>
          <w:color w:val="000000" w:themeColor="text1"/>
          <w:sz w:val="22"/>
          <w:lang w:val="es-ES"/>
        </w:rPr>
      </w:pPr>
      <w:bookmarkStart w:id="16" w:name="_Hlk49368485"/>
      <w:r>
        <w:rPr>
          <w:rFonts w:ascii="Arial" w:eastAsia="Calibri" w:hAnsi="Arial" w:cs="Arial"/>
          <w:color w:val="000000" w:themeColor="text1"/>
          <w:sz w:val="22"/>
          <w:lang w:val="es-ES"/>
        </w:rPr>
        <w:t xml:space="preserve">Por tanto, </w:t>
      </w:r>
      <w:r w:rsidR="008F6D40">
        <w:rPr>
          <w:rFonts w:ascii="Arial" w:eastAsia="Calibri" w:hAnsi="Arial" w:cs="Arial"/>
          <w:color w:val="000000" w:themeColor="text1"/>
          <w:sz w:val="22"/>
          <w:lang w:val="es-ES"/>
        </w:rPr>
        <w:t xml:space="preserve">para efectos del numeral 1 del «Formato 2B», </w:t>
      </w:r>
      <w:r>
        <w:rPr>
          <w:rFonts w:ascii="Arial" w:eastAsia="Calibri" w:hAnsi="Arial" w:cs="Arial"/>
          <w:color w:val="000000" w:themeColor="text1"/>
          <w:sz w:val="22"/>
          <w:lang w:val="es-ES"/>
        </w:rPr>
        <w:t>debe entender</w:t>
      </w:r>
      <w:r w:rsidR="008F6D40">
        <w:rPr>
          <w:rFonts w:ascii="Arial" w:eastAsia="Calibri" w:hAnsi="Arial" w:cs="Arial"/>
          <w:color w:val="000000" w:themeColor="text1"/>
          <w:sz w:val="22"/>
          <w:lang w:val="es-ES"/>
        </w:rPr>
        <w:t>se</w:t>
      </w:r>
      <w:r>
        <w:rPr>
          <w:rFonts w:ascii="Arial" w:eastAsia="Calibri" w:hAnsi="Arial" w:cs="Arial"/>
          <w:color w:val="000000" w:themeColor="text1"/>
          <w:sz w:val="22"/>
          <w:lang w:val="es-ES"/>
        </w:rPr>
        <w:t xml:space="preserve"> que </w:t>
      </w:r>
      <w:r w:rsidR="008F6D40">
        <w:rPr>
          <w:rFonts w:ascii="Arial" w:eastAsia="Calibri" w:hAnsi="Arial" w:cs="Arial"/>
          <w:color w:val="000000" w:themeColor="text1"/>
          <w:sz w:val="22"/>
          <w:lang w:val="es-ES"/>
        </w:rPr>
        <w:t>las uniones temporales</w:t>
      </w:r>
      <w:r w:rsidR="00B26584">
        <w:rPr>
          <w:rFonts w:ascii="Arial" w:eastAsia="Calibri" w:hAnsi="Arial" w:cs="Arial"/>
          <w:color w:val="000000" w:themeColor="text1"/>
          <w:sz w:val="22"/>
          <w:lang w:val="es-ES"/>
        </w:rPr>
        <w:t xml:space="preserve"> </w:t>
      </w:r>
      <w:r w:rsidR="008F6D40">
        <w:rPr>
          <w:rFonts w:ascii="Arial" w:eastAsia="Calibri" w:hAnsi="Arial" w:cs="Arial"/>
          <w:color w:val="000000" w:themeColor="text1"/>
          <w:sz w:val="22"/>
          <w:lang w:val="es-ES"/>
        </w:rPr>
        <w:t>tienen una vigencia que</w:t>
      </w:r>
      <w:r w:rsidR="00B26584">
        <w:rPr>
          <w:rFonts w:ascii="Arial" w:eastAsia="Calibri" w:hAnsi="Arial" w:cs="Arial"/>
          <w:color w:val="000000" w:themeColor="text1"/>
          <w:sz w:val="22"/>
          <w:lang w:val="es-ES"/>
        </w:rPr>
        <w:t xml:space="preserve">, desde el cierre del procedimiento de selección, </w:t>
      </w:r>
      <w:r w:rsidR="008F6D40">
        <w:rPr>
          <w:rFonts w:ascii="Arial" w:eastAsia="Calibri" w:hAnsi="Arial" w:cs="Arial"/>
          <w:color w:val="000000" w:themeColor="text1"/>
          <w:sz w:val="22"/>
          <w:lang w:val="es-ES"/>
        </w:rPr>
        <w:t xml:space="preserve"> no puede ser inferior al plazo del contrato y un año adicional a este último. Esto es congruente </w:t>
      </w:r>
      <w:r w:rsidR="008F6D40">
        <w:rPr>
          <w:rFonts w:ascii="Arial" w:eastAsia="Calibri" w:hAnsi="Arial" w:cs="Arial"/>
          <w:color w:val="000000" w:themeColor="text1"/>
          <w:sz w:val="22"/>
        </w:rPr>
        <w:t xml:space="preserve">con el literal D del numeral 3.3.3 del pliego tipo, en la medida que los proponentes plurales –después del cierre, conforme a la exigencia del documento base– deben mantener su capacidad contractual durante la evaluación de las propuestas, la ejecución del contrato y el año adicional, especialmente, cuando carece de sentido que este último plazo se cuente </w:t>
      </w:r>
      <w:r w:rsidR="004077AE">
        <w:rPr>
          <w:rFonts w:ascii="Arial" w:eastAsia="Calibri" w:hAnsi="Arial" w:cs="Arial"/>
          <w:color w:val="000000" w:themeColor="text1"/>
          <w:sz w:val="22"/>
        </w:rPr>
        <w:t>desde la etapa posterior a</w:t>
      </w:r>
      <w:r w:rsidR="008F6D40">
        <w:rPr>
          <w:rFonts w:ascii="Arial" w:eastAsia="Calibri" w:hAnsi="Arial" w:cs="Arial"/>
          <w:color w:val="000000" w:themeColor="text1"/>
          <w:sz w:val="22"/>
        </w:rPr>
        <w:t xml:space="preserve"> la </w:t>
      </w:r>
      <w:r w:rsidR="004077AE">
        <w:rPr>
          <w:rFonts w:ascii="Arial" w:eastAsia="Calibri" w:hAnsi="Arial" w:cs="Arial"/>
          <w:color w:val="000000" w:themeColor="text1"/>
          <w:sz w:val="22"/>
        </w:rPr>
        <w:t>entrega de las propuestas</w:t>
      </w:r>
      <w:r w:rsidR="00C2197A">
        <w:rPr>
          <w:rFonts w:ascii="Arial" w:eastAsia="Calibri" w:hAnsi="Arial" w:cs="Arial"/>
          <w:color w:val="000000" w:themeColor="text1"/>
          <w:sz w:val="22"/>
        </w:rPr>
        <w:t>, ya que no existe cumplimiento de las obligaciones contractuales durante la selección del contratista.</w:t>
      </w:r>
    </w:p>
    <w:bookmarkEnd w:id="16"/>
    <w:p w14:paraId="18ADCC93" w14:textId="77777777" w:rsidR="002E4348" w:rsidRPr="002E4348" w:rsidRDefault="002E4348" w:rsidP="002E4348">
      <w:pPr>
        <w:spacing w:line="276" w:lineRule="auto"/>
        <w:ind w:firstLine="708"/>
        <w:jc w:val="both"/>
        <w:rPr>
          <w:rFonts w:ascii="Arial" w:eastAsia="Calibri" w:hAnsi="Arial" w:cs="Arial"/>
          <w:color w:val="000000" w:themeColor="text1"/>
          <w:sz w:val="22"/>
          <w:lang w:val="es-ES"/>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58D2264E" w:rsidR="00BE1E33" w:rsidRPr="006C15D5" w:rsidRDefault="002D2B71" w:rsidP="00856B64">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i) En</w:t>
      </w:r>
      <w:r w:rsidRPr="002D2B71">
        <w:rPr>
          <w:rFonts w:ascii="Arial" w:eastAsia="Calibri" w:hAnsi="Arial" w:cs="Arial"/>
          <w:color w:val="000000" w:themeColor="text1"/>
          <w:sz w:val="21"/>
          <w:szCs w:val="21"/>
        </w:rPr>
        <w:t xml:space="preserve"> los «Documentos Tipo – Versión 2» para los procedimientos de licitación de obra pública de infraestructura de transporte, respecto a la vigencia de los consorcios y las uniones temporales, «Cuál es el punto de partida para el año adicional, el cierre del proceso o el vencimiento del plazo de ejecución del contrato, pues da vigencias disimiles?»</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19ADD4E5" w14:textId="2DEDC474" w:rsidR="00563974" w:rsidRDefault="002D2B71" w:rsidP="00563974">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lastRenderedPageBreak/>
        <w:t xml:space="preserve">Conforme a lo explicado en el presente concepto, </w:t>
      </w:r>
      <w:r>
        <w:rPr>
          <w:rFonts w:ascii="Arial" w:eastAsia="Calibri" w:hAnsi="Arial" w:cs="Arial"/>
          <w:color w:val="000000" w:themeColor="text1"/>
          <w:sz w:val="22"/>
        </w:rPr>
        <w:t xml:space="preserve">el literal D del numeral 3.3.3 del pliego tipo dispone </w:t>
      </w:r>
      <w:r w:rsidR="00143498">
        <w:rPr>
          <w:rFonts w:ascii="Arial" w:eastAsia="Calibri" w:hAnsi="Arial" w:cs="Arial"/>
          <w:color w:val="000000" w:themeColor="text1"/>
          <w:sz w:val="22"/>
        </w:rPr>
        <w:t>que los consorcios y las uniones temporales –después del cierre del procedimiento de selección– deben estar vigentes durante la evaluación de las propuestas, la ejecución del contrato y un año adicional a este. En esta medida, el año adicional se cuenta a partir del vencimiento del plazo de ejecución, no a partir del cierre del proceso.</w:t>
      </w:r>
    </w:p>
    <w:p w14:paraId="76F10936" w14:textId="33BDBB52" w:rsidR="00563974" w:rsidRDefault="00143498" w:rsidP="00563974">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 xml:space="preserve">En virtud de la interpretación sistemática, este criterio condiciona el entendimiento del «Formato 2 – </w:t>
      </w:r>
      <w:r w:rsidRPr="00950763">
        <w:rPr>
          <w:rFonts w:ascii="Arial" w:eastAsia="Calibri" w:hAnsi="Arial" w:cs="Arial"/>
          <w:color w:val="000000" w:themeColor="text1"/>
          <w:sz w:val="22"/>
        </w:rPr>
        <w:t>Conformación de Proponente Plural</w:t>
      </w:r>
      <w:r>
        <w:rPr>
          <w:rFonts w:ascii="Arial" w:eastAsia="Calibri" w:hAnsi="Arial" w:cs="Arial"/>
          <w:color w:val="000000" w:themeColor="text1"/>
          <w:sz w:val="22"/>
        </w:rPr>
        <w:t xml:space="preserve">». Por tanto, cuando el numeral 1 del </w:t>
      </w:r>
      <w:r>
        <w:rPr>
          <w:rFonts w:ascii="Arial" w:eastAsia="Calibri" w:hAnsi="Arial" w:cs="Arial"/>
          <w:color w:val="000000" w:themeColor="text1"/>
          <w:sz w:val="22"/>
          <w:lang w:val="es-ES"/>
        </w:rPr>
        <w:t>«Formato 2B»</w:t>
      </w:r>
      <w:r>
        <w:rPr>
          <w:rFonts w:ascii="Arial" w:eastAsia="Calibri" w:hAnsi="Arial" w:cs="Arial"/>
          <w:color w:val="000000" w:themeColor="text1"/>
          <w:sz w:val="22"/>
        </w:rPr>
        <w:t xml:space="preserve"> dispone que «</w:t>
      </w:r>
      <w:r w:rsidRPr="00143498">
        <w:rPr>
          <w:rFonts w:ascii="Arial" w:eastAsia="Calibri" w:hAnsi="Arial" w:cs="Arial"/>
          <w:color w:val="000000" w:themeColor="text1"/>
          <w:sz w:val="22"/>
        </w:rPr>
        <w:t>La duración de la Unión Temporal no será inferior al del plazo de ejecución del contrato y un año adicional contado a partir de la fecha del cierre del Proceso de Contratación</w:t>
      </w:r>
      <w:r>
        <w:rPr>
          <w:rFonts w:ascii="Arial" w:eastAsia="Calibri" w:hAnsi="Arial" w:cs="Arial"/>
          <w:color w:val="000000" w:themeColor="text1"/>
          <w:sz w:val="22"/>
        </w:rPr>
        <w:t xml:space="preserve">», no puede entenderse que la vigencia </w:t>
      </w:r>
      <w:r w:rsidR="00931485">
        <w:rPr>
          <w:rFonts w:ascii="Arial" w:eastAsia="Calibri" w:hAnsi="Arial" w:cs="Arial"/>
          <w:color w:val="000000" w:themeColor="text1"/>
          <w:sz w:val="22"/>
        </w:rPr>
        <w:t>es de un año contado a partir del cierre del procedimiento m</w:t>
      </w:r>
      <w:r w:rsidR="0012798F">
        <w:rPr>
          <w:rFonts w:ascii="Arial" w:eastAsia="Calibri" w:hAnsi="Arial" w:cs="Arial"/>
          <w:color w:val="000000" w:themeColor="text1"/>
          <w:sz w:val="22"/>
        </w:rPr>
        <w:t>á</w:t>
      </w:r>
      <w:r w:rsidR="00931485">
        <w:rPr>
          <w:rFonts w:ascii="Arial" w:eastAsia="Calibri" w:hAnsi="Arial" w:cs="Arial"/>
          <w:color w:val="000000" w:themeColor="text1"/>
          <w:sz w:val="22"/>
        </w:rPr>
        <w:t xml:space="preserve">s el plazo de ejecución del contrato, pues se trata de una idea contraria a la prevista en el documento base. </w:t>
      </w:r>
      <w:r w:rsidR="00563974">
        <w:rPr>
          <w:rFonts w:ascii="Arial" w:eastAsia="Calibri" w:hAnsi="Arial" w:cs="Arial"/>
          <w:color w:val="000000" w:themeColor="text1"/>
          <w:sz w:val="22"/>
        </w:rPr>
        <w:t xml:space="preserve">Todo lo contrario, debe armonizarse con el </w:t>
      </w:r>
      <w:r w:rsidR="00994B40">
        <w:rPr>
          <w:rFonts w:ascii="Arial" w:eastAsia="Calibri" w:hAnsi="Arial" w:cs="Arial"/>
          <w:color w:val="000000" w:themeColor="text1"/>
          <w:sz w:val="22"/>
        </w:rPr>
        <w:t>pliego</w:t>
      </w:r>
      <w:r w:rsidR="00563974">
        <w:rPr>
          <w:rFonts w:ascii="Arial" w:eastAsia="Calibri" w:hAnsi="Arial" w:cs="Arial"/>
          <w:color w:val="000000" w:themeColor="text1"/>
          <w:sz w:val="22"/>
        </w:rPr>
        <w:t xml:space="preserve"> para concluir que</w:t>
      </w:r>
      <w:bookmarkStart w:id="17" w:name="_Hlk49365477"/>
      <w:r w:rsidR="00563974">
        <w:rPr>
          <w:rFonts w:ascii="Arial" w:eastAsia="Calibri" w:hAnsi="Arial" w:cs="Arial"/>
          <w:color w:val="000000" w:themeColor="text1"/>
          <w:sz w:val="22"/>
        </w:rPr>
        <w:t>, contada desde el cierre, la vigencia no puede ser inferior al plazo del contrato y un año adicional contado desde el vencimiento del término de ejecución.</w:t>
      </w:r>
      <w:bookmarkEnd w:id="17"/>
      <w:r w:rsidR="00563974">
        <w:rPr>
          <w:rFonts w:ascii="Arial" w:eastAsia="Calibri" w:hAnsi="Arial" w:cs="Arial"/>
          <w:color w:val="000000" w:themeColor="text1"/>
          <w:sz w:val="22"/>
        </w:rPr>
        <w:t xml:space="preserve"> </w:t>
      </w:r>
    </w:p>
    <w:p w14:paraId="18C2AC15" w14:textId="77777777" w:rsidR="00563974" w:rsidRDefault="00563974" w:rsidP="00563974">
      <w:pPr>
        <w:spacing w:line="276" w:lineRule="auto"/>
        <w:jc w:val="both"/>
        <w:rPr>
          <w:rFonts w:ascii="Arial" w:eastAsia="Calibri" w:hAnsi="Arial" w:cs="Arial"/>
          <w:color w:val="000000" w:themeColor="text1"/>
          <w:sz w:val="22"/>
        </w:rPr>
      </w:pPr>
    </w:p>
    <w:p w14:paraId="17FB4FB6" w14:textId="77777777" w:rsidR="00563974" w:rsidRPr="006C15D5" w:rsidRDefault="00563974" w:rsidP="00563974">
      <w:pPr>
        <w:ind w:left="709" w:right="709"/>
        <w:jc w:val="both"/>
        <w:rPr>
          <w:rFonts w:ascii="Arial" w:eastAsia="Calibri" w:hAnsi="Arial" w:cs="Arial"/>
          <w:color w:val="000000" w:themeColor="text1"/>
          <w:sz w:val="21"/>
          <w:szCs w:val="21"/>
        </w:rPr>
      </w:pPr>
      <w:r w:rsidRPr="00563974">
        <w:rPr>
          <w:rFonts w:ascii="Arial" w:eastAsia="Calibri" w:hAnsi="Arial" w:cs="Arial"/>
          <w:color w:val="000000" w:themeColor="text1"/>
          <w:sz w:val="21"/>
          <w:szCs w:val="21"/>
        </w:rPr>
        <w:t>ii) «El plazo de duración de los proponentes plurales no debe contemplar que cobije las obligaciones post contractuales, tales como la de duración y vigencia del amparo de estabilidad de la obra, de acuerdo al artículo 2.2.1.2.3.1.14. Decreto 1082 de 2015?»</w:t>
      </w:r>
      <w:r w:rsidRPr="007D6D97">
        <w:rPr>
          <w:rFonts w:ascii="Arial" w:eastAsia="Calibri" w:hAnsi="Arial" w:cs="Arial"/>
          <w:color w:val="000000" w:themeColor="text1"/>
          <w:sz w:val="21"/>
          <w:szCs w:val="21"/>
        </w:rPr>
        <w:t>.</w:t>
      </w:r>
    </w:p>
    <w:p w14:paraId="1F2DAC98" w14:textId="77777777" w:rsidR="00563974" w:rsidRDefault="00563974" w:rsidP="00563974">
      <w:pPr>
        <w:spacing w:line="276" w:lineRule="auto"/>
        <w:jc w:val="both"/>
        <w:rPr>
          <w:rFonts w:ascii="Arial" w:eastAsia="Calibri" w:hAnsi="Arial" w:cs="Arial"/>
          <w:color w:val="000000" w:themeColor="text1"/>
          <w:sz w:val="22"/>
        </w:rPr>
      </w:pPr>
    </w:p>
    <w:p w14:paraId="364314E4" w14:textId="1C2BC266" w:rsidR="00563974" w:rsidRDefault="00563974" w:rsidP="00603C7F">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t xml:space="preserve">La vigencia de los consorcios y las uniones temporales está expresamente regulada en el literal </w:t>
      </w:r>
      <w:r>
        <w:rPr>
          <w:rFonts w:ascii="Arial" w:eastAsia="Calibri" w:hAnsi="Arial" w:cs="Arial"/>
          <w:color w:val="000000" w:themeColor="text1"/>
          <w:sz w:val="22"/>
        </w:rPr>
        <w:t xml:space="preserve">D del numeral 3.3.3 del pliego tipo, </w:t>
      </w:r>
      <w:r w:rsidR="0013282D">
        <w:rPr>
          <w:rFonts w:ascii="Arial" w:eastAsia="Calibri" w:hAnsi="Arial" w:cs="Arial"/>
          <w:color w:val="000000" w:themeColor="text1"/>
          <w:sz w:val="22"/>
        </w:rPr>
        <w:t>en concordancia con</w:t>
      </w:r>
      <w:r>
        <w:rPr>
          <w:rFonts w:ascii="Arial" w:eastAsia="Calibri" w:hAnsi="Arial" w:cs="Arial"/>
          <w:color w:val="000000" w:themeColor="text1"/>
          <w:sz w:val="22"/>
        </w:rPr>
        <w:t xml:space="preserve"> el numeral 1 </w:t>
      </w:r>
      <w:r w:rsidR="0097420F">
        <w:rPr>
          <w:rFonts w:ascii="Arial" w:eastAsia="Calibri" w:hAnsi="Arial" w:cs="Arial"/>
          <w:color w:val="000000" w:themeColor="text1"/>
          <w:sz w:val="22"/>
        </w:rPr>
        <w:t>de los formatos 2A y 2B</w:t>
      </w:r>
      <w:r w:rsidR="0013282D">
        <w:rPr>
          <w:rFonts w:ascii="Arial" w:eastAsia="Calibri" w:hAnsi="Arial" w:cs="Arial"/>
          <w:color w:val="000000" w:themeColor="text1"/>
          <w:sz w:val="22"/>
        </w:rPr>
        <w:t xml:space="preserve">, con un plazo totalmente independiente de la duración del amparo de estabilidad de la obra. En esta medida, aunque </w:t>
      </w:r>
      <w:r w:rsidR="0097420F">
        <w:rPr>
          <w:rFonts w:ascii="Arial" w:eastAsia="Calibri" w:hAnsi="Arial" w:cs="Arial"/>
          <w:color w:val="000000" w:themeColor="text1"/>
          <w:sz w:val="22"/>
        </w:rPr>
        <w:t>expire la vigencia del proponente plural, las personas que lo integren responden por la ocurrencia del riesgo amparado. No en vano, el artículo</w:t>
      </w:r>
      <w:r w:rsidR="0097420F" w:rsidRPr="0097420F">
        <w:rPr>
          <w:rFonts w:ascii="Arial" w:eastAsia="Calibri" w:hAnsi="Arial" w:cs="Arial"/>
          <w:color w:val="000000" w:themeColor="text1"/>
          <w:sz w:val="22"/>
        </w:rPr>
        <w:t xml:space="preserve"> 2.2.1.2.3.1.4</w:t>
      </w:r>
      <w:r w:rsidR="0097420F">
        <w:rPr>
          <w:rFonts w:ascii="Arial" w:eastAsia="Calibri" w:hAnsi="Arial" w:cs="Arial"/>
          <w:color w:val="000000" w:themeColor="text1"/>
          <w:sz w:val="22"/>
        </w:rPr>
        <w:t xml:space="preserve"> del Decreto 1082 de 2015 dispone que «</w:t>
      </w:r>
      <w:r w:rsidR="0097420F" w:rsidRPr="0097420F">
        <w:rPr>
          <w:rFonts w:ascii="Arial" w:eastAsia="Calibri" w:hAnsi="Arial" w:cs="Arial"/>
          <w:color w:val="000000" w:themeColor="text1"/>
          <w:sz w:val="22"/>
        </w:rPr>
        <w:t>Cuando la oferta es presentada por un proponente plural, como unión temporal, consorcio o promesa de sociedad futura, la garantía debe ser otorgada por todos sus integrantes</w:t>
      </w:r>
      <w:r w:rsidR="0097420F">
        <w:rPr>
          <w:rFonts w:ascii="Arial" w:eastAsia="Calibri" w:hAnsi="Arial" w:cs="Arial"/>
          <w:color w:val="000000" w:themeColor="text1"/>
          <w:sz w:val="22"/>
        </w:rPr>
        <w:t>»</w:t>
      </w:r>
      <w:r w:rsidR="0097420F" w:rsidRPr="0097420F">
        <w:rPr>
          <w:rFonts w:ascii="Arial" w:eastAsia="Calibri" w:hAnsi="Arial" w:cs="Arial"/>
          <w:color w:val="000000" w:themeColor="text1"/>
          <w:sz w:val="22"/>
        </w:rPr>
        <w:t>.</w:t>
      </w:r>
      <w:r w:rsidR="0013282D">
        <w:rPr>
          <w:rFonts w:ascii="Arial" w:eastAsia="Calibri" w:hAnsi="Arial" w:cs="Arial"/>
          <w:color w:val="000000" w:themeColor="text1"/>
          <w:sz w:val="22"/>
        </w:rPr>
        <w:t xml:space="preserve"> </w:t>
      </w:r>
    </w:p>
    <w:p w14:paraId="3736D4B2" w14:textId="77777777" w:rsidR="008F0E10" w:rsidRPr="006C15D5" w:rsidRDefault="008F0E10" w:rsidP="008F0E10">
      <w:pPr>
        <w:spacing w:line="276" w:lineRule="auto"/>
        <w:ind w:right="709"/>
        <w:jc w:val="both"/>
        <w:rPr>
          <w:rFonts w:ascii="Arial" w:hAnsi="Arial" w:cs="Arial"/>
          <w:color w:val="000000" w:themeColor="text1"/>
          <w:sz w:val="21"/>
          <w:szCs w:val="21"/>
          <w:lang w:val="es-CO"/>
        </w:rPr>
      </w:pPr>
    </w:p>
    <w:p w14:paraId="4D8A7EE4" w14:textId="225FD3FC" w:rsidR="008F0E10" w:rsidRPr="006C15D5" w:rsidRDefault="008F0E10" w:rsidP="008F0E10">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i</w:t>
      </w:r>
      <w:r w:rsidR="00603C7F">
        <w:rPr>
          <w:rFonts w:ascii="Arial" w:eastAsia="Calibri" w:hAnsi="Arial" w:cs="Arial"/>
          <w:color w:val="000000" w:themeColor="text1"/>
          <w:sz w:val="21"/>
          <w:szCs w:val="21"/>
        </w:rPr>
        <w:t>ii</w:t>
      </w:r>
      <w:r>
        <w:rPr>
          <w:rFonts w:ascii="Arial" w:eastAsia="Calibri" w:hAnsi="Arial" w:cs="Arial"/>
          <w:color w:val="000000" w:themeColor="text1"/>
          <w:sz w:val="21"/>
          <w:szCs w:val="21"/>
        </w:rPr>
        <w:t xml:space="preserve">) </w:t>
      </w:r>
      <w:r w:rsidR="00603C7F" w:rsidRPr="00603C7F">
        <w:rPr>
          <w:rFonts w:ascii="Arial" w:eastAsia="Calibri" w:hAnsi="Arial" w:cs="Arial"/>
          <w:color w:val="000000" w:themeColor="text1"/>
          <w:sz w:val="21"/>
          <w:szCs w:val="21"/>
        </w:rPr>
        <w:t>«Incluir esa mención "a partir de la fecha del cierre del proceso de contratación", que hace el pliego tipo, en el formato 2, determina una modificación, atendiendo a lo dispuesto en el literal I del punto 1.17 del pliego de condiciones?».</w:t>
      </w:r>
    </w:p>
    <w:p w14:paraId="5532BC94" w14:textId="77777777" w:rsidR="008F0E10" w:rsidRDefault="008F0E10" w:rsidP="008F0E10">
      <w:pPr>
        <w:spacing w:line="276" w:lineRule="auto"/>
        <w:jc w:val="both"/>
        <w:rPr>
          <w:rFonts w:ascii="Arial" w:eastAsia="Calibri" w:hAnsi="Arial" w:cs="Arial"/>
          <w:color w:val="000000" w:themeColor="text1"/>
          <w:sz w:val="22"/>
        </w:rPr>
      </w:pPr>
    </w:p>
    <w:p w14:paraId="0BEAF312" w14:textId="61AA7E46" w:rsidR="00A46CF8" w:rsidRDefault="00A46CF8" w:rsidP="008F0E10">
      <w:pPr>
        <w:spacing w:after="120" w:line="276" w:lineRule="auto"/>
        <w:jc w:val="both"/>
        <w:rPr>
          <w:rFonts w:ascii="Arial" w:eastAsia="Calibri" w:hAnsi="Arial" w:cs="Arial"/>
          <w:color w:val="000000" w:themeColor="text1"/>
          <w:sz w:val="22"/>
          <w:lang w:val="es-ES"/>
        </w:rPr>
      </w:pPr>
      <w:r w:rsidRPr="00A46CF8">
        <w:rPr>
          <w:rFonts w:ascii="Arial" w:eastAsia="Calibri" w:hAnsi="Arial" w:cs="Arial"/>
          <w:color w:val="000000" w:themeColor="text1"/>
          <w:sz w:val="22"/>
          <w:lang w:val="es-ES"/>
        </w:rPr>
        <w:t xml:space="preserve">Lo dispuesto en el «Formato 2» también hace parte de los documentos tipo adoptados mediante la Resolución 045 del 14 de febrero de 2020, por lo que –salvo autorización expresa para llenar los espacios en gris– </w:t>
      </w:r>
      <w:r>
        <w:rPr>
          <w:rFonts w:ascii="Arial" w:eastAsia="Calibri" w:hAnsi="Arial" w:cs="Arial"/>
          <w:color w:val="000000" w:themeColor="text1"/>
          <w:sz w:val="22"/>
          <w:lang w:val="es-ES"/>
        </w:rPr>
        <w:t>es</w:t>
      </w:r>
      <w:r w:rsidRPr="00A46CF8">
        <w:rPr>
          <w:rFonts w:ascii="Arial" w:eastAsia="Calibri" w:hAnsi="Arial" w:cs="Arial"/>
          <w:color w:val="000000" w:themeColor="text1"/>
          <w:sz w:val="22"/>
          <w:lang w:val="es-ES"/>
        </w:rPr>
        <w:t xml:space="preserve"> inmodificable</w:t>
      </w:r>
      <w:r w:rsidR="00D14450">
        <w:rPr>
          <w:rFonts w:ascii="Arial" w:eastAsia="Calibri" w:hAnsi="Arial" w:cs="Arial"/>
          <w:color w:val="000000" w:themeColor="text1"/>
          <w:sz w:val="22"/>
          <w:lang w:val="es-ES"/>
        </w:rPr>
        <w:t>. De esta manera, no es</w:t>
      </w:r>
      <w:r>
        <w:rPr>
          <w:rFonts w:ascii="Arial" w:eastAsia="Calibri" w:hAnsi="Arial" w:cs="Arial"/>
          <w:color w:val="000000" w:themeColor="text1"/>
          <w:sz w:val="22"/>
          <w:lang w:val="es-ES"/>
        </w:rPr>
        <w:t xml:space="preserve"> posible ampliar o restringir</w:t>
      </w:r>
      <w:r w:rsidR="003D4BD3">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las condiciones necesarias para constituir el consorcio o la unión temporal</w:t>
      </w:r>
      <w:r w:rsidR="00D14450">
        <w:rPr>
          <w:rFonts w:ascii="Arial" w:eastAsia="Calibri" w:hAnsi="Arial" w:cs="Arial"/>
          <w:color w:val="000000" w:themeColor="text1"/>
          <w:sz w:val="22"/>
          <w:lang w:val="es-ES"/>
        </w:rPr>
        <w:t>, especialmente, en lo relacionado con su duración</w:t>
      </w:r>
      <w:r w:rsidRPr="00A46CF8">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p>
    <w:p w14:paraId="05708BCC" w14:textId="7B31B6BD" w:rsidR="00D14450" w:rsidRPr="00D14450" w:rsidRDefault="003D4BD3" w:rsidP="00D14450">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Pese a esto</w:t>
      </w:r>
      <w:r w:rsidR="00A46CF8">
        <w:rPr>
          <w:rFonts w:ascii="Arial" w:eastAsia="Calibri" w:hAnsi="Arial" w:cs="Arial"/>
          <w:color w:val="000000" w:themeColor="text1"/>
          <w:sz w:val="22"/>
          <w:lang w:val="es-ES"/>
        </w:rPr>
        <w:t xml:space="preserve">, el numeral 1 de los formatos 2A y 2B debe armonizarse con el literal </w:t>
      </w:r>
      <w:r w:rsidR="00A46CF8">
        <w:rPr>
          <w:rFonts w:ascii="Arial" w:eastAsia="Calibri" w:hAnsi="Arial" w:cs="Arial"/>
          <w:color w:val="000000" w:themeColor="text1"/>
          <w:sz w:val="22"/>
        </w:rPr>
        <w:t xml:space="preserve">D del numeral 3.3.3 del </w:t>
      </w:r>
      <w:r w:rsidR="00A46CF8" w:rsidRPr="00A46CF8">
        <w:rPr>
          <w:rFonts w:ascii="Arial" w:eastAsia="Calibri" w:hAnsi="Arial" w:cs="Arial"/>
          <w:color w:val="000000" w:themeColor="text1"/>
          <w:sz w:val="22"/>
        </w:rPr>
        <w:t>pliego tipo.</w:t>
      </w:r>
      <w:r w:rsidR="00A46CF8" w:rsidRPr="00A46CF8">
        <w:rPr>
          <w:rFonts w:ascii="Arial" w:hAnsi="Arial" w:cs="Arial"/>
          <w:sz w:val="22"/>
        </w:rPr>
        <w:t xml:space="preserve"> </w:t>
      </w:r>
      <w:r w:rsidR="00D14450">
        <w:rPr>
          <w:rFonts w:ascii="Arial" w:hAnsi="Arial" w:cs="Arial"/>
          <w:sz w:val="22"/>
        </w:rPr>
        <w:t>Por tanto</w:t>
      </w:r>
      <w:r w:rsidR="00A46CF8">
        <w:rPr>
          <w:rFonts w:ascii="Arial" w:hAnsi="Arial" w:cs="Arial"/>
          <w:sz w:val="22"/>
        </w:rPr>
        <w:t>.</w:t>
      </w:r>
      <w:r w:rsidR="00A46CF8" w:rsidRPr="00A46CF8">
        <w:rPr>
          <w:rFonts w:ascii="Arial" w:eastAsia="Calibri" w:hAnsi="Arial" w:cs="Arial"/>
          <w:color w:val="000000" w:themeColor="text1"/>
          <w:sz w:val="22"/>
        </w:rPr>
        <w:t xml:space="preserve"> la vigencia</w:t>
      </w:r>
      <w:r w:rsidR="00A46CF8">
        <w:rPr>
          <w:rFonts w:ascii="Arial" w:eastAsia="Calibri" w:hAnsi="Arial" w:cs="Arial"/>
          <w:color w:val="000000" w:themeColor="text1"/>
          <w:sz w:val="22"/>
        </w:rPr>
        <w:t xml:space="preserve"> del proponente plural</w:t>
      </w:r>
      <w:r w:rsidR="00D14450">
        <w:rPr>
          <w:rFonts w:ascii="Arial" w:eastAsia="Calibri" w:hAnsi="Arial" w:cs="Arial"/>
          <w:color w:val="000000" w:themeColor="text1"/>
          <w:sz w:val="22"/>
        </w:rPr>
        <w:t xml:space="preserve">, </w:t>
      </w:r>
      <w:r w:rsidR="00D14450" w:rsidRPr="00D14450">
        <w:rPr>
          <w:rFonts w:ascii="Arial" w:eastAsia="Calibri" w:hAnsi="Arial" w:cs="Arial"/>
          <w:color w:val="000000" w:themeColor="text1"/>
          <w:sz w:val="22"/>
        </w:rPr>
        <w:t>contada desde el cierre</w:t>
      </w:r>
      <w:r w:rsidR="00D14450">
        <w:rPr>
          <w:rFonts w:ascii="Arial" w:eastAsia="Calibri" w:hAnsi="Arial" w:cs="Arial"/>
          <w:color w:val="000000" w:themeColor="text1"/>
          <w:sz w:val="22"/>
        </w:rPr>
        <w:t xml:space="preserve"> del proceso de selección</w:t>
      </w:r>
      <w:r w:rsidR="00D14450" w:rsidRPr="00D14450">
        <w:rPr>
          <w:rFonts w:ascii="Arial" w:eastAsia="Calibri" w:hAnsi="Arial" w:cs="Arial"/>
          <w:color w:val="000000" w:themeColor="text1"/>
          <w:sz w:val="22"/>
        </w:rPr>
        <w:t>,</w:t>
      </w:r>
      <w:r w:rsidR="00A46CF8" w:rsidRPr="00A46CF8">
        <w:rPr>
          <w:rFonts w:ascii="Arial" w:eastAsia="Calibri" w:hAnsi="Arial" w:cs="Arial"/>
          <w:color w:val="000000" w:themeColor="text1"/>
          <w:sz w:val="22"/>
        </w:rPr>
        <w:t xml:space="preserve"> no puede ser inferior al plazo del contrato y un año adicional contado desde el vencimiento del término de ejecución.</w:t>
      </w:r>
      <w:r w:rsidR="00A46CF8">
        <w:rPr>
          <w:rFonts w:ascii="Arial" w:eastAsia="Calibri" w:hAnsi="Arial" w:cs="Arial"/>
          <w:color w:val="000000" w:themeColor="text1"/>
          <w:sz w:val="22"/>
        </w:rPr>
        <w:t xml:space="preserve"> </w:t>
      </w:r>
      <w:r w:rsidR="00A46CF8">
        <w:rPr>
          <w:rFonts w:ascii="Arial" w:eastAsia="Calibri" w:hAnsi="Arial" w:cs="Arial"/>
          <w:color w:val="000000" w:themeColor="text1"/>
          <w:sz w:val="22"/>
          <w:lang w:val="es-ES"/>
        </w:rPr>
        <w:t xml:space="preserve"> </w:t>
      </w:r>
    </w:p>
    <w:p w14:paraId="5B0B1E86" w14:textId="2A87AB85" w:rsidR="00185441" w:rsidRPr="00D14450" w:rsidRDefault="00B63732" w:rsidP="00D14450">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BE1E33">
      <w:pPr>
        <w:spacing w:before="120"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E76930">
      <w:pPr>
        <w:ind w:firstLine="709"/>
        <w:jc w:val="center"/>
        <w:rPr>
          <w:rFonts w:ascii="Arial" w:eastAsia="Calibri" w:hAnsi="Arial" w:cs="Arial"/>
          <w:color w:val="000000" w:themeColor="text1"/>
          <w:sz w:val="22"/>
        </w:rPr>
      </w:pPr>
    </w:p>
    <w:p w14:paraId="2B02915D" w14:textId="11D9E498" w:rsidR="00BE1E33"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p w14:paraId="6F23586F" w14:textId="2EB03EB7" w:rsidR="00E76930" w:rsidRDefault="00E76930" w:rsidP="00BE1E33">
      <w:pPr>
        <w:jc w:val="both"/>
        <w:rPr>
          <w:rFonts w:ascii="Arial" w:eastAsia="Times New Roman" w:hAnsi="Arial" w:cs="Arial"/>
          <w:color w:val="000000" w:themeColor="text1"/>
          <w:sz w:val="22"/>
          <w:lang w:eastAsia="es-CO"/>
        </w:rPr>
      </w:pPr>
    </w:p>
    <w:p w14:paraId="3A62CB6C" w14:textId="6D2C6F57" w:rsidR="00E76930" w:rsidRPr="006C15D5" w:rsidRDefault="00302D35" w:rsidP="00E76930">
      <w:pPr>
        <w:jc w:val="center"/>
        <w:rPr>
          <w:rFonts w:ascii="Arial" w:eastAsia="Times New Roman" w:hAnsi="Arial" w:cs="Arial"/>
          <w:color w:val="000000" w:themeColor="text1"/>
          <w:sz w:val="22"/>
          <w:lang w:eastAsia="es-CO"/>
        </w:rPr>
      </w:pPr>
      <w:r>
        <w:rPr>
          <w:noProof/>
        </w:rPr>
        <w:drawing>
          <wp:inline distT="0" distB="0" distL="0" distR="0" wp14:anchorId="1620E850" wp14:editId="3055F889">
            <wp:extent cx="2171700" cy="923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bookmarkEnd w:id="0"/>
    <w:bookmarkEnd w:id="1"/>
    <w:p w14:paraId="25DBC81F" w14:textId="37FC2F37" w:rsidR="003C2BDE" w:rsidRPr="00222BE8" w:rsidRDefault="003C2BDE" w:rsidP="00E76930">
      <w:pPr>
        <w:rPr>
          <w:rFonts w:ascii="Arial" w:eastAsia="Times New Roman" w:hAnsi="Arial" w:cs="Arial"/>
          <w:color w:val="000000" w:themeColor="text1"/>
          <w:sz w:val="18"/>
          <w:szCs w:val="20"/>
          <w:lang w:val="es-ES_tradnl" w:eastAsia="es-CO"/>
        </w:rPr>
      </w:pPr>
      <w:r>
        <w:rPr>
          <w:rFonts w:ascii="Arial" w:eastAsia="Times New Roman" w:hAnsi="Arial" w:cs="Arial"/>
          <w:color w:val="000000" w:themeColor="text1"/>
          <w:sz w:val="18"/>
          <w:szCs w:val="20"/>
          <w:lang w:val="es-ES_tradnl" w:eastAsia="es-CO"/>
        </w:rPr>
        <w:br w:type="textWrapping" w:clear="all"/>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2BDE" w:rsidRPr="00222BE8" w14:paraId="4D1163CE" w14:textId="77777777" w:rsidTr="000638B3">
        <w:trPr>
          <w:trHeight w:val="315"/>
        </w:trPr>
        <w:tc>
          <w:tcPr>
            <w:tcW w:w="812" w:type="dxa"/>
            <w:vAlign w:val="center"/>
            <w:hideMark/>
          </w:tcPr>
          <w:p w14:paraId="7B991F9B"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C5E6F0D" w14:textId="77777777" w:rsidR="003C2BDE" w:rsidRDefault="003C2BDE" w:rsidP="000638B3">
            <w:pPr>
              <w:rPr>
                <w:rFonts w:ascii="Arial" w:eastAsia="Times New Roman" w:hAnsi="Arial" w:cs="Arial"/>
                <w:color w:val="000000" w:themeColor="text1"/>
                <w:sz w:val="16"/>
                <w:szCs w:val="16"/>
                <w:lang w:eastAsia="es-ES"/>
              </w:rPr>
            </w:pPr>
          </w:p>
          <w:p w14:paraId="0DD71560" w14:textId="33ED1657" w:rsidR="003C2BDE" w:rsidRDefault="00784DDD" w:rsidP="000638B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w:t>
            </w:r>
            <w:r w:rsidR="0004206D">
              <w:rPr>
                <w:rFonts w:ascii="Arial" w:eastAsia="Times New Roman" w:hAnsi="Arial" w:cs="Arial"/>
                <w:color w:val="000000" w:themeColor="text1"/>
                <w:sz w:val="16"/>
                <w:szCs w:val="16"/>
                <w:lang w:eastAsia="es-ES"/>
              </w:rPr>
              <w:t xml:space="preserve"> Montoya Penagos</w:t>
            </w:r>
          </w:p>
          <w:p w14:paraId="0F5BBA93" w14:textId="2D42EA2F" w:rsidR="003C2BDE" w:rsidRPr="00222BE8" w:rsidRDefault="003C2BDE" w:rsidP="000638B3">
            <w:pPr>
              <w:rPr>
                <w:rFonts w:ascii="Arial" w:eastAsia="Times New Roman" w:hAnsi="Arial" w:cs="Arial"/>
                <w:color w:val="000000" w:themeColor="text1"/>
                <w:sz w:val="16"/>
                <w:szCs w:val="16"/>
                <w:lang w:val="es-ES_tradnl" w:eastAsia="es-ES"/>
              </w:rPr>
            </w:pPr>
            <w:r w:rsidRPr="007045F5">
              <w:rPr>
                <w:rFonts w:ascii="Arial" w:eastAsia="Times New Roman" w:hAnsi="Arial" w:cs="Arial"/>
                <w:color w:val="000000" w:themeColor="text1"/>
                <w:sz w:val="16"/>
                <w:szCs w:val="16"/>
                <w:lang w:eastAsia="es-ES"/>
              </w:rPr>
              <w:t>Contratista</w:t>
            </w:r>
            <w:r>
              <w:rPr>
                <w:rFonts w:ascii="Arial" w:eastAsia="Times New Roman" w:hAnsi="Arial" w:cs="Arial"/>
                <w:color w:val="000000" w:themeColor="text1"/>
                <w:sz w:val="16"/>
                <w:szCs w:val="16"/>
                <w:lang w:eastAsia="es-ES"/>
              </w:rPr>
              <w:t xml:space="preserve"> </w:t>
            </w:r>
            <w:r w:rsidR="004D1ACA">
              <w:rPr>
                <w:rFonts w:ascii="Arial" w:eastAsia="Times New Roman" w:hAnsi="Arial" w:cs="Arial"/>
                <w:color w:val="000000" w:themeColor="text1"/>
                <w:sz w:val="16"/>
                <w:szCs w:val="16"/>
                <w:lang w:eastAsia="es-ES"/>
              </w:rPr>
              <w:t>de la</w:t>
            </w:r>
            <w:r w:rsidRPr="007045F5">
              <w:rPr>
                <w:rFonts w:ascii="Arial" w:eastAsia="Times New Roman" w:hAnsi="Arial" w:cs="Arial"/>
                <w:color w:val="000000" w:themeColor="text1"/>
                <w:sz w:val="16"/>
                <w:szCs w:val="16"/>
                <w:lang w:eastAsia="es-ES"/>
              </w:rPr>
              <w:t xml:space="preserve"> Subdirección de Gestión Contractual</w:t>
            </w:r>
          </w:p>
        </w:tc>
      </w:tr>
      <w:tr w:rsidR="003C2BDE" w:rsidRPr="00222BE8" w14:paraId="1244084E" w14:textId="77777777" w:rsidTr="000638B3">
        <w:trPr>
          <w:trHeight w:val="330"/>
        </w:trPr>
        <w:tc>
          <w:tcPr>
            <w:tcW w:w="812" w:type="dxa"/>
            <w:vAlign w:val="center"/>
            <w:hideMark/>
          </w:tcPr>
          <w:p w14:paraId="2F2EBDD6"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359914"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Cristian Andrés Díaz Díez</w:t>
            </w:r>
          </w:p>
          <w:p w14:paraId="363E620B" w14:textId="7B1EC9B0" w:rsidR="003C2BDE" w:rsidRPr="00222BE8" w:rsidRDefault="003C2BDE" w:rsidP="000638B3">
            <w:pPr>
              <w:jc w:val="both"/>
              <w:rPr>
                <w:rFonts w:ascii="Arial" w:eastAsia="Times New Roman" w:hAnsi="Arial" w:cs="Arial"/>
                <w:color w:val="000000" w:themeColor="text1"/>
                <w:sz w:val="16"/>
                <w:szCs w:val="16"/>
                <w:lang w:val="es-ES_tradnl" w:eastAsia="es-ES"/>
              </w:rPr>
            </w:pPr>
            <w:r w:rsidRPr="007045F5">
              <w:rPr>
                <w:rFonts w:ascii="Arial" w:eastAsia="Times New Roman" w:hAnsi="Arial" w:cs="Arial"/>
                <w:color w:val="000000" w:themeColor="text1"/>
                <w:sz w:val="16"/>
                <w:szCs w:val="16"/>
                <w:lang w:eastAsia="es-ES"/>
              </w:rPr>
              <w:t>Contratista</w:t>
            </w:r>
            <w:r>
              <w:rPr>
                <w:rFonts w:ascii="Arial" w:eastAsia="Times New Roman" w:hAnsi="Arial" w:cs="Arial"/>
                <w:color w:val="000000" w:themeColor="text1"/>
                <w:sz w:val="16"/>
                <w:szCs w:val="16"/>
                <w:lang w:eastAsia="es-ES"/>
              </w:rPr>
              <w:t xml:space="preserve"> </w:t>
            </w:r>
            <w:r w:rsidR="004D1ACA">
              <w:rPr>
                <w:rFonts w:ascii="Arial" w:eastAsia="Times New Roman" w:hAnsi="Arial" w:cs="Arial"/>
                <w:color w:val="000000" w:themeColor="text1"/>
                <w:sz w:val="16"/>
                <w:szCs w:val="16"/>
                <w:lang w:eastAsia="es-ES"/>
              </w:rPr>
              <w:t>de la</w:t>
            </w:r>
            <w:r w:rsidRPr="007045F5">
              <w:rPr>
                <w:rFonts w:ascii="Arial" w:eastAsia="Times New Roman" w:hAnsi="Arial" w:cs="Arial"/>
                <w:color w:val="000000" w:themeColor="text1"/>
                <w:sz w:val="16"/>
                <w:szCs w:val="16"/>
                <w:lang w:eastAsia="es-ES"/>
              </w:rPr>
              <w:t xml:space="preserve"> </w:t>
            </w:r>
            <w:r w:rsidRPr="00222BE8">
              <w:rPr>
                <w:rFonts w:ascii="Arial" w:eastAsia="Times New Roman" w:hAnsi="Arial" w:cs="Arial"/>
                <w:color w:val="000000" w:themeColor="text1"/>
                <w:sz w:val="16"/>
                <w:szCs w:val="16"/>
                <w:lang w:val="es-ES_tradnl" w:eastAsia="es-ES"/>
              </w:rPr>
              <w:t>Subdirec</w:t>
            </w:r>
            <w:r>
              <w:rPr>
                <w:rFonts w:ascii="Arial" w:eastAsia="Times New Roman" w:hAnsi="Arial" w:cs="Arial"/>
                <w:color w:val="000000" w:themeColor="text1"/>
                <w:sz w:val="16"/>
                <w:szCs w:val="16"/>
                <w:lang w:val="es-ES_tradnl" w:eastAsia="es-ES"/>
              </w:rPr>
              <w:t>ción</w:t>
            </w:r>
            <w:r w:rsidRPr="00222BE8">
              <w:rPr>
                <w:rFonts w:ascii="Arial" w:eastAsia="Times New Roman" w:hAnsi="Arial" w:cs="Arial"/>
                <w:color w:val="000000" w:themeColor="text1"/>
                <w:sz w:val="16"/>
                <w:szCs w:val="16"/>
                <w:lang w:val="es-ES_tradnl" w:eastAsia="es-ES"/>
              </w:rPr>
              <w:t xml:space="preserve"> de Gestión Contractual</w:t>
            </w:r>
          </w:p>
        </w:tc>
      </w:tr>
      <w:tr w:rsidR="003C2BDE" w:rsidRPr="00222BE8" w14:paraId="170DA411" w14:textId="77777777" w:rsidTr="000638B3">
        <w:trPr>
          <w:trHeight w:val="300"/>
        </w:trPr>
        <w:tc>
          <w:tcPr>
            <w:tcW w:w="812" w:type="dxa"/>
            <w:vAlign w:val="center"/>
            <w:hideMark/>
          </w:tcPr>
          <w:p w14:paraId="56FF56AD"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AD097C"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 xml:space="preserve">Andrés Ricardo Mancipe González </w:t>
            </w:r>
          </w:p>
          <w:p w14:paraId="35519D55" w14:textId="77777777" w:rsidR="003C2BDE" w:rsidRPr="00222BE8" w:rsidRDefault="003C2BDE" w:rsidP="000638B3">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Subdirector de Gestión Contractual (E)</w:t>
            </w:r>
          </w:p>
        </w:tc>
      </w:tr>
    </w:tbl>
    <w:p w14:paraId="015BE005" w14:textId="77777777" w:rsidR="003C2BDE" w:rsidRPr="00122B05" w:rsidRDefault="003C2BDE" w:rsidP="003C2BDE">
      <w:pPr>
        <w:rPr>
          <w:sz w:val="16"/>
          <w:szCs w:val="16"/>
        </w:rPr>
      </w:pPr>
    </w:p>
    <w:p w14:paraId="085A31AB" w14:textId="1B4BDCCF" w:rsidR="006C5955" w:rsidRDefault="006C5955" w:rsidP="003D4BD3">
      <w:pPr>
        <w:rPr>
          <w:color w:val="000000" w:themeColor="text1"/>
        </w:rPr>
      </w:pPr>
    </w:p>
    <w:p w14:paraId="4862BE86" w14:textId="0F3405E8" w:rsidR="003C2BDE" w:rsidRPr="00DC182F" w:rsidRDefault="003C2BDE" w:rsidP="003C2BDE"/>
    <w:p w14:paraId="59D345FC" w14:textId="1930B0F0" w:rsidR="003C2BDE" w:rsidRPr="00DC182F" w:rsidRDefault="003C2BDE" w:rsidP="003C2BDE"/>
    <w:p w14:paraId="7C00993C" w14:textId="3E039FE3" w:rsidR="003C2BDE" w:rsidRPr="00DC182F" w:rsidRDefault="003C2BDE" w:rsidP="003C2BDE"/>
    <w:p w14:paraId="2C19A281" w14:textId="6E7BFCF0" w:rsidR="003C2BDE" w:rsidRPr="00DC182F" w:rsidRDefault="003C2BDE" w:rsidP="003C2BDE"/>
    <w:p w14:paraId="25A3675E" w14:textId="08C15572" w:rsidR="003C2BDE" w:rsidRDefault="003C2BDE" w:rsidP="003C2BDE">
      <w:pPr>
        <w:rPr>
          <w:color w:val="000000" w:themeColor="text1"/>
        </w:rPr>
      </w:pPr>
    </w:p>
    <w:p w14:paraId="7BF7B726" w14:textId="693A2A9B" w:rsidR="003C2BDE" w:rsidRDefault="003C2BDE" w:rsidP="003C2BDE">
      <w:pPr>
        <w:rPr>
          <w:color w:val="000000" w:themeColor="text1"/>
        </w:rPr>
      </w:pPr>
    </w:p>
    <w:p w14:paraId="77817B9C" w14:textId="3D7000D0" w:rsidR="003C2BDE" w:rsidRPr="00E76930" w:rsidRDefault="003C2BDE" w:rsidP="00DC182F">
      <w:pPr>
        <w:tabs>
          <w:tab w:val="left" w:pos="5316"/>
        </w:tabs>
      </w:pPr>
      <w:r>
        <w:tab/>
      </w:r>
    </w:p>
    <w:sectPr w:rsidR="003C2BDE" w:rsidRPr="00E76930"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B030F" w14:textId="77777777" w:rsidR="00711E8E" w:rsidRDefault="00711E8E" w:rsidP="008C487C">
      <w:r>
        <w:separator/>
      </w:r>
    </w:p>
  </w:endnote>
  <w:endnote w:type="continuationSeparator" w:id="0">
    <w:p w14:paraId="78C9E4A3" w14:textId="77777777" w:rsidR="00711E8E" w:rsidRDefault="00711E8E"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66D88" w14:textId="77777777" w:rsidR="00711E8E" w:rsidRDefault="00711E8E" w:rsidP="008C487C">
      <w:r>
        <w:separator/>
      </w:r>
    </w:p>
  </w:footnote>
  <w:footnote w:type="continuationSeparator" w:id="0">
    <w:p w14:paraId="30CE6D03" w14:textId="77777777" w:rsidR="00711E8E" w:rsidRDefault="00711E8E" w:rsidP="008C487C">
      <w:r>
        <w:continuationSeparator/>
      </w:r>
    </w:p>
  </w:footnote>
  <w:footnote w:id="1">
    <w:p w14:paraId="464700A2" w14:textId="6A75F069" w:rsidR="003C6749" w:rsidRDefault="003C6749" w:rsidP="00813F60">
      <w:pPr>
        <w:pStyle w:val="Textonotapie"/>
        <w:ind w:firstLine="709"/>
        <w:jc w:val="both"/>
        <w:rPr>
          <w:rFonts w:ascii="Arial" w:hAnsi="Arial" w:cs="Arial"/>
          <w:sz w:val="19"/>
          <w:szCs w:val="19"/>
        </w:rPr>
      </w:pPr>
      <w:r w:rsidRPr="00D141BF">
        <w:rPr>
          <w:rStyle w:val="Refdenotaalpie"/>
          <w:rFonts w:ascii="Arial" w:hAnsi="Arial" w:cs="Arial"/>
          <w:sz w:val="19"/>
          <w:szCs w:val="19"/>
        </w:rPr>
        <w:footnoteRef/>
      </w:r>
      <w:r w:rsidRPr="00D141BF">
        <w:rPr>
          <w:rFonts w:ascii="Arial" w:hAnsi="Arial" w:cs="Arial"/>
          <w:sz w:val="19"/>
          <w:szCs w:val="19"/>
        </w:rPr>
        <w:t xml:space="preserve"> </w:t>
      </w:r>
      <w:r w:rsidRPr="00D141BF">
        <w:rPr>
          <w:rFonts w:ascii="Arial" w:hAnsi="Arial" w:cs="Arial"/>
          <w:sz w:val="21"/>
          <w:szCs w:val="21"/>
          <w:shd w:val="clear" w:color="auto" w:fill="FFFFFF"/>
        </w:rPr>
        <w:t>«</w:t>
      </w:r>
      <w:r w:rsidRPr="00D141BF">
        <w:rPr>
          <w:rFonts w:ascii="Arial" w:hAnsi="Arial" w:cs="Arial"/>
          <w:sz w:val="19"/>
          <w:szCs w:val="19"/>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AC429C">
        <w:rPr>
          <w:rFonts w:ascii="Arial" w:hAnsi="Arial" w:cs="Arial"/>
          <w:color w:val="000000" w:themeColor="text1"/>
          <w:sz w:val="21"/>
          <w:szCs w:val="21"/>
          <w:shd w:val="clear" w:color="auto" w:fill="FFFFFF"/>
        </w:rPr>
        <w:t>»</w:t>
      </w:r>
      <w:r w:rsidRPr="00D141BF">
        <w:rPr>
          <w:rFonts w:ascii="Arial" w:hAnsi="Arial" w:cs="Arial"/>
          <w:sz w:val="19"/>
          <w:szCs w:val="19"/>
        </w:rPr>
        <w:t xml:space="preserve"> </w:t>
      </w:r>
      <w:r>
        <w:rPr>
          <w:rFonts w:ascii="Arial" w:hAnsi="Arial" w:cs="Arial"/>
          <w:sz w:val="19"/>
          <w:szCs w:val="19"/>
        </w:rPr>
        <w:t>(</w:t>
      </w:r>
      <w:r w:rsidRPr="00D141BF">
        <w:rPr>
          <w:rFonts w:ascii="Arial" w:hAnsi="Arial" w:cs="Arial"/>
          <w:sz w:val="19"/>
          <w:szCs w:val="19"/>
        </w:rPr>
        <w:t>CORTE CONSTITUCIONAL</w:t>
      </w:r>
      <w:r>
        <w:rPr>
          <w:rFonts w:ascii="Arial" w:hAnsi="Arial" w:cs="Arial"/>
          <w:sz w:val="19"/>
          <w:szCs w:val="19"/>
        </w:rPr>
        <w:t>.</w:t>
      </w:r>
      <w:r w:rsidRPr="00D141BF">
        <w:rPr>
          <w:rFonts w:ascii="Arial" w:hAnsi="Arial" w:cs="Arial"/>
          <w:sz w:val="19"/>
          <w:szCs w:val="19"/>
        </w:rPr>
        <w:t xml:space="preserve"> </w:t>
      </w:r>
      <w:r>
        <w:rPr>
          <w:rFonts w:ascii="Arial" w:hAnsi="Arial" w:cs="Arial"/>
          <w:sz w:val="19"/>
          <w:szCs w:val="19"/>
        </w:rPr>
        <w:t>S</w:t>
      </w:r>
      <w:r w:rsidRPr="00D141BF">
        <w:rPr>
          <w:rFonts w:ascii="Arial" w:hAnsi="Arial" w:cs="Arial"/>
          <w:sz w:val="19"/>
          <w:szCs w:val="19"/>
        </w:rPr>
        <w:t>entencia C-414 de 1994</w:t>
      </w:r>
      <w:r>
        <w:rPr>
          <w:rFonts w:ascii="Arial" w:hAnsi="Arial" w:cs="Arial"/>
          <w:sz w:val="19"/>
          <w:szCs w:val="19"/>
        </w:rPr>
        <w:t>.</w:t>
      </w:r>
      <w:r w:rsidRPr="00D141BF">
        <w:rPr>
          <w:rFonts w:ascii="Arial" w:hAnsi="Arial" w:cs="Arial"/>
          <w:sz w:val="19"/>
          <w:szCs w:val="19"/>
        </w:rPr>
        <w:t xml:space="preserve"> M.P. Antonio Barrera</w:t>
      </w:r>
      <w:r w:rsidRPr="00D141BF">
        <w:rPr>
          <w:rFonts w:ascii="Arial" w:hAnsi="Arial" w:cs="Arial"/>
          <w:spacing w:val="-2"/>
          <w:sz w:val="19"/>
          <w:szCs w:val="19"/>
        </w:rPr>
        <w:t xml:space="preserve"> </w:t>
      </w:r>
      <w:r w:rsidRPr="00D141BF">
        <w:rPr>
          <w:rFonts w:ascii="Arial" w:hAnsi="Arial" w:cs="Arial"/>
          <w:sz w:val="19"/>
          <w:szCs w:val="19"/>
        </w:rPr>
        <w:t>Carbonell</w:t>
      </w:r>
      <w:r>
        <w:rPr>
          <w:rFonts w:ascii="Arial" w:hAnsi="Arial" w:cs="Arial"/>
          <w:sz w:val="19"/>
          <w:szCs w:val="19"/>
        </w:rPr>
        <w:t>)</w:t>
      </w:r>
      <w:r w:rsidRPr="00D141BF">
        <w:rPr>
          <w:rFonts w:ascii="Arial" w:hAnsi="Arial" w:cs="Arial"/>
          <w:sz w:val="19"/>
          <w:szCs w:val="19"/>
        </w:rPr>
        <w:t>.</w:t>
      </w:r>
    </w:p>
    <w:p w14:paraId="2CF02078" w14:textId="77777777" w:rsidR="003C6749" w:rsidRPr="00D141BF" w:rsidRDefault="003C6749" w:rsidP="00813F60">
      <w:pPr>
        <w:pStyle w:val="Textonotapie"/>
        <w:ind w:firstLine="709"/>
        <w:jc w:val="both"/>
        <w:rPr>
          <w:rFonts w:ascii="Arial" w:hAnsi="Arial" w:cs="Arial"/>
          <w:sz w:val="19"/>
          <w:szCs w:val="19"/>
          <w:lang w:val="es-CO"/>
        </w:rPr>
      </w:pPr>
    </w:p>
  </w:footnote>
  <w:footnote w:id="2">
    <w:p w14:paraId="131A585D" w14:textId="77777777" w:rsidR="003C6749" w:rsidRPr="00874EAD" w:rsidRDefault="003C6749" w:rsidP="00813F60">
      <w:pPr>
        <w:pStyle w:val="Textoindependiente"/>
        <w:ind w:firstLine="709"/>
        <w:jc w:val="both"/>
        <w:rPr>
          <w:sz w:val="19"/>
          <w:szCs w:val="19"/>
          <w:lang w:val="es-CO"/>
        </w:rPr>
      </w:pPr>
      <w:r>
        <w:rPr>
          <w:rStyle w:val="Refdenotaalpie"/>
        </w:rPr>
        <w:footnoteRef/>
      </w:r>
      <w:r>
        <w:t xml:space="preserve"> </w:t>
      </w:r>
      <w:r w:rsidRPr="00874EAD">
        <w:rPr>
          <w:sz w:val="19"/>
          <w:szCs w:val="19"/>
          <w:shd w:val="clear" w:color="auto" w:fill="FFFFFF"/>
          <w:lang w:val="es-CO"/>
        </w:rPr>
        <w:t>«</w:t>
      </w:r>
      <w:r w:rsidRPr="00874EAD">
        <w:rPr>
          <w:sz w:val="19"/>
          <w:szCs w:val="19"/>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874EAD">
        <w:rPr>
          <w:spacing w:val="-2"/>
          <w:sz w:val="19"/>
          <w:szCs w:val="19"/>
          <w:lang w:val="es-CO"/>
        </w:rPr>
        <w:t xml:space="preserve"> </w:t>
      </w:r>
      <w:r w:rsidRPr="00874EAD">
        <w:rPr>
          <w:sz w:val="19"/>
          <w:szCs w:val="19"/>
          <w:lang w:val="es-CO"/>
        </w:rPr>
        <w:t>contractuales.</w:t>
      </w:r>
    </w:p>
    <w:p w14:paraId="04663674" w14:textId="1B6124B5" w:rsidR="003C6749" w:rsidRPr="00874EAD" w:rsidRDefault="0073730C" w:rsidP="00AB5263">
      <w:pPr>
        <w:pStyle w:val="Textoindependiente"/>
        <w:spacing w:before="3"/>
        <w:ind w:left="709" w:right="709"/>
        <w:rPr>
          <w:sz w:val="19"/>
          <w:szCs w:val="19"/>
          <w:lang w:val="es-CO"/>
        </w:rPr>
      </w:pPr>
      <w:r>
        <w:rPr>
          <w:sz w:val="19"/>
          <w:szCs w:val="19"/>
          <w:lang w:val="es-CO"/>
        </w:rPr>
        <w:t>»</w:t>
      </w:r>
      <w:r w:rsidR="003C6749" w:rsidRPr="00874EAD">
        <w:rPr>
          <w:sz w:val="19"/>
          <w:szCs w:val="19"/>
          <w:lang w:val="es-CO"/>
        </w:rPr>
        <w:t>[…]</w:t>
      </w:r>
    </w:p>
    <w:p w14:paraId="6043B02B" w14:textId="77777777" w:rsidR="003C6749" w:rsidRPr="00874EAD" w:rsidRDefault="003C6749" w:rsidP="00813F60">
      <w:pPr>
        <w:pStyle w:val="Textoindependiente"/>
        <w:ind w:firstLine="709"/>
        <w:jc w:val="both"/>
        <w:rPr>
          <w:sz w:val="19"/>
          <w:szCs w:val="19"/>
          <w:lang w:val="es-CO"/>
        </w:rPr>
      </w:pPr>
      <w:r w:rsidRPr="00874EAD">
        <w:rPr>
          <w:sz w:val="19"/>
          <w:szCs w:val="19"/>
          <w:shd w:val="clear" w:color="auto" w:fill="FFFFFF"/>
          <w:lang w:val="es-CO"/>
        </w:rPr>
        <w:t>»</w:t>
      </w:r>
      <w:r w:rsidRPr="00874EAD">
        <w:rPr>
          <w:sz w:val="19"/>
          <w:szCs w:val="19"/>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1FCA4C06" w14:textId="49624C4F" w:rsidR="003C6749" w:rsidRPr="00874EAD" w:rsidRDefault="0073730C" w:rsidP="00813F60">
      <w:pPr>
        <w:pStyle w:val="Textoindependiente"/>
        <w:spacing w:before="2"/>
        <w:ind w:left="709" w:right="709"/>
        <w:rPr>
          <w:sz w:val="19"/>
          <w:szCs w:val="19"/>
          <w:lang w:val="es-CO"/>
        </w:rPr>
      </w:pPr>
      <w:r>
        <w:rPr>
          <w:sz w:val="19"/>
          <w:szCs w:val="19"/>
          <w:lang w:val="es-CO"/>
        </w:rPr>
        <w:t>»</w:t>
      </w:r>
      <w:r w:rsidR="003C6749" w:rsidRPr="00874EAD">
        <w:rPr>
          <w:sz w:val="19"/>
          <w:szCs w:val="19"/>
          <w:lang w:val="es-CO"/>
        </w:rPr>
        <w:t>[…]</w:t>
      </w:r>
    </w:p>
    <w:p w14:paraId="64F540A8" w14:textId="676145EB" w:rsidR="003C6749" w:rsidRDefault="003C6749" w:rsidP="00AB5263">
      <w:pPr>
        <w:pStyle w:val="Textonotapie"/>
        <w:ind w:firstLine="709"/>
        <w:jc w:val="both"/>
        <w:rPr>
          <w:rFonts w:ascii="Arial" w:hAnsi="Arial" w:cs="Arial"/>
          <w:sz w:val="19"/>
          <w:szCs w:val="19"/>
        </w:rPr>
      </w:pPr>
      <w:r w:rsidRPr="00874EAD">
        <w:rPr>
          <w:rFonts w:ascii="Arial" w:hAnsi="Arial" w:cs="Arial"/>
          <w:sz w:val="19"/>
          <w:szCs w:val="19"/>
          <w:shd w:val="clear" w:color="auto" w:fill="FFFFFF"/>
          <w:lang w:val="es-CO"/>
        </w:rPr>
        <w:t>»</w:t>
      </w:r>
      <w:r w:rsidRPr="00874EAD">
        <w:rPr>
          <w:rFonts w:ascii="Arial" w:hAnsi="Arial" w:cs="Arial"/>
          <w:sz w:val="19"/>
          <w:szCs w:val="19"/>
          <w:lang w:val="es-CO"/>
        </w:rPr>
        <w:t xml:space="preserve">La Ley 80 de 1993, al crear las figuras de los consorcios y uniones temporales y constituirlas como sujetos de la contratación administrativa, reconoce una realidad del mundo negocial que son los denominados </w:t>
      </w:r>
      <w:r w:rsidRPr="00874EAD">
        <w:rPr>
          <w:rFonts w:ascii="Arial" w:hAnsi="Arial" w:cs="Arial"/>
          <w:sz w:val="19"/>
          <w:szCs w:val="19"/>
          <w:shd w:val="clear" w:color="auto" w:fill="FFFFFF"/>
          <w:lang w:val="es-CO"/>
        </w:rPr>
        <w:t>«</w:t>
      </w:r>
      <w:r w:rsidRPr="00874EAD">
        <w:rPr>
          <w:rFonts w:ascii="Arial" w:hAnsi="Arial" w:cs="Arial"/>
          <w:sz w:val="19"/>
          <w:szCs w:val="19"/>
          <w:lang w:val="es-CO"/>
        </w:rPr>
        <w:t>contratos de colaboración económica</w:t>
      </w:r>
      <w:r w:rsidRPr="00874EAD">
        <w:rPr>
          <w:rFonts w:ascii="Arial" w:hAnsi="Arial" w:cs="Arial"/>
          <w:sz w:val="19"/>
          <w:szCs w:val="19"/>
          <w:shd w:val="clear" w:color="auto" w:fill="FFFFFF"/>
          <w:lang w:val="es-CO"/>
        </w:rPr>
        <w:t>»</w:t>
      </w:r>
      <w:r w:rsidRPr="00874EAD">
        <w:rPr>
          <w:rFonts w:ascii="Arial" w:hAnsi="Arial" w:cs="Arial"/>
          <w:sz w:val="19"/>
          <w:szCs w:val="19"/>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874EAD">
        <w:rPr>
          <w:rFonts w:ascii="Arial" w:hAnsi="Arial" w:cs="Arial"/>
          <w:spacing w:val="-7"/>
          <w:sz w:val="19"/>
          <w:szCs w:val="19"/>
          <w:lang w:val="es-CO"/>
        </w:rPr>
        <w:t xml:space="preserve"> </w:t>
      </w:r>
      <w:r w:rsidRPr="00874EAD">
        <w:rPr>
          <w:rFonts w:ascii="Arial" w:hAnsi="Arial" w:cs="Arial"/>
          <w:sz w:val="19"/>
          <w:szCs w:val="19"/>
          <w:lang w:val="es-CO"/>
        </w:rPr>
        <w:t>Superiores]</w:t>
      </w:r>
      <w:r w:rsidRPr="00874EAD">
        <w:rPr>
          <w:rFonts w:ascii="Arial" w:hAnsi="Arial" w:cs="Arial"/>
          <w:sz w:val="19"/>
          <w:szCs w:val="19"/>
          <w:shd w:val="clear" w:color="auto" w:fill="FFFFFF"/>
          <w:lang w:val="es-CO"/>
        </w:rPr>
        <w:t>».</w:t>
      </w:r>
      <w:r w:rsidRPr="00874EAD">
        <w:rPr>
          <w:rFonts w:ascii="Arial" w:hAnsi="Arial" w:cs="Arial"/>
          <w:sz w:val="19"/>
          <w:szCs w:val="19"/>
        </w:rPr>
        <w:t xml:space="preserve"> </w:t>
      </w:r>
      <w:r>
        <w:rPr>
          <w:rFonts w:ascii="Arial" w:hAnsi="Arial" w:cs="Arial"/>
          <w:sz w:val="19"/>
          <w:szCs w:val="19"/>
        </w:rPr>
        <w:t>(</w:t>
      </w:r>
      <w:r w:rsidRPr="00D141BF">
        <w:rPr>
          <w:rFonts w:ascii="Arial" w:hAnsi="Arial" w:cs="Arial"/>
          <w:sz w:val="19"/>
          <w:szCs w:val="19"/>
        </w:rPr>
        <w:t>CORTE CONSTITUCIONAL</w:t>
      </w:r>
      <w:r>
        <w:rPr>
          <w:rFonts w:ascii="Arial" w:hAnsi="Arial" w:cs="Arial"/>
          <w:sz w:val="19"/>
          <w:szCs w:val="19"/>
        </w:rPr>
        <w:t>.</w:t>
      </w:r>
      <w:r w:rsidRPr="00D141BF">
        <w:rPr>
          <w:rFonts w:ascii="Arial" w:hAnsi="Arial" w:cs="Arial"/>
          <w:sz w:val="19"/>
          <w:szCs w:val="19"/>
        </w:rPr>
        <w:t xml:space="preserve"> </w:t>
      </w:r>
      <w:r>
        <w:rPr>
          <w:rFonts w:ascii="Arial" w:hAnsi="Arial" w:cs="Arial"/>
          <w:sz w:val="19"/>
          <w:szCs w:val="19"/>
        </w:rPr>
        <w:t>S</w:t>
      </w:r>
      <w:r w:rsidRPr="00D141BF">
        <w:rPr>
          <w:rFonts w:ascii="Arial" w:hAnsi="Arial" w:cs="Arial"/>
          <w:sz w:val="19"/>
          <w:szCs w:val="19"/>
        </w:rPr>
        <w:t>entencia C-</w:t>
      </w:r>
      <w:r>
        <w:rPr>
          <w:rFonts w:ascii="Arial" w:hAnsi="Arial" w:cs="Arial"/>
          <w:sz w:val="19"/>
          <w:szCs w:val="19"/>
        </w:rPr>
        <w:t>949</w:t>
      </w:r>
      <w:r w:rsidRPr="00D141BF">
        <w:rPr>
          <w:rFonts w:ascii="Arial" w:hAnsi="Arial" w:cs="Arial"/>
          <w:sz w:val="19"/>
          <w:szCs w:val="19"/>
        </w:rPr>
        <w:t xml:space="preserve"> de </w:t>
      </w:r>
      <w:r>
        <w:rPr>
          <w:rFonts w:ascii="Arial" w:hAnsi="Arial" w:cs="Arial"/>
          <w:sz w:val="19"/>
          <w:szCs w:val="19"/>
        </w:rPr>
        <w:t>2001.</w:t>
      </w:r>
      <w:r w:rsidRPr="00D141BF">
        <w:rPr>
          <w:rFonts w:ascii="Arial" w:hAnsi="Arial" w:cs="Arial"/>
          <w:sz w:val="19"/>
          <w:szCs w:val="19"/>
        </w:rPr>
        <w:t xml:space="preserve"> M.P. </w:t>
      </w:r>
      <w:r>
        <w:rPr>
          <w:rFonts w:ascii="Arial" w:hAnsi="Arial" w:cs="Arial"/>
          <w:sz w:val="19"/>
          <w:szCs w:val="19"/>
        </w:rPr>
        <w:t>Clara Inés Vargas Hernández)</w:t>
      </w:r>
      <w:r w:rsidRPr="00D141BF">
        <w:rPr>
          <w:rFonts w:ascii="Arial" w:hAnsi="Arial" w:cs="Arial"/>
          <w:sz w:val="19"/>
          <w:szCs w:val="19"/>
        </w:rPr>
        <w:t>.</w:t>
      </w:r>
    </w:p>
    <w:p w14:paraId="19C42BF4" w14:textId="77777777" w:rsidR="000C3BD4" w:rsidRPr="00AB5263" w:rsidRDefault="000C3BD4" w:rsidP="00AB5263">
      <w:pPr>
        <w:pStyle w:val="Textonotapie"/>
        <w:ind w:firstLine="709"/>
        <w:jc w:val="both"/>
        <w:rPr>
          <w:rFonts w:ascii="Arial" w:hAnsi="Arial" w:cs="Arial"/>
          <w:sz w:val="19"/>
          <w:szCs w:val="19"/>
        </w:rPr>
      </w:pPr>
    </w:p>
  </w:footnote>
  <w:footnote w:id="3">
    <w:p w14:paraId="2FBE4B71" w14:textId="36C5C024" w:rsidR="003C6749" w:rsidRPr="00AB5263" w:rsidRDefault="003C6749" w:rsidP="00F232CF">
      <w:pPr>
        <w:ind w:firstLine="709"/>
        <w:jc w:val="both"/>
        <w:rPr>
          <w:rFonts w:ascii="Arial" w:hAnsi="Arial" w:cs="Arial"/>
          <w:sz w:val="19"/>
          <w:szCs w:val="19"/>
        </w:rPr>
      </w:pPr>
      <w:r w:rsidRPr="00AB5263">
        <w:rPr>
          <w:rStyle w:val="Refdenotaalpie"/>
          <w:rFonts w:ascii="Arial" w:hAnsi="Arial" w:cs="Arial"/>
          <w:sz w:val="19"/>
          <w:szCs w:val="19"/>
        </w:rPr>
        <w:footnoteRef/>
      </w:r>
      <w:r w:rsidRPr="00AB5263">
        <w:rPr>
          <w:rFonts w:ascii="Arial" w:hAnsi="Arial" w:cs="Arial"/>
          <w:sz w:val="19"/>
          <w:szCs w:val="19"/>
        </w:rPr>
        <w:t xml:space="preserve"> LAFONT PIANETTA, Pedro. Manual de contratos</w:t>
      </w:r>
      <w:r>
        <w:rPr>
          <w:rFonts w:ascii="Arial" w:hAnsi="Arial" w:cs="Arial"/>
          <w:sz w:val="19"/>
          <w:szCs w:val="19"/>
        </w:rPr>
        <w:t>.</w:t>
      </w:r>
      <w:r w:rsidRPr="00AB5263">
        <w:rPr>
          <w:rFonts w:ascii="Arial" w:hAnsi="Arial" w:cs="Arial"/>
          <w:sz w:val="19"/>
          <w:szCs w:val="19"/>
        </w:rPr>
        <w:t xml:space="preserve"> Tomo I</w:t>
      </w:r>
      <w:r>
        <w:rPr>
          <w:rFonts w:ascii="Arial" w:hAnsi="Arial" w:cs="Arial"/>
          <w:sz w:val="19"/>
          <w:szCs w:val="19"/>
        </w:rPr>
        <w:t xml:space="preserve">. Bogotá: </w:t>
      </w:r>
      <w:r w:rsidRPr="00AB5263">
        <w:rPr>
          <w:rFonts w:ascii="Arial" w:hAnsi="Arial" w:cs="Arial"/>
          <w:sz w:val="19"/>
          <w:szCs w:val="19"/>
        </w:rPr>
        <w:t>Ediciones Librería del Profesional, 2001</w:t>
      </w:r>
      <w:r>
        <w:rPr>
          <w:rFonts w:ascii="Arial" w:hAnsi="Arial" w:cs="Arial"/>
          <w:sz w:val="19"/>
          <w:szCs w:val="19"/>
        </w:rPr>
        <w:t>.</w:t>
      </w:r>
      <w:r w:rsidRPr="00AB5263">
        <w:rPr>
          <w:rFonts w:ascii="Arial" w:hAnsi="Arial" w:cs="Arial"/>
          <w:sz w:val="19"/>
          <w:szCs w:val="19"/>
        </w:rPr>
        <w:t xml:space="preserve"> p.508.</w:t>
      </w:r>
    </w:p>
    <w:p w14:paraId="326102CC" w14:textId="77777777" w:rsidR="003C6749" w:rsidRPr="00AB5263" w:rsidRDefault="003C6749" w:rsidP="00F232CF">
      <w:pPr>
        <w:jc w:val="both"/>
        <w:rPr>
          <w:rFonts w:ascii="Arial" w:hAnsi="Arial" w:cs="Arial"/>
          <w:sz w:val="19"/>
          <w:szCs w:val="19"/>
        </w:rPr>
      </w:pPr>
    </w:p>
  </w:footnote>
  <w:footnote w:id="4">
    <w:p w14:paraId="133EF254" w14:textId="4200A25B" w:rsidR="003C6749" w:rsidRPr="00120C8D" w:rsidRDefault="003C6749" w:rsidP="00F232CF">
      <w:pPr>
        <w:spacing w:after="120"/>
        <w:ind w:firstLine="709"/>
        <w:jc w:val="both"/>
        <w:rPr>
          <w:rFonts w:ascii="Arial" w:hAnsi="Arial" w:cs="Arial"/>
          <w:sz w:val="19"/>
          <w:szCs w:val="19"/>
        </w:rPr>
      </w:pPr>
      <w:r w:rsidRPr="00AB5263">
        <w:rPr>
          <w:rStyle w:val="Refdenotaalpie"/>
          <w:rFonts w:ascii="Arial" w:hAnsi="Arial" w:cs="Arial"/>
          <w:sz w:val="19"/>
          <w:szCs w:val="19"/>
        </w:rPr>
        <w:footnoteRef/>
      </w:r>
      <w:r w:rsidRPr="00AB5263">
        <w:rPr>
          <w:rFonts w:ascii="Arial" w:hAnsi="Arial" w:cs="Arial"/>
          <w:sz w:val="19"/>
          <w:szCs w:val="19"/>
        </w:rPr>
        <w:t xml:space="preserve"> </w:t>
      </w:r>
      <w:r>
        <w:rPr>
          <w:rFonts w:ascii="Arial" w:hAnsi="Arial" w:cs="Arial"/>
          <w:sz w:val="19"/>
          <w:szCs w:val="19"/>
        </w:rPr>
        <w:t xml:space="preserve">Al respecto, la jurisprudencia explica lo siguiente: </w:t>
      </w:r>
      <w:r w:rsidRPr="00AB5263">
        <w:rPr>
          <w:rFonts w:ascii="Arial" w:hAnsi="Arial" w:cs="Arial"/>
          <w:sz w:val="19"/>
          <w:szCs w:val="19"/>
          <w:shd w:val="clear" w:color="auto" w:fill="FFFFFF"/>
        </w:rPr>
        <w:t>«</w:t>
      </w:r>
      <w:r w:rsidRPr="00AB5263">
        <w:rPr>
          <w:rFonts w:ascii="Arial" w:hAnsi="Arial" w:cs="Arial"/>
          <w:sz w:val="19"/>
          <w:szCs w:val="19"/>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Pr>
          <w:rFonts w:ascii="Arial" w:hAnsi="Arial" w:cs="Arial"/>
          <w:b/>
          <w:bCs/>
          <w:sz w:val="19"/>
          <w:szCs w:val="19"/>
        </w:rPr>
        <w:t>–</w:t>
      </w:r>
      <w:r w:rsidRPr="00AB5263">
        <w:rPr>
          <w:rFonts w:ascii="Arial" w:hAnsi="Arial" w:cs="Arial"/>
          <w:sz w:val="19"/>
          <w:szCs w:val="19"/>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r w:rsidRPr="00AB5263">
        <w:rPr>
          <w:rFonts w:ascii="Arial" w:hAnsi="Arial" w:cs="Arial"/>
          <w:i/>
          <w:sz w:val="19"/>
          <w:szCs w:val="19"/>
        </w:rPr>
        <w:t>legitimatio ad processum</w:t>
      </w:r>
      <w:r w:rsidRPr="00AB5263">
        <w:rPr>
          <w:rFonts w:ascii="Arial" w:hAnsi="Arial" w:cs="Arial"/>
          <w:sz w:val="19"/>
          <w:szCs w:val="19"/>
        </w:rPr>
        <w:t>-, por intermedio de su</w:t>
      </w:r>
      <w:r w:rsidRPr="00AB5263">
        <w:rPr>
          <w:rFonts w:ascii="Arial" w:hAnsi="Arial" w:cs="Arial"/>
          <w:spacing w:val="-8"/>
          <w:sz w:val="19"/>
          <w:szCs w:val="19"/>
        </w:rPr>
        <w:t xml:space="preserve"> </w:t>
      </w:r>
      <w:r w:rsidRPr="00AB5263">
        <w:rPr>
          <w:rFonts w:ascii="Arial" w:hAnsi="Arial" w:cs="Arial"/>
          <w:sz w:val="19"/>
          <w:szCs w:val="19"/>
        </w:rPr>
        <w:t>representante» (CONSEJO DE ESTADO. Sección Tercera. Sala Plena. Sentencia de Unificación de</w:t>
      </w:r>
      <w:r>
        <w:rPr>
          <w:rFonts w:ascii="Arial" w:hAnsi="Arial" w:cs="Arial"/>
          <w:sz w:val="19"/>
          <w:szCs w:val="19"/>
        </w:rPr>
        <w:t>l</w:t>
      </w:r>
      <w:r w:rsidRPr="00AB5263">
        <w:rPr>
          <w:rFonts w:ascii="Arial" w:hAnsi="Arial" w:cs="Arial"/>
          <w:sz w:val="19"/>
          <w:szCs w:val="19"/>
        </w:rPr>
        <w:t xml:space="preserve"> 25 de septiembre de 2013. </w:t>
      </w:r>
      <w:r>
        <w:rPr>
          <w:rFonts w:ascii="Arial" w:hAnsi="Arial" w:cs="Arial"/>
          <w:sz w:val="19"/>
          <w:szCs w:val="19"/>
        </w:rPr>
        <w:t>R</w:t>
      </w:r>
      <w:r w:rsidRPr="00AB5263">
        <w:rPr>
          <w:rFonts w:ascii="Arial" w:hAnsi="Arial" w:cs="Arial"/>
          <w:sz w:val="19"/>
          <w:szCs w:val="19"/>
        </w:rPr>
        <w:t>ad. 19.933</w:t>
      </w:r>
      <w:r>
        <w:rPr>
          <w:rFonts w:ascii="Arial" w:hAnsi="Arial" w:cs="Arial"/>
          <w:sz w:val="19"/>
          <w:szCs w:val="19"/>
        </w:rPr>
        <w:t>. C</w:t>
      </w:r>
      <w:r w:rsidRPr="00AB5263">
        <w:rPr>
          <w:rFonts w:ascii="Arial" w:hAnsi="Arial" w:cs="Arial"/>
          <w:sz w:val="19"/>
          <w:szCs w:val="19"/>
        </w:rPr>
        <w:t xml:space="preserve">.P. Mauricio Fajardo Gómez). </w:t>
      </w:r>
    </w:p>
  </w:footnote>
  <w:footnote w:id="5">
    <w:p w14:paraId="332B8420" w14:textId="6599DE39" w:rsidR="003C6749" w:rsidRDefault="003C6749" w:rsidP="00FA77B7">
      <w:pPr>
        <w:pStyle w:val="Textonotapie"/>
        <w:ind w:firstLine="708"/>
        <w:jc w:val="both"/>
        <w:rPr>
          <w:rFonts w:ascii="Arial" w:hAnsi="Arial" w:cs="Arial"/>
          <w:sz w:val="19"/>
          <w:szCs w:val="19"/>
        </w:rPr>
      </w:pPr>
      <w:r w:rsidRPr="00FA77B7">
        <w:rPr>
          <w:rStyle w:val="Refdenotaalpie"/>
          <w:rFonts w:ascii="Arial" w:hAnsi="Arial" w:cs="Arial"/>
          <w:sz w:val="19"/>
          <w:szCs w:val="19"/>
        </w:rPr>
        <w:footnoteRef/>
      </w:r>
      <w:r w:rsidRPr="00FA77B7">
        <w:rPr>
          <w:rFonts w:ascii="Arial" w:hAnsi="Arial" w:cs="Arial"/>
          <w:sz w:val="19"/>
          <w:szCs w:val="19"/>
        </w:rPr>
        <w:t xml:space="preserve"> </w:t>
      </w:r>
      <w:r>
        <w:rPr>
          <w:rFonts w:ascii="Arial" w:hAnsi="Arial" w:cs="Arial"/>
          <w:sz w:val="19"/>
          <w:szCs w:val="19"/>
        </w:rPr>
        <w:t xml:space="preserve">Al respecto, </w:t>
      </w:r>
      <w:r w:rsidRPr="00990391">
        <w:rPr>
          <w:rFonts w:ascii="Arial" w:hAnsi="Arial" w:cs="Arial"/>
          <w:sz w:val="19"/>
          <w:szCs w:val="19"/>
        </w:rPr>
        <w:t>el inciso primero del artículo 219 del Código de Comercio</w:t>
      </w:r>
      <w:r>
        <w:rPr>
          <w:rFonts w:ascii="Arial" w:hAnsi="Arial" w:cs="Arial"/>
          <w:sz w:val="19"/>
          <w:szCs w:val="19"/>
        </w:rPr>
        <w:t xml:space="preserve"> dispone que «</w:t>
      </w:r>
      <w:r w:rsidRPr="00990391">
        <w:rPr>
          <w:rFonts w:ascii="Arial" w:hAnsi="Arial" w:cs="Arial"/>
          <w:sz w:val="19"/>
          <w:szCs w:val="19"/>
        </w:rPr>
        <w:t xml:space="preserve">En el caso previsto en el ordinal primero del artículo </w:t>
      </w:r>
      <w:r>
        <w:rPr>
          <w:rFonts w:ascii="Arial" w:hAnsi="Arial" w:cs="Arial"/>
          <w:sz w:val="19"/>
          <w:szCs w:val="19"/>
        </w:rPr>
        <w:t>[218]</w:t>
      </w:r>
      <w:r w:rsidRPr="00990391">
        <w:rPr>
          <w:rFonts w:ascii="Arial" w:hAnsi="Arial" w:cs="Arial"/>
          <w:sz w:val="19"/>
          <w:szCs w:val="19"/>
        </w:rPr>
        <w:t>, la disolución de la sociedad se producirá, entre los asociados y respecto de terceros, a partir de la fecha de expiración del término de su duración, sin necesidad de formalidades especiales</w:t>
      </w:r>
      <w:r>
        <w:rPr>
          <w:rFonts w:ascii="Arial" w:hAnsi="Arial" w:cs="Arial"/>
          <w:sz w:val="19"/>
          <w:szCs w:val="19"/>
        </w:rPr>
        <w:t>» (Corchetes fuera de texto)</w:t>
      </w:r>
      <w:r w:rsidRPr="00990391">
        <w:rPr>
          <w:rFonts w:ascii="Arial" w:hAnsi="Arial" w:cs="Arial"/>
          <w:sz w:val="19"/>
          <w:szCs w:val="19"/>
        </w:rPr>
        <w:t>.</w:t>
      </w:r>
    </w:p>
    <w:p w14:paraId="5AEF0BD2" w14:textId="77777777" w:rsidR="003C6749" w:rsidRPr="00FA77B7" w:rsidRDefault="003C6749" w:rsidP="00FA77B7">
      <w:pPr>
        <w:pStyle w:val="Textonotapie"/>
        <w:ind w:firstLine="708"/>
        <w:jc w:val="both"/>
        <w:rPr>
          <w:rFonts w:ascii="Arial" w:hAnsi="Arial" w:cs="Arial"/>
          <w:sz w:val="19"/>
          <w:szCs w:val="19"/>
          <w:lang w:val="es-ES"/>
        </w:rPr>
      </w:pPr>
    </w:p>
  </w:footnote>
  <w:footnote w:id="6">
    <w:p w14:paraId="6FEAC820" w14:textId="59AB14AE" w:rsidR="003C6749" w:rsidRPr="00990391" w:rsidRDefault="003C6749" w:rsidP="00990391">
      <w:pPr>
        <w:pStyle w:val="Textonotapie"/>
        <w:ind w:firstLine="708"/>
        <w:jc w:val="both"/>
        <w:rPr>
          <w:rFonts w:ascii="Arial" w:hAnsi="Arial" w:cs="Arial"/>
          <w:sz w:val="19"/>
          <w:szCs w:val="19"/>
        </w:rPr>
      </w:pPr>
      <w:r w:rsidRPr="00990391">
        <w:rPr>
          <w:rStyle w:val="Refdenotaalpie"/>
          <w:rFonts w:ascii="Arial" w:hAnsi="Arial" w:cs="Arial"/>
          <w:sz w:val="19"/>
          <w:szCs w:val="19"/>
        </w:rPr>
        <w:footnoteRef/>
      </w:r>
      <w:r w:rsidRPr="00990391">
        <w:rPr>
          <w:rFonts w:ascii="Arial" w:hAnsi="Arial" w:cs="Arial"/>
          <w:sz w:val="19"/>
          <w:szCs w:val="19"/>
        </w:rPr>
        <w:t xml:space="preserve"> </w:t>
      </w:r>
      <w:r>
        <w:rPr>
          <w:rFonts w:ascii="Arial" w:hAnsi="Arial" w:cs="Arial"/>
          <w:sz w:val="19"/>
          <w:szCs w:val="19"/>
        </w:rPr>
        <w:t xml:space="preserve">El </w:t>
      </w:r>
      <w:r w:rsidRPr="00990391">
        <w:rPr>
          <w:rFonts w:ascii="Arial" w:hAnsi="Arial" w:cs="Arial"/>
          <w:sz w:val="19"/>
          <w:szCs w:val="19"/>
        </w:rPr>
        <w:t>artículo 222</w:t>
      </w:r>
      <w:r>
        <w:rPr>
          <w:rFonts w:ascii="Arial" w:hAnsi="Arial" w:cs="Arial"/>
          <w:sz w:val="19"/>
          <w:szCs w:val="19"/>
        </w:rPr>
        <w:t xml:space="preserve"> del Código de Comercio prescribe lo siguiente: «</w:t>
      </w:r>
      <w:r w:rsidRPr="00990391">
        <w:rPr>
          <w:rFonts w:ascii="Arial" w:hAnsi="Arial" w:cs="Arial"/>
          <w:sz w:val="19"/>
          <w:szCs w:val="19"/>
        </w:rPr>
        <w:t>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r>
        <w:rPr>
          <w:rFonts w:ascii="Arial" w:hAnsi="Arial" w:cs="Arial"/>
          <w:sz w:val="19"/>
          <w:szCs w:val="19"/>
        </w:rPr>
        <w:t>»</w:t>
      </w:r>
      <w:r w:rsidRPr="00990391">
        <w:rPr>
          <w:rFonts w:ascii="Arial" w:hAnsi="Arial" w:cs="Arial"/>
          <w:sz w:val="19"/>
          <w:szCs w:val="19"/>
        </w:rPr>
        <w:t>.</w:t>
      </w:r>
    </w:p>
    <w:p w14:paraId="4C8F4A9F" w14:textId="62351D59" w:rsidR="003C6749" w:rsidRPr="00990391" w:rsidRDefault="003C6749" w:rsidP="00990391">
      <w:pPr>
        <w:pStyle w:val="Textonotapie"/>
        <w:ind w:firstLine="708"/>
        <w:jc w:val="both"/>
        <w:rPr>
          <w:rFonts w:ascii="Arial" w:hAnsi="Arial" w:cs="Arial"/>
          <w:sz w:val="19"/>
          <w:szCs w:val="19"/>
          <w:lang w:val="es-ES"/>
        </w:rPr>
      </w:pPr>
      <w:r>
        <w:rPr>
          <w:rFonts w:ascii="Arial" w:hAnsi="Arial" w:cs="Arial"/>
          <w:sz w:val="19"/>
          <w:szCs w:val="19"/>
        </w:rPr>
        <w:t>»</w:t>
      </w:r>
      <w:r w:rsidRPr="00990391">
        <w:rPr>
          <w:rFonts w:ascii="Arial" w:hAnsi="Arial" w:cs="Arial"/>
          <w:sz w:val="19"/>
          <w:szCs w:val="19"/>
        </w:rPr>
        <w:t>El nombre de la sociedad disuelta deberá adicionarse siempre con la expresión "en liquidación". Los encargados de realizarla responderán de los daños y perjuicios que se deriven por dicha omisión</w:t>
      </w:r>
      <w:r>
        <w:rPr>
          <w:rFonts w:ascii="Arial" w:hAnsi="Arial" w:cs="Arial"/>
          <w:sz w:val="19"/>
          <w:szCs w:val="19"/>
        </w:rPr>
        <w:t>»</w:t>
      </w:r>
      <w:r w:rsidRPr="00990391">
        <w:rPr>
          <w:rFonts w:ascii="Arial" w:hAnsi="Arial" w:cs="Arial"/>
          <w:sz w:val="19"/>
          <w:szCs w:val="19"/>
        </w:rPr>
        <w:t>.</w:t>
      </w:r>
    </w:p>
  </w:footnote>
  <w:footnote w:id="7">
    <w:p w14:paraId="58127F23" w14:textId="11D0EE41" w:rsidR="003C6749" w:rsidRDefault="003C6749" w:rsidP="00E052D3">
      <w:pPr>
        <w:pStyle w:val="Textonotapie"/>
        <w:ind w:firstLine="708"/>
        <w:jc w:val="both"/>
        <w:rPr>
          <w:rFonts w:ascii="Arial" w:hAnsi="Arial" w:cs="Arial"/>
          <w:sz w:val="19"/>
          <w:szCs w:val="19"/>
        </w:rPr>
      </w:pPr>
      <w:r w:rsidRPr="00E052D3">
        <w:rPr>
          <w:rStyle w:val="Refdenotaalpie"/>
          <w:rFonts w:ascii="Arial" w:hAnsi="Arial" w:cs="Arial"/>
          <w:sz w:val="19"/>
          <w:szCs w:val="19"/>
        </w:rPr>
        <w:footnoteRef/>
      </w:r>
      <w:r w:rsidRPr="00E052D3">
        <w:rPr>
          <w:rFonts w:ascii="Arial" w:hAnsi="Arial" w:cs="Arial"/>
          <w:sz w:val="19"/>
          <w:szCs w:val="19"/>
        </w:rPr>
        <w:t xml:space="preserve"> </w:t>
      </w:r>
      <w:r>
        <w:rPr>
          <w:rFonts w:ascii="Arial" w:hAnsi="Arial" w:cs="Arial"/>
          <w:sz w:val="19"/>
          <w:szCs w:val="19"/>
        </w:rPr>
        <w:t>BELLO, Andrés: Obras Completas: gramática de la lengua castellana. Volumen IV. Santiago de Chile: Dirección del Consejo de Instrucción Pública, 1883. p. 87. Para estos efectos, complementa la explicación agregando que «</w:t>
      </w:r>
      <w:r w:rsidRPr="00E052D3">
        <w:rPr>
          <w:rFonts w:ascii="Arial" w:hAnsi="Arial" w:cs="Arial"/>
          <w:i/>
          <w:iCs/>
          <w:sz w:val="19"/>
          <w:szCs w:val="19"/>
        </w:rPr>
        <w:t>Esto</w:t>
      </w:r>
      <w:r w:rsidRPr="00E052D3">
        <w:rPr>
          <w:rFonts w:ascii="Arial" w:hAnsi="Arial" w:cs="Arial"/>
          <w:sz w:val="19"/>
          <w:szCs w:val="19"/>
        </w:rPr>
        <w:t xml:space="preserve">, </w:t>
      </w:r>
      <w:r w:rsidRPr="00E052D3">
        <w:rPr>
          <w:rFonts w:ascii="Arial" w:hAnsi="Arial" w:cs="Arial"/>
          <w:i/>
          <w:iCs/>
          <w:sz w:val="19"/>
          <w:szCs w:val="19"/>
        </w:rPr>
        <w:t>esta</w:t>
      </w:r>
      <w:r w:rsidRPr="00E052D3">
        <w:rPr>
          <w:rFonts w:ascii="Arial" w:hAnsi="Arial" w:cs="Arial"/>
          <w:sz w:val="19"/>
          <w:szCs w:val="19"/>
        </w:rPr>
        <w:t xml:space="preserve">, </w:t>
      </w:r>
      <w:r w:rsidRPr="00E052D3">
        <w:rPr>
          <w:rFonts w:ascii="Arial" w:hAnsi="Arial" w:cs="Arial"/>
          <w:i/>
          <w:iCs/>
          <w:sz w:val="19"/>
          <w:szCs w:val="19"/>
        </w:rPr>
        <w:t>estos</w:t>
      </w:r>
      <w:r w:rsidRPr="00E052D3">
        <w:rPr>
          <w:rFonts w:ascii="Arial" w:hAnsi="Arial" w:cs="Arial"/>
          <w:sz w:val="19"/>
          <w:szCs w:val="19"/>
        </w:rPr>
        <w:t xml:space="preserve">, </w:t>
      </w:r>
      <w:r w:rsidRPr="00E052D3">
        <w:rPr>
          <w:rFonts w:ascii="Arial" w:hAnsi="Arial" w:cs="Arial"/>
          <w:i/>
          <w:iCs/>
          <w:sz w:val="19"/>
          <w:szCs w:val="19"/>
        </w:rPr>
        <w:t>estas</w:t>
      </w:r>
      <w:r w:rsidRPr="00E052D3">
        <w:rPr>
          <w:rFonts w:ascii="Arial" w:hAnsi="Arial" w:cs="Arial"/>
          <w:sz w:val="19"/>
          <w:szCs w:val="19"/>
        </w:rPr>
        <w:t>, denota cercanía del objeto a la</w:t>
      </w:r>
      <w:r>
        <w:rPr>
          <w:rFonts w:ascii="Arial" w:hAnsi="Arial" w:cs="Arial"/>
          <w:sz w:val="19"/>
          <w:szCs w:val="19"/>
        </w:rPr>
        <w:t xml:space="preserve"> </w:t>
      </w:r>
      <w:r w:rsidRPr="00E052D3">
        <w:rPr>
          <w:rFonts w:ascii="Arial" w:hAnsi="Arial" w:cs="Arial"/>
          <w:sz w:val="19"/>
          <w:szCs w:val="19"/>
        </w:rPr>
        <w:t xml:space="preserve">primera persona; </w:t>
      </w:r>
      <w:r w:rsidRPr="00E052D3">
        <w:rPr>
          <w:rFonts w:ascii="Arial" w:hAnsi="Arial" w:cs="Arial"/>
          <w:i/>
          <w:iCs/>
          <w:sz w:val="19"/>
          <w:szCs w:val="19"/>
        </w:rPr>
        <w:t>ese</w:t>
      </w:r>
      <w:r w:rsidRPr="00E052D3">
        <w:rPr>
          <w:rFonts w:ascii="Arial" w:hAnsi="Arial" w:cs="Arial"/>
          <w:sz w:val="19"/>
          <w:szCs w:val="19"/>
        </w:rPr>
        <w:t xml:space="preserve">, </w:t>
      </w:r>
      <w:r w:rsidRPr="00E052D3">
        <w:rPr>
          <w:rFonts w:ascii="Arial" w:hAnsi="Arial" w:cs="Arial"/>
          <w:i/>
          <w:iCs/>
          <w:sz w:val="19"/>
          <w:szCs w:val="19"/>
        </w:rPr>
        <w:t>esa</w:t>
      </w:r>
      <w:r w:rsidRPr="00E052D3">
        <w:rPr>
          <w:rFonts w:ascii="Arial" w:hAnsi="Arial" w:cs="Arial"/>
          <w:sz w:val="19"/>
          <w:szCs w:val="19"/>
        </w:rPr>
        <w:t xml:space="preserve">, </w:t>
      </w:r>
      <w:r w:rsidRPr="00E052D3">
        <w:rPr>
          <w:rFonts w:ascii="Arial" w:hAnsi="Arial" w:cs="Arial"/>
          <w:i/>
          <w:iCs/>
          <w:sz w:val="19"/>
          <w:szCs w:val="19"/>
        </w:rPr>
        <w:t>esos</w:t>
      </w:r>
      <w:r w:rsidRPr="00E052D3">
        <w:rPr>
          <w:rFonts w:ascii="Arial" w:hAnsi="Arial" w:cs="Arial"/>
          <w:sz w:val="19"/>
          <w:szCs w:val="19"/>
        </w:rPr>
        <w:t xml:space="preserve">, </w:t>
      </w:r>
      <w:r w:rsidRPr="00E052D3">
        <w:rPr>
          <w:rFonts w:ascii="Arial" w:hAnsi="Arial" w:cs="Arial"/>
          <w:i/>
          <w:iCs/>
          <w:sz w:val="19"/>
          <w:szCs w:val="19"/>
        </w:rPr>
        <w:t>esas</w:t>
      </w:r>
      <w:r w:rsidRPr="00E052D3">
        <w:rPr>
          <w:rFonts w:ascii="Arial" w:hAnsi="Arial" w:cs="Arial"/>
          <w:sz w:val="19"/>
          <w:szCs w:val="19"/>
        </w:rPr>
        <w:t>, cercanía del objeto a la</w:t>
      </w:r>
      <w:r>
        <w:rPr>
          <w:rFonts w:ascii="Arial" w:hAnsi="Arial" w:cs="Arial"/>
          <w:sz w:val="19"/>
          <w:szCs w:val="19"/>
        </w:rPr>
        <w:t xml:space="preserve"> </w:t>
      </w:r>
      <w:r w:rsidRPr="00E052D3">
        <w:rPr>
          <w:rFonts w:ascii="Arial" w:hAnsi="Arial" w:cs="Arial"/>
          <w:sz w:val="19"/>
          <w:szCs w:val="19"/>
        </w:rPr>
        <w:t xml:space="preserve">segunda; </w:t>
      </w:r>
      <w:r w:rsidRPr="00E052D3">
        <w:rPr>
          <w:rFonts w:ascii="Arial" w:hAnsi="Arial" w:cs="Arial"/>
          <w:i/>
          <w:iCs/>
          <w:sz w:val="19"/>
          <w:szCs w:val="19"/>
        </w:rPr>
        <w:t>aquel</w:t>
      </w:r>
      <w:r w:rsidRPr="00E052D3">
        <w:rPr>
          <w:rFonts w:ascii="Arial" w:hAnsi="Arial" w:cs="Arial"/>
          <w:sz w:val="19"/>
          <w:szCs w:val="19"/>
        </w:rPr>
        <w:t xml:space="preserve">, </w:t>
      </w:r>
      <w:r w:rsidRPr="00E052D3">
        <w:rPr>
          <w:rFonts w:ascii="Arial" w:hAnsi="Arial" w:cs="Arial"/>
          <w:i/>
          <w:iCs/>
          <w:sz w:val="19"/>
          <w:szCs w:val="19"/>
        </w:rPr>
        <w:t>aquella</w:t>
      </w:r>
      <w:r w:rsidRPr="00E052D3">
        <w:rPr>
          <w:rFonts w:ascii="Arial" w:hAnsi="Arial" w:cs="Arial"/>
          <w:sz w:val="19"/>
          <w:szCs w:val="19"/>
        </w:rPr>
        <w:t xml:space="preserve">, </w:t>
      </w:r>
      <w:r w:rsidRPr="00E052D3">
        <w:rPr>
          <w:rFonts w:ascii="Arial" w:hAnsi="Arial" w:cs="Arial"/>
          <w:i/>
          <w:iCs/>
          <w:sz w:val="19"/>
          <w:szCs w:val="19"/>
        </w:rPr>
        <w:t>aquellos</w:t>
      </w:r>
      <w:r w:rsidRPr="00E052D3">
        <w:rPr>
          <w:rFonts w:ascii="Arial" w:hAnsi="Arial" w:cs="Arial"/>
          <w:sz w:val="19"/>
          <w:szCs w:val="19"/>
        </w:rPr>
        <w:t xml:space="preserve">, </w:t>
      </w:r>
      <w:r w:rsidRPr="00E052D3">
        <w:rPr>
          <w:rFonts w:ascii="Arial" w:hAnsi="Arial" w:cs="Arial"/>
          <w:i/>
          <w:iCs/>
          <w:sz w:val="19"/>
          <w:szCs w:val="19"/>
        </w:rPr>
        <w:t>aquellas</w:t>
      </w:r>
      <w:r w:rsidRPr="00E052D3">
        <w:rPr>
          <w:rFonts w:ascii="Arial" w:hAnsi="Arial" w:cs="Arial"/>
          <w:sz w:val="19"/>
          <w:szCs w:val="19"/>
        </w:rPr>
        <w:t>, distancia del</w:t>
      </w:r>
      <w:r>
        <w:rPr>
          <w:rFonts w:ascii="Arial" w:hAnsi="Arial" w:cs="Arial"/>
          <w:sz w:val="19"/>
          <w:szCs w:val="19"/>
        </w:rPr>
        <w:t xml:space="preserve"> </w:t>
      </w:r>
      <w:r w:rsidRPr="00E052D3">
        <w:rPr>
          <w:rFonts w:ascii="Arial" w:hAnsi="Arial" w:cs="Arial"/>
          <w:sz w:val="19"/>
          <w:szCs w:val="19"/>
        </w:rPr>
        <w:t xml:space="preserve">objeto respecto de la primera </w:t>
      </w:r>
      <w:r>
        <w:rPr>
          <w:rFonts w:ascii="Arial" w:hAnsi="Arial" w:cs="Arial"/>
          <w:sz w:val="19"/>
          <w:szCs w:val="19"/>
        </w:rPr>
        <w:t>y</w:t>
      </w:r>
      <w:r w:rsidRPr="00E052D3">
        <w:rPr>
          <w:rFonts w:ascii="Arial" w:hAnsi="Arial" w:cs="Arial"/>
          <w:sz w:val="19"/>
          <w:szCs w:val="19"/>
        </w:rPr>
        <w:t xml:space="preserve"> segunda persona</w:t>
      </w:r>
      <w:r>
        <w:rPr>
          <w:rFonts w:ascii="Arial" w:hAnsi="Arial" w:cs="Arial"/>
          <w:sz w:val="19"/>
          <w:szCs w:val="19"/>
        </w:rPr>
        <w:t>» (</w:t>
      </w:r>
      <w:r w:rsidRPr="00E052D3">
        <w:rPr>
          <w:rFonts w:ascii="Arial" w:hAnsi="Arial" w:cs="Arial"/>
          <w:i/>
          <w:iCs/>
          <w:sz w:val="19"/>
          <w:szCs w:val="19"/>
        </w:rPr>
        <w:t>ibidem</w:t>
      </w:r>
      <w:r>
        <w:rPr>
          <w:rFonts w:ascii="Arial" w:hAnsi="Arial" w:cs="Arial"/>
          <w:sz w:val="19"/>
          <w:szCs w:val="19"/>
        </w:rPr>
        <w:t>, cursivas dentro del texto)</w:t>
      </w:r>
      <w:r w:rsidRPr="00E052D3">
        <w:rPr>
          <w:rFonts w:ascii="Arial" w:hAnsi="Arial" w:cs="Arial"/>
          <w:sz w:val="19"/>
          <w:szCs w:val="19"/>
        </w:rPr>
        <w:t>.</w:t>
      </w:r>
      <w:r>
        <w:rPr>
          <w:rFonts w:ascii="Arial" w:hAnsi="Arial" w:cs="Arial"/>
          <w:sz w:val="19"/>
          <w:szCs w:val="19"/>
        </w:rPr>
        <w:t xml:space="preserve"> </w:t>
      </w:r>
    </w:p>
    <w:p w14:paraId="1750E5E5" w14:textId="77777777" w:rsidR="003C6749" w:rsidRPr="00E052D3" w:rsidRDefault="003C6749" w:rsidP="00E052D3">
      <w:pPr>
        <w:pStyle w:val="Textonotapie"/>
        <w:ind w:firstLine="708"/>
        <w:jc w:val="both"/>
        <w:rPr>
          <w:rFonts w:ascii="Arial" w:hAnsi="Arial" w:cs="Arial"/>
          <w:sz w:val="19"/>
          <w:szCs w:val="19"/>
        </w:rPr>
      </w:pPr>
    </w:p>
  </w:footnote>
  <w:footnote w:id="8">
    <w:p w14:paraId="3AE6BD76" w14:textId="5CB44843" w:rsidR="003C6749" w:rsidRPr="00DD565E" w:rsidRDefault="003C6749" w:rsidP="00DD565E">
      <w:pPr>
        <w:pStyle w:val="Textonotapie"/>
        <w:ind w:firstLine="708"/>
        <w:jc w:val="both"/>
        <w:rPr>
          <w:rFonts w:ascii="Arial" w:hAnsi="Arial" w:cs="Arial"/>
          <w:sz w:val="19"/>
          <w:szCs w:val="19"/>
        </w:rPr>
      </w:pPr>
      <w:r w:rsidRPr="00DD565E">
        <w:rPr>
          <w:rStyle w:val="Refdenotaalpie"/>
          <w:rFonts w:ascii="Arial" w:hAnsi="Arial" w:cs="Arial"/>
          <w:sz w:val="19"/>
          <w:szCs w:val="19"/>
        </w:rPr>
        <w:footnoteRef/>
      </w:r>
      <w:r w:rsidRPr="00DD565E">
        <w:rPr>
          <w:rFonts w:ascii="Arial" w:hAnsi="Arial" w:cs="Arial"/>
          <w:sz w:val="19"/>
          <w:szCs w:val="19"/>
        </w:rPr>
        <w:t xml:space="preserve"> Al respecto, la doctrina explica que:</w:t>
      </w:r>
      <w:r>
        <w:rPr>
          <w:rFonts w:ascii="Arial" w:hAnsi="Arial" w:cs="Arial"/>
          <w:sz w:val="19"/>
          <w:szCs w:val="19"/>
        </w:rPr>
        <w:t xml:space="preserve"> «</w:t>
      </w:r>
      <w:r w:rsidRPr="00DD565E">
        <w:rPr>
          <w:rFonts w:ascii="Arial" w:hAnsi="Arial" w:cs="Arial"/>
          <w:sz w:val="19"/>
          <w:szCs w:val="19"/>
        </w:rPr>
        <w:t xml:space="preserve">Como en el discurso descriptivo, así también en el preceptivo (y en particular en el legislativo) los pronombres relativos, demostrativos y posesivos dan lugar a ambigüedades: en efecto, </w:t>
      </w:r>
      <w:r w:rsidR="002E5AEA">
        <w:rPr>
          <w:rFonts w:ascii="Arial" w:hAnsi="Arial" w:cs="Arial"/>
          <w:sz w:val="19"/>
          <w:szCs w:val="19"/>
        </w:rPr>
        <w:t>“</w:t>
      </w:r>
      <w:r w:rsidRPr="00DD565E">
        <w:rPr>
          <w:rFonts w:ascii="Arial" w:hAnsi="Arial" w:cs="Arial"/>
          <w:sz w:val="19"/>
          <w:szCs w:val="19"/>
        </w:rPr>
        <w:t>que</w:t>
      </w:r>
      <w:r w:rsidR="002E5AEA">
        <w:rPr>
          <w:rFonts w:ascii="Arial" w:hAnsi="Arial" w:cs="Arial"/>
          <w:sz w:val="19"/>
          <w:szCs w:val="19"/>
        </w:rPr>
        <w:t>”</w:t>
      </w:r>
      <w:r w:rsidRPr="00DD565E">
        <w:rPr>
          <w:rFonts w:ascii="Arial" w:hAnsi="Arial" w:cs="Arial"/>
          <w:sz w:val="19"/>
          <w:szCs w:val="19"/>
        </w:rPr>
        <w:t xml:space="preserve">, </w:t>
      </w:r>
      <w:r w:rsidR="002E5AEA">
        <w:rPr>
          <w:rFonts w:ascii="Arial" w:hAnsi="Arial" w:cs="Arial"/>
          <w:sz w:val="19"/>
          <w:szCs w:val="19"/>
        </w:rPr>
        <w:t>“</w:t>
      </w:r>
      <w:r w:rsidRPr="00DD565E">
        <w:rPr>
          <w:rFonts w:ascii="Arial" w:hAnsi="Arial" w:cs="Arial"/>
          <w:sz w:val="19"/>
          <w:szCs w:val="19"/>
        </w:rPr>
        <w:t>el cual</w:t>
      </w:r>
      <w:r w:rsidR="002E5AEA">
        <w:rPr>
          <w:rFonts w:ascii="Arial" w:hAnsi="Arial" w:cs="Arial"/>
          <w:sz w:val="19"/>
          <w:szCs w:val="19"/>
        </w:rPr>
        <w:t>”</w:t>
      </w:r>
      <w:r w:rsidRPr="00DD565E">
        <w:rPr>
          <w:rFonts w:ascii="Arial" w:hAnsi="Arial" w:cs="Arial"/>
          <w:sz w:val="19"/>
          <w:szCs w:val="19"/>
        </w:rPr>
        <w:t xml:space="preserve">, </w:t>
      </w:r>
      <w:r w:rsidR="002E5AEA">
        <w:rPr>
          <w:rFonts w:ascii="Arial" w:hAnsi="Arial" w:cs="Arial"/>
          <w:sz w:val="19"/>
          <w:szCs w:val="19"/>
        </w:rPr>
        <w:t>“</w:t>
      </w:r>
      <w:r w:rsidRPr="00DD565E">
        <w:rPr>
          <w:rFonts w:ascii="Arial" w:hAnsi="Arial" w:cs="Arial"/>
          <w:sz w:val="19"/>
          <w:szCs w:val="19"/>
        </w:rPr>
        <w:t>su</w:t>
      </w:r>
      <w:r w:rsidR="002E5AEA">
        <w:rPr>
          <w:rFonts w:ascii="Arial" w:hAnsi="Arial" w:cs="Arial"/>
          <w:sz w:val="19"/>
          <w:szCs w:val="19"/>
        </w:rPr>
        <w:t>”</w:t>
      </w:r>
      <w:r w:rsidRPr="00DD565E">
        <w:rPr>
          <w:rFonts w:ascii="Arial" w:hAnsi="Arial" w:cs="Arial"/>
          <w:sz w:val="19"/>
          <w:szCs w:val="19"/>
        </w:rPr>
        <w:t xml:space="preserve">, </w:t>
      </w:r>
      <w:r w:rsidR="002E5AEA">
        <w:rPr>
          <w:rFonts w:ascii="Arial" w:hAnsi="Arial" w:cs="Arial"/>
          <w:sz w:val="19"/>
          <w:szCs w:val="19"/>
        </w:rPr>
        <w:t>“</w:t>
      </w:r>
      <w:r w:rsidRPr="00DD565E">
        <w:rPr>
          <w:rFonts w:ascii="Arial" w:hAnsi="Arial" w:cs="Arial"/>
          <w:sz w:val="19"/>
          <w:szCs w:val="19"/>
        </w:rPr>
        <w:t>lo mismo</w:t>
      </w:r>
      <w:r w:rsidR="002E5AEA">
        <w:rPr>
          <w:rFonts w:ascii="Arial" w:hAnsi="Arial" w:cs="Arial"/>
          <w:sz w:val="19"/>
          <w:szCs w:val="19"/>
        </w:rPr>
        <w:t>”</w:t>
      </w:r>
      <w:r w:rsidRPr="00DD565E">
        <w:rPr>
          <w:rFonts w:ascii="Arial" w:hAnsi="Arial" w:cs="Arial"/>
          <w:sz w:val="19"/>
          <w:szCs w:val="19"/>
        </w:rPr>
        <w:t xml:space="preserve">, </w:t>
      </w:r>
      <w:r w:rsidR="002E5AEA">
        <w:rPr>
          <w:rFonts w:ascii="Arial" w:hAnsi="Arial" w:cs="Arial"/>
          <w:sz w:val="19"/>
          <w:szCs w:val="19"/>
        </w:rPr>
        <w:t>“</w:t>
      </w:r>
      <w:r w:rsidRPr="00DD565E">
        <w:rPr>
          <w:rFonts w:ascii="Arial" w:hAnsi="Arial" w:cs="Arial"/>
          <w:sz w:val="19"/>
          <w:szCs w:val="19"/>
        </w:rPr>
        <w:t>el mismo</w:t>
      </w:r>
      <w:r w:rsidR="002E5AEA">
        <w:rPr>
          <w:rFonts w:ascii="Arial" w:hAnsi="Arial" w:cs="Arial"/>
          <w:sz w:val="19"/>
          <w:szCs w:val="19"/>
        </w:rPr>
        <w:t>”</w:t>
      </w:r>
      <w:r w:rsidRPr="00DD565E">
        <w:rPr>
          <w:rFonts w:ascii="Arial" w:hAnsi="Arial" w:cs="Arial"/>
          <w:sz w:val="19"/>
          <w:szCs w:val="19"/>
        </w:rPr>
        <w:t xml:space="preserve"> pueden referirse a diversos vocablos precedentes en el enunciado</w:t>
      </w:r>
      <w:r>
        <w:rPr>
          <w:rFonts w:ascii="Arial" w:hAnsi="Arial" w:cs="Arial"/>
          <w:sz w:val="19"/>
          <w:szCs w:val="19"/>
        </w:rPr>
        <w:t>»</w:t>
      </w:r>
      <w:r w:rsidRPr="00DD565E">
        <w:rPr>
          <w:rFonts w:ascii="Arial" w:hAnsi="Arial" w:cs="Arial"/>
          <w:sz w:val="19"/>
          <w:szCs w:val="19"/>
        </w:rPr>
        <w:t>.</w:t>
      </w:r>
    </w:p>
    <w:p w14:paraId="37013F0B" w14:textId="1CC34BC1" w:rsidR="003C6749" w:rsidRPr="00DD565E" w:rsidRDefault="003C6749" w:rsidP="00DD565E">
      <w:pPr>
        <w:pStyle w:val="Textonotapie"/>
        <w:ind w:firstLine="708"/>
        <w:jc w:val="both"/>
        <w:rPr>
          <w:rFonts w:ascii="Arial" w:hAnsi="Arial" w:cs="Arial"/>
          <w:sz w:val="19"/>
          <w:szCs w:val="19"/>
          <w:lang w:val="es-ES"/>
        </w:rPr>
      </w:pPr>
      <w:r>
        <w:rPr>
          <w:rFonts w:ascii="Arial" w:hAnsi="Arial" w:cs="Arial"/>
          <w:sz w:val="19"/>
          <w:szCs w:val="19"/>
        </w:rPr>
        <w:t>»</w:t>
      </w:r>
      <w:r w:rsidRPr="00DD565E">
        <w:rPr>
          <w:rFonts w:ascii="Arial" w:hAnsi="Arial" w:cs="Arial"/>
          <w:sz w:val="19"/>
          <w:szCs w:val="19"/>
        </w:rPr>
        <w:t>Aquí muy frecuentemente la puntuación no ayuda, y no hay reglas gramaticales generalmente seguidas por los operadores de la aplicación de la ley. En estos casos, en el proceso de atribución de significado a los enunciados, el condicionamiento sintáctico-gramatical es prácticamente inexistente, y el significado es atribuido en base a condicionamientos pragmáticos</w:t>
      </w:r>
      <w:r>
        <w:rPr>
          <w:rFonts w:ascii="Arial" w:hAnsi="Arial" w:cs="Arial"/>
          <w:sz w:val="19"/>
          <w:szCs w:val="19"/>
        </w:rPr>
        <w:t>» (TARELLO, Giovanni. La interpretación de la ley. Lima: Palestra, 2013. pp</w:t>
      </w:r>
      <w:r w:rsidRPr="00DD565E">
        <w:rPr>
          <w:rFonts w:ascii="Arial" w:hAnsi="Arial" w:cs="Arial"/>
          <w:sz w:val="19"/>
          <w:szCs w:val="19"/>
        </w:rPr>
        <w:t xml:space="preserve">. </w:t>
      </w:r>
      <w:r>
        <w:rPr>
          <w:rFonts w:ascii="Arial" w:hAnsi="Arial" w:cs="Arial"/>
          <w:sz w:val="19"/>
          <w:szCs w:val="19"/>
        </w:rPr>
        <w:t>127-128).</w:t>
      </w:r>
      <w:r w:rsidRPr="00DD565E">
        <w:rPr>
          <w:rFonts w:ascii="Arial" w:hAnsi="Arial" w:cs="Arial"/>
          <w:sz w:val="19"/>
          <w:szCs w:val="19"/>
        </w:rPr>
        <w:t xml:space="preserve">  </w:t>
      </w:r>
    </w:p>
  </w:footnote>
  <w:footnote w:id="9">
    <w:p w14:paraId="1FE2A05A" w14:textId="77777777" w:rsidR="00C2197A" w:rsidRDefault="00C2197A" w:rsidP="00C2197A">
      <w:pPr>
        <w:pStyle w:val="Textonotapie"/>
        <w:ind w:firstLine="708"/>
        <w:jc w:val="both"/>
        <w:rPr>
          <w:rFonts w:ascii="Arial" w:hAnsi="Arial" w:cs="Arial"/>
          <w:sz w:val="19"/>
          <w:szCs w:val="19"/>
          <w:lang w:val="es-ES"/>
        </w:rPr>
      </w:pPr>
      <w:r w:rsidRPr="00D54DF5">
        <w:rPr>
          <w:rStyle w:val="Refdenotaalpie"/>
          <w:rFonts w:ascii="Arial" w:hAnsi="Arial" w:cs="Arial"/>
          <w:sz w:val="19"/>
          <w:szCs w:val="19"/>
        </w:rPr>
        <w:footnoteRef/>
      </w:r>
      <w:r w:rsidRPr="00D54DF5">
        <w:rPr>
          <w:rFonts w:ascii="Arial" w:hAnsi="Arial" w:cs="Arial"/>
          <w:sz w:val="19"/>
          <w:szCs w:val="19"/>
          <w:lang w:val="es-ES"/>
        </w:rPr>
        <w:t xml:space="preserve"> En efecto, </w:t>
      </w:r>
      <w:r>
        <w:rPr>
          <w:rFonts w:ascii="Arial" w:hAnsi="Arial" w:cs="Arial"/>
          <w:sz w:val="19"/>
          <w:szCs w:val="19"/>
          <w:lang w:val="es-ES"/>
        </w:rPr>
        <w:t xml:space="preserve">la armonización previene la aparición de contradicciones normativas, por lo que la doctrina explica que «[…] la locución “interpretación sistemática” es ampliamente usada para designar no una técnica interpretativa individual, sino mas bien una familia entera de técnicas diferentes, cuyo único carácter común quizá es el de apelar: (a) por una parte al </w:t>
      </w:r>
      <w:r w:rsidRPr="00C07C4E">
        <w:rPr>
          <w:rFonts w:ascii="Arial" w:hAnsi="Arial" w:cs="Arial"/>
          <w:i/>
          <w:iCs/>
          <w:sz w:val="19"/>
          <w:szCs w:val="19"/>
          <w:lang w:val="es-ES"/>
        </w:rPr>
        <w:t>contexto</w:t>
      </w:r>
      <w:r>
        <w:rPr>
          <w:rFonts w:ascii="Arial" w:hAnsi="Arial" w:cs="Arial"/>
          <w:sz w:val="19"/>
          <w:szCs w:val="19"/>
          <w:lang w:val="es-ES"/>
        </w:rPr>
        <w:t xml:space="preserve"> dentro del cual se ubica la disposición a interpretar, y (b) por la otra, a la presunción de </w:t>
      </w:r>
      <w:r w:rsidRPr="00C07C4E">
        <w:rPr>
          <w:rFonts w:ascii="Arial" w:hAnsi="Arial" w:cs="Arial"/>
          <w:i/>
          <w:iCs/>
          <w:sz w:val="19"/>
          <w:szCs w:val="19"/>
          <w:lang w:val="es-ES"/>
        </w:rPr>
        <w:t>coherencia</w:t>
      </w:r>
      <w:r>
        <w:rPr>
          <w:rFonts w:ascii="Arial" w:hAnsi="Arial" w:cs="Arial"/>
          <w:sz w:val="19"/>
          <w:szCs w:val="19"/>
          <w:lang w:val="es-ES"/>
        </w:rPr>
        <w:t xml:space="preserve"> (ausencia de antinomias) y </w:t>
      </w:r>
      <w:r w:rsidRPr="00C07C4E">
        <w:rPr>
          <w:rFonts w:ascii="Arial" w:hAnsi="Arial" w:cs="Arial"/>
          <w:i/>
          <w:iCs/>
          <w:sz w:val="19"/>
          <w:szCs w:val="19"/>
          <w:lang w:val="es-ES"/>
        </w:rPr>
        <w:t>congruencia</w:t>
      </w:r>
      <w:r>
        <w:rPr>
          <w:rFonts w:ascii="Arial" w:hAnsi="Arial" w:cs="Arial"/>
          <w:sz w:val="19"/>
          <w:szCs w:val="19"/>
          <w:lang w:val="es-ES"/>
        </w:rPr>
        <w:t xml:space="preserve"> (ausencia de desarmonías axiológicas) del ordenamiento jurídico» (Cfr. GUASTINI, Riccardo. La interpretación de los documentos normativos. México D.C: Derecho Global Editores S.A – Centro Iberoamericano de investigaciones Sociales y Jurídicas, 2018. p. 290, cursivas dentro del texto).   </w:t>
      </w:r>
    </w:p>
    <w:p w14:paraId="2B8E4251" w14:textId="0B92F58C" w:rsidR="00C2197A" w:rsidRPr="00D54DF5" w:rsidRDefault="00C2197A" w:rsidP="00C2197A">
      <w:pPr>
        <w:pStyle w:val="Textonotapie"/>
        <w:ind w:firstLine="708"/>
        <w:jc w:val="both"/>
        <w:rPr>
          <w:rFonts w:ascii="Arial" w:hAnsi="Arial" w:cs="Arial"/>
          <w:sz w:val="19"/>
          <w:szCs w:val="19"/>
          <w:lang w:val="es-ES"/>
        </w:rPr>
      </w:pPr>
      <w:r>
        <w:rPr>
          <w:rFonts w:ascii="Arial" w:hAnsi="Arial" w:cs="Arial"/>
          <w:sz w:val="19"/>
          <w:szCs w:val="19"/>
          <w:lang w:val="es-ES"/>
        </w:rPr>
        <w:t xml:space="preserve">    </w:t>
      </w:r>
    </w:p>
  </w:footnote>
  <w:footnote w:id="10">
    <w:p w14:paraId="79DCF273" w14:textId="77777777" w:rsidR="00B95A93" w:rsidRPr="006832D2" w:rsidRDefault="00B95A93" w:rsidP="00B95A93">
      <w:pPr>
        <w:pStyle w:val="Textonotapie"/>
        <w:ind w:firstLine="708"/>
        <w:jc w:val="both"/>
        <w:rPr>
          <w:rFonts w:ascii="Arial" w:hAnsi="Arial" w:cs="Arial"/>
          <w:sz w:val="19"/>
          <w:szCs w:val="19"/>
        </w:rPr>
      </w:pPr>
      <w:r w:rsidRPr="006832D2">
        <w:rPr>
          <w:rStyle w:val="Refdenotaalpie"/>
          <w:rFonts w:ascii="Arial" w:hAnsi="Arial" w:cs="Arial"/>
          <w:sz w:val="19"/>
          <w:szCs w:val="19"/>
        </w:rPr>
        <w:footnoteRef/>
      </w:r>
      <w:r w:rsidRPr="006832D2">
        <w:rPr>
          <w:rFonts w:ascii="Arial" w:hAnsi="Arial" w:cs="Arial"/>
          <w:sz w:val="19"/>
          <w:szCs w:val="19"/>
        </w:rPr>
        <w:t xml:space="preserve"> </w:t>
      </w:r>
      <w:r>
        <w:rPr>
          <w:rFonts w:ascii="Arial" w:hAnsi="Arial" w:cs="Arial"/>
          <w:sz w:val="19"/>
          <w:szCs w:val="19"/>
        </w:rPr>
        <w:t>El Código Civil, en el artículo 30, dispone que: «</w:t>
      </w:r>
      <w:r w:rsidRPr="006832D2">
        <w:rPr>
          <w:rFonts w:ascii="Arial" w:hAnsi="Arial" w:cs="Arial"/>
          <w:sz w:val="19"/>
          <w:szCs w:val="19"/>
        </w:rPr>
        <w:t>El contexto de la ley servirá para ilustrar el sentido de cada una de sus partes, de manera que haya entre todas ellas la debida correspondencia y armonía.</w:t>
      </w:r>
    </w:p>
    <w:p w14:paraId="2C4E2827" w14:textId="49D1E66E" w:rsidR="00B95A93" w:rsidRDefault="00B95A93" w:rsidP="00B95A93">
      <w:pPr>
        <w:pStyle w:val="Textonotapie"/>
        <w:ind w:firstLine="708"/>
        <w:jc w:val="both"/>
        <w:rPr>
          <w:rFonts w:ascii="Arial" w:hAnsi="Arial" w:cs="Arial"/>
          <w:sz w:val="19"/>
          <w:szCs w:val="19"/>
        </w:rPr>
      </w:pPr>
      <w:r>
        <w:rPr>
          <w:rFonts w:ascii="Arial" w:hAnsi="Arial" w:cs="Arial"/>
          <w:sz w:val="19"/>
          <w:szCs w:val="19"/>
        </w:rPr>
        <w:t>»</w:t>
      </w:r>
      <w:r w:rsidRPr="006832D2">
        <w:rPr>
          <w:rFonts w:ascii="Arial" w:hAnsi="Arial" w:cs="Arial"/>
          <w:sz w:val="19"/>
          <w:szCs w:val="19"/>
        </w:rPr>
        <w:t>Los pasajes oscuros de una ley pueden ser ilustrados por medio de otras leyes, particularmente si versan sobre el mismo asunto</w:t>
      </w:r>
      <w:r>
        <w:rPr>
          <w:rFonts w:ascii="Arial" w:hAnsi="Arial" w:cs="Arial"/>
          <w:sz w:val="19"/>
          <w:szCs w:val="19"/>
        </w:rPr>
        <w:t>»</w:t>
      </w:r>
      <w:r w:rsidRPr="006832D2">
        <w:rPr>
          <w:rFonts w:ascii="Arial" w:hAnsi="Arial" w:cs="Arial"/>
          <w:sz w:val="19"/>
          <w:szCs w:val="19"/>
        </w:rPr>
        <w:t>.</w:t>
      </w:r>
    </w:p>
    <w:p w14:paraId="1481F5B6" w14:textId="77777777" w:rsidR="00C2197A" w:rsidRPr="00D54DF5" w:rsidRDefault="00C2197A" w:rsidP="00B95A93">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6749" w:rsidRDefault="003C6749">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47EA"/>
    <w:rsid w:val="000072CE"/>
    <w:rsid w:val="000100E8"/>
    <w:rsid w:val="00010A06"/>
    <w:rsid w:val="00010D30"/>
    <w:rsid w:val="000137A9"/>
    <w:rsid w:val="00021180"/>
    <w:rsid w:val="00023057"/>
    <w:rsid w:val="00024771"/>
    <w:rsid w:val="0003091B"/>
    <w:rsid w:val="000333A2"/>
    <w:rsid w:val="00034108"/>
    <w:rsid w:val="00034853"/>
    <w:rsid w:val="0003625C"/>
    <w:rsid w:val="00036E73"/>
    <w:rsid w:val="00037414"/>
    <w:rsid w:val="00037B4E"/>
    <w:rsid w:val="00040C88"/>
    <w:rsid w:val="00040D6E"/>
    <w:rsid w:val="0004206D"/>
    <w:rsid w:val="00042C0C"/>
    <w:rsid w:val="000439E9"/>
    <w:rsid w:val="00043A4D"/>
    <w:rsid w:val="000445B5"/>
    <w:rsid w:val="00044FF2"/>
    <w:rsid w:val="000466AC"/>
    <w:rsid w:val="00047050"/>
    <w:rsid w:val="00051D31"/>
    <w:rsid w:val="00054B43"/>
    <w:rsid w:val="00054E9A"/>
    <w:rsid w:val="00061E34"/>
    <w:rsid w:val="00061EE4"/>
    <w:rsid w:val="00062B0D"/>
    <w:rsid w:val="0006519B"/>
    <w:rsid w:val="00072EB9"/>
    <w:rsid w:val="000757B4"/>
    <w:rsid w:val="000763E2"/>
    <w:rsid w:val="00076F69"/>
    <w:rsid w:val="00086A16"/>
    <w:rsid w:val="00091039"/>
    <w:rsid w:val="00091570"/>
    <w:rsid w:val="00091D8F"/>
    <w:rsid w:val="00091F2D"/>
    <w:rsid w:val="000929DE"/>
    <w:rsid w:val="00093E58"/>
    <w:rsid w:val="00095C76"/>
    <w:rsid w:val="00097CD6"/>
    <w:rsid w:val="000A1DBA"/>
    <w:rsid w:val="000A3B96"/>
    <w:rsid w:val="000A4C83"/>
    <w:rsid w:val="000A6338"/>
    <w:rsid w:val="000A6B6F"/>
    <w:rsid w:val="000A70D5"/>
    <w:rsid w:val="000B4A19"/>
    <w:rsid w:val="000C0E39"/>
    <w:rsid w:val="000C3BD4"/>
    <w:rsid w:val="000C3D66"/>
    <w:rsid w:val="000C4A2C"/>
    <w:rsid w:val="000C51AF"/>
    <w:rsid w:val="000C5830"/>
    <w:rsid w:val="000C5C37"/>
    <w:rsid w:val="000C79F1"/>
    <w:rsid w:val="000D088F"/>
    <w:rsid w:val="000E284C"/>
    <w:rsid w:val="000E4A3C"/>
    <w:rsid w:val="000E57DB"/>
    <w:rsid w:val="000E5BB2"/>
    <w:rsid w:val="000E6867"/>
    <w:rsid w:val="000E68C2"/>
    <w:rsid w:val="000F1B34"/>
    <w:rsid w:val="000F1E3D"/>
    <w:rsid w:val="000F211E"/>
    <w:rsid w:val="00100AEC"/>
    <w:rsid w:val="00103CA7"/>
    <w:rsid w:val="001056C0"/>
    <w:rsid w:val="00105A2E"/>
    <w:rsid w:val="00107607"/>
    <w:rsid w:val="00110B59"/>
    <w:rsid w:val="00112597"/>
    <w:rsid w:val="0011538C"/>
    <w:rsid w:val="0011544E"/>
    <w:rsid w:val="0012074A"/>
    <w:rsid w:val="00120C8D"/>
    <w:rsid w:val="0012181C"/>
    <w:rsid w:val="00123543"/>
    <w:rsid w:val="001240CD"/>
    <w:rsid w:val="0012798F"/>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466A"/>
    <w:rsid w:val="001573F8"/>
    <w:rsid w:val="00162BA0"/>
    <w:rsid w:val="00163EED"/>
    <w:rsid w:val="00164E79"/>
    <w:rsid w:val="00166C81"/>
    <w:rsid w:val="0017603D"/>
    <w:rsid w:val="001764B9"/>
    <w:rsid w:val="00181A3E"/>
    <w:rsid w:val="00185441"/>
    <w:rsid w:val="001865DB"/>
    <w:rsid w:val="00194C50"/>
    <w:rsid w:val="00196FB5"/>
    <w:rsid w:val="001A0AEB"/>
    <w:rsid w:val="001B2E5D"/>
    <w:rsid w:val="001B53BD"/>
    <w:rsid w:val="001B5E36"/>
    <w:rsid w:val="001C1D25"/>
    <w:rsid w:val="001C2AE5"/>
    <w:rsid w:val="001D38A0"/>
    <w:rsid w:val="001D5ECE"/>
    <w:rsid w:val="001D7073"/>
    <w:rsid w:val="001D7420"/>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70F8"/>
    <w:rsid w:val="00200F92"/>
    <w:rsid w:val="002034AD"/>
    <w:rsid w:val="00203BF1"/>
    <w:rsid w:val="00203F46"/>
    <w:rsid w:val="002042F7"/>
    <w:rsid w:val="00207033"/>
    <w:rsid w:val="00210D66"/>
    <w:rsid w:val="00211C6F"/>
    <w:rsid w:val="00212E91"/>
    <w:rsid w:val="00217339"/>
    <w:rsid w:val="00222204"/>
    <w:rsid w:val="0022306C"/>
    <w:rsid w:val="002239B4"/>
    <w:rsid w:val="00227C2D"/>
    <w:rsid w:val="00227D08"/>
    <w:rsid w:val="0023008F"/>
    <w:rsid w:val="0023180C"/>
    <w:rsid w:val="00234C6C"/>
    <w:rsid w:val="0023576D"/>
    <w:rsid w:val="0023728A"/>
    <w:rsid w:val="00237522"/>
    <w:rsid w:val="00244A28"/>
    <w:rsid w:val="002466F4"/>
    <w:rsid w:val="00247EBA"/>
    <w:rsid w:val="0025095A"/>
    <w:rsid w:val="00251547"/>
    <w:rsid w:val="002532DE"/>
    <w:rsid w:val="00265031"/>
    <w:rsid w:val="0026520C"/>
    <w:rsid w:val="00266277"/>
    <w:rsid w:val="00270009"/>
    <w:rsid w:val="002711ED"/>
    <w:rsid w:val="002723C7"/>
    <w:rsid w:val="00273277"/>
    <w:rsid w:val="002807AD"/>
    <w:rsid w:val="00282D8F"/>
    <w:rsid w:val="00283163"/>
    <w:rsid w:val="0028403E"/>
    <w:rsid w:val="00284C12"/>
    <w:rsid w:val="00286834"/>
    <w:rsid w:val="00286FAD"/>
    <w:rsid w:val="00295636"/>
    <w:rsid w:val="002969F8"/>
    <w:rsid w:val="00297358"/>
    <w:rsid w:val="002A153A"/>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4D04"/>
    <w:rsid w:val="002C7A63"/>
    <w:rsid w:val="002D06BB"/>
    <w:rsid w:val="002D2B71"/>
    <w:rsid w:val="002D413A"/>
    <w:rsid w:val="002E320B"/>
    <w:rsid w:val="002E4348"/>
    <w:rsid w:val="002E5AEA"/>
    <w:rsid w:val="002E67C5"/>
    <w:rsid w:val="002E7BC2"/>
    <w:rsid w:val="002F1C33"/>
    <w:rsid w:val="002F2416"/>
    <w:rsid w:val="002F2DB4"/>
    <w:rsid w:val="002F47DB"/>
    <w:rsid w:val="002F63BB"/>
    <w:rsid w:val="002F6C10"/>
    <w:rsid w:val="002F6DBB"/>
    <w:rsid w:val="002F701E"/>
    <w:rsid w:val="003001AC"/>
    <w:rsid w:val="00302D35"/>
    <w:rsid w:val="00302F9F"/>
    <w:rsid w:val="00303EC5"/>
    <w:rsid w:val="00304386"/>
    <w:rsid w:val="00307469"/>
    <w:rsid w:val="00312203"/>
    <w:rsid w:val="00312A01"/>
    <w:rsid w:val="00312B8F"/>
    <w:rsid w:val="00326B54"/>
    <w:rsid w:val="0033366E"/>
    <w:rsid w:val="00334E97"/>
    <w:rsid w:val="003373C2"/>
    <w:rsid w:val="003401FE"/>
    <w:rsid w:val="00340A7A"/>
    <w:rsid w:val="003417F0"/>
    <w:rsid w:val="00341835"/>
    <w:rsid w:val="00341ECA"/>
    <w:rsid w:val="00344791"/>
    <w:rsid w:val="00350A47"/>
    <w:rsid w:val="003535D2"/>
    <w:rsid w:val="00356B57"/>
    <w:rsid w:val="0036125C"/>
    <w:rsid w:val="00377CD3"/>
    <w:rsid w:val="00381DFA"/>
    <w:rsid w:val="003825A4"/>
    <w:rsid w:val="00387D0F"/>
    <w:rsid w:val="00390DCF"/>
    <w:rsid w:val="00396821"/>
    <w:rsid w:val="003A06BB"/>
    <w:rsid w:val="003A2944"/>
    <w:rsid w:val="003B0DEF"/>
    <w:rsid w:val="003B712F"/>
    <w:rsid w:val="003B7185"/>
    <w:rsid w:val="003C01B5"/>
    <w:rsid w:val="003C12E6"/>
    <w:rsid w:val="003C2074"/>
    <w:rsid w:val="003C2BDE"/>
    <w:rsid w:val="003C3ADB"/>
    <w:rsid w:val="003C4F6C"/>
    <w:rsid w:val="003C611C"/>
    <w:rsid w:val="003C6749"/>
    <w:rsid w:val="003C6AE8"/>
    <w:rsid w:val="003C7207"/>
    <w:rsid w:val="003D0670"/>
    <w:rsid w:val="003D0E4A"/>
    <w:rsid w:val="003D0E7D"/>
    <w:rsid w:val="003D11B5"/>
    <w:rsid w:val="003D134C"/>
    <w:rsid w:val="003D4164"/>
    <w:rsid w:val="003D4BD3"/>
    <w:rsid w:val="003D50C3"/>
    <w:rsid w:val="003D69A5"/>
    <w:rsid w:val="003D6AD3"/>
    <w:rsid w:val="003D6FFB"/>
    <w:rsid w:val="003E14F9"/>
    <w:rsid w:val="003F309F"/>
    <w:rsid w:val="003F3119"/>
    <w:rsid w:val="003F4E8A"/>
    <w:rsid w:val="003F6D32"/>
    <w:rsid w:val="004077AE"/>
    <w:rsid w:val="00411760"/>
    <w:rsid w:val="004161D4"/>
    <w:rsid w:val="0041633C"/>
    <w:rsid w:val="0041784E"/>
    <w:rsid w:val="00417922"/>
    <w:rsid w:val="00417F88"/>
    <w:rsid w:val="004208F0"/>
    <w:rsid w:val="00421EA9"/>
    <w:rsid w:val="004266E5"/>
    <w:rsid w:val="00430B5A"/>
    <w:rsid w:val="00431C20"/>
    <w:rsid w:val="004344F0"/>
    <w:rsid w:val="0044207D"/>
    <w:rsid w:val="004439E2"/>
    <w:rsid w:val="00447FE5"/>
    <w:rsid w:val="00451231"/>
    <w:rsid w:val="004526D3"/>
    <w:rsid w:val="00452E90"/>
    <w:rsid w:val="00456D35"/>
    <w:rsid w:val="00457CF2"/>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739C"/>
    <w:rsid w:val="004A128C"/>
    <w:rsid w:val="004A1C13"/>
    <w:rsid w:val="004A5E72"/>
    <w:rsid w:val="004A6EE1"/>
    <w:rsid w:val="004B07EC"/>
    <w:rsid w:val="004B1BEE"/>
    <w:rsid w:val="004B2AB8"/>
    <w:rsid w:val="004B5B9E"/>
    <w:rsid w:val="004C0E5D"/>
    <w:rsid w:val="004D05B1"/>
    <w:rsid w:val="004D1293"/>
    <w:rsid w:val="004D1ACA"/>
    <w:rsid w:val="004D1ADE"/>
    <w:rsid w:val="004D770C"/>
    <w:rsid w:val="004E0D21"/>
    <w:rsid w:val="004E370E"/>
    <w:rsid w:val="004E7EAE"/>
    <w:rsid w:val="004F2563"/>
    <w:rsid w:val="004F31BC"/>
    <w:rsid w:val="004F4387"/>
    <w:rsid w:val="004F5D59"/>
    <w:rsid w:val="004F6F82"/>
    <w:rsid w:val="00510BF5"/>
    <w:rsid w:val="00510EDC"/>
    <w:rsid w:val="00513233"/>
    <w:rsid w:val="005148D1"/>
    <w:rsid w:val="005204A7"/>
    <w:rsid w:val="005212B7"/>
    <w:rsid w:val="00521BA7"/>
    <w:rsid w:val="005227FC"/>
    <w:rsid w:val="005237BA"/>
    <w:rsid w:val="00524924"/>
    <w:rsid w:val="005252E2"/>
    <w:rsid w:val="005379AD"/>
    <w:rsid w:val="00546920"/>
    <w:rsid w:val="0054785D"/>
    <w:rsid w:val="005505C3"/>
    <w:rsid w:val="005511D5"/>
    <w:rsid w:val="00552A39"/>
    <w:rsid w:val="0055492B"/>
    <w:rsid w:val="00554A31"/>
    <w:rsid w:val="005609D5"/>
    <w:rsid w:val="00562292"/>
    <w:rsid w:val="00563974"/>
    <w:rsid w:val="005678B1"/>
    <w:rsid w:val="005725CA"/>
    <w:rsid w:val="00575DC6"/>
    <w:rsid w:val="00575FF2"/>
    <w:rsid w:val="005760C8"/>
    <w:rsid w:val="00577CD4"/>
    <w:rsid w:val="005820AB"/>
    <w:rsid w:val="00585FB5"/>
    <w:rsid w:val="00590EE1"/>
    <w:rsid w:val="00591586"/>
    <w:rsid w:val="00592DB1"/>
    <w:rsid w:val="00595363"/>
    <w:rsid w:val="00595A2B"/>
    <w:rsid w:val="005A006F"/>
    <w:rsid w:val="005A17D2"/>
    <w:rsid w:val="005A3C39"/>
    <w:rsid w:val="005A5E4A"/>
    <w:rsid w:val="005B7357"/>
    <w:rsid w:val="005C1D36"/>
    <w:rsid w:val="005C5055"/>
    <w:rsid w:val="005C5B7C"/>
    <w:rsid w:val="005C673B"/>
    <w:rsid w:val="005D4CDB"/>
    <w:rsid w:val="005E247C"/>
    <w:rsid w:val="005E3D4F"/>
    <w:rsid w:val="005E7BBC"/>
    <w:rsid w:val="005F12C4"/>
    <w:rsid w:val="005F19B1"/>
    <w:rsid w:val="005F3319"/>
    <w:rsid w:val="005F5D19"/>
    <w:rsid w:val="005F65B9"/>
    <w:rsid w:val="005F6CBF"/>
    <w:rsid w:val="00600081"/>
    <w:rsid w:val="006005DC"/>
    <w:rsid w:val="00600E42"/>
    <w:rsid w:val="006018AA"/>
    <w:rsid w:val="00603C7F"/>
    <w:rsid w:val="006100F4"/>
    <w:rsid w:val="00612D14"/>
    <w:rsid w:val="006135E6"/>
    <w:rsid w:val="0061747D"/>
    <w:rsid w:val="00632E10"/>
    <w:rsid w:val="00632EA5"/>
    <w:rsid w:val="00635CBC"/>
    <w:rsid w:val="00637F5E"/>
    <w:rsid w:val="00644F52"/>
    <w:rsid w:val="006520A9"/>
    <w:rsid w:val="006525FD"/>
    <w:rsid w:val="00653B17"/>
    <w:rsid w:val="00654483"/>
    <w:rsid w:val="00655EAE"/>
    <w:rsid w:val="006563B5"/>
    <w:rsid w:val="0065701C"/>
    <w:rsid w:val="006604A6"/>
    <w:rsid w:val="006623BD"/>
    <w:rsid w:val="00662792"/>
    <w:rsid w:val="00664620"/>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718"/>
    <w:rsid w:val="00697A99"/>
    <w:rsid w:val="006A1226"/>
    <w:rsid w:val="006A172E"/>
    <w:rsid w:val="006A2035"/>
    <w:rsid w:val="006A3329"/>
    <w:rsid w:val="006A7743"/>
    <w:rsid w:val="006B13E2"/>
    <w:rsid w:val="006B150B"/>
    <w:rsid w:val="006B1785"/>
    <w:rsid w:val="006B317D"/>
    <w:rsid w:val="006B45AB"/>
    <w:rsid w:val="006B6C6A"/>
    <w:rsid w:val="006B7F25"/>
    <w:rsid w:val="006C15D5"/>
    <w:rsid w:val="006C1C02"/>
    <w:rsid w:val="006C234F"/>
    <w:rsid w:val="006C2D0C"/>
    <w:rsid w:val="006C3D0C"/>
    <w:rsid w:val="006C5955"/>
    <w:rsid w:val="006D0131"/>
    <w:rsid w:val="006D12BD"/>
    <w:rsid w:val="006D2335"/>
    <w:rsid w:val="006D2BE9"/>
    <w:rsid w:val="006D3570"/>
    <w:rsid w:val="006D3624"/>
    <w:rsid w:val="006D39A8"/>
    <w:rsid w:val="006D4391"/>
    <w:rsid w:val="006D519D"/>
    <w:rsid w:val="006E13EF"/>
    <w:rsid w:val="006E4EE7"/>
    <w:rsid w:val="006E65C2"/>
    <w:rsid w:val="006F31BC"/>
    <w:rsid w:val="006F3802"/>
    <w:rsid w:val="006F39D0"/>
    <w:rsid w:val="006F3B66"/>
    <w:rsid w:val="006F4E05"/>
    <w:rsid w:val="006F64D1"/>
    <w:rsid w:val="006F661B"/>
    <w:rsid w:val="006F7746"/>
    <w:rsid w:val="00702DAA"/>
    <w:rsid w:val="0070582B"/>
    <w:rsid w:val="00707A9D"/>
    <w:rsid w:val="00711157"/>
    <w:rsid w:val="007119E2"/>
    <w:rsid w:val="00711E8E"/>
    <w:rsid w:val="00714800"/>
    <w:rsid w:val="00715B7E"/>
    <w:rsid w:val="00715F0D"/>
    <w:rsid w:val="00717930"/>
    <w:rsid w:val="0072152F"/>
    <w:rsid w:val="00721C21"/>
    <w:rsid w:val="007229FD"/>
    <w:rsid w:val="00730CDB"/>
    <w:rsid w:val="007323E9"/>
    <w:rsid w:val="00736945"/>
    <w:rsid w:val="00736C89"/>
    <w:rsid w:val="0073730C"/>
    <w:rsid w:val="00741965"/>
    <w:rsid w:val="0074421C"/>
    <w:rsid w:val="00745744"/>
    <w:rsid w:val="00745A21"/>
    <w:rsid w:val="007464B2"/>
    <w:rsid w:val="0075032A"/>
    <w:rsid w:val="00750C12"/>
    <w:rsid w:val="00752A7D"/>
    <w:rsid w:val="00754433"/>
    <w:rsid w:val="00763652"/>
    <w:rsid w:val="00763A36"/>
    <w:rsid w:val="00764BF7"/>
    <w:rsid w:val="00764EA5"/>
    <w:rsid w:val="007650D8"/>
    <w:rsid w:val="00766030"/>
    <w:rsid w:val="00766CBE"/>
    <w:rsid w:val="00767B80"/>
    <w:rsid w:val="00770D7D"/>
    <w:rsid w:val="00771030"/>
    <w:rsid w:val="00772497"/>
    <w:rsid w:val="007745AE"/>
    <w:rsid w:val="007754C3"/>
    <w:rsid w:val="0077638E"/>
    <w:rsid w:val="007768FE"/>
    <w:rsid w:val="00780C18"/>
    <w:rsid w:val="00784DDD"/>
    <w:rsid w:val="007902C3"/>
    <w:rsid w:val="00790BB8"/>
    <w:rsid w:val="00791377"/>
    <w:rsid w:val="007915BB"/>
    <w:rsid w:val="00795C86"/>
    <w:rsid w:val="007A01A1"/>
    <w:rsid w:val="007A45E7"/>
    <w:rsid w:val="007A73BE"/>
    <w:rsid w:val="007B1754"/>
    <w:rsid w:val="007B4AAA"/>
    <w:rsid w:val="007C6894"/>
    <w:rsid w:val="007D0729"/>
    <w:rsid w:val="007D3035"/>
    <w:rsid w:val="007D35C4"/>
    <w:rsid w:val="007D3B8C"/>
    <w:rsid w:val="007D5652"/>
    <w:rsid w:val="007D62C7"/>
    <w:rsid w:val="007D6B53"/>
    <w:rsid w:val="007D6D97"/>
    <w:rsid w:val="007E001D"/>
    <w:rsid w:val="007F1B9C"/>
    <w:rsid w:val="007F2142"/>
    <w:rsid w:val="007F5F0C"/>
    <w:rsid w:val="007F7AC6"/>
    <w:rsid w:val="008007EE"/>
    <w:rsid w:val="008012DE"/>
    <w:rsid w:val="00803061"/>
    <w:rsid w:val="008057D4"/>
    <w:rsid w:val="00807EEE"/>
    <w:rsid w:val="008103E9"/>
    <w:rsid w:val="008135F4"/>
    <w:rsid w:val="00813893"/>
    <w:rsid w:val="00813F60"/>
    <w:rsid w:val="00814330"/>
    <w:rsid w:val="0082266E"/>
    <w:rsid w:val="008234E2"/>
    <w:rsid w:val="00824361"/>
    <w:rsid w:val="008250B0"/>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1568"/>
    <w:rsid w:val="00872D25"/>
    <w:rsid w:val="00874E17"/>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6430"/>
    <w:rsid w:val="008B7A53"/>
    <w:rsid w:val="008C24B6"/>
    <w:rsid w:val="008C3ACC"/>
    <w:rsid w:val="008C487C"/>
    <w:rsid w:val="008C4C28"/>
    <w:rsid w:val="008D11E3"/>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7FD"/>
    <w:rsid w:val="008F6D40"/>
    <w:rsid w:val="00903E02"/>
    <w:rsid w:val="00904226"/>
    <w:rsid w:val="00905A7E"/>
    <w:rsid w:val="00905B18"/>
    <w:rsid w:val="00905B2F"/>
    <w:rsid w:val="009211CB"/>
    <w:rsid w:val="009231E0"/>
    <w:rsid w:val="00923548"/>
    <w:rsid w:val="00923B70"/>
    <w:rsid w:val="00925293"/>
    <w:rsid w:val="00926241"/>
    <w:rsid w:val="00926B0D"/>
    <w:rsid w:val="00930B6C"/>
    <w:rsid w:val="00930E4B"/>
    <w:rsid w:val="00931485"/>
    <w:rsid w:val="00942C91"/>
    <w:rsid w:val="009436DA"/>
    <w:rsid w:val="00943862"/>
    <w:rsid w:val="0094508D"/>
    <w:rsid w:val="00946E85"/>
    <w:rsid w:val="0094787E"/>
    <w:rsid w:val="00947C5C"/>
    <w:rsid w:val="009506A7"/>
    <w:rsid w:val="00950763"/>
    <w:rsid w:val="0095113A"/>
    <w:rsid w:val="00952E50"/>
    <w:rsid w:val="00954CF5"/>
    <w:rsid w:val="00956630"/>
    <w:rsid w:val="009605FA"/>
    <w:rsid w:val="0096646C"/>
    <w:rsid w:val="00967230"/>
    <w:rsid w:val="00972087"/>
    <w:rsid w:val="00972C13"/>
    <w:rsid w:val="0097420F"/>
    <w:rsid w:val="0097456D"/>
    <w:rsid w:val="00974A47"/>
    <w:rsid w:val="00976BF4"/>
    <w:rsid w:val="00980920"/>
    <w:rsid w:val="009812D7"/>
    <w:rsid w:val="00982E99"/>
    <w:rsid w:val="00990391"/>
    <w:rsid w:val="00992151"/>
    <w:rsid w:val="009947D1"/>
    <w:rsid w:val="00994B40"/>
    <w:rsid w:val="00996159"/>
    <w:rsid w:val="009A12B9"/>
    <w:rsid w:val="009A3AC9"/>
    <w:rsid w:val="009A4BF0"/>
    <w:rsid w:val="009A5714"/>
    <w:rsid w:val="009A5DA7"/>
    <w:rsid w:val="009B1AEC"/>
    <w:rsid w:val="009B7329"/>
    <w:rsid w:val="009C0F6B"/>
    <w:rsid w:val="009C1FFE"/>
    <w:rsid w:val="009C27A9"/>
    <w:rsid w:val="009C3485"/>
    <w:rsid w:val="009C68EF"/>
    <w:rsid w:val="009D11B7"/>
    <w:rsid w:val="009D16ED"/>
    <w:rsid w:val="009D1D57"/>
    <w:rsid w:val="009D4F8F"/>
    <w:rsid w:val="009D79AA"/>
    <w:rsid w:val="009E2544"/>
    <w:rsid w:val="009E2770"/>
    <w:rsid w:val="009E467C"/>
    <w:rsid w:val="009E4710"/>
    <w:rsid w:val="009E4A43"/>
    <w:rsid w:val="009E6225"/>
    <w:rsid w:val="009F0069"/>
    <w:rsid w:val="009F2261"/>
    <w:rsid w:val="009F3537"/>
    <w:rsid w:val="009F6ADC"/>
    <w:rsid w:val="009F78A4"/>
    <w:rsid w:val="009F796E"/>
    <w:rsid w:val="00A00D59"/>
    <w:rsid w:val="00A032F8"/>
    <w:rsid w:val="00A10347"/>
    <w:rsid w:val="00A14C36"/>
    <w:rsid w:val="00A158AB"/>
    <w:rsid w:val="00A25657"/>
    <w:rsid w:val="00A304BE"/>
    <w:rsid w:val="00A329B6"/>
    <w:rsid w:val="00A367A1"/>
    <w:rsid w:val="00A40178"/>
    <w:rsid w:val="00A415D2"/>
    <w:rsid w:val="00A460BA"/>
    <w:rsid w:val="00A46CF8"/>
    <w:rsid w:val="00A46FE1"/>
    <w:rsid w:val="00A510F6"/>
    <w:rsid w:val="00A54828"/>
    <w:rsid w:val="00A57F74"/>
    <w:rsid w:val="00A61A04"/>
    <w:rsid w:val="00A648E0"/>
    <w:rsid w:val="00A651C9"/>
    <w:rsid w:val="00A67D0F"/>
    <w:rsid w:val="00A70E2D"/>
    <w:rsid w:val="00A73161"/>
    <w:rsid w:val="00A740E7"/>
    <w:rsid w:val="00A74621"/>
    <w:rsid w:val="00A80739"/>
    <w:rsid w:val="00A83829"/>
    <w:rsid w:val="00A862C0"/>
    <w:rsid w:val="00A862CB"/>
    <w:rsid w:val="00A87EE1"/>
    <w:rsid w:val="00A9000F"/>
    <w:rsid w:val="00A91A20"/>
    <w:rsid w:val="00A9229F"/>
    <w:rsid w:val="00A95100"/>
    <w:rsid w:val="00A97A15"/>
    <w:rsid w:val="00AA0652"/>
    <w:rsid w:val="00AA2A39"/>
    <w:rsid w:val="00AA2C16"/>
    <w:rsid w:val="00AA5AEE"/>
    <w:rsid w:val="00AA615B"/>
    <w:rsid w:val="00AA6272"/>
    <w:rsid w:val="00AB0DED"/>
    <w:rsid w:val="00AB14AB"/>
    <w:rsid w:val="00AB5263"/>
    <w:rsid w:val="00AC0C81"/>
    <w:rsid w:val="00AC1B48"/>
    <w:rsid w:val="00AC29D6"/>
    <w:rsid w:val="00AC43E7"/>
    <w:rsid w:val="00AD1E1B"/>
    <w:rsid w:val="00AD4BD5"/>
    <w:rsid w:val="00AD54C3"/>
    <w:rsid w:val="00AD7725"/>
    <w:rsid w:val="00AE0018"/>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7013"/>
    <w:rsid w:val="00B11F92"/>
    <w:rsid w:val="00B120A7"/>
    <w:rsid w:val="00B13C71"/>
    <w:rsid w:val="00B14450"/>
    <w:rsid w:val="00B1586E"/>
    <w:rsid w:val="00B17BC5"/>
    <w:rsid w:val="00B2045A"/>
    <w:rsid w:val="00B20582"/>
    <w:rsid w:val="00B2158C"/>
    <w:rsid w:val="00B217CA"/>
    <w:rsid w:val="00B24E57"/>
    <w:rsid w:val="00B26584"/>
    <w:rsid w:val="00B30D96"/>
    <w:rsid w:val="00B34281"/>
    <w:rsid w:val="00B3678E"/>
    <w:rsid w:val="00B42262"/>
    <w:rsid w:val="00B42B2C"/>
    <w:rsid w:val="00B5123E"/>
    <w:rsid w:val="00B51B58"/>
    <w:rsid w:val="00B522C4"/>
    <w:rsid w:val="00B52B0E"/>
    <w:rsid w:val="00B52FDB"/>
    <w:rsid w:val="00B5337D"/>
    <w:rsid w:val="00B533F4"/>
    <w:rsid w:val="00B54444"/>
    <w:rsid w:val="00B57FC4"/>
    <w:rsid w:val="00B62BEA"/>
    <w:rsid w:val="00B63732"/>
    <w:rsid w:val="00B64B90"/>
    <w:rsid w:val="00B65290"/>
    <w:rsid w:val="00B70E26"/>
    <w:rsid w:val="00B71364"/>
    <w:rsid w:val="00B726D5"/>
    <w:rsid w:val="00B72758"/>
    <w:rsid w:val="00B7319C"/>
    <w:rsid w:val="00B7517F"/>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4CDF"/>
    <w:rsid w:val="00BB595B"/>
    <w:rsid w:val="00BB59F9"/>
    <w:rsid w:val="00BB5B0E"/>
    <w:rsid w:val="00BC15B8"/>
    <w:rsid w:val="00BC5279"/>
    <w:rsid w:val="00BC6C4E"/>
    <w:rsid w:val="00BC7B6A"/>
    <w:rsid w:val="00BD0EAC"/>
    <w:rsid w:val="00BD31AB"/>
    <w:rsid w:val="00BD4AA0"/>
    <w:rsid w:val="00BD58A7"/>
    <w:rsid w:val="00BD6EE4"/>
    <w:rsid w:val="00BE1E33"/>
    <w:rsid w:val="00BE2AD3"/>
    <w:rsid w:val="00BE36F7"/>
    <w:rsid w:val="00BE65AD"/>
    <w:rsid w:val="00BF19F3"/>
    <w:rsid w:val="00BF2443"/>
    <w:rsid w:val="00C01BC4"/>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30E1E"/>
    <w:rsid w:val="00C31412"/>
    <w:rsid w:val="00C362A0"/>
    <w:rsid w:val="00C365AF"/>
    <w:rsid w:val="00C367CD"/>
    <w:rsid w:val="00C42740"/>
    <w:rsid w:val="00C43C6C"/>
    <w:rsid w:val="00C4526C"/>
    <w:rsid w:val="00C50B1B"/>
    <w:rsid w:val="00C50C99"/>
    <w:rsid w:val="00C52801"/>
    <w:rsid w:val="00C5395E"/>
    <w:rsid w:val="00C60C0C"/>
    <w:rsid w:val="00C61C54"/>
    <w:rsid w:val="00C6210F"/>
    <w:rsid w:val="00C67C58"/>
    <w:rsid w:val="00C703AD"/>
    <w:rsid w:val="00C745C6"/>
    <w:rsid w:val="00C750BA"/>
    <w:rsid w:val="00C7706E"/>
    <w:rsid w:val="00C77811"/>
    <w:rsid w:val="00C826EF"/>
    <w:rsid w:val="00C8442D"/>
    <w:rsid w:val="00C85287"/>
    <w:rsid w:val="00C85FA6"/>
    <w:rsid w:val="00C95AC9"/>
    <w:rsid w:val="00C964DE"/>
    <w:rsid w:val="00C969C2"/>
    <w:rsid w:val="00C96F18"/>
    <w:rsid w:val="00CA4545"/>
    <w:rsid w:val="00CA51AC"/>
    <w:rsid w:val="00CA51DE"/>
    <w:rsid w:val="00CA5790"/>
    <w:rsid w:val="00CA634C"/>
    <w:rsid w:val="00CA652B"/>
    <w:rsid w:val="00CA75F5"/>
    <w:rsid w:val="00CA7BFF"/>
    <w:rsid w:val="00CB003C"/>
    <w:rsid w:val="00CB12E5"/>
    <w:rsid w:val="00CB59D4"/>
    <w:rsid w:val="00CC0C56"/>
    <w:rsid w:val="00CC11B6"/>
    <w:rsid w:val="00CC4245"/>
    <w:rsid w:val="00CD23FE"/>
    <w:rsid w:val="00CD319D"/>
    <w:rsid w:val="00CD33C1"/>
    <w:rsid w:val="00CE15BE"/>
    <w:rsid w:val="00CE35D5"/>
    <w:rsid w:val="00CF09D9"/>
    <w:rsid w:val="00CF182A"/>
    <w:rsid w:val="00CF1BF9"/>
    <w:rsid w:val="00CF326B"/>
    <w:rsid w:val="00CF5CC1"/>
    <w:rsid w:val="00CF7D98"/>
    <w:rsid w:val="00D029D8"/>
    <w:rsid w:val="00D02A84"/>
    <w:rsid w:val="00D0300E"/>
    <w:rsid w:val="00D054B2"/>
    <w:rsid w:val="00D0763E"/>
    <w:rsid w:val="00D11186"/>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69B"/>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751D"/>
    <w:rsid w:val="00DC09BD"/>
    <w:rsid w:val="00DC162E"/>
    <w:rsid w:val="00DC182F"/>
    <w:rsid w:val="00DC35CE"/>
    <w:rsid w:val="00DC3B1E"/>
    <w:rsid w:val="00DC432A"/>
    <w:rsid w:val="00DC4C93"/>
    <w:rsid w:val="00DC679E"/>
    <w:rsid w:val="00DD0E98"/>
    <w:rsid w:val="00DD14BC"/>
    <w:rsid w:val="00DD259F"/>
    <w:rsid w:val="00DD4D47"/>
    <w:rsid w:val="00DD565E"/>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11AA"/>
    <w:rsid w:val="00E137BB"/>
    <w:rsid w:val="00E15A72"/>
    <w:rsid w:val="00E20266"/>
    <w:rsid w:val="00E235DD"/>
    <w:rsid w:val="00E23B80"/>
    <w:rsid w:val="00E261CD"/>
    <w:rsid w:val="00E30356"/>
    <w:rsid w:val="00E3199C"/>
    <w:rsid w:val="00E3352E"/>
    <w:rsid w:val="00E34732"/>
    <w:rsid w:val="00E40987"/>
    <w:rsid w:val="00E41E74"/>
    <w:rsid w:val="00E42D0B"/>
    <w:rsid w:val="00E43A1A"/>
    <w:rsid w:val="00E441BF"/>
    <w:rsid w:val="00E5029D"/>
    <w:rsid w:val="00E51679"/>
    <w:rsid w:val="00E528C8"/>
    <w:rsid w:val="00E54CD1"/>
    <w:rsid w:val="00E56980"/>
    <w:rsid w:val="00E56B59"/>
    <w:rsid w:val="00E6266E"/>
    <w:rsid w:val="00E62D29"/>
    <w:rsid w:val="00E64988"/>
    <w:rsid w:val="00E64A38"/>
    <w:rsid w:val="00E66FFF"/>
    <w:rsid w:val="00E719F6"/>
    <w:rsid w:val="00E725EE"/>
    <w:rsid w:val="00E72ACE"/>
    <w:rsid w:val="00E7345E"/>
    <w:rsid w:val="00E756AC"/>
    <w:rsid w:val="00E76930"/>
    <w:rsid w:val="00E8168D"/>
    <w:rsid w:val="00E8381A"/>
    <w:rsid w:val="00E847F2"/>
    <w:rsid w:val="00E87596"/>
    <w:rsid w:val="00E87794"/>
    <w:rsid w:val="00E9480E"/>
    <w:rsid w:val="00E96422"/>
    <w:rsid w:val="00E97B21"/>
    <w:rsid w:val="00EA5A59"/>
    <w:rsid w:val="00EA62F1"/>
    <w:rsid w:val="00EA6693"/>
    <w:rsid w:val="00EB331D"/>
    <w:rsid w:val="00EB34E7"/>
    <w:rsid w:val="00EB3D8F"/>
    <w:rsid w:val="00EC3B89"/>
    <w:rsid w:val="00EC634C"/>
    <w:rsid w:val="00ED0FE3"/>
    <w:rsid w:val="00ED1DBA"/>
    <w:rsid w:val="00ED2910"/>
    <w:rsid w:val="00ED3F7E"/>
    <w:rsid w:val="00ED4715"/>
    <w:rsid w:val="00ED47DC"/>
    <w:rsid w:val="00ED7ACF"/>
    <w:rsid w:val="00EE3B97"/>
    <w:rsid w:val="00EF02BC"/>
    <w:rsid w:val="00EF2CA6"/>
    <w:rsid w:val="00EF4EAB"/>
    <w:rsid w:val="00EF5B40"/>
    <w:rsid w:val="00EF7502"/>
    <w:rsid w:val="00F00432"/>
    <w:rsid w:val="00F02034"/>
    <w:rsid w:val="00F03884"/>
    <w:rsid w:val="00F03E21"/>
    <w:rsid w:val="00F0411C"/>
    <w:rsid w:val="00F07342"/>
    <w:rsid w:val="00F117B1"/>
    <w:rsid w:val="00F128A4"/>
    <w:rsid w:val="00F134F9"/>
    <w:rsid w:val="00F21D1D"/>
    <w:rsid w:val="00F232CF"/>
    <w:rsid w:val="00F2461C"/>
    <w:rsid w:val="00F24C62"/>
    <w:rsid w:val="00F24FC8"/>
    <w:rsid w:val="00F26D0F"/>
    <w:rsid w:val="00F331F0"/>
    <w:rsid w:val="00F34138"/>
    <w:rsid w:val="00F35E57"/>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564C"/>
    <w:rsid w:val="00F710C6"/>
    <w:rsid w:val="00F722BD"/>
    <w:rsid w:val="00F72873"/>
    <w:rsid w:val="00F73620"/>
    <w:rsid w:val="00F758ED"/>
    <w:rsid w:val="00F81854"/>
    <w:rsid w:val="00F87415"/>
    <w:rsid w:val="00F91CF0"/>
    <w:rsid w:val="00F9481A"/>
    <w:rsid w:val="00F956D1"/>
    <w:rsid w:val="00F9687F"/>
    <w:rsid w:val="00F97F15"/>
    <w:rsid w:val="00FA08DE"/>
    <w:rsid w:val="00FA0CF5"/>
    <w:rsid w:val="00FA2D9D"/>
    <w:rsid w:val="00FA2E6B"/>
    <w:rsid w:val="00FA770D"/>
    <w:rsid w:val="00FA77B7"/>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D6DBA"/>
    <w:rsid w:val="00FE2B90"/>
    <w:rsid w:val="00FF0A4E"/>
    <w:rsid w:val="00FF14A6"/>
    <w:rsid w:val="00FF37A3"/>
    <w:rsid w:val="00FF3F9C"/>
    <w:rsid w:val="00FF63A1"/>
    <w:rsid w:val="00FF6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styleId="Revisin">
    <w:name w:val="Revision"/>
    <w:hidden/>
    <w:uiPriority w:val="99"/>
    <w:semiHidden/>
    <w:rsid w:val="003C2BDE"/>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5911</TotalTime>
  <Pages>11</Pages>
  <Words>3741</Words>
  <Characters>20580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797</cp:revision>
  <cp:lastPrinted>2020-03-17T17:42:00Z</cp:lastPrinted>
  <dcterms:created xsi:type="dcterms:W3CDTF">2020-03-17T17:21:00Z</dcterms:created>
  <dcterms:modified xsi:type="dcterms:W3CDTF">2020-09-09T22:31:00Z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