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A0" w:rsidRPr="00FB65A0" w:rsidRDefault="00FB65A0" w:rsidP="00FB65A0">
      <w:pPr>
        <w:spacing w:after="0" w:line="240" w:lineRule="auto"/>
        <w:jc w:val="right"/>
        <w:rPr>
          <w:rFonts w:ascii="Arial" w:eastAsia="Times New Roman" w:hAnsi="Arial" w:cs="Arial"/>
          <w:b/>
          <w:color w:val="000000" w:themeColor="text1"/>
          <w:sz w:val="16"/>
          <w:szCs w:val="16"/>
          <w:lang w:val="es-ES" w:eastAsia="es-ES"/>
        </w:rPr>
      </w:pPr>
      <w:bookmarkStart w:id="0" w:name="_Hlk28946138"/>
      <w:bookmarkStart w:id="1" w:name="_Hlk29548183"/>
      <w:r w:rsidRPr="00FB65A0">
        <w:rPr>
          <w:rFonts w:ascii="Arial" w:eastAsia="Times New Roman" w:hAnsi="Arial" w:cs="Arial"/>
          <w:b/>
          <w:color w:val="000000" w:themeColor="text1"/>
          <w:sz w:val="16"/>
          <w:szCs w:val="16"/>
          <w:lang w:val="es-ES" w:eastAsia="es-ES"/>
        </w:rPr>
        <w:tab/>
        <w:t>CCE-DES-FM-17</w:t>
      </w:r>
    </w:p>
    <w:p w:rsidR="00FB65A0" w:rsidRPr="00FB65A0" w:rsidRDefault="00FB65A0" w:rsidP="00FB65A0">
      <w:pPr>
        <w:spacing w:after="0" w:line="240" w:lineRule="auto"/>
        <w:jc w:val="both"/>
        <w:rPr>
          <w:rFonts w:ascii="Arial" w:eastAsia="Calibri" w:hAnsi="Arial" w:cs="Arial"/>
          <w:b/>
          <w:bCs/>
          <w:color w:val="000000" w:themeColor="text1"/>
          <w:lang w:val="es-ES"/>
        </w:rPr>
      </w:pPr>
    </w:p>
    <w:p w:rsidR="00FB65A0" w:rsidRPr="00FB65A0" w:rsidRDefault="00FB65A0" w:rsidP="00FB65A0">
      <w:pPr>
        <w:spacing w:after="0" w:line="240" w:lineRule="auto"/>
        <w:jc w:val="both"/>
        <w:rPr>
          <w:rFonts w:ascii="Arial" w:eastAsia="Calibri" w:hAnsi="Arial" w:cs="Arial"/>
          <w:b/>
          <w:bCs/>
          <w:color w:val="000000" w:themeColor="text1"/>
          <w:lang w:val="es-ES"/>
        </w:rPr>
      </w:pPr>
      <w:r w:rsidRPr="00FB65A0">
        <w:rPr>
          <w:rFonts w:ascii="Arial" w:eastAsia="Calibri" w:hAnsi="Arial" w:cs="Arial"/>
          <w:b/>
          <w:bCs/>
          <w:color w:val="000000" w:themeColor="text1"/>
          <w:lang w:val="es-ES"/>
        </w:rPr>
        <w:t xml:space="preserve">CONTRATACIÓN ESTATAL – Políticas horizontales </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 xml:space="preserve">Estas finalidades reciben diferentes nombres en los diversos contextos en los que son utilizadas, algunos recurren al nombre de políticas secundarias, finalidades paralelas, o políticas colaterales u horizontales en materia de </w:t>
      </w:r>
      <w:proofErr w:type="gramStart"/>
      <w:r w:rsidRPr="00FB65A0">
        <w:rPr>
          <w:rFonts w:ascii="Arial" w:eastAsia="Calibri" w:hAnsi="Arial" w:cs="Arial"/>
          <w:bCs/>
          <w:color w:val="000000" w:themeColor="text1"/>
          <w:sz w:val="20"/>
          <w:szCs w:val="20"/>
          <w:lang w:val="es-ES"/>
        </w:rPr>
        <w:t>contratación .</w:t>
      </w:r>
      <w:proofErr w:type="gramEnd"/>
      <w:r w:rsidRPr="00FB65A0">
        <w:rPr>
          <w:rFonts w:ascii="Arial" w:eastAsia="Calibri" w:hAnsi="Arial" w:cs="Arial"/>
          <w:bCs/>
          <w:color w:val="000000" w:themeColor="text1"/>
          <w:sz w:val="20"/>
          <w:szCs w:val="20"/>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
          <w:bCs/>
          <w:color w:val="000000" w:themeColor="text1"/>
          <w:lang w:val="es-ES"/>
        </w:rPr>
      </w:pPr>
      <w:r w:rsidRPr="00FB65A0">
        <w:rPr>
          <w:rFonts w:ascii="Arial" w:eastAsia="Calibri" w:hAnsi="Arial" w:cs="Arial"/>
          <w:b/>
          <w:bCs/>
          <w:color w:val="000000" w:themeColor="text1"/>
          <w:lang w:val="es-ES"/>
        </w:rPr>
        <w:t xml:space="preserve">CONTRATACIÓN ESTATAL – Políticas horizontales – Incentivos contractuales </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
          <w:bCs/>
          <w:color w:val="000000" w:themeColor="text1"/>
          <w:lang w:val="es-ES"/>
        </w:rPr>
      </w:pPr>
      <w:r w:rsidRPr="00FB65A0">
        <w:rPr>
          <w:rFonts w:ascii="Arial" w:eastAsia="Calibri" w:hAnsi="Arial" w:cs="Arial"/>
          <w:b/>
          <w:bCs/>
          <w:color w:val="000000" w:themeColor="text1"/>
          <w:lang w:val="es-ES"/>
        </w:rPr>
        <w:t>INCENTIVOS CONTRACTUALES – Empleabilidad de adultos mayores – Política horizontal – Criterio de desempate – Ley 2040 de 2020</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r w:rsidRPr="00FB65A0">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FB65A0" w:rsidRPr="00FB65A0" w:rsidRDefault="00FB65A0" w:rsidP="00FB65A0">
      <w:pPr>
        <w:spacing w:after="0" w:line="240" w:lineRule="auto"/>
        <w:jc w:val="both"/>
        <w:rPr>
          <w:rFonts w:ascii="Arial" w:eastAsia="Calibri" w:hAnsi="Arial" w:cs="Arial"/>
          <w:b/>
          <w:bCs/>
          <w:color w:val="000000" w:themeColor="text1"/>
          <w:lang w:val="es-ES"/>
        </w:rPr>
      </w:pPr>
      <w:r w:rsidRPr="00FB65A0">
        <w:rPr>
          <w:rFonts w:ascii="Arial" w:eastAsia="Calibri" w:hAnsi="Arial" w:cs="Arial"/>
          <w:b/>
          <w:bCs/>
          <w:color w:val="000000" w:themeColor="text1"/>
          <w:lang w:val="es-ES"/>
        </w:rPr>
        <w:t>INCENTIVOS CONTRACTUALES – Empleabilidad de adultos mayores – Criterio de desempate – Necesidad del reglamento</w:t>
      </w:r>
    </w:p>
    <w:p w:rsidR="00FB65A0" w:rsidRPr="00FB65A0" w:rsidRDefault="00FB65A0" w:rsidP="00FB65A0">
      <w:pPr>
        <w:spacing w:after="0" w:line="240" w:lineRule="auto"/>
        <w:jc w:val="both"/>
        <w:rPr>
          <w:rFonts w:ascii="Arial" w:eastAsia="Calibri" w:hAnsi="Arial" w:cs="Arial"/>
          <w:bCs/>
          <w:color w:val="000000" w:themeColor="text1"/>
          <w:sz w:val="20"/>
          <w:szCs w:val="20"/>
          <w:lang w:val="es-ES"/>
        </w:rPr>
      </w:pPr>
    </w:p>
    <w:p w:rsidR="00D57013" w:rsidRPr="00D57013" w:rsidRDefault="00D57013" w:rsidP="00D57013">
      <w:pPr>
        <w:spacing w:after="0" w:line="240" w:lineRule="auto"/>
        <w:rPr>
          <w:rFonts w:ascii="Arial" w:eastAsia="Calibri" w:hAnsi="Arial" w:cs="Arial"/>
          <w:bCs/>
          <w:color w:val="000000" w:themeColor="text1"/>
          <w:sz w:val="20"/>
          <w:szCs w:val="20"/>
          <w:lang w:val="es-ES"/>
        </w:rPr>
      </w:pPr>
      <w:r w:rsidRPr="00D57013">
        <w:rPr>
          <w:rFonts w:ascii="Arial" w:eastAsia="Calibri" w:hAnsi="Arial" w:cs="Arial"/>
          <w:bCs/>
          <w:color w:val="000000" w:themeColor="text1"/>
          <w:sz w:val="20"/>
          <w:szCs w:val="20"/>
          <w:lang w:val="es-ES"/>
        </w:rPr>
        <w:t xml:space="preserve">El criterio de desempate creado es una «estrategias para la promoción del empleo de personas mayores», y requiere reglamentación previa para establecer qué tipo de actividades y oficios pueden </w:t>
      </w:r>
      <w:r w:rsidRPr="00D57013">
        <w:rPr>
          <w:rFonts w:ascii="Arial" w:eastAsia="Calibri" w:hAnsi="Arial" w:cs="Arial"/>
          <w:bCs/>
          <w:color w:val="000000" w:themeColor="text1"/>
          <w:sz w:val="20"/>
          <w:szCs w:val="20"/>
          <w:lang w:val="es-ES"/>
        </w:rPr>
        <w:lastRenderedPageBreak/>
        <w:t>desempeñar los adultos mayores, y otorga un derecho especial para las empresas que se acogen a esa Ley, por lo que, según el literal del artículo 4, debe ser objeto de reglamentación por el Gobierno Nacional en un término no mayor a 6 meses.</w:t>
      </w:r>
    </w:p>
    <w:p w:rsidR="00FB65A0" w:rsidRPr="00FB65A0" w:rsidRDefault="00FB65A0" w:rsidP="00FB65A0">
      <w:pPr>
        <w:spacing w:after="0" w:line="240" w:lineRule="auto"/>
        <w:rPr>
          <w:rFonts w:ascii="Arial" w:eastAsia="Times New Roman" w:hAnsi="Arial" w:cs="Arial"/>
          <w:color w:val="000000" w:themeColor="text1"/>
          <w:szCs w:val="24"/>
          <w:lang w:val="es-ES"/>
        </w:rPr>
      </w:pPr>
    </w:p>
    <w:p w:rsidR="00FB65A0" w:rsidRPr="00FB65A0" w:rsidRDefault="00FB65A0" w:rsidP="00FB65A0">
      <w:pPr>
        <w:spacing w:after="0" w:line="240" w:lineRule="auto"/>
        <w:rPr>
          <w:rFonts w:ascii="Arial" w:eastAsia="Times New Roman" w:hAnsi="Arial" w:cs="Arial"/>
          <w:color w:val="000000" w:themeColor="text1"/>
          <w:szCs w:val="24"/>
          <w:lang w:val="es-ES"/>
        </w:rPr>
      </w:pPr>
    </w:p>
    <w:p w:rsidR="00FB65A0" w:rsidRPr="00FB65A0" w:rsidRDefault="00FB65A0" w:rsidP="00FB65A0">
      <w:pPr>
        <w:spacing w:after="0" w:line="240" w:lineRule="auto"/>
        <w:rPr>
          <w:rFonts w:ascii="Arial" w:eastAsia="Times New Roman" w:hAnsi="Arial" w:cs="Arial"/>
          <w:b/>
          <w:bCs/>
          <w:color w:val="000000" w:themeColor="text1"/>
          <w:szCs w:val="24"/>
          <w:lang w:val="es-ES"/>
        </w:rPr>
      </w:pPr>
      <w:r w:rsidRPr="00FB65A0">
        <w:rPr>
          <w:rFonts w:ascii="Arial" w:eastAsia="Times New Roman" w:hAnsi="Arial" w:cs="Arial"/>
          <w:color w:val="000000" w:themeColor="text1"/>
          <w:szCs w:val="24"/>
          <w:lang w:val="es-ES"/>
        </w:rPr>
        <w:t xml:space="preserve">Bogotá D.C., </w:t>
      </w:r>
      <w:r w:rsidR="000E4EE5" w:rsidRPr="000E4EE5">
        <w:rPr>
          <w:rFonts w:ascii="Arial" w:eastAsia="Times New Roman" w:hAnsi="Arial" w:cs="Arial"/>
          <w:b/>
          <w:color w:val="000000" w:themeColor="text1"/>
          <w:szCs w:val="24"/>
        </w:rPr>
        <w:t>26/08/2020 Hora 21:6:33s</w:t>
      </w:r>
    </w:p>
    <w:p w:rsidR="00FB65A0" w:rsidRPr="00FB65A0" w:rsidRDefault="000E4EE5" w:rsidP="00FB65A0">
      <w:pPr>
        <w:spacing w:after="0" w:line="240" w:lineRule="auto"/>
        <w:jc w:val="right"/>
        <w:rPr>
          <w:rFonts w:ascii="Arial" w:eastAsia="Calibri" w:hAnsi="Arial" w:cs="Arial"/>
          <w:color w:val="000000" w:themeColor="text1"/>
          <w:szCs w:val="24"/>
          <w:lang w:val="es-ES"/>
        </w:rPr>
      </w:pPr>
      <w:r>
        <w:rPr>
          <w:rFonts w:ascii="Arial" w:eastAsia="Times New Roman" w:hAnsi="Arial" w:cs="Arial"/>
          <w:b/>
          <w:bCs/>
          <w:color w:val="000000" w:themeColor="text1"/>
          <w:szCs w:val="24"/>
          <w:lang w:val="es-ES"/>
        </w:rPr>
        <w:t xml:space="preserve">N° Radicado: </w:t>
      </w:r>
      <w:r w:rsidRPr="000E4EE5">
        <w:rPr>
          <w:rFonts w:ascii="Arial" w:eastAsia="Times New Roman" w:hAnsi="Arial" w:cs="Arial"/>
          <w:b/>
          <w:bCs/>
          <w:color w:val="000000" w:themeColor="text1"/>
          <w:szCs w:val="24"/>
        </w:rPr>
        <w:t>2202013000008009</w:t>
      </w:r>
    </w:p>
    <w:p w:rsidR="00FB65A0" w:rsidRPr="00FB65A0" w:rsidRDefault="00FB65A0" w:rsidP="00FB65A0">
      <w:pPr>
        <w:spacing w:after="0" w:line="240" w:lineRule="auto"/>
        <w:rPr>
          <w:rFonts w:ascii="Arial" w:eastAsia="Calibri" w:hAnsi="Arial" w:cs="Arial"/>
          <w:color w:val="000000" w:themeColor="text1"/>
          <w:szCs w:val="24"/>
          <w:lang w:val="es-ES"/>
        </w:rPr>
      </w:pPr>
    </w:p>
    <w:p w:rsidR="00FB65A0" w:rsidRPr="00FB65A0" w:rsidRDefault="00FB65A0" w:rsidP="00FB65A0">
      <w:pPr>
        <w:spacing w:after="0" w:line="240" w:lineRule="auto"/>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Señor</w:t>
      </w:r>
    </w:p>
    <w:p w:rsidR="00FB65A0" w:rsidRPr="00FB65A0" w:rsidRDefault="00FB65A0" w:rsidP="00FB65A0">
      <w:pPr>
        <w:spacing w:after="0" w:line="240" w:lineRule="auto"/>
        <w:rPr>
          <w:rFonts w:ascii="Arial" w:eastAsia="Calibri" w:hAnsi="Arial" w:cs="Arial"/>
          <w:b/>
          <w:color w:val="000000" w:themeColor="text1"/>
          <w:szCs w:val="24"/>
          <w:lang w:val="es-ES"/>
        </w:rPr>
      </w:pPr>
      <w:r>
        <w:rPr>
          <w:rFonts w:ascii="Arial" w:eastAsia="Calibri" w:hAnsi="Arial" w:cs="Arial"/>
          <w:b/>
          <w:color w:val="000000" w:themeColor="text1"/>
          <w:szCs w:val="24"/>
          <w:lang w:val="es-ES"/>
        </w:rPr>
        <w:t xml:space="preserve">Martín Elías Salcedo </w:t>
      </w:r>
      <w:r w:rsidRPr="00FB65A0">
        <w:rPr>
          <w:rFonts w:ascii="Arial" w:eastAsia="Calibri" w:hAnsi="Arial" w:cs="Arial"/>
          <w:b/>
          <w:color w:val="000000" w:themeColor="text1"/>
          <w:szCs w:val="24"/>
          <w:lang w:val="es-ES"/>
        </w:rPr>
        <w:t xml:space="preserve"> </w:t>
      </w:r>
    </w:p>
    <w:p w:rsidR="00FB65A0" w:rsidRPr="00FB65A0" w:rsidRDefault="00FB65A0" w:rsidP="00FB65A0">
      <w:pPr>
        <w:spacing w:after="0" w:line="240" w:lineRule="auto"/>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Bogotá, Cundinamarca </w:t>
      </w:r>
    </w:p>
    <w:p w:rsidR="00FB65A0" w:rsidRPr="00FB65A0" w:rsidRDefault="00FB65A0" w:rsidP="00FB65A0">
      <w:pPr>
        <w:spacing w:after="0" w:line="240" w:lineRule="auto"/>
        <w:rPr>
          <w:rFonts w:ascii="Arial" w:eastAsia="Calibri" w:hAnsi="Arial" w:cs="Arial"/>
          <w:color w:val="000000" w:themeColor="text1"/>
          <w:szCs w:val="24"/>
          <w:lang w:val="es-ES"/>
        </w:rPr>
      </w:pPr>
    </w:p>
    <w:p w:rsidR="00FB65A0" w:rsidRPr="00FB65A0" w:rsidRDefault="00FB65A0" w:rsidP="00FB65A0">
      <w:pPr>
        <w:spacing w:after="0" w:line="240" w:lineRule="auto"/>
        <w:rPr>
          <w:rFonts w:ascii="Arial" w:eastAsia="Calibri" w:hAnsi="Arial" w:cs="Arial"/>
          <w:color w:val="000000" w:themeColor="text1"/>
          <w:szCs w:val="24"/>
          <w:lang w:val="es-ES"/>
        </w:rPr>
      </w:pPr>
    </w:p>
    <w:p w:rsidR="00FB65A0" w:rsidRPr="00FB65A0" w:rsidRDefault="00FB65A0" w:rsidP="00FB65A0">
      <w:pPr>
        <w:spacing w:after="0" w:line="240" w:lineRule="auto"/>
        <w:ind w:firstLine="2694"/>
        <w:rPr>
          <w:rFonts w:ascii="Arial" w:eastAsia="Calibri" w:hAnsi="Arial" w:cs="Arial"/>
          <w:b/>
          <w:color w:val="000000" w:themeColor="text1"/>
          <w:szCs w:val="24"/>
          <w:lang w:val="es-ES"/>
        </w:rPr>
      </w:pPr>
      <w:r w:rsidRPr="00FB65A0">
        <w:rPr>
          <w:rFonts w:ascii="Arial" w:eastAsia="Calibri" w:hAnsi="Arial" w:cs="Arial"/>
          <w:b/>
          <w:color w:val="000000" w:themeColor="text1"/>
          <w:szCs w:val="24"/>
          <w:lang w:val="es-ES"/>
        </w:rPr>
        <w:t>Concepto C ─</w:t>
      </w:r>
      <w:r>
        <w:rPr>
          <w:rFonts w:ascii="Arial" w:eastAsia="Calibri" w:hAnsi="Arial" w:cs="Arial"/>
          <w:b/>
          <w:color w:val="000000" w:themeColor="text1"/>
          <w:szCs w:val="24"/>
          <w:lang w:val="es-ES"/>
        </w:rPr>
        <w:t xml:space="preserve"> </w:t>
      </w:r>
      <w:r w:rsidR="00005585">
        <w:rPr>
          <w:rFonts w:ascii="Arial" w:eastAsia="Calibri" w:hAnsi="Arial" w:cs="Arial"/>
          <w:b/>
          <w:color w:val="000000" w:themeColor="text1"/>
          <w:szCs w:val="24"/>
          <w:lang w:val="es-ES"/>
        </w:rPr>
        <w:t>537</w:t>
      </w:r>
      <w:r w:rsidRPr="00FB65A0">
        <w:rPr>
          <w:rFonts w:ascii="Arial" w:eastAsia="Calibri" w:hAnsi="Arial" w:cs="Arial"/>
          <w:b/>
          <w:color w:val="000000" w:themeColor="text1"/>
          <w:szCs w:val="24"/>
          <w:lang w:val="es-ES"/>
        </w:rPr>
        <w:t xml:space="preserve"> de 2020</w:t>
      </w:r>
    </w:p>
    <w:p w:rsidR="00FB65A0" w:rsidRPr="00FB65A0" w:rsidRDefault="00FB65A0" w:rsidP="00FB65A0">
      <w:pPr>
        <w:spacing w:after="0" w:line="240" w:lineRule="auto"/>
        <w:rPr>
          <w:rFonts w:ascii="Arial" w:eastAsia="Calibri" w:hAnsi="Arial" w:cs="Arial"/>
          <w:color w:val="000000" w:themeColor="text1"/>
          <w:szCs w:val="24"/>
          <w:lang w:val="es-ES"/>
        </w:rPr>
      </w:pPr>
    </w:p>
    <w:p w:rsidR="00FB65A0" w:rsidRPr="00FB65A0" w:rsidRDefault="00FB65A0" w:rsidP="00FB65A0">
      <w:pPr>
        <w:spacing w:after="0" w:line="240" w:lineRule="auto"/>
        <w:rPr>
          <w:rFonts w:ascii="Arial" w:eastAsia="Calibri" w:hAnsi="Arial" w:cs="Arial"/>
          <w:color w:val="000000" w:themeColor="text1"/>
          <w:szCs w:val="24"/>
          <w:lang w:val="es-ES"/>
        </w:rPr>
      </w:pPr>
      <w:bookmarkStart w:id="2" w:name="_GoBack"/>
      <w:bookmarkEnd w:id="2"/>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B65A0" w:rsidRPr="00FB65A0" w:rsidTr="002D21B8">
        <w:tc>
          <w:tcPr>
            <w:tcW w:w="2689" w:type="dxa"/>
            <w:hideMark/>
          </w:tcPr>
          <w:p w:rsidR="00FB65A0" w:rsidRPr="00FB65A0" w:rsidRDefault="00FB65A0" w:rsidP="00FB65A0">
            <w:pPr>
              <w:rPr>
                <w:rFonts w:ascii="Arial" w:eastAsia="Calibri" w:hAnsi="Arial" w:cs="Arial"/>
                <w:color w:val="000000" w:themeColor="text1"/>
                <w:szCs w:val="24"/>
                <w:lang w:val="es-ES"/>
              </w:rPr>
            </w:pPr>
            <w:r w:rsidRPr="00FB65A0">
              <w:rPr>
                <w:rFonts w:ascii="Arial" w:eastAsia="Calibri" w:hAnsi="Arial" w:cs="Arial"/>
                <w:b/>
                <w:color w:val="000000" w:themeColor="text1"/>
                <w:szCs w:val="24"/>
                <w:lang w:val="es-ES"/>
              </w:rPr>
              <w:t>Temas:</w:t>
            </w:r>
            <w:r w:rsidRPr="00FB65A0">
              <w:rPr>
                <w:rFonts w:ascii="Arial" w:eastAsia="Calibri" w:hAnsi="Arial" w:cs="Arial"/>
                <w:color w:val="000000" w:themeColor="text1"/>
                <w:szCs w:val="24"/>
                <w:lang w:val="es-ES"/>
              </w:rPr>
              <w:t xml:space="preserve">           </w:t>
            </w:r>
          </w:p>
          <w:p w:rsidR="00FB65A0" w:rsidRPr="00FB65A0" w:rsidRDefault="00FB65A0" w:rsidP="00FB65A0">
            <w:pPr>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                           </w:t>
            </w:r>
          </w:p>
        </w:tc>
        <w:tc>
          <w:tcPr>
            <w:tcW w:w="6237" w:type="dxa"/>
            <w:hideMark/>
          </w:tcPr>
          <w:p w:rsidR="00FB65A0" w:rsidRPr="00FB65A0" w:rsidRDefault="00FB65A0" w:rsidP="00FB65A0">
            <w:pPr>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p w:rsidR="00FB65A0" w:rsidRPr="00FB65A0" w:rsidRDefault="00FB65A0" w:rsidP="00FB65A0">
            <w:pPr>
              <w:jc w:val="both"/>
              <w:rPr>
                <w:rFonts w:ascii="Arial" w:eastAsia="Calibri" w:hAnsi="Arial" w:cs="Arial"/>
                <w:color w:val="000000" w:themeColor="text1"/>
                <w:szCs w:val="24"/>
                <w:lang w:val="es-ES"/>
              </w:rPr>
            </w:pPr>
          </w:p>
          <w:p w:rsidR="00FB65A0" w:rsidRPr="00FB65A0" w:rsidRDefault="00FB65A0" w:rsidP="00FB65A0">
            <w:pPr>
              <w:jc w:val="both"/>
              <w:rPr>
                <w:rFonts w:ascii="Arial" w:eastAsia="Calibri" w:hAnsi="Arial" w:cs="Arial"/>
                <w:color w:val="000000" w:themeColor="text1"/>
                <w:szCs w:val="24"/>
                <w:lang w:val="es-ES"/>
              </w:rPr>
            </w:pPr>
          </w:p>
        </w:tc>
      </w:tr>
      <w:tr w:rsidR="00FB65A0" w:rsidRPr="00FB65A0" w:rsidTr="002D21B8">
        <w:trPr>
          <w:trHeight w:val="95"/>
        </w:trPr>
        <w:tc>
          <w:tcPr>
            <w:tcW w:w="2689" w:type="dxa"/>
          </w:tcPr>
          <w:p w:rsidR="00FB65A0" w:rsidRPr="00FB65A0" w:rsidRDefault="00FB65A0" w:rsidP="00FB65A0">
            <w:pPr>
              <w:spacing w:before="60"/>
              <w:rPr>
                <w:rFonts w:ascii="Arial" w:eastAsia="Calibri" w:hAnsi="Arial" w:cs="Arial"/>
                <w:b/>
                <w:color w:val="000000" w:themeColor="text1"/>
                <w:szCs w:val="24"/>
                <w:lang w:val="es-ES"/>
              </w:rPr>
            </w:pPr>
            <w:r w:rsidRPr="00FB65A0">
              <w:rPr>
                <w:rFonts w:ascii="Arial" w:eastAsia="Calibri" w:hAnsi="Arial" w:cs="Arial"/>
                <w:b/>
                <w:color w:val="000000" w:themeColor="text1"/>
                <w:szCs w:val="24"/>
                <w:lang w:val="es-ES"/>
              </w:rPr>
              <w:t>Radicación:</w:t>
            </w:r>
            <w:r w:rsidRPr="00FB65A0">
              <w:rPr>
                <w:rFonts w:ascii="Arial" w:eastAsia="Calibri" w:hAnsi="Arial" w:cs="Arial"/>
                <w:color w:val="000000" w:themeColor="text1"/>
                <w:szCs w:val="24"/>
                <w:lang w:val="es-ES"/>
              </w:rPr>
              <w:t xml:space="preserve">                              </w:t>
            </w:r>
          </w:p>
        </w:tc>
        <w:tc>
          <w:tcPr>
            <w:tcW w:w="6237" w:type="dxa"/>
          </w:tcPr>
          <w:p w:rsidR="00FB65A0" w:rsidRPr="00FB65A0" w:rsidRDefault="000E4EE5" w:rsidP="00617D7D">
            <w:pPr>
              <w:spacing w:before="60"/>
              <w:jc w:val="both"/>
              <w:rPr>
                <w:rFonts w:ascii="Arial" w:eastAsia="Calibri" w:hAnsi="Arial" w:cs="Arial"/>
                <w:color w:val="000000" w:themeColor="text1"/>
                <w:szCs w:val="24"/>
                <w:lang w:val="es-ES"/>
              </w:rPr>
            </w:pPr>
            <w:r>
              <w:rPr>
                <w:rFonts w:ascii="Arial" w:eastAsia="Calibri" w:hAnsi="Arial" w:cs="Arial"/>
                <w:color w:val="000000" w:themeColor="text1"/>
                <w:szCs w:val="24"/>
                <w:lang w:val="es-ES"/>
              </w:rPr>
              <w:t>Respuesta a consulta # 4202012</w:t>
            </w:r>
            <w:r w:rsidR="00FB65A0" w:rsidRPr="00FB65A0">
              <w:rPr>
                <w:rFonts w:ascii="Arial" w:eastAsia="Calibri" w:hAnsi="Arial" w:cs="Arial"/>
                <w:color w:val="000000" w:themeColor="text1"/>
                <w:szCs w:val="24"/>
                <w:lang w:val="es-ES"/>
              </w:rPr>
              <w:t>000006</w:t>
            </w:r>
            <w:r>
              <w:rPr>
                <w:rFonts w:ascii="Arial" w:eastAsia="Calibri" w:hAnsi="Arial" w:cs="Arial"/>
                <w:color w:val="000000" w:themeColor="text1"/>
                <w:szCs w:val="24"/>
                <w:lang w:val="es-ES"/>
              </w:rPr>
              <w:t>684</w:t>
            </w:r>
          </w:p>
        </w:tc>
      </w:tr>
    </w:tbl>
    <w:p w:rsidR="00FB65A0" w:rsidRPr="00FB65A0" w:rsidRDefault="00FB65A0" w:rsidP="00FB65A0">
      <w:pPr>
        <w:spacing w:before="60" w:after="0" w:line="240" w:lineRule="auto"/>
        <w:jc w:val="both"/>
        <w:rPr>
          <w:rFonts w:ascii="Arial" w:eastAsia="Calibri" w:hAnsi="Arial" w:cs="Arial"/>
          <w:color w:val="000000" w:themeColor="text1"/>
          <w:szCs w:val="24"/>
          <w:lang w:val="es-ES"/>
        </w:rPr>
      </w:pPr>
    </w:p>
    <w:p w:rsidR="00FB65A0" w:rsidRPr="00FB65A0" w:rsidRDefault="00FB65A0" w:rsidP="00FB65A0">
      <w:pPr>
        <w:spacing w:after="0" w:line="240" w:lineRule="auto"/>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Estimad</w:t>
      </w:r>
      <w:r w:rsidR="00C323EB">
        <w:rPr>
          <w:rFonts w:ascii="Arial" w:eastAsia="Calibri" w:hAnsi="Arial" w:cs="Arial"/>
          <w:color w:val="000000" w:themeColor="text1"/>
          <w:szCs w:val="24"/>
          <w:lang w:val="es-ES"/>
        </w:rPr>
        <w:t>o</w:t>
      </w:r>
      <w:r w:rsidRPr="00FB65A0">
        <w:rPr>
          <w:rFonts w:ascii="Arial" w:eastAsia="Calibri" w:hAnsi="Arial" w:cs="Arial"/>
          <w:color w:val="000000" w:themeColor="text1"/>
          <w:szCs w:val="24"/>
          <w:lang w:val="es-ES"/>
        </w:rPr>
        <w:t xml:space="preserve"> señor</w:t>
      </w:r>
      <w:r>
        <w:rPr>
          <w:rFonts w:ascii="Arial" w:eastAsia="Calibri" w:hAnsi="Arial" w:cs="Arial"/>
          <w:color w:val="000000" w:themeColor="text1"/>
          <w:szCs w:val="24"/>
          <w:lang w:val="es-ES"/>
        </w:rPr>
        <w:t xml:space="preserve"> Salcedo</w:t>
      </w:r>
      <w:r w:rsidRPr="00FB65A0">
        <w:rPr>
          <w:rFonts w:ascii="Arial" w:eastAsia="Calibri" w:hAnsi="Arial" w:cs="Arial"/>
          <w:color w:val="000000" w:themeColor="text1"/>
          <w:szCs w:val="24"/>
          <w:lang w:val="es-ES"/>
        </w:rPr>
        <w:t>:</w:t>
      </w:r>
    </w:p>
    <w:p w:rsidR="00FB65A0" w:rsidRPr="00FB65A0" w:rsidRDefault="00FB65A0" w:rsidP="00FB65A0">
      <w:pPr>
        <w:spacing w:after="0" w:line="240" w:lineRule="auto"/>
        <w:rPr>
          <w:rFonts w:ascii="Arial" w:eastAsia="Calibri" w:hAnsi="Arial" w:cs="Arial"/>
          <w:color w:val="000000" w:themeColor="text1"/>
          <w:szCs w:val="24"/>
          <w:lang w:val="es-ES"/>
        </w:rPr>
      </w:pPr>
    </w:p>
    <w:p w:rsidR="00FB65A0" w:rsidRPr="00FB65A0" w:rsidRDefault="00FB65A0" w:rsidP="00FB65A0">
      <w:pPr>
        <w:spacing w:after="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Cs w:val="24"/>
          <w:lang w:val="es-ES"/>
        </w:rPr>
        <w:t>5 de agosto</w:t>
      </w:r>
      <w:r w:rsidRPr="00FB65A0">
        <w:rPr>
          <w:rFonts w:ascii="Arial" w:eastAsia="Calibri" w:hAnsi="Arial" w:cs="Arial"/>
          <w:color w:val="000000" w:themeColor="text1"/>
          <w:szCs w:val="24"/>
          <w:lang w:val="es-ES"/>
        </w:rPr>
        <w:t xml:space="preserve"> de 2020. </w:t>
      </w:r>
    </w:p>
    <w:p w:rsidR="00FB65A0" w:rsidRPr="00FB65A0" w:rsidRDefault="00FB65A0" w:rsidP="00FB65A0">
      <w:pPr>
        <w:spacing w:after="0" w:line="276" w:lineRule="auto"/>
        <w:jc w:val="both"/>
        <w:rPr>
          <w:rFonts w:ascii="Arial" w:eastAsia="Calibri" w:hAnsi="Arial" w:cs="Arial"/>
          <w:color w:val="000000" w:themeColor="text1"/>
          <w:szCs w:val="24"/>
          <w:lang w:val="es-ES"/>
        </w:rPr>
      </w:pPr>
    </w:p>
    <w:p w:rsidR="00FB65A0" w:rsidRPr="00FB65A0" w:rsidRDefault="00FB65A0" w:rsidP="004C213B">
      <w:pPr>
        <w:numPr>
          <w:ilvl w:val="0"/>
          <w:numId w:val="1"/>
        </w:numPr>
        <w:tabs>
          <w:tab w:val="left" w:pos="284"/>
        </w:tabs>
        <w:spacing w:after="0" w:line="276" w:lineRule="auto"/>
        <w:ind w:left="0" w:firstLine="0"/>
        <w:contextualSpacing/>
        <w:jc w:val="both"/>
        <w:rPr>
          <w:rFonts w:ascii="Arial" w:eastAsia="Calibri" w:hAnsi="Arial" w:cs="Arial"/>
          <w:b/>
          <w:color w:val="000000" w:themeColor="text1"/>
          <w:lang w:val="es-ES"/>
        </w:rPr>
      </w:pPr>
      <w:r w:rsidRPr="00FB65A0">
        <w:rPr>
          <w:rFonts w:ascii="Arial" w:eastAsia="Calibri" w:hAnsi="Arial" w:cs="Arial"/>
          <w:b/>
          <w:color w:val="000000" w:themeColor="text1"/>
          <w:lang w:val="es-ES"/>
        </w:rPr>
        <w:t xml:space="preserve">Problemas planteados </w:t>
      </w:r>
    </w:p>
    <w:p w:rsidR="00FB65A0" w:rsidRPr="00FB65A0" w:rsidRDefault="00FB65A0" w:rsidP="00FB65A0">
      <w:pPr>
        <w:tabs>
          <w:tab w:val="left" w:pos="426"/>
        </w:tabs>
        <w:spacing w:after="0" w:line="276" w:lineRule="auto"/>
        <w:jc w:val="both"/>
        <w:rPr>
          <w:rFonts w:ascii="Arial" w:eastAsia="Calibri" w:hAnsi="Arial" w:cs="Arial"/>
          <w:b/>
          <w:color w:val="000000" w:themeColor="text1"/>
          <w:szCs w:val="24"/>
          <w:lang w:val="es-ES"/>
        </w:rPr>
      </w:pPr>
    </w:p>
    <w:p w:rsidR="00FB65A0" w:rsidRPr="00FB65A0" w:rsidRDefault="00130F0D" w:rsidP="00FB65A0">
      <w:pPr>
        <w:tabs>
          <w:tab w:val="left" w:pos="426"/>
        </w:tabs>
        <w:spacing w:after="0" w:line="276" w:lineRule="auto"/>
        <w:jc w:val="both"/>
        <w:rPr>
          <w:rFonts w:ascii="Arial" w:eastAsia="Calibri" w:hAnsi="Arial" w:cs="Arial"/>
          <w:color w:val="000000" w:themeColor="text1"/>
          <w:szCs w:val="24"/>
          <w:lang w:val="es-ES"/>
        </w:rPr>
      </w:pPr>
      <w:r>
        <w:rPr>
          <w:rFonts w:ascii="Arial" w:eastAsia="Calibri" w:hAnsi="Arial" w:cs="Arial"/>
          <w:color w:val="000000" w:themeColor="text1"/>
          <w:szCs w:val="24"/>
          <w:lang w:val="es-ES"/>
        </w:rPr>
        <w:t xml:space="preserve">Usted formula lo siguiente: </w:t>
      </w:r>
      <w:r w:rsidR="00FB65A0" w:rsidRPr="00FB65A0">
        <w:rPr>
          <w:rFonts w:ascii="Arial" w:eastAsia="Calibri" w:hAnsi="Arial" w:cs="Arial"/>
          <w:color w:val="000000" w:themeColor="text1"/>
          <w:szCs w:val="24"/>
        </w:rPr>
        <w:t xml:space="preserve">Teniendo en cuenta lo dispuesto en </w:t>
      </w:r>
      <w:r w:rsidR="00FB65A0">
        <w:rPr>
          <w:rFonts w:ascii="Arial" w:eastAsia="Calibri" w:hAnsi="Arial" w:cs="Arial"/>
          <w:color w:val="000000" w:themeColor="text1"/>
          <w:szCs w:val="24"/>
        </w:rPr>
        <w:t xml:space="preserve">el </w:t>
      </w:r>
      <w:r w:rsidR="00FB65A0" w:rsidRPr="00FB65A0">
        <w:rPr>
          <w:rFonts w:ascii="Arial" w:eastAsia="Calibri" w:hAnsi="Arial" w:cs="Arial"/>
          <w:color w:val="000000" w:themeColor="text1"/>
          <w:szCs w:val="24"/>
        </w:rPr>
        <w:t xml:space="preserve">artículo 3 de Ley 2040 del 27/07/2020 por medio del cual se adiciona un parágrafo al artículo 12 Ley 1150 de 2007 se solicita </w:t>
      </w:r>
      <w:r>
        <w:rPr>
          <w:rFonts w:ascii="Arial" w:eastAsia="Calibri" w:hAnsi="Arial" w:cs="Arial"/>
          <w:color w:val="000000" w:themeColor="text1"/>
          <w:szCs w:val="24"/>
        </w:rPr>
        <w:t xml:space="preserve">precisar: </w:t>
      </w:r>
      <w:r w:rsidR="00CC7D50" w:rsidRPr="00CC7D50">
        <w:rPr>
          <w:rFonts w:ascii="Arial" w:eastAsia="Calibri" w:hAnsi="Arial" w:cs="Arial"/>
          <w:color w:val="000000" w:themeColor="text1"/>
          <w:szCs w:val="24"/>
        </w:rPr>
        <w:t>«</w:t>
      </w:r>
      <w:r w:rsidRPr="00CC7D50">
        <w:rPr>
          <w:rFonts w:ascii="Arial" w:eastAsia="Calibri" w:hAnsi="Arial" w:cs="Arial"/>
          <w:color w:val="000000" w:themeColor="text1"/>
          <w:szCs w:val="24"/>
        </w:rPr>
        <w:t>i) ¿</w:t>
      </w:r>
      <w:r w:rsidR="00590358" w:rsidRPr="00CC7D50">
        <w:rPr>
          <w:rFonts w:ascii="Arial" w:eastAsia="Calibri" w:hAnsi="Arial" w:cs="Arial"/>
          <w:color w:val="000000" w:themeColor="text1"/>
          <w:szCs w:val="24"/>
        </w:rPr>
        <w:t>c</w:t>
      </w:r>
      <w:r w:rsidRPr="00CC7D50">
        <w:rPr>
          <w:rFonts w:ascii="Arial" w:eastAsia="Calibri" w:hAnsi="Arial" w:cs="Arial"/>
          <w:color w:val="000000" w:themeColor="text1"/>
          <w:szCs w:val="24"/>
        </w:rPr>
        <w:t>ómo</w:t>
      </w:r>
      <w:r w:rsidR="00FB65A0" w:rsidRPr="00CC7D50">
        <w:rPr>
          <w:rFonts w:ascii="Arial" w:eastAsia="Calibri" w:hAnsi="Arial" w:cs="Arial"/>
          <w:color w:val="000000" w:themeColor="text1"/>
          <w:szCs w:val="24"/>
        </w:rPr>
        <w:t xml:space="preserve"> queda el artículo 2.2.</w:t>
      </w:r>
      <w:r w:rsidRPr="00CC7D50">
        <w:rPr>
          <w:rFonts w:ascii="Arial" w:eastAsia="Calibri" w:hAnsi="Arial" w:cs="Arial"/>
          <w:color w:val="000000" w:themeColor="text1"/>
          <w:szCs w:val="24"/>
        </w:rPr>
        <w:t>1.1.2.2.9 Decreto 1082 de 2015, sobre factores de desempate?, ii) ¿</w:t>
      </w:r>
      <w:r w:rsidR="00590358" w:rsidRPr="00CC7D50">
        <w:rPr>
          <w:rFonts w:ascii="Arial" w:eastAsia="Calibri" w:hAnsi="Arial" w:cs="Arial"/>
          <w:color w:val="000000" w:themeColor="text1"/>
          <w:szCs w:val="24"/>
        </w:rPr>
        <w:t>c</w:t>
      </w:r>
      <w:r w:rsidRPr="00CC7D50">
        <w:rPr>
          <w:rFonts w:ascii="Arial" w:eastAsia="Calibri" w:hAnsi="Arial" w:cs="Arial"/>
          <w:color w:val="000000" w:themeColor="text1"/>
          <w:szCs w:val="24"/>
        </w:rPr>
        <w:t>uál sería el criterio de desempate inicial ?, iii) ¿</w:t>
      </w:r>
      <w:r w:rsidR="00590358" w:rsidRPr="00CC7D50">
        <w:rPr>
          <w:rFonts w:ascii="Arial" w:eastAsia="Calibri" w:hAnsi="Arial" w:cs="Arial"/>
          <w:color w:val="000000" w:themeColor="text1"/>
          <w:szCs w:val="24"/>
        </w:rPr>
        <w:t>e</w:t>
      </w:r>
      <w:r w:rsidRPr="00CC7D50">
        <w:rPr>
          <w:rFonts w:ascii="Arial" w:eastAsia="Calibri" w:hAnsi="Arial" w:cs="Arial"/>
          <w:color w:val="000000" w:themeColor="text1"/>
          <w:szCs w:val="24"/>
        </w:rPr>
        <w:t>l establecido en Ley 2040 o el que indica que el oferente que tenga el mayor puntaje en el primero de los factores de escogencia o calificación?</w:t>
      </w:r>
      <w:r w:rsidR="00CC7D50" w:rsidRPr="00CC7D50">
        <w:rPr>
          <w:rFonts w:ascii="Arial" w:eastAsia="Calibri" w:hAnsi="Arial" w:cs="Arial"/>
          <w:color w:val="000000" w:themeColor="text1"/>
          <w:szCs w:val="24"/>
        </w:rPr>
        <w:t>»</w:t>
      </w:r>
    </w:p>
    <w:p w:rsidR="00FB65A0" w:rsidRPr="00FB65A0" w:rsidRDefault="00FB65A0" w:rsidP="00FB65A0">
      <w:pPr>
        <w:tabs>
          <w:tab w:val="left" w:pos="426"/>
        </w:tabs>
        <w:spacing w:after="0" w:line="276" w:lineRule="auto"/>
        <w:jc w:val="both"/>
        <w:rPr>
          <w:rFonts w:ascii="Arial" w:eastAsia="Calibri" w:hAnsi="Arial" w:cs="Arial"/>
          <w:color w:val="000000" w:themeColor="text1"/>
          <w:szCs w:val="24"/>
          <w:lang w:val="es-ES"/>
        </w:rPr>
      </w:pPr>
    </w:p>
    <w:p w:rsidR="00FB65A0" w:rsidRPr="00FB65A0" w:rsidRDefault="00FB65A0" w:rsidP="00FB65A0">
      <w:pPr>
        <w:numPr>
          <w:ilvl w:val="0"/>
          <w:numId w:val="1"/>
        </w:numPr>
        <w:tabs>
          <w:tab w:val="left" w:pos="426"/>
        </w:tabs>
        <w:spacing w:after="0" w:line="276" w:lineRule="auto"/>
        <w:ind w:left="284" w:hanging="284"/>
        <w:contextualSpacing/>
        <w:jc w:val="both"/>
        <w:rPr>
          <w:rFonts w:ascii="Arial" w:eastAsia="Calibri" w:hAnsi="Arial" w:cs="Arial"/>
          <w:b/>
          <w:color w:val="000000" w:themeColor="text1"/>
          <w:lang w:val="es-ES"/>
        </w:rPr>
      </w:pPr>
      <w:r w:rsidRPr="00FB65A0">
        <w:rPr>
          <w:rFonts w:ascii="Arial" w:eastAsia="Calibri" w:hAnsi="Arial" w:cs="Arial"/>
          <w:b/>
          <w:color w:val="000000" w:themeColor="text1"/>
          <w:lang w:val="es-ES"/>
        </w:rPr>
        <w:t>Consideraciones</w:t>
      </w:r>
    </w:p>
    <w:p w:rsidR="00FB65A0" w:rsidRPr="00FB65A0" w:rsidRDefault="00FB65A0" w:rsidP="00FB65A0">
      <w:pPr>
        <w:tabs>
          <w:tab w:val="left" w:pos="426"/>
        </w:tabs>
        <w:spacing w:after="0" w:line="276" w:lineRule="auto"/>
        <w:jc w:val="both"/>
        <w:rPr>
          <w:rFonts w:ascii="Arial" w:eastAsia="Calibri" w:hAnsi="Arial" w:cs="Arial"/>
          <w:b/>
          <w:color w:val="000000" w:themeColor="text1"/>
          <w:szCs w:val="24"/>
          <w:lang w:val="es-ES"/>
        </w:rPr>
      </w:pPr>
    </w:p>
    <w:p w:rsidR="00FB65A0" w:rsidRPr="00FB65A0" w:rsidRDefault="00FB65A0" w:rsidP="00FB65A0">
      <w:pPr>
        <w:tabs>
          <w:tab w:val="left" w:pos="426"/>
        </w:tabs>
        <w:spacing w:after="12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lastRenderedPageBreak/>
        <w:t>Para resolver los interrogantes planteados 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rsidR="00FB65A0" w:rsidRPr="00FB65A0" w:rsidRDefault="00FB65A0" w:rsidP="00FB65A0">
      <w:pPr>
        <w:spacing w:after="120" w:line="276" w:lineRule="auto"/>
        <w:ind w:firstLine="708"/>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rsidR="00FB65A0" w:rsidRPr="00FB65A0" w:rsidRDefault="00FB65A0" w:rsidP="00FB65A0">
      <w:pPr>
        <w:spacing w:after="120" w:line="276" w:lineRule="auto"/>
        <w:ind w:firstLine="708"/>
        <w:jc w:val="both"/>
        <w:rPr>
          <w:rFonts w:ascii="Arial" w:eastAsia="Calibri" w:hAnsi="Arial" w:cs="Arial"/>
          <w:szCs w:val="24"/>
          <w:lang w:val="es-ES"/>
        </w:rPr>
      </w:pPr>
      <w:r w:rsidRPr="00FB65A0">
        <w:rPr>
          <w:rFonts w:ascii="Arial" w:eastAsia="Calibri" w:hAnsi="Arial" w:cs="Arial"/>
          <w:color w:val="000000" w:themeColor="text1"/>
          <w:szCs w:val="24"/>
          <w:lang w:val="es-ES"/>
        </w:rPr>
        <w:t xml:space="preserve">Asimismo, </w:t>
      </w:r>
      <w:r w:rsidRPr="00FB65A0">
        <w:rPr>
          <w:rFonts w:ascii="Arial" w:eastAsia="Calibri" w:hAnsi="Arial" w:cs="Arial"/>
          <w:bCs/>
          <w:szCs w:val="24"/>
          <w:lang w:val="es-ES"/>
        </w:rPr>
        <w:t xml:space="preserve">en el concepto con radicado No. 4201912000004631 del 31 de julio de 2019, reiterado y desarrollado en los conceptos No. </w:t>
      </w:r>
      <w:r w:rsidRPr="00FB65A0">
        <w:rPr>
          <w:rFonts w:ascii="Arial" w:eastAsia="Calibri" w:hAnsi="Arial" w:cs="Arial"/>
          <w:szCs w:val="24"/>
          <w:lang w:val="es-ES"/>
        </w:rPr>
        <w:t xml:space="preserve">4201913000005084 del 23 de julio de 2019, 4201913000004446 del 13 de agosto de 2019, 4201912000005689 del 16 de septiembre de 2019, </w:t>
      </w:r>
      <w:r w:rsidRPr="00FB65A0">
        <w:rPr>
          <w:rFonts w:ascii="Arial" w:eastAsia="Times New Roman" w:hAnsi="Arial" w:cs="Arial"/>
          <w:szCs w:val="24"/>
          <w:lang w:val="es-ES"/>
        </w:rPr>
        <w:t>4201913000006373 del 18 de septiembre de 2019,</w:t>
      </w:r>
      <w:r w:rsidRPr="00FB65A0">
        <w:rPr>
          <w:rFonts w:ascii="Arial" w:eastAsia="Calibri" w:hAnsi="Arial" w:cs="Arial"/>
          <w:szCs w:val="24"/>
          <w:lang w:val="es-ES"/>
        </w:rPr>
        <w:t xml:space="preserve"> 4201913000006154 del 10 de octubre de 2019, 4201912000006258 del 3 de octubre de 2019, </w:t>
      </w:r>
      <w:r w:rsidRPr="00FB65A0">
        <w:rPr>
          <w:rFonts w:ascii="Arial" w:eastAsia="Times New Roman" w:hAnsi="Arial" w:cs="Arial"/>
          <w:szCs w:val="24"/>
          <w:lang w:val="es-ES"/>
        </w:rPr>
        <w:t>4201912000007756 del 16 de noviembre de 2019,</w:t>
      </w:r>
      <w:r w:rsidRPr="00FB65A0">
        <w:rPr>
          <w:rFonts w:ascii="Arial" w:eastAsia="Calibri" w:hAnsi="Arial" w:cs="Arial"/>
          <w:szCs w:val="24"/>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rsidR="00FB65A0" w:rsidRPr="00FB65A0" w:rsidRDefault="00FB65A0" w:rsidP="00FB65A0">
      <w:pPr>
        <w:spacing w:after="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Por último, esta Agencia ha estudiado los incentivos en materia de Mipymes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FB65A0" w:rsidRPr="00FB65A0" w:rsidRDefault="00FB65A0" w:rsidP="00FB65A0">
      <w:pPr>
        <w:tabs>
          <w:tab w:val="left" w:pos="426"/>
        </w:tabs>
        <w:spacing w:after="0" w:line="276" w:lineRule="auto"/>
        <w:jc w:val="both"/>
        <w:rPr>
          <w:rFonts w:ascii="Arial" w:eastAsia="Calibri" w:hAnsi="Arial" w:cs="Arial"/>
          <w:b/>
          <w:color w:val="000000" w:themeColor="text1"/>
          <w:szCs w:val="24"/>
          <w:lang w:val="es-ES"/>
        </w:rPr>
      </w:pPr>
    </w:p>
    <w:p w:rsidR="00FB65A0" w:rsidRPr="00FB65A0" w:rsidRDefault="00FB65A0" w:rsidP="00FB65A0">
      <w:pPr>
        <w:tabs>
          <w:tab w:val="left" w:pos="426"/>
        </w:tabs>
        <w:spacing w:after="0" w:line="276" w:lineRule="auto"/>
        <w:jc w:val="both"/>
        <w:rPr>
          <w:rFonts w:ascii="Arial" w:eastAsia="Calibri" w:hAnsi="Arial" w:cs="Arial"/>
          <w:b/>
          <w:color w:val="000000" w:themeColor="text1"/>
          <w:szCs w:val="24"/>
          <w:lang w:val="es-ES"/>
        </w:rPr>
      </w:pPr>
      <w:r w:rsidRPr="00FB65A0">
        <w:rPr>
          <w:rFonts w:ascii="Arial" w:eastAsia="Calibri" w:hAnsi="Arial" w:cs="Arial"/>
          <w:b/>
          <w:color w:val="000000" w:themeColor="text1"/>
          <w:szCs w:val="24"/>
          <w:lang w:val="es-ES"/>
        </w:rPr>
        <w:t>2.1. Políticas horizontales e incentivos contractuales</w:t>
      </w:r>
    </w:p>
    <w:p w:rsidR="00FB65A0" w:rsidRPr="00FB65A0" w:rsidRDefault="00FB65A0" w:rsidP="00FB65A0">
      <w:pPr>
        <w:tabs>
          <w:tab w:val="left" w:pos="426"/>
        </w:tabs>
        <w:spacing w:after="0" w:line="276" w:lineRule="auto"/>
        <w:jc w:val="both"/>
        <w:rPr>
          <w:rFonts w:ascii="Arial" w:eastAsia="Calibri" w:hAnsi="Arial" w:cs="Arial"/>
          <w:b/>
          <w:color w:val="000000" w:themeColor="text1"/>
          <w:szCs w:val="24"/>
          <w:lang w:val="es-ES"/>
        </w:rPr>
      </w:pPr>
    </w:p>
    <w:p w:rsidR="00FB65A0" w:rsidRPr="00FB65A0" w:rsidRDefault="00FB65A0" w:rsidP="00FB65A0">
      <w:pPr>
        <w:tabs>
          <w:tab w:val="left" w:pos="426"/>
        </w:tabs>
        <w:spacing w:after="12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La contratación pública puede utilizarse como un mecanismo para promover condiciones de trabajo equitativas, el desarrollo económico, oportunidades económicas para los sectores de </w:t>
      </w:r>
      <w:r w:rsidRPr="00FB65A0">
        <w:rPr>
          <w:rFonts w:ascii="Arial" w:eastAsia="Calibri" w:hAnsi="Arial" w:cs="Arial"/>
          <w:color w:val="000000" w:themeColor="text1"/>
          <w:szCs w:val="24"/>
          <w:lang w:val="es-ES"/>
        </w:rPr>
        <w:lastRenderedPageBreak/>
        <w:t>la población o las regiones más vulnerables dentro del territorio nacional y para promover la adquisición, de acuerdo con criterios de sostenibilidad ambiental</w:t>
      </w:r>
      <w:r w:rsidRPr="00FB65A0">
        <w:rPr>
          <w:rFonts w:ascii="Arial" w:eastAsia="Calibri" w:hAnsi="Arial" w:cs="Arial"/>
          <w:color w:val="000000" w:themeColor="text1"/>
          <w:szCs w:val="24"/>
          <w:vertAlign w:val="superscript"/>
          <w:lang w:val="es-ES"/>
        </w:rPr>
        <w:footnoteReference w:id="1"/>
      </w:r>
      <w:r w:rsidRPr="00FB65A0">
        <w:rPr>
          <w:rFonts w:ascii="Arial" w:eastAsia="Calibri" w:hAnsi="Arial" w:cs="Arial"/>
          <w:color w:val="000000" w:themeColor="text1"/>
          <w:szCs w:val="24"/>
          <w:lang w:val="es-ES"/>
        </w:rPr>
        <w:t>.</w:t>
      </w:r>
    </w:p>
    <w:p w:rsidR="00FB65A0" w:rsidRPr="00FB65A0" w:rsidRDefault="00FB65A0" w:rsidP="00FB65A0">
      <w:pPr>
        <w:tabs>
          <w:tab w:val="left" w:pos="426"/>
        </w:tabs>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Estas finalidades reciben diferentes nombres en los diversos contextos en los que s utilizan, algunos recurren al nombre de políticas secundarias, finalidades paralelas, o políticas colaterales u horizontales en materia de contratación</w:t>
      </w:r>
      <w:r w:rsidRPr="00FB65A0">
        <w:rPr>
          <w:rFonts w:ascii="Arial" w:eastAsia="Calibri" w:hAnsi="Arial" w:cs="Arial"/>
          <w:color w:val="000000" w:themeColor="text1"/>
          <w:szCs w:val="24"/>
          <w:vertAlign w:val="superscript"/>
          <w:lang w:val="es-ES"/>
        </w:rPr>
        <w:footnoteReference w:id="2"/>
      </w:r>
      <w:r w:rsidRPr="00FB65A0">
        <w:rPr>
          <w:rFonts w:ascii="Arial" w:eastAsia="Calibri" w:hAnsi="Arial" w:cs="Arial"/>
          <w:color w:val="000000" w:themeColor="text1"/>
          <w:szCs w:val="24"/>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rsidR="00FB65A0" w:rsidRPr="00FB65A0" w:rsidRDefault="00FB65A0" w:rsidP="00FB65A0">
      <w:pPr>
        <w:tabs>
          <w:tab w:val="left" w:pos="426"/>
        </w:tabs>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FB65A0">
        <w:rPr>
          <w:rFonts w:ascii="Arial" w:eastAsia="Calibri" w:hAnsi="Arial" w:cs="Arial"/>
          <w:color w:val="000000" w:themeColor="text1"/>
          <w:szCs w:val="24"/>
          <w:vertAlign w:val="superscript"/>
          <w:lang w:val="es-ES"/>
        </w:rPr>
        <w:footnoteReference w:id="3"/>
      </w:r>
      <w:r w:rsidRPr="00FB65A0">
        <w:rPr>
          <w:rFonts w:ascii="Arial" w:eastAsia="Calibri" w:hAnsi="Arial" w:cs="Arial"/>
          <w:color w:val="000000" w:themeColor="text1"/>
          <w:szCs w:val="24"/>
          <w:lang w:val="es-ES"/>
        </w:rPr>
        <w:t xml:space="preserve">. </w:t>
      </w:r>
    </w:p>
    <w:p w:rsidR="00FB65A0" w:rsidRPr="00FB65A0" w:rsidRDefault="00FB65A0" w:rsidP="00FB65A0">
      <w:pPr>
        <w:tabs>
          <w:tab w:val="left" w:pos="709"/>
        </w:tabs>
        <w:spacing w:after="12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ab/>
        <w:t xml:space="preserve">Para la cabal comprensión, es necesario distinguir entre </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política horizontal</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 xml:space="preserve"> e </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incentivo contractual</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FB65A0">
        <w:rPr>
          <w:rFonts w:ascii="Arial" w:eastAsia="Calibri" w:hAnsi="Arial" w:cs="Arial"/>
          <w:color w:val="000000" w:themeColor="text1"/>
          <w:szCs w:val="24"/>
          <w:vertAlign w:val="superscript"/>
          <w:lang w:val="es-ES"/>
        </w:rPr>
        <w:footnoteReference w:id="4"/>
      </w:r>
      <w:r w:rsidRPr="00FB65A0">
        <w:rPr>
          <w:rFonts w:ascii="Arial" w:eastAsia="Calibri" w:hAnsi="Arial" w:cs="Arial"/>
          <w:color w:val="000000" w:themeColor="text1"/>
          <w:szCs w:val="24"/>
          <w:lang w:val="es-ES"/>
        </w:rPr>
        <w:t xml:space="preserve">, como es el caso, se reitera, de los criterios de desempate, puntaje adicional o convocatorias reservadas.  </w:t>
      </w:r>
    </w:p>
    <w:p w:rsidR="00FB65A0" w:rsidRPr="00FB65A0" w:rsidRDefault="00FB65A0" w:rsidP="00FB65A0">
      <w:pPr>
        <w:tabs>
          <w:tab w:val="left" w:pos="709"/>
        </w:tabs>
        <w:spacing w:after="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 xml:space="preserve">[…] Es indispensable garantizar la consagración de premisas que irradien las nociones propias de los principios de igualdad, transparencia, economía y moralidad en todas las decisiones discrecionales que la Administración llegue a </w:t>
      </w:r>
      <w:r w:rsidRPr="00FB65A0">
        <w:rPr>
          <w:rFonts w:ascii="Arial" w:eastAsia="Calibri" w:hAnsi="Arial" w:cs="Arial"/>
          <w:color w:val="000000" w:themeColor="text1"/>
          <w:sz w:val="21"/>
          <w:szCs w:val="21"/>
          <w:lang w:val="es-ES"/>
        </w:rPr>
        <w:lastRenderedPageBreak/>
        <w:t>adoptar por medio de las facultades que le han sido otorgadas por el legislador para avalar la satisfacción de su intención primaria</w:t>
      </w:r>
      <w:r w:rsidRPr="00FB65A0">
        <w:rPr>
          <w:rFonts w:ascii="Arial" w:eastAsia="Calibri" w:hAnsi="Arial" w:cs="Arial"/>
          <w:color w:val="000000" w:themeColor="text1"/>
          <w:sz w:val="21"/>
          <w:szCs w:val="21"/>
          <w:vertAlign w:val="superscript"/>
          <w:lang w:val="es-ES"/>
        </w:rPr>
        <w:footnoteReference w:id="5"/>
      </w:r>
      <w:r w:rsidRPr="00FB65A0">
        <w:rPr>
          <w:rFonts w:ascii="Arial" w:eastAsia="Calibri" w:hAnsi="Arial" w:cs="Arial"/>
          <w:color w:val="000000" w:themeColor="text1"/>
          <w:sz w:val="21"/>
          <w:szCs w:val="21"/>
          <w:lang w:val="es-ES"/>
        </w:rPr>
        <w:t>.</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12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Pr="00FB65A0">
        <w:rPr>
          <w:rFonts w:ascii="Arial" w:eastAsia="Calibri" w:hAnsi="Arial" w:cs="Arial"/>
          <w:color w:val="000000" w:themeColor="text1"/>
          <w:szCs w:val="24"/>
          <w:lang w:val="es-ES"/>
        </w:rPr>
        <w:tab/>
        <w:t xml:space="preserve"> </w:t>
      </w:r>
    </w:p>
    <w:p w:rsidR="00FB65A0" w:rsidRPr="00FB65A0" w:rsidRDefault="00FB65A0" w:rsidP="00FB65A0">
      <w:pPr>
        <w:tabs>
          <w:tab w:val="left" w:pos="709"/>
        </w:tabs>
        <w:spacing w:after="12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ab/>
        <w:t xml:space="preserve">A </w:t>
      </w:r>
      <w:proofErr w:type="gramStart"/>
      <w:r w:rsidRPr="00FB65A0">
        <w:rPr>
          <w:rFonts w:ascii="Arial" w:eastAsia="Calibri" w:hAnsi="Arial" w:cs="Arial"/>
          <w:color w:val="000000" w:themeColor="text1"/>
          <w:szCs w:val="24"/>
          <w:lang w:val="es-ES"/>
        </w:rPr>
        <w:t>continuación</w:t>
      </w:r>
      <w:proofErr w:type="gramEnd"/>
      <w:r w:rsidRPr="00FB65A0">
        <w:rPr>
          <w:rFonts w:ascii="Arial" w:eastAsia="Calibri" w:hAnsi="Arial" w:cs="Arial"/>
          <w:color w:val="000000" w:themeColor="text1"/>
          <w:szCs w:val="24"/>
          <w:lang w:val="es-ES"/>
        </w:rPr>
        <w:t xml:space="preserve"> se expondrán, brevemente, algunos casos de </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políticas horizontales</w:t>
      </w:r>
      <w:r w:rsidRPr="00FB65A0">
        <w:rPr>
          <w:rFonts w:ascii="Verdana" w:eastAsia="Calibri" w:hAnsi="Verdana" w:cs="Arial"/>
          <w:color w:val="000000" w:themeColor="text1"/>
          <w:szCs w:val="24"/>
          <w:lang w:val="es-ES"/>
        </w:rPr>
        <w:t>»</w:t>
      </w:r>
      <w:r w:rsidRPr="00FB65A0">
        <w:rPr>
          <w:rFonts w:ascii="Arial" w:eastAsia="Calibri" w:hAnsi="Arial" w:cs="Arial"/>
          <w:color w:val="000000" w:themeColor="text1"/>
          <w:szCs w:val="24"/>
          <w:lang w:val="es-ES"/>
        </w:rPr>
        <w:t xml:space="preserve">, así como los incentivos utilizados para materializarlas en el ordenamiento colombiano, que preexisten la expedición de la Ley 2040 de 2020. </w:t>
      </w:r>
    </w:p>
    <w:p w:rsidR="00FB65A0" w:rsidRPr="00FB65A0" w:rsidRDefault="00FB65A0" w:rsidP="00FB65A0">
      <w:pPr>
        <w:spacing w:after="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rsidR="00FB65A0" w:rsidRPr="00FB65A0" w:rsidRDefault="00FB65A0" w:rsidP="00FB65A0">
      <w:pPr>
        <w:spacing w:after="0" w:line="240" w:lineRule="auto"/>
        <w:ind w:left="709" w:right="709"/>
        <w:jc w:val="both"/>
        <w:rPr>
          <w:rFonts w:ascii="Arial" w:eastAsia="Times New Roman" w:hAnsi="Arial" w:cs="Arial"/>
          <w:color w:val="000000" w:themeColor="text1"/>
          <w:sz w:val="21"/>
          <w:szCs w:val="21"/>
          <w:lang w:val="es-ES"/>
        </w:rPr>
      </w:pPr>
    </w:p>
    <w:p w:rsidR="00FB65A0" w:rsidRPr="00FB65A0" w:rsidRDefault="00FB65A0" w:rsidP="00FB65A0">
      <w:pPr>
        <w:spacing w:after="0" w:line="240" w:lineRule="auto"/>
        <w:ind w:left="709" w:right="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FB65A0">
        <w:rPr>
          <w:rFonts w:ascii="Arial" w:eastAsia="Times New Roman" w:hAnsi="Arial" w:cs="Arial"/>
          <w:iCs/>
          <w:color w:val="000000" w:themeColor="text1"/>
          <w:sz w:val="21"/>
          <w:szCs w:val="21"/>
          <w:lang w:val="es-ES"/>
        </w:rPr>
        <w:t> </w:t>
      </w:r>
      <w:r w:rsidRPr="00FB65A0">
        <w:rPr>
          <w:rFonts w:ascii="Arial" w:eastAsia="Times New Roman" w:hAnsi="Arial" w:cs="Arial"/>
          <w:color w:val="000000" w:themeColor="text1"/>
          <w:sz w:val="21"/>
          <w:szCs w:val="21"/>
          <w:lang w:val="es-ES"/>
        </w:rPr>
        <w:t>no obligue a solicitar más de una propuesta, adoptarán criterios objetivos que permitan apoyar a la industria nacional</w:t>
      </w:r>
      <w:r w:rsidRPr="00FB65A0">
        <w:rPr>
          <w:rFonts w:ascii="Arial" w:eastAsia="Times New Roman" w:hAnsi="Arial" w:cs="Arial"/>
          <w:color w:val="000000" w:themeColor="text1"/>
          <w:szCs w:val="24"/>
          <w:lang w:val="es-ES"/>
        </w:rPr>
        <w:t xml:space="preserve">. </w:t>
      </w:r>
    </w:p>
    <w:p w:rsidR="00FB65A0" w:rsidRPr="00FB65A0" w:rsidRDefault="00FB65A0" w:rsidP="00FB65A0">
      <w:pPr>
        <w:spacing w:after="0" w:line="276" w:lineRule="auto"/>
        <w:ind w:right="709"/>
        <w:jc w:val="both"/>
        <w:rPr>
          <w:rFonts w:ascii="Arial" w:eastAsia="Times New Roman" w:hAnsi="Arial" w:cs="Arial"/>
          <w:color w:val="000000" w:themeColor="text1"/>
          <w:szCs w:val="24"/>
          <w:lang w:val="es-ES"/>
        </w:rPr>
      </w:pPr>
    </w:p>
    <w:p w:rsidR="00FB65A0" w:rsidRPr="00FB65A0" w:rsidRDefault="00FB65A0" w:rsidP="00FB65A0">
      <w:pPr>
        <w:spacing w:after="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 xml:space="preserve">Además, el artículo 2 de la misma ley, de forma expresa, determina el puntaje que las entidades deben incluir dentro de los criterios de calificación de las propuestas para promover la industria colombiana: </w:t>
      </w:r>
    </w:p>
    <w:p w:rsidR="00FB65A0" w:rsidRPr="00FB65A0" w:rsidRDefault="00FB65A0" w:rsidP="00FB65A0">
      <w:pPr>
        <w:spacing w:after="0" w:line="240" w:lineRule="auto"/>
        <w:jc w:val="both"/>
        <w:rPr>
          <w:rFonts w:ascii="Arial" w:eastAsia="Times New Roman" w:hAnsi="Arial" w:cs="Arial"/>
          <w:color w:val="000000" w:themeColor="text1"/>
          <w:szCs w:val="24"/>
          <w:lang w:val="es-ES"/>
        </w:rPr>
      </w:pPr>
    </w:p>
    <w:p w:rsidR="00FB65A0" w:rsidRPr="00FB65A0" w:rsidRDefault="00FB65A0" w:rsidP="00FB65A0">
      <w:pPr>
        <w:spacing w:after="0" w:line="240" w:lineRule="auto"/>
        <w:ind w:left="709" w:right="709"/>
        <w:jc w:val="both"/>
        <w:rPr>
          <w:rFonts w:ascii="Arial" w:eastAsia="Times New Roman" w:hAnsi="Arial" w:cs="Arial"/>
          <w:color w:val="000000" w:themeColor="text1"/>
          <w:sz w:val="21"/>
          <w:szCs w:val="21"/>
          <w:lang w:val="es-ES"/>
        </w:rPr>
      </w:pPr>
      <w:r w:rsidRPr="00FB65A0">
        <w:rPr>
          <w:rFonts w:ascii="Arial" w:eastAsia="Times New Roman" w:hAnsi="Arial" w:cs="Arial"/>
          <w:color w:val="000000" w:themeColor="text1"/>
          <w:sz w:val="21"/>
          <w:szCs w:val="21"/>
          <w:lang w:val="es-ES"/>
        </w:rPr>
        <w:t xml:space="preserve">Artículo 2. Las entidades de que trata el artículo 1º asignarán, dentro de los criterios de calificación de las propuestas, un puntaje comprendido entre el diez </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10</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 xml:space="preserve"> y el veinte por ciento </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20%</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 para estimular la industria colombiana cuando los proponentes oferten bienes o servicios nacionales.</w:t>
      </w:r>
    </w:p>
    <w:p w:rsidR="00FB65A0" w:rsidRPr="00FB65A0" w:rsidRDefault="00FB65A0" w:rsidP="00FB65A0">
      <w:pPr>
        <w:spacing w:after="0" w:line="240" w:lineRule="auto"/>
        <w:ind w:left="709" w:right="709"/>
        <w:jc w:val="both"/>
        <w:rPr>
          <w:rFonts w:ascii="Arial" w:eastAsia="Times New Roman" w:hAnsi="Arial" w:cs="Arial"/>
          <w:color w:val="000000" w:themeColor="text1"/>
          <w:sz w:val="21"/>
          <w:szCs w:val="21"/>
          <w:lang w:val="es-ES"/>
        </w:rPr>
      </w:pPr>
    </w:p>
    <w:p w:rsidR="00FB65A0" w:rsidRPr="00FB65A0" w:rsidRDefault="00FB65A0" w:rsidP="00FB65A0">
      <w:pPr>
        <w:spacing w:after="0" w:line="240" w:lineRule="auto"/>
        <w:ind w:left="709" w:right="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 w:val="21"/>
          <w:szCs w:val="21"/>
          <w:lang w:val="es-ES"/>
        </w:rPr>
        <w:t xml:space="preserve">Tratándose de bienes o servicios extranjeros, la entidad contratante establecerá un puntaje comprendido entre el cinco </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5</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 xml:space="preserve"> y el quince por ciento </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15%</w:t>
      </w:r>
      <w:r w:rsidRPr="00FB65A0">
        <w:rPr>
          <w:rFonts w:ascii="Arial" w:eastAsia="Times New Roman" w:hAnsi="Arial" w:cs="Arial"/>
          <w:color w:val="000000" w:themeColor="text1"/>
          <w:szCs w:val="24"/>
          <w:lang w:val="es-ES"/>
        </w:rPr>
        <w:t>]</w:t>
      </w:r>
      <w:r w:rsidRPr="00FB65A0">
        <w:rPr>
          <w:rFonts w:ascii="Arial" w:eastAsia="Times New Roman" w:hAnsi="Arial" w:cs="Arial"/>
          <w:color w:val="000000" w:themeColor="text1"/>
          <w:sz w:val="21"/>
          <w:szCs w:val="21"/>
          <w:lang w:val="es-ES"/>
        </w:rPr>
        <w:t>, para incentivar la incorporación de componente colombiano de bienes y servicios profesionales, técnicos y operativos</w:t>
      </w:r>
      <w:r w:rsidRPr="00FB65A0">
        <w:rPr>
          <w:rFonts w:ascii="Arial" w:eastAsia="Times New Roman" w:hAnsi="Arial" w:cs="Arial"/>
          <w:color w:val="000000" w:themeColor="text1"/>
          <w:szCs w:val="24"/>
          <w:lang w:val="es-ES"/>
        </w:rPr>
        <w:t>.</w:t>
      </w:r>
    </w:p>
    <w:p w:rsidR="00FB65A0" w:rsidRPr="00FB65A0" w:rsidRDefault="00FB65A0" w:rsidP="00FB65A0">
      <w:pPr>
        <w:spacing w:after="0" w:line="240" w:lineRule="auto"/>
        <w:jc w:val="both"/>
        <w:rPr>
          <w:rFonts w:ascii="Arial" w:eastAsia="Times New Roman" w:hAnsi="Arial" w:cs="Arial"/>
          <w:color w:val="000000" w:themeColor="text1"/>
          <w:szCs w:val="24"/>
          <w:lang w:val="es-ES"/>
        </w:rPr>
      </w:pPr>
    </w:p>
    <w:p w:rsidR="00FB65A0" w:rsidRPr="00FB65A0" w:rsidRDefault="00FB65A0" w:rsidP="00FB65A0">
      <w:pPr>
        <w:spacing w:after="12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De esta manera, la norma establece dos supuestos para asignar puntaje. Por un lado, se encuentran los proponentes que oferten bienes o servicios nacionales y los proponentes que tienen trato nacional producto de los acuerdos comerciales suscritos por Colombia con otros Estados</w:t>
      </w:r>
      <w:r w:rsidRPr="00FB65A0">
        <w:rPr>
          <w:rFonts w:ascii="Arial" w:eastAsia="Times New Roman" w:hAnsi="Arial" w:cs="Arial"/>
          <w:color w:val="000000" w:themeColor="text1"/>
          <w:szCs w:val="24"/>
          <w:vertAlign w:val="superscript"/>
          <w:lang w:val="es-ES"/>
        </w:rPr>
        <w:footnoteReference w:id="6"/>
      </w:r>
      <w:r w:rsidRPr="00FB65A0">
        <w:rPr>
          <w:rFonts w:ascii="Arial" w:eastAsia="Times New Roman" w:hAnsi="Arial" w:cs="Arial"/>
          <w:color w:val="000000" w:themeColor="text1"/>
          <w:szCs w:val="24"/>
          <w:lang w:val="es-ES"/>
        </w:rPr>
        <w:t xml:space="preserve">. Por otro </w:t>
      </w:r>
      <w:proofErr w:type="gramStart"/>
      <w:r w:rsidRPr="00FB65A0">
        <w:rPr>
          <w:rFonts w:ascii="Arial" w:eastAsia="Times New Roman" w:hAnsi="Arial" w:cs="Arial"/>
          <w:color w:val="000000" w:themeColor="text1"/>
          <w:szCs w:val="24"/>
          <w:lang w:val="es-ES"/>
        </w:rPr>
        <w:t>lado</w:t>
      </w:r>
      <w:proofErr w:type="gramEnd"/>
      <w:r w:rsidRPr="00FB65A0">
        <w:rPr>
          <w:rFonts w:ascii="Arial" w:eastAsia="Times New Roman" w:hAnsi="Arial" w:cs="Arial"/>
          <w:color w:val="000000" w:themeColor="text1"/>
          <w:szCs w:val="24"/>
          <w:lang w:val="es-ES"/>
        </w:rPr>
        <w:t xml:space="preserve"> están los proponentes extranjeros que no tengan trato nacional y oferten la incorporación de componente colombiano de bienes o servicios. </w:t>
      </w:r>
    </w:p>
    <w:p w:rsidR="00FB65A0" w:rsidRPr="00FB65A0" w:rsidRDefault="00FB65A0" w:rsidP="00FB65A0">
      <w:pPr>
        <w:spacing w:after="12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lastRenderedPageBreak/>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Pr="00FB65A0">
        <w:rPr>
          <w:rFonts w:ascii="Arial" w:eastAsia="Times New Roman" w:hAnsi="Arial" w:cs="Arial"/>
          <w:color w:val="000000" w:themeColor="text1"/>
          <w:szCs w:val="24"/>
          <w:vertAlign w:val="superscript"/>
          <w:lang w:val="es-ES"/>
        </w:rPr>
        <w:footnoteReference w:id="7"/>
      </w:r>
      <w:r w:rsidRPr="00FB65A0">
        <w:rPr>
          <w:rFonts w:ascii="Arial" w:eastAsia="Times New Roman" w:hAnsi="Arial" w:cs="Arial"/>
          <w:color w:val="000000" w:themeColor="text1"/>
          <w:szCs w:val="24"/>
          <w:lang w:val="es-ES"/>
        </w:rPr>
        <w:t xml:space="preserve">. </w:t>
      </w:r>
    </w:p>
    <w:p w:rsidR="00FB65A0" w:rsidRPr="00FB65A0" w:rsidRDefault="00FB65A0" w:rsidP="00FB65A0">
      <w:pPr>
        <w:spacing w:after="0" w:line="276" w:lineRule="auto"/>
        <w:ind w:firstLine="709"/>
        <w:jc w:val="both"/>
        <w:rPr>
          <w:rFonts w:ascii="Arial" w:eastAsia="Times New Roman" w:hAnsi="Arial" w:cs="Arial"/>
          <w:szCs w:val="24"/>
          <w:lang w:val="es-ES"/>
        </w:rPr>
      </w:pPr>
      <w:r w:rsidRPr="00FB65A0">
        <w:rPr>
          <w:rFonts w:ascii="Arial" w:eastAsia="Times New Roman" w:hAnsi="Arial" w:cs="Arial"/>
          <w:color w:val="000000" w:themeColor="text1"/>
          <w:szCs w:val="24"/>
          <w:lang w:val="es-ES"/>
        </w:rPr>
        <w:t xml:space="preserve">De otra parte, </w:t>
      </w:r>
      <w:r w:rsidRPr="00FB65A0">
        <w:rPr>
          <w:rFonts w:ascii="Arial" w:eastAsia="Times New Roman" w:hAnsi="Arial" w:cs="Arial"/>
          <w:szCs w:val="24"/>
          <w:lang w:val="es-ES"/>
        </w:rPr>
        <w:t>la Ley 1618 de 2013 estableció disposiciones para garantizar el ejercicio de los derechos de personas en condición de discapacidad</w:t>
      </w:r>
      <w:r w:rsidRPr="00FB65A0">
        <w:rPr>
          <w:rFonts w:ascii="Arial" w:eastAsia="Times New Roman" w:hAnsi="Arial" w:cs="Arial"/>
          <w:sz w:val="21"/>
          <w:szCs w:val="21"/>
          <w:vertAlign w:val="superscript"/>
          <w:lang w:val="es-ES"/>
        </w:rPr>
        <w:footnoteReference w:id="8"/>
      </w:r>
      <w:r w:rsidRPr="00FB65A0">
        <w:rPr>
          <w:rFonts w:ascii="Arial" w:eastAsia="Times New Roman" w:hAnsi="Arial" w:cs="Arial"/>
          <w:sz w:val="21"/>
          <w:szCs w:val="21"/>
          <w:lang w:val="es-ES"/>
        </w:rPr>
        <w:t>. El</w:t>
      </w:r>
      <w:r w:rsidRPr="00FB65A0">
        <w:rPr>
          <w:rFonts w:ascii="Arial" w:eastAsia="Times New Roman" w:hAnsi="Arial" w:cs="Arial"/>
          <w:szCs w:val="24"/>
          <w:lang w:val="es-ES"/>
        </w:rPr>
        <w:t xml:space="preserve"> artículo 13 </w:t>
      </w:r>
      <w:r w:rsidRPr="00FB65A0">
        <w:rPr>
          <w:rFonts w:ascii="Arial" w:eastAsia="Times New Roman" w:hAnsi="Arial" w:cs="Arial"/>
          <w:i/>
          <w:iCs/>
          <w:szCs w:val="24"/>
          <w:lang w:val="es-ES"/>
        </w:rPr>
        <w:t xml:space="preserve">ibídem </w:t>
      </w:r>
      <w:r w:rsidRPr="00FB65A0">
        <w:rPr>
          <w:rFonts w:ascii="Arial" w:eastAsia="Times New Roman" w:hAnsi="Arial" w:cs="Arial"/>
          <w:szCs w:val="24"/>
          <w:lang w:val="es-ES"/>
        </w:rPr>
        <w:t>ordenó al Gobierno Nacional expedir un reglamento que determinara la metodología mediante la cual se otorgaría el puntaje adicional a las empresas que en su planta de personal cuenten con personal en situación de discapacidad:</w:t>
      </w:r>
    </w:p>
    <w:p w:rsidR="00FB65A0" w:rsidRPr="00FB65A0" w:rsidRDefault="00FB65A0" w:rsidP="00FB65A0">
      <w:pPr>
        <w:spacing w:after="0" w:line="240" w:lineRule="auto"/>
        <w:jc w:val="both"/>
        <w:rPr>
          <w:rFonts w:ascii="Arial" w:eastAsia="Times New Roman" w:hAnsi="Arial" w:cs="Arial"/>
          <w:szCs w:val="24"/>
          <w:lang w:val="es-ES"/>
        </w:rPr>
      </w:pPr>
    </w:p>
    <w:p w:rsidR="00FB65A0" w:rsidRPr="00FB65A0" w:rsidRDefault="00FB65A0" w:rsidP="00FB65A0">
      <w:pPr>
        <w:spacing w:after="0" w:line="240" w:lineRule="auto"/>
        <w:ind w:left="709" w:right="709"/>
        <w:jc w:val="both"/>
        <w:rPr>
          <w:rFonts w:ascii="Arial" w:eastAsia="Times New Roman" w:hAnsi="Arial" w:cs="Arial"/>
          <w:sz w:val="21"/>
          <w:szCs w:val="21"/>
          <w:lang w:val="es-ES"/>
        </w:rPr>
      </w:pPr>
      <w:r w:rsidRPr="00FB65A0">
        <w:rPr>
          <w:rFonts w:ascii="Arial" w:eastAsia="Times New Roman"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FB65A0" w:rsidRPr="00FB65A0" w:rsidRDefault="00FB65A0" w:rsidP="00FB65A0">
      <w:pPr>
        <w:spacing w:after="0" w:line="240" w:lineRule="auto"/>
        <w:ind w:left="709" w:right="709"/>
        <w:jc w:val="both"/>
        <w:rPr>
          <w:rFonts w:ascii="Arial" w:eastAsia="Times New Roman" w:hAnsi="Arial" w:cs="Arial"/>
          <w:sz w:val="21"/>
          <w:szCs w:val="21"/>
          <w:lang w:val="es-ES"/>
        </w:rPr>
      </w:pPr>
    </w:p>
    <w:p w:rsidR="00FB65A0" w:rsidRPr="00FB65A0" w:rsidRDefault="00FB65A0" w:rsidP="00FB65A0">
      <w:pPr>
        <w:spacing w:after="0" w:line="240" w:lineRule="auto"/>
        <w:ind w:left="709" w:right="709"/>
        <w:jc w:val="both"/>
        <w:rPr>
          <w:rFonts w:ascii="Arial" w:eastAsia="Times New Roman" w:hAnsi="Arial" w:cs="Arial"/>
          <w:sz w:val="21"/>
          <w:szCs w:val="21"/>
          <w:lang w:val="es-ES"/>
        </w:rPr>
      </w:pPr>
      <w:r w:rsidRPr="00FB65A0">
        <w:rPr>
          <w:rFonts w:ascii="Arial" w:eastAsia="Times New Roman"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FB65A0" w:rsidRPr="00FB65A0" w:rsidRDefault="00FB65A0" w:rsidP="00FB65A0">
      <w:pPr>
        <w:spacing w:after="0" w:line="240" w:lineRule="auto"/>
        <w:ind w:left="709" w:right="709"/>
        <w:jc w:val="both"/>
        <w:rPr>
          <w:rFonts w:ascii="Arial" w:eastAsia="Times New Roman" w:hAnsi="Arial" w:cs="Arial"/>
          <w:sz w:val="21"/>
          <w:szCs w:val="21"/>
          <w:lang w:val="es-ES"/>
        </w:rPr>
      </w:pPr>
      <w:r w:rsidRPr="00FB65A0">
        <w:rPr>
          <w:rFonts w:ascii="Arial" w:eastAsia="Times New Roman" w:hAnsi="Arial" w:cs="Arial"/>
          <w:sz w:val="21"/>
          <w:szCs w:val="21"/>
          <w:lang w:val="es-ES"/>
        </w:rPr>
        <w:t>[…]</w:t>
      </w:r>
    </w:p>
    <w:p w:rsidR="00FB65A0" w:rsidRPr="00FB65A0" w:rsidRDefault="00FB65A0" w:rsidP="00FB65A0">
      <w:pPr>
        <w:spacing w:after="0" w:line="240" w:lineRule="auto"/>
        <w:ind w:left="709" w:right="709"/>
        <w:jc w:val="both"/>
        <w:rPr>
          <w:rFonts w:ascii="Arial" w:eastAsia="Times New Roman" w:hAnsi="Arial" w:cs="Arial"/>
          <w:sz w:val="21"/>
          <w:szCs w:val="21"/>
          <w:lang w:val="es-ES"/>
        </w:rPr>
      </w:pPr>
    </w:p>
    <w:p w:rsidR="00FB65A0" w:rsidRPr="00FB65A0" w:rsidRDefault="00FB65A0" w:rsidP="00FB65A0">
      <w:pPr>
        <w:spacing w:after="0" w:line="240" w:lineRule="auto"/>
        <w:ind w:left="708" w:right="709"/>
        <w:jc w:val="both"/>
        <w:rPr>
          <w:rFonts w:ascii="Arial" w:eastAsia="Times New Roman" w:hAnsi="Arial" w:cs="Arial"/>
          <w:sz w:val="21"/>
          <w:szCs w:val="21"/>
          <w:lang w:val="es-ES"/>
        </w:rPr>
      </w:pPr>
      <w:r w:rsidRPr="00FB65A0">
        <w:rPr>
          <w:rFonts w:ascii="Arial" w:eastAsia="Times New Roman" w:hAnsi="Arial" w:cs="Arial"/>
          <w:sz w:val="21"/>
          <w:szCs w:val="21"/>
          <w:lang w:val="es-ES"/>
        </w:rPr>
        <w:t xml:space="preserve">8. Los </w:t>
      </w:r>
      <w:proofErr w:type="gramStart"/>
      <w:r w:rsidRPr="00FB65A0">
        <w:rPr>
          <w:rFonts w:ascii="Arial" w:eastAsia="Times New Roman" w:hAnsi="Arial" w:cs="Arial"/>
          <w:sz w:val="21"/>
          <w:szCs w:val="21"/>
          <w:lang w:val="es-ES"/>
        </w:rPr>
        <w:t>gobiernos nacional</w:t>
      </w:r>
      <w:proofErr w:type="gramEnd"/>
      <w:r w:rsidRPr="00FB65A0">
        <w:rPr>
          <w:rFonts w:ascii="Arial" w:eastAsia="Times New Roman" w:hAnsi="Arial" w:cs="Arial"/>
          <w:sz w:val="21"/>
          <w:szCs w:val="21"/>
          <w:lang w:val="es-ES"/>
        </w:rPr>
        <w:t xml:space="preserve">, departamentales, distritales y municipales, deberán fijar mediante decreto reglamentario, en los procesos de selección de los </w:t>
      </w:r>
      <w:r w:rsidRPr="00FB65A0">
        <w:rPr>
          <w:rFonts w:ascii="Arial" w:eastAsia="Times New Roman" w:hAnsi="Arial" w:cs="Arial"/>
          <w:sz w:val="21"/>
          <w:szCs w:val="21"/>
          <w:lang w:val="es-ES"/>
        </w:rPr>
        <w:lastRenderedPageBreak/>
        <w:t>contratistas y proveedores, un sistema de preferencias a favor de las personas con discapacidad.</w:t>
      </w:r>
    </w:p>
    <w:p w:rsidR="00FB65A0" w:rsidRPr="00FB65A0" w:rsidRDefault="00FB65A0" w:rsidP="00FB65A0">
      <w:pPr>
        <w:spacing w:after="0" w:line="240" w:lineRule="auto"/>
        <w:ind w:left="708" w:right="709"/>
        <w:jc w:val="both"/>
        <w:rPr>
          <w:rFonts w:ascii="Arial" w:eastAsia="Times New Roman" w:hAnsi="Arial" w:cs="Arial"/>
          <w:sz w:val="21"/>
          <w:szCs w:val="21"/>
          <w:lang w:val="es-ES"/>
        </w:rPr>
      </w:pPr>
    </w:p>
    <w:p w:rsidR="00FB65A0" w:rsidRPr="00FB65A0" w:rsidRDefault="00FB65A0" w:rsidP="00FB65A0">
      <w:pPr>
        <w:spacing w:after="120" w:line="276" w:lineRule="auto"/>
        <w:ind w:firstLine="708"/>
        <w:jc w:val="both"/>
        <w:rPr>
          <w:rFonts w:ascii="Arial" w:eastAsia="Times New Roman" w:hAnsi="Arial" w:cs="Arial"/>
          <w:szCs w:val="24"/>
          <w:lang w:val="es-ES"/>
        </w:rPr>
      </w:pPr>
      <w:r w:rsidRPr="00FB65A0">
        <w:rPr>
          <w:rFonts w:ascii="Arial" w:eastAsia="Times New Roman" w:hAnsi="Arial" w:cs="Arial"/>
          <w:szCs w:val="24"/>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rsidR="00FB65A0" w:rsidRPr="00FB65A0" w:rsidRDefault="00FB65A0" w:rsidP="00FB65A0">
      <w:pPr>
        <w:spacing w:after="12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Finalmente, el articulo 12 la Ley 1150 de 2007, modificado por el artículo 32 de la Ley 1450 de 2011, estableció las convocatorias limitadas a Mipymes en contratación pública, en los siguientes términos:</w:t>
      </w:r>
    </w:p>
    <w:p w:rsidR="00FB65A0" w:rsidRPr="00FB65A0" w:rsidRDefault="00FB65A0" w:rsidP="00FB65A0">
      <w:pPr>
        <w:spacing w:after="0" w:line="240" w:lineRule="auto"/>
        <w:jc w:val="both"/>
        <w:rPr>
          <w:rFonts w:ascii="Arial" w:eastAsia="Times New Roman" w:hAnsi="Arial" w:cs="Arial"/>
          <w:color w:val="000000" w:themeColor="text1"/>
          <w:szCs w:val="24"/>
          <w:lang w:val="es-ES"/>
        </w:rPr>
      </w:pPr>
    </w:p>
    <w:p w:rsidR="00FB65A0" w:rsidRPr="00FB65A0" w:rsidRDefault="00FB65A0" w:rsidP="00FB65A0">
      <w:pPr>
        <w:spacing w:after="0" w:line="240" w:lineRule="auto"/>
        <w:ind w:left="709" w:right="709"/>
        <w:jc w:val="both"/>
        <w:rPr>
          <w:rFonts w:ascii="Arial" w:eastAsia="Times New Roman" w:hAnsi="Arial" w:cs="Arial"/>
          <w:color w:val="000000" w:themeColor="text1"/>
          <w:sz w:val="21"/>
          <w:szCs w:val="21"/>
          <w:lang w:val="es-ES"/>
        </w:rPr>
      </w:pPr>
      <w:r w:rsidRPr="00FB65A0">
        <w:rPr>
          <w:rFonts w:ascii="Arial" w:eastAsia="Times New Roman"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FB65A0">
        <w:rPr>
          <w:rFonts w:ascii="Arial" w:eastAsia="Times New Roman" w:hAnsi="Arial" w:cs="Arial"/>
          <w:i/>
          <w:iCs/>
          <w:color w:val="000000" w:themeColor="text1"/>
          <w:sz w:val="21"/>
          <w:szCs w:val="21"/>
          <w:lang w:val="es-ES"/>
        </w:rPr>
        <w:t xml:space="preserve">las entidades estatales adopten en beneficio de las Mipymes, convocatorias limitadas a estas en las que, previo a la Resolución de apertura del proceso respectivo, se haya manifestado el interés del número plural de Mipymes que haya sido determinado en el reglamento </w:t>
      </w:r>
      <w:r w:rsidRPr="00FB65A0">
        <w:rPr>
          <w:rFonts w:ascii="Arial" w:eastAsia="Times New Roman" w:hAnsi="Arial" w:cs="Arial"/>
          <w:color w:val="000000" w:themeColor="text1"/>
          <w:sz w:val="21"/>
          <w:szCs w:val="21"/>
          <w:lang w:val="es-ES"/>
        </w:rPr>
        <w:t>[…] (Cursivas fuera de texto).</w:t>
      </w:r>
    </w:p>
    <w:p w:rsidR="00FB65A0" w:rsidRPr="00FB65A0" w:rsidRDefault="00FB65A0" w:rsidP="00FB65A0">
      <w:pPr>
        <w:spacing w:after="0" w:line="240" w:lineRule="auto"/>
        <w:ind w:left="709" w:right="709"/>
        <w:jc w:val="both"/>
        <w:rPr>
          <w:rFonts w:ascii="Arial" w:eastAsia="Times New Roman" w:hAnsi="Arial" w:cs="Arial"/>
          <w:color w:val="000000" w:themeColor="text1"/>
          <w:szCs w:val="24"/>
          <w:lang w:val="es-ES"/>
        </w:rPr>
      </w:pPr>
    </w:p>
    <w:p w:rsidR="00FB65A0" w:rsidRPr="00FB65A0" w:rsidRDefault="00FB65A0" w:rsidP="00FB65A0">
      <w:pPr>
        <w:spacing w:after="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El Decreto 1082 de 2015 reglamentó la norma transcrita, adoptando medidas para incentivar a las Mipymes en la contratación pública. Dentro de estas medidas se destacan las «convocatorias limitadas a Mipymes» y la «limitación territorial» a Mipymes, contenidas, respectivamente, en los artículos 2.2.1.2.4.2.2. y 2.2.1.2.4.2.3. Este último dice lo siguiente:</w:t>
      </w:r>
    </w:p>
    <w:p w:rsidR="00FB65A0" w:rsidRPr="00FB65A0" w:rsidRDefault="00FB65A0" w:rsidP="00FB65A0">
      <w:pPr>
        <w:spacing w:after="0" w:line="240" w:lineRule="auto"/>
        <w:ind w:firstLine="709"/>
        <w:jc w:val="both"/>
        <w:rPr>
          <w:rFonts w:ascii="Arial" w:eastAsia="Times New Roman" w:hAnsi="Arial" w:cs="Arial"/>
          <w:color w:val="000000" w:themeColor="text1"/>
          <w:szCs w:val="24"/>
          <w:lang w:val="es-ES"/>
        </w:rPr>
      </w:pPr>
    </w:p>
    <w:p w:rsidR="00FB65A0" w:rsidRPr="00FB65A0" w:rsidRDefault="00FB65A0" w:rsidP="00FB65A0">
      <w:pPr>
        <w:spacing w:after="0" w:line="240" w:lineRule="auto"/>
        <w:ind w:left="709" w:right="760"/>
        <w:jc w:val="both"/>
        <w:rPr>
          <w:rFonts w:ascii="Arial" w:eastAsia="Times New Roman" w:hAnsi="Arial" w:cs="Arial"/>
          <w:color w:val="000000" w:themeColor="text1"/>
          <w:sz w:val="21"/>
          <w:szCs w:val="21"/>
          <w:lang w:val="es-ES"/>
        </w:rPr>
      </w:pPr>
      <w:r w:rsidRPr="00FB65A0">
        <w:rPr>
          <w:rFonts w:ascii="Arial" w:eastAsia="Times New Roman" w:hAnsi="Arial" w:cs="Arial"/>
          <w:color w:val="000000" w:themeColor="text1"/>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FB65A0" w:rsidRPr="00FB65A0" w:rsidRDefault="00FB65A0" w:rsidP="00FB65A0">
      <w:pPr>
        <w:spacing w:after="0" w:line="240" w:lineRule="auto"/>
        <w:ind w:left="709" w:right="760"/>
        <w:jc w:val="both"/>
        <w:rPr>
          <w:rFonts w:ascii="Arial" w:eastAsia="Times New Roman" w:hAnsi="Arial" w:cs="Arial"/>
          <w:color w:val="000000" w:themeColor="text1"/>
          <w:sz w:val="21"/>
          <w:szCs w:val="21"/>
          <w:lang w:val="es-ES"/>
        </w:rPr>
      </w:pPr>
    </w:p>
    <w:p w:rsidR="00FB65A0" w:rsidRPr="00FB65A0" w:rsidRDefault="00FB65A0" w:rsidP="00FB65A0">
      <w:pPr>
        <w:spacing w:after="0" w:line="240" w:lineRule="auto"/>
        <w:ind w:right="760"/>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El artículo 2.2.1.2.4.2.2., por su parte, dispone que:</w:t>
      </w:r>
    </w:p>
    <w:p w:rsidR="00FB65A0" w:rsidRPr="00FB65A0" w:rsidRDefault="00FB65A0" w:rsidP="00FB65A0">
      <w:pPr>
        <w:spacing w:after="0" w:line="240" w:lineRule="auto"/>
        <w:ind w:left="709" w:right="760"/>
        <w:jc w:val="both"/>
        <w:rPr>
          <w:rFonts w:ascii="Arial" w:eastAsia="Times New Roman" w:hAnsi="Arial" w:cs="Arial"/>
          <w:color w:val="000000" w:themeColor="text1"/>
          <w:sz w:val="21"/>
          <w:szCs w:val="21"/>
          <w:lang w:val="es-ES"/>
        </w:rPr>
      </w:pPr>
    </w:p>
    <w:p w:rsidR="00FB65A0" w:rsidRPr="00FB65A0" w:rsidRDefault="00FB65A0" w:rsidP="00FB65A0">
      <w:pPr>
        <w:spacing w:after="0" w:line="240" w:lineRule="auto"/>
        <w:ind w:left="709" w:right="760"/>
        <w:jc w:val="both"/>
        <w:rPr>
          <w:rFonts w:ascii="Arial" w:eastAsia="Times New Roman" w:hAnsi="Arial" w:cs="Arial"/>
          <w:color w:val="000000" w:themeColor="text1"/>
          <w:sz w:val="21"/>
          <w:szCs w:val="21"/>
          <w:lang w:val="es-ES"/>
        </w:rPr>
      </w:pPr>
      <w:r w:rsidRPr="00FB65A0">
        <w:rPr>
          <w:rFonts w:ascii="Arial" w:eastAsia="Times New Roman" w:hAnsi="Arial" w:cs="Arial"/>
          <w:color w:val="000000" w:themeColor="text1"/>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FB65A0" w:rsidRPr="00FB65A0" w:rsidRDefault="00FB65A0" w:rsidP="00FB65A0">
      <w:pPr>
        <w:spacing w:after="0" w:line="240" w:lineRule="auto"/>
        <w:ind w:left="709" w:right="760"/>
        <w:jc w:val="both"/>
        <w:rPr>
          <w:rFonts w:ascii="Arial" w:eastAsia="Times New Roman" w:hAnsi="Arial" w:cs="Arial"/>
          <w:color w:val="000000" w:themeColor="text1"/>
          <w:sz w:val="21"/>
          <w:szCs w:val="21"/>
          <w:lang w:val="es-ES"/>
        </w:rPr>
      </w:pPr>
    </w:p>
    <w:p w:rsidR="00FB65A0" w:rsidRPr="00FB65A0" w:rsidRDefault="00FB65A0" w:rsidP="00FB65A0">
      <w:pPr>
        <w:spacing w:after="0" w:line="240" w:lineRule="auto"/>
        <w:ind w:left="709" w:right="760"/>
        <w:contextualSpacing/>
        <w:jc w:val="both"/>
        <w:rPr>
          <w:rFonts w:ascii="Arial" w:hAnsi="Arial" w:cs="Arial"/>
          <w:color w:val="000000" w:themeColor="text1"/>
          <w:sz w:val="21"/>
          <w:szCs w:val="21"/>
          <w:lang w:val="es-ES"/>
        </w:rPr>
      </w:pPr>
      <w:r w:rsidRPr="00FB65A0">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FB65A0" w:rsidRPr="00FB65A0" w:rsidRDefault="00FB65A0" w:rsidP="00FB65A0">
      <w:pPr>
        <w:spacing w:after="0" w:line="240" w:lineRule="auto"/>
        <w:ind w:left="709" w:right="760"/>
        <w:contextualSpacing/>
        <w:jc w:val="both"/>
        <w:rPr>
          <w:rFonts w:ascii="Arial" w:hAnsi="Arial" w:cs="Arial"/>
          <w:color w:val="000000" w:themeColor="text1"/>
          <w:sz w:val="21"/>
          <w:szCs w:val="21"/>
          <w:lang w:val="es-ES"/>
        </w:rPr>
      </w:pPr>
    </w:p>
    <w:p w:rsidR="00FB65A0" w:rsidRPr="00FB65A0" w:rsidRDefault="00FB65A0" w:rsidP="00FB65A0">
      <w:pPr>
        <w:spacing w:after="0" w:line="240" w:lineRule="auto"/>
        <w:ind w:left="709" w:right="760"/>
        <w:contextualSpacing/>
        <w:jc w:val="both"/>
        <w:rPr>
          <w:rFonts w:ascii="Arial" w:hAnsi="Arial" w:cs="Arial"/>
          <w:color w:val="000000" w:themeColor="text1"/>
          <w:sz w:val="21"/>
          <w:szCs w:val="21"/>
          <w:lang w:val="es-ES"/>
        </w:rPr>
      </w:pPr>
      <w:r w:rsidRPr="00FB65A0">
        <w:rPr>
          <w:rFonts w:ascii="Arial" w:hAnsi="Arial" w:cs="Arial"/>
          <w:color w:val="000000" w:themeColor="text1"/>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FB65A0" w:rsidRPr="00FB65A0" w:rsidRDefault="00FB65A0" w:rsidP="00FB65A0">
      <w:pPr>
        <w:spacing w:after="0" w:line="240" w:lineRule="auto"/>
        <w:jc w:val="both"/>
        <w:rPr>
          <w:rFonts w:ascii="Arial" w:eastAsia="Times New Roman" w:hAnsi="Arial" w:cs="Arial"/>
          <w:color w:val="000000" w:themeColor="text1"/>
          <w:sz w:val="20"/>
          <w:szCs w:val="20"/>
          <w:lang w:val="es-ES"/>
        </w:rPr>
      </w:pPr>
    </w:p>
    <w:p w:rsidR="00FB65A0" w:rsidRPr="00FB65A0" w:rsidRDefault="00FB65A0" w:rsidP="00FB65A0">
      <w:pPr>
        <w:spacing w:after="120" w:line="276" w:lineRule="auto"/>
        <w:ind w:firstLine="709"/>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 xml:space="preserve">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 y por el otro se establece la posibilidad de regular la convocatoria a Mipymes nacionales domiciliadas en los departamentos o municipios donde se ejecutará el contrato. </w:t>
      </w:r>
    </w:p>
    <w:p w:rsidR="00FB65A0" w:rsidRPr="00FB65A0" w:rsidRDefault="00FB65A0" w:rsidP="00FB65A0">
      <w:pPr>
        <w:spacing w:after="0" w:line="276" w:lineRule="auto"/>
        <w:ind w:firstLine="709"/>
        <w:jc w:val="both"/>
        <w:rPr>
          <w:rFonts w:ascii="Arial" w:eastAsia="Calibri" w:hAnsi="Arial" w:cs="Arial"/>
          <w:color w:val="000000" w:themeColor="text1"/>
          <w:szCs w:val="24"/>
          <w:lang w:val="es-ES"/>
        </w:rPr>
      </w:pPr>
      <w:r w:rsidRPr="00FB65A0">
        <w:rPr>
          <w:rFonts w:ascii="Arial" w:eastAsia="Times New Roman" w:hAnsi="Arial" w:cs="Arial"/>
          <w:color w:val="000000" w:themeColor="text1"/>
          <w:szCs w:val="24"/>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sidRPr="00FB65A0">
        <w:rPr>
          <w:rFonts w:ascii="Arial" w:eastAsia="Calibri" w:hAnsi="Arial" w:cs="Arial"/>
          <w:color w:val="000000" w:themeColor="text1"/>
          <w:szCs w:val="24"/>
          <w:lang w:val="es-ES"/>
        </w:rPr>
        <w:t xml:space="preserve"> adición a esos incentivos, el ordenamiento prevé uno adicional: los criterios de desempate. En este sentido, el artículo 2.2.1.1.2.2.9. del Decreto 1082 de 2015 dispone: </w:t>
      </w:r>
    </w:p>
    <w:p w:rsidR="00FB65A0" w:rsidRPr="00FB65A0" w:rsidRDefault="00FB65A0" w:rsidP="00FB65A0">
      <w:pPr>
        <w:spacing w:after="0" w:line="276" w:lineRule="auto"/>
        <w:ind w:firstLine="709"/>
        <w:jc w:val="both"/>
        <w:rPr>
          <w:rFonts w:ascii="Arial" w:hAnsi="Arial" w:cs="Arial"/>
          <w:color w:val="000000" w:themeColor="text1"/>
          <w:szCs w:val="24"/>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1.    Preferir la oferta de bienes o servicios nacionales frente a la oferta de bienes o servicios extranjeros.</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2.    Preferir las ofertas presentada por una Mipyme nacional.</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lastRenderedPageBreak/>
        <w:t>4.    Preferir la propuesta presentada por el oferente que acredite en las condiciones establecidas en la ley que por lo menos el diez por ciento (10%) de su nómina está en condición de discapacidad a la que se refiere la </w:t>
      </w:r>
      <w:r w:rsidRPr="00FB65A0">
        <w:rPr>
          <w:rFonts w:ascii="Arial" w:eastAsia="Calibri" w:hAnsi="Arial" w:cs="Arial"/>
          <w:sz w:val="21"/>
          <w:szCs w:val="21"/>
          <w:lang w:val="es-ES"/>
        </w:rPr>
        <w:t>Ley 361 de 1997</w:t>
      </w:r>
      <w:r w:rsidRPr="00FB65A0">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rsidR="00FB65A0" w:rsidRPr="00FB65A0" w:rsidRDefault="00FB65A0" w:rsidP="00FB65A0">
      <w:pPr>
        <w:spacing w:after="0" w:line="276" w:lineRule="auto"/>
        <w:ind w:firstLine="709"/>
        <w:jc w:val="both"/>
        <w:rPr>
          <w:rFonts w:ascii="Arial" w:eastAsia="Times New Roman" w:hAnsi="Arial" w:cs="Arial"/>
          <w:color w:val="000000" w:themeColor="text1"/>
          <w:szCs w:val="24"/>
          <w:lang w:val="es-ES"/>
        </w:rPr>
      </w:pPr>
    </w:p>
    <w:p w:rsidR="00FB65A0" w:rsidRPr="00FB65A0" w:rsidRDefault="00FB65A0" w:rsidP="00FB65A0">
      <w:pPr>
        <w:spacing w:after="0" w:line="276" w:lineRule="auto"/>
        <w:jc w:val="both"/>
        <w:rPr>
          <w:rFonts w:ascii="Arial" w:eastAsia="Times New Roman" w:hAnsi="Arial" w:cs="Arial"/>
          <w:b/>
          <w:color w:val="000000" w:themeColor="text1"/>
          <w:szCs w:val="24"/>
          <w:lang w:val="es-ES"/>
        </w:rPr>
      </w:pPr>
      <w:r w:rsidRPr="00FB65A0">
        <w:rPr>
          <w:rFonts w:ascii="Arial" w:eastAsia="Times New Roman" w:hAnsi="Arial" w:cs="Arial"/>
          <w:b/>
          <w:color w:val="000000" w:themeColor="text1"/>
          <w:szCs w:val="24"/>
          <w:lang w:val="es-ES"/>
        </w:rPr>
        <w:t>2.2. Criterio de desempate creado por el artículo 3º de la Ley 2040 de 2020: incentivo contractual y política horizontal</w:t>
      </w:r>
    </w:p>
    <w:p w:rsidR="00FB65A0" w:rsidRPr="00FB65A0" w:rsidRDefault="00FB65A0" w:rsidP="00FB65A0">
      <w:pPr>
        <w:spacing w:after="0" w:line="276" w:lineRule="auto"/>
        <w:jc w:val="both"/>
        <w:rPr>
          <w:rFonts w:ascii="Arial" w:eastAsia="Times New Roman" w:hAnsi="Arial" w:cs="Arial"/>
          <w:color w:val="000000" w:themeColor="text1"/>
          <w:szCs w:val="24"/>
          <w:lang w:val="es-ES"/>
        </w:rPr>
      </w:pPr>
    </w:p>
    <w:p w:rsidR="00FB65A0" w:rsidRPr="00FB65A0" w:rsidRDefault="00FB65A0" w:rsidP="00FB65A0">
      <w:pPr>
        <w:spacing w:after="120" w:line="276" w:lineRule="auto"/>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FB65A0" w:rsidRPr="00FB65A0" w:rsidRDefault="00FB65A0" w:rsidP="00FB65A0">
      <w:pPr>
        <w:spacing w:after="120" w:line="276" w:lineRule="auto"/>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sidRPr="00FB65A0">
        <w:rPr>
          <w:rFonts w:ascii="Verdana" w:eastAsia="Times New Roman" w:hAnsi="Verdana" w:cs="Arial"/>
          <w:color w:val="000000" w:themeColor="text1"/>
          <w:szCs w:val="24"/>
          <w:lang w:val="es-ES"/>
        </w:rPr>
        <w:t>«</w:t>
      </w:r>
      <w:r w:rsidRPr="00FB65A0">
        <w:rPr>
          <w:rFonts w:ascii="Arial" w:eastAsia="Times New Roman" w:hAnsi="Arial" w:cs="Arial"/>
          <w:color w:val="000000" w:themeColor="text1"/>
          <w:szCs w:val="24"/>
          <w:lang w:val="es-ES"/>
        </w:rPr>
        <w:t xml:space="preserve">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rsidR="00FB65A0" w:rsidRPr="00FB65A0" w:rsidRDefault="00FB65A0" w:rsidP="00FB65A0">
      <w:pPr>
        <w:spacing w:after="0" w:line="276" w:lineRule="auto"/>
        <w:jc w:val="both"/>
        <w:rPr>
          <w:rFonts w:ascii="Arial" w:eastAsia="Times New Roman" w:hAnsi="Arial" w:cs="Arial"/>
          <w:color w:val="000000" w:themeColor="text1"/>
          <w:szCs w:val="24"/>
          <w:lang w:val="es-ES"/>
        </w:rPr>
      </w:pPr>
      <w:r w:rsidRPr="00FB65A0">
        <w:rPr>
          <w:rFonts w:ascii="Arial" w:eastAsia="Times New Roman" w:hAnsi="Arial" w:cs="Arial"/>
          <w:color w:val="000000" w:themeColor="text1"/>
          <w:szCs w:val="24"/>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rsidR="00FB65A0" w:rsidRPr="00FB65A0" w:rsidRDefault="00FB65A0" w:rsidP="00FB65A0">
      <w:pPr>
        <w:tabs>
          <w:tab w:val="left" w:pos="709"/>
        </w:tabs>
        <w:spacing w:after="0" w:line="276" w:lineRule="auto"/>
        <w:jc w:val="both"/>
        <w:rPr>
          <w:rFonts w:ascii="Arial" w:eastAsia="Times New Roman" w:hAnsi="Arial" w:cs="Arial"/>
          <w:color w:val="000000" w:themeColor="text1"/>
          <w:szCs w:val="24"/>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w:t>
      </w:r>
      <w:r w:rsidRPr="00FB65A0">
        <w:rPr>
          <w:rFonts w:ascii="Arial" w:eastAsia="Calibri" w:hAnsi="Arial" w:cs="Arial"/>
          <w:color w:val="000000" w:themeColor="text1"/>
          <w:sz w:val="21"/>
          <w:szCs w:val="21"/>
          <w:lang w:val="es-ES"/>
        </w:rPr>
        <w:lastRenderedPageBreak/>
        <w:t xml:space="preserve">una anterioridad igual o mayor a un año. Para los casos de constitución inferior a un año se tendrá en cuenta a aquellos trabajadores que hayan estado vinculados desde el momento de constitución de la misma. </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p>
    <w:p w:rsidR="00FB65A0" w:rsidRPr="00FB65A0" w:rsidRDefault="00FB65A0" w:rsidP="00FB65A0">
      <w:pPr>
        <w:tabs>
          <w:tab w:val="left" w:pos="709"/>
        </w:tabs>
        <w:spacing w:after="0" w:line="240" w:lineRule="auto"/>
        <w:ind w:left="709" w:right="758"/>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rsidR="00FB65A0" w:rsidRPr="00FB65A0" w:rsidRDefault="00FB65A0" w:rsidP="00FB65A0">
      <w:pPr>
        <w:tabs>
          <w:tab w:val="left" w:pos="426"/>
        </w:tabs>
        <w:spacing w:after="0" w:line="276" w:lineRule="auto"/>
        <w:jc w:val="both"/>
        <w:rPr>
          <w:rFonts w:ascii="Arial" w:eastAsia="Calibri" w:hAnsi="Arial" w:cs="Arial"/>
          <w:color w:val="000000" w:themeColor="text1"/>
          <w:szCs w:val="24"/>
          <w:lang w:val="es-ES"/>
        </w:rPr>
      </w:pP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La política horizontal perseguida es maximizar el número de personas vinculadas laboralmente a empresas contratistas del Estado que hayan cumplido con el requisito de edad y no cuenten con una pensión de vejez, familiar o de sobrevivencia.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w:t>
      </w:r>
      <w:r w:rsidRPr="00FB65A0">
        <w:rPr>
          <w:rFonts w:ascii="Arial" w:eastAsia="Calibri" w:hAnsi="Arial" w:cs="Arial"/>
          <w:color w:val="000000" w:themeColor="text1"/>
          <w:szCs w:val="24"/>
          <w:lang w:val="es-ES"/>
        </w:rPr>
        <w:lastRenderedPageBreak/>
        <w:t xml:space="preserve">la fecha de cierre del proceso de selección. Esta certificación debe ser expedida, según el caso, por la persona natural, el representante legal de la persona jurídica o su revisor fiscal.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Mipymes y los oferentes que hayan vinculado personas en condición de discapacidad, en cierto porcentaje, en su planta de personal.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FB65A0">
        <w:rPr>
          <w:rFonts w:ascii="Arial" w:eastAsia="Calibri" w:hAnsi="Arial" w:cs="Arial"/>
          <w:color w:val="000000" w:themeColor="text1"/>
          <w:szCs w:val="24"/>
          <w:vertAlign w:val="superscript"/>
          <w:lang w:val="es-ES"/>
        </w:rPr>
        <w:footnoteReference w:id="9"/>
      </w:r>
      <w:r w:rsidRPr="00FB65A0">
        <w:rPr>
          <w:rFonts w:ascii="Arial" w:eastAsia="Calibri" w:hAnsi="Arial" w:cs="Arial"/>
          <w:color w:val="000000" w:themeColor="text1"/>
          <w:szCs w:val="24"/>
          <w:lang w:val="es-ES"/>
        </w:rPr>
        <w:t>. La Ley 2040 de 2020, en principio, no parece ser la excepción, pues el artículo 12 dispone: «</w:t>
      </w:r>
      <w:r w:rsidRPr="00FB65A0">
        <w:rPr>
          <w:rFonts w:ascii="Arial" w:eastAsia="Calibri" w:hAnsi="Arial" w:cs="Arial"/>
          <w:color w:val="000000" w:themeColor="text1"/>
          <w:szCs w:val="24"/>
        </w:rPr>
        <w:t>La presente ley rige a partir del momento de su promulgación y deroga las disposiciones que le sean contrarias</w:t>
      </w:r>
      <w:r w:rsidRPr="00FB65A0">
        <w:rPr>
          <w:rFonts w:ascii="Arial" w:eastAsia="Calibri" w:hAnsi="Arial" w:cs="Arial"/>
          <w:color w:val="000000" w:themeColor="text1"/>
          <w:szCs w:val="24"/>
          <w:lang w:val="es-ES"/>
        </w:rPr>
        <w:t>».</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w:t>
      </w:r>
      <w:r w:rsidRPr="00FB65A0">
        <w:rPr>
          <w:rFonts w:ascii="Arial" w:eastAsia="Calibri" w:hAnsi="Arial" w:cs="Arial"/>
          <w:color w:val="000000" w:themeColor="text1"/>
          <w:szCs w:val="24"/>
          <w:lang w:val="es-ES"/>
        </w:rPr>
        <w:lastRenderedPageBreak/>
        <w:t>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FB65A0" w:rsidRPr="00FB65A0" w:rsidRDefault="00FB65A0" w:rsidP="00FB65A0">
      <w:pPr>
        <w:shd w:val="clear" w:color="auto" w:fill="FFFFFF"/>
        <w:spacing w:after="150" w:line="276" w:lineRule="auto"/>
        <w:ind w:right="49" w:firstLine="708"/>
        <w:jc w:val="both"/>
        <w:rPr>
          <w:rFonts w:ascii="Arial" w:eastAsia="Calibri" w:hAnsi="Arial" w:cs="Arial"/>
          <w:color w:val="000000" w:themeColor="text1"/>
          <w:szCs w:val="24"/>
          <w:lang w:val="es-ES"/>
        </w:rPr>
      </w:pPr>
      <w:r w:rsidRPr="00FB65A0">
        <w:rPr>
          <w:rFonts w:ascii="Arial" w:eastAsia="Calibri" w:hAnsi="Arial" w:cs="Arial"/>
          <w:color w:val="000000" w:themeColor="text1"/>
          <w:lang w:val="es-ES"/>
        </w:rPr>
        <w:t xml:space="preserve">En este caso, debe estudiarse si la Ley 2040 de 2020 tiene una condición para empezar a regir, concretamente su criterio de desempate. Hay dos argumentos que dan cuenta de tal condición: el primero </w:t>
      </w:r>
      <w:r w:rsidRPr="00FB65A0">
        <w:rPr>
          <w:rFonts w:ascii="Arial" w:eastAsia="Calibri" w:hAnsi="Arial" w:cs="Arial"/>
          <w:color w:val="000000" w:themeColor="text1"/>
          <w:szCs w:val="24"/>
          <w:lang w:val="es-ES"/>
        </w:rPr>
        <w:t>puede encontrarse en los antecedentes legislativos. En ellos</w:t>
      </w:r>
      <w:r w:rsidRPr="00FB65A0">
        <w:rPr>
          <w:rFonts w:ascii="Arial" w:eastAsia="Calibri" w:hAnsi="Arial" w:cs="Arial"/>
          <w:color w:val="000000" w:themeColor="text1"/>
          <w:szCs w:val="24"/>
          <w:vertAlign w:val="superscript"/>
          <w:lang w:val="es-ES"/>
        </w:rPr>
        <w:footnoteReference w:id="10"/>
      </w:r>
      <w:r w:rsidRPr="00FB65A0">
        <w:rPr>
          <w:rFonts w:ascii="Arial" w:eastAsia="Calibri" w:hAnsi="Arial" w:cs="Arial"/>
          <w:color w:val="000000" w:themeColor="text1"/>
          <w:szCs w:val="24"/>
          <w:lang w:val="es-ES"/>
        </w:rPr>
        <w:t xml:space="preserve"> se explica que el proyecto de Ley tenía como objeto incentivar la contratación de adultos mayores a través de varias medidas, y se destaca la «[r]</w:t>
      </w:r>
      <w:proofErr w:type="spellStart"/>
      <w:r w:rsidRPr="00FB65A0">
        <w:rPr>
          <w:rFonts w:ascii="Arial" w:eastAsia="Calibri" w:hAnsi="Arial" w:cs="Arial"/>
          <w:color w:val="000000" w:themeColor="text1"/>
          <w:szCs w:val="24"/>
          <w:lang w:val="es-ES"/>
        </w:rPr>
        <w:t>eglamentación</w:t>
      </w:r>
      <w:proofErr w:type="spellEnd"/>
      <w:r w:rsidRPr="00FB65A0">
        <w:rPr>
          <w:rFonts w:ascii="Arial" w:eastAsia="Calibri" w:hAnsi="Arial" w:cs="Arial"/>
          <w:color w:val="000000" w:themeColor="text1"/>
          <w:szCs w:val="24"/>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sidRPr="00FB65A0">
        <w:rPr>
          <w:rFonts w:ascii="Arial" w:eastAsia="Calibri" w:hAnsi="Arial" w:cs="Arial"/>
          <w:color w:val="000000" w:themeColor="text1"/>
          <w:szCs w:val="24"/>
          <w:vertAlign w:val="superscript"/>
          <w:lang w:val="es-ES"/>
        </w:rPr>
        <w:footnoteReference w:id="11"/>
      </w:r>
      <w:r w:rsidRPr="00FB65A0">
        <w:rPr>
          <w:rFonts w:ascii="Arial" w:eastAsia="Calibri" w:hAnsi="Arial" w:cs="Arial"/>
          <w:color w:val="000000" w:themeColor="text1"/>
          <w:szCs w:val="24"/>
          <w:lang w:val="es-ES"/>
        </w:rPr>
        <w:t>.</w:t>
      </w:r>
      <w:r w:rsidRPr="00FB65A0">
        <w:rPr>
          <w:rFonts w:ascii="Verdana" w:eastAsia="Calibri" w:hAnsi="Verdana" w:cs="Arial"/>
          <w:color w:val="000000" w:themeColor="text1"/>
          <w:szCs w:val="24"/>
          <w:lang w:val="es-ES"/>
        </w:rPr>
        <w:t xml:space="preserve"> </w:t>
      </w:r>
      <w:r w:rsidRPr="00FB65A0">
        <w:rPr>
          <w:rFonts w:ascii="Arial" w:eastAsia="Calibri" w:hAnsi="Arial" w:cs="Arial"/>
          <w:color w:val="000000" w:themeColor="text1"/>
          <w:szCs w:val="24"/>
          <w:lang w:val="es-ES"/>
        </w:rPr>
        <w:t xml:space="preserve">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rsidR="00FB65A0" w:rsidRPr="00FB65A0" w:rsidRDefault="00FB65A0" w:rsidP="00FB65A0">
      <w:pPr>
        <w:shd w:val="clear" w:color="auto" w:fill="FFFFFF"/>
        <w:spacing w:after="150" w:line="276" w:lineRule="auto"/>
        <w:ind w:right="49" w:firstLine="708"/>
        <w:jc w:val="both"/>
        <w:rPr>
          <w:rFonts w:ascii="Arial" w:eastAsia="Calibri" w:hAnsi="Arial" w:cs="Arial"/>
          <w:color w:val="000000" w:themeColor="text1"/>
          <w:szCs w:val="24"/>
          <w:lang w:val="es-ES"/>
        </w:rPr>
      </w:pPr>
      <w:r w:rsidRPr="00FB65A0">
        <w:rPr>
          <w:rFonts w:ascii="Arial" w:eastAsia="Calibri" w:hAnsi="Arial" w:cs="Arial"/>
          <w:color w:val="000000" w:themeColor="text1"/>
          <w:lang w:val="es-ES"/>
        </w:rPr>
        <w:t xml:space="preserve">El segundo argumento procede de la misma Ley. El artículo 4 de la Ley </w:t>
      </w:r>
      <w:r w:rsidRPr="00FB65A0">
        <w:rPr>
          <w:rFonts w:ascii="Arial" w:eastAsia="Calibri" w:hAnsi="Arial" w:cs="Arial"/>
          <w:color w:val="000000" w:themeColor="text1"/>
          <w:szCs w:val="24"/>
          <w:lang w:val="es-ES"/>
        </w:rPr>
        <w:t>2040 de 2020</w:t>
      </w:r>
      <w:r w:rsidRPr="00FB65A0">
        <w:rPr>
          <w:rFonts w:ascii="Arial" w:eastAsia="Calibri" w:hAnsi="Arial" w:cs="Arial"/>
          <w:color w:val="000000" w:themeColor="text1"/>
          <w:szCs w:val="24"/>
          <w:vertAlign w:val="superscript"/>
          <w:lang w:val="es-ES"/>
        </w:rPr>
        <w:footnoteReference w:id="12"/>
      </w:r>
      <w:r w:rsidRPr="00FB65A0">
        <w:rPr>
          <w:rFonts w:ascii="Arial" w:eastAsia="Calibri" w:hAnsi="Arial" w:cs="Arial"/>
          <w:color w:val="000000" w:themeColor="text1"/>
          <w:szCs w:val="24"/>
          <w:lang w:val="es-ES"/>
        </w:rPr>
        <w:t xml:space="preserve"> establece que el Gobierno Nacional, en consulta con el Consejo Nacional del Adulto </w:t>
      </w:r>
      <w:r w:rsidRPr="00FB65A0">
        <w:rPr>
          <w:rFonts w:ascii="Arial" w:eastAsia="Calibri" w:hAnsi="Arial" w:cs="Arial"/>
          <w:color w:val="000000" w:themeColor="text1"/>
          <w:szCs w:val="24"/>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FB65A0" w:rsidRPr="00FB65A0" w:rsidRDefault="00FB65A0" w:rsidP="00FB65A0">
      <w:pPr>
        <w:spacing w:after="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Sobre este asunto, es preciso llamar la atención sobre la jurisprudencia. Sobre ello, el Consejo de Estado ha dicho: </w:t>
      </w:r>
    </w:p>
    <w:p w:rsidR="00FB65A0" w:rsidRPr="00FB65A0" w:rsidRDefault="00FB65A0" w:rsidP="00FB65A0">
      <w:pPr>
        <w:shd w:val="clear" w:color="auto" w:fill="FFFFFF"/>
        <w:spacing w:after="0" w:line="240" w:lineRule="auto"/>
        <w:ind w:left="709" w:right="760"/>
        <w:jc w:val="both"/>
        <w:rPr>
          <w:rFonts w:ascii="Arial" w:eastAsia="Calibri" w:hAnsi="Arial" w:cs="Arial"/>
          <w:color w:val="000000" w:themeColor="text1"/>
          <w:sz w:val="21"/>
          <w:szCs w:val="21"/>
          <w:lang w:val="es-ES"/>
        </w:rPr>
      </w:pPr>
    </w:p>
    <w:p w:rsidR="00FB65A0" w:rsidRPr="00FB65A0" w:rsidRDefault="00FB65A0" w:rsidP="00FB65A0">
      <w:pPr>
        <w:shd w:val="clear" w:color="auto" w:fill="FFFFFF"/>
        <w:spacing w:after="0" w:line="240" w:lineRule="auto"/>
        <w:ind w:left="709" w:right="760"/>
        <w:jc w:val="both"/>
        <w:rPr>
          <w:rFonts w:ascii="Arial" w:eastAsia="Calibri" w:hAnsi="Arial" w:cs="Arial"/>
          <w:color w:val="000000" w:themeColor="text1"/>
          <w:sz w:val="21"/>
          <w:szCs w:val="21"/>
          <w:lang w:val="es-ES"/>
        </w:rPr>
      </w:pPr>
      <w:r w:rsidRPr="00FB65A0">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FB65A0">
        <w:rPr>
          <w:rFonts w:ascii="Arial" w:eastAsia="Calibri" w:hAnsi="Arial" w:cs="Arial"/>
          <w:color w:val="000000" w:themeColor="text1"/>
          <w:sz w:val="21"/>
          <w:szCs w:val="21"/>
          <w:vertAlign w:val="superscript"/>
          <w:lang w:val="es-ES"/>
        </w:rPr>
        <w:footnoteReference w:id="13"/>
      </w:r>
      <w:r w:rsidRPr="00FB65A0">
        <w:rPr>
          <w:rFonts w:ascii="Arial" w:eastAsia="Calibri" w:hAnsi="Arial" w:cs="Arial"/>
          <w:color w:val="000000" w:themeColor="text1"/>
          <w:sz w:val="21"/>
          <w:szCs w:val="21"/>
          <w:lang w:val="es-ES"/>
        </w:rPr>
        <w:t>.</w:t>
      </w:r>
    </w:p>
    <w:p w:rsidR="00FB65A0" w:rsidRPr="00FB65A0" w:rsidRDefault="00FB65A0" w:rsidP="00FB65A0">
      <w:pPr>
        <w:shd w:val="clear" w:color="auto" w:fill="FFFFFF"/>
        <w:spacing w:after="0" w:line="240" w:lineRule="auto"/>
        <w:ind w:left="709" w:right="760"/>
        <w:jc w:val="both"/>
        <w:rPr>
          <w:rFonts w:ascii="Arial" w:eastAsia="Calibri" w:hAnsi="Arial" w:cs="Arial"/>
          <w:color w:val="000000" w:themeColor="text1"/>
          <w:sz w:val="21"/>
          <w:szCs w:val="21"/>
          <w:lang w:val="es-ES"/>
        </w:rPr>
      </w:pPr>
    </w:p>
    <w:p w:rsidR="00FB65A0" w:rsidRPr="00FB65A0" w:rsidRDefault="00FB65A0" w:rsidP="00FB65A0">
      <w:pPr>
        <w:shd w:val="clear" w:color="auto" w:fill="FFFFFF"/>
        <w:spacing w:after="120" w:line="276" w:lineRule="auto"/>
        <w:ind w:right="51" w:firstLine="709"/>
        <w:jc w:val="both"/>
        <w:rPr>
          <w:rFonts w:ascii="Arial" w:eastAsia="Calibri" w:hAnsi="Arial" w:cs="Arial"/>
          <w:color w:val="000000" w:themeColor="text1"/>
          <w:lang w:val="es-ES"/>
        </w:rPr>
      </w:pPr>
      <w:r w:rsidRPr="00FB65A0">
        <w:rPr>
          <w:rFonts w:ascii="Arial" w:eastAsia="Calibri" w:hAnsi="Arial" w:cs="Arial"/>
          <w:color w:val="000000" w:themeColor="text1"/>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rsidR="00FB65A0" w:rsidRPr="00FB65A0" w:rsidRDefault="00FB65A0" w:rsidP="00FB65A0">
      <w:pPr>
        <w:spacing w:after="120" w:line="276" w:lineRule="auto"/>
        <w:ind w:firstLine="709"/>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rsidR="00FB65A0" w:rsidRPr="00FB65A0" w:rsidRDefault="00FB65A0" w:rsidP="00FB65A0">
      <w:pPr>
        <w:spacing w:after="0" w:line="276" w:lineRule="auto"/>
        <w:ind w:firstLine="709"/>
        <w:jc w:val="both"/>
        <w:rPr>
          <w:rFonts w:ascii="Arial" w:eastAsia="Calibri" w:hAnsi="Arial" w:cs="Arial"/>
          <w:color w:val="000000" w:themeColor="text1"/>
          <w:szCs w:val="24"/>
          <w:lang w:val="es-ES"/>
        </w:rPr>
      </w:pPr>
    </w:p>
    <w:p w:rsidR="00FB65A0" w:rsidRPr="00FB65A0" w:rsidRDefault="00FB65A0" w:rsidP="00B71EC5">
      <w:pPr>
        <w:numPr>
          <w:ilvl w:val="0"/>
          <w:numId w:val="1"/>
        </w:numPr>
        <w:tabs>
          <w:tab w:val="left" w:pos="284"/>
        </w:tabs>
        <w:spacing w:after="0" w:line="276" w:lineRule="auto"/>
        <w:ind w:left="0" w:firstLine="0"/>
        <w:contextualSpacing/>
        <w:rPr>
          <w:rFonts w:ascii="Arial" w:hAnsi="Arial" w:cs="Arial"/>
          <w:b/>
          <w:bCs/>
          <w:color w:val="000000" w:themeColor="text1"/>
          <w:lang w:val="es-ES"/>
        </w:rPr>
      </w:pPr>
      <w:r w:rsidRPr="00FB65A0">
        <w:rPr>
          <w:rFonts w:ascii="Arial" w:hAnsi="Arial" w:cs="Arial"/>
          <w:b/>
          <w:bCs/>
          <w:color w:val="000000" w:themeColor="text1"/>
          <w:lang w:val="es-ES"/>
        </w:rPr>
        <w:lastRenderedPageBreak/>
        <w:t xml:space="preserve">Respuesta </w:t>
      </w:r>
    </w:p>
    <w:p w:rsidR="00FB65A0" w:rsidRPr="00FB65A0" w:rsidRDefault="00FB65A0" w:rsidP="00FB65A0">
      <w:pPr>
        <w:spacing w:after="0" w:line="240" w:lineRule="auto"/>
        <w:ind w:left="709" w:right="709"/>
        <w:jc w:val="both"/>
        <w:rPr>
          <w:rFonts w:ascii="Arial" w:eastAsia="Calibri" w:hAnsi="Arial" w:cs="Arial"/>
          <w:color w:val="000000" w:themeColor="text1"/>
          <w:sz w:val="21"/>
          <w:szCs w:val="21"/>
          <w:lang w:val="es-ES"/>
        </w:rPr>
      </w:pPr>
    </w:p>
    <w:p w:rsidR="007C5322" w:rsidRPr="00590358" w:rsidRDefault="00130F0D" w:rsidP="00590358">
      <w:pPr>
        <w:spacing w:after="0" w:line="240"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«(i) </w:t>
      </w:r>
      <w:r w:rsidRPr="00130F0D">
        <w:rPr>
          <w:rFonts w:ascii="Arial" w:eastAsia="Calibri" w:hAnsi="Arial" w:cs="Arial"/>
          <w:color w:val="000000" w:themeColor="text1"/>
          <w:sz w:val="21"/>
          <w:szCs w:val="21"/>
        </w:rPr>
        <w:t>¿</w:t>
      </w:r>
      <w:r w:rsidR="00590358">
        <w:rPr>
          <w:rFonts w:ascii="Arial" w:eastAsia="Calibri" w:hAnsi="Arial" w:cs="Arial"/>
          <w:color w:val="000000" w:themeColor="text1"/>
          <w:sz w:val="21"/>
          <w:szCs w:val="21"/>
        </w:rPr>
        <w:t>c</w:t>
      </w:r>
      <w:r w:rsidRPr="00130F0D">
        <w:rPr>
          <w:rFonts w:ascii="Arial" w:eastAsia="Calibri" w:hAnsi="Arial" w:cs="Arial"/>
          <w:color w:val="000000" w:themeColor="text1"/>
          <w:sz w:val="21"/>
          <w:szCs w:val="21"/>
        </w:rPr>
        <w:t xml:space="preserve">ómo queda el artículo 2.2.1.1.2.2.9 </w:t>
      </w:r>
      <w:proofErr w:type="gramStart"/>
      <w:r w:rsidRPr="00130F0D">
        <w:rPr>
          <w:rFonts w:ascii="Arial" w:eastAsia="Calibri" w:hAnsi="Arial" w:cs="Arial"/>
          <w:color w:val="000000" w:themeColor="text1"/>
          <w:sz w:val="21"/>
          <w:szCs w:val="21"/>
        </w:rPr>
        <w:t>Decreto 1082 de 2015, sobre factores de desempate?</w:t>
      </w:r>
      <w:proofErr w:type="gramEnd"/>
      <w:r w:rsidR="00FB65A0" w:rsidRPr="00FB65A0">
        <w:rPr>
          <w:rFonts w:ascii="Arial" w:eastAsia="Calibri" w:hAnsi="Arial" w:cs="Arial"/>
          <w:color w:val="000000" w:themeColor="text1"/>
          <w:sz w:val="21"/>
          <w:szCs w:val="21"/>
          <w:lang w:val="es-ES"/>
        </w:rPr>
        <w:t xml:space="preserve">». </w:t>
      </w:r>
    </w:p>
    <w:p w:rsidR="00130F0D" w:rsidRPr="00FB65A0" w:rsidRDefault="00130F0D" w:rsidP="00590358">
      <w:pPr>
        <w:spacing w:after="0" w:line="240" w:lineRule="auto"/>
        <w:ind w:right="709"/>
        <w:jc w:val="both"/>
        <w:rPr>
          <w:rFonts w:ascii="Arial" w:eastAsia="Calibri" w:hAnsi="Arial" w:cs="Arial"/>
          <w:color w:val="000000" w:themeColor="text1"/>
          <w:sz w:val="21"/>
          <w:szCs w:val="21"/>
          <w:lang w:val="es-ES"/>
        </w:rPr>
      </w:pPr>
    </w:p>
    <w:p w:rsidR="00130F0D" w:rsidRDefault="00130F0D" w:rsidP="00590358">
      <w:pPr>
        <w:spacing w:after="0" w:line="240"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130F0D">
        <w:rPr>
          <w:rFonts w:ascii="Arial" w:eastAsia="Calibri" w:hAnsi="Arial" w:cs="Arial"/>
          <w:color w:val="000000" w:themeColor="text1"/>
          <w:sz w:val="21"/>
          <w:szCs w:val="21"/>
        </w:rPr>
        <w:t>(ii) ¿</w:t>
      </w:r>
      <w:r w:rsidR="00590358">
        <w:rPr>
          <w:rFonts w:ascii="Arial" w:eastAsia="Calibri" w:hAnsi="Arial" w:cs="Arial"/>
          <w:color w:val="000000" w:themeColor="text1"/>
          <w:sz w:val="21"/>
          <w:szCs w:val="21"/>
        </w:rPr>
        <w:t>c</w:t>
      </w:r>
      <w:r w:rsidRPr="00130F0D">
        <w:rPr>
          <w:rFonts w:ascii="Arial" w:eastAsia="Calibri" w:hAnsi="Arial" w:cs="Arial"/>
          <w:color w:val="000000" w:themeColor="text1"/>
          <w:sz w:val="21"/>
          <w:szCs w:val="21"/>
        </w:rPr>
        <w:t xml:space="preserve">uál sería el criterio de </w:t>
      </w:r>
      <w:r>
        <w:rPr>
          <w:rFonts w:ascii="Arial" w:eastAsia="Calibri" w:hAnsi="Arial" w:cs="Arial"/>
          <w:color w:val="000000" w:themeColor="text1"/>
          <w:sz w:val="21"/>
          <w:szCs w:val="21"/>
        </w:rPr>
        <w:t>desempate inicial?</w:t>
      </w:r>
      <w:r w:rsidRPr="00130F0D">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w:t>
      </w:r>
    </w:p>
    <w:p w:rsidR="00130F0D" w:rsidRDefault="00130F0D" w:rsidP="00590358">
      <w:pPr>
        <w:spacing w:after="0" w:line="240" w:lineRule="auto"/>
        <w:ind w:left="709" w:right="709"/>
        <w:jc w:val="both"/>
        <w:rPr>
          <w:rFonts w:ascii="Arial" w:eastAsia="Calibri" w:hAnsi="Arial" w:cs="Arial"/>
          <w:color w:val="000000" w:themeColor="text1"/>
          <w:sz w:val="21"/>
          <w:szCs w:val="21"/>
        </w:rPr>
      </w:pPr>
    </w:p>
    <w:p w:rsidR="00FB65A0" w:rsidRPr="00FB65A0" w:rsidRDefault="00130F0D" w:rsidP="00590358">
      <w:pPr>
        <w:spacing w:after="0" w:line="240" w:lineRule="auto"/>
        <w:ind w:left="709" w:right="709"/>
        <w:jc w:val="both"/>
        <w:rPr>
          <w:rFonts w:ascii="Arial" w:eastAsia="Calibri" w:hAnsi="Arial" w:cs="Arial"/>
          <w:color w:val="000000" w:themeColor="text1"/>
          <w:sz w:val="21"/>
          <w:szCs w:val="21"/>
          <w:lang w:val="es-ES"/>
        </w:rPr>
      </w:pPr>
      <w:r w:rsidRPr="00130F0D">
        <w:rPr>
          <w:rFonts w:ascii="Arial" w:eastAsia="Calibri" w:hAnsi="Arial" w:cs="Arial"/>
          <w:color w:val="000000" w:themeColor="text1"/>
          <w:sz w:val="21"/>
          <w:szCs w:val="21"/>
          <w:lang w:val="es-ES"/>
        </w:rPr>
        <w:t>«</w:t>
      </w:r>
      <w:r w:rsidRPr="00130F0D">
        <w:rPr>
          <w:rFonts w:ascii="Arial" w:eastAsia="Calibri" w:hAnsi="Arial" w:cs="Arial"/>
          <w:color w:val="000000" w:themeColor="text1"/>
          <w:sz w:val="21"/>
          <w:szCs w:val="21"/>
        </w:rPr>
        <w:t>(iii) ¿</w:t>
      </w:r>
      <w:r w:rsidR="00590358">
        <w:rPr>
          <w:rFonts w:ascii="Arial" w:eastAsia="Calibri" w:hAnsi="Arial" w:cs="Arial"/>
          <w:color w:val="000000" w:themeColor="text1"/>
          <w:sz w:val="21"/>
          <w:szCs w:val="21"/>
        </w:rPr>
        <w:t>e</w:t>
      </w:r>
      <w:r w:rsidRPr="00130F0D">
        <w:rPr>
          <w:rFonts w:ascii="Arial" w:eastAsia="Calibri" w:hAnsi="Arial" w:cs="Arial"/>
          <w:color w:val="000000" w:themeColor="text1"/>
          <w:sz w:val="21"/>
          <w:szCs w:val="21"/>
        </w:rPr>
        <w:t>l establecido en Ley 2040 o el que indica que el oferente que tenga el mayor puntaje en el primero de los factor</w:t>
      </w:r>
      <w:r>
        <w:rPr>
          <w:rFonts w:ascii="Arial" w:eastAsia="Calibri" w:hAnsi="Arial" w:cs="Arial"/>
          <w:color w:val="000000" w:themeColor="text1"/>
          <w:sz w:val="21"/>
          <w:szCs w:val="21"/>
        </w:rPr>
        <w:t>es de escogencia o calificación</w:t>
      </w:r>
      <w:r w:rsidRPr="00130F0D">
        <w:rPr>
          <w:rFonts w:ascii="Arial" w:eastAsia="Calibri" w:hAnsi="Arial" w:cs="Arial"/>
          <w:color w:val="000000" w:themeColor="text1"/>
          <w:sz w:val="21"/>
          <w:szCs w:val="21"/>
        </w:rPr>
        <w:t>?</w:t>
      </w:r>
      <w:r w:rsidRPr="00130F0D">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 xml:space="preserve">. </w:t>
      </w:r>
    </w:p>
    <w:p w:rsidR="00FB65A0" w:rsidRPr="00FB65A0" w:rsidRDefault="00FB65A0" w:rsidP="00FB65A0">
      <w:pPr>
        <w:spacing w:after="120" w:line="276" w:lineRule="auto"/>
        <w:jc w:val="both"/>
        <w:rPr>
          <w:rFonts w:ascii="Arial" w:eastAsia="Calibri" w:hAnsi="Arial" w:cs="Arial"/>
          <w:color w:val="000000" w:themeColor="text1"/>
          <w:szCs w:val="24"/>
          <w:lang w:val="es-ES"/>
        </w:rPr>
      </w:pPr>
    </w:p>
    <w:p w:rsidR="00FB65A0" w:rsidRPr="00FB65A0" w:rsidRDefault="00FB65A0" w:rsidP="00FB65A0">
      <w:pPr>
        <w:spacing w:after="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w:t>
      </w:r>
    </w:p>
    <w:p w:rsidR="00FB65A0" w:rsidRPr="00FB65A0" w:rsidRDefault="00FB65A0" w:rsidP="00FB65A0">
      <w:pPr>
        <w:spacing w:before="120" w:after="0" w:line="276" w:lineRule="auto"/>
        <w:jc w:val="both"/>
        <w:rPr>
          <w:rFonts w:ascii="Arial" w:eastAsia="Calibri" w:hAnsi="Arial" w:cs="Arial"/>
          <w:color w:val="000000" w:themeColor="text1"/>
          <w:szCs w:val="24"/>
          <w:lang w:val="es-ES"/>
        </w:rPr>
      </w:pPr>
      <w:r w:rsidRPr="00FB65A0">
        <w:rPr>
          <w:rFonts w:ascii="Arial" w:eastAsia="Calibri" w:hAnsi="Arial" w:cs="Arial"/>
          <w:color w:val="000000" w:themeColor="text1"/>
          <w:szCs w:val="24"/>
          <w:lang w:val="es-ES"/>
        </w:rPr>
        <w:t>Este concepto tiene el alcance previsto en el artículo 28 del Código de Procedimiento Administrativo y de lo Contencioso Administrativo.</w:t>
      </w:r>
    </w:p>
    <w:p w:rsidR="00FB65A0" w:rsidRPr="00FB65A0" w:rsidRDefault="00FB65A0" w:rsidP="00FB65A0">
      <w:pPr>
        <w:spacing w:after="0" w:line="240" w:lineRule="auto"/>
        <w:ind w:firstLine="709"/>
        <w:jc w:val="both"/>
        <w:rPr>
          <w:rFonts w:ascii="Arial" w:eastAsia="Calibri" w:hAnsi="Arial" w:cs="Arial"/>
          <w:color w:val="000000" w:themeColor="text1"/>
          <w:szCs w:val="24"/>
          <w:lang w:val="es-ES"/>
        </w:rPr>
      </w:pPr>
    </w:p>
    <w:p w:rsidR="00FB65A0" w:rsidRPr="00FB65A0" w:rsidRDefault="00FB65A0" w:rsidP="00FB65A0">
      <w:pPr>
        <w:spacing w:after="0" w:line="240" w:lineRule="auto"/>
        <w:jc w:val="both"/>
        <w:rPr>
          <w:rFonts w:ascii="Arial" w:eastAsia="Times New Roman" w:hAnsi="Arial" w:cs="Arial"/>
          <w:color w:val="000000" w:themeColor="text1"/>
          <w:szCs w:val="24"/>
          <w:lang w:val="es-ES" w:eastAsia="es-CO"/>
        </w:rPr>
      </w:pPr>
      <w:r w:rsidRPr="00FB65A0">
        <w:rPr>
          <w:rFonts w:ascii="Arial" w:eastAsia="Times New Roman" w:hAnsi="Arial" w:cs="Arial"/>
          <w:color w:val="000000" w:themeColor="text1"/>
          <w:szCs w:val="24"/>
          <w:lang w:val="es-ES" w:eastAsia="es-CO"/>
        </w:rPr>
        <w:t>Atentamente,</w:t>
      </w:r>
    </w:p>
    <w:bookmarkEnd w:id="0"/>
    <w:bookmarkEnd w:id="1"/>
    <w:p w:rsidR="00FB65A0" w:rsidRPr="00FB65A0" w:rsidRDefault="00D57013" w:rsidP="00FB65A0">
      <w:pPr>
        <w:spacing w:after="0" w:line="240" w:lineRule="auto"/>
        <w:jc w:val="center"/>
        <w:rPr>
          <w:rFonts w:ascii="Times New Roman" w:eastAsia="Times New Roman" w:hAnsi="Times New Roman" w:cs="Times New Roman"/>
          <w:sz w:val="24"/>
          <w:szCs w:val="24"/>
          <w:lang w:val="es-ES"/>
        </w:rPr>
      </w:pPr>
      <w:r>
        <w:rPr>
          <w:noProof/>
          <w:lang w:eastAsia="es-CO"/>
        </w:rPr>
        <w:drawing>
          <wp:inline distT="0" distB="0" distL="0" distR="0" wp14:anchorId="4D1BA30B" wp14:editId="384AC705">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00FB65A0" w:rsidRPr="00FB65A0" w:rsidRDefault="00FB65A0" w:rsidP="00FB65A0">
      <w:pPr>
        <w:spacing w:after="0" w:line="240" w:lineRule="auto"/>
        <w:jc w:val="center"/>
        <w:rPr>
          <w:rFonts w:ascii="Times New Roman" w:eastAsia="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B65A0" w:rsidRPr="00FB65A0" w:rsidTr="002D21B8">
        <w:trPr>
          <w:trHeight w:val="315"/>
        </w:trPr>
        <w:tc>
          <w:tcPr>
            <w:tcW w:w="812" w:type="dxa"/>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 xml:space="preserve">Sebastián Barreto Cifuentes </w:t>
            </w:r>
          </w:p>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Contratista Dirección y Subdirección de Gestión Contractual</w:t>
            </w:r>
          </w:p>
        </w:tc>
      </w:tr>
      <w:tr w:rsidR="00FB65A0" w:rsidRPr="00FB65A0" w:rsidTr="002D21B8">
        <w:trPr>
          <w:trHeight w:val="330"/>
        </w:trPr>
        <w:tc>
          <w:tcPr>
            <w:tcW w:w="812" w:type="dxa"/>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Sebastián Ramírez Grisales</w:t>
            </w:r>
          </w:p>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Contratista – Subdirección de Gestión Contractual</w:t>
            </w:r>
          </w:p>
        </w:tc>
      </w:tr>
      <w:tr w:rsidR="00FB65A0" w:rsidRPr="00FB65A0" w:rsidTr="002D21B8">
        <w:trPr>
          <w:trHeight w:val="300"/>
        </w:trPr>
        <w:tc>
          <w:tcPr>
            <w:tcW w:w="812" w:type="dxa"/>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Fabián Gonzalo Marín Cortés</w:t>
            </w:r>
          </w:p>
          <w:p w:rsidR="00FB65A0" w:rsidRPr="00FB65A0" w:rsidRDefault="00FB65A0" w:rsidP="00FB65A0">
            <w:pPr>
              <w:rPr>
                <w:rFonts w:ascii="Arial" w:eastAsia="Times New Roman" w:hAnsi="Arial" w:cs="Arial"/>
                <w:color w:val="000000" w:themeColor="text1"/>
                <w:sz w:val="16"/>
                <w:szCs w:val="16"/>
                <w:lang w:val="es-ES" w:eastAsia="es-ES"/>
              </w:rPr>
            </w:pPr>
            <w:r w:rsidRPr="00FB65A0">
              <w:rPr>
                <w:rFonts w:ascii="Arial" w:eastAsia="Times New Roman" w:hAnsi="Arial" w:cs="Arial"/>
                <w:color w:val="000000" w:themeColor="text1"/>
                <w:sz w:val="16"/>
                <w:szCs w:val="16"/>
                <w:lang w:val="es-ES" w:eastAsia="es-ES"/>
              </w:rPr>
              <w:t>Subdirector de Gestión Contractual</w:t>
            </w:r>
          </w:p>
        </w:tc>
      </w:tr>
    </w:tbl>
    <w:p w:rsidR="00FB65A0" w:rsidRPr="00FB65A0" w:rsidRDefault="00FB65A0" w:rsidP="00FB65A0">
      <w:pPr>
        <w:spacing w:after="0" w:line="240" w:lineRule="auto"/>
        <w:rPr>
          <w:rFonts w:ascii="Times New Roman" w:eastAsia="Times New Roman" w:hAnsi="Times New Roman" w:cs="Times New Roman"/>
          <w:color w:val="000000" w:themeColor="text1"/>
          <w:sz w:val="24"/>
          <w:szCs w:val="24"/>
          <w:lang w:val="es-ES"/>
        </w:rPr>
      </w:pPr>
    </w:p>
    <w:p w:rsidR="00C00D1F" w:rsidRPr="00FB65A0" w:rsidRDefault="00C00D1F">
      <w:pPr>
        <w:rPr>
          <w:lang w:val="es-ES"/>
        </w:rPr>
      </w:pPr>
    </w:p>
    <w:sectPr w:rsidR="00C00D1F" w:rsidRPr="00FB65A0" w:rsidSect="003821D7">
      <w:headerReference w:type="default" r:id="rId8"/>
      <w:footerReference w:type="default" r:id="rId9"/>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C6" w:rsidRDefault="005F00C6" w:rsidP="00FB65A0">
      <w:pPr>
        <w:spacing w:after="0" w:line="240" w:lineRule="auto"/>
      </w:pPr>
      <w:r>
        <w:separator/>
      </w:r>
    </w:p>
  </w:endnote>
  <w:endnote w:type="continuationSeparator" w:id="0">
    <w:p w:rsidR="005F00C6" w:rsidRDefault="005F00C6" w:rsidP="00FB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5F00C6" w:rsidP="007115CD">
    <w:pPr>
      <w:pStyle w:val="Sinespaciado"/>
      <w:jc w:val="right"/>
      <w:rPr>
        <w:rFonts w:ascii="Arial" w:hAnsi="Arial" w:cs="Arial"/>
        <w:sz w:val="18"/>
        <w:szCs w:val="18"/>
      </w:rPr>
    </w:pPr>
  </w:p>
  <w:p w:rsidR="007D4CE6" w:rsidRPr="008217B7" w:rsidRDefault="00F2194C"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E4EE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E4EE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7D4CE6" w:rsidRDefault="00F2194C" w:rsidP="007115CD">
    <w:pPr>
      <w:pStyle w:val="Piedepgina"/>
      <w:jc w:val="center"/>
      <w:rPr>
        <w:lang w:val="es-ES"/>
      </w:rPr>
    </w:pPr>
    <w:r>
      <w:rPr>
        <w:noProof/>
        <w:lang w:eastAsia="es-CO"/>
      </w:rPr>
      <w:drawing>
        <wp:inline distT="0" distB="0" distL="0" distR="0" wp14:anchorId="70AEC9DE" wp14:editId="7C832FB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D4CE6" w:rsidRPr="00E756AC" w:rsidRDefault="005F00C6" w:rsidP="007115CD">
    <w:pPr>
      <w:pStyle w:val="Piedepgina"/>
      <w:jc w:val="center"/>
      <w:rPr>
        <w:sz w:val="18"/>
        <w:szCs w:val="18"/>
        <w:lang w:val="es-ES"/>
      </w:rPr>
    </w:pPr>
  </w:p>
  <w:p w:rsidR="007D4CE6" w:rsidRPr="00E756AC" w:rsidRDefault="005F00C6"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C6" w:rsidRDefault="005F00C6" w:rsidP="00FB65A0">
      <w:pPr>
        <w:spacing w:after="0" w:line="240" w:lineRule="auto"/>
      </w:pPr>
      <w:r>
        <w:separator/>
      </w:r>
    </w:p>
  </w:footnote>
  <w:footnote w:type="continuationSeparator" w:id="0">
    <w:p w:rsidR="005F00C6" w:rsidRDefault="005F00C6" w:rsidP="00FB65A0">
      <w:pPr>
        <w:spacing w:after="0" w:line="240" w:lineRule="auto"/>
      </w:pPr>
      <w:r>
        <w:continuationSeparator/>
      </w:r>
    </w:p>
  </w:footnote>
  <w:footnote w:id="1">
    <w:p w:rsidR="00FB65A0" w:rsidRPr="00002995" w:rsidRDefault="00FB65A0" w:rsidP="00FB65A0">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disponible en: https://ec.europa.eu/environment/gpp/pdf/Buying-Green-Handbook-3rd-Edition.pdf  </w:t>
      </w:r>
    </w:p>
    <w:p w:rsidR="00FB65A0" w:rsidRPr="00002995" w:rsidRDefault="00FB65A0" w:rsidP="00FB65A0">
      <w:pPr>
        <w:pStyle w:val="Textonotapie"/>
        <w:ind w:firstLine="708"/>
        <w:jc w:val="both"/>
        <w:rPr>
          <w:rFonts w:ascii="Arial" w:hAnsi="Arial" w:cs="Arial"/>
          <w:sz w:val="19"/>
          <w:szCs w:val="19"/>
          <w:lang w:val="en-US"/>
        </w:rPr>
      </w:pPr>
    </w:p>
  </w:footnote>
  <w:footnote w:id="2">
    <w:p w:rsidR="00FB65A0" w:rsidRPr="00002995" w:rsidRDefault="00FB65A0" w:rsidP="00FB65A0">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rsidR="00FB65A0" w:rsidRPr="00002995" w:rsidRDefault="00FB65A0" w:rsidP="00FB65A0">
      <w:pPr>
        <w:pStyle w:val="Textonotapie"/>
        <w:ind w:firstLine="708"/>
        <w:jc w:val="both"/>
        <w:rPr>
          <w:rFonts w:ascii="Arial" w:hAnsi="Arial" w:cs="Arial"/>
          <w:sz w:val="19"/>
          <w:szCs w:val="19"/>
          <w:lang w:val="es-CO"/>
        </w:rPr>
      </w:pPr>
    </w:p>
  </w:footnote>
  <w:footnote w:id="3">
    <w:p w:rsidR="00FB65A0" w:rsidRPr="00002995" w:rsidRDefault="00FB65A0" w:rsidP="00FB65A0">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rsidR="00FB65A0" w:rsidRPr="00002995" w:rsidRDefault="00FB65A0" w:rsidP="00FB65A0">
      <w:pPr>
        <w:pStyle w:val="Textonotapie"/>
        <w:ind w:firstLine="708"/>
        <w:jc w:val="both"/>
        <w:rPr>
          <w:rFonts w:ascii="Arial" w:hAnsi="Arial" w:cs="Arial"/>
          <w:sz w:val="19"/>
          <w:szCs w:val="19"/>
          <w:lang w:val="es-CO"/>
        </w:rPr>
      </w:pPr>
    </w:p>
  </w:footnote>
  <w:footnote w:id="4">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rsidR="00FB65A0" w:rsidRPr="00002995" w:rsidRDefault="00FB65A0" w:rsidP="00FB65A0">
      <w:pPr>
        <w:pStyle w:val="Textonotapie"/>
        <w:ind w:firstLine="708"/>
        <w:jc w:val="both"/>
        <w:rPr>
          <w:rFonts w:ascii="Arial" w:hAnsi="Arial" w:cs="Arial"/>
          <w:sz w:val="19"/>
          <w:szCs w:val="19"/>
          <w:lang w:val="es-CO"/>
        </w:rPr>
      </w:pPr>
    </w:p>
  </w:footnote>
  <w:footnote w:id="5">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rsidR="00FB65A0" w:rsidRPr="00002995" w:rsidRDefault="00FB65A0" w:rsidP="00FB65A0">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FB65A0" w:rsidRPr="00002995" w:rsidRDefault="00FB65A0" w:rsidP="00FB65A0">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rsidR="00FB65A0" w:rsidRPr="00002995" w:rsidRDefault="00FB65A0" w:rsidP="00FB65A0">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FB65A0" w:rsidRPr="00002995" w:rsidRDefault="00FB65A0" w:rsidP="00FB65A0">
      <w:pPr>
        <w:pStyle w:val="Textonotapie"/>
        <w:ind w:firstLine="708"/>
        <w:jc w:val="both"/>
        <w:rPr>
          <w:rFonts w:ascii="Arial" w:hAnsi="Arial" w:cs="Arial"/>
          <w:color w:val="000000" w:themeColor="text1"/>
          <w:sz w:val="19"/>
          <w:szCs w:val="19"/>
          <w:lang w:val="es-ES"/>
        </w:rPr>
      </w:pPr>
    </w:p>
  </w:footnote>
  <w:footnote w:id="7">
    <w:p w:rsidR="00FB65A0" w:rsidRPr="00002995" w:rsidRDefault="00FB65A0" w:rsidP="00FB65A0">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FB65A0" w:rsidRPr="00002995" w:rsidRDefault="00FB65A0" w:rsidP="00FB65A0">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rsidR="00FB65A0" w:rsidRPr="00002995" w:rsidRDefault="00FB65A0" w:rsidP="00FB65A0">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rsidR="00FB65A0" w:rsidRPr="00002995" w:rsidRDefault="00FB65A0" w:rsidP="00FB65A0">
      <w:pPr>
        <w:pStyle w:val="Textonotapie"/>
        <w:ind w:firstLine="708"/>
        <w:jc w:val="both"/>
        <w:rPr>
          <w:rFonts w:ascii="Arial" w:hAnsi="Arial" w:cs="Arial"/>
          <w:color w:val="000000" w:themeColor="text1"/>
          <w:sz w:val="19"/>
          <w:szCs w:val="19"/>
        </w:rPr>
      </w:pPr>
    </w:p>
  </w:footnote>
  <w:footnote w:id="8">
    <w:p w:rsidR="00FB65A0" w:rsidRPr="00002995" w:rsidRDefault="00FB65A0" w:rsidP="00FB65A0">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rsidR="00FB65A0" w:rsidRPr="00002995" w:rsidRDefault="00FB65A0" w:rsidP="00FB65A0">
      <w:pPr>
        <w:pStyle w:val="Textonotapie"/>
        <w:ind w:firstLine="708"/>
        <w:jc w:val="both"/>
        <w:rPr>
          <w:rFonts w:ascii="Arial" w:hAnsi="Arial" w:cs="Arial"/>
          <w:sz w:val="19"/>
          <w:szCs w:val="19"/>
        </w:rPr>
      </w:pPr>
    </w:p>
  </w:footnote>
  <w:footnote w:id="10">
    <w:p w:rsidR="00FB65A0" w:rsidRPr="00002995" w:rsidRDefault="00FB65A0" w:rsidP="00FB65A0">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rsidR="00FB65A0" w:rsidRDefault="00FB65A0" w:rsidP="00FB65A0">
      <w:pPr>
        <w:pStyle w:val="Textonotapie"/>
        <w:ind w:firstLine="708"/>
        <w:jc w:val="both"/>
        <w:rPr>
          <w:rFonts w:ascii="Arial" w:hAnsi="Arial" w:cs="Arial"/>
          <w:sz w:val="19"/>
          <w:szCs w:val="19"/>
        </w:rPr>
      </w:pPr>
    </w:p>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rsidR="00FB65A0" w:rsidRPr="00002995" w:rsidRDefault="00FB65A0" w:rsidP="00FB65A0">
      <w:pPr>
        <w:pStyle w:val="Textonotapie"/>
        <w:ind w:firstLine="708"/>
        <w:jc w:val="both"/>
        <w:rPr>
          <w:rFonts w:ascii="Arial" w:hAnsi="Arial" w:cs="Arial"/>
          <w:sz w:val="19"/>
          <w:szCs w:val="19"/>
          <w:lang w:val="es-ES"/>
        </w:rPr>
      </w:pPr>
    </w:p>
  </w:footnote>
  <w:footnote w:id="12">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rsidR="00FB65A0" w:rsidRPr="00002995" w:rsidRDefault="00FB65A0" w:rsidP="00FB65A0">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rsidR="00FB65A0" w:rsidRPr="00002995" w:rsidRDefault="00FB65A0" w:rsidP="00FB65A0">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rsidR="00FB65A0" w:rsidRPr="00002995" w:rsidRDefault="00FB65A0" w:rsidP="00FB65A0">
      <w:pPr>
        <w:pStyle w:val="Textonotapie"/>
        <w:ind w:firstLine="708"/>
        <w:jc w:val="both"/>
        <w:rPr>
          <w:rFonts w:ascii="Arial" w:hAnsi="Arial" w:cs="Arial"/>
          <w:sz w:val="19"/>
          <w:szCs w:val="19"/>
          <w:lang w:val="es-CO"/>
        </w:rPr>
      </w:pPr>
    </w:p>
  </w:footnote>
  <w:footnote w:id="13">
    <w:p w:rsidR="00FB65A0" w:rsidRPr="00002995" w:rsidRDefault="00FB65A0" w:rsidP="00FB65A0">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F2194C">
    <w:pPr>
      <w:pStyle w:val="Encabezado"/>
    </w:pPr>
    <w:r>
      <w:rPr>
        <w:noProof/>
        <w:lang w:eastAsia="es-CO"/>
      </w:rPr>
      <w:drawing>
        <wp:anchor distT="0" distB="0" distL="114300" distR="114300" simplePos="0" relativeHeight="251659264" behindDoc="1" locked="0" layoutInCell="1" allowOverlap="1" wp14:anchorId="50D6B4ED" wp14:editId="57E7BF9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A0"/>
    <w:rsid w:val="00005585"/>
    <w:rsid w:val="000E4EE5"/>
    <w:rsid w:val="00130F0D"/>
    <w:rsid w:val="00405DFB"/>
    <w:rsid w:val="004C213B"/>
    <w:rsid w:val="00590358"/>
    <w:rsid w:val="005F00C6"/>
    <w:rsid w:val="00617D7D"/>
    <w:rsid w:val="007A1C69"/>
    <w:rsid w:val="007C5322"/>
    <w:rsid w:val="007F7341"/>
    <w:rsid w:val="009740C7"/>
    <w:rsid w:val="00A23BBD"/>
    <w:rsid w:val="00B71EC5"/>
    <w:rsid w:val="00C00D1F"/>
    <w:rsid w:val="00C323EB"/>
    <w:rsid w:val="00CC7D50"/>
    <w:rsid w:val="00D57013"/>
    <w:rsid w:val="00F2194C"/>
    <w:rsid w:val="00FB6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7EB7"/>
  <w15:chartTrackingRefBased/>
  <w15:docId w15:val="{96220A3D-F61D-4743-B34A-A8D0BBBB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FB6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65A0"/>
  </w:style>
  <w:style w:type="paragraph" w:styleId="Encabezado">
    <w:name w:val="header"/>
    <w:basedOn w:val="Normal"/>
    <w:link w:val="EncabezadoCar"/>
    <w:uiPriority w:val="99"/>
    <w:semiHidden/>
    <w:unhideWhenUsed/>
    <w:rsid w:val="00FB6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B65A0"/>
  </w:style>
  <w:style w:type="paragraph" w:styleId="Sinespaciado">
    <w:name w:val="No Spacing"/>
    <w:uiPriority w:val="1"/>
    <w:qFormat/>
    <w:rsid w:val="00FB65A0"/>
    <w:pPr>
      <w:spacing w:after="0" w:line="240" w:lineRule="auto"/>
    </w:pPr>
  </w:style>
  <w:style w:type="table" w:styleId="Tablaconcuadrcula">
    <w:name w:val="Table Grid"/>
    <w:basedOn w:val="Tablanormal"/>
    <w:uiPriority w:val="39"/>
    <w:rsid w:val="00FB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FB65A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B65A0"/>
    <w:pPr>
      <w:spacing w:after="0" w:line="240" w:lineRule="auto"/>
    </w:pPr>
    <w:rPr>
      <w:sz w:val="20"/>
      <w:szCs w:val="20"/>
      <w:lang w:val="es-MX"/>
    </w:rPr>
  </w:style>
  <w:style w:type="character" w:customStyle="1" w:styleId="TextonotapieCar1">
    <w:name w:val="Texto nota pie Car1"/>
    <w:basedOn w:val="Fuentedeprrafopredeter"/>
    <w:uiPriority w:val="99"/>
    <w:semiHidden/>
    <w:rsid w:val="00FB65A0"/>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FB6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605880E-A870-4C00-83FC-901A8D82E6B7}"/>
</file>

<file path=customXml/itemProps2.xml><?xml version="1.0" encoding="utf-8"?>
<ds:datastoreItem xmlns:ds="http://schemas.openxmlformats.org/officeDocument/2006/customXml" ds:itemID="{7BEB8A77-265C-4F7E-8C28-B608F0651601}"/>
</file>

<file path=customXml/itemProps3.xml><?xml version="1.0" encoding="utf-8"?>
<ds:datastoreItem xmlns:ds="http://schemas.openxmlformats.org/officeDocument/2006/customXml" ds:itemID="{7810A875-57F4-4604-94E4-8D6332783146}"/>
</file>

<file path=docProps/app.xml><?xml version="1.0" encoding="utf-8"?>
<Properties xmlns="http://schemas.openxmlformats.org/officeDocument/2006/extended-properties" xmlns:vt="http://schemas.openxmlformats.org/officeDocument/2006/docPropsVTypes">
  <Template>Normal</Template>
  <TotalTime>75</TotalTime>
  <Pages>14</Pages>
  <Words>5377</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7</cp:revision>
  <dcterms:created xsi:type="dcterms:W3CDTF">2020-08-27T00:56:00Z</dcterms:created>
  <dcterms:modified xsi:type="dcterms:W3CDTF">2020-08-27T23:19:00Z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