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1118B" w:rsidP="00443D80" w:rsidRDefault="00A1118B" w14:paraId="6209750A" w14:textId="4FCC130A">
      <w:pPr>
        <w:jc w:val="right"/>
        <w:rPr>
          <w:rFonts w:ascii="Arial" w:hAnsi="Arial" w:eastAsia="Times New Roman" w:cs="Arial"/>
          <w:b/>
          <w:bCs/>
          <w:sz w:val="16"/>
          <w:szCs w:val="16"/>
          <w:lang w:val="es-CO" w:eastAsia="es-ES"/>
        </w:rPr>
      </w:pPr>
      <w:r w:rsidRPr="00A66252">
        <w:rPr>
          <w:rFonts w:ascii="Arial" w:hAnsi="Arial" w:eastAsia="Times New Roman" w:cs="Arial"/>
          <w:b/>
          <w:bCs/>
          <w:sz w:val="16"/>
          <w:szCs w:val="16"/>
          <w:lang w:val="es-CO" w:eastAsia="es-ES"/>
        </w:rPr>
        <w:t>CCE-DES-FM-17</w:t>
      </w:r>
    </w:p>
    <w:p w:rsidRPr="00F036BD" w:rsidR="00F24989" w:rsidP="00A1118B" w:rsidRDefault="00F24989" w14:paraId="72BE3E12" w14:textId="77777777">
      <w:pPr>
        <w:jc w:val="both"/>
        <w:rPr>
          <w:rFonts w:ascii="Arial" w:hAnsi="Arial" w:eastAsia="Calibri" w:cs="Arial"/>
          <w:b/>
          <w:sz w:val="22"/>
          <w:highlight w:val="yellow"/>
          <w:lang w:val="es-CO"/>
        </w:rPr>
      </w:pPr>
    </w:p>
    <w:p w:rsidRPr="00522882" w:rsidR="00A1118B" w:rsidP="27F111B0" w:rsidRDefault="00A1118B" w14:paraId="1FDBE3B1" w14:textId="4B422835">
      <w:pPr>
        <w:jc w:val="both"/>
        <w:rPr>
          <w:rFonts w:ascii="Arial" w:hAnsi="Arial" w:eastAsia="Calibri" w:cs="Arial"/>
          <w:b/>
          <w:bCs/>
          <w:sz w:val="22"/>
          <w:lang w:val="es-CO"/>
        </w:rPr>
      </w:pPr>
      <w:r w:rsidRPr="00522882">
        <w:rPr>
          <w:rFonts w:ascii="Arial" w:hAnsi="Arial" w:eastAsia="Calibri" w:cs="Arial"/>
          <w:b/>
          <w:bCs/>
          <w:sz w:val="22"/>
          <w:lang w:val="es-CO"/>
        </w:rPr>
        <w:t>R</w:t>
      </w:r>
      <w:r w:rsidRPr="00522882" w:rsidR="276CB260">
        <w:rPr>
          <w:rFonts w:ascii="Arial" w:hAnsi="Arial" w:eastAsia="Calibri" w:cs="Arial"/>
          <w:b/>
          <w:bCs/>
          <w:sz w:val="22"/>
          <w:lang w:val="es-CO"/>
        </w:rPr>
        <w:t>EGISTRO ÚNICO DE PROPONENTES</w:t>
      </w:r>
      <w:r w:rsidRPr="00522882">
        <w:rPr>
          <w:rFonts w:ascii="Arial" w:hAnsi="Arial" w:eastAsia="Calibri" w:cs="Arial"/>
          <w:b/>
          <w:bCs/>
          <w:sz w:val="22"/>
          <w:lang w:val="es-CO"/>
        </w:rPr>
        <w:t xml:space="preserve"> – </w:t>
      </w:r>
      <w:r w:rsidRPr="00522882" w:rsidR="003D3EBE">
        <w:rPr>
          <w:rFonts w:ascii="Arial" w:hAnsi="Arial" w:eastAsia="Calibri" w:cs="Arial"/>
          <w:b/>
          <w:bCs/>
          <w:sz w:val="22"/>
          <w:lang w:val="es-CO"/>
        </w:rPr>
        <w:t>F</w:t>
      </w:r>
      <w:r w:rsidRPr="00522882">
        <w:rPr>
          <w:rFonts w:ascii="Arial" w:hAnsi="Arial" w:eastAsia="Calibri" w:cs="Arial"/>
          <w:b/>
          <w:bCs/>
          <w:sz w:val="22"/>
          <w:lang w:val="es-CO"/>
        </w:rPr>
        <w:t xml:space="preserve">irmeza – </w:t>
      </w:r>
      <w:r w:rsidRPr="00522882" w:rsidR="003D3EBE">
        <w:rPr>
          <w:rFonts w:ascii="Arial" w:hAnsi="Arial" w:eastAsia="Calibri" w:cs="Arial"/>
          <w:b/>
          <w:bCs/>
          <w:sz w:val="22"/>
          <w:lang w:val="es-CO"/>
        </w:rPr>
        <w:t>A</w:t>
      </w:r>
      <w:r w:rsidRPr="00522882">
        <w:rPr>
          <w:rFonts w:ascii="Arial" w:hAnsi="Arial" w:eastAsia="Calibri" w:cs="Arial"/>
          <w:b/>
          <w:bCs/>
          <w:sz w:val="22"/>
          <w:lang w:val="es-CO"/>
        </w:rPr>
        <w:t>cto administrativo</w:t>
      </w:r>
      <w:r w:rsidRPr="00522882" w:rsidR="00F24989">
        <w:rPr>
          <w:rFonts w:ascii="Arial" w:hAnsi="Arial" w:eastAsia="Calibri" w:cs="Arial"/>
          <w:b/>
          <w:bCs/>
          <w:sz w:val="22"/>
          <w:lang w:val="es-CO"/>
        </w:rPr>
        <w:t xml:space="preserve"> – Inscripción</w:t>
      </w:r>
    </w:p>
    <w:p w:rsidRPr="00522882" w:rsidR="00A1118B" w:rsidP="00A1118B" w:rsidRDefault="00A1118B" w14:paraId="51BAB5B9" w14:textId="77777777">
      <w:pPr>
        <w:jc w:val="both"/>
        <w:rPr>
          <w:rFonts w:ascii="Arial" w:hAnsi="Arial" w:cs="Arial"/>
          <w:sz w:val="20"/>
          <w:szCs w:val="20"/>
          <w:lang w:val="es-CO"/>
        </w:rPr>
      </w:pPr>
    </w:p>
    <w:p w:rsidRPr="00522882" w:rsidR="00F24989" w:rsidP="00443D80" w:rsidRDefault="00F24989" w14:paraId="1C9F844D" w14:textId="706A24CD">
      <w:pPr>
        <w:spacing w:after="120"/>
        <w:jc w:val="both"/>
        <w:rPr>
          <w:rFonts w:ascii="Arial" w:hAnsi="Arial" w:eastAsia="Calibri" w:cs="Arial"/>
          <w:sz w:val="20"/>
          <w:szCs w:val="20"/>
          <w:lang w:val="es-CO"/>
        </w:rPr>
      </w:pPr>
      <w:r w:rsidRPr="00522882">
        <w:rPr>
          <w:rFonts w:ascii="Arial" w:hAnsi="Arial" w:eastAsia="Calibri" w:cs="Arial"/>
          <w:sz w:val="20"/>
          <w:szCs w:val="20"/>
          <w:lang w:val="es-CO"/>
        </w:rPr>
        <w:t xml:space="preserve">[…]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rsidRPr="00522882" w:rsidR="00A1118B" w:rsidP="00443D80" w:rsidRDefault="00F24989" w14:paraId="02DA4B6F" w14:textId="481F456B">
      <w:pPr>
        <w:jc w:val="both"/>
        <w:rPr>
          <w:rFonts w:ascii="Arial" w:hAnsi="Arial" w:cs="Arial"/>
          <w:sz w:val="20"/>
          <w:szCs w:val="20"/>
          <w:lang w:val="es-CO"/>
        </w:rPr>
      </w:pPr>
      <w:r w:rsidRPr="00522882">
        <w:rPr>
          <w:rFonts w:ascii="Arial" w:hAnsi="Arial" w:eastAsia="Calibri" w:cs="Arial"/>
          <w:sz w:val="20"/>
          <w:szCs w:val="20"/>
          <w:lang w:val="es-CO"/>
        </w:rPr>
        <w:t>Así pues, la firmeza del RUP es una condición de ejecutoriedad, para consolidar los efectos del acto administrativo de inscripción […]</w:t>
      </w:r>
    </w:p>
    <w:p w:rsidRPr="00522882" w:rsidR="00A1118B" w:rsidP="00A1118B" w:rsidRDefault="00A1118B" w14:paraId="0B8C90E8" w14:textId="77777777">
      <w:pPr>
        <w:pStyle w:val="Prrafodelista"/>
        <w:ind w:left="0"/>
        <w:jc w:val="both"/>
        <w:rPr>
          <w:rFonts w:ascii="Arial" w:hAnsi="Arial" w:eastAsia="Calibri" w:cs="Arial"/>
          <w:sz w:val="20"/>
          <w:szCs w:val="20"/>
          <w:lang w:val="es-CO"/>
        </w:rPr>
      </w:pPr>
    </w:p>
    <w:p w:rsidRPr="00522882" w:rsidR="00A1118B" w:rsidP="27F111B0" w:rsidRDefault="00A1118B" w14:paraId="2A9FD4E0" w14:textId="3BCDB37A">
      <w:pPr>
        <w:jc w:val="both"/>
        <w:rPr>
          <w:rFonts w:ascii="Arial" w:hAnsi="Arial" w:eastAsia="Calibri" w:cs="Arial"/>
          <w:b/>
          <w:bCs/>
          <w:color w:val="000000" w:themeColor="text1"/>
          <w:sz w:val="22"/>
          <w:lang w:val="es-CO"/>
        </w:rPr>
      </w:pPr>
      <w:r w:rsidRPr="00522882">
        <w:rPr>
          <w:rFonts w:ascii="Arial" w:hAnsi="Arial" w:eastAsia="Calibri" w:cs="Arial"/>
          <w:b/>
          <w:bCs/>
          <w:sz w:val="22"/>
          <w:lang w:val="es-CO"/>
        </w:rPr>
        <w:t>R</w:t>
      </w:r>
      <w:r w:rsidRPr="00522882" w:rsidR="119C522B">
        <w:rPr>
          <w:rFonts w:ascii="Arial" w:hAnsi="Arial" w:eastAsia="Calibri" w:cs="Arial"/>
          <w:b/>
          <w:bCs/>
          <w:sz w:val="22"/>
          <w:lang w:val="es-CO"/>
        </w:rPr>
        <w:t xml:space="preserve">EGISTRO ÚNICO DE PROPONENTES </w:t>
      </w:r>
      <w:r w:rsidRPr="00522882">
        <w:rPr>
          <w:rFonts w:ascii="Arial" w:hAnsi="Arial" w:eastAsia="Calibri" w:cs="Arial"/>
          <w:b/>
          <w:bCs/>
          <w:sz w:val="22"/>
          <w:lang w:val="es-CO"/>
        </w:rPr>
        <w:t xml:space="preserve">– </w:t>
      </w:r>
      <w:r w:rsidRPr="00522882" w:rsidR="003D3EBE">
        <w:rPr>
          <w:rFonts w:ascii="Arial" w:hAnsi="Arial" w:eastAsia="Calibri" w:cs="Arial"/>
          <w:b/>
          <w:bCs/>
          <w:sz w:val="22"/>
          <w:lang w:val="es-CO"/>
        </w:rPr>
        <w:t>R</w:t>
      </w:r>
      <w:r w:rsidRPr="00522882">
        <w:rPr>
          <w:rFonts w:ascii="Arial" w:hAnsi="Arial" w:eastAsia="Calibri" w:cs="Arial"/>
          <w:b/>
          <w:bCs/>
          <w:sz w:val="22"/>
          <w:lang w:val="es-CO"/>
        </w:rPr>
        <w:t xml:space="preserve">enovación – </w:t>
      </w:r>
      <w:r w:rsidRPr="00522882" w:rsidR="003D3EBE">
        <w:rPr>
          <w:rFonts w:ascii="Arial" w:hAnsi="Arial" w:eastAsia="Calibri" w:cs="Arial"/>
          <w:b/>
          <w:bCs/>
          <w:sz w:val="22"/>
          <w:lang w:val="es-CO"/>
        </w:rPr>
        <w:t>F</w:t>
      </w:r>
      <w:r w:rsidRPr="00522882">
        <w:rPr>
          <w:rFonts w:ascii="Arial" w:hAnsi="Arial" w:eastAsia="Calibri" w:cs="Arial"/>
          <w:b/>
          <w:bCs/>
          <w:sz w:val="22"/>
          <w:lang w:val="es-CO"/>
        </w:rPr>
        <w:t>irmeza</w:t>
      </w:r>
      <w:r w:rsidRPr="00522882" w:rsidR="004206ED">
        <w:rPr>
          <w:rFonts w:ascii="Arial" w:hAnsi="Arial" w:eastAsia="Calibri" w:cs="Arial"/>
          <w:b/>
          <w:bCs/>
          <w:sz w:val="22"/>
          <w:lang w:val="es-CO"/>
        </w:rPr>
        <w:t xml:space="preserve"> </w:t>
      </w:r>
    </w:p>
    <w:p w:rsidRPr="00522882" w:rsidR="00A1118B" w:rsidP="00A1118B" w:rsidRDefault="00A1118B" w14:paraId="50B64F82" w14:textId="77777777">
      <w:pPr>
        <w:jc w:val="both"/>
        <w:rPr>
          <w:rFonts w:ascii="Arial" w:hAnsi="Arial" w:cs="Arial"/>
          <w:sz w:val="20"/>
          <w:szCs w:val="20"/>
          <w:lang w:val="es-CO"/>
        </w:rPr>
      </w:pPr>
    </w:p>
    <w:p w:rsidRPr="00522882" w:rsidR="00F24989" w:rsidP="00443D80" w:rsidRDefault="00F24989" w14:paraId="66AD3326" w14:textId="77777777">
      <w:pPr>
        <w:spacing w:after="120"/>
        <w:jc w:val="both"/>
        <w:rPr>
          <w:rFonts w:ascii="Arial" w:hAnsi="Arial" w:cs="Arial"/>
          <w:color w:val="000000" w:themeColor="text1"/>
          <w:sz w:val="20"/>
          <w:szCs w:val="20"/>
          <w:lang w:val="es-CO"/>
        </w:rPr>
      </w:pPr>
      <w:r w:rsidRPr="00522882">
        <w:rPr>
          <w:rFonts w:ascii="Arial" w:hAnsi="Arial" w:cs="Arial"/>
          <w:color w:val="000000" w:themeColor="text1"/>
          <w:sz w:val="20"/>
          <w:szCs w:val="20"/>
          <w:lang w:val="es-CO"/>
        </w:rPr>
        <w:t>Tratándose del trámite de renovación, se reitera lo expresado en el sentido de que la persona que presentó la información para renovar su registro antes del quinto día hábil de abril de cada año, cumpliendo el requisito del artículo 2.2.1.1.1.5.1. o antes del quinto día hábil del mes de julio, para el 2020, conforme lo establecido en el artículo 2 del Decreto 434 de 2020 y pese a que la renovación no esté en firme, es decir, mientras esté en trámite el proceso de renovación,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rsidR="00F036BD" w:rsidP="00A1118B" w:rsidRDefault="00F036BD" w14:paraId="049EC482" w14:textId="59E55789">
      <w:pPr>
        <w:rPr>
          <w:rFonts w:ascii="Arial" w:hAnsi="Arial" w:cs="Arial"/>
          <w:sz w:val="20"/>
          <w:szCs w:val="20"/>
          <w:lang w:val="es-CO"/>
        </w:rPr>
      </w:pPr>
    </w:p>
    <w:p w:rsidRPr="00A66252" w:rsidR="00F036BD" w:rsidP="00A1118B" w:rsidRDefault="00F036BD" w14:paraId="4E5C1855" w14:textId="77777777">
      <w:pPr>
        <w:rPr>
          <w:rFonts w:ascii="Arial" w:hAnsi="Arial" w:cs="Arial"/>
          <w:sz w:val="20"/>
          <w:szCs w:val="20"/>
          <w:lang w:val="es-CO"/>
        </w:rPr>
      </w:pPr>
    </w:p>
    <w:p w:rsidRPr="00265C4F" w:rsidR="00F036BD" w:rsidP="71316CBB" w:rsidRDefault="00F036BD" w14:paraId="5FE5C83E" w14:textId="675FEB11">
      <w:pPr>
        <w:rPr>
          <w:rFonts w:ascii="Arial" w:hAnsi="Arial" w:cs="Arial"/>
          <w:b w:val="1"/>
          <w:bCs w:val="1"/>
          <w:sz w:val="22"/>
          <w:szCs w:val="22"/>
          <w:lang w:val="es-CO"/>
        </w:rPr>
      </w:pPr>
      <w:r w:rsidRPr="71316CBB" w:rsidR="00F036BD">
        <w:rPr>
          <w:rFonts w:ascii="Arial" w:hAnsi="Arial" w:cs="Arial"/>
          <w:sz w:val="22"/>
          <w:szCs w:val="22"/>
          <w:lang w:val="es-CO"/>
        </w:rPr>
        <w:t xml:space="preserve">Bogotá D.C., </w:t>
      </w:r>
      <w:r w:rsidRPr="71316CBB" w:rsidR="23955E5D">
        <w:rPr>
          <w:rFonts w:ascii="Arial" w:hAnsi="Arial" w:cs="Arial"/>
          <w:b w:val="1"/>
          <w:bCs w:val="1"/>
          <w:sz w:val="22"/>
          <w:szCs w:val="22"/>
          <w:lang w:val="es-CO"/>
        </w:rPr>
        <w:t>24/08/2020</w:t>
      </w:r>
      <w:r w:rsidRPr="71316CBB" w:rsidR="19C56D95">
        <w:rPr>
          <w:rFonts w:ascii="Arial" w:hAnsi="Arial" w:cs="Arial"/>
          <w:b w:val="1"/>
          <w:bCs w:val="1"/>
          <w:sz w:val="22"/>
          <w:szCs w:val="22"/>
          <w:lang w:val="es-CO"/>
        </w:rPr>
        <w:t xml:space="preserve"> Hora 8:1:29s </w:t>
      </w:r>
    </w:p>
    <w:p w:rsidRPr="00265C4F" w:rsidR="00F036BD" w:rsidP="00F036BD" w:rsidRDefault="00F036BD" w14:paraId="0D3FD129" w14:textId="77777777">
      <w:pPr>
        <w:jc w:val="right"/>
        <w:rPr>
          <w:rFonts w:ascii="Arial" w:hAnsi="Arial" w:cs="Arial"/>
          <w:b/>
          <w:sz w:val="22"/>
          <w:lang w:val="es-CO"/>
        </w:rPr>
      </w:pPr>
    </w:p>
    <w:p w:rsidR="00F036BD" w:rsidP="71316CBB" w:rsidRDefault="00F036BD" w14:paraId="7835D019" w14:textId="577BFBE7">
      <w:pPr>
        <w:pStyle w:val="Normal"/>
        <w:bidi w:val="0"/>
        <w:spacing w:before="0" w:beforeAutospacing="off" w:after="0" w:afterAutospacing="off" w:line="240" w:lineRule="auto"/>
        <w:ind w:left="0" w:right="0"/>
        <w:jc w:val="right"/>
        <w:rPr>
          <w:rFonts w:ascii="Arial" w:hAnsi="Arial" w:cs="Arial"/>
          <w:b w:val="1"/>
          <w:bCs w:val="1"/>
          <w:sz w:val="22"/>
          <w:szCs w:val="22"/>
          <w:lang w:val="es-CO"/>
        </w:rPr>
      </w:pPr>
      <w:proofErr w:type="spellStart"/>
      <w:r w:rsidRPr="71316CBB" w:rsidR="00F036BD">
        <w:rPr>
          <w:rFonts w:ascii="Arial" w:hAnsi="Arial" w:cs="Arial"/>
          <w:b w:val="1"/>
          <w:bCs w:val="1"/>
          <w:sz w:val="22"/>
          <w:szCs w:val="22"/>
          <w:lang w:val="es-CO"/>
        </w:rPr>
        <w:t>N°</w:t>
      </w:r>
      <w:proofErr w:type="spellEnd"/>
      <w:r w:rsidRPr="71316CBB" w:rsidR="00F036BD">
        <w:rPr>
          <w:rFonts w:ascii="Arial" w:hAnsi="Arial" w:cs="Arial"/>
          <w:b w:val="1"/>
          <w:bCs w:val="1"/>
          <w:sz w:val="22"/>
          <w:szCs w:val="22"/>
          <w:lang w:val="es-CO"/>
        </w:rPr>
        <w:t xml:space="preserve"> Radicado: </w:t>
      </w:r>
      <w:r w:rsidRPr="71316CBB" w:rsidR="427AF8C7">
        <w:rPr>
          <w:rFonts w:ascii="Arial" w:hAnsi="Arial" w:cs="Arial"/>
          <w:b w:val="1"/>
          <w:bCs w:val="1"/>
          <w:sz w:val="22"/>
          <w:szCs w:val="22"/>
          <w:lang w:val="es-CO"/>
        </w:rPr>
        <w:t>2202013000007813</w:t>
      </w:r>
    </w:p>
    <w:p w:rsidRPr="00685722" w:rsidR="00A1118B" w:rsidP="00A1118B" w:rsidRDefault="00A1118B" w14:paraId="3BFD62BA" w14:textId="77777777">
      <w:pPr>
        <w:tabs>
          <w:tab w:val="left" w:pos="3374"/>
        </w:tabs>
        <w:rPr>
          <w:rFonts w:ascii="Arial" w:hAnsi="Arial" w:eastAsia="Calibri" w:cs="Arial"/>
          <w:sz w:val="22"/>
          <w:lang w:val="es-CO"/>
        </w:rPr>
      </w:pPr>
      <w:r w:rsidRPr="00685722">
        <w:rPr>
          <w:rFonts w:ascii="Arial" w:hAnsi="Arial" w:eastAsia="Calibri" w:cs="Arial"/>
          <w:sz w:val="22"/>
          <w:lang w:val="es-CO"/>
        </w:rPr>
        <w:tab/>
      </w:r>
    </w:p>
    <w:p w:rsidR="00A1118B" w:rsidP="00A1118B" w:rsidRDefault="00A1118B" w14:paraId="4DAF748F" w14:textId="36F9693D">
      <w:pPr>
        <w:rPr>
          <w:rFonts w:ascii="Arial" w:hAnsi="Arial" w:eastAsia="Calibri" w:cs="Arial"/>
          <w:sz w:val="22"/>
          <w:lang w:val="es-CO"/>
        </w:rPr>
      </w:pPr>
      <w:bookmarkStart w:name="_Hlk29890381" w:id="0"/>
      <w:r w:rsidRPr="00685722">
        <w:rPr>
          <w:rFonts w:ascii="Arial" w:hAnsi="Arial" w:eastAsia="Calibri" w:cs="Arial"/>
          <w:sz w:val="22"/>
          <w:lang w:val="es-CO"/>
        </w:rPr>
        <w:t>Señor</w:t>
      </w:r>
    </w:p>
    <w:p w:rsidRPr="00F036BD" w:rsidR="00F036BD" w:rsidP="00A1118B" w:rsidRDefault="00F036BD" w14:paraId="19472D1E" w14:textId="397E2108">
      <w:pPr>
        <w:rPr>
          <w:rFonts w:ascii="Arial" w:hAnsi="Arial" w:eastAsia="Calibri" w:cs="Arial"/>
          <w:b/>
          <w:bCs/>
          <w:sz w:val="22"/>
          <w:lang w:val="es-CO"/>
        </w:rPr>
      </w:pPr>
      <w:r w:rsidRPr="00F036BD">
        <w:rPr>
          <w:rFonts w:ascii="Arial" w:hAnsi="Arial" w:eastAsia="Calibri" w:cs="Arial"/>
          <w:b/>
          <w:bCs/>
          <w:sz w:val="22"/>
          <w:lang w:val="es-CO"/>
        </w:rPr>
        <w:t>Alirio Pabón Acosta</w:t>
      </w:r>
    </w:p>
    <w:p w:rsidRPr="00685722" w:rsidR="00A1118B" w:rsidP="00A1118B" w:rsidRDefault="00F036BD" w14:paraId="1F419C10" w14:textId="7E8B7F58">
      <w:pPr>
        <w:rPr>
          <w:rFonts w:ascii="Arial" w:hAnsi="Arial" w:eastAsia="Calibri" w:cs="Arial"/>
          <w:sz w:val="22"/>
          <w:lang w:val="es-CO"/>
        </w:rPr>
      </w:pPr>
      <w:r>
        <w:rPr>
          <w:rFonts w:ascii="Arial" w:hAnsi="Arial" w:eastAsia="Calibri" w:cs="Arial"/>
          <w:sz w:val="22"/>
          <w:lang w:val="es-CO"/>
        </w:rPr>
        <w:t>Santander</w:t>
      </w:r>
    </w:p>
    <w:p w:rsidRPr="00685722" w:rsidR="001B6AB7" w:rsidP="00A1118B" w:rsidRDefault="001B6AB7" w14:paraId="2B159821" w14:textId="77777777">
      <w:pPr>
        <w:jc w:val="center"/>
        <w:rPr>
          <w:rFonts w:ascii="Arial" w:hAnsi="Arial" w:eastAsia="Calibri" w:cs="Arial"/>
          <w:b/>
          <w:sz w:val="22"/>
          <w:lang w:val="es-CO"/>
        </w:rPr>
      </w:pPr>
    </w:p>
    <w:p w:rsidRPr="00685722" w:rsidR="00A1118B" w:rsidP="00A1118B" w:rsidRDefault="00A1118B" w14:paraId="330CCD75" w14:textId="008AB780">
      <w:pPr>
        <w:jc w:val="center"/>
        <w:rPr>
          <w:rFonts w:ascii="Arial" w:hAnsi="Arial" w:eastAsia="Calibri" w:cs="Arial"/>
          <w:b/>
          <w:sz w:val="22"/>
          <w:lang w:val="es-CO"/>
        </w:rPr>
      </w:pPr>
      <w:r w:rsidRPr="002D2882">
        <w:rPr>
          <w:rFonts w:ascii="Arial" w:hAnsi="Arial" w:eastAsia="Calibri" w:cs="Arial"/>
          <w:b/>
          <w:sz w:val="22"/>
          <w:lang w:val="es-CO"/>
        </w:rPr>
        <w:t xml:space="preserve">Concepto </w:t>
      </w:r>
      <w:bookmarkStart w:name="_GoBack" w:id="1"/>
      <w:r w:rsidRPr="002D2882">
        <w:rPr>
          <w:rFonts w:ascii="Arial" w:hAnsi="Arial" w:eastAsia="Calibri" w:cs="Arial"/>
          <w:b/>
          <w:sz w:val="22"/>
          <w:lang w:val="es-CO"/>
        </w:rPr>
        <w:t>C</w:t>
      </w:r>
      <w:r w:rsidRPr="002D2882" w:rsidR="00F15B00">
        <w:rPr>
          <w:rFonts w:ascii="Arial" w:hAnsi="Arial" w:eastAsia="Calibri" w:cs="Arial"/>
          <w:b/>
          <w:sz w:val="22"/>
          <w:lang w:val="es-CO"/>
        </w:rPr>
        <w:t xml:space="preserve"> –</w:t>
      </w:r>
      <w:r w:rsidRPr="002D2882" w:rsidR="00A6190A">
        <w:rPr>
          <w:rFonts w:ascii="Arial" w:hAnsi="Arial" w:eastAsia="Calibri" w:cs="Arial"/>
          <w:b/>
          <w:sz w:val="22"/>
          <w:lang w:val="es-CO"/>
        </w:rPr>
        <w:t>553</w:t>
      </w:r>
      <w:r w:rsidRPr="002D2882" w:rsidR="00F036BD">
        <w:rPr>
          <w:rFonts w:ascii="Arial" w:hAnsi="Arial" w:eastAsia="Calibri" w:cs="Arial"/>
          <w:b/>
          <w:sz w:val="22"/>
          <w:lang w:val="es-CO"/>
        </w:rPr>
        <w:t xml:space="preserve"> </w:t>
      </w:r>
      <w:bookmarkEnd w:id="1"/>
      <w:r w:rsidRPr="002D2882">
        <w:rPr>
          <w:rFonts w:ascii="Arial" w:hAnsi="Arial" w:eastAsia="Calibri" w:cs="Arial"/>
          <w:b/>
          <w:sz w:val="22"/>
          <w:lang w:val="es-CO"/>
        </w:rPr>
        <w:t>de 2020</w:t>
      </w:r>
    </w:p>
    <w:p w:rsidRPr="00842AD6" w:rsidR="00A1118B" w:rsidP="00A1118B" w:rsidRDefault="00A1118B" w14:paraId="0D32CB76" w14:textId="77777777">
      <w:pPr>
        <w:rPr>
          <w:rFonts w:ascii="Arial" w:hAnsi="Arial" w:eastAsia="Calibri" w:cs="Arial"/>
          <w:sz w:val="22"/>
          <w:highlight w:val="lightGray"/>
          <w:lang w:val="es-CO"/>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42AD6" w:rsidR="00A1118B" w:rsidTr="71316CBB" w14:paraId="36EA4F30" w14:textId="77777777">
        <w:tc>
          <w:tcPr>
            <w:tcW w:w="2689" w:type="dxa"/>
            <w:tcMar/>
            <w:hideMark/>
          </w:tcPr>
          <w:p w:rsidRPr="00685722" w:rsidR="00A1118B" w:rsidRDefault="00A1118B" w14:paraId="70B42C0E" w14:textId="77777777">
            <w:pPr>
              <w:rPr>
                <w:rFonts w:ascii="Arial" w:hAnsi="Arial" w:eastAsia="Calibri" w:cs="Arial"/>
                <w:sz w:val="22"/>
                <w:lang w:val="es-CO"/>
              </w:rPr>
            </w:pPr>
            <w:r w:rsidRPr="00685722">
              <w:rPr>
                <w:rFonts w:ascii="Arial" w:hAnsi="Arial" w:eastAsia="Calibri" w:cs="Arial"/>
                <w:b/>
                <w:sz w:val="22"/>
                <w:lang w:val="es-CO"/>
              </w:rPr>
              <w:t>Temas:</w:t>
            </w:r>
            <w:r w:rsidRPr="00685722">
              <w:rPr>
                <w:rFonts w:ascii="Arial" w:hAnsi="Arial" w:eastAsia="Calibri" w:cs="Arial"/>
                <w:sz w:val="22"/>
                <w:lang w:val="es-CO"/>
              </w:rPr>
              <w:t xml:space="preserve">           </w:t>
            </w:r>
          </w:p>
          <w:p w:rsidRPr="00842AD6" w:rsidR="00A1118B" w:rsidP="71316CBB" w:rsidRDefault="00A1118B" w14:paraId="4B0B0C26" w14:textId="75198A27">
            <w:pPr>
              <w:rPr>
                <w:rFonts w:ascii="Arial" w:hAnsi="Arial" w:eastAsia="Calibri" w:cs="Arial"/>
                <w:sz w:val="22"/>
                <w:szCs w:val="22"/>
                <w:highlight w:val="lightGray"/>
                <w:lang w:val="es-CO"/>
              </w:rPr>
            </w:pPr>
          </w:p>
        </w:tc>
        <w:tc>
          <w:tcPr>
            <w:tcW w:w="6237" w:type="dxa"/>
            <w:tcMar/>
            <w:hideMark/>
          </w:tcPr>
          <w:p w:rsidRPr="002D2882" w:rsidR="00522882" w:rsidP="00522882" w:rsidRDefault="00522882" w14:paraId="32B35483" w14:textId="77777777">
            <w:pPr>
              <w:jc w:val="both"/>
              <w:rPr>
                <w:rFonts w:ascii="Arial" w:hAnsi="Arial" w:eastAsia="Calibri" w:cs="Arial"/>
                <w:color w:val="000000" w:themeColor="text1"/>
                <w:sz w:val="22"/>
                <w:lang w:val="es-CO"/>
              </w:rPr>
            </w:pPr>
            <w:r w:rsidRPr="002D2882">
              <w:rPr>
                <w:rFonts w:ascii="Arial" w:hAnsi="Arial" w:eastAsia="Calibri" w:cs="Arial"/>
                <w:sz w:val="22"/>
                <w:lang w:val="es-CO"/>
              </w:rPr>
              <w:t xml:space="preserve">REGISTRO ÚNICO DE PROPONENTES – Firmeza – Acto administrativo – Inscripción / REGISTRO ÚNICO DE PROPONENTES – Renovación – Firmeza </w:t>
            </w:r>
          </w:p>
          <w:p w:rsidRPr="00842AD6" w:rsidR="00F56D55" w:rsidP="00F56D55" w:rsidRDefault="00F56D55" w14:paraId="25A9B925" w14:textId="24BDEF79">
            <w:pPr>
              <w:jc w:val="both"/>
              <w:rPr>
                <w:rFonts w:ascii="Arial" w:hAnsi="Arial" w:cs="Arial"/>
                <w:sz w:val="22"/>
                <w:highlight w:val="lightGray"/>
                <w:lang w:val="es-CO"/>
              </w:rPr>
            </w:pPr>
          </w:p>
          <w:p w:rsidRPr="00842AD6" w:rsidR="00A1118B" w:rsidRDefault="00A1118B" w14:paraId="01DDD969" w14:textId="4EBEC78D">
            <w:pPr>
              <w:jc w:val="both"/>
              <w:rPr>
                <w:rFonts w:ascii="Arial" w:hAnsi="Arial" w:eastAsia="Calibri" w:cs="Arial"/>
                <w:sz w:val="22"/>
                <w:highlight w:val="lightGray"/>
                <w:lang w:val="es-CO"/>
              </w:rPr>
            </w:pPr>
          </w:p>
        </w:tc>
      </w:tr>
      <w:tr w:rsidRPr="00685722" w:rsidR="00A1118B" w:rsidTr="71316CBB" w14:paraId="45E46F98" w14:textId="77777777">
        <w:tc>
          <w:tcPr>
            <w:tcW w:w="2689" w:type="dxa"/>
            <w:tcMar/>
            <w:hideMark/>
          </w:tcPr>
          <w:p w:rsidRPr="00685722" w:rsidR="00A1118B" w:rsidRDefault="00A1118B" w14:paraId="55ECA733" w14:textId="77777777">
            <w:pPr>
              <w:rPr>
                <w:rFonts w:ascii="Arial" w:hAnsi="Arial" w:eastAsia="Calibri" w:cs="Arial"/>
                <w:b/>
                <w:sz w:val="22"/>
                <w:lang w:val="es-CO"/>
              </w:rPr>
            </w:pPr>
            <w:r w:rsidRPr="00685722">
              <w:rPr>
                <w:rFonts w:ascii="Arial" w:hAnsi="Arial" w:eastAsia="Calibri" w:cs="Arial"/>
                <w:b/>
                <w:sz w:val="22"/>
                <w:lang w:val="es-CO"/>
              </w:rPr>
              <w:t>Radicación:</w:t>
            </w:r>
            <w:r w:rsidRPr="00685722">
              <w:rPr>
                <w:rFonts w:ascii="Arial" w:hAnsi="Arial" w:eastAsia="Calibri" w:cs="Arial"/>
                <w:sz w:val="22"/>
                <w:lang w:val="es-CO"/>
              </w:rPr>
              <w:t xml:space="preserve">                              </w:t>
            </w:r>
          </w:p>
        </w:tc>
        <w:tc>
          <w:tcPr>
            <w:tcW w:w="6237" w:type="dxa"/>
            <w:tcMar/>
            <w:hideMark/>
          </w:tcPr>
          <w:p w:rsidRPr="00685722" w:rsidR="00A1118B" w:rsidP="004336F3" w:rsidRDefault="00A1118B" w14:paraId="72D73A4C" w14:textId="10D4AB92">
            <w:pPr>
              <w:rPr>
                <w:rFonts w:ascii="Arial" w:hAnsi="Arial" w:eastAsia="Calibri" w:cs="Arial"/>
                <w:sz w:val="22"/>
                <w:lang w:val="es-CO"/>
              </w:rPr>
            </w:pPr>
            <w:r w:rsidRPr="00685722">
              <w:rPr>
                <w:rFonts w:ascii="Arial" w:hAnsi="Arial" w:eastAsia="Calibri" w:cs="Arial"/>
                <w:sz w:val="22"/>
                <w:lang w:val="es-CO"/>
              </w:rPr>
              <w:t xml:space="preserve">Respuesta a </w:t>
            </w:r>
            <w:r w:rsidRPr="00685722" w:rsidR="004336F3">
              <w:rPr>
                <w:rFonts w:ascii="Arial" w:hAnsi="Arial" w:eastAsia="Calibri" w:cs="Arial"/>
                <w:sz w:val="22"/>
                <w:lang w:val="es-CO"/>
              </w:rPr>
              <w:t xml:space="preserve">consulta </w:t>
            </w:r>
            <w:r w:rsidR="00F036BD">
              <w:rPr>
                <w:rFonts w:ascii="Arial" w:hAnsi="Arial" w:eastAsia="Calibri" w:cs="Arial"/>
                <w:sz w:val="22"/>
                <w:lang w:val="es-CO"/>
              </w:rPr>
              <w:t>4202013000006861</w:t>
            </w:r>
          </w:p>
        </w:tc>
      </w:tr>
    </w:tbl>
    <w:p w:rsidRPr="00685722" w:rsidR="00A1118B" w:rsidP="00A1118B" w:rsidRDefault="00A1118B" w14:paraId="6799E8F7" w14:textId="77777777">
      <w:pPr>
        <w:jc w:val="both"/>
        <w:rPr>
          <w:rFonts w:ascii="Arial" w:hAnsi="Arial" w:eastAsia="Calibri" w:cs="Arial"/>
          <w:sz w:val="22"/>
          <w:lang w:val="es-CO"/>
        </w:rPr>
      </w:pPr>
    </w:p>
    <w:p w:rsidRPr="00685722" w:rsidR="00A1118B" w:rsidP="00A1118B" w:rsidRDefault="00A1118B" w14:paraId="168B4844" w14:textId="77777777">
      <w:pPr>
        <w:jc w:val="both"/>
        <w:rPr>
          <w:rFonts w:ascii="Arial" w:hAnsi="Arial" w:eastAsia="Calibri" w:cs="Arial"/>
          <w:sz w:val="22"/>
          <w:lang w:val="es-CO"/>
        </w:rPr>
      </w:pPr>
    </w:p>
    <w:p w:rsidRPr="00685722" w:rsidR="00A1118B" w:rsidP="00A1118B" w:rsidRDefault="00A1118B" w14:paraId="786007D4" w14:textId="274C325C">
      <w:pPr>
        <w:rPr>
          <w:rFonts w:ascii="Arial" w:hAnsi="Arial" w:eastAsia="Calibri" w:cs="Arial"/>
          <w:sz w:val="22"/>
          <w:lang w:val="es-CO"/>
        </w:rPr>
      </w:pPr>
      <w:r w:rsidRPr="00685722">
        <w:rPr>
          <w:rFonts w:ascii="Arial" w:hAnsi="Arial" w:eastAsia="Calibri" w:cs="Arial"/>
          <w:sz w:val="22"/>
          <w:lang w:val="es-CO"/>
        </w:rPr>
        <w:t>Estimad</w:t>
      </w:r>
      <w:r w:rsidRPr="00685722" w:rsidR="00BB1F95">
        <w:rPr>
          <w:rFonts w:ascii="Arial" w:hAnsi="Arial" w:eastAsia="Calibri" w:cs="Arial"/>
          <w:sz w:val="22"/>
          <w:lang w:val="es-CO"/>
        </w:rPr>
        <w:t>o</w:t>
      </w:r>
      <w:r w:rsidRPr="00685722">
        <w:rPr>
          <w:rFonts w:ascii="Arial" w:hAnsi="Arial" w:eastAsia="Calibri" w:cs="Arial"/>
          <w:sz w:val="22"/>
          <w:lang w:val="es-CO"/>
        </w:rPr>
        <w:t xml:space="preserve"> señor</w:t>
      </w:r>
      <w:r w:rsidR="00F036BD">
        <w:rPr>
          <w:rFonts w:ascii="Arial" w:hAnsi="Arial" w:eastAsia="Calibri" w:cs="Arial"/>
          <w:sz w:val="22"/>
          <w:lang w:val="es-CO"/>
        </w:rPr>
        <w:t xml:space="preserve"> Pabón</w:t>
      </w:r>
      <w:r w:rsidRPr="00685722">
        <w:rPr>
          <w:rFonts w:ascii="Arial" w:hAnsi="Arial" w:eastAsia="Calibri" w:cs="Arial"/>
          <w:sz w:val="22"/>
          <w:lang w:val="es-CO"/>
        </w:rPr>
        <w:t>,</w:t>
      </w:r>
    </w:p>
    <w:p w:rsidRPr="00685722" w:rsidR="00A1118B" w:rsidP="00A1118B" w:rsidRDefault="00A1118B" w14:paraId="171959E3" w14:textId="77777777">
      <w:pPr>
        <w:spacing w:line="276" w:lineRule="auto"/>
        <w:ind w:right="49"/>
        <w:jc w:val="both"/>
        <w:rPr>
          <w:rFonts w:ascii="Arial" w:hAnsi="Arial" w:eastAsia="Calibri" w:cs="Arial"/>
          <w:sz w:val="22"/>
          <w:lang w:val="es-CO"/>
        </w:rPr>
      </w:pPr>
    </w:p>
    <w:p w:rsidRPr="00685722" w:rsidR="001F179E" w:rsidP="004336F3" w:rsidRDefault="00A1118B" w14:paraId="2BE7B08D" w14:textId="7BE288B9">
      <w:pPr>
        <w:spacing w:after="120" w:line="276" w:lineRule="auto"/>
        <w:jc w:val="both"/>
        <w:rPr>
          <w:rFonts w:ascii="Arial" w:hAnsi="Arial" w:cs="Arial"/>
          <w:sz w:val="22"/>
          <w:lang w:val="es-CO"/>
        </w:rPr>
      </w:pPr>
      <w:r w:rsidRPr="00685722">
        <w:rPr>
          <w:rFonts w:ascii="Arial" w:hAnsi="Arial" w:eastAsia="Calibri" w:cs="Arial"/>
          <w:sz w:val="22"/>
          <w:lang w:val="es-CO"/>
        </w:rPr>
        <w:t xml:space="preserve">La Agencia Nacional de Contratación Pública - Colombia Compra Eficiente responde su consulta del </w:t>
      </w:r>
      <w:r w:rsidR="00F036BD">
        <w:rPr>
          <w:rFonts w:ascii="Arial" w:hAnsi="Arial" w:eastAsia="Calibri" w:cs="Arial"/>
          <w:sz w:val="22"/>
          <w:lang w:val="es-CO"/>
        </w:rPr>
        <w:t>11 de agosto</w:t>
      </w:r>
      <w:r w:rsidRPr="00685722" w:rsidR="004336F3">
        <w:rPr>
          <w:rFonts w:ascii="Arial" w:hAnsi="Arial" w:eastAsia="Calibri" w:cs="Arial"/>
          <w:sz w:val="22"/>
          <w:lang w:val="es-CO"/>
        </w:rPr>
        <w:t xml:space="preserve"> </w:t>
      </w:r>
      <w:r w:rsidRPr="00685722" w:rsidR="004336F3">
        <w:rPr>
          <w:rFonts w:ascii="Arial" w:hAnsi="Arial" w:cs="Arial"/>
          <w:sz w:val="22"/>
          <w:lang w:val="es-CO"/>
        </w:rPr>
        <w:t>de</w:t>
      </w:r>
      <w:r w:rsidRPr="00685722">
        <w:rPr>
          <w:rFonts w:ascii="Arial" w:hAnsi="Arial" w:cs="Arial"/>
          <w:sz w:val="22"/>
          <w:lang w:val="es-CO"/>
        </w:rPr>
        <w:t xml:space="preserve"> 2020</w:t>
      </w:r>
      <w:r w:rsidRPr="00685722">
        <w:rPr>
          <w:rFonts w:ascii="Arial" w:hAnsi="Arial" w:eastAsia="Calibri" w:cs="Arial"/>
          <w:sz w:val="22"/>
          <w:lang w:val="es-CO"/>
        </w:rPr>
        <w:t xml:space="preserve">, en ejercicio de la competencia otorgada por el numeral </w:t>
      </w:r>
      <w:r w:rsidRPr="00685722">
        <w:rPr>
          <w:rFonts w:ascii="Arial" w:hAnsi="Arial" w:cs="Arial"/>
          <w:sz w:val="22"/>
          <w:lang w:val="es-CO"/>
        </w:rPr>
        <w:t xml:space="preserve">8 del artículo 11 y el numeral 5 del artículo 3 del Decreto Ley 4170 de 2011. </w:t>
      </w:r>
    </w:p>
    <w:p w:rsidRPr="00685722" w:rsidR="001B6AB7" w:rsidP="00013193" w:rsidRDefault="001B6AB7" w14:paraId="51A89F91" w14:textId="77777777">
      <w:pPr>
        <w:spacing w:line="276" w:lineRule="auto"/>
        <w:jc w:val="both"/>
        <w:rPr>
          <w:rFonts w:ascii="Arial" w:hAnsi="Arial" w:cs="Arial"/>
          <w:sz w:val="22"/>
          <w:lang w:val="es-CO"/>
        </w:rPr>
      </w:pPr>
    </w:p>
    <w:p w:rsidRPr="00685722" w:rsidR="00A1118B" w:rsidP="00A1118B" w:rsidRDefault="00A1118B" w14:paraId="77F3F6D9" w14:textId="77777777">
      <w:pPr>
        <w:pStyle w:val="Prrafodelista"/>
        <w:tabs>
          <w:tab w:val="left" w:pos="284"/>
        </w:tabs>
        <w:spacing w:line="276" w:lineRule="auto"/>
        <w:ind w:left="0"/>
        <w:jc w:val="both"/>
        <w:rPr>
          <w:rFonts w:ascii="Arial" w:hAnsi="Arial" w:eastAsia="Calibri" w:cs="Arial"/>
          <w:b/>
          <w:sz w:val="22"/>
          <w:lang w:val="es-CO"/>
        </w:rPr>
      </w:pPr>
      <w:r w:rsidRPr="00685722">
        <w:rPr>
          <w:rFonts w:ascii="Arial" w:hAnsi="Arial" w:eastAsia="Calibri" w:cs="Arial"/>
          <w:b/>
          <w:sz w:val="22"/>
          <w:lang w:val="es-CO"/>
        </w:rPr>
        <w:t xml:space="preserve">1. Problema planteado </w:t>
      </w:r>
    </w:p>
    <w:p w:rsidRPr="00DC5D17" w:rsidR="00A1118B" w:rsidP="00A1118B" w:rsidRDefault="00A1118B" w14:paraId="6551DB04" w14:textId="77777777">
      <w:pPr>
        <w:tabs>
          <w:tab w:val="left" w:pos="426"/>
        </w:tabs>
        <w:spacing w:line="276" w:lineRule="auto"/>
        <w:jc w:val="both"/>
        <w:rPr>
          <w:rFonts w:ascii="Arial" w:hAnsi="Arial" w:eastAsia="Calibri" w:cs="Arial"/>
          <w:sz w:val="22"/>
          <w:lang w:val="es-CO"/>
        </w:rPr>
      </w:pPr>
    </w:p>
    <w:p w:rsidRPr="00DC5D17" w:rsidR="00DC5D17" w:rsidP="00DC5D17" w:rsidRDefault="00A1118B" w14:paraId="7296A160" w14:textId="19BFC0A8">
      <w:pPr>
        <w:pStyle w:val="Prrafodelista"/>
        <w:spacing w:line="276" w:lineRule="auto"/>
        <w:ind w:left="0"/>
        <w:jc w:val="both"/>
        <w:rPr>
          <w:rFonts w:ascii="Arial" w:hAnsi="Arial" w:eastAsia="Calibri" w:cs="Arial"/>
          <w:sz w:val="22"/>
          <w:lang w:val="es-CO"/>
        </w:rPr>
      </w:pPr>
      <w:r w:rsidRPr="00F66EC5">
        <w:rPr>
          <w:rFonts w:ascii="Arial" w:hAnsi="Arial" w:eastAsia="Calibri" w:cs="Arial"/>
          <w:sz w:val="22"/>
          <w:lang w:val="es-CO"/>
        </w:rPr>
        <w:t xml:space="preserve">Usted </w:t>
      </w:r>
      <w:r w:rsidRPr="00F66EC5" w:rsidR="008D2EED">
        <w:rPr>
          <w:rFonts w:ascii="Arial" w:hAnsi="Arial" w:eastAsia="Calibri" w:cs="Arial"/>
          <w:sz w:val="22"/>
          <w:lang w:val="es-CO"/>
        </w:rPr>
        <w:t xml:space="preserve">formula </w:t>
      </w:r>
      <w:r w:rsidR="00A6190A">
        <w:rPr>
          <w:rFonts w:ascii="Arial" w:hAnsi="Arial" w:eastAsia="Calibri" w:cs="Arial"/>
          <w:sz w:val="22"/>
          <w:lang w:val="es-CO"/>
        </w:rPr>
        <w:t>los siguientes</w:t>
      </w:r>
      <w:r w:rsidRPr="00F66EC5" w:rsidR="00A6190A">
        <w:rPr>
          <w:rFonts w:ascii="Arial" w:hAnsi="Arial" w:eastAsia="Calibri" w:cs="Arial"/>
          <w:sz w:val="22"/>
          <w:lang w:val="es-CO"/>
        </w:rPr>
        <w:t xml:space="preserve"> </w:t>
      </w:r>
      <w:r w:rsidRPr="00F66EC5" w:rsidR="008D2EED">
        <w:rPr>
          <w:rFonts w:ascii="Arial" w:hAnsi="Arial" w:eastAsia="Calibri" w:cs="Arial"/>
          <w:sz w:val="22"/>
          <w:lang w:val="es-CO"/>
        </w:rPr>
        <w:t xml:space="preserve">interrogantes relacionados con </w:t>
      </w:r>
      <w:r w:rsidR="00F036BD">
        <w:rPr>
          <w:rFonts w:ascii="Arial" w:hAnsi="Arial" w:eastAsia="Calibri" w:cs="Arial"/>
          <w:sz w:val="22"/>
          <w:lang w:val="es-CO"/>
        </w:rPr>
        <w:t xml:space="preserve">la </w:t>
      </w:r>
      <w:r w:rsidR="00A6190A">
        <w:rPr>
          <w:rFonts w:ascii="Arial" w:hAnsi="Arial" w:eastAsia="Calibri" w:cs="Arial"/>
          <w:sz w:val="22"/>
          <w:lang w:val="es-CO"/>
        </w:rPr>
        <w:t>renovación del</w:t>
      </w:r>
      <w:r w:rsidRPr="00F66EC5" w:rsidR="008D2EED">
        <w:rPr>
          <w:rFonts w:ascii="Arial" w:hAnsi="Arial" w:eastAsia="Calibri" w:cs="Arial"/>
          <w:sz w:val="22"/>
          <w:lang w:val="es-CO"/>
        </w:rPr>
        <w:t xml:space="preserve"> Registro Único de proponentes – RUP</w:t>
      </w:r>
      <w:r w:rsidR="00A6190A">
        <w:rPr>
          <w:rFonts w:ascii="Arial" w:hAnsi="Arial" w:eastAsia="Calibri" w:cs="Arial"/>
          <w:sz w:val="22"/>
          <w:lang w:val="es-CO"/>
        </w:rPr>
        <w:t xml:space="preserve">: </w:t>
      </w:r>
      <w:r w:rsidRPr="002D2882" w:rsidR="00A6190A">
        <w:rPr>
          <w:rFonts w:ascii="Arial" w:hAnsi="Arial" w:eastAsia="Calibri" w:cs="Arial"/>
          <w:sz w:val="22"/>
          <w:lang w:val="es-CO"/>
        </w:rPr>
        <w:t>«[…] Es claro que, entre la presentación de la información para renovar, y la adquisición de firmeza de la información presentada hay un lapso de tiempo, si durante este tiempo una entidad adelanta el cierre de algún proceso de selección: 1-¿Las personas que cumplan con este requisito pueden participar en los procesos de selección y 2-¿Qué información financiera utilizará la entidad para evaluar al proponente?»</w:t>
      </w:r>
    </w:p>
    <w:p w:rsidRPr="00265C4F" w:rsidR="008D2EED" w:rsidP="00A1118B" w:rsidRDefault="008D2EED" w14:paraId="30548B7B" w14:textId="77777777">
      <w:pPr>
        <w:spacing w:line="276" w:lineRule="auto"/>
        <w:jc w:val="both"/>
        <w:rPr>
          <w:rFonts w:ascii="Arial" w:hAnsi="Arial" w:eastAsia="Calibri" w:cs="Arial"/>
          <w:sz w:val="22"/>
          <w:lang w:val="es-CO"/>
        </w:rPr>
      </w:pPr>
    </w:p>
    <w:p w:rsidRPr="00265C4F" w:rsidR="00A1118B" w:rsidP="00A1118B" w:rsidRDefault="00A1118B" w14:paraId="75AB2D14" w14:textId="30A9CC33">
      <w:pPr>
        <w:tabs>
          <w:tab w:val="left" w:pos="426"/>
        </w:tabs>
        <w:spacing w:line="276" w:lineRule="auto"/>
        <w:jc w:val="both"/>
        <w:rPr>
          <w:rFonts w:ascii="Arial" w:hAnsi="Arial" w:eastAsia="Calibri" w:cs="Arial"/>
          <w:b/>
          <w:sz w:val="22"/>
          <w:lang w:val="es-CO"/>
        </w:rPr>
      </w:pPr>
      <w:r w:rsidRPr="00265C4F">
        <w:rPr>
          <w:rFonts w:ascii="Arial" w:hAnsi="Arial" w:eastAsia="Calibri" w:cs="Arial"/>
          <w:b/>
          <w:sz w:val="22"/>
          <w:lang w:val="es-CO"/>
        </w:rPr>
        <w:t>2. Consideraciones</w:t>
      </w:r>
    </w:p>
    <w:p w:rsidRPr="00265C4F" w:rsidR="008D2EED" w:rsidP="00A1118B" w:rsidRDefault="008D2EED" w14:paraId="7D0B90C6" w14:textId="3FBDEA60">
      <w:pPr>
        <w:tabs>
          <w:tab w:val="left" w:pos="426"/>
        </w:tabs>
        <w:spacing w:line="276" w:lineRule="auto"/>
        <w:jc w:val="both"/>
        <w:rPr>
          <w:rFonts w:ascii="Arial" w:hAnsi="Arial" w:eastAsia="Calibri" w:cs="Arial"/>
          <w:b/>
          <w:sz w:val="22"/>
          <w:lang w:val="es-CO"/>
        </w:rPr>
      </w:pPr>
    </w:p>
    <w:p w:rsidR="00811A5E" w:rsidP="00811A5E" w:rsidRDefault="00811A5E" w14:paraId="53516E1C" w14:textId="6C4EA54D">
      <w:pPr>
        <w:spacing w:after="120" w:line="276" w:lineRule="auto"/>
        <w:jc w:val="both"/>
        <w:rPr>
          <w:rFonts w:ascii="Arial" w:hAnsi="Arial" w:cs="Arial"/>
          <w:bCs/>
          <w:sz w:val="22"/>
          <w:lang w:val="es-CO"/>
        </w:rPr>
      </w:pPr>
      <w:r>
        <w:rPr>
          <w:rFonts w:ascii="Arial" w:hAnsi="Arial" w:eastAsia="Calibri" w:cs="Arial"/>
          <w:sz w:val="22"/>
        </w:rPr>
        <w:t xml:space="preserve">De conformidad con </w:t>
      </w:r>
      <w:r w:rsidRPr="00936BD3">
        <w:rPr>
          <w:rFonts w:ascii="Arial" w:hAnsi="Arial" w:eastAsia="Calibri" w:cs="Arial"/>
          <w:sz w:val="22"/>
        </w:rPr>
        <w:t>la competencia otorgada por los artículos 11, numeral 8º, y 3º, numeral 5º, del Decreto Ley 4170 de 2011</w:t>
      </w:r>
      <w:r>
        <w:rPr>
          <w:rFonts w:ascii="Arial" w:hAnsi="Arial" w:eastAsia="Calibri" w:cs="Arial"/>
          <w:sz w:val="22"/>
        </w:rPr>
        <w:t xml:space="preserve">, la </w:t>
      </w:r>
      <w:r w:rsidRPr="00EB736E">
        <w:rPr>
          <w:rFonts w:ascii="Arial" w:hAnsi="Arial" w:cs="Arial"/>
          <w:bCs/>
          <w:sz w:val="22"/>
          <w:lang w:val="es-CO"/>
        </w:rPr>
        <w:t xml:space="preserve">Agencia de Contratación Pública </w:t>
      </w:r>
      <w:r w:rsidR="00A6190A">
        <w:rPr>
          <w:rFonts w:ascii="Arial" w:hAnsi="Arial" w:cs="Arial"/>
          <w:bCs/>
          <w:sz w:val="22"/>
          <w:lang w:val="es-CO"/>
        </w:rPr>
        <w:t>–</w:t>
      </w:r>
      <w:r w:rsidRPr="00EB736E">
        <w:rPr>
          <w:rFonts w:ascii="Arial" w:hAnsi="Arial" w:cs="Arial"/>
          <w:bCs/>
          <w:sz w:val="22"/>
          <w:lang w:val="es-CO"/>
        </w:rPr>
        <w:t xml:space="preserve"> Colombia Compra Eficiente</w:t>
      </w:r>
      <w:r>
        <w:rPr>
          <w:rFonts w:ascii="Arial" w:hAnsi="Arial" w:cs="Arial"/>
          <w:bCs/>
          <w:sz w:val="22"/>
          <w:lang w:val="es-CO"/>
        </w:rPr>
        <w:t xml:space="preserve"> es competente para absolver consultas sobre la aplicación de normas de carácter general</w:t>
      </w:r>
      <w:r>
        <w:rPr>
          <w:rStyle w:val="Refdenotaalpie"/>
          <w:rFonts w:ascii="Arial" w:hAnsi="Arial" w:cs="Arial"/>
          <w:bCs/>
          <w:sz w:val="22"/>
          <w:lang w:val="es-CO"/>
        </w:rPr>
        <w:footnoteReference w:id="1"/>
      </w:r>
      <w:r>
        <w:rPr>
          <w:rFonts w:ascii="Arial" w:hAnsi="Arial" w:cs="Arial"/>
          <w:bCs/>
          <w:sz w:val="22"/>
          <w:lang w:val="es-CO"/>
        </w:rPr>
        <w:t>. En tal sentido, su competencia se encuentra limitada por los criterios y requisitos establecidos en las disposiciones que le asignan dicha potestad, de manera que su ejercicio debe someterse a la norma habilitante, observando estrictamente el principio de legalidad.</w:t>
      </w:r>
    </w:p>
    <w:p w:rsidR="008D2EED" w:rsidP="00CD001D" w:rsidRDefault="00811A5E" w14:paraId="73D534D2" w14:textId="47D36FD4">
      <w:pPr>
        <w:pStyle w:val="Prrafodelista"/>
        <w:spacing w:line="276" w:lineRule="auto"/>
        <w:ind w:left="0"/>
        <w:jc w:val="both"/>
        <w:rPr>
          <w:rFonts w:ascii="Arial" w:hAnsi="Arial" w:cs="Arial"/>
          <w:sz w:val="22"/>
          <w:lang w:val="es-CO"/>
        </w:rPr>
      </w:pPr>
      <w:r>
        <w:rPr>
          <w:rFonts w:ascii="Arial" w:hAnsi="Arial" w:cs="Arial"/>
          <w:bCs/>
          <w:sz w:val="22"/>
          <w:lang w:val="es-CO"/>
        </w:rPr>
        <w:tab/>
      </w:r>
      <w:r>
        <w:rPr>
          <w:rFonts w:ascii="Arial" w:hAnsi="Arial" w:cs="Arial"/>
          <w:bCs/>
          <w:sz w:val="22"/>
          <w:lang w:val="es-CO"/>
        </w:rPr>
        <w:t xml:space="preserve">En tal sentido, esta Agencia no tiene competencia para pronunciarse sobre casos particulares o juzgar la legalidad de las actuaciones concretas realizadas por las entidades estatales. Sin perjuicio de lo anterior, se desarrollarán, desde una perspectiva general, </w:t>
      </w:r>
      <w:r w:rsidR="006C3A4B">
        <w:rPr>
          <w:rFonts w:ascii="Arial" w:hAnsi="Arial" w:cs="Arial"/>
          <w:bCs/>
          <w:sz w:val="22"/>
          <w:lang w:val="es-CO"/>
        </w:rPr>
        <w:t xml:space="preserve">el marco normativo </w:t>
      </w:r>
      <w:r w:rsidR="006C3A4B">
        <w:rPr>
          <w:rFonts w:ascii="Arial" w:hAnsi="Arial" w:eastAsia="Calibri" w:cs="Arial"/>
          <w:sz w:val="22"/>
          <w:lang w:val="es-CO"/>
        </w:rPr>
        <w:t>para resolver los interrogantes planteados por el peticionario, por lo que se</w:t>
      </w:r>
      <w:r w:rsidR="00A6190A">
        <w:rPr>
          <w:rFonts w:ascii="Arial" w:hAnsi="Arial" w:eastAsia="Calibri" w:cs="Arial"/>
          <w:sz w:val="22"/>
          <w:lang w:val="es-CO"/>
        </w:rPr>
        <w:t xml:space="preserve"> explicará el siguiente asunto:</w:t>
      </w:r>
      <w:r w:rsidR="00DC5D17">
        <w:rPr>
          <w:rFonts w:ascii="Arial" w:hAnsi="Arial" w:eastAsia="Calibri" w:cs="Arial"/>
          <w:sz w:val="22"/>
          <w:lang w:val="es-CO"/>
        </w:rPr>
        <w:t xml:space="preserve"> </w:t>
      </w:r>
      <w:r w:rsidRPr="00265C4F" w:rsidR="00AF0C1F">
        <w:rPr>
          <w:rFonts w:ascii="Arial" w:hAnsi="Arial" w:eastAsia="Calibri" w:cs="Arial"/>
          <w:color w:val="000000" w:themeColor="text1"/>
          <w:sz w:val="22"/>
          <w:lang w:val="es-CO"/>
        </w:rPr>
        <w:t xml:space="preserve">la </w:t>
      </w:r>
      <w:r w:rsidRPr="00265C4F" w:rsidR="00AF0C1F">
        <w:rPr>
          <w:rFonts w:ascii="Arial" w:hAnsi="Arial" w:cs="Arial"/>
          <w:sz w:val="22"/>
          <w:lang w:val="es-CO"/>
        </w:rPr>
        <w:t>Renovación del Registro Único de Proponentes – RUP</w:t>
      </w:r>
      <w:r w:rsidR="00A6190A">
        <w:rPr>
          <w:rFonts w:ascii="Arial" w:hAnsi="Arial" w:cs="Arial"/>
          <w:sz w:val="22"/>
          <w:lang w:val="es-CO"/>
        </w:rPr>
        <w:t xml:space="preserve">, concretamente, los efectos del registro entre el periodo comprendido entre la presentación de la información para renovación y su firmeza. </w:t>
      </w:r>
      <w:r w:rsidRPr="00265C4F" w:rsidR="00AF0C1F">
        <w:rPr>
          <w:rFonts w:ascii="Arial" w:hAnsi="Arial" w:cs="Arial"/>
          <w:sz w:val="22"/>
          <w:lang w:val="es-CO"/>
        </w:rPr>
        <w:t xml:space="preserve"> </w:t>
      </w:r>
    </w:p>
    <w:p w:rsidRPr="00265C4F" w:rsidR="00DC5D17" w:rsidP="00CD001D" w:rsidRDefault="00DC5D17" w14:paraId="3115797C" w14:textId="77777777">
      <w:pPr>
        <w:pStyle w:val="Prrafodelista"/>
        <w:spacing w:line="276" w:lineRule="auto"/>
        <w:ind w:left="0"/>
        <w:jc w:val="both"/>
        <w:rPr>
          <w:rFonts w:ascii="Arial" w:hAnsi="Arial" w:cs="Arial"/>
          <w:sz w:val="22"/>
          <w:lang w:val="es-CO"/>
        </w:rPr>
      </w:pPr>
    </w:p>
    <w:p w:rsidRPr="00265C4F" w:rsidR="00A1118B" w:rsidP="00A1118B" w:rsidRDefault="00A1118B" w14:paraId="22BF6878" w14:textId="15760484">
      <w:pPr>
        <w:pStyle w:val="Prrafodelista"/>
        <w:spacing w:line="276" w:lineRule="auto"/>
        <w:ind w:left="0"/>
        <w:jc w:val="both"/>
        <w:rPr>
          <w:rFonts w:ascii="Arial" w:hAnsi="Arial" w:cs="Arial"/>
          <w:b/>
          <w:sz w:val="22"/>
          <w:lang w:val="es-CO"/>
        </w:rPr>
      </w:pPr>
      <w:r w:rsidRPr="00265C4F">
        <w:rPr>
          <w:rFonts w:ascii="Arial" w:hAnsi="Arial" w:cs="Arial"/>
          <w:b/>
          <w:sz w:val="22"/>
          <w:lang w:val="es-CO"/>
        </w:rPr>
        <w:lastRenderedPageBreak/>
        <w:t>2.</w:t>
      </w:r>
      <w:r w:rsidR="00DD4553">
        <w:rPr>
          <w:rFonts w:ascii="Arial" w:hAnsi="Arial" w:cs="Arial"/>
          <w:b/>
          <w:sz w:val="22"/>
          <w:lang w:val="es-CO"/>
        </w:rPr>
        <w:t>1</w:t>
      </w:r>
      <w:r w:rsidRPr="00265C4F">
        <w:rPr>
          <w:rFonts w:ascii="Arial" w:hAnsi="Arial" w:cs="Arial"/>
          <w:b/>
          <w:sz w:val="22"/>
          <w:lang w:val="es-CO"/>
        </w:rPr>
        <w:t>. Renovación del Registro Único de Proponentes – RUP</w:t>
      </w:r>
      <w:r w:rsidR="00A6190A">
        <w:rPr>
          <w:rFonts w:ascii="Arial" w:hAnsi="Arial" w:cs="Arial"/>
          <w:b/>
          <w:sz w:val="22"/>
          <w:lang w:val="es-CO"/>
        </w:rPr>
        <w:t xml:space="preserve">. </w:t>
      </w:r>
      <w:r w:rsidR="008802DD">
        <w:rPr>
          <w:rFonts w:ascii="Arial" w:hAnsi="Arial" w:cs="Arial"/>
          <w:b/>
          <w:sz w:val="22"/>
          <w:lang w:val="es-CO"/>
        </w:rPr>
        <w:t>E</w:t>
      </w:r>
      <w:r w:rsidRPr="008802DD" w:rsidR="008802DD">
        <w:rPr>
          <w:rFonts w:ascii="Arial" w:hAnsi="Arial" w:cs="Arial"/>
          <w:b/>
          <w:sz w:val="22"/>
          <w:lang w:val="es-CO"/>
        </w:rPr>
        <w:t>fectos del registro entre el periodo comprendido entre la presentación de la información para renovación y su firmeza</w:t>
      </w:r>
    </w:p>
    <w:p w:rsidRPr="00265C4F" w:rsidR="002F3B74" w:rsidP="00A1118B" w:rsidRDefault="002F3B74" w14:paraId="6E9DB9DD" w14:textId="33F05403">
      <w:pPr>
        <w:pStyle w:val="Prrafodelista"/>
        <w:spacing w:line="276" w:lineRule="auto"/>
        <w:ind w:left="0"/>
        <w:jc w:val="both"/>
        <w:rPr>
          <w:rFonts w:ascii="Arial" w:hAnsi="Arial" w:cs="Arial"/>
          <w:b/>
          <w:sz w:val="22"/>
          <w:lang w:val="es-CO"/>
        </w:rPr>
      </w:pPr>
    </w:p>
    <w:p w:rsidRPr="00265C4F" w:rsidR="00A1118B" w:rsidP="00AC40CD" w:rsidRDefault="002F3B74" w14:paraId="2417968B" w14:textId="3AD18986">
      <w:pPr>
        <w:spacing w:after="120" w:line="276" w:lineRule="auto"/>
        <w:jc w:val="both"/>
        <w:rPr>
          <w:rFonts w:ascii="Arial" w:hAnsi="Arial" w:eastAsia="Calibri" w:cs="Arial"/>
          <w:sz w:val="22"/>
          <w:lang w:val="es-CO"/>
        </w:rPr>
      </w:pPr>
      <w:r w:rsidRPr="00265C4F">
        <w:rPr>
          <w:rFonts w:ascii="Arial" w:hAnsi="Arial" w:eastAsia="Calibri" w:cs="Arial"/>
          <w:sz w:val="22"/>
          <w:lang w:val="es-CO"/>
        </w:rPr>
        <w:t xml:space="preserve">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w:t>
      </w:r>
      <w:r w:rsidRPr="00265C4F" w:rsidR="00CD001D">
        <w:rPr>
          <w:rFonts w:ascii="Arial" w:hAnsi="Arial" w:eastAsia="Calibri" w:cs="Arial"/>
          <w:sz w:val="22"/>
          <w:lang w:val="es-CO"/>
        </w:rPr>
        <w:t xml:space="preserve">C – 005 </w:t>
      </w:r>
      <w:r w:rsidRPr="00265C4F">
        <w:rPr>
          <w:rFonts w:ascii="Arial" w:hAnsi="Arial" w:eastAsia="Calibri" w:cs="Arial"/>
          <w:sz w:val="22"/>
          <w:lang w:val="es-CO"/>
        </w:rPr>
        <w:t xml:space="preserve"> del 14 de febrero de 2020</w:t>
      </w:r>
      <w:r w:rsidR="00DD4553">
        <w:rPr>
          <w:rFonts w:ascii="Arial" w:hAnsi="Arial" w:eastAsia="Calibri" w:cs="Arial"/>
          <w:sz w:val="22"/>
          <w:lang w:val="es-CO"/>
        </w:rPr>
        <w:t>, C, C – 454 del 06 de julio de 2020 2020C – 466 del 24 de julio de 2020, y – 420 del 28 de julio de</w:t>
      </w:r>
      <w:r w:rsidR="008802DD">
        <w:rPr>
          <w:rFonts w:ascii="Arial" w:hAnsi="Arial" w:eastAsia="Calibri" w:cs="Arial"/>
          <w:sz w:val="22"/>
          <w:lang w:val="es-CO"/>
        </w:rPr>
        <w:t xml:space="preserve"> 2020, C-534 del 12 de agosto de 2020</w:t>
      </w:r>
      <w:r w:rsidRPr="00265C4F">
        <w:rPr>
          <w:rFonts w:ascii="Arial" w:hAnsi="Arial" w:eastAsia="Calibri" w:cs="Arial"/>
          <w:sz w:val="22"/>
          <w:lang w:val="es-CO"/>
        </w:rPr>
        <w:t>.</w:t>
      </w:r>
    </w:p>
    <w:p w:rsidRPr="00265C4F" w:rsidR="008802DD" w:rsidP="008802DD" w:rsidRDefault="008802DD" w14:paraId="2B628E0F" w14:textId="77777777">
      <w:pPr>
        <w:spacing w:after="120" w:line="276" w:lineRule="auto"/>
        <w:ind w:firstLine="709"/>
        <w:jc w:val="both"/>
        <w:rPr>
          <w:rFonts w:ascii="Arial" w:hAnsi="Arial" w:cs="Arial"/>
          <w:sz w:val="22"/>
          <w:lang w:val="es-CO"/>
        </w:rPr>
      </w:pPr>
      <w:r w:rsidRPr="00265C4F">
        <w:rPr>
          <w:rFonts w:ascii="Arial" w:hAnsi="Arial" w:cs="Arial"/>
          <w:sz w:val="22"/>
          <w:lang w:val="es-CO"/>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2"/>
      </w:r>
      <w:r w:rsidRPr="00265C4F">
        <w:rPr>
          <w:rFonts w:ascii="Arial" w:hAnsi="Arial" w:cs="Arial"/>
          <w:sz w:val="22"/>
          <w:lang w:val="es-CO"/>
        </w:rPr>
        <w:t xml:space="preserve">. En firme el acto administrativo que realiza la inscripción en el Registro </w:t>
      </w:r>
      <w:r w:rsidRPr="00265C4F">
        <w:rPr>
          <w:rFonts w:ascii="Arial" w:hAnsi="Arial" w:cs="Arial"/>
          <w:sz w:val="22"/>
          <w:lang w:val="es-CO"/>
        </w:rPr>
        <w:lastRenderedPageBreak/>
        <w:t>Único de Proponentes se podrá demandar su nulidad sin que la presentación de la demanda suspenda la inscripción del RUP.</w:t>
      </w:r>
    </w:p>
    <w:p w:rsidRPr="00265C4F" w:rsidR="008802DD" w:rsidP="008802DD" w:rsidRDefault="008802DD" w14:paraId="7EF0AAB7" w14:textId="77777777">
      <w:pPr>
        <w:spacing w:line="276" w:lineRule="auto"/>
        <w:ind w:firstLine="708"/>
        <w:jc w:val="both"/>
        <w:rPr>
          <w:rFonts w:ascii="Arial" w:hAnsi="Arial" w:eastAsia="Calibri" w:cs="Arial"/>
          <w:sz w:val="22"/>
          <w:lang w:val="es-CO"/>
        </w:rPr>
      </w:pPr>
      <w:r w:rsidRPr="00265C4F">
        <w:rPr>
          <w:rFonts w:ascii="Arial" w:hAnsi="Arial" w:eastAsia="Calibri" w:cs="Arial"/>
          <w:sz w:val="22"/>
          <w:lang w:val="es-CO"/>
        </w:rPr>
        <w:t>De otro lado, el artículo 2.2.1.1.1.5.1. del Decreto 1082 de 2015 señala que las personas inscritas en el RUP deben presentar la información para renovar su registro a más tardar el quinto día hábil del mes de abril de cada año</w:t>
      </w:r>
      <w:r>
        <w:rPr>
          <w:rFonts w:ascii="Arial" w:hAnsi="Arial" w:eastAsia="Calibri" w:cs="Arial"/>
          <w:sz w:val="22"/>
          <w:lang w:val="es-CO"/>
        </w:rPr>
        <w:t>,</w:t>
      </w:r>
      <w:r w:rsidRPr="00265C4F">
        <w:rPr>
          <w:rFonts w:ascii="Arial" w:hAnsi="Arial" w:eastAsia="Calibri" w:cs="Arial"/>
          <w:sz w:val="22"/>
          <w:lang w:val="es-CO"/>
        </w:rPr>
        <w:t xml:space="preserve"> de lo contrario cesan los efectos del RUP</w:t>
      </w:r>
      <w:r w:rsidRPr="00265C4F">
        <w:rPr>
          <w:rStyle w:val="Refdenotaalpie"/>
          <w:rFonts w:ascii="Arial" w:hAnsi="Arial" w:eastAsia="Calibri" w:cs="Arial"/>
          <w:sz w:val="22"/>
          <w:lang w:val="es-CO"/>
        </w:rPr>
        <w:footnoteReference w:id="3"/>
      </w:r>
      <w:r>
        <w:rPr>
          <w:rFonts w:ascii="Arial" w:hAnsi="Arial" w:eastAsia="Calibri" w:cs="Arial"/>
          <w:sz w:val="22"/>
          <w:lang w:val="es-CO"/>
        </w:rPr>
        <w:t xml:space="preserve">; sin perjuicio de lo indicado para el presente año, conforme al Decreto Legislativo 434 de 2020, debiéndose entender </w:t>
      </w:r>
      <w:r w:rsidRPr="006A0DB3">
        <w:rPr>
          <w:rFonts w:ascii="Arial" w:hAnsi="Arial" w:eastAsia="Calibri" w:cs="Arial"/>
          <w:sz w:val="22"/>
          <w:lang w:val="es-CO"/>
        </w:rPr>
        <w:t>a más tardar el quinto día hábil del mes de julio de 2020</w:t>
      </w:r>
      <w:r w:rsidRPr="00265C4F">
        <w:rPr>
          <w:rFonts w:ascii="Arial" w:hAnsi="Arial" w:eastAsia="Calibri" w:cs="Arial"/>
          <w:sz w:val="22"/>
          <w:lang w:val="es-CO"/>
        </w:rPr>
        <w:t>. Asimismo, el Consejo de Estado en sentencia del 19 de septiembre de 2019 señaló la finalidad de la renovación del RUP y las consecuencias de no hacerlo en el término previsto:</w:t>
      </w:r>
    </w:p>
    <w:p w:rsidRPr="00265C4F" w:rsidR="008802DD" w:rsidP="008802DD" w:rsidRDefault="008802DD" w14:paraId="71D22371" w14:textId="77777777">
      <w:pPr>
        <w:spacing w:line="276" w:lineRule="auto"/>
        <w:jc w:val="both"/>
        <w:rPr>
          <w:rFonts w:ascii="Arial" w:hAnsi="Arial" w:eastAsia="Calibri" w:cs="Arial"/>
          <w:sz w:val="22"/>
          <w:lang w:val="es-CO"/>
        </w:rPr>
      </w:pPr>
    </w:p>
    <w:p w:rsidRPr="00265C4F" w:rsidR="008802DD" w:rsidP="008802DD" w:rsidRDefault="008802DD" w14:paraId="25A694B9" w14:textId="77777777">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rsidRPr="00265C4F" w:rsidR="008802DD" w:rsidP="008802DD" w:rsidRDefault="008802DD" w14:paraId="02A43BA0" w14:textId="77777777">
      <w:pPr>
        <w:tabs>
          <w:tab w:val="left" w:pos="567"/>
        </w:tabs>
        <w:ind w:left="709" w:right="709"/>
        <w:jc w:val="both"/>
        <w:rPr>
          <w:rFonts w:ascii="Arial" w:hAnsi="Arial" w:cs="Arial"/>
          <w:sz w:val="21"/>
          <w:szCs w:val="21"/>
          <w:lang w:val="es-CO"/>
        </w:rPr>
      </w:pPr>
    </w:p>
    <w:p w:rsidRPr="00265C4F" w:rsidR="008802DD" w:rsidP="008802DD" w:rsidRDefault="008802DD" w14:paraId="7190285D" w14:textId="77777777">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4"/>
      </w:r>
      <w:r w:rsidRPr="00265C4F">
        <w:rPr>
          <w:rFonts w:ascii="Arial" w:hAnsi="Arial" w:cs="Arial"/>
          <w:sz w:val="21"/>
          <w:szCs w:val="21"/>
          <w:lang w:val="es-CO"/>
        </w:rPr>
        <w:t>.</w:t>
      </w:r>
      <w:r>
        <w:rPr>
          <w:rFonts w:ascii="Arial" w:hAnsi="Arial" w:cs="Arial"/>
          <w:sz w:val="21"/>
          <w:szCs w:val="21"/>
          <w:lang w:val="es-CO"/>
        </w:rPr>
        <w:t xml:space="preserve"> </w:t>
      </w:r>
    </w:p>
    <w:p w:rsidRPr="00265C4F" w:rsidR="008802DD" w:rsidP="008802DD" w:rsidRDefault="008802DD" w14:paraId="42695D51" w14:textId="77777777">
      <w:pPr>
        <w:jc w:val="both"/>
        <w:rPr>
          <w:rFonts w:ascii="Arial" w:hAnsi="Arial" w:eastAsia="Calibri" w:cs="Arial"/>
          <w:sz w:val="22"/>
          <w:lang w:val="es-CO"/>
        </w:rPr>
      </w:pPr>
      <w:r w:rsidRPr="00265C4F">
        <w:rPr>
          <w:rFonts w:ascii="Arial" w:hAnsi="Arial" w:eastAsia="Calibri" w:cs="Arial"/>
          <w:sz w:val="22"/>
          <w:lang w:val="es-CO"/>
        </w:rPr>
        <w:lastRenderedPageBreak/>
        <w:t xml:space="preserve"> </w:t>
      </w:r>
    </w:p>
    <w:p w:rsidRPr="00265C4F" w:rsidR="008802DD" w:rsidP="008802DD" w:rsidRDefault="008802DD" w14:paraId="5F2DBBA0" w14:textId="77777777">
      <w:pPr>
        <w:spacing w:after="120" w:line="276" w:lineRule="auto"/>
        <w:ind w:firstLine="708"/>
        <w:jc w:val="both"/>
        <w:rPr>
          <w:rFonts w:ascii="Arial" w:hAnsi="Arial" w:eastAsia="Calibri" w:cs="Arial"/>
          <w:sz w:val="22"/>
          <w:lang w:val="es-CO"/>
        </w:rPr>
      </w:pPr>
      <w:r w:rsidRPr="00265C4F">
        <w:rPr>
          <w:rFonts w:ascii="Arial" w:hAnsi="Arial" w:eastAsia="Calibri" w:cs="Arial"/>
          <w:sz w:val="22"/>
          <w:lang w:val="es-CO"/>
        </w:rPr>
        <w:t xml:space="preserve">Conforme a lo anterior, en armonía con lo señalado en el artículo 2.2.1.1.1.5.1. del Decreto 1082 de 2015, </w:t>
      </w:r>
      <w:r w:rsidRPr="00265C4F">
        <w:rPr>
          <w:rFonts w:ascii="Arial" w:hAnsi="Arial" w:eastAsia="Calibri" w:cs="Arial"/>
          <w:i/>
          <w:sz w:val="22"/>
          <w:lang w:val="es-CO"/>
        </w:rPr>
        <w:t>si el proponente</w:t>
      </w:r>
      <w:r w:rsidRPr="00265C4F">
        <w:rPr>
          <w:rFonts w:ascii="Arial" w:hAnsi="Arial" w:eastAsia="Calibri" w:cs="Arial"/>
          <w:sz w:val="22"/>
          <w:lang w:val="es-CO"/>
        </w:rPr>
        <w:t xml:space="preserve"> </w:t>
      </w:r>
      <w:r w:rsidRPr="00265C4F">
        <w:rPr>
          <w:rFonts w:ascii="Arial" w:hAnsi="Arial" w:eastAsia="Calibri" w:cs="Arial"/>
          <w:i/>
          <w:sz w:val="22"/>
          <w:lang w:val="es-CO"/>
        </w:rPr>
        <w:t>no presenta la información para renovar su registro</w:t>
      </w:r>
      <w:r w:rsidRPr="00265C4F">
        <w:rPr>
          <w:rFonts w:ascii="Arial" w:hAnsi="Arial" w:eastAsia="Calibri" w:cs="Arial"/>
          <w:sz w:val="22"/>
          <w:lang w:val="es-CO"/>
        </w:rPr>
        <w:t xml:space="preserve"> antes del quinto día hábil del mes de abril de cada año</w:t>
      </w:r>
      <w:r>
        <w:rPr>
          <w:rFonts w:ascii="Arial" w:hAnsi="Arial" w:eastAsia="Calibri" w:cs="Arial"/>
          <w:sz w:val="22"/>
          <w:lang w:val="es-CO"/>
        </w:rPr>
        <w:t xml:space="preserve"> –o </w:t>
      </w:r>
      <w:r w:rsidRPr="00685722">
        <w:rPr>
          <w:rFonts w:ascii="Arial" w:hAnsi="Arial" w:eastAsia="Calibri" w:cs="Arial"/>
          <w:sz w:val="22"/>
          <w:lang w:val="es-CO"/>
        </w:rPr>
        <w:t>el quinto día hábil del mes de julio</w:t>
      </w:r>
      <w:r>
        <w:rPr>
          <w:rFonts w:ascii="Arial" w:hAnsi="Arial" w:eastAsia="Calibri" w:cs="Arial"/>
          <w:sz w:val="22"/>
          <w:lang w:val="es-CO"/>
        </w:rPr>
        <w:t>, para el 2020</w:t>
      </w:r>
      <w:r w:rsidRPr="00685722">
        <w:rPr>
          <w:rFonts w:ascii="Arial" w:hAnsi="Arial" w:eastAsia="Calibri" w:cs="Arial"/>
          <w:sz w:val="22"/>
          <w:lang w:val="es-CO"/>
        </w:rPr>
        <w:t>–</w:t>
      </w:r>
      <w:r w:rsidRPr="00265C4F">
        <w:rPr>
          <w:rFonts w:ascii="Arial" w:hAnsi="Arial" w:eastAsia="Calibri" w:cs="Arial"/>
          <w:sz w:val="22"/>
          <w:lang w:val="es-CO"/>
        </w:rPr>
        <w:t xml:space="preserve">,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rsidRPr="00265C4F" w:rsidR="008802DD" w:rsidP="008802DD" w:rsidRDefault="008802DD" w14:paraId="7883C2BC" w14:textId="77777777">
      <w:pPr>
        <w:spacing w:after="120" w:line="276" w:lineRule="auto"/>
        <w:ind w:firstLine="708"/>
        <w:jc w:val="both"/>
        <w:rPr>
          <w:rFonts w:ascii="Arial" w:hAnsi="Arial" w:eastAsia="Calibri" w:cs="Arial"/>
          <w:sz w:val="22"/>
          <w:lang w:val="es-CO"/>
        </w:rPr>
      </w:pPr>
      <w:r w:rsidRPr="00265C4F">
        <w:rPr>
          <w:rFonts w:ascii="Arial" w:hAnsi="Arial" w:eastAsia="Calibri" w:cs="Arial"/>
          <w:sz w:val="22"/>
          <w:lang w:val="es-CO"/>
        </w:rPr>
        <w:t xml:space="preserve">Tratándose del trámite de </w:t>
      </w:r>
      <w:r w:rsidRPr="00265C4F">
        <w:rPr>
          <w:rFonts w:ascii="Arial" w:hAnsi="Arial" w:eastAsia="Calibri" w:cs="Arial"/>
          <w:i/>
          <w:sz w:val="22"/>
          <w:lang w:val="es-CO"/>
        </w:rPr>
        <w:t>renovación,</w:t>
      </w:r>
      <w:r w:rsidRPr="00265C4F">
        <w:rPr>
          <w:rFonts w:ascii="Arial" w:hAnsi="Arial" w:eastAsia="Calibri" w:cs="Arial"/>
          <w:sz w:val="22"/>
          <w:lang w:val="es-CO"/>
        </w:rPr>
        <w:t xml:space="preserve"> la persona que haya presentado la información para renovar su registro a más tardar al quinto día hábil del mes de abril</w:t>
      </w:r>
      <w:r>
        <w:rPr>
          <w:rFonts w:ascii="Arial" w:hAnsi="Arial" w:eastAsia="Calibri" w:cs="Arial"/>
          <w:sz w:val="22"/>
          <w:lang w:val="es-CO"/>
        </w:rPr>
        <w:t xml:space="preserve"> –o</w:t>
      </w:r>
      <w:r w:rsidRPr="00685722">
        <w:rPr>
          <w:rFonts w:ascii="Arial" w:hAnsi="Arial" w:eastAsia="Calibri" w:cs="Arial"/>
          <w:sz w:val="22"/>
          <w:lang w:val="es-CO"/>
        </w:rPr>
        <w:t xml:space="preserve"> quinto día hábil del mes de julio, para el 2020–</w:t>
      </w:r>
      <w:r w:rsidRPr="00265C4F">
        <w:rPr>
          <w:rFonts w:ascii="Arial" w:hAnsi="Arial" w:eastAsia="Calibri" w:cs="Arial"/>
          <w:sz w:val="22"/>
          <w:lang w:val="es-CO"/>
        </w:rPr>
        <w:t>,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rsidRPr="00265C4F" w:rsidR="008802DD" w:rsidP="008802DD" w:rsidRDefault="008802DD" w14:paraId="71D2AFCA" w14:textId="77777777">
      <w:pPr>
        <w:spacing w:after="120" w:line="276" w:lineRule="auto"/>
        <w:ind w:firstLine="708"/>
        <w:jc w:val="both"/>
        <w:rPr>
          <w:rFonts w:ascii="Arial" w:hAnsi="Arial" w:eastAsia="Calibri" w:cs="Arial"/>
          <w:sz w:val="22"/>
          <w:lang w:val="es-CO"/>
        </w:rPr>
      </w:pPr>
      <w:r w:rsidRPr="00265C4F">
        <w:rPr>
          <w:rFonts w:ascii="Arial" w:hAnsi="Arial" w:eastAsia="Calibri" w:cs="Arial"/>
          <w:sz w:val="22"/>
          <w:lang w:val="es-CO"/>
        </w:rPr>
        <w:t>Así las cosas, para verificar que los efectos del RUP no han cesado, es necesario que el certificado contenga la anotación de que el inscrito, a más tardar el quinto día hábil de abril de cada año</w:t>
      </w:r>
      <w:r>
        <w:rPr>
          <w:rFonts w:ascii="Arial" w:hAnsi="Arial" w:eastAsia="Calibri" w:cs="Arial"/>
          <w:sz w:val="22"/>
          <w:lang w:val="es-CO"/>
        </w:rPr>
        <w:t xml:space="preserve"> –o</w:t>
      </w:r>
      <w:r w:rsidRPr="00BE4892">
        <w:rPr>
          <w:rFonts w:ascii="Arial" w:hAnsi="Arial" w:eastAsia="Calibri" w:cs="Arial"/>
          <w:sz w:val="22"/>
          <w:lang w:val="es-CO"/>
        </w:rPr>
        <w:t xml:space="preserve"> quinto día hábil del mes de julio, para el 2020–</w:t>
      </w:r>
      <w:r w:rsidRPr="00265C4F">
        <w:rPr>
          <w:rFonts w:ascii="Arial" w:hAnsi="Arial" w:eastAsia="Calibri" w:cs="Arial"/>
          <w:sz w:val="22"/>
          <w:lang w:val="es-CO"/>
        </w:rPr>
        <w:t>,</w:t>
      </w:r>
      <w:r w:rsidRPr="00265C4F" w:rsidDel="00B14FC4">
        <w:rPr>
          <w:rFonts w:ascii="Arial" w:hAnsi="Arial" w:eastAsia="Calibri" w:cs="Arial"/>
          <w:sz w:val="22"/>
          <w:lang w:val="es-CO"/>
        </w:rPr>
        <w:t xml:space="preserve"> </w:t>
      </w:r>
      <w:r w:rsidRPr="00265C4F">
        <w:rPr>
          <w:rFonts w:ascii="Arial" w:hAnsi="Arial" w:eastAsia="Calibri" w:cs="Arial"/>
          <w:sz w:val="22"/>
          <w:lang w:val="es-CO"/>
        </w:rPr>
        <w:t xml:space="preserve">radicó ante la cámara de comercio los documentos para la renovación. En todo caso, si tal circunstancia no estuviere inscrita en el certificado, se podrá acreditar a través del medio documental expedido por la cámara de comercio correspondiente, así pues, por no haber tarifa legal que permita establecer la forma de acreditar el trámite de renovación, la entidad estatal debe verificar que el documento aportado por el proponente ofrezca certeza sobre el estado del trámite. </w:t>
      </w:r>
    </w:p>
    <w:p w:rsidRPr="00265C4F" w:rsidR="008802DD" w:rsidP="008802DD" w:rsidRDefault="008802DD" w14:paraId="3AAEBE36"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265C4F">
        <w:rPr>
          <w:rStyle w:val="Refdenotaalpie"/>
          <w:rFonts w:ascii="Arial" w:hAnsi="Arial" w:eastAsia="Calibri" w:cs="Arial"/>
          <w:sz w:val="22"/>
          <w:lang w:val="es-CO"/>
        </w:rPr>
        <w:footnoteReference w:id="5"/>
      </w:r>
      <w:r w:rsidRPr="00265C4F">
        <w:rPr>
          <w:rFonts w:ascii="Arial" w:hAnsi="Arial" w:eastAsia="Calibri" w:cs="Arial"/>
          <w:sz w:val="22"/>
          <w:lang w:val="es-CO"/>
        </w:rPr>
        <w:t xml:space="preserve">. </w:t>
      </w:r>
    </w:p>
    <w:p w:rsidRPr="00265C4F" w:rsidR="008802DD" w:rsidP="008802DD" w:rsidRDefault="008802DD" w14:paraId="5CC3F1C3"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lastRenderedPageBreak/>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rsidRPr="00265C4F" w:rsidR="008802DD" w:rsidP="008802DD" w:rsidRDefault="008802DD" w14:paraId="641E9F01"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hAnsi="Arial" w:eastAsia="Calibri" w:cs="Arial"/>
          <w:sz w:val="22"/>
          <w:lang w:val="es-CO"/>
        </w:rPr>
        <w:footnoteReference w:id="6"/>
      </w:r>
      <w:r w:rsidRPr="00265C4F">
        <w:rPr>
          <w:rFonts w:ascii="Arial" w:hAnsi="Arial" w:eastAsia="Calibri" w:cs="Arial"/>
          <w:sz w:val="22"/>
          <w:lang w:val="es-CO"/>
        </w:rPr>
        <w:t xml:space="preserve">. </w:t>
      </w:r>
    </w:p>
    <w:p w:rsidRPr="00265C4F" w:rsidR="008802DD" w:rsidP="008802DD" w:rsidRDefault="008802DD" w14:paraId="05C6C90D"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rsidRPr="00265C4F" w:rsidR="008802DD" w:rsidP="008802DD" w:rsidRDefault="008802DD" w14:paraId="361BA97A"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rsidRPr="00265C4F" w:rsidR="008802DD" w:rsidP="008802DD" w:rsidRDefault="008802DD" w14:paraId="5E41782C"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rsidRPr="00265C4F" w:rsidR="008802DD" w:rsidP="008802DD" w:rsidRDefault="008802DD" w14:paraId="10AC1B6F"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 xml:space="preserve">En relación con la </w:t>
      </w:r>
      <w:r w:rsidRPr="00685722">
        <w:rPr>
          <w:rFonts w:ascii="Arial" w:hAnsi="Arial" w:eastAsia="Calibri" w:cs="Arial"/>
          <w:i/>
          <w:iCs/>
          <w:sz w:val="22"/>
          <w:lang w:val="es-CO"/>
        </w:rPr>
        <w:t>inscripción</w:t>
      </w:r>
      <w:r w:rsidRPr="00265C4F">
        <w:rPr>
          <w:rFonts w:ascii="Arial" w:hAnsi="Arial" w:eastAsia="Calibri"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265C4F">
        <w:rPr>
          <w:rStyle w:val="Refdenotaalpie"/>
          <w:rFonts w:ascii="Arial" w:hAnsi="Arial" w:eastAsia="Calibri" w:cs="Arial"/>
          <w:sz w:val="22"/>
          <w:lang w:val="es-CO"/>
        </w:rPr>
        <w:footnoteReference w:id="7"/>
      </w:r>
      <w:r w:rsidRPr="00265C4F">
        <w:rPr>
          <w:rFonts w:ascii="Arial" w:hAnsi="Arial" w:eastAsia="Calibri" w:cs="Arial"/>
          <w:sz w:val="22"/>
          <w:lang w:val="es-CO"/>
        </w:rPr>
        <w:t xml:space="preserve">, que establece que los proponentes no pueden acreditar </w:t>
      </w:r>
      <w:r w:rsidRPr="00265C4F">
        <w:rPr>
          <w:rFonts w:ascii="Arial" w:hAnsi="Arial" w:eastAsia="Calibri" w:cs="Arial"/>
          <w:sz w:val="22"/>
          <w:lang w:val="es-CO"/>
        </w:rPr>
        <w:lastRenderedPageBreak/>
        <w:t>circunstancias ocurridas con posterioridad al cierre del proceso, unido a lo expresado por la Sala de Consulta y Servicio Civil del Consejo de Estado, quien interpretó una norma de igual contenido a la anterior</w:t>
      </w:r>
      <w:r w:rsidRPr="00265C4F">
        <w:rPr>
          <w:rStyle w:val="Refdenotaalpie"/>
          <w:rFonts w:ascii="Arial" w:hAnsi="Arial" w:eastAsia="Calibri" w:cs="Arial"/>
          <w:sz w:val="22"/>
          <w:lang w:val="es-CO"/>
        </w:rPr>
        <w:footnoteReference w:id="8"/>
      </w:r>
      <w:r w:rsidRPr="00265C4F">
        <w:rPr>
          <w:rFonts w:ascii="Arial" w:hAnsi="Arial" w:eastAsia="Calibri" w:cs="Arial"/>
          <w:sz w:val="22"/>
          <w:lang w:val="es-CO"/>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hAnsi="Arial" w:eastAsia="Calibri" w:cs="Arial"/>
          <w:i/>
          <w:iCs/>
          <w:sz w:val="22"/>
          <w:lang w:val="es-CO"/>
        </w:rPr>
        <w:t>inscripción</w:t>
      </w:r>
      <w:r w:rsidRPr="00265C4F">
        <w:rPr>
          <w:rFonts w:ascii="Arial" w:hAnsi="Arial" w:eastAsia="Calibri" w:cs="Arial"/>
          <w:sz w:val="22"/>
          <w:lang w:val="es-CO"/>
        </w:rPr>
        <w:t xml:space="preserve"> debe estar en firme, pues solo así se materializa y produce efectos la inscripción</w:t>
      </w:r>
      <w:r w:rsidRPr="00265C4F">
        <w:rPr>
          <w:rStyle w:val="Refdenotaalpie"/>
          <w:rFonts w:ascii="Arial" w:hAnsi="Arial" w:eastAsia="Calibri" w:cs="Arial"/>
          <w:sz w:val="22"/>
          <w:lang w:val="es-CO"/>
        </w:rPr>
        <w:footnoteReference w:id="9"/>
      </w:r>
      <w:r w:rsidRPr="00265C4F">
        <w:rPr>
          <w:rFonts w:ascii="Arial" w:hAnsi="Arial" w:eastAsia="Calibri" w:cs="Arial"/>
          <w:sz w:val="22"/>
          <w:lang w:val="es-CO"/>
        </w:rPr>
        <w:t xml:space="preserve">. </w:t>
      </w:r>
    </w:p>
    <w:p w:rsidRPr="00265C4F" w:rsidR="008802DD" w:rsidP="008802DD" w:rsidRDefault="008802DD" w14:paraId="35A536EF" w14:textId="77777777">
      <w:pPr>
        <w:spacing w:after="120" w:line="276" w:lineRule="auto"/>
        <w:ind w:firstLine="709"/>
        <w:jc w:val="both"/>
        <w:rPr>
          <w:rFonts w:ascii="Arial" w:hAnsi="Arial" w:eastAsia="Calibri" w:cs="Arial"/>
          <w:sz w:val="22"/>
          <w:lang w:val="es-CO"/>
        </w:rPr>
      </w:pPr>
      <w:r w:rsidRPr="00265C4F">
        <w:rPr>
          <w:rFonts w:ascii="Arial" w:hAnsi="Arial" w:eastAsia="Calibri" w:cs="Arial"/>
          <w:sz w:val="22"/>
          <w:lang w:val="es-CO"/>
        </w:rPr>
        <w:t xml:space="preserve">Por lo tanto, si la cámara de comercio expide el acto administrativo de </w:t>
      </w:r>
      <w:r w:rsidRPr="00265C4F">
        <w:rPr>
          <w:rFonts w:ascii="Arial" w:hAnsi="Arial" w:eastAsia="Calibri" w:cs="Arial"/>
          <w:i/>
          <w:iCs/>
          <w:sz w:val="22"/>
          <w:lang w:val="es-CO"/>
        </w:rPr>
        <w:t>inscripción</w:t>
      </w:r>
      <w:r w:rsidRPr="00265C4F">
        <w:rPr>
          <w:rFonts w:ascii="Arial" w:hAnsi="Arial" w:eastAsia="Calibri" w:cs="Arial"/>
          <w:sz w:val="22"/>
          <w:lang w:val="es-CO"/>
        </w:rPr>
        <w:t xml:space="preserve"> en el RUP después del cierre</w:t>
      </w:r>
      <w:r>
        <w:rPr>
          <w:rFonts w:ascii="Arial" w:hAnsi="Arial" w:eastAsia="Calibri" w:cs="Arial"/>
          <w:sz w:val="22"/>
          <w:lang w:val="es-CO"/>
        </w:rPr>
        <w:t xml:space="preserve"> del procedimiento de selección</w:t>
      </w:r>
      <w:r w:rsidRPr="00265C4F">
        <w:rPr>
          <w:rFonts w:ascii="Arial" w:hAnsi="Arial" w:eastAsia="Calibri" w:cs="Arial"/>
          <w:sz w:val="22"/>
          <w:lang w:val="es-CO"/>
        </w:rPr>
        <w:t>, con motivo a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rsidR="008802DD" w:rsidP="008802DD" w:rsidRDefault="008802DD" w14:paraId="1E393EDA" w14:textId="77777777">
      <w:pPr>
        <w:spacing w:after="120" w:line="276" w:lineRule="auto"/>
        <w:ind w:firstLine="708"/>
        <w:jc w:val="both"/>
        <w:rPr>
          <w:rFonts w:ascii="Arial" w:hAnsi="Arial" w:eastAsia="Calibri"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hAnsi="Arial" w:eastAsia="Calibri" w:cs="Arial"/>
          <w:color w:val="000000" w:themeColor="text1"/>
          <w:sz w:val="22"/>
          <w:lang w:val="es-CO"/>
        </w:rPr>
        <w:t xml:space="preserve">la persona que presentó la información para renovar su registro antes del quinto día hábil de abril de cada año, cumpliendo el requisito del artículo 2.2.1.1.1.5.1. </w:t>
      </w:r>
      <w:r>
        <w:rPr>
          <w:rFonts w:ascii="Arial" w:hAnsi="Arial" w:eastAsia="Calibri" w:cs="Arial"/>
          <w:color w:val="000000" w:themeColor="text1"/>
          <w:sz w:val="22"/>
          <w:lang w:val="es-CO"/>
        </w:rPr>
        <w:t>–</w:t>
      </w:r>
      <w:r w:rsidRPr="00265C4F">
        <w:rPr>
          <w:rFonts w:ascii="Arial" w:hAnsi="Arial" w:eastAsia="Calibri" w:cs="Arial"/>
          <w:color w:val="000000" w:themeColor="text1"/>
          <w:sz w:val="22"/>
          <w:lang w:val="es-CO"/>
        </w:rPr>
        <w:t>o antes del quinto d</w:t>
      </w:r>
      <w:r>
        <w:rPr>
          <w:rFonts w:ascii="Arial" w:hAnsi="Arial" w:eastAsia="Calibri" w:cs="Arial"/>
          <w:color w:val="000000" w:themeColor="text1"/>
          <w:sz w:val="22"/>
          <w:lang w:val="es-CO"/>
        </w:rPr>
        <w:t>í</w:t>
      </w:r>
      <w:r w:rsidRPr="00265C4F">
        <w:rPr>
          <w:rFonts w:ascii="Arial" w:hAnsi="Arial" w:eastAsia="Calibri" w:cs="Arial"/>
          <w:color w:val="000000" w:themeColor="text1"/>
          <w:sz w:val="22"/>
          <w:lang w:val="es-CO"/>
        </w:rPr>
        <w:t>a hábil del mes de julio</w:t>
      </w:r>
      <w:r>
        <w:rPr>
          <w:rFonts w:ascii="Arial" w:hAnsi="Arial" w:eastAsia="Calibri" w:cs="Arial"/>
          <w:color w:val="000000" w:themeColor="text1"/>
          <w:sz w:val="22"/>
          <w:lang w:val="es-CO"/>
        </w:rPr>
        <w:t>,</w:t>
      </w:r>
      <w:r w:rsidRPr="00265C4F">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para el</w:t>
      </w:r>
      <w:r w:rsidRPr="00265C4F">
        <w:rPr>
          <w:rFonts w:ascii="Arial" w:hAnsi="Arial" w:eastAsia="Calibri" w:cs="Arial"/>
          <w:color w:val="000000" w:themeColor="text1"/>
          <w:sz w:val="22"/>
          <w:lang w:val="es-CO"/>
        </w:rPr>
        <w:t xml:space="preserve"> 2020, conforme lo establecido en el artículo 2 del Decreto 434 de 2020</w:t>
      </w:r>
      <w:r>
        <w:rPr>
          <w:rFonts w:ascii="Arial" w:hAnsi="Arial" w:eastAsia="Calibri" w:cs="Arial"/>
          <w:color w:val="000000" w:themeColor="text1"/>
          <w:sz w:val="22"/>
          <w:lang w:val="es-CO"/>
        </w:rPr>
        <w:t>–</w:t>
      </w:r>
      <w:r w:rsidRPr="00265C4F">
        <w:rPr>
          <w:rFonts w:ascii="Arial" w:hAnsi="Arial" w:eastAsia="Calibri" w:cs="Arial"/>
          <w:color w:val="000000" w:themeColor="text1"/>
          <w:sz w:val="22"/>
          <w:lang w:val="es-CO"/>
        </w:rPr>
        <w:t xml:space="preserve"> y pese a que la renovación no esté en firme, </w:t>
      </w:r>
      <w:r>
        <w:rPr>
          <w:rFonts w:ascii="Arial" w:hAnsi="Arial" w:eastAsia="Calibri" w:cs="Arial"/>
          <w:color w:val="000000" w:themeColor="text1"/>
          <w:sz w:val="22"/>
          <w:lang w:val="es-CO"/>
        </w:rPr>
        <w:t xml:space="preserve">es decir, mientras esté en trámite el proceso de renovación, </w:t>
      </w:r>
      <w:r w:rsidRPr="00265C4F">
        <w:rPr>
          <w:rFonts w:ascii="Arial" w:hAnsi="Arial" w:eastAsia="Calibri" w:cs="Arial"/>
          <w:color w:val="000000" w:themeColor="text1"/>
          <w:sz w:val="22"/>
          <w:lang w:val="es-CO"/>
        </w:rPr>
        <w:t xml:space="preserve">puede participar en los procedimientos de selección, </w:t>
      </w:r>
      <w:r w:rsidRPr="00265C4F">
        <w:rPr>
          <w:rFonts w:ascii="Arial" w:hAnsi="Arial" w:eastAsia="Calibri" w:cs="Arial"/>
          <w:color w:val="000000" w:themeColor="text1"/>
          <w:sz w:val="22"/>
          <w:lang w:val="es-CO"/>
        </w:rPr>
        <w:lastRenderedPageBreak/>
        <w:t xml:space="preserve">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w:t>
      </w:r>
      <w:r>
        <w:rPr>
          <w:rFonts w:ascii="Arial" w:hAnsi="Arial" w:eastAsia="Calibri" w:cs="Arial"/>
          <w:color w:val="000000" w:themeColor="text1"/>
          <w:sz w:val="22"/>
          <w:lang w:val="es-CO"/>
        </w:rPr>
        <w:t>habrían</w:t>
      </w:r>
      <w:r w:rsidRPr="00265C4F">
        <w:rPr>
          <w:rFonts w:ascii="Arial" w:hAnsi="Arial" w:eastAsia="Calibri" w:cs="Arial"/>
          <w:color w:val="000000" w:themeColor="text1"/>
          <w:sz w:val="22"/>
          <w:lang w:val="es-CO"/>
        </w:rPr>
        <w:t xml:space="preserve"> cesado y se </w:t>
      </w:r>
      <w:r>
        <w:rPr>
          <w:rFonts w:ascii="Arial" w:hAnsi="Arial" w:eastAsia="Calibri" w:cs="Arial"/>
          <w:color w:val="000000" w:themeColor="text1"/>
          <w:sz w:val="22"/>
          <w:lang w:val="es-CO"/>
        </w:rPr>
        <w:t>encontraría</w:t>
      </w:r>
      <w:r w:rsidRPr="00265C4F">
        <w:rPr>
          <w:rFonts w:ascii="Arial" w:hAnsi="Arial" w:eastAsia="Calibri" w:cs="Arial"/>
          <w:color w:val="000000" w:themeColor="text1"/>
          <w:sz w:val="22"/>
          <w:lang w:val="es-CO"/>
        </w:rPr>
        <w:t xml:space="preserve"> vigente. Incluso, </w:t>
      </w:r>
      <w:r>
        <w:rPr>
          <w:rFonts w:ascii="Arial" w:hAnsi="Arial" w:eastAsia="Calibri" w:cs="Arial"/>
          <w:color w:val="000000" w:themeColor="text1"/>
          <w:sz w:val="22"/>
          <w:lang w:val="es-CO"/>
        </w:rPr>
        <w:t xml:space="preserve">en los procedimientos de selección, </w:t>
      </w:r>
      <w:r w:rsidRPr="00265C4F">
        <w:rPr>
          <w:rFonts w:ascii="Arial" w:hAnsi="Arial" w:eastAsia="Calibri" w:cs="Arial"/>
          <w:color w:val="000000" w:themeColor="text1"/>
          <w:sz w:val="22"/>
          <w:lang w:val="es-CO"/>
        </w:rPr>
        <w:t>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rsidR="008802DD" w:rsidP="008802DD" w:rsidRDefault="008802DD" w14:paraId="152CE460" w14:textId="77777777">
      <w:pPr>
        <w:spacing w:after="120" w:line="276" w:lineRule="auto"/>
        <w:ind w:firstLine="708"/>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685722">
        <w:rPr>
          <w:rFonts w:ascii="Arial" w:hAnsi="Arial" w:eastAsia="Calibri" w:cs="Arial"/>
          <w:color w:val="000000" w:themeColor="text1"/>
          <w:sz w:val="22"/>
          <w:lang w:val="es-CO"/>
        </w:rPr>
        <w:t>Durante el término otorgado para subsanar las ofertas, los proponentes no podrán acreditar circunstancias ocurridas con posterioridad al cierre del proceso</w:t>
      </w:r>
      <w:r>
        <w:rPr>
          <w:rFonts w:ascii="Arial" w:hAnsi="Arial" w:eastAsia="Calibri" w:cs="Arial"/>
          <w:color w:val="000000" w:themeColor="text1"/>
          <w:sz w:val="22"/>
          <w:lang w:val="es-CO"/>
        </w:rPr>
        <w:t>»</w:t>
      </w:r>
      <w:r w:rsidRPr="00685722">
        <w:rPr>
          <w:rFonts w:ascii="Arial" w:hAnsi="Arial" w:eastAsia="Calibri" w:cs="Arial"/>
          <w:color w:val="000000" w:themeColor="text1"/>
          <w:sz w:val="22"/>
          <w:lang w:val="es-CO"/>
        </w:rPr>
        <w:t>.</w:t>
      </w:r>
      <w:r>
        <w:rPr>
          <w:rFonts w:ascii="Arial" w:hAnsi="Arial" w:eastAsia="Calibri" w:cs="Arial"/>
          <w:color w:val="000000" w:themeColor="text1"/>
          <w:sz w:val="22"/>
          <w:lang w:val="es-CO"/>
        </w:rPr>
        <w:t xml:space="preserve"> Esta regla tiene un alcance muy amplio, pues no expresa, como pudo haberlo hecho, que durante dicho término no se pueden </w:t>
      </w:r>
      <w:r w:rsidRPr="00685722">
        <w:rPr>
          <w:rFonts w:ascii="Arial" w:hAnsi="Arial" w:eastAsia="Calibri" w:cs="Arial"/>
          <w:i/>
          <w:iCs/>
          <w:color w:val="000000" w:themeColor="text1"/>
          <w:sz w:val="22"/>
          <w:lang w:val="es-CO"/>
        </w:rPr>
        <w:t>subsanar</w:t>
      </w:r>
      <w:r>
        <w:rPr>
          <w:rFonts w:ascii="Arial" w:hAnsi="Arial" w:eastAsia="Calibri"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hAnsi="Arial" w:eastAsia="Calibri" w:cs="Arial"/>
          <w:i/>
          <w:iCs/>
          <w:color w:val="000000" w:themeColor="text1"/>
          <w:sz w:val="22"/>
          <w:lang w:val="es-CO"/>
        </w:rPr>
        <w:t xml:space="preserve">renovado, </w:t>
      </w:r>
      <w:r>
        <w:rPr>
          <w:rFonts w:ascii="Arial" w:hAnsi="Arial" w:eastAsia="Calibri" w:cs="Arial"/>
          <w:color w:val="000000" w:themeColor="text1"/>
          <w:sz w:val="22"/>
          <w:lang w:val="es-CO"/>
        </w:rPr>
        <w:t xml:space="preserve">que no estaba en firme para el cierre del proceso; independientemente de que </w:t>
      </w:r>
      <w:r w:rsidRPr="001A5539">
        <w:rPr>
          <w:rFonts w:ascii="Arial" w:hAnsi="Arial" w:eastAsia="Calibri" w:cs="Arial"/>
          <w:color w:val="000000" w:themeColor="text1"/>
          <w:sz w:val="22"/>
          <w:lang w:val="es-CO"/>
        </w:rPr>
        <w:t xml:space="preserve">este </w:t>
      </w:r>
      <w:r w:rsidRPr="00685722">
        <w:rPr>
          <w:rFonts w:ascii="Arial" w:hAnsi="Arial" w:eastAsia="Calibri" w:cs="Arial"/>
          <w:color w:val="000000" w:themeColor="text1"/>
          <w:sz w:val="22"/>
          <w:lang w:val="es-CO"/>
        </w:rPr>
        <w:t xml:space="preserve">nuevo RUP </w:t>
      </w:r>
      <w:r w:rsidRPr="001A5539">
        <w:rPr>
          <w:rFonts w:ascii="Arial" w:hAnsi="Arial" w:eastAsia="Calibri" w:cs="Arial"/>
          <w:color w:val="000000" w:themeColor="text1"/>
          <w:sz w:val="22"/>
          <w:lang w:val="es-CO"/>
        </w:rPr>
        <w:t>fav</w:t>
      </w:r>
      <w:r>
        <w:rPr>
          <w:rFonts w:ascii="Arial" w:hAnsi="Arial" w:eastAsia="Calibri" w:cs="Arial"/>
          <w:color w:val="000000" w:themeColor="text1"/>
          <w:sz w:val="22"/>
          <w:lang w:val="es-CO"/>
        </w:rPr>
        <w:t>orezca o perjudique al interesado.</w:t>
      </w:r>
    </w:p>
    <w:p w:rsidR="008802DD" w:rsidP="008802DD" w:rsidRDefault="008802DD" w14:paraId="7641ECAC" w14:textId="77777777">
      <w:pPr>
        <w:spacing w:after="120" w:line="276" w:lineRule="auto"/>
        <w:ind w:firstLine="708"/>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Ahora bien, el deber de renovación, para impedir que el RUP deje de producir efectos consiste en «</w:t>
      </w:r>
      <w:r w:rsidRPr="007E34DA">
        <w:rPr>
          <w:rFonts w:ascii="Arial" w:hAnsi="Arial" w:eastAsia="Calibri" w:cs="Arial"/>
          <w:color w:val="000000" w:themeColor="text1"/>
          <w:sz w:val="22"/>
          <w:lang w:val="es-CO"/>
        </w:rPr>
        <w:t>presentar la información para renovar su registro</w:t>
      </w:r>
      <w:r>
        <w:rPr>
          <w:rFonts w:ascii="Arial" w:hAnsi="Arial" w:eastAsia="Calibri" w:cs="Arial"/>
          <w:color w:val="000000" w:themeColor="text1"/>
          <w:sz w:val="22"/>
          <w:lang w:val="es-CO"/>
        </w:rPr>
        <w:t xml:space="preserve"> antes del quinto día hábil del mes de abril de cada año»</w:t>
      </w:r>
      <w:r>
        <w:rPr>
          <w:rStyle w:val="Refdenotaalpie"/>
          <w:rFonts w:ascii="Arial" w:hAnsi="Arial" w:eastAsia="Calibri" w:cs="Arial"/>
          <w:color w:val="000000" w:themeColor="text1"/>
          <w:sz w:val="22"/>
          <w:lang w:val="es-CO"/>
        </w:rPr>
        <w:footnoteReference w:id="10"/>
      </w:r>
      <w:r>
        <w:rPr>
          <w:rFonts w:ascii="Arial" w:hAnsi="Arial" w:eastAsia="Calibri" w:cs="Arial"/>
          <w:color w:val="000000" w:themeColor="text1"/>
          <w:sz w:val="22"/>
          <w:lang w:val="es-CO"/>
        </w:rPr>
        <w:t xml:space="preserve"> –el </w:t>
      </w:r>
      <w:r w:rsidRPr="00265C4F">
        <w:rPr>
          <w:rFonts w:ascii="Arial" w:hAnsi="Arial" w:eastAsia="Calibri" w:cs="Arial"/>
          <w:color w:val="000000" w:themeColor="text1"/>
          <w:sz w:val="22"/>
          <w:lang w:val="es-CO"/>
        </w:rPr>
        <w:t>quinto d</w:t>
      </w:r>
      <w:r>
        <w:rPr>
          <w:rFonts w:ascii="Arial" w:hAnsi="Arial" w:eastAsia="Calibri" w:cs="Arial"/>
          <w:color w:val="000000" w:themeColor="text1"/>
          <w:sz w:val="22"/>
          <w:lang w:val="es-CO"/>
        </w:rPr>
        <w:t>í</w:t>
      </w:r>
      <w:r w:rsidRPr="00265C4F">
        <w:rPr>
          <w:rFonts w:ascii="Arial" w:hAnsi="Arial" w:eastAsia="Calibri" w:cs="Arial"/>
          <w:color w:val="000000" w:themeColor="text1"/>
          <w:sz w:val="22"/>
          <w:lang w:val="es-CO"/>
        </w:rPr>
        <w:t>a hábil del mes de julio</w:t>
      </w:r>
      <w:r>
        <w:rPr>
          <w:rFonts w:ascii="Arial" w:hAnsi="Arial" w:eastAsia="Calibri" w:cs="Arial"/>
          <w:color w:val="000000" w:themeColor="text1"/>
          <w:sz w:val="22"/>
          <w:lang w:val="es-CO"/>
        </w:rPr>
        <w:t>,</w:t>
      </w:r>
      <w:r w:rsidRPr="00265C4F">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para el</w:t>
      </w:r>
      <w:r w:rsidRPr="00265C4F">
        <w:rPr>
          <w:rFonts w:ascii="Arial" w:hAnsi="Arial" w:eastAsia="Calibri" w:cs="Arial"/>
          <w:color w:val="000000" w:themeColor="text1"/>
          <w:sz w:val="22"/>
          <w:lang w:val="es-CO"/>
        </w:rPr>
        <w:t xml:space="preserve"> 2020</w:t>
      </w:r>
      <w:r>
        <w:rPr>
          <w:rFonts w:ascii="Arial" w:hAnsi="Arial" w:eastAsia="Calibri" w:cs="Arial"/>
          <w:color w:val="000000" w:themeColor="text1"/>
          <w:sz w:val="22"/>
          <w:lang w:val="es-CO"/>
        </w:rPr>
        <w:t xml:space="preserve">–.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ya que siempre que se cumpla con la primera actuación tendiente a la renovación del RUP este sigue produciendo efectos, por lo que, se reitera, </w:t>
      </w:r>
      <w:r w:rsidRPr="00265C4F">
        <w:rPr>
          <w:rFonts w:ascii="Arial" w:hAnsi="Arial" w:eastAsia="Calibri" w:cs="Arial"/>
          <w:color w:val="000000" w:themeColor="text1"/>
          <w:sz w:val="22"/>
          <w:lang w:val="es-CO"/>
        </w:rPr>
        <w:t xml:space="preserve">en el período comprendido entre el momento de la solicitud de renovación y el de </w:t>
      </w:r>
      <w:r>
        <w:rPr>
          <w:rFonts w:ascii="Arial" w:hAnsi="Arial" w:eastAsia="Calibri" w:cs="Arial"/>
          <w:color w:val="000000" w:themeColor="text1"/>
          <w:sz w:val="22"/>
          <w:lang w:val="es-CO"/>
        </w:rPr>
        <w:t>la firmeza de la renovación</w:t>
      </w:r>
      <w:r w:rsidRPr="00265C4F">
        <w:rPr>
          <w:rFonts w:ascii="Arial" w:hAnsi="Arial" w:eastAsia="Calibri" w:cs="Arial"/>
          <w:color w:val="000000" w:themeColor="text1"/>
          <w:sz w:val="22"/>
          <w:lang w:val="es-CO"/>
        </w:rPr>
        <w:t xml:space="preserve">, se </w:t>
      </w:r>
      <w:r>
        <w:rPr>
          <w:rFonts w:ascii="Arial" w:hAnsi="Arial" w:eastAsia="Calibri" w:cs="Arial"/>
          <w:color w:val="000000" w:themeColor="text1"/>
          <w:sz w:val="22"/>
          <w:lang w:val="es-CO"/>
        </w:rPr>
        <w:t>puede</w:t>
      </w:r>
      <w:r w:rsidRPr="00265C4F">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utilizar</w:t>
      </w:r>
      <w:r w:rsidRPr="00265C4F">
        <w:rPr>
          <w:rFonts w:ascii="Arial" w:hAnsi="Arial" w:eastAsia="Calibri" w:cs="Arial"/>
          <w:color w:val="000000" w:themeColor="text1"/>
          <w:sz w:val="22"/>
          <w:lang w:val="es-CO"/>
        </w:rPr>
        <w:t xml:space="preserve"> la información del RUP que está en firme antes de iniciar el </w:t>
      </w:r>
      <w:r w:rsidRPr="00265C4F">
        <w:rPr>
          <w:rFonts w:ascii="Arial" w:hAnsi="Arial" w:eastAsia="Calibri" w:cs="Arial"/>
          <w:color w:val="000000" w:themeColor="text1"/>
          <w:sz w:val="22"/>
          <w:lang w:val="es-CO"/>
        </w:rPr>
        <w:lastRenderedPageBreak/>
        <w:t>trámite de renovación, cuyos efectos no han cesado y se encuentra vigente</w:t>
      </w:r>
      <w:r>
        <w:rPr>
          <w:rFonts w:ascii="Arial" w:hAnsi="Arial" w:eastAsia="Calibri" w:cs="Arial"/>
          <w:color w:val="000000" w:themeColor="text1"/>
          <w:sz w:val="22"/>
          <w:lang w:val="es-CO"/>
        </w:rPr>
        <w:t>, pudiendo utilizar dicho registro para participar en los procedimientos de selección de contratistas.</w:t>
      </w:r>
    </w:p>
    <w:p w:rsidR="008802DD" w:rsidP="008802DD" w:rsidRDefault="008802DD" w14:paraId="5A216C5B" w14:textId="77777777">
      <w:pPr>
        <w:spacing w:after="120" w:line="276" w:lineRule="auto"/>
        <w:ind w:firstLine="709"/>
        <w:jc w:val="both"/>
        <w:rPr>
          <w:rFonts w:ascii="Arial" w:hAnsi="Arial" w:cs="Arial"/>
          <w:color w:val="000000" w:themeColor="text1"/>
          <w:sz w:val="22"/>
          <w:lang w:val="es-CO"/>
        </w:rPr>
      </w:pPr>
      <w:r w:rsidRPr="00265C4F">
        <w:rPr>
          <w:rFonts w:ascii="Arial" w:hAnsi="Arial" w:cs="Arial"/>
          <w:color w:val="000000" w:themeColor="text1"/>
          <w:sz w:val="22"/>
          <w:lang w:val="es-CO"/>
        </w:rPr>
        <w:t xml:space="preserve">Finalmente, tratándose del trámite administrativo de la </w:t>
      </w:r>
      <w:r w:rsidRPr="00265C4F">
        <w:rPr>
          <w:rFonts w:ascii="Arial" w:hAnsi="Arial" w:cs="Arial"/>
          <w:i/>
          <w:iCs/>
          <w:color w:val="000000" w:themeColor="text1"/>
          <w:sz w:val="22"/>
          <w:lang w:val="es-CO"/>
        </w:rPr>
        <w:t>actualización</w:t>
      </w:r>
      <w:r w:rsidRPr="00265C4F">
        <w:rPr>
          <w:rFonts w:ascii="Arial" w:hAnsi="Arial" w:cs="Arial"/>
          <w:color w:val="000000" w:themeColor="text1"/>
          <w:sz w:val="22"/>
          <w:lang w:val="es-CO"/>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265C4F">
        <w:rPr>
          <w:rFonts w:ascii="Arial" w:hAnsi="Arial" w:cs="Arial"/>
          <w:i/>
          <w:iCs/>
          <w:color w:val="000000" w:themeColor="text1"/>
          <w:sz w:val="22"/>
          <w:lang w:val="es-CO"/>
        </w:rPr>
        <w:t xml:space="preserve">actualización </w:t>
      </w:r>
      <w:r w:rsidRPr="00265C4F">
        <w:rPr>
          <w:rFonts w:ascii="Arial" w:hAnsi="Arial" w:cs="Arial"/>
          <w:color w:val="000000" w:themeColor="text1"/>
          <w:sz w:val="22"/>
          <w:lang w:val="es-CO"/>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rsidRPr="00265C4F" w:rsidR="008802DD" w:rsidP="008802DD" w:rsidRDefault="008802DD" w14:paraId="25B7414B" w14:textId="42C427E2">
      <w:pPr>
        <w:spacing w:after="120" w:line="276" w:lineRule="auto"/>
        <w:ind w:firstLine="709"/>
        <w:jc w:val="both"/>
        <w:rPr>
          <w:rFonts w:ascii="Arial" w:hAnsi="Arial" w:cs="Arial"/>
          <w:sz w:val="22"/>
          <w:lang w:val="es-CO"/>
        </w:rPr>
      </w:pPr>
      <w:r>
        <w:rPr>
          <w:rFonts w:ascii="Arial" w:hAnsi="Arial" w:cs="Arial"/>
          <w:color w:val="000000" w:themeColor="text1"/>
          <w:sz w:val="22"/>
          <w:lang w:val="es-CO"/>
        </w:rPr>
        <w:t>Con fundamento en las consideraciones anteriores, se responderán las preguntas planteadas por la peticionaria.</w:t>
      </w:r>
    </w:p>
    <w:p w:rsidRPr="00265C4F" w:rsidR="00A1118B" w:rsidP="00A1118B" w:rsidRDefault="00A1118B" w14:paraId="202FDEED" w14:textId="77777777">
      <w:pPr>
        <w:spacing w:line="276" w:lineRule="auto"/>
        <w:ind w:firstLine="709"/>
        <w:jc w:val="both"/>
        <w:rPr>
          <w:rFonts w:ascii="Arial" w:hAnsi="Arial" w:cs="Arial"/>
          <w:sz w:val="22"/>
          <w:lang w:val="es-CO"/>
        </w:rPr>
      </w:pPr>
    </w:p>
    <w:p w:rsidRPr="00C54F80" w:rsidR="00AC40CD" w:rsidP="00C54F80" w:rsidRDefault="00A1118B" w14:paraId="7EFD58A5" w14:textId="32E60F12">
      <w:pPr>
        <w:pStyle w:val="Prrafodelista"/>
        <w:tabs>
          <w:tab w:val="left" w:pos="284"/>
        </w:tabs>
        <w:spacing w:line="276" w:lineRule="auto"/>
        <w:ind w:left="0"/>
        <w:jc w:val="both"/>
        <w:rPr>
          <w:rFonts w:ascii="Arial" w:hAnsi="Arial" w:eastAsia="Calibri" w:cs="Arial"/>
          <w:sz w:val="22"/>
          <w:lang w:val="es-CO"/>
        </w:rPr>
      </w:pPr>
      <w:r w:rsidRPr="00265C4F">
        <w:rPr>
          <w:rFonts w:ascii="Arial" w:hAnsi="Arial" w:eastAsia="Calibri" w:cs="Arial"/>
          <w:b/>
          <w:sz w:val="22"/>
          <w:lang w:val="es-CO"/>
        </w:rPr>
        <w:t>3. Respuesta</w:t>
      </w:r>
    </w:p>
    <w:p w:rsidRPr="00265C4F" w:rsidR="00DB5526" w:rsidP="00685722" w:rsidRDefault="00DB5526" w14:paraId="65859E48" w14:textId="77777777">
      <w:pPr>
        <w:tabs>
          <w:tab w:val="left" w:pos="426"/>
        </w:tabs>
        <w:spacing w:line="276" w:lineRule="auto"/>
        <w:jc w:val="both"/>
        <w:rPr>
          <w:rFonts w:ascii="Arial" w:hAnsi="Arial" w:eastAsia="Calibri" w:cs="Arial"/>
          <w:sz w:val="22"/>
          <w:lang w:val="es-CO"/>
        </w:rPr>
      </w:pPr>
    </w:p>
    <w:p w:rsidR="00A41873" w:rsidP="00685722" w:rsidRDefault="00AC40CD" w14:paraId="453280D0" w14:textId="79DFE172">
      <w:pPr>
        <w:ind w:left="709" w:right="709"/>
        <w:jc w:val="both"/>
        <w:rPr>
          <w:rFonts w:ascii="Arial" w:hAnsi="Arial" w:eastAsia="Calibri" w:cs="Arial"/>
          <w:color w:val="000000" w:themeColor="text1"/>
          <w:sz w:val="21"/>
          <w:szCs w:val="21"/>
          <w:lang w:val="es-CO"/>
        </w:rPr>
      </w:pPr>
      <w:r w:rsidRPr="00265C4F">
        <w:rPr>
          <w:rFonts w:ascii="Arial" w:hAnsi="Arial" w:eastAsia="Calibri" w:cs="Arial"/>
          <w:color w:val="000000" w:themeColor="text1"/>
          <w:sz w:val="21"/>
          <w:szCs w:val="21"/>
          <w:lang w:val="es-CO"/>
        </w:rPr>
        <w:t>«</w:t>
      </w:r>
      <w:r w:rsidR="00DD4553">
        <w:rPr>
          <w:rFonts w:ascii="Arial" w:hAnsi="Arial" w:eastAsia="Calibri" w:cs="Arial"/>
          <w:color w:val="000000" w:themeColor="text1"/>
          <w:sz w:val="21"/>
          <w:szCs w:val="21"/>
          <w:lang w:val="es-CO"/>
        </w:rPr>
        <w:t xml:space="preserve">[…] </w:t>
      </w:r>
      <w:r w:rsidR="00C54F80">
        <w:rPr>
          <w:rFonts w:ascii="Arial" w:hAnsi="Arial" w:eastAsia="Calibri" w:cs="Arial"/>
          <w:color w:val="000000" w:themeColor="text1"/>
          <w:sz w:val="21"/>
          <w:szCs w:val="21"/>
          <w:lang w:val="es-CO"/>
        </w:rPr>
        <w:t>Es claro que, entre la presentación de la información para renovar, y la adquisición de firmeza de la información presentada hay un lapso de tiempo, si durante este tiempo una entidad adelanta el cierre de algún proceso de selección: 1-¿Las personas que cumplan con este requisito pueden participar en los procesos de selección y 2-¿Qué información financiera utilizará la entidad para evaluar al proponente</w:t>
      </w:r>
      <w:r w:rsidRPr="008A465E" w:rsidR="008A465E">
        <w:rPr>
          <w:rFonts w:ascii="Arial" w:hAnsi="Arial" w:eastAsia="Malgun Gothic" w:cs="Arial"/>
          <w:bCs/>
          <w:color w:val="000000" w:themeColor="text1"/>
          <w:sz w:val="21"/>
          <w:szCs w:val="21"/>
          <w:lang w:val="es-CO"/>
        </w:rPr>
        <w:t>?</w:t>
      </w:r>
      <w:r w:rsidRPr="00265C4F">
        <w:rPr>
          <w:rFonts w:ascii="Arial" w:hAnsi="Arial" w:eastAsia="Calibri" w:cs="Arial"/>
          <w:color w:val="000000" w:themeColor="text1"/>
          <w:sz w:val="21"/>
          <w:szCs w:val="21"/>
          <w:lang w:val="es-CO"/>
        </w:rPr>
        <w:t>»</w:t>
      </w:r>
    </w:p>
    <w:p w:rsidR="00C54F80" w:rsidP="00685722" w:rsidRDefault="00C54F80" w14:paraId="1CD8C6EE" w14:textId="43545D52">
      <w:pPr>
        <w:ind w:left="709" w:right="709"/>
        <w:jc w:val="both"/>
        <w:rPr>
          <w:rFonts w:ascii="Arial" w:hAnsi="Arial" w:eastAsia="Calibri" w:cs="Arial"/>
          <w:color w:val="000000" w:themeColor="text1"/>
          <w:sz w:val="21"/>
          <w:szCs w:val="21"/>
          <w:lang w:val="es-CO"/>
        </w:rPr>
      </w:pPr>
    </w:p>
    <w:p w:rsidRPr="00C54F80" w:rsidR="00C54F80" w:rsidP="00C54F80" w:rsidRDefault="00C54F80" w14:paraId="168CE9DC" w14:textId="633CDDBB">
      <w:pPr>
        <w:jc w:val="both"/>
        <w:rPr>
          <w:rFonts w:ascii="Arial" w:hAnsi="Arial" w:eastAsia="Calibri" w:cs="Arial"/>
          <w:color w:val="000000" w:themeColor="text1"/>
          <w:sz w:val="21"/>
          <w:szCs w:val="21"/>
          <w:lang w:val="es-CO"/>
        </w:rPr>
      </w:pPr>
      <w:r>
        <w:rPr>
          <w:rFonts w:ascii="Arial" w:hAnsi="Arial" w:cs="Arial"/>
          <w:color w:val="000000" w:themeColor="text1"/>
          <w:sz w:val="22"/>
          <w:lang w:val="es-CO"/>
        </w:rPr>
        <w:t>S</w:t>
      </w:r>
      <w:r w:rsidR="00213AD3">
        <w:rPr>
          <w:rFonts w:ascii="Arial" w:hAnsi="Arial" w:cs="Arial"/>
          <w:color w:val="000000" w:themeColor="text1"/>
          <w:sz w:val="22"/>
          <w:lang w:val="es-CO"/>
        </w:rPr>
        <w:t>í</w:t>
      </w:r>
      <w:r>
        <w:rPr>
          <w:rFonts w:ascii="Arial" w:hAnsi="Arial" w:cs="Arial"/>
          <w:color w:val="000000" w:themeColor="text1"/>
          <w:sz w:val="22"/>
          <w:lang w:val="es-CO"/>
        </w:rPr>
        <w:t xml:space="preserve"> puede participar en un proceso de selección, teniendo en cuenta que t</w:t>
      </w:r>
      <w:r w:rsidRPr="00E87DEA">
        <w:rPr>
          <w:rFonts w:ascii="Arial" w:hAnsi="Arial" w:cs="Arial"/>
          <w:color w:val="000000" w:themeColor="text1"/>
          <w:sz w:val="22"/>
          <w:lang w:val="es-CO"/>
        </w:rPr>
        <w: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w:t>
      </w:r>
      <w:r w:rsidRPr="00265C4F">
        <w:rPr>
          <w:rFonts w:ascii="Arial" w:hAnsi="Arial" w:eastAsia="Calibri" w:cs="Arial"/>
          <w:color w:val="000000" w:themeColor="text1"/>
          <w:sz w:val="22"/>
          <w:lang w:val="es-CO"/>
        </w:rPr>
        <w:t>la persona que presentó la información para renovar su registro antes del quinto día hábil de abril de cada año, cumpliendo el requisito del artículo 2.2.1.1.1.5.1. o antes del quinto d</w:t>
      </w:r>
      <w:r>
        <w:rPr>
          <w:rFonts w:ascii="Arial" w:hAnsi="Arial" w:eastAsia="Calibri" w:cs="Arial"/>
          <w:color w:val="000000" w:themeColor="text1"/>
          <w:sz w:val="22"/>
          <w:lang w:val="es-CO"/>
        </w:rPr>
        <w:t>í</w:t>
      </w:r>
      <w:r w:rsidRPr="00265C4F">
        <w:rPr>
          <w:rFonts w:ascii="Arial" w:hAnsi="Arial" w:eastAsia="Calibri" w:cs="Arial"/>
          <w:color w:val="000000" w:themeColor="text1"/>
          <w:sz w:val="22"/>
          <w:lang w:val="es-CO"/>
        </w:rPr>
        <w:t>a hábil del mes de julio</w:t>
      </w:r>
      <w:r>
        <w:rPr>
          <w:rFonts w:ascii="Arial" w:hAnsi="Arial" w:eastAsia="Calibri" w:cs="Arial"/>
          <w:color w:val="000000" w:themeColor="text1"/>
          <w:sz w:val="22"/>
          <w:lang w:val="es-CO"/>
        </w:rPr>
        <w:t>,</w:t>
      </w:r>
      <w:r w:rsidRPr="00265C4F">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para el</w:t>
      </w:r>
      <w:r w:rsidRPr="00265C4F">
        <w:rPr>
          <w:rFonts w:ascii="Arial" w:hAnsi="Arial" w:eastAsia="Calibri" w:cs="Arial"/>
          <w:color w:val="000000" w:themeColor="text1"/>
          <w:sz w:val="22"/>
          <w:lang w:val="es-CO"/>
        </w:rPr>
        <w:t xml:space="preserve"> 2020, conforme lo establecido en el artículo 2 del Decreto 434 de 2020 y pese a que la renovación no esté en </w:t>
      </w:r>
      <w:r w:rsidRPr="00C54F80">
        <w:rPr>
          <w:rFonts w:ascii="Arial" w:hAnsi="Arial" w:eastAsia="Calibri" w:cs="Arial"/>
          <w:color w:val="000000" w:themeColor="text1"/>
          <w:sz w:val="22"/>
          <w:lang w:val="es-CO"/>
        </w:rPr>
        <w:t>firme, es decir, mientras esté en trámite el proceso de renovación,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w:t>
      </w:r>
      <w:r w:rsidR="00213AD3">
        <w:rPr>
          <w:rFonts w:ascii="Arial" w:hAnsi="Arial" w:eastAsia="Calibri" w:cs="Arial"/>
          <w:color w:val="000000" w:themeColor="text1"/>
          <w:sz w:val="22"/>
          <w:lang w:val="es-CO"/>
        </w:rPr>
        <w:t>, por tanto,</w:t>
      </w:r>
      <w:r w:rsidRPr="00C54F80">
        <w:rPr>
          <w:rFonts w:ascii="Arial" w:hAnsi="Arial" w:eastAsia="Calibri" w:cs="Arial"/>
          <w:color w:val="000000" w:themeColor="text1"/>
          <w:sz w:val="22"/>
          <w:lang w:val="es-CO"/>
        </w:rPr>
        <w:t xml:space="preserve"> se enc</w:t>
      </w:r>
      <w:r w:rsidR="00213AD3">
        <w:rPr>
          <w:rFonts w:ascii="Arial" w:hAnsi="Arial" w:eastAsia="Calibri" w:cs="Arial"/>
          <w:color w:val="000000" w:themeColor="text1"/>
          <w:sz w:val="22"/>
          <w:lang w:val="es-CO"/>
        </w:rPr>
        <w:t>ontraría</w:t>
      </w:r>
      <w:r w:rsidRPr="00C54F80">
        <w:rPr>
          <w:rFonts w:ascii="Arial" w:hAnsi="Arial" w:eastAsia="Calibri" w:cs="Arial"/>
          <w:color w:val="000000" w:themeColor="text1"/>
          <w:sz w:val="22"/>
          <w:lang w:val="es-CO"/>
        </w:rPr>
        <w:t xml:space="preserve"> vigente.</w:t>
      </w:r>
    </w:p>
    <w:p w:rsidRPr="00C54F80" w:rsidR="00A41873" w:rsidP="00685722" w:rsidRDefault="00A41873" w14:paraId="4895FA0A" w14:textId="77777777">
      <w:pPr>
        <w:ind w:left="709" w:right="709"/>
        <w:jc w:val="both"/>
        <w:rPr>
          <w:rFonts w:ascii="Arial" w:hAnsi="Arial" w:eastAsia="Calibri" w:cs="Arial"/>
          <w:color w:val="000000" w:themeColor="text1"/>
          <w:sz w:val="21"/>
          <w:szCs w:val="21"/>
          <w:lang w:val="es-CO"/>
        </w:rPr>
      </w:pPr>
    </w:p>
    <w:p w:rsidRPr="00C54F80" w:rsidR="00A41873" w:rsidP="002D2882" w:rsidRDefault="00C54F80" w14:paraId="44775E92" w14:textId="18622D88">
      <w:pPr>
        <w:pStyle w:val="paragraph"/>
        <w:spacing w:before="0" w:beforeAutospacing="0" w:after="120" w:afterAutospacing="0" w:line="276" w:lineRule="auto"/>
        <w:ind w:firstLine="708"/>
        <w:jc w:val="both"/>
        <w:textAlignment w:val="baseline"/>
        <w:rPr>
          <w:rStyle w:val="normaltextrun"/>
          <w:rFonts w:ascii="Arial" w:hAnsi="Arial" w:cs="Arial" w:eastAsiaTheme="minorHAnsi"/>
          <w:color w:val="000000"/>
          <w:sz w:val="22"/>
          <w:szCs w:val="22"/>
          <w:lang w:val="es-ES" w:eastAsia="en-US"/>
        </w:rPr>
      </w:pPr>
      <w:r w:rsidRPr="00C54F80">
        <w:rPr>
          <w:rStyle w:val="normaltextrun"/>
          <w:rFonts w:ascii="Arial" w:hAnsi="Arial" w:cs="Arial"/>
          <w:color w:val="000000"/>
          <w:sz w:val="22"/>
          <w:szCs w:val="22"/>
        </w:rPr>
        <w:t>Ahora bien, t</w:t>
      </w:r>
      <w:r w:rsidRPr="00C54F80" w:rsidR="005C57E1">
        <w:rPr>
          <w:rStyle w:val="normaltextrun"/>
          <w:rFonts w:ascii="Arial" w:hAnsi="Arial" w:cs="Arial"/>
          <w:color w:val="000000"/>
          <w:sz w:val="22"/>
          <w:szCs w:val="22"/>
        </w:rPr>
        <w:t xml:space="preserve">eniendo en cuenta que la capacidad financiera se evalúa conforme a la información contenida en el RUP, de acuerdo </w:t>
      </w:r>
      <w:r w:rsidR="00DC72C1">
        <w:rPr>
          <w:rStyle w:val="normaltextrun"/>
          <w:rFonts w:ascii="Arial" w:hAnsi="Arial" w:cs="Arial"/>
          <w:color w:val="000000"/>
          <w:sz w:val="22"/>
          <w:szCs w:val="22"/>
        </w:rPr>
        <w:t>con</w:t>
      </w:r>
      <w:r w:rsidRPr="00C54F80" w:rsidR="005C57E1">
        <w:rPr>
          <w:rStyle w:val="normaltextrun"/>
          <w:rFonts w:ascii="Arial" w:hAnsi="Arial" w:cs="Arial"/>
          <w:color w:val="000000"/>
          <w:sz w:val="22"/>
          <w:szCs w:val="22"/>
        </w:rPr>
        <w:t xml:space="preserve"> lo establecido en los artículos 5 y 6 de la Ley 1150 de 2007 y artícul</w:t>
      </w:r>
      <w:r w:rsidRPr="00C54F80" w:rsidR="0097164E">
        <w:rPr>
          <w:rStyle w:val="normaltextrun"/>
          <w:rFonts w:ascii="Arial" w:hAnsi="Arial" w:cs="Arial"/>
          <w:color w:val="000000"/>
          <w:sz w:val="22"/>
          <w:szCs w:val="22"/>
        </w:rPr>
        <w:t>o 2.2.1.1.1.5.1. y siguientes del Decreto 1082 de 2015</w:t>
      </w:r>
      <w:r w:rsidRPr="00C54F80" w:rsidR="005C57E1">
        <w:rPr>
          <w:rStyle w:val="normaltextrun"/>
          <w:rFonts w:ascii="Arial" w:hAnsi="Arial" w:cs="Arial"/>
          <w:color w:val="000000"/>
          <w:sz w:val="22"/>
          <w:szCs w:val="22"/>
        </w:rPr>
        <w:t xml:space="preserve">, los indicadores financieros a utilizar son los últimos que haya inscrito o renovado el proponente </w:t>
      </w:r>
      <w:r w:rsidRPr="00C54F80" w:rsidR="005C57E1">
        <w:rPr>
          <w:rStyle w:val="normaltextrun"/>
          <w:rFonts w:ascii="Arial" w:hAnsi="Arial" w:cs="Arial"/>
          <w:color w:val="000000"/>
          <w:sz w:val="22"/>
          <w:szCs w:val="22"/>
        </w:rPr>
        <w:lastRenderedPageBreak/>
        <w:t>en su registro y que, como se indicó en las consideraciones, esté</w:t>
      </w:r>
      <w:r w:rsidRPr="00C54F80" w:rsidR="003C6653">
        <w:rPr>
          <w:rStyle w:val="normaltextrun"/>
          <w:rFonts w:ascii="Arial" w:hAnsi="Arial" w:cs="Arial"/>
          <w:color w:val="000000"/>
          <w:sz w:val="22"/>
          <w:szCs w:val="22"/>
        </w:rPr>
        <w:t>n</w:t>
      </w:r>
      <w:r w:rsidRPr="00C54F80" w:rsidR="005C57E1">
        <w:rPr>
          <w:rStyle w:val="normaltextrun"/>
          <w:rFonts w:ascii="Arial" w:hAnsi="Arial" w:cs="Arial"/>
          <w:color w:val="000000"/>
          <w:sz w:val="22"/>
          <w:szCs w:val="22"/>
        </w:rPr>
        <w:t xml:space="preserve"> en firme antes del cierre del procedimiento de selección</w:t>
      </w:r>
      <w:r w:rsidRPr="00C54F80" w:rsidR="004F5512">
        <w:rPr>
          <w:rStyle w:val="normaltextrun"/>
          <w:rFonts w:ascii="Arial" w:hAnsi="Arial" w:cs="Arial"/>
          <w:color w:val="000000"/>
          <w:sz w:val="22"/>
          <w:szCs w:val="22"/>
        </w:rPr>
        <w:t>. En este sentido</w:t>
      </w:r>
      <w:r w:rsidRPr="00C54F80" w:rsidR="003C6653">
        <w:rPr>
          <w:rStyle w:val="normaltextrun"/>
          <w:rFonts w:ascii="Arial" w:hAnsi="Arial" w:cs="Arial"/>
          <w:color w:val="000000"/>
          <w:sz w:val="22"/>
          <w:szCs w:val="22"/>
        </w:rPr>
        <w:t>,</w:t>
      </w:r>
      <w:r w:rsidRPr="00C54F80" w:rsidR="004F5512">
        <w:rPr>
          <w:rStyle w:val="normaltextrun"/>
          <w:rFonts w:ascii="Arial" w:hAnsi="Arial" w:cs="Arial"/>
          <w:color w:val="000000"/>
          <w:sz w:val="22"/>
          <w:szCs w:val="22"/>
        </w:rPr>
        <w:t xml:space="preserve"> esta evaluación se realiza con fundamento en la información contenida en el RUP vigente y en firme al momento del cierre del procedimiento de s</w:t>
      </w:r>
      <w:r w:rsidRPr="00C54F80" w:rsidR="00182192">
        <w:rPr>
          <w:rStyle w:val="normaltextrun"/>
          <w:rFonts w:ascii="Arial" w:hAnsi="Arial" w:cs="Arial"/>
          <w:color w:val="000000"/>
          <w:sz w:val="22"/>
          <w:szCs w:val="22"/>
        </w:rPr>
        <w:t>elección</w:t>
      </w:r>
      <w:r w:rsidRPr="00C54F80" w:rsidR="003C6653">
        <w:rPr>
          <w:rStyle w:val="normaltextrun"/>
          <w:rFonts w:ascii="Arial" w:hAnsi="Arial" w:cs="Arial"/>
          <w:color w:val="000000"/>
          <w:sz w:val="22"/>
          <w:szCs w:val="22"/>
        </w:rPr>
        <w:t xml:space="preserve">. </w:t>
      </w:r>
      <w:r w:rsidRPr="00C54F80" w:rsidR="00182192">
        <w:rPr>
          <w:rStyle w:val="normaltextrun"/>
          <w:rFonts w:ascii="Arial" w:hAnsi="Arial" w:cs="Arial"/>
          <w:color w:val="000000"/>
          <w:sz w:val="22"/>
          <w:szCs w:val="22"/>
        </w:rPr>
        <w:t xml:space="preserve"> </w:t>
      </w:r>
    </w:p>
    <w:p w:rsidRPr="00265C4F" w:rsidR="00A41873" w:rsidRDefault="00A41873" w14:paraId="4D904545" w14:textId="593F5E2B">
      <w:pPr>
        <w:pStyle w:val="paragraph"/>
        <w:spacing w:before="0" w:beforeAutospacing="0" w:after="0" w:afterAutospacing="0"/>
        <w:jc w:val="both"/>
        <w:textAlignment w:val="baseline"/>
        <w:rPr>
          <w:rFonts w:ascii="Segoe UI" w:hAnsi="Segoe UI" w:cs="Segoe UI"/>
          <w:sz w:val="18"/>
          <w:szCs w:val="18"/>
        </w:rPr>
      </w:pPr>
    </w:p>
    <w:p w:rsidRPr="00265C4F" w:rsidR="00A1118B" w:rsidP="00A1118B" w:rsidRDefault="00A1118B" w14:paraId="3F1A9754" w14:textId="77777777">
      <w:pPr>
        <w:spacing w:line="276" w:lineRule="auto"/>
        <w:ind w:firstLine="708"/>
        <w:jc w:val="both"/>
        <w:rPr>
          <w:rFonts w:ascii="Arial" w:hAnsi="Arial" w:eastAsia="Calibri" w:cs="Arial"/>
          <w:sz w:val="22"/>
          <w:lang w:val="es-CO"/>
        </w:rPr>
      </w:pPr>
    </w:p>
    <w:p w:rsidRPr="00265C4F" w:rsidR="00A1118B" w:rsidP="00A1118B" w:rsidRDefault="00A1118B" w14:paraId="7A2C359F" w14:textId="60699FBA">
      <w:pPr>
        <w:spacing w:line="276" w:lineRule="auto"/>
        <w:jc w:val="both"/>
        <w:rPr>
          <w:rFonts w:ascii="Arial" w:hAnsi="Arial" w:eastAsia="Calibri" w:cs="Arial"/>
          <w:sz w:val="22"/>
          <w:lang w:val="es-CO"/>
        </w:rPr>
      </w:pPr>
      <w:r w:rsidRPr="00265C4F">
        <w:rPr>
          <w:noProof/>
          <w:lang w:val="es-CO"/>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5F19528">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B3E1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w10:wrap anchorx="page"/>
              </v:line>
            </w:pict>
          </mc:Fallback>
        </mc:AlternateContent>
      </w:r>
    </w:p>
    <w:p w:rsidRPr="00265C4F" w:rsidR="00A1118B" w:rsidP="00A1118B" w:rsidRDefault="00A1118B" w14:paraId="0D12193D" w14:textId="77777777">
      <w:pPr>
        <w:spacing w:line="276" w:lineRule="auto"/>
        <w:rPr>
          <w:rFonts w:ascii="Arial" w:hAnsi="Arial" w:eastAsia="Times New Roman" w:cs="Arial"/>
          <w:sz w:val="22"/>
          <w:lang w:val="es-CO" w:eastAsia="es-CO"/>
        </w:rPr>
      </w:pPr>
      <w:r w:rsidRPr="00265C4F">
        <w:rPr>
          <w:rFonts w:ascii="Arial" w:hAnsi="Arial" w:eastAsia="Times New Roman" w:cs="Arial"/>
          <w:sz w:val="22"/>
          <w:lang w:val="es-CO" w:eastAsia="es-CO"/>
        </w:rPr>
        <w:t>Atentamente,</w:t>
      </w:r>
    </w:p>
    <w:p w:rsidR="00A1118B" w:rsidP="00A1118B" w:rsidRDefault="009414EB" w14:paraId="0A5EF209" w14:textId="2C6FEEED">
      <w:pPr>
        <w:spacing w:line="276" w:lineRule="auto"/>
        <w:jc w:val="center"/>
        <w:rPr>
          <w:rFonts w:ascii="Arial" w:hAnsi="Arial" w:eastAsia="Times New Roman" w:cs="Arial"/>
          <w:sz w:val="18"/>
          <w:szCs w:val="20"/>
          <w:lang w:val="es-CO" w:eastAsia="es-CO"/>
        </w:rPr>
      </w:pPr>
      <w:r w:rsidR="009414EB">
        <w:drawing>
          <wp:inline wp14:editId="380C7703" wp14:anchorId="6C79CD0A">
            <wp:extent cx="2773045" cy="988695"/>
            <wp:effectExtent l="0" t="0" r="0" b="0"/>
            <wp:docPr id="1021482019" name="Imagen 1" title=""/>
            <wp:cNvGraphicFramePr>
              <a:graphicFrameLocks/>
            </wp:cNvGraphicFramePr>
            <a:graphic>
              <a:graphicData uri="http://schemas.openxmlformats.org/drawingml/2006/picture">
                <pic:pic>
                  <pic:nvPicPr>
                    <pic:cNvPr id="0" name="Imagen 1"/>
                    <pic:cNvPicPr/>
                  </pic:nvPicPr>
                  <pic:blipFill>
                    <a:blip r:embed="R8b0cd0d058fa4d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65C4F" w:rsidR="006F7FB4" w:rsidP="00A1118B" w:rsidRDefault="006F7FB4" w14:paraId="5D2DC0C1" w14:textId="77777777">
      <w:pPr>
        <w:spacing w:line="276" w:lineRule="auto"/>
        <w:jc w:val="center"/>
        <w:rPr>
          <w:rFonts w:ascii="Arial" w:hAnsi="Arial" w:eastAsia="Times New Roman" w:cs="Arial"/>
          <w:sz w:val="18"/>
          <w:szCs w:val="20"/>
          <w:lang w:val="es-CO"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65C4F" w:rsidR="00A1118B" w:rsidTr="00A1118B" w14:paraId="54288736" w14:textId="77777777">
        <w:trPr>
          <w:trHeight w:val="315"/>
        </w:trPr>
        <w:tc>
          <w:tcPr>
            <w:tcW w:w="488" w:type="dxa"/>
            <w:vAlign w:val="center"/>
            <w:hideMark/>
          </w:tcPr>
          <w:p w:rsidRPr="00265C4F" w:rsidR="00A1118B" w:rsidRDefault="00A1118B" w14:paraId="7777F192"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Elaboró:</w:t>
            </w:r>
          </w:p>
        </w:tc>
        <w:tc>
          <w:tcPr>
            <w:tcW w:w="4413" w:type="dxa"/>
            <w:tcBorders>
              <w:top w:val="nil"/>
              <w:left w:val="nil"/>
              <w:bottom w:val="dotted" w:color="7F7F7F" w:themeColor="text1" w:themeTint="80" w:sz="4" w:space="0"/>
              <w:right w:val="nil"/>
            </w:tcBorders>
            <w:vAlign w:val="center"/>
            <w:hideMark/>
          </w:tcPr>
          <w:p w:rsidRPr="00265C4F" w:rsidR="00685722" w:rsidP="00685722" w:rsidRDefault="00C54F80" w14:paraId="17093D24" w14:textId="28EA8C92">
            <w:pPr>
              <w:rPr>
                <w:rFonts w:ascii="Arial" w:hAnsi="Arial" w:eastAsia="Times New Roman" w:cs="Arial"/>
                <w:sz w:val="16"/>
                <w:szCs w:val="16"/>
                <w:lang w:val="es-CO" w:eastAsia="es-ES"/>
              </w:rPr>
            </w:pPr>
            <w:r>
              <w:rPr>
                <w:rFonts w:ascii="Arial" w:hAnsi="Arial" w:eastAsia="Times New Roman" w:cs="Arial"/>
                <w:sz w:val="16"/>
                <w:szCs w:val="16"/>
                <w:lang w:val="es-CO" w:eastAsia="es-ES"/>
              </w:rPr>
              <w:t>O</w:t>
            </w:r>
            <w:r w:rsidRPr="002D2882">
              <w:rPr>
                <w:rFonts w:ascii="Arial" w:hAnsi="Arial" w:eastAsia="Times New Roman" w:cs="Arial"/>
                <w:sz w:val="16"/>
                <w:szCs w:val="16"/>
                <w:lang w:val="es-CO" w:eastAsia="es-ES"/>
              </w:rPr>
              <w:t>mar Germán Mejía Olmos</w:t>
            </w:r>
          </w:p>
          <w:p w:rsidRPr="00265C4F" w:rsidR="001A635E" w:rsidP="00685722" w:rsidRDefault="00685722" w14:paraId="4EB6C175" w14:textId="587B3CE8">
            <w:pPr>
              <w:rPr>
                <w:rFonts w:ascii="Arial" w:hAnsi="Arial" w:eastAsia="Times New Roman" w:cs="Arial"/>
                <w:sz w:val="16"/>
                <w:szCs w:val="16"/>
                <w:lang w:val="es-CO" w:eastAsia="es-ES"/>
              </w:rPr>
            </w:pPr>
            <w:r>
              <w:rPr>
                <w:rFonts w:ascii="Arial" w:hAnsi="Arial" w:eastAsia="Times New Roman" w:cs="Arial"/>
                <w:sz w:val="16"/>
                <w:szCs w:val="16"/>
                <w:lang w:val="es-CO" w:eastAsia="es-ES"/>
              </w:rPr>
              <w:t>Contratista – Subdirección de</w:t>
            </w:r>
            <w:r w:rsidRPr="00265C4F">
              <w:rPr>
                <w:rFonts w:ascii="Arial" w:hAnsi="Arial" w:eastAsia="Times New Roman" w:cs="Arial"/>
                <w:sz w:val="16"/>
                <w:szCs w:val="16"/>
                <w:lang w:val="es-CO" w:eastAsia="es-ES"/>
              </w:rPr>
              <w:t xml:space="preserve"> Gestión Contractual</w:t>
            </w:r>
          </w:p>
        </w:tc>
      </w:tr>
      <w:tr w:rsidRPr="00265C4F" w:rsidR="00A1118B" w:rsidTr="00A1118B" w14:paraId="2F99034A" w14:textId="77777777">
        <w:trPr>
          <w:trHeight w:val="330"/>
        </w:trPr>
        <w:tc>
          <w:tcPr>
            <w:tcW w:w="488" w:type="dxa"/>
            <w:vAlign w:val="center"/>
            <w:hideMark/>
          </w:tcPr>
          <w:p w:rsidRPr="00265C4F" w:rsidR="00A1118B" w:rsidRDefault="00A1118B" w14:paraId="31D7F710"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65C4F" w:rsidR="00685722" w:rsidP="00685722" w:rsidRDefault="008802DD" w14:paraId="5F5BB944" w14:textId="4B037C11">
            <w:pPr>
              <w:rPr>
                <w:rFonts w:ascii="Arial" w:hAnsi="Arial" w:eastAsia="Times New Roman" w:cs="Arial"/>
                <w:sz w:val="16"/>
                <w:szCs w:val="16"/>
                <w:lang w:val="es-CO" w:eastAsia="es-ES"/>
              </w:rPr>
            </w:pPr>
            <w:r>
              <w:rPr>
                <w:rFonts w:ascii="Arial" w:hAnsi="Arial" w:eastAsia="Times New Roman" w:cs="Arial"/>
                <w:sz w:val="16"/>
                <w:szCs w:val="16"/>
                <w:lang w:val="es-CO" w:eastAsia="es-ES"/>
              </w:rPr>
              <w:t>Sebastián Ramírez Grisales</w:t>
            </w:r>
          </w:p>
          <w:p w:rsidRPr="00265C4F" w:rsidR="00A1118B" w:rsidP="00685722" w:rsidRDefault="008802DD" w14:paraId="0E495D9D" w14:textId="5FBB76A9">
            <w:pPr>
              <w:rPr>
                <w:rFonts w:ascii="Arial" w:hAnsi="Arial" w:eastAsia="Times New Roman" w:cs="Arial"/>
                <w:sz w:val="16"/>
                <w:szCs w:val="16"/>
                <w:lang w:val="es-CO" w:eastAsia="es-ES"/>
              </w:rPr>
            </w:pPr>
            <w:r>
              <w:rPr>
                <w:rFonts w:ascii="Arial" w:hAnsi="Arial" w:eastAsia="Times New Roman" w:cs="Arial"/>
                <w:sz w:val="16"/>
                <w:szCs w:val="16"/>
                <w:lang w:val="es-CO" w:eastAsia="es-ES"/>
              </w:rPr>
              <w:t>Contratista – Subdirección de</w:t>
            </w:r>
            <w:r w:rsidRPr="00265C4F">
              <w:rPr>
                <w:rFonts w:ascii="Arial" w:hAnsi="Arial" w:eastAsia="Times New Roman" w:cs="Arial"/>
                <w:sz w:val="16"/>
                <w:szCs w:val="16"/>
                <w:lang w:val="es-CO" w:eastAsia="es-ES"/>
              </w:rPr>
              <w:t xml:space="preserve"> Gestión Contractual</w:t>
            </w:r>
          </w:p>
        </w:tc>
      </w:tr>
      <w:tr w:rsidRPr="00265C4F" w:rsidR="00A1118B" w:rsidTr="00A1118B" w14:paraId="72A75B8A" w14:textId="77777777">
        <w:trPr>
          <w:trHeight w:val="300"/>
        </w:trPr>
        <w:tc>
          <w:tcPr>
            <w:tcW w:w="488" w:type="dxa"/>
            <w:vAlign w:val="center"/>
            <w:hideMark/>
          </w:tcPr>
          <w:p w:rsidRPr="00265C4F" w:rsidR="00A1118B" w:rsidRDefault="00A1118B" w14:paraId="1C1FEAA7"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65C4F" w:rsidR="00A1118B" w:rsidRDefault="00A1118B" w14:paraId="0F79C810"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Fabián Gonzalo Marín Cortés</w:t>
            </w:r>
          </w:p>
          <w:p w:rsidRPr="00265C4F" w:rsidR="00A1118B" w:rsidRDefault="00A1118B" w14:paraId="4DFCB48D"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Subdirector de Gestión Contractual</w:t>
            </w:r>
          </w:p>
        </w:tc>
      </w:tr>
      <w:tr w:rsidRPr="00265C4F" w:rsidR="00A1118B" w:rsidTr="00A1118B" w14:paraId="54E6BD41" w14:textId="77777777">
        <w:trPr>
          <w:trHeight w:val="300"/>
        </w:trPr>
        <w:tc>
          <w:tcPr>
            <w:tcW w:w="488" w:type="dxa"/>
            <w:vAlign w:val="center"/>
            <w:hideMark/>
          </w:tcPr>
          <w:p w:rsidRPr="00265C4F" w:rsidR="00A1118B" w:rsidRDefault="00A1118B" w14:paraId="196FA091"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65C4F" w:rsidR="00A1118B" w:rsidRDefault="00A1118B" w14:paraId="6A6F8FA6" w14:textId="77777777">
            <w:pPr>
              <w:rPr>
                <w:rFonts w:ascii="Arial" w:hAnsi="Arial" w:eastAsia="Times New Roman" w:cs="Arial"/>
                <w:sz w:val="16"/>
                <w:szCs w:val="16"/>
                <w:lang w:val="es-CO" w:eastAsia="es-ES"/>
              </w:rPr>
            </w:pPr>
            <w:r w:rsidRPr="00265C4F">
              <w:rPr>
                <w:rFonts w:ascii="Arial" w:hAnsi="Arial" w:eastAsia="Times New Roman" w:cs="Arial"/>
                <w:sz w:val="16"/>
                <w:szCs w:val="16"/>
                <w:lang w:val="es-CO" w:eastAsia="es-ES"/>
              </w:rPr>
              <w:t>0</w:t>
            </w:r>
          </w:p>
        </w:tc>
      </w:tr>
      <w:bookmarkEnd w:id="0"/>
    </w:tbl>
    <w:p w:rsidRPr="008802DD" w:rsidR="00C301E5" w:rsidP="008802DD" w:rsidRDefault="00C301E5" w14:paraId="19570CA4" w14:textId="2831FE64">
      <w:pPr>
        <w:rPr>
          <w:lang w:val="es-CO"/>
        </w:rPr>
      </w:pPr>
    </w:p>
    <w:sectPr w:rsidRPr="008802DD" w:rsidR="00C301E5"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A8E" w:rsidRDefault="00BE1A8E" w14:paraId="17794B29" w14:textId="77777777">
      <w:r>
        <w:separator/>
      </w:r>
    </w:p>
  </w:endnote>
  <w:endnote w:type="continuationSeparator" w:id="0">
    <w:p w:rsidR="00BE1A8E" w:rsidRDefault="00BE1A8E" w14:paraId="2D7E9F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A66252" w:rsidR="000E0524" w:rsidP="007B0854" w:rsidRDefault="000E0524" w14:paraId="6E90F2C9" w14:textId="77777777">
    <w:pPr>
      <w:pStyle w:val="Sinespaciado"/>
      <w:jc w:val="center"/>
      <w:rPr>
        <w:rFonts w:ascii="Arial" w:hAnsi="Arial" w:cs="Arial"/>
        <w:sz w:val="22"/>
      </w:rPr>
    </w:pPr>
  </w:p>
  <w:p w:rsidRPr="005A79FE" w:rsidR="000E0524" w:rsidP="005A79FE" w:rsidRDefault="000E0524"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0E0524" w:rsidP="007B0854" w:rsidRDefault="27F111B0" w14:paraId="48FC6A04" w14:textId="0E0B8C38">
    <w:pPr>
      <w:pStyle w:val="Piedepgina"/>
      <w:jc w:val="center"/>
    </w:pPr>
    <w:r w:rsidR="71316CBB">
      <w:drawing>
        <wp:inline wp14:editId="4A07F071" wp14:anchorId="608B196D">
          <wp:extent cx="4241994" cy="595165"/>
          <wp:effectExtent l="0" t="0" r="6350" b="0"/>
          <wp:docPr id="1919297366" name="Imagen 12" title=""/>
          <wp:cNvGraphicFramePr>
            <a:graphicFrameLocks noChangeAspect="1"/>
          </wp:cNvGraphicFramePr>
          <a:graphic>
            <a:graphicData uri="http://schemas.openxmlformats.org/drawingml/2006/picture">
              <pic:pic>
                <pic:nvPicPr>
                  <pic:cNvPr id="0" name="Imagen 12"/>
                  <pic:cNvPicPr/>
                </pic:nvPicPr>
                <pic:blipFill>
                  <a:blip r:embed="R4f36d7716b50407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0E0524" w:rsidP="007B0854" w:rsidRDefault="000E0524" w14:paraId="6C0EFC49"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A8E" w:rsidRDefault="00BE1A8E" w14:paraId="64598B99" w14:textId="77777777">
      <w:r>
        <w:separator/>
      </w:r>
    </w:p>
  </w:footnote>
  <w:footnote w:type="continuationSeparator" w:id="0">
    <w:p w:rsidR="00BE1A8E" w:rsidRDefault="00BE1A8E" w14:paraId="643410A4" w14:textId="77777777">
      <w:r>
        <w:continuationSeparator/>
      </w:r>
    </w:p>
  </w:footnote>
  <w:footnote w:id="1">
    <w:p w:rsidRPr="00FC7897" w:rsidR="000E0524" w:rsidP="00FC7897" w:rsidRDefault="000E0524" w14:paraId="1514A8C7" w14:textId="77777777">
      <w:pPr>
        <w:pStyle w:val="Textonotapie"/>
        <w:ind w:firstLine="708"/>
        <w:jc w:val="both"/>
        <w:rPr>
          <w:rFonts w:ascii="Arial" w:hAnsi="Arial" w:eastAsia="Times New Roman"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eastAsia="Times New Roman" w:cs="Arial"/>
          <w:color w:val="000000" w:themeColor="text1"/>
          <w:sz w:val="19"/>
          <w:szCs w:val="19"/>
          <w:lang w:val="es-CO" w:eastAsia="es-ES_tradnl"/>
        </w:rPr>
        <w:t>Artículo 3°. Funciones. La Agencia Nacional de Contratación Pública –Colombia Compra Eficiente– ejercerá las siguientes funciones: [...]</w:t>
      </w:r>
    </w:p>
    <w:p w:rsidRPr="00FC7897" w:rsidR="000E0524" w:rsidRDefault="000E0524" w14:paraId="549BA9A4" w14:textId="77777777">
      <w:pPr>
        <w:pStyle w:val="Textonotapie"/>
        <w:ind w:firstLine="708"/>
        <w:jc w:val="both"/>
        <w:rPr>
          <w:rFonts w:ascii="Arial" w:hAnsi="Arial" w:eastAsia="Times New Roman" w:cs="Arial"/>
          <w:color w:val="000000" w:themeColor="text1"/>
          <w:sz w:val="19"/>
          <w:szCs w:val="19"/>
          <w:lang w:val="es-CO" w:eastAsia="es-ES_tradnl"/>
        </w:rPr>
      </w:pPr>
      <w:r w:rsidRPr="00FC7897">
        <w:rPr>
          <w:rFonts w:ascii="Arial" w:hAnsi="Arial" w:eastAsia="Times New Roman" w:cs="Arial"/>
          <w:color w:val="000000" w:themeColor="text1"/>
          <w:sz w:val="19"/>
          <w:szCs w:val="19"/>
          <w:lang w:val="es-CO" w:eastAsia="es-ES_tradnl"/>
        </w:rPr>
        <w:t xml:space="preserve">»5. Absolver consultas sobre la aplicación de normas de carácter general y expedir circulares externas en materia de compras y contratación pública […] </w:t>
      </w:r>
    </w:p>
    <w:p w:rsidRPr="00FC7897" w:rsidR="000E0524" w:rsidRDefault="000E0524" w14:paraId="72C7E020" w14:textId="77777777">
      <w:pPr>
        <w:pStyle w:val="Textonotapie"/>
        <w:ind w:firstLine="708"/>
        <w:jc w:val="both"/>
        <w:rPr>
          <w:rFonts w:ascii="Arial" w:hAnsi="Arial" w:eastAsia="Times New Roman" w:cs="Arial"/>
          <w:color w:val="000000" w:themeColor="text1"/>
          <w:sz w:val="19"/>
          <w:szCs w:val="19"/>
          <w:lang w:val="es-CO" w:eastAsia="es-ES_tradnl"/>
        </w:rPr>
      </w:pPr>
      <w:r w:rsidRPr="00FC7897">
        <w:rPr>
          <w:rFonts w:ascii="Arial" w:hAnsi="Arial" w:eastAsia="Times New Roman" w:cs="Arial"/>
          <w:color w:val="000000" w:themeColor="text1"/>
          <w:sz w:val="19"/>
          <w:szCs w:val="19"/>
          <w:lang w:val="es-CO" w:eastAsia="es-ES_tradnl"/>
        </w:rPr>
        <w:t>»Artículo 11. Subdirección de Gestión Contractual. Son funciones de la Subdirección de Gestión Contractual las siguientes: [...]</w:t>
      </w:r>
    </w:p>
    <w:p w:rsidRPr="00FC7897" w:rsidR="000E0524" w:rsidRDefault="000E0524" w14:paraId="78EE2CE0" w14:textId="77777777">
      <w:pPr>
        <w:pStyle w:val="Textonotapie"/>
        <w:ind w:firstLine="708"/>
        <w:jc w:val="both"/>
        <w:rPr>
          <w:rFonts w:ascii="Arial" w:hAnsi="Arial" w:cs="Arial"/>
          <w:color w:val="000000" w:themeColor="text1"/>
          <w:sz w:val="19"/>
          <w:szCs w:val="19"/>
          <w:lang w:val="es-CO"/>
        </w:rPr>
      </w:pPr>
      <w:r w:rsidRPr="00FC7897">
        <w:rPr>
          <w:rFonts w:ascii="Arial" w:hAnsi="Arial" w:eastAsia="Times New Roman" w:cs="Arial"/>
          <w:color w:val="000000" w:themeColor="text1"/>
          <w:sz w:val="19"/>
          <w:szCs w:val="19"/>
          <w:lang w:val="es-CO" w:eastAsia="es-ES_tradnl"/>
        </w:rPr>
        <w:t>»8. Absolver consultas sobre la aplicación de normas de carácter general».</w:t>
      </w:r>
    </w:p>
  </w:footnote>
  <w:footnote w:id="2">
    <w:p w:rsidRPr="004A649F" w:rsidR="008802DD" w:rsidP="008802DD" w:rsidRDefault="008802DD" w14:paraId="6AFBB583"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A649F">
        <w:rPr>
          <w:rStyle w:val="Refdenotaalpie"/>
          <w:rFonts w:ascii="Arial" w:hAnsi="Arial" w:cs="Arial" w:eastAsiaTheme="minorHAnsi"/>
          <w:color w:val="000000" w:themeColor="text1"/>
          <w:sz w:val="19"/>
          <w:szCs w:val="19"/>
          <w:lang w:eastAsia="en-US"/>
        </w:rPr>
        <w:footnoteRef/>
      </w:r>
      <w:r w:rsidRPr="004A649F">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rsidRPr="004A649F" w:rsidR="008802DD" w:rsidP="008802DD" w:rsidRDefault="008802DD" w14:paraId="556F5681"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rsidRPr="004A649F" w:rsidR="008802DD" w:rsidP="008802DD" w:rsidRDefault="008802DD" w14:paraId="2B566CB4"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rsidRPr="004A649F" w:rsidR="008802DD" w:rsidP="008802DD" w:rsidRDefault="008802DD" w14:paraId="2D950710"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rsidRPr="004A649F" w:rsidR="008802DD" w:rsidP="008802DD" w:rsidRDefault="008802DD" w14:paraId="493CCA34"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rsidRPr="004A649F" w:rsidR="008802DD" w:rsidP="008802DD" w:rsidRDefault="008802DD" w14:paraId="3C25FB1E" w14:textId="77777777">
      <w:pPr>
        <w:pStyle w:val="NormalWeb"/>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rsidRPr="004A649F" w:rsidR="008802DD" w:rsidP="008802DD" w:rsidRDefault="008802DD" w14:paraId="181F79A7" w14:textId="77777777">
      <w:pPr>
        <w:pStyle w:val="NormalWeb"/>
        <w:spacing w:before="0" w:beforeAutospacing="0" w:after="0" w:afterAutospacing="0"/>
        <w:ind w:firstLine="708"/>
        <w:jc w:val="both"/>
        <w:rPr>
          <w:rFonts w:ascii="Arial" w:hAnsi="Arial" w:cs="Arial"/>
          <w:color w:val="000000" w:themeColor="text1"/>
          <w:sz w:val="19"/>
          <w:szCs w:val="19"/>
          <w:lang w:val="es-MX"/>
        </w:rPr>
      </w:pPr>
      <w:r w:rsidRPr="004A649F">
        <w:rPr>
          <w:rFonts w:ascii="Arial" w:hAnsi="Arial" w:cs="Arial"/>
          <w:color w:val="000000" w:themeColor="text1"/>
          <w:sz w:val="19"/>
          <w:szCs w:val="19"/>
          <w:lang w:val="es-MX"/>
        </w:rPr>
        <w:t>»La información contenida en el registro es pública y su consulta será gratuita».</w:t>
      </w:r>
    </w:p>
    <w:p w:rsidRPr="004A649F" w:rsidR="008802DD" w:rsidP="008802DD" w:rsidRDefault="008802DD" w14:paraId="0A8AC7A6" w14:textId="77777777">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rsidRPr="004A649F" w:rsidR="008802DD" w:rsidP="008802DD" w:rsidRDefault="008802DD" w14:paraId="0919E5D4" w14:textId="77777777">
      <w:pPr>
        <w:pStyle w:val="Textonotapie"/>
        <w:ind w:firstLine="708"/>
        <w:jc w:val="both"/>
        <w:rPr>
          <w:rFonts w:ascii="Arial" w:hAnsi="Arial" w:eastAsia="Times New Roman" w:cs="Arial"/>
          <w:color w:val="000000" w:themeColor="text1"/>
          <w:sz w:val="19"/>
          <w:szCs w:val="19"/>
          <w:lang w:eastAsia="es-CO"/>
        </w:rPr>
      </w:pPr>
      <w:r w:rsidRPr="004A649F">
        <w:rPr>
          <w:rStyle w:val="Refdenotaalpie"/>
          <w:rFonts w:ascii="Arial" w:hAnsi="Arial" w:cs="Arial"/>
          <w:color w:val="000000" w:themeColor="text1"/>
          <w:sz w:val="19"/>
          <w:szCs w:val="19"/>
        </w:rPr>
        <w:footnoteRef/>
      </w:r>
      <w:r w:rsidRPr="004A649F">
        <w:rPr>
          <w:rFonts w:ascii="Arial" w:hAnsi="Arial" w:eastAsia="Times New Roman" w:cs="Arial"/>
          <w:color w:val="000000" w:themeColor="text1"/>
          <w:sz w:val="19"/>
          <w:szCs w:val="19"/>
          <w:lang w:eastAsia="es-CO"/>
        </w:rPr>
        <w:t>«Artículo 2.2.1.1.1.5.1. Inscripción, renovación, actualización y cancelación del RUP.</w:t>
      </w:r>
    </w:p>
    <w:p w:rsidRPr="004A649F" w:rsidR="008802DD" w:rsidP="008802DD" w:rsidRDefault="008802DD" w14:paraId="4192A42C" w14:textId="77777777">
      <w:pPr>
        <w:pStyle w:val="Textonotapie"/>
        <w:ind w:firstLine="708"/>
        <w:jc w:val="both"/>
        <w:rPr>
          <w:rFonts w:ascii="Arial" w:hAnsi="Arial" w:eastAsia="Times New Roman" w:cs="Arial"/>
          <w:color w:val="000000" w:themeColor="text1"/>
          <w:sz w:val="19"/>
          <w:szCs w:val="19"/>
          <w:lang w:eastAsia="es-CO"/>
        </w:rPr>
      </w:pPr>
      <w:r w:rsidRPr="004A649F">
        <w:rPr>
          <w:rFonts w:ascii="Arial" w:hAnsi="Arial" w:eastAsia="Times New Roman" w:cs="Arial"/>
          <w:color w:val="000000" w:themeColor="text1"/>
          <w:sz w:val="19"/>
          <w:szCs w:val="19"/>
          <w:lang w:eastAsia="es-CO"/>
        </w:rPr>
        <w:t>[…]</w:t>
      </w:r>
    </w:p>
    <w:p w:rsidRPr="004A649F" w:rsidR="008802DD" w:rsidP="008802DD" w:rsidRDefault="008802DD" w14:paraId="31B101A1" w14:textId="77777777">
      <w:pPr>
        <w:pStyle w:val="Textonotapie"/>
        <w:ind w:firstLine="708"/>
        <w:jc w:val="both"/>
        <w:rPr>
          <w:rFonts w:ascii="Arial" w:hAnsi="Arial" w:eastAsia="Times New Roman" w:cs="Arial"/>
          <w:color w:val="000000" w:themeColor="text1"/>
          <w:sz w:val="19"/>
          <w:szCs w:val="19"/>
          <w:lang w:eastAsia="es-CO"/>
        </w:rPr>
      </w:pPr>
      <w:proofErr w:type="gramStart"/>
      <w:r w:rsidRPr="004A649F">
        <w:rPr>
          <w:rFonts w:ascii="Arial" w:hAnsi="Arial" w:eastAsia="Times New Roman" w:cs="Arial"/>
          <w:color w:val="000000" w:themeColor="text1"/>
          <w:sz w:val="19"/>
          <w:szCs w:val="19"/>
          <w:lang w:eastAsia="es-CO"/>
        </w:rPr>
        <w:t>»La</w:t>
      </w:r>
      <w:proofErr w:type="gramEnd"/>
      <w:r w:rsidRPr="004A649F">
        <w:rPr>
          <w:rFonts w:ascii="Arial" w:hAnsi="Arial" w:eastAsia="Times New Roman"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footnote>
  <w:footnote w:id="4">
    <w:p w:rsidRPr="004A649F" w:rsidR="008802DD" w:rsidP="008802DD" w:rsidRDefault="008802DD" w14:paraId="6E984890" w14:textId="77777777">
      <w:pPr>
        <w:pStyle w:val="Textonotapie"/>
        <w:ind w:firstLine="708"/>
        <w:jc w:val="both"/>
        <w:rPr>
          <w:rFonts w:ascii="Arial" w:hAnsi="Arial" w:eastAsia="Times New Roman" w:cs="Arial"/>
          <w:color w:val="000000" w:themeColor="text1"/>
          <w:sz w:val="19"/>
          <w:szCs w:val="19"/>
          <w:lang w:eastAsia="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eastAsia="Times New Roman" w:cs="Arial"/>
          <w:color w:val="000000" w:themeColor="text1"/>
          <w:sz w:val="19"/>
          <w:szCs w:val="19"/>
          <w:lang w:eastAsia="es-CO"/>
        </w:rPr>
        <w:t xml:space="preserve">Consejo de Estado. Sección Tercera. Subsección A. Sentencia del 19 de septiembre de 2019. </w:t>
      </w:r>
      <w:proofErr w:type="spellStart"/>
      <w:r w:rsidRPr="004A649F">
        <w:rPr>
          <w:rFonts w:ascii="Arial" w:hAnsi="Arial" w:eastAsia="Times New Roman" w:cs="Arial"/>
          <w:color w:val="000000" w:themeColor="text1"/>
          <w:sz w:val="19"/>
          <w:szCs w:val="19"/>
          <w:lang w:eastAsia="es-CO"/>
        </w:rPr>
        <w:t>Exp</w:t>
      </w:r>
      <w:proofErr w:type="spellEnd"/>
      <w:r w:rsidRPr="004A649F">
        <w:rPr>
          <w:rFonts w:ascii="Arial" w:hAnsi="Arial" w:eastAsia="Times New Roman" w:cs="Arial"/>
          <w:color w:val="000000" w:themeColor="text1"/>
          <w:sz w:val="19"/>
          <w:szCs w:val="19"/>
          <w:lang w:eastAsia="es-CO"/>
        </w:rPr>
        <w:t>. 59.432. C.P. Marta Nubia Velásquez Rico.</w:t>
      </w:r>
    </w:p>
    <w:p w:rsidRPr="004A649F" w:rsidR="008802DD" w:rsidP="008802DD" w:rsidRDefault="008802DD" w14:paraId="6324BCAA" w14:textId="77777777">
      <w:pPr>
        <w:pStyle w:val="Textonotapie"/>
        <w:ind w:firstLine="708"/>
        <w:jc w:val="both"/>
        <w:rPr>
          <w:rFonts w:ascii="Arial" w:hAnsi="Arial" w:cs="Arial"/>
          <w:color w:val="000000" w:themeColor="text1"/>
          <w:sz w:val="19"/>
          <w:szCs w:val="19"/>
          <w:lang w:val="es-CO"/>
        </w:rPr>
      </w:pPr>
    </w:p>
  </w:footnote>
  <w:footnote w:id="5">
    <w:p w:rsidRPr="004A649F" w:rsidR="008802DD" w:rsidP="008802DD" w:rsidRDefault="008802DD" w14:paraId="1366A572" w14:textId="77777777">
      <w:pPr>
        <w:pStyle w:val="Textonotapie"/>
        <w:ind w:firstLine="709"/>
        <w:jc w:val="both"/>
        <w:rPr>
          <w:rFonts w:ascii="Arial" w:hAnsi="Arial" w:cs="Arial"/>
          <w:color w:val="000000" w:themeColor="text1"/>
          <w:sz w:val="19"/>
          <w:szCs w:val="19"/>
          <w:lang w:val="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 xml:space="preserve">«Artículo 87. Firmeza de los actos administrativos. Los actos administrativos quedarán en firme: </w:t>
      </w:r>
    </w:p>
    <w:p w:rsidRPr="004A649F" w:rsidR="008802DD" w:rsidP="008802DD" w:rsidRDefault="008802DD" w14:paraId="63E5B82A" w14:textId="77777777">
      <w:pPr>
        <w:pStyle w:val="Textonotapie"/>
        <w:ind w:firstLine="709"/>
        <w:jc w:val="both"/>
        <w:rPr>
          <w:rFonts w:ascii="Arial" w:hAnsi="Arial" w:cs="Arial"/>
          <w:color w:val="000000" w:themeColor="text1"/>
          <w:sz w:val="19"/>
          <w:szCs w:val="19"/>
          <w:lang w:val="es-CO"/>
        </w:rPr>
      </w:pPr>
      <w:r w:rsidRPr="004A649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rsidRPr="004A649F" w:rsidR="008802DD" w:rsidP="008802DD" w:rsidRDefault="008802DD" w14:paraId="7ED71479" w14:textId="77777777">
      <w:pPr>
        <w:pStyle w:val="Textonotapie"/>
        <w:ind w:firstLine="709"/>
        <w:jc w:val="both"/>
        <w:rPr>
          <w:rFonts w:ascii="Arial" w:hAnsi="Arial" w:cs="Arial"/>
          <w:color w:val="000000" w:themeColor="text1"/>
          <w:sz w:val="19"/>
          <w:szCs w:val="19"/>
          <w:lang w:val="es-CO"/>
        </w:rPr>
      </w:pPr>
      <w:r w:rsidRPr="004A649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rsidRPr="004A649F" w:rsidR="008802DD" w:rsidP="008802DD" w:rsidRDefault="008802DD" w14:paraId="1C395168" w14:textId="77777777">
      <w:pPr>
        <w:pStyle w:val="Textonotapie"/>
        <w:ind w:firstLine="709"/>
        <w:jc w:val="both"/>
        <w:rPr>
          <w:rFonts w:ascii="Arial" w:hAnsi="Arial" w:cs="Arial"/>
          <w:color w:val="000000" w:themeColor="text1"/>
          <w:sz w:val="19"/>
          <w:szCs w:val="19"/>
          <w:lang w:val="es-CO"/>
        </w:rPr>
      </w:pPr>
      <w:r w:rsidRPr="004A649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rsidRPr="004A649F" w:rsidR="008802DD" w:rsidP="008802DD" w:rsidRDefault="008802DD" w14:paraId="5DF4C88A" w14:textId="77777777">
      <w:pPr>
        <w:pStyle w:val="Textonotapie"/>
        <w:ind w:firstLine="709"/>
        <w:jc w:val="both"/>
        <w:rPr>
          <w:rFonts w:ascii="Arial" w:hAnsi="Arial" w:cs="Arial"/>
          <w:color w:val="000000" w:themeColor="text1"/>
          <w:sz w:val="19"/>
          <w:szCs w:val="19"/>
          <w:lang w:val="es-CO"/>
        </w:rPr>
      </w:pPr>
      <w:r w:rsidRPr="004A649F">
        <w:rPr>
          <w:rFonts w:ascii="Arial" w:hAnsi="Arial" w:cs="Arial"/>
          <w:color w:val="000000" w:themeColor="text1"/>
          <w:sz w:val="19"/>
          <w:szCs w:val="19"/>
          <w:lang w:val="es-CO"/>
        </w:rPr>
        <w:t xml:space="preserve">»4. Desde el día siguiente al de la notificación de la aceptación del desistimiento de los recursos. </w:t>
      </w:r>
    </w:p>
    <w:p w:rsidRPr="004A649F" w:rsidR="008802DD" w:rsidP="008802DD" w:rsidRDefault="008802DD" w14:paraId="12BE3419" w14:textId="77777777">
      <w:pPr>
        <w:pStyle w:val="Textonotapie"/>
        <w:ind w:firstLine="709"/>
        <w:jc w:val="both"/>
        <w:rPr>
          <w:rFonts w:ascii="Arial" w:hAnsi="Arial" w:cs="Arial"/>
          <w:color w:val="000000" w:themeColor="text1"/>
          <w:sz w:val="19"/>
          <w:szCs w:val="19"/>
          <w:lang w:val="es-CO"/>
        </w:rPr>
      </w:pPr>
      <w:r w:rsidRPr="004A649F">
        <w:rPr>
          <w:rFonts w:ascii="Arial" w:hAnsi="Arial" w:cs="Arial"/>
          <w:color w:val="000000" w:themeColor="text1"/>
          <w:sz w:val="19"/>
          <w:szCs w:val="19"/>
          <w:lang w:val="es-CO"/>
        </w:rPr>
        <w:t>»5. Desde el día siguiente al de la protocolización a que alude el artículo 85 para el silencio administrativo positivo».</w:t>
      </w:r>
    </w:p>
    <w:p w:rsidRPr="004A649F" w:rsidR="008802DD" w:rsidP="008802DD" w:rsidRDefault="008802DD" w14:paraId="25E14E05" w14:textId="77777777">
      <w:pPr>
        <w:pStyle w:val="Textonotapie"/>
        <w:ind w:firstLine="709"/>
        <w:jc w:val="both"/>
        <w:rPr>
          <w:rFonts w:ascii="Arial" w:hAnsi="Arial" w:cs="Arial"/>
          <w:color w:val="000000" w:themeColor="text1"/>
          <w:sz w:val="19"/>
          <w:szCs w:val="19"/>
          <w:lang w:val="es-CO"/>
        </w:rPr>
      </w:pPr>
    </w:p>
  </w:footnote>
  <w:footnote w:id="6">
    <w:p w:rsidRPr="004A649F" w:rsidR="008802DD" w:rsidP="008802DD" w:rsidRDefault="008802DD" w14:paraId="4F7ACC5D" w14:textId="77777777">
      <w:pPr>
        <w:pStyle w:val="Textonotapie"/>
        <w:ind w:firstLine="709"/>
        <w:jc w:val="both"/>
        <w:rPr>
          <w:rFonts w:ascii="Arial" w:hAnsi="Arial" w:cs="Arial"/>
          <w:color w:val="000000" w:themeColor="text1"/>
          <w:sz w:val="19"/>
          <w:szCs w:val="19"/>
          <w:lang w:val="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 xml:space="preserve">Consejo de Estado. Sección Cuarta. Sentencia del 19 de noviembre de 1999. </w:t>
      </w:r>
      <w:r w:rsidRPr="004A649F">
        <w:rPr>
          <w:rFonts w:ascii="Arial" w:hAnsi="Arial" w:cs="Arial"/>
          <w:color w:val="000000" w:themeColor="text1"/>
          <w:sz w:val="19"/>
          <w:szCs w:val="19"/>
          <w:lang w:val="es-CO"/>
        </w:rPr>
        <w:t>Exp. 9.453. CP. Daniel Manrique Guzmán.</w:t>
      </w:r>
    </w:p>
    <w:p w:rsidRPr="004A649F" w:rsidR="008802DD" w:rsidP="008802DD" w:rsidRDefault="008802DD" w14:paraId="34FEEE9E" w14:textId="77777777">
      <w:pPr>
        <w:pStyle w:val="Textonotapie"/>
        <w:jc w:val="both"/>
        <w:rPr>
          <w:rFonts w:ascii="Arial" w:hAnsi="Arial" w:cs="Arial"/>
          <w:color w:val="000000" w:themeColor="text1"/>
          <w:sz w:val="19"/>
          <w:szCs w:val="19"/>
        </w:rPr>
      </w:pPr>
    </w:p>
  </w:footnote>
  <w:footnote w:id="7">
    <w:p w:rsidRPr="004A649F" w:rsidR="008802DD" w:rsidP="008802DD" w:rsidRDefault="008802DD" w14:paraId="3314ED47" w14:textId="77777777">
      <w:pPr>
        <w:ind w:firstLine="709"/>
        <w:jc w:val="both"/>
        <w:rPr>
          <w:rFonts w:ascii="Arial" w:hAnsi="Arial" w:eastAsia="Times New Roman" w:cs="Arial"/>
          <w:color w:val="000000" w:themeColor="text1"/>
          <w:sz w:val="19"/>
          <w:szCs w:val="19"/>
          <w:lang w:val="es-CO" w:eastAsia="es-ES_tradnl"/>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eastAsia="Times New Roman" w:cs="Arial"/>
          <w:color w:val="000000" w:themeColor="text1"/>
          <w:sz w:val="19"/>
          <w:szCs w:val="19"/>
          <w:lang w:val="es-CO" w:eastAsia="es-ES_tradnl"/>
        </w:rPr>
        <w:t xml:space="preserve">Ley 1882 de 2018: «Artículo 5. Modifíquese el Parágrafo 1 e inclúyanse los parágrafos 3, 4 y 5 de artículo 5° de la Ley 1150 de 2007, los cuales quedarán así: </w:t>
      </w:r>
    </w:p>
    <w:p w:rsidRPr="004A649F" w:rsidR="008802DD" w:rsidP="008802DD" w:rsidRDefault="008802DD" w14:paraId="44DF9A61" w14:textId="77777777">
      <w:pPr>
        <w:ind w:firstLine="709"/>
        <w:jc w:val="both"/>
        <w:rPr>
          <w:rFonts w:ascii="Arial" w:hAnsi="Arial" w:eastAsia="Times New Roman" w:cs="Arial"/>
          <w:color w:val="000000" w:themeColor="text1"/>
          <w:sz w:val="19"/>
          <w:szCs w:val="19"/>
          <w:lang w:val="es-CO" w:eastAsia="es-ES_tradnl"/>
        </w:rPr>
      </w:pPr>
      <w:r w:rsidRPr="004A649F">
        <w:rPr>
          <w:rFonts w:ascii="Arial" w:hAnsi="Arial" w:eastAsia="Times New Roman" w:cs="Arial"/>
          <w:color w:val="000000" w:themeColor="text1"/>
          <w:sz w:val="19"/>
          <w:szCs w:val="19"/>
          <w:lang w:val="es-CO" w:eastAsia="es-ES_tradnl"/>
        </w:rPr>
        <w:t xml:space="preserve">[…] </w:t>
      </w:r>
    </w:p>
    <w:p w:rsidRPr="004A649F" w:rsidR="008802DD" w:rsidP="008802DD" w:rsidRDefault="008802DD" w14:paraId="5132500E" w14:textId="77777777">
      <w:pPr>
        <w:ind w:firstLine="709"/>
        <w:jc w:val="both"/>
        <w:rPr>
          <w:rFonts w:ascii="Arial" w:hAnsi="Arial" w:eastAsia="Times New Roman" w:cs="Arial"/>
          <w:color w:val="000000" w:themeColor="text1"/>
          <w:sz w:val="19"/>
          <w:szCs w:val="19"/>
          <w:lang w:val="es-CO" w:eastAsia="es-ES_tradnl"/>
        </w:rPr>
      </w:pPr>
      <w:r w:rsidRPr="004A649F">
        <w:rPr>
          <w:rFonts w:ascii="Arial" w:hAnsi="Arial" w:eastAsia="Times New Roman" w:cs="Arial"/>
          <w:color w:val="000000" w:themeColor="text1"/>
          <w:sz w:val="19"/>
          <w:szCs w:val="19"/>
          <w:lang w:val="es-CO" w:eastAsia="es-ES_tradnl"/>
        </w:rPr>
        <w:t xml:space="preserve">»Artículo 5°. De la selección objetiva. </w:t>
      </w:r>
    </w:p>
    <w:p w:rsidRPr="004A649F" w:rsidR="008802DD" w:rsidP="008802DD" w:rsidRDefault="008802DD" w14:paraId="12361A9B" w14:textId="77777777">
      <w:pPr>
        <w:ind w:firstLine="709"/>
        <w:jc w:val="both"/>
        <w:rPr>
          <w:rFonts w:ascii="Arial" w:hAnsi="Arial" w:eastAsia="Times New Roman" w:cs="Arial"/>
          <w:color w:val="000000" w:themeColor="text1"/>
          <w:sz w:val="19"/>
          <w:szCs w:val="19"/>
          <w:lang w:val="es-CO" w:eastAsia="es-ES_tradnl"/>
        </w:rPr>
      </w:pPr>
      <w:r w:rsidRPr="004A649F">
        <w:rPr>
          <w:rFonts w:ascii="Arial" w:hAnsi="Arial" w:eastAsia="Times New Roman" w:cs="Arial"/>
          <w:color w:val="000000" w:themeColor="text1"/>
          <w:sz w:val="19"/>
          <w:szCs w:val="19"/>
          <w:lang w:val="es-CO" w:eastAsia="es-ES_tradnl"/>
        </w:rPr>
        <w:t xml:space="preserve">[…] </w:t>
      </w:r>
    </w:p>
    <w:p w:rsidRPr="004A649F" w:rsidR="008802DD" w:rsidP="008802DD" w:rsidRDefault="008802DD" w14:paraId="40A766E7" w14:textId="77777777">
      <w:pPr>
        <w:ind w:firstLine="709"/>
        <w:jc w:val="both"/>
        <w:rPr>
          <w:rFonts w:ascii="Arial" w:hAnsi="Arial" w:eastAsia="Times New Roman" w:cs="Arial"/>
          <w:color w:val="000000" w:themeColor="text1"/>
          <w:sz w:val="19"/>
          <w:szCs w:val="19"/>
          <w:lang w:val="es-CO" w:eastAsia="es-ES_tradnl"/>
        </w:rPr>
      </w:pPr>
      <w:r w:rsidRPr="004A649F">
        <w:rPr>
          <w:rFonts w:ascii="Arial" w:hAnsi="Arial" w:eastAsia="Times New Roman"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rsidRPr="004A649F" w:rsidR="008802DD" w:rsidP="008802DD" w:rsidRDefault="008802DD" w14:paraId="71238767" w14:textId="77777777">
      <w:pPr>
        <w:ind w:firstLine="709"/>
        <w:jc w:val="both"/>
        <w:rPr>
          <w:rFonts w:ascii="Arial" w:hAnsi="Arial" w:eastAsia="Times New Roman" w:cs="Arial"/>
          <w:color w:val="000000" w:themeColor="text1"/>
          <w:sz w:val="19"/>
          <w:szCs w:val="19"/>
          <w:lang w:val="es-CO" w:eastAsia="es-ES_tradnl"/>
        </w:rPr>
      </w:pPr>
      <w:r w:rsidRPr="004A649F">
        <w:rPr>
          <w:rFonts w:ascii="Arial" w:hAnsi="Arial" w:eastAsia="Times New Roman"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4A649F">
        <w:rPr>
          <w:rFonts w:ascii="Arial" w:hAnsi="Arial" w:eastAsia="Times New Roman" w:cs="Arial"/>
          <w:color w:val="000000" w:themeColor="text1"/>
          <w:sz w:val="19"/>
          <w:szCs w:val="19"/>
          <w:lang w:val="es-CO" w:eastAsia="es-ES_tradnl"/>
        </w:rPr>
        <w:t xml:space="preserve"> (cursiva fuera de texto).</w:t>
      </w:r>
    </w:p>
    <w:p w:rsidRPr="004A649F" w:rsidR="008802DD" w:rsidP="008802DD" w:rsidRDefault="008802DD" w14:paraId="7B0E724D" w14:textId="77777777">
      <w:pPr>
        <w:pStyle w:val="Textonotapie"/>
        <w:jc w:val="both"/>
        <w:rPr>
          <w:rFonts w:ascii="Arial" w:hAnsi="Arial" w:cs="Arial"/>
          <w:color w:val="000000" w:themeColor="text1"/>
          <w:sz w:val="19"/>
          <w:szCs w:val="19"/>
        </w:rPr>
      </w:pPr>
    </w:p>
  </w:footnote>
  <w:footnote w:id="8">
    <w:p w:rsidRPr="004A649F" w:rsidR="008802DD" w:rsidP="008802DD" w:rsidRDefault="008802DD" w14:paraId="7443E5C9" w14:textId="77777777">
      <w:pPr>
        <w:pStyle w:val="Textonotapie"/>
        <w:ind w:firstLine="709"/>
        <w:jc w:val="both"/>
        <w:rPr>
          <w:rFonts w:ascii="Arial" w:hAnsi="Arial" w:cs="Arial"/>
          <w:color w:val="000000" w:themeColor="text1"/>
          <w:sz w:val="19"/>
          <w:szCs w:val="19"/>
          <w:lang w:val="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4A649F">
        <w:rPr>
          <w:rFonts w:ascii="Arial" w:hAnsi="Arial" w:cs="Arial"/>
          <w:i/>
          <w:iCs/>
          <w:color w:val="000000" w:themeColor="text1"/>
          <w:sz w:val="19"/>
          <w:szCs w:val="19"/>
          <w:lang w:val="es-CO"/>
        </w:rPr>
        <w:t>ni que se acrediten circunstancias ocurridas con posterioridad al cierre del proceso»</w:t>
      </w:r>
      <w:r w:rsidRPr="004A649F">
        <w:rPr>
          <w:rFonts w:ascii="Arial" w:hAnsi="Arial" w:cs="Arial"/>
          <w:color w:val="000000" w:themeColor="text1"/>
          <w:sz w:val="19"/>
          <w:szCs w:val="19"/>
          <w:lang w:val="es-CO"/>
        </w:rPr>
        <w:t xml:space="preserve"> (cursiva fuera de texto).</w:t>
      </w:r>
    </w:p>
    <w:p w:rsidRPr="004A649F" w:rsidR="008802DD" w:rsidP="008802DD" w:rsidRDefault="008802DD" w14:paraId="6BD34CEC" w14:textId="77777777">
      <w:pPr>
        <w:pStyle w:val="Textonotapie"/>
        <w:ind w:firstLine="709"/>
        <w:jc w:val="both"/>
        <w:rPr>
          <w:rFonts w:ascii="Arial" w:hAnsi="Arial" w:cs="Arial"/>
          <w:color w:val="000000" w:themeColor="text1"/>
          <w:sz w:val="19"/>
          <w:szCs w:val="19"/>
        </w:rPr>
      </w:pPr>
    </w:p>
  </w:footnote>
  <w:footnote w:id="9">
    <w:p w:rsidRPr="004A649F" w:rsidR="008802DD" w:rsidP="008802DD" w:rsidRDefault="008802DD" w14:paraId="243AF225" w14:textId="77777777">
      <w:pPr>
        <w:pStyle w:val="Textonotapie"/>
        <w:ind w:firstLine="709"/>
        <w:jc w:val="both"/>
        <w:rPr>
          <w:rFonts w:ascii="Arial" w:hAnsi="Arial" w:cs="Arial"/>
          <w:color w:val="000000" w:themeColor="text1"/>
          <w:sz w:val="19"/>
          <w:szCs w:val="19"/>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footnote>
  <w:footnote w:id="10">
    <w:p w:rsidRPr="004A649F" w:rsidR="008802DD" w:rsidP="008802DD" w:rsidRDefault="008802DD" w14:paraId="04684B63" w14:textId="77777777">
      <w:pPr>
        <w:pStyle w:val="Textonotapie"/>
        <w:ind w:firstLine="708"/>
        <w:rPr>
          <w:rFonts w:ascii="Arial" w:hAnsi="Arial" w:cs="Arial"/>
          <w:sz w:val="19"/>
          <w:szCs w:val="19"/>
          <w:lang w:val="es-CO"/>
        </w:rPr>
      </w:pPr>
      <w:r w:rsidRPr="004A649F">
        <w:rPr>
          <w:rStyle w:val="Refdenotaalpie"/>
          <w:rFonts w:ascii="Arial" w:hAnsi="Arial" w:cs="Arial"/>
          <w:sz w:val="19"/>
          <w:szCs w:val="19"/>
        </w:rPr>
        <w:footnoteRef/>
      </w:r>
      <w:r w:rsidRPr="004A649F">
        <w:rPr>
          <w:rFonts w:ascii="Arial" w:hAnsi="Arial" w:cs="Arial"/>
          <w:sz w:val="19"/>
          <w:szCs w:val="19"/>
        </w:rPr>
        <w:t xml:space="preserve"> Decreto 1082 de 2015, artículo 2.2.1.1.1.5.1., citado previamente.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E0524" w:rsidRDefault="000E0524" w14:paraId="4CEB5923" w14:textId="72BD7C0A">
    <w:pPr>
      <w:pStyle w:val="Encabezado"/>
    </w:pPr>
  </w:p>
  <w:p w:rsidR="000E0524" w:rsidRDefault="000E0524" w14:paraId="6A4C7F2C" w14:textId="7D093DBB">
    <w:pPr>
      <w:pStyle w:val="Encabezado"/>
    </w:pPr>
  </w:p>
  <w:p w:rsidR="000E0524" w:rsidRDefault="000E0524"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1316CBB">
      <w:rPr/>
      <w:t/>
    </w:r>
  </w:p>
  <w:p w:rsidR="000E0524" w:rsidRDefault="000E0524" w14:paraId="51400574" w14:textId="61BAF652">
    <w:pPr>
      <w:pStyle w:val="Encabezado"/>
    </w:pPr>
  </w:p>
  <w:p w:rsidR="000E0524" w:rsidRDefault="000E0524" w14:paraId="3D323BDB" w14:textId="04AF0DE6">
    <w:pPr>
      <w:pStyle w:val="Encabezado"/>
    </w:pPr>
  </w:p>
  <w:p w:rsidR="000E0524" w:rsidRDefault="000E052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FA26038"/>
    <w:multiLevelType w:val="hybridMultilevel"/>
    <w:tmpl w:val="D9C63332"/>
    <w:lvl w:ilvl="0" w:tplc="70EA504E">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A05853"/>
    <w:multiLevelType w:val="hybridMultilevel"/>
    <w:tmpl w:val="92D0C210"/>
    <w:lvl w:ilvl="0" w:tplc="9834956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276FD3"/>
    <w:multiLevelType w:val="hybridMultilevel"/>
    <w:tmpl w:val="1B46C6A2"/>
    <w:lvl w:ilvl="0" w:tplc="E6DAF1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7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C83"/>
    <w:rsid w:val="00011452"/>
    <w:rsid w:val="00013193"/>
    <w:rsid w:val="00013A97"/>
    <w:rsid w:val="00044372"/>
    <w:rsid w:val="00050453"/>
    <w:rsid w:val="00053C58"/>
    <w:rsid w:val="0006671D"/>
    <w:rsid w:val="0008367B"/>
    <w:rsid w:val="000942EB"/>
    <w:rsid w:val="000A3F30"/>
    <w:rsid w:val="000B103F"/>
    <w:rsid w:val="000D15B1"/>
    <w:rsid w:val="000E0524"/>
    <w:rsid w:val="000F14E8"/>
    <w:rsid w:val="00102DD4"/>
    <w:rsid w:val="00103915"/>
    <w:rsid w:val="001059A1"/>
    <w:rsid w:val="00122B23"/>
    <w:rsid w:val="00123E43"/>
    <w:rsid w:val="001262EA"/>
    <w:rsid w:val="00130469"/>
    <w:rsid w:val="00137B39"/>
    <w:rsid w:val="00137FFA"/>
    <w:rsid w:val="001448AA"/>
    <w:rsid w:val="001572CD"/>
    <w:rsid w:val="00173305"/>
    <w:rsid w:val="00177893"/>
    <w:rsid w:val="00182192"/>
    <w:rsid w:val="00185583"/>
    <w:rsid w:val="00185851"/>
    <w:rsid w:val="001946F3"/>
    <w:rsid w:val="001A5539"/>
    <w:rsid w:val="001A635E"/>
    <w:rsid w:val="001B5789"/>
    <w:rsid w:val="001B6AB7"/>
    <w:rsid w:val="001C0ABA"/>
    <w:rsid w:val="001D0743"/>
    <w:rsid w:val="001F179E"/>
    <w:rsid w:val="0020502E"/>
    <w:rsid w:val="00206542"/>
    <w:rsid w:val="002072BF"/>
    <w:rsid w:val="00207742"/>
    <w:rsid w:val="00213AD3"/>
    <w:rsid w:val="00233F21"/>
    <w:rsid w:val="00234B84"/>
    <w:rsid w:val="00246B65"/>
    <w:rsid w:val="00262EE4"/>
    <w:rsid w:val="00265C4F"/>
    <w:rsid w:val="002808DD"/>
    <w:rsid w:val="002869F7"/>
    <w:rsid w:val="0029200B"/>
    <w:rsid w:val="00292336"/>
    <w:rsid w:val="00295DA4"/>
    <w:rsid w:val="002A5C49"/>
    <w:rsid w:val="002A6D4D"/>
    <w:rsid w:val="002B1C31"/>
    <w:rsid w:val="002D2882"/>
    <w:rsid w:val="002D2AEB"/>
    <w:rsid w:val="002D7F51"/>
    <w:rsid w:val="002E0915"/>
    <w:rsid w:val="002E5817"/>
    <w:rsid w:val="002F3B74"/>
    <w:rsid w:val="00300794"/>
    <w:rsid w:val="003033BA"/>
    <w:rsid w:val="00310125"/>
    <w:rsid w:val="00311133"/>
    <w:rsid w:val="00327526"/>
    <w:rsid w:val="00327783"/>
    <w:rsid w:val="0034680A"/>
    <w:rsid w:val="00352B43"/>
    <w:rsid w:val="00364BDA"/>
    <w:rsid w:val="00380A43"/>
    <w:rsid w:val="00386456"/>
    <w:rsid w:val="003A5471"/>
    <w:rsid w:val="003A581E"/>
    <w:rsid w:val="003B62C1"/>
    <w:rsid w:val="003C099D"/>
    <w:rsid w:val="003C6653"/>
    <w:rsid w:val="003D3EBE"/>
    <w:rsid w:val="003E4ED5"/>
    <w:rsid w:val="003F4FB7"/>
    <w:rsid w:val="00400C84"/>
    <w:rsid w:val="00414275"/>
    <w:rsid w:val="004152AE"/>
    <w:rsid w:val="004206ED"/>
    <w:rsid w:val="00431D81"/>
    <w:rsid w:val="004336F3"/>
    <w:rsid w:val="004422D6"/>
    <w:rsid w:val="00443D80"/>
    <w:rsid w:val="00443F61"/>
    <w:rsid w:val="00447A31"/>
    <w:rsid w:val="00451254"/>
    <w:rsid w:val="00472820"/>
    <w:rsid w:val="004A1E27"/>
    <w:rsid w:val="004A34D2"/>
    <w:rsid w:val="004A5D94"/>
    <w:rsid w:val="004C5B23"/>
    <w:rsid w:val="004C6C73"/>
    <w:rsid w:val="004D0A01"/>
    <w:rsid w:val="004D1A3E"/>
    <w:rsid w:val="004E027B"/>
    <w:rsid w:val="004E643E"/>
    <w:rsid w:val="004F2E52"/>
    <w:rsid w:val="004F3F8B"/>
    <w:rsid w:val="004F5512"/>
    <w:rsid w:val="0051074C"/>
    <w:rsid w:val="0051336C"/>
    <w:rsid w:val="00513AF2"/>
    <w:rsid w:val="00522882"/>
    <w:rsid w:val="005311A1"/>
    <w:rsid w:val="0054413A"/>
    <w:rsid w:val="00552530"/>
    <w:rsid w:val="005564CA"/>
    <w:rsid w:val="00571765"/>
    <w:rsid w:val="00573CDC"/>
    <w:rsid w:val="005A79FE"/>
    <w:rsid w:val="005B529B"/>
    <w:rsid w:val="005B568E"/>
    <w:rsid w:val="005C1863"/>
    <w:rsid w:val="005C57E1"/>
    <w:rsid w:val="00611678"/>
    <w:rsid w:val="00642D99"/>
    <w:rsid w:val="00655371"/>
    <w:rsid w:val="00656E72"/>
    <w:rsid w:val="0066406C"/>
    <w:rsid w:val="00676032"/>
    <w:rsid w:val="00685722"/>
    <w:rsid w:val="00686813"/>
    <w:rsid w:val="00691378"/>
    <w:rsid w:val="00696CDD"/>
    <w:rsid w:val="00697665"/>
    <w:rsid w:val="006A0DB3"/>
    <w:rsid w:val="006A7FD0"/>
    <w:rsid w:val="006B316C"/>
    <w:rsid w:val="006C3A4B"/>
    <w:rsid w:val="006D51B8"/>
    <w:rsid w:val="006D7687"/>
    <w:rsid w:val="006E0572"/>
    <w:rsid w:val="006F321D"/>
    <w:rsid w:val="006F7FB4"/>
    <w:rsid w:val="00705631"/>
    <w:rsid w:val="00714981"/>
    <w:rsid w:val="00734BA8"/>
    <w:rsid w:val="00742DD2"/>
    <w:rsid w:val="0075385B"/>
    <w:rsid w:val="0075647A"/>
    <w:rsid w:val="007634AD"/>
    <w:rsid w:val="007802FC"/>
    <w:rsid w:val="0078122E"/>
    <w:rsid w:val="007A2738"/>
    <w:rsid w:val="007A2CFC"/>
    <w:rsid w:val="007B0854"/>
    <w:rsid w:val="007B46FC"/>
    <w:rsid w:val="007C297F"/>
    <w:rsid w:val="007C305E"/>
    <w:rsid w:val="007D31F8"/>
    <w:rsid w:val="007E312B"/>
    <w:rsid w:val="007E34CF"/>
    <w:rsid w:val="007F1221"/>
    <w:rsid w:val="007F12AD"/>
    <w:rsid w:val="007F72CB"/>
    <w:rsid w:val="00810936"/>
    <w:rsid w:val="00811A5E"/>
    <w:rsid w:val="00813130"/>
    <w:rsid w:val="00821742"/>
    <w:rsid w:val="00822BD2"/>
    <w:rsid w:val="00826E68"/>
    <w:rsid w:val="0083119B"/>
    <w:rsid w:val="008366C4"/>
    <w:rsid w:val="00836EAB"/>
    <w:rsid w:val="00842AD6"/>
    <w:rsid w:val="00846BF0"/>
    <w:rsid w:val="00847979"/>
    <w:rsid w:val="0085092D"/>
    <w:rsid w:val="00860415"/>
    <w:rsid w:val="00860E06"/>
    <w:rsid w:val="008628D2"/>
    <w:rsid w:val="008802DD"/>
    <w:rsid w:val="00883B97"/>
    <w:rsid w:val="00895B34"/>
    <w:rsid w:val="008A465E"/>
    <w:rsid w:val="008C3BF7"/>
    <w:rsid w:val="008C4490"/>
    <w:rsid w:val="008D2EED"/>
    <w:rsid w:val="008E1C15"/>
    <w:rsid w:val="00902D36"/>
    <w:rsid w:val="009047C5"/>
    <w:rsid w:val="00917224"/>
    <w:rsid w:val="009230C0"/>
    <w:rsid w:val="009414EB"/>
    <w:rsid w:val="00943498"/>
    <w:rsid w:val="009464A2"/>
    <w:rsid w:val="009475B7"/>
    <w:rsid w:val="009501C7"/>
    <w:rsid w:val="0095385A"/>
    <w:rsid w:val="00967E6D"/>
    <w:rsid w:val="0097164E"/>
    <w:rsid w:val="0098455D"/>
    <w:rsid w:val="009A4297"/>
    <w:rsid w:val="009A7C76"/>
    <w:rsid w:val="009B2279"/>
    <w:rsid w:val="009B2637"/>
    <w:rsid w:val="009B4024"/>
    <w:rsid w:val="009B5EC9"/>
    <w:rsid w:val="009C2897"/>
    <w:rsid w:val="009E043C"/>
    <w:rsid w:val="009E2F75"/>
    <w:rsid w:val="009E4F0B"/>
    <w:rsid w:val="00A00C13"/>
    <w:rsid w:val="00A0699A"/>
    <w:rsid w:val="00A1118B"/>
    <w:rsid w:val="00A128E8"/>
    <w:rsid w:val="00A24560"/>
    <w:rsid w:val="00A2510D"/>
    <w:rsid w:val="00A34538"/>
    <w:rsid w:val="00A41873"/>
    <w:rsid w:val="00A47E77"/>
    <w:rsid w:val="00A6190A"/>
    <w:rsid w:val="00A66252"/>
    <w:rsid w:val="00A875A5"/>
    <w:rsid w:val="00AA352C"/>
    <w:rsid w:val="00AA442B"/>
    <w:rsid w:val="00AB3F0B"/>
    <w:rsid w:val="00AC40CD"/>
    <w:rsid w:val="00AE1CD8"/>
    <w:rsid w:val="00AE7AAD"/>
    <w:rsid w:val="00AF0C1F"/>
    <w:rsid w:val="00AF7DC0"/>
    <w:rsid w:val="00B008A4"/>
    <w:rsid w:val="00B01E74"/>
    <w:rsid w:val="00B111F7"/>
    <w:rsid w:val="00B14FC4"/>
    <w:rsid w:val="00B22E22"/>
    <w:rsid w:val="00B2577F"/>
    <w:rsid w:val="00B5013B"/>
    <w:rsid w:val="00B525CB"/>
    <w:rsid w:val="00B56394"/>
    <w:rsid w:val="00B63CB2"/>
    <w:rsid w:val="00B90639"/>
    <w:rsid w:val="00B93578"/>
    <w:rsid w:val="00B97920"/>
    <w:rsid w:val="00BA644B"/>
    <w:rsid w:val="00BB1F95"/>
    <w:rsid w:val="00BB2D58"/>
    <w:rsid w:val="00BD485A"/>
    <w:rsid w:val="00BD78FE"/>
    <w:rsid w:val="00BE1A8E"/>
    <w:rsid w:val="00BE45E7"/>
    <w:rsid w:val="00BE557F"/>
    <w:rsid w:val="00BF5AC9"/>
    <w:rsid w:val="00C037AC"/>
    <w:rsid w:val="00C11F22"/>
    <w:rsid w:val="00C120F5"/>
    <w:rsid w:val="00C12C88"/>
    <w:rsid w:val="00C179FF"/>
    <w:rsid w:val="00C24A93"/>
    <w:rsid w:val="00C26506"/>
    <w:rsid w:val="00C301E5"/>
    <w:rsid w:val="00C54F80"/>
    <w:rsid w:val="00CA287E"/>
    <w:rsid w:val="00CA4390"/>
    <w:rsid w:val="00CB0031"/>
    <w:rsid w:val="00CB72F9"/>
    <w:rsid w:val="00CC00CD"/>
    <w:rsid w:val="00CD001D"/>
    <w:rsid w:val="00CD38C8"/>
    <w:rsid w:val="00CE40FE"/>
    <w:rsid w:val="00D03FB6"/>
    <w:rsid w:val="00D05E43"/>
    <w:rsid w:val="00D06014"/>
    <w:rsid w:val="00D06FB2"/>
    <w:rsid w:val="00D107BD"/>
    <w:rsid w:val="00D16E39"/>
    <w:rsid w:val="00D43247"/>
    <w:rsid w:val="00D51F97"/>
    <w:rsid w:val="00D579B0"/>
    <w:rsid w:val="00D704E9"/>
    <w:rsid w:val="00D72E9D"/>
    <w:rsid w:val="00D7674E"/>
    <w:rsid w:val="00D76C11"/>
    <w:rsid w:val="00D80E8F"/>
    <w:rsid w:val="00D82CE5"/>
    <w:rsid w:val="00D96C47"/>
    <w:rsid w:val="00DA261B"/>
    <w:rsid w:val="00DA5AB1"/>
    <w:rsid w:val="00DA5ABB"/>
    <w:rsid w:val="00DB2967"/>
    <w:rsid w:val="00DB5526"/>
    <w:rsid w:val="00DB783C"/>
    <w:rsid w:val="00DC108A"/>
    <w:rsid w:val="00DC5D17"/>
    <w:rsid w:val="00DC5F09"/>
    <w:rsid w:val="00DC62E5"/>
    <w:rsid w:val="00DC72C1"/>
    <w:rsid w:val="00DD1A24"/>
    <w:rsid w:val="00DD1FE4"/>
    <w:rsid w:val="00DD4553"/>
    <w:rsid w:val="00DD735D"/>
    <w:rsid w:val="00DE3119"/>
    <w:rsid w:val="00DE340B"/>
    <w:rsid w:val="00DE7005"/>
    <w:rsid w:val="00DF236B"/>
    <w:rsid w:val="00DF6729"/>
    <w:rsid w:val="00E01591"/>
    <w:rsid w:val="00E13AB8"/>
    <w:rsid w:val="00E21051"/>
    <w:rsid w:val="00E30532"/>
    <w:rsid w:val="00E31C13"/>
    <w:rsid w:val="00E33255"/>
    <w:rsid w:val="00E33B62"/>
    <w:rsid w:val="00E538D2"/>
    <w:rsid w:val="00E605C9"/>
    <w:rsid w:val="00E64B2E"/>
    <w:rsid w:val="00E64E6F"/>
    <w:rsid w:val="00E66FFB"/>
    <w:rsid w:val="00E87DEA"/>
    <w:rsid w:val="00E9703E"/>
    <w:rsid w:val="00EA4D6B"/>
    <w:rsid w:val="00ED7DD3"/>
    <w:rsid w:val="00EF06D8"/>
    <w:rsid w:val="00F036BD"/>
    <w:rsid w:val="00F15B00"/>
    <w:rsid w:val="00F24989"/>
    <w:rsid w:val="00F34373"/>
    <w:rsid w:val="00F47851"/>
    <w:rsid w:val="00F56D55"/>
    <w:rsid w:val="00F66EC5"/>
    <w:rsid w:val="00F80A37"/>
    <w:rsid w:val="00F84899"/>
    <w:rsid w:val="00F859F0"/>
    <w:rsid w:val="00F96C02"/>
    <w:rsid w:val="00FA2370"/>
    <w:rsid w:val="00FB360D"/>
    <w:rsid w:val="00FC4073"/>
    <w:rsid w:val="00FC7897"/>
    <w:rsid w:val="00FD3ACD"/>
    <w:rsid w:val="00FE141E"/>
    <w:rsid w:val="0330CF7C"/>
    <w:rsid w:val="065A6E1E"/>
    <w:rsid w:val="0BA2BD77"/>
    <w:rsid w:val="112C8282"/>
    <w:rsid w:val="119C522B"/>
    <w:rsid w:val="18233859"/>
    <w:rsid w:val="18990C33"/>
    <w:rsid w:val="19C56D95"/>
    <w:rsid w:val="1C838DD9"/>
    <w:rsid w:val="23955E5D"/>
    <w:rsid w:val="276CB260"/>
    <w:rsid w:val="27F111B0"/>
    <w:rsid w:val="320EF44B"/>
    <w:rsid w:val="41F4678E"/>
    <w:rsid w:val="427AF8C7"/>
    <w:rsid w:val="4DC56AB2"/>
    <w:rsid w:val="58478F4B"/>
    <w:rsid w:val="6DD23C5E"/>
    <w:rsid w:val="71316CBB"/>
    <w:rsid w:val="72E5BDA1"/>
    <w:rsid w:val="7659FD68"/>
    <w:rsid w:val="78A02C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69FEA87A-343B-414E-A3D1-7D4D74EED1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34538"/>
    <w:pPr>
      <w:spacing w:after="0" w:line="240" w:lineRule="auto"/>
    </w:pPr>
    <w:rPr>
      <w:sz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paragraph" w:customStyle="1">
    <w:name w:val="paragraph"/>
    <w:basedOn w:val="Normal"/>
    <w:rsid w:val="00A41873"/>
    <w:pPr>
      <w:spacing w:before="100" w:beforeAutospacing="1" w:after="100" w:afterAutospacing="1"/>
    </w:pPr>
    <w:rPr>
      <w:rFonts w:ascii="Times New Roman" w:hAnsi="Times New Roman" w:eastAsia="Times New Roman" w:cs="Times New Roman"/>
      <w:szCs w:val="24"/>
      <w:lang w:val="es-CO" w:eastAsia="es-ES_tradnl"/>
    </w:rPr>
  </w:style>
  <w:style w:type="character" w:styleId="normaltextrun" w:customStyle="1">
    <w:name w:val="normaltextrun"/>
    <w:basedOn w:val="Fuentedeprrafopredeter"/>
    <w:rsid w:val="00A41873"/>
  </w:style>
  <w:style w:type="character" w:styleId="eop" w:customStyle="1">
    <w:name w:val="eop"/>
    <w:basedOn w:val="Fuentedeprrafopredeter"/>
    <w:rsid w:val="00A41873"/>
  </w:style>
  <w:style w:type="character" w:styleId="Textoennegrita">
    <w:name w:val="Strong"/>
    <w:basedOn w:val="Fuentedeprrafopredeter"/>
    <w:uiPriority w:val="22"/>
    <w:qFormat/>
    <w:rsid w:val="00642D99"/>
    <w:rPr>
      <w:b/>
      <w:bCs/>
    </w:rPr>
  </w:style>
  <w:style w:type="paragraph" w:styleId="Revisin">
    <w:name w:val="Revision"/>
    <w:hidden/>
    <w:uiPriority w:val="99"/>
    <w:semiHidden/>
    <w:rsid w:val="00860E06"/>
    <w:pPr>
      <w:spacing w:after="0" w:line="240" w:lineRule="auto"/>
    </w:pPr>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 w:id="2114545414">
      <w:bodyDiv w:val="1"/>
      <w:marLeft w:val="0"/>
      <w:marRight w:val="0"/>
      <w:marTop w:val="0"/>
      <w:marBottom w:val="0"/>
      <w:divBdr>
        <w:top w:val="none" w:sz="0" w:space="0" w:color="auto"/>
        <w:left w:val="none" w:sz="0" w:space="0" w:color="auto"/>
        <w:bottom w:val="none" w:sz="0" w:space="0" w:color="auto"/>
        <w:right w:val="none" w:sz="0" w:space="0" w:color="auto"/>
      </w:divBdr>
      <w:divsChild>
        <w:div w:id="340746768">
          <w:marLeft w:val="0"/>
          <w:marRight w:val="0"/>
          <w:marTop w:val="0"/>
          <w:marBottom w:val="0"/>
          <w:divBdr>
            <w:top w:val="none" w:sz="0" w:space="0" w:color="auto"/>
            <w:left w:val="none" w:sz="0" w:space="0" w:color="auto"/>
            <w:bottom w:val="none" w:sz="0" w:space="0" w:color="auto"/>
            <w:right w:val="none" w:sz="0" w:space="0" w:color="auto"/>
          </w:divBdr>
        </w:div>
        <w:div w:id="416025624">
          <w:marLeft w:val="0"/>
          <w:marRight w:val="0"/>
          <w:marTop w:val="0"/>
          <w:marBottom w:val="0"/>
          <w:divBdr>
            <w:top w:val="none" w:sz="0" w:space="0" w:color="auto"/>
            <w:left w:val="none" w:sz="0" w:space="0" w:color="auto"/>
            <w:bottom w:val="none" w:sz="0" w:space="0" w:color="auto"/>
            <w:right w:val="none" w:sz="0" w:space="0" w:color="auto"/>
          </w:divBdr>
        </w:div>
        <w:div w:id="144221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b0cd0d058fa4da0" /></Relationships>
</file>

<file path=word/_rels/footer1.xml.rels>&#65279;<?xml version="1.0" encoding="utf-8"?><Relationships xmlns="http://schemas.openxmlformats.org/package/2006/relationships"><Relationship Type="http://schemas.openxmlformats.org/officeDocument/2006/relationships/image" Target="/media/image5.png" Id="R4f36d7716b50407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6897-EBBB-4300-AFF9-0F1DAE79C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59997DF-FBAC-ED43-BD81-8CD7BFB09F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Omar German Mejía Olmos</lastModifiedBy>
  <revision>3</revision>
  <dcterms:created xsi:type="dcterms:W3CDTF">2020-08-24T12:48:00.0000000Z</dcterms:created>
  <dcterms:modified xsi:type="dcterms:W3CDTF">2020-08-26T19:01:13.6266617Z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