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77777777" w:rsidR="00DD5B04" w:rsidRPr="00BB35C5" w:rsidRDefault="00DD5B04" w:rsidP="00DD5B04">
      <w:pPr>
        <w:jc w:val="both"/>
        <w:rPr>
          <w:rFonts w:ascii="Arial" w:eastAsia="Calibri" w:hAnsi="Arial" w:cs="Arial"/>
          <w:b/>
          <w:color w:val="000000" w:themeColor="text1"/>
          <w:sz w:val="20"/>
          <w:szCs w:val="20"/>
          <w:lang w:val="es-ES_tradnl"/>
        </w:rPr>
      </w:pPr>
      <w:bookmarkStart w:id="0" w:name="_Hlk28946138"/>
      <w:bookmarkStart w:id="1" w:name="_Hlk29548183"/>
    </w:p>
    <w:bookmarkEnd w:id="0"/>
    <w:bookmarkEnd w:id="1"/>
    <w:p w14:paraId="1BED658F" w14:textId="77777777" w:rsidR="00F02D25" w:rsidRPr="00BB35C5" w:rsidRDefault="00F02D25" w:rsidP="00DD5B04">
      <w:pPr>
        <w:jc w:val="both"/>
        <w:rPr>
          <w:rFonts w:ascii="Arial" w:eastAsia="Calibri" w:hAnsi="Arial" w:cs="Arial"/>
          <w:b/>
          <w:bCs/>
          <w:color w:val="000000" w:themeColor="text1"/>
          <w:sz w:val="22"/>
          <w:lang w:val="es-ES_tradnl"/>
        </w:rPr>
      </w:pPr>
    </w:p>
    <w:p w14:paraId="7926A895" w14:textId="2FFA0E86" w:rsidR="00DD5B04" w:rsidRPr="00BB35C5" w:rsidRDefault="00F51765" w:rsidP="00DD5B04">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FACTOR DE CALIDAD</w:t>
      </w:r>
      <w:r w:rsidR="00DD5B04" w:rsidRPr="00BB35C5">
        <w:rPr>
          <w:rFonts w:ascii="Arial" w:eastAsia="Calibri" w:hAnsi="Arial" w:cs="Arial"/>
          <w:b/>
          <w:bCs/>
          <w:color w:val="000000" w:themeColor="text1"/>
          <w:sz w:val="22"/>
          <w:lang w:val="es-ES_tradnl"/>
        </w:rPr>
        <w:t xml:space="preserve"> ― </w:t>
      </w:r>
      <w:r w:rsidRPr="00BB35C5">
        <w:rPr>
          <w:rFonts w:ascii="Arial" w:eastAsia="Calibri" w:hAnsi="Arial" w:cs="Arial"/>
          <w:b/>
          <w:bCs/>
          <w:color w:val="000000" w:themeColor="text1"/>
          <w:sz w:val="22"/>
          <w:lang w:val="es-ES_tradnl"/>
        </w:rPr>
        <w:t>Cuadrillas de trabajo adicional</w:t>
      </w:r>
      <w:r w:rsidR="009314FA" w:rsidRPr="00BB35C5">
        <w:rPr>
          <w:rFonts w:ascii="Arial" w:eastAsia="Calibri" w:hAnsi="Arial" w:cs="Arial"/>
          <w:b/>
          <w:bCs/>
          <w:color w:val="000000" w:themeColor="text1"/>
          <w:sz w:val="22"/>
          <w:lang w:val="es-ES_tradnl"/>
        </w:rPr>
        <w:t xml:space="preserve"> ― </w:t>
      </w:r>
      <w:r w:rsidRPr="00BB35C5">
        <w:rPr>
          <w:rFonts w:ascii="Arial" w:eastAsia="Calibri" w:hAnsi="Arial" w:cs="Arial"/>
          <w:b/>
          <w:bCs/>
          <w:color w:val="000000" w:themeColor="text1"/>
          <w:sz w:val="22"/>
          <w:lang w:val="es-ES_tradnl"/>
        </w:rPr>
        <w:t>Garantía</w:t>
      </w:r>
      <w:r w:rsidR="00E906EB" w:rsidRPr="00BB35C5">
        <w:rPr>
          <w:rFonts w:ascii="Arial" w:eastAsia="Calibri" w:hAnsi="Arial" w:cs="Arial"/>
          <w:b/>
          <w:bCs/>
          <w:color w:val="000000" w:themeColor="text1"/>
          <w:sz w:val="22"/>
          <w:lang w:val="es-ES_tradnl"/>
        </w:rPr>
        <w:t xml:space="preserve"> </w:t>
      </w:r>
      <w:r w:rsidRPr="00BB35C5">
        <w:rPr>
          <w:rFonts w:ascii="Arial" w:eastAsia="Calibri" w:hAnsi="Arial" w:cs="Arial"/>
          <w:b/>
          <w:bCs/>
          <w:color w:val="000000" w:themeColor="text1"/>
          <w:sz w:val="22"/>
          <w:lang w:val="es-ES_tradnl"/>
        </w:rPr>
        <w:t>adicional ―</w:t>
      </w:r>
      <w:r w:rsidR="00E906EB" w:rsidRPr="00BB35C5">
        <w:rPr>
          <w:rFonts w:ascii="Arial" w:eastAsia="Calibri" w:hAnsi="Arial" w:cs="Arial"/>
          <w:b/>
          <w:bCs/>
          <w:color w:val="000000" w:themeColor="text1"/>
          <w:sz w:val="22"/>
          <w:lang w:val="es-ES_tradnl"/>
        </w:rPr>
        <w:t xml:space="preserve"> Mantenimiento adicional ― Pliego tipo</w:t>
      </w:r>
      <w:r w:rsidR="009D1A14" w:rsidRPr="00BB35C5">
        <w:rPr>
          <w:rFonts w:ascii="Arial" w:eastAsia="Calibri" w:hAnsi="Arial" w:cs="Arial"/>
          <w:b/>
          <w:bCs/>
          <w:color w:val="000000" w:themeColor="text1"/>
          <w:sz w:val="22"/>
          <w:lang w:val="es-ES_tradnl"/>
        </w:rPr>
        <w:t xml:space="preserve"> ― Versión 2</w:t>
      </w:r>
    </w:p>
    <w:p w14:paraId="5B1E4A7F" w14:textId="77777777" w:rsidR="00DD5B04" w:rsidRPr="00BB35C5" w:rsidRDefault="00DD5B04" w:rsidP="00DD5B04">
      <w:pPr>
        <w:rPr>
          <w:rFonts w:ascii="Arial" w:eastAsia="Calibri" w:hAnsi="Arial" w:cs="Arial"/>
          <w:b/>
          <w:bCs/>
          <w:color w:val="000000" w:themeColor="text1"/>
          <w:sz w:val="20"/>
          <w:szCs w:val="20"/>
          <w:lang w:val="es-ES_tradnl"/>
        </w:rPr>
      </w:pPr>
    </w:p>
    <w:p w14:paraId="275D27A6" w14:textId="24D3A76C" w:rsidR="00E906EB" w:rsidRPr="00BB35C5" w:rsidRDefault="00E906EB" w:rsidP="00B50CAE">
      <w:pPr>
        <w:tabs>
          <w:tab w:val="left" w:pos="709"/>
        </w:tabs>
        <w:jc w:val="both"/>
        <w:rPr>
          <w:rFonts w:ascii="Arial" w:eastAsia="Arial" w:hAnsi="Arial" w:cs="Arial"/>
          <w:sz w:val="20"/>
          <w:szCs w:val="20"/>
          <w:lang w:val="es-ES_tradnl"/>
        </w:rPr>
      </w:pPr>
      <w:r w:rsidRPr="00BB35C5">
        <w:rPr>
          <w:rFonts w:ascii="Arial" w:eastAsia="Arial" w:hAnsi="Arial" w:cs="Arial"/>
          <w:sz w:val="20"/>
          <w:szCs w:val="20"/>
          <w:lang w:val="es-ES_tradnl"/>
        </w:rPr>
        <w:t>En relación con el «factor de calidad», la versión 2 de los Documentos Tipo para procesos de licitación de obra pública de infraestructura de transporte –Resolución No. 045 de 2020–, conserva los tres factores existentes en la versión 1–Resolución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66CAA1DD" w14:textId="7D336274" w:rsidR="009D1A14" w:rsidRPr="00BB35C5" w:rsidRDefault="009D1A14" w:rsidP="00E906EB">
      <w:pPr>
        <w:tabs>
          <w:tab w:val="left" w:pos="709"/>
        </w:tabs>
        <w:spacing w:line="276" w:lineRule="auto"/>
        <w:jc w:val="both"/>
        <w:rPr>
          <w:rFonts w:ascii="Arial" w:eastAsia="Arial" w:hAnsi="Arial" w:cs="Arial"/>
          <w:sz w:val="20"/>
          <w:szCs w:val="20"/>
          <w:lang w:val="es-ES_tradnl"/>
        </w:rPr>
      </w:pPr>
    </w:p>
    <w:p w14:paraId="53A09F6F" w14:textId="7D03285A" w:rsidR="00B50CAE" w:rsidRPr="00BB35C5" w:rsidRDefault="00B50CAE" w:rsidP="00B50CAE">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 xml:space="preserve">FACTOR DE CALIDAD </w:t>
      </w:r>
      <w:r w:rsidR="00BF6FC6" w:rsidRPr="00BB35C5">
        <w:rPr>
          <w:rFonts w:ascii="Arial" w:eastAsia="Calibri" w:hAnsi="Arial" w:cs="Arial"/>
          <w:b/>
          <w:bCs/>
          <w:color w:val="000000" w:themeColor="text1"/>
          <w:sz w:val="22"/>
          <w:lang w:val="es-ES_tradnl"/>
        </w:rPr>
        <w:t>―</w:t>
      </w:r>
      <w:r w:rsidRPr="00BB35C5">
        <w:rPr>
          <w:rFonts w:ascii="Arial" w:eastAsia="Calibri" w:hAnsi="Arial" w:cs="Arial"/>
          <w:b/>
          <w:bCs/>
          <w:color w:val="000000" w:themeColor="text1"/>
          <w:sz w:val="22"/>
          <w:lang w:val="es-ES_tradnl"/>
        </w:rPr>
        <w:t xml:space="preserve"> Resolución 116 </w:t>
      </w:r>
      <w:r w:rsidR="00BF6FC6" w:rsidRPr="00BB35C5">
        <w:rPr>
          <w:rFonts w:ascii="Arial" w:eastAsia="Calibri" w:hAnsi="Arial" w:cs="Arial"/>
          <w:b/>
          <w:bCs/>
          <w:color w:val="000000" w:themeColor="text1"/>
          <w:sz w:val="22"/>
          <w:lang w:val="es-ES_tradnl"/>
        </w:rPr>
        <w:t>de 2020</w:t>
      </w:r>
    </w:p>
    <w:p w14:paraId="375504A9" w14:textId="77777777" w:rsidR="00B50CAE" w:rsidRPr="00BB35C5" w:rsidRDefault="00B50CAE" w:rsidP="00E906EB">
      <w:pPr>
        <w:tabs>
          <w:tab w:val="left" w:pos="709"/>
        </w:tabs>
        <w:spacing w:line="276" w:lineRule="auto"/>
        <w:jc w:val="both"/>
        <w:rPr>
          <w:rFonts w:ascii="Arial" w:eastAsia="Arial" w:hAnsi="Arial" w:cs="Arial"/>
          <w:sz w:val="20"/>
          <w:szCs w:val="20"/>
          <w:lang w:val="es-ES_tradnl"/>
        </w:rPr>
      </w:pPr>
    </w:p>
    <w:p w14:paraId="451AA891" w14:textId="46DA3056" w:rsidR="009D1A14" w:rsidRPr="00BB35C5" w:rsidRDefault="009D1A14" w:rsidP="00B50CAE">
      <w:pPr>
        <w:tabs>
          <w:tab w:val="left" w:pos="709"/>
        </w:tabs>
        <w:jc w:val="both"/>
        <w:rPr>
          <w:rFonts w:ascii="Arial" w:eastAsia="Arial" w:hAnsi="Arial" w:cs="Arial"/>
          <w:sz w:val="20"/>
          <w:szCs w:val="20"/>
          <w:lang w:val="es-ES_tradnl"/>
        </w:rPr>
      </w:pPr>
      <w:r w:rsidRPr="00BB35C5">
        <w:rPr>
          <w:rFonts w:ascii="Arial" w:eastAsia="Arial" w:hAnsi="Arial" w:cs="Arial"/>
          <w:sz w:val="20"/>
          <w:szCs w:val="20"/>
          <w:lang w:val="es-ES_tradnl"/>
        </w:rPr>
        <w:t xml:space="preserve">El Documento Tipo no limitaba al oferente frente al plazo de la garantía suplementaria o adicional, al número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de la labor de análisis de las condiciones bajo las cuales presentaría su propuesta, además que cumplir estos ofrecimientos constituía –como sigue sucediendo– una obligación contractual, con todas las consecuencias que ello apareja, de manera que los proponentes ofertaban lo que podían cumplir. </w:t>
      </w:r>
    </w:p>
    <w:p w14:paraId="3E44735C" w14:textId="1B8B92BE" w:rsidR="009D1A14" w:rsidRPr="00BB35C5" w:rsidRDefault="009D1A14" w:rsidP="00E906EB">
      <w:pPr>
        <w:tabs>
          <w:tab w:val="left" w:pos="709"/>
        </w:tabs>
        <w:spacing w:line="276" w:lineRule="auto"/>
        <w:jc w:val="both"/>
        <w:rPr>
          <w:rFonts w:ascii="Arial" w:eastAsia="Arial" w:hAnsi="Arial" w:cs="Arial"/>
          <w:sz w:val="20"/>
          <w:szCs w:val="20"/>
          <w:lang w:val="es-ES_tradnl"/>
        </w:rPr>
      </w:pPr>
    </w:p>
    <w:p w14:paraId="333B2D4A" w14:textId="2598E724" w:rsidR="00A157A0" w:rsidRPr="00BB35C5" w:rsidRDefault="00A157A0" w:rsidP="00A157A0">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FACTOR DE CALIDAD ― Resolución 116 de 2020 ― Cambios</w:t>
      </w:r>
    </w:p>
    <w:p w14:paraId="548952D2" w14:textId="05B23BB2" w:rsidR="00A157A0" w:rsidRPr="00BB35C5" w:rsidRDefault="00A157A0" w:rsidP="00E906EB">
      <w:pPr>
        <w:tabs>
          <w:tab w:val="left" w:pos="709"/>
        </w:tabs>
        <w:spacing w:line="276" w:lineRule="auto"/>
        <w:jc w:val="both"/>
        <w:rPr>
          <w:rFonts w:ascii="Arial" w:eastAsia="Arial" w:hAnsi="Arial" w:cs="Arial"/>
          <w:sz w:val="20"/>
          <w:szCs w:val="20"/>
          <w:lang w:val="es-ES_tradnl"/>
        </w:rPr>
      </w:pPr>
    </w:p>
    <w:p w14:paraId="21A8D42A" w14:textId="7B8CAF7F" w:rsidR="00A157A0" w:rsidRPr="00BB35C5" w:rsidRDefault="00A157A0" w:rsidP="00A157A0">
      <w:pPr>
        <w:tabs>
          <w:tab w:val="left" w:pos="709"/>
        </w:tabs>
        <w:jc w:val="both"/>
        <w:rPr>
          <w:rFonts w:ascii="Arial" w:eastAsia="Arial" w:hAnsi="Arial" w:cs="Arial"/>
          <w:sz w:val="20"/>
          <w:szCs w:val="20"/>
          <w:lang w:val="es-ES_tradnl"/>
        </w:rPr>
      </w:pPr>
      <w:r w:rsidRPr="00BB35C5">
        <w:rPr>
          <w:rFonts w:ascii="Arial" w:eastAsia="Arial" w:hAnsi="Arial" w:cs="Arial"/>
          <w:sz w:val="20"/>
          <w:szCs w:val="20"/>
          <w:lang w:val="es-ES_tradnl"/>
        </w:rPr>
        <w:t xml:space="preserve">En términos generales, en la referida Resolución se dispuso: i) que el ofrecimiento del proponente sobre la «garantía suplementaria o adicional» y el «mantenimiento adicional», no podrá superar el «[…] valor porcentual máximo entre el siguiente rango: entre el 30% y el 50% del plazo establecido por la entidad para la garantía de estabilidad y calidad de la obra […]» , valor porcentual que fija libremente la autoridad contratante dentro del referido rango; y ii) que, en relación con las «cuadrillas de trabajo» adicionales, las entidades deben elegir si establecen un estimado de frentes de trabajo o si no lo establecen, pues, en el primer evento, «[e]l proponente </w:t>
      </w:r>
      <w:proofErr w:type="spellStart"/>
      <w:r w:rsidRPr="00BB35C5">
        <w:rPr>
          <w:rFonts w:ascii="Arial" w:eastAsia="Arial" w:hAnsi="Arial" w:cs="Arial"/>
          <w:sz w:val="20"/>
          <w:szCs w:val="20"/>
          <w:lang w:val="es-ES_tradnl"/>
        </w:rPr>
        <w:t>podra</w:t>
      </w:r>
      <w:proofErr w:type="spellEnd"/>
      <w:r w:rsidRPr="00BB35C5">
        <w:rPr>
          <w:rFonts w:ascii="Arial" w:eastAsia="Arial" w:hAnsi="Arial" w:cs="Arial"/>
          <w:sz w:val="20"/>
          <w:szCs w:val="20"/>
          <w:lang w:val="es-ES_tradnl"/>
        </w:rPr>
        <w:t xml:space="preserve">́ ofrecer hasta máximo 2 cuadrillas por cada frente de trabajo», mientras que en el segundo, «[…] </w:t>
      </w:r>
      <w:proofErr w:type="spellStart"/>
      <w:r w:rsidRPr="00BB35C5">
        <w:rPr>
          <w:rFonts w:ascii="Arial" w:eastAsia="Arial" w:hAnsi="Arial" w:cs="Arial"/>
          <w:sz w:val="20"/>
          <w:szCs w:val="20"/>
          <w:lang w:val="es-ES_tradnl"/>
        </w:rPr>
        <w:t>ofrecera</w:t>
      </w:r>
      <w:proofErr w:type="spellEnd"/>
      <w:r w:rsidRPr="00BB35C5">
        <w:rPr>
          <w:rFonts w:ascii="Arial" w:eastAsia="Arial" w:hAnsi="Arial" w:cs="Arial"/>
          <w:sz w:val="20"/>
          <w:szCs w:val="20"/>
          <w:lang w:val="es-ES_tradnl"/>
        </w:rPr>
        <w:t>́ 1 cuadrilla adicional por cada 50 obreros que sean requeridos para el proyecto de infraestructura de transporte».</w:t>
      </w:r>
    </w:p>
    <w:p w14:paraId="7250ED99" w14:textId="0245D5C0" w:rsidR="00F02D25" w:rsidRPr="00BB35C5" w:rsidRDefault="00F02D25" w:rsidP="00DD5B04">
      <w:pPr>
        <w:spacing w:line="276" w:lineRule="auto"/>
        <w:jc w:val="both"/>
        <w:rPr>
          <w:rFonts w:ascii="Arial" w:hAnsi="Arial" w:cs="Arial"/>
          <w:noProof/>
          <w:color w:val="000000" w:themeColor="text1"/>
          <w:sz w:val="22"/>
          <w:lang w:val="es-ES_tradnl"/>
        </w:rPr>
      </w:pPr>
    </w:p>
    <w:p w14:paraId="62573E92" w14:textId="0FDA282F" w:rsidR="00A157A0" w:rsidRPr="00BB35C5" w:rsidRDefault="00A157A0" w:rsidP="00A157A0">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VIGENCIA DE NORMAS ― Temporalidad ― Irretroactividad</w:t>
      </w:r>
    </w:p>
    <w:p w14:paraId="4C25D488" w14:textId="77777777" w:rsidR="00A157A0" w:rsidRPr="00BB35C5" w:rsidRDefault="00A157A0" w:rsidP="00DD5B04">
      <w:pPr>
        <w:spacing w:line="276" w:lineRule="auto"/>
        <w:jc w:val="both"/>
        <w:rPr>
          <w:rFonts w:ascii="Arial" w:hAnsi="Arial" w:cs="Arial"/>
          <w:noProof/>
          <w:color w:val="000000" w:themeColor="text1"/>
          <w:sz w:val="22"/>
          <w:lang w:val="es-ES_tradnl"/>
        </w:rPr>
      </w:pPr>
    </w:p>
    <w:p w14:paraId="57DADC28" w14:textId="3F4448E0" w:rsidR="00A157A0" w:rsidRPr="00BB35C5" w:rsidRDefault="00A157A0" w:rsidP="00A157A0">
      <w:pPr>
        <w:tabs>
          <w:tab w:val="left" w:pos="709"/>
        </w:tabs>
        <w:jc w:val="both"/>
        <w:rPr>
          <w:rFonts w:ascii="Arial" w:hAnsi="Arial" w:cs="Arial"/>
          <w:noProof/>
          <w:color w:val="000000" w:themeColor="text1"/>
          <w:sz w:val="20"/>
          <w:szCs w:val="20"/>
          <w:lang w:val="es-ES_tradnl"/>
        </w:rPr>
      </w:pPr>
      <w:r w:rsidRPr="00BB35C5">
        <w:rPr>
          <w:rFonts w:ascii="Arial" w:hAnsi="Arial" w:cs="Arial"/>
          <w:noProof/>
          <w:color w:val="000000" w:themeColor="text1"/>
          <w:sz w:val="20"/>
          <w:szCs w:val="20"/>
          <w:lang w:val="es-ES_tradnl"/>
        </w:rPr>
        <w:t xml:space="preserve">En el ordenamiento jurídico colombiano, por principio, las leyes, y en general, los actos normativos, </w:t>
      </w:r>
      <w:r w:rsidRPr="00BB35C5">
        <w:rPr>
          <w:rFonts w:ascii="Arial" w:eastAsia="Arial" w:hAnsi="Arial" w:cs="Arial"/>
          <w:sz w:val="20"/>
          <w:szCs w:val="20"/>
          <w:lang w:val="es-ES_tradnl"/>
        </w:rPr>
        <w:t>comienzan</w:t>
      </w:r>
      <w:r w:rsidRPr="00BB35C5">
        <w:rPr>
          <w:rFonts w:ascii="Arial" w:hAnsi="Arial" w:cs="Arial"/>
          <w:noProof/>
          <w:color w:val="000000" w:themeColor="text1"/>
          <w:sz w:val="20"/>
          <w:szCs w:val="20"/>
          <w:lang w:val="es-ES_tradnl"/>
        </w:rPr>
        <w:t xml:space="preserve"> a regir a partir del momento en que se cumple la formalidad dispuesta para conferirles publicidad, pues con ello se busca garantizar que se pueda predicar la ficción normativa consistente en la presunción de conocimiento general del derecho; presunción que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p>
    <w:p w14:paraId="39AC7CE3" w14:textId="4EE03D0E" w:rsidR="00A157A0" w:rsidRPr="00BB35C5" w:rsidRDefault="00A157A0" w:rsidP="00A157A0">
      <w:pPr>
        <w:tabs>
          <w:tab w:val="left" w:pos="709"/>
        </w:tabs>
        <w:jc w:val="both"/>
        <w:rPr>
          <w:rFonts w:ascii="Arial" w:hAnsi="Arial" w:cs="Arial"/>
          <w:noProof/>
          <w:color w:val="000000" w:themeColor="text1"/>
          <w:sz w:val="22"/>
          <w:lang w:val="es-ES_tradnl"/>
        </w:rPr>
      </w:pPr>
    </w:p>
    <w:p w14:paraId="268EDA2B" w14:textId="4733958A" w:rsidR="00A157A0" w:rsidRPr="00BB35C5" w:rsidRDefault="00A157A0" w:rsidP="00A157A0">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lastRenderedPageBreak/>
        <w:t xml:space="preserve">VIGENCIA DE NORMAS ― Temporalidad ― Normas procedimentales ― Resolución </w:t>
      </w:r>
      <w:r w:rsidR="00BF6FC6" w:rsidRPr="00BB35C5">
        <w:rPr>
          <w:rFonts w:ascii="Arial" w:eastAsia="Calibri" w:hAnsi="Arial" w:cs="Arial"/>
          <w:b/>
          <w:bCs/>
          <w:color w:val="000000" w:themeColor="text1"/>
          <w:sz w:val="22"/>
          <w:lang w:val="es-ES_tradnl"/>
        </w:rPr>
        <w:t>116 de 2020</w:t>
      </w:r>
    </w:p>
    <w:p w14:paraId="0B932213" w14:textId="77777777" w:rsidR="00A157A0" w:rsidRPr="00BB35C5" w:rsidRDefault="00A157A0" w:rsidP="00A157A0">
      <w:pPr>
        <w:tabs>
          <w:tab w:val="left" w:pos="709"/>
        </w:tabs>
        <w:jc w:val="both"/>
        <w:rPr>
          <w:rFonts w:ascii="Arial" w:hAnsi="Arial" w:cs="Arial"/>
          <w:noProof/>
          <w:color w:val="000000" w:themeColor="text1"/>
          <w:sz w:val="22"/>
          <w:lang w:val="es-ES_tradnl"/>
        </w:rPr>
      </w:pPr>
    </w:p>
    <w:p w14:paraId="3BE53240" w14:textId="70E5B7BC" w:rsidR="00A157A0" w:rsidRPr="00BB35C5" w:rsidRDefault="00A157A0" w:rsidP="00A157A0">
      <w:pPr>
        <w:tabs>
          <w:tab w:val="left" w:pos="709"/>
        </w:tabs>
        <w:jc w:val="both"/>
        <w:rPr>
          <w:rFonts w:ascii="Arial" w:hAnsi="Arial" w:cs="Arial"/>
          <w:noProof/>
          <w:color w:val="000000" w:themeColor="text1"/>
          <w:sz w:val="20"/>
          <w:szCs w:val="20"/>
          <w:lang w:val="es-ES_tradnl"/>
        </w:rPr>
      </w:pPr>
      <w:r w:rsidRPr="00BB35C5">
        <w:rPr>
          <w:rFonts w:ascii="Arial" w:hAnsi="Arial" w:cs="Arial"/>
          <w:noProof/>
          <w:color w:val="000000" w:themeColor="text1"/>
          <w:sz w:val="20"/>
          <w:szCs w:val="20"/>
          <w:lang w:val="es-ES_tradnl"/>
        </w:rPr>
        <w:t>En relación con las normas procesales, el artículo 40 de la Ley 153 de 1887 es claro en el sentido de que las diligencias o etapas que se hubieren iniciado continúan rigiéndose por las normas vigentes en el momento de comenzar el trámite, lo cual también se aplica a los procedimientos administrativos, y dentro de estos, a los de selección. Esto permite concluir que la Resolución No. 116 del 21 de julio de 2020 es obligatoria para los procedimientos de licitación pública y de selección abreviada de menor cuantía de infraestructura de transporte iniciados con posterioridad a su entrada en vigencia; no a los anteriores. El artículo 4º del referido acto administrativo dispone que «Esta resolución rige a partir de su publicación», pero este precepto debe interpretarse con el matiz previsto para las normas anteriores, en el artículo 40 de la Ley 153 de 1887.</w:t>
      </w:r>
    </w:p>
    <w:p w14:paraId="37C6A434" w14:textId="77777777" w:rsidR="00A157A0" w:rsidRPr="00BB35C5" w:rsidRDefault="00A157A0" w:rsidP="00A157A0">
      <w:pPr>
        <w:tabs>
          <w:tab w:val="left" w:pos="709"/>
        </w:tabs>
        <w:jc w:val="both"/>
        <w:rPr>
          <w:rFonts w:ascii="Arial" w:hAnsi="Arial" w:cs="Arial"/>
          <w:noProof/>
          <w:color w:val="000000" w:themeColor="text1"/>
          <w:sz w:val="22"/>
          <w:lang w:val="es-ES_tradnl"/>
        </w:rPr>
      </w:pPr>
    </w:p>
    <w:p w14:paraId="4E5C1D62" w14:textId="45EEB98B" w:rsidR="00DD5B04" w:rsidRPr="00BB35C5" w:rsidRDefault="00DD5B04" w:rsidP="00DD5B04">
      <w:pPr>
        <w:spacing w:line="276" w:lineRule="auto"/>
        <w:jc w:val="both"/>
        <w:rPr>
          <w:rFonts w:ascii="Arial" w:eastAsia="Calibri" w:hAnsi="Arial" w:cs="Arial"/>
          <w:noProof/>
          <w:color w:val="000000" w:themeColor="text1"/>
          <w:sz w:val="20"/>
          <w:lang w:val="es-ES_tradnl"/>
        </w:rPr>
      </w:pPr>
      <w:r w:rsidRPr="00BB35C5">
        <w:rPr>
          <w:rFonts w:ascii="Arial" w:hAnsi="Arial" w:cs="Arial"/>
          <w:noProof/>
          <w:color w:val="000000" w:themeColor="text1"/>
          <w:sz w:val="22"/>
          <w:lang w:val="es-ES_tradnl"/>
        </w:rPr>
        <w:t xml:space="preserve">Bogotá D.C., </w:t>
      </w:r>
      <w:r w:rsidRPr="00BB35C5">
        <w:rPr>
          <w:rFonts w:ascii="Arial" w:hAnsi="Arial" w:cs="Arial"/>
          <w:b/>
          <w:noProof/>
          <w:color w:val="000000" w:themeColor="text1"/>
          <w:sz w:val="22"/>
          <w:lang w:val="es-ES_tradnl"/>
        </w:rPr>
        <w:t>##FechaActual</w:t>
      </w:r>
    </w:p>
    <w:p w14:paraId="3EE008C6" w14:textId="77777777" w:rsidR="00DD5B04" w:rsidRPr="00BB35C5" w:rsidRDefault="00DD5B04" w:rsidP="00DD5B04">
      <w:pPr>
        <w:spacing w:line="276" w:lineRule="auto"/>
        <w:jc w:val="right"/>
        <w:rPr>
          <w:rFonts w:ascii="Arial" w:hAnsi="Arial" w:cs="Arial"/>
          <w:b/>
          <w:noProof/>
          <w:color w:val="000000" w:themeColor="text1"/>
          <w:sz w:val="22"/>
          <w:lang w:val="es-ES_tradnl"/>
        </w:rPr>
      </w:pPr>
      <w:r w:rsidRPr="00BB35C5">
        <w:rPr>
          <w:rFonts w:ascii="Arial" w:hAnsi="Arial" w:cs="Arial"/>
          <w:b/>
          <w:noProof/>
          <w:color w:val="000000" w:themeColor="text1"/>
          <w:sz w:val="22"/>
          <w:lang w:val="es-ES_tradnl"/>
        </w:rPr>
        <w:t>N° Radicado: ##Respuesta</w:t>
      </w:r>
    </w:p>
    <w:p w14:paraId="33BD7B68" w14:textId="77777777" w:rsidR="00DD5B04" w:rsidRPr="00BB35C5" w:rsidRDefault="00DD5B04" w:rsidP="00DD5B04">
      <w:pPr>
        <w:jc w:val="right"/>
        <w:rPr>
          <w:rFonts w:ascii="Arial" w:hAnsi="Arial" w:cs="Arial"/>
          <w:b/>
          <w:color w:val="000000" w:themeColor="text1"/>
          <w:sz w:val="22"/>
          <w:lang w:val="es-ES_tradnl"/>
        </w:rPr>
      </w:pPr>
    </w:p>
    <w:p w14:paraId="073418B4" w14:textId="19909555" w:rsidR="00DD5B04" w:rsidRPr="00BB35C5" w:rsidRDefault="00DD5B04" w:rsidP="00DD5B04">
      <w:pPr>
        <w:rPr>
          <w:rFonts w:ascii="Arial" w:eastAsia="Calibri" w:hAnsi="Arial" w:cs="Arial"/>
          <w:color w:val="000000" w:themeColor="text1"/>
          <w:sz w:val="22"/>
          <w:lang w:val="es-ES_tradnl"/>
        </w:rPr>
      </w:pPr>
    </w:p>
    <w:p w14:paraId="5ABDB039" w14:textId="77777777" w:rsidR="00F02D25" w:rsidRPr="00BB35C5" w:rsidRDefault="00F02D25" w:rsidP="00DD5B04">
      <w:pPr>
        <w:rPr>
          <w:rFonts w:ascii="Arial" w:eastAsia="Calibri" w:hAnsi="Arial" w:cs="Arial"/>
          <w:color w:val="000000" w:themeColor="text1"/>
          <w:sz w:val="22"/>
          <w:lang w:val="es-ES_tradnl"/>
        </w:rPr>
      </w:pPr>
    </w:p>
    <w:p w14:paraId="74A475A6" w14:textId="0A20C22B"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Señor</w:t>
      </w:r>
    </w:p>
    <w:p w14:paraId="6011130B" w14:textId="65BB8EE0" w:rsidR="00AE1990" w:rsidRPr="00BB35C5" w:rsidRDefault="0058290E" w:rsidP="00DD5B04">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Emiliano Vargas Mesa</w:t>
      </w:r>
    </w:p>
    <w:p w14:paraId="5E9E4CD6" w14:textId="4F1126FA"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Ciudad</w:t>
      </w:r>
    </w:p>
    <w:p w14:paraId="79F69118" w14:textId="77777777" w:rsidR="00DD5B04" w:rsidRPr="00BB35C5" w:rsidRDefault="00DD5B04" w:rsidP="00DD5B04">
      <w:pPr>
        <w:rPr>
          <w:rFonts w:ascii="Arial" w:eastAsia="Calibri" w:hAnsi="Arial" w:cs="Arial"/>
          <w:color w:val="000000" w:themeColor="text1"/>
          <w:sz w:val="22"/>
          <w:lang w:val="es-ES_tradnl"/>
        </w:rPr>
      </w:pPr>
    </w:p>
    <w:p w14:paraId="03294061" w14:textId="77777777" w:rsidR="00DD5B04" w:rsidRPr="00BB35C5" w:rsidRDefault="00DD5B04" w:rsidP="00DD5B04">
      <w:pPr>
        <w:rPr>
          <w:rFonts w:ascii="Arial" w:eastAsia="Calibri" w:hAnsi="Arial" w:cs="Arial"/>
          <w:color w:val="000000" w:themeColor="text1"/>
          <w:sz w:val="22"/>
          <w:lang w:val="es-ES_tradnl"/>
        </w:rPr>
      </w:pPr>
    </w:p>
    <w:p w14:paraId="60978A0D" w14:textId="37BC2E98" w:rsidR="00DD5B04" w:rsidRPr="00BB35C5" w:rsidRDefault="00DD5B04" w:rsidP="00DD5B04">
      <w:pPr>
        <w:jc w:val="center"/>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 xml:space="preserve">Concepto C‒ </w:t>
      </w:r>
      <w:r w:rsidR="00AE1990" w:rsidRPr="00BB35C5">
        <w:rPr>
          <w:rFonts w:ascii="Arial" w:eastAsia="Calibri" w:hAnsi="Arial" w:cs="Arial"/>
          <w:b/>
          <w:bCs/>
          <w:color w:val="000000" w:themeColor="text1"/>
          <w:sz w:val="22"/>
          <w:lang w:val="es-ES_tradnl"/>
        </w:rPr>
        <w:t>5</w:t>
      </w:r>
      <w:r w:rsidR="00B52697">
        <w:rPr>
          <w:rFonts w:ascii="Arial" w:eastAsia="Calibri" w:hAnsi="Arial" w:cs="Arial"/>
          <w:b/>
          <w:bCs/>
          <w:color w:val="000000" w:themeColor="text1"/>
          <w:sz w:val="22"/>
          <w:lang w:val="es-ES_tradnl"/>
        </w:rPr>
        <w:t xml:space="preserve">58 </w:t>
      </w:r>
      <w:r w:rsidRPr="00BB35C5">
        <w:rPr>
          <w:rFonts w:ascii="Arial" w:eastAsia="Calibri" w:hAnsi="Arial" w:cs="Arial"/>
          <w:b/>
          <w:bCs/>
          <w:color w:val="000000" w:themeColor="text1"/>
          <w:sz w:val="22"/>
          <w:lang w:val="es-ES_tradnl"/>
        </w:rPr>
        <w:t>de 2020</w:t>
      </w:r>
    </w:p>
    <w:p w14:paraId="3097F323" w14:textId="3A1E6C73" w:rsidR="00DD5B04" w:rsidRPr="00BB35C5" w:rsidRDefault="00DD5B04" w:rsidP="00DD5B04">
      <w:pPr>
        <w:rPr>
          <w:rFonts w:ascii="Arial" w:eastAsia="Calibri" w:hAnsi="Arial" w:cs="Arial"/>
          <w:color w:val="000000" w:themeColor="text1"/>
          <w:sz w:val="22"/>
          <w:lang w:val="es-ES_tradnl"/>
        </w:rPr>
      </w:pPr>
    </w:p>
    <w:p w14:paraId="3C334747" w14:textId="77777777" w:rsidR="00F02D25" w:rsidRPr="00BB35C5" w:rsidRDefault="00F02D25" w:rsidP="00DD5B04">
      <w:pPr>
        <w:rPr>
          <w:rFonts w:ascii="Arial" w:eastAsia="Calibri" w:hAnsi="Arial" w:cs="Arial"/>
          <w:color w:val="000000" w:themeColor="text1"/>
          <w:sz w:val="22"/>
          <w:lang w:val="es-ES_tradnl"/>
        </w:rPr>
      </w:pPr>
    </w:p>
    <w:p w14:paraId="50574B19" w14:textId="77777777" w:rsidR="00DD5B04" w:rsidRPr="00BB35C5" w:rsidRDefault="00DD5B04" w:rsidP="00DD5B04">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BB35C5" w14:paraId="10318206" w14:textId="77777777" w:rsidTr="00083F1B">
        <w:tc>
          <w:tcPr>
            <w:tcW w:w="2689" w:type="dxa"/>
          </w:tcPr>
          <w:p w14:paraId="3FE8DF90" w14:textId="77777777" w:rsidR="00DD5B04" w:rsidRPr="00BB35C5" w:rsidRDefault="00DD5B04" w:rsidP="00083F1B">
            <w:pPr>
              <w:rPr>
                <w:rFonts w:ascii="Arial" w:eastAsia="Calibri" w:hAnsi="Arial" w:cs="Arial"/>
                <w:color w:val="000000" w:themeColor="text1"/>
                <w:sz w:val="22"/>
                <w:lang w:val="es-ES_tradnl"/>
              </w:rPr>
            </w:pPr>
            <w:r w:rsidRPr="00BB35C5">
              <w:rPr>
                <w:rFonts w:ascii="Arial" w:eastAsia="Calibri" w:hAnsi="Arial" w:cs="Arial"/>
                <w:b/>
                <w:color w:val="000000" w:themeColor="text1"/>
                <w:sz w:val="22"/>
                <w:lang w:val="es-ES_tradnl"/>
              </w:rPr>
              <w:t>Temas:</w:t>
            </w:r>
            <w:r w:rsidRPr="00BB35C5">
              <w:rPr>
                <w:rFonts w:ascii="Arial" w:eastAsia="Calibri" w:hAnsi="Arial" w:cs="Arial"/>
                <w:color w:val="000000" w:themeColor="text1"/>
                <w:sz w:val="22"/>
                <w:lang w:val="es-ES_tradnl"/>
              </w:rPr>
              <w:t xml:space="preserve">                                      </w:t>
            </w:r>
          </w:p>
        </w:tc>
        <w:tc>
          <w:tcPr>
            <w:tcW w:w="6237" w:type="dxa"/>
          </w:tcPr>
          <w:p w14:paraId="63D57D37" w14:textId="4416B417" w:rsidR="00DD5B04" w:rsidRPr="00BB35C5" w:rsidRDefault="000D0462" w:rsidP="00083F1B">
            <w:pPr>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FACTOR DE CALIDAD</w:t>
            </w:r>
            <w:r w:rsidR="00D6451B" w:rsidRPr="00BB35C5">
              <w:rPr>
                <w:rFonts w:ascii="Arial" w:eastAsia="Calibri" w:hAnsi="Arial" w:cs="Arial"/>
                <w:color w:val="000000" w:themeColor="text1"/>
                <w:sz w:val="22"/>
                <w:lang w:val="es-ES_tradnl"/>
              </w:rPr>
              <w:t xml:space="preserve"> ― </w:t>
            </w:r>
            <w:r w:rsidRPr="00BB35C5">
              <w:rPr>
                <w:rFonts w:ascii="Arial" w:eastAsia="Calibri" w:hAnsi="Arial" w:cs="Arial"/>
                <w:color w:val="000000" w:themeColor="text1"/>
                <w:sz w:val="22"/>
                <w:lang w:val="es-ES_tradnl"/>
              </w:rPr>
              <w:t>Cuadrillas de trabajo adicional ― Garantía adicional ― Mantenimiento adicional ― Pliego tipo ― Versión 2</w:t>
            </w:r>
            <w:r w:rsidR="00D6451B" w:rsidRPr="00BB35C5">
              <w:rPr>
                <w:rFonts w:ascii="Arial" w:eastAsia="Calibri" w:hAnsi="Arial" w:cs="Arial"/>
                <w:color w:val="000000" w:themeColor="text1"/>
                <w:sz w:val="22"/>
                <w:lang w:val="es-ES_tradnl"/>
              </w:rPr>
              <w:t xml:space="preserve"> / </w:t>
            </w:r>
            <w:r w:rsidRPr="00BB35C5">
              <w:rPr>
                <w:rFonts w:ascii="Arial" w:eastAsia="Calibri" w:hAnsi="Arial" w:cs="Arial"/>
                <w:color w:val="000000" w:themeColor="text1"/>
                <w:sz w:val="22"/>
                <w:lang w:val="es-ES_tradnl"/>
              </w:rPr>
              <w:t>FACTOR DE CALIDAD ― Resolución 116 de 2020 / FACTOR DE CALIDAD ― Resolución 116 de 2020 ― Cambios / VIGENCIA DE NORMAS ― Temporalidad ― Irretroactividad / VIGENCIA DE NORMAS ― Temporalidad ― Normas procedimentales ― Resolución 116 de 2020</w:t>
            </w:r>
          </w:p>
        </w:tc>
      </w:tr>
      <w:tr w:rsidR="00DD5B04" w:rsidRPr="00BB35C5" w14:paraId="60E06E0C" w14:textId="77777777" w:rsidTr="00083F1B">
        <w:tc>
          <w:tcPr>
            <w:tcW w:w="2689" w:type="dxa"/>
          </w:tcPr>
          <w:p w14:paraId="5655C7E4" w14:textId="77777777" w:rsidR="00DD5B04" w:rsidRPr="00BB35C5" w:rsidRDefault="00DD5B04" w:rsidP="00083F1B">
            <w:pPr>
              <w:spacing w:before="120"/>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Radicación:</w:t>
            </w:r>
            <w:r w:rsidRPr="00BB35C5">
              <w:rPr>
                <w:rFonts w:ascii="Arial" w:eastAsia="Calibri" w:hAnsi="Arial" w:cs="Arial"/>
                <w:color w:val="000000" w:themeColor="text1"/>
                <w:sz w:val="22"/>
                <w:lang w:val="es-ES_tradnl"/>
              </w:rPr>
              <w:t xml:space="preserve">                              </w:t>
            </w:r>
          </w:p>
        </w:tc>
        <w:tc>
          <w:tcPr>
            <w:tcW w:w="6237" w:type="dxa"/>
          </w:tcPr>
          <w:p w14:paraId="33E25A02" w14:textId="3B8CE9DC" w:rsidR="00DD5B04" w:rsidRPr="00BB35C5" w:rsidRDefault="00DD5B04" w:rsidP="00083F1B">
            <w:pPr>
              <w:spacing w:before="120"/>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Respuesta</w:t>
            </w:r>
            <w:r w:rsidR="008100F7" w:rsidRPr="00BB35C5">
              <w:rPr>
                <w:rFonts w:ascii="Arial" w:eastAsia="Calibri" w:hAnsi="Arial" w:cs="Arial"/>
                <w:color w:val="000000" w:themeColor="text1"/>
                <w:sz w:val="22"/>
                <w:lang w:val="es-ES_tradnl"/>
              </w:rPr>
              <w:t xml:space="preserve"> </w:t>
            </w:r>
            <w:r w:rsidR="00CA5812" w:rsidRPr="00BB35C5">
              <w:rPr>
                <w:rFonts w:ascii="Arial" w:eastAsia="Calibri" w:hAnsi="Arial" w:cs="Arial"/>
                <w:color w:val="000000" w:themeColor="text1"/>
                <w:sz w:val="22"/>
                <w:lang w:val="es-ES_tradnl"/>
              </w:rPr>
              <w:t xml:space="preserve">a </w:t>
            </w:r>
            <w:r w:rsidRPr="00BB35C5">
              <w:rPr>
                <w:rFonts w:ascii="Arial" w:eastAsia="Calibri" w:hAnsi="Arial" w:cs="Arial"/>
                <w:color w:val="000000" w:themeColor="text1"/>
                <w:sz w:val="22"/>
                <w:lang w:val="es-ES_tradnl"/>
              </w:rPr>
              <w:t>consulta</w:t>
            </w:r>
            <w:r w:rsidR="008022C9"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 xml:space="preserve"># </w:t>
            </w:r>
            <w:r w:rsidR="007D7CFC" w:rsidRPr="007D7CFC">
              <w:rPr>
                <w:rFonts w:ascii="Arial" w:eastAsia="Calibri" w:hAnsi="Arial" w:cs="Arial"/>
                <w:color w:val="000000" w:themeColor="text1"/>
                <w:sz w:val="22"/>
                <w:lang w:val="es-ES_tradnl"/>
              </w:rPr>
              <w:t>4202013000006964</w:t>
            </w:r>
          </w:p>
          <w:p w14:paraId="0DA3D2F3" w14:textId="77777777" w:rsidR="00DD5B04" w:rsidRPr="00BB35C5" w:rsidRDefault="00DD5B04" w:rsidP="00083F1B">
            <w:pPr>
              <w:spacing w:before="120"/>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 </w:t>
            </w:r>
          </w:p>
        </w:tc>
      </w:tr>
    </w:tbl>
    <w:p w14:paraId="064E3305" w14:textId="2A010781" w:rsidR="00F02D25" w:rsidRPr="00BB35C5" w:rsidRDefault="00F02D25" w:rsidP="00DD5B04">
      <w:pPr>
        <w:jc w:val="both"/>
        <w:rPr>
          <w:rFonts w:ascii="Arial" w:eastAsia="Calibri" w:hAnsi="Arial" w:cs="Arial"/>
          <w:color w:val="000000" w:themeColor="text1"/>
          <w:sz w:val="22"/>
          <w:lang w:val="es-ES_tradnl"/>
        </w:rPr>
      </w:pPr>
    </w:p>
    <w:p w14:paraId="0489A4A7" w14:textId="2F7E4468" w:rsidR="007552DB" w:rsidRPr="00BB35C5" w:rsidRDefault="007552DB" w:rsidP="00DD5B04">
      <w:pPr>
        <w:jc w:val="both"/>
        <w:rPr>
          <w:rFonts w:ascii="Arial" w:eastAsia="Calibri" w:hAnsi="Arial" w:cs="Arial"/>
          <w:color w:val="000000" w:themeColor="text1"/>
          <w:sz w:val="22"/>
          <w:lang w:val="es-ES_tradnl"/>
        </w:rPr>
      </w:pPr>
    </w:p>
    <w:p w14:paraId="1A1303EE" w14:textId="77777777" w:rsidR="007552DB" w:rsidRPr="00BB35C5" w:rsidRDefault="007552DB" w:rsidP="00DD5B04">
      <w:pPr>
        <w:jc w:val="both"/>
        <w:rPr>
          <w:rFonts w:ascii="Arial" w:eastAsia="Calibri" w:hAnsi="Arial" w:cs="Arial"/>
          <w:color w:val="000000" w:themeColor="text1"/>
          <w:sz w:val="22"/>
          <w:lang w:val="es-ES_tradnl"/>
        </w:rPr>
      </w:pPr>
    </w:p>
    <w:p w14:paraId="30BB5B67" w14:textId="506638C1"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Estimad</w:t>
      </w:r>
      <w:r w:rsidR="005D2EB2" w:rsidRPr="00BB35C5">
        <w:rPr>
          <w:rFonts w:ascii="Arial" w:eastAsia="Calibri" w:hAnsi="Arial" w:cs="Arial"/>
          <w:color w:val="000000" w:themeColor="text1"/>
          <w:sz w:val="22"/>
          <w:lang w:val="es-ES_tradnl"/>
        </w:rPr>
        <w:t>o</w:t>
      </w:r>
      <w:r w:rsidRPr="00BB35C5">
        <w:rPr>
          <w:rFonts w:ascii="Arial" w:eastAsia="Calibri" w:hAnsi="Arial" w:cs="Arial"/>
          <w:color w:val="000000" w:themeColor="text1"/>
          <w:sz w:val="22"/>
          <w:lang w:val="es-ES_tradnl"/>
        </w:rPr>
        <w:t xml:space="preserve"> señor </w:t>
      </w:r>
      <w:r w:rsidR="00BE12D7">
        <w:rPr>
          <w:rFonts w:ascii="Arial" w:eastAsia="Calibri" w:hAnsi="Arial" w:cs="Arial"/>
          <w:color w:val="000000" w:themeColor="text1"/>
          <w:sz w:val="22"/>
          <w:lang w:val="es-ES_tradnl"/>
        </w:rPr>
        <w:t>Vargas</w:t>
      </w:r>
      <w:r w:rsidRPr="00BB35C5">
        <w:rPr>
          <w:rFonts w:ascii="Arial" w:eastAsia="Calibri" w:hAnsi="Arial" w:cs="Arial"/>
          <w:color w:val="000000" w:themeColor="text1"/>
          <w:sz w:val="22"/>
          <w:lang w:val="es-ES_tradnl"/>
        </w:rPr>
        <w:t>:</w:t>
      </w:r>
    </w:p>
    <w:p w14:paraId="1EAE5543" w14:textId="77777777" w:rsidR="00DD5B04" w:rsidRPr="00BB35C5" w:rsidRDefault="00DD5B04" w:rsidP="00DD5B04">
      <w:pPr>
        <w:rPr>
          <w:rFonts w:ascii="Arial" w:eastAsia="Calibri" w:hAnsi="Arial" w:cs="Arial"/>
          <w:color w:val="000000" w:themeColor="text1"/>
          <w:sz w:val="22"/>
          <w:lang w:val="es-ES_tradnl"/>
        </w:rPr>
      </w:pPr>
    </w:p>
    <w:p w14:paraId="2109B2D3" w14:textId="7D19B4B7" w:rsidR="00DD5B04" w:rsidRPr="00BB35C5" w:rsidRDefault="00DD5B04" w:rsidP="00DD5B04">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FC431B">
        <w:rPr>
          <w:rFonts w:ascii="Arial" w:eastAsia="Calibri" w:hAnsi="Arial" w:cs="Arial"/>
          <w:color w:val="000000" w:themeColor="text1"/>
          <w:sz w:val="22"/>
          <w:lang w:val="es-ES_tradnl"/>
        </w:rPr>
        <w:t>13</w:t>
      </w:r>
      <w:r w:rsidR="00FD4AF3" w:rsidRPr="00BB35C5">
        <w:rPr>
          <w:rFonts w:ascii="Arial" w:eastAsia="Calibri" w:hAnsi="Arial" w:cs="Arial"/>
          <w:color w:val="000000" w:themeColor="text1"/>
          <w:sz w:val="22"/>
          <w:lang w:val="es-ES_tradnl"/>
        </w:rPr>
        <w:t xml:space="preserve"> de </w:t>
      </w:r>
      <w:r w:rsidR="00ED1F03" w:rsidRPr="00BB35C5">
        <w:rPr>
          <w:rFonts w:ascii="Arial" w:eastAsia="Calibri" w:hAnsi="Arial" w:cs="Arial"/>
          <w:color w:val="000000" w:themeColor="text1"/>
          <w:sz w:val="22"/>
          <w:lang w:val="es-ES_tradnl"/>
        </w:rPr>
        <w:t>agosto</w:t>
      </w:r>
      <w:r w:rsidRPr="00BB35C5">
        <w:rPr>
          <w:rFonts w:ascii="Arial" w:eastAsia="Calibri" w:hAnsi="Arial" w:cs="Arial"/>
          <w:color w:val="000000" w:themeColor="text1"/>
          <w:sz w:val="22"/>
          <w:lang w:val="es-ES_tradnl"/>
        </w:rPr>
        <w:t xml:space="preserve"> del</w:t>
      </w:r>
      <w:r w:rsidR="007E74BF"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2020</w:t>
      </w:r>
      <w:r w:rsidR="00FD4AF3" w:rsidRPr="00BB35C5">
        <w:rPr>
          <w:rFonts w:ascii="Arial" w:eastAsia="Calibri" w:hAnsi="Arial" w:cs="Arial"/>
          <w:color w:val="000000" w:themeColor="text1"/>
          <w:sz w:val="22"/>
          <w:lang w:val="es-ES_tradnl"/>
        </w:rPr>
        <w:t>.</w:t>
      </w:r>
    </w:p>
    <w:p w14:paraId="0C1E0712" w14:textId="77777777" w:rsidR="00DD5B04" w:rsidRPr="00BB35C5" w:rsidRDefault="00DD5B04" w:rsidP="00DD5B04">
      <w:pPr>
        <w:spacing w:line="276" w:lineRule="auto"/>
        <w:jc w:val="both"/>
        <w:rPr>
          <w:rFonts w:ascii="Arial" w:eastAsia="Calibri" w:hAnsi="Arial" w:cs="Arial"/>
          <w:b/>
          <w:color w:val="000000" w:themeColor="text1"/>
          <w:sz w:val="22"/>
          <w:lang w:val="es-ES_tradnl"/>
        </w:rPr>
      </w:pPr>
    </w:p>
    <w:p w14:paraId="7701FCC7" w14:textId="77777777" w:rsidR="00DD5B04" w:rsidRPr="00BB35C5"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lastRenderedPageBreak/>
        <w:t xml:space="preserve">Problema planteado </w:t>
      </w:r>
    </w:p>
    <w:p w14:paraId="224B43D3" w14:textId="77777777" w:rsidR="00DD5B04" w:rsidRPr="00BB35C5" w:rsidRDefault="00DD5B04" w:rsidP="00DD5B04">
      <w:pPr>
        <w:tabs>
          <w:tab w:val="left" w:pos="426"/>
        </w:tabs>
        <w:spacing w:line="276" w:lineRule="auto"/>
        <w:jc w:val="both"/>
        <w:rPr>
          <w:rFonts w:ascii="Arial" w:eastAsia="Calibri" w:hAnsi="Arial" w:cs="Arial"/>
          <w:b/>
          <w:color w:val="000000" w:themeColor="text1"/>
          <w:sz w:val="22"/>
          <w:lang w:val="es-ES_tradnl"/>
        </w:rPr>
      </w:pPr>
    </w:p>
    <w:p w14:paraId="13423FE3" w14:textId="59D5777F" w:rsidR="0013695C" w:rsidRPr="008C24E7" w:rsidRDefault="00DD5B04" w:rsidP="000C1D4B">
      <w:pPr>
        <w:spacing w:line="276" w:lineRule="auto"/>
        <w:jc w:val="both"/>
        <w:rPr>
          <w:rFonts w:ascii="Arial" w:hAnsi="Arial" w:cs="Arial"/>
          <w:color w:val="000000" w:themeColor="text1"/>
          <w:sz w:val="22"/>
          <w:lang w:val="es-ES_tradnl"/>
        </w:rPr>
      </w:pPr>
      <w:r w:rsidRPr="00BB35C5">
        <w:rPr>
          <w:rFonts w:ascii="Arial" w:hAnsi="Arial" w:cs="Arial"/>
          <w:color w:val="000000" w:themeColor="text1"/>
          <w:sz w:val="22"/>
          <w:lang w:val="es-ES_tradnl"/>
        </w:rPr>
        <w:t>Usted realiza la siguiente pregunta</w:t>
      </w:r>
      <w:r w:rsidR="00BD3E97" w:rsidRPr="00BB35C5">
        <w:rPr>
          <w:rFonts w:ascii="Arial" w:hAnsi="Arial" w:cs="Arial"/>
          <w:color w:val="000000" w:themeColor="text1"/>
          <w:sz w:val="22"/>
          <w:lang w:val="es-ES_tradnl"/>
        </w:rPr>
        <w:t xml:space="preserve">, relacionada con </w:t>
      </w:r>
      <w:r w:rsidR="005F72E9" w:rsidRPr="00BB35C5">
        <w:rPr>
          <w:rFonts w:ascii="Arial" w:hAnsi="Arial" w:cs="Arial"/>
          <w:color w:val="000000" w:themeColor="text1"/>
          <w:sz w:val="22"/>
          <w:lang w:val="es-ES_tradnl"/>
        </w:rPr>
        <w:t xml:space="preserve">la </w:t>
      </w:r>
      <w:proofErr w:type="gramStart"/>
      <w:r w:rsidR="005F72E9" w:rsidRPr="00BB35C5">
        <w:rPr>
          <w:rFonts w:ascii="Arial" w:hAnsi="Arial" w:cs="Arial"/>
          <w:color w:val="000000" w:themeColor="text1"/>
          <w:sz w:val="22"/>
          <w:lang w:val="es-ES_tradnl"/>
        </w:rPr>
        <w:t>entrada en vigencia</w:t>
      </w:r>
      <w:proofErr w:type="gramEnd"/>
      <w:r w:rsidR="00FD04AE" w:rsidRPr="00BB35C5">
        <w:rPr>
          <w:rFonts w:ascii="Arial" w:hAnsi="Arial" w:cs="Arial"/>
          <w:color w:val="000000" w:themeColor="text1"/>
          <w:sz w:val="22"/>
          <w:lang w:val="es-ES_tradnl"/>
        </w:rPr>
        <w:t xml:space="preserve">, el 21 de julio de este año, </w:t>
      </w:r>
      <w:r w:rsidR="005F72E9" w:rsidRPr="00BB35C5">
        <w:rPr>
          <w:rFonts w:ascii="Arial" w:hAnsi="Arial" w:cs="Arial"/>
          <w:color w:val="000000" w:themeColor="text1"/>
          <w:sz w:val="22"/>
          <w:lang w:val="es-ES_tradnl"/>
        </w:rPr>
        <w:t>de la Resolución</w:t>
      </w:r>
      <w:r w:rsidR="0028308E" w:rsidRPr="00BB35C5">
        <w:rPr>
          <w:rFonts w:ascii="Arial" w:hAnsi="Arial" w:cs="Arial"/>
          <w:color w:val="000000" w:themeColor="text1"/>
          <w:sz w:val="22"/>
          <w:lang w:val="es-ES_tradnl"/>
        </w:rPr>
        <w:t xml:space="preserve"> No. 116</w:t>
      </w:r>
      <w:r w:rsidR="00FD04AE" w:rsidRPr="00BB35C5">
        <w:rPr>
          <w:rFonts w:ascii="Arial" w:hAnsi="Arial" w:cs="Arial"/>
          <w:color w:val="000000" w:themeColor="text1"/>
          <w:sz w:val="22"/>
          <w:lang w:val="es-ES_tradnl"/>
        </w:rPr>
        <w:t xml:space="preserve"> </w:t>
      </w:r>
      <w:r w:rsidR="009D2BDF" w:rsidRPr="00BB35C5">
        <w:rPr>
          <w:rFonts w:ascii="Arial" w:hAnsi="Arial" w:cs="Arial"/>
          <w:color w:val="000000" w:themeColor="text1"/>
          <w:sz w:val="22"/>
          <w:lang w:val="es-ES_tradnl"/>
        </w:rPr>
        <w:t xml:space="preserve">de </w:t>
      </w:r>
      <w:r w:rsidR="0028308E" w:rsidRPr="00BB35C5">
        <w:rPr>
          <w:rFonts w:ascii="Arial" w:hAnsi="Arial" w:cs="Arial"/>
          <w:color w:val="000000" w:themeColor="text1"/>
          <w:sz w:val="22"/>
          <w:lang w:val="es-ES_tradnl"/>
        </w:rPr>
        <w:t>2020</w:t>
      </w:r>
      <w:r w:rsidR="00D63912" w:rsidRPr="00BB35C5">
        <w:rPr>
          <w:rFonts w:ascii="Arial" w:hAnsi="Arial" w:cs="Arial"/>
          <w:color w:val="000000" w:themeColor="text1"/>
          <w:sz w:val="22"/>
          <w:lang w:val="es-ES_tradnl"/>
        </w:rPr>
        <w:t>, «Por la cual se modifica los numerales 4.2.4, 4.2.5 y 4.2.6 de los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documentos tipo para los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procedimientos de selección de licitación pública – versión 2 y</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selección abreviada de menor</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cuantía de infraestructura de transporte y el Formato 7 –</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Factor de calidad, adoptados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mediante las Resoluciones No. 044 y 045 de 2020 y se aclara</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el numeral 4.1.4 de los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documentos tipo de licitación de obra pública de infraestructura de</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transporte – versión 2</w:t>
      </w:r>
      <w:r w:rsidR="00561E0B" w:rsidRPr="00BB35C5">
        <w:rPr>
          <w:rFonts w:ascii="Arial" w:hAnsi="Arial" w:cs="Arial"/>
          <w:color w:val="000000" w:themeColor="text1"/>
          <w:sz w:val="22"/>
          <w:lang w:val="es-ES_tradnl"/>
        </w:rPr>
        <w:t>»</w:t>
      </w:r>
      <w:r w:rsidR="0013695C" w:rsidRPr="00BB35C5">
        <w:rPr>
          <w:rFonts w:ascii="Arial" w:hAnsi="Arial" w:cs="Arial"/>
          <w:color w:val="000000" w:themeColor="text1"/>
          <w:sz w:val="22"/>
          <w:lang w:val="es-ES_tradnl"/>
        </w:rPr>
        <w:t>:</w:t>
      </w:r>
      <w:r w:rsidR="000C1D4B" w:rsidRPr="00BB35C5">
        <w:rPr>
          <w:rFonts w:ascii="Arial" w:hAnsi="Arial" w:cs="Arial"/>
          <w:color w:val="000000" w:themeColor="text1"/>
          <w:sz w:val="22"/>
          <w:lang w:val="es-ES_tradnl"/>
        </w:rPr>
        <w:t xml:space="preserve"> «</w:t>
      </w:r>
      <w:r w:rsidR="0007790A" w:rsidRPr="008C24E7">
        <w:rPr>
          <w:rFonts w:ascii="Arial" w:hAnsi="Arial" w:cs="Arial"/>
          <w:color w:val="000000" w:themeColor="text1"/>
          <w:sz w:val="22"/>
          <w:lang w:val="es-ES_tradnl"/>
        </w:rPr>
        <w:t>¿Si una en</w:t>
      </w:r>
      <w:r w:rsidR="007459D0"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dad estatal, publicó los Prepliegos de condiciones el 06 de julio de 2020 y durante ese lapso</w:t>
      </w:r>
      <w:r w:rsidR="006365DE" w:rsidRPr="008C24E7">
        <w:rPr>
          <w:rFonts w:ascii="Arial" w:hAnsi="Arial" w:cs="Arial"/>
          <w:color w:val="000000" w:themeColor="text1"/>
          <w:sz w:val="22"/>
          <w:lang w:val="es-ES_tradnl"/>
        </w:rPr>
        <w:t xml:space="preserve"> –</w:t>
      </w:r>
      <w:r w:rsidR="0007790A" w:rsidRPr="008C24E7">
        <w:rPr>
          <w:rFonts w:ascii="Arial" w:hAnsi="Arial" w:cs="Arial"/>
          <w:color w:val="000000" w:themeColor="text1"/>
          <w:sz w:val="22"/>
          <w:lang w:val="es-ES_tradnl"/>
        </w:rPr>
        <w:t>antes de publicar los pliegos defini</w:t>
      </w:r>
      <w:r w:rsidR="006365DE"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vos</w:t>
      </w:r>
      <w:r w:rsidR="006365DE" w:rsidRPr="008C24E7">
        <w:rPr>
          <w:rFonts w:ascii="Arial" w:hAnsi="Arial" w:cs="Arial"/>
          <w:color w:val="000000" w:themeColor="text1"/>
          <w:sz w:val="22"/>
          <w:lang w:val="es-ES_tradnl"/>
        </w:rPr>
        <w:t xml:space="preserve">– </w:t>
      </w:r>
      <w:r w:rsidR="0007790A" w:rsidRPr="008C24E7">
        <w:rPr>
          <w:rFonts w:ascii="Arial" w:hAnsi="Arial" w:cs="Arial"/>
          <w:color w:val="000000" w:themeColor="text1"/>
          <w:sz w:val="22"/>
          <w:lang w:val="es-ES_tradnl"/>
        </w:rPr>
        <w:t>la Agencia Nacional de contratación pública, emi</w:t>
      </w:r>
      <w:r w:rsidR="006365DE"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 xml:space="preserve">ó la resolución 116 de 2020 que entró en vigencia el 21 de julio de 2020 y MODIFICA el numeral 4.2.5 de los documentos </w:t>
      </w:r>
      <w:r w:rsidR="008F5ABA" w:rsidRPr="008C24E7">
        <w:rPr>
          <w:rFonts w:ascii="Arial" w:hAnsi="Arial" w:cs="Arial"/>
          <w:color w:val="000000" w:themeColor="text1"/>
          <w:sz w:val="22"/>
          <w:lang w:val="es-ES_tradnl"/>
        </w:rPr>
        <w:t>tipo</w:t>
      </w:r>
      <w:r w:rsidR="0007790A" w:rsidRPr="008C24E7">
        <w:rPr>
          <w:rFonts w:ascii="Arial" w:hAnsi="Arial" w:cs="Arial"/>
          <w:color w:val="000000" w:themeColor="text1"/>
          <w:sz w:val="22"/>
          <w:lang w:val="es-ES_tradnl"/>
        </w:rPr>
        <w:t xml:space="preserve"> “cuadrillas de trabajo”? es aplicable dicha resolución para esa en</w:t>
      </w:r>
      <w:r w:rsidR="006365DE"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dad considerando que los pliegos defini</w:t>
      </w:r>
      <w:r w:rsidR="006365DE"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vos fueron publicados el 04 de agosto de 2020, y los oferentes advir</w:t>
      </w:r>
      <w:r w:rsidR="00363D59"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eron a la en</w:t>
      </w:r>
      <w:r w:rsidR="006365DE" w:rsidRPr="008C24E7">
        <w:rPr>
          <w:rFonts w:ascii="Arial" w:hAnsi="Arial" w:cs="Arial"/>
          <w:color w:val="000000" w:themeColor="text1"/>
          <w:sz w:val="22"/>
          <w:lang w:val="es-ES_tradnl"/>
        </w:rPr>
        <w:t>ti</w:t>
      </w:r>
      <w:r w:rsidR="0007790A" w:rsidRPr="008C24E7">
        <w:rPr>
          <w:rFonts w:ascii="Arial" w:hAnsi="Arial" w:cs="Arial"/>
          <w:color w:val="000000" w:themeColor="text1"/>
          <w:sz w:val="22"/>
          <w:lang w:val="es-ES_tradnl"/>
        </w:rPr>
        <w:t>dad la entrada en vigencia de la resolución, tomando en cuenta que la asignación de puntaje de factor de calidad se hará únicamente con el criterio de “cuadrillas de trabajo”?</w:t>
      </w:r>
      <w:r w:rsidR="000C1D4B" w:rsidRPr="008C24E7">
        <w:rPr>
          <w:rFonts w:ascii="Arial" w:hAnsi="Arial" w:cs="Arial"/>
          <w:color w:val="000000" w:themeColor="text1"/>
          <w:sz w:val="22"/>
          <w:lang w:val="es-ES_tradnl"/>
        </w:rPr>
        <w:t>»</w:t>
      </w:r>
      <w:r w:rsidR="00E25DA4" w:rsidRPr="008C24E7">
        <w:rPr>
          <w:rFonts w:ascii="Arial" w:hAnsi="Arial" w:cs="Arial"/>
          <w:color w:val="000000" w:themeColor="text1"/>
          <w:sz w:val="22"/>
          <w:lang w:val="es-ES_tradnl"/>
        </w:rPr>
        <w:t>.</w:t>
      </w:r>
    </w:p>
    <w:p w14:paraId="099E2063" w14:textId="77777777" w:rsidR="00DD5B04" w:rsidRPr="008F5ABA" w:rsidRDefault="00DD5B04" w:rsidP="00DD5B04">
      <w:pPr>
        <w:tabs>
          <w:tab w:val="left" w:pos="426"/>
        </w:tabs>
        <w:spacing w:line="276" w:lineRule="auto"/>
        <w:jc w:val="both"/>
        <w:rPr>
          <w:rFonts w:ascii="Arial" w:eastAsia="Calibri" w:hAnsi="Arial" w:cs="Arial"/>
          <w:color w:val="000000" w:themeColor="text1"/>
          <w:sz w:val="22"/>
          <w:lang w:val="es-CO"/>
        </w:rPr>
      </w:pPr>
    </w:p>
    <w:p w14:paraId="124D2DCA" w14:textId="77777777" w:rsidR="00DD5B04" w:rsidRPr="00BB35C5"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Consideraciones</w:t>
      </w:r>
    </w:p>
    <w:p w14:paraId="35E25E39" w14:textId="77777777" w:rsidR="00DD5B04" w:rsidRPr="00BB35C5" w:rsidRDefault="00DD5B04" w:rsidP="00DD5B04">
      <w:pPr>
        <w:spacing w:line="276" w:lineRule="auto"/>
        <w:jc w:val="both"/>
        <w:rPr>
          <w:rFonts w:ascii="Arial" w:eastAsia="Calibri" w:hAnsi="Arial" w:cs="Arial"/>
          <w:color w:val="000000" w:themeColor="text1"/>
          <w:sz w:val="20"/>
          <w:szCs w:val="20"/>
          <w:lang w:val="es-ES_tradnl"/>
        </w:rPr>
      </w:pPr>
    </w:p>
    <w:p w14:paraId="1E8326F9" w14:textId="546BE12E" w:rsidR="00C833B4" w:rsidRPr="00BB35C5" w:rsidRDefault="00DD5B04" w:rsidP="00A53037">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Para resolver </w:t>
      </w:r>
      <w:r w:rsidR="00E97A3F" w:rsidRPr="00BB35C5">
        <w:rPr>
          <w:rFonts w:ascii="Arial" w:eastAsia="Calibri" w:hAnsi="Arial" w:cs="Arial"/>
          <w:color w:val="000000" w:themeColor="text1"/>
          <w:sz w:val="22"/>
          <w:lang w:val="es-ES_tradnl"/>
        </w:rPr>
        <w:t>su consulta, se analizarán los siguientes temas:</w:t>
      </w:r>
      <w:r w:rsidR="004E2A35" w:rsidRPr="00BB35C5">
        <w:rPr>
          <w:rFonts w:ascii="Arial" w:eastAsia="Calibri" w:hAnsi="Arial" w:cs="Arial"/>
          <w:color w:val="000000" w:themeColor="text1"/>
          <w:sz w:val="22"/>
          <w:lang w:val="es-ES_tradnl"/>
        </w:rPr>
        <w:t xml:space="preserve"> </w:t>
      </w:r>
      <w:r w:rsidR="005F72E9" w:rsidRPr="00BB35C5">
        <w:rPr>
          <w:rFonts w:ascii="Arial" w:eastAsia="Calibri" w:hAnsi="Arial" w:cs="Arial"/>
          <w:color w:val="000000" w:themeColor="text1"/>
          <w:sz w:val="22"/>
          <w:lang w:val="es-ES_tradnl"/>
        </w:rPr>
        <w:t>i)</w:t>
      </w:r>
      <w:r w:rsidR="007E69F2" w:rsidRPr="00BB35C5">
        <w:rPr>
          <w:rFonts w:ascii="Arial" w:eastAsia="Calibri" w:hAnsi="Arial" w:cs="Arial"/>
          <w:color w:val="000000" w:themeColor="text1"/>
          <w:sz w:val="22"/>
          <w:lang w:val="es-ES_tradnl"/>
        </w:rPr>
        <w:t xml:space="preserve"> modificaciones al factor </w:t>
      </w:r>
      <w:r w:rsidR="002B1342" w:rsidRPr="00BB35C5">
        <w:rPr>
          <w:rFonts w:ascii="Arial" w:eastAsia="Calibri" w:hAnsi="Arial" w:cs="Arial"/>
          <w:color w:val="000000" w:themeColor="text1"/>
          <w:sz w:val="22"/>
          <w:lang w:val="es-ES_tradnl"/>
        </w:rPr>
        <w:t xml:space="preserve">calidad previstos en la Resolución </w:t>
      </w:r>
      <w:r w:rsidR="00E11229" w:rsidRPr="00BB35C5">
        <w:rPr>
          <w:rFonts w:ascii="Arial" w:eastAsia="Calibri" w:hAnsi="Arial" w:cs="Arial"/>
          <w:color w:val="000000" w:themeColor="text1"/>
          <w:sz w:val="22"/>
          <w:lang w:val="es-ES_tradnl"/>
        </w:rPr>
        <w:t xml:space="preserve">No. </w:t>
      </w:r>
      <w:r w:rsidR="002B1342" w:rsidRPr="00BB35C5">
        <w:rPr>
          <w:rFonts w:ascii="Arial" w:eastAsia="Calibri" w:hAnsi="Arial" w:cs="Arial"/>
          <w:color w:val="000000" w:themeColor="text1"/>
          <w:sz w:val="22"/>
          <w:lang w:val="es-ES_tradnl"/>
        </w:rPr>
        <w:t>116 de 2020 y ii) vigencia de las dispo</w:t>
      </w:r>
      <w:r w:rsidR="003E54B3" w:rsidRPr="00BB35C5">
        <w:rPr>
          <w:rFonts w:ascii="Arial" w:eastAsia="Calibri" w:hAnsi="Arial" w:cs="Arial"/>
          <w:color w:val="000000" w:themeColor="text1"/>
          <w:sz w:val="22"/>
          <w:lang w:val="es-ES_tradnl"/>
        </w:rPr>
        <w:t>siciones normativas en el tiempo.</w:t>
      </w:r>
    </w:p>
    <w:p w14:paraId="7BDC165E" w14:textId="06E3B768" w:rsidR="001B4ADE" w:rsidRPr="00BB35C5" w:rsidRDefault="00C0285F" w:rsidP="001B4ADE">
      <w:pPr>
        <w:spacing w:before="120" w:line="276" w:lineRule="auto"/>
        <w:ind w:firstLine="709"/>
        <w:jc w:val="both"/>
        <w:rPr>
          <w:rFonts w:ascii="Arial" w:hAnsi="Arial" w:cs="Arial"/>
          <w:color w:val="000000" w:themeColor="text1"/>
          <w:sz w:val="22"/>
          <w:lang w:val="es-ES_tradnl"/>
        </w:rPr>
      </w:pPr>
      <w:r w:rsidRPr="00BB35C5">
        <w:rPr>
          <w:rFonts w:ascii="Arial" w:eastAsia="Calibri" w:hAnsi="Arial" w:cs="Arial"/>
          <w:color w:val="000000" w:themeColor="text1"/>
          <w:sz w:val="22"/>
          <w:lang w:val="es-ES_tradnl"/>
        </w:rPr>
        <w:t>L</w:t>
      </w:r>
      <w:r w:rsidR="00A078FB" w:rsidRPr="00BB35C5">
        <w:rPr>
          <w:rFonts w:ascii="Arial" w:hAnsi="Arial" w:cs="Arial"/>
          <w:color w:val="000000" w:themeColor="text1"/>
          <w:sz w:val="22"/>
          <w:lang w:val="es-ES_tradnl"/>
        </w:rPr>
        <w:t>a Agencia Nacional de Contratación Pública ― Colombia Compra Eficiente</w:t>
      </w:r>
      <w:r w:rsidRPr="00BB35C5">
        <w:rPr>
          <w:rFonts w:ascii="Arial" w:hAnsi="Arial" w:cs="Arial"/>
          <w:color w:val="000000" w:themeColor="text1"/>
          <w:sz w:val="22"/>
          <w:lang w:val="es-ES_tradnl"/>
        </w:rPr>
        <w:t xml:space="preserve"> se </w:t>
      </w:r>
      <w:r w:rsidR="000263F0" w:rsidRPr="00BB35C5">
        <w:rPr>
          <w:rFonts w:ascii="Arial" w:hAnsi="Arial" w:cs="Arial"/>
          <w:color w:val="000000" w:themeColor="text1"/>
          <w:sz w:val="22"/>
          <w:lang w:val="es-ES_tradnl"/>
        </w:rPr>
        <w:t>pronunció</w:t>
      </w:r>
      <w:r w:rsidRPr="00BB35C5">
        <w:rPr>
          <w:rFonts w:ascii="Arial" w:hAnsi="Arial" w:cs="Arial"/>
          <w:color w:val="000000" w:themeColor="text1"/>
          <w:sz w:val="22"/>
          <w:lang w:val="es-ES_tradnl"/>
        </w:rPr>
        <w:t xml:space="preserve"> sobre</w:t>
      </w:r>
      <w:r w:rsidR="000263F0" w:rsidRPr="00BB35C5">
        <w:rPr>
          <w:rFonts w:ascii="Arial" w:hAnsi="Arial" w:cs="Arial"/>
          <w:color w:val="000000" w:themeColor="text1"/>
          <w:sz w:val="22"/>
          <w:lang w:val="es-ES_tradnl"/>
        </w:rPr>
        <w:t xml:space="preserve"> el alcance de la Resolución No. 116 de 2020 en el Concepto C</w:t>
      </w:r>
      <w:r w:rsidR="005371AC" w:rsidRPr="00BB35C5">
        <w:rPr>
          <w:rFonts w:ascii="Arial" w:hAnsi="Arial" w:cs="Arial"/>
          <w:color w:val="000000" w:themeColor="text1"/>
          <w:sz w:val="22"/>
          <w:lang w:val="es-ES_tradnl"/>
        </w:rPr>
        <w:t>-481 del 27 de julio de 2020</w:t>
      </w:r>
      <w:r w:rsidR="00667ED8">
        <w:rPr>
          <w:rFonts w:ascii="Arial" w:hAnsi="Arial" w:cs="Arial"/>
          <w:color w:val="000000" w:themeColor="text1"/>
          <w:sz w:val="22"/>
          <w:lang w:val="es-ES_tradnl"/>
        </w:rPr>
        <w:t xml:space="preserve"> y sobre su aplicación para los procesos de selección abiertos con posterioridad a su </w:t>
      </w:r>
      <w:r w:rsidR="00B87706">
        <w:rPr>
          <w:rFonts w:ascii="Arial" w:hAnsi="Arial" w:cs="Arial"/>
          <w:color w:val="000000" w:themeColor="text1"/>
          <w:sz w:val="22"/>
          <w:lang w:val="es-ES_tradnl"/>
        </w:rPr>
        <w:t>expedición</w:t>
      </w:r>
      <w:r w:rsidR="00667ED8">
        <w:rPr>
          <w:rFonts w:ascii="Arial" w:hAnsi="Arial" w:cs="Arial"/>
          <w:color w:val="000000" w:themeColor="text1"/>
          <w:sz w:val="22"/>
          <w:lang w:val="es-ES_tradnl"/>
        </w:rPr>
        <w:t xml:space="preserve"> en el Concepto C</w:t>
      </w:r>
      <w:r w:rsidR="00042961">
        <w:rPr>
          <w:rFonts w:ascii="Arial" w:hAnsi="Arial" w:cs="Arial"/>
          <w:color w:val="000000" w:themeColor="text1"/>
          <w:sz w:val="22"/>
          <w:lang w:val="es-ES_tradnl"/>
        </w:rPr>
        <w:t>-536 del 24 de agosto de 2020</w:t>
      </w:r>
      <w:r w:rsidR="00545E30" w:rsidRPr="00BB35C5">
        <w:rPr>
          <w:rFonts w:ascii="Arial" w:hAnsi="Arial" w:cs="Arial"/>
          <w:color w:val="000000" w:themeColor="text1"/>
          <w:sz w:val="22"/>
          <w:lang w:val="es-ES_tradnl"/>
        </w:rPr>
        <w:t>.</w:t>
      </w:r>
      <w:r w:rsidR="00EE1668" w:rsidRPr="00BB35C5">
        <w:rPr>
          <w:rFonts w:ascii="Arial" w:hAnsi="Arial" w:cs="Arial"/>
          <w:color w:val="000000" w:themeColor="text1"/>
          <w:sz w:val="22"/>
          <w:lang w:val="es-ES_tradnl"/>
        </w:rPr>
        <w:t xml:space="preserve"> Igualmente, esta Subdirección </w:t>
      </w:r>
      <w:r w:rsidR="00486D00" w:rsidRPr="00BB35C5">
        <w:rPr>
          <w:rFonts w:ascii="Arial" w:hAnsi="Arial" w:cs="Arial"/>
          <w:color w:val="000000" w:themeColor="text1"/>
          <w:sz w:val="22"/>
          <w:lang w:val="es-ES_tradnl"/>
        </w:rPr>
        <w:t>analizó la</w:t>
      </w:r>
      <w:r w:rsidR="00EE1668" w:rsidRPr="00BB35C5">
        <w:rPr>
          <w:rFonts w:ascii="Arial" w:hAnsi="Arial" w:cs="Arial"/>
          <w:color w:val="000000" w:themeColor="text1"/>
          <w:sz w:val="22"/>
          <w:lang w:val="es-ES_tradnl"/>
        </w:rPr>
        <w:t xml:space="preserve"> vigencia de los pliegos de condiciones tipo en </w:t>
      </w:r>
      <w:r w:rsidR="000A2128" w:rsidRPr="00BB35C5">
        <w:rPr>
          <w:rFonts w:ascii="Arial" w:hAnsi="Arial" w:cs="Arial"/>
          <w:color w:val="000000" w:themeColor="text1"/>
          <w:sz w:val="22"/>
          <w:lang w:val="es-ES_tradnl"/>
        </w:rPr>
        <w:t xml:space="preserve">los conceptos </w:t>
      </w:r>
      <w:r w:rsidR="00F01657" w:rsidRPr="00BB35C5">
        <w:rPr>
          <w:rFonts w:ascii="Arial" w:hAnsi="Arial" w:cs="Arial"/>
          <w:color w:val="000000" w:themeColor="text1"/>
          <w:sz w:val="22"/>
          <w:lang w:val="es-ES_tradnl"/>
        </w:rPr>
        <w:t>C-</w:t>
      </w:r>
      <w:r w:rsidR="00655301" w:rsidRPr="00BB35C5">
        <w:rPr>
          <w:rFonts w:ascii="Arial" w:hAnsi="Arial" w:cs="Arial"/>
          <w:color w:val="000000" w:themeColor="text1"/>
          <w:sz w:val="22"/>
          <w:lang w:val="es-ES_tradnl"/>
        </w:rPr>
        <w:t>136 del 16 de marzo de 2020</w:t>
      </w:r>
      <w:r w:rsidR="000A2128" w:rsidRPr="00BB35C5">
        <w:rPr>
          <w:rFonts w:ascii="Arial" w:hAnsi="Arial" w:cs="Arial"/>
          <w:color w:val="000000" w:themeColor="text1"/>
          <w:sz w:val="22"/>
          <w:lang w:val="es-ES_tradnl"/>
        </w:rPr>
        <w:t xml:space="preserve"> y C-</w:t>
      </w:r>
      <w:r w:rsidR="006A44CF" w:rsidRPr="00BB35C5">
        <w:rPr>
          <w:rFonts w:ascii="Arial" w:hAnsi="Arial" w:cs="Arial"/>
          <w:color w:val="000000" w:themeColor="text1"/>
          <w:sz w:val="22"/>
          <w:lang w:val="es-ES_tradnl"/>
        </w:rPr>
        <w:t>250 del 15 de abril de 2020</w:t>
      </w:r>
      <w:r w:rsidR="00655301" w:rsidRPr="00BB35C5">
        <w:rPr>
          <w:rFonts w:ascii="Arial" w:hAnsi="Arial" w:cs="Arial"/>
          <w:color w:val="000000" w:themeColor="text1"/>
          <w:sz w:val="22"/>
          <w:lang w:val="es-ES_tradnl"/>
        </w:rPr>
        <w:t xml:space="preserve">. </w:t>
      </w:r>
      <w:r w:rsidR="00DD5B04" w:rsidRPr="00BB35C5">
        <w:rPr>
          <w:rFonts w:ascii="Arial" w:hAnsi="Arial" w:cs="Arial"/>
          <w:color w:val="000000" w:themeColor="text1"/>
          <w:sz w:val="22"/>
          <w:lang w:val="es-ES_tradnl"/>
        </w:rPr>
        <w:t>Las tesis propuestas</w:t>
      </w:r>
      <w:r w:rsidR="00871E3C" w:rsidRPr="00BB35C5">
        <w:rPr>
          <w:rFonts w:ascii="Arial" w:hAnsi="Arial" w:cs="Arial"/>
          <w:color w:val="000000" w:themeColor="text1"/>
          <w:sz w:val="22"/>
          <w:lang w:val="es-ES_tradnl"/>
        </w:rPr>
        <w:t xml:space="preserve"> en aquellas oportunidades</w:t>
      </w:r>
      <w:r w:rsidR="00DD5B04" w:rsidRPr="00BB35C5">
        <w:rPr>
          <w:rFonts w:ascii="Arial" w:hAnsi="Arial" w:cs="Arial"/>
          <w:color w:val="000000" w:themeColor="text1"/>
          <w:sz w:val="22"/>
          <w:lang w:val="es-ES_tradnl"/>
        </w:rPr>
        <w:t xml:space="preserve"> se </w:t>
      </w:r>
      <w:r w:rsidR="008E0DF7" w:rsidRPr="00BB35C5">
        <w:rPr>
          <w:rFonts w:ascii="Arial" w:hAnsi="Arial" w:cs="Arial"/>
          <w:color w:val="000000" w:themeColor="text1"/>
          <w:sz w:val="22"/>
          <w:lang w:val="es-ES_tradnl"/>
        </w:rPr>
        <w:t>reiteran</w:t>
      </w:r>
      <w:r w:rsidR="00DD5B04" w:rsidRPr="00BB35C5">
        <w:rPr>
          <w:rFonts w:ascii="Arial" w:hAnsi="Arial" w:cs="Arial"/>
          <w:color w:val="000000" w:themeColor="text1"/>
          <w:sz w:val="22"/>
          <w:lang w:val="es-ES_tradnl"/>
        </w:rPr>
        <w:t xml:space="preserve"> a continuación</w:t>
      </w:r>
      <w:r w:rsidR="008A6F6E" w:rsidRPr="00BB35C5">
        <w:rPr>
          <w:rFonts w:ascii="Arial" w:hAnsi="Arial" w:cs="Arial"/>
          <w:color w:val="000000" w:themeColor="text1"/>
          <w:sz w:val="22"/>
          <w:lang w:val="es-ES_tradnl"/>
        </w:rPr>
        <w:t>,</w:t>
      </w:r>
      <w:r w:rsidR="008E0DF7" w:rsidRPr="00BB35C5">
        <w:rPr>
          <w:rFonts w:ascii="Arial" w:hAnsi="Arial" w:cs="Arial"/>
          <w:color w:val="000000" w:themeColor="text1"/>
          <w:sz w:val="22"/>
          <w:lang w:val="es-ES_tradnl"/>
        </w:rPr>
        <w:t xml:space="preserve"> y se complementan con ideas adicionales, relacionadas con </w:t>
      </w:r>
      <w:r w:rsidR="009D68BB" w:rsidRPr="00BB35C5">
        <w:rPr>
          <w:rFonts w:ascii="Arial" w:hAnsi="Arial" w:cs="Arial"/>
          <w:color w:val="000000" w:themeColor="text1"/>
          <w:sz w:val="22"/>
          <w:lang w:val="es-ES_tradnl"/>
        </w:rPr>
        <w:t xml:space="preserve">los </w:t>
      </w:r>
      <w:r w:rsidR="00C504A7" w:rsidRPr="00BB35C5">
        <w:rPr>
          <w:rFonts w:ascii="Arial" w:hAnsi="Arial" w:cs="Arial"/>
          <w:color w:val="000000" w:themeColor="text1"/>
          <w:sz w:val="22"/>
          <w:lang w:val="es-ES_tradnl"/>
        </w:rPr>
        <w:t>interrogante</w:t>
      </w:r>
      <w:r w:rsidR="009D68BB" w:rsidRPr="00BB35C5">
        <w:rPr>
          <w:rFonts w:ascii="Arial" w:hAnsi="Arial" w:cs="Arial"/>
          <w:color w:val="000000" w:themeColor="text1"/>
          <w:sz w:val="22"/>
          <w:lang w:val="es-ES_tradnl"/>
        </w:rPr>
        <w:t>s</w:t>
      </w:r>
      <w:r w:rsidR="00C504A7" w:rsidRPr="00BB35C5">
        <w:rPr>
          <w:rFonts w:ascii="Arial" w:hAnsi="Arial" w:cs="Arial"/>
          <w:color w:val="000000" w:themeColor="text1"/>
          <w:sz w:val="22"/>
          <w:lang w:val="es-ES_tradnl"/>
        </w:rPr>
        <w:t xml:space="preserve"> específico</w:t>
      </w:r>
      <w:r w:rsidR="009D68BB" w:rsidRPr="00BB35C5">
        <w:rPr>
          <w:rFonts w:ascii="Arial" w:hAnsi="Arial" w:cs="Arial"/>
          <w:color w:val="000000" w:themeColor="text1"/>
          <w:sz w:val="22"/>
          <w:lang w:val="es-ES_tradnl"/>
        </w:rPr>
        <w:t>s</w:t>
      </w:r>
      <w:r w:rsidR="00C504A7" w:rsidRPr="00BB35C5">
        <w:rPr>
          <w:rFonts w:ascii="Arial" w:hAnsi="Arial" w:cs="Arial"/>
          <w:color w:val="000000" w:themeColor="text1"/>
          <w:sz w:val="22"/>
          <w:lang w:val="es-ES_tradnl"/>
        </w:rPr>
        <w:t xml:space="preserve"> que se formula</w:t>
      </w:r>
      <w:r w:rsidR="009D68BB" w:rsidRPr="00BB35C5">
        <w:rPr>
          <w:rFonts w:ascii="Arial" w:hAnsi="Arial" w:cs="Arial"/>
          <w:color w:val="000000" w:themeColor="text1"/>
          <w:sz w:val="22"/>
          <w:lang w:val="es-ES_tradnl"/>
        </w:rPr>
        <w:t>n</w:t>
      </w:r>
      <w:r w:rsidR="00C504A7" w:rsidRPr="00BB35C5">
        <w:rPr>
          <w:rFonts w:ascii="Arial" w:hAnsi="Arial" w:cs="Arial"/>
          <w:color w:val="000000" w:themeColor="text1"/>
          <w:sz w:val="22"/>
          <w:lang w:val="es-ES_tradnl"/>
        </w:rPr>
        <w:t xml:space="preserve"> en la consulta</w:t>
      </w:r>
      <w:r w:rsidR="00B14102" w:rsidRPr="00BB35C5">
        <w:rPr>
          <w:rFonts w:ascii="Arial" w:hAnsi="Arial" w:cs="Arial"/>
          <w:color w:val="000000" w:themeColor="text1"/>
          <w:sz w:val="22"/>
          <w:lang w:val="es-ES_tradnl"/>
        </w:rPr>
        <w:t>.</w:t>
      </w:r>
    </w:p>
    <w:p w14:paraId="44F4C536" w14:textId="7B435747" w:rsidR="001B4ADE" w:rsidRPr="00BB35C5" w:rsidRDefault="001B4ADE" w:rsidP="001B4ADE">
      <w:pPr>
        <w:spacing w:line="276" w:lineRule="auto"/>
        <w:jc w:val="both"/>
        <w:rPr>
          <w:rFonts w:ascii="Arial" w:hAnsi="Arial" w:cs="Arial"/>
          <w:b/>
          <w:bCs/>
          <w:color w:val="000000" w:themeColor="text1"/>
          <w:sz w:val="22"/>
          <w:lang w:val="es-ES_tradnl"/>
        </w:rPr>
      </w:pPr>
    </w:p>
    <w:p w14:paraId="2D95B120" w14:textId="11B135B8" w:rsidR="00EF6A03" w:rsidRPr="00BB35C5" w:rsidRDefault="00EF6A03" w:rsidP="00EF6A03">
      <w:pPr>
        <w:spacing w:line="276" w:lineRule="auto"/>
        <w:jc w:val="both"/>
        <w:rPr>
          <w:rFonts w:ascii="Arial" w:eastAsia="Calibri" w:hAnsi="Arial" w:cs="Arial"/>
          <w:bCs/>
          <w:sz w:val="22"/>
          <w:lang w:val="es-ES_tradnl"/>
        </w:rPr>
      </w:pPr>
      <w:r w:rsidRPr="00BB35C5">
        <w:rPr>
          <w:rFonts w:ascii="Arial" w:eastAsia="Arial" w:hAnsi="Arial" w:cs="Arial"/>
          <w:b/>
          <w:color w:val="000000"/>
          <w:sz w:val="22"/>
          <w:lang w:val="es-ES_tradnl"/>
        </w:rPr>
        <w:t xml:space="preserve">2.1. Cuadrillas </w:t>
      </w:r>
      <w:r w:rsidR="00113CFC" w:rsidRPr="00BB35C5">
        <w:rPr>
          <w:rFonts w:ascii="Arial" w:eastAsia="Arial" w:hAnsi="Arial" w:cs="Arial"/>
          <w:b/>
          <w:color w:val="000000"/>
          <w:sz w:val="22"/>
          <w:lang w:val="es-ES_tradnl"/>
        </w:rPr>
        <w:t xml:space="preserve">de </w:t>
      </w:r>
      <w:r w:rsidRPr="00BB35C5">
        <w:rPr>
          <w:rFonts w:ascii="Arial" w:eastAsia="Arial" w:hAnsi="Arial" w:cs="Arial"/>
          <w:b/>
          <w:color w:val="000000"/>
          <w:sz w:val="22"/>
          <w:lang w:val="es-ES_tradnl"/>
        </w:rPr>
        <w:t>trabajo adicional, garantía suplementaria o adicional y mantenimiento adicional como factores de calidad en los pliegos tipo de licitación pública</w:t>
      </w:r>
      <w:r w:rsidR="00113CFC" w:rsidRPr="00BB35C5">
        <w:rPr>
          <w:rFonts w:ascii="Arial" w:eastAsia="Arial" w:hAnsi="Arial" w:cs="Arial"/>
          <w:b/>
          <w:color w:val="000000"/>
          <w:sz w:val="22"/>
          <w:lang w:val="es-ES_tradnl"/>
        </w:rPr>
        <w:t xml:space="preserve">. Modificaciones introducidas por la Resolución </w:t>
      </w:r>
      <w:r w:rsidR="00AB3CFD" w:rsidRPr="00BB35C5">
        <w:rPr>
          <w:rFonts w:ascii="Arial" w:eastAsia="Arial" w:hAnsi="Arial" w:cs="Arial"/>
          <w:b/>
          <w:color w:val="000000"/>
          <w:sz w:val="22"/>
          <w:lang w:val="es-ES_tradnl"/>
        </w:rPr>
        <w:t>116 de 2020.</w:t>
      </w:r>
    </w:p>
    <w:p w14:paraId="62B8F5C2" w14:textId="77777777" w:rsidR="00EF6A03" w:rsidRPr="00BB35C5" w:rsidRDefault="00EF6A03" w:rsidP="00EF6A03">
      <w:pPr>
        <w:spacing w:line="276" w:lineRule="auto"/>
        <w:jc w:val="both"/>
        <w:rPr>
          <w:rFonts w:ascii="Arial" w:eastAsia="Arial" w:hAnsi="Arial" w:cs="Arial"/>
          <w:b/>
          <w:color w:val="000000"/>
          <w:sz w:val="22"/>
          <w:lang w:val="es-ES_tradnl"/>
        </w:rPr>
      </w:pPr>
    </w:p>
    <w:p w14:paraId="78E806F4" w14:textId="79C6BE4C" w:rsidR="00EF6A03" w:rsidRPr="00BB35C5" w:rsidRDefault="003E54B3" w:rsidP="003E54B3">
      <w:pPr>
        <w:tabs>
          <w:tab w:val="left" w:pos="709"/>
        </w:tabs>
        <w:spacing w:line="276" w:lineRule="auto"/>
        <w:jc w:val="both"/>
        <w:rPr>
          <w:rFonts w:ascii="Arial" w:eastAsia="Arial" w:hAnsi="Arial" w:cs="Arial"/>
          <w:sz w:val="22"/>
          <w:lang w:val="es-ES_tradnl"/>
        </w:rPr>
      </w:pPr>
      <w:r w:rsidRPr="00BB35C5">
        <w:rPr>
          <w:rFonts w:ascii="Arial" w:eastAsia="Arial" w:hAnsi="Arial" w:cs="Arial"/>
          <w:sz w:val="22"/>
          <w:lang w:val="es-ES_tradnl"/>
        </w:rPr>
        <w:t>E</w:t>
      </w:r>
      <w:r w:rsidR="00EF6A03" w:rsidRPr="00BB35C5">
        <w:rPr>
          <w:rFonts w:ascii="Arial" w:eastAsia="Arial" w:hAnsi="Arial" w:cs="Arial"/>
          <w:sz w:val="22"/>
          <w:lang w:val="es-ES_tradnl"/>
        </w:rPr>
        <w:t>n relación con el «factor de calidad», la versión 2 de los Documentos Tipo para procesos de licitación de obra pública de infraestructura de transporte –Resolución No. 045 de 2020–conserva los tres factores existentes en la versión 1</w:t>
      </w:r>
      <w:r w:rsidR="00B35B6A" w:rsidRPr="00BB35C5">
        <w:rPr>
          <w:rFonts w:ascii="Arial" w:eastAsia="Arial" w:hAnsi="Arial" w:cs="Arial"/>
          <w:sz w:val="22"/>
          <w:lang w:val="es-ES_tradnl"/>
        </w:rPr>
        <w:t xml:space="preserve"> </w:t>
      </w:r>
      <w:r w:rsidR="00EF6A03" w:rsidRPr="00BB35C5">
        <w:rPr>
          <w:rFonts w:ascii="Arial" w:eastAsia="Arial" w:hAnsi="Arial" w:cs="Arial"/>
          <w:sz w:val="22"/>
          <w:lang w:val="es-ES_tradnl"/>
        </w:rPr>
        <w:t>–Resolución No. 1798 de 2019–, e incluye</w:t>
      </w:r>
      <w:r w:rsidR="00AB3CFD" w:rsidRPr="00BB35C5">
        <w:rPr>
          <w:rFonts w:ascii="Arial" w:eastAsia="Arial" w:hAnsi="Arial" w:cs="Arial"/>
          <w:sz w:val="22"/>
          <w:lang w:val="es-ES_tradnl"/>
        </w:rPr>
        <w:t xml:space="preserve"> </w:t>
      </w:r>
      <w:r w:rsidR="00EF6A03" w:rsidRPr="00BB35C5">
        <w:rPr>
          <w:rFonts w:ascii="Arial" w:eastAsia="Arial" w:hAnsi="Arial" w:cs="Arial"/>
          <w:sz w:val="22"/>
          <w:lang w:val="es-ES_tradnl"/>
        </w:rPr>
        <w:t xml:space="preserve">como nuevas opciones que podrá elegir la entidad: i) la presentación de una </w:t>
      </w:r>
      <w:r w:rsidR="00EF6A03" w:rsidRPr="00BB35C5">
        <w:rPr>
          <w:rFonts w:ascii="Arial" w:eastAsia="Arial" w:hAnsi="Arial" w:cs="Arial"/>
          <w:sz w:val="22"/>
          <w:lang w:val="es-ES_tradnl"/>
        </w:rPr>
        <w:lastRenderedPageBreak/>
        <w:t>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785FBAF2" w14:textId="77777777" w:rsidR="00EF6A03" w:rsidRPr="00BB35C5" w:rsidRDefault="00EF6A03" w:rsidP="00EF6A03">
      <w:pPr>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3FA5E0DD" w14:textId="1B780404" w:rsidR="00EF6A03" w:rsidRPr="00BB35C5" w:rsidRDefault="00EF6A03" w:rsidP="00EA2744">
      <w:pPr>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t>Adicionalmente, esta versión de los Documentos Tipo conserva el puntaje establecido para el factor de calidad en la Versión 1, de modo que no se alteró el total de los 19 puntos que puede otorgar la entidad por este criterio de evaluación</w:t>
      </w:r>
      <w:r w:rsidRPr="00BB35C5">
        <w:rPr>
          <w:rFonts w:ascii="Arial" w:eastAsia="Arial" w:hAnsi="Arial" w:cs="Arial"/>
          <w:lang w:val="es-ES_tradnl"/>
        </w:rPr>
        <w:t xml:space="preserve">. </w:t>
      </w:r>
      <w:r w:rsidRPr="00BB35C5">
        <w:rPr>
          <w:rFonts w:ascii="Arial" w:eastAsia="Arial" w:hAnsi="Arial" w:cs="Arial"/>
          <w:sz w:val="22"/>
          <w:lang w:val="es-ES_tradnl"/>
        </w:rPr>
        <w:t>Estos 19 puntos corresponderán al total de los puntos que podrán asignarse como puntaje al rubro de factor de calidad</w:t>
      </w:r>
      <w:r w:rsidR="00DF6F43" w:rsidRPr="00BB35C5">
        <w:rPr>
          <w:rFonts w:ascii="Arial" w:eastAsia="Arial" w:hAnsi="Arial" w:cs="Arial"/>
          <w:sz w:val="22"/>
          <w:lang w:val="es-ES_tradnl"/>
        </w:rPr>
        <w:t>.</w:t>
      </w:r>
      <w:r w:rsidRPr="00BB35C5">
        <w:rPr>
          <w:rFonts w:ascii="Arial" w:eastAsia="Arial" w:hAnsi="Arial" w:cs="Arial"/>
          <w:sz w:val="22"/>
          <w:lang w:val="es-ES_tradnl"/>
        </w:rPr>
        <w:t xml:space="preserve"> </w:t>
      </w:r>
      <w:r w:rsidR="00DF6F43" w:rsidRPr="00BB35C5">
        <w:rPr>
          <w:rFonts w:ascii="Arial" w:eastAsia="Arial" w:hAnsi="Arial" w:cs="Arial"/>
          <w:sz w:val="22"/>
          <w:lang w:val="es-ES_tradnl"/>
        </w:rPr>
        <w:t>E</w:t>
      </w:r>
      <w:r w:rsidRPr="00BB35C5">
        <w:rPr>
          <w:rFonts w:ascii="Arial" w:eastAsia="Arial" w:hAnsi="Arial" w:cs="Arial"/>
          <w:sz w:val="22"/>
          <w:lang w:val="es-ES_tradnl"/>
        </w:rPr>
        <w:t>n caso</w:t>
      </w:r>
      <w:r w:rsidR="006573EA" w:rsidRPr="00BB35C5">
        <w:rPr>
          <w:rFonts w:ascii="Arial" w:eastAsia="Arial" w:hAnsi="Arial" w:cs="Arial"/>
          <w:sz w:val="22"/>
          <w:lang w:val="es-ES_tradnl"/>
        </w:rPr>
        <w:t xml:space="preserve"> </w:t>
      </w:r>
      <w:r w:rsidRPr="00BB35C5">
        <w:rPr>
          <w:rFonts w:ascii="Arial" w:eastAsia="Arial" w:hAnsi="Arial" w:cs="Arial"/>
          <w:sz w:val="22"/>
          <w:lang w:val="es-ES_tradnl"/>
        </w:rPr>
        <w:t>de que se opte por varios factores de calidad</w:t>
      </w:r>
      <w:r w:rsidR="006573EA" w:rsidRPr="00BB35C5">
        <w:rPr>
          <w:rFonts w:ascii="Arial" w:eastAsia="Arial" w:hAnsi="Arial" w:cs="Arial"/>
          <w:sz w:val="22"/>
          <w:lang w:val="es-ES_tradnl"/>
        </w:rPr>
        <w:t>,</w:t>
      </w:r>
      <w:r w:rsidRPr="00BB35C5">
        <w:rPr>
          <w:rFonts w:ascii="Arial" w:eastAsia="Arial" w:hAnsi="Arial" w:cs="Arial"/>
          <w:sz w:val="22"/>
          <w:lang w:val="es-ES_tradnl"/>
        </w:rPr>
        <w:t xml:space="preserve"> estos 19 puntos deberán ser repartidos entre los mismos, de tal manera que la sumatoria del puntaje de los factores de calidad escogidos por la entidad no sobrepase los 19 puntos.  </w:t>
      </w:r>
    </w:p>
    <w:p w14:paraId="59B04671" w14:textId="260DD7A2" w:rsidR="00EF6A03" w:rsidRPr="00BB35C5" w:rsidRDefault="00EF6A03" w:rsidP="00EF6A03">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 El Documento Tipo</w:t>
      </w:r>
      <w:r w:rsidR="00EA2744" w:rsidRPr="00BB35C5">
        <w:rPr>
          <w:rFonts w:ascii="Arial" w:eastAsia="Arial" w:hAnsi="Arial" w:cs="Arial"/>
          <w:sz w:val="22"/>
          <w:lang w:val="es-ES_tradnl"/>
        </w:rPr>
        <w:t xml:space="preserve"> </w:t>
      </w:r>
      <w:r w:rsidRPr="00BB35C5">
        <w:rPr>
          <w:rFonts w:ascii="Arial" w:eastAsia="Arial" w:hAnsi="Arial" w:cs="Arial"/>
          <w:sz w:val="22"/>
          <w:lang w:val="es-ES_tradnl"/>
        </w:rPr>
        <w:t>no limitaba al oferente frente</w:t>
      </w:r>
      <w:r w:rsidR="009E5CB1" w:rsidRPr="00BB35C5">
        <w:rPr>
          <w:rFonts w:ascii="Arial" w:eastAsia="Arial" w:hAnsi="Arial" w:cs="Arial"/>
          <w:sz w:val="22"/>
          <w:lang w:val="es-ES_tradnl"/>
        </w:rPr>
        <w:t xml:space="preserve"> al plazo de la garantía suplementaria o adicional</w:t>
      </w:r>
      <w:r w:rsidR="00BF7F99"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al número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w:t>
      </w:r>
      <w:r w:rsidR="00D31EDF" w:rsidRPr="00BB35C5">
        <w:rPr>
          <w:rFonts w:ascii="Arial" w:eastAsia="Arial" w:hAnsi="Arial" w:cs="Arial"/>
          <w:sz w:val="22"/>
          <w:lang w:val="es-ES_tradnl"/>
        </w:rPr>
        <w:t xml:space="preserve">de </w:t>
      </w:r>
      <w:r w:rsidRPr="00BB35C5">
        <w:rPr>
          <w:rFonts w:ascii="Arial" w:eastAsia="Arial" w:hAnsi="Arial" w:cs="Arial"/>
          <w:sz w:val="22"/>
          <w:lang w:val="es-ES_tradnl"/>
        </w:rPr>
        <w:t>la labor de análisis de las condiciones bajo las cuales presentaría su propuesta, además que cumplir estos ofrecimientos constituía</w:t>
      </w:r>
      <w:r w:rsidR="00D31EDF" w:rsidRPr="00BB35C5">
        <w:rPr>
          <w:rFonts w:ascii="Arial" w:eastAsia="Arial" w:hAnsi="Arial" w:cs="Arial"/>
          <w:sz w:val="22"/>
          <w:lang w:val="es-ES_tradnl"/>
        </w:rPr>
        <w:t xml:space="preserve"> –como sigue sucediendo– </w:t>
      </w:r>
      <w:r w:rsidRPr="00BB35C5">
        <w:rPr>
          <w:rFonts w:ascii="Arial" w:eastAsia="Arial" w:hAnsi="Arial" w:cs="Arial"/>
          <w:sz w:val="22"/>
          <w:lang w:val="es-ES_tradnl"/>
        </w:rPr>
        <w:t xml:space="preserve">una obligación contractual, con todas las consecuencias que ello apareja, de manera que los proponentes </w:t>
      </w:r>
      <w:r w:rsidR="00623482" w:rsidRPr="00BB35C5">
        <w:rPr>
          <w:rFonts w:ascii="Arial" w:eastAsia="Arial" w:hAnsi="Arial" w:cs="Arial"/>
          <w:sz w:val="22"/>
          <w:lang w:val="es-ES_tradnl"/>
        </w:rPr>
        <w:t>ofrecían</w:t>
      </w:r>
      <w:r w:rsidRPr="00BB35C5">
        <w:rPr>
          <w:rFonts w:ascii="Arial" w:eastAsia="Arial" w:hAnsi="Arial" w:cs="Arial"/>
          <w:sz w:val="22"/>
          <w:lang w:val="es-ES_tradnl"/>
        </w:rPr>
        <w:t xml:space="preserve"> lo que podían cumplir. </w:t>
      </w:r>
    </w:p>
    <w:p w14:paraId="5A8B33D1" w14:textId="66BAACEC" w:rsidR="00EF6A03" w:rsidRPr="00BB35C5" w:rsidRDefault="00EF6A03" w:rsidP="00EF6A03">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En ese sentido, antes de la expedición de la Resolución </w:t>
      </w:r>
      <w:r w:rsidR="005A43F3" w:rsidRPr="00BB35C5">
        <w:rPr>
          <w:rFonts w:ascii="Arial" w:eastAsia="Arial" w:hAnsi="Arial" w:cs="Arial"/>
          <w:sz w:val="22"/>
          <w:lang w:val="es-ES_tradnl"/>
        </w:rPr>
        <w:t xml:space="preserve">No. </w:t>
      </w:r>
      <w:r w:rsidRPr="00BB35C5">
        <w:rPr>
          <w:rFonts w:ascii="Arial" w:eastAsia="Arial" w:hAnsi="Arial" w:cs="Arial"/>
          <w:sz w:val="22"/>
          <w:lang w:val="es-ES_tradnl"/>
        </w:rPr>
        <w:t>116 del 21 de julio de 2020 las entidades estatales que aplican la versión 2 del Documento Tipo para procesos de licitación pública o selección abreviada de menor cuantía</w:t>
      </w:r>
      <w:r w:rsidR="00707ED3"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no se encontraban facultadas para fijar topes o un número máximo </w:t>
      </w:r>
      <w:r w:rsidR="00707ED3" w:rsidRPr="00BB35C5">
        <w:rPr>
          <w:rFonts w:ascii="Arial" w:eastAsia="Arial" w:hAnsi="Arial" w:cs="Arial"/>
          <w:sz w:val="22"/>
          <w:lang w:val="es-ES_tradnl"/>
        </w:rPr>
        <w:t>para los factores de calidad</w:t>
      </w:r>
      <w:r w:rsidRPr="00BB35C5">
        <w:rPr>
          <w:rFonts w:ascii="Arial" w:eastAsia="Arial" w:hAnsi="Arial" w:cs="Arial"/>
          <w:sz w:val="22"/>
          <w:lang w:val="es-ES_tradnl"/>
        </w:rPr>
        <w:t xml:space="preserve">, ya que, como se sostenía antes de la vigencia de la referida </w:t>
      </w:r>
      <w:r w:rsidR="0020299B" w:rsidRPr="00BB35C5">
        <w:rPr>
          <w:rFonts w:ascii="Arial" w:eastAsia="Arial" w:hAnsi="Arial" w:cs="Arial"/>
          <w:sz w:val="22"/>
          <w:lang w:val="es-ES_tradnl"/>
        </w:rPr>
        <w:t>R</w:t>
      </w:r>
      <w:r w:rsidRPr="00BB35C5">
        <w:rPr>
          <w:rFonts w:ascii="Arial" w:eastAsia="Arial" w:hAnsi="Arial" w:cs="Arial"/>
          <w:sz w:val="22"/>
          <w:lang w:val="es-ES_tradnl"/>
        </w:rPr>
        <w:t xml:space="preserve">esolución, esto dependía únicamente de los proponentes. Dicha postura se justificaba, además, en que las entidades no tienen la facultad de modificar los formatos «7E – Cuadrillas de trabajo adicional» y «7F – Mantenimiento adicional», en la medida </w:t>
      </w:r>
      <w:r w:rsidR="0020299B" w:rsidRPr="00BB35C5">
        <w:rPr>
          <w:rFonts w:ascii="Arial" w:eastAsia="Arial" w:hAnsi="Arial" w:cs="Arial"/>
          <w:sz w:val="22"/>
          <w:lang w:val="es-ES_tradnl"/>
        </w:rPr>
        <w:t xml:space="preserve">en </w:t>
      </w:r>
      <w:r w:rsidRPr="00BB35C5">
        <w:rPr>
          <w:rFonts w:ascii="Arial" w:eastAsia="Arial" w:hAnsi="Arial" w:cs="Arial"/>
          <w:sz w:val="22"/>
          <w:lang w:val="es-ES_tradnl"/>
        </w:rPr>
        <w:t xml:space="preserve">que estos son Documentos Tipo </w:t>
      </w:r>
      <w:r w:rsidR="00BB65C3" w:rsidRPr="00BB35C5">
        <w:rPr>
          <w:rFonts w:ascii="Arial" w:eastAsia="Arial" w:hAnsi="Arial" w:cs="Arial"/>
          <w:sz w:val="22"/>
          <w:lang w:val="es-ES_tradnl"/>
        </w:rPr>
        <w:t>gobernados</w:t>
      </w:r>
      <w:r w:rsidRPr="00BB35C5">
        <w:rPr>
          <w:rFonts w:ascii="Arial" w:eastAsia="Arial" w:hAnsi="Arial" w:cs="Arial"/>
          <w:sz w:val="22"/>
          <w:lang w:val="es-ES_tradnl"/>
        </w:rPr>
        <w:t xml:space="preserve"> </w:t>
      </w:r>
      <w:r w:rsidRPr="00BB35C5">
        <w:rPr>
          <w:rFonts w:ascii="Arial" w:eastAsia="Arial" w:hAnsi="Arial" w:cs="Arial"/>
          <w:sz w:val="22"/>
          <w:lang w:val="es-ES_tradnl"/>
        </w:rPr>
        <w:lastRenderedPageBreak/>
        <w:t>por el principio de inalterabilidad, por lo que solo pueden modificar los apartados entre corchetes y resaltados en gris</w:t>
      </w:r>
      <w:r w:rsidRPr="00BB35C5">
        <w:rPr>
          <w:rFonts w:ascii="Arial" w:eastAsia="Arial" w:hAnsi="Arial" w:cs="Arial"/>
          <w:sz w:val="22"/>
          <w:vertAlign w:val="superscript"/>
          <w:lang w:val="es-ES_tradnl"/>
        </w:rPr>
        <w:footnoteReference w:id="2"/>
      </w:r>
      <w:r w:rsidRPr="00BB35C5">
        <w:rPr>
          <w:rFonts w:ascii="Arial" w:eastAsia="Arial" w:hAnsi="Arial" w:cs="Arial"/>
          <w:sz w:val="22"/>
          <w:lang w:val="es-ES_tradnl"/>
        </w:rPr>
        <w:t>.</w:t>
      </w:r>
    </w:p>
    <w:p w14:paraId="2559D539" w14:textId="7EEAA74E" w:rsidR="00EF6A03" w:rsidRPr="00BB35C5" w:rsidRDefault="00EF6A03" w:rsidP="00D11182">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En consecuencia, </w:t>
      </w:r>
      <w:r w:rsidR="00B24C36" w:rsidRPr="00BB35C5">
        <w:rPr>
          <w:rFonts w:ascii="Arial" w:eastAsia="Arial" w:hAnsi="Arial" w:cs="Arial"/>
          <w:sz w:val="22"/>
          <w:lang w:val="es-ES_tradnl"/>
        </w:rPr>
        <w:t>antes</w:t>
      </w:r>
      <w:r w:rsidR="00261CF9" w:rsidRPr="00BB35C5">
        <w:rPr>
          <w:rFonts w:ascii="Arial" w:eastAsia="Arial" w:hAnsi="Arial" w:cs="Arial"/>
          <w:sz w:val="22"/>
          <w:lang w:val="es-ES_tradnl"/>
        </w:rPr>
        <w:t xml:space="preserve"> </w:t>
      </w:r>
      <w:r w:rsidR="00B24C36" w:rsidRPr="00BB35C5">
        <w:rPr>
          <w:rFonts w:ascii="Arial" w:eastAsia="Arial" w:hAnsi="Arial" w:cs="Arial"/>
          <w:sz w:val="22"/>
          <w:lang w:val="es-ES_tradnl"/>
        </w:rPr>
        <w:t>de</w:t>
      </w:r>
      <w:r w:rsidRPr="00BB35C5">
        <w:rPr>
          <w:rFonts w:ascii="Arial" w:eastAsia="Arial" w:hAnsi="Arial" w:cs="Arial"/>
          <w:sz w:val="22"/>
          <w:lang w:val="es-ES_tradnl"/>
        </w:rPr>
        <w:t xml:space="preserve"> la publicación de la Resolución </w:t>
      </w:r>
      <w:r w:rsidR="00544288" w:rsidRPr="00BB35C5">
        <w:rPr>
          <w:rFonts w:ascii="Arial" w:eastAsia="Arial" w:hAnsi="Arial" w:cs="Arial"/>
          <w:sz w:val="22"/>
          <w:lang w:val="es-ES_tradnl"/>
        </w:rPr>
        <w:t xml:space="preserve">No. </w:t>
      </w:r>
      <w:r w:rsidRPr="00BB35C5">
        <w:rPr>
          <w:rFonts w:ascii="Arial" w:eastAsia="Arial" w:hAnsi="Arial" w:cs="Arial"/>
          <w:sz w:val="22"/>
          <w:lang w:val="es-ES_tradnl"/>
        </w:rPr>
        <w:t>116 del 21 de julio de 2020</w:t>
      </w:r>
      <w:r w:rsidR="00D9405B"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el </w:t>
      </w:r>
      <w:r w:rsidR="00D9405B" w:rsidRPr="00BB35C5">
        <w:rPr>
          <w:rFonts w:ascii="Arial" w:eastAsia="Arial" w:hAnsi="Arial" w:cs="Arial"/>
          <w:sz w:val="22"/>
          <w:lang w:val="es-ES_tradnl"/>
        </w:rPr>
        <w:t>proponente</w:t>
      </w:r>
      <w:r w:rsidRPr="00BB35C5">
        <w:rPr>
          <w:rFonts w:ascii="Arial" w:eastAsia="Arial" w:hAnsi="Arial" w:cs="Arial"/>
          <w:sz w:val="22"/>
          <w:lang w:val="es-ES_tradnl"/>
        </w:rPr>
        <w:t xml:space="preserve"> tenía libertad y autonomía </w:t>
      </w:r>
      <w:r w:rsidR="0020299B" w:rsidRPr="00BB35C5">
        <w:rPr>
          <w:rFonts w:ascii="Arial" w:eastAsia="Arial" w:hAnsi="Arial" w:cs="Arial"/>
          <w:sz w:val="22"/>
          <w:lang w:val="es-ES_tradnl"/>
        </w:rPr>
        <w:t>para</w:t>
      </w:r>
      <w:r w:rsidRPr="00BB35C5">
        <w:rPr>
          <w:rFonts w:ascii="Arial" w:eastAsia="Arial" w:hAnsi="Arial" w:cs="Arial"/>
          <w:sz w:val="22"/>
          <w:lang w:val="es-ES_tradnl"/>
        </w:rPr>
        <w:t xml:space="preserve"> ofrecer </w:t>
      </w:r>
      <w:r w:rsidR="000A0861" w:rsidRPr="00BB35C5">
        <w:rPr>
          <w:rFonts w:ascii="Arial" w:eastAsia="Arial" w:hAnsi="Arial" w:cs="Arial"/>
          <w:sz w:val="22"/>
          <w:lang w:val="es-ES_tradnl"/>
        </w:rPr>
        <w:t xml:space="preserve">el </w:t>
      </w:r>
      <w:r w:rsidR="0044772C" w:rsidRPr="00BB35C5">
        <w:rPr>
          <w:rFonts w:ascii="Arial" w:eastAsia="Arial" w:hAnsi="Arial" w:cs="Arial"/>
          <w:sz w:val="22"/>
          <w:lang w:val="es-ES_tradnl"/>
        </w:rPr>
        <w:t xml:space="preserve">plazo de la garantía suplementaria o adicional, </w:t>
      </w:r>
      <w:r w:rsidRPr="00BB35C5">
        <w:rPr>
          <w:rFonts w:ascii="Arial" w:eastAsia="Arial" w:hAnsi="Arial" w:cs="Arial"/>
          <w:sz w:val="22"/>
          <w:lang w:val="es-ES_tradnl"/>
        </w:rPr>
        <w:t xml:space="preserve">el número de cuadrillas de trabajo y </w:t>
      </w:r>
      <w:r w:rsidR="00C27490" w:rsidRPr="00BB35C5">
        <w:rPr>
          <w:rFonts w:ascii="Arial" w:eastAsia="Arial" w:hAnsi="Arial" w:cs="Arial"/>
          <w:sz w:val="22"/>
          <w:lang w:val="es-ES_tradnl"/>
        </w:rPr>
        <w:t xml:space="preserve">los </w:t>
      </w:r>
      <w:r w:rsidRPr="00BB35C5">
        <w:rPr>
          <w:rFonts w:ascii="Arial" w:eastAsia="Arial" w:hAnsi="Arial" w:cs="Arial"/>
          <w:sz w:val="22"/>
          <w:lang w:val="es-ES_tradnl"/>
        </w:rPr>
        <w:t>meses de mantenimiento rutinario adicional.</w:t>
      </w:r>
      <w:r w:rsidR="00C27490" w:rsidRPr="00BB35C5">
        <w:rPr>
          <w:rFonts w:ascii="Arial" w:eastAsia="Arial" w:hAnsi="Arial" w:cs="Arial"/>
          <w:sz w:val="22"/>
          <w:lang w:val="es-ES_tradnl"/>
        </w:rPr>
        <w:t xml:space="preserve"> </w:t>
      </w:r>
      <w:r w:rsidRPr="00BB35C5">
        <w:rPr>
          <w:rFonts w:ascii="Arial" w:eastAsia="Arial" w:hAnsi="Arial" w:cs="Arial"/>
          <w:sz w:val="22"/>
          <w:lang w:val="es-ES_tradnl"/>
        </w:rPr>
        <w:t>Es decir, el Documento Tipo,</w:t>
      </w:r>
      <w:r w:rsidR="00492E4C" w:rsidRPr="00BB35C5">
        <w:rPr>
          <w:rFonts w:ascii="Arial" w:eastAsia="Arial" w:hAnsi="Arial" w:cs="Arial"/>
          <w:sz w:val="22"/>
          <w:lang w:val="es-ES_tradnl"/>
        </w:rPr>
        <w:t xml:space="preserve"> </w:t>
      </w:r>
      <w:r w:rsidRPr="00BB35C5">
        <w:rPr>
          <w:rFonts w:ascii="Arial" w:eastAsia="Arial" w:hAnsi="Arial" w:cs="Arial"/>
          <w:sz w:val="22"/>
          <w:lang w:val="es-ES_tradnl"/>
        </w:rPr>
        <w:t>antes de esa fecha, no limitaba los ofrecimientos realizados, y tampoco la entidad estatal estaba habilitada para establecer</w:t>
      </w:r>
      <w:r w:rsidR="000F4E17" w:rsidRPr="00BB35C5">
        <w:rPr>
          <w:rFonts w:ascii="Arial" w:eastAsia="Arial" w:hAnsi="Arial" w:cs="Arial"/>
          <w:sz w:val="22"/>
          <w:lang w:val="es-ES_tradnl"/>
        </w:rPr>
        <w:t xml:space="preserve"> </w:t>
      </w:r>
      <w:r w:rsidRPr="00BB35C5">
        <w:rPr>
          <w:rFonts w:ascii="Arial" w:eastAsia="Arial" w:hAnsi="Arial" w:cs="Arial"/>
          <w:sz w:val="22"/>
          <w:lang w:val="es-ES_tradnl"/>
        </w:rPr>
        <w:t>topes.</w:t>
      </w:r>
      <w:r w:rsidR="00C27490"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No obstante, en el evento que resultaba adjudicatario del proceso de contratación, los compromisos que se hicieran con ocasión de estos ofrecimientos se </w:t>
      </w:r>
      <w:r w:rsidR="00021A95" w:rsidRPr="00BB35C5">
        <w:rPr>
          <w:rFonts w:ascii="Arial" w:eastAsia="Arial" w:hAnsi="Arial" w:cs="Arial"/>
          <w:sz w:val="22"/>
          <w:lang w:val="es-ES_tradnl"/>
        </w:rPr>
        <w:t>convertían</w:t>
      </w:r>
      <w:r w:rsidRPr="00BB35C5">
        <w:rPr>
          <w:rFonts w:ascii="Arial" w:eastAsia="Arial" w:hAnsi="Arial" w:cs="Arial"/>
          <w:sz w:val="22"/>
          <w:lang w:val="es-ES_tradnl"/>
        </w:rPr>
        <w:t xml:space="preserve"> en obligaciones contractuales de </w:t>
      </w:r>
      <w:r w:rsidR="00D11182" w:rsidRPr="00BB35C5">
        <w:rPr>
          <w:rFonts w:ascii="Arial" w:eastAsia="Arial" w:hAnsi="Arial" w:cs="Arial"/>
          <w:sz w:val="22"/>
          <w:lang w:val="es-ES_tradnl"/>
        </w:rPr>
        <w:t>imperativo</w:t>
      </w:r>
      <w:r w:rsidRPr="00BB35C5">
        <w:rPr>
          <w:rFonts w:ascii="Arial" w:eastAsia="Arial" w:hAnsi="Arial" w:cs="Arial"/>
          <w:sz w:val="22"/>
          <w:lang w:val="es-ES_tradnl"/>
        </w:rPr>
        <w:t xml:space="preserve"> cumplimiento, so pena de activarse las consecuencias asociadas al incumplimiento, incluyendo el uso de facultades sancionatorias de las entidades estatales.</w:t>
      </w:r>
    </w:p>
    <w:p w14:paraId="2E258198" w14:textId="73894FEC" w:rsidR="00405487" w:rsidRPr="00BB35C5" w:rsidRDefault="00EF6A03" w:rsidP="00405487">
      <w:pPr>
        <w:tabs>
          <w:tab w:val="left" w:pos="709"/>
          <w:tab w:val="left" w:pos="7938"/>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Asimismo, el artículo 1603 del Código Civil indica que los contratos deben ejecutarse de buena fe y</w:t>
      </w:r>
      <w:r w:rsidR="00023DAE" w:rsidRPr="00BB35C5">
        <w:rPr>
          <w:rFonts w:ascii="Arial" w:eastAsia="Arial" w:hAnsi="Arial" w:cs="Arial"/>
          <w:sz w:val="22"/>
          <w:lang w:val="es-ES_tradnl"/>
        </w:rPr>
        <w:t xml:space="preserve"> </w:t>
      </w:r>
      <w:r w:rsidRPr="00BB35C5">
        <w:rPr>
          <w:rFonts w:ascii="Arial" w:eastAsia="Arial" w:hAnsi="Arial" w:cs="Arial"/>
          <w:sz w:val="22"/>
          <w:lang w:val="es-ES_tradnl"/>
        </w:rPr>
        <w:t>por consiguiente</w:t>
      </w:r>
      <w:r w:rsidR="00023DAE"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obligan no solo a lo que en ellos se expresa, sino a todas </w:t>
      </w:r>
      <w:r w:rsidR="00BB6C01" w:rsidRPr="00BB35C5">
        <w:rPr>
          <w:rFonts w:ascii="Arial" w:eastAsia="Arial" w:hAnsi="Arial" w:cs="Arial"/>
          <w:sz w:val="22"/>
          <w:lang w:val="es-ES_tradnl"/>
        </w:rPr>
        <w:t xml:space="preserve">las </w:t>
      </w:r>
      <w:r w:rsidRPr="00BB35C5">
        <w:rPr>
          <w:rFonts w:ascii="Arial" w:eastAsia="Arial" w:hAnsi="Arial" w:cs="Arial"/>
          <w:sz w:val="22"/>
          <w:lang w:val="es-ES_tradnl"/>
        </w:rPr>
        <w:t xml:space="preserve">cosas que emanan de la naturaleza de la obligación, o que por la ley pertenecen a ella. </w:t>
      </w:r>
      <w:r w:rsidR="00B323E0" w:rsidRPr="00BB35C5">
        <w:rPr>
          <w:rFonts w:ascii="Arial" w:eastAsia="Arial" w:hAnsi="Arial" w:cs="Arial"/>
          <w:sz w:val="22"/>
          <w:lang w:val="es-ES_tradnl"/>
        </w:rPr>
        <w:t xml:space="preserve">Por lo </w:t>
      </w:r>
      <w:proofErr w:type="gramStart"/>
      <w:r w:rsidR="00B323E0" w:rsidRPr="00BB35C5">
        <w:rPr>
          <w:rFonts w:ascii="Arial" w:eastAsia="Arial" w:hAnsi="Arial" w:cs="Arial"/>
          <w:sz w:val="22"/>
          <w:lang w:val="es-ES_tradnl"/>
        </w:rPr>
        <w:t>tanto</w:t>
      </w:r>
      <w:proofErr w:type="gramEnd"/>
      <w:r w:rsidRPr="00BB35C5">
        <w:rPr>
          <w:rFonts w:ascii="Arial" w:eastAsia="Arial" w:hAnsi="Arial" w:cs="Arial"/>
          <w:sz w:val="22"/>
          <w:lang w:val="es-ES_tradnl"/>
        </w:rPr>
        <w:t xml:space="preserve"> las partes, al comprometerse con su oferta a otorgar una garantía</w:t>
      </w:r>
      <w:r w:rsidR="00BB6C01" w:rsidRPr="00BB35C5">
        <w:rPr>
          <w:rFonts w:ascii="Arial" w:eastAsia="Arial" w:hAnsi="Arial" w:cs="Arial"/>
          <w:sz w:val="22"/>
          <w:lang w:val="es-ES_tradnl"/>
        </w:rPr>
        <w:t xml:space="preserve"> o mantenimiento</w:t>
      </w:r>
      <w:r w:rsidRPr="00BB35C5">
        <w:rPr>
          <w:rFonts w:ascii="Arial" w:eastAsia="Arial" w:hAnsi="Arial" w:cs="Arial"/>
          <w:sz w:val="22"/>
          <w:lang w:val="es-ES_tradnl"/>
        </w:rPr>
        <w:t xml:space="preserve"> por un tiempo adicional, o </w:t>
      </w:r>
      <w:r w:rsidR="00B323E0" w:rsidRPr="00BB35C5">
        <w:rPr>
          <w:rFonts w:ascii="Arial" w:eastAsia="Arial" w:hAnsi="Arial" w:cs="Arial"/>
          <w:sz w:val="22"/>
          <w:lang w:val="es-ES_tradnl"/>
        </w:rPr>
        <w:t xml:space="preserve">a </w:t>
      </w:r>
      <w:r w:rsidRPr="00BB35C5">
        <w:rPr>
          <w:rFonts w:ascii="Arial" w:eastAsia="Arial" w:hAnsi="Arial" w:cs="Arial"/>
          <w:sz w:val="22"/>
          <w:lang w:val="es-ES_tradnl"/>
        </w:rPr>
        <w:t>destinar a la ejecución del contrato un número de cuadrillas de trabajo adicional, estos ofrecimientos se convierten en una obligación contractual, que se debe cumplir en la ejecución del contrato ajustada a la buena fe</w:t>
      </w:r>
      <w:r w:rsidRPr="00BB35C5">
        <w:rPr>
          <w:rFonts w:ascii="Arial" w:eastAsia="Arial" w:hAnsi="Arial" w:cs="Arial"/>
          <w:sz w:val="22"/>
          <w:vertAlign w:val="superscript"/>
          <w:lang w:val="es-ES_tradnl"/>
        </w:rPr>
        <w:footnoteReference w:id="3"/>
      </w:r>
      <w:r w:rsidRPr="00BB35C5">
        <w:rPr>
          <w:rFonts w:ascii="Arial" w:eastAsia="Arial" w:hAnsi="Arial" w:cs="Arial"/>
          <w:sz w:val="22"/>
          <w:lang w:val="es-ES_tradnl"/>
        </w:rPr>
        <w:t xml:space="preserve">. </w:t>
      </w:r>
    </w:p>
    <w:p w14:paraId="03F3899F" w14:textId="344759BE" w:rsidR="00E27165" w:rsidRPr="00BB35C5" w:rsidRDefault="00405487" w:rsidP="00E27165">
      <w:pPr>
        <w:tabs>
          <w:tab w:val="left" w:pos="709"/>
        </w:tabs>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t>L</w:t>
      </w:r>
      <w:r w:rsidR="00E27165" w:rsidRPr="00BB35C5">
        <w:rPr>
          <w:rFonts w:ascii="Arial" w:eastAsia="Arial" w:hAnsi="Arial" w:cs="Arial"/>
          <w:sz w:val="22"/>
          <w:lang w:val="es-ES_tradnl"/>
        </w:rPr>
        <w:t xml:space="preserve">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30F33BE8" w14:textId="7C9D2494" w:rsidR="00E27165" w:rsidRPr="00BB35C5" w:rsidRDefault="00E27165" w:rsidP="00E27165">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En términos generales, en la referida </w:t>
      </w:r>
      <w:r w:rsidR="00822D06" w:rsidRPr="00BB35C5">
        <w:rPr>
          <w:rFonts w:ascii="Arial" w:eastAsia="Arial" w:hAnsi="Arial" w:cs="Arial"/>
          <w:sz w:val="22"/>
          <w:lang w:val="es-ES_tradnl"/>
        </w:rPr>
        <w:t>R</w:t>
      </w:r>
      <w:r w:rsidRPr="00BB35C5">
        <w:rPr>
          <w:rFonts w:ascii="Arial" w:eastAsia="Arial" w:hAnsi="Arial" w:cs="Arial"/>
          <w:sz w:val="22"/>
          <w:lang w:val="es-ES_tradnl"/>
        </w:rPr>
        <w:t>esolución se dispuso: i) que el ofrecimiento del proponente sobre la «garantía suplementaria o adicional» y el «mantenimiento adicional», no podrá</w:t>
      </w:r>
      <w:r w:rsidR="00D2104A" w:rsidRPr="00BB35C5">
        <w:rPr>
          <w:rFonts w:ascii="Arial" w:eastAsia="Arial" w:hAnsi="Arial" w:cs="Arial"/>
          <w:sz w:val="22"/>
          <w:lang w:val="es-ES_tradnl"/>
        </w:rPr>
        <w:t xml:space="preserve"> </w:t>
      </w:r>
      <w:r w:rsidRPr="00BB35C5">
        <w:rPr>
          <w:rFonts w:ascii="Arial" w:eastAsia="Arial" w:hAnsi="Arial" w:cs="Arial"/>
          <w:sz w:val="22"/>
          <w:lang w:val="es-ES_tradnl"/>
        </w:rPr>
        <w:t>superar el «[…] valor porcentual máximo entre el siguiente rango: entre el 30% y el 50% del plazo establecido por la entidad para la garantía de estabilidad y calidad de la obra […]»</w:t>
      </w:r>
      <w:r w:rsidRPr="00BB35C5">
        <w:rPr>
          <w:rStyle w:val="Refdenotaalpie"/>
          <w:rFonts w:ascii="Arial" w:eastAsia="Arial" w:hAnsi="Arial" w:cs="Arial"/>
          <w:sz w:val="22"/>
          <w:lang w:val="es-ES_tradnl"/>
        </w:rPr>
        <w:footnoteReference w:id="4"/>
      </w:r>
      <w:r w:rsidRPr="00BB35C5">
        <w:rPr>
          <w:rFonts w:ascii="Arial" w:eastAsia="Arial" w:hAnsi="Arial" w:cs="Arial"/>
          <w:sz w:val="22"/>
          <w:lang w:val="es-ES_tradnl"/>
        </w:rPr>
        <w:t xml:space="preserve">, valor porcentual que fija libremente la autoridad contratante dentro del </w:t>
      </w:r>
      <w:r w:rsidRPr="00BB35C5">
        <w:rPr>
          <w:rFonts w:ascii="Arial" w:eastAsia="Arial" w:hAnsi="Arial" w:cs="Arial"/>
          <w:sz w:val="22"/>
          <w:lang w:val="es-ES_tradnl"/>
        </w:rPr>
        <w:lastRenderedPageBreak/>
        <w:t>referido rango; y ii) que</w:t>
      </w:r>
      <w:r w:rsidR="0011165A" w:rsidRPr="00BB35C5">
        <w:rPr>
          <w:rFonts w:ascii="Arial" w:eastAsia="Arial" w:hAnsi="Arial" w:cs="Arial"/>
          <w:sz w:val="22"/>
          <w:lang w:val="es-ES_tradnl"/>
        </w:rPr>
        <w:t xml:space="preserve"> </w:t>
      </w:r>
      <w:r w:rsidRPr="00BB35C5">
        <w:rPr>
          <w:rFonts w:ascii="Arial" w:eastAsia="Arial" w:hAnsi="Arial" w:cs="Arial"/>
          <w:sz w:val="22"/>
          <w:lang w:val="es-ES_tradnl"/>
        </w:rPr>
        <w:t>en relación con las «cuadrillas de trabajo» adicionales, las entidades deben elegir si establecen un estimado de frentes de trabajo o si no lo establecen, pues, en el primer evento, «</w:t>
      </w:r>
      <w:r w:rsidRPr="00BB35C5">
        <w:rPr>
          <w:rFonts w:ascii="ArialMT" w:hAnsi="ArialMT"/>
          <w:sz w:val="22"/>
          <w:lang w:val="es-ES_tradnl"/>
        </w:rPr>
        <w:t xml:space="preserve">[e]l proponente </w:t>
      </w:r>
      <w:proofErr w:type="spellStart"/>
      <w:r w:rsidRPr="00BB35C5">
        <w:rPr>
          <w:rFonts w:ascii="ArialMT" w:hAnsi="ArialMT"/>
          <w:sz w:val="22"/>
          <w:lang w:val="es-ES_tradnl"/>
        </w:rPr>
        <w:t>podra</w:t>
      </w:r>
      <w:proofErr w:type="spellEnd"/>
      <w:r w:rsidRPr="00BB35C5">
        <w:rPr>
          <w:rFonts w:ascii="ArialMT" w:hAnsi="ArialMT"/>
          <w:sz w:val="22"/>
          <w:lang w:val="es-ES_tradnl"/>
        </w:rPr>
        <w:t>́ ofrecer hasta máximo 2 cuadrillas por cada frente de trabajo»</w:t>
      </w:r>
      <w:r w:rsidRPr="00BB35C5">
        <w:rPr>
          <w:rStyle w:val="Refdenotaalpie"/>
          <w:rFonts w:ascii="ArialMT" w:hAnsi="ArialMT"/>
          <w:sz w:val="22"/>
          <w:lang w:val="es-ES_tradnl"/>
        </w:rPr>
        <w:footnoteReference w:id="5"/>
      </w:r>
      <w:r w:rsidRPr="00BB35C5">
        <w:rPr>
          <w:rFonts w:ascii="ArialMT" w:hAnsi="ArialMT"/>
          <w:sz w:val="22"/>
          <w:lang w:val="es-ES_tradnl"/>
        </w:rPr>
        <w:t xml:space="preserve">, mientras que en el segundo, «[…] </w:t>
      </w:r>
      <w:proofErr w:type="spellStart"/>
      <w:r w:rsidRPr="00BB35C5">
        <w:rPr>
          <w:rFonts w:ascii="ArialMT" w:hAnsi="ArialMT"/>
          <w:sz w:val="22"/>
          <w:lang w:val="es-ES_tradnl"/>
        </w:rPr>
        <w:t>ofrecera</w:t>
      </w:r>
      <w:proofErr w:type="spellEnd"/>
      <w:r w:rsidRPr="00BB35C5">
        <w:rPr>
          <w:rFonts w:ascii="ArialMT" w:hAnsi="ArialMT"/>
          <w:sz w:val="22"/>
          <w:lang w:val="es-ES_tradnl"/>
        </w:rPr>
        <w:t>́ 1 cuadrilla adicional por cada 50 obreros que sean requeridos para el proyecto de infraestructura de transporte»</w:t>
      </w:r>
      <w:r w:rsidRPr="00BB35C5">
        <w:rPr>
          <w:rStyle w:val="Refdenotaalpie"/>
          <w:rFonts w:ascii="ArialMT" w:hAnsi="ArialMT"/>
          <w:sz w:val="22"/>
          <w:lang w:val="es-ES_tradnl"/>
        </w:rPr>
        <w:footnoteReference w:id="6"/>
      </w:r>
      <w:r w:rsidRPr="00BB35C5">
        <w:rPr>
          <w:rFonts w:ascii="ArialMT" w:hAnsi="ArialMT"/>
          <w:sz w:val="22"/>
          <w:lang w:val="es-ES_tradnl"/>
        </w:rPr>
        <w:t>.</w:t>
      </w:r>
    </w:p>
    <w:p w14:paraId="7EB62AD2" w14:textId="5A175D3F" w:rsidR="00EF6A03" w:rsidRPr="00BB35C5" w:rsidRDefault="00EF6A03" w:rsidP="001B4ADE">
      <w:pPr>
        <w:spacing w:line="276" w:lineRule="auto"/>
        <w:jc w:val="both"/>
        <w:rPr>
          <w:rFonts w:ascii="Arial" w:hAnsi="Arial" w:cs="Arial"/>
          <w:b/>
          <w:bCs/>
          <w:color w:val="000000" w:themeColor="text1"/>
          <w:sz w:val="22"/>
          <w:lang w:val="es-ES_tradnl"/>
        </w:rPr>
      </w:pPr>
    </w:p>
    <w:p w14:paraId="24156DF7" w14:textId="73493FE4" w:rsidR="007B0313" w:rsidRPr="00BB35C5" w:rsidRDefault="007B0313" w:rsidP="00D2104A">
      <w:pPr>
        <w:tabs>
          <w:tab w:val="left" w:pos="426"/>
        </w:tabs>
        <w:spacing w:line="276" w:lineRule="auto"/>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2.2. Vigencia de</w:t>
      </w:r>
      <w:r w:rsidR="009B422F" w:rsidRPr="00BB35C5">
        <w:rPr>
          <w:rFonts w:ascii="Arial" w:eastAsia="Calibri" w:hAnsi="Arial" w:cs="Arial"/>
          <w:b/>
          <w:color w:val="000000" w:themeColor="text1"/>
          <w:sz w:val="22"/>
          <w:lang w:val="es-ES_tradnl"/>
        </w:rPr>
        <w:t xml:space="preserve"> las disposiciones normativas </w:t>
      </w:r>
      <w:r w:rsidRPr="00BB35C5">
        <w:rPr>
          <w:rFonts w:ascii="Arial" w:eastAsia="Calibri" w:hAnsi="Arial" w:cs="Arial"/>
          <w:b/>
          <w:color w:val="000000" w:themeColor="text1"/>
          <w:sz w:val="22"/>
          <w:lang w:val="es-ES_tradnl"/>
        </w:rPr>
        <w:t>en el tiempo</w:t>
      </w:r>
    </w:p>
    <w:p w14:paraId="652864E2" w14:textId="77777777" w:rsidR="007B0313" w:rsidRPr="00BB35C5" w:rsidRDefault="007B0313" w:rsidP="00D2104A">
      <w:pPr>
        <w:spacing w:line="276" w:lineRule="auto"/>
        <w:jc w:val="both"/>
        <w:rPr>
          <w:rFonts w:ascii="Arial" w:eastAsia="Calibri" w:hAnsi="Arial" w:cs="Arial"/>
          <w:b/>
          <w:color w:val="000000" w:themeColor="text1"/>
          <w:sz w:val="22"/>
          <w:lang w:val="es-ES_tradnl"/>
        </w:rPr>
      </w:pPr>
    </w:p>
    <w:p w14:paraId="59B32F3B" w14:textId="639AB33C" w:rsidR="007B0313" w:rsidRPr="00BB35C5" w:rsidRDefault="007B0313" w:rsidP="00D2104A">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En el ordenamiento jurídico, por principio, las leyes, y en general</w:t>
      </w:r>
      <w:r w:rsidR="00C52D98"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 xml:space="preserve">los actos normativos, comienzan a regir a partir del momento en que se cumple la formalidad dispuesta para conferirles publicidad, pues con ello se busca garantizar que se pueda predicar la ficción normativa consistente en la presunción de conocimiento general del </w:t>
      </w:r>
      <w:r w:rsidR="00E623E6" w:rsidRPr="00BB35C5">
        <w:rPr>
          <w:rFonts w:ascii="Arial" w:eastAsia="Calibri" w:hAnsi="Arial" w:cs="Arial"/>
          <w:color w:val="000000" w:themeColor="text1"/>
          <w:sz w:val="22"/>
          <w:lang w:val="es-ES_tradnl"/>
        </w:rPr>
        <w:t>d</w:t>
      </w:r>
      <w:r w:rsidRPr="00BB35C5">
        <w:rPr>
          <w:rFonts w:ascii="Arial" w:eastAsia="Calibri" w:hAnsi="Arial" w:cs="Arial"/>
          <w:color w:val="000000" w:themeColor="text1"/>
          <w:sz w:val="22"/>
          <w:lang w:val="es-ES_tradnl"/>
        </w:rPr>
        <w:t>erecho; presunción que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w:t>
      </w:r>
      <w:r w:rsidR="00191C5A"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y principalmente para su seguridad jurídica</w:t>
      </w:r>
      <w:r w:rsidRPr="00BB35C5">
        <w:rPr>
          <w:rStyle w:val="Refdenotaalpie"/>
          <w:rFonts w:ascii="Arial" w:eastAsia="Calibri" w:hAnsi="Arial" w:cs="Arial"/>
          <w:color w:val="000000" w:themeColor="text1"/>
          <w:sz w:val="22"/>
          <w:lang w:val="es-ES_tradnl"/>
        </w:rPr>
        <w:footnoteReference w:id="7"/>
      </w:r>
      <w:r w:rsidRPr="00BB35C5">
        <w:rPr>
          <w:rFonts w:ascii="Arial" w:eastAsia="Calibri" w:hAnsi="Arial" w:cs="Arial"/>
          <w:color w:val="000000" w:themeColor="text1"/>
          <w:sz w:val="22"/>
          <w:lang w:val="es-ES_tradnl"/>
        </w:rPr>
        <w:t>.</w:t>
      </w:r>
    </w:p>
    <w:p w14:paraId="4A27D14F" w14:textId="0D8BCDBB" w:rsidR="007B0313" w:rsidRPr="00BB35C5" w:rsidRDefault="007B0313" w:rsidP="00F86B5D">
      <w:pPr>
        <w:spacing w:before="120"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w:t>
      </w:r>
      <w:r w:rsidR="002D0845" w:rsidRPr="00BB35C5">
        <w:rPr>
          <w:rFonts w:ascii="Arial" w:eastAsia="Calibri" w:hAnsi="Arial" w:cs="Arial"/>
          <w:color w:val="000000" w:themeColor="text1"/>
          <w:sz w:val="22"/>
          <w:lang w:val="es-ES_tradnl"/>
        </w:rPr>
        <w:t>dice</w:t>
      </w:r>
      <w:r w:rsidRPr="00BB35C5">
        <w:rPr>
          <w:rFonts w:ascii="Arial" w:eastAsia="Calibri" w:hAnsi="Arial" w:cs="Arial"/>
          <w:color w:val="000000" w:themeColor="text1"/>
          <w:sz w:val="22"/>
          <w:lang w:val="es-ES_tradnl"/>
        </w:rPr>
        <w:t xml:space="preserve"> su primer inciso–, el cual establece que «Nadie podrá ser juzgado sino conforme a leyes preexistentes al acto que se le imputa»; significando que nadie puede ser sancionado –no solo en el ámbito penal, sino también en el administrativo– sino al amparo de una disposición que se haya expedido </w:t>
      </w:r>
      <w:r w:rsidRPr="00BB35C5">
        <w:rPr>
          <w:rFonts w:ascii="Arial" w:eastAsia="Calibri" w:hAnsi="Arial" w:cs="Arial"/>
          <w:i/>
          <w:iCs/>
          <w:color w:val="000000" w:themeColor="text1"/>
          <w:sz w:val="22"/>
          <w:lang w:val="es-ES_tradnl"/>
        </w:rPr>
        <w:t>antes</w:t>
      </w:r>
      <w:r w:rsidRPr="00BB35C5">
        <w:rPr>
          <w:rFonts w:ascii="Arial" w:eastAsia="Calibri" w:hAnsi="Arial" w:cs="Arial"/>
          <w:color w:val="000000" w:themeColor="text1"/>
          <w:sz w:val="22"/>
          <w:lang w:val="es-ES_tradnl"/>
        </w:rPr>
        <w:t xml:space="preserve"> de la realización de la conducta activa u omisiva sobre la cual se imputa el reproche. Esto es lo que se conoce en el </w:t>
      </w:r>
      <w:r w:rsidR="008A00D9" w:rsidRPr="00BB35C5">
        <w:rPr>
          <w:rFonts w:ascii="Arial" w:eastAsia="Calibri" w:hAnsi="Arial" w:cs="Arial"/>
          <w:color w:val="000000" w:themeColor="text1"/>
          <w:sz w:val="22"/>
          <w:lang w:val="es-ES_tradnl"/>
        </w:rPr>
        <w:t>d</w:t>
      </w:r>
      <w:r w:rsidRPr="00BB35C5">
        <w:rPr>
          <w:rFonts w:ascii="Arial" w:eastAsia="Calibri" w:hAnsi="Arial" w:cs="Arial"/>
          <w:color w:val="000000" w:themeColor="text1"/>
          <w:sz w:val="22"/>
          <w:lang w:val="es-ES_tradnl"/>
        </w:rPr>
        <w:t xml:space="preserve">erecho como la </w:t>
      </w:r>
      <w:r w:rsidRPr="00BB35C5">
        <w:rPr>
          <w:rFonts w:ascii="Arial" w:eastAsia="Calibri" w:hAnsi="Arial" w:cs="Arial"/>
          <w:i/>
          <w:iCs/>
          <w:color w:val="000000" w:themeColor="text1"/>
          <w:sz w:val="22"/>
          <w:lang w:val="es-ES_tradnl"/>
        </w:rPr>
        <w:t>irretroactividad</w:t>
      </w:r>
      <w:r w:rsidRPr="00BB35C5">
        <w:rPr>
          <w:rFonts w:ascii="Arial" w:eastAsia="Calibri" w:hAnsi="Arial" w:cs="Arial"/>
          <w:color w:val="000000" w:themeColor="text1"/>
          <w:sz w:val="22"/>
          <w:lang w:val="es-ES_tradnl"/>
        </w:rPr>
        <w:t xml:space="preserve"> de las leyes.</w:t>
      </w:r>
    </w:p>
    <w:p w14:paraId="7495AC99" w14:textId="0598378B" w:rsidR="007B0313" w:rsidRPr="00BB35C5" w:rsidRDefault="007B0313" w:rsidP="00F86B5D">
      <w:pPr>
        <w:spacing w:before="120"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nos referimos a los artículos 17 al 49 de la Ley 153 de 1887. Pero, por su aplicación al caso concreto</w:t>
      </w:r>
      <w:r w:rsidR="00F72389"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que se analiza en este concepto, se resaltan los siguientes artículos de dicha Ley:</w:t>
      </w:r>
    </w:p>
    <w:p w14:paraId="2D0B4ED0" w14:textId="77777777" w:rsidR="007B0313" w:rsidRPr="00BB35C5" w:rsidRDefault="007B0313" w:rsidP="00D2104A">
      <w:pPr>
        <w:spacing w:line="276" w:lineRule="auto"/>
        <w:ind w:firstLine="709"/>
        <w:jc w:val="both"/>
        <w:rPr>
          <w:rFonts w:ascii="Arial" w:eastAsia="Calibri" w:hAnsi="Arial" w:cs="Arial"/>
          <w:color w:val="000000" w:themeColor="text1"/>
          <w:sz w:val="22"/>
          <w:lang w:val="es-ES_tradnl"/>
        </w:rPr>
      </w:pPr>
    </w:p>
    <w:p w14:paraId="25DB4453" w14:textId="1736BF6D" w:rsidR="007B0313" w:rsidRPr="00BB35C5" w:rsidRDefault="007E7432"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lastRenderedPageBreak/>
        <w:t>Artículo</w:t>
      </w:r>
      <w:r w:rsidR="007B0313" w:rsidRPr="00BB35C5">
        <w:rPr>
          <w:rFonts w:ascii="Arial" w:hAnsi="Arial" w:cs="Arial"/>
          <w:color w:val="000000" w:themeColor="text1"/>
          <w:sz w:val="21"/>
          <w:szCs w:val="21"/>
          <w:lang w:val="es-ES_tradnl"/>
        </w:rPr>
        <w:t xml:space="preserve"> 38. En todo contrato se entenderán incorporadas las leyes vigentes al tiempo de su celebración. </w:t>
      </w:r>
    </w:p>
    <w:p w14:paraId="67D8F7EC"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w:t>
      </w:r>
    </w:p>
    <w:p w14:paraId="09ABF56D" w14:textId="77777777" w:rsidR="007B0313" w:rsidRPr="00BB35C5" w:rsidRDefault="007B0313" w:rsidP="00D2104A">
      <w:pPr>
        <w:ind w:left="709" w:right="709"/>
        <w:jc w:val="both"/>
        <w:rPr>
          <w:rFonts w:ascii="Arial" w:hAnsi="Arial" w:cs="Arial"/>
          <w:color w:val="000000" w:themeColor="text1"/>
          <w:sz w:val="21"/>
          <w:szCs w:val="21"/>
          <w:lang w:val="es-ES_tradnl"/>
        </w:rPr>
      </w:pPr>
      <w:proofErr w:type="spellStart"/>
      <w:r w:rsidRPr="00BB35C5">
        <w:rPr>
          <w:rFonts w:ascii="Arial" w:hAnsi="Arial" w:cs="Arial"/>
          <w:color w:val="000000" w:themeColor="text1"/>
          <w:sz w:val="21"/>
          <w:szCs w:val="21"/>
          <w:lang w:val="es-ES_tradnl"/>
        </w:rPr>
        <w:t>Exceptúanse</w:t>
      </w:r>
      <w:proofErr w:type="spellEnd"/>
      <w:r w:rsidRPr="00BB35C5">
        <w:rPr>
          <w:rFonts w:ascii="Arial" w:hAnsi="Arial" w:cs="Arial"/>
          <w:color w:val="000000" w:themeColor="text1"/>
          <w:sz w:val="21"/>
          <w:szCs w:val="21"/>
          <w:lang w:val="es-ES_tradnl"/>
        </w:rPr>
        <w:t xml:space="preserve"> de esta disposición: </w:t>
      </w:r>
    </w:p>
    <w:p w14:paraId="24F2FE29"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w:t>
      </w:r>
    </w:p>
    <w:p w14:paraId="190D4124"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1. Las leyes concernientes al modo de reclamar en juicio los derechos que resultaren del contrato, y </w:t>
      </w:r>
    </w:p>
    <w:p w14:paraId="2C88B82E"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w:t>
      </w:r>
    </w:p>
    <w:p w14:paraId="140E75BC"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09C7698B" w14:textId="77777777" w:rsidR="007B0313" w:rsidRPr="00BB35C5" w:rsidRDefault="007B0313" w:rsidP="00D2104A">
      <w:pPr>
        <w:jc w:val="both"/>
        <w:rPr>
          <w:rFonts w:ascii="Times New Roman" w:eastAsia="Times New Roman" w:hAnsi="Times New Roman" w:cs="Times New Roman"/>
          <w:color w:val="000000" w:themeColor="text1"/>
          <w:szCs w:val="24"/>
          <w:lang w:val="es-ES_tradnl" w:eastAsia="es-ES_tradnl"/>
        </w:rPr>
      </w:pPr>
    </w:p>
    <w:p w14:paraId="64E1286A" w14:textId="77777777" w:rsidR="007E7432" w:rsidRPr="00BB35C5" w:rsidRDefault="007E7432" w:rsidP="007E7432">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xml:space="preserve">Artículo </w:t>
      </w:r>
      <w:proofErr w:type="gramStart"/>
      <w:r w:rsidRPr="00BB35C5">
        <w:rPr>
          <w:rFonts w:ascii="Arial" w:hAnsi="Arial" w:cs="Arial"/>
          <w:color w:val="000000" w:themeColor="text1"/>
          <w:sz w:val="21"/>
          <w:szCs w:val="21"/>
          <w:lang w:val="es-ES_tradnl"/>
        </w:rPr>
        <w:t>40.Las</w:t>
      </w:r>
      <w:proofErr w:type="gramEnd"/>
      <w:r w:rsidRPr="00BB35C5">
        <w:rPr>
          <w:rFonts w:ascii="Arial" w:hAnsi="Arial" w:cs="Arial"/>
          <w:color w:val="000000" w:themeColor="text1"/>
          <w:sz w:val="21"/>
          <w:szCs w:val="21"/>
          <w:lang w:val="es-ES_tradnl"/>
        </w:rPr>
        <w:t xml:space="preserve"> leyes concernientes a la sustanciación y ritualidad de los juicios prevalecen sobre las anteriores desde el momento en que deben empezar a regir. </w:t>
      </w:r>
    </w:p>
    <w:p w14:paraId="37C9B2A8" w14:textId="5BED511E" w:rsidR="007E7432" w:rsidRPr="00BB35C5" w:rsidRDefault="007E7432" w:rsidP="007E7432">
      <w:pPr>
        <w:ind w:right="709"/>
        <w:jc w:val="both"/>
        <w:rPr>
          <w:rFonts w:ascii="Arial" w:hAnsi="Arial" w:cs="Arial"/>
          <w:color w:val="000000" w:themeColor="text1"/>
          <w:sz w:val="21"/>
          <w:szCs w:val="21"/>
          <w:lang w:val="es-ES_tradnl"/>
        </w:rPr>
      </w:pPr>
    </w:p>
    <w:p w14:paraId="4FD7AA6D" w14:textId="77777777" w:rsidR="007E7432" w:rsidRPr="00BB35C5" w:rsidRDefault="007E7432" w:rsidP="007E7432">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07BBF685" w14:textId="6E130296" w:rsidR="007E7432" w:rsidRPr="00BB35C5" w:rsidRDefault="007E7432" w:rsidP="007E7432">
      <w:pPr>
        <w:ind w:right="709"/>
        <w:jc w:val="both"/>
        <w:rPr>
          <w:rFonts w:ascii="Arial" w:hAnsi="Arial" w:cs="Arial"/>
          <w:color w:val="000000" w:themeColor="text1"/>
          <w:sz w:val="21"/>
          <w:szCs w:val="21"/>
          <w:lang w:val="es-ES_tradnl"/>
        </w:rPr>
      </w:pPr>
    </w:p>
    <w:p w14:paraId="42791F84" w14:textId="50ED1406" w:rsidR="007B0313" w:rsidRPr="00BB35C5" w:rsidRDefault="007E7432" w:rsidP="007E7432">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3BBAF3B4" w14:textId="77777777" w:rsidR="007B0313" w:rsidRPr="00BB35C5" w:rsidRDefault="007B0313" w:rsidP="00D2104A">
      <w:pPr>
        <w:ind w:left="709" w:right="709"/>
        <w:jc w:val="both"/>
        <w:rPr>
          <w:rFonts w:ascii="Arial" w:hAnsi="Arial" w:cs="Arial"/>
          <w:color w:val="000000" w:themeColor="text1"/>
          <w:sz w:val="21"/>
          <w:szCs w:val="21"/>
          <w:lang w:val="es-ES_tradnl"/>
        </w:rPr>
      </w:pPr>
    </w:p>
    <w:p w14:paraId="6C0B4590" w14:textId="5E95F0F8" w:rsidR="00A157A0" w:rsidRPr="00BB35C5" w:rsidRDefault="007B0313" w:rsidP="00A157A0">
      <w:pPr>
        <w:spacing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De dichos enunciados se pueden extraer las siguientes subreglas: i) </w:t>
      </w:r>
      <w:r w:rsidR="00300CB4" w:rsidRPr="00BB35C5">
        <w:rPr>
          <w:rFonts w:ascii="Arial" w:eastAsia="Calibri" w:hAnsi="Arial" w:cs="Arial"/>
          <w:color w:val="000000" w:themeColor="text1"/>
          <w:sz w:val="22"/>
          <w:lang w:val="es-ES_tradnl"/>
        </w:rPr>
        <w:t>e</w:t>
      </w:r>
      <w:r w:rsidRPr="00BB35C5">
        <w:rPr>
          <w:rFonts w:ascii="Arial" w:eastAsia="Calibri" w:hAnsi="Arial" w:cs="Arial"/>
          <w:color w:val="000000" w:themeColor="text1"/>
          <w:sz w:val="22"/>
          <w:lang w:val="es-ES_tradnl"/>
        </w:rPr>
        <w:t>n principio, las leyes promulgadas rigen hacia el futuro, es decir</w:t>
      </w:r>
      <w:r w:rsidR="00400054"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no regulan situaciones del pasado; son, pues, </w:t>
      </w:r>
      <w:proofErr w:type="spellStart"/>
      <w:r w:rsidRPr="00BB35C5">
        <w:rPr>
          <w:rFonts w:ascii="Arial" w:eastAsia="Calibri" w:hAnsi="Arial" w:cs="Arial"/>
          <w:color w:val="000000" w:themeColor="text1"/>
          <w:sz w:val="22"/>
          <w:lang w:val="es-ES_tradnl"/>
        </w:rPr>
        <w:t>irretroactivas</w:t>
      </w:r>
      <w:proofErr w:type="spellEnd"/>
      <w:r w:rsidRPr="00BB35C5">
        <w:rPr>
          <w:rFonts w:ascii="Arial" w:eastAsia="Calibri" w:hAnsi="Arial" w:cs="Arial"/>
          <w:color w:val="000000" w:themeColor="text1"/>
          <w:sz w:val="22"/>
          <w:lang w:val="es-ES_tradnl"/>
        </w:rPr>
        <w:t>; en consecuencia, nadie puede ser «juzgado» ni sancionado, sino conforme a leyes preexistentes al acto que se imputa; ii) por lo tanto, las leyes que regulan los contratos son las vigentes al momento de su celebración; es decir que si</w:t>
      </w:r>
      <w:r w:rsidR="005C1954"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subregla, a su vez, tiene dos hipótesis: 1</w:t>
      </w:r>
      <w:r w:rsidR="00635E32"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w:t>
      </w:r>
      <w:r w:rsidR="00470D92" w:rsidRPr="00BB35C5">
        <w:rPr>
          <w:rFonts w:ascii="Arial" w:eastAsia="Calibri" w:hAnsi="Arial" w:cs="Arial"/>
          <w:color w:val="000000" w:themeColor="text1"/>
          <w:sz w:val="22"/>
          <w:lang w:val="es-ES_tradnl"/>
        </w:rPr>
        <w:t>s</w:t>
      </w:r>
      <w:r w:rsidRPr="00BB35C5">
        <w:rPr>
          <w:rFonts w:ascii="Arial" w:eastAsia="Calibri" w:hAnsi="Arial" w:cs="Arial"/>
          <w:color w:val="000000" w:themeColor="text1"/>
          <w:sz w:val="22"/>
          <w:lang w:val="es-ES_tradnl"/>
        </w:rPr>
        <w:t>i la ley posterior es más favorable que la que estaba vigente cuando, supuestamente, se cometió la falta o delito, se debe aplicar la posterior al momento de sancionar; en otras palabras, se exige</w:t>
      </w:r>
      <w:r w:rsidR="00B426E1"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en este caso</w:t>
      </w:r>
      <w:r w:rsidR="00B426E1"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la aplicación retroactiva de la ley; y 2</w:t>
      </w:r>
      <w:r w:rsidR="000077FD"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w:t>
      </w:r>
      <w:r w:rsidR="00470D92" w:rsidRPr="00BB35C5">
        <w:rPr>
          <w:rFonts w:ascii="Arial" w:eastAsia="Calibri" w:hAnsi="Arial" w:cs="Arial"/>
          <w:color w:val="000000" w:themeColor="text1"/>
          <w:sz w:val="22"/>
          <w:lang w:val="es-ES_tradnl"/>
        </w:rPr>
        <w:t>s</w:t>
      </w:r>
      <w:r w:rsidRPr="00BB35C5">
        <w:rPr>
          <w:rFonts w:ascii="Arial" w:eastAsia="Calibri" w:hAnsi="Arial" w:cs="Arial"/>
          <w:color w:val="000000" w:themeColor="text1"/>
          <w:sz w:val="22"/>
          <w:lang w:val="es-ES_tradnl"/>
        </w:rPr>
        <w:t xml:space="preserve">i una persona se encuentra </w:t>
      </w:r>
      <w:r w:rsidR="00D0368E" w:rsidRPr="00BB35C5">
        <w:rPr>
          <w:rFonts w:ascii="Arial" w:eastAsia="Calibri" w:hAnsi="Arial" w:cs="Arial"/>
          <w:color w:val="000000" w:themeColor="text1"/>
          <w:sz w:val="22"/>
          <w:lang w:val="es-ES_tradnl"/>
        </w:rPr>
        <w:t>cumpliendo</w:t>
      </w:r>
      <w:r w:rsidRPr="00BB35C5">
        <w:rPr>
          <w:rFonts w:ascii="Arial" w:eastAsia="Calibri" w:hAnsi="Arial" w:cs="Arial"/>
          <w:color w:val="000000" w:themeColor="text1"/>
          <w:sz w:val="22"/>
          <w:lang w:val="es-ES_tradnl"/>
        </w:rPr>
        <w:t xml:space="preserve"> una sanción impuesta en vigencia de una ley y se expide posteriormente una que elimina el delito o falta, lo indulta o </w:t>
      </w:r>
      <w:r w:rsidRPr="00BB35C5">
        <w:rPr>
          <w:rFonts w:ascii="Arial" w:eastAsia="Calibri" w:hAnsi="Arial" w:cs="Arial"/>
          <w:color w:val="000000" w:themeColor="text1"/>
          <w:sz w:val="22"/>
          <w:lang w:val="es-ES_tradnl"/>
        </w:rPr>
        <w:lastRenderedPageBreak/>
        <w:t>rebaja la sanción, también debe aplicarse retroactivamente la ley posterior</w:t>
      </w:r>
      <w:r w:rsidRPr="00BB35C5">
        <w:rPr>
          <w:rStyle w:val="Refdenotaalpie"/>
          <w:rFonts w:ascii="Arial" w:eastAsia="Calibri" w:hAnsi="Arial" w:cs="Arial"/>
          <w:color w:val="000000" w:themeColor="text1"/>
          <w:sz w:val="22"/>
          <w:lang w:val="es-ES_tradnl"/>
        </w:rPr>
        <w:footnoteReference w:id="8"/>
      </w:r>
      <w:r w:rsidRPr="00BB35C5">
        <w:rPr>
          <w:rFonts w:ascii="Arial" w:eastAsia="Calibri" w:hAnsi="Arial" w:cs="Arial"/>
          <w:color w:val="000000" w:themeColor="text1"/>
          <w:sz w:val="22"/>
          <w:lang w:val="es-ES_tradnl"/>
        </w:rPr>
        <w:t>.</w:t>
      </w:r>
      <w:r w:rsidR="00456DDB"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Así lo ha entendido la Corte Constitucional, al indicar que en las actuaciones administrativas se debe aplicar el principio de favorabilidad. Fue esta la tesis que defendió en la Sentencia C-619 de 2001, que estudió la demanda de inconstitucionalidad en contra del primer inciso del artículo 67 de la Ley 610 de 2000</w:t>
      </w:r>
      <w:r w:rsidRPr="00BB35C5">
        <w:rPr>
          <w:rStyle w:val="Refdenotaalpie"/>
          <w:rFonts w:ascii="Arial" w:eastAsia="Calibri" w:hAnsi="Arial" w:cs="Arial"/>
          <w:color w:val="000000" w:themeColor="text1"/>
          <w:sz w:val="22"/>
          <w:lang w:val="es-ES_tradnl"/>
        </w:rPr>
        <w:footnoteReference w:id="9"/>
      </w:r>
      <w:r w:rsidRPr="00BB35C5">
        <w:rPr>
          <w:rFonts w:ascii="Arial" w:eastAsia="Calibri" w:hAnsi="Arial" w:cs="Arial"/>
          <w:color w:val="000000" w:themeColor="text1"/>
          <w:sz w:val="22"/>
          <w:lang w:val="es-ES_tradnl"/>
        </w:rPr>
        <w:t xml:space="preserve">. </w:t>
      </w:r>
    </w:p>
    <w:p w14:paraId="4C78B418" w14:textId="77777777" w:rsidR="0049695B" w:rsidRDefault="00456DDB" w:rsidP="00A157A0">
      <w:pPr>
        <w:spacing w:before="120" w:line="276" w:lineRule="auto"/>
        <w:ind w:firstLine="709"/>
        <w:jc w:val="both"/>
        <w:rPr>
          <w:rFonts w:ascii="Arial" w:eastAsia="Arial" w:hAnsi="Arial" w:cs="Arial"/>
          <w:sz w:val="22"/>
          <w:lang w:val="es-ES_tradnl"/>
        </w:rPr>
      </w:pPr>
      <w:r w:rsidRPr="00BB35C5">
        <w:rPr>
          <w:rFonts w:ascii="Arial" w:eastAsia="Calibri" w:hAnsi="Arial" w:cs="Arial"/>
          <w:color w:val="000000" w:themeColor="text1"/>
          <w:sz w:val="22"/>
          <w:lang w:val="es-ES_tradnl"/>
        </w:rPr>
        <w:t xml:space="preserve">En relación con </w:t>
      </w:r>
      <w:r w:rsidR="00646B20" w:rsidRPr="00BB35C5">
        <w:rPr>
          <w:rFonts w:ascii="Arial" w:eastAsia="Calibri" w:hAnsi="Arial" w:cs="Arial"/>
          <w:color w:val="000000" w:themeColor="text1"/>
          <w:sz w:val="22"/>
          <w:lang w:val="es-ES_tradnl"/>
        </w:rPr>
        <w:t xml:space="preserve">las normas procesales, el artículo 40 de la Ley 153 de 1887 es claro en el sentido de </w:t>
      </w:r>
      <w:r w:rsidR="00881E64" w:rsidRPr="00BB35C5">
        <w:rPr>
          <w:rFonts w:ascii="Arial" w:eastAsia="Calibri" w:hAnsi="Arial" w:cs="Arial"/>
          <w:color w:val="000000" w:themeColor="text1"/>
          <w:sz w:val="22"/>
          <w:lang w:val="es-ES_tradnl"/>
        </w:rPr>
        <w:t xml:space="preserve">indicar </w:t>
      </w:r>
      <w:r w:rsidR="00646B20" w:rsidRPr="00BB35C5">
        <w:rPr>
          <w:rFonts w:ascii="Arial" w:eastAsia="Calibri" w:hAnsi="Arial" w:cs="Arial"/>
          <w:color w:val="000000" w:themeColor="text1"/>
          <w:sz w:val="22"/>
          <w:lang w:val="es-ES_tradnl"/>
        </w:rPr>
        <w:t>que l</w:t>
      </w:r>
      <w:r w:rsidR="00B73019" w:rsidRPr="00BB35C5">
        <w:rPr>
          <w:rFonts w:ascii="Arial" w:eastAsia="Calibri" w:hAnsi="Arial" w:cs="Arial"/>
          <w:color w:val="000000" w:themeColor="text1"/>
          <w:sz w:val="22"/>
          <w:lang w:val="es-ES_tradnl"/>
        </w:rPr>
        <w:t>as diligencias o etapas que se hubieren iniciado continúan rigiéndose por las normas vigentes en el momento de comenzar el trámite, lo cual también se aplica a los procedimientos administrativos</w:t>
      </w:r>
      <w:r w:rsidR="0073114B" w:rsidRPr="00BB35C5">
        <w:rPr>
          <w:rFonts w:ascii="Arial" w:eastAsia="Calibri" w:hAnsi="Arial" w:cs="Arial"/>
          <w:color w:val="000000" w:themeColor="text1"/>
          <w:sz w:val="22"/>
          <w:lang w:val="es-ES_tradnl"/>
        </w:rPr>
        <w:t>, y dentro de estos, a los de selección.</w:t>
      </w:r>
      <w:r w:rsidR="00927E8D" w:rsidRPr="00BB35C5">
        <w:rPr>
          <w:rFonts w:ascii="Arial" w:eastAsia="Calibri" w:hAnsi="Arial" w:cs="Arial"/>
          <w:color w:val="000000" w:themeColor="text1"/>
          <w:sz w:val="22"/>
          <w:lang w:val="es-ES_tradnl"/>
        </w:rPr>
        <w:t xml:space="preserve"> Esto permite concluir que la Resolución </w:t>
      </w:r>
      <w:r w:rsidR="00927E8D" w:rsidRPr="00BB35C5">
        <w:rPr>
          <w:rFonts w:ascii="Arial" w:eastAsia="Arial" w:hAnsi="Arial" w:cs="Arial"/>
          <w:sz w:val="22"/>
          <w:lang w:val="es-ES_tradnl"/>
        </w:rPr>
        <w:t xml:space="preserve">No. 116 del 21 de julio de 2020 es obligatoria para los procedimientos de licitación pública y de selección abreviada de menor cuantía de infraestructura de transporte </w:t>
      </w:r>
      <w:r w:rsidR="007B1D1B" w:rsidRPr="00BB35C5">
        <w:rPr>
          <w:rFonts w:ascii="Arial" w:eastAsia="Arial" w:hAnsi="Arial" w:cs="Arial"/>
          <w:sz w:val="22"/>
          <w:lang w:val="es-ES_tradnl"/>
        </w:rPr>
        <w:t xml:space="preserve">iniciados con posterioridad a su </w:t>
      </w:r>
      <w:proofErr w:type="gramStart"/>
      <w:r w:rsidR="007B1D1B" w:rsidRPr="00BB35C5">
        <w:rPr>
          <w:rFonts w:ascii="Arial" w:eastAsia="Arial" w:hAnsi="Arial" w:cs="Arial"/>
          <w:sz w:val="22"/>
          <w:lang w:val="es-ES_tradnl"/>
        </w:rPr>
        <w:t>entrada en vigencia</w:t>
      </w:r>
      <w:proofErr w:type="gramEnd"/>
      <w:r w:rsidR="007B1D1B" w:rsidRPr="00BB35C5">
        <w:rPr>
          <w:rFonts w:ascii="Arial" w:eastAsia="Arial" w:hAnsi="Arial" w:cs="Arial"/>
          <w:sz w:val="22"/>
          <w:lang w:val="es-ES_tradnl"/>
        </w:rPr>
        <w:t>; no a los anteriores.</w:t>
      </w:r>
      <w:r w:rsidR="00EA560B" w:rsidRPr="00BB35C5">
        <w:rPr>
          <w:rFonts w:ascii="Arial" w:eastAsia="Arial" w:hAnsi="Arial" w:cs="Arial"/>
          <w:sz w:val="22"/>
          <w:lang w:val="es-ES_tradnl"/>
        </w:rPr>
        <w:t xml:space="preserve"> </w:t>
      </w:r>
      <w:r w:rsidR="00F51765" w:rsidRPr="00BB35C5">
        <w:rPr>
          <w:rFonts w:ascii="Arial" w:eastAsia="Arial" w:hAnsi="Arial" w:cs="Arial"/>
          <w:sz w:val="22"/>
          <w:lang w:val="es-ES_tradnl"/>
        </w:rPr>
        <w:t>E</w:t>
      </w:r>
      <w:r w:rsidR="00EA560B" w:rsidRPr="00BB35C5">
        <w:rPr>
          <w:rFonts w:ascii="Arial" w:eastAsia="Arial" w:hAnsi="Arial" w:cs="Arial"/>
          <w:sz w:val="22"/>
          <w:lang w:val="es-ES_tradnl"/>
        </w:rPr>
        <w:t xml:space="preserve">l artículo </w:t>
      </w:r>
      <w:r w:rsidR="00D11807" w:rsidRPr="00BB35C5">
        <w:rPr>
          <w:rFonts w:ascii="Arial" w:eastAsia="Arial" w:hAnsi="Arial" w:cs="Arial"/>
          <w:sz w:val="22"/>
          <w:lang w:val="es-ES_tradnl"/>
        </w:rPr>
        <w:t>4º del referido acto administrativo dispone que «Esta resolución rige a partir de su publicación», pero est</w:t>
      </w:r>
      <w:r w:rsidR="00AC2E53" w:rsidRPr="00BB35C5">
        <w:rPr>
          <w:rFonts w:ascii="Arial" w:eastAsia="Arial" w:hAnsi="Arial" w:cs="Arial"/>
          <w:sz w:val="22"/>
          <w:lang w:val="es-ES_tradnl"/>
        </w:rPr>
        <w:t>e precepto debe interpretarse con el matiz previsto para las normas anteriores, en el artículo 40 de la Ley 153 de 1887.</w:t>
      </w:r>
      <w:r w:rsidR="005A2120" w:rsidRPr="00BB35C5">
        <w:rPr>
          <w:rFonts w:ascii="Arial" w:eastAsia="Arial" w:hAnsi="Arial" w:cs="Arial"/>
          <w:sz w:val="22"/>
          <w:lang w:val="es-ES_tradnl"/>
        </w:rPr>
        <w:t xml:space="preserve"> </w:t>
      </w:r>
    </w:p>
    <w:p w14:paraId="4D611214" w14:textId="7FB7310C" w:rsidR="00627532" w:rsidRDefault="005A2120" w:rsidP="00A157A0">
      <w:pPr>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t xml:space="preserve">En otras palabras, si bien por regla general las normas que regulan la sustanciación de los procedimientos comienzan a regir desde el momento en el que se cumple con la formalidad de </w:t>
      </w:r>
      <w:r w:rsidR="00962A50" w:rsidRPr="00BB35C5">
        <w:rPr>
          <w:rFonts w:ascii="Arial" w:eastAsia="Arial" w:hAnsi="Arial" w:cs="Arial"/>
          <w:sz w:val="22"/>
          <w:lang w:val="es-ES_tradnl"/>
        </w:rPr>
        <w:t>la</w:t>
      </w:r>
      <w:r w:rsidRPr="00BB35C5">
        <w:rPr>
          <w:rFonts w:ascii="Arial" w:eastAsia="Arial" w:hAnsi="Arial" w:cs="Arial"/>
          <w:sz w:val="22"/>
          <w:lang w:val="es-ES_tradnl"/>
        </w:rPr>
        <w:t xml:space="preserve"> publicación de las mismas</w:t>
      </w:r>
      <w:r w:rsidR="00B27875" w:rsidRPr="00BB35C5">
        <w:rPr>
          <w:rFonts w:ascii="Arial" w:eastAsia="Arial" w:hAnsi="Arial" w:cs="Arial"/>
          <w:sz w:val="22"/>
          <w:lang w:val="es-ES_tradnl"/>
        </w:rPr>
        <w:t>, también lo es que el mencionado artícul</w:t>
      </w:r>
      <w:r w:rsidR="0012400F" w:rsidRPr="00BB35C5">
        <w:rPr>
          <w:rFonts w:ascii="Arial" w:eastAsia="Arial" w:hAnsi="Arial" w:cs="Arial"/>
          <w:sz w:val="22"/>
          <w:lang w:val="es-ES_tradnl"/>
        </w:rPr>
        <w:t xml:space="preserve">o establece que las </w:t>
      </w:r>
      <w:r w:rsidR="008C4B19" w:rsidRPr="00BB35C5">
        <w:rPr>
          <w:rFonts w:ascii="Arial" w:eastAsia="Arial" w:hAnsi="Arial" w:cs="Arial"/>
          <w:sz w:val="22"/>
          <w:lang w:val="es-ES_tradnl"/>
        </w:rPr>
        <w:t>diligencias</w:t>
      </w:r>
      <w:r w:rsidR="0012400F" w:rsidRPr="00BB35C5">
        <w:rPr>
          <w:rFonts w:ascii="Arial" w:eastAsia="Arial" w:hAnsi="Arial" w:cs="Arial"/>
          <w:sz w:val="22"/>
          <w:lang w:val="es-ES_tradnl"/>
        </w:rPr>
        <w:t xml:space="preserve"> o términos que hubieran empezado al amparo de otras normas siguen rigiéndose por estas en lo</w:t>
      </w:r>
      <w:r w:rsidR="008C4B19" w:rsidRPr="00BB35C5">
        <w:rPr>
          <w:rFonts w:ascii="Arial" w:eastAsia="Arial" w:hAnsi="Arial" w:cs="Arial"/>
          <w:sz w:val="22"/>
          <w:lang w:val="es-ES_tradnl"/>
        </w:rPr>
        <w:t xml:space="preserve"> que a la etapa que no ha culminado se refiere, pues es una forma de evitar variaciones abruptas en </w:t>
      </w:r>
      <w:r w:rsidR="00AC02AA" w:rsidRPr="00BB35C5">
        <w:rPr>
          <w:rFonts w:ascii="Arial" w:eastAsia="Arial" w:hAnsi="Arial" w:cs="Arial"/>
          <w:sz w:val="22"/>
          <w:lang w:val="es-ES_tradnl"/>
        </w:rPr>
        <w:t>el ordenamiento procesal. De este modo, si se encuentra abierto el procedimiento de selección contractual, las normas que regularon la elaboración del pliego de condiciones se mantienen vigentes durante todo el procedimiento e incluso se incorporan al contrato, como se desprende del artículo 38 de la Ley 153 de 1887.</w:t>
      </w:r>
    </w:p>
    <w:p w14:paraId="5CA8E3B7" w14:textId="77777777" w:rsidR="003F300D" w:rsidRDefault="00DB7DD4" w:rsidP="00A157A0">
      <w:pPr>
        <w:spacing w:before="120" w:line="276" w:lineRule="auto"/>
        <w:ind w:firstLine="709"/>
        <w:jc w:val="both"/>
        <w:rPr>
          <w:rFonts w:ascii="Arial" w:eastAsia="Arial" w:hAnsi="Arial" w:cs="Arial"/>
          <w:sz w:val="22"/>
          <w:lang w:val="es-ES_tradnl"/>
        </w:rPr>
      </w:pPr>
      <w:r>
        <w:rPr>
          <w:rFonts w:ascii="Arial" w:eastAsia="Arial" w:hAnsi="Arial" w:cs="Arial"/>
          <w:sz w:val="22"/>
          <w:lang w:val="es-ES_tradnl"/>
        </w:rPr>
        <w:lastRenderedPageBreak/>
        <w:t>Pero</w:t>
      </w:r>
      <w:r w:rsidR="00574708">
        <w:rPr>
          <w:rFonts w:ascii="Arial" w:eastAsia="Arial" w:hAnsi="Arial" w:cs="Arial"/>
          <w:sz w:val="22"/>
          <w:lang w:val="es-ES_tradnl"/>
        </w:rPr>
        <w:t xml:space="preserve"> –por lo que a la consulta se refiere–</w:t>
      </w:r>
      <w:r w:rsidR="00F37068">
        <w:rPr>
          <w:rFonts w:ascii="Arial" w:eastAsia="Arial" w:hAnsi="Arial" w:cs="Arial"/>
          <w:sz w:val="22"/>
          <w:lang w:val="es-ES_tradnl"/>
        </w:rPr>
        <w:t>,</w:t>
      </w:r>
      <w:r w:rsidR="00574708">
        <w:rPr>
          <w:rFonts w:ascii="Arial" w:eastAsia="Arial" w:hAnsi="Arial" w:cs="Arial"/>
          <w:sz w:val="22"/>
          <w:lang w:val="es-ES_tradnl"/>
        </w:rPr>
        <w:t xml:space="preserve"> si la Resolución No. 116 del 21 de julio de 2020 inició su vigencia</w:t>
      </w:r>
      <w:r w:rsidR="006047D1">
        <w:rPr>
          <w:rFonts w:ascii="Arial" w:eastAsia="Arial" w:hAnsi="Arial" w:cs="Arial"/>
          <w:sz w:val="22"/>
          <w:lang w:val="es-ES_tradnl"/>
        </w:rPr>
        <w:t xml:space="preserve"> antes de la expedición</w:t>
      </w:r>
      <w:r w:rsidR="00F37068">
        <w:rPr>
          <w:rFonts w:ascii="Arial" w:eastAsia="Arial" w:hAnsi="Arial" w:cs="Arial"/>
          <w:sz w:val="22"/>
          <w:lang w:val="es-ES_tradnl"/>
        </w:rPr>
        <w:t xml:space="preserve"> en cada caso</w:t>
      </w:r>
      <w:r w:rsidR="006047D1">
        <w:rPr>
          <w:rFonts w:ascii="Arial" w:eastAsia="Arial" w:hAnsi="Arial" w:cs="Arial"/>
          <w:sz w:val="22"/>
          <w:lang w:val="es-ES_tradnl"/>
        </w:rPr>
        <w:t xml:space="preserve"> del acto administrativo de apertura de la licitación pública o de la selección abreviada de menor cuantía</w:t>
      </w:r>
      <w:r w:rsidR="009B2E29">
        <w:rPr>
          <w:rFonts w:ascii="Arial" w:eastAsia="Arial" w:hAnsi="Arial" w:cs="Arial"/>
          <w:sz w:val="22"/>
          <w:lang w:val="es-ES_tradnl"/>
        </w:rPr>
        <w:t xml:space="preserve"> –acto que, como bien es sabido, </w:t>
      </w:r>
      <w:r w:rsidR="00F37068">
        <w:rPr>
          <w:rFonts w:ascii="Arial" w:eastAsia="Arial" w:hAnsi="Arial" w:cs="Arial"/>
          <w:sz w:val="22"/>
          <w:lang w:val="es-ES_tradnl"/>
        </w:rPr>
        <w:t>debe hacer referencia al sitio en el que se puede consultar</w:t>
      </w:r>
      <w:r w:rsidR="009B2E29">
        <w:rPr>
          <w:rFonts w:ascii="Arial" w:eastAsia="Arial" w:hAnsi="Arial" w:cs="Arial"/>
          <w:sz w:val="22"/>
          <w:lang w:val="es-ES_tradnl"/>
        </w:rPr>
        <w:t xml:space="preserve"> el pliego de condiciones definitivo</w:t>
      </w:r>
      <w:r w:rsidR="00F37068">
        <w:rPr>
          <w:rStyle w:val="Refdenotaalpie"/>
          <w:rFonts w:ascii="Arial" w:eastAsia="Arial" w:hAnsi="Arial" w:cs="Arial"/>
          <w:sz w:val="22"/>
          <w:lang w:val="es-ES_tradnl"/>
        </w:rPr>
        <w:footnoteReference w:id="10"/>
      </w:r>
      <w:r w:rsidR="009B2E29">
        <w:rPr>
          <w:rFonts w:ascii="Arial" w:eastAsia="Arial" w:hAnsi="Arial" w:cs="Arial"/>
          <w:sz w:val="22"/>
          <w:lang w:val="es-ES_tradnl"/>
        </w:rPr>
        <w:t>–</w:t>
      </w:r>
      <w:r w:rsidR="00F37068">
        <w:rPr>
          <w:rFonts w:ascii="Arial" w:eastAsia="Arial" w:hAnsi="Arial" w:cs="Arial"/>
          <w:sz w:val="22"/>
          <w:lang w:val="es-ES_tradnl"/>
        </w:rPr>
        <w:t xml:space="preserve">, la entidad estatal debe ajustar el pliego de condiciones definitivo al contenido de dicha Resolución, pues el acto administrativo de apertura </w:t>
      </w:r>
      <w:r w:rsidR="00B33C23">
        <w:rPr>
          <w:rFonts w:ascii="Arial" w:eastAsia="Arial" w:hAnsi="Arial" w:cs="Arial"/>
          <w:sz w:val="22"/>
          <w:lang w:val="es-ES_tradnl"/>
        </w:rPr>
        <w:t>comienza una etapa distinta y es en realidad la decisión que da origen al procedimiento administrativo contractual</w:t>
      </w:r>
      <w:r w:rsidR="0020054E">
        <w:rPr>
          <w:rFonts w:ascii="Arial" w:eastAsia="Arial" w:hAnsi="Arial" w:cs="Arial"/>
          <w:sz w:val="22"/>
          <w:lang w:val="es-ES_tradnl"/>
        </w:rPr>
        <w:t>.</w:t>
      </w:r>
      <w:r w:rsidR="000504DE">
        <w:rPr>
          <w:rFonts w:ascii="Arial" w:eastAsia="Arial" w:hAnsi="Arial" w:cs="Arial"/>
          <w:sz w:val="22"/>
          <w:lang w:val="es-ES_tradnl"/>
        </w:rPr>
        <w:t xml:space="preserve"> </w:t>
      </w:r>
    </w:p>
    <w:p w14:paraId="31E19105" w14:textId="6DC22174" w:rsidR="00DB7DD4" w:rsidRPr="00D16740" w:rsidRDefault="000504DE" w:rsidP="00A157A0">
      <w:pPr>
        <w:spacing w:before="120" w:line="276" w:lineRule="auto"/>
        <w:ind w:firstLine="709"/>
        <w:jc w:val="both"/>
        <w:rPr>
          <w:rFonts w:ascii="Arial" w:eastAsia="Calibri" w:hAnsi="Arial" w:cs="Arial"/>
          <w:color w:val="000000" w:themeColor="text1"/>
          <w:sz w:val="22"/>
          <w:lang w:val="es-ES_tradnl"/>
        </w:rPr>
      </w:pPr>
      <w:r>
        <w:rPr>
          <w:rFonts w:ascii="Arial" w:eastAsia="Arial" w:hAnsi="Arial" w:cs="Arial"/>
          <w:sz w:val="22"/>
          <w:lang w:val="es-ES_tradnl"/>
        </w:rPr>
        <w:t xml:space="preserve">Entonces, como las normas procedimentales comienzan a regir a partir de su publicación y así también lo establece el artículo 4º de la Resolución No. 116 del 21 de julio de 2020, si esta se publicó </w:t>
      </w:r>
      <w:r w:rsidR="003F300D">
        <w:rPr>
          <w:rFonts w:ascii="Arial" w:eastAsia="Arial" w:hAnsi="Arial" w:cs="Arial"/>
          <w:sz w:val="22"/>
          <w:lang w:val="es-ES_tradnl"/>
        </w:rPr>
        <w:t>durante el plazo dispuesto en el reglamento para las observaciones al proyecto de pliego de condiciones</w:t>
      </w:r>
      <w:r w:rsidR="003F300D">
        <w:rPr>
          <w:rStyle w:val="Refdenotaalpie"/>
          <w:rFonts w:ascii="Arial" w:eastAsia="Arial" w:hAnsi="Arial" w:cs="Arial"/>
          <w:sz w:val="22"/>
          <w:lang w:val="es-ES_tradnl"/>
        </w:rPr>
        <w:footnoteReference w:id="11"/>
      </w:r>
      <w:r w:rsidR="00D16740">
        <w:rPr>
          <w:rFonts w:ascii="Arial" w:eastAsia="Arial" w:hAnsi="Arial" w:cs="Arial"/>
          <w:sz w:val="22"/>
          <w:lang w:val="es-ES_tradnl"/>
        </w:rPr>
        <w:t xml:space="preserve">, la entidad estatal no está obligada a modificar el </w:t>
      </w:r>
      <w:r w:rsidR="00D16740" w:rsidRPr="00D16740">
        <w:rPr>
          <w:rFonts w:ascii="Arial" w:eastAsia="Arial" w:hAnsi="Arial" w:cs="Arial"/>
          <w:sz w:val="22"/>
          <w:lang w:val="es-ES_tradnl"/>
        </w:rPr>
        <w:t>proyecto</w:t>
      </w:r>
      <w:r w:rsidR="00D16740">
        <w:rPr>
          <w:rFonts w:ascii="Arial" w:eastAsia="Arial" w:hAnsi="Arial" w:cs="Arial"/>
          <w:i/>
          <w:iCs/>
          <w:sz w:val="22"/>
          <w:lang w:val="es-ES_tradnl"/>
        </w:rPr>
        <w:t xml:space="preserve"> </w:t>
      </w:r>
      <w:r w:rsidR="00D16740">
        <w:rPr>
          <w:rFonts w:ascii="Arial" w:eastAsia="Arial" w:hAnsi="Arial" w:cs="Arial"/>
          <w:sz w:val="22"/>
          <w:lang w:val="es-ES_tradnl"/>
        </w:rPr>
        <w:t>de pliego de condiciones, pero sí a incorporar</w:t>
      </w:r>
      <w:r w:rsidR="003052EB">
        <w:rPr>
          <w:rFonts w:ascii="Arial" w:eastAsia="Arial" w:hAnsi="Arial" w:cs="Arial"/>
          <w:sz w:val="22"/>
          <w:lang w:val="es-ES_tradnl"/>
        </w:rPr>
        <w:t xml:space="preserve"> y cumplir </w:t>
      </w:r>
      <w:r w:rsidR="00D16740">
        <w:rPr>
          <w:rFonts w:ascii="Arial" w:eastAsia="Arial" w:hAnsi="Arial" w:cs="Arial"/>
          <w:sz w:val="22"/>
          <w:lang w:val="es-ES_tradnl"/>
        </w:rPr>
        <w:t>en el pliego de condiciones definitivo</w:t>
      </w:r>
      <w:r w:rsidR="003052EB">
        <w:rPr>
          <w:rFonts w:ascii="Arial" w:eastAsia="Arial" w:hAnsi="Arial" w:cs="Arial"/>
          <w:sz w:val="22"/>
          <w:lang w:val="es-ES_tradnl"/>
        </w:rPr>
        <w:t xml:space="preserve"> las modificaciones introducidas por </w:t>
      </w:r>
      <w:r w:rsidR="00A046D2">
        <w:rPr>
          <w:rFonts w:ascii="Arial" w:eastAsia="Arial" w:hAnsi="Arial" w:cs="Arial"/>
          <w:sz w:val="22"/>
          <w:lang w:val="es-ES_tradnl"/>
        </w:rPr>
        <w:t xml:space="preserve">dicha Resolución, ya que la apertura del procedimiento de selección da inicio a una etapa distinta </w:t>
      </w:r>
      <w:r w:rsidR="003D050B">
        <w:rPr>
          <w:rFonts w:ascii="Arial" w:eastAsia="Arial" w:hAnsi="Arial" w:cs="Arial"/>
          <w:sz w:val="22"/>
          <w:lang w:val="es-ES_tradnl"/>
        </w:rPr>
        <w:t>y a un término también independiente.</w:t>
      </w:r>
    </w:p>
    <w:p w14:paraId="00B30FB2" w14:textId="77777777" w:rsidR="00886FB9" w:rsidRPr="00BB35C5" w:rsidRDefault="00886FB9" w:rsidP="00B011A9">
      <w:pPr>
        <w:tabs>
          <w:tab w:val="left" w:pos="0"/>
        </w:tabs>
        <w:spacing w:line="276" w:lineRule="auto"/>
        <w:jc w:val="both"/>
        <w:rPr>
          <w:rFonts w:ascii="Arial" w:eastAsia="Calibri" w:hAnsi="Arial" w:cs="Arial"/>
          <w:b/>
          <w:color w:val="000000" w:themeColor="text1"/>
          <w:sz w:val="22"/>
          <w:lang w:val="es-ES_tradnl"/>
        </w:rPr>
      </w:pPr>
    </w:p>
    <w:p w14:paraId="37CA9805" w14:textId="53514CED" w:rsidR="00DD5B04" w:rsidRPr="00BB35C5" w:rsidRDefault="004177A6" w:rsidP="00B011A9">
      <w:pPr>
        <w:tabs>
          <w:tab w:val="left" w:pos="0"/>
        </w:tabs>
        <w:spacing w:line="276" w:lineRule="auto"/>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3</w:t>
      </w:r>
      <w:r w:rsidR="00B011A9" w:rsidRPr="00BB35C5">
        <w:rPr>
          <w:rFonts w:ascii="Arial" w:eastAsia="Calibri" w:hAnsi="Arial" w:cs="Arial"/>
          <w:b/>
          <w:color w:val="000000" w:themeColor="text1"/>
          <w:sz w:val="22"/>
          <w:lang w:val="es-ES_tradnl"/>
        </w:rPr>
        <w:t xml:space="preserve">. </w:t>
      </w:r>
      <w:r w:rsidR="00DD5B04" w:rsidRPr="00BB35C5">
        <w:rPr>
          <w:rFonts w:ascii="Arial" w:eastAsia="Calibri" w:hAnsi="Arial" w:cs="Arial"/>
          <w:b/>
          <w:color w:val="000000" w:themeColor="text1"/>
          <w:sz w:val="22"/>
          <w:lang w:val="es-ES_tradnl"/>
        </w:rPr>
        <w:t>Respuesta</w:t>
      </w:r>
    </w:p>
    <w:p w14:paraId="0B74D5B8" w14:textId="4DC72D44" w:rsidR="00C4581D" w:rsidRDefault="00C4581D" w:rsidP="00DD5B04">
      <w:pPr>
        <w:tabs>
          <w:tab w:val="left" w:pos="0"/>
        </w:tabs>
        <w:spacing w:line="276" w:lineRule="auto"/>
        <w:jc w:val="both"/>
        <w:rPr>
          <w:rFonts w:ascii="Arial" w:eastAsia="Calibri" w:hAnsi="Arial" w:cs="Arial"/>
          <w:color w:val="000000" w:themeColor="text1"/>
          <w:sz w:val="22"/>
          <w:lang w:val="es-ES_tradnl"/>
        </w:rPr>
      </w:pPr>
    </w:p>
    <w:p w14:paraId="6D2061D1" w14:textId="61825218" w:rsidR="008C24E7" w:rsidRDefault="008C24E7" w:rsidP="008C24E7">
      <w:pPr>
        <w:tabs>
          <w:tab w:val="left" w:pos="0"/>
        </w:tabs>
        <w:ind w:left="709" w:right="709"/>
        <w:jc w:val="both"/>
        <w:rPr>
          <w:rFonts w:ascii="Arial" w:hAnsi="Arial" w:cs="Arial"/>
          <w:color w:val="000000" w:themeColor="text1"/>
          <w:sz w:val="22"/>
          <w:lang w:val="es-ES_tradnl"/>
        </w:rPr>
      </w:pPr>
      <w:r w:rsidRPr="00BB35C5">
        <w:rPr>
          <w:rFonts w:ascii="Arial" w:hAnsi="Arial" w:cs="Arial"/>
          <w:color w:val="000000" w:themeColor="text1"/>
          <w:sz w:val="22"/>
          <w:lang w:val="es-ES_tradnl"/>
        </w:rPr>
        <w:t>«</w:t>
      </w:r>
      <w:r w:rsidRPr="008C24E7">
        <w:rPr>
          <w:rFonts w:ascii="Arial" w:hAnsi="Arial" w:cs="Arial"/>
          <w:color w:val="000000" w:themeColor="text1"/>
          <w:sz w:val="22"/>
          <w:lang w:val="es-ES_tradnl"/>
        </w:rPr>
        <w:t xml:space="preserve">¿Si una entidad estatal, publicó los Prepliegos de condiciones el 06 de julio de 2020 y durante ese lapso –antes de publicar los pliegos definitivos– la Agencia Nacional de </w:t>
      </w:r>
      <w:r w:rsidR="006D7D1F" w:rsidRPr="008C24E7">
        <w:rPr>
          <w:rFonts w:ascii="Arial" w:hAnsi="Arial" w:cs="Arial"/>
          <w:color w:val="000000" w:themeColor="text1"/>
          <w:sz w:val="22"/>
          <w:lang w:val="es-ES_tradnl"/>
        </w:rPr>
        <w:t>contratación</w:t>
      </w:r>
      <w:r w:rsidRPr="008C24E7">
        <w:rPr>
          <w:rFonts w:ascii="Arial" w:hAnsi="Arial" w:cs="Arial"/>
          <w:color w:val="000000" w:themeColor="text1"/>
          <w:sz w:val="22"/>
          <w:lang w:val="es-ES_tradnl"/>
        </w:rPr>
        <w:t xml:space="preserve"> </w:t>
      </w:r>
      <w:r w:rsidR="006D7D1F" w:rsidRPr="008C24E7">
        <w:rPr>
          <w:rFonts w:ascii="Arial" w:hAnsi="Arial" w:cs="Arial"/>
          <w:color w:val="000000" w:themeColor="text1"/>
          <w:sz w:val="22"/>
          <w:lang w:val="es-ES_tradnl"/>
        </w:rPr>
        <w:t>pública</w:t>
      </w:r>
      <w:r w:rsidRPr="008C24E7">
        <w:rPr>
          <w:rFonts w:ascii="Arial" w:hAnsi="Arial" w:cs="Arial"/>
          <w:color w:val="000000" w:themeColor="text1"/>
          <w:sz w:val="22"/>
          <w:lang w:val="es-ES_tradnl"/>
        </w:rPr>
        <w:t xml:space="preserve">, </w:t>
      </w:r>
      <w:r w:rsidR="006D7D1F" w:rsidRPr="008C24E7">
        <w:rPr>
          <w:rFonts w:ascii="Arial" w:hAnsi="Arial" w:cs="Arial"/>
          <w:color w:val="000000" w:themeColor="text1"/>
          <w:sz w:val="22"/>
          <w:lang w:val="es-ES_tradnl"/>
        </w:rPr>
        <w:t>emitió</w:t>
      </w:r>
      <w:r w:rsidRPr="008C24E7">
        <w:rPr>
          <w:rFonts w:ascii="Arial" w:hAnsi="Arial" w:cs="Arial"/>
          <w:color w:val="000000" w:themeColor="text1"/>
          <w:sz w:val="22"/>
          <w:lang w:val="es-ES_tradnl"/>
        </w:rPr>
        <w:t xml:space="preserve">́ la </w:t>
      </w:r>
      <w:r w:rsidR="006D7D1F" w:rsidRPr="008C24E7">
        <w:rPr>
          <w:rFonts w:ascii="Arial" w:hAnsi="Arial" w:cs="Arial"/>
          <w:color w:val="000000" w:themeColor="text1"/>
          <w:sz w:val="22"/>
          <w:lang w:val="es-ES_tradnl"/>
        </w:rPr>
        <w:t>resolución</w:t>
      </w:r>
      <w:r w:rsidRPr="008C24E7">
        <w:rPr>
          <w:rFonts w:ascii="Arial" w:hAnsi="Arial" w:cs="Arial"/>
          <w:color w:val="000000" w:themeColor="text1"/>
          <w:sz w:val="22"/>
          <w:lang w:val="es-ES_tradnl"/>
        </w:rPr>
        <w:t xml:space="preserve"> 116 de 2020 que entró en vigencia el 21 de julio de 2020 y MODIFICA el numeral 4.2.5 de </w:t>
      </w:r>
      <w:r w:rsidRPr="008C24E7">
        <w:rPr>
          <w:rFonts w:ascii="Arial" w:hAnsi="Arial" w:cs="Arial"/>
          <w:color w:val="000000" w:themeColor="text1"/>
          <w:sz w:val="22"/>
          <w:lang w:val="es-ES_tradnl"/>
        </w:rPr>
        <w:lastRenderedPageBreak/>
        <w:t xml:space="preserve">los documentos tipo “cuadrillas de trabajo”? es aplicable dicha </w:t>
      </w:r>
      <w:r w:rsidR="006D7D1F" w:rsidRPr="008C24E7">
        <w:rPr>
          <w:rFonts w:ascii="Arial" w:hAnsi="Arial" w:cs="Arial"/>
          <w:color w:val="000000" w:themeColor="text1"/>
          <w:sz w:val="22"/>
          <w:lang w:val="es-ES_tradnl"/>
        </w:rPr>
        <w:t>resolución</w:t>
      </w:r>
      <w:r w:rsidRPr="008C24E7">
        <w:rPr>
          <w:rFonts w:ascii="Arial" w:hAnsi="Arial" w:cs="Arial"/>
          <w:color w:val="000000" w:themeColor="text1"/>
          <w:sz w:val="22"/>
          <w:lang w:val="es-ES_tradnl"/>
        </w:rPr>
        <w:t xml:space="preserve"> para esa entidad considerando que los pliegos definitivos fueron publicados el 04 de agosto de 2020, y los oferentes advirtieron a la entidad la entrada en vigencia de la </w:t>
      </w:r>
      <w:r w:rsidR="006D7D1F" w:rsidRPr="008C24E7">
        <w:rPr>
          <w:rFonts w:ascii="Arial" w:hAnsi="Arial" w:cs="Arial"/>
          <w:color w:val="000000" w:themeColor="text1"/>
          <w:sz w:val="22"/>
          <w:lang w:val="es-ES_tradnl"/>
        </w:rPr>
        <w:t>resolución</w:t>
      </w:r>
      <w:r w:rsidRPr="008C24E7">
        <w:rPr>
          <w:rFonts w:ascii="Arial" w:hAnsi="Arial" w:cs="Arial"/>
          <w:color w:val="000000" w:themeColor="text1"/>
          <w:sz w:val="22"/>
          <w:lang w:val="es-ES_tradnl"/>
        </w:rPr>
        <w:t xml:space="preserve">, tomando en cuenta que la </w:t>
      </w:r>
      <w:r w:rsidR="006D7D1F" w:rsidRPr="008C24E7">
        <w:rPr>
          <w:rFonts w:ascii="Arial" w:hAnsi="Arial" w:cs="Arial"/>
          <w:color w:val="000000" w:themeColor="text1"/>
          <w:sz w:val="22"/>
          <w:lang w:val="es-ES_tradnl"/>
        </w:rPr>
        <w:t>asignación</w:t>
      </w:r>
      <w:r w:rsidRPr="008C24E7">
        <w:rPr>
          <w:rFonts w:ascii="Arial" w:hAnsi="Arial" w:cs="Arial"/>
          <w:color w:val="000000" w:themeColor="text1"/>
          <w:sz w:val="22"/>
          <w:lang w:val="es-ES_tradnl"/>
        </w:rPr>
        <w:t xml:space="preserve"> de puntaje de factor de calidad se </w:t>
      </w:r>
      <w:r w:rsidR="006D7D1F" w:rsidRPr="008C24E7">
        <w:rPr>
          <w:rFonts w:ascii="Arial" w:hAnsi="Arial" w:cs="Arial"/>
          <w:color w:val="000000" w:themeColor="text1"/>
          <w:sz w:val="22"/>
          <w:lang w:val="es-ES_tradnl"/>
        </w:rPr>
        <w:t>hará</w:t>
      </w:r>
      <w:r w:rsidRPr="008C24E7">
        <w:rPr>
          <w:rFonts w:ascii="Arial" w:hAnsi="Arial" w:cs="Arial"/>
          <w:color w:val="000000" w:themeColor="text1"/>
          <w:sz w:val="22"/>
          <w:lang w:val="es-ES_tradnl"/>
        </w:rPr>
        <w:t xml:space="preserve">́ </w:t>
      </w:r>
      <w:r w:rsidR="006D7D1F" w:rsidRPr="008C24E7">
        <w:rPr>
          <w:rFonts w:ascii="Arial" w:hAnsi="Arial" w:cs="Arial"/>
          <w:color w:val="000000" w:themeColor="text1"/>
          <w:sz w:val="22"/>
          <w:lang w:val="es-ES_tradnl"/>
        </w:rPr>
        <w:t>únicamente</w:t>
      </w:r>
      <w:r w:rsidRPr="008C24E7">
        <w:rPr>
          <w:rFonts w:ascii="Arial" w:hAnsi="Arial" w:cs="Arial"/>
          <w:color w:val="000000" w:themeColor="text1"/>
          <w:sz w:val="22"/>
          <w:lang w:val="es-ES_tradnl"/>
        </w:rPr>
        <w:t xml:space="preserve"> con el criterio de “cuadrillas de trabajo”?»</w:t>
      </w:r>
    </w:p>
    <w:p w14:paraId="094C7087" w14:textId="77777777" w:rsidR="008C24E7" w:rsidRPr="00BB35C5" w:rsidRDefault="008C24E7" w:rsidP="00DD5B04">
      <w:pPr>
        <w:tabs>
          <w:tab w:val="left" w:pos="0"/>
        </w:tabs>
        <w:spacing w:line="276" w:lineRule="auto"/>
        <w:jc w:val="both"/>
        <w:rPr>
          <w:rFonts w:ascii="Arial" w:eastAsia="Calibri" w:hAnsi="Arial" w:cs="Arial"/>
          <w:color w:val="000000" w:themeColor="text1"/>
          <w:sz w:val="22"/>
          <w:lang w:val="es-ES_tradnl"/>
        </w:rPr>
      </w:pPr>
    </w:p>
    <w:p w14:paraId="773C3F51" w14:textId="02FE8CD3" w:rsidR="003E6AB6" w:rsidRDefault="00886FB9" w:rsidP="00886FB9">
      <w:pPr>
        <w:spacing w:line="276" w:lineRule="auto"/>
        <w:jc w:val="both"/>
        <w:rPr>
          <w:rFonts w:ascii="Arial" w:eastAsia="Arial" w:hAnsi="Arial" w:cs="Arial"/>
          <w:sz w:val="22"/>
          <w:lang w:val="es-ES_tradnl"/>
        </w:rPr>
      </w:pPr>
      <w:r w:rsidRPr="00BB35C5">
        <w:rPr>
          <w:rFonts w:ascii="Arial" w:eastAsia="Calibri" w:hAnsi="Arial" w:cs="Arial"/>
          <w:color w:val="000000" w:themeColor="text1"/>
          <w:sz w:val="22"/>
          <w:lang w:val="es-ES_tradnl"/>
        </w:rPr>
        <w:t xml:space="preserve">La Resolución </w:t>
      </w:r>
      <w:r w:rsidRPr="00BB35C5">
        <w:rPr>
          <w:rFonts w:ascii="Arial" w:eastAsia="Arial" w:hAnsi="Arial" w:cs="Arial"/>
          <w:sz w:val="22"/>
          <w:lang w:val="es-ES_tradnl"/>
        </w:rPr>
        <w:t xml:space="preserve">No. 116 del 21 de julio de 2020 es obligatoria para los procedimientos de licitación pública y de selección abreviada de menor cuantía de infraestructura de transporte iniciados con posterioridad a su </w:t>
      </w:r>
      <w:proofErr w:type="gramStart"/>
      <w:r w:rsidRPr="00BB35C5">
        <w:rPr>
          <w:rFonts w:ascii="Arial" w:eastAsia="Arial" w:hAnsi="Arial" w:cs="Arial"/>
          <w:sz w:val="22"/>
          <w:lang w:val="es-ES_tradnl"/>
        </w:rPr>
        <w:t>entrada en vigencia</w:t>
      </w:r>
      <w:proofErr w:type="gramEnd"/>
      <w:r w:rsidRPr="00BB35C5">
        <w:rPr>
          <w:rFonts w:ascii="Arial" w:eastAsia="Arial" w:hAnsi="Arial" w:cs="Arial"/>
          <w:sz w:val="22"/>
          <w:lang w:val="es-ES_tradnl"/>
        </w:rPr>
        <w:t xml:space="preserve">; no a los anteriores. </w:t>
      </w:r>
      <w:r w:rsidR="00843D33" w:rsidRPr="00BB35C5">
        <w:rPr>
          <w:rFonts w:ascii="Arial" w:eastAsia="Arial" w:hAnsi="Arial" w:cs="Arial"/>
          <w:sz w:val="22"/>
          <w:lang w:val="es-ES_tradnl"/>
        </w:rPr>
        <w:t>E</w:t>
      </w:r>
      <w:r w:rsidRPr="00BB35C5">
        <w:rPr>
          <w:rFonts w:ascii="Arial" w:eastAsia="Arial" w:hAnsi="Arial" w:cs="Arial"/>
          <w:sz w:val="22"/>
          <w:lang w:val="es-ES_tradnl"/>
        </w:rPr>
        <w:t>l artículo 4º del referido acto administrativo dispone que «Esta resolución rige a partir de su publicación», pero este precepto debe interpretarse con el matiz previsto para las normas anteriores, en el artículo 40 de la Ley 153 de 1887.</w:t>
      </w:r>
      <w:r w:rsidR="00FC3A9B" w:rsidRPr="00BB35C5">
        <w:rPr>
          <w:rFonts w:ascii="Arial" w:eastAsia="Arial" w:hAnsi="Arial" w:cs="Arial"/>
          <w:sz w:val="22"/>
          <w:lang w:val="es-ES_tradnl"/>
        </w:rPr>
        <w:t xml:space="preserve"> Por lo tanto, si se había expedido el acto administrativo de apertura de la licitación</w:t>
      </w:r>
      <w:r w:rsidR="00622470" w:rsidRPr="00BB35C5">
        <w:rPr>
          <w:rFonts w:ascii="Arial" w:eastAsia="Arial" w:hAnsi="Arial" w:cs="Arial"/>
          <w:sz w:val="22"/>
          <w:lang w:val="es-ES_tradnl"/>
        </w:rPr>
        <w:t xml:space="preserve"> pública</w:t>
      </w:r>
      <w:r w:rsidR="007E64D4">
        <w:rPr>
          <w:rFonts w:ascii="Arial" w:eastAsia="Arial" w:hAnsi="Arial" w:cs="Arial"/>
          <w:sz w:val="22"/>
          <w:lang w:val="es-ES_tradnl"/>
        </w:rPr>
        <w:t xml:space="preserve"> o de selección abreviada de menor cuantía </w:t>
      </w:r>
      <w:r w:rsidR="00622470" w:rsidRPr="00BB35C5">
        <w:rPr>
          <w:rFonts w:ascii="Arial" w:eastAsia="Arial" w:hAnsi="Arial" w:cs="Arial"/>
          <w:sz w:val="22"/>
          <w:lang w:val="es-ES_tradnl"/>
        </w:rPr>
        <w:t>antes de la vigencia de la mencionada Resolución y esta comienza a regir después, la entidad estatal no se encuentra obligada a</w:t>
      </w:r>
      <w:r w:rsidR="00C8082B">
        <w:rPr>
          <w:rFonts w:ascii="Arial" w:eastAsia="Arial" w:hAnsi="Arial" w:cs="Arial"/>
          <w:sz w:val="22"/>
          <w:lang w:val="es-ES_tradnl"/>
        </w:rPr>
        <w:t xml:space="preserve"> </w:t>
      </w:r>
      <w:r w:rsidR="00DB7760" w:rsidRPr="00BB35C5">
        <w:rPr>
          <w:rFonts w:ascii="Arial" w:eastAsia="Arial" w:hAnsi="Arial" w:cs="Arial"/>
          <w:sz w:val="22"/>
          <w:lang w:val="es-ES_tradnl"/>
        </w:rPr>
        <w:t>adecuar el pliego de condiciones al contenido de dicho reglamento.</w:t>
      </w:r>
    </w:p>
    <w:p w14:paraId="34001C3A" w14:textId="179D8625" w:rsidR="003E6AB6" w:rsidRDefault="003E6AB6" w:rsidP="003E6AB6">
      <w:pPr>
        <w:spacing w:before="120" w:line="276" w:lineRule="auto"/>
        <w:ind w:firstLine="709"/>
        <w:jc w:val="both"/>
        <w:rPr>
          <w:rFonts w:ascii="Arial" w:eastAsia="Arial" w:hAnsi="Arial" w:cs="Arial"/>
          <w:sz w:val="22"/>
          <w:lang w:val="es-ES_tradnl"/>
        </w:rPr>
      </w:pPr>
      <w:r>
        <w:rPr>
          <w:rFonts w:ascii="Arial" w:eastAsia="Arial" w:hAnsi="Arial" w:cs="Arial"/>
          <w:sz w:val="22"/>
          <w:lang w:val="es-ES_tradnl"/>
        </w:rPr>
        <w:t>Pero –por lo que a la consulta se refiere</w:t>
      </w:r>
      <w:r w:rsidR="007E64D4">
        <w:rPr>
          <w:rFonts w:ascii="Arial" w:eastAsia="Arial" w:hAnsi="Arial" w:cs="Arial"/>
          <w:sz w:val="22"/>
          <w:lang w:val="es-ES_tradnl"/>
        </w:rPr>
        <w:t xml:space="preserve"> </w:t>
      </w:r>
      <w:r>
        <w:rPr>
          <w:rFonts w:ascii="Arial" w:eastAsia="Arial" w:hAnsi="Arial" w:cs="Arial"/>
          <w:sz w:val="22"/>
          <w:lang w:val="es-ES_tradnl"/>
        </w:rPr>
        <w:t xml:space="preserve">y </w:t>
      </w:r>
      <w:r w:rsidR="00140109">
        <w:rPr>
          <w:rFonts w:ascii="Arial" w:eastAsia="Arial" w:hAnsi="Arial" w:cs="Arial"/>
          <w:sz w:val="22"/>
          <w:lang w:val="es-ES_tradnl"/>
        </w:rPr>
        <w:t>haciendo</w:t>
      </w:r>
      <w:r>
        <w:rPr>
          <w:rFonts w:ascii="Arial" w:eastAsia="Arial" w:hAnsi="Arial" w:cs="Arial"/>
          <w:sz w:val="22"/>
          <w:lang w:val="es-ES_tradnl"/>
        </w:rPr>
        <w:t xml:space="preserve"> la salvedad de que esta Subdirección solo tiene competencia para pronunciarse sobre la interpretación de normas de alcance general y no </w:t>
      </w:r>
      <w:r w:rsidR="00140109">
        <w:rPr>
          <w:rFonts w:ascii="Arial" w:eastAsia="Arial" w:hAnsi="Arial" w:cs="Arial"/>
          <w:sz w:val="22"/>
          <w:lang w:val="es-ES_tradnl"/>
        </w:rPr>
        <w:t>sobre casos concretos</w:t>
      </w:r>
      <w:r w:rsidR="007E64D4">
        <w:rPr>
          <w:rFonts w:ascii="Arial" w:eastAsia="Arial" w:hAnsi="Arial" w:cs="Arial"/>
          <w:sz w:val="22"/>
          <w:lang w:val="es-ES_tradnl"/>
        </w:rPr>
        <w:t>–</w:t>
      </w:r>
      <w:r w:rsidR="00140109">
        <w:rPr>
          <w:rFonts w:ascii="Arial" w:eastAsia="Arial" w:hAnsi="Arial" w:cs="Arial"/>
          <w:sz w:val="22"/>
          <w:lang w:val="es-ES_tradnl"/>
        </w:rPr>
        <w:t xml:space="preserve">, </w:t>
      </w:r>
      <w:r>
        <w:rPr>
          <w:rFonts w:ascii="Arial" w:eastAsia="Arial" w:hAnsi="Arial" w:cs="Arial"/>
          <w:sz w:val="22"/>
          <w:lang w:val="es-ES_tradnl"/>
        </w:rPr>
        <w:t xml:space="preserve">si la Resolución No. 116 del 21 de julio de 2020 inició su vigencia antes de la expedición del acto administrativo de apertura de la licitación pública o de la selección abreviada de menor cuantía –acto que, como bien es sabido, debe hacer referencia al sitio en el que se puede consultar el pliego de condiciones definitivo–, la entidad estatal debe ajustar el pliego de condiciones definitivo al contenido de dicha Resolución, pues el acto administrativo de apertura comienza una etapa distinta y es en realidad la decisión que da origen al procedimiento administrativo contractual. </w:t>
      </w:r>
    </w:p>
    <w:p w14:paraId="034799C4" w14:textId="1586C1B6" w:rsidR="003E6AB6" w:rsidRPr="00D16740" w:rsidRDefault="003E6AB6" w:rsidP="003E6AB6">
      <w:pPr>
        <w:spacing w:before="120" w:line="276" w:lineRule="auto"/>
        <w:ind w:firstLine="709"/>
        <w:jc w:val="both"/>
        <w:rPr>
          <w:rFonts w:ascii="Arial" w:eastAsia="Calibri" w:hAnsi="Arial" w:cs="Arial"/>
          <w:color w:val="000000" w:themeColor="text1"/>
          <w:sz w:val="22"/>
          <w:lang w:val="es-ES_tradnl"/>
        </w:rPr>
      </w:pPr>
      <w:r>
        <w:rPr>
          <w:rFonts w:ascii="Arial" w:eastAsia="Arial" w:hAnsi="Arial" w:cs="Arial"/>
          <w:sz w:val="22"/>
          <w:lang w:val="es-ES_tradnl"/>
        </w:rPr>
        <w:t xml:space="preserve">Entonces, como las normas procedimentales comienzan a regir a partir de su publicación y así también lo establece el artículo 4º de la Resolución No. 116 del 21 de julio de 2020, si esta se publicó durante el plazo dispuesto en el reglamento para las observaciones al proyecto de pliego de condiciones, la entidad estatal no está obligada a modificar el </w:t>
      </w:r>
      <w:r w:rsidRPr="00D16740">
        <w:rPr>
          <w:rFonts w:ascii="Arial" w:eastAsia="Arial" w:hAnsi="Arial" w:cs="Arial"/>
          <w:sz w:val="22"/>
          <w:lang w:val="es-ES_tradnl"/>
        </w:rPr>
        <w:t>proyecto</w:t>
      </w:r>
      <w:r>
        <w:rPr>
          <w:rFonts w:ascii="Arial" w:eastAsia="Arial" w:hAnsi="Arial" w:cs="Arial"/>
          <w:i/>
          <w:iCs/>
          <w:sz w:val="22"/>
          <w:lang w:val="es-ES_tradnl"/>
        </w:rPr>
        <w:t xml:space="preserve"> </w:t>
      </w:r>
      <w:r>
        <w:rPr>
          <w:rFonts w:ascii="Arial" w:eastAsia="Arial" w:hAnsi="Arial" w:cs="Arial"/>
          <w:sz w:val="22"/>
          <w:lang w:val="es-ES_tradnl"/>
        </w:rPr>
        <w:t>de pliego de condiciones, pero sí a incorporar y cumplir en el pliego de condiciones definitivo las modificaciones introducidas por dicha Resolución, ya que la apertura del procedimiento de selección da inicio a una etapa distinta y a un término también independiente.</w:t>
      </w:r>
    </w:p>
    <w:p w14:paraId="1A594879" w14:textId="5D5B2409" w:rsidR="001C33C1" w:rsidRPr="00BB35C5" w:rsidRDefault="001C33C1" w:rsidP="00344760">
      <w:pPr>
        <w:spacing w:line="276" w:lineRule="auto"/>
        <w:jc w:val="both"/>
        <w:rPr>
          <w:rFonts w:ascii="Arial" w:hAnsi="Arial" w:cs="Arial"/>
          <w:color w:val="000000" w:themeColor="text1"/>
          <w:sz w:val="22"/>
          <w:lang w:val="es-ES_tradnl"/>
        </w:rPr>
      </w:pPr>
    </w:p>
    <w:p w14:paraId="461140E5" w14:textId="77777777" w:rsidR="00BB7CD1" w:rsidRDefault="00BB7CD1" w:rsidP="00344760">
      <w:pPr>
        <w:spacing w:line="276" w:lineRule="auto"/>
        <w:jc w:val="both"/>
        <w:rPr>
          <w:rFonts w:ascii="Arial" w:hAnsi="Arial" w:cs="Arial"/>
          <w:color w:val="000000" w:themeColor="text1"/>
          <w:sz w:val="22"/>
          <w:lang w:val="es-ES_tradnl"/>
        </w:rPr>
      </w:pPr>
    </w:p>
    <w:p w14:paraId="7B2C921D" w14:textId="3DFA4AB8" w:rsidR="00DD5B04" w:rsidRPr="00BB35C5" w:rsidRDefault="00DD5B04" w:rsidP="00344760">
      <w:pPr>
        <w:spacing w:line="276" w:lineRule="auto"/>
        <w:jc w:val="both"/>
        <w:rPr>
          <w:rFonts w:ascii="Arial" w:hAnsi="Arial" w:cs="Arial"/>
          <w:color w:val="000000" w:themeColor="text1"/>
          <w:sz w:val="22"/>
          <w:lang w:val="es-ES_tradnl"/>
        </w:rPr>
      </w:pPr>
      <w:r w:rsidRPr="00BB35C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B35C5"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BB35C5"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B35C5">
        <w:rPr>
          <w:rFonts w:ascii="Arial" w:hAnsi="Arial" w:cs="Arial"/>
          <w:color w:val="000000" w:themeColor="text1"/>
          <w:sz w:val="22"/>
          <w:szCs w:val="22"/>
          <w:lang w:val="es-ES_tradnl"/>
        </w:rPr>
        <w:t>Atentamente,</w:t>
      </w:r>
    </w:p>
    <w:p w14:paraId="49730030" w14:textId="77777777" w:rsidR="00DD5B04" w:rsidRPr="00BB35C5" w:rsidRDefault="00DD5B04" w:rsidP="00DD5B04">
      <w:pPr>
        <w:jc w:val="center"/>
        <w:rPr>
          <w:rFonts w:ascii="Arial" w:eastAsia="Times New Roman" w:hAnsi="Arial" w:cs="Arial"/>
          <w:color w:val="000000" w:themeColor="text1"/>
          <w:sz w:val="18"/>
          <w:szCs w:val="20"/>
          <w:lang w:val="es-ES_tradnl" w:eastAsia="es-CO"/>
        </w:rPr>
      </w:pPr>
      <w:r w:rsidRPr="00BB35C5">
        <w:rPr>
          <w:rFonts w:ascii="Arial" w:hAnsi="Arial" w:cs="Arial"/>
          <w:noProof/>
          <w:color w:val="404040" w:themeColor="text1" w:themeTint="BF"/>
          <w:lang w:val="es-ES_tradnl"/>
        </w:rPr>
        <w:lastRenderedPageBreak/>
        <w:drawing>
          <wp:inline distT="0" distB="0" distL="0" distR="0" wp14:anchorId="0E8218B5" wp14:editId="2FFA816A">
            <wp:extent cx="2273471" cy="1438102"/>
            <wp:effectExtent l="0" t="0" r="0" b="0"/>
            <wp:docPr id="1" name="Imagen 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B35C5" w14:paraId="0C7DC5F7" w14:textId="77777777" w:rsidTr="00083F1B">
        <w:trPr>
          <w:trHeight w:val="315"/>
        </w:trPr>
        <w:tc>
          <w:tcPr>
            <w:tcW w:w="812" w:type="dxa"/>
            <w:vAlign w:val="center"/>
            <w:hideMark/>
          </w:tcPr>
          <w:p w14:paraId="5BDB1AC9"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Cristian Andrés Díaz Díez</w:t>
            </w:r>
          </w:p>
          <w:p w14:paraId="240C71FD"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Contratista, Subdirección de Gestión Contractual</w:t>
            </w:r>
          </w:p>
        </w:tc>
      </w:tr>
      <w:tr w:rsidR="00DD5B04" w:rsidRPr="00BB35C5" w14:paraId="2F8FD650" w14:textId="77777777" w:rsidTr="00083F1B">
        <w:trPr>
          <w:trHeight w:val="330"/>
        </w:trPr>
        <w:tc>
          <w:tcPr>
            <w:tcW w:w="812" w:type="dxa"/>
            <w:vAlign w:val="center"/>
            <w:hideMark/>
          </w:tcPr>
          <w:p w14:paraId="50203A0B"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C31331" w14:textId="77777777" w:rsidR="00C06CCF" w:rsidRPr="00BB35C5" w:rsidRDefault="00C06CCF" w:rsidP="00C06CCF">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Fabián Gonzalo Marín Cortés</w:t>
            </w:r>
          </w:p>
          <w:p w14:paraId="130B3228" w14:textId="48C3EE74" w:rsidR="00DD5B04" w:rsidRPr="00BB35C5" w:rsidRDefault="00C06CCF" w:rsidP="00C06CCF">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Subdirector de Gestión Contractual</w:t>
            </w:r>
          </w:p>
        </w:tc>
      </w:tr>
      <w:tr w:rsidR="00DD5B04" w:rsidRPr="00BB35C5" w14:paraId="0FCBCA4A" w14:textId="77777777" w:rsidTr="00083F1B">
        <w:trPr>
          <w:trHeight w:val="300"/>
        </w:trPr>
        <w:tc>
          <w:tcPr>
            <w:tcW w:w="812" w:type="dxa"/>
            <w:vAlign w:val="center"/>
            <w:hideMark/>
          </w:tcPr>
          <w:p w14:paraId="3C1D943A"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CC54C1"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Fabián Gonzalo Marín Cortés</w:t>
            </w:r>
          </w:p>
          <w:p w14:paraId="1ADC483B"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BB35C5" w:rsidRDefault="00746E08" w:rsidP="00DD5B04">
      <w:pPr>
        <w:rPr>
          <w:lang w:val="es-ES_tradnl"/>
        </w:rPr>
      </w:pPr>
    </w:p>
    <w:sectPr w:rsidR="00746E08" w:rsidRPr="00BB35C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C1D5B" w14:textId="77777777" w:rsidR="00561AF3" w:rsidRDefault="00561AF3">
      <w:r>
        <w:separator/>
      </w:r>
    </w:p>
  </w:endnote>
  <w:endnote w:type="continuationSeparator" w:id="0">
    <w:p w14:paraId="6A40331D" w14:textId="77777777" w:rsidR="00561AF3" w:rsidRDefault="00561AF3">
      <w:r>
        <w:continuationSeparator/>
      </w:r>
    </w:p>
  </w:endnote>
  <w:endnote w:type="continuationNotice" w:id="1">
    <w:p w14:paraId="5D4B443E" w14:textId="77777777" w:rsidR="00561AF3" w:rsidRDefault="0056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6FFA" w14:textId="77777777" w:rsidR="00561AF3" w:rsidRDefault="00561AF3">
      <w:r>
        <w:separator/>
      </w:r>
    </w:p>
  </w:footnote>
  <w:footnote w:type="continuationSeparator" w:id="0">
    <w:p w14:paraId="2C834437" w14:textId="77777777" w:rsidR="00561AF3" w:rsidRDefault="00561AF3">
      <w:r>
        <w:continuationSeparator/>
      </w:r>
    </w:p>
  </w:footnote>
  <w:footnote w:type="continuationNotice" w:id="1">
    <w:p w14:paraId="2A1CB921" w14:textId="77777777" w:rsidR="00561AF3" w:rsidRDefault="00561AF3"/>
  </w:footnote>
  <w:footnote w:id="2">
    <w:p w14:paraId="3BB4D58E" w14:textId="77777777" w:rsidR="00EF6A03" w:rsidRPr="003F300D" w:rsidRDefault="00EF6A03" w:rsidP="003F300D">
      <w:pPr>
        <w:pBdr>
          <w:top w:val="nil"/>
          <w:left w:val="nil"/>
          <w:bottom w:val="nil"/>
          <w:right w:val="nil"/>
          <w:between w:val="nil"/>
        </w:pBdr>
        <w:ind w:firstLine="709"/>
        <w:jc w:val="both"/>
        <w:rPr>
          <w:rFonts w:ascii="Arial" w:eastAsia="Arial" w:hAnsi="Arial" w:cs="Arial"/>
          <w:color w:val="000000" w:themeColor="text1"/>
          <w:sz w:val="19"/>
          <w:szCs w:val="19"/>
        </w:rPr>
      </w:pPr>
      <w:r w:rsidRPr="003F300D">
        <w:rPr>
          <w:rFonts w:ascii="Arial" w:hAnsi="Arial" w:cs="Arial"/>
          <w:color w:val="000000" w:themeColor="text1"/>
          <w:sz w:val="19"/>
          <w:szCs w:val="19"/>
          <w:vertAlign w:val="superscript"/>
        </w:rPr>
        <w:footnoteRef/>
      </w:r>
      <w:r w:rsidRPr="003F300D">
        <w:rPr>
          <w:rFonts w:ascii="Arial" w:eastAsia="Arial" w:hAnsi="Arial" w:cs="Arial"/>
          <w:color w:val="000000" w:themeColor="text1"/>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23718892" w14:textId="77777777" w:rsidR="00EF6A03" w:rsidRPr="003F300D" w:rsidRDefault="00EF6A03" w:rsidP="003F300D">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3">
    <w:p w14:paraId="6727E18E" w14:textId="77777777" w:rsidR="00EF6A03" w:rsidRPr="003F300D" w:rsidRDefault="00EF6A03" w:rsidP="003F300D">
      <w:pPr>
        <w:pBdr>
          <w:top w:val="nil"/>
          <w:left w:val="nil"/>
          <w:bottom w:val="nil"/>
          <w:right w:val="nil"/>
          <w:between w:val="nil"/>
        </w:pBdr>
        <w:ind w:firstLine="709"/>
        <w:jc w:val="both"/>
        <w:rPr>
          <w:rFonts w:ascii="Arial" w:eastAsia="Arial" w:hAnsi="Arial" w:cs="Arial"/>
          <w:color w:val="000000" w:themeColor="text1"/>
          <w:sz w:val="19"/>
          <w:szCs w:val="19"/>
        </w:rPr>
      </w:pPr>
      <w:r w:rsidRPr="003F300D">
        <w:rPr>
          <w:rFonts w:ascii="Arial" w:hAnsi="Arial" w:cs="Arial"/>
          <w:color w:val="000000" w:themeColor="text1"/>
          <w:sz w:val="19"/>
          <w:szCs w:val="19"/>
          <w:vertAlign w:val="superscript"/>
        </w:rPr>
        <w:footnoteRef/>
      </w:r>
      <w:r w:rsidRPr="003F300D">
        <w:rPr>
          <w:rFonts w:ascii="Arial" w:eastAsia="Arial" w:hAnsi="Arial" w:cs="Arial"/>
          <w:color w:val="000000" w:themeColor="text1"/>
          <w:sz w:val="19"/>
          <w:szCs w:val="19"/>
        </w:rPr>
        <w:t xml:space="preserve"> </w:t>
      </w:r>
      <w:r w:rsidRPr="003F300D">
        <w:rPr>
          <w:rFonts w:ascii="Arial" w:eastAsia="Arial" w:hAnsi="Arial" w:cs="Arial"/>
          <w:color w:val="000000" w:themeColor="text1"/>
          <w:sz w:val="19"/>
          <w:szCs w:val="19"/>
        </w:rPr>
        <w:t>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4">
    <w:p w14:paraId="0EB1459B" w14:textId="77777777" w:rsidR="00E27165" w:rsidRPr="003F300D" w:rsidRDefault="00E27165" w:rsidP="003F300D">
      <w:pPr>
        <w:pStyle w:val="Textonotapie"/>
        <w:ind w:firstLine="709"/>
        <w:jc w:val="both"/>
        <w:rPr>
          <w:rFonts w:ascii="Arial" w:hAnsi="Arial" w:cs="Arial"/>
          <w:color w:val="000000" w:themeColor="text1"/>
          <w:sz w:val="19"/>
          <w:szCs w:val="19"/>
        </w:rPr>
      </w:pPr>
    </w:p>
    <w:p w14:paraId="41C814AA" w14:textId="77777777" w:rsidR="00E27165" w:rsidRPr="003F300D" w:rsidRDefault="00E27165" w:rsidP="003F300D">
      <w:pPr>
        <w:pStyle w:val="Textonotapie"/>
        <w:ind w:firstLine="709"/>
        <w:jc w:val="both"/>
        <w:rPr>
          <w:rFonts w:ascii="Arial" w:hAnsi="Arial" w:cs="Arial"/>
          <w:color w:val="000000" w:themeColor="text1"/>
          <w:sz w:val="19"/>
          <w:szCs w:val="19"/>
          <w:lang w:val="es-ES"/>
        </w:rPr>
      </w:pPr>
      <w:r w:rsidRPr="003F300D">
        <w:rPr>
          <w:rStyle w:val="Refdenotaalpie"/>
          <w:rFonts w:ascii="Arial" w:hAnsi="Arial" w:cs="Arial"/>
          <w:color w:val="000000" w:themeColor="text1"/>
          <w:sz w:val="19"/>
          <w:szCs w:val="19"/>
        </w:rPr>
        <w:footnoteRef/>
      </w:r>
      <w:r w:rsidRPr="003F300D">
        <w:rPr>
          <w:rFonts w:ascii="Arial" w:hAnsi="Arial" w:cs="Arial"/>
          <w:color w:val="000000" w:themeColor="text1"/>
          <w:sz w:val="19"/>
          <w:szCs w:val="19"/>
        </w:rPr>
        <w:t xml:space="preserve"> </w:t>
      </w:r>
      <w:r w:rsidRPr="003F300D">
        <w:rPr>
          <w:rFonts w:ascii="Arial" w:hAnsi="Arial" w:cs="Arial"/>
          <w:color w:val="000000" w:themeColor="text1"/>
          <w:sz w:val="19"/>
          <w:szCs w:val="19"/>
        </w:rPr>
        <w:t>Ibid.</w:t>
      </w:r>
    </w:p>
  </w:footnote>
  <w:footnote w:id="5">
    <w:p w14:paraId="33CD90EE" w14:textId="77777777" w:rsidR="00E27165" w:rsidRPr="003F300D" w:rsidRDefault="00E27165" w:rsidP="003F300D">
      <w:pPr>
        <w:pStyle w:val="Textonotapie"/>
        <w:ind w:firstLine="709"/>
        <w:jc w:val="both"/>
        <w:rPr>
          <w:rFonts w:ascii="Arial" w:hAnsi="Arial" w:cs="Arial"/>
          <w:color w:val="000000" w:themeColor="text1"/>
          <w:sz w:val="19"/>
          <w:szCs w:val="19"/>
          <w:lang w:val="es-ES"/>
        </w:rPr>
      </w:pPr>
      <w:r w:rsidRPr="003F300D">
        <w:rPr>
          <w:rStyle w:val="Refdenotaalpie"/>
          <w:rFonts w:ascii="Arial" w:hAnsi="Arial" w:cs="Arial"/>
          <w:color w:val="000000" w:themeColor="text1"/>
          <w:sz w:val="19"/>
          <w:szCs w:val="19"/>
        </w:rPr>
        <w:footnoteRef/>
      </w:r>
      <w:r w:rsidRPr="003F300D">
        <w:rPr>
          <w:rFonts w:ascii="Arial" w:hAnsi="Arial" w:cs="Arial"/>
          <w:color w:val="000000" w:themeColor="text1"/>
          <w:sz w:val="19"/>
          <w:szCs w:val="19"/>
        </w:rPr>
        <w:t xml:space="preserve"> </w:t>
      </w:r>
      <w:r w:rsidRPr="003F300D">
        <w:rPr>
          <w:rFonts w:ascii="Arial" w:hAnsi="Arial" w:cs="Arial"/>
          <w:color w:val="000000" w:themeColor="text1"/>
          <w:sz w:val="19"/>
          <w:szCs w:val="19"/>
          <w:lang w:val="es-ES"/>
        </w:rPr>
        <w:t xml:space="preserve">Resolución 116 de 2020. </w:t>
      </w:r>
    </w:p>
    <w:p w14:paraId="703DC5C3" w14:textId="77777777" w:rsidR="00E27165" w:rsidRPr="003F300D" w:rsidRDefault="00E27165" w:rsidP="003F300D">
      <w:pPr>
        <w:pStyle w:val="Textonotapie"/>
        <w:ind w:firstLine="709"/>
        <w:jc w:val="both"/>
        <w:rPr>
          <w:rFonts w:ascii="Arial" w:hAnsi="Arial" w:cs="Arial"/>
          <w:color w:val="000000" w:themeColor="text1"/>
          <w:sz w:val="19"/>
          <w:szCs w:val="19"/>
          <w:lang w:val="es-ES"/>
        </w:rPr>
      </w:pPr>
    </w:p>
  </w:footnote>
  <w:footnote w:id="6">
    <w:p w14:paraId="0CD8B8BD" w14:textId="5739B894" w:rsidR="00E27165" w:rsidRDefault="00E27165" w:rsidP="003F300D">
      <w:pPr>
        <w:pStyle w:val="Textonotapie"/>
        <w:ind w:firstLine="709"/>
        <w:jc w:val="both"/>
        <w:rPr>
          <w:rFonts w:ascii="Arial" w:hAnsi="Arial" w:cs="Arial"/>
          <w:color w:val="000000" w:themeColor="text1"/>
          <w:sz w:val="19"/>
          <w:szCs w:val="19"/>
          <w:lang w:val="es-ES"/>
        </w:rPr>
      </w:pPr>
      <w:r w:rsidRPr="003F300D">
        <w:rPr>
          <w:rStyle w:val="Refdenotaalpie"/>
          <w:rFonts w:ascii="Arial" w:hAnsi="Arial" w:cs="Arial"/>
          <w:color w:val="000000" w:themeColor="text1"/>
          <w:sz w:val="19"/>
          <w:szCs w:val="19"/>
        </w:rPr>
        <w:footnoteRef/>
      </w:r>
      <w:r w:rsidRPr="003F300D">
        <w:rPr>
          <w:rFonts w:ascii="Arial" w:hAnsi="Arial" w:cs="Arial"/>
          <w:color w:val="000000" w:themeColor="text1"/>
          <w:sz w:val="19"/>
          <w:szCs w:val="19"/>
        </w:rPr>
        <w:t xml:space="preserve"> </w:t>
      </w:r>
      <w:proofErr w:type="spellStart"/>
      <w:r w:rsidRPr="003F300D">
        <w:rPr>
          <w:rFonts w:ascii="Arial" w:hAnsi="Arial" w:cs="Arial"/>
          <w:color w:val="000000" w:themeColor="text1"/>
          <w:sz w:val="19"/>
          <w:szCs w:val="19"/>
          <w:lang w:val="es-ES"/>
        </w:rPr>
        <w:t>Ibid</w:t>
      </w:r>
      <w:proofErr w:type="spellEnd"/>
      <w:r w:rsidRPr="003F300D">
        <w:rPr>
          <w:rFonts w:ascii="Arial" w:hAnsi="Arial" w:cs="Arial"/>
          <w:color w:val="000000" w:themeColor="text1"/>
          <w:sz w:val="19"/>
          <w:szCs w:val="19"/>
          <w:lang w:val="es-ES"/>
        </w:rPr>
        <w:t>.</w:t>
      </w:r>
    </w:p>
    <w:p w14:paraId="5C6AEE70" w14:textId="77777777" w:rsidR="004E5B36" w:rsidRPr="003F300D" w:rsidRDefault="004E5B36" w:rsidP="003F300D">
      <w:pPr>
        <w:pStyle w:val="Textonotapie"/>
        <w:ind w:firstLine="709"/>
        <w:jc w:val="both"/>
        <w:rPr>
          <w:rFonts w:ascii="Arial" w:hAnsi="Arial" w:cs="Arial"/>
          <w:color w:val="000000" w:themeColor="text1"/>
          <w:sz w:val="19"/>
          <w:szCs w:val="19"/>
          <w:lang w:val="es-ES"/>
        </w:rPr>
      </w:pPr>
    </w:p>
  </w:footnote>
  <w:footnote w:id="7">
    <w:p w14:paraId="1A433CD4" w14:textId="77777777" w:rsidR="007B0313" w:rsidRPr="003F300D" w:rsidRDefault="007B0313" w:rsidP="003F300D">
      <w:pPr>
        <w:pStyle w:val="Textonotapie"/>
        <w:ind w:firstLine="709"/>
        <w:jc w:val="both"/>
        <w:rPr>
          <w:rFonts w:ascii="Arial" w:hAnsi="Arial" w:cs="Arial"/>
          <w:color w:val="000000" w:themeColor="text1"/>
          <w:sz w:val="19"/>
          <w:szCs w:val="19"/>
          <w:lang w:val="es-ES"/>
        </w:rPr>
      </w:pPr>
      <w:r w:rsidRPr="003F300D">
        <w:rPr>
          <w:rStyle w:val="Refdenotaalpie"/>
          <w:rFonts w:ascii="Arial" w:hAnsi="Arial" w:cs="Arial"/>
          <w:color w:val="000000" w:themeColor="text1"/>
          <w:sz w:val="19"/>
          <w:szCs w:val="19"/>
        </w:rPr>
        <w:footnoteRef/>
      </w:r>
      <w:r w:rsidRPr="003F300D">
        <w:rPr>
          <w:rFonts w:ascii="Arial" w:hAnsi="Arial" w:cs="Arial"/>
          <w:color w:val="000000" w:themeColor="text1"/>
          <w:sz w:val="19"/>
          <w:szCs w:val="19"/>
        </w:rPr>
        <w:t xml:space="preserve"> </w:t>
      </w:r>
      <w:r w:rsidRPr="003F300D">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w:t>
      </w:r>
      <w:proofErr w:type="spellStart"/>
      <w:r w:rsidRPr="003F300D">
        <w:rPr>
          <w:rFonts w:ascii="Arial" w:hAnsi="Arial" w:cs="Arial"/>
          <w:color w:val="000000" w:themeColor="text1"/>
          <w:sz w:val="19"/>
          <w:szCs w:val="19"/>
          <w:lang w:val="es-ES"/>
        </w:rPr>
        <w:t>oponibilidad</w:t>
      </w:r>
      <w:proofErr w:type="spellEnd"/>
      <w:r w:rsidRPr="003F300D">
        <w:rPr>
          <w:rFonts w:ascii="Arial" w:hAnsi="Arial" w:cs="Arial"/>
          <w:color w:val="000000" w:themeColor="text1"/>
          <w:sz w:val="19"/>
          <w:szCs w:val="19"/>
          <w:lang w:val="es-ES"/>
        </w:rPr>
        <w:t>) de las leyes, las cuales solo tienen vigencia si se han promulgado y publicado en el Diario Oficial (Sentencia C-932 de 2006. Magistrado Ponente: Humberto Antonio Sierra Porto).</w:t>
      </w:r>
    </w:p>
  </w:footnote>
  <w:footnote w:id="8">
    <w:p w14:paraId="208146F7" w14:textId="6AA9A81D" w:rsidR="007B0313" w:rsidRDefault="007B0313" w:rsidP="003F300D">
      <w:pPr>
        <w:pStyle w:val="Textonotapie"/>
        <w:ind w:firstLine="709"/>
        <w:jc w:val="both"/>
        <w:rPr>
          <w:rFonts w:ascii="Arial" w:hAnsi="Arial" w:cs="Arial"/>
          <w:color w:val="000000" w:themeColor="text1"/>
          <w:sz w:val="19"/>
          <w:szCs w:val="19"/>
          <w:lang w:val="es-ES"/>
        </w:rPr>
      </w:pPr>
      <w:r w:rsidRPr="003F300D">
        <w:rPr>
          <w:rStyle w:val="Refdenotaalpie"/>
          <w:rFonts w:ascii="Arial" w:hAnsi="Arial" w:cs="Arial"/>
          <w:color w:val="000000" w:themeColor="text1"/>
          <w:sz w:val="19"/>
          <w:szCs w:val="19"/>
        </w:rPr>
        <w:footnoteRef/>
      </w:r>
      <w:r w:rsidRPr="003F300D">
        <w:rPr>
          <w:rFonts w:ascii="Arial" w:hAnsi="Arial" w:cs="Arial"/>
          <w:color w:val="000000" w:themeColor="text1"/>
          <w:sz w:val="19"/>
          <w:szCs w:val="19"/>
        </w:rPr>
        <w:t xml:space="preserve"> </w:t>
      </w:r>
      <w:r w:rsidRPr="003F300D">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w:t>
      </w:r>
      <w:proofErr w:type="spellStart"/>
      <w:r w:rsidRPr="003F300D">
        <w:rPr>
          <w:rFonts w:ascii="Arial" w:hAnsi="Arial" w:cs="Arial"/>
          <w:color w:val="000000" w:themeColor="text1"/>
          <w:sz w:val="19"/>
          <w:szCs w:val="19"/>
          <w:lang w:val="es-ES"/>
        </w:rPr>
        <w:t>Marienhoff</w:t>
      </w:r>
      <w:proofErr w:type="spellEnd"/>
      <w:r w:rsidRPr="003F300D">
        <w:rPr>
          <w:rFonts w:ascii="Arial" w:hAnsi="Arial" w:cs="Arial"/>
          <w:color w:val="000000" w:themeColor="text1"/>
          <w:sz w:val="19"/>
          <w:szCs w:val="19"/>
          <w:lang w:val="es-ES"/>
        </w:rPr>
        <w:t xml:space="preserve">, cuando se pregunta «¿Y cuál es la vigencia de la ley con relación al tiempo?», respondiendo a renglón seguido: «El principio general </w:t>
      </w:r>
      <w:proofErr w:type="gramStart"/>
      <w:r w:rsidRPr="003F300D">
        <w:rPr>
          <w:rFonts w:ascii="Arial" w:hAnsi="Arial" w:cs="Arial"/>
          <w:color w:val="000000" w:themeColor="text1"/>
          <w:sz w:val="19"/>
          <w:szCs w:val="19"/>
          <w:lang w:val="es-ES"/>
        </w:rPr>
        <w:t>consiste  en</w:t>
      </w:r>
      <w:proofErr w:type="gramEnd"/>
      <w:r w:rsidRPr="003F300D">
        <w:rPr>
          <w:rFonts w:ascii="Arial" w:hAnsi="Arial" w:cs="Arial"/>
          <w:color w:val="000000" w:themeColor="text1"/>
          <w:sz w:val="19"/>
          <w:szCs w:val="19"/>
          <w:lang w:val="es-ES"/>
        </w:rPr>
        <w:t xml:space="preserve"> que las leyes rigen </w:t>
      </w:r>
      <w:r w:rsidRPr="003F300D">
        <w:rPr>
          <w:rFonts w:ascii="Arial" w:hAnsi="Arial" w:cs="Arial"/>
          <w:i/>
          <w:iCs/>
          <w:color w:val="000000" w:themeColor="text1"/>
          <w:sz w:val="19"/>
          <w:szCs w:val="19"/>
          <w:lang w:val="es-ES"/>
        </w:rPr>
        <w:t>“ex nunc”</w:t>
      </w:r>
      <w:r w:rsidRPr="003F300D">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3F300D">
        <w:rPr>
          <w:rFonts w:ascii="Arial" w:hAnsi="Arial" w:cs="Arial"/>
          <w:i/>
          <w:iCs/>
          <w:color w:val="000000" w:themeColor="text1"/>
          <w:sz w:val="19"/>
          <w:szCs w:val="19"/>
          <w:lang w:val="es-ES"/>
        </w:rPr>
        <w:t>“excepcional”</w:t>
      </w:r>
      <w:r w:rsidRPr="003F300D">
        <w:rPr>
          <w:rFonts w:ascii="Arial" w:hAnsi="Arial" w:cs="Arial"/>
          <w:color w:val="000000" w:themeColor="text1"/>
          <w:sz w:val="19"/>
          <w:szCs w:val="19"/>
          <w:lang w:val="es-ES"/>
        </w:rPr>
        <w:t xml:space="preserve">, la ley puede regir para el pasado, es decir, puede tener efecto retroactivo, </w:t>
      </w:r>
      <w:r w:rsidRPr="003F300D">
        <w:rPr>
          <w:rFonts w:ascii="Arial" w:hAnsi="Arial" w:cs="Arial"/>
          <w:i/>
          <w:iCs/>
          <w:color w:val="000000" w:themeColor="text1"/>
          <w:sz w:val="19"/>
          <w:szCs w:val="19"/>
          <w:lang w:val="es-ES"/>
        </w:rPr>
        <w:t xml:space="preserve">“ex </w:t>
      </w:r>
      <w:proofErr w:type="spellStart"/>
      <w:r w:rsidRPr="003F300D">
        <w:rPr>
          <w:rFonts w:ascii="Arial" w:hAnsi="Arial" w:cs="Arial"/>
          <w:i/>
          <w:iCs/>
          <w:color w:val="000000" w:themeColor="text1"/>
          <w:sz w:val="19"/>
          <w:szCs w:val="19"/>
          <w:lang w:val="es-ES"/>
        </w:rPr>
        <w:t>tunc</w:t>
      </w:r>
      <w:proofErr w:type="spellEnd"/>
      <w:r w:rsidRPr="003F300D">
        <w:rPr>
          <w:rFonts w:ascii="Arial" w:hAnsi="Arial" w:cs="Arial"/>
          <w:i/>
          <w:iCs/>
          <w:color w:val="000000" w:themeColor="text1"/>
          <w:sz w:val="19"/>
          <w:szCs w:val="19"/>
          <w:lang w:val="es-ES"/>
        </w:rPr>
        <w:t>”</w:t>
      </w:r>
      <w:r w:rsidRPr="003F300D">
        <w:rPr>
          <w:rFonts w:ascii="Arial" w:hAnsi="Arial" w:cs="Arial"/>
          <w:color w:val="000000" w:themeColor="text1"/>
          <w:sz w:val="19"/>
          <w:szCs w:val="19"/>
          <w:lang w:val="es-ES"/>
        </w:rPr>
        <w:t xml:space="preserve">; pero la intención del legislador de dar efecto retroactivo a una ley debe resultar de una declaración </w:t>
      </w:r>
      <w:r w:rsidRPr="003F300D">
        <w:rPr>
          <w:rFonts w:ascii="Arial" w:hAnsi="Arial" w:cs="Arial"/>
          <w:i/>
          <w:iCs/>
          <w:color w:val="000000" w:themeColor="text1"/>
          <w:sz w:val="19"/>
          <w:szCs w:val="19"/>
          <w:lang w:val="es-ES"/>
        </w:rPr>
        <w:t>expresa</w:t>
      </w:r>
      <w:r w:rsidRPr="003F300D">
        <w:rPr>
          <w:rFonts w:ascii="Arial" w:hAnsi="Arial" w:cs="Arial"/>
          <w:color w:val="000000" w:themeColor="text1"/>
          <w:sz w:val="19"/>
          <w:szCs w:val="19"/>
          <w:lang w:val="es-ES"/>
        </w:rPr>
        <w:t xml:space="preserve"> o bien de otra forma </w:t>
      </w:r>
      <w:r w:rsidRPr="003F300D">
        <w:rPr>
          <w:rFonts w:ascii="Arial" w:hAnsi="Arial" w:cs="Arial"/>
          <w:i/>
          <w:iCs/>
          <w:color w:val="000000" w:themeColor="text1"/>
          <w:sz w:val="19"/>
          <w:szCs w:val="19"/>
          <w:lang w:val="es-ES"/>
        </w:rPr>
        <w:t>inequívoca</w:t>
      </w:r>
      <w:r w:rsidRPr="003F300D">
        <w:rPr>
          <w:rFonts w:ascii="Arial" w:hAnsi="Arial" w:cs="Arial"/>
          <w:color w:val="000000" w:themeColor="text1"/>
          <w:sz w:val="19"/>
          <w:szCs w:val="19"/>
          <w:lang w:val="es-ES"/>
        </w:rPr>
        <w:t xml:space="preserve">: la regla es la irretroactividad, principio que también rige para el derecho administrativo» (MARIENHOFF, Miguel S. Tratado de Derecho administrativo. Tomo I, Teoría General. 5ª ed. Buenos Aires: </w:t>
      </w:r>
      <w:proofErr w:type="spellStart"/>
      <w:r w:rsidRPr="003F300D">
        <w:rPr>
          <w:rFonts w:ascii="Arial" w:hAnsi="Arial" w:cs="Arial"/>
          <w:color w:val="000000" w:themeColor="text1"/>
          <w:sz w:val="19"/>
          <w:szCs w:val="19"/>
          <w:lang w:val="es-ES"/>
        </w:rPr>
        <w:t>Abeledo-Perrot</w:t>
      </w:r>
      <w:proofErr w:type="spellEnd"/>
      <w:r w:rsidRPr="003F300D">
        <w:rPr>
          <w:rFonts w:ascii="Arial" w:hAnsi="Arial" w:cs="Arial"/>
          <w:color w:val="000000" w:themeColor="text1"/>
          <w:sz w:val="19"/>
          <w:szCs w:val="19"/>
          <w:lang w:val="es-ES"/>
        </w:rPr>
        <w:t>, 2000. pp. 228-229).</w:t>
      </w:r>
    </w:p>
    <w:p w14:paraId="09A34278" w14:textId="77777777" w:rsidR="004E5B36" w:rsidRPr="003F300D" w:rsidRDefault="004E5B36" w:rsidP="003F300D">
      <w:pPr>
        <w:pStyle w:val="Textonotapie"/>
        <w:ind w:firstLine="709"/>
        <w:jc w:val="both"/>
        <w:rPr>
          <w:rFonts w:ascii="Arial" w:hAnsi="Arial" w:cs="Arial"/>
          <w:color w:val="000000" w:themeColor="text1"/>
          <w:sz w:val="19"/>
          <w:szCs w:val="19"/>
          <w:lang w:val="es-ES"/>
        </w:rPr>
      </w:pPr>
    </w:p>
  </w:footnote>
  <w:footnote w:id="9">
    <w:p w14:paraId="1A8C432E" w14:textId="77777777" w:rsidR="007B0313" w:rsidRPr="003F300D" w:rsidRDefault="007B0313" w:rsidP="003F300D">
      <w:pPr>
        <w:ind w:firstLine="709"/>
        <w:jc w:val="both"/>
        <w:rPr>
          <w:rFonts w:ascii="Arial" w:hAnsi="Arial" w:cs="Arial"/>
          <w:color w:val="000000" w:themeColor="text1"/>
          <w:sz w:val="19"/>
          <w:szCs w:val="19"/>
          <w:lang w:val="es-ES"/>
        </w:rPr>
      </w:pPr>
      <w:r w:rsidRPr="003F300D">
        <w:rPr>
          <w:rStyle w:val="Refdenotaalpie"/>
          <w:rFonts w:ascii="Arial" w:hAnsi="Arial" w:cs="Arial"/>
          <w:color w:val="000000" w:themeColor="text1"/>
          <w:sz w:val="19"/>
          <w:szCs w:val="19"/>
        </w:rPr>
        <w:footnoteRef/>
      </w:r>
      <w:r w:rsidRPr="003F300D">
        <w:rPr>
          <w:rFonts w:ascii="Arial" w:hAnsi="Arial" w:cs="Arial"/>
          <w:color w:val="000000" w:themeColor="text1"/>
          <w:sz w:val="19"/>
          <w:szCs w:val="19"/>
        </w:rPr>
        <w:t xml:space="preserve"> </w:t>
      </w:r>
      <w:r w:rsidRPr="003F300D">
        <w:rPr>
          <w:rFonts w:ascii="Arial" w:hAnsi="Arial" w:cs="Arial"/>
          <w:color w:val="000000" w:themeColor="text1"/>
          <w:sz w:val="19"/>
          <w:szCs w:val="19"/>
          <w:lang w:val="es-ES"/>
        </w:rPr>
        <w:t xml:space="preserve">El apartado normativo establece: «En los procesos de responsabilidad fiscal, que al </w:t>
      </w:r>
      <w:proofErr w:type="gramStart"/>
      <w:r w:rsidRPr="003F300D">
        <w:rPr>
          <w:rFonts w:ascii="Arial" w:hAnsi="Arial" w:cs="Arial"/>
          <w:color w:val="000000" w:themeColor="text1"/>
          <w:sz w:val="19"/>
          <w:szCs w:val="19"/>
          <w:lang w:val="es-ES"/>
        </w:rPr>
        <w:t>entrar en vigencia</w:t>
      </w:r>
      <w:proofErr w:type="gramEnd"/>
      <w:r w:rsidRPr="003F300D">
        <w:rPr>
          <w:rFonts w:ascii="Arial" w:hAnsi="Arial" w:cs="Arial"/>
          <w:color w:val="000000" w:themeColor="text1"/>
          <w:sz w:val="19"/>
          <w:szCs w:val="19"/>
          <w:lang w:val="es-ES"/>
        </w:rPr>
        <w:t xml:space="preserve">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11FA0033" w14:textId="77777777" w:rsidR="007B0313" w:rsidRPr="003F300D" w:rsidRDefault="007B0313" w:rsidP="003F300D">
      <w:pPr>
        <w:pStyle w:val="Textonotapie"/>
        <w:ind w:firstLine="709"/>
        <w:jc w:val="both"/>
        <w:rPr>
          <w:rFonts w:ascii="Arial" w:hAnsi="Arial" w:cs="Arial"/>
          <w:color w:val="000000" w:themeColor="text1"/>
          <w:sz w:val="19"/>
          <w:szCs w:val="19"/>
          <w:lang w:val="es-CO"/>
        </w:rPr>
      </w:pPr>
    </w:p>
  </w:footnote>
  <w:footnote w:id="10">
    <w:p w14:paraId="639B9130" w14:textId="462ABAC4" w:rsidR="00F37068" w:rsidRPr="003F300D" w:rsidRDefault="00F37068" w:rsidP="003F300D">
      <w:pPr>
        <w:pStyle w:val="Textonotapie"/>
        <w:ind w:firstLine="709"/>
        <w:jc w:val="both"/>
        <w:rPr>
          <w:rFonts w:ascii="Arial" w:hAnsi="Arial" w:cs="Arial"/>
          <w:sz w:val="19"/>
          <w:szCs w:val="19"/>
          <w:lang w:val="es-ES"/>
        </w:rPr>
      </w:pPr>
      <w:r w:rsidRPr="003F300D">
        <w:rPr>
          <w:rStyle w:val="Refdenotaalpie"/>
          <w:rFonts w:ascii="Arial" w:hAnsi="Arial" w:cs="Arial"/>
          <w:sz w:val="19"/>
          <w:szCs w:val="19"/>
        </w:rPr>
        <w:footnoteRef/>
      </w:r>
      <w:r w:rsidRPr="003F300D">
        <w:rPr>
          <w:rFonts w:ascii="Arial" w:hAnsi="Arial" w:cs="Arial"/>
          <w:sz w:val="19"/>
          <w:szCs w:val="19"/>
        </w:rPr>
        <w:t xml:space="preserve"> </w:t>
      </w:r>
      <w:r w:rsidRPr="003F300D">
        <w:rPr>
          <w:rFonts w:ascii="Arial" w:hAnsi="Arial" w:cs="Arial"/>
          <w:sz w:val="19"/>
          <w:szCs w:val="19"/>
          <w:lang w:val="es-ES"/>
        </w:rPr>
        <w:t>El Decreto 1082 de 2015 dispone lo siguiente: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2E691176" w14:textId="7F81ECD4" w:rsidR="00F37068" w:rsidRPr="003F300D" w:rsidRDefault="00F37068" w:rsidP="003F300D">
      <w:pPr>
        <w:pStyle w:val="Textonotapie"/>
        <w:ind w:firstLine="709"/>
        <w:jc w:val="both"/>
        <w:rPr>
          <w:rFonts w:ascii="Arial" w:hAnsi="Arial" w:cs="Arial"/>
          <w:sz w:val="19"/>
          <w:szCs w:val="19"/>
          <w:lang w:val="es-ES"/>
        </w:rPr>
      </w:pPr>
      <w:proofErr w:type="gramStart"/>
      <w:r w:rsidRPr="003F300D">
        <w:rPr>
          <w:rFonts w:ascii="Arial" w:hAnsi="Arial" w:cs="Arial"/>
          <w:sz w:val="19"/>
          <w:szCs w:val="19"/>
          <w:lang w:val="es-ES"/>
        </w:rPr>
        <w:t>»El</w:t>
      </w:r>
      <w:proofErr w:type="gramEnd"/>
      <w:r w:rsidRPr="003F300D">
        <w:rPr>
          <w:rFonts w:ascii="Arial" w:hAnsi="Arial" w:cs="Arial"/>
          <w:sz w:val="19"/>
          <w:szCs w:val="19"/>
          <w:lang w:val="es-ES"/>
        </w:rPr>
        <w:t xml:space="preserve"> acto administrativo de que trata el presente artículo debe señalar:</w:t>
      </w:r>
    </w:p>
    <w:p w14:paraId="298FAB12" w14:textId="36676C2A" w:rsidR="00F37068" w:rsidRPr="003F300D"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»1. El objeto de la contratación a realizar.</w:t>
      </w:r>
    </w:p>
    <w:p w14:paraId="06CEF754" w14:textId="38AD5782" w:rsidR="00F37068" w:rsidRPr="003F300D"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»2. La modalidad de selección que corresponda a la contratación.</w:t>
      </w:r>
    </w:p>
    <w:p w14:paraId="2127A08D" w14:textId="6D02DE4E" w:rsidR="00F37068" w:rsidRPr="003F300D"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»3. El Cronograma.</w:t>
      </w:r>
    </w:p>
    <w:p w14:paraId="29BB13F0" w14:textId="22174C80" w:rsidR="00F37068" w:rsidRPr="003F300D"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»4. El lugar físico o electrónico en que se puede consultar y retirar los pliegos de condiciones y los estudios y documentos previos.</w:t>
      </w:r>
    </w:p>
    <w:p w14:paraId="43E4ADD3" w14:textId="72DE8F35" w:rsidR="00F37068" w:rsidRPr="003F300D"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»5. La convocatoria para las veedurías ciudadanas.</w:t>
      </w:r>
    </w:p>
    <w:p w14:paraId="4A64948C" w14:textId="7AA49BE4" w:rsidR="00F37068" w:rsidRPr="003F300D"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»6. El certificado de disponibilidad presupuestal, en concordancia con las normas orgánicas correspondientes.</w:t>
      </w:r>
    </w:p>
    <w:p w14:paraId="41C551E1" w14:textId="4F1EA98E" w:rsidR="00F37068" w:rsidRDefault="00F37068" w:rsidP="003F300D">
      <w:pPr>
        <w:pStyle w:val="Textonotapie"/>
        <w:ind w:firstLine="709"/>
        <w:jc w:val="both"/>
        <w:rPr>
          <w:rFonts w:ascii="Arial" w:hAnsi="Arial" w:cs="Arial"/>
          <w:sz w:val="19"/>
          <w:szCs w:val="19"/>
          <w:lang w:val="es-ES"/>
        </w:rPr>
      </w:pPr>
      <w:r w:rsidRPr="003F300D">
        <w:rPr>
          <w:rFonts w:ascii="Arial" w:hAnsi="Arial" w:cs="Arial"/>
          <w:sz w:val="19"/>
          <w:szCs w:val="19"/>
          <w:lang w:val="es-ES"/>
        </w:rPr>
        <w:t>»7. Los demás asuntos que se consideren pertinentes de acuerdo con cada una de las modalidades de selección».</w:t>
      </w:r>
    </w:p>
    <w:p w14:paraId="665B8B12" w14:textId="77777777" w:rsidR="00874915" w:rsidRPr="003F300D" w:rsidRDefault="00874915" w:rsidP="003F300D">
      <w:pPr>
        <w:pStyle w:val="Textonotapie"/>
        <w:ind w:firstLine="709"/>
        <w:jc w:val="both"/>
        <w:rPr>
          <w:rFonts w:ascii="Arial" w:hAnsi="Arial" w:cs="Arial"/>
          <w:sz w:val="19"/>
          <w:szCs w:val="19"/>
          <w:lang w:val="es-CO"/>
        </w:rPr>
      </w:pPr>
    </w:p>
  </w:footnote>
  <w:footnote w:id="11">
    <w:p w14:paraId="4DF1D486" w14:textId="6F95B568" w:rsidR="003F300D" w:rsidRPr="003F300D" w:rsidRDefault="003F300D" w:rsidP="003F300D">
      <w:pPr>
        <w:ind w:firstLine="709"/>
        <w:jc w:val="both"/>
        <w:rPr>
          <w:rFonts w:ascii="Arial" w:hAnsi="Arial" w:cs="Arial"/>
          <w:sz w:val="19"/>
          <w:szCs w:val="19"/>
          <w:lang w:val="es-ES"/>
        </w:rPr>
      </w:pPr>
      <w:r w:rsidRPr="003F300D">
        <w:rPr>
          <w:rStyle w:val="Refdenotaalpie"/>
          <w:rFonts w:ascii="Arial" w:hAnsi="Arial" w:cs="Arial"/>
          <w:sz w:val="19"/>
          <w:szCs w:val="19"/>
        </w:rPr>
        <w:footnoteRef/>
      </w:r>
      <w:r w:rsidRPr="003F300D">
        <w:rPr>
          <w:rFonts w:ascii="Arial" w:hAnsi="Arial" w:cs="Arial"/>
          <w:sz w:val="19"/>
          <w:szCs w:val="19"/>
        </w:rPr>
        <w:t xml:space="preserve"> </w:t>
      </w:r>
      <w:r w:rsidRPr="003F300D">
        <w:rPr>
          <w:rFonts w:ascii="Arial" w:hAnsi="Arial" w:cs="Arial"/>
          <w:sz w:val="19"/>
          <w:szCs w:val="19"/>
          <w:lang w:val="es-ES"/>
        </w:rPr>
        <w:t xml:space="preserve">Al respecto, el Decreto 1082 de 2015 señala: «Artículo 2.2.1.1.2.1.4. Observaciones al proyecto de pliegos de condiciones. Los interesados pueden hacer comentarios al proyecto de pliegos de condiciones a partir de la fecha de publicación de </w:t>
      </w:r>
      <w:proofErr w:type="gramStart"/>
      <w:r w:rsidRPr="003F300D">
        <w:rPr>
          <w:rFonts w:ascii="Arial" w:hAnsi="Arial" w:cs="Arial"/>
          <w:sz w:val="19"/>
          <w:szCs w:val="19"/>
          <w:lang w:val="es-ES"/>
        </w:rPr>
        <w:t>los mismos</w:t>
      </w:r>
      <w:proofErr w:type="gramEnd"/>
      <w:r w:rsidRPr="003F300D">
        <w:rPr>
          <w:rFonts w:ascii="Arial" w:hAnsi="Arial" w:cs="Arial"/>
          <w:sz w:val="19"/>
          <w:szCs w:val="19"/>
          <w:lang w:val="es-ES"/>
        </w:rPr>
        <w:t>: (a) durante un término de diez (10) días hábiles en la licitación pública; y (b) durante un término de cinco (5) días hábiles en la selección abreviada y el concurso de méritos».</w:t>
      </w:r>
    </w:p>
    <w:p w14:paraId="57A2611B" w14:textId="5172F909" w:rsidR="003F300D" w:rsidRPr="003F300D" w:rsidRDefault="003F300D" w:rsidP="003F300D">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3"/>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20FE"/>
    <w:rsid w:val="00003C5C"/>
    <w:rsid w:val="000040D7"/>
    <w:rsid w:val="000059D3"/>
    <w:rsid w:val="00006081"/>
    <w:rsid w:val="00007750"/>
    <w:rsid w:val="000077FD"/>
    <w:rsid w:val="00007E37"/>
    <w:rsid w:val="00010C40"/>
    <w:rsid w:val="00011DCC"/>
    <w:rsid w:val="00012B9E"/>
    <w:rsid w:val="00013C6B"/>
    <w:rsid w:val="00016081"/>
    <w:rsid w:val="000165AC"/>
    <w:rsid w:val="00016651"/>
    <w:rsid w:val="000171A2"/>
    <w:rsid w:val="00021A95"/>
    <w:rsid w:val="00023DAE"/>
    <w:rsid w:val="000263F0"/>
    <w:rsid w:val="00026407"/>
    <w:rsid w:val="000315E1"/>
    <w:rsid w:val="00042961"/>
    <w:rsid w:val="00042C25"/>
    <w:rsid w:val="00042D03"/>
    <w:rsid w:val="00046C09"/>
    <w:rsid w:val="0004716A"/>
    <w:rsid w:val="000504DE"/>
    <w:rsid w:val="00052EA0"/>
    <w:rsid w:val="00061D06"/>
    <w:rsid w:val="00062CDD"/>
    <w:rsid w:val="00065195"/>
    <w:rsid w:val="00070AF1"/>
    <w:rsid w:val="0007254F"/>
    <w:rsid w:val="00074B2A"/>
    <w:rsid w:val="00075B3E"/>
    <w:rsid w:val="00076456"/>
    <w:rsid w:val="0007779B"/>
    <w:rsid w:val="0007790A"/>
    <w:rsid w:val="00080ACD"/>
    <w:rsid w:val="00082B74"/>
    <w:rsid w:val="00083099"/>
    <w:rsid w:val="00083EDC"/>
    <w:rsid w:val="00084B97"/>
    <w:rsid w:val="0008510E"/>
    <w:rsid w:val="00085F17"/>
    <w:rsid w:val="00085FB3"/>
    <w:rsid w:val="00086ED2"/>
    <w:rsid w:val="00091569"/>
    <w:rsid w:val="000942EB"/>
    <w:rsid w:val="00095B70"/>
    <w:rsid w:val="0009617E"/>
    <w:rsid w:val="000979CF"/>
    <w:rsid w:val="000A0861"/>
    <w:rsid w:val="000A12DB"/>
    <w:rsid w:val="000A2128"/>
    <w:rsid w:val="000A362F"/>
    <w:rsid w:val="000A648E"/>
    <w:rsid w:val="000B103F"/>
    <w:rsid w:val="000B419B"/>
    <w:rsid w:val="000C0185"/>
    <w:rsid w:val="000C128D"/>
    <w:rsid w:val="000C1D4B"/>
    <w:rsid w:val="000C639D"/>
    <w:rsid w:val="000C7476"/>
    <w:rsid w:val="000C7AA2"/>
    <w:rsid w:val="000D0462"/>
    <w:rsid w:val="000D0ED2"/>
    <w:rsid w:val="000D2563"/>
    <w:rsid w:val="000D3FDC"/>
    <w:rsid w:val="000D4E38"/>
    <w:rsid w:val="000D6288"/>
    <w:rsid w:val="000D7541"/>
    <w:rsid w:val="000E30AC"/>
    <w:rsid w:val="000E3E11"/>
    <w:rsid w:val="000E4596"/>
    <w:rsid w:val="000E5768"/>
    <w:rsid w:val="000E7E0B"/>
    <w:rsid w:val="000F078A"/>
    <w:rsid w:val="000F14E8"/>
    <w:rsid w:val="000F1BBD"/>
    <w:rsid w:val="000F4403"/>
    <w:rsid w:val="000F4E17"/>
    <w:rsid w:val="000F6578"/>
    <w:rsid w:val="000F7E8F"/>
    <w:rsid w:val="001000FB"/>
    <w:rsid w:val="00102605"/>
    <w:rsid w:val="00103915"/>
    <w:rsid w:val="001051E5"/>
    <w:rsid w:val="00105AEF"/>
    <w:rsid w:val="001078CE"/>
    <w:rsid w:val="0011165A"/>
    <w:rsid w:val="00112B2E"/>
    <w:rsid w:val="00113705"/>
    <w:rsid w:val="00113975"/>
    <w:rsid w:val="00113CFC"/>
    <w:rsid w:val="001174C9"/>
    <w:rsid w:val="00121BAB"/>
    <w:rsid w:val="00121E3C"/>
    <w:rsid w:val="00122B23"/>
    <w:rsid w:val="00122B7E"/>
    <w:rsid w:val="0012400F"/>
    <w:rsid w:val="001249DC"/>
    <w:rsid w:val="0012572D"/>
    <w:rsid w:val="00125BED"/>
    <w:rsid w:val="00125C59"/>
    <w:rsid w:val="00125D4F"/>
    <w:rsid w:val="00127AF2"/>
    <w:rsid w:val="00131B5A"/>
    <w:rsid w:val="0013695C"/>
    <w:rsid w:val="00136BF7"/>
    <w:rsid w:val="00137FFA"/>
    <w:rsid w:val="00140109"/>
    <w:rsid w:val="0014029B"/>
    <w:rsid w:val="00140A4F"/>
    <w:rsid w:val="0014502F"/>
    <w:rsid w:val="0015407E"/>
    <w:rsid w:val="00154A6F"/>
    <w:rsid w:val="00155D08"/>
    <w:rsid w:val="00160401"/>
    <w:rsid w:val="00161F1C"/>
    <w:rsid w:val="0016200B"/>
    <w:rsid w:val="00167A50"/>
    <w:rsid w:val="00167DF5"/>
    <w:rsid w:val="00172198"/>
    <w:rsid w:val="001734E3"/>
    <w:rsid w:val="001742BF"/>
    <w:rsid w:val="00175E49"/>
    <w:rsid w:val="001813AF"/>
    <w:rsid w:val="00182F01"/>
    <w:rsid w:val="00191C5A"/>
    <w:rsid w:val="00191E63"/>
    <w:rsid w:val="0019388B"/>
    <w:rsid w:val="001946D5"/>
    <w:rsid w:val="001A18D5"/>
    <w:rsid w:val="001A66DF"/>
    <w:rsid w:val="001A7591"/>
    <w:rsid w:val="001B0444"/>
    <w:rsid w:val="001B096B"/>
    <w:rsid w:val="001B0F9F"/>
    <w:rsid w:val="001B123C"/>
    <w:rsid w:val="001B2456"/>
    <w:rsid w:val="001B449C"/>
    <w:rsid w:val="001B4AA2"/>
    <w:rsid w:val="001B4ADE"/>
    <w:rsid w:val="001C19CD"/>
    <w:rsid w:val="001C26FB"/>
    <w:rsid w:val="001C33C1"/>
    <w:rsid w:val="001C3E30"/>
    <w:rsid w:val="001C3E5C"/>
    <w:rsid w:val="001C600B"/>
    <w:rsid w:val="001C6898"/>
    <w:rsid w:val="001D15DF"/>
    <w:rsid w:val="001D56E9"/>
    <w:rsid w:val="001D7A84"/>
    <w:rsid w:val="001E1D38"/>
    <w:rsid w:val="001F0FA0"/>
    <w:rsid w:val="001F1349"/>
    <w:rsid w:val="001F2356"/>
    <w:rsid w:val="001F2A68"/>
    <w:rsid w:val="001F4773"/>
    <w:rsid w:val="001F56AA"/>
    <w:rsid w:val="001F58AA"/>
    <w:rsid w:val="001F5EF6"/>
    <w:rsid w:val="001F6FB6"/>
    <w:rsid w:val="0020054E"/>
    <w:rsid w:val="0020299B"/>
    <w:rsid w:val="002037AA"/>
    <w:rsid w:val="002042D8"/>
    <w:rsid w:val="0020632A"/>
    <w:rsid w:val="002110EB"/>
    <w:rsid w:val="00211338"/>
    <w:rsid w:val="00211388"/>
    <w:rsid w:val="0021148C"/>
    <w:rsid w:val="0021201A"/>
    <w:rsid w:val="00213A1F"/>
    <w:rsid w:val="00216264"/>
    <w:rsid w:val="002221CE"/>
    <w:rsid w:val="00226055"/>
    <w:rsid w:val="0022613F"/>
    <w:rsid w:val="00226236"/>
    <w:rsid w:val="002270C9"/>
    <w:rsid w:val="00231EC7"/>
    <w:rsid w:val="00232E15"/>
    <w:rsid w:val="00233C58"/>
    <w:rsid w:val="002345B6"/>
    <w:rsid w:val="00234B84"/>
    <w:rsid w:val="0024019A"/>
    <w:rsid w:val="00247712"/>
    <w:rsid w:val="00251866"/>
    <w:rsid w:val="00251A9F"/>
    <w:rsid w:val="00252492"/>
    <w:rsid w:val="00252B35"/>
    <w:rsid w:val="00253A02"/>
    <w:rsid w:val="00253B81"/>
    <w:rsid w:val="00256835"/>
    <w:rsid w:val="00256ECF"/>
    <w:rsid w:val="00257999"/>
    <w:rsid w:val="002604AA"/>
    <w:rsid w:val="00261560"/>
    <w:rsid w:val="00261CF9"/>
    <w:rsid w:val="00263201"/>
    <w:rsid w:val="002661F1"/>
    <w:rsid w:val="002711A4"/>
    <w:rsid w:val="00271F13"/>
    <w:rsid w:val="00275BB1"/>
    <w:rsid w:val="00277F8D"/>
    <w:rsid w:val="00280F3D"/>
    <w:rsid w:val="0028106A"/>
    <w:rsid w:val="00281EB4"/>
    <w:rsid w:val="0028308E"/>
    <w:rsid w:val="002834E9"/>
    <w:rsid w:val="0028428F"/>
    <w:rsid w:val="00284CFC"/>
    <w:rsid w:val="00285832"/>
    <w:rsid w:val="00285969"/>
    <w:rsid w:val="00290781"/>
    <w:rsid w:val="002929BB"/>
    <w:rsid w:val="002A2EA5"/>
    <w:rsid w:val="002A3D94"/>
    <w:rsid w:val="002A7F6D"/>
    <w:rsid w:val="002B1342"/>
    <w:rsid w:val="002B27C8"/>
    <w:rsid w:val="002B2A7F"/>
    <w:rsid w:val="002B330B"/>
    <w:rsid w:val="002B4B34"/>
    <w:rsid w:val="002B541A"/>
    <w:rsid w:val="002B6407"/>
    <w:rsid w:val="002B6416"/>
    <w:rsid w:val="002C2B3A"/>
    <w:rsid w:val="002C2B87"/>
    <w:rsid w:val="002C3CF4"/>
    <w:rsid w:val="002C4B84"/>
    <w:rsid w:val="002C4C0C"/>
    <w:rsid w:val="002C5016"/>
    <w:rsid w:val="002C5C2F"/>
    <w:rsid w:val="002C60B9"/>
    <w:rsid w:val="002C704D"/>
    <w:rsid w:val="002D0845"/>
    <w:rsid w:val="002D0933"/>
    <w:rsid w:val="002D444B"/>
    <w:rsid w:val="002D4A45"/>
    <w:rsid w:val="002D5A1B"/>
    <w:rsid w:val="002E055C"/>
    <w:rsid w:val="002E1050"/>
    <w:rsid w:val="002E18E5"/>
    <w:rsid w:val="002E3D76"/>
    <w:rsid w:val="002E48EC"/>
    <w:rsid w:val="002E4B44"/>
    <w:rsid w:val="002F3601"/>
    <w:rsid w:val="002F45F6"/>
    <w:rsid w:val="00300CB4"/>
    <w:rsid w:val="003033BA"/>
    <w:rsid w:val="003043A3"/>
    <w:rsid w:val="0030500A"/>
    <w:rsid w:val="003052EB"/>
    <w:rsid w:val="00305FCB"/>
    <w:rsid w:val="00306B44"/>
    <w:rsid w:val="00311376"/>
    <w:rsid w:val="00311A1F"/>
    <w:rsid w:val="00311B47"/>
    <w:rsid w:val="003125E0"/>
    <w:rsid w:val="00313447"/>
    <w:rsid w:val="00316955"/>
    <w:rsid w:val="0031720A"/>
    <w:rsid w:val="00317CD2"/>
    <w:rsid w:val="0032078D"/>
    <w:rsid w:val="0032137B"/>
    <w:rsid w:val="00321FA3"/>
    <w:rsid w:val="00322937"/>
    <w:rsid w:val="00327A5C"/>
    <w:rsid w:val="0033092C"/>
    <w:rsid w:val="0033122A"/>
    <w:rsid w:val="003315AC"/>
    <w:rsid w:val="00331932"/>
    <w:rsid w:val="00335B21"/>
    <w:rsid w:val="00336729"/>
    <w:rsid w:val="00337CA8"/>
    <w:rsid w:val="0034177C"/>
    <w:rsid w:val="00342345"/>
    <w:rsid w:val="003432C8"/>
    <w:rsid w:val="00344760"/>
    <w:rsid w:val="0034680A"/>
    <w:rsid w:val="003501E2"/>
    <w:rsid w:val="00353DD5"/>
    <w:rsid w:val="00363D59"/>
    <w:rsid w:val="003664FF"/>
    <w:rsid w:val="003670B8"/>
    <w:rsid w:val="0037124F"/>
    <w:rsid w:val="00377135"/>
    <w:rsid w:val="00386456"/>
    <w:rsid w:val="003865A9"/>
    <w:rsid w:val="00393CAE"/>
    <w:rsid w:val="003953B4"/>
    <w:rsid w:val="00396A29"/>
    <w:rsid w:val="00397FF0"/>
    <w:rsid w:val="003A0878"/>
    <w:rsid w:val="003A1D25"/>
    <w:rsid w:val="003A2447"/>
    <w:rsid w:val="003A581E"/>
    <w:rsid w:val="003A6160"/>
    <w:rsid w:val="003A65A5"/>
    <w:rsid w:val="003B65D7"/>
    <w:rsid w:val="003B6BD4"/>
    <w:rsid w:val="003C1AF4"/>
    <w:rsid w:val="003C1CB8"/>
    <w:rsid w:val="003C2550"/>
    <w:rsid w:val="003C287F"/>
    <w:rsid w:val="003C622C"/>
    <w:rsid w:val="003C73C7"/>
    <w:rsid w:val="003D050B"/>
    <w:rsid w:val="003D0DE5"/>
    <w:rsid w:val="003D1351"/>
    <w:rsid w:val="003D49CB"/>
    <w:rsid w:val="003D6B8F"/>
    <w:rsid w:val="003D7566"/>
    <w:rsid w:val="003E159D"/>
    <w:rsid w:val="003E34DB"/>
    <w:rsid w:val="003E3833"/>
    <w:rsid w:val="003E4A70"/>
    <w:rsid w:val="003E4C48"/>
    <w:rsid w:val="003E54B3"/>
    <w:rsid w:val="003E5780"/>
    <w:rsid w:val="003E5B9F"/>
    <w:rsid w:val="003E6072"/>
    <w:rsid w:val="003E6AB6"/>
    <w:rsid w:val="003E7A8B"/>
    <w:rsid w:val="003F300D"/>
    <w:rsid w:val="003F4599"/>
    <w:rsid w:val="003F7343"/>
    <w:rsid w:val="00400054"/>
    <w:rsid w:val="00401B31"/>
    <w:rsid w:val="0040202B"/>
    <w:rsid w:val="00402DE1"/>
    <w:rsid w:val="00405487"/>
    <w:rsid w:val="0040602B"/>
    <w:rsid w:val="00407ABC"/>
    <w:rsid w:val="00410A88"/>
    <w:rsid w:val="00411317"/>
    <w:rsid w:val="0041329C"/>
    <w:rsid w:val="00413FFA"/>
    <w:rsid w:val="004160A2"/>
    <w:rsid w:val="004170D7"/>
    <w:rsid w:val="004177A6"/>
    <w:rsid w:val="00421FCB"/>
    <w:rsid w:val="00423F9F"/>
    <w:rsid w:val="004273FA"/>
    <w:rsid w:val="0043269A"/>
    <w:rsid w:val="00434787"/>
    <w:rsid w:val="00436F40"/>
    <w:rsid w:val="00440FAD"/>
    <w:rsid w:val="004420AB"/>
    <w:rsid w:val="004422D6"/>
    <w:rsid w:val="00443D27"/>
    <w:rsid w:val="0044642F"/>
    <w:rsid w:val="0044772C"/>
    <w:rsid w:val="0045271D"/>
    <w:rsid w:val="00452803"/>
    <w:rsid w:val="004529C6"/>
    <w:rsid w:val="00454717"/>
    <w:rsid w:val="00455354"/>
    <w:rsid w:val="0045558D"/>
    <w:rsid w:val="00456970"/>
    <w:rsid w:val="00456DDB"/>
    <w:rsid w:val="00461E97"/>
    <w:rsid w:val="0046268F"/>
    <w:rsid w:val="00462B10"/>
    <w:rsid w:val="004638E2"/>
    <w:rsid w:val="00464030"/>
    <w:rsid w:val="00465677"/>
    <w:rsid w:val="00466616"/>
    <w:rsid w:val="00466A0C"/>
    <w:rsid w:val="00470D92"/>
    <w:rsid w:val="00475C5A"/>
    <w:rsid w:val="00475C9C"/>
    <w:rsid w:val="0047773C"/>
    <w:rsid w:val="00480050"/>
    <w:rsid w:val="004808DE"/>
    <w:rsid w:val="00481DC1"/>
    <w:rsid w:val="0048268A"/>
    <w:rsid w:val="004861B4"/>
    <w:rsid w:val="00486BD0"/>
    <w:rsid w:val="00486D00"/>
    <w:rsid w:val="0049029D"/>
    <w:rsid w:val="004912A8"/>
    <w:rsid w:val="0049241A"/>
    <w:rsid w:val="00492C1F"/>
    <w:rsid w:val="00492E4C"/>
    <w:rsid w:val="004940E3"/>
    <w:rsid w:val="00496786"/>
    <w:rsid w:val="0049695B"/>
    <w:rsid w:val="00496D8F"/>
    <w:rsid w:val="00497463"/>
    <w:rsid w:val="004A054C"/>
    <w:rsid w:val="004A08D1"/>
    <w:rsid w:val="004A34D2"/>
    <w:rsid w:val="004A59B7"/>
    <w:rsid w:val="004A6A52"/>
    <w:rsid w:val="004B2197"/>
    <w:rsid w:val="004B578D"/>
    <w:rsid w:val="004B6C07"/>
    <w:rsid w:val="004B788E"/>
    <w:rsid w:val="004B7E5D"/>
    <w:rsid w:val="004C22F7"/>
    <w:rsid w:val="004C7226"/>
    <w:rsid w:val="004C7D70"/>
    <w:rsid w:val="004D4BA1"/>
    <w:rsid w:val="004D584D"/>
    <w:rsid w:val="004E023F"/>
    <w:rsid w:val="004E0742"/>
    <w:rsid w:val="004E0C64"/>
    <w:rsid w:val="004E0F6B"/>
    <w:rsid w:val="004E2A35"/>
    <w:rsid w:val="004E5B36"/>
    <w:rsid w:val="004E7200"/>
    <w:rsid w:val="004F0960"/>
    <w:rsid w:val="004F0A5C"/>
    <w:rsid w:val="004F163F"/>
    <w:rsid w:val="004F18A0"/>
    <w:rsid w:val="004F3764"/>
    <w:rsid w:val="004F3EEF"/>
    <w:rsid w:val="004F66BC"/>
    <w:rsid w:val="005075CA"/>
    <w:rsid w:val="0051074C"/>
    <w:rsid w:val="00512C4F"/>
    <w:rsid w:val="00513399"/>
    <w:rsid w:val="00513AF2"/>
    <w:rsid w:val="00514575"/>
    <w:rsid w:val="00514D67"/>
    <w:rsid w:val="00515515"/>
    <w:rsid w:val="00516C5B"/>
    <w:rsid w:val="00517612"/>
    <w:rsid w:val="00517CFB"/>
    <w:rsid w:val="00520899"/>
    <w:rsid w:val="00520922"/>
    <w:rsid w:val="00523903"/>
    <w:rsid w:val="005246E7"/>
    <w:rsid w:val="00524FD2"/>
    <w:rsid w:val="00525621"/>
    <w:rsid w:val="00526431"/>
    <w:rsid w:val="00530522"/>
    <w:rsid w:val="00530F38"/>
    <w:rsid w:val="00531F26"/>
    <w:rsid w:val="0053277C"/>
    <w:rsid w:val="00533101"/>
    <w:rsid w:val="00533CA9"/>
    <w:rsid w:val="00534EFB"/>
    <w:rsid w:val="005369E6"/>
    <w:rsid w:val="005371AC"/>
    <w:rsid w:val="00537672"/>
    <w:rsid w:val="00537B77"/>
    <w:rsid w:val="0054413A"/>
    <w:rsid w:val="00544288"/>
    <w:rsid w:val="00545E30"/>
    <w:rsid w:val="00551598"/>
    <w:rsid w:val="005551AA"/>
    <w:rsid w:val="005564CA"/>
    <w:rsid w:val="00557140"/>
    <w:rsid w:val="00560C87"/>
    <w:rsid w:val="0056182B"/>
    <w:rsid w:val="00561AF3"/>
    <w:rsid w:val="00561E0B"/>
    <w:rsid w:val="00562141"/>
    <w:rsid w:val="00564704"/>
    <w:rsid w:val="005657A8"/>
    <w:rsid w:val="00567AB8"/>
    <w:rsid w:val="00570A26"/>
    <w:rsid w:val="00572539"/>
    <w:rsid w:val="00574708"/>
    <w:rsid w:val="005756AA"/>
    <w:rsid w:val="0058040C"/>
    <w:rsid w:val="005813DE"/>
    <w:rsid w:val="00581796"/>
    <w:rsid w:val="00581B45"/>
    <w:rsid w:val="0058290E"/>
    <w:rsid w:val="005855AE"/>
    <w:rsid w:val="005864B9"/>
    <w:rsid w:val="00591C03"/>
    <w:rsid w:val="005923C4"/>
    <w:rsid w:val="00593F75"/>
    <w:rsid w:val="005940A0"/>
    <w:rsid w:val="00596AF7"/>
    <w:rsid w:val="00596CCE"/>
    <w:rsid w:val="005A1976"/>
    <w:rsid w:val="005A2120"/>
    <w:rsid w:val="005A2501"/>
    <w:rsid w:val="005A2C80"/>
    <w:rsid w:val="005A3B35"/>
    <w:rsid w:val="005A3C4B"/>
    <w:rsid w:val="005A3E5A"/>
    <w:rsid w:val="005A43F3"/>
    <w:rsid w:val="005A4A56"/>
    <w:rsid w:val="005A5A3D"/>
    <w:rsid w:val="005A6B75"/>
    <w:rsid w:val="005A6E00"/>
    <w:rsid w:val="005B12B2"/>
    <w:rsid w:val="005B143B"/>
    <w:rsid w:val="005B1E45"/>
    <w:rsid w:val="005B4948"/>
    <w:rsid w:val="005B501D"/>
    <w:rsid w:val="005B54CC"/>
    <w:rsid w:val="005B74AD"/>
    <w:rsid w:val="005C1954"/>
    <w:rsid w:val="005C1C0B"/>
    <w:rsid w:val="005C2011"/>
    <w:rsid w:val="005C5C52"/>
    <w:rsid w:val="005D2EB2"/>
    <w:rsid w:val="005D2F48"/>
    <w:rsid w:val="005D464B"/>
    <w:rsid w:val="005D49F0"/>
    <w:rsid w:val="005D51FA"/>
    <w:rsid w:val="005D53E8"/>
    <w:rsid w:val="005D5A9D"/>
    <w:rsid w:val="005D691D"/>
    <w:rsid w:val="005D791B"/>
    <w:rsid w:val="005D7F92"/>
    <w:rsid w:val="005E1595"/>
    <w:rsid w:val="005E3278"/>
    <w:rsid w:val="005F305B"/>
    <w:rsid w:val="005F4481"/>
    <w:rsid w:val="005F4A58"/>
    <w:rsid w:val="005F6CE2"/>
    <w:rsid w:val="005F72E9"/>
    <w:rsid w:val="00600473"/>
    <w:rsid w:val="006047D1"/>
    <w:rsid w:val="00604A55"/>
    <w:rsid w:val="00606908"/>
    <w:rsid w:val="0061085E"/>
    <w:rsid w:val="00612322"/>
    <w:rsid w:val="00614817"/>
    <w:rsid w:val="0061604C"/>
    <w:rsid w:val="006178D1"/>
    <w:rsid w:val="00620719"/>
    <w:rsid w:val="00622470"/>
    <w:rsid w:val="006231AA"/>
    <w:rsid w:val="00623482"/>
    <w:rsid w:val="00623AC2"/>
    <w:rsid w:val="006266D7"/>
    <w:rsid w:val="006274AD"/>
    <w:rsid w:val="00627532"/>
    <w:rsid w:val="006302AA"/>
    <w:rsid w:val="00631BB5"/>
    <w:rsid w:val="00631DD0"/>
    <w:rsid w:val="00633DBF"/>
    <w:rsid w:val="00634122"/>
    <w:rsid w:val="00635E32"/>
    <w:rsid w:val="006365DE"/>
    <w:rsid w:val="00641078"/>
    <w:rsid w:val="00641242"/>
    <w:rsid w:val="00646B20"/>
    <w:rsid w:val="00646D0F"/>
    <w:rsid w:val="00652E70"/>
    <w:rsid w:val="00653469"/>
    <w:rsid w:val="00654A38"/>
    <w:rsid w:val="00655301"/>
    <w:rsid w:val="00655371"/>
    <w:rsid w:val="006573EA"/>
    <w:rsid w:val="00661029"/>
    <w:rsid w:val="0066135A"/>
    <w:rsid w:val="0066272D"/>
    <w:rsid w:val="00666C72"/>
    <w:rsid w:val="00666E6C"/>
    <w:rsid w:val="00667ED8"/>
    <w:rsid w:val="0067064C"/>
    <w:rsid w:val="00670B20"/>
    <w:rsid w:val="00670E12"/>
    <w:rsid w:val="00672E80"/>
    <w:rsid w:val="006739E4"/>
    <w:rsid w:val="0067426B"/>
    <w:rsid w:val="006754F8"/>
    <w:rsid w:val="00676127"/>
    <w:rsid w:val="00676AED"/>
    <w:rsid w:val="006811C9"/>
    <w:rsid w:val="006812CE"/>
    <w:rsid w:val="00682C89"/>
    <w:rsid w:val="00685E7B"/>
    <w:rsid w:val="00686551"/>
    <w:rsid w:val="006908DB"/>
    <w:rsid w:val="00694160"/>
    <w:rsid w:val="00697665"/>
    <w:rsid w:val="00697C9A"/>
    <w:rsid w:val="00697E68"/>
    <w:rsid w:val="006A0274"/>
    <w:rsid w:val="006A2A43"/>
    <w:rsid w:val="006A34E4"/>
    <w:rsid w:val="006A44CF"/>
    <w:rsid w:val="006A59DE"/>
    <w:rsid w:val="006A6655"/>
    <w:rsid w:val="006A7CB5"/>
    <w:rsid w:val="006A7FD0"/>
    <w:rsid w:val="006B2534"/>
    <w:rsid w:val="006B67AC"/>
    <w:rsid w:val="006C37CA"/>
    <w:rsid w:val="006C40D2"/>
    <w:rsid w:val="006C5DCB"/>
    <w:rsid w:val="006D04DA"/>
    <w:rsid w:val="006D1544"/>
    <w:rsid w:val="006D1688"/>
    <w:rsid w:val="006D1FF3"/>
    <w:rsid w:val="006D32C6"/>
    <w:rsid w:val="006D360E"/>
    <w:rsid w:val="006D3697"/>
    <w:rsid w:val="006D39D2"/>
    <w:rsid w:val="006D6A12"/>
    <w:rsid w:val="006D7687"/>
    <w:rsid w:val="006D7D1F"/>
    <w:rsid w:val="006D7D8A"/>
    <w:rsid w:val="006E0572"/>
    <w:rsid w:val="006E39D1"/>
    <w:rsid w:val="006E437F"/>
    <w:rsid w:val="006E602F"/>
    <w:rsid w:val="006E77B8"/>
    <w:rsid w:val="006F15CC"/>
    <w:rsid w:val="006F4147"/>
    <w:rsid w:val="006F547E"/>
    <w:rsid w:val="0070157E"/>
    <w:rsid w:val="007030D4"/>
    <w:rsid w:val="00703E11"/>
    <w:rsid w:val="00705631"/>
    <w:rsid w:val="00705F62"/>
    <w:rsid w:val="00707ED3"/>
    <w:rsid w:val="00710668"/>
    <w:rsid w:val="007112B1"/>
    <w:rsid w:val="0071130F"/>
    <w:rsid w:val="00712714"/>
    <w:rsid w:val="007129AB"/>
    <w:rsid w:val="00713FC5"/>
    <w:rsid w:val="00715C29"/>
    <w:rsid w:val="00715EAA"/>
    <w:rsid w:val="00716CAD"/>
    <w:rsid w:val="00717363"/>
    <w:rsid w:val="00717ACB"/>
    <w:rsid w:val="00724635"/>
    <w:rsid w:val="0072554B"/>
    <w:rsid w:val="00725AFD"/>
    <w:rsid w:val="00726603"/>
    <w:rsid w:val="00727DDC"/>
    <w:rsid w:val="00730CD6"/>
    <w:rsid w:val="00730F74"/>
    <w:rsid w:val="0073114B"/>
    <w:rsid w:val="00734FF5"/>
    <w:rsid w:val="00735B78"/>
    <w:rsid w:val="00735DA7"/>
    <w:rsid w:val="00740529"/>
    <w:rsid w:val="00742DD2"/>
    <w:rsid w:val="007441A2"/>
    <w:rsid w:val="00745035"/>
    <w:rsid w:val="007459D0"/>
    <w:rsid w:val="00746420"/>
    <w:rsid w:val="00746E08"/>
    <w:rsid w:val="007473B9"/>
    <w:rsid w:val="00747C96"/>
    <w:rsid w:val="00750075"/>
    <w:rsid w:val="00750382"/>
    <w:rsid w:val="0075094E"/>
    <w:rsid w:val="00750FB5"/>
    <w:rsid w:val="007522E8"/>
    <w:rsid w:val="00754A0B"/>
    <w:rsid w:val="007552DB"/>
    <w:rsid w:val="0075647A"/>
    <w:rsid w:val="00757D62"/>
    <w:rsid w:val="00760EB6"/>
    <w:rsid w:val="007616DB"/>
    <w:rsid w:val="007634AD"/>
    <w:rsid w:val="007678B1"/>
    <w:rsid w:val="007708A8"/>
    <w:rsid w:val="00773BC8"/>
    <w:rsid w:val="0077466F"/>
    <w:rsid w:val="007752B7"/>
    <w:rsid w:val="007759A8"/>
    <w:rsid w:val="007774E7"/>
    <w:rsid w:val="0077768C"/>
    <w:rsid w:val="00777FF4"/>
    <w:rsid w:val="00780251"/>
    <w:rsid w:val="00780F32"/>
    <w:rsid w:val="0078122E"/>
    <w:rsid w:val="00782D2C"/>
    <w:rsid w:val="00786FAD"/>
    <w:rsid w:val="00790A24"/>
    <w:rsid w:val="0079381F"/>
    <w:rsid w:val="00795647"/>
    <w:rsid w:val="007963F6"/>
    <w:rsid w:val="00796E80"/>
    <w:rsid w:val="007979AD"/>
    <w:rsid w:val="007A38A1"/>
    <w:rsid w:val="007B0313"/>
    <w:rsid w:val="007B0854"/>
    <w:rsid w:val="007B1D1B"/>
    <w:rsid w:val="007B32F7"/>
    <w:rsid w:val="007B3659"/>
    <w:rsid w:val="007B4828"/>
    <w:rsid w:val="007B6C64"/>
    <w:rsid w:val="007B6EC8"/>
    <w:rsid w:val="007B7EA2"/>
    <w:rsid w:val="007C097D"/>
    <w:rsid w:val="007C3F3B"/>
    <w:rsid w:val="007C55FF"/>
    <w:rsid w:val="007C6339"/>
    <w:rsid w:val="007D1134"/>
    <w:rsid w:val="007D2566"/>
    <w:rsid w:val="007D481A"/>
    <w:rsid w:val="007D5DE8"/>
    <w:rsid w:val="007D7CFC"/>
    <w:rsid w:val="007E64D4"/>
    <w:rsid w:val="007E69F2"/>
    <w:rsid w:val="007E7432"/>
    <w:rsid w:val="007E74BF"/>
    <w:rsid w:val="007F1E28"/>
    <w:rsid w:val="007F22A0"/>
    <w:rsid w:val="007F2F90"/>
    <w:rsid w:val="007F3320"/>
    <w:rsid w:val="007F3AC1"/>
    <w:rsid w:val="007F616E"/>
    <w:rsid w:val="007F6B46"/>
    <w:rsid w:val="007F72CB"/>
    <w:rsid w:val="007F785F"/>
    <w:rsid w:val="007F7E36"/>
    <w:rsid w:val="0080153A"/>
    <w:rsid w:val="008022C9"/>
    <w:rsid w:val="00803D9D"/>
    <w:rsid w:val="00805BD6"/>
    <w:rsid w:val="00807C35"/>
    <w:rsid w:val="008100F7"/>
    <w:rsid w:val="00810206"/>
    <w:rsid w:val="00813A7B"/>
    <w:rsid w:val="00815DA5"/>
    <w:rsid w:val="0081766B"/>
    <w:rsid w:val="00820CBF"/>
    <w:rsid w:val="00821489"/>
    <w:rsid w:val="008217B7"/>
    <w:rsid w:val="0082239B"/>
    <w:rsid w:val="00822D06"/>
    <w:rsid w:val="0082348D"/>
    <w:rsid w:val="008236BE"/>
    <w:rsid w:val="00825240"/>
    <w:rsid w:val="0083119B"/>
    <w:rsid w:val="00831BAE"/>
    <w:rsid w:val="0083417F"/>
    <w:rsid w:val="00835143"/>
    <w:rsid w:val="00835741"/>
    <w:rsid w:val="00836E74"/>
    <w:rsid w:val="00836EAB"/>
    <w:rsid w:val="00837937"/>
    <w:rsid w:val="00840893"/>
    <w:rsid w:val="008423EC"/>
    <w:rsid w:val="00843615"/>
    <w:rsid w:val="00843D33"/>
    <w:rsid w:val="00844D4F"/>
    <w:rsid w:val="0085092D"/>
    <w:rsid w:val="00850F79"/>
    <w:rsid w:val="0085100B"/>
    <w:rsid w:val="0085304C"/>
    <w:rsid w:val="00856C06"/>
    <w:rsid w:val="00861310"/>
    <w:rsid w:val="00861F53"/>
    <w:rsid w:val="00863F8A"/>
    <w:rsid w:val="00863FE3"/>
    <w:rsid w:val="00864241"/>
    <w:rsid w:val="008650BE"/>
    <w:rsid w:val="0086633B"/>
    <w:rsid w:val="00866931"/>
    <w:rsid w:val="00867512"/>
    <w:rsid w:val="00871E3C"/>
    <w:rsid w:val="00874915"/>
    <w:rsid w:val="00874B89"/>
    <w:rsid w:val="00876215"/>
    <w:rsid w:val="00877932"/>
    <w:rsid w:val="0088106B"/>
    <w:rsid w:val="0088107D"/>
    <w:rsid w:val="00881E64"/>
    <w:rsid w:val="00882E39"/>
    <w:rsid w:val="008850EB"/>
    <w:rsid w:val="00886FB9"/>
    <w:rsid w:val="0089107B"/>
    <w:rsid w:val="008914AE"/>
    <w:rsid w:val="008919CF"/>
    <w:rsid w:val="00891F84"/>
    <w:rsid w:val="008928EC"/>
    <w:rsid w:val="008935CF"/>
    <w:rsid w:val="008959C6"/>
    <w:rsid w:val="00896129"/>
    <w:rsid w:val="0089774F"/>
    <w:rsid w:val="008A00D9"/>
    <w:rsid w:val="008A2A23"/>
    <w:rsid w:val="008A5474"/>
    <w:rsid w:val="008A6F6E"/>
    <w:rsid w:val="008A796E"/>
    <w:rsid w:val="008B0862"/>
    <w:rsid w:val="008B088C"/>
    <w:rsid w:val="008B1BF5"/>
    <w:rsid w:val="008B263F"/>
    <w:rsid w:val="008B47A6"/>
    <w:rsid w:val="008B672C"/>
    <w:rsid w:val="008C0743"/>
    <w:rsid w:val="008C11F0"/>
    <w:rsid w:val="008C24E7"/>
    <w:rsid w:val="008C45BD"/>
    <w:rsid w:val="008C4B19"/>
    <w:rsid w:val="008C62D4"/>
    <w:rsid w:val="008D18AA"/>
    <w:rsid w:val="008D3B85"/>
    <w:rsid w:val="008D462D"/>
    <w:rsid w:val="008D66CA"/>
    <w:rsid w:val="008D69B1"/>
    <w:rsid w:val="008E0012"/>
    <w:rsid w:val="008E0DF7"/>
    <w:rsid w:val="008E1C15"/>
    <w:rsid w:val="008E7884"/>
    <w:rsid w:val="008E7D6E"/>
    <w:rsid w:val="008F1056"/>
    <w:rsid w:val="008F2E8D"/>
    <w:rsid w:val="008F4DA6"/>
    <w:rsid w:val="008F538E"/>
    <w:rsid w:val="008F5ABA"/>
    <w:rsid w:val="008F7989"/>
    <w:rsid w:val="00902E5C"/>
    <w:rsid w:val="009046E5"/>
    <w:rsid w:val="009047C5"/>
    <w:rsid w:val="00911714"/>
    <w:rsid w:val="00914B9A"/>
    <w:rsid w:val="00914C3F"/>
    <w:rsid w:val="00914F33"/>
    <w:rsid w:val="00916FC8"/>
    <w:rsid w:val="0091759C"/>
    <w:rsid w:val="00927E8D"/>
    <w:rsid w:val="00927F23"/>
    <w:rsid w:val="009307CD"/>
    <w:rsid w:val="009314FA"/>
    <w:rsid w:val="00931BF3"/>
    <w:rsid w:val="00933333"/>
    <w:rsid w:val="00937401"/>
    <w:rsid w:val="00940876"/>
    <w:rsid w:val="00940F3C"/>
    <w:rsid w:val="009410E0"/>
    <w:rsid w:val="009470D4"/>
    <w:rsid w:val="009533E2"/>
    <w:rsid w:val="0095385A"/>
    <w:rsid w:val="0095780A"/>
    <w:rsid w:val="00960BDB"/>
    <w:rsid w:val="0096147D"/>
    <w:rsid w:val="00961E5F"/>
    <w:rsid w:val="00962A50"/>
    <w:rsid w:val="00971441"/>
    <w:rsid w:val="009715D4"/>
    <w:rsid w:val="00974B58"/>
    <w:rsid w:val="0098022F"/>
    <w:rsid w:val="009810DE"/>
    <w:rsid w:val="0098427D"/>
    <w:rsid w:val="00984567"/>
    <w:rsid w:val="009865D5"/>
    <w:rsid w:val="00987C77"/>
    <w:rsid w:val="00990345"/>
    <w:rsid w:val="0099137A"/>
    <w:rsid w:val="0099211C"/>
    <w:rsid w:val="009953AD"/>
    <w:rsid w:val="009A01E4"/>
    <w:rsid w:val="009A5356"/>
    <w:rsid w:val="009A5468"/>
    <w:rsid w:val="009A6FDF"/>
    <w:rsid w:val="009B2E29"/>
    <w:rsid w:val="009B422F"/>
    <w:rsid w:val="009B46BC"/>
    <w:rsid w:val="009C181C"/>
    <w:rsid w:val="009C3828"/>
    <w:rsid w:val="009C523F"/>
    <w:rsid w:val="009C59BF"/>
    <w:rsid w:val="009C5E4F"/>
    <w:rsid w:val="009D05DA"/>
    <w:rsid w:val="009D1A14"/>
    <w:rsid w:val="009D1FA0"/>
    <w:rsid w:val="009D2BDF"/>
    <w:rsid w:val="009D604F"/>
    <w:rsid w:val="009D68BB"/>
    <w:rsid w:val="009E0703"/>
    <w:rsid w:val="009E16DA"/>
    <w:rsid w:val="009E1CD4"/>
    <w:rsid w:val="009E2391"/>
    <w:rsid w:val="009E476A"/>
    <w:rsid w:val="009E56FF"/>
    <w:rsid w:val="009E5CB1"/>
    <w:rsid w:val="009E5E56"/>
    <w:rsid w:val="009E61EA"/>
    <w:rsid w:val="009E6FEE"/>
    <w:rsid w:val="009F060F"/>
    <w:rsid w:val="009F1BDF"/>
    <w:rsid w:val="009F36FE"/>
    <w:rsid w:val="009F59C2"/>
    <w:rsid w:val="009F76EA"/>
    <w:rsid w:val="00A0188B"/>
    <w:rsid w:val="00A01E73"/>
    <w:rsid w:val="00A02B88"/>
    <w:rsid w:val="00A03160"/>
    <w:rsid w:val="00A041BC"/>
    <w:rsid w:val="00A046D2"/>
    <w:rsid w:val="00A06754"/>
    <w:rsid w:val="00A078FB"/>
    <w:rsid w:val="00A1036D"/>
    <w:rsid w:val="00A1069F"/>
    <w:rsid w:val="00A10ACA"/>
    <w:rsid w:val="00A127D2"/>
    <w:rsid w:val="00A1500F"/>
    <w:rsid w:val="00A157A0"/>
    <w:rsid w:val="00A16809"/>
    <w:rsid w:val="00A20264"/>
    <w:rsid w:val="00A20997"/>
    <w:rsid w:val="00A22025"/>
    <w:rsid w:val="00A22498"/>
    <w:rsid w:val="00A24560"/>
    <w:rsid w:val="00A30F6A"/>
    <w:rsid w:val="00A31C3E"/>
    <w:rsid w:val="00A34538"/>
    <w:rsid w:val="00A3540F"/>
    <w:rsid w:val="00A37FB6"/>
    <w:rsid w:val="00A41081"/>
    <w:rsid w:val="00A411CA"/>
    <w:rsid w:val="00A426F3"/>
    <w:rsid w:val="00A42FDF"/>
    <w:rsid w:val="00A430A9"/>
    <w:rsid w:val="00A431FE"/>
    <w:rsid w:val="00A439E5"/>
    <w:rsid w:val="00A44F54"/>
    <w:rsid w:val="00A53037"/>
    <w:rsid w:val="00A5351D"/>
    <w:rsid w:val="00A53E79"/>
    <w:rsid w:val="00A54031"/>
    <w:rsid w:val="00A55122"/>
    <w:rsid w:val="00A56DE7"/>
    <w:rsid w:val="00A60B1F"/>
    <w:rsid w:val="00A668BA"/>
    <w:rsid w:val="00A70C5C"/>
    <w:rsid w:val="00A75504"/>
    <w:rsid w:val="00A77168"/>
    <w:rsid w:val="00A80085"/>
    <w:rsid w:val="00A8043B"/>
    <w:rsid w:val="00A81323"/>
    <w:rsid w:val="00A820CB"/>
    <w:rsid w:val="00A82342"/>
    <w:rsid w:val="00A8487F"/>
    <w:rsid w:val="00A94293"/>
    <w:rsid w:val="00A96C60"/>
    <w:rsid w:val="00A9766C"/>
    <w:rsid w:val="00A977F8"/>
    <w:rsid w:val="00AA08E7"/>
    <w:rsid w:val="00AA1C84"/>
    <w:rsid w:val="00AA3D7B"/>
    <w:rsid w:val="00AA42A0"/>
    <w:rsid w:val="00AA442B"/>
    <w:rsid w:val="00AA46A4"/>
    <w:rsid w:val="00AA5779"/>
    <w:rsid w:val="00AA61C7"/>
    <w:rsid w:val="00AA669D"/>
    <w:rsid w:val="00AA6BE1"/>
    <w:rsid w:val="00AA7416"/>
    <w:rsid w:val="00AB14E8"/>
    <w:rsid w:val="00AB1B1D"/>
    <w:rsid w:val="00AB358D"/>
    <w:rsid w:val="00AB3CFD"/>
    <w:rsid w:val="00AB49BC"/>
    <w:rsid w:val="00AB4E32"/>
    <w:rsid w:val="00AB72B4"/>
    <w:rsid w:val="00AC02AA"/>
    <w:rsid w:val="00AC2A0B"/>
    <w:rsid w:val="00AC2E53"/>
    <w:rsid w:val="00AD1EFA"/>
    <w:rsid w:val="00AD2072"/>
    <w:rsid w:val="00AD2FBF"/>
    <w:rsid w:val="00AD463C"/>
    <w:rsid w:val="00AD4F60"/>
    <w:rsid w:val="00AD5044"/>
    <w:rsid w:val="00AD5114"/>
    <w:rsid w:val="00AD6236"/>
    <w:rsid w:val="00AD7770"/>
    <w:rsid w:val="00AE1990"/>
    <w:rsid w:val="00AE25E8"/>
    <w:rsid w:val="00AE2AD4"/>
    <w:rsid w:val="00AE2F1D"/>
    <w:rsid w:val="00AE6582"/>
    <w:rsid w:val="00AE799A"/>
    <w:rsid w:val="00AF26CF"/>
    <w:rsid w:val="00AF5C9B"/>
    <w:rsid w:val="00AF5D53"/>
    <w:rsid w:val="00AF7796"/>
    <w:rsid w:val="00B011A9"/>
    <w:rsid w:val="00B04400"/>
    <w:rsid w:val="00B05A55"/>
    <w:rsid w:val="00B05DE1"/>
    <w:rsid w:val="00B06595"/>
    <w:rsid w:val="00B10109"/>
    <w:rsid w:val="00B10FD1"/>
    <w:rsid w:val="00B12735"/>
    <w:rsid w:val="00B13EC0"/>
    <w:rsid w:val="00B14102"/>
    <w:rsid w:val="00B14D32"/>
    <w:rsid w:val="00B15766"/>
    <w:rsid w:val="00B1666A"/>
    <w:rsid w:val="00B17447"/>
    <w:rsid w:val="00B1771D"/>
    <w:rsid w:val="00B20209"/>
    <w:rsid w:val="00B203C9"/>
    <w:rsid w:val="00B22E22"/>
    <w:rsid w:val="00B245D5"/>
    <w:rsid w:val="00B24C36"/>
    <w:rsid w:val="00B24F94"/>
    <w:rsid w:val="00B27875"/>
    <w:rsid w:val="00B30E11"/>
    <w:rsid w:val="00B30EEB"/>
    <w:rsid w:val="00B31423"/>
    <w:rsid w:val="00B323E0"/>
    <w:rsid w:val="00B3346C"/>
    <w:rsid w:val="00B33C23"/>
    <w:rsid w:val="00B345B4"/>
    <w:rsid w:val="00B348B1"/>
    <w:rsid w:val="00B34A28"/>
    <w:rsid w:val="00B35046"/>
    <w:rsid w:val="00B35B6A"/>
    <w:rsid w:val="00B37B07"/>
    <w:rsid w:val="00B4046F"/>
    <w:rsid w:val="00B426E1"/>
    <w:rsid w:val="00B44854"/>
    <w:rsid w:val="00B50CAE"/>
    <w:rsid w:val="00B525CB"/>
    <w:rsid w:val="00B52697"/>
    <w:rsid w:val="00B54D8F"/>
    <w:rsid w:val="00B572F7"/>
    <w:rsid w:val="00B57DAF"/>
    <w:rsid w:val="00B6022C"/>
    <w:rsid w:val="00B614F8"/>
    <w:rsid w:val="00B61994"/>
    <w:rsid w:val="00B63872"/>
    <w:rsid w:val="00B63CB2"/>
    <w:rsid w:val="00B64EDB"/>
    <w:rsid w:val="00B65938"/>
    <w:rsid w:val="00B66109"/>
    <w:rsid w:val="00B66349"/>
    <w:rsid w:val="00B72B91"/>
    <w:rsid w:val="00B73019"/>
    <w:rsid w:val="00B7315F"/>
    <w:rsid w:val="00B74D05"/>
    <w:rsid w:val="00B77850"/>
    <w:rsid w:val="00B7796B"/>
    <w:rsid w:val="00B81964"/>
    <w:rsid w:val="00B86877"/>
    <w:rsid w:val="00B8695D"/>
    <w:rsid w:val="00B86E66"/>
    <w:rsid w:val="00B87706"/>
    <w:rsid w:val="00B91B8E"/>
    <w:rsid w:val="00B92618"/>
    <w:rsid w:val="00B92CC6"/>
    <w:rsid w:val="00B95464"/>
    <w:rsid w:val="00B95E3D"/>
    <w:rsid w:val="00B9691F"/>
    <w:rsid w:val="00BA0C54"/>
    <w:rsid w:val="00BA1382"/>
    <w:rsid w:val="00BA20D8"/>
    <w:rsid w:val="00BA22FC"/>
    <w:rsid w:val="00BA2F30"/>
    <w:rsid w:val="00BA4771"/>
    <w:rsid w:val="00BA7370"/>
    <w:rsid w:val="00BA778B"/>
    <w:rsid w:val="00BB0888"/>
    <w:rsid w:val="00BB0E9B"/>
    <w:rsid w:val="00BB32C9"/>
    <w:rsid w:val="00BB35C5"/>
    <w:rsid w:val="00BB4C8E"/>
    <w:rsid w:val="00BB65C3"/>
    <w:rsid w:val="00BB6C01"/>
    <w:rsid w:val="00BB7CD1"/>
    <w:rsid w:val="00BC2898"/>
    <w:rsid w:val="00BC2928"/>
    <w:rsid w:val="00BC3FF9"/>
    <w:rsid w:val="00BD33D9"/>
    <w:rsid w:val="00BD3DEA"/>
    <w:rsid w:val="00BD3E97"/>
    <w:rsid w:val="00BD52FE"/>
    <w:rsid w:val="00BD62CF"/>
    <w:rsid w:val="00BD78FE"/>
    <w:rsid w:val="00BE12D7"/>
    <w:rsid w:val="00BE18DA"/>
    <w:rsid w:val="00BE26C0"/>
    <w:rsid w:val="00BE47B2"/>
    <w:rsid w:val="00BE48C7"/>
    <w:rsid w:val="00BE4F66"/>
    <w:rsid w:val="00BE5238"/>
    <w:rsid w:val="00BE7257"/>
    <w:rsid w:val="00BF020D"/>
    <w:rsid w:val="00BF23A3"/>
    <w:rsid w:val="00BF2A7E"/>
    <w:rsid w:val="00BF3331"/>
    <w:rsid w:val="00BF5C05"/>
    <w:rsid w:val="00BF6FC6"/>
    <w:rsid w:val="00BF7C52"/>
    <w:rsid w:val="00BF7F99"/>
    <w:rsid w:val="00C00713"/>
    <w:rsid w:val="00C01F74"/>
    <w:rsid w:val="00C0285F"/>
    <w:rsid w:val="00C03738"/>
    <w:rsid w:val="00C037A6"/>
    <w:rsid w:val="00C06CCF"/>
    <w:rsid w:val="00C12FB3"/>
    <w:rsid w:val="00C165FC"/>
    <w:rsid w:val="00C2082C"/>
    <w:rsid w:val="00C22DDE"/>
    <w:rsid w:val="00C245EE"/>
    <w:rsid w:val="00C24B8D"/>
    <w:rsid w:val="00C24BD7"/>
    <w:rsid w:val="00C27143"/>
    <w:rsid w:val="00C27490"/>
    <w:rsid w:val="00C32017"/>
    <w:rsid w:val="00C325CD"/>
    <w:rsid w:val="00C3322E"/>
    <w:rsid w:val="00C33B90"/>
    <w:rsid w:val="00C34B5F"/>
    <w:rsid w:val="00C36785"/>
    <w:rsid w:val="00C3711C"/>
    <w:rsid w:val="00C37256"/>
    <w:rsid w:val="00C37FFE"/>
    <w:rsid w:val="00C40B50"/>
    <w:rsid w:val="00C419E3"/>
    <w:rsid w:val="00C41E6A"/>
    <w:rsid w:val="00C439BE"/>
    <w:rsid w:val="00C4539B"/>
    <w:rsid w:val="00C45466"/>
    <w:rsid w:val="00C4581D"/>
    <w:rsid w:val="00C500F0"/>
    <w:rsid w:val="00C504A7"/>
    <w:rsid w:val="00C506C9"/>
    <w:rsid w:val="00C52D98"/>
    <w:rsid w:val="00C547A6"/>
    <w:rsid w:val="00C56CC2"/>
    <w:rsid w:val="00C619A1"/>
    <w:rsid w:val="00C6325B"/>
    <w:rsid w:val="00C63E99"/>
    <w:rsid w:val="00C65151"/>
    <w:rsid w:val="00C672A3"/>
    <w:rsid w:val="00C672F1"/>
    <w:rsid w:val="00C733BA"/>
    <w:rsid w:val="00C8082B"/>
    <w:rsid w:val="00C81A88"/>
    <w:rsid w:val="00C81D46"/>
    <w:rsid w:val="00C82298"/>
    <w:rsid w:val="00C833B4"/>
    <w:rsid w:val="00C84284"/>
    <w:rsid w:val="00C861FC"/>
    <w:rsid w:val="00C9005E"/>
    <w:rsid w:val="00C90CA9"/>
    <w:rsid w:val="00C9193C"/>
    <w:rsid w:val="00C920E2"/>
    <w:rsid w:val="00C93D8C"/>
    <w:rsid w:val="00CA0031"/>
    <w:rsid w:val="00CA0413"/>
    <w:rsid w:val="00CA5812"/>
    <w:rsid w:val="00CA5BD4"/>
    <w:rsid w:val="00CA7E7B"/>
    <w:rsid w:val="00CB2D38"/>
    <w:rsid w:val="00CB4137"/>
    <w:rsid w:val="00CB52D0"/>
    <w:rsid w:val="00CB6F83"/>
    <w:rsid w:val="00CB72AE"/>
    <w:rsid w:val="00CC00CD"/>
    <w:rsid w:val="00CC0AF3"/>
    <w:rsid w:val="00CC2514"/>
    <w:rsid w:val="00CC2F69"/>
    <w:rsid w:val="00CC315F"/>
    <w:rsid w:val="00CC40C3"/>
    <w:rsid w:val="00CC4E5D"/>
    <w:rsid w:val="00CD205D"/>
    <w:rsid w:val="00CD2B50"/>
    <w:rsid w:val="00CD7EFA"/>
    <w:rsid w:val="00CE0566"/>
    <w:rsid w:val="00CE2761"/>
    <w:rsid w:val="00CE3E14"/>
    <w:rsid w:val="00CE44C7"/>
    <w:rsid w:val="00CE65A7"/>
    <w:rsid w:val="00CE6EC4"/>
    <w:rsid w:val="00CE7F26"/>
    <w:rsid w:val="00CF1E1D"/>
    <w:rsid w:val="00CF35D0"/>
    <w:rsid w:val="00CF3DD5"/>
    <w:rsid w:val="00CF7928"/>
    <w:rsid w:val="00D00A8E"/>
    <w:rsid w:val="00D012BF"/>
    <w:rsid w:val="00D01760"/>
    <w:rsid w:val="00D0368E"/>
    <w:rsid w:val="00D0401A"/>
    <w:rsid w:val="00D058E9"/>
    <w:rsid w:val="00D10E7C"/>
    <w:rsid w:val="00D11182"/>
    <w:rsid w:val="00D11807"/>
    <w:rsid w:val="00D16740"/>
    <w:rsid w:val="00D16E39"/>
    <w:rsid w:val="00D17AD8"/>
    <w:rsid w:val="00D2104A"/>
    <w:rsid w:val="00D21BB5"/>
    <w:rsid w:val="00D223B6"/>
    <w:rsid w:val="00D22DC8"/>
    <w:rsid w:val="00D2531C"/>
    <w:rsid w:val="00D279D9"/>
    <w:rsid w:val="00D31C6A"/>
    <w:rsid w:val="00D31EDF"/>
    <w:rsid w:val="00D32256"/>
    <w:rsid w:val="00D32ABC"/>
    <w:rsid w:val="00D34F4E"/>
    <w:rsid w:val="00D373A8"/>
    <w:rsid w:val="00D401BE"/>
    <w:rsid w:val="00D41858"/>
    <w:rsid w:val="00D422DB"/>
    <w:rsid w:val="00D42AC2"/>
    <w:rsid w:val="00D52E2F"/>
    <w:rsid w:val="00D57940"/>
    <w:rsid w:val="00D60327"/>
    <w:rsid w:val="00D62BE6"/>
    <w:rsid w:val="00D63766"/>
    <w:rsid w:val="00D63912"/>
    <w:rsid w:val="00D6451B"/>
    <w:rsid w:val="00D64B57"/>
    <w:rsid w:val="00D67BC7"/>
    <w:rsid w:val="00D70E00"/>
    <w:rsid w:val="00D715AC"/>
    <w:rsid w:val="00D71851"/>
    <w:rsid w:val="00D72E9D"/>
    <w:rsid w:val="00D73419"/>
    <w:rsid w:val="00D73CA9"/>
    <w:rsid w:val="00D7524B"/>
    <w:rsid w:val="00D75396"/>
    <w:rsid w:val="00D75E99"/>
    <w:rsid w:val="00D766C7"/>
    <w:rsid w:val="00D7692B"/>
    <w:rsid w:val="00D8044C"/>
    <w:rsid w:val="00D80D4C"/>
    <w:rsid w:val="00D8184D"/>
    <w:rsid w:val="00D8223C"/>
    <w:rsid w:val="00D82CE5"/>
    <w:rsid w:val="00D8342C"/>
    <w:rsid w:val="00D85494"/>
    <w:rsid w:val="00D8616D"/>
    <w:rsid w:val="00D93726"/>
    <w:rsid w:val="00D9405B"/>
    <w:rsid w:val="00D95145"/>
    <w:rsid w:val="00D967CB"/>
    <w:rsid w:val="00D96EE0"/>
    <w:rsid w:val="00DA06B8"/>
    <w:rsid w:val="00DA2969"/>
    <w:rsid w:val="00DA5989"/>
    <w:rsid w:val="00DA5AB1"/>
    <w:rsid w:val="00DA5F9D"/>
    <w:rsid w:val="00DA69B2"/>
    <w:rsid w:val="00DB03CC"/>
    <w:rsid w:val="00DB1745"/>
    <w:rsid w:val="00DB1AFF"/>
    <w:rsid w:val="00DB219A"/>
    <w:rsid w:val="00DB7760"/>
    <w:rsid w:val="00DB7DD4"/>
    <w:rsid w:val="00DC0954"/>
    <w:rsid w:val="00DC1A68"/>
    <w:rsid w:val="00DC30B8"/>
    <w:rsid w:val="00DC62E5"/>
    <w:rsid w:val="00DC7349"/>
    <w:rsid w:val="00DD1599"/>
    <w:rsid w:val="00DD3885"/>
    <w:rsid w:val="00DD5946"/>
    <w:rsid w:val="00DD5B04"/>
    <w:rsid w:val="00DD5EC6"/>
    <w:rsid w:val="00DD605F"/>
    <w:rsid w:val="00DD735D"/>
    <w:rsid w:val="00DE3119"/>
    <w:rsid w:val="00DE3FF0"/>
    <w:rsid w:val="00DE4105"/>
    <w:rsid w:val="00DE5189"/>
    <w:rsid w:val="00DF0263"/>
    <w:rsid w:val="00DF1E36"/>
    <w:rsid w:val="00DF236B"/>
    <w:rsid w:val="00DF3CC9"/>
    <w:rsid w:val="00DF4451"/>
    <w:rsid w:val="00DF4FFB"/>
    <w:rsid w:val="00DF651F"/>
    <w:rsid w:val="00DF6F43"/>
    <w:rsid w:val="00DF752F"/>
    <w:rsid w:val="00E02186"/>
    <w:rsid w:val="00E027C5"/>
    <w:rsid w:val="00E03951"/>
    <w:rsid w:val="00E05E70"/>
    <w:rsid w:val="00E109DD"/>
    <w:rsid w:val="00E11229"/>
    <w:rsid w:val="00E13AB8"/>
    <w:rsid w:val="00E1482E"/>
    <w:rsid w:val="00E1699C"/>
    <w:rsid w:val="00E16E75"/>
    <w:rsid w:val="00E23137"/>
    <w:rsid w:val="00E241E9"/>
    <w:rsid w:val="00E257C3"/>
    <w:rsid w:val="00E25CB3"/>
    <w:rsid w:val="00E25DA4"/>
    <w:rsid w:val="00E26FCF"/>
    <w:rsid w:val="00E27165"/>
    <w:rsid w:val="00E3344A"/>
    <w:rsid w:val="00E33B62"/>
    <w:rsid w:val="00E3403D"/>
    <w:rsid w:val="00E34E6C"/>
    <w:rsid w:val="00E36CEB"/>
    <w:rsid w:val="00E4143A"/>
    <w:rsid w:val="00E424C8"/>
    <w:rsid w:val="00E4251D"/>
    <w:rsid w:val="00E43D00"/>
    <w:rsid w:val="00E457CB"/>
    <w:rsid w:val="00E45DE4"/>
    <w:rsid w:val="00E45E63"/>
    <w:rsid w:val="00E510FE"/>
    <w:rsid w:val="00E54534"/>
    <w:rsid w:val="00E55FF1"/>
    <w:rsid w:val="00E56090"/>
    <w:rsid w:val="00E565B9"/>
    <w:rsid w:val="00E5733B"/>
    <w:rsid w:val="00E601BE"/>
    <w:rsid w:val="00E613AE"/>
    <w:rsid w:val="00E61ABB"/>
    <w:rsid w:val="00E623E6"/>
    <w:rsid w:val="00E630C0"/>
    <w:rsid w:val="00E634E6"/>
    <w:rsid w:val="00E65074"/>
    <w:rsid w:val="00E65E70"/>
    <w:rsid w:val="00E724E7"/>
    <w:rsid w:val="00E73D03"/>
    <w:rsid w:val="00E84A71"/>
    <w:rsid w:val="00E86556"/>
    <w:rsid w:val="00E9011F"/>
    <w:rsid w:val="00E906EB"/>
    <w:rsid w:val="00E95434"/>
    <w:rsid w:val="00E96467"/>
    <w:rsid w:val="00E97A3F"/>
    <w:rsid w:val="00E97F0A"/>
    <w:rsid w:val="00EA2744"/>
    <w:rsid w:val="00EA3DC2"/>
    <w:rsid w:val="00EA560B"/>
    <w:rsid w:val="00EB0A89"/>
    <w:rsid w:val="00EB1910"/>
    <w:rsid w:val="00EB2E97"/>
    <w:rsid w:val="00EB5779"/>
    <w:rsid w:val="00EB76B6"/>
    <w:rsid w:val="00EC05E2"/>
    <w:rsid w:val="00EC16E2"/>
    <w:rsid w:val="00EC1CE7"/>
    <w:rsid w:val="00EC26F1"/>
    <w:rsid w:val="00EC3C94"/>
    <w:rsid w:val="00EC44DF"/>
    <w:rsid w:val="00EC4FB9"/>
    <w:rsid w:val="00EC6014"/>
    <w:rsid w:val="00ED046C"/>
    <w:rsid w:val="00ED053A"/>
    <w:rsid w:val="00ED1F03"/>
    <w:rsid w:val="00ED2D27"/>
    <w:rsid w:val="00ED3347"/>
    <w:rsid w:val="00ED4967"/>
    <w:rsid w:val="00ED587F"/>
    <w:rsid w:val="00ED5964"/>
    <w:rsid w:val="00ED7FBC"/>
    <w:rsid w:val="00EE0253"/>
    <w:rsid w:val="00EE0297"/>
    <w:rsid w:val="00EE1668"/>
    <w:rsid w:val="00EE366D"/>
    <w:rsid w:val="00EE59B5"/>
    <w:rsid w:val="00EE7B54"/>
    <w:rsid w:val="00EE7C88"/>
    <w:rsid w:val="00EF0209"/>
    <w:rsid w:val="00EF1E97"/>
    <w:rsid w:val="00EF2547"/>
    <w:rsid w:val="00EF2FD6"/>
    <w:rsid w:val="00EF326A"/>
    <w:rsid w:val="00EF45DF"/>
    <w:rsid w:val="00EF510C"/>
    <w:rsid w:val="00EF57BC"/>
    <w:rsid w:val="00EF6784"/>
    <w:rsid w:val="00EF6A03"/>
    <w:rsid w:val="00F00674"/>
    <w:rsid w:val="00F01657"/>
    <w:rsid w:val="00F02D25"/>
    <w:rsid w:val="00F04580"/>
    <w:rsid w:val="00F04ECA"/>
    <w:rsid w:val="00F06F84"/>
    <w:rsid w:val="00F07AA1"/>
    <w:rsid w:val="00F1108B"/>
    <w:rsid w:val="00F11768"/>
    <w:rsid w:val="00F12262"/>
    <w:rsid w:val="00F15505"/>
    <w:rsid w:val="00F213A0"/>
    <w:rsid w:val="00F21D54"/>
    <w:rsid w:val="00F23113"/>
    <w:rsid w:val="00F23255"/>
    <w:rsid w:val="00F24644"/>
    <w:rsid w:val="00F34945"/>
    <w:rsid w:val="00F368FF"/>
    <w:rsid w:val="00F37068"/>
    <w:rsid w:val="00F41D8B"/>
    <w:rsid w:val="00F42121"/>
    <w:rsid w:val="00F4345D"/>
    <w:rsid w:val="00F45B91"/>
    <w:rsid w:val="00F46639"/>
    <w:rsid w:val="00F51765"/>
    <w:rsid w:val="00F51A51"/>
    <w:rsid w:val="00F51CB4"/>
    <w:rsid w:val="00F52324"/>
    <w:rsid w:val="00F55679"/>
    <w:rsid w:val="00F561E3"/>
    <w:rsid w:val="00F56AFA"/>
    <w:rsid w:val="00F575E2"/>
    <w:rsid w:val="00F579FF"/>
    <w:rsid w:val="00F624A7"/>
    <w:rsid w:val="00F72389"/>
    <w:rsid w:val="00F735E5"/>
    <w:rsid w:val="00F73E80"/>
    <w:rsid w:val="00F7469C"/>
    <w:rsid w:val="00F7492E"/>
    <w:rsid w:val="00F843DF"/>
    <w:rsid w:val="00F84899"/>
    <w:rsid w:val="00F859F0"/>
    <w:rsid w:val="00F86B5D"/>
    <w:rsid w:val="00F87E29"/>
    <w:rsid w:val="00F9289C"/>
    <w:rsid w:val="00F94644"/>
    <w:rsid w:val="00F9537B"/>
    <w:rsid w:val="00FA015F"/>
    <w:rsid w:val="00FA1DA2"/>
    <w:rsid w:val="00FA7A30"/>
    <w:rsid w:val="00FB27B7"/>
    <w:rsid w:val="00FB630E"/>
    <w:rsid w:val="00FB6738"/>
    <w:rsid w:val="00FB691B"/>
    <w:rsid w:val="00FC1196"/>
    <w:rsid w:val="00FC18DC"/>
    <w:rsid w:val="00FC3A9B"/>
    <w:rsid w:val="00FC3AE1"/>
    <w:rsid w:val="00FC3EF4"/>
    <w:rsid w:val="00FC431B"/>
    <w:rsid w:val="00FC5CF4"/>
    <w:rsid w:val="00FC6A39"/>
    <w:rsid w:val="00FC79AB"/>
    <w:rsid w:val="00FD04AE"/>
    <w:rsid w:val="00FD393C"/>
    <w:rsid w:val="00FD4AF3"/>
    <w:rsid w:val="00FE141E"/>
    <w:rsid w:val="00FE2560"/>
    <w:rsid w:val="00FE35D0"/>
    <w:rsid w:val="00FE42ED"/>
    <w:rsid w:val="00FE55A7"/>
    <w:rsid w:val="00FE5C5A"/>
    <w:rsid w:val="00FF045F"/>
    <w:rsid w:val="00FF13D4"/>
    <w:rsid w:val="00FF3B37"/>
    <w:rsid w:val="00FF4D11"/>
    <w:rsid w:val="00FF5214"/>
    <w:rsid w:val="00FF5BFD"/>
    <w:rsid w:val="00FF62FE"/>
    <w:rsid w:val="00FF65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728</TotalTime>
  <Pages>11</Pages>
  <Words>3898</Words>
  <Characters>21444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479</cp:revision>
  <cp:lastPrinted>2020-01-30T15:05:00Z</cp:lastPrinted>
  <dcterms:created xsi:type="dcterms:W3CDTF">2020-08-06T16:35:00Z</dcterms:created>
  <dcterms:modified xsi:type="dcterms:W3CDTF">2020-08-24T19:08:00Z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