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8F6" w:rsidRDefault="004048F6" w:rsidP="004048F6">
      <w:pPr>
        <w:spacing w:after="0" w:line="240" w:lineRule="auto"/>
        <w:rPr>
          <w:rFonts w:ascii="Times New Roman" w:eastAsia="Calibri" w:hAnsi="Times New Roman" w:cs="Times New Roman"/>
          <w:lang w:val="es-ES"/>
        </w:rPr>
      </w:pPr>
    </w:p>
    <w:p w:rsidR="00807508" w:rsidRPr="004048F6" w:rsidRDefault="00807508" w:rsidP="004048F6">
      <w:pPr>
        <w:spacing w:after="0" w:line="240" w:lineRule="auto"/>
        <w:rPr>
          <w:rFonts w:ascii="Times New Roman" w:eastAsia="Calibri" w:hAnsi="Times New Roman" w:cs="Times New Roman"/>
          <w:lang w:val="es-ES"/>
        </w:rPr>
      </w:pPr>
    </w:p>
    <w:p w:rsidR="004048F6" w:rsidRDefault="004048F6" w:rsidP="00807508">
      <w:pPr>
        <w:spacing w:after="0" w:line="240" w:lineRule="auto"/>
        <w:jc w:val="right"/>
        <w:rPr>
          <w:rFonts w:ascii="Arial" w:eastAsia="Times New Roman" w:hAnsi="Arial" w:cs="Arial"/>
          <w:b/>
          <w:color w:val="000000"/>
          <w:sz w:val="16"/>
          <w:szCs w:val="16"/>
          <w:lang w:val="es-ES" w:eastAsia="es-ES"/>
        </w:rPr>
      </w:pPr>
      <w:bookmarkStart w:id="0" w:name="_Hlk28946138"/>
      <w:bookmarkStart w:id="1" w:name="_Hlk29548183"/>
      <w:r w:rsidRPr="004048F6">
        <w:rPr>
          <w:rFonts w:ascii="Arial" w:eastAsia="Times New Roman" w:hAnsi="Arial" w:cs="Arial"/>
          <w:b/>
          <w:color w:val="000000"/>
          <w:sz w:val="16"/>
          <w:szCs w:val="16"/>
          <w:lang w:val="es-ES" w:eastAsia="es-ES"/>
        </w:rPr>
        <w:tab/>
        <w:t>CCE-DES-FM-17</w:t>
      </w:r>
    </w:p>
    <w:p w:rsidR="00807508" w:rsidRPr="00807508" w:rsidRDefault="00807508" w:rsidP="00807508">
      <w:pPr>
        <w:spacing w:after="0" w:line="240" w:lineRule="auto"/>
        <w:jc w:val="right"/>
        <w:rPr>
          <w:rFonts w:ascii="Arial" w:eastAsia="Times New Roman" w:hAnsi="Arial" w:cs="Arial"/>
          <w:b/>
          <w:color w:val="000000"/>
          <w:sz w:val="16"/>
          <w:szCs w:val="16"/>
          <w:lang w:val="es-ES" w:eastAsia="es-ES"/>
        </w:rPr>
      </w:pPr>
    </w:p>
    <w:p w:rsidR="004048F6" w:rsidRPr="00807508" w:rsidRDefault="004048F6" w:rsidP="004048F6">
      <w:pPr>
        <w:spacing w:after="0" w:line="240" w:lineRule="auto"/>
        <w:jc w:val="both"/>
        <w:rPr>
          <w:rFonts w:ascii="Arial" w:eastAsia="Calibri" w:hAnsi="Arial" w:cs="Arial"/>
          <w:b/>
          <w:bCs/>
          <w:color w:val="000000"/>
          <w:lang w:val="es-ES"/>
        </w:rPr>
      </w:pPr>
      <w:r w:rsidRPr="00807508">
        <w:rPr>
          <w:rFonts w:ascii="Arial" w:eastAsia="Calibri" w:hAnsi="Arial" w:cs="Arial"/>
          <w:b/>
          <w:bCs/>
          <w:color w:val="000000"/>
          <w:lang w:val="es-ES"/>
        </w:rPr>
        <w:t xml:space="preserve">CONTRATACIÓN ESTATAL – Políticas horizontales </w:t>
      </w:r>
    </w:p>
    <w:p w:rsidR="004048F6" w:rsidRPr="004048F6" w:rsidRDefault="004048F6" w:rsidP="004048F6">
      <w:pPr>
        <w:spacing w:after="0" w:line="240" w:lineRule="auto"/>
        <w:jc w:val="both"/>
        <w:rPr>
          <w:rFonts w:ascii="Arial" w:eastAsia="Calibri" w:hAnsi="Arial" w:cs="Arial"/>
          <w:bCs/>
          <w:color w:val="000000"/>
          <w:sz w:val="20"/>
          <w:szCs w:val="20"/>
          <w:lang w:val="es-ES"/>
        </w:rPr>
      </w:pPr>
    </w:p>
    <w:p w:rsidR="004048F6" w:rsidRPr="004048F6" w:rsidRDefault="004048F6" w:rsidP="004048F6">
      <w:pPr>
        <w:spacing w:after="0" w:line="240" w:lineRule="auto"/>
        <w:jc w:val="both"/>
        <w:rPr>
          <w:rFonts w:ascii="Arial" w:eastAsia="Calibri" w:hAnsi="Arial" w:cs="Arial"/>
          <w:bCs/>
          <w:color w:val="000000"/>
          <w:sz w:val="20"/>
          <w:szCs w:val="20"/>
          <w:lang w:val="es-ES"/>
        </w:rPr>
      </w:pPr>
      <w:r w:rsidRPr="004048F6">
        <w:rPr>
          <w:rFonts w:ascii="Arial" w:eastAsia="Calibri" w:hAnsi="Arial" w:cs="Arial"/>
          <w:bCs/>
          <w:color w:val="000000"/>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rsidR="004048F6" w:rsidRPr="004048F6" w:rsidRDefault="004048F6" w:rsidP="004048F6">
      <w:pPr>
        <w:tabs>
          <w:tab w:val="left" w:pos="3883"/>
        </w:tabs>
        <w:spacing w:after="0" w:line="240" w:lineRule="auto"/>
        <w:jc w:val="both"/>
        <w:rPr>
          <w:rFonts w:ascii="Arial" w:eastAsia="Calibri" w:hAnsi="Arial" w:cs="Arial"/>
          <w:bCs/>
          <w:color w:val="000000"/>
          <w:sz w:val="20"/>
          <w:szCs w:val="20"/>
          <w:lang w:val="es-ES"/>
        </w:rPr>
      </w:pPr>
      <w:r w:rsidRPr="004048F6">
        <w:rPr>
          <w:rFonts w:ascii="Arial" w:eastAsia="Calibri" w:hAnsi="Arial" w:cs="Arial"/>
          <w:bCs/>
          <w:color w:val="000000"/>
          <w:sz w:val="20"/>
          <w:szCs w:val="20"/>
          <w:lang w:val="es-ES"/>
        </w:rPr>
        <w:tab/>
      </w:r>
    </w:p>
    <w:p w:rsidR="004048F6" w:rsidRPr="004048F6" w:rsidRDefault="004048F6" w:rsidP="004048F6">
      <w:pPr>
        <w:spacing w:after="0" w:line="240" w:lineRule="auto"/>
        <w:jc w:val="both"/>
        <w:rPr>
          <w:rFonts w:ascii="Arial" w:eastAsia="Calibri" w:hAnsi="Arial" w:cs="Arial"/>
          <w:bCs/>
          <w:color w:val="000000"/>
          <w:sz w:val="20"/>
          <w:szCs w:val="20"/>
          <w:lang w:val="es-ES"/>
        </w:rPr>
      </w:pPr>
      <w:r w:rsidRPr="004048F6">
        <w:rPr>
          <w:rFonts w:ascii="Arial" w:eastAsia="Calibri" w:hAnsi="Arial" w:cs="Arial"/>
          <w:bCs/>
          <w:color w:val="000000"/>
          <w:sz w:val="20"/>
          <w:szCs w:val="20"/>
          <w:lang w:val="es-ES"/>
        </w:rPr>
        <w:t>Estas finalidades reciben diferentes nombres en los diversos contextos en los que son utilizadas, algunos recurren al nombre de políticas secundarias, finalidades paralelas, o políticas colaterales u horizontales en materia de contratación.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rsidR="004048F6" w:rsidRPr="004048F6" w:rsidRDefault="004048F6" w:rsidP="004048F6">
      <w:pPr>
        <w:spacing w:after="0" w:line="240" w:lineRule="auto"/>
        <w:jc w:val="both"/>
        <w:rPr>
          <w:rFonts w:ascii="Arial" w:eastAsia="Calibri" w:hAnsi="Arial" w:cs="Arial"/>
          <w:bCs/>
          <w:color w:val="000000"/>
          <w:sz w:val="20"/>
          <w:szCs w:val="20"/>
          <w:lang w:val="es-ES"/>
        </w:rPr>
      </w:pPr>
    </w:p>
    <w:p w:rsidR="004048F6" w:rsidRPr="00807508" w:rsidRDefault="004048F6" w:rsidP="004048F6">
      <w:pPr>
        <w:spacing w:after="0" w:line="240" w:lineRule="auto"/>
        <w:jc w:val="both"/>
        <w:rPr>
          <w:rFonts w:ascii="Arial" w:eastAsia="Calibri" w:hAnsi="Arial" w:cs="Arial"/>
          <w:b/>
          <w:bCs/>
          <w:color w:val="000000"/>
          <w:lang w:val="es-ES"/>
        </w:rPr>
      </w:pPr>
      <w:r w:rsidRPr="00807508">
        <w:rPr>
          <w:rFonts w:ascii="Arial" w:eastAsia="Calibri" w:hAnsi="Arial" w:cs="Arial"/>
          <w:b/>
          <w:bCs/>
          <w:color w:val="000000"/>
          <w:lang w:val="es-ES"/>
        </w:rPr>
        <w:t xml:space="preserve">CONTRATACIÓN ESTATAL – Políticas horizontales – Incentivos contractuales </w:t>
      </w:r>
    </w:p>
    <w:p w:rsidR="004048F6" w:rsidRPr="004048F6" w:rsidRDefault="004048F6" w:rsidP="004048F6">
      <w:pPr>
        <w:spacing w:after="0" w:line="240" w:lineRule="auto"/>
        <w:jc w:val="both"/>
        <w:rPr>
          <w:rFonts w:ascii="Arial" w:eastAsia="Calibri" w:hAnsi="Arial" w:cs="Arial"/>
          <w:bCs/>
          <w:color w:val="000000"/>
          <w:sz w:val="20"/>
          <w:szCs w:val="20"/>
          <w:lang w:val="es-ES"/>
        </w:rPr>
      </w:pPr>
    </w:p>
    <w:p w:rsidR="004048F6" w:rsidRPr="004048F6" w:rsidRDefault="004048F6" w:rsidP="004048F6">
      <w:pPr>
        <w:spacing w:after="0" w:line="240" w:lineRule="auto"/>
        <w:jc w:val="both"/>
        <w:rPr>
          <w:rFonts w:ascii="Arial" w:eastAsia="Calibri" w:hAnsi="Arial" w:cs="Arial"/>
          <w:bCs/>
          <w:color w:val="000000"/>
          <w:sz w:val="20"/>
          <w:szCs w:val="20"/>
          <w:lang w:val="es-ES"/>
        </w:rPr>
      </w:pPr>
      <w:r w:rsidRPr="004048F6">
        <w:rPr>
          <w:rFonts w:ascii="Arial" w:eastAsia="Calibri" w:hAnsi="Arial" w:cs="Arial"/>
          <w:bCs/>
          <w:color w:val="000000"/>
          <w:sz w:val="20"/>
          <w:szCs w:val="20"/>
          <w:lang w:val="es-ES"/>
        </w:rPr>
        <w:t xml:space="preserve">La política horizontal […]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rsidR="004048F6" w:rsidRPr="004048F6" w:rsidRDefault="004048F6" w:rsidP="004048F6">
      <w:pPr>
        <w:spacing w:after="0" w:line="240" w:lineRule="auto"/>
        <w:jc w:val="both"/>
        <w:rPr>
          <w:rFonts w:ascii="Arial" w:eastAsia="Calibri" w:hAnsi="Arial" w:cs="Arial"/>
          <w:bCs/>
          <w:color w:val="000000"/>
          <w:sz w:val="20"/>
          <w:szCs w:val="20"/>
          <w:lang w:val="es-ES"/>
        </w:rPr>
      </w:pPr>
    </w:p>
    <w:p w:rsidR="004048F6" w:rsidRPr="00807508" w:rsidRDefault="004048F6" w:rsidP="004048F6">
      <w:pPr>
        <w:spacing w:after="0" w:line="240" w:lineRule="auto"/>
        <w:jc w:val="both"/>
        <w:rPr>
          <w:rFonts w:ascii="Arial" w:eastAsia="Calibri" w:hAnsi="Arial" w:cs="Arial"/>
          <w:b/>
          <w:bCs/>
          <w:color w:val="000000"/>
          <w:lang w:val="es-ES"/>
        </w:rPr>
      </w:pPr>
      <w:r w:rsidRPr="00807508">
        <w:rPr>
          <w:rFonts w:ascii="Arial" w:eastAsia="Calibri" w:hAnsi="Arial" w:cs="Arial"/>
          <w:b/>
          <w:bCs/>
          <w:color w:val="000000"/>
          <w:lang w:val="es-ES"/>
        </w:rPr>
        <w:t>INCENTIVOS CONTRACTUALES – Empleabilidad de adultos mayores – Política horizontal – Criterio de desempate – Ley 2040 de 2020</w:t>
      </w:r>
    </w:p>
    <w:p w:rsidR="004048F6" w:rsidRPr="004048F6" w:rsidRDefault="004048F6" w:rsidP="004048F6">
      <w:pPr>
        <w:spacing w:after="0" w:line="240" w:lineRule="auto"/>
        <w:jc w:val="both"/>
        <w:rPr>
          <w:rFonts w:ascii="Arial" w:eastAsia="Calibri" w:hAnsi="Arial" w:cs="Arial"/>
          <w:bCs/>
          <w:color w:val="000000"/>
          <w:sz w:val="20"/>
          <w:szCs w:val="20"/>
          <w:lang w:val="es-ES"/>
        </w:rPr>
      </w:pPr>
    </w:p>
    <w:p w:rsidR="004048F6" w:rsidRPr="004048F6" w:rsidRDefault="004048F6" w:rsidP="004048F6">
      <w:pPr>
        <w:spacing w:after="0" w:line="240" w:lineRule="auto"/>
        <w:jc w:val="both"/>
        <w:rPr>
          <w:rFonts w:ascii="Arial" w:eastAsia="Calibri" w:hAnsi="Arial" w:cs="Arial"/>
          <w:bCs/>
          <w:color w:val="000000"/>
          <w:sz w:val="20"/>
          <w:szCs w:val="20"/>
          <w:lang w:val="es-ES"/>
        </w:rPr>
      </w:pPr>
      <w:r w:rsidRPr="004048F6">
        <w:rPr>
          <w:rFonts w:ascii="Arial" w:eastAsia="Calibri" w:hAnsi="Arial" w:cs="Arial"/>
          <w:bCs/>
          <w:color w:val="000000"/>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4048F6" w:rsidRPr="004048F6" w:rsidRDefault="004048F6" w:rsidP="004048F6">
      <w:pPr>
        <w:spacing w:after="0" w:line="240" w:lineRule="auto"/>
        <w:jc w:val="both"/>
        <w:rPr>
          <w:rFonts w:ascii="Arial" w:eastAsia="Calibri" w:hAnsi="Arial" w:cs="Arial"/>
          <w:bCs/>
          <w:color w:val="000000"/>
          <w:sz w:val="20"/>
          <w:szCs w:val="20"/>
          <w:lang w:val="es-ES"/>
        </w:rPr>
      </w:pPr>
    </w:p>
    <w:p w:rsidR="004048F6" w:rsidRPr="004048F6" w:rsidRDefault="004048F6" w:rsidP="004048F6">
      <w:pPr>
        <w:spacing w:after="0" w:line="240" w:lineRule="auto"/>
        <w:jc w:val="both"/>
        <w:rPr>
          <w:rFonts w:ascii="Arial" w:eastAsia="Calibri" w:hAnsi="Arial" w:cs="Arial"/>
          <w:bCs/>
          <w:color w:val="000000"/>
          <w:sz w:val="20"/>
          <w:szCs w:val="20"/>
          <w:lang w:val="es-ES"/>
        </w:rPr>
      </w:pPr>
      <w:r w:rsidRPr="004048F6">
        <w:rPr>
          <w:rFonts w:ascii="Arial" w:eastAsia="Calibri" w:hAnsi="Arial" w:cs="Arial"/>
          <w:bCs/>
          <w:color w:val="000000"/>
          <w:sz w:val="20"/>
          <w:szCs w:val="20"/>
          <w:lang w:val="es-ES"/>
        </w:rPr>
        <w:t xml:space="preserve">Para ello, la Ley 2040 de 2020 adopta una serie de instrumentos diversos, entre las cuales se cuentan una reducción del impuesto sobre la renta por contratación de adultos mayores –artículo 2–, la creación del sello amigable «adulto mayor» para identificar a las empresas que vinculen a adultos mayores que no cuentan con pensión –artículo 7–, la creación de la «Ruta para el emprendimiento del adulto mayor» para que los adultos mayores puedan poner en marcha su propia empresa –artículo 10–. </w:t>
      </w:r>
    </w:p>
    <w:p w:rsidR="004048F6" w:rsidRPr="004048F6" w:rsidRDefault="004048F6" w:rsidP="004048F6">
      <w:pPr>
        <w:spacing w:after="0" w:line="240" w:lineRule="auto"/>
        <w:jc w:val="both"/>
        <w:rPr>
          <w:rFonts w:ascii="Arial" w:eastAsia="Calibri" w:hAnsi="Arial" w:cs="Arial"/>
          <w:bCs/>
          <w:color w:val="000000"/>
          <w:sz w:val="20"/>
          <w:szCs w:val="20"/>
          <w:lang w:val="es-ES"/>
        </w:rPr>
      </w:pPr>
    </w:p>
    <w:p w:rsidR="004048F6" w:rsidRPr="004048F6" w:rsidRDefault="004048F6" w:rsidP="004048F6">
      <w:pPr>
        <w:spacing w:after="0" w:line="240" w:lineRule="auto"/>
        <w:jc w:val="both"/>
        <w:rPr>
          <w:rFonts w:ascii="Arial" w:eastAsia="Calibri" w:hAnsi="Arial" w:cs="Arial"/>
          <w:bCs/>
          <w:color w:val="000000"/>
          <w:sz w:val="20"/>
          <w:szCs w:val="20"/>
          <w:lang w:val="es-ES"/>
        </w:rPr>
      </w:pPr>
      <w:r w:rsidRPr="004048F6">
        <w:rPr>
          <w:rFonts w:ascii="Arial" w:eastAsia="Calibri" w:hAnsi="Arial" w:cs="Arial"/>
          <w:bCs/>
          <w:color w:val="000000"/>
          <w:sz w:val="20"/>
          <w:szCs w:val="20"/>
          <w:lang w:val="es-ES"/>
        </w:rPr>
        <w:t>Todos estos son mecanismos que la ley instrumenta para cumplir su finalidad: incrementar la empleabilidad de los adultos mayores, lo que a la postre, se espera, se traducirá en mayor empleo para este sector vulnerable de la población.</w:t>
      </w:r>
    </w:p>
    <w:p w:rsidR="004048F6" w:rsidRDefault="004048F6" w:rsidP="004048F6">
      <w:pPr>
        <w:spacing w:after="0" w:line="240" w:lineRule="auto"/>
        <w:jc w:val="both"/>
        <w:rPr>
          <w:rFonts w:ascii="Arial" w:eastAsia="Calibri" w:hAnsi="Arial" w:cs="Arial"/>
          <w:bCs/>
          <w:color w:val="000000"/>
          <w:sz w:val="20"/>
          <w:szCs w:val="20"/>
          <w:lang w:val="es-ES"/>
        </w:rPr>
      </w:pPr>
    </w:p>
    <w:p w:rsidR="00807508" w:rsidRDefault="00807508" w:rsidP="004048F6">
      <w:pPr>
        <w:spacing w:after="0" w:line="240" w:lineRule="auto"/>
        <w:jc w:val="both"/>
        <w:rPr>
          <w:rFonts w:ascii="Arial" w:eastAsia="Calibri" w:hAnsi="Arial" w:cs="Arial"/>
          <w:bCs/>
          <w:color w:val="000000"/>
          <w:sz w:val="20"/>
          <w:szCs w:val="20"/>
          <w:lang w:val="es-ES"/>
        </w:rPr>
      </w:pPr>
    </w:p>
    <w:p w:rsidR="00807508" w:rsidRPr="004048F6" w:rsidRDefault="00807508" w:rsidP="004048F6">
      <w:pPr>
        <w:spacing w:after="0" w:line="240" w:lineRule="auto"/>
        <w:jc w:val="both"/>
        <w:rPr>
          <w:rFonts w:ascii="Arial" w:eastAsia="Calibri" w:hAnsi="Arial" w:cs="Arial"/>
          <w:bCs/>
          <w:color w:val="000000"/>
          <w:sz w:val="20"/>
          <w:szCs w:val="20"/>
          <w:lang w:val="es-ES"/>
        </w:rPr>
      </w:pPr>
    </w:p>
    <w:p w:rsidR="004048F6" w:rsidRPr="00807508" w:rsidRDefault="004048F6" w:rsidP="004048F6">
      <w:pPr>
        <w:spacing w:after="0" w:line="240" w:lineRule="auto"/>
        <w:jc w:val="both"/>
        <w:rPr>
          <w:rFonts w:ascii="Arial" w:eastAsia="Calibri" w:hAnsi="Arial" w:cs="Arial"/>
          <w:b/>
          <w:bCs/>
          <w:color w:val="000000"/>
          <w:lang w:val="es-ES"/>
        </w:rPr>
      </w:pPr>
      <w:r w:rsidRPr="00807508">
        <w:rPr>
          <w:rFonts w:ascii="Arial" w:eastAsia="Calibri" w:hAnsi="Arial" w:cs="Arial"/>
          <w:b/>
          <w:bCs/>
          <w:color w:val="000000"/>
          <w:lang w:val="es-ES"/>
        </w:rPr>
        <w:lastRenderedPageBreak/>
        <w:t>INCENTIVOS CONTRACTUALES – Empleabilidad de adultos mayores – Criterio de desempate – Necesidad del reglamento</w:t>
      </w:r>
    </w:p>
    <w:p w:rsidR="004048F6" w:rsidRPr="004048F6" w:rsidRDefault="004048F6" w:rsidP="004048F6">
      <w:pPr>
        <w:spacing w:after="0" w:line="240" w:lineRule="auto"/>
        <w:jc w:val="both"/>
        <w:rPr>
          <w:rFonts w:ascii="Arial" w:eastAsia="Calibri" w:hAnsi="Arial" w:cs="Arial"/>
          <w:bCs/>
          <w:color w:val="000000"/>
          <w:sz w:val="20"/>
          <w:szCs w:val="20"/>
          <w:lang w:val="es-ES"/>
        </w:rPr>
      </w:pPr>
    </w:p>
    <w:p w:rsidR="0063302E" w:rsidRPr="0063302E" w:rsidRDefault="0063302E" w:rsidP="0063302E">
      <w:pPr>
        <w:spacing w:after="0" w:line="240" w:lineRule="auto"/>
        <w:rPr>
          <w:rFonts w:ascii="Arial" w:eastAsia="Calibri" w:hAnsi="Arial" w:cs="Arial"/>
          <w:bCs/>
          <w:color w:val="000000"/>
          <w:sz w:val="20"/>
          <w:szCs w:val="20"/>
          <w:lang w:val="es-ES"/>
        </w:rPr>
      </w:pPr>
      <w:r w:rsidRPr="0063302E">
        <w:rPr>
          <w:rFonts w:ascii="Arial" w:eastAsia="Calibri" w:hAnsi="Arial" w:cs="Arial"/>
          <w:bCs/>
          <w:color w:val="000000"/>
          <w:sz w:val="20"/>
          <w:szCs w:val="20"/>
          <w:lang w:val="es-ES"/>
        </w:rPr>
        <w:t>El criterio de desempate creado es una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rsidR="004048F6" w:rsidRPr="004048F6" w:rsidRDefault="004048F6" w:rsidP="004048F6">
      <w:pPr>
        <w:spacing w:after="0" w:line="240" w:lineRule="auto"/>
        <w:rPr>
          <w:rFonts w:ascii="Arial" w:eastAsia="Times New Roman" w:hAnsi="Arial" w:cs="Arial"/>
          <w:color w:val="000000"/>
          <w:sz w:val="24"/>
          <w:szCs w:val="24"/>
          <w:lang w:val="es-ES"/>
        </w:rPr>
      </w:pPr>
    </w:p>
    <w:p w:rsidR="004048F6" w:rsidRPr="004048F6" w:rsidRDefault="004048F6" w:rsidP="004048F6">
      <w:pPr>
        <w:spacing w:after="0" w:line="240" w:lineRule="auto"/>
        <w:rPr>
          <w:rFonts w:ascii="Arial" w:eastAsia="Times New Roman" w:hAnsi="Arial" w:cs="Arial"/>
          <w:color w:val="000000"/>
          <w:sz w:val="24"/>
          <w:szCs w:val="24"/>
          <w:lang w:val="es-ES"/>
        </w:rPr>
      </w:pPr>
    </w:p>
    <w:p w:rsidR="004048F6" w:rsidRPr="00807508" w:rsidRDefault="004048F6" w:rsidP="004048F6">
      <w:pPr>
        <w:spacing w:after="0" w:line="240" w:lineRule="auto"/>
        <w:rPr>
          <w:rFonts w:ascii="Arial" w:eastAsia="Times New Roman" w:hAnsi="Arial" w:cs="Arial"/>
          <w:b/>
          <w:bCs/>
          <w:color w:val="000000"/>
          <w:lang w:val="es-ES"/>
        </w:rPr>
      </w:pPr>
      <w:r w:rsidRPr="00807508">
        <w:rPr>
          <w:rFonts w:ascii="Arial" w:eastAsia="Times New Roman" w:hAnsi="Arial" w:cs="Arial"/>
          <w:color w:val="000000"/>
          <w:lang w:val="es-ES"/>
        </w:rPr>
        <w:t xml:space="preserve">Bogotá D.C., </w:t>
      </w:r>
      <w:r w:rsidR="00F73906" w:rsidRPr="00F73906">
        <w:rPr>
          <w:rFonts w:ascii="Arial" w:eastAsia="Times New Roman" w:hAnsi="Arial" w:cs="Arial"/>
          <w:b/>
          <w:color w:val="000000"/>
        </w:rPr>
        <w:t>26/08/2020 Hora 23:13:50s</w:t>
      </w:r>
    </w:p>
    <w:p w:rsidR="004048F6" w:rsidRPr="00807508" w:rsidRDefault="00F73906" w:rsidP="004048F6">
      <w:pPr>
        <w:spacing w:after="0" w:line="240" w:lineRule="auto"/>
        <w:jc w:val="right"/>
        <w:rPr>
          <w:rFonts w:ascii="Arial" w:eastAsia="Calibri" w:hAnsi="Arial" w:cs="Arial"/>
          <w:color w:val="000000"/>
          <w:lang w:val="es-ES"/>
        </w:rPr>
      </w:pPr>
      <w:r>
        <w:rPr>
          <w:rFonts w:ascii="Arial" w:eastAsia="Times New Roman" w:hAnsi="Arial" w:cs="Arial"/>
          <w:b/>
          <w:bCs/>
          <w:color w:val="000000"/>
          <w:lang w:val="es-ES"/>
        </w:rPr>
        <w:t xml:space="preserve">N° Radicado: </w:t>
      </w:r>
      <w:r w:rsidRPr="00F73906">
        <w:rPr>
          <w:rFonts w:ascii="Arial" w:eastAsia="Times New Roman" w:hAnsi="Arial" w:cs="Arial"/>
          <w:b/>
          <w:bCs/>
          <w:color w:val="000000"/>
        </w:rPr>
        <w:t>2202013000008013</w:t>
      </w:r>
      <w:bookmarkStart w:id="2" w:name="_GoBack"/>
      <w:bookmarkEnd w:id="2"/>
    </w:p>
    <w:p w:rsidR="004048F6" w:rsidRPr="00807508" w:rsidRDefault="004048F6" w:rsidP="004048F6">
      <w:pPr>
        <w:spacing w:after="0" w:line="240" w:lineRule="auto"/>
        <w:rPr>
          <w:rFonts w:ascii="Arial" w:eastAsia="Calibri" w:hAnsi="Arial" w:cs="Arial"/>
          <w:color w:val="000000"/>
          <w:lang w:val="es-ES"/>
        </w:rPr>
      </w:pPr>
    </w:p>
    <w:p w:rsidR="00EA0074" w:rsidRPr="004048F6" w:rsidRDefault="00EA0074" w:rsidP="004048F6">
      <w:pPr>
        <w:spacing w:after="0" w:line="240" w:lineRule="auto"/>
        <w:rPr>
          <w:rFonts w:ascii="Arial" w:eastAsia="Calibri" w:hAnsi="Arial" w:cs="Arial"/>
          <w:color w:val="000000"/>
          <w:sz w:val="24"/>
          <w:szCs w:val="24"/>
          <w:lang w:val="es-ES"/>
        </w:rPr>
      </w:pPr>
    </w:p>
    <w:p w:rsidR="004048F6" w:rsidRPr="00807508" w:rsidRDefault="004048F6" w:rsidP="004048F6">
      <w:pPr>
        <w:spacing w:after="0" w:line="240" w:lineRule="auto"/>
        <w:rPr>
          <w:rFonts w:ascii="Arial" w:eastAsia="Calibri" w:hAnsi="Arial" w:cs="Arial"/>
          <w:color w:val="000000"/>
          <w:lang w:val="es-ES"/>
        </w:rPr>
      </w:pPr>
      <w:r w:rsidRPr="00807508">
        <w:rPr>
          <w:rFonts w:ascii="Arial" w:eastAsia="Calibri" w:hAnsi="Arial" w:cs="Arial"/>
          <w:color w:val="000000"/>
          <w:lang w:val="es-ES"/>
        </w:rPr>
        <w:t>Señor</w:t>
      </w:r>
    </w:p>
    <w:p w:rsidR="004048F6" w:rsidRPr="00807508" w:rsidRDefault="004048F6" w:rsidP="004048F6">
      <w:pPr>
        <w:spacing w:after="0" w:line="240" w:lineRule="auto"/>
        <w:rPr>
          <w:rFonts w:ascii="Arial" w:eastAsia="Calibri" w:hAnsi="Arial" w:cs="Arial"/>
          <w:b/>
          <w:color w:val="000000"/>
          <w:lang w:val="es-ES"/>
        </w:rPr>
      </w:pPr>
      <w:r w:rsidRPr="00807508">
        <w:rPr>
          <w:rFonts w:ascii="Arial" w:eastAsia="Calibri" w:hAnsi="Arial" w:cs="Arial"/>
          <w:b/>
          <w:color w:val="000000"/>
          <w:lang w:val="es-ES"/>
        </w:rPr>
        <w:t>Marco Andrés Triviño</w:t>
      </w:r>
    </w:p>
    <w:p w:rsidR="004048F6" w:rsidRPr="004048F6" w:rsidRDefault="004048F6" w:rsidP="004048F6">
      <w:pPr>
        <w:spacing w:after="0" w:line="240" w:lineRule="auto"/>
        <w:rPr>
          <w:rFonts w:ascii="Arial" w:eastAsia="Calibri" w:hAnsi="Arial" w:cs="Arial"/>
          <w:color w:val="000000"/>
          <w:sz w:val="24"/>
          <w:szCs w:val="24"/>
          <w:lang w:val="es-ES"/>
        </w:rPr>
      </w:pPr>
      <w:r w:rsidRPr="00807508">
        <w:rPr>
          <w:rFonts w:ascii="Arial" w:eastAsia="Calibri" w:hAnsi="Arial" w:cs="Arial"/>
          <w:color w:val="000000"/>
          <w:lang w:val="es-ES"/>
        </w:rPr>
        <w:t xml:space="preserve">Bogotá, Cundinamarca </w:t>
      </w:r>
    </w:p>
    <w:p w:rsidR="004048F6" w:rsidRPr="004048F6" w:rsidRDefault="004048F6" w:rsidP="004048F6">
      <w:pPr>
        <w:spacing w:after="0" w:line="240" w:lineRule="auto"/>
        <w:rPr>
          <w:rFonts w:ascii="Arial" w:eastAsia="Calibri" w:hAnsi="Arial" w:cs="Arial"/>
          <w:color w:val="000000"/>
          <w:sz w:val="24"/>
          <w:szCs w:val="24"/>
          <w:lang w:val="es-ES"/>
        </w:rPr>
      </w:pPr>
    </w:p>
    <w:p w:rsidR="004048F6" w:rsidRPr="004048F6" w:rsidRDefault="004048F6" w:rsidP="004048F6">
      <w:pPr>
        <w:spacing w:after="0" w:line="240" w:lineRule="auto"/>
        <w:rPr>
          <w:rFonts w:ascii="Arial" w:eastAsia="Calibri" w:hAnsi="Arial" w:cs="Arial"/>
          <w:color w:val="000000"/>
          <w:sz w:val="24"/>
          <w:szCs w:val="24"/>
          <w:lang w:val="es-ES"/>
        </w:rPr>
      </w:pPr>
    </w:p>
    <w:p w:rsidR="004048F6" w:rsidRPr="00807508" w:rsidRDefault="004048F6" w:rsidP="004048F6">
      <w:pPr>
        <w:spacing w:after="0" w:line="240" w:lineRule="auto"/>
        <w:ind w:firstLine="2694"/>
        <w:rPr>
          <w:rFonts w:ascii="Arial" w:eastAsia="Calibri" w:hAnsi="Arial" w:cs="Arial"/>
          <w:b/>
          <w:color w:val="000000"/>
          <w:lang w:val="es-ES"/>
        </w:rPr>
      </w:pPr>
      <w:r w:rsidRPr="00807508">
        <w:rPr>
          <w:rFonts w:ascii="Arial" w:eastAsia="Calibri" w:hAnsi="Arial" w:cs="Arial"/>
          <w:b/>
          <w:color w:val="000000"/>
          <w:lang w:val="es-ES"/>
        </w:rPr>
        <w:t>Concepto C ─ 568 de 2020</w:t>
      </w:r>
    </w:p>
    <w:p w:rsidR="004048F6" w:rsidRPr="004048F6" w:rsidRDefault="004048F6" w:rsidP="004048F6">
      <w:pPr>
        <w:spacing w:after="0" w:line="240" w:lineRule="auto"/>
        <w:rPr>
          <w:rFonts w:ascii="Arial" w:eastAsia="Calibri" w:hAnsi="Arial" w:cs="Arial"/>
          <w:color w:val="000000"/>
          <w:sz w:val="24"/>
          <w:szCs w:val="24"/>
          <w:lang w:val="es-ES"/>
        </w:rPr>
      </w:pPr>
    </w:p>
    <w:p w:rsidR="004048F6" w:rsidRPr="004048F6" w:rsidRDefault="004048F6" w:rsidP="004048F6">
      <w:pPr>
        <w:spacing w:after="0" w:line="240" w:lineRule="auto"/>
        <w:rPr>
          <w:rFonts w:ascii="Arial" w:eastAsia="Calibri" w:hAnsi="Arial" w:cs="Arial"/>
          <w:color w:val="000000"/>
          <w:sz w:val="24"/>
          <w:szCs w:val="24"/>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048F6" w:rsidRPr="004048F6" w:rsidTr="003B4E66">
        <w:tc>
          <w:tcPr>
            <w:tcW w:w="2689" w:type="dxa"/>
            <w:hideMark/>
          </w:tcPr>
          <w:p w:rsidR="004048F6" w:rsidRPr="004048F6" w:rsidRDefault="004048F6" w:rsidP="004048F6">
            <w:pPr>
              <w:rPr>
                <w:rFonts w:ascii="Arial" w:eastAsia="Calibri" w:hAnsi="Arial" w:cs="Arial"/>
                <w:color w:val="000000"/>
                <w:szCs w:val="24"/>
                <w:lang w:val="es-ES"/>
              </w:rPr>
            </w:pPr>
            <w:r w:rsidRPr="004048F6">
              <w:rPr>
                <w:rFonts w:ascii="Arial" w:eastAsia="Calibri" w:hAnsi="Arial" w:cs="Arial"/>
                <w:b/>
                <w:color w:val="000000"/>
                <w:szCs w:val="24"/>
                <w:lang w:val="es-ES"/>
              </w:rPr>
              <w:t>Temas:</w:t>
            </w:r>
            <w:r w:rsidRPr="004048F6">
              <w:rPr>
                <w:rFonts w:ascii="Arial" w:eastAsia="Calibri" w:hAnsi="Arial" w:cs="Arial"/>
                <w:color w:val="000000"/>
                <w:szCs w:val="24"/>
                <w:lang w:val="es-ES"/>
              </w:rPr>
              <w:t xml:space="preserve">           </w:t>
            </w:r>
          </w:p>
          <w:p w:rsidR="004048F6" w:rsidRPr="004048F6" w:rsidRDefault="004048F6" w:rsidP="004048F6">
            <w:pPr>
              <w:rPr>
                <w:rFonts w:ascii="Arial" w:eastAsia="Calibri" w:hAnsi="Arial" w:cs="Arial"/>
                <w:color w:val="000000"/>
                <w:szCs w:val="24"/>
                <w:lang w:val="es-ES"/>
              </w:rPr>
            </w:pPr>
            <w:r w:rsidRPr="004048F6">
              <w:rPr>
                <w:rFonts w:ascii="Arial" w:eastAsia="Calibri" w:hAnsi="Arial" w:cs="Arial"/>
                <w:color w:val="000000"/>
                <w:szCs w:val="24"/>
                <w:lang w:val="es-ES"/>
              </w:rPr>
              <w:t xml:space="preserve">                           </w:t>
            </w:r>
          </w:p>
        </w:tc>
        <w:tc>
          <w:tcPr>
            <w:tcW w:w="6237" w:type="dxa"/>
            <w:hideMark/>
          </w:tcPr>
          <w:p w:rsidR="004048F6" w:rsidRPr="004048F6" w:rsidRDefault="004048F6" w:rsidP="004048F6">
            <w:pPr>
              <w:jc w:val="both"/>
              <w:rPr>
                <w:rFonts w:ascii="Arial" w:eastAsia="Calibri" w:hAnsi="Arial" w:cs="Arial"/>
                <w:color w:val="000000"/>
                <w:szCs w:val="24"/>
                <w:lang w:val="es-ES"/>
              </w:rPr>
            </w:pPr>
            <w:r w:rsidRPr="004048F6">
              <w:rPr>
                <w:rFonts w:ascii="Arial" w:eastAsia="Calibri" w:hAnsi="Arial" w:cs="Arial"/>
                <w:color w:val="000000"/>
                <w:szCs w:val="24"/>
                <w:lang w:val="es-ES"/>
              </w:rPr>
              <w:t>CONTRATACIÓN ESTATAL – Políticas horizontales / CONTRATACIÓN ESTATAL – Políticas horizontales – Incentivos contractuales / INCENTIVOS CONTRACTUALES – Empleabilidad de adultos mayores – Política horizontal – Criterio de desempate – Ley 2040 de 2020 / INCENTIVOS CONTRACTUALES – Empleabilidad de adultos mayores – Criterio de desempate – Necesidad del reglamento</w:t>
            </w:r>
          </w:p>
          <w:p w:rsidR="004048F6" w:rsidRPr="004048F6" w:rsidRDefault="004048F6" w:rsidP="004048F6">
            <w:pPr>
              <w:jc w:val="both"/>
              <w:rPr>
                <w:rFonts w:ascii="Arial" w:eastAsia="Calibri" w:hAnsi="Arial" w:cs="Arial"/>
                <w:color w:val="000000"/>
                <w:szCs w:val="24"/>
                <w:lang w:val="es-ES"/>
              </w:rPr>
            </w:pPr>
          </w:p>
          <w:p w:rsidR="004048F6" w:rsidRPr="004048F6" w:rsidRDefault="004048F6" w:rsidP="004048F6">
            <w:pPr>
              <w:jc w:val="both"/>
              <w:rPr>
                <w:rFonts w:ascii="Arial" w:eastAsia="Calibri" w:hAnsi="Arial" w:cs="Arial"/>
                <w:color w:val="000000"/>
                <w:szCs w:val="24"/>
                <w:lang w:val="es-ES"/>
              </w:rPr>
            </w:pPr>
          </w:p>
        </w:tc>
      </w:tr>
      <w:tr w:rsidR="004048F6" w:rsidRPr="004048F6" w:rsidTr="003B4E66">
        <w:trPr>
          <w:trHeight w:val="95"/>
        </w:trPr>
        <w:tc>
          <w:tcPr>
            <w:tcW w:w="2689" w:type="dxa"/>
          </w:tcPr>
          <w:p w:rsidR="004048F6" w:rsidRPr="004048F6" w:rsidRDefault="004048F6" w:rsidP="004048F6">
            <w:pPr>
              <w:spacing w:before="60"/>
              <w:rPr>
                <w:rFonts w:ascii="Arial" w:eastAsia="Calibri" w:hAnsi="Arial" w:cs="Arial"/>
                <w:b/>
                <w:color w:val="000000"/>
                <w:szCs w:val="24"/>
                <w:lang w:val="es-ES"/>
              </w:rPr>
            </w:pPr>
            <w:r w:rsidRPr="004048F6">
              <w:rPr>
                <w:rFonts w:ascii="Arial" w:eastAsia="Calibri" w:hAnsi="Arial" w:cs="Arial"/>
                <w:b/>
                <w:color w:val="000000"/>
                <w:szCs w:val="24"/>
                <w:lang w:val="es-ES"/>
              </w:rPr>
              <w:t>Radicación:</w:t>
            </w:r>
            <w:r w:rsidRPr="004048F6">
              <w:rPr>
                <w:rFonts w:ascii="Arial" w:eastAsia="Calibri" w:hAnsi="Arial" w:cs="Arial"/>
                <w:color w:val="000000"/>
                <w:szCs w:val="24"/>
                <w:lang w:val="es-ES"/>
              </w:rPr>
              <w:t xml:space="preserve">                              </w:t>
            </w:r>
          </w:p>
        </w:tc>
        <w:tc>
          <w:tcPr>
            <w:tcW w:w="6237" w:type="dxa"/>
          </w:tcPr>
          <w:p w:rsidR="004048F6" w:rsidRPr="004048F6" w:rsidRDefault="004048F6" w:rsidP="004048F6">
            <w:pPr>
              <w:spacing w:before="60"/>
              <w:jc w:val="both"/>
              <w:rPr>
                <w:rFonts w:ascii="Arial" w:eastAsia="Calibri" w:hAnsi="Arial" w:cs="Arial"/>
                <w:color w:val="000000"/>
                <w:szCs w:val="24"/>
                <w:lang w:val="es-ES"/>
              </w:rPr>
            </w:pPr>
            <w:r w:rsidRPr="004048F6">
              <w:rPr>
                <w:rFonts w:ascii="Arial" w:eastAsia="Calibri" w:hAnsi="Arial" w:cs="Arial"/>
                <w:color w:val="000000"/>
                <w:szCs w:val="24"/>
                <w:lang w:val="es-ES"/>
              </w:rPr>
              <w:t xml:space="preserve">Respuesta a consulta # </w:t>
            </w:r>
            <w:r w:rsidRPr="004048F6">
              <w:rPr>
                <w:rFonts w:ascii="Arial" w:eastAsia="Calibri" w:hAnsi="Arial" w:cs="Arial"/>
                <w:color w:val="000000"/>
                <w:szCs w:val="24"/>
              </w:rPr>
              <w:t>4202013000007171</w:t>
            </w:r>
          </w:p>
        </w:tc>
      </w:tr>
    </w:tbl>
    <w:p w:rsidR="004048F6" w:rsidRPr="004048F6" w:rsidRDefault="004048F6" w:rsidP="004048F6">
      <w:pPr>
        <w:spacing w:before="60" w:after="0" w:line="240" w:lineRule="auto"/>
        <w:jc w:val="both"/>
        <w:rPr>
          <w:rFonts w:ascii="Arial" w:eastAsia="Calibri" w:hAnsi="Arial" w:cs="Arial"/>
          <w:color w:val="000000"/>
          <w:sz w:val="24"/>
          <w:szCs w:val="24"/>
          <w:lang w:val="es-ES"/>
        </w:rPr>
      </w:pPr>
    </w:p>
    <w:p w:rsidR="004048F6" w:rsidRPr="00807508" w:rsidRDefault="004048F6" w:rsidP="004048F6">
      <w:pPr>
        <w:spacing w:after="0" w:line="240" w:lineRule="auto"/>
        <w:rPr>
          <w:rFonts w:ascii="Arial" w:eastAsia="Calibri" w:hAnsi="Arial" w:cs="Arial"/>
          <w:color w:val="000000"/>
          <w:lang w:val="es-ES"/>
        </w:rPr>
      </w:pPr>
      <w:r w:rsidRPr="00807508">
        <w:rPr>
          <w:rFonts w:ascii="Arial" w:eastAsia="Calibri" w:hAnsi="Arial" w:cs="Arial"/>
          <w:color w:val="000000"/>
          <w:lang w:val="es-ES"/>
        </w:rPr>
        <w:t>Estimado señor Triviño:</w:t>
      </w:r>
    </w:p>
    <w:p w:rsidR="004048F6" w:rsidRPr="00807508" w:rsidRDefault="004048F6" w:rsidP="004048F6">
      <w:pPr>
        <w:spacing w:after="0" w:line="240" w:lineRule="auto"/>
        <w:rPr>
          <w:rFonts w:ascii="Arial" w:eastAsia="Calibri" w:hAnsi="Arial" w:cs="Arial"/>
          <w:color w:val="000000"/>
          <w:lang w:val="es-ES"/>
        </w:rPr>
      </w:pPr>
    </w:p>
    <w:p w:rsidR="004048F6" w:rsidRPr="00807508" w:rsidRDefault="004048F6" w:rsidP="004048F6">
      <w:pPr>
        <w:spacing w:after="0" w:line="276" w:lineRule="auto"/>
        <w:jc w:val="both"/>
        <w:rPr>
          <w:rFonts w:ascii="Arial" w:eastAsia="Calibri" w:hAnsi="Arial" w:cs="Arial"/>
          <w:color w:val="000000"/>
          <w:lang w:val="es-ES"/>
        </w:rPr>
      </w:pPr>
      <w:r w:rsidRPr="00807508">
        <w:rPr>
          <w:rFonts w:ascii="Arial" w:eastAsia="Calibri" w:hAnsi="Arial" w:cs="Arial"/>
          <w:color w:val="000000"/>
          <w:lang w:val="es-ES"/>
        </w:rPr>
        <w:t xml:space="preserve">En ejercicio de la competencia otorgada por los artículos 11, numeral 8º, y 3º, numeral 5º, del Decreto Ley 4170 de 2011, la Agencia Nacional de Contratación Pública – Colombia Compra Eficiente responde su consulta del 20 de agosto de 2020. </w:t>
      </w:r>
    </w:p>
    <w:p w:rsidR="004048F6" w:rsidRDefault="004048F6" w:rsidP="004048F6">
      <w:pPr>
        <w:spacing w:after="0" w:line="276" w:lineRule="auto"/>
        <w:jc w:val="both"/>
        <w:rPr>
          <w:rFonts w:ascii="Arial" w:eastAsia="Calibri" w:hAnsi="Arial" w:cs="Arial"/>
          <w:color w:val="000000"/>
          <w:lang w:val="es-ES"/>
        </w:rPr>
      </w:pPr>
    </w:p>
    <w:p w:rsidR="00413606" w:rsidRDefault="00413606" w:rsidP="004048F6">
      <w:pPr>
        <w:spacing w:after="0" w:line="276" w:lineRule="auto"/>
        <w:jc w:val="both"/>
        <w:rPr>
          <w:rFonts w:ascii="Arial" w:eastAsia="Calibri" w:hAnsi="Arial" w:cs="Arial"/>
          <w:color w:val="000000"/>
          <w:lang w:val="es-ES"/>
        </w:rPr>
      </w:pPr>
    </w:p>
    <w:p w:rsidR="00413606" w:rsidRPr="00807508" w:rsidRDefault="00413606" w:rsidP="004048F6">
      <w:pPr>
        <w:spacing w:after="0" w:line="276" w:lineRule="auto"/>
        <w:jc w:val="both"/>
        <w:rPr>
          <w:rFonts w:ascii="Arial" w:eastAsia="Calibri" w:hAnsi="Arial" w:cs="Arial"/>
          <w:color w:val="000000"/>
          <w:lang w:val="es-ES"/>
        </w:rPr>
      </w:pPr>
    </w:p>
    <w:p w:rsidR="004048F6" w:rsidRPr="004048F6" w:rsidRDefault="004048F6" w:rsidP="004048F6">
      <w:pPr>
        <w:numPr>
          <w:ilvl w:val="0"/>
          <w:numId w:val="1"/>
        </w:numPr>
        <w:tabs>
          <w:tab w:val="left" w:pos="284"/>
        </w:tabs>
        <w:spacing w:after="0" w:line="276" w:lineRule="auto"/>
        <w:ind w:left="0" w:firstLine="0"/>
        <w:contextualSpacing/>
        <w:jc w:val="both"/>
        <w:rPr>
          <w:rFonts w:ascii="Arial" w:eastAsia="Calibri" w:hAnsi="Arial" w:cs="Arial"/>
          <w:b/>
          <w:color w:val="000000"/>
          <w:sz w:val="24"/>
          <w:szCs w:val="24"/>
          <w:lang w:val="es-ES"/>
        </w:rPr>
      </w:pPr>
      <w:r w:rsidRPr="004048F6">
        <w:rPr>
          <w:rFonts w:ascii="Arial" w:eastAsia="Calibri" w:hAnsi="Arial" w:cs="Arial"/>
          <w:b/>
          <w:color w:val="000000"/>
          <w:sz w:val="24"/>
          <w:szCs w:val="24"/>
          <w:lang w:val="es-ES"/>
        </w:rPr>
        <w:t xml:space="preserve">Problemas planteados </w:t>
      </w:r>
    </w:p>
    <w:p w:rsidR="004048F6" w:rsidRPr="004048F6" w:rsidRDefault="004048F6" w:rsidP="004048F6">
      <w:pPr>
        <w:tabs>
          <w:tab w:val="left" w:pos="426"/>
        </w:tabs>
        <w:spacing w:after="0" w:line="276" w:lineRule="auto"/>
        <w:jc w:val="both"/>
        <w:rPr>
          <w:rFonts w:ascii="Arial" w:eastAsia="Calibri" w:hAnsi="Arial" w:cs="Arial"/>
          <w:b/>
          <w:color w:val="000000"/>
          <w:sz w:val="24"/>
          <w:szCs w:val="24"/>
          <w:lang w:val="es-ES"/>
        </w:rPr>
      </w:pPr>
    </w:p>
    <w:p w:rsidR="004048F6" w:rsidRPr="00807508" w:rsidRDefault="004048F6" w:rsidP="004048F6">
      <w:pPr>
        <w:tabs>
          <w:tab w:val="left" w:pos="426"/>
        </w:tabs>
        <w:spacing w:after="0" w:line="276" w:lineRule="auto"/>
        <w:jc w:val="both"/>
        <w:rPr>
          <w:rFonts w:ascii="Arial" w:eastAsia="Calibri" w:hAnsi="Arial" w:cs="Arial"/>
          <w:color w:val="000000"/>
          <w:lang/>
        </w:rPr>
      </w:pPr>
      <w:r w:rsidRPr="00807508">
        <w:rPr>
          <w:rFonts w:ascii="Arial" w:eastAsia="Calibri" w:hAnsi="Arial" w:cs="Arial"/>
          <w:color w:val="000000"/>
          <w:lang/>
        </w:rPr>
        <w:lastRenderedPageBreak/>
        <w:t>Usted formula la</w:t>
      </w:r>
      <w:r w:rsidRPr="00807508">
        <w:rPr>
          <w:rFonts w:ascii="Arial" w:eastAsia="Calibri" w:hAnsi="Arial" w:cs="Arial"/>
          <w:color w:val="000000"/>
          <w:lang w:val="es-ES"/>
        </w:rPr>
        <w:t>s</w:t>
      </w:r>
      <w:r w:rsidRPr="00807508">
        <w:rPr>
          <w:rFonts w:ascii="Arial" w:eastAsia="Calibri" w:hAnsi="Arial" w:cs="Arial"/>
          <w:color w:val="000000"/>
          <w:lang/>
        </w:rPr>
        <w:t xml:space="preserve"> siguiente</w:t>
      </w:r>
      <w:r w:rsidRPr="00807508">
        <w:rPr>
          <w:rFonts w:ascii="Arial" w:eastAsia="Calibri" w:hAnsi="Arial" w:cs="Arial"/>
          <w:color w:val="000000"/>
          <w:lang w:val="es-ES"/>
        </w:rPr>
        <w:t>s</w:t>
      </w:r>
      <w:r w:rsidRPr="00807508">
        <w:rPr>
          <w:rFonts w:ascii="Arial" w:eastAsia="Calibri" w:hAnsi="Arial" w:cs="Arial"/>
          <w:color w:val="000000"/>
          <w:lang/>
        </w:rPr>
        <w:t xml:space="preserve"> pregunta</w:t>
      </w:r>
      <w:r w:rsidRPr="00807508">
        <w:rPr>
          <w:rFonts w:ascii="Arial" w:eastAsia="Calibri" w:hAnsi="Arial" w:cs="Arial"/>
          <w:color w:val="000000"/>
          <w:lang w:val="es-ES"/>
        </w:rPr>
        <w:t>s</w:t>
      </w:r>
      <w:r w:rsidRPr="00807508">
        <w:rPr>
          <w:rFonts w:ascii="Arial" w:eastAsia="Calibri" w:hAnsi="Arial" w:cs="Arial"/>
          <w:color w:val="000000"/>
          <w:lang/>
        </w:rPr>
        <w:t>: «</w:t>
      </w:r>
      <w:r w:rsidRPr="00807508">
        <w:rPr>
          <w:rFonts w:ascii="Arial" w:eastAsia="Calibri" w:hAnsi="Arial" w:cs="Arial"/>
          <w:color w:val="000000"/>
          <w:lang w:val="es-ES"/>
        </w:rPr>
        <w:t>i)</w:t>
      </w:r>
      <w:r w:rsidRPr="00807508">
        <w:rPr>
          <w:rFonts w:ascii="Arial" w:eastAsia="Calibri" w:hAnsi="Arial" w:cs="Arial"/>
          <w:color w:val="000000"/>
          <w:lang/>
        </w:rPr>
        <w:t xml:space="preserve"> ¿</w:t>
      </w:r>
      <w:r w:rsidRPr="00807508">
        <w:rPr>
          <w:rFonts w:ascii="Arial" w:eastAsia="Calibri" w:hAnsi="Arial" w:cs="Arial"/>
          <w:color w:val="000000"/>
          <w:lang w:val="es-ES"/>
        </w:rPr>
        <w:t>c</w:t>
      </w:r>
      <w:r w:rsidRPr="00807508">
        <w:rPr>
          <w:rFonts w:ascii="Arial" w:eastAsia="Calibri" w:hAnsi="Arial" w:cs="Arial"/>
          <w:color w:val="000000"/>
          <w:lang/>
        </w:rPr>
        <w:t>ómo se articula el criterio de desempate señalado en el artículo 3 de la Ley 2040 de 2020</w:t>
      </w:r>
      <w:r w:rsidRPr="00807508">
        <w:rPr>
          <w:rFonts w:ascii="Arial" w:eastAsia="Calibri" w:hAnsi="Arial" w:cs="Arial"/>
          <w:color w:val="000000"/>
          <w:lang w:val="es-ES"/>
        </w:rPr>
        <w:t xml:space="preserve"> </w:t>
      </w:r>
      <w:r w:rsidRPr="00807508">
        <w:rPr>
          <w:rFonts w:ascii="Arial" w:eastAsia="Calibri" w:hAnsi="Arial" w:cs="Arial"/>
          <w:color w:val="000000"/>
          <w:lang/>
        </w:rPr>
        <w:t>con los criterios señalados en el artículo 2.2.1.1.2.2.9. del Decreto 1082 de 2015?</w:t>
      </w:r>
      <w:r w:rsidRPr="00807508">
        <w:rPr>
          <w:rFonts w:ascii="Arial" w:eastAsia="Calibri" w:hAnsi="Arial" w:cs="Arial"/>
          <w:color w:val="000000"/>
          <w:lang w:val="es-ES"/>
        </w:rPr>
        <w:t>, ii)</w:t>
      </w:r>
      <w:r w:rsidRPr="00807508">
        <w:rPr>
          <w:rFonts w:ascii="Arial" w:eastAsia="Calibri" w:hAnsi="Arial" w:cs="Arial"/>
          <w:color w:val="000000"/>
          <w:lang/>
        </w:rPr>
        <w:t xml:space="preserve"> ¿</w:t>
      </w:r>
      <w:r w:rsidRPr="00807508">
        <w:rPr>
          <w:rFonts w:ascii="Arial" w:eastAsia="Calibri" w:hAnsi="Arial" w:cs="Arial"/>
          <w:color w:val="000000"/>
          <w:lang w:val="es-ES"/>
        </w:rPr>
        <w:t>t</w:t>
      </w:r>
      <w:r w:rsidRPr="00807508">
        <w:rPr>
          <w:rFonts w:ascii="Arial" w:eastAsia="Calibri" w:hAnsi="Arial" w:cs="Arial"/>
          <w:color w:val="000000"/>
          <w:lang/>
        </w:rPr>
        <w:t>iene preferencia el uso del criterio de desempate señalado en el artículo 3 de la Ley 2040</w:t>
      </w:r>
      <w:r w:rsidRPr="00807508">
        <w:rPr>
          <w:rFonts w:ascii="Arial" w:eastAsia="Calibri" w:hAnsi="Arial" w:cs="Arial"/>
          <w:color w:val="000000"/>
          <w:lang w:val="es-ES"/>
        </w:rPr>
        <w:t xml:space="preserve"> </w:t>
      </w:r>
      <w:r w:rsidRPr="00807508">
        <w:rPr>
          <w:rFonts w:ascii="Arial" w:eastAsia="Calibri" w:hAnsi="Arial" w:cs="Arial"/>
          <w:color w:val="000000"/>
          <w:lang/>
        </w:rPr>
        <w:t>de 2020 frente a los criterios señalados en el artículo 2.2.1.1.2.2.9. del Decreto 1082 de</w:t>
      </w:r>
      <w:r w:rsidRPr="00807508">
        <w:rPr>
          <w:rFonts w:ascii="Arial" w:eastAsia="Calibri" w:hAnsi="Arial" w:cs="Arial"/>
          <w:color w:val="000000"/>
          <w:lang w:val="es-ES"/>
        </w:rPr>
        <w:t xml:space="preserve"> </w:t>
      </w:r>
      <w:r w:rsidRPr="00807508">
        <w:rPr>
          <w:rFonts w:ascii="Arial" w:eastAsia="Calibri" w:hAnsi="Arial" w:cs="Arial"/>
          <w:color w:val="000000"/>
          <w:lang/>
        </w:rPr>
        <w:t>2015? Teniendo en cuenta la</w:t>
      </w:r>
      <w:r w:rsidRPr="00807508">
        <w:rPr>
          <w:rFonts w:ascii="Arial" w:eastAsia="Calibri" w:hAnsi="Arial" w:cs="Arial"/>
          <w:color w:val="000000"/>
          <w:lang w:val="es-ES"/>
        </w:rPr>
        <w:t xml:space="preserve"> </w:t>
      </w:r>
      <w:r w:rsidRPr="00807508">
        <w:rPr>
          <w:rFonts w:ascii="Arial" w:eastAsia="Calibri" w:hAnsi="Arial" w:cs="Arial"/>
          <w:color w:val="000000"/>
          <w:lang/>
        </w:rPr>
        <w:t>redacción de la Ley 2040 que establece “se preferirá a aquel</w:t>
      </w:r>
      <w:r w:rsidRPr="00807508">
        <w:rPr>
          <w:rFonts w:ascii="Arial" w:eastAsia="Calibri" w:hAnsi="Arial" w:cs="Arial"/>
          <w:color w:val="000000"/>
          <w:lang w:val="es-ES"/>
        </w:rPr>
        <w:t xml:space="preserve"> </w:t>
      </w:r>
      <w:r w:rsidRPr="00807508">
        <w:rPr>
          <w:rFonts w:ascii="Arial" w:eastAsia="Calibri" w:hAnsi="Arial" w:cs="Arial"/>
          <w:color w:val="000000"/>
          <w:lang/>
        </w:rPr>
        <w:t>que demuestre la vinculación del mayor porcentaje de personas mayores”.</w:t>
      </w:r>
      <w:r w:rsidRPr="00807508">
        <w:rPr>
          <w:rFonts w:ascii="Arial" w:eastAsia="Calibri" w:hAnsi="Arial" w:cs="Arial"/>
          <w:color w:val="000000"/>
          <w:lang w:val="es-ES"/>
        </w:rPr>
        <w:t xml:space="preserve"> iii) </w:t>
      </w:r>
      <w:r w:rsidRPr="00807508">
        <w:rPr>
          <w:rFonts w:ascii="Arial" w:eastAsia="Calibri" w:hAnsi="Arial" w:cs="Arial"/>
          <w:color w:val="000000"/>
          <w:lang/>
        </w:rPr>
        <w:t>De no contar con dicha preferencia, ¿en qué orden debe ser usado teniendo en cuenta los</w:t>
      </w:r>
      <w:r w:rsidRPr="00807508">
        <w:rPr>
          <w:rFonts w:ascii="Arial" w:eastAsia="Calibri" w:hAnsi="Arial" w:cs="Arial"/>
          <w:color w:val="000000"/>
          <w:lang w:val="es-ES"/>
        </w:rPr>
        <w:t xml:space="preserve"> </w:t>
      </w:r>
      <w:r w:rsidRPr="00807508">
        <w:rPr>
          <w:rFonts w:ascii="Arial" w:eastAsia="Calibri" w:hAnsi="Arial" w:cs="Arial"/>
          <w:color w:val="000000"/>
          <w:lang/>
        </w:rPr>
        <w:t>criterios establecidos por el Decreto 1082 de 2015?</w:t>
      </w:r>
      <w:r w:rsidRPr="00807508">
        <w:rPr>
          <w:rFonts w:ascii="Arial" w:eastAsia="Calibri" w:hAnsi="Arial" w:cs="Arial"/>
          <w:color w:val="000000"/>
          <w:lang w:val="es-ES"/>
        </w:rPr>
        <w:t>, iv)</w:t>
      </w:r>
      <w:r w:rsidRPr="00807508">
        <w:rPr>
          <w:rFonts w:ascii="Arial" w:eastAsia="Calibri" w:hAnsi="Arial" w:cs="Arial"/>
          <w:color w:val="000000"/>
          <w:lang/>
        </w:rPr>
        <w:t xml:space="preserve"> ¿La aplicación del criterio de desempate señalado en el artículo 3 de la Ley 2040 de 2020 se</w:t>
      </w:r>
      <w:r w:rsidRPr="00807508">
        <w:rPr>
          <w:rFonts w:ascii="Arial" w:eastAsia="Calibri" w:hAnsi="Arial" w:cs="Arial"/>
          <w:color w:val="000000"/>
          <w:lang w:val="es-ES"/>
        </w:rPr>
        <w:t xml:space="preserve"> </w:t>
      </w:r>
      <w:r w:rsidRPr="00807508">
        <w:rPr>
          <w:rFonts w:ascii="Arial" w:eastAsia="Calibri" w:hAnsi="Arial" w:cs="Arial"/>
          <w:color w:val="000000"/>
          <w:lang/>
        </w:rPr>
        <w:t>encuentra sujeta a la reglamentación señalada en el artículo 4 de la Ley 2040 de 2020?»</w:t>
      </w:r>
    </w:p>
    <w:p w:rsidR="004048F6" w:rsidRPr="004048F6" w:rsidRDefault="004048F6" w:rsidP="004048F6">
      <w:pPr>
        <w:tabs>
          <w:tab w:val="left" w:pos="426"/>
        </w:tabs>
        <w:spacing w:after="0" w:line="276" w:lineRule="auto"/>
        <w:jc w:val="both"/>
        <w:rPr>
          <w:rFonts w:ascii="Arial" w:eastAsia="Calibri" w:hAnsi="Arial" w:cs="Arial"/>
          <w:color w:val="000000"/>
          <w:sz w:val="24"/>
          <w:szCs w:val="24"/>
          <w:lang w:val="es-ES"/>
        </w:rPr>
      </w:pPr>
    </w:p>
    <w:p w:rsidR="004048F6" w:rsidRPr="004048F6" w:rsidRDefault="004048F6" w:rsidP="004048F6">
      <w:pPr>
        <w:numPr>
          <w:ilvl w:val="0"/>
          <w:numId w:val="1"/>
        </w:numPr>
        <w:tabs>
          <w:tab w:val="left" w:pos="426"/>
        </w:tabs>
        <w:spacing w:after="0" w:line="276" w:lineRule="auto"/>
        <w:ind w:left="284" w:hanging="284"/>
        <w:contextualSpacing/>
        <w:jc w:val="both"/>
        <w:rPr>
          <w:rFonts w:ascii="Arial" w:eastAsia="Calibri" w:hAnsi="Arial" w:cs="Arial"/>
          <w:b/>
          <w:color w:val="000000"/>
          <w:sz w:val="24"/>
          <w:szCs w:val="24"/>
          <w:lang w:val="es-ES"/>
        </w:rPr>
      </w:pPr>
      <w:r w:rsidRPr="004048F6">
        <w:rPr>
          <w:rFonts w:ascii="Arial" w:eastAsia="Calibri" w:hAnsi="Arial" w:cs="Arial"/>
          <w:b/>
          <w:color w:val="000000"/>
          <w:sz w:val="24"/>
          <w:szCs w:val="24"/>
          <w:lang w:val="es-ES"/>
        </w:rPr>
        <w:t>Consideraciones</w:t>
      </w:r>
    </w:p>
    <w:p w:rsidR="004048F6" w:rsidRPr="004048F6" w:rsidRDefault="004048F6" w:rsidP="004048F6">
      <w:pPr>
        <w:tabs>
          <w:tab w:val="left" w:pos="426"/>
        </w:tabs>
        <w:spacing w:after="0" w:line="276" w:lineRule="auto"/>
        <w:jc w:val="both"/>
        <w:rPr>
          <w:rFonts w:ascii="Arial" w:eastAsia="Calibri" w:hAnsi="Arial" w:cs="Arial"/>
          <w:b/>
          <w:color w:val="000000"/>
          <w:sz w:val="24"/>
          <w:szCs w:val="24"/>
          <w:lang w:val="es-ES"/>
        </w:rPr>
      </w:pPr>
    </w:p>
    <w:p w:rsidR="004048F6" w:rsidRPr="00807508" w:rsidRDefault="004048F6" w:rsidP="004048F6">
      <w:pPr>
        <w:tabs>
          <w:tab w:val="left" w:pos="426"/>
        </w:tabs>
        <w:spacing w:after="120" w:line="276" w:lineRule="auto"/>
        <w:jc w:val="both"/>
        <w:rPr>
          <w:rFonts w:ascii="Arial" w:eastAsia="Calibri" w:hAnsi="Arial" w:cs="Arial"/>
          <w:color w:val="000000"/>
          <w:lang w:val="es-ES"/>
        </w:rPr>
      </w:pPr>
      <w:r w:rsidRPr="00807508">
        <w:rPr>
          <w:rFonts w:ascii="Arial" w:eastAsia="Calibri" w:hAnsi="Arial" w:cs="Arial"/>
          <w:color w:val="000000"/>
          <w:lang w:val="es-ES"/>
        </w:rPr>
        <w:t>Para resolver el interrogante planteado en la consulta, hay que analizar las políticas horizontales en la contratación pública, los incentivos contractuales, los tipos de incentivos reconocidos por el ordenamiento y la nueva opción establecida en el artículo 3 de la Ley 2040 de 2020, que crea un incentivo y criterio de desempate en virtud del cual se preferirá al proponente que demuestre la vinculación del mayor porcentaje de personas mayores que no sean beneficiarios de la pensión de vejez, familiar o de sobrevivencia, y que hayan cumplido el requisito de edad de pensión establecido en la ley.</w:t>
      </w:r>
    </w:p>
    <w:p w:rsidR="004048F6" w:rsidRPr="00807508" w:rsidRDefault="004048F6" w:rsidP="004048F6">
      <w:pPr>
        <w:spacing w:after="120" w:line="276" w:lineRule="auto"/>
        <w:ind w:firstLine="708"/>
        <w:jc w:val="both"/>
        <w:rPr>
          <w:rFonts w:ascii="Arial" w:eastAsia="Calibri" w:hAnsi="Arial" w:cs="Arial"/>
          <w:color w:val="000000"/>
          <w:lang w:val="es-ES"/>
        </w:rPr>
      </w:pPr>
      <w:r w:rsidRPr="00807508">
        <w:rPr>
          <w:rFonts w:ascii="Arial" w:eastAsia="Calibri" w:hAnsi="Arial" w:cs="Arial"/>
          <w:color w:val="000000"/>
          <w:lang w:val="es-ES"/>
        </w:rPr>
        <w:t xml:space="preserve">La Agencia Nacional de Contratación Pública – Colombia Compra Eficiente se ha pronunciado sobre la promoción y el fomento de la industria nacional, como uno de los incentivos en materia contractual, en los conceptos C–043 de 15 del enero de 2020, C–029 de 12 del febrero de 2020, C–073 del 28 de febrero de 2020, C–123 del 5 de marzo de 2020, C–114 del 6 de marzo de 2020, C–178 del 16 de marzo de 2020, C–119 del 18 de marzo de 2020, y C–460 de 2020 del 14 de julio de 2020. </w:t>
      </w:r>
    </w:p>
    <w:p w:rsidR="004048F6" w:rsidRPr="00807508" w:rsidRDefault="004048F6" w:rsidP="004048F6">
      <w:pPr>
        <w:spacing w:after="120" w:line="276" w:lineRule="auto"/>
        <w:ind w:firstLine="708"/>
        <w:jc w:val="both"/>
        <w:rPr>
          <w:rFonts w:ascii="Arial" w:eastAsia="Calibri" w:hAnsi="Arial" w:cs="Arial"/>
          <w:lang w:val="es-ES"/>
        </w:rPr>
      </w:pPr>
      <w:r w:rsidRPr="00807508">
        <w:rPr>
          <w:rFonts w:ascii="Arial" w:eastAsia="Calibri" w:hAnsi="Arial" w:cs="Arial"/>
          <w:color w:val="000000"/>
          <w:lang w:val="es-ES"/>
        </w:rPr>
        <w:t xml:space="preserve">Asimismo, </w:t>
      </w:r>
      <w:r w:rsidRPr="00807508">
        <w:rPr>
          <w:rFonts w:ascii="Arial" w:eastAsia="Calibri" w:hAnsi="Arial" w:cs="Arial"/>
          <w:bCs/>
          <w:lang w:val="es-ES"/>
        </w:rPr>
        <w:t xml:space="preserve">en el concepto con radicado No. 4201912000004631 del 31 de julio de 2019, reiterado y desarrollado en los conceptos No. </w:t>
      </w:r>
      <w:r w:rsidRPr="00807508">
        <w:rPr>
          <w:rFonts w:ascii="Arial" w:eastAsia="Calibri" w:hAnsi="Arial" w:cs="Arial"/>
          <w:lang w:val="es-ES"/>
        </w:rPr>
        <w:t xml:space="preserve">4201913000005084 del 23 de julio de 2019, 4201913000004446 del 13 de agosto de 2019, 4201912000005689 del 16 de septiembre de 2019, </w:t>
      </w:r>
      <w:r w:rsidRPr="00807508">
        <w:rPr>
          <w:rFonts w:ascii="Arial" w:eastAsia="Times New Roman" w:hAnsi="Arial" w:cs="Arial"/>
          <w:lang w:val="es-ES"/>
        </w:rPr>
        <w:t>4201913000006373 del 18 de septiembre de 2019,</w:t>
      </w:r>
      <w:r w:rsidRPr="00807508">
        <w:rPr>
          <w:rFonts w:ascii="Arial" w:eastAsia="Calibri" w:hAnsi="Arial" w:cs="Arial"/>
          <w:lang w:val="es-ES"/>
        </w:rPr>
        <w:t xml:space="preserve"> 4201913000006154 del 10 de octubre de 2019, 4201912000006258 del 3 de octubre de 2019, </w:t>
      </w:r>
      <w:r w:rsidRPr="00807508">
        <w:rPr>
          <w:rFonts w:ascii="Arial" w:eastAsia="Times New Roman" w:hAnsi="Arial" w:cs="Arial"/>
          <w:lang w:val="es-ES"/>
        </w:rPr>
        <w:t>4201912000007756 del 16 de noviembre de 2019,</w:t>
      </w:r>
      <w:r w:rsidRPr="00807508">
        <w:rPr>
          <w:rFonts w:ascii="Arial" w:eastAsia="Calibri" w:hAnsi="Arial" w:cs="Arial"/>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 estudió los requisitos para acreditar la vinculación de personas en condición de discapacidad en la planta de personal, con la finalidad de obtener el incentivo previsto en el Decreto 392 de 2018.</w:t>
      </w:r>
    </w:p>
    <w:p w:rsidR="004048F6" w:rsidRPr="00807508" w:rsidRDefault="004048F6" w:rsidP="004048F6">
      <w:pPr>
        <w:spacing w:after="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lastRenderedPageBreak/>
        <w:t xml:space="preserve">Por último, esta Agencia ha estudiado los incentivos en materia de Mipymes en los conceptos del 5 y el 20 de agosto de 2019 –radicados Nos. 2201913000005596 y 2201913000006007–, y recientemente en los conceptos CU–021 del 21 de febrero de 2020, C–050 del 25 de febrero de 2020, C–058 del 25 de febrero de 2018, , C–092 del 4 de marzo de 2020, C–083 del 11 de marzo de 2020, C–045 del 17 de marzo de 2020, C–197 del 26 de marzo de 2020, C–258 del 17 de abril de 2020, C–214 del 21 de abril de 2020, C–302 del 12 de junio de 2020 y C–482 del 27 de julio de 2020. </w:t>
      </w:r>
    </w:p>
    <w:p w:rsidR="004048F6" w:rsidRPr="00807508" w:rsidRDefault="004048F6" w:rsidP="004048F6">
      <w:pPr>
        <w:tabs>
          <w:tab w:val="left" w:pos="426"/>
        </w:tabs>
        <w:spacing w:after="0" w:line="276" w:lineRule="auto"/>
        <w:jc w:val="both"/>
        <w:rPr>
          <w:rFonts w:ascii="Arial" w:eastAsia="Calibri" w:hAnsi="Arial" w:cs="Arial"/>
          <w:b/>
          <w:color w:val="000000"/>
          <w:lang w:val="es-ES"/>
        </w:rPr>
      </w:pPr>
    </w:p>
    <w:p w:rsidR="004048F6" w:rsidRPr="00807508" w:rsidRDefault="004048F6" w:rsidP="004048F6">
      <w:pPr>
        <w:tabs>
          <w:tab w:val="left" w:pos="426"/>
        </w:tabs>
        <w:spacing w:after="0" w:line="276" w:lineRule="auto"/>
        <w:jc w:val="both"/>
        <w:rPr>
          <w:rFonts w:ascii="Arial" w:eastAsia="Calibri" w:hAnsi="Arial" w:cs="Arial"/>
          <w:b/>
          <w:color w:val="000000"/>
          <w:lang w:val="es-ES"/>
        </w:rPr>
      </w:pPr>
      <w:r w:rsidRPr="00807508">
        <w:rPr>
          <w:rFonts w:ascii="Arial" w:eastAsia="Calibri" w:hAnsi="Arial" w:cs="Arial"/>
          <w:b/>
          <w:color w:val="000000"/>
          <w:lang w:val="es-ES"/>
        </w:rPr>
        <w:t>2.1. Políticas horizontales e incentivos contractuales</w:t>
      </w:r>
    </w:p>
    <w:p w:rsidR="004048F6" w:rsidRPr="00807508" w:rsidRDefault="004048F6" w:rsidP="004048F6">
      <w:pPr>
        <w:tabs>
          <w:tab w:val="left" w:pos="426"/>
        </w:tabs>
        <w:spacing w:after="0" w:line="276" w:lineRule="auto"/>
        <w:jc w:val="both"/>
        <w:rPr>
          <w:rFonts w:ascii="Arial" w:eastAsia="Calibri" w:hAnsi="Arial" w:cs="Arial"/>
          <w:b/>
          <w:color w:val="000000"/>
          <w:lang w:val="es-ES"/>
        </w:rPr>
      </w:pPr>
    </w:p>
    <w:p w:rsidR="004048F6" w:rsidRPr="00807508" w:rsidRDefault="004048F6" w:rsidP="004048F6">
      <w:pPr>
        <w:tabs>
          <w:tab w:val="left" w:pos="426"/>
        </w:tabs>
        <w:spacing w:after="120" w:line="276" w:lineRule="auto"/>
        <w:jc w:val="both"/>
        <w:rPr>
          <w:rFonts w:ascii="Arial" w:eastAsia="Calibri" w:hAnsi="Arial" w:cs="Arial"/>
          <w:color w:val="000000"/>
          <w:lang w:val="es-ES"/>
        </w:rPr>
      </w:pPr>
      <w:r w:rsidRPr="00807508">
        <w:rPr>
          <w:rFonts w:ascii="Arial" w:eastAsia="Calibri" w:hAnsi="Arial" w:cs="Arial"/>
          <w:color w:val="000000"/>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807508">
        <w:rPr>
          <w:rFonts w:ascii="Arial" w:eastAsia="Calibri" w:hAnsi="Arial" w:cs="Arial"/>
          <w:color w:val="000000"/>
          <w:vertAlign w:val="superscript"/>
          <w:lang w:val="es-ES"/>
        </w:rPr>
        <w:footnoteReference w:id="1"/>
      </w:r>
      <w:r w:rsidRPr="00807508">
        <w:rPr>
          <w:rFonts w:ascii="Arial" w:eastAsia="Calibri" w:hAnsi="Arial" w:cs="Arial"/>
          <w:color w:val="000000"/>
          <w:lang w:val="es-ES"/>
        </w:rPr>
        <w:t>.</w:t>
      </w:r>
    </w:p>
    <w:p w:rsidR="004048F6" w:rsidRPr="00807508" w:rsidRDefault="004048F6" w:rsidP="004048F6">
      <w:pPr>
        <w:tabs>
          <w:tab w:val="left" w:pos="426"/>
        </w:tabs>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Estas finalidades reciben diferentes nombres en los diversos contextos en los que s utilizan, algunos recurren al nombre de políticas secundarias, finalidades paralelas, o políticas colaterales u horizontales en materia de contratación</w:t>
      </w:r>
      <w:r w:rsidRPr="00807508">
        <w:rPr>
          <w:rFonts w:ascii="Arial" w:eastAsia="Calibri" w:hAnsi="Arial" w:cs="Arial"/>
          <w:color w:val="000000"/>
          <w:vertAlign w:val="superscript"/>
          <w:lang w:val="es-ES"/>
        </w:rPr>
        <w:footnoteReference w:id="2"/>
      </w:r>
      <w:r w:rsidRPr="00807508">
        <w:rPr>
          <w:rFonts w:ascii="Arial" w:eastAsia="Calibri" w:hAnsi="Arial" w:cs="Arial"/>
          <w:color w:val="000000"/>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 </w:t>
      </w:r>
    </w:p>
    <w:p w:rsidR="004048F6" w:rsidRPr="00807508" w:rsidRDefault="004048F6" w:rsidP="004048F6">
      <w:pPr>
        <w:tabs>
          <w:tab w:val="left" w:pos="426"/>
        </w:tabs>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807508">
        <w:rPr>
          <w:rFonts w:ascii="Arial" w:eastAsia="Calibri" w:hAnsi="Arial" w:cs="Arial"/>
          <w:color w:val="000000"/>
          <w:vertAlign w:val="superscript"/>
          <w:lang w:val="es-ES"/>
        </w:rPr>
        <w:footnoteReference w:id="3"/>
      </w:r>
      <w:r w:rsidRPr="00807508">
        <w:rPr>
          <w:rFonts w:ascii="Arial" w:eastAsia="Calibri" w:hAnsi="Arial" w:cs="Arial"/>
          <w:color w:val="000000"/>
          <w:lang w:val="es-ES"/>
        </w:rPr>
        <w:t xml:space="preserve">. </w:t>
      </w:r>
    </w:p>
    <w:p w:rsidR="004048F6" w:rsidRPr="00807508" w:rsidRDefault="004048F6" w:rsidP="004048F6">
      <w:pPr>
        <w:tabs>
          <w:tab w:val="left" w:pos="709"/>
        </w:tabs>
        <w:spacing w:after="120" w:line="276" w:lineRule="auto"/>
        <w:jc w:val="both"/>
        <w:rPr>
          <w:rFonts w:ascii="Arial" w:eastAsia="Calibri" w:hAnsi="Arial" w:cs="Arial"/>
          <w:color w:val="000000"/>
          <w:lang w:val="es-ES"/>
        </w:rPr>
      </w:pPr>
      <w:r w:rsidRPr="00807508">
        <w:rPr>
          <w:rFonts w:ascii="Arial" w:eastAsia="Calibri" w:hAnsi="Arial" w:cs="Arial"/>
          <w:color w:val="000000"/>
          <w:lang w:val="es-ES"/>
        </w:rPr>
        <w:tab/>
        <w:t xml:space="preserve">Para la cabal comprensión, es necesario distinguir entre «política horizontal» e «incentivo contractual». La política horizontal, como se dijo, consiste en el fin constitucional </w:t>
      </w:r>
      <w:r w:rsidRPr="00807508">
        <w:rPr>
          <w:rFonts w:ascii="Arial" w:eastAsia="Calibri" w:hAnsi="Arial" w:cs="Arial"/>
          <w:color w:val="000000"/>
          <w:lang w:val="es-ES"/>
        </w:rPr>
        <w:lastRenderedPageBreak/>
        <w:t>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w:t>
      </w:r>
      <w:r w:rsidRPr="00807508">
        <w:rPr>
          <w:rFonts w:ascii="Arial" w:eastAsia="Calibri" w:hAnsi="Arial" w:cs="Arial"/>
          <w:color w:val="000000"/>
          <w:vertAlign w:val="superscript"/>
          <w:lang w:val="es-ES"/>
        </w:rPr>
        <w:footnoteReference w:id="4"/>
      </w:r>
      <w:r w:rsidRPr="00807508">
        <w:rPr>
          <w:rFonts w:ascii="Arial" w:eastAsia="Calibri" w:hAnsi="Arial" w:cs="Arial"/>
          <w:color w:val="000000"/>
          <w:lang w:val="es-ES"/>
        </w:rPr>
        <w:t xml:space="preserve">, como es el caso, se reitera, de los criterios de desempate, puntaje adicional o convocatorias reservadas.  </w:t>
      </w:r>
    </w:p>
    <w:p w:rsidR="004048F6" w:rsidRPr="00807508" w:rsidRDefault="004048F6" w:rsidP="004048F6">
      <w:pPr>
        <w:tabs>
          <w:tab w:val="left" w:pos="709"/>
        </w:tabs>
        <w:spacing w:after="0" w:line="276" w:lineRule="auto"/>
        <w:jc w:val="both"/>
        <w:rPr>
          <w:rFonts w:ascii="Arial" w:eastAsia="Calibri" w:hAnsi="Arial" w:cs="Arial"/>
          <w:color w:val="000000"/>
          <w:lang w:val="es-ES"/>
        </w:rPr>
      </w:pPr>
      <w:r w:rsidRPr="00807508">
        <w:rPr>
          <w:rFonts w:ascii="Arial" w:eastAsia="Calibri" w:hAnsi="Arial" w:cs="Arial"/>
          <w:color w:val="000000"/>
          <w:lang w:val="es-ES"/>
        </w:rPr>
        <w:tab/>
        <w:t xml:space="preserve">Sobre este punto, interesa decir que la adopción de medidas tendientes a satisfacer necesidades adicionales, o políticas horizontales, no puede contrariar las disposiciones normativas que admiten su implementación. Por esa razón: </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sidRPr="004048F6">
        <w:rPr>
          <w:rFonts w:ascii="Arial" w:eastAsia="Calibri" w:hAnsi="Arial" w:cs="Arial"/>
          <w:color w:val="000000"/>
          <w:sz w:val="21"/>
          <w:szCs w:val="21"/>
          <w:vertAlign w:val="superscript"/>
          <w:lang w:val="es-ES"/>
        </w:rPr>
        <w:footnoteReference w:id="5"/>
      </w:r>
      <w:r w:rsidRPr="004048F6">
        <w:rPr>
          <w:rFonts w:ascii="Arial" w:eastAsia="Calibri" w:hAnsi="Arial" w:cs="Arial"/>
          <w:color w:val="000000"/>
          <w:sz w:val="21"/>
          <w:szCs w:val="21"/>
          <w:lang w:val="es-ES"/>
        </w:rPr>
        <w:t>.</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807508" w:rsidRDefault="004048F6" w:rsidP="004048F6">
      <w:pPr>
        <w:tabs>
          <w:tab w:val="left" w:pos="709"/>
        </w:tabs>
        <w:spacing w:after="120" w:line="276" w:lineRule="auto"/>
        <w:jc w:val="both"/>
        <w:rPr>
          <w:rFonts w:ascii="Arial" w:eastAsia="Calibri" w:hAnsi="Arial" w:cs="Arial"/>
          <w:color w:val="000000"/>
          <w:lang w:val="es-ES"/>
        </w:rPr>
      </w:pPr>
      <w:r w:rsidRPr="004048F6">
        <w:rPr>
          <w:rFonts w:ascii="Arial" w:eastAsia="Calibri" w:hAnsi="Arial" w:cs="Arial"/>
          <w:color w:val="000000"/>
          <w:sz w:val="24"/>
          <w:szCs w:val="24"/>
          <w:lang w:val="es-ES"/>
        </w:rPr>
        <w:tab/>
      </w:r>
      <w:r w:rsidRPr="00807508">
        <w:rPr>
          <w:rFonts w:ascii="Arial" w:eastAsia="Calibri" w:hAnsi="Arial" w:cs="Arial"/>
          <w:color w:val="000000"/>
          <w:lang w:val="es-ES"/>
        </w:rPr>
        <w:t>En otras palabras, no puede haber contradicción entre la satisfacción de la intención primaria, los principios de la función administrativa, y la búsqueda de beneficios sociales, económicos o sociales para ciertos sectores de la población.</w:t>
      </w:r>
    </w:p>
    <w:p w:rsidR="004048F6" w:rsidRPr="00807508" w:rsidRDefault="004048F6" w:rsidP="004048F6">
      <w:pPr>
        <w:tabs>
          <w:tab w:val="left" w:pos="709"/>
        </w:tabs>
        <w:spacing w:after="120" w:line="276" w:lineRule="auto"/>
        <w:jc w:val="both"/>
        <w:rPr>
          <w:rFonts w:ascii="Arial" w:eastAsia="Calibri" w:hAnsi="Arial" w:cs="Arial"/>
          <w:color w:val="000000"/>
          <w:lang w:val="es-ES"/>
        </w:rPr>
      </w:pPr>
      <w:r w:rsidRPr="00807508">
        <w:rPr>
          <w:rFonts w:ascii="Arial" w:eastAsia="Calibri" w:hAnsi="Arial" w:cs="Arial"/>
          <w:color w:val="000000"/>
          <w:lang w:val="es-ES"/>
        </w:rPr>
        <w:tab/>
        <w:t xml:space="preserve">A </w:t>
      </w:r>
      <w:proofErr w:type="gramStart"/>
      <w:r w:rsidRPr="00807508">
        <w:rPr>
          <w:rFonts w:ascii="Arial" w:eastAsia="Calibri" w:hAnsi="Arial" w:cs="Arial"/>
          <w:color w:val="000000"/>
          <w:lang w:val="es-ES"/>
        </w:rPr>
        <w:t>continuación</w:t>
      </w:r>
      <w:proofErr w:type="gramEnd"/>
      <w:r w:rsidRPr="00807508">
        <w:rPr>
          <w:rFonts w:ascii="Arial" w:eastAsia="Calibri" w:hAnsi="Arial" w:cs="Arial"/>
          <w:color w:val="000000"/>
          <w:lang w:val="es-ES"/>
        </w:rPr>
        <w:t xml:space="preserve"> se expondrán, brevemente, algunos casos de «políticas horizontales», así como los incentivos utilizados para materializarlas en el ordenamiento colombiano, que preexisten la expedición de la Ley 2040 de 2020. </w:t>
      </w:r>
    </w:p>
    <w:p w:rsidR="004048F6" w:rsidRPr="00807508" w:rsidRDefault="004048F6" w:rsidP="004048F6">
      <w:pPr>
        <w:spacing w:after="0" w:line="276" w:lineRule="auto"/>
        <w:ind w:firstLine="709"/>
        <w:jc w:val="both"/>
        <w:rPr>
          <w:rFonts w:ascii="Arial" w:eastAsia="Times New Roman" w:hAnsi="Arial" w:cs="Arial"/>
          <w:color w:val="000000"/>
          <w:lang w:val="es-ES"/>
        </w:rPr>
      </w:pPr>
      <w:r w:rsidRPr="00807508">
        <w:rPr>
          <w:rFonts w:ascii="Arial" w:eastAsia="Times New Roman" w:hAnsi="Arial" w:cs="Arial"/>
          <w:color w:val="000000"/>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Este artículo dispone: </w:t>
      </w:r>
    </w:p>
    <w:p w:rsidR="004048F6" w:rsidRPr="004048F6" w:rsidRDefault="004048F6" w:rsidP="004048F6">
      <w:pPr>
        <w:spacing w:after="0" w:line="240" w:lineRule="auto"/>
        <w:ind w:left="709" w:right="709"/>
        <w:jc w:val="both"/>
        <w:rPr>
          <w:rFonts w:ascii="Arial" w:eastAsia="Times New Roman" w:hAnsi="Arial" w:cs="Arial"/>
          <w:color w:val="000000"/>
          <w:sz w:val="21"/>
          <w:szCs w:val="21"/>
          <w:lang w:val="es-ES"/>
        </w:rPr>
      </w:pPr>
    </w:p>
    <w:p w:rsidR="004048F6" w:rsidRPr="004048F6" w:rsidRDefault="004048F6" w:rsidP="004048F6">
      <w:pPr>
        <w:spacing w:after="0" w:line="240" w:lineRule="auto"/>
        <w:ind w:left="709" w:right="709"/>
        <w:jc w:val="both"/>
        <w:rPr>
          <w:rFonts w:ascii="Arial" w:eastAsia="Times New Roman" w:hAnsi="Arial" w:cs="Arial"/>
          <w:color w:val="000000"/>
          <w:sz w:val="24"/>
          <w:szCs w:val="24"/>
          <w:lang w:val="es-ES"/>
        </w:rPr>
      </w:pPr>
      <w:r w:rsidRPr="004048F6">
        <w:rPr>
          <w:rFonts w:ascii="Arial" w:eastAsia="Times New Roman" w:hAnsi="Arial" w:cs="Arial"/>
          <w:color w:val="000000"/>
          <w:sz w:val="21"/>
          <w:szCs w:val="21"/>
          <w:lang w:val="es-ES"/>
        </w:rPr>
        <w:t>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4048F6">
        <w:rPr>
          <w:rFonts w:ascii="Arial" w:eastAsia="Times New Roman" w:hAnsi="Arial" w:cs="Arial"/>
          <w:iCs/>
          <w:color w:val="000000"/>
          <w:sz w:val="21"/>
          <w:szCs w:val="21"/>
          <w:lang w:val="es-ES"/>
        </w:rPr>
        <w:t> </w:t>
      </w:r>
      <w:r w:rsidRPr="004048F6">
        <w:rPr>
          <w:rFonts w:ascii="Arial" w:eastAsia="Times New Roman" w:hAnsi="Arial" w:cs="Arial"/>
          <w:color w:val="000000"/>
          <w:sz w:val="21"/>
          <w:szCs w:val="21"/>
          <w:lang w:val="es-ES"/>
        </w:rPr>
        <w:t>no obligue a solicitar más de una propuesta, adoptarán criterios objetivos que permitan apoyar a la industria nacional</w:t>
      </w:r>
      <w:r w:rsidRPr="004048F6">
        <w:rPr>
          <w:rFonts w:ascii="Arial" w:eastAsia="Times New Roman" w:hAnsi="Arial" w:cs="Arial"/>
          <w:color w:val="000000"/>
          <w:sz w:val="24"/>
          <w:szCs w:val="24"/>
          <w:lang w:val="es-ES"/>
        </w:rPr>
        <w:t xml:space="preserve">. </w:t>
      </w:r>
    </w:p>
    <w:p w:rsidR="004048F6" w:rsidRPr="004048F6" w:rsidRDefault="004048F6" w:rsidP="004048F6">
      <w:pPr>
        <w:spacing w:after="0" w:line="276" w:lineRule="auto"/>
        <w:ind w:right="709"/>
        <w:jc w:val="both"/>
        <w:rPr>
          <w:rFonts w:ascii="Arial" w:eastAsia="Times New Roman" w:hAnsi="Arial" w:cs="Arial"/>
          <w:color w:val="000000"/>
          <w:sz w:val="24"/>
          <w:szCs w:val="24"/>
          <w:lang w:val="es-ES"/>
        </w:rPr>
      </w:pPr>
    </w:p>
    <w:p w:rsidR="004048F6" w:rsidRPr="00807508" w:rsidRDefault="004048F6" w:rsidP="004048F6">
      <w:pPr>
        <w:spacing w:after="0" w:line="276" w:lineRule="auto"/>
        <w:ind w:firstLine="709"/>
        <w:jc w:val="both"/>
        <w:rPr>
          <w:rFonts w:ascii="Arial" w:eastAsia="Times New Roman" w:hAnsi="Arial" w:cs="Arial"/>
          <w:color w:val="000000"/>
          <w:lang w:val="es-ES"/>
        </w:rPr>
      </w:pPr>
      <w:r w:rsidRPr="00807508">
        <w:rPr>
          <w:rFonts w:ascii="Arial" w:eastAsia="Times New Roman" w:hAnsi="Arial" w:cs="Arial"/>
          <w:color w:val="000000"/>
          <w:lang w:val="es-ES"/>
        </w:rPr>
        <w:t xml:space="preserve">Además, el artículo 2 de la misma ley, de forma expresa, determina el puntaje que las entidades deben incluir dentro de los criterios de calificación de las propuestas para promover la industria colombiana: </w:t>
      </w:r>
    </w:p>
    <w:p w:rsidR="004048F6" w:rsidRPr="004048F6" w:rsidRDefault="004048F6" w:rsidP="004048F6">
      <w:pPr>
        <w:spacing w:after="0" w:line="240" w:lineRule="auto"/>
        <w:jc w:val="both"/>
        <w:rPr>
          <w:rFonts w:ascii="Arial" w:eastAsia="Times New Roman" w:hAnsi="Arial" w:cs="Arial"/>
          <w:color w:val="000000"/>
          <w:sz w:val="24"/>
          <w:szCs w:val="24"/>
          <w:lang w:val="es-ES"/>
        </w:rPr>
      </w:pPr>
    </w:p>
    <w:p w:rsidR="004048F6" w:rsidRPr="004048F6" w:rsidRDefault="004048F6" w:rsidP="004048F6">
      <w:pPr>
        <w:spacing w:after="0" w:line="240" w:lineRule="auto"/>
        <w:ind w:left="709" w:right="709"/>
        <w:jc w:val="both"/>
        <w:rPr>
          <w:rFonts w:ascii="Arial" w:eastAsia="Times New Roman" w:hAnsi="Arial" w:cs="Arial"/>
          <w:color w:val="000000"/>
          <w:sz w:val="21"/>
          <w:szCs w:val="21"/>
          <w:lang w:val="es-ES"/>
        </w:rPr>
      </w:pPr>
      <w:r w:rsidRPr="004048F6">
        <w:rPr>
          <w:rFonts w:ascii="Arial" w:eastAsia="Times New Roman" w:hAnsi="Arial" w:cs="Arial"/>
          <w:color w:val="000000"/>
          <w:sz w:val="21"/>
          <w:szCs w:val="21"/>
          <w:lang w:val="es-ES"/>
        </w:rPr>
        <w:lastRenderedPageBreak/>
        <w:t xml:space="preserve">Artículo 2. Las entidades de que trata el artículo 1º asignarán, dentro de los criterios de calificación de las propuestas, un puntaje comprendido entre el diez </w:t>
      </w:r>
      <w:r w:rsidRPr="004048F6">
        <w:rPr>
          <w:rFonts w:ascii="Arial" w:eastAsia="Times New Roman" w:hAnsi="Arial" w:cs="Arial"/>
          <w:color w:val="000000"/>
          <w:sz w:val="24"/>
          <w:szCs w:val="24"/>
          <w:lang w:val="es-ES"/>
        </w:rPr>
        <w:t>[</w:t>
      </w:r>
      <w:r w:rsidRPr="004048F6">
        <w:rPr>
          <w:rFonts w:ascii="Arial" w:eastAsia="Times New Roman" w:hAnsi="Arial" w:cs="Arial"/>
          <w:color w:val="000000"/>
          <w:sz w:val="21"/>
          <w:szCs w:val="21"/>
          <w:lang w:val="es-ES"/>
        </w:rPr>
        <w:t>10</w:t>
      </w:r>
      <w:r w:rsidRPr="004048F6">
        <w:rPr>
          <w:rFonts w:ascii="Arial" w:eastAsia="Times New Roman" w:hAnsi="Arial" w:cs="Arial"/>
          <w:color w:val="000000"/>
          <w:sz w:val="24"/>
          <w:szCs w:val="24"/>
          <w:lang w:val="es-ES"/>
        </w:rPr>
        <w:t>]</w:t>
      </w:r>
      <w:r w:rsidRPr="004048F6">
        <w:rPr>
          <w:rFonts w:ascii="Arial" w:eastAsia="Times New Roman" w:hAnsi="Arial" w:cs="Arial"/>
          <w:color w:val="000000"/>
          <w:sz w:val="21"/>
          <w:szCs w:val="21"/>
          <w:lang w:val="es-ES"/>
        </w:rPr>
        <w:t xml:space="preserve"> y el veinte por ciento </w:t>
      </w:r>
      <w:r w:rsidRPr="004048F6">
        <w:rPr>
          <w:rFonts w:ascii="Arial" w:eastAsia="Times New Roman" w:hAnsi="Arial" w:cs="Arial"/>
          <w:color w:val="000000"/>
          <w:sz w:val="24"/>
          <w:szCs w:val="24"/>
          <w:lang w:val="es-ES"/>
        </w:rPr>
        <w:t>[</w:t>
      </w:r>
      <w:r w:rsidRPr="004048F6">
        <w:rPr>
          <w:rFonts w:ascii="Arial" w:eastAsia="Times New Roman" w:hAnsi="Arial" w:cs="Arial"/>
          <w:color w:val="000000"/>
          <w:sz w:val="21"/>
          <w:szCs w:val="21"/>
          <w:lang w:val="es-ES"/>
        </w:rPr>
        <w:t>20%</w:t>
      </w:r>
      <w:r w:rsidRPr="004048F6">
        <w:rPr>
          <w:rFonts w:ascii="Arial" w:eastAsia="Times New Roman" w:hAnsi="Arial" w:cs="Arial"/>
          <w:color w:val="000000"/>
          <w:sz w:val="24"/>
          <w:szCs w:val="24"/>
          <w:lang w:val="es-ES"/>
        </w:rPr>
        <w:t>]</w:t>
      </w:r>
      <w:r w:rsidRPr="004048F6">
        <w:rPr>
          <w:rFonts w:ascii="Arial" w:eastAsia="Times New Roman" w:hAnsi="Arial" w:cs="Arial"/>
          <w:color w:val="000000"/>
          <w:sz w:val="21"/>
          <w:szCs w:val="21"/>
          <w:lang w:val="es-ES"/>
        </w:rPr>
        <w:t>, para estimular la industria colombiana cuando los proponentes oferten bienes o servicios nacionales.</w:t>
      </w:r>
    </w:p>
    <w:p w:rsidR="004048F6" w:rsidRPr="004048F6" w:rsidRDefault="004048F6" w:rsidP="004048F6">
      <w:pPr>
        <w:spacing w:after="0" w:line="240" w:lineRule="auto"/>
        <w:ind w:left="709" w:right="709"/>
        <w:jc w:val="both"/>
        <w:rPr>
          <w:rFonts w:ascii="Arial" w:eastAsia="Times New Roman" w:hAnsi="Arial" w:cs="Arial"/>
          <w:color w:val="000000"/>
          <w:sz w:val="21"/>
          <w:szCs w:val="21"/>
          <w:lang w:val="es-ES"/>
        </w:rPr>
      </w:pPr>
    </w:p>
    <w:p w:rsidR="004048F6" w:rsidRPr="004048F6" w:rsidRDefault="004048F6" w:rsidP="004048F6">
      <w:pPr>
        <w:spacing w:after="0" w:line="240" w:lineRule="auto"/>
        <w:ind w:left="709" w:right="709"/>
        <w:jc w:val="both"/>
        <w:rPr>
          <w:rFonts w:ascii="Arial" w:eastAsia="Times New Roman" w:hAnsi="Arial" w:cs="Arial"/>
          <w:color w:val="000000"/>
          <w:sz w:val="24"/>
          <w:szCs w:val="24"/>
          <w:lang w:val="es-ES"/>
        </w:rPr>
      </w:pPr>
      <w:r w:rsidRPr="004048F6">
        <w:rPr>
          <w:rFonts w:ascii="Arial" w:eastAsia="Times New Roman" w:hAnsi="Arial" w:cs="Arial"/>
          <w:color w:val="000000"/>
          <w:sz w:val="21"/>
          <w:szCs w:val="21"/>
          <w:lang w:val="es-ES"/>
        </w:rPr>
        <w:t xml:space="preserve">Tratándose de bienes o servicios extranjeros, la entidad contratante establecerá un puntaje comprendido entre el cinco </w:t>
      </w:r>
      <w:r w:rsidRPr="004048F6">
        <w:rPr>
          <w:rFonts w:ascii="Arial" w:eastAsia="Times New Roman" w:hAnsi="Arial" w:cs="Arial"/>
          <w:color w:val="000000"/>
          <w:sz w:val="24"/>
          <w:szCs w:val="24"/>
          <w:lang w:val="es-ES"/>
        </w:rPr>
        <w:t>[</w:t>
      </w:r>
      <w:r w:rsidRPr="004048F6">
        <w:rPr>
          <w:rFonts w:ascii="Arial" w:eastAsia="Times New Roman" w:hAnsi="Arial" w:cs="Arial"/>
          <w:color w:val="000000"/>
          <w:sz w:val="21"/>
          <w:szCs w:val="21"/>
          <w:lang w:val="es-ES"/>
        </w:rPr>
        <w:t>5</w:t>
      </w:r>
      <w:r w:rsidRPr="004048F6">
        <w:rPr>
          <w:rFonts w:ascii="Arial" w:eastAsia="Times New Roman" w:hAnsi="Arial" w:cs="Arial"/>
          <w:color w:val="000000"/>
          <w:sz w:val="24"/>
          <w:szCs w:val="24"/>
          <w:lang w:val="es-ES"/>
        </w:rPr>
        <w:t>]</w:t>
      </w:r>
      <w:r w:rsidRPr="004048F6">
        <w:rPr>
          <w:rFonts w:ascii="Arial" w:eastAsia="Times New Roman" w:hAnsi="Arial" w:cs="Arial"/>
          <w:color w:val="000000"/>
          <w:sz w:val="21"/>
          <w:szCs w:val="21"/>
          <w:lang w:val="es-ES"/>
        </w:rPr>
        <w:t xml:space="preserve"> y el quince por ciento </w:t>
      </w:r>
      <w:r w:rsidRPr="004048F6">
        <w:rPr>
          <w:rFonts w:ascii="Arial" w:eastAsia="Times New Roman" w:hAnsi="Arial" w:cs="Arial"/>
          <w:color w:val="000000"/>
          <w:sz w:val="24"/>
          <w:szCs w:val="24"/>
          <w:lang w:val="es-ES"/>
        </w:rPr>
        <w:t>[</w:t>
      </w:r>
      <w:r w:rsidRPr="004048F6">
        <w:rPr>
          <w:rFonts w:ascii="Arial" w:eastAsia="Times New Roman" w:hAnsi="Arial" w:cs="Arial"/>
          <w:color w:val="000000"/>
          <w:sz w:val="21"/>
          <w:szCs w:val="21"/>
          <w:lang w:val="es-ES"/>
        </w:rPr>
        <w:t>15%</w:t>
      </w:r>
      <w:r w:rsidRPr="004048F6">
        <w:rPr>
          <w:rFonts w:ascii="Arial" w:eastAsia="Times New Roman" w:hAnsi="Arial" w:cs="Arial"/>
          <w:color w:val="000000"/>
          <w:sz w:val="24"/>
          <w:szCs w:val="24"/>
          <w:lang w:val="es-ES"/>
        </w:rPr>
        <w:t>]</w:t>
      </w:r>
      <w:r w:rsidRPr="004048F6">
        <w:rPr>
          <w:rFonts w:ascii="Arial" w:eastAsia="Times New Roman" w:hAnsi="Arial" w:cs="Arial"/>
          <w:color w:val="000000"/>
          <w:sz w:val="21"/>
          <w:szCs w:val="21"/>
          <w:lang w:val="es-ES"/>
        </w:rPr>
        <w:t>, para incentivar la incorporación de componente colombiano de bienes y servicios profesionales, técnicos y operativos</w:t>
      </w:r>
      <w:r w:rsidRPr="004048F6">
        <w:rPr>
          <w:rFonts w:ascii="Arial" w:eastAsia="Times New Roman" w:hAnsi="Arial" w:cs="Arial"/>
          <w:color w:val="000000"/>
          <w:sz w:val="24"/>
          <w:szCs w:val="24"/>
          <w:lang w:val="es-ES"/>
        </w:rPr>
        <w:t>.</w:t>
      </w:r>
    </w:p>
    <w:p w:rsidR="004048F6" w:rsidRPr="004048F6" w:rsidRDefault="004048F6" w:rsidP="004048F6">
      <w:pPr>
        <w:spacing w:after="0" w:line="240" w:lineRule="auto"/>
        <w:jc w:val="both"/>
        <w:rPr>
          <w:rFonts w:ascii="Arial" w:eastAsia="Times New Roman" w:hAnsi="Arial" w:cs="Arial"/>
          <w:color w:val="000000"/>
          <w:sz w:val="24"/>
          <w:szCs w:val="24"/>
          <w:lang w:val="es-ES"/>
        </w:rPr>
      </w:pPr>
    </w:p>
    <w:p w:rsidR="004048F6" w:rsidRPr="00807508" w:rsidRDefault="004048F6" w:rsidP="004048F6">
      <w:pPr>
        <w:spacing w:after="120" w:line="276" w:lineRule="auto"/>
        <w:ind w:firstLine="709"/>
        <w:jc w:val="both"/>
        <w:rPr>
          <w:rFonts w:ascii="Arial" w:eastAsia="Times New Roman" w:hAnsi="Arial" w:cs="Arial"/>
          <w:color w:val="000000"/>
          <w:lang w:val="es-ES"/>
        </w:rPr>
      </w:pPr>
      <w:r w:rsidRPr="00807508">
        <w:rPr>
          <w:rFonts w:ascii="Arial" w:eastAsia="Times New Roman" w:hAnsi="Arial" w:cs="Arial"/>
          <w:color w:val="000000"/>
          <w:lang w:val="es-ES"/>
        </w:rPr>
        <w:t>De esta manera, la norma establece dos supuestos para asignar puntaje. Por un lado, se encuentran los proponentes que oferten bienes o servicios nacionales y los proponentes que tienen trato nacional producto de los acuerdos comerciales suscritos por Colombia con otros Estados</w:t>
      </w:r>
      <w:r w:rsidRPr="00807508">
        <w:rPr>
          <w:rFonts w:ascii="Arial" w:eastAsia="Times New Roman" w:hAnsi="Arial" w:cs="Arial"/>
          <w:color w:val="000000"/>
          <w:vertAlign w:val="superscript"/>
          <w:lang w:val="es-ES"/>
        </w:rPr>
        <w:footnoteReference w:id="6"/>
      </w:r>
      <w:r w:rsidRPr="00807508">
        <w:rPr>
          <w:rFonts w:ascii="Arial" w:eastAsia="Times New Roman" w:hAnsi="Arial" w:cs="Arial"/>
          <w:color w:val="000000"/>
          <w:lang w:val="es-ES"/>
        </w:rPr>
        <w:t xml:space="preserve">. Por otro </w:t>
      </w:r>
      <w:proofErr w:type="gramStart"/>
      <w:r w:rsidRPr="00807508">
        <w:rPr>
          <w:rFonts w:ascii="Arial" w:eastAsia="Times New Roman" w:hAnsi="Arial" w:cs="Arial"/>
          <w:color w:val="000000"/>
          <w:lang w:val="es-ES"/>
        </w:rPr>
        <w:t>lado</w:t>
      </w:r>
      <w:proofErr w:type="gramEnd"/>
      <w:r w:rsidRPr="00807508">
        <w:rPr>
          <w:rFonts w:ascii="Arial" w:eastAsia="Times New Roman" w:hAnsi="Arial" w:cs="Arial"/>
          <w:color w:val="000000"/>
          <w:lang w:val="es-ES"/>
        </w:rPr>
        <w:t xml:space="preserve"> están los proponentes extranjeros que no tengan trato nacional y oferten la incorporación de componente colombiano de bienes o servicios. </w:t>
      </w:r>
    </w:p>
    <w:p w:rsidR="004048F6" w:rsidRPr="00807508" w:rsidRDefault="004048F6" w:rsidP="004048F6">
      <w:pPr>
        <w:spacing w:after="120" w:line="276" w:lineRule="auto"/>
        <w:ind w:firstLine="709"/>
        <w:jc w:val="both"/>
        <w:rPr>
          <w:rFonts w:ascii="Arial" w:eastAsia="Times New Roman" w:hAnsi="Arial" w:cs="Arial"/>
          <w:color w:val="000000"/>
          <w:lang w:val="es-ES"/>
        </w:rPr>
      </w:pPr>
      <w:r w:rsidRPr="00807508">
        <w:rPr>
          <w:rFonts w:ascii="Arial" w:eastAsia="Times New Roman" w:hAnsi="Arial" w:cs="Arial"/>
          <w:color w:val="000000"/>
          <w:lang w:val="es-ES"/>
        </w:rPr>
        <w:t>Asimismo, el Decreto 1082 de 2015 definió los «Servicios Nacionales» como aquellos prestados por personas naturales colombianas o residentes en Colombia, o por personas jurídicas constituidas en Colombia conforme a lo previsto en las disposiciones de la legislación colombiana</w:t>
      </w:r>
      <w:r w:rsidRPr="00807508">
        <w:rPr>
          <w:rFonts w:ascii="Arial" w:eastAsia="Times New Roman" w:hAnsi="Arial" w:cs="Arial"/>
          <w:color w:val="000000"/>
          <w:vertAlign w:val="superscript"/>
          <w:lang w:val="es-ES"/>
        </w:rPr>
        <w:footnoteReference w:id="7"/>
      </w:r>
      <w:r w:rsidRPr="00807508">
        <w:rPr>
          <w:rFonts w:ascii="Arial" w:eastAsia="Times New Roman" w:hAnsi="Arial" w:cs="Arial"/>
          <w:color w:val="000000"/>
          <w:lang w:val="es-ES"/>
        </w:rPr>
        <w:t xml:space="preserve">. </w:t>
      </w:r>
    </w:p>
    <w:p w:rsidR="004048F6" w:rsidRPr="00807508" w:rsidRDefault="004048F6" w:rsidP="004048F6">
      <w:pPr>
        <w:spacing w:after="0" w:line="276" w:lineRule="auto"/>
        <w:ind w:firstLine="709"/>
        <w:jc w:val="both"/>
        <w:rPr>
          <w:rFonts w:ascii="Arial" w:eastAsia="Times New Roman" w:hAnsi="Arial" w:cs="Arial"/>
          <w:lang w:val="es-ES"/>
        </w:rPr>
      </w:pPr>
      <w:r w:rsidRPr="00807508">
        <w:rPr>
          <w:rFonts w:ascii="Arial" w:eastAsia="Times New Roman" w:hAnsi="Arial" w:cs="Arial"/>
          <w:color w:val="000000"/>
          <w:lang w:val="es-ES"/>
        </w:rPr>
        <w:t xml:space="preserve">De otra parte, </w:t>
      </w:r>
      <w:r w:rsidRPr="00807508">
        <w:rPr>
          <w:rFonts w:ascii="Arial" w:eastAsia="Times New Roman" w:hAnsi="Arial" w:cs="Arial"/>
          <w:lang w:val="es-ES"/>
        </w:rPr>
        <w:t>la Ley 1618 de 2013 estableció disposiciones para garantizar el ejercicio de los derechos de personas en condición de discapacidad</w:t>
      </w:r>
      <w:r w:rsidRPr="00807508">
        <w:rPr>
          <w:rFonts w:ascii="Arial" w:eastAsia="Times New Roman" w:hAnsi="Arial" w:cs="Arial"/>
          <w:vertAlign w:val="superscript"/>
          <w:lang w:val="es-ES"/>
        </w:rPr>
        <w:footnoteReference w:id="8"/>
      </w:r>
      <w:r w:rsidRPr="00807508">
        <w:rPr>
          <w:rFonts w:ascii="Arial" w:eastAsia="Times New Roman" w:hAnsi="Arial" w:cs="Arial"/>
          <w:lang w:val="es-ES"/>
        </w:rPr>
        <w:t xml:space="preserve">. El artículo 13 </w:t>
      </w:r>
      <w:r w:rsidRPr="00807508">
        <w:rPr>
          <w:rFonts w:ascii="Arial" w:eastAsia="Times New Roman" w:hAnsi="Arial" w:cs="Arial"/>
          <w:i/>
          <w:iCs/>
          <w:lang w:val="es-ES"/>
        </w:rPr>
        <w:t xml:space="preserve">ibídem </w:t>
      </w:r>
      <w:r w:rsidRPr="00807508">
        <w:rPr>
          <w:rFonts w:ascii="Arial" w:eastAsia="Times New Roman" w:hAnsi="Arial" w:cs="Arial"/>
          <w:lang w:val="es-ES"/>
        </w:rPr>
        <w:lastRenderedPageBreak/>
        <w:t>ordenó al Gobierno Nacional expedir un reglamento que determinara la metodología mediante la cual se otorgaría el puntaje adicional a las empresas que en su planta de personal cuenten con personal en situación de discapacidad:</w:t>
      </w:r>
    </w:p>
    <w:p w:rsidR="004048F6" w:rsidRPr="004048F6" w:rsidRDefault="004048F6" w:rsidP="004048F6">
      <w:pPr>
        <w:spacing w:after="0" w:line="240" w:lineRule="auto"/>
        <w:jc w:val="both"/>
        <w:rPr>
          <w:rFonts w:ascii="Arial" w:eastAsia="Times New Roman" w:hAnsi="Arial" w:cs="Arial"/>
          <w:sz w:val="24"/>
          <w:szCs w:val="24"/>
          <w:lang w:val="es-ES"/>
        </w:rPr>
      </w:pPr>
    </w:p>
    <w:p w:rsidR="004048F6" w:rsidRPr="004048F6" w:rsidRDefault="004048F6" w:rsidP="004048F6">
      <w:pPr>
        <w:spacing w:after="0" w:line="240" w:lineRule="auto"/>
        <w:ind w:left="709" w:right="709"/>
        <w:jc w:val="both"/>
        <w:rPr>
          <w:rFonts w:ascii="Arial" w:eastAsia="Times New Roman" w:hAnsi="Arial" w:cs="Arial"/>
          <w:sz w:val="21"/>
          <w:szCs w:val="21"/>
          <w:lang w:val="es-ES"/>
        </w:rPr>
      </w:pPr>
      <w:r w:rsidRPr="004048F6">
        <w:rPr>
          <w:rFonts w:ascii="Arial" w:eastAsia="Times New Roman"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004048F6" w:rsidRPr="004048F6" w:rsidRDefault="004048F6" w:rsidP="004048F6">
      <w:pPr>
        <w:spacing w:after="0" w:line="240" w:lineRule="auto"/>
        <w:ind w:left="709" w:right="709"/>
        <w:jc w:val="both"/>
        <w:rPr>
          <w:rFonts w:ascii="Arial" w:eastAsia="Times New Roman" w:hAnsi="Arial" w:cs="Arial"/>
          <w:sz w:val="21"/>
          <w:szCs w:val="21"/>
          <w:lang w:val="es-ES"/>
        </w:rPr>
      </w:pPr>
    </w:p>
    <w:p w:rsidR="004048F6" w:rsidRPr="004048F6" w:rsidRDefault="004048F6" w:rsidP="004048F6">
      <w:pPr>
        <w:spacing w:after="0" w:line="240" w:lineRule="auto"/>
        <w:ind w:left="709" w:right="709"/>
        <w:jc w:val="both"/>
        <w:rPr>
          <w:rFonts w:ascii="Arial" w:eastAsia="Times New Roman" w:hAnsi="Arial" w:cs="Arial"/>
          <w:sz w:val="21"/>
          <w:szCs w:val="21"/>
          <w:lang w:val="es-ES"/>
        </w:rPr>
      </w:pPr>
      <w:r w:rsidRPr="004048F6">
        <w:rPr>
          <w:rFonts w:ascii="Arial" w:eastAsia="Times New Roman"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004048F6" w:rsidRPr="004048F6" w:rsidRDefault="004048F6" w:rsidP="004048F6">
      <w:pPr>
        <w:spacing w:after="0" w:line="240" w:lineRule="auto"/>
        <w:ind w:left="709" w:right="709"/>
        <w:jc w:val="both"/>
        <w:rPr>
          <w:rFonts w:ascii="Arial" w:eastAsia="Times New Roman" w:hAnsi="Arial" w:cs="Arial"/>
          <w:sz w:val="21"/>
          <w:szCs w:val="21"/>
          <w:lang w:val="es-ES"/>
        </w:rPr>
      </w:pPr>
      <w:r w:rsidRPr="004048F6">
        <w:rPr>
          <w:rFonts w:ascii="Arial" w:eastAsia="Times New Roman" w:hAnsi="Arial" w:cs="Arial"/>
          <w:sz w:val="21"/>
          <w:szCs w:val="21"/>
          <w:lang w:val="es-ES"/>
        </w:rPr>
        <w:t>[…]</w:t>
      </w:r>
    </w:p>
    <w:p w:rsidR="004048F6" w:rsidRPr="004048F6" w:rsidRDefault="004048F6" w:rsidP="004048F6">
      <w:pPr>
        <w:spacing w:after="0" w:line="240" w:lineRule="auto"/>
        <w:ind w:left="709" w:right="709"/>
        <w:jc w:val="both"/>
        <w:rPr>
          <w:rFonts w:ascii="Arial" w:eastAsia="Times New Roman" w:hAnsi="Arial" w:cs="Arial"/>
          <w:sz w:val="21"/>
          <w:szCs w:val="21"/>
          <w:lang w:val="es-ES"/>
        </w:rPr>
      </w:pPr>
    </w:p>
    <w:p w:rsidR="004048F6" w:rsidRPr="004048F6" w:rsidRDefault="004048F6" w:rsidP="004048F6">
      <w:pPr>
        <w:spacing w:after="0" w:line="240" w:lineRule="auto"/>
        <w:ind w:left="708" w:right="709"/>
        <w:jc w:val="both"/>
        <w:rPr>
          <w:rFonts w:ascii="Arial" w:eastAsia="Times New Roman" w:hAnsi="Arial" w:cs="Arial"/>
          <w:sz w:val="21"/>
          <w:szCs w:val="21"/>
          <w:lang w:val="es-ES"/>
        </w:rPr>
      </w:pPr>
      <w:r w:rsidRPr="004048F6">
        <w:rPr>
          <w:rFonts w:ascii="Arial" w:eastAsia="Times New Roman" w:hAnsi="Arial" w:cs="Arial"/>
          <w:sz w:val="21"/>
          <w:szCs w:val="21"/>
          <w:lang w:val="es-ES"/>
        </w:rPr>
        <w:t xml:space="preserve">8. Los </w:t>
      </w:r>
      <w:proofErr w:type="gramStart"/>
      <w:r w:rsidRPr="004048F6">
        <w:rPr>
          <w:rFonts w:ascii="Arial" w:eastAsia="Times New Roman" w:hAnsi="Arial" w:cs="Arial"/>
          <w:sz w:val="21"/>
          <w:szCs w:val="21"/>
          <w:lang w:val="es-ES"/>
        </w:rPr>
        <w:t>gobiernos nacional</w:t>
      </w:r>
      <w:proofErr w:type="gramEnd"/>
      <w:r w:rsidRPr="004048F6">
        <w:rPr>
          <w:rFonts w:ascii="Arial" w:eastAsia="Times New Roman"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rsidR="004048F6" w:rsidRPr="004048F6" w:rsidRDefault="004048F6" w:rsidP="004048F6">
      <w:pPr>
        <w:spacing w:after="0" w:line="240" w:lineRule="auto"/>
        <w:ind w:left="708" w:right="709"/>
        <w:jc w:val="both"/>
        <w:rPr>
          <w:rFonts w:ascii="Arial" w:eastAsia="Times New Roman" w:hAnsi="Arial" w:cs="Arial"/>
          <w:sz w:val="21"/>
          <w:szCs w:val="21"/>
          <w:lang w:val="es-ES"/>
        </w:rPr>
      </w:pPr>
    </w:p>
    <w:p w:rsidR="004048F6" w:rsidRPr="00807508" w:rsidRDefault="004048F6" w:rsidP="004048F6">
      <w:pPr>
        <w:spacing w:after="120" w:line="276" w:lineRule="auto"/>
        <w:ind w:firstLine="708"/>
        <w:jc w:val="both"/>
        <w:rPr>
          <w:rFonts w:ascii="Arial" w:eastAsia="Times New Roman" w:hAnsi="Arial" w:cs="Arial"/>
          <w:lang w:val="es-ES"/>
        </w:rPr>
      </w:pPr>
      <w:r w:rsidRPr="00807508">
        <w:rPr>
          <w:rFonts w:ascii="Arial" w:eastAsia="Times New Roman" w:hAnsi="Arial" w:cs="Arial"/>
          <w:lang w:val="es-ES"/>
        </w:rPr>
        <w:t xml:space="preserve">Como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compilado en el Decreto 1082 de 2015, obliga a las entidades a otorgar un puntaje adicional en los procesos de selección de contratistas del Estado, en las modalidades de licitación pública y concurso de méritos, a quienes acrediten que al menos el diez por ciento (10%) de su nómina la integran personas en situación de discapacidad. </w:t>
      </w:r>
    </w:p>
    <w:p w:rsidR="004048F6" w:rsidRPr="004048F6" w:rsidRDefault="004048F6" w:rsidP="004048F6">
      <w:pPr>
        <w:spacing w:after="120" w:line="276" w:lineRule="auto"/>
        <w:ind w:firstLine="709"/>
        <w:jc w:val="both"/>
        <w:rPr>
          <w:rFonts w:ascii="Arial" w:eastAsia="Times New Roman" w:hAnsi="Arial" w:cs="Arial"/>
          <w:color w:val="000000"/>
          <w:sz w:val="24"/>
          <w:szCs w:val="24"/>
          <w:lang w:val="es-ES"/>
        </w:rPr>
      </w:pPr>
      <w:r w:rsidRPr="00807508">
        <w:rPr>
          <w:rFonts w:ascii="Arial" w:eastAsia="Times New Roman" w:hAnsi="Arial" w:cs="Arial"/>
          <w:color w:val="000000"/>
          <w:lang w:val="es-ES"/>
        </w:rPr>
        <w:t>Finalmente, el articulo 12 la Ley 1150 de 2007, modificado por el artículo 32 de la Ley 1450 de 2011, estableció las convocatorias limitadas a Mipymes en contratación pública, en los siguientes términos</w:t>
      </w:r>
      <w:r w:rsidRPr="004048F6">
        <w:rPr>
          <w:rFonts w:ascii="Arial" w:eastAsia="Times New Roman" w:hAnsi="Arial" w:cs="Arial"/>
          <w:color w:val="000000"/>
          <w:sz w:val="24"/>
          <w:szCs w:val="24"/>
          <w:lang w:val="es-ES"/>
        </w:rPr>
        <w:t>:</w:t>
      </w:r>
    </w:p>
    <w:p w:rsidR="004048F6" w:rsidRPr="004048F6" w:rsidRDefault="004048F6" w:rsidP="004048F6">
      <w:pPr>
        <w:spacing w:after="0" w:line="240" w:lineRule="auto"/>
        <w:jc w:val="both"/>
        <w:rPr>
          <w:rFonts w:ascii="Arial" w:eastAsia="Times New Roman" w:hAnsi="Arial" w:cs="Arial"/>
          <w:color w:val="000000"/>
          <w:sz w:val="24"/>
          <w:szCs w:val="24"/>
          <w:lang w:val="es-ES"/>
        </w:rPr>
      </w:pPr>
    </w:p>
    <w:p w:rsidR="004048F6" w:rsidRPr="004048F6" w:rsidRDefault="004048F6" w:rsidP="004048F6">
      <w:pPr>
        <w:spacing w:after="0" w:line="240" w:lineRule="auto"/>
        <w:ind w:left="709" w:right="709"/>
        <w:jc w:val="both"/>
        <w:rPr>
          <w:rFonts w:ascii="Arial" w:eastAsia="Times New Roman" w:hAnsi="Arial" w:cs="Arial"/>
          <w:color w:val="000000"/>
          <w:sz w:val="21"/>
          <w:szCs w:val="21"/>
          <w:lang w:val="es-ES"/>
        </w:rPr>
      </w:pPr>
      <w:r w:rsidRPr="004048F6">
        <w:rPr>
          <w:rFonts w:ascii="Arial" w:eastAsia="Times New Roman" w:hAnsi="Arial" w:cs="Arial"/>
          <w:color w:val="000000"/>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4048F6">
        <w:rPr>
          <w:rFonts w:ascii="Arial" w:eastAsia="Times New Roman" w:hAnsi="Arial" w:cs="Arial"/>
          <w:i/>
          <w:iCs/>
          <w:color w:val="000000"/>
          <w:sz w:val="21"/>
          <w:szCs w:val="21"/>
          <w:lang w:val="es-ES"/>
        </w:rPr>
        <w:t xml:space="preserve">las entidades estatales adopten en beneficio de las </w:t>
      </w:r>
      <w:r w:rsidRPr="004048F6">
        <w:rPr>
          <w:rFonts w:ascii="Arial" w:eastAsia="Times New Roman" w:hAnsi="Arial" w:cs="Arial"/>
          <w:i/>
          <w:iCs/>
          <w:color w:val="000000"/>
          <w:sz w:val="21"/>
          <w:szCs w:val="21"/>
          <w:lang w:val="es-ES"/>
        </w:rPr>
        <w:lastRenderedPageBreak/>
        <w:t xml:space="preserve">Mipymes, convocatorias limitadas a estas en las que, previo a la Resolución de apertura del proceso respectivo, se haya manifestado el interés del número plural de Mipymes que haya sido determinado en el reglamento </w:t>
      </w:r>
      <w:r w:rsidRPr="004048F6">
        <w:rPr>
          <w:rFonts w:ascii="Arial" w:eastAsia="Times New Roman" w:hAnsi="Arial" w:cs="Arial"/>
          <w:color w:val="000000"/>
          <w:sz w:val="21"/>
          <w:szCs w:val="21"/>
          <w:lang w:val="es-ES"/>
        </w:rPr>
        <w:t>[…] (Cursivas fuera de texto).</w:t>
      </w:r>
    </w:p>
    <w:p w:rsidR="004048F6" w:rsidRPr="004048F6" w:rsidRDefault="004048F6" w:rsidP="004048F6">
      <w:pPr>
        <w:spacing w:after="0" w:line="240" w:lineRule="auto"/>
        <w:ind w:left="709" w:right="709"/>
        <w:jc w:val="both"/>
        <w:rPr>
          <w:rFonts w:ascii="Arial" w:eastAsia="Times New Roman" w:hAnsi="Arial" w:cs="Arial"/>
          <w:color w:val="000000"/>
          <w:sz w:val="24"/>
          <w:szCs w:val="24"/>
          <w:lang w:val="es-ES"/>
        </w:rPr>
      </w:pPr>
    </w:p>
    <w:p w:rsidR="004048F6" w:rsidRPr="00807508" w:rsidRDefault="004048F6" w:rsidP="004048F6">
      <w:pPr>
        <w:spacing w:after="0" w:line="276" w:lineRule="auto"/>
        <w:ind w:firstLine="709"/>
        <w:jc w:val="both"/>
        <w:rPr>
          <w:rFonts w:ascii="Arial" w:eastAsia="Times New Roman" w:hAnsi="Arial" w:cs="Arial"/>
          <w:color w:val="000000"/>
          <w:lang w:val="es-ES"/>
        </w:rPr>
      </w:pPr>
      <w:r w:rsidRPr="00807508">
        <w:rPr>
          <w:rFonts w:ascii="Arial" w:eastAsia="Times New Roman" w:hAnsi="Arial" w:cs="Arial"/>
          <w:color w:val="000000"/>
          <w:lang w:val="es-ES"/>
        </w:rPr>
        <w:t>El Decreto 1082 de 2015 reglamentó la norma transcrita, adoptando medidas para incentivar a las Mipymes en la contratación pública. Dentro de estas medidas se destacan las «convocatorias limitadas a Mipymes» y la «limitación territorial» a Mipymes, contenidas, respectivamente, en los artículos 2.2.1.2.4.2.2. y 2.2.1.2.4.2.3. Este último dice lo siguiente:</w:t>
      </w:r>
    </w:p>
    <w:p w:rsidR="004048F6" w:rsidRPr="004048F6" w:rsidRDefault="004048F6" w:rsidP="004048F6">
      <w:pPr>
        <w:spacing w:after="0" w:line="240" w:lineRule="auto"/>
        <w:ind w:firstLine="709"/>
        <w:jc w:val="both"/>
        <w:rPr>
          <w:rFonts w:ascii="Arial" w:eastAsia="Times New Roman" w:hAnsi="Arial" w:cs="Arial"/>
          <w:color w:val="000000"/>
          <w:sz w:val="24"/>
          <w:szCs w:val="24"/>
          <w:lang w:val="es-ES"/>
        </w:rPr>
      </w:pPr>
    </w:p>
    <w:p w:rsidR="004048F6" w:rsidRPr="004048F6" w:rsidRDefault="004048F6" w:rsidP="004048F6">
      <w:pPr>
        <w:spacing w:after="0" w:line="240" w:lineRule="auto"/>
        <w:ind w:left="709" w:right="760"/>
        <w:jc w:val="both"/>
        <w:rPr>
          <w:rFonts w:ascii="Arial" w:eastAsia="Times New Roman" w:hAnsi="Arial" w:cs="Arial"/>
          <w:color w:val="000000"/>
          <w:sz w:val="21"/>
          <w:szCs w:val="21"/>
          <w:lang w:val="es-ES"/>
        </w:rPr>
      </w:pPr>
      <w:r w:rsidRPr="004048F6">
        <w:rPr>
          <w:rFonts w:ascii="Arial" w:eastAsia="Times New Roman" w:hAnsi="Arial" w:cs="Arial"/>
          <w:color w:val="000000"/>
          <w:sz w:val="21"/>
          <w:szCs w:val="21"/>
          <w:lang w:val="es-ES"/>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rsidR="004048F6" w:rsidRPr="004048F6" w:rsidRDefault="004048F6" w:rsidP="004048F6">
      <w:pPr>
        <w:spacing w:after="0" w:line="240" w:lineRule="auto"/>
        <w:ind w:left="709" w:right="760"/>
        <w:jc w:val="both"/>
        <w:rPr>
          <w:rFonts w:ascii="Arial" w:eastAsia="Times New Roman" w:hAnsi="Arial" w:cs="Arial"/>
          <w:color w:val="000000"/>
          <w:sz w:val="21"/>
          <w:szCs w:val="21"/>
          <w:lang w:val="es-ES"/>
        </w:rPr>
      </w:pPr>
    </w:p>
    <w:p w:rsidR="004048F6" w:rsidRPr="00807508" w:rsidRDefault="004048F6" w:rsidP="004048F6">
      <w:pPr>
        <w:spacing w:after="0" w:line="240" w:lineRule="auto"/>
        <w:ind w:right="760"/>
        <w:jc w:val="both"/>
        <w:rPr>
          <w:rFonts w:ascii="Arial" w:eastAsia="Times New Roman" w:hAnsi="Arial" w:cs="Arial"/>
          <w:color w:val="000000"/>
          <w:lang w:val="es-ES"/>
        </w:rPr>
      </w:pPr>
      <w:r w:rsidRPr="00807508">
        <w:rPr>
          <w:rFonts w:ascii="Arial" w:eastAsia="Times New Roman" w:hAnsi="Arial" w:cs="Arial"/>
          <w:color w:val="000000"/>
          <w:lang w:val="es-ES"/>
        </w:rPr>
        <w:t>El artículo 2.2.1.2.4.2.2., por su parte, dispone que:</w:t>
      </w:r>
    </w:p>
    <w:p w:rsidR="004048F6" w:rsidRPr="004048F6" w:rsidRDefault="004048F6" w:rsidP="004048F6">
      <w:pPr>
        <w:spacing w:after="0" w:line="240" w:lineRule="auto"/>
        <w:ind w:left="709" w:right="760"/>
        <w:jc w:val="both"/>
        <w:rPr>
          <w:rFonts w:ascii="Arial" w:eastAsia="Times New Roman" w:hAnsi="Arial" w:cs="Arial"/>
          <w:color w:val="000000"/>
          <w:sz w:val="21"/>
          <w:szCs w:val="21"/>
          <w:lang w:val="es-ES"/>
        </w:rPr>
      </w:pPr>
    </w:p>
    <w:p w:rsidR="004048F6" w:rsidRPr="004048F6" w:rsidRDefault="004048F6" w:rsidP="004048F6">
      <w:pPr>
        <w:spacing w:after="0" w:line="240" w:lineRule="auto"/>
        <w:ind w:left="709" w:right="760"/>
        <w:jc w:val="both"/>
        <w:rPr>
          <w:rFonts w:ascii="Arial" w:eastAsia="Times New Roman" w:hAnsi="Arial" w:cs="Arial"/>
          <w:color w:val="000000"/>
          <w:sz w:val="21"/>
          <w:szCs w:val="21"/>
          <w:lang w:val="es-ES"/>
        </w:rPr>
      </w:pPr>
      <w:r w:rsidRPr="004048F6">
        <w:rPr>
          <w:rFonts w:ascii="Arial" w:eastAsia="Times New Roman" w:hAnsi="Arial" w:cs="Arial"/>
          <w:color w:val="000000"/>
          <w:sz w:val="21"/>
          <w:szCs w:val="21"/>
          <w:lang w:val="es-ES"/>
        </w:rPr>
        <w:t>La Entidad Estatal debe limitar a las Mipyme nacionales con mínimo un (1) año de existencia la convocatoria del Proceso de Contratación en la modalidad de licitación pública, selección abreviada y concurso de méritos cuando:</w:t>
      </w:r>
    </w:p>
    <w:p w:rsidR="004048F6" w:rsidRPr="004048F6" w:rsidRDefault="004048F6" w:rsidP="004048F6">
      <w:pPr>
        <w:spacing w:after="0" w:line="240" w:lineRule="auto"/>
        <w:ind w:left="709" w:right="760"/>
        <w:jc w:val="both"/>
        <w:rPr>
          <w:rFonts w:ascii="Arial" w:eastAsia="Times New Roman" w:hAnsi="Arial" w:cs="Arial"/>
          <w:color w:val="000000"/>
          <w:sz w:val="21"/>
          <w:szCs w:val="21"/>
          <w:lang w:val="es-ES"/>
        </w:rPr>
      </w:pPr>
    </w:p>
    <w:p w:rsidR="004048F6" w:rsidRPr="004048F6" w:rsidRDefault="004048F6" w:rsidP="004048F6">
      <w:pPr>
        <w:spacing w:after="0" w:line="240" w:lineRule="auto"/>
        <w:ind w:left="709" w:right="760"/>
        <w:contextualSpacing/>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004048F6" w:rsidRPr="004048F6" w:rsidRDefault="004048F6" w:rsidP="004048F6">
      <w:pPr>
        <w:spacing w:after="0" w:line="240" w:lineRule="auto"/>
        <w:ind w:left="709" w:right="760"/>
        <w:contextualSpacing/>
        <w:jc w:val="both"/>
        <w:rPr>
          <w:rFonts w:ascii="Arial" w:eastAsia="Calibri" w:hAnsi="Arial" w:cs="Arial"/>
          <w:color w:val="000000"/>
          <w:sz w:val="21"/>
          <w:szCs w:val="21"/>
          <w:lang w:val="es-ES"/>
        </w:rPr>
      </w:pPr>
    </w:p>
    <w:p w:rsidR="004048F6" w:rsidRPr="004048F6" w:rsidRDefault="004048F6" w:rsidP="004048F6">
      <w:pPr>
        <w:spacing w:after="0" w:line="240" w:lineRule="auto"/>
        <w:ind w:left="709" w:right="760"/>
        <w:contextualSpacing/>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004048F6" w:rsidRPr="004048F6" w:rsidRDefault="004048F6" w:rsidP="004048F6">
      <w:pPr>
        <w:spacing w:after="0" w:line="240" w:lineRule="auto"/>
        <w:jc w:val="both"/>
        <w:rPr>
          <w:rFonts w:ascii="Arial" w:eastAsia="Times New Roman" w:hAnsi="Arial" w:cs="Arial"/>
          <w:color w:val="000000"/>
          <w:sz w:val="20"/>
          <w:szCs w:val="20"/>
          <w:lang w:val="es-ES"/>
        </w:rPr>
      </w:pPr>
    </w:p>
    <w:p w:rsidR="004048F6" w:rsidRPr="00807508" w:rsidRDefault="004048F6" w:rsidP="004048F6">
      <w:pPr>
        <w:spacing w:after="120" w:line="276" w:lineRule="auto"/>
        <w:ind w:firstLine="709"/>
        <w:jc w:val="both"/>
        <w:rPr>
          <w:rFonts w:ascii="Arial" w:eastAsia="Times New Roman" w:hAnsi="Arial" w:cs="Arial"/>
          <w:color w:val="000000"/>
          <w:lang w:val="es-ES"/>
        </w:rPr>
      </w:pPr>
      <w:r w:rsidRPr="00807508">
        <w:rPr>
          <w:rFonts w:ascii="Arial" w:eastAsia="Times New Roman" w:hAnsi="Arial" w:cs="Arial"/>
          <w:color w:val="000000"/>
          <w:lang w:val="es-ES"/>
        </w:rPr>
        <w:t xml:space="preserve">Puede decirse, entonces, que el Decreto 1082 de 2015 regula la limitación de convocatorias a Mipymes en dos normas distintas, las cuales, sin embargo, deben leerse conjunta y armónicamente. Por un lado, una disposición prevé los requisitos generales para que la entidad limite sus convocatorias a Mipymes nacionales, y por el otro se establece la posibilidad de regular la convocatoria a Mipymes nacionales domiciliadas en los departamentos o municipios donde se ejecutará el contrato. </w:t>
      </w:r>
    </w:p>
    <w:p w:rsidR="004048F6" w:rsidRPr="00807508" w:rsidRDefault="004048F6" w:rsidP="004048F6">
      <w:pPr>
        <w:spacing w:after="0" w:line="276" w:lineRule="auto"/>
        <w:ind w:firstLine="709"/>
        <w:jc w:val="both"/>
        <w:rPr>
          <w:rFonts w:ascii="Arial" w:eastAsia="Calibri" w:hAnsi="Arial" w:cs="Arial"/>
          <w:color w:val="000000"/>
          <w:lang w:val="es-ES"/>
        </w:rPr>
      </w:pPr>
      <w:r w:rsidRPr="00807508">
        <w:rPr>
          <w:rFonts w:ascii="Arial" w:eastAsia="Times New Roman" w:hAnsi="Arial" w:cs="Arial"/>
          <w:color w:val="000000"/>
          <w:lang w:val="es-ES"/>
        </w:rPr>
        <w:t>En los ejemplos señalados, a modo enunciativo, las políticas se han materializado otorgando puntos adicionales o mediante la modalidad de contratación reservada o limitada –para el caso de las Mipymes–. No obstante, los incentivos contractuales o precontractuales no se agotan allí. En</w:t>
      </w:r>
      <w:r w:rsidRPr="00807508">
        <w:rPr>
          <w:rFonts w:ascii="Arial" w:eastAsia="Calibri" w:hAnsi="Arial" w:cs="Arial"/>
          <w:color w:val="000000"/>
          <w:lang w:val="es-ES"/>
        </w:rPr>
        <w:t xml:space="preserve"> adición a esos incentivos, el ordenamiento prevé uno adicional: los criterios de desempate. En este sentido, el artículo 2.2.1.1.2.2.9. del Decreto 1082 de 2015 dispone: </w:t>
      </w:r>
    </w:p>
    <w:p w:rsidR="004048F6" w:rsidRPr="004048F6" w:rsidRDefault="004048F6" w:rsidP="004048F6">
      <w:pPr>
        <w:spacing w:after="0" w:line="276" w:lineRule="auto"/>
        <w:ind w:firstLine="709"/>
        <w:jc w:val="both"/>
        <w:rPr>
          <w:rFonts w:ascii="Arial" w:eastAsia="Calibri" w:hAnsi="Arial" w:cs="Arial"/>
          <w:color w:val="000000"/>
          <w:sz w:val="24"/>
          <w:szCs w:val="24"/>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Si persiste el empate, la Entidad Estatal debe utilizar las siguientes reglas de forma sucesiva y excluyente para seleccionar el oferente favorecido, respetando los compromisos adquiridos por Acuerdos Comerciales:</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1.    Preferir la oferta de bienes o servicios nacionales frente a la oferta de bienes o servicios extranjeros.</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2.    Preferir las ofertas presentada por una Mipyme nacional.</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4.    Preferir la propuesta presentada por el oferente que acredite en las condiciones establecidas en la ley que por lo menos el diez por ciento (10%) de su nómina está en condición de discapacidad a la que se refiere la </w:t>
      </w:r>
      <w:r w:rsidRPr="004048F6">
        <w:rPr>
          <w:rFonts w:ascii="Arial" w:eastAsia="Calibri" w:hAnsi="Arial" w:cs="Arial"/>
          <w:sz w:val="21"/>
          <w:szCs w:val="21"/>
          <w:lang w:val="es-ES"/>
        </w:rPr>
        <w:t>Ley 361 de 1997</w:t>
      </w:r>
      <w:r w:rsidRPr="004048F6">
        <w:rPr>
          <w:rFonts w:ascii="Arial" w:eastAsia="Calibri" w:hAnsi="Arial" w:cs="Arial"/>
          <w:color w:val="000000"/>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5.    Utilizar un método aleatorio para seleccionar el oferente, método que deberá haber sido previsto en los pliegos de condiciones del Proceso de Contratación.</w:t>
      </w:r>
    </w:p>
    <w:p w:rsidR="004048F6" w:rsidRPr="004048F6" w:rsidRDefault="004048F6" w:rsidP="004048F6">
      <w:pPr>
        <w:spacing w:after="0" w:line="276" w:lineRule="auto"/>
        <w:ind w:firstLine="709"/>
        <w:jc w:val="both"/>
        <w:rPr>
          <w:rFonts w:ascii="Arial" w:eastAsia="Times New Roman" w:hAnsi="Arial" w:cs="Arial"/>
          <w:color w:val="000000"/>
          <w:sz w:val="24"/>
          <w:szCs w:val="24"/>
          <w:lang w:val="es-ES"/>
        </w:rPr>
      </w:pPr>
    </w:p>
    <w:p w:rsidR="004048F6" w:rsidRPr="00807508" w:rsidRDefault="004048F6" w:rsidP="004048F6">
      <w:pPr>
        <w:spacing w:after="0" w:line="276" w:lineRule="auto"/>
        <w:jc w:val="both"/>
        <w:rPr>
          <w:rFonts w:ascii="Arial" w:eastAsia="Times New Roman" w:hAnsi="Arial" w:cs="Arial"/>
          <w:b/>
          <w:color w:val="000000"/>
          <w:lang w:val="es-ES"/>
        </w:rPr>
      </w:pPr>
      <w:r w:rsidRPr="00807508">
        <w:rPr>
          <w:rFonts w:ascii="Arial" w:eastAsia="Times New Roman" w:hAnsi="Arial" w:cs="Arial"/>
          <w:b/>
          <w:color w:val="000000"/>
          <w:lang w:val="es-ES"/>
        </w:rPr>
        <w:t>2.2. Criterio de desempate creado por el artículo 3º de la Ley 2040 de 2020: incentivo contractual y política horizontal</w:t>
      </w:r>
    </w:p>
    <w:p w:rsidR="004048F6" w:rsidRPr="00807508" w:rsidRDefault="004048F6" w:rsidP="004048F6">
      <w:pPr>
        <w:spacing w:after="0" w:line="276" w:lineRule="auto"/>
        <w:jc w:val="both"/>
        <w:rPr>
          <w:rFonts w:ascii="Arial" w:eastAsia="Times New Roman" w:hAnsi="Arial" w:cs="Arial"/>
          <w:color w:val="000000"/>
          <w:lang w:val="es-ES"/>
        </w:rPr>
      </w:pPr>
    </w:p>
    <w:p w:rsidR="004048F6" w:rsidRPr="00807508" w:rsidRDefault="004048F6" w:rsidP="004048F6">
      <w:pPr>
        <w:spacing w:after="120" w:line="276" w:lineRule="auto"/>
        <w:jc w:val="both"/>
        <w:rPr>
          <w:rFonts w:ascii="Arial" w:eastAsia="Times New Roman" w:hAnsi="Arial" w:cs="Arial"/>
          <w:color w:val="000000"/>
          <w:lang w:val="es-ES"/>
        </w:rPr>
      </w:pPr>
      <w:r w:rsidRPr="00807508">
        <w:rPr>
          <w:rFonts w:ascii="Arial" w:eastAsia="Times New Roman" w:hAnsi="Arial" w:cs="Arial"/>
          <w:color w:val="000000"/>
          <w:lang w:val="es-ES"/>
        </w:rPr>
        <w:t xml:space="preserve">Con base en las explicaciones anteriores es posible entender, de manera más sencilla, el contenido de la Ley 2040 de 2020, «por medio de la cual se adoptan medidas para </w:t>
      </w:r>
      <w:r w:rsidRPr="00807508">
        <w:rPr>
          <w:rFonts w:ascii="Arial" w:eastAsia="Times New Roman" w:hAnsi="Arial" w:cs="Arial"/>
          <w:color w:val="000000"/>
          <w:lang w:val="es-ES"/>
        </w:rPr>
        <w:lastRenderedPageBreak/>
        <w:t xml:space="preserve">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4048F6" w:rsidRPr="00807508" w:rsidRDefault="004048F6" w:rsidP="004048F6">
      <w:pPr>
        <w:spacing w:after="120" w:line="276" w:lineRule="auto"/>
        <w:jc w:val="both"/>
        <w:rPr>
          <w:rFonts w:ascii="Arial" w:eastAsia="Times New Roman" w:hAnsi="Arial" w:cs="Arial"/>
          <w:color w:val="000000"/>
          <w:lang w:val="es-ES"/>
        </w:rPr>
      </w:pPr>
      <w:r w:rsidRPr="00807508">
        <w:rPr>
          <w:rFonts w:ascii="Arial" w:eastAsia="Times New Roman" w:hAnsi="Arial" w:cs="Arial"/>
          <w:color w:val="000000"/>
          <w:lang w:val="es-ES"/>
        </w:rPr>
        <w:tab/>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«Ruta para el emprendimiento del adulto mayor» para que los adultos mayores puedan poner en marcha su propia empresa –artículo 10–. Todos estos son mecanismos para cumplir su finalidad: incrementar la empleabilidad de los adultos mayores, lo que a la postre, se espera, se traducirá en mayor empleo para este sector vulnerable de la población. </w:t>
      </w:r>
    </w:p>
    <w:p w:rsidR="004048F6" w:rsidRPr="00807508" w:rsidRDefault="004048F6" w:rsidP="004048F6">
      <w:pPr>
        <w:spacing w:after="0" w:line="276" w:lineRule="auto"/>
        <w:jc w:val="both"/>
        <w:rPr>
          <w:rFonts w:ascii="Arial" w:eastAsia="Times New Roman" w:hAnsi="Arial" w:cs="Arial"/>
          <w:color w:val="000000"/>
          <w:lang w:val="es-ES"/>
        </w:rPr>
      </w:pPr>
      <w:r w:rsidRPr="00807508">
        <w:rPr>
          <w:rFonts w:ascii="Arial" w:eastAsia="Times New Roman" w:hAnsi="Arial" w:cs="Arial"/>
          <w:color w:val="000000"/>
          <w:lang w:val="es-ES"/>
        </w:rPr>
        <w:tab/>
        <w:t xml:space="preserve">La Ley 2040 de 2020, además de las estrategias referidas, contiene un mecanismo que forma parte del Estatuto General de Contratación de la Administración Pública. Se hace referencia al artículo 3 de dicha ley, que adiciona un parágrafo al artículo 12 de la Ley 1150 de 2007: </w:t>
      </w:r>
    </w:p>
    <w:p w:rsidR="004048F6" w:rsidRPr="004048F6" w:rsidRDefault="004048F6" w:rsidP="004048F6">
      <w:pPr>
        <w:tabs>
          <w:tab w:val="left" w:pos="709"/>
        </w:tabs>
        <w:spacing w:after="0" w:line="276" w:lineRule="auto"/>
        <w:jc w:val="both"/>
        <w:rPr>
          <w:rFonts w:ascii="Arial" w:eastAsia="Times New Roman" w:hAnsi="Arial" w:cs="Arial"/>
          <w:color w:val="000000"/>
          <w:sz w:val="24"/>
          <w:szCs w:val="24"/>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 </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 </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p>
    <w:p w:rsidR="004048F6" w:rsidRPr="004048F6" w:rsidRDefault="004048F6" w:rsidP="004048F6">
      <w:pPr>
        <w:tabs>
          <w:tab w:val="left" w:pos="709"/>
        </w:tabs>
        <w:spacing w:after="0" w:line="240" w:lineRule="auto"/>
        <w:ind w:left="709" w:right="758"/>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rsidR="004048F6" w:rsidRPr="004048F6" w:rsidRDefault="004048F6" w:rsidP="004048F6">
      <w:pPr>
        <w:tabs>
          <w:tab w:val="left" w:pos="426"/>
        </w:tabs>
        <w:spacing w:after="0" w:line="276" w:lineRule="auto"/>
        <w:jc w:val="both"/>
        <w:rPr>
          <w:rFonts w:ascii="Arial" w:eastAsia="Calibri" w:hAnsi="Arial" w:cs="Arial"/>
          <w:color w:val="000000"/>
          <w:sz w:val="24"/>
          <w:szCs w:val="24"/>
          <w:lang w:val="es-ES"/>
        </w:rPr>
      </w:pP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lastRenderedPageBreak/>
        <w:t xml:space="preserve">La política horizontal perseguida es maximizar el número de personas vinculadas laboralmente a empresas contratistas del Estado que hayan cumplido con el requisito de edad y no cuenten con una pensión de vejez, familiar o de sobrevivencia.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De otra parte, el incentivo, en el esquema de la contratación estatal, es la creación de un criterio de desempate para favorecer a la empresa que tenga un porcentaje mayor –no un número mayor– de adultos mayores contratados que no cuenten con una pensión de vejez, familiar o de sobrevivencia. La norma procura que los potenciales contratistas del Estado incrementen el porcentaje de adultos mayores vinculados a su planta de personal, con el fin de ser beneficiarios de este criterio de desempate en un eventual procedimiento de selección. Es importante reseñar que solamente se podrá tener en cuenta al personal con vinculación mayor o igual a un año, o que esté vinculado desde la constitución del proponente, para aquellos cuya constitución es inferior al año.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Adicionalmente, el inciso 3 de la misma disposición establece que el contratista que haya obtenido un contrato estatal, sirviéndose de este criterio de desempate, debe mantener el mismo porcentaje de personal vinculado en esta condición, en su planta de personal, durante el plazo de ejecución del contrato. Es decir, el criterio de desempate se convierte en una obligación contractual por mandato de la ley –otra forma de materializar políticas horizontales– en caso de que la adjudicación del contrato se hubiera obtenido con base en este criterio. El mismo inciso establece una sanción para quienes incumplan la obligación durante la etapa de ejecución: no podrán hacer uso de este beneficio durante el término de 5 años.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En relación con la acreditación del criterio de desempate, el inciso 4 establece que se debe demostrar el porcentaje de adultos mayores contratados con una certificación, expedida bajo la gravedad de juramento, del total de trabajadores que cumplan con lo señalado en la norma y que se encuentren vinculados a la planta de personal del oferente a la fecha de cierre del proceso de selección. Esta certificación debe ser expedida, según el caso, por la persona natural, el representante legal de la persona jurídica o su revisor fiscal.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Es posible afirmar que, desde el punto de vista del mecanismo, el legislador optó por concretar la política horizontal a través de un criterio de desempate. Ello plantea, como se indica en la consulta,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Mipymes y los oferentes que hayan vinculado personas en condición de discapacidad, en cierto porcentaje, en su planta de personal.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La dificultad práctica, frente a la nueva ley, radica en que, exclusivamente con base en el ordenamiento vigente, no es posible determinar con certeza cómo debe articularse </w:t>
      </w:r>
      <w:r w:rsidRPr="00807508">
        <w:rPr>
          <w:rFonts w:ascii="Arial" w:eastAsia="Calibri" w:hAnsi="Arial" w:cs="Arial"/>
          <w:color w:val="000000"/>
          <w:lang w:val="es-ES"/>
        </w:rPr>
        <w:lastRenderedPageBreak/>
        <w:t xml:space="preserve">el criterio de desempate de la Ley 2040 de 2020 con los que preexisten en el ordenamiento.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En este asunto debe tenerse en cuenta que las normas jurídicas, por regla general, producen efectos a partir de su promulgación o publicación. De allí se derivan principios tales como la irretroactividad de la ley y su efecto general inmediato</w:t>
      </w:r>
      <w:r w:rsidRPr="00807508">
        <w:rPr>
          <w:rFonts w:ascii="Arial" w:eastAsia="Calibri" w:hAnsi="Arial" w:cs="Arial"/>
          <w:color w:val="000000"/>
          <w:vertAlign w:val="superscript"/>
          <w:lang w:val="es-ES"/>
        </w:rPr>
        <w:footnoteReference w:id="9"/>
      </w:r>
      <w:r w:rsidRPr="00807508">
        <w:rPr>
          <w:rFonts w:ascii="Arial" w:eastAsia="Calibri" w:hAnsi="Arial" w:cs="Arial"/>
          <w:color w:val="000000"/>
          <w:lang w:val="es-ES"/>
        </w:rPr>
        <w:t>. La Ley 2040 de 2020, en principio, no parece ser la excepción, pues el artículo 12 dispone: «</w:t>
      </w:r>
      <w:r w:rsidRPr="00807508">
        <w:rPr>
          <w:rFonts w:ascii="Arial" w:eastAsia="Calibri" w:hAnsi="Arial" w:cs="Arial"/>
          <w:color w:val="000000"/>
          <w:lang/>
        </w:rPr>
        <w:t>La presente ley rige a partir del momento de su promulgación y deroga las disposiciones que le sean contrarias</w:t>
      </w:r>
      <w:r w:rsidRPr="00807508">
        <w:rPr>
          <w:rFonts w:ascii="Arial" w:eastAsia="Calibri" w:hAnsi="Arial" w:cs="Arial"/>
          <w:color w:val="000000"/>
          <w:lang w:val="es-ES"/>
        </w:rPr>
        <w:t>».</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Sin embargo, las leyes pueden modular sus efectos en el tiempo y establecer para el inicio de su entrada en vigor un plazo o una condición. Ejemplo de una ley que establece un plazo es la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rsidR="004048F6" w:rsidRPr="00807508" w:rsidRDefault="004048F6" w:rsidP="004048F6">
      <w:pPr>
        <w:shd w:val="clear" w:color="auto" w:fill="FFFFFF"/>
        <w:spacing w:after="150" w:line="276" w:lineRule="auto"/>
        <w:ind w:right="49" w:firstLine="708"/>
        <w:jc w:val="both"/>
        <w:rPr>
          <w:rFonts w:ascii="Arial" w:eastAsia="Calibri" w:hAnsi="Arial" w:cs="Arial"/>
          <w:color w:val="000000"/>
          <w:lang w:val="es-ES"/>
        </w:rPr>
      </w:pPr>
      <w:r w:rsidRPr="00807508">
        <w:rPr>
          <w:rFonts w:ascii="Arial" w:eastAsia="Calibri" w:hAnsi="Arial" w:cs="Arial"/>
          <w:color w:val="000000"/>
          <w:lang w:val="es-ES"/>
        </w:rPr>
        <w:t>En este caso, debe estudiarse si la Ley 2040 de 2020 tiene una condición para empezar a regir, concretamente su criterio de desempate. Hay dos argumentos que dan cuenta de tal condición: el primero puede encontrarse en los antecedentes legislativos. En ellos</w:t>
      </w:r>
      <w:r w:rsidRPr="00807508">
        <w:rPr>
          <w:rFonts w:ascii="Arial" w:eastAsia="Calibri" w:hAnsi="Arial" w:cs="Arial"/>
          <w:color w:val="000000"/>
          <w:vertAlign w:val="superscript"/>
          <w:lang w:val="es-ES"/>
        </w:rPr>
        <w:footnoteReference w:id="10"/>
      </w:r>
      <w:r w:rsidRPr="00807508">
        <w:rPr>
          <w:rFonts w:ascii="Arial" w:eastAsia="Calibri" w:hAnsi="Arial" w:cs="Arial"/>
          <w:color w:val="000000"/>
          <w:lang w:val="es-ES"/>
        </w:rPr>
        <w:t xml:space="preserve"> se explica que el proyecto de Ley tenía como objeto incentivar la contratación </w:t>
      </w:r>
      <w:r w:rsidRPr="00807508">
        <w:rPr>
          <w:rFonts w:ascii="Arial" w:eastAsia="Calibri" w:hAnsi="Arial" w:cs="Arial"/>
          <w:color w:val="000000"/>
          <w:lang w:val="es-ES"/>
        </w:rPr>
        <w:lastRenderedPageBreak/>
        <w:t>de adultos mayores a través de varias medidas, y se destaca la «[r]</w:t>
      </w:r>
      <w:proofErr w:type="spellStart"/>
      <w:r w:rsidRPr="00807508">
        <w:rPr>
          <w:rFonts w:ascii="Arial" w:eastAsia="Calibri" w:hAnsi="Arial" w:cs="Arial"/>
          <w:color w:val="000000"/>
          <w:lang w:val="es-ES"/>
        </w:rPr>
        <w:t>eglamentación</w:t>
      </w:r>
      <w:proofErr w:type="spellEnd"/>
      <w:r w:rsidRPr="00807508">
        <w:rPr>
          <w:rFonts w:ascii="Arial" w:eastAsia="Calibri" w:hAnsi="Arial" w:cs="Arial"/>
          <w:color w:val="000000"/>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 procedimientos de verificación de los requisitos por parte de los empleadores»</w:t>
      </w:r>
      <w:r w:rsidRPr="00807508">
        <w:rPr>
          <w:rFonts w:ascii="Arial" w:eastAsia="Calibri" w:hAnsi="Arial" w:cs="Arial"/>
          <w:color w:val="000000"/>
          <w:vertAlign w:val="superscript"/>
          <w:lang w:val="es-ES"/>
        </w:rPr>
        <w:footnoteReference w:id="11"/>
      </w:r>
      <w:r w:rsidRPr="00807508">
        <w:rPr>
          <w:rFonts w:ascii="Arial" w:eastAsia="Calibri" w:hAnsi="Arial" w:cs="Arial"/>
          <w:color w:val="000000"/>
          <w:lang w:val="es-ES"/>
        </w:rPr>
        <w:t>.</w:t>
      </w:r>
      <w:r w:rsidRPr="00807508">
        <w:rPr>
          <w:rFonts w:ascii="Verdana" w:eastAsia="Calibri" w:hAnsi="Verdana" w:cs="Arial"/>
          <w:color w:val="000000"/>
          <w:lang w:val="es-ES"/>
        </w:rPr>
        <w:t xml:space="preserve"> </w:t>
      </w:r>
      <w:r w:rsidRPr="00807508">
        <w:rPr>
          <w:rFonts w:ascii="Arial" w:eastAsia="Calibri" w:hAnsi="Arial" w:cs="Arial"/>
          <w:color w:val="000000"/>
          <w:lang w:val="es-ES"/>
        </w:rPr>
        <w:t xml:space="preserve">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El legislador consideró necesaria la reglamentación para determinar los derechos y obligaciones especiales de los empleadores que se acojan a la Ley. El derecho a ser adjudicatario en caso de empate es uno de esos derechos especiales, luego, no hay duda de la intención del legislador, atendiendo a los antecedentes de la Ley, para que el criterio de desempate estuviera sometido en su vigencia a la condición de la expedición de la reglamentación. </w:t>
      </w:r>
    </w:p>
    <w:p w:rsidR="004048F6" w:rsidRPr="00807508" w:rsidRDefault="004048F6" w:rsidP="004048F6">
      <w:pPr>
        <w:shd w:val="clear" w:color="auto" w:fill="FFFFFF"/>
        <w:spacing w:after="150" w:line="276" w:lineRule="auto"/>
        <w:ind w:right="49" w:firstLine="708"/>
        <w:jc w:val="both"/>
        <w:rPr>
          <w:rFonts w:ascii="Arial" w:eastAsia="Calibri" w:hAnsi="Arial" w:cs="Arial"/>
          <w:color w:val="000000"/>
          <w:lang w:val="es-ES"/>
        </w:rPr>
      </w:pPr>
      <w:r w:rsidRPr="00807508">
        <w:rPr>
          <w:rFonts w:ascii="Arial" w:eastAsia="Calibri" w:hAnsi="Arial" w:cs="Arial"/>
          <w:color w:val="000000"/>
          <w:lang w:val="es-ES"/>
        </w:rPr>
        <w:t>El segundo argumento procede de la misma Ley. El artículo 4 de la Ley 2040 de 2020</w:t>
      </w:r>
      <w:r w:rsidRPr="00807508">
        <w:rPr>
          <w:rFonts w:ascii="Arial" w:eastAsia="Calibri" w:hAnsi="Arial" w:cs="Arial"/>
          <w:color w:val="000000"/>
          <w:vertAlign w:val="superscript"/>
          <w:lang w:val="es-ES"/>
        </w:rPr>
        <w:footnoteReference w:id="12"/>
      </w:r>
      <w:r w:rsidRPr="00807508">
        <w:rPr>
          <w:rFonts w:ascii="Arial" w:eastAsia="Calibri" w:hAnsi="Arial" w:cs="Arial"/>
          <w:color w:val="000000"/>
          <w:lang w:val="es-ES"/>
        </w:rPr>
        <w:t xml:space="preserve"> establece que el Gobierno Nacional, en consulta con el Consejo Nacional del Adulto Mayor, debe reglamentar esta ley, entre otros aspectos, en relación con las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El criterio de desempate creado es una «estrategias para la promoción del empleo de personas mayores», y requiere reglamentación previa para establecer qué tipo de </w:t>
      </w:r>
      <w:r w:rsidRPr="00807508">
        <w:rPr>
          <w:rFonts w:ascii="Arial" w:eastAsia="Calibri" w:hAnsi="Arial" w:cs="Arial"/>
          <w:color w:val="000000"/>
          <w:lang w:val="es-ES"/>
        </w:rPr>
        <w:lastRenderedPageBreak/>
        <w:t>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rsidR="004048F6" w:rsidRPr="00807508" w:rsidRDefault="004048F6" w:rsidP="004048F6">
      <w:pPr>
        <w:spacing w:after="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Sobre este asunto, es preciso llamar la atención sobre la jurisprudencia. Sobre ello, el Consejo de Estado ha dicho: </w:t>
      </w:r>
    </w:p>
    <w:p w:rsidR="004048F6" w:rsidRPr="004048F6" w:rsidRDefault="004048F6" w:rsidP="004048F6">
      <w:pPr>
        <w:shd w:val="clear" w:color="auto" w:fill="FFFFFF"/>
        <w:spacing w:after="0" w:line="240" w:lineRule="auto"/>
        <w:ind w:left="709" w:right="760"/>
        <w:jc w:val="both"/>
        <w:rPr>
          <w:rFonts w:ascii="Arial" w:eastAsia="Calibri" w:hAnsi="Arial" w:cs="Arial"/>
          <w:color w:val="000000"/>
          <w:sz w:val="21"/>
          <w:szCs w:val="21"/>
          <w:lang w:val="es-ES"/>
        </w:rPr>
      </w:pPr>
    </w:p>
    <w:p w:rsidR="004048F6" w:rsidRPr="004048F6" w:rsidRDefault="004048F6" w:rsidP="004048F6">
      <w:pPr>
        <w:shd w:val="clear" w:color="auto" w:fill="FFFFFF"/>
        <w:spacing w:after="0" w:line="240" w:lineRule="auto"/>
        <w:ind w:left="709" w:right="760"/>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4048F6">
        <w:rPr>
          <w:rFonts w:ascii="Arial" w:eastAsia="Calibri" w:hAnsi="Arial" w:cs="Arial"/>
          <w:color w:val="000000"/>
          <w:sz w:val="21"/>
          <w:szCs w:val="21"/>
          <w:vertAlign w:val="superscript"/>
          <w:lang w:val="es-ES"/>
        </w:rPr>
        <w:footnoteReference w:id="13"/>
      </w:r>
      <w:r w:rsidRPr="004048F6">
        <w:rPr>
          <w:rFonts w:ascii="Arial" w:eastAsia="Calibri" w:hAnsi="Arial" w:cs="Arial"/>
          <w:color w:val="000000"/>
          <w:sz w:val="21"/>
          <w:szCs w:val="21"/>
          <w:lang w:val="es-ES"/>
        </w:rPr>
        <w:t>.</w:t>
      </w:r>
    </w:p>
    <w:p w:rsidR="004048F6" w:rsidRPr="004048F6" w:rsidRDefault="004048F6" w:rsidP="004048F6">
      <w:pPr>
        <w:shd w:val="clear" w:color="auto" w:fill="FFFFFF"/>
        <w:spacing w:after="0" w:line="240" w:lineRule="auto"/>
        <w:ind w:left="709" w:right="760"/>
        <w:jc w:val="both"/>
        <w:rPr>
          <w:rFonts w:ascii="Arial" w:eastAsia="Calibri" w:hAnsi="Arial" w:cs="Arial"/>
          <w:color w:val="000000"/>
          <w:sz w:val="21"/>
          <w:szCs w:val="21"/>
          <w:lang w:val="es-ES"/>
        </w:rPr>
      </w:pPr>
    </w:p>
    <w:p w:rsidR="004048F6" w:rsidRPr="00807508" w:rsidRDefault="004048F6" w:rsidP="004048F6">
      <w:pPr>
        <w:shd w:val="clear" w:color="auto" w:fill="FFFFFF"/>
        <w:spacing w:after="120" w:line="276" w:lineRule="auto"/>
        <w:ind w:right="51" w:firstLine="709"/>
        <w:jc w:val="both"/>
        <w:rPr>
          <w:rFonts w:ascii="Arial" w:eastAsia="Calibri" w:hAnsi="Arial" w:cs="Arial"/>
          <w:color w:val="000000"/>
          <w:lang w:val="es-ES"/>
        </w:rPr>
      </w:pPr>
      <w:r w:rsidRPr="00807508">
        <w:rPr>
          <w:rFonts w:ascii="Arial" w:eastAsia="Calibri" w:hAnsi="Arial" w:cs="Arial"/>
          <w:color w:val="000000"/>
          <w:lang w:val="es-ES"/>
        </w:rPr>
        <w:t xml:space="preserve">La referencia hecha en una Ley a que el Gobierno Nacional reglamentará la materia es un reconocimiento de que el reglamento puede ser indispensable para el cumplimiento de esta. Claro está que tal reconocimiento, por parte del legislador, no siempre implica que la ley se encuentre sometida a condición para entrar a regir; pero cuando ello se analiza con otros elementos que obran en este sentido, como los antecedentes legislativos, sí es posible utilizar la referencia al reglamento como una prueba de que la Ley moduló sus efectos en el tiempo y se encuentra sometida a condición. </w:t>
      </w:r>
    </w:p>
    <w:p w:rsidR="004048F6" w:rsidRPr="00807508" w:rsidRDefault="004048F6" w:rsidP="004048F6">
      <w:pPr>
        <w:spacing w:after="120" w:line="276" w:lineRule="auto"/>
        <w:ind w:firstLine="709"/>
        <w:jc w:val="both"/>
        <w:rPr>
          <w:rFonts w:ascii="Arial" w:eastAsia="Calibri" w:hAnsi="Arial" w:cs="Arial"/>
          <w:color w:val="000000"/>
          <w:lang w:val="es-ES"/>
        </w:rPr>
      </w:pPr>
      <w:r w:rsidRPr="00807508">
        <w:rPr>
          <w:rFonts w:ascii="Arial" w:eastAsia="Calibri" w:hAnsi="Arial" w:cs="Arial"/>
          <w:color w:val="000000"/>
          <w:lang w:val="es-ES"/>
        </w:rPr>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rsidR="004048F6" w:rsidRPr="004048F6" w:rsidRDefault="004048F6" w:rsidP="004048F6">
      <w:pPr>
        <w:spacing w:after="0" w:line="276" w:lineRule="auto"/>
        <w:ind w:firstLine="709"/>
        <w:jc w:val="both"/>
        <w:rPr>
          <w:rFonts w:ascii="Arial" w:eastAsia="Calibri" w:hAnsi="Arial" w:cs="Arial"/>
          <w:color w:val="000000"/>
          <w:sz w:val="24"/>
          <w:szCs w:val="24"/>
          <w:lang w:val="es-ES"/>
        </w:rPr>
      </w:pPr>
    </w:p>
    <w:p w:rsidR="004048F6" w:rsidRPr="004048F6" w:rsidRDefault="004048F6" w:rsidP="004048F6">
      <w:pPr>
        <w:numPr>
          <w:ilvl w:val="0"/>
          <w:numId w:val="1"/>
        </w:numPr>
        <w:tabs>
          <w:tab w:val="left" w:pos="284"/>
        </w:tabs>
        <w:spacing w:after="0" w:line="276" w:lineRule="auto"/>
        <w:ind w:left="0" w:firstLine="0"/>
        <w:contextualSpacing/>
        <w:rPr>
          <w:rFonts w:ascii="Arial" w:eastAsia="Calibri" w:hAnsi="Arial" w:cs="Arial"/>
          <w:b/>
          <w:bCs/>
          <w:color w:val="000000"/>
          <w:sz w:val="24"/>
          <w:szCs w:val="24"/>
          <w:lang w:val="es-ES"/>
        </w:rPr>
      </w:pPr>
      <w:r w:rsidRPr="004048F6">
        <w:rPr>
          <w:rFonts w:ascii="Arial" w:eastAsia="Calibri" w:hAnsi="Arial" w:cs="Arial"/>
          <w:b/>
          <w:bCs/>
          <w:color w:val="000000"/>
          <w:sz w:val="24"/>
          <w:szCs w:val="24"/>
          <w:lang w:val="es-ES"/>
        </w:rPr>
        <w:t xml:space="preserve">Respuesta </w:t>
      </w:r>
    </w:p>
    <w:p w:rsidR="004048F6" w:rsidRPr="004048F6" w:rsidRDefault="004048F6" w:rsidP="004048F6">
      <w:pPr>
        <w:spacing w:after="0" w:line="240" w:lineRule="auto"/>
        <w:ind w:left="709" w:right="709"/>
        <w:jc w:val="both"/>
        <w:rPr>
          <w:rFonts w:ascii="Arial" w:eastAsia="Calibri" w:hAnsi="Arial" w:cs="Arial"/>
          <w:color w:val="000000"/>
          <w:sz w:val="21"/>
          <w:szCs w:val="21"/>
          <w:lang w:val="es-ES"/>
        </w:rPr>
      </w:pPr>
    </w:p>
    <w:p w:rsidR="004048F6" w:rsidRPr="004048F6" w:rsidRDefault="004048F6" w:rsidP="004048F6">
      <w:pPr>
        <w:spacing w:after="0" w:line="240" w:lineRule="auto"/>
        <w:ind w:left="709" w:right="709"/>
        <w:jc w:val="both"/>
        <w:rPr>
          <w:rFonts w:ascii="Arial" w:eastAsia="Calibri" w:hAnsi="Arial" w:cs="Arial"/>
          <w:color w:val="000000"/>
          <w:sz w:val="21"/>
          <w:szCs w:val="21"/>
          <w:lang w:val="es-ES"/>
        </w:rPr>
      </w:pPr>
      <w:r w:rsidRPr="004048F6">
        <w:rPr>
          <w:rFonts w:ascii="Arial" w:eastAsia="Calibri" w:hAnsi="Arial" w:cs="Arial"/>
          <w:color w:val="000000"/>
          <w:sz w:val="21"/>
          <w:szCs w:val="21"/>
          <w:lang w:val="es-ES"/>
        </w:rPr>
        <w:t xml:space="preserve">«i) ¿cómo se articula el criterio de desempate señalado en el artículo 3 de la Ley 2040 de 2020 con los criterios señalados en el artículo 2.2.1.1.2.2.9. del Decreto 1082 de 2015?, ii) ¿tiene preferencia el uso del criterio de desempate señalado en el artículo 3 de la Ley 2040 de 2020 frente a los criterios señalados en el artículo 2.2.1.1.2.2.9. del Decreto 1082 de 2015? Teniendo en cuenta la </w:t>
      </w:r>
      <w:r w:rsidRPr="004048F6">
        <w:rPr>
          <w:rFonts w:ascii="Arial" w:eastAsia="Calibri" w:hAnsi="Arial" w:cs="Arial"/>
          <w:color w:val="000000"/>
          <w:sz w:val="21"/>
          <w:szCs w:val="21"/>
          <w:lang w:val="es-ES"/>
        </w:rPr>
        <w:lastRenderedPageBreak/>
        <w:t>redacción de la Ley 2040 que establece “se preferirá a aquel que demuestre la vinculación del mayor porcentaje de personas mayores”. iii) De no contar con dicha preferencia, ¿en qué orden debe ser usado teniendo en cuenta los criterios establecidos por el Decreto 1082 de 2015?, iv) ¿La aplicación del criterio de desempate señalado en el artículo 3 de la Ley 2040 de 2020 se encuentra sujeta a la reglamentación señalada en el artículo 4 de la Ley 2040 de 2020?»</w:t>
      </w:r>
    </w:p>
    <w:p w:rsidR="004048F6" w:rsidRPr="004048F6" w:rsidRDefault="004048F6" w:rsidP="004048F6">
      <w:pPr>
        <w:spacing w:after="120" w:line="276" w:lineRule="auto"/>
        <w:jc w:val="both"/>
        <w:rPr>
          <w:rFonts w:ascii="Arial" w:eastAsia="Calibri" w:hAnsi="Arial" w:cs="Arial"/>
          <w:color w:val="000000"/>
          <w:sz w:val="24"/>
          <w:szCs w:val="24"/>
          <w:lang w:val="es-ES"/>
        </w:rPr>
      </w:pPr>
    </w:p>
    <w:p w:rsidR="004048F6" w:rsidRPr="00807508" w:rsidRDefault="004048F6" w:rsidP="004048F6">
      <w:pPr>
        <w:spacing w:after="0" w:line="276" w:lineRule="auto"/>
        <w:jc w:val="both"/>
        <w:rPr>
          <w:rFonts w:ascii="Arial" w:eastAsia="Calibri" w:hAnsi="Arial" w:cs="Arial"/>
          <w:color w:val="000000"/>
          <w:lang w:val="es-ES"/>
        </w:rPr>
      </w:pPr>
      <w:r w:rsidRPr="00807508">
        <w:rPr>
          <w:rFonts w:ascii="Arial" w:eastAsia="Calibri" w:hAnsi="Arial" w:cs="Arial"/>
          <w:color w:val="000000"/>
          <w:lang w:val="es-ES"/>
        </w:rPr>
        <w:t>El artículo 4 de la Ley 2040 de 2020 expresa la necesidad de contar con un reglamento para cumplir sus disposiciones, sometiendo su vigencia a condición, concretamente para el criterio de desempate de que trata el artículo 3, como se infiere de su contenido y de los antecedentes legislativos.</w:t>
      </w:r>
    </w:p>
    <w:p w:rsidR="004048F6" w:rsidRPr="00807508" w:rsidRDefault="004048F6" w:rsidP="004048F6">
      <w:pPr>
        <w:spacing w:before="120" w:after="0" w:line="276" w:lineRule="auto"/>
        <w:jc w:val="both"/>
        <w:rPr>
          <w:rFonts w:ascii="Arial" w:eastAsia="Calibri" w:hAnsi="Arial" w:cs="Arial"/>
          <w:color w:val="000000"/>
          <w:lang w:val="es-ES"/>
        </w:rPr>
      </w:pPr>
      <w:r w:rsidRPr="00807508">
        <w:rPr>
          <w:rFonts w:ascii="Arial" w:eastAsia="Calibri" w:hAnsi="Arial" w:cs="Arial"/>
          <w:color w:val="000000"/>
          <w:lang w:val="es-ES"/>
        </w:rPr>
        <w:t>Este concepto tiene el alcance previsto en el artículo 28 del Código de Procedimiento Administrativo y de lo Contencioso Administrativo.</w:t>
      </w:r>
    </w:p>
    <w:p w:rsidR="004048F6" w:rsidRPr="004048F6" w:rsidRDefault="004048F6" w:rsidP="004048F6">
      <w:pPr>
        <w:spacing w:after="0" w:line="240" w:lineRule="auto"/>
        <w:ind w:firstLine="709"/>
        <w:jc w:val="both"/>
        <w:rPr>
          <w:rFonts w:ascii="Arial" w:eastAsia="Calibri" w:hAnsi="Arial" w:cs="Arial"/>
          <w:color w:val="000000"/>
          <w:sz w:val="24"/>
          <w:szCs w:val="24"/>
          <w:lang w:val="es-ES"/>
        </w:rPr>
      </w:pPr>
    </w:p>
    <w:p w:rsidR="004048F6" w:rsidRPr="004048F6" w:rsidRDefault="004048F6" w:rsidP="004048F6">
      <w:pPr>
        <w:spacing w:after="0" w:line="240" w:lineRule="auto"/>
        <w:jc w:val="both"/>
        <w:rPr>
          <w:rFonts w:ascii="Arial" w:eastAsia="Times New Roman" w:hAnsi="Arial" w:cs="Arial"/>
          <w:color w:val="000000"/>
          <w:sz w:val="24"/>
          <w:szCs w:val="24"/>
          <w:lang w:val="es-ES" w:eastAsia="es-CO"/>
        </w:rPr>
      </w:pPr>
      <w:r w:rsidRPr="004048F6">
        <w:rPr>
          <w:rFonts w:ascii="Arial" w:eastAsia="Times New Roman" w:hAnsi="Arial" w:cs="Arial"/>
          <w:color w:val="000000"/>
          <w:sz w:val="24"/>
          <w:szCs w:val="24"/>
          <w:lang w:val="es-ES" w:eastAsia="es-CO"/>
        </w:rPr>
        <w:t>Atentamente,</w:t>
      </w:r>
    </w:p>
    <w:bookmarkEnd w:id="0"/>
    <w:bookmarkEnd w:id="1"/>
    <w:p w:rsidR="004048F6" w:rsidRPr="004048F6" w:rsidRDefault="0063302E" w:rsidP="004048F6">
      <w:pPr>
        <w:spacing w:after="0" w:line="240" w:lineRule="auto"/>
        <w:jc w:val="center"/>
        <w:rPr>
          <w:rFonts w:ascii="Times New Roman" w:eastAsia="Times New Roman" w:hAnsi="Times New Roman" w:cs="Times New Roman"/>
          <w:sz w:val="24"/>
          <w:szCs w:val="24"/>
          <w:lang w:val="es-ES"/>
        </w:rPr>
      </w:pPr>
      <w:r>
        <w:rPr>
          <w:noProof/>
          <w:lang w:eastAsia="es-CO"/>
        </w:rPr>
        <w:drawing>
          <wp:inline distT="0" distB="0" distL="0" distR="0" wp14:anchorId="4D1BA30B" wp14:editId="384AC705">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rsidR="004048F6" w:rsidRPr="004048F6" w:rsidRDefault="004048F6" w:rsidP="004048F6">
      <w:pPr>
        <w:spacing w:after="0" w:line="240" w:lineRule="auto"/>
        <w:jc w:val="center"/>
        <w:rPr>
          <w:rFonts w:ascii="Times New Roman" w:eastAsia="Times New Roman"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048F6" w:rsidRPr="004048F6" w:rsidTr="004048F6">
        <w:trPr>
          <w:trHeight w:val="315"/>
        </w:trPr>
        <w:tc>
          <w:tcPr>
            <w:tcW w:w="812" w:type="dxa"/>
            <w:vAlign w:val="center"/>
            <w:hideMark/>
          </w:tcPr>
          <w:p w:rsidR="004048F6" w:rsidRPr="004048F6" w:rsidRDefault="004048F6" w:rsidP="004048F6">
            <w:pPr>
              <w:rPr>
                <w:rFonts w:ascii="Arial" w:eastAsia="Times New Roman" w:hAnsi="Arial" w:cs="Arial"/>
                <w:color w:val="000000"/>
                <w:sz w:val="16"/>
                <w:szCs w:val="16"/>
                <w:lang w:val="es-ES" w:eastAsia="es-ES"/>
              </w:rPr>
            </w:pPr>
            <w:r w:rsidRPr="004048F6">
              <w:rPr>
                <w:rFonts w:ascii="Arial" w:eastAsia="Times New Roman" w:hAnsi="Arial" w:cs="Arial"/>
                <w:color w:val="000000"/>
                <w:sz w:val="16"/>
                <w:szCs w:val="16"/>
                <w:lang w:val="es-ES" w:eastAsia="es-ES"/>
              </w:rPr>
              <w:t>Elaboró:</w:t>
            </w:r>
          </w:p>
        </w:tc>
        <w:tc>
          <w:tcPr>
            <w:tcW w:w="4413" w:type="dxa"/>
            <w:tcBorders>
              <w:top w:val="nil"/>
              <w:left w:val="nil"/>
              <w:bottom w:val="dotted" w:sz="4" w:space="0" w:color="7F7F7F"/>
              <w:right w:val="nil"/>
            </w:tcBorders>
            <w:vAlign w:val="center"/>
            <w:hideMark/>
          </w:tcPr>
          <w:p w:rsidR="004048F6" w:rsidRPr="004048F6" w:rsidRDefault="004048F6" w:rsidP="004048F6">
            <w:pPr>
              <w:rPr>
                <w:rFonts w:ascii="Arial" w:eastAsia="Times New Roman" w:hAnsi="Arial" w:cs="Arial"/>
                <w:color w:val="000000"/>
                <w:sz w:val="16"/>
                <w:szCs w:val="16"/>
                <w:lang w:val="es-ES" w:eastAsia="es-ES"/>
              </w:rPr>
            </w:pPr>
            <w:r w:rsidRPr="004048F6">
              <w:rPr>
                <w:rFonts w:ascii="Arial" w:eastAsia="Times New Roman" w:hAnsi="Arial" w:cs="Arial"/>
                <w:color w:val="000000"/>
                <w:sz w:val="16"/>
                <w:szCs w:val="16"/>
                <w:lang w:val="es-ES" w:eastAsia="es-ES"/>
              </w:rPr>
              <w:t xml:space="preserve">Sebastián Barreto Cifuentes </w:t>
            </w:r>
          </w:p>
          <w:p w:rsidR="004048F6" w:rsidRPr="004048F6" w:rsidRDefault="004048F6" w:rsidP="004048F6">
            <w:pPr>
              <w:rPr>
                <w:rFonts w:ascii="Arial" w:eastAsia="Times New Roman" w:hAnsi="Arial" w:cs="Arial"/>
                <w:color w:val="000000"/>
                <w:sz w:val="16"/>
                <w:szCs w:val="16"/>
                <w:lang w:val="es-ES" w:eastAsia="es-ES"/>
              </w:rPr>
            </w:pPr>
            <w:r w:rsidRPr="004048F6">
              <w:rPr>
                <w:rFonts w:ascii="Arial" w:eastAsia="Times New Roman" w:hAnsi="Arial" w:cs="Arial"/>
                <w:color w:val="000000"/>
                <w:sz w:val="16"/>
                <w:szCs w:val="16"/>
                <w:lang w:val="es-ES" w:eastAsia="es-ES"/>
              </w:rPr>
              <w:t>Contratista Dirección y Subdirección de Gestión Contractual</w:t>
            </w:r>
          </w:p>
        </w:tc>
      </w:tr>
      <w:tr w:rsidR="004048F6" w:rsidRPr="004048F6" w:rsidTr="004048F6">
        <w:trPr>
          <w:trHeight w:val="330"/>
        </w:trPr>
        <w:tc>
          <w:tcPr>
            <w:tcW w:w="812" w:type="dxa"/>
            <w:vAlign w:val="center"/>
            <w:hideMark/>
          </w:tcPr>
          <w:p w:rsidR="004048F6" w:rsidRPr="004048F6" w:rsidRDefault="004048F6" w:rsidP="004048F6">
            <w:pPr>
              <w:rPr>
                <w:rFonts w:ascii="Arial" w:eastAsia="Times New Roman" w:hAnsi="Arial" w:cs="Arial"/>
                <w:color w:val="000000"/>
                <w:sz w:val="16"/>
                <w:szCs w:val="16"/>
                <w:lang w:val="es-ES" w:eastAsia="es-ES"/>
              </w:rPr>
            </w:pPr>
            <w:r w:rsidRPr="004048F6">
              <w:rPr>
                <w:rFonts w:ascii="Arial" w:eastAsia="Times New Roman" w:hAnsi="Arial" w:cs="Arial"/>
                <w:color w:val="000000"/>
                <w:sz w:val="16"/>
                <w:szCs w:val="16"/>
                <w:lang w:val="es-ES" w:eastAsia="es-ES"/>
              </w:rPr>
              <w:t>Revisó:</w:t>
            </w:r>
          </w:p>
        </w:tc>
        <w:tc>
          <w:tcPr>
            <w:tcW w:w="4413" w:type="dxa"/>
            <w:tcBorders>
              <w:top w:val="dotted" w:sz="4" w:space="0" w:color="7F7F7F"/>
              <w:left w:val="nil"/>
              <w:bottom w:val="dotted" w:sz="4" w:space="0" w:color="7F7F7F"/>
              <w:right w:val="nil"/>
            </w:tcBorders>
            <w:vAlign w:val="center"/>
            <w:hideMark/>
          </w:tcPr>
          <w:p w:rsidR="004048F6" w:rsidRPr="004048F6" w:rsidRDefault="004048F6" w:rsidP="004048F6">
            <w:pPr>
              <w:rPr>
                <w:rFonts w:ascii="Arial" w:eastAsia="Times New Roman" w:hAnsi="Arial" w:cs="Arial"/>
                <w:color w:val="000000"/>
                <w:sz w:val="16"/>
                <w:szCs w:val="16"/>
                <w:lang w:val="es-ES" w:eastAsia="es-ES"/>
              </w:rPr>
            </w:pPr>
            <w:r w:rsidRPr="004048F6">
              <w:rPr>
                <w:rFonts w:ascii="Arial" w:eastAsia="Times New Roman" w:hAnsi="Arial" w:cs="Arial"/>
                <w:color w:val="000000"/>
                <w:sz w:val="16"/>
                <w:szCs w:val="16"/>
                <w:lang w:val="es-ES" w:eastAsia="es-ES"/>
              </w:rPr>
              <w:t>Fabián Gonzalo Marín Cortés</w:t>
            </w:r>
          </w:p>
          <w:p w:rsidR="004048F6" w:rsidRPr="004048F6" w:rsidRDefault="004048F6" w:rsidP="004048F6">
            <w:pPr>
              <w:rPr>
                <w:rFonts w:ascii="Arial" w:eastAsia="Times New Roman" w:hAnsi="Arial" w:cs="Arial"/>
                <w:color w:val="000000"/>
                <w:sz w:val="16"/>
                <w:szCs w:val="16"/>
                <w:lang w:val="es-ES" w:eastAsia="es-ES"/>
              </w:rPr>
            </w:pPr>
            <w:r w:rsidRPr="004048F6">
              <w:rPr>
                <w:rFonts w:ascii="Arial" w:eastAsia="Times New Roman" w:hAnsi="Arial" w:cs="Arial"/>
                <w:color w:val="000000"/>
                <w:sz w:val="16"/>
                <w:szCs w:val="16"/>
                <w:lang w:val="es-ES" w:eastAsia="es-ES"/>
              </w:rPr>
              <w:t>Subdirector de Gestión Contractual</w:t>
            </w:r>
          </w:p>
        </w:tc>
      </w:tr>
      <w:tr w:rsidR="004048F6" w:rsidRPr="004048F6" w:rsidTr="004048F6">
        <w:trPr>
          <w:trHeight w:val="300"/>
        </w:trPr>
        <w:tc>
          <w:tcPr>
            <w:tcW w:w="812" w:type="dxa"/>
            <w:vAlign w:val="center"/>
            <w:hideMark/>
          </w:tcPr>
          <w:p w:rsidR="004048F6" w:rsidRPr="004048F6" w:rsidRDefault="004048F6" w:rsidP="004048F6">
            <w:pPr>
              <w:rPr>
                <w:rFonts w:ascii="Arial" w:eastAsia="Times New Roman" w:hAnsi="Arial" w:cs="Arial"/>
                <w:color w:val="000000"/>
                <w:sz w:val="16"/>
                <w:szCs w:val="16"/>
                <w:lang w:val="es-ES" w:eastAsia="es-ES"/>
              </w:rPr>
            </w:pPr>
            <w:r w:rsidRPr="004048F6">
              <w:rPr>
                <w:rFonts w:ascii="Arial" w:eastAsia="Times New Roman" w:hAnsi="Arial" w:cs="Arial"/>
                <w:color w:val="000000"/>
                <w:sz w:val="16"/>
                <w:szCs w:val="16"/>
                <w:lang w:val="es-ES" w:eastAsia="es-ES"/>
              </w:rPr>
              <w:t>Aprobó:</w:t>
            </w:r>
          </w:p>
        </w:tc>
        <w:tc>
          <w:tcPr>
            <w:tcW w:w="4413" w:type="dxa"/>
            <w:tcBorders>
              <w:top w:val="dotted" w:sz="4" w:space="0" w:color="7F7F7F"/>
              <w:left w:val="nil"/>
              <w:bottom w:val="dotted" w:sz="4" w:space="0" w:color="7F7F7F"/>
              <w:right w:val="nil"/>
            </w:tcBorders>
            <w:vAlign w:val="center"/>
            <w:hideMark/>
          </w:tcPr>
          <w:p w:rsidR="004048F6" w:rsidRPr="004048F6" w:rsidRDefault="004048F6" w:rsidP="004048F6">
            <w:pPr>
              <w:rPr>
                <w:rFonts w:ascii="Arial" w:eastAsia="Times New Roman" w:hAnsi="Arial" w:cs="Arial"/>
                <w:color w:val="000000"/>
                <w:sz w:val="16"/>
                <w:szCs w:val="16"/>
                <w:lang w:val="es-ES" w:eastAsia="es-ES"/>
              </w:rPr>
            </w:pPr>
            <w:r w:rsidRPr="004048F6">
              <w:rPr>
                <w:rFonts w:ascii="Arial" w:eastAsia="Times New Roman" w:hAnsi="Arial" w:cs="Arial"/>
                <w:color w:val="000000"/>
                <w:sz w:val="16"/>
                <w:szCs w:val="16"/>
                <w:lang w:val="es-ES" w:eastAsia="es-ES"/>
              </w:rPr>
              <w:t>Fabián Gonzalo Marín Cortés</w:t>
            </w:r>
          </w:p>
          <w:p w:rsidR="004048F6" w:rsidRPr="004048F6" w:rsidRDefault="004048F6" w:rsidP="004048F6">
            <w:pPr>
              <w:rPr>
                <w:rFonts w:ascii="Arial" w:eastAsia="Times New Roman" w:hAnsi="Arial" w:cs="Arial"/>
                <w:color w:val="000000"/>
                <w:sz w:val="16"/>
                <w:szCs w:val="16"/>
                <w:lang w:val="es-ES" w:eastAsia="es-ES"/>
              </w:rPr>
            </w:pPr>
            <w:r w:rsidRPr="004048F6">
              <w:rPr>
                <w:rFonts w:ascii="Arial" w:eastAsia="Times New Roman" w:hAnsi="Arial" w:cs="Arial"/>
                <w:color w:val="000000"/>
                <w:sz w:val="16"/>
                <w:szCs w:val="16"/>
                <w:lang w:val="es-ES" w:eastAsia="es-ES"/>
              </w:rPr>
              <w:t>Subdirector de Gestión Contractual</w:t>
            </w:r>
          </w:p>
        </w:tc>
      </w:tr>
    </w:tbl>
    <w:p w:rsidR="004048F6" w:rsidRPr="004048F6" w:rsidRDefault="004048F6" w:rsidP="004048F6">
      <w:pPr>
        <w:spacing w:after="0" w:line="240" w:lineRule="auto"/>
        <w:rPr>
          <w:rFonts w:ascii="Calibri" w:eastAsia="Calibri" w:hAnsi="Calibri" w:cs="Times New Roman"/>
          <w:sz w:val="24"/>
          <w:szCs w:val="24"/>
          <w:lang w:val="es-ES"/>
        </w:rPr>
      </w:pPr>
    </w:p>
    <w:p w:rsidR="004048F6" w:rsidRPr="004048F6" w:rsidRDefault="004048F6" w:rsidP="004048F6">
      <w:pPr>
        <w:spacing w:after="0" w:line="240" w:lineRule="auto"/>
        <w:rPr>
          <w:rFonts w:ascii="Calibri" w:eastAsia="Calibri" w:hAnsi="Calibri" w:cs="Times New Roman"/>
          <w:sz w:val="24"/>
          <w:szCs w:val="24"/>
          <w:lang w:val="es-ES"/>
        </w:rPr>
      </w:pPr>
    </w:p>
    <w:p w:rsidR="00C00D1F" w:rsidRPr="004048F6" w:rsidRDefault="00C00D1F" w:rsidP="004048F6">
      <w:pPr>
        <w:rPr>
          <w:lang w:val="es-ES"/>
        </w:rPr>
      </w:pPr>
    </w:p>
    <w:sectPr w:rsidR="00C00D1F" w:rsidRPr="004048F6" w:rsidSect="00807508">
      <w:headerReference w:type="default" r:id="rId8"/>
      <w:footerReference w:type="default" r:id="rId9"/>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EE" w:rsidRDefault="00933AEE" w:rsidP="00E44FED">
      <w:pPr>
        <w:spacing w:after="0" w:line="240" w:lineRule="auto"/>
      </w:pPr>
      <w:r>
        <w:separator/>
      </w:r>
    </w:p>
  </w:endnote>
  <w:endnote w:type="continuationSeparator" w:id="0">
    <w:p w:rsidR="00933AEE" w:rsidRDefault="00933AEE" w:rsidP="00E4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933AEE" w:rsidP="007115CD">
    <w:pPr>
      <w:pStyle w:val="Sinespaciado"/>
      <w:jc w:val="right"/>
      <w:rPr>
        <w:rFonts w:ascii="Arial" w:hAnsi="Arial" w:cs="Arial"/>
        <w:sz w:val="18"/>
        <w:szCs w:val="18"/>
      </w:rPr>
    </w:pPr>
  </w:p>
  <w:p w:rsidR="007D4CE6" w:rsidRPr="004048F6" w:rsidRDefault="00AF5A12" w:rsidP="007115CD">
    <w:pPr>
      <w:pStyle w:val="Piedepgina"/>
      <w:jc w:val="right"/>
      <w:rPr>
        <w:rFonts w:ascii="Arial" w:hAnsi="Arial" w:cs="Arial"/>
        <w:color w:val="7F7F7F"/>
        <w:sz w:val="16"/>
        <w:szCs w:val="16"/>
      </w:rPr>
    </w:pPr>
    <w:r w:rsidRPr="004048F6">
      <w:rPr>
        <w:rFonts w:ascii="Arial" w:hAnsi="Arial" w:cs="Arial"/>
        <w:bCs/>
        <w:color w:val="7F7F7F"/>
        <w:sz w:val="16"/>
        <w:szCs w:val="16"/>
      </w:rPr>
      <w:t xml:space="preserve">Página </w:t>
    </w:r>
    <w:r w:rsidRPr="004048F6">
      <w:rPr>
        <w:rFonts w:ascii="Arial" w:hAnsi="Arial" w:cs="Arial"/>
        <w:b/>
        <w:bCs/>
        <w:color w:val="7F7F7F"/>
        <w:sz w:val="16"/>
        <w:szCs w:val="16"/>
      </w:rPr>
      <w:fldChar w:fldCharType="begin"/>
    </w:r>
    <w:r w:rsidRPr="004048F6">
      <w:rPr>
        <w:rFonts w:ascii="Arial" w:hAnsi="Arial" w:cs="Arial"/>
        <w:b/>
        <w:bCs/>
        <w:color w:val="7F7F7F"/>
        <w:sz w:val="16"/>
        <w:szCs w:val="16"/>
      </w:rPr>
      <w:instrText>PAGE  \* Arabic  \* MERGEFORMAT</w:instrText>
    </w:r>
    <w:r w:rsidRPr="004048F6">
      <w:rPr>
        <w:rFonts w:ascii="Arial" w:hAnsi="Arial" w:cs="Arial"/>
        <w:b/>
        <w:bCs/>
        <w:color w:val="7F7F7F"/>
        <w:sz w:val="16"/>
        <w:szCs w:val="16"/>
      </w:rPr>
      <w:fldChar w:fldCharType="separate"/>
    </w:r>
    <w:r w:rsidR="00F73906">
      <w:rPr>
        <w:rFonts w:ascii="Arial" w:hAnsi="Arial" w:cs="Arial"/>
        <w:b/>
        <w:bCs/>
        <w:noProof/>
        <w:color w:val="7F7F7F"/>
        <w:sz w:val="16"/>
        <w:szCs w:val="16"/>
      </w:rPr>
      <w:t>15</w:t>
    </w:r>
    <w:r w:rsidRPr="004048F6">
      <w:rPr>
        <w:rFonts w:ascii="Arial" w:hAnsi="Arial" w:cs="Arial"/>
        <w:b/>
        <w:bCs/>
        <w:color w:val="7F7F7F"/>
        <w:sz w:val="16"/>
        <w:szCs w:val="16"/>
      </w:rPr>
      <w:fldChar w:fldCharType="end"/>
    </w:r>
    <w:r w:rsidRPr="004048F6">
      <w:rPr>
        <w:rFonts w:ascii="Arial" w:hAnsi="Arial" w:cs="Arial"/>
        <w:color w:val="7F7F7F"/>
        <w:sz w:val="16"/>
        <w:szCs w:val="16"/>
      </w:rPr>
      <w:t xml:space="preserve"> de </w:t>
    </w:r>
    <w:r w:rsidRPr="004048F6">
      <w:rPr>
        <w:rFonts w:ascii="Arial" w:hAnsi="Arial" w:cs="Arial"/>
        <w:b/>
        <w:bCs/>
        <w:color w:val="7F7F7F"/>
        <w:sz w:val="16"/>
        <w:szCs w:val="16"/>
      </w:rPr>
      <w:fldChar w:fldCharType="begin"/>
    </w:r>
    <w:r w:rsidRPr="004048F6">
      <w:rPr>
        <w:rFonts w:ascii="Arial" w:hAnsi="Arial" w:cs="Arial"/>
        <w:b/>
        <w:bCs/>
        <w:color w:val="7F7F7F"/>
        <w:sz w:val="16"/>
        <w:szCs w:val="16"/>
      </w:rPr>
      <w:instrText>NUMPAGES  \* Arabic  \* MERGEFORMAT</w:instrText>
    </w:r>
    <w:r w:rsidRPr="004048F6">
      <w:rPr>
        <w:rFonts w:ascii="Arial" w:hAnsi="Arial" w:cs="Arial"/>
        <w:b/>
        <w:bCs/>
        <w:color w:val="7F7F7F"/>
        <w:sz w:val="16"/>
        <w:szCs w:val="16"/>
      </w:rPr>
      <w:fldChar w:fldCharType="separate"/>
    </w:r>
    <w:r w:rsidR="00F73906">
      <w:rPr>
        <w:rFonts w:ascii="Arial" w:hAnsi="Arial" w:cs="Arial"/>
        <w:b/>
        <w:bCs/>
        <w:noProof/>
        <w:color w:val="7F7F7F"/>
        <w:sz w:val="16"/>
        <w:szCs w:val="16"/>
      </w:rPr>
      <w:t>15</w:t>
    </w:r>
    <w:r w:rsidRPr="004048F6">
      <w:rPr>
        <w:rFonts w:ascii="Arial" w:hAnsi="Arial" w:cs="Arial"/>
        <w:b/>
        <w:bCs/>
        <w:color w:val="7F7F7F"/>
        <w:sz w:val="16"/>
        <w:szCs w:val="16"/>
      </w:rPr>
      <w:fldChar w:fldCharType="end"/>
    </w:r>
  </w:p>
  <w:p w:rsidR="007D4CE6" w:rsidRDefault="00AF5A12" w:rsidP="007115CD">
    <w:pPr>
      <w:pStyle w:val="Piedepgina"/>
      <w:jc w:val="center"/>
      <w:rPr>
        <w:lang w:val="es-ES"/>
      </w:rPr>
    </w:pPr>
    <w:r>
      <w:rPr>
        <w:noProof/>
        <w:lang w:eastAsia="es-CO"/>
      </w:rPr>
      <w:drawing>
        <wp:inline distT="0" distB="0" distL="0" distR="0" wp14:anchorId="5C472558" wp14:editId="307083A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7D4CE6" w:rsidRPr="00E756AC" w:rsidRDefault="00933AEE" w:rsidP="007115CD">
    <w:pPr>
      <w:pStyle w:val="Piedepgina"/>
      <w:jc w:val="center"/>
      <w:rPr>
        <w:sz w:val="18"/>
        <w:szCs w:val="18"/>
        <w:lang w:val="es-ES"/>
      </w:rPr>
    </w:pPr>
  </w:p>
  <w:p w:rsidR="007D4CE6" w:rsidRPr="00E756AC" w:rsidRDefault="00933AEE" w:rsidP="007115C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EE" w:rsidRDefault="00933AEE" w:rsidP="00E44FED">
      <w:pPr>
        <w:spacing w:after="0" w:line="240" w:lineRule="auto"/>
      </w:pPr>
      <w:r>
        <w:separator/>
      </w:r>
    </w:p>
  </w:footnote>
  <w:footnote w:type="continuationSeparator" w:id="0">
    <w:p w:rsidR="00933AEE" w:rsidRDefault="00933AEE" w:rsidP="00E44FED">
      <w:pPr>
        <w:spacing w:after="0" w:line="240" w:lineRule="auto"/>
      </w:pPr>
      <w:r>
        <w:continuationSeparator/>
      </w:r>
    </w:p>
  </w:footnote>
  <w:footnote w:id="1">
    <w:p w:rsidR="004048F6" w:rsidRPr="00002995" w:rsidRDefault="004048F6" w:rsidP="004048F6">
      <w:pPr>
        <w:pStyle w:val="Textonotapie"/>
        <w:ind w:firstLine="708"/>
        <w:jc w:val="both"/>
        <w:rPr>
          <w:rFonts w:ascii="Arial" w:hAnsi="Arial" w:cs="Arial"/>
          <w:sz w:val="19"/>
          <w:szCs w:val="19"/>
          <w:lang w:val="en-US"/>
        </w:rPr>
      </w:pPr>
      <w:r w:rsidRPr="00002995">
        <w:rPr>
          <w:rStyle w:val="Refdenotaalpie"/>
          <w:rFonts w:ascii="Arial" w:hAnsi="Arial" w:cs="Arial"/>
          <w:sz w:val="19"/>
          <w:szCs w:val="19"/>
        </w:rPr>
        <w:footnoteRef/>
      </w:r>
      <w:r w:rsidRPr="00002995">
        <w:rPr>
          <w:rFonts w:ascii="Arial" w:hAnsi="Arial" w:cs="Arial"/>
          <w:sz w:val="19"/>
          <w:szCs w:val="19"/>
          <w:lang w:val="en-US"/>
        </w:rPr>
        <w:t xml:space="preserve"> EUROPEAN COMMISSION. Buying Green – A handbook on green procurement, 2016, </w:t>
      </w:r>
      <w:proofErr w:type="spellStart"/>
      <w:r w:rsidRPr="00002995">
        <w:rPr>
          <w:rFonts w:ascii="Arial" w:hAnsi="Arial" w:cs="Arial"/>
          <w:sz w:val="19"/>
          <w:szCs w:val="19"/>
          <w:lang w:val="en-US"/>
        </w:rPr>
        <w:t>disponible</w:t>
      </w:r>
      <w:proofErr w:type="spellEnd"/>
      <w:r w:rsidRPr="00002995">
        <w:rPr>
          <w:rFonts w:ascii="Arial" w:hAnsi="Arial" w:cs="Arial"/>
          <w:sz w:val="19"/>
          <w:szCs w:val="19"/>
          <w:lang w:val="en-US"/>
        </w:rPr>
        <w:t xml:space="preserve"> </w:t>
      </w:r>
      <w:proofErr w:type="spellStart"/>
      <w:r w:rsidRPr="00002995">
        <w:rPr>
          <w:rFonts w:ascii="Arial" w:hAnsi="Arial" w:cs="Arial"/>
          <w:sz w:val="19"/>
          <w:szCs w:val="19"/>
          <w:lang w:val="en-US"/>
        </w:rPr>
        <w:t>en</w:t>
      </w:r>
      <w:proofErr w:type="spellEnd"/>
      <w:r w:rsidRPr="00002995">
        <w:rPr>
          <w:rFonts w:ascii="Arial" w:hAnsi="Arial" w:cs="Arial"/>
          <w:sz w:val="19"/>
          <w:szCs w:val="19"/>
          <w:lang w:val="en-US"/>
        </w:rPr>
        <w:t xml:space="preserve">: https://ec.europa.eu/environment/gpp/pdf/Buying-Green-Handbook-3rd-Edition.pdf  </w:t>
      </w:r>
    </w:p>
    <w:p w:rsidR="004048F6" w:rsidRPr="00002995" w:rsidRDefault="004048F6" w:rsidP="004048F6">
      <w:pPr>
        <w:pStyle w:val="Textonotapie"/>
        <w:ind w:firstLine="708"/>
        <w:jc w:val="both"/>
        <w:rPr>
          <w:rFonts w:ascii="Arial" w:hAnsi="Arial" w:cs="Arial"/>
          <w:sz w:val="19"/>
          <w:szCs w:val="19"/>
          <w:lang w:val="en-US"/>
        </w:rPr>
      </w:pPr>
    </w:p>
  </w:footnote>
  <w:footnote w:id="2">
    <w:p w:rsidR="004048F6" w:rsidRPr="00002995" w:rsidRDefault="004048F6" w:rsidP="004048F6">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lang w:val="es-ES"/>
        </w:rPr>
        <w:t xml:space="preserve"> ARROWSMITH, SUE. </w:t>
      </w:r>
      <w:r w:rsidRPr="00002995">
        <w:rPr>
          <w:rFonts w:ascii="Arial" w:hAnsi="Arial" w:cs="Arial"/>
          <w:sz w:val="19"/>
          <w:szCs w:val="19"/>
          <w:lang w:val="es-CO"/>
        </w:rPr>
        <w:t>Políticas horizontales en la contratación pública: una taxonomía, Revista Digital de Derecho Administrativo. Bogotá: Universidad Externado de Colombia, 2019, pp. 224-226.</w:t>
      </w:r>
    </w:p>
    <w:p w:rsidR="004048F6" w:rsidRPr="00002995" w:rsidRDefault="004048F6" w:rsidP="004048F6">
      <w:pPr>
        <w:pStyle w:val="Textonotapie"/>
        <w:ind w:firstLine="708"/>
        <w:jc w:val="both"/>
        <w:rPr>
          <w:rFonts w:ascii="Arial" w:hAnsi="Arial" w:cs="Arial"/>
          <w:sz w:val="19"/>
          <w:szCs w:val="19"/>
          <w:lang w:val="es-CO"/>
        </w:rPr>
      </w:pPr>
    </w:p>
  </w:footnote>
  <w:footnote w:id="3">
    <w:p w:rsidR="004048F6" w:rsidRPr="00002995" w:rsidRDefault="004048F6" w:rsidP="004048F6">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Ibídem, p. 227. </w:t>
      </w:r>
    </w:p>
    <w:p w:rsidR="004048F6" w:rsidRPr="00002995" w:rsidRDefault="004048F6" w:rsidP="004048F6">
      <w:pPr>
        <w:pStyle w:val="Textonotapie"/>
        <w:ind w:firstLine="708"/>
        <w:jc w:val="both"/>
        <w:rPr>
          <w:rFonts w:ascii="Arial" w:hAnsi="Arial" w:cs="Arial"/>
          <w:sz w:val="19"/>
          <w:szCs w:val="19"/>
          <w:lang w:val="es-CO"/>
        </w:rPr>
      </w:pPr>
    </w:p>
  </w:footnote>
  <w:footnote w:id="4">
    <w:p w:rsidR="004048F6" w:rsidRPr="00002995" w:rsidRDefault="004048F6" w:rsidP="004048F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CONSEJO DE ESTADO, SALA DE CONSULTA Y SERVICIO CIVIL. Concepto del 8 de marzo de 2017, rad. </w:t>
      </w:r>
      <w:r w:rsidRPr="00002995">
        <w:rPr>
          <w:rFonts w:ascii="Arial" w:hAnsi="Arial" w:cs="Arial"/>
          <w:sz w:val="19"/>
          <w:szCs w:val="19"/>
        </w:rPr>
        <w:t xml:space="preserve">11001-03-06-000-2016-00102-00(2298). CP. Édgar González López. </w:t>
      </w:r>
    </w:p>
    <w:p w:rsidR="004048F6" w:rsidRPr="00002995" w:rsidRDefault="004048F6" w:rsidP="004048F6">
      <w:pPr>
        <w:pStyle w:val="Textonotapie"/>
        <w:ind w:firstLine="708"/>
        <w:jc w:val="both"/>
        <w:rPr>
          <w:rFonts w:ascii="Arial" w:hAnsi="Arial" w:cs="Arial"/>
          <w:sz w:val="19"/>
          <w:szCs w:val="19"/>
          <w:lang w:val="es-CO"/>
        </w:rPr>
      </w:pPr>
    </w:p>
  </w:footnote>
  <w:footnote w:id="5">
    <w:p w:rsidR="004048F6" w:rsidRPr="00002995" w:rsidRDefault="004048F6" w:rsidP="004048F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DUQUE BOTERO, Juan David. Contratación pública estratégica, socialmente responsable y competitiva. Bogotá: Tirant Lo Blanch, 2018. p. 52. </w:t>
      </w:r>
    </w:p>
  </w:footnote>
  <w:footnote w:id="6">
    <w:p w:rsidR="004048F6" w:rsidRPr="004048F6" w:rsidRDefault="004048F6" w:rsidP="004048F6">
      <w:pPr>
        <w:pStyle w:val="Textonotapie"/>
        <w:ind w:firstLine="708"/>
        <w:jc w:val="both"/>
        <w:rPr>
          <w:rFonts w:ascii="Arial" w:hAnsi="Arial" w:cs="Arial"/>
          <w:color w:val="000000"/>
          <w:sz w:val="19"/>
          <w:szCs w:val="19"/>
        </w:rPr>
      </w:pPr>
      <w:r w:rsidRPr="004048F6">
        <w:rPr>
          <w:rStyle w:val="Refdenotaalpie"/>
          <w:rFonts w:ascii="Arial" w:hAnsi="Arial" w:cs="Arial"/>
          <w:color w:val="000000"/>
          <w:sz w:val="19"/>
          <w:szCs w:val="19"/>
        </w:rPr>
        <w:footnoteRef/>
      </w:r>
      <w:r w:rsidRPr="004048F6">
        <w:rPr>
          <w:rFonts w:ascii="Arial" w:hAnsi="Arial" w:cs="Arial"/>
          <w:color w:val="000000"/>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rsidR="004048F6" w:rsidRPr="004048F6" w:rsidRDefault="004048F6" w:rsidP="004048F6">
      <w:pPr>
        <w:pStyle w:val="Textonotapie"/>
        <w:ind w:firstLine="708"/>
        <w:jc w:val="both"/>
        <w:rPr>
          <w:rFonts w:ascii="Arial" w:hAnsi="Arial" w:cs="Arial"/>
          <w:color w:val="000000"/>
          <w:sz w:val="19"/>
          <w:szCs w:val="19"/>
        </w:rPr>
      </w:pPr>
      <w:r w:rsidRPr="004048F6">
        <w:rPr>
          <w:rFonts w:ascii="Arial" w:hAnsi="Arial" w:cs="Arial"/>
          <w:color w:val="000000"/>
          <w:sz w:val="19"/>
          <w:szCs w:val="19"/>
        </w:rPr>
        <w:t>»[…]</w:t>
      </w:r>
    </w:p>
    <w:p w:rsidR="004048F6" w:rsidRPr="004048F6" w:rsidRDefault="004048F6" w:rsidP="004048F6">
      <w:pPr>
        <w:pStyle w:val="Textonotapie"/>
        <w:ind w:firstLine="708"/>
        <w:jc w:val="both"/>
        <w:rPr>
          <w:rFonts w:ascii="Arial" w:hAnsi="Arial" w:cs="Arial"/>
          <w:color w:val="000000"/>
          <w:sz w:val="19"/>
          <w:szCs w:val="19"/>
        </w:rPr>
      </w:pPr>
      <w:r w:rsidRPr="004048F6">
        <w:rPr>
          <w:rFonts w:ascii="Arial" w:hAnsi="Arial" w:cs="Arial"/>
          <w:color w:val="000000"/>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rsidR="004048F6" w:rsidRPr="004048F6" w:rsidRDefault="004048F6" w:rsidP="004048F6">
      <w:pPr>
        <w:pStyle w:val="Textonotapie"/>
        <w:ind w:firstLine="708"/>
        <w:jc w:val="both"/>
        <w:rPr>
          <w:rFonts w:ascii="Arial" w:hAnsi="Arial" w:cs="Arial"/>
          <w:color w:val="000000"/>
          <w:sz w:val="19"/>
          <w:szCs w:val="19"/>
          <w:lang w:val="es-ES"/>
        </w:rPr>
      </w:pPr>
    </w:p>
  </w:footnote>
  <w:footnote w:id="7">
    <w:p w:rsidR="004048F6" w:rsidRPr="004048F6" w:rsidRDefault="004048F6" w:rsidP="004048F6">
      <w:pPr>
        <w:pStyle w:val="Textonotapie"/>
        <w:ind w:firstLine="708"/>
        <w:jc w:val="both"/>
        <w:rPr>
          <w:rFonts w:ascii="Arial" w:hAnsi="Arial" w:cs="Arial"/>
          <w:color w:val="000000"/>
          <w:sz w:val="19"/>
          <w:szCs w:val="19"/>
        </w:rPr>
      </w:pPr>
      <w:r w:rsidRPr="004048F6">
        <w:rPr>
          <w:rStyle w:val="Refdenotaalpie"/>
          <w:rFonts w:ascii="Arial" w:hAnsi="Arial" w:cs="Arial"/>
          <w:color w:val="000000"/>
          <w:sz w:val="19"/>
          <w:szCs w:val="19"/>
        </w:rPr>
        <w:footnoteRef/>
      </w:r>
      <w:r w:rsidRPr="004048F6">
        <w:rPr>
          <w:rFonts w:ascii="Arial" w:hAnsi="Arial" w:cs="Arial"/>
          <w:color w:val="000000"/>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004048F6" w:rsidRPr="004048F6" w:rsidRDefault="004048F6" w:rsidP="004048F6">
      <w:pPr>
        <w:pStyle w:val="Textonotapie"/>
        <w:ind w:firstLine="708"/>
        <w:jc w:val="both"/>
        <w:rPr>
          <w:rFonts w:ascii="Arial" w:hAnsi="Arial" w:cs="Arial"/>
          <w:color w:val="000000"/>
          <w:sz w:val="19"/>
          <w:szCs w:val="19"/>
        </w:rPr>
      </w:pPr>
      <w:r w:rsidRPr="004048F6">
        <w:rPr>
          <w:rFonts w:ascii="Arial" w:hAnsi="Arial" w:cs="Arial"/>
          <w:color w:val="000000"/>
          <w:sz w:val="19"/>
          <w:szCs w:val="19"/>
        </w:rPr>
        <w:t>[…]</w:t>
      </w:r>
    </w:p>
    <w:p w:rsidR="004048F6" w:rsidRPr="004048F6" w:rsidRDefault="004048F6" w:rsidP="004048F6">
      <w:pPr>
        <w:pStyle w:val="Textonotapie"/>
        <w:ind w:firstLine="708"/>
        <w:jc w:val="both"/>
        <w:rPr>
          <w:rFonts w:ascii="Arial" w:hAnsi="Arial" w:cs="Arial"/>
          <w:color w:val="000000"/>
          <w:sz w:val="19"/>
          <w:szCs w:val="19"/>
        </w:rPr>
      </w:pPr>
      <w:r w:rsidRPr="004048F6">
        <w:rPr>
          <w:rFonts w:ascii="Arial" w:hAnsi="Arial" w:cs="Arial"/>
          <w:color w:val="000000"/>
          <w:sz w:val="19"/>
          <w:szCs w:val="19"/>
        </w:rPr>
        <w:t>»Servicios Nacionales: Servicios prestados por personas naturales colombianas o residentes en Colombia o por personas jurídicas constituidas de conformidad con la legislación colombiana».</w:t>
      </w:r>
    </w:p>
    <w:p w:rsidR="004048F6" w:rsidRPr="004048F6" w:rsidRDefault="004048F6" w:rsidP="004048F6">
      <w:pPr>
        <w:pStyle w:val="Textonotapie"/>
        <w:ind w:firstLine="708"/>
        <w:jc w:val="both"/>
        <w:rPr>
          <w:rFonts w:ascii="Arial" w:hAnsi="Arial" w:cs="Arial"/>
          <w:color w:val="000000"/>
          <w:sz w:val="19"/>
          <w:szCs w:val="19"/>
        </w:rPr>
      </w:pPr>
    </w:p>
  </w:footnote>
  <w:footnote w:id="8">
    <w:p w:rsidR="004048F6" w:rsidRPr="00002995" w:rsidRDefault="004048F6" w:rsidP="004048F6">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rsidR="004048F6" w:rsidRPr="00002995" w:rsidRDefault="004048F6" w:rsidP="004048F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En ese sentido, ver CORTE CONSTITUCIONAL. Sentencia C-619 del 14 de junio de 2001. M.P. Marco Gerardo Monry Cabra. </w:t>
      </w:r>
    </w:p>
    <w:p w:rsidR="004048F6" w:rsidRPr="00002995" w:rsidRDefault="004048F6" w:rsidP="004048F6">
      <w:pPr>
        <w:pStyle w:val="Textonotapie"/>
        <w:ind w:firstLine="708"/>
        <w:jc w:val="both"/>
        <w:rPr>
          <w:rFonts w:ascii="Arial" w:hAnsi="Arial" w:cs="Arial"/>
          <w:sz w:val="19"/>
          <w:szCs w:val="19"/>
        </w:rPr>
      </w:pPr>
    </w:p>
  </w:footnote>
  <w:footnote w:id="10">
    <w:p w:rsidR="004048F6" w:rsidRPr="00002995" w:rsidRDefault="004048F6" w:rsidP="004048F6">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Gacetas del Congreso 948 de 2018, 192 de 2019, 900 de 2019, y 314 de 2020. </w:t>
      </w:r>
    </w:p>
  </w:footnote>
  <w:footnote w:id="11">
    <w:p w:rsidR="004048F6" w:rsidRDefault="004048F6" w:rsidP="004048F6">
      <w:pPr>
        <w:pStyle w:val="Textonotapie"/>
        <w:ind w:firstLine="708"/>
        <w:jc w:val="both"/>
        <w:rPr>
          <w:rFonts w:ascii="Arial" w:hAnsi="Arial" w:cs="Arial"/>
          <w:sz w:val="19"/>
          <w:szCs w:val="19"/>
        </w:rPr>
      </w:pPr>
    </w:p>
    <w:p w:rsidR="004048F6" w:rsidRPr="00002995" w:rsidRDefault="004048F6" w:rsidP="004048F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Gaceta del Congreso</w:t>
      </w:r>
      <w:r>
        <w:rPr>
          <w:rFonts w:ascii="Arial" w:hAnsi="Arial" w:cs="Arial"/>
          <w:sz w:val="19"/>
          <w:szCs w:val="19"/>
        </w:rPr>
        <w:t>.</w:t>
      </w:r>
      <w:r w:rsidRPr="00002995">
        <w:rPr>
          <w:rFonts w:ascii="Arial" w:hAnsi="Arial" w:cs="Arial"/>
          <w:sz w:val="19"/>
          <w:szCs w:val="19"/>
        </w:rPr>
        <w:t xml:space="preserve"> 314</w:t>
      </w:r>
      <w:r>
        <w:rPr>
          <w:rFonts w:ascii="Arial" w:hAnsi="Arial" w:cs="Arial"/>
          <w:sz w:val="19"/>
          <w:szCs w:val="19"/>
        </w:rPr>
        <w:t xml:space="preserve"> del</w:t>
      </w:r>
      <w:r w:rsidRPr="00002995">
        <w:rPr>
          <w:rFonts w:ascii="Arial" w:hAnsi="Arial" w:cs="Arial"/>
          <w:sz w:val="19"/>
          <w:szCs w:val="19"/>
        </w:rPr>
        <w:t xml:space="preserve"> </w:t>
      </w:r>
      <w:r>
        <w:rPr>
          <w:rFonts w:ascii="Arial" w:hAnsi="Arial" w:cs="Arial"/>
          <w:sz w:val="19"/>
          <w:szCs w:val="19"/>
        </w:rPr>
        <w:t>m</w:t>
      </w:r>
      <w:r w:rsidRPr="00002995">
        <w:rPr>
          <w:rFonts w:ascii="Arial" w:hAnsi="Arial" w:cs="Arial"/>
          <w:sz w:val="19"/>
          <w:szCs w:val="19"/>
        </w:rPr>
        <w:t>iércoles 10 de junio de 2020</w:t>
      </w:r>
      <w:r>
        <w:rPr>
          <w:rFonts w:ascii="Arial" w:hAnsi="Arial" w:cs="Arial"/>
          <w:sz w:val="19"/>
          <w:szCs w:val="19"/>
        </w:rPr>
        <w:t>,</w:t>
      </w:r>
      <w:r w:rsidRPr="00002995">
        <w:rPr>
          <w:rFonts w:ascii="Arial" w:hAnsi="Arial" w:cs="Arial"/>
          <w:sz w:val="19"/>
          <w:szCs w:val="19"/>
        </w:rPr>
        <w:t xml:space="preserve"> Página 7.</w:t>
      </w:r>
    </w:p>
    <w:p w:rsidR="004048F6" w:rsidRPr="00002995" w:rsidRDefault="004048F6" w:rsidP="004048F6">
      <w:pPr>
        <w:pStyle w:val="Textonotapie"/>
        <w:ind w:firstLine="708"/>
        <w:jc w:val="both"/>
        <w:rPr>
          <w:rFonts w:ascii="Arial" w:hAnsi="Arial" w:cs="Arial"/>
          <w:sz w:val="19"/>
          <w:szCs w:val="19"/>
          <w:lang w:val="es-ES"/>
        </w:rPr>
      </w:pPr>
    </w:p>
  </w:footnote>
  <w:footnote w:id="12">
    <w:p w:rsidR="004048F6" w:rsidRPr="00002995" w:rsidRDefault="004048F6" w:rsidP="004048F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iv) Procedimiento de verificación del cumplimiento de requisitos por parte de las empresas empleadoras. </w:t>
      </w:r>
    </w:p>
    <w:p w:rsidR="004048F6" w:rsidRPr="00002995" w:rsidRDefault="004048F6" w:rsidP="004048F6">
      <w:pPr>
        <w:pStyle w:val="Textonotapie"/>
        <w:ind w:firstLine="708"/>
        <w:jc w:val="both"/>
        <w:rPr>
          <w:rFonts w:ascii="Arial" w:hAnsi="Arial" w:cs="Arial"/>
          <w:sz w:val="19"/>
          <w:szCs w:val="19"/>
        </w:rPr>
      </w:pPr>
      <w:r w:rsidRPr="00002995">
        <w:rPr>
          <w:rFonts w:ascii="Arial" w:hAnsi="Arial" w:cs="Arial"/>
          <w:sz w:val="19"/>
          <w:szCs w:val="19"/>
        </w:rPr>
        <w:t xml:space="preserve">»Parágrafo 1. Será responsabilidad de las empresas certificar ante el Ministerio del Trabajo el cumplimiento de los requisitos para acceder a los beneficios contemplados por esta ley. </w:t>
      </w:r>
    </w:p>
    <w:p w:rsidR="004048F6" w:rsidRPr="00002995" w:rsidRDefault="004048F6" w:rsidP="004048F6">
      <w:pPr>
        <w:pStyle w:val="Textonotapie"/>
        <w:ind w:firstLine="708"/>
        <w:jc w:val="both"/>
        <w:rPr>
          <w:rFonts w:ascii="Arial" w:hAnsi="Arial" w:cs="Arial"/>
          <w:sz w:val="19"/>
          <w:szCs w:val="19"/>
        </w:rPr>
      </w:pPr>
      <w:r w:rsidRPr="00002995">
        <w:rPr>
          <w:rFonts w:ascii="Arial" w:hAnsi="Arial" w:cs="Arial"/>
          <w:sz w:val="19"/>
          <w:szCs w:val="19"/>
        </w:rPr>
        <w:t>»Parágrafo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rsidR="004048F6" w:rsidRPr="00002995" w:rsidRDefault="004048F6" w:rsidP="004048F6">
      <w:pPr>
        <w:pStyle w:val="Textonotapie"/>
        <w:ind w:firstLine="708"/>
        <w:jc w:val="both"/>
        <w:rPr>
          <w:rFonts w:ascii="Arial" w:hAnsi="Arial" w:cs="Arial"/>
          <w:sz w:val="19"/>
          <w:szCs w:val="19"/>
          <w:lang w:val="es-CO"/>
        </w:rPr>
      </w:pPr>
    </w:p>
  </w:footnote>
  <w:footnote w:id="13">
    <w:p w:rsidR="004048F6" w:rsidRPr="00002995" w:rsidRDefault="004048F6" w:rsidP="004048F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AF5A12">
    <w:pPr>
      <w:pStyle w:val="Encabezado"/>
    </w:pPr>
    <w:r>
      <w:rPr>
        <w:noProof/>
        <w:lang w:eastAsia="es-CO"/>
      </w:rPr>
      <w:drawing>
        <wp:anchor distT="0" distB="0" distL="114300" distR="114300" simplePos="0" relativeHeight="251659264" behindDoc="1" locked="0" layoutInCell="1" allowOverlap="1" wp14:anchorId="5EAEFE58" wp14:editId="7A60526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ED"/>
    <w:rsid w:val="00086814"/>
    <w:rsid w:val="00284077"/>
    <w:rsid w:val="004048F6"/>
    <w:rsid w:val="00413606"/>
    <w:rsid w:val="0063302E"/>
    <w:rsid w:val="00643050"/>
    <w:rsid w:val="006F3CE0"/>
    <w:rsid w:val="00807508"/>
    <w:rsid w:val="00933AEE"/>
    <w:rsid w:val="009E4B86"/>
    <w:rsid w:val="00A612B8"/>
    <w:rsid w:val="00AF5A12"/>
    <w:rsid w:val="00C00D1F"/>
    <w:rsid w:val="00E44FED"/>
    <w:rsid w:val="00EA0074"/>
    <w:rsid w:val="00ED6179"/>
    <w:rsid w:val="00F73906"/>
    <w:rsid w:val="00FD1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58D4"/>
  <w15:chartTrackingRefBased/>
  <w15:docId w15:val="{562C32AA-256D-4AF1-A702-8F69EBD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44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4FED"/>
  </w:style>
  <w:style w:type="paragraph" w:styleId="Encabezado">
    <w:name w:val="header"/>
    <w:basedOn w:val="Normal"/>
    <w:link w:val="EncabezadoCar"/>
    <w:uiPriority w:val="99"/>
    <w:semiHidden/>
    <w:unhideWhenUsed/>
    <w:rsid w:val="00E44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4FED"/>
  </w:style>
  <w:style w:type="paragraph" w:styleId="Sinespaciado">
    <w:name w:val="No Spacing"/>
    <w:uiPriority w:val="1"/>
    <w:qFormat/>
    <w:rsid w:val="00E44FED"/>
    <w:pPr>
      <w:spacing w:after="0" w:line="240" w:lineRule="auto"/>
    </w:pPr>
  </w:style>
  <w:style w:type="table" w:styleId="Tablaconcuadrcula">
    <w:name w:val="Table Grid"/>
    <w:basedOn w:val="Tablanormal"/>
    <w:uiPriority w:val="39"/>
    <w:rsid w:val="00E44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E44FE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E44FED"/>
    <w:pPr>
      <w:spacing w:after="0" w:line="240" w:lineRule="auto"/>
    </w:pPr>
    <w:rPr>
      <w:sz w:val="20"/>
      <w:szCs w:val="20"/>
      <w:lang w:val="es-MX"/>
    </w:rPr>
  </w:style>
  <w:style w:type="character" w:customStyle="1" w:styleId="TextonotapieCar1">
    <w:name w:val="Texto nota pie Car1"/>
    <w:basedOn w:val="Fuentedeprrafopredeter"/>
    <w:uiPriority w:val="99"/>
    <w:semiHidden/>
    <w:rsid w:val="00E44FED"/>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E44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4DB3227-2A88-46A6-BA3B-EBA582BE0158}"/>
</file>

<file path=customXml/itemProps2.xml><?xml version="1.0" encoding="utf-8"?>
<ds:datastoreItem xmlns:ds="http://schemas.openxmlformats.org/officeDocument/2006/customXml" ds:itemID="{396E7DA4-0DA4-43A5-BB0B-510E71071975}"/>
</file>

<file path=customXml/itemProps3.xml><?xml version="1.0" encoding="utf-8"?>
<ds:datastoreItem xmlns:ds="http://schemas.openxmlformats.org/officeDocument/2006/customXml" ds:itemID="{7A120B4D-ECDB-4425-9FCB-6D6F0DEB00D5}"/>
</file>

<file path=docProps/app.xml><?xml version="1.0" encoding="utf-8"?>
<Properties xmlns="http://schemas.openxmlformats.org/officeDocument/2006/extended-properties" xmlns:vt="http://schemas.openxmlformats.org/officeDocument/2006/docPropsVTypes">
  <Template>Normal</Template>
  <TotalTime>80</TotalTime>
  <Pages>15</Pages>
  <Words>5521</Words>
  <Characters>30370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Amado</dc:creator>
  <cp:keywords/>
  <dc:description/>
  <cp:lastModifiedBy>Juan Camilo Amado</cp:lastModifiedBy>
  <cp:revision>6</cp:revision>
  <dcterms:created xsi:type="dcterms:W3CDTF">2020-08-27T03:29:00Z</dcterms:created>
  <dcterms:modified xsi:type="dcterms:W3CDTF">2020-08-27T23:29:00Z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