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883371" w:rsidRDefault="00DE5124" w:rsidP="00DE5124">
      <w:pPr>
        <w:jc w:val="right"/>
        <w:rPr>
          <w:rFonts w:ascii="Arial" w:hAnsi="Arial" w:cs="Arial"/>
          <w:b/>
          <w:sz w:val="16"/>
          <w:szCs w:val="16"/>
          <w:lang w:eastAsia="es-ES"/>
        </w:rPr>
      </w:pPr>
      <w:bookmarkStart w:id="0" w:name="_Hlk29548183"/>
      <w:bookmarkStart w:id="1" w:name="_Hlk28946138"/>
      <w:r w:rsidRPr="00883371">
        <w:rPr>
          <w:rFonts w:ascii="Arial" w:hAnsi="Arial" w:cs="Arial"/>
          <w:b/>
          <w:sz w:val="16"/>
          <w:szCs w:val="16"/>
          <w:lang w:eastAsia="es-ES"/>
        </w:rPr>
        <w:t>CCE-DES-FM-17</w:t>
      </w:r>
      <w:bookmarkEnd w:id="0"/>
      <w:bookmarkEnd w:id="1"/>
    </w:p>
    <w:p w14:paraId="768749E6" w14:textId="77777777" w:rsidR="00E216F2" w:rsidRPr="00883371" w:rsidRDefault="00E216F2" w:rsidP="00E216F2">
      <w:pPr>
        <w:rPr>
          <w:rFonts w:ascii="Arial" w:eastAsia="Calibri" w:hAnsi="Arial" w:cs="Arial"/>
          <w:b/>
          <w:bCs/>
          <w:sz w:val="22"/>
        </w:rPr>
      </w:pPr>
      <w:r w:rsidRPr="00883371">
        <w:rPr>
          <w:rFonts w:ascii="Arial" w:hAnsi="Arial" w:cs="Arial"/>
          <w:b/>
          <w:bCs/>
          <w:sz w:val="22"/>
        </w:rPr>
        <w:t xml:space="preserve">CONVENIOS INTERADMINISTRATIVOS </w:t>
      </w:r>
      <w:r w:rsidRPr="00883371">
        <w:rPr>
          <w:rFonts w:ascii="Arial" w:eastAsia="Calibri" w:hAnsi="Arial" w:cs="Arial"/>
          <w:b/>
          <w:bCs/>
          <w:sz w:val="22"/>
        </w:rPr>
        <w:t xml:space="preserve">– Definición </w:t>
      </w:r>
    </w:p>
    <w:p w14:paraId="3F2B047A" w14:textId="77777777" w:rsidR="00E216F2" w:rsidRPr="00883371" w:rsidRDefault="00E216F2" w:rsidP="00E216F2">
      <w:pPr>
        <w:rPr>
          <w:rFonts w:ascii="Arial" w:eastAsia="Calibri" w:hAnsi="Arial" w:cs="Arial"/>
          <w:b/>
          <w:sz w:val="22"/>
        </w:rPr>
      </w:pPr>
    </w:p>
    <w:p w14:paraId="705782FA" w14:textId="77777777" w:rsidR="00E216F2" w:rsidRPr="00883371" w:rsidRDefault="00E216F2" w:rsidP="00E216F2">
      <w:pPr>
        <w:spacing w:after="120"/>
        <w:jc w:val="both"/>
        <w:rPr>
          <w:rFonts w:ascii="Arial" w:eastAsia="Calibri" w:hAnsi="Arial" w:cs="Arial"/>
          <w:sz w:val="20"/>
          <w:szCs w:val="20"/>
        </w:rPr>
      </w:pPr>
      <w:r w:rsidRPr="00883371">
        <w:rPr>
          <w:rFonts w:ascii="Arial" w:eastAsia="Calibri" w:hAnsi="Arial" w:cs="Arial"/>
          <w:sz w:val="20"/>
          <w:szCs w:val="20"/>
        </w:rPr>
        <w:t>La tipología de contrato interadministrativo fue creada en la Ley 80 de 1993, a pesar de que dentro del texto de la misma no se realizó una definición o un desarrollo amplio respecto de este.  Dicha norma se refiere a los contratos interadministrativos al regular en su artículo 14 las facultades excepcionales de la administración, con el propósito exceptuar del ejercicio de las mismas a este tipo de contratos, tal como lo dispone el parágrafo de la norma.</w:t>
      </w:r>
    </w:p>
    <w:p w14:paraId="684895AC" w14:textId="77777777" w:rsidR="00E216F2" w:rsidRPr="00883371" w:rsidRDefault="00E216F2" w:rsidP="00E216F2">
      <w:pPr>
        <w:spacing w:after="120"/>
        <w:jc w:val="both"/>
        <w:rPr>
          <w:rFonts w:ascii="Arial" w:eastAsia="Calibri" w:hAnsi="Arial" w:cs="Arial"/>
          <w:sz w:val="20"/>
          <w:szCs w:val="20"/>
        </w:rPr>
      </w:pPr>
      <w:r w:rsidRPr="00883371">
        <w:rPr>
          <w:rFonts w:ascii="Arial" w:eastAsia="Calibri" w:hAnsi="Arial" w:cs="Arial"/>
          <w:sz w:val="20"/>
          <w:szCs w:val="20"/>
        </w:rPr>
        <w:t>Por su parte el Decreto 1082 de 2015 «Por medio del cual se expide el Decreto único reglamentario del sector administrativo de planeación nacional», calificó a los convenios o contratos interadministrativos como la contratación realizada entre entidades estatales.</w:t>
      </w:r>
    </w:p>
    <w:p w14:paraId="43A2D435" w14:textId="77777777" w:rsidR="00E216F2" w:rsidRPr="00883371" w:rsidRDefault="00E216F2" w:rsidP="00E216F2">
      <w:pPr>
        <w:jc w:val="both"/>
        <w:rPr>
          <w:rFonts w:ascii="Arial" w:eastAsia="Calibri" w:hAnsi="Arial" w:cs="Arial"/>
          <w:sz w:val="22"/>
        </w:rPr>
      </w:pPr>
      <w:r w:rsidRPr="00883371">
        <w:rPr>
          <w:rFonts w:ascii="Arial" w:hAnsi="Arial" w:cs="Arial"/>
          <w:sz w:val="20"/>
          <w:szCs w:val="20"/>
        </w:rPr>
        <w:t>E</w:t>
      </w:r>
      <w:r w:rsidRPr="00883371">
        <w:rPr>
          <w:rFonts w:ascii="Arial" w:eastAsia="Calibri" w:hAnsi="Arial" w:cs="Arial"/>
          <w:sz w:val="20"/>
          <w:szCs w:val="20"/>
        </w:rPr>
        <w:t xml:space="preserve">l contrato o el convenio interadministrativo es entonces el acuerdo donde concurre la voluntad de dos o más personas jurídicas de derecho público con la finalidad de cumplir, en el marco de sus objetivos misionales y sus competencias, con los fines del Estado. </w:t>
      </w:r>
    </w:p>
    <w:p w14:paraId="58B3BE3C" w14:textId="77777777" w:rsidR="00E216F2" w:rsidRPr="00883371" w:rsidRDefault="00E216F2" w:rsidP="00E216F2">
      <w:pPr>
        <w:jc w:val="both"/>
        <w:rPr>
          <w:rFonts w:ascii="Arial" w:hAnsi="Arial" w:cs="Arial"/>
          <w:b/>
          <w:bCs/>
          <w:sz w:val="22"/>
        </w:rPr>
      </w:pPr>
    </w:p>
    <w:p w14:paraId="0295DA7E" w14:textId="77777777" w:rsidR="00E216F2" w:rsidRPr="00883371" w:rsidRDefault="00E216F2" w:rsidP="00E216F2">
      <w:pPr>
        <w:jc w:val="both"/>
        <w:rPr>
          <w:rFonts w:ascii="Arial" w:eastAsia="Calibri" w:hAnsi="Arial" w:cs="Arial"/>
          <w:b/>
          <w:bCs/>
          <w:sz w:val="22"/>
        </w:rPr>
      </w:pPr>
      <w:r w:rsidRPr="00883371">
        <w:rPr>
          <w:rFonts w:ascii="Arial" w:hAnsi="Arial" w:cs="Arial"/>
          <w:b/>
          <w:bCs/>
          <w:sz w:val="22"/>
        </w:rPr>
        <w:t xml:space="preserve">CONVENIOS INTERADMINISTRATIVOS </w:t>
      </w:r>
      <w:r w:rsidRPr="00883371">
        <w:rPr>
          <w:rFonts w:ascii="Arial" w:eastAsia="Calibri" w:hAnsi="Arial" w:cs="Arial"/>
          <w:b/>
          <w:bCs/>
          <w:sz w:val="22"/>
        </w:rPr>
        <w:t xml:space="preserve">– Criterio orgánico – Régimen jurídico </w:t>
      </w:r>
    </w:p>
    <w:p w14:paraId="49EBCD51" w14:textId="77777777" w:rsidR="00E216F2" w:rsidRPr="00883371" w:rsidRDefault="00E216F2" w:rsidP="00E216F2">
      <w:pPr>
        <w:jc w:val="both"/>
        <w:rPr>
          <w:rFonts w:ascii="Arial" w:eastAsia="Calibri" w:hAnsi="Arial" w:cs="Arial"/>
          <w:sz w:val="20"/>
          <w:szCs w:val="20"/>
        </w:rPr>
      </w:pPr>
    </w:p>
    <w:p w14:paraId="76308972" w14:textId="77777777" w:rsidR="00E216F2" w:rsidRPr="00883371" w:rsidRDefault="00E216F2" w:rsidP="00E216F2">
      <w:pPr>
        <w:spacing w:after="120"/>
        <w:jc w:val="both"/>
        <w:rPr>
          <w:rFonts w:ascii="Arial" w:eastAsia="Calibri" w:hAnsi="Arial" w:cs="Arial"/>
          <w:sz w:val="20"/>
          <w:szCs w:val="20"/>
        </w:rPr>
      </w:pPr>
      <w:r w:rsidRPr="00883371">
        <w:rPr>
          <w:rFonts w:ascii="Arial" w:eastAsia="Calibri" w:hAnsi="Arial" w:cs="Arial"/>
          <w:sz w:val="20"/>
          <w:szCs w:val="20"/>
        </w:rPr>
        <w:t>Los contratos o convenios interadministrativos nominados en la Ley 80 de 1993 están determinados por un criterio orgánico, pues es necesario que los extremos de la relación contractual sean entidades estatales.</w:t>
      </w:r>
    </w:p>
    <w:p w14:paraId="3F15D645" w14:textId="77777777" w:rsidR="00E216F2" w:rsidRPr="00883371" w:rsidRDefault="00E216F2" w:rsidP="00E216F2">
      <w:pPr>
        <w:spacing w:after="120"/>
        <w:jc w:val="both"/>
        <w:rPr>
          <w:rFonts w:ascii="Arial" w:eastAsia="Calibri" w:hAnsi="Arial" w:cs="Arial"/>
          <w:sz w:val="20"/>
          <w:szCs w:val="20"/>
        </w:rPr>
      </w:pPr>
      <w:r w:rsidRPr="00883371">
        <w:rPr>
          <w:rFonts w:ascii="Arial" w:eastAsia="Calibri" w:hAnsi="Arial" w:cs="Arial"/>
          <w:sz w:val="20"/>
          <w:szCs w:val="20"/>
        </w:rPr>
        <w:t xml:space="preserve">El hecho de que los contratos o convenios interadministrativos estén previstos en la Ley 80 de 1993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conforme se de lo establecido en el literal c), […] la calidad de interadministrativo de un contrato o convenio no está determinada por la modalidad de selección utilizada para celebrarlo, la cual en los términos de la norma anterior debe ser establecida según el objeto y obligaciones del mismo. </w:t>
      </w:r>
    </w:p>
    <w:p w14:paraId="61BCE07D" w14:textId="77777777" w:rsidR="00E216F2" w:rsidRPr="00883371" w:rsidRDefault="00E216F2" w:rsidP="00A80922">
      <w:pPr>
        <w:pStyle w:val="Prrafodelista"/>
        <w:ind w:left="0"/>
        <w:jc w:val="both"/>
        <w:rPr>
          <w:rFonts w:ascii="Arial" w:eastAsia="Calibri" w:hAnsi="Arial" w:cs="Arial"/>
          <w:b/>
          <w:sz w:val="22"/>
          <w:szCs w:val="20"/>
          <w:lang w:val="es-ES"/>
        </w:rPr>
      </w:pPr>
    </w:p>
    <w:p w14:paraId="0BF7AEE6" w14:textId="6B9C2ED0" w:rsidR="00A80922" w:rsidRPr="00883371" w:rsidRDefault="00A80922" w:rsidP="00A80922">
      <w:pPr>
        <w:pStyle w:val="Prrafodelista"/>
        <w:ind w:left="0"/>
        <w:jc w:val="both"/>
        <w:rPr>
          <w:rFonts w:ascii="Arial" w:eastAsia="Calibri" w:hAnsi="Arial" w:cs="Arial"/>
          <w:b/>
          <w:sz w:val="22"/>
          <w:szCs w:val="20"/>
          <w:lang w:val="es-ES"/>
        </w:rPr>
      </w:pPr>
      <w:r w:rsidRPr="00883371">
        <w:rPr>
          <w:rFonts w:ascii="Arial" w:eastAsia="Calibri" w:hAnsi="Arial" w:cs="Arial"/>
          <w:b/>
          <w:sz w:val="22"/>
          <w:szCs w:val="20"/>
          <w:lang w:val="es-ES"/>
        </w:rPr>
        <w:t>SECOP – Deber de publicación – Finalidad – Principio de publicidad</w:t>
      </w:r>
    </w:p>
    <w:p w14:paraId="37FD7509" w14:textId="77777777" w:rsidR="00A80922" w:rsidRPr="00883371" w:rsidRDefault="00A80922" w:rsidP="00A80922">
      <w:pPr>
        <w:pStyle w:val="Prrafodelista"/>
        <w:ind w:left="0"/>
        <w:jc w:val="both"/>
        <w:rPr>
          <w:rFonts w:ascii="Arial" w:eastAsia="Calibri" w:hAnsi="Arial" w:cs="Arial"/>
          <w:b/>
          <w:sz w:val="22"/>
          <w:szCs w:val="20"/>
          <w:lang w:val="es-ES"/>
        </w:rPr>
      </w:pPr>
    </w:p>
    <w:p w14:paraId="117FBF0D" w14:textId="77777777" w:rsidR="00A80922" w:rsidRPr="00883371" w:rsidRDefault="00A80922" w:rsidP="00A80922">
      <w:pPr>
        <w:spacing w:after="120"/>
        <w:jc w:val="both"/>
        <w:rPr>
          <w:rFonts w:ascii="Arial" w:hAnsi="Arial" w:cs="Arial"/>
          <w:sz w:val="20"/>
          <w:szCs w:val="20"/>
          <w:lang w:val="es-ES"/>
        </w:rPr>
      </w:pPr>
      <w:r w:rsidRPr="00883371">
        <w:rPr>
          <w:rFonts w:ascii="Arial"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883371" w:rsidRDefault="00A80922" w:rsidP="009B3335">
      <w:pPr>
        <w:jc w:val="both"/>
        <w:rPr>
          <w:rFonts w:ascii="Arial" w:hAnsi="Arial" w:cs="Arial"/>
          <w:sz w:val="20"/>
          <w:szCs w:val="20"/>
          <w:lang w:val="es-ES"/>
        </w:rPr>
      </w:pPr>
      <w:r w:rsidRPr="00883371">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883371" w:rsidRDefault="00944B47" w:rsidP="00AA2570">
      <w:pPr>
        <w:pStyle w:val="Prrafodelista"/>
        <w:spacing w:line="276" w:lineRule="auto"/>
        <w:ind w:left="0"/>
        <w:jc w:val="both"/>
        <w:rPr>
          <w:rFonts w:ascii="Arial" w:eastAsia="Calibri" w:hAnsi="Arial" w:cs="Arial"/>
          <w:b/>
          <w:sz w:val="20"/>
          <w:szCs w:val="20"/>
          <w:lang w:val="es-ES"/>
        </w:rPr>
      </w:pPr>
    </w:p>
    <w:p w14:paraId="1A4B7E63" w14:textId="77777777" w:rsidR="00A80922" w:rsidRPr="00883371" w:rsidRDefault="00A80922" w:rsidP="00A80922">
      <w:pPr>
        <w:spacing w:after="120"/>
        <w:jc w:val="both"/>
        <w:rPr>
          <w:rFonts w:ascii="Arial" w:hAnsi="Arial" w:cs="Arial"/>
          <w:b/>
          <w:bCs/>
          <w:sz w:val="22"/>
          <w:lang w:val="es-ES"/>
        </w:rPr>
      </w:pPr>
      <w:r w:rsidRPr="00883371">
        <w:rPr>
          <w:rFonts w:ascii="Arial" w:hAnsi="Arial" w:cs="Arial"/>
          <w:b/>
          <w:bCs/>
          <w:sz w:val="22"/>
          <w:lang w:val="es-ES"/>
        </w:rPr>
        <w:lastRenderedPageBreak/>
        <w:t>DOCUMENTOS DEL PROCESO – Noción – Deber de publicación – Proceso de contratación</w:t>
      </w:r>
    </w:p>
    <w:p w14:paraId="5D3C6252" w14:textId="77777777" w:rsidR="00A80922" w:rsidRPr="00883371" w:rsidRDefault="00A80922" w:rsidP="00A80922">
      <w:pPr>
        <w:spacing w:before="120" w:after="120"/>
        <w:jc w:val="both"/>
        <w:rPr>
          <w:rFonts w:ascii="Arial" w:eastAsia="Calibri" w:hAnsi="Arial" w:cs="Arial"/>
          <w:sz w:val="20"/>
          <w:szCs w:val="20"/>
          <w:lang w:val="es-ES"/>
        </w:rPr>
      </w:pPr>
      <w:r w:rsidRPr="00883371">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883371">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883371">
        <w:rPr>
          <w:rFonts w:ascii="Arial" w:eastAsia="Arial" w:hAnsi="Arial" w:cs="Arial"/>
          <w:i/>
          <w:iCs/>
          <w:sz w:val="20"/>
          <w:szCs w:val="20"/>
          <w:lang w:val="es-ES"/>
        </w:rPr>
        <w:t xml:space="preserve">Documentos del Procesos </w:t>
      </w:r>
      <w:r w:rsidRPr="00883371">
        <w:rPr>
          <w:rFonts w:ascii="Arial" w:eastAsia="Arial" w:hAnsi="Arial" w:cs="Arial"/>
          <w:sz w:val="20"/>
          <w:szCs w:val="20"/>
          <w:lang w:val="es-ES"/>
        </w:rPr>
        <w:t>expedidos por la entidad estatal.</w:t>
      </w:r>
    </w:p>
    <w:p w14:paraId="7094D321" w14:textId="77777777" w:rsidR="00A80922" w:rsidRPr="00883371" w:rsidRDefault="00A80922" w:rsidP="00A80922">
      <w:pPr>
        <w:spacing w:before="120"/>
        <w:jc w:val="both"/>
        <w:rPr>
          <w:rFonts w:ascii="Arial" w:eastAsia="Calibri" w:hAnsi="Arial" w:cs="Arial"/>
          <w:sz w:val="22"/>
          <w:lang w:val="es-ES"/>
        </w:rPr>
      </w:pPr>
      <w:r w:rsidRPr="00883371">
        <w:rPr>
          <w:rFonts w:ascii="Arial" w:eastAsia="Calibri" w:hAnsi="Arial" w:cs="Arial"/>
          <w:sz w:val="20"/>
          <w:szCs w:val="20"/>
          <w:lang w:val="es-ES"/>
        </w:rPr>
        <w:t xml:space="preserve">Esto quiere decir que las entidades estatales, además de los documentos y actos administrativos que expidan durante el </w:t>
      </w:r>
      <w:r w:rsidRPr="00883371">
        <w:rPr>
          <w:rFonts w:ascii="Arial" w:eastAsia="Calibri" w:hAnsi="Arial" w:cs="Arial"/>
          <w:i/>
          <w:iCs/>
          <w:sz w:val="20"/>
          <w:szCs w:val="20"/>
          <w:lang w:val="es-ES"/>
        </w:rPr>
        <w:t>Proceso de Contratación,</w:t>
      </w:r>
      <w:r w:rsidRPr="00883371">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883371">
        <w:rPr>
          <w:rFonts w:ascii="Arial" w:eastAsia="Calibri" w:hAnsi="Arial" w:cs="Arial"/>
          <w:i/>
          <w:iCs/>
          <w:sz w:val="20"/>
          <w:szCs w:val="20"/>
          <w:lang w:val="es-ES"/>
        </w:rPr>
        <w:t xml:space="preserve"> Documento del Proceso, </w:t>
      </w:r>
      <w:r w:rsidRPr="00883371">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883371">
        <w:rPr>
          <w:rFonts w:ascii="Arial" w:eastAsia="Calibri" w:hAnsi="Arial" w:cs="Arial"/>
          <w:sz w:val="22"/>
          <w:lang w:val="es-ES"/>
        </w:rPr>
        <w:t xml:space="preserve">.   </w:t>
      </w:r>
    </w:p>
    <w:p w14:paraId="70D18D6D" w14:textId="77777777" w:rsidR="00B26D02" w:rsidRPr="00883371" w:rsidRDefault="00B26D02" w:rsidP="008C0579">
      <w:pPr>
        <w:jc w:val="both"/>
        <w:rPr>
          <w:rFonts w:ascii="Arial" w:hAnsi="Arial" w:cs="Arial"/>
          <w:sz w:val="20"/>
          <w:szCs w:val="20"/>
          <w:lang w:val="es-ES"/>
        </w:rPr>
      </w:pPr>
    </w:p>
    <w:p w14:paraId="3F2D60AC" w14:textId="77777777" w:rsidR="00AA2570" w:rsidRPr="00883371" w:rsidRDefault="00AA2570" w:rsidP="008C0579">
      <w:pPr>
        <w:spacing w:line="276" w:lineRule="auto"/>
        <w:jc w:val="both"/>
        <w:rPr>
          <w:rFonts w:ascii="Arial" w:hAnsi="Arial" w:cs="Arial"/>
          <w:b/>
          <w:bCs/>
          <w:sz w:val="22"/>
          <w:lang w:val="es-ES"/>
        </w:rPr>
      </w:pPr>
      <w:r w:rsidRPr="00883371">
        <w:rPr>
          <w:rFonts w:ascii="Arial" w:hAnsi="Arial" w:cs="Arial"/>
          <w:b/>
          <w:bCs/>
          <w:sz w:val="22"/>
          <w:lang w:val="es-ES"/>
        </w:rPr>
        <w:t>PLAN ANUAL DE ADQUISICIONES – Publicación – Fundamento normativo</w:t>
      </w:r>
    </w:p>
    <w:p w14:paraId="4F55178B" w14:textId="77777777" w:rsidR="00AE5EFA" w:rsidRPr="00883371" w:rsidRDefault="00AE5EFA" w:rsidP="008C0579">
      <w:pPr>
        <w:jc w:val="both"/>
        <w:rPr>
          <w:rFonts w:ascii="Arial" w:eastAsia="Calibri" w:hAnsi="Arial" w:cs="Arial"/>
          <w:bCs/>
          <w:sz w:val="20"/>
          <w:szCs w:val="20"/>
          <w:lang w:val="es-ES_tradnl"/>
        </w:rPr>
      </w:pPr>
    </w:p>
    <w:p w14:paraId="24A14718" w14:textId="77777777" w:rsidR="00A80922" w:rsidRPr="00883371" w:rsidRDefault="00A80922" w:rsidP="00A80922">
      <w:pPr>
        <w:spacing w:after="120"/>
        <w:jc w:val="both"/>
        <w:rPr>
          <w:rFonts w:ascii="Arial" w:eastAsia="Calibri" w:hAnsi="Arial" w:cs="Arial"/>
          <w:bCs/>
          <w:sz w:val="20"/>
          <w:szCs w:val="20"/>
          <w:lang w:val="es-ES_tradnl"/>
        </w:rPr>
      </w:pPr>
      <w:r w:rsidRPr="00883371">
        <w:rPr>
          <w:rFonts w:ascii="Arial" w:eastAsia="Calibri" w:hAnsi="Arial" w:cs="Arial"/>
          <w:bCs/>
          <w:sz w:val="20"/>
          <w:szCs w:val="20"/>
          <w:lang w:val="es-ES_tradnl"/>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–radicado interno No. 2202013000003074–, 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19ED6059" w14:textId="0A09C7ED" w:rsidR="00944B47" w:rsidRPr="00883371" w:rsidRDefault="00A80922" w:rsidP="00A80922">
      <w:pPr>
        <w:jc w:val="both"/>
        <w:rPr>
          <w:rFonts w:ascii="Arial" w:eastAsia="Calibri" w:hAnsi="Arial" w:cs="Arial"/>
          <w:bCs/>
          <w:sz w:val="20"/>
          <w:szCs w:val="20"/>
          <w:lang w:val="es-ES_tradnl"/>
        </w:rPr>
      </w:pPr>
      <w:r w:rsidRPr="00883371">
        <w:rPr>
          <w:rFonts w:ascii="Arial" w:eastAsia="Calibri" w:hAnsi="Arial" w:cs="Arial"/>
          <w:bCs/>
          <w:sz w:val="20"/>
          <w:szCs w:val="20"/>
          <w:lang w:val="es-ES_tradnl"/>
        </w:rPr>
        <w:t>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Ibídem.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34477B88" w14:textId="77777777" w:rsidR="00A80922" w:rsidRPr="00883371" w:rsidRDefault="00A80922" w:rsidP="00A80922">
      <w:pPr>
        <w:jc w:val="both"/>
        <w:rPr>
          <w:rFonts w:ascii="Arial" w:eastAsia="Calibri" w:hAnsi="Arial" w:cs="Arial"/>
          <w:sz w:val="20"/>
          <w:szCs w:val="20"/>
          <w:lang w:val="es-ES"/>
        </w:rPr>
      </w:pPr>
    </w:p>
    <w:p w14:paraId="0B8543E5" w14:textId="300FC9D7" w:rsidR="00944B47" w:rsidRPr="00883371" w:rsidRDefault="00944B47" w:rsidP="00AA2570">
      <w:pPr>
        <w:jc w:val="both"/>
        <w:rPr>
          <w:rFonts w:ascii="Arial" w:eastAsia="Calibri" w:hAnsi="Arial" w:cs="Arial"/>
          <w:b/>
          <w:bCs/>
          <w:sz w:val="22"/>
          <w:lang w:val="es-CO"/>
        </w:rPr>
      </w:pPr>
      <w:r w:rsidRPr="00883371">
        <w:rPr>
          <w:rFonts w:ascii="Arial" w:eastAsia="Calibri" w:hAnsi="Arial" w:cs="Arial"/>
          <w:b/>
          <w:bCs/>
          <w:sz w:val="22"/>
          <w:lang w:val="es-CO"/>
        </w:rPr>
        <w:t xml:space="preserve">SECOP I </w:t>
      </w:r>
      <w:r w:rsidR="00AE5EFA" w:rsidRPr="00883371">
        <w:rPr>
          <w:rFonts w:ascii="Arial" w:eastAsia="Calibri" w:hAnsi="Arial" w:cs="Arial"/>
          <w:b/>
          <w:bCs/>
          <w:sz w:val="22"/>
          <w:lang w:val="es-CO"/>
        </w:rPr>
        <w:t>–</w:t>
      </w:r>
      <w:r w:rsidRPr="00883371">
        <w:rPr>
          <w:rFonts w:ascii="Arial" w:eastAsia="Calibri" w:hAnsi="Arial" w:cs="Arial"/>
          <w:b/>
          <w:bCs/>
          <w:sz w:val="22"/>
          <w:lang w:val="es-CO"/>
        </w:rPr>
        <w:t xml:space="preserve"> SECOP II – Naturaleza – </w:t>
      </w:r>
      <w:r w:rsidR="00955CFA" w:rsidRPr="00883371">
        <w:rPr>
          <w:rFonts w:ascii="Arial" w:eastAsia="Calibri" w:hAnsi="Arial" w:cs="Arial"/>
          <w:b/>
          <w:bCs/>
          <w:sz w:val="22"/>
          <w:lang w:val="es-CO"/>
        </w:rPr>
        <w:t xml:space="preserve">Medio de publicidad – </w:t>
      </w:r>
      <w:r w:rsidRPr="00883371">
        <w:rPr>
          <w:rFonts w:ascii="Arial" w:eastAsia="Calibri" w:hAnsi="Arial" w:cs="Arial"/>
          <w:b/>
          <w:bCs/>
          <w:sz w:val="22"/>
          <w:lang w:val="es-CO"/>
        </w:rPr>
        <w:t>Plataforma transaccional</w:t>
      </w:r>
    </w:p>
    <w:p w14:paraId="0F00AD85" w14:textId="77777777" w:rsidR="00944B47" w:rsidRPr="00883371" w:rsidRDefault="00944B47" w:rsidP="00944B47">
      <w:pPr>
        <w:jc w:val="both"/>
        <w:rPr>
          <w:rFonts w:ascii="Arial" w:eastAsia="Calibri" w:hAnsi="Arial" w:cs="Arial"/>
          <w:sz w:val="20"/>
          <w:szCs w:val="20"/>
        </w:rPr>
      </w:pPr>
    </w:p>
    <w:p w14:paraId="04168754" w14:textId="77777777" w:rsidR="00A80922" w:rsidRPr="00883371" w:rsidRDefault="00A80922" w:rsidP="00A80922">
      <w:pPr>
        <w:spacing w:after="120"/>
        <w:jc w:val="both"/>
        <w:rPr>
          <w:rFonts w:ascii="Arial" w:eastAsia="Calibri" w:hAnsi="Arial" w:cs="Arial"/>
          <w:sz w:val="20"/>
          <w:szCs w:val="20"/>
        </w:rPr>
      </w:pPr>
      <w:r w:rsidRPr="00883371">
        <w:rPr>
          <w:rFonts w:ascii="Arial" w:eastAsia="Calibri" w:hAnsi="Arial" w:cs="Arial"/>
          <w:sz w:val="20"/>
          <w:szCs w:val="20"/>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74175B27" w14:textId="44FDC129" w:rsidR="00944B47" w:rsidRPr="00883371" w:rsidRDefault="00A80922" w:rsidP="00A80922">
      <w:pPr>
        <w:jc w:val="both"/>
        <w:rPr>
          <w:rFonts w:ascii="Arial" w:eastAsia="Calibri" w:hAnsi="Arial" w:cs="Arial"/>
          <w:sz w:val="20"/>
          <w:szCs w:val="20"/>
        </w:rPr>
      </w:pPr>
      <w:r w:rsidRPr="00883371">
        <w:rPr>
          <w:rFonts w:ascii="Arial" w:eastAsia="Calibri" w:hAnsi="Arial" w:cs="Arial"/>
          <w:sz w:val="20"/>
          <w:szCs w:val="20"/>
        </w:rPr>
        <w:lastRenderedPageBreak/>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5E81C55" w14:textId="77777777" w:rsidR="00A80922" w:rsidRPr="00883371" w:rsidRDefault="00A80922" w:rsidP="00A80922">
      <w:pPr>
        <w:jc w:val="both"/>
        <w:rPr>
          <w:rFonts w:ascii="Arial" w:eastAsia="Calibri" w:hAnsi="Arial" w:cs="Arial"/>
          <w:sz w:val="20"/>
          <w:szCs w:val="20"/>
          <w:lang w:val="es-ES"/>
        </w:rPr>
      </w:pPr>
    </w:p>
    <w:p w14:paraId="333E223D" w14:textId="77777777" w:rsidR="00AA2570" w:rsidRPr="00883371" w:rsidRDefault="00AA2570" w:rsidP="00AA2570">
      <w:pPr>
        <w:jc w:val="both"/>
        <w:rPr>
          <w:rFonts w:ascii="Arial" w:eastAsia="Calibri" w:hAnsi="Arial" w:cs="Arial"/>
          <w:b/>
          <w:bCs/>
          <w:sz w:val="22"/>
        </w:rPr>
      </w:pPr>
      <w:r w:rsidRPr="00883371">
        <w:rPr>
          <w:rFonts w:ascii="Arial" w:eastAsia="Calibri" w:hAnsi="Arial" w:cs="Arial"/>
          <w:b/>
          <w:bCs/>
          <w:sz w:val="22"/>
        </w:rPr>
        <w:t xml:space="preserve">SECOP II – Obligatoriedad </w:t>
      </w:r>
    </w:p>
    <w:p w14:paraId="71B442A4" w14:textId="77777777" w:rsidR="00AA2570" w:rsidRPr="00883371" w:rsidRDefault="00AA2570" w:rsidP="00AA2570">
      <w:pPr>
        <w:jc w:val="both"/>
        <w:rPr>
          <w:rFonts w:ascii="Arial" w:eastAsia="Calibri" w:hAnsi="Arial" w:cs="Arial"/>
          <w:sz w:val="20"/>
          <w:szCs w:val="20"/>
        </w:rPr>
      </w:pPr>
    </w:p>
    <w:p w14:paraId="6CF1E241" w14:textId="64C48804" w:rsidR="00944B47" w:rsidRPr="00883371" w:rsidRDefault="00AA2570" w:rsidP="00944B47">
      <w:pPr>
        <w:spacing w:after="120"/>
        <w:jc w:val="both"/>
        <w:rPr>
          <w:rFonts w:ascii="Arial" w:eastAsia="Calibri" w:hAnsi="Arial" w:cs="Arial"/>
          <w:sz w:val="20"/>
          <w:szCs w:val="20"/>
          <w:lang w:val="es-ES"/>
        </w:rPr>
      </w:pPr>
      <w:r w:rsidRPr="00883371">
        <w:rPr>
          <w:rFonts w:ascii="Arial" w:eastAsia="Calibri" w:hAnsi="Arial" w:cs="Arial"/>
          <w:sz w:val="20"/>
          <w:szCs w:val="20"/>
          <w:lang w:val="es-ES"/>
        </w:rPr>
        <w:t xml:space="preserve">[…] </w:t>
      </w:r>
      <w:r w:rsidR="00944B47" w:rsidRPr="00883371">
        <w:rPr>
          <w:rFonts w:ascii="Arial" w:eastAsia="Calibri" w:hAnsi="Arial" w:cs="Arial"/>
          <w:sz w:val="20"/>
          <w:szCs w:val="20"/>
          <w:lang w:val="es-ES"/>
        </w:rPr>
        <w:t xml:space="preserve">es del caso precisar que la obligación de realizar procesos de contratación a través de la plataforma SECOP II no depende del régimen contractual al que estén sometidas las entidades estatales que llevan a cabo los procesos, sino de lo dispuesto en las referidas circulares, por lo que tratándose de entidades respecto de las cuales la Circular Externa No. 1 de 2020 definió el uso obligatorio de la plataforma, no siendo exceptuadas en las circulares subsiguientes, no podrán excusarse en el sometimiento de régimen de contratación al derecho privado, para evitar utilizar la plataforma. </w:t>
      </w:r>
    </w:p>
    <w:p w14:paraId="1681DA24" w14:textId="7E4966D4" w:rsidR="00944B47" w:rsidRPr="00883371" w:rsidRDefault="00944B47" w:rsidP="008C0579">
      <w:pPr>
        <w:jc w:val="both"/>
        <w:rPr>
          <w:rFonts w:ascii="Arial" w:eastAsia="Calibri" w:hAnsi="Arial" w:cs="Arial"/>
          <w:sz w:val="20"/>
          <w:szCs w:val="20"/>
          <w:lang w:val="es-ES"/>
        </w:rPr>
      </w:pPr>
      <w:r w:rsidRPr="00883371">
        <w:rPr>
          <w:rFonts w:ascii="Arial" w:eastAsia="Calibri" w:hAnsi="Arial" w:cs="Arial"/>
          <w:sz w:val="20"/>
          <w:szCs w:val="20"/>
          <w:lang w:val="es-ES"/>
        </w:rPr>
        <w:t xml:space="preserve">En ese sentido, las entidades estatales incluidas en el Anexo 1 de la Circular Externa No. 1 de 2020,  ya sea que se encuentren sometidas o exceptuadas de las </w:t>
      </w:r>
      <w:proofErr w:type="spellStart"/>
      <w:r w:rsidRPr="00883371">
        <w:rPr>
          <w:rFonts w:ascii="Arial" w:eastAsia="Calibri" w:hAnsi="Arial" w:cs="Arial"/>
          <w:sz w:val="20"/>
          <w:szCs w:val="20"/>
          <w:lang w:val="es-ES"/>
        </w:rPr>
        <w:t>apliación</w:t>
      </w:r>
      <w:proofErr w:type="spellEnd"/>
      <w:r w:rsidRPr="00883371">
        <w:rPr>
          <w:rFonts w:ascii="Arial" w:eastAsia="Calibri" w:hAnsi="Arial" w:cs="Arial"/>
          <w:sz w:val="20"/>
          <w:szCs w:val="20"/>
          <w:lang w:val="es-ES"/>
        </w:rPr>
        <w:t xml:space="preserve"> de la Ley 80 de 1993, deben cumplir con el deber de dar publicidad a la actividad contractual con la publicación de los</w:t>
      </w:r>
      <w:r w:rsidRPr="00883371">
        <w:rPr>
          <w:rFonts w:ascii="Arial" w:eastAsia="Calibri" w:hAnsi="Arial" w:cs="Arial"/>
          <w:i/>
          <w:iCs/>
          <w:sz w:val="20"/>
          <w:szCs w:val="20"/>
          <w:lang w:val="es-ES"/>
        </w:rPr>
        <w:t xml:space="preserve"> Documentos del Proceso </w:t>
      </w:r>
      <w:r w:rsidRPr="00883371">
        <w:rPr>
          <w:rFonts w:ascii="Arial" w:eastAsia="Calibri" w:hAnsi="Arial" w:cs="Arial"/>
          <w:sz w:val="20"/>
          <w:szCs w:val="20"/>
          <w:lang w:val="es-ES"/>
        </w:rPr>
        <w:t xml:space="preserve">en el SECOP II, publicación que debe realizarse en tiempo real en atención a la naturaleza transaccional de esta plataforma. </w:t>
      </w:r>
    </w:p>
    <w:p w14:paraId="60FAC6B4" w14:textId="0FA5D29E" w:rsidR="00B26D02" w:rsidRPr="00883371" w:rsidRDefault="00B26D02" w:rsidP="008C0579">
      <w:pPr>
        <w:jc w:val="both"/>
        <w:rPr>
          <w:rFonts w:ascii="Arial" w:eastAsia="Calibri" w:hAnsi="Arial" w:cs="Arial"/>
          <w:sz w:val="20"/>
          <w:szCs w:val="20"/>
          <w:lang w:val="es-ES"/>
        </w:rPr>
      </w:pPr>
    </w:p>
    <w:p w14:paraId="4076C9D5" w14:textId="77777777" w:rsidR="00B26D02" w:rsidRPr="00883371" w:rsidRDefault="00B26D02" w:rsidP="00B26D02">
      <w:pPr>
        <w:spacing w:line="276" w:lineRule="auto"/>
        <w:jc w:val="both"/>
        <w:rPr>
          <w:rFonts w:ascii="Arial" w:hAnsi="Arial" w:cs="Arial"/>
          <w:b/>
          <w:bCs/>
          <w:sz w:val="22"/>
          <w:lang w:val="es-CO"/>
        </w:rPr>
      </w:pPr>
      <w:r w:rsidRPr="00883371">
        <w:rPr>
          <w:rFonts w:ascii="Arial" w:hAnsi="Arial" w:cs="Arial"/>
          <w:b/>
          <w:bCs/>
          <w:sz w:val="22"/>
          <w:lang w:val="es-CO"/>
        </w:rPr>
        <w:t>SECOP – Publicación – Documentos</w:t>
      </w:r>
    </w:p>
    <w:p w14:paraId="2829C8CC" w14:textId="77777777" w:rsidR="00B26D02" w:rsidRPr="00883371" w:rsidRDefault="00B26D02" w:rsidP="00B26D02">
      <w:pPr>
        <w:spacing w:line="276" w:lineRule="auto"/>
        <w:jc w:val="both"/>
        <w:rPr>
          <w:rFonts w:ascii="Arial" w:hAnsi="Arial" w:cs="Arial"/>
          <w:b/>
          <w:bCs/>
          <w:sz w:val="20"/>
          <w:szCs w:val="20"/>
          <w:lang w:val="es-CO"/>
        </w:rPr>
      </w:pPr>
    </w:p>
    <w:p w14:paraId="192115C2" w14:textId="4F034124" w:rsidR="009B7F9B" w:rsidRPr="00883371" w:rsidRDefault="00B26D02" w:rsidP="0031783A">
      <w:pPr>
        <w:jc w:val="both"/>
        <w:rPr>
          <w:rFonts w:ascii="Arial" w:hAnsi="Arial" w:cs="Arial"/>
          <w:sz w:val="20"/>
          <w:szCs w:val="20"/>
          <w:lang w:val="es-ES_tradnl"/>
        </w:rPr>
      </w:pPr>
      <w:r w:rsidRPr="00883371">
        <w:rPr>
          <w:rFonts w:ascii="Arial" w:hAnsi="Arial" w:cs="Arial"/>
          <w:sz w:val="20"/>
          <w:szCs w:val="20"/>
          <w:lang w:val="es-ES_tradnl"/>
        </w:rPr>
        <w:t xml:space="preserve">Las entidades públicas sometidas al Estatuto General de Contratación de la Administración Pública, a las que no </w:t>
      </w:r>
      <w:proofErr w:type="spellStart"/>
      <w:r w:rsidRPr="00883371">
        <w:rPr>
          <w:rFonts w:ascii="Arial" w:hAnsi="Arial" w:cs="Arial"/>
          <w:sz w:val="20"/>
          <w:szCs w:val="20"/>
          <w:lang w:val="es-ES_tradnl"/>
        </w:rPr>
        <w:t>correspoda</w:t>
      </w:r>
      <w:proofErr w:type="spellEnd"/>
      <w:r w:rsidRPr="00883371">
        <w:rPr>
          <w:rFonts w:ascii="Arial" w:hAnsi="Arial" w:cs="Arial"/>
          <w:sz w:val="20"/>
          <w:szCs w:val="20"/>
          <w:lang w:val="es-ES_tradnl"/>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I, además del Plan Anual de Adquisiciones, todos los documentos, actos administrativos o actuaciones producidos con ocasión del Proceso de Contratación, dentro de los tres (3) días hábiles siguientes a su expedición. Dentro de tales documentos encontramos, entre otros, los siguientes: i) el estudio de oportunidad y conveniencia; ii) 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la oferta del adjudicatario, así como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w:t>
      </w:r>
      <w:r w:rsidRPr="00883371">
        <w:rPr>
          <w:rFonts w:ascii="Arial" w:hAnsi="Arial" w:cs="Arial"/>
          <w:sz w:val="20"/>
          <w:szCs w:val="20"/>
          <w:lang w:val="es-ES_tradnl"/>
        </w:rPr>
        <w:lastRenderedPageBreak/>
        <w:t>de Decreto 1081 de 2015, deberán publicarse las aprobaciones, autorizaciones, requerimientos o informes del supervisor o del interventor, que prueben la ejecución del contrato; xxiii) la liquidación unilateral y xxiv)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bookmarkStart w:id="2" w:name="_Hlk38283712"/>
      <w:bookmarkStart w:id="3" w:name="_Hlk38449610"/>
      <w:bookmarkStart w:id="4" w:name="_Hlk29890381"/>
    </w:p>
    <w:p w14:paraId="4AE6F08F" w14:textId="02A39AF3" w:rsidR="00985BB5" w:rsidRPr="00883371" w:rsidRDefault="00985BB5" w:rsidP="0031783A">
      <w:pPr>
        <w:jc w:val="both"/>
        <w:rPr>
          <w:rFonts w:ascii="Arial" w:hAnsi="Arial" w:cs="Arial"/>
          <w:sz w:val="20"/>
          <w:szCs w:val="20"/>
          <w:lang w:val="es-ES_tradnl"/>
        </w:rPr>
      </w:pPr>
    </w:p>
    <w:p w14:paraId="23CB0B72" w14:textId="77777777" w:rsidR="0035454C" w:rsidRPr="00883371" w:rsidRDefault="0035454C" w:rsidP="0035454C">
      <w:pPr>
        <w:autoSpaceDE w:val="0"/>
        <w:autoSpaceDN w:val="0"/>
        <w:adjustRightInd w:val="0"/>
        <w:rPr>
          <w:rFonts w:ascii="Arial" w:hAnsi="Arial" w:cs="Arial"/>
          <w:szCs w:val="24"/>
          <w:lang w:val="es-CO"/>
        </w:rPr>
      </w:pPr>
    </w:p>
    <w:p w14:paraId="7D0976DB" w14:textId="77777777" w:rsidR="00552547" w:rsidRPr="00883371" w:rsidRDefault="00552547" w:rsidP="00552547">
      <w:pPr>
        <w:rPr>
          <w:rFonts w:ascii="Arial" w:hAnsi="Arial" w:cs="Arial"/>
          <w:b/>
          <w:sz w:val="22"/>
        </w:rPr>
      </w:pPr>
      <w:r w:rsidRPr="00883371">
        <w:rPr>
          <w:rFonts w:ascii="Arial" w:hAnsi="Arial" w:cs="Arial"/>
          <w:sz w:val="22"/>
        </w:rPr>
        <w:t xml:space="preserve">Bogotá D.C., </w:t>
      </w:r>
      <w:r w:rsidRPr="00883371">
        <w:rPr>
          <w:rFonts w:ascii="Arial" w:hAnsi="Arial" w:cs="Arial"/>
          <w:b/>
          <w:sz w:val="22"/>
        </w:rPr>
        <w:t>##FechaActual</w:t>
      </w:r>
    </w:p>
    <w:p w14:paraId="6F21B886" w14:textId="77777777" w:rsidR="00552547" w:rsidRPr="00883371" w:rsidRDefault="00552547" w:rsidP="00552547">
      <w:pPr>
        <w:jc w:val="right"/>
        <w:rPr>
          <w:rFonts w:ascii="Arial" w:eastAsia="Calibri" w:hAnsi="Arial" w:cs="Arial"/>
          <w:sz w:val="22"/>
        </w:rPr>
      </w:pPr>
      <w:proofErr w:type="spellStart"/>
      <w:r w:rsidRPr="00883371">
        <w:rPr>
          <w:rFonts w:ascii="Arial" w:hAnsi="Arial" w:cs="Arial"/>
          <w:b/>
          <w:sz w:val="22"/>
        </w:rPr>
        <w:t>N°</w:t>
      </w:r>
      <w:proofErr w:type="spellEnd"/>
      <w:r w:rsidRPr="00883371">
        <w:rPr>
          <w:rFonts w:ascii="Arial" w:hAnsi="Arial" w:cs="Arial"/>
          <w:b/>
          <w:sz w:val="22"/>
        </w:rPr>
        <w:t xml:space="preserve"> Radicado: ##Respuesta</w:t>
      </w:r>
    </w:p>
    <w:p w14:paraId="3376EEB4" w14:textId="77777777" w:rsidR="009B7F9B" w:rsidRPr="00883371" w:rsidRDefault="009B7F9B" w:rsidP="009B7F9B">
      <w:pPr>
        <w:rPr>
          <w:rFonts w:ascii="Arial" w:eastAsia="Calibri" w:hAnsi="Arial" w:cs="Arial"/>
          <w:sz w:val="22"/>
        </w:rPr>
      </w:pPr>
    </w:p>
    <w:p w14:paraId="74B03CCA" w14:textId="16A1F612" w:rsidR="009B7F9B" w:rsidRPr="00883371" w:rsidRDefault="009B7F9B" w:rsidP="009B7F9B">
      <w:pPr>
        <w:rPr>
          <w:rFonts w:ascii="Arial" w:eastAsia="Calibri" w:hAnsi="Arial" w:cs="Arial"/>
          <w:sz w:val="22"/>
        </w:rPr>
      </w:pPr>
      <w:r w:rsidRPr="00883371">
        <w:rPr>
          <w:rFonts w:ascii="Arial" w:eastAsia="Calibri" w:hAnsi="Arial" w:cs="Arial"/>
          <w:sz w:val="22"/>
        </w:rPr>
        <w:t>Señor</w:t>
      </w:r>
    </w:p>
    <w:p w14:paraId="6E56B47D" w14:textId="0F3D43D5" w:rsidR="00552547" w:rsidRPr="00883371" w:rsidRDefault="00552547" w:rsidP="009B7F9B">
      <w:pPr>
        <w:rPr>
          <w:rFonts w:ascii="Arial" w:eastAsia="Calibri" w:hAnsi="Arial" w:cs="Arial"/>
          <w:b/>
          <w:sz w:val="22"/>
        </w:rPr>
      </w:pPr>
      <w:proofErr w:type="spellStart"/>
      <w:r w:rsidRPr="00883371">
        <w:rPr>
          <w:rFonts w:ascii="Arial" w:eastAsia="Calibri" w:hAnsi="Arial" w:cs="Arial"/>
          <w:b/>
          <w:sz w:val="22"/>
        </w:rPr>
        <w:t>Nicolay</w:t>
      </w:r>
      <w:proofErr w:type="spellEnd"/>
      <w:r w:rsidRPr="00883371">
        <w:rPr>
          <w:rFonts w:ascii="Arial" w:eastAsia="Calibri" w:hAnsi="Arial" w:cs="Arial"/>
          <w:b/>
          <w:sz w:val="22"/>
        </w:rPr>
        <w:t xml:space="preserve"> David O. </w:t>
      </w:r>
      <w:proofErr w:type="spellStart"/>
      <w:r w:rsidRPr="00883371">
        <w:rPr>
          <w:rFonts w:ascii="Arial" w:eastAsia="Calibri" w:hAnsi="Arial" w:cs="Arial"/>
          <w:b/>
          <w:sz w:val="22"/>
        </w:rPr>
        <w:t>Romanovsky</w:t>
      </w:r>
      <w:proofErr w:type="spellEnd"/>
      <w:r w:rsidRPr="00883371">
        <w:rPr>
          <w:rFonts w:ascii="Arial" w:eastAsia="Calibri" w:hAnsi="Arial" w:cs="Arial"/>
          <w:b/>
          <w:sz w:val="22"/>
        </w:rPr>
        <w:t xml:space="preserve"> Camacho </w:t>
      </w:r>
    </w:p>
    <w:p w14:paraId="62AAF159" w14:textId="38AD605D" w:rsidR="009B7F9B" w:rsidRPr="00883371" w:rsidRDefault="00AD299B" w:rsidP="009B7F9B">
      <w:pPr>
        <w:rPr>
          <w:rFonts w:ascii="Arial" w:eastAsia="Calibri" w:hAnsi="Arial" w:cs="Arial"/>
          <w:sz w:val="22"/>
        </w:rPr>
      </w:pPr>
      <w:r w:rsidRPr="00883371">
        <w:rPr>
          <w:rFonts w:ascii="Arial" w:eastAsia="Calibri" w:hAnsi="Arial" w:cs="Arial"/>
          <w:sz w:val="22"/>
        </w:rPr>
        <w:t>Bogotá D.C.</w:t>
      </w:r>
    </w:p>
    <w:p w14:paraId="52F9C018" w14:textId="77777777" w:rsidR="009B7F9B" w:rsidRPr="00883371" w:rsidRDefault="009B7F9B" w:rsidP="009B7F9B">
      <w:pPr>
        <w:rPr>
          <w:rFonts w:ascii="Arial" w:eastAsia="Calibri" w:hAnsi="Arial" w:cs="Arial"/>
          <w:sz w:val="22"/>
        </w:rPr>
      </w:pPr>
    </w:p>
    <w:p w14:paraId="2921B229" w14:textId="77777777" w:rsidR="009B7F9B" w:rsidRPr="00883371" w:rsidRDefault="009B7F9B" w:rsidP="009B7F9B">
      <w:pPr>
        <w:rPr>
          <w:rFonts w:ascii="Arial" w:eastAsia="Calibri" w:hAnsi="Arial" w:cs="Arial"/>
          <w:sz w:val="22"/>
        </w:rPr>
      </w:pPr>
    </w:p>
    <w:p w14:paraId="0CBC855F" w14:textId="5E218422" w:rsidR="009B7F9B" w:rsidRPr="00883371" w:rsidRDefault="00AE5EFA" w:rsidP="008C0579">
      <w:pPr>
        <w:rPr>
          <w:rFonts w:ascii="Arial" w:eastAsia="Calibri" w:hAnsi="Arial" w:cs="Arial"/>
          <w:b/>
          <w:sz w:val="22"/>
        </w:rPr>
      </w:pPr>
      <w:r w:rsidRPr="00883371">
        <w:rPr>
          <w:rFonts w:ascii="Arial" w:eastAsia="Calibri" w:hAnsi="Arial" w:cs="Arial"/>
          <w:b/>
          <w:sz w:val="22"/>
        </w:rPr>
        <w:t xml:space="preserve">                                            </w:t>
      </w:r>
      <w:r w:rsidR="009B7F9B" w:rsidRPr="000A4698">
        <w:rPr>
          <w:rFonts w:ascii="Arial" w:eastAsia="Calibri" w:hAnsi="Arial" w:cs="Arial"/>
          <w:b/>
          <w:sz w:val="22"/>
        </w:rPr>
        <w:t xml:space="preserve">Concepto C – </w:t>
      </w:r>
      <w:r w:rsidR="000A4698">
        <w:rPr>
          <w:rFonts w:ascii="Arial" w:eastAsia="Calibri" w:hAnsi="Arial" w:cs="Arial"/>
          <w:b/>
          <w:sz w:val="22"/>
        </w:rPr>
        <w:t>575</w:t>
      </w:r>
      <w:r w:rsidR="006E15C5" w:rsidRPr="000A4698">
        <w:rPr>
          <w:rFonts w:ascii="Arial" w:eastAsia="Calibri" w:hAnsi="Arial" w:cs="Arial"/>
          <w:b/>
          <w:sz w:val="22"/>
        </w:rPr>
        <w:t xml:space="preserve"> </w:t>
      </w:r>
      <w:r w:rsidR="009B7F9B" w:rsidRPr="000A4698">
        <w:rPr>
          <w:rFonts w:ascii="Arial" w:eastAsia="Calibri" w:hAnsi="Arial" w:cs="Arial"/>
          <w:b/>
          <w:sz w:val="22"/>
        </w:rPr>
        <w:t>de 2020</w:t>
      </w:r>
    </w:p>
    <w:p w14:paraId="232ADF37" w14:textId="77777777" w:rsidR="009B7F9B" w:rsidRPr="00883371" w:rsidRDefault="009B7F9B"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83371" w:rsidRPr="00883371" w14:paraId="2123D216" w14:textId="77777777" w:rsidTr="008007A7">
        <w:trPr>
          <w:trHeight w:val="1029"/>
        </w:trPr>
        <w:tc>
          <w:tcPr>
            <w:tcW w:w="2689" w:type="dxa"/>
            <w:hideMark/>
          </w:tcPr>
          <w:p w14:paraId="3EC1F9B4" w14:textId="77777777" w:rsidR="009B7F9B" w:rsidRPr="00883371" w:rsidRDefault="009B7F9B" w:rsidP="008007A7">
            <w:pPr>
              <w:rPr>
                <w:rFonts w:ascii="Arial" w:eastAsia="Calibri" w:hAnsi="Arial" w:cs="Arial"/>
                <w:sz w:val="22"/>
              </w:rPr>
            </w:pPr>
            <w:r w:rsidRPr="00883371">
              <w:rPr>
                <w:rFonts w:ascii="Arial" w:eastAsia="Calibri" w:hAnsi="Arial" w:cs="Arial"/>
                <w:b/>
                <w:sz w:val="22"/>
              </w:rPr>
              <w:t>Temas:</w:t>
            </w:r>
            <w:r w:rsidRPr="00883371">
              <w:rPr>
                <w:rFonts w:ascii="Arial" w:eastAsia="Calibri" w:hAnsi="Arial" w:cs="Arial"/>
                <w:sz w:val="22"/>
              </w:rPr>
              <w:t xml:space="preserve">              </w:t>
            </w:r>
          </w:p>
        </w:tc>
        <w:tc>
          <w:tcPr>
            <w:tcW w:w="6237" w:type="dxa"/>
            <w:hideMark/>
          </w:tcPr>
          <w:p w14:paraId="32953520" w14:textId="1A6A10AB" w:rsidR="009B7F9B" w:rsidRPr="00883371" w:rsidRDefault="00E216F2" w:rsidP="008C0579">
            <w:pPr>
              <w:spacing w:after="120"/>
              <w:jc w:val="both"/>
              <w:rPr>
                <w:rFonts w:ascii="Arial" w:eastAsia="Calibri" w:hAnsi="Arial" w:cs="Arial"/>
                <w:sz w:val="22"/>
                <w:lang w:val="es-CO"/>
              </w:rPr>
            </w:pPr>
            <w:r w:rsidRPr="00883371">
              <w:rPr>
                <w:rFonts w:ascii="Arial" w:eastAsia="Calibri" w:hAnsi="Arial" w:cs="Arial"/>
                <w:sz w:val="22"/>
              </w:rPr>
              <w:t xml:space="preserve">CONVENIOS INTERADMINISTRATIVOS – Definición / CONVENIOS INTERADMINISTRATIVOS – Criterio orgánico – Régimen jurídico / </w:t>
            </w:r>
            <w:r w:rsidR="009B7F9B" w:rsidRPr="00883371">
              <w:rPr>
                <w:rFonts w:ascii="Arial" w:eastAsia="Calibri" w:hAnsi="Arial" w:cs="Arial"/>
                <w:sz w:val="22"/>
              </w:rPr>
              <w:t>PRINCIPIO DE PUBLICIDAD – Noción – Acceso a la información pública / SECOP – Deber de publicación –  Finalidad – Principio de publicidad – Ejecución de recursos públicos / PLAN ANUAL DE ADQUISICIONES – Publicación – Fundamento normativo / SECOP I y SECOP II – Naturaleza – Medio de publicidad – Plataforma transaccional / SECOP II – Obligatoriedad</w:t>
            </w:r>
            <w:r w:rsidR="00492D50" w:rsidRPr="00883371">
              <w:rPr>
                <w:rFonts w:ascii="Arial" w:eastAsia="Calibri" w:hAnsi="Arial" w:cs="Arial"/>
                <w:sz w:val="22"/>
              </w:rPr>
              <w:t xml:space="preserve"> / SECOP – Publicación – Documentos </w:t>
            </w:r>
            <w:r w:rsidR="00985BB5" w:rsidRPr="00883371">
              <w:rPr>
                <w:rFonts w:ascii="Arial" w:eastAsia="Calibri" w:hAnsi="Arial" w:cs="Arial"/>
                <w:sz w:val="22"/>
              </w:rPr>
              <w:t>/ SECOP – Publicidad – Aclaraciones – Reserva</w:t>
            </w:r>
          </w:p>
        </w:tc>
      </w:tr>
      <w:tr w:rsidR="00842EFF" w:rsidRPr="00883371" w14:paraId="0EED7CDA" w14:textId="77777777" w:rsidTr="008007A7">
        <w:trPr>
          <w:trHeight w:val="264"/>
        </w:trPr>
        <w:tc>
          <w:tcPr>
            <w:tcW w:w="2689" w:type="dxa"/>
          </w:tcPr>
          <w:p w14:paraId="763F5813" w14:textId="77777777" w:rsidR="009B7F9B" w:rsidRPr="00883371" w:rsidRDefault="009B7F9B" w:rsidP="008007A7">
            <w:pPr>
              <w:rPr>
                <w:rFonts w:ascii="Arial" w:eastAsia="Calibri" w:hAnsi="Arial" w:cs="Arial"/>
                <w:b/>
                <w:sz w:val="22"/>
              </w:rPr>
            </w:pPr>
            <w:r w:rsidRPr="00883371">
              <w:rPr>
                <w:rFonts w:ascii="Arial" w:eastAsia="Calibri" w:hAnsi="Arial" w:cs="Arial"/>
                <w:b/>
                <w:sz w:val="22"/>
              </w:rPr>
              <w:t>Radicación:</w:t>
            </w:r>
            <w:r w:rsidRPr="00883371">
              <w:rPr>
                <w:rFonts w:ascii="Arial" w:eastAsia="Calibri" w:hAnsi="Arial" w:cs="Arial"/>
                <w:sz w:val="22"/>
              </w:rPr>
              <w:t xml:space="preserve">                              </w:t>
            </w:r>
          </w:p>
        </w:tc>
        <w:tc>
          <w:tcPr>
            <w:tcW w:w="6237" w:type="dxa"/>
          </w:tcPr>
          <w:p w14:paraId="7722D90B" w14:textId="32DD6FA6" w:rsidR="009B7F9B" w:rsidRPr="00883371" w:rsidRDefault="009B7F9B" w:rsidP="008007A7">
            <w:pPr>
              <w:jc w:val="both"/>
              <w:rPr>
                <w:rFonts w:ascii="Arial" w:eastAsia="Calibri" w:hAnsi="Arial" w:cs="Arial"/>
                <w:sz w:val="22"/>
              </w:rPr>
            </w:pPr>
            <w:r w:rsidRPr="00883371">
              <w:rPr>
                <w:rFonts w:ascii="Arial" w:eastAsia="Calibri" w:hAnsi="Arial" w:cs="Arial"/>
                <w:sz w:val="22"/>
              </w:rPr>
              <w:t xml:space="preserve">Respuesta consulta # </w:t>
            </w:r>
            <w:r w:rsidR="00AD299B" w:rsidRPr="00883371">
              <w:rPr>
                <w:rFonts w:ascii="Arial" w:eastAsia="Calibri" w:hAnsi="Arial" w:cs="Arial"/>
                <w:sz w:val="22"/>
              </w:rPr>
              <w:t>420201300000</w:t>
            </w:r>
            <w:r w:rsidR="00552547" w:rsidRPr="00883371">
              <w:rPr>
                <w:rFonts w:ascii="Arial" w:eastAsia="Calibri" w:hAnsi="Arial" w:cs="Arial"/>
                <w:sz w:val="22"/>
              </w:rPr>
              <w:t>7137</w:t>
            </w:r>
          </w:p>
        </w:tc>
      </w:tr>
    </w:tbl>
    <w:p w14:paraId="47DB626E" w14:textId="77777777" w:rsidR="009B7F9B" w:rsidRPr="00883371" w:rsidRDefault="009B7F9B" w:rsidP="008C0579">
      <w:pPr>
        <w:spacing w:line="276" w:lineRule="auto"/>
        <w:rPr>
          <w:rFonts w:ascii="Arial" w:eastAsia="Calibri" w:hAnsi="Arial" w:cs="Arial"/>
          <w:sz w:val="22"/>
        </w:rPr>
      </w:pPr>
    </w:p>
    <w:p w14:paraId="4EEEC9F2" w14:textId="77777777" w:rsidR="009B7F9B" w:rsidRPr="00883371" w:rsidRDefault="009B7F9B" w:rsidP="008C0579">
      <w:pPr>
        <w:spacing w:line="276" w:lineRule="auto"/>
        <w:rPr>
          <w:rFonts w:ascii="Arial" w:eastAsia="Calibri" w:hAnsi="Arial" w:cs="Arial"/>
          <w:sz w:val="22"/>
        </w:rPr>
      </w:pPr>
    </w:p>
    <w:p w14:paraId="39C63AA8" w14:textId="7B7DC8D7" w:rsidR="009B7F9B" w:rsidRPr="00883371" w:rsidRDefault="009B7F9B" w:rsidP="008C0579">
      <w:pPr>
        <w:spacing w:line="276" w:lineRule="auto"/>
        <w:rPr>
          <w:rFonts w:ascii="Arial" w:eastAsia="Calibri" w:hAnsi="Arial" w:cs="Arial"/>
          <w:sz w:val="22"/>
        </w:rPr>
      </w:pPr>
      <w:r w:rsidRPr="00883371">
        <w:rPr>
          <w:rFonts w:ascii="Arial" w:eastAsia="Calibri" w:hAnsi="Arial" w:cs="Arial"/>
          <w:sz w:val="22"/>
        </w:rPr>
        <w:t>Estimad</w:t>
      </w:r>
      <w:r w:rsidR="00552547" w:rsidRPr="00883371">
        <w:rPr>
          <w:rFonts w:ascii="Arial" w:eastAsia="Calibri" w:hAnsi="Arial" w:cs="Arial"/>
          <w:sz w:val="22"/>
        </w:rPr>
        <w:t>o</w:t>
      </w:r>
      <w:r w:rsidRPr="00883371">
        <w:rPr>
          <w:rFonts w:ascii="Arial" w:eastAsia="Calibri" w:hAnsi="Arial" w:cs="Arial"/>
          <w:sz w:val="22"/>
        </w:rPr>
        <w:t xml:space="preserve"> señor </w:t>
      </w:r>
      <w:proofErr w:type="spellStart"/>
      <w:r w:rsidR="00552547" w:rsidRPr="00883371">
        <w:rPr>
          <w:rFonts w:ascii="Arial" w:eastAsia="Calibri" w:hAnsi="Arial" w:cs="Arial"/>
          <w:sz w:val="22"/>
        </w:rPr>
        <w:t>Romanovsky</w:t>
      </w:r>
      <w:proofErr w:type="spellEnd"/>
      <w:r w:rsidR="006E15C5" w:rsidRPr="00883371">
        <w:rPr>
          <w:rFonts w:ascii="Arial" w:eastAsia="Calibri" w:hAnsi="Arial" w:cs="Arial"/>
          <w:sz w:val="22"/>
        </w:rPr>
        <w:t>,</w:t>
      </w:r>
    </w:p>
    <w:p w14:paraId="16CB4689" w14:textId="77777777" w:rsidR="009B7F9B" w:rsidRPr="00883371" w:rsidRDefault="009B7F9B" w:rsidP="009B7F9B">
      <w:pPr>
        <w:spacing w:line="276" w:lineRule="auto"/>
        <w:jc w:val="both"/>
        <w:rPr>
          <w:rFonts w:ascii="Arial" w:eastAsia="Calibri" w:hAnsi="Arial" w:cs="Arial"/>
          <w:sz w:val="22"/>
        </w:rPr>
      </w:pPr>
    </w:p>
    <w:p w14:paraId="0F5DA20E" w14:textId="40AF94FE" w:rsidR="009B7F9B" w:rsidRPr="00883371" w:rsidRDefault="009B7F9B" w:rsidP="009B7F9B">
      <w:pPr>
        <w:spacing w:line="276" w:lineRule="auto"/>
        <w:jc w:val="both"/>
        <w:rPr>
          <w:rFonts w:ascii="Arial" w:eastAsia="Calibri" w:hAnsi="Arial" w:cs="Arial"/>
          <w:sz w:val="22"/>
        </w:rPr>
      </w:pPr>
      <w:r w:rsidRPr="00883371">
        <w:rPr>
          <w:rFonts w:ascii="Arial" w:eastAsia="Calibri" w:hAnsi="Arial" w:cs="Arial"/>
          <w:sz w:val="22"/>
        </w:rPr>
        <w:t xml:space="preserve">La Agencia Nacional de Contratación Pública – Colombia Compra Eficiente responde su consulta del </w:t>
      </w:r>
      <w:r w:rsidR="00552547" w:rsidRPr="00883371">
        <w:rPr>
          <w:rFonts w:ascii="Arial" w:eastAsia="Calibri" w:hAnsi="Arial" w:cs="Arial"/>
          <w:sz w:val="22"/>
        </w:rPr>
        <w:t>19</w:t>
      </w:r>
      <w:r w:rsidR="00B133F1" w:rsidRPr="00883371">
        <w:rPr>
          <w:rFonts w:ascii="Arial" w:eastAsia="Calibri" w:hAnsi="Arial" w:cs="Arial"/>
          <w:sz w:val="22"/>
        </w:rPr>
        <w:t xml:space="preserve"> </w:t>
      </w:r>
      <w:r w:rsidRPr="00883371">
        <w:rPr>
          <w:rFonts w:ascii="Arial" w:eastAsia="Calibri" w:hAnsi="Arial" w:cs="Arial"/>
          <w:sz w:val="22"/>
        </w:rPr>
        <w:t xml:space="preserve">de </w:t>
      </w:r>
      <w:r w:rsidR="00B133F1" w:rsidRPr="00883371">
        <w:rPr>
          <w:rFonts w:ascii="Arial" w:eastAsia="Calibri" w:hAnsi="Arial" w:cs="Arial"/>
          <w:sz w:val="22"/>
        </w:rPr>
        <w:t>agosto</w:t>
      </w:r>
      <w:r w:rsidR="006E15C5" w:rsidRPr="00883371">
        <w:rPr>
          <w:rFonts w:ascii="Arial" w:eastAsia="Calibri" w:hAnsi="Arial" w:cs="Arial"/>
          <w:sz w:val="22"/>
        </w:rPr>
        <w:t xml:space="preserve"> </w:t>
      </w:r>
      <w:r w:rsidRPr="00883371">
        <w:rPr>
          <w:rFonts w:ascii="Arial" w:eastAsia="Calibri" w:hAnsi="Arial" w:cs="Arial"/>
          <w:sz w:val="22"/>
        </w:rPr>
        <w:t>de 2020, en ejercicio de la competencia otorgada por el numeral 5 del artículo 3 y por el numeral 8 del artículo 11 del Decreto 4170 de 2011.</w:t>
      </w:r>
    </w:p>
    <w:p w14:paraId="161EB3FA" w14:textId="77777777" w:rsidR="009B7F9B" w:rsidRPr="00883371" w:rsidRDefault="009B7F9B" w:rsidP="009B7F9B">
      <w:pPr>
        <w:spacing w:line="276" w:lineRule="auto"/>
        <w:jc w:val="both"/>
        <w:rPr>
          <w:rFonts w:ascii="Arial" w:eastAsia="Calibri" w:hAnsi="Arial" w:cs="Arial"/>
          <w:sz w:val="22"/>
        </w:rPr>
      </w:pPr>
    </w:p>
    <w:p w14:paraId="32EB3CD6" w14:textId="77777777" w:rsidR="009B7F9B" w:rsidRPr="00883371"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883371">
        <w:rPr>
          <w:rFonts w:ascii="Arial" w:eastAsia="Calibri" w:hAnsi="Arial" w:cs="Arial"/>
          <w:b/>
          <w:sz w:val="22"/>
        </w:rPr>
        <w:t>Problemas planteados</w:t>
      </w:r>
    </w:p>
    <w:p w14:paraId="0589AE5E" w14:textId="77777777" w:rsidR="009B7F9B" w:rsidRPr="00883371" w:rsidRDefault="009B7F9B" w:rsidP="009B7F9B">
      <w:pPr>
        <w:pStyle w:val="Prrafodelista"/>
        <w:tabs>
          <w:tab w:val="left" w:pos="284"/>
        </w:tabs>
        <w:spacing w:line="276" w:lineRule="auto"/>
        <w:ind w:left="0"/>
        <w:rPr>
          <w:rFonts w:ascii="Arial" w:eastAsia="Calibri" w:hAnsi="Arial" w:cs="Arial"/>
          <w:b/>
          <w:sz w:val="22"/>
        </w:rPr>
      </w:pPr>
    </w:p>
    <w:p w14:paraId="0DF310B6" w14:textId="406068EE" w:rsidR="009B7F9B" w:rsidRPr="00883371" w:rsidRDefault="00BA740B" w:rsidP="00552547">
      <w:pPr>
        <w:autoSpaceDE w:val="0"/>
        <w:autoSpaceDN w:val="0"/>
        <w:adjustRightInd w:val="0"/>
        <w:spacing w:after="120" w:line="276" w:lineRule="auto"/>
        <w:jc w:val="both"/>
        <w:rPr>
          <w:rFonts w:ascii="Arial" w:hAnsi="Arial" w:cs="Arial"/>
          <w:sz w:val="22"/>
          <w:lang w:val="es-CO"/>
        </w:rPr>
      </w:pPr>
      <w:bookmarkStart w:id="5" w:name="_Hlk44670585"/>
      <w:r w:rsidRPr="00883371">
        <w:rPr>
          <w:rFonts w:ascii="Arial" w:eastAsia="Calibri" w:hAnsi="Arial" w:cs="Arial"/>
          <w:sz w:val="22"/>
        </w:rPr>
        <w:t xml:space="preserve">En </w:t>
      </w:r>
      <w:r w:rsidR="00552547" w:rsidRPr="00883371">
        <w:rPr>
          <w:rFonts w:ascii="Arial" w:eastAsia="Calibri" w:hAnsi="Arial" w:cs="Arial"/>
          <w:sz w:val="22"/>
        </w:rPr>
        <w:t>su petición del 19 de agosto de 2020</w:t>
      </w:r>
      <w:r w:rsidRPr="00883371">
        <w:rPr>
          <w:rFonts w:ascii="Arial" w:eastAsia="Calibri" w:hAnsi="Arial" w:cs="Arial"/>
          <w:sz w:val="22"/>
        </w:rPr>
        <w:t xml:space="preserve">, usted </w:t>
      </w:r>
      <w:r w:rsidR="00B133F1" w:rsidRPr="00883371">
        <w:rPr>
          <w:rFonts w:ascii="Arial" w:eastAsia="Calibri" w:hAnsi="Arial" w:cs="Arial"/>
          <w:sz w:val="22"/>
        </w:rPr>
        <w:t>formul</w:t>
      </w:r>
      <w:r w:rsidR="00552547" w:rsidRPr="00883371">
        <w:rPr>
          <w:rFonts w:ascii="Arial" w:eastAsia="Calibri" w:hAnsi="Arial" w:cs="Arial"/>
          <w:sz w:val="22"/>
        </w:rPr>
        <w:t>ó</w:t>
      </w:r>
      <w:r w:rsidR="00B133F1" w:rsidRPr="00883371">
        <w:rPr>
          <w:rFonts w:ascii="Arial" w:eastAsia="Calibri" w:hAnsi="Arial" w:cs="Arial"/>
          <w:sz w:val="22"/>
        </w:rPr>
        <w:t xml:space="preserve"> la siguiente pregunta</w:t>
      </w:r>
      <w:r w:rsidR="00752F9B" w:rsidRPr="00883371">
        <w:rPr>
          <w:rFonts w:ascii="Arial" w:eastAsia="Calibri" w:hAnsi="Arial" w:cs="Arial"/>
          <w:sz w:val="22"/>
        </w:rPr>
        <w:t>:</w:t>
      </w:r>
      <w:r w:rsidR="009B7F9B" w:rsidRPr="00883371">
        <w:rPr>
          <w:rFonts w:ascii="Arial" w:eastAsia="Calibri" w:hAnsi="Arial" w:cs="Arial"/>
          <w:sz w:val="22"/>
        </w:rPr>
        <w:t xml:space="preserve"> </w:t>
      </w:r>
      <w:bookmarkStart w:id="6" w:name="_Hlk40095622"/>
      <w:r w:rsidR="009B7F9B" w:rsidRPr="00883371">
        <w:rPr>
          <w:rFonts w:ascii="Arial" w:eastAsia="Calibri" w:hAnsi="Arial" w:cs="Arial"/>
          <w:sz w:val="22"/>
        </w:rPr>
        <w:t xml:space="preserve">«[…] </w:t>
      </w:r>
      <w:r w:rsidR="00552547" w:rsidRPr="00883371">
        <w:rPr>
          <w:rFonts w:ascii="Arial" w:hAnsi="Arial" w:cs="Arial"/>
          <w:sz w:val="22"/>
          <w:lang w:val="es-CO"/>
        </w:rPr>
        <w:t xml:space="preserve">es necesario publicar los </w:t>
      </w:r>
      <w:proofErr w:type="spellStart"/>
      <w:r w:rsidR="00552547" w:rsidRPr="00883371">
        <w:rPr>
          <w:rFonts w:ascii="Arial" w:hAnsi="Arial" w:cs="Arial"/>
          <w:sz w:val="22"/>
          <w:lang w:val="es-CO"/>
        </w:rPr>
        <w:t>covenio</w:t>
      </w:r>
      <w:proofErr w:type="spellEnd"/>
      <w:r w:rsidR="00552547" w:rsidRPr="00883371">
        <w:rPr>
          <w:rFonts w:ascii="Arial" w:hAnsi="Arial" w:cs="Arial"/>
          <w:sz w:val="22"/>
          <w:lang w:val="es-CO"/>
        </w:rPr>
        <w:t xml:space="preserve"> interadministrativos como los "marco", en los que se pactan condiciones generales sin que haya </w:t>
      </w:r>
      <w:proofErr w:type="spellStart"/>
      <w:r w:rsidR="00552547" w:rsidRPr="00883371">
        <w:rPr>
          <w:rFonts w:ascii="Arial" w:hAnsi="Arial" w:cs="Arial"/>
          <w:sz w:val="22"/>
          <w:lang w:val="es-CO"/>
        </w:rPr>
        <w:t>afectaciòn</w:t>
      </w:r>
      <w:proofErr w:type="spellEnd"/>
      <w:r w:rsidR="00552547" w:rsidRPr="00883371">
        <w:rPr>
          <w:rFonts w:ascii="Arial" w:hAnsi="Arial" w:cs="Arial"/>
          <w:sz w:val="22"/>
          <w:lang w:val="es-CO"/>
        </w:rPr>
        <w:t xml:space="preserve"> al presupuesto. </w:t>
      </w:r>
      <w:r w:rsidR="009B7F9B" w:rsidRPr="00883371">
        <w:rPr>
          <w:rFonts w:ascii="Arial" w:hAnsi="Arial" w:cs="Arial"/>
          <w:sz w:val="22"/>
          <w:lang w:val="es-CO"/>
        </w:rPr>
        <w:t>[…]».</w:t>
      </w:r>
      <w:bookmarkEnd w:id="5"/>
      <w:bookmarkEnd w:id="6"/>
    </w:p>
    <w:p w14:paraId="4DA65B36" w14:textId="05B884F9" w:rsidR="00552547" w:rsidRPr="00883371" w:rsidRDefault="00552547" w:rsidP="00E216F2">
      <w:pPr>
        <w:autoSpaceDE w:val="0"/>
        <w:autoSpaceDN w:val="0"/>
        <w:adjustRightInd w:val="0"/>
        <w:spacing w:after="120" w:line="276" w:lineRule="auto"/>
        <w:jc w:val="both"/>
        <w:rPr>
          <w:rFonts w:ascii="Arial" w:hAnsi="Arial" w:cs="Arial"/>
          <w:sz w:val="22"/>
          <w:lang w:val="es-CO"/>
        </w:rPr>
      </w:pPr>
      <w:r w:rsidRPr="00883371">
        <w:rPr>
          <w:rFonts w:ascii="Arial" w:hAnsi="Arial" w:cs="Arial"/>
          <w:sz w:val="22"/>
          <w:lang w:val="es-CO"/>
        </w:rPr>
        <w:lastRenderedPageBreak/>
        <w:tab/>
        <w:t xml:space="preserve">Respecto de dicha pregunta se solicitó aclaración de conformidad con lo dispuesto </w:t>
      </w:r>
      <w:r w:rsidR="005134C9" w:rsidRPr="00883371">
        <w:rPr>
          <w:rFonts w:ascii="Arial" w:hAnsi="Arial" w:cs="Arial"/>
          <w:sz w:val="22"/>
          <w:lang w:val="es-CO"/>
        </w:rPr>
        <w:t>en el artículo 19 de la Ley 1437 de 2011, la cual fue respondida vía correo electrónico en los siguientes términos «La consulta se eleva sobre aquellos convenios interadministrativos en las que las obligaciones que contraen las partes no son de índole pecuniario, por lo que no se afecta el presupuesto, no requieren CDP, no se incluyen en el Plan Anual de Adquisiciones. El término "marco" alude a los actos en los que se pactan las generalidades de una cooperación, como podría ser un memorando de entendimiento, o similares.</w:t>
      </w:r>
      <w:r w:rsidR="00E216F2" w:rsidRPr="00883371">
        <w:rPr>
          <w:rFonts w:ascii="Arial" w:hAnsi="Arial" w:cs="Arial"/>
          <w:sz w:val="22"/>
          <w:lang w:val="es-CO"/>
        </w:rPr>
        <w:t xml:space="preserve"> […] </w:t>
      </w:r>
      <w:r w:rsidR="005134C9" w:rsidRPr="00883371">
        <w:rPr>
          <w:rFonts w:ascii="Arial" w:hAnsi="Arial" w:cs="Arial"/>
          <w:sz w:val="22"/>
          <w:lang w:val="es-CO"/>
        </w:rPr>
        <w:t>En concreto, se consulta si es obligatoria la publicación en SECOP II de este tipo de contratos (costo 0)».</w:t>
      </w:r>
    </w:p>
    <w:p w14:paraId="1B1BBBA7" w14:textId="46DE82F4" w:rsidR="005F41C9" w:rsidRPr="00883371" w:rsidRDefault="005F41C9" w:rsidP="005134C9">
      <w:pPr>
        <w:autoSpaceDE w:val="0"/>
        <w:autoSpaceDN w:val="0"/>
        <w:adjustRightInd w:val="0"/>
        <w:spacing w:line="276" w:lineRule="auto"/>
        <w:jc w:val="both"/>
        <w:rPr>
          <w:rFonts w:ascii="Arial" w:hAnsi="Arial" w:cs="Arial"/>
          <w:sz w:val="22"/>
          <w:lang w:val="es-CO"/>
        </w:rPr>
      </w:pPr>
      <w:r w:rsidRPr="00883371">
        <w:rPr>
          <w:rFonts w:ascii="Arial" w:hAnsi="Arial" w:cs="Arial"/>
          <w:sz w:val="22"/>
          <w:lang w:val="es-CO"/>
        </w:rPr>
        <w:tab/>
        <w:t>Conforme a esto la pregunta que se resolverá en el presente concepto es la siguiente: ¿Deben publicarse en SECOP II los convenios interadministrativos celebrados sin asignación de recursos pecuniarios?</w:t>
      </w:r>
    </w:p>
    <w:p w14:paraId="1478A7F5" w14:textId="77777777" w:rsidR="009B7F9B" w:rsidRPr="00883371" w:rsidRDefault="009B7F9B" w:rsidP="009B7F9B">
      <w:pPr>
        <w:spacing w:line="276" w:lineRule="auto"/>
        <w:ind w:left="709" w:right="709"/>
        <w:jc w:val="both"/>
        <w:rPr>
          <w:rFonts w:ascii="Arial" w:eastAsia="Calibri" w:hAnsi="Arial" w:cs="Arial"/>
          <w:sz w:val="21"/>
          <w:szCs w:val="21"/>
        </w:rPr>
      </w:pPr>
    </w:p>
    <w:p w14:paraId="73D03073" w14:textId="079E6BD8" w:rsidR="009B7F9B" w:rsidRPr="00883371"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883371">
        <w:rPr>
          <w:rFonts w:ascii="Arial" w:eastAsia="Calibri" w:hAnsi="Arial" w:cs="Arial"/>
          <w:b/>
          <w:sz w:val="22"/>
        </w:rPr>
        <w:t>Consideraciones</w:t>
      </w:r>
    </w:p>
    <w:p w14:paraId="23A5AC2B" w14:textId="77777777" w:rsidR="00E216F2" w:rsidRPr="00883371" w:rsidRDefault="00E216F2" w:rsidP="008C0579">
      <w:pPr>
        <w:pStyle w:val="Prrafodelista"/>
        <w:tabs>
          <w:tab w:val="left" w:pos="284"/>
        </w:tabs>
        <w:spacing w:after="120" w:line="276" w:lineRule="auto"/>
        <w:ind w:left="0"/>
        <w:jc w:val="both"/>
        <w:rPr>
          <w:rFonts w:ascii="Arial" w:eastAsia="Calibri" w:hAnsi="Arial" w:cs="Arial"/>
          <w:sz w:val="22"/>
          <w:lang w:val="es-ES"/>
        </w:rPr>
      </w:pPr>
    </w:p>
    <w:p w14:paraId="42AFAF98" w14:textId="51592390" w:rsidR="00E216F2" w:rsidRPr="00883371" w:rsidRDefault="008C0579" w:rsidP="00E216F2">
      <w:pPr>
        <w:pStyle w:val="Prrafodelista"/>
        <w:tabs>
          <w:tab w:val="left" w:pos="284"/>
        </w:tabs>
        <w:spacing w:after="120" w:line="276" w:lineRule="auto"/>
        <w:ind w:left="0"/>
        <w:contextualSpacing w:val="0"/>
        <w:jc w:val="both"/>
        <w:rPr>
          <w:rFonts w:ascii="Arial" w:eastAsia="Calibri" w:hAnsi="Arial" w:cs="Arial"/>
          <w:sz w:val="22"/>
          <w:lang w:val="es-ES"/>
        </w:rPr>
      </w:pPr>
      <w:r w:rsidRPr="00883371">
        <w:rPr>
          <w:rFonts w:ascii="Arial" w:eastAsia="Calibri" w:hAnsi="Arial" w:cs="Arial"/>
          <w:sz w:val="22"/>
          <w:lang w:val="es-ES"/>
        </w:rPr>
        <w:t xml:space="preserve">La Agencia Nacional de Contratación Pública – Colombia Compra </w:t>
      </w:r>
      <w:proofErr w:type="gramStart"/>
      <w:r w:rsidRPr="00883371">
        <w:rPr>
          <w:rFonts w:ascii="Arial" w:eastAsia="Calibri" w:hAnsi="Arial" w:cs="Arial"/>
          <w:sz w:val="22"/>
          <w:lang w:val="es-ES"/>
        </w:rPr>
        <w:t>Eficiente</w:t>
      </w:r>
      <w:r w:rsidR="00E216F2" w:rsidRPr="00883371">
        <w:rPr>
          <w:rFonts w:ascii="Arial" w:eastAsia="Calibri" w:hAnsi="Arial" w:cs="Arial"/>
          <w:sz w:val="22"/>
          <w:lang w:val="es-ES"/>
        </w:rPr>
        <w:t xml:space="preserve">  en</w:t>
      </w:r>
      <w:proofErr w:type="gramEnd"/>
      <w:r w:rsidR="00E216F2" w:rsidRPr="00883371">
        <w:rPr>
          <w:rFonts w:ascii="Arial" w:eastAsia="Calibri" w:hAnsi="Arial" w:cs="Arial"/>
          <w:sz w:val="22"/>
          <w:lang w:val="es-ES"/>
        </w:rPr>
        <w:t xml:space="preserve"> los conceptos  con radicados Nos. 4201913000006540 del 21 de octubre de 2019, C-023 del 13 de febrero de 2020, C-032 del 19 de febrero de 2020, C-086 y C-101 del 16 de marzo de 2020, entre otros, se pronunció respecto de la naturaleza jurídica y características de los convenios interadministrativos</w:t>
      </w:r>
    </w:p>
    <w:p w14:paraId="405BE03A" w14:textId="2DCF2748" w:rsidR="008C0579" w:rsidRPr="00883371" w:rsidRDefault="00E216F2" w:rsidP="008C0579">
      <w:pPr>
        <w:pStyle w:val="Prrafodelista"/>
        <w:tabs>
          <w:tab w:val="left" w:pos="284"/>
        </w:tabs>
        <w:spacing w:after="120" w:line="276" w:lineRule="auto"/>
        <w:ind w:left="0"/>
        <w:jc w:val="both"/>
        <w:rPr>
          <w:rFonts w:ascii="Arial" w:eastAsia="Calibri" w:hAnsi="Arial" w:cs="Arial"/>
          <w:b/>
          <w:sz w:val="22"/>
        </w:rPr>
      </w:pPr>
      <w:r w:rsidRPr="00883371">
        <w:rPr>
          <w:rFonts w:ascii="Arial" w:eastAsia="Calibri" w:hAnsi="Arial" w:cs="Arial"/>
          <w:sz w:val="22"/>
          <w:lang w:val="es-ES"/>
        </w:rPr>
        <w:tab/>
        <w:t xml:space="preserve">De otra parte, esta Agencia también </w:t>
      </w:r>
      <w:r w:rsidR="008C0579" w:rsidRPr="00883371">
        <w:rPr>
          <w:rFonts w:ascii="Arial" w:eastAsia="Calibri" w:hAnsi="Arial" w:cs="Arial"/>
          <w:sz w:val="22"/>
          <w:lang w:val="es-ES"/>
        </w:rPr>
        <w:t>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w:t>
      </w:r>
      <w:r w:rsidR="0069776B" w:rsidRPr="00883371">
        <w:rPr>
          <w:rFonts w:ascii="Arial" w:eastAsia="Calibri" w:hAnsi="Arial" w:cs="Arial"/>
          <w:sz w:val="22"/>
          <w:lang w:val="es-ES"/>
        </w:rPr>
        <w:t xml:space="preserve"> reiterado por los conceptos C-433 y C-474 del 24 de julio de 2020, </w:t>
      </w:r>
      <w:proofErr w:type="spellStart"/>
      <w:r w:rsidR="0069776B" w:rsidRPr="00883371">
        <w:rPr>
          <w:rFonts w:ascii="Arial" w:eastAsia="Calibri" w:hAnsi="Arial" w:cs="Arial"/>
          <w:sz w:val="22"/>
          <w:lang w:val="es-ES"/>
        </w:rPr>
        <w:t>asi</w:t>
      </w:r>
      <w:proofErr w:type="spellEnd"/>
      <w:r w:rsidR="0069776B" w:rsidRPr="00883371">
        <w:rPr>
          <w:rFonts w:ascii="Arial" w:eastAsia="Calibri" w:hAnsi="Arial" w:cs="Arial"/>
          <w:sz w:val="22"/>
          <w:lang w:val="es-ES"/>
        </w:rPr>
        <w:t xml:space="preserve"> como en el C-508 del 31 de julio de 2020. La tesis unificada</w:t>
      </w:r>
      <w:r w:rsidR="008C0579" w:rsidRPr="00883371">
        <w:rPr>
          <w:rFonts w:ascii="Arial" w:eastAsia="Calibri" w:hAnsi="Arial" w:cs="Arial"/>
          <w:sz w:val="22"/>
          <w:lang w:val="es-ES"/>
        </w:rPr>
        <w:t xml:space="preserve"> se reitera en el presente concepto.</w:t>
      </w:r>
    </w:p>
    <w:p w14:paraId="64DB223C" w14:textId="58DDADD3" w:rsidR="009B7F9B" w:rsidRPr="00883371" w:rsidRDefault="008C0579" w:rsidP="009B7F9B">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r>
      <w:r w:rsidR="009B7F9B" w:rsidRPr="00883371">
        <w:rPr>
          <w:rFonts w:ascii="Arial" w:eastAsia="Arial" w:hAnsi="Arial" w:cs="Arial"/>
          <w:sz w:val="22"/>
          <w:lang w:val="es-ES"/>
        </w:rPr>
        <w:t xml:space="preserve">La contratación pública comprende, entre otros aspectos, la toma de decisiones del gasto que las entidades realizan como ejecución de los recursos públicos asignados para </w:t>
      </w:r>
      <w:r w:rsidR="009B7F9B" w:rsidRPr="00883371">
        <w:rPr>
          <w:rFonts w:ascii="Arial" w:eastAsia="Arial" w:hAnsi="Arial" w:cs="Arial"/>
          <w:sz w:val="22"/>
          <w:lang w:val="es-ES"/>
        </w:rPr>
        <w:lastRenderedPageBreak/>
        <w:t>adquirir bienes, obras o servicios que satisfacen sus necesidades, y en esa medida cumplen el interés general, que es la finalidad que la ley les confía a través de las funciones que se les encomiendan.</w:t>
      </w:r>
    </w:p>
    <w:p w14:paraId="45BD47BD" w14:textId="77777777" w:rsidR="009B7F9B" w:rsidRPr="00883371"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En ese sentido, teniendo en cuenta que mediante los procedimientos contractuales las entidades ejecutan recursos públicos y satisfacen el interés general, la normativa del sistema de compra pública –Ley 80 de 1993, Ley 1150 de 2007 y Decreto 1082 de 2015–, 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883371">
        <w:rPr>
          <w:rFonts w:ascii="Arial" w:eastAsia="Arial" w:hAnsi="Arial" w:cs="Arial"/>
          <w:sz w:val="22"/>
          <w:vertAlign w:val="superscript"/>
          <w:lang w:val="es-ES"/>
        </w:rPr>
        <w:footnoteReference w:id="1"/>
      </w:r>
      <w:r w:rsidRPr="00883371">
        <w:rPr>
          <w:rFonts w:ascii="Arial" w:eastAsia="Arial" w:hAnsi="Arial" w:cs="Arial"/>
          <w:sz w:val="22"/>
          <w:lang w:val="es-ES"/>
        </w:rPr>
        <w:t>, con  lo cual se puede determinar quiénes deben cumplir los principios y obligaciones señalados en las normas citadas.</w:t>
      </w:r>
    </w:p>
    <w:p w14:paraId="097605BD" w14:textId="77777777" w:rsidR="009B7F9B" w:rsidRPr="00883371"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El artículo 23 de la Ley 80 de 1993 regula los principios que rigen las actuaciones dentro de los procedimientos contractuales que adelantan las entidades</w:t>
      </w:r>
      <w:r w:rsidRPr="00883371">
        <w:rPr>
          <w:rFonts w:ascii="Arial" w:eastAsia="Arial" w:hAnsi="Arial" w:cs="Arial"/>
          <w:sz w:val="22"/>
          <w:vertAlign w:val="superscript"/>
          <w:lang w:val="es-ES"/>
        </w:rPr>
        <w:footnoteReference w:id="2"/>
      </w:r>
      <w:r w:rsidRPr="00883371">
        <w:rPr>
          <w:rFonts w:ascii="Arial" w:eastAsia="Arial" w:hAnsi="Arial" w:cs="Arial"/>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883371">
        <w:rPr>
          <w:rFonts w:ascii="Arial" w:eastAsia="Arial" w:hAnsi="Arial" w:cs="Arial"/>
          <w:sz w:val="22"/>
          <w:vertAlign w:val="superscript"/>
          <w:lang w:val="es-ES"/>
        </w:rPr>
        <w:footnoteReference w:id="3"/>
      </w:r>
      <w:r w:rsidRPr="00883371">
        <w:rPr>
          <w:rFonts w:ascii="Arial" w:eastAsia="Arial" w:hAnsi="Arial" w:cs="Arial"/>
          <w:sz w:val="22"/>
          <w:lang w:val="es-ES"/>
        </w:rPr>
        <w:t xml:space="preserve">. De esta forma, las entidades </w:t>
      </w:r>
      <w:r w:rsidRPr="00883371">
        <w:rPr>
          <w:rFonts w:ascii="Arial" w:eastAsia="Arial" w:hAnsi="Arial" w:cs="Arial"/>
          <w:sz w:val="22"/>
          <w:lang w:val="es-ES"/>
        </w:rPr>
        <w:lastRenderedPageBreak/>
        <w:t>estatales deben publicar sus actuaciones de los procedimientos contractuales en el medio que ha definido el Estado para tal fin.</w:t>
      </w:r>
    </w:p>
    <w:p w14:paraId="2EA7CA7F" w14:textId="673254D4" w:rsidR="00E216F2" w:rsidRPr="00883371" w:rsidRDefault="009B7F9B" w:rsidP="00E216F2">
      <w:pPr>
        <w:spacing w:line="276" w:lineRule="auto"/>
        <w:jc w:val="both"/>
        <w:rPr>
          <w:rFonts w:ascii="Arial" w:eastAsia="Arial" w:hAnsi="Arial" w:cs="Arial"/>
          <w:bCs/>
          <w:sz w:val="22"/>
          <w:lang w:val="es-ES"/>
        </w:rPr>
      </w:pPr>
      <w:r w:rsidRPr="00883371">
        <w:rPr>
          <w:rFonts w:ascii="Arial" w:eastAsia="Arial" w:hAnsi="Arial" w:cs="Arial"/>
          <w:sz w:val="22"/>
          <w:lang w:val="es-ES"/>
        </w:rPr>
        <w:tab/>
        <w:t xml:space="preserve">Para resolver su consulta </w:t>
      </w:r>
      <w:r w:rsidR="00994553" w:rsidRPr="00883371">
        <w:rPr>
          <w:rFonts w:ascii="Arial" w:eastAsia="Arial" w:hAnsi="Arial" w:cs="Arial"/>
          <w:sz w:val="22"/>
          <w:lang w:val="es-ES"/>
        </w:rPr>
        <w:t xml:space="preserve">se abordarán las siguientes </w:t>
      </w:r>
      <w:proofErr w:type="gramStart"/>
      <w:r w:rsidR="00994553" w:rsidRPr="00883371">
        <w:rPr>
          <w:rFonts w:ascii="Arial" w:eastAsia="Arial" w:hAnsi="Arial" w:cs="Arial"/>
          <w:sz w:val="22"/>
          <w:lang w:val="es-ES"/>
        </w:rPr>
        <w:t xml:space="preserve">temáticas </w:t>
      </w:r>
      <w:r w:rsidRPr="00883371">
        <w:rPr>
          <w:rFonts w:ascii="Arial" w:eastAsia="Arial" w:hAnsi="Arial" w:cs="Arial"/>
          <w:sz w:val="22"/>
          <w:lang w:val="es-ES"/>
        </w:rPr>
        <w:t>:</w:t>
      </w:r>
      <w:proofErr w:type="gramEnd"/>
      <w:r w:rsidRPr="00883371">
        <w:rPr>
          <w:rFonts w:ascii="Arial" w:eastAsia="Arial" w:hAnsi="Arial" w:cs="Arial"/>
          <w:sz w:val="22"/>
          <w:lang w:val="es-ES"/>
        </w:rPr>
        <w:t xml:space="preserve"> </w:t>
      </w:r>
      <w:r w:rsidR="00E216F2" w:rsidRPr="00883371">
        <w:rPr>
          <w:rFonts w:ascii="Arial" w:eastAsia="Calibri" w:hAnsi="Arial" w:cs="Arial"/>
          <w:bCs/>
          <w:sz w:val="22"/>
        </w:rPr>
        <w:t xml:space="preserve">i) los convenios o contratos interadministrativos y su regulación; </w:t>
      </w:r>
      <w:proofErr w:type="spellStart"/>
      <w:r w:rsidR="00E216F2" w:rsidRPr="00883371">
        <w:rPr>
          <w:rFonts w:ascii="Arial" w:eastAsia="Calibri" w:hAnsi="Arial" w:cs="Arial"/>
          <w:bCs/>
          <w:sz w:val="22"/>
        </w:rPr>
        <w:t>ii</w:t>
      </w:r>
      <w:proofErr w:type="spellEnd"/>
      <w:r w:rsidR="00E216F2" w:rsidRPr="00883371">
        <w:rPr>
          <w:rFonts w:ascii="Arial" w:eastAsia="Calibri" w:hAnsi="Arial" w:cs="Arial"/>
          <w:bCs/>
          <w:sz w:val="22"/>
        </w:rPr>
        <w:t xml:space="preserve">) </w:t>
      </w:r>
      <w:r w:rsidR="00E216F2" w:rsidRPr="00883371">
        <w:rPr>
          <w:rFonts w:ascii="Arial" w:eastAsia="Arial" w:hAnsi="Arial" w:cs="Arial"/>
          <w:bCs/>
          <w:sz w:val="22"/>
          <w:lang w:val="es-ES"/>
        </w:rPr>
        <w:t xml:space="preserve">principio de publicidad y acceso a la información pública; </w:t>
      </w:r>
      <w:proofErr w:type="spellStart"/>
      <w:r w:rsidR="00E216F2" w:rsidRPr="00883371">
        <w:rPr>
          <w:rFonts w:ascii="Arial" w:eastAsia="Arial" w:hAnsi="Arial" w:cs="Arial"/>
          <w:bCs/>
          <w:sz w:val="22"/>
          <w:lang w:val="es-ES"/>
        </w:rPr>
        <w:t>iii</w:t>
      </w:r>
      <w:proofErr w:type="spellEnd"/>
      <w:r w:rsidR="00E216F2" w:rsidRPr="00883371">
        <w:rPr>
          <w:rFonts w:ascii="Arial" w:eastAsia="Arial" w:hAnsi="Arial" w:cs="Arial"/>
          <w:bCs/>
          <w:sz w:val="22"/>
          <w:lang w:val="es-ES"/>
        </w:rPr>
        <w:t>) p</w:t>
      </w:r>
      <w:r w:rsidR="00E216F2" w:rsidRPr="00883371">
        <w:rPr>
          <w:rFonts w:ascii="Arial" w:eastAsia="Calibri" w:hAnsi="Arial" w:cs="Arial"/>
          <w:bCs/>
          <w:sz w:val="22"/>
          <w:lang w:val="es-ES"/>
        </w:rPr>
        <w:t xml:space="preserve">rocedimientos contractuales, publicidad y documentos que deben publicar en el SECOP I las entidades estatales sometidas al Estatuto General de Contratación de la Administración Pública; y </w:t>
      </w:r>
      <w:proofErr w:type="spellStart"/>
      <w:r w:rsidR="00E216F2" w:rsidRPr="00883371">
        <w:rPr>
          <w:rFonts w:ascii="Arial" w:eastAsia="Calibri" w:hAnsi="Arial" w:cs="Arial"/>
          <w:bCs/>
          <w:sz w:val="22"/>
          <w:lang w:val="es-ES"/>
        </w:rPr>
        <w:t>iv</w:t>
      </w:r>
      <w:proofErr w:type="spellEnd"/>
      <w:r w:rsidR="00E216F2" w:rsidRPr="00883371">
        <w:rPr>
          <w:rFonts w:ascii="Arial" w:eastAsia="Calibri" w:hAnsi="Arial" w:cs="Arial"/>
          <w:bCs/>
          <w:sz w:val="22"/>
          <w:lang w:val="es-ES"/>
        </w:rPr>
        <w:t>) p</w:t>
      </w:r>
      <w:proofErr w:type="spellStart"/>
      <w:r w:rsidR="00E216F2" w:rsidRPr="00883371">
        <w:rPr>
          <w:rFonts w:ascii="Arial" w:eastAsia="Calibri" w:hAnsi="Arial" w:cs="Arial"/>
          <w:bCs/>
          <w:sz w:val="22"/>
        </w:rPr>
        <w:t>ublicidad</w:t>
      </w:r>
      <w:proofErr w:type="spellEnd"/>
      <w:r w:rsidR="00E216F2" w:rsidRPr="00883371">
        <w:rPr>
          <w:rFonts w:ascii="Arial" w:eastAsia="Calibri" w:hAnsi="Arial" w:cs="Arial"/>
          <w:bCs/>
          <w:sz w:val="22"/>
        </w:rPr>
        <w:t xml:space="preserve"> en las plataformas SECOP I y II.</w:t>
      </w:r>
    </w:p>
    <w:p w14:paraId="5BEFF799" w14:textId="6EE14133" w:rsidR="009B7F9B" w:rsidRPr="00883371"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2E8BDB35" w14:textId="6765F0F4" w:rsidR="005134C9" w:rsidRPr="00883371" w:rsidRDefault="005134C9" w:rsidP="005134C9">
      <w:pPr>
        <w:pStyle w:val="Prrafodelista"/>
        <w:numPr>
          <w:ilvl w:val="1"/>
          <w:numId w:val="8"/>
        </w:numPr>
        <w:spacing w:line="276" w:lineRule="auto"/>
        <w:ind w:left="567" w:hanging="578"/>
        <w:jc w:val="both"/>
        <w:rPr>
          <w:rFonts w:ascii="Arial" w:eastAsia="Calibri" w:hAnsi="Arial" w:cs="Arial"/>
          <w:b/>
          <w:sz w:val="22"/>
        </w:rPr>
      </w:pPr>
      <w:r w:rsidRPr="00883371">
        <w:rPr>
          <w:rFonts w:ascii="Arial" w:eastAsia="Calibri" w:hAnsi="Arial" w:cs="Arial"/>
          <w:b/>
          <w:sz w:val="22"/>
        </w:rPr>
        <w:t xml:space="preserve">Los convenios o contratos interadministrativos y su regulación </w:t>
      </w:r>
    </w:p>
    <w:p w14:paraId="4665463D" w14:textId="77777777" w:rsidR="005134C9" w:rsidRPr="00883371" w:rsidRDefault="005134C9" w:rsidP="005134C9">
      <w:pPr>
        <w:jc w:val="both"/>
        <w:rPr>
          <w:rFonts w:ascii="Arial" w:eastAsia="Calibri" w:hAnsi="Arial" w:cs="Arial"/>
          <w:sz w:val="22"/>
        </w:rPr>
      </w:pPr>
    </w:p>
    <w:p w14:paraId="36445EAA" w14:textId="77777777" w:rsidR="005134C9" w:rsidRPr="00883371" w:rsidRDefault="005134C9" w:rsidP="005134C9">
      <w:pPr>
        <w:spacing w:after="120" w:line="276" w:lineRule="auto"/>
        <w:jc w:val="both"/>
        <w:rPr>
          <w:rFonts w:ascii="Arial" w:eastAsia="Calibri" w:hAnsi="Arial" w:cs="Arial"/>
          <w:sz w:val="22"/>
        </w:rPr>
      </w:pPr>
      <w:r w:rsidRPr="00883371">
        <w:rPr>
          <w:rFonts w:ascii="Arial" w:eastAsia="Calibri" w:hAnsi="Arial" w:cs="Arial"/>
          <w:sz w:val="22"/>
        </w:rPr>
        <w:t>La tipología de contrato interadministrativo fue creada en la Ley 80 de 1993, a pesar de que dentro del texto de la misma no se realizó una definición o un desarrollo amplio respecto de este.  Dicha norma se refiere a los contratos interadministrativos al regular en su artículo 14 las facultades excepcionales de la administración, con el propósito exceptuar del ejercicio de las mismas a este tipo de contratos, tal como lo dispone el parágrafo de la norma</w:t>
      </w:r>
      <w:r w:rsidRPr="00883371">
        <w:rPr>
          <w:rStyle w:val="Refdenotaalpie"/>
          <w:rFonts w:ascii="Arial" w:eastAsia="Calibri" w:hAnsi="Arial" w:cs="Arial"/>
          <w:sz w:val="22"/>
        </w:rPr>
        <w:footnoteReference w:id="4"/>
      </w:r>
      <w:r w:rsidRPr="00883371">
        <w:rPr>
          <w:rFonts w:ascii="Arial" w:eastAsia="Calibri" w:hAnsi="Arial" w:cs="Arial"/>
          <w:sz w:val="22"/>
        </w:rPr>
        <w:t xml:space="preserve">. </w:t>
      </w:r>
    </w:p>
    <w:p w14:paraId="77F064B0" w14:textId="77777777" w:rsidR="005134C9" w:rsidRPr="00883371" w:rsidRDefault="005134C9" w:rsidP="005134C9">
      <w:pPr>
        <w:spacing w:after="120" w:line="276" w:lineRule="auto"/>
        <w:ind w:firstLine="708"/>
        <w:jc w:val="both"/>
        <w:rPr>
          <w:rFonts w:ascii="Arial" w:eastAsia="Calibri" w:hAnsi="Arial" w:cs="Arial"/>
          <w:sz w:val="22"/>
        </w:rPr>
      </w:pPr>
      <w:r w:rsidRPr="00883371">
        <w:rPr>
          <w:rFonts w:ascii="Arial" w:eastAsia="Calibri" w:hAnsi="Arial" w:cs="Arial"/>
          <w:sz w:val="22"/>
        </w:rPr>
        <w:lastRenderedPageBreak/>
        <w:t>Por su parte el Decreto 1082 de 2015 «Por medio del cual se expide el Decreto único reglamentario del sector administrativo de planeación nacional», calificó a los convenios o contratos interadministrativos como la contratación realizada entre entidades estatales</w:t>
      </w:r>
      <w:r w:rsidRPr="00883371">
        <w:rPr>
          <w:rStyle w:val="Refdenotaalpie"/>
          <w:rFonts w:ascii="Arial" w:eastAsia="Calibri" w:hAnsi="Arial" w:cs="Arial"/>
          <w:sz w:val="22"/>
        </w:rPr>
        <w:footnoteReference w:id="5"/>
      </w:r>
      <w:r w:rsidRPr="00883371">
        <w:rPr>
          <w:rFonts w:ascii="Arial" w:eastAsia="Calibri" w:hAnsi="Arial" w:cs="Arial"/>
          <w:sz w:val="22"/>
        </w:rPr>
        <w:t>.</w:t>
      </w:r>
    </w:p>
    <w:p w14:paraId="5C53B856" w14:textId="77777777" w:rsidR="005134C9" w:rsidRPr="00883371" w:rsidRDefault="005134C9" w:rsidP="005134C9">
      <w:pPr>
        <w:spacing w:before="120" w:after="120" w:line="276" w:lineRule="auto"/>
        <w:jc w:val="both"/>
        <w:rPr>
          <w:rFonts w:ascii="Arial" w:eastAsia="Calibri" w:hAnsi="Arial" w:cs="Arial"/>
          <w:sz w:val="22"/>
        </w:rPr>
      </w:pPr>
      <w:r w:rsidRPr="00883371">
        <w:rPr>
          <w:rFonts w:ascii="Arial" w:hAnsi="Arial" w:cs="Arial"/>
          <w:sz w:val="22"/>
        </w:rPr>
        <w:tab/>
      </w:r>
      <w:r w:rsidRPr="00883371">
        <w:rPr>
          <w:rFonts w:ascii="Arial" w:eastAsia="Calibri" w:hAnsi="Arial" w:cs="Arial"/>
          <w:sz w:val="22"/>
        </w:rPr>
        <w:t>El contrato o el convenio interadministrativo es entonces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12D39396" w14:textId="77777777" w:rsidR="005134C9" w:rsidRPr="00883371" w:rsidRDefault="005134C9" w:rsidP="005134C9">
      <w:pPr>
        <w:spacing w:before="120" w:line="276" w:lineRule="auto"/>
        <w:ind w:firstLine="708"/>
        <w:jc w:val="both"/>
        <w:rPr>
          <w:rFonts w:ascii="Arial" w:eastAsia="Calibri" w:hAnsi="Arial" w:cs="Arial"/>
          <w:sz w:val="22"/>
        </w:rPr>
      </w:pPr>
      <w:r w:rsidRPr="00883371">
        <w:rPr>
          <w:rFonts w:ascii="Arial" w:eastAsia="Calibri" w:hAnsi="Arial" w:cs="Arial"/>
          <w:sz w:val="22"/>
        </w:rPr>
        <w:t>Ahora bien, el hecho de que los contratos o convenios interadministrativos estén previstos en la Ley 80 de 1993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conforme se de lo establecido en el literal c), numeral 4 del artículo 2 de la Ley 1150 de 2007:</w:t>
      </w:r>
    </w:p>
    <w:p w14:paraId="59D19AE3" w14:textId="77777777" w:rsidR="005134C9" w:rsidRPr="00883371" w:rsidRDefault="005134C9" w:rsidP="005134C9">
      <w:pPr>
        <w:spacing w:before="120" w:line="276" w:lineRule="auto"/>
        <w:ind w:firstLine="708"/>
        <w:jc w:val="both"/>
        <w:rPr>
          <w:rFonts w:ascii="Arial" w:hAnsi="Arial" w:cs="Arial"/>
          <w:sz w:val="22"/>
        </w:rPr>
      </w:pPr>
    </w:p>
    <w:p w14:paraId="592FD58C" w14:textId="77777777" w:rsidR="005134C9" w:rsidRPr="00883371" w:rsidRDefault="005134C9" w:rsidP="005134C9">
      <w:pPr>
        <w:ind w:left="709" w:right="709"/>
        <w:jc w:val="both"/>
        <w:rPr>
          <w:rFonts w:ascii="Arial" w:hAnsi="Arial" w:cs="Arial"/>
          <w:sz w:val="21"/>
          <w:szCs w:val="21"/>
        </w:rPr>
      </w:pPr>
      <w:r w:rsidRPr="00883371">
        <w:rPr>
          <w:rStyle w:val="Textoennegrita"/>
          <w:rFonts w:ascii="Arial" w:hAnsi="Arial" w:cs="Arial"/>
          <w:sz w:val="21"/>
          <w:szCs w:val="21"/>
        </w:rPr>
        <w:t>Artículo 2</w:t>
      </w:r>
      <w:r w:rsidRPr="00883371">
        <w:rPr>
          <w:rStyle w:val="Textoennegrita"/>
          <w:rFonts w:ascii="Arial" w:hAnsi="Arial" w:cs="Arial"/>
          <w:i/>
          <w:iCs/>
          <w:sz w:val="21"/>
          <w:szCs w:val="21"/>
        </w:rPr>
        <w:t>°.</w:t>
      </w:r>
      <w:r w:rsidRPr="00883371">
        <w:rPr>
          <w:rStyle w:val="nfasis"/>
          <w:rFonts w:ascii="Arial" w:hAnsi="Arial" w:cs="Arial"/>
          <w:sz w:val="21"/>
          <w:szCs w:val="21"/>
        </w:rPr>
        <w:t xml:space="preserve"> De las modalidades de selección. </w:t>
      </w:r>
      <w:r w:rsidRPr="00883371">
        <w:rPr>
          <w:rFonts w:ascii="Arial" w:hAnsi="Arial" w:cs="Arial"/>
          <w:sz w:val="21"/>
          <w:szCs w:val="21"/>
        </w:rPr>
        <w:t>La escogencia del contratista se efectuará con arreglo a las modalidades de selección de licitación pública, selección abreviada, concurso de méritos y contratación directa, con base en las siguientes reglas: </w:t>
      </w:r>
    </w:p>
    <w:p w14:paraId="1B2048F5" w14:textId="77777777" w:rsidR="005134C9" w:rsidRPr="00883371" w:rsidRDefault="005134C9" w:rsidP="005134C9">
      <w:pPr>
        <w:ind w:left="1" w:right="709" w:firstLine="708"/>
        <w:jc w:val="both"/>
        <w:rPr>
          <w:rFonts w:ascii="Arial" w:hAnsi="Arial" w:cs="Arial"/>
          <w:sz w:val="21"/>
          <w:szCs w:val="21"/>
        </w:rPr>
      </w:pPr>
    </w:p>
    <w:p w14:paraId="409BA476" w14:textId="77777777" w:rsidR="005134C9" w:rsidRPr="00883371" w:rsidRDefault="005134C9" w:rsidP="005134C9">
      <w:pPr>
        <w:ind w:left="1" w:right="709" w:firstLine="708"/>
        <w:jc w:val="both"/>
        <w:rPr>
          <w:rFonts w:ascii="Arial" w:hAnsi="Arial" w:cs="Arial"/>
          <w:sz w:val="21"/>
          <w:szCs w:val="21"/>
        </w:rPr>
      </w:pPr>
      <w:r w:rsidRPr="00883371">
        <w:rPr>
          <w:rFonts w:ascii="Arial" w:hAnsi="Arial" w:cs="Arial"/>
          <w:sz w:val="21"/>
          <w:szCs w:val="21"/>
        </w:rPr>
        <w:t>[…]</w:t>
      </w:r>
    </w:p>
    <w:p w14:paraId="2E012B52" w14:textId="77777777" w:rsidR="005134C9" w:rsidRPr="00883371" w:rsidRDefault="005134C9" w:rsidP="005134C9">
      <w:pPr>
        <w:ind w:left="709" w:right="709"/>
        <w:jc w:val="both"/>
        <w:rPr>
          <w:rFonts w:ascii="Arial" w:hAnsi="Arial" w:cs="Arial"/>
          <w:sz w:val="21"/>
          <w:szCs w:val="21"/>
        </w:rPr>
      </w:pPr>
    </w:p>
    <w:p w14:paraId="7DE7A434" w14:textId="77777777" w:rsidR="005134C9" w:rsidRPr="00883371" w:rsidRDefault="005134C9" w:rsidP="005134C9">
      <w:pPr>
        <w:ind w:left="709" w:right="709"/>
        <w:jc w:val="both"/>
        <w:rPr>
          <w:rFonts w:ascii="Arial" w:hAnsi="Arial" w:cs="Arial"/>
          <w:sz w:val="21"/>
          <w:szCs w:val="21"/>
        </w:rPr>
      </w:pPr>
      <w:r w:rsidRPr="00883371">
        <w:rPr>
          <w:rFonts w:ascii="Arial" w:hAnsi="Arial" w:cs="Arial"/>
          <w:sz w:val="21"/>
          <w:szCs w:val="21"/>
        </w:rPr>
        <w:t>4. </w:t>
      </w:r>
      <w:r w:rsidRPr="00883371">
        <w:rPr>
          <w:rStyle w:val="Textoennegrita"/>
          <w:rFonts w:ascii="Arial" w:hAnsi="Arial" w:cs="Arial"/>
          <w:sz w:val="21"/>
          <w:szCs w:val="21"/>
        </w:rPr>
        <w:t>Contratación directa. </w:t>
      </w:r>
      <w:r w:rsidRPr="00883371">
        <w:rPr>
          <w:rFonts w:ascii="Arial" w:hAnsi="Arial" w:cs="Arial"/>
          <w:sz w:val="21"/>
          <w:szCs w:val="21"/>
        </w:rPr>
        <w:t>La modalidad de selección de contratación directa, solamente procederá en los siguientes casos: </w:t>
      </w:r>
    </w:p>
    <w:p w14:paraId="3A9360AB" w14:textId="77777777" w:rsidR="005134C9" w:rsidRPr="00883371" w:rsidRDefault="005134C9" w:rsidP="005134C9">
      <w:pPr>
        <w:ind w:right="709" w:firstLine="708"/>
        <w:jc w:val="both"/>
        <w:rPr>
          <w:rFonts w:ascii="Arial" w:eastAsia="Calibri" w:hAnsi="Arial" w:cs="Arial"/>
          <w:sz w:val="21"/>
          <w:szCs w:val="21"/>
        </w:rPr>
      </w:pPr>
      <w:r w:rsidRPr="00883371">
        <w:rPr>
          <w:rFonts w:ascii="Arial" w:eastAsia="Calibri" w:hAnsi="Arial" w:cs="Arial"/>
          <w:sz w:val="21"/>
          <w:szCs w:val="21"/>
        </w:rPr>
        <w:t>[…]</w:t>
      </w:r>
    </w:p>
    <w:p w14:paraId="42F04AAD" w14:textId="77777777" w:rsidR="005134C9" w:rsidRPr="00883371" w:rsidRDefault="005134C9" w:rsidP="005134C9">
      <w:pPr>
        <w:ind w:left="709" w:right="709"/>
        <w:jc w:val="both"/>
        <w:rPr>
          <w:rFonts w:ascii="Arial" w:eastAsia="Times New Roman" w:hAnsi="Arial" w:cs="Arial"/>
          <w:sz w:val="21"/>
          <w:szCs w:val="21"/>
          <w:lang w:val="es-CO" w:eastAsia="es-CO"/>
        </w:rPr>
      </w:pPr>
    </w:p>
    <w:p w14:paraId="176D9E6D"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c) Contratos interadministrativos, siempre que las obligaciones derivadas del mismo tengan relación directa con el objeto de la entidad ejecutora señalado en la ley o en sus reglamentos.  </w:t>
      </w:r>
    </w:p>
    <w:p w14:paraId="63636B53"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  </w:t>
      </w:r>
    </w:p>
    <w:p w14:paraId="7819440A"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 xml:space="preserve">Se exceptúan los contratos de obra, suministro, prestación de servicios de evaluación de conformidad respecto de las normas o reglamentos técnicos, encargos fiduciarios y fiducia pública cuando las instituciones de educación </w:t>
      </w:r>
      <w:r w:rsidRPr="00883371">
        <w:rPr>
          <w:rFonts w:ascii="Arial" w:eastAsia="Times New Roman" w:hAnsi="Arial" w:cs="Arial"/>
          <w:sz w:val="21"/>
          <w:szCs w:val="21"/>
          <w:lang w:val="es-CO" w:eastAsia="es-CO"/>
        </w:rPr>
        <w:lastRenderedPageBreak/>
        <w:t>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7C541B41"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  </w:t>
      </w:r>
    </w:p>
    <w:p w14:paraId="41A694E8"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2EAB71B5"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  </w:t>
      </w:r>
    </w:p>
    <w:p w14:paraId="0235F60A" w14:textId="77777777" w:rsidR="005134C9" w:rsidRPr="00883371" w:rsidRDefault="005134C9" w:rsidP="005134C9">
      <w:pPr>
        <w:ind w:left="709" w:right="709"/>
        <w:jc w:val="both"/>
        <w:rPr>
          <w:rFonts w:ascii="Arial" w:eastAsia="Times New Roman" w:hAnsi="Arial" w:cs="Arial"/>
          <w:sz w:val="21"/>
          <w:szCs w:val="21"/>
          <w:lang w:val="es-CO" w:eastAsia="es-CO"/>
        </w:rPr>
      </w:pPr>
      <w:r w:rsidRPr="00883371">
        <w:rPr>
          <w:rFonts w:ascii="Arial" w:eastAsia="Times New Roman" w:hAnsi="Arial" w:cs="Arial"/>
          <w:sz w:val="21"/>
          <w:szCs w:val="21"/>
          <w:lang w:val="es-CO" w:eastAsia="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6B2C8378" w14:textId="77777777" w:rsidR="005134C9" w:rsidRPr="00883371" w:rsidRDefault="005134C9" w:rsidP="005134C9">
      <w:pPr>
        <w:ind w:left="709" w:right="709"/>
        <w:jc w:val="both"/>
        <w:rPr>
          <w:rFonts w:ascii="Arial" w:eastAsia="Times New Roman" w:hAnsi="Arial" w:cs="Arial"/>
          <w:sz w:val="21"/>
          <w:szCs w:val="21"/>
          <w:lang w:val="es-CO" w:eastAsia="es-CO"/>
        </w:rPr>
      </w:pPr>
    </w:p>
    <w:p w14:paraId="25BC8863" w14:textId="77777777" w:rsidR="005134C9" w:rsidRPr="00883371" w:rsidRDefault="005134C9" w:rsidP="005134C9">
      <w:pPr>
        <w:spacing w:before="120" w:after="120" w:line="276" w:lineRule="auto"/>
        <w:ind w:firstLine="708"/>
        <w:jc w:val="both"/>
        <w:rPr>
          <w:rFonts w:ascii="Arial" w:hAnsi="Arial" w:cs="Arial"/>
          <w:sz w:val="22"/>
        </w:rPr>
      </w:pPr>
      <w:r w:rsidRPr="00883371">
        <w:rPr>
          <w:rFonts w:ascii="Arial" w:eastAsia="Calibri" w:hAnsi="Arial" w:cs="Arial"/>
          <w:sz w:val="22"/>
        </w:rPr>
        <w:t xml:space="preserve">El artículo 2 de la Ley 1150 de 2007 en principio está dirigido a regular las modalidades de selección aplicables a los diferentes tipos de contratos estatales, sin embargo, al referirse a los convenios y contratos interadministrativos no solo dispone reglas de selección, sino que también establece como determinar el régimen aplicable a la ejecución de los pactos celebrados bajo esta modalidad contractual, estatuyendo la regla contenida en el numeral 4, literal c) inciso tercero, según la cual en los casos </w:t>
      </w:r>
      <w:r w:rsidRPr="00883371">
        <w:rPr>
          <w:rFonts w:ascii="Arial" w:hAnsi="Arial" w:cs="Arial"/>
          <w:sz w:val="22"/>
        </w:rPr>
        <w:t>en que el régimen aplicable a la contratación de la entidad ejecutora no sea el de la Ley 80 de 1993, la ejecución de dichos convenios o contratos estará sometida a dicha ley, salvo que la entidad ejecutora desarrolle su actividad en competencia con el sector privado o cuando la ejecución del contrato interadministrativo tenga relación directa con el desarrollo de la actividad de la entidad ejecutora.</w:t>
      </w:r>
    </w:p>
    <w:p w14:paraId="4CC8F6D6" w14:textId="77777777" w:rsidR="005134C9" w:rsidRPr="00883371" w:rsidRDefault="005134C9" w:rsidP="005134C9">
      <w:pPr>
        <w:spacing w:after="120" w:line="276" w:lineRule="auto"/>
        <w:ind w:firstLine="708"/>
        <w:jc w:val="both"/>
        <w:rPr>
          <w:rFonts w:ascii="Arial" w:eastAsia="Calibri" w:hAnsi="Arial" w:cs="Arial"/>
          <w:sz w:val="22"/>
        </w:rPr>
      </w:pPr>
      <w:r w:rsidRPr="00883371">
        <w:rPr>
          <w:rFonts w:ascii="Arial" w:eastAsia="Calibri" w:hAnsi="Arial" w:cs="Arial"/>
          <w:sz w:val="22"/>
        </w:rPr>
        <w:t>En ese orden de ideas, la calidad de interadministrativo de un contrato o convenio no está determinada por la modalidad de selección utilizada para celebrarlo, la cual en los términos de la norma anterior debe ser establecida según el objeto y obligaciones del mismo. Al respecto la anterior disposición establece que pueden celebrarse directamente siempre que las obligaciones derivadas del mismo tengan relación directa con el objeto de la entidad ejecutora señalado en la ley o en sus reglamentos, estableciéndose unas excepciones con relación a ciertos sujetos y objetos contractuales en los cuales debe acudirse a los procesos de licitación pública o selección abreviada regulados en los numerales 1 y 2 del artículo 2 de la Ley 1150 de 2007, supuestos en los que varía la modalidad de selección y no la naturaleza de contrato interadministrativo.</w:t>
      </w:r>
    </w:p>
    <w:p w14:paraId="54B24469" w14:textId="77777777" w:rsidR="005134C9" w:rsidRPr="00883371" w:rsidRDefault="005134C9" w:rsidP="005134C9">
      <w:pPr>
        <w:spacing w:before="120" w:after="120" w:line="276" w:lineRule="auto"/>
        <w:ind w:firstLine="708"/>
        <w:jc w:val="both"/>
        <w:rPr>
          <w:rFonts w:ascii="Arial" w:hAnsi="Arial" w:cs="Arial"/>
          <w:sz w:val="22"/>
        </w:rPr>
      </w:pPr>
      <w:r w:rsidRPr="00883371">
        <w:rPr>
          <w:rFonts w:ascii="Arial" w:hAnsi="Arial" w:cs="Arial"/>
          <w:sz w:val="22"/>
        </w:rPr>
        <w:lastRenderedPageBreak/>
        <w:t xml:space="preserve">Las anteriores consideraciones indican que, según el Estatuto General de la Contratación de la Administración Pública, los convenios interadministrativos son contratos estatales independientemente del régimen de contratación al que estén sometidas las partes entre quienes se celebra o de las normas por las que deba regirse su ejecución, siempre que se suscriban entre entidades que ostenten la calidad de estatales o de derecho público.  </w:t>
      </w:r>
    </w:p>
    <w:p w14:paraId="55F753B9" w14:textId="77777777" w:rsidR="005134C9" w:rsidRPr="00883371" w:rsidRDefault="005134C9" w:rsidP="005134C9">
      <w:pPr>
        <w:spacing w:before="120" w:after="120" w:line="276" w:lineRule="auto"/>
        <w:ind w:firstLine="708"/>
        <w:jc w:val="both"/>
        <w:rPr>
          <w:rFonts w:ascii="Arial" w:eastAsia="Calibri" w:hAnsi="Arial" w:cs="Arial"/>
          <w:sz w:val="22"/>
        </w:rPr>
      </w:pPr>
      <w:r w:rsidRPr="00883371">
        <w:rPr>
          <w:rFonts w:ascii="Arial" w:hAnsi="Arial" w:cs="Arial"/>
          <w:sz w:val="22"/>
        </w:rPr>
        <w:t>Con esto coincide lo expuesto por la</w:t>
      </w:r>
      <w:r w:rsidRPr="00883371">
        <w:rPr>
          <w:rFonts w:ascii="Arial" w:eastAsia="Calibri" w:hAnsi="Arial" w:cs="Arial"/>
          <w:sz w:val="22"/>
        </w:rPr>
        <w:t xml:space="preserve"> Corte Constitucional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al manifestar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0C53C969" w14:textId="77777777" w:rsidR="005134C9" w:rsidRPr="00883371" w:rsidRDefault="005134C9" w:rsidP="005134C9">
      <w:pPr>
        <w:spacing w:line="276" w:lineRule="auto"/>
        <w:ind w:firstLine="708"/>
        <w:jc w:val="both"/>
        <w:rPr>
          <w:rFonts w:ascii="Arial" w:eastAsia="Calibri" w:hAnsi="Arial" w:cs="Arial"/>
          <w:sz w:val="22"/>
        </w:rPr>
      </w:pPr>
      <w:r w:rsidRPr="00883371">
        <w:rPr>
          <w:rFonts w:ascii="Arial" w:eastAsia="Calibri" w:hAnsi="Arial" w:cs="Arial"/>
          <w:sz w:val="22"/>
        </w:rPr>
        <w:t>Atendiendo a la literalidad de las normas enunciadas, no cabe una interpretación diferente</w:t>
      </w:r>
      <w:r w:rsidRPr="00883371">
        <w:rPr>
          <w:rStyle w:val="Refdenotaalpie"/>
          <w:rFonts w:ascii="Arial" w:hAnsi="Arial" w:cs="Arial"/>
          <w:sz w:val="22"/>
        </w:rPr>
        <w:footnoteReference w:id="6"/>
      </w:r>
      <w:r w:rsidRPr="00883371">
        <w:rPr>
          <w:rFonts w:ascii="Arial" w:eastAsia="Calibri" w:hAnsi="Arial" w:cs="Arial"/>
          <w:sz w:val="22"/>
        </w:rPr>
        <w:t>, pues de acuerdo con lo anotado esta clase de contratos se definen por un criterio orgánico, por lo que uno de sus elementos esenciales es que en los extremos de la relación jurídico negocial concurran personas de derecho público, exigiéndose para su perfeccionamiento la existencia de un acuerdo sobre el objeto y la contraprestación elevado a escrito de conformidad con el inciso primero del artículo 41 de la Ley 80 de 1993</w:t>
      </w:r>
      <w:r w:rsidRPr="00883371">
        <w:rPr>
          <w:rStyle w:val="Refdenotaalpie"/>
          <w:rFonts w:ascii="Arial" w:eastAsia="Calibri" w:hAnsi="Arial" w:cs="Arial"/>
          <w:sz w:val="22"/>
        </w:rPr>
        <w:footnoteReference w:id="7"/>
      </w:r>
      <w:r w:rsidRPr="00883371">
        <w:rPr>
          <w:rFonts w:ascii="Arial" w:eastAsia="Calibri" w:hAnsi="Arial" w:cs="Arial"/>
          <w:sz w:val="22"/>
        </w:rPr>
        <w:t xml:space="preserve">. Adicionalmente, el Consejo de Estado frente al convenio interadministrativo ha precisado unas características relativas al contrato interadministrativo como negocio jurídico biliteral que suman algunas precisiones al análisis que hasta aquí se ha realizado: </w:t>
      </w:r>
    </w:p>
    <w:p w14:paraId="05627586" w14:textId="77777777" w:rsidR="005134C9" w:rsidRPr="00883371" w:rsidRDefault="005134C9" w:rsidP="005134C9">
      <w:pPr>
        <w:spacing w:line="276" w:lineRule="auto"/>
        <w:ind w:firstLine="708"/>
        <w:jc w:val="both"/>
        <w:rPr>
          <w:rFonts w:ascii="Arial" w:eastAsia="Calibri" w:hAnsi="Arial" w:cs="Arial"/>
          <w:sz w:val="22"/>
        </w:rPr>
      </w:pPr>
    </w:p>
    <w:p w14:paraId="2D4347E2" w14:textId="77777777" w:rsidR="005134C9" w:rsidRPr="00883371" w:rsidRDefault="005134C9" w:rsidP="005134C9">
      <w:pPr>
        <w:ind w:left="709" w:right="709"/>
        <w:jc w:val="both"/>
        <w:rPr>
          <w:rFonts w:ascii="Arial" w:eastAsia="Calibri" w:hAnsi="Arial" w:cs="Arial"/>
          <w:sz w:val="21"/>
          <w:szCs w:val="21"/>
        </w:rPr>
      </w:pPr>
      <w:r w:rsidRPr="00883371">
        <w:rPr>
          <w:rFonts w:ascii="Arial" w:eastAsia="Calibri" w:hAnsi="Arial" w:cs="Arial"/>
          <w:sz w:val="21"/>
          <w:szCs w:val="21"/>
        </w:rPr>
        <w:t>[…] se puede señalar que los convenios o contratos interadministrativos tienen como características principales las siguientes:</w:t>
      </w:r>
    </w:p>
    <w:p w14:paraId="09297768" w14:textId="77777777" w:rsidR="005134C9" w:rsidRPr="00883371" w:rsidRDefault="005134C9" w:rsidP="005134C9">
      <w:pPr>
        <w:ind w:left="709" w:right="709" w:firstLine="708"/>
        <w:jc w:val="both"/>
        <w:rPr>
          <w:rFonts w:ascii="Arial" w:eastAsia="Calibri" w:hAnsi="Arial" w:cs="Arial"/>
          <w:sz w:val="21"/>
          <w:szCs w:val="21"/>
        </w:rPr>
      </w:pPr>
    </w:p>
    <w:p w14:paraId="16D67D24" w14:textId="77777777" w:rsidR="005134C9" w:rsidRPr="00883371" w:rsidRDefault="005134C9" w:rsidP="005134C9">
      <w:pPr>
        <w:spacing w:before="120"/>
        <w:ind w:left="709" w:right="709"/>
        <w:jc w:val="both"/>
        <w:rPr>
          <w:rFonts w:ascii="Arial" w:eastAsia="Calibri" w:hAnsi="Arial" w:cs="Arial"/>
          <w:sz w:val="21"/>
          <w:szCs w:val="21"/>
        </w:rPr>
      </w:pPr>
      <w:r w:rsidRPr="00883371">
        <w:rPr>
          <w:rFonts w:ascii="Arial" w:eastAsia="Calibri" w:hAnsi="Arial" w:cs="Arial"/>
          <w:sz w:val="21"/>
          <w:szCs w:val="21"/>
        </w:rPr>
        <w:t>(i) constituyen verdaderos contratos en los términos del Código de Comercio cuando su objeto lo constituyen obligaciones patrimoniales; (</w:t>
      </w:r>
      <w:proofErr w:type="spellStart"/>
      <w:r w:rsidRPr="00883371">
        <w:rPr>
          <w:rFonts w:ascii="Arial" w:eastAsia="Calibri" w:hAnsi="Arial" w:cs="Arial"/>
          <w:sz w:val="21"/>
          <w:szCs w:val="21"/>
        </w:rPr>
        <w:t>ii</w:t>
      </w:r>
      <w:proofErr w:type="spellEnd"/>
      <w:r w:rsidRPr="00883371">
        <w:rPr>
          <w:rFonts w:ascii="Arial" w:eastAsia="Calibri" w:hAnsi="Arial" w:cs="Arial"/>
          <w:sz w:val="21"/>
          <w:szCs w:val="21"/>
        </w:rPr>
        <w:t>) tienen como fuente la autonomía contractual; (</w:t>
      </w:r>
      <w:proofErr w:type="spellStart"/>
      <w:r w:rsidRPr="00883371">
        <w:rPr>
          <w:rFonts w:ascii="Arial" w:eastAsia="Calibri" w:hAnsi="Arial" w:cs="Arial"/>
          <w:sz w:val="21"/>
          <w:szCs w:val="21"/>
        </w:rPr>
        <w:t>iii</w:t>
      </w:r>
      <w:proofErr w:type="spellEnd"/>
      <w:r w:rsidRPr="00883371">
        <w:rPr>
          <w:rFonts w:ascii="Arial" w:eastAsia="Calibri" w:hAnsi="Arial" w:cs="Arial"/>
          <w:sz w:val="21"/>
          <w:szCs w:val="21"/>
        </w:rPr>
        <w:t>) son contratos nominados puesto que están mencionados en la ley; (</w:t>
      </w:r>
      <w:proofErr w:type="spellStart"/>
      <w:r w:rsidRPr="00883371">
        <w:rPr>
          <w:rFonts w:ascii="Arial" w:eastAsia="Calibri" w:hAnsi="Arial" w:cs="Arial"/>
          <w:sz w:val="21"/>
          <w:szCs w:val="21"/>
        </w:rPr>
        <w:t>iv</w:t>
      </w:r>
      <w:proofErr w:type="spellEnd"/>
      <w:r w:rsidRPr="00883371">
        <w:rPr>
          <w:rFonts w:ascii="Arial" w:eastAsia="Calibri" w:hAnsi="Arial" w:cs="Arial"/>
          <w:sz w:val="21"/>
          <w:szCs w:val="21"/>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w:t>
      </w:r>
      <w:r w:rsidRPr="00883371">
        <w:rPr>
          <w:rFonts w:ascii="Arial" w:eastAsia="Calibri" w:hAnsi="Arial" w:cs="Arial"/>
          <w:sz w:val="21"/>
          <w:szCs w:val="21"/>
        </w:rPr>
        <w:lastRenderedPageBreak/>
        <w:t>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83371">
        <w:rPr>
          <w:rFonts w:ascii="Arial" w:eastAsia="Calibri" w:hAnsi="Arial" w:cs="Arial"/>
          <w:sz w:val="21"/>
          <w:szCs w:val="21"/>
        </w:rPr>
        <w:t>vii</w:t>
      </w:r>
      <w:proofErr w:type="spellEnd"/>
      <w:r w:rsidRPr="00883371">
        <w:rPr>
          <w:rFonts w:ascii="Arial" w:eastAsia="Calibri" w:hAnsi="Arial" w:cs="Arial"/>
          <w:sz w:val="21"/>
          <w:szCs w:val="21"/>
        </w:rPr>
        <w:t>) persiguen una finalidad común a través de la realización de intereses compartidos entre las entidades vinculadas; (</w:t>
      </w:r>
      <w:proofErr w:type="spellStart"/>
      <w:r w:rsidRPr="00883371">
        <w:rPr>
          <w:rFonts w:ascii="Arial" w:eastAsia="Calibri" w:hAnsi="Arial" w:cs="Arial"/>
          <w:sz w:val="21"/>
          <w:szCs w:val="21"/>
        </w:rPr>
        <w:t>viii</w:t>
      </w:r>
      <w:proofErr w:type="spellEnd"/>
      <w:r w:rsidRPr="00883371">
        <w:rPr>
          <w:rFonts w:ascii="Arial" w:eastAsia="Calibri" w:hAnsi="Arial" w:cs="Arial"/>
          <w:sz w:val="21"/>
          <w:szCs w:val="21"/>
        </w:rPr>
        <w:t>) la acción mediante la cual se deben ventilar las diferencias que sobre el particular surjan es la de controversias contractuales</w:t>
      </w:r>
      <w:r w:rsidRPr="00883371">
        <w:rPr>
          <w:rStyle w:val="Refdenotaalpie"/>
          <w:rFonts w:ascii="Arial" w:eastAsia="Calibri" w:hAnsi="Arial" w:cs="Arial"/>
          <w:sz w:val="21"/>
          <w:szCs w:val="21"/>
        </w:rPr>
        <w:footnoteReference w:id="8"/>
      </w:r>
      <w:r w:rsidRPr="00883371">
        <w:rPr>
          <w:rFonts w:ascii="Arial" w:eastAsia="Calibri" w:hAnsi="Arial" w:cs="Arial"/>
          <w:sz w:val="21"/>
          <w:szCs w:val="21"/>
        </w:rPr>
        <w:t>.</w:t>
      </w:r>
    </w:p>
    <w:p w14:paraId="3D8B95EF" w14:textId="77777777" w:rsidR="005134C9" w:rsidRPr="00883371" w:rsidRDefault="005134C9" w:rsidP="005134C9">
      <w:pPr>
        <w:ind w:right="709"/>
        <w:jc w:val="both"/>
        <w:rPr>
          <w:rFonts w:ascii="Arial" w:eastAsia="Calibri" w:hAnsi="Arial" w:cs="Arial"/>
          <w:sz w:val="21"/>
          <w:szCs w:val="21"/>
        </w:rPr>
      </w:pPr>
    </w:p>
    <w:p w14:paraId="2F03D315" w14:textId="77777777" w:rsidR="005134C9" w:rsidRPr="00883371" w:rsidRDefault="005134C9" w:rsidP="005134C9">
      <w:pPr>
        <w:spacing w:before="120" w:line="276" w:lineRule="auto"/>
        <w:ind w:firstLine="708"/>
        <w:jc w:val="both"/>
        <w:rPr>
          <w:rFonts w:ascii="Arial" w:eastAsia="Calibri" w:hAnsi="Arial" w:cs="Arial"/>
          <w:sz w:val="22"/>
        </w:rPr>
      </w:pPr>
      <w:r w:rsidRPr="00883371">
        <w:rPr>
          <w:rFonts w:ascii="Arial" w:eastAsia="Calibri" w:hAnsi="Arial" w:cs="Arial"/>
          <w:sz w:val="22"/>
        </w:rPr>
        <w:t xml:space="preserve">En ese sentido, los convenios interadministrativos se caracterizan entre otras cosas, porque los sujetos que en él intervienen persiguen una finalidad común, que por tratarse de entidades públicas esta necesariamente relacionada con el cumplimiento de los fines del Estado o de los objetivos y funciones administrativas que tienen asignados ya sea por la ley y el reglamento, o tratándose de entidades descentralizadas indirectas por los actos que las constituyen o sus estatutos. </w:t>
      </w:r>
    </w:p>
    <w:p w14:paraId="40C59DA0" w14:textId="77777777" w:rsidR="005134C9" w:rsidRPr="00883371" w:rsidRDefault="005134C9" w:rsidP="005134C9">
      <w:pPr>
        <w:spacing w:before="120" w:line="276" w:lineRule="auto"/>
        <w:ind w:firstLine="708"/>
        <w:jc w:val="both"/>
        <w:rPr>
          <w:rFonts w:ascii="Arial" w:eastAsia="Calibri" w:hAnsi="Arial" w:cs="Arial"/>
          <w:sz w:val="22"/>
        </w:rPr>
      </w:pPr>
      <w:r w:rsidRPr="00883371">
        <w:rPr>
          <w:rFonts w:ascii="Arial" w:eastAsia="Calibri" w:hAnsi="Arial" w:cs="Arial"/>
          <w:sz w:val="22"/>
        </w:rPr>
        <w:t xml:space="preserve">A ello obedece la modalidad de selección que la ley permite aplicar de manera general para su celebración, ya que comporta un grado de excepcionalidad frente a las demás tipologías contractuales, donde los sujetos no están restringidos a una cualificación particular y aplican otras modalidades de selección. </w:t>
      </w:r>
    </w:p>
    <w:p w14:paraId="783CEA86" w14:textId="6D493B22" w:rsidR="005134C9" w:rsidRPr="00883371" w:rsidRDefault="005134C9" w:rsidP="005134C9">
      <w:pPr>
        <w:spacing w:before="120" w:line="276" w:lineRule="auto"/>
        <w:ind w:firstLine="708"/>
        <w:jc w:val="both"/>
        <w:rPr>
          <w:rFonts w:ascii="Arial" w:eastAsia="Calibri" w:hAnsi="Arial" w:cs="Arial"/>
          <w:sz w:val="22"/>
        </w:rPr>
      </w:pPr>
      <w:r w:rsidRPr="00883371">
        <w:rPr>
          <w:rFonts w:ascii="Arial" w:eastAsia="Calibri" w:hAnsi="Arial" w:cs="Arial"/>
          <w:sz w:val="22"/>
        </w:rPr>
        <w:t>Así pues, conforme a lo expuesto en el acápite anterior, los fondos mixtos al ser entidades descentralizadas indirectas tienen la calidad de entidades públicas de conformidad con el artículo 2 de Ley 80 de 1993</w:t>
      </w:r>
      <w:r w:rsidRPr="00883371">
        <w:rPr>
          <w:rStyle w:val="Refdenotaalpie"/>
          <w:rFonts w:ascii="Arial" w:eastAsia="Calibri" w:hAnsi="Arial" w:cs="Arial"/>
          <w:sz w:val="22"/>
        </w:rPr>
        <w:footnoteReference w:id="9"/>
      </w:r>
      <w:r w:rsidRPr="00883371">
        <w:rPr>
          <w:rFonts w:ascii="Arial" w:eastAsia="Calibri" w:hAnsi="Arial" w:cs="Arial"/>
          <w:sz w:val="22"/>
        </w:rPr>
        <w:t>, indiferentemente del porcentaje de participación pública que involucren, por lo que estos tienen la posibilidad de suscribir convenios interadministrativos con otras entidades pública sin importar cual sea su régimen de contratación.</w:t>
      </w:r>
    </w:p>
    <w:p w14:paraId="38B6928E" w14:textId="77777777" w:rsidR="00571567" w:rsidRPr="00883371" w:rsidRDefault="005134C9" w:rsidP="005134C9">
      <w:pPr>
        <w:spacing w:before="120" w:line="276" w:lineRule="auto"/>
        <w:ind w:firstLine="708"/>
        <w:jc w:val="both"/>
        <w:rPr>
          <w:rFonts w:ascii="Arial" w:eastAsia="Calibri" w:hAnsi="Arial" w:cs="Arial"/>
          <w:sz w:val="22"/>
        </w:rPr>
      </w:pPr>
      <w:r w:rsidRPr="00883371">
        <w:rPr>
          <w:rFonts w:ascii="Arial" w:eastAsia="Calibri" w:hAnsi="Arial" w:cs="Arial"/>
          <w:sz w:val="22"/>
        </w:rPr>
        <w:t>Los convenios o contratos interadministrativos, dada su calidad de contratos estatale</w:t>
      </w:r>
      <w:r w:rsidR="00571567" w:rsidRPr="00883371">
        <w:rPr>
          <w:rFonts w:ascii="Arial" w:eastAsia="Calibri" w:hAnsi="Arial" w:cs="Arial"/>
          <w:sz w:val="22"/>
        </w:rPr>
        <w:t>s, regulados por el Estatuto General de Contratación de la Administración Pública,</w:t>
      </w:r>
      <w:r w:rsidRPr="00883371">
        <w:rPr>
          <w:rFonts w:ascii="Arial" w:eastAsia="Calibri" w:hAnsi="Arial" w:cs="Arial"/>
          <w:sz w:val="22"/>
        </w:rPr>
        <w:t xml:space="preserve"> son pactos </w:t>
      </w:r>
      <w:r w:rsidR="001B2288" w:rsidRPr="00883371">
        <w:rPr>
          <w:rFonts w:ascii="Arial" w:eastAsia="Calibri" w:hAnsi="Arial" w:cs="Arial"/>
          <w:sz w:val="22"/>
        </w:rPr>
        <w:t>de los que devienen obligaciones para las partes, independientemente de que estas puedan tener o no una connotación pecuniaria, o de que se trate de un convenio en el que las partes aúnan esfuerzos</w:t>
      </w:r>
      <w:r w:rsidR="00571567" w:rsidRPr="00883371">
        <w:rPr>
          <w:rFonts w:ascii="Arial" w:eastAsia="Calibri" w:hAnsi="Arial" w:cs="Arial"/>
          <w:sz w:val="22"/>
        </w:rPr>
        <w:t xml:space="preserve"> materiales</w:t>
      </w:r>
      <w:r w:rsidR="001B2288" w:rsidRPr="00883371">
        <w:rPr>
          <w:rFonts w:ascii="Arial" w:eastAsia="Calibri" w:hAnsi="Arial" w:cs="Arial"/>
          <w:sz w:val="22"/>
        </w:rPr>
        <w:t xml:space="preserve"> sin que se asignen</w:t>
      </w:r>
      <w:r w:rsidR="00571567" w:rsidRPr="00883371">
        <w:rPr>
          <w:rFonts w:ascii="Arial" w:eastAsia="Calibri" w:hAnsi="Arial" w:cs="Arial"/>
          <w:sz w:val="22"/>
        </w:rPr>
        <w:t xml:space="preserve"> o ejecuten</w:t>
      </w:r>
      <w:r w:rsidR="001B2288" w:rsidRPr="00883371">
        <w:rPr>
          <w:rFonts w:ascii="Arial" w:eastAsia="Calibri" w:hAnsi="Arial" w:cs="Arial"/>
          <w:sz w:val="22"/>
        </w:rPr>
        <w:t xml:space="preserve"> recursos</w:t>
      </w:r>
      <w:r w:rsidR="00571567" w:rsidRPr="00883371">
        <w:rPr>
          <w:rFonts w:ascii="Arial" w:eastAsia="Calibri" w:hAnsi="Arial" w:cs="Arial"/>
          <w:sz w:val="22"/>
        </w:rPr>
        <w:t xml:space="preserve"> en </w:t>
      </w:r>
      <w:r w:rsidR="00571567" w:rsidRPr="00883371">
        <w:rPr>
          <w:rFonts w:ascii="Arial" w:eastAsia="Calibri" w:hAnsi="Arial" w:cs="Arial"/>
          <w:sz w:val="22"/>
        </w:rPr>
        <w:lastRenderedPageBreak/>
        <w:t>dinero</w:t>
      </w:r>
      <w:r w:rsidR="001B2288" w:rsidRPr="00883371">
        <w:rPr>
          <w:rFonts w:ascii="Arial" w:eastAsia="Calibri" w:hAnsi="Arial" w:cs="Arial"/>
          <w:sz w:val="22"/>
        </w:rPr>
        <w:t>. En ese sentido, los compromisos que adquieren las entidades estatales en virtud de la suscripción de un convenio tienen el carácter obl</w:t>
      </w:r>
      <w:r w:rsidR="00571567" w:rsidRPr="00883371">
        <w:rPr>
          <w:rFonts w:ascii="Arial" w:eastAsia="Calibri" w:hAnsi="Arial" w:cs="Arial"/>
          <w:sz w:val="22"/>
        </w:rPr>
        <w:t xml:space="preserve">igaciones contractuales. </w:t>
      </w:r>
    </w:p>
    <w:p w14:paraId="4605A7D5" w14:textId="3655AC79" w:rsidR="00A14A37" w:rsidRPr="00883371" w:rsidRDefault="00571567" w:rsidP="00A14A37">
      <w:pPr>
        <w:spacing w:before="120" w:line="276" w:lineRule="auto"/>
        <w:ind w:firstLine="708"/>
        <w:jc w:val="both"/>
        <w:rPr>
          <w:rFonts w:ascii="Helvetica" w:hAnsi="Helvetica"/>
          <w:sz w:val="23"/>
          <w:szCs w:val="23"/>
          <w:shd w:val="clear" w:color="auto" w:fill="FFFFFF"/>
        </w:rPr>
      </w:pPr>
      <w:r w:rsidRPr="00883371">
        <w:rPr>
          <w:rFonts w:ascii="Arial" w:eastAsia="Calibri" w:hAnsi="Arial" w:cs="Arial"/>
          <w:sz w:val="22"/>
        </w:rPr>
        <w:t xml:space="preserve">Lo anterior debe ser tenido en cuenta en orden de diferenciar a los convenios de otras modalidades de acuerdo entre entidades estatales </w:t>
      </w:r>
      <w:r w:rsidR="00A14A37" w:rsidRPr="00883371">
        <w:rPr>
          <w:rFonts w:ascii="Arial" w:eastAsia="Calibri" w:hAnsi="Arial" w:cs="Arial"/>
          <w:sz w:val="22"/>
        </w:rPr>
        <w:t xml:space="preserve">no regulados </w:t>
      </w:r>
      <w:r w:rsidR="00A14A37" w:rsidRPr="00883371">
        <w:rPr>
          <w:rFonts w:ascii="Helvetica" w:hAnsi="Helvetica"/>
          <w:sz w:val="23"/>
          <w:szCs w:val="23"/>
          <w:shd w:val="clear" w:color="auto" w:fill="FFFFFF"/>
        </w:rPr>
        <w:t xml:space="preserve">el </w:t>
      </w:r>
      <w:r w:rsidR="00A14A37" w:rsidRPr="00883371">
        <w:rPr>
          <w:rFonts w:ascii="Arial" w:eastAsia="Calibri" w:hAnsi="Arial" w:cs="Arial"/>
          <w:sz w:val="22"/>
        </w:rPr>
        <w:t xml:space="preserve">Estatuto General de Contratación de la Administración Pública,  </w:t>
      </w:r>
      <w:r w:rsidRPr="00883371">
        <w:rPr>
          <w:rFonts w:ascii="Arial" w:eastAsia="Calibri" w:hAnsi="Arial" w:cs="Arial"/>
          <w:sz w:val="22"/>
        </w:rPr>
        <w:t xml:space="preserve">como los </w:t>
      </w:r>
      <w:r w:rsidRPr="00883371">
        <w:rPr>
          <w:rFonts w:ascii="Helvetica" w:hAnsi="Helvetica"/>
          <w:sz w:val="23"/>
          <w:szCs w:val="23"/>
          <w:shd w:val="clear" w:color="auto" w:fill="FFFFFF"/>
        </w:rPr>
        <w:t xml:space="preserve">memorandos de entendimiento o cartas de intención, acuerdos que suelen </w:t>
      </w:r>
      <w:r w:rsidR="00A14A37" w:rsidRPr="00883371">
        <w:rPr>
          <w:rFonts w:ascii="Helvetica" w:hAnsi="Helvetica"/>
          <w:sz w:val="23"/>
          <w:szCs w:val="23"/>
          <w:shd w:val="clear" w:color="auto" w:fill="FFFFFF"/>
        </w:rPr>
        <w:t xml:space="preserve">suscribir entidades estatales para </w:t>
      </w:r>
      <w:r w:rsidRPr="00883371">
        <w:rPr>
          <w:rFonts w:ascii="Helvetica" w:hAnsi="Helvetica"/>
          <w:sz w:val="23"/>
          <w:szCs w:val="23"/>
          <w:shd w:val="clear" w:color="auto" w:fill="FFFFFF"/>
        </w:rPr>
        <w:t xml:space="preserve">lograr el cumplimiento de </w:t>
      </w:r>
      <w:r w:rsidR="00A14A37" w:rsidRPr="00883371">
        <w:rPr>
          <w:rFonts w:ascii="Helvetica" w:hAnsi="Helvetica"/>
          <w:sz w:val="23"/>
          <w:szCs w:val="23"/>
          <w:shd w:val="clear" w:color="auto" w:fill="FFFFFF"/>
        </w:rPr>
        <w:t>determinados</w:t>
      </w:r>
      <w:r w:rsidRPr="00883371">
        <w:rPr>
          <w:rFonts w:ascii="Helvetica" w:hAnsi="Helvetica"/>
          <w:sz w:val="23"/>
          <w:szCs w:val="23"/>
          <w:shd w:val="clear" w:color="auto" w:fill="FFFFFF"/>
        </w:rPr>
        <w:t xml:space="preserve"> fines</w:t>
      </w:r>
      <w:r w:rsidR="00A14A37" w:rsidRPr="00883371">
        <w:rPr>
          <w:rFonts w:ascii="Helvetica" w:hAnsi="Helvetica"/>
          <w:sz w:val="23"/>
          <w:szCs w:val="23"/>
          <w:shd w:val="clear" w:color="auto" w:fill="FFFFFF"/>
        </w:rPr>
        <w:t>, en virtud de los cuales se estipulan compromisos programáticos basados en declaraciones de intención, lo cuales no tienen el carácter de obligaciones contractuales,</w:t>
      </w:r>
      <w:r w:rsidR="005F41C9" w:rsidRPr="00883371">
        <w:rPr>
          <w:rFonts w:ascii="Helvetica" w:hAnsi="Helvetica"/>
          <w:sz w:val="23"/>
          <w:szCs w:val="23"/>
          <w:shd w:val="clear" w:color="auto" w:fill="FFFFFF"/>
        </w:rPr>
        <w:t xml:space="preserve"> y están regulados por las normas que establecen el ejercicio de las funciones de las entidades involucradas. </w:t>
      </w:r>
      <w:r w:rsidR="00A14A37" w:rsidRPr="00883371">
        <w:rPr>
          <w:rFonts w:ascii="Helvetica" w:hAnsi="Helvetica"/>
          <w:sz w:val="23"/>
          <w:szCs w:val="23"/>
          <w:shd w:val="clear" w:color="auto" w:fill="FFFFFF"/>
        </w:rPr>
        <w:t xml:space="preserve"> </w:t>
      </w:r>
    </w:p>
    <w:p w14:paraId="0FC65D20" w14:textId="312208DA" w:rsidR="00883371" w:rsidRPr="00883371" w:rsidRDefault="00883371" w:rsidP="00A14A37">
      <w:pPr>
        <w:spacing w:before="120" w:line="276" w:lineRule="auto"/>
        <w:ind w:firstLine="708"/>
        <w:jc w:val="both"/>
        <w:rPr>
          <w:rFonts w:ascii="Helvetica" w:hAnsi="Helvetica"/>
          <w:sz w:val="23"/>
          <w:szCs w:val="23"/>
          <w:shd w:val="clear" w:color="auto" w:fill="FFFFFF"/>
        </w:rPr>
      </w:pPr>
      <w:r w:rsidRPr="00883371">
        <w:rPr>
          <w:rFonts w:ascii="Helvetica" w:hAnsi="Helvetica"/>
          <w:sz w:val="23"/>
          <w:szCs w:val="23"/>
          <w:shd w:val="clear" w:color="auto" w:fill="FFFFFF"/>
        </w:rPr>
        <w:t xml:space="preserve">En conclusión, mientras convenios interadministrativos constituyen una tipología de contrato estatal regulada por el </w:t>
      </w:r>
      <w:proofErr w:type="spellStart"/>
      <w:r w:rsidRPr="00883371">
        <w:rPr>
          <w:rFonts w:ascii="Arial" w:eastAsia="Calibri" w:hAnsi="Arial" w:cs="Arial"/>
          <w:sz w:val="22"/>
        </w:rPr>
        <w:t>el</w:t>
      </w:r>
      <w:proofErr w:type="spellEnd"/>
      <w:r w:rsidRPr="00883371">
        <w:rPr>
          <w:rFonts w:ascii="Arial" w:eastAsia="Calibri" w:hAnsi="Arial" w:cs="Arial"/>
          <w:sz w:val="22"/>
        </w:rPr>
        <w:t xml:space="preserve"> Estatuto General de Contratación de la Administración Pública, </w:t>
      </w:r>
      <w:proofErr w:type="spellStart"/>
      <w:r w:rsidRPr="00883371">
        <w:rPr>
          <w:rFonts w:ascii="Arial" w:eastAsia="Calibri" w:hAnsi="Arial" w:cs="Arial"/>
          <w:sz w:val="22"/>
        </w:rPr>
        <w:t>determninada</w:t>
      </w:r>
      <w:proofErr w:type="spellEnd"/>
      <w:r w:rsidRPr="00883371">
        <w:rPr>
          <w:rFonts w:ascii="Arial" w:eastAsia="Calibri" w:hAnsi="Arial" w:cs="Arial"/>
          <w:sz w:val="22"/>
        </w:rPr>
        <w:t xml:space="preserve"> por un criterio orgánico, en virtud del cual las partes son entidades estatales que adquieren unas obligaciones  de naturaleza contractual en virtud de su suscripción, a diferencia de los memorandos de entendimiento o cartas de intención que son acuerdos suscritos entre entidades estatales, que al no generar obligaciones de entre los suscribientes, sino lineamientos generales dirigidos a ser </w:t>
      </w:r>
      <w:proofErr w:type="spellStart"/>
      <w:r w:rsidRPr="00883371">
        <w:rPr>
          <w:rFonts w:ascii="Arial" w:eastAsia="Calibri" w:hAnsi="Arial" w:cs="Arial"/>
          <w:sz w:val="22"/>
        </w:rPr>
        <w:t>concredos</w:t>
      </w:r>
      <w:proofErr w:type="spellEnd"/>
      <w:r w:rsidRPr="00883371">
        <w:rPr>
          <w:rFonts w:ascii="Arial" w:eastAsia="Calibri" w:hAnsi="Arial" w:cs="Arial"/>
          <w:sz w:val="22"/>
        </w:rPr>
        <w:t xml:space="preserve"> en un acuerdo final, no se encuentran sometidos por al mencionado estatuto, no </w:t>
      </w:r>
      <w:proofErr w:type="spellStart"/>
      <w:r w:rsidRPr="00883371">
        <w:rPr>
          <w:rFonts w:ascii="Arial" w:eastAsia="Calibri" w:hAnsi="Arial" w:cs="Arial"/>
          <w:sz w:val="22"/>
        </w:rPr>
        <w:t>siendoles</w:t>
      </w:r>
      <w:proofErr w:type="spellEnd"/>
      <w:r w:rsidRPr="00883371">
        <w:rPr>
          <w:rFonts w:ascii="Arial" w:eastAsia="Calibri" w:hAnsi="Arial" w:cs="Arial"/>
          <w:sz w:val="22"/>
        </w:rPr>
        <w:t xml:space="preserve"> aplicables las solemnidades que requeridas para la celebración y ejecución de contratos estatales.</w:t>
      </w:r>
    </w:p>
    <w:p w14:paraId="3AADB228" w14:textId="77777777" w:rsidR="005F41C9" w:rsidRPr="00883371" w:rsidRDefault="005F41C9" w:rsidP="005134C9">
      <w:pPr>
        <w:widowControl w:val="0"/>
        <w:tabs>
          <w:tab w:val="left" w:pos="728"/>
        </w:tabs>
        <w:autoSpaceDE w:val="0"/>
        <w:autoSpaceDN w:val="0"/>
        <w:spacing w:line="276" w:lineRule="auto"/>
        <w:jc w:val="both"/>
        <w:rPr>
          <w:rFonts w:ascii="Arial" w:eastAsia="Arial" w:hAnsi="Arial" w:cs="Arial"/>
          <w:sz w:val="22"/>
          <w:lang w:val="es-ES"/>
        </w:rPr>
      </w:pPr>
    </w:p>
    <w:p w14:paraId="1FFA97A1" w14:textId="05B2939F" w:rsidR="009B7F9B" w:rsidRPr="00883371"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sz w:val="22"/>
          <w:lang w:val="es-ES"/>
        </w:rPr>
      </w:pPr>
      <w:r w:rsidRPr="00883371">
        <w:rPr>
          <w:rFonts w:ascii="Arial" w:eastAsia="Arial" w:hAnsi="Arial" w:cs="Arial"/>
          <w:b/>
          <w:bCs/>
          <w:sz w:val="22"/>
          <w:lang w:val="es-ES"/>
        </w:rPr>
        <w:t xml:space="preserve">Principio de publicidad y acceso a la información pública </w:t>
      </w:r>
    </w:p>
    <w:p w14:paraId="618C0518" w14:textId="77777777" w:rsidR="00107E4D" w:rsidRPr="00883371"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sz w:val="22"/>
          <w:lang w:val="es-ES"/>
        </w:rPr>
      </w:pPr>
    </w:p>
    <w:p w14:paraId="53BF6E87" w14:textId="77777777" w:rsidR="00107E4D" w:rsidRPr="00883371" w:rsidRDefault="00107E4D" w:rsidP="00107E4D">
      <w:pPr>
        <w:widowControl w:val="0"/>
        <w:tabs>
          <w:tab w:val="left" w:pos="728"/>
        </w:tabs>
        <w:autoSpaceDE w:val="0"/>
        <w:autoSpaceDN w:val="0"/>
        <w:spacing w:line="276" w:lineRule="auto"/>
        <w:jc w:val="both"/>
        <w:rPr>
          <w:rFonts w:ascii="Arial" w:eastAsia="Arial" w:hAnsi="Arial" w:cs="Arial"/>
          <w:b/>
          <w:sz w:val="22"/>
          <w:lang w:val="es-ES"/>
        </w:rPr>
      </w:pPr>
      <w:r w:rsidRPr="00883371">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883371"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1F787B9B" w14:textId="0AAC69B0" w:rsidR="00107E4D" w:rsidRPr="00883371" w:rsidRDefault="00107E4D" w:rsidP="009B3335">
      <w:pPr>
        <w:widowControl w:val="0"/>
        <w:tabs>
          <w:tab w:val="left" w:pos="728"/>
        </w:tabs>
        <w:autoSpaceDE w:val="0"/>
        <w:autoSpaceDN w:val="0"/>
        <w:spacing w:after="120"/>
        <w:ind w:left="709" w:right="709"/>
        <w:jc w:val="both"/>
        <w:rPr>
          <w:rFonts w:ascii="Arial" w:eastAsia="Arial" w:hAnsi="Arial" w:cs="Arial"/>
          <w:sz w:val="21"/>
          <w:szCs w:val="21"/>
          <w:lang w:val="es-ES"/>
        </w:rPr>
      </w:pPr>
      <w:r w:rsidRPr="00883371">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C2AB5E2" w14:textId="77777777" w:rsidR="00107E4D" w:rsidRPr="00883371"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883371">
        <w:rPr>
          <w:rFonts w:ascii="Arial" w:eastAsia="Arial" w:hAnsi="Arial" w:cs="Arial"/>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883371">
        <w:rPr>
          <w:rFonts w:ascii="Arial" w:eastAsia="Arial" w:hAnsi="Arial" w:cs="Arial"/>
          <w:sz w:val="21"/>
          <w:szCs w:val="21"/>
          <w:vertAlign w:val="superscript"/>
          <w:lang w:val="es-ES"/>
        </w:rPr>
        <w:footnoteReference w:id="10"/>
      </w:r>
      <w:r w:rsidRPr="00883371">
        <w:rPr>
          <w:rFonts w:ascii="Arial" w:eastAsia="Arial" w:hAnsi="Arial" w:cs="Arial"/>
          <w:sz w:val="21"/>
          <w:szCs w:val="21"/>
          <w:lang w:val="es-ES"/>
        </w:rPr>
        <w:t>.</w:t>
      </w:r>
    </w:p>
    <w:p w14:paraId="3D90915E" w14:textId="77777777" w:rsidR="00107E4D" w:rsidRPr="00883371"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6E259D23" w14:textId="77777777" w:rsidR="00107E4D" w:rsidRPr="00883371"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883371">
        <w:rPr>
          <w:rFonts w:ascii="Arial" w:eastAsia="Arial" w:hAnsi="Arial" w:cs="Arial"/>
          <w:sz w:val="22"/>
          <w:vertAlign w:val="superscript"/>
          <w:lang w:val="es-ES"/>
        </w:rPr>
        <w:footnoteReference w:id="11"/>
      </w:r>
      <w:r w:rsidRPr="00883371">
        <w:rPr>
          <w:rFonts w:ascii="Arial" w:eastAsia="Arial" w:hAnsi="Arial" w:cs="Arial"/>
          <w:sz w:val="22"/>
          <w:lang w:val="es-ES"/>
        </w:rPr>
        <w:t xml:space="preserve">. </w:t>
      </w:r>
    </w:p>
    <w:p w14:paraId="340A2753" w14:textId="77777777" w:rsidR="00107E4D" w:rsidRPr="00883371"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883371">
        <w:rPr>
          <w:rFonts w:ascii="Arial" w:eastAsia="Arial" w:hAnsi="Arial" w:cs="Arial"/>
          <w:sz w:val="22"/>
          <w:vertAlign w:val="superscript"/>
          <w:lang w:val="es-ES"/>
        </w:rPr>
        <w:footnoteReference w:id="12"/>
      </w:r>
      <w:r w:rsidRPr="00883371">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4936C4E" w14:textId="77777777" w:rsidR="00107E4D" w:rsidRPr="00883371"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La ley citada establece, en el literal e) del artículo 9, que los sujetos obligados, que son todas las entidades públicas</w:t>
      </w:r>
      <w:r w:rsidRPr="00883371">
        <w:rPr>
          <w:rFonts w:ascii="Arial" w:eastAsia="Arial" w:hAnsi="Arial" w:cs="Arial"/>
          <w:sz w:val="22"/>
          <w:vertAlign w:val="superscript"/>
          <w:lang w:val="es-ES"/>
        </w:rPr>
        <w:footnoteReference w:id="13"/>
      </w:r>
      <w:r w:rsidRPr="00883371">
        <w:rPr>
          <w:rFonts w:ascii="Arial" w:eastAsia="Arial" w:hAnsi="Arial" w:cs="Arial"/>
          <w:sz w:val="22"/>
          <w:lang w:val="es-ES"/>
        </w:rPr>
        <w:t xml:space="preserve">, deben publicar la información relativa a su contratación. </w:t>
      </w:r>
      <w:r w:rsidRPr="00883371">
        <w:rPr>
          <w:rFonts w:ascii="Arial" w:eastAsia="Arial" w:hAnsi="Arial" w:cs="Arial"/>
          <w:sz w:val="22"/>
          <w:lang w:val="es-ES"/>
        </w:rPr>
        <w:lastRenderedPageBreak/>
        <w:t>Esta obligación fue  en principio desarrollada por el  Decreto 103 de 2015, hoy compilado en el Decreto Único Reglamentario 1081 de 2015</w:t>
      </w:r>
      <w:r w:rsidRPr="00883371">
        <w:rPr>
          <w:rFonts w:ascii="Arial" w:eastAsia="Arial" w:hAnsi="Arial" w:cs="Arial"/>
          <w:sz w:val="22"/>
          <w:vertAlign w:val="superscript"/>
          <w:lang w:val="es-ES"/>
        </w:rPr>
        <w:footnoteReference w:id="14"/>
      </w:r>
      <w:r w:rsidRPr="00883371">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6AE94F3" w14:textId="77777777" w:rsidR="00107E4D" w:rsidRPr="00883371"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883371"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83371">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883371">
        <w:rPr>
          <w:rFonts w:ascii="Arial" w:eastAsia="Arial" w:hAnsi="Arial" w:cs="Arial"/>
          <w:sz w:val="22"/>
          <w:vertAlign w:val="superscript"/>
          <w:lang w:val="es-ES"/>
        </w:rPr>
        <w:footnoteReference w:id="15"/>
      </w:r>
      <w:r w:rsidRPr="00883371">
        <w:rPr>
          <w:rFonts w:ascii="Arial" w:eastAsia="Arial" w:hAnsi="Arial" w:cs="Arial"/>
          <w:sz w:val="22"/>
          <w:lang w:val="es-ES"/>
        </w:rPr>
        <w:t>.</w:t>
      </w:r>
    </w:p>
    <w:p w14:paraId="773A9D0A" w14:textId="77777777" w:rsidR="00107E4D" w:rsidRPr="00883371" w:rsidRDefault="00107E4D" w:rsidP="00107E4D">
      <w:pPr>
        <w:widowControl w:val="0"/>
        <w:tabs>
          <w:tab w:val="left" w:pos="728"/>
        </w:tabs>
        <w:autoSpaceDE w:val="0"/>
        <w:autoSpaceDN w:val="0"/>
        <w:spacing w:line="276" w:lineRule="auto"/>
        <w:jc w:val="both"/>
        <w:rPr>
          <w:rFonts w:ascii="Arial" w:hAnsi="Arial" w:cs="Arial"/>
          <w:sz w:val="22"/>
          <w:lang w:val="es-ES"/>
        </w:rPr>
      </w:pPr>
      <w:r w:rsidRPr="00883371">
        <w:rPr>
          <w:rFonts w:ascii="Arial" w:eastAsia="Arial" w:hAnsi="Arial" w:cs="Arial"/>
          <w:sz w:val="22"/>
          <w:lang w:val="es-ES"/>
        </w:rPr>
        <w:tab/>
      </w:r>
      <w:r w:rsidRPr="00883371">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883371">
        <w:rPr>
          <w:rFonts w:ascii="Arial" w:hAnsi="Arial" w:cs="Arial"/>
          <w:sz w:val="22"/>
          <w:vertAlign w:val="superscript"/>
          <w:lang w:val="es-ES"/>
        </w:rPr>
        <w:footnoteReference w:id="16"/>
      </w:r>
      <w:r w:rsidRPr="00883371">
        <w:rPr>
          <w:rFonts w:ascii="Arial"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1EA76D44" w14:textId="77777777" w:rsidR="00107E4D" w:rsidRPr="00883371" w:rsidRDefault="00107E4D" w:rsidP="009B3335">
      <w:pPr>
        <w:ind w:left="709" w:right="709"/>
        <w:jc w:val="both"/>
        <w:rPr>
          <w:rFonts w:ascii="Arial" w:hAnsi="Arial" w:cs="Arial"/>
          <w:sz w:val="22"/>
          <w:lang w:val="es-ES"/>
        </w:rPr>
      </w:pPr>
    </w:p>
    <w:p w14:paraId="57D9A301" w14:textId="135F35DE" w:rsidR="00107E4D" w:rsidRPr="00883371" w:rsidRDefault="00107E4D">
      <w:pPr>
        <w:spacing w:after="120"/>
        <w:ind w:left="709" w:right="709"/>
        <w:jc w:val="both"/>
        <w:rPr>
          <w:rFonts w:ascii="Arial" w:hAnsi="Arial" w:cs="Arial"/>
          <w:sz w:val="21"/>
          <w:szCs w:val="21"/>
          <w:lang w:val="es-ES"/>
        </w:rPr>
      </w:pPr>
      <w:r w:rsidRPr="00883371">
        <w:rPr>
          <w:rFonts w:ascii="Arial" w:hAnsi="Arial" w:cs="Arial"/>
          <w:sz w:val="21"/>
          <w:szCs w:val="21"/>
          <w:lang w:val="es-ES"/>
        </w:rPr>
        <w:lastRenderedPageBreak/>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20FFD7D3" w14:textId="46A25094" w:rsidR="00107E4D" w:rsidRPr="00883371" w:rsidRDefault="00107E4D">
      <w:pPr>
        <w:spacing w:after="120"/>
        <w:ind w:left="709" w:right="709"/>
        <w:jc w:val="both"/>
        <w:rPr>
          <w:rFonts w:ascii="Arial" w:hAnsi="Arial" w:cs="Arial"/>
          <w:sz w:val="21"/>
          <w:szCs w:val="21"/>
          <w:lang w:val="es-ES"/>
        </w:rPr>
      </w:pPr>
      <w:r w:rsidRPr="00883371">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120774EC" w14:textId="77777777" w:rsidR="00107E4D" w:rsidRPr="00883371" w:rsidRDefault="00107E4D" w:rsidP="009B3335">
      <w:pPr>
        <w:ind w:left="709" w:right="709"/>
        <w:jc w:val="both"/>
        <w:rPr>
          <w:rFonts w:ascii="Arial" w:hAnsi="Arial" w:cs="Arial"/>
          <w:sz w:val="21"/>
          <w:szCs w:val="21"/>
          <w:lang w:val="es-ES"/>
        </w:rPr>
      </w:pPr>
      <w:r w:rsidRPr="00883371">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883371">
        <w:rPr>
          <w:rFonts w:ascii="Arial" w:hAnsi="Arial" w:cs="Arial"/>
          <w:sz w:val="21"/>
          <w:szCs w:val="21"/>
          <w:vertAlign w:val="superscript"/>
          <w:lang w:val="es-ES"/>
        </w:rPr>
        <w:footnoteReference w:id="17"/>
      </w:r>
      <w:r w:rsidRPr="00883371">
        <w:rPr>
          <w:rFonts w:ascii="Arial" w:hAnsi="Arial" w:cs="Arial"/>
          <w:sz w:val="21"/>
          <w:szCs w:val="21"/>
          <w:lang w:val="es-ES"/>
        </w:rPr>
        <w:t>.</w:t>
      </w:r>
    </w:p>
    <w:p w14:paraId="431D4F36" w14:textId="77777777" w:rsidR="00107E4D" w:rsidRPr="00883371" w:rsidRDefault="00107E4D" w:rsidP="009B3335">
      <w:pPr>
        <w:ind w:left="709" w:right="709"/>
        <w:jc w:val="both"/>
        <w:rPr>
          <w:rFonts w:ascii="Arial" w:hAnsi="Arial" w:cs="Arial"/>
          <w:sz w:val="22"/>
          <w:lang w:val="es-ES"/>
        </w:rPr>
      </w:pPr>
    </w:p>
    <w:p w14:paraId="56749D69" w14:textId="77777777" w:rsidR="00107E4D" w:rsidRPr="00883371" w:rsidRDefault="00107E4D" w:rsidP="00107E4D">
      <w:pPr>
        <w:spacing w:after="120" w:line="276" w:lineRule="auto"/>
        <w:ind w:firstLine="709"/>
        <w:jc w:val="both"/>
        <w:rPr>
          <w:rFonts w:ascii="Arial" w:hAnsi="Arial" w:cs="Arial"/>
          <w:sz w:val="22"/>
          <w:lang w:val="es-ES"/>
        </w:rPr>
      </w:pPr>
      <w:r w:rsidRPr="00883371">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77777777" w:rsidR="00107E4D" w:rsidRPr="00883371" w:rsidRDefault="00107E4D" w:rsidP="00107E4D">
      <w:pPr>
        <w:spacing w:after="120" w:line="276" w:lineRule="auto"/>
        <w:ind w:firstLine="709"/>
        <w:jc w:val="both"/>
        <w:rPr>
          <w:rFonts w:ascii="Arial" w:hAnsi="Arial" w:cs="Arial"/>
          <w:sz w:val="22"/>
          <w:lang w:val="es-ES"/>
        </w:rPr>
      </w:pPr>
      <w:r w:rsidRPr="00883371">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53442C04" w14:textId="77777777" w:rsidR="00107E4D" w:rsidRPr="00883371" w:rsidRDefault="00107E4D" w:rsidP="00107E4D">
      <w:pPr>
        <w:spacing w:line="276" w:lineRule="auto"/>
        <w:ind w:firstLine="709"/>
        <w:jc w:val="both"/>
        <w:rPr>
          <w:rFonts w:ascii="Arial" w:hAnsi="Arial" w:cs="Arial"/>
          <w:sz w:val="22"/>
          <w:lang w:val="es-ES"/>
        </w:rPr>
      </w:pPr>
      <w:r w:rsidRPr="00883371">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w:t>
      </w:r>
      <w:r w:rsidRPr="00883371">
        <w:rPr>
          <w:rFonts w:ascii="Arial" w:hAnsi="Arial" w:cs="Arial"/>
          <w:sz w:val="22"/>
          <w:lang w:val="es-ES"/>
        </w:rPr>
        <w:lastRenderedPageBreak/>
        <w:t>contratación, esto comoquiera que el objetivo del deber de dar publicidad a las actuaciones contractuales es materializar el derecho a conocer e intervenir de las decisiones de la Administración Pública.</w:t>
      </w:r>
    </w:p>
    <w:p w14:paraId="55DFF81A" w14:textId="77777777" w:rsidR="00842EFF" w:rsidRPr="00883371" w:rsidRDefault="00842EFF" w:rsidP="009B7F9B">
      <w:pPr>
        <w:spacing w:line="276" w:lineRule="auto"/>
        <w:jc w:val="both"/>
        <w:rPr>
          <w:rFonts w:ascii="Arial" w:eastAsia="Calibri" w:hAnsi="Arial" w:cs="Arial"/>
          <w:b/>
          <w:bCs/>
          <w:sz w:val="22"/>
          <w:lang w:val="es-ES"/>
        </w:rPr>
      </w:pPr>
    </w:p>
    <w:p w14:paraId="4C3DEEEA" w14:textId="7B8D1045" w:rsidR="00107E4D" w:rsidRPr="00883371" w:rsidRDefault="00107E4D" w:rsidP="00107E4D">
      <w:pPr>
        <w:spacing w:line="276" w:lineRule="auto"/>
        <w:jc w:val="both"/>
        <w:rPr>
          <w:rFonts w:ascii="Arial" w:eastAsia="Calibri" w:hAnsi="Arial" w:cs="Arial"/>
          <w:b/>
          <w:sz w:val="22"/>
          <w:lang w:val="es-ES"/>
        </w:rPr>
      </w:pPr>
      <w:r w:rsidRPr="00883371">
        <w:rPr>
          <w:rFonts w:ascii="Arial" w:eastAsia="Calibri" w:hAnsi="Arial" w:cs="Arial"/>
          <w:b/>
          <w:bCs/>
          <w:sz w:val="22"/>
          <w:lang w:val="es-ES"/>
        </w:rPr>
        <w:t>2.</w:t>
      </w:r>
      <w:r w:rsidR="00994553" w:rsidRPr="00883371">
        <w:rPr>
          <w:rFonts w:ascii="Arial" w:eastAsia="Calibri" w:hAnsi="Arial" w:cs="Arial"/>
          <w:b/>
          <w:bCs/>
          <w:sz w:val="22"/>
          <w:lang w:val="es-ES"/>
        </w:rPr>
        <w:t>3</w:t>
      </w:r>
      <w:r w:rsidRPr="00883371">
        <w:rPr>
          <w:rFonts w:ascii="Arial" w:eastAsia="Calibri" w:hAnsi="Arial" w:cs="Arial"/>
          <w:b/>
          <w:bCs/>
          <w:sz w:val="22"/>
          <w:lang w:val="es-ES"/>
        </w:rPr>
        <w:t xml:space="preserve">. </w:t>
      </w:r>
      <w:r w:rsidRPr="00883371">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883371" w:rsidRDefault="00107E4D" w:rsidP="00107E4D">
      <w:pPr>
        <w:spacing w:line="276" w:lineRule="auto"/>
        <w:ind w:left="360"/>
        <w:contextualSpacing/>
        <w:jc w:val="both"/>
        <w:rPr>
          <w:rFonts w:ascii="Arial" w:hAnsi="Arial" w:cs="Arial"/>
          <w:b/>
          <w:sz w:val="22"/>
          <w:lang w:val="es-ES"/>
        </w:rPr>
      </w:pPr>
    </w:p>
    <w:p w14:paraId="2BFFA2A3" w14:textId="66DCC1BC" w:rsidR="00D12042" w:rsidRPr="00883371" w:rsidRDefault="00D12042" w:rsidP="00D12042">
      <w:pPr>
        <w:spacing w:line="276" w:lineRule="auto"/>
        <w:contextualSpacing/>
        <w:jc w:val="both"/>
        <w:rPr>
          <w:rFonts w:ascii="Arial" w:hAnsi="Arial" w:cs="Arial"/>
          <w:sz w:val="22"/>
          <w:lang w:val="es-ES"/>
        </w:rPr>
      </w:pPr>
      <w:r w:rsidRPr="00883371">
        <w:rPr>
          <w:rFonts w:ascii="Arial" w:hAnsi="Arial" w:cs="Arial"/>
          <w:sz w:val="22"/>
          <w:lang w:val="es-ES"/>
        </w:rPr>
        <w:t xml:space="preserve">La Agencia Nacional de Contratación Pública </w:t>
      </w:r>
      <w:r w:rsidR="00137A10" w:rsidRPr="00883371">
        <w:rPr>
          <w:rFonts w:ascii="Arial" w:hAnsi="Arial" w:cs="Arial"/>
          <w:sz w:val="22"/>
          <w:lang w:val="es-ES"/>
        </w:rPr>
        <w:t>–</w:t>
      </w:r>
      <w:r w:rsidRPr="00883371">
        <w:rPr>
          <w:rFonts w:ascii="Arial" w:hAnsi="Arial" w:cs="Arial"/>
          <w:sz w:val="22"/>
          <w:lang w:val="es-ES"/>
        </w:rPr>
        <w:t xml:space="preserve">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 La tesis desarrollada se expone y complementa a continuación</w:t>
      </w:r>
      <w:r w:rsidRPr="00883371">
        <w:rPr>
          <w:rStyle w:val="Refdenotaalpie"/>
          <w:rFonts w:ascii="Arial" w:hAnsi="Arial" w:cs="Arial"/>
          <w:sz w:val="22"/>
          <w:lang w:val="es-ES"/>
        </w:rPr>
        <w:footnoteReference w:id="18"/>
      </w:r>
      <w:r w:rsidRPr="00883371">
        <w:rPr>
          <w:rFonts w:ascii="Arial" w:hAnsi="Arial" w:cs="Arial"/>
          <w:sz w:val="22"/>
          <w:lang w:val="es-ES"/>
        </w:rPr>
        <w:t>:</w:t>
      </w:r>
    </w:p>
    <w:p w14:paraId="090F1D9C" w14:textId="77777777" w:rsidR="00D12042" w:rsidRPr="00883371" w:rsidRDefault="00D12042" w:rsidP="00D12042">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t>El procedimiento de contratación de las entidades es reglado, es decir, no es discrecional y se deben consultar las normas que lo rigen para determinar la forma que la ley prevé para adelantarlo. Por consiguiente, las principales normas son: la Ley 80 de 1993, la Ley 1150 de 2007  ̶ Estatuto General de Contratación de la Administración Pública ̶  y el Decreto 1082 de 2015, que es reglamentario y concreta cada modalidad de selección, señalando las reglas o pasos a seguir para celebrar el contrato estatal</w:t>
      </w:r>
      <w:r w:rsidRPr="00883371">
        <w:rPr>
          <w:rFonts w:ascii="Arial" w:eastAsia="Calibri" w:hAnsi="Arial" w:cs="Arial"/>
          <w:sz w:val="22"/>
          <w:vertAlign w:val="superscript"/>
          <w:lang w:val="es-ES"/>
        </w:rPr>
        <w:footnoteReference w:id="19"/>
      </w:r>
      <w:r w:rsidRPr="00883371">
        <w:rPr>
          <w:rFonts w:ascii="Arial" w:eastAsia="Calibri" w:hAnsi="Arial" w:cs="Arial"/>
          <w:sz w:val="22"/>
          <w:lang w:val="es-ES"/>
        </w:rPr>
        <w:t>. Por consiguiente, para que los documentos de la actividad contractual se conozcan la entidad debe publicarlos, sin importar la modalidad de selección.</w:t>
      </w:r>
    </w:p>
    <w:p w14:paraId="23EFADB5" w14:textId="77777777" w:rsidR="00D12042" w:rsidRPr="00883371" w:rsidRDefault="00D12042" w:rsidP="00D12042">
      <w:pPr>
        <w:widowControl w:val="0"/>
        <w:autoSpaceDE w:val="0"/>
        <w:autoSpaceDN w:val="0"/>
        <w:spacing w:line="276" w:lineRule="auto"/>
        <w:ind w:right="49" w:firstLine="708"/>
        <w:jc w:val="both"/>
        <w:rPr>
          <w:rFonts w:ascii="Arial" w:eastAsia="Arial" w:hAnsi="Arial" w:cs="Arial"/>
          <w:sz w:val="22"/>
          <w:lang w:val="es-ES"/>
        </w:rPr>
      </w:pPr>
      <w:r w:rsidRPr="00883371">
        <w:rPr>
          <w:rFonts w:ascii="Arial" w:eastAsia="Arial" w:hAnsi="Arial" w:cs="Arial"/>
          <w:sz w:val="22"/>
          <w:lang w:val="es-ES"/>
        </w:rPr>
        <w:t xml:space="preserve">El artículo 3 de la Ley 1150 de 2007 señala que los actos relacionados con los procedimientos de contratación de las entidades estatales pueden ser electrónicos, al igual que su publicidad, por lo que el Gobierno nacional debe definir los medios para desarrolla </w:t>
      </w:r>
      <w:r w:rsidRPr="00883371">
        <w:rPr>
          <w:rFonts w:ascii="Arial" w:eastAsia="Arial" w:hAnsi="Arial" w:cs="Arial"/>
          <w:sz w:val="22"/>
          <w:lang w:val="es-ES"/>
        </w:rPr>
        <w:lastRenderedPageBreak/>
        <w:t>dicha publicidad, y tiene la obligación de desarrollar el SECOP</w:t>
      </w:r>
      <w:r w:rsidRPr="00883371">
        <w:rPr>
          <w:rFonts w:ascii="Arial" w:eastAsia="Arial" w:hAnsi="Arial" w:cs="Arial"/>
          <w:sz w:val="22"/>
          <w:vertAlign w:val="superscript"/>
          <w:lang w:val="es-ES"/>
        </w:rPr>
        <w:footnoteReference w:id="20"/>
      </w:r>
      <w:r w:rsidRPr="00883371">
        <w:rPr>
          <w:rFonts w:ascii="Arial" w:eastAsia="Arial" w:hAnsi="Arial" w:cs="Arial"/>
          <w:sz w:val="22"/>
          <w:lang w:val="es-E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7777777" w:rsidR="00D12042" w:rsidRPr="00883371"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883371">
        <w:rPr>
          <w:rFonts w:ascii="Arial" w:eastAsia="Arial" w:hAnsi="Arial" w:cs="Arial"/>
          <w:sz w:val="22"/>
          <w:lang w:val="es-ES"/>
        </w:rPr>
        <w:t>La norma citada genera un cambio en la contratación pública, ámbito en el que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w:t>
      </w:r>
    </w:p>
    <w:p w14:paraId="241F678C" w14:textId="77777777" w:rsidR="00D12042" w:rsidRPr="00883371"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883371">
        <w:rPr>
          <w:rFonts w:ascii="Arial" w:eastAsia="Arial" w:hAnsi="Arial" w:cs="Arial"/>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63D43A27" w14:textId="77777777" w:rsidR="00D12042" w:rsidRPr="00883371" w:rsidRDefault="00D12042" w:rsidP="00D12042">
      <w:pPr>
        <w:widowControl w:val="0"/>
        <w:autoSpaceDE w:val="0"/>
        <w:autoSpaceDN w:val="0"/>
        <w:rPr>
          <w:rFonts w:ascii="Arial" w:eastAsia="Arial" w:hAnsi="Arial" w:cs="Arial"/>
          <w:sz w:val="25"/>
          <w:lang w:val="es-ES"/>
        </w:rPr>
      </w:pPr>
    </w:p>
    <w:p w14:paraId="0FB41B83" w14:textId="3E012456" w:rsidR="00D12042" w:rsidRPr="00883371" w:rsidRDefault="00D12042" w:rsidP="009B3335">
      <w:pPr>
        <w:widowControl w:val="0"/>
        <w:autoSpaceDE w:val="0"/>
        <w:autoSpaceDN w:val="0"/>
        <w:spacing w:after="120"/>
        <w:ind w:left="709" w:right="709"/>
        <w:jc w:val="both"/>
        <w:rPr>
          <w:rFonts w:ascii="Arial" w:eastAsia="Arial" w:hAnsi="Arial" w:cs="Arial"/>
          <w:sz w:val="20"/>
          <w:lang w:val="es-ES"/>
        </w:rPr>
      </w:pPr>
      <w:r w:rsidRPr="00883371">
        <w:rPr>
          <w:rFonts w:ascii="Arial" w:eastAsia="Arial" w:hAnsi="Arial" w:cs="Arial"/>
          <w:sz w:val="21"/>
          <w:lang w:val="es-ES"/>
        </w:rPr>
        <w:t xml:space="preserve">En cuanto a que la supresión de la publicación en el Diario Único de Contratación fuese necesaria, y en consecuencia ajena al ámbito de las facultades extraordinarias conferidas, se concluye que, si bien la publicación de los </w:t>
      </w:r>
      <w:r w:rsidRPr="00883371">
        <w:rPr>
          <w:rFonts w:ascii="Arial" w:eastAsia="Arial" w:hAnsi="Arial" w:cs="Arial"/>
          <w:sz w:val="21"/>
          <w:lang w:val="es-ES"/>
        </w:rPr>
        <w:lastRenderedPageBreak/>
        <w:t>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883371">
        <w:rPr>
          <w:rFonts w:ascii="Arial" w:eastAsia="Arial" w:hAnsi="Arial" w:cs="Arial"/>
          <w:spacing w:val="-6"/>
          <w:sz w:val="21"/>
          <w:lang w:val="es-ES"/>
        </w:rPr>
        <w:t xml:space="preserve"> </w:t>
      </w:r>
      <w:r w:rsidRPr="00883371">
        <w:rPr>
          <w:rFonts w:ascii="Arial" w:eastAsia="Arial" w:hAnsi="Arial" w:cs="Arial"/>
          <w:sz w:val="21"/>
          <w:lang w:val="es-ES"/>
        </w:rPr>
        <w:t>estatal.</w:t>
      </w:r>
    </w:p>
    <w:p w14:paraId="0B902318" w14:textId="77777777" w:rsidR="00D12042" w:rsidRPr="00883371" w:rsidRDefault="00D12042" w:rsidP="00D12042">
      <w:pPr>
        <w:widowControl w:val="0"/>
        <w:autoSpaceDE w:val="0"/>
        <w:autoSpaceDN w:val="0"/>
        <w:spacing w:before="1"/>
        <w:ind w:left="709" w:right="709"/>
        <w:jc w:val="both"/>
        <w:rPr>
          <w:rFonts w:ascii="Arial" w:eastAsia="Arial" w:hAnsi="Arial" w:cs="Arial"/>
          <w:sz w:val="21"/>
          <w:lang w:val="es-ES"/>
        </w:rPr>
      </w:pPr>
      <w:r w:rsidRPr="00883371">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883371">
        <w:rPr>
          <w:rFonts w:ascii="Arial" w:eastAsia="Arial" w:hAnsi="Arial" w:cs="Arial"/>
          <w:spacing w:val="-3"/>
          <w:sz w:val="21"/>
          <w:lang w:val="es-ES"/>
        </w:rPr>
        <w:t xml:space="preserve">Y, </w:t>
      </w:r>
      <w:r w:rsidRPr="00883371">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883371">
        <w:rPr>
          <w:rFonts w:ascii="Arial" w:eastAsia="Arial" w:hAnsi="Arial" w:cs="Arial"/>
          <w:spacing w:val="-4"/>
          <w:sz w:val="21"/>
          <w:lang w:val="es-ES"/>
        </w:rPr>
        <w:t xml:space="preserve"> </w:t>
      </w:r>
      <w:r w:rsidRPr="00883371">
        <w:rPr>
          <w:rFonts w:ascii="Arial" w:eastAsia="Arial" w:hAnsi="Arial" w:cs="Arial"/>
          <w:sz w:val="21"/>
          <w:lang w:val="es-ES"/>
        </w:rPr>
        <w:t>ciudadanía.</w:t>
      </w:r>
    </w:p>
    <w:p w14:paraId="339F1388" w14:textId="77777777" w:rsidR="00D12042" w:rsidRPr="00883371" w:rsidRDefault="00D12042" w:rsidP="00D12042">
      <w:pPr>
        <w:widowControl w:val="0"/>
        <w:autoSpaceDE w:val="0"/>
        <w:autoSpaceDN w:val="0"/>
        <w:spacing w:before="1" w:line="276" w:lineRule="auto"/>
        <w:ind w:right="307"/>
        <w:jc w:val="both"/>
        <w:rPr>
          <w:rFonts w:ascii="Arial" w:eastAsia="Arial" w:hAnsi="Arial" w:cs="Arial"/>
          <w:sz w:val="22"/>
          <w:lang w:val="es-ES"/>
        </w:rPr>
      </w:pPr>
    </w:p>
    <w:p w14:paraId="78BD0AA4" w14:textId="2A6524CD" w:rsidR="00D12042" w:rsidRPr="00883371"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83371">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74E254D" w14:textId="77777777" w:rsidR="00D12042" w:rsidRPr="00883371"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83371">
        <w:rPr>
          <w:rFonts w:ascii="Arial" w:eastAsia="Arial" w:hAnsi="Arial" w:cs="Arial"/>
          <w:sz w:val="22"/>
          <w:lang w:val="es-ES"/>
        </w:rPr>
        <w:t xml:space="preserve">La expresión </w:t>
      </w:r>
      <w:r w:rsidRPr="00883371">
        <w:rPr>
          <w:rFonts w:ascii="Arial" w:eastAsia="Arial" w:hAnsi="Arial" w:cs="Arial"/>
          <w:i/>
          <w:iCs/>
          <w:sz w:val="22"/>
          <w:lang w:val="es-ES"/>
        </w:rPr>
        <w:t>Documentos del Proceso</w:t>
      </w:r>
      <w:r w:rsidRPr="00883371">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77777777" w:rsidR="00D12042" w:rsidRPr="00883371"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83371">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883371">
        <w:rPr>
          <w:rFonts w:ascii="Arial" w:eastAsia="Arial" w:hAnsi="Arial" w:cs="Arial"/>
          <w:i/>
          <w:iCs/>
          <w:sz w:val="22"/>
          <w:lang w:val="es-ES"/>
        </w:rPr>
        <w:t>Ibídem</w:t>
      </w:r>
      <w:r w:rsidRPr="00883371">
        <w:rPr>
          <w:rFonts w:ascii="Arial" w:eastAsia="Arial" w:hAnsi="Arial" w:cs="Arial"/>
          <w:sz w:val="22"/>
          <w:lang w:val="es-ES"/>
        </w:rPr>
        <w:t xml:space="preserve"> recoge en la noción de </w:t>
      </w:r>
      <w:r w:rsidRPr="00883371">
        <w:rPr>
          <w:rFonts w:ascii="Arial" w:eastAsia="Arial" w:hAnsi="Arial" w:cs="Arial"/>
          <w:i/>
          <w:iCs/>
          <w:sz w:val="22"/>
          <w:lang w:val="es-ES"/>
        </w:rPr>
        <w:t>Documentos del Proceso</w:t>
      </w:r>
      <w:r w:rsidRPr="00883371">
        <w:rPr>
          <w:rFonts w:ascii="Arial" w:eastAsia="Arial" w:hAnsi="Arial" w:cs="Arial"/>
          <w:sz w:val="22"/>
          <w:lang w:val="es-ES"/>
        </w:rPr>
        <w:t xml:space="preserve"> «cualquier otro documento expedido por la Entidad Estatal durante el </w:t>
      </w:r>
      <w:r w:rsidRPr="00883371">
        <w:rPr>
          <w:rFonts w:ascii="Arial" w:eastAsia="Arial" w:hAnsi="Arial" w:cs="Arial"/>
          <w:i/>
          <w:iCs/>
          <w:sz w:val="22"/>
          <w:lang w:val="es-ES"/>
        </w:rPr>
        <w:t>Proceso de Contratación»</w:t>
      </w:r>
      <w:r w:rsidRPr="00883371">
        <w:rPr>
          <w:rFonts w:ascii="Arial" w:eastAsia="Arial" w:hAnsi="Arial" w:cs="Arial"/>
          <w:sz w:val="22"/>
          <w:lang w:val="es-ES"/>
        </w:rPr>
        <w:t xml:space="preserve">. Este mismo artículo define la expresión </w:t>
      </w:r>
      <w:r w:rsidRPr="00883371">
        <w:rPr>
          <w:rFonts w:ascii="Arial" w:eastAsia="Arial" w:hAnsi="Arial" w:cs="Arial"/>
          <w:i/>
          <w:iCs/>
          <w:sz w:val="22"/>
          <w:lang w:val="es-ES"/>
        </w:rPr>
        <w:t>Proceso de Contratación</w:t>
      </w:r>
      <w:r w:rsidRPr="00883371">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883371"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83371">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883371">
        <w:rPr>
          <w:rFonts w:ascii="Arial" w:eastAsia="Arial" w:hAnsi="Arial" w:cs="Arial"/>
          <w:i/>
          <w:iCs/>
          <w:sz w:val="22"/>
          <w:lang w:val="es-ES"/>
        </w:rPr>
        <w:t>Documentos del Proceso</w:t>
      </w:r>
      <w:r w:rsidRPr="00883371">
        <w:rPr>
          <w:rFonts w:ascii="Arial" w:eastAsia="Arial" w:hAnsi="Arial" w:cs="Arial"/>
          <w:sz w:val="22"/>
          <w:lang w:val="es-ES"/>
        </w:rPr>
        <w:t xml:space="preserve"> los expedidos por un sujeto distinto a la entidad, salvo la oferta, la cual se incluye </w:t>
      </w:r>
      <w:r w:rsidRPr="00883371">
        <w:rPr>
          <w:rFonts w:ascii="Arial" w:eastAsia="Arial" w:hAnsi="Arial" w:cs="Arial"/>
          <w:sz w:val="22"/>
          <w:lang w:val="es-ES"/>
        </w:rPr>
        <w:lastRenderedPageBreak/>
        <w:t xml:space="preserve">expresamente en el artículo 2.2.1.1.1.3.1. </w:t>
      </w:r>
    </w:p>
    <w:p w14:paraId="614205C9" w14:textId="77777777" w:rsidR="00D12042" w:rsidRPr="00883371"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83371">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883371">
        <w:rPr>
          <w:rFonts w:ascii="Arial" w:eastAsia="Arial" w:hAnsi="Arial" w:cs="Arial"/>
          <w:i/>
          <w:iCs/>
          <w:sz w:val="22"/>
          <w:lang w:val="es-ES"/>
        </w:rPr>
        <w:t>Proceso de Contratación</w:t>
      </w:r>
      <w:r w:rsidRPr="00883371">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883371">
        <w:rPr>
          <w:rFonts w:ascii="Arial" w:eastAsia="Arial" w:hAnsi="Arial" w:cs="Arial"/>
          <w:sz w:val="22"/>
          <w:lang w:val="es-ES"/>
        </w:rPr>
        <w:t>postcontractual</w:t>
      </w:r>
      <w:proofErr w:type="spellEnd"/>
      <w:r w:rsidRPr="00883371">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3CE4EA01" w14:textId="77777777" w:rsidR="00D12042" w:rsidRPr="00883371"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83371">
        <w:rPr>
          <w:rFonts w:ascii="Arial" w:eastAsia="Arial" w:hAnsi="Arial" w:cs="Arial"/>
          <w:sz w:val="22"/>
          <w:lang w:val="es-ES"/>
        </w:rPr>
        <w:t xml:space="preserve">En todo caso, de conformidad con la segunda parte del inciso primero del artículo 2.2.1.1.1.7.1 </w:t>
      </w:r>
      <w:r w:rsidRPr="00883371">
        <w:rPr>
          <w:rFonts w:ascii="Arial" w:eastAsia="Arial" w:hAnsi="Arial" w:cs="Arial"/>
          <w:i/>
          <w:iCs/>
          <w:sz w:val="22"/>
          <w:lang w:val="es-ES"/>
        </w:rPr>
        <w:t>Ibídem</w:t>
      </w:r>
      <w:r w:rsidRPr="00883371">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883371">
        <w:rPr>
          <w:rFonts w:ascii="Arial" w:eastAsia="Arial" w:hAnsi="Arial" w:cs="Arial"/>
          <w:i/>
          <w:iCs/>
          <w:sz w:val="22"/>
          <w:lang w:val="es-ES"/>
        </w:rPr>
        <w:t xml:space="preserve"> </w:t>
      </w:r>
      <w:r w:rsidRPr="00883371">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883371"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83371">
        <w:rPr>
          <w:rFonts w:ascii="Arial" w:eastAsia="Arial" w:hAnsi="Arial" w:cs="Arial"/>
          <w:sz w:val="22"/>
          <w:lang w:val="es-ES"/>
        </w:rPr>
        <w:t xml:space="preserve"> El inciso segundo del artículo 2.2.1.1.1.7.1 </w:t>
      </w:r>
      <w:proofErr w:type="spellStart"/>
      <w:r w:rsidRPr="00883371">
        <w:rPr>
          <w:rFonts w:ascii="Arial" w:eastAsia="Arial" w:hAnsi="Arial" w:cs="Arial"/>
          <w:i/>
          <w:iCs/>
          <w:sz w:val="22"/>
          <w:lang w:val="es-ES"/>
        </w:rPr>
        <w:t>ejusdem</w:t>
      </w:r>
      <w:proofErr w:type="spellEnd"/>
      <w:r w:rsidRPr="00883371">
        <w:rPr>
          <w:rFonts w:ascii="Arial" w:eastAsia="Arial" w:hAnsi="Arial" w:cs="Arial"/>
          <w:i/>
          <w:iCs/>
          <w:sz w:val="22"/>
          <w:lang w:val="es-ES"/>
        </w:rPr>
        <w:t xml:space="preserve">, </w:t>
      </w:r>
      <w:r w:rsidRPr="00883371">
        <w:rPr>
          <w:rFonts w:ascii="Arial" w:eastAsia="Arial" w:hAnsi="Arial" w:cs="Arial"/>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883371">
        <w:rPr>
          <w:rFonts w:ascii="Arial" w:hAnsi="Arial" w:cs="Arial"/>
          <w:sz w:val="22"/>
          <w:lang w:val="es-ES"/>
        </w:rPr>
        <w:t xml:space="preserve">2.2.1.1.2.1.4, deber que hace extensivo a la invitación </w:t>
      </w:r>
      <w:r w:rsidRPr="00883371">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883371"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83371">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883371">
        <w:rPr>
          <w:rFonts w:ascii="Arial" w:eastAsia="Arial" w:hAnsi="Arial" w:cs="Arial"/>
          <w:i/>
          <w:iCs/>
          <w:sz w:val="22"/>
          <w:lang w:val="es-ES"/>
        </w:rPr>
        <w:t>Proceso de Contratación</w:t>
      </w:r>
      <w:r w:rsidRPr="00883371">
        <w:rPr>
          <w:rFonts w:ascii="Arial" w:eastAsia="Arial" w:hAnsi="Arial" w:cs="Arial"/>
          <w:sz w:val="22"/>
          <w:lang w:val="es-ES"/>
        </w:rPr>
        <w:t xml:space="preserve"> expedidos durante las etapas precontractual, de ejecución y </w:t>
      </w:r>
      <w:proofErr w:type="spellStart"/>
      <w:r w:rsidRPr="00883371">
        <w:rPr>
          <w:rFonts w:ascii="Arial" w:eastAsia="Arial" w:hAnsi="Arial" w:cs="Arial"/>
          <w:sz w:val="22"/>
          <w:lang w:val="es-ES"/>
        </w:rPr>
        <w:t>postcontractual</w:t>
      </w:r>
      <w:proofErr w:type="spellEnd"/>
      <w:r w:rsidRPr="00883371">
        <w:rPr>
          <w:rFonts w:ascii="Arial" w:eastAsia="Arial" w:hAnsi="Arial" w:cs="Arial"/>
          <w:sz w:val="22"/>
          <w:lang w:val="es-ES"/>
        </w:rPr>
        <w:t>, dentro de los tres (3) días hábiles siguientes a su producción</w:t>
      </w:r>
      <w:r w:rsidRPr="00883371">
        <w:rPr>
          <w:rStyle w:val="Refdenotaalpie"/>
          <w:rFonts w:ascii="Arial" w:eastAsia="Arial" w:hAnsi="Arial" w:cs="Arial"/>
          <w:sz w:val="22"/>
          <w:lang w:val="es-ES"/>
        </w:rPr>
        <w:footnoteReference w:id="21"/>
      </w:r>
      <w:r w:rsidRPr="00883371">
        <w:rPr>
          <w:rFonts w:ascii="Arial" w:eastAsia="Arial" w:hAnsi="Arial" w:cs="Arial"/>
          <w:sz w:val="22"/>
          <w:lang w:val="es-ES"/>
        </w:rPr>
        <w:t xml:space="preserve">, deber que </w:t>
      </w:r>
      <w:r w:rsidRPr="00883371">
        <w:rPr>
          <w:rFonts w:ascii="Arial" w:eastAsia="Arial" w:hAnsi="Arial" w:cs="Arial"/>
          <w:sz w:val="22"/>
          <w:lang w:val="es-ES"/>
        </w:rPr>
        <w:lastRenderedPageBreak/>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B8F73E1"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883371">
        <w:rPr>
          <w:rFonts w:ascii="Arial" w:hAnsi="Arial" w:cs="Arial"/>
          <w:sz w:val="22"/>
          <w:lang w:val="es-ES"/>
        </w:rPr>
        <w:t>la información de su gestión contractual</w:t>
      </w:r>
      <w:r w:rsidRPr="00883371">
        <w:rPr>
          <w:rStyle w:val="Refdenotaalpie"/>
          <w:rFonts w:ascii="Arial" w:hAnsi="Arial" w:cs="Arial"/>
          <w:sz w:val="22"/>
          <w:lang w:val="es-ES"/>
        </w:rPr>
        <w:footnoteReference w:id="22"/>
      </w:r>
      <w:r w:rsidRPr="00883371">
        <w:rPr>
          <w:rFonts w:ascii="Arial" w:eastAsia="Calibri" w:hAnsi="Arial" w:cs="Arial"/>
          <w:sz w:val="22"/>
          <w:lang w:val="es-ES"/>
        </w:rPr>
        <w:t xml:space="preserve">. Por su parte, el artículo 2.1.1.2.1.9 expresa que las entidades deberán publicar los procedimientos, lineamientos y políticas en materia de adquisición, que no son otros que los previstos en el manual de contratación, el cual debe publicarse en el sitio web del sujeto </w:t>
      </w:r>
      <w:r w:rsidRPr="00883371">
        <w:rPr>
          <w:rFonts w:ascii="Arial" w:eastAsia="Calibri" w:hAnsi="Arial" w:cs="Arial"/>
          <w:sz w:val="22"/>
          <w:lang w:val="es-ES"/>
        </w:rPr>
        <w:lastRenderedPageBreak/>
        <w:t>obligado</w:t>
      </w:r>
      <w:r w:rsidRPr="00883371">
        <w:rPr>
          <w:rStyle w:val="Refdenotaalpie"/>
          <w:rFonts w:ascii="Arial" w:eastAsia="Calibri" w:hAnsi="Arial" w:cs="Arial"/>
          <w:sz w:val="22"/>
          <w:lang w:val="es-ES"/>
        </w:rPr>
        <w:footnoteReference w:id="23"/>
      </w:r>
      <w:r w:rsidRPr="00883371">
        <w:rPr>
          <w:rFonts w:ascii="Arial" w:eastAsia="Calibri" w:hAnsi="Arial" w:cs="Arial"/>
          <w:sz w:val="22"/>
          <w:lang w:val="es-ES"/>
        </w:rPr>
        <w:t>. El artículo 2.1.1.2.1.10 establece la obligación que tienen las entidades de publicar en el SECOP el Plan Anual de Adquisiciones</w:t>
      </w:r>
      <w:r w:rsidRPr="00883371">
        <w:rPr>
          <w:rStyle w:val="Refdenotaalpie"/>
          <w:rFonts w:ascii="Arial" w:eastAsia="Calibri" w:hAnsi="Arial" w:cs="Arial"/>
          <w:sz w:val="22"/>
          <w:lang w:val="es-ES"/>
        </w:rPr>
        <w:footnoteReference w:id="24"/>
      </w:r>
      <w:r w:rsidRPr="00883371">
        <w:rPr>
          <w:rFonts w:ascii="Arial" w:eastAsia="Calibri" w:hAnsi="Arial" w:cs="Arial"/>
          <w:sz w:val="22"/>
          <w:lang w:val="es-ES"/>
        </w:rPr>
        <w:t xml:space="preserve">. </w:t>
      </w:r>
    </w:p>
    <w:p w14:paraId="495D889B"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 xml:space="preserve">De otro lado, el artículo 2.1.1.2.1.8, establece los efectos de </w:t>
      </w:r>
      <w:r w:rsidRPr="00883371">
        <w:rPr>
          <w:rFonts w:ascii="Arial" w:hAnsi="Arial" w:cs="Arial"/>
          <w:sz w:val="22"/>
          <w:lang w:val="es-ES"/>
        </w:rPr>
        <w:t>la obligación contenida en el literal g) del artículo 11 de la Ley 1712 de 2014, en relación con los documentos producidos durante la ejecución del contrato, señalando que se</w:t>
      </w:r>
      <w:r w:rsidRPr="00883371">
        <w:rPr>
          <w:rFonts w:ascii="Arial" w:eastAsia="Calibri" w:hAnsi="Arial" w:cs="Arial"/>
          <w:sz w:val="22"/>
          <w:lang w:val="es-ES"/>
        </w:rPr>
        <w:t xml:space="preserve"> deben publicar las aprobaciones, autorizaciones, requerimientos o informes del supervisor o interventor, que prueben la ejecución del contrato</w:t>
      </w:r>
      <w:r w:rsidRPr="00883371">
        <w:rPr>
          <w:rStyle w:val="Refdenotaalpie"/>
          <w:rFonts w:ascii="Arial" w:eastAsia="Calibri" w:hAnsi="Arial" w:cs="Arial"/>
          <w:sz w:val="22"/>
          <w:lang w:val="es-ES"/>
        </w:rPr>
        <w:footnoteReference w:id="25"/>
      </w:r>
      <w:r w:rsidRPr="00883371">
        <w:rPr>
          <w:rFonts w:ascii="Arial" w:eastAsia="Calibri" w:hAnsi="Arial" w:cs="Arial"/>
          <w:sz w:val="22"/>
          <w:lang w:val="es-ES"/>
        </w:rPr>
        <w:t>.</w:t>
      </w:r>
    </w:p>
    <w:p w14:paraId="244E848B"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883371">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883371">
        <w:rPr>
          <w:rFonts w:ascii="Arial" w:eastAsia="Arial" w:hAnsi="Arial" w:cs="Arial"/>
          <w:i/>
          <w:iCs/>
          <w:sz w:val="22"/>
          <w:lang w:val="es-ES"/>
        </w:rPr>
        <w:t xml:space="preserve">Documentos del Proceso </w:t>
      </w:r>
      <w:r w:rsidRPr="00883371">
        <w:rPr>
          <w:rFonts w:ascii="Arial" w:eastAsia="Arial" w:hAnsi="Arial" w:cs="Arial"/>
          <w:sz w:val="22"/>
          <w:lang w:val="es-ES"/>
        </w:rPr>
        <w:t>expedidos por la «entidad estatal».</w:t>
      </w:r>
    </w:p>
    <w:p w14:paraId="733F80FD"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w:t>
      </w:r>
      <w:r w:rsidRPr="00883371">
        <w:rPr>
          <w:rFonts w:ascii="Arial" w:eastAsia="Calibri" w:hAnsi="Arial" w:cs="Arial"/>
          <w:sz w:val="22"/>
          <w:lang w:val="es-ES"/>
        </w:rPr>
        <w:lastRenderedPageBreak/>
        <w:t xml:space="preserve">subrogación del contenido del deber de publicidad regulado por el EGCAP, suponen una ampliación de su alcance, que lo hace trascender de la simple publicación de la información «producida por la entidad estatal» asociada a la noción de </w:t>
      </w:r>
      <w:r w:rsidRPr="00883371">
        <w:rPr>
          <w:rFonts w:ascii="Arial" w:eastAsia="Calibri" w:hAnsi="Arial" w:cs="Arial"/>
          <w:i/>
          <w:iCs/>
          <w:sz w:val="22"/>
          <w:lang w:val="es-ES"/>
        </w:rPr>
        <w:t>Documentos del Proceso.</w:t>
      </w:r>
      <w:r w:rsidRPr="00883371">
        <w:rPr>
          <w:rFonts w:ascii="Arial" w:hAnsi="Arial" w:cs="Arial"/>
          <w:sz w:val="22"/>
          <w:lang w:val="es-ES"/>
        </w:rPr>
        <w:t xml:space="preserve"> Esto</w:t>
      </w:r>
      <w:r w:rsidRPr="00883371">
        <w:rPr>
          <w:rFonts w:ascii="Arial" w:eastAsia="Calibri" w:hAnsi="Arial" w:cs="Arial"/>
          <w:i/>
          <w:iCs/>
          <w:sz w:val="22"/>
          <w:lang w:val="es-ES"/>
        </w:rPr>
        <w:t xml:space="preserve"> </w:t>
      </w:r>
      <w:r w:rsidRPr="00883371">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883371">
        <w:rPr>
          <w:rFonts w:ascii="Arial" w:eastAsia="Calibri" w:hAnsi="Arial" w:cs="Arial"/>
          <w:i/>
          <w:iCs/>
          <w:sz w:val="22"/>
          <w:lang w:val="es-ES"/>
        </w:rPr>
        <w:t>Proceso de Contratación,</w:t>
      </w:r>
      <w:r w:rsidRPr="00883371">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66446876" w14:textId="4CDBC551"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Esto quiere decir que las entidades estatales, además de los documentos y actos administrativos –de trámite o definitivos– que expiden durante los procedimientos de contratación</w:t>
      </w:r>
      <w:r w:rsidRPr="00883371">
        <w:rPr>
          <w:rFonts w:ascii="Arial" w:eastAsia="Calibri" w:hAnsi="Arial" w:cs="Arial"/>
          <w:i/>
          <w:iCs/>
          <w:sz w:val="22"/>
          <w:lang w:val="es-ES"/>
        </w:rPr>
        <w:t>,</w:t>
      </w:r>
      <w:r w:rsidRPr="00883371">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883371">
        <w:rPr>
          <w:rFonts w:ascii="Arial" w:eastAsia="Calibri" w:hAnsi="Arial" w:cs="Arial"/>
          <w:i/>
          <w:iCs/>
          <w:sz w:val="22"/>
          <w:lang w:val="es-ES"/>
        </w:rPr>
        <w:t xml:space="preserve"> Documento del Proceso, </w:t>
      </w:r>
      <w:r w:rsidRPr="00883371">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883371">
        <w:rPr>
          <w:rFonts w:ascii="Arial" w:eastAsia="Arial" w:hAnsi="Arial" w:cs="Arial"/>
          <w:sz w:val="22"/>
          <w:lang w:val="es-ES"/>
        </w:rPr>
        <w:t>artículo 2.2.1.1.1.7.1. del Decreto 1082 de 2015.</w:t>
      </w:r>
    </w:p>
    <w:p w14:paraId="667C0CEB"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883371">
        <w:rPr>
          <w:rStyle w:val="nfasis"/>
          <w:rFonts w:ascii="Arial" w:hAnsi="Arial" w:cs="Arial"/>
          <w:sz w:val="22"/>
          <w:lang w:val="es-ES"/>
        </w:rPr>
        <w:t xml:space="preserve">máxima publicidad para un </w:t>
      </w:r>
      <w:r w:rsidRPr="00883371">
        <w:rPr>
          <w:rStyle w:val="nfasis"/>
          <w:rFonts w:ascii="Arial" w:hAnsi="Arial" w:cs="Arial"/>
          <w:sz w:val="22"/>
          <w:lang w:val="es-ES"/>
        </w:rPr>
        <w:lastRenderedPageBreak/>
        <w:t>titular universal</w:t>
      </w:r>
      <w:r w:rsidRPr="00883371">
        <w:rPr>
          <w:rStyle w:val="Refdenotaalpie"/>
          <w:rFonts w:ascii="Arial" w:hAnsi="Arial" w:cs="Arial"/>
          <w:i/>
          <w:iCs/>
          <w:sz w:val="22"/>
          <w:lang w:val="es-ES"/>
        </w:rPr>
        <w:footnoteReference w:id="26"/>
      </w:r>
      <w:r w:rsidRPr="00883371">
        <w:rPr>
          <w:rStyle w:val="nfasis"/>
          <w:rFonts w:ascii="Arial" w:hAnsi="Arial" w:cs="Arial"/>
          <w:sz w:val="22"/>
          <w:lang w:val="es-ES"/>
        </w:rPr>
        <w:t>, transparencia, facilitación y divulgación proactiva de la información</w:t>
      </w:r>
      <w:r w:rsidRPr="00883371">
        <w:rPr>
          <w:rStyle w:val="Refdenotaalpie"/>
          <w:rFonts w:ascii="Arial" w:hAnsi="Arial" w:cs="Arial"/>
          <w:i/>
          <w:iCs/>
          <w:sz w:val="22"/>
          <w:lang w:val="es-ES"/>
        </w:rPr>
        <w:footnoteReference w:id="27"/>
      </w:r>
      <w:r w:rsidRPr="00883371">
        <w:rPr>
          <w:rStyle w:val="nfasis"/>
          <w:rFonts w:ascii="Arial" w:hAnsi="Arial" w:cs="Arial"/>
          <w:sz w:val="22"/>
          <w:lang w:val="es-ES"/>
        </w:rPr>
        <w:t xml:space="preserve">, </w:t>
      </w:r>
      <w:r w:rsidRPr="00883371">
        <w:rPr>
          <w:rStyle w:val="nfasis"/>
          <w:rFonts w:ascii="Arial" w:hAnsi="Arial" w:cs="Arial"/>
          <w:i w:val="0"/>
          <w:iCs w:val="0"/>
          <w:sz w:val="22"/>
          <w:lang w:val="es-ES"/>
        </w:rPr>
        <w:t xml:space="preserve"> 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0087B99" w14:textId="77777777" w:rsidR="00D12042" w:rsidRPr="00883371" w:rsidRDefault="00D12042" w:rsidP="00D12042">
      <w:pPr>
        <w:spacing w:before="120" w:after="120" w:line="276" w:lineRule="auto"/>
        <w:ind w:firstLine="709"/>
        <w:jc w:val="both"/>
        <w:rPr>
          <w:rFonts w:ascii="Arial" w:eastAsia="Calibri" w:hAnsi="Arial" w:cs="Arial"/>
          <w:sz w:val="22"/>
          <w:lang w:val="es-ES"/>
        </w:rPr>
      </w:pPr>
      <w:r w:rsidRPr="00883371">
        <w:rPr>
          <w:rFonts w:ascii="Arial" w:eastAsia="Calibri" w:hAnsi="Arial" w:cs="Arial"/>
          <w:bCs/>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883371">
        <w:rPr>
          <w:rFonts w:ascii="Arial" w:hAnsi="Arial" w:cs="Arial"/>
          <w:sz w:val="22"/>
          <w:lang w:val="es-ES"/>
        </w:rPr>
        <w:t>radicado interno No.</w:t>
      </w:r>
      <w:r w:rsidRPr="00883371">
        <w:rPr>
          <w:rFonts w:ascii="Arial" w:hAnsi="Arial" w:cs="Arial"/>
          <w:lang w:val="es-ES"/>
        </w:rPr>
        <w:t xml:space="preserve"> </w:t>
      </w:r>
      <w:r w:rsidRPr="00883371">
        <w:rPr>
          <w:rFonts w:ascii="Arial" w:eastAsia="Calibri" w:hAnsi="Arial" w:cs="Arial"/>
          <w:bCs/>
          <w:sz w:val="22"/>
          <w:lang w:val="es-ES"/>
        </w:rPr>
        <w:t xml:space="preserve">2202013000003074–, </w:t>
      </w:r>
      <w:r w:rsidRPr="00883371">
        <w:rPr>
          <w:rFonts w:ascii="Arial" w:eastAsia="Calibri" w:hAnsi="Arial" w:cs="Arial"/>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207A6976" w14:textId="77777777" w:rsidR="00D12042" w:rsidRPr="00883371" w:rsidRDefault="00D12042" w:rsidP="00D12042">
      <w:pPr>
        <w:spacing w:after="120" w:line="276" w:lineRule="auto"/>
        <w:ind w:firstLine="709"/>
        <w:jc w:val="both"/>
        <w:rPr>
          <w:rStyle w:val="Textoennegrita"/>
          <w:rFonts w:ascii="Arial" w:hAnsi="Arial" w:cs="Arial"/>
          <w:b w:val="0"/>
          <w:bCs w:val="0"/>
          <w:sz w:val="22"/>
          <w:lang w:val="es-ES"/>
        </w:rPr>
      </w:pPr>
      <w:r w:rsidRPr="00883371">
        <w:rPr>
          <w:rFonts w:ascii="Arial" w:eastAsia="Calibri" w:hAnsi="Arial" w:cs="Arial"/>
          <w:sz w:val="22"/>
          <w:lang w:val="es-ES"/>
        </w:rPr>
        <w:t xml:space="preserve">En ese sentido, el Plan Anual de Adquisiciones no forma parte de la noción de </w:t>
      </w:r>
      <w:r w:rsidRPr="00883371">
        <w:rPr>
          <w:rFonts w:ascii="Arial" w:eastAsia="Calibri" w:hAnsi="Arial" w:cs="Arial"/>
          <w:i/>
          <w:iCs/>
          <w:sz w:val="22"/>
          <w:lang w:val="es-ES"/>
        </w:rPr>
        <w:t xml:space="preserve">Documentos del Proceso, </w:t>
      </w:r>
      <w:r w:rsidRPr="00883371">
        <w:rPr>
          <w:rFonts w:ascii="Arial" w:eastAsia="Calibri" w:hAnsi="Arial" w:cs="Arial"/>
          <w:sz w:val="22"/>
          <w:lang w:val="es-ES"/>
        </w:rPr>
        <w:t xml:space="preserve">ni hace parte del </w:t>
      </w:r>
      <w:r w:rsidRPr="00883371">
        <w:rPr>
          <w:rFonts w:ascii="Arial" w:eastAsia="Calibri" w:hAnsi="Arial" w:cs="Arial"/>
          <w:i/>
          <w:iCs/>
          <w:sz w:val="22"/>
          <w:lang w:val="es-ES"/>
        </w:rPr>
        <w:t>Proce</w:t>
      </w:r>
      <w:r w:rsidRPr="00883371">
        <w:rPr>
          <w:rFonts w:ascii="Arial" w:eastAsia="Calibri" w:hAnsi="Arial" w:cs="Arial"/>
          <w:sz w:val="22"/>
          <w:lang w:val="es-ES"/>
        </w:rPr>
        <w:t xml:space="preserve">so </w:t>
      </w:r>
      <w:r w:rsidRPr="00883371">
        <w:rPr>
          <w:rFonts w:ascii="Arial" w:eastAsia="Calibri" w:hAnsi="Arial" w:cs="Arial"/>
          <w:i/>
          <w:iCs/>
          <w:sz w:val="22"/>
          <w:lang w:val="es-ES"/>
        </w:rPr>
        <w:t>de Contratación,</w:t>
      </w:r>
      <w:r w:rsidRPr="00883371">
        <w:rPr>
          <w:rFonts w:ascii="Arial" w:eastAsia="Calibri" w:hAnsi="Arial" w:cs="Arial"/>
          <w:sz w:val="22"/>
          <w:lang w:val="es-ES"/>
        </w:rPr>
        <w:t xml:space="preserve"> conforme al artículo 2.2.1.1.1.3.1 del Decreto 1082 de 2015, por lo que el deber de publicarlo encuentra apoyo en normas distintas del artículo 2.2.1.1.1.7.1 </w:t>
      </w:r>
      <w:r w:rsidRPr="00883371">
        <w:rPr>
          <w:rFonts w:ascii="Arial" w:eastAsia="Calibri" w:hAnsi="Arial" w:cs="Arial"/>
          <w:i/>
          <w:iCs/>
          <w:sz w:val="22"/>
          <w:lang w:val="es-ES"/>
        </w:rPr>
        <w:t xml:space="preserve">Ibídem. </w:t>
      </w:r>
      <w:r w:rsidRPr="00883371">
        <w:rPr>
          <w:rFonts w:ascii="Arial" w:eastAsia="Calibri" w:hAnsi="Arial" w:cs="Arial"/>
          <w:sz w:val="22"/>
          <w:lang w:val="es-ES"/>
        </w:rPr>
        <w:t xml:space="preserve">Es el artículo 74 de la Ley 1474 de </w:t>
      </w:r>
      <w:r w:rsidRPr="00883371">
        <w:rPr>
          <w:rFonts w:ascii="Arial" w:eastAsia="Calibri" w:hAnsi="Arial" w:cs="Arial"/>
          <w:sz w:val="22"/>
          <w:lang w:val="es-ES"/>
        </w:rPr>
        <w:lastRenderedPageBreak/>
        <w:t>2011</w:t>
      </w:r>
      <w:r w:rsidRPr="00883371">
        <w:rPr>
          <w:rStyle w:val="Refdenotaalpie"/>
          <w:rFonts w:ascii="Arial" w:eastAsia="Calibri" w:hAnsi="Arial" w:cs="Arial"/>
          <w:sz w:val="22"/>
          <w:lang w:val="es-ES"/>
        </w:rPr>
        <w:footnoteReference w:id="28"/>
      </w:r>
      <w:r w:rsidRPr="00883371">
        <w:rPr>
          <w:rFonts w:ascii="Arial" w:eastAsia="Calibri" w:hAnsi="Arial" w:cs="Arial"/>
          <w:sz w:val="22"/>
          <w:lang w:val="es-ES"/>
        </w:rPr>
        <w:t xml:space="preserve"> el que dispone que </w:t>
      </w:r>
      <w:r w:rsidRPr="00883371">
        <w:rPr>
          <w:rFonts w:ascii="Arial" w:hAnsi="Arial" w:cs="Arial"/>
          <w:sz w:val="22"/>
          <w:lang w:val="es-ES"/>
        </w:rPr>
        <w:t xml:space="preserve">a más tardar el 31 de enero de cada año las entidades deben publicar, en su página web, el Plan de Acción para el año siguiente; y el artículo </w:t>
      </w:r>
      <w:r w:rsidRPr="00883371">
        <w:rPr>
          <w:rStyle w:val="Textoennegrita"/>
          <w:rFonts w:ascii="Arial" w:hAnsi="Arial" w:cs="Arial"/>
          <w:b w:val="0"/>
          <w:bCs w:val="0"/>
          <w:sz w:val="22"/>
          <w:lang w:val="es-ES"/>
        </w:rPr>
        <w:t>2.2.1.1.1.4.3</w:t>
      </w:r>
      <w:r w:rsidRPr="00883371">
        <w:rPr>
          <w:rStyle w:val="Refdenotaalpie"/>
          <w:rFonts w:ascii="Arial" w:hAnsi="Arial" w:cs="Arial"/>
          <w:sz w:val="22"/>
          <w:lang w:val="es-ES"/>
        </w:rPr>
        <w:footnoteReference w:id="29"/>
      </w:r>
      <w:r w:rsidRPr="00883371">
        <w:rPr>
          <w:rStyle w:val="Textoennegrita"/>
          <w:rFonts w:ascii="Arial" w:hAnsi="Arial" w:cs="Arial"/>
          <w:sz w:val="22"/>
          <w:lang w:val="es-ES"/>
        </w:rPr>
        <w:t xml:space="preserve"> </w:t>
      </w:r>
      <w:r w:rsidRPr="00883371">
        <w:rPr>
          <w:rStyle w:val="Textoennegrita"/>
          <w:rFonts w:ascii="Arial" w:hAnsi="Arial" w:cs="Arial"/>
          <w:b w:val="0"/>
          <w:bCs w:val="0"/>
          <w:sz w:val="22"/>
          <w:lang w:val="es-ES"/>
        </w:rPr>
        <w:t>del Decreto 1082 de 2015 también exige publicarlo en la página web de la entidad y además en el SECOP; así como también lo indica el citado artículo 2.1.1.2.1.10 del Decreto 1081 de 2015.</w:t>
      </w:r>
    </w:p>
    <w:p w14:paraId="132C9548" w14:textId="6C36A5B5" w:rsidR="00D12042" w:rsidRPr="00883371" w:rsidRDefault="00D12042" w:rsidP="00D12042">
      <w:pPr>
        <w:spacing w:after="120" w:line="276" w:lineRule="auto"/>
        <w:ind w:firstLine="709"/>
        <w:jc w:val="both"/>
        <w:rPr>
          <w:rFonts w:ascii="Arial" w:eastAsia="Arial" w:hAnsi="Arial" w:cs="Arial"/>
          <w:sz w:val="22"/>
          <w:lang w:val="es-ES"/>
        </w:rPr>
      </w:pPr>
      <w:r w:rsidRPr="00883371">
        <w:rPr>
          <w:rStyle w:val="Textoennegrita"/>
          <w:rFonts w:ascii="Arial" w:hAnsi="Arial" w:cs="Arial"/>
          <w:b w:val="0"/>
          <w:bCs w:val="0"/>
          <w:sz w:val="22"/>
          <w:lang w:val="es-ES"/>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883371">
        <w:rPr>
          <w:rStyle w:val="Textoennegrita"/>
          <w:rFonts w:ascii="Arial" w:hAnsi="Arial" w:cs="Arial"/>
          <w:b w:val="0"/>
          <w:bCs w:val="0"/>
          <w:i/>
          <w:iCs/>
          <w:sz w:val="22"/>
          <w:lang w:val="es-ES"/>
        </w:rPr>
        <w:t>proceso de contratación</w:t>
      </w:r>
      <w:r w:rsidRPr="00883371">
        <w:rPr>
          <w:rStyle w:val="Textoennegrita"/>
          <w:rFonts w:ascii="Arial" w:hAnsi="Arial" w:cs="Arial"/>
          <w:b w:val="0"/>
          <w:bCs w:val="0"/>
          <w:sz w:val="22"/>
          <w:lang w:val="es-ES"/>
        </w:rPr>
        <w:t xml:space="preserve">: i) el estudio de oportunidad y conveniencia; ii) </w:t>
      </w:r>
      <w:r w:rsidRPr="00883371">
        <w:rPr>
          <w:rFonts w:ascii="Arial" w:hAnsi="Arial" w:cs="Arial"/>
          <w:sz w:val="22"/>
          <w:lang w:val="es-ES"/>
        </w:rPr>
        <w:t xml:space="preserve">los estudios y documentos previos –técnicos o no–; iii) el  aviso de convocatoria; iv) el proyecto de pliego de condiciones y las observaciones que le formulen; v) el pliego de condiciones o la invitación, así como las observaciones que se les realicen; vi) las actas de la audiencia de asignación de riesgos; vii) el acta de cierre del plazo para presentar ofertas; viii) las adendas; ix) en  procesos cuya publicación deba realizarse en SECOP I, la oferta del adjudicatario y las aclaraciones que se le realicen; x) el informe de precalificación y las observaciones que se formulen; xi) el informe de evaluación y las observaciones que se formulen; xii) las respuestas a las observaciones; xiii) el contrato y los otrosíes o modificaciones; xiv) el acta de inicio; xv) las garantías; xvi) el acta de liquidación; xvii) los actos administrativos expedidos con ocasión del procedimiento de selección o la ejecución del contrato, como las resoluciones de apertura, de adjudicación, las que se impongan multas, la cláusula penal o declaren la caducidad del contrato; xviii) los documentos de los procesos por incumplimiento contractual que se lleven a cabo conforme al artículo 86 de la Ley 1474 de 2011, como la citación, las pruebas que se practiquen, la resolución que resuelve la actuación y demás documentos que se produzcan; ix) las reclamaciones que presenten las partes y las respuestas que se expidan a las mismas; xx) las actas de entrega o recibo, xxi) los informes de supervisión y/o interventoría; xxii) en cuanto a la ejecución, de conformidad con el artículo 2.1.1.2.1.8 de Decreto 1081 de 2015, deberán publicarse las </w:t>
      </w:r>
      <w:r w:rsidRPr="00883371">
        <w:rPr>
          <w:rFonts w:ascii="Arial" w:hAnsi="Arial" w:cs="Arial"/>
          <w:sz w:val="22"/>
          <w:lang w:val="es-ES"/>
        </w:rPr>
        <w:lastRenderedPageBreak/>
        <w:t xml:space="preserve">aprobaciones, autorizaciones, requerimientos o informes del supervisor o del interventor, que prueben la ejecución del contrato; xxiii) la liquidación unilateral; y xxiv) en general cualquier otro documento producido o expedido con ocasión del </w:t>
      </w:r>
      <w:r w:rsidRPr="00883371">
        <w:rPr>
          <w:rFonts w:ascii="Arial" w:hAnsi="Arial" w:cs="Arial"/>
          <w:i/>
          <w:iCs/>
          <w:sz w:val="22"/>
          <w:lang w:val="es-ES"/>
        </w:rPr>
        <w:t>Proceso de Contratación</w:t>
      </w:r>
      <w:r w:rsidRPr="00883371">
        <w:rPr>
          <w:rFonts w:ascii="Arial" w:hAnsi="Arial" w:cs="Arial"/>
          <w:sz w:val="22"/>
          <w:lang w:val="es-ES"/>
        </w:rPr>
        <w:t>, sin importar quién sea su autor –la Administración o el contratista–, con excepción de los que pertenecen a</w:t>
      </w:r>
      <w:r w:rsidRPr="00883371">
        <w:rPr>
          <w:rFonts w:ascii="Arial" w:eastAsia="Arial" w:hAnsi="Arial" w:cs="Arial"/>
          <w:sz w:val="22"/>
          <w:lang w:val="es-ES"/>
        </w:rPr>
        <w:t xml:space="preserve">l marco de operaciones de bolsa de productos, expresamente excluidos de publicación por el artículo 2.2.1.1.1.7.1. del Decreto 1082 de 2015. </w:t>
      </w:r>
    </w:p>
    <w:p w14:paraId="3067B496" w14:textId="7D6CD400" w:rsidR="00D12042" w:rsidRPr="00883371" w:rsidRDefault="00D12042" w:rsidP="007D19CE">
      <w:pPr>
        <w:spacing w:after="120" w:line="276" w:lineRule="auto"/>
        <w:ind w:firstLine="709"/>
        <w:jc w:val="both"/>
        <w:rPr>
          <w:rFonts w:ascii="Arial" w:hAnsi="Arial" w:cs="Arial"/>
          <w:sz w:val="22"/>
          <w:lang w:val="es-ES"/>
        </w:rPr>
      </w:pPr>
      <w:r w:rsidRPr="00883371">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883371">
        <w:rPr>
          <w:rStyle w:val="Refdenotaalpie"/>
          <w:rFonts w:ascii="Arial" w:hAnsi="Arial" w:cs="Arial"/>
          <w:sz w:val="22"/>
          <w:lang w:val="es-ES"/>
        </w:rPr>
        <w:footnoteReference w:id="30"/>
      </w:r>
      <w:r w:rsidRPr="00883371">
        <w:rPr>
          <w:rFonts w:ascii="Arial" w:hAnsi="Arial" w:cs="Arial"/>
          <w:sz w:val="22"/>
          <w:lang w:val="es-ES"/>
        </w:rPr>
        <w:t>, así como por el principio de máxima publicidad establecido en el artículo 2 de la Ley 1712 de 2014</w:t>
      </w:r>
      <w:r w:rsidRPr="00883371">
        <w:rPr>
          <w:rStyle w:val="Refdenotaalpie"/>
          <w:rFonts w:ascii="Arial" w:hAnsi="Arial" w:cs="Arial"/>
          <w:sz w:val="22"/>
          <w:lang w:val="es-ES"/>
        </w:rPr>
        <w:footnoteReference w:id="31"/>
      </w:r>
      <w:r w:rsidRPr="00883371">
        <w:rPr>
          <w:rFonts w:ascii="Arial"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883371">
        <w:rPr>
          <w:rStyle w:val="Refdenotaalpie"/>
          <w:rFonts w:ascii="Arial" w:hAnsi="Arial" w:cs="Arial"/>
          <w:sz w:val="22"/>
          <w:lang w:val="es-ES"/>
        </w:rPr>
        <w:footnoteReference w:id="32"/>
      </w:r>
      <w:r w:rsidRPr="00883371">
        <w:rPr>
          <w:rFonts w:ascii="Arial" w:hAnsi="Arial" w:cs="Arial"/>
          <w:sz w:val="22"/>
          <w:lang w:val="es-ES"/>
        </w:rPr>
        <w:t>. Esta posibilidad solo se encuentra limitada respecto de la documentación que tenga la calidad de reservada</w:t>
      </w:r>
      <w:r w:rsidRPr="00883371">
        <w:rPr>
          <w:rFonts w:ascii="Arial" w:hAnsi="Arial" w:cs="Arial"/>
          <w:sz w:val="22"/>
          <w:vertAlign w:val="superscript"/>
          <w:lang w:val="es-ES"/>
        </w:rPr>
        <w:footnoteReference w:id="33"/>
      </w:r>
      <w:r w:rsidRPr="00883371">
        <w:rPr>
          <w:rFonts w:ascii="Arial" w:hAnsi="Arial" w:cs="Arial"/>
          <w:sz w:val="22"/>
          <w:lang w:val="es-ES"/>
        </w:rPr>
        <w:t xml:space="preserve">, que deberá </w:t>
      </w:r>
      <w:r w:rsidRPr="00883371">
        <w:rPr>
          <w:rFonts w:ascii="Arial" w:hAnsi="Arial" w:cs="Arial"/>
          <w:sz w:val="22"/>
          <w:lang w:val="es-ES"/>
        </w:rPr>
        <w:lastRenderedPageBreak/>
        <w:t>someterse al tratamiento establecido en el</w:t>
      </w:r>
      <w:r w:rsidR="008242C7" w:rsidRPr="00883371">
        <w:rPr>
          <w:rFonts w:ascii="Arial" w:hAnsi="Arial" w:cs="Arial"/>
          <w:sz w:val="22"/>
          <w:lang w:val="es-ES"/>
        </w:rPr>
        <w:t xml:space="preserve"> tercer inciso del</w:t>
      </w:r>
      <w:r w:rsidRPr="00883371">
        <w:rPr>
          <w:rFonts w:ascii="Arial" w:hAnsi="Arial" w:cs="Arial"/>
          <w:sz w:val="22"/>
          <w:lang w:val="es-ES"/>
        </w:rPr>
        <w:t xml:space="preserve"> artículo 36 del CPACA</w:t>
      </w:r>
      <w:r w:rsidR="008242C7" w:rsidRPr="00883371">
        <w:rPr>
          <w:rStyle w:val="Refdenotaalpie"/>
          <w:rFonts w:ascii="Arial" w:hAnsi="Arial" w:cs="Arial"/>
          <w:sz w:val="22"/>
          <w:lang w:val="es-ES"/>
        </w:rPr>
        <w:footnoteReference w:id="34"/>
      </w:r>
      <w:r w:rsidRPr="00883371">
        <w:rPr>
          <w:rFonts w:ascii="Arial" w:hAnsi="Arial" w:cs="Arial"/>
          <w:sz w:val="22"/>
          <w:lang w:val="es-ES"/>
        </w:rPr>
        <w:t>, en lo relativo a la formación de cuadernos separados</w:t>
      </w:r>
      <w:r w:rsidRPr="00883371">
        <w:rPr>
          <w:rFonts w:ascii="Arial" w:hAnsi="Arial" w:cs="Arial"/>
          <w:sz w:val="22"/>
          <w:vertAlign w:val="superscript"/>
          <w:lang w:val="es-ES"/>
        </w:rPr>
        <w:footnoteReference w:id="35"/>
      </w:r>
      <w:r w:rsidRPr="00883371">
        <w:rPr>
          <w:rFonts w:ascii="Arial" w:hAnsi="Arial" w:cs="Arial"/>
          <w:sz w:val="22"/>
          <w:lang w:val="es-ES"/>
        </w:rPr>
        <w:t>.</w:t>
      </w:r>
    </w:p>
    <w:p w14:paraId="71D9EC7D" w14:textId="115ECB47" w:rsidR="007D19CE" w:rsidRPr="00883371" w:rsidRDefault="007D19CE" w:rsidP="00DF3106">
      <w:pPr>
        <w:spacing w:after="120" w:line="276" w:lineRule="auto"/>
        <w:ind w:firstLine="709"/>
        <w:jc w:val="both"/>
        <w:rPr>
          <w:rFonts w:ascii="Arial" w:hAnsi="Arial" w:cs="Arial"/>
          <w:sz w:val="22"/>
        </w:rPr>
      </w:pPr>
      <w:r w:rsidRPr="00883371">
        <w:rPr>
          <w:rFonts w:ascii="Arial" w:hAnsi="Arial" w:cs="Arial"/>
          <w:sz w:val="22"/>
          <w:lang w:val="es-ES"/>
        </w:rPr>
        <w:t>Conforme a lo anterior, las aclaraciones efectuadas por los proponentes ante los requerimientos realizados por la entidad estatal en virtud del artículo 2.2.1.1.2.2.4 del Decreto 1082 de 2015</w:t>
      </w:r>
      <w:r w:rsidRPr="00883371">
        <w:rPr>
          <w:rStyle w:val="Refdenotaalpie"/>
          <w:rFonts w:ascii="Arial" w:hAnsi="Arial" w:cs="Arial"/>
          <w:sz w:val="22"/>
          <w:lang w:val="es-ES"/>
        </w:rPr>
        <w:footnoteReference w:id="36"/>
      </w:r>
      <w:r w:rsidRPr="00883371">
        <w:rPr>
          <w:rFonts w:ascii="Arial" w:hAnsi="Arial" w:cs="Arial"/>
          <w:sz w:val="22"/>
          <w:lang w:val="es-ES"/>
        </w:rPr>
        <w:t xml:space="preserve">, </w:t>
      </w:r>
      <w:r w:rsidR="008242C7" w:rsidRPr="00883371">
        <w:rPr>
          <w:rFonts w:ascii="Arial" w:hAnsi="Arial" w:cs="Arial"/>
          <w:sz w:val="22"/>
          <w:lang w:val="es-ES"/>
        </w:rPr>
        <w:t xml:space="preserve">en principio, deben ser publicadas en el SECOP, comoquiera que </w:t>
      </w:r>
      <w:r w:rsidR="008242C7" w:rsidRPr="00883371">
        <w:rPr>
          <w:rFonts w:ascii="Arial" w:hAnsi="Arial" w:cs="Arial"/>
          <w:sz w:val="22"/>
          <w:lang w:val="es-ES"/>
        </w:rPr>
        <w:lastRenderedPageBreak/>
        <w:t xml:space="preserve">son documentos expedidos con ocasión del </w:t>
      </w:r>
      <w:r w:rsidR="008242C7" w:rsidRPr="00883371">
        <w:rPr>
          <w:rFonts w:ascii="Arial" w:hAnsi="Arial" w:cs="Arial"/>
          <w:i/>
          <w:iCs/>
          <w:sz w:val="22"/>
          <w:lang w:val="es-ES"/>
        </w:rPr>
        <w:t xml:space="preserve">Proceso de Contratación. </w:t>
      </w:r>
      <w:r w:rsidR="008242C7" w:rsidRPr="00883371">
        <w:rPr>
          <w:rFonts w:ascii="Arial" w:hAnsi="Arial" w:cs="Arial"/>
          <w:sz w:val="22"/>
          <w:lang w:val="es-ES"/>
        </w:rPr>
        <w:t xml:space="preserve">No obstante, </w:t>
      </w:r>
      <w:r w:rsidR="004F49DA" w:rsidRPr="00883371">
        <w:rPr>
          <w:rFonts w:ascii="Arial" w:hAnsi="Arial" w:cs="Arial"/>
          <w:sz w:val="22"/>
          <w:lang w:val="es-ES"/>
        </w:rPr>
        <w:t xml:space="preserve">puede suceder que </w:t>
      </w:r>
      <w:r w:rsidR="008242C7" w:rsidRPr="00883371">
        <w:rPr>
          <w:rFonts w:ascii="Arial" w:hAnsi="Arial" w:cs="Arial"/>
          <w:sz w:val="22"/>
          <w:lang w:val="es-ES"/>
        </w:rPr>
        <w:t xml:space="preserve">dentro del contenido de </w:t>
      </w:r>
      <w:proofErr w:type="gramStart"/>
      <w:r w:rsidR="008242C7" w:rsidRPr="00883371">
        <w:rPr>
          <w:rFonts w:ascii="Arial" w:hAnsi="Arial" w:cs="Arial"/>
          <w:sz w:val="22"/>
          <w:lang w:val="es-ES"/>
        </w:rPr>
        <w:t>la  aclaración</w:t>
      </w:r>
      <w:proofErr w:type="gramEnd"/>
      <w:r w:rsidR="008242C7" w:rsidRPr="00883371">
        <w:rPr>
          <w:rFonts w:ascii="Arial" w:hAnsi="Arial" w:cs="Arial"/>
          <w:sz w:val="22"/>
          <w:lang w:val="es-ES"/>
        </w:rPr>
        <w:t xml:space="preserve"> dada por el proponente se evidenci</w:t>
      </w:r>
      <w:r w:rsidR="004F49DA" w:rsidRPr="00883371">
        <w:rPr>
          <w:rFonts w:ascii="Arial" w:hAnsi="Arial" w:cs="Arial"/>
          <w:sz w:val="22"/>
          <w:lang w:val="es-ES"/>
        </w:rPr>
        <w:t>e</w:t>
      </w:r>
      <w:r w:rsidR="008242C7" w:rsidRPr="00883371">
        <w:rPr>
          <w:rFonts w:ascii="Arial" w:hAnsi="Arial" w:cs="Arial"/>
          <w:sz w:val="22"/>
          <w:lang w:val="es-ES"/>
        </w:rPr>
        <w:t xml:space="preserve"> información que tenga el carácter de reservada</w:t>
      </w:r>
      <w:r w:rsidR="000C733A" w:rsidRPr="00883371">
        <w:rPr>
          <w:rFonts w:ascii="Arial" w:hAnsi="Arial" w:cs="Arial"/>
          <w:sz w:val="22"/>
          <w:lang w:val="es-ES"/>
        </w:rPr>
        <w:t xml:space="preserve"> de conformidad con la Constitución y la ley</w:t>
      </w:r>
      <w:r w:rsidR="004F49DA" w:rsidRPr="00883371">
        <w:rPr>
          <w:rFonts w:ascii="Arial" w:hAnsi="Arial" w:cs="Arial"/>
          <w:sz w:val="22"/>
          <w:lang w:val="es-ES"/>
        </w:rPr>
        <w:t xml:space="preserve"> en los términos del artículo 24 del CPACA, o cuya publicidad pudiese atentar contra los derechos d</w:t>
      </w:r>
      <w:r w:rsidR="004F49DA" w:rsidRPr="00883371">
        <w:rPr>
          <w:rFonts w:ascii="Arial" w:hAnsi="Arial" w:cs="Arial"/>
          <w:sz w:val="22"/>
        </w:rPr>
        <w:t>e toda persona a la intimidad</w:t>
      </w:r>
      <w:r w:rsidR="004F49DA" w:rsidRPr="00883371">
        <w:rPr>
          <w:rFonts w:ascii="Arial" w:hAnsi="Arial" w:cs="Arial"/>
          <w:sz w:val="22"/>
          <w:lang w:val="es-ES"/>
        </w:rPr>
        <w:t>, v</w:t>
      </w:r>
      <w:r w:rsidR="004F49DA" w:rsidRPr="00883371">
        <w:rPr>
          <w:rFonts w:ascii="Arial" w:hAnsi="Arial" w:cs="Arial"/>
          <w:sz w:val="22"/>
        </w:rPr>
        <w:t>ida, salud, seguridad o los secretos comerciales, industriales y profesionales de conformidad con el artículo 18 de la Ley 1712 de 2014</w:t>
      </w:r>
      <w:r w:rsidR="004F49DA" w:rsidRPr="00883371">
        <w:rPr>
          <w:rStyle w:val="Refdenotaalpie"/>
          <w:rFonts w:ascii="Arial" w:hAnsi="Arial" w:cs="Arial"/>
          <w:sz w:val="22"/>
        </w:rPr>
        <w:footnoteReference w:id="37"/>
      </w:r>
      <w:r w:rsidR="00DF3106" w:rsidRPr="00883371">
        <w:rPr>
          <w:rFonts w:ascii="Arial" w:hAnsi="Arial" w:cs="Arial"/>
          <w:sz w:val="22"/>
        </w:rPr>
        <w:t xml:space="preserve">. </w:t>
      </w:r>
    </w:p>
    <w:p w14:paraId="7CA90CC0" w14:textId="456498B8" w:rsidR="00DF3106" w:rsidRPr="00883371" w:rsidRDefault="00DF3106" w:rsidP="00DF3106">
      <w:pPr>
        <w:spacing w:after="120" w:line="276" w:lineRule="auto"/>
        <w:ind w:firstLine="709"/>
        <w:jc w:val="both"/>
        <w:rPr>
          <w:rFonts w:ascii="Arial" w:hAnsi="Arial" w:cs="Arial"/>
          <w:sz w:val="22"/>
        </w:rPr>
      </w:pPr>
      <w:r w:rsidRPr="00883371">
        <w:rPr>
          <w:rFonts w:ascii="Arial" w:hAnsi="Arial" w:cs="Arial"/>
          <w:sz w:val="22"/>
        </w:rPr>
        <w:t xml:space="preserve">En tales eventos, al estar restringida la publicidad y acceso a la información, la entidad deberá abstenerse de publicar en el SECOP la información correspondiente, y dar a la misma el tratamiento establecido en el inciso tercero del artículo 36 del CPACA, depositando el respectivo documento en un cuaderno separado del cuaderno principal en el que se desarrolla el proceso de contratación. </w:t>
      </w:r>
    </w:p>
    <w:p w14:paraId="3F43A702" w14:textId="054187F8" w:rsidR="00DF3106" w:rsidRPr="00883371" w:rsidRDefault="00DF3106" w:rsidP="00E216F2">
      <w:pPr>
        <w:spacing w:line="276" w:lineRule="auto"/>
        <w:ind w:firstLine="709"/>
        <w:jc w:val="both"/>
        <w:rPr>
          <w:rFonts w:ascii="Arial" w:hAnsi="Arial" w:cs="Arial"/>
          <w:sz w:val="22"/>
          <w:lang w:val="es-ES"/>
        </w:rPr>
      </w:pPr>
      <w:r w:rsidRPr="00883371">
        <w:rPr>
          <w:rFonts w:ascii="Arial" w:hAnsi="Arial" w:cs="Arial"/>
          <w:sz w:val="22"/>
        </w:rPr>
        <w:t>En todo caso, correspo</w:t>
      </w:r>
      <w:r w:rsidR="004C1F63" w:rsidRPr="00883371">
        <w:rPr>
          <w:rFonts w:ascii="Arial" w:hAnsi="Arial" w:cs="Arial"/>
          <w:sz w:val="22"/>
        </w:rPr>
        <w:t>n</w:t>
      </w:r>
      <w:r w:rsidRPr="00883371">
        <w:rPr>
          <w:rFonts w:ascii="Arial" w:hAnsi="Arial" w:cs="Arial"/>
          <w:sz w:val="22"/>
        </w:rPr>
        <w:t xml:space="preserve">derá a la </w:t>
      </w:r>
      <w:r w:rsidR="004C1F63" w:rsidRPr="00883371">
        <w:rPr>
          <w:rFonts w:ascii="Arial" w:hAnsi="Arial" w:cs="Arial"/>
          <w:sz w:val="22"/>
        </w:rPr>
        <w:t>entidad determinar si la información suministrada por el proponente en su aclaración se encuentra o no sometida a reserva de conformidad con la Constitución y la Ley. De no estar restringida su publicidad deberá proceder conforme a la regla general derivada d</w:t>
      </w:r>
      <w:r w:rsidR="004C1F63" w:rsidRPr="00883371">
        <w:rPr>
          <w:rFonts w:ascii="Arial" w:eastAsia="Calibri" w:hAnsi="Arial" w:cs="Arial"/>
          <w:sz w:val="22"/>
          <w:lang w:val="es-ES"/>
        </w:rPr>
        <w:t>e los artículos 3 de la Ley 1150 de 2007, 11 literal g de la Ley 1712 de 2014, 2.2.1.1.1.7.1 del Decreto 1082 de 2015,  2.1.1.2.1.7, 2.1.1.2.1.8, 2.1.1.2.1.9 y 2.1.1.2.1.10 del Decreto 1081 de 2015, que impone su publicación en el SECOP</w:t>
      </w:r>
      <w:r w:rsidR="00034AE1" w:rsidRPr="00883371">
        <w:rPr>
          <w:rFonts w:ascii="Arial" w:eastAsia="Calibri" w:hAnsi="Arial" w:cs="Arial"/>
          <w:sz w:val="22"/>
          <w:lang w:val="es-ES"/>
        </w:rPr>
        <w:t xml:space="preserve"> II</w:t>
      </w:r>
      <w:r w:rsidR="004C1F63" w:rsidRPr="00883371">
        <w:rPr>
          <w:rFonts w:ascii="Arial" w:eastAsia="Calibri" w:hAnsi="Arial" w:cs="Arial"/>
          <w:sz w:val="22"/>
          <w:lang w:val="es-ES"/>
        </w:rPr>
        <w:t>.</w:t>
      </w:r>
    </w:p>
    <w:p w14:paraId="75F23696" w14:textId="01BA5D87" w:rsidR="00994553" w:rsidRPr="00883371" w:rsidRDefault="00994553" w:rsidP="0077764F">
      <w:pPr>
        <w:spacing w:line="276" w:lineRule="auto"/>
        <w:jc w:val="both"/>
        <w:rPr>
          <w:rFonts w:ascii="Arial" w:eastAsia="Calibri" w:hAnsi="Arial" w:cs="Arial"/>
          <w:b/>
          <w:sz w:val="22"/>
        </w:rPr>
      </w:pPr>
    </w:p>
    <w:p w14:paraId="65A2BEB6" w14:textId="2F7B2E94" w:rsidR="00883371" w:rsidRPr="00883371" w:rsidRDefault="00883371" w:rsidP="0077764F">
      <w:pPr>
        <w:spacing w:line="276" w:lineRule="auto"/>
        <w:jc w:val="both"/>
        <w:rPr>
          <w:rFonts w:ascii="Arial" w:eastAsia="Calibri" w:hAnsi="Arial" w:cs="Arial"/>
          <w:b/>
          <w:sz w:val="22"/>
        </w:rPr>
      </w:pPr>
    </w:p>
    <w:p w14:paraId="23B6A1CF" w14:textId="306A44F6" w:rsidR="00883371" w:rsidRPr="00883371" w:rsidRDefault="00883371" w:rsidP="0077764F">
      <w:pPr>
        <w:spacing w:line="276" w:lineRule="auto"/>
        <w:jc w:val="both"/>
        <w:rPr>
          <w:rFonts w:ascii="Arial" w:eastAsia="Calibri" w:hAnsi="Arial" w:cs="Arial"/>
          <w:b/>
          <w:sz w:val="22"/>
        </w:rPr>
      </w:pPr>
    </w:p>
    <w:p w14:paraId="77E46522" w14:textId="77777777" w:rsidR="00883371" w:rsidRPr="00883371" w:rsidRDefault="00883371" w:rsidP="0077764F">
      <w:pPr>
        <w:spacing w:line="276" w:lineRule="auto"/>
        <w:jc w:val="both"/>
        <w:rPr>
          <w:rFonts w:ascii="Arial" w:eastAsia="Calibri" w:hAnsi="Arial" w:cs="Arial"/>
          <w:b/>
          <w:sz w:val="22"/>
        </w:rPr>
      </w:pPr>
    </w:p>
    <w:p w14:paraId="6841C124" w14:textId="66AC2AC8" w:rsidR="0077764F" w:rsidRPr="00883371" w:rsidRDefault="0077764F" w:rsidP="0077764F">
      <w:pPr>
        <w:spacing w:line="276" w:lineRule="auto"/>
        <w:jc w:val="both"/>
        <w:rPr>
          <w:rFonts w:ascii="Arial" w:eastAsia="Calibri" w:hAnsi="Arial" w:cs="Arial"/>
          <w:b/>
          <w:sz w:val="22"/>
        </w:rPr>
      </w:pPr>
      <w:r w:rsidRPr="00883371">
        <w:rPr>
          <w:rFonts w:ascii="Arial" w:eastAsia="Calibri" w:hAnsi="Arial" w:cs="Arial"/>
          <w:b/>
          <w:sz w:val="22"/>
        </w:rPr>
        <w:t xml:space="preserve">2.4 Publicidad en las plataformas SECOP I y II </w:t>
      </w:r>
    </w:p>
    <w:p w14:paraId="3D9B71A6" w14:textId="77777777" w:rsidR="0077764F" w:rsidRPr="00883371" w:rsidRDefault="0077764F" w:rsidP="0077764F">
      <w:pPr>
        <w:spacing w:line="276" w:lineRule="auto"/>
        <w:jc w:val="both"/>
        <w:rPr>
          <w:rFonts w:ascii="Arial" w:eastAsia="Calibri" w:hAnsi="Arial" w:cs="Arial"/>
          <w:b/>
          <w:sz w:val="16"/>
          <w:szCs w:val="16"/>
        </w:rPr>
      </w:pPr>
    </w:p>
    <w:p w14:paraId="0F63B28B" w14:textId="77777777" w:rsidR="0077764F" w:rsidRPr="00883371" w:rsidRDefault="0077764F" w:rsidP="0077764F">
      <w:pPr>
        <w:spacing w:after="120" w:line="276" w:lineRule="auto"/>
        <w:jc w:val="both"/>
        <w:rPr>
          <w:rFonts w:ascii="Arial" w:eastAsia="Calibri" w:hAnsi="Arial" w:cs="Arial"/>
          <w:sz w:val="22"/>
          <w:lang w:val="es-ES"/>
        </w:rPr>
      </w:pPr>
      <w:r w:rsidRPr="00883371">
        <w:rPr>
          <w:rFonts w:ascii="Arial" w:eastAsia="Calibri" w:hAnsi="Arial" w:cs="Arial"/>
          <w:sz w:val="22"/>
          <w:lang w:val="es-ES"/>
        </w:rPr>
        <w:t>La Agencia Nacional de Contratación Pública – Colombia Compra Eficiente tiene como función  administrar el SECOP</w:t>
      </w:r>
      <w:r w:rsidRPr="00883371">
        <w:rPr>
          <w:rStyle w:val="Refdenotaalpie"/>
          <w:rFonts w:ascii="Arial" w:eastAsia="Calibri" w:hAnsi="Arial" w:cs="Arial"/>
          <w:sz w:val="22"/>
          <w:lang w:val="es-ES"/>
        </w:rPr>
        <w:footnoteReference w:id="38"/>
      </w:r>
      <w:r w:rsidRPr="00883371">
        <w:rPr>
          <w:rFonts w:ascii="Arial" w:eastAsia="Calibri" w:hAnsi="Arial" w:cs="Arial"/>
          <w:sz w:val="22"/>
          <w:lang w:val="es-ES"/>
        </w:rPr>
        <w:t xml:space="preserve">, por lo cual se desarrolló la primera versión  de la </w:t>
      </w:r>
      <w:r w:rsidRPr="00883371">
        <w:rPr>
          <w:rFonts w:ascii="Arial" w:eastAsia="Calibri" w:hAnsi="Arial" w:cs="Arial"/>
          <w:sz w:val="22"/>
          <w:lang w:val="es-ES"/>
        </w:rPr>
        <w:lastRenderedPageBreak/>
        <w:t>plataforma –SECOP I– , que solo funciona como medio de publicidad, es decir, no es transaccional, lo que significa que el procedimiento contractual ocurre fuera de la plataforma, a través de un expediente físico en la entidad, pero las actuaciones y los documentos se convierten en electrónicos para ser cargados a la plataforma, por quien tenga la función dentro de la entidad, de acuerdo con su organización interna.</w:t>
      </w:r>
    </w:p>
    <w:p w14:paraId="7EC52BAD" w14:textId="77777777" w:rsidR="0077764F" w:rsidRPr="00883371" w:rsidRDefault="0077764F" w:rsidP="0077764F">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D2979FD" w14:textId="77777777" w:rsidR="0077764F" w:rsidRPr="00883371" w:rsidRDefault="0077764F" w:rsidP="0077764F">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w:t>
      </w:r>
    </w:p>
    <w:p w14:paraId="6B39DFB6" w14:textId="77777777" w:rsidR="0077764F" w:rsidRPr="00883371" w:rsidRDefault="0077764F" w:rsidP="0077764F">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t xml:space="preserve">Con anterioridad a estas circulares se expidieron la Circular Externa No. 1 de 2013, que regula la publicación en SECOP I de las entidades que contratan con cargo a recursos públicos, y la Circular Externa No. 20 de 2015, que reguló la </w:t>
      </w:r>
      <w:r w:rsidRPr="00883371">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26482C40" w14:textId="77777777" w:rsidR="0077764F" w:rsidRPr="00883371" w:rsidRDefault="0077764F" w:rsidP="0077764F">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39D652B7" w14:textId="77777777" w:rsidR="0077764F" w:rsidRPr="00883371" w:rsidRDefault="0077764F" w:rsidP="0077764F">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w:t>
      </w:r>
    </w:p>
    <w:p w14:paraId="6E300A8C" w14:textId="77777777" w:rsidR="0077764F" w:rsidRPr="00883371" w:rsidRDefault="0077764F" w:rsidP="0077764F">
      <w:pPr>
        <w:spacing w:before="120" w:after="120" w:line="276" w:lineRule="auto"/>
        <w:ind w:firstLine="708"/>
        <w:jc w:val="both"/>
        <w:rPr>
          <w:rFonts w:ascii="Arial" w:eastAsia="Calibri" w:hAnsi="Arial" w:cs="Arial"/>
          <w:sz w:val="22"/>
          <w:lang w:val="es-ES"/>
        </w:rPr>
      </w:pPr>
      <w:r w:rsidRPr="00883371">
        <w:rPr>
          <w:rFonts w:ascii="Arial" w:eastAsia="Calibri" w:hAnsi="Arial" w:cs="Arial"/>
          <w:sz w:val="22"/>
          <w:lang w:val="es-ES"/>
        </w:rPr>
        <w:lastRenderedPageBreak/>
        <w:t>Con todo, de acuerdo con lo que se dispuso en la Circular Externa No. 3 de 2020, existen dos grupos de entidades que se excluyeron de dicho plazo.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 Los primeros, porque a la fecha de expedición de la Circular Externa No. 3 no alcanzaron a capacitarse en el uso de la plataforma SECOP II, por lo que se prorrogó el plazo para que se capacitaran en dos meses, correspondiéndoles gestionar sus procesos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4411956B" w14:textId="77777777" w:rsidR="0077764F" w:rsidRPr="00883371" w:rsidRDefault="0077764F" w:rsidP="00E216F2">
      <w:pPr>
        <w:spacing w:before="120" w:line="276" w:lineRule="auto"/>
        <w:ind w:firstLine="708"/>
        <w:jc w:val="both"/>
        <w:rPr>
          <w:rFonts w:ascii="Arial" w:eastAsia="Calibri" w:hAnsi="Arial" w:cs="Arial"/>
          <w:b/>
          <w:sz w:val="22"/>
          <w:lang w:val="es-ES"/>
        </w:rPr>
      </w:pPr>
      <w:r w:rsidRPr="00883371">
        <w:rPr>
          <w:rFonts w:ascii="Arial" w:eastAsia="Calibri" w:hAnsi="Arial" w:cs="Arial"/>
          <w:sz w:val="22"/>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w:t>
      </w:r>
      <w:r w:rsidRPr="00883371">
        <w:rPr>
          <w:rFonts w:ascii="Arial" w:eastAsia="Calibri" w:hAnsi="Arial" w:cs="Arial"/>
          <w:i/>
          <w:iCs/>
          <w:sz w:val="22"/>
          <w:lang w:val="es-ES"/>
        </w:rPr>
        <w:t xml:space="preserve"> Documentos del Proceso </w:t>
      </w:r>
      <w:r w:rsidRPr="00883371">
        <w:rPr>
          <w:rFonts w:ascii="Arial" w:eastAsia="Calibri" w:hAnsi="Arial" w:cs="Arial"/>
          <w:sz w:val="22"/>
          <w:lang w:val="es-ES"/>
        </w:rPr>
        <w:t>y los actos administrativos del</w:t>
      </w:r>
      <w:r w:rsidRPr="00883371">
        <w:rPr>
          <w:rFonts w:ascii="Arial" w:eastAsia="Calibri" w:hAnsi="Arial" w:cs="Arial"/>
          <w:i/>
          <w:iCs/>
          <w:sz w:val="22"/>
          <w:lang w:val="es-ES"/>
        </w:rPr>
        <w:t xml:space="preserve"> Proceso de Contratación </w:t>
      </w:r>
      <w:r w:rsidRPr="00883371">
        <w:rPr>
          <w:rFonts w:ascii="Arial" w:eastAsia="Calibri" w:hAnsi="Arial" w:cs="Arial"/>
          <w:sz w:val="22"/>
          <w:lang w:val="es-ES"/>
        </w:rPr>
        <w:t>en el SECOP II.</w:t>
      </w:r>
    </w:p>
    <w:p w14:paraId="5BA6BB6B" w14:textId="77777777" w:rsidR="00923029" w:rsidRPr="00883371" w:rsidRDefault="00923029" w:rsidP="009B7F9B">
      <w:pPr>
        <w:pStyle w:val="Prrafodelista"/>
        <w:tabs>
          <w:tab w:val="left" w:pos="284"/>
        </w:tabs>
        <w:spacing w:line="276" w:lineRule="auto"/>
        <w:ind w:left="0"/>
        <w:jc w:val="both"/>
        <w:rPr>
          <w:rFonts w:ascii="Arial" w:eastAsia="Calibri" w:hAnsi="Arial" w:cs="Arial"/>
          <w:b/>
          <w:sz w:val="22"/>
          <w:lang w:val="es-ES"/>
        </w:rPr>
      </w:pPr>
    </w:p>
    <w:p w14:paraId="39997576" w14:textId="0B5875AA" w:rsidR="009B7F9B" w:rsidRPr="00883371" w:rsidRDefault="009B7F9B" w:rsidP="009B7F9B">
      <w:pPr>
        <w:pStyle w:val="Prrafodelista"/>
        <w:tabs>
          <w:tab w:val="left" w:pos="284"/>
        </w:tabs>
        <w:spacing w:line="276" w:lineRule="auto"/>
        <w:ind w:left="0"/>
        <w:jc w:val="both"/>
        <w:rPr>
          <w:rFonts w:ascii="Arial" w:eastAsia="Calibri" w:hAnsi="Arial" w:cs="Arial"/>
          <w:sz w:val="22"/>
          <w:lang w:val="es-ES_tradnl"/>
        </w:rPr>
      </w:pPr>
      <w:r w:rsidRPr="00883371">
        <w:rPr>
          <w:rFonts w:ascii="Arial" w:eastAsia="Calibri" w:hAnsi="Arial" w:cs="Arial"/>
          <w:b/>
          <w:sz w:val="22"/>
          <w:lang w:val="es-ES_tradnl"/>
        </w:rPr>
        <w:t>3. Respuesta</w:t>
      </w:r>
    </w:p>
    <w:p w14:paraId="4F3C0942" w14:textId="77777777" w:rsidR="009B7F9B" w:rsidRPr="00883371" w:rsidRDefault="009B7F9B" w:rsidP="009B7F9B">
      <w:pPr>
        <w:spacing w:line="276" w:lineRule="auto"/>
        <w:ind w:left="709" w:right="709"/>
        <w:jc w:val="both"/>
        <w:rPr>
          <w:rFonts w:ascii="Arial" w:eastAsia="Calibri" w:hAnsi="Arial" w:cs="Arial"/>
          <w:i/>
          <w:sz w:val="22"/>
          <w:lang w:val="es-ES_tradnl"/>
        </w:rPr>
      </w:pPr>
    </w:p>
    <w:p w14:paraId="198A96D5" w14:textId="72AC71B8" w:rsidR="00492D50" w:rsidRPr="00883371" w:rsidRDefault="0077764F" w:rsidP="00923029">
      <w:pPr>
        <w:ind w:left="709" w:right="709"/>
        <w:jc w:val="both"/>
        <w:rPr>
          <w:rFonts w:ascii="Arial" w:hAnsi="Arial" w:cs="Arial"/>
          <w:sz w:val="22"/>
          <w:lang w:val="es-CO"/>
        </w:rPr>
      </w:pPr>
      <w:r w:rsidRPr="00883371">
        <w:rPr>
          <w:rFonts w:ascii="Arial" w:hAnsi="Arial" w:cs="Arial"/>
          <w:sz w:val="22"/>
          <w:lang w:val="es-CO"/>
        </w:rPr>
        <w:t>¿Deben publicarse en SECOP II los convenios interadministrativos celebrados sin asignación de recursos pecuniarios?</w:t>
      </w:r>
    </w:p>
    <w:p w14:paraId="5C9384B2" w14:textId="77777777" w:rsidR="0077764F" w:rsidRPr="00883371" w:rsidRDefault="0077764F" w:rsidP="00923029">
      <w:pPr>
        <w:ind w:left="709" w:right="709"/>
        <w:jc w:val="both"/>
        <w:rPr>
          <w:rFonts w:ascii="Arial" w:eastAsia="Calibri" w:hAnsi="Arial" w:cs="Arial"/>
          <w:sz w:val="21"/>
          <w:szCs w:val="21"/>
          <w:lang w:val="es-ES_tradnl"/>
        </w:rPr>
      </w:pPr>
    </w:p>
    <w:p w14:paraId="101A7696" w14:textId="22568D63" w:rsidR="004C1F63" w:rsidRPr="00883371" w:rsidRDefault="004C1F63" w:rsidP="004C1F63">
      <w:pPr>
        <w:spacing w:before="120" w:after="120" w:line="276" w:lineRule="auto"/>
        <w:jc w:val="both"/>
        <w:rPr>
          <w:rFonts w:ascii="Arial" w:eastAsia="Arial" w:hAnsi="Arial" w:cs="Arial"/>
          <w:sz w:val="22"/>
          <w:lang w:val="es-ES"/>
        </w:rPr>
      </w:pPr>
      <w:bookmarkStart w:id="8" w:name="_Hlk46401513"/>
      <w:r w:rsidRPr="00883371">
        <w:rPr>
          <w:rFonts w:ascii="Arial" w:eastAsia="Calibri" w:hAnsi="Arial" w:cs="Arial"/>
          <w:sz w:val="22"/>
          <w:lang w:val="es-ES"/>
        </w:rPr>
        <w:t xml:space="preserve">Las entidades públicas sometidas al Estatuto General de Contratación de la Administración Pública, que en virtud de su inclusión en el Anexo 1 de la Circular Externa No. 1 de 2019 expedida por la Agencia Nacional de Contratación Pública – Colombia Compra Eficiente, deban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dicha plataforma, además del Plan Anual de </w:t>
      </w:r>
      <w:r w:rsidRPr="00883371">
        <w:rPr>
          <w:rFonts w:ascii="Arial" w:eastAsia="Calibri" w:hAnsi="Arial" w:cs="Arial"/>
          <w:sz w:val="22"/>
          <w:lang w:val="es-ES"/>
        </w:rPr>
        <w:lastRenderedPageBreak/>
        <w:t xml:space="preserve">Adquisiciones, todos los documentos, actos administrativos o actuaciones producidas con ocasión del </w:t>
      </w:r>
      <w:r w:rsidRPr="00883371">
        <w:rPr>
          <w:rFonts w:ascii="Arial" w:eastAsia="Calibri" w:hAnsi="Arial" w:cs="Arial"/>
          <w:i/>
          <w:iCs/>
          <w:sz w:val="22"/>
          <w:lang w:val="es-ES"/>
        </w:rPr>
        <w:t>Proceso de Contratación</w:t>
      </w:r>
      <w:r w:rsidRPr="00883371">
        <w:rPr>
          <w:rFonts w:ascii="Arial" w:hAnsi="Arial" w:cs="Arial"/>
          <w:sz w:val="22"/>
          <w:lang w:val="es-ES"/>
        </w:rPr>
        <w:t>, sin importar quién sea su autor –la Administración o el contratista–, con excepción de los que pertenecen a</w:t>
      </w:r>
      <w:r w:rsidRPr="00883371">
        <w:rPr>
          <w:rFonts w:ascii="Arial" w:eastAsia="Arial" w:hAnsi="Arial" w:cs="Arial"/>
          <w:sz w:val="22"/>
          <w:lang w:val="es-ES"/>
        </w:rPr>
        <w:t>l marco de operaciones de bolsa de productos, expresamente excluidos de publicación por el artículo 2.2.1.1.1.7.1. del Decreto 1082 de 2015</w:t>
      </w:r>
      <w:r w:rsidR="00034AE1" w:rsidRPr="00883371">
        <w:rPr>
          <w:rFonts w:ascii="Arial" w:eastAsia="Arial" w:hAnsi="Arial" w:cs="Arial"/>
          <w:sz w:val="22"/>
          <w:lang w:val="es-ES"/>
        </w:rPr>
        <w:t>.</w:t>
      </w:r>
    </w:p>
    <w:p w14:paraId="6D7AD7F1" w14:textId="2AB2F065" w:rsidR="0077764F" w:rsidRPr="00883371" w:rsidRDefault="0077764F" w:rsidP="004C1F63">
      <w:pPr>
        <w:spacing w:before="120" w:after="120" w:line="276" w:lineRule="auto"/>
        <w:jc w:val="both"/>
        <w:rPr>
          <w:rFonts w:ascii="Arial" w:eastAsia="Arial" w:hAnsi="Arial" w:cs="Arial"/>
          <w:sz w:val="22"/>
          <w:lang w:val="es-ES"/>
        </w:rPr>
      </w:pPr>
      <w:r w:rsidRPr="00883371">
        <w:rPr>
          <w:rFonts w:ascii="Arial" w:eastAsia="Arial" w:hAnsi="Arial" w:cs="Arial"/>
          <w:sz w:val="22"/>
          <w:lang w:val="es-ES"/>
        </w:rPr>
        <w:tab/>
        <w:t xml:space="preserve">En el marco de dicha obligación las entidades estales están obligadas a gestionar y publicar a través de SECOP II, los convenios interadministrativos que celebren, independientemente de si estos son celebrados </w:t>
      </w:r>
      <w:r w:rsidR="00994553" w:rsidRPr="00883371">
        <w:rPr>
          <w:rFonts w:ascii="Arial" w:eastAsia="Arial" w:hAnsi="Arial" w:cs="Arial"/>
          <w:sz w:val="22"/>
          <w:lang w:val="es-ES"/>
        </w:rPr>
        <w:t>con o sin asignación de recursos pecuniarios. En caso de no estar incluidas las correspondientes entidades dentro del Anexo 1 de la Circular No. 1 de 2019, la publicación del respectivo convenio deberá realizarse en la plataforma SECOP I.</w:t>
      </w:r>
      <w:r w:rsidRPr="00883371">
        <w:rPr>
          <w:rFonts w:ascii="Arial" w:eastAsia="Arial" w:hAnsi="Arial" w:cs="Arial"/>
          <w:sz w:val="22"/>
          <w:lang w:val="es-ES"/>
        </w:rPr>
        <w:t xml:space="preserve">  </w:t>
      </w:r>
    </w:p>
    <w:bookmarkEnd w:id="8"/>
    <w:p w14:paraId="151F89FF" w14:textId="3C7FC68E" w:rsidR="009B7F9B" w:rsidRPr="00883371" w:rsidRDefault="008C7ACF" w:rsidP="009B7F9B">
      <w:pPr>
        <w:spacing w:line="276" w:lineRule="auto"/>
        <w:jc w:val="both"/>
        <w:rPr>
          <w:rFonts w:ascii="Arial" w:eastAsia="Calibri" w:hAnsi="Arial" w:cs="Arial"/>
          <w:sz w:val="22"/>
          <w:lang w:val="es-ES"/>
        </w:rPr>
      </w:pPr>
      <w:r w:rsidRPr="00883371">
        <w:rPr>
          <w:rFonts w:ascii="Arial" w:eastAsia="Calibri" w:hAnsi="Arial" w:cs="Arial"/>
          <w:sz w:val="22"/>
          <w:lang w:val="es-ES"/>
        </w:rPr>
        <w:tab/>
      </w:r>
    </w:p>
    <w:p w14:paraId="75FDC6B6" w14:textId="61F90CC3" w:rsidR="009B7F9B" w:rsidRPr="00883371" w:rsidRDefault="0031783A" w:rsidP="009B7F9B">
      <w:pPr>
        <w:spacing w:line="276" w:lineRule="auto"/>
        <w:jc w:val="both"/>
        <w:rPr>
          <w:rFonts w:ascii="Arial" w:eastAsia="Calibri" w:hAnsi="Arial" w:cs="Arial"/>
          <w:sz w:val="22"/>
        </w:rPr>
      </w:pPr>
      <w:r w:rsidRPr="00883371">
        <w:rPr>
          <w:noProof/>
          <w:lang w:val="es-ES_tradnl" w:eastAsia="es-ES_tradnl"/>
        </w:rPr>
        <w:drawing>
          <wp:anchor distT="0" distB="0" distL="114300" distR="114300" simplePos="0" relativeHeight="251661312" behindDoc="0" locked="0" layoutInCell="1" allowOverlap="1" wp14:anchorId="6F500063" wp14:editId="37618313">
            <wp:simplePos x="0" y="0"/>
            <wp:positionH relativeFrom="margin">
              <wp:posOffset>1434465</wp:posOffset>
            </wp:positionH>
            <wp:positionV relativeFrom="paragraph">
              <wp:posOffset>352425</wp:posOffset>
            </wp:positionV>
            <wp:extent cx="2720340" cy="1553845"/>
            <wp:effectExtent l="0" t="0" r="381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0340" cy="1553845"/>
                    </a:xfrm>
                    <a:prstGeom prst="rect">
                      <a:avLst/>
                    </a:prstGeom>
                  </pic:spPr>
                </pic:pic>
              </a:graphicData>
            </a:graphic>
            <wp14:sizeRelH relativeFrom="page">
              <wp14:pctWidth>0</wp14:pctWidth>
            </wp14:sizeRelH>
            <wp14:sizeRelV relativeFrom="page">
              <wp14:pctHeight>0</wp14:pctHeight>
            </wp14:sizeRelV>
          </wp:anchor>
        </w:drawing>
      </w:r>
      <w:r w:rsidR="009B7F9B" w:rsidRPr="00883371">
        <w:rPr>
          <w:rFonts w:ascii="Arial" w:eastAsia="Calibri" w:hAnsi="Arial" w:cs="Arial"/>
          <w:sz w:val="22"/>
        </w:rPr>
        <w:t>Este concepto tiene el alcance previsto en el artículo 28 del Código de Procedimiento Administrativo y de lo Contencioso Administrativo.</w:t>
      </w:r>
    </w:p>
    <w:p w14:paraId="23BD3479" w14:textId="49D09536" w:rsidR="009B7F9B" w:rsidRPr="00883371" w:rsidRDefault="009B7F9B" w:rsidP="009B7F9B">
      <w:pPr>
        <w:spacing w:line="276" w:lineRule="auto"/>
        <w:jc w:val="both"/>
        <w:rPr>
          <w:rFonts w:ascii="Arial" w:eastAsia="Times New Roman" w:hAnsi="Arial" w:cs="Arial"/>
          <w:sz w:val="22"/>
          <w:lang w:eastAsia="es-CO"/>
        </w:rPr>
      </w:pPr>
      <w:r w:rsidRPr="00883371">
        <w:rPr>
          <w:rFonts w:ascii="Arial" w:hAnsi="Arial" w:cs="Arial"/>
          <w:noProof/>
          <w:lang w:val="es-ES_tradnl" w:eastAsia="es-ES_tradnl"/>
        </w:rPr>
        <w:drawing>
          <wp:anchor distT="0" distB="0" distL="114300" distR="114300" simplePos="0" relativeHeight="251660288" behindDoc="0" locked="0" layoutInCell="1" allowOverlap="1" wp14:anchorId="0AD56C08" wp14:editId="389E1EC9">
            <wp:simplePos x="0" y="0"/>
            <wp:positionH relativeFrom="margin">
              <wp:posOffset>1503680</wp:posOffset>
            </wp:positionH>
            <wp:positionV relativeFrom="paragraph">
              <wp:posOffset>13970</wp:posOffset>
            </wp:positionV>
            <wp:extent cx="2441575" cy="1200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7570" t="5293" r="8247" b="4695"/>
                    <a:stretch>
                      <a:fillRect/>
                    </a:stretch>
                  </pic:blipFill>
                  <pic:spPr bwMode="auto">
                    <a:xfrm>
                      <a:off x="0" y="0"/>
                      <a:ext cx="2441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371">
        <w:rPr>
          <w:rFonts w:ascii="Arial" w:eastAsia="Calibri" w:hAnsi="Arial" w:cs="Arial"/>
          <w:noProof/>
          <w:sz w:val="22"/>
          <w:lang w:val="es-ES_tradnl" w:eastAsia="es-ES_tradnl"/>
        </w:rPr>
        <mc:AlternateContent>
          <mc:Choice Requires="wps">
            <w:drawing>
              <wp:anchor distT="0" distB="0" distL="114300" distR="114300" simplePos="0" relativeHeight="251659264" behindDoc="0" locked="0" layoutInCell="1" allowOverlap="1" wp14:anchorId="250FE17C" wp14:editId="6D4A0B11">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7D6582CD"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883371" w:rsidRDefault="009B7F9B" w:rsidP="009B7F9B">
      <w:pPr>
        <w:spacing w:line="276" w:lineRule="auto"/>
        <w:jc w:val="both"/>
        <w:rPr>
          <w:rFonts w:ascii="Arial" w:hAnsi="Arial" w:cs="Arial"/>
          <w:sz w:val="22"/>
          <w:szCs w:val="20"/>
        </w:rPr>
      </w:pPr>
      <w:r w:rsidRPr="00883371">
        <w:rPr>
          <w:rFonts w:ascii="Arial" w:eastAsia="Times New Roman" w:hAnsi="Arial" w:cs="Arial"/>
          <w:sz w:val="22"/>
          <w:lang w:eastAsia="es-CO"/>
        </w:rPr>
        <w:t>Atentamente,</w:t>
      </w:r>
    </w:p>
    <w:p w14:paraId="14C0DEE9" w14:textId="77777777" w:rsidR="009B7F9B" w:rsidRPr="00883371" w:rsidRDefault="009B7F9B" w:rsidP="009B7F9B">
      <w:pPr>
        <w:pStyle w:val="NormalWeb"/>
        <w:spacing w:before="0" w:beforeAutospacing="0" w:after="0" w:afterAutospacing="0"/>
        <w:jc w:val="center"/>
        <w:rPr>
          <w:rFonts w:ascii="Arial" w:hAnsi="Arial" w:cs="Arial"/>
          <w:sz w:val="22"/>
          <w:szCs w:val="20"/>
          <w:lang w:val="es-MX"/>
        </w:rPr>
      </w:pPr>
    </w:p>
    <w:p w14:paraId="46345B7F" w14:textId="77777777" w:rsidR="009B7F9B" w:rsidRPr="00883371" w:rsidRDefault="009B7F9B" w:rsidP="009B7F9B">
      <w:pPr>
        <w:spacing w:after="18"/>
        <w:jc w:val="center"/>
        <w:rPr>
          <w:rFonts w:ascii="Arial" w:eastAsia="Times New Roman" w:hAnsi="Arial" w:cs="Arial"/>
          <w:sz w:val="18"/>
          <w:szCs w:val="20"/>
          <w:lang w:eastAsia="es-CO"/>
        </w:rPr>
      </w:pPr>
    </w:p>
    <w:p w14:paraId="61A70295" w14:textId="77777777" w:rsidR="009B7F9B" w:rsidRPr="00883371" w:rsidRDefault="009B7F9B" w:rsidP="009B7F9B">
      <w:pPr>
        <w:spacing w:after="18"/>
        <w:jc w:val="center"/>
        <w:rPr>
          <w:rFonts w:ascii="Arial" w:eastAsia="Times New Roman" w:hAnsi="Arial" w:cs="Arial"/>
          <w:sz w:val="18"/>
          <w:szCs w:val="20"/>
          <w:lang w:eastAsia="es-CO"/>
        </w:rPr>
      </w:pPr>
    </w:p>
    <w:p w14:paraId="5F1AFA19" w14:textId="77777777" w:rsidR="009B7F9B" w:rsidRPr="00883371" w:rsidRDefault="009B7F9B" w:rsidP="009B7F9B">
      <w:pPr>
        <w:spacing w:after="18"/>
        <w:jc w:val="center"/>
        <w:rPr>
          <w:rFonts w:ascii="Arial" w:eastAsia="Times New Roman" w:hAnsi="Arial" w:cs="Arial"/>
          <w:sz w:val="18"/>
          <w:szCs w:val="20"/>
          <w:lang w:eastAsia="es-CO"/>
        </w:rPr>
      </w:pPr>
    </w:p>
    <w:p w14:paraId="28F98778" w14:textId="77777777" w:rsidR="009B7F9B" w:rsidRPr="00883371" w:rsidRDefault="009B7F9B" w:rsidP="009B7F9B">
      <w:pPr>
        <w:spacing w:after="18"/>
        <w:jc w:val="center"/>
        <w:rPr>
          <w:rFonts w:ascii="Arial" w:eastAsia="Times New Roman" w:hAnsi="Arial" w:cs="Arial"/>
          <w:sz w:val="18"/>
          <w:szCs w:val="20"/>
          <w:lang w:eastAsia="es-CO"/>
        </w:rPr>
      </w:pPr>
    </w:p>
    <w:p w14:paraId="07CEE023" w14:textId="77777777" w:rsidR="009B7F9B" w:rsidRPr="00883371" w:rsidRDefault="009B7F9B" w:rsidP="009B7F9B">
      <w:pPr>
        <w:spacing w:after="18"/>
        <w:jc w:val="center"/>
        <w:rPr>
          <w:rFonts w:ascii="Arial" w:eastAsia="Times New Roman" w:hAnsi="Arial" w:cs="Arial"/>
          <w:sz w:val="18"/>
          <w:szCs w:val="20"/>
          <w:lang w:eastAsia="es-CO"/>
        </w:rPr>
      </w:pPr>
    </w:p>
    <w:p w14:paraId="26795484" w14:textId="77777777" w:rsidR="009B7F9B" w:rsidRPr="00883371" w:rsidRDefault="009B7F9B" w:rsidP="009B7F9B">
      <w:pPr>
        <w:spacing w:after="18"/>
        <w:jc w:val="center"/>
        <w:rPr>
          <w:rFonts w:ascii="Arial" w:eastAsia="Times New Roman" w:hAnsi="Arial" w:cs="Arial"/>
          <w:sz w:val="18"/>
          <w:szCs w:val="20"/>
          <w:lang w:eastAsia="es-CO"/>
        </w:rPr>
      </w:pPr>
    </w:p>
    <w:p w14:paraId="17AC0F77" w14:textId="77777777" w:rsidR="009B7F9B" w:rsidRPr="00883371" w:rsidRDefault="009B7F9B" w:rsidP="009B7F9B">
      <w:pPr>
        <w:spacing w:after="18"/>
        <w:jc w:val="center"/>
        <w:rPr>
          <w:rFonts w:ascii="Arial" w:eastAsia="Times New Roman" w:hAnsi="Arial" w:cs="Arial"/>
          <w:sz w:val="18"/>
          <w:szCs w:val="20"/>
          <w:lang w:eastAsia="es-CO"/>
        </w:rPr>
      </w:pPr>
    </w:p>
    <w:tbl>
      <w:tblPr>
        <w:tblStyle w:val="Tablaconcuadrcula"/>
        <w:tblpPr w:leftFromText="141" w:rightFromText="141" w:vertAnchor="text" w:horzAnchor="margin"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883371" w:rsidRPr="00883371" w14:paraId="55F0DD75" w14:textId="77777777" w:rsidTr="0031783A">
        <w:trPr>
          <w:trHeight w:val="286"/>
        </w:trPr>
        <w:tc>
          <w:tcPr>
            <w:tcW w:w="817" w:type="dxa"/>
            <w:vAlign w:val="center"/>
          </w:tcPr>
          <w:p w14:paraId="5F7D1FE7"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5E3DD8BA"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Alejandro Sarmiento Cantillo</w:t>
            </w:r>
          </w:p>
          <w:p w14:paraId="05B0426C"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Contratista de la Subdirección de Gestión Contractual</w:t>
            </w:r>
          </w:p>
        </w:tc>
      </w:tr>
      <w:tr w:rsidR="00883371" w:rsidRPr="00883371" w14:paraId="76CE22F8" w14:textId="77777777" w:rsidTr="0031783A">
        <w:trPr>
          <w:trHeight w:val="299"/>
        </w:trPr>
        <w:tc>
          <w:tcPr>
            <w:tcW w:w="817" w:type="dxa"/>
            <w:vAlign w:val="center"/>
          </w:tcPr>
          <w:p w14:paraId="146CC280"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D61D73D" w14:textId="77777777" w:rsidR="008A3F2A" w:rsidRPr="00883371" w:rsidRDefault="008A3F2A" w:rsidP="008A3F2A">
            <w:pPr>
              <w:rPr>
                <w:rFonts w:ascii="Arial" w:eastAsia="Times New Roman" w:hAnsi="Arial" w:cs="Arial"/>
                <w:sz w:val="14"/>
                <w:szCs w:val="14"/>
                <w:lang w:eastAsia="es-ES"/>
              </w:rPr>
            </w:pPr>
            <w:r w:rsidRPr="00883371">
              <w:rPr>
                <w:rFonts w:ascii="Arial" w:eastAsia="Times New Roman" w:hAnsi="Arial" w:cs="Arial"/>
                <w:sz w:val="14"/>
                <w:szCs w:val="14"/>
                <w:lang w:eastAsia="es-ES"/>
              </w:rPr>
              <w:t>Fabián Gonzalo Marín Cortés</w:t>
            </w:r>
          </w:p>
          <w:p w14:paraId="434CDD2F" w14:textId="5D8B310D" w:rsidR="0031783A" w:rsidRPr="00883371" w:rsidRDefault="008A3F2A" w:rsidP="008A3F2A">
            <w:pPr>
              <w:rPr>
                <w:rFonts w:ascii="Arial" w:eastAsia="Times New Roman" w:hAnsi="Arial" w:cs="Arial"/>
                <w:sz w:val="14"/>
                <w:szCs w:val="14"/>
                <w:lang w:eastAsia="es-ES"/>
              </w:rPr>
            </w:pPr>
            <w:r w:rsidRPr="00883371">
              <w:rPr>
                <w:rFonts w:ascii="Arial" w:eastAsia="Times New Roman" w:hAnsi="Arial" w:cs="Arial"/>
                <w:sz w:val="14"/>
                <w:szCs w:val="14"/>
                <w:lang w:eastAsia="es-ES"/>
              </w:rPr>
              <w:t>Subdirector de Gestión Contractual</w:t>
            </w:r>
          </w:p>
        </w:tc>
      </w:tr>
      <w:tr w:rsidR="00883371" w:rsidRPr="00883371" w14:paraId="6DA61CDC" w14:textId="77777777" w:rsidTr="0031783A">
        <w:trPr>
          <w:trHeight w:val="272"/>
        </w:trPr>
        <w:tc>
          <w:tcPr>
            <w:tcW w:w="817" w:type="dxa"/>
            <w:vAlign w:val="center"/>
          </w:tcPr>
          <w:p w14:paraId="5D208E8F"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4509F790"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Fabián Gonzalo Marín Cortés</w:t>
            </w:r>
          </w:p>
          <w:p w14:paraId="2A6B3391" w14:textId="77777777" w:rsidR="0031783A" w:rsidRPr="00883371" w:rsidRDefault="0031783A" w:rsidP="0031783A">
            <w:pPr>
              <w:rPr>
                <w:rFonts w:ascii="Arial" w:eastAsia="Times New Roman" w:hAnsi="Arial" w:cs="Arial"/>
                <w:sz w:val="14"/>
                <w:szCs w:val="14"/>
                <w:lang w:eastAsia="es-ES"/>
              </w:rPr>
            </w:pPr>
            <w:r w:rsidRPr="00883371">
              <w:rPr>
                <w:rFonts w:ascii="Arial" w:eastAsia="Times New Roman" w:hAnsi="Arial" w:cs="Arial"/>
                <w:sz w:val="14"/>
                <w:szCs w:val="14"/>
                <w:lang w:eastAsia="es-ES"/>
              </w:rPr>
              <w:t>Subdirector de Gestión Contractual</w:t>
            </w:r>
          </w:p>
        </w:tc>
      </w:tr>
    </w:tbl>
    <w:p w14:paraId="3EDA14F5" w14:textId="77777777" w:rsidR="009B7F9B" w:rsidRPr="00883371" w:rsidRDefault="009B7F9B" w:rsidP="009B7F9B">
      <w:pPr>
        <w:spacing w:after="18"/>
        <w:jc w:val="center"/>
        <w:rPr>
          <w:rFonts w:ascii="Arial" w:eastAsia="Times New Roman" w:hAnsi="Arial" w:cs="Arial"/>
          <w:sz w:val="18"/>
          <w:szCs w:val="20"/>
          <w:lang w:eastAsia="es-CO"/>
        </w:rPr>
      </w:pPr>
    </w:p>
    <w:p w14:paraId="4F62D4D8" w14:textId="77777777" w:rsidR="009B7F9B" w:rsidRPr="00883371" w:rsidRDefault="009B7F9B" w:rsidP="009B7F9B">
      <w:pPr>
        <w:rPr>
          <w:rFonts w:ascii="Arial" w:hAnsi="Arial" w:cs="Arial"/>
        </w:rPr>
      </w:pPr>
    </w:p>
    <w:bookmarkEnd w:id="2"/>
    <w:bookmarkEnd w:id="3"/>
    <w:p w14:paraId="47BB1636" w14:textId="77777777" w:rsidR="009B7F9B" w:rsidRPr="00883371" w:rsidRDefault="009B7F9B" w:rsidP="009B7F9B"/>
    <w:bookmarkEnd w:id="4"/>
    <w:p w14:paraId="35B56F46" w14:textId="77777777" w:rsidR="00746E08" w:rsidRPr="00883371" w:rsidRDefault="00746E08" w:rsidP="00746E08">
      <w:pPr>
        <w:rPr>
          <w:rFonts w:ascii="Arial" w:eastAsia="Times New Roman" w:hAnsi="Arial" w:cs="Arial"/>
          <w:sz w:val="16"/>
          <w:szCs w:val="16"/>
          <w:lang w:eastAsia="es-ES"/>
        </w:rPr>
      </w:pPr>
    </w:p>
    <w:sectPr w:rsidR="00746E08" w:rsidRPr="00883371" w:rsidSect="00015765">
      <w:headerReference w:type="default" r:id="rId13"/>
      <w:footerReference w:type="default" r:id="rId14"/>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ABD16" w14:textId="77777777" w:rsidR="003A3FC5" w:rsidRDefault="003A3FC5">
      <w:r>
        <w:separator/>
      </w:r>
    </w:p>
  </w:endnote>
  <w:endnote w:type="continuationSeparator" w:id="0">
    <w:p w14:paraId="50BA7B33" w14:textId="77777777" w:rsidR="003A3FC5" w:rsidRDefault="003A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1E291F" w:rsidRDefault="001E291F" w:rsidP="00322937">
    <w:pPr>
      <w:pStyle w:val="Sinespaciado"/>
      <w:jc w:val="right"/>
      <w:rPr>
        <w:rFonts w:ascii="Arial" w:hAnsi="Arial" w:cs="Arial"/>
        <w:sz w:val="18"/>
        <w:szCs w:val="18"/>
      </w:rPr>
    </w:pPr>
  </w:p>
  <w:p w14:paraId="7A3785F3" w14:textId="2EF28465"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1E291F" w:rsidRDefault="001E291F"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E291F" w:rsidRDefault="001E291F" w:rsidP="007B0854">
    <w:pPr>
      <w:pStyle w:val="Piedepgina"/>
      <w:jc w:val="center"/>
      <w:rPr>
        <w:lang w:val="es-ES"/>
      </w:rPr>
    </w:pP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F3E4C" w14:textId="77777777" w:rsidR="003A3FC5" w:rsidRDefault="003A3FC5">
      <w:r>
        <w:separator/>
      </w:r>
    </w:p>
  </w:footnote>
  <w:footnote w:type="continuationSeparator" w:id="0">
    <w:p w14:paraId="0B416804" w14:textId="77777777" w:rsidR="003A3FC5" w:rsidRDefault="003A3FC5">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6A2E6F2" w:rsidR="009B7F9B" w:rsidRPr="000C0FED" w:rsidRDefault="009B7F9B" w:rsidP="008C0579">
      <w:pPr>
        <w:ind w:right="49" w:firstLine="708"/>
        <w:jc w:val="both"/>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7"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86B7C2" w14:textId="275AAB0C" w:rsidR="009B7F9B" w:rsidRPr="000C0FED" w:rsidRDefault="009B7F9B" w:rsidP="009B3335">
      <w:pPr>
        <w:ind w:right="49" w:firstLine="708"/>
        <w:jc w:val="both"/>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footnote>
  <w:footnote w:id="4">
    <w:p w14:paraId="53FE09FE" w14:textId="77777777" w:rsidR="005134C9" w:rsidRDefault="005134C9" w:rsidP="005134C9">
      <w:pPr>
        <w:pStyle w:val="Textonotapie"/>
        <w:ind w:firstLine="709"/>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«Artículo 14. De los medios que pueden utilizar las entidades estatales para el cumplimiento del objeto contractual. Para el cumplimiento de los fines de la contratación, las entidades estatales al celebrar un contrato: </w:t>
      </w:r>
    </w:p>
    <w:p w14:paraId="53D24417" w14:textId="77777777" w:rsidR="005134C9" w:rsidRDefault="005134C9" w:rsidP="005134C9">
      <w:pPr>
        <w:pStyle w:val="Textonotapie"/>
        <w:ind w:firstLine="709"/>
        <w:jc w:val="both"/>
        <w:rPr>
          <w:rFonts w:ascii="Arial" w:hAnsi="Arial" w:cs="Arial"/>
          <w:color w:val="000000" w:themeColor="text1"/>
          <w:sz w:val="18"/>
          <w:szCs w:val="18"/>
        </w:rPr>
      </w:pPr>
      <w:r>
        <w:rPr>
          <w:rFonts w:ascii="Arial" w:hAnsi="Arial" w:cs="Arial"/>
          <w:color w:val="000000" w:themeColor="text1"/>
          <w:sz w:val="18"/>
          <w:szCs w:val="18"/>
        </w:rPr>
        <w:t xml:space="preserve">» 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14:paraId="448B18FF" w14:textId="77777777" w:rsidR="005134C9" w:rsidRDefault="005134C9" w:rsidP="005134C9">
      <w:pPr>
        <w:pStyle w:val="Textonotapie"/>
        <w:ind w:firstLine="709"/>
        <w:jc w:val="both"/>
        <w:rPr>
          <w:rFonts w:ascii="Arial" w:hAnsi="Arial" w:cs="Arial"/>
          <w:color w:val="000000" w:themeColor="text1"/>
          <w:sz w:val="18"/>
          <w:szCs w:val="18"/>
        </w:rPr>
      </w:pPr>
    </w:p>
    <w:p w14:paraId="274AC508" w14:textId="77777777" w:rsidR="005134C9" w:rsidRDefault="005134C9" w:rsidP="005134C9">
      <w:pPr>
        <w:pStyle w:val="Textonotapie"/>
        <w:ind w:firstLine="709"/>
        <w:jc w:val="both"/>
        <w:rPr>
          <w:rFonts w:ascii="Arial" w:hAnsi="Arial" w:cs="Arial"/>
          <w:color w:val="000000" w:themeColor="text1"/>
          <w:sz w:val="18"/>
          <w:szCs w:val="18"/>
        </w:rPr>
      </w:pPr>
      <w:r>
        <w:rPr>
          <w:rFonts w:ascii="Arial" w:hAnsi="Arial" w:cs="Arial"/>
          <w:color w:val="000000" w:themeColor="text1"/>
          <w:sz w:val="18"/>
          <w:szCs w:val="18"/>
        </w:rPr>
        <w:t>[…]</w:t>
      </w:r>
    </w:p>
    <w:p w14:paraId="7A7587F0" w14:textId="77777777" w:rsidR="005134C9" w:rsidRDefault="005134C9" w:rsidP="005134C9">
      <w:pPr>
        <w:pStyle w:val="Textonotapie"/>
        <w:ind w:firstLine="709"/>
        <w:jc w:val="both"/>
        <w:rPr>
          <w:rFonts w:ascii="Arial" w:hAnsi="Arial" w:cs="Arial"/>
          <w:color w:val="000000" w:themeColor="text1"/>
          <w:sz w:val="18"/>
          <w:szCs w:val="18"/>
        </w:rPr>
      </w:pPr>
    </w:p>
    <w:p w14:paraId="09ECFFB2" w14:textId="77777777" w:rsidR="005134C9" w:rsidRDefault="005134C9" w:rsidP="005134C9">
      <w:pPr>
        <w:pStyle w:val="Textonotapie"/>
        <w:ind w:firstLine="709"/>
        <w:jc w:val="both"/>
        <w:rPr>
          <w:rFonts w:ascii="Arial" w:hAnsi="Arial" w:cs="Arial"/>
          <w:color w:val="000000" w:themeColor="text1"/>
          <w:sz w:val="18"/>
          <w:szCs w:val="18"/>
        </w:rPr>
      </w:pPr>
      <w:r>
        <w:rPr>
          <w:rFonts w:ascii="Arial" w:hAnsi="Arial" w:cs="Arial"/>
          <w:color w:val="000000" w:themeColor="text1"/>
          <w:sz w:val="18"/>
          <w:szCs w:val="18"/>
        </w:rPr>
        <w:t>» 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641A0CBB" w14:textId="77777777" w:rsidR="005134C9" w:rsidRDefault="005134C9" w:rsidP="005134C9">
      <w:pPr>
        <w:pStyle w:val="Textonotapie"/>
        <w:ind w:firstLine="709"/>
        <w:jc w:val="both"/>
        <w:rPr>
          <w:rFonts w:ascii="Arial" w:hAnsi="Arial" w:cs="Arial"/>
          <w:color w:val="000000" w:themeColor="text1"/>
          <w:sz w:val="18"/>
          <w:szCs w:val="18"/>
          <w:lang w:val="es-CO"/>
        </w:rPr>
      </w:pPr>
    </w:p>
  </w:footnote>
  <w:footnote w:id="5">
    <w:p w14:paraId="56673D32" w14:textId="77777777" w:rsidR="005134C9" w:rsidRDefault="005134C9" w:rsidP="005134C9">
      <w:pPr>
        <w:pStyle w:val="Textonotapie"/>
        <w:ind w:firstLine="708"/>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1A38A25" w14:textId="77777777" w:rsidR="005134C9" w:rsidRDefault="005134C9" w:rsidP="005134C9">
      <w:pPr>
        <w:pStyle w:val="Textonotapie"/>
        <w:ind w:firstLine="708"/>
        <w:jc w:val="both"/>
        <w:rPr>
          <w:rFonts w:ascii="Arial" w:hAnsi="Arial" w:cs="Arial"/>
          <w:color w:val="000000" w:themeColor="text1"/>
          <w:sz w:val="18"/>
          <w:szCs w:val="18"/>
        </w:rPr>
      </w:pPr>
      <w:r>
        <w:rPr>
          <w:rFonts w:ascii="Arial" w:hAnsi="Arial" w:cs="Arial"/>
          <w:color w:val="000000" w:themeColor="text1"/>
          <w:sz w:val="18"/>
          <w:szCs w:val="18"/>
        </w:rPr>
        <w:t>»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9F78543" w14:textId="77777777" w:rsidR="005134C9" w:rsidRDefault="005134C9" w:rsidP="005134C9">
      <w:pPr>
        <w:pStyle w:val="Textonotapie"/>
        <w:jc w:val="both"/>
        <w:rPr>
          <w:rFonts w:ascii="Arial" w:hAnsi="Arial" w:cs="Arial"/>
          <w:color w:val="000000" w:themeColor="text1"/>
          <w:sz w:val="18"/>
          <w:szCs w:val="18"/>
        </w:rPr>
      </w:pPr>
    </w:p>
  </w:footnote>
  <w:footnote w:id="6">
    <w:p w14:paraId="77C00A51" w14:textId="77777777" w:rsidR="005134C9" w:rsidRDefault="005134C9" w:rsidP="005134C9">
      <w:pPr>
        <w:pStyle w:val="Textonotapie"/>
        <w:ind w:firstLine="708"/>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Código Civil: «Artículo 27. Cuando el sentido de la ley sea claro, no se desatenderá su tenor a pretexto de consultar su espíritu».</w:t>
      </w:r>
    </w:p>
    <w:p w14:paraId="1D58C15C" w14:textId="77777777" w:rsidR="005134C9" w:rsidRDefault="005134C9" w:rsidP="005134C9">
      <w:pPr>
        <w:pStyle w:val="Textonotapie"/>
        <w:ind w:firstLine="708"/>
        <w:jc w:val="both"/>
        <w:rPr>
          <w:rFonts w:ascii="Arial" w:hAnsi="Arial" w:cs="Arial"/>
          <w:color w:val="000000" w:themeColor="text1"/>
          <w:sz w:val="18"/>
          <w:szCs w:val="18"/>
          <w:lang w:val="es-ES"/>
        </w:rPr>
      </w:pPr>
    </w:p>
  </w:footnote>
  <w:footnote w:id="7">
    <w:p w14:paraId="70FEAAAE" w14:textId="77777777" w:rsidR="005134C9" w:rsidRDefault="005134C9" w:rsidP="005134C9">
      <w:pPr>
        <w:pStyle w:val="Textonotapie"/>
        <w:ind w:firstLine="708"/>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Ley 80 de 1993: «Artículo 41. Del perfeccionamiento del contrato. Los contratos del Estado se perfeccionan cuando se logre acuerdo sobre el objeto y la contraprestación y éste se eleve a escrito. […]».</w:t>
      </w:r>
    </w:p>
    <w:p w14:paraId="74E6C141" w14:textId="77777777" w:rsidR="005134C9" w:rsidRDefault="005134C9" w:rsidP="005134C9">
      <w:pPr>
        <w:pStyle w:val="Textonotapie"/>
        <w:jc w:val="both"/>
        <w:rPr>
          <w:rFonts w:ascii="Arial" w:hAnsi="Arial" w:cs="Arial"/>
          <w:color w:val="000000" w:themeColor="text1"/>
          <w:sz w:val="18"/>
          <w:szCs w:val="18"/>
          <w:lang w:val="es-ES"/>
        </w:rPr>
      </w:pPr>
    </w:p>
  </w:footnote>
  <w:footnote w:id="8">
    <w:p w14:paraId="5390D81E" w14:textId="77777777" w:rsidR="005134C9" w:rsidRDefault="005134C9" w:rsidP="005134C9">
      <w:pPr>
        <w:pStyle w:val="Textonotapie"/>
        <w:ind w:firstLine="708"/>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Consejo de Estado. Sección Tercera. Sentencia del 23 de junio de 2010. Radicación No. 66001-23-31-000-1998-00261-01(17.860). Consejero Ponente: Mauricio Fajardo Gómez.</w:t>
      </w:r>
    </w:p>
    <w:p w14:paraId="76BFDA53" w14:textId="77777777" w:rsidR="005134C9" w:rsidRDefault="005134C9" w:rsidP="005134C9">
      <w:pPr>
        <w:pStyle w:val="Textonotapie"/>
        <w:ind w:firstLine="708"/>
        <w:jc w:val="both"/>
        <w:rPr>
          <w:rFonts w:ascii="Arial" w:hAnsi="Arial" w:cs="Arial"/>
          <w:color w:val="000000" w:themeColor="text1"/>
          <w:sz w:val="18"/>
          <w:szCs w:val="18"/>
          <w:lang w:val="es-ES"/>
        </w:rPr>
      </w:pPr>
    </w:p>
  </w:footnote>
  <w:footnote w:id="9">
    <w:p w14:paraId="3927A3C7" w14:textId="77777777" w:rsidR="005134C9" w:rsidRDefault="005134C9" w:rsidP="005134C9">
      <w:pPr>
        <w:pStyle w:val="Textonotapie"/>
        <w:ind w:firstLine="708"/>
        <w:jc w:val="both"/>
        <w:rPr>
          <w:rFonts w:ascii="Arial" w:hAnsi="Arial" w:cs="Arial"/>
          <w:color w:val="000000" w:themeColor="text1"/>
          <w:sz w:val="18"/>
          <w:szCs w:val="18"/>
          <w:lang w:val="es-CO"/>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w:t>
      </w:r>
      <w:r>
        <w:rPr>
          <w:rFonts w:ascii="Arial" w:hAnsi="Arial" w:cs="Arial"/>
          <w:color w:val="000000" w:themeColor="text1"/>
          <w:sz w:val="18"/>
          <w:szCs w:val="18"/>
          <w:lang w:val="es-CO"/>
        </w:rPr>
        <w:t xml:space="preserve">«Artículo 2o. De la definición de entidades, servidores y servicios públicos. Para los solos efectos de esta ley: </w:t>
      </w:r>
    </w:p>
    <w:p w14:paraId="40C2EC6C" w14:textId="77777777" w:rsidR="005134C9" w:rsidRDefault="005134C9" w:rsidP="005134C9">
      <w:pPr>
        <w:pStyle w:val="Textonotapie"/>
        <w:ind w:firstLine="708"/>
        <w:jc w:val="both"/>
        <w:rPr>
          <w:rFonts w:ascii="Arial" w:hAnsi="Arial" w:cs="Arial"/>
          <w:color w:val="000000" w:themeColor="text1"/>
          <w:sz w:val="18"/>
          <w:szCs w:val="18"/>
          <w:lang w:val="es-CO"/>
        </w:rPr>
      </w:pPr>
      <w:r>
        <w:rPr>
          <w:rFonts w:ascii="Arial" w:hAnsi="Arial" w:cs="Arial"/>
          <w:color w:val="000000" w:themeColor="text1"/>
          <w:sz w:val="18"/>
          <w:szCs w:val="18"/>
          <w:lang w:val="es-CO"/>
        </w:rPr>
        <w:t xml:space="preserve">» 1o. Se denominan entidades estatales: </w:t>
      </w:r>
    </w:p>
    <w:p w14:paraId="10F4D0FD" w14:textId="77777777" w:rsidR="005134C9" w:rsidRDefault="005134C9" w:rsidP="005134C9">
      <w:pPr>
        <w:pStyle w:val="Textonotapie"/>
        <w:ind w:firstLine="708"/>
        <w:jc w:val="both"/>
        <w:rPr>
          <w:rFonts w:ascii="Arial" w:hAnsi="Arial" w:cs="Arial"/>
          <w:color w:val="000000" w:themeColor="text1"/>
          <w:sz w:val="18"/>
          <w:szCs w:val="18"/>
          <w:lang w:val="es-CO"/>
        </w:rPr>
      </w:pPr>
      <w:r>
        <w:rPr>
          <w:rFonts w:ascii="Arial" w:hAnsi="Arial" w:cs="Arial"/>
          <w:color w:val="000000" w:themeColor="text1"/>
          <w:sz w:val="18"/>
          <w:szCs w:val="18"/>
          <w:lang w:val="es-CO"/>
        </w:rPr>
        <w:t>»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p>
  </w:footnote>
  <w:footnote w:id="10">
    <w:p w14:paraId="795966D2"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75CA9087"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1">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12">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3">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4">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38438782" w14:textId="5C60C233" w:rsidR="00107E4D" w:rsidRPr="00851936" w:rsidRDefault="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15">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r w:rsidRPr="00851936">
        <w:rPr>
          <w:rFonts w:ascii="Arial" w:hAnsi="Arial" w:cs="Arial"/>
          <w:color w:val="000000" w:themeColor="text1"/>
          <w:sz w:val="19"/>
          <w:szCs w:val="19"/>
          <w:lang w:val="es-ES" w:eastAsia="es-ES"/>
        </w:rPr>
        <w:t xml:space="preserve">orte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6">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11F1FFC" w14:textId="07070C60" w:rsidR="00107E4D" w:rsidRPr="00851936" w:rsidRDefault="00107E4D" w:rsidP="009B3335">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7">
    <w:p w14:paraId="421ABD5B"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14:paraId="16DF3419" w14:textId="77777777" w:rsidR="00107E4D" w:rsidRPr="00851936" w:rsidRDefault="00107E4D" w:rsidP="00107E4D">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8">
    <w:p w14:paraId="1587B8A2"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2C2E609" w14:textId="77777777" w:rsidR="00D12042" w:rsidRPr="00851936" w:rsidRDefault="00D12042" w:rsidP="00D12042">
      <w:pPr>
        <w:pStyle w:val="Textonotapie"/>
        <w:ind w:firstLine="708"/>
        <w:rPr>
          <w:rFonts w:ascii="Arial" w:hAnsi="Arial" w:cs="Arial"/>
          <w:sz w:val="19"/>
          <w:szCs w:val="19"/>
          <w:lang w:val="es-CO"/>
        </w:rPr>
      </w:pPr>
    </w:p>
  </w:footnote>
  <w:footnote w:id="19">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20">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6E75EA69"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CAEA120" w14:textId="77777777" w:rsidR="00D12042" w:rsidRPr="00851936" w:rsidRDefault="00D12042" w:rsidP="00D12042">
      <w:pPr>
        <w:pStyle w:val="Textonotapie"/>
        <w:ind w:right="49"/>
        <w:jc w:val="both"/>
        <w:rPr>
          <w:rFonts w:ascii="Arial" w:hAnsi="Arial" w:cs="Arial"/>
          <w:color w:val="000000" w:themeColor="text1"/>
          <w:sz w:val="19"/>
          <w:szCs w:val="19"/>
        </w:rPr>
      </w:pPr>
    </w:p>
  </w:footnote>
  <w:footnote w:id="21">
    <w:p w14:paraId="3FB44444" w14:textId="34727D4B" w:rsidR="00D12042" w:rsidRPr="00851936" w:rsidRDefault="00D12042" w:rsidP="00950C49">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 w:id="22">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23">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24">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6ECFD18D" w14:textId="273D657D" w:rsidR="00D12042" w:rsidRPr="00851936" w:rsidRDefault="00D12042">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25">
    <w:p w14:paraId="628B583E" w14:textId="796B2B92" w:rsidR="00D12042" w:rsidRPr="00851936" w:rsidRDefault="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footnote>
  <w:footnote w:id="26">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7">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F53F6A3" w14:textId="1F7384F7" w:rsidR="00D12042" w:rsidRPr="00851936" w:rsidRDefault="00D12042" w:rsidP="009B3335">
      <w:pPr>
        <w:jc w:val="both"/>
        <w:rPr>
          <w:lang w:val="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footnote>
  <w:footnote w:id="28">
    <w:p w14:paraId="43299877"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DCAF17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»A partir del año siguiente, el Plan de Acción deberá estar acompañado del informe de gestión del año inmediatamente anterior. </w:t>
      </w:r>
    </w:p>
    <w:p w14:paraId="5D9EFD3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»Igualmente publicarán por dicho medio su presupuesto debidamente desagregado, así como las modificaciones a este o a su desagregación. </w:t>
      </w:r>
    </w:p>
    <w:p w14:paraId="3765C2CF"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»Parágrafo. Las empresas industriales y comerciales del Estado y las Sociedades de Economía Mixta estarán exentas de publicar la información relacionada con sus proyectos de inversión». </w:t>
      </w:r>
    </w:p>
    <w:p w14:paraId="55EF5B23" w14:textId="77777777" w:rsidR="00D12042" w:rsidRPr="00851936" w:rsidRDefault="00D12042" w:rsidP="00D12042">
      <w:pPr>
        <w:pStyle w:val="Textonotapie"/>
        <w:jc w:val="both"/>
        <w:rPr>
          <w:rFonts w:ascii="Arial" w:hAnsi="Arial" w:cs="Arial"/>
          <w:color w:val="000000" w:themeColor="text1"/>
          <w:sz w:val="19"/>
          <w:szCs w:val="19"/>
          <w:lang w:val="es-CO"/>
        </w:rPr>
      </w:pPr>
    </w:p>
  </w:footnote>
  <w:footnote w:id="29">
    <w:p w14:paraId="5A8822AF"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30">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31">
    <w:p w14:paraId="4155560E" w14:textId="1E28B457" w:rsidR="00D12042" w:rsidRDefault="00D12042" w:rsidP="009B3335">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1A9B304B" w14:textId="77777777" w:rsidR="00E31E01" w:rsidRPr="00851936" w:rsidRDefault="00E31E01" w:rsidP="009B3335">
      <w:pPr>
        <w:pStyle w:val="Textonotapie"/>
        <w:ind w:firstLine="708"/>
        <w:jc w:val="both"/>
        <w:rPr>
          <w:rFonts w:ascii="Arial" w:hAnsi="Arial" w:cs="Arial"/>
          <w:sz w:val="19"/>
          <w:szCs w:val="19"/>
          <w:lang w:val="es-CO"/>
        </w:rPr>
      </w:pPr>
    </w:p>
  </w:footnote>
  <w:footnote w:id="32">
    <w:p w14:paraId="01D31BE0"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1AE10A1D"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33">
    <w:p w14:paraId="464DB4AF"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34">
    <w:p w14:paraId="3591D264" w14:textId="1C5A25CD" w:rsidR="008242C7" w:rsidRPr="008242C7" w:rsidRDefault="008242C7" w:rsidP="008242C7">
      <w:pPr>
        <w:pStyle w:val="Textonotapie"/>
        <w:ind w:firstLine="708"/>
        <w:jc w:val="both"/>
        <w:rPr>
          <w:rFonts w:ascii="Arial" w:hAnsi="Arial" w:cs="Arial"/>
          <w:sz w:val="19"/>
          <w:szCs w:val="19"/>
        </w:rPr>
      </w:pPr>
      <w:r w:rsidRPr="008242C7">
        <w:rPr>
          <w:rStyle w:val="Refdenotaalpie"/>
          <w:rFonts w:ascii="Arial" w:hAnsi="Arial" w:cs="Arial"/>
          <w:sz w:val="19"/>
          <w:szCs w:val="19"/>
        </w:rPr>
        <w:footnoteRef/>
      </w:r>
      <w:r w:rsidRPr="008242C7">
        <w:rPr>
          <w:rFonts w:ascii="Arial" w:hAnsi="Arial" w:cs="Arial"/>
          <w:sz w:val="19"/>
          <w:szCs w:val="19"/>
        </w:rPr>
        <w:t xml:space="preserve"> Ley 1437 de 2011 «Artículo 36. Formación y examen de expedientes. Los documentos y diligencias relacionados con una misma actuación se organizarán en un solo expediente, al cual se acumularán, con el fin de evitar decisiones contradictorias, de oficio o a petición de interesado, cualesquiera otros que se tramiten ante la misma autoridad.</w:t>
      </w:r>
    </w:p>
    <w:p w14:paraId="7BB560B4" w14:textId="3213851E" w:rsidR="008242C7" w:rsidRPr="008242C7" w:rsidRDefault="008242C7" w:rsidP="008242C7">
      <w:pPr>
        <w:pStyle w:val="Textonotapie"/>
        <w:ind w:firstLine="708"/>
        <w:jc w:val="both"/>
        <w:rPr>
          <w:rFonts w:ascii="Arial" w:hAnsi="Arial" w:cs="Arial"/>
          <w:sz w:val="19"/>
          <w:szCs w:val="19"/>
        </w:rPr>
      </w:pPr>
      <w:r w:rsidRPr="008242C7">
        <w:rPr>
          <w:rFonts w:ascii="Arial" w:hAnsi="Arial" w:cs="Arial"/>
          <w:sz w:val="19"/>
          <w:szCs w:val="19"/>
        </w:rPr>
        <w:t>»Si las actuaciones se tramitaren ante distintas autoridades, la acumulación se hará en la entidad u organismo donde se realizó la primera actuación. Si alguna de ellas se opone a la acumulación, podrá acudirse, sin más trámite, al mecanismo de definición de competencias administrativas.</w:t>
      </w:r>
    </w:p>
    <w:p w14:paraId="0FFBB893" w14:textId="5421DC76" w:rsidR="008242C7" w:rsidRPr="008242C7" w:rsidRDefault="008242C7" w:rsidP="008242C7">
      <w:pPr>
        <w:pStyle w:val="Textonotapie"/>
        <w:ind w:firstLine="708"/>
        <w:jc w:val="both"/>
        <w:rPr>
          <w:rFonts w:ascii="Arial" w:hAnsi="Arial" w:cs="Arial"/>
          <w:sz w:val="19"/>
          <w:szCs w:val="19"/>
        </w:rPr>
      </w:pPr>
      <w:r w:rsidRPr="008242C7">
        <w:rPr>
          <w:rFonts w:ascii="Arial" w:hAnsi="Arial" w:cs="Arial"/>
          <w:sz w:val="19"/>
          <w:szCs w:val="19"/>
        </w:rPr>
        <w:t>»Con los documentos que por mandato de la Constitución Política o de la ley tengan el carácter de reservados y obren dentro de un expediente, se hará cuaderno separado.</w:t>
      </w:r>
    </w:p>
    <w:p w14:paraId="530E0181" w14:textId="457F881D" w:rsidR="008242C7" w:rsidRPr="008242C7" w:rsidRDefault="008242C7" w:rsidP="008242C7">
      <w:pPr>
        <w:pStyle w:val="Textonotapie"/>
        <w:ind w:firstLine="708"/>
        <w:jc w:val="both"/>
        <w:rPr>
          <w:rFonts w:ascii="Arial" w:hAnsi="Arial" w:cs="Arial"/>
          <w:sz w:val="19"/>
          <w:szCs w:val="19"/>
        </w:rPr>
      </w:pPr>
      <w:r w:rsidRPr="008242C7">
        <w:rPr>
          <w:rFonts w:ascii="Arial" w:hAnsi="Arial" w:cs="Arial"/>
          <w:sz w:val="19"/>
          <w:szCs w:val="19"/>
        </w:rPr>
        <w:t>»Cualquier persona tendrá derecho a examinar los expedientes en el estado en que se encuentren, salvo los documentos o cuadernos sujetos a reserva y a obtener copias y certificaciones sobre los mismos, las cuales se entregarán en los plazos señalados en el artículo 14».</w:t>
      </w:r>
    </w:p>
    <w:p w14:paraId="45DBBFF8" w14:textId="77777777" w:rsidR="008242C7" w:rsidRPr="008242C7" w:rsidRDefault="008242C7" w:rsidP="008242C7">
      <w:pPr>
        <w:pStyle w:val="Textonotapie"/>
        <w:rPr>
          <w:lang w:val="es-CO"/>
        </w:rPr>
      </w:pPr>
    </w:p>
  </w:footnote>
  <w:footnote w:id="35">
    <w:p w14:paraId="5F5DC58F" w14:textId="54CDD268" w:rsidR="007D52CB" w:rsidRPr="00851936" w:rsidRDefault="00D12042" w:rsidP="00D12042">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71335E4" w14:textId="77777777" w:rsidR="00D12042" w:rsidRPr="00851936" w:rsidRDefault="00D12042" w:rsidP="009B3335">
      <w:pPr>
        <w:pStyle w:val="Textonotapie"/>
        <w:ind w:firstLine="708"/>
        <w:jc w:val="both"/>
        <w:rPr>
          <w:rFonts w:ascii="Arial" w:hAnsi="Arial" w:cs="Arial"/>
          <w:sz w:val="19"/>
          <w:szCs w:val="19"/>
        </w:rPr>
      </w:pPr>
    </w:p>
  </w:footnote>
  <w:footnote w:id="36">
    <w:p w14:paraId="599372AB" w14:textId="6E889B9E" w:rsidR="007D19CE" w:rsidRPr="007D19CE" w:rsidRDefault="007D19CE" w:rsidP="007D19CE">
      <w:pPr>
        <w:pStyle w:val="Textonotapie"/>
        <w:ind w:firstLine="708"/>
        <w:jc w:val="both"/>
        <w:rPr>
          <w:rFonts w:ascii="Arial" w:hAnsi="Arial" w:cs="Arial"/>
          <w:sz w:val="19"/>
          <w:szCs w:val="19"/>
          <w:lang w:val="es-CO"/>
        </w:rPr>
      </w:pPr>
      <w:r w:rsidRPr="007D19CE">
        <w:rPr>
          <w:rStyle w:val="Refdenotaalpie"/>
          <w:rFonts w:ascii="Arial" w:hAnsi="Arial" w:cs="Arial"/>
          <w:sz w:val="19"/>
          <w:szCs w:val="19"/>
        </w:rPr>
        <w:footnoteRef/>
      </w:r>
      <w:r w:rsidRPr="007D19CE">
        <w:rPr>
          <w:rFonts w:ascii="Arial" w:hAnsi="Arial" w:cs="Arial"/>
          <w:sz w:val="19"/>
          <w:szCs w:val="19"/>
        </w:rPr>
        <w:t xml:space="preserve"> </w:t>
      </w:r>
      <w:r w:rsidRPr="007D19CE">
        <w:rPr>
          <w:rFonts w:ascii="Arial" w:hAnsi="Arial" w:cs="Arial"/>
          <w:sz w:val="19"/>
          <w:szCs w:val="19"/>
          <w:lang w:val="es-CO"/>
        </w:rPr>
        <w:t xml:space="preserve">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 </w:t>
      </w:r>
    </w:p>
    <w:p w14:paraId="6E54D293" w14:textId="3CF84519" w:rsidR="007D19CE" w:rsidRPr="007D19CE" w:rsidRDefault="007D19CE" w:rsidP="008242C7">
      <w:pPr>
        <w:pStyle w:val="Textonotapie"/>
        <w:ind w:firstLine="708"/>
        <w:jc w:val="both"/>
        <w:rPr>
          <w:rFonts w:ascii="Arial" w:hAnsi="Arial" w:cs="Arial"/>
          <w:sz w:val="19"/>
          <w:szCs w:val="19"/>
          <w:lang w:val="es-CO"/>
        </w:rPr>
      </w:pPr>
      <w:r w:rsidRPr="007D19CE">
        <w:rPr>
          <w:rFonts w:ascii="Arial" w:hAnsi="Arial" w:cs="Arial"/>
          <w:sz w:val="19"/>
          <w:szCs w:val="19"/>
          <w:lang w:val="es-CO"/>
        </w:rPr>
        <w:t xml:space="preserve">»Cuando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347FD9CC" w14:textId="62C41F75" w:rsidR="007D19CE" w:rsidRPr="007D19CE" w:rsidRDefault="007D19CE" w:rsidP="007D19CE">
      <w:pPr>
        <w:pStyle w:val="Textonotapie"/>
        <w:ind w:firstLine="708"/>
        <w:jc w:val="both"/>
        <w:rPr>
          <w:lang w:val="es-CO"/>
        </w:rPr>
      </w:pPr>
      <w:r w:rsidRPr="007D19CE">
        <w:rPr>
          <w:rFonts w:ascii="Arial" w:hAnsi="Arial" w:cs="Arial"/>
          <w:sz w:val="19"/>
          <w:szCs w:val="19"/>
          <w:lang w:val="es-CO"/>
        </w:rPr>
        <w:t>»En la subasta inversa esta disposición es aplicable sobre el precio obtenido al final de la misma».</w:t>
      </w:r>
    </w:p>
  </w:footnote>
  <w:footnote w:id="37">
    <w:p w14:paraId="2A11D42C" w14:textId="5DD42226" w:rsidR="004F49DA" w:rsidRPr="001348F1" w:rsidRDefault="004F49DA" w:rsidP="001348F1">
      <w:pPr>
        <w:pStyle w:val="Textonotapie"/>
        <w:ind w:firstLine="708"/>
        <w:jc w:val="both"/>
        <w:rPr>
          <w:rFonts w:ascii="Arial" w:hAnsi="Arial" w:cs="Arial"/>
          <w:sz w:val="19"/>
          <w:szCs w:val="19"/>
          <w:lang w:val="es-CO"/>
        </w:rPr>
      </w:pPr>
      <w:r w:rsidRPr="001348F1">
        <w:rPr>
          <w:rStyle w:val="Refdenotaalpie"/>
          <w:rFonts w:ascii="Arial" w:hAnsi="Arial" w:cs="Arial"/>
          <w:sz w:val="19"/>
          <w:szCs w:val="19"/>
        </w:rPr>
        <w:footnoteRef/>
      </w:r>
      <w:r w:rsidRPr="001348F1">
        <w:rPr>
          <w:rFonts w:ascii="Arial" w:hAnsi="Arial" w:cs="Arial"/>
          <w:sz w:val="19"/>
          <w:szCs w:val="19"/>
        </w:rPr>
        <w:t xml:space="preserve"> </w:t>
      </w:r>
      <w:r w:rsidRPr="001348F1">
        <w:rPr>
          <w:rFonts w:ascii="Arial" w:hAnsi="Arial" w:cs="Arial"/>
          <w:sz w:val="19"/>
          <w:szCs w:val="19"/>
          <w:lang w:val="es-CO"/>
        </w:rPr>
        <w:t xml:space="preserve">Ley 1712 de 2014 «Artículo 18. Información exceptuada por daño de derechos a personas naturales o jurídicas. Es toda aquella información pública clasificada, cuyo acceso podrá ser rechazado o denegado de manera motivada y por escrito, siempre que el acceso pudiere causar un daño a los siguientes derechos:  </w:t>
      </w:r>
    </w:p>
    <w:p w14:paraId="07138D3E" w14:textId="13DE879B" w:rsidR="004F49DA" w:rsidRPr="001348F1" w:rsidRDefault="001348F1" w:rsidP="001348F1">
      <w:pPr>
        <w:pStyle w:val="Textonotapie"/>
        <w:ind w:firstLine="708"/>
        <w:jc w:val="both"/>
        <w:rPr>
          <w:rFonts w:ascii="Arial" w:hAnsi="Arial" w:cs="Arial"/>
          <w:sz w:val="19"/>
          <w:szCs w:val="19"/>
          <w:lang w:val="es-CO"/>
        </w:rPr>
      </w:pPr>
      <w:r w:rsidRPr="001348F1">
        <w:rPr>
          <w:rFonts w:ascii="Arial" w:hAnsi="Arial" w:cs="Arial"/>
          <w:sz w:val="19"/>
          <w:szCs w:val="19"/>
          <w:lang w:val="es-CO"/>
        </w:rPr>
        <w:t>»</w:t>
      </w:r>
      <w:r w:rsidR="004F49DA" w:rsidRPr="001348F1">
        <w:rPr>
          <w:rFonts w:ascii="Arial" w:hAnsi="Arial" w:cs="Arial"/>
          <w:sz w:val="19"/>
          <w:szCs w:val="19"/>
          <w:lang w:val="es-CO"/>
        </w:rPr>
        <w:t xml:space="preserve">a) El derecho de toda persona a la intimidad, bajo las limitaciones propias que impone la condición de servidor público, en concordancia con lo estipulado por el artículo 24 de la Ley 1437 de 2011 </w:t>
      </w:r>
    </w:p>
    <w:p w14:paraId="2B87BF2C" w14:textId="5D4A88C4" w:rsidR="004F49DA" w:rsidRPr="001348F1" w:rsidRDefault="001348F1" w:rsidP="001348F1">
      <w:pPr>
        <w:pStyle w:val="Textonotapie"/>
        <w:ind w:firstLine="708"/>
        <w:jc w:val="both"/>
        <w:rPr>
          <w:rFonts w:ascii="Arial" w:hAnsi="Arial" w:cs="Arial"/>
          <w:sz w:val="19"/>
          <w:szCs w:val="19"/>
          <w:lang w:val="es-CO"/>
        </w:rPr>
      </w:pPr>
      <w:r w:rsidRPr="001348F1">
        <w:rPr>
          <w:rFonts w:ascii="Arial" w:hAnsi="Arial" w:cs="Arial"/>
          <w:sz w:val="19"/>
          <w:szCs w:val="19"/>
          <w:lang w:val="es-CO"/>
        </w:rPr>
        <w:t>»</w:t>
      </w:r>
      <w:r w:rsidR="004F49DA" w:rsidRPr="001348F1">
        <w:rPr>
          <w:rFonts w:ascii="Arial" w:hAnsi="Arial" w:cs="Arial"/>
          <w:sz w:val="19"/>
          <w:szCs w:val="19"/>
          <w:lang w:val="es-CO"/>
        </w:rPr>
        <w:t xml:space="preserve">b) El derecho de toda persona a la vida, la salud o la seguridad. </w:t>
      </w:r>
    </w:p>
    <w:p w14:paraId="60E5FD53" w14:textId="05C357AD" w:rsidR="004F49DA" w:rsidRPr="001348F1" w:rsidRDefault="001348F1" w:rsidP="001348F1">
      <w:pPr>
        <w:pStyle w:val="Textonotapie"/>
        <w:ind w:firstLine="708"/>
        <w:jc w:val="both"/>
        <w:rPr>
          <w:rFonts w:ascii="Arial" w:hAnsi="Arial" w:cs="Arial"/>
          <w:sz w:val="19"/>
          <w:szCs w:val="19"/>
          <w:lang w:val="es-CO"/>
        </w:rPr>
      </w:pPr>
      <w:r w:rsidRPr="001348F1">
        <w:rPr>
          <w:rFonts w:ascii="Arial" w:hAnsi="Arial" w:cs="Arial"/>
          <w:sz w:val="19"/>
          <w:szCs w:val="19"/>
          <w:lang w:val="es-CO"/>
        </w:rPr>
        <w:t>»</w:t>
      </w:r>
      <w:r w:rsidR="004F49DA" w:rsidRPr="001348F1">
        <w:rPr>
          <w:rFonts w:ascii="Arial" w:hAnsi="Arial" w:cs="Arial"/>
          <w:sz w:val="19"/>
          <w:szCs w:val="19"/>
          <w:lang w:val="es-CO"/>
        </w:rPr>
        <w:t xml:space="preserve">c) Los secretos comerciales, industriales y profesionales. </w:t>
      </w:r>
    </w:p>
    <w:p w14:paraId="1A1A24AF" w14:textId="77AF906C" w:rsidR="004F49DA" w:rsidRPr="004F49DA" w:rsidRDefault="001348F1" w:rsidP="001348F1">
      <w:pPr>
        <w:pStyle w:val="Textonotapie"/>
        <w:ind w:firstLine="708"/>
        <w:jc w:val="both"/>
        <w:rPr>
          <w:lang w:val="es-CO"/>
        </w:rPr>
      </w:pPr>
      <w:r w:rsidRPr="001348F1">
        <w:rPr>
          <w:rFonts w:ascii="Arial" w:hAnsi="Arial" w:cs="Arial"/>
          <w:sz w:val="19"/>
          <w:szCs w:val="19"/>
          <w:lang w:val="es-CO"/>
        </w:rPr>
        <w:t>»</w:t>
      </w:r>
      <w:r w:rsidR="004F49DA" w:rsidRPr="001348F1">
        <w:rPr>
          <w:rFonts w:ascii="Arial" w:hAnsi="Arial" w:cs="Arial"/>
          <w:sz w:val="19"/>
          <w:szCs w:val="19"/>
          <w:lang w:val="es-CO"/>
        </w:rPr>
        <w:t>Parágrafo. 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w:t>
      </w:r>
      <w:r w:rsidRPr="001348F1">
        <w:rPr>
          <w:rFonts w:ascii="Arial" w:hAnsi="Arial" w:cs="Arial"/>
          <w:sz w:val="19"/>
          <w:szCs w:val="19"/>
          <w:lang w:val="es-CO"/>
        </w:rPr>
        <w:t>»</w:t>
      </w:r>
      <w:r w:rsidR="004F49DA" w:rsidRPr="001348F1">
        <w:rPr>
          <w:rFonts w:ascii="Arial" w:hAnsi="Arial" w:cs="Arial"/>
          <w:sz w:val="19"/>
          <w:szCs w:val="19"/>
          <w:lang w:val="es-CO"/>
        </w:rPr>
        <w:t>.</w:t>
      </w:r>
    </w:p>
  </w:footnote>
  <w:footnote w:id="38">
    <w:p w14:paraId="719E0DBF" w14:textId="77777777" w:rsidR="0077764F" w:rsidRPr="00851936" w:rsidRDefault="0077764F" w:rsidP="0077764F">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57825D75" w14:textId="77777777" w:rsidR="0077764F" w:rsidRPr="00851936" w:rsidRDefault="0077764F" w:rsidP="0077764F">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1E291F" w:rsidRDefault="001E291F">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1E291F" w:rsidRDefault="001E2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16B719D7"/>
    <w:multiLevelType w:val="hybridMultilevel"/>
    <w:tmpl w:val="F7C62A52"/>
    <w:lvl w:ilvl="0" w:tplc="7220B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9"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6"/>
  </w:num>
  <w:num w:numId="2">
    <w:abstractNumId w:val="5"/>
  </w:num>
  <w:num w:numId="3">
    <w:abstractNumId w:val="10"/>
  </w:num>
  <w:num w:numId="4">
    <w:abstractNumId w:val="11"/>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9"/>
  </w:num>
  <w:num w:numId="10">
    <w:abstractNumId w:val="2"/>
  </w:num>
  <w:num w:numId="11">
    <w:abstractNumId w:val="7"/>
  </w:num>
  <w:num w:numId="12">
    <w:abstractNumId w:val="17"/>
  </w:num>
  <w:num w:numId="13">
    <w:abstractNumId w:val="9"/>
  </w:num>
  <w:num w:numId="14">
    <w:abstractNumId w:val="14"/>
  </w:num>
  <w:num w:numId="15">
    <w:abstractNumId w:val="18"/>
  </w:num>
  <w:num w:numId="16">
    <w:abstractNumId w:val="3"/>
  </w:num>
  <w:num w:numId="17">
    <w:abstractNumId w:val="13"/>
  </w:num>
  <w:num w:numId="1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4AE1"/>
    <w:rsid w:val="00035138"/>
    <w:rsid w:val="00035494"/>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698"/>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3A"/>
    <w:rsid w:val="000C739C"/>
    <w:rsid w:val="000C73C7"/>
    <w:rsid w:val="000C7A3B"/>
    <w:rsid w:val="000D0ACC"/>
    <w:rsid w:val="000D12B9"/>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02D"/>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8F1"/>
    <w:rsid w:val="00134F34"/>
    <w:rsid w:val="0013525C"/>
    <w:rsid w:val="0013543D"/>
    <w:rsid w:val="001356ED"/>
    <w:rsid w:val="0013612A"/>
    <w:rsid w:val="00137A10"/>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986"/>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41C"/>
    <w:rsid w:val="001A650A"/>
    <w:rsid w:val="001A6CA1"/>
    <w:rsid w:val="001A7116"/>
    <w:rsid w:val="001B0444"/>
    <w:rsid w:val="001B0B4F"/>
    <w:rsid w:val="001B1203"/>
    <w:rsid w:val="001B2288"/>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1F0"/>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128F"/>
    <w:rsid w:val="00312877"/>
    <w:rsid w:val="00313382"/>
    <w:rsid w:val="003138FF"/>
    <w:rsid w:val="0031396A"/>
    <w:rsid w:val="00313A60"/>
    <w:rsid w:val="003144A3"/>
    <w:rsid w:val="00317691"/>
    <w:rsid w:val="0031783A"/>
    <w:rsid w:val="0032017B"/>
    <w:rsid w:val="003204D3"/>
    <w:rsid w:val="00320603"/>
    <w:rsid w:val="0032206C"/>
    <w:rsid w:val="00322271"/>
    <w:rsid w:val="00322937"/>
    <w:rsid w:val="00322BA2"/>
    <w:rsid w:val="0032311F"/>
    <w:rsid w:val="0032519A"/>
    <w:rsid w:val="003252D8"/>
    <w:rsid w:val="003259F0"/>
    <w:rsid w:val="00325A3A"/>
    <w:rsid w:val="00327B71"/>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4C"/>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3FC5"/>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8D9"/>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122"/>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1F63"/>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49DA"/>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4C9"/>
    <w:rsid w:val="00513A64"/>
    <w:rsid w:val="00513AF2"/>
    <w:rsid w:val="00514118"/>
    <w:rsid w:val="00514281"/>
    <w:rsid w:val="0051450C"/>
    <w:rsid w:val="005148D7"/>
    <w:rsid w:val="005158B4"/>
    <w:rsid w:val="0051637C"/>
    <w:rsid w:val="005174FC"/>
    <w:rsid w:val="00517B77"/>
    <w:rsid w:val="00520096"/>
    <w:rsid w:val="00520B7C"/>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2547"/>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567"/>
    <w:rsid w:val="00571FD6"/>
    <w:rsid w:val="00572591"/>
    <w:rsid w:val="005728F1"/>
    <w:rsid w:val="00572C3A"/>
    <w:rsid w:val="00572F5F"/>
    <w:rsid w:val="00573D5D"/>
    <w:rsid w:val="00574143"/>
    <w:rsid w:val="00574BA4"/>
    <w:rsid w:val="00574E90"/>
    <w:rsid w:val="005756AA"/>
    <w:rsid w:val="005763C1"/>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1C9"/>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546"/>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347"/>
    <w:rsid w:val="00650FDB"/>
    <w:rsid w:val="0065118A"/>
    <w:rsid w:val="0065154D"/>
    <w:rsid w:val="00651659"/>
    <w:rsid w:val="00654AD5"/>
    <w:rsid w:val="00655371"/>
    <w:rsid w:val="00655552"/>
    <w:rsid w:val="00656997"/>
    <w:rsid w:val="00656BD3"/>
    <w:rsid w:val="00656C7D"/>
    <w:rsid w:val="00660450"/>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9776B"/>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883"/>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532A"/>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7764F"/>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19CE"/>
    <w:rsid w:val="007D2D49"/>
    <w:rsid w:val="007D2E15"/>
    <w:rsid w:val="007D2FC7"/>
    <w:rsid w:val="007D319C"/>
    <w:rsid w:val="007D52CB"/>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2C7"/>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2EFF"/>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371"/>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3F2A"/>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ACF"/>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73B"/>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6CF1"/>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0C49"/>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5BB5"/>
    <w:rsid w:val="009865B6"/>
    <w:rsid w:val="0098671F"/>
    <w:rsid w:val="00987147"/>
    <w:rsid w:val="00987301"/>
    <w:rsid w:val="00990126"/>
    <w:rsid w:val="00990AEE"/>
    <w:rsid w:val="00990BFE"/>
    <w:rsid w:val="009910EF"/>
    <w:rsid w:val="009916DA"/>
    <w:rsid w:val="00992F84"/>
    <w:rsid w:val="00993FD7"/>
    <w:rsid w:val="00994553"/>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3335"/>
    <w:rsid w:val="009B4380"/>
    <w:rsid w:val="009B52BF"/>
    <w:rsid w:val="009B7F9B"/>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A37"/>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565"/>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299B"/>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3A4"/>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3F1"/>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C16"/>
    <w:rsid w:val="00B80451"/>
    <w:rsid w:val="00B80B50"/>
    <w:rsid w:val="00B8158A"/>
    <w:rsid w:val="00B822A7"/>
    <w:rsid w:val="00B85762"/>
    <w:rsid w:val="00B8638A"/>
    <w:rsid w:val="00B8652C"/>
    <w:rsid w:val="00B87D98"/>
    <w:rsid w:val="00B9068D"/>
    <w:rsid w:val="00B90BE1"/>
    <w:rsid w:val="00B91B8E"/>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3000"/>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5A3"/>
    <w:rsid w:val="00C43CE3"/>
    <w:rsid w:val="00C45E88"/>
    <w:rsid w:val="00C47864"/>
    <w:rsid w:val="00C47AAC"/>
    <w:rsid w:val="00C500EE"/>
    <w:rsid w:val="00C50145"/>
    <w:rsid w:val="00C53019"/>
    <w:rsid w:val="00C53A37"/>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1E66"/>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4478"/>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1FA"/>
    <w:rsid w:val="00D46FBE"/>
    <w:rsid w:val="00D514F0"/>
    <w:rsid w:val="00D55DB3"/>
    <w:rsid w:val="00D56875"/>
    <w:rsid w:val="00D5776B"/>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475C"/>
    <w:rsid w:val="00D7509A"/>
    <w:rsid w:val="00D762D6"/>
    <w:rsid w:val="00D77217"/>
    <w:rsid w:val="00D77451"/>
    <w:rsid w:val="00D777BB"/>
    <w:rsid w:val="00D82C7C"/>
    <w:rsid w:val="00D82CE5"/>
    <w:rsid w:val="00D83799"/>
    <w:rsid w:val="00D83F17"/>
    <w:rsid w:val="00D850E6"/>
    <w:rsid w:val="00D861D6"/>
    <w:rsid w:val="00D86DC5"/>
    <w:rsid w:val="00D87B43"/>
    <w:rsid w:val="00D9148F"/>
    <w:rsid w:val="00D92BBB"/>
    <w:rsid w:val="00D941AA"/>
    <w:rsid w:val="00D944DD"/>
    <w:rsid w:val="00D960C0"/>
    <w:rsid w:val="00D97434"/>
    <w:rsid w:val="00DA0BD3"/>
    <w:rsid w:val="00DA1356"/>
    <w:rsid w:val="00DA18BE"/>
    <w:rsid w:val="00DA1D25"/>
    <w:rsid w:val="00DA218C"/>
    <w:rsid w:val="00DA2A01"/>
    <w:rsid w:val="00DA2B3E"/>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106"/>
    <w:rsid w:val="00DF35ED"/>
    <w:rsid w:val="00DF3701"/>
    <w:rsid w:val="00DF395B"/>
    <w:rsid w:val="00DF5138"/>
    <w:rsid w:val="00DF59D7"/>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6F2"/>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1E01"/>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283"/>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174C"/>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3E6E"/>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238"/>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069"/>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8292174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561259137">
      <w:bodyDiv w:val="1"/>
      <w:marLeft w:val="0"/>
      <w:marRight w:val="0"/>
      <w:marTop w:val="0"/>
      <w:marBottom w:val="0"/>
      <w:divBdr>
        <w:top w:val="none" w:sz="0" w:space="0" w:color="auto"/>
        <w:left w:val="none" w:sz="0" w:space="0" w:color="auto"/>
        <w:bottom w:val="none" w:sz="0" w:space="0" w:color="auto"/>
        <w:right w:val="none" w:sz="0" w:space="0" w:color="auto"/>
      </w:divBdr>
    </w:div>
    <w:div w:id="596520694">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2975339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804">
      <w:bodyDiv w:val="1"/>
      <w:marLeft w:val="0"/>
      <w:marRight w:val="0"/>
      <w:marTop w:val="0"/>
      <w:marBottom w:val="0"/>
      <w:divBdr>
        <w:top w:val="none" w:sz="0" w:space="0" w:color="auto"/>
        <w:left w:val="none" w:sz="0" w:space="0" w:color="auto"/>
        <w:bottom w:val="none" w:sz="0" w:space="0" w:color="auto"/>
        <w:right w:val="none" w:sz="0" w:space="0" w:color="auto"/>
      </w:divBdr>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08307252">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37013707">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39469925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07356194">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46305563">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2596F-8EEC-FC41-8476-B6209923A44E}">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10150</Words>
  <Characters>55828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Alejandro Sarmiento</cp:lastModifiedBy>
  <cp:revision>2</cp:revision>
  <cp:lastPrinted>2020-01-30T15:05:00Z</cp:lastPrinted>
  <dcterms:created xsi:type="dcterms:W3CDTF">2020-08-27T21:49:00Z</dcterms:created>
  <dcterms:modified xsi:type="dcterms:W3CDTF">2020-08-27T21:49:00Z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