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348AF" w14:textId="77777777" w:rsidR="00483977" w:rsidRPr="00DC5CAD" w:rsidRDefault="00483977" w:rsidP="00483977">
      <w:pPr>
        <w:jc w:val="right"/>
        <w:rPr>
          <w:rFonts w:ascii="Arial" w:hAnsi="Arial" w:cs="Arial"/>
          <w:b/>
          <w:sz w:val="16"/>
          <w:szCs w:val="16"/>
          <w:lang w:eastAsia="es-ES"/>
        </w:rPr>
      </w:pPr>
      <w:bookmarkStart w:id="0" w:name="_Hlk34041509"/>
      <w:bookmarkStart w:id="1" w:name="_Hlk28946138"/>
      <w:bookmarkStart w:id="2" w:name="_Hlk29548183"/>
      <w:bookmarkEnd w:id="0"/>
      <w:r w:rsidRPr="00DC5CAD">
        <w:rPr>
          <w:rFonts w:ascii="Arial" w:hAnsi="Arial" w:cs="Arial"/>
          <w:b/>
          <w:sz w:val="16"/>
          <w:szCs w:val="16"/>
          <w:lang w:eastAsia="es-ES"/>
        </w:rPr>
        <w:t>CCE-DES-FM-17</w:t>
      </w:r>
    </w:p>
    <w:p w14:paraId="02373C66" w14:textId="77777777" w:rsidR="00FB1E56" w:rsidRPr="00DC5CAD" w:rsidRDefault="00FB1E56" w:rsidP="00FB1E56">
      <w:pPr>
        <w:jc w:val="both"/>
        <w:rPr>
          <w:rFonts w:ascii="Arial" w:hAnsi="Arial" w:cs="Arial"/>
          <w:b/>
          <w:sz w:val="22"/>
        </w:rPr>
      </w:pPr>
    </w:p>
    <w:p w14:paraId="4AD714B9" w14:textId="6395BB17" w:rsidR="00FB1E56" w:rsidRPr="00DC5CAD" w:rsidRDefault="00FB1E56" w:rsidP="00FB1E56">
      <w:pPr>
        <w:jc w:val="both"/>
        <w:rPr>
          <w:rFonts w:ascii="Arial" w:hAnsi="Arial" w:cs="Arial"/>
          <w:sz w:val="22"/>
        </w:rPr>
      </w:pPr>
      <w:r w:rsidRPr="00DC5CAD">
        <w:rPr>
          <w:rFonts w:ascii="Arial" w:hAnsi="Arial" w:cs="Arial"/>
          <w:b/>
          <w:sz w:val="22"/>
        </w:rPr>
        <w:t xml:space="preserve">EXPERIENCIA </w:t>
      </w:r>
      <w:r w:rsidRPr="00DC5CAD">
        <w:rPr>
          <w:rFonts w:ascii="Arial" w:eastAsia="Calibri" w:hAnsi="Arial" w:cs="Arial"/>
          <w:b/>
          <w:sz w:val="22"/>
        </w:rPr>
        <w:t>–</w:t>
      </w:r>
      <w:r w:rsidRPr="00DC5CAD">
        <w:rPr>
          <w:rFonts w:ascii="Arial" w:hAnsi="Arial" w:cs="Arial"/>
          <w:b/>
          <w:sz w:val="22"/>
        </w:rPr>
        <w:t xml:space="preserve"> Conservación </w:t>
      </w:r>
      <w:r w:rsidRPr="00DC5CAD">
        <w:rPr>
          <w:rFonts w:ascii="Arial" w:eastAsia="Calibri" w:hAnsi="Arial" w:cs="Arial"/>
          <w:b/>
          <w:sz w:val="22"/>
        </w:rPr>
        <w:t xml:space="preserve">– </w:t>
      </w:r>
      <w:r w:rsidRPr="00DC5CAD">
        <w:rPr>
          <w:rFonts w:ascii="Arial" w:hAnsi="Arial" w:cs="Arial"/>
          <w:b/>
          <w:sz w:val="22"/>
        </w:rPr>
        <w:t xml:space="preserve">Sociedades </w:t>
      </w:r>
      <w:r w:rsidRPr="00DC5CAD">
        <w:rPr>
          <w:rFonts w:ascii="Arial" w:eastAsia="Calibri" w:hAnsi="Arial" w:cs="Arial"/>
          <w:b/>
          <w:sz w:val="22"/>
        </w:rPr>
        <w:t>– M</w:t>
      </w:r>
      <w:r w:rsidRPr="00DC5CAD">
        <w:rPr>
          <w:rFonts w:ascii="Arial" w:hAnsi="Arial" w:cs="Arial"/>
          <w:b/>
          <w:sz w:val="22"/>
        </w:rPr>
        <w:t>enor a 3 años de constitución</w:t>
      </w:r>
      <w:r w:rsidRPr="00DC5CAD">
        <w:rPr>
          <w:rFonts w:ascii="Arial" w:hAnsi="Arial" w:cs="Arial"/>
          <w:sz w:val="21"/>
          <w:szCs w:val="21"/>
        </w:rPr>
        <w:t xml:space="preserve"> </w:t>
      </w:r>
    </w:p>
    <w:p w14:paraId="3842E3C9" w14:textId="77777777" w:rsidR="00FB1E56" w:rsidRPr="00DC5CAD" w:rsidRDefault="00FB1E56" w:rsidP="00FB1E56">
      <w:pPr>
        <w:jc w:val="both"/>
        <w:rPr>
          <w:rFonts w:ascii="Arial" w:hAnsi="Arial" w:cs="Arial"/>
          <w:sz w:val="20"/>
          <w:szCs w:val="20"/>
        </w:rPr>
      </w:pPr>
    </w:p>
    <w:p w14:paraId="7929630B" w14:textId="77777777" w:rsidR="00FB1E56" w:rsidRPr="00DC5CAD" w:rsidRDefault="00FB1E56" w:rsidP="00FB1E56">
      <w:pPr>
        <w:jc w:val="both"/>
        <w:rPr>
          <w:rFonts w:ascii="Arial" w:hAnsi="Arial" w:cs="Arial"/>
          <w:sz w:val="20"/>
          <w:szCs w:val="20"/>
        </w:rPr>
      </w:pPr>
      <w:r w:rsidRPr="00DC5CAD">
        <w:rPr>
          <w:rFonts w:ascii="Arial" w:hAnsi="Arial" w:cs="Arial"/>
          <w:sz w:val="20"/>
          <w:szCs w:val="20"/>
        </w:rPr>
        <w:t>[…]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43C992B5" w14:textId="77777777" w:rsidR="00FB1E56" w:rsidRPr="00DC5CAD" w:rsidRDefault="00FB1E56" w:rsidP="00FB1E56">
      <w:pPr>
        <w:jc w:val="both"/>
        <w:rPr>
          <w:rFonts w:ascii="Arial" w:hAnsi="Arial" w:cs="Arial"/>
          <w:sz w:val="20"/>
          <w:szCs w:val="20"/>
        </w:rPr>
      </w:pPr>
    </w:p>
    <w:p w14:paraId="2D29EBB0" w14:textId="13283ACE" w:rsidR="00D335E2" w:rsidRPr="00DC5CAD" w:rsidRDefault="00885322" w:rsidP="006A0F23">
      <w:pPr>
        <w:jc w:val="both"/>
        <w:rPr>
          <w:rFonts w:ascii="Arial" w:hAnsi="Arial" w:cs="Arial"/>
          <w:b/>
          <w:bCs/>
          <w:sz w:val="22"/>
        </w:rPr>
      </w:pPr>
      <w:r w:rsidRPr="00DC5CAD">
        <w:rPr>
          <w:rFonts w:ascii="Arial" w:hAnsi="Arial" w:cs="Arial"/>
          <w:b/>
          <w:bCs/>
          <w:sz w:val="22"/>
        </w:rPr>
        <w:t>EXPERIENCIA</w:t>
      </w:r>
      <w:r w:rsidR="004C0517" w:rsidRPr="00DC5CAD">
        <w:rPr>
          <w:rFonts w:ascii="Arial" w:hAnsi="Arial" w:cs="Arial"/>
          <w:b/>
          <w:bCs/>
          <w:sz w:val="22"/>
        </w:rPr>
        <w:t xml:space="preserve"> </w:t>
      </w:r>
      <w:bookmarkStart w:id="3" w:name="_Hlk39676694"/>
      <w:r w:rsidR="00236E03" w:rsidRPr="00DC5CAD">
        <w:rPr>
          <w:rFonts w:ascii="Arial" w:eastAsia="Calibri" w:hAnsi="Arial" w:cs="Arial"/>
          <w:b/>
          <w:sz w:val="22"/>
        </w:rPr>
        <w:t>–</w:t>
      </w:r>
      <w:bookmarkEnd w:id="3"/>
      <w:r w:rsidR="00236E03" w:rsidRPr="00DC5CAD">
        <w:rPr>
          <w:rFonts w:ascii="Arial" w:eastAsia="Calibri" w:hAnsi="Arial" w:cs="Arial"/>
          <w:b/>
          <w:sz w:val="22"/>
        </w:rPr>
        <w:t xml:space="preserve"> </w:t>
      </w:r>
      <w:r w:rsidR="0083017E" w:rsidRPr="00DC5CAD">
        <w:rPr>
          <w:rFonts w:ascii="Arial" w:eastAsia="Calibri" w:hAnsi="Arial" w:cs="Arial"/>
          <w:b/>
          <w:sz w:val="22"/>
        </w:rPr>
        <w:t xml:space="preserve">Concepto – </w:t>
      </w:r>
      <w:r w:rsidR="0083017E" w:rsidRPr="00DC5CAD">
        <w:rPr>
          <w:rFonts w:ascii="Arial" w:hAnsi="Arial" w:cs="Arial"/>
          <w:b/>
          <w:bCs/>
          <w:sz w:val="22"/>
        </w:rPr>
        <w:t>Colombia Compra Eficiente</w:t>
      </w:r>
    </w:p>
    <w:p w14:paraId="33D8AC86" w14:textId="77777777" w:rsidR="00D335E2" w:rsidRPr="00DC5CAD" w:rsidRDefault="00D335E2" w:rsidP="006A0F23">
      <w:pPr>
        <w:jc w:val="both"/>
        <w:rPr>
          <w:rFonts w:ascii="Arial" w:hAnsi="Arial" w:cs="Arial"/>
          <w:b/>
          <w:bCs/>
          <w:sz w:val="20"/>
          <w:szCs w:val="20"/>
          <w:highlight w:val="yellow"/>
        </w:rPr>
      </w:pPr>
    </w:p>
    <w:p w14:paraId="41E69827" w14:textId="77777777" w:rsidR="00BB225A" w:rsidRPr="00DC5CAD" w:rsidRDefault="00BB225A" w:rsidP="00015A51">
      <w:pPr>
        <w:spacing w:after="120"/>
        <w:jc w:val="both"/>
        <w:rPr>
          <w:rFonts w:ascii="Arial" w:hAnsi="Arial" w:cs="Arial"/>
          <w:sz w:val="20"/>
          <w:szCs w:val="20"/>
        </w:rPr>
      </w:pPr>
      <w:r w:rsidRPr="00DC5CAD">
        <w:rPr>
          <w:rFonts w:ascii="Arial" w:hAnsi="Arial" w:cs="Arial"/>
          <w:sz w:val="20"/>
          <w:szCs w:val="20"/>
        </w:rPr>
        <w:t xml:space="preserve">Finalmente, se pueden extraer cuatro conclusiones relevantes para evaluar las figuras y reformas estatutarias de las sociedades comerciales, respecto de la experiencia: </w:t>
      </w:r>
    </w:p>
    <w:p w14:paraId="4667F40C" w14:textId="77777777" w:rsidR="00BB225A" w:rsidRPr="00DC5CAD" w:rsidRDefault="00BB225A" w:rsidP="00015A51">
      <w:pPr>
        <w:spacing w:after="120"/>
        <w:jc w:val="both"/>
        <w:rPr>
          <w:rFonts w:ascii="Arial" w:hAnsi="Arial" w:cs="Arial"/>
          <w:sz w:val="20"/>
          <w:szCs w:val="20"/>
        </w:rPr>
      </w:pPr>
      <w:r w:rsidRPr="00DC5CAD">
        <w:rPr>
          <w:rFonts w:ascii="Arial" w:hAnsi="Arial" w:cs="Arial"/>
          <w:sz w:val="20"/>
          <w:szCs w:val="20"/>
        </w:rPr>
        <w:t>i) La experiencia es personal, esto es, se adquiere participando, directa o indirectamente, sin que sea posible no hacerlo y tener experiencia.</w:t>
      </w:r>
    </w:p>
    <w:p w14:paraId="1D0A4F12" w14:textId="77777777" w:rsidR="00BB225A" w:rsidRPr="00DC5CAD" w:rsidRDefault="00BB225A" w:rsidP="00015A51">
      <w:pPr>
        <w:spacing w:after="120"/>
        <w:jc w:val="both"/>
        <w:rPr>
          <w:rFonts w:ascii="Arial" w:hAnsi="Arial" w:cs="Arial"/>
          <w:sz w:val="20"/>
          <w:szCs w:val="20"/>
        </w:rPr>
      </w:pPr>
      <w:proofErr w:type="spellStart"/>
      <w:r w:rsidRPr="00DC5CAD">
        <w:rPr>
          <w:rFonts w:ascii="Arial" w:hAnsi="Arial" w:cs="Arial"/>
          <w:sz w:val="20"/>
          <w:szCs w:val="20"/>
        </w:rPr>
        <w:t>ii</w:t>
      </w:r>
      <w:proofErr w:type="spellEnd"/>
      <w:r w:rsidRPr="00DC5CAD">
        <w:rPr>
          <w:rFonts w:ascii="Arial" w:hAnsi="Arial" w:cs="Arial"/>
          <w:sz w:val="20"/>
          <w:szCs w:val="20"/>
        </w:rPr>
        <w:t>) La experiencia se puede compartir,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 .</w:t>
      </w:r>
    </w:p>
    <w:p w14:paraId="2F882FCB" w14:textId="77777777" w:rsidR="00BB225A" w:rsidRPr="00DC5CAD" w:rsidRDefault="00BB225A" w:rsidP="00015A51">
      <w:pPr>
        <w:spacing w:after="120"/>
        <w:jc w:val="both"/>
        <w:rPr>
          <w:rFonts w:ascii="Arial" w:hAnsi="Arial" w:cs="Arial"/>
          <w:sz w:val="20"/>
          <w:szCs w:val="20"/>
        </w:rPr>
      </w:pPr>
      <w:proofErr w:type="spellStart"/>
      <w:r w:rsidRPr="00DC5CAD">
        <w:rPr>
          <w:rFonts w:ascii="Arial" w:hAnsi="Arial" w:cs="Arial"/>
          <w:sz w:val="20"/>
          <w:szCs w:val="20"/>
        </w:rPr>
        <w:t>iii</w:t>
      </w:r>
      <w:proofErr w:type="spellEnd"/>
      <w:r w:rsidRPr="00DC5CAD">
        <w:rPr>
          <w:rFonts w:ascii="Arial" w:hAnsi="Arial" w:cs="Arial"/>
          <w:sz w:val="20"/>
          <w:szCs w:val="20"/>
        </w:rPr>
        <w:t>) 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el numeral 2.3 de este concepto.</w:t>
      </w:r>
    </w:p>
    <w:p w14:paraId="46B85F23" w14:textId="53C1E3C6" w:rsidR="0083017E" w:rsidRPr="00DC5CAD" w:rsidRDefault="00BB225A" w:rsidP="00015A51">
      <w:pPr>
        <w:jc w:val="both"/>
        <w:rPr>
          <w:rFonts w:ascii="Arial" w:hAnsi="Arial" w:cs="Arial"/>
          <w:sz w:val="20"/>
          <w:szCs w:val="20"/>
        </w:rPr>
      </w:pPr>
      <w:proofErr w:type="spellStart"/>
      <w:r w:rsidRPr="00DC5CAD">
        <w:rPr>
          <w:rFonts w:ascii="Arial" w:hAnsi="Arial" w:cs="Arial"/>
          <w:sz w:val="20"/>
          <w:szCs w:val="20"/>
        </w:rPr>
        <w:t>iv</w:t>
      </w:r>
      <w:proofErr w:type="spellEnd"/>
      <w:r w:rsidRPr="00DC5CAD">
        <w:rPr>
          <w:rFonts w:ascii="Arial" w:hAnsi="Arial" w:cs="Arial"/>
          <w:sz w:val="20"/>
          <w:szCs w:val="20"/>
        </w:rPr>
        <w:t>) Cuando la persona que adquirió la experiencia desaparece o se liquida no es posible que comparta o transfiera su experiencia, porque al ser personal sigue la suerte de quien la adquirió.</w:t>
      </w:r>
    </w:p>
    <w:p w14:paraId="504C1652" w14:textId="77777777" w:rsidR="00BB225A" w:rsidRPr="00DC5CAD" w:rsidRDefault="00BB225A" w:rsidP="00015A51">
      <w:pPr>
        <w:jc w:val="both"/>
        <w:rPr>
          <w:rFonts w:ascii="Arial" w:hAnsi="Arial" w:cs="Arial"/>
          <w:b/>
          <w:bCs/>
          <w:sz w:val="20"/>
          <w:szCs w:val="20"/>
          <w:highlight w:val="yellow"/>
        </w:rPr>
      </w:pPr>
    </w:p>
    <w:p w14:paraId="06A50077" w14:textId="416442C0" w:rsidR="0083017E" w:rsidRPr="00DC5CAD" w:rsidRDefault="0083017E" w:rsidP="00015A51">
      <w:pPr>
        <w:jc w:val="both"/>
        <w:rPr>
          <w:rFonts w:ascii="Arial" w:hAnsi="Arial" w:cs="Arial"/>
          <w:b/>
          <w:bCs/>
          <w:sz w:val="22"/>
        </w:rPr>
      </w:pPr>
      <w:r w:rsidRPr="00DC5CAD">
        <w:rPr>
          <w:rFonts w:ascii="Arial" w:hAnsi="Arial" w:cs="Arial"/>
          <w:b/>
          <w:bCs/>
          <w:sz w:val="22"/>
        </w:rPr>
        <w:t xml:space="preserve">EXPERIENCIA </w:t>
      </w:r>
      <w:r w:rsidRPr="00DC5CAD">
        <w:rPr>
          <w:rFonts w:ascii="Arial" w:eastAsia="Calibri" w:hAnsi="Arial" w:cs="Arial"/>
          <w:b/>
          <w:sz w:val="22"/>
        </w:rPr>
        <w:t>– Transformación</w:t>
      </w:r>
    </w:p>
    <w:p w14:paraId="556A3152" w14:textId="77777777" w:rsidR="00D335E2" w:rsidRPr="00DC5CAD" w:rsidRDefault="00D335E2" w:rsidP="00015A51">
      <w:pPr>
        <w:pStyle w:val="Sinespaciado"/>
        <w:widowControl w:val="0"/>
        <w:autoSpaceDE w:val="0"/>
        <w:autoSpaceDN w:val="0"/>
        <w:jc w:val="both"/>
        <w:rPr>
          <w:rFonts w:ascii="Arial" w:hAnsi="Arial" w:cs="Arial"/>
          <w:b/>
          <w:sz w:val="20"/>
          <w:szCs w:val="20"/>
          <w:highlight w:val="yellow"/>
        </w:rPr>
      </w:pPr>
    </w:p>
    <w:p w14:paraId="05002ACA" w14:textId="01AD5788" w:rsidR="006A0F23" w:rsidRPr="00DC5CAD" w:rsidRDefault="0083017E" w:rsidP="00015A51">
      <w:pPr>
        <w:autoSpaceDE w:val="0"/>
        <w:autoSpaceDN w:val="0"/>
        <w:adjustRightInd w:val="0"/>
        <w:jc w:val="both"/>
        <w:rPr>
          <w:rFonts w:ascii="Arial" w:hAnsi="Arial" w:cs="Arial"/>
          <w:sz w:val="20"/>
          <w:szCs w:val="20"/>
        </w:rPr>
      </w:pPr>
      <w:r w:rsidRPr="00DC5CAD">
        <w:rPr>
          <w:rFonts w:ascii="Arial" w:hAnsi="Arial" w:cs="Arial"/>
          <w:sz w:val="20"/>
          <w:szCs w:val="20"/>
        </w:rPr>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w:t>
      </w:r>
      <w:r w:rsidR="004E58D5" w:rsidRPr="00DC5CAD">
        <w:rPr>
          <w:rFonts w:ascii="Arial" w:hAnsi="Arial" w:cs="Arial"/>
          <w:sz w:val="20"/>
          <w:szCs w:val="20"/>
        </w:rPr>
        <w:t>«</w:t>
      </w:r>
      <w:r w:rsidRPr="00DC5CAD">
        <w:rPr>
          <w:rFonts w:ascii="Arial" w:hAnsi="Arial" w:cs="Arial"/>
          <w:sz w:val="20"/>
          <w:szCs w:val="20"/>
        </w:rPr>
        <w:t>disuelve</w:t>
      </w:r>
      <w:r w:rsidR="004E58D5" w:rsidRPr="00DC5CAD">
        <w:rPr>
          <w:rFonts w:ascii="Arial" w:hAnsi="Arial" w:cs="Arial"/>
          <w:sz w:val="20"/>
          <w:szCs w:val="20"/>
        </w:rPr>
        <w:t>»</w:t>
      </w:r>
      <w:r w:rsidRPr="00DC5CAD">
        <w:rPr>
          <w:rFonts w:ascii="Arial" w:hAnsi="Arial" w:cs="Arial"/>
          <w:sz w:val="20"/>
          <w:szCs w:val="20"/>
        </w:rPr>
        <w:t xml:space="preserve">, y por ende tampoco se </w:t>
      </w:r>
      <w:r w:rsidR="004E58D5" w:rsidRPr="00DC5CAD">
        <w:rPr>
          <w:rFonts w:ascii="Arial" w:hAnsi="Arial" w:cs="Arial"/>
          <w:sz w:val="20"/>
          <w:szCs w:val="20"/>
        </w:rPr>
        <w:t>«</w:t>
      </w:r>
      <w:r w:rsidRPr="00DC5CAD">
        <w:rPr>
          <w:rFonts w:ascii="Arial" w:hAnsi="Arial" w:cs="Arial"/>
          <w:sz w:val="20"/>
          <w:szCs w:val="20"/>
        </w:rPr>
        <w:t>liquida</w:t>
      </w:r>
      <w:r w:rsidR="004E58D5" w:rsidRPr="00DC5CAD">
        <w:rPr>
          <w:rFonts w:ascii="Arial" w:hAnsi="Arial" w:cs="Arial"/>
          <w:sz w:val="20"/>
          <w:szCs w:val="20"/>
        </w:rPr>
        <w:t>»</w:t>
      </w:r>
      <w:r w:rsidRPr="00DC5CAD">
        <w:rPr>
          <w:rFonts w:ascii="Arial" w:hAnsi="Arial" w:cs="Arial"/>
          <w:sz w:val="20"/>
          <w:szCs w:val="20"/>
        </w:rPr>
        <w:t xml:space="preserve">, porque de acuerdo con el artículo 222 del Código de Comercio para </w:t>
      </w:r>
      <w:r w:rsidR="004E58D5" w:rsidRPr="00DC5CAD">
        <w:rPr>
          <w:rFonts w:ascii="Arial" w:hAnsi="Arial" w:cs="Arial"/>
          <w:sz w:val="20"/>
          <w:szCs w:val="20"/>
        </w:rPr>
        <w:t>«</w:t>
      </w:r>
      <w:r w:rsidRPr="00DC5CAD">
        <w:rPr>
          <w:rFonts w:ascii="Arial" w:hAnsi="Arial" w:cs="Arial"/>
          <w:sz w:val="20"/>
          <w:szCs w:val="20"/>
        </w:rPr>
        <w:t>liquidarse</w:t>
      </w:r>
      <w:r w:rsidR="004E58D5" w:rsidRPr="00DC5CAD">
        <w:rPr>
          <w:rFonts w:ascii="Arial" w:hAnsi="Arial" w:cs="Arial"/>
          <w:sz w:val="20"/>
          <w:szCs w:val="20"/>
        </w:rPr>
        <w:t>»</w:t>
      </w:r>
      <w:r w:rsidRPr="00DC5CAD">
        <w:rPr>
          <w:rFonts w:ascii="Arial" w:hAnsi="Arial" w:cs="Arial"/>
          <w:sz w:val="20"/>
          <w:szCs w:val="20"/>
        </w:rPr>
        <w:t xml:space="preserve"> necesita estar </w:t>
      </w:r>
      <w:r w:rsidR="004E58D5" w:rsidRPr="00DC5CAD">
        <w:rPr>
          <w:rFonts w:ascii="Arial" w:hAnsi="Arial" w:cs="Arial"/>
          <w:sz w:val="20"/>
          <w:szCs w:val="20"/>
        </w:rPr>
        <w:t>«</w:t>
      </w:r>
      <w:r w:rsidRPr="00DC5CAD">
        <w:rPr>
          <w:rFonts w:ascii="Arial" w:hAnsi="Arial" w:cs="Arial"/>
          <w:sz w:val="20"/>
          <w:szCs w:val="20"/>
        </w:rPr>
        <w:t>disuelta</w:t>
      </w:r>
      <w:r w:rsidR="004E58D5" w:rsidRPr="00DC5CAD">
        <w:rPr>
          <w:rFonts w:ascii="Arial" w:hAnsi="Arial" w:cs="Arial"/>
          <w:sz w:val="20"/>
          <w:szCs w:val="20"/>
        </w:rPr>
        <w:t>»</w:t>
      </w:r>
      <w:r w:rsidRPr="00DC5CAD">
        <w:rPr>
          <w:rFonts w:ascii="Arial" w:hAnsi="Arial" w:cs="Arial"/>
          <w:sz w:val="20"/>
          <w:szCs w:val="20"/>
        </w:rPr>
        <w:t xml:space="preserve">; solo cambia el tipo societario que había adoptado en su constitución, es decir, no sufre modificaciones o alteraciones y por eso puede continuar adquiriendo experiencia y compartirla, pero no puede trasladarla porque para ello tendría que </w:t>
      </w:r>
      <w:r w:rsidR="004E58D5" w:rsidRPr="00DC5CAD">
        <w:rPr>
          <w:rFonts w:ascii="Arial" w:hAnsi="Arial" w:cs="Arial"/>
          <w:sz w:val="20"/>
          <w:szCs w:val="20"/>
        </w:rPr>
        <w:t>«</w:t>
      </w:r>
      <w:r w:rsidRPr="00DC5CAD">
        <w:rPr>
          <w:rFonts w:ascii="Arial" w:hAnsi="Arial" w:cs="Arial"/>
          <w:sz w:val="20"/>
          <w:szCs w:val="20"/>
        </w:rPr>
        <w:t>disolverse</w:t>
      </w:r>
      <w:r w:rsidR="004E58D5" w:rsidRPr="00DC5CAD">
        <w:rPr>
          <w:rFonts w:ascii="Arial" w:hAnsi="Arial" w:cs="Arial"/>
          <w:sz w:val="20"/>
          <w:szCs w:val="20"/>
        </w:rPr>
        <w:t>»</w:t>
      </w:r>
      <w:r w:rsidRPr="00DC5CAD">
        <w:rPr>
          <w:rFonts w:ascii="Arial" w:hAnsi="Arial" w:cs="Arial"/>
          <w:sz w:val="20"/>
          <w:szCs w:val="20"/>
        </w:rPr>
        <w:t xml:space="preserve"> o conformar un consorcio, como se verá en la fusión y en una de las modalidades de escisión.  </w:t>
      </w:r>
    </w:p>
    <w:p w14:paraId="57C28AFD" w14:textId="3E619BFD" w:rsidR="0083017E" w:rsidRPr="00DC5CAD" w:rsidRDefault="0083017E" w:rsidP="006A0F23">
      <w:pPr>
        <w:autoSpaceDE w:val="0"/>
        <w:autoSpaceDN w:val="0"/>
        <w:adjustRightInd w:val="0"/>
        <w:rPr>
          <w:rFonts w:ascii="Arial" w:hAnsi="Arial" w:cs="Arial"/>
          <w:sz w:val="20"/>
          <w:szCs w:val="20"/>
          <w:lang w:val="es-CO"/>
        </w:rPr>
      </w:pPr>
    </w:p>
    <w:p w14:paraId="72CCFD54" w14:textId="2D7B8D5F" w:rsidR="0083017E" w:rsidRPr="00DC5CAD" w:rsidRDefault="0083017E" w:rsidP="0083017E">
      <w:pPr>
        <w:jc w:val="both"/>
        <w:rPr>
          <w:rFonts w:ascii="Arial" w:hAnsi="Arial" w:cs="Arial"/>
          <w:b/>
          <w:bCs/>
          <w:sz w:val="22"/>
        </w:rPr>
      </w:pPr>
      <w:r w:rsidRPr="00DC5CAD">
        <w:rPr>
          <w:rFonts w:ascii="Arial" w:hAnsi="Arial" w:cs="Arial"/>
          <w:b/>
          <w:bCs/>
          <w:sz w:val="22"/>
        </w:rPr>
        <w:t xml:space="preserve">EXPERIENCIA </w:t>
      </w:r>
      <w:r w:rsidRPr="00DC5CAD">
        <w:rPr>
          <w:rFonts w:ascii="Arial" w:eastAsia="Calibri" w:hAnsi="Arial" w:cs="Arial"/>
          <w:b/>
          <w:sz w:val="22"/>
        </w:rPr>
        <w:t>– Escisión</w:t>
      </w:r>
    </w:p>
    <w:p w14:paraId="3D1F7DEC" w14:textId="77777777" w:rsidR="0083017E" w:rsidRPr="00DC5CAD" w:rsidRDefault="0083017E" w:rsidP="0083017E">
      <w:pPr>
        <w:pStyle w:val="Sinespaciado"/>
        <w:widowControl w:val="0"/>
        <w:autoSpaceDE w:val="0"/>
        <w:autoSpaceDN w:val="0"/>
        <w:jc w:val="both"/>
        <w:rPr>
          <w:rFonts w:ascii="Arial" w:hAnsi="Arial" w:cs="Arial"/>
          <w:b/>
          <w:sz w:val="20"/>
          <w:szCs w:val="20"/>
          <w:highlight w:val="yellow"/>
        </w:rPr>
      </w:pPr>
    </w:p>
    <w:p w14:paraId="7F06965D" w14:textId="77777777" w:rsidR="0032086B" w:rsidRPr="00DC5CAD" w:rsidRDefault="0032086B" w:rsidP="0032086B">
      <w:pPr>
        <w:jc w:val="both"/>
        <w:rPr>
          <w:rFonts w:ascii="Arial" w:hAnsi="Arial" w:cs="Arial"/>
          <w:sz w:val="20"/>
          <w:szCs w:val="20"/>
        </w:rPr>
      </w:pPr>
      <w:r w:rsidRPr="00DC5CAD">
        <w:rPr>
          <w:rFonts w:ascii="Arial" w:hAnsi="Arial" w:cs="Arial"/>
          <w:sz w:val="20"/>
          <w:szCs w:val="20"/>
        </w:rPr>
        <w:t xml:space="preserve">Para la primera modalidad de escisión, teniendo en cuenta que la sociedad continúa sin alteraciones, puede compartir la experiencia a través de esquemas asociativos, pero no la transfiere porque para </w:t>
      </w:r>
      <w:r w:rsidRPr="00DC5CAD">
        <w:rPr>
          <w:rFonts w:ascii="Arial" w:hAnsi="Arial" w:cs="Arial"/>
          <w:sz w:val="20"/>
          <w:szCs w:val="20"/>
        </w:rPr>
        <w:lastRenderedPageBreak/>
        <w:t xml:space="preserve">ello tendría que «disolverse» pero no «liquidarse», puesto que la «liquidación» implicaría que desaparece la persona y así su experiencia. Para explicarlo hay que volver a la definición de «disolución», donde la persona jurídica no desaparece y solo puede hacer trámites para «liquidarse», sin embargo hay una excepción a esa regla y es, precisamente, las figuras y reformas estatutarias que aquí se explican, particularmente la fusión, ya que por esa excepción la persona tiene continuidad en otra persona, y sigue siendo quien era, lo cual no es el caso de la escisión, ya que en la primera modalidad no existe «disolución», lo que significa que la persona continúa por sí misma y puede adquirir experiencia pero no puede transferirla porque le pertenece al ser quien la adquirió. </w:t>
      </w:r>
    </w:p>
    <w:p w14:paraId="460CD28A" w14:textId="744B8CA7" w:rsidR="007C04DA" w:rsidRPr="00DC5CAD" w:rsidRDefault="0032086B" w:rsidP="0032086B">
      <w:pPr>
        <w:jc w:val="both"/>
        <w:rPr>
          <w:rFonts w:ascii="Arial" w:hAnsi="Arial" w:cs="Arial"/>
          <w:sz w:val="20"/>
          <w:szCs w:val="20"/>
        </w:rPr>
      </w:pPr>
      <w:r w:rsidRPr="00DC5CAD">
        <w:rPr>
          <w:rFonts w:ascii="Arial" w:hAnsi="Arial" w:cs="Arial"/>
          <w:sz w:val="20"/>
          <w:szCs w:val="20"/>
        </w:rPr>
        <w:t>Por otro lado, a pesar de que en la segunda modalidad existe «disolución», no hay transferencia de la experiencia porque la persona jurídica fraccionada deja de ser quién es y desaparece, quedando dividida en varias sociedades nuevas o existentes que reciben su patrimonio, sin que sea posible determinar cuál de todas las sociedades que recibieron parte del patrimonio de la sociedad escindida tiene la experiencia, y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w:t>
      </w:r>
    </w:p>
    <w:p w14:paraId="115FEB7D" w14:textId="77777777" w:rsidR="0032086B" w:rsidRPr="00DC5CAD" w:rsidRDefault="0032086B" w:rsidP="0032086B">
      <w:pPr>
        <w:jc w:val="both"/>
        <w:rPr>
          <w:rFonts w:ascii="Arial" w:hAnsi="Arial" w:cs="Arial"/>
          <w:sz w:val="20"/>
          <w:szCs w:val="20"/>
        </w:rPr>
      </w:pPr>
    </w:p>
    <w:p w14:paraId="317C6C10" w14:textId="2C7600E3" w:rsidR="0083017E" w:rsidRPr="00DC5CAD" w:rsidRDefault="0083017E" w:rsidP="0083017E">
      <w:pPr>
        <w:jc w:val="both"/>
        <w:rPr>
          <w:rFonts w:ascii="Arial" w:hAnsi="Arial" w:cs="Arial"/>
          <w:b/>
          <w:bCs/>
          <w:sz w:val="22"/>
        </w:rPr>
      </w:pPr>
      <w:r w:rsidRPr="00DC5CAD">
        <w:rPr>
          <w:rFonts w:ascii="Arial" w:hAnsi="Arial" w:cs="Arial"/>
          <w:b/>
          <w:bCs/>
          <w:sz w:val="22"/>
        </w:rPr>
        <w:t xml:space="preserve">EXPERIENCIA </w:t>
      </w:r>
      <w:r w:rsidRPr="00DC5CAD">
        <w:rPr>
          <w:rFonts w:ascii="Arial" w:eastAsia="Calibri" w:hAnsi="Arial" w:cs="Arial"/>
          <w:b/>
          <w:sz w:val="22"/>
        </w:rPr>
        <w:t>– Fusión</w:t>
      </w:r>
    </w:p>
    <w:p w14:paraId="0D4A6F4B" w14:textId="77777777" w:rsidR="0083017E" w:rsidRPr="00DC5CAD" w:rsidRDefault="0083017E" w:rsidP="0083017E">
      <w:pPr>
        <w:pStyle w:val="Sinespaciado"/>
        <w:widowControl w:val="0"/>
        <w:autoSpaceDE w:val="0"/>
        <w:autoSpaceDN w:val="0"/>
        <w:jc w:val="both"/>
        <w:rPr>
          <w:rFonts w:ascii="Arial" w:hAnsi="Arial" w:cs="Arial"/>
          <w:b/>
          <w:sz w:val="20"/>
          <w:szCs w:val="20"/>
          <w:highlight w:val="yellow"/>
        </w:rPr>
      </w:pPr>
    </w:p>
    <w:p w14:paraId="17EE7147" w14:textId="082CDD44" w:rsidR="0083017E" w:rsidRPr="00DC5CAD" w:rsidRDefault="007C04DA" w:rsidP="0083017E">
      <w:pPr>
        <w:autoSpaceDE w:val="0"/>
        <w:autoSpaceDN w:val="0"/>
        <w:adjustRightInd w:val="0"/>
        <w:jc w:val="both"/>
        <w:rPr>
          <w:rFonts w:ascii="Arial" w:hAnsi="Arial" w:cs="Arial"/>
          <w:sz w:val="20"/>
          <w:szCs w:val="20"/>
        </w:rPr>
      </w:pPr>
      <w:r w:rsidRPr="00DC5CAD">
        <w:rPr>
          <w:rFonts w:ascii="Arial" w:hAnsi="Arial" w:cs="Arial"/>
          <w:sz w:val="20"/>
          <w:szCs w:val="20"/>
        </w:rPr>
        <w:t xml:space="preserve">Para analizar la fusión y sus efectos respecto de la experiencia de la sociedad que se </w:t>
      </w:r>
      <w:r w:rsidR="004E58D5" w:rsidRPr="00DC5CAD">
        <w:rPr>
          <w:rFonts w:ascii="Arial" w:hAnsi="Arial" w:cs="Arial"/>
          <w:sz w:val="20"/>
          <w:szCs w:val="20"/>
        </w:rPr>
        <w:t>«</w:t>
      </w:r>
      <w:r w:rsidRPr="00DC5CAD">
        <w:rPr>
          <w:rFonts w:ascii="Arial" w:hAnsi="Arial" w:cs="Arial"/>
          <w:sz w:val="20"/>
          <w:szCs w:val="20"/>
        </w:rPr>
        <w:t>disuelve</w:t>
      </w:r>
      <w:r w:rsidR="004E58D5" w:rsidRPr="00DC5CAD">
        <w:rPr>
          <w:rFonts w:ascii="Arial" w:hAnsi="Arial" w:cs="Arial"/>
          <w:sz w:val="20"/>
          <w:szCs w:val="20"/>
        </w:rPr>
        <w:t>»</w:t>
      </w:r>
      <w:r w:rsidRPr="00DC5CAD">
        <w:rPr>
          <w:rFonts w:ascii="Arial" w:hAnsi="Arial" w:cs="Arial"/>
          <w:sz w:val="20"/>
          <w:szCs w:val="20"/>
        </w:rPr>
        <w:t xml:space="preserve"> pero no se </w:t>
      </w:r>
      <w:r w:rsidR="004E58D5" w:rsidRPr="00DC5CAD">
        <w:rPr>
          <w:rFonts w:ascii="Arial" w:hAnsi="Arial" w:cs="Arial"/>
          <w:sz w:val="20"/>
          <w:szCs w:val="20"/>
        </w:rPr>
        <w:t>«</w:t>
      </w:r>
      <w:r w:rsidRPr="00DC5CAD">
        <w:rPr>
          <w:rFonts w:ascii="Arial" w:hAnsi="Arial" w:cs="Arial"/>
          <w:sz w:val="20"/>
          <w:szCs w:val="20"/>
        </w:rPr>
        <w:t>liquida</w:t>
      </w:r>
      <w:r w:rsidR="004E58D5" w:rsidRPr="00DC5CAD">
        <w:rPr>
          <w:rFonts w:ascii="Arial" w:hAnsi="Arial" w:cs="Arial"/>
          <w:sz w:val="20"/>
          <w:szCs w:val="20"/>
        </w:rPr>
        <w:t>»</w:t>
      </w:r>
      <w:r w:rsidRPr="00DC5CAD">
        <w:rPr>
          <w:rFonts w:ascii="Arial" w:hAnsi="Arial" w:cs="Arial"/>
          <w:sz w:val="20"/>
          <w:szCs w:val="20"/>
        </w:rPr>
        <w:t>, es necesario reiterar la explicación dada respecto de la segunda modalidad de escisión, y es que siempre que la sociedad no se liquide, es decir, que no desaparezca o muera, la experiencia puede ser trasladada y no compartida, ya que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y estas sociedades serán la sociedad absorbida, y continuarán su vida jurídica. La experiencia no se comparte porque para esto la sociedad debería continuar individualmente considerada, pero en este caso continúa a través de otra, a quien le transfiere su experiencia y todos sus derechos y obligaciones, de conformidad con el artículo 172 y siguientes del Código de Comercio.</w:t>
      </w:r>
    </w:p>
    <w:p w14:paraId="1DA81727" w14:textId="77777777" w:rsidR="00C5063E" w:rsidRPr="00DC5CAD" w:rsidRDefault="00C5063E" w:rsidP="006A0F23">
      <w:pPr>
        <w:autoSpaceDE w:val="0"/>
        <w:autoSpaceDN w:val="0"/>
        <w:adjustRightInd w:val="0"/>
        <w:rPr>
          <w:rFonts w:ascii="Arial" w:hAnsi="Arial" w:cs="Arial"/>
          <w:sz w:val="20"/>
          <w:szCs w:val="20"/>
          <w:lang w:val="es-CO"/>
        </w:rPr>
      </w:pPr>
    </w:p>
    <w:p w14:paraId="47445D7A" w14:textId="77777777" w:rsidR="00E5123A" w:rsidRPr="00DC5CAD" w:rsidRDefault="00E5123A" w:rsidP="00E5123A">
      <w:pPr>
        <w:autoSpaceDE w:val="0"/>
        <w:autoSpaceDN w:val="0"/>
        <w:adjustRightInd w:val="0"/>
        <w:rPr>
          <w:rFonts w:ascii="Arial" w:hAnsi="Arial" w:cs="Arial"/>
          <w:sz w:val="20"/>
          <w:szCs w:val="20"/>
          <w:lang w:val="es-CO"/>
        </w:rPr>
      </w:pPr>
    </w:p>
    <w:p w14:paraId="66EA65EB" w14:textId="77777777" w:rsidR="00FD4FD0" w:rsidRPr="00FD4FD0" w:rsidRDefault="00FD4FD0" w:rsidP="00FD4FD0">
      <w:pPr>
        <w:autoSpaceDE w:val="0"/>
        <w:autoSpaceDN w:val="0"/>
        <w:adjustRightInd w:val="0"/>
        <w:rPr>
          <w:rFonts w:ascii="Arial" w:hAnsi="Arial" w:cs="Arial"/>
          <w:color w:val="000000"/>
          <w:szCs w:val="24"/>
          <w:lang w:val="es-CO"/>
        </w:rPr>
      </w:pPr>
      <w:bookmarkStart w:id="4" w:name="_Hlk49782660"/>
    </w:p>
    <w:p w14:paraId="4954E953" w14:textId="77777777" w:rsidR="00FD4FD0" w:rsidRPr="00FD4FD0" w:rsidRDefault="00FD4FD0" w:rsidP="00FD4FD0">
      <w:pPr>
        <w:autoSpaceDE w:val="0"/>
        <w:autoSpaceDN w:val="0"/>
        <w:adjustRightInd w:val="0"/>
        <w:rPr>
          <w:rFonts w:ascii="Arial" w:hAnsi="Arial" w:cs="Arial"/>
          <w:color w:val="000000"/>
          <w:sz w:val="22"/>
          <w:lang w:val="es-CO"/>
        </w:rPr>
      </w:pPr>
      <w:r w:rsidRPr="00FD4FD0">
        <w:rPr>
          <w:rFonts w:ascii="Arial" w:hAnsi="Arial" w:cs="Arial"/>
          <w:color w:val="000000"/>
          <w:szCs w:val="24"/>
          <w:lang w:val="es-CO"/>
        </w:rPr>
        <w:t xml:space="preserve"> </w:t>
      </w:r>
      <w:r w:rsidRPr="00FD4FD0">
        <w:rPr>
          <w:rFonts w:ascii="Arial" w:hAnsi="Arial" w:cs="Arial"/>
          <w:color w:val="000000"/>
          <w:sz w:val="22"/>
          <w:lang w:val="es-CO"/>
        </w:rPr>
        <w:t xml:space="preserve">Bogotá D.C., </w:t>
      </w:r>
      <w:r w:rsidRPr="00FD4FD0">
        <w:rPr>
          <w:rFonts w:ascii="Arial" w:hAnsi="Arial" w:cs="Arial"/>
          <w:b/>
          <w:bCs/>
          <w:color w:val="000000"/>
          <w:sz w:val="22"/>
          <w:lang w:val="es-CO"/>
        </w:rPr>
        <w:t xml:space="preserve">31/08/2020 Hora 17:4:50s </w:t>
      </w:r>
    </w:p>
    <w:p w14:paraId="614B7E97" w14:textId="5987DFC8" w:rsidR="006A0F23" w:rsidRPr="00DC5CAD" w:rsidRDefault="00FD4FD0" w:rsidP="00FD4FD0">
      <w:pPr>
        <w:tabs>
          <w:tab w:val="left" w:pos="3374"/>
        </w:tabs>
        <w:jc w:val="right"/>
        <w:rPr>
          <w:rFonts w:ascii="Arial" w:eastAsia="Calibri" w:hAnsi="Arial" w:cs="Arial"/>
          <w:sz w:val="22"/>
        </w:rPr>
      </w:pPr>
      <w:proofErr w:type="spellStart"/>
      <w:r w:rsidRPr="00FD4FD0">
        <w:rPr>
          <w:rFonts w:ascii="Arial" w:hAnsi="Arial" w:cs="Arial"/>
          <w:b/>
          <w:bCs/>
          <w:color w:val="000000"/>
          <w:sz w:val="22"/>
          <w:lang w:val="es-CO"/>
        </w:rPr>
        <w:t>N°</w:t>
      </w:r>
      <w:proofErr w:type="spellEnd"/>
      <w:r w:rsidRPr="00FD4FD0">
        <w:rPr>
          <w:rFonts w:ascii="Arial" w:hAnsi="Arial" w:cs="Arial"/>
          <w:b/>
          <w:bCs/>
          <w:color w:val="000000"/>
          <w:sz w:val="22"/>
          <w:lang w:val="es-CO"/>
        </w:rPr>
        <w:t xml:space="preserve"> Radicado: 2202013000008152</w:t>
      </w:r>
    </w:p>
    <w:p w14:paraId="393D3C60" w14:textId="0D7BC45B" w:rsidR="00AB745E" w:rsidRPr="00DC5CAD" w:rsidRDefault="00A37FB6" w:rsidP="00D01760">
      <w:pPr>
        <w:rPr>
          <w:rFonts w:ascii="Arial" w:eastAsia="Calibri" w:hAnsi="Arial" w:cs="Arial"/>
          <w:sz w:val="22"/>
        </w:rPr>
      </w:pPr>
      <w:r w:rsidRPr="00DC5CAD">
        <w:rPr>
          <w:rFonts w:ascii="Arial" w:eastAsia="Calibri" w:hAnsi="Arial" w:cs="Arial"/>
          <w:sz w:val="22"/>
        </w:rPr>
        <w:t>Señor</w:t>
      </w:r>
      <w:r w:rsidR="00DC5CAD" w:rsidRPr="00DC5CAD">
        <w:rPr>
          <w:rFonts w:ascii="Arial" w:eastAsia="Calibri" w:hAnsi="Arial" w:cs="Arial"/>
          <w:sz w:val="22"/>
        </w:rPr>
        <w:t>a</w:t>
      </w:r>
    </w:p>
    <w:p w14:paraId="0047F2DD" w14:textId="6C43E7DC" w:rsidR="00FB1E56" w:rsidRPr="00DC5CAD" w:rsidRDefault="00FB1E56" w:rsidP="00D01760">
      <w:pPr>
        <w:rPr>
          <w:rFonts w:ascii="Arial" w:eastAsia="Calibri" w:hAnsi="Arial" w:cs="Arial"/>
          <w:b/>
          <w:bCs/>
          <w:sz w:val="22"/>
        </w:rPr>
      </w:pPr>
      <w:r w:rsidRPr="00DC5CAD">
        <w:rPr>
          <w:rFonts w:ascii="Arial" w:eastAsia="Calibri" w:hAnsi="Arial" w:cs="Arial"/>
          <w:b/>
          <w:bCs/>
          <w:sz w:val="22"/>
        </w:rPr>
        <w:t>Natalia Fajardo Maldonado</w:t>
      </w:r>
    </w:p>
    <w:p w14:paraId="359C48BE" w14:textId="7FD74390" w:rsidR="00A37FB6" w:rsidRPr="00DC5CAD" w:rsidRDefault="00A37FB6" w:rsidP="00D01760">
      <w:pPr>
        <w:rPr>
          <w:rFonts w:ascii="Arial" w:eastAsia="Calibri" w:hAnsi="Arial" w:cs="Arial"/>
          <w:sz w:val="22"/>
        </w:rPr>
      </w:pPr>
      <w:r w:rsidRPr="00DC5CAD">
        <w:rPr>
          <w:rFonts w:ascii="Arial" w:eastAsia="Calibri" w:hAnsi="Arial" w:cs="Arial"/>
          <w:sz w:val="22"/>
        </w:rPr>
        <w:t>Ciudad</w:t>
      </w:r>
    </w:p>
    <w:p w14:paraId="479F6A3A" w14:textId="7294A1C7" w:rsidR="00A37FB6" w:rsidRPr="00DC5CAD" w:rsidRDefault="00E03AC6" w:rsidP="00851174">
      <w:pPr>
        <w:pStyle w:val="Sinespaciado"/>
        <w:jc w:val="center"/>
        <w:rPr>
          <w:rFonts w:ascii="Arial" w:hAnsi="Arial" w:cs="Arial"/>
          <w:b/>
          <w:sz w:val="22"/>
        </w:rPr>
      </w:pPr>
      <w:r w:rsidRPr="00DC5CAD">
        <w:rPr>
          <w:rFonts w:ascii="Arial" w:hAnsi="Arial" w:cs="Arial"/>
          <w:b/>
          <w:sz w:val="22"/>
        </w:rPr>
        <w:t>Concepto C</w:t>
      </w:r>
      <w:r w:rsidR="00A37FB6" w:rsidRPr="00DC5CAD">
        <w:rPr>
          <w:rFonts w:ascii="Arial" w:hAnsi="Arial" w:cs="Arial"/>
          <w:b/>
          <w:sz w:val="22"/>
        </w:rPr>
        <w:t xml:space="preserve"> </w:t>
      </w:r>
      <w:r w:rsidR="00592C46" w:rsidRPr="00DC5CAD">
        <w:rPr>
          <w:rFonts w:ascii="Arial" w:hAnsi="Arial" w:cs="Arial"/>
          <w:b/>
          <w:sz w:val="22"/>
        </w:rPr>
        <w:t xml:space="preserve">- </w:t>
      </w:r>
      <w:r w:rsidR="007D5F91">
        <w:rPr>
          <w:rFonts w:ascii="Arial" w:hAnsi="Arial" w:cs="Arial"/>
          <w:b/>
          <w:sz w:val="22"/>
        </w:rPr>
        <w:t>584</w:t>
      </w:r>
      <w:r w:rsidR="007D5F91" w:rsidRPr="00DC5CAD">
        <w:rPr>
          <w:rFonts w:ascii="Arial" w:hAnsi="Arial" w:cs="Arial"/>
          <w:b/>
          <w:sz w:val="22"/>
        </w:rPr>
        <w:t xml:space="preserve"> </w:t>
      </w:r>
      <w:r w:rsidR="00A37FB6" w:rsidRPr="00DC5CAD">
        <w:rPr>
          <w:rFonts w:ascii="Arial" w:hAnsi="Arial" w:cs="Arial"/>
          <w:b/>
          <w:sz w:val="22"/>
        </w:rPr>
        <w:t>de 2020</w:t>
      </w:r>
    </w:p>
    <w:p w14:paraId="7EC51DE6" w14:textId="77777777" w:rsidR="00216F70" w:rsidRPr="00DC5CAD" w:rsidRDefault="00216F70" w:rsidP="00851174">
      <w:pPr>
        <w:pStyle w:val="Sinespaciado"/>
        <w:jc w:val="center"/>
        <w:rPr>
          <w:rFonts w:ascii="Arial" w:hAnsi="Arial" w:cs="Arial"/>
          <w:b/>
          <w:sz w:val="22"/>
        </w:rPr>
      </w:pPr>
    </w:p>
    <w:p w14:paraId="49BB1EAB" w14:textId="77777777" w:rsidR="00A37FB6" w:rsidRPr="00DC5CAD" w:rsidRDefault="00A37FB6" w:rsidP="00851174">
      <w:pPr>
        <w:pStyle w:val="Sinespaciado"/>
        <w:jc w:val="both"/>
        <w:rPr>
          <w:rFonts w:ascii="Arial" w:hAnsi="Arial" w:cs="Arial"/>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C5CAD" w:rsidRPr="00DC5CAD" w14:paraId="20C2FA60" w14:textId="77777777" w:rsidTr="000825D8">
        <w:tc>
          <w:tcPr>
            <w:tcW w:w="2689" w:type="dxa"/>
            <w:hideMark/>
          </w:tcPr>
          <w:p w14:paraId="2A9459AB" w14:textId="77777777" w:rsidR="00A37FB6" w:rsidRPr="00DC5CAD" w:rsidRDefault="00A37FB6" w:rsidP="00851174">
            <w:pPr>
              <w:pStyle w:val="Sinespaciado"/>
              <w:jc w:val="both"/>
              <w:rPr>
                <w:rFonts w:ascii="Arial" w:hAnsi="Arial" w:cs="Arial"/>
                <w:b/>
                <w:sz w:val="22"/>
              </w:rPr>
            </w:pPr>
            <w:r w:rsidRPr="00DC5CAD">
              <w:rPr>
                <w:rFonts w:ascii="Arial" w:hAnsi="Arial" w:cs="Arial"/>
                <w:b/>
                <w:sz w:val="22"/>
              </w:rPr>
              <w:t xml:space="preserve">Temas:           </w:t>
            </w:r>
          </w:p>
          <w:p w14:paraId="1840BCE8" w14:textId="77777777" w:rsidR="00A37FB6" w:rsidRPr="00DC5CAD" w:rsidRDefault="00A37FB6" w:rsidP="00851174">
            <w:pPr>
              <w:pStyle w:val="Sinespaciado"/>
              <w:jc w:val="both"/>
              <w:rPr>
                <w:rFonts w:ascii="Arial" w:hAnsi="Arial" w:cs="Arial"/>
                <w:bCs/>
                <w:sz w:val="22"/>
              </w:rPr>
            </w:pPr>
            <w:r w:rsidRPr="00DC5CAD">
              <w:rPr>
                <w:rFonts w:ascii="Arial" w:hAnsi="Arial" w:cs="Arial"/>
                <w:bCs/>
                <w:sz w:val="22"/>
              </w:rPr>
              <w:t xml:space="preserve">                           </w:t>
            </w:r>
          </w:p>
        </w:tc>
        <w:tc>
          <w:tcPr>
            <w:tcW w:w="6237" w:type="dxa"/>
            <w:hideMark/>
          </w:tcPr>
          <w:p w14:paraId="6152B34E" w14:textId="41728201" w:rsidR="004023D4" w:rsidRPr="00DC5CAD" w:rsidRDefault="00DC5CAD" w:rsidP="0083017E">
            <w:pPr>
              <w:pStyle w:val="Sinespaciado"/>
              <w:jc w:val="both"/>
              <w:rPr>
                <w:rFonts w:ascii="Arial" w:hAnsi="Arial" w:cs="Arial"/>
                <w:bCs/>
                <w:sz w:val="22"/>
              </w:rPr>
            </w:pPr>
            <w:r w:rsidRPr="00DC5CAD">
              <w:rPr>
                <w:rFonts w:ascii="Arial" w:hAnsi="Arial" w:cs="Arial"/>
                <w:bCs/>
                <w:sz w:val="22"/>
              </w:rPr>
              <w:t xml:space="preserve">EXPERIENCIA – Conservación – Sociedades – Menor a 3 años de constitución / </w:t>
            </w:r>
            <w:r w:rsidR="0083017E" w:rsidRPr="00DC5CAD">
              <w:rPr>
                <w:rFonts w:ascii="Arial" w:hAnsi="Arial" w:cs="Arial"/>
                <w:bCs/>
                <w:sz w:val="22"/>
              </w:rPr>
              <w:t xml:space="preserve">EXPERIENCIA – Concepto – Colombia Compra </w:t>
            </w:r>
            <w:r w:rsidR="0083017E" w:rsidRPr="00DC5CAD">
              <w:rPr>
                <w:rFonts w:ascii="Arial" w:hAnsi="Arial" w:cs="Arial"/>
                <w:bCs/>
                <w:sz w:val="22"/>
              </w:rPr>
              <w:lastRenderedPageBreak/>
              <w:t xml:space="preserve">Eficiente </w:t>
            </w:r>
            <w:r w:rsidR="004023D4" w:rsidRPr="00DC5CAD">
              <w:rPr>
                <w:rFonts w:ascii="Arial" w:hAnsi="Arial" w:cs="Arial"/>
                <w:bCs/>
                <w:sz w:val="22"/>
              </w:rPr>
              <w:t xml:space="preserve">/ </w:t>
            </w:r>
            <w:r w:rsidR="0083017E" w:rsidRPr="00DC5CAD">
              <w:rPr>
                <w:rFonts w:ascii="Arial" w:hAnsi="Arial" w:cs="Arial"/>
                <w:bCs/>
                <w:sz w:val="22"/>
              </w:rPr>
              <w:t>EXPERIENCIA – Transformación / EXPERIENCIA – Escisión</w:t>
            </w:r>
            <w:r w:rsidR="00C5063E" w:rsidRPr="00DC5CAD">
              <w:rPr>
                <w:rFonts w:ascii="Arial" w:hAnsi="Arial" w:cs="Arial"/>
                <w:bCs/>
                <w:sz w:val="22"/>
              </w:rPr>
              <w:t xml:space="preserve"> / </w:t>
            </w:r>
            <w:r w:rsidR="0083017E" w:rsidRPr="00DC5CAD">
              <w:rPr>
                <w:rFonts w:ascii="Arial" w:hAnsi="Arial" w:cs="Arial"/>
                <w:bCs/>
                <w:sz w:val="22"/>
              </w:rPr>
              <w:t>EXPERIENCIA – Fusión</w:t>
            </w:r>
          </w:p>
          <w:p w14:paraId="069BC436" w14:textId="3FE2FB96" w:rsidR="00A37FB6" w:rsidRPr="00DC5CAD" w:rsidRDefault="00A37FB6" w:rsidP="00851174">
            <w:pPr>
              <w:pStyle w:val="Sinespaciado"/>
              <w:jc w:val="both"/>
              <w:rPr>
                <w:rFonts w:ascii="Arial" w:hAnsi="Arial" w:cs="Arial"/>
                <w:bCs/>
                <w:sz w:val="22"/>
              </w:rPr>
            </w:pPr>
          </w:p>
        </w:tc>
      </w:tr>
      <w:tr w:rsidR="00A37FB6" w:rsidRPr="00DC5CAD" w14:paraId="62473A71" w14:textId="77777777" w:rsidTr="000825D8">
        <w:tc>
          <w:tcPr>
            <w:tcW w:w="2689" w:type="dxa"/>
          </w:tcPr>
          <w:p w14:paraId="730BF589" w14:textId="77777777" w:rsidR="00A37FB6" w:rsidRPr="00DC5CAD" w:rsidRDefault="00A37FB6" w:rsidP="00851174">
            <w:pPr>
              <w:pStyle w:val="Sinespaciado"/>
              <w:jc w:val="both"/>
              <w:rPr>
                <w:rFonts w:ascii="Arial" w:hAnsi="Arial" w:cs="Arial"/>
                <w:b/>
                <w:sz w:val="22"/>
              </w:rPr>
            </w:pPr>
            <w:r w:rsidRPr="00DC5CAD">
              <w:rPr>
                <w:rFonts w:ascii="Arial" w:hAnsi="Arial" w:cs="Arial"/>
                <w:b/>
                <w:sz w:val="22"/>
              </w:rPr>
              <w:lastRenderedPageBreak/>
              <w:t xml:space="preserve">Radicación:                              </w:t>
            </w:r>
          </w:p>
        </w:tc>
        <w:tc>
          <w:tcPr>
            <w:tcW w:w="6237" w:type="dxa"/>
          </w:tcPr>
          <w:p w14:paraId="2CD77F9B" w14:textId="4922A9E8" w:rsidR="00A37FB6" w:rsidRPr="00DC5CAD" w:rsidRDefault="00A37FB6" w:rsidP="004D2DD0">
            <w:pPr>
              <w:pStyle w:val="Sinespaciado"/>
              <w:jc w:val="both"/>
              <w:rPr>
                <w:rFonts w:ascii="Arial" w:hAnsi="Arial" w:cs="Arial"/>
                <w:bCs/>
                <w:sz w:val="22"/>
              </w:rPr>
            </w:pPr>
            <w:r w:rsidRPr="00DC5CAD">
              <w:rPr>
                <w:rFonts w:ascii="Arial" w:hAnsi="Arial" w:cs="Arial"/>
                <w:bCs/>
                <w:sz w:val="22"/>
              </w:rPr>
              <w:t xml:space="preserve">Respuesta a consulta # </w:t>
            </w:r>
            <w:r w:rsidR="00592C46" w:rsidRPr="00DC5CAD">
              <w:rPr>
                <w:rFonts w:ascii="Arial" w:hAnsi="Arial" w:cs="Arial"/>
                <w:bCs/>
                <w:sz w:val="22"/>
              </w:rPr>
              <w:t>420201300000</w:t>
            </w:r>
            <w:r w:rsidR="00FB1E56" w:rsidRPr="00DC5CAD">
              <w:rPr>
                <w:rFonts w:ascii="Arial" w:hAnsi="Arial" w:cs="Arial"/>
                <w:bCs/>
                <w:sz w:val="22"/>
              </w:rPr>
              <w:t>7390</w:t>
            </w:r>
          </w:p>
        </w:tc>
      </w:tr>
    </w:tbl>
    <w:p w14:paraId="6199F8C9" w14:textId="77777777" w:rsidR="00A37FB6" w:rsidRPr="00DC5CAD" w:rsidRDefault="00A37FB6" w:rsidP="00D01760">
      <w:pPr>
        <w:jc w:val="both"/>
        <w:rPr>
          <w:rFonts w:ascii="Arial" w:eastAsia="Calibri" w:hAnsi="Arial" w:cs="Arial"/>
          <w:sz w:val="22"/>
        </w:rPr>
      </w:pPr>
    </w:p>
    <w:p w14:paraId="6AEA1AE6" w14:textId="77777777" w:rsidR="00A37FB6" w:rsidRPr="00DC5CAD" w:rsidRDefault="00A37FB6" w:rsidP="00D01760">
      <w:pPr>
        <w:rPr>
          <w:rFonts w:ascii="Arial" w:eastAsia="Calibri" w:hAnsi="Arial" w:cs="Arial"/>
          <w:sz w:val="22"/>
        </w:rPr>
      </w:pPr>
    </w:p>
    <w:p w14:paraId="3216C844" w14:textId="6D96F84D" w:rsidR="00A37FB6" w:rsidRPr="00DC5CAD" w:rsidRDefault="00A37FB6" w:rsidP="004D2DD0">
      <w:pPr>
        <w:spacing w:line="276" w:lineRule="auto"/>
        <w:ind w:right="49"/>
        <w:jc w:val="both"/>
        <w:rPr>
          <w:rFonts w:ascii="Arial" w:eastAsia="Calibri" w:hAnsi="Arial" w:cs="Arial"/>
          <w:sz w:val="22"/>
        </w:rPr>
      </w:pPr>
      <w:r w:rsidRPr="00DC5CAD">
        <w:rPr>
          <w:rFonts w:ascii="Arial" w:eastAsia="Calibri" w:hAnsi="Arial" w:cs="Arial"/>
          <w:sz w:val="22"/>
        </w:rPr>
        <w:t>Estimad</w:t>
      </w:r>
      <w:r w:rsidR="00DC5CAD" w:rsidRPr="00DC5CAD">
        <w:rPr>
          <w:rFonts w:ascii="Arial" w:eastAsia="Calibri" w:hAnsi="Arial" w:cs="Arial"/>
          <w:sz w:val="22"/>
        </w:rPr>
        <w:t>a</w:t>
      </w:r>
      <w:r w:rsidR="00AB745E" w:rsidRPr="00DC5CAD">
        <w:rPr>
          <w:rFonts w:ascii="Arial" w:eastAsia="Calibri" w:hAnsi="Arial" w:cs="Arial"/>
          <w:sz w:val="22"/>
        </w:rPr>
        <w:t xml:space="preserve"> </w:t>
      </w:r>
      <w:r w:rsidRPr="00DC5CAD">
        <w:rPr>
          <w:rFonts w:ascii="Arial" w:eastAsia="Calibri" w:hAnsi="Arial" w:cs="Arial"/>
          <w:sz w:val="22"/>
        </w:rPr>
        <w:t>señor</w:t>
      </w:r>
      <w:r w:rsidR="00DC5CAD" w:rsidRPr="00DC5CAD">
        <w:rPr>
          <w:rFonts w:ascii="Arial" w:eastAsia="Calibri" w:hAnsi="Arial" w:cs="Arial"/>
          <w:sz w:val="22"/>
        </w:rPr>
        <w:t>a</w:t>
      </w:r>
      <w:r w:rsidR="00AB745E" w:rsidRPr="00DC5CAD">
        <w:rPr>
          <w:rFonts w:ascii="Arial" w:eastAsia="Calibri" w:hAnsi="Arial" w:cs="Arial"/>
          <w:sz w:val="22"/>
        </w:rPr>
        <w:t xml:space="preserve"> </w:t>
      </w:r>
      <w:r w:rsidR="00DC5CAD" w:rsidRPr="00DC5CAD">
        <w:rPr>
          <w:rFonts w:ascii="Arial" w:eastAsia="Calibri" w:hAnsi="Arial" w:cs="Arial"/>
          <w:sz w:val="22"/>
        </w:rPr>
        <w:t>Fajardo</w:t>
      </w:r>
      <w:r w:rsidRPr="00DC5CAD">
        <w:rPr>
          <w:rFonts w:ascii="Arial" w:eastAsia="Calibri" w:hAnsi="Arial" w:cs="Arial"/>
          <w:sz w:val="22"/>
        </w:rPr>
        <w:t>,</w:t>
      </w:r>
    </w:p>
    <w:p w14:paraId="2F0DA2F5" w14:textId="77777777" w:rsidR="00A37FB6" w:rsidRPr="00DC5CAD" w:rsidRDefault="00A37FB6" w:rsidP="00D01760">
      <w:pPr>
        <w:rPr>
          <w:rFonts w:ascii="Arial" w:eastAsia="Calibri" w:hAnsi="Arial" w:cs="Arial"/>
          <w:sz w:val="22"/>
        </w:rPr>
      </w:pPr>
    </w:p>
    <w:p w14:paraId="39316B12" w14:textId="03F665DA" w:rsidR="00A37FB6" w:rsidRPr="00DC5CAD" w:rsidRDefault="00A37FB6" w:rsidP="00D01760">
      <w:pPr>
        <w:spacing w:line="276" w:lineRule="auto"/>
        <w:ind w:right="49"/>
        <w:jc w:val="both"/>
        <w:rPr>
          <w:rFonts w:ascii="Arial" w:eastAsia="Calibri" w:hAnsi="Arial" w:cs="Arial"/>
          <w:sz w:val="22"/>
        </w:rPr>
      </w:pPr>
      <w:r w:rsidRPr="00DC5CAD">
        <w:rPr>
          <w:rFonts w:ascii="Arial" w:eastAsia="Calibri" w:hAnsi="Arial" w:cs="Arial"/>
          <w:sz w:val="22"/>
        </w:rPr>
        <w:t>La Agencia Nacional de Contratación Pública ―</w:t>
      </w:r>
      <w:r w:rsidR="004023D4" w:rsidRPr="00DC5CAD">
        <w:rPr>
          <w:rFonts w:ascii="Arial" w:eastAsia="Calibri" w:hAnsi="Arial" w:cs="Arial"/>
          <w:sz w:val="22"/>
        </w:rPr>
        <w:t xml:space="preserve"> </w:t>
      </w:r>
      <w:r w:rsidRPr="00DC5CAD">
        <w:rPr>
          <w:rFonts w:ascii="Arial" w:eastAsia="Calibri" w:hAnsi="Arial" w:cs="Arial"/>
          <w:sz w:val="22"/>
        </w:rPr>
        <w:t>Colombia Compra Eficiente</w:t>
      </w:r>
      <w:r w:rsidR="004023D4" w:rsidRPr="00DC5CAD">
        <w:rPr>
          <w:rFonts w:ascii="Arial" w:eastAsia="Calibri" w:hAnsi="Arial" w:cs="Arial"/>
          <w:sz w:val="22"/>
        </w:rPr>
        <w:t xml:space="preserve"> </w:t>
      </w:r>
      <w:r w:rsidRPr="00DC5CAD">
        <w:rPr>
          <w:rFonts w:ascii="Arial" w:eastAsia="Calibri" w:hAnsi="Arial" w:cs="Arial"/>
          <w:sz w:val="22"/>
        </w:rPr>
        <w:t xml:space="preserve">responde su consulta </w:t>
      </w:r>
      <w:r w:rsidR="00DC5CAD" w:rsidRPr="00DC5CAD">
        <w:rPr>
          <w:rFonts w:ascii="Arial" w:eastAsia="Calibri" w:hAnsi="Arial" w:cs="Arial"/>
          <w:sz w:val="22"/>
        </w:rPr>
        <w:t xml:space="preserve">del 26 de agosto de 2020 </w:t>
      </w:r>
      <w:r w:rsidRPr="00DC5CAD">
        <w:rPr>
          <w:rFonts w:ascii="Arial" w:eastAsia="Calibri" w:hAnsi="Arial" w:cs="Arial"/>
          <w:sz w:val="22"/>
        </w:rPr>
        <w:t xml:space="preserve">en ejercicio de la competencia otorgada por el numeral 8 del artículo 11 y el numeral 5 del artículo 3 del Decreto Ley 4170 de 2011. </w:t>
      </w:r>
    </w:p>
    <w:p w14:paraId="37E551C1" w14:textId="77777777" w:rsidR="00A37FB6" w:rsidRPr="00DC5CAD" w:rsidRDefault="00A37FB6" w:rsidP="004023D4">
      <w:pPr>
        <w:jc w:val="both"/>
        <w:rPr>
          <w:rFonts w:ascii="Arial" w:eastAsia="Calibri" w:hAnsi="Arial" w:cs="Arial"/>
          <w:sz w:val="22"/>
        </w:rPr>
      </w:pPr>
    </w:p>
    <w:p w14:paraId="737E2623" w14:textId="2C927FA1" w:rsidR="00A37FB6" w:rsidRPr="00DC5CAD" w:rsidRDefault="00592C46" w:rsidP="00592C46">
      <w:pPr>
        <w:pStyle w:val="Prrafodelista"/>
        <w:tabs>
          <w:tab w:val="left" w:pos="284"/>
        </w:tabs>
        <w:ind w:left="0"/>
        <w:jc w:val="both"/>
        <w:rPr>
          <w:rFonts w:ascii="Arial" w:eastAsia="Calibri" w:hAnsi="Arial" w:cs="Arial"/>
          <w:b/>
          <w:sz w:val="22"/>
        </w:rPr>
      </w:pPr>
      <w:r w:rsidRPr="00DC5CAD">
        <w:rPr>
          <w:rFonts w:ascii="Arial" w:eastAsia="Calibri" w:hAnsi="Arial" w:cs="Arial"/>
          <w:b/>
          <w:sz w:val="22"/>
        </w:rPr>
        <w:t xml:space="preserve">1. </w:t>
      </w:r>
      <w:r w:rsidR="00A37FB6" w:rsidRPr="00DC5CAD">
        <w:rPr>
          <w:rFonts w:ascii="Arial" w:eastAsia="Calibri" w:hAnsi="Arial" w:cs="Arial"/>
          <w:b/>
          <w:sz w:val="22"/>
        </w:rPr>
        <w:t>Problema planteado</w:t>
      </w:r>
    </w:p>
    <w:p w14:paraId="498A026D" w14:textId="77777777" w:rsidR="00A37FB6" w:rsidRPr="00DC5CAD" w:rsidRDefault="00A37FB6" w:rsidP="004023D4">
      <w:pPr>
        <w:tabs>
          <w:tab w:val="left" w:pos="426"/>
        </w:tabs>
        <w:jc w:val="both"/>
        <w:rPr>
          <w:rFonts w:ascii="Arial" w:eastAsia="Calibri" w:hAnsi="Arial" w:cs="Arial"/>
          <w:b/>
          <w:sz w:val="22"/>
        </w:rPr>
      </w:pPr>
    </w:p>
    <w:p w14:paraId="40DBE8C8" w14:textId="52998B8F" w:rsidR="000E3CFC" w:rsidRPr="00DC5CAD" w:rsidRDefault="00A37FB6" w:rsidP="00FB1E56">
      <w:pPr>
        <w:autoSpaceDE w:val="0"/>
        <w:autoSpaceDN w:val="0"/>
        <w:adjustRightInd w:val="0"/>
        <w:spacing w:line="276" w:lineRule="auto"/>
        <w:jc w:val="both"/>
        <w:rPr>
          <w:rFonts w:ascii="Arial" w:eastAsia="Calibri" w:hAnsi="Arial" w:cs="Arial"/>
          <w:sz w:val="22"/>
        </w:rPr>
      </w:pPr>
      <w:r w:rsidRPr="00DC5CAD">
        <w:rPr>
          <w:rFonts w:ascii="Arial" w:eastAsia="Calibri" w:hAnsi="Arial" w:cs="Arial"/>
          <w:sz w:val="22"/>
        </w:rPr>
        <w:t>Usted realiza la</w:t>
      </w:r>
      <w:r w:rsidR="000E3CFC" w:rsidRPr="00DC5CAD">
        <w:rPr>
          <w:rFonts w:ascii="Arial" w:eastAsia="Calibri" w:hAnsi="Arial" w:cs="Arial"/>
          <w:sz w:val="22"/>
        </w:rPr>
        <w:t>s</w:t>
      </w:r>
      <w:r w:rsidRPr="00DC5CAD">
        <w:rPr>
          <w:rFonts w:ascii="Arial" w:eastAsia="Calibri" w:hAnsi="Arial" w:cs="Arial"/>
          <w:sz w:val="22"/>
        </w:rPr>
        <w:t xml:space="preserve"> siguiente</w:t>
      </w:r>
      <w:r w:rsidR="000E3CFC" w:rsidRPr="00DC5CAD">
        <w:rPr>
          <w:rFonts w:ascii="Arial" w:eastAsia="Calibri" w:hAnsi="Arial" w:cs="Arial"/>
          <w:sz w:val="22"/>
        </w:rPr>
        <w:t>s</w:t>
      </w:r>
      <w:r w:rsidRPr="00DC5CAD">
        <w:rPr>
          <w:rFonts w:ascii="Arial" w:eastAsia="Calibri" w:hAnsi="Arial" w:cs="Arial"/>
          <w:sz w:val="22"/>
        </w:rPr>
        <w:t xml:space="preserve"> pregunta</w:t>
      </w:r>
      <w:r w:rsidR="000E3CFC" w:rsidRPr="00DC5CAD">
        <w:rPr>
          <w:rFonts w:ascii="Arial" w:eastAsia="Calibri" w:hAnsi="Arial" w:cs="Arial"/>
          <w:sz w:val="22"/>
        </w:rPr>
        <w:t>s</w:t>
      </w:r>
      <w:r w:rsidRPr="00DC5CAD">
        <w:rPr>
          <w:rFonts w:ascii="Arial" w:eastAsia="Calibri" w:hAnsi="Arial" w:cs="Arial"/>
          <w:sz w:val="22"/>
        </w:rPr>
        <w:t>:</w:t>
      </w:r>
      <w:r w:rsidR="00885322" w:rsidRPr="00DC5CAD">
        <w:rPr>
          <w:rFonts w:ascii="Arial" w:eastAsia="Calibri" w:hAnsi="Arial" w:cs="Arial"/>
          <w:sz w:val="22"/>
        </w:rPr>
        <w:t xml:space="preserve"> </w:t>
      </w:r>
      <w:proofErr w:type="gramStart"/>
      <w:r w:rsidR="000E3CFC" w:rsidRPr="00DC5CAD">
        <w:rPr>
          <w:rFonts w:ascii="Arial" w:eastAsia="Calibri" w:hAnsi="Arial" w:cs="Arial"/>
          <w:sz w:val="22"/>
        </w:rPr>
        <w:t>i)</w:t>
      </w:r>
      <w:r w:rsidR="007B6436" w:rsidRPr="00DC5CAD">
        <w:rPr>
          <w:rFonts w:ascii="Arial" w:eastAsia="Calibri" w:hAnsi="Arial" w:cs="Arial"/>
          <w:sz w:val="22"/>
        </w:rPr>
        <w:t>«</w:t>
      </w:r>
      <w:proofErr w:type="spellStart"/>
      <w:proofErr w:type="gramEnd"/>
      <w:r w:rsidR="000E3CFC" w:rsidRPr="00DC5CAD">
        <w:rPr>
          <w:rFonts w:ascii="Arial" w:hAnsi="Arial" w:cs="Arial"/>
          <w:sz w:val="22"/>
          <w:lang w:val="es-CO"/>
        </w:rPr>
        <w:t>que</w:t>
      </w:r>
      <w:proofErr w:type="spellEnd"/>
      <w:r w:rsidR="000E3CFC" w:rsidRPr="00DC5CAD">
        <w:rPr>
          <w:rFonts w:ascii="Arial" w:hAnsi="Arial" w:cs="Arial"/>
          <w:sz w:val="22"/>
          <w:lang w:val="es-CO"/>
        </w:rPr>
        <w:t xml:space="preserve"> pasa si dentro del curso de un proceso licitatorio (observaciones y evaluaciones), ¿el termino de 3 años otorgado por la Ley es cumplido?» </w:t>
      </w:r>
      <w:proofErr w:type="spellStart"/>
      <w:r w:rsidR="000E3CFC" w:rsidRPr="00DC5CAD">
        <w:rPr>
          <w:rFonts w:ascii="Arial" w:hAnsi="Arial" w:cs="Arial"/>
          <w:sz w:val="22"/>
          <w:lang w:val="es-CO"/>
        </w:rPr>
        <w:t>ii</w:t>
      </w:r>
      <w:proofErr w:type="spellEnd"/>
      <w:r w:rsidR="000E3CFC" w:rsidRPr="00DC5CAD">
        <w:rPr>
          <w:rFonts w:ascii="Arial" w:hAnsi="Arial" w:cs="Arial"/>
          <w:sz w:val="22"/>
          <w:lang w:val="es-CO"/>
        </w:rPr>
        <w:t>) «¿</w:t>
      </w:r>
      <w:proofErr w:type="spellStart"/>
      <w:r w:rsidR="000E3CFC" w:rsidRPr="00DC5CAD">
        <w:rPr>
          <w:rFonts w:ascii="Arial" w:hAnsi="Arial" w:cs="Arial"/>
          <w:sz w:val="22"/>
          <w:lang w:val="es-CO"/>
        </w:rPr>
        <w:t>Que</w:t>
      </w:r>
      <w:proofErr w:type="spellEnd"/>
      <w:r w:rsidR="000E3CFC" w:rsidRPr="00DC5CAD">
        <w:rPr>
          <w:rFonts w:ascii="Arial" w:hAnsi="Arial" w:cs="Arial"/>
          <w:sz w:val="22"/>
          <w:lang w:val="es-CO"/>
        </w:rPr>
        <w:t xml:space="preserve"> consecuencias tiene el cumplimiento del </w:t>
      </w:r>
      <w:proofErr w:type="spellStart"/>
      <w:r w:rsidR="000E3CFC" w:rsidRPr="00DC5CAD">
        <w:rPr>
          <w:rFonts w:ascii="Arial" w:hAnsi="Arial" w:cs="Arial"/>
          <w:sz w:val="22"/>
          <w:lang w:val="es-CO"/>
        </w:rPr>
        <w:t>termino</w:t>
      </w:r>
      <w:proofErr w:type="spellEnd"/>
      <w:r w:rsidR="000E3CFC" w:rsidRPr="00DC5CAD">
        <w:rPr>
          <w:rFonts w:ascii="Arial" w:hAnsi="Arial" w:cs="Arial"/>
          <w:sz w:val="22"/>
          <w:lang w:val="es-CO"/>
        </w:rPr>
        <w:t xml:space="preserve"> de 3 años para la presentación de la oferta del proponente?» </w:t>
      </w:r>
      <w:proofErr w:type="spellStart"/>
      <w:r w:rsidR="000E3CFC" w:rsidRPr="00DC5CAD">
        <w:rPr>
          <w:rFonts w:ascii="Arial" w:hAnsi="Arial" w:cs="Arial"/>
          <w:sz w:val="22"/>
          <w:lang w:val="es-CO"/>
        </w:rPr>
        <w:t>iii</w:t>
      </w:r>
      <w:proofErr w:type="spellEnd"/>
      <w:r w:rsidR="000E3CFC" w:rsidRPr="00DC5CAD">
        <w:rPr>
          <w:rFonts w:ascii="Arial" w:hAnsi="Arial" w:cs="Arial"/>
          <w:sz w:val="22"/>
          <w:lang w:val="es-CO"/>
        </w:rPr>
        <w:t xml:space="preserve">) </w:t>
      </w:r>
      <w:r w:rsidR="00FB1E56" w:rsidRPr="00DC5CAD">
        <w:rPr>
          <w:rFonts w:ascii="Arial" w:hAnsi="Arial" w:cs="Arial"/>
          <w:sz w:val="22"/>
          <w:lang w:val="es-CO"/>
        </w:rPr>
        <w:t>«</w:t>
      </w:r>
      <w:r w:rsidR="000E3CFC" w:rsidRPr="00DC5CAD">
        <w:rPr>
          <w:rFonts w:ascii="Arial" w:hAnsi="Arial" w:cs="Arial"/>
          <w:sz w:val="22"/>
          <w:lang w:val="es-CO"/>
        </w:rPr>
        <w:t>¿Que ocurre con el traslado de la experiencia en el RUP de una compañía que se fusiona con otra? ¿La compañía que adquiere la otra compañía adquiere su experiencia?»</w:t>
      </w:r>
      <w:r w:rsidR="00FB1E56" w:rsidRPr="00DC5CAD">
        <w:rPr>
          <w:rFonts w:ascii="Arial" w:hAnsi="Arial" w:cs="Arial"/>
          <w:sz w:val="22"/>
          <w:lang w:val="es-CO"/>
        </w:rPr>
        <w:t>.</w:t>
      </w:r>
    </w:p>
    <w:p w14:paraId="6A982790" w14:textId="77777777" w:rsidR="00A37FB6" w:rsidRPr="00DC5CAD" w:rsidRDefault="00A37FB6" w:rsidP="004023D4">
      <w:pPr>
        <w:tabs>
          <w:tab w:val="left" w:pos="426"/>
        </w:tabs>
        <w:jc w:val="both"/>
        <w:rPr>
          <w:rFonts w:ascii="Arial" w:eastAsia="Calibri" w:hAnsi="Arial" w:cs="Arial"/>
          <w:sz w:val="22"/>
        </w:rPr>
      </w:pPr>
    </w:p>
    <w:p w14:paraId="6A32A1B1" w14:textId="7BFEFFD4" w:rsidR="00A37FB6" w:rsidRPr="00DC5CAD" w:rsidRDefault="00592C46" w:rsidP="00592C46">
      <w:pPr>
        <w:tabs>
          <w:tab w:val="left" w:pos="426"/>
        </w:tabs>
        <w:jc w:val="both"/>
        <w:rPr>
          <w:rFonts w:ascii="Arial" w:eastAsia="Calibri" w:hAnsi="Arial" w:cs="Arial"/>
          <w:b/>
          <w:sz w:val="22"/>
        </w:rPr>
      </w:pPr>
      <w:r w:rsidRPr="00DC5CAD">
        <w:rPr>
          <w:rFonts w:ascii="Arial" w:eastAsia="Calibri" w:hAnsi="Arial" w:cs="Arial"/>
          <w:b/>
          <w:sz w:val="22"/>
        </w:rPr>
        <w:t xml:space="preserve">2. </w:t>
      </w:r>
      <w:r w:rsidR="00A37FB6" w:rsidRPr="00DC5CAD">
        <w:rPr>
          <w:rFonts w:ascii="Arial" w:eastAsia="Calibri" w:hAnsi="Arial" w:cs="Arial"/>
          <w:b/>
          <w:sz w:val="22"/>
        </w:rPr>
        <w:t>Consideraciones</w:t>
      </w:r>
    </w:p>
    <w:bookmarkEnd w:id="1"/>
    <w:p w14:paraId="0EDDB750" w14:textId="15B7F130" w:rsidR="0006498C" w:rsidRPr="00DC5CAD" w:rsidRDefault="0006498C" w:rsidP="004023D4">
      <w:pPr>
        <w:jc w:val="both"/>
        <w:rPr>
          <w:rFonts w:ascii="Arial" w:hAnsi="Arial" w:cs="Arial"/>
          <w:sz w:val="22"/>
        </w:rPr>
      </w:pPr>
    </w:p>
    <w:p w14:paraId="494E049F" w14:textId="44D86524" w:rsidR="00F2587E" w:rsidRPr="00DC5CAD" w:rsidRDefault="00F2587E" w:rsidP="00F2587E">
      <w:pPr>
        <w:spacing w:after="120" w:line="276" w:lineRule="auto"/>
        <w:jc w:val="both"/>
        <w:rPr>
          <w:rFonts w:ascii="Arial" w:eastAsia="Calibri" w:hAnsi="Arial" w:cs="Arial"/>
          <w:sz w:val="22"/>
        </w:rPr>
      </w:pPr>
      <w:r w:rsidRPr="00DC5CAD">
        <w:rPr>
          <w:rFonts w:ascii="Arial" w:eastAsia="Calibri" w:hAnsi="Arial" w:cs="Arial"/>
          <w:sz w:val="22"/>
        </w:rPr>
        <w:t xml:space="preserve">La Agencia Nacional de Contratación Pública </w:t>
      </w:r>
      <w:r w:rsidR="00743973">
        <w:rPr>
          <w:rFonts w:ascii="Arial" w:eastAsia="Calibri" w:hAnsi="Arial" w:cs="Arial"/>
          <w:sz w:val="22"/>
        </w:rPr>
        <w:t>–</w:t>
      </w:r>
      <w:r w:rsidRPr="00DC5CAD">
        <w:rPr>
          <w:rFonts w:ascii="Arial" w:eastAsia="Calibri" w:hAnsi="Arial" w:cs="Arial"/>
          <w:sz w:val="22"/>
        </w:rPr>
        <w:t xml:space="preserve"> Colombia Compra Eficiente, en el concepto con radicado 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DC5CAD">
        <w:rPr>
          <w:rFonts w:ascii="Arial" w:hAnsi="Arial" w:cs="Arial"/>
          <w:sz w:val="22"/>
        </w:rPr>
        <w:t xml:space="preserve">4201913000006797 del 19 de noviembre de 2019, </w:t>
      </w:r>
      <w:r w:rsidRPr="00DC5CAD">
        <w:rPr>
          <w:rFonts w:ascii="Arial" w:eastAsia="Calibri" w:hAnsi="Arial" w:cs="Arial"/>
          <w:sz w:val="22"/>
        </w:rPr>
        <w:t>4201912000007182 del 3 de diciembre de 2019, 4201912000007607 del 9 de diciembre de 2019,</w:t>
      </w:r>
      <w:r w:rsidR="00F61A30">
        <w:rPr>
          <w:rFonts w:ascii="Arial" w:eastAsia="Calibri" w:hAnsi="Arial" w:cs="Arial"/>
          <w:sz w:val="22"/>
        </w:rPr>
        <w:t xml:space="preserve"> </w:t>
      </w:r>
      <w:r w:rsidR="00F61A30" w:rsidRPr="00DC5CAD">
        <w:rPr>
          <w:rFonts w:ascii="Arial" w:eastAsia="Calibri" w:hAnsi="Arial" w:cs="Arial"/>
          <w:sz w:val="22"/>
        </w:rPr>
        <w:t>4201912000007512 del 16 de diciembre de 2019</w:t>
      </w:r>
      <w:r w:rsidR="00F61A30">
        <w:rPr>
          <w:rFonts w:ascii="Arial" w:eastAsia="Calibri" w:hAnsi="Arial" w:cs="Arial"/>
          <w:sz w:val="22"/>
        </w:rPr>
        <w:t>,</w:t>
      </w:r>
      <w:r w:rsidRPr="00DC5CAD">
        <w:rPr>
          <w:rFonts w:ascii="Arial" w:eastAsia="Calibri" w:hAnsi="Arial" w:cs="Arial"/>
          <w:sz w:val="22"/>
        </w:rPr>
        <w:t xml:space="preserve"> </w:t>
      </w:r>
      <w:r w:rsidR="00F61A30" w:rsidRPr="00DC5CAD">
        <w:rPr>
          <w:rFonts w:ascii="Arial" w:eastAsia="Calibri" w:hAnsi="Arial" w:cs="Arial"/>
          <w:sz w:val="22"/>
        </w:rPr>
        <w:t>C-051 del 2 de marzo de 2020</w:t>
      </w:r>
      <w:r w:rsidR="00F61A30">
        <w:rPr>
          <w:rFonts w:ascii="Arial" w:eastAsia="Calibri" w:hAnsi="Arial" w:cs="Arial"/>
          <w:sz w:val="22"/>
        </w:rPr>
        <w:t xml:space="preserve">, </w:t>
      </w:r>
      <w:r w:rsidRPr="00DC5CAD">
        <w:rPr>
          <w:rFonts w:ascii="Arial" w:eastAsia="Calibri" w:hAnsi="Arial" w:cs="Arial"/>
          <w:sz w:val="22"/>
        </w:rPr>
        <w:t>C-025 del 16 de marzo de 2020, C-165 del 1 de abril de 2020, C-233 del 16 de abril de 2020, C-407 de 12 de junio de 2020, C-398 de 30 de junio de 2020, C-470 del 14 de julio de 2020, C-509 del 19 de agosto de 2020, entre otros, estudió la acreditación de la experiencia de los socios por una sociedad con menos de 3 años de constitución. L</w:t>
      </w:r>
      <w:r w:rsidR="000E3CFC" w:rsidRPr="00DC5CAD">
        <w:rPr>
          <w:rFonts w:ascii="Arial" w:eastAsia="Calibri" w:hAnsi="Arial" w:cs="Arial"/>
          <w:sz w:val="22"/>
        </w:rPr>
        <w:t>os</w:t>
      </w:r>
      <w:r w:rsidRPr="00DC5CAD">
        <w:rPr>
          <w:rFonts w:ascii="Arial" w:eastAsia="Calibri" w:hAnsi="Arial" w:cs="Arial"/>
          <w:sz w:val="22"/>
        </w:rPr>
        <w:t xml:space="preserve"> </w:t>
      </w:r>
      <w:r w:rsidR="000E3CFC" w:rsidRPr="00DC5CAD">
        <w:rPr>
          <w:rFonts w:ascii="Arial" w:eastAsia="Calibri" w:hAnsi="Arial" w:cs="Arial"/>
          <w:sz w:val="22"/>
        </w:rPr>
        <w:t>argumentos expuestos y reiterados en estos</w:t>
      </w:r>
      <w:r w:rsidRPr="00DC5CAD">
        <w:rPr>
          <w:rFonts w:ascii="Arial" w:eastAsia="Calibri" w:hAnsi="Arial" w:cs="Arial"/>
          <w:sz w:val="22"/>
        </w:rPr>
        <w:t xml:space="preserve"> conceptos se r</w:t>
      </w:r>
      <w:r w:rsidR="000E3CFC" w:rsidRPr="00DC5CAD">
        <w:rPr>
          <w:rFonts w:ascii="Arial" w:eastAsia="Calibri" w:hAnsi="Arial" w:cs="Arial"/>
          <w:sz w:val="22"/>
        </w:rPr>
        <w:t>atifican</w:t>
      </w:r>
      <w:r w:rsidRPr="00DC5CAD">
        <w:rPr>
          <w:rFonts w:ascii="Arial" w:eastAsia="Calibri" w:hAnsi="Arial" w:cs="Arial"/>
          <w:sz w:val="22"/>
        </w:rPr>
        <w:t xml:space="preserve"> a continuación.</w:t>
      </w:r>
    </w:p>
    <w:p w14:paraId="05B73F2D" w14:textId="3CACE32E" w:rsidR="00F2587E" w:rsidRPr="00DC5CAD" w:rsidRDefault="00F2587E" w:rsidP="000E3CFC">
      <w:pPr>
        <w:spacing w:line="276" w:lineRule="auto"/>
        <w:jc w:val="both"/>
        <w:rPr>
          <w:rFonts w:ascii="Arial" w:eastAsia="Calibri" w:hAnsi="Arial" w:cs="Arial"/>
          <w:sz w:val="22"/>
        </w:rPr>
      </w:pPr>
      <w:r w:rsidRPr="00DC5CAD">
        <w:rPr>
          <w:rFonts w:ascii="Arial" w:eastAsia="Calibri" w:hAnsi="Arial" w:cs="Arial"/>
          <w:sz w:val="22"/>
        </w:rPr>
        <w:tab/>
      </w:r>
      <w:r w:rsidR="000E3CFC" w:rsidRPr="00DC5CAD">
        <w:rPr>
          <w:rFonts w:ascii="Arial" w:eastAsia="Calibri" w:hAnsi="Arial" w:cs="Arial"/>
          <w:sz w:val="22"/>
        </w:rPr>
        <w:t xml:space="preserve">De otra parte, </w:t>
      </w:r>
      <w:r w:rsidRPr="00DC5CAD">
        <w:rPr>
          <w:rFonts w:ascii="Arial" w:eastAsia="Calibri" w:hAnsi="Arial" w:cs="Arial"/>
          <w:sz w:val="22"/>
        </w:rPr>
        <w:t>en el concepto con radicado No. C - 002 del 20 de febrero de 2020,</w:t>
      </w:r>
      <w:r w:rsidR="000E3CFC" w:rsidRPr="00DC5CAD">
        <w:rPr>
          <w:rFonts w:ascii="Arial" w:eastAsia="Calibri" w:hAnsi="Arial" w:cs="Arial"/>
          <w:sz w:val="22"/>
        </w:rPr>
        <w:t xml:space="preserve"> esta Agencia </w:t>
      </w:r>
      <w:r w:rsidRPr="00DC5CAD">
        <w:rPr>
          <w:rFonts w:ascii="Arial" w:eastAsia="Calibri" w:hAnsi="Arial" w:cs="Arial"/>
          <w:sz w:val="22"/>
        </w:rPr>
        <w:t xml:space="preserve">se pronunció nuevamente sobre las figuras y reformas estatutarias de transformación, fusión y escisión, el cual recoge y cambia la posición anterior de la Subdirección de Gestión Contractual sobre el tema, expresada en los conceptos 215130007347 del 7 de octubre de 2015, 4201714000000888 del 22 de marzo de 2017 y 4201814000009419 del 24 de diciembre de 2018. </w:t>
      </w:r>
      <w:r w:rsidR="000E3CFC" w:rsidRPr="00DC5CAD">
        <w:rPr>
          <w:rFonts w:ascii="Arial" w:eastAsia="Calibri" w:hAnsi="Arial" w:cs="Arial"/>
          <w:sz w:val="22"/>
        </w:rPr>
        <w:t>Estos conceptos sostenían que en la fusión y en la escisión no era posible la transferencia de la experiencia porque esta es personal e intransferible, de acuerdo con el artículo 2.2.1.1.1.5.3. del Decreto 1082 de 2015</w:t>
      </w:r>
      <w:r w:rsidR="000E3CFC" w:rsidRPr="00DC5CAD">
        <w:rPr>
          <w:rStyle w:val="Refdenotaalpie"/>
          <w:rFonts w:ascii="Arial" w:eastAsia="Calibri" w:hAnsi="Arial" w:cs="Arial"/>
          <w:sz w:val="22"/>
        </w:rPr>
        <w:footnoteReference w:id="1"/>
      </w:r>
      <w:r w:rsidR="000E3CFC" w:rsidRPr="00DC5CAD">
        <w:rPr>
          <w:rFonts w:ascii="Arial" w:eastAsia="Calibri" w:hAnsi="Arial" w:cs="Arial"/>
          <w:sz w:val="22"/>
        </w:rPr>
        <w:t xml:space="preserve">. No obstante, de conformidad con la regulación aplicable y teniendo en cuenta los conceptos de «disolución» y «liquidación» del Código de Comercio, que se desarrollarán más adelante, en el concepto C - 002 del 20 de febrero de 2020 </w:t>
      </w:r>
      <w:r w:rsidR="00743973">
        <w:rPr>
          <w:rFonts w:ascii="Arial" w:eastAsia="Calibri" w:hAnsi="Arial" w:cs="Arial"/>
          <w:sz w:val="22"/>
        </w:rPr>
        <w:t>señaló</w:t>
      </w:r>
      <w:r w:rsidR="000E3CFC" w:rsidRPr="00DC5CAD">
        <w:rPr>
          <w:rFonts w:ascii="Arial" w:eastAsia="Calibri" w:hAnsi="Arial" w:cs="Arial"/>
          <w:sz w:val="22"/>
        </w:rPr>
        <w:t xml:space="preserve"> que es viable la transferencia de experiencia en la transformación y en la fusión, pero no en la escisión</w:t>
      </w:r>
      <w:r w:rsidR="008C1939">
        <w:rPr>
          <w:rFonts w:ascii="Arial" w:eastAsia="Calibri" w:hAnsi="Arial" w:cs="Arial"/>
          <w:sz w:val="22"/>
        </w:rPr>
        <w:t>,</w:t>
      </w:r>
      <w:r w:rsidR="000E3CFC" w:rsidRPr="00DC5CAD">
        <w:rPr>
          <w:rFonts w:ascii="Arial" w:eastAsia="Calibri" w:hAnsi="Arial" w:cs="Arial"/>
          <w:sz w:val="22"/>
        </w:rPr>
        <w:t xml:space="preserve"> lo cual se ratifica ahora. La tesis desarrollada en dicho concepto, reiterada en el concepto C-491 del 27 de julio de 2020 es la que se expone a continuación.</w:t>
      </w:r>
    </w:p>
    <w:p w14:paraId="77C55214" w14:textId="77777777" w:rsidR="000E3CFC" w:rsidRPr="00DC5CAD" w:rsidRDefault="000E3CFC">
      <w:pPr>
        <w:spacing w:line="276" w:lineRule="auto"/>
        <w:jc w:val="both"/>
        <w:rPr>
          <w:rFonts w:ascii="Arial" w:hAnsi="Arial" w:cs="Arial"/>
          <w:b/>
          <w:bCs/>
          <w:sz w:val="22"/>
        </w:rPr>
      </w:pPr>
    </w:p>
    <w:p w14:paraId="494225C3" w14:textId="546B8CC3" w:rsidR="00F2587E" w:rsidRDefault="00F2587E" w:rsidP="006451EE">
      <w:pPr>
        <w:spacing w:line="276" w:lineRule="auto"/>
        <w:jc w:val="both"/>
        <w:rPr>
          <w:rFonts w:ascii="Arial" w:hAnsi="Arial" w:cs="Arial"/>
          <w:b/>
          <w:bCs/>
          <w:sz w:val="22"/>
        </w:rPr>
      </w:pPr>
      <w:r w:rsidRPr="00DC5CAD">
        <w:rPr>
          <w:rFonts w:ascii="Arial" w:hAnsi="Arial" w:cs="Arial"/>
          <w:b/>
          <w:bCs/>
          <w:sz w:val="22"/>
        </w:rPr>
        <w:t>2.1. Acreditación de experiencia de socios por parte de sociedades con menos de tres años de constitución</w:t>
      </w:r>
    </w:p>
    <w:p w14:paraId="3D03EE3B" w14:textId="77777777" w:rsidR="00743973" w:rsidRPr="00DC5CAD" w:rsidRDefault="00743973" w:rsidP="006451EE">
      <w:pPr>
        <w:spacing w:line="276" w:lineRule="auto"/>
        <w:jc w:val="both"/>
        <w:rPr>
          <w:rFonts w:ascii="Arial" w:hAnsi="Arial" w:cs="Arial"/>
          <w:b/>
          <w:bCs/>
          <w:sz w:val="22"/>
        </w:rPr>
      </w:pPr>
    </w:p>
    <w:p w14:paraId="51142E7D" w14:textId="107A9210" w:rsidR="00F2587E" w:rsidRPr="00DC5CAD" w:rsidRDefault="00F2587E" w:rsidP="006451EE">
      <w:pPr>
        <w:spacing w:before="120" w:after="120" w:line="276" w:lineRule="auto"/>
        <w:jc w:val="both"/>
        <w:rPr>
          <w:rFonts w:ascii="Arial" w:hAnsi="Arial" w:cs="Arial"/>
          <w:sz w:val="22"/>
        </w:rPr>
      </w:pPr>
      <w:r w:rsidRPr="00DC5CAD">
        <w:rPr>
          <w:rFonts w:ascii="Arial" w:hAnsi="Arial" w:cs="Arial"/>
          <w:sz w:val="22"/>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participar en los procesos de selección y no otorgarán puntaje; con excepción de la selección de consultores mediante un concurso de méritos, donde es posible otorgar puntaje al criterio de experiencia. </w:t>
      </w:r>
    </w:p>
    <w:p w14:paraId="0E484C60"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06A6C5FC"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DC5CAD">
        <w:rPr>
          <w:rStyle w:val="Refdenotaalpie"/>
          <w:rFonts w:ascii="Arial" w:hAnsi="Arial" w:cs="Arial"/>
          <w:sz w:val="22"/>
        </w:rPr>
        <w:footnoteReference w:id="2"/>
      </w:r>
      <w:r w:rsidRPr="00DC5CAD">
        <w:rPr>
          <w:rFonts w:ascii="Arial" w:hAnsi="Arial" w:cs="Arial"/>
          <w:sz w:val="22"/>
        </w:rPr>
        <w:t xml:space="preserve">.  </w:t>
      </w:r>
    </w:p>
    <w:p w14:paraId="4706167C"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El numeral 2.5</w:t>
      </w:r>
      <w:r w:rsidRPr="00DC5CAD">
        <w:rPr>
          <w:rStyle w:val="Refdenotaalpie"/>
          <w:rFonts w:ascii="Arial" w:hAnsi="Arial" w:cs="Arial"/>
          <w:sz w:val="22"/>
        </w:rPr>
        <w:footnoteReference w:id="3"/>
      </w:r>
      <w:r w:rsidRPr="00DC5CAD">
        <w:rPr>
          <w:rFonts w:ascii="Arial" w:hAnsi="Arial" w:cs="Arial"/>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4F9966E4"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4B0D1C7B"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w:t>
      </w:r>
      <w:r w:rsidRPr="00DC5CAD">
        <w:rPr>
          <w:rFonts w:ascii="Arial" w:eastAsia="Calibri" w:hAnsi="Arial" w:cs="Arial"/>
          <w:sz w:val="22"/>
        </w:rPr>
        <w:t>─</w:t>
      </w:r>
      <w:r w:rsidRPr="00DC5CAD">
        <w:rPr>
          <w:rFonts w:ascii="Arial" w:hAnsi="Arial" w:cs="Arial"/>
          <w:sz w:val="22"/>
        </w:rPr>
        <w:t>con menos de 3 años de constitución</w:t>
      </w:r>
      <w:r w:rsidRPr="00DC5CAD">
        <w:rPr>
          <w:rFonts w:ascii="Arial" w:eastAsia="Calibri" w:hAnsi="Arial" w:cs="Arial"/>
          <w:sz w:val="22"/>
        </w:rPr>
        <w:t>─</w:t>
      </w:r>
      <w:r w:rsidRPr="00DC5CAD">
        <w:rPr>
          <w:rFonts w:ascii="Arial" w:hAnsi="Arial" w:cs="Arial"/>
          <w:sz w:val="22"/>
        </w:rPr>
        <w:t xml:space="preserve"> puedan acreditar como experiencia en el RUP la de sus accionistas, socios o constituyentes. </w:t>
      </w:r>
    </w:p>
    <w:p w14:paraId="510A8ADA"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1C7DA3D1"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1B023B81"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 xml:space="preserve">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w:t>
      </w:r>
    </w:p>
    <w:p w14:paraId="3FB18EA4"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 xml:space="preserve">Estos interrogantes han sido planteados a la Subdirección de Gestión Contractual, y se ha dado respuestas en uno y otro sentido. Así, en el concepto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  </w:t>
      </w:r>
    </w:p>
    <w:p w14:paraId="19BA0E0F"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 xml:space="preserve">Teniendo en cuenta lo anterior, aunque la persona jurídica tenga más de tres años de constituida y haya registrado inicialmente la experiencia de sus socios en el RUP </w:t>
      </w:r>
      <w:r w:rsidRPr="00DC5CAD">
        <w:rPr>
          <w:rFonts w:ascii="Arial" w:eastAsia="Calibri" w:hAnsi="Arial" w:cs="Arial"/>
          <w:sz w:val="22"/>
        </w:rPr>
        <w:t>―</w:t>
      </w:r>
      <w:r w:rsidRPr="00DC5CAD">
        <w:rPr>
          <w:rFonts w:ascii="Arial" w:hAnsi="Arial" w:cs="Arial"/>
          <w:sz w:val="22"/>
        </w:rPr>
        <w:t>pues su constitución era inferior a tres años</w:t>
      </w:r>
      <w:r w:rsidRPr="00DC5CAD">
        <w:rPr>
          <w:rFonts w:ascii="Arial" w:eastAsia="Calibri" w:hAnsi="Arial" w:cs="Arial"/>
          <w:sz w:val="22"/>
        </w:rPr>
        <w:t>―</w:t>
      </w:r>
      <w:r w:rsidRPr="00DC5CAD">
        <w:rPr>
          <w:rFonts w:ascii="Arial" w:hAnsi="Arial" w:cs="Arial"/>
          <w:sz w:val="22"/>
        </w:rPr>
        <w:t xml:space="preserve"> y este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11BA1F2F"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 xml:space="preserve">Posición contraria se adoptó en un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2C4AF75C"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 xml:space="preserve">i) La posición de Colombia Compra Eficiente respecto a la validez de la experiencia de los accionistas, socios o constituyentes, acreditada en el RUP por una sociedad nueva, cuando está ya superó los 3 años de constituida, ha variado. </w:t>
      </w:r>
    </w:p>
    <w:p w14:paraId="5300617B" w14:textId="77777777" w:rsidR="00F2587E" w:rsidRPr="00DC5CAD" w:rsidRDefault="00F2587E" w:rsidP="00F2587E">
      <w:pPr>
        <w:spacing w:before="120" w:after="120" w:line="276" w:lineRule="auto"/>
        <w:ind w:firstLine="708"/>
        <w:jc w:val="both"/>
        <w:rPr>
          <w:rFonts w:ascii="Arial" w:hAnsi="Arial" w:cs="Arial"/>
          <w:sz w:val="22"/>
        </w:rPr>
      </w:pPr>
      <w:proofErr w:type="spellStart"/>
      <w:r w:rsidRPr="00DC5CAD">
        <w:rPr>
          <w:rFonts w:ascii="Arial" w:hAnsi="Arial" w:cs="Arial"/>
          <w:sz w:val="22"/>
        </w:rPr>
        <w:t>ii</w:t>
      </w:r>
      <w:proofErr w:type="spellEnd"/>
      <w:r w:rsidRPr="00DC5CAD">
        <w:rPr>
          <w:rFonts w:ascii="Arial" w:hAnsi="Arial" w:cs="Arial"/>
          <w:sz w:val="22"/>
        </w:rPr>
        <w:t xml:space="preserve">) El Decreto 1082 de 2015 establece </w:t>
      </w:r>
      <w:proofErr w:type="gramStart"/>
      <w:r w:rsidRPr="00DC5CAD">
        <w:rPr>
          <w:rFonts w:ascii="Arial" w:hAnsi="Arial" w:cs="Arial"/>
          <w:sz w:val="22"/>
        </w:rPr>
        <w:t>que</w:t>
      </w:r>
      <w:proofErr w:type="gramEnd"/>
      <w:r w:rsidRPr="00DC5CAD">
        <w:rPr>
          <w:rFonts w:ascii="Arial" w:hAnsi="Arial" w:cs="Arial"/>
          <w:sz w:val="22"/>
        </w:rPr>
        <w:t xml:space="preserve"> para la inscripción en el RUP de una persona jurídica, si su constitución es menor a 3 años, puede acreditar la experiencia de sus accionistas, socios o constituyentes. </w:t>
      </w:r>
    </w:p>
    <w:p w14:paraId="50A89C73" w14:textId="77777777" w:rsidR="00F2587E" w:rsidRPr="00DC5CAD" w:rsidRDefault="00F2587E" w:rsidP="00F2587E">
      <w:pPr>
        <w:spacing w:before="120" w:after="120" w:line="276" w:lineRule="auto"/>
        <w:ind w:firstLine="708"/>
        <w:jc w:val="both"/>
        <w:rPr>
          <w:rFonts w:ascii="Arial" w:hAnsi="Arial" w:cs="Arial"/>
          <w:sz w:val="22"/>
        </w:rPr>
      </w:pPr>
      <w:proofErr w:type="spellStart"/>
      <w:r w:rsidRPr="00DC5CAD">
        <w:rPr>
          <w:rFonts w:ascii="Arial" w:hAnsi="Arial" w:cs="Arial"/>
          <w:sz w:val="22"/>
        </w:rPr>
        <w:t>iii</w:t>
      </w:r>
      <w:proofErr w:type="spellEnd"/>
      <w:r w:rsidRPr="00DC5CAD">
        <w:rPr>
          <w:rFonts w:ascii="Arial" w:hAnsi="Arial" w:cs="Arial"/>
          <w:sz w:val="22"/>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6F86CFC6" w14:textId="77777777" w:rsidR="00F2587E" w:rsidRPr="00DC5CAD" w:rsidRDefault="00F2587E" w:rsidP="00F2587E">
      <w:pPr>
        <w:spacing w:before="120" w:after="120" w:line="276" w:lineRule="auto"/>
        <w:ind w:firstLine="708"/>
        <w:jc w:val="both"/>
        <w:rPr>
          <w:rFonts w:ascii="Arial" w:hAnsi="Arial" w:cs="Arial"/>
          <w:sz w:val="22"/>
        </w:rPr>
      </w:pPr>
      <w:proofErr w:type="spellStart"/>
      <w:r w:rsidRPr="00DC5CAD">
        <w:rPr>
          <w:rFonts w:ascii="Arial" w:hAnsi="Arial" w:cs="Arial"/>
          <w:sz w:val="22"/>
        </w:rPr>
        <w:t>iv</w:t>
      </w:r>
      <w:proofErr w:type="spellEnd"/>
      <w:r w:rsidRPr="00DC5CAD">
        <w:rPr>
          <w:rFonts w:ascii="Arial" w:hAnsi="Arial" w:cs="Arial"/>
          <w:sz w:val="22"/>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21DDE3A1"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DC5CAD">
        <w:rPr>
          <w:rFonts w:ascii="Arial" w:eastAsia="Calibri" w:hAnsi="Arial" w:cs="Arial"/>
          <w:sz w:val="22"/>
        </w:rPr>
        <w:t>―</w:t>
      </w:r>
      <w:r w:rsidRPr="00DC5CAD">
        <w:rPr>
          <w:rFonts w:ascii="Arial" w:hAnsi="Arial" w:cs="Arial"/>
          <w:sz w:val="22"/>
        </w:rPr>
        <w:t>únicamente para la capacidad jurídica y experiencia</w:t>
      </w:r>
      <w:r w:rsidRPr="00DC5CAD">
        <w:rPr>
          <w:rFonts w:ascii="Arial" w:eastAsia="Calibri" w:hAnsi="Arial" w:cs="Arial"/>
          <w:sz w:val="22"/>
        </w:rPr>
        <w:t>―</w:t>
      </w:r>
      <w:r w:rsidRPr="00DC5CAD">
        <w:rPr>
          <w:rFonts w:ascii="Arial" w:hAnsi="Arial" w:cs="Arial"/>
          <w:sz w:val="22"/>
        </w:rPr>
        <w:t xml:space="preserve"> y debe ser verificada junto con sus soportes por la Cámara de Comercio correspondiente. </w:t>
      </w:r>
    </w:p>
    <w:p w14:paraId="58726556"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 xml:space="preserve">Ante esta disparidad de criterios, la Subdirección de Gestión Contractual estimó necesario recoger estos pronunciamientos y unificar la posición en el concepto con radicado No. 4201913000006797 del 19 de noviembre de 2019, en torno a la posibilidad de que las sociedades nuevas puedan seguir acreditando la experiencia de sus socios, accionistas o constituyentes, incluso después de cumplidos 3 años de constitución de la persona jurídica. </w:t>
      </w:r>
    </w:p>
    <w:p w14:paraId="37A689E1"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El criterio que se adoptó fue que la experiencia de los socios, accionistas o constituyentes, para las sociedades que al momento de inscribirse en el RUP tenían menos de 3 años de constituidas, puede seguir siendo acreditada por la persona jurídica después de transcurridos los 3 años del acto de constitución. Esta posición había sido reiterada por esta Subdirección en pronunciamientos posteriores a la acogida en el concepto del 3 de abril de 2018 antes citado y previos a la postura definida en el concepto del 19 de noviembre de 2019</w:t>
      </w:r>
      <w:r w:rsidRPr="00DC5CAD">
        <w:rPr>
          <w:rStyle w:val="Refdenotaalpie"/>
          <w:rFonts w:ascii="Arial" w:hAnsi="Arial" w:cs="Arial"/>
          <w:sz w:val="22"/>
        </w:rPr>
        <w:footnoteReference w:id="4"/>
      </w:r>
      <w:r w:rsidRPr="00DC5CAD">
        <w:rPr>
          <w:rFonts w:ascii="Arial" w:hAnsi="Arial" w:cs="Arial"/>
          <w:sz w:val="22"/>
        </w:rPr>
        <w:t xml:space="preserve">. </w:t>
      </w:r>
    </w:p>
    <w:p w14:paraId="0B045D53"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DC5CAD">
        <w:rPr>
          <w:rStyle w:val="Refdenotaalpie"/>
          <w:rFonts w:ascii="Arial" w:hAnsi="Arial" w:cs="Arial"/>
          <w:sz w:val="22"/>
        </w:rPr>
        <w:footnoteReference w:id="5"/>
      </w:r>
      <w:r w:rsidRPr="00DC5CAD">
        <w:rPr>
          <w:rFonts w:ascii="Arial" w:hAnsi="Arial" w:cs="Arial"/>
          <w:sz w:val="22"/>
        </w:rPr>
        <w:t xml:space="preserve">. En la actualidad, las cámaras de comercio solo pueden eliminar la experiencia registrada en el RUP a solicitud del proponente, por tanto, les corresponde a las personas jurídicas mantener su RUP actualizado y a las entidades estatales verificar el RUP para efectos de evaluar la experiencia. </w:t>
      </w:r>
    </w:p>
    <w:p w14:paraId="417CF1CC"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7155053C" w14:textId="77777777" w:rsidR="00F2587E" w:rsidRPr="00DC5CAD" w:rsidRDefault="00F2587E" w:rsidP="00F2587E">
      <w:pPr>
        <w:spacing w:line="276" w:lineRule="auto"/>
        <w:ind w:firstLine="708"/>
        <w:jc w:val="both"/>
        <w:rPr>
          <w:rFonts w:ascii="Arial" w:hAnsi="Arial" w:cs="Arial"/>
          <w:sz w:val="22"/>
        </w:rPr>
      </w:pPr>
      <w:r w:rsidRPr="00DC5CAD">
        <w:rPr>
          <w:rFonts w:ascii="Arial" w:hAnsi="Arial" w:cs="Arial"/>
          <w:sz w:val="22"/>
        </w:rPr>
        <w:t xml:space="preserve">Lo anterior, tiene fundamento en la Circular Única de la Superintendencia de Industria y Comercio, en el numeral 4.2, sobre el procedimiento para llevar el registro único de proponentes, que establece:  </w:t>
      </w:r>
    </w:p>
    <w:p w14:paraId="65B6BEBD" w14:textId="77777777" w:rsidR="00F2587E" w:rsidRPr="00DC5CAD" w:rsidRDefault="00F2587E" w:rsidP="00F2587E">
      <w:pPr>
        <w:spacing w:line="276" w:lineRule="auto"/>
        <w:ind w:firstLine="708"/>
        <w:jc w:val="both"/>
        <w:rPr>
          <w:rFonts w:ascii="Arial" w:hAnsi="Arial" w:cs="Arial"/>
          <w:sz w:val="22"/>
        </w:rPr>
      </w:pPr>
    </w:p>
    <w:p w14:paraId="2EC040E3" w14:textId="77777777" w:rsidR="00F2587E" w:rsidRPr="00DC5CAD" w:rsidRDefault="00F2587E" w:rsidP="00F2587E">
      <w:pPr>
        <w:ind w:left="709" w:right="709"/>
        <w:jc w:val="both"/>
        <w:rPr>
          <w:rFonts w:ascii="Arial" w:hAnsi="Arial" w:cs="Arial"/>
          <w:sz w:val="21"/>
          <w:szCs w:val="21"/>
        </w:rPr>
      </w:pPr>
      <w:r w:rsidRPr="00DC5CAD">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20861158" w14:textId="77777777" w:rsidR="00F2587E" w:rsidRPr="00DC5CAD" w:rsidRDefault="00F2587E" w:rsidP="00F2587E">
      <w:pPr>
        <w:ind w:left="709" w:right="709"/>
        <w:jc w:val="both"/>
        <w:rPr>
          <w:rFonts w:ascii="Arial" w:hAnsi="Arial" w:cs="Arial"/>
          <w:sz w:val="21"/>
          <w:szCs w:val="21"/>
        </w:rPr>
      </w:pPr>
    </w:p>
    <w:p w14:paraId="52541E61" w14:textId="77777777" w:rsidR="00F2587E" w:rsidRPr="00DC5CAD" w:rsidRDefault="00F2587E" w:rsidP="00F2587E">
      <w:pPr>
        <w:spacing w:line="276" w:lineRule="auto"/>
        <w:ind w:firstLine="708"/>
        <w:jc w:val="both"/>
        <w:rPr>
          <w:rFonts w:ascii="Arial" w:hAnsi="Arial" w:cs="Arial"/>
          <w:sz w:val="22"/>
        </w:rPr>
      </w:pPr>
      <w:r w:rsidRPr="00DC5CAD">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14:paraId="001E5F09"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 xml:space="preserve">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2830900C" w14:textId="77777777" w:rsidR="00F2587E" w:rsidRPr="00DC5CAD" w:rsidRDefault="00F2587E" w:rsidP="00F2587E">
      <w:pPr>
        <w:spacing w:before="120" w:after="120" w:line="276" w:lineRule="auto"/>
        <w:ind w:firstLine="708"/>
        <w:jc w:val="both"/>
        <w:rPr>
          <w:rFonts w:ascii="Arial" w:hAnsi="Arial" w:cs="Arial"/>
          <w:sz w:val="22"/>
        </w:rPr>
      </w:pPr>
      <w:r w:rsidRPr="00DC5CAD">
        <w:rPr>
          <w:rFonts w:ascii="Arial" w:hAnsi="Arial" w:cs="Arial"/>
          <w:sz w:val="22"/>
        </w:rPr>
        <w:t xml:space="preserve">En línea con lo anterior, el numeral 2.5. del artículo 2.2.1.1.1.5.2 del Decreto 1082 de 2015 consagra, como se dijo, una prerrogativa para las sociedades nuevas, que busca fomentar la competencia de las mismas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4CAC68C6" w14:textId="6A12E38A" w:rsidR="00F2587E" w:rsidRPr="00DC5CAD" w:rsidRDefault="00F2587E" w:rsidP="006451EE">
      <w:pPr>
        <w:spacing w:before="120" w:line="276" w:lineRule="auto"/>
        <w:ind w:firstLine="709"/>
        <w:jc w:val="both"/>
        <w:rPr>
          <w:rFonts w:ascii="Arial" w:hAnsi="Arial" w:cs="Arial"/>
          <w:sz w:val="22"/>
        </w:rPr>
      </w:pPr>
      <w:r w:rsidRPr="00DC5CAD">
        <w:rPr>
          <w:rFonts w:ascii="Arial" w:hAnsi="Arial" w:cs="Arial"/>
          <w:sz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50ED28F1" w14:textId="4F2FA328" w:rsidR="00384698" w:rsidRPr="00DC5CAD" w:rsidRDefault="00384698" w:rsidP="006451EE">
      <w:pPr>
        <w:spacing w:line="276" w:lineRule="auto"/>
        <w:ind w:firstLine="709"/>
        <w:jc w:val="both"/>
        <w:rPr>
          <w:rFonts w:ascii="Arial" w:eastAsia="Calibri" w:hAnsi="Arial" w:cs="Arial"/>
          <w:sz w:val="22"/>
        </w:rPr>
      </w:pPr>
    </w:p>
    <w:p w14:paraId="3E18A351" w14:textId="330140B9" w:rsidR="004E0F28" w:rsidRPr="00DC5CAD" w:rsidRDefault="004E0F28" w:rsidP="008F0346">
      <w:pPr>
        <w:spacing w:line="276" w:lineRule="auto"/>
        <w:jc w:val="both"/>
        <w:rPr>
          <w:rFonts w:ascii="Arial" w:eastAsia="Calibri" w:hAnsi="Arial" w:cs="Arial"/>
          <w:b/>
          <w:sz w:val="22"/>
        </w:rPr>
      </w:pPr>
      <w:r w:rsidRPr="00DC5CAD">
        <w:rPr>
          <w:rFonts w:ascii="Arial" w:eastAsia="Calibri" w:hAnsi="Arial" w:cs="Arial"/>
          <w:b/>
          <w:sz w:val="22"/>
        </w:rPr>
        <w:t>2.2</w:t>
      </w:r>
      <w:r w:rsidR="007A50A9">
        <w:rPr>
          <w:rFonts w:ascii="Arial" w:eastAsia="Calibri" w:hAnsi="Arial" w:cs="Arial"/>
          <w:b/>
          <w:sz w:val="22"/>
        </w:rPr>
        <w:t>.</w:t>
      </w:r>
      <w:r w:rsidRPr="00DC5CAD">
        <w:rPr>
          <w:rFonts w:ascii="Arial" w:eastAsia="Calibri" w:hAnsi="Arial" w:cs="Arial"/>
          <w:b/>
          <w:sz w:val="22"/>
        </w:rPr>
        <w:t xml:space="preserve"> </w:t>
      </w:r>
      <w:r w:rsidR="007A50A9">
        <w:rPr>
          <w:rFonts w:ascii="Arial" w:eastAsia="Calibri" w:hAnsi="Arial" w:cs="Arial"/>
          <w:b/>
          <w:sz w:val="22"/>
        </w:rPr>
        <w:t>A</w:t>
      </w:r>
      <w:r w:rsidR="007A50A9" w:rsidRPr="00DC5CAD">
        <w:rPr>
          <w:rFonts w:ascii="Arial" w:eastAsia="Calibri" w:hAnsi="Arial" w:cs="Arial"/>
          <w:b/>
          <w:sz w:val="22"/>
        </w:rPr>
        <w:t xml:space="preserve">proximación general al concepto </w:t>
      </w:r>
      <w:r w:rsidR="007A50A9">
        <w:rPr>
          <w:rFonts w:ascii="Arial" w:eastAsia="Calibri" w:hAnsi="Arial" w:cs="Arial"/>
          <w:b/>
          <w:sz w:val="22"/>
        </w:rPr>
        <w:t>de e</w:t>
      </w:r>
      <w:r w:rsidRPr="00DC5CAD">
        <w:rPr>
          <w:rFonts w:ascii="Arial" w:eastAsia="Calibri" w:hAnsi="Arial" w:cs="Arial"/>
          <w:b/>
          <w:sz w:val="22"/>
        </w:rPr>
        <w:t>xperiencia en la contratación pública</w:t>
      </w:r>
    </w:p>
    <w:p w14:paraId="4413A071" w14:textId="77777777" w:rsidR="004E0F28" w:rsidRPr="00DC5CAD" w:rsidRDefault="004E0F28" w:rsidP="008F0346">
      <w:pPr>
        <w:spacing w:line="276" w:lineRule="auto"/>
        <w:jc w:val="both"/>
        <w:rPr>
          <w:rFonts w:ascii="Arial" w:eastAsia="Calibri" w:hAnsi="Arial" w:cs="Arial"/>
          <w:b/>
          <w:sz w:val="22"/>
        </w:rPr>
      </w:pPr>
    </w:p>
    <w:p w14:paraId="3FFEE8F7" w14:textId="77777777" w:rsidR="004E0F28" w:rsidRPr="00DC5CAD" w:rsidRDefault="004E0F28" w:rsidP="008F0346">
      <w:pPr>
        <w:spacing w:line="276" w:lineRule="auto"/>
        <w:jc w:val="both"/>
        <w:rPr>
          <w:rFonts w:ascii="Arial" w:eastAsia="Calibri" w:hAnsi="Arial" w:cs="Arial"/>
          <w:sz w:val="22"/>
          <w:highlight w:val="yellow"/>
        </w:rPr>
      </w:pPr>
      <w:r w:rsidRPr="00DC5CAD">
        <w:rPr>
          <w:rFonts w:ascii="Arial" w:eastAsia="Calibri" w:hAnsi="Arial" w:cs="Arial"/>
          <w:sz w:val="22"/>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DC5CAD">
        <w:rPr>
          <w:rStyle w:val="Refdenotaalpie"/>
          <w:rFonts w:ascii="Arial" w:eastAsia="Calibri" w:hAnsi="Arial" w:cs="Arial"/>
          <w:sz w:val="22"/>
        </w:rPr>
        <w:footnoteReference w:id="6"/>
      </w:r>
      <w:r w:rsidRPr="00DC5CAD">
        <w:rPr>
          <w:rFonts w:ascii="Arial" w:eastAsia="Calibri" w:hAnsi="Arial" w:cs="Arial"/>
          <w:sz w:val="22"/>
        </w:rPr>
        <w:t>.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DC5CAD">
        <w:rPr>
          <w:rStyle w:val="Refdenotaalpie"/>
          <w:rFonts w:ascii="Arial" w:eastAsia="Calibri" w:hAnsi="Arial" w:cs="Arial"/>
          <w:sz w:val="22"/>
        </w:rPr>
        <w:footnoteReference w:id="7"/>
      </w:r>
      <w:r w:rsidRPr="00DC5CAD">
        <w:rPr>
          <w:rFonts w:ascii="Arial" w:eastAsia="Calibri" w:hAnsi="Arial" w:cs="Arial"/>
          <w:sz w:val="22"/>
        </w:rPr>
        <w:t>.</w:t>
      </w:r>
    </w:p>
    <w:p w14:paraId="313C245F" w14:textId="32784E79" w:rsidR="004E0F28" w:rsidRPr="00DC5CAD" w:rsidRDefault="004E0F28" w:rsidP="004E0F28">
      <w:pPr>
        <w:spacing w:before="120" w:after="120" w:line="276" w:lineRule="auto"/>
        <w:ind w:firstLine="708"/>
        <w:jc w:val="both"/>
        <w:rPr>
          <w:rFonts w:ascii="Arial" w:eastAsia="Calibri" w:hAnsi="Arial" w:cs="Arial"/>
          <w:sz w:val="22"/>
        </w:rPr>
      </w:pPr>
      <w:r w:rsidRPr="00DC5CAD">
        <w:rPr>
          <w:rFonts w:ascii="Arial" w:eastAsia="Calibri" w:hAnsi="Arial" w:cs="Arial"/>
          <w:sz w:val="22"/>
        </w:rPr>
        <w:t xml:space="preserve">La experiencia que se deriva de los contratos que el proponente ha celebrado y ejecutado con diferentes contratantes, sin importar la naturaleza de estos, se verifica con el Registro Único de Proponentes </w:t>
      </w:r>
      <w:r w:rsidR="007A50A9">
        <w:rPr>
          <w:rFonts w:ascii="Arial" w:eastAsia="Calibri" w:hAnsi="Arial" w:cs="Arial"/>
          <w:sz w:val="22"/>
        </w:rPr>
        <w:t xml:space="preserve">– </w:t>
      </w:r>
      <w:r w:rsidRPr="00DC5CAD">
        <w:rPr>
          <w:rFonts w:ascii="Arial" w:eastAsia="Calibri" w:hAnsi="Arial" w:cs="Arial"/>
          <w:sz w:val="22"/>
        </w:rPr>
        <w:t>RUP</w:t>
      </w:r>
      <w:r w:rsidRPr="00DC5CAD">
        <w:rPr>
          <w:rStyle w:val="Refdenotaalpie"/>
          <w:rFonts w:ascii="Arial" w:eastAsia="Calibri" w:hAnsi="Arial" w:cs="Arial"/>
          <w:sz w:val="22"/>
        </w:rPr>
        <w:footnoteReference w:id="8"/>
      </w:r>
      <w:r w:rsidRPr="00DC5CAD">
        <w:rPr>
          <w:rFonts w:ascii="Arial" w:eastAsia="Calibri" w:hAnsi="Arial" w:cs="Arial"/>
          <w:sz w:val="22"/>
        </w:rPr>
        <w:t xml:space="preserve">, cuando este certificado sea exigible de acuerdo con la ley, en el cual constan los requisitos habilitantes que se evalúan exclusivamente con este documento, que es su plena prueba, sin que la entidad o </w:t>
      </w:r>
      <w:r w:rsidR="00694D8E" w:rsidRPr="00DC5CAD">
        <w:rPr>
          <w:rFonts w:ascii="Arial" w:eastAsia="Calibri" w:hAnsi="Arial" w:cs="Arial"/>
          <w:sz w:val="22"/>
        </w:rPr>
        <w:t>e</w:t>
      </w:r>
      <w:r w:rsidRPr="00DC5CAD">
        <w:rPr>
          <w:rFonts w:ascii="Arial" w:eastAsia="Calibri" w:hAnsi="Arial" w:cs="Arial"/>
          <w:sz w:val="22"/>
        </w:rPr>
        <w:t xml:space="preserve">l proponente </w:t>
      </w:r>
      <w:r w:rsidR="00694D8E" w:rsidRPr="00DC5CAD">
        <w:rPr>
          <w:rFonts w:ascii="Arial" w:eastAsia="Calibri" w:hAnsi="Arial" w:cs="Arial"/>
          <w:sz w:val="22"/>
        </w:rPr>
        <w:t xml:space="preserve">puedan </w:t>
      </w:r>
      <w:r w:rsidRPr="00DC5CAD">
        <w:rPr>
          <w:rFonts w:ascii="Arial" w:eastAsia="Calibri" w:hAnsi="Arial" w:cs="Arial"/>
          <w:sz w:val="22"/>
        </w:rPr>
        <w:t>solicitar o aportar otra documentación</w:t>
      </w:r>
      <w:r w:rsidRPr="00DC5CAD">
        <w:rPr>
          <w:rStyle w:val="Refdenotaalpie"/>
          <w:rFonts w:ascii="Arial" w:eastAsia="Calibri" w:hAnsi="Arial" w:cs="Arial"/>
          <w:sz w:val="22"/>
        </w:rPr>
        <w:footnoteReference w:id="9"/>
      </w:r>
      <w:r w:rsidRPr="00DC5CAD">
        <w:rPr>
          <w:rFonts w:ascii="Arial" w:eastAsia="Calibri" w:hAnsi="Arial" w:cs="Arial"/>
          <w:sz w:val="22"/>
        </w:rPr>
        <w:t>.</w:t>
      </w:r>
    </w:p>
    <w:p w14:paraId="6B4C25C7" w14:textId="30B18831" w:rsidR="004E0F28" w:rsidRPr="00DC5CAD" w:rsidRDefault="004E0F28" w:rsidP="008F0346">
      <w:pPr>
        <w:spacing w:line="276" w:lineRule="auto"/>
        <w:ind w:firstLine="708"/>
        <w:jc w:val="both"/>
        <w:rPr>
          <w:rFonts w:ascii="Arial" w:eastAsia="Calibri" w:hAnsi="Arial" w:cs="Arial"/>
          <w:sz w:val="22"/>
        </w:rPr>
      </w:pPr>
      <w:r w:rsidRPr="00DC5CAD">
        <w:rPr>
          <w:rFonts w:ascii="Arial" w:eastAsia="Calibri" w:hAnsi="Arial" w:cs="Arial"/>
          <w:sz w:val="22"/>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DC5CAD">
        <w:rPr>
          <w:rStyle w:val="Refdenotaalpie"/>
          <w:rFonts w:ascii="Arial" w:eastAsia="Calibri" w:hAnsi="Arial" w:cs="Arial"/>
          <w:sz w:val="22"/>
        </w:rPr>
        <w:footnoteReference w:id="10"/>
      </w:r>
      <w:r w:rsidRPr="00DC5CAD">
        <w:rPr>
          <w:rFonts w:ascii="Arial" w:eastAsia="Calibri" w:hAnsi="Arial" w:cs="Arial"/>
          <w:sz w:val="22"/>
        </w:rPr>
        <w:t xml:space="preserve">. De esta manera, </w:t>
      </w:r>
      <w:r w:rsidR="007A50A9">
        <w:rPr>
          <w:rFonts w:ascii="Arial" w:eastAsia="Calibri" w:hAnsi="Arial" w:cs="Arial"/>
          <w:sz w:val="22"/>
        </w:rPr>
        <w:t>con el RUP se verifica</w:t>
      </w:r>
      <w:r w:rsidRPr="00DC5CAD">
        <w:rPr>
          <w:rFonts w:ascii="Arial" w:eastAsia="Calibri" w:hAnsi="Arial" w:cs="Arial"/>
          <w:sz w:val="22"/>
        </w:rPr>
        <w:t xml:space="preserve">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Por lo anterior, 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de esta forma.</w:t>
      </w:r>
    </w:p>
    <w:p w14:paraId="63523841" w14:textId="77777777" w:rsidR="004E0F28" w:rsidRPr="00DC5CAD" w:rsidRDefault="004E0F28" w:rsidP="008F0346">
      <w:pPr>
        <w:spacing w:line="276" w:lineRule="auto"/>
        <w:jc w:val="both"/>
        <w:rPr>
          <w:rFonts w:ascii="Arial" w:eastAsia="Calibri" w:hAnsi="Arial" w:cs="Arial"/>
          <w:sz w:val="22"/>
        </w:rPr>
      </w:pPr>
    </w:p>
    <w:p w14:paraId="64450448" w14:textId="32487FE3" w:rsidR="004E0F28" w:rsidRPr="00DC5CAD" w:rsidRDefault="007A50A9" w:rsidP="008F0346">
      <w:pPr>
        <w:spacing w:line="276" w:lineRule="auto"/>
        <w:jc w:val="both"/>
        <w:rPr>
          <w:rFonts w:ascii="Arial" w:eastAsia="Calibri" w:hAnsi="Arial" w:cs="Arial"/>
          <w:b/>
          <w:bCs/>
          <w:sz w:val="22"/>
        </w:rPr>
      </w:pPr>
      <w:r>
        <w:rPr>
          <w:rFonts w:ascii="Arial" w:eastAsia="Calibri" w:hAnsi="Arial" w:cs="Arial"/>
          <w:b/>
          <w:bCs/>
          <w:sz w:val="22"/>
        </w:rPr>
        <w:t>2.3.</w:t>
      </w:r>
      <w:r w:rsidR="004E0F28" w:rsidRPr="00DC5CAD">
        <w:rPr>
          <w:rFonts w:ascii="Arial" w:eastAsia="Calibri" w:hAnsi="Arial" w:cs="Arial"/>
          <w:b/>
          <w:bCs/>
          <w:sz w:val="22"/>
        </w:rPr>
        <w:t xml:space="preserve"> Consideraciones de </w:t>
      </w:r>
      <w:r>
        <w:rPr>
          <w:rFonts w:ascii="Arial" w:eastAsia="Calibri" w:hAnsi="Arial" w:cs="Arial"/>
          <w:b/>
          <w:bCs/>
          <w:sz w:val="22"/>
        </w:rPr>
        <w:t>la Agencia</w:t>
      </w:r>
      <w:r w:rsidR="004E0F28" w:rsidRPr="00DC5CAD">
        <w:rPr>
          <w:rFonts w:ascii="Arial" w:eastAsia="Calibri" w:hAnsi="Arial" w:cs="Arial"/>
          <w:b/>
          <w:bCs/>
          <w:sz w:val="22"/>
        </w:rPr>
        <w:t xml:space="preserve"> respecto de la experiencia</w:t>
      </w:r>
    </w:p>
    <w:p w14:paraId="46C222DC" w14:textId="77777777" w:rsidR="004E0F28" w:rsidRPr="00DC5CAD" w:rsidRDefault="004E0F28" w:rsidP="008F0346">
      <w:pPr>
        <w:spacing w:line="276" w:lineRule="auto"/>
        <w:jc w:val="both"/>
        <w:rPr>
          <w:rFonts w:ascii="Arial" w:eastAsia="Calibri" w:hAnsi="Arial" w:cs="Arial"/>
          <w:b/>
          <w:bCs/>
          <w:sz w:val="22"/>
        </w:rPr>
      </w:pPr>
    </w:p>
    <w:p w14:paraId="20C0308F" w14:textId="225EE475" w:rsidR="004E0F28" w:rsidRPr="00DC5CAD" w:rsidRDefault="004E0F28" w:rsidP="008F0346">
      <w:pPr>
        <w:spacing w:line="276" w:lineRule="auto"/>
        <w:jc w:val="both"/>
        <w:rPr>
          <w:rFonts w:ascii="Arial" w:eastAsia="Calibri" w:hAnsi="Arial" w:cs="Arial"/>
          <w:sz w:val="22"/>
        </w:rPr>
      </w:pPr>
      <w:r w:rsidRPr="00DC5CAD">
        <w:rPr>
          <w:rFonts w:ascii="Arial" w:eastAsia="Calibri" w:hAnsi="Arial" w:cs="Arial"/>
          <w:sz w:val="22"/>
        </w:rPr>
        <w:t xml:space="preserve">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orientadores sobre lo que las entidades pueden hacer para establecerlos, en este caso, frente a la experiencia. Sobre el particular, para la experiencia, como requisito habilitante señalado en su consulta, el Manual se centra en una de sus cualidades y es que es personal, lo cual significa que quien tiene la experiencia </w:t>
      </w:r>
      <w:r w:rsidR="007A50A9">
        <w:rPr>
          <w:rFonts w:ascii="Arial" w:eastAsia="Calibri" w:hAnsi="Arial" w:cs="Arial"/>
          <w:sz w:val="22"/>
        </w:rPr>
        <w:t>lo hace en razón de</w:t>
      </w:r>
      <w:r w:rsidRPr="00DC5CAD">
        <w:rPr>
          <w:rFonts w:ascii="Arial" w:eastAsia="Calibri" w:hAnsi="Arial" w:cs="Arial"/>
          <w:sz w:val="22"/>
        </w:rPr>
        <w:t xml:space="preserve"> su participación, con anterioridad, en actividades que le permitieron conocer cómo ejecutar el objeto contractual, que la entidad pretende satisfacer ahora</w:t>
      </w:r>
      <w:r w:rsidRPr="00DC5CAD">
        <w:rPr>
          <w:rStyle w:val="Refdenotaalpie"/>
          <w:rFonts w:ascii="Arial" w:eastAsia="Calibri" w:hAnsi="Arial" w:cs="Arial"/>
          <w:sz w:val="22"/>
        </w:rPr>
        <w:footnoteReference w:id="11"/>
      </w:r>
      <w:r w:rsidRPr="00DC5CAD">
        <w:rPr>
          <w:rFonts w:ascii="Arial" w:eastAsia="Calibri" w:hAnsi="Arial" w:cs="Arial"/>
          <w:sz w:val="22"/>
        </w:rPr>
        <w:t>.</w:t>
      </w:r>
    </w:p>
    <w:p w14:paraId="72AEF87E" w14:textId="00929410" w:rsidR="004F4CD4" w:rsidRPr="00DC5CAD" w:rsidRDefault="004E0F28" w:rsidP="004E0F28">
      <w:pPr>
        <w:spacing w:before="120" w:after="120" w:line="276" w:lineRule="auto"/>
        <w:ind w:firstLine="708"/>
        <w:jc w:val="both"/>
        <w:rPr>
          <w:rFonts w:ascii="Arial" w:eastAsia="Calibri" w:hAnsi="Arial" w:cs="Arial"/>
          <w:sz w:val="22"/>
        </w:rPr>
      </w:pPr>
      <w:r w:rsidRPr="00DC5CAD">
        <w:rPr>
          <w:rFonts w:ascii="Arial" w:eastAsia="Calibri" w:hAnsi="Arial" w:cs="Arial"/>
          <w:sz w:val="22"/>
        </w:rPr>
        <w:t xml:space="preserve">Lo anterior es </w:t>
      </w:r>
      <w:r w:rsidR="004F4CD4" w:rsidRPr="00DC5CAD">
        <w:rPr>
          <w:rFonts w:ascii="Arial" w:eastAsia="Calibri" w:hAnsi="Arial" w:cs="Arial"/>
          <w:sz w:val="22"/>
        </w:rPr>
        <w:t>determinante,</w:t>
      </w:r>
      <w:r w:rsidRPr="00DC5CAD">
        <w:rPr>
          <w:rFonts w:ascii="Arial" w:eastAsia="Calibri" w:hAnsi="Arial" w:cs="Arial"/>
          <w:sz w:val="22"/>
        </w:rPr>
        <w:t xml:space="preserve"> porque no es posible tener experiencia si en la práctica no se ha</w:t>
      </w:r>
      <w:r w:rsidR="007A50A9">
        <w:rPr>
          <w:rFonts w:ascii="Arial" w:eastAsia="Calibri" w:hAnsi="Arial" w:cs="Arial"/>
          <w:sz w:val="22"/>
        </w:rPr>
        <w:t>n ejecutado actividades similares previas</w:t>
      </w:r>
      <w:r w:rsidRPr="00DC5CAD">
        <w:rPr>
          <w:rFonts w:ascii="Arial" w:eastAsia="Calibri" w:hAnsi="Arial" w:cs="Arial"/>
          <w:sz w:val="22"/>
        </w:rPr>
        <w:t xml:space="preserve">; y precisamente de la experiencia se deriva el conocimiento </w:t>
      </w:r>
      <w:r w:rsidR="004F4CD4" w:rsidRPr="00DC5CAD">
        <w:rPr>
          <w:rFonts w:ascii="Arial" w:eastAsia="Calibri" w:hAnsi="Arial" w:cs="Arial"/>
          <w:sz w:val="22"/>
        </w:rPr>
        <w:t>d</w:t>
      </w:r>
      <w:r w:rsidRPr="00DC5CAD">
        <w:rPr>
          <w:rFonts w:ascii="Arial" w:eastAsia="Calibri" w:hAnsi="Arial" w:cs="Arial"/>
          <w:sz w:val="22"/>
        </w:rPr>
        <w:t xml:space="preserve">el proponente, y para la contratación pública es importante, ya que garantiza que no </w:t>
      </w:r>
      <w:r w:rsidR="004F4CD4" w:rsidRPr="00DC5CAD">
        <w:rPr>
          <w:rFonts w:ascii="Arial" w:eastAsia="Calibri" w:hAnsi="Arial" w:cs="Arial"/>
          <w:sz w:val="22"/>
        </w:rPr>
        <w:t>habrá</w:t>
      </w:r>
      <w:r w:rsidRPr="00DC5CAD">
        <w:rPr>
          <w:rFonts w:ascii="Arial" w:eastAsia="Calibri" w:hAnsi="Arial" w:cs="Arial"/>
          <w:sz w:val="22"/>
        </w:rPr>
        <w:t xml:space="preserve"> improvisación </w:t>
      </w:r>
      <w:r w:rsidR="004F4CD4" w:rsidRPr="00DC5CAD">
        <w:rPr>
          <w:rFonts w:ascii="Arial" w:eastAsia="Calibri" w:hAnsi="Arial" w:cs="Arial"/>
          <w:sz w:val="22"/>
        </w:rPr>
        <w:t xml:space="preserve">ni </w:t>
      </w:r>
      <w:r w:rsidRPr="00DC5CAD">
        <w:rPr>
          <w:rFonts w:ascii="Arial" w:eastAsia="Calibri" w:hAnsi="Arial" w:cs="Arial"/>
          <w:sz w:val="22"/>
        </w:rPr>
        <w:t xml:space="preserve">mayores costos por errores o dificultades originadas en realizar una actividad por primera vez. Adicionalmente, el Manual </w:t>
      </w:r>
      <w:r w:rsidR="004F4CD4" w:rsidRPr="00DC5CAD">
        <w:rPr>
          <w:rFonts w:ascii="Arial" w:eastAsia="Calibri" w:hAnsi="Arial" w:cs="Arial"/>
          <w:sz w:val="22"/>
        </w:rPr>
        <w:t>explica</w:t>
      </w:r>
      <w:r w:rsidRPr="00DC5CAD">
        <w:rPr>
          <w:rFonts w:ascii="Arial" w:eastAsia="Calibri" w:hAnsi="Arial" w:cs="Arial"/>
          <w:sz w:val="22"/>
        </w:rPr>
        <w:t xml:space="preserve"> que la experiencia puede obten</w:t>
      </w:r>
      <w:r w:rsidR="004F4CD4" w:rsidRPr="00DC5CAD">
        <w:rPr>
          <w:rFonts w:ascii="Arial" w:eastAsia="Calibri" w:hAnsi="Arial" w:cs="Arial"/>
          <w:sz w:val="22"/>
        </w:rPr>
        <w:t>erse</w:t>
      </w:r>
      <w:r w:rsidRPr="00DC5CAD">
        <w:rPr>
          <w:rFonts w:ascii="Arial" w:eastAsia="Calibri" w:hAnsi="Arial" w:cs="Arial"/>
          <w:sz w:val="22"/>
        </w:rPr>
        <w:t xml:space="preserve"> directamente o por participar asociado con otra persona, como es el caso de los proponentes plurales, en </w:t>
      </w:r>
      <w:r w:rsidR="004F4CD4" w:rsidRPr="00DC5CAD">
        <w:rPr>
          <w:rFonts w:ascii="Arial" w:eastAsia="Calibri" w:hAnsi="Arial" w:cs="Arial"/>
          <w:sz w:val="22"/>
        </w:rPr>
        <w:t>cuyo evento l</w:t>
      </w:r>
      <w:r w:rsidRPr="00DC5CAD">
        <w:rPr>
          <w:rFonts w:ascii="Arial" w:eastAsia="Calibri" w:hAnsi="Arial" w:cs="Arial"/>
          <w:sz w:val="22"/>
        </w:rPr>
        <w:t xml:space="preserve">a experiencia no deja de ser personal sino que es proporcional a la participación como miembro de un consorcio o unión temporal, donde por </w:t>
      </w:r>
      <w:r w:rsidR="004F4CD4" w:rsidRPr="00DC5CAD">
        <w:rPr>
          <w:rFonts w:ascii="Arial" w:eastAsia="Calibri" w:hAnsi="Arial" w:cs="Arial"/>
          <w:sz w:val="22"/>
        </w:rPr>
        <w:t>tratarse de</w:t>
      </w:r>
      <w:r w:rsidRPr="00DC5CAD">
        <w:rPr>
          <w:rFonts w:ascii="Arial" w:eastAsia="Calibri" w:hAnsi="Arial" w:cs="Arial"/>
          <w:sz w:val="22"/>
        </w:rPr>
        <w:t xml:space="preserv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w:t>
      </w:r>
    </w:p>
    <w:p w14:paraId="0813A13D" w14:textId="709DD987" w:rsidR="004E0F28" w:rsidRPr="00DC5CAD" w:rsidRDefault="004E0F28" w:rsidP="004E0F28">
      <w:pPr>
        <w:spacing w:before="120" w:after="120" w:line="276" w:lineRule="auto"/>
        <w:ind w:firstLine="708"/>
        <w:jc w:val="both"/>
        <w:rPr>
          <w:rFonts w:ascii="Arial" w:eastAsia="Calibri" w:hAnsi="Arial" w:cs="Arial"/>
          <w:sz w:val="22"/>
        </w:rPr>
      </w:pPr>
      <w:r w:rsidRPr="00DC5CAD">
        <w:rPr>
          <w:rFonts w:ascii="Arial" w:eastAsia="Calibri" w:hAnsi="Arial" w:cs="Arial"/>
          <w:sz w:val="22"/>
        </w:rPr>
        <w:t xml:space="preserve">Finalmente, se pueden extraer cuatro conclusiones relevantes para evaluar las figuras y reformas estatutarias de las sociedades comerciales, respecto de la experiencia: </w:t>
      </w:r>
    </w:p>
    <w:p w14:paraId="741D58FB" w14:textId="1A376596" w:rsidR="004E0F28" w:rsidRPr="00DC5CAD" w:rsidRDefault="004E0F28" w:rsidP="004E0F28">
      <w:pPr>
        <w:spacing w:before="120" w:after="120" w:line="276" w:lineRule="auto"/>
        <w:ind w:firstLine="708"/>
        <w:jc w:val="both"/>
        <w:rPr>
          <w:rFonts w:ascii="Arial" w:eastAsia="Calibri" w:hAnsi="Arial" w:cs="Arial"/>
          <w:sz w:val="22"/>
        </w:rPr>
      </w:pPr>
      <w:r w:rsidRPr="00DC5CAD">
        <w:rPr>
          <w:rFonts w:ascii="Arial" w:eastAsia="Calibri" w:hAnsi="Arial" w:cs="Arial"/>
          <w:sz w:val="22"/>
        </w:rPr>
        <w:t xml:space="preserve">i) La experiencia es personal, esto es, se adquiere participando, directa o indirectamente, sin que sea posible </w:t>
      </w:r>
      <w:r w:rsidR="004F4CD4" w:rsidRPr="00DC5CAD">
        <w:rPr>
          <w:rFonts w:ascii="Arial" w:eastAsia="Calibri" w:hAnsi="Arial" w:cs="Arial"/>
          <w:sz w:val="22"/>
        </w:rPr>
        <w:t>no</w:t>
      </w:r>
      <w:r w:rsidRPr="00DC5CAD">
        <w:rPr>
          <w:rFonts w:ascii="Arial" w:eastAsia="Calibri" w:hAnsi="Arial" w:cs="Arial"/>
          <w:sz w:val="22"/>
        </w:rPr>
        <w:t xml:space="preserve"> </w:t>
      </w:r>
      <w:r w:rsidR="004F4CD4" w:rsidRPr="00DC5CAD">
        <w:rPr>
          <w:rFonts w:ascii="Arial" w:eastAsia="Calibri" w:hAnsi="Arial" w:cs="Arial"/>
          <w:sz w:val="22"/>
        </w:rPr>
        <w:t>hacerlo</w:t>
      </w:r>
      <w:r w:rsidRPr="00DC5CAD">
        <w:rPr>
          <w:rFonts w:ascii="Arial" w:eastAsia="Calibri" w:hAnsi="Arial" w:cs="Arial"/>
          <w:sz w:val="22"/>
        </w:rPr>
        <w:t xml:space="preserve"> y tener experiencia.</w:t>
      </w:r>
    </w:p>
    <w:p w14:paraId="24EB7B63" w14:textId="15992374" w:rsidR="004E0F28" w:rsidRPr="00DC5CAD" w:rsidRDefault="004E0F28" w:rsidP="004E0F28">
      <w:pPr>
        <w:spacing w:before="120" w:after="120" w:line="276" w:lineRule="auto"/>
        <w:ind w:firstLine="708"/>
        <w:jc w:val="both"/>
        <w:rPr>
          <w:rFonts w:ascii="Arial" w:eastAsia="Calibri" w:hAnsi="Arial" w:cs="Arial"/>
          <w:sz w:val="22"/>
        </w:rPr>
      </w:pPr>
      <w:proofErr w:type="spellStart"/>
      <w:r w:rsidRPr="00DC5CAD">
        <w:rPr>
          <w:rFonts w:ascii="Arial" w:eastAsia="Calibri" w:hAnsi="Arial" w:cs="Arial"/>
          <w:sz w:val="22"/>
        </w:rPr>
        <w:t>ii</w:t>
      </w:r>
      <w:proofErr w:type="spellEnd"/>
      <w:r w:rsidRPr="00DC5CAD">
        <w:rPr>
          <w:rFonts w:ascii="Arial" w:eastAsia="Calibri" w:hAnsi="Arial" w:cs="Arial"/>
          <w:sz w:val="22"/>
        </w:rPr>
        <w:t>) La experiencia se puede compartir, sin que implique que la compartid</w:t>
      </w:r>
      <w:r w:rsidR="004F4CD4" w:rsidRPr="00DC5CAD">
        <w:rPr>
          <w:rFonts w:ascii="Arial" w:eastAsia="Calibri" w:hAnsi="Arial" w:cs="Arial"/>
          <w:sz w:val="22"/>
        </w:rPr>
        <w:t>a</w:t>
      </w:r>
      <w:r w:rsidRPr="00DC5CAD">
        <w:rPr>
          <w:rFonts w:ascii="Arial" w:eastAsia="Calibri" w:hAnsi="Arial" w:cs="Arial"/>
          <w:sz w:val="22"/>
        </w:rPr>
        <w:t xml:space="preserve"> a una persona se entienda suya, ya que dentro del procedimiento contractual se reflejará que esa persona tiene la experiencia de otra, como </w:t>
      </w:r>
      <w:r w:rsidR="00384698" w:rsidRPr="00DC5CAD">
        <w:rPr>
          <w:rFonts w:ascii="Arial" w:eastAsia="Calibri" w:hAnsi="Arial" w:cs="Arial"/>
          <w:sz w:val="22"/>
        </w:rPr>
        <w:t>e</w:t>
      </w:r>
      <w:r w:rsidRPr="00DC5CAD">
        <w:rPr>
          <w:rFonts w:ascii="Arial" w:eastAsia="Calibri" w:hAnsi="Arial" w:cs="Arial"/>
          <w:sz w:val="22"/>
        </w:rPr>
        <w:t>s el caso de las figuras asociativas  ̶ consorcios y uniones temporales ̶  que se verificará en el documento privado de constitución</w:t>
      </w:r>
      <w:r w:rsidR="00384698" w:rsidRPr="00DC5CAD">
        <w:rPr>
          <w:rStyle w:val="Refdenotaalpie"/>
          <w:rFonts w:ascii="Arial" w:eastAsia="Calibri" w:hAnsi="Arial" w:cs="Arial"/>
          <w:sz w:val="22"/>
        </w:rPr>
        <w:footnoteReference w:id="12"/>
      </w:r>
      <w:r w:rsidRPr="00DC5CAD">
        <w:rPr>
          <w:rFonts w:ascii="Arial" w:eastAsia="Calibri" w:hAnsi="Arial" w:cs="Arial"/>
          <w:sz w:val="22"/>
        </w:rPr>
        <w:t>.</w:t>
      </w:r>
    </w:p>
    <w:p w14:paraId="78E95582" w14:textId="1246DC51" w:rsidR="004E0F28" w:rsidRPr="00DC5CAD" w:rsidRDefault="004E0F28" w:rsidP="004E0F28">
      <w:pPr>
        <w:spacing w:before="120" w:after="120" w:line="276" w:lineRule="auto"/>
        <w:ind w:firstLine="708"/>
        <w:jc w:val="both"/>
        <w:rPr>
          <w:rFonts w:ascii="Arial" w:eastAsia="Calibri" w:hAnsi="Arial" w:cs="Arial"/>
          <w:sz w:val="22"/>
        </w:rPr>
      </w:pPr>
      <w:proofErr w:type="spellStart"/>
      <w:r w:rsidRPr="00DC5CAD">
        <w:rPr>
          <w:rFonts w:ascii="Arial" w:eastAsia="Calibri" w:hAnsi="Arial" w:cs="Arial"/>
          <w:sz w:val="22"/>
        </w:rPr>
        <w:t>iii</w:t>
      </w:r>
      <w:proofErr w:type="spellEnd"/>
      <w:r w:rsidRPr="00DC5CAD">
        <w:rPr>
          <w:rFonts w:ascii="Arial" w:eastAsia="Calibri" w:hAnsi="Arial" w:cs="Arial"/>
          <w:sz w:val="22"/>
        </w:rPr>
        <w:t>) La experiencia se puede transferir, y es</w:t>
      </w:r>
      <w:r w:rsidR="005B5BB0" w:rsidRPr="00DC5CAD">
        <w:rPr>
          <w:rFonts w:ascii="Arial" w:eastAsia="Calibri" w:hAnsi="Arial" w:cs="Arial"/>
          <w:sz w:val="22"/>
        </w:rPr>
        <w:t>to es</w:t>
      </w:r>
      <w:r w:rsidRPr="00DC5CAD">
        <w:rPr>
          <w:rFonts w:ascii="Arial" w:eastAsia="Calibri" w:hAnsi="Arial" w:cs="Arial"/>
          <w:sz w:val="22"/>
        </w:rPr>
        <w:t xml:space="preserve"> diferente a compartir, </w:t>
      </w:r>
      <w:r w:rsidR="002506CF" w:rsidRPr="00DC5CAD">
        <w:rPr>
          <w:rFonts w:ascii="Arial" w:eastAsia="Calibri" w:hAnsi="Arial" w:cs="Arial"/>
          <w:sz w:val="22"/>
        </w:rPr>
        <w:t xml:space="preserve">lo </w:t>
      </w:r>
      <w:r w:rsidRPr="00DC5CAD">
        <w:rPr>
          <w:rFonts w:ascii="Arial" w:eastAsia="Calibri" w:hAnsi="Arial" w:cs="Arial"/>
          <w:sz w:val="22"/>
        </w:rPr>
        <w:t xml:space="preserve">que implica que la experiencia de una persona se traslada a otra, y esta última acredita </w:t>
      </w:r>
      <w:r w:rsidR="002506CF" w:rsidRPr="00DC5CAD">
        <w:rPr>
          <w:rFonts w:ascii="Arial" w:eastAsia="Calibri" w:hAnsi="Arial" w:cs="Arial"/>
          <w:sz w:val="22"/>
        </w:rPr>
        <w:t>la</w:t>
      </w:r>
      <w:r w:rsidRPr="00DC5CAD">
        <w:rPr>
          <w:rFonts w:ascii="Arial" w:eastAsia="Calibri" w:hAnsi="Arial" w:cs="Arial"/>
          <w:sz w:val="22"/>
        </w:rPr>
        <w:t xml:space="preserve"> experiencia como propia, </w:t>
      </w:r>
      <w:r w:rsidR="002506CF" w:rsidRPr="00DC5CAD">
        <w:rPr>
          <w:rFonts w:ascii="Arial" w:eastAsia="Calibri" w:hAnsi="Arial" w:cs="Arial"/>
          <w:sz w:val="22"/>
        </w:rPr>
        <w:t>como sucede con</w:t>
      </w:r>
      <w:r w:rsidRPr="00DC5CAD">
        <w:rPr>
          <w:rFonts w:ascii="Arial" w:eastAsia="Calibri" w:hAnsi="Arial" w:cs="Arial"/>
          <w:sz w:val="22"/>
        </w:rPr>
        <w:t xml:space="preserve"> algunas figuras y reformas estatutarias, </w:t>
      </w:r>
      <w:r w:rsidR="002506CF" w:rsidRPr="00DC5CAD">
        <w:rPr>
          <w:rFonts w:ascii="Arial" w:eastAsia="Calibri" w:hAnsi="Arial" w:cs="Arial"/>
          <w:sz w:val="22"/>
        </w:rPr>
        <w:t>que se</w:t>
      </w:r>
      <w:r w:rsidRPr="00DC5CAD">
        <w:rPr>
          <w:rFonts w:ascii="Arial" w:eastAsia="Calibri" w:hAnsi="Arial" w:cs="Arial"/>
          <w:sz w:val="22"/>
        </w:rPr>
        <w:t xml:space="preserve"> explicará</w:t>
      </w:r>
      <w:r w:rsidR="002506CF" w:rsidRPr="00DC5CAD">
        <w:rPr>
          <w:rFonts w:ascii="Arial" w:eastAsia="Calibri" w:hAnsi="Arial" w:cs="Arial"/>
          <w:sz w:val="22"/>
        </w:rPr>
        <w:t>n</w:t>
      </w:r>
      <w:r w:rsidRPr="00DC5CAD">
        <w:rPr>
          <w:rFonts w:ascii="Arial" w:eastAsia="Calibri" w:hAnsi="Arial" w:cs="Arial"/>
          <w:sz w:val="22"/>
        </w:rPr>
        <w:t xml:space="preserve"> </w:t>
      </w:r>
      <w:r w:rsidR="002506CF" w:rsidRPr="00DC5CAD">
        <w:rPr>
          <w:rFonts w:ascii="Arial" w:eastAsia="Calibri" w:hAnsi="Arial" w:cs="Arial"/>
          <w:sz w:val="22"/>
        </w:rPr>
        <w:t xml:space="preserve">con más </w:t>
      </w:r>
      <w:r w:rsidRPr="00DC5CAD">
        <w:rPr>
          <w:rFonts w:ascii="Arial" w:eastAsia="Calibri" w:hAnsi="Arial" w:cs="Arial"/>
          <w:sz w:val="22"/>
        </w:rPr>
        <w:t>detalle en el numeral 2.</w:t>
      </w:r>
      <w:r w:rsidR="007A50A9">
        <w:rPr>
          <w:rFonts w:ascii="Arial" w:eastAsia="Calibri" w:hAnsi="Arial" w:cs="Arial"/>
          <w:sz w:val="22"/>
        </w:rPr>
        <w:t>4</w:t>
      </w:r>
      <w:r w:rsidRPr="00DC5CAD">
        <w:rPr>
          <w:rFonts w:ascii="Arial" w:eastAsia="Calibri" w:hAnsi="Arial" w:cs="Arial"/>
          <w:sz w:val="22"/>
        </w:rPr>
        <w:t xml:space="preserve"> de este </w:t>
      </w:r>
      <w:r w:rsidR="002506CF" w:rsidRPr="00DC5CAD">
        <w:rPr>
          <w:rFonts w:ascii="Arial" w:eastAsia="Calibri" w:hAnsi="Arial" w:cs="Arial"/>
          <w:sz w:val="22"/>
        </w:rPr>
        <w:t>concepto</w:t>
      </w:r>
      <w:r w:rsidRPr="00DC5CAD">
        <w:rPr>
          <w:rFonts w:ascii="Arial" w:eastAsia="Calibri" w:hAnsi="Arial" w:cs="Arial"/>
          <w:sz w:val="22"/>
        </w:rPr>
        <w:t>.</w:t>
      </w:r>
    </w:p>
    <w:p w14:paraId="2A82668C" w14:textId="48FE5746" w:rsidR="004E0F28" w:rsidRPr="00DC5CAD" w:rsidRDefault="004E0F28" w:rsidP="001D1F8F">
      <w:pPr>
        <w:spacing w:line="276" w:lineRule="auto"/>
        <w:ind w:firstLine="708"/>
        <w:jc w:val="both"/>
        <w:rPr>
          <w:rFonts w:ascii="Arial" w:eastAsia="Calibri" w:hAnsi="Arial" w:cs="Arial"/>
          <w:sz w:val="22"/>
        </w:rPr>
      </w:pPr>
      <w:proofErr w:type="spellStart"/>
      <w:r w:rsidRPr="00DC5CAD">
        <w:rPr>
          <w:rFonts w:ascii="Arial" w:eastAsia="Calibri" w:hAnsi="Arial" w:cs="Arial"/>
          <w:sz w:val="22"/>
        </w:rPr>
        <w:t>iv</w:t>
      </w:r>
      <w:proofErr w:type="spellEnd"/>
      <w:r w:rsidRPr="00DC5CAD">
        <w:rPr>
          <w:rFonts w:ascii="Arial" w:eastAsia="Calibri" w:hAnsi="Arial" w:cs="Arial"/>
          <w:sz w:val="22"/>
        </w:rPr>
        <w:t>) Cuando la persona que adquirió la experiencia desaparece o se liquida no es posible que comparta o transfiera su experiencia, porque al ser personal sigue la suerte de quien la adquirió.</w:t>
      </w:r>
    </w:p>
    <w:p w14:paraId="67A4C852" w14:textId="77777777" w:rsidR="004E0F28" w:rsidRPr="00DC5CAD" w:rsidRDefault="004E0F28" w:rsidP="001D1F8F">
      <w:pPr>
        <w:spacing w:line="276" w:lineRule="auto"/>
        <w:jc w:val="both"/>
        <w:rPr>
          <w:rFonts w:ascii="Arial" w:eastAsia="Calibri" w:hAnsi="Arial" w:cs="Arial"/>
          <w:sz w:val="22"/>
        </w:rPr>
      </w:pPr>
    </w:p>
    <w:p w14:paraId="37A5EC39" w14:textId="437ED33D" w:rsidR="004E0F28" w:rsidRPr="00DC5CAD" w:rsidRDefault="004E0F28" w:rsidP="001D1F8F">
      <w:pPr>
        <w:spacing w:line="276" w:lineRule="auto"/>
        <w:jc w:val="both"/>
        <w:rPr>
          <w:rFonts w:ascii="Arial" w:eastAsia="Calibri" w:hAnsi="Arial" w:cs="Arial"/>
          <w:b/>
          <w:sz w:val="22"/>
        </w:rPr>
      </w:pPr>
      <w:r w:rsidRPr="00DC5CAD">
        <w:rPr>
          <w:rFonts w:ascii="Arial" w:eastAsia="Calibri" w:hAnsi="Arial" w:cs="Arial"/>
          <w:b/>
          <w:sz w:val="22"/>
        </w:rPr>
        <w:t>2.</w:t>
      </w:r>
      <w:r w:rsidR="007A50A9">
        <w:rPr>
          <w:rFonts w:ascii="Arial" w:eastAsia="Calibri" w:hAnsi="Arial" w:cs="Arial"/>
          <w:b/>
          <w:sz w:val="22"/>
        </w:rPr>
        <w:t>4</w:t>
      </w:r>
      <w:r w:rsidRPr="00DC5CAD">
        <w:rPr>
          <w:rFonts w:ascii="Arial" w:eastAsia="Calibri" w:hAnsi="Arial" w:cs="Arial"/>
          <w:b/>
          <w:sz w:val="22"/>
        </w:rPr>
        <w:t xml:space="preserve"> Figuras y reformas estatutarias, y efectos sobre la experiencia de las sociedades comerciales</w:t>
      </w:r>
    </w:p>
    <w:p w14:paraId="736418E7" w14:textId="77777777" w:rsidR="004E0F28" w:rsidRPr="00DC5CAD" w:rsidRDefault="004E0F28" w:rsidP="001D1F8F">
      <w:pPr>
        <w:spacing w:line="276" w:lineRule="auto"/>
        <w:jc w:val="both"/>
        <w:rPr>
          <w:rFonts w:ascii="Arial" w:eastAsia="Calibri" w:hAnsi="Arial" w:cs="Arial"/>
          <w:b/>
          <w:sz w:val="22"/>
        </w:rPr>
      </w:pPr>
    </w:p>
    <w:p w14:paraId="602EC373" w14:textId="77777777" w:rsidR="003B791C" w:rsidRPr="00DC5CAD" w:rsidRDefault="004E0F28" w:rsidP="006451EE">
      <w:pPr>
        <w:spacing w:after="120" w:line="276" w:lineRule="auto"/>
        <w:jc w:val="both"/>
        <w:rPr>
          <w:rFonts w:ascii="Arial" w:eastAsia="Calibri" w:hAnsi="Arial" w:cs="Arial"/>
          <w:bCs/>
          <w:sz w:val="22"/>
        </w:rPr>
      </w:pPr>
      <w:r w:rsidRPr="00DC5CAD">
        <w:rPr>
          <w:rFonts w:ascii="Arial" w:eastAsia="Calibri" w:hAnsi="Arial" w:cs="Arial"/>
          <w:bCs/>
          <w:sz w:val="22"/>
        </w:rPr>
        <w:t xml:space="preserve">Antes de </w:t>
      </w:r>
      <w:r w:rsidR="003B791C" w:rsidRPr="00DC5CAD">
        <w:rPr>
          <w:rFonts w:ascii="Arial" w:eastAsia="Calibri" w:hAnsi="Arial" w:cs="Arial"/>
          <w:bCs/>
          <w:sz w:val="22"/>
        </w:rPr>
        <w:t>analizar</w:t>
      </w:r>
      <w:r w:rsidRPr="00DC5CAD">
        <w:rPr>
          <w:rFonts w:ascii="Arial" w:eastAsia="Calibri" w:hAnsi="Arial" w:cs="Arial"/>
          <w:bCs/>
          <w:sz w:val="22"/>
        </w:rPr>
        <w:t xml:space="preserve"> las figuras y reformas estatutarias, es necesario aclarar dos conceptos respecto de las sociedades comerciales: i) </w:t>
      </w:r>
      <w:r w:rsidR="004E58D5" w:rsidRPr="00DC5CAD">
        <w:rPr>
          <w:rFonts w:ascii="Arial" w:eastAsia="Calibri" w:hAnsi="Arial" w:cs="Arial"/>
          <w:bCs/>
          <w:sz w:val="22"/>
        </w:rPr>
        <w:t>«</w:t>
      </w:r>
      <w:r w:rsidRPr="00DC5CAD">
        <w:rPr>
          <w:rFonts w:ascii="Arial" w:eastAsia="Calibri" w:hAnsi="Arial" w:cs="Arial"/>
          <w:bCs/>
          <w:sz w:val="22"/>
        </w:rPr>
        <w:t>disolución</w:t>
      </w:r>
      <w:r w:rsidR="004E58D5" w:rsidRPr="00DC5CAD">
        <w:rPr>
          <w:rFonts w:ascii="Arial" w:eastAsia="Calibri" w:hAnsi="Arial" w:cs="Arial"/>
          <w:bCs/>
          <w:sz w:val="22"/>
        </w:rPr>
        <w:t>»</w:t>
      </w:r>
      <w:r w:rsidRPr="00DC5CAD">
        <w:rPr>
          <w:rFonts w:ascii="Arial" w:eastAsia="Calibri" w:hAnsi="Arial" w:cs="Arial"/>
          <w:bCs/>
          <w:sz w:val="22"/>
        </w:rPr>
        <w:t xml:space="preserve"> y </w:t>
      </w:r>
      <w:proofErr w:type="spellStart"/>
      <w:r w:rsidRPr="00DC5CAD">
        <w:rPr>
          <w:rFonts w:ascii="Arial" w:eastAsia="Calibri" w:hAnsi="Arial" w:cs="Arial"/>
          <w:bCs/>
          <w:sz w:val="22"/>
        </w:rPr>
        <w:t>ii</w:t>
      </w:r>
      <w:proofErr w:type="spellEnd"/>
      <w:r w:rsidRPr="00DC5CAD">
        <w:rPr>
          <w:rFonts w:ascii="Arial" w:eastAsia="Calibri" w:hAnsi="Arial" w:cs="Arial"/>
          <w:bCs/>
          <w:sz w:val="22"/>
        </w:rPr>
        <w:t xml:space="preserve">) </w:t>
      </w:r>
      <w:r w:rsidR="004E58D5" w:rsidRPr="00DC5CAD">
        <w:rPr>
          <w:rFonts w:ascii="Arial" w:eastAsia="Calibri" w:hAnsi="Arial" w:cs="Arial"/>
          <w:bCs/>
          <w:sz w:val="22"/>
        </w:rPr>
        <w:t>«</w:t>
      </w:r>
      <w:r w:rsidRPr="00DC5CAD">
        <w:rPr>
          <w:rFonts w:ascii="Arial" w:eastAsia="Calibri" w:hAnsi="Arial" w:cs="Arial"/>
          <w:bCs/>
          <w:sz w:val="22"/>
        </w:rPr>
        <w:t>liquidación</w:t>
      </w:r>
      <w:r w:rsidR="004E58D5" w:rsidRPr="00DC5CAD">
        <w:rPr>
          <w:rFonts w:ascii="Arial" w:eastAsia="Calibri" w:hAnsi="Arial" w:cs="Arial"/>
          <w:bCs/>
          <w:sz w:val="22"/>
        </w:rPr>
        <w:t>»</w:t>
      </w:r>
      <w:r w:rsidRPr="00DC5CAD">
        <w:rPr>
          <w:rFonts w:ascii="Arial" w:eastAsia="Calibri" w:hAnsi="Arial" w:cs="Arial"/>
          <w:bCs/>
          <w:sz w:val="22"/>
        </w:rPr>
        <w:t xml:space="preserve">, ya que se aplican a las figuras y reformas estatutarias, y tienen incidencia en la posibilidad de transferir o no la experiencia de una sociedad. </w:t>
      </w:r>
    </w:p>
    <w:p w14:paraId="621C39B8" w14:textId="7D0D026B" w:rsidR="004E0F28" w:rsidRPr="00DC5CAD" w:rsidRDefault="004E0F28" w:rsidP="003B791C">
      <w:pPr>
        <w:spacing w:line="276" w:lineRule="auto"/>
        <w:ind w:firstLine="708"/>
        <w:jc w:val="both"/>
        <w:rPr>
          <w:rFonts w:ascii="Arial" w:eastAsia="Calibri" w:hAnsi="Arial" w:cs="Arial"/>
          <w:bCs/>
          <w:sz w:val="22"/>
        </w:rPr>
      </w:pPr>
      <w:r w:rsidRPr="00DC5CAD">
        <w:rPr>
          <w:rFonts w:ascii="Arial" w:eastAsia="Calibri" w:hAnsi="Arial" w:cs="Arial"/>
          <w:bCs/>
          <w:sz w:val="22"/>
        </w:rPr>
        <w:t>En primer lugar, el Código de Comercio señala</w:t>
      </w:r>
      <w:r w:rsidR="003B791C" w:rsidRPr="00DC5CAD">
        <w:rPr>
          <w:rFonts w:ascii="Arial" w:eastAsia="Calibri" w:hAnsi="Arial" w:cs="Arial"/>
          <w:bCs/>
          <w:sz w:val="22"/>
        </w:rPr>
        <w:t>,</w:t>
      </w:r>
      <w:r w:rsidRPr="00DC5CAD">
        <w:rPr>
          <w:rFonts w:ascii="Arial" w:eastAsia="Calibri" w:hAnsi="Arial" w:cs="Arial"/>
          <w:bCs/>
          <w:sz w:val="22"/>
        </w:rPr>
        <w:t xml:space="preserve"> como efecto de la </w:t>
      </w:r>
      <w:r w:rsidR="004E58D5" w:rsidRPr="00DC5CAD">
        <w:rPr>
          <w:rFonts w:ascii="Arial" w:eastAsia="Calibri" w:hAnsi="Arial" w:cs="Arial"/>
          <w:bCs/>
          <w:sz w:val="22"/>
        </w:rPr>
        <w:t>«</w:t>
      </w:r>
      <w:r w:rsidRPr="00DC5CAD">
        <w:rPr>
          <w:rFonts w:ascii="Arial" w:eastAsia="Calibri" w:hAnsi="Arial" w:cs="Arial"/>
          <w:bCs/>
          <w:sz w:val="22"/>
        </w:rPr>
        <w:t>disolución</w:t>
      </w:r>
      <w:r w:rsidR="004E58D5" w:rsidRPr="00DC5CAD">
        <w:rPr>
          <w:rFonts w:ascii="Arial" w:eastAsia="Calibri" w:hAnsi="Arial" w:cs="Arial"/>
          <w:bCs/>
          <w:sz w:val="22"/>
        </w:rPr>
        <w:t>»</w:t>
      </w:r>
      <w:r w:rsidRPr="00DC5CAD">
        <w:rPr>
          <w:rFonts w:ascii="Arial" w:eastAsia="Calibri" w:hAnsi="Arial" w:cs="Arial"/>
          <w:bCs/>
          <w:sz w:val="22"/>
        </w:rPr>
        <w:t xml:space="preserve">, que la persona jurídica no desaparece sino que conserva su capacidad jurídica, únicamente para </w:t>
      </w:r>
      <w:r w:rsidR="004E58D5" w:rsidRPr="00DC5CAD">
        <w:rPr>
          <w:rFonts w:ascii="Arial" w:eastAsia="Calibri" w:hAnsi="Arial" w:cs="Arial"/>
          <w:bCs/>
          <w:sz w:val="22"/>
        </w:rPr>
        <w:t>«</w:t>
      </w:r>
      <w:r w:rsidRPr="00DC5CAD">
        <w:rPr>
          <w:rFonts w:ascii="Arial" w:eastAsia="Calibri" w:hAnsi="Arial" w:cs="Arial"/>
          <w:bCs/>
          <w:sz w:val="22"/>
        </w:rPr>
        <w:t>liquidarse</w:t>
      </w:r>
      <w:r w:rsidR="004E58D5" w:rsidRPr="00DC5CAD">
        <w:rPr>
          <w:rFonts w:ascii="Arial" w:eastAsia="Calibri" w:hAnsi="Arial" w:cs="Arial"/>
          <w:bCs/>
          <w:sz w:val="22"/>
        </w:rPr>
        <w:t>»</w:t>
      </w:r>
      <w:r w:rsidRPr="00DC5CAD">
        <w:rPr>
          <w:rFonts w:ascii="Arial" w:eastAsia="Calibri" w:hAnsi="Arial" w:cs="Arial"/>
          <w:bCs/>
          <w:sz w:val="22"/>
        </w:rPr>
        <w:t xml:space="preserve"> y para las operaciones o actos autorizados por la ley</w:t>
      </w:r>
      <w:r w:rsidRPr="00DC5CAD">
        <w:rPr>
          <w:rStyle w:val="Refdenotaalpie"/>
          <w:rFonts w:ascii="Arial" w:eastAsia="Calibri" w:hAnsi="Arial" w:cs="Arial"/>
          <w:bCs/>
          <w:sz w:val="22"/>
        </w:rPr>
        <w:footnoteReference w:id="13"/>
      </w:r>
      <w:r w:rsidRPr="00DC5CAD">
        <w:rPr>
          <w:rFonts w:ascii="Arial" w:eastAsia="Calibri" w:hAnsi="Arial" w:cs="Arial"/>
          <w:bCs/>
          <w:sz w:val="22"/>
        </w:rPr>
        <w:t xml:space="preserve">, como las figuras y reformas estatutarias que se verán a continuación. Con esto se anticipa que si la persona jurídica no desaparece, su experiencia se conserva y puede transferirse o compartirse. Por el contrario, respecto de la </w:t>
      </w:r>
      <w:r w:rsidR="004E58D5" w:rsidRPr="00DC5CAD">
        <w:rPr>
          <w:rFonts w:ascii="Arial" w:eastAsia="Calibri" w:hAnsi="Arial" w:cs="Arial"/>
          <w:bCs/>
          <w:sz w:val="22"/>
        </w:rPr>
        <w:t>«l</w:t>
      </w:r>
      <w:r w:rsidRPr="00DC5CAD">
        <w:rPr>
          <w:rFonts w:ascii="Arial" w:eastAsia="Calibri" w:hAnsi="Arial" w:cs="Arial"/>
          <w:bCs/>
          <w:sz w:val="22"/>
        </w:rPr>
        <w:t>iquidación</w:t>
      </w:r>
      <w:r w:rsidR="004E58D5" w:rsidRPr="00DC5CAD">
        <w:rPr>
          <w:rFonts w:ascii="Arial" w:eastAsia="Calibri" w:hAnsi="Arial" w:cs="Arial"/>
          <w:bCs/>
          <w:sz w:val="22"/>
        </w:rPr>
        <w:t>»</w:t>
      </w:r>
      <w:r w:rsidRPr="00DC5CAD">
        <w:rPr>
          <w:rFonts w:ascii="Arial" w:eastAsia="Calibri" w:hAnsi="Arial" w:cs="Arial"/>
          <w:bCs/>
          <w:sz w:val="22"/>
        </w:rPr>
        <w:t xml:space="preserve"> de las sociedades comerciales, el Código de Comercio señala el procedimiento para realizar el inventario y distribución del patrimonio social, de lo cual se infiere que termina la persona jurídica</w:t>
      </w:r>
      <w:r w:rsidRPr="00DC5CAD">
        <w:rPr>
          <w:rStyle w:val="Refdenotaalpie"/>
          <w:rFonts w:ascii="Arial" w:eastAsia="Calibri" w:hAnsi="Arial" w:cs="Arial"/>
          <w:bCs/>
          <w:sz w:val="22"/>
        </w:rPr>
        <w:footnoteReference w:id="14"/>
      </w:r>
      <w:r w:rsidRPr="00DC5CAD">
        <w:rPr>
          <w:rFonts w:ascii="Arial" w:eastAsia="Calibri" w:hAnsi="Arial" w:cs="Arial"/>
          <w:bCs/>
          <w:sz w:val="22"/>
        </w:rPr>
        <w:t>, y la experiencia desaparece junto con la sociedad que la adquirió.</w:t>
      </w:r>
    </w:p>
    <w:p w14:paraId="6FDF45F2" w14:textId="77777777" w:rsidR="004E0F28" w:rsidRPr="00DC5CAD" w:rsidRDefault="004E0F28" w:rsidP="001D1F8F">
      <w:pPr>
        <w:spacing w:line="276" w:lineRule="auto"/>
        <w:jc w:val="both"/>
        <w:rPr>
          <w:rFonts w:ascii="Arial" w:eastAsia="Calibri" w:hAnsi="Arial" w:cs="Arial"/>
          <w:sz w:val="22"/>
        </w:rPr>
      </w:pPr>
    </w:p>
    <w:p w14:paraId="638B49A7" w14:textId="77777777" w:rsidR="004E0F28" w:rsidRPr="00DC5CAD" w:rsidRDefault="004E0F28" w:rsidP="001D1F8F">
      <w:pPr>
        <w:spacing w:line="276" w:lineRule="auto"/>
        <w:jc w:val="both"/>
        <w:rPr>
          <w:rFonts w:ascii="Arial" w:eastAsia="Calibri" w:hAnsi="Arial" w:cs="Arial"/>
          <w:b/>
          <w:bCs/>
          <w:sz w:val="22"/>
        </w:rPr>
      </w:pPr>
      <w:r w:rsidRPr="00DC5CAD">
        <w:rPr>
          <w:rFonts w:ascii="Arial" w:eastAsia="Calibri" w:hAnsi="Arial" w:cs="Arial"/>
          <w:b/>
          <w:bCs/>
          <w:sz w:val="22"/>
        </w:rPr>
        <w:t>a) Transformación</w:t>
      </w:r>
    </w:p>
    <w:p w14:paraId="71956581" w14:textId="77777777" w:rsidR="004E0F28" w:rsidRPr="00DC5CAD" w:rsidRDefault="004E0F28" w:rsidP="001D1F8F">
      <w:pPr>
        <w:spacing w:line="276" w:lineRule="auto"/>
        <w:jc w:val="both"/>
        <w:rPr>
          <w:rFonts w:ascii="Arial" w:eastAsia="Calibri" w:hAnsi="Arial" w:cs="Arial"/>
          <w:b/>
          <w:bCs/>
          <w:sz w:val="22"/>
        </w:rPr>
      </w:pPr>
    </w:p>
    <w:p w14:paraId="0B63FDE7" w14:textId="635E7F79" w:rsidR="004E0F28" w:rsidRPr="00DC5CAD" w:rsidRDefault="004E0F28" w:rsidP="004E58D5">
      <w:pPr>
        <w:spacing w:after="120" w:line="276" w:lineRule="auto"/>
        <w:jc w:val="both"/>
        <w:rPr>
          <w:rFonts w:ascii="Arial" w:eastAsia="Calibri" w:hAnsi="Arial" w:cs="Arial"/>
          <w:sz w:val="22"/>
        </w:rPr>
      </w:pPr>
      <w:r w:rsidRPr="00DC5CAD">
        <w:rPr>
          <w:rFonts w:ascii="Arial" w:eastAsia="Calibri" w:hAnsi="Arial" w:cs="Arial"/>
          <w:sz w:val="22"/>
        </w:rPr>
        <w:t xml:space="preserve">Es una reforma a los estatutos de una sociedad comercial, en </w:t>
      </w:r>
      <w:r w:rsidR="003B791C" w:rsidRPr="00DC5CAD">
        <w:rPr>
          <w:rFonts w:ascii="Arial" w:eastAsia="Calibri" w:hAnsi="Arial" w:cs="Arial"/>
          <w:sz w:val="22"/>
        </w:rPr>
        <w:t>la</w:t>
      </w:r>
      <w:r w:rsidRPr="00DC5CAD">
        <w:rPr>
          <w:rFonts w:ascii="Arial" w:eastAsia="Calibri" w:hAnsi="Arial" w:cs="Arial"/>
          <w:sz w:val="22"/>
        </w:rPr>
        <w:t xml:space="preserve"> cual se detalla la naturaleza jurídica, composición, estructura, capital, entre otros</w:t>
      </w:r>
      <w:r w:rsidR="003B791C" w:rsidRPr="00DC5CAD">
        <w:rPr>
          <w:rFonts w:ascii="Arial" w:eastAsia="Calibri" w:hAnsi="Arial" w:cs="Arial"/>
          <w:sz w:val="22"/>
        </w:rPr>
        <w:t>,</w:t>
      </w:r>
      <w:r w:rsidRPr="00DC5CAD">
        <w:rPr>
          <w:rFonts w:ascii="Arial" w:eastAsia="Calibri" w:hAnsi="Arial" w:cs="Arial"/>
          <w:sz w:val="22"/>
        </w:rPr>
        <w:t xml:space="preserve"> con el </w:t>
      </w:r>
      <w:r w:rsidR="003B791C" w:rsidRPr="00DC5CAD">
        <w:rPr>
          <w:rFonts w:ascii="Arial" w:eastAsia="Calibri" w:hAnsi="Arial" w:cs="Arial"/>
          <w:sz w:val="22"/>
        </w:rPr>
        <w:t>propósito</w:t>
      </w:r>
      <w:r w:rsidRPr="00DC5CAD">
        <w:rPr>
          <w:rFonts w:ascii="Arial" w:eastAsia="Calibri" w:hAnsi="Arial" w:cs="Arial"/>
          <w:sz w:val="22"/>
        </w:rPr>
        <w:t xml:space="preserve"> de transformar o cambiar la forma o tipo societario que adoptó, como sociedad anónima, limitada, en comandita, entre otras. Es decir, si una sociedad se crea como sociedad limitada, y sin </w:t>
      </w:r>
      <w:r w:rsidR="004E58D5" w:rsidRPr="00DC5CAD">
        <w:rPr>
          <w:rFonts w:ascii="Arial" w:eastAsia="Calibri" w:hAnsi="Arial" w:cs="Arial"/>
          <w:sz w:val="22"/>
        </w:rPr>
        <w:t>«</w:t>
      </w:r>
      <w:r w:rsidRPr="00DC5CAD">
        <w:rPr>
          <w:rFonts w:ascii="Arial" w:eastAsia="Calibri" w:hAnsi="Arial" w:cs="Arial"/>
          <w:sz w:val="22"/>
        </w:rPr>
        <w:t>disolverse</w:t>
      </w:r>
      <w:r w:rsidR="004E58D5" w:rsidRPr="00DC5CAD">
        <w:rPr>
          <w:rFonts w:ascii="Arial" w:eastAsia="Calibri" w:hAnsi="Arial" w:cs="Arial"/>
          <w:sz w:val="22"/>
        </w:rPr>
        <w:t>»</w:t>
      </w:r>
      <w:r w:rsidRPr="00DC5CAD">
        <w:rPr>
          <w:rFonts w:ascii="Arial" w:eastAsia="Calibri" w:hAnsi="Arial" w:cs="Arial"/>
          <w:sz w:val="22"/>
        </w:rPr>
        <w:t xml:space="preserve"> decide adoptar la figura de sociedad anónima, lo podrá hacer mediante una reforma estatutaria, sin que se interrumpa la continuidad de la sociedad comercial o persona jurídica</w:t>
      </w:r>
      <w:r w:rsidRPr="00DC5CAD">
        <w:rPr>
          <w:rStyle w:val="Refdenotaalpie"/>
          <w:rFonts w:ascii="Arial" w:eastAsia="Calibri" w:hAnsi="Arial" w:cs="Arial"/>
          <w:sz w:val="22"/>
        </w:rPr>
        <w:footnoteReference w:id="15"/>
      </w:r>
      <w:r w:rsidRPr="00DC5CAD">
        <w:rPr>
          <w:rFonts w:ascii="Arial" w:eastAsia="Calibri" w:hAnsi="Arial" w:cs="Arial"/>
          <w:sz w:val="22"/>
        </w:rPr>
        <w:t>. Es importante destacar que en esta reforma estatutaria solo participa la sociedad involucrada, y no existen otras sociedades que se relacionen o intervengan, lo cual diferencia la transformación de otras reformas o figuras.</w:t>
      </w:r>
    </w:p>
    <w:p w14:paraId="16103A19" w14:textId="3006CA7E" w:rsidR="004E0F28" w:rsidRPr="00DC5CAD" w:rsidRDefault="004E0F28" w:rsidP="001D1F8F">
      <w:pPr>
        <w:spacing w:line="276" w:lineRule="auto"/>
        <w:ind w:firstLine="708"/>
        <w:jc w:val="both"/>
        <w:rPr>
          <w:rFonts w:ascii="Arial" w:eastAsia="Calibri" w:hAnsi="Arial" w:cs="Arial"/>
          <w:sz w:val="22"/>
        </w:rPr>
      </w:pPr>
      <w:r w:rsidRPr="00DC5CAD">
        <w:rPr>
          <w:rFonts w:ascii="Arial" w:eastAsia="Calibri" w:hAnsi="Arial" w:cs="Arial"/>
          <w:sz w:val="22"/>
        </w:rPr>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w:t>
      </w:r>
      <w:r w:rsidR="004E58D5" w:rsidRPr="00DC5CAD">
        <w:rPr>
          <w:rFonts w:ascii="Arial" w:eastAsia="Calibri" w:hAnsi="Arial" w:cs="Arial"/>
          <w:sz w:val="22"/>
        </w:rPr>
        <w:t>«</w:t>
      </w:r>
      <w:r w:rsidRPr="00DC5CAD">
        <w:rPr>
          <w:rFonts w:ascii="Arial" w:eastAsia="Calibri" w:hAnsi="Arial" w:cs="Arial"/>
          <w:sz w:val="22"/>
        </w:rPr>
        <w:t>disuelve</w:t>
      </w:r>
      <w:r w:rsidR="004E58D5" w:rsidRPr="00DC5CAD">
        <w:rPr>
          <w:rFonts w:ascii="Arial" w:eastAsia="Calibri" w:hAnsi="Arial" w:cs="Arial"/>
          <w:sz w:val="22"/>
        </w:rPr>
        <w:t>»</w:t>
      </w:r>
      <w:r w:rsidRPr="00DC5CAD">
        <w:rPr>
          <w:rFonts w:ascii="Arial" w:eastAsia="Calibri" w:hAnsi="Arial" w:cs="Arial"/>
          <w:sz w:val="22"/>
        </w:rPr>
        <w:t xml:space="preserve">, y por ende tampoco se </w:t>
      </w:r>
      <w:r w:rsidR="004E58D5" w:rsidRPr="00DC5CAD">
        <w:rPr>
          <w:rFonts w:ascii="Arial" w:eastAsia="Calibri" w:hAnsi="Arial" w:cs="Arial"/>
          <w:sz w:val="22"/>
        </w:rPr>
        <w:t>«</w:t>
      </w:r>
      <w:r w:rsidRPr="00DC5CAD">
        <w:rPr>
          <w:rFonts w:ascii="Arial" w:eastAsia="Calibri" w:hAnsi="Arial" w:cs="Arial"/>
          <w:sz w:val="22"/>
        </w:rPr>
        <w:t>liquida</w:t>
      </w:r>
      <w:r w:rsidR="004E58D5" w:rsidRPr="00DC5CAD">
        <w:rPr>
          <w:rFonts w:ascii="Arial" w:eastAsia="Calibri" w:hAnsi="Arial" w:cs="Arial"/>
          <w:sz w:val="22"/>
        </w:rPr>
        <w:t>»</w:t>
      </w:r>
      <w:r w:rsidRPr="00DC5CAD">
        <w:rPr>
          <w:rFonts w:ascii="Arial" w:eastAsia="Calibri" w:hAnsi="Arial" w:cs="Arial"/>
          <w:sz w:val="22"/>
        </w:rPr>
        <w:t xml:space="preserve">, porque de acuerdo con el artículo 222 del Código de Comercio para </w:t>
      </w:r>
      <w:r w:rsidR="004E58D5" w:rsidRPr="00DC5CAD">
        <w:rPr>
          <w:rFonts w:ascii="Arial" w:eastAsia="Calibri" w:hAnsi="Arial" w:cs="Arial"/>
          <w:sz w:val="22"/>
        </w:rPr>
        <w:t>«</w:t>
      </w:r>
      <w:r w:rsidRPr="00DC5CAD">
        <w:rPr>
          <w:rFonts w:ascii="Arial" w:eastAsia="Calibri" w:hAnsi="Arial" w:cs="Arial"/>
          <w:sz w:val="22"/>
        </w:rPr>
        <w:t>liquidarse</w:t>
      </w:r>
      <w:r w:rsidR="004E58D5" w:rsidRPr="00DC5CAD">
        <w:rPr>
          <w:rFonts w:ascii="Arial" w:eastAsia="Calibri" w:hAnsi="Arial" w:cs="Arial"/>
          <w:sz w:val="22"/>
        </w:rPr>
        <w:t>»</w:t>
      </w:r>
      <w:r w:rsidRPr="00DC5CAD">
        <w:rPr>
          <w:rFonts w:ascii="Arial" w:eastAsia="Calibri" w:hAnsi="Arial" w:cs="Arial"/>
          <w:sz w:val="22"/>
        </w:rPr>
        <w:t xml:space="preserve"> necesita estar </w:t>
      </w:r>
      <w:r w:rsidR="004E58D5" w:rsidRPr="00DC5CAD">
        <w:rPr>
          <w:rFonts w:ascii="Arial" w:eastAsia="Calibri" w:hAnsi="Arial" w:cs="Arial"/>
          <w:sz w:val="22"/>
        </w:rPr>
        <w:t>«</w:t>
      </w:r>
      <w:r w:rsidRPr="00DC5CAD">
        <w:rPr>
          <w:rFonts w:ascii="Arial" w:eastAsia="Calibri" w:hAnsi="Arial" w:cs="Arial"/>
          <w:sz w:val="22"/>
        </w:rPr>
        <w:t>disuelta</w:t>
      </w:r>
      <w:r w:rsidR="004E58D5" w:rsidRPr="00DC5CAD">
        <w:rPr>
          <w:rFonts w:ascii="Arial" w:eastAsia="Calibri" w:hAnsi="Arial" w:cs="Arial"/>
          <w:sz w:val="22"/>
        </w:rPr>
        <w:t>»</w:t>
      </w:r>
      <w:r w:rsidRPr="00DC5CAD">
        <w:rPr>
          <w:rFonts w:ascii="Arial" w:eastAsia="Calibri" w:hAnsi="Arial" w:cs="Arial"/>
          <w:sz w:val="22"/>
        </w:rPr>
        <w:t xml:space="preserve">; solo cambia el tipo societario que había adoptado en su constitución, es decir, no sufre modificaciones o alteraciones y por eso puede continuar adquiriendo experiencia y compartirla, pero no puede trasladarla porque para ello tendría que </w:t>
      </w:r>
      <w:r w:rsidR="004E58D5" w:rsidRPr="00DC5CAD">
        <w:rPr>
          <w:rFonts w:ascii="Arial" w:eastAsia="Calibri" w:hAnsi="Arial" w:cs="Arial"/>
          <w:sz w:val="22"/>
        </w:rPr>
        <w:t>«</w:t>
      </w:r>
      <w:r w:rsidRPr="00DC5CAD">
        <w:rPr>
          <w:rFonts w:ascii="Arial" w:eastAsia="Calibri" w:hAnsi="Arial" w:cs="Arial"/>
          <w:sz w:val="22"/>
        </w:rPr>
        <w:t>disolverse</w:t>
      </w:r>
      <w:r w:rsidR="004E58D5" w:rsidRPr="00DC5CAD">
        <w:rPr>
          <w:rFonts w:ascii="Arial" w:eastAsia="Calibri" w:hAnsi="Arial" w:cs="Arial"/>
          <w:sz w:val="22"/>
        </w:rPr>
        <w:t>»</w:t>
      </w:r>
      <w:r w:rsidRPr="00DC5CAD">
        <w:rPr>
          <w:rFonts w:ascii="Arial" w:eastAsia="Calibri" w:hAnsi="Arial" w:cs="Arial"/>
          <w:sz w:val="22"/>
        </w:rPr>
        <w:t xml:space="preserve"> o conformar un consorcio, como se verá en la fusión y en una de las modalidades de escisión.  </w:t>
      </w:r>
    </w:p>
    <w:p w14:paraId="079186E2" w14:textId="77777777" w:rsidR="004E0F28" w:rsidRPr="00DC5CAD" w:rsidRDefault="004E0F28" w:rsidP="001D1F8F">
      <w:pPr>
        <w:spacing w:line="276" w:lineRule="auto"/>
        <w:jc w:val="both"/>
        <w:rPr>
          <w:rFonts w:ascii="Arial" w:eastAsia="Calibri" w:hAnsi="Arial" w:cs="Arial"/>
          <w:b/>
          <w:bCs/>
          <w:sz w:val="22"/>
        </w:rPr>
      </w:pPr>
    </w:p>
    <w:p w14:paraId="74F04F9C" w14:textId="77777777" w:rsidR="004E0F28" w:rsidRPr="00DC5CAD" w:rsidRDefault="004E0F28" w:rsidP="001D1F8F">
      <w:pPr>
        <w:spacing w:line="276" w:lineRule="auto"/>
        <w:jc w:val="both"/>
        <w:rPr>
          <w:rFonts w:ascii="Arial" w:eastAsia="Calibri" w:hAnsi="Arial" w:cs="Arial"/>
          <w:b/>
          <w:bCs/>
          <w:sz w:val="22"/>
        </w:rPr>
      </w:pPr>
      <w:r w:rsidRPr="00DC5CAD">
        <w:rPr>
          <w:rFonts w:ascii="Arial" w:eastAsia="Calibri" w:hAnsi="Arial" w:cs="Arial"/>
          <w:b/>
          <w:bCs/>
          <w:sz w:val="22"/>
        </w:rPr>
        <w:t>b) Escisión</w:t>
      </w:r>
    </w:p>
    <w:p w14:paraId="422B06C3" w14:textId="77777777" w:rsidR="004E0F28" w:rsidRPr="00DC5CAD" w:rsidRDefault="004E0F28" w:rsidP="001D1F8F">
      <w:pPr>
        <w:spacing w:line="276" w:lineRule="auto"/>
        <w:jc w:val="both"/>
        <w:rPr>
          <w:rFonts w:ascii="Arial" w:eastAsia="Calibri" w:hAnsi="Arial" w:cs="Arial"/>
          <w:b/>
          <w:bCs/>
          <w:sz w:val="22"/>
        </w:rPr>
      </w:pPr>
    </w:p>
    <w:p w14:paraId="1B5DCA5C" w14:textId="556665D8" w:rsidR="003B791C" w:rsidRPr="00DC5CAD" w:rsidRDefault="004E0F28" w:rsidP="0094559B">
      <w:pPr>
        <w:spacing w:after="120" w:line="276" w:lineRule="auto"/>
        <w:jc w:val="both"/>
        <w:rPr>
          <w:rFonts w:ascii="Arial" w:eastAsia="Calibri" w:hAnsi="Arial" w:cs="Arial"/>
          <w:sz w:val="22"/>
        </w:rPr>
      </w:pPr>
      <w:r w:rsidRPr="00DC5CAD">
        <w:rPr>
          <w:rFonts w:ascii="Arial" w:eastAsia="Calibri" w:hAnsi="Arial" w:cs="Arial"/>
          <w:sz w:val="22"/>
        </w:rPr>
        <w:t xml:space="preserve">Es una figura con dos modalidades reguladas por la Ley 222 de 1995. La primera se refiere a una sociedad que no se </w:t>
      </w:r>
      <w:r w:rsidR="004E58D5" w:rsidRPr="00DC5CAD">
        <w:rPr>
          <w:rFonts w:ascii="Arial" w:eastAsia="Calibri" w:hAnsi="Arial" w:cs="Arial"/>
          <w:sz w:val="22"/>
        </w:rPr>
        <w:t>«</w:t>
      </w:r>
      <w:r w:rsidRPr="00DC5CAD">
        <w:rPr>
          <w:rFonts w:ascii="Arial" w:eastAsia="Calibri" w:hAnsi="Arial" w:cs="Arial"/>
          <w:sz w:val="22"/>
        </w:rPr>
        <w:t>disuelve</w:t>
      </w:r>
      <w:r w:rsidR="004E58D5" w:rsidRPr="00DC5CAD">
        <w:rPr>
          <w:rFonts w:ascii="Arial" w:eastAsia="Calibri" w:hAnsi="Arial" w:cs="Arial"/>
          <w:sz w:val="22"/>
        </w:rPr>
        <w:t>»</w:t>
      </w:r>
      <w:r w:rsidRPr="00DC5CAD">
        <w:rPr>
          <w:rFonts w:ascii="Arial" w:eastAsia="Calibri" w:hAnsi="Arial" w:cs="Arial"/>
          <w:sz w:val="22"/>
        </w:rPr>
        <w:t xml:space="preserve"> ni se </w:t>
      </w:r>
      <w:r w:rsidR="004E58D5" w:rsidRPr="00DC5CAD">
        <w:rPr>
          <w:rFonts w:ascii="Arial" w:eastAsia="Calibri" w:hAnsi="Arial" w:cs="Arial"/>
          <w:sz w:val="22"/>
        </w:rPr>
        <w:t>«</w:t>
      </w:r>
      <w:r w:rsidRPr="00DC5CAD">
        <w:rPr>
          <w:rFonts w:ascii="Arial" w:eastAsia="Calibri" w:hAnsi="Arial" w:cs="Arial"/>
          <w:sz w:val="22"/>
        </w:rPr>
        <w:t>liquida</w:t>
      </w:r>
      <w:r w:rsidR="004E58D5" w:rsidRPr="00DC5CAD">
        <w:rPr>
          <w:rFonts w:ascii="Arial" w:eastAsia="Calibri" w:hAnsi="Arial" w:cs="Arial"/>
          <w:sz w:val="22"/>
        </w:rPr>
        <w:t>»</w:t>
      </w:r>
      <w:r w:rsidRPr="00DC5CAD">
        <w:rPr>
          <w:rFonts w:ascii="Arial" w:eastAsia="Calibri" w:hAnsi="Arial" w:cs="Arial"/>
          <w:sz w:val="22"/>
        </w:rPr>
        <w:t xml:space="preserve">, es decir, permanece sin modificaciones ni reformas, pero fracciona su patrimonio para transferir una o varias partes, a una o varias sociedades existentes o por crearse. </w:t>
      </w:r>
      <w:r w:rsidR="00173A59" w:rsidRPr="00DC5CAD">
        <w:rPr>
          <w:rFonts w:ascii="Arial" w:eastAsia="Calibri" w:hAnsi="Arial" w:cs="Arial"/>
          <w:sz w:val="22"/>
        </w:rPr>
        <w:t>En este caso</w:t>
      </w:r>
      <w:r w:rsidR="00801CAD" w:rsidRPr="00DC5CAD">
        <w:rPr>
          <w:rFonts w:ascii="Arial" w:eastAsia="Calibri" w:hAnsi="Arial" w:cs="Arial"/>
          <w:sz w:val="22"/>
        </w:rPr>
        <w:t>, la escisión se refiere al pa</w:t>
      </w:r>
      <w:r w:rsidR="00173A59" w:rsidRPr="00DC5CAD">
        <w:rPr>
          <w:rFonts w:ascii="Arial" w:eastAsia="Calibri" w:hAnsi="Arial" w:cs="Arial"/>
          <w:sz w:val="22"/>
        </w:rPr>
        <w:t>trimonio</w:t>
      </w:r>
      <w:r w:rsidR="00801CAD" w:rsidRPr="00DC5CAD">
        <w:rPr>
          <w:rFonts w:ascii="Arial" w:eastAsia="Calibri" w:hAnsi="Arial" w:cs="Arial"/>
          <w:sz w:val="22"/>
        </w:rPr>
        <w:t xml:space="preserve"> de la sociedad sin incluir ningún otro aspecto</w:t>
      </w:r>
      <w:r w:rsidR="00173A59" w:rsidRPr="00DC5CAD">
        <w:rPr>
          <w:rFonts w:ascii="Arial" w:eastAsia="Calibri" w:hAnsi="Arial" w:cs="Arial"/>
          <w:sz w:val="22"/>
        </w:rPr>
        <w:t>,</w:t>
      </w:r>
      <w:r w:rsidR="00801CAD" w:rsidRPr="00DC5CAD">
        <w:rPr>
          <w:rFonts w:ascii="Arial" w:eastAsia="Calibri" w:hAnsi="Arial" w:cs="Arial"/>
          <w:sz w:val="22"/>
        </w:rPr>
        <w:t xml:space="preserve"> lo cual significa que la sociedad continúa con un patrimonio reducido debido al fraccionamiento, pero no </w:t>
      </w:r>
      <w:r w:rsidR="0094559B" w:rsidRPr="00DC5CAD">
        <w:rPr>
          <w:rFonts w:ascii="Arial" w:eastAsia="Calibri" w:hAnsi="Arial" w:cs="Arial"/>
          <w:sz w:val="22"/>
        </w:rPr>
        <w:t xml:space="preserve">existe ninguna otra implicación para la persona jurídica como su desaparición por «disolverse» o «liquidarse», de acuerdo con lo mencionado sobre estos conceptos. En ese sentido, Colombia Compra Eficiente considera que las sociedades que reciben una parte del patrimonio de una sociedad que continúa existiendo, no implica que reciben su experiencia, ya que no es posible que varias sociedades tengan la misma experiencia, duplicándola tantas veces se haya fraccionado el patrimonio porque la experiencia pertenece a quien la adquirió ejecutando </w:t>
      </w:r>
      <w:r w:rsidR="00D64CD5" w:rsidRPr="00DC5CAD">
        <w:rPr>
          <w:rFonts w:ascii="Arial" w:eastAsia="Calibri" w:hAnsi="Arial" w:cs="Arial"/>
          <w:sz w:val="22"/>
        </w:rPr>
        <w:t xml:space="preserve">los </w:t>
      </w:r>
      <w:r w:rsidR="0094559B" w:rsidRPr="00DC5CAD">
        <w:rPr>
          <w:rFonts w:ascii="Arial" w:eastAsia="Calibri" w:hAnsi="Arial" w:cs="Arial"/>
          <w:sz w:val="22"/>
        </w:rPr>
        <w:t>contratos a su cargo.</w:t>
      </w:r>
      <w:r w:rsidR="00173A59" w:rsidRPr="00DC5CAD">
        <w:rPr>
          <w:rFonts w:ascii="Arial" w:eastAsia="Calibri" w:hAnsi="Arial" w:cs="Arial"/>
          <w:sz w:val="22"/>
        </w:rPr>
        <w:t xml:space="preserve"> </w:t>
      </w:r>
    </w:p>
    <w:p w14:paraId="07AF40AF" w14:textId="21EAF948" w:rsidR="004E0F28" w:rsidRPr="00DC5CAD" w:rsidRDefault="004E0F28" w:rsidP="003B791C">
      <w:pPr>
        <w:spacing w:line="276" w:lineRule="auto"/>
        <w:ind w:firstLine="708"/>
        <w:jc w:val="both"/>
        <w:rPr>
          <w:rFonts w:ascii="Arial" w:eastAsia="Calibri" w:hAnsi="Arial" w:cs="Arial"/>
          <w:sz w:val="22"/>
        </w:rPr>
      </w:pPr>
      <w:r w:rsidRPr="00DC5CAD">
        <w:rPr>
          <w:rFonts w:ascii="Arial" w:eastAsia="Calibri" w:hAnsi="Arial" w:cs="Arial"/>
          <w:sz w:val="22"/>
        </w:rPr>
        <w:t xml:space="preserve">La segunda modalidad se trata de una sociedad que se </w:t>
      </w:r>
      <w:r w:rsidR="002B088C" w:rsidRPr="00DC5CAD">
        <w:rPr>
          <w:rFonts w:ascii="Arial" w:eastAsia="Calibri" w:hAnsi="Arial" w:cs="Arial"/>
          <w:sz w:val="22"/>
        </w:rPr>
        <w:t>«</w:t>
      </w:r>
      <w:r w:rsidRPr="00DC5CAD">
        <w:rPr>
          <w:rFonts w:ascii="Arial" w:eastAsia="Calibri" w:hAnsi="Arial" w:cs="Arial"/>
          <w:sz w:val="22"/>
        </w:rPr>
        <w:t>disuelve</w:t>
      </w:r>
      <w:r w:rsidR="002B088C" w:rsidRPr="00DC5CAD">
        <w:rPr>
          <w:rFonts w:ascii="Arial" w:eastAsia="Calibri" w:hAnsi="Arial" w:cs="Arial"/>
          <w:sz w:val="22"/>
        </w:rPr>
        <w:t>»</w:t>
      </w:r>
      <w:r w:rsidRPr="00DC5CAD">
        <w:rPr>
          <w:rFonts w:ascii="Arial" w:eastAsia="Calibri" w:hAnsi="Arial" w:cs="Arial"/>
          <w:sz w:val="22"/>
        </w:rPr>
        <w:t xml:space="preserve"> sin </w:t>
      </w:r>
      <w:r w:rsidR="002B088C" w:rsidRPr="00DC5CAD">
        <w:rPr>
          <w:rFonts w:ascii="Arial" w:eastAsia="Calibri" w:hAnsi="Arial" w:cs="Arial"/>
          <w:sz w:val="22"/>
        </w:rPr>
        <w:t>«</w:t>
      </w:r>
      <w:r w:rsidRPr="00DC5CAD">
        <w:rPr>
          <w:rFonts w:ascii="Arial" w:eastAsia="Calibri" w:hAnsi="Arial" w:cs="Arial"/>
          <w:sz w:val="22"/>
        </w:rPr>
        <w:t>liquidarse</w:t>
      </w:r>
      <w:r w:rsidR="002B088C" w:rsidRPr="00DC5CAD">
        <w:rPr>
          <w:rFonts w:ascii="Arial" w:eastAsia="Calibri" w:hAnsi="Arial" w:cs="Arial"/>
          <w:sz w:val="22"/>
        </w:rPr>
        <w:t>»</w:t>
      </w:r>
      <w:r w:rsidRPr="00DC5CAD">
        <w:rPr>
          <w:rFonts w:ascii="Arial" w:eastAsia="Calibri" w:hAnsi="Arial" w:cs="Arial"/>
          <w:sz w:val="22"/>
        </w:rPr>
        <w:t>, esto es, que implica una reforma social, lo cual no ocurre con la primera modalidad, y también existe fraccionamiento del patrimonio con el mismo fin</w:t>
      </w:r>
      <w:r w:rsidRPr="00DC5CAD">
        <w:rPr>
          <w:rStyle w:val="Refdenotaalpie"/>
          <w:rFonts w:ascii="Arial" w:eastAsia="Calibri" w:hAnsi="Arial" w:cs="Arial"/>
          <w:sz w:val="22"/>
        </w:rPr>
        <w:footnoteReference w:id="16"/>
      </w:r>
      <w:r w:rsidRPr="00DC5CAD">
        <w:rPr>
          <w:rFonts w:ascii="Arial" w:eastAsia="Calibri" w:hAnsi="Arial" w:cs="Arial"/>
          <w:sz w:val="22"/>
        </w:rPr>
        <w:t>. Como se observa, participa una sociedad y otra, u otras, que reciban la transferencia del patrimonio en bloque</w:t>
      </w:r>
      <w:r w:rsidR="00D64CD5" w:rsidRPr="00DC5CAD">
        <w:rPr>
          <w:rFonts w:ascii="Arial" w:eastAsia="Calibri" w:hAnsi="Arial" w:cs="Arial"/>
          <w:sz w:val="22"/>
        </w:rPr>
        <w:t>.</w:t>
      </w:r>
      <w:r w:rsidRPr="00DC5CAD">
        <w:rPr>
          <w:rFonts w:ascii="Arial" w:eastAsia="Calibri" w:hAnsi="Arial" w:cs="Arial"/>
          <w:sz w:val="22"/>
        </w:rPr>
        <w:t xml:space="preserve"> </w:t>
      </w:r>
    </w:p>
    <w:p w14:paraId="273C4D2F" w14:textId="4D0B9863" w:rsidR="00D64CD5" w:rsidRPr="00DC5CAD" w:rsidRDefault="004E0F28" w:rsidP="004E0F28">
      <w:pPr>
        <w:spacing w:before="120" w:after="120" w:line="276" w:lineRule="auto"/>
        <w:ind w:firstLine="708"/>
        <w:jc w:val="both"/>
        <w:rPr>
          <w:rFonts w:ascii="Arial" w:eastAsia="Calibri" w:hAnsi="Arial" w:cs="Arial"/>
          <w:sz w:val="22"/>
        </w:rPr>
      </w:pPr>
      <w:r w:rsidRPr="00DC5CAD">
        <w:rPr>
          <w:rFonts w:ascii="Arial" w:eastAsia="Calibri" w:hAnsi="Arial" w:cs="Arial"/>
          <w:sz w:val="22"/>
        </w:rPr>
        <w:t xml:space="preserve">Para la primera modalidad de escisión, teniendo en cuenta que la sociedad continúa sin alteraciones, puede compartir la experiencia a través de esquemas asociativos, pero no la transfiere porque para ello tendría que </w:t>
      </w:r>
      <w:r w:rsidR="002B088C" w:rsidRPr="00DC5CAD">
        <w:rPr>
          <w:rFonts w:ascii="Arial" w:eastAsia="Calibri" w:hAnsi="Arial" w:cs="Arial"/>
          <w:sz w:val="22"/>
        </w:rPr>
        <w:t>«</w:t>
      </w:r>
      <w:r w:rsidRPr="00DC5CAD">
        <w:rPr>
          <w:rFonts w:ascii="Arial" w:eastAsia="Calibri" w:hAnsi="Arial" w:cs="Arial"/>
          <w:sz w:val="22"/>
        </w:rPr>
        <w:t>disolverse</w:t>
      </w:r>
      <w:r w:rsidR="002B088C" w:rsidRPr="00DC5CAD">
        <w:rPr>
          <w:rFonts w:ascii="Arial" w:eastAsia="Calibri" w:hAnsi="Arial" w:cs="Arial"/>
          <w:sz w:val="22"/>
        </w:rPr>
        <w:t>»</w:t>
      </w:r>
      <w:r w:rsidRPr="00DC5CAD">
        <w:rPr>
          <w:rFonts w:ascii="Arial" w:eastAsia="Calibri" w:hAnsi="Arial" w:cs="Arial"/>
          <w:sz w:val="22"/>
        </w:rPr>
        <w:t xml:space="preserve"> pero no </w:t>
      </w:r>
      <w:r w:rsidR="002B088C" w:rsidRPr="00DC5CAD">
        <w:rPr>
          <w:rFonts w:ascii="Arial" w:eastAsia="Calibri" w:hAnsi="Arial" w:cs="Arial"/>
          <w:sz w:val="22"/>
        </w:rPr>
        <w:t>«</w:t>
      </w:r>
      <w:r w:rsidRPr="00DC5CAD">
        <w:rPr>
          <w:rFonts w:ascii="Arial" w:eastAsia="Calibri" w:hAnsi="Arial" w:cs="Arial"/>
          <w:sz w:val="22"/>
        </w:rPr>
        <w:t>liquidarse</w:t>
      </w:r>
      <w:r w:rsidR="002B088C" w:rsidRPr="00DC5CAD">
        <w:rPr>
          <w:rFonts w:ascii="Arial" w:eastAsia="Calibri" w:hAnsi="Arial" w:cs="Arial"/>
          <w:sz w:val="22"/>
        </w:rPr>
        <w:t>»</w:t>
      </w:r>
      <w:r w:rsidRPr="00DC5CAD">
        <w:rPr>
          <w:rFonts w:ascii="Arial" w:eastAsia="Calibri" w:hAnsi="Arial" w:cs="Arial"/>
          <w:sz w:val="22"/>
        </w:rPr>
        <w:t xml:space="preserve">, puesto que la </w:t>
      </w:r>
      <w:r w:rsidR="002B088C" w:rsidRPr="00DC5CAD">
        <w:rPr>
          <w:rFonts w:ascii="Arial" w:eastAsia="Calibri" w:hAnsi="Arial" w:cs="Arial"/>
          <w:sz w:val="22"/>
        </w:rPr>
        <w:t>«</w:t>
      </w:r>
      <w:r w:rsidRPr="00DC5CAD">
        <w:rPr>
          <w:rFonts w:ascii="Arial" w:eastAsia="Calibri" w:hAnsi="Arial" w:cs="Arial"/>
          <w:sz w:val="22"/>
        </w:rPr>
        <w:t>liquidación</w:t>
      </w:r>
      <w:r w:rsidR="002B088C" w:rsidRPr="00DC5CAD">
        <w:rPr>
          <w:rFonts w:ascii="Arial" w:eastAsia="Calibri" w:hAnsi="Arial" w:cs="Arial"/>
          <w:sz w:val="22"/>
        </w:rPr>
        <w:t>»</w:t>
      </w:r>
      <w:r w:rsidRPr="00DC5CAD">
        <w:rPr>
          <w:rFonts w:ascii="Arial" w:eastAsia="Calibri" w:hAnsi="Arial" w:cs="Arial"/>
          <w:sz w:val="22"/>
        </w:rPr>
        <w:t xml:space="preserve"> implicaría que desaparece la persona y así su experiencia. Para explicarlo hay que volver a la definición de </w:t>
      </w:r>
      <w:r w:rsidR="002B088C" w:rsidRPr="00DC5CAD">
        <w:rPr>
          <w:rFonts w:ascii="Arial" w:eastAsia="Calibri" w:hAnsi="Arial" w:cs="Arial"/>
          <w:sz w:val="22"/>
        </w:rPr>
        <w:t>«</w:t>
      </w:r>
      <w:r w:rsidRPr="00DC5CAD">
        <w:rPr>
          <w:rFonts w:ascii="Arial" w:eastAsia="Calibri" w:hAnsi="Arial" w:cs="Arial"/>
          <w:sz w:val="22"/>
        </w:rPr>
        <w:t>disolución</w:t>
      </w:r>
      <w:r w:rsidR="002B088C" w:rsidRPr="00DC5CAD">
        <w:rPr>
          <w:rFonts w:ascii="Arial" w:eastAsia="Calibri" w:hAnsi="Arial" w:cs="Arial"/>
          <w:sz w:val="22"/>
        </w:rPr>
        <w:t>»</w:t>
      </w:r>
      <w:r w:rsidRPr="00DC5CAD">
        <w:rPr>
          <w:rFonts w:ascii="Arial" w:eastAsia="Calibri" w:hAnsi="Arial" w:cs="Arial"/>
          <w:sz w:val="22"/>
        </w:rPr>
        <w:t xml:space="preserve">, donde la persona jurídica no desaparece y solo puede hacer trámites para </w:t>
      </w:r>
      <w:r w:rsidR="002B088C" w:rsidRPr="00DC5CAD">
        <w:rPr>
          <w:rFonts w:ascii="Arial" w:eastAsia="Calibri" w:hAnsi="Arial" w:cs="Arial"/>
          <w:sz w:val="22"/>
        </w:rPr>
        <w:t>«</w:t>
      </w:r>
      <w:r w:rsidRPr="00DC5CAD">
        <w:rPr>
          <w:rFonts w:ascii="Arial" w:eastAsia="Calibri" w:hAnsi="Arial" w:cs="Arial"/>
          <w:sz w:val="22"/>
        </w:rPr>
        <w:t>liquidarse</w:t>
      </w:r>
      <w:r w:rsidR="002B088C" w:rsidRPr="00DC5CAD">
        <w:rPr>
          <w:rFonts w:ascii="Arial" w:eastAsia="Calibri" w:hAnsi="Arial" w:cs="Arial"/>
          <w:sz w:val="22"/>
        </w:rPr>
        <w:t>»</w:t>
      </w:r>
      <w:r w:rsidRPr="00DC5CAD">
        <w:rPr>
          <w:rFonts w:ascii="Arial" w:eastAsia="Calibri" w:hAnsi="Arial" w:cs="Arial"/>
          <w:sz w:val="22"/>
        </w:rPr>
        <w:t xml:space="preserve">, sin embargo hay una excepción a esa regla y es, precisamente, las figuras y reformas estatutarias que aquí se explican, particularmente la fusión, ya que por esa excepción la persona tiene continuidad en otra persona, y sigue siendo quien era, lo cual no es el caso de la escisión, ya que en la primera modalidad no existe </w:t>
      </w:r>
      <w:r w:rsidR="002B088C" w:rsidRPr="00DC5CAD">
        <w:rPr>
          <w:rFonts w:ascii="Arial" w:eastAsia="Calibri" w:hAnsi="Arial" w:cs="Arial"/>
          <w:sz w:val="22"/>
        </w:rPr>
        <w:t>«</w:t>
      </w:r>
      <w:r w:rsidRPr="00DC5CAD">
        <w:rPr>
          <w:rFonts w:ascii="Arial" w:eastAsia="Calibri" w:hAnsi="Arial" w:cs="Arial"/>
          <w:sz w:val="22"/>
        </w:rPr>
        <w:t>disolución</w:t>
      </w:r>
      <w:r w:rsidR="002B088C" w:rsidRPr="00DC5CAD">
        <w:rPr>
          <w:rFonts w:ascii="Arial" w:eastAsia="Calibri" w:hAnsi="Arial" w:cs="Arial"/>
          <w:sz w:val="22"/>
        </w:rPr>
        <w:t>»</w:t>
      </w:r>
      <w:r w:rsidRPr="00DC5CAD">
        <w:rPr>
          <w:rFonts w:ascii="Arial" w:eastAsia="Calibri" w:hAnsi="Arial" w:cs="Arial"/>
          <w:sz w:val="22"/>
        </w:rPr>
        <w:t>, lo que significa que la persona continúa por sí misma y puede adquirir experiencia</w:t>
      </w:r>
      <w:r w:rsidR="00D64CD5" w:rsidRPr="00DC5CAD">
        <w:rPr>
          <w:rFonts w:ascii="Arial" w:eastAsia="Calibri" w:hAnsi="Arial" w:cs="Arial"/>
          <w:sz w:val="22"/>
        </w:rPr>
        <w:t xml:space="preserve"> pero no puede transferirla porque le pertenece al ser quien la adquirió. </w:t>
      </w:r>
    </w:p>
    <w:p w14:paraId="695124E1" w14:textId="3EF68839" w:rsidR="004E0F28" w:rsidRPr="00DC5CAD" w:rsidRDefault="00D64CD5" w:rsidP="004E0F28">
      <w:pPr>
        <w:spacing w:before="120" w:after="120" w:line="276" w:lineRule="auto"/>
        <w:ind w:firstLine="708"/>
        <w:jc w:val="both"/>
        <w:rPr>
          <w:rFonts w:ascii="Arial" w:eastAsia="Calibri" w:hAnsi="Arial" w:cs="Arial"/>
          <w:sz w:val="22"/>
        </w:rPr>
      </w:pPr>
      <w:r w:rsidRPr="00DC5CAD">
        <w:rPr>
          <w:rFonts w:ascii="Arial" w:eastAsia="Calibri" w:hAnsi="Arial" w:cs="Arial"/>
          <w:sz w:val="22"/>
        </w:rPr>
        <w:t>Por otro lado,</w:t>
      </w:r>
      <w:r w:rsidR="004E0F28" w:rsidRPr="00DC5CAD">
        <w:rPr>
          <w:rFonts w:ascii="Arial" w:eastAsia="Calibri" w:hAnsi="Arial" w:cs="Arial"/>
          <w:sz w:val="22"/>
        </w:rPr>
        <w:t xml:space="preserve"> a pesar de que en la segunda modalidad existe </w:t>
      </w:r>
      <w:r w:rsidR="002B088C" w:rsidRPr="00DC5CAD">
        <w:rPr>
          <w:rFonts w:ascii="Arial" w:eastAsia="Calibri" w:hAnsi="Arial" w:cs="Arial"/>
          <w:sz w:val="22"/>
        </w:rPr>
        <w:t>«</w:t>
      </w:r>
      <w:r w:rsidR="004E0F28" w:rsidRPr="00DC5CAD">
        <w:rPr>
          <w:rFonts w:ascii="Arial" w:eastAsia="Calibri" w:hAnsi="Arial" w:cs="Arial"/>
          <w:sz w:val="22"/>
        </w:rPr>
        <w:t>disolución</w:t>
      </w:r>
      <w:r w:rsidR="002B088C" w:rsidRPr="00DC5CAD">
        <w:rPr>
          <w:rFonts w:ascii="Arial" w:eastAsia="Calibri" w:hAnsi="Arial" w:cs="Arial"/>
          <w:sz w:val="22"/>
        </w:rPr>
        <w:t>»</w:t>
      </w:r>
      <w:r w:rsidR="004E0F28" w:rsidRPr="00DC5CAD">
        <w:rPr>
          <w:rFonts w:ascii="Arial" w:eastAsia="Calibri" w:hAnsi="Arial" w:cs="Arial"/>
          <w:sz w:val="22"/>
        </w:rPr>
        <w:t>, no hay transferencia de la experiencia porque la persona jurídica fraccionada deja de ser quién es y desaparece</w:t>
      </w:r>
      <w:r w:rsidR="000E1FB7" w:rsidRPr="00DC5CAD">
        <w:rPr>
          <w:rFonts w:ascii="Arial" w:eastAsia="Calibri" w:hAnsi="Arial" w:cs="Arial"/>
          <w:sz w:val="22"/>
        </w:rPr>
        <w:t xml:space="preserve">, </w:t>
      </w:r>
      <w:r w:rsidRPr="00DC5CAD">
        <w:rPr>
          <w:rFonts w:ascii="Arial" w:eastAsia="Calibri" w:hAnsi="Arial" w:cs="Arial"/>
          <w:sz w:val="22"/>
        </w:rPr>
        <w:t>queda</w:t>
      </w:r>
      <w:r w:rsidR="000E1FB7" w:rsidRPr="00DC5CAD">
        <w:rPr>
          <w:rFonts w:ascii="Arial" w:eastAsia="Calibri" w:hAnsi="Arial" w:cs="Arial"/>
          <w:sz w:val="22"/>
        </w:rPr>
        <w:t xml:space="preserve">ndo </w:t>
      </w:r>
      <w:r w:rsidRPr="00DC5CAD">
        <w:rPr>
          <w:rFonts w:ascii="Arial" w:eastAsia="Calibri" w:hAnsi="Arial" w:cs="Arial"/>
          <w:sz w:val="22"/>
        </w:rPr>
        <w:t>dividida en varias sociedades nuevas o existentes que reciben su patrimonio</w:t>
      </w:r>
      <w:r w:rsidR="00691278" w:rsidRPr="00DC5CAD">
        <w:rPr>
          <w:rFonts w:ascii="Arial" w:eastAsia="Calibri" w:hAnsi="Arial" w:cs="Arial"/>
          <w:sz w:val="22"/>
        </w:rPr>
        <w:t>,</w:t>
      </w:r>
      <w:r w:rsidRPr="00DC5CAD">
        <w:rPr>
          <w:rFonts w:ascii="Arial" w:eastAsia="Calibri" w:hAnsi="Arial" w:cs="Arial"/>
          <w:sz w:val="22"/>
        </w:rPr>
        <w:t xml:space="preserve"> sin que sea posible determinar cuál de todas las sociedades que recibieron parte del patrimonio de la sociedad escindida tiene la experiencia, y tampoco es posible que todas las sociedades que recibieron el patrimonio acrediten la misma experiencia multiplicándola </w:t>
      </w:r>
      <w:r w:rsidR="000E1FB7" w:rsidRPr="00DC5CAD">
        <w:rPr>
          <w:rFonts w:ascii="Arial" w:eastAsia="Calibri" w:hAnsi="Arial" w:cs="Arial"/>
          <w:sz w:val="22"/>
        </w:rPr>
        <w:t>tantas veces sea necesario,</w:t>
      </w:r>
      <w:r w:rsidR="00691278" w:rsidRPr="00DC5CAD">
        <w:rPr>
          <w:rFonts w:ascii="Arial" w:eastAsia="Calibri" w:hAnsi="Arial" w:cs="Arial"/>
          <w:sz w:val="22"/>
        </w:rPr>
        <w:t xml:space="preserve"> porque la experiencia es de quien la adquirió y como esa persona jurídica</w:t>
      </w:r>
      <w:r w:rsidR="004E0F28" w:rsidRPr="00DC5CAD">
        <w:rPr>
          <w:rFonts w:ascii="Arial" w:eastAsia="Calibri" w:hAnsi="Arial" w:cs="Arial"/>
          <w:sz w:val="22"/>
        </w:rPr>
        <w:t xml:space="preserve"> no puede continuar en otra persona</w:t>
      </w:r>
      <w:r w:rsidR="00691278" w:rsidRPr="00DC5CAD">
        <w:rPr>
          <w:rFonts w:ascii="Arial" w:eastAsia="Calibri" w:hAnsi="Arial" w:cs="Arial"/>
          <w:sz w:val="22"/>
        </w:rPr>
        <w:t xml:space="preserve"> porque desapareció quedando fraccionada en 2 o más partes</w:t>
      </w:r>
      <w:r w:rsidR="004E0F28" w:rsidRPr="00DC5CAD">
        <w:rPr>
          <w:rFonts w:ascii="Arial" w:eastAsia="Calibri" w:hAnsi="Arial" w:cs="Arial"/>
          <w:sz w:val="22"/>
        </w:rPr>
        <w:t>,</w:t>
      </w:r>
      <w:r w:rsidR="00691278" w:rsidRPr="00DC5CAD">
        <w:rPr>
          <w:rFonts w:ascii="Arial" w:eastAsia="Calibri" w:hAnsi="Arial" w:cs="Arial"/>
          <w:sz w:val="22"/>
        </w:rPr>
        <w:t xml:space="preserve"> esto</w:t>
      </w:r>
      <w:r w:rsidR="004E0F28" w:rsidRPr="00DC5CAD">
        <w:rPr>
          <w:rFonts w:ascii="Arial" w:eastAsia="Calibri" w:hAnsi="Arial" w:cs="Arial"/>
          <w:sz w:val="22"/>
        </w:rPr>
        <w:t xml:space="preserve"> no corresponde con la definición de experiencia personal ni de transferencia de experiencia, donde la persona jurídica sigue siendo quien es a través de otra, sin cambios como fraccionamientos que implican que la persona ya no sea quien era</w:t>
      </w:r>
      <w:r w:rsidR="0023583A" w:rsidRPr="00DC5CAD">
        <w:rPr>
          <w:rFonts w:ascii="Arial" w:eastAsia="Calibri" w:hAnsi="Arial" w:cs="Arial"/>
          <w:sz w:val="22"/>
        </w:rPr>
        <w:t xml:space="preserve"> y desaparezca</w:t>
      </w:r>
      <w:r w:rsidR="004E0F28" w:rsidRPr="00DC5CAD">
        <w:rPr>
          <w:rFonts w:ascii="Arial" w:eastAsia="Calibri" w:hAnsi="Arial" w:cs="Arial"/>
          <w:sz w:val="22"/>
        </w:rPr>
        <w:t xml:space="preserve">. </w:t>
      </w:r>
    </w:p>
    <w:p w14:paraId="6900CB7D" w14:textId="384D9D5B" w:rsidR="004E0F28" w:rsidRPr="00DC5CAD" w:rsidRDefault="004E0F28" w:rsidP="002B088C">
      <w:pPr>
        <w:spacing w:before="120" w:after="120" w:line="276" w:lineRule="auto"/>
        <w:ind w:firstLine="708"/>
        <w:jc w:val="both"/>
        <w:rPr>
          <w:rFonts w:ascii="Arial" w:eastAsia="Calibri" w:hAnsi="Arial" w:cs="Arial"/>
          <w:sz w:val="22"/>
        </w:rPr>
      </w:pPr>
      <w:r w:rsidRPr="00DC5CAD">
        <w:rPr>
          <w:rFonts w:ascii="Arial" w:eastAsia="Calibri" w:hAnsi="Arial" w:cs="Arial"/>
          <w:sz w:val="22"/>
        </w:rPr>
        <w:t xml:space="preserve">Pero en la fusión, como se verá, a pesar de que la sociedad esta </w:t>
      </w:r>
      <w:r w:rsidR="002B088C" w:rsidRPr="00DC5CAD">
        <w:rPr>
          <w:rFonts w:ascii="Arial" w:eastAsia="Calibri" w:hAnsi="Arial" w:cs="Arial"/>
          <w:sz w:val="22"/>
        </w:rPr>
        <w:t>«</w:t>
      </w:r>
      <w:r w:rsidRPr="00DC5CAD">
        <w:rPr>
          <w:rFonts w:ascii="Arial" w:eastAsia="Calibri" w:hAnsi="Arial" w:cs="Arial"/>
          <w:sz w:val="22"/>
        </w:rPr>
        <w:t>disuelta</w:t>
      </w:r>
      <w:r w:rsidR="002B088C" w:rsidRPr="00DC5CAD">
        <w:rPr>
          <w:rFonts w:ascii="Arial" w:eastAsia="Calibri" w:hAnsi="Arial" w:cs="Arial"/>
          <w:sz w:val="22"/>
        </w:rPr>
        <w:t>»</w:t>
      </w:r>
      <w:r w:rsidRPr="00DC5CAD">
        <w:rPr>
          <w:rFonts w:ascii="Arial" w:eastAsia="Calibri" w:hAnsi="Arial" w:cs="Arial"/>
          <w:sz w:val="22"/>
        </w:rPr>
        <w:t xml:space="preserve"> y debería </w:t>
      </w:r>
      <w:r w:rsidR="002B088C" w:rsidRPr="00DC5CAD">
        <w:rPr>
          <w:rFonts w:ascii="Arial" w:eastAsia="Calibri" w:hAnsi="Arial" w:cs="Arial"/>
          <w:sz w:val="22"/>
        </w:rPr>
        <w:t>«</w:t>
      </w:r>
      <w:r w:rsidRPr="00DC5CAD">
        <w:rPr>
          <w:rFonts w:ascii="Arial" w:eastAsia="Calibri" w:hAnsi="Arial" w:cs="Arial"/>
          <w:sz w:val="22"/>
        </w:rPr>
        <w:t>liquidarse</w:t>
      </w:r>
      <w:r w:rsidR="002B088C" w:rsidRPr="00DC5CAD">
        <w:rPr>
          <w:rFonts w:ascii="Arial" w:eastAsia="Calibri" w:hAnsi="Arial" w:cs="Arial"/>
          <w:sz w:val="22"/>
        </w:rPr>
        <w:t>»</w:t>
      </w:r>
      <w:r w:rsidRPr="00DC5CAD">
        <w:rPr>
          <w:rFonts w:ascii="Arial" w:eastAsia="Calibri" w:hAnsi="Arial" w:cs="Arial"/>
          <w:sz w:val="22"/>
        </w:rPr>
        <w:t xml:space="preserve">, para desaparecer, la ley permite que no desaparezca y tenga continuidad convertida en otra sociedad, por lo que, por expresa disposición legal, la sociedad puede no </w:t>
      </w:r>
      <w:r w:rsidR="002B088C" w:rsidRPr="00DC5CAD">
        <w:rPr>
          <w:rFonts w:ascii="Arial" w:eastAsia="Calibri" w:hAnsi="Arial" w:cs="Arial"/>
          <w:sz w:val="22"/>
        </w:rPr>
        <w:t>«</w:t>
      </w:r>
      <w:r w:rsidRPr="00DC5CAD">
        <w:rPr>
          <w:rFonts w:ascii="Arial" w:eastAsia="Calibri" w:hAnsi="Arial" w:cs="Arial"/>
          <w:sz w:val="22"/>
        </w:rPr>
        <w:t>liquidarse</w:t>
      </w:r>
      <w:r w:rsidR="002B088C" w:rsidRPr="00DC5CAD">
        <w:rPr>
          <w:rFonts w:ascii="Arial" w:eastAsia="Calibri" w:hAnsi="Arial" w:cs="Arial"/>
          <w:sz w:val="22"/>
        </w:rPr>
        <w:t>»</w:t>
      </w:r>
      <w:r w:rsidRPr="00DC5CAD">
        <w:rPr>
          <w:rFonts w:ascii="Arial" w:eastAsia="Calibri" w:hAnsi="Arial" w:cs="Arial"/>
          <w:sz w:val="22"/>
        </w:rPr>
        <w:t xml:space="preserve"> sino continuar a través de otra sociedad, porque así lo </w:t>
      </w:r>
      <w:r w:rsidR="00502A34" w:rsidRPr="00DC5CAD">
        <w:rPr>
          <w:rFonts w:ascii="Arial" w:eastAsia="Calibri" w:hAnsi="Arial" w:cs="Arial"/>
          <w:sz w:val="22"/>
        </w:rPr>
        <w:t>dispuso</w:t>
      </w:r>
      <w:r w:rsidRPr="00DC5CAD">
        <w:rPr>
          <w:rFonts w:ascii="Arial" w:eastAsia="Calibri" w:hAnsi="Arial" w:cs="Arial"/>
          <w:sz w:val="22"/>
        </w:rPr>
        <w:t xml:space="preserve"> el legislador, y esto implica que se traslada la experiencia y no se comparte, porque compartir implica que siga existiendo como una persona individualmente considerada, pero como continúa a través de otra lo que sucede es la transferencia de la experiencia.</w:t>
      </w:r>
    </w:p>
    <w:p w14:paraId="5E8B6EFF" w14:textId="2ED8D37A" w:rsidR="004E0F28" w:rsidRPr="00DC5CAD" w:rsidRDefault="004E0F28" w:rsidP="001D1F8F">
      <w:pPr>
        <w:spacing w:line="276" w:lineRule="auto"/>
        <w:ind w:firstLine="708"/>
        <w:jc w:val="both"/>
        <w:rPr>
          <w:rFonts w:ascii="Arial" w:eastAsia="Calibri" w:hAnsi="Arial" w:cs="Arial"/>
          <w:sz w:val="22"/>
        </w:rPr>
      </w:pPr>
      <w:r w:rsidRPr="00DC5CAD">
        <w:rPr>
          <w:rFonts w:ascii="Arial" w:eastAsia="Calibri" w:hAnsi="Arial" w:cs="Arial"/>
          <w:sz w:val="22"/>
        </w:rPr>
        <w:t xml:space="preserve">El efecto de la transferencia de experiencia es que, teniendo en cuenta que quien la adquirió, por la </w:t>
      </w:r>
      <w:r w:rsidR="002B088C" w:rsidRPr="00DC5CAD">
        <w:rPr>
          <w:rFonts w:ascii="Arial" w:eastAsia="Calibri" w:hAnsi="Arial" w:cs="Arial"/>
          <w:sz w:val="22"/>
        </w:rPr>
        <w:t>«</w:t>
      </w:r>
      <w:r w:rsidRPr="00DC5CAD">
        <w:rPr>
          <w:rFonts w:ascii="Arial" w:eastAsia="Calibri" w:hAnsi="Arial" w:cs="Arial"/>
          <w:sz w:val="22"/>
        </w:rPr>
        <w:t>disolución</w:t>
      </w:r>
      <w:r w:rsidR="002B088C" w:rsidRPr="00DC5CAD">
        <w:rPr>
          <w:rFonts w:ascii="Arial" w:eastAsia="Calibri" w:hAnsi="Arial" w:cs="Arial"/>
          <w:sz w:val="22"/>
        </w:rPr>
        <w:t>»</w:t>
      </w:r>
      <w:r w:rsidRPr="00DC5CAD">
        <w:rPr>
          <w:rFonts w:ascii="Arial" w:eastAsia="Calibri" w:hAnsi="Arial" w:cs="Arial"/>
          <w:sz w:val="22"/>
        </w:rPr>
        <w:t xml:space="preserve"> y de acuerdo con lo dispuesto por el legislador, continúa a través de otra persona y no desparece, esa experiencia es propia de la sociedad que la tiene ahora, y no deja de ser personal puesto que la sociedad se convirtió en otra sin </w:t>
      </w:r>
      <w:r w:rsidR="004C437A" w:rsidRPr="00DC5CAD">
        <w:rPr>
          <w:rFonts w:ascii="Arial" w:eastAsia="Calibri" w:hAnsi="Arial" w:cs="Arial"/>
          <w:sz w:val="22"/>
        </w:rPr>
        <w:t>desaparecer</w:t>
      </w:r>
      <w:r w:rsidRPr="00DC5CAD">
        <w:rPr>
          <w:rFonts w:ascii="Arial" w:eastAsia="Calibri" w:hAnsi="Arial" w:cs="Arial"/>
          <w:sz w:val="22"/>
        </w:rPr>
        <w:t xml:space="preserve">, y esa nueva sociedad o sociedad existente que son las beneficiarias, son la misma sociedad que se </w:t>
      </w:r>
      <w:r w:rsidR="002B088C" w:rsidRPr="00DC5CAD">
        <w:rPr>
          <w:rFonts w:ascii="Arial" w:eastAsia="Calibri" w:hAnsi="Arial" w:cs="Arial"/>
          <w:sz w:val="22"/>
        </w:rPr>
        <w:t>«</w:t>
      </w:r>
      <w:r w:rsidRPr="00DC5CAD">
        <w:rPr>
          <w:rFonts w:ascii="Arial" w:eastAsia="Calibri" w:hAnsi="Arial" w:cs="Arial"/>
          <w:sz w:val="22"/>
        </w:rPr>
        <w:t>disolvió</w:t>
      </w:r>
      <w:r w:rsidR="002B088C" w:rsidRPr="00DC5CAD">
        <w:rPr>
          <w:rFonts w:ascii="Arial" w:eastAsia="Calibri" w:hAnsi="Arial" w:cs="Arial"/>
          <w:sz w:val="22"/>
        </w:rPr>
        <w:t>»</w:t>
      </w:r>
      <w:r w:rsidRPr="00DC5CAD">
        <w:rPr>
          <w:rFonts w:ascii="Arial" w:eastAsia="Calibri" w:hAnsi="Arial" w:cs="Arial"/>
          <w:sz w:val="22"/>
        </w:rPr>
        <w:t xml:space="preserve"> para convertirse en ellas, sin afectar lo adquirido por la sociedad </w:t>
      </w:r>
      <w:r w:rsidR="002B088C" w:rsidRPr="00DC5CAD">
        <w:rPr>
          <w:rFonts w:ascii="Arial" w:eastAsia="Calibri" w:hAnsi="Arial" w:cs="Arial"/>
          <w:sz w:val="22"/>
        </w:rPr>
        <w:t>«</w:t>
      </w:r>
      <w:r w:rsidRPr="00DC5CAD">
        <w:rPr>
          <w:rFonts w:ascii="Arial" w:eastAsia="Calibri" w:hAnsi="Arial" w:cs="Arial"/>
          <w:sz w:val="22"/>
        </w:rPr>
        <w:t>disuelta</w:t>
      </w:r>
      <w:r w:rsidR="002B088C" w:rsidRPr="00DC5CAD">
        <w:rPr>
          <w:rFonts w:ascii="Arial" w:eastAsia="Calibri" w:hAnsi="Arial" w:cs="Arial"/>
          <w:sz w:val="22"/>
        </w:rPr>
        <w:t>»</w:t>
      </w:r>
      <w:r w:rsidRPr="00DC5CAD">
        <w:rPr>
          <w:rFonts w:ascii="Arial" w:eastAsia="Calibri" w:hAnsi="Arial" w:cs="Arial"/>
          <w:sz w:val="22"/>
        </w:rPr>
        <w:t>.</w:t>
      </w:r>
    </w:p>
    <w:p w14:paraId="2C8AB553" w14:textId="77777777" w:rsidR="002B088C" w:rsidRPr="00DC5CAD" w:rsidRDefault="002B088C" w:rsidP="001D1F8F">
      <w:pPr>
        <w:spacing w:line="276" w:lineRule="auto"/>
        <w:jc w:val="both"/>
        <w:rPr>
          <w:rFonts w:ascii="Arial" w:eastAsia="Calibri" w:hAnsi="Arial" w:cs="Arial"/>
          <w:b/>
          <w:bCs/>
          <w:sz w:val="22"/>
        </w:rPr>
      </w:pPr>
    </w:p>
    <w:p w14:paraId="525E9E17" w14:textId="21048609" w:rsidR="004E0F28" w:rsidRPr="00DC5CAD" w:rsidRDefault="004E0F28" w:rsidP="001D1F8F">
      <w:pPr>
        <w:spacing w:line="276" w:lineRule="auto"/>
        <w:jc w:val="both"/>
        <w:rPr>
          <w:rFonts w:ascii="Arial" w:eastAsia="Calibri" w:hAnsi="Arial" w:cs="Arial"/>
          <w:b/>
          <w:bCs/>
          <w:sz w:val="22"/>
        </w:rPr>
      </w:pPr>
      <w:r w:rsidRPr="00DC5CAD">
        <w:rPr>
          <w:rFonts w:ascii="Arial" w:eastAsia="Calibri" w:hAnsi="Arial" w:cs="Arial"/>
          <w:b/>
          <w:bCs/>
          <w:sz w:val="22"/>
        </w:rPr>
        <w:t>c) Fusión</w:t>
      </w:r>
    </w:p>
    <w:p w14:paraId="12E3B93E" w14:textId="77777777" w:rsidR="004E0F28" w:rsidRPr="00DC5CAD" w:rsidRDefault="004E0F28" w:rsidP="001D1F8F">
      <w:pPr>
        <w:spacing w:line="276" w:lineRule="auto"/>
        <w:jc w:val="both"/>
        <w:rPr>
          <w:rFonts w:ascii="Arial" w:eastAsia="Calibri" w:hAnsi="Arial" w:cs="Arial"/>
          <w:b/>
          <w:bCs/>
          <w:sz w:val="22"/>
        </w:rPr>
      </w:pPr>
    </w:p>
    <w:p w14:paraId="45462DAE" w14:textId="737A98E5" w:rsidR="004E0F28" w:rsidRPr="00DC5CAD" w:rsidRDefault="004E0F28" w:rsidP="001D1F8F">
      <w:pPr>
        <w:spacing w:line="276" w:lineRule="auto"/>
        <w:jc w:val="both"/>
        <w:rPr>
          <w:rFonts w:ascii="Arial" w:eastAsia="Calibri" w:hAnsi="Arial" w:cs="Arial"/>
          <w:sz w:val="22"/>
        </w:rPr>
      </w:pPr>
      <w:r w:rsidRPr="00DC5CAD">
        <w:rPr>
          <w:rFonts w:ascii="Arial" w:eastAsia="Calibri" w:hAnsi="Arial" w:cs="Arial"/>
          <w:sz w:val="22"/>
        </w:rPr>
        <w:t xml:space="preserve">Es una figura con 4 tipologías: i) por absorción: una o más sociedades se </w:t>
      </w:r>
      <w:r w:rsidR="002B088C" w:rsidRPr="00DC5CAD">
        <w:rPr>
          <w:rFonts w:ascii="Arial" w:eastAsia="Calibri" w:hAnsi="Arial" w:cs="Arial"/>
          <w:sz w:val="22"/>
        </w:rPr>
        <w:t>«</w:t>
      </w:r>
      <w:r w:rsidRPr="00DC5CAD">
        <w:rPr>
          <w:rFonts w:ascii="Arial" w:eastAsia="Calibri" w:hAnsi="Arial" w:cs="Arial"/>
          <w:sz w:val="22"/>
        </w:rPr>
        <w:t>disuelven</w:t>
      </w:r>
      <w:r w:rsidR="002B088C" w:rsidRPr="00DC5CAD">
        <w:rPr>
          <w:rFonts w:ascii="Arial" w:eastAsia="Calibri" w:hAnsi="Arial" w:cs="Arial"/>
          <w:sz w:val="22"/>
        </w:rPr>
        <w:t>»</w:t>
      </w:r>
      <w:r w:rsidRPr="00DC5CAD">
        <w:rPr>
          <w:rFonts w:ascii="Arial" w:eastAsia="Calibri" w:hAnsi="Arial" w:cs="Arial"/>
          <w:sz w:val="22"/>
        </w:rPr>
        <w:t xml:space="preserve"> sin </w:t>
      </w:r>
      <w:r w:rsidR="002B088C" w:rsidRPr="00DC5CAD">
        <w:rPr>
          <w:rFonts w:ascii="Arial" w:eastAsia="Calibri" w:hAnsi="Arial" w:cs="Arial"/>
          <w:sz w:val="22"/>
        </w:rPr>
        <w:t>«</w:t>
      </w:r>
      <w:r w:rsidRPr="00DC5CAD">
        <w:rPr>
          <w:rFonts w:ascii="Arial" w:eastAsia="Calibri" w:hAnsi="Arial" w:cs="Arial"/>
          <w:sz w:val="22"/>
        </w:rPr>
        <w:t>liquidarse</w:t>
      </w:r>
      <w:r w:rsidR="002B088C" w:rsidRPr="00DC5CAD">
        <w:rPr>
          <w:rFonts w:ascii="Arial" w:eastAsia="Calibri" w:hAnsi="Arial" w:cs="Arial"/>
          <w:sz w:val="22"/>
        </w:rPr>
        <w:t>»</w:t>
      </w:r>
      <w:r w:rsidRPr="00DC5CAD">
        <w:rPr>
          <w:rFonts w:ascii="Arial" w:eastAsia="Calibri" w:hAnsi="Arial" w:cs="Arial"/>
          <w:sz w:val="22"/>
        </w:rPr>
        <w:t xml:space="preserve"> para ser absorbidas por otra existente; </w:t>
      </w:r>
      <w:proofErr w:type="spellStart"/>
      <w:r w:rsidRPr="00DC5CAD">
        <w:rPr>
          <w:rFonts w:ascii="Arial" w:eastAsia="Calibri" w:hAnsi="Arial" w:cs="Arial"/>
          <w:sz w:val="22"/>
        </w:rPr>
        <w:t>ii</w:t>
      </w:r>
      <w:proofErr w:type="spellEnd"/>
      <w:r w:rsidRPr="00DC5CAD">
        <w:rPr>
          <w:rFonts w:ascii="Arial" w:eastAsia="Calibri" w:hAnsi="Arial" w:cs="Arial"/>
          <w:sz w:val="22"/>
        </w:rPr>
        <w:t xml:space="preserve">) por creación: una o más sociedades se </w:t>
      </w:r>
      <w:r w:rsidR="002B088C" w:rsidRPr="00DC5CAD">
        <w:rPr>
          <w:rFonts w:ascii="Arial" w:eastAsia="Calibri" w:hAnsi="Arial" w:cs="Arial"/>
          <w:sz w:val="22"/>
        </w:rPr>
        <w:t>«</w:t>
      </w:r>
      <w:r w:rsidRPr="00DC5CAD">
        <w:rPr>
          <w:rFonts w:ascii="Arial" w:eastAsia="Calibri" w:hAnsi="Arial" w:cs="Arial"/>
          <w:sz w:val="22"/>
        </w:rPr>
        <w:t>disuelven</w:t>
      </w:r>
      <w:r w:rsidR="002B088C" w:rsidRPr="00DC5CAD">
        <w:rPr>
          <w:rFonts w:ascii="Arial" w:eastAsia="Calibri" w:hAnsi="Arial" w:cs="Arial"/>
          <w:sz w:val="22"/>
        </w:rPr>
        <w:t>»</w:t>
      </w:r>
      <w:r w:rsidRPr="00DC5CAD">
        <w:rPr>
          <w:rFonts w:ascii="Arial" w:eastAsia="Calibri" w:hAnsi="Arial" w:cs="Arial"/>
          <w:sz w:val="22"/>
        </w:rPr>
        <w:t xml:space="preserve"> sin </w:t>
      </w:r>
      <w:r w:rsidR="002B088C" w:rsidRPr="00DC5CAD">
        <w:rPr>
          <w:rFonts w:ascii="Arial" w:eastAsia="Calibri" w:hAnsi="Arial" w:cs="Arial"/>
          <w:sz w:val="22"/>
        </w:rPr>
        <w:t>«</w:t>
      </w:r>
      <w:r w:rsidRPr="00DC5CAD">
        <w:rPr>
          <w:rFonts w:ascii="Arial" w:eastAsia="Calibri" w:hAnsi="Arial" w:cs="Arial"/>
          <w:sz w:val="22"/>
        </w:rPr>
        <w:t>liquidarse</w:t>
      </w:r>
      <w:r w:rsidR="002B088C" w:rsidRPr="00DC5CAD">
        <w:rPr>
          <w:rFonts w:ascii="Arial" w:eastAsia="Calibri" w:hAnsi="Arial" w:cs="Arial"/>
          <w:sz w:val="22"/>
        </w:rPr>
        <w:t>»</w:t>
      </w:r>
      <w:r w:rsidRPr="00DC5CAD">
        <w:rPr>
          <w:rFonts w:ascii="Arial" w:eastAsia="Calibri" w:hAnsi="Arial" w:cs="Arial"/>
          <w:sz w:val="22"/>
        </w:rPr>
        <w:t xml:space="preserve"> para ser absorbidas por otra nueva</w:t>
      </w:r>
      <w:r w:rsidRPr="00DC5CAD">
        <w:rPr>
          <w:rStyle w:val="Refdenotaalpie"/>
          <w:rFonts w:ascii="Arial" w:eastAsia="Calibri" w:hAnsi="Arial" w:cs="Arial"/>
          <w:sz w:val="22"/>
        </w:rPr>
        <w:footnoteReference w:id="17"/>
      </w:r>
      <w:r w:rsidRPr="00DC5CAD">
        <w:rPr>
          <w:rFonts w:ascii="Arial" w:eastAsia="Calibri" w:hAnsi="Arial" w:cs="Arial"/>
          <w:sz w:val="22"/>
        </w:rPr>
        <w:t xml:space="preserve">; </w:t>
      </w:r>
      <w:proofErr w:type="spellStart"/>
      <w:r w:rsidRPr="00DC5CAD">
        <w:rPr>
          <w:rFonts w:ascii="Arial" w:eastAsia="Calibri" w:hAnsi="Arial" w:cs="Arial"/>
          <w:sz w:val="22"/>
        </w:rPr>
        <w:t>iii</w:t>
      </w:r>
      <w:proofErr w:type="spellEnd"/>
      <w:r w:rsidRPr="00DC5CAD">
        <w:rPr>
          <w:rFonts w:ascii="Arial" w:eastAsia="Calibri" w:hAnsi="Arial" w:cs="Arial"/>
          <w:sz w:val="22"/>
        </w:rPr>
        <w:t xml:space="preserve">) impropia: una sociedad se </w:t>
      </w:r>
      <w:r w:rsidR="002B088C" w:rsidRPr="00DC5CAD">
        <w:rPr>
          <w:rFonts w:ascii="Arial" w:eastAsia="Calibri" w:hAnsi="Arial" w:cs="Arial"/>
          <w:sz w:val="22"/>
        </w:rPr>
        <w:t>«</w:t>
      </w:r>
      <w:r w:rsidRPr="00DC5CAD">
        <w:rPr>
          <w:rFonts w:ascii="Arial" w:eastAsia="Calibri" w:hAnsi="Arial" w:cs="Arial"/>
          <w:sz w:val="22"/>
        </w:rPr>
        <w:t>disuelve</w:t>
      </w:r>
      <w:r w:rsidR="002B088C" w:rsidRPr="00DC5CAD">
        <w:rPr>
          <w:rFonts w:ascii="Arial" w:eastAsia="Calibri" w:hAnsi="Arial" w:cs="Arial"/>
          <w:sz w:val="22"/>
        </w:rPr>
        <w:t>»</w:t>
      </w:r>
      <w:r w:rsidRPr="00DC5CAD">
        <w:rPr>
          <w:rFonts w:ascii="Arial" w:eastAsia="Calibri" w:hAnsi="Arial" w:cs="Arial"/>
          <w:sz w:val="22"/>
        </w:rPr>
        <w:t xml:space="preserve"> sin el propósito de realizar una fusión sino de </w:t>
      </w:r>
      <w:r w:rsidR="002B088C" w:rsidRPr="00DC5CAD">
        <w:rPr>
          <w:rFonts w:ascii="Arial" w:eastAsia="Calibri" w:hAnsi="Arial" w:cs="Arial"/>
          <w:sz w:val="22"/>
        </w:rPr>
        <w:t>«</w:t>
      </w:r>
      <w:r w:rsidRPr="00DC5CAD">
        <w:rPr>
          <w:rFonts w:ascii="Arial" w:eastAsia="Calibri" w:hAnsi="Arial" w:cs="Arial"/>
          <w:sz w:val="22"/>
        </w:rPr>
        <w:t>liquidarse</w:t>
      </w:r>
      <w:r w:rsidR="002B088C" w:rsidRPr="00DC5CAD">
        <w:rPr>
          <w:rFonts w:ascii="Arial" w:eastAsia="Calibri" w:hAnsi="Arial" w:cs="Arial"/>
          <w:sz w:val="22"/>
        </w:rPr>
        <w:t>»</w:t>
      </w:r>
      <w:r w:rsidRPr="00DC5CAD">
        <w:rPr>
          <w:rFonts w:ascii="Arial" w:eastAsia="Calibri" w:hAnsi="Arial" w:cs="Arial"/>
          <w:sz w:val="22"/>
        </w:rPr>
        <w:t>, y antes de la liquidación se toma la decisión de crear una sociedad</w:t>
      </w:r>
      <w:r w:rsidRPr="00DC5CAD">
        <w:rPr>
          <w:rStyle w:val="Refdenotaalpie"/>
          <w:rFonts w:ascii="Arial" w:eastAsia="Calibri" w:hAnsi="Arial" w:cs="Arial"/>
          <w:sz w:val="22"/>
        </w:rPr>
        <w:footnoteReference w:id="18"/>
      </w:r>
      <w:r w:rsidRPr="00DC5CAD">
        <w:rPr>
          <w:rFonts w:ascii="Arial" w:eastAsia="Calibri" w:hAnsi="Arial" w:cs="Arial"/>
          <w:sz w:val="22"/>
        </w:rPr>
        <w:t xml:space="preserve">; </w:t>
      </w:r>
      <w:proofErr w:type="spellStart"/>
      <w:r w:rsidRPr="00DC5CAD">
        <w:rPr>
          <w:rFonts w:ascii="Arial" w:eastAsia="Calibri" w:hAnsi="Arial" w:cs="Arial"/>
          <w:sz w:val="22"/>
        </w:rPr>
        <w:t>iv</w:t>
      </w:r>
      <w:proofErr w:type="spellEnd"/>
      <w:r w:rsidRPr="00DC5CAD">
        <w:rPr>
          <w:rFonts w:ascii="Arial" w:eastAsia="Calibri" w:hAnsi="Arial" w:cs="Arial"/>
          <w:sz w:val="22"/>
        </w:rPr>
        <w:t>) abreviada: Solo aplica cuando una Sociedad por Acciones Simplificada (S.A.S) pertenece a otra sociedad en más del 90% de sus acciones, y es posible que esa sociedad controlante absorba a la S.A.S, es decir, que ocurra una fusión por absorción</w:t>
      </w:r>
      <w:r w:rsidRPr="00DC5CAD">
        <w:rPr>
          <w:rStyle w:val="Refdenotaalpie"/>
          <w:rFonts w:ascii="Arial" w:eastAsia="Calibri" w:hAnsi="Arial" w:cs="Arial"/>
          <w:sz w:val="22"/>
        </w:rPr>
        <w:footnoteReference w:id="19"/>
      </w:r>
      <w:r w:rsidRPr="00DC5CAD">
        <w:rPr>
          <w:rFonts w:ascii="Arial" w:eastAsia="Calibri" w:hAnsi="Arial" w:cs="Arial"/>
          <w:sz w:val="22"/>
        </w:rPr>
        <w:t xml:space="preserve">. La norma no </w:t>
      </w:r>
      <w:r w:rsidR="004C437A" w:rsidRPr="00DC5CAD">
        <w:rPr>
          <w:rFonts w:ascii="Arial" w:eastAsia="Calibri" w:hAnsi="Arial" w:cs="Arial"/>
          <w:sz w:val="22"/>
        </w:rPr>
        <w:t>se refi</w:t>
      </w:r>
      <w:r w:rsidR="00FB21E1">
        <w:rPr>
          <w:rFonts w:ascii="Arial" w:eastAsia="Calibri" w:hAnsi="Arial" w:cs="Arial"/>
          <w:sz w:val="22"/>
        </w:rPr>
        <w:t>e</w:t>
      </w:r>
      <w:r w:rsidR="004C437A" w:rsidRPr="00DC5CAD">
        <w:rPr>
          <w:rFonts w:ascii="Arial" w:eastAsia="Calibri" w:hAnsi="Arial" w:cs="Arial"/>
          <w:sz w:val="22"/>
        </w:rPr>
        <w:t>re a la</w:t>
      </w:r>
      <w:r w:rsidRPr="00DC5CAD">
        <w:rPr>
          <w:rFonts w:ascii="Arial" w:eastAsia="Calibri" w:hAnsi="Arial" w:cs="Arial"/>
          <w:sz w:val="22"/>
        </w:rPr>
        <w:t xml:space="preserve"> </w:t>
      </w:r>
      <w:r w:rsidR="002B088C" w:rsidRPr="00DC5CAD">
        <w:rPr>
          <w:rFonts w:ascii="Arial" w:eastAsia="Calibri" w:hAnsi="Arial" w:cs="Arial"/>
          <w:sz w:val="22"/>
        </w:rPr>
        <w:t>«</w:t>
      </w:r>
      <w:r w:rsidRPr="00DC5CAD">
        <w:rPr>
          <w:rFonts w:ascii="Arial" w:eastAsia="Calibri" w:hAnsi="Arial" w:cs="Arial"/>
          <w:sz w:val="22"/>
        </w:rPr>
        <w:t>disolución de la S.A.S</w:t>
      </w:r>
      <w:r w:rsidR="002B088C" w:rsidRPr="00DC5CAD">
        <w:rPr>
          <w:rFonts w:ascii="Arial" w:eastAsia="Calibri" w:hAnsi="Arial" w:cs="Arial"/>
          <w:sz w:val="22"/>
        </w:rPr>
        <w:t>»</w:t>
      </w:r>
      <w:r w:rsidRPr="00DC5CAD">
        <w:rPr>
          <w:rFonts w:ascii="Arial" w:eastAsia="Calibri" w:hAnsi="Arial" w:cs="Arial"/>
          <w:sz w:val="22"/>
        </w:rPr>
        <w:t xml:space="preserve">, lo cual no implica que no exista fusión, sino que es abreviada porque no se requiere configurar el estado de </w:t>
      </w:r>
      <w:r w:rsidR="002B088C" w:rsidRPr="00DC5CAD">
        <w:rPr>
          <w:rFonts w:ascii="Arial" w:eastAsia="Calibri" w:hAnsi="Arial" w:cs="Arial"/>
          <w:sz w:val="22"/>
        </w:rPr>
        <w:t>«</w:t>
      </w:r>
      <w:r w:rsidRPr="00DC5CAD">
        <w:rPr>
          <w:rFonts w:ascii="Arial" w:eastAsia="Calibri" w:hAnsi="Arial" w:cs="Arial"/>
          <w:sz w:val="22"/>
        </w:rPr>
        <w:t>disolución</w:t>
      </w:r>
      <w:r w:rsidR="002B088C" w:rsidRPr="00DC5CAD">
        <w:rPr>
          <w:rFonts w:ascii="Arial" w:eastAsia="Calibri" w:hAnsi="Arial" w:cs="Arial"/>
          <w:sz w:val="22"/>
        </w:rPr>
        <w:t>»</w:t>
      </w:r>
      <w:r w:rsidRPr="00DC5CAD">
        <w:rPr>
          <w:rFonts w:ascii="Arial" w:eastAsia="Calibri" w:hAnsi="Arial" w:cs="Arial"/>
          <w:sz w:val="22"/>
        </w:rPr>
        <w:t xml:space="preserve"> de la sociedad.</w:t>
      </w:r>
    </w:p>
    <w:p w14:paraId="305341DB" w14:textId="3C1C4F98" w:rsidR="004E0F28" w:rsidRPr="00DC5CAD" w:rsidRDefault="004E0F28" w:rsidP="004E0F28">
      <w:pPr>
        <w:spacing w:before="120" w:line="276" w:lineRule="auto"/>
        <w:ind w:firstLine="708"/>
        <w:jc w:val="both"/>
        <w:rPr>
          <w:rFonts w:ascii="Arial" w:eastAsia="Calibri" w:hAnsi="Arial" w:cs="Arial"/>
          <w:bCs/>
          <w:sz w:val="22"/>
        </w:rPr>
      </w:pPr>
      <w:r w:rsidRPr="00DC5CAD">
        <w:rPr>
          <w:rFonts w:ascii="Arial" w:eastAsia="Calibri" w:hAnsi="Arial" w:cs="Arial"/>
          <w:bCs/>
          <w:sz w:val="22"/>
        </w:rPr>
        <w:t>Para analizar la fusión y sus efectos respecto de la experiencia de la sociedad que se</w:t>
      </w:r>
      <w:r w:rsidR="002B088C" w:rsidRPr="00DC5CAD">
        <w:rPr>
          <w:rFonts w:ascii="Arial" w:eastAsia="Calibri" w:hAnsi="Arial" w:cs="Arial"/>
          <w:bCs/>
          <w:sz w:val="22"/>
        </w:rPr>
        <w:t xml:space="preserve"> </w:t>
      </w:r>
      <w:r w:rsidR="002B088C" w:rsidRPr="00DC5CAD">
        <w:rPr>
          <w:rFonts w:ascii="Arial" w:eastAsia="Calibri" w:hAnsi="Arial" w:cs="Arial"/>
          <w:sz w:val="22"/>
        </w:rPr>
        <w:t>«</w:t>
      </w:r>
      <w:r w:rsidRPr="00DC5CAD">
        <w:rPr>
          <w:rFonts w:ascii="Arial" w:eastAsia="Calibri" w:hAnsi="Arial" w:cs="Arial"/>
          <w:bCs/>
          <w:sz w:val="22"/>
        </w:rPr>
        <w:t>disuelve</w:t>
      </w:r>
      <w:r w:rsidR="002B088C" w:rsidRPr="00DC5CAD">
        <w:rPr>
          <w:rFonts w:ascii="Arial" w:eastAsia="Calibri" w:hAnsi="Arial" w:cs="Arial"/>
          <w:bCs/>
          <w:sz w:val="22"/>
        </w:rPr>
        <w:t>»</w:t>
      </w:r>
      <w:r w:rsidRPr="00DC5CAD">
        <w:rPr>
          <w:rFonts w:ascii="Arial" w:eastAsia="Calibri" w:hAnsi="Arial" w:cs="Arial"/>
          <w:bCs/>
          <w:sz w:val="22"/>
        </w:rPr>
        <w:t xml:space="preserve"> pero no se </w:t>
      </w:r>
      <w:r w:rsidR="002B088C" w:rsidRPr="00DC5CAD">
        <w:rPr>
          <w:rFonts w:ascii="Arial" w:eastAsia="Calibri" w:hAnsi="Arial" w:cs="Arial"/>
          <w:sz w:val="22"/>
        </w:rPr>
        <w:t>«</w:t>
      </w:r>
      <w:r w:rsidRPr="00DC5CAD">
        <w:rPr>
          <w:rFonts w:ascii="Arial" w:eastAsia="Calibri" w:hAnsi="Arial" w:cs="Arial"/>
          <w:bCs/>
          <w:sz w:val="22"/>
        </w:rPr>
        <w:t>liquida</w:t>
      </w:r>
      <w:r w:rsidR="002B088C" w:rsidRPr="00DC5CAD">
        <w:rPr>
          <w:rFonts w:ascii="Arial" w:eastAsia="Calibri" w:hAnsi="Arial" w:cs="Arial"/>
          <w:bCs/>
          <w:sz w:val="22"/>
        </w:rPr>
        <w:t>»</w:t>
      </w:r>
      <w:r w:rsidRPr="00DC5CAD">
        <w:rPr>
          <w:rFonts w:ascii="Arial" w:eastAsia="Calibri" w:hAnsi="Arial" w:cs="Arial"/>
          <w:bCs/>
          <w:sz w:val="22"/>
        </w:rPr>
        <w:t xml:space="preserve">, es necesario reiterar la explicación dada respecto de la segunda modalidad de escisión, y es que siempre que la sociedad no se liquide, es decir, que no desaparezca, la experiencia puede ser trasladada y no compartida, ya que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y estas sociedades serán la sociedad absorbida, y continuarán su </w:t>
      </w:r>
      <w:r w:rsidR="004C437A" w:rsidRPr="00DC5CAD">
        <w:rPr>
          <w:rFonts w:ascii="Arial" w:eastAsia="Calibri" w:hAnsi="Arial" w:cs="Arial"/>
          <w:bCs/>
          <w:sz w:val="22"/>
        </w:rPr>
        <w:t>existencia</w:t>
      </w:r>
      <w:r w:rsidRPr="00DC5CAD">
        <w:rPr>
          <w:rFonts w:ascii="Arial" w:eastAsia="Calibri" w:hAnsi="Arial" w:cs="Arial"/>
          <w:bCs/>
          <w:sz w:val="22"/>
        </w:rPr>
        <w:t xml:space="preserve"> jurídica. </w:t>
      </w:r>
      <w:r w:rsidR="004C437A" w:rsidRPr="00DC5CAD">
        <w:rPr>
          <w:rFonts w:ascii="Arial" w:eastAsia="Calibri" w:hAnsi="Arial" w:cs="Arial"/>
          <w:bCs/>
          <w:sz w:val="22"/>
        </w:rPr>
        <w:t>En este caso l</w:t>
      </w:r>
      <w:r w:rsidRPr="00DC5CAD">
        <w:rPr>
          <w:rFonts w:ascii="Arial" w:eastAsia="Calibri" w:hAnsi="Arial" w:cs="Arial"/>
          <w:bCs/>
          <w:sz w:val="22"/>
        </w:rPr>
        <w:t>a experiencia no se comparte</w:t>
      </w:r>
      <w:r w:rsidR="004C437A" w:rsidRPr="00DC5CAD">
        <w:rPr>
          <w:rFonts w:ascii="Arial" w:eastAsia="Calibri" w:hAnsi="Arial" w:cs="Arial"/>
          <w:bCs/>
          <w:sz w:val="22"/>
        </w:rPr>
        <w:t xml:space="preserve">, </w:t>
      </w:r>
      <w:r w:rsidRPr="00DC5CAD">
        <w:rPr>
          <w:rFonts w:ascii="Arial" w:eastAsia="Calibri" w:hAnsi="Arial" w:cs="Arial"/>
          <w:bCs/>
          <w:sz w:val="22"/>
        </w:rPr>
        <w:t xml:space="preserve">porque para esto la sociedad debería continuar individualmente considerada, pero en este </w:t>
      </w:r>
      <w:r w:rsidR="004C437A" w:rsidRPr="00DC5CAD">
        <w:rPr>
          <w:rFonts w:ascii="Arial" w:eastAsia="Calibri" w:hAnsi="Arial" w:cs="Arial"/>
          <w:bCs/>
          <w:sz w:val="22"/>
        </w:rPr>
        <w:t>evento</w:t>
      </w:r>
      <w:r w:rsidRPr="00DC5CAD">
        <w:rPr>
          <w:rFonts w:ascii="Arial" w:eastAsia="Calibri" w:hAnsi="Arial" w:cs="Arial"/>
          <w:bCs/>
          <w:sz w:val="22"/>
        </w:rPr>
        <w:t xml:space="preserve"> continúa a través de otra, a quien le transfiere su experiencia y todos sus derechos y obligaciones, de conformidad con el artículo 172 y siguientes del Código de Comercio. </w:t>
      </w:r>
    </w:p>
    <w:p w14:paraId="7CDF7930" w14:textId="77777777" w:rsidR="00640730" w:rsidRPr="00DC5CAD" w:rsidRDefault="00640730" w:rsidP="004E0F28">
      <w:pPr>
        <w:pStyle w:val="Sinespaciado"/>
        <w:ind w:firstLine="709"/>
        <w:jc w:val="both"/>
        <w:rPr>
          <w:rFonts w:ascii="Arial" w:hAnsi="Arial" w:cs="Arial"/>
          <w:sz w:val="22"/>
        </w:rPr>
      </w:pPr>
    </w:p>
    <w:p w14:paraId="6F5967EC" w14:textId="0C11AC21" w:rsidR="00347B31" w:rsidRPr="00DC5CAD" w:rsidRDefault="00592C46" w:rsidP="004E0F28">
      <w:pPr>
        <w:jc w:val="both"/>
        <w:rPr>
          <w:rFonts w:ascii="Arial" w:hAnsi="Arial" w:cs="Arial"/>
          <w:b/>
          <w:sz w:val="22"/>
        </w:rPr>
      </w:pPr>
      <w:r w:rsidRPr="00DC5CAD">
        <w:rPr>
          <w:rFonts w:ascii="Arial" w:hAnsi="Arial" w:cs="Arial"/>
          <w:b/>
          <w:sz w:val="22"/>
        </w:rPr>
        <w:t xml:space="preserve">3. </w:t>
      </w:r>
      <w:r w:rsidR="00347B31" w:rsidRPr="00DC5CAD">
        <w:rPr>
          <w:rFonts w:ascii="Arial" w:hAnsi="Arial" w:cs="Arial"/>
          <w:b/>
          <w:sz w:val="22"/>
        </w:rPr>
        <w:t>Respuesta</w:t>
      </w:r>
    </w:p>
    <w:p w14:paraId="2E0E5394" w14:textId="77777777" w:rsidR="00886D12" w:rsidRPr="00DC5CAD" w:rsidRDefault="00886D12" w:rsidP="004E0F28">
      <w:pPr>
        <w:pStyle w:val="Prrafodelista"/>
        <w:tabs>
          <w:tab w:val="left" w:pos="426"/>
        </w:tabs>
        <w:ind w:left="360"/>
        <w:jc w:val="both"/>
        <w:rPr>
          <w:rFonts w:ascii="Arial" w:eastAsia="Calibri" w:hAnsi="Arial" w:cs="Arial"/>
          <w:sz w:val="22"/>
        </w:rPr>
      </w:pPr>
    </w:p>
    <w:p w14:paraId="17CF93E1" w14:textId="67FA2221" w:rsidR="00592C46" w:rsidRPr="00DC5CAD" w:rsidRDefault="000E3CFC" w:rsidP="004E0F28">
      <w:pPr>
        <w:pStyle w:val="Prrafodelista"/>
        <w:tabs>
          <w:tab w:val="left" w:pos="426"/>
        </w:tabs>
        <w:ind w:left="709" w:right="709"/>
        <w:jc w:val="both"/>
        <w:rPr>
          <w:rFonts w:ascii="Arial" w:hAnsi="Arial" w:cs="Arial"/>
          <w:sz w:val="22"/>
          <w:lang w:val="es-CO"/>
        </w:rPr>
      </w:pPr>
      <w:proofErr w:type="gramStart"/>
      <w:r w:rsidRPr="00DC5CAD">
        <w:rPr>
          <w:rFonts w:ascii="Arial" w:eastAsia="Calibri" w:hAnsi="Arial" w:cs="Arial"/>
          <w:sz w:val="22"/>
        </w:rPr>
        <w:t>i)«</w:t>
      </w:r>
      <w:proofErr w:type="spellStart"/>
      <w:proofErr w:type="gramEnd"/>
      <w:r w:rsidRPr="00DC5CAD">
        <w:rPr>
          <w:rFonts w:ascii="Arial" w:hAnsi="Arial" w:cs="Arial"/>
          <w:sz w:val="22"/>
          <w:lang w:val="es-CO"/>
        </w:rPr>
        <w:t>que</w:t>
      </w:r>
      <w:proofErr w:type="spellEnd"/>
      <w:r w:rsidRPr="00DC5CAD">
        <w:rPr>
          <w:rFonts w:ascii="Arial" w:hAnsi="Arial" w:cs="Arial"/>
          <w:sz w:val="22"/>
          <w:lang w:val="es-CO"/>
        </w:rPr>
        <w:t xml:space="preserve"> pasa si dentro del curso de un proceso licitatorio (observaciones y evaluaciones), ¿el termino de 3 años otorgado por la Ley es cumplido?» </w:t>
      </w:r>
      <w:proofErr w:type="spellStart"/>
      <w:r w:rsidRPr="00DC5CAD">
        <w:rPr>
          <w:rFonts w:ascii="Arial" w:hAnsi="Arial" w:cs="Arial"/>
          <w:sz w:val="22"/>
          <w:lang w:val="es-CO"/>
        </w:rPr>
        <w:t>ii</w:t>
      </w:r>
      <w:proofErr w:type="spellEnd"/>
      <w:r w:rsidRPr="00DC5CAD">
        <w:rPr>
          <w:rFonts w:ascii="Arial" w:hAnsi="Arial" w:cs="Arial"/>
          <w:sz w:val="22"/>
          <w:lang w:val="es-CO"/>
        </w:rPr>
        <w:t>) «¿</w:t>
      </w:r>
      <w:proofErr w:type="spellStart"/>
      <w:r w:rsidRPr="00DC5CAD">
        <w:rPr>
          <w:rFonts w:ascii="Arial" w:hAnsi="Arial" w:cs="Arial"/>
          <w:sz w:val="22"/>
          <w:lang w:val="es-CO"/>
        </w:rPr>
        <w:t>Que</w:t>
      </w:r>
      <w:proofErr w:type="spellEnd"/>
      <w:r w:rsidRPr="00DC5CAD">
        <w:rPr>
          <w:rFonts w:ascii="Arial" w:hAnsi="Arial" w:cs="Arial"/>
          <w:sz w:val="22"/>
          <w:lang w:val="es-CO"/>
        </w:rPr>
        <w:t xml:space="preserve"> consecuencias tiene el cumplimiento del </w:t>
      </w:r>
      <w:proofErr w:type="spellStart"/>
      <w:r w:rsidRPr="00DC5CAD">
        <w:rPr>
          <w:rFonts w:ascii="Arial" w:hAnsi="Arial" w:cs="Arial"/>
          <w:sz w:val="22"/>
          <w:lang w:val="es-CO"/>
        </w:rPr>
        <w:t>termino</w:t>
      </w:r>
      <w:proofErr w:type="spellEnd"/>
      <w:r w:rsidRPr="00DC5CAD">
        <w:rPr>
          <w:rFonts w:ascii="Arial" w:hAnsi="Arial" w:cs="Arial"/>
          <w:sz w:val="22"/>
          <w:lang w:val="es-CO"/>
        </w:rPr>
        <w:t xml:space="preserve"> de 3 años para la presentación de la oferta del proponente?» </w:t>
      </w:r>
    </w:p>
    <w:p w14:paraId="55CAD5BA" w14:textId="61762D5D" w:rsidR="000E3CFC" w:rsidRPr="00DC5CAD" w:rsidRDefault="000E3CFC" w:rsidP="000E3CFC">
      <w:pPr>
        <w:tabs>
          <w:tab w:val="left" w:pos="426"/>
        </w:tabs>
        <w:ind w:right="709"/>
        <w:jc w:val="both"/>
        <w:rPr>
          <w:rFonts w:ascii="Arial" w:hAnsi="Arial" w:cs="Arial"/>
          <w:sz w:val="22"/>
          <w:lang w:val="es-CO"/>
        </w:rPr>
      </w:pPr>
    </w:p>
    <w:p w14:paraId="5F95EBAB" w14:textId="77777777" w:rsidR="000E3CFC" w:rsidRPr="00DC5CAD" w:rsidRDefault="000E3CFC" w:rsidP="00F30777">
      <w:pPr>
        <w:spacing w:after="120" w:line="276" w:lineRule="auto"/>
        <w:jc w:val="both"/>
        <w:rPr>
          <w:rFonts w:ascii="Arial" w:eastAsia="Calibri" w:hAnsi="Arial" w:cs="Arial"/>
          <w:sz w:val="22"/>
        </w:rPr>
      </w:pPr>
      <w:r w:rsidRPr="00DC5CAD">
        <w:rPr>
          <w:rFonts w:ascii="Arial" w:eastAsia="Calibri" w:hAnsi="Arial" w:cs="Arial"/>
          <w:sz w:val="22"/>
        </w:rPr>
        <w:t>De conformidad con la posición adoptada por la Agencia Nacional de Contratación Pública – Colombia Compra Eficiente a partir del concepto con radicado No. 4201913000006797 del 19 de noviembre de 2019, es posible que las sociedades de reciente creación que, en aplicación del beneficio establecido en el numeral 2.5 del artículo 2.2.1.1.1.5.2 del Decreto 1082 de 2015, hayan inscrito la experiencia de sus socios o accionistas en el RUP, puedan seguir acreditando dicha experiencia en los procedimientos de selección, aun después de cumplidos los 3 años de constitución, siempre que no hayan cesado los efectos del RUP por el incumplimiento del deber de renovación.</w:t>
      </w:r>
    </w:p>
    <w:p w14:paraId="0DB73F1A" w14:textId="6B18DE7A" w:rsidR="000E3CFC" w:rsidRPr="00DC5CAD" w:rsidRDefault="00F30777" w:rsidP="00F30777">
      <w:pPr>
        <w:pStyle w:val="Prrafodelista"/>
        <w:tabs>
          <w:tab w:val="left" w:pos="426"/>
        </w:tabs>
        <w:spacing w:line="276" w:lineRule="auto"/>
        <w:ind w:left="0" w:right="49"/>
        <w:jc w:val="both"/>
        <w:rPr>
          <w:rFonts w:ascii="Arial" w:hAnsi="Arial" w:cs="Arial"/>
          <w:sz w:val="22"/>
          <w:lang w:val="es-CO"/>
        </w:rPr>
      </w:pPr>
      <w:r w:rsidRPr="00DC5CAD">
        <w:rPr>
          <w:rFonts w:ascii="Arial" w:hAnsi="Arial" w:cs="Arial"/>
          <w:sz w:val="22"/>
          <w:lang w:val="es-CO"/>
        </w:rPr>
        <w:tab/>
      </w:r>
      <w:r w:rsidRPr="00DC5CAD">
        <w:rPr>
          <w:rFonts w:ascii="Arial" w:hAnsi="Arial" w:cs="Arial"/>
          <w:sz w:val="22"/>
          <w:lang w:val="es-CO"/>
        </w:rPr>
        <w:tab/>
        <w:t xml:space="preserve">En ese sentido, si en el marco del desarrollo de un proceso de selección en el que una sociedad hizo uso de la referida prerrogativa, vence el termino de tres años al que se refiere el numeral 2.5 del artículo </w:t>
      </w:r>
      <w:r w:rsidRPr="00DC5CAD">
        <w:rPr>
          <w:rFonts w:ascii="Arial" w:eastAsia="Calibri" w:hAnsi="Arial" w:cs="Arial"/>
          <w:sz w:val="22"/>
        </w:rPr>
        <w:t xml:space="preserve">2.2.1.1.1.5.2 del Decreto 1082 de 2015, la experiencia acreditada de los socios deberá ser tenida en cuenta por la referida entidad. </w:t>
      </w:r>
    </w:p>
    <w:p w14:paraId="5CD1DCD9" w14:textId="77777777" w:rsidR="00F30777" w:rsidRPr="00DC5CAD" w:rsidRDefault="00F30777" w:rsidP="004E0F28">
      <w:pPr>
        <w:pStyle w:val="Prrafodelista"/>
        <w:tabs>
          <w:tab w:val="left" w:pos="426"/>
        </w:tabs>
        <w:ind w:left="709" w:right="709"/>
        <w:jc w:val="both"/>
        <w:rPr>
          <w:rFonts w:ascii="Arial" w:hAnsi="Arial" w:cs="Arial"/>
          <w:sz w:val="22"/>
          <w:lang w:val="es-CO"/>
        </w:rPr>
      </w:pPr>
    </w:p>
    <w:p w14:paraId="7B0CD5A5" w14:textId="79EE66FC" w:rsidR="000E3CFC" w:rsidRPr="00DC5CAD" w:rsidRDefault="000E3CFC" w:rsidP="004E0F28">
      <w:pPr>
        <w:pStyle w:val="Prrafodelista"/>
        <w:tabs>
          <w:tab w:val="left" w:pos="426"/>
        </w:tabs>
        <w:ind w:left="709" w:right="709"/>
        <w:jc w:val="both"/>
        <w:rPr>
          <w:rFonts w:ascii="Arial" w:hAnsi="Arial" w:cs="Arial"/>
          <w:sz w:val="22"/>
          <w:lang w:val="es-CO"/>
        </w:rPr>
      </w:pPr>
      <w:proofErr w:type="spellStart"/>
      <w:r w:rsidRPr="00DC5CAD">
        <w:rPr>
          <w:rFonts w:ascii="Arial" w:hAnsi="Arial" w:cs="Arial"/>
          <w:sz w:val="22"/>
          <w:lang w:val="es-CO"/>
        </w:rPr>
        <w:t>iii</w:t>
      </w:r>
      <w:proofErr w:type="spellEnd"/>
      <w:r w:rsidRPr="00DC5CAD">
        <w:rPr>
          <w:rFonts w:ascii="Arial" w:hAnsi="Arial" w:cs="Arial"/>
          <w:sz w:val="22"/>
          <w:lang w:val="es-CO"/>
        </w:rPr>
        <w:t xml:space="preserve">) </w:t>
      </w:r>
      <w:r w:rsidR="00F30777" w:rsidRPr="00DC5CAD">
        <w:rPr>
          <w:rFonts w:ascii="Arial" w:hAnsi="Arial" w:cs="Arial"/>
          <w:sz w:val="22"/>
          <w:lang w:val="es-CO"/>
        </w:rPr>
        <w:t>«</w:t>
      </w:r>
      <w:r w:rsidRPr="00DC5CAD">
        <w:rPr>
          <w:rFonts w:ascii="Arial" w:hAnsi="Arial" w:cs="Arial"/>
          <w:sz w:val="22"/>
          <w:lang w:val="es-CO"/>
        </w:rPr>
        <w:t>¿Que ocurre con el traslado de la experiencia en el RUP de una compañía que se fusiona con otra? ¿La compañía que adquiere la otra compañía adquiere su experiencia?»</w:t>
      </w:r>
    </w:p>
    <w:p w14:paraId="5B4E8E24" w14:textId="77777777" w:rsidR="00F30777" w:rsidRPr="00DC5CAD" w:rsidRDefault="00F30777" w:rsidP="00F30777">
      <w:pPr>
        <w:spacing w:line="276" w:lineRule="auto"/>
        <w:jc w:val="both"/>
        <w:rPr>
          <w:rFonts w:ascii="Arial" w:eastAsia="Calibri" w:hAnsi="Arial" w:cs="Arial"/>
          <w:sz w:val="22"/>
        </w:rPr>
      </w:pPr>
    </w:p>
    <w:p w14:paraId="39D93F28" w14:textId="51523F2D" w:rsidR="00122E4E" w:rsidRPr="00DC5CAD" w:rsidRDefault="001D1F8F" w:rsidP="00F30777">
      <w:pPr>
        <w:spacing w:line="276" w:lineRule="auto"/>
        <w:jc w:val="both"/>
        <w:rPr>
          <w:rFonts w:ascii="Arial" w:eastAsia="Calibri" w:hAnsi="Arial" w:cs="Arial"/>
          <w:sz w:val="22"/>
        </w:rPr>
      </w:pPr>
      <w:r w:rsidRPr="00DC5CAD">
        <w:rPr>
          <w:rFonts w:ascii="Arial" w:eastAsia="Calibri" w:hAnsi="Arial" w:cs="Arial"/>
          <w:sz w:val="22"/>
        </w:rPr>
        <w:t>La posición de Colombia Compra Eficiente sobre las figuras y reformas estatutarias</w:t>
      </w:r>
      <w:r w:rsidR="005825BE" w:rsidRPr="00DC5CAD">
        <w:rPr>
          <w:rFonts w:ascii="Arial" w:eastAsia="Calibri" w:hAnsi="Arial" w:cs="Arial"/>
          <w:sz w:val="22"/>
        </w:rPr>
        <w:t xml:space="preserve"> de transformación, fusión y escisión</w:t>
      </w:r>
      <w:r w:rsidR="00CE1E2C" w:rsidRPr="00DC5CAD">
        <w:rPr>
          <w:rFonts w:ascii="Arial" w:eastAsia="Calibri" w:hAnsi="Arial" w:cs="Arial"/>
          <w:sz w:val="22"/>
        </w:rPr>
        <w:t>, respecto de la experiencia,</w:t>
      </w:r>
      <w:r w:rsidR="005825BE" w:rsidRPr="00DC5CAD">
        <w:rPr>
          <w:rFonts w:ascii="Arial" w:eastAsia="Calibri" w:hAnsi="Arial" w:cs="Arial"/>
          <w:sz w:val="22"/>
        </w:rPr>
        <w:t xml:space="preserve"> fue modificada teniendo en cuenta la regulación aplicable</w:t>
      </w:r>
      <w:r w:rsidR="00CE1E2C" w:rsidRPr="00DC5CAD">
        <w:rPr>
          <w:rFonts w:ascii="Arial" w:eastAsia="Calibri" w:hAnsi="Arial" w:cs="Arial"/>
          <w:sz w:val="22"/>
        </w:rPr>
        <w:t xml:space="preserve">. En consecuencia, </w:t>
      </w:r>
      <w:r w:rsidR="004E58D5" w:rsidRPr="00DC5CAD">
        <w:rPr>
          <w:rFonts w:ascii="Arial" w:eastAsia="Calibri" w:hAnsi="Arial" w:cs="Arial"/>
          <w:sz w:val="22"/>
        </w:rPr>
        <w:t xml:space="preserve">la transferencia de experiencia cuando una sociedad se transforma es posible porque </w:t>
      </w:r>
      <w:r w:rsidR="00122E4E" w:rsidRPr="00DC5CAD">
        <w:rPr>
          <w:rFonts w:ascii="Arial" w:eastAsia="Calibri" w:hAnsi="Arial" w:cs="Arial"/>
          <w:sz w:val="22"/>
        </w:rPr>
        <w:t xml:space="preserve">esta </w:t>
      </w:r>
      <w:r w:rsidR="004E58D5" w:rsidRPr="00DC5CAD">
        <w:rPr>
          <w:rFonts w:ascii="Arial" w:eastAsia="Calibri" w:hAnsi="Arial" w:cs="Arial"/>
          <w:sz w:val="22"/>
        </w:rPr>
        <w:t xml:space="preserve">no se </w:t>
      </w:r>
      <w:r w:rsidR="002B088C" w:rsidRPr="00DC5CAD">
        <w:rPr>
          <w:rFonts w:ascii="Arial" w:eastAsia="Calibri" w:hAnsi="Arial" w:cs="Arial"/>
          <w:sz w:val="22"/>
        </w:rPr>
        <w:t>«</w:t>
      </w:r>
      <w:r w:rsidR="004E58D5" w:rsidRPr="00DC5CAD">
        <w:rPr>
          <w:rFonts w:ascii="Arial" w:eastAsia="Calibri" w:hAnsi="Arial" w:cs="Arial"/>
          <w:sz w:val="22"/>
        </w:rPr>
        <w:t>disuelve</w:t>
      </w:r>
      <w:r w:rsidR="002B088C" w:rsidRPr="00DC5CAD">
        <w:rPr>
          <w:rFonts w:ascii="Arial" w:eastAsia="Calibri" w:hAnsi="Arial" w:cs="Arial"/>
          <w:sz w:val="22"/>
        </w:rPr>
        <w:t>»</w:t>
      </w:r>
      <w:r w:rsidR="004E58D5" w:rsidRPr="00DC5CAD">
        <w:rPr>
          <w:rFonts w:ascii="Arial" w:eastAsia="Calibri" w:hAnsi="Arial" w:cs="Arial"/>
          <w:sz w:val="22"/>
        </w:rPr>
        <w:t xml:space="preserve">, y por ende tampoco se </w:t>
      </w:r>
      <w:r w:rsidR="002B088C" w:rsidRPr="00DC5CAD">
        <w:rPr>
          <w:rFonts w:ascii="Arial" w:eastAsia="Calibri" w:hAnsi="Arial" w:cs="Arial"/>
          <w:sz w:val="22"/>
        </w:rPr>
        <w:t>«</w:t>
      </w:r>
      <w:r w:rsidR="004E58D5" w:rsidRPr="00DC5CAD">
        <w:rPr>
          <w:rFonts w:ascii="Arial" w:eastAsia="Calibri" w:hAnsi="Arial" w:cs="Arial"/>
          <w:sz w:val="22"/>
        </w:rPr>
        <w:t>liquida</w:t>
      </w:r>
      <w:r w:rsidR="002B088C" w:rsidRPr="00DC5CAD">
        <w:rPr>
          <w:rFonts w:ascii="Arial" w:eastAsia="Calibri" w:hAnsi="Arial" w:cs="Arial"/>
          <w:sz w:val="22"/>
        </w:rPr>
        <w:t>»</w:t>
      </w:r>
      <w:r w:rsidR="004E58D5" w:rsidRPr="00DC5CAD">
        <w:rPr>
          <w:rFonts w:ascii="Arial" w:eastAsia="Calibri" w:hAnsi="Arial" w:cs="Arial"/>
          <w:sz w:val="22"/>
        </w:rPr>
        <w:t xml:space="preserve"> </w:t>
      </w:r>
      <w:r w:rsidR="00D439F3" w:rsidRPr="00DC5CAD">
        <w:rPr>
          <w:rFonts w:ascii="Arial" w:eastAsia="Calibri" w:hAnsi="Arial" w:cs="Arial"/>
          <w:sz w:val="22"/>
        </w:rPr>
        <w:t xml:space="preserve">ya </w:t>
      </w:r>
      <w:r w:rsidR="004E58D5" w:rsidRPr="00DC5CAD">
        <w:rPr>
          <w:rFonts w:ascii="Arial" w:eastAsia="Calibri" w:hAnsi="Arial" w:cs="Arial"/>
          <w:sz w:val="22"/>
        </w:rPr>
        <w:t>que de acuerdo con el artículo 222 del Código de Comercio</w:t>
      </w:r>
      <w:r w:rsidR="00FD2843" w:rsidRPr="00DC5CAD">
        <w:rPr>
          <w:rFonts w:ascii="Arial" w:eastAsia="Calibri" w:hAnsi="Arial" w:cs="Arial"/>
          <w:sz w:val="22"/>
        </w:rPr>
        <w:t>,</w:t>
      </w:r>
      <w:r w:rsidR="004E58D5" w:rsidRPr="00DC5CAD">
        <w:rPr>
          <w:rFonts w:ascii="Arial" w:eastAsia="Calibri" w:hAnsi="Arial" w:cs="Arial"/>
          <w:sz w:val="22"/>
        </w:rPr>
        <w:t xml:space="preserve"> para </w:t>
      </w:r>
      <w:r w:rsidR="002B088C" w:rsidRPr="00DC5CAD">
        <w:rPr>
          <w:rFonts w:ascii="Arial" w:eastAsia="Calibri" w:hAnsi="Arial" w:cs="Arial"/>
          <w:sz w:val="22"/>
        </w:rPr>
        <w:t>«</w:t>
      </w:r>
      <w:r w:rsidR="004E58D5" w:rsidRPr="00DC5CAD">
        <w:rPr>
          <w:rFonts w:ascii="Arial" w:eastAsia="Calibri" w:hAnsi="Arial" w:cs="Arial"/>
          <w:sz w:val="22"/>
        </w:rPr>
        <w:t>liquidarse</w:t>
      </w:r>
      <w:r w:rsidR="002B088C" w:rsidRPr="00DC5CAD">
        <w:rPr>
          <w:rFonts w:ascii="Arial" w:eastAsia="Calibri" w:hAnsi="Arial" w:cs="Arial"/>
          <w:sz w:val="22"/>
        </w:rPr>
        <w:t>»</w:t>
      </w:r>
      <w:r w:rsidR="004E58D5" w:rsidRPr="00DC5CAD">
        <w:rPr>
          <w:rFonts w:ascii="Arial" w:eastAsia="Calibri" w:hAnsi="Arial" w:cs="Arial"/>
          <w:sz w:val="22"/>
        </w:rPr>
        <w:t xml:space="preserve"> necesita estar </w:t>
      </w:r>
      <w:r w:rsidR="002B088C" w:rsidRPr="00DC5CAD">
        <w:rPr>
          <w:rFonts w:ascii="Arial" w:eastAsia="Calibri" w:hAnsi="Arial" w:cs="Arial"/>
          <w:sz w:val="22"/>
        </w:rPr>
        <w:t>«</w:t>
      </w:r>
      <w:r w:rsidR="004E58D5" w:rsidRPr="00DC5CAD">
        <w:rPr>
          <w:rFonts w:ascii="Arial" w:eastAsia="Calibri" w:hAnsi="Arial" w:cs="Arial"/>
          <w:sz w:val="22"/>
        </w:rPr>
        <w:t>disuelta</w:t>
      </w:r>
      <w:r w:rsidR="002B088C" w:rsidRPr="00DC5CAD">
        <w:rPr>
          <w:rFonts w:ascii="Arial" w:eastAsia="Calibri" w:hAnsi="Arial" w:cs="Arial"/>
          <w:sz w:val="22"/>
        </w:rPr>
        <w:t>»</w:t>
      </w:r>
      <w:r w:rsidR="004E58D5" w:rsidRPr="00DC5CAD">
        <w:rPr>
          <w:rFonts w:ascii="Arial" w:eastAsia="Calibri" w:hAnsi="Arial" w:cs="Arial"/>
          <w:sz w:val="22"/>
        </w:rPr>
        <w:t>; solo cambia el tipo societario que había adoptado en su constitución</w:t>
      </w:r>
      <w:r w:rsidR="00122E4E" w:rsidRPr="00DC5CAD">
        <w:rPr>
          <w:rFonts w:ascii="Arial" w:eastAsia="Calibri" w:hAnsi="Arial" w:cs="Arial"/>
          <w:sz w:val="22"/>
        </w:rPr>
        <w:t>,</w:t>
      </w:r>
      <w:r w:rsidR="004E58D5" w:rsidRPr="00DC5CAD">
        <w:rPr>
          <w:rFonts w:ascii="Arial" w:eastAsia="Calibri" w:hAnsi="Arial" w:cs="Arial"/>
          <w:sz w:val="22"/>
        </w:rPr>
        <w:t xml:space="preserve"> y </w:t>
      </w:r>
      <w:r w:rsidR="00CE1E2C" w:rsidRPr="00DC5CAD">
        <w:rPr>
          <w:rFonts w:ascii="Arial" w:eastAsia="Calibri" w:hAnsi="Arial" w:cs="Arial"/>
          <w:sz w:val="22"/>
        </w:rPr>
        <w:t>la persona jurídica</w:t>
      </w:r>
      <w:r w:rsidR="004E58D5" w:rsidRPr="00DC5CAD">
        <w:rPr>
          <w:rFonts w:ascii="Arial" w:eastAsia="Calibri" w:hAnsi="Arial" w:cs="Arial"/>
          <w:sz w:val="22"/>
        </w:rPr>
        <w:t xml:space="preserve"> contin</w:t>
      </w:r>
      <w:r w:rsidR="00CE1E2C" w:rsidRPr="00DC5CAD">
        <w:rPr>
          <w:rFonts w:ascii="Arial" w:eastAsia="Calibri" w:hAnsi="Arial" w:cs="Arial"/>
          <w:sz w:val="22"/>
        </w:rPr>
        <w:t>ú</w:t>
      </w:r>
      <w:r w:rsidR="004E58D5" w:rsidRPr="00DC5CAD">
        <w:rPr>
          <w:rFonts w:ascii="Arial" w:eastAsia="Calibri" w:hAnsi="Arial" w:cs="Arial"/>
          <w:sz w:val="22"/>
        </w:rPr>
        <w:t>a</w:t>
      </w:r>
      <w:r w:rsidR="00CE1E2C" w:rsidRPr="00DC5CAD">
        <w:rPr>
          <w:rFonts w:ascii="Arial" w:eastAsia="Calibri" w:hAnsi="Arial" w:cs="Arial"/>
          <w:sz w:val="22"/>
        </w:rPr>
        <w:t xml:space="preserve"> </w:t>
      </w:r>
      <w:r w:rsidR="00060086" w:rsidRPr="00DC5CAD">
        <w:rPr>
          <w:rFonts w:ascii="Arial" w:eastAsia="Calibri" w:hAnsi="Arial" w:cs="Arial"/>
          <w:sz w:val="22"/>
        </w:rPr>
        <w:t>con</w:t>
      </w:r>
      <w:r w:rsidR="00CE1E2C" w:rsidRPr="00DC5CAD">
        <w:rPr>
          <w:rFonts w:ascii="Arial" w:eastAsia="Calibri" w:hAnsi="Arial" w:cs="Arial"/>
          <w:sz w:val="22"/>
        </w:rPr>
        <w:t xml:space="preserve"> otro tipo societario pero con</w:t>
      </w:r>
      <w:r w:rsidR="00060086" w:rsidRPr="00DC5CAD">
        <w:rPr>
          <w:rFonts w:ascii="Arial" w:eastAsia="Calibri" w:hAnsi="Arial" w:cs="Arial"/>
          <w:sz w:val="22"/>
        </w:rPr>
        <w:t xml:space="preserve"> </w:t>
      </w:r>
      <w:r w:rsidR="00122E4E" w:rsidRPr="00DC5CAD">
        <w:rPr>
          <w:rFonts w:ascii="Arial" w:eastAsia="Calibri" w:hAnsi="Arial" w:cs="Arial"/>
          <w:sz w:val="22"/>
        </w:rPr>
        <w:t xml:space="preserve">sus mismos </w:t>
      </w:r>
      <w:r w:rsidR="00060086" w:rsidRPr="00DC5CAD">
        <w:rPr>
          <w:rFonts w:ascii="Arial" w:eastAsia="Calibri" w:hAnsi="Arial" w:cs="Arial"/>
          <w:sz w:val="22"/>
        </w:rPr>
        <w:t>derechos</w:t>
      </w:r>
      <w:r w:rsidR="00122E4E" w:rsidRPr="00DC5CAD">
        <w:rPr>
          <w:rFonts w:ascii="Arial" w:eastAsia="Calibri" w:hAnsi="Arial" w:cs="Arial"/>
          <w:sz w:val="22"/>
        </w:rPr>
        <w:t xml:space="preserve"> y obligaciones</w:t>
      </w:r>
      <w:r w:rsidR="00060086" w:rsidRPr="00DC5CAD">
        <w:rPr>
          <w:rFonts w:ascii="Arial" w:eastAsia="Calibri" w:hAnsi="Arial" w:cs="Arial"/>
          <w:sz w:val="22"/>
        </w:rPr>
        <w:t>, como la experiencia.</w:t>
      </w:r>
      <w:r w:rsidR="004E58D5" w:rsidRPr="00DC5CAD">
        <w:rPr>
          <w:rFonts w:ascii="Arial" w:eastAsia="Calibri" w:hAnsi="Arial" w:cs="Arial"/>
          <w:sz w:val="22"/>
        </w:rPr>
        <w:t xml:space="preserve"> </w:t>
      </w:r>
    </w:p>
    <w:p w14:paraId="62C94061" w14:textId="18FC0389" w:rsidR="00122E4E" w:rsidRPr="00DC5CAD" w:rsidRDefault="00CE1E2C" w:rsidP="00122E4E">
      <w:pPr>
        <w:spacing w:before="120" w:line="276" w:lineRule="auto"/>
        <w:ind w:firstLine="708"/>
        <w:jc w:val="both"/>
        <w:rPr>
          <w:rFonts w:ascii="Arial" w:eastAsia="Calibri" w:hAnsi="Arial" w:cs="Arial"/>
          <w:bCs/>
          <w:sz w:val="22"/>
        </w:rPr>
      </w:pPr>
      <w:r w:rsidRPr="00DC5CAD">
        <w:rPr>
          <w:rFonts w:ascii="Arial" w:eastAsia="Calibri" w:hAnsi="Arial" w:cs="Arial"/>
          <w:sz w:val="22"/>
        </w:rPr>
        <w:t xml:space="preserve">Sobre la fusión, </w:t>
      </w:r>
      <w:r w:rsidR="00122E4E" w:rsidRPr="00DC5CAD">
        <w:rPr>
          <w:rFonts w:ascii="Arial" w:eastAsia="Calibri" w:hAnsi="Arial" w:cs="Arial"/>
          <w:bCs/>
          <w:sz w:val="22"/>
        </w:rPr>
        <w:t>siempre que la sociedad no se liquide, es decir, que no desaparezca, la experiencia puede ser trasladada porque la persona jurídica continúa a través de otra, esto es, deja de ser quien es pero no desaparece porque otra sociedad se convierte en ella, ya sea una sociedad nueva</w:t>
      </w:r>
      <w:r w:rsidR="00FD2843" w:rsidRPr="00DC5CAD">
        <w:rPr>
          <w:rFonts w:ascii="Arial" w:eastAsia="Calibri" w:hAnsi="Arial" w:cs="Arial"/>
          <w:bCs/>
          <w:sz w:val="22"/>
        </w:rPr>
        <w:t>,</w:t>
      </w:r>
      <w:r w:rsidR="00122E4E" w:rsidRPr="00DC5CAD">
        <w:rPr>
          <w:rFonts w:ascii="Arial" w:eastAsia="Calibri" w:hAnsi="Arial" w:cs="Arial"/>
          <w:bCs/>
          <w:sz w:val="22"/>
        </w:rPr>
        <w:t xml:space="preserve"> cuando es fusión por creación</w:t>
      </w:r>
      <w:r w:rsidR="00FD2843" w:rsidRPr="00DC5CAD">
        <w:rPr>
          <w:rFonts w:ascii="Arial" w:eastAsia="Calibri" w:hAnsi="Arial" w:cs="Arial"/>
          <w:bCs/>
          <w:sz w:val="22"/>
        </w:rPr>
        <w:t>;</w:t>
      </w:r>
      <w:r w:rsidR="00122E4E" w:rsidRPr="00DC5CAD">
        <w:rPr>
          <w:rFonts w:ascii="Arial" w:eastAsia="Calibri" w:hAnsi="Arial" w:cs="Arial"/>
          <w:bCs/>
          <w:sz w:val="22"/>
        </w:rPr>
        <w:t xml:space="preserve"> o una sociedad existente en la fusión por absorción. La experiencia se transfiere porque la sociedad continúa a través de otra, a quien le transfiere su experiencia</w:t>
      </w:r>
      <w:r w:rsidR="00FD2843" w:rsidRPr="00DC5CAD">
        <w:rPr>
          <w:rFonts w:ascii="Arial" w:eastAsia="Calibri" w:hAnsi="Arial" w:cs="Arial"/>
          <w:bCs/>
          <w:sz w:val="22"/>
        </w:rPr>
        <w:t>,</w:t>
      </w:r>
      <w:r w:rsidR="00122E4E" w:rsidRPr="00DC5CAD">
        <w:rPr>
          <w:rFonts w:ascii="Arial" w:eastAsia="Calibri" w:hAnsi="Arial" w:cs="Arial"/>
          <w:bCs/>
          <w:sz w:val="22"/>
        </w:rPr>
        <w:t xml:space="preserve"> y todos sus derechos y obligaciones, de conformidad con el artículo 172 y siguientes del Código de Comercio. </w:t>
      </w:r>
    </w:p>
    <w:p w14:paraId="53E90538" w14:textId="77777777" w:rsidR="00DC5CAD" w:rsidRPr="00DC5CAD" w:rsidRDefault="00DC5CAD" w:rsidP="004E0F28">
      <w:pPr>
        <w:spacing w:before="120" w:line="276" w:lineRule="auto"/>
        <w:jc w:val="both"/>
        <w:rPr>
          <w:rFonts w:ascii="Arial" w:hAnsi="Arial" w:cs="Arial"/>
          <w:sz w:val="22"/>
        </w:rPr>
      </w:pPr>
    </w:p>
    <w:p w14:paraId="6A1FBC6A" w14:textId="107E2F4B" w:rsidR="00347B31" w:rsidRPr="00DC5CAD" w:rsidRDefault="00347B31" w:rsidP="00DC5CAD">
      <w:pPr>
        <w:spacing w:line="276" w:lineRule="auto"/>
        <w:jc w:val="both"/>
        <w:rPr>
          <w:rFonts w:ascii="Arial" w:hAnsi="Arial" w:cs="Arial"/>
          <w:sz w:val="22"/>
        </w:rPr>
      </w:pPr>
      <w:r w:rsidRPr="00DC5CAD">
        <w:rPr>
          <w:rFonts w:ascii="Arial" w:hAnsi="Arial" w:cs="Arial"/>
          <w:sz w:val="22"/>
        </w:rPr>
        <w:t>Este concepto tiene el alcance previsto en el artículo 28 del Código de Procedimiento Administrativo y de lo Contencioso Administrativo.</w:t>
      </w:r>
    </w:p>
    <w:p w14:paraId="347C7BFF" w14:textId="553EF625" w:rsidR="004E0F28" w:rsidRPr="00DC5CAD" w:rsidRDefault="004E0F28" w:rsidP="004E0F28">
      <w:pPr>
        <w:spacing w:before="120" w:line="276" w:lineRule="auto"/>
        <w:jc w:val="both"/>
        <w:rPr>
          <w:rFonts w:ascii="Arial" w:hAnsi="Arial" w:cs="Arial"/>
          <w:sz w:val="22"/>
        </w:rPr>
      </w:pPr>
    </w:p>
    <w:bookmarkEnd w:id="2"/>
    <w:p w14:paraId="0F8C901F" w14:textId="1FDE9793" w:rsidR="00A37FB6" w:rsidRPr="00DC5CAD" w:rsidRDefault="00A37FB6" w:rsidP="00D01760">
      <w:pPr>
        <w:jc w:val="both"/>
        <w:rPr>
          <w:rFonts w:ascii="Arial" w:eastAsia="Calibri" w:hAnsi="Arial" w:cs="Arial"/>
          <w:sz w:val="22"/>
        </w:rPr>
      </w:pPr>
      <w:r w:rsidRPr="00DC5CAD">
        <w:rPr>
          <w:noProof/>
          <w:lang w:val="es-CO" w:eastAsia="es-CO"/>
        </w:rPr>
        <mc:AlternateContent>
          <mc:Choice Requires="wps">
            <w:drawing>
              <wp:anchor distT="0" distB="0" distL="114300" distR="114300" simplePos="0" relativeHeight="251658240" behindDoc="0" locked="0" layoutInCell="1" allowOverlap="1" wp14:anchorId="2171F34F" wp14:editId="3FE4082C">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2E6F44"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E81A930" w14:textId="3969B7D2" w:rsidR="00A37FB6" w:rsidRPr="00DC5CAD" w:rsidRDefault="00F30777" w:rsidP="00D01760">
      <w:pPr>
        <w:rPr>
          <w:rFonts w:ascii="Arial" w:eastAsia="Times New Roman" w:hAnsi="Arial" w:cs="Arial"/>
          <w:sz w:val="22"/>
          <w:lang w:eastAsia="es-CO"/>
        </w:rPr>
      </w:pPr>
      <w:r w:rsidRPr="00DC5CAD">
        <w:rPr>
          <w:noProof/>
          <w:lang w:val="es-ES_tradnl" w:eastAsia="es-ES_tradnl"/>
        </w:rPr>
        <w:drawing>
          <wp:anchor distT="0" distB="0" distL="114300" distR="114300" simplePos="0" relativeHeight="251660288" behindDoc="0" locked="0" layoutInCell="1" allowOverlap="1" wp14:anchorId="69BF121B" wp14:editId="27BDCFD4">
            <wp:simplePos x="0" y="0"/>
            <wp:positionH relativeFrom="margin">
              <wp:align>center</wp:align>
            </wp:positionH>
            <wp:positionV relativeFrom="paragraph">
              <wp:posOffset>13970</wp:posOffset>
            </wp:positionV>
            <wp:extent cx="3027680" cy="1730375"/>
            <wp:effectExtent l="0" t="0" r="1270" b="31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7680" cy="1730375"/>
                    </a:xfrm>
                    <a:prstGeom prst="rect">
                      <a:avLst/>
                    </a:prstGeom>
                  </pic:spPr>
                </pic:pic>
              </a:graphicData>
            </a:graphic>
            <wp14:sizeRelH relativeFrom="page">
              <wp14:pctWidth>0</wp14:pctWidth>
            </wp14:sizeRelH>
            <wp14:sizeRelV relativeFrom="page">
              <wp14:pctHeight>0</wp14:pctHeight>
            </wp14:sizeRelV>
          </wp:anchor>
        </w:drawing>
      </w:r>
      <w:r w:rsidR="00A37FB6" w:rsidRPr="00DC5CAD">
        <w:rPr>
          <w:rFonts w:ascii="Arial" w:eastAsia="Times New Roman" w:hAnsi="Arial" w:cs="Arial"/>
          <w:sz w:val="22"/>
          <w:lang w:eastAsia="es-CO"/>
        </w:rPr>
        <w:t>Atentamente,</w:t>
      </w:r>
    </w:p>
    <w:p w14:paraId="57DD1EBD" w14:textId="0A942654" w:rsidR="00746E08" w:rsidRPr="00DC5CAD" w:rsidRDefault="00746E08" w:rsidP="00746E08">
      <w:pPr>
        <w:jc w:val="center"/>
        <w:rPr>
          <w:rFonts w:ascii="Arial" w:eastAsia="Times New Roman" w:hAnsi="Arial" w:cs="Arial"/>
          <w:sz w:val="18"/>
          <w:szCs w:val="20"/>
          <w:lang w:eastAsia="es-CO"/>
        </w:rPr>
      </w:pPr>
    </w:p>
    <w:p w14:paraId="02165A52" w14:textId="77777777" w:rsidR="00216F70" w:rsidRPr="00DC5CAD" w:rsidRDefault="00216F70" w:rsidP="00746E08">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C5CAD" w:rsidRPr="00DC5CAD" w14:paraId="469202AF" w14:textId="77777777" w:rsidTr="0031696B">
        <w:trPr>
          <w:trHeight w:val="315"/>
        </w:trPr>
        <w:tc>
          <w:tcPr>
            <w:tcW w:w="812" w:type="dxa"/>
            <w:vAlign w:val="center"/>
            <w:hideMark/>
          </w:tcPr>
          <w:p w14:paraId="3F62A0B3" w14:textId="77777777" w:rsidR="00746E08" w:rsidRPr="00DC5CAD" w:rsidRDefault="00746E08">
            <w:pPr>
              <w:rPr>
                <w:rFonts w:ascii="Arial" w:eastAsia="Times New Roman" w:hAnsi="Arial" w:cs="Arial"/>
                <w:sz w:val="16"/>
                <w:szCs w:val="16"/>
                <w:lang w:eastAsia="es-ES"/>
              </w:rPr>
            </w:pPr>
            <w:r w:rsidRPr="00DC5CAD">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1DEF776A" w:rsidR="00746E08" w:rsidRPr="00DC5CAD" w:rsidRDefault="00F30777">
            <w:pPr>
              <w:rPr>
                <w:rFonts w:ascii="Arial" w:eastAsia="Times New Roman" w:hAnsi="Arial" w:cs="Arial"/>
                <w:sz w:val="16"/>
                <w:szCs w:val="16"/>
                <w:lang w:eastAsia="es-ES"/>
              </w:rPr>
            </w:pPr>
            <w:r w:rsidRPr="00DC5CAD">
              <w:rPr>
                <w:rFonts w:ascii="Arial" w:eastAsia="Times New Roman" w:hAnsi="Arial" w:cs="Arial"/>
                <w:sz w:val="16"/>
                <w:szCs w:val="16"/>
                <w:lang w:eastAsia="es-ES"/>
              </w:rPr>
              <w:t>Alejandro Sarmiento Cantillo</w:t>
            </w:r>
          </w:p>
          <w:p w14:paraId="51C325E7" w14:textId="477A481D" w:rsidR="00746E08" w:rsidRPr="00DC5CAD" w:rsidRDefault="00F30777">
            <w:pPr>
              <w:rPr>
                <w:rFonts w:ascii="Arial" w:eastAsia="Times New Roman" w:hAnsi="Arial" w:cs="Arial"/>
                <w:sz w:val="16"/>
                <w:szCs w:val="16"/>
                <w:lang w:eastAsia="es-ES"/>
              </w:rPr>
            </w:pPr>
            <w:r w:rsidRPr="00DC5CAD">
              <w:rPr>
                <w:rFonts w:ascii="Arial" w:eastAsia="Times New Roman" w:hAnsi="Arial" w:cs="Arial"/>
                <w:sz w:val="16"/>
                <w:szCs w:val="16"/>
                <w:lang w:eastAsia="es-ES"/>
              </w:rPr>
              <w:t>Contratista – Subdirección de Gestión Contractual</w:t>
            </w:r>
          </w:p>
        </w:tc>
      </w:tr>
      <w:tr w:rsidR="00DC5CAD" w:rsidRPr="00DC5CAD" w14:paraId="10BC78E8" w14:textId="77777777" w:rsidTr="00822F66">
        <w:trPr>
          <w:trHeight w:val="132"/>
        </w:trPr>
        <w:tc>
          <w:tcPr>
            <w:tcW w:w="812" w:type="dxa"/>
            <w:vAlign w:val="center"/>
            <w:hideMark/>
          </w:tcPr>
          <w:p w14:paraId="6A7DBF66" w14:textId="77777777" w:rsidR="00746E08" w:rsidRPr="00DC5CAD" w:rsidRDefault="00746E08">
            <w:pPr>
              <w:rPr>
                <w:rFonts w:ascii="Arial" w:eastAsia="Times New Roman" w:hAnsi="Arial" w:cs="Arial"/>
                <w:sz w:val="16"/>
                <w:szCs w:val="16"/>
                <w:lang w:eastAsia="es-ES"/>
              </w:rPr>
            </w:pPr>
            <w:r w:rsidRPr="00DC5CAD">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968FB84" w14:textId="41488785" w:rsidR="00886D12" w:rsidRDefault="0051077F" w:rsidP="00592C46">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19E8BD8D" w14:textId="62708B32" w:rsidR="0051077F" w:rsidRPr="00DC5CAD" w:rsidRDefault="0051077F" w:rsidP="00592C46">
            <w:pPr>
              <w:rPr>
                <w:rFonts w:ascii="Arial" w:eastAsia="Times New Roman" w:hAnsi="Arial" w:cs="Arial"/>
                <w:sz w:val="16"/>
                <w:szCs w:val="16"/>
                <w:lang w:eastAsia="es-ES"/>
              </w:rPr>
            </w:pPr>
            <w:r>
              <w:rPr>
                <w:rFonts w:ascii="Arial" w:eastAsia="Times New Roman" w:hAnsi="Arial" w:cs="Arial"/>
                <w:sz w:val="16"/>
                <w:szCs w:val="16"/>
                <w:lang w:eastAsia="es-ES"/>
              </w:rPr>
              <w:t>Contratista – Subdirección de Gestión Contractual</w:t>
            </w:r>
          </w:p>
        </w:tc>
      </w:tr>
      <w:tr w:rsidR="00F741E3" w:rsidRPr="00DC5CAD" w14:paraId="50741B38" w14:textId="77777777" w:rsidTr="00885322">
        <w:trPr>
          <w:trHeight w:val="132"/>
        </w:trPr>
        <w:tc>
          <w:tcPr>
            <w:tcW w:w="812" w:type="dxa"/>
            <w:vAlign w:val="center"/>
            <w:hideMark/>
          </w:tcPr>
          <w:p w14:paraId="297715FA" w14:textId="77777777" w:rsidR="00746E08" w:rsidRPr="00DC5CAD" w:rsidRDefault="00746E08">
            <w:pPr>
              <w:rPr>
                <w:rFonts w:ascii="Arial" w:eastAsia="Times New Roman" w:hAnsi="Arial" w:cs="Arial"/>
                <w:sz w:val="16"/>
                <w:szCs w:val="16"/>
                <w:lang w:eastAsia="es-ES"/>
              </w:rPr>
            </w:pPr>
            <w:r w:rsidRPr="00DC5CAD">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DC5CAD" w:rsidRDefault="00746E08" w:rsidP="00746E08">
            <w:pPr>
              <w:rPr>
                <w:rFonts w:ascii="Arial" w:eastAsia="Times New Roman" w:hAnsi="Arial" w:cs="Arial"/>
                <w:sz w:val="16"/>
                <w:szCs w:val="16"/>
                <w:lang w:eastAsia="es-ES"/>
              </w:rPr>
            </w:pPr>
            <w:r w:rsidRPr="00DC5CAD">
              <w:rPr>
                <w:rFonts w:ascii="Arial" w:eastAsia="Times New Roman" w:hAnsi="Arial" w:cs="Arial"/>
                <w:sz w:val="16"/>
                <w:szCs w:val="16"/>
                <w:lang w:eastAsia="es-ES"/>
              </w:rPr>
              <w:t>Fabián Gonzalo Marín Cortés</w:t>
            </w:r>
          </w:p>
          <w:p w14:paraId="17847B1F" w14:textId="71EB0D70" w:rsidR="00746E08" w:rsidRPr="00DC5CAD" w:rsidRDefault="00746E08">
            <w:pPr>
              <w:rPr>
                <w:rFonts w:ascii="Arial" w:eastAsia="Times New Roman" w:hAnsi="Arial" w:cs="Arial"/>
                <w:sz w:val="16"/>
                <w:szCs w:val="16"/>
                <w:lang w:eastAsia="es-ES"/>
              </w:rPr>
            </w:pPr>
            <w:r w:rsidRPr="00DC5CAD">
              <w:rPr>
                <w:rFonts w:ascii="Arial" w:eastAsia="Times New Roman" w:hAnsi="Arial" w:cs="Arial"/>
                <w:sz w:val="16"/>
                <w:szCs w:val="16"/>
                <w:lang w:eastAsia="es-ES"/>
              </w:rPr>
              <w:t>Subdirector de Gestión Contractual</w:t>
            </w:r>
          </w:p>
        </w:tc>
      </w:tr>
      <w:bookmarkEnd w:id="4"/>
    </w:tbl>
    <w:p w14:paraId="35B56F46" w14:textId="77777777" w:rsidR="00746E08" w:rsidRPr="00DC5CAD" w:rsidRDefault="00746E08" w:rsidP="00746E08">
      <w:pPr>
        <w:rPr>
          <w:rFonts w:ascii="Arial" w:eastAsia="Times New Roman" w:hAnsi="Arial" w:cs="Arial"/>
          <w:sz w:val="16"/>
          <w:szCs w:val="16"/>
          <w:lang w:eastAsia="es-ES"/>
        </w:rPr>
      </w:pPr>
    </w:p>
    <w:sectPr w:rsidR="00746E08" w:rsidRPr="00DC5CAD"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4BD2B" w14:textId="77777777" w:rsidR="00327336" w:rsidRDefault="00327336">
      <w:r>
        <w:separator/>
      </w:r>
    </w:p>
  </w:endnote>
  <w:endnote w:type="continuationSeparator" w:id="0">
    <w:p w14:paraId="242FAE6D" w14:textId="77777777" w:rsidR="00327336" w:rsidRDefault="0032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4F65871B" w:rsidR="000825D8" w:rsidRDefault="000825D8" w:rsidP="00322937">
    <w:pPr>
      <w:pStyle w:val="Sinespaciado"/>
      <w:jc w:val="right"/>
      <w:rPr>
        <w:rFonts w:ascii="Arial" w:hAnsi="Arial" w:cs="Arial"/>
        <w:sz w:val="18"/>
        <w:szCs w:val="18"/>
      </w:rPr>
    </w:pPr>
  </w:p>
  <w:p w14:paraId="04FCFB37" w14:textId="77777777" w:rsidR="00216F70" w:rsidRDefault="00216F70" w:rsidP="00322937">
    <w:pPr>
      <w:pStyle w:val="Sinespaciado"/>
      <w:jc w:val="right"/>
      <w:rPr>
        <w:rFonts w:ascii="Arial" w:hAnsi="Arial" w:cs="Arial"/>
        <w:sz w:val="18"/>
        <w:szCs w:val="18"/>
      </w:rPr>
    </w:pPr>
  </w:p>
  <w:p w14:paraId="7A3785F3" w14:textId="2EF28465" w:rsidR="000825D8" w:rsidRPr="008217B7" w:rsidRDefault="000825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5FD1A7C9" w:rsidR="000825D8" w:rsidRDefault="000825D8"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0825D8" w:rsidRDefault="000825D8" w:rsidP="007B0854">
    <w:pPr>
      <w:pStyle w:val="Piedepgina"/>
      <w:jc w:val="center"/>
      <w:rPr>
        <w:lang w:val="es-ES"/>
      </w:rPr>
    </w:pPr>
  </w:p>
  <w:p w14:paraId="6C0EFC49" w14:textId="77777777" w:rsidR="000825D8" w:rsidRPr="007B0854" w:rsidRDefault="000825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9EE3E" w14:textId="77777777" w:rsidR="00327336" w:rsidRDefault="00327336">
      <w:r>
        <w:separator/>
      </w:r>
    </w:p>
  </w:footnote>
  <w:footnote w:type="continuationSeparator" w:id="0">
    <w:p w14:paraId="030D773A" w14:textId="77777777" w:rsidR="00327336" w:rsidRDefault="00327336">
      <w:r>
        <w:continuationSeparator/>
      </w:r>
    </w:p>
  </w:footnote>
  <w:footnote w:id="1">
    <w:p w14:paraId="72626824" w14:textId="5770767B" w:rsidR="000E3CFC" w:rsidRDefault="000E3CFC" w:rsidP="000E3CFC">
      <w:pPr>
        <w:pStyle w:val="Textonotapie"/>
        <w:ind w:firstLine="708"/>
        <w:jc w:val="both"/>
        <w:rPr>
          <w:rFonts w:ascii="Arial" w:hAnsi="Arial" w:cs="Arial"/>
          <w:sz w:val="19"/>
          <w:szCs w:val="19"/>
        </w:rPr>
      </w:pPr>
      <w:r w:rsidRPr="000E3CFC">
        <w:rPr>
          <w:rStyle w:val="Refdenotaalpie"/>
          <w:rFonts w:ascii="Arial" w:hAnsi="Arial" w:cs="Arial"/>
          <w:sz w:val="19"/>
          <w:szCs w:val="19"/>
        </w:rPr>
        <w:footnoteRef/>
      </w:r>
      <w:r w:rsidRPr="000E3CFC">
        <w:rPr>
          <w:rFonts w:ascii="Arial" w:hAnsi="Arial" w:cs="Arial"/>
          <w:sz w:val="19"/>
          <w:szCs w:val="19"/>
        </w:rPr>
        <w:t xml:space="preserve"> </w:t>
      </w:r>
      <w:r w:rsidRPr="006451EE">
        <w:rPr>
          <w:rFonts w:ascii="Arial" w:hAnsi="Arial" w:cs="Arial"/>
          <w:color w:val="000000" w:themeColor="text1"/>
          <w:sz w:val="19"/>
          <w:szCs w:val="19"/>
        </w:rPr>
        <w:t xml:space="preserve">Decreto 1082 de 2015 </w:t>
      </w:r>
      <w:r w:rsidRPr="006451EE">
        <w:rPr>
          <w:rFonts w:ascii="Arial" w:eastAsia="Calibri" w:hAnsi="Arial" w:cs="Arial"/>
          <w:color w:val="000000" w:themeColor="text1"/>
          <w:sz w:val="19"/>
          <w:szCs w:val="19"/>
        </w:rPr>
        <w:t>«Artículo 2.2.1.1.1.5.3. […] Los contratos celebrados por el interesado para cada uno de los bienes, obras y servicios que ofrecerá a las Entidades Estatales, identificados con el Clasificador de Bienes y Servicios en el tercer nivel y su valor expresado en SMMLV […]»</w:t>
      </w:r>
      <w:r w:rsidR="00DC5CAD" w:rsidRPr="006451EE">
        <w:rPr>
          <w:rFonts w:ascii="Arial" w:hAnsi="Arial" w:cs="Arial"/>
          <w:color w:val="000000" w:themeColor="text1"/>
          <w:sz w:val="19"/>
          <w:szCs w:val="19"/>
        </w:rPr>
        <w:t>.</w:t>
      </w:r>
    </w:p>
    <w:p w14:paraId="1E909BE4" w14:textId="77777777" w:rsidR="00DC5CAD" w:rsidRPr="000E3CFC" w:rsidRDefault="00DC5CAD" w:rsidP="000E3CFC">
      <w:pPr>
        <w:pStyle w:val="Textonotapie"/>
        <w:ind w:firstLine="708"/>
        <w:jc w:val="both"/>
        <w:rPr>
          <w:rFonts w:ascii="Arial" w:hAnsi="Arial" w:cs="Arial"/>
          <w:sz w:val="19"/>
          <w:szCs w:val="19"/>
          <w:lang w:val="es-CO"/>
        </w:rPr>
      </w:pPr>
    </w:p>
  </w:footnote>
  <w:footnote w:id="2">
    <w:p w14:paraId="71B022C9" w14:textId="77777777" w:rsidR="00F2587E" w:rsidRPr="004F3C32" w:rsidRDefault="00F2587E" w:rsidP="000E3CFC">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D336A51" w14:textId="77777777" w:rsidR="00F2587E" w:rsidRPr="004F3C32" w:rsidRDefault="00F2587E" w:rsidP="000E3CFC">
      <w:pPr>
        <w:pStyle w:val="Textonotapie"/>
        <w:ind w:firstLine="708"/>
        <w:jc w:val="both"/>
        <w:rPr>
          <w:rFonts w:ascii="Arial" w:hAnsi="Arial" w:cs="Arial"/>
          <w:sz w:val="19"/>
          <w:szCs w:val="19"/>
        </w:rPr>
      </w:pPr>
      <w:r w:rsidRPr="004F3C32">
        <w:rPr>
          <w:rFonts w:ascii="Arial" w:hAnsi="Arial" w:cs="Arial"/>
          <w:sz w:val="19"/>
          <w:szCs w:val="19"/>
        </w:rPr>
        <w:t>[…]</w:t>
      </w:r>
    </w:p>
    <w:p w14:paraId="08824B1E" w14:textId="77777777" w:rsidR="00F2587E" w:rsidRPr="001E7492" w:rsidRDefault="00F2587E" w:rsidP="000E3CFC">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09887F64" w14:textId="77777777" w:rsidR="00F2587E" w:rsidRPr="004F3C32" w:rsidRDefault="00F2587E" w:rsidP="000E3CFC">
      <w:pPr>
        <w:pStyle w:val="Textonotapie"/>
        <w:ind w:firstLine="708"/>
        <w:jc w:val="both"/>
        <w:rPr>
          <w:rFonts w:ascii="Arial" w:hAnsi="Arial" w:cs="Arial"/>
          <w:sz w:val="19"/>
          <w:szCs w:val="19"/>
          <w:lang w:val="es-CO"/>
        </w:rPr>
      </w:pPr>
    </w:p>
  </w:footnote>
  <w:footnote w:id="3">
    <w:p w14:paraId="548BC95D" w14:textId="77777777" w:rsidR="00F2587E" w:rsidRPr="004F3C32" w:rsidRDefault="00F2587E" w:rsidP="000E3CFC">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1B8CACE" w14:textId="77777777" w:rsidR="00F2587E" w:rsidRPr="004F3C32" w:rsidRDefault="00F2587E" w:rsidP="000E3CFC">
      <w:pPr>
        <w:pStyle w:val="Textonotapie"/>
        <w:ind w:firstLine="708"/>
        <w:jc w:val="both"/>
        <w:rPr>
          <w:rFonts w:ascii="Arial" w:hAnsi="Arial" w:cs="Arial"/>
          <w:sz w:val="19"/>
          <w:szCs w:val="19"/>
        </w:rPr>
      </w:pPr>
      <w:r w:rsidRPr="004F3C32">
        <w:rPr>
          <w:rFonts w:ascii="Arial" w:hAnsi="Arial" w:cs="Arial"/>
          <w:sz w:val="19"/>
          <w:szCs w:val="19"/>
        </w:rPr>
        <w:t>[…]</w:t>
      </w:r>
    </w:p>
    <w:p w14:paraId="79490864" w14:textId="77777777" w:rsidR="00F2587E" w:rsidRPr="004F3C32" w:rsidRDefault="00F2587E" w:rsidP="000E3CFC">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4">
    <w:p w14:paraId="01D3D014" w14:textId="7E429D55" w:rsidR="00F2587E" w:rsidRDefault="00F2587E" w:rsidP="000E3CFC">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Pr>
          <w:rFonts w:ascii="Arial" w:hAnsi="Arial" w:cs="Arial"/>
          <w:sz w:val="19"/>
          <w:szCs w:val="19"/>
        </w:rPr>
        <w:t xml:space="preserve"> </w:t>
      </w:r>
      <w:r w:rsidRPr="004F3C32">
        <w:rPr>
          <w:rFonts w:ascii="Arial" w:hAnsi="Arial" w:cs="Arial"/>
          <w:sz w:val="19"/>
          <w:szCs w:val="19"/>
        </w:rPr>
        <w:t>Al respecto, consultar, entre otros: los conceptos identificados con radicado No. 42019120000</w:t>
      </w:r>
      <w:r>
        <w:rPr>
          <w:rFonts w:ascii="Arial" w:hAnsi="Arial" w:cs="Arial"/>
          <w:sz w:val="19"/>
          <w:szCs w:val="19"/>
        </w:rPr>
        <w:t>07512 del 3 de noviembre de 2019</w:t>
      </w:r>
      <w:r w:rsidRPr="004F3C32">
        <w:rPr>
          <w:rFonts w:ascii="Arial" w:hAnsi="Arial" w:cs="Arial"/>
          <w:sz w:val="19"/>
          <w:szCs w:val="19"/>
        </w:rPr>
        <w:t>, 4201913000007182 del 18 de octubre de 2019</w:t>
      </w:r>
      <w:r>
        <w:rPr>
          <w:rFonts w:ascii="Arial" w:hAnsi="Arial" w:cs="Arial"/>
          <w:sz w:val="19"/>
          <w:szCs w:val="19"/>
        </w:rPr>
        <w:t xml:space="preserve"> y</w:t>
      </w:r>
      <w:r w:rsidRPr="004F3C32">
        <w:rPr>
          <w:rFonts w:ascii="Arial" w:hAnsi="Arial" w:cs="Arial"/>
          <w:sz w:val="19"/>
          <w:szCs w:val="19"/>
        </w:rPr>
        <w:t xml:space="preserve"> 4201913000006797 del 3 de octubre de 2019. </w:t>
      </w:r>
    </w:p>
    <w:p w14:paraId="5C9AD058" w14:textId="77777777" w:rsidR="000E1FBE" w:rsidRPr="004F3C32" w:rsidRDefault="000E1FBE" w:rsidP="000E3CFC">
      <w:pPr>
        <w:pStyle w:val="Textonotapie"/>
        <w:ind w:firstLine="708"/>
        <w:jc w:val="both"/>
        <w:rPr>
          <w:rFonts w:ascii="Arial" w:hAnsi="Arial" w:cs="Arial"/>
          <w:sz w:val="19"/>
          <w:szCs w:val="19"/>
          <w:lang w:val="es-CO"/>
        </w:rPr>
      </w:pPr>
    </w:p>
  </w:footnote>
  <w:footnote w:id="5">
    <w:p w14:paraId="35E24A89" w14:textId="77777777" w:rsidR="00F2587E" w:rsidRPr="00A222AD" w:rsidRDefault="00F2587E" w:rsidP="000E3CFC">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w:t>
      </w:r>
      <w:proofErr w:type="spellStart"/>
      <w:r w:rsidRPr="00A222AD">
        <w:rPr>
          <w:rFonts w:ascii="Arial" w:hAnsi="Arial" w:cs="Arial"/>
          <w:sz w:val="19"/>
          <w:szCs w:val="19"/>
        </w:rPr>
        <w:t>Covid</w:t>
      </w:r>
      <w:proofErr w:type="spellEnd"/>
      <w:r w:rsidRPr="00A222AD">
        <w:rPr>
          <w:rFonts w:ascii="Arial" w:hAnsi="Arial" w:cs="Arial"/>
          <w:sz w:val="19"/>
          <w:szCs w:val="19"/>
        </w:rPr>
        <w:t xml:space="preserve">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 w:id="6">
    <w:p w14:paraId="71C6399B" w14:textId="0E601E6E" w:rsidR="000825D8" w:rsidRPr="009C5188" w:rsidRDefault="000825D8" w:rsidP="000E3CFC">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0913B134" w14:textId="2A8E2DF5"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5381DEC6" w14:textId="77777777" w:rsidR="000825D8" w:rsidRPr="009C5188" w:rsidRDefault="000825D8" w:rsidP="000E3CFC">
      <w:pPr>
        <w:pStyle w:val="Textonotapie"/>
        <w:jc w:val="both"/>
        <w:rPr>
          <w:rFonts w:ascii="Arial" w:hAnsi="Arial" w:cs="Arial"/>
          <w:sz w:val="19"/>
          <w:szCs w:val="19"/>
          <w:lang w:val="es-ES"/>
        </w:rPr>
      </w:pPr>
    </w:p>
  </w:footnote>
  <w:footnote w:id="7">
    <w:p w14:paraId="384C2553" w14:textId="613F394C" w:rsidR="000825D8" w:rsidRPr="009C5188" w:rsidRDefault="000825D8" w:rsidP="000E3CFC">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5C40C15C" w14:textId="77777777" w:rsidR="000825D8" w:rsidRPr="009C5188" w:rsidRDefault="000825D8" w:rsidP="000E3CFC">
      <w:pPr>
        <w:pStyle w:val="Textonotapie"/>
        <w:ind w:firstLine="708"/>
        <w:jc w:val="both"/>
        <w:rPr>
          <w:rFonts w:ascii="Arial" w:hAnsi="Arial" w:cs="Arial"/>
          <w:sz w:val="19"/>
          <w:szCs w:val="19"/>
          <w:lang w:val="es-ES"/>
        </w:rPr>
      </w:pPr>
    </w:p>
  </w:footnote>
  <w:footnote w:id="8">
    <w:p w14:paraId="3B46C8F4" w14:textId="52B8C8D5" w:rsidR="000825D8" w:rsidRPr="009C5188" w:rsidRDefault="000825D8" w:rsidP="000E3CFC">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537F3CC" w14:textId="1FB214BC"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5E90AC6E" w14:textId="7C373962"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w:t>
      </w:r>
    </w:p>
    <w:p w14:paraId="6F33D133" w14:textId="77777777" w:rsidR="000825D8" w:rsidRPr="009C5188" w:rsidRDefault="000825D8" w:rsidP="000E3CFC">
      <w:pPr>
        <w:pStyle w:val="Textonotapie"/>
        <w:ind w:firstLine="708"/>
        <w:jc w:val="both"/>
        <w:rPr>
          <w:rFonts w:ascii="Arial" w:hAnsi="Arial" w:cs="Arial"/>
          <w:sz w:val="19"/>
          <w:szCs w:val="19"/>
          <w:lang w:val="es-ES"/>
        </w:rPr>
      </w:pPr>
    </w:p>
  </w:footnote>
  <w:footnote w:id="9">
    <w:p w14:paraId="31ED782E" w14:textId="3EAAA6D7" w:rsidR="000825D8" w:rsidRPr="009C5188" w:rsidRDefault="000825D8" w:rsidP="000E3CFC">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E2850DA" w14:textId="66822339"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w:t>
      </w:r>
    </w:p>
    <w:p w14:paraId="42B22B0A" w14:textId="4EC31900"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0F05766C" w14:textId="1874DE4F"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5F9CCEF2" w14:textId="77777777" w:rsidR="000825D8" w:rsidRPr="009C5188" w:rsidRDefault="000825D8" w:rsidP="000E3CFC">
      <w:pPr>
        <w:pStyle w:val="Textonotapie"/>
        <w:jc w:val="both"/>
        <w:rPr>
          <w:rFonts w:ascii="Arial" w:hAnsi="Arial" w:cs="Arial"/>
          <w:sz w:val="19"/>
          <w:szCs w:val="19"/>
          <w:lang w:val="es-ES"/>
        </w:rPr>
      </w:pPr>
    </w:p>
  </w:footnote>
  <w:footnote w:id="10">
    <w:p w14:paraId="1DBBFF38" w14:textId="34B4C4EF" w:rsidR="000825D8" w:rsidRPr="009C5188" w:rsidRDefault="000825D8" w:rsidP="000E3CFC">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B70B5AD" w14:textId="48196CC6"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14:paraId="6C99ADCB" w14:textId="3EBEAC38"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14:paraId="362CE79E" w14:textId="16670890"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73BE64AC" w14:textId="77777777" w:rsidR="000825D8" w:rsidRPr="009C5188" w:rsidRDefault="000825D8" w:rsidP="000E3CFC">
      <w:pPr>
        <w:pStyle w:val="Textonotapie"/>
        <w:ind w:firstLine="708"/>
        <w:jc w:val="both"/>
        <w:rPr>
          <w:rFonts w:ascii="Arial" w:hAnsi="Arial" w:cs="Arial"/>
          <w:sz w:val="19"/>
          <w:szCs w:val="19"/>
          <w:lang w:val="es-ES"/>
        </w:rPr>
      </w:pPr>
    </w:p>
  </w:footnote>
  <w:footnote w:id="11">
    <w:p w14:paraId="6A29173D" w14:textId="2E9F96EA" w:rsidR="000825D8" w:rsidRPr="009C5188" w:rsidRDefault="000825D8" w:rsidP="000E3CFC">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117A49F7" w14:textId="27CB393E"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03949F1B" w14:textId="4D534B36"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w:t>
      </w:r>
    </w:p>
    <w:p w14:paraId="2CE3BB9E" w14:textId="4D2AF20C"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44CF5B89" w14:textId="33C56C9D"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6C77048A" w14:textId="7B9D8ECA" w:rsidR="000825D8" w:rsidRPr="00694D8E" w:rsidRDefault="000825D8" w:rsidP="000E3CFC">
      <w:pPr>
        <w:pStyle w:val="Textonotapie"/>
        <w:ind w:firstLine="708"/>
        <w:jc w:val="both"/>
        <w:rPr>
          <w:rFonts w:ascii="Arial" w:hAnsi="Arial" w:cs="Arial"/>
          <w:sz w:val="19"/>
          <w:szCs w:val="19"/>
        </w:rPr>
      </w:pPr>
      <w:r w:rsidRPr="009C5188">
        <w:rPr>
          <w:rFonts w:ascii="Arial" w:hAnsi="Arial" w:cs="Arial"/>
          <w:sz w:val="19"/>
          <w:szCs w:val="19"/>
        </w:rPr>
        <w:t>[...]».</w:t>
      </w:r>
    </w:p>
  </w:footnote>
  <w:footnote w:id="12">
    <w:p w14:paraId="2EF1DA68" w14:textId="1D2DB3F7" w:rsidR="000825D8" w:rsidRPr="003513C4" w:rsidRDefault="000825D8" w:rsidP="000E3CFC">
      <w:pPr>
        <w:pStyle w:val="Textonotapie"/>
        <w:ind w:firstLine="708"/>
        <w:jc w:val="both"/>
        <w:rPr>
          <w:rFonts w:ascii="Arial" w:hAnsi="Arial" w:cs="Arial"/>
          <w:sz w:val="19"/>
          <w:szCs w:val="19"/>
        </w:rPr>
      </w:pPr>
      <w:r>
        <w:rPr>
          <w:rStyle w:val="Refdenotaalpie"/>
        </w:rPr>
        <w:footnoteRef/>
      </w:r>
      <w:r>
        <w:t xml:space="preserve"> </w:t>
      </w:r>
      <w:r w:rsidR="003513C4">
        <w:rPr>
          <w:rFonts w:ascii="Arial" w:hAnsi="Arial" w:cs="Arial"/>
          <w:sz w:val="19"/>
          <w:szCs w:val="19"/>
        </w:rPr>
        <w:t>Esta conclusión cambió respecto del concepto C – 002 del 20 de febrero de 2020, para adecuarla a un mejor entendimiento de las normas sobre la experiencia.</w:t>
      </w:r>
    </w:p>
    <w:p w14:paraId="1710A887" w14:textId="77777777" w:rsidR="003513C4" w:rsidRPr="00384698" w:rsidRDefault="003513C4" w:rsidP="000E3CFC">
      <w:pPr>
        <w:pStyle w:val="Textonotapie"/>
        <w:ind w:firstLine="708"/>
        <w:jc w:val="both"/>
        <w:rPr>
          <w:lang w:val="es-CO"/>
        </w:rPr>
      </w:pPr>
    </w:p>
  </w:footnote>
  <w:footnote w:id="13">
    <w:p w14:paraId="2CF61B38" w14:textId="75F0243D" w:rsidR="000825D8" w:rsidRPr="009C5188" w:rsidRDefault="000825D8" w:rsidP="000E3CFC">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14:paraId="3A77B4C9" w14:textId="369D18D0"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»El nombre de la sociedad disuelta deberá adicionarse siempre con la expresión ‘en liquidación’. Los encargados de realizarla responderán de los daños y perjuicios que se deriven por dicha omisión».</w:t>
      </w:r>
    </w:p>
    <w:p w14:paraId="1D5F542B" w14:textId="77777777" w:rsidR="000825D8" w:rsidRPr="009C5188" w:rsidRDefault="000825D8" w:rsidP="000E3CFC">
      <w:pPr>
        <w:pStyle w:val="Textonotapie"/>
        <w:jc w:val="both"/>
        <w:rPr>
          <w:rFonts w:ascii="Arial" w:hAnsi="Arial" w:cs="Arial"/>
          <w:sz w:val="19"/>
          <w:szCs w:val="19"/>
          <w:lang w:val="es-CO"/>
        </w:rPr>
      </w:pPr>
    </w:p>
  </w:footnote>
  <w:footnote w:id="14">
    <w:p w14:paraId="6D2CC498" w14:textId="77777777" w:rsidR="000825D8" w:rsidRPr="009C5188" w:rsidRDefault="000825D8" w:rsidP="000E3CFC">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Ver artículos 225 y ss. del Código de Comercio.</w:t>
      </w:r>
    </w:p>
    <w:p w14:paraId="697EE64A" w14:textId="77777777" w:rsidR="000825D8" w:rsidRPr="009C5188" w:rsidRDefault="000825D8" w:rsidP="000E3CFC">
      <w:pPr>
        <w:pStyle w:val="Textonotapie"/>
        <w:ind w:firstLine="708"/>
        <w:jc w:val="both"/>
        <w:rPr>
          <w:rFonts w:ascii="Arial" w:hAnsi="Arial" w:cs="Arial"/>
          <w:sz w:val="19"/>
          <w:szCs w:val="19"/>
          <w:lang w:val="es-CO"/>
        </w:rPr>
      </w:pPr>
      <w:r w:rsidRPr="009C5188">
        <w:rPr>
          <w:rFonts w:ascii="Arial" w:hAnsi="Arial" w:cs="Arial"/>
          <w:sz w:val="19"/>
          <w:szCs w:val="19"/>
        </w:rPr>
        <w:t xml:space="preserve"> </w:t>
      </w:r>
    </w:p>
  </w:footnote>
  <w:footnote w:id="15">
    <w:p w14:paraId="44559473" w14:textId="0874D38C" w:rsidR="000825D8" w:rsidRPr="009C5188" w:rsidRDefault="000825D8" w:rsidP="000E3CFC">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167. Reforma de contrato social por transformación de sociedad. Una sociedad podrá, antes de su disolución, adoptar cualquiera otra de las formas de la sociedad comercial reguladas en este Código, mediante una reforma del contrato social.</w:t>
      </w:r>
    </w:p>
    <w:p w14:paraId="304E956C" w14:textId="04E458F0"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»La transformación no producirá solución de continuidad en la existencia de la sociedad como persona jurídica, ni en sus actividades ni en su patrimonio».</w:t>
      </w:r>
    </w:p>
    <w:p w14:paraId="47348FB5" w14:textId="77777777" w:rsidR="000825D8" w:rsidRPr="009C5188" w:rsidRDefault="000825D8" w:rsidP="000E3CFC">
      <w:pPr>
        <w:pStyle w:val="Textonotapie"/>
        <w:ind w:firstLine="708"/>
        <w:jc w:val="both"/>
        <w:rPr>
          <w:rFonts w:ascii="Arial" w:hAnsi="Arial" w:cs="Arial"/>
          <w:sz w:val="19"/>
          <w:szCs w:val="19"/>
        </w:rPr>
      </w:pPr>
    </w:p>
  </w:footnote>
  <w:footnote w:id="16">
    <w:p w14:paraId="5DF12BBD" w14:textId="1104D5A7" w:rsidR="000825D8" w:rsidRPr="009C5188" w:rsidRDefault="000825D8" w:rsidP="000E3CFC">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222 de 1995: «Artículo 3. Modalidades. Habrá escisión cuando:</w:t>
      </w:r>
    </w:p>
    <w:p w14:paraId="0827ED25" w14:textId="7D0AA921"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»1. Una sociedad sin disolverse, transfiere en bloque una o varias partes de su patrimonio a una o más sociedades existentes o las destina a la creación de una o varias sociedades.</w:t>
      </w:r>
    </w:p>
    <w:p w14:paraId="5C508D48" w14:textId="3AF123D8"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»2. Una sociedad se disuelve sin liquidarse, dividiendo su patrimonio en dos o más partes, que se transfieren a varias sociedades existentes o se destinan a la creación de nuevas sociedades.</w:t>
      </w:r>
    </w:p>
    <w:p w14:paraId="1BD16E9F" w14:textId="6B734160"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»La sociedad o sociedades destinatarias de las transferencias resultantes de la escisión, se denominarán sociedades beneficiarias.</w:t>
      </w:r>
    </w:p>
    <w:p w14:paraId="17911942" w14:textId="1C87639A" w:rsidR="000825D8" w:rsidRPr="009C5188" w:rsidRDefault="000825D8" w:rsidP="000E3CFC">
      <w:pPr>
        <w:pStyle w:val="Textonotapie"/>
        <w:ind w:firstLine="708"/>
        <w:jc w:val="both"/>
        <w:rPr>
          <w:rFonts w:ascii="Arial" w:hAnsi="Arial" w:cs="Arial"/>
          <w:sz w:val="19"/>
          <w:szCs w:val="19"/>
          <w:lang w:val="es-CO"/>
        </w:rPr>
      </w:pPr>
      <w:r w:rsidRPr="009C5188">
        <w:rPr>
          <w:rFonts w:ascii="Arial" w:hAnsi="Arial" w:cs="Arial"/>
          <w:sz w:val="19"/>
          <w:szCs w:val="19"/>
        </w:rPr>
        <w:t>»Los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p>
  </w:footnote>
  <w:footnote w:id="17">
    <w:p w14:paraId="40C0581E" w14:textId="16DEF021" w:rsidR="000825D8" w:rsidRPr="009C5188" w:rsidRDefault="000825D8" w:rsidP="000E3CFC">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172. Fusión de la sociedad-concepto. Habrá fusión cuando una o más sociedades se disuelvan, sin liquidarse, para ser absorbidas por otra o para crear una nueva.</w:t>
      </w:r>
    </w:p>
    <w:p w14:paraId="038EB3D2" w14:textId="5E519984"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»La absorbente o la nueva compañía adquirirá los derechos y obligaciones de la sociedad o sociedades disueltas al formalizarse el acuerdo de fusión».</w:t>
      </w:r>
    </w:p>
    <w:p w14:paraId="149521D6" w14:textId="77777777" w:rsidR="000825D8" w:rsidRPr="009C5188" w:rsidRDefault="000825D8" w:rsidP="000E3CFC">
      <w:pPr>
        <w:pStyle w:val="Textonotapie"/>
        <w:jc w:val="both"/>
        <w:rPr>
          <w:rFonts w:ascii="Arial" w:hAnsi="Arial" w:cs="Arial"/>
          <w:sz w:val="19"/>
          <w:szCs w:val="19"/>
          <w:lang w:val="es-CO"/>
        </w:rPr>
      </w:pPr>
    </w:p>
  </w:footnote>
  <w:footnote w:id="18">
    <w:p w14:paraId="383FB81A" w14:textId="38FF5E02" w:rsidR="000825D8" w:rsidRPr="009C5188" w:rsidRDefault="000825D8" w:rsidP="000E3CFC">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180. Formación de nueva sociedad que continua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p w14:paraId="7F86A179" w14:textId="77777777" w:rsidR="000825D8" w:rsidRPr="009C5188" w:rsidRDefault="000825D8" w:rsidP="000E3CFC">
      <w:pPr>
        <w:pStyle w:val="Textonotapie"/>
        <w:ind w:firstLine="708"/>
        <w:jc w:val="both"/>
        <w:rPr>
          <w:rFonts w:ascii="Arial" w:hAnsi="Arial" w:cs="Arial"/>
          <w:sz w:val="19"/>
          <w:szCs w:val="19"/>
          <w:lang w:val="es-CO"/>
        </w:rPr>
      </w:pPr>
    </w:p>
  </w:footnote>
  <w:footnote w:id="19">
    <w:p w14:paraId="6AED8B9A" w14:textId="6C0C85A3" w:rsidR="000825D8" w:rsidRPr="009C5188" w:rsidRDefault="000825D8" w:rsidP="000E3CFC">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1258 de 2008: «Artículo 33. Fusión abreviada. 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14:paraId="6BE9B31C" w14:textId="77777777"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»El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 Comercio.</w:t>
      </w:r>
    </w:p>
    <w:p w14:paraId="0BE0352A" w14:textId="4E6CEB4E" w:rsidR="000825D8" w:rsidRPr="009C5188" w:rsidRDefault="000825D8" w:rsidP="000E3CFC">
      <w:pPr>
        <w:pStyle w:val="Textonotapie"/>
        <w:ind w:firstLine="708"/>
        <w:jc w:val="both"/>
        <w:rPr>
          <w:rFonts w:ascii="Arial" w:hAnsi="Arial" w:cs="Arial"/>
          <w:sz w:val="19"/>
          <w:szCs w:val="19"/>
        </w:rPr>
      </w:pPr>
      <w:r w:rsidRPr="009C5188">
        <w:rPr>
          <w:rFonts w:ascii="Arial" w:hAnsi="Arial" w:cs="Arial"/>
          <w:sz w:val="19"/>
          <w:szCs w:val="19"/>
        </w:rPr>
        <w:t>»El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p>
    <w:p w14:paraId="438BF2D7" w14:textId="77777777" w:rsidR="000825D8" w:rsidRPr="009C5188" w:rsidRDefault="000825D8" w:rsidP="000E3CFC">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0825D8" w:rsidRDefault="000825D8">
    <w:pPr>
      <w:pStyle w:val="Encabezado"/>
    </w:pPr>
    <w:r>
      <w:rPr>
        <w:noProof/>
        <w:lang w:val="es-CO" w:eastAsia="es-CO"/>
      </w:rPr>
      <w:drawing>
        <wp:anchor distT="0" distB="0" distL="114300" distR="114300" simplePos="0" relativeHeight="251661312" behindDoc="1" locked="0" layoutInCell="1" allowOverlap="1" wp14:anchorId="1A706351" wp14:editId="3F23CBDB">
          <wp:simplePos x="0" y="0"/>
          <wp:positionH relativeFrom="column">
            <wp:posOffset>4421891</wp:posOffset>
          </wp:positionH>
          <wp:positionV relativeFrom="paragraph">
            <wp:posOffset>474648</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AC4F7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F7A468A"/>
    <w:multiLevelType w:val="multilevel"/>
    <w:tmpl w:val="FEA47526"/>
    <w:lvl w:ilvl="0">
      <w:start w:val="1"/>
      <w:numFmt w:val="decimal"/>
      <w:lvlText w:val="%1."/>
      <w:lvlJc w:val="left"/>
      <w:pPr>
        <w:ind w:left="360" w:hanging="360"/>
      </w:pPr>
      <w:rPr>
        <w:rFonts w:hint="default"/>
      </w:rPr>
    </w:lvl>
    <w:lvl w:ilvl="1">
      <w:start w:val="1"/>
      <w:numFmt w:val="decimal"/>
      <w:isLgl/>
      <w:lvlText w:val="%1.%2"/>
      <w:lvlJc w:val="left"/>
      <w:pPr>
        <w:ind w:left="947" w:hanging="380"/>
      </w:pPr>
      <w:rPr>
        <w:rFonts w:hint="default"/>
        <w:b/>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2"/>
  </w:num>
  <w:num w:numId="2">
    <w:abstractNumId w:val="1"/>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966"/>
    <w:rsid w:val="00015A51"/>
    <w:rsid w:val="00060086"/>
    <w:rsid w:val="0006498C"/>
    <w:rsid w:val="000825D8"/>
    <w:rsid w:val="00084B97"/>
    <w:rsid w:val="000929CA"/>
    <w:rsid w:val="000942EB"/>
    <w:rsid w:val="000A354F"/>
    <w:rsid w:val="000B103F"/>
    <w:rsid w:val="000D50F8"/>
    <w:rsid w:val="000E1FB7"/>
    <w:rsid w:val="000E1FBE"/>
    <w:rsid w:val="000E3CFC"/>
    <w:rsid w:val="000E41F0"/>
    <w:rsid w:val="000F14E8"/>
    <w:rsid w:val="00103915"/>
    <w:rsid w:val="0011541D"/>
    <w:rsid w:val="00122B23"/>
    <w:rsid w:val="00122E4E"/>
    <w:rsid w:val="00137FFA"/>
    <w:rsid w:val="00172749"/>
    <w:rsid w:val="00173A59"/>
    <w:rsid w:val="001B0444"/>
    <w:rsid w:val="001C55B7"/>
    <w:rsid w:val="001D1F8F"/>
    <w:rsid w:val="001D4567"/>
    <w:rsid w:val="0020632A"/>
    <w:rsid w:val="002110EB"/>
    <w:rsid w:val="00211338"/>
    <w:rsid w:val="00216F70"/>
    <w:rsid w:val="00234066"/>
    <w:rsid w:val="00234B84"/>
    <w:rsid w:val="0023583A"/>
    <w:rsid w:val="00236E03"/>
    <w:rsid w:val="00240920"/>
    <w:rsid w:val="002506CF"/>
    <w:rsid w:val="002720D2"/>
    <w:rsid w:val="002A3B8D"/>
    <w:rsid w:val="002B088C"/>
    <w:rsid w:val="002B3991"/>
    <w:rsid w:val="002B7945"/>
    <w:rsid w:val="002C4C0C"/>
    <w:rsid w:val="002D2815"/>
    <w:rsid w:val="002D60F6"/>
    <w:rsid w:val="002E1195"/>
    <w:rsid w:val="002F1750"/>
    <w:rsid w:val="003033BA"/>
    <w:rsid w:val="003116C2"/>
    <w:rsid w:val="0031696B"/>
    <w:rsid w:val="0032086B"/>
    <w:rsid w:val="00322937"/>
    <w:rsid w:val="00324524"/>
    <w:rsid w:val="00327336"/>
    <w:rsid w:val="0034177C"/>
    <w:rsid w:val="0034680A"/>
    <w:rsid w:val="00347B31"/>
    <w:rsid w:val="003513C4"/>
    <w:rsid w:val="00353DD5"/>
    <w:rsid w:val="00372B70"/>
    <w:rsid w:val="00384698"/>
    <w:rsid w:val="0038524B"/>
    <w:rsid w:val="00386456"/>
    <w:rsid w:val="003A0878"/>
    <w:rsid w:val="003A581E"/>
    <w:rsid w:val="003B2FD9"/>
    <w:rsid w:val="003B6EE8"/>
    <w:rsid w:val="003B791C"/>
    <w:rsid w:val="0040170E"/>
    <w:rsid w:val="004023D4"/>
    <w:rsid w:val="00423F9F"/>
    <w:rsid w:val="004422D6"/>
    <w:rsid w:val="00474D4C"/>
    <w:rsid w:val="00475A77"/>
    <w:rsid w:val="00483977"/>
    <w:rsid w:val="0049241A"/>
    <w:rsid w:val="004A34D2"/>
    <w:rsid w:val="004B19D5"/>
    <w:rsid w:val="004C0517"/>
    <w:rsid w:val="004C437A"/>
    <w:rsid w:val="004D2DD0"/>
    <w:rsid w:val="004E0F28"/>
    <w:rsid w:val="004E58D5"/>
    <w:rsid w:val="004F4CD4"/>
    <w:rsid w:val="00502A34"/>
    <w:rsid w:val="005064CD"/>
    <w:rsid w:val="0051074C"/>
    <w:rsid w:val="0051077F"/>
    <w:rsid w:val="00512D26"/>
    <w:rsid w:val="00513AF2"/>
    <w:rsid w:val="005428FA"/>
    <w:rsid w:val="0054413A"/>
    <w:rsid w:val="0055556D"/>
    <w:rsid w:val="005564CA"/>
    <w:rsid w:val="0056182B"/>
    <w:rsid w:val="005756AA"/>
    <w:rsid w:val="005825BE"/>
    <w:rsid w:val="00592C46"/>
    <w:rsid w:val="005A3280"/>
    <w:rsid w:val="005A57E1"/>
    <w:rsid w:val="005B3726"/>
    <w:rsid w:val="005B56F2"/>
    <w:rsid w:val="005B5BB0"/>
    <w:rsid w:val="005C17BC"/>
    <w:rsid w:val="005C7C14"/>
    <w:rsid w:val="005D4C89"/>
    <w:rsid w:val="005D51FA"/>
    <w:rsid w:val="005D791B"/>
    <w:rsid w:val="005E002D"/>
    <w:rsid w:val="0060502C"/>
    <w:rsid w:val="00614817"/>
    <w:rsid w:val="00633DBF"/>
    <w:rsid w:val="00640730"/>
    <w:rsid w:val="006451EE"/>
    <w:rsid w:val="00655371"/>
    <w:rsid w:val="006854AD"/>
    <w:rsid w:val="00691278"/>
    <w:rsid w:val="00694D8E"/>
    <w:rsid w:val="00697665"/>
    <w:rsid w:val="006A0F23"/>
    <w:rsid w:val="006A7CB5"/>
    <w:rsid w:val="006A7FD0"/>
    <w:rsid w:val="006D7687"/>
    <w:rsid w:val="006E0572"/>
    <w:rsid w:val="00705631"/>
    <w:rsid w:val="00715EAA"/>
    <w:rsid w:val="0072019B"/>
    <w:rsid w:val="00742DD2"/>
    <w:rsid w:val="00743973"/>
    <w:rsid w:val="00746E08"/>
    <w:rsid w:val="00747C96"/>
    <w:rsid w:val="0075094E"/>
    <w:rsid w:val="007522E8"/>
    <w:rsid w:val="0075647A"/>
    <w:rsid w:val="007634AD"/>
    <w:rsid w:val="00775AA7"/>
    <w:rsid w:val="0078122E"/>
    <w:rsid w:val="0078635B"/>
    <w:rsid w:val="00795647"/>
    <w:rsid w:val="007A50A9"/>
    <w:rsid w:val="007B0854"/>
    <w:rsid w:val="007B6436"/>
    <w:rsid w:val="007C04DA"/>
    <w:rsid w:val="007C64EB"/>
    <w:rsid w:val="007D5F91"/>
    <w:rsid w:val="007D7F4A"/>
    <w:rsid w:val="007F0BA4"/>
    <w:rsid w:val="007F4B6B"/>
    <w:rsid w:val="007F6B46"/>
    <w:rsid w:val="007F72CB"/>
    <w:rsid w:val="00801CAD"/>
    <w:rsid w:val="008217B7"/>
    <w:rsid w:val="008221C5"/>
    <w:rsid w:val="00822F66"/>
    <w:rsid w:val="00824095"/>
    <w:rsid w:val="0083017E"/>
    <w:rsid w:val="0083119B"/>
    <w:rsid w:val="00836EAB"/>
    <w:rsid w:val="0085092D"/>
    <w:rsid w:val="00850F79"/>
    <w:rsid w:val="00851174"/>
    <w:rsid w:val="00852AAA"/>
    <w:rsid w:val="00885322"/>
    <w:rsid w:val="00886D12"/>
    <w:rsid w:val="0089774F"/>
    <w:rsid w:val="008A7E9C"/>
    <w:rsid w:val="008B409F"/>
    <w:rsid w:val="008C1939"/>
    <w:rsid w:val="008C44A0"/>
    <w:rsid w:val="008E1C15"/>
    <w:rsid w:val="008F0346"/>
    <w:rsid w:val="008F538E"/>
    <w:rsid w:val="009047C5"/>
    <w:rsid w:val="00912110"/>
    <w:rsid w:val="0094559B"/>
    <w:rsid w:val="0095385A"/>
    <w:rsid w:val="009C5188"/>
    <w:rsid w:val="009D4651"/>
    <w:rsid w:val="009F59C2"/>
    <w:rsid w:val="00A24560"/>
    <w:rsid w:val="00A34538"/>
    <w:rsid w:val="00A37D22"/>
    <w:rsid w:val="00A37FB6"/>
    <w:rsid w:val="00A61E3D"/>
    <w:rsid w:val="00A6322D"/>
    <w:rsid w:val="00A8361D"/>
    <w:rsid w:val="00A92AFF"/>
    <w:rsid w:val="00AA08E7"/>
    <w:rsid w:val="00AA442B"/>
    <w:rsid w:val="00AA669D"/>
    <w:rsid w:val="00AA6CDB"/>
    <w:rsid w:val="00AA6D5C"/>
    <w:rsid w:val="00AB745E"/>
    <w:rsid w:val="00AD0EF9"/>
    <w:rsid w:val="00AD2C6C"/>
    <w:rsid w:val="00AF5090"/>
    <w:rsid w:val="00AF5A6D"/>
    <w:rsid w:val="00B0765B"/>
    <w:rsid w:val="00B13EC0"/>
    <w:rsid w:val="00B22E22"/>
    <w:rsid w:val="00B525CB"/>
    <w:rsid w:val="00B63872"/>
    <w:rsid w:val="00B63CB2"/>
    <w:rsid w:val="00B64EDB"/>
    <w:rsid w:val="00B7315F"/>
    <w:rsid w:val="00B91B8E"/>
    <w:rsid w:val="00BB11AA"/>
    <w:rsid w:val="00BB225A"/>
    <w:rsid w:val="00BB5221"/>
    <w:rsid w:val="00BD27BA"/>
    <w:rsid w:val="00BD78FE"/>
    <w:rsid w:val="00C05A27"/>
    <w:rsid w:val="00C3390B"/>
    <w:rsid w:val="00C368B6"/>
    <w:rsid w:val="00C5063E"/>
    <w:rsid w:val="00C56E30"/>
    <w:rsid w:val="00CA38FE"/>
    <w:rsid w:val="00CC00CD"/>
    <w:rsid w:val="00CC1605"/>
    <w:rsid w:val="00CD426E"/>
    <w:rsid w:val="00CE1E2C"/>
    <w:rsid w:val="00D01760"/>
    <w:rsid w:val="00D106B8"/>
    <w:rsid w:val="00D16E39"/>
    <w:rsid w:val="00D223B6"/>
    <w:rsid w:val="00D335E2"/>
    <w:rsid w:val="00D439F3"/>
    <w:rsid w:val="00D60327"/>
    <w:rsid w:val="00D64CD5"/>
    <w:rsid w:val="00D72E9D"/>
    <w:rsid w:val="00D82CE5"/>
    <w:rsid w:val="00D8339C"/>
    <w:rsid w:val="00DA5AB1"/>
    <w:rsid w:val="00DC5CAD"/>
    <w:rsid w:val="00DC62E5"/>
    <w:rsid w:val="00DD06AA"/>
    <w:rsid w:val="00DD735D"/>
    <w:rsid w:val="00DE3119"/>
    <w:rsid w:val="00DF236B"/>
    <w:rsid w:val="00E03AC6"/>
    <w:rsid w:val="00E13AB8"/>
    <w:rsid w:val="00E25CB3"/>
    <w:rsid w:val="00E33B62"/>
    <w:rsid w:val="00E4143A"/>
    <w:rsid w:val="00E5123A"/>
    <w:rsid w:val="00E577E2"/>
    <w:rsid w:val="00E936BC"/>
    <w:rsid w:val="00ED1DDD"/>
    <w:rsid w:val="00ED3D2E"/>
    <w:rsid w:val="00EE59B5"/>
    <w:rsid w:val="00F03213"/>
    <w:rsid w:val="00F1581F"/>
    <w:rsid w:val="00F2587E"/>
    <w:rsid w:val="00F30777"/>
    <w:rsid w:val="00F34B57"/>
    <w:rsid w:val="00F61A30"/>
    <w:rsid w:val="00F7120D"/>
    <w:rsid w:val="00F741E3"/>
    <w:rsid w:val="00F7794A"/>
    <w:rsid w:val="00F84899"/>
    <w:rsid w:val="00F859F0"/>
    <w:rsid w:val="00FB1E56"/>
    <w:rsid w:val="00FB21E1"/>
    <w:rsid w:val="00FB291F"/>
    <w:rsid w:val="00FD2843"/>
    <w:rsid w:val="00FD4FD0"/>
    <w:rsid w:val="00FD782C"/>
    <w:rsid w:val="00FE141E"/>
    <w:rsid w:val="00FE2612"/>
    <w:rsid w:val="00FE42ED"/>
    <w:rsid w:val="00FF3C4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BAC9DA39-EAE9-485B-A43F-871BF06E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7B31"/>
    <w:pPr>
      <w:autoSpaceDE w:val="0"/>
      <w:autoSpaceDN w:val="0"/>
      <w:adjustRightInd w:val="0"/>
      <w:spacing w:after="0" w:line="240" w:lineRule="auto"/>
    </w:pPr>
    <w:rPr>
      <w:rFonts w:ascii="Arial" w:hAnsi="Arial" w:cs="Arial"/>
      <w:color w:val="000000"/>
      <w:sz w:val="24"/>
      <w:szCs w:val="24"/>
      <w:lang w:val="es-ES"/>
    </w:rPr>
  </w:style>
  <w:style w:type="paragraph" w:customStyle="1" w:styleId="Cuadrculamedia1-nfasis21">
    <w:name w:val="Cuadrícula media 1 - Énfasis 21"/>
    <w:basedOn w:val="Normal"/>
    <w:uiPriority w:val="34"/>
    <w:qFormat/>
    <w:rsid w:val="00347B31"/>
    <w:pPr>
      <w:spacing w:after="160" w:line="259" w:lineRule="auto"/>
      <w:ind w:left="720"/>
      <w:contextualSpacing/>
    </w:pPr>
    <w:rPr>
      <w:rFonts w:ascii="Calibri" w:eastAsia="Calibri" w:hAnsi="Calibri" w:cs="Times New Roman"/>
      <w:sz w:val="22"/>
      <w:lang w:val="es-CO"/>
    </w:rPr>
  </w:style>
  <w:style w:type="paragraph" w:customStyle="1" w:styleId="bodytext23">
    <w:name w:val="bodytext23"/>
    <w:basedOn w:val="Normal"/>
    <w:rsid w:val="00347B31"/>
    <w:pPr>
      <w:spacing w:before="100" w:beforeAutospacing="1" w:after="100" w:afterAutospacing="1"/>
    </w:pPr>
    <w:rPr>
      <w:rFonts w:ascii="Times New Roman" w:eastAsia="Times New Roman" w:hAnsi="Times New Roman" w:cs="Times New Roman"/>
      <w:szCs w:val="24"/>
      <w:lang w:val="es-ES" w:eastAsia="es-ES"/>
    </w:rPr>
  </w:style>
  <w:style w:type="character" w:styleId="Textodelmarcadordeposicin">
    <w:name w:val="Placeholder Text"/>
    <w:basedOn w:val="Fuentedeprrafopredeter"/>
    <w:uiPriority w:val="99"/>
    <w:semiHidden/>
    <w:rsid w:val="004E58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A471F8B-B709-4632-A3B7-01549058829F}">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7DAA273-B051-47DD-BF60-6B7C4AD87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FEF290-17E0-464B-95FE-65704296FB2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18</Pages>
  <Words>6216</Words>
  <Characters>34188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Sarmiento</cp:lastModifiedBy>
  <cp:revision>2</cp:revision>
  <cp:lastPrinted>2020-01-30T15:05:00Z</cp:lastPrinted>
  <dcterms:created xsi:type="dcterms:W3CDTF">2020-08-31T22:07:00Z</dcterms:created>
  <dcterms:modified xsi:type="dcterms:W3CDTF">2020-08-31T22:07:00Z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