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91CA" w14:textId="77777777" w:rsidR="00504A12" w:rsidRPr="001A65D8" w:rsidRDefault="00504A12" w:rsidP="00504A12">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1A65D8">
        <w:rPr>
          <w:rFonts w:ascii="Arial" w:hAnsi="Arial" w:cs="Arial"/>
          <w:b/>
          <w:color w:val="000000" w:themeColor="text1"/>
          <w:sz w:val="16"/>
          <w:szCs w:val="16"/>
          <w:lang w:eastAsia="es-ES"/>
        </w:rPr>
        <w:t>CCE-DES-FM-17</w:t>
      </w:r>
    </w:p>
    <w:p w14:paraId="0A59BD04" w14:textId="77777777" w:rsidR="00504A12" w:rsidRPr="0078446D" w:rsidRDefault="00504A12" w:rsidP="00504A12">
      <w:pPr>
        <w:jc w:val="both"/>
        <w:rPr>
          <w:rFonts w:ascii="Arial" w:eastAsia="Calibri" w:hAnsi="Arial" w:cs="Arial"/>
          <w:b/>
          <w:color w:val="000000" w:themeColor="text1"/>
          <w:sz w:val="20"/>
          <w:szCs w:val="20"/>
        </w:rPr>
      </w:pPr>
    </w:p>
    <w:bookmarkEnd w:id="1"/>
    <w:bookmarkEnd w:id="2"/>
    <w:p w14:paraId="2FB4F2A2" w14:textId="77777777" w:rsidR="00504A12" w:rsidRPr="00566C61" w:rsidRDefault="00504A12" w:rsidP="00504A12">
      <w:pPr>
        <w:jc w:val="both"/>
        <w:rPr>
          <w:rFonts w:ascii="Arial" w:eastAsia="Calibri" w:hAnsi="Arial" w:cs="Arial"/>
          <w:b/>
          <w:bCs/>
          <w:color w:val="000000" w:themeColor="text1"/>
          <w:sz w:val="22"/>
        </w:rPr>
      </w:pPr>
      <w:r w:rsidRPr="00566C61">
        <w:rPr>
          <w:rFonts w:ascii="Arial" w:eastAsia="Calibri" w:hAnsi="Arial" w:cs="Arial"/>
          <w:b/>
          <w:bCs/>
          <w:color w:val="000000" w:themeColor="text1"/>
          <w:sz w:val="22"/>
        </w:rPr>
        <w:t>SELECCIÓN OBJETIVA ― Noción y factores de escogencia</w:t>
      </w:r>
    </w:p>
    <w:p w14:paraId="4BCD02D3" w14:textId="77777777" w:rsidR="00504A12" w:rsidRPr="003A21FB" w:rsidRDefault="00504A12" w:rsidP="00504A12">
      <w:pPr>
        <w:rPr>
          <w:rFonts w:ascii="Arial" w:eastAsia="Calibri" w:hAnsi="Arial" w:cs="Arial"/>
          <w:b/>
          <w:bCs/>
          <w:color w:val="000000" w:themeColor="text1"/>
          <w:sz w:val="20"/>
          <w:szCs w:val="20"/>
        </w:rPr>
      </w:pPr>
    </w:p>
    <w:p w14:paraId="77DC66BB" w14:textId="77777777" w:rsidR="00B07DB7" w:rsidRPr="00B07DB7" w:rsidRDefault="00B07DB7" w:rsidP="00B07DB7">
      <w:pPr>
        <w:jc w:val="both"/>
        <w:rPr>
          <w:rFonts w:ascii="Arial" w:eastAsia="Calibri" w:hAnsi="Arial" w:cs="Arial"/>
          <w:color w:val="000000" w:themeColor="text1"/>
          <w:sz w:val="20"/>
          <w:szCs w:val="20"/>
          <w:lang w:val="es-ES"/>
        </w:rPr>
      </w:pPr>
      <w:r w:rsidRPr="00B07DB7">
        <w:rPr>
          <w:rFonts w:ascii="Arial" w:eastAsia="Calibri" w:hAnsi="Arial" w:cs="Arial"/>
          <w:color w:val="000000" w:themeColor="text1"/>
          <w:sz w:val="20"/>
          <w:szCs w:val="20"/>
          <w:lang w:val="es-ES"/>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w:t>
      </w:r>
      <w:r w:rsidR="00504A12" w:rsidRPr="003A21FB">
        <w:rPr>
          <w:rFonts w:ascii="Arial" w:eastAsia="Calibri" w:hAnsi="Arial" w:cs="Arial"/>
          <w:color w:val="000000" w:themeColor="text1"/>
          <w:sz w:val="20"/>
          <w:szCs w:val="20"/>
          <w:lang w:val="es-ES"/>
        </w:rPr>
        <w:t xml:space="preserve">[…] </w:t>
      </w:r>
      <w:r w:rsidRPr="00B07DB7">
        <w:rPr>
          <w:rFonts w:ascii="Arial" w:eastAsia="Calibri" w:hAnsi="Arial" w:cs="Arial"/>
          <w:color w:val="000000" w:themeColor="text1"/>
          <w:sz w:val="20"/>
          <w:szCs w:val="20"/>
          <w:lang w:val="es-ES"/>
        </w:rPr>
        <w:t xml:space="preserve">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w:t>
      </w:r>
    </w:p>
    <w:p w14:paraId="6EE43053" w14:textId="5D5E0693" w:rsidR="00504A12" w:rsidRPr="003A21FB" w:rsidRDefault="00B07DB7" w:rsidP="00B07DB7">
      <w:pPr>
        <w:spacing w:before="120"/>
        <w:jc w:val="both"/>
        <w:rPr>
          <w:rFonts w:ascii="Arial" w:hAnsi="Arial" w:cs="Arial"/>
          <w:color w:val="000000" w:themeColor="text1"/>
          <w:sz w:val="20"/>
          <w:szCs w:val="20"/>
        </w:rPr>
      </w:pPr>
      <w:r w:rsidRPr="00B07DB7">
        <w:rPr>
          <w:rFonts w:ascii="Arial" w:eastAsia="Calibri" w:hAnsi="Arial" w:cs="Arial"/>
          <w:color w:val="000000" w:themeColor="text1"/>
          <w:sz w:val="20"/>
          <w:szCs w:val="20"/>
          <w:lang w:val="es-ES"/>
        </w:rPr>
        <w:t>Específicamente, el numeral 1º de la disposición referida establece que en los procesos de selección de contratistas serán objeto de verificación, como requisitos habilitantes, los siguientes: i) la capacidad jurídica; ii) la experiencia; iii) la capacidad financiera y iv) la capacidad de organización.</w:t>
      </w:r>
    </w:p>
    <w:p w14:paraId="264D79AB" w14:textId="77777777" w:rsidR="00B07DB7" w:rsidRDefault="00B07DB7" w:rsidP="00504A12">
      <w:pPr>
        <w:jc w:val="both"/>
        <w:rPr>
          <w:rFonts w:ascii="Arial" w:eastAsia="Calibri" w:hAnsi="Arial" w:cs="Arial"/>
          <w:b/>
          <w:bCs/>
          <w:color w:val="000000" w:themeColor="text1"/>
          <w:sz w:val="22"/>
        </w:rPr>
      </w:pPr>
    </w:p>
    <w:p w14:paraId="431ED3C4" w14:textId="30898203" w:rsidR="00504A12" w:rsidRPr="00566C61" w:rsidRDefault="00504A12" w:rsidP="00504A12">
      <w:pPr>
        <w:jc w:val="both"/>
        <w:rPr>
          <w:rFonts w:ascii="Arial" w:eastAsia="Calibri" w:hAnsi="Arial" w:cs="Arial"/>
          <w:b/>
          <w:bCs/>
          <w:color w:val="000000" w:themeColor="text1"/>
          <w:sz w:val="22"/>
        </w:rPr>
      </w:pPr>
      <w:r w:rsidRPr="00566C61">
        <w:rPr>
          <w:rFonts w:ascii="Arial" w:eastAsia="Calibri" w:hAnsi="Arial" w:cs="Arial"/>
          <w:b/>
          <w:bCs/>
          <w:color w:val="000000" w:themeColor="text1"/>
          <w:sz w:val="22"/>
        </w:rPr>
        <w:t>REQUISITOS HABILITANTES DE LA LEY 1150 DE 2007 ― Carácter enunciativo</w:t>
      </w:r>
    </w:p>
    <w:p w14:paraId="10AEEA89" w14:textId="77777777" w:rsidR="00504A12" w:rsidRPr="003A21FB" w:rsidRDefault="00504A12" w:rsidP="00504A12">
      <w:pPr>
        <w:rPr>
          <w:rFonts w:ascii="Arial" w:eastAsia="Calibri" w:hAnsi="Arial" w:cs="Arial"/>
          <w:b/>
          <w:bCs/>
          <w:color w:val="000000" w:themeColor="text1"/>
          <w:sz w:val="20"/>
          <w:szCs w:val="20"/>
        </w:rPr>
      </w:pPr>
    </w:p>
    <w:p w14:paraId="38417D34" w14:textId="13226F09" w:rsidR="00504A12" w:rsidRDefault="00EB06A1" w:rsidP="00504A12">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EB06A1">
        <w:rPr>
          <w:rFonts w:ascii="Arial" w:eastAsia="Calibri" w:hAnsi="Arial" w:cs="Arial"/>
          <w:color w:val="000000" w:themeColor="text1"/>
          <w:sz w:val="20"/>
          <w:szCs w:val="20"/>
          <w:lang w:val="es-ES"/>
        </w:rPr>
        <w:t>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w:t>
      </w:r>
    </w:p>
    <w:p w14:paraId="2B0A5675" w14:textId="77777777" w:rsidR="006A020E" w:rsidRPr="00EB06A1" w:rsidRDefault="006A020E" w:rsidP="00504A12">
      <w:pPr>
        <w:jc w:val="both"/>
        <w:rPr>
          <w:rFonts w:ascii="Arial" w:eastAsia="Calibri" w:hAnsi="Arial" w:cs="Arial"/>
          <w:color w:val="000000" w:themeColor="text1"/>
          <w:sz w:val="20"/>
          <w:szCs w:val="20"/>
        </w:rPr>
      </w:pPr>
    </w:p>
    <w:p w14:paraId="436D1034" w14:textId="77777777" w:rsidR="00504A12" w:rsidRDefault="00504A12" w:rsidP="00504A12">
      <w:pPr>
        <w:rPr>
          <w:rFonts w:ascii="Arial" w:eastAsia="Calibri" w:hAnsi="Arial" w:cs="Arial"/>
          <w:b/>
          <w:bCs/>
          <w:color w:val="000000" w:themeColor="text1"/>
          <w:sz w:val="22"/>
        </w:rPr>
      </w:pPr>
      <w:r w:rsidRPr="007F35FE">
        <w:rPr>
          <w:rFonts w:ascii="Arial" w:eastAsia="Calibri" w:hAnsi="Arial" w:cs="Arial"/>
          <w:b/>
          <w:bCs/>
          <w:color w:val="000000" w:themeColor="text1"/>
          <w:sz w:val="22"/>
        </w:rPr>
        <w:t>CERTIFICACIONES DE SISTEMAS DE GESTIÓN DE CALIDAD – No se pueden exigir como requisito habilitante o puntuable</w:t>
      </w:r>
    </w:p>
    <w:p w14:paraId="4A136C56" w14:textId="77777777" w:rsidR="00504A12" w:rsidRPr="003A21FB" w:rsidRDefault="00504A12" w:rsidP="00504A12">
      <w:pPr>
        <w:rPr>
          <w:rFonts w:ascii="Arial" w:eastAsia="Calibri" w:hAnsi="Arial" w:cs="Arial"/>
          <w:b/>
          <w:bCs/>
          <w:color w:val="000000" w:themeColor="text1"/>
          <w:sz w:val="20"/>
          <w:szCs w:val="20"/>
        </w:rPr>
      </w:pPr>
    </w:p>
    <w:p w14:paraId="66300A17" w14:textId="57DD3358" w:rsidR="00504A12" w:rsidRPr="007F35FE" w:rsidRDefault="00504A12" w:rsidP="00504A12">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rPr>
        <w:t xml:space="preserve">[…] </w:t>
      </w:r>
      <w:r w:rsidR="0036633A" w:rsidRPr="0036633A">
        <w:rPr>
          <w:rFonts w:ascii="Arial" w:eastAsia="Calibri" w:hAnsi="Arial" w:cs="Arial"/>
          <w:color w:val="000000" w:themeColor="text1"/>
          <w:sz w:val="20"/>
          <w:szCs w:val="20"/>
          <w:lang w:val="es-ES"/>
        </w:rPr>
        <w:t xml:space="preserve">en el caso de los requisitos habilitantes, el artículo 5, parágrafo 2, de la Ley 1150 de 2007 establece que las «certificaciones de sistemas de gestión de calidad no serán objeto de calificación, ni podrán establecerse como documento habilitante para participar en licitaciones o concursos». Es del caso precisar que esta prohibición comprende los requisitos habilitantes y, además, los requisitos puntuables, pues la norma prohíbe expresamente que dichas certificaciones sean objeto de calificación. </w:t>
      </w:r>
      <w:r>
        <w:rPr>
          <w:rFonts w:ascii="Arial" w:eastAsia="Calibri" w:hAnsi="Arial" w:cs="Arial"/>
          <w:color w:val="000000" w:themeColor="text1"/>
          <w:sz w:val="20"/>
          <w:szCs w:val="20"/>
          <w:lang w:val="es-ES"/>
        </w:rPr>
        <w:t>[…]</w:t>
      </w:r>
    </w:p>
    <w:p w14:paraId="047E848C" w14:textId="75BB2088" w:rsidR="00504A12" w:rsidRDefault="0036633A" w:rsidP="0036633A">
      <w:pPr>
        <w:spacing w:before="120"/>
        <w:jc w:val="both"/>
        <w:rPr>
          <w:rFonts w:ascii="Arial" w:eastAsia="Calibri" w:hAnsi="Arial" w:cs="Arial"/>
          <w:color w:val="000000" w:themeColor="text1"/>
          <w:sz w:val="20"/>
          <w:szCs w:val="20"/>
          <w:lang w:val="es-ES"/>
        </w:rPr>
      </w:pPr>
      <w:r w:rsidRPr="0036633A">
        <w:rPr>
          <w:rFonts w:ascii="Arial" w:eastAsia="Calibri" w:hAnsi="Arial" w:cs="Arial"/>
          <w:color w:val="000000" w:themeColor="text1"/>
          <w:sz w:val="20"/>
          <w:szCs w:val="20"/>
          <w:lang w:val="es-ES"/>
        </w:rPr>
        <w:t>Ese es el criterio actual en el Consejo de Estado. En efecto, en concepto del 20 de mayo del 2010, la Sala de Consulta y Servicio Civil de dicha Corporación aclaró que «[…] Los certificados de gestión de calidad no se pueden solicitar a los proponentes, ni como requisito habilitante para participar en los procesos de selección, ni para otorgar puntaje».</w:t>
      </w:r>
    </w:p>
    <w:p w14:paraId="04AF9F0B" w14:textId="77777777" w:rsidR="00504A12" w:rsidRDefault="00504A12" w:rsidP="00504A12">
      <w:pPr>
        <w:rPr>
          <w:rFonts w:ascii="Arial" w:hAnsi="Arial" w:cs="Arial"/>
          <w:color w:val="000000" w:themeColor="text1"/>
          <w:sz w:val="22"/>
          <w:lang w:val="es-ES"/>
        </w:rPr>
      </w:pPr>
    </w:p>
    <w:p w14:paraId="6075149A" w14:textId="6D6B4468" w:rsidR="00504A12" w:rsidRDefault="00504A12" w:rsidP="00504A12">
      <w:pPr>
        <w:rPr>
          <w:rFonts w:ascii="Arial" w:hAnsi="Arial" w:cs="Arial"/>
          <w:color w:val="000000" w:themeColor="text1"/>
          <w:sz w:val="22"/>
          <w:lang w:val="es-ES"/>
        </w:rPr>
      </w:pPr>
    </w:p>
    <w:p w14:paraId="472C2977" w14:textId="77777777" w:rsidR="00D9326E" w:rsidRDefault="00D9326E" w:rsidP="00504A12">
      <w:pPr>
        <w:rPr>
          <w:rFonts w:ascii="Arial" w:hAnsi="Arial" w:cs="Arial"/>
          <w:color w:val="000000" w:themeColor="text1"/>
          <w:sz w:val="22"/>
          <w:lang w:val="es-ES"/>
        </w:rPr>
      </w:pPr>
    </w:p>
    <w:p w14:paraId="06A44D36" w14:textId="77777777" w:rsidR="00504A12" w:rsidRPr="0078446D" w:rsidRDefault="00504A12" w:rsidP="00504A12">
      <w:pPr>
        <w:rPr>
          <w:rFonts w:ascii="Arial" w:hAnsi="Arial" w:cs="Arial"/>
          <w:color w:val="000000" w:themeColor="text1"/>
          <w:sz w:val="22"/>
          <w:lang w:val="es-ES"/>
        </w:rPr>
      </w:pPr>
    </w:p>
    <w:p w14:paraId="6832CE5B" w14:textId="6E141B90" w:rsidR="00504A12" w:rsidRPr="0078446D" w:rsidRDefault="00504A12" w:rsidP="00504A12">
      <w:pPr>
        <w:rPr>
          <w:rFonts w:ascii="Arial" w:hAnsi="Arial" w:cs="Arial"/>
          <w:b/>
          <w:color w:val="000000" w:themeColor="text1"/>
          <w:sz w:val="22"/>
        </w:rPr>
      </w:pPr>
      <w:r w:rsidRPr="0078446D">
        <w:rPr>
          <w:rFonts w:ascii="Arial" w:hAnsi="Arial" w:cs="Arial"/>
          <w:color w:val="000000" w:themeColor="text1"/>
          <w:sz w:val="22"/>
        </w:rPr>
        <w:lastRenderedPageBreak/>
        <w:t xml:space="preserve">Bogotá D.C., </w:t>
      </w:r>
      <w:r w:rsidR="00E344D4" w:rsidRPr="00E344D4">
        <w:rPr>
          <w:rFonts w:ascii="Arial" w:hAnsi="Arial" w:cs="Arial"/>
          <w:b/>
          <w:color w:val="000000" w:themeColor="text1"/>
          <w:sz w:val="22"/>
        </w:rPr>
        <w:t>31/08/2020 Hora 19:4:47s</w:t>
      </w:r>
    </w:p>
    <w:p w14:paraId="00236CAD" w14:textId="22DAAA7A" w:rsidR="00504A12" w:rsidRDefault="00504A12" w:rsidP="00504A12">
      <w:pPr>
        <w:jc w:val="right"/>
        <w:rPr>
          <w:rFonts w:ascii="Arial" w:hAnsi="Arial" w:cs="Arial"/>
          <w:b/>
          <w:color w:val="000000" w:themeColor="text1"/>
          <w:sz w:val="22"/>
        </w:rPr>
      </w:pPr>
      <w:r w:rsidRPr="0078446D">
        <w:rPr>
          <w:rFonts w:ascii="Arial" w:hAnsi="Arial" w:cs="Arial"/>
          <w:b/>
          <w:color w:val="000000" w:themeColor="text1"/>
          <w:sz w:val="22"/>
        </w:rPr>
        <w:t>N° Radicado:</w:t>
      </w:r>
      <w:r>
        <w:rPr>
          <w:rFonts w:ascii="Arial" w:hAnsi="Arial" w:cs="Arial"/>
          <w:b/>
          <w:color w:val="000000" w:themeColor="text1"/>
          <w:sz w:val="22"/>
        </w:rPr>
        <w:t xml:space="preserve"> </w:t>
      </w:r>
      <w:r w:rsidR="00E344D4" w:rsidRPr="00E344D4">
        <w:rPr>
          <w:rFonts w:ascii="Arial" w:hAnsi="Arial" w:cs="Arial"/>
          <w:b/>
          <w:color w:val="000000" w:themeColor="text1"/>
          <w:sz w:val="22"/>
        </w:rPr>
        <w:t>2202013000008180</w:t>
      </w:r>
    </w:p>
    <w:p w14:paraId="6A0CE6BC" w14:textId="77777777" w:rsidR="00504A12" w:rsidRPr="0078446D" w:rsidRDefault="00504A12" w:rsidP="00504A12">
      <w:pPr>
        <w:jc w:val="center"/>
        <w:rPr>
          <w:rFonts w:ascii="Arial" w:hAnsi="Arial" w:cs="Arial"/>
          <w:b/>
          <w:color w:val="000000" w:themeColor="text1"/>
          <w:sz w:val="22"/>
        </w:rPr>
      </w:pPr>
    </w:p>
    <w:p w14:paraId="0BFCBBDA" w14:textId="77777777" w:rsidR="00504A12" w:rsidRPr="0078446D" w:rsidRDefault="00504A12" w:rsidP="00504A12">
      <w:pPr>
        <w:rPr>
          <w:rFonts w:ascii="Arial" w:eastAsia="Calibri" w:hAnsi="Arial" w:cs="Arial"/>
          <w:color w:val="000000" w:themeColor="text1"/>
          <w:sz w:val="22"/>
        </w:rPr>
      </w:pPr>
    </w:p>
    <w:p w14:paraId="79BF5E3A" w14:textId="77777777" w:rsidR="00504A12" w:rsidRPr="0078446D" w:rsidRDefault="00504A12" w:rsidP="00504A12">
      <w:pPr>
        <w:rPr>
          <w:rFonts w:ascii="Arial" w:eastAsia="Calibri" w:hAnsi="Arial" w:cs="Arial"/>
          <w:color w:val="000000" w:themeColor="text1"/>
          <w:sz w:val="22"/>
        </w:rPr>
      </w:pPr>
      <w:r w:rsidRPr="0078446D">
        <w:rPr>
          <w:rFonts w:ascii="Arial" w:eastAsia="Calibri" w:hAnsi="Arial" w:cs="Arial"/>
          <w:color w:val="000000" w:themeColor="text1"/>
          <w:sz w:val="22"/>
        </w:rPr>
        <w:t>Señor</w:t>
      </w:r>
    </w:p>
    <w:p w14:paraId="3D8ED493" w14:textId="77777777" w:rsidR="00504A12" w:rsidRPr="0078446D" w:rsidRDefault="00504A12" w:rsidP="00504A12">
      <w:pPr>
        <w:rPr>
          <w:rFonts w:ascii="Arial" w:eastAsia="Calibri" w:hAnsi="Arial" w:cs="Arial"/>
          <w:b/>
          <w:color w:val="000000" w:themeColor="text1"/>
          <w:sz w:val="22"/>
        </w:rPr>
      </w:pPr>
      <w:r>
        <w:rPr>
          <w:rFonts w:ascii="Arial" w:eastAsia="Calibri" w:hAnsi="Arial" w:cs="Arial"/>
          <w:b/>
          <w:color w:val="000000" w:themeColor="text1"/>
          <w:sz w:val="22"/>
        </w:rPr>
        <w:t>Jesús Pantoja Leyton</w:t>
      </w:r>
    </w:p>
    <w:p w14:paraId="2B7DEED5" w14:textId="77777777" w:rsidR="00504A12" w:rsidRPr="0078446D" w:rsidRDefault="00504A12" w:rsidP="00504A12">
      <w:pPr>
        <w:rPr>
          <w:rFonts w:ascii="Arial" w:eastAsia="Calibri" w:hAnsi="Arial" w:cs="Arial"/>
          <w:color w:val="000000" w:themeColor="text1"/>
          <w:sz w:val="22"/>
        </w:rPr>
      </w:pPr>
    </w:p>
    <w:p w14:paraId="19403CA5" w14:textId="77777777" w:rsidR="00504A12" w:rsidRPr="0078446D" w:rsidRDefault="00504A12" w:rsidP="00504A12">
      <w:pPr>
        <w:rPr>
          <w:rFonts w:ascii="Arial" w:eastAsia="Calibri" w:hAnsi="Arial" w:cs="Arial"/>
          <w:color w:val="000000" w:themeColor="text1"/>
          <w:sz w:val="22"/>
        </w:rPr>
      </w:pPr>
    </w:p>
    <w:p w14:paraId="5063428F" w14:textId="56062F59" w:rsidR="00504A12" w:rsidRPr="00193AB9" w:rsidRDefault="00504A12" w:rsidP="00504A12">
      <w:pPr>
        <w:jc w:val="center"/>
        <w:rPr>
          <w:rFonts w:ascii="Arial" w:eastAsia="Calibri" w:hAnsi="Arial" w:cs="Arial"/>
          <w:b/>
          <w:bCs/>
          <w:color w:val="000000" w:themeColor="text1"/>
          <w:sz w:val="22"/>
        </w:rPr>
      </w:pPr>
      <w:r w:rsidRPr="00193AB9">
        <w:rPr>
          <w:rFonts w:ascii="Arial" w:eastAsia="Calibri" w:hAnsi="Arial" w:cs="Arial"/>
          <w:b/>
          <w:bCs/>
          <w:color w:val="000000" w:themeColor="text1"/>
          <w:sz w:val="22"/>
        </w:rPr>
        <w:t>Concepto C‒ 5</w:t>
      </w:r>
      <w:r w:rsidR="00193AB9" w:rsidRPr="00193AB9">
        <w:rPr>
          <w:rFonts w:ascii="Arial" w:eastAsia="Calibri" w:hAnsi="Arial" w:cs="Arial"/>
          <w:b/>
          <w:bCs/>
          <w:color w:val="000000" w:themeColor="text1"/>
          <w:sz w:val="22"/>
        </w:rPr>
        <w:t>87</w:t>
      </w:r>
      <w:r w:rsidRPr="00193AB9">
        <w:rPr>
          <w:rFonts w:ascii="Arial" w:eastAsia="Calibri" w:hAnsi="Arial" w:cs="Arial"/>
          <w:b/>
          <w:bCs/>
          <w:color w:val="000000" w:themeColor="text1"/>
          <w:sz w:val="22"/>
        </w:rPr>
        <w:t xml:space="preserve"> de 2020</w:t>
      </w:r>
    </w:p>
    <w:p w14:paraId="0AFD3FC5" w14:textId="77777777" w:rsidR="00504A12" w:rsidRPr="00193AB9" w:rsidRDefault="00504A12" w:rsidP="00504A12">
      <w:pPr>
        <w:rPr>
          <w:rFonts w:ascii="Arial" w:eastAsia="Calibri" w:hAnsi="Arial" w:cs="Arial"/>
          <w:color w:val="000000" w:themeColor="text1"/>
          <w:sz w:val="22"/>
        </w:rPr>
      </w:pPr>
    </w:p>
    <w:p w14:paraId="3084178C" w14:textId="77777777" w:rsidR="00504A12" w:rsidRPr="00193AB9" w:rsidRDefault="00504A12" w:rsidP="00504A1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04A12" w:rsidRPr="0078446D" w14:paraId="59D893A6" w14:textId="77777777" w:rsidTr="00AC3ED6">
        <w:tc>
          <w:tcPr>
            <w:tcW w:w="2689" w:type="dxa"/>
          </w:tcPr>
          <w:p w14:paraId="56882B6D" w14:textId="77777777" w:rsidR="00504A12" w:rsidRPr="00193AB9" w:rsidRDefault="00504A12" w:rsidP="00AC3ED6">
            <w:pPr>
              <w:rPr>
                <w:rFonts w:ascii="Arial" w:eastAsia="Calibri" w:hAnsi="Arial" w:cs="Arial"/>
                <w:color w:val="000000" w:themeColor="text1"/>
                <w:sz w:val="22"/>
              </w:rPr>
            </w:pPr>
            <w:r w:rsidRPr="00193AB9">
              <w:rPr>
                <w:rFonts w:ascii="Arial" w:eastAsia="Calibri" w:hAnsi="Arial" w:cs="Arial"/>
                <w:b/>
                <w:color w:val="000000" w:themeColor="text1"/>
                <w:sz w:val="22"/>
              </w:rPr>
              <w:t>Temas:</w:t>
            </w:r>
            <w:r w:rsidRPr="00193AB9">
              <w:rPr>
                <w:rFonts w:ascii="Arial" w:eastAsia="Calibri" w:hAnsi="Arial" w:cs="Arial"/>
                <w:color w:val="000000" w:themeColor="text1"/>
                <w:sz w:val="22"/>
              </w:rPr>
              <w:t xml:space="preserve">                                      </w:t>
            </w:r>
          </w:p>
        </w:tc>
        <w:tc>
          <w:tcPr>
            <w:tcW w:w="6237" w:type="dxa"/>
          </w:tcPr>
          <w:p w14:paraId="40F6DF12" w14:textId="77777777" w:rsidR="00504A12" w:rsidRPr="0078446D" w:rsidRDefault="00504A12" w:rsidP="00AC3ED6">
            <w:pPr>
              <w:jc w:val="both"/>
              <w:rPr>
                <w:rFonts w:ascii="Arial" w:eastAsia="Calibri" w:hAnsi="Arial" w:cs="Arial"/>
                <w:color w:val="000000" w:themeColor="text1"/>
                <w:sz w:val="22"/>
              </w:rPr>
            </w:pPr>
            <w:r w:rsidRPr="00193AB9">
              <w:rPr>
                <w:rFonts w:ascii="Arial" w:eastAsia="Calibri" w:hAnsi="Arial" w:cs="Arial"/>
                <w:color w:val="000000" w:themeColor="text1"/>
                <w:sz w:val="22"/>
              </w:rPr>
              <w:t>SELECCIÓN OBJETIVA ― Noción y factores de escogencia / REQUISITOS HABILITANTES DE LA LEY 1150 DE 2007 ― Carácter enunciativo / CERTIFICACIONES DE SISTEMAS DE GESTIÓN DE CALIDAD – No se pueden exigir como requisito habilitante o puntuable</w:t>
            </w:r>
          </w:p>
        </w:tc>
      </w:tr>
      <w:tr w:rsidR="00504A12" w:rsidRPr="0078446D" w14:paraId="3C5CAC0E" w14:textId="77777777" w:rsidTr="00AC3ED6">
        <w:tc>
          <w:tcPr>
            <w:tcW w:w="2689" w:type="dxa"/>
          </w:tcPr>
          <w:p w14:paraId="64A52689" w14:textId="77777777" w:rsidR="00504A12" w:rsidRPr="0078446D" w:rsidRDefault="00504A12" w:rsidP="00AC3ED6">
            <w:pPr>
              <w:spacing w:before="120"/>
              <w:rPr>
                <w:rFonts w:ascii="Arial" w:eastAsia="Calibri" w:hAnsi="Arial" w:cs="Arial"/>
                <w:b/>
                <w:color w:val="000000" w:themeColor="text1"/>
                <w:sz w:val="22"/>
              </w:rPr>
            </w:pPr>
            <w:r w:rsidRPr="0078446D">
              <w:rPr>
                <w:rFonts w:ascii="Arial" w:eastAsia="Calibri" w:hAnsi="Arial" w:cs="Arial"/>
                <w:b/>
                <w:color w:val="000000" w:themeColor="text1"/>
                <w:sz w:val="22"/>
              </w:rPr>
              <w:t>Radicación:</w:t>
            </w:r>
            <w:r w:rsidRPr="0078446D">
              <w:rPr>
                <w:rFonts w:ascii="Arial" w:eastAsia="Calibri" w:hAnsi="Arial" w:cs="Arial"/>
                <w:color w:val="000000" w:themeColor="text1"/>
                <w:sz w:val="22"/>
              </w:rPr>
              <w:t xml:space="preserve">                              </w:t>
            </w:r>
          </w:p>
        </w:tc>
        <w:tc>
          <w:tcPr>
            <w:tcW w:w="6237" w:type="dxa"/>
          </w:tcPr>
          <w:p w14:paraId="2EC450CE" w14:textId="77777777" w:rsidR="00504A12" w:rsidRPr="0078446D" w:rsidRDefault="00504A12" w:rsidP="00AC3ED6">
            <w:pPr>
              <w:spacing w:before="120"/>
              <w:jc w:val="both"/>
              <w:rPr>
                <w:rFonts w:ascii="Arial" w:eastAsia="Calibri" w:hAnsi="Arial" w:cs="Arial"/>
                <w:color w:val="000000" w:themeColor="text1"/>
                <w:sz w:val="22"/>
              </w:rPr>
            </w:pPr>
            <w:r w:rsidRPr="0078446D">
              <w:rPr>
                <w:rFonts w:ascii="Arial" w:eastAsia="Calibri" w:hAnsi="Arial" w:cs="Arial"/>
                <w:color w:val="000000" w:themeColor="text1"/>
                <w:sz w:val="22"/>
              </w:rPr>
              <w:t>Respuesta consulta # 420201</w:t>
            </w:r>
            <w:r>
              <w:rPr>
                <w:rFonts w:ascii="Arial" w:eastAsia="Calibri" w:hAnsi="Arial" w:cs="Arial"/>
                <w:color w:val="000000" w:themeColor="text1"/>
                <w:sz w:val="22"/>
              </w:rPr>
              <w:t>3</w:t>
            </w:r>
            <w:r w:rsidRPr="0078446D">
              <w:rPr>
                <w:rFonts w:ascii="Arial" w:eastAsia="Calibri" w:hAnsi="Arial" w:cs="Arial"/>
                <w:color w:val="000000" w:themeColor="text1"/>
                <w:sz w:val="22"/>
              </w:rPr>
              <w:t>000000</w:t>
            </w:r>
            <w:r>
              <w:rPr>
                <w:rFonts w:ascii="Arial" w:eastAsia="Calibri" w:hAnsi="Arial" w:cs="Arial"/>
                <w:color w:val="000000" w:themeColor="text1"/>
                <w:sz w:val="22"/>
              </w:rPr>
              <w:t>7469</w:t>
            </w:r>
          </w:p>
        </w:tc>
      </w:tr>
    </w:tbl>
    <w:p w14:paraId="4A4157EC" w14:textId="77777777" w:rsidR="00504A12" w:rsidRPr="0078446D" w:rsidRDefault="00504A12" w:rsidP="00504A12">
      <w:pPr>
        <w:jc w:val="both"/>
        <w:rPr>
          <w:rFonts w:ascii="Arial" w:eastAsia="Calibri" w:hAnsi="Arial" w:cs="Arial"/>
          <w:b/>
          <w:bCs/>
          <w:color w:val="000000" w:themeColor="text1"/>
          <w:sz w:val="20"/>
          <w:szCs w:val="20"/>
        </w:rPr>
      </w:pPr>
    </w:p>
    <w:p w14:paraId="47D6D379" w14:textId="77777777" w:rsidR="00504A12" w:rsidRPr="0078446D" w:rsidRDefault="00504A12" w:rsidP="00504A12">
      <w:pPr>
        <w:jc w:val="both"/>
        <w:rPr>
          <w:rFonts w:ascii="Arial" w:eastAsia="Calibri" w:hAnsi="Arial" w:cs="Arial"/>
          <w:color w:val="000000" w:themeColor="text1"/>
          <w:sz w:val="22"/>
        </w:rPr>
      </w:pPr>
    </w:p>
    <w:p w14:paraId="177BA186" w14:textId="77777777" w:rsidR="00504A12" w:rsidRPr="0078446D" w:rsidRDefault="00504A12" w:rsidP="00504A12">
      <w:pPr>
        <w:rPr>
          <w:rFonts w:ascii="Arial" w:eastAsia="Calibri" w:hAnsi="Arial" w:cs="Arial"/>
          <w:color w:val="000000" w:themeColor="text1"/>
          <w:sz w:val="22"/>
        </w:rPr>
      </w:pPr>
      <w:r w:rsidRPr="0078446D">
        <w:rPr>
          <w:rFonts w:ascii="Arial" w:eastAsia="Calibri" w:hAnsi="Arial" w:cs="Arial"/>
          <w:color w:val="000000" w:themeColor="text1"/>
          <w:sz w:val="22"/>
        </w:rPr>
        <w:t xml:space="preserve">Estimado </w:t>
      </w:r>
      <w:r>
        <w:rPr>
          <w:rFonts w:ascii="Arial" w:eastAsia="Calibri" w:hAnsi="Arial" w:cs="Arial"/>
          <w:color w:val="000000" w:themeColor="text1"/>
          <w:sz w:val="22"/>
        </w:rPr>
        <w:t>señor Pantoja Leyton</w:t>
      </w:r>
      <w:r w:rsidRPr="0078446D">
        <w:rPr>
          <w:rFonts w:ascii="Arial" w:eastAsia="Calibri" w:hAnsi="Arial" w:cs="Arial"/>
          <w:color w:val="000000" w:themeColor="text1"/>
          <w:sz w:val="22"/>
        </w:rPr>
        <w:t>:</w:t>
      </w:r>
    </w:p>
    <w:p w14:paraId="7CF05FFA" w14:textId="77777777" w:rsidR="00504A12" w:rsidRPr="0078446D" w:rsidRDefault="00504A12" w:rsidP="00504A12">
      <w:pPr>
        <w:rPr>
          <w:rFonts w:ascii="Arial" w:eastAsia="Calibri" w:hAnsi="Arial" w:cs="Arial"/>
          <w:color w:val="000000" w:themeColor="text1"/>
          <w:sz w:val="22"/>
        </w:rPr>
      </w:pPr>
    </w:p>
    <w:p w14:paraId="2C9EF2E8" w14:textId="77777777" w:rsidR="00504A12" w:rsidRPr="0078446D" w:rsidRDefault="00504A12" w:rsidP="00504A12">
      <w:pPr>
        <w:spacing w:line="276" w:lineRule="auto"/>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w:t>
      </w:r>
      <w:r>
        <w:rPr>
          <w:rFonts w:ascii="Arial" w:eastAsia="Calibri" w:hAnsi="Arial" w:cs="Arial"/>
          <w:color w:val="000000" w:themeColor="text1"/>
          <w:sz w:val="22"/>
        </w:rPr>
        <w:t xml:space="preserve">del 27 de agosto </w:t>
      </w:r>
      <w:r w:rsidRPr="0078446D">
        <w:rPr>
          <w:rFonts w:ascii="Arial" w:eastAsia="Calibri" w:hAnsi="Arial" w:cs="Arial"/>
          <w:color w:val="000000" w:themeColor="text1"/>
          <w:sz w:val="22"/>
        </w:rPr>
        <w:t>de</w:t>
      </w:r>
      <w:r>
        <w:rPr>
          <w:rFonts w:ascii="Arial" w:eastAsia="Calibri" w:hAnsi="Arial" w:cs="Arial"/>
          <w:color w:val="000000" w:themeColor="text1"/>
          <w:sz w:val="22"/>
        </w:rPr>
        <w:t>l año</w:t>
      </w:r>
      <w:r w:rsidRPr="0078446D">
        <w:rPr>
          <w:rFonts w:ascii="Arial" w:eastAsia="Calibri" w:hAnsi="Arial" w:cs="Arial"/>
          <w:color w:val="000000" w:themeColor="text1"/>
          <w:sz w:val="22"/>
        </w:rPr>
        <w:t xml:space="preserve"> 2020. </w:t>
      </w:r>
    </w:p>
    <w:p w14:paraId="68D97623" w14:textId="77777777" w:rsidR="00504A12" w:rsidRPr="0078446D" w:rsidRDefault="00504A12" w:rsidP="00504A12">
      <w:pPr>
        <w:spacing w:line="276" w:lineRule="auto"/>
        <w:jc w:val="both"/>
        <w:rPr>
          <w:rFonts w:ascii="Arial" w:eastAsia="Calibri" w:hAnsi="Arial" w:cs="Arial"/>
          <w:b/>
          <w:color w:val="000000" w:themeColor="text1"/>
          <w:sz w:val="22"/>
        </w:rPr>
      </w:pPr>
    </w:p>
    <w:p w14:paraId="7995FDF8" w14:textId="77777777" w:rsidR="00504A12" w:rsidRPr="0078446D" w:rsidRDefault="00504A12" w:rsidP="00504A1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78446D">
        <w:rPr>
          <w:rFonts w:ascii="Arial" w:eastAsia="Calibri" w:hAnsi="Arial" w:cs="Arial"/>
          <w:b/>
          <w:color w:val="000000" w:themeColor="text1"/>
          <w:sz w:val="22"/>
        </w:rPr>
        <w:t xml:space="preserve">Problema planteado </w:t>
      </w:r>
    </w:p>
    <w:p w14:paraId="0A3D0A75" w14:textId="77777777" w:rsidR="00504A12" w:rsidRPr="0078446D" w:rsidRDefault="00504A12" w:rsidP="00504A12">
      <w:pPr>
        <w:tabs>
          <w:tab w:val="left" w:pos="426"/>
        </w:tabs>
        <w:spacing w:line="276" w:lineRule="auto"/>
        <w:jc w:val="both"/>
        <w:rPr>
          <w:rFonts w:ascii="Arial" w:eastAsia="Calibri" w:hAnsi="Arial" w:cs="Arial"/>
          <w:b/>
          <w:color w:val="000000" w:themeColor="text1"/>
          <w:sz w:val="22"/>
        </w:rPr>
      </w:pPr>
    </w:p>
    <w:p w14:paraId="62C6EB9D" w14:textId="77777777" w:rsidR="00504A12" w:rsidRPr="00D75FFD" w:rsidRDefault="00504A12" w:rsidP="00504A12">
      <w:pPr>
        <w:spacing w:line="276" w:lineRule="auto"/>
        <w:jc w:val="both"/>
        <w:rPr>
          <w:rFonts w:ascii="Arial" w:hAnsi="Arial" w:cs="Arial"/>
          <w:color w:val="000000" w:themeColor="text1"/>
          <w:sz w:val="22"/>
        </w:rPr>
      </w:pPr>
      <w:r w:rsidRPr="0078446D">
        <w:rPr>
          <w:rFonts w:ascii="Arial" w:hAnsi="Arial" w:cs="Arial"/>
          <w:color w:val="000000" w:themeColor="text1"/>
          <w:sz w:val="22"/>
        </w:rPr>
        <w:t>Usted</w:t>
      </w:r>
      <w:r>
        <w:rPr>
          <w:rFonts w:ascii="Arial" w:hAnsi="Arial" w:cs="Arial"/>
          <w:color w:val="000000" w:themeColor="text1"/>
          <w:sz w:val="22"/>
        </w:rPr>
        <w:t xml:space="preserve"> pone de </w:t>
      </w:r>
      <w:r w:rsidRPr="00F828C7">
        <w:rPr>
          <w:rFonts w:ascii="Arial" w:hAnsi="Arial" w:cs="Arial"/>
          <w:color w:val="000000" w:themeColor="text1"/>
          <w:sz w:val="22"/>
        </w:rPr>
        <w:t>presente que «</w:t>
      </w:r>
      <w:r w:rsidRPr="00F828C7">
        <w:rPr>
          <w:rFonts w:ascii="Arial" w:hAnsi="Arial" w:cs="Arial"/>
          <w:sz w:val="22"/>
        </w:rPr>
        <w:t>e</w:t>
      </w:r>
      <w:r w:rsidRPr="00F828C7">
        <w:rPr>
          <w:rFonts w:ascii="Arial" w:hAnsi="Arial" w:cs="Arial"/>
          <w:color w:val="000000" w:themeColor="text1"/>
          <w:sz w:val="22"/>
        </w:rPr>
        <w:t>l parágrafo 2 del artículo 5 de la ley 1150 de 2007 la norma establece que “Las certificaciones de sistemas de gestión de calidad no serán objeto de calificación, ni podrán establecerse como documento habilitante para participar en licitaciones o concursos</w:t>
      </w:r>
      <w:r>
        <w:rPr>
          <w:rFonts w:ascii="Arial" w:hAnsi="Arial" w:cs="Arial"/>
          <w:color w:val="000000" w:themeColor="text1"/>
          <w:sz w:val="22"/>
        </w:rPr>
        <w:t>”»</w:t>
      </w:r>
      <w:r w:rsidRPr="00F828C7">
        <w:rPr>
          <w:rFonts w:ascii="Arial" w:hAnsi="Arial" w:cs="Arial"/>
          <w:color w:val="000000" w:themeColor="text1"/>
          <w:sz w:val="22"/>
        </w:rPr>
        <w:t xml:space="preserve">. Teniendo en cuenta esto, realiza la siguiente pregunta: «¿se puede establecer en los pliegos de condiciones como requisito que otorga puntaje las normas </w:t>
      </w:r>
      <w:r w:rsidRPr="00D75FFD">
        <w:rPr>
          <w:rFonts w:ascii="Arial" w:hAnsi="Arial" w:cs="Arial"/>
          <w:color w:val="000000" w:themeColor="text1"/>
          <w:sz w:val="22"/>
        </w:rPr>
        <w:t>ISO 14001 y/o la norma ISO 45001, que corresponden a los sistemas de gestión del medio ambiente y de seguridad y salud en el trabajo respectivamente??».</w:t>
      </w:r>
    </w:p>
    <w:p w14:paraId="0449E052" w14:textId="77777777" w:rsidR="00504A12" w:rsidRPr="00D75FFD" w:rsidRDefault="00504A12" w:rsidP="00504A12">
      <w:pPr>
        <w:tabs>
          <w:tab w:val="left" w:pos="426"/>
        </w:tabs>
        <w:spacing w:line="276" w:lineRule="auto"/>
        <w:jc w:val="both"/>
        <w:rPr>
          <w:rFonts w:ascii="Arial" w:eastAsia="Calibri" w:hAnsi="Arial" w:cs="Arial"/>
          <w:color w:val="000000" w:themeColor="text1"/>
          <w:sz w:val="22"/>
        </w:rPr>
      </w:pPr>
    </w:p>
    <w:p w14:paraId="212F6E0D" w14:textId="77777777" w:rsidR="00504A12" w:rsidRPr="00D75FFD" w:rsidRDefault="00504A12" w:rsidP="00504A12">
      <w:pPr>
        <w:pStyle w:val="Prrafodelista"/>
        <w:numPr>
          <w:ilvl w:val="0"/>
          <w:numId w:val="8"/>
        </w:numPr>
        <w:tabs>
          <w:tab w:val="left" w:pos="0"/>
          <w:tab w:val="left" w:pos="284"/>
        </w:tabs>
        <w:ind w:left="0" w:firstLine="0"/>
        <w:rPr>
          <w:rFonts w:ascii="Arial" w:eastAsia="Calibri" w:hAnsi="Arial" w:cs="Arial"/>
          <w:b/>
          <w:color w:val="000000" w:themeColor="text1"/>
          <w:sz w:val="22"/>
        </w:rPr>
      </w:pPr>
      <w:r w:rsidRPr="00D75FFD">
        <w:rPr>
          <w:rFonts w:ascii="Arial" w:eastAsia="Calibri" w:hAnsi="Arial" w:cs="Arial"/>
          <w:b/>
          <w:color w:val="000000" w:themeColor="text1"/>
          <w:sz w:val="22"/>
        </w:rPr>
        <w:t>Consideraciones</w:t>
      </w:r>
    </w:p>
    <w:p w14:paraId="339DAE68" w14:textId="77777777" w:rsidR="00504A12" w:rsidRPr="00D75FFD" w:rsidRDefault="00504A12" w:rsidP="00504A12">
      <w:pPr>
        <w:spacing w:line="276" w:lineRule="auto"/>
        <w:jc w:val="both"/>
        <w:rPr>
          <w:rFonts w:ascii="Arial" w:eastAsia="Calibri" w:hAnsi="Arial" w:cs="Arial"/>
          <w:color w:val="000000" w:themeColor="text1"/>
          <w:sz w:val="20"/>
          <w:szCs w:val="20"/>
        </w:rPr>
      </w:pPr>
    </w:p>
    <w:p w14:paraId="4338A2C6" w14:textId="30DA4C02" w:rsidR="00504A12" w:rsidRPr="00D933AB" w:rsidRDefault="00504A12" w:rsidP="00504A12">
      <w:pPr>
        <w:spacing w:before="120" w:line="276" w:lineRule="auto"/>
        <w:jc w:val="both"/>
        <w:rPr>
          <w:rFonts w:ascii="Arial" w:eastAsia="Calibri" w:hAnsi="Arial" w:cs="Arial"/>
          <w:color w:val="000000" w:themeColor="text1"/>
          <w:sz w:val="22"/>
        </w:rPr>
      </w:pPr>
      <w:r w:rsidRPr="00D75FFD">
        <w:rPr>
          <w:rFonts w:ascii="Arial" w:eastAsia="Calibri" w:hAnsi="Arial" w:cs="Arial"/>
          <w:color w:val="000000" w:themeColor="text1"/>
          <w:sz w:val="22"/>
        </w:rPr>
        <w:t>La Agencia Nacional de Contratación Pública ― Colombia Compra Eficiente, en los conceptos del 8 de julio, 13 y 29 de agosto, 25 de septiembre, 15 de noviembre y 16 de diciembre de 2019 –radicados Nos</w:t>
      </w:r>
      <w:r w:rsidRPr="0078446D">
        <w:rPr>
          <w:rFonts w:ascii="Arial" w:eastAsia="Calibri" w:hAnsi="Arial" w:cs="Arial"/>
          <w:color w:val="000000" w:themeColor="text1"/>
          <w:sz w:val="22"/>
        </w:rPr>
        <w:t xml:space="preserve">. 2201913000004727, 2201913000005855, 2201913000006343, 2201913000007131, 2201913000008520 y 2201913000009295–, analizó </w:t>
      </w:r>
      <w:r>
        <w:rPr>
          <w:rFonts w:ascii="Arial" w:eastAsia="Calibri" w:hAnsi="Arial" w:cs="Arial"/>
          <w:color w:val="000000" w:themeColor="text1"/>
          <w:sz w:val="22"/>
        </w:rPr>
        <w:t>el alcance del artículo 5, parágrafo 2, de la Ley 1150 de 2007</w:t>
      </w:r>
      <w:r w:rsidRPr="0078446D">
        <w:rPr>
          <w:rFonts w:ascii="Arial" w:eastAsia="Calibri" w:hAnsi="Arial" w:cs="Arial"/>
          <w:color w:val="000000" w:themeColor="text1"/>
          <w:sz w:val="22"/>
        </w:rPr>
        <w:t xml:space="preserve">. Igualmente, mediante </w:t>
      </w:r>
      <w:r>
        <w:rPr>
          <w:rFonts w:ascii="Arial" w:eastAsia="Calibri" w:hAnsi="Arial" w:cs="Arial"/>
          <w:color w:val="000000" w:themeColor="text1"/>
          <w:sz w:val="22"/>
        </w:rPr>
        <w:t>el concepto C-166 de 2020</w:t>
      </w:r>
      <w:r w:rsidRPr="0078446D">
        <w:rPr>
          <w:rFonts w:ascii="Arial" w:eastAsia="Calibri" w:hAnsi="Arial" w:cs="Arial"/>
          <w:color w:val="000000" w:themeColor="text1"/>
          <w:sz w:val="22"/>
        </w:rPr>
        <w:t xml:space="preserve">, esta Agencia se pronunció en relación con </w:t>
      </w:r>
      <w:r>
        <w:rPr>
          <w:rFonts w:ascii="Arial" w:eastAsia="Calibri" w:hAnsi="Arial" w:cs="Arial"/>
          <w:color w:val="000000" w:themeColor="text1"/>
          <w:sz w:val="22"/>
        </w:rPr>
        <w:t xml:space="preserve">la posibilidad de </w:t>
      </w:r>
      <w:r>
        <w:rPr>
          <w:rFonts w:ascii="Arial" w:eastAsia="Calibri" w:hAnsi="Arial" w:cs="Arial"/>
          <w:color w:val="000000" w:themeColor="text1"/>
          <w:sz w:val="22"/>
        </w:rPr>
        <w:lastRenderedPageBreak/>
        <w:t xml:space="preserve">exigir certificaciones de </w:t>
      </w:r>
      <w:r w:rsidR="00254EEB">
        <w:rPr>
          <w:rFonts w:ascii="Arial" w:eastAsia="Calibri" w:hAnsi="Arial" w:cs="Arial"/>
          <w:color w:val="000000" w:themeColor="text1"/>
          <w:sz w:val="22"/>
        </w:rPr>
        <w:t xml:space="preserve">gestión de </w:t>
      </w:r>
      <w:r>
        <w:rPr>
          <w:rFonts w:ascii="Arial" w:eastAsia="Calibri" w:hAnsi="Arial" w:cs="Arial"/>
          <w:color w:val="000000" w:themeColor="text1"/>
          <w:sz w:val="22"/>
        </w:rPr>
        <w:t>calidad como requisito habilitante o como requisito ponderable</w:t>
      </w:r>
      <w:r w:rsidRPr="0078446D">
        <w:rPr>
          <w:rFonts w:ascii="Arial" w:eastAsia="Calibri" w:hAnsi="Arial" w:cs="Arial"/>
          <w:color w:val="000000" w:themeColor="text1"/>
          <w:sz w:val="22"/>
        </w:rPr>
        <w:t xml:space="preserve">. </w:t>
      </w:r>
      <w:r w:rsidRPr="0078446D">
        <w:rPr>
          <w:rFonts w:ascii="Arial" w:hAnsi="Arial" w:cs="Arial"/>
          <w:color w:val="000000" w:themeColor="text1"/>
          <w:sz w:val="22"/>
          <w:lang w:val="es-ES"/>
        </w:rPr>
        <w:t>Las tesis propuestas se exponen a continuación.</w:t>
      </w:r>
    </w:p>
    <w:p w14:paraId="6EC95B58" w14:textId="03B2D8B0" w:rsidR="00504A12" w:rsidRPr="0078446D" w:rsidRDefault="00504A12" w:rsidP="00504A12">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w:t>
      </w:r>
    </w:p>
    <w:p w14:paraId="3DC241DE" w14:textId="77777777" w:rsidR="00504A12" w:rsidRPr="0078446D" w:rsidRDefault="00504A12" w:rsidP="00504A12">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Específicamente, el numeral 1º de la disposición </w:t>
      </w:r>
      <w:r>
        <w:rPr>
          <w:rFonts w:ascii="Arial" w:eastAsia="Calibri" w:hAnsi="Arial" w:cs="Arial"/>
          <w:color w:val="000000" w:themeColor="text1"/>
          <w:sz w:val="22"/>
        </w:rPr>
        <w:t>referida</w:t>
      </w:r>
      <w:r w:rsidRPr="0078446D">
        <w:rPr>
          <w:rFonts w:ascii="Arial" w:eastAsia="Calibri" w:hAnsi="Arial" w:cs="Arial"/>
          <w:color w:val="000000" w:themeColor="text1"/>
          <w:sz w:val="22"/>
        </w:rPr>
        <w:t xml:space="preserve"> establece que en los procesos de selección de contratistas serán objeto de verificación, como requisitos habilitantes, los siguientes: i) la capacidad jurídica; ii) la experiencia; iii) la capacidad financiera y iv) la capacidad de organización. En efecto, la normativa </w:t>
      </w:r>
      <w:r>
        <w:rPr>
          <w:rFonts w:ascii="Arial" w:eastAsia="Calibri" w:hAnsi="Arial" w:cs="Arial"/>
          <w:i/>
          <w:iCs/>
          <w:color w:val="000000" w:themeColor="text1"/>
          <w:sz w:val="22"/>
        </w:rPr>
        <w:t>sub lite</w:t>
      </w:r>
      <w:r w:rsidRPr="0078446D">
        <w:rPr>
          <w:rFonts w:ascii="Arial" w:eastAsia="Calibri" w:hAnsi="Arial" w:cs="Arial"/>
          <w:color w:val="000000" w:themeColor="text1"/>
          <w:sz w:val="22"/>
        </w:rPr>
        <w:t xml:space="preserve"> </w:t>
      </w:r>
      <w:r>
        <w:rPr>
          <w:rFonts w:ascii="Arial" w:eastAsia="Calibri" w:hAnsi="Arial" w:cs="Arial"/>
          <w:color w:val="000000" w:themeColor="text1"/>
          <w:sz w:val="22"/>
        </w:rPr>
        <w:t>dispone</w:t>
      </w:r>
      <w:r w:rsidRPr="0078446D">
        <w:rPr>
          <w:rFonts w:ascii="Arial" w:eastAsia="Calibri" w:hAnsi="Arial" w:cs="Arial"/>
          <w:color w:val="000000" w:themeColor="text1"/>
          <w:sz w:val="22"/>
        </w:rPr>
        <w:t xml:space="preserve">: </w:t>
      </w:r>
    </w:p>
    <w:p w14:paraId="6065C813" w14:textId="77777777" w:rsidR="00504A12" w:rsidRPr="0078446D" w:rsidRDefault="00504A12" w:rsidP="00504A12">
      <w:pPr>
        <w:jc w:val="both"/>
        <w:rPr>
          <w:rFonts w:ascii="Arial" w:eastAsia="Calibri" w:hAnsi="Arial" w:cs="Arial"/>
          <w:color w:val="000000" w:themeColor="text1"/>
          <w:sz w:val="22"/>
        </w:rPr>
      </w:pPr>
    </w:p>
    <w:p w14:paraId="3BB9665B" w14:textId="77777777" w:rsidR="00504A12" w:rsidRPr="0078446D" w:rsidRDefault="00504A12" w:rsidP="00504A12">
      <w:pPr>
        <w:ind w:left="709" w:right="709"/>
        <w:jc w:val="both"/>
        <w:rPr>
          <w:rFonts w:ascii="Arial" w:eastAsia="Calibri" w:hAnsi="Arial" w:cs="Arial"/>
          <w:color w:val="000000" w:themeColor="text1"/>
          <w:sz w:val="21"/>
          <w:szCs w:val="21"/>
        </w:rPr>
      </w:pPr>
      <w:r w:rsidRPr="0078446D">
        <w:rPr>
          <w:rFonts w:ascii="Arial" w:eastAsia="Calibri" w:hAnsi="Arial" w:cs="Arial"/>
          <w:color w:val="000000" w:themeColor="text1"/>
          <w:sz w:val="21"/>
          <w:szCs w:val="21"/>
        </w:rPr>
        <w:t xml:space="preserve">Artículo 5. De la Selección Objetiva. </w:t>
      </w:r>
    </w:p>
    <w:p w14:paraId="529888A6" w14:textId="77777777" w:rsidR="00504A12" w:rsidRPr="0078446D" w:rsidRDefault="00504A12" w:rsidP="00504A12">
      <w:pPr>
        <w:ind w:left="709" w:right="709"/>
        <w:jc w:val="both"/>
        <w:rPr>
          <w:rFonts w:ascii="Arial" w:eastAsia="Calibri" w:hAnsi="Arial" w:cs="Arial"/>
          <w:color w:val="000000" w:themeColor="text1"/>
          <w:sz w:val="21"/>
          <w:szCs w:val="21"/>
        </w:rPr>
      </w:pPr>
      <w:r w:rsidRPr="0078446D">
        <w:rPr>
          <w:rFonts w:ascii="Arial" w:eastAsia="Calibri" w:hAnsi="Arial" w:cs="Arial"/>
          <w:color w:val="000000" w:themeColor="text1"/>
          <w:sz w:val="21"/>
          <w:szCs w:val="21"/>
        </w:rPr>
        <w:t>[…]</w:t>
      </w:r>
    </w:p>
    <w:p w14:paraId="40BF2F1B" w14:textId="77777777" w:rsidR="00504A12" w:rsidRPr="0078446D" w:rsidRDefault="00504A12" w:rsidP="00504A12">
      <w:pPr>
        <w:ind w:left="709" w:right="709"/>
        <w:jc w:val="both"/>
        <w:rPr>
          <w:rFonts w:ascii="Arial" w:eastAsia="Calibri" w:hAnsi="Arial" w:cs="Arial"/>
          <w:color w:val="000000" w:themeColor="text1"/>
          <w:sz w:val="21"/>
          <w:szCs w:val="21"/>
        </w:rPr>
      </w:pPr>
    </w:p>
    <w:p w14:paraId="017F00BE" w14:textId="77777777" w:rsidR="00504A12" w:rsidRPr="0078446D" w:rsidRDefault="00504A12" w:rsidP="00504A12">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1. </w:t>
      </w:r>
      <w:r w:rsidRPr="0078446D">
        <w:rPr>
          <w:rFonts w:ascii="Arial" w:eastAsia="Calibri" w:hAnsi="Arial" w:cs="Arial"/>
          <w:color w:val="000000" w:themeColor="text1"/>
          <w:sz w:val="21"/>
          <w:szCs w:val="21"/>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004C3C03" w14:textId="77777777" w:rsidR="00504A12" w:rsidRPr="0078446D" w:rsidRDefault="00504A12" w:rsidP="00504A12">
      <w:pPr>
        <w:spacing w:line="276" w:lineRule="auto"/>
        <w:jc w:val="both"/>
        <w:rPr>
          <w:rFonts w:ascii="Arial" w:eastAsia="Calibri" w:hAnsi="Arial" w:cs="Arial"/>
          <w:color w:val="000000" w:themeColor="text1"/>
          <w:sz w:val="22"/>
        </w:rPr>
      </w:pPr>
    </w:p>
    <w:p w14:paraId="07A70168" w14:textId="77777777" w:rsidR="00504A12" w:rsidRDefault="00504A12" w:rsidP="00504A12">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A continuación, se explicará el alcance de los requisitos habilitantes </w:t>
      </w:r>
      <w:r>
        <w:rPr>
          <w:rFonts w:ascii="Arial" w:eastAsia="Calibri" w:hAnsi="Arial" w:cs="Arial"/>
          <w:color w:val="000000" w:themeColor="text1"/>
          <w:sz w:val="22"/>
        </w:rPr>
        <w:t>previamente</w:t>
      </w:r>
      <w:r w:rsidRPr="0078446D">
        <w:rPr>
          <w:rFonts w:ascii="Arial" w:eastAsia="Calibri" w:hAnsi="Arial" w:cs="Arial"/>
          <w:color w:val="000000" w:themeColor="text1"/>
          <w:sz w:val="22"/>
        </w:rPr>
        <w:t xml:space="preserve"> referidos. </w:t>
      </w:r>
    </w:p>
    <w:p w14:paraId="2CEDA83E" w14:textId="77777777" w:rsidR="00504A12" w:rsidRDefault="00504A12" w:rsidP="00504A12">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w:t>
      </w:r>
      <w:r w:rsidRPr="0078446D">
        <w:rPr>
          <w:rFonts w:ascii="Arial" w:eastAsia="Calibri" w:hAnsi="Arial" w:cs="Arial"/>
          <w:color w:val="000000" w:themeColor="text1"/>
          <w:sz w:val="22"/>
        </w:rPr>
        <w:t xml:space="preserve">a </w:t>
      </w:r>
      <w:r w:rsidRPr="00E73574">
        <w:rPr>
          <w:rFonts w:ascii="Arial" w:eastAsia="Calibri" w:hAnsi="Arial" w:cs="Arial"/>
          <w:bCs/>
          <w:i/>
          <w:iCs/>
          <w:color w:val="000000" w:themeColor="text1"/>
          <w:sz w:val="22"/>
        </w:rPr>
        <w:t>capacidad jurídica</w:t>
      </w:r>
      <w:r w:rsidRPr="0078446D">
        <w:rPr>
          <w:rFonts w:ascii="Arial" w:eastAsia="Calibri" w:hAnsi="Arial" w:cs="Arial"/>
          <w:color w:val="000000" w:themeColor="text1"/>
          <w:sz w:val="22"/>
        </w:rPr>
        <w:t xml:space="preserve"> es la aptitud que recae en los sujeto</w:t>
      </w:r>
      <w:r>
        <w:rPr>
          <w:rFonts w:ascii="Arial" w:eastAsia="Calibri" w:hAnsi="Arial" w:cs="Arial"/>
          <w:color w:val="000000" w:themeColor="text1"/>
          <w:sz w:val="22"/>
        </w:rPr>
        <w:t>s</w:t>
      </w:r>
      <w:r w:rsidRPr="0078446D">
        <w:rPr>
          <w:rFonts w:ascii="Arial" w:eastAsia="Calibri" w:hAnsi="Arial" w:cs="Arial"/>
          <w:color w:val="000000" w:themeColor="text1"/>
          <w:sz w:val="22"/>
        </w:rPr>
        <w:t xml:space="preserve"> activos o pasivos de las relaciones jurídicas</w:t>
      </w:r>
      <w:r w:rsidRPr="0078446D">
        <w:rPr>
          <w:rStyle w:val="Refdenotaalpie"/>
          <w:rFonts w:ascii="Arial" w:eastAsia="Calibri" w:hAnsi="Arial" w:cs="Arial"/>
          <w:color w:val="000000" w:themeColor="text1"/>
          <w:sz w:val="22"/>
        </w:rPr>
        <w:footnoteReference w:id="1"/>
      </w:r>
      <w:r w:rsidRPr="0078446D">
        <w:rPr>
          <w:rFonts w:ascii="Arial" w:eastAsia="Calibri" w:hAnsi="Arial" w:cs="Arial"/>
          <w:color w:val="000000" w:themeColor="text1"/>
          <w:sz w:val="22"/>
        </w:rPr>
        <w:t>. Para efectos de la contratación estatal, es la facultad que tiene una persona natural o jurídica</w:t>
      </w:r>
      <w:r>
        <w:rPr>
          <w:rFonts w:ascii="Arial" w:eastAsia="Calibri" w:hAnsi="Arial" w:cs="Arial"/>
          <w:color w:val="000000" w:themeColor="text1"/>
          <w:sz w:val="22"/>
        </w:rPr>
        <w:t xml:space="preserve"> o una forma asociativa sin personería jurídica</w:t>
      </w:r>
      <w:r w:rsidRPr="0078446D">
        <w:rPr>
          <w:rFonts w:ascii="Arial" w:eastAsia="Calibri" w:hAnsi="Arial" w:cs="Arial"/>
          <w:color w:val="000000" w:themeColor="text1"/>
          <w:sz w:val="22"/>
        </w:rPr>
        <w:t xml:space="preserve"> para celebrar contratos con una entidad pública.</w:t>
      </w:r>
      <w:r>
        <w:rPr>
          <w:rFonts w:ascii="Arial" w:eastAsia="Calibri" w:hAnsi="Arial" w:cs="Arial"/>
          <w:color w:val="000000" w:themeColor="text1"/>
          <w:sz w:val="22"/>
        </w:rPr>
        <w:t xml:space="preserve"> En ese ámbito, l</w:t>
      </w:r>
      <w:r w:rsidRPr="0078446D">
        <w:rPr>
          <w:rFonts w:ascii="Arial" w:eastAsia="Calibri" w:hAnsi="Arial" w:cs="Arial"/>
          <w:color w:val="000000" w:themeColor="text1"/>
          <w:sz w:val="22"/>
        </w:rPr>
        <w:t xml:space="preserve">a capacidad jurídica </w:t>
      </w:r>
      <w:r>
        <w:rPr>
          <w:rFonts w:ascii="Arial" w:eastAsia="Calibri" w:hAnsi="Arial" w:cs="Arial"/>
          <w:color w:val="000000" w:themeColor="text1"/>
          <w:sz w:val="22"/>
        </w:rPr>
        <w:t>tiene doble proyección</w:t>
      </w:r>
      <w:r w:rsidRPr="0078446D">
        <w:rPr>
          <w:rFonts w:ascii="Arial" w:eastAsia="Calibri" w:hAnsi="Arial" w:cs="Arial"/>
          <w:color w:val="000000" w:themeColor="text1"/>
          <w:sz w:val="22"/>
        </w:rPr>
        <w:t>: de un lado, en la facultad que alguien tiene para obligarse a cumplir el objeto del contrato estatal y, por el otro, en la prohibición de que esa persona esté incursa en inhabilidad</w:t>
      </w:r>
      <w:r>
        <w:rPr>
          <w:rFonts w:ascii="Arial" w:eastAsia="Calibri" w:hAnsi="Arial" w:cs="Arial"/>
          <w:color w:val="000000" w:themeColor="text1"/>
          <w:sz w:val="22"/>
        </w:rPr>
        <w:t>es</w:t>
      </w:r>
      <w:r w:rsidRPr="0078446D">
        <w:rPr>
          <w:rStyle w:val="Refdenotaalpie"/>
          <w:rFonts w:ascii="Arial" w:eastAsia="Calibri" w:hAnsi="Arial" w:cs="Arial"/>
          <w:color w:val="000000" w:themeColor="text1"/>
          <w:sz w:val="22"/>
        </w:rPr>
        <w:footnoteReference w:id="2"/>
      </w:r>
      <w:r w:rsidRPr="0078446D">
        <w:rPr>
          <w:rFonts w:ascii="Arial" w:eastAsia="Calibri" w:hAnsi="Arial" w:cs="Arial"/>
          <w:color w:val="000000" w:themeColor="text1"/>
          <w:sz w:val="22"/>
        </w:rPr>
        <w:t xml:space="preserve"> o incompatibilidad</w:t>
      </w:r>
      <w:r>
        <w:rPr>
          <w:rFonts w:ascii="Arial" w:eastAsia="Calibri" w:hAnsi="Arial" w:cs="Arial"/>
          <w:color w:val="000000" w:themeColor="text1"/>
          <w:sz w:val="22"/>
        </w:rPr>
        <w:t>es,</w:t>
      </w:r>
      <w:r w:rsidRPr="0078446D">
        <w:rPr>
          <w:rFonts w:ascii="Arial" w:eastAsia="Calibri" w:hAnsi="Arial" w:cs="Arial"/>
          <w:color w:val="000000" w:themeColor="text1"/>
          <w:sz w:val="22"/>
        </w:rPr>
        <w:t xml:space="preserve"> que le impidan la celebración del contrato.</w:t>
      </w:r>
      <w:r>
        <w:rPr>
          <w:rFonts w:ascii="Arial" w:eastAsia="Calibri" w:hAnsi="Arial" w:cs="Arial"/>
          <w:color w:val="000000" w:themeColor="text1"/>
          <w:sz w:val="22"/>
        </w:rPr>
        <w:t xml:space="preserve"> </w:t>
      </w:r>
    </w:p>
    <w:p w14:paraId="345C1C1B" w14:textId="77777777" w:rsidR="00504A12" w:rsidRPr="0078446D" w:rsidRDefault="00504A12" w:rsidP="00504A12">
      <w:pPr>
        <w:spacing w:line="276" w:lineRule="auto"/>
        <w:ind w:firstLine="708"/>
        <w:jc w:val="both"/>
        <w:rPr>
          <w:rFonts w:ascii="Arial" w:eastAsia="Calibri" w:hAnsi="Arial" w:cs="Arial"/>
          <w:color w:val="000000" w:themeColor="text1"/>
          <w:sz w:val="22"/>
        </w:rPr>
      </w:pPr>
      <w:r w:rsidRPr="0078446D">
        <w:rPr>
          <w:rFonts w:ascii="Arial" w:eastAsia="Calibri" w:hAnsi="Arial" w:cs="Arial"/>
          <w:color w:val="000000" w:themeColor="text1"/>
          <w:sz w:val="22"/>
        </w:rPr>
        <w:lastRenderedPageBreak/>
        <w:t>Para efectos del Estatuto General de Contratación de la Administración Pública, la capacidad para contratar la tienen las personas consideradas legalmente capaces, según lo que establece el artículo 6 de la Ley 80 de 1993</w:t>
      </w:r>
      <w:r w:rsidRPr="0078446D">
        <w:rPr>
          <w:rStyle w:val="Refdenotaalpie"/>
          <w:rFonts w:ascii="Arial" w:eastAsia="Calibri" w:hAnsi="Arial" w:cs="Arial"/>
          <w:color w:val="000000" w:themeColor="text1"/>
          <w:sz w:val="22"/>
        </w:rPr>
        <w:footnoteReference w:id="3"/>
      </w:r>
      <w:r w:rsidRPr="0078446D">
        <w:rPr>
          <w:rFonts w:ascii="Arial" w:eastAsia="Calibri" w:hAnsi="Arial" w:cs="Arial"/>
          <w:color w:val="000000" w:themeColor="text1"/>
          <w:sz w:val="22"/>
        </w:rPr>
        <w:t>. Por un lado, las personas naturales tienen capacidad jurídica cuando alcanzan la mayoría de edad, claro está, siempre que su capacidad no haya sido limitada</w:t>
      </w:r>
      <w:r>
        <w:rPr>
          <w:rFonts w:ascii="Arial" w:eastAsia="Calibri" w:hAnsi="Arial" w:cs="Arial"/>
          <w:color w:val="000000" w:themeColor="text1"/>
          <w:sz w:val="22"/>
        </w:rPr>
        <w:t xml:space="preserve"> </w:t>
      </w:r>
      <w:r w:rsidRPr="0078446D">
        <w:rPr>
          <w:rFonts w:ascii="Arial" w:eastAsia="Calibri" w:hAnsi="Arial" w:cs="Arial"/>
          <w:color w:val="000000" w:themeColor="text1"/>
          <w:sz w:val="22"/>
        </w:rPr>
        <w:t xml:space="preserve">–ej. interdicción judicial–, y siempre que no estén incursas en inhabilidades, incompatibilidades o prohibiciones para contratar. Por otro lado, 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w:t>
      </w:r>
      <w:r>
        <w:rPr>
          <w:rFonts w:ascii="Arial" w:eastAsia="Calibri" w:hAnsi="Arial" w:cs="Arial"/>
          <w:color w:val="000000" w:themeColor="text1"/>
          <w:sz w:val="22"/>
        </w:rPr>
        <w:t xml:space="preserve">de </w:t>
      </w:r>
      <w:r w:rsidRPr="0078446D">
        <w:rPr>
          <w:rFonts w:ascii="Arial" w:eastAsia="Calibri" w:hAnsi="Arial" w:cs="Arial"/>
          <w:color w:val="000000" w:themeColor="text1"/>
          <w:sz w:val="22"/>
        </w:rPr>
        <w:t xml:space="preserve">los socios individualmente considerados o </w:t>
      </w:r>
      <w:r>
        <w:rPr>
          <w:rFonts w:ascii="Arial" w:eastAsia="Calibri" w:hAnsi="Arial" w:cs="Arial"/>
          <w:color w:val="000000" w:themeColor="text1"/>
          <w:sz w:val="22"/>
        </w:rPr>
        <w:t xml:space="preserve">de </w:t>
      </w:r>
      <w:r w:rsidRPr="0078446D">
        <w:rPr>
          <w:rFonts w:ascii="Arial" w:eastAsia="Calibri" w:hAnsi="Arial" w:cs="Arial"/>
          <w:color w:val="000000" w:themeColor="text1"/>
          <w:sz w:val="22"/>
        </w:rPr>
        <w:t xml:space="preserve">la empresa como tal. </w:t>
      </w:r>
    </w:p>
    <w:p w14:paraId="4CAEF985" w14:textId="77777777" w:rsidR="00504A12" w:rsidRPr="0078446D" w:rsidRDefault="00504A12" w:rsidP="00504A12">
      <w:pPr>
        <w:spacing w:before="120" w:line="276" w:lineRule="auto"/>
        <w:jc w:val="both"/>
        <w:rPr>
          <w:rFonts w:ascii="Arial" w:eastAsia="Calibri" w:hAnsi="Arial" w:cs="Arial"/>
          <w:color w:val="000000" w:themeColor="text1"/>
          <w:sz w:val="22"/>
        </w:rPr>
      </w:pPr>
      <w:r w:rsidRPr="0078446D">
        <w:rPr>
          <w:rFonts w:ascii="Arial" w:eastAsia="Calibri" w:hAnsi="Arial" w:cs="Arial"/>
          <w:color w:val="000000" w:themeColor="text1"/>
          <w:sz w:val="22"/>
        </w:rPr>
        <w:tab/>
        <w:t xml:space="preserve">La </w:t>
      </w:r>
      <w:r w:rsidRPr="00E73574">
        <w:rPr>
          <w:rFonts w:ascii="Arial" w:eastAsia="Calibri" w:hAnsi="Arial" w:cs="Arial"/>
          <w:bCs/>
          <w:i/>
          <w:iCs/>
          <w:color w:val="000000" w:themeColor="text1"/>
          <w:sz w:val="22"/>
        </w:rPr>
        <w:t>experiencia</w:t>
      </w:r>
      <w:r w:rsidRPr="0078446D">
        <w:rPr>
          <w:rFonts w:ascii="Arial" w:eastAsia="Calibri" w:hAnsi="Arial" w:cs="Arial"/>
          <w:i/>
          <w:iCs/>
          <w:color w:val="000000" w:themeColor="text1"/>
          <w:sz w:val="22"/>
        </w:rPr>
        <w:t xml:space="preserve"> </w:t>
      </w:r>
      <w:r w:rsidRPr="0078446D">
        <w:rPr>
          <w:rFonts w:ascii="Arial" w:eastAsia="Calibri" w:hAnsi="Arial" w:cs="Arial"/>
          <w:color w:val="000000" w:themeColor="text1"/>
          <w:sz w:val="22"/>
        </w:rPr>
        <w:t xml:space="preserve">como requisito habilitante, según las consideraciones expuestas en el concepto C-002 del 12 de febrero de 2020 –radicado No. 2202013000000921–, tiene como propósito que </w:t>
      </w:r>
      <w:r w:rsidRPr="0078446D">
        <w:rPr>
          <w:rStyle w:val="normaltextrun"/>
          <w:rFonts w:ascii="Arial" w:hAnsi="Arial" w:cs="Arial"/>
          <w:color w:val="000000" w:themeColor="text1"/>
          <w:sz w:val="22"/>
        </w:rPr>
        <w:t>las entidades fijen unos requisitos mínimos que debe</w:t>
      </w:r>
      <w:r>
        <w:rPr>
          <w:rStyle w:val="normaltextrun"/>
          <w:rFonts w:ascii="Arial" w:hAnsi="Arial" w:cs="Arial"/>
          <w:color w:val="000000" w:themeColor="text1"/>
          <w:sz w:val="22"/>
        </w:rPr>
        <w:t>n</w:t>
      </w:r>
      <w:r w:rsidRPr="0078446D">
        <w:rPr>
          <w:rStyle w:val="normaltextrun"/>
          <w:rFonts w:ascii="Arial" w:hAnsi="Arial" w:cs="Arial"/>
          <w:color w:val="000000" w:themeColor="text1"/>
          <w:sz w:val="22"/>
        </w:rPr>
        <w:t xml:space="preserve"> acreditar </w:t>
      </w:r>
      <w:r>
        <w:rPr>
          <w:rStyle w:val="normaltextrun"/>
          <w:rFonts w:ascii="Arial" w:hAnsi="Arial" w:cs="Arial"/>
          <w:color w:val="000000" w:themeColor="text1"/>
          <w:sz w:val="22"/>
        </w:rPr>
        <w:t>los</w:t>
      </w:r>
      <w:r w:rsidRPr="0078446D">
        <w:rPr>
          <w:rStyle w:val="normaltextrun"/>
          <w:rFonts w:ascii="Arial" w:hAnsi="Arial" w:cs="Arial"/>
          <w:color w:val="000000" w:themeColor="text1"/>
          <w:sz w:val="22"/>
        </w:rPr>
        <w:t xml:space="preserve"> proponente</w:t>
      </w:r>
      <w:r>
        <w:rPr>
          <w:rStyle w:val="normaltextrun"/>
          <w:rFonts w:ascii="Arial" w:hAnsi="Arial" w:cs="Arial"/>
          <w:color w:val="000000" w:themeColor="text1"/>
          <w:sz w:val="22"/>
        </w:rPr>
        <w:t>s</w:t>
      </w:r>
      <w:r w:rsidRPr="0078446D">
        <w:rPr>
          <w:rStyle w:val="normaltextrun"/>
          <w:rFonts w:ascii="Arial" w:hAnsi="Arial" w:cs="Arial"/>
          <w:color w:val="000000" w:themeColor="text1"/>
          <w:sz w:val="22"/>
        </w:rPr>
        <w:t>, para que estas puedan verificar su aptitud para participar en el proceso de selección y, eventualmente, ejecutar el contrato estatal</w:t>
      </w:r>
      <w:r w:rsidRPr="0078446D">
        <w:rPr>
          <w:rStyle w:val="Refdenotaalpie"/>
          <w:rFonts w:ascii="Arial" w:hAnsi="Arial" w:cs="Arial"/>
          <w:color w:val="000000" w:themeColor="text1"/>
          <w:sz w:val="22"/>
        </w:rPr>
        <w:footnoteReference w:id="4"/>
      </w:r>
      <w:r w:rsidRPr="0078446D">
        <w:rPr>
          <w:rStyle w:val="normaltextrun"/>
          <w:rFonts w:ascii="Arial" w:hAnsi="Arial" w:cs="Arial"/>
          <w:color w:val="000000" w:themeColor="text1"/>
          <w:sz w:val="22"/>
        </w:rPr>
        <w:t xml:space="preserve">. La entidad, como responsable de la estructuración del proceso de contratación, es autónoma para requerir la experiencia necesaria para el objeto contractual, para lo cual, de acuerdo con el artículo 2.2.1.1.1.6.2. del Decreto 1082 de 2015, debe tener en cuenta el estudio del sector y sus diferentes </w:t>
      </w:r>
      <w:r w:rsidRPr="0078446D">
        <w:rPr>
          <w:rStyle w:val="normaltextrun"/>
          <w:rFonts w:ascii="Arial" w:hAnsi="Arial" w:cs="Arial"/>
          <w:color w:val="000000" w:themeColor="text1"/>
          <w:sz w:val="22"/>
        </w:rPr>
        <w:lastRenderedPageBreak/>
        <w:t>componentes, tales como la identificación de riesgos, el mercado y el precio del bien, obra o servicio a contratar</w:t>
      </w:r>
      <w:r w:rsidRPr="0078446D">
        <w:rPr>
          <w:rStyle w:val="Refdenotaalpie"/>
          <w:rFonts w:ascii="Arial" w:hAnsi="Arial" w:cs="Arial"/>
          <w:color w:val="000000" w:themeColor="text1"/>
          <w:sz w:val="22"/>
        </w:rPr>
        <w:footnoteReference w:id="5"/>
      </w:r>
      <w:r w:rsidRPr="0078446D">
        <w:rPr>
          <w:rStyle w:val="normaltextrun"/>
          <w:rFonts w:ascii="Arial" w:hAnsi="Arial" w:cs="Arial"/>
          <w:color w:val="000000" w:themeColor="text1"/>
          <w:sz w:val="22"/>
        </w:rPr>
        <w:t>.</w:t>
      </w:r>
    </w:p>
    <w:p w14:paraId="6FA7489E" w14:textId="702004FB" w:rsidR="00504A12" w:rsidRPr="0078446D" w:rsidRDefault="00504A12" w:rsidP="00504A12">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La experiencia que se deriva de la ejecución de los contratos que el proponente ha celebrado y ejecutado con diferentes contratantes, sin importar la naturaleza de estos últimos, se verifica con el Registro Único de Proponentes «RUP»</w:t>
      </w:r>
      <w:r w:rsidRPr="0078446D">
        <w:rPr>
          <w:rStyle w:val="Refdenotaalpie"/>
          <w:rFonts w:ascii="Arial" w:hAnsi="Arial" w:cs="Arial"/>
          <w:color w:val="000000" w:themeColor="text1"/>
          <w:sz w:val="22"/>
          <w:szCs w:val="22"/>
        </w:rPr>
        <w:footnoteReference w:id="6"/>
      </w:r>
      <w:r w:rsidRPr="0078446D">
        <w:rPr>
          <w:rStyle w:val="normaltextrun"/>
          <w:rFonts w:ascii="Arial" w:hAnsi="Arial" w:cs="Arial"/>
          <w:color w:val="000000" w:themeColor="text1"/>
          <w:sz w:val="22"/>
          <w:szCs w:val="22"/>
        </w:rPr>
        <w:t>, claro está, cuando este certificado sea exigible. Allí constan únicamente los requisitos habilitantes que se evalúan con este documento, de los cuales el mismo es plena prueba, sin que le sea posible a la entidad o al proponente solicitar o aportar otra documentación distinta</w:t>
      </w:r>
      <w:r w:rsidR="00254EEB">
        <w:rPr>
          <w:rStyle w:val="normaltextrun"/>
          <w:rFonts w:ascii="Arial" w:hAnsi="Arial" w:cs="Arial"/>
          <w:color w:val="000000" w:themeColor="text1"/>
          <w:sz w:val="22"/>
          <w:szCs w:val="22"/>
        </w:rPr>
        <w:t xml:space="preserve"> para acreditar la información que contiene el certificado</w:t>
      </w:r>
      <w:r w:rsidRPr="0078446D">
        <w:rPr>
          <w:rStyle w:val="Refdenotaalpie"/>
          <w:rFonts w:ascii="Arial" w:hAnsi="Arial" w:cs="Arial"/>
          <w:color w:val="000000" w:themeColor="text1"/>
          <w:sz w:val="22"/>
          <w:szCs w:val="22"/>
        </w:rPr>
        <w:footnoteReference w:id="7"/>
      </w:r>
      <w:r w:rsidRPr="0078446D">
        <w:rPr>
          <w:rStyle w:val="normaltextrun"/>
          <w:rFonts w:ascii="Arial" w:hAnsi="Arial" w:cs="Arial"/>
          <w:color w:val="000000" w:themeColor="text1"/>
          <w:sz w:val="22"/>
          <w:szCs w:val="22"/>
        </w:rPr>
        <w:t>.</w:t>
      </w:r>
    </w:p>
    <w:p w14:paraId="7F99C56A" w14:textId="77777777" w:rsidR="00504A12" w:rsidRPr="0078446D" w:rsidRDefault="00504A12" w:rsidP="00504A12">
      <w:pPr>
        <w:pStyle w:val="paragraph"/>
        <w:spacing w:before="120" w:beforeAutospacing="0" w:after="0" w:afterAutospacing="0" w:line="276" w:lineRule="auto"/>
        <w:ind w:firstLine="703"/>
        <w:jc w:val="both"/>
        <w:textAlignment w:val="baseline"/>
        <w:rPr>
          <w:rStyle w:val="normaltextrun"/>
          <w:rFonts w:ascii="Arial" w:hAnsi="Arial" w:cs="Arial"/>
          <w:color w:val="000000" w:themeColor="text1"/>
          <w:sz w:val="22"/>
          <w:szCs w:val="22"/>
        </w:rPr>
      </w:pPr>
      <w:r w:rsidRPr="0078446D">
        <w:rPr>
          <w:rStyle w:val="normaltextrun"/>
          <w:rFonts w:ascii="Arial" w:hAnsi="Arial" w:cs="Arial"/>
          <w:color w:val="000000" w:themeColor="text1"/>
          <w:sz w:val="22"/>
          <w:szCs w:val="22"/>
        </w:rPr>
        <w:t>La experiencia debe inscribirse, renovarse o actualizarse en el RUP 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w:t>
      </w:r>
      <w:r w:rsidRPr="0078446D">
        <w:rPr>
          <w:rStyle w:val="Refdenotaalpie"/>
          <w:rFonts w:ascii="Arial" w:hAnsi="Arial" w:cs="Arial"/>
          <w:color w:val="000000" w:themeColor="text1"/>
          <w:sz w:val="22"/>
          <w:szCs w:val="22"/>
        </w:rPr>
        <w:footnoteReference w:id="8"/>
      </w:r>
      <w:r w:rsidRPr="0078446D">
        <w:rPr>
          <w:rStyle w:val="normaltextrun"/>
          <w:rFonts w:ascii="Arial" w:hAnsi="Arial" w:cs="Arial"/>
          <w:color w:val="000000" w:themeColor="text1"/>
          <w:sz w:val="22"/>
          <w:szCs w:val="22"/>
        </w:rPr>
        <w:t xml:space="preserve">. De esta manera, lo </w:t>
      </w:r>
      <w:r w:rsidRPr="0078446D">
        <w:rPr>
          <w:rStyle w:val="normaltextrun"/>
          <w:rFonts w:ascii="Arial" w:hAnsi="Arial" w:cs="Arial"/>
          <w:color w:val="000000" w:themeColor="text1"/>
          <w:sz w:val="22"/>
          <w:szCs w:val="22"/>
        </w:rPr>
        <w:lastRenderedPageBreak/>
        <w:t>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w:t>
      </w:r>
      <w:r>
        <w:rPr>
          <w:rStyle w:val="normaltextrun"/>
          <w:rFonts w:ascii="Arial" w:hAnsi="Arial" w:cs="Arial"/>
          <w:color w:val="000000" w:themeColor="text1"/>
          <w:sz w:val="22"/>
          <w:szCs w:val="22"/>
        </w:rPr>
        <w:t xml:space="preserve"> totalmente</w:t>
      </w:r>
      <w:r w:rsidRPr="0078446D">
        <w:rPr>
          <w:rStyle w:val="normaltextrun"/>
          <w:rFonts w:ascii="Arial" w:hAnsi="Arial" w:cs="Arial"/>
          <w:color w:val="000000" w:themeColor="text1"/>
          <w:sz w:val="22"/>
          <w:szCs w:val="22"/>
        </w:rPr>
        <w:t xml:space="preserve"> idéntico. </w:t>
      </w:r>
    </w:p>
    <w:p w14:paraId="493762A0" w14:textId="77777777" w:rsidR="00504A12" w:rsidRPr="0078446D" w:rsidRDefault="00504A12" w:rsidP="00504A12">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 xml:space="preserve">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w:t>
      </w:r>
      <w:r>
        <w:rPr>
          <w:rStyle w:val="normaltextrun"/>
          <w:rFonts w:ascii="Arial" w:hAnsi="Arial" w:cs="Arial"/>
          <w:color w:val="000000" w:themeColor="text1"/>
          <w:sz w:val="22"/>
          <w:szCs w:val="22"/>
        </w:rPr>
        <w:t>según estos parámetros</w:t>
      </w:r>
      <w:r w:rsidRPr="0078446D">
        <w:rPr>
          <w:rStyle w:val="normaltextrun"/>
          <w:rFonts w:ascii="Arial" w:hAnsi="Arial" w:cs="Arial"/>
          <w:color w:val="000000" w:themeColor="text1"/>
          <w:sz w:val="22"/>
          <w:szCs w:val="22"/>
        </w:rPr>
        <w:t>.</w:t>
      </w:r>
      <w:r w:rsidRPr="0078446D">
        <w:rPr>
          <w:rStyle w:val="eop"/>
          <w:rFonts w:ascii="Arial" w:hAnsi="Arial" w:cs="Arial"/>
          <w:color w:val="000000" w:themeColor="text1"/>
          <w:sz w:val="22"/>
          <w:szCs w:val="22"/>
        </w:rPr>
        <w:t> </w:t>
      </w:r>
    </w:p>
    <w:p w14:paraId="6CCF7C59" w14:textId="77777777" w:rsidR="00504A12" w:rsidRPr="0078446D" w:rsidRDefault="00504A12" w:rsidP="00504A12">
      <w:pPr>
        <w:spacing w:before="120" w:line="276" w:lineRule="auto"/>
        <w:jc w:val="both"/>
        <w:rPr>
          <w:rFonts w:ascii="Arial" w:eastAsia="Calibri" w:hAnsi="Arial" w:cs="Arial"/>
          <w:color w:val="000000" w:themeColor="text1"/>
          <w:sz w:val="22"/>
        </w:rPr>
      </w:pPr>
      <w:r w:rsidRPr="0078446D">
        <w:rPr>
          <w:rFonts w:ascii="Arial" w:eastAsia="Calibri" w:hAnsi="Arial" w:cs="Arial"/>
          <w:color w:val="000000" w:themeColor="text1"/>
          <w:sz w:val="22"/>
        </w:rPr>
        <w:tab/>
        <w:t xml:space="preserve">La </w:t>
      </w:r>
      <w:r w:rsidRPr="00E73574">
        <w:rPr>
          <w:rFonts w:ascii="Arial" w:eastAsia="Calibri" w:hAnsi="Arial" w:cs="Arial"/>
          <w:bCs/>
          <w:i/>
          <w:iCs/>
          <w:color w:val="000000" w:themeColor="text1"/>
          <w:sz w:val="22"/>
        </w:rPr>
        <w:t>capacidad financiera</w:t>
      </w:r>
      <w:r w:rsidRPr="0078446D">
        <w:rPr>
          <w:rFonts w:ascii="Arial" w:eastAsia="Calibri" w:hAnsi="Arial" w:cs="Arial"/>
          <w:i/>
          <w:iCs/>
          <w:color w:val="000000" w:themeColor="text1"/>
          <w:sz w:val="22"/>
        </w:rPr>
        <w:t xml:space="preserve"> </w:t>
      </w:r>
      <w:r w:rsidRPr="0078446D">
        <w:rPr>
          <w:rFonts w:ascii="Arial" w:eastAsia="Calibri" w:hAnsi="Arial" w:cs="Arial"/>
          <w:color w:val="000000" w:themeColor="text1"/>
          <w:sz w:val="22"/>
        </w:rPr>
        <w:t xml:space="preserve">se determina a través de la liquidez y el endeudamiento de los proponentes. Busca establecer condiciones mínimas en relación con </w:t>
      </w:r>
      <w:r>
        <w:rPr>
          <w:rFonts w:ascii="Arial" w:eastAsia="Calibri" w:hAnsi="Arial" w:cs="Arial"/>
          <w:color w:val="000000" w:themeColor="text1"/>
          <w:sz w:val="22"/>
        </w:rPr>
        <w:t>la</w:t>
      </w:r>
      <w:r w:rsidRPr="0078446D">
        <w:rPr>
          <w:rFonts w:ascii="Arial" w:eastAsia="Calibri" w:hAnsi="Arial" w:cs="Arial"/>
          <w:color w:val="000000" w:themeColor="text1"/>
          <w:sz w:val="22"/>
        </w:rPr>
        <w:t xml:space="preserve"> «salud financiera»</w:t>
      </w:r>
      <w:r>
        <w:rPr>
          <w:rFonts w:ascii="Arial" w:eastAsia="Calibri" w:hAnsi="Arial" w:cs="Arial"/>
          <w:color w:val="000000" w:themeColor="text1"/>
          <w:sz w:val="22"/>
        </w:rPr>
        <w:t xml:space="preserve"> de estos últimos</w:t>
      </w:r>
      <w:r w:rsidRPr="0078446D">
        <w:rPr>
          <w:rFonts w:ascii="Arial" w:eastAsia="Calibri" w:hAnsi="Arial" w:cs="Arial"/>
          <w:color w:val="000000" w:themeColor="text1"/>
          <w:sz w:val="22"/>
        </w:rPr>
        <w:t xml:space="preserve">, particularmente demostrar </w:t>
      </w:r>
      <w:r>
        <w:rPr>
          <w:rFonts w:ascii="Arial" w:eastAsia="Calibri" w:hAnsi="Arial" w:cs="Arial"/>
          <w:color w:val="000000" w:themeColor="text1"/>
          <w:sz w:val="22"/>
        </w:rPr>
        <w:t xml:space="preserve">su aptitud </w:t>
      </w:r>
      <w:r w:rsidRPr="0078446D">
        <w:rPr>
          <w:rFonts w:ascii="Arial" w:eastAsia="Calibri" w:hAnsi="Arial" w:cs="Arial"/>
          <w:color w:val="000000" w:themeColor="text1"/>
          <w:sz w:val="22"/>
        </w:rPr>
        <w:t xml:space="preserve">para cumplir oportuna y cabalmente el objeto del contrato. En ese sentido, la capacidad financiera que la entidad requiera para un proceso de contratación, debe ser adecuada y proporcional a la naturaleza y al valor </w:t>
      </w:r>
      <w:r w:rsidRPr="00007785">
        <w:rPr>
          <w:rFonts w:ascii="Arial" w:eastAsia="Calibri" w:hAnsi="Arial" w:cs="Arial"/>
          <w:color w:val="000000" w:themeColor="text1"/>
          <w:sz w:val="22"/>
        </w:rPr>
        <w:t>del contrato. Además, los requisitos de capacidad financiera deben ser establecidos con fundamento en los Estudios del Sector, los cuales pueden ser elaborados según la «Guía para la Elaboración de Estudios de Sector»,</w:t>
      </w:r>
      <w:r w:rsidRPr="0078446D">
        <w:rPr>
          <w:rFonts w:ascii="Arial" w:eastAsia="Calibri" w:hAnsi="Arial" w:cs="Arial"/>
          <w:color w:val="000000" w:themeColor="text1"/>
          <w:sz w:val="22"/>
        </w:rPr>
        <w:t xml:space="preserve"> de esta Agencia.</w:t>
      </w:r>
    </w:p>
    <w:p w14:paraId="6EE25592" w14:textId="77777777" w:rsidR="00504A12" w:rsidRPr="0078446D" w:rsidRDefault="00504A12" w:rsidP="00504A12">
      <w:pPr>
        <w:spacing w:before="120" w:line="276" w:lineRule="auto"/>
        <w:ind w:firstLine="709"/>
        <w:jc w:val="both"/>
        <w:rPr>
          <w:rFonts w:ascii="Arial" w:eastAsia="Calibri" w:hAnsi="Arial" w:cs="Arial"/>
          <w:color w:val="000000" w:themeColor="text1"/>
          <w:sz w:val="22"/>
        </w:rPr>
      </w:pPr>
      <w:r w:rsidRPr="0078446D">
        <w:rPr>
          <w:rFonts w:ascii="Arial" w:eastAsia="Calibri" w:hAnsi="Arial" w:cs="Arial"/>
          <w:color w:val="000000" w:themeColor="text1"/>
          <w:sz w:val="22"/>
        </w:rPr>
        <w:t xml:space="preserve">En atención a la naturaleza del contrato a suscribir y su valor, plazo y forma de pago, la entidad debe hacer uso de los indicadores que considere adecuados respecto </w:t>
      </w:r>
      <w:r>
        <w:rPr>
          <w:rFonts w:ascii="Arial" w:eastAsia="Calibri" w:hAnsi="Arial" w:cs="Arial"/>
          <w:color w:val="000000" w:themeColor="text1"/>
          <w:sz w:val="22"/>
        </w:rPr>
        <w:t>de</w:t>
      </w:r>
      <w:r w:rsidRPr="0078446D">
        <w:rPr>
          <w:rFonts w:ascii="Arial" w:eastAsia="Calibri" w:hAnsi="Arial" w:cs="Arial"/>
          <w:color w:val="000000" w:themeColor="text1"/>
          <w:sz w:val="22"/>
        </w:rPr>
        <w:t xml:space="preserv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007785">
        <w:rPr>
          <w:rFonts w:ascii="Arial" w:eastAsia="Calibri" w:hAnsi="Arial" w:cs="Arial"/>
          <w:i/>
          <w:iCs/>
          <w:color w:val="000000" w:themeColor="text1"/>
          <w:sz w:val="22"/>
        </w:rPr>
        <w:t>Índice de Liquidez</w:t>
      </w:r>
      <w:r w:rsidRPr="0078446D">
        <w:rPr>
          <w:rFonts w:ascii="Arial" w:eastAsia="Calibri" w:hAnsi="Arial" w:cs="Arial"/>
          <w:color w:val="000000" w:themeColor="text1"/>
          <w:sz w:val="22"/>
        </w:rPr>
        <w:t xml:space="preserve">, que corresponde a la división entre el activo </w:t>
      </w:r>
      <w:r>
        <w:rPr>
          <w:rFonts w:ascii="Arial" w:eastAsia="Calibri" w:hAnsi="Arial" w:cs="Arial"/>
          <w:color w:val="000000" w:themeColor="text1"/>
          <w:sz w:val="22"/>
        </w:rPr>
        <w:t>c</w:t>
      </w:r>
      <w:r w:rsidRPr="0078446D">
        <w:rPr>
          <w:rFonts w:ascii="Arial" w:eastAsia="Calibri" w:hAnsi="Arial" w:cs="Arial"/>
          <w:color w:val="000000" w:themeColor="text1"/>
          <w:sz w:val="22"/>
        </w:rPr>
        <w:t xml:space="preserve">orriente y el pasivo corriente, y que determina la capacidad que tiene el proponente para cumplir con sus obligaciones de corto plazo; ii) el </w:t>
      </w:r>
      <w:r w:rsidRPr="00007785">
        <w:rPr>
          <w:rFonts w:ascii="Arial" w:eastAsia="Calibri" w:hAnsi="Arial" w:cs="Arial"/>
          <w:i/>
          <w:iCs/>
          <w:color w:val="000000" w:themeColor="text1"/>
          <w:sz w:val="22"/>
        </w:rPr>
        <w:t>Índice de Endeudamiento</w:t>
      </w:r>
      <w:r w:rsidRPr="0078446D">
        <w:rPr>
          <w:rFonts w:ascii="Arial" w:eastAsia="Calibri" w:hAnsi="Arial" w:cs="Arial"/>
          <w:color w:val="000000" w:themeColor="text1"/>
          <w:sz w:val="22"/>
        </w:rPr>
        <w:t xml:space="preserve">, que se calcula dividiendo el pasivo total por el activo total, el cual determina el grado de endeudamiento en la estructura de financiación del proponente; y iii) la </w:t>
      </w:r>
      <w:r w:rsidRPr="00007785">
        <w:rPr>
          <w:rFonts w:ascii="Arial" w:eastAsia="Calibri" w:hAnsi="Arial" w:cs="Arial"/>
          <w:i/>
          <w:iCs/>
          <w:color w:val="000000" w:themeColor="text1"/>
          <w:sz w:val="22"/>
        </w:rPr>
        <w:t>Razón de Cobertura de Intereses</w:t>
      </w:r>
      <w:r w:rsidRPr="0078446D">
        <w:rPr>
          <w:rFonts w:ascii="Arial" w:eastAsia="Calibri" w:hAnsi="Arial" w:cs="Arial"/>
          <w:color w:val="000000" w:themeColor="text1"/>
          <w:sz w:val="22"/>
        </w:rPr>
        <w:t xml:space="preserve">, que es igual a la utilidad operacional, sobre los gastos de intereses, y que refleja la capacidad del proponente de cumplir con sus obligaciones financieras. </w:t>
      </w:r>
      <w:r w:rsidRPr="0078446D">
        <w:rPr>
          <w:rFonts w:ascii="Arial" w:eastAsia="Calibri" w:hAnsi="Arial" w:cs="Arial"/>
          <w:color w:val="000000" w:themeColor="text1"/>
          <w:sz w:val="22"/>
        </w:rPr>
        <w:lastRenderedPageBreak/>
        <w:t xml:space="preserve">Adicionalmente, Colombia Compra Eficiente recomienda valorar otro tipo de indicadores como el </w:t>
      </w:r>
      <w:r w:rsidRPr="0078446D">
        <w:rPr>
          <w:rFonts w:ascii="Arial" w:eastAsia="Calibri" w:hAnsi="Arial" w:cs="Arial"/>
          <w:i/>
          <w:iCs/>
          <w:color w:val="000000" w:themeColor="text1"/>
          <w:sz w:val="22"/>
        </w:rPr>
        <w:t>capital de trabajo</w:t>
      </w:r>
      <w:r w:rsidRPr="0078446D">
        <w:rPr>
          <w:rFonts w:ascii="Arial" w:eastAsia="Calibri" w:hAnsi="Arial" w:cs="Arial"/>
          <w:color w:val="000000" w:themeColor="text1"/>
          <w:sz w:val="22"/>
        </w:rPr>
        <w:t xml:space="preserve">, la </w:t>
      </w:r>
      <w:r w:rsidRPr="0078446D">
        <w:rPr>
          <w:rFonts w:ascii="Arial" w:eastAsia="Calibri" w:hAnsi="Arial" w:cs="Arial"/>
          <w:i/>
          <w:iCs/>
          <w:color w:val="000000" w:themeColor="text1"/>
          <w:sz w:val="22"/>
        </w:rPr>
        <w:t>razón de efectivo</w:t>
      </w:r>
      <w:r w:rsidRPr="0078446D">
        <w:rPr>
          <w:rFonts w:ascii="Arial" w:eastAsia="Calibri" w:hAnsi="Arial" w:cs="Arial"/>
          <w:color w:val="000000" w:themeColor="text1"/>
          <w:sz w:val="22"/>
        </w:rPr>
        <w:t xml:space="preserve">, la denominada </w:t>
      </w:r>
      <w:r w:rsidRPr="0078446D">
        <w:rPr>
          <w:rFonts w:ascii="Arial" w:eastAsia="Calibri" w:hAnsi="Arial" w:cs="Arial"/>
          <w:i/>
          <w:iCs/>
          <w:color w:val="000000" w:themeColor="text1"/>
          <w:sz w:val="22"/>
        </w:rPr>
        <w:t>prueba ácida</w:t>
      </w:r>
      <w:r w:rsidRPr="0078446D">
        <w:rPr>
          <w:rStyle w:val="Refdenotaalpie"/>
          <w:rFonts w:ascii="Arial" w:eastAsia="Calibri" w:hAnsi="Arial" w:cs="Arial"/>
          <w:color w:val="000000" w:themeColor="text1"/>
          <w:sz w:val="22"/>
        </w:rPr>
        <w:footnoteReference w:id="9"/>
      </w:r>
      <w:r w:rsidRPr="0078446D">
        <w:rPr>
          <w:rFonts w:ascii="Arial" w:eastAsia="Calibri" w:hAnsi="Arial" w:cs="Arial"/>
          <w:color w:val="000000" w:themeColor="text1"/>
          <w:sz w:val="22"/>
        </w:rPr>
        <w:t xml:space="preserve">, la </w:t>
      </w:r>
      <w:r w:rsidRPr="0078446D">
        <w:rPr>
          <w:rFonts w:ascii="Arial" w:eastAsia="Calibri" w:hAnsi="Arial" w:cs="Arial"/>
          <w:i/>
          <w:iCs/>
          <w:color w:val="000000" w:themeColor="text1"/>
          <w:sz w:val="22"/>
        </w:rPr>
        <w:t xml:space="preserve">concentración de endeudamiento a corto </w:t>
      </w:r>
      <w:r w:rsidRPr="00007785">
        <w:rPr>
          <w:rFonts w:ascii="Arial" w:eastAsia="Calibri" w:hAnsi="Arial" w:cs="Arial"/>
          <w:color w:val="000000" w:themeColor="text1"/>
          <w:sz w:val="22"/>
        </w:rPr>
        <w:t>y</w:t>
      </w:r>
      <w:r w:rsidRPr="0078446D">
        <w:rPr>
          <w:rFonts w:ascii="Arial" w:eastAsia="Calibri" w:hAnsi="Arial" w:cs="Arial"/>
          <w:i/>
          <w:iCs/>
          <w:color w:val="000000" w:themeColor="text1"/>
          <w:sz w:val="22"/>
        </w:rPr>
        <w:t xml:space="preserve"> a largo plazo</w:t>
      </w:r>
      <w:r w:rsidRPr="0078446D">
        <w:rPr>
          <w:rFonts w:ascii="Arial" w:eastAsia="Calibri" w:hAnsi="Arial" w:cs="Arial"/>
          <w:color w:val="000000" w:themeColor="text1"/>
          <w:sz w:val="22"/>
        </w:rPr>
        <w:t xml:space="preserve"> y el </w:t>
      </w:r>
      <w:r w:rsidRPr="0078446D">
        <w:rPr>
          <w:rFonts w:ascii="Arial" w:eastAsia="Calibri" w:hAnsi="Arial" w:cs="Arial"/>
          <w:i/>
          <w:iCs/>
          <w:color w:val="000000" w:themeColor="text1"/>
          <w:sz w:val="22"/>
        </w:rPr>
        <w:t>patrimonio</w:t>
      </w:r>
      <w:r w:rsidRPr="0078446D">
        <w:rPr>
          <w:rFonts w:ascii="Arial" w:eastAsia="Calibri" w:hAnsi="Arial" w:cs="Arial"/>
          <w:color w:val="000000" w:themeColor="text1"/>
          <w:sz w:val="22"/>
        </w:rPr>
        <w:t>.</w:t>
      </w:r>
    </w:p>
    <w:p w14:paraId="7BF9A9F6" w14:textId="77777777" w:rsidR="00504A12" w:rsidRPr="0078446D" w:rsidRDefault="00504A12" w:rsidP="00504A12">
      <w:pPr>
        <w:spacing w:before="120" w:line="276" w:lineRule="auto"/>
        <w:ind w:firstLine="709"/>
        <w:jc w:val="both"/>
        <w:rPr>
          <w:rFonts w:ascii="Arial" w:eastAsia="Calibri" w:hAnsi="Arial" w:cs="Arial"/>
          <w:color w:val="000000" w:themeColor="text1"/>
          <w:sz w:val="22"/>
        </w:rPr>
      </w:pPr>
      <w:r w:rsidRPr="0078446D">
        <w:rPr>
          <w:rFonts w:ascii="Arial" w:hAnsi="Arial" w:cs="Arial"/>
          <w:color w:val="000000" w:themeColor="text1"/>
          <w:sz w:val="22"/>
        </w:rPr>
        <w:t>L</w:t>
      </w:r>
      <w:r w:rsidRPr="0078446D">
        <w:rPr>
          <w:rFonts w:ascii="Arial" w:eastAsia="Calibri" w:hAnsi="Arial" w:cs="Arial"/>
          <w:color w:val="000000" w:themeColor="text1"/>
          <w:sz w:val="22"/>
        </w:rPr>
        <w:t xml:space="preserve">a </w:t>
      </w:r>
      <w:r w:rsidRPr="00E73574">
        <w:rPr>
          <w:rFonts w:ascii="Arial" w:eastAsia="Calibri" w:hAnsi="Arial" w:cs="Arial"/>
          <w:bCs/>
          <w:i/>
          <w:iCs/>
          <w:color w:val="000000" w:themeColor="text1"/>
          <w:sz w:val="22"/>
        </w:rPr>
        <w:t>capacidad de organización</w:t>
      </w:r>
      <w:r w:rsidRPr="0078446D">
        <w:rPr>
          <w:rFonts w:ascii="Arial" w:eastAsia="Calibri" w:hAnsi="Arial" w:cs="Arial"/>
          <w:color w:val="000000" w:themeColor="text1"/>
          <w:sz w:val="22"/>
        </w:rPr>
        <w:t>, s</w:t>
      </w:r>
      <w:r w:rsidRPr="0078446D">
        <w:rPr>
          <w:rFonts w:ascii="Arial" w:hAnsi="Arial" w:cs="Arial"/>
          <w:color w:val="000000" w:themeColor="text1"/>
          <w:sz w:val="22"/>
        </w:rPr>
        <w:t xml:space="preserve">egún el «Manual para determinar y verificar los requisitos habilitantes en los Procesos de Contratación», elaborado por la Agencia Nacional de Contratación Pública, </w:t>
      </w:r>
      <w:r w:rsidRPr="0078446D">
        <w:rPr>
          <w:rFonts w:ascii="Arial" w:eastAsia="Calibri" w:hAnsi="Arial" w:cs="Arial"/>
          <w:color w:val="000000" w:themeColor="text1"/>
          <w:sz w:val="22"/>
        </w:rPr>
        <w:t xml:space="preserve">es «la aptitud de un proponente para cumplir oportuna y cabalmente el objeto del contrato en función de su organización interna». Según el artículo </w:t>
      </w:r>
      <w:r w:rsidRPr="009710BF">
        <w:rPr>
          <w:rFonts w:ascii="Arial" w:eastAsia="Calibri" w:hAnsi="Arial" w:cs="Arial"/>
          <w:color w:val="000000" w:themeColor="text1"/>
          <w:sz w:val="22"/>
        </w:rPr>
        <w:t>2.2.1.1.1.5.3.</w:t>
      </w:r>
      <w:r>
        <w:rPr>
          <w:rFonts w:ascii="Arial" w:eastAsia="Calibri" w:hAnsi="Arial" w:cs="Arial"/>
          <w:color w:val="000000" w:themeColor="text1"/>
          <w:sz w:val="22"/>
        </w:rPr>
        <w:t xml:space="preserve">, numeral 4, </w:t>
      </w:r>
      <w:r w:rsidRPr="0078446D">
        <w:rPr>
          <w:rFonts w:ascii="Arial" w:eastAsia="Calibri" w:hAnsi="Arial" w:cs="Arial"/>
          <w:color w:val="000000" w:themeColor="text1"/>
          <w:sz w:val="22"/>
        </w:rPr>
        <w:t xml:space="preserve">del Decreto </w:t>
      </w:r>
      <w:r>
        <w:rPr>
          <w:rFonts w:ascii="Arial" w:eastAsia="Calibri" w:hAnsi="Arial" w:cs="Arial"/>
          <w:color w:val="000000" w:themeColor="text1"/>
          <w:sz w:val="22"/>
        </w:rPr>
        <w:t>1082 de 2015</w:t>
      </w:r>
      <w:r w:rsidRPr="0078446D">
        <w:rPr>
          <w:rFonts w:ascii="Arial" w:eastAsia="Calibri" w:hAnsi="Arial" w:cs="Arial"/>
          <w:color w:val="000000" w:themeColor="text1"/>
          <w:sz w:val="22"/>
        </w:rPr>
        <w:t xml:space="preserve">, los indicadores para medir la capacidad organizacional de un proponente son: por un lado, la </w:t>
      </w:r>
      <w:r w:rsidRPr="0078446D">
        <w:rPr>
          <w:rFonts w:ascii="Arial" w:eastAsia="Calibri" w:hAnsi="Arial" w:cs="Arial"/>
          <w:i/>
          <w:iCs/>
          <w:color w:val="000000" w:themeColor="text1"/>
          <w:sz w:val="22"/>
        </w:rPr>
        <w:t>rentabilidad del patrimonio</w:t>
      </w:r>
      <w:r w:rsidRPr="0078446D">
        <w:rPr>
          <w:rFonts w:ascii="Arial" w:eastAsia="Calibri" w:hAnsi="Arial" w:cs="Arial"/>
          <w:color w:val="000000" w:themeColor="text1"/>
          <w:sz w:val="22"/>
        </w:rPr>
        <w:t>, que corresponde a la utilidad operacional dividida por el patrimonio, y que determina la rentabilidad del patrimonio del proponente, es decir, la capacidad de generación de utilidad operacional por cada peso invertido en el patrimonio, del tal forma que</w:t>
      </w:r>
      <w:r>
        <w:rPr>
          <w:rFonts w:ascii="Arial" w:eastAsia="Calibri" w:hAnsi="Arial" w:cs="Arial"/>
          <w:color w:val="000000" w:themeColor="text1"/>
          <w:sz w:val="22"/>
        </w:rPr>
        <w:t>,</w:t>
      </w:r>
      <w:r w:rsidRPr="0078446D">
        <w:rPr>
          <w:rFonts w:ascii="Arial" w:eastAsia="Calibri" w:hAnsi="Arial" w:cs="Arial"/>
          <w:color w:val="000000" w:themeColor="text1"/>
          <w:sz w:val="22"/>
        </w:rPr>
        <w:t xml:space="preserve"> a mayor rentabilidad sobre el patrimonio, mayor es la rentabilidad de los accionistas y mejor la capacidad organizacional del proponente. Por el otro, la </w:t>
      </w:r>
      <w:r w:rsidRPr="0078446D">
        <w:rPr>
          <w:rFonts w:ascii="Arial" w:eastAsia="Calibri" w:hAnsi="Arial" w:cs="Arial"/>
          <w:i/>
          <w:iCs/>
          <w:color w:val="000000" w:themeColor="text1"/>
          <w:sz w:val="22"/>
        </w:rPr>
        <w:t>rentabilidad del activo</w:t>
      </w:r>
      <w:r w:rsidRPr="0078446D">
        <w:rPr>
          <w:rFonts w:ascii="Arial" w:eastAsia="Calibri" w:hAnsi="Arial" w:cs="Arial"/>
          <w:color w:val="000000" w:themeColor="text1"/>
          <w:sz w:val="22"/>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227CB0ED" w14:textId="77777777" w:rsidR="00504A12" w:rsidRPr="0078446D" w:rsidRDefault="00504A12" w:rsidP="00504A12">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Ahora bien, 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w:t>
      </w:r>
      <w:r>
        <w:rPr>
          <w:rFonts w:ascii="Arial" w:hAnsi="Arial" w:cs="Arial"/>
          <w:color w:val="000000" w:themeColor="text1"/>
          <w:sz w:val="22"/>
        </w:rPr>
        <w:t>Pública</w:t>
      </w:r>
      <w:r w:rsidRPr="0078446D">
        <w:rPr>
          <w:rFonts w:ascii="Arial" w:hAnsi="Arial" w:cs="Arial"/>
          <w:color w:val="000000" w:themeColor="text1"/>
          <w:sz w:val="22"/>
        </w:rPr>
        <w:t xml:space="preserve">. </w:t>
      </w:r>
    </w:p>
    <w:p w14:paraId="249C3EE1" w14:textId="77777777" w:rsidR="00504A12" w:rsidRPr="0078446D" w:rsidRDefault="00504A12" w:rsidP="00504A12">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lastRenderedPageBreak/>
        <w:t>Hay otros argumentos que sustentan tal elección interpretativa. Tal y como lo han considerado la Corte Constitucional</w:t>
      </w:r>
      <w:r w:rsidRPr="0078446D">
        <w:rPr>
          <w:rStyle w:val="Refdenotaalpie"/>
          <w:rFonts w:ascii="Arial" w:hAnsi="Arial" w:cs="Arial"/>
          <w:color w:val="000000" w:themeColor="text1"/>
          <w:sz w:val="22"/>
        </w:rPr>
        <w:footnoteReference w:id="10"/>
      </w:r>
      <w:r w:rsidRPr="0078446D">
        <w:rPr>
          <w:rFonts w:ascii="Arial" w:hAnsi="Arial" w:cs="Arial"/>
          <w:color w:val="000000" w:themeColor="text1"/>
          <w:sz w:val="22"/>
        </w:rPr>
        <w:t xml:space="preserve"> y el Consejo de Estado</w:t>
      </w:r>
      <w:r w:rsidRPr="0078446D">
        <w:rPr>
          <w:rStyle w:val="Refdenotaalpie"/>
          <w:rFonts w:ascii="Arial" w:hAnsi="Arial" w:cs="Arial"/>
          <w:color w:val="000000" w:themeColor="text1"/>
          <w:sz w:val="22"/>
        </w:rPr>
        <w:footnoteReference w:id="11"/>
      </w:r>
      <w:r w:rsidRPr="0078446D">
        <w:rPr>
          <w:rFonts w:ascii="Arial" w:hAnsi="Arial" w:cs="Arial"/>
          <w:color w:val="000000" w:themeColor="text1"/>
          <w:sz w:val="22"/>
        </w:rPr>
        <w:t>,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78446D">
        <w:rPr>
          <w:rFonts w:ascii="Arial" w:hAnsi="Arial" w:cs="Arial"/>
          <w:color w:val="000000" w:themeColor="text1"/>
        </w:rPr>
        <w:t>l</w:t>
      </w:r>
      <w:r w:rsidRPr="0078446D">
        <w:rPr>
          <w:rFonts w:ascii="Arial" w:hAnsi="Arial" w:cs="Arial"/>
          <w:color w:val="000000" w:themeColor="text1"/>
          <w:sz w:val="22"/>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w:t>
      </w:r>
      <w:r>
        <w:rPr>
          <w:rFonts w:ascii="Arial" w:hAnsi="Arial" w:cs="Arial"/>
          <w:color w:val="000000" w:themeColor="text1"/>
          <w:sz w:val="22"/>
        </w:rPr>
        <w:t>normativa</w:t>
      </w:r>
      <w:r w:rsidRPr="0078446D">
        <w:rPr>
          <w:rFonts w:ascii="Arial" w:hAnsi="Arial" w:cs="Arial"/>
          <w:color w:val="000000" w:themeColor="text1"/>
          <w:sz w:val="22"/>
        </w:rPr>
        <w:t xml:space="preserve"> que en el mismo artículo se aclare que una exigencia no puede ser considera como requisito habilitante. </w:t>
      </w:r>
    </w:p>
    <w:p w14:paraId="1924FBDB" w14:textId="77777777" w:rsidR="00504A12" w:rsidRPr="0078446D" w:rsidRDefault="00504A12" w:rsidP="00504A12">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La intención del legislador, de la cual dan cuenta los antecedentes legislativos de la norma </w:t>
      </w:r>
      <w:r w:rsidRPr="0078446D">
        <w:rPr>
          <w:rFonts w:ascii="Arial" w:hAnsi="Arial" w:cs="Arial"/>
          <w:i/>
          <w:iCs/>
          <w:color w:val="000000" w:themeColor="text1"/>
          <w:sz w:val="22"/>
        </w:rPr>
        <w:t>sub examine</w:t>
      </w:r>
      <w:r w:rsidRPr="0078446D">
        <w:rPr>
          <w:rFonts w:ascii="Arial" w:hAnsi="Arial" w:cs="Arial"/>
          <w:color w:val="000000" w:themeColor="text1"/>
          <w:sz w:val="22"/>
        </w:rPr>
        <w:t xml:space="preserve">, también justifica la interpretación propuesta por esta Agencia, ya que fue </w:t>
      </w:r>
      <w:r>
        <w:rPr>
          <w:rFonts w:ascii="Arial" w:hAnsi="Arial" w:cs="Arial"/>
          <w:color w:val="000000" w:themeColor="text1"/>
          <w:sz w:val="22"/>
        </w:rPr>
        <w:t xml:space="preserve">hasta </w:t>
      </w:r>
      <w:r w:rsidRPr="0078446D">
        <w:rPr>
          <w:rFonts w:ascii="Arial" w:hAnsi="Arial" w:cs="Arial"/>
          <w:color w:val="000000" w:themeColor="text1"/>
          <w:sz w:val="22"/>
        </w:rPr>
        <w:t xml:space="preserve">el cuarto debate </w:t>
      </w:r>
      <w:r>
        <w:rPr>
          <w:rFonts w:ascii="Arial" w:hAnsi="Arial" w:cs="Arial"/>
          <w:color w:val="000000" w:themeColor="text1"/>
          <w:sz w:val="22"/>
        </w:rPr>
        <w:t xml:space="preserve">parlamentario en </w:t>
      </w:r>
      <w:r w:rsidRPr="0078446D">
        <w:rPr>
          <w:rFonts w:ascii="Arial" w:hAnsi="Arial" w:cs="Arial"/>
          <w:color w:val="000000" w:themeColor="text1"/>
          <w:sz w:val="22"/>
        </w:rPr>
        <w:t>donde se incluyó el parágrafo comentando anteriormente</w:t>
      </w:r>
      <w:r w:rsidRPr="0078446D">
        <w:rPr>
          <w:rStyle w:val="Refdenotaalpie"/>
          <w:rFonts w:ascii="Arial" w:hAnsi="Arial" w:cs="Arial"/>
          <w:color w:val="000000" w:themeColor="text1"/>
          <w:sz w:val="22"/>
        </w:rPr>
        <w:footnoteReference w:id="12"/>
      </w:r>
      <w:r w:rsidRPr="0078446D">
        <w:rPr>
          <w:rFonts w:ascii="Arial" w:hAnsi="Arial" w:cs="Arial"/>
          <w:color w:val="000000" w:themeColor="text1"/>
          <w:sz w:val="22"/>
        </w:rPr>
        <w:t>, lo que deja ver la necesidad que tenía el Congreso de aclarar que unos documentos no podrían ser tenidos como requisitos habilitantes, lo que da cuenta</w:t>
      </w:r>
      <w:r>
        <w:rPr>
          <w:rFonts w:ascii="Arial" w:hAnsi="Arial" w:cs="Arial"/>
          <w:color w:val="000000" w:themeColor="text1"/>
          <w:sz w:val="22"/>
        </w:rPr>
        <w:t xml:space="preserve">, a su vez, </w:t>
      </w:r>
      <w:r w:rsidRPr="0078446D">
        <w:rPr>
          <w:rFonts w:ascii="Arial" w:hAnsi="Arial" w:cs="Arial"/>
          <w:color w:val="000000" w:themeColor="text1"/>
          <w:sz w:val="22"/>
        </w:rPr>
        <w:t>de su reconocimiento tácito de la existencia de otros requisitos habilitantes</w:t>
      </w:r>
      <w:r>
        <w:rPr>
          <w:rFonts w:ascii="Arial" w:hAnsi="Arial" w:cs="Arial"/>
          <w:color w:val="000000" w:themeColor="text1"/>
          <w:sz w:val="22"/>
        </w:rPr>
        <w:t>,</w:t>
      </w:r>
      <w:r w:rsidRPr="0078446D">
        <w:rPr>
          <w:rFonts w:ascii="Arial" w:hAnsi="Arial" w:cs="Arial"/>
          <w:color w:val="000000" w:themeColor="text1"/>
          <w:sz w:val="22"/>
        </w:rPr>
        <w:t xml:space="preserve"> distintos a los cuatro </w:t>
      </w:r>
      <w:r>
        <w:rPr>
          <w:rFonts w:ascii="Arial" w:hAnsi="Arial" w:cs="Arial"/>
          <w:color w:val="000000" w:themeColor="text1"/>
          <w:sz w:val="22"/>
        </w:rPr>
        <w:t>que establece el artículo 5, parágrafo 1, de la Ley 1150 de 2007</w:t>
      </w:r>
      <w:r w:rsidRPr="0078446D">
        <w:rPr>
          <w:rFonts w:ascii="Arial" w:hAnsi="Arial" w:cs="Arial"/>
          <w:color w:val="000000" w:themeColor="text1"/>
          <w:sz w:val="22"/>
        </w:rPr>
        <w:t>.</w:t>
      </w:r>
    </w:p>
    <w:p w14:paraId="3ADECA4A" w14:textId="77777777" w:rsidR="00504A12" w:rsidRPr="0078446D" w:rsidRDefault="00504A12" w:rsidP="00504A12">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Por otro lado, en el referido «Manual para determinar y verificar los requisitos habilitantes en los Procesos de Contratación» se determinaron los parámetros para </w:t>
      </w:r>
      <w:r w:rsidRPr="0078446D">
        <w:rPr>
          <w:rFonts w:ascii="Arial" w:hAnsi="Arial" w:cs="Arial"/>
          <w:i/>
          <w:iCs/>
          <w:color w:val="000000" w:themeColor="text1"/>
          <w:sz w:val="22"/>
        </w:rPr>
        <w:t>establecer</w:t>
      </w:r>
      <w:r w:rsidRPr="0078446D">
        <w:rPr>
          <w:rFonts w:ascii="Arial" w:hAnsi="Arial" w:cs="Arial"/>
          <w:color w:val="000000" w:themeColor="text1"/>
          <w:sz w:val="22"/>
        </w:rPr>
        <w:t xml:space="preserve">, </w:t>
      </w:r>
      <w:r w:rsidRPr="0078446D">
        <w:rPr>
          <w:rFonts w:ascii="Arial" w:hAnsi="Arial" w:cs="Arial"/>
          <w:i/>
          <w:iCs/>
          <w:color w:val="000000" w:themeColor="text1"/>
          <w:sz w:val="22"/>
        </w:rPr>
        <w:t>acreditar</w:t>
      </w:r>
      <w:r w:rsidRPr="0078446D">
        <w:rPr>
          <w:rFonts w:ascii="Arial" w:hAnsi="Arial" w:cs="Arial"/>
          <w:color w:val="000000" w:themeColor="text1"/>
          <w:sz w:val="22"/>
        </w:rPr>
        <w:t xml:space="preserve"> y </w:t>
      </w:r>
      <w:r w:rsidRPr="0078446D">
        <w:rPr>
          <w:rFonts w:ascii="Arial" w:hAnsi="Arial" w:cs="Arial"/>
          <w:i/>
          <w:iCs/>
          <w:color w:val="000000" w:themeColor="text1"/>
          <w:sz w:val="22"/>
        </w:rPr>
        <w:t>subsanar</w:t>
      </w:r>
      <w:r w:rsidRPr="0078446D">
        <w:rPr>
          <w:rFonts w:ascii="Arial" w:hAnsi="Arial" w:cs="Arial"/>
          <w:color w:val="000000" w:themeColor="text1"/>
          <w:sz w:val="22"/>
        </w:rPr>
        <w:t xml:space="preserve"> los requisitos habilitantes </w:t>
      </w:r>
      <w:r>
        <w:rPr>
          <w:rFonts w:ascii="Arial" w:hAnsi="Arial" w:cs="Arial"/>
          <w:color w:val="000000" w:themeColor="text1"/>
          <w:sz w:val="22"/>
        </w:rPr>
        <w:t>estudiados</w:t>
      </w:r>
      <w:r w:rsidRPr="0078446D">
        <w:rPr>
          <w:rFonts w:ascii="Arial" w:hAnsi="Arial" w:cs="Arial"/>
          <w:color w:val="000000" w:themeColor="text1"/>
          <w:sz w:val="22"/>
        </w:rPr>
        <w:t xml:space="preserve">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Su propósito es, </w:t>
      </w:r>
      <w:r>
        <w:rPr>
          <w:rFonts w:ascii="Arial" w:hAnsi="Arial" w:cs="Arial"/>
          <w:color w:val="000000" w:themeColor="text1"/>
          <w:sz w:val="22"/>
        </w:rPr>
        <w:t>según el Manual</w:t>
      </w:r>
      <w:r w:rsidRPr="0078446D">
        <w:rPr>
          <w:rFonts w:ascii="Arial" w:hAnsi="Arial" w:cs="Arial"/>
          <w:color w:val="000000" w:themeColor="text1"/>
          <w:sz w:val="22"/>
        </w:rPr>
        <w:t>, «establecer unas condiciones mínimas para los proponentes de tal manera que la Entidad Estatal sólo evalúe las ofertas de aquellos que están en condiciones de cumplir con el objeto del Proceso de Contratación».</w:t>
      </w:r>
    </w:p>
    <w:p w14:paraId="10034889" w14:textId="77777777" w:rsidR="00504A12" w:rsidRPr="0078446D" w:rsidRDefault="00504A12" w:rsidP="00504A12">
      <w:pPr>
        <w:spacing w:before="120" w:line="276" w:lineRule="auto"/>
        <w:ind w:firstLine="709"/>
        <w:jc w:val="both"/>
        <w:rPr>
          <w:rFonts w:ascii="Arial" w:hAnsi="Arial" w:cs="Arial"/>
          <w:color w:val="000000" w:themeColor="text1"/>
          <w:sz w:val="22"/>
        </w:rPr>
      </w:pPr>
      <w:bookmarkStart w:id="3" w:name="_Hlk34917473"/>
      <w:r w:rsidRPr="0078446D">
        <w:rPr>
          <w:rFonts w:ascii="Arial" w:hAnsi="Arial" w:cs="Arial"/>
          <w:color w:val="000000" w:themeColor="text1"/>
          <w:sz w:val="22"/>
        </w:rPr>
        <w:lastRenderedPageBreak/>
        <w:t xml:space="preserve">Corresponde a las entidades estatales, durante la etapa de planeación del contrato estatal, estudiar y </w:t>
      </w:r>
      <w:r w:rsidRPr="00E73574">
        <w:rPr>
          <w:rFonts w:ascii="Arial" w:hAnsi="Arial" w:cs="Arial"/>
          <w:bCs/>
          <w:iCs/>
          <w:color w:val="000000" w:themeColor="text1"/>
          <w:sz w:val="22"/>
        </w:rPr>
        <w:t>determinar</w:t>
      </w:r>
      <w:r w:rsidRPr="0078446D">
        <w:rPr>
          <w:rFonts w:ascii="Arial" w:hAnsi="Arial" w:cs="Arial"/>
          <w:color w:val="000000" w:themeColor="text1"/>
          <w:sz w:val="22"/>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78446D">
        <w:rPr>
          <w:rFonts w:ascii="Arial" w:hAnsi="Arial" w:cs="Arial"/>
          <w:i/>
          <w:iCs/>
          <w:color w:val="000000" w:themeColor="text1"/>
          <w:sz w:val="22"/>
        </w:rPr>
        <w:t>riesgos</w:t>
      </w:r>
      <w:r w:rsidRPr="0078446D">
        <w:rPr>
          <w:rFonts w:ascii="Arial" w:hAnsi="Arial" w:cs="Arial"/>
          <w:color w:val="000000" w:themeColor="text1"/>
          <w:sz w:val="22"/>
        </w:rPr>
        <w:t xml:space="preserve"> </w:t>
      </w:r>
      <w:r w:rsidRPr="0078446D">
        <w:rPr>
          <w:rFonts w:ascii="Arial" w:hAnsi="Arial" w:cs="Arial"/>
          <w:i/>
          <w:iCs/>
          <w:color w:val="000000" w:themeColor="text1"/>
          <w:sz w:val="22"/>
        </w:rPr>
        <w:t>asociados al contrato</w:t>
      </w:r>
      <w:r w:rsidRPr="0078446D">
        <w:rPr>
          <w:rFonts w:ascii="Arial" w:hAnsi="Arial" w:cs="Arial"/>
          <w:color w:val="000000" w:themeColor="text1"/>
          <w:sz w:val="22"/>
        </w:rPr>
        <w:t>, el plazo y la complejidad de ejecución del objeto. Todo porque el ejercicio de la facultad de establecer los requisitos habilitantes no puede ejercerse de forma arbitraria, caprichosa y, mucho menos, con el ánimo de direccionar el proceso de contratación o favorecer a alguno de los proponentes</w:t>
      </w:r>
      <w:r>
        <w:rPr>
          <w:rFonts w:ascii="Arial" w:hAnsi="Arial" w:cs="Arial"/>
          <w:color w:val="000000" w:themeColor="text1"/>
          <w:sz w:val="22"/>
        </w:rPr>
        <w:t>, así como tampoco puede ejercerse desconociendo límites legales, por ejemplo, como el que estable el artículo 5,</w:t>
      </w:r>
      <w:r w:rsidRPr="00007785">
        <w:rPr>
          <w:rFonts w:ascii="Arial" w:hAnsi="Arial" w:cs="Arial"/>
          <w:color w:val="000000" w:themeColor="text1"/>
          <w:sz w:val="22"/>
        </w:rPr>
        <w:t xml:space="preserve"> </w:t>
      </w:r>
      <w:r>
        <w:rPr>
          <w:rFonts w:ascii="Arial" w:hAnsi="Arial" w:cs="Arial"/>
          <w:color w:val="000000" w:themeColor="text1"/>
          <w:sz w:val="22"/>
        </w:rPr>
        <w:t xml:space="preserve">parágrafo 2, de la Ley 1150 de 2007, </w:t>
      </w:r>
      <w:r w:rsidRPr="0078446D">
        <w:rPr>
          <w:rFonts w:ascii="Arial" w:hAnsi="Arial" w:cs="Arial"/>
          <w:color w:val="000000" w:themeColor="text1"/>
          <w:sz w:val="22"/>
          <w:lang w:val="es-ES"/>
        </w:rPr>
        <w:t>relacionad</w:t>
      </w:r>
      <w:r>
        <w:rPr>
          <w:rFonts w:ascii="Arial" w:hAnsi="Arial" w:cs="Arial"/>
          <w:color w:val="000000" w:themeColor="text1"/>
          <w:sz w:val="22"/>
          <w:lang w:val="es-ES"/>
        </w:rPr>
        <w:t>o</w:t>
      </w:r>
      <w:r w:rsidRPr="0078446D">
        <w:rPr>
          <w:rFonts w:ascii="Arial" w:hAnsi="Arial" w:cs="Arial"/>
          <w:color w:val="000000" w:themeColor="text1"/>
          <w:sz w:val="22"/>
          <w:lang w:val="es-ES"/>
        </w:rPr>
        <w:t xml:space="preserve"> con la prohibición de exigir certificaciones de sistemas de gestión de calidad como requisito habilitante</w:t>
      </w:r>
      <w:r w:rsidRPr="0078446D">
        <w:rPr>
          <w:rFonts w:ascii="Arial" w:hAnsi="Arial" w:cs="Arial"/>
          <w:color w:val="000000" w:themeColor="text1"/>
          <w:sz w:val="22"/>
        </w:rPr>
        <w:t xml:space="preserve">. </w:t>
      </w:r>
    </w:p>
    <w:bookmarkEnd w:id="3"/>
    <w:p w14:paraId="69026677" w14:textId="77777777" w:rsidR="00504A12" w:rsidRPr="0078446D" w:rsidRDefault="00504A12" w:rsidP="00504A12">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r>
        <w:rPr>
          <w:rFonts w:ascii="Arial" w:hAnsi="Arial" w:cs="Arial"/>
          <w:color w:val="000000" w:themeColor="text1"/>
          <w:sz w:val="22"/>
        </w:rPr>
        <w:t>.</w:t>
      </w:r>
    </w:p>
    <w:p w14:paraId="1C21D400" w14:textId="77777777" w:rsidR="00504A12" w:rsidRPr="0078446D" w:rsidRDefault="00504A12" w:rsidP="00504A12">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De todos modos, como se dijo antes, para la configuración de los requisitos habilitantes, la entidad no está limitada a los cuatro que enuncia el artículo 5, numeral 1, de la Ley 1150 de 2007, pues, se insiste, estos son solo enunciativos y no taxativos.</w:t>
      </w:r>
    </w:p>
    <w:p w14:paraId="58CEC5A3" w14:textId="77777777" w:rsidR="00504A12" w:rsidRDefault="00504A12" w:rsidP="00504A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Como c</w:t>
      </w:r>
      <w:r w:rsidRPr="0078446D">
        <w:rPr>
          <w:rFonts w:ascii="Arial" w:eastAsia="Calibri" w:hAnsi="Arial" w:cs="Arial"/>
          <w:color w:val="000000" w:themeColor="text1"/>
          <w:sz w:val="22"/>
        </w:rPr>
        <w:t>onclusión de lo anterior</w:t>
      </w:r>
      <w:r>
        <w:rPr>
          <w:rFonts w:ascii="Arial" w:eastAsia="Calibri" w:hAnsi="Arial" w:cs="Arial"/>
          <w:color w:val="000000" w:themeColor="text1"/>
          <w:sz w:val="22"/>
        </w:rPr>
        <w:t>,</w:t>
      </w:r>
      <w:r w:rsidRPr="0078446D">
        <w:rPr>
          <w:rFonts w:ascii="Arial" w:eastAsia="Calibri" w:hAnsi="Arial" w:cs="Arial"/>
          <w:color w:val="000000" w:themeColor="text1"/>
          <w:sz w:val="22"/>
        </w:rPr>
        <w:t xml:space="preserve">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w:t>
      </w:r>
      <w:r>
        <w:rPr>
          <w:rFonts w:ascii="Arial" w:eastAsia="Calibri" w:hAnsi="Arial" w:cs="Arial"/>
          <w:color w:val="000000" w:themeColor="text1"/>
          <w:sz w:val="22"/>
        </w:rPr>
        <w:t>establecidos</w:t>
      </w:r>
      <w:r w:rsidRPr="0078446D">
        <w:rPr>
          <w:rFonts w:ascii="Arial" w:eastAsia="Calibri" w:hAnsi="Arial" w:cs="Arial"/>
          <w:color w:val="000000" w:themeColor="text1"/>
          <w:sz w:val="22"/>
        </w:rPr>
        <w:t xml:space="preserve"> los requisitos de habilitación, quienes presenten ofertas deben acreditar que cumplen con ellos, so pena de que sus propuestas sean rechazadas, claro está, sin perjuicio de la posibilidad de subsanarlas</w:t>
      </w:r>
      <w:r>
        <w:rPr>
          <w:rFonts w:ascii="Arial" w:eastAsia="Calibri" w:hAnsi="Arial" w:cs="Arial"/>
          <w:color w:val="000000" w:themeColor="text1"/>
          <w:sz w:val="22"/>
        </w:rPr>
        <w:t>, cuando a ello haya lugar</w:t>
      </w:r>
      <w:r w:rsidRPr="0078446D">
        <w:rPr>
          <w:rFonts w:ascii="Arial" w:eastAsia="Calibri" w:hAnsi="Arial" w:cs="Arial"/>
          <w:color w:val="000000" w:themeColor="text1"/>
          <w:sz w:val="22"/>
        </w:rPr>
        <w:t xml:space="preserve">. Todo, dentro de los parámetros explicados en las consideraciones </w:t>
      </w:r>
      <w:r>
        <w:rPr>
          <w:rFonts w:ascii="Arial" w:eastAsia="Calibri" w:hAnsi="Arial" w:cs="Arial"/>
          <w:color w:val="000000" w:themeColor="text1"/>
          <w:sz w:val="22"/>
        </w:rPr>
        <w:t>anteriores</w:t>
      </w:r>
      <w:r w:rsidRPr="0078446D">
        <w:rPr>
          <w:rFonts w:ascii="Arial" w:eastAsia="Calibri" w:hAnsi="Arial" w:cs="Arial"/>
          <w:color w:val="000000" w:themeColor="text1"/>
          <w:sz w:val="22"/>
        </w:rPr>
        <w:t>.</w:t>
      </w:r>
    </w:p>
    <w:p w14:paraId="0F80DC8E" w14:textId="77777777" w:rsidR="00504A12" w:rsidRPr="00FE6C21" w:rsidRDefault="00504A12" w:rsidP="00504A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Lo dicho, claro está, sin perjuicio de las prohibiciones legales. Por ejemplo, en el caso de los requisitos habilitantes, el artículo 5, parágrafo 2, de la Ley 1150 de 2007 establece que las «</w:t>
      </w:r>
      <w:r w:rsidRPr="00353E79">
        <w:rPr>
          <w:rFonts w:ascii="Arial" w:eastAsia="Calibri" w:hAnsi="Arial" w:cs="Arial"/>
          <w:color w:val="000000" w:themeColor="text1"/>
          <w:sz w:val="22"/>
        </w:rPr>
        <w:t xml:space="preserve">certificaciones de sistemas de gestión de calidad no serán objeto de calificación, ni </w:t>
      </w:r>
      <w:r w:rsidRPr="00FE6C21">
        <w:rPr>
          <w:rFonts w:ascii="Arial" w:eastAsia="Calibri" w:hAnsi="Arial" w:cs="Arial"/>
          <w:color w:val="000000" w:themeColor="text1"/>
          <w:sz w:val="22"/>
        </w:rPr>
        <w:t>podrán establecerse como documento habilitante para participar en licitaciones o concursos». Es del caso precisar que esta prohibición comprende los requisitos habilitantes y, adem</w:t>
      </w:r>
      <w:r>
        <w:rPr>
          <w:rFonts w:ascii="Arial" w:eastAsia="Calibri" w:hAnsi="Arial" w:cs="Arial"/>
          <w:color w:val="000000" w:themeColor="text1"/>
          <w:sz w:val="22"/>
        </w:rPr>
        <w:t>á</w:t>
      </w:r>
      <w:r w:rsidRPr="00FE6C21">
        <w:rPr>
          <w:rFonts w:ascii="Arial" w:eastAsia="Calibri" w:hAnsi="Arial" w:cs="Arial"/>
          <w:color w:val="000000" w:themeColor="text1"/>
          <w:sz w:val="22"/>
        </w:rPr>
        <w:t>s, los requisitos puntuables, pues la norma pro</w:t>
      </w:r>
      <w:r>
        <w:rPr>
          <w:rFonts w:ascii="Arial" w:eastAsia="Calibri" w:hAnsi="Arial" w:cs="Arial"/>
          <w:color w:val="000000" w:themeColor="text1"/>
          <w:sz w:val="22"/>
        </w:rPr>
        <w:t>hí</w:t>
      </w:r>
      <w:r w:rsidRPr="00FE6C21">
        <w:rPr>
          <w:rFonts w:ascii="Arial" w:eastAsia="Calibri" w:hAnsi="Arial" w:cs="Arial"/>
          <w:color w:val="000000" w:themeColor="text1"/>
          <w:sz w:val="22"/>
        </w:rPr>
        <w:t>be expresamente que dichas certificaciones sean objeto de calificación. En efecto, el parágrafo en mención establece:</w:t>
      </w:r>
    </w:p>
    <w:p w14:paraId="5D99DAFF" w14:textId="77777777" w:rsidR="00504A12" w:rsidRPr="00FE6C21" w:rsidRDefault="00504A12" w:rsidP="00504A12">
      <w:pPr>
        <w:spacing w:line="276" w:lineRule="auto"/>
        <w:ind w:firstLine="709"/>
        <w:jc w:val="both"/>
        <w:rPr>
          <w:rFonts w:ascii="Arial" w:eastAsia="Calibri" w:hAnsi="Arial" w:cs="Arial"/>
          <w:color w:val="000000" w:themeColor="text1"/>
          <w:sz w:val="22"/>
        </w:rPr>
      </w:pPr>
    </w:p>
    <w:p w14:paraId="7273574E" w14:textId="77777777" w:rsidR="00504A12" w:rsidRPr="00FE6C21" w:rsidRDefault="00504A12" w:rsidP="00504A12">
      <w:pPr>
        <w:spacing w:before="120"/>
        <w:ind w:left="709" w:right="758"/>
        <w:jc w:val="both"/>
        <w:rPr>
          <w:rFonts w:ascii="Arial" w:eastAsia="Calibri" w:hAnsi="Arial" w:cs="Arial"/>
          <w:color w:val="000000" w:themeColor="text1"/>
          <w:sz w:val="21"/>
          <w:szCs w:val="21"/>
          <w:lang w:val="es-CO"/>
        </w:rPr>
      </w:pPr>
      <w:r w:rsidRPr="00FE6C21">
        <w:rPr>
          <w:rFonts w:ascii="Arial" w:eastAsia="Calibri" w:hAnsi="Arial" w:cs="Arial"/>
          <w:color w:val="000000" w:themeColor="text1"/>
          <w:sz w:val="21"/>
          <w:szCs w:val="21"/>
          <w:lang w:val="es-CO"/>
        </w:rPr>
        <w:lastRenderedPageBreak/>
        <w:t xml:space="preserve">PARÁGRAFO 2o. Las certificaciones de sistemas de gestión de calidad </w:t>
      </w:r>
      <w:r w:rsidRPr="00FE6C21">
        <w:rPr>
          <w:rFonts w:ascii="Arial" w:eastAsia="Calibri" w:hAnsi="Arial" w:cs="Arial"/>
          <w:i/>
          <w:color w:val="000000" w:themeColor="text1"/>
          <w:sz w:val="21"/>
          <w:szCs w:val="21"/>
          <w:lang w:val="es-CO"/>
        </w:rPr>
        <w:t>no serán objeto de calificación</w:t>
      </w:r>
      <w:r w:rsidRPr="00FE6C21">
        <w:rPr>
          <w:rFonts w:ascii="Arial" w:eastAsia="Calibri" w:hAnsi="Arial" w:cs="Arial"/>
          <w:color w:val="000000" w:themeColor="text1"/>
          <w:sz w:val="21"/>
          <w:szCs w:val="21"/>
          <w:lang w:val="es-CO"/>
        </w:rPr>
        <w:t>, ni podrán establecerse como documento habilitante para participar en licitaciones o concursos. (Cursivas fuera de texto)</w:t>
      </w:r>
    </w:p>
    <w:p w14:paraId="4DE9300A" w14:textId="77777777" w:rsidR="00504A12" w:rsidRPr="00FE6C21" w:rsidRDefault="00504A12" w:rsidP="00504A12">
      <w:pPr>
        <w:spacing w:line="276" w:lineRule="auto"/>
        <w:ind w:firstLine="709"/>
        <w:jc w:val="both"/>
        <w:rPr>
          <w:rFonts w:ascii="Arial" w:eastAsia="Calibri" w:hAnsi="Arial" w:cs="Arial"/>
          <w:color w:val="000000" w:themeColor="text1"/>
          <w:sz w:val="22"/>
          <w:lang w:val="es-CO"/>
        </w:rPr>
      </w:pPr>
    </w:p>
    <w:p w14:paraId="05E4CE45" w14:textId="77777777" w:rsidR="00504A12" w:rsidRPr="00FE6C21" w:rsidRDefault="00504A12" w:rsidP="00193AB9">
      <w:pPr>
        <w:spacing w:line="276" w:lineRule="auto"/>
        <w:ind w:firstLine="709"/>
        <w:jc w:val="both"/>
        <w:rPr>
          <w:rFonts w:ascii="Arial" w:eastAsia="Calibri" w:hAnsi="Arial" w:cs="Arial"/>
          <w:color w:val="000000" w:themeColor="text1"/>
          <w:sz w:val="22"/>
          <w:lang w:val="es-CO"/>
        </w:rPr>
      </w:pPr>
      <w:r w:rsidRPr="00FE6C21">
        <w:rPr>
          <w:rFonts w:ascii="Arial" w:eastAsia="Calibri" w:hAnsi="Arial" w:cs="Arial"/>
          <w:color w:val="000000" w:themeColor="text1"/>
          <w:sz w:val="22"/>
        </w:rPr>
        <w:t>Ese es el criterio actual en el Consejo de Estado. En efecto, en concepto del 20 de mayo del 2010, la Sala de Consulta y Servicio Civil de dicha Corporación aclaró que «</w:t>
      </w:r>
      <w:r w:rsidRPr="00FE6C21">
        <w:t xml:space="preserve">[…] </w:t>
      </w:r>
      <w:r w:rsidRPr="00FE6C21">
        <w:rPr>
          <w:rFonts w:ascii="Arial" w:eastAsia="Calibri" w:hAnsi="Arial" w:cs="Arial"/>
          <w:color w:val="000000" w:themeColor="text1"/>
          <w:sz w:val="22"/>
        </w:rPr>
        <w:t>Los certificados de gestión de calidad no se pueden solicitar a los proponentes, ni como requisito habilitante para participar en los procesos de selección, ni para otorgar puntaje»</w:t>
      </w:r>
      <w:r w:rsidRPr="00FE6C21">
        <w:rPr>
          <w:rStyle w:val="Refdenotaalpie"/>
          <w:rFonts w:ascii="Arial" w:eastAsia="Calibri" w:hAnsi="Arial" w:cs="Arial"/>
          <w:color w:val="000000" w:themeColor="text1"/>
          <w:sz w:val="22"/>
        </w:rPr>
        <w:footnoteReference w:id="13"/>
      </w:r>
      <w:r w:rsidRPr="00FE6C21">
        <w:rPr>
          <w:rFonts w:ascii="Arial" w:eastAsia="Calibri" w:hAnsi="Arial" w:cs="Arial"/>
          <w:color w:val="000000" w:themeColor="text1"/>
          <w:sz w:val="22"/>
        </w:rPr>
        <w:t>.</w:t>
      </w:r>
    </w:p>
    <w:p w14:paraId="35C9F05A" w14:textId="77777777" w:rsidR="00504A12" w:rsidRDefault="00504A12" w:rsidP="00504A12">
      <w:pPr>
        <w:spacing w:before="120" w:line="276" w:lineRule="auto"/>
        <w:ind w:firstLine="709"/>
        <w:jc w:val="both"/>
        <w:rPr>
          <w:rFonts w:ascii="Arial" w:eastAsia="Calibri" w:hAnsi="Arial" w:cs="Arial"/>
          <w:color w:val="000000" w:themeColor="text1"/>
          <w:sz w:val="22"/>
        </w:rPr>
      </w:pPr>
      <w:r w:rsidRPr="00FE6C21">
        <w:rPr>
          <w:rFonts w:ascii="Arial" w:eastAsia="Calibri" w:hAnsi="Arial" w:cs="Arial"/>
          <w:color w:val="000000" w:themeColor="text1"/>
          <w:sz w:val="22"/>
        </w:rPr>
        <w:t>Es del caso precisar que, a juicio de la Agencia Nacional de Contratación Pública, tal prohibición no se restringe a la exigencia de la certificación o el documento como tal, sino que debe entenderse en relación con la implementación</w:t>
      </w:r>
      <w:r>
        <w:rPr>
          <w:rFonts w:ascii="Arial" w:eastAsia="Calibri" w:hAnsi="Arial" w:cs="Arial"/>
          <w:color w:val="000000" w:themeColor="text1"/>
          <w:sz w:val="22"/>
        </w:rPr>
        <w:t xml:space="preserve"> de un sistema de gestión de calidad en sí mismo. En ese sentido, lo que prohíbe el legislador es que la entidad les exija a los proponentes, a título de requisito habilitante o calificable, la implementación de un sistema de gestión de calidad. Ese es el efecto útil de la norma </w:t>
      </w:r>
      <w:r>
        <w:rPr>
          <w:rFonts w:ascii="Arial" w:eastAsia="Calibri" w:hAnsi="Arial" w:cs="Arial"/>
          <w:i/>
          <w:iCs/>
          <w:color w:val="000000" w:themeColor="text1"/>
          <w:sz w:val="22"/>
        </w:rPr>
        <w:t>sub examine</w:t>
      </w:r>
      <w:r>
        <w:rPr>
          <w:rFonts w:ascii="Arial" w:eastAsia="Calibri" w:hAnsi="Arial" w:cs="Arial"/>
          <w:color w:val="000000" w:themeColor="text1"/>
          <w:sz w:val="22"/>
        </w:rPr>
        <w:t>, pues, aceptar una lectura exegética del parágrafo, implicaría asumir que una entidad está autorizada para exigir como requisito habilitante el cumplimiento de normas que hacen parte de sistemas de gestión de la calidad, verbi gracia ISO o ICONTEC, entre otras, sin pedir expresamente el documento o certificado que se expide al verificar estos estándares de calidad, lo cual, por un lado, le resta efectos prácticos a la prohibición establecida por el legislador y, por el otro, desconoce la finalidad perseguida por la norma.</w:t>
      </w:r>
    </w:p>
    <w:p w14:paraId="1F168AE2" w14:textId="4E0292AF" w:rsidR="00504A12" w:rsidRDefault="00504A12" w:rsidP="00504A12">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Lo dicho antes no quiere decir que durante la ejecución del contrato estatal la entidad no pueda y deba supervisar el cumplimiento de unos estándares mínimos de calidad que exige la ley en algunos eventos específicos y determinados, como es el caso de los estándares mínimos del Gestión Ambiental y el Sistema de Gestión de la Seguridad y Salud en el Trabajo «SG-SST», reglamentados por medio de las Resoluciones 2140</w:t>
      </w:r>
      <w:r w:rsidRPr="00877DC9">
        <w:rPr>
          <w:rFonts w:ascii="Arial" w:eastAsia="Calibri" w:hAnsi="Arial" w:cs="Arial"/>
          <w:color w:val="000000" w:themeColor="text1"/>
          <w:sz w:val="22"/>
        </w:rPr>
        <w:t xml:space="preserve"> de </w:t>
      </w:r>
      <w:r>
        <w:rPr>
          <w:rFonts w:ascii="Arial" w:eastAsia="Calibri" w:hAnsi="Arial" w:cs="Arial"/>
          <w:color w:val="000000" w:themeColor="text1"/>
          <w:sz w:val="22"/>
        </w:rPr>
        <w:t>7 de noviembre</w:t>
      </w:r>
      <w:r w:rsidRPr="00877DC9">
        <w:rPr>
          <w:rFonts w:ascii="Arial" w:eastAsia="Calibri" w:hAnsi="Arial" w:cs="Arial"/>
          <w:color w:val="000000" w:themeColor="text1"/>
          <w:sz w:val="22"/>
        </w:rPr>
        <w:t xml:space="preserve"> de 201</w:t>
      </w:r>
      <w:r>
        <w:rPr>
          <w:rFonts w:ascii="Arial" w:eastAsia="Calibri" w:hAnsi="Arial" w:cs="Arial"/>
          <w:color w:val="000000" w:themeColor="text1"/>
          <w:sz w:val="22"/>
        </w:rPr>
        <w:t>7 y 0312 del 13 de febrero de 2019, expedidas por el Ministerio de Ambiente y el Ministerio del Trabajo, respectivamente. Por ejemplo, los artículos 3, 9, 16 y 20 de esa resolución establecen exigencias mínimas que deberán cumplir las empresas, empleadores y contratantes a los que se refiere el artículo 2 de dicho acto administrativo, en relación con la seguridad en el trabajo y los estándares mínimos para la salud en el trabajo.</w:t>
      </w:r>
    </w:p>
    <w:p w14:paraId="3EDABFF1" w14:textId="77777777" w:rsidR="00504A12" w:rsidRDefault="00504A12" w:rsidP="00504A12">
      <w:pPr>
        <w:tabs>
          <w:tab w:val="left" w:pos="0"/>
        </w:tabs>
        <w:spacing w:before="120" w:line="276" w:lineRule="auto"/>
        <w:jc w:val="both"/>
        <w:rPr>
          <w:rFonts w:ascii="Arial" w:eastAsia="Calibri" w:hAnsi="Arial" w:cs="Arial"/>
          <w:bCs/>
          <w:color w:val="000000" w:themeColor="text1"/>
          <w:sz w:val="22"/>
          <w:lang w:val="es-ES"/>
        </w:rPr>
      </w:pPr>
      <w:r w:rsidRPr="0078446D">
        <w:rPr>
          <w:rFonts w:ascii="Arial" w:eastAsia="Calibri" w:hAnsi="Arial" w:cs="Arial"/>
          <w:bCs/>
          <w:color w:val="000000" w:themeColor="text1"/>
          <w:sz w:val="22"/>
          <w:lang w:val="es-ES"/>
        </w:rPr>
        <w:tab/>
        <w:t>En este punto, resulta del caso resaltar la Circular No. 21 del 30 de diciembre de 2016, expedida por la Procuraduría General de la Nación, en donde el ente de control estableció que para vigilar la ejecución contractual, sin importar la modalidad de selección, se deben controlar los aspectos identificados en el artículo 83, inciso 2, de la Ley 1474 de 2011, dentro de los que aquí se resalta</w:t>
      </w:r>
      <w:r>
        <w:rPr>
          <w:rFonts w:ascii="Arial" w:eastAsia="Calibri" w:hAnsi="Arial" w:cs="Arial"/>
          <w:bCs/>
          <w:color w:val="000000" w:themeColor="text1"/>
          <w:sz w:val="22"/>
          <w:lang w:val="es-ES"/>
        </w:rPr>
        <w:t>,</w:t>
      </w:r>
      <w:r w:rsidRPr="0078446D">
        <w:rPr>
          <w:rFonts w:ascii="Arial" w:eastAsia="Calibri" w:hAnsi="Arial" w:cs="Arial"/>
          <w:bCs/>
          <w:color w:val="000000" w:themeColor="text1"/>
          <w:sz w:val="22"/>
          <w:lang w:val="es-ES"/>
        </w:rPr>
        <w:t xml:space="preserve"> el aspecto técnico, según el cual se debe verificar que el contrato se adelante «de conformidad con las normas técnicas aplicables según los </w:t>
      </w:r>
      <w:r w:rsidRPr="0078446D">
        <w:rPr>
          <w:rFonts w:ascii="Arial" w:eastAsia="Calibri" w:hAnsi="Arial" w:cs="Arial"/>
          <w:bCs/>
          <w:color w:val="000000" w:themeColor="text1"/>
          <w:sz w:val="22"/>
          <w:lang w:val="es-ES"/>
        </w:rPr>
        <w:lastRenderedPageBreak/>
        <w:t>estudios previos realizados, con el propósito de que se cumplan con las especificaciones técnicas […]».</w:t>
      </w:r>
    </w:p>
    <w:p w14:paraId="69025119" w14:textId="2758DD1D" w:rsidR="00504A12" w:rsidRDefault="00504A12" w:rsidP="00504A12">
      <w:pPr>
        <w:tabs>
          <w:tab w:val="left" w:pos="0"/>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t xml:space="preserve">Para los efectos del caso concreto, la Agencia Nacional de Contratación Pública reitera la importancia de verificar las normas técnicas que se encuentran reguladas en </w:t>
      </w:r>
      <w:r>
        <w:rPr>
          <w:rFonts w:ascii="Arial" w:eastAsia="Calibri" w:hAnsi="Arial" w:cs="Arial"/>
          <w:color w:val="000000" w:themeColor="text1"/>
          <w:sz w:val="22"/>
        </w:rPr>
        <w:t>las Resoluciones 2140</w:t>
      </w:r>
      <w:r w:rsidRPr="00877DC9">
        <w:rPr>
          <w:rFonts w:ascii="Arial" w:eastAsia="Calibri" w:hAnsi="Arial" w:cs="Arial"/>
          <w:color w:val="000000" w:themeColor="text1"/>
          <w:sz w:val="22"/>
        </w:rPr>
        <w:t xml:space="preserve"> de </w:t>
      </w:r>
      <w:r>
        <w:rPr>
          <w:rFonts w:ascii="Arial" w:eastAsia="Calibri" w:hAnsi="Arial" w:cs="Arial"/>
          <w:color w:val="000000" w:themeColor="text1"/>
          <w:sz w:val="22"/>
        </w:rPr>
        <w:t>7 de noviembre</w:t>
      </w:r>
      <w:r w:rsidRPr="00877DC9">
        <w:rPr>
          <w:rFonts w:ascii="Arial" w:eastAsia="Calibri" w:hAnsi="Arial" w:cs="Arial"/>
          <w:color w:val="000000" w:themeColor="text1"/>
          <w:sz w:val="22"/>
        </w:rPr>
        <w:t xml:space="preserve"> de 201</w:t>
      </w:r>
      <w:r>
        <w:rPr>
          <w:rFonts w:ascii="Arial" w:eastAsia="Calibri" w:hAnsi="Arial" w:cs="Arial"/>
          <w:color w:val="000000" w:themeColor="text1"/>
          <w:sz w:val="22"/>
        </w:rPr>
        <w:t>7 y 0312 del 13 de febrero de 2019, expedidas por el Ministerio de Ambiente y el Ministerio del Trabajo, respectivamente</w:t>
      </w:r>
      <w:r>
        <w:rPr>
          <w:rFonts w:ascii="Arial" w:eastAsia="Calibri" w:hAnsi="Arial" w:cs="Arial"/>
          <w:bCs/>
          <w:color w:val="000000" w:themeColor="text1"/>
          <w:sz w:val="22"/>
          <w:lang w:val="es-ES"/>
        </w:rPr>
        <w:t xml:space="preserve">, las cuales, como se dijo en los párrafos anteriores, constituyen estándares mínimos que deberán ser supervisados durante la ejecución del contrato estatal por tratarse de exigencias de rango legal. </w:t>
      </w:r>
    </w:p>
    <w:p w14:paraId="18EE100A" w14:textId="77777777" w:rsidR="00504A12" w:rsidRPr="0078446D" w:rsidRDefault="00504A12" w:rsidP="00504A12">
      <w:pPr>
        <w:tabs>
          <w:tab w:val="left" w:pos="0"/>
        </w:tabs>
        <w:spacing w:line="276" w:lineRule="auto"/>
        <w:jc w:val="both"/>
        <w:rPr>
          <w:rFonts w:ascii="Arial" w:eastAsia="Calibri" w:hAnsi="Arial" w:cs="Arial"/>
          <w:b/>
          <w:color w:val="000000" w:themeColor="text1"/>
          <w:sz w:val="22"/>
          <w:lang w:val="es-ES"/>
        </w:rPr>
      </w:pPr>
    </w:p>
    <w:p w14:paraId="7FEA0EF2" w14:textId="77777777" w:rsidR="00504A12" w:rsidRPr="0078446D" w:rsidRDefault="00504A12" w:rsidP="00504A12">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78446D">
        <w:rPr>
          <w:rFonts w:ascii="Arial" w:eastAsia="Calibri" w:hAnsi="Arial" w:cs="Arial"/>
          <w:b/>
          <w:color w:val="000000" w:themeColor="text1"/>
          <w:sz w:val="22"/>
          <w:lang w:val="es-ES"/>
        </w:rPr>
        <w:t xml:space="preserve"> Respuesta </w:t>
      </w:r>
    </w:p>
    <w:p w14:paraId="514C4669" w14:textId="77777777" w:rsidR="00504A12" w:rsidRPr="0078446D" w:rsidRDefault="00504A12" w:rsidP="00504A12">
      <w:pPr>
        <w:tabs>
          <w:tab w:val="left" w:pos="0"/>
        </w:tabs>
        <w:spacing w:line="276" w:lineRule="auto"/>
        <w:jc w:val="both"/>
        <w:rPr>
          <w:rFonts w:ascii="Arial" w:eastAsia="Calibri" w:hAnsi="Arial" w:cs="Arial"/>
          <w:color w:val="000000" w:themeColor="text1"/>
          <w:sz w:val="22"/>
          <w:lang w:val="es-ES"/>
        </w:rPr>
      </w:pPr>
    </w:p>
    <w:p w14:paraId="76360494" w14:textId="77777777" w:rsidR="00504A12" w:rsidRDefault="00504A12" w:rsidP="00504A12">
      <w:pPr>
        <w:spacing w:before="120"/>
        <w:ind w:left="709" w:right="758"/>
        <w:jc w:val="both"/>
        <w:rPr>
          <w:rFonts w:ascii="Arial" w:eastAsia="Calibri" w:hAnsi="Arial" w:cs="Arial"/>
          <w:color w:val="000000" w:themeColor="text1"/>
          <w:sz w:val="22"/>
        </w:rPr>
      </w:pPr>
      <w:r w:rsidRPr="00FB58A6">
        <w:rPr>
          <w:rFonts w:ascii="Arial" w:eastAsia="Calibri" w:hAnsi="Arial" w:cs="Arial"/>
          <w:color w:val="000000" w:themeColor="text1"/>
          <w:sz w:val="22"/>
        </w:rPr>
        <w:t>«¿se puede establecer en los pliegos de condiciones como requisito que otorga puntaje las normas ISO 14001 y/o la norma ISO 45001, que corresponden a los sistemas de gestión del medio ambiente y de seguridad y salud en el trabajo respectivamente??».</w:t>
      </w:r>
    </w:p>
    <w:p w14:paraId="115AAB30" w14:textId="77777777" w:rsidR="00504A12" w:rsidRDefault="00504A12" w:rsidP="00504A12">
      <w:pPr>
        <w:spacing w:before="120" w:line="276" w:lineRule="auto"/>
        <w:jc w:val="both"/>
        <w:rPr>
          <w:rFonts w:ascii="Arial" w:hAnsi="Arial" w:cs="Arial"/>
          <w:color w:val="000000" w:themeColor="text1"/>
          <w:sz w:val="22"/>
        </w:rPr>
      </w:pPr>
    </w:p>
    <w:p w14:paraId="5E660902" w14:textId="53C211A6" w:rsidR="00504A12" w:rsidRPr="005E22FA" w:rsidRDefault="00504A12" w:rsidP="00504A12">
      <w:pPr>
        <w:spacing w:line="276" w:lineRule="auto"/>
        <w:jc w:val="both"/>
        <w:rPr>
          <w:rFonts w:ascii="Arial" w:hAnsi="Arial" w:cs="Arial"/>
          <w:color w:val="000000" w:themeColor="text1"/>
          <w:sz w:val="22"/>
        </w:rPr>
      </w:pPr>
      <w:r>
        <w:rPr>
          <w:rFonts w:ascii="Arial" w:hAnsi="Arial" w:cs="Arial"/>
          <w:color w:val="000000" w:themeColor="text1"/>
          <w:sz w:val="22"/>
        </w:rPr>
        <w:t>No</w:t>
      </w:r>
      <w:r w:rsidRPr="0078446D">
        <w:rPr>
          <w:rFonts w:ascii="Arial" w:hAnsi="Arial" w:cs="Arial"/>
          <w:color w:val="000000" w:themeColor="text1"/>
          <w:sz w:val="22"/>
        </w:rPr>
        <w:t xml:space="preserve"> es posible</w:t>
      </w:r>
      <w:r>
        <w:rPr>
          <w:rFonts w:ascii="Arial" w:hAnsi="Arial" w:cs="Arial"/>
          <w:color w:val="000000" w:themeColor="text1"/>
          <w:sz w:val="22"/>
        </w:rPr>
        <w:t xml:space="preserve"> hacerlo</w:t>
      </w:r>
      <w:r w:rsidRPr="0078446D">
        <w:rPr>
          <w:rFonts w:ascii="Arial" w:hAnsi="Arial" w:cs="Arial"/>
          <w:color w:val="000000" w:themeColor="text1"/>
          <w:sz w:val="22"/>
        </w:rPr>
        <w:t xml:space="preserve">. </w:t>
      </w:r>
      <w:r w:rsidR="001A7D42">
        <w:rPr>
          <w:rFonts w:ascii="Arial" w:hAnsi="Arial" w:cs="Arial"/>
          <w:color w:val="000000" w:themeColor="text1"/>
          <w:sz w:val="22"/>
        </w:rPr>
        <w:t>La Agencia</w:t>
      </w:r>
      <w:r>
        <w:rPr>
          <w:rFonts w:ascii="Arial" w:hAnsi="Arial" w:cs="Arial"/>
          <w:color w:val="000000" w:themeColor="text1"/>
          <w:sz w:val="22"/>
        </w:rPr>
        <w:t xml:space="preserve"> no desconoce que c</w:t>
      </w:r>
      <w:r w:rsidRPr="0078446D">
        <w:rPr>
          <w:rFonts w:ascii="Arial" w:hAnsi="Arial" w:cs="Arial"/>
          <w:color w:val="000000" w:themeColor="text1"/>
          <w:sz w:val="22"/>
        </w:rPr>
        <w:t xml:space="preserve">orresponde a las entidades estatales, durante la etapa de planeación del contrato estatal, establecer los requisitos habilitantes </w:t>
      </w:r>
      <w:r>
        <w:rPr>
          <w:rFonts w:ascii="Arial" w:hAnsi="Arial" w:cs="Arial"/>
          <w:color w:val="000000" w:themeColor="text1"/>
          <w:sz w:val="22"/>
        </w:rPr>
        <w:t xml:space="preserve">y puntuables </w:t>
      </w:r>
      <w:r w:rsidRPr="0078446D">
        <w:rPr>
          <w:rFonts w:ascii="Arial" w:hAnsi="Arial" w:cs="Arial"/>
          <w:color w:val="000000" w:themeColor="text1"/>
          <w:sz w:val="22"/>
        </w:rPr>
        <w:t xml:space="preserve">que </w:t>
      </w:r>
      <w:r>
        <w:rPr>
          <w:rFonts w:ascii="Arial" w:hAnsi="Arial" w:cs="Arial"/>
          <w:color w:val="000000" w:themeColor="text1"/>
          <w:sz w:val="22"/>
        </w:rPr>
        <w:t>exigirán</w:t>
      </w:r>
      <w:r w:rsidRPr="0078446D">
        <w:rPr>
          <w:rFonts w:ascii="Arial" w:hAnsi="Arial" w:cs="Arial"/>
          <w:color w:val="000000" w:themeColor="text1"/>
          <w:sz w:val="22"/>
        </w:rPr>
        <w:t xml:space="preserve"> en </w:t>
      </w:r>
      <w:r>
        <w:rPr>
          <w:rFonts w:ascii="Arial" w:hAnsi="Arial" w:cs="Arial"/>
          <w:color w:val="000000" w:themeColor="text1"/>
          <w:sz w:val="22"/>
        </w:rPr>
        <w:t>el</w:t>
      </w:r>
      <w:r w:rsidRPr="0078446D">
        <w:rPr>
          <w:rFonts w:ascii="Arial" w:hAnsi="Arial" w:cs="Arial"/>
          <w:color w:val="000000" w:themeColor="text1"/>
          <w:sz w:val="22"/>
        </w:rPr>
        <w:t xml:space="preserve"> pliego de condiciones</w:t>
      </w:r>
      <w:r>
        <w:rPr>
          <w:rFonts w:ascii="Arial" w:hAnsi="Arial" w:cs="Arial"/>
          <w:color w:val="000000" w:themeColor="text1"/>
          <w:sz w:val="22"/>
        </w:rPr>
        <w:t xml:space="preserve">. Sin embargo, encuentra que ese margen de apreciación con el que cuentan las entidades públicas encuentra límite en las prohibiciones establecidas por el legislador, para el caso concreto, en la que contiene el </w:t>
      </w:r>
      <w:r>
        <w:rPr>
          <w:rFonts w:ascii="Arial" w:eastAsia="Calibri" w:hAnsi="Arial" w:cs="Arial"/>
          <w:color w:val="000000" w:themeColor="text1"/>
          <w:sz w:val="22"/>
        </w:rPr>
        <w:t>artículo 5, parágrafo 2, de la Ley 1150 de 2007</w:t>
      </w:r>
      <w:r>
        <w:rPr>
          <w:rFonts w:ascii="Arial" w:hAnsi="Arial" w:cs="Arial"/>
          <w:color w:val="000000" w:themeColor="text1"/>
          <w:sz w:val="22"/>
        </w:rPr>
        <w:t xml:space="preserve">, normativa que establece que </w:t>
      </w:r>
      <w:r>
        <w:rPr>
          <w:rFonts w:ascii="Arial" w:eastAsia="Calibri" w:hAnsi="Arial" w:cs="Arial"/>
          <w:color w:val="000000" w:themeColor="text1"/>
          <w:sz w:val="22"/>
        </w:rPr>
        <w:t>las «</w:t>
      </w:r>
      <w:r w:rsidRPr="00353E79">
        <w:rPr>
          <w:rFonts w:ascii="Arial" w:eastAsia="Calibri" w:hAnsi="Arial" w:cs="Arial"/>
          <w:color w:val="000000" w:themeColor="text1"/>
          <w:sz w:val="22"/>
        </w:rPr>
        <w:t>certificaciones de sistemas de gestión de calidad no serán objeto de calificación, ni podrán establecerse como documento habilitante para participar en licitaciones o concursos</w:t>
      </w:r>
      <w:r>
        <w:rPr>
          <w:rFonts w:ascii="Arial" w:eastAsia="Calibri" w:hAnsi="Arial" w:cs="Arial"/>
          <w:color w:val="000000" w:themeColor="text1"/>
          <w:sz w:val="22"/>
        </w:rPr>
        <w:t>».</w:t>
      </w:r>
      <w:r>
        <w:rPr>
          <w:rFonts w:ascii="Arial" w:hAnsi="Arial" w:cs="Arial"/>
          <w:color w:val="000000" w:themeColor="text1"/>
          <w:sz w:val="22"/>
        </w:rPr>
        <w:t xml:space="preserve"> </w:t>
      </w:r>
      <w:r>
        <w:rPr>
          <w:rFonts w:ascii="Arial" w:eastAsia="Calibri" w:hAnsi="Arial" w:cs="Arial"/>
          <w:color w:val="000000" w:themeColor="text1"/>
          <w:sz w:val="22"/>
        </w:rPr>
        <w:t>Es del caso reiterar lo expuesto en las consideraciones del presente concepto, esto es, que, a juicio de la Agencia Nacional de Contratación Pública, lo que prohíbe dicha normativa es que la entidad pública les exija a los proponentes, a título de requisito habilitante o calificable, la implementación de un sistema de gestión de calidad.</w:t>
      </w:r>
    </w:p>
    <w:p w14:paraId="0B7470E4" w14:textId="572BF17C" w:rsidR="00504A12" w:rsidRPr="0078446D" w:rsidRDefault="00504A12" w:rsidP="00504A12">
      <w:pPr>
        <w:spacing w:before="120" w:line="276" w:lineRule="auto"/>
        <w:ind w:firstLine="708"/>
        <w:jc w:val="both"/>
        <w:rPr>
          <w:rFonts w:ascii="Arial" w:eastAsia="Calibri" w:hAnsi="Arial" w:cs="Arial"/>
          <w:bCs/>
          <w:color w:val="000000" w:themeColor="text1"/>
          <w:sz w:val="22"/>
          <w:lang w:val="es-ES"/>
        </w:rPr>
      </w:pPr>
      <w:r>
        <w:rPr>
          <w:rFonts w:ascii="Arial" w:hAnsi="Arial" w:cs="Arial"/>
          <w:color w:val="000000" w:themeColor="text1"/>
          <w:sz w:val="22"/>
          <w:lang w:val="es-ES"/>
        </w:rPr>
        <w:t xml:space="preserve">Con todo, se precisa que </w:t>
      </w:r>
      <w:r w:rsidRPr="0078446D">
        <w:rPr>
          <w:rFonts w:ascii="Arial" w:hAnsi="Arial" w:cs="Arial"/>
          <w:color w:val="000000" w:themeColor="text1"/>
          <w:sz w:val="22"/>
          <w:lang w:val="es-ES"/>
        </w:rPr>
        <w:t xml:space="preserve">el deber de garantía que le asiste a la entidad en relación con </w:t>
      </w:r>
      <w:r>
        <w:rPr>
          <w:rFonts w:ascii="Arial" w:hAnsi="Arial" w:cs="Arial"/>
          <w:color w:val="000000" w:themeColor="text1"/>
          <w:sz w:val="22"/>
          <w:lang w:val="es-ES"/>
        </w:rPr>
        <w:t xml:space="preserve">el </w:t>
      </w:r>
      <w:r w:rsidRPr="0078446D">
        <w:rPr>
          <w:rFonts w:ascii="Arial" w:hAnsi="Arial" w:cs="Arial"/>
          <w:color w:val="000000" w:themeColor="text1"/>
          <w:sz w:val="22"/>
        </w:rPr>
        <w:t>Sistema de Gestión de la Seguridad y Salud en el Trabajo «SG-SST»</w:t>
      </w:r>
      <w:r>
        <w:rPr>
          <w:rFonts w:ascii="Arial" w:hAnsi="Arial" w:cs="Arial"/>
          <w:color w:val="000000" w:themeColor="text1"/>
          <w:sz w:val="22"/>
        </w:rPr>
        <w:t xml:space="preserve"> y el Modelo Integrado de Planeación y Gestión [Ambiental]</w:t>
      </w:r>
      <w:r w:rsidRPr="0078446D">
        <w:rPr>
          <w:rFonts w:ascii="Arial" w:hAnsi="Arial" w:cs="Arial"/>
          <w:color w:val="000000" w:themeColor="text1"/>
          <w:sz w:val="22"/>
          <w:lang w:val="es-ES"/>
        </w:rPr>
        <w:t xml:space="preserve">, se proyecta, </w:t>
      </w:r>
      <w:r>
        <w:rPr>
          <w:rFonts w:ascii="Arial" w:hAnsi="Arial" w:cs="Arial"/>
          <w:color w:val="000000" w:themeColor="text1"/>
          <w:sz w:val="22"/>
          <w:lang w:val="es-ES"/>
        </w:rPr>
        <w:t>principalmente</w:t>
      </w:r>
      <w:r w:rsidRPr="0078446D">
        <w:rPr>
          <w:rFonts w:ascii="Arial" w:hAnsi="Arial" w:cs="Arial"/>
          <w:color w:val="000000" w:themeColor="text1"/>
          <w:sz w:val="22"/>
          <w:lang w:val="es-ES"/>
        </w:rPr>
        <w:t xml:space="preserve">, durante la </w:t>
      </w:r>
      <w:r>
        <w:rPr>
          <w:rFonts w:ascii="Arial" w:hAnsi="Arial" w:cs="Arial"/>
          <w:color w:val="000000" w:themeColor="text1"/>
          <w:sz w:val="22"/>
          <w:lang w:val="es-ES"/>
        </w:rPr>
        <w:t xml:space="preserve">etapa de </w:t>
      </w:r>
      <w:r w:rsidRPr="0078446D">
        <w:rPr>
          <w:rFonts w:ascii="Arial" w:hAnsi="Arial" w:cs="Arial"/>
          <w:color w:val="000000" w:themeColor="text1"/>
          <w:sz w:val="22"/>
          <w:lang w:val="es-ES"/>
        </w:rPr>
        <w:t>ejecución del contrato estatal,</w:t>
      </w:r>
      <w:r>
        <w:rPr>
          <w:rFonts w:ascii="Arial" w:hAnsi="Arial" w:cs="Arial"/>
          <w:color w:val="000000" w:themeColor="text1"/>
          <w:sz w:val="22"/>
          <w:lang w:val="es-ES"/>
        </w:rPr>
        <w:t xml:space="preserve"> cuando</w:t>
      </w:r>
      <w:r w:rsidRPr="0078446D">
        <w:rPr>
          <w:rFonts w:ascii="Arial" w:hAnsi="Arial" w:cs="Arial"/>
          <w:color w:val="000000" w:themeColor="text1"/>
          <w:sz w:val="22"/>
          <w:lang w:val="es-ES"/>
        </w:rPr>
        <w:t xml:space="preserve"> la entidad pública, a través del supervisor </w:t>
      </w:r>
      <w:r w:rsidR="00E44883">
        <w:rPr>
          <w:rFonts w:ascii="Arial" w:hAnsi="Arial" w:cs="Arial"/>
          <w:color w:val="000000" w:themeColor="text1"/>
          <w:sz w:val="22"/>
          <w:lang w:val="es-ES"/>
        </w:rPr>
        <w:t>o del interventor</w:t>
      </w:r>
      <w:r w:rsidRPr="0078446D">
        <w:rPr>
          <w:rFonts w:ascii="Arial" w:hAnsi="Arial" w:cs="Arial"/>
          <w:color w:val="000000" w:themeColor="text1"/>
          <w:sz w:val="22"/>
          <w:lang w:val="es-ES"/>
        </w:rPr>
        <w:t xml:space="preserve">, </w:t>
      </w:r>
      <w:r>
        <w:rPr>
          <w:rFonts w:ascii="Arial" w:hAnsi="Arial" w:cs="Arial"/>
          <w:color w:val="000000" w:themeColor="text1"/>
          <w:sz w:val="22"/>
          <w:lang w:val="es-ES"/>
        </w:rPr>
        <w:t xml:space="preserve">está obligada a verificar el cumplimiento de las exigencias legales contenidas en </w:t>
      </w:r>
      <w:r>
        <w:rPr>
          <w:rFonts w:ascii="Arial" w:eastAsia="Calibri" w:hAnsi="Arial" w:cs="Arial"/>
          <w:color w:val="000000" w:themeColor="text1"/>
          <w:sz w:val="22"/>
        </w:rPr>
        <w:t>las Resoluciones 2140</w:t>
      </w:r>
      <w:r w:rsidRPr="00877DC9">
        <w:rPr>
          <w:rFonts w:ascii="Arial" w:eastAsia="Calibri" w:hAnsi="Arial" w:cs="Arial"/>
          <w:color w:val="000000" w:themeColor="text1"/>
          <w:sz w:val="22"/>
        </w:rPr>
        <w:t xml:space="preserve"> de </w:t>
      </w:r>
      <w:r>
        <w:rPr>
          <w:rFonts w:ascii="Arial" w:eastAsia="Calibri" w:hAnsi="Arial" w:cs="Arial"/>
          <w:color w:val="000000" w:themeColor="text1"/>
          <w:sz w:val="22"/>
        </w:rPr>
        <w:t>7 de noviembre</w:t>
      </w:r>
      <w:r w:rsidRPr="00877DC9">
        <w:rPr>
          <w:rFonts w:ascii="Arial" w:eastAsia="Calibri" w:hAnsi="Arial" w:cs="Arial"/>
          <w:color w:val="000000" w:themeColor="text1"/>
          <w:sz w:val="22"/>
        </w:rPr>
        <w:t xml:space="preserve"> de 201</w:t>
      </w:r>
      <w:r>
        <w:rPr>
          <w:rFonts w:ascii="Arial" w:eastAsia="Calibri" w:hAnsi="Arial" w:cs="Arial"/>
          <w:color w:val="000000" w:themeColor="text1"/>
          <w:sz w:val="22"/>
        </w:rPr>
        <w:t>7 y 0312 del 13 de febrero de 2019</w:t>
      </w:r>
      <w:r>
        <w:rPr>
          <w:rFonts w:ascii="Arial" w:hAnsi="Arial" w:cs="Arial"/>
          <w:color w:val="000000" w:themeColor="text1"/>
          <w:sz w:val="22"/>
          <w:lang w:val="es-ES"/>
        </w:rPr>
        <w:t xml:space="preserve">, para lo cual debe </w:t>
      </w:r>
      <w:r w:rsidRPr="0078446D">
        <w:rPr>
          <w:rFonts w:ascii="Arial" w:hAnsi="Arial" w:cs="Arial"/>
          <w:color w:val="000000" w:themeColor="text1"/>
          <w:sz w:val="22"/>
          <w:lang w:val="es-ES"/>
        </w:rPr>
        <w:t xml:space="preserve">solicitar informes, aclaraciones y explicaciones sobre el desarrollo de la ejecución contractual, impartir instrucciones al contratista y hacer recomendaciones encaminadas a lograr la correcta ejecución del objeto contratado. Particularmente, le compete, por un lado, hacer </w:t>
      </w:r>
      <w:r w:rsidRPr="0078446D">
        <w:rPr>
          <w:rFonts w:ascii="Arial" w:eastAsia="Calibri" w:hAnsi="Arial" w:cs="Arial"/>
          <w:bCs/>
          <w:color w:val="000000" w:themeColor="text1"/>
          <w:sz w:val="22"/>
          <w:lang w:val="es-ES"/>
        </w:rPr>
        <w:t xml:space="preserve">«seguimiento técnico», lo cual se traduce </w:t>
      </w:r>
      <w:r w:rsidRPr="0078446D">
        <w:rPr>
          <w:rFonts w:ascii="Arial" w:eastAsia="Calibri" w:hAnsi="Arial" w:cs="Arial"/>
          <w:bCs/>
          <w:color w:val="000000" w:themeColor="text1"/>
          <w:sz w:val="22"/>
          <w:lang w:val="es-ES"/>
        </w:rPr>
        <w:lastRenderedPageBreak/>
        <w:t>en revisar el cumplimiento de las normas técnicas aplicables y, por el otro, ejercer el «seguimiento administrativo», puntualmente</w:t>
      </w:r>
      <w:r>
        <w:rPr>
          <w:rFonts w:ascii="Arial" w:eastAsia="Calibri" w:hAnsi="Arial" w:cs="Arial"/>
          <w:bCs/>
          <w:color w:val="000000" w:themeColor="text1"/>
          <w:sz w:val="22"/>
          <w:lang w:val="es-ES"/>
        </w:rPr>
        <w:t>,</w:t>
      </w:r>
      <w:r w:rsidRPr="0078446D">
        <w:rPr>
          <w:rFonts w:ascii="Arial" w:eastAsia="Calibri" w:hAnsi="Arial" w:cs="Arial"/>
          <w:bCs/>
          <w:color w:val="000000" w:themeColor="text1"/>
          <w:sz w:val="22"/>
          <w:lang w:val="es-ES"/>
        </w:rPr>
        <w:t xml:space="preserve"> verifica</w:t>
      </w:r>
      <w:r>
        <w:rPr>
          <w:rFonts w:ascii="Arial" w:eastAsia="Calibri" w:hAnsi="Arial" w:cs="Arial"/>
          <w:bCs/>
          <w:color w:val="000000" w:themeColor="text1"/>
          <w:sz w:val="22"/>
          <w:lang w:val="es-ES"/>
        </w:rPr>
        <w:t>ndo</w:t>
      </w:r>
      <w:r w:rsidRPr="0078446D">
        <w:rPr>
          <w:rFonts w:ascii="Arial" w:eastAsia="Calibri" w:hAnsi="Arial" w:cs="Arial"/>
          <w:bCs/>
          <w:color w:val="000000" w:themeColor="text1"/>
          <w:sz w:val="22"/>
          <w:lang w:val="es-ES"/>
        </w:rPr>
        <w:t xml:space="preserve"> el cumplimiento de las obligaciones del contratista</w:t>
      </w:r>
      <w:r>
        <w:rPr>
          <w:rFonts w:ascii="Arial" w:eastAsia="Calibri" w:hAnsi="Arial" w:cs="Arial"/>
          <w:bCs/>
          <w:color w:val="000000" w:themeColor="text1"/>
          <w:sz w:val="22"/>
          <w:lang w:val="es-ES"/>
        </w:rPr>
        <w:t>,</w:t>
      </w:r>
      <w:r w:rsidRPr="0078446D">
        <w:rPr>
          <w:rFonts w:ascii="Arial" w:eastAsia="Calibri" w:hAnsi="Arial" w:cs="Arial"/>
          <w:bCs/>
          <w:color w:val="000000" w:themeColor="text1"/>
          <w:sz w:val="22"/>
          <w:lang w:val="es-ES"/>
        </w:rPr>
        <w:t xml:space="preserve"> de acuerdo con</w:t>
      </w:r>
      <w:r>
        <w:rPr>
          <w:rFonts w:ascii="Arial" w:eastAsia="Calibri" w:hAnsi="Arial" w:cs="Arial"/>
          <w:bCs/>
          <w:color w:val="000000" w:themeColor="text1"/>
          <w:sz w:val="22"/>
          <w:lang w:val="es-ES"/>
        </w:rPr>
        <w:t xml:space="preserve"> las normas aplicables y</w:t>
      </w:r>
      <w:r w:rsidRPr="0078446D">
        <w:rPr>
          <w:rFonts w:ascii="Arial" w:eastAsia="Calibri" w:hAnsi="Arial" w:cs="Arial"/>
          <w:bCs/>
          <w:color w:val="000000" w:themeColor="text1"/>
          <w:sz w:val="22"/>
          <w:lang w:val="es-ES"/>
        </w:rPr>
        <w:t xml:space="preserve"> la naturaleza del contrato. </w:t>
      </w:r>
    </w:p>
    <w:p w14:paraId="0D1B822B" w14:textId="77777777" w:rsidR="00504A12" w:rsidRDefault="00504A12" w:rsidP="00504A12">
      <w:pPr>
        <w:spacing w:before="120" w:line="276" w:lineRule="auto"/>
        <w:jc w:val="both"/>
        <w:rPr>
          <w:rFonts w:ascii="Arial" w:hAnsi="Arial" w:cs="Arial"/>
          <w:color w:val="000000" w:themeColor="text1"/>
          <w:sz w:val="22"/>
          <w:lang w:val="es-ES"/>
        </w:rPr>
      </w:pPr>
    </w:p>
    <w:p w14:paraId="735D6CF5" w14:textId="77777777" w:rsidR="00504A12" w:rsidRPr="0078446D" w:rsidRDefault="00504A12" w:rsidP="00504A12">
      <w:pPr>
        <w:spacing w:before="120" w:line="276" w:lineRule="auto"/>
        <w:jc w:val="both"/>
        <w:rPr>
          <w:rFonts w:ascii="Arial" w:hAnsi="Arial" w:cs="Arial"/>
          <w:color w:val="000000" w:themeColor="text1"/>
          <w:sz w:val="22"/>
        </w:rPr>
      </w:pPr>
      <w:r w:rsidRPr="0078446D">
        <w:rPr>
          <w:rFonts w:ascii="Arial" w:hAnsi="Arial" w:cs="Arial"/>
          <w:color w:val="000000" w:themeColor="text1"/>
          <w:sz w:val="22"/>
        </w:rPr>
        <w:t>Este concepto tiene el alcance previsto en el artículo 28 del Código de Procedimiento Administrativo y de lo Contencioso Administrativo.</w:t>
      </w:r>
    </w:p>
    <w:p w14:paraId="6229DBD4" w14:textId="77777777" w:rsidR="00504A12" w:rsidRPr="0078446D" w:rsidRDefault="00504A12" w:rsidP="00504A12">
      <w:pPr>
        <w:pStyle w:val="NormalWeb"/>
        <w:spacing w:before="0" w:beforeAutospacing="0" w:after="0" w:afterAutospacing="0" w:line="276" w:lineRule="auto"/>
        <w:jc w:val="both"/>
        <w:rPr>
          <w:rFonts w:ascii="Arial" w:hAnsi="Arial" w:cs="Arial"/>
          <w:color w:val="000000" w:themeColor="text1"/>
          <w:sz w:val="22"/>
          <w:szCs w:val="22"/>
          <w:lang w:val="es-MX"/>
        </w:rPr>
      </w:pPr>
    </w:p>
    <w:p w14:paraId="7AE33259" w14:textId="77777777" w:rsidR="00504A12" w:rsidRPr="0078446D" w:rsidRDefault="00504A12" w:rsidP="00504A12">
      <w:pPr>
        <w:pStyle w:val="NormalWeb"/>
        <w:spacing w:before="0" w:beforeAutospacing="0" w:after="0" w:afterAutospacing="0" w:line="276" w:lineRule="auto"/>
        <w:jc w:val="both"/>
        <w:rPr>
          <w:rFonts w:ascii="Arial" w:hAnsi="Arial" w:cs="Arial"/>
          <w:color w:val="000000" w:themeColor="text1"/>
          <w:sz w:val="22"/>
          <w:szCs w:val="22"/>
          <w:lang w:val="es-MX"/>
        </w:rPr>
      </w:pPr>
      <w:r w:rsidRPr="0078446D">
        <w:rPr>
          <w:rFonts w:ascii="Arial" w:hAnsi="Arial" w:cs="Arial"/>
          <w:color w:val="000000" w:themeColor="text1"/>
          <w:sz w:val="22"/>
          <w:szCs w:val="22"/>
          <w:lang w:val="es-MX"/>
        </w:rPr>
        <w:t>Atentamente,</w:t>
      </w:r>
    </w:p>
    <w:p w14:paraId="790F7478" w14:textId="4F12567E" w:rsidR="00504A12" w:rsidRPr="0078446D" w:rsidRDefault="0043601B" w:rsidP="00504A12">
      <w:pPr>
        <w:jc w:val="center"/>
        <w:rPr>
          <w:rFonts w:ascii="Arial" w:eastAsia="Times New Roman" w:hAnsi="Arial" w:cs="Arial"/>
          <w:color w:val="000000" w:themeColor="text1"/>
          <w:sz w:val="18"/>
          <w:szCs w:val="20"/>
          <w:lang w:eastAsia="es-CO"/>
        </w:rPr>
      </w:pPr>
      <w:r>
        <w:rPr>
          <w:rFonts w:ascii="Arial" w:hAnsi="Arial" w:cs="Arial"/>
          <w:noProof/>
          <w:color w:val="000000" w:themeColor="text1"/>
          <w:sz w:val="18"/>
          <w:szCs w:val="20"/>
          <w:lang w:eastAsia="es-CO"/>
        </w:rPr>
        <w:drawing>
          <wp:inline distT="0" distB="0" distL="0" distR="0" wp14:anchorId="06F75877" wp14:editId="0876C28D">
            <wp:extent cx="4164330" cy="1575435"/>
            <wp:effectExtent l="0" t="0" r="0" b="0"/>
            <wp:docPr id="3" name="Imagen 3" descr="/var/folders/9j/1kt6_9fj6y1_7wgklg7816m80000gn/T/com.microsoft.Word/Content.MSO/C1FD3F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j/1kt6_9fj6y1_7wgklg7816m80000gn/T/com.microsoft.Word/Content.MSO/C1FD3F2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4330" cy="1575435"/>
                    </a:xfrm>
                    <a:prstGeom prst="rect">
                      <a:avLst/>
                    </a:prstGeom>
                    <a:noFill/>
                    <a:ln>
                      <a:noFill/>
                    </a:ln>
                  </pic:spPr>
                </pic:pic>
              </a:graphicData>
            </a:graphic>
          </wp:inline>
        </w:drawing>
      </w:r>
      <w:bookmarkStart w:id="4" w:name="_GoBack"/>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04A12" w:rsidRPr="0078446D" w14:paraId="2A0AF56F" w14:textId="77777777" w:rsidTr="00AC3ED6">
        <w:trPr>
          <w:trHeight w:val="315"/>
        </w:trPr>
        <w:tc>
          <w:tcPr>
            <w:tcW w:w="812" w:type="dxa"/>
            <w:vAlign w:val="center"/>
            <w:hideMark/>
          </w:tcPr>
          <w:p w14:paraId="60F40E69"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DD9C4DD"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David Castellanos Carreño</w:t>
            </w:r>
          </w:p>
          <w:p w14:paraId="76620948"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Contratista</w:t>
            </w:r>
          </w:p>
        </w:tc>
      </w:tr>
      <w:tr w:rsidR="00504A12" w:rsidRPr="0078446D" w14:paraId="2DF322CE" w14:textId="77777777" w:rsidTr="00AC3ED6">
        <w:trPr>
          <w:trHeight w:val="330"/>
        </w:trPr>
        <w:tc>
          <w:tcPr>
            <w:tcW w:w="812" w:type="dxa"/>
            <w:vAlign w:val="center"/>
            <w:hideMark/>
          </w:tcPr>
          <w:p w14:paraId="01767AEB"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5649CF" w14:textId="4BDBF644" w:rsidR="00504A12" w:rsidRPr="0078446D" w:rsidRDefault="001A7D42" w:rsidP="00AC3ED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3E5A6C22" w14:textId="50836ED6" w:rsidR="00504A12" w:rsidRPr="0078446D" w:rsidRDefault="001A7D42" w:rsidP="00AC3ED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 Subdirección</w:t>
            </w:r>
            <w:r w:rsidR="00504A12" w:rsidRPr="0078446D">
              <w:rPr>
                <w:rFonts w:ascii="Arial" w:eastAsia="Times New Roman" w:hAnsi="Arial" w:cs="Arial"/>
                <w:color w:val="000000" w:themeColor="text1"/>
                <w:sz w:val="16"/>
                <w:szCs w:val="16"/>
                <w:lang w:eastAsia="es-ES"/>
              </w:rPr>
              <w:t xml:space="preserve"> de Gestión Contractual</w:t>
            </w:r>
          </w:p>
        </w:tc>
      </w:tr>
      <w:tr w:rsidR="00504A12" w:rsidRPr="0078446D" w14:paraId="0292DB9E" w14:textId="77777777" w:rsidTr="00AC3ED6">
        <w:trPr>
          <w:trHeight w:val="300"/>
        </w:trPr>
        <w:tc>
          <w:tcPr>
            <w:tcW w:w="812" w:type="dxa"/>
            <w:vAlign w:val="center"/>
            <w:hideMark/>
          </w:tcPr>
          <w:p w14:paraId="638AF321"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9E1EF7"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Fabián Gonzalo Marín Cortés</w:t>
            </w:r>
          </w:p>
          <w:p w14:paraId="2116CBBD" w14:textId="77777777" w:rsidR="00504A12" w:rsidRPr="0078446D" w:rsidRDefault="00504A12" w:rsidP="00AC3ED6">
            <w:pPr>
              <w:rPr>
                <w:rFonts w:ascii="Arial" w:eastAsia="Times New Roman" w:hAnsi="Arial" w:cs="Arial"/>
                <w:color w:val="000000" w:themeColor="text1"/>
                <w:sz w:val="16"/>
                <w:szCs w:val="16"/>
                <w:lang w:eastAsia="es-ES"/>
              </w:rPr>
            </w:pPr>
            <w:r w:rsidRPr="0078446D">
              <w:rPr>
                <w:rFonts w:ascii="Arial" w:eastAsia="Times New Roman" w:hAnsi="Arial" w:cs="Arial"/>
                <w:color w:val="000000" w:themeColor="text1"/>
                <w:sz w:val="16"/>
                <w:szCs w:val="16"/>
                <w:lang w:eastAsia="es-ES"/>
              </w:rPr>
              <w:t>Subdirector de Gestión Contractual</w:t>
            </w:r>
          </w:p>
        </w:tc>
      </w:tr>
    </w:tbl>
    <w:p w14:paraId="56FFFA96" w14:textId="77777777" w:rsidR="00504A12" w:rsidRPr="0078446D" w:rsidRDefault="00504A12" w:rsidP="00504A12">
      <w:pPr>
        <w:rPr>
          <w:rFonts w:ascii="Arial" w:eastAsia="Times New Roman" w:hAnsi="Arial" w:cs="Arial"/>
          <w:color w:val="000000" w:themeColor="text1"/>
          <w:sz w:val="16"/>
          <w:szCs w:val="16"/>
          <w:lang w:eastAsia="es-ES"/>
        </w:rPr>
      </w:pPr>
    </w:p>
    <w:p w14:paraId="35B56F46" w14:textId="77777777" w:rsidR="00746E08" w:rsidRPr="00504A12" w:rsidRDefault="00746E08" w:rsidP="00504A12"/>
    <w:sectPr w:rsidR="00746E08" w:rsidRPr="00504A1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BF42" w14:textId="77777777" w:rsidR="004E4BFA" w:rsidRDefault="004E4BFA">
      <w:r>
        <w:separator/>
      </w:r>
    </w:p>
  </w:endnote>
  <w:endnote w:type="continuationSeparator" w:id="0">
    <w:p w14:paraId="660B5D00" w14:textId="77777777" w:rsidR="004E4BFA" w:rsidRDefault="004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1035C1E6" w:rsidR="00821D83" w:rsidRDefault="00821D83" w:rsidP="00322937">
    <w:pPr>
      <w:pStyle w:val="Sinespaciado"/>
      <w:jc w:val="right"/>
      <w:rPr>
        <w:rFonts w:ascii="Arial" w:hAnsi="Arial" w:cs="Arial"/>
        <w:sz w:val="18"/>
        <w:szCs w:val="18"/>
      </w:rPr>
    </w:pPr>
  </w:p>
  <w:p w14:paraId="795C5E5B" w14:textId="77777777" w:rsidR="003C103B" w:rsidRDefault="003C103B" w:rsidP="00322937">
    <w:pPr>
      <w:pStyle w:val="Sinespaciado"/>
      <w:jc w:val="right"/>
      <w:rPr>
        <w:rFonts w:ascii="Arial" w:hAnsi="Arial" w:cs="Arial"/>
        <w:sz w:val="18"/>
        <w:szCs w:val="18"/>
      </w:rPr>
    </w:pPr>
  </w:p>
  <w:p w14:paraId="7A3785F3" w14:textId="2EF28465" w:rsidR="00821D83" w:rsidRPr="008217B7" w:rsidRDefault="00821D8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23</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26</w:t>
    </w:r>
  </w:p>
  <w:p w14:paraId="48FC6A04" w14:textId="5FD1A7C9" w:rsidR="00821D83" w:rsidRDefault="00821D83" w:rsidP="00322937">
    <w:pPr>
      <w:pStyle w:val="Piedepgina"/>
      <w:jc w:val="center"/>
      <w:rPr>
        <w:lang w:val="es-ES"/>
      </w:rPr>
    </w:pPr>
    <w:r>
      <w:rPr>
        <w:noProof/>
        <w:lang w:val="es-ES_tradnl" w:eastAsia="es-ES_tradnl"/>
      </w:rPr>
      <w:drawing>
        <wp:inline distT="0" distB="0" distL="0" distR="0" wp14:anchorId="608B196D" wp14:editId="2B20E202">
          <wp:extent cx="3700130" cy="519139"/>
          <wp:effectExtent l="0" t="0" r="0" b="0"/>
          <wp:docPr id="393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821D83" w:rsidRPr="007B0854" w:rsidRDefault="00821D83" w:rsidP="00A5490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81F17" w14:textId="77777777" w:rsidR="004E4BFA" w:rsidRDefault="004E4BFA">
      <w:r>
        <w:separator/>
      </w:r>
    </w:p>
  </w:footnote>
  <w:footnote w:type="continuationSeparator" w:id="0">
    <w:p w14:paraId="7D051B98" w14:textId="77777777" w:rsidR="004E4BFA" w:rsidRDefault="004E4BFA">
      <w:r>
        <w:continuationSeparator/>
      </w:r>
    </w:p>
  </w:footnote>
  <w:footnote w:id="1">
    <w:p w14:paraId="0D473045" w14:textId="77777777" w:rsidR="00504A12" w:rsidRPr="00E57122" w:rsidRDefault="00504A12" w:rsidP="00504A12">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w:t>
      </w:r>
      <w:r w:rsidRPr="00E57122">
        <w:rPr>
          <w:rFonts w:ascii="Arial" w:eastAsia="Calibri" w:hAnsi="Arial" w:cs="Arial"/>
          <w:sz w:val="19"/>
          <w:szCs w:val="19"/>
        </w:rPr>
        <w:t>Corte Constitucional. Sentencia C 178 de 1996. M. P. Antonio Barrera Carbonell.</w:t>
      </w:r>
      <w:r w:rsidRPr="00E57122">
        <w:rPr>
          <w:rFonts w:ascii="Arial" w:hAnsi="Arial" w:cs="Arial"/>
          <w:sz w:val="19"/>
          <w:szCs w:val="19"/>
        </w:rPr>
        <w:t xml:space="preserve"> </w:t>
      </w:r>
    </w:p>
    <w:p w14:paraId="7F138EC5" w14:textId="77777777" w:rsidR="00504A12" w:rsidRPr="00E57122" w:rsidRDefault="00504A12" w:rsidP="00504A12">
      <w:pPr>
        <w:pStyle w:val="Textonotapie"/>
        <w:ind w:firstLine="708"/>
        <w:jc w:val="both"/>
        <w:rPr>
          <w:rFonts w:ascii="Arial" w:hAnsi="Arial" w:cs="Arial"/>
          <w:sz w:val="19"/>
          <w:szCs w:val="19"/>
          <w:lang w:val="es-CO"/>
        </w:rPr>
      </w:pPr>
    </w:p>
  </w:footnote>
  <w:footnote w:id="2">
    <w:p w14:paraId="2C591540" w14:textId="77777777" w:rsidR="00504A12" w:rsidRPr="00E57122" w:rsidRDefault="00504A12" w:rsidP="00504A12">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 Existen dos tipos de inhabilidades, en primer lugar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 actividad. Cfr. Corte Constitucional. Sentencia C-353 de 2019. M.P. Jorge Iván Palacio Palacio.</w:t>
      </w:r>
    </w:p>
    <w:p w14:paraId="7091117D" w14:textId="77777777" w:rsidR="00504A12" w:rsidRPr="00E57122" w:rsidRDefault="00504A12" w:rsidP="00504A12">
      <w:pPr>
        <w:pStyle w:val="Textonotapie"/>
        <w:ind w:firstLine="708"/>
        <w:jc w:val="both"/>
        <w:rPr>
          <w:rFonts w:ascii="Arial" w:hAnsi="Arial" w:cs="Arial"/>
          <w:sz w:val="19"/>
          <w:szCs w:val="19"/>
          <w:lang w:val="es-ES"/>
        </w:rPr>
      </w:pPr>
    </w:p>
  </w:footnote>
  <w:footnote w:id="3">
    <w:p w14:paraId="0858CF11" w14:textId="77777777" w:rsidR="00504A12" w:rsidRPr="00E57122" w:rsidRDefault="00504A12" w:rsidP="00504A12">
      <w:pPr>
        <w:pStyle w:val="Textonotapie"/>
        <w:ind w:firstLine="708"/>
        <w:jc w:val="both"/>
        <w:rPr>
          <w:rFonts w:ascii="Arial" w:eastAsia="Calibri"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w:t>
      </w:r>
      <w:r w:rsidRPr="00E57122">
        <w:rPr>
          <w:rFonts w:ascii="Arial" w:eastAsia="Calibri" w:hAnsi="Arial" w:cs="Arial"/>
          <w:sz w:val="19"/>
          <w:szCs w:val="19"/>
        </w:rPr>
        <w:t>«Artículo 6o. De la capacidad para contratar. Pueden celebrar contratos con las entidades estatales las personas consideradas legalmente capaces en las disposiciones vigentes».</w:t>
      </w:r>
    </w:p>
    <w:p w14:paraId="520C6CF5" w14:textId="77777777" w:rsidR="00504A12" w:rsidRPr="00E57122" w:rsidRDefault="00504A12" w:rsidP="00504A12">
      <w:pPr>
        <w:pStyle w:val="Textonotapie"/>
        <w:ind w:firstLine="708"/>
        <w:jc w:val="both"/>
        <w:rPr>
          <w:rFonts w:ascii="Arial" w:hAnsi="Arial" w:cs="Arial"/>
          <w:sz w:val="19"/>
          <w:szCs w:val="19"/>
          <w:lang w:val="es-CO"/>
        </w:rPr>
      </w:pPr>
    </w:p>
  </w:footnote>
  <w:footnote w:id="4">
    <w:p w14:paraId="41BCCC2B" w14:textId="77777777" w:rsidR="00504A12" w:rsidRPr="00E57122" w:rsidRDefault="00504A12" w:rsidP="00504A12">
      <w:pPr>
        <w:pStyle w:val="Textonotapie"/>
        <w:ind w:firstLine="708"/>
        <w:jc w:val="both"/>
        <w:rPr>
          <w:rFonts w:ascii="Arial" w:eastAsia="Calibri"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w:t>
      </w:r>
      <w:r w:rsidRPr="00E57122">
        <w:rPr>
          <w:rFonts w:ascii="Arial" w:eastAsia="Calibri" w:hAnsi="Arial" w:cs="Arial"/>
          <w:sz w:val="19"/>
          <w:szCs w:val="19"/>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14:paraId="02F16D4F" w14:textId="77777777" w:rsidR="00504A12" w:rsidRPr="00E57122" w:rsidRDefault="00504A12" w:rsidP="00504A12">
      <w:pPr>
        <w:pStyle w:val="Textonotapie"/>
        <w:tabs>
          <w:tab w:val="left" w:pos="1892"/>
        </w:tabs>
        <w:ind w:firstLine="708"/>
        <w:jc w:val="both"/>
        <w:rPr>
          <w:rFonts w:ascii="Arial" w:eastAsia="Calibri" w:hAnsi="Arial" w:cs="Arial"/>
          <w:sz w:val="19"/>
          <w:szCs w:val="19"/>
        </w:rPr>
      </w:pPr>
      <w:r w:rsidRPr="00E57122">
        <w:rPr>
          <w:rFonts w:ascii="Arial" w:eastAsia="Calibri" w:hAnsi="Arial" w:cs="Arial"/>
          <w:sz w:val="19"/>
          <w:szCs w:val="19"/>
        </w:rPr>
        <w:tab/>
      </w:r>
    </w:p>
    <w:p w14:paraId="02FB2175" w14:textId="49D02983" w:rsidR="00504A12" w:rsidRPr="00E57122" w:rsidRDefault="00504A12" w:rsidP="00504A12">
      <w:pPr>
        <w:pStyle w:val="Textonotapie"/>
        <w:ind w:firstLine="708"/>
        <w:jc w:val="both"/>
        <w:rPr>
          <w:rFonts w:ascii="Arial" w:eastAsia="Calibri" w:hAnsi="Arial" w:cs="Arial"/>
          <w:sz w:val="19"/>
          <w:szCs w:val="19"/>
        </w:rPr>
      </w:pPr>
      <w:r w:rsidRPr="00E57122">
        <w:rPr>
          <w:rFonts w:ascii="Arial" w:eastAsia="Calibri" w:hAnsi="Arial" w:cs="Arial"/>
          <w:sz w:val="19"/>
          <w:szCs w:val="19"/>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773F29FE" w14:textId="77777777" w:rsidR="00504A12" w:rsidRPr="00E57122" w:rsidRDefault="00504A12" w:rsidP="00504A12">
      <w:pPr>
        <w:pStyle w:val="Textonotapie"/>
        <w:ind w:firstLine="708"/>
        <w:jc w:val="both"/>
        <w:rPr>
          <w:rFonts w:ascii="Arial" w:eastAsia="Calibri" w:hAnsi="Arial" w:cs="Arial"/>
          <w:sz w:val="19"/>
          <w:szCs w:val="19"/>
        </w:rPr>
      </w:pPr>
      <w:r w:rsidRPr="00E57122">
        <w:rPr>
          <w:rFonts w:ascii="Arial" w:eastAsia="Calibri" w:hAnsi="Arial" w:cs="Arial"/>
          <w:sz w:val="19"/>
          <w:szCs w:val="19"/>
        </w:rPr>
        <w:t xml:space="preserve"> </w:t>
      </w:r>
    </w:p>
  </w:footnote>
  <w:footnote w:id="5">
    <w:p w14:paraId="4D3AF7B8" w14:textId="77777777" w:rsidR="00504A12" w:rsidRPr="00E57122" w:rsidRDefault="00504A12" w:rsidP="00504A12">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6">
    <w:p w14:paraId="6A3E292E" w14:textId="77777777" w:rsidR="00504A12" w:rsidRPr="00E57122" w:rsidRDefault="00504A12" w:rsidP="00504A12">
      <w:pPr>
        <w:pStyle w:val="Textonotapie"/>
        <w:ind w:firstLine="708"/>
        <w:jc w:val="both"/>
        <w:rPr>
          <w:rFonts w:ascii="Arial" w:hAnsi="Arial" w:cs="Arial"/>
          <w:sz w:val="19"/>
          <w:szCs w:val="19"/>
        </w:rPr>
      </w:pPr>
    </w:p>
    <w:p w14:paraId="6DBEB3A8" w14:textId="77777777" w:rsidR="00504A12" w:rsidRPr="00E57122" w:rsidRDefault="00504A12" w:rsidP="00504A12">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7FF2E17" w14:textId="77777777" w:rsidR="00504A12" w:rsidRPr="00E57122" w:rsidRDefault="00504A12" w:rsidP="00504A12">
      <w:pPr>
        <w:pStyle w:val="Textonotapie"/>
        <w:ind w:firstLine="708"/>
        <w:jc w:val="both"/>
        <w:rPr>
          <w:rFonts w:ascii="Arial" w:hAnsi="Arial" w:cs="Arial"/>
          <w:sz w:val="19"/>
          <w:szCs w:val="19"/>
          <w:lang w:val="es-ES"/>
        </w:rPr>
      </w:pPr>
      <w:r w:rsidRPr="00E57122">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7">
    <w:p w14:paraId="2397FE27" w14:textId="77777777" w:rsidR="00504A12" w:rsidRPr="00E57122" w:rsidRDefault="00504A12" w:rsidP="00504A12">
      <w:pPr>
        <w:pStyle w:val="Textonotapie"/>
        <w:ind w:firstLine="708"/>
        <w:jc w:val="both"/>
        <w:rPr>
          <w:rFonts w:ascii="Arial" w:hAnsi="Arial" w:cs="Arial"/>
          <w:sz w:val="19"/>
          <w:szCs w:val="19"/>
        </w:rPr>
      </w:pPr>
    </w:p>
    <w:p w14:paraId="18FDD0D2" w14:textId="77777777" w:rsidR="00504A12" w:rsidRPr="00E57122" w:rsidRDefault="00504A12" w:rsidP="00504A12">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C40DA09" w14:textId="77777777" w:rsidR="00504A12" w:rsidRPr="00E57122" w:rsidRDefault="00504A12" w:rsidP="00504A12">
      <w:pPr>
        <w:pStyle w:val="Textonotapie"/>
        <w:ind w:firstLine="708"/>
        <w:jc w:val="both"/>
        <w:rPr>
          <w:rFonts w:ascii="Arial" w:hAnsi="Arial" w:cs="Arial"/>
          <w:sz w:val="19"/>
          <w:szCs w:val="19"/>
        </w:rPr>
      </w:pPr>
      <w:r w:rsidRPr="00E57122">
        <w:rPr>
          <w:rFonts w:ascii="Arial" w:hAnsi="Arial" w:cs="Arial"/>
          <w:sz w:val="19"/>
          <w:szCs w:val="19"/>
        </w:rPr>
        <w:t>[...]</w:t>
      </w:r>
    </w:p>
    <w:p w14:paraId="3EF96BA1" w14:textId="77777777" w:rsidR="00504A12" w:rsidRPr="00E57122" w:rsidRDefault="00504A12" w:rsidP="00504A12">
      <w:pPr>
        <w:pStyle w:val="Textonotapie"/>
        <w:ind w:firstLine="708"/>
        <w:jc w:val="both"/>
        <w:rPr>
          <w:rFonts w:ascii="Arial" w:hAnsi="Arial" w:cs="Arial"/>
          <w:sz w:val="19"/>
          <w:szCs w:val="19"/>
        </w:rPr>
      </w:pPr>
      <w:r w:rsidRPr="00E57122">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1A2C999" w14:textId="77777777" w:rsidR="00504A12" w:rsidRPr="00E57122" w:rsidRDefault="00504A12" w:rsidP="00504A12">
      <w:pPr>
        <w:pStyle w:val="Textonotapie"/>
        <w:ind w:firstLine="708"/>
        <w:jc w:val="both"/>
        <w:rPr>
          <w:rFonts w:ascii="Arial" w:hAnsi="Arial" w:cs="Arial"/>
          <w:sz w:val="19"/>
          <w:szCs w:val="19"/>
          <w:lang w:val="es-ES"/>
        </w:rPr>
      </w:pPr>
      <w:r w:rsidRPr="00E57122">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8">
    <w:p w14:paraId="5D1C9858" w14:textId="77777777" w:rsidR="00504A12" w:rsidRPr="00E57122" w:rsidRDefault="00504A12" w:rsidP="00504A12">
      <w:pPr>
        <w:pStyle w:val="Textonotapie"/>
        <w:ind w:firstLine="708"/>
        <w:jc w:val="both"/>
        <w:rPr>
          <w:rFonts w:ascii="Arial" w:hAnsi="Arial" w:cs="Arial"/>
          <w:sz w:val="19"/>
          <w:szCs w:val="19"/>
        </w:rPr>
      </w:pPr>
    </w:p>
    <w:p w14:paraId="2D0D56CA" w14:textId="77777777" w:rsidR="00504A12" w:rsidRPr="00E57122" w:rsidRDefault="00504A12" w:rsidP="00504A12">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3C75B1F" w14:textId="77777777" w:rsidR="00504A12" w:rsidRPr="00E57122" w:rsidRDefault="00504A12" w:rsidP="00504A12">
      <w:pPr>
        <w:pStyle w:val="Textonotapie"/>
        <w:ind w:firstLine="709"/>
        <w:jc w:val="both"/>
        <w:rPr>
          <w:rFonts w:ascii="Arial" w:hAnsi="Arial" w:cs="Arial"/>
          <w:sz w:val="19"/>
          <w:szCs w:val="19"/>
        </w:rPr>
      </w:pPr>
      <w:r w:rsidRPr="00E57122">
        <w:rPr>
          <w:rFonts w:ascii="Arial" w:hAnsi="Arial" w:cs="Arial"/>
          <w:sz w:val="19"/>
          <w:szCs w:val="19"/>
        </w:rPr>
        <w:t>»1.    Si es una persona natural:</w:t>
      </w:r>
    </w:p>
    <w:p w14:paraId="41FFA900" w14:textId="77777777" w:rsidR="00504A12" w:rsidRPr="00E57122" w:rsidRDefault="00504A12" w:rsidP="00504A12">
      <w:pPr>
        <w:pStyle w:val="Textonotapie"/>
        <w:ind w:firstLine="709"/>
        <w:jc w:val="both"/>
        <w:rPr>
          <w:rFonts w:ascii="Arial" w:hAnsi="Arial" w:cs="Arial"/>
          <w:sz w:val="19"/>
          <w:szCs w:val="19"/>
        </w:rPr>
      </w:pPr>
      <w:r w:rsidRPr="00E57122">
        <w:rPr>
          <w:rFonts w:ascii="Arial" w:hAnsi="Arial" w:cs="Arial"/>
          <w:sz w:val="19"/>
          <w:szCs w:val="19"/>
        </w:rPr>
        <w:t>»1.1. Bienes, obras y servicios que ofrecerá a las Entidades Estatales, identificados con el Clasificador de Bienes y Servicios en el tercer nivel.</w:t>
      </w:r>
    </w:p>
    <w:p w14:paraId="08033ED8" w14:textId="77777777" w:rsidR="00504A12" w:rsidRPr="00E57122" w:rsidRDefault="00504A12" w:rsidP="00504A12">
      <w:pPr>
        <w:pStyle w:val="Textonotapie"/>
        <w:ind w:firstLine="709"/>
        <w:jc w:val="both"/>
        <w:rPr>
          <w:rFonts w:ascii="Arial" w:hAnsi="Arial" w:cs="Arial"/>
          <w:sz w:val="19"/>
          <w:szCs w:val="19"/>
        </w:rPr>
      </w:pPr>
      <w:r w:rsidRPr="00E57122">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F8E8FC6" w14:textId="77777777" w:rsidR="00504A12" w:rsidRPr="00E57122" w:rsidRDefault="00504A12" w:rsidP="00504A12">
      <w:pPr>
        <w:pStyle w:val="Textonotapie"/>
        <w:jc w:val="both"/>
        <w:rPr>
          <w:rFonts w:ascii="Arial" w:hAnsi="Arial" w:cs="Arial"/>
          <w:sz w:val="19"/>
          <w:szCs w:val="19"/>
        </w:rPr>
      </w:pPr>
    </w:p>
    <w:p w14:paraId="1B2E9EAF" w14:textId="77777777" w:rsidR="00504A12" w:rsidRPr="00E57122" w:rsidRDefault="00504A12" w:rsidP="00504A12">
      <w:pPr>
        <w:pStyle w:val="Textonotapie"/>
        <w:ind w:firstLine="708"/>
        <w:jc w:val="both"/>
        <w:rPr>
          <w:rFonts w:ascii="Arial" w:hAnsi="Arial" w:cs="Arial"/>
          <w:sz w:val="19"/>
          <w:szCs w:val="19"/>
          <w:lang w:val="es-ES"/>
        </w:rPr>
      </w:pPr>
      <w:r w:rsidRPr="00E57122">
        <w:rPr>
          <w:rFonts w:ascii="Arial" w:hAnsi="Arial" w:cs="Arial"/>
          <w:sz w:val="19"/>
          <w:szCs w:val="19"/>
        </w:rPr>
        <w:t xml:space="preserve"> </w:t>
      </w:r>
    </w:p>
  </w:footnote>
  <w:footnote w:id="9">
    <w:p w14:paraId="668A6DDF" w14:textId="77777777" w:rsidR="00504A12" w:rsidRPr="00E57122" w:rsidRDefault="00504A12" w:rsidP="00504A12">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footnote>
  <w:footnote w:id="10">
    <w:p w14:paraId="67A5FD18" w14:textId="77777777" w:rsidR="00504A12" w:rsidRPr="00E57122" w:rsidRDefault="00504A12" w:rsidP="00504A12">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14:paraId="65EB6FF0" w14:textId="77777777" w:rsidR="00504A12" w:rsidRPr="00E57122" w:rsidRDefault="00504A12" w:rsidP="00504A12">
      <w:pPr>
        <w:pStyle w:val="Textonotapie"/>
        <w:ind w:firstLine="708"/>
        <w:jc w:val="both"/>
        <w:rPr>
          <w:rFonts w:ascii="Arial" w:hAnsi="Arial" w:cs="Arial"/>
          <w:sz w:val="19"/>
          <w:szCs w:val="19"/>
          <w:lang w:val="es-ES"/>
        </w:rPr>
      </w:pPr>
    </w:p>
  </w:footnote>
  <w:footnote w:id="11">
    <w:p w14:paraId="14322B73" w14:textId="77777777" w:rsidR="00504A12" w:rsidRPr="00E57122" w:rsidRDefault="00504A12" w:rsidP="00504A12">
      <w:pPr>
        <w:pStyle w:val="Textonotapie"/>
        <w:ind w:firstLine="708"/>
        <w:jc w:val="both"/>
        <w:rPr>
          <w:rFonts w:ascii="Arial" w:hAnsi="Arial" w:cs="Arial"/>
          <w:sz w:val="19"/>
          <w:szCs w:val="19"/>
        </w:rPr>
      </w:pPr>
      <w:r w:rsidRPr="00E57122">
        <w:rPr>
          <w:rStyle w:val="Refdenotaalpie"/>
          <w:rFonts w:ascii="Arial" w:hAnsi="Arial" w:cs="Arial"/>
          <w:sz w:val="19"/>
          <w:szCs w:val="19"/>
        </w:rPr>
        <w:footnoteRef/>
      </w:r>
      <w:r w:rsidRPr="00E57122">
        <w:rPr>
          <w:rFonts w:ascii="Arial" w:hAnsi="Arial" w:cs="Arial"/>
          <w:sz w:val="19"/>
          <w:szCs w:val="19"/>
        </w:rPr>
        <w:t xml:space="preserve"> Cfr. Corte Constitucional. Sentencia C-569 de 2004. M.P. Rodrigo Uprimny Yepes.</w:t>
      </w:r>
    </w:p>
    <w:p w14:paraId="63B98569" w14:textId="77777777" w:rsidR="00504A12" w:rsidRPr="00E57122" w:rsidRDefault="00504A12" w:rsidP="00504A12">
      <w:pPr>
        <w:pStyle w:val="Textonotapie"/>
        <w:ind w:firstLine="708"/>
        <w:jc w:val="both"/>
        <w:rPr>
          <w:rFonts w:ascii="Arial" w:hAnsi="Arial" w:cs="Arial"/>
          <w:sz w:val="19"/>
          <w:szCs w:val="19"/>
          <w:lang w:val="es-ES"/>
        </w:rPr>
      </w:pPr>
    </w:p>
  </w:footnote>
  <w:footnote w:id="12">
    <w:p w14:paraId="5F3FF48B" w14:textId="77777777" w:rsidR="00504A12" w:rsidRPr="00E57122" w:rsidRDefault="00504A12" w:rsidP="00504A12">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Gaceta 096 de 2007. Pág. 9. Allí se lee: «Parágrafo 2°. Nuevo. Se adiciona un parágrafo nuevo para </w:t>
      </w:r>
      <w:r w:rsidRPr="00E57122">
        <w:rPr>
          <w:rFonts w:ascii="Arial" w:hAnsi="Arial" w:cs="Arial"/>
          <w:i/>
          <w:iCs/>
          <w:sz w:val="19"/>
          <w:szCs w:val="19"/>
        </w:rPr>
        <w:t>establecer de manera concreta</w:t>
      </w:r>
      <w:r w:rsidRPr="00E57122">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 w:id="13">
    <w:p w14:paraId="33956BD0" w14:textId="77777777" w:rsidR="00504A12" w:rsidRPr="00E57122" w:rsidRDefault="00504A12" w:rsidP="00504A12">
      <w:pPr>
        <w:pStyle w:val="Textonotapie"/>
        <w:ind w:firstLine="708"/>
        <w:jc w:val="both"/>
        <w:rPr>
          <w:rFonts w:ascii="Arial" w:hAnsi="Arial" w:cs="Arial"/>
          <w:sz w:val="19"/>
          <w:szCs w:val="19"/>
          <w:lang w:val="es-ES"/>
        </w:rPr>
      </w:pPr>
      <w:r w:rsidRPr="00E57122">
        <w:rPr>
          <w:rStyle w:val="Refdenotaalpie"/>
          <w:rFonts w:ascii="Arial" w:hAnsi="Arial" w:cs="Arial"/>
          <w:sz w:val="19"/>
          <w:szCs w:val="19"/>
        </w:rPr>
        <w:footnoteRef/>
      </w:r>
      <w:r w:rsidRPr="00E57122">
        <w:rPr>
          <w:rFonts w:ascii="Arial" w:hAnsi="Arial" w:cs="Arial"/>
          <w:sz w:val="19"/>
          <w:szCs w:val="19"/>
        </w:rPr>
        <w:t xml:space="preserve"> Consejo de Estado, Sala de Consulta y Servicio Civil. Concepto del 20 de mayo de 2010. Expediente.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821D83" w:rsidRDefault="00821D83">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039E029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093"/>
    <w:rsid w:val="00001D21"/>
    <w:rsid w:val="00003500"/>
    <w:rsid w:val="0000445B"/>
    <w:rsid w:val="00007785"/>
    <w:rsid w:val="00013F19"/>
    <w:rsid w:val="00014A9B"/>
    <w:rsid w:val="00014C5D"/>
    <w:rsid w:val="00014DDB"/>
    <w:rsid w:val="00015480"/>
    <w:rsid w:val="000215DE"/>
    <w:rsid w:val="00021A13"/>
    <w:rsid w:val="00021BA8"/>
    <w:rsid w:val="0002467A"/>
    <w:rsid w:val="00024AA0"/>
    <w:rsid w:val="00026F04"/>
    <w:rsid w:val="0002715F"/>
    <w:rsid w:val="000309FC"/>
    <w:rsid w:val="000323BC"/>
    <w:rsid w:val="00032D83"/>
    <w:rsid w:val="000346F0"/>
    <w:rsid w:val="00034E90"/>
    <w:rsid w:val="00037429"/>
    <w:rsid w:val="00044F89"/>
    <w:rsid w:val="0005043C"/>
    <w:rsid w:val="00051214"/>
    <w:rsid w:val="00056017"/>
    <w:rsid w:val="00056188"/>
    <w:rsid w:val="00057F7A"/>
    <w:rsid w:val="00060E3F"/>
    <w:rsid w:val="0006228F"/>
    <w:rsid w:val="00064B9E"/>
    <w:rsid w:val="000677C6"/>
    <w:rsid w:val="0007062A"/>
    <w:rsid w:val="00073683"/>
    <w:rsid w:val="00076A49"/>
    <w:rsid w:val="00082376"/>
    <w:rsid w:val="00084456"/>
    <w:rsid w:val="00084B97"/>
    <w:rsid w:val="00087C99"/>
    <w:rsid w:val="000904D9"/>
    <w:rsid w:val="00091011"/>
    <w:rsid w:val="00092103"/>
    <w:rsid w:val="00093EF7"/>
    <w:rsid w:val="000942EB"/>
    <w:rsid w:val="000A1FB8"/>
    <w:rsid w:val="000A5A17"/>
    <w:rsid w:val="000A61F6"/>
    <w:rsid w:val="000A77DE"/>
    <w:rsid w:val="000B0E45"/>
    <w:rsid w:val="000B103F"/>
    <w:rsid w:val="000B10A2"/>
    <w:rsid w:val="000B111D"/>
    <w:rsid w:val="000B469D"/>
    <w:rsid w:val="000B48E2"/>
    <w:rsid w:val="000B51CB"/>
    <w:rsid w:val="000C2063"/>
    <w:rsid w:val="000C2966"/>
    <w:rsid w:val="000C3C7B"/>
    <w:rsid w:val="000C58F9"/>
    <w:rsid w:val="000C7D37"/>
    <w:rsid w:val="000D364E"/>
    <w:rsid w:val="000D38C2"/>
    <w:rsid w:val="000D4BA7"/>
    <w:rsid w:val="000D4CC7"/>
    <w:rsid w:val="000D6E65"/>
    <w:rsid w:val="000E11D2"/>
    <w:rsid w:val="000E1348"/>
    <w:rsid w:val="000E30E1"/>
    <w:rsid w:val="000E4187"/>
    <w:rsid w:val="000E626F"/>
    <w:rsid w:val="000E7829"/>
    <w:rsid w:val="000E7B14"/>
    <w:rsid w:val="000E7F60"/>
    <w:rsid w:val="000F1236"/>
    <w:rsid w:val="000F14E8"/>
    <w:rsid w:val="000F63AB"/>
    <w:rsid w:val="000F7192"/>
    <w:rsid w:val="001003C8"/>
    <w:rsid w:val="001009E6"/>
    <w:rsid w:val="00103325"/>
    <w:rsid w:val="0010368A"/>
    <w:rsid w:val="00103915"/>
    <w:rsid w:val="00104120"/>
    <w:rsid w:val="001054F0"/>
    <w:rsid w:val="0010593B"/>
    <w:rsid w:val="0011233F"/>
    <w:rsid w:val="0011312F"/>
    <w:rsid w:val="00113705"/>
    <w:rsid w:val="00117821"/>
    <w:rsid w:val="00117EA2"/>
    <w:rsid w:val="001224AC"/>
    <w:rsid w:val="00122B23"/>
    <w:rsid w:val="00123CDB"/>
    <w:rsid w:val="00125E4D"/>
    <w:rsid w:val="00126569"/>
    <w:rsid w:val="00132C93"/>
    <w:rsid w:val="00133134"/>
    <w:rsid w:val="0013551E"/>
    <w:rsid w:val="001373AA"/>
    <w:rsid w:val="00137D00"/>
    <w:rsid w:val="00137E23"/>
    <w:rsid w:val="00137FFA"/>
    <w:rsid w:val="0014065D"/>
    <w:rsid w:val="00141C3E"/>
    <w:rsid w:val="00145052"/>
    <w:rsid w:val="00150687"/>
    <w:rsid w:val="00151F9C"/>
    <w:rsid w:val="001559E8"/>
    <w:rsid w:val="001613A0"/>
    <w:rsid w:val="0016204C"/>
    <w:rsid w:val="00162123"/>
    <w:rsid w:val="00162824"/>
    <w:rsid w:val="00163502"/>
    <w:rsid w:val="00164FB6"/>
    <w:rsid w:val="00166DEC"/>
    <w:rsid w:val="0016763A"/>
    <w:rsid w:val="00167AE6"/>
    <w:rsid w:val="00171790"/>
    <w:rsid w:val="00172BA3"/>
    <w:rsid w:val="0017427E"/>
    <w:rsid w:val="00174583"/>
    <w:rsid w:val="00177828"/>
    <w:rsid w:val="00181621"/>
    <w:rsid w:val="00182DC3"/>
    <w:rsid w:val="00182FE5"/>
    <w:rsid w:val="00184310"/>
    <w:rsid w:val="00185F5C"/>
    <w:rsid w:val="00193AB9"/>
    <w:rsid w:val="00193E1F"/>
    <w:rsid w:val="001A1E4D"/>
    <w:rsid w:val="001A2C61"/>
    <w:rsid w:val="001A4AE9"/>
    <w:rsid w:val="001A65D8"/>
    <w:rsid w:val="001A6A83"/>
    <w:rsid w:val="001A77B6"/>
    <w:rsid w:val="001A7D42"/>
    <w:rsid w:val="001B0444"/>
    <w:rsid w:val="001B0CDD"/>
    <w:rsid w:val="001B11CC"/>
    <w:rsid w:val="001B3D2F"/>
    <w:rsid w:val="001B5BEC"/>
    <w:rsid w:val="001B6133"/>
    <w:rsid w:val="001C0043"/>
    <w:rsid w:val="001C17C6"/>
    <w:rsid w:val="001C33D0"/>
    <w:rsid w:val="001C56D1"/>
    <w:rsid w:val="001C5A34"/>
    <w:rsid w:val="001C613D"/>
    <w:rsid w:val="001C662E"/>
    <w:rsid w:val="001C7461"/>
    <w:rsid w:val="001D0E79"/>
    <w:rsid w:val="001D2A15"/>
    <w:rsid w:val="001D3C7F"/>
    <w:rsid w:val="001D4AEF"/>
    <w:rsid w:val="001D6D29"/>
    <w:rsid w:val="001E246F"/>
    <w:rsid w:val="001E27F5"/>
    <w:rsid w:val="001E3D1E"/>
    <w:rsid w:val="001E4D7C"/>
    <w:rsid w:val="001E530D"/>
    <w:rsid w:val="001F13F4"/>
    <w:rsid w:val="001F2A05"/>
    <w:rsid w:val="001F30D9"/>
    <w:rsid w:val="001F4603"/>
    <w:rsid w:val="001F4999"/>
    <w:rsid w:val="001F5684"/>
    <w:rsid w:val="001F6709"/>
    <w:rsid w:val="001F7C07"/>
    <w:rsid w:val="00203925"/>
    <w:rsid w:val="00204C79"/>
    <w:rsid w:val="0020593C"/>
    <w:rsid w:val="00205BB7"/>
    <w:rsid w:val="0020632A"/>
    <w:rsid w:val="00206AD7"/>
    <w:rsid w:val="0021065C"/>
    <w:rsid w:val="002110EB"/>
    <w:rsid w:val="00211338"/>
    <w:rsid w:val="00214DED"/>
    <w:rsid w:val="00214EAD"/>
    <w:rsid w:val="00215A9E"/>
    <w:rsid w:val="00220822"/>
    <w:rsid w:val="00220F9A"/>
    <w:rsid w:val="00222C3D"/>
    <w:rsid w:val="0022447B"/>
    <w:rsid w:val="00230747"/>
    <w:rsid w:val="00230E0C"/>
    <w:rsid w:val="002333E4"/>
    <w:rsid w:val="00234B84"/>
    <w:rsid w:val="0023521A"/>
    <w:rsid w:val="002357D4"/>
    <w:rsid w:val="00237AF5"/>
    <w:rsid w:val="0024057C"/>
    <w:rsid w:val="0024067E"/>
    <w:rsid w:val="00242FDD"/>
    <w:rsid w:val="002436CC"/>
    <w:rsid w:val="0024540F"/>
    <w:rsid w:val="002533A2"/>
    <w:rsid w:val="00254EEB"/>
    <w:rsid w:val="002550CD"/>
    <w:rsid w:val="00255137"/>
    <w:rsid w:val="0025522E"/>
    <w:rsid w:val="002560CA"/>
    <w:rsid w:val="0026149C"/>
    <w:rsid w:val="00261AA9"/>
    <w:rsid w:val="00262430"/>
    <w:rsid w:val="00262F9B"/>
    <w:rsid w:val="00264492"/>
    <w:rsid w:val="00265F6F"/>
    <w:rsid w:val="00266627"/>
    <w:rsid w:val="0026769A"/>
    <w:rsid w:val="00270F94"/>
    <w:rsid w:val="0027202B"/>
    <w:rsid w:val="0027397F"/>
    <w:rsid w:val="00277D4B"/>
    <w:rsid w:val="00280CB9"/>
    <w:rsid w:val="0028166B"/>
    <w:rsid w:val="00282570"/>
    <w:rsid w:val="00283D65"/>
    <w:rsid w:val="00284768"/>
    <w:rsid w:val="00287259"/>
    <w:rsid w:val="00290A29"/>
    <w:rsid w:val="00290EBE"/>
    <w:rsid w:val="0029134D"/>
    <w:rsid w:val="002916F3"/>
    <w:rsid w:val="00291C39"/>
    <w:rsid w:val="002946A7"/>
    <w:rsid w:val="00296813"/>
    <w:rsid w:val="0029747A"/>
    <w:rsid w:val="002A021C"/>
    <w:rsid w:val="002A0940"/>
    <w:rsid w:val="002A27DD"/>
    <w:rsid w:val="002A7D36"/>
    <w:rsid w:val="002A7D82"/>
    <w:rsid w:val="002B27CC"/>
    <w:rsid w:val="002B3014"/>
    <w:rsid w:val="002B4117"/>
    <w:rsid w:val="002B70EB"/>
    <w:rsid w:val="002C1E84"/>
    <w:rsid w:val="002C1FE0"/>
    <w:rsid w:val="002C37C4"/>
    <w:rsid w:val="002C4C0C"/>
    <w:rsid w:val="002C4E4F"/>
    <w:rsid w:val="002D2D8C"/>
    <w:rsid w:val="002D4DD1"/>
    <w:rsid w:val="002D7AD4"/>
    <w:rsid w:val="002E0159"/>
    <w:rsid w:val="002E16E5"/>
    <w:rsid w:val="002E2455"/>
    <w:rsid w:val="002E3EED"/>
    <w:rsid w:val="002E402D"/>
    <w:rsid w:val="002E4DB9"/>
    <w:rsid w:val="002E50D3"/>
    <w:rsid w:val="002F587A"/>
    <w:rsid w:val="002F7463"/>
    <w:rsid w:val="003012DD"/>
    <w:rsid w:val="00301CE4"/>
    <w:rsid w:val="003033BA"/>
    <w:rsid w:val="00303663"/>
    <w:rsid w:val="00304497"/>
    <w:rsid w:val="00304B63"/>
    <w:rsid w:val="00304CC2"/>
    <w:rsid w:val="0030585E"/>
    <w:rsid w:val="00305E2E"/>
    <w:rsid w:val="0030678F"/>
    <w:rsid w:val="00314A11"/>
    <w:rsid w:val="00317109"/>
    <w:rsid w:val="0032039E"/>
    <w:rsid w:val="003225F2"/>
    <w:rsid w:val="003228F5"/>
    <w:rsid w:val="00322937"/>
    <w:rsid w:val="00323E5B"/>
    <w:rsid w:val="0033060A"/>
    <w:rsid w:val="00332B25"/>
    <w:rsid w:val="0033300D"/>
    <w:rsid w:val="003342D4"/>
    <w:rsid w:val="0033494E"/>
    <w:rsid w:val="0033501C"/>
    <w:rsid w:val="00336695"/>
    <w:rsid w:val="0034177C"/>
    <w:rsid w:val="00342D7E"/>
    <w:rsid w:val="0034680A"/>
    <w:rsid w:val="003468A4"/>
    <w:rsid w:val="00346CA9"/>
    <w:rsid w:val="0034701A"/>
    <w:rsid w:val="003533D3"/>
    <w:rsid w:val="003535E1"/>
    <w:rsid w:val="00353C0F"/>
    <w:rsid w:val="00353CFD"/>
    <w:rsid w:val="00353DD5"/>
    <w:rsid w:val="00353E79"/>
    <w:rsid w:val="00354AE4"/>
    <w:rsid w:val="00361428"/>
    <w:rsid w:val="00361ED3"/>
    <w:rsid w:val="003630A7"/>
    <w:rsid w:val="00363F0E"/>
    <w:rsid w:val="00364C43"/>
    <w:rsid w:val="00365587"/>
    <w:rsid w:val="0036633A"/>
    <w:rsid w:val="003675F7"/>
    <w:rsid w:val="00367CA9"/>
    <w:rsid w:val="003711F4"/>
    <w:rsid w:val="003728D3"/>
    <w:rsid w:val="0037370D"/>
    <w:rsid w:val="00374024"/>
    <w:rsid w:val="00380F5C"/>
    <w:rsid w:val="00383390"/>
    <w:rsid w:val="0038416D"/>
    <w:rsid w:val="0038617E"/>
    <w:rsid w:val="00386456"/>
    <w:rsid w:val="00394127"/>
    <w:rsid w:val="003949FF"/>
    <w:rsid w:val="00396F0C"/>
    <w:rsid w:val="003A0878"/>
    <w:rsid w:val="003A088D"/>
    <w:rsid w:val="003A1DFB"/>
    <w:rsid w:val="003A1F8E"/>
    <w:rsid w:val="003A21FB"/>
    <w:rsid w:val="003A2FC8"/>
    <w:rsid w:val="003A32E9"/>
    <w:rsid w:val="003A581E"/>
    <w:rsid w:val="003B161C"/>
    <w:rsid w:val="003B2391"/>
    <w:rsid w:val="003B3C04"/>
    <w:rsid w:val="003B5A0F"/>
    <w:rsid w:val="003B6939"/>
    <w:rsid w:val="003B6F4E"/>
    <w:rsid w:val="003B76A0"/>
    <w:rsid w:val="003C103B"/>
    <w:rsid w:val="003C14E5"/>
    <w:rsid w:val="003C2DF8"/>
    <w:rsid w:val="003C3083"/>
    <w:rsid w:val="003C5BE1"/>
    <w:rsid w:val="003C74A1"/>
    <w:rsid w:val="003D2AA0"/>
    <w:rsid w:val="003D3478"/>
    <w:rsid w:val="003D5138"/>
    <w:rsid w:val="003D61BF"/>
    <w:rsid w:val="003D7A49"/>
    <w:rsid w:val="003D7CD3"/>
    <w:rsid w:val="003E17CE"/>
    <w:rsid w:val="003E1A31"/>
    <w:rsid w:val="003E34B2"/>
    <w:rsid w:val="003E3A2B"/>
    <w:rsid w:val="003E40DD"/>
    <w:rsid w:val="003E57AA"/>
    <w:rsid w:val="003F1B17"/>
    <w:rsid w:val="003F4236"/>
    <w:rsid w:val="003F5043"/>
    <w:rsid w:val="00401F92"/>
    <w:rsid w:val="0040231C"/>
    <w:rsid w:val="0040668F"/>
    <w:rsid w:val="004073A2"/>
    <w:rsid w:val="00407EAB"/>
    <w:rsid w:val="004111C3"/>
    <w:rsid w:val="0041259B"/>
    <w:rsid w:val="00413655"/>
    <w:rsid w:val="00417C63"/>
    <w:rsid w:val="00420FA5"/>
    <w:rsid w:val="00422925"/>
    <w:rsid w:val="00423DC9"/>
    <w:rsid w:val="00423F9F"/>
    <w:rsid w:val="004242EB"/>
    <w:rsid w:val="00425554"/>
    <w:rsid w:val="004256F7"/>
    <w:rsid w:val="0042702D"/>
    <w:rsid w:val="00427BA2"/>
    <w:rsid w:val="00431FBF"/>
    <w:rsid w:val="00433233"/>
    <w:rsid w:val="0043363A"/>
    <w:rsid w:val="00433B59"/>
    <w:rsid w:val="0043587C"/>
    <w:rsid w:val="0043601B"/>
    <w:rsid w:val="00440A17"/>
    <w:rsid w:val="004422D6"/>
    <w:rsid w:val="00442933"/>
    <w:rsid w:val="004450E1"/>
    <w:rsid w:val="004502E3"/>
    <w:rsid w:val="004526E5"/>
    <w:rsid w:val="00454846"/>
    <w:rsid w:val="00457B1E"/>
    <w:rsid w:val="004611BA"/>
    <w:rsid w:val="00462D9F"/>
    <w:rsid w:val="00464A11"/>
    <w:rsid w:val="00465061"/>
    <w:rsid w:val="004653F5"/>
    <w:rsid w:val="00470667"/>
    <w:rsid w:val="004754F9"/>
    <w:rsid w:val="004778AC"/>
    <w:rsid w:val="00481990"/>
    <w:rsid w:val="00485DF9"/>
    <w:rsid w:val="004865D1"/>
    <w:rsid w:val="004879F6"/>
    <w:rsid w:val="00490535"/>
    <w:rsid w:val="00491C10"/>
    <w:rsid w:val="0049241A"/>
    <w:rsid w:val="0049795A"/>
    <w:rsid w:val="004A0A92"/>
    <w:rsid w:val="004A269E"/>
    <w:rsid w:val="004A34D2"/>
    <w:rsid w:val="004A5E7F"/>
    <w:rsid w:val="004A71A3"/>
    <w:rsid w:val="004A7825"/>
    <w:rsid w:val="004B226F"/>
    <w:rsid w:val="004C3674"/>
    <w:rsid w:val="004C4372"/>
    <w:rsid w:val="004C5F43"/>
    <w:rsid w:val="004C7670"/>
    <w:rsid w:val="004D004E"/>
    <w:rsid w:val="004D0BA1"/>
    <w:rsid w:val="004D11C3"/>
    <w:rsid w:val="004D4750"/>
    <w:rsid w:val="004D7B9C"/>
    <w:rsid w:val="004E286B"/>
    <w:rsid w:val="004E2ED2"/>
    <w:rsid w:val="004E39CE"/>
    <w:rsid w:val="004E3EB9"/>
    <w:rsid w:val="004E4BFA"/>
    <w:rsid w:val="004E5641"/>
    <w:rsid w:val="004E5830"/>
    <w:rsid w:val="004E6421"/>
    <w:rsid w:val="004E6C48"/>
    <w:rsid w:val="004F10EB"/>
    <w:rsid w:val="004F30FE"/>
    <w:rsid w:val="004F4B91"/>
    <w:rsid w:val="004F74DA"/>
    <w:rsid w:val="0050433C"/>
    <w:rsid w:val="00504A12"/>
    <w:rsid w:val="00506297"/>
    <w:rsid w:val="0051074C"/>
    <w:rsid w:val="00511A63"/>
    <w:rsid w:val="00513AF2"/>
    <w:rsid w:val="00514B29"/>
    <w:rsid w:val="00515011"/>
    <w:rsid w:val="00515C4C"/>
    <w:rsid w:val="0051676C"/>
    <w:rsid w:val="00516B6F"/>
    <w:rsid w:val="00520AAF"/>
    <w:rsid w:val="005211A1"/>
    <w:rsid w:val="00522B1C"/>
    <w:rsid w:val="005240F8"/>
    <w:rsid w:val="005249DF"/>
    <w:rsid w:val="005257E3"/>
    <w:rsid w:val="0053014B"/>
    <w:rsid w:val="005318B1"/>
    <w:rsid w:val="00532CE4"/>
    <w:rsid w:val="00534702"/>
    <w:rsid w:val="00535360"/>
    <w:rsid w:val="00535B5E"/>
    <w:rsid w:val="00535DEE"/>
    <w:rsid w:val="0054413A"/>
    <w:rsid w:val="005465A7"/>
    <w:rsid w:val="00550A52"/>
    <w:rsid w:val="00550F70"/>
    <w:rsid w:val="00551097"/>
    <w:rsid w:val="005518AC"/>
    <w:rsid w:val="0055204C"/>
    <w:rsid w:val="005524A3"/>
    <w:rsid w:val="005530A5"/>
    <w:rsid w:val="00553803"/>
    <w:rsid w:val="0055600F"/>
    <w:rsid w:val="005564CA"/>
    <w:rsid w:val="005606DA"/>
    <w:rsid w:val="0056182B"/>
    <w:rsid w:val="005618A8"/>
    <w:rsid w:val="00562631"/>
    <w:rsid w:val="00564327"/>
    <w:rsid w:val="005669CA"/>
    <w:rsid w:val="00566C61"/>
    <w:rsid w:val="00567A3B"/>
    <w:rsid w:val="005702B9"/>
    <w:rsid w:val="005756AA"/>
    <w:rsid w:val="0057632F"/>
    <w:rsid w:val="005771CB"/>
    <w:rsid w:val="005818C5"/>
    <w:rsid w:val="00581957"/>
    <w:rsid w:val="00583F0D"/>
    <w:rsid w:val="005842CF"/>
    <w:rsid w:val="005855A9"/>
    <w:rsid w:val="00587290"/>
    <w:rsid w:val="00587C4A"/>
    <w:rsid w:val="005910E7"/>
    <w:rsid w:val="00591277"/>
    <w:rsid w:val="005922F1"/>
    <w:rsid w:val="005966EB"/>
    <w:rsid w:val="005A01A9"/>
    <w:rsid w:val="005A1FC6"/>
    <w:rsid w:val="005A66AD"/>
    <w:rsid w:val="005B0BCD"/>
    <w:rsid w:val="005B1221"/>
    <w:rsid w:val="005B14E3"/>
    <w:rsid w:val="005B1D34"/>
    <w:rsid w:val="005B1FDF"/>
    <w:rsid w:val="005B48FF"/>
    <w:rsid w:val="005B5C08"/>
    <w:rsid w:val="005C056B"/>
    <w:rsid w:val="005C332A"/>
    <w:rsid w:val="005C4E30"/>
    <w:rsid w:val="005C575C"/>
    <w:rsid w:val="005C7180"/>
    <w:rsid w:val="005D0327"/>
    <w:rsid w:val="005D21CA"/>
    <w:rsid w:val="005D33BD"/>
    <w:rsid w:val="005D51FA"/>
    <w:rsid w:val="005D5F25"/>
    <w:rsid w:val="005D791B"/>
    <w:rsid w:val="005E2117"/>
    <w:rsid w:val="005E22FA"/>
    <w:rsid w:val="005E2371"/>
    <w:rsid w:val="005E468B"/>
    <w:rsid w:val="005E4DE5"/>
    <w:rsid w:val="005E5F39"/>
    <w:rsid w:val="005E644F"/>
    <w:rsid w:val="005F2E31"/>
    <w:rsid w:val="005F5E60"/>
    <w:rsid w:val="006014A6"/>
    <w:rsid w:val="00603890"/>
    <w:rsid w:val="00603D5E"/>
    <w:rsid w:val="0060403B"/>
    <w:rsid w:val="006106C2"/>
    <w:rsid w:val="00611084"/>
    <w:rsid w:val="006127F4"/>
    <w:rsid w:val="00614817"/>
    <w:rsid w:val="00621FC5"/>
    <w:rsid w:val="0062433C"/>
    <w:rsid w:val="006252A9"/>
    <w:rsid w:val="006253AA"/>
    <w:rsid w:val="00627624"/>
    <w:rsid w:val="00632BEA"/>
    <w:rsid w:val="00633DBF"/>
    <w:rsid w:val="00636660"/>
    <w:rsid w:val="00636F9E"/>
    <w:rsid w:val="0063706B"/>
    <w:rsid w:val="00642D35"/>
    <w:rsid w:val="00655371"/>
    <w:rsid w:val="006617EB"/>
    <w:rsid w:val="00663A60"/>
    <w:rsid w:val="00666E51"/>
    <w:rsid w:val="0066715E"/>
    <w:rsid w:val="00667403"/>
    <w:rsid w:val="0067191A"/>
    <w:rsid w:val="006724A7"/>
    <w:rsid w:val="006724FF"/>
    <w:rsid w:val="006756C2"/>
    <w:rsid w:val="00676247"/>
    <w:rsid w:val="006771B0"/>
    <w:rsid w:val="0067795F"/>
    <w:rsid w:val="006823F1"/>
    <w:rsid w:val="00682AEE"/>
    <w:rsid w:val="0068493A"/>
    <w:rsid w:val="006862F2"/>
    <w:rsid w:val="006865BA"/>
    <w:rsid w:val="00691854"/>
    <w:rsid w:val="00695471"/>
    <w:rsid w:val="00697665"/>
    <w:rsid w:val="00697F41"/>
    <w:rsid w:val="006A020E"/>
    <w:rsid w:val="006A58F7"/>
    <w:rsid w:val="006A7CB5"/>
    <w:rsid w:val="006A7FD0"/>
    <w:rsid w:val="006B11CF"/>
    <w:rsid w:val="006B16AA"/>
    <w:rsid w:val="006B1FE2"/>
    <w:rsid w:val="006C089F"/>
    <w:rsid w:val="006C5B2E"/>
    <w:rsid w:val="006C7D5D"/>
    <w:rsid w:val="006D0D2C"/>
    <w:rsid w:val="006D1B29"/>
    <w:rsid w:val="006D1E2E"/>
    <w:rsid w:val="006D5C2F"/>
    <w:rsid w:val="006D7687"/>
    <w:rsid w:val="006E0572"/>
    <w:rsid w:val="006E21A5"/>
    <w:rsid w:val="006E225B"/>
    <w:rsid w:val="006E32E5"/>
    <w:rsid w:val="006E5206"/>
    <w:rsid w:val="006E69E3"/>
    <w:rsid w:val="006E7122"/>
    <w:rsid w:val="006F376A"/>
    <w:rsid w:val="006F410C"/>
    <w:rsid w:val="00700727"/>
    <w:rsid w:val="007049F5"/>
    <w:rsid w:val="007052C5"/>
    <w:rsid w:val="00705631"/>
    <w:rsid w:val="00707163"/>
    <w:rsid w:val="0071064E"/>
    <w:rsid w:val="007110B3"/>
    <w:rsid w:val="00711153"/>
    <w:rsid w:val="00711674"/>
    <w:rsid w:val="007157DD"/>
    <w:rsid w:val="00715EAA"/>
    <w:rsid w:val="00716537"/>
    <w:rsid w:val="007169B5"/>
    <w:rsid w:val="00722D5E"/>
    <w:rsid w:val="007250B1"/>
    <w:rsid w:val="00725B0A"/>
    <w:rsid w:val="00726711"/>
    <w:rsid w:val="00727262"/>
    <w:rsid w:val="007306D5"/>
    <w:rsid w:val="007320B4"/>
    <w:rsid w:val="007325BE"/>
    <w:rsid w:val="00732D07"/>
    <w:rsid w:val="00735B6D"/>
    <w:rsid w:val="00736A81"/>
    <w:rsid w:val="00736F43"/>
    <w:rsid w:val="007426AB"/>
    <w:rsid w:val="00742907"/>
    <w:rsid w:val="00742DD2"/>
    <w:rsid w:val="0074520C"/>
    <w:rsid w:val="0074677F"/>
    <w:rsid w:val="00746E08"/>
    <w:rsid w:val="007474B6"/>
    <w:rsid w:val="00747BA0"/>
    <w:rsid w:val="00747C96"/>
    <w:rsid w:val="0075094E"/>
    <w:rsid w:val="007522E8"/>
    <w:rsid w:val="007539D6"/>
    <w:rsid w:val="00753C34"/>
    <w:rsid w:val="0075647A"/>
    <w:rsid w:val="00756CC1"/>
    <w:rsid w:val="00761E39"/>
    <w:rsid w:val="007634AD"/>
    <w:rsid w:val="007636A5"/>
    <w:rsid w:val="007666CD"/>
    <w:rsid w:val="00767E0E"/>
    <w:rsid w:val="00773B98"/>
    <w:rsid w:val="007767CE"/>
    <w:rsid w:val="007767E5"/>
    <w:rsid w:val="00776FCD"/>
    <w:rsid w:val="0077770B"/>
    <w:rsid w:val="0078055F"/>
    <w:rsid w:val="00780787"/>
    <w:rsid w:val="0078122E"/>
    <w:rsid w:val="00781306"/>
    <w:rsid w:val="0078446D"/>
    <w:rsid w:val="00791896"/>
    <w:rsid w:val="00795647"/>
    <w:rsid w:val="00796340"/>
    <w:rsid w:val="0079682C"/>
    <w:rsid w:val="007A262A"/>
    <w:rsid w:val="007A37B5"/>
    <w:rsid w:val="007A4344"/>
    <w:rsid w:val="007A48A0"/>
    <w:rsid w:val="007A7697"/>
    <w:rsid w:val="007B0854"/>
    <w:rsid w:val="007B6DC6"/>
    <w:rsid w:val="007B798B"/>
    <w:rsid w:val="007C58E6"/>
    <w:rsid w:val="007C5AFF"/>
    <w:rsid w:val="007C5EE7"/>
    <w:rsid w:val="007C719D"/>
    <w:rsid w:val="007D039A"/>
    <w:rsid w:val="007D0FE7"/>
    <w:rsid w:val="007D203D"/>
    <w:rsid w:val="007D3C61"/>
    <w:rsid w:val="007D4686"/>
    <w:rsid w:val="007D5E75"/>
    <w:rsid w:val="007E03E6"/>
    <w:rsid w:val="007E1017"/>
    <w:rsid w:val="007E296D"/>
    <w:rsid w:val="007E3ED6"/>
    <w:rsid w:val="007E7065"/>
    <w:rsid w:val="007F058F"/>
    <w:rsid w:val="007F224E"/>
    <w:rsid w:val="007F339D"/>
    <w:rsid w:val="007F35FE"/>
    <w:rsid w:val="007F57CC"/>
    <w:rsid w:val="007F6B46"/>
    <w:rsid w:val="007F72CB"/>
    <w:rsid w:val="008028DA"/>
    <w:rsid w:val="008038A2"/>
    <w:rsid w:val="00804B66"/>
    <w:rsid w:val="00805423"/>
    <w:rsid w:val="00805D10"/>
    <w:rsid w:val="00805E29"/>
    <w:rsid w:val="00811025"/>
    <w:rsid w:val="00811696"/>
    <w:rsid w:val="0081275C"/>
    <w:rsid w:val="00820342"/>
    <w:rsid w:val="008203DC"/>
    <w:rsid w:val="008217B7"/>
    <w:rsid w:val="00821D83"/>
    <w:rsid w:val="00821EB1"/>
    <w:rsid w:val="00823638"/>
    <w:rsid w:val="00823DDA"/>
    <w:rsid w:val="00824369"/>
    <w:rsid w:val="008256B5"/>
    <w:rsid w:val="00825FCE"/>
    <w:rsid w:val="0082603A"/>
    <w:rsid w:val="00826DF3"/>
    <w:rsid w:val="008271DC"/>
    <w:rsid w:val="00827885"/>
    <w:rsid w:val="0083119B"/>
    <w:rsid w:val="00832B5C"/>
    <w:rsid w:val="00833833"/>
    <w:rsid w:val="00833A23"/>
    <w:rsid w:val="008344DD"/>
    <w:rsid w:val="00836288"/>
    <w:rsid w:val="00836EAB"/>
    <w:rsid w:val="00837F02"/>
    <w:rsid w:val="0084101C"/>
    <w:rsid w:val="00842041"/>
    <w:rsid w:val="0084254F"/>
    <w:rsid w:val="00842892"/>
    <w:rsid w:val="00844902"/>
    <w:rsid w:val="0084512E"/>
    <w:rsid w:val="00846BC7"/>
    <w:rsid w:val="0085092D"/>
    <w:rsid w:val="00850F79"/>
    <w:rsid w:val="00852035"/>
    <w:rsid w:val="00852D8F"/>
    <w:rsid w:val="0085323E"/>
    <w:rsid w:val="0085358E"/>
    <w:rsid w:val="0085405F"/>
    <w:rsid w:val="0085643E"/>
    <w:rsid w:val="00864011"/>
    <w:rsid w:val="008653B4"/>
    <w:rsid w:val="00865AFF"/>
    <w:rsid w:val="00866274"/>
    <w:rsid w:val="00871C39"/>
    <w:rsid w:val="00873EA4"/>
    <w:rsid w:val="00874A3E"/>
    <w:rsid w:val="00874C6B"/>
    <w:rsid w:val="00877DC9"/>
    <w:rsid w:val="00880E1C"/>
    <w:rsid w:val="0088329E"/>
    <w:rsid w:val="008853EC"/>
    <w:rsid w:val="00887026"/>
    <w:rsid w:val="0089205D"/>
    <w:rsid w:val="008931AC"/>
    <w:rsid w:val="00894B8D"/>
    <w:rsid w:val="00895431"/>
    <w:rsid w:val="008956B8"/>
    <w:rsid w:val="008961C6"/>
    <w:rsid w:val="00896EAB"/>
    <w:rsid w:val="0089774F"/>
    <w:rsid w:val="008A31C3"/>
    <w:rsid w:val="008A34C1"/>
    <w:rsid w:val="008A577F"/>
    <w:rsid w:val="008B0135"/>
    <w:rsid w:val="008B134D"/>
    <w:rsid w:val="008B2223"/>
    <w:rsid w:val="008B4202"/>
    <w:rsid w:val="008B5546"/>
    <w:rsid w:val="008B602E"/>
    <w:rsid w:val="008C2CEB"/>
    <w:rsid w:val="008C2F58"/>
    <w:rsid w:val="008C455E"/>
    <w:rsid w:val="008C56D0"/>
    <w:rsid w:val="008D03AA"/>
    <w:rsid w:val="008D11DC"/>
    <w:rsid w:val="008D1663"/>
    <w:rsid w:val="008D306B"/>
    <w:rsid w:val="008D4363"/>
    <w:rsid w:val="008D4E03"/>
    <w:rsid w:val="008D50FC"/>
    <w:rsid w:val="008D5C96"/>
    <w:rsid w:val="008D5EC1"/>
    <w:rsid w:val="008D7B41"/>
    <w:rsid w:val="008E1C15"/>
    <w:rsid w:val="008E37F7"/>
    <w:rsid w:val="008E607A"/>
    <w:rsid w:val="008E63B4"/>
    <w:rsid w:val="008E6902"/>
    <w:rsid w:val="008F0CC4"/>
    <w:rsid w:val="008F23F0"/>
    <w:rsid w:val="008F4CB1"/>
    <w:rsid w:val="008F4F49"/>
    <w:rsid w:val="008F538E"/>
    <w:rsid w:val="009025EE"/>
    <w:rsid w:val="00902F50"/>
    <w:rsid w:val="009037F7"/>
    <w:rsid w:val="009038DA"/>
    <w:rsid w:val="009047C5"/>
    <w:rsid w:val="009118A9"/>
    <w:rsid w:val="00911B73"/>
    <w:rsid w:val="009125A3"/>
    <w:rsid w:val="00913F70"/>
    <w:rsid w:val="00916B6F"/>
    <w:rsid w:val="00922BB5"/>
    <w:rsid w:val="009236A5"/>
    <w:rsid w:val="00924595"/>
    <w:rsid w:val="00925A83"/>
    <w:rsid w:val="00926216"/>
    <w:rsid w:val="00926B4E"/>
    <w:rsid w:val="00932A9F"/>
    <w:rsid w:val="00932C0C"/>
    <w:rsid w:val="00933BB3"/>
    <w:rsid w:val="009357C7"/>
    <w:rsid w:val="00936424"/>
    <w:rsid w:val="00936D26"/>
    <w:rsid w:val="00936F04"/>
    <w:rsid w:val="00942E45"/>
    <w:rsid w:val="009437A1"/>
    <w:rsid w:val="00943CA6"/>
    <w:rsid w:val="009463B5"/>
    <w:rsid w:val="009502C8"/>
    <w:rsid w:val="0095328D"/>
    <w:rsid w:val="0095385A"/>
    <w:rsid w:val="00954523"/>
    <w:rsid w:val="00954FE7"/>
    <w:rsid w:val="009567DE"/>
    <w:rsid w:val="00956F89"/>
    <w:rsid w:val="00961B83"/>
    <w:rsid w:val="0096200D"/>
    <w:rsid w:val="00963161"/>
    <w:rsid w:val="00964562"/>
    <w:rsid w:val="00964AC4"/>
    <w:rsid w:val="00970615"/>
    <w:rsid w:val="009710BF"/>
    <w:rsid w:val="0097121F"/>
    <w:rsid w:val="009719CF"/>
    <w:rsid w:val="0097209F"/>
    <w:rsid w:val="00972BA0"/>
    <w:rsid w:val="00972FB2"/>
    <w:rsid w:val="009757AA"/>
    <w:rsid w:val="009757AF"/>
    <w:rsid w:val="009778E0"/>
    <w:rsid w:val="00977DA2"/>
    <w:rsid w:val="00980AC2"/>
    <w:rsid w:val="0098155D"/>
    <w:rsid w:val="00981711"/>
    <w:rsid w:val="00984452"/>
    <w:rsid w:val="00984782"/>
    <w:rsid w:val="00986565"/>
    <w:rsid w:val="009909E6"/>
    <w:rsid w:val="00993024"/>
    <w:rsid w:val="00995E94"/>
    <w:rsid w:val="009A29DE"/>
    <w:rsid w:val="009A597A"/>
    <w:rsid w:val="009A66DC"/>
    <w:rsid w:val="009A7FFB"/>
    <w:rsid w:val="009A7FFE"/>
    <w:rsid w:val="009B1ED5"/>
    <w:rsid w:val="009B2008"/>
    <w:rsid w:val="009B3F99"/>
    <w:rsid w:val="009B45B0"/>
    <w:rsid w:val="009B6BEF"/>
    <w:rsid w:val="009C02E4"/>
    <w:rsid w:val="009C1692"/>
    <w:rsid w:val="009C2030"/>
    <w:rsid w:val="009C3386"/>
    <w:rsid w:val="009C4D3C"/>
    <w:rsid w:val="009C5B84"/>
    <w:rsid w:val="009D166E"/>
    <w:rsid w:val="009D17A0"/>
    <w:rsid w:val="009D31DA"/>
    <w:rsid w:val="009D56B5"/>
    <w:rsid w:val="009D6AF2"/>
    <w:rsid w:val="009D76A3"/>
    <w:rsid w:val="009D7902"/>
    <w:rsid w:val="009E4079"/>
    <w:rsid w:val="009E5821"/>
    <w:rsid w:val="009E6061"/>
    <w:rsid w:val="009E6707"/>
    <w:rsid w:val="009E7136"/>
    <w:rsid w:val="009F0A48"/>
    <w:rsid w:val="009F1D95"/>
    <w:rsid w:val="009F59C2"/>
    <w:rsid w:val="009F75EF"/>
    <w:rsid w:val="009F7B7A"/>
    <w:rsid w:val="009F7D6C"/>
    <w:rsid w:val="00A038CC"/>
    <w:rsid w:val="00A03B66"/>
    <w:rsid w:val="00A0465D"/>
    <w:rsid w:val="00A06271"/>
    <w:rsid w:val="00A069A2"/>
    <w:rsid w:val="00A20D98"/>
    <w:rsid w:val="00A24560"/>
    <w:rsid w:val="00A2589B"/>
    <w:rsid w:val="00A30A8B"/>
    <w:rsid w:val="00A31C80"/>
    <w:rsid w:val="00A34538"/>
    <w:rsid w:val="00A34B3E"/>
    <w:rsid w:val="00A36A2C"/>
    <w:rsid w:val="00A376C8"/>
    <w:rsid w:val="00A37FB6"/>
    <w:rsid w:val="00A43A0E"/>
    <w:rsid w:val="00A44989"/>
    <w:rsid w:val="00A44B78"/>
    <w:rsid w:val="00A45B69"/>
    <w:rsid w:val="00A4743D"/>
    <w:rsid w:val="00A5023D"/>
    <w:rsid w:val="00A511A7"/>
    <w:rsid w:val="00A513FF"/>
    <w:rsid w:val="00A51B9D"/>
    <w:rsid w:val="00A547AE"/>
    <w:rsid w:val="00A54903"/>
    <w:rsid w:val="00A56A5E"/>
    <w:rsid w:val="00A628BC"/>
    <w:rsid w:val="00A6375C"/>
    <w:rsid w:val="00A65C0C"/>
    <w:rsid w:val="00A66552"/>
    <w:rsid w:val="00A67EC3"/>
    <w:rsid w:val="00A7170D"/>
    <w:rsid w:val="00A71D21"/>
    <w:rsid w:val="00A71D68"/>
    <w:rsid w:val="00A758A6"/>
    <w:rsid w:val="00A75EAB"/>
    <w:rsid w:val="00A7777A"/>
    <w:rsid w:val="00A82997"/>
    <w:rsid w:val="00A8562F"/>
    <w:rsid w:val="00A85F66"/>
    <w:rsid w:val="00A874DE"/>
    <w:rsid w:val="00A90822"/>
    <w:rsid w:val="00A916B1"/>
    <w:rsid w:val="00A93678"/>
    <w:rsid w:val="00A94E66"/>
    <w:rsid w:val="00A94F81"/>
    <w:rsid w:val="00A96235"/>
    <w:rsid w:val="00A9781C"/>
    <w:rsid w:val="00A9786A"/>
    <w:rsid w:val="00AA0731"/>
    <w:rsid w:val="00AA082E"/>
    <w:rsid w:val="00AA08E7"/>
    <w:rsid w:val="00AA2550"/>
    <w:rsid w:val="00AA367A"/>
    <w:rsid w:val="00AA442B"/>
    <w:rsid w:val="00AA5651"/>
    <w:rsid w:val="00AA669D"/>
    <w:rsid w:val="00AA6844"/>
    <w:rsid w:val="00AA7218"/>
    <w:rsid w:val="00AB11B1"/>
    <w:rsid w:val="00AB11CA"/>
    <w:rsid w:val="00AB12E9"/>
    <w:rsid w:val="00AB3D53"/>
    <w:rsid w:val="00AB48BA"/>
    <w:rsid w:val="00AB626C"/>
    <w:rsid w:val="00AB68E7"/>
    <w:rsid w:val="00AC3505"/>
    <w:rsid w:val="00AC754B"/>
    <w:rsid w:val="00AD0716"/>
    <w:rsid w:val="00AD0863"/>
    <w:rsid w:val="00AD0D7E"/>
    <w:rsid w:val="00AD0E40"/>
    <w:rsid w:val="00AD4293"/>
    <w:rsid w:val="00AD6002"/>
    <w:rsid w:val="00AD68F5"/>
    <w:rsid w:val="00AD6B6D"/>
    <w:rsid w:val="00AE0858"/>
    <w:rsid w:val="00AE0A52"/>
    <w:rsid w:val="00AE1628"/>
    <w:rsid w:val="00AE1DE2"/>
    <w:rsid w:val="00AF0404"/>
    <w:rsid w:val="00AF09E8"/>
    <w:rsid w:val="00AF140C"/>
    <w:rsid w:val="00AF24D9"/>
    <w:rsid w:val="00AF258A"/>
    <w:rsid w:val="00AF3336"/>
    <w:rsid w:val="00AF48C5"/>
    <w:rsid w:val="00AF49FA"/>
    <w:rsid w:val="00AF6B9A"/>
    <w:rsid w:val="00B00900"/>
    <w:rsid w:val="00B029B3"/>
    <w:rsid w:val="00B0378A"/>
    <w:rsid w:val="00B04D3D"/>
    <w:rsid w:val="00B07DB7"/>
    <w:rsid w:val="00B13EC0"/>
    <w:rsid w:val="00B1432D"/>
    <w:rsid w:val="00B17B43"/>
    <w:rsid w:val="00B203BB"/>
    <w:rsid w:val="00B20A0B"/>
    <w:rsid w:val="00B222C1"/>
    <w:rsid w:val="00B22E22"/>
    <w:rsid w:val="00B23071"/>
    <w:rsid w:val="00B243F8"/>
    <w:rsid w:val="00B31971"/>
    <w:rsid w:val="00B34B3F"/>
    <w:rsid w:val="00B4049E"/>
    <w:rsid w:val="00B42122"/>
    <w:rsid w:val="00B42B3D"/>
    <w:rsid w:val="00B43C08"/>
    <w:rsid w:val="00B44228"/>
    <w:rsid w:val="00B4671D"/>
    <w:rsid w:val="00B47176"/>
    <w:rsid w:val="00B4795A"/>
    <w:rsid w:val="00B51DD2"/>
    <w:rsid w:val="00B525CB"/>
    <w:rsid w:val="00B52760"/>
    <w:rsid w:val="00B549D6"/>
    <w:rsid w:val="00B54F61"/>
    <w:rsid w:val="00B564AD"/>
    <w:rsid w:val="00B5792C"/>
    <w:rsid w:val="00B60B79"/>
    <w:rsid w:val="00B61053"/>
    <w:rsid w:val="00B63872"/>
    <w:rsid w:val="00B63CB2"/>
    <w:rsid w:val="00B64EDB"/>
    <w:rsid w:val="00B6557B"/>
    <w:rsid w:val="00B669BC"/>
    <w:rsid w:val="00B70310"/>
    <w:rsid w:val="00B7202F"/>
    <w:rsid w:val="00B7315F"/>
    <w:rsid w:val="00B73CC4"/>
    <w:rsid w:val="00B73FCA"/>
    <w:rsid w:val="00B7441D"/>
    <w:rsid w:val="00B7752B"/>
    <w:rsid w:val="00B80D67"/>
    <w:rsid w:val="00B80F66"/>
    <w:rsid w:val="00B823D7"/>
    <w:rsid w:val="00B83F81"/>
    <w:rsid w:val="00B866CA"/>
    <w:rsid w:val="00B90FEF"/>
    <w:rsid w:val="00B91B8E"/>
    <w:rsid w:val="00B93192"/>
    <w:rsid w:val="00B9509D"/>
    <w:rsid w:val="00B95CAE"/>
    <w:rsid w:val="00B96300"/>
    <w:rsid w:val="00B96396"/>
    <w:rsid w:val="00B96618"/>
    <w:rsid w:val="00BA1616"/>
    <w:rsid w:val="00BA254F"/>
    <w:rsid w:val="00BA42A3"/>
    <w:rsid w:val="00BA4987"/>
    <w:rsid w:val="00BA6AD7"/>
    <w:rsid w:val="00BB029D"/>
    <w:rsid w:val="00BB1591"/>
    <w:rsid w:val="00BB287C"/>
    <w:rsid w:val="00BB2AD6"/>
    <w:rsid w:val="00BB56B4"/>
    <w:rsid w:val="00BB5D46"/>
    <w:rsid w:val="00BB6522"/>
    <w:rsid w:val="00BC207A"/>
    <w:rsid w:val="00BC5918"/>
    <w:rsid w:val="00BC5BF9"/>
    <w:rsid w:val="00BC65A6"/>
    <w:rsid w:val="00BC69CF"/>
    <w:rsid w:val="00BC7852"/>
    <w:rsid w:val="00BC7BCA"/>
    <w:rsid w:val="00BC7F75"/>
    <w:rsid w:val="00BD0D98"/>
    <w:rsid w:val="00BD2054"/>
    <w:rsid w:val="00BD20B7"/>
    <w:rsid w:val="00BD319C"/>
    <w:rsid w:val="00BD453F"/>
    <w:rsid w:val="00BD78FE"/>
    <w:rsid w:val="00BE659F"/>
    <w:rsid w:val="00BF20DA"/>
    <w:rsid w:val="00BF3C32"/>
    <w:rsid w:val="00C00612"/>
    <w:rsid w:val="00C0161A"/>
    <w:rsid w:val="00C01718"/>
    <w:rsid w:val="00C073AA"/>
    <w:rsid w:val="00C076F8"/>
    <w:rsid w:val="00C1033A"/>
    <w:rsid w:val="00C109D1"/>
    <w:rsid w:val="00C11B63"/>
    <w:rsid w:val="00C12961"/>
    <w:rsid w:val="00C134E7"/>
    <w:rsid w:val="00C147E7"/>
    <w:rsid w:val="00C14E6C"/>
    <w:rsid w:val="00C22847"/>
    <w:rsid w:val="00C228D0"/>
    <w:rsid w:val="00C22B1B"/>
    <w:rsid w:val="00C23C1B"/>
    <w:rsid w:val="00C31D25"/>
    <w:rsid w:val="00C346D2"/>
    <w:rsid w:val="00C401D8"/>
    <w:rsid w:val="00C44C26"/>
    <w:rsid w:val="00C45698"/>
    <w:rsid w:val="00C4573A"/>
    <w:rsid w:val="00C5231C"/>
    <w:rsid w:val="00C525DC"/>
    <w:rsid w:val="00C54BDA"/>
    <w:rsid w:val="00C55132"/>
    <w:rsid w:val="00C55CB0"/>
    <w:rsid w:val="00C61019"/>
    <w:rsid w:val="00C639F6"/>
    <w:rsid w:val="00C717C7"/>
    <w:rsid w:val="00C71B6D"/>
    <w:rsid w:val="00C76B05"/>
    <w:rsid w:val="00C80F09"/>
    <w:rsid w:val="00C81938"/>
    <w:rsid w:val="00C8276B"/>
    <w:rsid w:val="00C83AA2"/>
    <w:rsid w:val="00C841F4"/>
    <w:rsid w:val="00C92908"/>
    <w:rsid w:val="00C96FF0"/>
    <w:rsid w:val="00C972A2"/>
    <w:rsid w:val="00CA055A"/>
    <w:rsid w:val="00CA0F39"/>
    <w:rsid w:val="00CA27D1"/>
    <w:rsid w:val="00CA31EA"/>
    <w:rsid w:val="00CA519C"/>
    <w:rsid w:val="00CA689E"/>
    <w:rsid w:val="00CB1E0E"/>
    <w:rsid w:val="00CB57B3"/>
    <w:rsid w:val="00CB5AD7"/>
    <w:rsid w:val="00CB622A"/>
    <w:rsid w:val="00CC00CD"/>
    <w:rsid w:val="00CC0CA7"/>
    <w:rsid w:val="00CC59C9"/>
    <w:rsid w:val="00CC62AE"/>
    <w:rsid w:val="00CC635B"/>
    <w:rsid w:val="00CD0263"/>
    <w:rsid w:val="00CD2160"/>
    <w:rsid w:val="00CD34C9"/>
    <w:rsid w:val="00CD3EF0"/>
    <w:rsid w:val="00CD6760"/>
    <w:rsid w:val="00CE198E"/>
    <w:rsid w:val="00CE39C7"/>
    <w:rsid w:val="00CE483A"/>
    <w:rsid w:val="00CE7356"/>
    <w:rsid w:val="00CF37E7"/>
    <w:rsid w:val="00CF6735"/>
    <w:rsid w:val="00CF6BF5"/>
    <w:rsid w:val="00CF7AF4"/>
    <w:rsid w:val="00D01760"/>
    <w:rsid w:val="00D01902"/>
    <w:rsid w:val="00D0239D"/>
    <w:rsid w:val="00D03073"/>
    <w:rsid w:val="00D05667"/>
    <w:rsid w:val="00D07D60"/>
    <w:rsid w:val="00D10EC1"/>
    <w:rsid w:val="00D12BA5"/>
    <w:rsid w:val="00D131C0"/>
    <w:rsid w:val="00D14533"/>
    <w:rsid w:val="00D152ED"/>
    <w:rsid w:val="00D16E39"/>
    <w:rsid w:val="00D202BE"/>
    <w:rsid w:val="00D2067F"/>
    <w:rsid w:val="00D20D74"/>
    <w:rsid w:val="00D223B6"/>
    <w:rsid w:val="00D227BD"/>
    <w:rsid w:val="00D22A38"/>
    <w:rsid w:val="00D22DE2"/>
    <w:rsid w:val="00D2318A"/>
    <w:rsid w:val="00D32424"/>
    <w:rsid w:val="00D338C8"/>
    <w:rsid w:val="00D33C21"/>
    <w:rsid w:val="00D33C9D"/>
    <w:rsid w:val="00D3450E"/>
    <w:rsid w:val="00D367D6"/>
    <w:rsid w:val="00D400AE"/>
    <w:rsid w:val="00D42442"/>
    <w:rsid w:val="00D42465"/>
    <w:rsid w:val="00D4795D"/>
    <w:rsid w:val="00D50E46"/>
    <w:rsid w:val="00D52525"/>
    <w:rsid w:val="00D60327"/>
    <w:rsid w:val="00D6042C"/>
    <w:rsid w:val="00D605EE"/>
    <w:rsid w:val="00D60A44"/>
    <w:rsid w:val="00D620B8"/>
    <w:rsid w:val="00D62EDA"/>
    <w:rsid w:val="00D64E1D"/>
    <w:rsid w:val="00D67AC3"/>
    <w:rsid w:val="00D67FE7"/>
    <w:rsid w:val="00D70889"/>
    <w:rsid w:val="00D72E9D"/>
    <w:rsid w:val="00D75FFD"/>
    <w:rsid w:val="00D81216"/>
    <w:rsid w:val="00D82CE5"/>
    <w:rsid w:val="00D850ED"/>
    <w:rsid w:val="00D85290"/>
    <w:rsid w:val="00D86513"/>
    <w:rsid w:val="00D90688"/>
    <w:rsid w:val="00D90AF9"/>
    <w:rsid w:val="00D91F82"/>
    <w:rsid w:val="00D9326E"/>
    <w:rsid w:val="00D933AB"/>
    <w:rsid w:val="00D93E7A"/>
    <w:rsid w:val="00D94810"/>
    <w:rsid w:val="00D955E2"/>
    <w:rsid w:val="00D96A9A"/>
    <w:rsid w:val="00D97E4C"/>
    <w:rsid w:val="00DA04A6"/>
    <w:rsid w:val="00DA3165"/>
    <w:rsid w:val="00DA3B69"/>
    <w:rsid w:val="00DA40C0"/>
    <w:rsid w:val="00DA4B56"/>
    <w:rsid w:val="00DA5AB1"/>
    <w:rsid w:val="00DB1A88"/>
    <w:rsid w:val="00DB2CF1"/>
    <w:rsid w:val="00DB4A47"/>
    <w:rsid w:val="00DB5463"/>
    <w:rsid w:val="00DC0143"/>
    <w:rsid w:val="00DC1765"/>
    <w:rsid w:val="00DC37D1"/>
    <w:rsid w:val="00DC5CD3"/>
    <w:rsid w:val="00DC62E5"/>
    <w:rsid w:val="00DD0C0F"/>
    <w:rsid w:val="00DD0EC3"/>
    <w:rsid w:val="00DD197D"/>
    <w:rsid w:val="00DD3B1B"/>
    <w:rsid w:val="00DD5776"/>
    <w:rsid w:val="00DD735D"/>
    <w:rsid w:val="00DD73CF"/>
    <w:rsid w:val="00DE171D"/>
    <w:rsid w:val="00DE192F"/>
    <w:rsid w:val="00DE1F83"/>
    <w:rsid w:val="00DE2229"/>
    <w:rsid w:val="00DE3119"/>
    <w:rsid w:val="00DE573E"/>
    <w:rsid w:val="00DF1778"/>
    <w:rsid w:val="00DF1EAF"/>
    <w:rsid w:val="00DF2157"/>
    <w:rsid w:val="00DF236B"/>
    <w:rsid w:val="00DF45FC"/>
    <w:rsid w:val="00DF7174"/>
    <w:rsid w:val="00E00498"/>
    <w:rsid w:val="00E0238C"/>
    <w:rsid w:val="00E04231"/>
    <w:rsid w:val="00E04388"/>
    <w:rsid w:val="00E0610E"/>
    <w:rsid w:val="00E06383"/>
    <w:rsid w:val="00E07F87"/>
    <w:rsid w:val="00E104B0"/>
    <w:rsid w:val="00E10BAD"/>
    <w:rsid w:val="00E125F3"/>
    <w:rsid w:val="00E12820"/>
    <w:rsid w:val="00E13AB8"/>
    <w:rsid w:val="00E13C2A"/>
    <w:rsid w:val="00E15564"/>
    <w:rsid w:val="00E15785"/>
    <w:rsid w:val="00E162BE"/>
    <w:rsid w:val="00E21C3B"/>
    <w:rsid w:val="00E241EF"/>
    <w:rsid w:val="00E257E5"/>
    <w:rsid w:val="00E25CB3"/>
    <w:rsid w:val="00E30B08"/>
    <w:rsid w:val="00E32439"/>
    <w:rsid w:val="00E33B62"/>
    <w:rsid w:val="00E34074"/>
    <w:rsid w:val="00E344D4"/>
    <w:rsid w:val="00E3610E"/>
    <w:rsid w:val="00E37F5F"/>
    <w:rsid w:val="00E4143A"/>
    <w:rsid w:val="00E425F5"/>
    <w:rsid w:val="00E42F71"/>
    <w:rsid w:val="00E4379B"/>
    <w:rsid w:val="00E4405E"/>
    <w:rsid w:val="00E44593"/>
    <w:rsid w:val="00E446F2"/>
    <w:rsid w:val="00E44883"/>
    <w:rsid w:val="00E4768D"/>
    <w:rsid w:val="00E543DF"/>
    <w:rsid w:val="00E549B6"/>
    <w:rsid w:val="00E54B84"/>
    <w:rsid w:val="00E54F8D"/>
    <w:rsid w:val="00E55CE1"/>
    <w:rsid w:val="00E569CD"/>
    <w:rsid w:val="00E57122"/>
    <w:rsid w:val="00E60BCE"/>
    <w:rsid w:val="00E61051"/>
    <w:rsid w:val="00E62109"/>
    <w:rsid w:val="00E662AB"/>
    <w:rsid w:val="00E66A4D"/>
    <w:rsid w:val="00E7245B"/>
    <w:rsid w:val="00E73574"/>
    <w:rsid w:val="00E759D6"/>
    <w:rsid w:val="00E76D24"/>
    <w:rsid w:val="00E76FD8"/>
    <w:rsid w:val="00E8249B"/>
    <w:rsid w:val="00E842C7"/>
    <w:rsid w:val="00E84B6B"/>
    <w:rsid w:val="00E923AC"/>
    <w:rsid w:val="00E939B8"/>
    <w:rsid w:val="00E94D24"/>
    <w:rsid w:val="00EA067A"/>
    <w:rsid w:val="00EA28BE"/>
    <w:rsid w:val="00EA2DA1"/>
    <w:rsid w:val="00EA4A11"/>
    <w:rsid w:val="00EA5340"/>
    <w:rsid w:val="00EA6929"/>
    <w:rsid w:val="00EA6ACD"/>
    <w:rsid w:val="00EB06A1"/>
    <w:rsid w:val="00EB0D6D"/>
    <w:rsid w:val="00EB130F"/>
    <w:rsid w:val="00EB5F9D"/>
    <w:rsid w:val="00EB63D6"/>
    <w:rsid w:val="00EB6D79"/>
    <w:rsid w:val="00EB6EB3"/>
    <w:rsid w:val="00EB718F"/>
    <w:rsid w:val="00EB7A68"/>
    <w:rsid w:val="00EC1BD9"/>
    <w:rsid w:val="00EC1E29"/>
    <w:rsid w:val="00EC2126"/>
    <w:rsid w:val="00EC3B16"/>
    <w:rsid w:val="00EC5E22"/>
    <w:rsid w:val="00ED0C11"/>
    <w:rsid w:val="00ED11F6"/>
    <w:rsid w:val="00ED415C"/>
    <w:rsid w:val="00ED6869"/>
    <w:rsid w:val="00EE1AB7"/>
    <w:rsid w:val="00EE55F8"/>
    <w:rsid w:val="00EE59B5"/>
    <w:rsid w:val="00EE6ABD"/>
    <w:rsid w:val="00EF36E1"/>
    <w:rsid w:val="00EF49A7"/>
    <w:rsid w:val="00F0060E"/>
    <w:rsid w:val="00F006BE"/>
    <w:rsid w:val="00F018C5"/>
    <w:rsid w:val="00F02984"/>
    <w:rsid w:val="00F031BB"/>
    <w:rsid w:val="00F04D9A"/>
    <w:rsid w:val="00F06A7F"/>
    <w:rsid w:val="00F07882"/>
    <w:rsid w:val="00F10B89"/>
    <w:rsid w:val="00F116F4"/>
    <w:rsid w:val="00F117EF"/>
    <w:rsid w:val="00F13BB4"/>
    <w:rsid w:val="00F1432A"/>
    <w:rsid w:val="00F144D8"/>
    <w:rsid w:val="00F14F74"/>
    <w:rsid w:val="00F2114F"/>
    <w:rsid w:val="00F2156D"/>
    <w:rsid w:val="00F21D2C"/>
    <w:rsid w:val="00F22E4E"/>
    <w:rsid w:val="00F22F5E"/>
    <w:rsid w:val="00F23EA0"/>
    <w:rsid w:val="00F25C6D"/>
    <w:rsid w:val="00F26D1D"/>
    <w:rsid w:val="00F2716F"/>
    <w:rsid w:val="00F278FC"/>
    <w:rsid w:val="00F31A20"/>
    <w:rsid w:val="00F3308A"/>
    <w:rsid w:val="00F367CB"/>
    <w:rsid w:val="00F375BE"/>
    <w:rsid w:val="00F424C5"/>
    <w:rsid w:val="00F4747B"/>
    <w:rsid w:val="00F52861"/>
    <w:rsid w:val="00F57221"/>
    <w:rsid w:val="00F62605"/>
    <w:rsid w:val="00F626C9"/>
    <w:rsid w:val="00F63D56"/>
    <w:rsid w:val="00F65BF1"/>
    <w:rsid w:val="00F66AB9"/>
    <w:rsid w:val="00F7181B"/>
    <w:rsid w:val="00F74A9B"/>
    <w:rsid w:val="00F75EE3"/>
    <w:rsid w:val="00F8147A"/>
    <w:rsid w:val="00F828C7"/>
    <w:rsid w:val="00F84899"/>
    <w:rsid w:val="00F859F0"/>
    <w:rsid w:val="00F86D1E"/>
    <w:rsid w:val="00F8799D"/>
    <w:rsid w:val="00F9063B"/>
    <w:rsid w:val="00F92807"/>
    <w:rsid w:val="00FA1342"/>
    <w:rsid w:val="00FA1644"/>
    <w:rsid w:val="00FA4BA7"/>
    <w:rsid w:val="00FA4E68"/>
    <w:rsid w:val="00FB0979"/>
    <w:rsid w:val="00FB536E"/>
    <w:rsid w:val="00FB58A6"/>
    <w:rsid w:val="00FB7B6A"/>
    <w:rsid w:val="00FC0D0E"/>
    <w:rsid w:val="00FC29B2"/>
    <w:rsid w:val="00FC3419"/>
    <w:rsid w:val="00FC3AD6"/>
    <w:rsid w:val="00FC4C35"/>
    <w:rsid w:val="00FC7B9B"/>
    <w:rsid w:val="00FE0D9D"/>
    <w:rsid w:val="00FE141E"/>
    <w:rsid w:val="00FE18E2"/>
    <w:rsid w:val="00FE2E25"/>
    <w:rsid w:val="00FE405C"/>
    <w:rsid w:val="00FE42ED"/>
    <w:rsid w:val="00FE4DA6"/>
    <w:rsid w:val="00FE6C21"/>
    <w:rsid w:val="00FE7D7C"/>
    <w:rsid w:val="00FF44C6"/>
    <w:rsid w:val="00FF4B0C"/>
    <w:rsid w:val="00FF4D34"/>
    <w:rsid w:val="00FF672B"/>
    <w:rsid w:val="00FF7097"/>
    <w:rsid w:val="00FF7ACC"/>
    <w:rsid w:val="5218AF67"/>
    <w:rsid w:val="5912C351"/>
    <w:rsid w:val="69ABDB7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33A23"/>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semiHidden/>
    <w:rsid w:val="00833A23"/>
    <w:rPr>
      <w:rFonts w:eastAsiaTheme="minorEastAsia"/>
      <w:lang w:eastAsia="es-CO"/>
    </w:rPr>
  </w:style>
  <w:style w:type="paragraph" w:customStyle="1" w:styleId="paragraph">
    <w:name w:val="paragraph"/>
    <w:basedOn w:val="Normal"/>
    <w:rsid w:val="00182FE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182FE5"/>
  </w:style>
  <w:style w:type="character" w:customStyle="1" w:styleId="normaltextrun">
    <w:name w:val="normaltextrun"/>
    <w:basedOn w:val="Fuentedeprrafopredeter"/>
    <w:rsid w:val="00182FE5"/>
  </w:style>
  <w:style w:type="character" w:customStyle="1" w:styleId="eop">
    <w:name w:val="eop"/>
    <w:basedOn w:val="Fuentedeprrafopredeter"/>
    <w:rsid w:val="00182FE5"/>
  </w:style>
  <w:style w:type="character" w:customStyle="1" w:styleId="spellingerror">
    <w:name w:val="spellingerror"/>
    <w:basedOn w:val="Fuentedeprrafopredeter"/>
    <w:rsid w:val="0018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710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7025951">
      <w:bodyDiv w:val="1"/>
      <w:marLeft w:val="0"/>
      <w:marRight w:val="0"/>
      <w:marTop w:val="0"/>
      <w:marBottom w:val="0"/>
      <w:divBdr>
        <w:top w:val="none" w:sz="0" w:space="0" w:color="auto"/>
        <w:left w:val="none" w:sz="0" w:space="0" w:color="auto"/>
        <w:bottom w:val="none" w:sz="0" w:space="0" w:color="auto"/>
        <w:right w:val="none" w:sz="0" w:space="0" w:color="auto"/>
      </w:divBdr>
    </w:div>
    <w:div w:id="11267449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4046160">
      <w:bodyDiv w:val="1"/>
      <w:marLeft w:val="0"/>
      <w:marRight w:val="0"/>
      <w:marTop w:val="0"/>
      <w:marBottom w:val="0"/>
      <w:divBdr>
        <w:top w:val="none" w:sz="0" w:space="0" w:color="auto"/>
        <w:left w:val="none" w:sz="0" w:space="0" w:color="auto"/>
        <w:bottom w:val="none" w:sz="0" w:space="0" w:color="auto"/>
        <w:right w:val="none" w:sz="0" w:space="0" w:color="auto"/>
      </w:divBdr>
    </w:div>
    <w:div w:id="393892844">
      <w:bodyDiv w:val="1"/>
      <w:marLeft w:val="0"/>
      <w:marRight w:val="0"/>
      <w:marTop w:val="0"/>
      <w:marBottom w:val="0"/>
      <w:divBdr>
        <w:top w:val="none" w:sz="0" w:space="0" w:color="auto"/>
        <w:left w:val="none" w:sz="0" w:space="0" w:color="auto"/>
        <w:bottom w:val="none" w:sz="0" w:space="0" w:color="auto"/>
        <w:right w:val="none" w:sz="0" w:space="0" w:color="auto"/>
      </w:divBdr>
    </w:div>
    <w:div w:id="486631407">
      <w:bodyDiv w:val="1"/>
      <w:marLeft w:val="0"/>
      <w:marRight w:val="0"/>
      <w:marTop w:val="0"/>
      <w:marBottom w:val="0"/>
      <w:divBdr>
        <w:top w:val="none" w:sz="0" w:space="0" w:color="auto"/>
        <w:left w:val="none" w:sz="0" w:space="0" w:color="auto"/>
        <w:bottom w:val="none" w:sz="0" w:space="0" w:color="auto"/>
        <w:right w:val="none" w:sz="0" w:space="0" w:color="auto"/>
      </w:divBdr>
      <w:divsChild>
        <w:div w:id="176041521">
          <w:marLeft w:val="0"/>
          <w:marRight w:val="0"/>
          <w:marTop w:val="0"/>
          <w:marBottom w:val="0"/>
          <w:divBdr>
            <w:top w:val="none" w:sz="0" w:space="0" w:color="auto"/>
            <w:left w:val="none" w:sz="0" w:space="0" w:color="auto"/>
            <w:bottom w:val="none" w:sz="0" w:space="0" w:color="auto"/>
            <w:right w:val="none" w:sz="0" w:space="0" w:color="auto"/>
          </w:divBdr>
        </w:div>
        <w:div w:id="641618397">
          <w:marLeft w:val="0"/>
          <w:marRight w:val="0"/>
          <w:marTop w:val="0"/>
          <w:marBottom w:val="0"/>
          <w:divBdr>
            <w:top w:val="none" w:sz="0" w:space="0" w:color="auto"/>
            <w:left w:val="none" w:sz="0" w:space="0" w:color="auto"/>
            <w:bottom w:val="none" w:sz="0" w:space="0" w:color="auto"/>
            <w:right w:val="none" w:sz="0" w:space="0" w:color="auto"/>
          </w:divBdr>
        </w:div>
        <w:div w:id="942348089">
          <w:marLeft w:val="0"/>
          <w:marRight w:val="0"/>
          <w:marTop w:val="0"/>
          <w:marBottom w:val="0"/>
          <w:divBdr>
            <w:top w:val="none" w:sz="0" w:space="0" w:color="auto"/>
            <w:left w:val="none" w:sz="0" w:space="0" w:color="auto"/>
            <w:bottom w:val="none" w:sz="0" w:space="0" w:color="auto"/>
            <w:right w:val="none" w:sz="0" w:space="0" w:color="auto"/>
          </w:divBdr>
        </w:div>
        <w:div w:id="122045357">
          <w:marLeft w:val="0"/>
          <w:marRight w:val="0"/>
          <w:marTop w:val="0"/>
          <w:marBottom w:val="0"/>
          <w:divBdr>
            <w:top w:val="none" w:sz="0" w:space="0" w:color="auto"/>
            <w:left w:val="none" w:sz="0" w:space="0" w:color="auto"/>
            <w:bottom w:val="none" w:sz="0" w:space="0" w:color="auto"/>
            <w:right w:val="none" w:sz="0" w:space="0" w:color="auto"/>
          </w:divBdr>
        </w:div>
        <w:div w:id="1562597630">
          <w:marLeft w:val="0"/>
          <w:marRight w:val="0"/>
          <w:marTop w:val="0"/>
          <w:marBottom w:val="0"/>
          <w:divBdr>
            <w:top w:val="none" w:sz="0" w:space="0" w:color="auto"/>
            <w:left w:val="none" w:sz="0" w:space="0" w:color="auto"/>
            <w:bottom w:val="none" w:sz="0" w:space="0" w:color="auto"/>
            <w:right w:val="none" w:sz="0" w:space="0" w:color="auto"/>
          </w:divBdr>
        </w:div>
        <w:div w:id="655040013">
          <w:marLeft w:val="0"/>
          <w:marRight w:val="0"/>
          <w:marTop w:val="0"/>
          <w:marBottom w:val="0"/>
          <w:divBdr>
            <w:top w:val="none" w:sz="0" w:space="0" w:color="auto"/>
            <w:left w:val="none" w:sz="0" w:space="0" w:color="auto"/>
            <w:bottom w:val="none" w:sz="0" w:space="0" w:color="auto"/>
            <w:right w:val="none" w:sz="0" w:space="0" w:color="auto"/>
          </w:divBdr>
        </w:div>
        <w:div w:id="1598439346">
          <w:marLeft w:val="0"/>
          <w:marRight w:val="0"/>
          <w:marTop w:val="0"/>
          <w:marBottom w:val="0"/>
          <w:divBdr>
            <w:top w:val="none" w:sz="0" w:space="0" w:color="auto"/>
            <w:left w:val="none" w:sz="0" w:space="0" w:color="auto"/>
            <w:bottom w:val="none" w:sz="0" w:space="0" w:color="auto"/>
            <w:right w:val="none" w:sz="0" w:space="0" w:color="auto"/>
          </w:divBdr>
        </w:div>
        <w:div w:id="721096271">
          <w:marLeft w:val="0"/>
          <w:marRight w:val="0"/>
          <w:marTop w:val="0"/>
          <w:marBottom w:val="0"/>
          <w:divBdr>
            <w:top w:val="none" w:sz="0" w:space="0" w:color="auto"/>
            <w:left w:val="none" w:sz="0" w:space="0" w:color="auto"/>
            <w:bottom w:val="none" w:sz="0" w:space="0" w:color="auto"/>
            <w:right w:val="none" w:sz="0" w:space="0" w:color="auto"/>
          </w:divBdr>
        </w:div>
        <w:div w:id="189227487">
          <w:marLeft w:val="0"/>
          <w:marRight w:val="0"/>
          <w:marTop w:val="0"/>
          <w:marBottom w:val="0"/>
          <w:divBdr>
            <w:top w:val="none" w:sz="0" w:space="0" w:color="auto"/>
            <w:left w:val="none" w:sz="0" w:space="0" w:color="auto"/>
            <w:bottom w:val="none" w:sz="0" w:space="0" w:color="auto"/>
            <w:right w:val="none" w:sz="0" w:space="0" w:color="auto"/>
          </w:divBdr>
        </w:div>
        <w:div w:id="1072431892">
          <w:marLeft w:val="0"/>
          <w:marRight w:val="0"/>
          <w:marTop w:val="0"/>
          <w:marBottom w:val="0"/>
          <w:divBdr>
            <w:top w:val="none" w:sz="0" w:space="0" w:color="auto"/>
            <w:left w:val="none" w:sz="0" w:space="0" w:color="auto"/>
            <w:bottom w:val="none" w:sz="0" w:space="0" w:color="auto"/>
            <w:right w:val="none" w:sz="0" w:space="0" w:color="auto"/>
          </w:divBdr>
        </w:div>
        <w:div w:id="695621469">
          <w:marLeft w:val="0"/>
          <w:marRight w:val="0"/>
          <w:marTop w:val="0"/>
          <w:marBottom w:val="0"/>
          <w:divBdr>
            <w:top w:val="none" w:sz="0" w:space="0" w:color="auto"/>
            <w:left w:val="none" w:sz="0" w:space="0" w:color="auto"/>
            <w:bottom w:val="none" w:sz="0" w:space="0" w:color="auto"/>
            <w:right w:val="none" w:sz="0" w:space="0" w:color="auto"/>
          </w:divBdr>
        </w:div>
      </w:divsChild>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07671478">
      <w:bodyDiv w:val="1"/>
      <w:marLeft w:val="0"/>
      <w:marRight w:val="0"/>
      <w:marTop w:val="0"/>
      <w:marBottom w:val="0"/>
      <w:divBdr>
        <w:top w:val="none" w:sz="0" w:space="0" w:color="auto"/>
        <w:left w:val="none" w:sz="0" w:space="0" w:color="auto"/>
        <w:bottom w:val="none" w:sz="0" w:space="0" w:color="auto"/>
        <w:right w:val="none" w:sz="0" w:space="0" w:color="auto"/>
      </w:divBdr>
      <w:divsChild>
        <w:div w:id="2034264736">
          <w:marLeft w:val="0"/>
          <w:marRight w:val="0"/>
          <w:marTop w:val="0"/>
          <w:marBottom w:val="0"/>
          <w:divBdr>
            <w:top w:val="none" w:sz="0" w:space="0" w:color="auto"/>
            <w:left w:val="none" w:sz="0" w:space="0" w:color="auto"/>
            <w:bottom w:val="none" w:sz="0" w:space="0" w:color="auto"/>
            <w:right w:val="none" w:sz="0" w:space="0" w:color="auto"/>
          </w:divBdr>
          <w:divsChild>
            <w:div w:id="1356923120">
              <w:marLeft w:val="0"/>
              <w:marRight w:val="0"/>
              <w:marTop w:val="0"/>
              <w:marBottom w:val="0"/>
              <w:divBdr>
                <w:top w:val="none" w:sz="0" w:space="0" w:color="auto"/>
                <w:left w:val="none" w:sz="0" w:space="0" w:color="auto"/>
                <w:bottom w:val="none" w:sz="0" w:space="0" w:color="auto"/>
                <w:right w:val="none" w:sz="0" w:space="0" w:color="auto"/>
              </w:divBdr>
              <w:divsChild>
                <w:div w:id="859469631">
                  <w:marLeft w:val="0"/>
                  <w:marRight w:val="0"/>
                  <w:marTop w:val="0"/>
                  <w:marBottom w:val="0"/>
                  <w:divBdr>
                    <w:top w:val="none" w:sz="0" w:space="0" w:color="auto"/>
                    <w:left w:val="none" w:sz="0" w:space="0" w:color="auto"/>
                    <w:bottom w:val="none" w:sz="0" w:space="0" w:color="auto"/>
                    <w:right w:val="none" w:sz="0" w:space="0" w:color="auto"/>
                  </w:divBdr>
                  <w:divsChild>
                    <w:div w:id="19768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852768933">
      <w:bodyDiv w:val="1"/>
      <w:marLeft w:val="0"/>
      <w:marRight w:val="0"/>
      <w:marTop w:val="0"/>
      <w:marBottom w:val="0"/>
      <w:divBdr>
        <w:top w:val="none" w:sz="0" w:space="0" w:color="auto"/>
        <w:left w:val="none" w:sz="0" w:space="0" w:color="auto"/>
        <w:bottom w:val="none" w:sz="0" w:space="0" w:color="auto"/>
        <w:right w:val="none" w:sz="0" w:space="0" w:color="auto"/>
      </w:divBdr>
      <w:divsChild>
        <w:div w:id="2096169658">
          <w:marLeft w:val="0"/>
          <w:marRight w:val="0"/>
          <w:marTop w:val="0"/>
          <w:marBottom w:val="0"/>
          <w:divBdr>
            <w:top w:val="none" w:sz="0" w:space="0" w:color="auto"/>
            <w:left w:val="none" w:sz="0" w:space="0" w:color="auto"/>
            <w:bottom w:val="none" w:sz="0" w:space="0" w:color="auto"/>
            <w:right w:val="none" w:sz="0" w:space="0" w:color="auto"/>
          </w:divBdr>
          <w:divsChild>
            <w:div w:id="726952440">
              <w:marLeft w:val="0"/>
              <w:marRight w:val="0"/>
              <w:marTop w:val="0"/>
              <w:marBottom w:val="0"/>
              <w:divBdr>
                <w:top w:val="none" w:sz="0" w:space="0" w:color="auto"/>
                <w:left w:val="none" w:sz="0" w:space="0" w:color="auto"/>
                <w:bottom w:val="none" w:sz="0" w:space="0" w:color="auto"/>
                <w:right w:val="none" w:sz="0" w:space="0" w:color="auto"/>
              </w:divBdr>
              <w:divsChild>
                <w:div w:id="1679193881">
                  <w:marLeft w:val="0"/>
                  <w:marRight w:val="0"/>
                  <w:marTop w:val="0"/>
                  <w:marBottom w:val="0"/>
                  <w:divBdr>
                    <w:top w:val="none" w:sz="0" w:space="0" w:color="auto"/>
                    <w:left w:val="none" w:sz="0" w:space="0" w:color="auto"/>
                    <w:bottom w:val="none" w:sz="0" w:space="0" w:color="auto"/>
                    <w:right w:val="none" w:sz="0" w:space="0" w:color="auto"/>
                  </w:divBdr>
                  <w:divsChild>
                    <w:div w:id="712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964853663">
      <w:bodyDiv w:val="1"/>
      <w:marLeft w:val="0"/>
      <w:marRight w:val="0"/>
      <w:marTop w:val="0"/>
      <w:marBottom w:val="0"/>
      <w:divBdr>
        <w:top w:val="none" w:sz="0" w:space="0" w:color="auto"/>
        <w:left w:val="none" w:sz="0" w:space="0" w:color="auto"/>
        <w:bottom w:val="none" w:sz="0" w:space="0" w:color="auto"/>
        <w:right w:val="none" w:sz="0" w:space="0" w:color="auto"/>
      </w:divBdr>
    </w:div>
    <w:div w:id="970206254">
      <w:bodyDiv w:val="1"/>
      <w:marLeft w:val="0"/>
      <w:marRight w:val="0"/>
      <w:marTop w:val="0"/>
      <w:marBottom w:val="0"/>
      <w:divBdr>
        <w:top w:val="none" w:sz="0" w:space="0" w:color="auto"/>
        <w:left w:val="none" w:sz="0" w:space="0" w:color="auto"/>
        <w:bottom w:val="none" w:sz="0" w:space="0" w:color="auto"/>
        <w:right w:val="none" w:sz="0" w:space="0" w:color="auto"/>
      </w:divBdr>
      <w:divsChild>
        <w:div w:id="568882105">
          <w:marLeft w:val="0"/>
          <w:marRight w:val="0"/>
          <w:marTop w:val="0"/>
          <w:marBottom w:val="0"/>
          <w:divBdr>
            <w:top w:val="none" w:sz="0" w:space="0" w:color="auto"/>
            <w:left w:val="none" w:sz="0" w:space="0" w:color="auto"/>
            <w:bottom w:val="none" w:sz="0" w:space="0" w:color="auto"/>
            <w:right w:val="none" w:sz="0" w:space="0" w:color="auto"/>
          </w:divBdr>
          <w:divsChild>
            <w:div w:id="1471744582">
              <w:marLeft w:val="0"/>
              <w:marRight w:val="0"/>
              <w:marTop w:val="0"/>
              <w:marBottom w:val="0"/>
              <w:divBdr>
                <w:top w:val="none" w:sz="0" w:space="0" w:color="auto"/>
                <w:left w:val="none" w:sz="0" w:space="0" w:color="auto"/>
                <w:bottom w:val="none" w:sz="0" w:space="0" w:color="auto"/>
                <w:right w:val="none" w:sz="0" w:space="0" w:color="auto"/>
              </w:divBdr>
              <w:divsChild>
                <w:div w:id="20608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6912">
      <w:bodyDiv w:val="1"/>
      <w:marLeft w:val="0"/>
      <w:marRight w:val="0"/>
      <w:marTop w:val="0"/>
      <w:marBottom w:val="0"/>
      <w:divBdr>
        <w:top w:val="none" w:sz="0" w:space="0" w:color="auto"/>
        <w:left w:val="none" w:sz="0" w:space="0" w:color="auto"/>
        <w:bottom w:val="none" w:sz="0" w:space="0" w:color="auto"/>
        <w:right w:val="none" w:sz="0" w:space="0" w:color="auto"/>
      </w:divBdr>
    </w:div>
    <w:div w:id="1025520698">
      <w:bodyDiv w:val="1"/>
      <w:marLeft w:val="0"/>
      <w:marRight w:val="0"/>
      <w:marTop w:val="0"/>
      <w:marBottom w:val="0"/>
      <w:divBdr>
        <w:top w:val="none" w:sz="0" w:space="0" w:color="auto"/>
        <w:left w:val="none" w:sz="0" w:space="0" w:color="auto"/>
        <w:bottom w:val="none" w:sz="0" w:space="0" w:color="auto"/>
        <w:right w:val="none" w:sz="0" w:space="0" w:color="auto"/>
      </w:divBdr>
      <w:divsChild>
        <w:div w:id="2101948177">
          <w:marLeft w:val="0"/>
          <w:marRight w:val="0"/>
          <w:marTop w:val="0"/>
          <w:marBottom w:val="0"/>
          <w:divBdr>
            <w:top w:val="none" w:sz="0" w:space="0" w:color="auto"/>
            <w:left w:val="none" w:sz="0" w:space="0" w:color="auto"/>
            <w:bottom w:val="none" w:sz="0" w:space="0" w:color="auto"/>
            <w:right w:val="none" w:sz="0" w:space="0" w:color="auto"/>
          </w:divBdr>
          <w:divsChild>
            <w:div w:id="912852579">
              <w:marLeft w:val="0"/>
              <w:marRight w:val="0"/>
              <w:marTop w:val="0"/>
              <w:marBottom w:val="0"/>
              <w:divBdr>
                <w:top w:val="none" w:sz="0" w:space="0" w:color="auto"/>
                <w:left w:val="none" w:sz="0" w:space="0" w:color="auto"/>
                <w:bottom w:val="none" w:sz="0" w:space="0" w:color="auto"/>
                <w:right w:val="none" w:sz="0" w:space="0" w:color="auto"/>
              </w:divBdr>
              <w:divsChild>
                <w:div w:id="2896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6232">
      <w:bodyDiv w:val="1"/>
      <w:marLeft w:val="0"/>
      <w:marRight w:val="0"/>
      <w:marTop w:val="0"/>
      <w:marBottom w:val="0"/>
      <w:divBdr>
        <w:top w:val="none" w:sz="0" w:space="0" w:color="auto"/>
        <w:left w:val="none" w:sz="0" w:space="0" w:color="auto"/>
        <w:bottom w:val="none" w:sz="0" w:space="0" w:color="auto"/>
        <w:right w:val="none" w:sz="0" w:space="0" w:color="auto"/>
      </w:divBdr>
    </w:div>
    <w:div w:id="1162894339">
      <w:bodyDiv w:val="1"/>
      <w:marLeft w:val="0"/>
      <w:marRight w:val="0"/>
      <w:marTop w:val="0"/>
      <w:marBottom w:val="0"/>
      <w:divBdr>
        <w:top w:val="none" w:sz="0" w:space="0" w:color="auto"/>
        <w:left w:val="none" w:sz="0" w:space="0" w:color="auto"/>
        <w:bottom w:val="none" w:sz="0" w:space="0" w:color="auto"/>
        <w:right w:val="none" w:sz="0" w:space="0" w:color="auto"/>
      </w:divBdr>
      <w:divsChild>
        <w:div w:id="2074083383">
          <w:marLeft w:val="0"/>
          <w:marRight w:val="0"/>
          <w:marTop w:val="0"/>
          <w:marBottom w:val="0"/>
          <w:divBdr>
            <w:top w:val="none" w:sz="0" w:space="0" w:color="auto"/>
            <w:left w:val="none" w:sz="0" w:space="0" w:color="auto"/>
            <w:bottom w:val="none" w:sz="0" w:space="0" w:color="auto"/>
            <w:right w:val="none" w:sz="0" w:space="0" w:color="auto"/>
          </w:divBdr>
          <w:divsChild>
            <w:div w:id="1181045535">
              <w:marLeft w:val="0"/>
              <w:marRight w:val="0"/>
              <w:marTop w:val="0"/>
              <w:marBottom w:val="0"/>
              <w:divBdr>
                <w:top w:val="none" w:sz="0" w:space="0" w:color="auto"/>
                <w:left w:val="none" w:sz="0" w:space="0" w:color="auto"/>
                <w:bottom w:val="none" w:sz="0" w:space="0" w:color="auto"/>
                <w:right w:val="none" w:sz="0" w:space="0" w:color="auto"/>
              </w:divBdr>
              <w:divsChild>
                <w:div w:id="18951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3831">
      <w:bodyDiv w:val="1"/>
      <w:marLeft w:val="0"/>
      <w:marRight w:val="0"/>
      <w:marTop w:val="0"/>
      <w:marBottom w:val="0"/>
      <w:divBdr>
        <w:top w:val="none" w:sz="0" w:space="0" w:color="auto"/>
        <w:left w:val="none" w:sz="0" w:space="0" w:color="auto"/>
        <w:bottom w:val="none" w:sz="0" w:space="0" w:color="auto"/>
        <w:right w:val="none" w:sz="0" w:space="0" w:color="auto"/>
      </w:divBdr>
    </w:div>
    <w:div w:id="124364148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21815175">
      <w:bodyDiv w:val="1"/>
      <w:marLeft w:val="0"/>
      <w:marRight w:val="0"/>
      <w:marTop w:val="0"/>
      <w:marBottom w:val="0"/>
      <w:divBdr>
        <w:top w:val="none" w:sz="0" w:space="0" w:color="auto"/>
        <w:left w:val="none" w:sz="0" w:space="0" w:color="auto"/>
        <w:bottom w:val="none" w:sz="0" w:space="0" w:color="auto"/>
        <w:right w:val="none" w:sz="0" w:space="0" w:color="auto"/>
      </w:divBdr>
    </w:div>
    <w:div w:id="1361279688">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21803641">
      <w:bodyDiv w:val="1"/>
      <w:marLeft w:val="0"/>
      <w:marRight w:val="0"/>
      <w:marTop w:val="0"/>
      <w:marBottom w:val="0"/>
      <w:divBdr>
        <w:top w:val="none" w:sz="0" w:space="0" w:color="auto"/>
        <w:left w:val="none" w:sz="0" w:space="0" w:color="auto"/>
        <w:bottom w:val="none" w:sz="0" w:space="0" w:color="auto"/>
        <w:right w:val="none" w:sz="0" w:space="0" w:color="auto"/>
      </w:divBdr>
      <w:divsChild>
        <w:div w:id="1755005659">
          <w:marLeft w:val="0"/>
          <w:marRight w:val="0"/>
          <w:marTop w:val="0"/>
          <w:marBottom w:val="0"/>
          <w:divBdr>
            <w:top w:val="none" w:sz="0" w:space="0" w:color="auto"/>
            <w:left w:val="none" w:sz="0" w:space="0" w:color="auto"/>
            <w:bottom w:val="none" w:sz="0" w:space="0" w:color="auto"/>
            <w:right w:val="none" w:sz="0" w:space="0" w:color="auto"/>
          </w:divBdr>
        </w:div>
        <w:div w:id="1762870770">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848787739">
          <w:marLeft w:val="0"/>
          <w:marRight w:val="0"/>
          <w:marTop w:val="0"/>
          <w:marBottom w:val="0"/>
          <w:divBdr>
            <w:top w:val="none" w:sz="0" w:space="0" w:color="auto"/>
            <w:left w:val="none" w:sz="0" w:space="0" w:color="auto"/>
            <w:bottom w:val="none" w:sz="0" w:space="0" w:color="auto"/>
            <w:right w:val="none" w:sz="0" w:space="0" w:color="auto"/>
          </w:divBdr>
        </w:div>
        <w:div w:id="984309455">
          <w:marLeft w:val="0"/>
          <w:marRight w:val="0"/>
          <w:marTop w:val="0"/>
          <w:marBottom w:val="0"/>
          <w:divBdr>
            <w:top w:val="none" w:sz="0" w:space="0" w:color="auto"/>
            <w:left w:val="none" w:sz="0" w:space="0" w:color="auto"/>
            <w:bottom w:val="none" w:sz="0" w:space="0" w:color="auto"/>
            <w:right w:val="none" w:sz="0" w:space="0" w:color="auto"/>
          </w:divBdr>
        </w:div>
        <w:div w:id="1191408733">
          <w:marLeft w:val="0"/>
          <w:marRight w:val="0"/>
          <w:marTop w:val="0"/>
          <w:marBottom w:val="0"/>
          <w:divBdr>
            <w:top w:val="none" w:sz="0" w:space="0" w:color="auto"/>
            <w:left w:val="none" w:sz="0" w:space="0" w:color="auto"/>
            <w:bottom w:val="none" w:sz="0" w:space="0" w:color="auto"/>
            <w:right w:val="none" w:sz="0" w:space="0" w:color="auto"/>
          </w:divBdr>
        </w:div>
        <w:div w:id="1071466467">
          <w:marLeft w:val="0"/>
          <w:marRight w:val="0"/>
          <w:marTop w:val="0"/>
          <w:marBottom w:val="0"/>
          <w:divBdr>
            <w:top w:val="none" w:sz="0" w:space="0" w:color="auto"/>
            <w:left w:val="none" w:sz="0" w:space="0" w:color="auto"/>
            <w:bottom w:val="none" w:sz="0" w:space="0" w:color="auto"/>
            <w:right w:val="none" w:sz="0" w:space="0" w:color="auto"/>
          </w:divBdr>
        </w:div>
        <w:div w:id="2053993360">
          <w:marLeft w:val="0"/>
          <w:marRight w:val="0"/>
          <w:marTop w:val="0"/>
          <w:marBottom w:val="0"/>
          <w:divBdr>
            <w:top w:val="none" w:sz="0" w:space="0" w:color="auto"/>
            <w:left w:val="none" w:sz="0" w:space="0" w:color="auto"/>
            <w:bottom w:val="none" w:sz="0" w:space="0" w:color="auto"/>
            <w:right w:val="none" w:sz="0" w:space="0" w:color="auto"/>
          </w:divBdr>
        </w:div>
        <w:div w:id="197553106">
          <w:marLeft w:val="0"/>
          <w:marRight w:val="0"/>
          <w:marTop w:val="0"/>
          <w:marBottom w:val="0"/>
          <w:divBdr>
            <w:top w:val="none" w:sz="0" w:space="0" w:color="auto"/>
            <w:left w:val="none" w:sz="0" w:space="0" w:color="auto"/>
            <w:bottom w:val="none" w:sz="0" w:space="0" w:color="auto"/>
            <w:right w:val="none" w:sz="0" w:space="0" w:color="auto"/>
          </w:divBdr>
        </w:div>
        <w:div w:id="79985260">
          <w:marLeft w:val="0"/>
          <w:marRight w:val="0"/>
          <w:marTop w:val="0"/>
          <w:marBottom w:val="0"/>
          <w:divBdr>
            <w:top w:val="none" w:sz="0" w:space="0" w:color="auto"/>
            <w:left w:val="none" w:sz="0" w:space="0" w:color="auto"/>
            <w:bottom w:val="none" w:sz="0" w:space="0" w:color="auto"/>
            <w:right w:val="none" w:sz="0" w:space="0" w:color="auto"/>
          </w:divBdr>
        </w:div>
        <w:div w:id="745146715">
          <w:marLeft w:val="0"/>
          <w:marRight w:val="0"/>
          <w:marTop w:val="0"/>
          <w:marBottom w:val="0"/>
          <w:divBdr>
            <w:top w:val="none" w:sz="0" w:space="0" w:color="auto"/>
            <w:left w:val="none" w:sz="0" w:space="0" w:color="auto"/>
            <w:bottom w:val="none" w:sz="0" w:space="0" w:color="auto"/>
            <w:right w:val="none" w:sz="0" w:space="0" w:color="auto"/>
          </w:divBdr>
        </w:div>
        <w:div w:id="2130778384">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B80C1C1-979A-4D18-AA04-74768EDB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08E5C-A9D9-4959-9777-FC475BD504B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12F0E76-AA39-4849-8361-4AA0E895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4326</Words>
  <Characters>23795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9</cp:revision>
  <cp:lastPrinted>2020-04-13T17:56:00Z</cp:lastPrinted>
  <dcterms:created xsi:type="dcterms:W3CDTF">2020-08-31T23:38:00Z</dcterms:created>
  <dcterms:modified xsi:type="dcterms:W3CDTF">2020-09-01T12:02:00Z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