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7225" w14:textId="3066CD13" w:rsidR="005A79FE" w:rsidRDefault="005A79FE" w:rsidP="005A79FE">
      <w:pPr>
        <w:spacing w:line="276" w:lineRule="auto"/>
        <w:jc w:val="right"/>
        <w:rPr>
          <w:rFonts w:ascii="Arial" w:eastAsia="Calibri" w:hAnsi="Arial" w:cs="Arial"/>
          <w:b/>
          <w:color w:val="4E4D4D"/>
          <w:sz w:val="22"/>
        </w:rPr>
      </w:pPr>
      <w:r w:rsidRPr="00BC2704">
        <w:rPr>
          <w:rFonts w:ascii="Arial" w:eastAsia="Times New Roman" w:hAnsi="Arial" w:cs="Arial"/>
          <w:color w:val="7F7F7F" w:themeColor="text1" w:themeTint="80"/>
          <w:sz w:val="16"/>
          <w:szCs w:val="16"/>
          <w:lang w:eastAsia="es-ES"/>
        </w:rPr>
        <w:t>CCE-DES-FM-17</w:t>
      </w:r>
    </w:p>
    <w:p w14:paraId="556B5BB0" w14:textId="77777777" w:rsidR="00C60791" w:rsidRPr="00621424" w:rsidRDefault="00C60791" w:rsidP="00C60791">
      <w:pPr>
        <w:jc w:val="both"/>
        <w:rPr>
          <w:rFonts w:ascii="Arial" w:eastAsia="Calibri" w:hAnsi="Arial" w:cs="Arial"/>
          <w:b/>
          <w:color w:val="000000"/>
          <w:sz w:val="20"/>
          <w:szCs w:val="20"/>
        </w:rPr>
      </w:pPr>
      <w:bookmarkStart w:id="0" w:name="_Hlk29890381"/>
    </w:p>
    <w:p w14:paraId="12A96268" w14:textId="6045E844" w:rsidR="00C60791" w:rsidRDefault="00C60791" w:rsidP="00C60791">
      <w:pPr>
        <w:jc w:val="both"/>
        <w:rPr>
          <w:rFonts w:ascii="Arial" w:eastAsia="Calibri" w:hAnsi="Arial" w:cs="Arial"/>
          <w:b/>
          <w:bCs/>
          <w:sz w:val="22"/>
        </w:rPr>
      </w:pPr>
      <w:r w:rsidRPr="002E7F3F">
        <w:rPr>
          <w:rFonts w:ascii="Arial" w:eastAsia="Calibri" w:hAnsi="Arial" w:cs="Arial"/>
          <w:b/>
          <w:bCs/>
          <w:sz w:val="22"/>
        </w:rPr>
        <w:t>DOCUMENTOS TIPO –</w:t>
      </w:r>
      <w:r w:rsidR="00C23649">
        <w:rPr>
          <w:rFonts w:ascii="Arial" w:eastAsia="Calibri" w:hAnsi="Arial" w:cs="Arial"/>
          <w:b/>
          <w:bCs/>
          <w:sz w:val="22"/>
        </w:rPr>
        <w:t xml:space="preserve"> Experiencia adicional </w:t>
      </w:r>
      <w:r w:rsidRPr="002E7F3F">
        <w:rPr>
          <w:rFonts w:ascii="Arial" w:eastAsia="Calibri" w:hAnsi="Arial" w:cs="Arial"/>
          <w:b/>
          <w:bCs/>
          <w:sz w:val="22"/>
        </w:rPr>
        <w:t>–</w:t>
      </w:r>
      <w:r w:rsidR="0048715E">
        <w:rPr>
          <w:rFonts w:ascii="Arial" w:eastAsia="Calibri" w:hAnsi="Arial" w:cs="Arial"/>
          <w:b/>
          <w:bCs/>
          <w:sz w:val="22"/>
        </w:rPr>
        <w:t xml:space="preserve"> </w:t>
      </w:r>
      <w:r w:rsidR="00C23649">
        <w:rPr>
          <w:rFonts w:ascii="Arial" w:eastAsia="Calibri" w:hAnsi="Arial" w:cs="Arial"/>
          <w:b/>
          <w:bCs/>
          <w:sz w:val="22"/>
        </w:rPr>
        <w:t xml:space="preserve">Matriz 1 </w:t>
      </w:r>
      <w:r w:rsidR="00C23649" w:rsidRPr="002E7F3F">
        <w:rPr>
          <w:rFonts w:ascii="Arial" w:eastAsia="Calibri" w:hAnsi="Arial" w:cs="Arial"/>
          <w:b/>
          <w:bCs/>
          <w:sz w:val="22"/>
        </w:rPr>
        <w:t>–</w:t>
      </w:r>
      <w:r w:rsidR="00C23649">
        <w:rPr>
          <w:rFonts w:ascii="Arial" w:eastAsia="Calibri" w:hAnsi="Arial" w:cs="Arial"/>
          <w:b/>
          <w:bCs/>
          <w:sz w:val="22"/>
        </w:rPr>
        <w:t xml:space="preserve"> Contratos diferentes – Tope</w:t>
      </w:r>
      <w:r w:rsidR="0048715E">
        <w:rPr>
          <w:rFonts w:ascii="Arial" w:eastAsia="Calibri" w:hAnsi="Arial" w:cs="Arial"/>
          <w:b/>
          <w:bCs/>
          <w:sz w:val="22"/>
        </w:rPr>
        <w:t xml:space="preserve"> de</w:t>
      </w:r>
      <w:r w:rsidR="00C23649">
        <w:rPr>
          <w:rFonts w:ascii="Arial" w:eastAsia="Calibri" w:hAnsi="Arial" w:cs="Arial"/>
          <w:b/>
          <w:bCs/>
          <w:sz w:val="22"/>
        </w:rPr>
        <w:t xml:space="preserve"> contratos</w:t>
      </w:r>
    </w:p>
    <w:p w14:paraId="3D5DD664" w14:textId="53F694D7" w:rsidR="00C23649" w:rsidRDefault="00C23649" w:rsidP="00C60791">
      <w:pPr>
        <w:jc w:val="both"/>
        <w:rPr>
          <w:rFonts w:ascii="Arial" w:eastAsia="Calibri" w:hAnsi="Arial" w:cs="Arial"/>
          <w:b/>
          <w:bCs/>
          <w:sz w:val="22"/>
        </w:rPr>
      </w:pPr>
    </w:p>
    <w:p w14:paraId="3A4E3B8D" w14:textId="77777777" w:rsidR="00C85995" w:rsidRPr="00C85995" w:rsidRDefault="00C85995" w:rsidP="00C85995">
      <w:pPr>
        <w:jc w:val="both"/>
        <w:rPr>
          <w:rFonts w:ascii="Arial" w:eastAsia="Calibri" w:hAnsi="Arial" w:cs="Arial"/>
          <w:color w:val="000000"/>
          <w:sz w:val="20"/>
          <w:szCs w:val="20"/>
          <w:lang w:val="es-CO"/>
        </w:rPr>
      </w:pPr>
      <w:r w:rsidRPr="00C85995">
        <w:rPr>
          <w:rFonts w:ascii="Arial" w:eastAsia="Calibri" w:hAnsi="Arial" w:cs="Arial"/>
          <w:color w:val="000000"/>
          <w:sz w:val="20"/>
          <w:szCs w:val="20"/>
          <w:lang w:val="es-CO"/>
        </w:rPr>
        <w:t>Los contratos que se aportan para acreditar la experiencia de bienes y servicios adicionales pueden ser los mismos con los que se acredita la experiencia exigida en la Matriz 1 – Experiencia o pueden ser contratos diferentes, siempre y cuando la cantidad de los contratos que se aporten para acreditar la totalidad de la experiencia no sea mayor a 6 contratos, es decir, con este tope de contratos se deben acreditar las actividades relacionadas con la obra pública de transporte y los contratos para las actividades relacionadas con los bienes y servicios adicionales a la obra pública.</w:t>
      </w:r>
    </w:p>
    <w:p w14:paraId="16978F8C" w14:textId="77777777" w:rsidR="00C23649" w:rsidRPr="00C23649" w:rsidRDefault="00C23649" w:rsidP="00C23649">
      <w:pPr>
        <w:jc w:val="both"/>
        <w:rPr>
          <w:rFonts w:ascii="Arial" w:eastAsia="Calibri" w:hAnsi="Arial" w:cs="Arial"/>
          <w:b/>
          <w:color w:val="000000"/>
          <w:sz w:val="20"/>
          <w:szCs w:val="20"/>
        </w:rPr>
      </w:pPr>
    </w:p>
    <w:p w14:paraId="4F6AB26B" w14:textId="346EAD71" w:rsidR="00C23649" w:rsidRDefault="00C23649" w:rsidP="00C23649">
      <w:pPr>
        <w:jc w:val="both"/>
        <w:rPr>
          <w:rFonts w:ascii="Arial" w:eastAsia="Calibri" w:hAnsi="Arial" w:cs="Arial"/>
          <w:b/>
          <w:bCs/>
          <w:sz w:val="22"/>
        </w:rPr>
      </w:pPr>
      <w:r w:rsidRPr="00C23649">
        <w:rPr>
          <w:rFonts w:ascii="Arial" w:eastAsia="Calibri" w:hAnsi="Arial" w:cs="Arial"/>
          <w:b/>
          <w:bCs/>
          <w:sz w:val="22"/>
        </w:rPr>
        <w:t xml:space="preserve">DOCUMENTOS TIPO – Experiencia adicional – </w:t>
      </w:r>
      <w:r>
        <w:rPr>
          <w:rFonts w:ascii="Arial" w:eastAsia="Calibri" w:hAnsi="Arial" w:cs="Arial"/>
          <w:b/>
          <w:bCs/>
          <w:sz w:val="22"/>
        </w:rPr>
        <w:t xml:space="preserve">Valor </w:t>
      </w:r>
      <w:r w:rsidR="0048715E">
        <w:rPr>
          <w:rFonts w:ascii="Arial" w:eastAsia="Calibri" w:hAnsi="Arial" w:cs="Arial"/>
          <w:b/>
          <w:bCs/>
          <w:sz w:val="22"/>
        </w:rPr>
        <w:t xml:space="preserve">a </w:t>
      </w:r>
      <w:r>
        <w:rPr>
          <w:rFonts w:ascii="Arial" w:eastAsia="Calibri" w:hAnsi="Arial" w:cs="Arial"/>
          <w:b/>
          <w:bCs/>
          <w:sz w:val="22"/>
        </w:rPr>
        <w:t xml:space="preserve">acreditar </w:t>
      </w:r>
      <w:r w:rsidR="0048715E">
        <w:rPr>
          <w:rFonts w:ascii="Arial" w:eastAsia="Calibri" w:hAnsi="Arial" w:cs="Arial"/>
          <w:b/>
          <w:bCs/>
          <w:sz w:val="22"/>
        </w:rPr>
        <w:t xml:space="preserve">– </w:t>
      </w:r>
      <w:r>
        <w:rPr>
          <w:rFonts w:ascii="Arial" w:eastAsia="Calibri" w:hAnsi="Arial" w:cs="Arial"/>
          <w:b/>
          <w:bCs/>
          <w:sz w:val="22"/>
        </w:rPr>
        <w:t>% Presupuesto oficial</w:t>
      </w:r>
    </w:p>
    <w:p w14:paraId="1419B5BB" w14:textId="395D8AD2" w:rsidR="00C23649" w:rsidRDefault="00C23649" w:rsidP="00C23649">
      <w:pPr>
        <w:jc w:val="both"/>
        <w:rPr>
          <w:rFonts w:ascii="Arial" w:eastAsia="Calibri" w:hAnsi="Arial" w:cs="Arial"/>
          <w:b/>
          <w:bCs/>
          <w:sz w:val="22"/>
        </w:rPr>
      </w:pPr>
    </w:p>
    <w:p w14:paraId="3B4A5DDE" w14:textId="77777777" w:rsidR="00C85995" w:rsidRPr="00C85995" w:rsidRDefault="00C85995" w:rsidP="00C85995">
      <w:pPr>
        <w:jc w:val="both"/>
        <w:rPr>
          <w:rFonts w:ascii="Arial" w:eastAsia="Calibri" w:hAnsi="Arial" w:cs="Arial"/>
          <w:color w:val="000000"/>
          <w:sz w:val="20"/>
          <w:szCs w:val="20"/>
          <w:lang w:val="es-CO"/>
        </w:rPr>
      </w:pPr>
      <w:r w:rsidRPr="00C85995">
        <w:rPr>
          <w:rFonts w:ascii="Arial" w:eastAsia="Calibri" w:hAnsi="Arial" w:cs="Arial"/>
          <w:color w:val="000000"/>
          <w:sz w:val="20"/>
          <w:szCs w:val="20"/>
          <w:lang w:val="es-CO"/>
        </w:rPr>
        <w:t xml:space="preserve">El artículo 2.2.1.2.6.1.5 del Decreto 1082 de 2015, numeral 2, establece que la entidad conservará los requisitos exigidos en los documentos tipo. En este sentido, los contratos que el proponente presente para acreditar la experiencia de los bienes y servicios adicionales, debe aportarlos de acuerdo con lo establecido en el numeral 3.5 del «documento base», que es a través de la información suministrada en el Registro Único de Proponentes y la presentación del Formato 3 – Experiencia. Además, los contratos aportados para acreditar la experiencia deben cumplir con los porcentajes requeridos en el numeral 3.5.7 del «documento base». </w:t>
      </w:r>
    </w:p>
    <w:p w14:paraId="224B5CB0" w14:textId="77777777" w:rsidR="00C85995" w:rsidRDefault="00C85995" w:rsidP="00C85995">
      <w:pPr>
        <w:jc w:val="both"/>
        <w:rPr>
          <w:rFonts w:ascii="Arial" w:eastAsia="Calibri" w:hAnsi="Arial" w:cs="Arial"/>
          <w:color w:val="000000"/>
          <w:sz w:val="20"/>
          <w:szCs w:val="20"/>
          <w:lang w:val="es-ES"/>
        </w:rPr>
      </w:pPr>
    </w:p>
    <w:p w14:paraId="2EFFD641" w14:textId="00C8615A" w:rsidR="00C85995" w:rsidRPr="00C85995" w:rsidRDefault="00C85995" w:rsidP="00C85995">
      <w:pPr>
        <w:jc w:val="both"/>
        <w:rPr>
          <w:rFonts w:ascii="Arial" w:eastAsia="Calibri" w:hAnsi="Arial" w:cs="Arial"/>
          <w:color w:val="000000"/>
          <w:sz w:val="20"/>
          <w:szCs w:val="20"/>
          <w:lang w:val="es-ES"/>
        </w:rPr>
      </w:pPr>
      <w:r w:rsidRPr="00C85995">
        <w:rPr>
          <w:rFonts w:ascii="Arial" w:eastAsia="Calibri" w:hAnsi="Arial" w:cs="Arial"/>
          <w:color w:val="000000"/>
          <w:sz w:val="20"/>
          <w:szCs w:val="20"/>
          <w:lang w:val="es-ES"/>
        </w:rPr>
        <w:t>Es decir, la verificación se hará con base en la sumatoria de los valores totales –incluido IVA– en SMMLV ejecutados de los contratos relacionados con la obra pública de infraestructura de transporte y los contratos que acreditan la verificación de bienes y servicios adicionales a la obra pública que cumplen con los requisitos establecidos en este Pliego de Condiciones, sin que puedan aportarse más de 6 contratos.</w:t>
      </w:r>
    </w:p>
    <w:p w14:paraId="26590D0A" w14:textId="77777777" w:rsidR="00C85995" w:rsidRDefault="00C85995" w:rsidP="00C85995">
      <w:pPr>
        <w:jc w:val="both"/>
        <w:rPr>
          <w:rFonts w:ascii="Arial" w:eastAsia="Calibri" w:hAnsi="Arial" w:cs="Arial"/>
          <w:color w:val="000000"/>
          <w:sz w:val="20"/>
          <w:szCs w:val="20"/>
          <w:lang w:val="es-ES"/>
        </w:rPr>
      </w:pPr>
    </w:p>
    <w:p w14:paraId="27CB55D4" w14:textId="7DF7CBF9" w:rsidR="00C85995" w:rsidRPr="00C85995" w:rsidRDefault="00C85995" w:rsidP="00C85995">
      <w:pPr>
        <w:jc w:val="both"/>
        <w:rPr>
          <w:rFonts w:ascii="Arial" w:eastAsia="Calibri" w:hAnsi="Arial" w:cs="Arial"/>
          <w:color w:val="000000"/>
          <w:sz w:val="20"/>
          <w:szCs w:val="20"/>
          <w:lang w:val="es-CO"/>
        </w:rPr>
      </w:pPr>
      <w:r w:rsidRPr="00C85995">
        <w:rPr>
          <w:rFonts w:ascii="Arial" w:eastAsia="Calibri" w:hAnsi="Arial" w:cs="Arial"/>
          <w:color w:val="000000"/>
          <w:sz w:val="20"/>
          <w:szCs w:val="20"/>
          <w:lang w:val="es-ES"/>
        </w:rPr>
        <w:t>En este sentido, si el contratista aporta dos (2) contratos que permiten acreditar la experiencia exigida en la Matriz 1 – Experiencia y un (1) contrato que permite acreditar la experiencia de bienes y servicios adicionales, la sumatoria de los valores ejecutados de los tres (3) contratos aportados debe corresponder al 120% del presupuesto oficial del proceso de contratación. En caso de que el número de contratos con los cuales el Proponente acredita la experiencia no satisfaga el porcentaje mínimo a certificar, establecido en la anterior tabla, se calificará la propuesta como no hábil.</w:t>
      </w:r>
    </w:p>
    <w:p w14:paraId="35649EE9" w14:textId="52AE4080" w:rsidR="00C60791" w:rsidRPr="00036055" w:rsidRDefault="00C23649" w:rsidP="00036055">
      <w:pPr>
        <w:tabs>
          <w:tab w:val="left" w:pos="426"/>
        </w:tabs>
        <w:jc w:val="both"/>
        <w:rPr>
          <w:rFonts w:ascii="Arial" w:eastAsia="Calibri" w:hAnsi="Arial" w:cs="Arial"/>
          <w:color w:val="000000"/>
          <w:sz w:val="20"/>
          <w:szCs w:val="20"/>
          <w:lang w:val="es-CO"/>
        </w:rPr>
      </w:pPr>
      <w:r w:rsidRPr="00C23649">
        <w:rPr>
          <w:rFonts w:ascii="Arial" w:eastAsia="Calibri" w:hAnsi="Arial" w:cs="Arial"/>
          <w:color w:val="000000"/>
          <w:sz w:val="20"/>
          <w:szCs w:val="20"/>
        </w:rPr>
        <w:t>.</w:t>
      </w:r>
      <w:r w:rsidRPr="00C23649">
        <w:rPr>
          <w:rFonts w:ascii="Arial" w:eastAsia="Calibri" w:hAnsi="Arial" w:cs="Arial"/>
          <w:color w:val="000000"/>
          <w:sz w:val="20"/>
          <w:szCs w:val="20"/>
          <w:lang w:val="es-CO"/>
        </w:rPr>
        <w:t xml:space="preserve"> </w:t>
      </w:r>
    </w:p>
    <w:p w14:paraId="70312709" w14:textId="10408165" w:rsidR="00C60791" w:rsidRPr="00621424" w:rsidRDefault="00C60791" w:rsidP="00C60791">
      <w:pPr>
        <w:rPr>
          <w:rFonts w:ascii="Arial" w:eastAsia="Calibri" w:hAnsi="Arial" w:cs="Arial"/>
          <w:b/>
          <w:color w:val="000000"/>
          <w:sz w:val="22"/>
        </w:rPr>
      </w:pPr>
      <w:r w:rsidRPr="00621424">
        <w:rPr>
          <w:rFonts w:ascii="Arial" w:eastAsia="Calibri" w:hAnsi="Arial" w:cs="Arial"/>
          <w:color w:val="000000"/>
          <w:sz w:val="22"/>
        </w:rPr>
        <w:t xml:space="preserve">Bogotá D.C., </w:t>
      </w:r>
      <w:r w:rsidR="005001C8" w:rsidRPr="005001C8">
        <w:rPr>
          <w:rFonts w:ascii="Arial" w:eastAsia="Calibri" w:hAnsi="Arial" w:cs="Arial"/>
          <w:b/>
          <w:color w:val="000000"/>
          <w:sz w:val="22"/>
        </w:rPr>
        <w:t>14/09/2020 Hora 8:9:32s</w:t>
      </w:r>
    </w:p>
    <w:p w14:paraId="28B36EAB" w14:textId="77777777" w:rsidR="00C60791" w:rsidRPr="00621424" w:rsidRDefault="00C60791" w:rsidP="00C60791">
      <w:pPr>
        <w:jc w:val="right"/>
        <w:rPr>
          <w:rFonts w:ascii="Arial" w:eastAsia="Calibri" w:hAnsi="Arial" w:cs="Arial"/>
          <w:b/>
          <w:color w:val="000000"/>
          <w:sz w:val="22"/>
        </w:rPr>
      </w:pPr>
    </w:p>
    <w:p w14:paraId="2CD186B2" w14:textId="534BE4C6" w:rsidR="00C60791" w:rsidRPr="00621424" w:rsidRDefault="00C60791" w:rsidP="00CC794C">
      <w:pPr>
        <w:jc w:val="right"/>
        <w:rPr>
          <w:rFonts w:ascii="Arial" w:eastAsia="Calibri" w:hAnsi="Arial" w:cs="Arial"/>
          <w:color w:val="000000"/>
          <w:sz w:val="22"/>
        </w:rPr>
      </w:pPr>
      <w:r w:rsidRPr="00621424">
        <w:rPr>
          <w:rFonts w:ascii="Arial" w:eastAsia="Calibri" w:hAnsi="Arial" w:cs="Arial"/>
          <w:b/>
          <w:color w:val="000000"/>
          <w:sz w:val="22"/>
        </w:rPr>
        <w:t xml:space="preserve">N° Radicado: </w:t>
      </w:r>
      <w:r w:rsidR="00CC794C" w:rsidRPr="00CC794C">
        <w:rPr>
          <w:rFonts w:ascii="Arial" w:eastAsia="Calibri" w:hAnsi="Arial" w:cs="Arial"/>
          <w:b/>
          <w:color w:val="000000"/>
          <w:sz w:val="22"/>
        </w:rPr>
        <w:t>2202013000008738</w:t>
      </w:r>
    </w:p>
    <w:p w14:paraId="7D292EF4" w14:textId="77777777" w:rsidR="00C60791" w:rsidRPr="00621424" w:rsidRDefault="00C60791" w:rsidP="00C60791">
      <w:pPr>
        <w:rPr>
          <w:rFonts w:ascii="Arial" w:eastAsia="Calibri" w:hAnsi="Arial" w:cs="Arial"/>
          <w:color w:val="000000"/>
          <w:sz w:val="22"/>
        </w:rPr>
      </w:pPr>
    </w:p>
    <w:p w14:paraId="2FFB541B" w14:textId="77777777" w:rsidR="00C60791" w:rsidRPr="00621424" w:rsidRDefault="00C60791" w:rsidP="00C60791">
      <w:pPr>
        <w:rPr>
          <w:rFonts w:ascii="Arial" w:eastAsia="Calibri" w:hAnsi="Arial" w:cs="Arial"/>
          <w:color w:val="000000"/>
          <w:sz w:val="22"/>
        </w:rPr>
      </w:pPr>
      <w:r w:rsidRPr="00621424">
        <w:rPr>
          <w:rFonts w:ascii="Arial" w:eastAsia="Calibri" w:hAnsi="Arial" w:cs="Arial"/>
          <w:color w:val="000000"/>
          <w:sz w:val="22"/>
        </w:rPr>
        <w:t>Señor</w:t>
      </w:r>
    </w:p>
    <w:p w14:paraId="57D66740" w14:textId="3F9F9D6E" w:rsidR="00C60791" w:rsidRPr="00621424" w:rsidRDefault="00897E07" w:rsidP="00C60791">
      <w:pPr>
        <w:rPr>
          <w:rFonts w:ascii="Arial" w:eastAsia="Calibri" w:hAnsi="Arial" w:cs="Arial"/>
          <w:b/>
          <w:color w:val="000000"/>
          <w:sz w:val="22"/>
        </w:rPr>
      </w:pPr>
      <w:r>
        <w:rPr>
          <w:rFonts w:ascii="Arial" w:eastAsia="Calibri" w:hAnsi="Arial" w:cs="Arial"/>
          <w:b/>
          <w:color w:val="000000"/>
          <w:sz w:val="22"/>
        </w:rPr>
        <w:t>José Alexander Romero Tabla</w:t>
      </w:r>
      <w:r w:rsidR="00C60791">
        <w:rPr>
          <w:rFonts w:ascii="Arial" w:eastAsia="Calibri" w:hAnsi="Arial" w:cs="Arial"/>
          <w:b/>
          <w:color w:val="000000"/>
          <w:sz w:val="22"/>
        </w:rPr>
        <w:t xml:space="preserve"> </w:t>
      </w:r>
    </w:p>
    <w:p w14:paraId="5743DB1D" w14:textId="6C477D2C" w:rsidR="00C60791" w:rsidRPr="00621424" w:rsidRDefault="00897E07" w:rsidP="00C60791">
      <w:pPr>
        <w:rPr>
          <w:rFonts w:ascii="Arial" w:eastAsia="Calibri" w:hAnsi="Arial" w:cs="Arial"/>
          <w:color w:val="000000"/>
          <w:sz w:val="22"/>
        </w:rPr>
      </w:pPr>
      <w:r>
        <w:rPr>
          <w:rFonts w:ascii="Arial" w:eastAsia="Calibri" w:hAnsi="Arial" w:cs="Arial"/>
          <w:color w:val="000000"/>
          <w:sz w:val="22"/>
        </w:rPr>
        <w:t>Ciudad</w:t>
      </w:r>
    </w:p>
    <w:p w14:paraId="6139D1B5" w14:textId="77777777" w:rsidR="00C60791" w:rsidRPr="00621424" w:rsidRDefault="00C60791" w:rsidP="00C60791">
      <w:pPr>
        <w:rPr>
          <w:rFonts w:ascii="Arial" w:eastAsia="Calibri" w:hAnsi="Arial" w:cs="Arial"/>
          <w:color w:val="000000"/>
          <w:sz w:val="22"/>
        </w:rPr>
      </w:pPr>
    </w:p>
    <w:p w14:paraId="022EF55C" w14:textId="77777777" w:rsidR="00C60791" w:rsidRPr="00621424" w:rsidRDefault="00C60791" w:rsidP="00C60791">
      <w:pPr>
        <w:rPr>
          <w:rFonts w:ascii="Arial" w:eastAsia="Calibri" w:hAnsi="Arial" w:cs="Arial"/>
          <w:color w:val="000000"/>
          <w:sz w:val="22"/>
        </w:rPr>
      </w:pPr>
    </w:p>
    <w:p w14:paraId="5E876D69" w14:textId="54CFCD9C" w:rsidR="00C60791" w:rsidRPr="00621424" w:rsidRDefault="00C60791" w:rsidP="00C60791">
      <w:pPr>
        <w:ind w:firstLine="2694"/>
        <w:rPr>
          <w:rFonts w:ascii="Arial" w:eastAsia="Calibri" w:hAnsi="Arial" w:cs="Arial"/>
          <w:b/>
          <w:color w:val="000000"/>
          <w:sz w:val="22"/>
        </w:rPr>
      </w:pPr>
      <w:r w:rsidRPr="00621424">
        <w:rPr>
          <w:rFonts w:ascii="Arial" w:eastAsia="Calibri" w:hAnsi="Arial" w:cs="Arial"/>
          <w:b/>
          <w:color w:val="000000"/>
          <w:sz w:val="22"/>
        </w:rPr>
        <w:t xml:space="preserve">Concepto C – </w:t>
      </w:r>
      <w:r>
        <w:rPr>
          <w:rFonts w:ascii="Arial" w:eastAsia="Calibri" w:hAnsi="Arial" w:cs="Arial"/>
          <w:b/>
          <w:color w:val="000000"/>
          <w:sz w:val="22"/>
        </w:rPr>
        <w:t>5</w:t>
      </w:r>
      <w:r w:rsidR="00897E07">
        <w:rPr>
          <w:rFonts w:ascii="Arial" w:eastAsia="Calibri" w:hAnsi="Arial" w:cs="Arial"/>
          <w:b/>
          <w:color w:val="000000"/>
          <w:sz w:val="22"/>
        </w:rPr>
        <w:t>88</w:t>
      </w:r>
      <w:r w:rsidRPr="00621424">
        <w:rPr>
          <w:rFonts w:ascii="Arial" w:eastAsia="Calibri" w:hAnsi="Arial" w:cs="Arial"/>
          <w:b/>
          <w:color w:val="000000"/>
          <w:sz w:val="22"/>
        </w:rPr>
        <w:t xml:space="preserve"> de 2020</w:t>
      </w:r>
    </w:p>
    <w:p w14:paraId="0C7D4EAF" w14:textId="77777777" w:rsidR="00C60791" w:rsidRPr="00621424" w:rsidRDefault="00C60791" w:rsidP="00C60791">
      <w:pPr>
        <w:rPr>
          <w:rFonts w:ascii="Arial" w:eastAsia="Calibri" w:hAnsi="Arial" w:cs="Arial"/>
          <w:color w:val="000000"/>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60791" w:rsidRPr="00CD6714" w14:paraId="05111C79" w14:textId="77777777" w:rsidTr="00FB3DCF">
        <w:tc>
          <w:tcPr>
            <w:tcW w:w="2689" w:type="dxa"/>
            <w:hideMark/>
          </w:tcPr>
          <w:p w14:paraId="3E404B84" w14:textId="77777777" w:rsidR="00C60791" w:rsidRPr="00621424" w:rsidRDefault="00C60791" w:rsidP="00FB3DCF">
            <w:pPr>
              <w:rPr>
                <w:rFonts w:ascii="Arial" w:eastAsia="Calibri" w:hAnsi="Arial" w:cs="Arial"/>
                <w:color w:val="000000"/>
                <w:sz w:val="22"/>
              </w:rPr>
            </w:pPr>
            <w:r w:rsidRPr="00621424">
              <w:rPr>
                <w:rFonts w:ascii="Arial" w:eastAsia="Calibri" w:hAnsi="Arial" w:cs="Arial"/>
                <w:b/>
                <w:color w:val="000000"/>
                <w:sz w:val="22"/>
              </w:rPr>
              <w:t>Temas:</w:t>
            </w:r>
            <w:r w:rsidRPr="00621424">
              <w:rPr>
                <w:rFonts w:ascii="Arial" w:eastAsia="Calibri" w:hAnsi="Arial" w:cs="Arial"/>
                <w:color w:val="000000"/>
                <w:sz w:val="22"/>
              </w:rPr>
              <w:t xml:space="preserve">           </w:t>
            </w:r>
          </w:p>
          <w:p w14:paraId="439DECC8" w14:textId="77777777" w:rsidR="00C60791" w:rsidRPr="00621424" w:rsidRDefault="00C60791" w:rsidP="00FB3DCF">
            <w:pPr>
              <w:rPr>
                <w:rFonts w:ascii="Arial" w:eastAsia="Calibri" w:hAnsi="Arial" w:cs="Arial"/>
                <w:color w:val="000000"/>
                <w:sz w:val="22"/>
              </w:rPr>
            </w:pPr>
            <w:r w:rsidRPr="00621424">
              <w:rPr>
                <w:rFonts w:ascii="Arial" w:eastAsia="Calibri" w:hAnsi="Arial" w:cs="Arial"/>
                <w:color w:val="000000"/>
                <w:sz w:val="22"/>
              </w:rPr>
              <w:t xml:space="preserve">                           </w:t>
            </w:r>
          </w:p>
        </w:tc>
        <w:tc>
          <w:tcPr>
            <w:tcW w:w="6237" w:type="dxa"/>
            <w:hideMark/>
          </w:tcPr>
          <w:p w14:paraId="5AE45802" w14:textId="427E9EC9" w:rsidR="00C60791" w:rsidRPr="00CE6294" w:rsidRDefault="00C85995" w:rsidP="00FB3DCF">
            <w:pPr>
              <w:jc w:val="both"/>
              <w:rPr>
                <w:rFonts w:ascii="Arial" w:eastAsia="Calibri" w:hAnsi="Arial" w:cs="Arial"/>
                <w:sz w:val="22"/>
              </w:rPr>
            </w:pPr>
            <w:r w:rsidRPr="00036055">
              <w:rPr>
                <w:rFonts w:ascii="Arial" w:eastAsia="Calibri" w:hAnsi="Arial" w:cs="Arial"/>
                <w:sz w:val="22"/>
              </w:rPr>
              <w:t>DOCUMENTOS TIPO – Experiencia adicional – Matriz 1 – Contratos diferentes – Tope de contratos</w:t>
            </w:r>
            <w:r w:rsidRPr="00C85995" w:rsidDel="00C85995">
              <w:rPr>
                <w:rFonts w:ascii="Arial" w:eastAsia="Calibri" w:hAnsi="Arial" w:cs="Arial"/>
                <w:sz w:val="22"/>
              </w:rPr>
              <w:t xml:space="preserve"> </w:t>
            </w:r>
            <w:r w:rsidR="00C23649" w:rsidRPr="00CD6714">
              <w:rPr>
                <w:rFonts w:ascii="Arial" w:eastAsia="Calibri" w:hAnsi="Arial" w:cs="Arial"/>
                <w:sz w:val="22"/>
              </w:rPr>
              <w:t>/</w:t>
            </w:r>
            <w:r w:rsidR="00C23649">
              <w:rPr>
                <w:rFonts w:ascii="Arial" w:eastAsia="Calibri" w:hAnsi="Arial" w:cs="Arial"/>
                <w:sz w:val="22"/>
              </w:rPr>
              <w:t xml:space="preserve"> </w:t>
            </w:r>
            <w:r w:rsidRPr="00036055">
              <w:rPr>
                <w:rFonts w:ascii="Arial" w:eastAsia="Calibri" w:hAnsi="Arial" w:cs="Arial"/>
                <w:sz w:val="22"/>
              </w:rPr>
              <w:t>DOCUMENTOS TIPO – Experiencia adicional – Valor a acreditar – % Presupuesto oficia</w:t>
            </w:r>
            <w:r>
              <w:rPr>
                <w:rFonts w:ascii="Arial" w:eastAsia="Calibri" w:hAnsi="Arial" w:cs="Arial"/>
                <w:sz w:val="22"/>
              </w:rPr>
              <w:t>l</w:t>
            </w:r>
          </w:p>
        </w:tc>
      </w:tr>
      <w:tr w:rsidR="00C60791" w:rsidRPr="00621424" w14:paraId="708E56D4" w14:textId="77777777" w:rsidTr="00FB3DCF">
        <w:tc>
          <w:tcPr>
            <w:tcW w:w="2689" w:type="dxa"/>
          </w:tcPr>
          <w:p w14:paraId="7C7DF5F7" w14:textId="77777777" w:rsidR="00C60791" w:rsidRPr="00621424" w:rsidRDefault="00C60791" w:rsidP="00FB3DCF">
            <w:pPr>
              <w:spacing w:before="120"/>
              <w:rPr>
                <w:rFonts w:ascii="Arial" w:eastAsia="Calibri" w:hAnsi="Arial" w:cs="Arial"/>
                <w:b/>
                <w:color w:val="000000"/>
                <w:sz w:val="22"/>
              </w:rPr>
            </w:pPr>
            <w:r w:rsidRPr="00621424">
              <w:rPr>
                <w:rFonts w:ascii="Arial" w:eastAsia="Calibri" w:hAnsi="Arial" w:cs="Arial"/>
                <w:b/>
                <w:color w:val="000000"/>
                <w:sz w:val="22"/>
              </w:rPr>
              <w:lastRenderedPageBreak/>
              <w:t>Radicación:</w:t>
            </w:r>
            <w:r w:rsidRPr="00621424">
              <w:rPr>
                <w:rFonts w:ascii="Arial" w:eastAsia="Calibri" w:hAnsi="Arial" w:cs="Arial"/>
                <w:color w:val="000000"/>
                <w:sz w:val="22"/>
              </w:rPr>
              <w:t xml:space="preserve">                              </w:t>
            </w:r>
          </w:p>
        </w:tc>
        <w:tc>
          <w:tcPr>
            <w:tcW w:w="6237" w:type="dxa"/>
          </w:tcPr>
          <w:p w14:paraId="075204C9" w14:textId="59F4344D" w:rsidR="00C60791" w:rsidRPr="00621424" w:rsidRDefault="00C60791" w:rsidP="00FB3DCF">
            <w:pPr>
              <w:spacing w:before="120"/>
              <w:jc w:val="both"/>
              <w:rPr>
                <w:rFonts w:ascii="Arial" w:eastAsia="Calibri" w:hAnsi="Arial" w:cs="Arial"/>
                <w:color w:val="000000"/>
                <w:sz w:val="22"/>
              </w:rPr>
            </w:pPr>
            <w:r w:rsidRPr="00621424">
              <w:rPr>
                <w:rFonts w:ascii="Arial" w:eastAsia="Calibri" w:hAnsi="Arial" w:cs="Arial"/>
                <w:color w:val="000000"/>
                <w:sz w:val="22"/>
              </w:rPr>
              <w:t>Respuesta a</w:t>
            </w:r>
            <w:r>
              <w:rPr>
                <w:rFonts w:ascii="Arial" w:eastAsia="Calibri" w:hAnsi="Arial" w:cs="Arial"/>
                <w:color w:val="000000"/>
                <w:sz w:val="22"/>
              </w:rPr>
              <w:t xml:space="preserve"> su</w:t>
            </w:r>
            <w:r w:rsidR="00CD6714">
              <w:rPr>
                <w:rFonts w:ascii="Arial" w:eastAsia="Calibri" w:hAnsi="Arial" w:cs="Arial"/>
                <w:color w:val="000000"/>
                <w:sz w:val="22"/>
              </w:rPr>
              <w:t>s</w:t>
            </w:r>
            <w:r w:rsidRPr="00621424">
              <w:rPr>
                <w:rFonts w:ascii="Arial" w:eastAsia="Calibri" w:hAnsi="Arial" w:cs="Arial"/>
                <w:color w:val="000000"/>
                <w:sz w:val="22"/>
              </w:rPr>
              <w:t xml:space="preserve"> consulta</w:t>
            </w:r>
            <w:r w:rsidR="00CD6714">
              <w:rPr>
                <w:rFonts w:ascii="Arial" w:eastAsia="Calibri" w:hAnsi="Arial" w:cs="Arial"/>
                <w:color w:val="000000"/>
                <w:sz w:val="22"/>
              </w:rPr>
              <w:t>s</w:t>
            </w:r>
            <w:r w:rsidRPr="00621424">
              <w:rPr>
                <w:rFonts w:ascii="Arial" w:eastAsia="Calibri" w:hAnsi="Arial" w:cs="Arial"/>
                <w:color w:val="000000"/>
                <w:sz w:val="22"/>
              </w:rPr>
              <w:t xml:space="preserve"> 420</w:t>
            </w:r>
            <w:r>
              <w:rPr>
                <w:rFonts w:ascii="Arial" w:eastAsia="Calibri" w:hAnsi="Arial" w:cs="Arial"/>
                <w:color w:val="000000"/>
                <w:sz w:val="22"/>
              </w:rPr>
              <w:t>201300000</w:t>
            </w:r>
            <w:r w:rsidR="00897E07">
              <w:rPr>
                <w:rFonts w:ascii="Arial" w:eastAsia="Calibri" w:hAnsi="Arial" w:cs="Arial"/>
                <w:color w:val="000000"/>
                <w:sz w:val="22"/>
              </w:rPr>
              <w:t>7610</w:t>
            </w:r>
            <w:r w:rsidR="004302D7">
              <w:rPr>
                <w:rFonts w:ascii="Arial" w:eastAsia="Calibri" w:hAnsi="Arial" w:cs="Arial"/>
                <w:color w:val="000000"/>
                <w:sz w:val="22"/>
              </w:rPr>
              <w:t xml:space="preserve"> y</w:t>
            </w:r>
            <w:r w:rsidR="00C23649">
              <w:rPr>
                <w:rFonts w:ascii="Arial" w:eastAsia="Calibri" w:hAnsi="Arial" w:cs="Arial"/>
                <w:color w:val="000000"/>
                <w:sz w:val="22"/>
              </w:rPr>
              <w:t xml:space="preserve"> </w:t>
            </w:r>
            <w:r w:rsidR="00C23649" w:rsidRPr="00C23649">
              <w:rPr>
                <w:rFonts w:ascii="Arial" w:eastAsia="Calibri" w:hAnsi="Arial" w:cs="Arial"/>
                <w:color w:val="000000"/>
                <w:sz w:val="22"/>
              </w:rPr>
              <w:t>4202012000007719</w:t>
            </w:r>
          </w:p>
        </w:tc>
      </w:tr>
      <w:tr w:rsidR="00C60791" w:rsidRPr="00621424" w14:paraId="0DB12049" w14:textId="77777777" w:rsidTr="00FB3DCF">
        <w:tc>
          <w:tcPr>
            <w:tcW w:w="2689" w:type="dxa"/>
          </w:tcPr>
          <w:p w14:paraId="1FA5EB9E" w14:textId="60C8151B" w:rsidR="00C23649" w:rsidRPr="00621424" w:rsidRDefault="00C23649" w:rsidP="00FB3DCF">
            <w:pPr>
              <w:spacing w:before="120"/>
              <w:rPr>
                <w:rFonts w:ascii="Arial" w:eastAsia="Calibri" w:hAnsi="Arial" w:cs="Arial"/>
                <w:b/>
                <w:color w:val="000000"/>
                <w:sz w:val="22"/>
              </w:rPr>
            </w:pPr>
          </w:p>
        </w:tc>
        <w:tc>
          <w:tcPr>
            <w:tcW w:w="6237" w:type="dxa"/>
          </w:tcPr>
          <w:p w14:paraId="3B4CD5C1" w14:textId="77777777" w:rsidR="00C60791" w:rsidRPr="00621424" w:rsidRDefault="00C60791" w:rsidP="00FB3DCF">
            <w:pPr>
              <w:spacing w:before="120"/>
              <w:jc w:val="both"/>
              <w:rPr>
                <w:rFonts w:ascii="Arial" w:eastAsia="Calibri" w:hAnsi="Arial" w:cs="Arial"/>
                <w:color w:val="000000"/>
                <w:sz w:val="22"/>
              </w:rPr>
            </w:pPr>
          </w:p>
        </w:tc>
      </w:tr>
    </w:tbl>
    <w:p w14:paraId="5D3F762E" w14:textId="2CF9B747" w:rsidR="00C60791" w:rsidRPr="00621424" w:rsidRDefault="00C60791" w:rsidP="00C60791">
      <w:pPr>
        <w:rPr>
          <w:rFonts w:ascii="Arial" w:eastAsia="Calibri" w:hAnsi="Arial" w:cs="Arial"/>
          <w:color w:val="000000"/>
          <w:sz w:val="22"/>
        </w:rPr>
      </w:pPr>
      <w:r w:rsidRPr="00621424">
        <w:rPr>
          <w:rFonts w:ascii="Arial" w:eastAsia="Calibri" w:hAnsi="Arial" w:cs="Arial"/>
          <w:color w:val="000000"/>
          <w:sz w:val="22"/>
        </w:rPr>
        <w:t>Estimad</w:t>
      </w:r>
      <w:r>
        <w:rPr>
          <w:rFonts w:ascii="Arial" w:eastAsia="Calibri" w:hAnsi="Arial" w:cs="Arial"/>
          <w:color w:val="000000"/>
          <w:sz w:val="22"/>
        </w:rPr>
        <w:t>o</w:t>
      </w:r>
      <w:r w:rsidRPr="00621424">
        <w:rPr>
          <w:rFonts w:ascii="Arial" w:eastAsia="Calibri" w:hAnsi="Arial" w:cs="Arial"/>
          <w:color w:val="000000"/>
          <w:sz w:val="22"/>
        </w:rPr>
        <w:t xml:space="preserve"> señor </w:t>
      </w:r>
      <w:r w:rsidR="00897E07">
        <w:rPr>
          <w:rFonts w:ascii="Arial" w:eastAsia="Calibri" w:hAnsi="Arial" w:cs="Arial"/>
          <w:color w:val="000000"/>
          <w:sz w:val="22"/>
        </w:rPr>
        <w:t>Romero</w:t>
      </w:r>
      <w:r w:rsidRPr="00621424">
        <w:rPr>
          <w:rFonts w:ascii="Arial" w:eastAsia="Calibri" w:hAnsi="Arial" w:cs="Arial"/>
          <w:color w:val="000000"/>
          <w:sz w:val="22"/>
        </w:rPr>
        <w:t>:</w:t>
      </w:r>
    </w:p>
    <w:p w14:paraId="66A5BC51" w14:textId="77777777" w:rsidR="00C60791" w:rsidRPr="00621424" w:rsidRDefault="00C60791" w:rsidP="00C60791">
      <w:pPr>
        <w:rPr>
          <w:rFonts w:ascii="Arial" w:eastAsia="Calibri" w:hAnsi="Arial" w:cs="Arial"/>
          <w:color w:val="000000"/>
          <w:sz w:val="22"/>
        </w:rPr>
      </w:pPr>
    </w:p>
    <w:p w14:paraId="7F36680F" w14:textId="554F5E82" w:rsidR="00C60791" w:rsidRPr="00621424" w:rsidRDefault="00C60791" w:rsidP="006378EF">
      <w:pPr>
        <w:spacing w:line="276" w:lineRule="auto"/>
        <w:jc w:val="both"/>
        <w:rPr>
          <w:rFonts w:ascii="Arial" w:eastAsia="Calibri" w:hAnsi="Arial" w:cs="Arial"/>
          <w:color w:val="000000"/>
          <w:sz w:val="22"/>
        </w:rPr>
      </w:pPr>
      <w:r w:rsidRPr="00621424">
        <w:rPr>
          <w:rFonts w:ascii="Arial" w:eastAsia="Calibri" w:hAnsi="Arial" w:cs="Arial"/>
          <w:color w:val="000000"/>
          <w:sz w:val="22"/>
        </w:rPr>
        <w:t>En ejercicio de la competencia otorgada por los artículos 11, numeral 8º, y 3º, numeral 5º, del Decreto Ley 4170 de 2011, la Agencia Nacional de Contratación Pública − Colombia Compra Eficiente responde su</w:t>
      </w:r>
      <w:r w:rsidR="00C23649">
        <w:rPr>
          <w:rFonts w:ascii="Arial" w:eastAsia="Calibri" w:hAnsi="Arial" w:cs="Arial"/>
          <w:color w:val="000000"/>
          <w:sz w:val="22"/>
        </w:rPr>
        <w:t>s</w:t>
      </w:r>
      <w:r w:rsidRPr="00621424">
        <w:rPr>
          <w:rFonts w:ascii="Arial" w:eastAsia="Calibri" w:hAnsi="Arial" w:cs="Arial"/>
          <w:color w:val="000000"/>
          <w:sz w:val="22"/>
        </w:rPr>
        <w:t xml:space="preserve"> consulta</w:t>
      </w:r>
      <w:r w:rsidR="00C23649">
        <w:rPr>
          <w:rFonts w:ascii="Arial" w:eastAsia="Calibri" w:hAnsi="Arial" w:cs="Arial"/>
          <w:color w:val="000000"/>
          <w:sz w:val="22"/>
        </w:rPr>
        <w:t>s</w:t>
      </w:r>
      <w:r w:rsidRPr="00621424">
        <w:rPr>
          <w:rFonts w:ascii="Arial" w:eastAsia="Calibri" w:hAnsi="Arial" w:cs="Arial"/>
          <w:color w:val="000000"/>
          <w:sz w:val="22"/>
        </w:rPr>
        <w:t xml:space="preserve"> del </w:t>
      </w:r>
      <w:r w:rsidR="00897E07">
        <w:rPr>
          <w:rFonts w:ascii="Arial" w:eastAsia="Calibri" w:hAnsi="Arial" w:cs="Arial"/>
          <w:color w:val="000000"/>
          <w:sz w:val="22"/>
        </w:rPr>
        <w:t>1</w:t>
      </w:r>
      <w:r w:rsidRPr="00621424">
        <w:rPr>
          <w:rFonts w:ascii="Arial" w:eastAsia="Calibri" w:hAnsi="Arial" w:cs="Arial"/>
          <w:color w:val="000000"/>
          <w:sz w:val="22"/>
        </w:rPr>
        <w:t xml:space="preserve"> </w:t>
      </w:r>
      <w:r w:rsidR="00C23649">
        <w:rPr>
          <w:rFonts w:ascii="Arial" w:eastAsia="Calibri" w:hAnsi="Arial" w:cs="Arial"/>
          <w:color w:val="000000"/>
          <w:sz w:val="22"/>
        </w:rPr>
        <w:t xml:space="preserve">y 3 </w:t>
      </w:r>
      <w:r w:rsidRPr="00621424">
        <w:rPr>
          <w:rFonts w:ascii="Arial" w:eastAsia="Calibri" w:hAnsi="Arial" w:cs="Arial"/>
          <w:color w:val="000000"/>
          <w:sz w:val="22"/>
        </w:rPr>
        <w:t xml:space="preserve">de </w:t>
      </w:r>
      <w:r w:rsidR="00897E07">
        <w:rPr>
          <w:rFonts w:ascii="Arial" w:eastAsia="Calibri" w:hAnsi="Arial" w:cs="Arial"/>
          <w:color w:val="000000"/>
          <w:sz w:val="22"/>
        </w:rPr>
        <w:t>septiembre</w:t>
      </w:r>
      <w:r w:rsidRPr="00621424">
        <w:rPr>
          <w:rFonts w:ascii="Arial" w:eastAsia="Calibri" w:hAnsi="Arial" w:cs="Arial"/>
          <w:color w:val="000000"/>
          <w:sz w:val="22"/>
        </w:rPr>
        <w:t xml:space="preserve"> de 2020. </w:t>
      </w:r>
    </w:p>
    <w:p w14:paraId="6542F238" w14:textId="77777777" w:rsidR="00C60791" w:rsidRPr="00621424" w:rsidRDefault="00C60791" w:rsidP="006378EF">
      <w:pPr>
        <w:spacing w:line="276" w:lineRule="auto"/>
        <w:jc w:val="both"/>
        <w:rPr>
          <w:rFonts w:ascii="Arial" w:eastAsia="Calibri" w:hAnsi="Arial" w:cs="Arial"/>
          <w:color w:val="000000"/>
          <w:sz w:val="22"/>
        </w:rPr>
      </w:pPr>
    </w:p>
    <w:p w14:paraId="481FB76D" w14:textId="77777777" w:rsidR="004302D7" w:rsidRDefault="00C60791" w:rsidP="004302D7">
      <w:pPr>
        <w:numPr>
          <w:ilvl w:val="0"/>
          <w:numId w:val="6"/>
        </w:numPr>
        <w:tabs>
          <w:tab w:val="left" w:pos="284"/>
        </w:tabs>
        <w:spacing w:line="276" w:lineRule="auto"/>
        <w:ind w:left="0" w:firstLine="0"/>
        <w:contextualSpacing/>
        <w:jc w:val="both"/>
        <w:rPr>
          <w:rFonts w:ascii="Arial" w:eastAsia="Calibri" w:hAnsi="Arial" w:cs="Arial"/>
          <w:b/>
          <w:color w:val="000000"/>
          <w:sz w:val="22"/>
        </w:rPr>
      </w:pPr>
      <w:r w:rsidRPr="00621424">
        <w:rPr>
          <w:rFonts w:ascii="Arial" w:eastAsia="Calibri" w:hAnsi="Arial" w:cs="Arial"/>
          <w:b/>
          <w:color w:val="000000"/>
          <w:sz w:val="22"/>
        </w:rPr>
        <w:t>Problemas planteados</w:t>
      </w:r>
    </w:p>
    <w:p w14:paraId="1A0D6D23" w14:textId="62B4AB62" w:rsidR="00C60791" w:rsidRPr="004302D7" w:rsidRDefault="00C60791" w:rsidP="004302D7">
      <w:pPr>
        <w:tabs>
          <w:tab w:val="left" w:pos="284"/>
        </w:tabs>
        <w:spacing w:line="276" w:lineRule="auto"/>
        <w:contextualSpacing/>
        <w:jc w:val="both"/>
        <w:rPr>
          <w:rFonts w:ascii="Arial" w:eastAsia="Calibri" w:hAnsi="Arial" w:cs="Arial"/>
          <w:b/>
          <w:color w:val="000000"/>
          <w:sz w:val="22"/>
        </w:rPr>
      </w:pPr>
      <w:r w:rsidRPr="004302D7">
        <w:rPr>
          <w:rFonts w:ascii="Arial" w:eastAsia="Calibri" w:hAnsi="Arial" w:cs="Arial"/>
          <w:b/>
          <w:color w:val="000000"/>
          <w:sz w:val="22"/>
        </w:rPr>
        <w:t xml:space="preserve"> </w:t>
      </w:r>
    </w:p>
    <w:p w14:paraId="77702B40" w14:textId="3617E896" w:rsidR="00897E07" w:rsidRDefault="00897E07" w:rsidP="004302D7">
      <w:pPr>
        <w:tabs>
          <w:tab w:val="left" w:pos="426"/>
        </w:tabs>
        <w:spacing w:line="276" w:lineRule="auto"/>
        <w:jc w:val="both"/>
        <w:rPr>
          <w:rFonts w:ascii="Arial" w:eastAsia="Calibri" w:hAnsi="Arial" w:cs="Arial"/>
          <w:color w:val="000000"/>
          <w:sz w:val="22"/>
        </w:rPr>
      </w:pPr>
      <w:r>
        <w:rPr>
          <w:rFonts w:ascii="Arial" w:eastAsia="Calibri" w:hAnsi="Arial" w:cs="Arial"/>
          <w:color w:val="000000"/>
          <w:sz w:val="22"/>
        </w:rPr>
        <w:t>Usted plantea las siguientes inquietudes en relación con la interpretación del artículo 2.2.1.2.6.1.5 del Decreto 1082 de 2015</w:t>
      </w:r>
      <w:r w:rsidR="0048715E">
        <w:rPr>
          <w:rFonts w:ascii="Arial" w:eastAsia="Calibri" w:hAnsi="Arial" w:cs="Arial"/>
          <w:color w:val="000000"/>
          <w:sz w:val="22"/>
        </w:rPr>
        <w:t>,</w:t>
      </w:r>
      <w:r>
        <w:rPr>
          <w:rFonts w:ascii="Arial" w:eastAsia="Calibri" w:hAnsi="Arial" w:cs="Arial"/>
          <w:color w:val="000000"/>
          <w:sz w:val="22"/>
        </w:rPr>
        <w:t xml:space="preserve"> relacionado con la exigencia de experiencia adicional: </w:t>
      </w:r>
    </w:p>
    <w:p w14:paraId="7586B5CD" w14:textId="3DF06B7C" w:rsidR="00776C84" w:rsidRDefault="00776C84" w:rsidP="00776C84">
      <w:pPr>
        <w:tabs>
          <w:tab w:val="left" w:pos="426"/>
        </w:tabs>
        <w:spacing w:before="120" w:after="120" w:line="276" w:lineRule="auto"/>
        <w:jc w:val="both"/>
        <w:rPr>
          <w:rFonts w:ascii="Arial" w:eastAsia="Calibri" w:hAnsi="Arial" w:cs="Arial"/>
          <w:color w:val="000000"/>
          <w:sz w:val="22"/>
          <w:lang w:val="es-CO"/>
        </w:rPr>
      </w:pPr>
      <w:r>
        <w:rPr>
          <w:rFonts w:ascii="Arial" w:eastAsia="Calibri" w:hAnsi="Arial" w:cs="Arial"/>
          <w:color w:val="000000"/>
          <w:sz w:val="22"/>
        </w:rPr>
        <w:tab/>
      </w:r>
      <w:r w:rsidR="00897E07">
        <w:rPr>
          <w:rFonts w:ascii="Arial" w:eastAsia="Calibri" w:hAnsi="Arial" w:cs="Arial"/>
          <w:color w:val="000000"/>
          <w:sz w:val="22"/>
        </w:rPr>
        <w:t xml:space="preserve">i) </w:t>
      </w:r>
      <w:r w:rsidR="00897E07" w:rsidRPr="00897E07">
        <w:rPr>
          <w:rFonts w:ascii="Arial" w:eastAsia="Calibri" w:hAnsi="Arial" w:cs="Arial"/>
          <w:color w:val="000000"/>
          <w:sz w:val="22"/>
        </w:rPr>
        <w:t>«</w:t>
      </w:r>
      <w:r w:rsidR="00897E07" w:rsidRPr="00897E07">
        <w:rPr>
          <w:rFonts w:ascii="Arial" w:eastAsia="Calibri" w:hAnsi="Arial" w:cs="Arial"/>
          <w:color w:val="000000"/>
          <w:sz w:val="22"/>
          <w:lang w:val="es-CO"/>
        </w:rPr>
        <w:t>Cuando una entidad estatal solicita experiencia adicional observando los requisitos</w:t>
      </w:r>
      <w:r w:rsidR="00897E07">
        <w:rPr>
          <w:rFonts w:ascii="Arial" w:eastAsia="Calibri" w:hAnsi="Arial" w:cs="Arial"/>
          <w:color w:val="000000"/>
          <w:sz w:val="22"/>
          <w:lang w:val="es-CO"/>
        </w:rPr>
        <w:t xml:space="preserve"> </w:t>
      </w:r>
      <w:r w:rsidR="00897E07" w:rsidRPr="00897E07">
        <w:rPr>
          <w:rFonts w:ascii="Arial" w:eastAsia="Calibri" w:hAnsi="Arial" w:cs="Arial"/>
          <w:color w:val="000000"/>
          <w:sz w:val="22"/>
          <w:lang w:val="es-CO"/>
        </w:rPr>
        <w:t>establecidos por el artículo 2.2.1.2.6.1.5 del Decreto 1082 de 2015, se debe entender que</w:t>
      </w:r>
      <w:r>
        <w:rPr>
          <w:rFonts w:ascii="Arial" w:eastAsia="Calibri" w:hAnsi="Arial" w:cs="Arial"/>
          <w:color w:val="000000"/>
          <w:sz w:val="22"/>
          <w:lang w:val="es-CO"/>
        </w:rPr>
        <w:t xml:space="preserve"> </w:t>
      </w:r>
      <w:r w:rsidR="00897E07" w:rsidRPr="00897E07">
        <w:rPr>
          <w:rFonts w:ascii="Arial" w:eastAsia="Calibri" w:hAnsi="Arial" w:cs="Arial"/>
          <w:color w:val="000000"/>
          <w:sz w:val="22"/>
          <w:lang w:val="es-CO"/>
        </w:rPr>
        <w:t>los contratos para acreditar la experiencia adicional son los mismos contratos que se utilizan</w:t>
      </w:r>
      <w:r w:rsidR="00897E07">
        <w:rPr>
          <w:rFonts w:ascii="Arial" w:eastAsia="Calibri" w:hAnsi="Arial" w:cs="Arial"/>
          <w:color w:val="000000"/>
          <w:sz w:val="22"/>
          <w:lang w:val="es-CO"/>
        </w:rPr>
        <w:t xml:space="preserve"> </w:t>
      </w:r>
      <w:r w:rsidR="00897E07" w:rsidRPr="00897E07">
        <w:rPr>
          <w:rFonts w:ascii="Arial" w:eastAsia="Calibri" w:hAnsi="Arial" w:cs="Arial"/>
          <w:color w:val="000000"/>
          <w:sz w:val="22"/>
          <w:lang w:val="es-CO"/>
        </w:rPr>
        <w:t>para acreditar la experiencia de matriz 1 de los pliegos tipo para infraestructura de</w:t>
      </w:r>
      <w:r>
        <w:rPr>
          <w:rFonts w:ascii="Arial" w:eastAsia="Calibri" w:hAnsi="Arial" w:cs="Arial"/>
          <w:color w:val="000000"/>
          <w:sz w:val="22"/>
          <w:lang w:val="es-CO"/>
        </w:rPr>
        <w:t xml:space="preserve"> </w:t>
      </w:r>
      <w:r w:rsidR="00897E07" w:rsidRPr="00897E07">
        <w:rPr>
          <w:rFonts w:ascii="Arial" w:eastAsia="Calibri" w:hAnsi="Arial" w:cs="Arial"/>
          <w:color w:val="000000"/>
          <w:sz w:val="22"/>
          <w:lang w:val="es-CO"/>
        </w:rPr>
        <w:t>transporte V2?</w:t>
      </w:r>
      <w:r w:rsidR="006378EF">
        <w:rPr>
          <w:rFonts w:ascii="Arial" w:eastAsia="Calibri" w:hAnsi="Arial" w:cs="Arial"/>
          <w:color w:val="000000"/>
          <w:sz w:val="22"/>
          <w:lang w:val="es-CO"/>
        </w:rPr>
        <w:t xml:space="preserve"> [sic]</w:t>
      </w:r>
      <w:r w:rsidR="00897E07" w:rsidRPr="00897E07">
        <w:rPr>
          <w:rFonts w:ascii="Arial" w:eastAsia="Calibri" w:hAnsi="Arial" w:cs="Arial"/>
          <w:color w:val="000000"/>
          <w:sz w:val="22"/>
          <w:lang w:val="es-CO"/>
        </w:rPr>
        <w:t xml:space="preserve"> </w:t>
      </w:r>
      <w:r w:rsidR="006378EF">
        <w:rPr>
          <w:rFonts w:ascii="Arial" w:eastAsia="Calibri" w:hAnsi="Arial" w:cs="Arial"/>
          <w:color w:val="000000"/>
          <w:sz w:val="22"/>
          <w:lang w:val="es-CO"/>
        </w:rPr>
        <w:t>¿</w:t>
      </w:r>
      <w:r w:rsidR="00897E07" w:rsidRPr="00897E07">
        <w:rPr>
          <w:rFonts w:ascii="Arial" w:eastAsia="Calibri" w:hAnsi="Arial" w:cs="Arial"/>
          <w:color w:val="000000"/>
          <w:sz w:val="22"/>
          <w:lang w:val="es-CO"/>
        </w:rPr>
        <w:t>O se debe entender que los contratos para acreditar experiencia adicional</w:t>
      </w:r>
      <w:r>
        <w:rPr>
          <w:rFonts w:ascii="Arial" w:eastAsia="Calibri" w:hAnsi="Arial" w:cs="Arial"/>
          <w:color w:val="000000"/>
          <w:sz w:val="22"/>
          <w:lang w:val="es-CO"/>
        </w:rPr>
        <w:t xml:space="preserve"> </w:t>
      </w:r>
      <w:r w:rsidR="00897E07" w:rsidRPr="00897E07">
        <w:rPr>
          <w:rFonts w:ascii="Arial" w:eastAsia="Calibri" w:hAnsi="Arial" w:cs="Arial"/>
          <w:color w:val="000000"/>
          <w:sz w:val="22"/>
          <w:lang w:val="es-CO"/>
        </w:rPr>
        <w:t>son adicionales o diferentes a los aportados para acreditar la experiencia de la matriz 1, a</w:t>
      </w:r>
      <w:r>
        <w:rPr>
          <w:rFonts w:ascii="Arial" w:eastAsia="Calibri" w:hAnsi="Arial" w:cs="Arial"/>
          <w:color w:val="000000"/>
          <w:sz w:val="22"/>
          <w:lang w:val="es-CO"/>
        </w:rPr>
        <w:t xml:space="preserve"> </w:t>
      </w:r>
      <w:r w:rsidR="00897E07" w:rsidRPr="00897E07">
        <w:rPr>
          <w:rFonts w:ascii="Arial" w:eastAsia="Calibri" w:hAnsi="Arial" w:cs="Arial"/>
          <w:color w:val="000000"/>
          <w:sz w:val="22"/>
          <w:lang w:val="es-CO"/>
        </w:rPr>
        <w:t>potestad de los proponentes?</w:t>
      </w:r>
    </w:p>
    <w:p w14:paraId="3AFFE8B0" w14:textId="23642870" w:rsidR="00776C84" w:rsidRDefault="006378EF" w:rsidP="00776C84">
      <w:pPr>
        <w:tabs>
          <w:tab w:val="left" w:pos="426"/>
        </w:tabs>
        <w:spacing w:before="120" w:after="120" w:line="276" w:lineRule="auto"/>
        <w:jc w:val="both"/>
        <w:rPr>
          <w:rFonts w:ascii="Arial" w:eastAsia="Calibri" w:hAnsi="Arial" w:cs="Arial"/>
          <w:color w:val="000000"/>
          <w:sz w:val="22"/>
          <w:lang w:val="es-CO"/>
        </w:rPr>
      </w:pPr>
      <w:r>
        <w:rPr>
          <w:rFonts w:ascii="Arial" w:eastAsia="Calibri" w:hAnsi="Arial" w:cs="Arial"/>
          <w:color w:val="000000"/>
          <w:sz w:val="22"/>
          <w:lang w:val="es-CO"/>
        </w:rPr>
        <w:tab/>
      </w:r>
      <w:r w:rsidR="0048715E">
        <w:rPr>
          <w:rFonts w:ascii="Arial" w:eastAsia="Calibri" w:hAnsi="Arial" w:cs="Arial"/>
          <w:color w:val="000000"/>
          <w:sz w:val="22"/>
          <w:lang w:val="es-CO"/>
        </w:rPr>
        <w:tab/>
        <w:t>«</w:t>
      </w:r>
      <w:r w:rsidR="00897E07" w:rsidRPr="00897E07">
        <w:rPr>
          <w:rFonts w:ascii="Arial" w:eastAsia="Calibri" w:hAnsi="Arial" w:cs="Arial"/>
          <w:color w:val="000000"/>
          <w:sz w:val="22"/>
          <w:lang w:val="es-CO"/>
        </w:rPr>
        <w:t>Es decir, si en un proceso de selección se solicita experiencia de la matriz 1 y a su vez</w:t>
      </w:r>
      <w:r w:rsidR="00897E07">
        <w:rPr>
          <w:rFonts w:ascii="Arial" w:eastAsia="Calibri" w:hAnsi="Arial" w:cs="Arial"/>
          <w:color w:val="000000"/>
          <w:sz w:val="22"/>
          <w:lang w:val="es-CO"/>
        </w:rPr>
        <w:t xml:space="preserve"> </w:t>
      </w:r>
      <w:r w:rsidR="00897E07" w:rsidRPr="00897E07">
        <w:rPr>
          <w:rFonts w:ascii="Arial" w:eastAsia="Calibri" w:hAnsi="Arial" w:cs="Arial"/>
          <w:color w:val="000000"/>
          <w:sz w:val="22"/>
          <w:lang w:val="es-CO"/>
        </w:rPr>
        <w:t>experiencia adicional, el número máximo de contratos para acreditar estas dos experiencias</w:t>
      </w:r>
      <w:r w:rsidR="00897E07">
        <w:rPr>
          <w:rFonts w:ascii="Arial" w:eastAsia="Calibri" w:hAnsi="Arial" w:cs="Arial"/>
          <w:color w:val="000000"/>
          <w:sz w:val="22"/>
          <w:lang w:val="es-CO"/>
        </w:rPr>
        <w:t xml:space="preserve"> es seis contratos para ambas; o</w:t>
      </w:r>
      <w:r w:rsidR="00C85995">
        <w:rPr>
          <w:rFonts w:ascii="Arial" w:eastAsia="Calibri" w:hAnsi="Arial" w:cs="Arial"/>
          <w:color w:val="000000"/>
          <w:sz w:val="22"/>
          <w:lang w:val="es-CO"/>
        </w:rPr>
        <w:t xml:space="preserve"> [sic]</w:t>
      </w:r>
      <w:r w:rsidR="00776C84">
        <w:rPr>
          <w:rFonts w:ascii="Arial" w:eastAsia="Calibri" w:hAnsi="Arial" w:cs="Arial"/>
          <w:color w:val="000000"/>
          <w:sz w:val="22"/>
          <w:lang w:val="es-CO"/>
        </w:rPr>
        <w:t xml:space="preserve"> ¿</w:t>
      </w:r>
      <w:r w:rsidR="00897E07">
        <w:rPr>
          <w:rFonts w:ascii="Arial" w:eastAsia="Calibri" w:hAnsi="Arial" w:cs="Arial"/>
          <w:color w:val="000000"/>
          <w:sz w:val="22"/>
          <w:lang w:val="es-CO"/>
        </w:rPr>
        <w:t xml:space="preserve">seis contratos para la experiencia de la Matriz 1 y seis contratos </w:t>
      </w:r>
      <w:r w:rsidR="00776C84" w:rsidRPr="00776C84">
        <w:rPr>
          <w:rFonts w:ascii="Arial" w:eastAsia="Calibri" w:hAnsi="Arial" w:cs="Arial"/>
          <w:color w:val="000000"/>
          <w:sz w:val="22"/>
          <w:lang w:val="es-CO"/>
        </w:rPr>
        <w:t>para acreditar la experiencia adicional, para un total de 12 contratos?</w:t>
      </w:r>
      <w:r w:rsidR="00776C84">
        <w:rPr>
          <w:rFonts w:ascii="Arial" w:eastAsia="Calibri" w:hAnsi="Arial" w:cs="Arial"/>
          <w:color w:val="000000"/>
          <w:sz w:val="22"/>
          <w:lang w:val="es-CO"/>
        </w:rPr>
        <w:t>»</w:t>
      </w:r>
    </w:p>
    <w:p w14:paraId="558E0850" w14:textId="6C6714EE" w:rsidR="00776C84" w:rsidRDefault="00776C84" w:rsidP="006378EF">
      <w:pPr>
        <w:tabs>
          <w:tab w:val="left" w:pos="426"/>
        </w:tabs>
        <w:spacing w:before="120" w:after="120" w:line="276" w:lineRule="auto"/>
        <w:jc w:val="both"/>
        <w:rPr>
          <w:rFonts w:ascii="Arial" w:eastAsia="Calibri" w:hAnsi="Arial" w:cs="Arial"/>
          <w:color w:val="000000"/>
          <w:sz w:val="22"/>
          <w:lang w:val="es-CO"/>
        </w:rPr>
      </w:pPr>
      <w:r>
        <w:rPr>
          <w:rFonts w:ascii="Arial" w:eastAsia="Calibri" w:hAnsi="Arial" w:cs="Arial"/>
          <w:color w:val="000000"/>
          <w:sz w:val="22"/>
          <w:lang w:val="es-CO"/>
        </w:rPr>
        <w:tab/>
      </w:r>
      <w:r w:rsidR="0048715E">
        <w:rPr>
          <w:rFonts w:ascii="Arial" w:eastAsia="Calibri" w:hAnsi="Arial" w:cs="Arial"/>
          <w:color w:val="000000"/>
          <w:sz w:val="22"/>
          <w:lang w:val="es-CO"/>
        </w:rPr>
        <w:tab/>
      </w:r>
      <w:r>
        <w:rPr>
          <w:rFonts w:ascii="Arial" w:eastAsia="Calibri" w:hAnsi="Arial" w:cs="Arial"/>
          <w:color w:val="000000"/>
          <w:sz w:val="22"/>
          <w:lang w:val="es-CO"/>
        </w:rPr>
        <w:t xml:space="preserve">ii) </w:t>
      </w:r>
      <w:r w:rsidR="006378EF">
        <w:rPr>
          <w:rFonts w:ascii="Arial" w:eastAsia="Calibri" w:hAnsi="Arial" w:cs="Arial"/>
          <w:color w:val="000000"/>
          <w:sz w:val="22"/>
          <w:lang w:val="es-CO"/>
        </w:rPr>
        <w:t>«</w:t>
      </w:r>
      <w:r w:rsidRPr="00776C84">
        <w:rPr>
          <w:rFonts w:ascii="Arial" w:eastAsia="Calibri" w:hAnsi="Arial" w:cs="Arial"/>
          <w:color w:val="000000"/>
          <w:sz w:val="22"/>
          <w:lang w:val="es-CO"/>
        </w:rPr>
        <w:t>Cuando una entidad estatal solicita experiencia adicional observando los requisitos</w:t>
      </w:r>
      <w:r w:rsidR="006378EF">
        <w:rPr>
          <w:rFonts w:ascii="Arial" w:eastAsia="Calibri" w:hAnsi="Arial" w:cs="Arial"/>
          <w:color w:val="000000"/>
          <w:sz w:val="22"/>
          <w:lang w:val="es-CO"/>
        </w:rPr>
        <w:t xml:space="preserve"> </w:t>
      </w:r>
      <w:r w:rsidRPr="00776C84">
        <w:rPr>
          <w:rFonts w:ascii="Arial" w:eastAsia="Calibri" w:hAnsi="Arial" w:cs="Arial"/>
          <w:color w:val="000000"/>
          <w:sz w:val="22"/>
          <w:lang w:val="es-CO"/>
        </w:rPr>
        <w:t>establecidos por el artículo 2.2.1.2.6.1.5 del Decreto 1082 de 2015, se debe entender que</w:t>
      </w:r>
      <w:r w:rsidR="006378EF">
        <w:rPr>
          <w:rFonts w:ascii="Arial" w:eastAsia="Calibri" w:hAnsi="Arial" w:cs="Arial"/>
          <w:color w:val="000000"/>
          <w:sz w:val="22"/>
          <w:lang w:val="es-CO"/>
        </w:rPr>
        <w:t xml:space="preserve"> la cuantía para acreditar la experiencia adicional debe ser la misma establecida en la tabla del numeral 3.5.7 de los pliegos tipo para infraestructura de transporte V2, a saber?»</w:t>
      </w:r>
    </w:p>
    <w:p w14:paraId="51ACD156" w14:textId="77777777" w:rsidR="00CB61DC" w:rsidRDefault="00CB61DC" w:rsidP="006378EF">
      <w:pPr>
        <w:tabs>
          <w:tab w:val="left" w:pos="426"/>
        </w:tabs>
        <w:spacing w:before="120" w:after="120" w:line="276" w:lineRule="auto"/>
        <w:jc w:val="both"/>
        <w:rPr>
          <w:rFonts w:ascii="Arial" w:eastAsia="Calibri" w:hAnsi="Arial" w:cs="Arial"/>
          <w:color w:val="000000"/>
          <w:sz w:val="22"/>
          <w:lang w:val="es-CO"/>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CB61DC" w:rsidRPr="0033677B" w14:paraId="478E715D" w14:textId="77777777" w:rsidTr="00FB3DCF">
        <w:trPr>
          <w:trHeight w:val="737"/>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23F04EDB" w14:textId="77777777" w:rsidR="00CB61DC" w:rsidRPr="007F134A" w:rsidRDefault="00CB61DC" w:rsidP="00FB3DCF">
            <w:pPr>
              <w:spacing w:line="276" w:lineRule="auto"/>
              <w:jc w:val="center"/>
              <w:rPr>
                <w:rFonts w:eastAsia="Arial" w:cs="Arial"/>
                <w:b/>
                <w:bCs/>
                <w:color w:val="FFFFFF" w:themeColor="accent2"/>
                <w:sz w:val="16"/>
                <w:szCs w:val="16"/>
                <w:lang w:val="es-ES"/>
              </w:rPr>
            </w:pPr>
            <w:r w:rsidRPr="007F134A">
              <w:rPr>
                <w:rFonts w:cs="Arial"/>
                <w:b/>
                <w:bCs/>
                <w:color w:val="FFFFFF" w:themeColor="accent2"/>
                <w:sz w:val="16"/>
                <w:szCs w:val="16"/>
                <w:lang w:val="es-ES"/>
              </w:rPr>
              <w:lastRenderedPageBreak/>
              <w:t>Número</w:t>
            </w:r>
            <w:r w:rsidRPr="007F134A">
              <w:rPr>
                <w:rFonts w:eastAsia="Arial" w:cs="Arial"/>
                <w:b/>
                <w:bCs/>
                <w:color w:val="FFFFFF" w:themeColor="accent2"/>
                <w:sz w:val="16"/>
                <w:szCs w:val="16"/>
                <w:lang w:val="es-ES"/>
              </w:rPr>
              <w:t xml:space="preserve"> </w:t>
            </w:r>
            <w:r w:rsidRPr="007F134A">
              <w:rPr>
                <w:rFonts w:cs="Arial"/>
                <w:b/>
                <w:bCs/>
                <w:color w:val="FFFFFF" w:themeColor="accent2"/>
                <w:sz w:val="16"/>
                <w:szCs w:val="16"/>
                <w:lang w:val="es-ES"/>
              </w:rPr>
              <w:t>de</w:t>
            </w:r>
            <w:r w:rsidRPr="007F134A">
              <w:rPr>
                <w:rFonts w:eastAsia="Arial" w:cs="Arial"/>
                <w:b/>
                <w:bCs/>
                <w:color w:val="FFFFFF" w:themeColor="accent2"/>
                <w:sz w:val="16"/>
                <w:szCs w:val="16"/>
                <w:lang w:val="es-ES"/>
              </w:rPr>
              <w:t xml:space="preserve"> </w:t>
            </w:r>
            <w:r w:rsidRPr="007F134A">
              <w:rPr>
                <w:rFonts w:cs="Arial"/>
                <w:b/>
                <w:bCs/>
                <w:color w:val="FFFFFF" w:themeColor="accent2"/>
                <w:sz w:val="16"/>
                <w:szCs w:val="16"/>
                <w:lang w:val="es-ES"/>
              </w:rPr>
              <w:t>contratos</w:t>
            </w:r>
            <w:r w:rsidRPr="007F134A">
              <w:rPr>
                <w:rFonts w:eastAsia="Arial" w:cs="Arial"/>
                <w:b/>
                <w:bCs/>
                <w:color w:val="FFFFFF" w:themeColor="accent2"/>
                <w:sz w:val="16"/>
                <w:szCs w:val="16"/>
                <w:lang w:val="es-ES"/>
              </w:rPr>
              <w:t xml:space="preserve"> </w:t>
            </w:r>
            <w:r w:rsidRPr="007F134A">
              <w:rPr>
                <w:rFonts w:cs="Arial"/>
                <w:b/>
                <w:bCs/>
                <w:color w:val="FFFFFF" w:themeColor="accent2"/>
                <w:sz w:val="16"/>
                <w:szCs w:val="16"/>
                <w:lang w:val="es-ES"/>
              </w:rPr>
              <w:t>con</w:t>
            </w:r>
            <w:r w:rsidRPr="007F134A">
              <w:rPr>
                <w:rFonts w:eastAsia="Arial" w:cs="Arial"/>
                <w:b/>
                <w:bCs/>
                <w:color w:val="FFFFFF" w:themeColor="accent2"/>
                <w:sz w:val="16"/>
                <w:szCs w:val="16"/>
                <w:lang w:val="es-ES"/>
              </w:rPr>
              <w:t xml:space="preserve"> </w:t>
            </w:r>
            <w:r w:rsidRPr="007F134A">
              <w:rPr>
                <w:rFonts w:cs="Arial"/>
                <w:b/>
                <w:bCs/>
                <w:color w:val="FFFFFF" w:themeColor="accent2"/>
                <w:sz w:val="16"/>
                <w:szCs w:val="16"/>
                <w:lang w:val="es-ES"/>
              </w:rPr>
              <w:t>los</w:t>
            </w:r>
            <w:r w:rsidRPr="007F134A">
              <w:rPr>
                <w:rFonts w:eastAsia="Arial" w:cs="Arial"/>
                <w:b/>
                <w:bCs/>
                <w:color w:val="FFFFFF" w:themeColor="accent2"/>
                <w:sz w:val="16"/>
                <w:szCs w:val="16"/>
                <w:lang w:val="es-ES"/>
              </w:rPr>
              <w:t xml:space="preserve"> </w:t>
            </w:r>
            <w:r w:rsidRPr="007F134A">
              <w:rPr>
                <w:rFonts w:cs="Arial"/>
                <w:b/>
                <w:bCs/>
                <w:color w:val="FFFFFF" w:themeColor="accent2"/>
                <w:sz w:val="16"/>
                <w:szCs w:val="16"/>
                <w:lang w:val="es-ES"/>
              </w:rPr>
              <w:t>cuales</w:t>
            </w:r>
            <w:r w:rsidRPr="007F134A">
              <w:rPr>
                <w:rFonts w:eastAsia="Arial" w:cs="Arial"/>
                <w:b/>
                <w:bCs/>
                <w:color w:val="FFFFFF" w:themeColor="accent2"/>
                <w:sz w:val="16"/>
                <w:szCs w:val="16"/>
                <w:lang w:val="es-ES"/>
              </w:rPr>
              <w:t xml:space="preserve"> </w:t>
            </w:r>
            <w:r w:rsidRPr="007F134A">
              <w:rPr>
                <w:rFonts w:cs="Arial"/>
                <w:b/>
                <w:bCs/>
                <w:color w:val="FFFFFF" w:themeColor="accent2"/>
                <w:sz w:val="16"/>
                <w:szCs w:val="16"/>
                <w:lang w:val="es-ES"/>
              </w:rPr>
              <w:t>el</w:t>
            </w:r>
            <w:r w:rsidRPr="007F134A">
              <w:rPr>
                <w:rFonts w:eastAsia="Arial" w:cs="Arial"/>
                <w:b/>
                <w:bCs/>
                <w:color w:val="FFFFFF" w:themeColor="accent2"/>
                <w:sz w:val="16"/>
                <w:szCs w:val="16"/>
                <w:lang w:val="es-ES"/>
              </w:rPr>
              <w:t xml:space="preserve"> </w:t>
            </w:r>
            <w:r w:rsidRPr="007F134A">
              <w:rPr>
                <w:rFonts w:cs="Arial"/>
                <w:b/>
                <w:bCs/>
                <w:color w:val="FFFFFF" w:themeColor="accent2"/>
                <w:sz w:val="16"/>
                <w:szCs w:val="16"/>
                <w:lang w:val="es-ES"/>
              </w:rPr>
              <w:t>Proponente</w:t>
            </w:r>
            <w:r w:rsidRPr="007F134A">
              <w:rPr>
                <w:rFonts w:eastAsia="Arial" w:cs="Arial"/>
                <w:b/>
                <w:bCs/>
                <w:color w:val="FFFFFF" w:themeColor="accent2"/>
                <w:sz w:val="16"/>
                <w:szCs w:val="16"/>
                <w:lang w:val="es-ES"/>
              </w:rPr>
              <w:t xml:space="preserve"> </w:t>
            </w:r>
            <w:r w:rsidRPr="007F134A">
              <w:rPr>
                <w:rFonts w:cs="Arial"/>
                <w:b/>
                <w:bCs/>
                <w:color w:val="FFFFFF" w:themeColor="accent2"/>
                <w:sz w:val="16"/>
                <w:szCs w:val="16"/>
                <w:lang w:val="es-ES"/>
              </w:rPr>
              <w:t>cumple</w:t>
            </w:r>
            <w:r w:rsidRPr="007F134A">
              <w:rPr>
                <w:rFonts w:eastAsia="Arial" w:cs="Arial"/>
                <w:b/>
                <w:bCs/>
                <w:color w:val="FFFFFF" w:themeColor="accent2"/>
                <w:sz w:val="16"/>
                <w:szCs w:val="16"/>
                <w:lang w:val="es-ES"/>
              </w:rPr>
              <w:t xml:space="preserve"> </w:t>
            </w:r>
            <w:r w:rsidRPr="007F134A">
              <w:rPr>
                <w:rFonts w:cs="Arial"/>
                <w:b/>
                <w:bCs/>
                <w:color w:val="FFFFFF" w:themeColor="accent2"/>
                <w:sz w:val="16"/>
                <w:szCs w:val="16"/>
                <w:lang w:val="es-ES"/>
              </w:rPr>
              <w:t>la</w:t>
            </w:r>
            <w:r w:rsidRPr="007F134A">
              <w:rPr>
                <w:rFonts w:eastAsia="Arial" w:cs="Arial"/>
                <w:b/>
                <w:bCs/>
                <w:color w:val="FFFFFF" w:themeColor="accent2"/>
                <w:sz w:val="16"/>
                <w:szCs w:val="16"/>
                <w:lang w:val="es-ES"/>
              </w:rPr>
              <w:t xml:space="preserve"> </w:t>
            </w:r>
            <w:r w:rsidRPr="007F134A">
              <w:rPr>
                <w:rFonts w:cs="Arial"/>
                <w:b/>
                <w:bCs/>
                <w:color w:val="FFFFFF" w:themeColor="accent2"/>
                <w:sz w:val="16"/>
                <w:szCs w:val="16"/>
                <w:lang w:val="es-ES"/>
              </w:rPr>
              <w:t>experiencia</w:t>
            </w:r>
            <w:r w:rsidRPr="007F134A">
              <w:rPr>
                <w:rFonts w:eastAsia="Arial" w:cs="Arial"/>
                <w:b/>
                <w:bCs/>
                <w:color w:val="FFFFFF" w:themeColor="accent2"/>
                <w:sz w:val="16"/>
                <w:szCs w:val="16"/>
                <w:lang w:val="es-ES"/>
              </w:rPr>
              <w:t xml:space="preserve"> </w:t>
            </w:r>
            <w:r w:rsidRPr="007F134A">
              <w:rPr>
                <w:rFonts w:cs="Arial"/>
                <w:b/>
                <w:bCs/>
                <w:color w:val="FFFFFF" w:themeColor="accent2"/>
                <w:sz w:val="16"/>
                <w:szCs w:val="16"/>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550DDA23" w14:textId="77777777" w:rsidR="00CB61DC" w:rsidRPr="007F134A" w:rsidRDefault="00CB61DC" w:rsidP="00FB3DCF">
            <w:pPr>
              <w:spacing w:line="276" w:lineRule="auto"/>
              <w:jc w:val="center"/>
              <w:rPr>
                <w:rFonts w:eastAsia="Arial" w:cs="Arial"/>
                <w:b/>
                <w:bCs/>
                <w:color w:val="FFFFFF" w:themeColor="accent2"/>
                <w:sz w:val="16"/>
                <w:szCs w:val="16"/>
                <w:lang w:val="es-ES"/>
              </w:rPr>
            </w:pPr>
            <w:r w:rsidRPr="007F134A">
              <w:rPr>
                <w:rFonts w:cs="Arial"/>
                <w:b/>
                <w:bCs/>
                <w:color w:val="FFFFFF" w:themeColor="accent2"/>
                <w:sz w:val="16"/>
                <w:szCs w:val="16"/>
                <w:lang w:val="es-ES"/>
              </w:rPr>
              <w:t>Valor</w:t>
            </w:r>
            <w:r w:rsidRPr="007F134A">
              <w:rPr>
                <w:rFonts w:eastAsia="Arial" w:cs="Arial"/>
                <w:b/>
                <w:bCs/>
                <w:color w:val="FFFFFF" w:themeColor="accent2"/>
                <w:sz w:val="16"/>
                <w:szCs w:val="16"/>
                <w:lang w:val="es-ES"/>
              </w:rPr>
              <w:t xml:space="preserve"> </w:t>
            </w:r>
            <w:r w:rsidRPr="007F134A">
              <w:rPr>
                <w:rFonts w:cs="Arial"/>
                <w:b/>
                <w:bCs/>
                <w:color w:val="FFFFFF" w:themeColor="accent2"/>
                <w:sz w:val="16"/>
                <w:szCs w:val="16"/>
                <w:lang w:val="es-ES"/>
              </w:rPr>
              <w:t>mínimo</w:t>
            </w:r>
            <w:r w:rsidRPr="007F134A">
              <w:rPr>
                <w:rFonts w:eastAsia="Arial" w:cs="Arial"/>
                <w:b/>
                <w:bCs/>
                <w:color w:val="FFFFFF" w:themeColor="accent2"/>
                <w:sz w:val="16"/>
                <w:szCs w:val="16"/>
                <w:lang w:val="es-ES"/>
              </w:rPr>
              <w:t xml:space="preserve"> </w:t>
            </w:r>
            <w:r w:rsidRPr="007F134A">
              <w:rPr>
                <w:rFonts w:cs="Arial"/>
                <w:b/>
                <w:bCs/>
                <w:color w:val="FFFFFF" w:themeColor="accent2"/>
                <w:sz w:val="16"/>
                <w:szCs w:val="16"/>
                <w:lang w:val="es-ES"/>
              </w:rPr>
              <w:t>a</w:t>
            </w:r>
            <w:r w:rsidRPr="007F134A">
              <w:rPr>
                <w:rFonts w:eastAsia="Arial" w:cs="Arial"/>
                <w:b/>
                <w:bCs/>
                <w:color w:val="FFFFFF" w:themeColor="accent2"/>
                <w:sz w:val="16"/>
                <w:szCs w:val="16"/>
                <w:lang w:val="es-ES"/>
              </w:rPr>
              <w:t xml:space="preserve"> </w:t>
            </w:r>
            <w:r w:rsidRPr="007F134A">
              <w:rPr>
                <w:rFonts w:cs="Arial"/>
                <w:b/>
                <w:bCs/>
                <w:color w:val="FFFFFF" w:themeColor="accent2"/>
                <w:sz w:val="16"/>
                <w:szCs w:val="16"/>
                <w:lang w:val="es-ES"/>
              </w:rPr>
              <w:t>certificar</w:t>
            </w:r>
          </w:p>
          <w:p w14:paraId="0F764700" w14:textId="77777777" w:rsidR="00CB61DC" w:rsidRPr="007F134A" w:rsidRDefault="00CB61DC" w:rsidP="00FB3DCF">
            <w:pPr>
              <w:spacing w:line="276" w:lineRule="auto"/>
              <w:jc w:val="center"/>
              <w:rPr>
                <w:rFonts w:eastAsia="Arial" w:cs="Arial"/>
                <w:b/>
                <w:bCs/>
                <w:color w:val="FFFFFF" w:themeColor="accent2"/>
                <w:sz w:val="16"/>
                <w:szCs w:val="16"/>
                <w:lang w:val="es-ES"/>
              </w:rPr>
            </w:pPr>
            <w:r w:rsidRPr="007F134A">
              <w:rPr>
                <w:rFonts w:cs="Arial"/>
                <w:b/>
                <w:bCs/>
                <w:color w:val="FFFFFF" w:themeColor="accent2"/>
                <w:sz w:val="16"/>
                <w:szCs w:val="16"/>
                <w:lang w:val="es-ES"/>
              </w:rPr>
              <w:t>(como</w:t>
            </w:r>
            <w:r w:rsidRPr="007F134A">
              <w:rPr>
                <w:rFonts w:eastAsia="Arial" w:cs="Arial"/>
                <w:b/>
                <w:bCs/>
                <w:color w:val="FFFFFF" w:themeColor="accent2"/>
                <w:sz w:val="16"/>
                <w:szCs w:val="16"/>
                <w:lang w:val="es-ES"/>
              </w:rPr>
              <w:t xml:space="preserve"> % </w:t>
            </w:r>
            <w:r w:rsidRPr="007F134A">
              <w:rPr>
                <w:rFonts w:cs="Arial"/>
                <w:b/>
                <w:bCs/>
                <w:color w:val="FFFFFF" w:themeColor="accent2"/>
                <w:sz w:val="16"/>
                <w:szCs w:val="16"/>
                <w:lang w:val="es-ES"/>
              </w:rPr>
              <w:t>del</w:t>
            </w:r>
            <w:r w:rsidRPr="007F134A">
              <w:rPr>
                <w:rFonts w:eastAsia="Arial" w:cs="Arial"/>
                <w:b/>
                <w:bCs/>
                <w:color w:val="FFFFFF" w:themeColor="accent2"/>
                <w:sz w:val="16"/>
                <w:szCs w:val="16"/>
                <w:lang w:val="es-ES"/>
              </w:rPr>
              <w:t xml:space="preserve"> </w:t>
            </w:r>
            <w:r w:rsidRPr="007F134A">
              <w:rPr>
                <w:rFonts w:cs="Arial"/>
                <w:b/>
                <w:bCs/>
                <w:color w:val="FFFFFF" w:themeColor="accent2"/>
                <w:sz w:val="16"/>
                <w:szCs w:val="16"/>
                <w:lang w:val="es-ES"/>
              </w:rPr>
              <w:t>Presupuesto</w:t>
            </w:r>
            <w:r w:rsidRPr="007F134A">
              <w:rPr>
                <w:rFonts w:eastAsia="Arial" w:cs="Arial"/>
                <w:b/>
                <w:bCs/>
                <w:color w:val="FFFFFF" w:themeColor="accent2"/>
                <w:sz w:val="16"/>
                <w:szCs w:val="16"/>
                <w:lang w:val="es-ES"/>
              </w:rPr>
              <w:t xml:space="preserve"> </w:t>
            </w:r>
            <w:r w:rsidRPr="007F134A">
              <w:rPr>
                <w:rFonts w:cs="Arial"/>
                <w:b/>
                <w:bCs/>
                <w:color w:val="FFFFFF" w:themeColor="accent2"/>
                <w:sz w:val="16"/>
                <w:szCs w:val="16"/>
                <w:lang w:val="es-ES"/>
              </w:rPr>
              <w:t>Oficial</w:t>
            </w:r>
            <w:r w:rsidRPr="007F134A">
              <w:rPr>
                <w:rFonts w:eastAsia="Arial" w:cs="Arial"/>
                <w:b/>
                <w:bCs/>
                <w:color w:val="FFFFFF" w:themeColor="accent2"/>
                <w:sz w:val="16"/>
                <w:szCs w:val="16"/>
                <w:lang w:val="es-ES"/>
              </w:rPr>
              <w:t xml:space="preserve"> </w:t>
            </w:r>
            <w:r w:rsidRPr="007F134A">
              <w:rPr>
                <w:rFonts w:cs="Arial"/>
                <w:b/>
                <w:bCs/>
                <w:color w:val="FFFFFF" w:themeColor="accent2"/>
                <w:sz w:val="16"/>
                <w:szCs w:val="16"/>
                <w:lang w:val="es-ES"/>
              </w:rPr>
              <w:t>de</w:t>
            </w:r>
            <w:r w:rsidRPr="007F134A">
              <w:rPr>
                <w:rFonts w:eastAsia="Arial" w:cs="Arial"/>
                <w:b/>
                <w:bCs/>
                <w:color w:val="FFFFFF" w:themeColor="accent2"/>
                <w:sz w:val="16"/>
                <w:szCs w:val="16"/>
                <w:lang w:val="es-ES"/>
              </w:rPr>
              <w:t xml:space="preserve"> </w:t>
            </w:r>
            <w:r w:rsidRPr="007F134A">
              <w:rPr>
                <w:rFonts w:cs="Arial"/>
                <w:b/>
                <w:bCs/>
                <w:color w:val="FFFFFF" w:themeColor="accent2"/>
                <w:sz w:val="16"/>
                <w:szCs w:val="16"/>
                <w:lang w:val="es-ES"/>
              </w:rPr>
              <w:t>obra</w:t>
            </w:r>
            <w:r w:rsidRPr="007F134A">
              <w:rPr>
                <w:rFonts w:eastAsia="Arial" w:cs="Arial"/>
                <w:b/>
                <w:bCs/>
                <w:color w:val="FFFFFF" w:themeColor="accent2"/>
                <w:sz w:val="16"/>
                <w:szCs w:val="16"/>
                <w:lang w:val="es-ES"/>
              </w:rPr>
              <w:t xml:space="preserve"> </w:t>
            </w:r>
            <w:r w:rsidRPr="007F134A">
              <w:rPr>
                <w:rFonts w:cs="Arial"/>
                <w:b/>
                <w:bCs/>
                <w:color w:val="FFFFFF" w:themeColor="accent2"/>
                <w:sz w:val="16"/>
                <w:szCs w:val="16"/>
                <w:lang w:val="es-ES"/>
              </w:rPr>
              <w:t>expresado</w:t>
            </w:r>
            <w:r w:rsidRPr="007F134A">
              <w:rPr>
                <w:rFonts w:eastAsia="Arial" w:cs="Arial"/>
                <w:b/>
                <w:bCs/>
                <w:color w:val="FFFFFF" w:themeColor="accent2"/>
                <w:sz w:val="16"/>
                <w:szCs w:val="16"/>
                <w:lang w:val="es-ES"/>
              </w:rPr>
              <w:t xml:space="preserve"> </w:t>
            </w:r>
            <w:r w:rsidRPr="007F134A">
              <w:rPr>
                <w:rFonts w:cs="Arial"/>
                <w:b/>
                <w:bCs/>
                <w:color w:val="FFFFFF" w:themeColor="accent2"/>
                <w:sz w:val="16"/>
                <w:szCs w:val="16"/>
                <w:lang w:val="es-ES"/>
              </w:rPr>
              <w:t>en</w:t>
            </w:r>
            <w:r w:rsidRPr="007F134A">
              <w:rPr>
                <w:rFonts w:eastAsia="Arial" w:cs="Arial"/>
                <w:b/>
                <w:bCs/>
                <w:color w:val="FFFFFF" w:themeColor="accent2"/>
                <w:sz w:val="16"/>
                <w:szCs w:val="16"/>
                <w:lang w:val="es-ES"/>
              </w:rPr>
              <w:t xml:space="preserve"> </w:t>
            </w:r>
            <w:r w:rsidRPr="007F134A">
              <w:rPr>
                <w:rFonts w:cs="Arial"/>
                <w:b/>
                <w:bCs/>
                <w:color w:val="FFFFFF" w:themeColor="accent2"/>
                <w:sz w:val="16"/>
                <w:szCs w:val="16"/>
                <w:lang w:val="es-ES"/>
              </w:rPr>
              <w:t>SMMLV)</w:t>
            </w:r>
          </w:p>
        </w:tc>
      </w:tr>
      <w:tr w:rsidR="00CB61DC" w:rsidRPr="0033677B" w14:paraId="44283080" w14:textId="77777777" w:rsidTr="00FB3DCF">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3E9FD6A0" w14:textId="77777777" w:rsidR="00CB61DC" w:rsidRPr="0033677B" w:rsidRDefault="00CB61DC" w:rsidP="00FB3DCF">
            <w:pPr>
              <w:spacing w:line="276" w:lineRule="auto"/>
              <w:jc w:val="center"/>
              <w:rPr>
                <w:rFonts w:eastAsia="Arial" w:cs="Arial"/>
                <w:sz w:val="16"/>
                <w:szCs w:val="16"/>
                <w:lang w:val="es-ES"/>
              </w:rPr>
            </w:pPr>
            <w:r w:rsidRPr="0033677B">
              <w:rPr>
                <w:rFonts w:cs="Arial"/>
                <w:sz w:val="16"/>
                <w:szCs w:val="16"/>
                <w:lang w:val="es-ES"/>
              </w:rPr>
              <w:t>De</w:t>
            </w:r>
            <w:r w:rsidRPr="0033677B">
              <w:rPr>
                <w:rFonts w:eastAsia="Arial" w:cs="Arial"/>
                <w:sz w:val="16"/>
                <w:szCs w:val="16"/>
                <w:lang w:val="es-ES"/>
              </w:rPr>
              <w:t xml:space="preserve"> </w:t>
            </w:r>
            <w:r w:rsidRPr="0033677B">
              <w:rPr>
                <w:rFonts w:cs="Arial"/>
                <w:sz w:val="16"/>
                <w:szCs w:val="16"/>
                <w:lang w:val="es-ES"/>
              </w:rPr>
              <w:t>1</w:t>
            </w:r>
            <w:r w:rsidRPr="0033677B">
              <w:rPr>
                <w:rFonts w:eastAsia="Arial" w:cs="Arial"/>
                <w:sz w:val="16"/>
                <w:szCs w:val="16"/>
                <w:lang w:val="es-ES"/>
              </w:rPr>
              <w:t xml:space="preserve"> </w:t>
            </w:r>
            <w:r w:rsidRPr="0033677B">
              <w:rPr>
                <w:rFonts w:cs="Arial"/>
                <w:sz w:val="16"/>
                <w:szCs w:val="16"/>
                <w:lang w:val="es-ES"/>
              </w:rPr>
              <w:t>hasta</w:t>
            </w:r>
            <w:r w:rsidRPr="0033677B">
              <w:rPr>
                <w:rFonts w:eastAsia="Arial" w:cs="Arial"/>
                <w:sz w:val="16"/>
                <w:szCs w:val="16"/>
                <w:lang w:val="es-ES"/>
              </w:rPr>
              <w:t xml:space="preserve"> </w:t>
            </w:r>
            <w:r w:rsidRPr="0033677B">
              <w:rPr>
                <w:rFonts w:cs="Arial"/>
                <w:sz w:val="16"/>
                <w:szCs w:val="16"/>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14F989CD" w14:textId="77777777" w:rsidR="00CB61DC" w:rsidRPr="0033677B" w:rsidRDefault="00CB61DC" w:rsidP="00FB3DCF">
            <w:pPr>
              <w:spacing w:line="276" w:lineRule="auto"/>
              <w:jc w:val="center"/>
              <w:rPr>
                <w:rFonts w:eastAsia="Arial" w:cs="Arial"/>
                <w:sz w:val="16"/>
                <w:szCs w:val="16"/>
                <w:lang w:val="es-ES"/>
              </w:rPr>
            </w:pPr>
            <w:r w:rsidRPr="0033677B">
              <w:rPr>
                <w:rFonts w:cs="Arial"/>
                <w:sz w:val="16"/>
                <w:szCs w:val="16"/>
                <w:lang w:val="es-ES"/>
              </w:rPr>
              <w:t>75%</w:t>
            </w:r>
          </w:p>
        </w:tc>
      </w:tr>
      <w:tr w:rsidR="00CB61DC" w:rsidRPr="0033677B" w14:paraId="39B32721" w14:textId="77777777" w:rsidTr="00FB3DCF">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54D96CB9" w14:textId="77777777" w:rsidR="00CB61DC" w:rsidRPr="0033677B" w:rsidRDefault="00CB61DC" w:rsidP="00FB3DCF">
            <w:pPr>
              <w:spacing w:line="276" w:lineRule="auto"/>
              <w:jc w:val="center"/>
              <w:rPr>
                <w:rFonts w:eastAsia="Arial" w:cs="Arial"/>
                <w:sz w:val="16"/>
                <w:szCs w:val="16"/>
                <w:lang w:val="es-ES"/>
              </w:rPr>
            </w:pPr>
            <w:r w:rsidRPr="0033677B">
              <w:rPr>
                <w:rFonts w:cs="Arial"/>
                <w:sz w:val="16"/>
                <w:szCs w:val="16"/>
                <w:lang w:val="es-ES"/>
              </w:rPr>
              <w:t>De</w:t>
            </w:r>
            <w:r w:rsidRPr="0033677B">
              <w:rPr>
                <w:rFonts w:eastAsia="Arial" w:cs="Arial"/>
                <w:sz w:val="16"/>
                <w:szCs w:val="16"/>
                <w:lang w:val="es-ES"/>
              </w:rPr>
              <w:t xml:space="preserve"> </w:t>
            </w:r>
            <w:r w:rsidRPr="0033677B">
              <w:rPr>
                <w:rFonts w:cs="Arial"/>
                <w:sz w:val="16"/>
                <w:szCs w:val="16"/>
                <w:lang w:val="es-ES"/>
              </w:rPr>
              <w:t>3</w:t>
            </w:r>
            <w:r w:rsidRPr="0033677B">
              <w:rPr>
                <w:rFonts w:eastAsia="Arial" w:cs="Arial"/>
                <w:sz w:val="16"/>
                <w:szCs w:val="16"/>
                <w:lang w:val="es-ES"/>
              </w:rPr>
              <w:t xml:space="preserve"> </w:t>
            </w:r>
            <w:r w:rsidRPr="0033677B">
              <w:rPr>
                <w:rFonts w:cs="Arial"/>
                <w:sz w:val="16"/>
                <w:szCs w:val="16"/>
                <w:lang w:val="es-ES"/>
              </w:rPr>
              <w:t>hasta</w:t>
            </w:r>
            <w:r w:rsidRPr="0033677B">
              <w:rPr>
                <w:rFonts w:eastAsia="Arial" w:cs="Arial"/>
                <w:sz w:val="16"/>
                <w:szCs w:val="16"/>
                <w:lang w:val="es-ES"/>
              </w:rPr>
              <w:t xml:space="preserve"> </w:t>
            </w:r>
            <w:r w:rsidRPr="0033677B">
              <w:rPr>
                <w:rFonts w:cs="Arial"/>
                <w:sz w:val="16"/>
                <w:szCs w:val="16"/>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342CE753" w14:textId="77777777" w:rsidR="00CB61DC" w:rsidRPr="0033677B" w:rsidRDefault="00CB61DC" w:rsidP="00FB3DCF">
            <w:pPr>
              <w:spacing w:line="276" w:lineRule="auto"/>
              <w:jc w:val="center"/>
              <w:rPr>
                <w:rFonts w:eastAsia="Arial" w:cs="Arial"/>
                <w:sz w:val="16"/>
                <w:szCs w:val="16"/>
                <w:lang w:val="es-ES"/>
              </w:rPr>
            </w:pPr>
            <w:r w:rsidRPr="0033677B">
              <w:rPr>
                <w:rFonts w:cs="Arial"/>
                <w:sz w:val="16"/>
                <w:szCs w:val="16"/>
                <w:lang w:val="es-ES"/>
              </w:rPr>
              <w:t>120%</w:t>
            </w:r>
          </w:p>
        </w:tc>
      </w:tr>
      <w:tr w:rsidR="00CB61DC" w:rsidRPr="0033677B" w14:paraId="2B47BF0D" w14:textId="77777777" w:rsidTr="00FB3DCF">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28F0FDDF" w14:textId="77777777" w:rsidR="00CB61DC" w:rsidRPr="0033677B" w:rsidRDefault="00CB61DC" w:rsidP="00FB3DCF">
            <w:pPr>
              <w:spacing w:line="276" w:lineRule="auto"/>
              <w:jc w:val="center"/>
              <w:rPr>
                <w:rFonts w:eastAsia="Arial" w:cs="Arial"/>
                <w:sz w:val="16"/>
                <w:szCs w:val="16"/>
                <w:lang w:val="es-ES"/>
              </w:rPr>
            </w:pPr>
            <w:r w:rsidRPr="0033677B">
              <w:rPr>
                <w:rFonts w:cs="Arial"/>
                <w:sz w:val="16"/>
                <w:szCs w:val="16"/>
                <w:lang w:val="es-ES"/>
              </w:rPr>
              <w:t>De</w:t>
            </w:r>
            <w:r w:rsidRPr="0033677B">
              <w:rPr>
                <w:rFonts w:eastAsia="Arial" w:cs="Arial"/>
                <w:sz w:val="16"/>
                <w:szCs w:val="16"/>
                <w:lang w:val="es-ES"/>
              </w:rPr>
              <w:t xml:space="preserve"> </w:t>
            </w:r>
            <w:r w:rsidRPr="0033677B">
              <w:rPr>
                <w:rFonts w:cs="Arial"/>
                <w:sz w:val="16"/>
                <w:szCs w:val="16"/>
                <w:lang w:val="es-ES"/>
              </w:rPr>
              <w:t>5</w:t>
            </w:r>
            <w:r w:rsidRPr="0033677B">
              <w:rPr>
                <w:rFonts w:eastAsia="Arial" w:cs="Arial"/>
                <w:sz w:val="16"/>
                <w:szCs w:val="16"/>
                <w:lang w:val="es-ES"/>
              </w:rPr>
              <w:t xml:space="preserve"> </w:t>
            </w:r>
            <w:r w:rsidRPr="0033677B">
              <w:rPr>
                <w:rFonts w:cs="Arial"/>
                <w:sz w:val="16"/>
                <w:szCs w:val="16"/>
                <w:lang w:val="es-ES"/>
              </w:rPr>
              <w:t>hasta</w:t>
            </w:r>
            <w:r w:rsidRPr="0033677B">
              <w:rPr>
                <w:rFonts w:eastAsia="Arial" w:cs="Arial"/>
                <w:sz w:val="16"/>
                <w:szCs w:val="16"/>
                <w:lang w:val="es-ES"/>
              </w:rPr>
              <w:t xml:space="preserve"> </w:t>
            </w:r>
            <w:r w:rsidRPr="0033677B">
              <w:rPr>
                <w:rFonts w:cs="Arial"/>
                <w:sz w:val="16"/>
                <w:szCs w:val="16"/>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40482888" w14:textId="77777777" w:rsidR="00CB61DC" w:rsidRPr="0033677B" w:rsidRDefault="00CB61DC" w:rsidP="00FB3DCF">
            <w:pPr>
              <w:spacing w:line="276" w:lineRule="auto"/>
              <w:jc w:val="center"/>
              <w:rPr>
                <w:rFonts w:eastAsia="Arial" w:cs="Arial"/>
                <w:sz w:val="16"/>
                <w:szCs w:val="16"/>
                <w:lang w:val="es-ES"/>
              </w:rPr>
            </w:pPr>
            <w:r w:rsidRPr="0033677B">
              <w:rPr>
                <w:rFonts w:cs="Arial"/>
                <w:sz w:val="16"/>
                <w:szCs w:val="16"/>
                <w:lang w:val="es-ES"/>
              </w:rPr>
              <w:t>150%</w:t>
            </w:r>
          </w:p>
        </w:tc>
      </w:tr>
    </w:tbl>
    <w:p w14:paraId="16EA05E7" w14:textId="77777777" w:rsidR="00CB61DC" w:rsidRDefault="00CB61DC" w:rsidP="006378EF">
      <w:pPr>
        <w:tabs>
          <w:tab w:val="left" w:pos="426"/>
        </w:tabs>
        <w:spacing w:before="120" w:after="120" w:line="276" w:lineRule="auto"/>
        <w:jc w:val="both"/>
        <w:rPr>
          <w:rFonts w:ascii="Arial" w:eastAsia="Calibri" w:hAnsi="Arial" w:cs="Arial"/>
          <w:color w:val="000000"/>
          <w:sz w:val="22"/>
          <w:lang w:val="es-CO"/>
        </w:rPr>
      </w:pPr>
    </w:p>
    <w:p w14:paraId="219D1D6B" w14:textId="378E9B48" w:rsidR="00776C84" w:rsidRDefault="006378EF" w:rsidP="003115FB">
      <w:pPr>
        <w:tabs>
          <w:tab w:val="left" w:pos="426"/>
        </w:tabs>
        <w:spacing w:line="276" w:lineRule="auto"/>
        <w:jc w:val="both"/>
        <w:rPr>
          <w:rFonts w:ascii="Arial" w:eastAsia="Calibri" w:hAnsi="Arial" w:cs="Arial"/>
          <w:color w:val="000000"/>
          <w:sz w:val="22"/>
          <w:lang w:val="es-CO"/>
        </w:rPr>
      </w:pPr>
      <w:r>
        <w:rPr>
          <w:rFonts w:ascii="Arial" w:eastAsia="Calibri" w:hAnsi="Arial" w:cs="Arial"/>
          <w:color w:val="000000"/>
          <w:sz w:val="22"/>
          <w:lang w:val="es-CO"/>
        </w:rPr>
        <w:tab/>
      </w:r>
      <w:r w:rsidR="0048715E">
        <w:rPr>
          <w:rFonts w:ascii="Arial" w:eastAsia="Calibri" w:hAnsi="Arial" w:cs="Arial"/>
          <w:color w:val="000000"/>
          <w:sz w:val="22"/>
          <w:lang w:val="es-CO"/>
        </w:rPr>
        <w:tab/>
      </w:r>
      <w:r>
        <w:rPr>
          <w:rFonts w:ascii="Arial" w:eastAsia="Calibri" w:hAnsi="Arial" w:cs="Arial"/>
          <w:color w:val="000000"/>
          <w:sz w:val="22"/>
          <w:lang w:val="es-CO"/>
        </w:rPr>
        <w:t xml:space="preserve">iii) </w:t>
      </w:r>
      <w:r w:rsidR="0048715E">
        <w:rPr>
          <w:rFonts w:ascii="Arial" w:eastAsia="Calibri" w:hAnsi="Arial" w:cs="Arial"/>
          <w:color w:val="000000"/>
          <w:sz w:val="22"/>
          <w:lang w:val="es-CO"/>
        </w:rPr>
        <w:t>«</w:t>
      </w:r>
      <w:r w:rsidRPr="006378EF">
        <w:rPr>
          <w:rFonts w:ascii="Arial" w:eastAsia="Calibri" w:hAnsi="Arial" w:cs="Arial"/>
          <w:color w:val="000000"/>
          <w:sz w:val="22"/>
          <w:lang w:val="es-CO"/>
        </w:rPr>
        <w:t>En caso de que la respuesta al anterior interrogante sea afirmativa se debe entender que</w:t>
      </w:r>
      <w:r>
        <w:rPr>
          <w:rFonts w:ascii="Arial" w:eastAsia="Calibri" w:hAnsi="Arial" w:cs="Arial"/>
          <w:color w:val="000000"/>
          <w:sz w:val="22"/>
          <w:lang w:val="es-CO"/>
        </w:rPr>
        <w:t xml:space="preserve"> </w:t>
      </w:r>
      <w:r w:rsidRPr="006378EF">
        <w:rPr>
          <w:rFonts w:ascii="Arial" w:eastAsia="Calibri" w:hAnsi="Arial" w:cs="Arial"/>
          <w:color w:val="000000"/>
          <w:sz w:val="22"/>
          <w:lang w:val="es-CO"/>
        </w:rPr>
        <w:t>la experiencia adicional se debe acreditar teniendo como base el valor del presupuesto oficial</w:t>
      </w:r>
      <w:r>
        <w:rPr>
          <w:rFonts w:ascii="Arial" w:eastAsia="Calibri" w:hAnsi="Arial" w:cs="Arial"/>
          <w:color w:val="000000"/>
          <w:sz w:val="22"/>
          <w:lang w:val="es-CO"/>
        </w:rPr>
        <w:t xml:space="preserve"> </w:t>
      </w:r>
      <w:r w:rsidRPr="006378EF">
        <w:rPr>
          <w:rFonts w:ascii="Arial" w:eastAsia="Calibri" w:hAnsi="Arial" w:cs="Arial"/>
          <w:color w:val="000000"/>
          <w:sz w:val="22"/>
          <w:lang w:val="es-CO"/>
        </w:rPr>
        <w:t xml:space="preserve">del proceso de selección? </w:t>
      </w:r>
      <w:r>
        <w:rPr>
          <w:rFonts w:ascii="Arial" w:eastAsia="Calibri" w:hAnsi="Arial" w:cs="Arial"/>
          <w:color w:val="000000"/>
          <w:sz w:val="22"/>
          <w:lang w:val="es-CO"/>
        </w:rPr>
        <w:t xml:space="preserve">[sic] </w:t>
      </w:r>
      <w:r w:rsidRPr="006378EF">
        <w:rPr>
          <w:rFonts w:ascii="Arial" w:eastAsia="Calibri" w:hAnsi="Arial" w:cs="Arial"/>
          <w:color w:val="000000"/>
          <w:sz w:val="22"/>
          <w:lang w:val="es-CO"/>
        </w:rPr>
        <w:t>¿O lo que sería más justo y adecuado, tener como base el valor que tengan los bienes y servicios adicionales (a infraestructura de transporte) dentro del presupuesto oficial del proceso de selección?</w:t>
      </w:r>
      <w:r>
        <w:rPr>
          <w:rFonts w:ascii="Arial" w:eastAsia="Calibri" w:hAnsi="Arial" w:cs="Arial"/>
          <w:color w:val="000000"/>
          <w:sz w:val="22"/>
          <w:lang w:val="es-CO"/>
        </w:rPr>
        <w:t xml:space="preserve"> </w:t>
      </w:r>
    </w:p>
    <w:p w14:paraId="501D73B5" w14:textId="77777777" w:rsidR="00C60791" w:rsidRPr="00621424" w:rsidRDefault="00C60791" w:rsidP="003115FB">
      <w:pPr>
        <w:tabs>
          <w:tab w:val="left" w:pos="426"/>
        </w:tabs>
        <w:jc w:val="both"/>
        <w:rPr>
          <w:rFonts w:ascii="Arial" w:eastAsia="Calibri" w:hAnsi="Arial" w:cs="Arial"/>
          <w:color w:val="000000"/>
          <w:sz w:val="22"/>
        </w:rPr>
      </w:pPr>
    </w:p>
    <w:p w14:paraId="14ECC6BD" w14:textId="77777777" w:rsidR="00C60791" w:rsidRPr="00FE5353" w:rsidRDefault="00C60791" w:rsidP="003115FB">
      <w:pPr>
        <w:pStyle w:val="Prrafodelista"/>
        <w:numPr>
          <w:ilvl w:val="0"/>
          <w:numId w:val="6"/>
        </w:numPr>
        <w:tabs>
          <w:tab w:val="left" w:pos="426"/>
        </w:tabs>
        <w:ind w:left="426"/>
        <w:jc w:val="both"/>
        <w:rPr>
          <w:rFonts w:ascii="Arial" w:eastAsia="Calibri" w:hAnsi="Arial" w:cs="Arial"/>
          <w:b/>
          <w:color w:val="000000"/>
          <w:sz w:val="22"/>
        </w:rPr>
      </w:pPr>
      <w:r w:rsidRPr="00FE5353">
        <w:rPr>
          <w:rFonts w:ascii="Arial" w:eastAsia="Calibri" w:hAnsi="Arial" w:cs="Arial"/>
          <w:b/>
          <w:color w:val="000000"/>
          <w:sz w:val="22"/>
        </w:rPr>
        <w:t>Consideraciones</w:t>
      </w:r>
    </w:p>
    <w:p w14:paraId="5A910E49" w14:textId="77777777" w:rsidR="00C60791" w:rsidRDefault="00C60791" w:rsidP="003115FB">
      <w:pPr>
        <w:jc w:val="both"/>
        <w:rPr>
          <w:rFonts w:ascii="Arial" w:eastAsia="Calibri" w:hAnsi="Arial" w:cs="Arial"/>
          <w:color w:val="000000"/>
          <w:sz w:val="22"/>
        </w:rPr>
      </w:pPr>
    </w:p>
    <w:p w14:paraId="510B2A64" w14:textId="58DF786D" w:rsidR="00CB61DC" w:rsidRDefault="00C60791" w:rsidP="00036055">
      <w:pPr>
        <w:spacing w:after="120" w:line="276" w:lineRule="auto"/>
        <w:jc w:val="both"/>
        <w:rPr>
          <w:rFonts w:ascii="Arial" w:eastAsia="Calibri" w:hAnsi="Arial" w:cs="Arial"/>
          <w:color w:val="000000"/>
          <w:sz w:val="22"/>
        </w:rPr>
      </w:pPr>
      <w:r>
        <w:rPr>
          <w:rFonts w:ascii="Arial" w:eastAsia="Calibri" w:hAnsi="Arial" w:cs="Arial"/>
          <w:color w:val="000000"/>
          <w:sz w:val="22"/>
        </w:rPr>
        <w:t>Para</w:t>
      </w:r>
      <w:r w:rsidR="006378EF">
        <w:rPr>
          <w:rFonts w:ascii="Arial" w:eastAsia="Calibri" w:hAnsi="Arial" w:cs="Arial"/>
          <w:color w:val="000000"/>
          <w:sz w:val="22"/>
        </w:rPr>
        <w:t xml:space="preserve"> desarrollar los problemas planteados, se explicará el análisis</w:t>
      </w:r>
      <w:r w:rsidR="00CB61DC">
        <w:rPr>
          <w:rFonts w:ascii="Arial" w:eastAsia="Calibri" w:hAnsi="Arial" w:cs="Arial"/>
          <w:color w:val="000000"/>
          <w:sz w:val="22"/>
        </w:rPr>
        <w:t xml:space="preserve"> y la interpretación</w:t>
      </w:r>
      <w:r w:rsidR="006378EF">
        <w:rPr>
          <w:rFonts w:ascii="Arial" w:eastAsia="Calibri" w:hAnsi="Arial" w:cs="Arial"/>
          <w:color w:val="000000"/>
          <w:sz w:val="22"/>
        </w:rPr>
        <w:t xml:space="preserve"> de</w:t>
      </w:r>
      <w:r w:rsidR="00CB61DC">
        <w:rPr>
          <w:rFonts w:ascii="Arial" w:eastAsia="Calibri" w:hAnsi="Arial" w:cs="Arial"/>
          <w:color w:val="000000"/>
          <w:sz w:val="22"/>
        </w:rPr>
        <w:t xml:space="preserve"> </w:t>
      </w:r>
      <w:r w:rsidR="006378EF">
        <w:rPr>
          <w:rFonts w:ascii="Arial" w:eastAsia="Calibri" w:hAnsi="Arial" w:cs="Arial"/>
          <w:color w:val="000000"/>
          <w:sz w:val="22"/>
        </w:rPr>
        <w:t>la Agencia Nacional de Contratación P</w:t>
      </w:r>
      <w:r w:rsidR="0048715E">
        <w:rPr>
          <w:rFonts w:ascii="Arial" w:eastAsia="Calibri" w:hAnsi="Arial" w:cs="Arial"/>
          <w:color w:val="000000"/>
          <w:sz w:val="22"/>
        </w:rPr>
        <w:t>ú</w:t>
      </w:r>
      <w:r w:rsidR="006378EF">
        <w:rPr>
          <w:rFonts w:ascii="Arial" w:eastAsia="Calibri" w:hAnsi="Arial" w:cs="Arial"/>
          <w:color w:val="000000"/>
          <w:sz w:val="22"/>
        </w:rPr>
        <w:t xml:space="preserve">blica </w:t>
      </w:r>
      <w:r w:rsidR="0048715E">
        <w:rPr>
          <w:rFonts w:ascii="Arial" w:eastAsia="Calibri" w:hAnsi="Arial" w:cs="Arial"/>
          <w:color w:val="000000"/>
          <w:sz w:val="22"/>
        </w:rPr>
        <w:t xml:space="preserve">– </w:t>
      </w:r>
      <w:r w:rsidR="006378EF">
        <w:rPr>
          <w:rFonts w:ascii="Arial" w:eastAsia="Calibri" w:hAnsi="Arial" w:cs="Arial"/>
          <w:color w:val="000000"/>
          <w:sz w:val="22"/>
        </w:rPr>
        <w:t xml:space="preserve">Colombia Compra Eficiente en relación con </w:t>
      </w:r>
      <w:r w:rsidR="00CB61DC">
        <w:rPr>
          <w:rFonts w:ascii="Arial" w:eastAsia="Calibri" w:hAnsi="Arial" w:cs="Arial"/>
          <w:color w:val="000000"/>
          <w:sz w:val="22"/>
        </w:rPr>
        <w:t>e</w:t>
      </w:r>
      <w:r w:rsidR="006378EF">
        <w:rPr>
          <w:rFonts w:ascii="Arial" w:eastAsia="Calibri" w:hAnsi="Arial" w:cs="Arial"/>
          <w:color w:val="000000"/>
          <w:sz w:val="22"/>
        </w:rPr>
        <w:t xml:space="preserve">l artículo 2.2.1.2.6.1.5 del Decreto 1082 de 2015, referido a la posibilidad de solicitar experiencia adicional </w:t>
      </w:r>
      <w:r w:rsidR="00F12435">
        <w:rPr>
          <w:rFonts w:ascii="Arial" w:eastAsia="Calibri" w:hAnsi="Arial" w:cs="Arial"/>
          <w:color w:val="000000"/>
          <w:sz w:val="22"/>
        </w:rPr>
        <w:t>cuando el objeto contractual incluye bienes o servicios ajenos a la obra pública de infraestructura de transporte</w:t>
      </w:r>
      <w:r w:rsidR="00CB61DC">
        <w:rPr>
          <w:rFonts w:ascii="Arial" w:eastAsia="Calibri" w:hAnsi="Arial" w:cs="Arial"/>
          <w:color w:val="000000"/>
          <w:sz w:val="22"/>
        </w:rPr>
        <w:t xml:space="preserve">. </w:t>
      </w:r>
    </w:p>
    <w:p w14:paraId="2A63ED8E" w14:textId="3FA7344B" w:rsidR="00CB61DC" w:rsidRPr="00CB61DC" w:rsidRDefault="0048715E" w:rsidP="00F12435">
      <w:pPr>
        <w:spacing w:line="276" w:lineRule="auto"/>
        <w:ind w:firstLine="709"/>
        <w:jc w:val="both"/>
        <w:rPr>
          <w:rFonts w:ascii="Arial" w:eastAsia="Calibri" w:hAnsi="Arial" w:cs="Arial"/>
          <w:color w:val="000000"/>
          <w:sz w:val="22"/>
        </w:rPr>
      </w:pPr>
      <w:r>
        <w:rPr>
          <w:rFonts w:ascii="Arial" w:eastAsia="Calibri" w:hAnsi="Arial" w:cs="Arial"/>
          <w:color w:val="000000"/>
          <w:sz w:val="22"/>
        </w:rPr>
        <w:t>Esta Agencia</w:t>
      </w:r>
      <w:r w:rsidR="00CB61DC" w:rsidRPr="00CB61DC">
        <w:rPr>
          <w:rFonts w:ascii="Arial" w:eastAsia="Calibri" w:hAnsi="Arial" w:cs="Arial"/>
          <w:color w:val="000000"/>
          <w:sz w:val="22"/>
        </w:rPr>
        <w:t xml:space="preserve"> se ha pronunciado en diferentes conceptos sobre l</w:t>
      </w:r>
      <w:r w:rsidR="00CB61DC">
        <w:rPr>
          <w:rFonts w:ascii="Arial" w:eastAsia="Calibri" w:hAnsi="Arial" w:cs="Arial"/>
          <w:color w:val="000000"/>
          <w:sz w:val="22"/>
        </w:rPr>
        <w:t>a forma c</w:t>
      </w:r>
      <w:r>
        <w:rPr>
          <w:rFonts w:ascii="Arial" w:eastAsia="Calibri" w:hAnsi="Arial" w:cs="Arial"/>
          <w:color w:val="000000"/>
          <w:sz w:val="22"/>
        </w:rPr>
        <w:t>o</w:t>
      </w:r>
      <w:r w:rsidR="00CB61DC">
        <w:rPr>
          <w:rFonts w:ascii="Arial" w:eastAsia="Calibri" w:hAnsi="Arial" w:cs="Arial"/>
          <w:color w:val="000000"/>
          <w:sz w:val="22"/>
        </w:rPr>
        <w:t>mo las entidades pueden solicitar experiencia adicional en los procesos de contratación de licitación de obra pública de infraestructura de transporte – versión 2</w:t>
      </w:r>
      <w:r w:rsidR="00CB61DC">
        <w:rPr>
          <w:rStyle w:val="Refdenotaalpie"/>
          <w:rFonts w:ascii="Arial" w:eastAsia="Calibri" w:hAnsi="Arial" w:cs="Arial"/>
          <w:color w:val="000000"/>
          <w:sz w:val="22"/>
        </w:rPr>
        <w:footnoteReference w:id="1"/>
      </w:r>
      <w:r w:rsidR="00CB61DC" w:rsidRPr="00CB61DC">
        <w:rPr>
          <w:rFonts w:ascii="Arial" w:eastAsia="Calibri" w:hAnsi="Arial" w:cs="Arial"/>
          <w:color w:val="000000"/>
          <w:sz w:val="22"/>
        </w:rPr>
        <w:t xml:space="preserve">. En el concepto del </w:t>
      </w:r>
      <w:r w:rsidR="007F134A">
        <w:rPr>
          <w:rFonts w:ascii="Arial" w:eastAsia="Calibri" w:hAnsi="Arial" w:cs="Arial"/>
          <w:color w:val="000000"/>
          <w:sz w:val="22"/>
        </w:rPr>
        <w:t>14</w:t>
      </w:r>
      <w:r w:rsidR="00CB61DC" w:rsidRPr="00CB61DC">
        <w:rPr>
          <w:rFonts w:ascii="Arial" w:eastAsia="Calibri" w:hAnsi="Arial" w:cs="Arial"/>
          <w:color w:val="000000"/>
          <w:sz w:val="22"/>
        </w:rPr>
        <w:t xml:space="preserve"> de </w:t>
      </w:r>
      <w:r w:rsidR="007F134A">
        <w:rPr>
          <w:rFonts w:ascii="Arial" w:eastAsia="Calibri" w:hAnsi="Arial" w:cs="Arial"/>
          <w:color w:val="000000"/>
          <w:sz w:val="22"/>
        </w:rPr>
        <w:t xml:space="preserve">noviembre </w:t>
      </w:r>
      <w:r w:rsidR="00CB61DC" w:rsidRPr="00CB61DC">
        <w:rPr>
          <w:rFonts w:ascii="Arial" w:eastAsia="Calibri" w:hAnsi="Arial" w:cs="Arial"/>
          <w:color w:val="000000"/>
          <w:sz w:val="22"/>
        </w:rPr>
        <w:t xml:space="preserve">de 2019, proferido dentro del radicado </w:t>
      </w:r>
      <w:r w:rsidR="007F134A" w:rsidRPr="007F134A">
        <w:rPr>
          <w:rFonts w:ascii="Arial" w:eastAsia="Calibri" w:hAnsi="Arial" w:cs="Arial"/>
          <w:color w:val="000000"/>
          <w:sz w:val="22"/>
        </w:rPr>
        <w:t>2201913000008446</w:t>
      </w:r>
      <w:r w:rsidR="00CB61DC" w:rsidRPr="00CB61DC">
        <w:rPr>
          <w:rFonts w:ascii="Arial" w:eastAsia="Calibri" w:hAnsi="Arial" w:cs="Arial"/>
          <w:color w:val="000000"/>
          <w:sz w:val="22"/>
        </w:rPr>
        <w:t>, se explicaron los supuestos que deben tener en cuenta las entidades para</w:t>
      </w:r>
      <w:r w:rsidR="007F134A">
        <w:rPr>
          <w:rFonts w:ascii="Arial" w:eastAsia="Calibri" w:hAnsi="Arial" w:cs="Arial"/>
          <w:color w:val="000000"/>
          <w:sz w:val="22"/>
        </w:rPr>
        <w:t xml:space="preserve"> exigir esta experiencia</w:t>
      </w:r>
      <w:r w:rsidR="00F12435">
        <w:rPr>
          <w:rFonts w:ascii="Arial" w:eastAsia="Calibri" w:hAnsi="Arial" w:cs="Arial"/>
          <w:color w:val="000000"/>
          <w:sz w:val="22"/>
        </w:rPr>
        <w:t xml:space="preserve">. </w:t>
      </w:r>
      <w:r w:rsidR="00CB61DC" w:rsidRPr="00CB61DC">
        <w:rPr>
          <w:rFonts w:ascii="Arial" w:eastAsia="Calibri" w:hAnsi="Arial" w:cs="Arial"/>
          <w:color w:val="000000"/>
          <w:sz w:val="22"/>
        </w:rPr>
        <w:t xml:space="preserve">Las tesis propuestas en dichos conceptos se exponen a </w:t>
      </w:r>
      <w:r w:rsidR="007F134A">
        <w:rPr>
          <w:rFonts w:ascii="Arial" w:eastAsia="Calibri" w:hAnsi="Arial" w:cs="Arial"/>
          <w:color w:val="000000"/>
          <w:sz w:val="22"/>
        </w:rPr>
        <w:t>continuación</w:t>
      </w:r>
      <w:r>
        <w:rPr>
          <w:rFonts w:ascii="Arial" w:eastAsia="Calibri" w:hAnsi="Arial" w:cs="Arial"/>
          <w:color w:val="000000"/>
          <w:sz w:val="22"/>
        </w:rPr>
        <w:t>.</w:t>
      </w:r>
      <w:r w:rsidR="007F134A">
        <w:rPr>
          <w:rFonts w:ascii="Arial" w:eastAsia="Calibri" w:hAnsi="Arial" w:cs="Arial"/>
          <w:color w:val="000000"/>
          <w:sz w:val="22"/>
        </w:rPr>
        <w:t xml:space="preserve"> </w:t>
      </w:r>
    </w:p>
    <w:p w14:paraId="20FD6F33" w14:textId="77777777" w:rsidR="00C60791" w:rsidRDefault="00C60791" w:rsidP="00C60791">
      <w:pPr>
        <w:spacing w:line="276" w:lineRule="auto"/>
        <w:jc w:val="both"/>
        <w:rPr>
          <w:rFonts w:ascii="Arial" w:eastAsia="Calibri" w:hAnsi="Arial" w:cs="Arial"/>
          <w:color w:val="000000"/>
          <w:sz w:val="22"/>
        </w:rPr>
      </w:pPr>
    </w:p>
    <w:p w14:paraId="359FAF0D" w14:textId="0C8DE642" w:rsidR="00C60791" w:rsidRDefault="00C60791" w:rsidP="00C60791">
      <w:pPr>
        <w:spacing w:line="276" w:lineRule="auto"/>
        <w:jc w:val="both"/>
        <w:rPr>
          <w:rFonts w:ascii="Arial" w:eastAsia="Calibri" w:hAnsi="Arial" w:cs="Arial"/>
          <w:b/>
          <w:bCs/>
          <w:color w:val="000000"/>
          <w:sz w:val="22"/>
        </w:rPr>
      </w:pPr>
      <w:r w:rsidRPr="00F12FFD">
        <w:rPr>
          <w:rFonts w:ascii="Arial" w:eastAsia="Calibri" w:hAnsi="Arial" w:cs="Arial"/>
          <w:b/>
          <w:bCs/>
          <w:color w:val="000000"/>
          <w:sz w:val="22"/>
        </w:rPr>
        <w:t xml:space="preserve">2.1 </w:t>
      </w:r>
      <w:r w:rsidR="00CB61DC">
        <w:rPr>
          <w:rFonts w:ascii="Arial" w:eastAsia="Calibri" w:hAnsi="Arial" w:cs="Arial"/>
          <w:b/>
          <w:bCs/>
          <w:color w:val="000000"/>
          <w:sz w:val="22"/>
        </w:rPr>
        <w:t xml:space="preserve">Experiencia adicional </w:t>
      </w:r>
      <w:r w:rsidR="007F134A">
        <w:rPr>
          <w:rFonts w:ascii="Arial" w:eastAsia="Calibri" w:hAnsi="Arial" w:cs="Arial"/>
          <w:b/>
          <w:bCs/>
          <w:color w:val="000000"/>
          <w:sz w:val="22"/>
        </w:rPr>
        <w:t>respecto de los bienes y servicios adicionales a la obra pública</w:t>
      </w:r>
    </w:p>
    <w:p w14:paraId="73952D48" w14:textId="77777777" w:rsidR="0048715E" w:rsidRDefault="0048715E" w:rsidP="00C60791">
      <w:pPr>
        <w:spacing w:line="276" w:lineRule="auto"/>
        <w:jc w:val="both"/>
        <w:rPr>
          <w:rFonts w:ascii="Arial" w:eastAsia="Calibri" w:hAnsi="Arial" w:cs="Arial"/>
          <w:b/>
          <w:bCs/>
          <w:color w:val="000000"/>
          <w:sz w:val="22"/>
        </w:rPr>
      </w:pPr>
    </w:p>
    <w:p w14:paraId="5C88619E" w14:textId="3BA7FD33" w:rsidR="007F134A" w:rsidRDefault="007F134A" w:rsidP="00036055">
      <w:pPr>
        <w:pStyle w:val="Textoindependiente"/>
        <w:spacing w:after="120" w:line="276" w:lineRule="auto"/>
        <w:ind w:right="102"/>
        <w:jc w:val="both"/>
      </w:pPr>
      <w:r>
        <w:t>El Decreto 342 de 2019 adicion</w:t>
      </w:r>
      <w:r w:rsidR="003115FB">
        <w:t>ó</w:t>
      </w:r>
      <w:r>
        <w:t xml:space="preserve"> la Sección 6 y la Subsección 1 al Capítulo 2 del Título 1 </w:t>
      </w:r>
      <w:r>
        <w:lastRenderedPageBreak/>
        <w:t xml:space="preserve">de la Parte 2 del Libro 2 del Decreto 1082 de 2015, en la cual se adoptaron los </w:t>
      </w:r>
      <w:r w:rsidR="006B254B">
        <w:t>d</w:t>
      </w:r>
      <w:r>
        <w:t xml:space="preserve">ocumentos </w:t>
      </w:r>
      <w:r w:rsidR="006B254B">
        <w:t>t</w:t>
      </w:r>
      <w:r>
        <w:t>ipo para los pliegos de condiciones de los procesos de selección de licitación de obra pública de infraestructura de transporte. Estos documentos establecen las condiciones habilitantes, los factores técnicos y económicos de escogencia y los sistemas de ponderación de carácter obligatorio para las entidades estatales sometidas al Estatuto General de la Contratación Pública que adelanten procesos de selección a través de esta</w:t>
      </w:r>
      <w:r>
        <w:rPr>
          <w:spacing w:val="-3"/>
        </w:rPr>
        <w:t xml:space="preserve"> </w:t>
      </w:r>
      <w:r>
        <w:t>modalidad.</w:t>
      </w:r>
    </w:p>
    <w:p w14:paraId="6CA60561" w14:textId="6118E861" w:rsidR="007F134A" w:rsidRDefault="007F134A" w:rsidP="007F134A">
      <w:pPr>
        <w:pStyle w:val="Textoindependiente"/>
        <w:spacing w:before="120" w:after="120" w:line="276" w:lineRule="auto"/>
        <w:ind w:right="102" w:firstLine="708"/>
        <w:jc w:val="both"/>
      </w:pPr>
      <w:r>
        <w:t xml:space="preserve">Dentro de los factores habilitantes definidos por los </w:t>
      </w:r>
      <w:r w:rsidR="0048715E">
        <w:t>«</w:t>
      </w:r>
      <w:r w:rsidR="00C23649">
        <w:t>d</w:t>
      </w:r>
      <w:r>
        <w:t xml:space="preserve">ocumentos </w:t>
      </w:r>
      <w:r w:rsidR="00790FA3">
        <w:t>t</w:t>
      </w:r>
      <w:r>
        <w:t>ipo</w:t>
      </w:r>
      <w:r w:rsidR="0048715E">
        <w:t>»</w:t>
      </w:r>
      <w:r>
        <w:t xml:space="preserve"> se encuentra la experiencia, la cual se debe establecer teniendo en cuenta en la etapa de planeación: i) el alcance del objeto a contratar, ii) el tipo de infraestructura, iii) las actividades definidas en la Matriz 1</w:t>
      </w:r>
      <w:r w:rsidR="0048715E">
        <w:t xml:space="preserve"> –</w:t>
      </w:r>
      <w:r>
        <w:t xml:space="preserve"> Experiencia y iv) la cuantía del proceso de contratación. De esta manera, tanto la experiencia general como la especifica se establece con la </w:t>
      </w:r>
      <w:r w:rsidR="0048715E">
        <w:t>«</w:t>
      </w:r>
      <w:r>
        <w:t>Matriz 1 – Experiencia</w:t>
      </w:r>
      <w:r w:rsidR="0048715E">
        <w:t>»</w:t>
      </w:r>
      <w:r>
        <w:t>.</w:t>
      </w:r>
    </w:p>
    <w:p w14:paraId="1DED6A07" w14:textId="400BC797" w:rsidR="003115FB" w:rsidRDefault="007F134A" w:rsidP="003115FB">
      <w:pPr>
        <w:pStyle w:val="Textoindependiente"/>
        <w:spacing w:before="120" w:after="120" w:line="276" w:lineRule="auto"/>
        <w:ind w:right="102" w:firstLine="708"/>
        <w:jc w:val="both"/>
      </w:pPr>
      <w:r>
        <w:t>Una excepción a la anterior regla fue desarrollada por el reglamento, al contemplar que la entidad pueda solicitar experiencia adicional para evaluar la idoneidad del contratista en procesos de contratación de licitación de obra pública de infraestructura de transporte que incluyen bienes o servicios adicionales, los cuales deben ser necesidades que no están incluidos en el alcance de la obra y que su ejecución se contempla en el mismo proceso de contratación, es decir, con esta disposición las entidades pueden requerir experiencia cuando el bien o servicio adicional es de tal magnitud que no es posible valorar la idoneidad</w:t>
      </w:r>
      <w:r>
        <w:rPr>
          <w:spacing w:val="-4"/>
        </w:rPr>
        <w:t xml:space="preserve"> </w:t>
      </w:r>
      <w:r>
        <w:t>del</w:t>
      </w:r>
      <w:r>
        <w:rPr>
          <w:spacing w:val="-4"/>
        </w:rPr>
        <w:t xml:space="preserve"> </w:t>
      </w:r>
      <w:r>
        <w:t>contratista</w:t>
      </w:r>
      <w:r>
        <w:rPr>
          <w:spacing w:val="-3"/>
        </w:rPr>
        <w:t xml:space="preserve"> </w:t>
      </w:r>
      <w:r>
        <w:t>a</w:t>
      </w:r>
      <w:r>
        <w:rPr>
          <w:spacing w:val="-4"/>
        </w:rPr>
        <w:t xml:space="preserve"> </w:t>
      </w:r>
      <w:r>
        <w:t>partir</w:t>
      </w:r>
      <w:r>
        <w:rPr>
          <w:spacing w:val="-4"/>
        </w:rPr>
        <w:t xml:space="preserve"> </w:t>
      </w:r>
      <w:r>
        <w:t>de</w:t>
      </w:r>
      <w:r>
        <w:rPr>
          <w:spacing w:val="-2"/>
        </w:rPr>
        <w:t xml:space="preserve"> </w:t>
      </w:r>
      <w:r>
        <w:t>la</w:t>
      </w:r>
      <w:r>
        <w:rPr>
          <w:spacing w:val="-3"/>
        </w:rPr>
        <w:t xml:space="preserve"> </w:t>
      </w:r>
      <w:r>
        <w:t>experiencia</w:t>
      </w:r>
      <w:r>
        <w:rPr>
          <w:spacing w:val="-4"/>
        </w:rPr>
        <w:t xml:space="preserve"> </w:t>
      </w:r>
      <w:r>
        <w:t>establecida</w:t>
      </w:r>
      <w:r>
        <w:rPr>
          <w:spacing w:val="-3"/>
        </w:rPr>
        <w:t xml:space="preserve"> </w:t>
      </w:r>
      <w:r>
        <w:t>en</w:t>
      </w:r>
      <w:r>
        <w:rPr>
          <w:spacing w:val="-4"/>
        </w:rPr>
        <w:t xml:space="preserve"> </w:t>
      </w:r>
      <w:r>
        <w:t>la</w:t>
      </w:r>
      <w:r>
        <w:rPr>
          <w:spacing w:val="-3"/>
        </w:rPr>
        <w:t xml:space="preserve"> </w:t>
      </w:r>
      <w:r w:rsidR="0048715E">
        <w:t>«</w:t>
      </w:r>
      <w:r>
        <w:t>Matriz</w:t>
      </w:r>
      <w:r>
        <w:rPr>
          <w:spacing w:val="-5"/>
        </w:rPr>
        <w:t xml:space="preserve"> </w:t>
      </w:r>
      <w:r>
        <w:t>1-</w:t>
      </w:r>
      <w:r>
        <w:rPr>
          <w:spacing w:val="-4"/>
        </w:rPr>
        <w:t xml:space="preserve"> </w:t>
      </w:r>
      <w:r>
        <w:t>Experiencia</w:t>
      </w:r>
      <w:r w:rsidR="0048715E">
        <w:t>»</w:t>
      </w:r>
      <w:r w:rsidR="003115FB">
        <w:t>.</w:t>
      </w:r>
    </w:p>
    <w:p w14:paraId="57FC3D5F" w14:textId="1EF4B177" w:rsidR="007F134A" w:rsidRDefault="007F134A" w:rsidP="003115FB">
      <w:pPr>
        <w:pStyle w:val="Textoindependiente"/>
        <w:spacing w:before="120" w:after="120" w:line="276" w:lineRule="auto"/>
        <w:ind w:right="102" w:firstLine="708"/>
        <w:jc w:val="both"/>
      </w:pPr>
      <w:r>
        <w:t>La posibilidad de solicitar experiencia adicional s</w:t>
      </w:r>
      <w:r w:rsidR="00D06F2B">
        <w:t>o</w:t>
      </w:r>
      <w:r>
        <w:t>lo es viable cuando el objeto contractual incluye bienes o servicios adicionales a la obra pública de infraestructura de transporte, es decir: i) la actividad que se requiere si bien es una actividad de obra no es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de consultoría para realizar los estudios y diseños de la obra de infraestructura de</w:t>
      </w:r>
      <w:r>
        <w:rPr>
          <w:spacing w:val="-2"/>
        </w:rPr>
        <w:t xml:space="preserve"> </w:t>
      </w:r>
      <w:r>
        <w:t>transporte.</w:t>
      </w:r>
    </w:p>
    <w:p w14:paraId="49615BD8" w14:textId="2C48F241" w:rsidR="007F134A" w:rsidRDefault="007F134A" w:rsidP="003115FB">
      <w:pPr>
        <w:pStyle w:val="Textoindependiente"/>
        <w:spacing w:before="1" w:line="276" w:lineRule="auto"/>
        <w:ind w:right="110" w:firstLine="708"/>
        <w:jc w:val="both"/>
      </w:pPr>
      <w:r>
        <w:t>En estos eventos</w:t>
      </w:r>
      <w:r w:rsidR="00586B85">
        <w:t>,</w:t>
      </w:r>
      <w:r>
        <w:t xml:space="preserve"> en los cuales la entidad haya identificado estos bienes o servicios adicionales y requiera experiencia adicional debe </w:t>
      </w:r>
      <w:r w:rsidR="00586B85">
        <w:t>aplicar</w:t>
      </w:r>
      <w:r>
        <w:t xml:space="preserve"> los criterios definidos en el artículo 2.2.1.2.6.1.5. del Decreto 1082 de 2015, adicionado por el artículo 1 del Decreto 342 de 2019 que dispone:</w:t>
      </w:r>
    </w:p>
    <w:p w14:paraId="370D3B66" w14:textId="77777777" w:rsidR="007F134A" w:rsidRPr="003115FB" w:rsidRDefault="007F134A" w:rsidP="007F134A">
      <w:pPr>
        <w:pStyle w:val="Textoindependiente"/>
        <w:spacing w:before="7"/>
        <w:rPr>
          <w:sz w:val="21"/>
          <w:szCs w:val="21"/>
        </w:rPr>
      </w:pPr>
    </w:p>
    <w:p w14:paraId="11AC7EF1" w14:textId="77777777" w:rsidR="007F134A" w:rsidRPr="003115FB" w:rsidRDefault="007F134A" w:rsidP="007F134A">
      <w:pPr>
        <w:spacing w:line="235" w:lineRule="auto"/>
        <w:ind w:left="808" w:right="776"/>
        <w:jc w:val="both"/>
        <w:rPr>
          <w:rFonts w:ascii="Arial" w:hAnsi="Arial" w:cs="Arial"/>
          <w:sz w:val="21"/>
          <w:szCs w:val="21"/>
        </w:rPr>
      </w:pPr>
      <w:r w:rsidRPr="003115FB">
        <w:rPr>
          <w:rFonts w:ascii="Arial" w:hAnsi="Arial" w:cs="Arial"/>
          <w:sz w:val="21"/>
          <w:szCs w:val="21"/>
        </w:rPr>
        <w:t xml:space="preserve">Artículo 2.2.1.2.6.1.5. Bienes o servicios adicionales a la obra pública. Cuando el objeto contractual incluya bienes o servicios ajenos a la obra pública de infraestructura de transporte, la entidad estatal deberá aplicar los Documentos Tipo. Si de manera excepcional requiere incluir experiencia adicional para </w:t>
      </w:r>
      <w:r w:rsidRPr="003115FB">
        <w:rPr>
          <w:rFonts w:ascii="Arial" w:hAnsi="Arial" w:cs="Arial"/>
          <w:sz w:val="21"/>
          <w:szCs w:val="21"/>
        </w:rPr>
        <w:lastRenderedPageBreak/>
        <w:t>evaluar la idoneidad respecto de los bienes o servicios ajenos a la obra pública, deberá seguir los siguientes parámetros:</w:t>
      </w:r>
    </w:p>
    <w:p w14:paraId="218E9096" w14:textId="77777777" w:rsidR="007F134A" w:rsidRPr="003115FB" w:rsidRDefault="007F134A" w:rsidP="007F134A">
      <w:pPr>
        <w:pStyle w:val="Textoindependiente"/>
        <w:ind w:right="776"/>
        <w:jc w:val="both"/>
        <w:rPr>
          <w:sz w:val="21"/>
          <w:szCs w:val="21"/>
        </w:rPr>
      </w:pPr>
    </w:p>
    <w:p w14:paraId="754D8455" w14:textId="77777777" w:rsidR="007F134A" w:rsidRPr="003115FB" w:rsidRDefault="007F134A" w:rsidP="007F134A">
      <w:pPr>
        <w:pStyle w:val="Prrafodelista"/>
        <w:widowControl w:val="0"/>
        <w:numPr>
          <w:ilvl w:val="1"/>
          <w:numId w:val="10"/>
        </w:numPr>
        <w:tabs>
          <w:tab w:val="left" w:pos="1041"/>
        </w:tabs>
        <w:autoSpaceDE w:val="0"/>
        <w:autoSpaceDN w:val="0"/>
        <w:ind w:right="776" w:firstLine="0"/>
        <w:contextualSpacing w:val="0"/>
        <w:jc w:val="both"/>
        <w:rPr>
          <w:rFonts w:ascii="Arial" w:hAnsi="Arial" w:cs="Arial"/>
          <w:sz w:val="21"/>
          <w:szCs w:val="21"/>
        </w:rPr>
      </w:pPr>
      <w:r w:rsidRPr="003115FB">
        <w:rPr>
          <w:rFonts w:ascii="Arial" w:hAnsi="Arial" w:cs="Arial"/>
          <w:sz w:val="21"/>
          <w:szCs w:val="21"/>
        </w:rPr>
        <w:t>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w:t>
      </w:r>
      <w:r w:rsidRPr="003115FB">
        <w:rPr>
          <w:rFonts w:ascii="Arial" w:hAnsi="Arial" w:cs="Arial"/>
          <w:spacing w:val="-1"/>
          <w:sz w:val="21"/>
          <w:szCs w:val="21"/>
        </w:rPr>
        <w:t xml:space="preserve"> </w:t>
      </w:r>
      <w:r w:rsidRPr="003115FB">
        <w:rPr>
          <w:rFonts w:ascii="Arial" w:hAnsi="Arial" w:cs="Arial"/>
          <w:sz w:val="21"/>
          <w:szCs w:val="21"/>
        </w:rPr>
        <w:t>contratación.</w:t>
      </w:r>
    </w:p>
    <w:p w14:paraId="39DAB9C6" w14:textId="77777777" w:rsidR="007F134A" w:rsidRPr="003115FB" w:rsidRDefault="007F134A" w:rsidP="007F134A">
      <w:pPr>
        <w:pStyle w:val="Textoindependiente"/>
        <w:ind w:right="776"/>
        <w:rPr>
          <w:sz w:val="21"/>
          <w:szCs w:val="21"/>
        </w:rPr>
      </w:pPr>
    </w:p>
    <w:p w14:paraId="1715B560" w14:textId="77777777" w:rsidR="007F134A" w:rsidRPr="003115FB" w:rsidRDefault="007F134A" w:rsidP="007F134A">
      <w:pPr>
        <w:pStyle w:val="Prrafodelista"/>
        <w:widowControl w:val="0"/>
        <w:numPr>
          <w:ilvl w:val="1"/>
          <w:numId w:val="10"/>
        </w:numPr>
        <w:tabs>
          <w:tab w:val="left" w:pos="1029"/>
        </w:tabs>
        <w:autoSpaceDE w:val="0"/>
        <w:autoSpaceDN w:val="0"/>
        <w:ind w:left="1028" w:right="776" w:hanging="221"/>
        <w:contextualSpacing w:val="0"/>
        <w:jc w:val="both"/>
        <w:rPr>
          <w:rFonts w:ascii="Arial" w:hAnsi="Arial" w:cs="Arial"/>
          <w:sz w:val="21"/>
          <w:szCs w:val="21"/>
        </w:rPr>
      </w:pPr>
      <w:r w:rsidRPr="003115FB">
        <w:rPr>
          <w:rFonts w:ascii="Arial" w:hAnsi="Arial" w:cs="Arial"/>
          <w:sz w:val="21"/>
          <w:szCs w:val="21"/>
        </w:rPr>
        <w:t>Conservar los requisitos exigidos en los Documentos</w:t>
      </w:r>
      <w:r w:rsidRPr="003115FB">
        <w:rPr>
          <w:rFonts w:ascii="Arial" w:hAnsi="Arial" w:cs="Arial"/>
          <w:spacing w:val="-7"/>
          <w:sz w:val="21"/>
          <w:szCs w:val="21"/>
        </w:rPr>
        <w:t xml:space="preserve"> </w:t>
      </w:r>
      <w:r w:rsidRPr="003115FB">
        <w:rPr>
          <w:rFonts w:ascii="Arial" w:hAnsi="Arial" w:cs="Arial"/>
          <w:sz w:val="21"/>
          <w:szCs w:val="21"/>
        </w:rPr>
        <w:t>Tipo.</w:t>
      </w:r>
    </w:p>
    <w:p w14:paraId="36DBF28D" w14:textId="77777777" w:rsidR="007F134A" w:rsidRPr="003115FB" w:rsidRDefault="007F134A" w:rsidP="007F134A">
      <w:pPr>
        <w:pStyle w:val="Textoindependiente"/>
        <w:ind w:right="776"/>
        <w:rPr>
          <w:sz w:val="21"/>
          <w:szCs w:val="21"/>
        </w:rPr>
      </w:pPr>
    </w:p>
    <w:p w14:paraId="2EF4DA6C" w14:textId="77777777" w:rsidR="007F134A" w:rsidRPr="003115FB" w:rsidRDefault="007F134A" w:rsidP="007F134A">
      <w:pPr>
        <w:pStyle w:val="Prrafodelista"/>
        <w:widowControl w:val="0"/>
        <w:numPr>
          <w:ilvl w:val="1"/>
          <w:numId w:val="10"/>
        </w:numPr>
        <w:tabs>
          <w:tab w:val="left" w:pos="1058"/>
        </w:tabs>
        <w:autoSpaceDE w:val="0"/>
        <w:autoSpaceDN w:val="0"/>
        <w:ind w:right="776" w:firstLine="0"/>
        <w:contextualSpacing w:val="0"/>
        <w:jc w:val="both"/>
        <w:rPr>
          <w:rFonts w:ascii="Arial" w:hAnsi="Arial" w:cs="Arial"/>
          <w:sz w:val="21"/>
          <w:szCs w:val="21"/>
        </w:rPr>
      </w:pPr>
      <w:r w:rsidRPr="003115FB">
        <w:rPr>
          <w:rFonts w:ascii="Arial" w:hAnsi="Arial" w:cs="Arial"/>
          <w:sz w:val="21"/>
          <w:szCs w:val="21"/>
        </w:rPr>
        <w:t>Abstenerse de pedir experiencia exclusiva con entidades estatales, experiencia previa en un territorio específico, limitada en el tiempo o que incluya volúmenes o cantidades de obra</w:t>
      </w:r>
      <w:r w:rsidRPr="003115FB">
        <w:rPr>
          <w:rFonts w:ascii="Arial" w:hAnsi="Arial" w:cs="Arial"/>
          <w:spacing w:val="-2"/>
          <w:sz w:val="21"/>
          <w:szCs w:val="21"/>
        </w:rPr>
        <w:t xml:space="preserve"> </w:t>
      </w:r>
      <w:r w:rsidRPr="003115FB">
        <w:rPr>
          <w:rFonts w:ascii="Arial" w:hAnsi="Arial" w:cs="Arial"/>
          <w:sz w:val="21"/>
          <w:szCs w:val="21"/>
        </w:rPr>
        <w:t>específica.</w:t>
      </w:r>
    </w:p>
    <w:p w14:paraId="026C3ADA" w14:textId="77777777" w:rsidR="007F134A" w:rsidRPr="003115FB" w:rsidRDefault="007F134A" w:rsidP="007F134A">
      <w:pPr>
        <w:pStyle w:val="Textoindependiente"/>
        <w:ind w:right="776"/>
        <w:rPr>
          <w:sz w:val="21"/>
          <w:szCs w:val="21"/>
        </w:rPr>
      </w:pPr>
    </w:p>
    <w:p w14:paraId="0D1A79F7" w14:textId="77777777" w:rsidR="007F134A" w:rsidRPr="003115FB" w:rsidRDefault="007F134A" w:rsidP="007F134A">
      <w:pPr>
        <w:pStyle w:val="Prrafodelista"/>
        <w:widowControl w:val="0"/>
        <w:numPr>
          <w:ilvl w:val="1"/>
          <w:numId w:val="10"/>
        </w:numPr>
        <w:tabs>
          <w:tab w:val="left" w:pos="1111"/>
        </w:tabs>
        <w:autoSpaceDE w:val="0"/>
        <w:autoSpaceDN w:val="0"/>
        <w:ind w:right="776" w:firstLine="55"/>
        <w:contextualSpacing w:val="0"/>
        <w:jc w:val="both"/>
        <w:rPr>
          <w:rFonts w:ascii="Arial" w:hAnsi="Arial" w:cs="Arial"/>
          <w:sz w:val="21"/>
          <w:szCs w:val="21"/>
        </w:rPr>
      </w:pPr>
      <w:r w:rsidRPr="003115FB">
        <w:rPr>
          <w:rFonts w:ascii="Arial" w:hAnsi="Arial" w:cs="Arial"/>
          <w:sz w:val="21"/>
          <w:szCs w:val="21"/>
        </w:rPr>
        <w:t>Clasificar la experiencia requerida solo hasta el tercer nivel del Clasificador de Bienes y Servicios e incluir exclusivamente los códigos que estén relacionados directamente con el objeto a</w:t>
      </w:r>
      <w:r w:rsidRPr="003115FB">
        <w:rPr>
          <w:rFonts w:ascii="Arial" w:hAnsi="Arial" w:cs="Arial"/>
          <w:spacing w:val="-2"/>
          <w:sz w:val="21"/>
          <w:szCs w:val="21"/>
        </w:rPr>
        <w:t xml:space="preserve"> </w:t>
      </w:r>
      <w:r w:rsidRPr="003115FB">
        <w:rPr>
          <w:rFonts w:ascii="Arial" w:hAnsi="Arial" w:cs="Arial"/>
          <w:sz w:val="21"/>
          <w:szCs w:val="21"/>
        </w:rPr>
        <w:t>contratar.</w:t>
      </w:r>
    </w:p>
    <w:p w14:paraId="4BC5B81F" w14:textId="77777777" w:rsidR="007F134A" w:rsidRPr="003115FB" w:rsidRDefault="007F134A" w:rsidP="007F134A">
      <w:pPr>
        <w:pStyle w:val="Textoindependiente"/>
        <w:spacing w:before="4"/>
        <w:rPr>
          <w:sz w:val="21"/>
          <w:szCs w:val="21"/>
        </w:rPr>
      </w:pPr>
    </w:p>
    <w:p w14:paraId="5B88A21B" w14:textId="455BDC73" w:rsidR="00794D71" w:rsidRDefault="007F134A" w:rsidP="00794D71">
      <w:pPr>
        <w:pStyle w:val="Textoindependiente"/>
        <w:spacing w:before="120" w:after="120" w:line="276" w:lineRule="auto"/>
        <w:ind w:left="102" w:right="113"/>
        <w:jc w:val="both"/>
      </w:pPr>
      <w:r>
        <w:t xml:space="preserve">La entidad que opte por solicitar experiencia adicional en desarrollo de esta norma deberá evidenciar en los documentos del proceso que agotó estos parámetros. Para ello, deberá justificar en los estudios y documentes previos como parte del deber de análisis, que ha verificado que la experiencia adicional relacionada con los bienes o servicios no afecta </w:t>
      </w:r>
      <w:r w:rsidR="00586B85">
        <w:t xml:space="preserve">sustancialmente </w:t>
      </w:r>
      <w:r>
        <w:t>la pluralidad de oferentes, es decir, que al solicitar esta experiencia existen suficientes potenciales proponentes que puedan acreditar estas condiciones.</w:t>
      </w:r>
    </w:p>
    <w:p w14:paraId="306B736A" w14:textId="77777777" w:rsidR="00794D71" w:rsidRDefault="007F134A" w:rsidP="00794D71">
      <w:pPr>
        <w:pStyle w:val="Textoindependiente"/>
        <w:spacing w:before="120" w:after="120" w:line="276" w:lineRule="auto"/>
        <w:ind w:left="102" w:right="113" w:firstLine="608"/>
        <w:jc w:val="both"/>
      </w:pPr>
      <w:r>
        <w:t xml:space="preserve">En segundo lugar, la solicitud de esta experiencia no permite que la entidad modifique los requisitos habilitantes y de ponderación de la propuesta, por lo cual se deben mantener los establecidos en los </w:t>
      </w:r>
      <w:r w:rsidR="00794D71">
        <w:t>d</w:t>
      </w:r>
      <w:r>
        <w:t xml:space="preserve">ocumentos </w:t>
      </w:r>
      <w:r w:rsidR="00794D71">
        <w:t>t</w:t>
      </w:r>
      <w:r>
        <w:t>ipo</w:t>
      </w:r>
      <w:r w:rsidR="00794D71">
        <w:t xml:space="preserve">. </w:t>
      </w:r>
    </w:p>
    <w:p w14:paraId="2EC006DE" w14:textId="7C472220" w:rsidR="00794D71" w:rsidRDefault="007F134A" w:rsidP="00794D71">
      <w:pPr>
        <w:pStyle w:val="Textoindependiente"/>
        <w:spacing w:before="120" w:after="120" w:line="276" w:lineRule="auto"/>
        <w:ind w:left="102" w:right="113" w:firstLine="608"/>
        <w:jc w:val="both"/>
      </w:pPr>
      <w:r>
        <w:t xml:space="preserve">En tercer lugar, la experiencia adicional solicitada debe estar relacionada con los bienes y servicios sobre los cuales la entidad requiere que se demuestre idoneidad por parte de los proponentes y no puede estar limitada o referida a que esta experiencia se haya adquirido en un territorio o con alguna entidad determinada, ni establecer limitantes temporales, ni solicitar la acreditación de volúmenes o cantidades. </w:t>
      </w:r>
      <w:r w:rsidR="00586B85">
        <w:t xml:space="preserve">Debe tenerse </w:t>
      </w:r>
      <w:r>
        <w:t xml:space="preserve">en cuenta que este parámetro </w:t>
      </w:r>
      <w:r w:rsidR="00586B85">
        <w:t xml:space="preserve">se </w:t>
      </w:r>
      <w:r>
        <w:t>encamin</w:t>
      </w:r>
      <w:r w:rsidR="00586B85">
        <w:t>a</w:t>
      </w:r>
      <w:r>
        <w:t xml:space="preserve"> a determinar si la experiencia solicitada es acorde, adecuada y proporcional a la necesidad identificada por la entidad, por lo cual, no puede desbordar los limites racionales ni solicitar experiencias de imposible</w:t>
      </w:r>
      <w:r>
        <w:rPr>
          <w:spacing w:val="-15"/>
        </w:rPr>
        <w:t xml:space="preserve"> </w:t>
      </w:r>
      <w:r>
        <w:t>cumplimiento.</w:t>
      </w:r>
    </w:p>
    <w:p w14:paraId="2A5FD1D8" w14:textId="0BC45BAA" w:rsidR="00794D71" w:rsidRDefault="007F134A" w:rsidP="00794D71">
      <w:pPr>
        <w:pStyle w:val="Textoindependiente"/>
        <w:spacing w:before="120" w:after="120" w:line="276" w:lineRule="auto"/>
        <w:ind w:left="102" w:right="113" w:firstLine="608"/>
        <w:jc w:val="both"/>
      </w:pPr>
      <w:r>
        <w:t xml:space="preserve">En cuarto y último lugar, la experiencia requerida debe estar clasificada hasta el tercer nivel del Clasificador de Bienes y Servicios, por lo tanto, la entidad no puede requerir que se acredite el </w:t>
      </w:r>
      <w:r w:rsidR="00586B85">
        <w:t>«</w:t>
      </w:r>
      <w:r>
        <w:t>producto</w:t>
      </w:r>
      <w:r w:rsidR="00586B85">
        <w:t>»</w:t>
      </w:r>
      <w:r>
        <w:t xml:space="preserve"> de este</w:t>
      </w:r>
      <w:r>
        <w:rPr>
          <w:spacing w:val="-8"/>
        </w:rPr>
        <w:t xml:space="preserve"> </w:t>
      </w:r>
      <w:r>
        <w:t>clasificador.</w:t>
      </w:r>
    </w:p>
    <w:p w14:paraId="45142FA0" w14:textId="3E3F74CF" w:rsidR="00CD44F3" w:rsidRDefault="007F134A" w:rsidP="00CD44F3">
      <w:pPr>
        <w:pStyle w:val="Textoindependiente"/>
        <w:spacing w:before="120" w:after="120" w:line="276" w:lineRule="auto"/>
        <w:ind w:left="102" w:right="113" w:firstLine="608"/>
        <w:jc w:val="both"/>
      </w:pPr>
      <w:r>
        <w:t xml:space="preserve">Ahora bien, teniendo en cuenta que </w:t>
      </w:r>
      <w:r w:rsidR="00794D71">
        <w:t>usted pregunta: ¿</w:t>
      </w:r>
      <w:r w:rsidR="00C85995">
        <w:t xml:space="preserve">cuándo la entidad solicita </w:t>
      </w:r>
      <w:r w:rsidR="00C85995">
        <w:lastRenderedPageBreak/>
        <w:t>experiencia adicional, se debe entender que son los mismos contratos que se utilizan para acreditar la experiencia de la matriz 1, o</w:t>
      </w:r>
      <w:r w:rsidR="00794D71">
        <w:rPr>
          <w:rFonts w:eastAsia="Calibri"/>
          <w:color w:val="000000"/>
          <w:lang w:val="es-CO"/>
        </w:rPr>
        <w:t>, por el contrario, son diferentes</w:t>
      </w:r>
      <w:r w:rsidR="00CD44F3">
        <w:rPr>
          <w:rFonts w:eastAsia="Calibri"/>
          <w:color w:val="000000"/>
          <w:lang w:val="es-CO"/>
        </w:rPr>
        <w:t xml:space="preserve">? Frente a su inquietud, le informamos que la Agencia Nacional de Contratación Pública en el radicado de entrada No. 4201912000006576 del 16 de noviembre de 2019, estableció que </w:t>
      </w:r>
      <w:bookmarkStart w:id="1" w:name="_Hlk50642528"/>
      <w:r w:rsidR="00CD44F3">
        <w:rPr>
          <w:rFonts w:eastAsia="Calibri"/>
          <w:color w:val="000000"/>
          <w:lang w:val="es-CO"/>
        </w:rPr>
        <w:t>los contratos que se aportan para acreditar la experiencia de bienes y servicios adicionales pueden ser los mismos con los que se acredita la experiencia exigida en la Matriz 1 – Experiencia o pueden ser contratos diferentes, siempre y cuando la cantidad de los contratos que se aporten para acreditar la totalidad de la experiencia</w:t>
      </w:r>
      <w:r w:rsidR="00586B85" w:rsidRPr="00586B85">
        <w:t xml:space="preserve"> </w:t>
      </w:r>
      <w:r w:rsidR="00586B85" w:rsidRPr="00CD44F3">
        <w:t>no sea mayor a 6 contratos</w:t>
      </w:r>
      <w:r w:rsidR="00586B85">
        <w:t>, es decir, con este tope de contratos se deben</w:t>
      </w:r>
      <w:r w:rsidR="00CD44F3" w:rsidRPr="00CD44F3">
        <w:t xml:space="preserve"> acreditar las actividades relacionadas con la obra pública de transporte y los contratos para las actividades relacionadas con los bienes y servicios adicionales a la obra pública</w:t>
      </w:r>
      <w:bookmarkEnd w:id="1"/>
      <w:r w:rsidR="00CD44F3" w:rsidRPr="00CD44F3">
        <w:t>.</w:t>
      </w:r>
    </w:p>
    <w:p w14:paraId="7B9154AC" w14:textId="6E6BD51B" w:rsidR="00794D71" w:rsidRDefault="00CD44F3" w:rsidP="00794D71">
      <w:pPr>
        <w:pStyle w:val="Textoindependiente"/>
        <w:spacing w:before="120" w:after="120" w:line="276" w:lineRule="auto"/>
        <w:ind w:left="102" w:right="113" w:firstLine="608"/>
        <w:jc w:val="both"/>
        <w:rPr>
          <w:rFonts w:eastAsia="Calibri"/>
          <w:color w:val="000000"/>
          <w:lang w:val="es-CO"/>
        </w:rPr>
      </w:pPr>
      <w:r>
        <w:rPr>
          <w:rFonts w:eastAsia="Calibri"/>
          <w:color w:val="000000"/>
          <w:lang w:val="es-CO"/>
        </w:rPr>
        <w:t xml:space="preserve">De este modo, en oportunidades anteriores la Agencia Nacional de Contratación Pública </w:t>
      </w:r>
      <w:r w:rsidR="00CE0676">
        <w:rPr>
          <w:rFonts w:eastAsia="Calibri"/>
          <w:color w:val="000000"/>
          <w:lang w:val="es-CO"/>
        </w:rPr>
        <w:t xml:space="preserve">– </w:t>
      </w:r>
      <w:r>
        <w:rPr>
          <w:rFonts w:eastAsia="Calibri"/>
          <w:color w:val="000000"/>
          <w:lang w:val="es-CO"/>
        </w:rPr>
        <w:t xml:space="preserve">Colombia Compra Eficiente </w:t>
      </w:r>
      <w:r w:rsidR="00CE0676">
        <w:rPr>
          <w:rFonts w:eastAsia="Calibri"/>
          <w:color w:val="000000"/>
          <w:lang w:val="es-CO"/>
        </w:rPr>
        <w:t>sus inquietudes</w:t>
      </w:r>
      <w:r>
        <w:rPr>
          <w:rFonts w:eastAsia="Calibri"/>
          <w:color w:val="000000"/>
          <w:lang w:val="es-CO"/>
        </w:rPr>
        <w:t xml:space="preserve"> inquietud y definió que </w:t>
      </w:r>
      <w:bookmarkStart w:id="2" w:name="_Hlk50642436"/>
      <w:r>
        <w:rPr>
          <w:rFonts w:eastAsia="Calibri"/>
          <w:color w:val="000000"/>
          <w:lang w:val="es-CO"/>
        </w:rPr>
        <w:t>en los eventos que el objeto contractual incluya bienes o servicios adicionales a la obra pública de infraestructura de transporte y, en consecuencia, se requiera experiencia adicional</w:t>
      </w:r>
      <w:r w:rsidR="00CE0676">
        <w:rPr>
          <w:rFonts w:eastAsia="Calibri"/>
          <w:color w:val="000000"/>
          <w:lang w:val="es-CO"/>
        </w:rPr>
        <w:t>,</w:t>
      </w:r>
      <w:r>
        <w:rPr>
          <w:rFonts w:eastAsia="Calibri"/>
          <w:color w:val="000000"/>
          <w:lang w:val="es-CO"/>
        </w:rPr>
        <w:t xml:space="preserve"> los contratos aportados </w:t>
      </w:r>
      <w:r w:rsidR="00F12435">
        <w:rPr>
          <w:rFonts w:eastAsia="Calibri"/>
          <w:color w:val="000000"/>
          <w:lang w:val="es-CO"/>
        </w:rPr>
        <w:t>podrán tener</w:t>
      </w:r>
      <w:r>
        <w:rPr>
          <w:rFonts w:eastAsia="Calibri"/>
          <w:color w:val="000000"/>
          <w:lang w:val="es-CO"/>
        </w:rPr>
        <w:t xml:space="preserve"> relación con la Matriz 1 – Experiencia o ser contratos diferentes. Ahora bien, los contratos aportados no superarán el máximo de seis </w:t>
      </w:r>
      <w:r w:rsidR="002E23AD">
        <w:rPr>
          <w:rFonts w:eastAsia="Calibri"/>
          <w:color w:val="000000"/>
          <w:lang w:val="es-CO"/>
        </w:rPr>
        <w:t xml:space="preserve">(6) </w:t>
      </w:r>
      <w:r>
        <w:rPr>
          <w:rFonts w:eastAsia="Calibri"/>
          <w:color w:val="000000"/>
          <w:lang w:val="es-CO"/>
        </w:rPr>
        <w:t>contratos</w:t>
      </w:r>
      <w:r w:rsidR="00CE0676">
        <w:rPr>
          <w:rFonts w:eastAsia="Calibri"/>
          <w:color w:val="000000"/>
          <w:lang w:val="es-CO"/>
        </w:rPr>
        <w:t>,</w:t>
      </w:r>
      <w:r>
        <w:rPr>
          <w:rFonts w:eastAsia="Calibri"/>
          <w:color w:val="000000"/>
          <w:lang w:val="es-CO"/>
        </w:rPr>
        <w:t xml:space="preserve"> de acuerdo con lo previsto en el documento base de los documentos tipo de licitación de obra pública de infraestructura de transporte – versión 2. </w:t>
      </w:r>
    </w:p>
    <w:bookmarkEnd w:id="2"/>
    <w:p w14:paraId="37C4C007" w14:textId="4839FAC6" w:rsidR="002E23AD" w:rsidRDefault="002E23AD" w:rsidP="00794D71">
      <w:pPr>
        <w:pStyle w:val="Textoindependiente"/>
        <w:spacing w:before="120" w:after="120" w:line="276" w:lineRule="auto"/>
        <w:ind w:left="102" w:right="113" w:firstLine="608"/>
        <w:jc w:val="both"/>
        <w:rPr>
          <w:rFonts w:eastAsia="Calibri"/>
          <w:color w:val="000000"/>
          <w:lang w:val="es-CO"/>
        </w:rPr>
      </w:pPr>
      <w:r>
        <w:rPr>
          <w:rFonts w:eastAsia="Calibri"/>
          <w:color w:val="000000"/>
          <w:lang w:val="es-CO"/>
        </w:rPr>
        <w:t>Por su parte, frente a su segunda inquietud, esto es, si en los casos que la entidad solicit</w:t>
      </w:r>
      <w:r w:rsidR="00D512EA">
        <w:rPr>
          <w:rFonts w:eastAsia="Calibri"/>
          <w:color w:val="000000"/>
          <w:lang w:val="es-CO"/>
        </w:rPr>
        <w:t>e</w:t>
      </w:r>
      <w:r>
        <w:rPr>
          <w:rFonts w:eastAsia="Calibri"/>
          <w:color w:val="000000"/>
          <w:lang w:val="es-CO"/>
        </w:rPr>
        <w:t xml:space="preserve"> experiencia adicional,</w:t>
      </w:r>
      <w:r w:rsidR="00D512EA">
        <w:rPr>
          <w:rFonts w:eastAsia="Calibri"/>
          <w:color w:val="000000"/>
          <w:lang w:val="es-CO"/>
        </w:rPr>
        <w:t xml:space="preserve"> en los términos del artículo </w:t>
      </w:r>
      <w:r w:rsidR="00D512EA" w:rsidRPr="00897E07">
        <w:rPr>
          <w:rFonts w:eastAsia="Calibri"/>
          <w:color w:val="000000"/>
          <w:lang w:val="es-CO"/>
        </w:rPr>
        <w:t>2.2.1.2.6.1.5 del Decreto 1082 de 2015</w:t>
      </w:r>
      <w:r w:rsidR="00D512EA">
        <w:rPr>
          <w:rFonts w:eastAsia="Calibri"/>
          <w:color w:val="000000"/>
          <w:lang w:val="es-CO"/>
        </w:rPr>
        <w:t>,</w:t>
      </w:r>
      <w:r>
        <w:rPr>
          <w:rFonts w:eastAsia="Calibri"/>
          <w:color w:val="000000"/>
          <w:lang w:val="es-CO"/>
        </w:rPr>
        <w:t xml:space="preserve"> el proponente debe acreditar </w:t>
      </w:r>
      <w:r w:rsidR="002C7D60">
        <w:rPr>
          <w:rFonts w:eastAsia="Calibri"/>
          <w:color w:val="000000"/>
          <w:lang w:val="es-CO"/>
        </w:rPr>
        <w:t xml:space="preserve">el porcentaje del presupuesto oficial </w:t>
      </w:r>
      <w:r>
        <w:rPr>
          <w:rFonts w:eastAsia="Calibri"/>
          <w:color w:val="000000"/>
          <w:lang w:val="es-CO"/>
        </w:rPr>
        <w:t>de acuerdo con las cifras definidas en la siguiente tabla:</w:t>
      </w:r>
    </w:p>
    <w:p w14:paraId="73565931" w14:textId="77777777" w:rsidR="00C23649" w:rsidRDefault="00C23649" w:rsidP="00794D71">
      <w:pPr>
        <w:pStyle w:val="Textoindependiente"/>
        <w:spacing w:before="120" w:after="120" w:line="276" w:lineRule="auto"/>
        <w:ind w:left="102" w:right="113" w:firstLine="608"/>
        <w:jc w:val="both"/>
        <w:rPr>
          <w:rFonts w:eastAsia="Calibri"/>
          <w:color w:val="000000"/>
          <w:lang w:val="es-CO"/>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2E23AD" w:rsidRPr="002E23AD" w14:paraId="6F16E86D" w14:textId="77777777" w:rsidTr="002E23AD">
        <w:trPr>
          <w:trHeight w:val="737"/>
        </w:trPr>
        <w:tc>
          <w:tcPr>
            <w:tcW w:w="3055" w:type="dxa"/>
            <w:tcBorders>
              <w:top w:val="double" w:sz="4" w:space="0" w:color="auto"/>
              <w:left w:val="double" w:sz="4" w:space="0" w:color="auto"/>
              <w:bottom w:val="single" w:sz="4" w:space="0" w:color="000000"/>
              <w:right w:val="single" w:sz="4" w:space="0" w:color="000000"/>
            </w:tcBorders>
            <w:shd w:val="clear" w:color="auto" w:fill="404040"/>
            <w:vAlign w:val="center"/>
            <w:hideMark/>
          </w:tcPr>
          <w:p w14:paraId="2E17CCB0" w14:textId="77777777" w:rsidR="002E23AD" w:rsidRPr="002E23AD" w:rsidRDefault="002E23AD" w:rsidP="002E23AD">
            <w:pPr>
              <w:spacing w:line="276" w:lineRule="auto"/>
              <w:jc w:val="center"/>
              <w:rPr>
                <w:rFonts w:ascii="Arial" w:eastAsia="Arial" w:hAnsi="Arial" w:cs="Arial"/>
                <w:b/>
                <w:bCs/>
                <w:color w:val="FFFFFF"/>
                <w:sz w:val="16"/>
                <w:szCs w:val="16"/>
                <w:lang w:val="es-ES"/>
              </w:rPr>
            </w:pPr>
            <w:r w:rsidRPr="002E23AD">
              <w:rPr>
                <w:rFonts w:ascii="Arial" w:eastAsia="Calibri" w:hAnsi="Arial" w:cs="Arial"/>
                <w:b/>
                <w:bCs/>
                <w:color w:val="FFFFFF"/>
                <w:sz w:val="16"/>
                <w:szCs w:val="16"/>
                <w:lang w:val="es-ES"/>
              </w:rPr>
              <w:t>Número</w:t>
            </w:r>
            <w:r w:rsidRPr="002E23AD">
              <w:rPr>
                <w:rFonts w:ascii="Arial" w:eastAsia="Arial" w:hAnsi="Arial" w:cs="Arial"/>
                <w:b/>
                <w:bCs/>
                <w:color w:val="FFFFFF"/>
                <w:sz w:val="16"/>
                <w:szCs w:val="16"/>
                <w:lang w:val="es-ES"/>
              </w:rPr>
              <w:t xml:space="preserve"> </w:t>
            </w:r>
            <w:r w:rsidRPr="002E23AD">
              <w:rPr>
                <w:rFonts w:ascii="Arial" w:eastAsia="Calibri" w:hAnsi="Arial" w:cs="Arial"/>
                <w:b/>
                <w:bCs/>
                <w:color w:val="FFFFFF"/>
                <w:sz w:val="16"/>
                <w:szCs w:val="16"/>
                <w:lang w:val="es-ES"/>
              </w:rPr>
              <w:t>de</w:t>
            </w:r>
            <w:r w:rsidRPr="002E23AD">
              <w:rPr>
                <w:rFonts w:ascii="Arial" w:eastAsia="Arial" w:hAnsi="Arial" w:cs="Arial"/>
                <w:b/>
                <w:bCs/>
                <w:color w:val="FFFFFF"/>
                <w:sz w:val="16"/>
                <w:szCs w:val="16"/>
                <w:lang w:val="es-ES"/>
              </w:rPr>
              <w:t xml:space="preserve"> </w:t>
            </w:r>
            <w:r w:rsidRPr="002E23AD">
              <w:rPr>
                <w:rFonts w:ascii="Arial" w:eastAsia="Calibri" w:hAnsi="Arial" w:cs="Arial"/>
                <w:b/>
                <w:bCs/>
                <w:color w:val="FFFFFF"/>
                <w:sz w:val="16"/>
                <w:szCs w:val="16"/>
                <w:lang w:val="es-ES"/>
              </w:rPr>
              <w:t>contratos</w:t>
            </w:r>
            <w:r w:rsidRPr="002E23AD">
              <w:rPr>
                <w:rFonts w:ascii="Arial" w:eastAsia="Arial" w:hAnsi="Arial" w:cs="Arial"/>
                <w:b/>
                <w:bCs/>
                <w:color w:val="FFFFFF"/>
                <w:sz w:val="16"/>
                <w:szCs w:val="16"/>
                <w:lang w:val="es-ES"/>
              </w:rPr>
              <w:t xml:space="preserve"> </w:t>
            </w:r>
            <w:r w:rsidRPr="002E23AD">
              <w:rPr>
                <w:rFonts w:ascii="Arial" w:eastAsia="Calibri" w:hAnsi="Arial" w:cs="Arial"/>
                <w:b/>
                <w:bCs/>
                <w:color w:val="FFFFFF"/>
                <w:sz w:val="16"/>
                <w:szCs w:val="16"/>
                <w:lang w:val="es-ES"/>
              </w:rPr>
              <w:t>con</w:t>
            </w:r>
            <w:r w:rsidRPr="002E23AD">
              <w:rPr>
                <w:rFonts w:ascii="Arial" w:eastAsia="Arial" w:hAnsi="Arial" w:cs="Arial"/>
                <w:b/>
                <w:bCs/>
                <w:color w:val="FFFFFF"/>
                <w:sz w:val="16"/>
                <w:szCs w:val="16"/>
                <w:lang w:val="es-ES"/>
              </w:rPr>
              <w:t xml:space="preserve"> </w:t>
            </w:r>
            <w:r w:rsidRPr="002E23AD">
              <w:rPr>
                <w:rFonts w:ascii="Arial" w:eastAsia="Calibri" w:hAnsi="Arial" w:cs="Arial"/>
                <w:b/>
                <w:bCs/>
                <w:color w:val="FFFFFF"/>
                <w:sz w:val="16"/>
                <w:szCs w:val="16"/>
                <w:lang w:val="es-ES"/>
              </w:rPr>
              <w:t>los</w:t>
            </w:r>
            <w:r w:rsidRPr="002E23AD">
              <w:rPr>
                <w:rFonts w:ascii="Arial" w:eastAsia="Arial" w:hAnsi="Arial" w:cs="Arial"/>
                <w:b/>
                <w:bCs/>
                <w:color w:val="FFFFFF"/>
                <w:sz w:val="16"/>
                <w:szCs w:val="16"/>
                <w:lang w:val="es-ES"/>
              </w:rPr>
              <w:t xml:space="preserve"> </w:t>
            </w:r>
            <w:r w:rsidRPr="002E23AD">
              <w:rPr>
                <w:rFonts w:ascii="Arial" w:eastAsia="Calibri" w:hAnsi="Arial" w:cs="Arial"/>
                <w:b/>
                <w:bCs/>
                <w:color w:val="FFFFFF"/>
                <w:sz w:val="16"/>
                <w:szCs w:val="16"/>
                <w:lang w:val="es-ES"/>
              </w:rPr>
              <w:t>cuales</w:t>
            </w:r>
            <w:r w:rsidRPr="002E23AD">
              <w:rPr>
                <w:rFonts w:ascii="Arial" w:eastAsia="Arial" w:hAnsi="Arial" w:cs="Arial"/>
                <w:b/>
                <w:bCs/>
                <w:color w:val="FFFFFF"/>
                <w:sz w:val="16"/>
                <w:szCs w:val="16"/>
                <w:lang w:val="es-ES"/>
              </w:rPr>
              <w:t xml:space="preserve"> </w:t>
            </w:r>
            <w:r w:rsidRPr="002E23AD">
              <w:rPr>
                <w:rFonts w:ascii="Arial" w:eastAsia="Calibri" w:hAnsi="Arial" w:cs="Arial"/>
                <w:b/>
                <w:bCs/>
                <w:color w:val="FFFFFF"/>
                <w:sz w:val="16"/>
                <w:szCs w:val="16"/>
                <w:lang w:val="es-ES"/>
              </w:rPr>
              <w:t>el</w:t>
            </w:r>
            <w:r w:rsidRPr="002E23AD">
              <w:rPr>
                <w:rFonts w:ascii="Arial" w:eastAsia="Arial" w:hAnsi="Arial" w:cs="Arial"/>
                <w:b/>
                <w:bCs/>
                <w:color w:val="FFFFFF"/>
                <w:sz w:val="16"/>
                <w:szCs w:val="16"/>
                <w:lang w:val="es-ES"/>
              </w:rPr>
              <w:t xml:space="preserve"> </w:t>
            </w:r>
            <w:r w:rsidRPr="002E23AD">
              <w:rPr>
                <w:rFonts w:ascii="Arial" w:eastAsia="Calibri" w:hAnsi="Arial" w:cs="Arial"/>
                <w:b/>
                <w:bCs/>
                <w:color w:val="FFFFFF"/>
                <w:sz w:val="16"/>
                <w:szCs w:val="16"/>
                <w:lang w:val="es-ES"/>
              </w:rPr>
              <w:t>Proponente</w:t>
            </w:r>
            <w:r w:rsidRPr="002E23AD">
              <w:rPr>
                <w:rFonts w:ascii="Arial" w:eastAsia="Arial" w:hAnsi="Arial" w:cs="Arial"/>
                <w:b/>
                <w:bCs/>
                <w:color w:val="FFFFFF"/>
                <w:sz w:val="16"/>
                <w:szCs w:val="16"/>
                <w:lang w:val="es-ES"/>
              </w:rPr>
              <w:t xml:space="preserve"> </w:t>
            </w:r>
            <w:r w:rsidRPr="002E23AD">
              <w:rPr>
                <w:rFonts w:ascii="Arial" w:eastAsia="Calibri" w:hAnsi="Arial" w:cs="Arial"/>
                <w:b/>
                <w:bCs/>
                <w:color w:val="FFFFFF"/>
                <w:sz w:val="16"/>
                <w:szCs w:val="16"/>
                <w:lang w:val="es-ES"/>
              </w:rPr>
              <w:t>cumple</w:t>
            </w:r>
            <w:r w:rsidRPr="002E23AD">
              <w:rPr>
                <w:rFonts w:ascii="Arial" w:eastAsia="Arial" w:hAnsi="Arial" w:cs="Arial"/>
                <w:b/>
                <w:bCs/>
                <w:color w:val="FFFFFF"/>
                <w:sz w:val="16"/>
                <w:szCs w:val="16"/>
                <w:lang w:val="es-ES"/>
              </w:rPr>
              <w:t xml:space="preserve"> </w:t>
            </w:r>
            <w:r w:rsidRPr="002E23AD">
              <w:rPr>
                <w:rFonts w:ascii="Arial" w:eastAsia="Calibri" w:hAnsi="Arial" w:cs="Arial"/>
                <w:b/>
                <w:bCs/>
                <w:color w:val="FFFFFF"/>
                <w:sz w:val="16"/>
                <w:szCs w:val="16"/>
                <w:lang w:val="es-ES"/>
              </w:rPr>
              <w:t>la</w:t>
            </w:r>
            <w:r w:rsidRPr="002E23AD">
              <w:rPr>
                <w:rFonts w:ascii="Arial" w:eastAsia="Arial" w:hAnsi="Arial" w:cs="Arial"/>
                <w:b/>
                <w:bCs/>
                <w:color w:val="FFFFFF"/>
                <w:sz w:val="16"/>
                <w:szCs w:val="16"/>
                <w:lang w:val="es-ES"/>
              </w:rPr>
              <w:t xml:space="preserve"> </w:t>
            </w:r>
            <w:r w:rsidRPr="002E23AD">
              <w:rPr>
                <w:rFonts w:ascii="Arial" w:eastAsia="Calibri" w:hAnsi="Arial" w:cs="Arial"/>
                <w:b/>
                <w:bCs/>
                <w:color w:val="FFFFFF"/>
                <w:sz w:val="16"/>
                <w:szCs w:val="16"/>
                <w:lang w:val="es-ES"/>
              </w:rPr>
              <w:t>experiencia</w:t>
            </w:r>
            <w:r w:rsidRPr="002E23AD">
              <w:rPr>
                <w:rFonts w:ascii="Arial" w:eastAsia="Arial" w:hAnsi="Arial" w:cs="Arial"/>
                <w:b/>
                <w:bCs/>
                <w:color w:val="FFFFFF"/>
                <w:sz w:val="16"/>
                <w:szCs w:val="16"/>
                <w:lang w:val="es-ES"/>
              </w:rPr>
              <w:t xml:space="preserve"> </w:t>
            </w:r>
            <w:r w:rsidRPr="002E23AD">
              <w:rPr>
                <w:rFonts w:ascii="Arial" w:eastAsia="Calibri" w:hAnsi="Arial" w:cs="Arial"/>
                <w:b/>
                <w:bCs/>
                <w:color w:val="FFFFFF"/>
                <w:sz w:val="16"/>
                <w:szCs w:val="16"/>
                <w:lang w:val="es-ES"/>
              </w:rPr>
              <w:t>acreditada</w:t>
            </w:r>
          </w:p>
        </w:tc>
        <w:tc>
          <w:tcPr>
            <w:tcW w:w="4192" w:type="dxa"/>
            <w:tcBorders>
              <w:top w:val="double" w:sz="4" w:space="0" w:color="auto"/>
              <w:left w:val="single" w:sz="4" w:space="0" w:color="000000"/>
              <w:bottom w:val="single" w:sz="4" w:space="0" w:color="000000"/>
              <w:right w:val="double" w:sz="4" w:space="0" w:color="auto"/>
            </w:tcBorders>
            <w:shd w:val="clear" w:color="auto" w:fill="404040"/>
            <w:vAlign w:val="center"/>
            <w:hideMark/>
          </w:tcPr>
          <w:p w14:paraId="62144B49" w14:textId="77777777" w:rsidR="002E23AD" w:rsidRPr="002E23AD" w:rsidRDefault="002E23AD" w:rsidP="002E23AD">
            <w:pPr>
              <w:spacing w:line="276" w:lineRule="auto"/>
              <w:jc w:val="center"/>
              <w:rPr>
                <w:rFonts w:ascii="Arial" w:eastAsia="Arial" w:hAnsi="Arial" w:cs="Arial"/>
                <w:b/>
                <w:bCs/>
                <w:color w:val="FFFFFF"/>
                <w:sz w:val="16"/>
                <w:szCs w:val="16"/>
                <w:lang w:val="es-ES"/>
              </w:rPr>
            </w:pPr>
            <w:r w:rsidRPr="002E23AD">
              <w:rPr>
                <w:rFonts w:ascii="Arial" w:eastAsia="Calibri" w:hAnsi="Arial" w:cs="Arial"/>
                <w:b/>
                <w:bCs/>
                <w:color w:val="FFFFFF"/>
                <w:sz w:val="16"/>
                <w:szCs w:val="16"/>
                <w:lang w:val="es-ES"/>
              </w:rPr>
              <w:t>Valor</w:t>
            </w:r>
            <w:r w:rsidRPr="002E23AD">
              <w:rPr>
                <w:rFonts w:ascii="Arial" w:eastAsia="Arial" w:hAnsi="Arial" w:cs="Arial"/>
                <w:b/>
                <w:bCs/>
                <w:color w:val="FFFFFF"/>
                <w:sz w:val="16"/>
                <w:szCs w:val="16"/>
                <w:lang w:val="es-ES"/>
              </w:rPr>
              <w:t xml:space="preserve"> </w:t>
            </w:r>
            <w:r w:rsidRPr="002E23AD">
              <w:rPr>
                <w:rFonts w:ascii="Arial" w:eastAsia="Calibri" w:hAnsi="Arial" w:cs="Arial"/>
                <w:b/>
                <w:bCs/>
                <w:color w:val="FFFFFF"/>
                <w:sz w:val="16"/>
                <w:szCs w:val="16"/>
                <w:lang w:val="es-ES"/>
              </w:rPr>
              <w:t>mínimo</w:t>
            </w:r>
            <w:r w:rsidRPr="002E23AD">
              <w:rPr>
                <w:rFonts w:ascii="Arial" w:eastAsia="Arial" w:hAnsi="Arial" w:cs="Arial"/>
                <w:b/>
                <w:bCs/>
                <w:color w:val="FFFFFF"/>
                <w:sz w:val="16"/>
                <w:szCs w:val="16"/>
                <w:lang w:val="es-ES"/>
              </w:rPr>
              <w:t xml:space="preserve"> </w:t>
            </w:r>
            <w:r w:rsidRPr="002E23AD">
              <w:rPr>
                <w:rFonts w:ascii="Arial" w:eastAsia="Calibri" w:hAnsi="Arial" w:cs="Arial"/>
                <w:b/>
                <w:bCs/>
                <w:color w:val="FFFFFF"/>
                <w:sz w:val="16"/>
                <w:szCs w:val="16"/>
                <w:lang w:val="es-ES"/>
              </w:rPr>
              <w:t>a</w:t>
            </w:r>
            <w:r w:rsidRPr="002E23AD">
              <w:rPr>
                <w:rFonts w:ascii="Arial" w:eastAsia="Arial" w:hAnsi="Arial" w:cs="Arial"/>
                <w:b/>
                <w:bCs/>
                <w:color w:val="FFFFFF"/>
                <w:sz w:val="16"/>
                <w:szCs w:val="16"/>
                <w:lang w:val="es-ES"/>
              </w:rPr>
              <w:t xml:space="preserve"> </w:t>
            </w:r>
            <w:r w:rsidRPr="002E23AD">
              <w:rPr>
                <w:rFonts w:ascii="Arial" w:eastAsia="Calibri" w:hAnsi="Arial" w:cs="Arial"/>
                <w:b/>
                <w:bCs/>
                <w:color w:val="FFFFFF"/>
                <w:sz w:val="16"/>
                <w:szCs w:val="16"/>
                <w:lang w:val="es-ES"/>
              </w:rPr>
              <w:t>certificar</w:t>
            </w:r>
          </w:p>
          <w:p w14:paraId="3F991712" w14:textId="77777777" w:rsidR="002E23AD" w:rsidRPr="002E23AD" w:rsidRDefault="002E23AD" w:rsidP="002E23AD">
            <w:pPr>
              <w:spacing w:line="276" w:lineRule="auto"/>
              <w:jc w:val="center"/>
              <w:rPr>
                <w:rFonts w:ascii="Arial" w:eastAsia="Arial" w:hAnsi="Arial" w:cs="Arial"/>
                <w:b/>
                <w:bCs/>
                <w:color w:val="FFFFFF"/>
                <w:sz w:val="16"/>
                <w:szCs w:val="16"/>
                <w:lang w:val="es-ES"/>
              </w:rPr>
            </w:pPr>
            <w:r w:rsidRPr="002E23AD">
              <w:rPr>
                <w:rFonts w:ascii="Arial" w:eastAsia="Calibri" w:hAnsi="Arial" w:cs="Arial"/>
                <w:b/>
                <w:bCs/>
                <w:color w:val="FFFFFF"/>
                <w:sz w:val="16"/>
                <w:szCs w:val="16"/>
                <w:lang w:val="es-ES"/>
              </w:rPr>
              <w:t>(como</w:t>
            </w:r>
            <w:r w:rsidRPr="002E23AD">
              <w:rPr>
                <w:rFonts w:ascii="Arial" w:eastAsia="Arial" w:hAnsi="Arial" w:cs="Arial"/>
                <w:b/>
                <w:bCs/>
                <w:color w:val="FFFFFF"/>
                <w:sz w:val="16"/>
                <w:szCs w:val="16"/>
                <w:lang w:val="es-ES"/>
              </w:rPr>
              <w:t xml:space="preserve"> % </w:t>
            </w:r>
            <w:r w:rsidRPr="002E23AD">
              <w:rPr>
                <w:rFonts w:ascii="Arial" w:eastAsia="Calibri" w:hAnsi="Arial" w:cs="Arial"/>
                <w:b/>
                <w:bCs/>
                <w:color w:val="FFFFFF"/>
                <w:sz w:val="16"/>
                <w:szCs w:val="16"/>
                <w:lang w:val="es-ES"/>
              </w:rPr>
              <w:t>del</w:t>
            </w:r>
            <w:r w:rsidRPr="002E23AD">
              <w:rPr>
                <w:rFonts w:ascii="Arial" w:eastAsia="Arial" w:hAnsi="Arial" w:cs="Arial"/>
                <w:b/>
                <w:bCs/>
                <w:color w:val="FFFFFF"/>
                <w:sz w:val="16"/>
                <w:szCs w:val="16"/>
                <w:lang w:val="es-ES"/>
              </w:rPr>
              <w:t xml:space="preserve"> </w:t>
            </w:r>
            <w:r w:rsidRPr="002E23AD">
              <w:rPr>
                <w:rFonts w:ascii="Arial" w:eastAsia="Calibri" w:hAnsi="Arial" w:cs="Arial"/>
                <w:b/>
                <w:bCs/>
                <w:color w:val="FFFFFF"/>
                <w:sz w:val="16"/>
                <w:szCs w:val="16"/>
                <w:lang w:val="es-ES"/>
              </w:rPr>
              <w:t>Presupuesto</w:t>
            </w:r>
            <w:r w:rsidRPr="002E23AD">
              <w:rPr>
                <w:rFonts w:ascii="Arial" w:eastAsia="Arial" w:hAnsi="Arial" w:cs="Arial"/>
                <w:b/>
                <w:bCs/>
                <w:color w:val="FFFFFF"/>
                <w:sz w:val="16"/>
                <w:szCs w:val="16"/>
                <w:lang w:val="es-ES"/>
              </w:rPr>
              <w:t xml:space="preserve"> </w:t>
            </w:r>
            <w:r w:rsidRPr="002E23AD">
              <w:rPr>
                <w:rFonts w:ascii="Arial" w:eastAsia="Calibri" w:hAnsi="Arial" w:cs="Arial"/>
                <w:b/>
                <w:bCs/>
                <w:color w:val="FFFFFF"/>
                <w:sz w:val="16"/>
                <w:szCs w:val="16"/>
                <w:lang w:val="es-ES"/>
              </w:rPr>
              <w:t>Oficial</w:t>
            </w:r>
            <w:r w:rsidRPr="002E23AD">
              <w:rPr>
                <w:rFonts w:ascii="Arial" w:eastAsia="Arial" w:hAnsi="Arial" w:cs="Arial"/>
                <w:b/>
                <w:bCs/>
                <w:color w:val="FFFFFF"/>
                <w:sz w:val="16"/>
                <w:szCs w:val="16"/>
                <w:lang w:val="es-ES"/>
              </w:rPr>
              <w:t xml:space="preserve"> </w:t>
            </w:r>
            <w:r w:rsidRPr="002E23AD">
              <w:rPr>
                <w:rFonts w:ascii="Arial" w:eastAsia="Calibri" w:hAnsi="Arial" w:cs="Arial"/>
                <w:b/>
                <w:bCs/>
                <w:color w:val="FFFFFF"/>
                <w:sz w:val="16"/>
                <w:szCs w:val="16"/>
                <w:lang w:val="es-ES"/>
              </w:rPr>
              <w:t>de</w:t>
            </w:r>
            <w:r w:rsidRPr="002E23AD">
              <w:rPr>
                <w:rFonts w:ascii="Arial" w:eastAsia="Arial" w:hAnsi="Arial" w:cs="Arial"/>
                <w:b/>
                <w:bCs/>
                <w:color w:val="FFFFFF"/>
                <w:sz w:val="16"/>
                <w:szCs w:val="16"/>
                <w:lang w:val="es-ES"/>
              </w:rPr>
              <w:t xml:space="preserve"> </w:t>
            </w:r>
            <w:r w:rsidRPr="002E23AD">
              <w:rPr>
                <w:rFonts w:ascii="Arial" w:eastAsia="Calibri" w:hAnsi="Arial" w:cs="Arial"/>
                <w:b/>
                <w:bCs/>
                <w:color w:val="FFFFFF"/>
                <w:sz w:val="16"/>
                <w:szCs w:val="16"/>
                <w:lang w:val="es-ES"/>
              </w:rPr>
              <w:t>obra</w:t>
            </w:r>
            <w:r w:rsidRPr="002E23AD">
              <w:rPr>
                <w:rFonts w:ascii="Arial" w:eastAsia="Arial" w:hAnsi="Arial" w:cs="Arial"/>
                <w:b/>
                <w:bCs/>
                <w:color w:val="FFFFFF"/>
                <w:sz w:val="16"/>
                <w:szCs w:val="16"/>
                <w:lang w:val="es-ES"/>
              </w:rPr>
              <w:t xml:space="preserve"> </w:t>
            </w:r>
            <w:r w:rsidRPr="002E23AD">
              <w:rPr>
                <w:rFonts w:ascii="Arial" w:eastAsia="Calibri" w:hAnsi="Arial" w:cs="Arial"/>
                <w:b/>
                <w:bCs/>
                <w:color w:val="FFFFFF"/>
                <w:sz w:val="16"/>
                <w:szCs w:val="16"/>
                <w:lang w:val="es-ES"/>
              </w:rPr>
              <w:t>expresado</w:t>
            </w:r>
            <w:r w:rsidRPr="002E23AD">
              <w:rPr>
                <w:rFonts w:ascii="Arial" w:eastAsia="Arial" w:hAnsi="Arial" w:cs="Arial"/>
                <w:b/>
                <w:bCs/>
                <w:color w:val="FFFFFF"/>
                <w:sz w:val="16"/>
                <w:szCs w:val="16"/>
                <w:lang w:val="es-ES"/>
              </w:rPr>
              <w:t xml:space="preserve"> </w:t>
            </w:r>
            <w:r w:rsidRPr="002E23AD">
              <w:rPr>
                <w:rFonts w:ascii="Arial" w:eastAsia="Calibri" w:hAnsi="Arial" w:cs="Arial"/>
                <w:b/>
                <w:bCs/>
                <w:color w:val="FFFFFF"/>
                <w:sz w:val="16"/>
                <w:szCs w:val="16"/>
                <w:lang w:val="es-ES"/>
              </w:rPr>
              <w:t>en</w:t>
            </w:r>
            <w:r w:rsidRPr="002E23AD">
              <w:rPr>
                <w:rFonts w:ascii="Arial" w:eastAsia="Arial" w:hAnsi="Arial" w:cs="Arial"/>
                <w:b/>
                <w:bCs/>
                <w:color w:val="FFFFFF"/>
                <w:sz w:val="16"/>
                <w:szCs w:val="16"/>
                <w:lang w:val="es-ES"/>
              </w:rPr>
              <w:t xml:space="preserve"> </w:t>
            </w:r>
            <w:r w:rsidRPr="002E23AD">
              <w:rPr>
                <w:rFonts w:ascii="Arial" w:eastAsia="Calibri" w:hAnsi="Arial" w:cs="Arial"/>
                <w:b/>
                <w:bCs/>
                <w:color w:val="FFFFFF"/>
                <w:sz w:val="16"/>
                <w:szCs w:val="16"/>
                <w:lang w:val="es-ES"/>
              </w:rPr>
              <w:t>SMMLV)</w:t>
            </w:r>
          </w:p>
        </w:tc>
      </w:tr>
      <w:tr w:rsidR="002E23AD" w:rsidRPr="002E23AD" w14:paraId="5582EB55" w14:textId="77777777" w:rsidTr="002E23AD">
        <w:tc>
          <w:tcPr>
            <w:tcW w:w="3055" w:type="dxa"/>
            <w:tcBorders>
              <w:top w:val="single" w:sz="4" w:space="0" w:color="000000"/>
              <w:left w:val="double" w:sz="4" w:space="0" w:color="auto"/>
              <w:bottom w:val="single" w:sz="4" w:space="0" w:color="000000"/>
              <w:right w:val="single" w:sz="4" w:space="0" w:color="000000"/>
            </w:tcBorders>
            <w:vAlign w:val="center"/>
            <w:hideMark/>
          </w:tcPr>
          <w:p w14:paraId="5CDF8419" w14:textId="77777777" w:rsidR="002E23AD" w:rsidRPr="002E23AD" w:rsidRDefault="002E23AD" w:rsidP="002E23AD">
            <w:pPr>
              <w:spacing w:line="276" w:lineRule="auto"/>
              <w:jc w:val="center"/>
              <w:rPr>
                <w:rFonts w:ascii="Arial" w:eastAsia="Arial" w:hAnsi="Arial" w:cs="Arial"/>
                <w:color w:val="3B3838"/>
                <w:sz w:val="16"/>
                <w:szCs w:val="16"/>
                <w:lang w:val="es-ES"/>
              </w:rPr>
            </w:pPr>
            <w:r w:rsidRPr="002E23AD">
              <w:rPr>
                <w:rFonts w:ascii="Arial" w:eastAsia="Calibri" w:hAnsi="Arial" w:cs="Arial"/>
                <w:color w:val="3B3838"/>
                <w:sz w:val="16"/>
                <w:szCs w:val="16"/>
                <w:lang w:val="es-ES"/>
              </w:rPr>
              <w:t>De</w:t>
            </w:r>
            <w:r w:rsidRPr="002E23AD">
              <w:rPr>
                <w:rFonts w:ascii="Arial" w:eastAsia="Arial" w:hAnsi="Arial" w:cs="Arial"/>
                <w:color w:val="3B3838"/>
                <w:sz w:val="16"/>
                <w:szCs w:val="16"/>
                <w:lang w:val="es-ES"/>
              </w:rPr>
              <w:t xml:space="preserve"> </w:t>
            </w:r>
            <w:r w:rsidRPr="002E23AD">
              <w:rPr>
                <w:rFonts w:ascii="Arial" w:eastAsia="Calibri" w:hAnsi="Arial" w:cs="Arial"/>
                <w:color w:val="3B3838"/>
                <w:sz w:val="16"/>
                <w:szCs w:val="16"/>
                <w:lang w:val="es-ES"/>
              </w:rPr>
              <w:t>1</w:t>
            </w:r>
            <w:r w:rsidRPr="002E23AD">
              <w:rPr>
                <w:rFonts w:ascii="Arial" w:eastAsia="Arial" w:hAnsi="Arial" w:cs="Arial"/>
                <w:color w:val="3B3838"/>
                <w:sz w:val="16"/>
                <w:szCs w:val="16"/>
                <w:lang w:val="es-ES"/>
              </w:rPr>
              <w:t xml:space="preserve"> </w:t>
            </w:r>
            <w:r w:rsidRPr="002E23AD">
              <w:rPr>
                <w:rFonts w:ascii="Arial" w:eastAsia="Calibri" w:hAnsi="Arial" w:cs="Arial"/>
                <w:color w:val="3B3838"/>
                <w:sz w:val="16"/>
                <w:szCs w:val="16"/>
                <w:lang w:val="es-ES"/>
              </w:rPr>
              <w:t>hasta</w:t>
            </w:r>
            <w:r w:rsidRPr="002E23AD">
              <w:rPr>
                <w:rFonts w:ascii="Arial" w:eastAsia="Arial" w:hAnsi="Arial" w:cs="Arial"/>
                <w:color w:val="3B3838"/>
                <w:sz w:val="16"/>
                <w:szCs w:val="16"/>
                <w:lang w:val="es-ES"/>
              </w:rPr>
              <w:t xml:space="preserve"> </w:t>
            </w:r>
            <w:r w:rsidRPr="002E23AD">
              <w:rPr>
                <w:rFonts w:ascii="Arial" w:eastAsia="Calibri" w:hAnsi="Arial" w:cs="Arial"/>
                <w:color w:val="3B3838"/>
                <w:sz w:val="16"/>
                <w:szCs w:val="16"/>
                <w:lang w:val="es-ES"/>
              </w:rPr>
              <w:t>2</w:t>
            </w:r>
          </w:p>
        </w:tc>
        <w:tc>
          <w:tcPr>
            <w:tcW w:w="4192" w:type="dxa"/>
            <w:tcBorders>
              <w:top w:val="single" w:sz="4" w:space="0" w:color="000000"/>
              <w:left w:val="single" w:sz="4" w:space="0" w:color="000000"/>
              <w:bottom w:val="single" w:sz="4" w:space="0" w:color="000000"/>
              <w:right w:val="double" w:sz="4" w:space="0" w:color="auto"/>
            </w:tcBorders>
            <w:vAlign w:val="center"/>
            <w:hideMark/>
          </w:tcPr>
          <w:p w14:paraId="05DB9F82" w14:textId="77777777" w:rsidR="002E23AD" w:rsidRPr="002E23AD" w:rsidRDefault="002E23AD" w:rsidP="002E23AD">
            <w:pPr>
              <w:spacing w:line="276" w:lineRule="auto"/>
              <w:jc w:val="center"/>
              <w:rPr>
                <w:rFonts w:ascii="Arial" w:eastAsia="Arial" w:hAnsi="Arial" w:cs="Arial"/>
                <w:color w:val="3B3838"/>
                <w:sz w:val="16"/>
                <w:szCs w:val="16"/>
                <w:lang w:val="es-ES"/>
              </w:rPr>
            </w:pPr>
            <w:r w:rsidRPr="002E23AD">
              <w:rPr>
                <w:rFonts w:ascii="Arial" w:eastAsia="Calibri" w:hAnsi="Arial" w:cs="Arial"/>
                <w:color w:val="3B3838"/>
                <w:sz w:val="16"/>
                <w:szCs w:val="16"/>
                <w:lang w:val="es-ES"/>
              </w:rPr>
              <w:t>75%</w:t>
            </w:r>
          </w:p>
        </w:tc>
      </w:tr>
      <w:tr w:rsidR="002E23AD" w:rsidRPr="002E23AD" w14:paraId="5D95F2E1" w14:textId="77777777" w:rsidTr="002E23AD">
        <w:tc>
          <w:tcPr>
            <w:tcW w:w="3055" w:type="dxa"/>
            <w:tcBorders>
              <w:top w:val="single" w:sz="4" w:space="0" w:color="000000"/>
              <w:left w:val="double" w:sz="4" w:space="0" w:color="auto"/>
              <w:bottom w:val="single" w:sz="4" w:space="0" w:color="000000"/>
              <w:right w:val="single" w:sz="4" w:space="0" w:color="000000"/>
            </w:tcBorders>
            <w:vAlign w:val="center"/>
            <w:hideMark/>
          </w:tcPr>
          <w:p w14:paraId="1A8B030F" w14:textId="77777777" w:rsidR="002E23AD" w:rsidRPr="002E23AD" w:rsidRDefault="002E23AD" w:rsidP="002E23AD">
            <w:pPr>
              <w:spacing w:line="276" w:lineRule="auto"/>
              <w:jc w:val="center"/>
              <w:rPr>
                <w:rFonts w:ascii="Arial" w:eastAsia="Arial" w:hAnsi="Arial" w:cs="Arial"/>
                <w:color w:val="3B3838"/>
                <w:sz w:val="16"/>
                <w:szCs w:val="16"/>
                <w:lang w:val="es-ES"/>
              </w:rPr>
            </w:pPr>
            <w:r w:rsidRPr="002E23AD">
              <w:rPr>
                <w:rFonts w:ascii="Arial" w:eastAsia="Calibri" w:hAnsi="Arial" w:cs="Arial"/>
                <w:color w:val="3B3838"/>
                <w:sz w:val="16"/>
                <w:szCs w:val="16"/>
                <w:lang w:val="es-ES"/>
              </w:rPr>
              <w:t>De</w:t>
            </w:r>
            <w:r w:rsidRPr="002E23AD">
              <w:rPr>
                <w:rFonts w:ascii="Arial" w:eastAsia="Arial" w:hAnsi="Arial" w:cs="Arial"/>
                <w:color w:val="3B3838"/>
                <w:sz w:val="16"/>
                <w:szCs w:val="16"/>
                <w:lang w:val="es-ES"/>
              </w:rPr>
              <w:t xml:space="preserve"> </w:t>
            </w:r>
            <w:r w:rsidRPr="002E23AD">
              <w:rPr>
                <w:rFonts w:ascii="Arial" w:eastAsia="Calibri" w:hAnsi="Arial" w:cs="Arial"/>
                <w:color w:val="3B3838"/>
                <w:sz w:val="16"/>
                <w:szCs w:val="16"/>
                <w:lang w:val="es-ES"/>
              </w:rPr>
              <w:t>3</w:t>
            </w:r>
            <w:r w:rsidRPr="002E23AD">
              <w:rPr>
                <w:rFonts w:ascii="Arial" w:eastAsia="Arial" w:hAnsi="Arial" w:cs="Arial"/>
                <w:color w:val="3B3838"/>
                <w:sz w:val="16"/>
                <w:szCs w:val="16"/>
                <w:lang w:val="es-ES"/>
              </w:rPr>
              <w:t xml:space="preserve"> </w:t>
            </w:r>
            <w:r w:rsidRPr="002E23AD">
              <w:rPr>
                <w:rFonts w:ascii="Arial" w:eastAsia="Calibri" w:hAnsi="Arial" w:cs="Arial"/>
                <w:color w:val="3B3838"/>
                <w:sz w:val="16"/>
                <w:szCs w:val="16"/>
                <w:lang w:val="es-ES"/>
              </w:rPr>
              <w:t>hasta</w:t>
            </w:r>
            <w:r w:rsidRPr="002E23AD">
              <w:rPr>
                <w:rFonts w:ascii="Arial" w:eastAsia="Arial" w:hAnsi="Arial" w:cs="Arial"/>
                <w:color w:val="3B3838"/>
                <w:sz w:val="16"/>
                <w:szCs w:val="16"/>
                <w:lang w:val="es-ES"/>
              </w:rPr>
              <w:t xml:space="preserve"> </w:t>
            </w:r>
            <w:r w:rsidRPr="002E23AD">
              <w:rPr>
                <w:rFonts w:ascii="Arial" w:eastAsia="Calibri" w:hAnsi="Arial" w:cs="Arial"/>
                <w:color w:val="3B3838"/>
                <w:sz w:val="16"/>
                <w:szCs w:val="16"/>
                <w:lang w:val="es-ES"/>
              </w:rPr>
              <w:t>4</w:t>
            </w:r>
          </w:p>
        </w:tc>
        <w:tc>
          <w:tcPr>
            <w:tcW w:w="4192" w:type="dxa"/>
            <w:tcBorders>
              <w:top w:val="single" w:sz="4" w:space="0" w:color="000000"/>
              <w:left w:val="single" w:sz="4" w:space="0" w:color="000000"/>
              <w:bottom w:val="single" w:sz="4" w:space="0" w:color="000000"/>
              <w:right w:val="double" w:sz="4" w:space="0" w:color="auto"/>
            </w:tcBorders>
            <w:vAlign w:val="center"/>
            <w:hideMark/>
          </w:tcPr>
          <w:p w14:paraId="62010E7E" w14:textId="77777777" w:rsidR="002E23AD" w:rsidRPr="002E23AD" w:rsidRDefault="002E23AD" w:rsidP="002E23AD">
            <w:pPr>
              <w:spacing w:line="276" w:lineRule="auto"/>
              <w:jc w:val="center"/>
              <w:rPr>
                <w:rFonts w:ascii="Arial" w:eastAsia="Arial" w:hAnsi="Arial" w:cs="Arial"/>
                <w:color w:val="3B3838"/>
                <w:sz w:val="16"/>
                <w:szCs w:val="16"/>
                <w:lang w:val="es-ES"/>
              </w:rPr>
            </w:pPr>
            <w:r w:rsidRPr="002E23AD">
              <w:rPr>
                <w:rFonts w:ascii="Arial" w:eastAsia="Calibri" w:hAnsi="Arial" w:cs="Arial"/>
                <w:color w:val="3B3838"/>
                <w:sz w:val="16"/>
                <w:szCs w:val="16"/>
                <w:lang w:val="es-ES"/>
              </w:rPr>
              <w:t>120%</w:t>
            </w:r>
          </w:p>
        </w:tc>
      </w:tr>
      <w:tr w:rsidR="002E23AD" w:rsidRPr="002E23AD" w14:paraId="0E9F15B3" w14:textId="77777777" w:rsidTr="002E23AD">
        <w:tc>
          <w:tcPr>
            <w:tcW w:w="3055" w:type="dxa"/>
            <w:tcBorders>
              <w:top w:val="single" w:sz="4" w:space="0" w:color="000000"/>
              <w:left w:val="double" w:sz="4" w:space="0" w:color="auto"/>
              <w:bottom w:val="double" w:sz="4" w:space="0" w:color="auto"/>
              <w:right w:val="single" w:sz="4" w:space="0" w:color="000000"/>
            </w:tcBorders>
            <w:vAlign w:val="center"/>
            <w:hideMark/>
          </w:tcPr>
          <w:p w14:paraId="5C938C49" w14:textId="77777777" w:rsidR="002E23AD" w:rsidRPr="002E23AD" w:rsidRDefault="002E23AD" w:rsidP="002E23AD">
            <w:pPr>
              <w:spacing w:line="276" w:lineRule="auto"/>
              <w:jc w:val="center"/>
              <w:rPr>
                <w:rFonts w:ascii="Arial" w:eastAsia="Arial" w:hAnsi="Arial" w:cs="Arial"/>
                <w:color w:val="3B3838"/>
                <w:sz w:val="16"/>
                <w:szCs w:val="16"/>
                <w:lang w:val="es-ES"/>
              </w:rPr>
            </w:pPr>
            <w:r w:rsidRPr="002E23AD">
              <w:rPr>
                <w:rFonts w:ascii="Arial" w:eastAsia="Calibri" w:hAnsi="Arial" w:cs="Arial"/>
                <w:color w:val="3B3838"/>
                <w:sz w:val="16"/>
                <w:szCs w:val="16"/>
                <w:lang w:val="es-ES"/>
              </w:rPr>
              <w:t>De</w:t>
            </w:r>
            <w:r w:rsidRPr="002E23AD">
              <w:rPr>
                <w:rFonts w:ascii="Arial" w:eastAsia="Arial" w:hAnsi="Arial" w:cs="Arial"/>
                <w:color w:val="3B3838"/>
                <w:sz w:val="16"/>
                <w:szCs w:val="16"/>
                <w:lang w:val="es-ES"/>
              </w:rPr>
              <w:t xml:space="preserve"> </w:t>
            </w:r>
            <w:r w:rsidRPr="002E23AD">
              <w:rPr>
                <w:rFonts w:ascii="Arial" w:eastAsia="Calibri" w:hAnsi="Arial" w:cs="Arial"/>
                <w:color w:val="3B3838"/>
                <w:sz w:val="16"/>
                <w:szCs w:val="16"/>
                <w:lang w:val="es-ES"/>
              </w:rPr>
              <w:t>5</w:t>
            </w:r>
            <w:r w:rsidRPr="002E23AD">
              <w:rPr>
                <w:rFonts w:ascii="Arial" w:eastAsia="Arial" w:hAnsi="Arial" w:cs="Arial"/>
                <w:color w:val="3B3838"/>
                <w:sz w:val="16"/>
                <w:szCs w:val="16"/>
                <w:lang w:val="es-ES"/>
              </w:rPr>
              <w:t xml:space="preserve"> </w:t>
            </w:r>
            <w:r w:rsidRPr="002E23AD">
              <w:rPr>
                <w:rFonts w:ascii="Arial" w:eastAsia="Calibri" w:hAnsi="Arial" w:cs="Arial"/>
                <w:color w:val="3B3838"/>
                <w:sz w:val="16"/>
                <w:szCs w:val="16"/>
                <w:lang w:val="es-ES"/>
              </w:rPr>
              <w:t>hasta</w:t>
            </w:r>
            <w:r w:rsidRPr="002E23AD">
              <w:rPr>
                <w:rFonts w:ascii="Arial" w:eastAsia="Arial" w:hAnsi="Arial" w:cs="Arial"/>
                <w:color w:val="3B3838"/>
                <w:sz w:val="16"/>
                <w:szCs w:val="16"/>
                <w:lang w:val="es-ES"/>
              </w:rPr>
              <w:t xml:space="preserve"> </w:t>
            </w:r>
            <w:r w:rsidRPr="002E23AD">
              <w:rPr>
                <w:rFonts w:ascii="Arial" w:eastAsia="Calibri" w:hAnsi="Arial" w:cs="Arial"/>
                <w:color w:val="3B3838"/>
                <w:sz w:val="16"/>
                <w:szCs w:val="16"/>
                <w:lang w:val="es-ES"/>
              </w:rPr>
              <w:t>6</w:t>
            </w:r>
          </w:p>
        </w:tc>
        <w:tc>
          <w:tcPr>
            <w:tcW w:w="4192" w:type="dxa"/>
            <w:tcBorders>
              <w:top w:val="single" w:sz="4" w:space="0" w:color="000000"/>
              <w:left w:val="single" w:sz="4" w:space="0" w:color="000000"/>
              <w:bottom w:val="double" w:sz="4" w:space="0" w:color="auto"/>
              <w:right w:val="double" w:sz="4" w:space="0" w:color="auto"/>
            </w:tcBorders>
            <w:vAlign w:val="center"/>
            <w:hideMark/>
          </w:tcPr>
          <w:p w14:paraId="2379B19A" w14:textId="77777777" w:rsidR="002E23AD" w:rsidRPr="002E23AD" w:rsidRDefault="002E23AD" w:rsidP="002E23AD">
            <w:pPr>
              <w:spacing w:line="276" w:lineRule="auto"/>
              <w:jc w:val="center"/>
              <w:rPr>
                <w:rFonts w:ascii="Arial" w:eastAsia="Arial" w:hAnsi="Arial" w:cs="Arial"/>
                <w:color w:val="3B3838"/>
                <w:sz w:val="16"/>
                <w:szCs w:val="16"/>
                <w:lang w:val="es-ES"/>
              </w:rPr>
            </w:pPr>
            <w:r w:rsidRPr="002E23AD">
              <w:rPr>
                <w:rFonts w:ascii="Arial" w:eastAsia="Calibri" w:hAnsi="Arial" w:cs="Arial"/>
                <w:color w:val="3B3838"/>
                <w:sz w:val="16"/>
                <w:szCs w:val="16"/>
                <w:lang w:val="es-ES"/>
              </w:rPr>
              <w:t>150%</w:t>
            </w:r>
          </w:p>
        </w:tc>
      </w:tr>
    </w:tbl>
    <w:p w14:paraId="5C66EB47" w14:textId="77777777" w:rsidR="002E23AD" w:rsidRDefault="002E23AD" w:rsidP="00794D71">
      <w:pPr>
        <w:tabs>
          <w:tab w:val="left" w:pos="426"/>
        </w:tabs>
        <w:spacing w:before="120" w:after="120" w:line="276" w:lineRule="auto"/>
        <w:jc w:val="both"/>
        <w:rPr>
          <w:rFonts w:ascii="Arial" w:eastAsia="Calibri" w:hAnsi="Arial" w:cs="Arial"/>
          <w:color w:val="000000"/>
          <w:sz w:val="22"/>
          <w:lang w:val="es-CO"/>
        </w:rPr>
      </w:pPr>
    </w:p>
    <w:p w14:paraId="7C277C01" w14:textId="62D1B465" w:rsidR="00D512EA" w:rsidRDefault="00D512EA" w:rsidP="00794D71">
      <w:pPr>
        <w:tabs>
          <w:tab w:val="left" w:pos="426"/>
        </w:tabs>
        <w:spacing w:before="120" w:after="120" w:line="276" w:lineRule="auto"/>
        <w:jc w:val="both"/>
        <w:rPr>
          <w:rFonts w:ascii="Arial" w:eastAsia="Calibri" w:hAnsi="Arial" w:cs="Arial"/>
          <w:color w:val="000000"/>
          <w:sz w:val="22"/>
          <w:lang w:val="es-CO"/>
        </w:rPr>
      </w:pPr>
      <w:r>
        <w:rPr>
          <w:rFonts w:ascii="Arial" w:eastAsia="Calibri" w:hAnsi="Arial" w:cs="Arial"/>
          <w:color w:val="000000"/>
          <w:sz w:val="22"/>
          <w:lang w:val="es-CO"/>
        </w:rPr>
        <w:tab/>
      </w:r>
      <w:r w:rsidR="00CE0676">
        <w:rPr>
          <w:rFonts w:ascii="Arial" w:eastAsia="Calibri" w:hAnsi="Arial" w:cs="Arial"/>
          <w:color w:val="000000"/>
          <w:sz w:val="22"/>
          <w:lang w:val="es-CO"/>
        </w:rPr>
        <w:tab/>
      </w:r>
      <w:r>
        <w:rPr>
          <w:rFonts w:ascii="Arial" w:eastAsia="Calibri" w:hAnsi="Arial" w:cs="Arial"/>
          <w:color w:val="000000"/>
          <w:sz w:val="22"/>
          <w:lang w:val="es-CO"/>
        </w:rPr>
        <w:t xml:space="preserve">Al respecto es importante señalar </w:t>
      </w:r>
      <w:bookmarkStart w:id="3" w:name="_Hlk50643082"/>
      <w:r>
        <w:rPr>
          <w:rFonts w:ascii="Arial" w:eastAsia="Calibri" w:hAnsi="Arial" w:cs="Arial"/>
          <w:color w:val="000000"/>
          <w:sz w:val="22"/>
          <w:lang w:val="es-CO"/>
        </w:rPr>
        <w:t xml:space="preserve">el artículo </w:t>
      </w:r>
      <w:r w:rsidRPr="00897E07">
        <w:rPr>
          <w:rFonts w:ascii="Arial" w:eastAsia="Calibri" w:hAnsi="Arial" w:cs="Arial"/>
          <w:color w:val="000000"/>
          <w:sz w:val="22"/>
          <w:lang w:val="es-CO"/>
        </w:rPr>
        <w:t>2.2.1.2.6.1.5 del Decreto 1082 de 2015</w:t>
      </w:r>
      <w:r>
        <w:rPr>
          <w:rFonts w:ascii="Arial" w:eastAsia="Calibri" w:hAnsi="Arial" w:cs="Arial"/>
          <w:color w:val="000000"/>
          <w:sz w:val="22"/>
          <w:lang w:val="es-CO"/>
        </w:rPr>
        <w:t xml:space="preserve">, numeral 2, establece que la entidad conservará los requisitos exigidos en los documentos tipo. En este sentido, </w:t>
      </w:r>
      <w:r w:rsidR="00CE0676">
        <w:rPr>
          <w:rFonts w:ascii="Arial" w:eastAsia="Calibri" w:hAnsi="Arial" w:cs="Arial"/>
          <w:color w:val="000000"/>
          <w:sz w:val="22"/>
          <w:lang w:val="es-CO"/>
        </w:rPr>
        <w:t xml:space="preserve">los contratos que </w:t>
      </w:r>
      <w:r>
        <w:rPr>
          <w:rFonts w:ascii="Arial" w:eastAsia="Calibri" w:hAnsi="Arial" w:cs="Arial"/>
          <w:color w:val="000000"/>
          <w:sz w:val="22"/>
          <w:lang w:val="es-CO"/>
        </w:rPr>
        <w:t>el proponente</w:t>
      </w:r>
      <w:r w:rsidR="00CE0676">
        <w:rPr>
          <w:rFonts w:ascii="Arial" w:eastAsia="Calibri" w:hAnsi="Arial" w:cs="Arial"/>
          <w:color w:val="000000"/>
          <w:sz w:val="22"/>
          <w:lang w:val="es-CO"/>
        </w:rPr>
        <w:t xml:space="preserve"> presente</w:t>
      </w:r>
      <w:r>
        <w:rPr>
          <w:rFonts w:ascii="Arial" w:eastAsia="Calibri" w:hAnsi="Arial" w:cs="Arial"/>
          <w:color w:val="000000"/>
          <w:sz w:val="22"/>
          <w:lang w:val="es-CO"/>
        </w:rPr>
        <w:t xml:space="preserve"> para acreditar la experiencia de los bienes y servicios adicionales</w:t>
      </w:r>
      <w:r w:rsidR="00CE0676">
        <w:rPr>
          <w:rFonts w:ascii="Arial" w:eastAsia="Calibri" w:hAnsi="Arial" w:cs="Arial"/>
          <w:color w:val="000000"/>
          <w:sz w:val="22"/>
          <w:lang w:val="es-CO"/>
        </w:rPr>
        <w:t>,</w:t>
      </w:r>
      <w:r>
        <w:rPr>
          <w:rFonts w:ascii="Arial" w:eastAsia="Calibri" w:hAnsi="Arial" w:cs="Arial"/>
          <w:color w:val="000000"/>
          <w:sz w:val="22"/>
          <w:lang w:val="es-CO"/>
        </w:rPr>
        <w:t xml:space="preserve"> debe </w:t>
      </w:r>
      <w:r w:rsidR="00CE0676">
        <w:rPr>
          <w:rFonts w:ascii="Arial" w:eastAsia="Calibri" w:hAnsi="Arial" w:cs="Arial"/>
          <w:color w:val="000000"/>
          <w:sz w:val="22"/>
          <w:lang w:val="es-CO"/>
        </w:rPr>
        <w:t>aportarlos</w:t>
      </w:r>
      <w:r>
        <w:rPr>
          <w:rFonts w:ascii="Arial" w:eastAsia="Calibri" w:hAnsi="Arial" w:cs="Arial"/>
          <w:color w:val="000000"/>
          <w:sz w:val="22"/>
          <w:lang w:val="es-CO"/>
        </w:rPr>
        <w:t xml:space="preserve"> de acuerdo con lo establecido en el numeral 3.5 del «documento </w:t>
      </w:r>
      <w:r>
        <w:rPr>
          <w:rFonts w:ascii="Arial" w:eastAsia="Calibri" w:hAnsi="Arial" w:cs="Arial"/>
          <w:color w:val="000000"/>
          <w:sz w:val="22"/>
          <w:lang w:val="es-CO"/>
        </w:rPr>
        <w:lastRenderedPageBreak/>
        <w:t xml:space="preserve">base», que es a través de la información suministrada en el Registro </w:t>
      </w:r>
      <w:r w:rsidR="00CE0676">
        <w:rPr>
          <w:rFonts w:ascii="Arial" w:eastAsia="Calibri" w:hAnsi="Arial" w:cs="Arial"/>
          <w:color w:val="000000"/>
          <w:sz w:val="22"/>
          <w:lang w:val="es-CO"/>
        </w:rPr>
        <w:t>Ú</w:t>
      </w:r>
      <w:r>
        <w:rPr>
          <w:rFonts w:ascii="Arial" w:eastAsia="Calibri" w:hAnsi="Arial" w:cs="Arial"/>
          <w:color w:val="000000"/>
          <w:sz w:val="22"/>
          <w:lang w:val="es-CO"/>
        </w:rPr>
        <w:t xml:space="preserve">nico de </w:t>
      </w:r>
      <w:r w:rsidR="00CE0676">
        <w:rPr>
          <w:rFonts w:ascii="Arial" w:eastAsia="Calibri" w:hAnsi="Arial" w:cs="Arial"/>
          <w:color w:val="000000"/>
          <w:sz w:val="22"/>
          <w:lang w:val="es-CO"/>
        </w:rPr>
        <w:t>P</w:t>
      </w:r>
      <w:r>
        <w:rPr>
          <w:rFonts w:ascii="Arial" w:eastAsia="Calibri" w:hAnsi="Arial" w:cs="Arial"/>
          <w:color w:val="000000"/>
          <w:sz w:val="22"/>
          <w:lang w:val="es-CO"/>
        </w:rPr>
        <w:t xml:space="preserve">roponentes y la presentación del Formato 3 – Experiencia. Además, </w:t>
      </w:r>
      <w:r w:rsidR="00CE0676">
        <w:rPr>
          <w:rFonts w:ascii="Arial" w:eastAsia="Calibri" w:hAnsi="Arial" w:cs="Arial"/>
          <w:color w:val="000000"/>
          <w:sz w:val="22"/>
          <w:lang w:val="es-CO"/>
        </w:rPr>
        <w:t>los contratos aportados para acreditar la experiencia deben</w:t>
      </w:r>
      <w:r>
        <w:rPr>
          <w:rFonts w:ascii="Arial" w:eastAsia="Calibri" w:hAnsi="Arial" w:cs="Arial"/>
          <w:color w:val="000000"/>
          <w:sz w:val="22"/>
          <w:lang w:val="es-CO"/>
        </w:rPr>
        <w:t xml:space="preserve"> cumplir con los porcentajes requeridos en el numeral 3.5.7 del «documento base». </w:t>
      </w:r>
      <w:bookmarkEnd w:id="3"/>
    </w:p>
    <w:p w14:paraId="17C416FC" w14:textId="7B3FA1F6" w:rsidR="00D512EA" w:rsidRPr="00D512EA" w:rsidRDefault="00D512EA" w:rsidP="00D512EA">
      <w:pPr>
        <w:tabs>
          <w:tab w:val="left" w:pos="426"/>
        </w:tabs>
        <w:spacing w:before="120" w:after="120" w:line="276" w:lineRule="auto"/>
        <w:jc w:val="both"/>
        <w:rPr>
          <w:rFonts w:ascii="Arial" w:eastAsia="Calibri" w:hAnsi="Arial" w:cs="Arial"/>
          <w:color w:val="000000"/>
          <w:sz w:val="22"/>
          <w:lang w:val="es-ES"/>
        </w:rPr>
      </w:pPr>
      <w:r>
        <w:rPr>
          <w:rFonts w:ascii="Arial" w:eastAsia="Calibri" w:hAnsi="Arial" w:cs="Arial"/>
          <w:color w:val="000000"/>
          <w:sz w:val="22"/>
          <w:lang w:val="es-ES"/>
        </w:rPr>
        <w:tab/>
      </w:r>
      <w:r w:rsidR="00CE0676">
        <w:rPr>
          <w:rFonts w:ascii="Arial" w:eastAsia="Calibri" w:hAnsi="Arial" w:cs="Arial"/>
          <w:color w:val="000000"/>
          <w:sz w:val="22"/>
          <w:lang w:val="es-ES"/>
        </w:rPr>
        <w:tab/>
      </w:r>
      <w:r w:rsidRPr="00D512EA">
        <w:rPr>
          <w:rFonts w:ascii="Arial" w:eastAsia="Calibri" w:hAnsi="Arial" w:cs="Arial"/>
          <w:color w:val="000000"/>
          <w:sz w:val="22"/>
          <w:lang w:val="es-ES"/>
        </w:rPr>
        <w:t xml:space="preserve">Es decir, la verificación se hará con base en la sumatoria de los valores totales </w:t>
      </w:r>
      <w:r w:rsidR="00B919EE">
        <w:rPr>
          <w:rFonts w:ascii="Arial" w:eastAsia="Calibri" w:hAnsi="Arial" w:cs="Arial"/>
          <w:color w:val="000000"/>
          <w:sz w:val="22"/>
          <w:lang w:val="es-ES"/>
        </w:rPr>
        <w:t>–</w:t>
      </w:r>
      <w:r w:rsidRPr="00D512EA">
        <w:rPr>
          <w:rFonts w:ascii="Arial" w:eastAsia="Calibri" w:hAnsi="Arial" w:cs="Arial"/>
          <w:color w:val="000000"/>
          <w:sz w:val="22"/>
          <w:lang w:val="es-ES"/>
        </w:rPr>
        <w:t>incluido IVA</w:t>
      </w:r>
      <w:r w:rsidR="00B919EE">
        <w:rPr>
          <w:rFonts w:ascii="Arial" w:eastAsia="Calibri" w:hAnsi="Arial" w:cs="Arial"/>
          <w:color w:val="000000"/>
          <w:sz w:val="22"/>
          <w:lang w:val="es-ES"/>
        </w:rPr>
        <w:t>–</w:t>
      </w:r>
      <w:r w:rsidRPr="00D512EA">
        <w:rPr>
          <w:rFonts w:ascii="Arial" w:eastAsia="Calibri" w:hAnsi="Arial" w:cs="Arial"/>
          <w:color w:val="000000"/>
          <w:sz w:val="22"/>
          <w:lang w:val="es-ES"/>
        </w:rPr>
        <w:t xml:space="preserve"> en SMMLV ejecutados de los contratos relacionados con la obra pública de infraestructura de transporte y los contratos que acreditan la verificación de bienes y servicios adicionales a la obra pública que cumplen con los requisitos establecidos en este Pliego de Condiciones, sin que puedan aportarse más de 6 contratos.</w:t>
      </w:r>
    </w:p>
    <w:p w14:paraId="1DBA8796" w14:textId="665079D3" w:rsidR="00D512EA" w:rsidRDefault="00D512EA" w:rsidP="00D512EA">
      <w:pPr>
        <w:tabs>
          <w:tab w:val="left" w:pos="426"/>
        </w:tabs>
        <w:spacing w:before="120" w:after="120" w:line="276" w:lineRule="auto"/>
        <w:jc w:val="both"/>
        <w:rPr>
          <w:rFonts w:ascii="Arial" w:eastAsia="Calibri" w:hAnsi="Arial" w:cs="Arial"/>
          <w:color w:val="000000"/>
          <w:sz w:val="22"/>
          <w:lang w:val="es-ES"/>
        </w:rPr>
      </w:pPr>
      <w:r>
        <w:rPr>
          <w:rFonts w:ascii="Arial" w:eastAsia="Calibri" w:hAnsi="Arial" w:cs="Arial"/>
          <w:color w:val="000000"/>
          <w:sz w:val="22"/>
          <w:lang w:val="es-ES"/>
        </w:rPr>
        <w:tab/>
      </w:r>
      <w:r w:rsidR="00CE0676">
        <w:rPr>
          <w:rFonts w:ascii="Arial" w:eastAsia="Calibri" w:hAnsi="Arial" w:cs="Arial"/>
          <w:color w:val="000000"/>
          <w:sz w:val="22"/>
          <w:lang w:val="es-ES"/>
        </w:rPr>
        <w:tab/>
      </w:r>
      <w:r w:rsidRPr="00D512EA">
        <w:rPr>
          <w:rFonts w:ascii="Arial" w:eastAsia="Calibri" w:hAnsi="Arial" w:cs="Arial"/>
          <w:color w:val="000000"/>
          <w:sz w:val="22"/>
          <w:lang w:val="es-ES"/>
        </w:rPr>
        <w:t>En este sentido, si el contratista aporta dos (2) contratos que permiten acreditar la experiencia exigida en la Matriz 1 – Experiencia y un (1) contrato que permite acreditar la experiencia de bienes y servicios adicionales, la sumatoria de los valores ejecutados de los tres (3) contratos aportados debe corresponder al 120% del presupuesto oficial del proceso de contratación.</w:t>
      </w:r>
      <w:r>
        <w:rPr>
          <w:rFonts w:ascii="Arial" w:eastAsia="Calibri" w:hAnsi="Arial" w:cs="Arial"/>
          <w:color w:val="000000"/>
          <w:sz w:val="22"/>
          <w:lang w:val="es-ES"/>
        </w:rPr>
        <w:t xml:space="preserve"> </w:t>
      </w:r>
      <w:r w:rsidRPr="00D512EA">
        <w:rPr>
          <w:rFonts w:ascii="Arial" w:eastAsia="Calibri" w:hAnsi="Arial" w:cs="Arial"/>
          <w:color w:val="000000"/>
          <w:sz w:val="22"/>
          <w:lang w:val="es-ES"/>
        </w:rPr>
        <w:t>En caso de que el número de contratos con los cuales el Proponente acredita la experiencia no satisfaga el porcentaje mínimo a certificar, establecido en la anterior tabla, se calificará la propuesta como no hábil</w:t>
      </w:r>
      <w:r>
        <w:rPr>
          <w:rFonts w:ascii="Arial" w:eastAsia="Calibri" w:hAnsi="Arial" w:cs="Arial"/>
          <w:color w:val="000000"/>
          <w:sz w:val="22"/>
          <w:lang w:val="es-ES"/>
        </w:rPr>
        <w:t xml:space="preserve">. </w:t>
      </w:r>
    </w:p>
    <w:p w14:paraId="5AF31FC0" w14:textId="34287D83" w:rsidR="00D512EA" w:rsidRPr="00D512EA" w:rsidRDefault="00CE0676" w:rsidP="00036055">
      <w:pPr>
        <w:tabs>
          <w:tab w:val="left" w:pos="426"/>
        </w:tabs>
        <w:spacing w:line="276" w:lineRule="auto"/>
        <w:jc w:val="both"/>
        <w:rPr>
          <w:rFonts w:ascii="Arial" w:eastAsia="Calibri" w:hAnsi="Arial" w:cs="Arial"/>
          <w:color w:val="000000"/>
          <w:sz w:val="22"/>
          <w:lang w:val="es-ES"/>
        </w:rPr>
      </w:pPr>
      <w:r>
        <w:rPr>
          <w:rFonts w:ascii="Arial" w:eastAsia="Calibri" w:hAnsi="Arial" w:cs="Arial"/>
          <w:color w:val="000000"/>
          <w:sz w:val="22"/>
          <w:lang w:val="es-ES"/>
        </w:rPr>
        <w:tab/>
      </w:r>
    </w:p>
    <w:p w14:paraId="12CB8749" w14:textId="2090D102" w:rsidR="00285367" w:rsidRDefault="00C60791" w:rsidP="00285367">
      <w:pPr>
        <w:pStyle w:val="Prrafodelista"/>
        <w:numPr>
          <w:ilvl w:val="0"/>
          <w:numId w:val="6"/>
        </w:numPr>
        <w:spacing w:line="276" w:lineRule="auto"/>
        <w:ind w:left="993" w:hanging="284"/>
        <w:contextualSpacing w:val="0"/>
        <w:jc w:val="both"/>
        <w:rPr>
          <w:rFonts w:ascii="Arial" w:eastAsia="Calibri" w:hAnsi="Arial" w:cs="Arial"/>
          <w:b/>
          <w:bCs/>
          <w:color w:val="000000"/>
          <w:sz w:val="22"/>
        </w:rPr>
      </w:pPr>
      <w:r w:rsidRPr="00BD12F0">
        <w:rPr>
          <w:rFonts w:ascii="Arial" w:eastAsia="Calibri" w:hAnsi="Arial" w:cs="Arial"/>
          <w:b/>
          <w:bCs/>
          <w:color w:val="000000"/>
          <w:sz w:val="22"/>
        </w:rPr>
        <w:t>Respuesta</w:t>
      </w:r>
      <w:r w:rsidR="00285367">
        <w:rPr>
          <w:rFonts w:ascii="Arial" w:eastAsia="Calibri" w:hAnsi="Arial" w:cs="Arial"/>
          <w:b/>
          <w:bCs/>
          <w:color w:val="000000"/>
          <w:sz w:val="22"/>
        </w:rPr>
        <w:t>s</w:t>
      </w:r>
    </w:p>
    <w:p w14:paraId="6EAEF7B1" w14:textId="77777777" w:rsidR="00B919EE" w:rsidRPr="00285367" w:rsidRDefault="00B919EE" w:rsidP="00036055">
      <w:pPr>
        <w:pStyle w:val="Prrafodelista"/>
        <w:spacing w:line="276" w:lineRule="auto"/>
        <w:ind w:left="993"/>
        <w:contextualSpacing w:val="0"/>
        <w:jc w:val="both"/>
        <w:rPr>
          <w:rFonts w:ascii="Arial" w:eastAsia="Calibri" w:hAnsi="Arial" w:cs="Arial"/>
          <w:b/>
          <w:bCs/>
          <w:color w:val="000000"/>
          <w:sz w:val="22"/>
        </w:rPr>
      </w:pPr>
    </w:p>
    <w:p w14:paraId="51AB8AC0" w14:textId="74EE338B" w:rsidR="00285367" w:rsidRDefault="00285367" w:rsidP="00036055">
      <w:pPr>
        <w:tabs>
          <w:tab w:val="left" w:pos="426"/>
        </w:tabs>
        <w:ind w:left="709" w:right="709"/>
        <w:jc w:val="both"/>
        <w:rPr>
          <w:rFonts w:ascii="Arial" w:eastAsia="Calibri" w:hAnsi="Arial" w:cs="Arial"/>
          <w:color w:val="000000"/>
          <w:sz w:val="21"/>
          <w:szCs w:val="21"/>
          <w:lang w:val="es-CO"/>
        </w:rPr>
      </w:pPr>
      <w:r w:rsidRPr="00285367">
        <w:rPr>
          <w:rFonts w:ascii="Arial" w:eastAsia="Calibri" w:hAnsi="Arial" w:cs="Arial"/>
          <w:color w:val="000000"/>
          <w:sz w:val="21"/>
          <w:szCs w:val="21"/>
          <w:lang w:val="es-CO"/>
        </w:rPr>
        <w:t xml:space="preserve">i) Cuando una entidad estatal solicita experiencia adicional observando los requisitos </w:t>
      </w:r>
      <w:r w:rsidRPr="00897E07">
        <w:rPr>
          <w:rFonts w:ascii="Arial" w:eastAsia="Calibri" w:hAnsi="Arial" w:cs="Arial"/>
          <w:color w:val="000000"/>
          <w:sz w:val="21"/>
          <w:szCs w:val="21"/>
          <w:lang w:val="es-CO"/>
        </w:rPr>
        <w:t>establecidos por el artículo 2.2.1.2.6.1.5 del Decreto 1082 de 2015, se debe entender que</w:t>
      </w:r>
      <w:r w:rsidRPr="00285367">
        <w:rPr>
          <w:rFonts w:ascii="Arial" w:eastAsia="Calibri" w:hAnsi="Arial" w:cs="Arial"/>
          <w:color w:val="000000"/>
          <w:sz w:val="21"/>
          <w:szCs w:val="21"/>
          <w:lang w:val="es-CO"/>
        </w:rPr>
        <w:t xml:space="preserve"> </w:t>
      </w:r>
      <w:r w:rsidRPr="00897E07">
        <w:rPr>
          <w:rFonts w:ascii="Arial" w:eastAsia="Calibri" w:hAnsi="Arial" w:cs="Arial"/>
          <w:color w:val="000000"/>
          <w:sz w:val="21"/>
          <w:szCs w:val="21"/>
          <w:lang w:val="es-CO"/>
        </w:rPr>
        <w:t>los contratos para acreditar la experiencia adicional son los mismos contratos que se utilizan</w:t>
      </w:r>
      <w:r w:rsidRPr="00285367">
        <w:rPr>
          <w:rFonts w:ascii="Arial" w:eastAsia="Calibri" w:hAnsi="Arial" w:cs="Arial"/>
          <w:color w:val="000000"/>
          <w:sz w:val="21"/>
          <w:szCs w:val="21"/>
          <w:lang w:val="es-CO"/>
        </w:rPr>
        <w:t xml:space="preserve"> </w:t>
      </w:r>
      <w:r w:rsidRPr="00897E07">
        <w:rPr>
          <w:rFonts w:ascii="Arial" w:eastAsia="Calibri" w:hAnsi="Arial" w:cs="Arial"/>
          <w:color w:val="000000"/>
          <w:sz w:val="21"/>
          <w:szCs w:val="21"/>
          <w:lang w:val="es-CO"/>
        </w:rPr>
        <w:t>para acreditar la experiencia de matriz 1 de los pliegos tipo para infraestructura de</w:t>
      </w:r>
      <w:r w:rsidRPr="00285367">
        <w:rPr>
          <w:rFonts w:ascii="Arial" w:eastAsia="Calibri" w:hAnsi="Arial" w:cs="Arial"/>
          <w:color w:val="000000"/>
          <w:sz w:val="21"/>
          <w:szCs w:val="21"/>
          <w:lang w:val="es-CO"/>
        </w:rPr>
        <w:t xml:space="preserve"> </w:t>
      </w:r>
      <w:r w:rsidRPr="00897E07">
        <w:rPr>
          <w:rFonts w:ascii="Arial" w:eastAsia="Calibri" w:hAnsi="Arial" w:cs="Arial"/>
          <w:color w:val="000000"/>
          <w:sz w:val="21"/>
          <w:szCs w:val="21"/>
          <w:lang w:val="es-CO"/>
        </w:rPr>
        <w:t>transporte V2?</w:t>
      </w:r>
      <w:r w:rsidRPr="00285367">
        <w:rPr>
          <w:rFonts w:ascii="Arial" w:eastAsia="Calibri" w:hAnsi="Arial" w:cs="Arial"/>
          <w:color w:val="000000"/>
          <w:sz w:val="21"/>
          <w:szCs w:val="21"/>
          <w:lang w:val="es-CO"/>
        </w:rPr>
        <w:t xml:space="preserve"> [sic]</w:t>
      </w:r>
      <w:r w:rsidRPr="00897E07">
        <w:rPr>
          <w:rFonts w:ascii="Arial" w:eastAsia="Calibri" w:hAnsi="Arial" w:cs="Arial"/>
          <w:color w:val="000000"/>
          <w:sz w:val="21"/>
          <w:szCs w:val="21"/>
          <w:lang w:val="es-CO"/>
        </w:rPr>
        <w:t xml:space="preserve"> </w:t>
      </w:r>
      <w:r w:rsidRPr="00285367">
        <w:rPr>
          <w:rFonts w:ascii="Arial" w:eastAsia="Calibri" w:hAnsi="Arial" w:cs="Arial"/>
          <w:color w:val="000000"/>
          <w:sz w:val="21"/>
          <w:szCs w:val="21"/>
          <w:lang w:val="es-CO"/>
        </w:rPr>
        <w:t>¿</w:t>
      </w:r>
      <w:r w:rsidRPr="00897E07">
        <w:rPr>
          <w:rFonts w:ascii="Arial" w:eastAsia="Calibri" w:hAnsi="Arial" w:cs="Arial"/>
          <w:color w:val="000000"/>
          <w:sz w:val="21"/>
          <w:szCs w:val="21"/>
          <w:lang w:val="es-CO"/>
        </w:rPr>
        <w:t>O se debe entender que los contratos para acreditar experiencia adicional</w:t>
      </w:r>
      <w:r w:rsidRPr="00285367">
        <w:rPr>
          <w:rFonts w:ascii="Arial" w:eastAsia="Calibri" w:hAnsi="Arial" w:cs="Arial"/>
          <w:color w:val="000000"/>
          <w:sz w:val="21"/>
          <w:szCs w:val="21"/>
          <w:lang w:val="es-CO"/>
        </w:rPr>
        <w:t xml:space="preserve"> </w:t>
      </w:r>
      <w:r w:rsidRPr="00897E07">
        <w:rPr>
          <w:rFonts w:ascii="Arial" w:eastAsia="Calibri" w:hAnsi="Arial" w:cs="Arial"/>
          <w:color w:val="000000"/>
          <w:sz w:val="21"/>
          <w:szCs w:val="21"/>
          <w:lang w:val="es-CO"/>
        </w:rPr>
        <w:t>son adicionales o diferentes a los aportados para acreditar la experiencia de la matriz 1, a</w:t>
      </w:r>
      <w:r w:rsidRPr="00285367">
        <w:rPr>
          <w:rFonts w:ascii="Arial" w:eastAsia="Calibri" w:hAnsi="Arial" w:cs="Arial"/>
          <w:color w:val="000000"/>
          <w:sz w:val="21"/>
          <w:szCs w:val="21"/>
          <w:lang w:val="es-CO"/>
        </w:rPr>
        <w:t xml:space="preserve"> </w:t>
      </w:r>
      <w:r w:rsidRPr="00897E07">
        <w:rPr>
          <w:rFonts w:ascii="Arial" w:eastAsia="Calibri" w:hAnsi="Arial" w:cs="Arial"/>
          <w:color w:val="000000"/>
          <w:sz w:val="21"/>
          <w:szCs w:val="21"/>
          <w:lang w:val="es-CO"/>
        </w:rPr>
        <w:t>potestad de los proponentes?</w:t>
      </w:r>
    </w:p>
    <w:p w14:paraId="713C497D" w14:textId="77777777" w:rsidR="00B919EE" w:rsidRPr="00285367" w:rsidRDefault="00B919EE" w:rsidP="00036055">
      <w:pPr>
        <w:tabs>
          <w:tab w:val="left" w:pos="426"/>
        </w:tabs>
        <w:ind w:left="709" w:right="709"/>
        <w:jc w:val="both"/>
        <w:rPr>
          <w:rFonts w:ascii="Arial" w:eastAsia="Calibri" w:hAnsi="Arial" w:cs="Arial"/>
          <w:color w:val="000000"/>
          <w:sz w:val="21"/>
          <w:szCs w:val="21"/>
          <w:lang w:val="es-CO"/>
        </w:rPr>
      </w:pPr>
    </w:p>
    <w:p w14:paraId="0135B680" w14:textId="688619BE" w:rsidR="00285367" w:rsidRDefault="00285367" w:rsidP="00036055">
      <w:pPr>
        <w:tabs>
          <w:tab w:val="left" w:pos="426"/>
        </w:tabs>
        <w:ind w:left="709" w:right="709"/>
        <w:jc w:val="both"/>
        <w:rPr>
          <w:rFonts w:ascii="Arial" w:eastAsia="Calibri" w:hAnsi="Arial" w:cs="Arial"/>
          <w:color w:val="000000"/>
          <w:sz w:val="21"/>
          <w:szCs w:val="21"/>
          <w:lang w:val="es-CO"/>
        </w:rPr>
      </w:pPr>
      <w:r w:rsidRPr="00897E07">
        <w:rPr>
          <w:rFonts w:ascii="Arial" w:eastAsia="Calibri" w:hAnsi="Arial" w:cs="Arial"/>
          <w:color w:val="000000"/>
          <w:sz w:val="21"/>
          <w:szCs w:val="21"/>
          <w:lang w:val="es-CO"/>
        </w:rPr>
        <w:t>Es decir, si en un proceso de selección se solicita experiencia de la matriz 1 y a su vez</w:t>
      </w:r>
      <w:r w:rsidRPr="00285367">
        <w:rPr>
          <w:rFonts w:ascii="Arial" w:eastAsia="Calibri" w:hAnsi="Arial" w:cs="Arial"/>
          <w:color w:val="000000"/>
          <w:sz w:val="21"/>
          <w:szCs w:val="21"/>
          <w:lang w:val="es-CO"/>
        </w:rPr>
        <w:t xml:space="preserve"> experiencia adicional, el número máximo de contratos para acreditar estas dos experiencias es seis contratos para ambas; o ¿seis contratos para la experiencia de la Matriz 1 y seis contratos para acreditar la experiencia adicional, para un total de 12 contratos?</w:t>
      </w:r>
    </w:p>
    <w:p w14:paraId="7B967D97" w14:textId="77777777" w:rsidR="00B919EE" w:rsidRPr="00285367" w:rsidRDefault="00B919EE" w:rsidP="00036055">
      <w:pPr>
        <w:tabs>
          <w:tab w:val="left" w:pos="426"/>
        </w:tabs>
        <w:ind w:left="426" w:right="709"/>
        <w:jc w:val="both"/>
        <w:rPr>
          <w:rFonts w:ascii="Arial" w:eastAsia="Calibri" w:hAnsi="Arial" w:cs="Arial"/>
          <w:color w:val="000000"/>
          <w:sz w:val="21"/>
          <w:szCs w:val="21"/>
          <w:lang w:val="es-CO"/>
        </w:rPr>
      </w:pPr>
    </w:p>
    <w:p w14:paraId="06C60725" w14:textId="034D4701" w:rsidR="00B919EE" w:rsidRDefault="00B919EE" w:rsidP="00285367">
      <w:pPr>
        <w:spacing w:line="276" w:lineRule="auto"/>
        <w:jc w:val="both"/>
        <w:rPr>
          <w:rFonts w:ascii="Arial" w:eastAsia="Calibri" w:hAnsi="Arial" w:cs="Arial"/>
          <w:color w:val="000000"/>
          <w:sz w:val="22"/>
          <w:lang w:val="es-CO"/>
        </w:rPr>
      </w:pPr>
      <w:r>
        <w:rPr>
          <w:rFonts w:ascii="Arial" w:eastAsia="Calibri" w:hAnsi="Arial" w:cs="Arial"/>
          <w:color w:val="000000"/>
          <w:sz w:val="22"/>
          <w:lang w:val="es-CO"/>
        </w:rPr>
        <w:t>L</w:t>
      </w:r>
      <w:r w:rsidRPr="00036055">
        <w:rPr>
          <w:rFonts w:ascii="Arial" w:eastAsia="Calibri" w:hAnsi="Arial" w:cs="Arial"/>
          <w:color w:val="000000"/>
          <w:sz w:val="22"/>
          <w:lang w:val="es-CO"/>
        </w:rPr>
        <w:t xml:space="preserve">os contratos que se aportan para acreditar la experiencia de bienes y servicios adicionales pueden ser los mismos con los que se acredita la experiencia exigida en la Matriz 1 – Experiencia o pueden ser contratos diferentes, siempre y cuando la cantidad de los contratos que se aporten para acreditar la totalidad de la experiencia no sea mayor a 6 contratos, es decir, con este tope de contratos se deben acreditar las actividades </w:t>
      </w:r>
      <w:r w:rsidRPr="00036055">
        <w:rPr>
          <w:rFonts w:ascii="Arial" w:eastAsia="Calibri" w:hAnsi="Arial" w:cs="Arial"/>
          <w:color w:val="000000"/>
          <w:sz w:val="22"/>
          <w:lang w:val="es-CO"/>
        </w:rPr>
        <w:lastRenderedPageBreak/>
        <w:t>relacionadas con la obra pública de transporte y los contratos para las actividades relacionadas con los bienes y servicios adicionales a la obra pública</w:t>
      </w:r>
      <w:r>
        <w:rPr>
          <w:rFonts w:ascii="Arial" w:eastAsia="Calibri" w:hAnsi="Arial" w:cs="Arial"/>
          <w:color w:val="000000"/>
          <w:sz w:val="22"/>
          <w:lang w:val="es-CO"/>
        </w:rPr>
        <w:t>.</w:t>
      </w:r>
    </w:p>
    <w:p w14:paraId="51465B82" w14:textId="2FF84BD2" w:rsidR="00B919EE" w:rsidRPr="00285367" w:rsidRDefault="00B919EE" w:rsidP="00285367">
      <w:pPr>
        <w:spacing w:line="276" w:lineRule="auto"/>
        <w:jc w:val="both"/>
        <w:rPr>
          <w:rFonts w:ascii="Arial" w:eastAsia="Calibri" w:hAnsi="Arial" w:cs="Arial"/>
          <w:color w:val="000000"/>
          <w:sz w:val="22"/>
          <w:lang w:val="es-CO"/>
        </w:rPr>
      </w:pPr>
    </w:p>
    <w:p w14:paraId="27C686AB" w14:textId="15071893" w:rsidR="002C7D60" w:rsidRDefault="002C7D60" w:rsidP="00B919EE">
      <w:pPr>
        <w:tabs>
          <w:tab w:val="left" w:pos="426"/>
        </w:tabs>
        <w:ind w:left="709" w:right="709"/>
        <w:jc w:val="both"/>
        <w:rPr>
          <w:rFonts w:ascii="Arial" w:eastAsia="Calibri" w:hAnsi="Arial" w:cs="Arial"/>
          <w:color w:val="000000"/>
          <w:sz w:val="21"/>
          <w:szCs w:val="21"/>
          <w:lang w:val="es-CO"/>
        </w:rPr>
      </w:pPr>
      <w:r w:rsidRPr="002C7D60">
        <w:rPr>
          <w:rFonts w:ascii="Arial" w:eastAsia="Calibri" w:hAnsi="Arial" w:cs="Arial"/>
          <w:color w:val="000000"/>
          <w:sz w:val="21"/>
          <w:szCs w:val="21"/>
          <w:lang w:val="es-CO"/>
        </w:rPr>
        <w:t xml:space="preserve">ii) Cuando una entidad estatal solicita experiencia adicional observando los requisitos </w:t>
      </w:r>
      <w:r w:rsidRPr="00776C84">
        <w:rPr>
          <w:rFonts w:ascii="Arial" w:eastAsia="Calibri" w:hAnsi="Arial" w:cs="Arial"/>
          <w:color w:val="000000"/>
          <w:sz w:val="21"/>
          <w:szCs w:val="21"/>
          <w:lang w:val="es-CO"/>
        </w:rPr>
        <w:t>establecidos por el artículo 2.2.1.2.6.1.5 del Decreto 1082 de 2015, se debe entender que</w:t>
      </w:r>
      <w:r w:rsidRPr="002C7D60">
        <w:rPr>
          <w:rFonts w:ascii="Arial" w:eastAsia="Calibri" w:hAnsi="Arial" w:cs="Arial"/>
          <w:color w:val="000000"/>
          <w:sz w:val="21"/>
          <w:szCs w:val="21"/>
          <w:lang w:val="es-CO"/>
        </w:rPr>
        <w:t xml:space="preserve"> la cuantía para acreditar la experiencia adicional debe ser la misma establecida en la tabla del numeral 3.5.7 de los pliegos tipo para infraestructura de transporte V2, a sabe</w:t>
      </w:r>
      <w:r>
        <w:rPr>
          <w:rFonts w:ascii="Arial" w:eastAsia="Calibri" w:hAnsi="Arial" w:cs="Arial"/>
          <w:color w:val="000000"/>
          <w:sz w:val="21"/>
          <w:szCs w:val="21"/>
          <w:lang w:val="es-CO"/>
        </w:rPr>
        <w:t>r?</w:t>
      </w:r>
    </w:p>
    <w:p w14:paraId="4C46731A" w14:textId="77777777" w:rsidR="00B919EE" w:rsidRDefault="00B919EE" w:rsidP="00036055">
      <w:pPr>
        <w:tabs>
          <w:tab w:val="left" w:pos="426"/>
        </w:tabs>
        <w:ind w:left="709" w:right="709"/>
        <w:jc w:val="both"/>
        <w:rPr>
          <w:rFonts w:ascii="Arial" w:eastAsia="Calibri" w:hAnsi="Arial" w:cs="Arial"/>
          <w:color w:val="000000"/>
          <w:sz w:val="21"/>
          <w:szCs w:val="21"/>
          <w:lang w:val="es-CO"/>
        </w:rPr>
      </w:pPr>
    </w:p>
    <w:p w14:paraId="16EFC0D6" w14:textId="13316E1C" w:rsidR="00C23649" w:rsidRDefault="00C23649" w:rsidP="00B919EE">
      <w:pPr>
        <w:tabs>
          <w:tab w:val="left" w:pos="426"/>
        </w:tabs>
        <w:ind w:left="709" w:right="709"/>
        <w:jc w:val="both"/>
        <w:rPr>
          <w:rFonts w:ascii="Arial" w:eastAsia="Calibri" w:hAnsi="Arial" w:cs="Arial"/>
          <w:color w:val="000000"/>
          <w:sz w:val="21"/>
          <w:szCs w:val="21"/>
          <w:lang w:val="es-CO"/>
        </w:rPr>
      </w:pPr>
      <w:r w:rsidRPr="00C23649">
        <w:rPr>
          <w:rFonts w:ascii="Arial" w:eastAsia="Calibri" w:hAnsi="Arial" w:cs="Arial"/>
          <w:color w:val="000000"/>
          <w:sz w:val="21"/>
          <w:szCs w:val="21"/>
          <w:lang w:val="es-CO"/>
        </w:rPr>
        <w:t xml:space="preserve">iii) En caso de que la respuesta al anterior interrogante sea afirmativa se debe entender que </w:t>
      </w:r>
      <w:r w:rsidRPr="006378EF">
        <w:rPr>
          <w:rFonts w:ascii="Arial" w:eastAsia="Calibri" w:hAnsi="Arial" w:cs="Arial"/>
          <w:color w:val="000000"/>
          <w:sz w:val="21"/>
          <w:szCs w:val="21"/>
          <w:lang w:val="es-CO"/>
        </w:rPr>
        <w:t>la experiencia adicional se debe acreditar teniendo como base el valor del presupuesto oficial</w:t>
      </w:r>
      <w:r w:rsidRPr="00C23649">
        <w:rPr>
          <w:rFonts w:ascii="Arial" w:eastAsia="Calibri" w:hAnsi="Arial" w:cs="Arial"/>
          <w:color w:val="000000"/>
          <w:sz w:val="21"/>
          <w:szCs w:val="21"/>
          <w:lang w:val="es-CO"/>
        </w:rPr>
        <w:t xml:space="preserve"> </w:t>
      </w:r>
      <w:r w:rsidRPr="006378EF">
        <w:rPr>
          <w:rFonts w:ascii="Arial" w:eastAsia="Calibri" w:hAnsi="Arial" w:cs="Arial"/>
          <w:color w:val="000000"/>
          <w:sz w:val="21"/>
          <w:szCs w:val="21"/>
          <w:lang w:val="es-CO"/>
        </w:rPr>
        <w:t xml:space="preserve">del proceso de selección? </w:t>
      </w:r>
      <w:r w:rsidRPr="00C23649">
        <w:rPr>
          <w:rFonts w:ascii="Arial" w:eastAsia="Calibri" w:hAnsi="Arial" w:cs="Arial"/>
          <w:color w:val="000000"/>
          <w:sz w:val="21"/>
          <w:szCs w:val="21"/>
          <w:lang w:val="es-CO"/>
        </w:rPr>
        <w:t xml:space="preserve">[sic] ¿O lo que sería más justo y adecuado, tener como base el valor que tengan los bienes y servicios adicionales (a infraestructura de transporte) dentro del presupuesto oficial del proceso de selección? </w:t>
      </w:r>
      <w:r w:rsidRPr="00776C84">
        <w:rPr>
          <w:rFonts w:ascii="Arial" w:eastAsia="Calibri" w:hAnsi="Arial" w:cs="Arial"/>
          <w:color w:val="000000"/>
          <w:sz w:val="21"/>
          <w:szCs w:val="21"/>
          <w:lang w:val="es-CO"/>
        </w:rPr>
        <w:t>la cuantía para acreditar la experiencia adicional debe ser la misma establecida en la tabla</w:t>
      </w:r>
      <w:r w:rsidRPr="00C23649">
        <w:rPr>
          <w:rFonts w:ascii="Arial" w:eastAsia="Calibri" w:hAnsi="Arial" w:cs="Arial"/>
          <w:color w:val="000000"/>
          <w:sz w:val="21"/>
          <w:szCs w:val="21"/>
          <w:lang w:val="es-CO"/>
        </w:rPr>
        <w:t xml:space="preserve"> del numeral 3.5.7 de los pliegos tipo para infraestructura de transporte V2, a saber?</w:t>
      </w:r>
    </w:p>
    <w:p w14:paraId="6A59E084" w14:textId="77777777" w:rsidR="00B919EE" w:rsidRPr="00C23649" w:rsidRDefault="00B919EE" w:rsidP="00036055">
      <w:pPr>
        <w:tabs>
          <w:tab w:val="left" w:pos="426"/>
        </w:tabs>
        <w:ind w:left="709" w:right="709"/>
        <w:jc w:val="both"/>
        <w:rPr>
          <w:rFonts w:ascii="Arial" w:eastAsia="Calibri" w:hAnsi="Arial" w:cs="Arial"/>
          <w:color w:val="000000"/>
          <w:sz w:val="21"/>
          <w:szCs w:val="21"/>
          <w:lang w:val="es-CO"/>
        </w:rPr>
      </w:pPr>
    </w:p>
    <w:p w14:paraId="3190AE30" w14:textId="6E251BB4" w:rsidR="00595FF7" w:rsidRDefault="00595FF7" w:rsidP="00595FF7">
      <w:pPr>
        <w:tabs>
          <w:tab w:val="left" w:pos="426"/>
        </w:tabs>
        <w:spacing w:before="120" w:after="120" w:line="276" w:lineRule="auto"/>
        <w:jc w:val="both"/>
        <w:rPr>
          <w:rFonts w:ascii="Arial" w:eastAsia="Calibri" w:hAnsi="Arial" w:cs="Arial"/>
          <w:color w:val="000000"/>
          <w:sz w:val="22"/>
          <w:lang w:val="es-CO"/>
        </w:rPr>
      </w:pPr>
      <w:r>
        <w:rPr>
          <w:rFonts w:ascii="Arial" w:eastAsia="Calibri" w:hAnsi="Arial" w:cs="Arial"/>
          <w:color w:val="000000"/>
          <w:sz w:val="22"/>
          <w:lang w:val="es-CO"/>
        </w:rPr>
        <w:t xml:space="preserve">El artículo </w:t>
      </w:r>
      <w:r w:rsidRPr="00897E07">
        <w:rPr>
          <w:rFonts w:ascii="Arial" w:eastAsia="Calibri" w:hAnsi="Arial" w:cs="Arial"/>
          <w:color w:val="000000"/>
          <w:sz w:val="22"/>
          <w:lang w:val="es-CO"/>
        </w:rPr>
        <w:t>2.2.1.2.6.1.5 del Decreto 1082 de 2015</w:t>
      </w:r>
      <w:r>
        <w:rPr>
          <w:rFonts w:ascii="Arial" w:eastAsia="Calibri" w:hAnsi="Arial" w:cs="Arial"/>
          <w:color w:val="000000"/>
          <w:sz w:val="22"/>
          <w:lang w:val="es-CO"/>
        </w:rPr>
        <w:t xml:space="preserve">, numeral 2, establece que la entidad conservará los requisitos exigidos en los documentos tipo. En este sentido, los contratos que el proponente presente para acreditar la experiencia de los bienes y servicios adicionales, debe aportarlos de acuerdo con lo establecido en el numeral 3.5 del «documento base», que es a través de la información suministrada en el Registro Único de Proponentes y la presentación del Formato 3 – Experiencia. Además, los contratos aportados para acreditar la experiencia deben cumplir con los porcentajes requeridos en el numeral 3.5.7 del «documento base». </w:t>
      </w:r>
    </w:p>
    <w:p w14:paraId="167730CC" w14:textId="77777777" w:rsidR="00595FF7" w:rsidRPr="00D512EA" w:rsidRDefault="00595FF7" w:rsidP="00595FF7">
      <w:pPr>
        <w:tabs>
          <w:tab w:val="left" w:pos="426"/>
        </w:tabs>
        <w:spacing w:before="120" w:after="120" w:line="276" w:lineRule="auto"/>
        <w:jc w:val="both"/>
        <w:rPr>
          <w:rFonts w:ascii="Arial" w:eastAsia="Calibri" w:hAnsi="Arial" w:cs="Arial"/>
          <w:color w:val="000000"/>
          <w:sz w:val="22"/>
          <w:lang w:val="es-ES"/>
        </w:rPr>
      </w:pPr>
      <w:r>
        <w:rPr>
          <w:rFonts w:ascii="Arial" w:eastAsia="Calibri" w:hAnsi="Arial" w:cs="Arial"/>
          <w:color w:val="000000"/>
          <w:sz w:val="22"/>
          <w:lang w:val="es-ES"/>
        </w:rPr>
        <w:tab/>
      </w:r>
      <w:r>
        <w:rPr>
          <w:rFonts w:ascii="Arial" w:eastAsia="Calibri" w:hAnsi="Arial" w:cs="Arial"/>
          <w:color w:val="000000"/>
          <w:sz w:val="22"/>
          <w:lang w:val="es-ES"/>
        </w:rPr>
        <w:tab/>
      </w:r>
      <w:r w:rsidRPr="00D512EA">
        <w:rPr>
          <w:rFonts w:ascii="Arial" w:eastAsia="Calibri" w:hAnsi="Arial" w:cs="Arial"/>
          <w:color w:val="000000"/>
          <w:sz w:val="22"/>
          <w:lang w:val="es-ES"/>
        </w:rPr>
        <w:t xml:space="preserve">Es decir, la verificación se hará con base en la sumatoria de los valores totales </w:t>
      </w:r>
      <w:r>
        <w:rPr>
          <w:rFonts w:ascii="Arial" w:eastAsia="Calibri" w:hAnsi="Arial" w:cs="Arial"/>
          <w:color w:val="000000"/>
          <w:sz w:val="22"/>
          <w:lang w:val="es-ES"/>
        </w:rPr>
        <w:t>–</w:t>
      </w:r>
      <w:r w:rsidRPr="00D512EA">
        <w:rPr>
          <w:rFonts w:ascii="Arial" w:eastAsia="Calibri" w:hAnsi="Arial" w:cs="Arial"/>
          <w:color w:val="000000"/>
          <w:sz w:val="22"/>
          <w:lang w:val="es-ES"/>
        </w:rPr>
        <w:t>incluido IVA</w:t>
      </w:r>
      <w:r>
        <w:rPr>
          <w:rFonts w:ascii="Arial" w:eastAsia="Calibri" w:hAnsi="Arial" w:cs="Arial"/>
          <w:color w:val="000000"/>
          <w:sz w:val="22"/>
          <w:lang w:val="es-ES"/>
        </w:rPr>
        <w:t>–</w:t>
      </w:r>
      <w:r w:rsidRPr="00D512EA">
        <w:rPr>
          <w:rFonts w:ascii="Arial" w:eastAsia="Calibri" w:hAnsi="Arial" w:cs="Arial"/>
          <w:color w:val="000000"/>
          <w:sz w:val="22"/>
          <w:lang w:val="es-ES"/>
        </w:rPr>
        <w:t xml:space="preserve"> en SMMLV ejecutados de los contratos relacionados con la obra pública de infraestructura de transporte y los contratos que acreditan la verificación de bienes y servicios adicionales a la obra pública que cumplen con los requisitos establecidos en este Pliego de Condiciones, sin que puedan aportarse más de 6 contratos.</w:t>
      </w:r>
    </w:p>
    <w:p w14:paraId="2ACB41F6" w14:textId="77777777" w:rsidR="00036055" w:rsidRDefault="00595FF7" w:rsidP="00036055">
      <w:pPr>
        <w:tabs>
          <w:tab w:val="left" w:pos="426"/>
        </w:tabs>
        <w:spacing w:before="120" w:after="120" w:line="276" w:lineRule="auto"/>
        <w:jc w:val="both"/>
        <w:rPr>
          <w:rFonts w:ascii="Arial" w:eastAsia="Calibri" w:hAnsi="Arial" w:cs="Arial"/>
          <w:color w:val="000000"/>
          <w:sz w:val="22"/>
          <w:lang w:val="es-CO"/>
        </w:rPr>
      </w:pPr>
      <w:r>
        <w:rPr>
          <w:rFonts w:ascii="Arial" w:eastAsia="Calibri" w:hAnsi="Arial" w:cs="Arial"/>
          <w:color w:val="000000"/>
          <w:sz w:val="22"/>
          <w:lang w:val="es-ES"/>
        </w:rPr>
        <w:tab/>
      </w:r>
      <w:r w:rsidRPr="00D512EA">
        <w:rPr>
          <w:rFonts w:ascii="Arial" w:eastAsia="Calibri" w:hAnsi="Arial" w:cs="Arial"/>
          <w:color w:val="000000"/>
          <w:sz w:val="22"/>
          <w:lang w:val="es-ES"/>
        </w:rPr>
        <w:t>En este sentido, si el contratista aporta dos (2) contratos que permiten acreditar la experiencia exigida en la Matriz 1 – Experiencia y un (1) contrato que permite acreditar la experiencia de bienes y servicios adicionales, la sumatoria de los valores ejecutados de los tres (3) contratos aportados debe corresponder al 120% del presupuesto oficial del proceso de contratación.</w:t>
      </w:r>
      <w:r>
        <w:rPr>
          <w:rFonts w:ascii="Arial" w:eastAsia="Calibri" w:hAnsi="Arial" w:cs="Arial"/>
          <w:color w:val="000000"/>
          <w:sz w:val="22"/>
          <w:lang w:val="es-ES"/>
        </w:rPr>
        <w:t xml:space="preserve"> </w:t>
      </w:r>
      <w:r w:rsidRPr="00D512EA">
        <w:rPr>
          <w:rFonts w:ascii="Arial" w:eastAsia="Calibri" w:hAnsi="Arial" w:cs="Arial"/>
          <w:color w:val="000000"/>
          <w:sz w:val="22"/>
          <w:lang w:val="es-ES"/>
        </w:rPr>
        <w:t xml:space="preserve">En caso de que el número de contratos con los cuales el Proponente </w:t>
      </w:r>
      <w:r w:rsidRPr="00D512EA">
        <w:rPr>
          <w:rFonts w:ascii="Arial" w:eastAsia="Calibri" w:hAnsi="Arial" w:cs="Arial"/>
          <w:color w:val="000000"/>
          <w:sz w:val="22"/>
          <w:lang w:val="es-ES"/>
        </w:rPr>
        <w:lastRenderedPageBreak/>
        <w:t>acredita la experiencia no satisfaga el porcentaje mínimo a certificar, establecido en la anterior tabla, se calificará la propuesta como no hábil</w:t>
      </w:r>
      <w:r>
        <w:rPr>
          <w:rFonts w:ascii="Arial" w:eastAsia="Calibri" w:hAnsi="Arial" w:cs="Arial"/>
          <w:color w:val="000000"/>
          <w:sz w:val="22"/>
          <w:lang w:val="es-ES"/>
        </w:rPr>
        <w:t>.</w:t>
      </w:r>
    </w:p>
    <w:p w14:paraId="318A0AA7" w14:textId="5A2078E8" w:rsidR="00C60791" w:rsidRPr="00036055" w:rsidRDefault="00C60791" w:rsidP="00036055">
      <w:pPr>
        <w:tabs>
          <w:tab w:val="left" w:pos="426"/>
        </w:tabs>
        <w:spacing w:before="120" w:after="120" w:line="276" w:lineRule="auto"/>
        <w:jc w:val="both"/>
        <w:rPr>
          <w:rFonts w:ascii="Arial" w:eastAsia="Calibri" w:hAnsi="Arial" w:cs="Arial"/>
          <w:color w:val="000000"/>
          <w:sz w:val="22"/>
          <w:lang w:val="es-CO"/>
        </w:rPr>
      </w:pPr>
      <w:r w:rsidRPr="00621424">
        <w:rPr>
          <w:rFonts w:ascii="Arial" w:eastAsia="Calibri" w:hAnsi="Arial" w:cs="Arial"/>
          <w:color w:val="000000"/>
          <w:sz w:val="22"/>
        </w:rPr>
        <w:t>Este concepto tiene el alcance previsto en el artículo 28 del Código de Procedimiento Administrativo y de lo Contencioso Administrativo.</w:t>
      </w:r>
    </w:p>
    <w:p w14:paraId="17C776AC" w14:textId="77777777" w:rsidR="00C60791" w:rsidRPr="00621424" w:rsidRDefault="00C60791" w:rsidP="00C60791">
      <w:pPr>
        <w:ind w:firstLine="709"/>
        <w:jc w:val="both"/>
        <w:rPr>
          <w:rFonts w:ascii="Arial" w:eastAsia="Calibri" w:hAnsi="Arial" w:cs="Arial"/>
          <w:color w:val="000000"/>
          <w:sz w:val="22"/>
        </w:rPr>
      </w:pPr>
    </w:p>
    <w:p w14:paraId="5A205B55" w14:textId="77777777" w:rsidR="00C60791" w:rsidRPr="00621424" w:rsidRDefault="00C60791" w:rsidP="00C60791">
      <w:pPr>
        <w:jc w:val="both"/>
        <w:rPr>
          <w:rFonts w:ascii="Arial" w:eastAsia="Times New Roman" w:hAnsi="Arial" w:cs="Arial"/>
          <w:color w:val="000000"/>
          <w:sz w:val="22"/>
          <w:lang w:eastAsia="es-CO"/>
        </w:rPr>
      </w:pPr>
      <w:bookmarkStart w:id="4" w:name="_Hlk48741141"/>
      <w:r w:rsidRPr="00621424">
        <w:rPr>
          <w:rFonts w:ascii="Arial" w:eastAsia="Times New Roman" w:hAnsi="Arial" w:cs="Arial"/>
          <w:color w:val="000000"/>
          <w:sz w:val="22"/>
          <w:lang w:eastAsia="es-CO"/>
        </w:rPr>
        <w:t>Atentamente,</w:t>
      </w:r>
    </w:p>
    <w:p w14:paraId="0714023F" w14:textId="77777777" w:rsidR="00036055" w:rsidRDefault="00036055" w:rsidP="00C60791">
      <w:pPr>
        <w:jc w:val="center"/>
        <w:rPr>
          <w:rFonts w:ascii="Arial" w:eastAsia="Times New Roman" w:hAnsi="Arial" w:cs="Arial"/>
          <w:color w:val="000000"/>
          <w:sz w:val="18"/>
          <w:szCs w:val="20"/>
          <w:lang w:eastAsia="es-CO"/>
        </w:rPr>
      </w:pPr>
    </w:p>
    <w:p w14:paraId="0E6B35EB" w14:textId="77777777" w:rsidR="00036055" w:rsidRDefault="00036055" w:rsidP="00C60791">
      <w:pPr>
        <w:jc w:val="center"/>
        <w:rPr>
          <w:rFonts w:ascii="Arial" w:eastAsia="Times New Roman" w:hAnsi="Arial" w:cs="Arial"/>
          <w:color w:val="000000"/>
          <w:sz w:val="18"/>
          <w:szCs w:val="20"/>
          <w:lang w:eastAsia="es-CO"/>
        </w:rPr>
      </w:pPr>
    </w:p>
    <w:p w14:paraId="265CA439" w14:textId="5E250D84" w:rsidR="00C60791" w:rsidRPr="00621424" w:rsidRDefault="00A67FAA" w:rsidP="00C60791">
      <w:pPr>
        <w:jc w:val="center"/>
        <w:rPr>
          <w:rFonts w:ascii="Arial" w:eastAsia="Times New Roman" w:hAnsi="Arial" w:cs="Arial"/>
          <w:color w:val="000000"/>
          <w:sz w:val="18"/>
          <w:szCs w:val="20"/>
          <w:lang w:eastAsia="es-CO"/>
        </w:rPr>
      </w:pPr>
      <w:r>
        <w:rPr>
          <w:noProof/>
        </w:rPr>
        <w:drawing>
          <wp:inline distT="0" distB="0" distL="0" distR="0" wp14:anchorId="3A3CCDA4" wp14:editId="571C42A3">
            <wp:extent cx="2152650"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914400"/>
                    </a:xfrm>
                    <a:prstGeom prst="rect">
                      <a:avLst/>
                    </a:prstGeom>
                    <a:noFill/>
                    <a:ln>
                      <a:noFill/>
                    </a:ln>
                  </pic:spPr>
                </pic:pic>
              </a:graphicData>
            </a:graphic>
          </wp:inline>
        </w:drawing>
      </w:r>
    </w:p>
    <w:p w14:paraId="4B14D81A" w14:textId="77777777" w:rsidR="00C60791" w:rsidRPr="00621424" w:rsidRDefault="00C60791" w:rsidP="00C60791">
      <w:pPr>
        <w:jc w:val="center"/>
        <w:rPr>
          <w:rFonts w:ascii="Arial" w:eastAsia="Times New Roman" w:hAnsi="Arial" w:cs="Arial"/>
          <w:color w:val="000000"/>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60791" w:rsidRPr="00621424" w14:paraId="1DE7464C" w14:textId="77777777" w:rsidTr="00FB3DCF">
        <w:trPr>
          <w:trHeight w:val="315"/>
        </w:trPr>
        <w:tc>
          <w:tcPr>
            <w:tcW w:w="812" w:type="dxa"/>
            <w:vAlign w:val="center"/>
            <w:hideMark/>
          </w:tcPr>
          <w:p w14:paraId="79B33C87" w14:textId="77777777" w:rsidR="00C60791" w:rsidRPr="00621424" w:rsidRDefault="00C60791" w:rsidP="00FB3DCF">
            <w:pPr>
              <w:rPr>
                <w:rFonts w:ascii="Arial" w:eastAsia="Times New Roman" w:hAnsi="Arial" w:cs="Arial"/>
                <w:color w:val="000000"/>
                <w:sz w:val="16"/>
                <w:szCs w:val="16"/>
                <w:lang w:eastAsia="es-ES"/>
              </w:rPr>
            </w:pPr>
            <w:r w:rsidRPr="00621424">
              <w:rPr>
                <w:rFonts w:ascii="Arial" w:eastAsia="Times New Roman" w:hAnsi="Arial" w:cs="Arial"/>
                <w:color w:val="000000"/>
                <w:sz w:val="16"/>
                <w:szCs w:val="16"/>
                <w:lang w:eastAsia="es-ES"/>
              </w:rPr>
              <w:t>Elaboró:</w:t>
            </w:r>
          </w:p>
        </w:tc>
        <w:tc>
          <w:tcPr>
            <w:tcW w:w="4413" w:type="dxa"/>
            <w:tcBorders>
              <w:top w:val="nil"/>
              <w:left w:val="nil"/>
              <w:bottom w:val="dotted" w:sz="4" w:space="0" w:color="7F7F7F"/>
              <w:right w:val="nil"/>
            </w:tcBorders>
            <w:vAlign w:val="center"/>
            <w:hideMark/>
          </w:tcPr>
          <w:p w14:paraId="6C25F423" w14:textId="77777777" w:rsidR="00C60791" w:rsidRPr="00036055" w:rsidRDefault="00C60791" w:rsidP="00FB3DCF">
            <w:pPr>
              <w:rPr>
                <w:rFonts w:ascii="Arial" w:eastAsia="Times New Roman" w:hAnsi="Arial" w:cs="Arial"/>
                <w:sz w:val="14"/>
                <w:szCs w:val="14"/>
                <w:lang w:eastAsia="es-ES"/>
              </w:rPr>
            </w:pPr>
            <w:r w:rsidRPr="00036055">
              <w:rPr>
                <w:rFonts w:ascii="Arial" w:eastAsia="Times New Roman" w:hAnsi="Arial" w:cs="Arial"/>
                <w:sz w:val="14"/>
                <w:szCs w:val="14"/>
                <w:lang w:eastAsia="es-ES"/>
              </w:rPr>
              <w:t xml:space="preserve">Sara Milena Núñez Aldana </w:t>
            </w:r>
          </w:p>
          <w:p w14:paraId="0713CE8A" w14:textId="77777777" w:rsidR="00C60791" w:rsidRPr="00621424" w:rsidRDefault="00C60791" w:rsidP="00FB3DCF">
            <w:pPr>
              <w:rPr>
                <w:rFonts w:ascii="Arial" w:eastAsia="Times New Roman" w:hAnsi="Arial" w:cs="Arial"/>
                <w:color w:val="000000"/>
                <w:sz w:val="16"/>
                <w:szCs w:val="16"/>
                <w:lang w:eastAsia="es-ES"/>
              </w:rPr>
            </w:pPr>
            <w:r w:rsidRPr="00036055">
              <w:rPr>
                <w:rFonts w:ascii="Arial" w:eastAsia="Times New Roman" w:hAnsi="Arial" w:cs="Arial"/>
                <w:sz w:val="14"/>
                <w:szCs w:val="14"/>
                <w:lang w:eastAsia="es-ES"/>
              </w:rPr>
              <w:t>Analista T2- Grado de la Subdirección de Gestión Contractual</w:t>
            </w:r>
          </w:p>
        </w:tc>
      </w:tr>
      <w:tr w:rsidR="00C60791" w:rsidRPr="00621424" w14:paraId="061D5D62" w14:textId="77777777" w:rsidTr="00FB3DCF">
        <w:trPr>
          <w:trHeight w:val="330"/>
        </w:trPr>
        <w:tc>
          <w:tcPr>
            <w:tcW w:w="812" w:type="dxa"/>
            <w:vAlign w:val="center"/>
            <w:hideMark/>
          </w:tcPr>
          <w:p w14:paraId="4C8093FF" w14:textId="77777777" w:rsidR="00C60791" w:rsidRPr="00621424" w:rsidRDefault="00C60791" w:rsidP="00FB3DCF">
            <w:pPr>
              <w:rPr>
                <w:rFonts w:ascii="Arial" w:eastAsia="Times New Roman" w:hAnsi="Arial" w:cs="Arial"/>
                <w:color w:val="000000"/>
                <w:sz w:val="16"/>
                <w:szCs w:val="16"/>
                <w:lang w:eastAsia="es-ES"/>
              </w:rPr>
            </w:pPr>
            <w:r w:rsidRPr="00621424">
              <w:rPr>
                <w:rFonts w:ascii="Arial" w:eastAsia="Times New Roman" w:hAnsi="Arial" w:cs="Arial"/>
                <w:color w:val="000000"/>
                <w:sz w:val="16"/>
                <w:szCs w:val="16"/>
                <w:lang w:eastAsia="es-ES"/>
              </w:rPr>
              <w:t>Revisó:</w:t>
            </w:r>
          </w:p>
        </w:tc>
        <w:tc>
          <w:tcPr>
            <w:tcW w:w="4413" w:type="dxa"/>
            <w:tcBorders>
              <w:top w:val="dotted" w:sz="4" w:space="0" w:color="7F7F7F"/>
              <w:left w:val="nil"/>
              <w:bottom w:val="dotted" w:sz="4" w:space="0" w:color="7F7F7F"/>
              <w:right w:val="nil"/>
            </w:tcBorders>
            <w:vAlign w:val="center"/>
            <w:hideMark/>
          </w:tcPr>
          <w:p w14:paraId="45AA12A2" w14:textId="77777777" w:rsidR="00595FF7" w:rsidRPr="00BA3F27" w:rsidRDefault="00595FF7" w:rsidP="00595FF7">
            <w:pPr>
              <w:rPr>
                <w:rFonts w:ascii="Arial" w:eastAsia="Times New Roman" w:hAnsi="Arial" w:cs="Arial"/>
                <w:sz w:val="14"/>
                <w:szCs w:val="14"/>
                <w:lang w:eastAsia="es-ES"/>
              </w:rPr>
            </w:pPr>
            <w:r>
              <w:rPr>
                <w:rFonts w:ascii="Arial" w:eastAsia="Times New Roman" w:hAnsi="Arial" w:cs="Arial"/>
                <w:sz w:val="14"/>
                <w:szCs w:val="14"/>
                <w:lang w:eastAsia="es-ES"/>
              </w:rPr>
              <w:t>Sebastián Ramírez Grisales</w:t>
            </w:r>
          </w:p>
          <w:p w14:paraId="3B249964" w14:textId="0801E559" w:rsidR="00C60791" w:rsidRPr="00F12435" w:rsidRDefault="00595FF7" w:rsidP="00FB3DCF">
            <w:pPr>
              <w:rPr>
                <w:rFonts w:ascii="Times New Roman" w:eastAsia="Calibri" w:hAnsi="Times New Roman" w:cs="Times New Roman"/>
                <w:szCs w:val="24"/>
                <w:lang w:val="es-CO" w:eastAsia="es-CO"/>
              </w:rPr>
            </w:pPr>
            <w:r>
              <w:rPr>
                <w:rFonts w:ascii="Arial" w:eastAsia="Times New Roman" w:hAnsi="Arial" w:cs="Arial"/>
                <w:sz w:val="14"/>
                <w:szCs w:val="14"/>
                <w:lang w:eastAsia="es-ES"/>
              </w:rPr>
              <w:t xml:space="preserve">Contratista – </w:t>
            </w:r>
            <w:r w:rsidRPr="00BA3F27">
              <w:rPr>
                <w:rFonts w:ascii="Arial" w:eastAsia="Times New Roman" w:hAnsi="Arial" w:cs="Arial"/>
                <w:sz w:val="14"/>
                <w:szCs w:val="14"/>
                <w:lang w:eastAsia="es-ES"/>
              </w:rPr>
              <w:t>Subdirección de Gestión Contractual</w:t>
            </w:r>
          </w:p>
        </w:tc>
      </w:tr>
      <w:tr w:rsidR="00C60791" w:rsidRPr="00621424" w14:paraId="33BC4DE9" w14:textId="77777777" w:rsidTr="00FB3DCF">
        <w:trPr>
          <w:trHeight w:val="300"/>
        </w:trPr>
        <w:tc>
          <w:tcPr>
            <w:tcW w:w="812" w:type="dxa"/>
            <w:vAlign w:val="center"/>
            <w:hideMark/>
          </w:tcPr>
          <w:p w14:paraId="2F943A17" w14:textId="77777777" w:rsidR="00C60791" w:rsidRPr="00621424" w:rsidRDefault="00C60791" w:rsidP="00FB3DCF">
            <w:pPr>
              <w:rPr>
                <w:rFonts w:ascii="Arial" w:eastAsia="Times New Roman" w:hAnsi="Arial" w:cs="Arial"/>
                <w:color w:val="000000"/>
                <w:sz w:val="16"/>
                <w:szCs w:val="16"/>
                <w:lang w:eastAsia="es-ES"/>
              </w:rPr>
            </w:pPr>
            <w:r w:rsidRPr="00621424">
              <w:rPr>
                <w:rFonts w:ascii="Arial" w:eastAsia="Times New Roman" w:hAnsi="Arial" w:cs="Arial"/>
                <w:color w:val="000000"/>
                <w:sz w:val="16"/>
                <w:szCs w:val="16"/>
                <w:lang w:eastAsia="es-ES"/>
              </w:rPr>
              <w:t>Aprobó:</w:t>
            </w:r>
          </w:p>
        </w:tc>
        <w:tc>
          <w:tcPr>
            <w:tcW w:w="4413" w:type="dxa"/>
            <w:tcBorders>
              <w:top w:val="dotted" w:sz="4" w:space="0" w:color="7F7F7F"/>
              <w:left w:val="nil"/>
              <w:bottom w:val="dotted" w:sz="4" w:space="0" w:color="7F7F7F"/>
              <w:right w:val="nil"/>
            </w:tcBorders>
            <w:vAlign w:val="center"/>
            <w:hideMark/>
          </w:tcPr>
          <w:p w14:paraId="13A070A9" w14:textId="77777777" w:rsidR="00F12435" w:rsidRPr="00F12435" w:rsidRDefault="00F12435" w:rsidP="00F12435">
            <w:pPr>
              <w:rPr>
                <w:rFonts w:ascii="Arial" w:eastAsia="Times New Roman" w:hAnsi="Arial" w:cs="Arial"/>
                <w:sz w:val="14"/>
                <w:szCs w:val="14"/>
                <w:lang w:eastAsia="es-ES"/>
              </w:rPr>
            </w:pPr>
            <w:r w:rsidRPr="00F12435">
              <w:rPr>
                <w:rFonts w:ascii="Arial" w:eastAsia="Times New Roman" w:hAnsi="Arial" w:cs="Arial"/>
                <w:sz w:val="14"/>
                <w:szCs w:val="14"/>
                <w:lang w:eastAsia="es-ES"/>
              </w:rPr>
              <w:t>Andrés Ricardo Mancipe González</w:t>
            </w:r>
          </w:p>
          <w:p w14:paraId="6A114621" w14:textId="3E089F4B" w:rsidR="00C60791" w:rsidRPr="00F12435" w:rsidRDefault="00F12435" w:rsidP="00FB3DCF">
            <w:pPr>
              <w:rPr>
                <w:rFonts w:ascii="Times New Roman" w:eastAsia="Calibri" w:hAnsi="Times New Roman" w:cs="Times New Roman"/>
                <w:szCs w:val="24"/>
                <w:lang w:val="es-CO" w:eastAsia="es-CO"/>
              </w:rPr>
            </w:pPr>
            <w:r w:rsidRPr="00F12435">
              <w:rPr>
                <w:rFonts w:ascii="Arial" w:eastAsia="Times New Roman" w:hAnsi="Arial" w:cs="Arial"/>
                <w:sz w:val="14"/>
                <w:szCs w:val="14"/>
                <w:lang w:eastAsia="es-ES"/>
              </w:rPr>
              <w:t>Subdirector de Gestión Contractual (E)</w:t>
            </w:r>
            <w:r w:rsidRPr="00F12435">
              <w:rPr>
                <w:rFonts w:ascii="Times New Roman" w:eastAsia="Calibri" w:hAnsi="Times New Roman" w:cs="Times New Roman"/>
                <w:szCs w:val="24"/>
                <w:lang w:val="es-CO" w:eastAsia="es-CO"/>
              </w:rPr>
              <w:t xml:space="preserve"> </w:t>
            </w:r>
          </w:p>
        </w:tc>
      </w:tr>
      <w:bookmarkEnd w:id="4"/>
    </w:tbl>
    <w:p w14:paraId="7EBF297E" w14:textId="77777777" w:rsidR="007B0854" w:rsidRDefault="007B0854" w:rsidP="009D73AA">
      <w:pPr>
        <w:spacing w:line="276" w:lineRule="auto"/>
        <w:jc w:val="both"/>
        <w:rPr>
          <w:rFonts w:ascii="Arial" w:eastAsia="Calibri" w:hAnsi="Arial" w:cs="Arial"/>
          <w:color w:val="4E4D4D"/>
          <w:sz w:val="22"/>
        </w:rPr>
      </w:pPr>
    </w:p>
    <w:bookmarkEnd w:id="0"/>
    <w:sectPr w:rsidR="007B0854"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C69F9" w14:textId="77777777" w:rsidR="000B103F" w:rsidRDefault="000B103F">
      <w:r>
        <w:separator/>
      </w:r>
    </w:p>
  </w:endnote>
  <w:endnote w:type="continuationSeparator" w:id="0">
    <w:p w14:paraId="48FC69FA" w14:textId="77777777" w:rsidR="000B103F" w:rsidRDefault="000B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C69F7" w14:textId="77777777" w:rsidR="000B103F" w:rsidRDefault="000B103F">
      <w:r>
        <w:separator/>
      </w:r>
    </w:p>
  </w:footnote>
  <w:footnote w:type="continuationSeparator" w:id="0">
    <w:p w14:paraId="48FC69F8" w14:textId="77777777" w:rsidR="000B103F" w:rsidRDefault="000B103F">
      <w:r>
        <w:continuationSeparator/>
      </w:r>
    </w:p>
  </w:footnote>
  <w:footnote w:id="1">
    <w:p w14:paraId="0155B3E6" w14:textId="71036C7A" w:rsidR="001B2C79" w:rsidRPr="007F134A" w:rsidRDefault="007F134A" w:rsidP="007F134A">
      <w:pPr>
        <w:tabs>
          <w:tab w:val="left" w:pos="426"/>
        </w:tabs>
        <w:spacing w:before="93"/>
        <w:ind w:left="120"/>
        <w:jc w:val="both"/>
        <w:rPr>
          <w:rFonts w:ascii="Arial" w:hAnsi="Arial" w:cs="Arial"/>
          <w:color w:val="000000" w:themeColor="text1"/>
          <w:sz w:val="19"/>
          <w:szCs w:val="19"/>
        </w:rPr>
      </w:pPr>
      <w:r>
        <w:tab/>
      </w:r>
      <w:r w:rsidR="00CB61DC">
        <w:rPr>
          <w:rStyle w:val="Refdenotaalpie"/>
        </w:rPr>
        <w:footnoteRef/>
      </w:r>
      <w:r w:rsidR="00CB61DC">
        <w:t xml:space="preserve"> </w:t>
      </w:r>
      <w:r w:rsidR="00CB61DC" w:rsidRPr="00CB61DC">
        <w:rPr>
          <w:rFonts w:ascii="Arial" w:hAnsi="Arial" w:cs="Arial"/>
          <w:color w:val="000000" w:themeColor="text1"/>
          <w:sz w:val="19"/>
          <w:szCs w:val="19"/>
        </w:rPr>
        <w:t>Al respecto se puede</w:t>
      </w:r>
      <w:r>
        <w:rPr>
          <w:rFonts w:ascii="Arial" w:hAnsi="Arial" w:cs="Arial"/>
          <w:color w:val="000000" w:themeColor="text1"/>
          <w:sz w:val="19"/>
          <w:szCs w:val="19"/>
        </w:rPr>
        <w:t xml:space="preserve"> verificar la</w:t>
      </w:r>
      <w:r w:rsidR="00CB61DC" w:rsidRPr="00CB61DC">
        <w:rPr>
          <w:rFonts w:ascii="Arial" w:hAnsi="Arial" w:cs="Arial"/>
          <w:color w:val="000000" w:themeColor="text1"/>
          <w:sz w:val="19"/>
          <w:szCs w:val="19"/>
        </w:rPr>
        <w:t>s respuestas a las consultas</w:t>
      </w:r>
      <w:r>
        <w:rPr>
          <w:rFonts w:ascii="Arial" w:hAnsi="Arial" w:cs="Arial"/>
          <w:color w:val="000000" w:themeColor="text1"/>
          <w:sz w:val="19"/>
          <w:szCs w:val="19"/>
        </w:rPr>
        <w:t>:</w:t>
      </w:r>
      <w:r w:rsidR="00CB61DC" w:rsidRPr="00CB61DC">
        <w:rPr>
          <w:rFonts w:ascii="Arial" w:hAnsi="Arial" w:cs="Arial"/>
          <w:color w:val="000000" w:themeColor="text1"/>
          <w:sz w:val="19"/>
          <w:szCs w:val="19"/>
        </w:rPr>
        <w:t xml:space="preserve"> 4201912000006576</w:t>
      </w:r>
      <w:r w:rsidR="00CB61DC">
        <w:rPr>
          <w:rFonts w:ascii="Arial" w:hAnsi="Arial" w:cs="Arial"/>
          <w:color w:val="000000" w:themeColor="text1"/>
          <w:sz w:val="19"/>
          <w:szCs w:val="19"/>
        </w:rPr>
        <w:t xml:space="preserve"> del 6 de noviembre de 2011, </w:t>
      </w:r>
      <w:r w:rsidR="001B2C79" w:rsidRPr="007F134A">
        <w:rPr>
          <w:rFonts w:ascii="Arial" w:hAnsi="Arial" w:cs="Arial"/>
          <w:color w:val="000000" w:themeColor="text1"/>
          <w:sz w:val="19"/>
          <w:szCs w:val="19"/>
        </w:rPr>
        <w:t>4201912000006928 del 21 de octubre de 2019, 4201912000007375</w:t>
      </w:r>
      <w:r w:rsidR="00CB59D5" w:rsidRPr="007F134A">
        <w:rPr>
          <w:rFonts w:ascii="Arial" w:hAnsi="Arial" w:cs="Arial"/>
          <w:color w:val="000000" w:themeColor="text1"/>
          <w:sz w:val="19"/>
          <w:szCs w:val="19"/>
        </w:rPr>
        <w:t xml:space="preserve"> del 14 de noviembre de 2011, 4201912000007452 del 14 de noviembre de 2011, 4201912000007818 del 06 de diciembre de 2019, 4201912000007996 del 09 de diciembre de 2019, 4201913000008017 del 26 de diciembre de 2019</w:t>
      </w:r>
      <w:r w:rsidRPr="007F134A">
        <w:rPr>
          <w:rFonts w:ascii="Arial" w:hAnsi="Arial" w:cs="Arial"/>
          <w:color w:val="000000" w:themeColor="text1"/>
          <w:sz w:val="19"/>
          <w:szCs w:val="19"/>
        </w:rPr>
        <w:t>,</w:t>
      </w:r>
      <w:r>
        <w:rPr>
          <w:rFonts w:ascii="Arial" w:hAnsi="Arial" w:cs="Arial"/>
          <w:color w:val="000000" w:themeColor="text1"/>
          <w:sz w:val="19"/>
          <w:szCs w:val="19"/>
        </w:rPr>
        <w:t xml:space="preserve"> y, por último, el concepto </w:t>
      </w:r>
      <w:r w:rsidRPr="007F134A">
        <w:rPr>
          <w:rFonts w:ascii="Arial" w:hAnsi="Arial" w:cs="Arial"/>
          <w:color w:val="000000" w:themeColor="text1"/>
          <w:sz w:val="19"/>
          <w:szCs w:val="19"/>
        </w:rPr>
        <w:t>C-133 del 30 de marzo de 2020.</w:t>
      </w:r>
    </w:p>
    <w:p w14:paraId="7973A2D9" w14:textId="4FE32AE9" w:rsidR="00CB61DC" w:rsidRPr="00CB61DC" w:rsidRDefault="00CB61DC" w:rsidP="00CB61DC">
      <w:pPr>
        <w:pStyle w:val="Textonotapie"/>
        <w:ind w:firstLine="708"/>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4482156"/>
    <w:lvl w:ilvl="0">
      <w:start w:val="1"/>
      <w:numFmt w:val="decimal"/>
      <w:lvlText w:val="%1."/>
      <w:lvlJc w:val="left"/>
      <w:pPr>
        <w:ind w:left="11061" w:hanging="360"/>
      </w:pPr>
      <w:rPr>
        <w:b/>
        <w:color w:val="auto"/>
      </w:rPr>
    </w:lvl>
    <w:lvl w:ilvl="1">
      <w:start w:val="2"/>
      <w:numFmt w:val="decimal"/>
      <w:isLgl/>
      <w:lvlText w:val="%1.%2"/>
      <w:lvlJc w:val="left"/>
      <w:pPr>
        <w:ind w:left="10701" w:hanging="360"/>
      </w:pPr>
    </w:lvl>
    <w:lvl w:ilvl="2">
      <w:start w:val="1"/>
      <w:numFmt w:val="decimal"/>
      <w:isLgl/>
      <w:lvlText w:val="%1.%2.%3"/>
      <w:lvlJc w:val="left"/>
      <w:pPr>
        <w:ind w:left="11421" w:hanging="720"/>
      </w:pPr>
    </w:lvl>
    <w:lvl w:ilvl="3">
      <w:start w:val="1"/>
      <w:numFmt w:val="decimal"/>
      <w:isLgl/>
      <w:lvlText w:val="%1.%2.%3.%4"/>
      <w:lvlJc w:val="left"/>
      <w:pPr>
        <w:ind w:left="11421" w:hanging="720"/>
      </w:pPr>
    </w:lvl>
    <w:lvl w:ilvl="4">
      <w:start w:val="1"/>
      <w:numFmt w:val="decimal"/>
      <w:isLgl/>
      <w:lvlText w:val="%1.%2.%3.%4.%5"/>
      <w:lvlJc w:val="left"/>
      <w:pPr>
        <w:ind w:left="11781" w:hanging="1080"/>
      </w:pPr>
    </w:lvl>
    <w:lvl w:ilvl="5">
      <w:start w:val="1"/>
      <w:numFmt w:val="decimal"/>
      <w:isLgl/>
      <w:lvlText w:val="%1.%2.%3.%4.%5.%6"/>
      <w:lvlJc w:val="left"/>
      <w:pPr>
        <w:ind w:left="11781" w:hanging="1080"/>
      </w:pPr>
    </w:lvl>
    <w:lvl w:ilvl="6">
      <w:start w:val="1"/>
      <w:numFmt w:val="decimal"/>
      <w:isLgl/>
      <w:lvlText w:val="%1.%2.%3.%4.%5.%6.%7"/>
      <w:lvlJc w:val="left"/>
      <w:pPr>
        <w:ind w:left="12141" w:hanging="1440"/>
      </w:pPr>
    </w:lvl>
    <w:lvl w:ilvl="7">
      <w:start w:val="1"/>
      <w:numFmt w:val="decimal"/>
      <w:isLgl/>
      <w:lvlText w:val="%1.%2.%3.%4.%5.%6.%7.%8"/>
      <w:lvlJc w:val="left"/>
      <w:pPr>
        <w:ind w:left="12141" w:hanging="1440"/>
      </w:pPr>
    </w:lvl>
    <w:lvl w:ilvl="8">
      <w:start w:val="1"/>
      <w:numFmt w:val="decimal"/>
      <w:isLgl/>
      <w:lvlText w:val="%1.%2.%3.%4.%5.%6.%7.%8.%9"/>
      <w:lvlJc w:val="left"/>
      <w:pPr>
        <w:ind w:left="1250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FE2939"/>
    <w:multiLevelType w:val="hybridMultilevel"/>
    <w:tmpl w:val="07FC9EE8"/>
    <w:lvl w:ilvl="0" w:tplc="AD46EAE6">
      <w:start w:val="1"/>
      <w:numFmt w:val="decimal"/>
      <w:lvlText w:val="%1."/>
      <w:lvlJc w:val="left"/>
      <w:pPr>
        <w:ind w:left="385" w:hanging="285"/>
      </w:pPr>
      <w:rPr>
        <w:rFonts w:ascii="Arial" w:eastAsia="Arial" w:hAnsi="Arial" w:cs="Arial" w:hint="default"/>
        <w:b/>
        <w:bCs/>
        <w:color w:val="0D62A8"/>
        <w:spacing w:val="-21"/>
        <w:w w:val="100"/>
        <w:sz w:val="22"/>
        <w:szCs w:val="22"/>
        <w:lang w:val="es-ES" w:eastAsia="en-US" w:bidi="ar-SA"/>
      </w:rPr>
    </w:lvl>
    <w:lvl w:ilvl="1" w:tplc="CE46F86A">
      <w:start w:val="1"/>
      <w:numFmt w:val="decimal"/>
      <w:lvlText w:val="%2."/>
      <w:lvlJc w:val="left"/>
      <w:pPr>
        <w:ind w:left="808" w:hanging="233"/>
      </w:pPr>
      <w:rPr>
        <w:rFonts w:ascii="Arial" w:eastAsia="Arial" w:hAnsi="Arial" w:cs="Arial" w:hint="default"/>
        <w:color w:val="auto"/>
        <w:spacing w:val="-2"/>
        <w:w w:val="100"/>
        <w:sz w:val="20"/>
        <w:szCs w:val="20"/>
        <w:lang w:val="es-ES" w:eastAsia="en-US" w:bidi="ar-SA"/>
      </w:rPr>
    </w:lvl>
    <w:lvl w:ilvl="2" w:tplc="665E7C04">
      <w:numFmt w:val="bullet"/>
      <w:lvlText w:val="•"/>
      <w:lvlJc w:val="left"/>
      <w:pPr>
        <w:ind w:left="1726" w:hanging="233"/>
      </w:pPr>
      <w:rPr>
        <w:lang w:val="es-ES" w:eastAsia="en-US" w:bidi="ar-SA"/>
      </w:rPr>
    </w:lvl>
    <w:lvl w:ilvl="3" w:tplc="49D6F398">
      <w:numFmt w:val="bullet"/>
      <w:lvlText w:val="•"/>
      <w:lvlJc w:val="left"/>
      <w:pPr>
        <w:ind w:left="2653" w:hanging="233"/>
      </w:pPr>
      <w:rPr>
        <w:lang w:val="es-ES" w:eastAsia="en-US" w:bidi="ar-SA"/>
      </w:rPr>
    </w:lvl>
    <w:lvl w:ilvl="4" w:tplc="D19020CC">
      <w:numFmt w:val="bullet"/>
      <w:lvlText w:val="•"/>
      <w:lvlJc w:val="left"/>
      <w:pPr>
        <w:ind w:left="3580" w:hanging="233"/>
      </w:pPr>
      <w:rPr>
        <w:lang w:val="es-ES" w:eastAsia="en-US" w:bidi="ar-SA"/>
      </w:rPr>
    </w:lvl>
    <w:lvl w:ilvl="5" w:tplc="B2DC49C6">
      <w:numFmt w:val="bullet"/>
      <w:lvlText w:val="•"/>
      <w:lvlJc w:val="left"/>
      <w:pPr>
        <w:ind w:left="4506" w:hanging="233"/>
      </w:pPr>
      <w:rPr>
        <w:lang w:val="es-ES" w:eastAsia="en-US" w:bidi="ar-SA"/>
      </w:rPr>
    </w:lvl>
    <w:lvl w:ilvl="6" w:tplc="7D9075B4">
      <w:numFmt w:val="bullet"/>
      <w:lvlText w:val="•"/>
      <w:lvlJc w:val="left"/>
      <w:pPr>
        <w:ind w:left="5433" w:hanging="233"/>
      </w:pPr>
      <w:rPr>
        <w:lang w:val="es-ES" w:eastAsia="en-US" w:bidi="ar-SA"/>
      </w:rPr>
    </w:lvl>
    <w:lvl w:ilvl="7" w:tplc="0E8EB468">
      <w:numFmt w:val="bullet"/>
      <w:lvlText w:val="•"/>
      <w:lvlJc w:val="left"/>
      <w:pPr>
        <w:ind w:left="6360" w:hanging="233"/>
      </w:pPr>
      <w:rPr>
        <w:lang w:val="es-ES" w:eastAsia="en-US" w:bidi="ar-SA"/>
      </w:rPr>
    </w:lvl>
    <w:lvl w:ilvl="8" w:tplc="A4585BDA">
      <w:numFmt w:val="bullet"/>
      <w:lvlText w:val="•"/>
      <w:lvlJc w:val="left"/>
      <w:pPr>
        <w:ind w:left="7286" w:hanging="233"/>
      </w:pPr>
      <w:rPr>
        <w:lang w:val="es-ES" w:eastAsia="en-US" w:bidi="ar-SA"/>
      </w:rPr>
    </w:lvl>
  </w:abstractNum>
  <w:abstractNum w:abstractNumId="4" w15:restartNumberingAfterBreak="0">
    <w:nsid w:val="4133078B"/>
    <w:multiLevelType w:val="hybridMultilevel"/>
    <w:tmpl w:val="CBEA4AF4"/>
    <w:lvl w:ilvl="0" w:tplc="A5EA9F5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0F5968"/>
    <w:multiLevelType w:val="hybridMultilevel"/>
    <w:tmpl w:val="75D038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FC0009A"/>
    <w:multiLevelType w:val="hybridMultilevel"/>
    <w:tmpl w:val="2EACC70A"/>
    <w:lvl w:ilvl="0" w:tplc="8528BD7E">
      <w:start w:val="1"/>
      <w:numFmt w:val="lowerRoman"/>
      <w:lvlText w:val="%1)"/>
      <w:lvlJc w:val="left"/>
      <w:pPr>
        <w:ind w:left="1080" w:hanging="720"/>
      </w:pPr>
      <w:rPr>
        <w:rFonts w:hint="default"/>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5"/>
  </w:num>
  <w:num w:numId="4">
    <w:abstractNumId w:val="7"/>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4"/>
  </w:num>
  <w:num w:numId="10">
    <w:abstractNumId w:val="3"/>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36055"/>
    <w:rsid w:val="000942EB"/>
    <w:rsid w:val="000B103F"/>
    <w:rsid w:val="000F14E8"/>
    <w:rsid w:val="00103915"/>
    <w:rsid w:val="00122B23"/>
    <w:rsid w:val="00137FFA"/>
    <w:rsid w:val="0015458D"/>
    <w:rsid w:val="001B2C79"/>
    <w:rsid w:val="00234B84"/>
    <w:rsid w:val="00285367"/>
    <w:rsid w:val="002C7D60"/>
    <w:rsid w:val="002E23AD"/>
    <w:rsid w:val="003033BA"/>
    <w:rsid w:val="003115FB"/>
    <w:rsid w:val="0034680A"/>
    <w:rsid w:val="00386456"/>
    <w:rsid w:val="003A581E"/>
    <w:rsid w:val="004302D7"/>
    <w:rsid w:val="004422D6"/>
    <w:rsid w:val="0048715E"/>
    <w:rsid w:val="004A34D2"/>
    <w:rsid w:val="005001C8"/>
    <w:rsid w:val="0051074C"/>
    <w:rsid w:val="00513AF2"/>
    <w:rsid w:val="0054413A"/>
    <w:rsid w:val="005564CA"/>
    <w:rsid w:val="00586B85"/>
    <w:rsid w:val="00595FF7"/>
    <w:rsid w:val="005A79FE"/>
    <w:rsid w:val="006378EF"/>
    <w:rsid w:val="00655371"/>
    <w:rsid w:val="00671FCB"/>
    <w:rsid w:val="00697665"/>
    <w:rsid w:val="006A7FD0"/>
    <w:rsid w:val="006B254B"/>
    <w:rsid w:val="006D7687"/>
    <w:rsid w:val="006E0572"/>
    <w:rsid w:val="00705631"/>
    <w:rsid w:val="0071019A"/>
    <w:rsid w:val="00742DD2"/>
    <w:rsid w:val="0075647A"/>
    <w:rsid w:val="007634AD"/>
    <w:rsid w:val="00776C84"/>
    <w:rsid w:val="0078122E"/>
    <w:rsid w:val="00786AC4"/>
    <w:rsid w:val="00790FA3"/>
    <w:rsid w:val="00794D71"/>
    <w:rsid w:val="007B0854"/>
    <w:rsid w:val="007F134A"/>
    <w:rsid w:val="007F72CB"/>
    <w:rsid w:val="008052E8"/>
    <w:rsid w:val="00817CDC"/>
    <w:rsid w:val="0083119B"/>
    <w:rsid w:val="00836EAB"/>
    <w:rsid w:val="0085092D"/>
    <w:rsid w:val="00897E07"/>
    <w:rsid w:val="008E1C15"/>
    <w:rsid w:val="009047C5"/>
    <w:rsid w:val="0095385A"/>
    <w:rsid w:val="009D73AA"/>
    <w:rsid w:val="00A24560"/>
    <w:rsid w:val="00A34538"/>
    <w:rsid w:val="00A67FAA"/>
    <w:rsid w:val="00AA442B"/>
    <w:rsid w:val="00B22E22"/>
    <w:rsid w:val="00B525CB"/>
    <w:rsid w:val="00B63CB2"/>
    <w:rsid w:val="00B87A80"/>
    <w:rsid w:val="00B919EE"/>
    <w:rsid w:val="00BD78FE"/>
    <w:rsid w:val="00C23649"/>
    <w:rsid w:val="00C60791"/>
    <w:rsid w:val="00C85995"/>
    <w:rsid w:val="00CA287E"/>
    <w:rsid w:val="00CB59D5"/>
    <w:rsid w:val="00CB61DC"/>
    <w:rsid w:val="00CC00CD"/>
    <w:rsid w:val="00CC794C"/>
    <w:rsid w:val="00CD44F3"/>
    <w:rsid w:val="00CD6714"/>
    <w:rsid w:val="00CE0676"/>
    <w:rsid w:val="00D06F2B"/>
    <w:rsid w:val="00D16E39"/>
    <w:rsid w:val="00D512EA"/>
    <w:rsid w:val="00D72E9D"/>
    <w:rsid w:val="00D82CE5"/>
    <w:rsid w:val="00DA5AB1"/>
    <w:rsid w:val="00DC62E5"/>
    <w:rsid w:val="00DD735D"/>
    <w:rsid w:val="00DE3119"/>
    <w:rsid w:val="00DF236B"/>
    <w:rsid w:val="00E13AB8"/>
    <w:rsid w:val="00E33B62"/>
    <w:rsid w:val="00F12435"/>
    <w:rsid w:val="00F84899"/>
    <w:rsid w:val="00F859F0"/>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TITULO 2_CR,Viñeta 6"/>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customStyle="1" w:styleId="InviasNormalCar">
    <w:name w:val="Invias Normal Car"/>
    <w:link w:val="InviasNormal"/>
    <w:locked/>
    <w:rsid w:val="00C60791"/>
    <w:rPr>
      <w:rFonts w:ascii="Arial Narrow" w:eastAsia="Times New Roman" w:hAnsi="Arial Narrow" w:cs="Times New Roman"/>
      <w:color w:val="3C3C3C" w:themeColor="background2" w:themeShade="40"/>
      <w:sz w:val="24"/>
      <w:szCs w:val="24"/>
      <w:lang w:val="x-none" w:eastAsia="es-ES"/>
    </w:rPr>
  </w:style>
  <w:style w:type="paragraph" w:customStyle="1" w:styleId="InviasNormal">
    <w:name w:val="Invias Normal"/>
    <w:basedOn w:val="Normal"/>
    <w:link w:val="InviasNormalCar"/>
    <w:qFormat/>
    <w:rsid w:val="00C60791"/>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paragraph" w:customStyle="1" w:styleId="Normal11pt">
    <w:name w:val="Normal + 11 pt"/>
    <w:aliases w:val="Negro,Justificado,Izquierda:  -0,95 cm,Derecha:  0,04 cm"/>
    <w:basedOn w:val="Normal"/>
    <w:uiPriority w:val="99"/>
    <w:rsid w:val="00C60791"/>
    <w:pPr>
      <w:ind w:left="-540"/>
      <w:jc w:val="both"/>
    </w:pPr>
    <w:rPr>
      <w:rFonts w:ascii="Arial" w:eastAsia="Times New Roman" w:hAnsi="Arial" w:cs="Arial"/>
      <w:color w:val="000000"/>
      <w:sz w:val="22"/>
      <w:lang w:val="es-ES_tradnl" w:eastAsia="es-ES"/>
    </w:rPr>
  </w:style>
  <w:style w:type="paragraph" w:styleId="Textoindependiente">
    <w:name w:val="Body Text"/>
    <w:basedOn w:val="Normal"/>
    <w:link w:val="TextoindependienteCar"/>
    <w:uiPriority w:val="1"/>
    <w:unhideWhenUsed/>
    <w:qFormat/>
    <w:rsid w:val="007F134A"/>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7F134A"/>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91896843">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0043864">
      <w:bodyDiv w:val="1"/>
      <w:marLeft w:val="0"/>
      <w:marRight w:val="0"/>
      <w:marTop w:val="0"/>
      <w:marBottom w:val="0"/>
      <w:divBdr>
        <w:top w:val="none" w:sz="0" w:space="0" w:color="auto"/>
        <w:left w:val="none" w:sz="0" w:space="0" w:color="auto"/>
        <w:bottom w:val="none" w:sz="0" w:space="0" w:color="auto"/>
        <w:right w:val="none" w:sz="0" w:space="0" w:color="auto"/>
      </w:divBdr>
    </w:div>
    <w:div w:id="1035694893">
      <w:bodyDiv w:val="1"/>
      <w:marLeft w:val="0"/>
      <w:marRight w:val="0"/>
      <w:marTop w:val="0"/>
      <w:marBottom w:val="0"/>
      <w:divBdr>
        <w:top w:val="none" w:sz="0" w:space="0" w:color="auto"/>
        <w:left w:val="none" w:sz="0" w:space="0" w:color="auto"/>
        <w:bottom w:val="none" w:sz="0" w:space="0" w:color="auto"/>
        <w:right w:val="none" w:sz="0" w:space="0" w:color="auto"/>
      </w:divBdr>
    </w:div>
    <w:div w:id="1172989444">
      <w:bodyDiv w:val="1"/>
      <w:marLeft w:val="0"/>
      <w:marRight w:val="0"/>
      <w:marTop w:val="0"/>
      <w:marBottom w:val="0"/>
      <w:divBdr>
        <w:top w:val="none" w:sz="0" w:space="0" w:color="auto"/>
        <w:left w:val="none" w:sz="0" w:space="0" w:color="auto"/>
        <w:bottom w:val="none" w:sz="0" w:space="0" w:color="auto"/>
        <w:right w:val="none" w:sz="0" w:space="0" w:color="auto"/>
      </w:divBdr>
    </w:div>
    <w:div w:id="1188176306">
      <w:bodyDiv w:val="1"/>
      <w:marLeft w:val="0"/>
      <w:marRight w:val="0"/>
      <w:marTop w:val="0"/>
      <w:marBottom w:val="0"/>
      <w:divBdr>
        <w:top w:val="none" w:sz="0" w:space="0" w:color="auto"/>
        <w:left w:val="none" w:sz="0" w:space="0" w:color="auto"/>
        <w:bottom w:val="none" w:sz="0" w:space="0" w:color="auto"/>
        <w:right w:val="none" w:sz="0" w:space="0" w:color="auto"/>
      </w:divBdr>
    </w:div>
    <w:div w:id="213123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3.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customXml/itemProps4.xml><?xml version="1.0" encoding="utf-8"?>
<ds:datastoreItem xmlns:ds="http://schemas.openxmlformats.org/officeDocument/2006/customXml" ds:itemID="{793CDF3A-5E24-4A55-8787-162340AF7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44</TotalTime>
  <Pages>8</Pages>
  <Words>3162</Words>
  <Characters>17393</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FLOR ANGELA Aldana</cp:lastModifiedBy>
  <cp:revision>10</cp:revision>
  <dcterms:created xsi:type="dcterms:W3CDTF">2020-09-14T12:29:00Z</dcterms:created>
  <dcterms:modified xsi:type="dcterms:W3CDTF">2020-09-14T13:15:00Z</dcterms:modified>
</cp:coreProperties>
</file>