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9A4A28" w:rsidRDefault="005A79FE" w:rsidP="001E053F">
      <w:pPr>
        <w:spacing w:line="276" w:lineRule="auto"/>
        <w:jc w:val="right"/>
        <w:rPr>
          <w:rFonts w:eastAsia="Calibri"/>
          <w:b/>
          <w:sz w:val="22"/>
        </w:rPr>
      </w:pPr>
      <w:r w:rsidRPr="009A4A28">
        <w:t>CCE-DES-FM-17</w:t>
      </w:r>
    </w:p>
    <w:p w14:paraId="26AF5665" w14:textId="77777777" w:rsidR="00C74B91" w:rsidRPr="001E053F" w:rsidRDefault="00C74B91" w:rsidP="005A79FE">
      <w:pPr>
        <w:spacing w:line="276" w:lineRule="auto"/>
        <w:jc w:val="both"/>
        <w:rPr>
          <w:rFonts w:ascii="Arial" w:eastAsia="Calibri" w:hAnsi="Arial" w:cs="Arial"/>
          <w:b/>
          <w:sz w:val="20"/>
          <w:szCs w:val="20"/>
          <w:highlight w:val="yellow"/>
        </w:rPr>
      </w:pPr>
    </w:p>
    <w:p w14:paraId="3ED48AA9" w14:textId="46397E4E" w:rsidR="005A79FE" w:rsidRPr="009A4A28" w:rsidRDefault="00C74B91" w:rsidP="00841FF1">
      <w:pPr>
        <w:jc w:val="both"/>
        <w:rPr>
          <w:rFonts w:ascii="Arial" w:eastAsia="Calibri" w:hAnsi="Arial" w:cs="Arial"/>
          <w:b/>
          <w:sz w:val="22"/>
        </w:rPr>
      </w:pPr>
      <w:r w:rsidRPr="009A4A28">
        <w:rPr>
          <w:rFonts w:ascii="Arial" w:eastAsia="Calibri" w:hAnsi="Arial" w:cs="Arial"/>
          <w:b/>
          <w:sz w:val="22"/>
        </w:rPr>
        <w:t>DOCUMENTOS TIPO</w:t>
      </w:r>
      <w:r w:rsidR="005A79FE" w:rsidRPr="009A4A28">
        <w:rPr>
          <w:rFonts w:ascii="Arial" w:eastAsia="Calibri" w:hAnsi="Arial" w:cs="Arial"/>
          <w:b/>
          <w:sz w:val="22"/>
        </w:rPr>
        <w:t xml:space="preserve"> – </w:t>
      </w:r>
      <w:r w:rsidRPr="009A4A28">
        <w:rPr>
          <w:rFonts w:ascii="Arial" w:eastAsia="Calibri" w:hAnsi="Arial" w:cs="Arial"/>
          <w:b/>
          <w:sz w:val="22"/>
        </w:rPr>
        <w:t>Bienes o servicios adicionales</w:t>
      </w:r>
      <w:r w:rsidR="005A79FE" w:rsidRPr="009A4A28">
        <w:rPr>
          <w:rFonts w:ascii="Arial" w:eastAsia="Calibri" w:hAnsi="Arial" w:cs="Arial"/>
          <w:b/>
          <w:sz w:val="22"/>
        </w:rPr>
        <w:t xml:space="preserve"> – </w:t>
      </w:r>
      <w:r w:rsidRPr="009A4A28">
        <w:rPr>
          <w:rFonts w:ascii="Arial" w:eastAsia="Calibri" w:hAnsi="Arial" w:cs="Arial"/>
          <w:b/>
          <w:sz w:val="22"/>
        </w:rPr>
        <w:t>Experiencia adicional – Parámetros</w:t>
      </w:r>
    </w:p>
    <w:p w14:paraId="7AD85AC5" w14:textId="77777777" w:rsidR="005A79FE" w:rsidRPr="001E053F" w:rsidRDefault="005A79FE" w:rsidP="00841FF1">
      <w:pPr>
        <w:jc w:val="both"/>
        <w:rPr>
          <w:rFonts w:ascii="Arial" w:hAnsi="Arial" w:cs="Arial"/>
          <w:sz w:val="20"/>
          <w:szCs w:val="20"/>
          <w:highlight w:val="yellow"/>
        </w:rPr>
      </w:pPr>
    </w:p>
    <w:p w14:paraId="1C49C226" w14:textId="16E3D6DF" w:rsidR="005A79FE" w:rsidRPr="009A4A28" w:rsidRDefault="00C74B91" w:rsidP="00841FF1">
      <w:pPr>
        <w:pStyle w:val="Prrafodelista"/>
        <w:ind w:left="0"/>
        <w:jc w:val="both"/>
        <w:rPr>
          <w:rFonts w:ascii="Arial" w:eastAsia="Calibri" w:hAnsi="Arial" w:cs="Arial"/>
          <w:sz w:val="20"/>
          <w:szCs w:val="20"/>
        </w:rPr>
      </w:pPr>
      <w:r w:rsidRPr="009A4A28">
        <w:rPr>
          <w:rFonts w:ascii="Arial" w:eastAsia="Calibri" w:hAnsi="Arial" w:cs="Arial"/>
          <w:sz w:val="20"/>
          <w:szCs w:val="20"/>
        </w:rPr>
        <w:t xml:space="preserve">Cuando la entidad requiere bienes y servicios que no se encuentran incluidos como infraestructura de transporte, debe aplicar el artículo 2.2.1.2.6.1.5. del Decreto 342 de 2019, que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9A4A28">
        <w:rPr>
          <w:rFonts w:ascii="Arial" w:eastAsia="Calibri" w:hAnsi="Arial" w:cs="Arial"/>
          <w:sz w:val="20"/>
          <w:szCs w:val="20"/>
        </w:rPr>
        <w:t>ii</w:t>
      </w:r>
      <w:proofErr w:type="spellEnd"/>
      <w:r w:rsidRPr="009A4A28">
        <w:rPr>
          <w:rFonts w:ascii="Arial" w:eastAsia="Calibri" w:hAnsi="Arial" w:cs="Arial"/>
          <w:sz w:val="20"/>
          <w:szCs w:val="20"/>
        </w:rPr>
        <w:t xml:space="preserve">) conservar los requisitos exigidos en los Documentos Tipo, </w:t>
      </w:r>
      <w:proofErr w:type="spellStart"/>
      <w:r w:rsidRPr="009A4A28">
        <w:rPr>
          <w:rFonts w:ascii="Arial" w:eastAsia="Calibri" w:hAnsi="Arial" w:cs="Arial"/>
          <w:sz w:val="20"/>
          <w:szCs w:val="20"/>
        </w:rPr>
        <w:t>iii</w:t>
      </w:r>
      <w:proofErr w:type="spellEnd"/>
      <w:r w:rsidRPr="009A4A28">
        <w:rPr>
          <w:rFonts w:ascii="Arial" w:eastAsia="Calibri" w:hAnsi="Arial" w:cs="Arial"/>
          <w:sz w:val="20"/>
          <w:szCs w:val="20"/>
        </w:rPr>
        <w:t xml:space="preserve">) abstenerse de pedir experiencia exclusiva con entidades estatales, experiencia previa en un territorio específico, limitada en el tiempo o que incluya volúmenes o cantidades de obra específica, </w:t>
      </w:r>
      <w:proofErr w:type="spellStart"/>
      <w:r w:rsidRPr="009A4A28">
        <w:rPr>
          <w:rFonts w:ascii="Arial" w:eastAsia="Calibri" w:hAnsi="Arial" w:cs="Arial"/>
          <w:sz w:val="20"/>
          <w:szCs w:val="20"/>
        </w:rPr>
        <w:t>iv</w:t>
      </w:r>
      <w:proofErr w:type="spellEnd"/>
      <w:r w:rsidRPr="009A4A28">
        <w:rPr>
          <w:rFonts w:ascii="Arial" w:eastAsia="Calibri" w:hAnsi="Arial" w:cs="Arial"/>
          <w:sz w:val="20"/>
          <w:szCs w:val="20"/>
        </w:rPr>
        <w:t>) clasificar la experiencia requerida solo hasta el tercer nivel del Clasificador de Bienes y Servicios e incluir exclusivamente los códigos que estén relacionados directamente con el objeto a contratar.</w:t>
      </w:r>
    </w:p>
    <w:p w14:paraId="3DB6DFEF" w14:textId="77777777" w:rsidR="00C74B91" w:rsidRPr="009A4A28" w:rsidRDefault="00C74B91" w:rsidP="00841FF1">
      <w:pPr>
        <w:pStyle w:val="Prrafodelista"/>
        <w:ind w:left="0"/>
        <w:jc w:val="both"/>
        <w:rPr>
          <w:rFonts w:ascii="Arial" w:eastAsia="Calibri" w:hAnsi="Arial" w:cs="Arial"/>
          <w:sz w:val="20"/>
          <w:szCs w:val="20"/>
          <w:highlight w:val="yellow"/>
        </w:rPr>
      </w:pPr>
    </w:p>
    <w:p w14:paraId="5CF749E6" w14:textId="4311BA2D" w:rsidR="00C74B91" w:rsidRPr="009A4A28" w:rsidRDefault="00511F0A" w:rsidP="00841FF1">
      <w:pPr>
        <w:jc w:val="both"/>
        <w:rPr>
          <w:rFonts w:ascii="Arial" w:eastAsia="Calibri" w:hAnsi="Arial" w:cs="Arial"/>
          <w:b/>
          <w:sz w:val="22"/>
        </w:rPr>
      </w:pPr>
      <w:r w:rsidRPr="009A4A28">
        <w:rPr>
          <w:rFonts w:ascii="Arial" w:eastAsia="Calibri" w:hAnsi="Arial" w:cs="Arial"/>
          <w:b/>
          <w:sz w:val="22"/>
        </w:rPr>
        <w:t xml:space="preserve">BIENES O SERVICIOS ADICIONALES </w:t>
      </w:r>
      <w:r w:rsidR="00C74B91" w:rsidRPr="009A4A28">
        <w:rPr>
          <w:rFonts w:ascii="Arial" w:eastAsia="Calibri" w:hAnsi="Arial" w:cs="Arial"/>
          <w:b/>
          <w:sz w:val="22"/>
        </w:rPr>
        <w:t>– Experiencia adicional – Casos</w:t>
      </w:r>
    </w:p>
    <w:p w14:paraId="150FB183" w14:textId="77777777" w:rsidR="005A79FE" w:rsidRPr="009A4A28" w:rsidRDefault="005A79FE" w:rsidP="00841FF1">
      <w:pPr>
        <w:pStyle w:val="Prrafodelista"/>
        <w:ind w:left="0"/>
        <w:jc w:val="both"/>
        <w:rPr>
          <w:rFonts w:ascii="Arial" w:eastAsia="Calibri" w:hAnsi="Arial" w:cs="Arial"/>
          <w:sz w:val="20"/>
          <w:szCs w:val="20"/>
          <w:highlight w:val="yellow"/>
        </w:rPr>
      </w:pPr>
    </w:p>
    <w:p w14:paraId="0F90377D" w14:textId="5378659D" w:rsidR="005A79FE" w:rsidRPr="009A4A28" w:rsidRDefault="00C74B91" w:rsidP="00841FF1">
      <w:pPr>
        <w:jc w:val="both"/>
        <w:rPr>
          <w:rFonts w:ascii="Arial" w:eastAsia="Calibri" w:hAnsi="Arial" w:cs="Arial"/>
          <w:sz w:val="20"/>
          <w:szCs w:val="20"/>
        </w:rPr>
      </w:pPr>
      <w:r w:rsidRPr="009A4A28">
        <w:rPr>
          <w:rFonts w:ascii="Arial" w:eastAsia="Calibri" w:hAnsi="Arial" w:cs="Arial"/>
          <w:sz w:val="20"/>
          <w:szCs w:val="20"/>
        </w:rPr>
        <w:t xml:space="preserve">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w:t>
      </w:r>
      <w:proofErr w:type="spellStart"/>
      <w:r w:rsidRPr="009A4A28">
        <w:rPr>
          <w:rFonts w:ascii="Arial" w:eastAsia="Calibri" w:hAnsi="Arial" w:cs="Arial"/>
          <w:sz w:val="20"/>
          <w:szCs w:val="20"/>
        </w:rPr>
        <w:t>ii</w:t>
      </w:r>
      <w:proofErr w:type="spellEnd"/>
      <w:r w:rsidRPr="009A4A28">
        <w:rPr>
          <w:rFonts w:ascii="Arial" w:eastAsia="Calibri" w:hAnsi="Arial" w:cs="Arial"/>
          <w:sz w:val="20"/>
          <w:szCs w:val="20"/>
        </w:rPr>
        <w:t>)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14:paraId="4CDF1339" w14:textId="77777777" w:rsidR="00C74B91" w:rsidRPr="001E053F" w:rsidRDefault="00C74B91" w:rsidP="00841FF1">
      <w:pPr>
        <w:jc w:val="both"/>
        <w:rPr>
          <w:rFonts w:ascii="Arial" w:eastAsia="Calibri" w:hAnsi="Arial" w:cs="Arial"/>
          <w:b/>
          <w:sz w:val="20"/>
          <w:szCs w:val="20"/>
          <w:highlight w:val="yellow"/>
        </w:rPr>
      </w:pPr>
    </w:p>
    <w:p w14:paraId="77ADA4F4" w14:textId="10946643" w:rsidR="00AB1D78" w:rsidRPr="009A4A28" w:rsidRDefault="00511F0A" w:rsidP="00AB1D78">
      <w:pPr>
        <w:rPr>
          <w:rFonts w:ascii="Arial" w:hAnsi="Arial" w:cs="Arial"/>
          <w:sz w:val="22"/>
        </w:rPr>
      </w:pPr>
      <w:r w:rsidRPr="009A4A28">
        <w:rPr>
          <w:rFonts w:ascii="Arial" w:eastAsia="Calibri" w:hAnsi="Arial" w:cs="Arial"/>
          <w:b/>
          <w:sz w:val="22"/>
        </w:rPr>
        <w:t>BIENES O SERVICIOS ADICIONALES – Experiencia adicional – Solicitud</w:t>
      </w:r>
    </w:p>
    <w:p w14:paraId="218F2062" w14:textId="2823C17A" w:rsidR="00511F0A" w:rsidRPr="001E053F" w:rsidRDefault="00511F0A" w:rsidP="00AB1D78">
      <w:pPr>
        <w:rPr>
          <w:rFonts w:ascii="Arial" w:hAnsi="Arial" w:cs="Arial"/>
          <w:sz w:val="20"/>
          <w:szCs w:val="20"/>
        </w:rPr>
      </w:pPr>
    </w:p>
    <w:p w14:paraId="11E3D1A2" w14:textId="2F69254C" w:rsidR="00B226F6" w:rsidRPr="00937E03" w:rsidRDefault="00B226F6" w:rsidP="001E053F">
      <w:pPr>
        <w:spacing w:after="120"/>
        <w:jc w:val="both"/>
        <w:rPr>
          <w:rFonts w:ascii="Arial" w:eastAsia="Calibri" w:hAnsi="Arial" w:cs="Arial"/>
          <w:sz w:val="20"/>
          <w:szCs w:val="20"/>
        </w:rPr>
      </w:pPr>
      <w:r w:rsidRPr="009A4A28">
        <w:rPr>
          <w:rFonts w:ascii="Arial" w:eastAsia="Calibri" w:hAnsi="Arial" w:cs="Arial"/>
          <w:sz w:val="20"/>
          <w:szCs w:val="20"/>
        </w:rPr>
        <w:t xml:space="preserve">Por su parte, en la parte introductoria de los Documentos Tipo se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pliego. </w:t>
      </w:r>
    </w:p>
    <w:p w14:paraId="7EC23471" w14:textId="461AD55F" w:rsidR="00511F0A" w:rsidRPr="009A4A28" w:rsidRDefault="00B226F6" w:rsidP="00B226F6">
      <w:pPr>
        <w:jc w:val="both"/>
        <w:rPr>
          <w:rFonts w:ascii="Arial" w:eastAsia="Calibri" w:hAnsi="Arial" w:cs="Arial"/>
          <w:sz w:val="20"/>
          <w:szCs w:val="20"/>
        </w:rPr>
      </w:pPr>
      <w:r w:rsidRPr="009A4A28">
        <w:rPr>
          <w:rFonts w:ascii="Arial" w:eastAsia="Calibri" w:hAnsi="Arial" w:cs="Arial"/>
          <w:sz w:val="20"/>
          <w:szCs w:val="20"/>
        </w:rPr>
        <w:t>Por consiguiente, para poder solicitar los bienes o servicios adicionales que no se encuentren contemplados en la Matriz 1 - Experiencia, debe aplicarse lo establecido en el literal G del numeral 3.5.1. del Documento Base, que contiene una nota en corchetes y resaltado en gris [...]</w:t>
      </w:r>
    </w:p>
    <w:p w14:paraId="183B42C7" w14:textId="0E786F90" w:rsidR="00511F0A" w:rsidRPr="009A4A28" w:rsidRDefault="00511F0A" w:rsidP="00AB1D78">
      <w:pPr>
        <w:rPr>
          <w:rFonts w:ascii="Arial" w:hAnsi="Arial" w:cs="Arial"/>
          <w:sz w:val="22"/>
        </w:rPr>
      </w:pPr>
    </w:p>
    <w:p w14:paraId="3D5C96D1" w14:textId="77777777" w:rsidR="00B226F6" w:rsidRPr="009A4A28" w:rsidRDefault="00B226F6" w:rsidP="00AB1D78">
      <w:pPr>
        <w:rPr>
          <w:rFonts w:ascii="Arial" w:hAnsi="Arial" w:cs="Arial"/>
          <w:sz w:val="22"/>
        </w:rPr>
      </w:pPr>
    </w:p>
    <w:p w14:paraId="23C1B978" w14:textId="6D66B959" w:rsidR="005A79FE" w:rsidRDefault="005A79FE" w:rsidP="005A79FE">
      <w:pPr>
        <w:jc w:val="both"/>
        <w:rPr>
          <w:rFonts w:ascii="Arial" w:hAnsi="Arial" w:cs="Arial"/>
          <w:b/>
          <w:sz w:val="22"/>
        </w:rPr>
      </w:pPr>
      <w:r w:rsidRPr="009A4A28">
        <w:rPr>
          <w:rFonts w:ascii="Arial" w:hAnsi="Arial" w:cs="Arial"/>
          <w:sz w:val="22"/>
        </w:rPr>
        <w:t xml:space="preserve">Bogotá D.C., </w:t>
      </w:r>
      <w:r w:rsidR="00D44F8C">
        <w:rPr>
          <w:rFonts w:ascii="Arial" w:hAnsi="Arial" w:cs="Arial"/>
          <w:b/>
          <w:sz w:val="22"/>
        </w:rPr>
        <w:t>08/09/2020</w:t>
      </w:r>
    </w:p>
    <w:p w14:paraId="733754F8" w14:textId="77777777" w:rsidR="00937E03" w:rsidRPr="009A4A28" w:rsidRDefault="00937E03" w:rsidP="005A79FE">
      <w:pPr>
        <w:jc w:val="both"/>
        <w:rPr>
          <w:rFonts w:ascii="Arial" w:eastAsia="Calibri" w:hAnsi="Arial" w:cs="Arial"/>
          <w:sz w:val="20"/>
        </w:rPr>
      </w:pPr>
    </w:p>
    <w:p w14:paraId="59F5087C" w14:textId="452AA035" w:rsidR="005A79FE" w:rsidRDefault="005A79FE" w:rsidP="005A79FE">
      <w:pPr>
        <w:jc w:val="right"/>
        <w:rPr>
          <w:rFonts w:ascii="Arial" w:hAnsi="Arial" w:cs="Arial"/>
          <w:b/>
          <w:sz w:val="22"/>
        </w:rPr>
      </w:pPr>
      <w:proofErr w:type="spellStart"/>
      <w:r w:rsidRPr="009A4A28">
        <w:rPr>
          <w:rFonts w:ascii="Arial" w:hAnsi="Arial" w:cs="Arial"/>
          <w:b/>
          <w:sz w:val="22"/>
        </w:rPr>
        <w:t>N°</w:t>
      </w:r>
      <w:proofErr w:type="spellEnd"/>
      <w:r w:rsidRPr="009A4A28">
        <w:rPr>
          <w:rFonts w:ascii="Arial" w:hAnsi="Arial" w:cs="Arial"/>
          <w:b/>
          <w:sz w:val="22"/>
        </w:rPr>
        <w:t xml:space="preserve"> Radicado: </w:t>
      </w:r>
      <w:r w:rsidR="00D44F8C" w:rsidRPr="00D44F8C">
        <w:rPr>
          <w:rFonts w:ascii="Arial" w:hAnsi="Arial" w:cs="Arial"/>
          <w:b/>
          <w:sz w:val="22"/>
        </w:rPr>
        <w:t>2202013000008513</w:t>
      </w:r>
    </w:p>
    <w:p w14:paraId="6858FE7F" w14:textId="77777777" w:rsidR="00937E03" w:rsidRPr="009A4A28" w:rsidRDefault="00937E03" w:rsidP="005A79FE">
      <w:pPr>
        <w:jc w:val="right"/>
        <w:rPr>
          <w:rFonts w:ascii="Arial" w:hAnsi="Arial" w:cs="Arial"/>
          <w:b/>
          <w:sz w:val="22"/>
        </w:rPr>
      </w:pPr>
    </w:p>
    <w:p w14:paraId="2853595C" w14:textId="77777777" w:rsidR="005A79FE" w:rsidRPr="009A4A28" w:rsidRDefault="005A79FE" w:rsidP="005A79FE">
      <w:pPr>
        <w:tabs>
          <w:tab w:val="left" w:pos="3374"/>
        </w:tabs>
        <w:rPr>
          <w:rFonts w:ascii="Arial" w:eastAsia="Calibri" w:hAnsi="Arial" w:cs="Arial"/>
          <w:sz w:val="22"/>
        </w:rPr>
      </w:pPr>
      <w:r w:rsidRPr="009A4A28">
        <w:rPr>
          <w:rFonts w:ascii="Arial" w:eastAsia="Calibri" w:hAnsi="Arial" w:cs="Arial"/>
          <w:sz w:val="22"/>
        </w:rPr>
        <w:tab/>
      </w:r>
    </w:p>
    <w:p w14:paraId="2097EFDF" w14:textId="6810C22D" w:rsidR="005A79FE" w:rsidRPr="009A4A28" w:rsidRDefault="005A79FE" w:rsidP="005A79FE">
      <w:pPr>
        <w:rPr>
          <w:rFonts w:ascii="Arial" w:eastAsia="Calibri" w:hAnsi="Arial" w:cs="Arial"/>
          <w:sz w:val="22"/>
        </w:rPr>
      </w:pPr>
      <w:r w:rsidRPr="009A4A28">
        <w:rPr>
          <w:rFonts w:ascii="Arial" w:eastAsia="Calibri" w:hAnsi="Arial" w:cs="Arial"/>
          <w:sz w:val="22"/>
        </w:rPr>
        <w:t>Señor</w:t>
      </w:r>
    </w:p>
    <w:p w14:paraId="7FDA027E" w14:textId="027A55AF" w:rsidR="005A79FE" w:rsidRPr="009A4A28" w:rsidRDefault="0017348D" w:rsidP="005A79FE">
      <w:pPr>
        <w:rPr>
          <w:rFonts w:ascii="Arial" w:eastAsia="Calibri" w:hAnsi="Arial" w:cs="Arial"/>
          <w:b/>
          <w:sz w:val="22"/>
          <w:lang w:val="es-ES"/>
        </w:rPr>
      </w:pPr>
      <w:r w:rsidRPr="009A4A28">
        <w:rPr>
          <w:rFonts w:ascii="Arial" w:eastAsia="Calibri" w:hAnsi="Arial" w:cs="Arial"/>
          <w:b/>
          <w:sz w:val="22"/>
          <w:lang w:val="es-ES"/>
        </w:rPr>
        <w:t xml:space="preserve">Benicio Salazar </w:t>
      </w:r>
      <w:proofErr w:type="spellStart"/>
      <w:r w:rsidRPr="009A4A28">
        <w:rPr>
          <w:rFonts w:ascii="Arial" w:eastAsia="Calibri" w:hAnsi="Arial" w:cs="Arial"/>
          <w:b/>
          <w:sz w:val="22"/>
          <w:lang w:val="es-ES"/>
        </w:rPr>
        <w:t>Alzate</w:t>
      </w:r>
      <w:proofErr w:type="spellEnd"/>
    </w:p>
    <w:p w14:paraId="699E9CB9" w14:textId="39282A99" w:rsidR="005A79FE" w:rsidRDefault="0017348D" w:rsidP="005A79FE">
      <w:pPr>
        <w:rPr>
          <w:rFonts w:ascii="Arial" w:eastAsia="Calibri" w:hAnsi="Arial" w:cs="Arial"/>
          <w:sz w:val="22"/>
        </w:rPr>
      </w:pPr>
      <w:r w:rsidRPr="009A4A28">
        <w:rPr>
          <w:rFonts w:ascii="Arial" w:eastAsia="Calibri" w:hAnsi="Arial" w:cs="Arial"/>
          <w:sz w:val="22"/>
        </w:rPr>
        <w:t xml:space="preserve">Marsella, </w:t>
      </w:r>
      <w:r w:rsidR="00776C38" w:rsidRPr="009A4A28">
        <w:rPr>
          <w:rFonts w:ascii="Arial" w:eastAsia="Calibri" w:hAnsi="Arial" w:cs="Arial"/>
          <w:sz w:val="22"/>
        </w:rPr>
        <w:t>Risaralda</w:t>
      </w:r>
    </w:p>
    <w:p w14:paraId="2111D15F" w14:textId="6FC8A947" w:rsidR="00937E03" w:rsidRDefault="00937E03" w:rsidP="00937E03">
      <w:pPr>
        <w:rPr>
          <w:rFonts w:ascii="Arial" w:eastAsia="Calibri" w:hAnsi="Arial" w:cs="Arial"/>
          <w:sz w:val="22"/>
        </w:rPr>
      </w:pPr>
      <w:r>
        <w:rPr>
          <w:rFonts w:ascii="Arial" w:eastAsia="Calibri" w:hAnsi="Arial" w:cs="Arial"/>
          <w:sz w:val="22"/>
        </w:rPr>
        <w:lastRenderedPageBreak/>
        <w:t xml:space="preserve">                                            </w:t>
      </w:r>
    </w:p>
    <w:p w14:paraId="056891EA" w14:textId="77777777" w:rsidR="00937E03" w:rsidRPr="009A4A28" w:rsidRDefault="00937E03">
      <w:pPr>
        <w:rPr>
          <w:rFonts w:ascii="Arial" w:eastAsia="Calibri" w:hAnsi="Arial" w:cs="Arial"/>
          <w:sz w:val="22"/>
        </w:rPr>
      </w:pPr>
    </w:p>
    <w:p w14:paraId="04EF5647" w14:textId="0012EC60" w:rsidR="005A79FE" w:rsidRPr="009A4A28" w:rsidRDefault="00937E03" w:rsidP="001E053F">
      <w:pPr>
        <w:rPr>
          <w:rFonts w:ascii="Arial" w:eastAsia="Calibri" w:hAnsi="Arial" w:cs="Arial"/>
          <w:b/>
          <w:sz w:val="22"/>
        </w:rPr>
      </w:pPr>
      <w:r>
        <w:rPr>
          <w:rFonts w:ascii="Arial" w:eastAsia="Calibri" w:hAnsi="Arial" w:cs="Arial"/>
          <w:b/>
          <w:sz w:val="22"/>
        </w:rPr>
        <w:t xml:space="preserve">                                            </w:t>
      </w:r>
      <w:r w:rsidR="005A79FE" w:rsidRPr="009A4A28">
        <w:rPr>
          <w:rFonts w:ascii="Arial" w:eastAsia="Calibri" w:hAnsi="Arial" w:cs="Arial"/>
          <w:b/>
          <w:sz w:val="22"/>
        </w:rPr>
        <w:t xml:space="preserve">Concepto C </w:t>
      </w:r>
      <w:r>
        <w:rPr>
          <w:rFonts w:ascii="Arial" w:eastAsia="Calibri" w:hAnsi="Arial" w:cs="Arial"/>
          <w:b/>
          <w:sz w:val="22"/>
        </w:rPr>
        <w:t>–</w:t>
      </w:r>
      <w:r w:rsidR="005A79FE" w:rsidRPr="009A4A28">
        <w:rPr>
          <w:rFonts w:ascii="Arial" w:eastAsia="Calibri" w:hAnsi="Arial" w:cs="Arial"/>
          <w:b/>
          <w:sz w:val="22"/>
        </w:rPr>
        <w:t xml:space="preserve"> </w:t>
      </w:r>
      <w:r w:rsidR="00C163A4" w:rsidRPr="009A4A28">
        <w:rPr>
          <w:rFonts w:ascii="Arial" w:eastAsia="Calibri" w:hAnsi="Arial" w:cs="Arial"/>
          <w:b/>
          <w:sz w:val="22"/>
        </w:rPr>
        <w:t>596</w:t>
      </w:r>
      <w:r w:rsidR="005A79FE" w:rsidRPr="009A4A28">
        <w:rPr>
          <w:rFonts w:ascii="Arial" w:eastAsia="Calibri" w:hAnsi="Arial" w:cs="Arial"/>
          <w:b/>
          <w:sz w:val="22"/>
        </w:rPr>
        <w:t xml:space="preserve"> de 2020</w:t>
      </w:r>
    </w:p>
    <w:p w14:paraId="6CCD98F0" w14:textId="77777777" w:rsidR="005A79FE" w:rsidRPr="009A4A28"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4A28" w:rsidRPr="009A4A28" w14:paraId="21699201" w14:textId="77777777" w:rsidTr="00897943">
        <w:tc>
          <w:tcPr>
            <w:tcW w:w="2689" w:type="dxa"/>
            <w:hideMark/>
          </w:tcPr>
          <w:p w14:paraId="26712367" w14:textId="77777777" w:rsidR="005A79FE" w:rsidRPr="009A4A28" w:rsidRDefault="005A79FE" w:rsidP="00897943">
            <w:pPr>
              <w:rPr>
                <w:rFonts w:ascii="Arial" w:eastAsia="Calibri" w:hAnsi="Arial" w:cs="Arial"/>
                <w:sz w:val="22"/>
              </w:rPr>
            </w:pPr>
            <w:r w:rsidRPr="009A4A28">
              <w:rPr>
                <w:rFonts w:ascii="Arial" w:eastAsia="Calibri" w:hAnsi="Arial" w:cs="Arial"/>
                <w:b/>
                <w:sz w:val="22"/>
              </w:rPr>
              <w:t>Temas:</w:t>
            </w:r>
            <w:r w:rsidRPr="009A4A28">
              <w:rPr>
                <w:rFonts w:ascii="Arial" w:eastAsia="Calibri" w:hAnsi="Arial" w:cs="Arial"/>
                <w:sz w:val="22"/>
              </w:rPr>
              <w:t xml:space="preserve">           </w:t>
            </w:r>
          </w:p>
          <w:p w14:paraId="5D67F5C4" w14:textId="77777777" w:rsidR="005A79FE" w:rsidRPr="009A4A28" w:rsidRDefault="005A79FE" w:rsidP="00897943">
            <w:pPr>
              <w:rPr>
                <w:rFonts w:ascii="Arial" w:eastAsia="Calibri" w:hAnsi="Arial" w:cs="Arial"/>
                <w:sz w:val="22"/>
              </w:rPr>
            </w:pPr>
            <w:r w:rsidRPr="009A4A28">
              <w:rPr>
                <w:rFonts w:ascii="Arial" w:eastAsia="Calibri" w:hAnsi="Arial" w:cs="Arial"/>
                <w:sz w:val="22"/>
              </w:rPr>
              <w:t xml:space="preserve">                           </w:t>
            </w:r>
          </w:p>
        </w:tc>
        <w:tc>
          <w:tcPr>
            <w:tcW w:w="6237" w:type="dxa"/>
            <w:hideMark/>
          </w:tcPr>
          <w:p w14:paraId="784C47C0" w14:textId="00E2557F" w:rsidR="005A79FE" w:rsidRPr="009A4A28" w:rsidRDefault="00776C38" w:rsidP="001E053F">
            <w:pPr>
              <w:spacing w:after="120"/>
              <w:jc w:val="both"/>
              <w:rPr>
                <w:rFonts w:ascii="Arial" w:eastAsia="Calibri" w:hAnsi="Arial" w:cs="Arial"/>
                <w:sz w:val="22"/>
              </w:rPr>
            </w:pPr>
            <w:r w:rsidRPr="009A4A28">
              <w:rPr>
                <w:rFonts w:ascii="Arial" w:eastAsia="Calibri" w:hAnsi="Arial" w:cs="Arial"/>
                <w:sz w:val="22"/>
              </w:rPr>
              <w:t xml:space="preserve">DOCUMENTOS TIPO – Bienes o servicios adicionales – Experiencia adicional – Parámetros / </w:t>
            </w:r>
            <w:r w:rsidR="00511F0A" w:rsidRPr="009A4A28">
              <w:rPr>
                <w:rFonts w:ascii="Arial" w:eastAsia="Calibri" w:hAnsi="Arial" w:cs="Arial"/>
                <w:sz w:val="22"/>
              </w:rPr>
              <w:t>BIENES O SERVICIOS ADICIONALES – Experiencia adicional – Casos / BIENES O SERVICIOS ADICIONALES – Experiencia adicional – Solicitud</w:t>
            </w:r>
          </w:p>
        </w:tc>
      </w:tr>
      <w:tr w:rsidR="00A945C1" w:rsidRPr="009A4A28" w14:paraId="7C0A7D18" w14:textId="77777777" w:rsidTr="00897943">
        <w:tc>
          <w:tcPr>
            <w:tcW w:w="2689" w:type="dxa"/>
          </w:tcPr>
          <w:p w14:paraId="6A12F093" w14:textId="77777777" w:rsidR="005A79FE" w:rsidRPr="009A4A28" w:rsidRDefault="005A79FE" w:rsidP="00897943">
            <w:pPr>
              <w:rPr>
                <w:rFonts w:ascii="Arial" w:eastAsia="Calibri" w:hAnsi="Arial" w:cs="Arial"/>
                <w:b/>
                <w:sz w:val="22"/>
              </w:rPr>
            </w:pPr>
            <w:r w:rsidRPr="009A4A28">
              <w:rPr>
                <w:rFonts w:ascii="Arial" w:eastAsia="Calibri" w:hAnsi="Arial" w:cs="Arial"/>
                <w:b/>
                <w:sz w:val="22"/>
              </w:rPr>
              <w:t>Radicación:</w:t>
            </w:r>
            <w:r w:rsidRPr="009A4A28">
              <w:rPr>
                <w:rFonts w:ascii="Arial" w:eastAsia="Calibri" w:hAnsi="Arial" w:cs="Arial"/>
                <w:sz w:val="22"/>
              </w:rPr>
              <w:t xml:space="preserve">                              </w:t>
            </w:r>
          </w:p>
        </w:tc>
        <w:tc>
          <w:tcPr>
            <w:tcW w:w="6237" w:type="dxa"/>
          </w:tcPr>
          <w:p w14:paraId="73A42ACA" w14:textId="69058615" w:rsidR="005A79FE" w:rsidRPr="009A4A28" w:rsidRDefault="005A79FE" w:rsidP="00897943">
            <w:pPr>
              <w:jc w:val="both"/>
              <w:rPr>
                <w:rFonts w:ascii="Arial" w:eastAsia="Calibri" w:hAnsi="Arial" w:cs="Arial"/>
                <w:sz w:val="22"/>
              </w:rPr>
            </w:pPr>
            <w:r w:rsidRPr="009A4A28">
              <w:rPr>
                <w:rFonts w:ascii="Arial" w:eastAsia="Calibri" w:hAnsi="Arial" w:cs="Arial"/>
                <w:sz w:val="22"/>
              </w:rPr>
              <w:t>Respuesta a consulta # 42020</w:t>
            </w:r>
            <w:r w:rsidR="00F5043C" w:rsidRPr="009A4A28">
              <w:rPr>
                <w:rFonts w:ascii="Arial" w:eastAsia="Calibri" w:hAnsi="Arial" w:cs="Arial"/>
                <w:sz w:val="22"/>
              </w:rPr>
              <w:t>13000007</w:t>
            </w:r>
            <w:r w:rsidR="00664A94" w:rsidRPr="009A4A28">
              <w:rPr>
                <w:rFonts w:ascii="Arial" w:eastAsia="Calibri" w:hAnsi="Arial" w:cs="Arial"/>
                <w:sz w:val="22"/>
              </w:rPr>
              <w:t>567</w:t>
            </w:r>
          </w:p>
        </w:tc>
      </w:tr>
    </w:tbl>
    <w:p w14:paraId="396DE958" w14:textId="77777777" w:rsidR="005A79FE" w:rsidRPr="009A4A28" w:rsidRDefault="005A79FE" w:rsidP="005A79FE">
      <w:pPr>
        <w:jc w:val="both"/>
        <w:rPr>
          <w:rFonts w:ascii="Arial" w:eastAsia="Calibri" w:hAnsi="Arial" w:cs="Arial"/>
          <w:sz w:val="22"/>
        </w:rPr>
      </w:pPr>
    </w:p>
    <w:p w14:paraId="489DB6E6" w14:textId="77777777" w:rsidR="005A79FE" w:rsidRPr="009A4A28" w:rsidRDefault="005A79FE" w:rsidP="005A79FE">
      <w:pPr>
        <w:rPr>
          <w:rFonts w:ascii="Arial" w:eastAsia="Calibri" w:hAnsi="Arial" w:cs="Arial"/>
          <w:sz w:val="22"/>
        </w:rPr>
      </w:pPr>
    </w:p>
    <w:p w14:paraId="657E7EE7" w14:textId="54CDADCD" w:rsidR="005A79FE" w:rsidRPr="009A4A28" w:rsidRDefault="005A79FE" w:rsidP="005A79FE">
      <w:pPr>
        <w:rPr>
          <w:rFonts w:ascii="Arial" w:eastAsia="Calibri" w:hAnsi="Arial" w:cs="Arial"/>
          <w:sz w:val="22"/>
        </w:rPr>
      </w:pPr>
      <w:r w:rsidRPr="009A4A28">
        <w:rPr>
          <w:rFonts w:ascii="Arial" w:eastAsia="Calibri" w:hAnsi="Arial" w:cs="Arial"/>
          <w:sz w:val="22"/>
        </w:rPr>
        <w:t>Estimado señor</w:t>
      </w:r>
      <w:r w:rsidR="00712060" w:rsidRPr="009A4A28">
        <w:rPr>
          <w:rFonts w:ascii="Arial" w:eastAsia="Calibri" w:hAnsi="Arial" w:cs="Arial"/>
          <w:sz w:val="22"/>
        </w:rPr>
        <w:t xml:space="preserve"> </w:t>
      </w:r>
      <w:r w:rsidR="00664A94" w:rsidRPr="009A4A28">
        <w:rPr>
          <w:rFonts w:ascii="Arial" w:eastAsia="Calibri" w:hAnsi="Arial" w:cs="Arial"/>
          <w:sz w:val="22"/>
        </w:rPr>
        <w:t>Salazar</w:t>
      </w:r>
      <w:r w:rsidRPr="009A4A28">
        <w:rPr>
          <w:rFonts w:ascii="Arial" w:eastAsia="Calibri" w:hAnsi="Arial" w:cs="Arial"/>
          <w:sz w:val="22"/>
        </w:rPr>
        <w:t>,</w:t>
      </w:r>
    </w:p>
    <w:p w14:paraId="40D74C98" w14:textId="77777777" w:rsidR="005A79FE" w:rsidRPr="009A4A28" w:rsidRDefault="005A79FE" w:rsidP="005A79FE">
      <w:pPr>
        <w:rPr>
          <w:rFonts w:ascii="Arial" w:eastAsia="Calibri" w:hAnsi="Arial" w:cs="Arial"/>
          <w:sz w:val="22"/>
        </w:rPr>
      </w:pPr>
    </w:p>
    <w:p w14:paraId="1412627B" w14:textId="10789E64" w:rsidR="001D20CD" w:rsidRPr="009A4A28" w:rsidRDefault="001D20CD" w:rsidP="001D20CD">
      <w:pPr>
        <w:spacing w:line="276" w:lineRule="auto"/>
        <w:jc w:val="both"/>
        <w:rPr>
          <w:rFonts w:ascii="Arial" w:eastAsia="Calibri" w:hAnsi="Arial" w:cs="Arial"/>
          <w:sz w:val="22"/>
        </w:rPr>
      </w:pPr>
      <w:r w:rsidRPr="009A4A28">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D5AB4" w:rsidRPr="009A4A28">
        <w:rPr>
          <w:rFonts w:ascii="Arial" w:eastAsia="Calibri" w:hAnsi="Arial" w:cs="Arial"/>
          <w:sz w:val="22"/>
        </w:rPr>
        <w:t>31</w:t>
      </w:r>
      <w:r w:rsidRPr="009A4A28">
        <w:rPr>
          <w:rFonts w:ascii="Arial" w:eastAsia="Calibri" w:hAnsi="Arial" w:cs="Arial"/>
          <w:sz w:val="22"/>
        </w:rPr>
        <w:t xml:space="preserve"> de agosto del 2020.</w:t>
      </w:r>
    </w:p>
    <w:p w14:paraId="4FA02A8B" w14:textId="77777777" w:rsidR="005A79FE" w:rsidRPr="009A4A28" w:rsidRDefault="005A79FE" w:rsidP="005A79FE">
      <w:pPr>
        <w:spacing w:line="276" w:lineRule="auto"/>
        <w:jc w:val="both"/>
        <w:rPr>
          <w:rFonts w:ascii="Arial" w:eastAsia="Calibri" w:hAnsi="Arial" w:cs="Arial"/>
          <w:sz w:val="22"/>
        </w:rPr>
      </w:pPr>
    </w:p>
    <w:p w14:paraId="17A88694" w14:textId="502A89D7" w:rsidR="00A945C1" w:rsidRPr="009A4A28" w:rsidRDefault="00A945C1" w:rsidP="00A945C1">
      <w:pPr>
        <w:pStyle w:val="Prrafodelista"/>
        <w:tabs>
          <w:tab w:val="left" w:pos="284"/>
        </w:tabs>
        <w:spacing w:line="276" w:lineRule="auto"/>
        <w:ind w:left="0"/>
        <w:jc w:val="both"/>
        <w:rPr>
          <w:rFonts w:ascii="Arial" w:eastAsia="Calibri" w:hAnsi="Arial" w:cs="Arial"/>
          <w:b/>
          <w:sz w:val="22"/>
        </w:rPr>
      </w:pPr>
      <w:bookmarkStart w:id="0" w:name="_Hlk29890381"/>
      <w:r w:rsidRPr="009A4A28">
        <w:rPr>
          <w:rFonts w:ascii="Arial" w:eastAsia="Calibri" w:hAnsi="Arial" w:cs="Arial"/>
          <w:b/>
          <w:sz w:val="22"/>
        </w:rPr>
        <w:t>1. Problema planteado</w:t>
      </w:r>
    </w:p>
    <w:p w14:paraId="373F8D38" w14:textId="77777777" w:rsidR="00A945C1" w:rsidRPr="009A4A28" w:rsidRDefault="00A945C1" w:rsidP="00A945C1">
      <w:pPr>
        <w:tabs>
          <w:tab w:val="left" w:pos="426"/>
        </w:tabs>
        <w:spacing w:line="276" w:lineRule="auto"/>
        <w:jc w:val="both"/>
        <w:rPr>
          <w:rFonts w:ascii="Arial" w:eastAsia="Calibri" w:hAnsi="Arial" w:cs="Arial"/>
          <w:b/>
          <w:sz w:val="22"/>
        </w:rPr>
      </w:pPr>
    </w:p>
    <w:p w14:paraId="1C1972B1" w14:textId="6BB12F07" w:rsidR="00A945C1" w:rsidRPr="009A4A28" w:rsidRDefault="00A945C1" w:rsidP="00A945C1">
      <w:pPr>
        <w:tabs>
          <w:tab w:val="left" w:pos="426"/>
        </w:tabs>
        <w:spacing w:line="276" w:lineRule="auto"/>
        <w:jc w:val="both"/>
        <w:rPr>
          <w:rFonts w:ascii="Arial" w:eastAsia="Calibri" w:hAnsi="Arial" w:cs="Arial"/>
          <w:sz w:val="22"/>
        </w:rPr>
      </w:pPr>
      <w:r w:rsidRPr="009A4A28">
        <w:rPr>
          <w:rFonts w:ascii="Arial" w:eastAsia="Calibri" w:hAnsi="Arial" w:cs="Arial"/>
          <w:sz w:val="22"/>
        </w:rPr>
        <w:t xml:space="preserve">Usted realiza la siguiente pregunta: </w:t>
      </w:r>
      <w:r w:rsidR="000E4342" w:rsidRPr="009A4A28">
        <w:rPr>
          <w:rFonts w:ascii="Arial" w:eastAsia="Calibri" w:hAnsi="Arial" w:cs="Arial"/>
          <w:sz w:val="22"/>
        </w:rPr>
        <w:t>«[…]</w:t>
      </w:r>
      <w:r w:rsidR="003620E1" w:rsidRPr="009A4A28">
        <w:rPr>
          <w:rFonts w:ascii="Arial" w:eastAsia="Calibri" w:hAnsi="Arial" w:cs="Arial"/>
          <w:sz w:val="22"/>
        </w:rPr>
        <w:t xml:space="preserve"> cómo debe proceder una entidad estatal para fijar los factores de experiencia adicional, si es necesario incluir un nuev</w:t>
      </w:r>
      <w:r w:rsidR="009D0C84" w:rsidRPr="009A4A28">
        <w:rPr>
          <w:rFonts w:ascii="Arial" w:eastAsia="Calibri" w:hAnsi="Arial" w:cs="Arial"/>
          <w:sz w:val="22"/>
        </w:rPr>
        <w:t>o</w:t>
      </w:r>
      <w:r w:rsidR="003620E1" w:rsidRPr="009A4A28">
        <w:rPr>
          <w:rFonts w:ascii="Arial" w:eastAsia="Calibri" w:hAnsi="Arial" w:cs="Arial"/>
          <w:sz w:val="22"/>
        </w:rPr>
        <w:t xml:space="preserve"> elemento en la matriz de Experiencia, si se debe publicar una nueva matriz y/o anexo; o si se recomienda una forma especifica para dicha solicitud adicional de experiencia</w:t>
      </w:r>
      <w:r w:rsidR="000E4342" w:rsidRPr="009A4A28">
        <w:rPr>
          <w:rFonts w:ascii="Arial" w:eastAsia="Calibri" w:hAnsi="Arial" w:cs="Arial"/>
          <w:sz w:val="22"/>
        </w:rPr>
        <w:t>».</w:t>
      </w:r>
      <w:r w:rsidR="00B63C03" w:rsidRPr="009A4A28">
        <w:rPr>
          <w:rFonts w:ascii="Arial" w:eastAsia="Calibri" w:hAnsi="Arial" w:cs="Arial"/>
          <w:sz w:val="22"/>
        </w:rPr>
        <w:t xml:space="preserve"> </w:t>
      </w:r>
    </w:p>
    <w:p w14:paraId="17519F82" w14:textId="77777777" w:rsidR="00A945C1" w:rsidRPr="009A4A28" w:rsidRDefault="00A945C1" w:rsidP="00A945C1">
      <w:pPr>
        <w:tabs>
          <w:tab w:val="left" w:pos="426"/>
        </w:tabs>
        <w:spacing w:line="276" w:lineRule="auto"/>
        <w:jc w:val="both"/>
        <w:rPr>
          <w:rFonts w:ascii="Arial" w:eastAsia="Calibri" w:hAnsi="Arial" w:cs="Arial"/>
          <w:sz w:val="22"/>
        </w:rPr>
      </w:pPr>
    </w:p>
    <w:p w14:paraId="31610256" w14:textId="77777777" w:rsidR="00A945C1" w:rsidRPr="009A4A28" w:rsidRDefault="00A945C1" w:rsidP="00A945C1">
      <w:pPr>
        <w:tabs>
          <w:tab w:val="left" w:pos="426"/>
        </w:tabs>
        <w:spacing w:line="276" w:lineRule="auto"/>
        <w:jc w:val="both"/>
        <w:rPr>
          <w:rFonts w:ascii="Arial" w:eastAsia="Calibri" w:hAnsi="Arial" w:cs="Arial"/>
          <w:b/>
          <w:sz w:val="22"/>
        </w:rPr>
      </w:pPr>
      <w:r w:rsidRPr="009A4A28">
        <w:rPr>
          <w:rFonts w:ascii="Arial" w:eastAsia="Calibri" w:hAnsi="Arial" w:cs="Arial"/>
          <w:b/>
          <w:sz w:val="22"/>
        </w:rPr>
        <w:t>2. Consideraciones</w:t>
      </w:r>
    </w:p>
    <w:p w14:paraId="71A37B59" w14:textId="77777777" w:rsidR="00A945C1" w:rsidRPr="009A4A28" w:rsidRDefault="00A945C1" w:rsidP="00A945C1">
      <w:pPr>
        <w:tabs>
          <w:tab w:val="left" w:pos="426"/>
        </w:tabs>
        <w:spacing w:line="276" w:lineRule="auto"/>
        <w:jc w:val="both"/>
        <w:rPr>
          <w:rFonts w:ascii="Arial" w:eastAsia="Calibri" w:hAnsi="Arial" w:cs="Arial"/>
          <w:b/>
          <w:sz w:val="22"/>
        </w:rPr>
      </w:pPr>
    </w:p>
    <w:p w14:paraId="27C00AEE" w14:textId="79035F0C" w:rsidR="00A945C1" w:rsidRPr="009A4A28" w:rsidRDefault="00A945C1" w:rsidP="003620E1">
      <w:pPr>
        <w:tabs>
          <w:tab w:val="left" w:pos="426"/>
        </w:tabs>
        <w:spacing w:after="120" w:line="276" w:lineRule="auto"/>
        <w:jc w:val="both"/>
        <w:rPr>
          <w:rFonts w:ascii="Arial" w:eastAsia="Calibri" w:hAnsi="Arial" w:cs="Arial"/>
          <w:b/>
          <w:sz w:val="22"/>
        </w:rPr>
      </w:pPr>
      <w:r w:rsidRPr="009A4A28">
        <w:rPr>
          <w:rFonts w:ascii="Arial" w:eastAsia="Calibri" w:hAnsi="Arial" w:cs="Arial"/>
          <w:bCs/>
          <w:sz w:val="22"/>
          <w:lang w:val="es-ES_tradnl"/>
        </w:rPr>
        <w:t xml:space="preserve">Teniendo en cuenta que la consulta se realiza en vigencia de los </w:t>
      </w:r>
      <w:r w:rsidR="00724FA3">
        <w:rPr>
          <w:rFonts w:ascii="Arial" w:eastAsia="Calibri" w:hAnsi="Arial" w:cs="Arial"/>
          <w:bCs/>
          <w:sz w:val="22"/>
          <w:lang w:val="es-ES_tradnl"/>
        </w:rPr>
        <w:t>«</w:t>
      </w:r>
      <w:r w:rsidRPr="009A4A28">
        <w:rPr>
          <w:rFonts w:ascii="Arial" w:eastAsia="Calibri" w:hAnsi="Arial" w:cs="Arial"/>
          <w:bCs/>
          <w:sz w:val="22"/>
          <w:lang w:val="es-ES_tradnl"/>
        </w:rPr>
        <w:t>Documentos Tipo</w:t>
      </w:r>
      <w:r w:rsidR="00724FA3">
        <w:rPr>
          <w:rFonts w:ascii="Arial" w:eastAsia="Calibri" w:hAnsi="Arial" w:cs="Arial"/>
          <w:bCs/>
          <w:sz w:val="22"/>
          <w:lang w:val="es-ES_tradnl"/>
        </w:rPr>
        <w:t xml:space="preserve"> – Versión 2»</w:t>
      </w:r>
      <w:r w:rsidRPr="009A4A28">
        <w:rPr>
          <w:rFonts w:ascii="Arial" w:eastAsia="Calibri" w:hAnsi="Arial" w:cs="Arial"/>
          <w:bCs/>
          <w:sz w:val="22"/>
          <w:lang w:val="es-ES_tradnl"/>
        </w:rPr>
        <w:t xml:space="preserve"> para licitación de obra pública de infraestructura de transporte, las consideraciones que se presentan a continuación están relacionadas con los formatos de estos documentos.</w:t>
      </w:r>
    </w:p>
    <w:p w14:paraId="7A45D2F5" w14:textId="77777777" w:rsidR="00977F75" w:rsidRDefault="009A42A4" w:rsidP="00FC11D1">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La Agencia </w:t>
      </w:r>
      <w:r w:rsidRPr="009A4A28">
        <w:rPr>
          <w:rFonts w:ascii="Arial" w:eastAsia="Calibri" w:hAnsi="Arial" w:cs="Arial"/>
          <w:bCs/>
          <w:sz w:val="22"/>
        </w:rPr>
        <w:t>Nacional de Contratación Pública – Colombia Compra Eficiente,</w:t>
      </w:r>
      <w:r w:rsidRPr="009A4A28">
        <w:t xml:space="preserve"> </w:t>
      </w:r>
      <w:r w:rsidRPr="009A4A28">
        <w:rPr>
          <w:rFonts w:ascii="Arial" w:eastAsia="Calibri" w:hAnsi="Arial" w:cs="Arial"/>
          <w:bCs/>
          <w:sz w:val="22"/>
        </w:rPr>
        <w:t xml:space="preserve">en el concepto con radicado No. </w:t>
      </w:r>
      <w:r w:rsidR="00581D70" w:rsidRPr="009A4A28">
        <w:rPr>
          <w:rFonts w:ascii="Arial" w:eastAsia="Calibri" w:hAnsi="Arial" w:cs="Arial"/>
          <w:bCs/>
          <w:sz w:val="22"/>
        </w:rPr>
        <w:t>4201912000004855 del 13 de agosto de 2019</w:t>
      </w:r>
      <w:r w:rsidRPr="009A4A28">
        <w:rPr>
          <w:rFonts w:ascii="Arial" w:eastAsia="Calibri" w:hAnsi="Arial" w:cs="Arial"/>
          <w:bCs/>
          <w:sz w:val="22"/>
        </w:rPr>
        <w:t>, reiterado y desarrollado en los conceptos No.</w:t>
      </w:r>
      <w:r w:rsidR="00FC11D1">
        <w:rPr>
          <w:rFonts w:ascii="Arial" w:eastAsia="Calibri" w:hAnsi="Arial" w:cs="Arial"/>
          <w:bCs/>
          <w:sz w:val="22"/>
        </w:rPr>
        <w:t xml:space="preserve"> </w:t>
      </w:r>
      <w:r w:rsidR="00FC11D1" w:rsidRPr="009A4A28">
        <w:rPr>
          <w:rFonts w:ascii="Arial" w:eastAsia="Calibri" w:hAnsi="Arial" w:cs="Arial"/>
          <w:sz w:val="22"/>
        </w:rPr>
        <w:t>4201912000006117 del 7 de septiembre de 2019</w:t>
      </w:r>
      <w:r w:rsidR="00FC11D1">
        <w:rPr>
          <w:rFonts w:ascii="Arial" w:eastAsia="Calibri" w:hAnsi="Arial" w:cs="Arial"/>
          <w:sz w:val="22"/>
        </w:rPr>
        <w:t>,</w:t>
      </w:r>
      <w:r w:rsidR="002351A0" w:rsidRPr="009A4A28">
        <w:rPr>
          <w:rFonts w:ascii="Arial" w:eastAsia="Calibri" w:hAnsi="Arial" w:cs="Arial"/>
          <w:bCs/>
          <w:sz w:val="22"/>
        </w:rPr>
        <w:t xml:space="preserve"> 4201912000005786 del 7 de octubre de 2019</w:t>
      </w:r>
      <w:r w:rsidRPr="009A4A28">
        <w:rPr>
          <w:rFonts w:ascii="Arial" w:eastAsia="Calibri" w:hAnsi="Arial" w:cs="Arial"/>
          <w:sz w:val="22"/>
        </w:rPr>
        <w:t>,</w:t>
      </w:r>
      <w:r w:rsidR="00FC11D1">
        <w:rPr>
          <w:rFonts w:ascii="Arial" w:eastAsia="Calibri" w:hAnsi="Arial" w:cs="Arial"/>
          <w:sz w:val="22"/>
        </w:rPr>
        <w:t xml:space="preserve"> </w:t>
      </w:r>
      <w:r w:rsidR="00460876" w:rsidRPr="009A4A28">
        <w:rPr>
          <w:rFonts w:ascii="Arial" w:hAnsi="Arial" w:cs="Arial"/>
          <w:sz w:val="22"/>
        </w:rPr>
        <w:t>4201912000006928, 4201912000006929 y 4201913000006952 del 8 de octubre de 2019,</w:t>
      </w:r>
      <w:r w:rsidR="00FC11D1">
        <w:rPr>
          <w:rFonts w:ascii="Arial" w:hAnsi="Arial" w:cs="Arial"/>
          <w:sz w:val="22"/>
        </w:rPr>
        <w:t xml:space="preserve"> </w:t>
      </w:r>
      <w:r w:rsidR="00FC11D1" w:rsidRPr="009A4A28">
        <w:rPr>
          <w:rFonts w:ascii="Arial" w:eastAsia="Calibri" w:hAnsi="Arial" w:cs="Arial"/>
          <w:sz w:val="22"/>
        </w:rPr>
        <w:t>4201912000006613 del 24 de octubre de 2019</w:t>
      </w:r>
      <w:r w:rsidR="00FC11D1">
        <w:rPr>
          <w:rFonts w:ascii="Arial" w:eastAsia="Calibri" w:hAnsi="Arial" w:cs="Arial"/>
          <w:sz w:val="22"/>
        </w:rPr>
        <w:t xml:space="preserve">, </w:t>
      </w:r>
      <w:r w:rsidR="00FC11D1" w:rsidRPr="009A4A28">
        <w:rPr>
          <w:rFonts w:ascii="Arial" w:eastAsia="Calibri" w:hAnsi="Arial" w:cs="Arial"/>
          <w:sz w:val="22"/>
        </w:rPr>
        <w:t>4201912000006576 del 6 de noviembre de 2019</w:t>
      </w:r>
      <w:r w:rsidR="00460876" w:rsidRPr="009A4A28">
        <w:rPr>
          <w:rFonts w:ascii="Arial" w:eastAsia="Calibri" w:hAnsi="Arial" w:cs="Arial"/>
          <w:sz w:val="22"/>
        </w:rPr>
        <w:t xml:space="preserve">, </w:t>
      </w:r>
      <w:r w:rsidR="00ED7ECF" w:rsidRPr="009A4A28">
        <w:rPr>
          <w:rFonts w:ascii="Arial" w:eastAsia="Calibri" w:hAnsi="Arial" w:cs="Arial"/>
          <w:sz w:val="22"/>
        </w:rPr>
        <w:t>4201912000007375</w:t>
      </w:r>
      <w:r w:rsidR="009D0C84" w:rsidRPr="009A4A28">
        <w:rPr>
          <w:rFonts w:ascii="Arial" w:eastAsia="Calibri" w:hAnsi="Arial" w:cs="Arial"/>
          <w:sz w:val="22"/>
        </w:rPr>
        <w:t xml:space="preserve"> y 4201912000007452</w:t>
      </w:r>
      <w:r w:rsidR="00ED7ECF" w:rsidRPr="009A4A28">
        <w:rPr>
          <w:rFonts w:ascii="Arial" w:eastAsia="Calibri" w:hAnsi="Arial" w:cs="Arial"/>
          <w:sz w:val="22"/>
        </w:rPr>
        <w:t xml:space="preserve"> del 14 de noviembre de 2019,</w:t>
      </w:r>
      <w:r w:rsidR="00FC11D1">
        <w:rPr>
          <w:rFonts w:ascii="Arial" w:eastAsia="Calibri" w:hAnsi="Arial" w:cs="Arial"/>
          <w:sz w:val="22"/>
        </w:rPr>
        <w:t xml:space="preserve"> </w:t>
      </w:r>
      <w:r w:rsidR="00FC11D1" w:rsidRPr="009A4A28">
        <w:rPr>
          <w:rFonts w:ascii="Arial" w:eastAsia="Calibri" w:hAnsi="Arial" w:cs="Arial"/>
          <w:sz w:val="22"/>
        </w:rPr>
        <w:t>4201912000007166 del 2 de diciembre de 2019</w:t>
      </w:r>
      <w:r w:rsidR="00FC11D1">
        <w:rPr>
          <w:rFonts w:ascii="Arial" w:eastAsia="Calibri" w:hAnsi="Arial" w:cs="Arial"/>
          <w:sz w:val="22"/>
        </w:rPr>
        <w:t>,</w:t>
      </w:r>
      <w:r w:rsidR="00ED7ECF" w:rsidRPr="009A4A28">
        <w:rPr>
          <w:rFonts w:ascii="Arial" w:eastAsia="Calibri" w:hAnsi="Arial" w:cs="Arial"/>
          <w:sz w:val="22"/>
        </w:rPr>
        <w:t xml:space="preserve"> </w:t>
      </w:r>
      <w:r w:rsidR="00FC11D1" w:rsidRPr="009A4A28">
        <w:rPr>
          <w:rFonts w:ascii="Arial" w:eastAsia="Calibri" w:hAnsi="Arial" w:cs="Arial"/>
          <w:sz w:val="22"/>
        </w:rPr>
        <w:t>4201912000007996 del 9 de diciembre de 2019</w:t>
      </w:r>
      <w:r w:rsidR="00FC11D1">
        <w:rPr>
          <w:rFonts w:ascii="Arial" w:eastAsia="Calibri" w:hAnsi="Arial" w:cs="Arial"/>
          <w:sz w:val="22"/>
        </w:rPr>
        <w:t xml:space="preserve">, </w:t>
      </w:r>
      <w:r w:rsidR="00ED7ECF" w:rsidRPr="009A4A28">
        <w:rPr>
          <w:rFonts w:ascii="Arial" w:eastAsia="Calibri" w:hAnsi="Arial" w:cs="Arial"/>
          <w:sz w:val="22"/>
        </w:rPr>
        <w:t>4201912000007465 del 13 de diciembre de 2019, 4201912000007755</w:t>
      </w:r>
      <w:r w:rsidR="00FC11D1">
        <w:rPr>
          <w:rFonts w:ascii="Arial" w:eastAsia="Calibri" w:hAnsi="Arial" w:cs="Arial"/>
          <w:sz w:val="22"/>
        </w:rPr>
        <w:t xml:space="preserve"> y </w:t>
      </w:r>
      <w:r w:rsidR="00FC11D1" w:rsidRPr="009A4A28">
        <w:rPr>
          <w:rFonts w:ascii="Arial" w:eastAsia="Calibri" w:hAnsi="Arial" w:cs="Arial"/>
          <w:sz w:val="22"/>
        </w:rPr>
        <w:t>4201912000007931</w:t>
      </w:r>
      <w:r w:rsidR="00ED7ECF" w:rsidRPr="009A4A28">
        <w:rPr>
          <w:rFonts w:ascii="Arial" w:eastAsia="Calibri" w:hAnsi="Arial" w:cs="Arial"/>
          <w:sz w:val="22"/>
        </w:rPr>
        <w:t xml:space="preserve"> del 20 de diciembre de 2019</w:t>
      </w:r>
      <w:r w:rsidR="006908F4" w:rsidRPr="009A4A28">
        <w:rPr>
          <w:rFonts w:ascii="Arial" w:eastAsia="Calibri" w:hAnsi="Arial" w:cs="Arial"/>
          <w:sz w:val="22"/>
        </w:rPr>
        <w:t>,</w:t>
      </w:r>
      <w:r w:rsidR="00707240" w:rsidRPr="009A4A28">
        <w:rPr>
          <w:rFonts w:ascii="Arial" w:eastAsia="Calibri" w:hAnsi="Arial" w:cs="Arial"/>
          <w:sz w:val="22"/>
        </w:rPr>
        <w:t xml:space="preserve"> 4201912000008017 del 26 de diciembre de 2019,</w:t>
      </w:r>
      <w:r w:rsidRPr="009A4A28">
        <w:rPr>
          <w:rFonts w:ascii="Arial" w:eastAsia="Calibri" w:hAnsi="Arial" w:cs="Arial"/>
          <w:sz w:val="22"/>
        </w:rPr>
        <w:t xml:space="preserve"> 4201912000008</w:t>
      </w:r>
      <w:r w:rsidR="00DA6592" w:rsidRPr="009A4A28">
        <w:rPr>
          <w:rFonts w:ascii="Arial" w:eastAsia="Calibri" w:hAnsi="Arial" w:cs="Arial"/>
          <w:sz w:val="22"/>
        </w:rPr>
        <w:t>465</w:t>
      </w:r>
      <w:r w:rsidRPr="009A4A28">
        <w:rPr>
          <w:rFonts w:ascii="Arial" w:eastAsia="Calibri" w:hAnsi="Arial" w:cs="Arial"/>
          <w:sz w:val="22"/>
        </w:rPr>
        <w:t xml:space="preserve"> del </w:t>
      </w:r>
      <w:r w:rsidR="00547FF4" w:rsidRPr="009A4A28">
        <w:rPr>
          <w:rFonts w:ascii="Arial" w:eastAsia="Calibri" w:hAnsi="Arial" w:cs="Arial"/>
          <w:sz w:val="22"/>
        </w:rPr>
        <w:t>8</w:t>
      </w:r>
      <w:r w:rsidRPr="009A4A28">
        <w:rPr>
          <w:rFonts w:ascii="Arial" w:eastAsia="Calibri" w:hAnsi="Arial" w:cs="Arial"/>
          <w:sz w:val="22"/>
        </w:rPr>
        <w:t xml:space="preserve"> de </w:t>
      </w:r>
      <w:r w:rsidR="00547FF4" w:rsidRPr="009A4A28">
        <w:rPr>
          <w:rFonts w:ascii="Arial" w:eastAsia="Calibri" w:hAnsi="Arial" w:cs="Arial"/>
          <w:sz w:val="22"/>
        </w:rPr>
        <w:t>enero</w:t>
      </w:r>
      <w:r w:rsidRPr="009A4A28">
        <w:rPr>
          <w:rFonts w:ascii="Arial" w:eastAsia="Calibri" w:hAnsi="Arial" w:cs="Arial"/>
          <w:sz w:val="22"/>
        </w:rPr>
        <w:t xml:space="preserve"> de 20</w:t>
      </w:r>
      <w:r w:rsidR="00FC11D1">
        <w:rPr>
          <w:rFonts w:ascii="Arial" w:eastAsia="Calibri" w:hAnsi="Arial" w:cs="Arial"/>
          <w:sz w:val="22"/>
        </w:rPr>
        <w:t>20</w:t>
      </w:r>
      <w:r w:rsidR="009D0C84" w:rsidRPr="009A4A28">
        <w:rPr>
          <w:rFonts w:ascii="Arial" w:eastAsia="Calibri" w:hAnsi="Arial" w:cs="Arial"/>
          <w:sz w:val="22"/>
        </w:rPr>
        <w:t>, C-133 del 30 de marzo de 2020</w:t>
      </w:r>
      <w:r w:rsidR="00547FF4" w:rsidRPr="009A4A28">
        <w:rPr>
          <w:rFonts w:ascii="Arial" w:eastAsia="Calibri" w:hAnsi="Arial" w:cs="Arial"/>
          <w:sz w:val="22"/>
        </w:rPr>
        <w:t xml:space="preserve"> </w:t>
      </w:r>
      <w:r w:rsidR="00707240" w:rsidRPr="009A4A28">
        <w:rPr>
          <w:rFonts w:ascii="Arial" w:eastAsia="Calibri" w:hAnsi="Arial" w:cs="Arial"/>
          <w:sz w:val="22"/>
        </w:rPr>
        <w:t xml:space="preserve">y </w:t>
      </w:r>
      <w:r w:rsidR="00547FF4" w:rsidRPr="009A4A28">
        <w:rPr>
          <w:rFonts w:ascii="Arial" w:eastAsia="Calibri" w:hAnsi="Arial" w:cs="Arial"/>
          <w:sz w:val="22"/>
        </w:rPr>
        <w:t>C</w:t>
      </w:r>
      <w:r w:rsidR="009D0C84" w:rsidRPr="009A4A28">
        <w:rPr>
          <w:rFonts w:ascii="Arial" w:eastAsia="Calibri" w:hAnsi="Arial" w:cs="Arial"/>
          <w:sz w:val="22"/>
        </w:rPr>
        <w:t>-</w:t>
      </w:r>
      <w:r w:rsidR="00547FF4" w:rsidRPr="009A4A28">
        <w:rPr>
          <w:rFonts w:ascii="Arial" w:eastAsia="Calibri" w:hAnsi="Arial" w:cs="Arial"/>
          <w:sz w:val="22"/>
        </w:rPr>
        <w:t>144 de</w:t>
      </w:r>
      <w:r w:rsidR="009D0C84" w:rsidRPr="009A4A28">
        <w:rPr>
          <w:rFonts w:ascii="Arial" w:eastAsia="Calibri" w:hAnsi="Arial" w:cs="Arial"/>
          <w:sz w:val="22"/>
        </w:rPr>
        <w:t>l 2 de marzo de</w:t>
      </w:r>
      <w:r w:rsidR="00547FF4" w:rsidRPr="009A4A28">
        <w:rPr>
          <w:rFonts w:ascii="Arial" w:eastAsia="Calibri" w:hAnsi="Arial" w:cs="Arial"/>
          <w:sz w:val="22"/>
        </w:rPr>
        <w:t xml:space="preserve"> 2020 </w:t>
      </w:r>
      <w:r w:rsidR="00C00B91" w:rsidRPr="009A4A28">
        <w:rPr>
          <w:rFonts w:ascii="Arial" w:eastAsia="Calibri" w:hAnsi="Arial" w:cs="Arial"/>
          <w:sz w:val="22"/>
        </w:rPr>
        <w:t>estudi</w:t>
      </w:r>
      <w:r w:rsidR="00C6620F" w:rsidRPr="009A4A28">
        <w:rPr>
          <w:rFonts w:ascii="Arial" w:eastAsia="Calibri" w:hAnsi="Arial" w:cs="Arial"/>
          <w:sz w:val="22"/>
        </w:rPr>
        <w:t>ó</w:t>
      </w:r>
      <w:r w:rsidR="00C00B91" w:rsidRPr="009A4A28">
        <w:rPr>
          <w:rFonts w:ascii="Arial" w:eastAsia="Calibri" w:hAnsi="Arial" w:cs="Arial"/>
          <w:sz w:val="22"/>
        </w:rPr>
        <w:t xml:space="preserve"> el artículo </w:t>
      </w:r>
      <w:r w:rsidR="00C00B91" w:rsidRPr="009A4A28">
        <w:rPr>
          <w:rFonts w:ascii="Arial" w:eastAsia="Calibri" w:hAnsi="Arial" w:cs="Arial"/>
          <w:sz w:val="22"/>
        </w:rPr>
        <w:lastRenderedPageBreak/>
        <w:t>2.2.1.2.6.1.5</w:t>
      </w:r>
      <w:r w:rsidR="00C6620F" w:rsidRPr="009A4A28">
        <w:rPr>
          <w:rFonts w:ascii="Arial" w:eastAsia="Calibri" w:hAnsi="Arial" w:cs="Arial"/>
          <w:sz w:val="22"/>
        </w:rPr>
        <w:t>.</w:t>
      </w:r>
      <w:r w:rsidR="00C00B91" w:rsidRPr="009A4A28">
        <w:rPr>
          <w:rFonts w:ascii="Arial" w:eastAsia="Calibri" w:hAnsi="Arial" w:cs="Arial"/>
          <w:sz w:val="22"/>
        </w:rPr>
        <w:t xml:space="preserve"> del Decreto 1082 de 2015 que contempla la posibilidad de solicitar experiencia adicional cuando se trata de bienes o servicios adicionales a la obra pública de infraestructura de transporte</w:t>
      </w:r>
      <w:r w:rsidRPr="009A4A28">
        <w:rPr>
          <w:rFonts w:ascii="Arial" w:eastAsia="Calibri" w:hAnsi="Arial" w:cs="Arial"/>
          <w:sz w:val="22"/>
        </w:rPr>
        <w:t>.</w:t>
      </w:r>
    </w:p>
    <w:p w14:paraId="451A6A7D" w14:textId="6E125717" w:rsidR="000D0DB2" w:rsidRPr="00FC11D1" w:rsidRDefault="00977F75" w:rsidP="00977F75">
      <w:pPr>
        <w:spacing w:before="120" w:after="120" w:line="276" w:lineRule="auto"/>
        <w:ind w:firstLine="709"/>
        <w:jc w:val="both"/>
        <w:rPr>
          <w:rFonts w:ascii="Arial" w:hAnsi="Arial" w:cs="Arial"/>
          <w:sz w:val="22"/>
        </w:rPr>
      </w:pPr>
      <w:r>
        <w:rPr>
          <w:rFonts w:ascii="Arial" w:eastAsia="Calibri" w:hAnsi="Arial" w:cs="Arial"/>
          <w:sz w:val="22"/>
        </w:rPr>
        <w:t>También, r</w:t>
      </w:r>
      <w:r w:rsidRPr="009A4A28">
        <w:rPr>
          <w:rFonts w:ascii="Arial" w:eastAsia="Calibri" w:hAnsi="Arial" w:cs="Arial"/>
          <w:bCs/>
          <w:sz w:val="22"/>
        </w:rPr>
        <w:t xml:space="preserve">especto a la inalterabilidad de los </w:t>
      </w:r>
      <w:r w:rsidR="00E84881">
        <w:rPr>
          <w:rFonts w:ascii="Arial" w:eastAsia="Calibri" w:hAnsi="Arial" w:cs="Arial"/>
          <w:bCs/>
          <w:sz w:val="22"/>
        </w:rPr>
        <w:t>D</w:t>
      </w:r>
      <w:r w:rsidRPr="009A4A28">
        <w:rPr>
          <w:rFonts w:ascii="Arial" w:eastAsia="Calibri" w:hAnsi="Arial" w:cs="Arial"/>
          <w:bCs/>
          <w:sz w:val="22"/>
        </w:rPr>
        <w:t xml:space="preserve">ocumentos </w:t>
      </w:r>
      <w:r w:rsidR="00E84881">
        <w:rPr>
          <w:rFonts w:ascii="Arial" w:eastAsia="Calibri" w:hAnsi="Arial" w:cs="Arial"/>
          <w:bCs/>
          <w:sz w:val="22"/>
        </w:rPr>
        <w:t>T</w:t>
      </w:r>
      <w:r w:rsidRPr="009A4A28">
        <w:rPr>
          <w:rFonts w:ascii="Arial" w:eastAsia="Calibri" w:hAnsi="Arial" w:cs="Arial"/>
          <w:bCs/>
          <w:sz w:val="22"/>
        </w:rPr>
        <w:t xml:space="preserve">ipo, </w:t>
      </w:r>
      <w:r>
        <w:rPr>
          <w:rFonts w:ascii="Arial" w:eastAsia="Calibri" w:hAnsi="Arial" w:cs="Arial"/>
          <w:bCs/>
          <w:sz w:val="22"/>
        </w:rPr>
        <w:t>esta entidad</w:t>
      </w:r>
      <w:r w:rsidRPr="009A4A28">
        <w:rPr>
          <w:rFonts w:ascii="Arial" w:eastAsia="Calibri" w:hAnsi="Arial" w:cs="Arial"/>
          <w:bCs/>
          <w:sz w:val="22"/>
        </w:rPr>
        <w:t xml:space="preserve"> estudió el tema en los conceptos C</w:t>
      </w:r>
      <w:r>
        <w:rPr>
          <w:rFonts w:ascii="Arial" w:eastAsia="Calibri" w:hAnsi="Arial" w:cs="Arial"/>
          <w:bCs/>
          <w:sz w:val="22"/>
        </w:rPr>
        <w:t>-</w:t>
      </w:r>
      <w:r w:rsidRPr="009A4A28">
        <w:rPr>
          <w:rFonts w:ascii="Arial" w:eastAsia="Calibri" w:hAnsi="Arial" w:cs="Arial"/>
          <w:bCs/>
          <w:sz w:val="22"/>
        </w:rPr>
        <w:t>009 del 14 de enero 2020, C</w:t>
      </w:r>
      <w:r>
        <w:rPr>
          <w:rFonts w:ascii="Arial" w:eastAsia="Calibri" w:hAnsi="Arial" w:cs="Arial"/>
          <w:bCs/>
          <w:sz w:val="22"/>
        </w:rPr>
        <w:t>-</w:t>
      </w:r>
      <w:r w:rsidRPr="009A4A28">
        <w:rPr>
          <w:rFonts w:ascii="Arial" w:eastAsia="Calibri" w:hAnsi="Arial" w:cs="Arial"/>
          <w:bCs/>
          <w:sz w:val="22"/>
        </w:rPr>
        <w:t>022 del 20 de enero de 2020 y C</w:t>
      </w:r>
      <w:r>
        <w:rPr>
          <w:rFonts w:ascii="Arial" w:eastAsia="Calibri" w:hAnsi="Arial" w:cs="Arial"/>
          <w:bCs/>
          <w:sz w:val="22"/>
        </w:rPr>
        <w:t>-</w:t>
      </w:r>
      <w:r w:rsidRPr="009A4A28">
        <w:rPr>
          <w:rFonts w:ascii="Arial" w:eastAsia="Calibri" w:hAnsi="Arial" w:cs="Arial"/>
          <w:bCs/>
          <w:sz w:val="22"/>
        </w:rPr>
        <w:t>036 del 7 de febrero de 2020</w:t>
      </w:r>
      <w:r w:rsidR="00E84881">
        <w:rPr>
          <w:rFonts w:ascii="Arial" w:eastAsia="Calibri" w:hAnsi="Arial" w:cs="Arial"/>
          <w:bCs/>
          <w:sz w:val="22"/>
        </w:rPr>
        <w:t xml:space="preserve">, </w:t>
      </w:r>
      <w:r w:rsidR="00E84881">
        <w:rPr>
          <w:rFonts w:ascii="Arial" w:hAnsi="Arial" w:cs="Arial"/>
          <w:color w:val="000000"/>
          <w:sz w:val="22"/>
          <w:shd w:val="clear" w:color="auto" w:fill="FFFFFF"/>
        </w:rPr>
        <w:t>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y C-501 del 29 de julio de 2020</w:t>
      </w:r>
      <w:r>
        <w:rPr>
          <w:rFonts w:ascii="Arial" w:eastAsia="Calibri" w:hAnsi="Arial" w:cs="Arial"/>
          <w:bCs/>
          <w:sz w:val="22"/>
        </w:rPr>
        <w:t>.</w:t>
      </w:r>
      <w:r w:rsidR="009A42A4" w:rsidRPr="009A4A28">
        <w:rPr>
          <w:rFonts w:ascii="Arial" w:eastAsia="Calibri" w:hAnsi="Arial" w:cs="Arial"/>
          <w:sz w:val="22"/>
        </w:rPr>
        <w:t xml:space="preserve"> La tesis desarrollada se expone a continuación</w:t>
      </w:r>
      <w:r w:rsidR="00724FA3">
        <w:rPr>
          <w:rFonts w:ascii="Arial" w:eastAsia="Calibri" w:hAnsi="Arial" w:cs="Arial"/>
          <w:sz w:val="22"/>
        </w:rPr>
        <w:t>:</w:t>
      </w:r>
    </w:p>
    <w:p w14:paraId="4310EF14" w14:textId="7561DF51" w:rsidR="000D0DB2" w:rsidRPr="009A4A28" w:rsidRDefault="000D0DB2" w:rsidP="00DF5F44">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los </w:t>
      </w:r>
      <w:r w:rsidR="00EC3DFE" w:rsidRPr="009A4A28">
        <w:rPr>
          <w:rFonts w:ascii="Arial" w:eastAsia="Calibri" w:hAnsi="Arial" w:cs="Arial"/>
          <w:sz w:val="22"/>
        </w:rPr>
        <w:t xml:space="preserve">documentos tipo </w:t>
      </w:r>
      <w:r w:rsidRPr="009A4A28">
        <w:rPr>
          <w:rFonts w:ascii="Arial" w:eastAsia="Calibri" w:hAnsi="Arial" w:cs="Arial"/>
          <w:sz w:val="22"/>
        </w:rPr>
        <w:t xml:space="preserve">implementados a través de la Resolución No. </w:t>
      </w:r>
      <w:r w:rsidR="00DF5F44" w:rsidRPr="009A4A28">
        <w:rPr>
          <w:rFonts w:ascii="Arial" w:eastAsia="Calibri" w:hAnsi="Arial" w:cs="Arial"/>
          <w:sz w:val="22"/>
        </w:rPr>
        <w:t>0045</w:t>
      </w:r>
      <w:r w:rsidRPr="009A4A28">
        <w:rPr>
          <w:rFonts w:ascii="Arial" w:eastAsia="Calibri" w:hAnsi="Arial" w:cs="Arial"/>
          <w:sz w:val="22"/>
        </w:rPr>
        <w:t xml:space="preserve"> del 1</w:t>
      </w:r>
      <w:r w:rsidR="00DF5F44" w:rsidRPr="009A4A28">
        <w:rPr>
          <w:rFonts w:ascii="Arial" w:eastAsia="Calibri" w:hAnsi="Arial" w:cs="Arial"/>
          <w:sz w:val="22"/>
        </w:rPr>
        <w:t>4</w:t>
      </w:r>
      <w:r w:rsidRPr="009A4A28">
        <w:rPr>
          <w:rFonts w:ascii="Arial" w:eastAsia="Calibri" w:hAnsi="Arial" w:cs="Arial"/>
          <w:sz w:val="22"/>
        </w:rPr>
        <w:t xml:space="preserve"> de </w:t>
      </w:r>
      <w:r w:rsidR="00DF5F44" w:rsidRPr="009A4A28">
        <w:rPr>
          <w:rFonts w:ascii="Arial" w:eastAsia="Calibri" w:hAnsi="Arial" w:cs="Arial"/>
          <w:sz w:val="22"/>
        </w:rPr>
        <w:t>febrero</w:t>
      </w:r>
      <w:r w:rsidRPr="009A4A28">
        <w:rPr>
          <w:rFonts w:ascii="Arial" w:eastAsia="Calibri" w:hAnsi="Arial" w:cs="Arial"/>
          <w:sz w:val="22"/>
        </w:rPr>
        <w:t xml:space="preserve"> de 2</w:t>
      </w:r>
      <w:r w:rsidR="00DF5F44" w:rsidRPr="009A4A28">
        <w:rPr>
          <w:rFonts w:ascii="Arial" w:eastAsia="Calibri" w:hAnsi="Arial" w:cs="Arial"/>
          <w:sz w:val="22"/>
        </w:rPr>
        <w:t>020</w:t>
      </w:r>
      <w:r w:rsidRPr="009A4A28">
        <w:rPr>
          <w:rFonts w:ascii="Arial" w:eastAsia="Calibri" w:hAnsi="Arial" w:cs="Arial"/>
          <w:sz w:val="22"/>
        </w:rPr>
        <w:t>, aplicables a los procesos de licitación de obra pública de infraestructura de transporte, para definir la experiencia exigible, la entidad estatal, en la</w:t>
      </w:r>
      <w:r w:rsidR="00C6620F" w:rsidRPr="009A4A28">
        <w:rPr>
          <w:rFonts w:ascii="Arial" w:eastAsia="Calibri" w:hAnsi="Arial" w:cs="Arial"/>
          <w:sz w:val="22"/>
        </w:rPr>
        <w:t xml:space="preserve"> </w:t>
      </w:r>
      <w:r w:rsidRPr="009A4A28">
        <w:rPr>
          <w:rFonts w:ascii="Arial" w:eastAsia="Calibri" w:hAnsi="Arial" w:cs="Arial"/>
          <w:sz w:val="22"/>
        </w:rPr>
        <w:t xml:space="preserve">etapa de planeación, debe identificar, de acuerdo con el alcance del objeto a contratar, el tipo de infraestructura y las actividades definidas en la </w:t>
      </w:r>
      <w:r w:rsidR="00EC3DFE">
        <w:rPr>
          <w:rFonts w:ascii="Arial" w:eastAsia="Calibri" w:hAnsi="Arial" w:cs="Arial"/>
          <w:sz w:val="22"/>
        </w:rPr>
        <w:t>«</w:t>
      </w:r>
      <w:r w:rsidRPr="009A4A28">
        <w:rPr>
          <w:rFonts w:ascii="Arial" w:eastAsia="Calibri" w:hAnsi="Arial" w:cs="Arial"/>
          <w:sz w:val="22"/>
        </w:rPr>
        <w:t>Matriz 1</w:t>
      </w:r>
      <w:r w:rsidR="00D73FD3" w:rsidRPr="009A4A28">
        <w:rPr>
          <w:rFonts w:ascii="Arial" w:eastAsia="Calibri" w:hAnsi="Arial" w:cs="Arial"/>
          <w:sz w:val="22"/>
        </w:rPr>
        <w:t xml:space="preserve"> </w:t>
      </w:r>
      <w:r w:rsidR="00EC3DFE">
        <w:rPr>
          <w:rFonts w:ascii="Arial" w:eastAsia="Calibri" w:hAnsi="Arial" w:cs="Arial"/>
          <w:sz w:val="22"/>
        </w:rPr>
        <w:t>–</w:t>
      </w:r>
      <w:r w:rsidRPr="009A4A28">
        <w:rPr>
          <w:rFonts w:ascii="Arial" w:eastAsia="Calibri" w:hAnsi="Arial" w:cs="Arial"/>
          <w:sz w:val="22"/>
        </w:rPr>
        <w:t xml:space="preserve"> Experiencia</w:t>
      </w:r>
      <w:r w:rsidR="00EC3DFE">
        <w:rPr>
          <w:rFonts w:ascii="Arial" w:eastAsia="Calibri" w:hAnsi="Arial" w:cs="Arial"/>
          <w:sz w:val="22"/>
        </w:rPr>
        <w:t>»</w:t>
      </w:r>
      <w:r w:rsidRPr="009A4A28">
        <w:rPr>
          <w:rFonts w:ascii="Arial" w:eastAsia="Calibri" w:hAnsi="Arial" w:cs="Arial"/>
          <w:sz w:val="22"/>
        </w:rPr>
        <w:t xml:space="preserve">. De igual manera, para establecer si los </w:t>
      </w:r>
      <w:r w:rsidR="00EC3DFE" w:rsidRPr="009A4A28">
        <w:rPr>
          <w:rFonts w:ascii="Arial" w:eastAsia="Calibri" w:hAnsi="Arial" w:cs="Arial"/>
          <w:sz w:val="22"/>
        </w:rPr>
        <w:t xml:space="preserve">documentos tipo </w:t>
      </w:r>
      <w:r w:rsidRPr="009A4A28">
        <w:rPr>
          <w:rFonts w:ascii="Arial" w:eastAsia="Calibri" w:hAnsi="Arial" w:cs="Arial"/>
          <w:sz w:val="22"/>
        </w:rPr>
        <w:t xml:space="preserve">son aplicables, debe tener en cuenta los conceptos propios de la ingeniería civil y los definidos del </w:t>
      </w:r>
      <w:r w:rsidR="00EC3DFE">
        <w:rPr>
          <w:rFonts w:ascii="Arial" w:eastAsia="Calibri" w:hAnsi="Arial" w:cs="Arial"/>
          <w:sz w:val="22"/>
        </w:rPr>
        <w:t>«</w:t>
      </w:r>
      <w:r w:rsidRPr="009A4A28">
        <w:rPr>
          <w:rFonts w:ascii="Arial" w:eastAsia="Calibri" w:hAnsi="Arial" w:cs="Arial"/>
          <w:sz w:val="22"/>
        </w:rPr>
        <w:t xml:space="preserve">Anexo 3 </w:t>
      </w:r>
      <w:r w:rsidR="00EC3DFE">
        <w:rPr>
          <w:rFonts w:ascii="Arial" w:eastAsia="Calibri" w:hAnsi="Arial" w:cs="Arial"/>
          <w:sz w:val="22"/>
        </w:rPr>
        <w:t>–</w:t>
      </w:r>
      <w:r w:rsidRPr="009A4A28">
        <w:rPr>
          <w:rFonts w:ascii="Arial" w:eastAsia="Calibri" w:hAnsi="Arial" w:cs="Arial"/>
          <w:sz w:val="22"/>
        </w:rPr>
        <w:t xml:space="preserve"> Glosario</w:t>
      </w:r>
      <w:r w:rsidR="00EC3DFE">
        <w:rPr>
          <w:rFonts w:ascii="Arial" w:eastAsia="Calibri" w:hAnsi="Arial" w:cs="Arial"/>
          <w:sz w:val="22"/>
        </w:rPr>
        <w:t>»</w:t>
      </w:r>
      <w:r w:rsidRPr="009A4A28">
        <w:rPr>
          <w:rFonts w:ascii="Arial" w:eastAsia="Calibri" w:hAnsi="Arial" w:cs="Arial"/>
          <w:sz w:val="22"/>
        </w:rPr>
        <w:t>, con el fin de verificar si el objeto a contratar se encuentra enmarcado en dichas actividades.</w:t>
      </w:r>
    </w:p>
    <w:p w14:paraId="41F88E4D" w14:textId="7DE34CAF"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De esta manera, la entidad estatal, para definir la experiencia exigible en un </w:t>
      </w:r>
      <w:r w:rsidR="00EC3DFE" w:rsidRPr="009A4A28">
        <w:rPr>
          <w:rFonts w:ascii="Arial" w:eastAsia="Calibri" w:hAnsi="Arial" w:cs="Arial"/>
          <w:sz w:val="22"/>
        </w:rPr>
        <w:t>proce</w:t>
      </w:r>
      <w:r w:rsidR="00EC3DFE">
        <w:rPr>
          <w:rFonts w:ascii="Arial" w:eastAsia="Calibri" w:hAnsi="Arial" w:cs="Arial"/>
          <w:sz w:val="22"/>
        </w:rPr>
        <w:t>dimiento</w:t>
      </w:r>
      <w:r w:rsidR="00EC3DFE" w:rsidRPr="009A4A28">
        <w:rPr>
          <w:rFonts w:ascii="Arial" w:eastAsia="Calibri" w:hAnsi="Arial" w:cs="Arial"/>
          <w:sz w:val="22"/>
        </w:rPr>
        <w:t xml:space="preserve"> </w:t>
      </w:r>
      <w:r w:rsidRPr="009A4A28">
        <w:rPr>
          <w:rFonts w:ascii="Arial" w:eastAsia="Calibri" w:hAnsi="Arial" w:cs="Arial"/>
          <w:sz w:val="22"/>
        </w:rPr>
        <w:t xml:space="preserve">de licitación de obra pública de infraestructura de transporte, debe seguir </w:t>
      </w:r>
      <w:r w:rsidR="00C6620F" w:rsidRPr="009A4A28">
        <w:rPr>
          <w:rFonts w:ascii="Arial" w:eastAsia="Calibri" w:hAnsi="Arial" w:cs="Arial"/>
          <w:sz w:val="22"/>
        </w:rPr>
        <w:t>estos</w:t>
      </w:r>
      <w:r w:rsidRPr="009A4A28">
        <w:rPr>
          <w:rFonts w:ascii="Arial" w:eastAsia="Calibri" w:hAnsi="Arial" w:cs="Arial"/>
          <w:sz w:val="22"/>
        </w:rPr>
        <w:t xml:space="preserve"> pasos:</w:t>
      </w:r>
    </w:p>
    <w:p w14:paraId="525B1F5A" w14:textId="1401D8C7" w:rsidR="000D0DB2" w:rsidRPr="009A4A28" w:rsidRDefault="00C6620F"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a) </w:t>
      </w:r>
      <w:r w:rsidR="000D0DB2" w:rsidRPr="009A4A28">
        <w:rPr>
          <w:rFonts w:ascii="Arial" w:eastAsia="Calibri" w:hAnsi="Arial" w:cs="Arial"/>
          <w:sz w:val="22"/>
        </w:rPr>
        <w:t xml:space="preserve">Identificar en la </w:t>
      </w:r>
      <w:r w:rsidR="00EC3DFE">
        <w:rPr>
          <w:rFonts w:ascii="Arial" w:eastAsia="Calibri" w:hAnsi="Arial" w:cs="Arial"/>
          <w:sz w:val="22"/>
        </w:rPr>
        <w:t>«</w:t>
      </w:r>
      <w:r w:rsidR="000D0DB2" w:rsidRPr="009A4A28">
        <w:rPr>
          <w:rFonts w:ascii="Arial" w:eastAsia="Calibri" w:hAnsi="Arial" w:cs="Arial"/>
          <w:sz w:val="22"/>
        </w:rPr>
        <w:t>Matriz 1</w:t>
      </w:r>
      <w:r w:rsidR="00D73FD3" w:rsidRPr="009A4A28">
        <w:rPr>
          <w:rFonts w:ascii="Arial" w:eastAsia="Calibri" w:hAnsi="Arial" w:cs="Arial"/>
          <w:sz w:val="22"/>
        </w:rPr>
        <w:t xml:space="preserve"> </w:t>
      </w:r>
      <w:r w:rsidR="00EC3DFE">
        <w:rPr>
          <w:rFonts w:ascii="Arial" w:eastAsia="Calibri" w:hAnsi="Arial" w:cs="Arial"/>
          <w:sz w:val="22"/>
        </w:rPr>
        <w:t>–</w:t>
      </w:r>
      <w:r w:rsidR="000D0DB2" w:rsidRPr="009A4A28">
        <w:rPr>
          <w:rFonts w:ascii="Arial" w:eastAsia="Calibri" w:hAnsi="Arial" w:cs="Arial"/>
          <w:sz w:val="22"/>
        </w:rPr>
        <w:t xml:space="preserve"> Experiencia</w:t>
      </w:r>
      <w:r w:rsidR="00EC3DFE">
        <w:rPr>
          <w:rFonts w:ascii="Arial" w:eastAsia="Calibri" w:hAnsi="Arial" w:cs="Arial"/>
          <w:sz w:val="22"/>
        </w:rPr>
        <w:t>»</w:t>
      </w:r>
      <w:r w:rsidR="000D0DB2" w:rsidRPr="009A4A28">
        <w:rPr>
          <w:rFonts w:ascii="Arial" w:eastAsia="Calibri" w:hAnsi="Arial" w:cs="Arial"/>
          <w:sz w:val="22"/>
        </w:rPr>
        <w:t>,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6EA55A44" w14:textId="05D0BF88"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b) Una vez definido el tipo de infraestructura, identificar la </w:t>
      </w:r>
      <w:r w:rsidR="00D73FD3" w:rsidRPr="009A4A28">
        <w:rPr>
          <w:rFonts w:ascii="Arial" w:eastAsia="Calibri" w:hAnsi="Arial" w:cs="Arial"/>
          <w:sz w:val="22"/>
        </w:rPr>
        <w:t>«</w:t>
      </w:r>
      <w:r w:rsidRPr="009A4A28">
        <w:rPr>
          <w:rFonts w:ascii="Arial" w:eastAsia="Calibri" w:hAnsi="Arial" w:cs="Arial"/>
          <w:sz w:val="22"/>
        </w:rPr>
        <w:t>ACTIVIDAD A CONTRATAR</w:t>
      </w:r>
      <w:r w:rsidR="00D73FD3" w:rsidRPr="009A4A28">
        <w:rPr>
          <w:rFonts w:ascii="Arial" w:eastAsia="Calibri" w:hAnsi="Arial" w:cs="Arial"/>
          <w:sz w:val="22"/>
        </w:rPr>
        <w:t>»</w:t>
      </w:r>
      <w:r w:rsidRPr="009A4A28">
        <w:rPr>
          <w:rFonts w:ascii="Arial" w:eastAsia="Calibri" w:hAnsi="Arial" w:cs="Arial"/>
          <w:sz w:val="22"/>
        </w:rPr>
        <w:t xml:space="preserve"> acorde con la Matriz 1</w:t>
      </w:r>
      <w:r w:rsidR="00D73FD3" w:rsidRPr="009A4A28">
        <w:rPr>
          <w:rFonts w:ascii="Arial" w:eastAsia="Calibri" w:hAnsi="Arial" w:cs="Arial"/>
          <w:sz w:val="22"/>
        </w:rPr>
        <w:t xml:space="preserve"> </w:t>
      </w:r>
      <w:r w:rsidRPr="009A4A28">
        <w:rPr>
          <w:rFonts w:ascii="Arial" w:eastAsia="Calibri" w:hAnsi="Arial" w:cs="Arial"/>
          <w:sz w:val="22"/>
        </w:rPr>
        <w:t>- Experiencia.</w:t>
      </w:r>
    </w:p>
    <w:p w14:paraId="789522FB" w14:textId="25E5FFDE"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c) Identificar el rango en el cual se encuentra el </w:t>
      </w:r>
      <w:r w:rsidR="00EC3DFE" w:rsidRPr="009A4A28">
        <w:rPr>
          <w:rFonts w:ascii="Arial" w:eastAsia="Calibri" w:hAnsi="Arial" w:cs="Arial"/>
          <w:sz w:val="22"/>
        </w:rPr>
        <w:t>proce</w:t>
      </w:r>
      <w:r w:rsidR="00EC3DFE">
        <w:rPr>
          <w:rFonts w:ascii="Arial" w:eastAsia="Calibri" w:hAnsi="Arial" w:cs="Arial"/>
          <w:sz w:val="22"/>
        </w:rPr>
        <w:t>dimiento</w:t>
      </w:r>
      <w:r w:rsidR="00EC3DFE" w:rsidRPr="009A4A28">
        <w:rPr>
          <w:rFonts w:ascii="Arial" w:eastAsia="Calibri" w:hAnsi="Arial" w:cs="Arial"/>
          <w:sz w:val="22"/>
        </w:rPr>
        <w:t xml:space="preserve"> de contratación </w:t>
      </w:r>
      <w:r w:rsidRPr="009A4A28">
        <w:rPr>
          <w:rFonts w:ascii="Arial" w:eastAsia="Calibri" w:hAnsi="Arial" w:cs="Arial"/>
          <w:sz w:val="22"/>
        </w:rPr>
        <w:t>de acuerdo con el presupuesto oficial.</w:t>
      </w:r>
    </w:p>
    <w:p w14:paraId="2215E422" w14:textId="2271D27E"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d) Identificar la </w:t>
      </w:r>
      <w:r w:rsidR="00D73FD3" w:rsidRPr="009A4A28">
        <w:rPr>
          <w:rFonts w:ascii="Arial" w:eastAsia="Calibri" w:hAnsi="Arial" w:cs="Arial"/>
          <w:sz w:val="22"/>
        </w:rPr>
        <w:t>«</w:t>
      </w:r>
      <w:r w:rsidRPr="009A4A28">
        <w:rPr>
          <w:rFonts w:ascii="Arial" w:eastAsia="Calibri" w:hAnsi="Arial" w:cs="Arial"/>
          <w:sz w:val="22"/>
        </w:rPr>
        <w:t>experiencia general</w:t>
      </w:r>
      <w:r w:rsidR="00D73FD3" w:rsidRPr="009A4A28">
        <w:rPr>
          <w:rFonts w:ascii="Arial" w:eastAsia="Calibri" w:hAnsi="Arial" w:cs="Arial"/>
          <w:sz w:val="22"/>
        </w:rPr>
        <w:t>»</w:t>
      </w:r>
      <w:r w:rsidRPr="009A4A28">
        <w:rPr>
          <w:rFonts w:ascii="Arial" w:eastAsia="Calibri" w:hAnsi="Arial" w:cs="Arial"/>
          <w:sz w:val="22"/>
        </w:rPr>
        <w:t xml:space="preserve"> exigible acorde con la </w:t>
      </w:r>
      <w:r w:rsidR="00EC3DFE">
        <w:rPr>
          <w:rFonts w:ascii="Arial" w:eastAsia="Calibri" w:hAnsi="Arial" w:cs="Arial"/>
          <w:sz w:val="22"/>
        </w:rPr>
        <w:t>«</w:t>
      </w:r>
      <w:r w:rsidRPr="009A4A28">
        <w:rPr>
          <w:rFonts w:ascii="Arial" w:eastAsia="Calibri" w:hAnsi="Arial" w:cs="Arial"/>
          <w:sz w:val="22"/>
        </w:rPr>
        <w:t>Matriz 1</w:t>
      </w:r>
      <w:r w:rsidR="00D73FD3" w:rsidRPr="009A4A28">
        <w:rPr>
          <w:rFonts w:ascii="Arial" w:eastAsia="Calibri" w:hAnsi="Arial" w:cs="Arial"/>
          <w:sz w:val="22"/>
        </w:rPr>
        <w:t xml:space="preserve"> </w:t>
      </w:r>
      <w:r w:rsidR="00EC3DFE">
        <w:rPr>
          <w:rFonts w:ascii="Arial" w:eastAsia="Calibri" w:hAnsi="Arial" w:cs="Arial"/>
          <w:sz w:val="22"/>
        </w:rPr>
        <w:t>–</w:t>
      </w:r>
      <w:r w:rsidRPr="009A4A28">
        <w:rPr>
          <w:rFonts w:ascii="Arial" w:eastAsia="Calibri" w:hAnsi="Arial" w:cs="Arial"/>
          <w:sz w:val="22"/>
        </w:rPr>
        <w:t xml:space="preserve"> Experiencia</w:t>
      </w:r>
      <w:r w:rsidR="00EC3DFE">
        <w:rPr>
          <w:rFonts w:ascii="Arial" w:eastAsia="Calibri" w:hAnsi="Arial" w:cs="Arial"/>
          <w:sz w:val="22"/>
        </w:rPr>
        <w:t>»</w:t>
      </w:r>
      <w:r w:rsidRPr="009A4A28">
        <w:rPr>
          <w:rFonts w:ascii="Arial" w:eastAsia="Calibri" w:hAnsi="Arial" w:cs="Arial"/>
          <w:sz w:val="22"/>
        </w:rPr>
        <w:t xml:space="preserve">, teniendo en cuenta la actividad a contratar y el rango de la cuantía del </w:t>
      </w:r>
      <w:r w:rsidR="00EC3DFE">
        <w:rPr>
          <w:rFonts w:ascii="Arial" w:eastAsia="Calibri" w:hAnsi="Arial" w:cs="Arial"/>
          <w:sz w:val="22"/>
        </w:rPr>
        <w:t>procedimiento contractual</w:t>
      </w:r>
      <w:r w:rsidRPr="009A4A28">
        <w:rPr>
          <w:rFonts w:ascii="Arial" w:eastAsia="Calibri" w:hAnsi="Arial" w:cs="Arial"/>
          <w:sz w:val="22"/>
        </w:rPr>
        <w:t>.</w:t>
      </w:r>
    </w:p>
    <w:p w14:paraId="21F24405" w14:textId="66EA4DDC"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lastRenderedPageBreak/>
        <w:t xml:space="preserve">e) Identificar la </w:t>
      </w:r>
      <w:r w:rsidR="00D73FD3" w:rsidRPr="009A4A28">
        <w:rPr>
          <w:rFonts w:ascii="Arial" w:eastAsia="Calibri" w:hAnsi="Arial" w:cs="Arial"/>
          <w:sz w:val="22"/>
        </w:rPr>
        <w:t>«</w:t>
      </w:r>
      <w:r w:rsidRPr="009A4A28">
        <w:rPr>
          <w:rFonts w:ascii="Arial" w:eastAsia="Calibri" w:hAnsi="Arial" w:cs="Arial"/>
          <w:sz w:val="22"/>
        </w:rPr>
        <w:t>experiencia específica</w:t>
      </w:r>
      <w:r w:rsidR="00D73FD3" w:rsidRPr="009A4A28">
        <w:rPr>
          <w:rFonts w:ascii="Arial" w:eastAsia="Calibri" w:hAnsi="Arial" w:cs="Arial"/>
          <w:sz w:val="22"/>
        </w:rPr>
        <w:t>»</w:t>
      </w:r>
      <w:r w:rsidRPr="009A4A28">
        <w:rPr>
          <w:rFonts w:ascii="Arial" w:eastAsia="Calibri" w:hAnsi="Arial" w:cs="Arial"/>
          <w:sz w:val="22"/>
        </w:rPr>
        <w:t xml:space="preserve"> exigible y el porcentaje de dimensionamiento que se puede solicitar, acorde con la longitud a ejecutar, de acuerdo con la cuantía del proce</w:t>
      </w:r>
      <w:r w:rsidR="00EC3DFE">
        <w:rPr>
          <w:rFonts w:ascii="Arial" w:eastAsia="Calibri" w:hAnsi="Arial" w:cs="Arial"/>
          <w:sz w:val="22"/>
        </w:rPr>
        <w:t>dimiento</w:t>
      </w:r>
      <w:r w:rsidRPr="009A4A28">
        <w:rPr>
          <w:rFonts w:ascii="Arial" w:eastAsia="Calibri" w:hAnsi="Arial" w:cs="Arial"/>
          <w:sz w:val="22"/>
        </w:rPr>
        <w:t xml:space="preserve"> de contratación. Cuando en la </w:t>
      </w:r>
      <w:r w:rsidR="00D73FD3" w:rsidRPr="009A4A28">
        <w:rPr>
          <w:rFonts w:ascii="Arial" w:eastAsia="Calibri" w:hAnsi="Arial" w:cs="Arial"/>
          <w:sz w:val="22"/>
        </w:rPr>
        <w:t>«experiencia específica»</w:t>
      </w:r>
      <w:r w:rsidRPr="009A4A28">
        <w:rPr>
          <w:rFonts w:ascii="Arial" w:eastAsia="Calibri" w:hAnsi="Arial" w:cs="Arial"/>
          <w:sz w:val="22"/>
        </w:rPr>
        <w:t xml:space="preserve"> se indique las siglas N.A significa que la entidad estatal no puede exigir a los proponentes ningún tipo de experiencia específica en los proce</w:t>
      </w:r>
      <w:r w:rsidR="00EC3DFE">
        <w:rPr>
          <w:rFonts w:ascii="Arial" w:eastAsia="Calibri" w:hAnsi="Arial" w:cs="Arial"/>
          <w:sz w:val="22"/>
        </w:rPr>
        <w:t>dimientos</w:t>
      </w:r>
      <w:r w:rsidRPr="009A4A28">
        <w:rPr>
          <w:rFonts w:ascii="Arial" w:eastAsia="Calibri" w:hAnsi="Arial" w:cs="Arial"/>
          <w:sz w:val="22"/>
        </w:rPr>
        <w:t xml:space="preserve"> de contratación.</w:t>
      </w:r>
    </w:p>
    <w:p w14:paraId="2FD0FEE4" w14:textId="0716E4D0"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sentido, la </w:t>
      </w:r>
      <w:r w:rsidR="004015A7" w:rsidRPr="009A4A28">
        <w:rPr>
          <w:rFonts w:ascii="Arial" w:eastAsia="Calibri" w:hAnsi="Arial" w:cs="Arial"/>
          <w:sz w:val="22"/>
        </w:rPr>
        <w:t>«</w:t>
      </w:r>
      <w:r w:rsidRPr="009A4A28">
        <w:rPr>
          <w:rFonts w:ascii="Arial" w:eastAsia="Calibri" w:hAnsi="Arial" w:cs="Arial"/>
          <w:sz w:val="22"/>
        </w:rPr>
        <w:t>experiencia general</w:t>
      </w:r>
      <w:r w:rsidR="004015A7" w:rsidRPr="009A4A28">
        <w:rPr>
          <w:rFonts w:ascii="Arial" w:eastAsia="Calibri" w:hAnsi="Arial" w:cs="Arial"/>
          <w:sz w:val="22"/>
        </w:rPr>
        <w:t>»</w:t>
      </w:r>
      <w:r w:rsidRPr="009A4A28">
        <w:rPr>
          <w:rFonts w:ascii="Arial" w:eastAsia="Calibri" w:hAnsi="Arial" w:cs="Arial"/>
          <w:sz w:val="22"/>
        </w:rPr>
        <w:t xml:space="preserve"> y la </w:t>
      </w:r>
      <w:r w:rsidR="00D73FD3" w:rsidRPr="009A4A28">
        <w:rPr>
          <w:rFonts w:ascii="Arial" w:eastAsia="Calibri" w:hAnsi="Arial" w:cs="Arial"/>
          <w:sz w:val="22"/>
        </w:rPr>
        <w:t>«experiencia específica»</w:t>
      </w:r>
      <w:r w:rsidRPr="009A4A28">
        <w:rPr>
          <w:rFonts w:ascii="Arial" w:eastAsia="Calibri" w:hAnsi="Arial" w:cs="Arial"/>
          <w:sz w:val="22"/>
        </w:rPr>
        <w:t xml:space="preserve"> se exigirán de acuerdo con la actividad a contratar y con la cuantía del </w:t>
      </w:r>
      <w:r w:rsidR="00EC3DFE">
        <w:rPr>
          <w:rFonts w:ascii="Arial" w:eastAsia="Calibri" w:hAnsi="Arial" w:cs="Arial"/>
          <w:sz w:val="22"/>
        </w:rPr>
        <w:t>procedimiento de contratación</w:t>
      </w:r>
      <w:r w:rsidRPr="009A4A28">
        <w:rPr>
          <w:rFonts w:ascii="Arial" w:eastAsia="Calibri" w:hAnsi="Arial" w:cs="Arial"/>
          <w:sz w:val="22"/>
        </w:rPr>
        <w:t xml:space="preserve">, y por lo tanto no se podrán exigir actividades o cantidades distintas a las previstas en la </w:t>
      </w:r>
      <w:r w:rsidR="00EC3DFE">
        <w:rPr>
          <w:rFonts w:ascii="Arial" w:eastAsia="Calibri" w:hAnsi="Arial" w:cs="Arial"/>
          <w:sz w:val="22"/>
        </w:rPr>
        <w:t>«</w:t>
      </w:r>
      <w:r w:rsidRPr="009A4A28">
        <w:rPr>
          <w:rFonts w:ascii="Arial" w:eastAsia="Calibri" w:hAnsi="Arial" w:cs="Arial"/>
          <w:sz w:val="22"/>
        </w:rPr>
        <w:t>Matriz 1</w:t>
      </w:r>
      <w:r w:rsidR="00FF4FC8" w:rsidRPr="009A4A28">
        <w:rPr>
          <w:rFonts w:ascii="Arial" w:eastAsia="Calibri" w:hAnsi="Arial" w:cs="Arial"/>
          <w:sz w:val="22"/>
        </w:rPr>
        <w:t xml:space="preserve"> </w:t>
      </w:r>
      <w:r w:rsidR="00EC3DFE">
        <w:rPr>
          <w:rFonts w:ascii="Arial" w:eastAsia="Calibri" w:hAnsi="Arial" w:cs="Arial"/>
          <w:sz w:val="22"/>
        </w:rPr>
        <w:t>–</w:t>
      </w:r>
      <w:r w:rsidRPr="009A4A28">
        <w:rPr>
          <w:rFonts w:ascii="Arial" w:eastAsia="Calibri" w:hAnsi="Arial" w:cs="Arial"/>
          <w:sz w:val="22"/>
        </w:rPr>
        <w:t xml:space="preserve"> Experiencia</w:t>
      </w:r>
      <w:r w:rsidR="00EC3DFE">
        <w:rPr>
          <w:rFonts w:ascii="Arial" w:eastAsia="Calibri" w:hAnsi="Arial" w:cs="Arial"/>
          <w:sz w:val="22"/>
        </w:rPr>
        <w:t>»</w:t>
      </w:r>
      <w:r w:rsidRPr="009A4A28">
        <w:rPr>
          <w:rFonts w:ascii="Arial" w:eastAsia="Calibri" w:hAnsi="Arial" w:cs="Arial"/>
          <w:sz w:val="22"/>
        </w:rPr>
        <w:t>.</w:t>
      </w:r>
    </w:p>
    <w:p w14:paraId="2BC867D7" w14:textId="1073B7A9" w:rsidR="00627FA4" w:rsidRPr="009A4A28" w:rsidRDefault="00627FA4"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Una excepción a la anterior regla fue desarrollada por el </w:t>
      </w:r>
      <w:r w:rsidR="004F0E02" w:rsidRPr="009A4A28">
        <w:rPr>
          <w:rFonts w:ascii="Arial" w:eastAsia="Calibri" w:hAnsi="Arial" w:cs="Arial"/>
          <w:sz w:val="22"/>
        </w:rPr>
        <w:t>Decreto 342 de 2019</w:t>
      </w:r>
      <w:r w:rsidRPr="009A4A28">
        <w:rPr>
          <w:rFonts w:ascii="Arial" w:eastAsia="Calibri" w:hAnsi="Arial" w:cs="Arial"/>
          <w:sz w:val="22"/>
        </w:rPr>
        <w:t>,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w:t>
      </w:r>
      <w:r w:rsidR="004F0E02" w:rsidRPr="009A4A28">
        <w:rPr>
          <w:rFonts w:ascii="Arial" w:eastAsia="Calibri" w:hAnsi="Arial" w:cs="Arial"/>
          <w:sz w:val="22"/>
        </w:rPr>
        <w:t>a</w:t>
      </w:r>
      <w:r w:rsidRPr="009A4A28">
        <w:rPr>
          <w:rFonts w:ascii="Arial" w:eastAsia="Calibri" w:hAnsi="Arial" w:cs="Arial"/>
          <w:sz w:val="22"/>
        </w:rPr>
        <w:t>s en el alcance de la obra y que su ejecución se contempla en el mismo proce</w:t>
      </w:r>
      <w:r w:rsidR="00EC3DFE">
        <w:rPr>
          <w:rFonts w:ascii="Arial" w:eastAsia="Calibri" w:hAnsi="Arial" w:cs="Arial"/>
          <w:sz w:val="22"/>
        </w:rPr>
        <w:t>dimiento</w:t>
      </w:r>
      <w:r w:rsidRPr="009A4A28">
        <w:rPr>
          <w:rFonts w:ascii="Arial" w:eastAsia="Calibri" w:hAnsi="Arial" w:cs="Arial"/>
          <w:sz w:val="22"/>
        </w:rPr>
        <w:t xml:space="preserve"> de contratación, es decir, con esta disposición las entidades pueden requerir experiencia cuando el bien o servicio adicional es de tal magnitud que no es posible valorar la idoneidad del contratista a partir de la experiencia establecida en la </w:t>
      </w:r>
      <w:r w:rsidR="00EC3DFE">
        <w:rPr>
          <w:rFonts w:ascii="Arial" w:eastAsia="Calibri" w:hAnsi="Arial" w:cs="Arial"/>
          <w:sz w:val="22"/>
        </w:rPr>
        <w:t>«</w:t>
      </w:r>
      <w:r w:rsidR="000078AA" w:rsidRPr="009A4A28">
        <w:rPr>
          <w:rFonts w:ascii="Arial" w:eastAsia="Calibri" w:hAnsi="Arial" w:cs="Arial"/>
          <w:sz w:val="22"/>
        </w:rPr>
        <w:t>M</w:t>
      </w:r>
      <w:r w:rsidRPr="009A4A28">
        <w:rPr>
          <w:rFonts w:ascii="Arial" w:eastAsia="Calibri" w:hAnsi="Arial" w:cs="Arial"/>
          <w:sz w:val="22"/>
        </w:rPr>
        <w:t>atriz 1</w:t>
      </w:r>
      <w:r w:rsidR="00FF4FC8" w:rsidRPr="009A4A28">
        <w:rPr>
          <w:rFonts w:ascii="Arial" w:eastAsia="Calibri" w:hAnsi="Arial" w:cs="Arial"/>
          <w:sz w:val="22"/>
        </w:rPr>
        <w:t xml:space="preserve"> </w:t>
      </w:r>
      <w:r w:rsidR="00EC3DFE">
        <w:rPr>
          <w:rFonts w:ascii="Arial" w:eastAsia="Calibri" w:hAnsi="Arial" w:cs="Arial"/>
          <w:sz w:val="22"/>
        </w:rPr>
        <w:t>–</w:t>
      </w:r>
      <w:r w:rsidRPr="009A4A28">
        <w:rPr>
          <w:rFonts w:ascii="Arial" w:eastAsia="Calibri" w:hAnsi="Arial" w:cs="Arial"/>
          <w:sz w:val="22"/>
        </w:rPr>
        <w:t xml:space="preserve"> Experiencia</w:t>
      </w:r>
      <w:r w:rsidR="00EC3DFE">
        <w:rPr>
          <w:rFonts w:ascii="Arial" w:eastAsia="Calibri" w:hAnsi="Arial" w:cs="Arial"/>
          <w:sz w:val="22"/>
        </w:rPr>
        <w:t>»</w:t>
      </w:r>
      <w:r w:rsidRPr="009A4A28">
        <w:rPr>
          <w:rFonts w:ascii="Arial" w:eastAsia="Calibri" w:hAnsi="Arial" w:cs="Arial"/>
          <w:sz w:val="22"/>
        </w:rPr>
        <w:t>.</w:t>
      </w:r>
    </w:p>
    <w:p w14:paraId="2F59D588" w14:textId="67A777C7" w:rsidR="00C6620F" w:rsidRPr="009A4A28" w:rsidRDefault="004F0E0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C</w:t>
      </w:r>
      <w:r w:rsidR="000D0DB2" w:rsidRPr="009A4A28">
        <w:rPr>
          <w:rFonts w:ascii="Arial" w:eastAsia="Calibri" w:hAnsi="Arial" w:cs="Arial"/>
          <w:sz w:val="22"/>
        </w:rPr>
        <w:t>uando la entidad requiere bienes y servicios que no se encuentran incluidos como infraestructura de transporte, debe aplicar el artículo 2.2.1.2.6.1.5</w:t>
      </w:r>
      <w:r w:rsidR="004015A7" w:rsidRPr="009A4A28">
        <w:rPr>
          <w:rFonts w:ascii="Arial" w:eastAsia="Calibri" w:hAnsi="Arial" w:cs="Arial"/>
          <w:sz w:val="22"/>
        </w:rPr>
        <w:t>.</w:t>
      </w:r>
      <w:r w:rsidR="000D0DB2" w:rsidRPr="009A4A28">
        <w:rPr>
          <w:rFonts w:ascii="Arial" w:eastAsia="Calibri" w:hAnsi="Arial" w:cs="Arial"/>
          <w:sz w:val="22"/>
        </w:rPr>
        <w:t xml:space="preserve"> del Decreto 342 de 2019, que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deben seguir </w:t>
      </w:r>
      <w:r w:rsidRPr="009A4A28">
        <w:rPr>
          <w:rFonts w:ascii="Arial" w:eastAsia="Calibri" w:hAnsi="Arial" w:cs="Arial"/>
          <w:sz w:val="22"/>
        </w:rPr>
        <w:t xml:space="preserve">estos </w:t>
      </w:r>
      <w:r w:rsidR="000D0DB2" w:rsidRPr="009A4A28">
        <w:rPr>
          <w:rFonts w:ascii="Arial" w:eastAsia="Calibri" w:hAnsi="Arial" w:cs="Arial"/>
          <w:sz w:val="22"/>
        </w:rPr>
        <w:t xml:space="preserve">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000D0DB2" w:rsidRPr="009A4A28">
        <w:rPr>
          <w:rFonts w:ascii="Arial" w:eastAsia="Calibri" w:hAnsi="Arial" w:cs="Arial"/>
          <w:sz w:val="22"/>
        </w:rPr>
        <w:t>ii</w:t>
      </w:r>
      <w:proofErr w:type="spellEnd"/>
      <w:r w:rsidR="000D0DB2" w:rsidRPr="009A4A28">
        <w:rPr>
          <w:rFonts w:ascii="Arial" w:eastAsia="Calibri" w:hAnsi="Arial" w:cs="Arial"/>
          <w:sz w:val="22"/>
        </w:rPr>
        <w:t xml:space="preserve">) conservar los requisitos exigidos en los Documentos Tipo, </w:t>
      </w:r>
      <w:proofErr w:type="spellStart"/>
      <w:r w:rsidR="000D0DB2" w:rsidRPr="009A4A28">
        <w:rPr>
          <w:rFonts w:ascii="Arial" w:eastAsia="Calibri" w:hAnsi="Arial" w:cs="Arial"/>
          <w:sz w:val="22"/>
        </w:rPr>
        <w:t>iii</w:t>
      </w:r>
      <w:proofErr w:type="spellEnd"/>
      <w:r w:rsidR="000D0DB2" w:rsidRPr="009A4A28">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000D0DB2" w:rsidRPr="009A4A28">
        <w:rPr>
          <w:rFonts w:ascii="Arial" w:eastAsia="Calibri" w:hAnsi="Arial" w:cs="Arial"/>
          <w:sz w:val="22"/>
        </w:rPr>
        <w:t>iv</w:t>
      </w:r>
      <w:proofErr w:type="spellEnd"/>
      <w:r w:rsidR="000D0DB2" w:rsidRPr="009A4A28">
        <w:rPr>
          <w:rFonts w:ascii="Arial" w:eastAsia="Calibri" w:hAnsi="Arial" w:cs="Arial"/>
          <w:sz w:val="22"/>
        </w:rPr>
        <w:t>) clasificar la experiencia requerida solo hasta el tercer nivel del Clasificador de Bienes y Servicios e incluir exclusivamente los códigos que estén relacionados directamente con el objeto a contratar</w:t>
      </w:r>
      <w:r w:rsidR="000D0DB2" w:rsidRPr="009A4A28">
        <w:rPr>
          <w:rStyle w:val="Refdenotaalpie"/>
          <w:rFonts w:ascii="Arial" w:eastAsia="Calibri" w:hAnsi="Arial" w:cs="Arial"/>
          <w:sz w:val="22"/>
        </w:rPr>
        <w:footnoteReference w:id="1"/>
      </w:r>
      <w:r w:rsidR="000D0DB2" w:rsidRPr="009A4A28">
        <w:rPr>
          <w:rFonts w:ascii="Arial" w:eastAsia="Calibri" w:hAnsi="Arial" w:cs="Arial"/>
          <w:sz w:val="22"/>
        </w:rPr>
        <w:t>.</w:t>
      </w:r>
    </w:p>
    <w:p w14:paraId="733ECCDA" w14:textId="3A4F7AC4" w:rsidR="00627FA4" w:rsidRPr="009A4A28" w:rsidRDefault="00627FA4" w:rsidP="004F0E02">
      <w:pPr>
        <w:spacing w:after="120" w:line="276" w:lineRule="auto"/>
        <w:ind w:firstLine="708"/>
        <w:jc w:val="both"/>
        <w:rPr>
          <w:rFonts w:ascii="Arial" w:eastAsia="Calibri" w:hAnsi="Arial" w:cs="Arial"/>
          <w:sz w:val="22"/>
        </w:rPr>
      </w:pPr>
      <w:r w:rsidRPr="009A4A28">
        <w:rPr>
          <w:rFonts w:ascii="Arial" w:eastAsia="Calibri" w:hAnsi="Arial" w:cs="Arial"/>
          <w:sz w:val="22"/>
        </w:rPr>
        <w:lastRenderedPageBreak/>
        <w:t>La entidad que opte por solicitar experiencia adicional en desarrollo de esta norma deberá evidenciar en los documentos del proceso que agotó estos parámetros. Para ello, deberá justificar en los estudios y document</w:t>
      </w:r>
      <w:r w:rsidR="008526AF" w:rsidRPr="009A4A28">
        <w:rPr>
          <w:rFonts w:ascii="Arial" w:eastAsia="Calibri" w:hAnsi="Arial" w:cs="Arial"/>
          <w:sz w:val="22"/>
        </w:rPr>
        <w:t>os</w:t>
      </w:r>
      <w:r w:rsidRPr="009A4A28">
        <w:rPr>
          <w:rFonts w:ascii="Arial" w:eastAsia="Calibri" w:hAnsi="Arial" w:cs="Arial"/>
          <w:sz w:val="22"/>
        </w:rPr>
        <w:t xml:space="preserve">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 </w:t>
      </w:r>
    </w:p>
    <w:p w14:paraId="4F17D4AA" w14:textId="456EDD94" w:rsidR="00627FA4" w:rsidRPr="009A4A28" w:rsidRDefault="00627FA4" w:rsidP="004F0E02">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w:t>
      </w:r>
      <w:r w:rsidR="00EC3DFE" w:rsidRPr="009A4A28">
        <w:rPr>
          <w:rFonts w:ascii="Arial" w:eastAsia="Calibri" w:hAnsi="Arial" w:cs="Arial"/>
          <w:sz w:val="22"/>
        </w:rPr>
        <w:t>documentos tipo</w:t>
      </w:r>
      <w:r w:rsidRPr="009A4A28">
        <w:rPr>
          <w:rFonts w:ascii="Arial" w:eastAsia="Calibri" w:hAnsi="Arial" w:cs="Arial"/>
          <w:sz w:val="22"/>
        </w:rPr>
        <w:t xml:space="preserve">. </w:t>
      </w:r>
    </w:p>
    <w:p w14:paraId="068FAF44" w14:textId="0805470F" w:rsidR="00627FA4" w:rsidRPr="009A4A28" w:rsidRDefault="00627FA4" w:rsidP="004F0E02">
      <w:pPr>
        <w:spacing w:after="120" w:line="276" w:lineRule="auto"/>
        <w:ind w:firstLine="708"/>
        <w:jc w:val="both"/>
        <w:rPr>
          <w:rFonts w:ascii="Arial" w:hAnsi="Arial" w:cs="Arial"/>
          <w:sz w:val="22"/>
        </w:rPr>
      </w:pPr>
      <w:r w:rsidRPr="009A4A28">
        <w:rPr>
          <w:rFonts w:ascii="Arial" w:eastAsia="Calibri" w:hAnsi="Arial" w:cs="Arial"/>
          <w:sz w:val="22"/>
        </w:rPr>
        <w:t>En tercer lugar, la experiencia adicional solicitada debe relaciona</w:t>
      </w:r>
      <w:r w:rsidR="00EC3DFE">
        <w:rPr>
          <w:rFonts w:ascii="Arial" w:eastAsia="Calibri" w:hAnsi="Arial" w:cs="Arial"/>
          <w:sz w:val="22"/>
        </w:rPr>
        <w:t>rse</w:t>
      </w:r>
      <w:r w:rsidRPr="009A4A28">
        <w:rPr>
          <w:rFonts w:ascii="Arial" w:eastAsia="Calibri" w:hAnsi="Arial" w:cs="Arial"/>
          <w:sz w:val="22"/>
        </w:rPr>
        <w:t xml:space="preserve">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w:t>
      </w:r>
      <w:r w:rsidR="00EC3DFE">
        <w:rPr>
          <w:rFonts w:ascii="Arial" w:eastAsia="Calibri" w:hAnsi="Arial" w:cs="Arial"/>
          <w:sz w:val="22"/>
        </w:rPr>
        <w:t>E</w:t>
      </w:r>
      <w:r w:rsidRPr="009A4A28">
        <w:rPr>
          <w:rFonts w:ascii="Arial" w:eastAsia="Calibri" w:hAnsi="Arial" w:cs="Arial"/>
          <w:sz w:val="22"/>
        </w:rPr>
        <w:t>ste parámetro va encaminado a determinar si la experiencia solicitada es acorde, adecuada y proporcional a la necesidad identificada por la entidad, por lo cual, no puede desbordar los limites racionales ni solicitar experiencias</w:t>
      </w:r>
      <w:r w:rsidRPr="009A4A28">
        <w:rPr>
          <w:rFonts w:ascii="Arial" w:hAnsi="Arial" w:cs="Arial"/>
          <w:sz w:val="22"/>
        </w:rPr>
        <w:t xml:space="preserve"> de imposible cumplimiento. </w:t>
      </w:r>
    </w:p>
    <w:p w14:paraId="236E1AD3" w14:textId="3BD6778C" w:rsidR="00627FA4" w:rsidRPr="009A4A28" w:rsidRDefault="00627FA4" w:rsidP="004F0E02">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cuarto y último lugar, la experiencia requerida debe estar clasificada hasta el tercer nivel del </w:t>
      </w:r>
      <w:r w:rsidR="005F39A2" w:rsidRPr="009A4A28">
        <w:rPr>
          <w:rFonts w:ascii="Arial" w:eastAsia="Calibri" w:hAnsi="Arial" w:cs="Arial"/>
          <w:sz w:val="22"/>
        </w:rPr>
        <w:t>clasificador de bienes y servicios</w:t>
      </w:r>
      <w:r w:rsidRPr="009A4A28">
        <w:rPr>
          <w:rFonts w:ascii="Arial" w:eastAsia="Calibri" w:hAnsi="Arial" w:cs="Arial"/>
          <w:sz w:val="22"/>
        </w:rPr>
        <w:t xml:space="preserve">, por lo tanto, la entidad no puede requerir que se acredite el </w:t>
      </w:r>
      <w:r w:rsidR="008526AF" w:rsidRPr="009A4A28">
        <w:rPr>
          <w:rFonts w:ascii="Arial" w:eastAsia="Calibri" w:hAnsi="Arial" w:cs="Arial"/>
          <w:sz w:val="22"/>
        </w:rPr>
        <w:t>«</w:t>
      </w:r>
      <w:r w:rsidRPr="009A4A28">
        <w:rPr>
          <w:rFonts w:ascii="Arial" w:eastAsia="Calibri" w:hAnsi="Arial" w:cs="Arial"/>
          <w:sz w:val="22"/>
        </w:rPr>
        <w:t>producto</w:t>
      </w:r>
      <w:r w:rsidR="008526AF" w:rsidRPr="009A4A28">
        <w:rPr>
          <w:rFonts w:ascii="Arial" w:eastAsia="Calibri" w:hAnsi="Arial" w:cs="Arial"/>
          <w:sz w:val="22"/>
        </w:rPr>
        <w:t>»</w:t>
      </w:r>
      <w:r w:rsidRPr="009A4A28">
        <w:rPr>
          <w:rFonts w:ascii="Arial" w:eastAsia="Calibri" w:hAnsi="Arial" w:cs="Arial"/>
          <w:sz w:val="22"/>
        </w:rPr>
        <w:t xml:space="preserve"> de este clasificador. </w:t>
      </w:r>
    </w:p>
    <w:p w14:paraId="48DCE8C1" w14:textId="44992DED"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w:t>
      </w:r>
      <w:proofErr w:type="spellStart"/>
      <w:r w:rsidRPr="009A4A28">
        <w:rPr>
          <w:rFonts w:ascii="Arial" w:eastAsia="Calibri" w:hAnsi="Arial" w:cs="Arial"/>
          <w:sz w:val="22"/>
        </w:rPr>
        <w:t>ii</w:t>
      </w:r>
      <w:proofErr w:type="spellEnd"/>
      <w:r w:rsidRPr="009A4A28">
        <w:rPr>
          <w:rFonts w:ascii="Arial" w:eastAsia="Calibri" w:hAnsi="Arial" w:cs="Arial"/>
          <w:sz w:val="22"/>
        </w:rPr>
        <w:t>)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14:paraId="12F408B1" w14:textId="080C5BCD"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orden de ideas, los proponentes deben acreditar la experiencia de los bienes y servicios adicionales aplicando las reglas de los </w:t>
      </w:r>
      <w:r w:rsidR="005F39A2" w:rsidRPr="009A4A28">
        <w:rPr>
          <w:rFonts w:ascii="Arial" w:eastAsia="Calibri" w:hAnsi="Arial" w:cs="Arial"/>
          <w:sz w:val="22"/>
        </w:rPr>
        <w:t>documentos tipo</w:t>
      </w:r>
      <w:r w:rsidRPr="009A4A28">
        <w:rPr>
          <w:rFonts w:ascii="Arial" w:eastAsia="Calibri" w:hAnsi="Arial" w:cs="Arial"/>
          <w:sz w:val="22"/>
        </w:rPr>
        <w:t xml:space="preserve">, es decir, que debe presentarse de acuerdo con lo establecido en el numeral 3.5 del </w:t>
      </w:r>
      <w:r w:rsidR="005F39A2" w:rsidRPr="009A4A28">
        <w:rPr>
          <w:rFonts w:ascii="Arial" w:eastAsia="Calibri" w:hAnsi="Arial" w:cs="Arial"/>
          <w:sz w:val="22"/>
        </w:rPr>
        <w:t>documento base</w:t>
      </w:r>
      <w:r w:rsidRPr="009A4A28">
        <w:rPr>
          <w:rFonts w:ascii="Arial" w:eastAsia="Calibri" w:hAnsi="Arial" w:cs="Arial"/>
          <w:sz w:val="22"/>
        </w:rPr>
        <w:t xml:space="preserve">, </w:t>
      </w:r>
      <w:r w:rsidRPr="009A4A28">
        <w:rPr>
          <w:rFonts w:ascii="Arial" w:eastAsia="Calibri" w:hAnsi="Arial" w:cs="Arial"/>
          <w:sz w:val="22"/>
        </w:rPr>
        <w:lastRenderedPageBreak/>
        <w:t xml:space="preserve">que es a través de la información suministrada en el Registro Único de Proponentes y la presentación del </w:t>
      </w:r>
      <w:r w:rsidR="005F39A2">
        <w:rPr>
          <w:rFonts w:ascii="Arial" w:eastAsia="Calibri" w:hAnsi="Arial" w:cs="Arial"/>
          <w:sz w:val="22"/>
        </w:rPr>
        <w:t>«</w:t>
      </w:r>
      <w:r w:rsidRPr="009A4A28">
        <w:rPr>
          <w:rFonts w:ascii="Arial" w:eastAsia="Calibri" w:hAnsi="Arial" w:cs="Arial"/>
          <w:sz w:val="22"/>
        </w:rPr>
        <w:t xml:space="preserve">Formato 3 </w:t>
      </w:r>
      <w:r w:rsidR="005F39A2">
        <w:rPr>
          <w:rFonts w:ascii="Arial" w:eastAsia="Calibri" w:hAnsi="Arial" w:cs="Arial"/>
          <w:sz w:val="22"/>
        </w:rPr>
        <w:t>–</w:t>
      </w:r>
      <w:r w:rsidRPr="009A4A28">
        <w:rPr>
          <w:rFonts w:ascii="Arial" w:eastAsia="Calibri" w:hAnsi="Arial" w:cs="Arial"/>
          <w:sz w:val="22"/>
        </w:rPr>
        <w:t xml:space="preserve"> Experiencia</w:t>
      </w:r>
      <w:r w:rsidR="005F39A2">
        <w:rPr>
          <w:rFonts w:ascii="Arial" w:eastAsia="Calibri" w:hAnsi="Arial" w:cs="Arial"/>
          <w:sz w:val="22"/>
        </w:rPr>
        <w:t>»</w:t>
      </w:r>
      <w:r w:rsidRPr="009A4A28">
        <w:rPr>
          <w:rFonts w:ascii="Arial" w:eastAsia="Calibri" w:hAnsi="Arial" w:cs="Arial"/>
          <w:sz w:val="22"/>
        </w:rPr>
        <w:t xml:space="preserve">. </w:t>
      </w:r>
    </w:p>
    <w:p w14:paraId="515F3E90" w14:textId="5D2A7075" w:rsidR="000D0DB2" w:rsidRPr="009A4A28" w:rsidRDefault="000D0DB2" w:rsidP="004015A7">
      <w:pPr>
        <w:spacing w:line="276" w:lineRule="auto"/>
        <w:ind w:firstLine="708"/>
        <w:jc w:val="both"/>
        <w:rPr>
          <w:rFonts w:ascii="Arial" w:eastAsia="Calibri" w:hAnsi="Arial" w:cs="Arial"/>
          <w:sz w:val="22"/>
        </w:rPr>
      </w:pPr>
      <w:r w:rsidRPr="009A4A28">
        <w:rPr>
          <w:rFonts w:ascii="Arial" w:eastAsia="Calibri" w:hAnsi="Arial" w:cs="Arial"/>
          <w:sz w:val="22"/>
        </w:rPr>
        <w:t xml:space="preserve">En este formato se deberán presentar los contratos requeridos en relación con los parámetros que señala la </w:t>
      </w:r>
      <w:r w:rsidR="00122D9B">
        <w:rPr>
          <w:rFonts w:ascii="Arial" w:eastAsia="Calibri" w:hAnsi="Arial" w:cs="Arial"/>
          <w:sz w:val="22"/>
        </w:rPr>
        <w:t>«</w:t>
      </w:r>
      <w:r w:rsidRPr="009A4A28">
        <w:rPr>
          <w:rFonts w:ascii="Arial" w:eastAsia="Calibri" w:hAnsi="Arial" w:cs="Arial"/>
          <w:sz w:val="22"/>
        </w:rPr>
        <w:t xml:space="preserve">Matriz 1 </w:t>
      </w:r>
      <w:r w:rsidR="00122D9B">
        <w:rPr>
          <w:rFonts w:ascii="Arial" w:eastAsia="Calibri" w:hAnsi="Arial" w:cs="Arial"/>
          <w:sz w:val="22"/>
        </w:rPr>
        <w:t>–</w:t>
      </w:r>
      <w:r w:rsidRPr="009A4A28">
        <w:rPr>
          <w:rFonts w:ascii="Arial" w:eastAsia="Calibri" w:hAnsi="Arial" w:cs="Arial"/>
          <w:sz w:val="22"/>
        </w:rPr>
        <w:t xml:space="preserve"> Experiencia</w:t>
      </w:r>
      <w:r w:rsidR="00122D9B">
        <w:rPr>
          <w:rFonts w:ascii="Arial" w:eastAsia="Calibri" w:hAnsi="Arial" w:cs="Arial"/>
          <w:sz w:val="22"/>
        </w:rPr>
        <w:t>»</w:t>
      </w:r>
      <w:r w:rsidRPr="009A4A28">
        <w:rPr>
          <w:rFonts w:ascii="Arial" w:eastAsia="Calibri" w:hAnsi="Arial" w:cs="Arial"/>
          <w:sz w:val="22"/>
        </w:rPr>
        <w:t xml:space="preserve"> y los contratos que la entidad haya identificado en los estudios previos, acorde con los porcentajes requeridos en la tabla del numeral 3.5.7. del </w:t>
      </w:r>
      <w:r w:rsidR="00122D9B" w:rsidRPr="009A4A28">
        <w:rPr>
          <w:rFonts w:ascii="Arial" w:eastAsia="Calibri" w:hAnsi="Arial" w:cs="Arial"/>
          <w:sz w:val="22"/>
        </w:rPr>
        <w:t>documento base</w:t>
      </w:r>
      <w:r w:rsidRPr="009A4A28">
        <w:rPr>
          <w:rFonts w:ascii="Arial" w:eastAsia="Calibri" w:hAnsi="Arial" w:cs="Arial"/>
          <w:sz w:val="22"/>
        </w:rPr>
        <w:t xml:space="preserve">, que establece: </w:t>
      </w:r>
    </w:p>
    <w:p w14:paraId="4DF00409" w14:textId="77777777" w:rsidR="000D0DB2" w:rsidRDefault="000D0DB2" w:rsidP="004015A7">
      <w:pPr>
        <w:spacing w:after="120" w:line="276" w:lineRule="auto"/>
        <w:jc w:val="both"/>
        <w:rPr>
          <w:rFonts w:ascii="Arial" w:eastAsia="Calibri" w:hAnsi="Arial" w:cs="Arial"/>
          <w:color w:val="4E4D4D"/>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79"/>
      </w:tblGrid>
      <w:tr w:rsidR="000D0DB2" w:rsidRPr="00840A8C" w14:paraId="0A08ADC5" w14:textId="77777777" w:rsidTr="00CF7AFA">
        <w:trPr>
          <w:trHeight w:val="737"/>
          <w:jc w:val="cent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BD7B26D" w14:textId="77777777" w:rsidR="000D0DB2" w:rsidRPr="00840A8C" w:rsidRDefault="000D0DB2" w:rsidP="004015A7">
            <w:pPr>
              <w:spacing w:after="120" w:line="276" w:lineRule="auto"/>
              <w:jc w:val="center"/>
              <w:rPr>
                <w:rFonts w:ascii="Arial" w:eastAsia="Calibri" w:hAnsi="Arial" w:cs="Arial"/>
                <w:b/>
                <w:bCs/>
                <w:color w:val="FFFFFF" w:themeColor="accent2"/>
                <w:sz w:val="21"/>
                <w:szCs w:val="21"/>
                <w:lang w:val="es-ES"/>
              </w:rPr>
            </w:pPr>
            <w:r w:rsidRPr="00840A8C">
              <w:rPr>
                <w:rFonts w:ascii="Arial" w:eastAsia="Calibri" w:hAnsi="Arial" w:cs="Arial"/>
                <w:b/>
                <w:bCs/>
                <w:color w:val="FFFFFF" w:themeColor="accent2"/>
                <w:sz w:val="21"/>
                <w:szCs w:val="21"/>
                <w:lang w:val="es-ES"/>
              </w:rPr>
              <w:t>Número de contratos con los cuales el proponente cumple la experiencia acreditada</w:t>
            </w:r>
          </w:p>
        </w:tc>
        <w:tc>
          <w:tcPr>
            <w:tcW w:w="4179"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CE4BB50" w14:textId="77777777" w:rsidR="000D0DB2" w:rsidRPr="00840A8C" w:rsidRDefault="000D0DB2" w:rsidP="004015A7">
            <w:pPr>
              <w:spacing w:after="120" w:line="276" w:lineRule="auto"/>
              <w:jc w:val="center"/>
              <w:rPr>
                <w:rFonts w:ascii="Arial" w:eastAsia="Calibri" w:hAnsi="Arial" w:cs="Arial"/>
                <w:b/>
                <w:bCs/>
                <w:color w:val="FFFFFF" w:themeColor="accent2"/>
                <w:sz w:val="21"/>
                <w:szCs w:val="21"/>
                <w:lang w:val="es-ES"/>
              </w:rPr>
            </w:pPr>
            <w:proofErr w:type="gramStart"/>
            <w:r w:rsidRPr="00840A8C">
              <w:rPr>
                <w:rFonts w:ascii="Arial" w:eastAsia="Calibri" w:hAnsi="Arial" w:cs="Arial"/>
                <w:b/>
                <w:bCs/>
                <w:color w:val="FFFFFF" w:themeColor="accent2"/>
                <w:sz w:val="21"/>
                <w:szCs w:val="21"/>
                <w:lang w:val="es-ES"/>
              </w:rPr>
              <w:t>Valor mínimo a certificar</w:t>
            </w:r>
            <w:proofErr w:type="gramEnd"/>
          </w:p>
          <w:p w14:paraId="1DF2E35A" w14:textId="77777777" w:rsidR="000D0DB2" w:rsidRPr="00840A8C" w:rsidRDefault="000D0DB2" w:rsidP="004015A7">
            <w:pPr>
              <w:spacing w:after="120" w:line="276" w:lineRule="auto"/>
              <w:jc w:val="center"/>
              <w:rPr>
                <w:rFonts w:ascii="Arial" w:eastAsia="Calibri" w:hAnsi="Arial" w:cs="Arial"/>
                <w:b/>
                <w:bCs/>
                <w:color w:val="FFFFFF" w:themeColor="accent2"/>
                <w:sz w:val="21"/>
                <w:szCs w:val="21"/>
                <w:lang w:val="es-ES"/>
              </w:rPr>
            </w:pPr>
            <w:r w:rsidRPr="00840A8C">
              <w:rPr>
                <w:rFonts w:ascii="Arial" w:eastAsia="Calibri" w:hAnsi="Arial" w:cs="Arial"/>
                <w:b/>
                <w:bCs/>
                <w:color w:val="FFFFFF" w:themeColor="accent2"/>
                <w:sz w:val="21"/>
                <w:szCs w:val="21"/>
                <w:lang w:val="es-ES"/>
              </w:rPr>
              <w:t>(como % del Presupuesto Oficial de obra expresado en SMMLV)</w:t>
            </w:r>
          </w:p>
        </w:tc>
      </w:tr>
      <w:tr w:rsidR="000D0DB2" w:rsidRPr="00840A8C" w14:paraId="4672714E" w14:textId="77777777" w:rsidTr="00CF7AFA">
        <w:trPr>
          <w:jc w:val="center"/>
        </w:trPr>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9FF0947" w14:textId="77777777" w:rsidR="000D0DB2" w:rsidRPr="00840A8C" w:rsidRDefault="000D0DB2" w:rsidP="004015A7">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1 hasta 2</w:t>
            </w:r>
          </w:p>
        </w:tc>
        <w:tc>
          <w:tcPr>
            <w:tcW w:w="4179"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813B0CD" w14:textId="77777777" w:rsidR="000D0DB2" w:rsidRPr="00840A8C" w:rsidRDefault="000D0DB2" w:rsidP="004015A7">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75%</w:t>
            </w:r>
          </w:p>
        </w:tc>
      </w:tr>
      <w:tr w:rsidR="000D0DB2" w:rsidRPr="00840A8C" w14:paraId="677D2922" w14:textId="77777777" w:rsidTr="00CF7AFA">
        <w:trPr>
          <w:jc w:val="center"/>
        </w:trPr>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F718618" w14:textId="77777777" w:rsidR="000D0DB2" w:rsidRPr="00840A8C" w:rsidRDefault="000D0DB2" w:rsidP="004015A7">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3 hasta 4</w:t>
            </w:r>
          </w:p>
        </w:tc>
        <w:tc>
          <w:tcPr>
            <w:tcW w:w="4179"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1320882" w14:textId="77777777" w:rsidR="000D0DB2" w:rsidRPr="00840A8C" w:rsidRDefault="000D0DB2" w:rsidP="004015A7">
            <w:pPr>
              <w:spacing w:after="120"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120%</w:t>
            </w:r>
          </w:p>
        </w:tc>
      </w:tr>
      <w:tr w:rsidR="000D0DB2" w:rsidRPr="00840A8C" w14:paraId="670C5EFF" w14:textId="77777777" w:rsidTr="00CF7AFA">
        <w:trPr>
          <w:jc w:val="center"/>
        </w:trPr>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79FE940" w14:textId="77777777" w:rsidR="000D0DB2" w:rsidRPr="00840A8C" w:rsidRDefault="000D0DB2" w:rsidP="004015A7">
            <w:pPr>
              <w:spacing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De 5 hasta 6</w:t>
            </w:r>
          </w:p>
        </w:tc>
        <w:tc>
          <w:tcPr>
            <w:tcW w:w="4179"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CC4054E" w14:textId="77777777" w:rsidR="000D0DB2" w:rsidRPr="00840A8C" w:rsidRDefault="000D0DB2" w:rsidP="004015A7">
            <w:pPr>
              <w:spacing w:line="276" w:lineRule="auto"/>
              <w:jc w:val="center"/>
              <w:rPr>
                <w:rFonts w:ascii="Arial" w:eastAsia="Calibri" w:hAnsi="Arial" w:cs="Arial"/>
                <w:color w:val="4E4D4D"/>
                <w:sz w:val="21"/>
                <w:szCs w:val="21"/>
                <w:lang w:val="es-ES"/>
              </w:rPr>
            </w:pPr>
            <w:r w:rsidRPr="00840A8C">
              <w:rPr>
                <w:rFonts w:ascii="Arial" w:eastAsia="Calibri" w:hAnsi="Arial" w:cs="Arial"/>
                <w:color w:val="4E4D4D"/>
                <w:sz w:val="21"/>
                <w:szCs w:val="21"/>
                <w:lang w:val="es-ES"/>
              </w:rPr>
              <w:t>150%</w:t>
            </w:r>
          </w:p>
        </w:tc>
      </w:tr>
    </w:tbl>
    <w:p w14:paraId="60A5386C" w14:textId="77777777" w:rsidR="000D0DB2" w:rsidRPr="00C02623" w:rsidRDefault="000D0DB2" w:rsidP="004015A7">
      <w:pPr>
        <w:spacing w:line="276" w:lineRule="auto"/>
        <w:jc w:val="both"/>
        <w:rPr>
          <w:rFonts w:ascii="Arial" w:eastAsia="Calibri" w:hAnsi="Arial" w:cs="Arial"/>
          <w:color w:val="4E4D4D"/>
          <w:sz w:val="22"/>
        </w:rPr>
      </w:pPr>
    </w:p>
    <w:p w14:paraId="3D7274A1" w14:textId="2FA1EEE5"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Es decir, la verificación se hará con base en la sumatoria de los valores totales</w:t>
      </w:r>
      <w:r w:rsidR="004015A7" w:rsidRPr="009A4A28">
        <w:rPr>
          <w:rFonts w:ascii="Arial" w:eastAsia="Calibri" w:hAnsi="Arial" w:cs="Arial"/>
          <w:sz w:val="22"/>
        </w:rPr>
        <w:t xml:space="preserve"> </w:t>
      </w:r>
      <w:r w:rsidRPr="009A4A28">
        <w:rPr>
          <w:rFonts w:ascii="Arial" w:eastAsia="Calibri" w:hAnsi="Arial" w:cs="Arial"/>
          <w:sz w:val="22"/>
        </w:rPr>
        <w:t xml:space="preserve"> </w:t>
      </w:r>
      <w:r w:rsidR="004015A7" w:rsidRPr="009A4A28">
        <w:rPr>
          <w:rFonts w:ascii="Arial" w:eastAsia="Calibri" w:hAnsi="Arial" w:cs="Arial"/>
          <w:sz w:val="22"/>
        </w:rPr>
        <w:t xml:space="preserve">̶ </w:t>
      </w:r>
      <w:r w:rsidRPr="009A4A28">
        <w:rPr>
          <w:rFonts w:ascii="Arial" w:eastAsia="Calibri" w:hAnsi="Arial" w:cs="Arial"/>
          <w:sz w:val="22"/>
        </w:rPr>
        <w:t>incluido IVA</w:t>
      </w:r>
      <w:r w:rsidR="004015A7" w:rsidRPr="009A4A28">
        <w:rPr>
          <w:rFonts w:ascii="Arial" w:eastAsia="Calibri" w:hAnsi="Arial" w:cs="Arial"/>
          <w:sz w:val="22"/>
        </w:rPr>
        <w:t xml:space="preserve"> ̶</w:t>
      </w:r>
      <w:r w:rsidRPr="009A4A28">
        <w:rPr>
          <w:rFonts w:ascii="Arial" w:eastAsia="Calibri" w:hAnsi="Arial" w:cs="Arial"/>
          <w:sz w:val="22"/>
        </w:rPr>
        <w:t xml:space="preserve"> </w:t>
      </w:r>
      <w:r w:rsidR="004015A7" w:rsidRPr="009A4A28">
        <w:rPr>
          <w:rFonts w:ascii="Arial" w:eastAsia="Calibri" w:hAnsi="Arial" w:cs="Arial"/>
          <w:sz w:val="22"/>
        </w:rPr>
        <w:t xml:space="preserve"> </w:t>
      </w:r>
      <w:r w:rsidRPr="009A4A28">
        <w:rPr>
          <w:rFonts w:ascii="Arial" w:eastAsia="Calibri" w:hAnsi="Arial" w:cs="Arial"/>
          <w:sz w:val="22"/>
        </w:rPr>
        <w:t xml:space="preserve">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w:t>
      </w:r>
      <w:r w:rsidR="0004309E">
        <w:rPr>
          <w:rFonts w:ascii="Arial" w:eastAsia="Calibri" w:hAnsi="Arial" w:cs="Arial"/>
          <w:sz w:val="22"/>
        </w:rPr>
        <w:t>seis (</w:t>
      </w:r>
      <w:r w:rsidRPr="009A4A28">
        <w:rPr>
          <w:rFonts w:ascii="Arial" w:eastAsia="Calibri" w:hAnsi="Arial" w:cs="Arial"/>
          <w:sz w:val="22"/>
        </w:rPr>
        <w:t>6</w:t>
      </w:r>
      <w:r w:rsidR="0004309E">
        <w:rPr>
          <w:rFonts w:ascii="Arial" w:eastAsia="Calibri" w:hAnsi="Arial" w:cs="Arial"/>
          <w:sz w:val="22"/>
        </w:rPr>
        <w:t>)</w:t>
      </w:r>
      <w:r w:rsidRPr="009A4A28">
        <w:rPr>
          <w:rFonts w:ascii="Arial" w:eastAsia="Calibri" w:hAnsi="Arial" w:cs="Arial"/>
          <w:sz w:val="22"/>
        </w:rPr>
        <w:t xml:space="preserve"> contratos.</w:t>
      </w:r>
    </w:p>
    <w:p w14:paraId="4044C141" w14:textId="4029200E" w:rsidR="000D0DB2" w:rsidRPr="009A4A28" w:rsidRDefault="000D0DB2" w:rsidP="004015A7">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En este sentido, si el contratista aporta dos (2) contratos que permiten acreditar la experiencia exigida en la </w:t>
      </w:r>
      <w:r w:rsidR="0004309E">
        <w:rPr>
          <w:rFonts w:ascii="Arial" w:eastAsia="Calibri" w:hAnsi="Arial" w:cs="Arial"/>
          <w:sz w:val="22"/>
        </w:rPr>
        <w:t>«</w:t>
      </w:r>
      <w:r w:rsidRPr="009A4A28">
        <w:rPr>
          <w:rFonts w:ascii="Arial" w:eastAsia="Calibri" w:hAnsi="Arial" w:cs="Arial"/>
          <w:sz w:val="22"/>
        </w:rPr>
        <w:t xml:space="preserve">Matriz 1 </w:t>
      </w:r>
      <w:r w:rsidR="0004309E">
        <w:rPr>
          <w:rFonts w:ascii="Arial" w:eastAsia="Calibri" w:hAnsi="Arial" w:cs="Arial"/>
          <w:sz w:val="22"/>
        </w:rPr>
        <w:t>–</w:t>
      </w:r>
      <w:r w:rsidR="004015A7" w:rsidRPr="009A4A28">
        <w:rPr>
          <w:rFonts w:ascii="Arial" w:eastAsia="Calibri" w:hAnsi="Arial" w:cs="Arial"/>
          <w:sz w:val="22"/>
        </w:rPr>
        <w:t xml:space="preserve"> </w:t>
      </w:r>
      <w:r w:rsidRPr="009A4A28">
        <w:rPr>
          <w:rFonts w:ascii="Arial" w:eastAsia="Calibri" w:hAnsi="Arial" w:cs="Arial"/>
          <w:sz w:val="22"/>
        </w:rPr>
        <w:t>Experiencia</w:t>
      </w:r>
      <w:r w:rsidR="0004309E">
        <w:rPr>
          <w:rFonts w:ascii="Arial" w:eastAsia="Calibri" w:hAnsi="Arial" w:cs="Arial"/>
          <w:sz w:val="22"/>
        </w:rPr>
        <w:t>»</w:t>
      </w:r>
      <w:r w:rsidRPr="009A4A28">
        <w:rPr>
          <w:rFonts w:ascii="Arial" w:eastAsia="Calibri" w:hAnsi="Arial" w:cs="Arial"/>
          <w:sz w:val="22"/>
        </w:rPr>
        <w:t xml:space="preserve">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05A58743" w14:textId="04BF93FA" w:rsidR="000D0DB2" w:rsidRPr="009A4A28" w:rsidRDefault="000D0DB2" w:rsidP="00F97EA8">
      <w:pPr>
        <w:spacing w:line="276" w:lineRule="auto"/>
        <w:ind w:firstLine="708"/>
        <w:jc w:val="both"/>
        <w:rPr>
          <w:rFonts w:ascii="Arial" w:eastAsia="Calibri" w:hAnsi="Arial" w:cs="Arial"/>
          <w:sz w:val="22"/>
        </w:rPr>
      </w:pPr>
      <w:r w:rsidRPr="009A4A28">
        <w:rPr>
          <w:rFonts w:ascii="Arial" w:eastAsia="Calibri" w:hAnsi="Arial" w:cs="Arial"/>
          <w:sz w:val="22"/>
          <w:lang w:val="es-ES"/>
        </w:rPr>
        <w:t xml:space="preserve">En caso de que el número de contratos con los cuales el </w:t>
      </w:r>
      <w:r w:rsidR="0004309E">
        <w:rPr>
          <w:rFonts w:ascii="Arial" w:eastAsia="Calibri" w:hAnsi="Arial" w:cs="Arial"/>
          <w:sz w:val="22"/>
          <w:lang w:val="es-ES"/>
        </w:rPr>
        <w:t>p</w:t>
      </w:r>
      <w:r w:rsidRPr="009A4A28">
        <w:rPr>
          <w:rFonts w:ascii="Arial" w:eastAsia="Calibri" w:hAnsi="Arial" w:cs="Arial"/>
          <w:sz w:val="22"/>
          <w:lang w:val="es-ES"/>
        </w:rPr>
        <w:t xml:space="preserve">roponente acredita la experiencia no satisfaga el porcentaje mínimo a certificar, establecido en la anterior tabla, se </w:t>
      </w:r>
      <w:r w:rsidRPr="009A4A28">
        <w:rPr>
          <w:rFonts w:ascii="Arial" w:eastAsia="Calibri" w:hAnsi="Arial" w:cs="Arial"/>
          <w:sz w:val="22"/>
        </w:rPr>
        <w:t>calificará la propuesta como no hábil.</w:t>
      </w:r>
    </w:p>
    <w:p w14:paraId="2BE6EE1E" w14:textId="4C8CE7B9" w:rsidR="001F49CD" w:rsidRPr="009A4A28" w:rsidRDefault="00977F75" w:rsidP="001F49CD">
      <w:pPr>
        <w:spacing w:before="120" w:after="120" w:line="276" w:lineRule="auto"/>
        <w:ind w:firstLine="709"/>
        <w:jc w:val="both"/>
        <w:rPr>
          <w:rFonts w:ascii="Arial" w:eastAsia="Calibri" w:hAnsi="Arial" w:cs="Arial"/>
          <w:sz w:val="22"/>
        </w:rPr>
      </w:pPr>
      <w:r>
        <w:rPr>
          <w:rFonts w:ascii="Arial" w:eastAsia="Calibri" w:hAnsi="Arial" w:cs="Arial"/>
          <w:sz w:val="22"/>
        </w:rPr>
        <w:t>Sobre la inalterabilidad de los Documentos Tipo, e</w:t>
      </w:r>
      <w:r w:rsidR="002826C0" w:rsidRPr="009A4A28">
        <w:rPr>
          <w:rFonts w:ascii="Arial" w:eastAsia="Calibri" w:hAnsi="Arial" w:cs="Arial"/>
          <w:sz w:val="22"/>
        </w:rPr>
        <w:t>l artículo 2.2.1.2.6.1.4</w:t>
      </w:r>
      <w:r w:rsidR="002826C0">
        <w:rPr>
          <w:rFonts w:ascii="Arial" w:eastAsia="Calibri" w:hAnsi="Arial" w:cs="Arial"/>
          <w:sz w:val="22"/>
        </w:rPr>
        <w:t xml:space="preserve"> de</w:t>
      </w:r>
      <w:r w:rsidR="001F49CD" w:rsidRPr="009A4A28">
        <w:rPr>
          <w:rFonts w:ascii="Arial" w:eastAsia="Calibri" w:hAnsi="Arial" w:cs="Arial"/>
          <w:sz w:val="22"/>
        </w:rPr>
        <w:t xml:space="preserve">l Decreto 342 de 2019, norma que adopta los </w:t>
      </w:r>
      <w:r w:rsidR="007F1DD3" w:rsidRPr="009A4A28">
        <w:rPr>
          <w:rFonts w:ascii="Arial" w:eastAsia="Calibri" w:hAnsi="Arial" w:cs="Arial"/>
          <w:sz w:val="22"/>
        </w:rPr>
        <w:t xml:space="preserve">documentos tipo </w:t>
      </w:r>
      <w:r w:rsidR="001F49CD" w:rsidRPr="009A4A28">
        <w:rPr>
          <w:rFonts w:ascii="Arial" w:eastAsia="Calibri" w:hAnsi="Arial" w:cs="Arial"/>
          <w:sz w:val="22"/>
        </w:rPr>
        <w:t xml:space="preserve">para licitación de obra pública de infraestructura de transporte, </w:t>
      </w:r>
      <w:r w:rsidR="002826C0">
        <w:rPr>
          <w:rFonts w:ascii="Arial" w:eastAsia="Calibri" w:hAnsi="Arial" w:cs="Arial"/>
          <w:sz w:val="22"/>
        </w:rPr>
        <w:t>dispone</w:t>
      </w:r>
      <w:r w:rsidR="001F49CD" w:rsidRPr="009A4A28">
        <w:rPr>
          <w:rFonts w:ascii="Arial" w:eastAsia="Calibri" w:hAnsi="Arial" w:cs="Arial"/>
          <w:sz w:val="22"/>
        </w:rPr>
        <w:t xml:space="preserve"> que las entidades contratantes no podrán incluir o modificar dentro de los </w:t>
      </w:r>
      <w:r w:rsidR="002826C0" w:rsidRPr="009A4A28">
        <w:rPr>
          <w:rFonts w:ascii="Arial" w:eastAsia="Calibri" w:hAnsi="Arial" w:cs="Arial"/>
          <w:sz w:val="22"/>
        </w:rPr>
        <w:t xml:space="preserve">documentos del proceso </w:t>
      </w:r>
      <w:r w:rsidR="001F49CD" w:rsidRPr="009A4A28">
        <w:rPr>
          <w:rFonts w:ascii="Arial" w:eastAsia="Calibri" w:hAnsi="Arial" w:cs="Arial"/>
          <w:sz w:val="22"/>
        </w:rPr>
        <w:t xml:space="preserve">las condiciones habilitantes, los factores </w:t>
      </w:r>
      <w:r w:rsidR="001F49CD" w:rsidRPr="009A4A28">
        <w:rPr>
          <w:rFonts w:ascii="Arial" w:eastAsia="Calibri" w:hAnsi="Arial" w:cs="Arial"/>
          <w:sz w:val="22"/>
        </w:rPr>
        <w:lastRenderedPageBreak/>
        <w:t xml:space="preserve">técnicos y económicos de escogencia y los sistemas de ponderación distintos a los señalados en los </w:t>
      </w:r>
      <w:r w:rsidR="002826C0" w:rsidRPr="009A4A28">
        <w:rPr>
          <w:rFonts w:ascii="Arial" w:eastAsia="Calibri" w:hAnsi="Arial" w:cs="Arial"/>
          <w:sz w:val="22"/>
        </w:rPr>
        <w:t>documentos tipo</w:t>
      </w:r>
      <w:r w:rsidR="001F49CD" w:rsidRPr="009A4A28">
        <w:rPr>
          <w:rStyle w:val="Refdenotaalpie"/>
          <w:rFonts w:ascii="Arial" w:eastAsia="Calibri" w:hAnsi="Arial" w:cs="Arial"/>
          <w:sz w:val="22"/>
        </w:rPr>
        <w:footnoteReference w:id="2"/>
      </w:r>
      <w:r w:rsidR="001F49CD" w:rsidRPr="009A4A28">
        <w:rPr>
          <w:rFonts w:ascii="Arial" w:eastAsia="Calibri" w:hAnsi="Arial" w:cs="Arial"/>
          <w:sz w:val="22"/>
        </w:rPr>
        <w:t xml:space="preserve">. </w:t>
      </w:r>
    </w:p>
    <w:p w14:paraId="5549C080" w14:textId="6B7D15AD" w:rsidR="001F49CD" w:rsidRPr="009A4A28" w:rsidRDefault="001F49CD" w:rsidP="001F49CD">
      <w:pPr>
        <w:spacing w:before="120" w:after="120" w:line="276" w:lineRule="auto"/>
        <w:ind w:firstLine="709"/>
        <w:jc w:val="both"/>
        <w:rPr>
          <w:rFonts w:ascii="Arial" w:eastAsia="Calibri" w:hAnsi="Arial" w:cs="Arial"/>
          <w:sz w:val="22"/>
        </w:rPr>
      </w:pPr>
      <w:r w:rsidRPr="009A4A28">
        <w:rPr>
          <w:rFonts w:ascii="Arial" w:eastAsia="Calibri" w:hAnsi="Arial" w:cs="Arial"/>
          <w:sz w:val="22"/>
        </w:rPr>
        <w:t xml:space="preserve">Por su parte, la parte introductoria de los </w:t>
      </w:r>
      <w:r w:rsidR="002826C0" w:rsidRPr="009A4A28">
        <w:rPr>
          <w:rFonts w:ascii="Arial" w:eastAsia="Calibri" w:hAnsi="Arial" w:cs="Arial"/>
          <w:sz w:val="22"/>
        </w:rPr>
        <w:t>documentos tipo</w:t>
      </w:r>
      <w:r w:rsidRPr="009A4A28">
        <w:rPr>
          <w:rFonts w:ascii="Arial" w:eastAsia="Calibri" w:hAnsi="Arial" w:cs="Arial"/>
          <w:sz w:val="22"/>
        </w:rPr>
        <w:t xml:space="preserve"> señala que los aspectos incluidos en corchetes y resaltado gris deben ser diligenciados por la entidad. Es así como en cada acápite que esté resaltado en gris la entidad tendrá la libertad de determinar la información que se diligenciará en los </w:t>
      </w:r>
      <w:r w:rsidR="002826C0" w:rsidRPr="009A4A28">
        <w:rPr>
          <w:rFonts w:ascii="Arial" w:eastAsia="Calibri" w:hAnsi="Arial" w:cs="Arial"/>
          <w:sz w:val="22"/>
        </w:rPr>
        <w:t>documentos tipo</w:t>
      </w:r>
      <w:r w:rsidRPr="009A4A28">
        <w:rPr>
          <w:rFonts w:ascii="Arial" w:eastAsia="Calibri" w:hAnsi="Arial" w:cs="Arial"/>
          <w:sz w:val="22"/>
        </w:rPr>
        <w:t xml:space="preserve">, de acuerdo con su necesidad y las instrucciones que precise el pliego. </w:t>
      </w:r>
    </w:p>
    <w:p w14:paraId="02784A3D" w14:textId="38B584E9" w:rsidR="001F49CD" w:rsidRPr="009A4A28" w:rsidRDefault="009C2458" w:rsidP="001F49CD">
      <w:pPr>
        <w:spacing w:line="276" w:lineRule="auto"/>
        <w:ind w:firstLine="708"/>
        <w:jc w:val="both"/>
        <w:rPr>
          <w:rFonts w:ascii="Arial" w:eastAsia="Calibri" w:hAnsi="Arial" w:cs="Arial"/>
          <w:sz w:val="22"/>
        </w:rPr>
      </w:pPr>
      <w:r w:rsidRPr="009A4A28">
        <w:rPr>
          <w:rFonts w:ascii="Arial" w:eastAsia="Calibri" w:hAnsi="Arial" w:cs="Arial"/>
          <w:sz w:val="22"/>
        </w:rPr>
        <w:t>Por consiguiente,</w:t>
      </w:r>
      <w:r w:rsidR="001F49CD" w:rsidRPr="009A4A28">
        <w:rPr>
          <w:rFonts w:ascii="Arial" w:eastAsia="Calibri" w:hAnsi="Arial" w:cs="Arial"/>
          <w:sz w:val="22"/>
        </w:rPr>
        <w:t xml:space="preserve"> para poder solicitar los bienes o servicios adicionales que no se encuentren contemplados en la </w:t>
      </w:r>
      <w:r w:rsidR="002826C0">
        <w:rPr>
          <w:rFonts w:ascii="Arial" w:eastAsia="Calibri" w:hAnsi="Arial" w:cs="Arial"/>
          <w:sz w:val="22"/>
        </w:rPr>
        <w:t>«</w:t>
      </w:r>
      <w:r w:rsidR="001F49CD" w:rsidRPr="009A4A28">
        <w:rPr>
          <w:rFonts w:ascii="Arial" w:eastAsia="Calibri" w:hAnsi="Arial" w:cs="Arial"/>
          <w:sz w:val="22"/>
        </w:rPr>
        <w:t xml:space="preserve">Matriz 1 </w:t>
      </w:r>
      <w:r w:rsidR="002826C0">
        <w:rPr>
          <w:rFonts w:ascii="Arial" w:eastAsia="Calibri" w:hAnsi="Arial" w:cs="Arial"/>
          <w:sz w:val="22"/>
        </w:rPr>
        <w:t>–</w:t>
      </w:r>
      <w:r w:rsidR="001F49CD" w:rsidRPr="009A4A28">
        <w:rPr>
          <w:rFonts w:ascii="Arial" w:eastAsia="Calibri" w:hAnsi="Arial" w:cs="Arial"/>
          <w:sz w:val="22"/>
        </w:rPr>
        <w:t xml:space="preserve"> Experiencia</w:t>
      </w:r>
      <w:r w:rsidR="002826C0">
        <w:rPr>
          <w:rFonts w:ascii="Arial" w:eastAsia="Calibri" w:hAnsi="Arial" w:cs="Arial"/>
          <w:sz w:val="22"/>
        </w:rPr>
        <w:t>»</w:t>
      </w:r>
      <w:r w:rsidR="001F49CD" w:rsidRPr="009A4A28">
        <w:rPr>
          <w:rFonts w:ascii="Arial" w:eastAsia="Calibri" w:hAnsi="Arial" w:cs="Arial"/>
          <w:sz w:val="22"/>
        </w:rPr>
        <w:t xml:space="preserve">, debe aplicarse lo establecido en el literal G del numeral 3.5.1. del </w:t>
      </w:r>
      <w:r w:rsidRPr="009A4A28">
        <w:rPr>
          <w:rFonts w:ascii="Arial" w:eastAsia="Calibri" w:hAnsi="Arial" w:cs="Arial"/>
          <w:sz w:val="22"/>
        </w:rPr>
        <w:t>Documento Base</w:t>
      </w:r>
      <w:r w:rsidR="001F49CD" w:rsidRPr="009A4A28">
        <w:rPr>
          <w:rFonts w:ascii="Arial" w:eastAsia="Calibri" w:hAnsi="Arial" w:cs="Arial"/>
          <w:sz w:val="22"/>
        </w:rPr>
        <w:t>,</w:t>
      </w:r>
      <w:r w:rsidR="0019793F" w:rsidRPr="009A4A28">
        <w:rPr>
          <w:rFonts w:ascii="Arial" w:eastAsia="Calibri" w:hAnsi="Arial" w:cs="Arial"/>
          <w:sz w:val="22"/>
        </w:rPr>
        <w:t xml:space="preserve"> que contiene una nota en corchetes y resaltado en gris,</w:t>
      </w:r>
      <w:r w:rsidR="001F49CD" w:rsidRPr="009A4A28">
        <w:rPr>
          <w:rFonts w:ascii="Arial" w:eastAsia="Calibri" w:hAnsi="Arial" w:cs="Arial"/>
          <w:sz w:val="22"/>
        </w:rPr>
        <w:t xml:space="preserve"> que establece:</w:t>
      </w:r>
    </w:p>
    <w:p w14:paraId="5BC4AC86" w14:textId="77777777" w:rsidR="001F49CD" w:rsidRPr="009A4A28" w:rsidRDefault="001F49CD" w:rsidP="001F49CD">
      <w:pPr>
        <w:spacing w:line="276" w:lineRule="auto"/>
        <w:ind w:firstLine="708"/>
        <w:jc w:val="both"/>
        <w:rPr>
          <w:rFonts w:ascii="Arial" w:eastAsia="Calibri" w:hAnsi="Arial" w:cs="Arial"/>
          <w:sz w:val="22"/>
        </w:rPr>
      </w:pPr>
    </w:p>
    <w:p w14:paraId="3EE6B7F3" w14:textId="26B8AA40" w:rsidR="001F49CD" w:rsidRPr="009A4A28" w:rsidRDefault="0019793F" w:rsidP="001E053F">
      <w:pPr>
        <w:spacing w:after="120" w:line="276" w:lineRule="auto"/>
        <w:ind w:left="709" w:right="709"/>
        <w:jc w:val="both"/>
        <w:rPr>
          <w:rFonts w:ascii="Arial" w:eastAsia="Calibri" w:hAnsi="Arial" w:cs="Arial"/>
          <w:sz w:val="21"/>
          <w:szCs w:val="21"/>
        </w:rPr>
      </w:pPr>
      <w:r w:rsidRPr="009A4A28">
        <w:rPr>
          <w:rFonts w:ascii="Arial" w:eastAsia="Calibri" w:hAnsi="Arial" w:cs="Arial"/>
          <w:sz w:val="21"/>
          <w:szCs w:val="21"/>
        </w:rPr>
        <w:t>G</w:t>
      </w:r>
      <w:r w:rsidR="001F49CD" w:rsidRPr="009A4A28">
        <w:rPr>
          <w:rFonts w:ascii="Arial" w:eastAsia="Calibri" w:hAnsi="Arial" w:cs="Arial"/>
          <w:sz w:val="21"/>
          <w:szCs w:val="21"/>
        </w:rPr>
        <w:t>. [Cuando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2.2.1.2.6.1.5 del Decreto 1082 de 2015.</w:t>
      </w:r>
    </w:p>
    <w:p w14:paraId="0E77C641" w14:textId="1568174B" w:rsidR="001F49CD" w:rsidRPr="009A4A28" w:rsidRDefault="001F49CD" w:rsidP="001E053F">
      <w:pPr>
        <w:spacing w:after="120" w:line="276" w:lineRule="auto"/>
        <w:ind w:left="709" w:right="709"/>
        <w:jc w:val="both"/>
        <w:rPr>
          <w:rFonts w:ascii="Arial" w:eastAsia="Calibri" w:hAnsi="Arial" w:cs="Arial"/>
          <w:sz w:val="21"/>
          <w:szCs w:val="21"/>
        </w:rPr>
      </w:pPr>
      <w:r w:rsidRPr="009A4A28">
        <w:rPr>
          <w:rFonts w:ascii="Arial" w:eastAsia="Calibri" w:hAnsi="Arial" w:cs="Arial"/>
          <w:sz w:val="21"/>
          <w:szCs w:val="21"/>
        </w:rPr>
        <w:t>Conforme a esta disposición, la Entidad no puede requerir experiencia adicional que incluya volúmenes o cantidades de obra específica expresadas en SMMLV]</w:t>
      </w:r>
    </w:p>
    <w:p w14:paraId="6EA77808" w14:textId="342BC6D6" w:rsidR="001F49CD" w:rsidRPr="009A4A28" w:rsidRDefault="001F49CD" w:rsidP="001F49CD">
      <w:pPr>
        <w:spacing w:line="276" w:lineRule="auto"/>
        <w:ind w:left="709" w:right="709"/>
        <w:jc w:val="both"/>
        <w:rPr>
          <w:rFonts w:ascii="Arial" w:eastAsia="Calibri" w:hAnsi="Arial" w:cs="Arial"/>
          <w:sz w:val="21"/>
          <w:szCs w:val="21"/>
        </w:rPr>
      </w:pPr>
      <w:r w:rsidRPr="009A4A28">
        <w:rPr>
          <w:rFonts w:ascii="Arial" w:eastAsia="Calibri" w:hAnsi="Arial" w:cs="Arial"/>
          <w:sz w:val="21"/>
          <w:szCs w:val="21"/>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6DD258FD" w14:textId="77777777" w:rsidR="001F49CD" w:rsidRPr="009A4A28" w:rsidRDefault="001F49CD" w:rsidP="001F49CD">
      <w:pPr>
        <w:spacing w:line="276" w:lineRule="auto"/>
        <w:ind w:firstLine="708"/>
        <w:jc w:val="both"/>
        <w:rPr>
          <w:rFonts w:ascii="Arial" w:eastAsia="Calibri" w:hAnsi="Arial" w:cs="Arial"/>
          <w:sz w:val="22"/>
        </w:rPr>
      </w:pPr>
    </w:p>
    <w:p w14:paraId="3218B592" w14:textId="3A768435" w:rsidR="009C2458" w:rsidRPr="009A4A28" w:rsidRDefault="009C2458" w:rsidP="009C2458">
      <w:pPr>
        <w:spacing w:after="120" w:line="276" w:lineRule="auto"/>
        <w:ind w:firstLine="708"/>
        <w:jc w:val="both"/>
        <w:rPr>
          <w:rFonts w:ascii="Arial" w:eastAsia="Calibri" w:hAnsi="Arial" w:cs="Arial"/>
          <w:sz w:val="22"/>
        </w:rPr>
      </w:pPr>
      <w:r w:rsidRPr="009A4A28">
        <w:rPr>
          <w:rFonts w:ascii="Arial" w:eastAsia="Calibri" w:hAnsi="Arial" w:cs="Arial"/>
          <w:sz w:val="22"/>
        </w:rPr>
        <w:t xml:space="preserve">Conforme a lo anterior, la regla general frente la aplicación del </w:t>
      </w:r>
      <w:r w:rsidR="00DE29D3" w:rsidRPr="009A4A28">
        <w:rPr>
          <w:rFonts w:ascii="Arial" w:eastAsia="Calibri" w:hAnsi="Arial" w:cs="Arial"/>
          <w:sz w:val="22"/>
        </w:rPr>
        <w:t xml:space="preserve">documento base </w:t>
      </w:r>
      <w:r w:rsidRPr="009A4A28">
        <w:rPr>
          <w:rFonts w:ascii="Arial" w:eastAsia="Calibri" w:hAnsi="Arial" w:cs="Arial"/>
          <w:sz w:val="22"/>
        </w:rPr>
        <w:t xml:space="preserve">es su inalterabilidad, por lo tanto no se podrán incluir o modificar dentro de los </w:t>
      </w:r>
      <w:r w:rsidR="00DE29D3" w:rsidRPr="009A4A28">
        <w:rPr>
          <w:rFonts w:ascii="Arial" w:eastAsia="Calibri" w:hAnsi="Arial" w:cs="Arial"/>
          <w:sz w:val="22"/>
        </w:rPr>
        <w:t xml:space="preserve">documentos del proceso </w:t>
      </w:r>
      <w:r w:rsidRPr="009A4A28">
        <w:rPr>
          <w:rFonts w:ascii="Arial" w:eastAsia="Calibri" w:hAnsi="Arial" w:cs="Arial"/>
          <w:sz w:val="22"/>
        </w:rPr>
        <w:t xml:space="preserve">las condiciones habilitantes, los factores técnicos y económicos de escogencia y los sistemas de ponderación distintos a los señalados en los </w:t>
      </w:r>
      <w:r w:rsidR="00DE29D3" w:rsidRPr="009A4A28">
        <w:rPr>
          <w:rFonts w:ascii="Arial" w:eastAsia="Calibri" w:hAnsi="Arial" w:cs="Arial"/>
          <w:sz w:val="22"/>
        </w:rPr>
        <w:t>documentos tipo</w:t>
      </w:r>
      <w:r w:rsidRPr="009A4A28">
        <w:rPr>
          <w:rFonts w:ascii="Arial" w:eastAsia="Calibri" w:hAnsi="Arial" w:cs="Arial"/>
          <w:sz w:val="22"/>
        </w:rPr>
        <w:t>. Salvo lo previsto en el artículo 2.2.1.2.6.1.5 del Decreto 1082 de 2015, si el objeto contractual incluye bienes o servicios ajenos a la obra pública de infraestructura de transporte se podrá incluir experiencia adicional.</w:t>
      </w:r>
    </w:p>
    <w:p w14:paraId="30AB623C" w14:textId="537A2F7F" w:rsidR="001F49CD" w:rsidRPr="009A4A28" w:rsidRDefault="001F49CD" w:rsidP="001F49CD">
      <w:pPr>
        <w:spacing w:line="276" w:lineRule="auto"/>
        <w:ind w:firstLine="708"/>
        <w:jc w:val="both"/>
        <w:rPr>
          <w:rFonts w:ascii="Arial" w:eastAsia="Calibri" w:hAnsi="Arial" w:cs="Arial"/>
          <w:sz w:val="22"/>
        </w:rPr>
      </w:pPr>
      <w:r w:rsidRPr="009A4A28">
        <w:rPr>
          <w:rFonts w:ascii="Arial" w:eastAsia="Calibri" w:hAnsi="Arial" w:cs="Arial"/>
          <w:sz w:val="22"/>
        </w:rPr>
        <w:t xml:space="preserve">En ese orden, para los bienes o servicios adicionales que no </w:t>
      </w:r>
      <w:r w:rsidR="009C2458" w:rsidRPr="009A4A28">
        <w:rPr>
          <w:rFonts w:ascii="Arial" w:eastAsia="Calibri" w:hAnsi="Arial" w:cs="Arial"/>
          <w:sz w:val="22"/>
        </w:rPr>
        <w:t xml:space="preserve">están </w:t>
      </w:r>
      <w:r w:rsidRPr="009A4A28">
        <w:rPr>
          <w:rFonts w:ascii="Arial" w:eastAsia="Calibri" w:hAnsi="Arial" w:cs="Arial"/>
          <w:sz w:val="22"/>
        </w:rPr>
        <w:t xml:space="preserve">contemplados en la </w:t>
      </w:r>
      <w:r w:rsidR="00DE29D3">
        <w:rPr>
          <w:rFonts w:ascii="Arial" w:eastAsia="Calibri" w:hAnsi="Arial" w:cs="Arial"/>
          <w:sz w:val="22"/>
        </w:rPr>
        <w:t>«</w:t>
      </w:r>
      <w:r w:rsidRPr="009A4A28">
        <w:rPr>
          <w:rFonts w:ascii="Arial" w:eastAsia="Calibri" w:hAnsi="Arial" w:cs="Arial"/>
          <w:sz w:val="22"/>
        </w:rPr>
        <w:t>Matriz 1 – Experiencia</w:t>
      </w:r>
      <w:r w:rsidR="00DE29D3">
        <w:rPr>
          <w:rFonts w:ascii="Arial" w:eastAsia="Calibri" w:hAnsi="Arial" w:cs="Arial"/>
          <w:sz w:val="22"/>
        </w:rPr>
        <w:t>»</w:t>
      </w:r>
      <w:r w:rsidRPr="009A4A28">
        <w:rPr>
          <w:rFonts w:ascii="Arial" w:eastAsia="Calibri" w:hAnsi="Arial" w:cs="Arial"/>
          <w:sz w:val="22"/>
        </w:rPr>
        <w:t xml:space="preserve">, </w:t>
      </w:r>
      <w:r w:rsidR="00CF7B1D">
        <w:rPr>
          <w:rFonts w:ascii="Arial" w:eastAsia="Calibri" w:hAnsi="Arial" w:cs="Arial"/>
          <w:sz w:val="22"/>
        </w:rPr>
        <w:t xml:space="preserve">la entidad </w:t>
      </w:r>
      <w:r w:rsidRPr="009A4A28">
        <w:rPr>
          <w:rFonts w:ascii="Arial" w:eastAsia="Calibri" w:hAnsi="Arial" w:cs="Arial"/>
          <w:sz w:val="22"/>
        </w:rPr>
        <w:t>debe solicitar la experiencia adicional como fue descrito previamente.</w:t>
      </w:r>
    </w:p>
    <w:p w14:paraId="0491A807" w14:textId="77777777" w:rsidR="00A945C1" w:rsidRPr="009A4A28" w:rsidRDefault="00A945C1" w:rsidP="00A945C1">
      <w:pPr>
        <w:spacing w:line="276" w:lineRule="auto"/>
        <w:jc w:val="both"/>
        <w:rPr>
          <w:rFonts w:ascii="Arial" w:eastAsia="Calibri" w:hAnsi="Arial" w:cs="Arial"/>
          <w:b/>
          <w:bCs/>
          <w:sz w:val="22"/>
        </w:rPr>
      </w:pPr>
    </w:p>
    <w:p w14:paraId="760E4337" w14:textId="7A20519E" w:rsidR="00A945C1" w:rsidRPr="009A4A28" w:rsidRDefault="00A945C1" w:rsidP="00860CDF">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p>
    <w:p w14:paraId="1C3599AE" w14:textId="77777777" w:rsidR="00A945C1" w:rsidRPr="009A4A28" w:rsidRDefault="00A945C1" w:rsidP="00A945C1">
      <w:pPr>
        <w:spacing w:line="276" w:lineRule="auto"/>
        <w:ind w:left="709" w:right="709"/>
        <w:jc w:val="both"/>
        <w:rPr>
          <w:rFonts w:ascii="Arial" w:eastAsia="Calibri" w:hAnsi="Arial" w:cs="Arial"/>
          <w:i/>
          <w:sz w:val="22"/>
        </w:rPr>
      </w:pPr>
    </w:p>
    <w:p w14:paraId="52A69853" w14:textId="117CF7D4" w:rsidR="00A945C1" w:rsidRPr="009A4A28" w:rsidRDefault="00C163A4" w:rsidP="0037725F">
      <w:pPr>
        <w:spacing w:line="276" w:lineRule="auto"/>
        <w:ind w:left="709" w:right="709"/>
        <w:jc w:val="both"/>
        <w:rPr>
          <w:rFonts w:ascii="Arial" w:eastAsia="Calibri" w:hAnsi="Arial" w:cs="Arial"/>
          <w:sz w:val="21"/>
          <w:szCs w:val="21"/>
        </w:rPr>
      </w:pPr>
      <w:r w:rsidRPr="009A4A28">
        <w:rPr>
          <w:rFonts w:ascii="Arial" w:eastAsia="Calibri" w:hAnsi="Arial" w:cs="Arial"/>
          <w:sz w:val="21"/>
          <w:szCs w:val="21"/>
        </w:rPr>
        <w:t>«[…] cómo debe proceder una entidad estatal para fijar los factores de experiencia adicional, si es necesario incluir un nuev</w:t>
      </w:r>
      <w:r w:rsidR="009C2458" w:rsidRPr="009A4A28">
        <w:rPr>
          <w:rFonts w:ascii="Arial" w:eastAsia="Calibri" w:hAnsi="Arial" w:cs="Arial"/>
          <w:sz w:val="21"/>
          <w:szCs w:val="21"/>
        </w:rPr>
        <w:t>o</w:t>
      </w:r>
      <w:r w:rsidRPr="009A4A28">
        <w:rPr>
          <w:rFonts w:ascii="Arial" w:eastAsia="Calibri" w:hAnsi="Arial" w:cs="Arial"/>
          <w:sz w:val="21"/>
          <w:szCs w:val="21"/>
        </w:rPr>
        <w:t xml:space="preserve"> elemento en la matriz de Experiencia, si se debe publicar una nueva matriz y/o anexo; o si se recomienda una forma especifica para dicha solicitud adicional de experiencia»</w:t>
      </w:r>
    </w:p>
    <w:p w14:paraId="74F85EF9" w14:textId="77777777" w:rsidR="00487D0D" w:rsidRPr="009A4A28" w:rsidRDefault="00487D0D" w:rsidP="0037725F">
      <w:pPr>
        <w:spacing w:line="276" w:lineRule="auto"/>
        <w:ind w:left="709" w:right="709"/>
        <w:jc w:val="both"/>
        <w:rPr>
          <w:rFonts w:ascii="Arial" w:eastAsia="Calibri" w:hAnsi="Arial" w:cs="Arial"/>
          <w:sz w:val="22"/>
        </w:rPr>
      </w:pPr>
    </w:p>
    <w:p w14:paraId="6CC29080" w14:textId="023C2795" w:rsidR="00197327" w:rsidRPr="009A4A28" w:rsidRDefault="00197327" w:rsidP="003620E1">
      <w:pPr>
        <w:spacing w:after="120" w:line="276" w:lineRule="auto"/>
        <w:jc w:val="both"/>
        <w:rPr>
          <w:rFonts w:ascii="Arial" w:eastAsia="Calibri" w:hAnsi="Arial" w:cs="Arial"/>
          <w:sz w:val="22"/>
          <w:lang w:val="es-ES"/>
        </w:rPr>
      </w:pPr>
      <w:r w:rsidRPr="009A4A28">
        <w:rPr>
          <w:rFonts w:ascii="Arial" w:eastAsia="Calibri" w:hAnsi="Arial" w:cs="Arial"/>
          <w:sz w:val="22"/>
          <w:lang w:val="es-ES"/>
        </w:rPr>
        <w:t>De acuerdo con el artículo 2.2.1.2.6.1.5</w:t>
      </w:r>
      <w:r w:rsidR="002B637D" w:rsidRPr="009A4A28">
        <w:rPr>
          <w:rFonts w:ascii="Arial" w:eastAsia="Calibri" w:hAnsi="Arial" w:cs="Arial"/>
          <w:sz w:val="22"/>
          <w:lang w:val="es-ES"/>
        </w:rPr>
        <w:t>.</w:t>
      </w:r>
      <w:r w:rsidRPr="009A4A28">
        <w:rPr>
          <w:rFonts w:ascii="Arial" w:eastAsia="Calibri" w:hAnsi="Arial" w:cs="Arial"/>
          <w:sz w:val="22"/>
          <w:lang w:val="es-ES"/>
        </w:rPr>
        <w:t xml:space="preserve"> del Decreto 1082 de 2015, cuando la entidad haya identificado algún bien o servicio adicional a la obra </w:t>
      </w:r>
      <w:r w:rsidR="002638A9" w:rsidRPr="009A4A28">
        <w:rPr>
          <w:rFonts w:ascii="Arial" w:eastAsia="Calibri" w:hAnsi="Arial" w:cs="Arial"/>
          <w:sz w:val="22"/>
          <w:lang w:val="es-ES"/>
        </w:rPr>
        <w:t>pública</w:t>
      </w:r>
      <w:r w:rsidRPr="009A4A28">
        <w:rPr>
          <w:rFonts w:ascii="Arial" w:eastAsia="Calibri" w:hAnsi="Arial" w:cs="Arial"/>
          <w:sz w:val="22"/>
          <w:lang w:val="es-ES"/>
        </w:rPr>
        <w:t xml:space="preserve"> de infraestructura de transporte</w:t>
      </w:r>
      <w:r w:rsidR="00AC3FB0" w:rsidRPr="009A4A28">
        <w:rPr>
          <w:rFonts w:ascii="Arial" w:eastAsia="Calibri" w:hAnsi="Arial" w:cs="Arial"/>
          <w:sz w:val="22"/>
          <w:lang w:val="es-ES"/>
        </w:rPr>
        <w:t>,</w:t>
      </w:r>
      <w:r w:rsidRPr="009A4A28">
        <w:rPr>
          <w:rFonts w:ascii="Arial" w:eastAsia="Calibri" w:hAnsi="Arial" w:cs="Arial"/>
          <w:sz w:val="22"/>
          <w:lang w:val="es-ES"/>
        </w:rPr>
        <w:t xml:space="preserve"> y la experiencia definida en la </w:t>
      </w:r>
      <w:r w:rsidR="00DE29D3">
        <w:rPr>
          <w:rFonts w:ascii="Arial" w:eastAsia="Calibri" w:hAnsi="Arial" w:cs="Arial"/>
          <w:sz w:val="22"/>
          <w:lang w:val="es-ES"/>
        </w:rPr>
        <w:t>«</w:t>
      </w:r>
      <w:r w:rsidRPr="009A4A28">
        <w:rPr>
          <w:rFonts w:ascii="Arial" w:eastAsia="Calibri" w:hAnsi="Arial" w:cs="Arial"/>
          <w:sz w:val="22"/>
          <w:lang w:val="es-ES"/>
        </w:rPr>
        <w:t>Matriz 1</w:t>
      </w:r>
      <w:r w:rsidR="00AC3FB0" w:rsidRPr="009A4A28">
        <w:rPr>
          <w:rFonts w:ascii="Arial" w:eastAsia="Calibri" w:hAnsi="Arial" w:cs="Arial"/>
          <w:sz w:val="22"/>
          <w:lang w:val="es-ES"/>
        </w:rPr>
        <w:t xml:space="preserve"> </w:t>
      </w:r>
      <w:r w:rsidR="00DE29D3">
        <w:rPr>
          <w:rFonts w:ascii="Arial" w:eastAsia="Calibri" w:hAnsi="Arial" w:cs="Arial"/>
          <w:sz w:val="22"/>
          <w:lang w:val="es-ES"/>
        </w:rPr>
        <w:t>–</w:t>
      </w:r>
      <w:r w:rsidRPr="009A4A28">
        <w:rPr>
          <w:rFonts w:ascii="Arial" w:eastAsia="Calibri" w:hAnsi="Arial" w:cs="Arial"/>
          <w:sz w:val="22"/>
          <w:lang w:val="es-ES"/>
        </w:rPr>
        <w:t xml:space="preserve"> Experiencia</w:t>
      </w:r>
      <w:r w:rsidR="00DE29D3">
        <w:rPr>
          <w:rFonts w:ascii="Arial" w:eastAsia="Calibri" w:hAnsi="Arial" w:cs="Arial"/>
          <w:sz w:val="22"/>
          <w:lang w:val="es-ES"/>
        </w:rPr>
        <w:t>»</w:t>
      </w:r>
      <w:r w:rsidRPr="009A4A28">
        <w:rPr>
          <w:rFonts w:ascii="Arial" w:eastAsia="Calibri" w:hAnsi="Arial" w:cs="Arial"/>
          <w:sz w:val="22"/>
          <w:lang w:val="es-ES"/>
        </w:rPr>
        <w:t xml:space="preserve"> no permita garantizar la idoneidad del contratista, deberá agotar los parámetros definidos en esta norma. Específicamente, el numeral 3 del artículo citado, señala que la entidad debe </w:t>
      </w:r>
      <w:r w:rsidR="002B637D" w:rsidRPr="009A4A28">
        <w:rPr>
          <w:rFonts w:ascii="Arial" w:eastAsia="Calibri" w:hAnsi="Arial" w:cs="Arial"/>
          <w:sz w:val="22"/>
          <w:lang w:val="es-ES"/>
        </w:rPr>
        <w:t>«</w:t>
      </w:r>
      <w:r w:rsidRPr="009A4A28">
        <w:rPr>
          <w:rFonts w:ascii="Arial" w:eastAsia="Calibri" w:hAnsi="Arial" w:cs="Arial"/>
          <w:sz w:val="22"/>
          <w:lang w:val="es-ES"/>
        </w:rPr>
        <w:t>abstenerse de pedir experiencia exclusiva con entidades estatales, experiencia previa en un territorio específico, limitada en el tiempo o que incluya volúmenes o cantidades de obra específica</w:t>
      </w:r>
      <w:r w:rsidR="002B637D" w:rsidRPr="009A4A28">
        <w:rPr>
          <w:rFonts w:ascii="Arial" w:eastAsia="Calibri" w:hAnsi="Arial" w:cs="Arial"/>
          <w:sz w:val="22"/>
          <w:lang w:val="es-ES"/>
        </w:rPr>
        <w:t>»</w:t>
      </w:r>
      <w:r w:rsidRPr="009A4A28">
        <w:rPr>
          <w:rFonts w:ascii="Arial" w:eastAsia="Calibri" w:hAnsi="Arial" w:cs="Arial"/>
          <w:sz w:val="22"/>
          <w:lang w:val="es-ES"/>
        </w:rPr>
        <w:t xml:space="preserve">. </w:t>
      </w:r>
    </w:p>
    <w:p w14:paraId="0A270B00" w14:textId="5F4BE50B" w:rsidR="00197327" w:rsidRPr="009A4A28" w:rsidRDefault="00197327" w:rsidP="003E0AB0">
      <w:pPr>
        <w:spacing w:after="120" w:line="276" w:lineRule="auto"/>
        <w:ind w:firstLine="709"/>
        <w:jc w:val="both"/>
        <w:rPr>
          <w:rFonts w:ascii="Arial" w:eastAsia="Calibri" w:hAnsi="Arial" w:cs="Arial"/>
          <w:sz w:val="22"/>
          <w:lang w:val="es-ES"/>
        </w:rPr>
      </w:pPr>
      <w:r w:rsidRPr="009A4A28">
        <w:rPr>
          <w:rFonts w:ascii="Arial" w:eastAsia="Calibri" w:hAnsi="Arial" w:cs="Arial"/>
          <w:sz w:val="22"/>
          <w:lang w:val="es-ES"/>
        </w:rPr>
        <w:t xml:space="preserve">Este numeral enuncia algunos eventos que configuran malas prácticas que limitan la participación y </w:t>
      </w:r>
      <w:r w:rsidR="00494D08" w:rsidRPr="009A4A28">
        <w:rPr>
          <w:rFonts w:ascii="Arial" w:eastAsia="Calibri" w:hAnsi="Arial" w:cs="Arial"/>
          <w:sz w:val="22"/>
          <w:lang w:val="es-ES"/>
        </w:rPr>
        <w:t xml:space="preserve">la </w:t>
      </w:r>
      <w:r w:rsidRPr="009A4A28">
        <w:rPr>
          <w:rFonts w:ascii="Arial" w:eastAsia="Calibri" w:hAnsi="Arial" w:cs="Arial"/>
          <w:sz w:val="22"/>
          <w:lang w:val="es-ES"/>
        </w:rPr>
        <w:t>libre competencia de los agentes del mercado. Por lo tanto, cuando de manera excepcional la</w:t>
      </w:r>
      <w:r w:rsidR="00494D08" w:rsidRPr="009A4A28">
        <w:rPr>
          <w:rFonts w:ascii="Arial" w:eastAsia="Calibri" w:hAnsi="Arial" w:cs="Arial"/>
          <w:sz w:val="22"/>
          <w:lang w:val="es-ES"/>
        </w:rPr>
        <w:t xml:space="preserve"> e</w:t>
      </w:r>
      <w:r w:rsidRPr="009A4A28">
        <w:rPr>
          <w:rFonts w:ascii="Arial" w:eastAsia="Calibri" w:hAnsi="Arial" w:cs="Arial"/>
          <w:sz w:val="22"/>
          <w:lang w:val="es-ES"/>
        </w:rPr>
        <w:t xml:space="preserve">ntidad requiera solicitar experiencia adicional, deberá garantizar que esta sea adecuada y proporcional a las actividades adicionales y su valor, sin afectar o limitar la concurrencia al proceso de contratación. </w:t>
      </w:r>
    </w:p>
    <w:p w14:paraId="6A5375E3" w14:textId="58C72F02" w:rsidR="009962F4" w:rsidRPr="009A4A28" w:rsidRDefault="00197327" w:rsidP="003E0AB0">
      <w:pPr>
        <w:spacing w:after="120" w:line="276" w:lineRule="auto"/>
        <w:ind w:firstLine="709"/>
        <w:jc w:val="both"/>
        <w:rPr>
          <w:rFonts w:ascii="Arial" w:eastAsia="Calibri" w:hAnsi="Arial" w:cs="Arial"/>
          <w:sz w:val="22"/>
          <w:lang w:val="es-ES"/>
        </w:rPr>
      </w:pPr>
      <w:r w:rsidRPr="009A4A28">
        <w:rPr>
          <w:rFonts w:ascii="Arial" w:eastAsia="Calibri" w:hAnsi="Arial" w:cs="Arial"/>
          <w:sz w:val="22"/>
          <w:lang w:val="es-ES"/>
        </w:rPr>
        <w:t>Para los bienes y servicios adicionales a obra pública</w:t>
      </w:r>
      <w:r w:rsidR="009962F4" w:rsidRPr="009A4A28">
        <w:rPr>
          <w:rFonts w:ascii="Arial" w:eastAsia="Calibri" w:hAnsi="Arial" w:cs="Arial"/>
          <w:sz w:val="22"/>
          <w:lang w:val="es-ES"/>
        </w:rPr>
        <w:t xml:space="preserve">, la entidad no está obligada </w:t>
      </w:r>
      <w:proofErr w:type="gramStart"/>
      <w:r w:rsidR="009962F4" w:rsidRPr="009A4A28">
        <w:rPr>
          <w:rFonts w:ascii="Arial" w:eastAsia="Calibri" w:hAnsi="Arial" w:cs="Arial"/>
          <w:sz w:val="22"/>
          <w:lang w:val="es-ES"/>
        </w:rPr>
        <w:t>a</w:t>
      </w:r>
      <w:proofErr w:type="gramEnd"/>
      <w:r w:rsidR="009962F4" w:rsidRPr="009A4A28">
        <w:rPr>
          <w:rFonts w:ascii="Arial" w:eastAsia="Calibri" w:hAnsi="Arial" w:cs="Arial"/>
          <w:sz w:val="22"/>
          <w:lang w:val="es-ES"/>
        </w:rPr>
        <w:t xml:space="preserve"> tener en cuenta y aplicar los </w:t>
      </w:r>
      <w:r w:rsidR="00DE29D3" w:rsidRPr="009A4A28">
        <w:rPr>
          <w:rFonts w:ascii="Arial" w:eastAsia="Calibri" w:hAnsi="Arial" w:cs="Arial"/>
          <w:sz w:val="22"/>
          <w:lang w:val="es-ES"/>
        </w:rPr>
        <w:t>documentos tipo</w:t>
      </w:r>
      <w:r w:rsidR="009962F4" w:rsidRPr="009A4A28">
        <w:rPr>
          <w:rFonts w:ascii="Arial" w:eastAsia="Calibri" w:hAnsi="Arial" w:cs="Arial"/>
          <w:sz w:val="22"/>
          <w:lang w:val="es-ES"/>
        </w:rPr>
        <w:t xml:space="preserve">, debido a que: i) </w:t>
      </w:r>
      <w:r w:rsidRPr="009A4A28">
        <w:rPr>
          <w:rFonts w:ascii="Arial" w:eastAsia="Calibri" w:hAnsi="Arial" w:cs="Arial"/>
          <w:sz w:val="22"/>
          <w:lang w:val="es-ES"/>
        </w:rPr>
        <w:t>la</w:t>
      </w:r>
      <w:r w:rsidR="009962F4" w:rsidRPr="009A4A28">
        <w:rPr>
          <w:rFonts w:ascii="Arial" w:eastAsia="Calibri" w:hAnsi="Arial" w:cs="Arial"/>
          <w:sz w:val="22"/>
          <w:lang w:val="es-ES"/>
        </w:rPr>
        <w:t xml:space="preserve"> actividad no está relacionada en la Matriz 1 de los </w:t>
      </w:r>
      <w:r w:rsidR="00DE29D3" w:rsidRPr="009A4A28">
        <w:rPr>
          <w:rFonts w:ascii="Arial" w:eastAsia="Calibri" w:hAnsi="Arial" w:cs="Arial"/>
          <w:sz w:val="22"/>
          <w:lang w:val="es-ES"/>
        </w:rPr>
        <w:t>pliegos</w:t>
      </w:r>
      <w:r w:rsidR="009962F4" w:rsidRPr="009A4A28">
        <w:rPr>
          <w:rFonts w:ascii="Arial" w:eastAsia="Calibri" w:hAnsi="Arial" w:cs="Arial"/>
          <w:sz w:val="22"/>
          <w:lang w:val="es-ES"/>
        </w:rPr>
        <w:t xml:space="preserve">, pues no se trata de un contrato de obra pública de infraestructura de transporte; y </w:t>
      </w:r>
      <w:proofErr w:type="spellStart"/>
      <w:r w:rsidR="009962F4" w:rsidRPr="009A4A28">
        <w:rPr>
          <w:rFonts w:ascii="Arial" w:eastAsia="Calibri" w:hAnsi="Arial" w:cs="Arial"/>
          <w:sz w:val="22"/>
          <w:lang w:val="es-ES"/>
        </w:rPr>
        <w:t>ii</w:t>
      </w:r>
      <w:proofErr w:type="spellEnd"/>
      <w:r w:rsidR="009962F4" w:rsidRPr="009A4A28">
        <w:rPr>
          <w:rFonts w:ascii="Arial" w:eastAsia="Calibri" w:hAnsi="Arial" w:cs="Arial"/>
          <w:sz w:val="22"/>
          <w:lang w:val="es-ES"/>
        </w:rPr>
        <w:t xml:space="preserve">) no es obligatorio el uso de tales documentos por la aplicación del artículo 2.2.1.2.6.1.5. del Decreto 1082 de 2015, adicionado por el artículo 1º del Decreto 342 de 2019, debido a que el contrato a celebrar </w:t>
      </w:r>
      <w:r w:rsidRPr="009A4A28">
        <w:rPr>
          <w:rFonts w:ascii="Arial" w:eastAsia="Calibri" w:hAnsi="Arial" w:cs="Arial"/>
          <w:sz w:val="22"/>
          <w:lang w:val="es-ES"/>
        </w:rPr>
        <w:t>no es</w:t>
      </w:r>
      <w:r w:rsidR="009962F4" w:rsidRPr="009A4A28">
        <w:rPr>
          <w:rFonts w:ascii="Arial" w:eastAsia="Calibri" w:hAnsi="Arial" w:cs="Arial"/>
          <w:sz w:val="22"/>
          <w:lang w:val="es-ES"/>
        </w:rPr>
        <w:t xml:space="preserve"> de obra pública de infraestructura de transporte ni de obras públicas relacionadas con infraestructuras de transporte.</w:t>
      </w:r>
    </w:p>
    <w:p w14:paraId="7F743650" w14:textId="107EBF32" w:rsidR="004071F5" w:rsidRPr="009A4A28" w:rsidRDefault="009C2458" w:rsidP="003E0AB0">
      <w:pPr>
        <w:spacing w:after="120" w:line="276" w:lineRule="auto"/>
        <w:ind w:firstLine="709"/>
        <w:jc w:val="both"/>
        <w:rPr>
          <w:rFonts w:ascii="Arial" w:eastAsia="Calibri" w:hAnsi="Arial" w:cs="Arial"/>
          <w:sz w:val="22"/>
          <w:lang w:val="es-ES"/>
        </w:rPr>
      </w:pPr>
      <w:r w:rsidRPr="009A4A28">
        <w:rPr>
          <w:rFonts w:ascii="Arial" w:eastAsia="Calibri" w:hAnsi="Arial" w:cs="Arial"/>
          <w:sz w:val="22"/>
          <w:lang w:val="es-ES"/>
        </w:rPr>
        <w:t>R</w:t>
      </w:r>
      <w:r w:rsidR="00627FA4" w:rsidRPr="009A4A28">
        <w:rPr>
          <w:rFonts w:ascii="Arial" w:eastAsia="Calibri" w:hAnsi="Arial" w:cs="Arial"/>
          <w:sz w:val="22"/>
          <w:lang w:val="es-ES"/>
        </w:rPr>
        <w:t xml:space="preserve">especto de </w:t>
      </w:r>
      <w:r w:rsidR="00197327" w:rsidRPr="009A4A28">
        <w:rPr>
          <w:rFonts w:ascii="Arial" w:eastAsia="Calibri" w:hAnsi="Arial" w:cs="Arial"/>
          <w:sz w:val="22"/>
          <w:lang w:val="es-ES"/>
        </w:rPr>
        <w:t>los bienes y servicios adicionales a obra pública</w:t>
      </w:r>
      <w:r w:rsidR="00627FA4" w:rsidRPr="009A4A28">
        <w:rPr>
          <w:rFonts w:ascii="Arial" w:eastAsia="Calibri" w:hAnsi="Arial" w:cs="Arial"/>
          <w:sz w:val="22"/>
          <w:lang w:val="es-ES"/>
        </w:rPr>
        <w:t xml:space="preserve">, le corresponde a la entidad al estructurar el proceso de contratación, determinar si con la experiencia definida en la </w:t>
      </w:r>
      <w:r w:rsidR="00DE29D3">
        <w:rPr>
          <w:rFonts w:ascii="Arial" w:eastAsia="Calibri" w:hAnsi="Arial" w:cs="Arial"/>
          <w:sz w:val="22"/>
          <w:lang w:val="es-ES"/>
        </w:rPr>
        <w:t>«</w:t>
      </w:r>
      <w:r w:rsidR="00627FA4" w:rsidRPr="009A4A28">
        <w:rPr>
          <w:rFonts w:ascii="Arial" w:eastAsia="Calibri" w:hAnsi="Arial" w:cs="Arial"/>
          <w:sz w:val="22"/>
          <w:lang w:val="es-ES"/>
        </w:rPr>
        <w:t xml:space="preserve">Matriz 1 </w:t>
      </w:r>
      <w:r w:rsidR="00DE29D3">
        <w:rPr>
          <w:rFonts w:ascii="Arial" w:eastAsia="Calibri" w:hAnsi="Arial" w:cs="Arial"/>
          <w:sz w:val="22"/>
          <w:lang w:val="es-ES"/>
        </w:rPr>
        <w:t>–</w:t>
      </w:r>
      <w:r w:rsidR="00627FA4" w:rsidRPr="009A4A28">
        <w:rPr>
          <w:rFonts w:ascii="Arial" w:eastAsia="Calibri" w:hAnsi="Arial" w:cs="Arial"/>
          <w:sz w:val="22"/>
          <w:lang w:val="es-ES"/>
        </w:rPr>
        <w:t xml:space="preserve"> Experiencia</w:t>
      </w:r>
      <w:r w:rsidR="00DE29D3">
        <w:rPr>
          <w:rFonts w:ascii="Arial" w:eastAsia="Calibri" w:hAnsi="Arial" w:cs="Arial"/>
          <w:sz w:val="22"/>
          <w:lang w:val="es-ES"/>
        </w:rPr>
        <w:t>»</w:t>
      </w:r>
      <w:r w:rsidR="00627FA4" w:rsidRPr="009A4A28">
        <w:rPr>
          <w:rFonts w:ascii="Arial" w:eastAsia="Calibri" w:hAnsi="Arial" w:cs="Arial"/>
          <w:sz w:val="22"/>
          <w:lang w:val="es-ES"/>
        </w:rPr>
        <w:t xml:space="preserve"> para la actividad principal se garantiza la idoneidad del proponente. Adicionalmente, debe verificar si </w:t>
      </w:r>
      <w:r w:rsidR="00D03173" w:rsidRPr="009A4A28">
        <w:rPr>
          <w:rFonts w:ascii="Arial" w:eastAsia="Calibri" w:hAnsi="Arial" w:cs="Arial"/>
          <w:sz w:val="22"/>
          <w:lang w:val="es-ES"/>
        </w:rPr>
        <w:t xml:space="preserve">las </w:t>
      </w:r>
      <w:r w:rsidR="00627FA4" w:rsidRPr="009A4A28">
        <w:rPr>
          <w:rFonts w:ascii="Arial" w:eastAsia="Calibri" w:hAnsi="Arial" w:cs="Arial"/>
          <w:sz w:val="22"/>
          <w:lang w:val="es-ES"/>
        </w:rPr>
        <w:t xml:space="preserve">actividades están contempladas en la </w:t>
      </w:r>
      <w:r w:rsidR="00DE29D3">
        <w:rPr>
          <w:rFonts w:ascii="Arial" w:eastAsia="Calibri" w:hAnsi="Arial" w:cs="Arial"/>
          <w:sz w:val="22"/>
          <w:lang w:val="es-ES"/>
        </w:rPr>
        <w:t>«</w:t>
      </w:r>
      <w:r w:rsidR="00627FA4" w:rsidRPr="009A4A28">
        <w:rPr>
          <w:rFonts w:ascii="Arial" w:eastAsia="Calibri" w:hAnsi="Arial" w:cs="Arial"/>
          <w:sz w:val="22"/>
          <w:lang w:val="es-ES"/>
        </w:rPr>
        <w:t xml:space="preserve">Matriz 1 </w:t>
      </w:r>
      <w:r w:rsidR="00DE29D3">
        <w:rPr>
          <w:rFonts w:ascii="Arial" w:eastAsia="Calibri" w:hAnsi="Arial" w:cs="Arial"/>
          <w:sz w:val="22"/>
          <w:lang w:val="es-ES"/>
        </w:rPr>
        <w:t>–</w:t>
      </w:r>
      <w:r w:rsidR="00627FA4" w:rsidRPr="009A4A28">
        <w:rPr>
          <w:rFonts w:ascii="Arial" w:eastAsia="Calibri" w:hAnsi="Arial" w:cs="Arial"/>
          <w:sz w:val="22"/>
          <w:lang w:val="es-ES"/>
        </w:rPr>
        <w:t xml:space="preserve"> Experiencia</w:t>
      </w:r>
      <w:r w:rsidR="00DE29D3">
        <w:rPr>
          <w:rFonts w:ascii="Arial" w:eastAsia="Calibri" w:hAnsi="Arial" w:cs="Arial"/>
          <w:sz w:val="22"/>
          <w:lang w:val="es-ES"/>
        </w:rPr>
        <w:t>»</w:t>
      </w:r>
      <w:r w:rsidR="00627FA4" w:rsidRPr="009A4A28">
        <w:rPr>
          <w:rFonts w:ascii="Arial" w:eastAsia="Calibri" w:hAnsi="Arial" w:cs="Arial"/>
          <w:sz w:val="22"/>
          <w:lang w:val="es-ES"/>
        </w:rPr>
        <w:t xml:space="preserve">, por cuanto de ser así, se deberá solicitar la experiencia en la forma allí prevista. Si la actividad a contratar no se encuentra contemplada en la </w:t>
      </w:r>
      <w:r w:rsidR="00DE29D3">
        <w:rPr>
          <w:rFonts w:ascii="Arial" w:eastAsia="Calibri" w:hAnsi="Arial" w:cs="Arial"/>
          <w:sz w:val="22"/>
          <w:lang w:val="es-ES"/>
        </w:rPr>
        <w:t>«</w:t>
      </w:r>
      <w:r w:rsidR="00627FA4" w:rsidRPr="009A4A28">
        <w:rPr>
          <w:rFonts w:ascii="Arial" w:eastAsia="Calibri" w:hAnsi="Arial" w:cs="Arial"/>
          <w:sz w:val="22"/>
          <w:lang w:val="es-ES"/>
        </w:rPr>
        <w:t>Matriz 1</w:t>
      </w:r>
      <w:r w:rsidR="00D03173" w:rsidRPr="009A4A28">
        <w:rPr>
          <w:rFonts w:ascii="Arial" w:eastAsia="Calibri" w:hAnsi="Arial" w:cs="Arial"/>
          <w:sz w:val="22"/>
          <w:lang w:val="es-ES"/>
        </w:rPr>
        <w:t xml:space="preserve"> </w:t>
      </w:r>
      <w:r w:rsidR="00DE29D3">
        <w:rPr>
          <w:rFonts w:ascii="Arial" w:eastAsia="Calibri" w:hAnsi="Arial" w:cs="Arial"/>
          <w:sz w:val="22"/>
          <w:lang w:val="es-ES"/>
        </w:rPr>
        <w:t>–</w:t>
      </w:r>
      <w:r w:rsidR="00627FA4" w:rsidRPr="009A4A28">
        <w:rPr>
          <w:rFonts w:ascii="Arial" w:eastAsia="Calibri" w:hAnsi="Arial" w:cs="Arial"/>
          <w:sz w:val="22"/>
          <w:lang w:val="es-ES"/>
        </w:rPr>
        <w:t xml:space="preserve"> Experiencia</w:t>
      </w:r>
      <w:r w:rsidR="00DE29D3">
        <w:rPr>
          <w:rFonts w:ascii="Arial" w:eastAsia="Calibri" w:hAnsi="Arial" w:cs="Arial"/>
          <w:sz w:val="22"/>
          <w:lang w:val="es-ES"/>
        </w:rPr>
        <w:t>»</w:t>
      </w:r>
      <w:r w:rsidR="00627FA4" w:rsidRPr="009A4A28">
        <w:rPr>
          <w:rFonts w:ascii="Arial" w:eastAsia="Calibri" w:hAnsi="Arial" w:cs="Arial"/>
          <w:sz w:val="22"/>
          <w:lang w:val="es-ES"/>
        </w:rPr>
        <w:t xml:space="preserve">, la entidad deberá agotar los parámetros previstos en el artículo 2.2.1.2.6.1.5 del Decreto 1082 de 2015 y dejar las respectivas justificaciones en los estudios y documentos previos para poder solicitar experiencia adicional. </w:t>
      </w:r>
    </w:p>
    <w:p w14:paraId="227F7525" w14:textId="5DEA2840" w:rsidR="00627FA4" w:rsidRPr="009A4A28" w:rsidRDefault="00627FA4" w:rsidP="00D03173">
      <w:pPr>
        <w:spacing w:line="276" w:lineRule="auto"/>
        <w:ind w:firstLine="709"/>
        <w:jc w:val="both"/>
        <w:rPr>
          <w:rFonts w:ascii="Arial" w:eastAsia="Calibri" w:hAnsi="Arial" w:cs="Arial"/>
          <w:sz w:val="22"/>
          <w:lang w:val="es-ES"/>
        </w:rPr>
      </w:pPr>
      <w:r w:rsidRPr="009A4A28">
        <w:rPr>
          <w:rFonts w:ascii="Arial" w:eastAsia="Calibri" w:hAnsi="Arial" w:cs="Arial"/>
          <w:sz w:val="22"/>
          <w:lang w:val="es-ES"/>
        </w:rPr>
        <w:t xml:space="preserve">Por </w:t>
      </w:r>
      <w:r w:rsidR="00D03173" w:rsidRPr="009A4A28">
        <w:rPr>
          <w:rFonts w:ascii="Arial" w:eastAsia="Calibri" w:hAnsi="Arial" w:cs="Arial"/>
          <w:sz w:val="22"/>
          <w:lang w:val="es-ES"/>
        </w:rPr>
        <w:t>tanto</w:t>
      </w:r>
      <w:r w:rsidR="00CF7B1D">
        <w:rPr>
          <w:rFonts w:ascii="Arial" w:eastAsia="Calibri" w:hAnsi="Arial" w:cs="Arial"/>
          <w:sz w:val="22"/>
          <w:lang w:val="es-ES"/>
        </w:rPr>
        <w:t>,</w:t>
      </w:r>
      <w:r w:rsidR="00D03173" w:rsidRPr="009A4A28">
        <w:rPr>
          <w:rFonts w:ascii="Arial" w:eastAsia="Calibri" w:hAnsi="Arial" w:cs="Arial"/>
          <w:sz w:val="22"/>
          <w:lang w:val="es-ES"/>
        </w:rPr>
        <w:t xml:space="preserve"> para</w:t>
      </w:r>
      <w:r w:rsidRPr="009A4A28">
        <w:rPr>
          <w:rFonts w:ascii="Arial" w:eastAsia="Calibri" w:hAnsi="Arial" w:cs="Arial"/>
          <w:sz w:val="22"/>
          <w:lang w:val="es-ES"/>
        </w:rPr>
        <w:t xml:space="preserve"> </w:t>
      </w:r>
      <w:r w:rsidR="009C2458" w:rsidRPr="009A4A28">
        <w:rPr>
          <w:rFonts w:ascii="Arial" w:eastAsia="Calibri" w:hAnsi="Arial" w:cs="Arial"/>
          <w:sz w:val="22"/>
          <w:lang w:val="es-ES"/>
        </w:rPr>
        <w:t>solicitar</w:t>
      </w:r>
      <w:r w:rsidRPr="009A4A28">
        <w:rPr>
          <w:rFonts w:ascii="Arial" w:eastAsia="Calibri" w:hAnsi="Arial" w:cs="Arial"/>
          <w:sz w:val="22"/>
          <w:lang w:val="es-ES"/>
        </w:rPr>
        <w:t xml:space="preserve"> la experiencia </w:t>
      </w:r>
      <w:r w:rsidR="009C2458" w:rsidRPr="009A4A28">
        <w:rPr>
          <w:rFonts w:ascii="Arial" w:eastAsia="Calibri" w:hAnsi="Arial" w:cs="Arial"/>
          <w:sz w:val="22"/>
          <w:lang w:val="es-ES"/>
        </w:rPr>
        <w:t xml:space="preserve">adicional </w:t>
      </w:r>
      <w:r w:rsidRPr="009A4A28">
        <w:rPr>
          <w:rFonts w:ascii="Arial" w:eastAsia="Calibri" w:hAnsi="Arial" w:cs="Arial"/>
          <w:sz w:val="22"/>
          <w:lang w:val="es-ES"/>
        </w:rPr>
        <w:t xml:space="preserve">se deberá realizar con las reglas fijadas en el </w:t>
      </w:r>
      <w:r w:rsidR="00CF7B1D">
        <w:rPr>
          <w:rFonts w:ascii="Arial" w:eastAsia="Calibri" w:hAnsi="Arial" w:cs="Arial"/>
          <w:sz w:val="22"/>
          <w:lang w:val="es-ES"/>
        </w:rPr>
        <w:t>«</w:t>
      </w:r>
      <w:r w:rsidRPr="009A4A28">
        <w:rPr>
          <w:rFonts w:ascii="Arial" w:eastAsia="Calibri" w:hAnsi="Arial" w:cs="Arial"/>
          <w:sz w:val="22"/>
          <w:lang w:val="es-ES"/>
        </w:rPr>
        <w:t>numeral 3.5</w:t>
      </w:r>
      <w:r w:rsidR="00CF7B1D">
        <w:rPr>
          <w:rFonts w:ascii="Arial" w:eastAsia="Calibri" w:hAnsi="Arial" w:cs="Arial"/>
          <w:sz w:val="22"/>
          <w:lang w:val="es-ES"/>
        </w:rPr>
        <w:t xml:space="preserve"> – </w:t>
      </w:r>
      <w:r w:rsidRPr="009A4A28">
        <w:rPr>
          <w:rFonts w:ascii="Arial" w:eastAsia="Calibri" w:hAnsi="Arial" w:cs="Arial"/>
          <w:sz w:val="22"/>
          <w:lang w:val="es-ES"/>
        </w:rPr>
        <w:t>Experiencia</w:t>
      </w:r>
      <w:r w:rsidR="00CF7B1D">
        <w:rPr>
          <w:rFonts w:ascii="Arial" w:eastAsia="Calibri" w:hAnsi="Arial" w:cs="Arial"/>
          <w:sz w:val="22"/>
          <w:lang w:val="es-ES"/>
        </w:rPr>
        <w:t>»</w:t>
      </w:r>
      <w:r w:rsidRPr="009A4A28">
        <w:rPr>
          <w:rFonts w:ascii="Arial" w:eastAsia="Calibri" w:hAnsi="Arial" w:cs="Arial"/>
          <w:sz w:val="22"/>
          <w:lang w:val="es-ES"/>
        </w:rPr>
        <w:t xml:space="preserve"> del </w:t>
      </w:r>
      <w:r w:rsidR="00CF7B1D" w:rsidRPr="009A4A28">
        <w:rPr>
          <w:rFonts w:ascii="Arial" w:eastAsia="Calibri" w:hAnsi="Arial" w:cs="Arial"/>
          <w:sz w:val="22"/>
          <w:lang w:val="es-ES"/>
        </w:rPr>
        <w:t>pliego tipo</w:t>
      </w:r>
      <w:r w:rsidRPr="009A4A28">
        <w:rPr>
          <w:rFonts w:ascii="Arial" w:eastAsia="Calibri" w:hAnsi="Arial" w:cs="Arial"/>
          <w:sz w:val="22"/>
          <w:lang w:val="es-ES"/>
        </w:rPr>
        <w:t xml:space="preserve">. </w:t>
      </w:r>
      <w:r w:rsidR="009C2458" w:rsidRPr="009A4A28">
        <w:rPr>
          <w:rFonts w:ascii="Arial" w:eastAsia="Calibri" w:hAnsi="Arial" w:cs="Arial"/>
          <w:sz w:val="22"/>
          <w:lang w:val="es-ES"/>
        </w:rPr>
        <w:t xml:space="preserve">Específicamente el literal G del </w:t>
      </w:r>
      <w:r w:rsidR="009C2458" w:rsidRPr="009A4A28">
        <w:rPr>
          <w:rFonts w:ascii="Arial" w:eastAsia="Calibri" w:hAnsi="Arial" w:cs="Arial"/>
          <w:sz w:val="22"/>
          <w:lang w:val="es-ES"/>
        </w:rPr>
        <w:lastRenderedPageBreak/>
        <w:t xml:space="preserve">numeral 3.5.1 contiene una nota en gris y corchetes que la entidad puede modificar para señalar la experiencia adicional, por lo que debido al principio de inalterabilidad de los </w:t>
      </w:r>
      <w:r w:rsidR="00DE29D3" w:rsidRPr="009A4A28">
        <w:rPr>
          <w:rFonts w:ascii="Arial" w:eastAsia="Calibri" w:hAnsi="Arial" w:cs="Arial"/>
          <w:sz w:val="22"/>
          <w:lang w:val="es-ES"/>
        </w:rPr>
        <w:t>documento</w:t>
      </w:r>
      <w:r w:rsidR="00DE29D3">
        <w:rPr>
          <w:rFonts w:ascii="Arial" w:eastAsia="Calibri" w:hAnsi="Arial" w:cs="Arial"/>
          <w:sz w:val="22"/>
          <w:lang w:val="es-ES"/>
        </w:rPr>
        <w:t>s</w:t>
      </w:r>
      <w:r w:rsidR="00DE29D3" w:rsidRPr="009A4A28">
        <w:rPr>
          <w:rFonts w:ascii="Arial" w:eastAsia="Calibri" w:hAnsi="Arial" w:cs="Arial"/>
          <w:sz w:val="22"/>
          <w:lang w:val="es-ES"/>
        </w:rPr>
        <w:t xml:space="preserve"> tipo </w:t>
      </w:r>
      <w:r w:rsidR="009C2458" w:rsidRPr="009A4A28">
        <w:rPr>
          <w:rFonts w:ascii="Arial" w:eastAsia="Calibri" w:hAnsi="Arial" w:cs="Arial"/>
          <w:sz w:val="22"/>
          <w:lang w:val="es-ES"/>
        </w:rPr>
        <w:t>no es posible incluir</w:t>
      </w:r>
      <w:r w:rsidR="00505631" w:rsidRPr="009A4A28">
        <w:rPr>
          <w:rFonts w:ascii="Arial" w:eastAsia="Calibri" w:hAnsi="Arial" w:cs="Arial"/>
          <w:sz w:val="22"/>
          <w:lang w:val="es-ES"/>
        </w:rPr>
        <w:t xml:space="preserve"> un</w:t>
      </w:r>
      <w:r w:rsidR="009C2458" w:rsidRPr="009A4A28">
        <w:rPr>
          <w:rFonts w:ascii="Arial" w:eastAsia="Calibri" w:hAnsi="Arial" w:cs="Arial"/>
          <w:sz w:val="22"/>
          <w:lang w:val="es-ES"/>
        </w:rPr>
        <w:t xml:space="preserve"> nuevo elemento en la </w:t>
      </w:r>
      <w:r w:rsidR="00DE29D3">
        <w:rPr>
          <w:rFonts w:ascii="Arial" w:eastAsia="Calibri" w:hAnsi="Arial" w:cs="Arial"/>
          <w:sz w:val="22"/>
          <w:lang w:val="es-ES"/>
        </w:rPr>
        <w:t>«</w:t>
      </w:r>
      <w:r w:rsidR="00505631" w:rsidRPr="009A4A28">
        <w:rPr>
          <w:rFonts w:ascii="Arial" w:eastAsia="Calibri" w:hAnsi="Arial" w:cs="Arial"/>
          <w:sz w:val="22"/>
          <w:lang w:val="es-ES"/>
        </w:rPr>
        <w:t>M</w:t>
      </w:r>
      <w:r w:rsidR="009C2458" w:rsidRPr="009A4A28">
        <w:rPr>
          <w:rFonts w:ascii="Arial" w:eastAsia="Calibri" w:hAnsi="Arial" w:cs="Arial"/>
          <w:sz w:val="22"/>
          <w:lang w:val="es-ES"/>
        </w:rPr>
        <w:t>atriz</w:t>
      </w:r>
      <w:r w:rsidR="00505631" w:rsidRPr="009A4A28">
        <w:rPr>
          <w:rFonts w:ascii="Arial" w:eastAsia="Calibri" w:hAnsi="Arial" w:cs="Arial"/>
          <w:sz w:val="22"/>
          <w:lang w:val="es-ES"/>
        </w:rPr>
        <w:t xml:space="preserve"> 1</w:t>
      </w:r>
      <w:r w:rsidR="00FF4FC8" w:rsidRPr="009A4A28">
        <w:rPr>
          <w:rFonts w:ascii="Arial" w:eastAsia="Calibri" w:hAnsi="Arial" w:cs="Arial"/>
          <w:sz w:val="22"/>
          <w:lang w:val="es-ES"/>
        </w:rPr>
        <w:t xml:space="preserve"> </w:t>
      </w:r>
      <w:r w:rsidR="00DE29D3">
        <w:rPr>
          <w:rFonts w:ascii="Arial" w:eastAsia="Calibri" w:hAnsi="Arial" w:cs="Arial"/>
          <w:sz w:val="22"/>
          <w:lang w:val="es-ES"/>
        </w:rPr>
        <w:t>–</w:t>
      </w:r>
      <w:r w:rsidR="00FF4FC8" w:rsidRPr="009A4A28">
        <w:rPr>
          <w:rFonts w:ascii="Arial" w:eastAsia="Calibri" w:hAnsi="Arial" w:cs="Arial"/>
          <w:sz w:val="22"/>
          <w:lang w:val="es-ES"/>
        </w:rPr>
        <w:t xml:space="preserve"> </w:t>
      </w:r>
      <w:r w:rsidR="009C2458" w:rsidRPr="009A4A28">
        <w:rPr>
          <w:rFonts w:ascii="Arial" w:eastAsia="Calibri" w:hAnsi="Arial" w:cs="Arial"/>
          <w:sz w:val="22"/>
          <w:lang w:val="es-ES"/>
        </w:rPr>
        <w:t>Experiencia</w:t>
      </w:r>
      <w:r w:rsidR="00DE29D3">
        <w:rPr>
          <w:rFonts w:ascii="Arial" w:eastAsia="Calibri" w:hAnsi="Arial" w:cs="Arial"/>
          <w:sz w:val="22"/>
          <w:lang w:val="es-ES"/>
        </w:rPr>
        <w:t>»</w:t>
      </w:r>
      <w:r w:rsidR="00505631" w:rsidRPr="009A4A28">
        <w:rPr>
          <w:rFonts w:ascii="Arial" w:eastAsia="Calibri" w:hAnsi="Arial" w:cs="Arial"/>
          <w:sz w:val="22"/>
          <w:lang w:val="es-ES"/>
        </w:rPr>
        <w:t xml:space="preserve"> ni</w:t>
      </w:r>
      <w:r w:rsidR="009C2458" w:rsidRPr="009A4A28">
        <w:rPr>
          <w:rFonts w:ascii="Arial" w:eastAsia="Calibri" w:hAnsi="Arial" w:cs="Arial"/>
          <w:sz w:val="22"/>
          <w:lang w:val="es-ES"/>
        </w:rPr>
        <w:t xml:space="preserve"> publicar una nueva matriz y/o anexo</w:t>
      </w:r>
      <w:r w:rsidR="00505631" w:rsidRPr="009A4A28">
        <w:rPr>
          <w:rFonts w:ascii="Arial" w:eastAsia="Calibri" w:hAnsi="Arial" w:cs="Arial"/>
          <w:sz w:val="22"/>
          <w:lang w:val="es-ES"/>
        </w:rPr>
        <w:t>.</w:t>
      </w:r>
      <w:r w:rsidR="009C2458" w:rsidRPr="009A4A28">
        <w:rPr>
          <w:rFonts w:ascii="Arial" w:eastAsia="Calibri" w:hAnsi="Arial" w:cs="Arial"/>
          <w:sz w:val="22"/>
          <w:lang w:val="es-ES"/>
        </w:rPr>
        <w:t xml:space="preserve"> </w:t>
      </w:r>
    </w:p>
    <w:p w14:paraId="57F43EFD" w14:textId="77777777" w:rsidR="007E75DE" w:rsidRPr="009A4A28" w:rsidRDefault="007E75DE" w:rsidP="00A945C1">
      <w:pPr>
        <w:autoSpaceDE w:val="0"/>
        <w:autoSpaceDN w:val="0"/>
        <w:adjustRightInd w:val="0"/>
        <w:spacing w:line="276" w:lineRule="auto"/>
        <w:jc w:val="both"/>
        <w:rPr>
          <w:rFonts w:ascii="Arial" w:hAnsi="Arial" w:cs="Arial"/>
          <w:sz w:val="22"/>
          <w:highlight w:val="yellow"/>
          <w:lang w:val="es-ES"/>
        </w:rPr>
      </w:pPr>
    </w:p>
    <w:p w14:paraId="02AA1A67" w14:textId="77777777" w:rsidR="00A945C1" w:rsidRPr="009A4A28" w:rsidRDefault="00A945C1" w:rsidP="00A945C1">
      <w:pPr>
        <w:spacing w:line="276" w:lineRule="auto"/>
        <w:jc w:val="both"/>
        <w:rPr>
          <w:rFonts w:ascii="Arial" w:eastAsia="Calibri" w:hAnsi="Arial" w:cs="Arial"/>
          <w:sz w:val="22"/>
        </w:rPr>
      </w:pPr>
    </w:p>
    <w:p w14:paraId="52C38EC0" w14:textId="77777777" w:rsidR="00A945C1" w:rsidRPr="009A4A28" w:rsidRDefault="00A945C1" w:rsidP="00A945C1">
      <w:pPr>
        <w:spacing w:line="276" w:lineRule="auto"/>
        <w:jc w:val="both"/>
        <w:rPr>
          <w:rFonts w:ascii="Arial" w:eastAsia="Calibri" w:hAnsi="Arial" w:cs="Arial"/>
          <w:sz w:val="22"/>
        </w:rPr>
      </w:pPr>
      <w:r w:rsidRPr="009A4A28">
        <w:rPr>
          <w:rFonts w:ascii="Arial" w:eastAsia="Calibri" w:hAnsi="Arial" w:cs="Arial"/>
          <w:sz w:val="22"/>
        </w:rPr>
        <w:t>Este concepto tiene el alcance previsto en el artículo 28 del Código de Procedimiento Administrativo y de lo Contencioso Administrativo.</w:t>
      </w:r>
    </w:p>
    <w:p w14:paraId="33483179" w14:textId="77777777" w:rsidR="00A945C1" w:rsidRPr="009A4A28" w:rsidRDefault="00A945C1" w:rsidP="00A945C1">
      <w:pPr>
        <w:spacing w:line="276" w:lineRule="auto"/>
        <w:jc w:val="both"/>
        <w:rPr>
          <w:rFonts w:ascii="Arial" w:eastAsia="Calibri" w:hAnsi="Arial" w:cs="Arial"/>
          <w:sz w:val="22"/>
        </w:rPr>
      </w:pPr>
    </w:p>
    <w:p w14:paraId="739EB1A4" w14:textId="77777777" w:rsidR="00A945C1" w:rsidRPr="009A4A28" w:rsidRDefault="00A945C1" w:rsidP="00A945C1">
      <w:pPr>
        <w:jc w:val="both"/>
        <w:rPr>
          <w:rFonts w:ascii="Arial" w:eastAsia="Calibri" w:hAnsi="Arial" w:cs="Arial"/>
          <w:sz w:val="22"/>
        </w:rPr>
      </w:pPr>
      <w:r w:rsidRPr="009A4A28">
        <w:rPr>
          <w:noProof/>
        </w:rPr>
        <mc:AlternateContent>
          <mc:Choice Requires="wps">
            <w:drawing>
              <wp:anchor distT="0" distB="0" distL="114300" distR="114300" simplePos="0" relativeHeight="251654144" behindDoc="0" locked="0" layoutInCell="1" allowOverlap="1" wp14:anchorId="38107C11" wp14:editId="6B7470D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FD3CED"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A11D3BF" w14:textId="77777777" w:rsidR="00A945C1" w:rsidRPr="009A4A28" w:rsidRDefault="00A945C1" w:rsidP="00A945C1">
      <w:pPr>
        <w:rPr>
          <w:rFonts w:ascii="Arial" w:eastAsia="Times New Roman" w:hAnsi="Arial" w:cs="Arial"/>
          <w:sz w:val="22"/>
          <w:lang w:eastAsia="es-CO"/>
        </w:rPr>
      </w:pPr>
      <w:r w:rsidRPr="009A4A28">
        <w:rPr>
          <w:rFonts w:ascii="Arial" w:eastAsia="Times New Roman" w:hAnsi="Arial" w:cs="Arial"/>
          <w:sz w:val="22"/>
          <w:lang w:eastAsia="es-CO"/>
        </w:rPr>
        <w:t>Atentamente,</w:t>
      </w:r>
    </w:p>
    <w:p w14:paraId="18FDFEB7" w14:textId="77777777" w:rsidR="00A945C1" w:rsidRPr="009A4A28" w:rsidRDefault="00A945C1" w:rsidP="00A945C1">
      <w:pPr>
        <w:rPr>
          <w:rFonts w:ascii="Arial" w:eastAsia="Times New Roman" w:hAnsi="Arial" w:cs="Arial"/>
          <w:sz w:val="22"/>
          <w:lang w:eastAsia="es-CO"/>
        </w:rPr>
      </w:pPr>
    </w:p>
    <w:p w14:paraId="63217025" w14:textId="36638EF9" w:rsidR="00A945C1" w:rsidRPr="009A4A28" w:rsidRDefault="00C13F7D" w:rsidP="00A945C1">
      <w:pPr>
        <w:jc w:val="center"/>
        <w:rPr>
          <w:rFonts w:ascii="Arial" w:eastAsia="Times New Roman" w:hAnsi="Arial" w:cs="Arial"/>
          <w:sz w:val="18"/>
          <w:szCs w:val="20"/>
          <w:lang w:eastAsia="es-CO"/>
        </w:rPr>
      </w:pPr>
      <w:r w:rsidRPr="009A4A28">
        <w:rPr>
          <w:noProof/>
        </w:rPr>
        <w:drawing>
          <wp:inline distT="0" distB="0" distL="0" distR="0" wp14:anchorId="1D5F828D" wp14:editId="6E708589">
            <wp:extent cx="2600325" cy="14954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600325" cy="1495425"/>
                    </a:xfrm>
                    <a:prstGeom prst="rect">
                      <a:avLst/>
                    </a:prstGeom>
                  </pic:spPr>
                </pic:pic>
              </a:graphicData>
            </a:graphic>
          </wp:inline>
        </w:drawing>
      </w:r>
    </w:p>
    <w:p w14:paraId="2470B895" w14:textId="77777777" w:rsidR="00FA5450" w:rsidRPr="009A4A28" w:rsidRDefault="00FA5450" w:rsidP="00A945C1">
      <w:pPr>
        <w:jc w:val="center"/>
        <w:rPr>
          <w:rFonts w:ascii="Arial" w:eastAsia="Times New Roman" w:hAnsi="Arial" w:cs="Arial"/>
          <w:sz w:val="18"/>
          <w:szCs w:val="20"/>
          <w:lang w:eastAsia="es-CO"/>
        </w:rPr>
      </w:pPr>
    </w:p>
    <w:p w14:paraId="61073C31" w14:textId="77777777" w:rsidR="00DA1ACF" w:rsidRPr="009A4A28" w:rsidRDefault="00DA1ACF" w:rsidP="00A945C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A4A28" w:rsidRPr="009A4A28" w14:paraId="353088E7" w14:textId="77777777" w:rsidTr="00897943">
        <w:trPr>
          <w:trHeight w:val="315"/>
        </w:trPr>
        <w:tc>
          <w:tcPr>
            <w:tcW w:w="488" w:type="dxa"/>
            <w:vAlign w:val="center"/>
            <w:hideMark/>
          </w:tcPr>
          <w:p w14:paraId="14D82817"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386BC5E"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Ximena Ríos López</w:t>
            </w:r>
          </w:p>
          <w:p w14:paraId="22F53CF7"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Gestor T1-11</w:t>
            </w:r>
          </w:p>
        </w:tc>
      </w:tr>
      <w:tr w:rsidR="009A4A28" w:rsidRPr="009A4A28" w14:paraId="0299B004" w14:textId="77777777" w:rsidTr="00897943">
        <w:trPr>
          <w:trHeight w:val="330"/>
        </w:trPr>
        <w:tc>
          <w:tcPr>
            <w:tcW w:w="488" w:type="dxa"/>
            <w:vAlign w:val="center"/>
            <w:hideMark/>
          </w:tcPr>
          <w:p w14:paraId="2200D019"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077165" w14:textId="1234D0CB" w:rsidR="00A945C1" w:rsidRDefault="00DE29D3" w:rsidP="00897943">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61F8030B" w14:textId="4C5568EE" w:rsidR="00DE29D3" w:rsidRPr="009A4A28" w:rsidRDefault="00DE29D3" w:rsidP="00897943">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9A4A28" w:rsidRPr="009A4A28" w14:paraId="17B5B1B1" w14:textId="77777777" w:rsidTr="00897943">
        <w:trPr>
          <w:trHeight w:val="300"/>
        </w:trPr>
        <w:tc>
          <w:tcPr>
            <w:tcW w:w="488" w:type="dxa"/>
            <w:vAlign w:val="center"/>
            <w:hideMark/>
          </w:tcPr>
          <w:p w14:paraId="5D0235F6"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3435DC" w14:textId="77777777" w:rsidR="00963784" w:rsidRPr="009A4A28" w:rsidRDefault="00963784" w:rsidP="00963784">
            <w:pPr>
              <w:rPr>
                <w:rFonts w:ascii="Arial" w:eastAsia="Times New Roman" w:hAnsi="Arial" w:cs="Arial"/>
                <w:sz w:val="16"/>
                <w:szCs w:val="16"/>
                <w:lang w:eastAsia="es-ES"/>
              </w:rPr>
            </w:pPr>
            <w:r w:rsidRPr="009A4A28">
              <w:rPr>
                <w:rFonts w:ascii="Arial" w:eastAsia="Times New Roman" w:hAnsi="Arial" w:cs="Arial"/>
                <w:sz w:val="16"/>
                <w:szCs w:val="16"/>
                <w:lang w:eastAsia="es-ES"/>
              </w:rPr>
              <w:t>Andrés Ricardo Mancipe González</w:t>
            </w:r>
          </w:p>
          <w:p w14:paraId="0F8FB8EA" w14:textId="3E02E880" w:rsidR="00A945C1" w:rsidRPr="009A4A28" w:rsidRDefault="00963784" w:rsidP="00963784">
            <w:pPr>
              <w:rPr>
                <w:rFonts w:ascii="Arial" w:eastAsia="Times New Roman" w:hAnsi="Arial" w:cs="Arial"/>
                <w:sz w:val="16"/>
                <w:szCs w:val="16"/>
                <w:lang w:eastAsia="es-ES"/>
              </w:rPr>
            </w:pPr>
            <w:r w:rsidRPr="009A4A28">
              <w:rPr>
                <w:rFonts w:ascii="Arial" w:eastAsia="Times New Roman" w:hAnsi="Arial" w:cs="Arial"/>
                <w:sz w:val="16"/>
                <w:szCs w:val="16"/>
                <w:lang w:eastAsia="es-ES"/>
              </w:rPr>
              <w:t>Subdirector de Gestión Contractual (E)</w:t>
            </w:r>
          </w:p>
        </w:tc>
      </w:tr>
      <w:tr w:rsidR="00A945C1" w:rsidRPr="009A4A28" w14:paraId="1E8AD368" w14:textId="77777777" w:rsidTr="00897943">
        <w:trPr>
          <w:trHeight w:val="300"/>
        </w:trPr>
        <w:tc>
          <w:tcPr>
            <w:tcW w:w="488" w:type="dxa"/>
            <w:vAlign w:val="center"/>
            <w:hideMark/>
          </w:tcPr>
          <w:p w14:paraId="306E8E1F"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F054B" w14:textId="77777777" w:rsidR="00A945C1" w:rsidRPr="009A4A28" w:rsidRDefault="00A945C1" w:rsidP="00897943">
            <w:pPr>
              <w:rPr>
                <w:rFonts w:ascii="Arial" w:eastAsia="Times New Roman" w:hAnsi="Arial" w:cs="Arial"/>
                <w:sz w:val="16"/>
                <w:szCs w:val="16"/>
                <w:lang w:eastAsia="es-ES"/>
              </w:rPr>
            </w:pPr>
            <w:r w:rsidRPr="009A4A28">
              <w:rPr>
                <w:rFonts w:ascii="Arial" w:eastAsia="Times New Roman" w:hAnsi="Arial" w:cs="Arial"/>
                <w:sz w:val="16"/>
                <w:szCs w:val="16"/>
                <w:lang w:eastAsia="es-ES"/>
              </w:rPr>
              <w:t>0</w:t>
            </w:r>
          </w:p>
        </w:tc>
      </w:tr>
    </w:tbl>
    <w:p w14:paraId="4EDD095B" w14:textId="77777777" w:rsidR="00A945C1" w:rsidRPr="009A4A28" w:rsidRDefault="00A945C1" w:rsidP="00A945C1">
      <w:pPr>
        <w:jc w:val="both"/>
        <w:rPr>
          <w:rFonts w:ascii="Arial" w:eastAsia="Calibri" w:hAnsi="Arial" w:cs="Arial"/>
          <w:sz w:val="22"/>
        </w:rPr>
      </w:pPr>
    </w:p>
    <w:p w14:paraId="10BCDA54" w14:textId="77777777" w:rsidR="00A945C1" w:rsidRPr="009A4A28" w:rsidRDefault="00A945C1" w:rsidP="00A945C1"/>
    <w:bookmarkEnd w:id="0"/>
    <w:p w14:paraId="7EBF297E" w14:textId="77777777" w:rsidR="007B0854" w:rsidRPr="009A4A28" w:rsidRDefault="007B0854" w:rsidP="00A945C1">
      <w:pPr>
        <w:pStyle w:val="Prrafodelista"/>
        <w:tabs>
          <w:tab w:val="left" w:pos="284"/>
        </w:tabs>
        <w:spacing w:line="276" w:lineRule="auto"/>
        <w:ind w:left="0"/>
        <w:jc w:val="both"/>
        <w:rPr>
          <w:rFonts w:ascii="Arial" w:eastAsia="Calibri" w:hAnsi="Arial" w:cs="Arial"/>
          <w:sz w:val="22"/>
        </w:rPr>
      </w:pPr>
    </w:p>
    <w:sectPr w:rsidR="007B0854" w:rsidRPr="009A4A2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53F35" w14:textId="77777777" w:rsidR="005E1B99" w:rsidRDefault="005E1B99">
      <w:r>
        <w:separator/>
      </w:r>
    </w:p>
  </w:endnote>
  <w:endnote w:type="continuationSeparator" w:id="0">
    <w:p w14:paraId="6E0222EB" w14:textId="77777777" w:rsidR="005E1B99" w:rsidRDefault="005E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897943" w:rsidRDefault="00897943" w:rsidP="007B0854">
    <w:pPr>
      <w:pStyle w:val="Sinespaciado"/>
      <w:jc w:val="center"/>
      <w:rPr>
        <w:rFonts w:ascii="Arial" w:hAnsi="Arial" w:cs="Arial"/>
        <w:sz w:val="18"/>
        <w:szCs w:val="18"/>
      </w:rPr>
    </w:pPr>
  </w:p>
  <w:p w14:paraId="312C4A14" w14:textId="1CC17C36" w:rsidR="00897943" w:rsidRPr="005A79FE" w:rsidRDefault="00897943"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897943" w:rsidRDefault="00897943"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897943" w:rsidRPr="007B0854" w:rsidRDefault="0089794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B1F1" w14:textId="77777777" w:rsidR="005E1B99" w:rsidRDefault="005E1B99">
      <w:r>
        <w:separator/>
      </w:r>
    </w:p>
  </w:footnote>
  <w:footnote w:type="continuationSeparator" w:id="0">
    <w:p w14:paraId="5C1EC272" w14:textId="77777777" w:rsidR="005E1B99" w:rsidRDefault="005E1B99">
      <w:r>
        <w:continuationSeparator/>
      </w:r>
    </w:p>
  </w:footnote>
  <w:footnote w:id="1">
    <w:p w14:paraId="3A42D1F5" w14:textId="6D652B9E" w:rsidR="000D0DB2" w:rsidRPr="009A4A28" w:rsidRDefault="000D0DB2" w:rsidP="006441DA">
      <w:pPr>
        <w:pStyle w:val="Textonotapie"/>
        <w:ind w:firstLine="708"/>
        <w:jc w:val="both"/>
        <w:rPr>
          <w:rFonts w:ascii="Arial" w:eastAsia="Calibri" w:hAnsi="Arial"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w:t>
      </w:r>
      <w:r w:rsidRPr="009A4A28">
        <w:rPr>
          <w:rFonts w:ascii="Arial" w:eastAsia="Calibri" w:hAnsi="Arial" w:cs="Arial"/>
          <w:sz w:val="19"/>
          <w:szCs w:val="19"/>
        </w:rPr>
        <w:t>Decreto 342 de 2019</w:t>
      </w:r>
      <w:r w:rsidR="004015A7" w:rsidRPr="009A4A28">
        <w:rPr>
          <w:rFonts w:ascii="Arial" w:eastAsia="Calibri" w:hAnsi="Arial" w:cs="Arial"/>
          <w:sz w:val="19"/>
          <w:szCs w:val="19"/>
        </w:rPr>
        <w:t>: «</w:t>
      </w:r>
      <w:r w:rsidRPr="009A4A28">
        <w:rPr>
          <w:rFonts w:ascii="Arial" w:eastAsia="Calibri" w:hAnsi="Arial" w:cs="Arial"/>
          <w:sz w:val="19"/>
          <w:szCs w:val="19"/>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5903FCA2" w14:textId="2E1276DD" w:rsidR="000D0DB2" w:rsidRPr="009A4A28" w:rsidRDefault="004015A7" w:rsidP="006441DA">
      <w:pPr>
        <w:pStyle w:val="Textonotapie"/>
        <w:ind w:firstLine="708"/>
        <w:jc w:val="both"/>
        <w:rPr>
          <w:rFonts w:ascii="Arial" w:eastAsia="Calibri" w:hAnsi="Arial" w:cs="Arial"/>
          <w:sz w:val="19"/>
          <w:szCs w:val="19"/>
        </w:rPr>
      </w:pPr>
      <w:r w:rsidRPr="009A4A28">
        <w:rPr>
          <w:rFonts w:ascii="Arial" w:eastAsia="Calibri" w:hAnsi="Arial" w:cs="Arial"/>
          <w:sz w:val="19"/>
          <w:szCs w:val="19"/>
        </w:rPr>
        <w:t>»</w:t>
      </w:r>
      <w:r w:rsidR="000D0DB2" w:rsidRPr="009A4A28">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52ECFB58" w14:textId="2482D405" w:rsidR="000D0DB2" w:rsidRPr="009A4A28" w:rsidRDefault="004015A7" w:rsidP="006441DA">
      <w:pPr>
        <w:pStyle w:val="Textonotapie"/>
        <w:ind w:firstLine="708"/>
        <w:jc w:val="both"/>
        <w:rPr>
          <w:rFonts w:ascii="Arial" w:eastAsia="Calibri" w:hAnsi="Arial" w:cs="Arial"/>
          <w:sz w:val="19"/>
          <w:szCs w:val="19"/>
        </w:rPr>
      </w:pPr>
      <w:r w:rsidRPr="009A4A28">
        <w:rPr>
          <w:rFonts w:ascii="Arial" w:eastAsia="Calibri" w:hAnsi="Arial" w:cs="Arial"/>
          <w:sz w:val="19"/>
          <w:szCs w:val="19"/>
        </w:rPr>
        <w:t>»</w:t>
      </w:r>
      <w:r w:rsidR="000D0DB2" w:rsidRPr="009A4A28">
        <w:rPr>
          <w:rFonts w:ascii="Arial" w:eastAsia="Calibri" w:hAnsi="Arial" w:cs="Arial"/>
          <w:sz w:val="19"/>
          <w:szCs w:val="19"/>
        </w:rPr>
        <w:t>2. Conservar los requisitos exigidos en los Documentos Tipo.</w:t>
      </w:r>
    </w:p>
    <w:p w14:paraId="27FB0780" w14:textId="4A0C7B6A" w:rsidR="000D0DB2" w:rsidRPr="009A4A28" w:rsidRDefault="004015A7" w:rsidP="006441DA">
      <w:pPr>
        <w:pStyle w:val="Textonotapie"/>
        <w:ind w:firstLine="708"/>
        <w:jc w:val="both"/>
        <w:rPr>
          <w:rFonts w:ascii="Arial" w:eastAsia="Calibri" w:hAnsi="Arial" w:cs="Arial"/>
          <w:sz w:val="19"/>
          <w:szCs w:val="19"/>
        </w:rPr>
      </w:pPr>
      <w:r w:rsidRPr="009A4A28">
        <w:rPr>
          <w:rFonts w:ascii="Arial" w:eastAsia="Calibri" w:hAnsi="Arial" w:cs="Arial"/>
          <w:sz w:val="19"/>
          <w:szCs w:val="19"/>
        </w:rPr>
        <w:t>»</w:t>
      </w:r>
      <w:r w:rsidR="000D0DB2" w:rsidRPr="009A4A28">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4073D94B" w14:textId="0F3ABF43" w:rsidR="004015A7" w:rsidRPr="009A4A28" w:rsidRDefault="004015A7" w:rsidP="00EC3DFE">
      <w:pPr>
        <w:pStyle w:val="Textonotapie"/>
        <w:ind w:firstLine="708"/>
        <w:jc w:val="both"/>
        <w:rPr>
          <w:rFonts w:ascii="Arial" w:hAnsi="Arial" w:cs="Arial"/>
          <w:sz w:val="19"/>
          <w:szCs w:val="19"/>
          <w:lang w:val="es-ES"/>
        </w:rPr>
      </w:pPr>
      <w:r w:rsidRPr="009A4A28">
        <w:rPr>
          <w:rFonts w:ascii="Arial" w:eastAsia="Calibri" w:hAnsi="Arial" w:cs="Arial"/>
          <w:sz w:val="19"/>
          <w:szCs w:val="19"/>
        </w:rPr>
        <w:t>»</w:t>
      </w:r>
      <w:r w:rsidR="000D0DB2" w:rsidRPr="009A4A28">
        <w:rPr>
          <w:rFonts w:ascii="Arial" w:eastAsia="Calibri" w:hAnsi="Arial" w:cs="Arial"/>
          <w:sz w:val="19"/>
          <w:szCs w:val="19"/>
        </w:rPr>
        <w:t>4. Clasificar la experiencia requerida solo hasta el tercer nivel del Clasificador de Bienes y Servicios e incluir exclusivamente los códigos que estén relacionados directamente con el objeto a contratar</w:t>
      </w:r>
      <w:r w:rsidRPr="009A4A28">
        <w:rPr>
          <w:rFonts w:ascii="Arial" w:eastAsia="Calibri" w:hAnsi="Arial" w:cs="Arial"/>
          <w:sz w:val="19"/>
          <w:szCs w:val="19"/>
        </w:rPr>
        <w:t>»</w:t>
      </w:r>
      <w:r w:rsidR="000D0DB2" w:rsidRPr="009A4A28">
        <w:rPr>
          <w:rFonts w:ascii="Arial" w:eastAsia="Calibri" w:hAnsi="Arial" w:cs="Arial"/>
          <w:sz w:val="19"/>
          <w:szCs w:val="19"/>
        </w:rPr>
        <w:t>.</w:t>
      </w:r>
    </w:p>
  </w:footnote>
  <w:footnote w:id="2">
    <w:p w14:paraId="4C137DD4" w14:textId="77777777" w:rsidR="001F49CD" w:rsidRPr="009A4A28" w:rsidRDefault="001F49CD" w:rsidP="001F49CD">
      <w:pPr>
        <w:pStyle w:val="Textonotapie"/>
        <w:ind w:firstLine="708"/>
        <w:jc w:val="both"/>
        <w:rPr>
          <w:rFonts w:ascii="Arial" w:hAnsi="Arial" w:cs="Arial"/>
          <w:sz w:val="19"/>
          <w:szCs w:val="19"/>
        </w:rPr>
      </w:pPr>
      <w:r w:rsidRPr="009A4A28">
        <w:rPr>
          <w:rStyle w:val="Refdenotaalpie"/>
          <w:rFonts w:ascii="Arial" w:hAnsi="Arial" w:cs="Arial"/>
          <w:sz w:val="19"/>
          <w:szCs w:val="19"/>
        </w:rPr>
        <w:footnoteRef/>
      </w:r>
      <w:r w:rsidRPr="009A4A28">
        <w:rPr>
          <w:rFonts w:ascii="Arial" w:hAnsi="Arial" w:cs="Arial"/>
          <w:sz w:val="19"/>
          <w:szCs w:val="19"/>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897943" w:rsidRDefault="00897943">
    <w:pPr>
      <w:pStyle w:val="Encabezado"/>
    </w:pPr>
  </w:p>
  <w:p w14:paraId="6A4C7F2C" w14:textId="7D093DBB" w:rsidR="00897943" w:rsidRDefault="00897943">
    <w:pPr>
      <w:pStyle w:val="Encabezado"/>
    </w:pPr>
  </w:p>
  <w:p w14:paraId="055F2E1F" w14:textId="0B935ADD" w:rsidR="00897943" w:rsidRDefault="00897943">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897943" w:rsidRDefault="00897943">
    <w:pPr>
      <w:pStyle w:val="Encabezado"/>
    </w:pPr>
  </w:p>
  <w:p w14:paraId="3D323BDB" w14:textId="04AF0DE6" w:rsidR="00897943" w:rsidRDefault="00897943">
    <w:pPr>
      <w:pStyle w:val="Encabezado"/>
    </w:pPr>
  </w:p>
  <w:p w14:paraId="6520770B" w14:textId="18EB07B5" w:rsidR="00897943" w:rsidRDefault="00897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8AA"/>
    <w:rsid w:val="00010979"/>
    <w:rsid w:val="000231D8"/>
    <w:rsid w:val="00027ABA"/>
    <w:rsid w:val="00035FBD"/>
    <w:rsid w:val="00041ECC"/>
    <w:rsid w:val="0004309E"/>
    <w:rsid w:val="000942EB"/>
    <w:rsid w:val="000B103F"/>
    <w:rsid w:val="000D0DB2"/>
    <w:rsid w:val="000D27C4"/>
    <w:rsid w:val="000E4342"/>
    <w:rsid w:val="000F14E8"/>
    <w:rsid w:val="00103915"/>
    <w:rsid w:val="0010586E"/>
    <w:rsid w:val="00122B23"/>
    <w:rsid w:val="00122D9B"/>
    <w:rsid w:val="00124FC1"/>
    <w:rsid w:val="00125630"/>
    <w:rsid w:val="00137FFA"/>
    <w:rsid w:val="00142106"/>
    <w:rsid w:val="00145E82"/>
    <w:rsid w:val="0014613F"/>
    <w:rsid w:val="0017348D"/>
    <w:rsid w:val="001746D4"/>
    <w:rsid w:val="00197327"/>
    <w:rsid w:val="0019793F"/>
    <w:rsid w:val="00197ADD"/>
    <w:rsid w:val="001A1007"/>
    <w:rsid w:val="001B7014"/>
    <w:rsid w:val="001D20CD"/>
    <w:rsid w:val="001D3005"/>
    <w:rsid w:val="001E053F"/>
    <w:rsid w:val="001F49CD"/>
    <w:rsid w:val="00234B84"/>
    <w:rsid w:val="002351A0"/>
    <w:rsid w:val="0024086E"/>
    <w:rsid w:val="0025225C"/>
    <w:rsid w:val="002638A9"/>
    <w:rsid w:val="002826C0"/>
    <w:rsid w:val="002A171C"/>
    <w:rsid w:val="002B637D"/>
    <w:rsid w:val="002C7489"/>
    <w:rsid w:val="003033BA"/>
    <w:rsid w:val="003132A3"/>
    <w:rsid w:val="003408FE"/>
    <w:rsid w:val="0034412E"/>
    <w:rsid w:val="00345843"/>
    <w:rsid w:val="00346338"/>
    <w:rsid w:val="0034680A"/>
    <w:rsid w:val="003620E1"/>
    <w:rsid w:val="003766A6"/>
    <w:rsid w:val="00376712"/>
    <w:rsid w:val="0037725F"/>
    <w:rsid w:val="00386456"/>
    <w:rsid w:val="003A4C3D"/>
    <w:rsid w:val="003A581E"/>
    <w:rsid w:val="003E0AB0"/>
    <w:rsid w:val="004015A7"/>
    <w:rsid w:val="004071F5"/>
    <w:rsid w:val="0041235E"/>
    <w:rsid w:val="004213E6"/>
    <w:rsid w:val="004422D6"/>
    <w:rsid w:val="00451CB4"/>
    <w:rsid w:val="00460876"/>
    <w:rsid w:val="00464F10"/>
    <w:rsid w:val="00466FE8"/>
    <w:rsid w:val="00487D0D"/>
    <w:rsid w:val="00494D08"/>
    <w:rsid w:val="004A34D2"/>
    <w:rsid w:val="004A5B4D"/>
    <w:rsid w:val="004F0E02"/>
    <w:rsid w:val="00505631"/>
    <w:rsid w:val="0051074C"/>
    <w:rsid w:val="00511F0A"/>
    <w:rsid w:val="00513AF2"/>
    <w:rsid w:val="00523D5F"/>
    <w:rsid w:val="0054413A"/>
    <w:rsid w:val="00547FF4"/>
    <w:rsid w:val="005564CA"/>
    <w:rsid w:val="00562817"/>
    <w:rsid w:val="00566472"/>
    <w:rsid w:val="00567074"/>
    <w:rsid w:val="00581D70"/>
    <w:rsid w:val="005A79FE"/>
    <w:rsid w:val="005C1EA6"/>
    <w:rsid w:val="005C59C8"/>
    <w:rsid w:val="005D46AC"/>
    <w:rsid w:val="005E1B99"/>
    <w:rsid w:val="005F11D1"/>
    <w:rsid w:val="005F1448"/>
    <w:rsid w:val="005F39A2"/>
    <w:rsid w:val="006131E1"/>
    <w:rsid w:val="00627FA4"/>
    <w:rsid w:val="006441DA"/>
    <w:rsid w:val="00654542"/>
    <w:rsid w:val="00655371"/>
    <w:rsid w:val="00664A94"/>
    <w:rsid w:val="006838BB"/>
    <w:rsid w:val="0069051D"/>
    <w:rsid w:val="006908F4"/>
    <w:rsid w:val="00691333"/>
    <w:rsid w:val="006918B3"/>
    <w:rsid w:val="00696FAD"/>
    <w:rsid w:val="00697665"/>
    <w:rsid w:val="006A1E97"/>
    <w:rsid w:val="006A7FD0"/>
    <w:rsid w:val="006B3BB5"/>
    <w:rsid w:val="006B6FCB"/>
    <w:rsid w:val="006C73E7"/>
    <w:rsid w:val="006D7687"/>
    <w:rsid w:val="006E0572"/>
    <w:rsid w:val="006F6EB9"/>
    <w:rsid w:val="00700A94"/>
    <w:rsid w:val="00705631"/>
    <w:rsid w:val="00706DB7"/>
    <w:rsid w:val="00707240"/>
    <w:rsid w:val="007106DA"/>
    <w:rsid w:val="00712060"/>
    <w:rsid w:val="00724FA3"/>
    <w:rsid w:val="00725ECD"/>
    <w:rsid w:val="00742DD2"/>
    <w:rsid w:val="0075647A"/>
    <w:rsid w:val="007634AD"/>
    <w:rsid w:val="0077157E"/>
    <w:rsid w:val="00776C38"/>
    <w:rsid w:val="00777245"/>
    <w:rsid w:val="0078122E"/>
    <w:rsid w:val="007865C2"/>
    <w:rsid w:val="00787D11"/>
    <w:rsid w:val="007976FB"/>
    <w:rsid w:val="007A1EA2"/>
    <w:rsid w:val="007A2272"/>
    <w:rsid w:val="007B0854"/>
    <w:rsid w:val="007B6449"/>
    <w:rsid w:val="007C1187"/>
    <w:rsid w:val="007C147D"/>
    <w:rsid w:val="007C7A5C"/>
    <w:rsid w:val="007E689F"/>
    <w:rsid w:val="007E75DE"/>
    <w:rsid w:val="007F1DD3"/>
    <w:rsid w:val="007F390C"/>
    <w:rsid w:val="007F72CB"/>
    <w:rsid w:val="00803BE6"/>
    <w:rsid w:val="0080776D"/>
    <w:rsid w:val="00822915"/>
    <w:rsid w:val="008243F2"/>
    <w:rsid w:val="0083119B"/>
    <w:rsid w:val="00836EAB"/>
    <w:rsid w:val="00841FF1"/>
    <w:rsid w:val="0085092D"/>
    <w:rsid w:val="008526AF"/>
    <w:rsid w:val="00860CDF"/>
    <w:rsid w:val="0088474C"/>
    <w:rsid w:val="0089404F"/>
    <w:rsid w:val="00897943"/>
    <w:rsid w:val="008B1D94"/>
    <w:rsid w:val="008D7194"/>
    <w:rsid w:val="008E1C15"/>
    <w:rsid w:val="008E5456"/>
    <w:rsid w:val="00901EC2"/>
    <w:rsid w:val="009047C5"/>
    <w:rsid w:val="009307A1"/>
    <w:rsid w:val="00937E03"/>
    <w:rsid w:val="00941B4B"/>
    <w:rsid w:val="0095385A"/>
    <w:rsid w:val="00963569"/>
    <w:rsid w:val="00963784"/>
    <w:rsid w:val="00970E87"/>
    <w:rsid w:val="00977F75"/>
    <w:rsid w:val="009962F4"/>
    <w:rsid w:val="009A247F"/>
    <w:rsid w:val="009A42A4"/>
    <w:rsid w:val="009A4A28"/>
    <w:rsid w:val="009B62DB"/>
    <w:rsid w:val="009C2458"/>
    <w:rsid w:val="009D0C84"/>
    <w:rsid w:val="00A24560"/>
    <w:rsid w:val="00A34538"/>
    <w:rsid w:val="00A3490D"/>
    <w:rsid w:val="00A34DFB"/>
    <w:rsid w:val="00A429B5"/>
    <w:rsid w:val="00A55DD5"/>
    <w:rsid w:val="00A6721F"/>
    <w:rsid w:val="00A75945"/>
    <w:rsid w:val="00A84A49"/>
    <w:rsid w:val="00A945C1"/>
    <w:rsid w:val="00AA442B"/>
    <w:rsid w:val="00AB19AD"/>
    <w:rsid w:val="00AB1D78"/>
    <w:rsid w:val="00AC3FB0"/>
    <w:rsid w:val="00AC6173"/>
    <w:rsid w:val="00B2019B"/>
    <w:rsid w:val="00B226F6"/>
    <w:rsid w:val="00B22E22"/>
    <w:rsid w:val="00B525CB"/>
    <w:rsid w:val="00B53F15"/>
    <w:rsid w:val="00B63C03"/>
    <w:rsid w:val="00B63CB2"/>
    <w:rsid w:val="00B67F34"/>
    <w:rsid w:val="00B95151"/>
    <w:rsid w:val="00BC6417"/>
    <w:rsid w:val="00BD78FE"/>
    <w:rsid w:val="00BE0980"/>
    <w:rsid w:val="00BE4067"/>
    <w:rsid w:val="00BF215D"/>
    <w:rsid w:val="00C00B91"/>
    <w:rsid w:val="00C11860"/>
    <w:rsid w:val="00C13F7D"/>
    <w:rsid w:val="00C145F3"/>
    <w:rsid w:val="00C163A4"/>
    <w:rsid w:val="00C3439C"/>
    <w:rsid w:val="00C36036"/>
    <w:rsid w:val="00C43635"/>
    <w:rsid w:val="00C44FE6"/>
    <w:rsid w:val="00C57BDD"/>
    <w:rsid w:val="00C6620F"/>
    <w:rsid w:val="00C74B91"/>
    <w:rsid w:val="00C8140C"/>
    <w:rsid w:val="00C9016E"/>
    <w:rsid w:val="00CA287E"/>
    <w:rsid w:val="00CB00C5"/>
    <w:rsid w:val="00CC00CD"/>
    <w:rsid w:val="00CD75EC"/>
    <w:rsid w:val="00CF7B1D"/>
    <w:rsid w:val="00D03173"/>
    <w:rsid w:val="00D101E9"/>
    <w:rsid w:val="00D15514"/>
    <w:rsid w:val="00D16E39"/>
    <w:rsid w:val="00D44F8C"/>
    <w:rsid w:val="00D72E9D"/>
    <w:rsid w:val="00D73FD3"/>
    <w:rsid w:val="00D766B8"/>
    <w:rsid w:val="00D80630"/>
    <w:rsid w:val="00D82CE5"/>
    <w:rsid w:val="00DA1ACF"/>
    <w:rsid w:val="00DA260B"/>
    <w:rsid w:val="00DA5AB1"/>
    <w:rsid w:val="00DA6592"/>
    <w:rsid w:val="00DB6039"/>
    <w:rsid w:val="00DC62E5"/>
    <w:rsid w:val="00DC6A38"/>
    <w:rsid w:val="00DD735D"/>
    <w:rsid w:val="00DE29D3"/>
    <w:rsid w:val="00DE3119"/>
    <w:rsid w:val="00DE73B4"/>
    <w:rsid w:val="00DF236B"/>
    <w:rsid w:val="00DF5F44"/>
    <w:rsid w:val="00E13AB8"/>
    <w:rsid w:val="00E33B62"/>
    <w:rsid w:val="00E368D8"/>
    <w:rsid w:val="00E47408"/>
    <w:rsid w:val="00E51E69"/>
    <w:rsid w:val="00E60329"/>
    <w:rsid w:val="00E76DDD"/>
    <w:rsid w:val="00E84881"/>
    <w:rsid w:val="00E86F09"/>
    <w:rsid w:val="00E953C5"/>
    <w:rsid w:val="00EA7835"/>
    <w:rsid w:val="00EB2EDC"/>
    <w:rsid w:val="00EB643A"/>
    <w:rsid w:val="00EC3DFE"/>
    <w:rsid w:val="00ED5AB4"/>
    <w:rsid w:val="00ED7ECF"/>
    <w:rsid w:val="00EF4809"/>
    <w:rsid w:val="00F071F7"/>
    <w:rsid w:val="00F0743E"/>
    <w:rsid w:val="00F11F68"/>
    <w:rsid w:val="00F2543D"/>
    <w:rsid w:val="00F42BD4"/>
    <w:rsid w:val="00F5043C"/>
    <w:rsid w:val="00F54D7D"/>
    <w:rsid w:val="00F82838"/>
    <w:rsid w:val="00F84899"/>
    <w:rsid w:val="00F859F0"/>
    <w:rsid w:val="00F9101B"/>
    <w:rsid w:val="00F91722"/>
    <w:rsid w:val="00F97EA8"/>
    <w:rsid w:val="00FA1DA9"/>
    <w:rsid w:val="00FA5084"/>
    <w:rsid w:val="00FA5450"/>
    <w:rsid w:val="00FC11D1"/>
    <w:rsid w:val="00FC2F33"/>
    <w:rsid w:val="00FE141E"/>
    <w:rsid w:val="00FF0BEB"/>
    <w:rsid w:val="00FF4F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_layouts/15/MS.InformationManagement.Metadata/DocumentType.aspx?mode=view</Display>
  <Edit>_layouts/15/MS.InformationManagement.Metadata/DocumentType.aspx?mode=edit</Edit>
  <New>_layouts/15/MS.InformationManagement.Metadata/DocumentType.aspx?mode=new</New>
</FormUrl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2.xml><?xml version="1.0" encoding="utf-8"?>
<ds:datastoreItem xmlns:ds="http://schemas.openxmlformats.org/officeDocument/2006/customXml" ds:itemID="{25942184-946D-430D-92E6-2B7677246C86}">
  <ds:schemaRefs>
    <ds:schemaRef ds:uri="http://schemas.microsoft.com/sharepoint/v3/contenttype/forms/url"/>
  </ds:schemaRefs>
</ds:datastoreItem>
</file>

<file path=customXml/itemProps3.xml><?xml version="1.0" encoding="utf-8"?>
<ds:datastoreItem xmlns:ds="http://schemas.openxmlformats.org/officeDocument/2006/customXml" ds:itemID="{53E6145C-CB52-47B8-9ED1-7639ACBCF45C}"/>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6.xml><?xml version="1.0" encoding="utf-8"?>
<ds:datastoreItem xmlns:ds="http://schemas.openxmlformats.org/officeDocument/2006/customXml" ds:itemID="{05ACE1A0-005A-4DBD-B2FD-B8C5E2BFC170}"/>
</file>

<file path=docProps/app.xml><?xml version="1.0" encoding="utf-8"?>
<Properties xmlns="http://schemas.openxmlformats.org/officeDocument/2006/extended-properties" xmlns:vt="http://schemas.openxmlformats.org/officeDocument/2006/docPropsVTypes">
  <Template>Respuesta a consultas</Template>
  <TotalTime>4</TotalTime>
  <Pages>9</Pages>
  <Words>3299</Words>
  <Characters>18148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Ximena</cp:lastModifiedBy>
  <cp:revision>2</cp:revision>
  <dcterms:created xsi:type="dcterms:W3CDTF">2020-09-08T14:39:00Z</dcterms:created>
  <dcterms:modified xsi:type="dcterms:W3CDTF">2020-09-08T14:39:00Z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