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A20408" w:rsidR="00A20408" w:rsidP="000C5F4C" w:rsidRDefault="00A20408" w14:paraId="6F808561" w14:textId="77777777">
      <w:pPr>
        <w:pStyle w:val="Textoindependiente"/>
        <w:ind w:left="300" w:right="303"/>
        <w:jc w:val="both"/>
        <w:rPr>
          <w:b/>
          <w:bCs/>
          <w:color w:val="000000" w:themeColor="text1"/>
          <w:sz w:val="20"/>
          <w:szCs w:val="20"/>
        </w:rPr>
      </w:pPr>
    </w:p>
    <w:p w:rsidRPr="00CB3E85" w:rsidR="00E55CC3" w:rsidP="000C5F4C" w:rsidRDefault="00E55CC3" w14:paraId="5ACB0410" w14:textId="24A2492B">
      <w:pPr>
        <w:pStyle w:val="Textoindependiente"/>
        <w:ind w:left="300" w:right="303"/>
        <w:jc w:val="both"/>
        <w:rPr>
          <w:b w:val="1"/>
          <w:bCs w:val="1"/>
          <w:color w:val="000000" w:themeColor="text1"/>
        </w:rPr>
      </w:pPr>
      <w:r w:rsidRPr="13CCD7CC" w:rsidR="1D72C5A1">
        <w:rPr>
          <w:b w:val="1"/>
          <w:bCs w:val="1"/>
          <w:color w:val="000000" w:themeColor="text1" w:themeTint="FF" w:themeShade="FF"/>
        </w:rPr>
        <w:t>DOCUMENTOS TIPO</w:t>
      </w:r>
      <w:r w:rsidRPr="13CCD7CC" w:rsidR="00E55CC3">
        <w:rPr>
          <w:b w:val="1"/>
          <w:bCs w:val="1"/>
          <w:color w:val="000000" w:themeColor="text1" w:themeTint="FF" w:themeShade="FF"/>
        </w:rPr>
        <w:t xml:space="preserve"> </w:t>
      </w:r>
      <w:r w:rsidRPr="13CCD7CC" w:rsidR="00CB3E85">
        <w:rPr>
          <w:b w:val="1"/>
          <w:bCs w:val="1"/>
          <w:color w:val="000000" w:themeColor="text1" w:themeTint="FF" w:themeShade="FF"/>
        </w:rPr>
        <w:t>–</w:t>
      </w:r>
      <w:r w:rsidRPr="13CCD7CC" w:rsidR="00E55CC3">
        <w:rPr>
          <w:b w:val="1"/>
          <w:bCs w:val="1"/>
          <w:color w:val="000000" w:themeColor="text1" w:themeTint="FF" w:themeShade="FF"/>
        </w:rPr>
        <w:t xml:space="preserve"> </w:t>
      </w:r>
      <w:r w:rsidRPr="13CCD7CC" w:rsidR="004E0772">
        <w:rPr>
          <w:b w:val="1"/>
          <w:bCs w:val="1"/>
          <w:color w:val="000000" w:themeColor="text1" w:themeTint="FF" w:themeShade="FF"/>
        </w:rPr>
        <w:t>P</w:t>
      </w:r>
      <w:r w:rsidRPr="13CCD7CC" w:rsidR="00E55CC3">
        <w:rPr>
          <w:b w:val="1"/>
          <w:bCs w:val="1"/>
          <w:color w:val="000000" w:themeColor="text1" w:themeTint="FF" w:themeShade="FF"/>
        </w:rPr>
        <w:t>ropuesta económica</w:t>
      </w:r>
      <w:r w:rsidRPr="13CCD7CC" w:rsidR="004E0772">
        <w:rPr>
          <w:b w:val="1"/>
          <w:bCs w:val="1"/>
          <w:color w:val="000000" w:themeColor="text1" w:themeTint="FF" w:themeShade="FF"/>
        </w:rPr>
        <w:t xml:space="preserve"> </w:t>
      </w:r>
      <w:r w:rsidRPr="13CCD7CC" w:rsidR="00CB3E85">
        <w:rPr>
          <w:b w:val="1"/>
          <w:bCs w:val="1"/>
          <w:color w:val="000000" w:themeColor="text1" w:themeTint="FF" w:themeShade="FF"/>
        </w:rPr>
        <w:t>–</w:t>
      </w:r>
      <w:r w:rsidRPr="13CCD7CC" w:rsidR="004E0772">
        <w:rPr>
          <w:b w:val="1"/>
          <w:bCs w:val="1"/>
          <w:color w:val="000000" w:themeColor="text1" w:themeTint="FF" w:themeShade="FF"/>
        </w:rPr>
        <w:t xml:space="preserve"> Ponderación </w:t>
      </w:r>
      <w:r w:rsidRPr="13CCD7CC" w:rsidR="00CB3E85">
        <w:rPr>
          <w:b w:val="1"/>
          <w:bCs w:val="1"/>
          <w:color w:val="000000" w:themeColor="text1" w:themeTint="FF" w:themeShade="FF"/>
        </w:rPr>
        <w:t>–</w:t>
      </w:r>
      <w:r w:rsidRPr="13CCD7CC" w:rsidR="004E0772">
        <w:rPr>
          <w:b w:val="1"/>
          <w:bCs w:val="1"/>
          <w:color w:val="000000" w:themeColor="text1" w:themeTint="FF" w:themeShade="FF"/>
        </w:rPr>
        <w:t xml:space="preserve"> </w:t>
      </w:r>
      <w:r w:rsidRPr="13CCD7CC" w:rsidR="00A2590C">
        <w:rPr>
          <w:b w:val="1"/>
          <w:bCs w:val="1"/>
          <w:color w:val="000000" w:themeColor="text1" w:themeTint="FF" w:themeShade="FF"/>
        </w:rPr>
        <w:t>Métodos</w:t>
      </w:r>
    </w:p>
    <w:p w:rsidRPr="00CB3E85" w:rsidR="00E55CC3" w:rsidP="000C5F4C" w:rsidRDefault="00E55CC3" w14:paraId="3967BFF1" w14:textId="77777777">
      <w:pPr>
        <w:pStyle w:val="Textoindependiente"/>
        <w:ind w:left="300" w:right="303"/>
        <w:jc w:val="both"/>
        <w:rPr>
          <w:color w:val="000000" w:themeColor="text1"/>
          <w:sz w:val="21"/>
          <w:szCs w:val="21"/>
        </w:rPr>
      </w:pPr>
    </w:p>
    <w:p w:rsidRPr="00CB3E85" w:rsidR="00E55CC3" w:rsidP="000C5F4C" w:rsidRDefault="00E55CC3" w14:paraId="5C3B4A21" w14:textId="77777777">
      <w:pPr>
        <w:pStyle w:val="Textoindependiente"/>
        <w:ind w:left="300" w:right="303"/>
        <w:jc w:val="both"/>
        <w:rPr>
          <w:color w:val="000000" w:themeColor="text1"/>
          <w:sz w:val="20"/>
          <w:szCs w:val="20"/>
        </w:rPr>
      </w:pPr>
      <w:r w:rsidRPr="00CB3E85">
        <w:rPr>
          <w:color w:val="000000" w:themeColor="text1"/>
          <w:sz w:val="20"/>
          <w:szCs w:val="20"/>
        </w:rPr>
        <w:t xml:space="preserve">El Documento Base o Pliego Tipo, en el numeral 4.1.4, “DETERMINACIÓN DEL MÉTODO PARA PONDERACIÓN DE LA PROPUESTA ECONÓMICA”, señala las alternativas para escoger el método de ponderación de la propuesta económica. Estas son las siguientes: i) mediana con valor absoluto, </w:t>
      </w:r>
      <w:proofErr w:type="spellStart"/>
      <w:r w:rsidRPr="00CB3E85">
        <w:rPr>
          <w:color w:val="000000" w:themeColor="text1"/>
          <w:sz w:val="20"/>
          <w:szCs w:val="20"/>
        </w:rPr>
        <w:t>ii</w:t>
      </w:r>
      <w:proofErr w:type="spellEnd"/>
      <w:r w:rsidRPr="00CB3E85">
        <w:rPr>
          <w:color w:val="000000" w:themeColor="text1"/>
          <w:sz w:val="20"/>
          <w:szCs w:val="20"/>
        </w:rPr>
        <w:t xml:space="preserve">) media geométrica con presupuesto oficial, </w:t>
      </w:r>
      <w:proofErr w:type="spellStart"/>
      <w:r w:rsidRPr="00CB3E85">
        <w:rPr>
          <w:color w:val="000000" w:themeColor="text1"/>
          <w:sz w:val="20"/>
          <w:szCs w:val="20"/>
        </w:rPr>
        <w:t>iii</w:t>
      </w:r>
      <w:proofErr w:type="spellEnd"/>
      <w:r w:rsidRPr="00CB3E85">
        <w:rPr>
          <w:color w:val="000000" w:themeColor="text1"/>
          <w:sz w:val="20"/>
          <w:szCs w:val="20"/>
        </w:rPr>
        <w:t xml:space="preserve">) medía aritmética alta, </w:t>
      </w:r>
      <w:proofErr w:type="spellStart"/>
      <w:r w:rsidRPr="00CB3E85">
        <w:rPr>
          <w:color w:val="000000" w:themeColor="text1"/>
          <w:sz w:val="20"/>
          <w:szCs w:val="20"/>
        </w:rPr>
        <w:t>iv</w:t>
      </w:r>
      <w:proofErr w:type="spellEnd"/>
      <w:r w:rsidRPr="00CB3E85">
        <w:rPr>
          <w:color w:val="000000" w:themeColor="text1"/>
          <w:sz w:val="20"/>
          <w:szCs w:val="20"/>
        </w:rPr>
        <w:t>) media aritmética baja y, v) menor valor. La entidad estatal escogerá uno u otro método de ponderación, de acuerdo con la Tasa de Cambio Representativa (TRM) del día de la “Audiencia efectiva de Adjudicación”, definida en el cronograma al momento del cierre del proceso de selección. En este sentido, a pesar de que se expidan adendas modificando la fecha en que se realizará la audiencia efectiva de adjudicación, se tendrá en cuenta la fecha definida en el cronograma al momento del cierre del proceso, como lo indica el documento base o pliego tipo en el numeral 4.1.4.</w:t>
      </w:r>
    </w:p>
    <w:p w:rsidRPr="00CB3E85" w:rsidR="00E55CC3" w:rsidP="000C5F4C" w:rsidRDefault="00E55CC3" w14:paraId="6997BC10" w14:textId="77777777">
      <w:pPr>
        <w:pStyle w:val="Textoindependiente"/>
        <w:rPr>
          <w:color w:val="000000" w:themeColor="text1"/>
          <w:sz w:val="21"/>
          <w:szCs w:val="21"/>
        </w:rPr>
      </w:pPr>
    </w:p>
    <w:p w:rsidRPr="00CB3E85" w:rsidR="00E55CC3" w:rsidP="000C5F4C" w:rsidRDefault="00A2590C" w14:paraId="7D16971D" w14:textId="14DA373E">
      <w:pPr>
        <w:pStyle w:val="Textoindependiente"/>
        <w:ind w:left="300" w:right="303"/>
        <w:jc w:val="both"/>
        <w:rPr>
          <w:b w:val="1"/>
          <w:bCs w:val="1"/>
          <w:color w:val="000000" w:themeColor="text1"/>
        </w:rPr>
      </w:pPr>
      <w:r w:rsidRPr="13CCD7CC" w:rsidR="7ED149C9">
        <w:rPr>
          <w:b w:val="1"/>
          <w:bCs w:val="1"/>
          <w:color w:val="000000" w:themeColor="text1" w:themeTint="FF" w:themeShade="FF"/>
        </w:rPr>
        <w:t>DOCUMENTOS</w:t>
      </w:r>
      <w:r w:rsidRPr="13CCD7CC" w:rsidR="00A2590C">
        <w:rPr>
          <w:b w:val="1"/>
          <w:bCs w:val="1"/>
          <w:color w:val="000000" w:themeColor="text1" w:themeTint="FF" w:themeShade="FF"/>
        </w:rPr>
        <w:t xml:space="preserve"> TIPO </w:t>
      </w:r>
      <w:r w:rsidRPr="13CCD7CC" w:rsidR="00CB3E85">
        <w:rPr>
          <w:b w:val="1"/>
          <w:bCs w:val="1"/>
          <w:color w:val="000000" w:themeColor="text1" w:themeTint="FF" w:themeShade="FF"/>
        </w:rPr>
        <w:t>–</w:t>
      </w:r>
      <w:r w:rsidRPr="13CCD7CC" w:rsidR="00A2590C">
        <w:rPr>
          <w:b w:val="1"/>
          <w:bCs w:val="1"/>
          <w:color w:val="000000" w:themeColor="text1" w:themeTint="FF" w:themeShade="FF"/>
        </w:rPr>
        <w:t xml:space="preserve"> </w:t>
      </w:r>
      <w:r w:rsidRPr="13CCD7CC" w:rsidR="00A40CB0">
        <w:rPr>
          <w:b w:val="1"/>
          <w:bCs w:val="1"/>
          <w:color w:val="000000" w:themeColor="text1" w:themeTint="FF" w:themeShade="FF"/>
        </w:rPr>
        <w:t>Ponderación</w:t>
      </w:r>
      <w:r w:rsidRPr="13CCD7CC" w:rsidR="00216C34">
        <w:rPr>
          <w:b w:val="1"/>
          <w:bCs w:val="1"/>
          <w:color w:val="000000" w:themeColor="text1" w:themeTint="FF" w:themeShade="FF"/>
        </w:rPr>
        <w:t xml:space="preserve"> </w:t>
      </w:r>
      <w:r w:rsidRPr="13CCD7CC" w:rsidR="00CB3E85">
        <w:rPr>
          <w:b w:val="1"/>
          <w:bCs w:val="1"/>
          <w:color w:val="000000" w:themeColor="text1" w:themeTint="FF" w:themeShade="FF"/>
        </w:rPr>
        <w:t>–</w:t>
      </w:r>
      <w:r w:rsidRPr="13CCD7CC" w:rsidR="00E55CC3">
        <w:rPr>
          <w:b w:val="1"/>
          <w:bCs w:val="1"/>
          <w:color w:val="000000" w:themeColor="text1" w:themeTint="FF" w:themeShade="FF"/>
        </w:rPr>
        <w:t xml:space="preserve"> Pasos </w:t>
      </w:r>
    </w:p>
    <w:p w:rsidRPr="00CB3E85" w:rsidR="00E55CC3" w:rsidP="000C5F4C" w:rsidRDefault="00E55CC3" w14:paraId="66B0238D" w14:textId="77777777">
      <w:pPr>
        <w:pStyle w:val="Textoindependiente"/>
        <w:rPr>
          <w:color w:val="000000" w:themeColor="text1"/>
          <w:sz w:val="21"/>
          <w:szCs w:val="21"/>
        </w:rPr>
      </w:pPr>
    </w:p>
    <w:p w:rsidRPr="00A20408" w:rsidR="00E55CC3" w:rsidP="00B84C56" w:rsidRDefault="00B84C56" w14:paraId="0E50C758" w14:textId="1C49311E">
      <w:pPr>
        <w:ind w:right="312" w:firstLine="300"/>
        <w:jc w:val="both"/>
        <w:rPr>
          <w:color w:val="000000" w:themeColor="text1"/>
          <w:sz w:val="20"/>
          <w:szCs w:val="20"/>
        </w:rPr>
      </w:pPr>
      <w:r>
        <w:rPr>
          <w:color w:val="000000" w:themeColor="text1"/>
          <w:sz w:val="20"/>
          <w:szCs w:val="20"/>
        </w:rPr>
        <w:t xml:space="preserve"> </w:t>
      </w:r>
      <w:r w:rsidRPr="00A20408" w:rsidR="00E55CC3">
        <w:rPr>
          <w:color w:val="000000" w:themeColor="text1"/>
          <w:sz w:val="20"/>
          <w:szCs w:val="20"/>
        </w:rPr>
        <w:t>Para conocer la TRM aplicable se recomienda seguir el siguiente procedimiento:</w:t>
      </w:r>
    </w:p>
    <w:p w:rsidRPr="00A20408" w:rsidR="00E55CC3" w:rsidP="00B84C56" w:rsidRDefault="00E55CC3" w14:paraId="664BDF3D" w14:textId="1C248513">
      <w:pPr>
        <w:ind w:right="312" w:firstLine="300"/>
        <w:jc w:val="both"/>
        <w:rPr>
          <w:color w:val="000000" w:themeColor="text1"/>
          <w:sz w:val="20"/>
          <w:szCs w:val="20"/>
        </w:rPr>
      </w:pPr>
      <w:r w:rsidRPr="00A20408">
        <w:rPr>
          <w:color w:val="000000" w:themeColor="text1"/>
          <w:sz w:val="20"/>
          <w:szCs w:val="20"/>
        </w:rPr>
        <w:t>-Identificar el cronograma que está o estaba vigente al cierre de presentación de ofertas.</w:t>
      </w:r>
    </w:p>
    <w:p w:rsidRPr="00A20408" w:rsidR="00E55CC3" w:rsidP="00B84C56" w:rsidRDefault="1D03C2F1" w14:paraId="4BFC3CC1" w14:textId="1433A4E2">
      <w:pPr>
        <w:ind w:right="312" w:firstLine="300"/>
        <w:jc w:val="both"/>
        <w:rPr>
          <w:color w:val="000000" w:themeColor="text1"/>
          <w:sz w:val="20"/>
          <w:szCs w:val="20"/>
        </w:rPr>
      </w:pPr>
      <w:r w:rsidRPr="00A20408">
        <w:rPr>
          <w:color w:val="000000" w:themeColor="text1"/>
          <w:sz w:val="20"/>
          <w:szCs w:val="20"/>
        </w:rPr>
        <w:t>-</w:t>
      </w:r>
      <w:r w:rsidRPr="00A20408" w:rsidR="00E55CC3">
        <w:rPr>
          <w:color w:val="000000" w:themeColor="text1"/>
          <w:sz w:val="20"/>
          <w:szCs w:val="20"/>
        </w:rPr>
        <w:t>Dentro de ese cronograma observar cual es la fecha definida para la adjudicación.</w:t>
      </w:r>
    </w:p>
    <w:p w:rsidRPr="00A20408" w:rsidR="00E55CC3" w:rsidP="00B84C56" w:rsidRDefault="00E55CC3" w14:paraId="26B3A463" w14:textId="233DD628">
      <w:pPr>
        <w:ind w:left="300" w:right="312"/>
        <w:jc w:val="both"/>
        <w:rPr>
          <w:color w:val="000000" w:themeColor="text1"/>
          <w:sz w:val="20"/>
          <w:szCs w:val="20"/>
        </w:rPr>
      </w:pPr>
      <w:r w:rsidRPr="00A20408">
        <w:rPr>
          <w:color w:val="000000" w:themeColor="text1"/>
          <w:sz w:val="20"/>
          <w:szCs w:val="20"/>
        </w:rPr>
        <w:t>-Buscar en el siguiente enlace: https://</w:t>
      </w:r>
      <w:hyperlink r:id="rId10">
        <w:r w:rsidRPr="00A20408">
          <w:rPr>
            <w:color w:val="000000" w:themeColor="text1"/>
            <w:sz w:val="20"/>
            <w:szCs w:val="20"/>
          </w:rPr>
          <w:t>www.superfinanciera.gov.co/publicacion/60819</w:t>
        </w:r>
      </w:hyperlink>
      <w:r w:rsidRPr="00A20408">
        <w:rPr>
          <w:color w:val="000000" w:themeColor="text1"/>
          <w:sz w:val="20"/>
          <w:szCs w:val="20"/>
        </w:rPr>
        <w:t xml:space="preserve"> la TRM del día de la audiencia de adjudicación vigente a la fecha presentación de ofertas. Esto aplica aún si fue modificado el cronograma del Proceso de Contratación con posterioridad a la fecha del cierre.</w:t>
      </w:r>
    </w:p>
    <w:p w:rsidRPr="00A20408" w:rsidR="00E55CC3" w:rsidP="00B84C56" w:rsidRDefault="00E55CC3" w14:paraId="54B62F7F" w14:textId="77777777">
      <w:pPr>
        <w:ind w:left="300" w:right="312"/>
        <w:jc w:val="both"/>
        <w:rPr>
          <w:color w:val="000000" w:themeColor="text1"/>
          <w:sz w:val="20"/>
          <w:szCs w:val="20"/>
        </w:rPr>
      </w:pPr>
      <w:r w:rsidRPr="00A20408">
        <w:rPr>
          <w:color w:val="000000" w:themeColor="text1"/>
          <w:sz w:val="20"/>
          <w:szCs w:val="20"/>
        </w:rPr>
        <w:t>Seleccionar los centavos (dos cifras después de la coma) de dicha TRM y contrastarlos con los rangos del siguiente cuadro.</w:t>
      </w:r>
    </w:p>
    <w:p w:rsidRPr="00CB3E85" w:rsidR="00E55CC3" w:rsidP="000C5F4C" w:rsidRDefault="00E55CC3" w14:paraId="6C490A8D" w14:textId="77777777">
      <w:pPr>
        <w:pStyle w:val="Textoindependiente"/>
        <w:rPr>
          <w:b/>
          <w:bCs/>
          <w:color w:val="000000" w:themeColor="text1"/>
          <w:sz w:val="21"/>
          <w:szCs w:val="21"/>
        </w:rPr>
      </w:pPr>
    </w:p>
    <w:p w:rsidRPr="00CB3E85" w:rsidR="00E55CC3" w:rsidP="000C5F4C" w:rsidRDefault="00A40CB0" w14:paraId="4926C73F" w14:textId="0AD45663">
      <w:pPr>
        <w:pStyle w:val="Textoindependiente"/>
        <w:ind w:left="300"/>
        <w:rPr>
          <w:b/>
          <w:bCs/>
          <w:color w:val="000000" w:themeColor="text1"/>
        </w:rPr>
      </w:pPr>
      <w:r w:rsidRPr="00CB3E85">
        <w:rPr>
          <w:b/>
          <w:bCs/>
          <w:color w:val="000000" w:themeColor="text1"/>
        </w:rPr>
        <w:t>DOCUMENTO</w:t>
      </w:r>
      <w:r w:rsidRPr="00CB3E85" w:rsidR="000C5F4C">
        <w:rPr>
          <w:b/>
          <w:bCs/>
          <w:color w:val="000000" w:themeColor="text1"/>
        </w:rPr>
        <w:t>S</w:t>
      </w:r>
      <w:r w:rsidRPr="00CB3E85" w:rsidR="00B43BCA">
        <w:rPr>
          <w:b/>
          <w:bCs/>
          <w:color w:val="000000" w:themeColor="text1"/>
        </w:rPr>
        <w:t xml:space="preserve"> TIPO – Licitación pública</w:t>
      </w:r>
      <w:r w:rsidRPr="00CB3E85" w:rsidR="00E55CC3">
        <w:rPr>
          <w:b/>
          <w:bCs/>
          <w:color w:val="000000" w:themeColor="text1"/>
        </w:rPr>
        <w:t xml:space="preserve"> </w:t>
      </w:r>
      <w:r w:rsidRPr="00CB3E85" w:rsidR="00B43BCA">
        <w:rPr>
          <w:b/>
          <w:bCs/>
          <w:color w:val="000000" w:themeColor="text1"/>
        </w:rPr>
        <w:t>–</w:t>
      </w:r>
      <w:r w:rsidRPr="00CB3E85" w:rsidR="00E55CC3">
        <w:rPr>
          <w:b/>
          <w:bCs/>
          <w:color w:val="000000" w:themeColor="text1"/>
        </w:rPr>
        <w:t xml:space="preserve"> </w:t>
      </w:r>
      <w:r w:rsidRPr="00CB3E85" w:rsidR="000C5F4C">
        <w:rPr>
          <w:b/>
          <w:bCs/>
          <w:color w:val="000000" w:themeColor="text1"/>
        </w:rPr>
        <w:t>Procesos por lotes o grupos</w:t>
      </w:r>
      <w:r w:rsidRPr="00CB3E85" w:rsidR="00E55CC3">
        <w:rPr>
          <w:b/>
          <w:bCs/>
          <w:color w:val="000000" w:themeColor="text1"/>
        </w:rPr>
        <w:t xml:space="preserve"> </w:t>
      </w:r>
      <w:r w:rsidRPr="00CB3E85" w:rsidR="00CB3E85">
        <w:rPr>
          <w:b/>
          <w:bCs/>
          <w:color w:val="000000" w:themeColor="text1"/>
        </w:rPr>
        <w:t>–</w:t>
      </w:r>
      <w:r w:rsidRPr="00CB3E85" w:rsidR="00CB3E85">
        <w:rPr>
          <w:b/>
          <w:bCs/>
          <w:color w:val="000000" w:themeColor="text1"/>
        </w:rPr>
        <w:t xml:space="preserve"> </w:t>
      </w:r>
      <w:r w:rsidRPr="00CB3E85" w:rsidR="00E55CC3">
        <w:rPr>
          <w:b/>
          <w:bCs/>
          <w:color w:val="000000" w:themeColor="text1"/>
        </w:rPr>
        <w:t xml:space="preserve">Acreditación de experiencia </w:t>
      </w:r>
    </w:p>
    <w:p w:rsidRPr="00CB3E85" w:rsidR="00E55CC3" w:rsidP="000C5F4C" w:rsidRDefault="00E55CC3" w14:paraId="6FB697D2" w14:textId="77777777">
      <w:pPr>
        <w:pStyle w:val="Textoindependiente"/>
        <w:rPr>
          <w:color w:val="000000" w:themeColor="text1"/>
          <w:sz w:val="21"/>
          <w:szCs w:val="21"/>
        </w:rPr>
      </w:pPr>
    </w:p>
    <w:p w:rsidRPr="00CB3E85" w:rsidR="00E55CC3" w:rsidP="00CB3E85" w:rsidRDefault="00E55CC3" w14:paraId="4AEB4E9F" w14:textId="77777777">
      <w:pPr>
        <w:pStyle w:val="Textoindependiente"/>
        <w:ind w:left="301" w:right="312"/>
        <w:jc w:val="both"/>
        <w:rPr>
          <w:color w:val="000000" w:themeColor="text1"/>
          <w:sz w:val="20"/>
          <w:szCs w:val="20"/>
        </w:rPr>
      </w:pPr>
      <w:r w:rsidRPr="00CB3E85">
        <w:rPr>
          <w:color w:val="000000" w:themeColor="text1"/>
          <w:sz w:val="20"/>
          <w:szCs w:val="20"/>
        </w:rPr>
        <w:t>Cuando las entidades estatales adelanten procesos de contratación de licitación de obra pública de infraestructura de transportes por lotes o grupos, de acuerdo con la orientación o recomendación dada en la “Guía para la comprensión e implementación de los Documentos Tipo de licitación de obra de infraestructura de transporte”, “deberán aplicar los Documentos Tipo para cada uno de los lotes que corresponda, para lo cual, deberá adaptar el contenido de estos, teniendo en cuenta que la experiencia debe analizarse de manera independiente para cada uno de los</w:t>
      </w:r>
      <w:r w:rsidRPr="00CB3E85">
        <w:rPr>
          <w:color w:val="000000" w:themeColor="text1"/>
          <w:spacing w:val="-10"/>
          <w:sz w:val="20"/>
          <w:szCs w:val="20"/>
        </w:rPr>
        <w:t xml:space="preserve"> </w:t>
      </w:r>
      <w:r w:rsidRPr="00CB3E85">
        <w:rPr>
          <w:color w:val="000000" w:themeColor="text1"/>
          <w:sz w:val="20"/>
          <w:szCs w:val="20"/>
        </w:rPr>
        <w:t>lotes”. En este sentido, la entidad estatal, al establecer la experiencia general y específica de cada lote, debe tener en cuenta el presupuesto oficial, el objeto y el alcance de las actividades a ejecutar del lote. Así, es posible que acorde con la aplicación de la “Matriz 1- Experiencia”, se solicite experiencia diferente para cada lote, caso en el cual los proponentes deberán determinar si los contratos que se pretenden aportar cumplen con las condiciones</w:t>
      </w:r>
      <w:r w:rsidRPr="00CB3E85">
        <w:rPr>
          <w:color w:val="000000" w:themeColor="text1"/>
          <w:spacing w:val="-2"/>
          <w:sz w:val="20"/>
          <w:szCs w:val="20"/>
        </w:rPr>
        <w:t xml:space="preserve"> </w:t>
      </w:r>
      <w:r w:rsidRPr="00CB3E85">
        <w:rPr>
          <w:color w:val="000000" w:themeColor="text1"/>
          <w:sz w:val="20"/>
          <w:szCs w:val="20"/>
        </w:rPr>
        <w:t>particulares.</w:t>
      </w:r>
    </w:p>
    <w:p w:rsidRPr="00CB3E85" w:rsidR="007361EA" w:rsidP="00CB3E85" w:rsidRDefault="007361EA" w14:paraId="0915E3BD" w14:textId="6B4074DC">
      <w:pPr>
        <w:ind w:left="300"/>
        <w:rPr>
          <w:color w:val="000000" w:themeColor="text1"/>
        </w:rPr>
      </w:pPr>
    </w:p>
    <w:p w:rsidRPr="00CB3E85" w:rsidR="00CB3E85" w:rsidP="00CB3E85" w:rsidRDefault="00CB3E85" w14:paraId="22D014A2" w14:textId="77777777">
      <w:pPr>
        <w:ind w:left="300"/>
        <w:rPr>
          <w:color w:val="000000" w:themeColor="text1"/>
        </w:rPr>
      </w:pPr>
    </w:p>
    <w:p w:rsidRPr="00CB3E85" w:rsidR="00892702" w:rsidP="00CB3E85" w:rsidRDefault="00212A55" w14:paraId="1923104C" w14:textId="3E742756">
      <w:pPr>
        <w:ind w:left="300"/>
        <w:rPr>
          <w:b/>
          <w:color w:val="000000" w:themeColor="text1"/>
        </w:rPr>
      </w:pPr>
      <w:r w:rsidRPr="00CB3E85">
        <w:rPr>
          <w:color w:val="000000" w:themeColor="text1"/>
        </w:rPr>
        <w:t xml:space="preserve">Bogotá D.C., </w:t>
      </w:r>
      <w:r w:rsidRPr="00CB3E85">
        <w:rPr>
          <w:b/>
          <w:color w:val="000000" w:themeColor="text1"/>
        </w:rPr>
        <w:t>13/09/2019 Hora 0:13:11s</w:t>
      </w:r>
    </w:p>
    <w:p w:rsidRPr="00CB3E85" w:rsidR="00892702" w:rsidRDefault="00212A55" w14:paraId="7134F698" w14:textId="77777777">
      <w:pPr>
        <w:pStyle w:val="Ttulo1"/>
        <w:spacing w:before="37"/>
        <w:ind w:left="5839" w:firstLine="0"/>
        <w:rPr>
          <w:color w:val="000000" w:themeColor="text1"/>
        </w:rPr>
      </w:pPr>
      <w:proofErr w:type="spellStart"/>
      <w:r w:rsidRPr="00CB3E85">
        <w:rPr>
          <w:color w:val="000000" w:themeColor="text1"/>
        </w:rPr>
        <w:t>N°</w:t>
      </w:r>
      <w:proofErr w:type="spellEnd"/>
      <w:r w:rsidRPr="00CB3E85">
        <w:rPr>
          <w:color w:val="000000" w:themeColor="text1"/>
        </w:rPr>
        <w:t xml:space="preserve"> Radicado: 2201913000006779</w:t>
      </w:r>
    </w:p>
    <w:p w:rsidRPr="00CB3E85" w:rsidR="00892702" w:rsidRDefault="00892702" w14:paraId="17E50DE5" w14:textId="77777777">
      <w:pPr>
        <w:pStyle w:val="Textoindependiente"/>
        <w:spacing w:before="7"/>
        <w:rPr>
          <w:b/>
          <w:color w:val="000000" w:themeColor="text1"/>
          <w:sz w:val="20"/>
        </w:rPr>
      </w:pPr>
    </w:p>
    <w:p w:rsidRPr="00CB3E85" w:rsidR="00892702" w:rsidRDefault="00212A55" w14:paraId="4952DA97" w14:textId="77777777">
      <w:pPr>
        <w:pStyle w:val="Textoindependiente"/>
        <w:spacing w:before="93" w:line="253" w:lineRule="exact"/>
        <w:ind w:left="300"/>
        <w:rPr>
          <w:color w:val="000000" w:themeColor="text1"/>
        </w:rPr>
      </w:pPr>
      <w:r w:rsidRPr="00CB3E85">
        <w:rPr>
          <w:color w:val="000000" w:themeColor="text1"/>
        </w:rPr>
        <w:t>Señor</w:t>
      </w:r>
    </w:p>
    <w:p w:rsidRPr="00CB3E85" w:rsidR="00892702" w:rsidRDefault="00212A55" w14:paraId="0A98A8E0" w14:textId="77777777">
      <w:pPr>
        <w:pStyle w:val="Ttulo1"/>
        <w:spacing w:line="253" w:lineRule="exact"/>
        <w:ind w:left="300" w:firstLine="0"/>
        <w:rPr>
          <w:color w:val="000000" w:themeColor="text1"/>
        </w:rPr>
      </w:pPr>
      <w:r w:rsidRPr="00CB3E85">
        <w:rPr>
          <w:color w:val="000000" w:themeColor="text1"/>
        </w:rPr>
        <w:t>Alejandro Turriago Romero</w:t>
      </w:r>
    </w:p>
    <w:p w:rsidRPr="00CB3E85" w:rsidR="00892702" w:rsidRDefault="00212A55" w14:paraId="1D9360EF" w14:textId="77777777">
      <w:pPr>
        <w:pStyle w:val="Textoindependiente"/>
        <w:spacing w:line="253" w:lineRule="exact"/>
        <w:ind w:left="300"/>
        <w:rPr>
          <w:color w:val="000000" w:themeColor="text1"/>
        </w:rPr>
      </w:pPr>
      <w:r w:rsidRPr="00CB3E85">
        <w:rPr>
          <w:color w:val="000000" w:themeColor="text1"/>
        </w:rPr>
        <w:t>Ciudad</w:t>
      </w:r>
    </w:p>
    <w:p w:rsidRPr="00CB3E85" w:rsidR="00892702" w:rsidRDefault="00892702" w14:paraId="39FA7635" w14:textId="77777777">
      <w:pPr>
        <w:pStyle w:val="Textoindependiente"/>
        <w:rPr>
          <w:color w:val="000000" w:themeColor="text1"/>
          <w:sz w:val="20"/>
        </w:rPr>
      </w:pPr>
    </w:p>
    <w:p w:rsidRPr="00CB3E85" w:rsidR="00892702" w:rsidRDefault="00892702" w14:paraId="5895B0BC" w14:textId="77777777">
      <w:pPr>
        <w:pStyle w:val="Textoindependiente"/>
        <w:rPr>
          <w:color w:val="000000" w:themeColor="text1"/>
          <w:sz w:val="20"/>
        </w:rPr>
      </w:pPr>
    </w:p>
    <w:p w:rsidRPr="00CB3E85" w:rsidR="00892702" w:rsidRDefault="00892702" w14:paraId="01AA0234" w14:textId="77777777">
      <w:pPr>
        <w:pStyle w:val="Textoindependiente"/>
        <w:spacing w:before="2" w:after="1"/>
        <w:rPr>
          <w:color w:val="000000" w:themeColor="text1"/>
          <w:sz w:val="11"/>
        </w:rPr>
      </w:pPr>
    </w:p>
    <w:tbl>
      <w:tblPr>
        <w:tblStyle w:val="TableNormal"/>
        <w:tblW w:w="0" w:type="auto"/>
        <w:tblInd w:w="108" w:type="dxa"/>
        <w:tblLayout w:type="fixed"/>
        <w:tblLook w:val="01E0" w:firstRow="1" w:lastRow="1" w:firstColumn="1" w:lastColumn="1" w:noHBand="0" w:noVBand="0"/>
      </w:tblPr>
      <w:tblGrid>
        <w:gridCol w:w="2328"/>
        <w:gridCol w:w="7001"/>
      </w:tblGrid>
      <w:tr w:rsidRPr="00CB3E85" w:rsidR="00CB3E85" w14:paraId="3CA1DE78" w14:textId="77777777">
        <w:trPr>
          <w:trHeight w:val="249"/>
        </w:trPr>
        <w:tc>
          <w:tcPr>
            <w:tcW w:w="2328" w:type="dxa"/>
          </w:tcPr>
          <w:p w:rsidRPr="00CB3E85" w:rsidR="00892702" w:rsidRDefault="00212A55" w14:paraId="72233990" w14:textId="77777777">
            <w:pPr>
              <w:pStyle w:val="TableParagraph"/>
              <w:spacing w:line="229" w:lineRule="exact"/>
              <w:ind w:left="200"/>
              <w:jc w:val="left"/>
              <w:rPr>
                <w:b/>
                <w:color w:val="000000" w:themeColor="text1"/>
              </w:rPr>
            </w:pPr>
            <w:r w:rsidRPr="00CB3E85">
              <w:rPr>
                <w:b/>
                <w:color w:val="000000" w:themeColor="text1"/>
              </w:rPr>
              <w:t>Radicación:</w:t>
            </w:r>
          </w:p>
        </w:tc>
        <w:tc>
          <w:tcPr>
            <w:tcW w:w="7001" w:type="dxa"/>
          </w:tcPr>
          <w:p w:rsidRPr="00CB3E85" w:rsidR="00892702" w:rsidRDefault="00212A55" w14:paraId="4C643DC0" w14:textId="77777777">
            <w:pPr>
              <w:pStyle w:val="TableParagraph"/>
              <w:spacing w:line="229" w:lineRule="exact"/>
              <w:ind w:left="562"/>
              <w:jc w:val="left"/>
              <w:rPr>
                <w:color w:val="000000" w:themeColor="text1"/>
              </w:rPr>
            </w:pPr>
            <w:r w:rsidRPr="00CB3E85">
              <w:rPr>
                <w:color w:val="000000" w:themeColor="text1"/>
              </w:rPr>
              <w:t>Respuesta a consulta # 4201912000005422</w:t>
            </w:r>
          </w:p>
        </w:tc>
      </w:tr>
      <w:tr w:rsidRPr="00CB3E85" w:rsidR="00CB3E85" w14:paraId="158C99C3" w14:textId="77777777">
        <w:trPr>
          <w:trHeight w:val="253"/>
        </w:trPr>
        <w:tc>
          <w:tcPr>
            <w:tcW w:w="2328" w:type="dxa"/>
          </w:tcPr>
          <w:p w:rsidRPr="00CB3E85" w:rsidR="00892702" w:rsidRDefault="00212A55" w14:paraId="28E074C4" w14:textId="77777777">
            <w:pPr>
              <w:pStyle w:val="TableParagraph"/>
              <w:spacing w:line="234" w:lineRule="exact"/>
              <w:ind w:left="200"/>
              <w:jc w:val="left"/>
              <w:rPr>
                <w:b/>
                <w:color w:val="000000" w:themeColor="text1"/>
              </w:rPr>
            </w:pPr>
            <w:r w:rsidRPr="00CB3E85">
              <w:rPr>
                <w:b/>
                <w:color w:val="000000" w:themeColor="text1"/>
              </w:rPr>
              <w:lastRenderedPageBreak/>
              <w:t>Temas:</w:t>
            </w:r>
          </w:p>
        </w:tc>
        <w:tc>
          <w:tcPr>
            <w:tcW w:w="7001" w:type="dxa"/>
          </w:tcPr>
          <w:p w:rsidRPr="00CB3E85" w:rsidR="00892702" w:rsidRDefault="00212A55" w14:paraId="45EC4E82" w14:textId="77777777">
            <w:pPr>
              <w:pStyle w:val="TableParagraph"/>
              <w:spacing w:line="234" w:lineRule="exact"/>
              <w:ind w:left="562"/>
              <w:jc w:val="left"/>
              <w:rPr>
                <w:color w:val="000000" w:themeColor="text1"/>
              </w:rPr>
            </w:pPr>
            <w:r w:rsidRPr="00CB3E85">
              <w:rPr>
                <w:color w:val="000000" w:themeColor="text1"/>
              </w:rPr>
              <w:t>Pliegos tipo, experiencia</w:t>
            </w:r>
          </w:p>
        </w:tc>
      </w:tr>
      <w:tr w:rsidRPr="00CB3E85" w:rsidR="00892702" w14:paraId="78B87C17" w14:textId="77777777">
        <w:trPr>
          <w:trHeight w:val="755"/>
        </w:trPr>
        <w:tc>
          <w:tcPr>
            <w:tcW w:w="2328" w:type="dxa"/>
          </w:tcPr>
          <w:p w:rsidRPr="00CB3E85" w:rsidR="00892702" w:rsidRDefault="00212A55" w14:paraId="4DF37AB9" w14:textId="77777777">
            <w:pPr>
              <w:pStyle w:val="TableParagraph"/>
              <w:spacing w:line="240" w:lineRule="auto"/>
              <w:ind w:left="200" w:right="543"/>
              <w:jc w:val="left"/>
              <w:rPr>
                <w:b/>
                <w:color w:val="000000" w:themeColor="text1"/>
              </w:rPr>
            </w:pPr>
            <w:r w:rsidRPr="00CB3E85">
              <w:rPr>
                <w:b/>
                <w:color w:val="000000" w:themeColor="text1"/>
              </w:rPr>
              <w:t>Tipo de asunto consultado:</w:t>
            </w:r>
          </w:p>
        </w:tc>
        <w:tc>
          <w:tcPr>
            <w:tcW w:w="7001" w:type="dxa"/>
          </w:tcPr>
          <w:p w:rsidRPr="00CB3E85" w:rsidR="00892702" w:rsidRDefault="00212A55" w14:paraId="10B7DD7B" w14:textId="77777777">
            <w:pPr>
              <w:pStyle w:val="TableParagraph"/>
              <w:spacing w:before="2" w:line="252" w:lineRule="exact"/>
              <w:ind w:left="562" w:right="198"/>
              <w:jc w:val="both"/>
              <w:rPr>
                <w:color w:val="000000" w:themeColor="text1"/>
              </w:rPr>
            </w:pPr>
            <w:r w:rsidRPr="00CB3E85">
              <w:rPr>
                <w:color w:val="000000" w:themeColor="text1"/>
              </w:rPr>
              <w:t>Día en el que se debe tener en cuenta la TRM para determinar el método de ponderación. Experiencia en los procesos de contratación por lotes en Pliegos Tipo</w:t>
            </w:r>
          </w:p>
        </w:tc>
      </w:tr>
    </w:tbl>
    <w:p w:rsidRPr="00CB3E85" w:rsidR="00892702" w:rsidRDefault="00892702" w14:paraId="587D7856" w14:textId="77777777">
      <w:pPr>
        <w:pStyle w:val="Textoindependiente"/>
        <w:rPr>
          <w:color w:val="000000" w:themeColor="text1"/>
          <w:sz w:val="20"/>
        </w:rPr>
      </w:pPr>
    </w:p>
    <w:p w:rsidRPr="00CB3E85" w:rsidR="00892702" w:rsidRDefault="00212A55" w14:paraId="6DA92939" w14:textId="77777777">
      <w:pPr>
        <w:pStyle w:val="Textoindependiente"/>
        <w:spacing w:before="93"/>
        <w:ind w:left="300"/>
        <w:jc w:val="both"/>
        <w:rPr>
          <w:color w:val="000000" w:themeColor="text1"/>
        </w:rPr>
      </w:pPr>
      <w:r w:rsidRPr="00CB3E85">
        <w:rPr>
          <w:color w:val="000000" w:themeColor="text1"/>
        </w:rPr>
        <w:t>Estimado señor Turriago:</w:t>
      </w:r>
    </w:p>
    <w:p w:rsidRPr="00CB3E85" w:rsidR="00892702" w:rsidRDefault="00892702" w14:paraId="0D9F6B91" w14:textId="77777777">
      <w:pPr>
        <w:pStyle w:val="Textoindependiente"/>
        <w:spacing w:before="7"/>
        <w:rPr>
          <w:color w:val="000000" w:themeColor="text1"/>
          <w:sz w:val="28"/>
        </w:rPr>
      </w:pPr>
    </w:p>
    <w:p w:rsidRPr="00CB3E85" w:rsidR="00892702" w:rsidRDefault="00212A55" w14:paraId="37EE56E5" w14:textId="77777777">
      <w:pPr>
        <w:pStyle w:val="Textoindependiente"/>
        <w:spacing w:line="276" w:lineRule="auto"/>
        <w:ind w:left="300" w:right="304"/>
        <w:jc w:val="both"/>
        <w:rPr>
          <w:color w:val="000000" w:themeColor="text1"/>
        </w:rPr>
      </w:pPr>
      <w:r w:rsidRPr="00CB3E85">
        <w:rPr>
          <w:color w:val="000000" w:themeColor="text1"/>
        </w:rPr>
        <w:t>La Agencia Nacional de Contratación Pública -Colombia Compra Eficiente- responde su consulta del 12 de agosto de 2019, en ejercicio de la competencia otorgada por el numeral 8 del artículo 11 y el numeral 5 del artículo 3 del Decreto Ley 4170 de 2011.</w:t>
      </w:r>
    </w:p>
    <w:p w:rsidRPr="00CB3E85" w:rsidR="00892702" w:rsidRDefault="00892702" w14:paraId="4D885207" w14:textId="77777777">
      <w:pPr>
        <w:pStyle w:val="Textoindependiente"/>
        <w:spacing w:before="3"/>
        <w:rPr>
          <w:color w:val="000000" w:themeColor="text1"/>
          <w:sz w:val="25"/>
        </w:rPr>
      </w:pPr>
    </w:p>
    <w:p w:rsidRPr="00CB3E85" w:rsidR="00892702" w:rsidRDefault="00212A55" w14:paraId="01BFB149" w14:textId="77777777">
      <w:pPr>
        <w:pStyle w:val="Ttulo1"/>
        <w:numPr>
          <w:ilvl w:val="0"/>
          <w:numId w:val="2"/>
        </w:numPr>
        <w:tabs>
          <w:tab w:val="left" w:pos="543"/>
        </w:tabs>
        <w:rPr>
          <w:color w:val="000000" w:themeColor="text1"/>
        </w:rPr>
      </w:pPr>
      <w:r w:rsidRPr="00CB3E85">
        <w:rPr>
          <w:color w:val="000000" w:themeColor="text1"/>
        </w:rPr>
        <w:t>Primer problema</w:t>
      </w:r>
      <w:r w:rsidRPr="00CB3E85">
        <w:rPr>
          <w:color w:val="000000" w:themeColor="text1"/>
          <w:spacing w:val="-2"/>
        </w:rPr>
        <w:t xml:space="preserve"> </w:t>
      </w:r>
      <w:r w:rsidRPr="00CB3E85">
        <w:rPr>
          <w:color w:val="000000" w:themeColor="text1"/>
        </w:rPr>
        <w:t>planteado</w:t>
      </w:r>
    </w:p>
    <w:p w:rsidRPr="00CB3E85" w:rsidR="00892702" w:rsidRDefault="00892702" w14:paraId="3200EFB9" w14:textId="77777777">
      <w:pPr>
        <w:pStyle w:val="Textoindependiente"/>
        <w:spacing w:before="7"/>
        <w:rPr>
          <w:b/>
          <w:color w:val="000000" w:themeColor="text1"/>
          <w:sz w:val="28"/>
        </w:rPr>
      </w:pPr>
    </w:p>
    <w:p w:rsidRPr="00CB3E85" w:rsidR="00892702" w:rsidRDefault="00212A55" w14:paraId="68F95A82" w14:textId="77777777">
      <w:pPr>
        <w:pStyle w:val="Textoindependiente"/>
        <w:spacing w:before="1" w:line="276" w:lineRule="auto"/>
        <w:ind w:left="300" w:right="306"/>
        <w:jc w:val="both"/>
        <w:rPr>
          <w:color w:val="000000" w:themeColor="text1"/>
        </w:rPr>
      </w:pPr>
      <w:r w:rsidRPr="00CB3E85">
        <w:rPr>
          <w:color w:val="000000" w:themeColor="text1"/>
        </w:rPr>
        <w:t>El peticionario solicita aclarar cuál es el día que se debe tener en cuenta para aplicar la TRM y así determinar el método de ponderación, si es “el día de la realización de la audiencia de adjudicación aún si esta fue aplazada por adenda después del cierre, o si es la fecha de la audiencia de adjudicación establecida el día del cierre, sin tener si esta es aplazada por adenda”.</w:t>
      </w:r>
    </w:p>
    <w:p w:rsidRPr="00CB3E85" w:rsidR="00892702" w:rsidRDefault="00892702" w14:paraId="411216F3" w14:textId="77777777">
      <w:pPr>
        <w:pStyle w:val="Textoindependiente"/>
        <w:spacing w:before="11"/>
        <w:rPr>
          <w:color w:val="000000" w:themeColor="text1"/>
          <w:sz w:val="23"/>
        </w:rPr>
      </w:pPr>
    </w:p>
    <w:p w:rsidRPr="00CB3E85" w:rsidR="00892702" w:rsidRDefault="00212A55" w14:paraId="6E074D6E" w14:textId="77777777">
      <w:pPr>
        <w:pStyle w:val="Ttulo1"/>
        <w:numPr>
          <w:ilvl w:val="0"/>
          <w:numId w:val="2"/>
        </w:numPr>
        <w:tabs>
          <w:tab w:val="left" w:pos="544"/>
        </w:tabs>
        <w:ind w:hanging="244"/>
        <w:rPr>
          <w:color w:val="000000" w:themeColor="text1"/>
        </w:rPr>
      </w:pPr>
      <w:r w:rsidRPr="00CB3E85">
        <w:rPr>
          <w:color w:val="000000" w:themeColor="text1"/>
        </w:rPr>
        <w:t>Consideraciones</w:t>
      </w:r>
    </w:p>
    <w:p w:rsidRPr="00CB3E85" w:rsidR="00892702" w:rsidRDefault="00892702" w14:paraId="2932570B" w14:textId="77777777">
      <w:pPr>
        <w:pStyle w:val="Textoindependiente"/>
        <w:spacing w:before="7"/>
        <w:rPr>
          <w:b/>
          <w:color w:val="000000" w:themeColor="text1"/>
          <w:sz w:val="28"/>
        </w:rPr>
      </w:pPr>
    </w:p>
    <w:p w:rsidRPr="00CB3E85" w:rsidR="00892702" w:rsidRDefault="00212A55" w14:paraId="0B4211FF" w14:textId="77777777">
      <w:pPr>
        <w:pStyle w:val="Textoindependiente"/>
        <w:spacing w:before="1" w:line="276" w:lineRule="auto"/>
        <w:ind w:left="300" w:right="311"/>
        <w:jc w:val="both"/>
        <w:rPr>
          <w:color w:val="000000" w:themeColor="text1"/>
        </w:rPr>
      </w:pPr>
      <w:r w:rsidRPr="00CB3E85">
        <w:rPr>
          <w:color w:val="000000" w:themeColor="text1"/>
        </w:rPr>
        <w:t>Los Documentos Base o Pliegos Tipo implementados y desarrollados a través de la Resolución No. 1798 del 01 de abril de 2019 expedida por la Agencia Nacional de Contratación Pública, aplican para los procesos de licitación de obra pública de infraestructura de transporte.</w:t>
      </w:r>
    </w:p>
    <w:p w:rsidRPr="00CB3E85" w:rsidR="009C09AF" w:rsidRDefault="009C09AF" w14:paraId="3D285036" w14:textId="77777777">
      <w:pPr>
        <w:pStyle w:val="Textoindependiente"/>
        <w:spacing w:before="93" w:line="276" w:lineRule="auto"/>
        <w:ind w:left="300" w:right="303"/>
        <w:jc w:val="both"/>
        <w:rPr>
          <w:color w:val="000000" w:themeColor="text1"/>
        </w:rPr>
      </w:pPr>
    </w:p>
    <w:p w:rsidRPr="00CB3E85" w:rsidR="00892702" w:rsidRDefault="00212A55" w14:paraId="31B51755" w14:textId="4C2B88B4">
      <w:pPr>
        <w:pStyle w:val="Textoindependiente"/>
        <w:spacing w:before="93" w:line="276" w:lineRule="auto"/>
        <w:ind w:left="300" w:right="303"/>
        <w:jc w:val="both"/>
        <w:rPr>
          <w:color w:val="000000" w:themeColor="text1"/>
        </w:rPr>
      </w:pPr>
      <w:r w:rsidRPr="00CB3E85">
        <w:rPr>
          <w:color w:val="000000" w:themeColor="text1"/>
        </w:rPr>
        <w:t>El Documento Base o Pliego Tipo, en el numeral 4.1.4, “DETERMINACIÓN DEL MÉTODO PARA PONDERACIÓN DE LA PROPUESTA ECONÓMICA”</w:t>
      </w:r>
      <w:r w:rsidRPr="00CB3E85" w:rsidR="00925932">
        <w:rPr>
          <w:rStyle w:val="Refdenotaalpie"/>
          <w:color w:val="000000" w:themeColor="text1"/>
        </w:rPr>
        <w:footnoteReference w:id="1"/>
      </w:r>
      <w:r w:rsidRPr="00CB3E85">
        <w:rPr>
          <w:color w:val="000000" w:themeColor="text1"/>
        </w:rPr>
        <w:t xml:space="preserve">, señala las alternativas para </w:t>
      </w:r>
      <w:r w:rsidRPr="00CB3E85">
        <w:rPr>
          <w:color w:val="000000" w:themeColor="text1"/>
        </w:rPr>
        <w:lastRenderedPageBreak/>
        <w:t xml:space="preserve">escoger el método de ponderación de la propuesta económica. Estas son las siguientes: i) mediana con valor absoluto, </w:t>
      </w:r>
      <w:proofErr w:type="spellStart"/>
      <w:r w:rsidRPr="00CB3E85">
        <w:rPr>
          <w:color w:val="000000" w:themeColor="text1"/>
        </w:rPr>
        <w:t>ii</w:t>
      </w:r>
      <w:proofErr w:type="spellEnd"/>
      <w:r w:rsidRPr="00CB3E85">
        <w:rPr>
          <w:color w:val="000000" w:themeColor="text1"/>
        </w:rPr>
        <w:t xml:space="preserve">) media geométrica con presupuesto oficial, </w:t>
      </w:r>
      <w:proofErr w:type="spellStart"/>
      <w:r w:rsidRPr="00CB3E85">
        <w:rPr>
          <w:color w:val="000000" w:themeColor="text1"/>
        </w:rPr>
        <w:t>iii</w:t>
      </w:r>
      <w:proofErr w:type="spellEnd"/>
      <w:r w:rsidRPr="00CB3E85">
        <w:rPr>
          <w:color w:val="000000" w:themeColor="text1"/>
        </w:rPr>
        <w:t xml:space="preserve">) medía aritmética alta, </w:t>
      </w:r>
      <w:proofErr w:type="spellStart"/>
      <w:r w:rsidRPr="00CB3E85">
        <w:rPr>
          <w:color w:val="000000" w:themeColor="text1"/>
        </w:rPr>
        <w:t>iv</w:t>
      </w:r>
      <w:proofErr w:type="spellEnd"/>
      <w:r w:rsidRPr="00CB3E85">
        <w:rPr>
          <w:color w:val="000000" w:themeColor="text1"/>
        </w:rPr>
        <w:t>) media aritmética baja y, v) menor valor.</w:t>
      </w:r>
    </w:p>
    <w:p w:rsidRPr="00CB3E85" w:rsidR="00892702" w:rsidRDefault="00892702" w14:paraId="0B4CEA61" w14:textId="77777777">
      <w:pPr>
        <w:pStyle w:val="Textoindependiente"/>
        <w:spacing w:before="6"/>
        <w:rPr>
          <w:color w:val="000000" w:themeColor="text1"/>
          <w:sz w:val="25"/>
        </w:rPr>
      </w:pPr>
    </w:p>
    <w:p w:rsidRPr="00CB3E85" w:rsidR="00892702" w:rsidRDefault="00212A55" w14:paraId="20C83E31" w14:textId="77777777">
      <w:pPr>
        <w:pStyle w:val="Textoindependiente"/>
        <w:spacing w:line="276" w:lineRule="auto"/>
        <w:ind w:left="300" w:right="308"/>
        <w:jc w:val="both"/>
        <w:rPr>
          <w:color w:val="000000" w:themeColor="text1"/>
        </w:rPr>
      </w:pPr>
      <w:r w:rsidRPr="00CB3E85">
        <w:rPr>
          <w:color w:val="000000" w:themeColor="text1"/>
        </w:rPr>
        <w:t>La entidad estatal escogerá uno u otro método de ponderación, de acuerdo con la Tasa de Cambio Representativa (TRM) del día de la “Audiencia efectiva de Adjudicación”, definida en el cronograma al momento del cierre del proceso de selección. En este sentido, a pesar de que se expidan adendas modificando la fecha en que se realizará la audiencia efectiva de adjudicación, se tendrá en cuenta la fecha definida en el cronograma al momento del cierre del proceso, como lo indica el documento base o pliego tipo en el numeral 4.1.4.</w:t>
      </w:r>
    </w:p>
    <w:p w:rsidRPr="00CB3E85" w:rsidR="00892702" w:rsidRDefault="00892702" w14:paraId="3D06A50F" w14:textId="77777777">
      <w:pPr>
        <w:pStyle w:val="Textoindependiente"/>
        <w:spacing w:before="2"/>
        <w:rPr>
          <w:color w:val="000000" w:themeColor="text1"/>
          <w:sz w:val="25"/>
        </w:rPr>
      </w:pPr>
    </w:p>
    <w:p w:rsidRPr="00CB3E85" w:rsidR="00892702" w:rsidRDefault="00212A55" w14:paraId="42F70053" w14:textId="77777777">
      <w:pPr>
        <w:pStyle w:val="Textoindependiente"/>
        <w:spacing w:line="276" w:lineRule="auto"/>
        <w:ind w:left="300" w:right="303"/>
        <w:jc w:val="both"/>
        <w:rPr>
          <w:color w:val="000000" w:themeColor="text1"/>
        </w:rPr>
      </w:pPr>
      <w:r w:rsidRPr="00CB3E85">
        <w:rPr>
          <w:color w:val="000000" w:themeColor="text1"/>
        </w:rPr>
        <w:t>Por su parte, la Agencia Nacional de Contratación Pública – Colombia Compra Eficiente- expidió la “</w:t>
      </w:r>
      <w:bookmarkStart w:name="_Hlk37511427" w:id="0"/>
      <w:r w:rsidRPr="00CB3E85">
        <w:rPr>
          <w:color w:val="000000" w:themeColor="text1"/>
        </w:rPr>
        <w:t xml:space="preserve">Guía para la comprensión e implementación de los Documentos Tipo de licitación de obra de infraestructura de transporte”, </w:t>
      </w:r>
      <w:bookmarkEnd w:id="0"/>
      <w:r w:rsidRPr="00CB3E85">
        <w:rPr>
          <w:color w:val="000000" w:themeColor="text1"/>
        </w:rPr>
        <w:t>a través de la cual se hacen aclaraciones sobre el contenido del Pliego Tipo. Esta guía definió pasos para determinar cómo las entidades estatales escogen el método de ponderación de la propuesta económica, en los siguientes términos:</w:t>
      </w:r>
    </w:p>
    <w:p w:rsidRPr="00CB3E85" w:rsidR="00892702" w:rsidRDefault="00892702" w14:paraId="18D43BC2" w14:textId="77777777">
      <w:pPr>
        <w:pStyle w:val="Textoindependiente"/>
        <w:spacing w:before="4"/>
        <w:rPr>
          <w:color w:val="000000" w:themeColor="text1"/>
          <w:sz w:val="25"/>
        </w:rPr>
      </w:pPr>
    </w:p>
    <w:p w:rsidRPr="00CB3E85" w:rsidR="00892702" w:rsidP="00E55CC3" w:rsidRDefault="00212A55" w14:paraId="557C7DBE" w14:textId="69AD2CD4">
      <w:pPr>
        <w:spacing w:before="1"/>
        <w:ind w:left="868" w:right="590"/>
        <w:jc w:val="both"/>
        <w:rPr>
          <w:color w:val="000000" w:themeColor="text1"/>
          <w:sz w:val="21"/>
        </w:rPr>
      </w:pPr>
      <w:r w:rsidRPr="00CB3E85">
        <w:rPr>
          <w:color w:val="000000" w:themeColor="text1"/>
          <w:sz w:val="21"/>
        </w:rPr>
        <w:t>La página de la Superintendencia Financiera de Colombia es clara al indicar la TRM que aplica en una fecha específica. Para evitar confusiones en relación con la hora de publicación, se recomienda sólo acudir a esta página web para hacer la consulta.</w:t>
      </w:r>
    </w:p>
    <w:p w:rsidRPr="00CB3E85" w:rsidR="00E55CC3" w:rsidP="00E55CC3" w:rsidRDefault="00E55CC3" w14:paraId="339DC26B" w14:textId="77777777">
      <w:pPr>
        <w:spacing w:before="1"/>
        <w:ind w:left="868" w:right="590"/>
        <w:jc w:val="both"/>
        <w:rPr>
          <w:color w:val="000000" w:themeColor="text1"/>
          <w:sz w:val="16"/>
        </w:rPr>
      </w:pPr>
    </w:p>
    <w:p w:rsidRPr="00CB3E85" w:rsidR="00892702" w:rsidP="00A20408" w:rsidRDefault="00212A55" w14:paraId="23F0CEE5" w14:textId="77777777">
      <w:pPr>
        <w:spacing w:before="94"/>
        <w:ind w:left="868"/>
        <w:jc w:val="both"/>
        <w:rPr>
          <w:color w:val="000000" w:themeColor="text1"/>
          <w:sz w:val="21"/>
        </w:rPr>
      </w:pPr>
      <w:r w:rsidRPr="00CB3E85">
        <w:rPr>
          <w:color w:val="000000" w:themeColor="text1"/>
          <w:sz w:val="21"/>
        </w:rPr>
        <w:t>Para conocer la TRM aplicable se recomienda seguir el siguiente procedimiento:</w:t>
      </w:r>
    </w:p>
    <w:p w:rsidRPr="00CB3E85" w:rsidR="00892702" w:rsidP="00A20408" w:rsidRDefault="00892702" w14:paraId="683DFE1B" w14:textId="77777777">
      <w:pPr>
        <w:pStyle w:val="Textoindependiente"/>
        <w:spacing w:before="2"/>
        <w:jc w:val="both"/>
        <w:rPr>
          <w:color w:val="000000" w:themeColor="text1"/>
          <w:sz w:val="21"/>
        </w:rPr>
      </w:pPr>
    </w:p>
    <w:p w:rsidRPr="00CB3E85" w:rsidR="00892702" w:rsidP="00A20408" w:rsidRDefault="00212A55" w14:paraId="2D4A46A0" w14:textId="77777777">
      <w:pPr>
        <w:ind w:left="1008" w:right="594" w:hanging="140"/>
        <w:jc w:val="both"/>
        <w:rPr>
          <w:color w:val="000000" w:themeColor="text1"/>
          <w:sz w:val="21"/>
        </w:rPr>
      </w:pPr>
      <w:r w:rsidRPr="00CB3E85">
        <w:rPr>
          <w:color w:val="000000" w:themeColor="text1"/>
          <w:sz w:val="21"/>
        </w:rPr>
        <w:t>-Identificar el cronograma que está o estaba vigente al cierre de presentación de ofertas.</w:t>
      </w:r>
    </w:p>
    <w:p w:rsidRPr="00CB3E85" w:rsidR="00892702" w:rsidP="00A20408" w:rsidRDefault="00212A55" w14:paraId="1584226C" w14:textId="77777777">
      <w:pPr>
        <w:spacing w:line="240" w:lineRule="exact"/>
        <w:ind w:left="868"/>
        <w:jc w:val="both"/>
        <w:rPr>
          <w:color w:val="000000" w:themeColor="text1"/>
          <w:sz w:val="21"/>
        </w:rPr>
      </w:pPr>
      <w:r w:rsidRPr="00CB3E85">
        <w:rPr>
          <w:color w:val="000000" w:themeColor="text1"/>
          <w:sz w:val="21"/>
        </w:rPr>
        <w:t>-Dentro de ese cronograma observar cual es la fecha definida para la adjudicación.</w:t>
      </w:r>
    </w:p>
    <w:p w:rsidRPr="00CB3E85" w:rsidR="00892702" w:rsidP="00A20408" w:rsidRDefault="00212A55" w14:paraId="092948DA" w14:textId="77777777">
      <w:pPr>
        <w:ind w:left="868" w:right="593"/>
        <w:jc w:val="both"/>
        <w:rPr>
          <w:color w:val="000000" w:themeColor="text1"/>
          <w:sz w:val="21"/>
        </w:rPr>
      </w:pPr>
      <w:r w:rsidRPr="00CB3E85">
        <w:rPr>
          <w:color w:val="000000" w:themeColor="text1"/>
          <w:sz w:val="21"/>
        </w:rPr>
        <w:t>- Buscar en el siguiente enlace: https://</w:t>
      </w:r>
      <w:hyperlink r:id="rId11">
        <w:r w:rsidRPr="00CB3E85">
          <w:rPr>
            <w:color w:val="000000" w:themeColor="text1"/>
            <w:sz w:val="21"/>
          </w:rPr>
          <w:t>www.superfinanciera.gov.co/publicacion/60819</w:t>
        </w:r>
      </w:hyperlink>
      <w:r w:rsidRPr="00CB3E85">
        <w:rPr>
          <w:color w:val="000000" w:themeColor="text1"/>
          <w:sz w:val="21"/>
        </w:rPr>
        <w:t xml:space="preserve"> la TRM del día de la audiencia de adjudicación vigente a la fecha presentación de ofertas. Esto aplica aún si fue modificado el cronograma del Proceso de Contratación con posterioridad a la fecha del cierre.</w:t>
      </w:r>
    </w:p>
    <w:p w:rsidRPr="00CB3E85" w:rsidR="00892702" w:rsidP="00A20408" w:rsidRDefault="00892702" w14:paraId="0FDC8ED7" w14:textId="77777777">
      <w:pPr>
        <w:pStyle w:val="Textoindependiente"/>
        <w:spacing w:before="1"/>
        <w:jc w:val="both"/>
        <w:rPr>
          <w:color w:val="000000" w:themeColor="text1"/>
          <w:sz w:val="21"/>
        </w:rPr>
      </w:pPr>
    </w:p>
    <w:p w:rsidRPr="00CB3E85" w:rsidR="00892702" w:rsidP="00A20408" w:rsidRDefault="00212A55" w14:paraId="1B609810" w14:textId="4D3AE103">
      <w:pPr>
        <w:spacing w:line="237" w:lineRule="auto"/>
        <w:ind w:left="868" w:right="594"/>
        <w:jc w:val="both"/>
        <w:rPr>
          <w:color w:val="000000" w:themeColor="text1"/>
          <w:sz w:val="21"/>
        </w:rPr>
      </w:pPr>
      <w:r w:rsidRPr="00CB3E85">
        <w:rPr>
          <w:color w:val="000000" w:themeColor="text1"/>
          <w:sz w:val="21"/>
        </w:rPr>
        <w:t>Seleccionar los centavos (dos cifras después de la coma) de dicha TRM y contrastarlos con los rangos del siguiente cuadro</w:t>
      </w:r>
      <w:r w:rsidRPr="00CB3E85" w:rsidR="00925932">
        <w:rPr>
          <w:rStyle w:val="Refdenotaalpie"/>
          <w:color w:val="000000" w:themeColor="text1"/>
          <w:sz w:val="21"/>
        </w:rPr>
        <w:footnoteReference w:id="2"/>
      </w:r>
      <w:r w:rsidRPr="00CB3E85">
        <w:rPr>
          <w:color w:val="000000" w:themeColor="text1"/>
          <w:sz w:val="21"/>
        </w:rPr>
        <w:t>.</w:t>
      </w:r>
    </w:p>
    <w:p w:rsidRPr="00CB3E85" w:rsidR="00892702" w:rsidRDefault="00892702" w14:paraId="63B65C00" w14:textId="77777777">
      <w:pPr>
        <w:pStyle w:val="Textoindependiente"/>
        <w:rPr>
          <w:color w:val="000000" w:themeColor="text1"/>
          <w:sz w:val="21"/>
        </w:rPr>
      </w:pPr>
    </w:p>
    <w:p w:rsidRPr="00CB3E85" w:rsidR="00892702" w:rsidRDefault="00212A55" w14:paraId="65F4630F" w14:textId="77777777">
      <w:pPr>
        <w:pStyle w:val="Textoindependiente"/>
        <w:ind w:left="300" w:right="589"/>
        <w:jc w:val="both"/>
        <w:rPr>
          <w:color w:val="000000" w:themeColor="text1"/>
        </w:rPr>
      </w:pPr>
      <w:r w:rsidRPr="00CB3E85">
        <w:rPr>
          <w:color w:val="000000" w:themeColor="text1"/>
        </w:rPr>
        <w:t xml:space="preserve">Por lo tanto, se sugiere a las entidades estatales tener en cuenta los pasos indicados en la Guía, para determinar el método de ponderación de la propuesta económica, teniendo </w:t>
      </w:r>
      <w:r w:rsidRPr="00CB3E85">
        <w:rPr>
          <w:color w:val="000000" w:themeColor="text1"/>
        </w:rPr>
        <w:lastRenderedPageBreak/>
        <w:t>en cuenta el día de la audiencia efectiva de adjudicación definido en el cronograma del proceso al momento del cierre del</w:t>
      </w:r>
      <w:r w:rsidRPr="00CB3E85">
        <w:rPr>
          <w:color w:val="000000" w:themeColor="text1"/>
          <w:spacing w:val="-11"/>
        </w:rPr>
        <w:t xml:space="preserve"> </w:t>
      </w:r>
      <w:r w:rsidRPr="00CB3E85">
        <w:rPr>
          <w:color w:val="000000" w:themeColor="text1"/>
        </w:rPr>
        <w:t>proceso.</w:t>
      </w:r>
    </w:p>
    <w:p w:rsidRPr="00CB3E85" w:rsidR="00892702" w:rsidRDefault="00892702" w14:paraId="6B892856" w14:textId="77777777">
      <w:pPr>
        <w:pStyle w:val="Textoindependiente"/>
        <w:spacing w:before="3"/>
        <w:rPr>
          <w:color w:val="000000" w:themeColor="text1"/>
          <w:sz w:val="25"/>
        </w:rPr>
      </w:pPr>
    </w:p>
    <w:p w:rsidRPr="00CB3E85" w:rsidR="00892702" w:rsidRDefault="00212A55" w14:paraId="07DD6F0B" w14:textId="77777777">
      <w:pPr>
        <w:pStyle w:val="Ttulo1"/>
        <w:numPr>
          <w:ilvl w:val="0"/>
          <w:numId w:val="2"/>
        </w:numPr>
        <w:tabs>
          <w:tab w:val="left" w:pos="544"/>
        </w:tabs>
        <w:ind w:hanging="244"/>
        <w:rPr>
          <w:color w:val="000000" w:themeColor="text1"/>
        </w:rPr>
      </w:pPr>
      <w:r w:rsidRPr="00CB3E85">
        <w:rPr>
          <w:color w:val="000000" w:themeColor="text1"/>
        </w:rPr>
        <w:t>Respuesta</w:t>
      </w:r>
    </w:p>
    <w:p w:rsidRPr="00CB3E85" w:rsidR="00892702" w:rsidRDefault="00892702" w14:paraId="54F9BFF4" w14:textId="77777777">
      <w:pPr>
        <w:pStyle w:val="Textoindependiente"/>
        <w:spacing w:before="8"/>
        <w:rPr>
          <w:b/>
          <w:color w:val="000000" w:themeColor="text1"/>
          <w:sz w:val="28"/>
        </w:rPr>
      </w:pPr>
    </w:p>
    <w:p w:rsidRPr="00CB3E85" w:rsidR="00892702" w:rsidRDefault="00212A55" w14:paraId="0C45CE02" w14:textId="77777777">
      <w:pPr>
        <w:pStyle w:val="Textoindependiente"/>
        <w:spacing w:line="276" w:lineRule="auto"/>
        <w:ind w:left="300" w:right="304"/>
        <w:jc w:val="both"/>
        <w:rPr>
          <w:color w:val="000000" w:themeColor="text1"/>
        </w:rPr>
      </w:pPr>
      <w:r w:rsidRPr="00CB3E85">
        <w:rPr>
          <w:color w:val="000000" w:themeColor="text1"/>
        </w:rPr>
        <w:t>Para determinar el método de ponderación de la propuesta económica, la entidad deberá tener en cuenta la TRM del día de la “audiencia efectiva de adjudicación” entendida como la definida en el cronograma vigente al cierre del proceso, y no la fecha modificada a través de</w:t>
      </w:r>
      <w:r w:rsidRPr="00CB3E85">
        <w:rPr>
          <w:color w:val="000000" w:themeColor="text1"/>
          <w:spacing w:val="-2"/>
        </w:rPr>
        <w:t xml:space="preserve"> </w:t>
      </w:r>
      <w:r w:rsidRPr="00CB3E85">
        <w:rPr>
          <w:color w:val="000000" w:themeColor="text1"/>
        </w:rPr>
        <w:t>adenda.</w:t>
      </w:r>
    </w:p>
    <w:p w:rsidRPr="00CB3E85" w:rsidR="00892702" w:rsidRDefault="00892702" w14:paraId="6CFCD873" w14:textId="77777777">
      <w:pPr>
        <w:pStyle w:val="Textoindependiente"/>
        <w:spacing w:before="1"/>
        <w:rPr>
          <w:color w:val="000000" w:themeColor="text1"/>
        </w:rPr>
      </w:pPr>
    </w:p>
    <w:p w:rsidRPr="00CB3E85" w:rsidR="00892702" w:rsidRDefault="00212A55" w14:paraId="3B0896AF" w14:textId="77777777">
      <w:pPr>
        <w:pStyle w:val="Ttulo1"/>
        <w:numPr>
          <w:ilvl w:val="0"/>
          <w:numId w:val="1"/>
        </w:numPr>
        <w:tabs>
          <w:tab w:val="left" w:pos="604"/>
        </w:tabs>
        <w:ind w:hanging="244"/>
        <w:rPr>
          <w:color w:val="000000" w:themeColor="text1"/>
        </w:rPr>
      </w:pPr>
      <w:r w:rsidRPr="00CB3E85">
        <w:rPr>
          <w:color w:val="000000" w:themeColor="text1"/>
        </w:rPr>
        <w:t>Segundo problema</w:t>
      </w:r>
      <w:r w:rsidRPr="00CB3E85">
        <w:rPr>
          <w:color w:val="000000" w:themeColor="text1"/>
          <w:spacing w:val="-4"/>
        </w:rPr>
        <w:t xml:space="preserve"> </w:t>
      </w:r>
      <w:r w:rsidRPr="00CB3E85">
        <w:rPr>
          <w:color w:val="000000" w:themeColor="text1"/>
        </w:rPr>
        <w:t>planteado</w:t>
      </w:r>
    </w:p>
    <w:p w:rsidRPr="00CB3E85" w:rsidR="00892702" w:rsidRDefault="00892702" w14:paraId="5389886C" w14:textId="77777777">
      <w:pPr>
        <w:pStyle w:val="Textoindependiente"/>
        <w:spacing w:before="5"/>
        <w:rPr>
          <w:b/>
          <w:color w:val="000000" w:themeColor="text1"/>
          <w:sz w:val="28"/>
        </w:rPr>
      </w:pPr>
    </w:p>
    <w:p w:rsidRPr="00CB3E85" w:rsidR="00892702" w:rsidRDefault="00212A55" w14:paraId="5E4370B2" w14:textId="77777777">
      <w:pPr>
        <w:pStyle w:val="Textoindependiente"/>
        <w:spacing w:line="276" w:lineRule="auto"/>
        <w:ind w:left="300" w:right="305"/>
        <w:jc w:val="both"/>
        <w:rPr>
          <w:color w:val="000000" w:themeColor="text1"/>
        </w:rPr>
      </w:pPr>
      <w:r w:rsidRPr="00CB3E85">
        <w:rPr>
          <w:color w:val="000000" w:themeColor="text1"/>
        </w:rPr>
        <w:t>El peticionario pregunta frente a los procesos de contratación para licitación de obra pública de infraestructura de transporte que se adelantan por lotes lo siguiente: “¿La experiencia para cada grupo debe ser independiente? es decir, si como proponente quiero ofertar por todos y cada uno de los grupos, debo aportar contratos diferentes para cada grupo o ¿es válido presentar los mismos contratos para cada</w:t>
      </w:r>
      <w:r w:rsidRPr="00CB3E85">
        <w:rPr>
          <w:color w:val="000000" w:themeColor="text1"/>
          <w:spacing w:val="-13"/>
        </w:rPr>
        <w:t xml:space="preserve"> </w:t>
      </w:r>
      <w:r w:rsidRPr="00CB3E85">
        <w:rPr>
          <w:color w:val="000000" w:themeColor="text1"/>
        </w:rPr>
        <w:t>grupo?”.</w:t>
      </w:r>
    </w:p>
    <w:p w:rsidRPr="00CB3E85" w:rsidR="00892702" w:rsidRDefault="00892702" w14:paraId="5C475838" w14:textId="77777777">
      <w:pPr>
        <w:pStyle w:val="Textoindependiente"/>
        <w:spacing w:before="5"/>
        <w:rPr>
          <w:color w:val="000000" w:themeColor="text1"/>
          <w:sz w:val="25"/>
        </w:rPr>
      </w:pPr>
    </w:p>
    <w:p w:rsidRPr="00CB3E85" w:rsidR="00892702" w:rsidRDefault="00212A55" w14:paraId="38104A57" w14:textId="77777777">
      <w:pPr>
        <w:pStyle w:val="Ttulo1"/>
        <w:numPr>
          <w:ilvl w:val="0"/>
          <w:numId w:val="1"/>
        </w:numPr>
        <w:tabs>
          <w:tab w:val="left" w:pos="544"/>
        </w:tabs>
        <w:spacing w:before="1"/>
        <w:ind w:left="543" w:hanging="244"/>
        <w:rPr>
          <w:color w:val="000000" w:themeColor="text1"/>
        </w:rPr>
      </w:pPr>
      <w:r w:rsidRPr="00CB3E85">
        <w:rPr>
          <w:color w:val="000000" w:themeColor="text1"/>
        </w:rPr>
        <w:t>Consideraciones</w:t>
      </w:r>
    </w:p>
    <w:p w:rsidRPr="00CB3E85" w:rsidR="00892702" w:rsidRDefault="00892702" w14:paraId="6400B7F5" w14:textId="77777777">
      <w:pPr>
        <w:pStyle w:val="Textoindependiente"/>
        <w:spacing w:before="5"/>
        <w:rPr>
          <w:b/>
          <w:color w:val="000000" w:themeColor="text1"/>
          <w:sz w:val="28"/>
        </w:rPr>
      </w:pPr>
    </w:p>
    <w:p w:rsidRPr="00CB3E85" w:rsidR="00892702" w:rsidP="00E55CC3" w:rsidRDefault="00212A55" w14:paraId="7EE90E99" w14:textId="2D22C4F1">
      <w:pPr>
        <w:pStyle w:val="Textoindependiente"/>
        <w:spacing w:line="276" w:lineRule="auto"/>
        <w:ind w:left="300" w:right="308"/>
        <w:jc w:val="both"/>
        <w:rPr>
          <w:color w:val="000000" w:themeColor="text1"/>
        </w:rPr>
      </w:pPr>
      <w:r w:rsidRPr="00CB3E85">
        <w:rPr>
          <w:color w:val="000000" w:themeColor="text1"/>
        </w:rPr>
        <w:t>Las normas que rigen el Sistema de Compra Pública no prohíben a las entidades estatales que por medio de un proceso de contratación se seleccionen varios proveedores a través de la adjudicación por lotes o grupos. En este sentido, le corresponde a la entidad</w:t>
      </w:r>
      <w:r w:rsidRPr="00CB3E85" w:rsidR="00925932">
        <w:rPr>
          <w:color w:val="000000" w:themeColor="text1"/>
        </w:rPr>
        <w:t xml:space="preserve"> </w:t>
      </w:r>
      <w:r w:rsidRPr="00CB3E85">
        <w:rPr>
          <w:color w:val="000000" w:themeColor="text1"/>
        </w:rPr>
        <w:t>determinar, según sus necesidades, si adelantar un proceso de contratación por lotes genera mayor valor desde el punto de vista de la eficacia, eficiencia, economía, y de esta manera garantiza el cumplimiento de los objetivos misionales y los fines del Estado</w:t>
      </w:r>
      <w:r w:rsidRPr="00CB3E85" w:rsidR="00925932">
        <w:rPr>
          <w:rStyle w:val="Refdenotaalpie"/>
          <w:color w:val="000000" w:themeColor="text1"/>
        </w:rPr>
        <w:footnoteReference w:id="3"/>
      </w:r>
      <w:r w:rsidRPr="00CB3E85">
        <w:rPr>
          <w:color w:val="000000" w:themeColor="text1"/>
        </w:rPr>
        <w:t>.</w:t>
      </w:r>
    </w:p>
    <w:p w:rsidRPr="00CB3E85" w:rsidR="00892702" w:rsidRDefault="00892702" w14:paraId="4DE205E2" w14:textId="77777777">
      <w:pPr>
        <w:pStyle w:val="Textoindependiente"/>
        <w:spacing w:before="5"/>
        <w:rPr>
          <w:color w:val="000000" w:themeColor="text1"/>
          <w:sz w:val="20"/>
        </w:rPr>
      </w:pPr>
    </w:p>
    <w:p w:rsidRPr="00CB3E85" w:rsidR="00892702" w:rsidRDefault="00212A55" w14:paraId="73088424" w14:textId="77777777">
      <w:pPr>
        <w:pStyle w:val="Textoindependiente"/>
        <w:spacing w:line="276" w:lineRule="auto"/>
        <w:ind w:left="300" w:right="304"/>
        <w:jc w:val="both"/>
        <w:rPr>
          <w:color w:val="000000" w:themeColor="text1"/>
        </w:rPr>
      </w:pPr>
      <w:r w:rsidRPr="00CB3E85">
        <w:rPr>
          <w:color w:val="000000" w:themeColor="text1"/>
        </w:rPr>
        <w:t xml:space="preserve">Así las cosas, aun cuando por un mismo proceso de selección se van a celebrar varios contratos, por medio de la modalidad de grupos o lotes, cada lote o grupo deberá tener definida la experiencia exigible como requisito habilitante según el valor de dicho lote o grupo, que en todo caso debe analizarse de manera independiente para cada uno. De tal forma, teniendo en cuenta que la experiencia no se agota con la presentación de los contratos en varios procesos de contratación, la entidad estatal, al configurar las reglas para la evaluación de este requisito en los procesos que se adelanten por lotes, debe permitir que </w:t>
      </w:r>
      <w:r w:rsidRPr="00CB3E85">
        <w:rPr>
          <w:color w:val="000000" w:themeColor="text1"/>
        </w:rPr>
        <w:lastRenderedPageBreak/>
        <w:t>el proponente opte por acreditar su experiencia para los diferentes lotes con los mismos contratos, siempre que estos cumplan con las condiciones propias de cada uno de los</w:t>
      </w:r>
      <w:r w:rsidRPr="00CB3E85">
        <w:rPr>
          <w:color w:val="000000" w:themeColor="text1"/>
          <w:spacing w:val="-3"/>
        </w:rPr>
        <w:t xml:space="preserve"> </w:t>
      </w:r>
      <w:r w:rsidRPr="00CB3E85">
        <w:rPr>
          <w:color w:val="000000" w:themeColor="text1"/>
        </w:rPr>
        <w:t>lotes.</w:t>
      </w:r>
    </w:p>
    <w:p w:rsidRPr="00CB3E85" w:rsidR="00892702" w:rsidRDefault="00892702" w14:paraId="28C25F80" w14:textId="77777777">
      <w:pPr>
        <w:pStyle w:val="Textoindependiente"/>
        <w:spacing w:before="4"/>
        <w:rPr>
          <w:color w:val="000000" w:themeColor="text1"/>
          <w:sz w:val="25"/>
        </w:rPr>
      </w:pPr>
    </w:p>
    <w:p w:rsidRPr="00CB3E85" w:rsidR="00892702" w:rsidRDefault="00212A55" w14:paraId="43D6863E" w14:textId="7126F5F4">
      <w:pPr>
        <w:pStyle w:val="Textoindependiente"/>
        <w:spacing w:line="273" w:lineRule="auto"/>
        <w:ind w:left="300" w:right="308"/>
        <w:jc w:val="both"/>
        <w:rPr>
          <w:color w:val="000000" w:themeColor="text1"/>
        </w:rPr>
      </w:pPr>
      <w:r w:rsidRPr="00CB3E85">
        <w:rPr>
          <w:color w:val="000000" w:themeColor="text1"/>
        </w:rPr>
        <w:t>La experiencia requerida en un Proceso de Contratación debe ser adecuada y proporcional a la naturaleza del contrato y su valor</w:t>
      </w:r>
      <w:r w:rsidRPr="00CB3E85" w:rsidR="00925932">
        <w:rPr>
          <w:rStyle w:val="Refdenotaalpie"/>
          <w:color w:val="000000" w:themeColor="text1"/>
        </w:rPr>
        <w:footnoteReference w:id="4"/>
      </w:r>
      <w:r w:rsidRPr="00CB3E85">
        <w:rPr>
          <w:color w:val="000000" w:themeColor="text1"/>
        </w:rPr>
        <w:t>.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w:t>
      </w:r>
    </w:p>
    <w:p w:rsidRPr="00CB3E85" w:rsidR="00892702" w:rsidRDefault="00892702" w14:paraId="17E8E313" w14:textId="77777777">
      <w:pPr>
        <w:pStyle w:val="Textoindependiente"/>
        <w:spacing w:before="1"/>
        <w:rPr>
          <w:color w:val="000000" w:themeColor="text1"/>
          <w:sz w:val="26"/>
        </w:rPr>
      </w:pPr>
    </w:p>
    <w:p w:rsidRPr="00CB3E85" w:rsidR="00892702" w:rsidP="00925932" w:rsidRDefault="00212A55" w14:paraId="561698F6" w14:textId="2DFD674D">
      <w:pPr>
        <w:pStyle w:val="Textoindependiente"/>
        <w:spacing w:line="276" w:lineRule="auto"/>
        <w:ind w:left="300" w:right="304"/>
        <w:jc w:val="both"/>
        <w:rPr>
          <w:color w:val="000000" w:themeColor="text1"/>
        </w:rPr>
      </w:pPr>
      <w:r w:rsidRPr="00CB3E85">
        <w:rPr>
          <w:color w:val="000000" w:themeColor="text1"/>
        </w:rPr>
        <w:t>La experiencia es proporcional cuando tiene relación con el alcance, la cuantía y complejidad del contrato a celebrar. Por ejemplo, en un Proceso de Contratación de obra pública con un presupuesto oficial de 100 SMMLV, la experiencia exigida es proporcional si</w:t>
      </w:r>
      <w:r w:rsidRPr="00CB3E85" w:rsidR="00925932">
        <w:rPr>
          <w:color w:val="000000" w:themeColor="text1"/>
        </w:rPr>
        <w:t xml:space="preserve"> </w:t>
      </w:r>
      <w:r w:rsidRPr="00CB3E85">
        <w:rPr>
          <w:color w:val="000000" w:themeColor="text1"/>
        </w:rPr>
        <w:t>la Entidad Estatal exige que los proponentes hayan participado en Procesos de Contratación de 50 SMMLV del mismo tipo de obra</w:t>
      </w:r>
      <w:r w:rsidRPr="00CB3E85" w:rsidR="00925932">
        <w:rPr>
          <w:rStyle w:val="Refdenotaalpie"/>
          <w:color w:val="000000" w:themeColor="text1"/>
        </w:rPr>
        <w:footnoteReference w:id="5"/>
      </w:r>
      <w:r w:rsidRPr="00CB3E85">
        <w:rPr>
          <w:color w:val="000000" w:themeColor="text1"/>
        </w:rPr>
        <w:t>.</w:t>
      </w:r>
    </w:p>
    <w:p w:rsidRPr="00CB3E85" w:rsidR="00892702" w:rsidRDefault="00892702" w14:paraId="3BF6EA90" w14:textId="77777777">
      <w:pPr>
        <w:pStyle w:val="Textoindependiente"/>
        <w:spacing w:before="1"/>
        <w:rPr>
          <w:color w:val="000000" w:themeColor="text1"/>
          <w:sz w:val="25"/>
        </w:rPr>
      </w:pPr>
    </w:p>
    <w:p w:rsidRPr="00CB3E85" w:rsidR="00892702" w:rsidRDefault="00212A55" w14:paraId="0A915DF3" w14:textId="77777777">
      <w:pPr>
        <w:pStyle w:val="Textoindependiente"/>
        <w:spacing w:line="276" w:lineRule="auto"/>
        <w:ind w:left="300" w:right="305"/>
        <w:jc w:val="both"/>
        <w:rPr>
          <w:color w:val="000000" w:themeColor="text1"/>
        </w:rPr>
      </w:pPr>
      <w:r w:rsidRPr="00CB3E85">
        <w:rPr>
          <w:color w:val="000000" w:themeColor="text1"/>
        </w:rPr>
        <w:t>Ahora, tratándose de la acreditación de la experiencia conforme a los Documentos Tipo para licitación de obra pública de infraestructura de transporte, se debe tener en cuenta lo indicado en la “Matriz 1 – Experiencia”. Dicho documento contiene las actividades requeridas para la acreditación de experiencia en relación con el objeto a contratar. Así mismo, señala la experiencia general y específica que debe acreditar el proponente, dependiendo de las actividades y cuantía del proceso de contratación.</w:t>
      </w:r>
    </w:p>
    <w:p w:rsidRPr="00CB3E85" w:rsidR="00892702" w:rsidRDefault="00892702" w14:paraId="05CDD945" w14:textId="77777777">
      <w:pPr>
        <w:pStyle w:val="Textoindependiente"/>
        <w:spacing w:before="2"/>
        <w:rPr>
          <w:color w:val="000000" w:themeColor="text1"/>
          <w:sz w:val="25"/>
        </w:rPr>
      </w:pPr>
    </w:p>
    <w:p w:rsidRPr="00CB3E85" w:rsidR="00892702" w:rsidRDefault="00212A55" w14:paraId="4514E310" w14:textId="77777777">
      <w:pPr>
        <w:pStyle w:val="Textoindependiente"/>
        <w:spacing w:line="276" w:lineRule="auto"/>
        <w:ind w:left="300" w:right="311"/>
        <w:jc w:val="both"/>
        <w:rPr>
          <w:color w:val="000000" w:themeColor="text1"/>
        </w:rPr>
      </w:pPr>
      <w:r w:rsidRPr="00CB3E85">
        <w:rPr>
          <w:color w:val="000000" w:themeColor="text1"/>
        </w:rPr>
        <w:t>Cuando las entidades estatales adelanten procesos de contratación de licitación de obra pública de infraestructura de transportes por lotes o grupos, de acuerdo con la orientación o recomendación dada en la “Guía para la comprensión e implementación de los Documentos Tipo de licitación de obra de infraestructura de transporte”, “deberán aplicar los Documentos Tipo para cada uno de los lotes que corresponda, para lo cual, deberá adaptar el contenido de estos, teniendo en cuenta que la experiencia debe analizarse de manera independiente para cada uno de los</w:t>
      </w:r>
      <w:r w:rsidRPr="00CB3E85">
        <w:rPr>
          <w:color w:val="000000" w:themeColor="text1"/>
          <w:spacing w:val="-10"/>
        </w:rPr>
        <w:t xml:space="preserve"> </w:t>
      </w:r>
      <w:r w:rsidRPr="00CB3E85">
        <w:rPr>
          <w:color w:val="000000" w:themeColor="text1"/>
        </w:rPr>
        <w:t>lotes”.</w:t>
      </w:r>
    </w:p>
    <w:p w:rsidRPr="00CB3E85" w:rsidR="00892702" w:rsidRDefault="00892702" w14:paraId="4D57C317" w14:textId="77777777">
      <w:pPr>
        <w:pStyle w:val="Textoindependiente"/>
        <w:spacing w:before="4"/>
        <w:rPr>
          <w:color w:val="000000" w:themeColor="text1"/>
          <w:sz w:val="25"/>
        </w:rPr>
      </w:pPr>
    </w:p>
    <w:p w:rsidRPr="00CB3E85" w:rsidR="00892702" w:rsidRDefault="00212A55" w14:paraId="3AE420DF" w14:textId="77777777">
      <w:pPr>
        <w:pStyle w:val="Textoindependiente"/>
        <w:spacing w:line="276" w:lineRule="auto"/>
        <w:ind w:left="300" w:right="304"/>
        <w:jc w:val="both"/>
        <w:rPr>
          <w:color w:val="000000" w:themeColor="text1"/>
        </w:rPr>
      </w:pPr>
      <w:r w:rsidRPr="00CB3E85">
        <w:rPr>
          <w:color w:val="000000" w:themeColor="text1"/>
        </w:rPr>
        <w:t>En este sentido, la entidad estatal, al establecer la experiencia general y específica de cada lote, debe tener en cuenta el presupuesto oficial, el objeto y el alcance de las actividades a ejecutar del lote. Así, es posible que acorde con la aplicación de la “Matriz 1- Experiencia”, se solicite experiencia diferente para cada lote, caso en el cual los proponentes deberán determinar si los contratos que se pretenden aportar cumplen con las condiciones</w:t>
      </w:r>
      <w:r w:rsidRPr="00CB3E85">
        <w:rPr>
          <w:color w:val="000000" w:themeColor="text1"/>
          <w:spacing w:val="-2"/>
        </w:rPr>
        <w:t xml:space="preserve"> </w:t>
      </w:r>
      <w:r w:rsidRPr="00CB3E85">
        <w:rPr>
          <w:color w:val="000000" w:themeColor="text1"/>
        </w:rPr>
        <w:t>particulares.</w:t>
      </w:r>
    </w:p>
    <w:p w:rsidRPr="00CB3E85" w:rsidR="00892702" w:rsidRDefault="00892702" w14:paraId="5CCDEAD8" w14:textId="77777777">
      <w:pPr>
        <w:pStyle w:val="Textoindependiente"/>
        <w:spacing w:before="5"/>
        <w:rPr>
          <w:color w:val="000000" w:themeColor="text1"/>
          <w:sz w:val="25"/>
        </w:rPr>
      </w:pPr>
    </w:p>
    <w:p w:rsidRPr="00CB3E85" w:rsidR="00892702" w:rsidRDefault="00212A55" w14:paraId="62B74685" w14:textId="77777777">
      <w:pPr>
        <w:pStyle w:val="Textoindependiente"/>
        <w:spacing w:line="276" w:lineRule="auto"/>
        <w:ind w:left="300" w:right="311"/>
        <w:jc w:val="both"/>
        <w:rPr>
          <w:color w:val="000000" w:themeColor="text1"/>
        </w:rPr>
      </w:pPr>
      <w:r w:rsidRPr="00CB3E85">
        <w:rPr>
          <w:color w:val="000000" w:themeColor="text1"/>
        </w:rPr>
        <w:t>Asimismo, para determinar el valor mínimo que debe acreditar el proponente con relación al presupuesto oficial de que trata el numeral 3.5.7. del Documento Base, la entidad estatal deberá tomar como referencia el presupuesto oficial de cada uno de los lotes de manera independiente.</w:t>
      </w:r>
    </w:p>
    <w:p w:rsidRPr="00CB3E85" w:rsidR="00892702" w:rsidRDefault="00892702" w14:paraId="2C19454B" w14:textId="77777777">
      <w:pPr>
        <w:pStyle w:val="Textoindependiente"/>
        <w:spacing w:before="4"/>
        <w:rPr>
          <w:color w:val="000000" w:themeColor="text1"/>
          <w:sz w:val="25"/>
        </w:rPr>
      </w:pPr>
    </w:p>
    <w:p w:rsidR="00892702" w:rsidP="009C09AF" w:rsidRDefault="00212A55" w14:paraId="5C09057F" w14:textId="72BA78BC">
      <w:pPr>
        <w:pStyle w:val="Textoindependiente"/>
        <w:spacing w:line="271" w:lineRule="auto"/>
        <w:ind w:left="300" w:right="304"/>
        <w:jc w:val="both"/>
        <w:rPr>
          <w:color w:val="000000" w:themeColor="text1"/>
        </w:rPr>
      </w:pPr>
      <w:r w:rsidRPr="00CB3E85">
        <w:rPr>
          <w:color w:val="000000" w:themeColor="text1"/>
        </w:rPr>
        <w:t>Por lo tanto, teniendo en cuenta que la experiencia no se agota con la presentación de los contratos en varios procesos de contratación</w:t>
      </w:r>
      <w:r w:rsidRPr="00CB3E85" w:rsidR="00925932">
        <w:rPr>
          <w:rStyle w:val="Refdenotaalpie"/>
          <w:color w:val="000000" w:themeColor="text1"/>
        </w:rPr>
        <w:footnoteReference w:id="6"/>
      </w:r>
      <w:r w:rsidRPr="00CB3E85">
        <w:rPr>
          <w:color w:val="000000" w:themeColor="text1"/>
        </w:rPr>
        <w:t xml:space="preserve">, la entidad estatal, al configurar las </w:t>
      </w:r>
      <w:proofErr w:type="gramStart"/>
      <w:r w:rsidRPr="00CB3E85">
        <w:rPr>
          <w:color w:val="000000" w:themeColor="text1"/>
        </w:rPr>
        <w:t>reglas</w:t>
      </w:r>
      <w:r w:rsidRPr="00CB3E85" w:rsidR="00925932">
        <w:rPr>
          <w:color w:val="000000" w:themeColor="text1"/>
        </w:rPr>
        <w:t xml:space="preserve">  p</w:t>
      </w:r>
      <w:r w:rsidRPr="00CB3E85">
        <w:rPr>
          <w:color w:val="000000" w:themeColor="text1"/>
        </w:rPr>
        <w:t>ara</w:t>
      </w:r>
      <w:proofErr w:type="gramEnd"/>
      <w:r w:rsidRPr="00CB3E85">
        <w:rPr>
          <w:color w:val="000000" w:themeColor="text1"/>
        </w:rPr>
        <w:t xml:space="preserve"> la evaluación de este requisito en los procesos que se adelanten por lotes, debe permitir que el proponente opte por acreditar su experiencia para los diferentes lotes con los mismos contratos, siempre que cumplan las condiciones de cada lote. Adicionalmente, al realizarse el análisis de la experiencia de manera independiente para cada lote, el proponente puede aportar mínimo uno (1) y máximo seis (6) contratos para cada uno lote según la regla prevista en el </w:t>
      </w:r>
      <w:bookmarkStart w:name="_Hlk37511748" w:id="1"/>
      <w:r w:rsidRPr="00CB3E85">
        <w:rPr>
          <w:color w:val="000000" w:themeColor="text1"/>
        </w:rPr>
        <w:t xml:space="preserve">numeral 3.5.7 </w:t>
      </w:r>
      <w:bookmarkEnd w:id="1"/>
      <w:r w:rsidRPr="00CB3E85">
        <w:rPr>
          <w:color w:val="000000" w:themeColor="text1"/>
        </w:rPr>
        <w:t>de los Documentos Base o Pliegos</w:t>
      </w:r>
      <w:r w:rsidRPr="00CB3E85">
        <w:rPr>
          <w:color w:val="000000" w:themeColor="text1"/>
          <w:spacing w:val="-26"/>
        </w:rPr>
        <w:t xml:space="preserve"> </w:t>
      </w:r>
      <w:r w:rsidRPr="00CB3E85">
        <w:rPr>
          <w:color w:val="000000" w:themeColor="text1"/>
        </w:rPr>
        <w:t>Tipo</w:t>
      </w:r>
      <w:r w:rsidRPr="00CB3E85" w:rsidR="00925932">
        <w:rPr>
          <w:rStyle w:val="Refdenotaalpie"/>
          <w:color w:val="000000" w:themeColor="text1"/>
        </w:rPr>
        <w:footnoteReference w:id="7"/>
      </w:r>
      <w:r w:rsidRPr="00CB3E85">
        <w:rPr>
          <w:color w:val="000000" w:themeColor="text1"/>
        </w:rPr>
        <w:t>.</w:t>
      </w:r>
      <w:r w:rsidRPr="00CB3E85" w:rsidR="009C09AF">
        <w:rPr>
          <w:color w:val="000000" w:themeColor="text1"/>
        </w:rPr>
        <w:t xml:space="preserve"> </w:t>
      </w:r>
    </w:p>
    <w:p w:rsidRPr="00CB3E85" w:rsidR="00A20408" w:rsidP="009C09AF" w:rsidRDefault="00A20408" w14:paraId="76B6C5FF" w14:textId="77777777">
      <w:pPr>
        <w:pStyle w:val="Textoindependiente"/>
        <w:spacing w:line="271" w:lineRule="auto"/>
        <w:ind w:left="300" w:right="304"/>
        <w:jc w:val="both"/>
        <w:rPr>
          <w:color w:val="000000" w:themeColor="text1"/>
          <w:sz w:val="25"/>
        </w:rPr>
      </w:pPr>
    </w:p>
    <w:p w:rsidRPr="00CB3E85" w:rsidR="00892702" w:rsidRDefault="00212A55" w14:paraId="6124C03D" w14:textId="77777777">
      <w:pPr>
        <w:pStyle w:val="Ttulo1"/>
        <w:numPr>
          <w:ilvl w:val="0"/>
          <w:numId w:val="1"/>
        </w:numPr>
        <w:tabs>
          <w:tab w:val="left" w:pos="544"/>
        </w:tabs>
        <w:ind w:left="543" w:hanging="244"/>
        <w:jc w:val="both"/>
        <w:rPr>
          <w:color w:val="000000" w:themeColor="text1"/>
        </w:rPr>
      </w:pPr>
      <w:r w:rsidRPr="00CB3E85">
        <w:rPr>
          <w:color w:val="000000" w:themeColor="text1"/>
        </w:rPr>
        <w:t>Respuesta</w:t>
      </w:r>
    </w:p>
    <w:p w:rsidRPr="00CB3E85" w:rsidR="00892702" w:rsidRDefault="00892702" w14:paraId="59EFD29A" w14:textId="77777777">
      <w:pPr>
        <w:pStyle w:val="Textoindependiente"/>
        <w:spacing w:before="8"/>
        <w:rPr>
          <w:b/>
          <w:color w:val="000000" w:themeColor="text1"/>
          <w:sz w:val="28"/>
        </w:rPr>
      </w:pPr>
    </w:p>
    <w:p w:rsidRPr="00CB3E85" w:rsidR="00892702" w:rsidRDefault="00212A55" w14:paraId="606F541B" w14:textId="77777777">
      <w:pPr>
        <w:pStyle w:val="Textoindependiente"/>
        <w:spacing w:line="276" w:lineRule="auto"/>
        <w:ind w:left="300" w:right="310"/>
        <w:jc w:val="both"/>
        <w:rPr>
          <w:color w:val="000000" w:themeColor="text1"/>
        </w:rPr>
      </w:pPr>
      <w:r w:rsidRPr="00CB3E85">
        <w:rPr>
          <w:color w:val="000000" w:themeColor="text1"/>
        </w:rPr>
        <w:t xml:space="preserve">Para los procesos de licitación de obra pública de infraestructura de transporte estructurados </w:t>
      </w:r>
      <w:r w:rsidRPr="00CB3E85">
        <w:rPr>
          <w:color w:val="000000" w:themeColor="text1"/>
        </w:rPr>
        <w:lastRenderedPageBreak/>
        <w:t>por lotes o grupos, los proponentes podrán participar en cada uno de los lotes acreditando el valor mínimo con relación al presupuesto oficial de que trata el numeral</w:t>
      </w:r>
    </w:p>
    <w:p w:rsidRPr="00CB3E85" w:rsidR="00892702" w:rsidRDefault="00212A55" w14:paraId="29FA7ACF" w14:textId="77777777">
      <w:pPr>
        <w:pStyle w:val="Textoindependiente"/>
        <w:spacing w:line="276" w:lineRule="auto"/>
        <w:ind w:left="300" w:right="308"/>
        <w:jc w:val="both"/>
        <w:rPr>
          <w:color w:val="000000" w:themeColor="text1"/>
        </w:rPr>
      </w:pPr>
      <w:r w:rsidRPr="00CB3E85">
        <w:rPr>
          <w:color w:val="000000" w:themeColor="text1"/>
        </w:rPr>
        <w:t>3.5.7. del Documento Base. En este sentido, para efectos de la experiencia, la entidad estatal deberá tomar como referencia el presupuesto oficial de cada uno de los lotes de manera independiente y no sobre la sumatoria del porcentaje del presupuesto oficial de la totalidad de los lotes o grupos a los cuales se presente un proponente.</w:t>
      </w:r>
    </w:p>
    <w:p w:rsidRPr="00CB3E85" w:rsidR="00892702" w:rsidRDefault="00892702" w14:paraId="0946195D" w14:textId="77777777">
      <w:pPr>
        <w:pStyle w:val="Textoindependiente"/>
        <w:rPr>
          <w:color w:val="000000" w:themeColor="text1"/>
        </w:rPr>
      </w:pPr>
    </w:p>
    <w:p w:rsidRPr="00CB3E85" w:rsidR="00892702" w:rsidRDefault="00212A55" w14:paraId="6147C72B" w14:textId="77777777">
      <w:pPr>
        <w:pStyle w:val="Textoindependiente"/>
        <w:spacing w:line="276" w:lineRule="auto"/>
        <w:ind w:left="300" w:right="304"/>
        <w:jc w:val="both"/>
        <w:rPr>
          <w:color w:val="000000" w:themeColor="text1"/>
        </w:rPr>
      </w:pPr>
      <w:r w:rsidRPr="00CB3E85">
        <w:rPr>
          <w:color w:val="000000" w:themeColor="text1"/>
        </w:rPr>
        <w:t>Finalmente, teniendo en cuenta las diferentes interpretaciones que se han dado sobre la recomendación dada en la “Guía para la comprensión e implementación de los Documentos Tipo de licitación de obra de infraestructura de transporte”, la Agencia Nacional de Contratación Pública - Colombia Compra Eficiente informa que se encuentra trabajando para definir y dejar una regla clara frente al tema de la estructuración de los procesos a través de lotes o</w:t>
      </w:r>
      <w:r w:rsidRPr="00CB3E85">
        <w:rPr>
          <w:color w:val="000000" w:themeColor="text1"/>
          <w:spacing w:val="-10"/>
        </w:rPr>
        <w:t xml:space="preserve"> </w:t>
      </w:r>
      <w:r w:rsidRPr="00CB3E85">
        <w:rPr>
          <w:color w:val="000000" w:themeColor="text1"/>
        </w:rPr>
        <w:t>grupos.</w:t>
      </w:r>
    </w:p>
    <w:p w:rsidRPr="00CB3E85" w:rsidR="00892702" w:rsidRDefault="00892702" w14:paraId="19B0BA47" w14:textId="77777777">
      <w:pPr>
        <w:pStyle w:val="Textoindependiente"/>
        <w:spacing w:before="3"/>
        <w:rPr>
          <w:color w:val="000000" w:themeColor="text1"/>
          <w:sz w:val="25"/>
        </w:rPr>
      </w:pPr>
    </w:p>
    <w:p w:rsidRPr="00CB3E85" w:rsidR="00892702" w:rsidP="00FD16E5" w:rsidRDefault="00212A55" w14:paraId="02FCB007" w14:textId="30021C5B">
      <w:pPr>
        <w:pStyle w:val="Textoindependiente"/>
        <w:spacing w:line="276" w:lineRule="auto"/>
        <w:ind w:left="300" w:right="311"/>
        <w:jc w:val="both"/>
        <w:rPr>
          <w:color w:val="000000" w:themeColor="text1"/>
          <w:sz w:val="20"/>
        </w:rPr>
      </w:pPr>
      <w:r w:rsidRPr="00CB3E85">
        <w:rPr>
          <w:color w:val="000000" w:themeColor="text1"/>
        </w:rPr>
        <w:t>Este concepto tiene el alcance previsto en el artículo 28 del Código de Procedimiento Administrativo y de lo Contencioso Administrativo.</w:t>
      </w:r>
    </w:p>
    <w:p w:rsidRPr="00CB3E85" w:rsidR="00892702" w:rsidRDefault="00892702" w14:paraId="32F9AD9F" w14:textId="77777777">
      <w:pPr>
        <w:pStyle w:val="Textoindependiente"/>
        <w:rPr>
          <w:color w:val="000000" w:themeColor="text1"/>
          <w:sz w:val="20"/>
        </w:rPr>
      </w:pPr>
    </w:p>
    <w:p w:rsidRPr="00CB3E85" w:rsidR="00892702" w:rsidRDefault="00892702" w14:paraId="2F8685A1" w14:textId="77777777">
      <w:pPr>
        <w:pStyle w:val="Textoindependiente"/>
        <w:rPr>
          <w:color w:val="000000" w:themeColor="text1"/>
          <w:sz w:val="20"/>
        </w:rPr>
      </w:pPr>
    </w:p>
    <w:p w:rsidRPr="00CB3E85" w:rsidR="00892702" w:rsidRDefault="00892702" w14:paraId="56C14C4D" w14:textId="77777777">
      <w:pPr>
        <w:pStyle w:val="Textoindependiente"/>
        <w:spacing w:before="11"/>
        <w:rPr>
          <w:color w:val="000000" w:themeColor="text1"/>
          <w:sz w:val="10"/>
        </w:rPr>
      </w:pPr>
    </w:p>
    <w:p w:rsidRPr="00CB3E85" w:rsidR="00892702" w:rsidRDefault="009C09AF" w14:paraId="50990581" w14:textId="73E9E96C">
      <w:pPr>
        <w:pStyle w:val="Textoindependiente"/>
        <w:spacing w:line="20" w:lineRule="exact"/>
        <w:ind w:left="977"/>
        <w:rPr>
          <w:color w:val="000000" w:themeColor="text1"/>
          <w:sz w:val="2"/>
        </w:rPr>
      </w:pPr>
      <w:r w:rsidRPr="00CB3E85">
        <w:rPr>
          <w:noProof/>
          <w:color w:val="000000" w:themeColor="text1"/>
          <w:sz w:val="2"/>
        </w:rPr>
        <mc:AlternateContent>
          <mc:Choice Requires="wpg">
            <w:drawing>
              <wp:inline distT="0" distB="0" distL="0" distR="0" wp14:anchorId="5CF5139D" wp14:editId="1EFD3BC0">
                <wp:extent cx="4686300" cy="9525"/>
                <wp:effectExtent l="13335" t="8890" r="5715" b="63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9525"/>
                          <a:chOff x="0" y="0"/>
                          <a:chExt cx="7380" cy="15"/>
                        </a:xfrm>
                      </wpg:grpSpPr>
                      <wps:wsp>
                        <wps:cNvPr id="4" name="Line 3"/>
                        <wps:cNvCnPr>
                          <a:cxnSpLocks noChangeShapeType="1"/>
                        </wps:cNvCnPr>
                        <wps:spPr bwMode="auto">
                          <a:xfrm>
                            <a:off x="0" y="8"/>
                            <a:ext cx="738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w:pict>
              <v:group id="Group 2" style="width:369pt;height:.75pt;mso-position-horizontal-relative:char;mso-position-vertical-relative:line" coordsize="7380,15" o:spid="_x0000_s1026" w14:anchorId="10058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">
                <v:line id="Line 3" style="position:absolute;visibility:visible;mso-wrap-style:square" o:spid="_x0000_s1027" strokecolor="#dbdbdb" o:connectortype="straight" from="0,8" to="73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"/>
                <w10:anchorlock/>
              </v:group>
            </w:pict>
          </mc:Fallback>
        </mc:AlternateContent>
      </w:r>
    </w:p>
    <w:p w:rsidRPr="00CB3E85" w:rsidR="00892702" w:rsidRDefault="00892702" w14:paraId="19751669" w14:textId="77777777">
      <w:pPr>
        <w:pStyle w:val="Textoindependiente"/>
        <w:spacing w:before="5"/>
        <w:rPr>
          <w:color w:val="000000" w:themeColor="text1"/>
          <w:sz w:val="14"/>
        </w:rPr>
      </w:pPr>
    </w:p>
    <w:p w:rsidR="00A20408" w:rsidRDefault="00212A55" w14:paraId="17029FEB" w14:textId="63D54E6B">
      <w:pPr>
        <w:pStyle w:val="Textoindependiente"/>
        <w:spacing w:before="93"/>
        <w:ind w:left="300"/>
        <w:rPr>
          <w:color w:val="000000" w:themeColor="text1"/>
        </w:rPr>
      </w:pPr>
      <w:r w:rsidRPr="00CB3E85">
        <w:rPr>
          <w:color w:val="000000" w:themeColor="text1"/>
        </w:rPr>
        <w:t>Atentamente,</w:t>
      </w:r>
    </w:p>
    <w:p w:rsidR="00A20408" w:rsidP="00C92C28" w:rsidRDefault="00C92C28" w14:paraId="5E46516D" w14:textId="092E490C">
      <w:pPr>
        <w:pStyle w:val="Textoindependiente"/>
        <w:spacing w:before="93"/>
        <w:ind w:left="300"/>
        <w:jc w:val="center"/>
        <w:rPr>
          <w:color w:val="000000" w:themeColor="text1"/>
        </w:rPr>
      </w:pPr>
      <w:r w:rsidR="00C92C28">
        <w:drawing>
          <wp:inline wp14:editId="13CCD7CC" wp14:anchorId="7240200A">
            <wp:extent cx="2773045" cy="988695"/>
            <wp:effectExtent l="0" t="0" r="0" b="0"/>
            <wp:docPr id="494060961" name="Imagen 6" title=""/>
            <wp:cNvGraphicFramePr>
              <a:graphicFrameLocks/>
            </wp:cNvGraphicFramePr>
            <a:graphic>
              <a:graphicData uri="http://schemas.openxmlformats.org/drawingml/2006/picture">
                <pic:pic>
                  <pic:nvPicPr>
                    <pic:cNvPr id="0" name="Imagen 6"/>
                    <pic:cNvPicPr/>
                  </pic:nvPicPr>
                  <pic:blipFill>
                    <a:blip r:embed="Rd2fd33fb53524c6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CB3E85" w:rsidR="00C92C28" w:rsidP="00C92C28" w:rsidRDefault="00C92C28" w14:paraId="4FB51398" w14:textId="77777777">
      <w:pPr>
        <w:pStyle w:val="Textoindependiente"/>
        <w:spacing w:before="93"/>
        <w:ind w:left="300"/>
        <w:jc w:val="center"/>
        <w:rPr>
          <w:color w:val="000000" w:themeColor="text1"/>
        </w:rPr>
      </w:pPr>
    </w:p>
    <w:p w:rsidRPr="00CB3E85" w:rsidR="00892702" w:rsidRDefault="00212A55" w14:paraId="041C8A14" w14:textId="77777777">
      <w:pPr>
        <w:pStyle w:val="Textoindependiente"/>
        <w:spacing w:before="32"/>
        <w:ind w:left="300"/>
        <w:rPr>
          <w:color w:val="000000" w:themeColor="text1"/>
        </w:rPr>
      </w:pPr>
      <w:r w:rsidRPr="00CB3E85">
        <w:rPr>
          <w:color w:val="000000" w:themeColor="text1"/>
        </w:rPr>
        <w:t>Proyectó: María Catalina Salinas R</w:t>
      </w:r>
    </w:p>
    <w:sectPr w:rsidRPr="00CB3E85" w:rsidR="00892702">
      <w:headerReference w:type="default" r:id="rId13"/>
      <w:footerReference w:type="default" r:id="rId14"/>
      <w:pgSz w:w="12240" w:h="15840" w:orient="portrait"/>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E47BC" w:rsidRDefault="002E47BC" w14:paraId="43C4B0FC" w14:textId="77777777">
      <w:r>
        <w:separator/>
      </w:r>
    </w:p>
  </w:endnote>
  <w:endnote w:type="continuationSeparator" w:id="0">
    <w:p w:rsidR="002E47BC" w:rsidRDefault="002E47BC" w14:paraId="3B02A27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892702" w:rsidRDefault="00212A55" w14:paraId="62E5B7CD" w14:textId="77777777">
    <w:pPr>
      <w:pStyle w:val="Textoindependiente"/>
      <w:spacing w:line="14" w:lineRule="auto"/>
      <w:rPr>
        <w:sz w:val="20"/>
      </w:rPr>
    </w:pPr>
    <w:r>
      <w:rPr>
        <w:noProof/>
      </w:rPr>
      <w:drawing>
        <wp:anchor distT="0" distB="0" distL="0" distR="0" simplePos="0" relativeHeight="251662336" behindDoc="1" locked="0" layoutInCell="1" allowOverlap="1" wp14:anchorId="56759356" wp14:editId="66A6586A">
          <wp:simplePos x="0" y="0"/>
          <wp:positionH relativeFrom="page">
            <wp:posOffset>1113431</wp:posOffset>
          </wp:positionH>
          <wp:positionV relativeFrom="page">
            <wp:posOffset>8807340</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13CCD7CC">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E47BC" w:rsidRDefault="002E47BC" w14:paraId="414D8497" w14:textId="77777777">
      <w:r>
        <w:separator/>
      </w:r>
    </w:p>
  </w:footnote>
  <w:footnote w:type="continuationSeparator" w:id="0">
    <w:p w:rsidR="002E47BC" w:rsidRDefault="002E47BC" w14:paraId="3577CB5B" w14:textId="77777777">
      <w:r>
        <w:continuationSeparator/>
      </w:r>
    </w:p>
  </w:footnote>
  <w:footnote w:id="1">
    <w:p w:rsidRPr="00A20408" w:rsidR="00925932" w:rsidP="00A20408" w:rsidRDefault="00925932" w14:paraId="2A5DB673" w14:textId="77777777">
      <w:pPr>
        <w:spacing w:before="75" w:line="268" w:lineRule="auto"/>
        <w:ind w:left="300" w:right="312" w:firstLine="1859"/>
        <w:jc w:val="both"/>
        <w:rPr>
          <w:color w:val="000000" w:themeColor="text1"/>
          <w:sz w:val="18"/>
        </w:rPr>
      </w:pPr>
      <w:r w:rsidRPr="00A20408">
        <w:rPr>
          <w:rStyle w:val="Refdenotaalpie"/>
          <w:color w:val="000000" w:themeColor="text1"/>
        </w:rPr>
        <w:footnoteRef/>
      </w:r>
      <w:r w:rsidRPr="00A20408">
        <w:rPr>
          <w:color w:val="000000" w:themeColor="text1"/>
        </w:rPr>
        <w:t xml:space="preserve"> </w:t>
      </w:r>
      <w:r w:rsidRPr="00A20408">
        <w:rPr>
          <w:color w:val="000000" w:themeColor="text1"/>
          <w:sz w:val="18"/>
        </w:rPr>
        <w:t>Documento Base o Pliego Tipo, numeral 4.1.4: “La Entidad seleccionará el método de ponderación de la propuesta económica de acuerdo con las siguientes alternativas:</w:t>
      </w:r>
    </w:p>
    <w:p w:rsidRPr="00A20408" w:rsidR="00925932" w:rsidP="00A20408" w:rsidRDefault="00925932" w14:paraId="682D1EB6" w14:textId="77777777">
      <w:pPr>
        <w:pStyle w:val="Textoindependiente"/>
        <w:spacing w:before="4"/>
        <w:ind w:left="300" w:right="312"/>
        <w:jc w:val="both"/>
        <w:rPr>
          <w:color w:val="000000" w:themeColor="text1"/>
          <w:sz w:val="16"/>
        </w:rPr>
      </w:pPr>
    </w:p>
    <w:tbl>
      <w:tblPr>
        <w:tblStyle w:val="TableNormal"/>
        <w:tblW w:w="0" w:type="auto"/>
        <w:tblInd w:w="3008" w:type="dxa"/>
        <w:tblBorders>
          <w:top w:val="double" w:color="000000" w:sz="1" w:space="0"/>
          <w:left w:val="double" w:color="000000" w:sz="1" w:space="0"/>
          <w:bottom w:val="double" w:color="000000" w:sz="1" w:space="0"/>
          <w:right w:val="double" w:color="000000" w:sz="1" w:space="0"/>
          <w:insideH w:val="double" w:color="000000" w:sz="1" w:space="0"/>
          <w:insideV w:val="double" w:color="000000" w:sz="1" w:space="0"/>
        </w:tblBorders>
        <w:tblLayout w:type="fixed"/>
        <w:tblLook w:val="01E0" w:firstRow="1" w:lastRow="1" w:firstColumn="1" w:lastColumn="1" w:noHBand="0" w:noVBand="0"/>
      </w:tblPr>
      <w:tblGrid>
        <w:gridCol w:w="1560"/>
        <w:gridCol w:w="1985"/>
      </w:tblGrid>
      <w:tr w:rsidRPr="00A20408" w:rsidR="00A20408" w:rsidTr="00656399" w14:paraId="0A71451E" w14:textId="77777777">
        <w:trPr>
          <w:trHeight w:val="195"/>
        </w:trPr>
        <w:tc>
          <w:tcPr>
            <w:tcW w:w="1560" w:type="dxa"/>
            <w:tcBorders>
              <w:bottom w:val="single" w:color="000000" w:sz="4" w:space="0"/>
              <w:right w:val="single" w:color="000000" w:sz="4" w:space="0"/>
            </w:tcBorders>
            <w:shd w:val="clear" w:color="auto" w:fill="404040"/>
          </w:tcPr>
          <w:p w:rsidRPr="00A20408" w:rsidR="00925932" w:rsidP="00A20408" w:rsidRDefault="00925932" w14:paraId="26000A27" w14:textId="77777777">
            <w:pPr>
              <w:pStyle w:val="TableParagraph"/>
              <w:spacing w:line="175" w:lineRule="exact"/>
              <w:ind w:left="300" w:right="312"/>
              <w:jc w:val="both"/>
              <w:rPr>
                <w:rFonts w:ascii="Calibri"/>
                <w:b/>
                <w:color w:val="000000" w:themeColor="text1"/>
                <w:sz w:val="16"/>
              </w:rPr>
            </w:pPr>
            <w:r w:rsidRPr="00A20408">
              <w:rPr>
                <w:rFonts w:ascii="Calibri"/>
                <w:b/>
                <w:color w:val="000000" w:themeColor="text1"/>
                <w:sz w:val="16"/>
              </w:rPr>
              <w:t>Concepto</w:t>
            </w:r>
          </w:p>
        </w:tc>
        <w:tc>
          <w:tcPr>
            <w:tcW w:w="1985" w:type="dxa"/>
            <w:tcBorders>
              <w:left w:val="single" w:color="000000" w:sz="4" w:space="0"/>
              <w:bottom w:val="single" w:color="000000" w:sz="4" w:space="0"/>
            </w:tcBorders>
            <w:shd w:val="clear" w:color="auto" w:fill="404040"/>
          </w:tcPr>
          <w:p w:rsidRPr="00A20408" w:rsidR="00925932" w:rsidP="00A20408" w:rsidRDefault="00925932" w14:paraId="6A92526E" w14:textId="77777777">
            <w:pPr>
              <w:pStyle w:val="TableParagraph"/>
              <w:spacing w:line="175" w:lineRule="exact"/>
              <w:ind w:left="300" w:right="312"/>
              <w:jc w:val="both"/>
              <w:rPr>
                <w:rFonts w:ascii="Calibri" w:hAnsi="Calibri"/>
                <w:b/>
                <w:color w:val="000000" w:themeColor="text1"/>
                <w:sz w:val="16"/>
              </w:rPr>
            </w:pPr>
            <w:r w:rsidRPr="00A20408">
              <w:rPr>
                <w:rFonts w:ascii="Calibri" w:hAnsi="Calibri"/>
                <w:b/>
                <w:color w:val="000000" w:themeColor="text1"/>
                <w:sz w:val="16"/>
              </w:rPr>
              <w:t>Método</w:t>
            </w:r>
          </w:p>
        </w:tc>
      </w:tr>
      <w:tr w:rsidRPr="00A20408" w:rsidR="00A20408" w:rsidTr="00656399" w14:paraId="277DB5D3" w14:textId="77777777">
        <w:trPr>
          <w:trHeight w:val="370"/>
        </w:trPr>
        <w:tc>
          <w:tcPr>
            <w:tcW w:w="1560" w:type="dxa"/>
            <w:tcBorders>
              <w:top w:val="single" w:color="000000" w:sz="4" w:space="0"/>
              <w:bottom w:val="single" w:color="000000" w:sz="4" w:space="0"/>
              <w:right w:val="single" w:color="000000" w:sz="4" w:space="0"/>
            </w:tcBorders>
          </w:tcPr>
          <w:p w:rsidRPr="00A20408" w:rsidR="00925932" w:rsidP="00A20408" w:rsidRDefault="00925932" w14:paraId="36754CBE" w14:textId="77777777">
            <w:pPr>
              <w:pStyle w:val="TableParagraph"/>
              <w:spacing w:before="90" w:line="240" w:lineRule="auto"/>
              <w:ind w:left="300" w:right="312"/>
              <w:jc w:val="both"/>
              <w:rPr>
                <w:color w:val="000000" w:themeColor="text1"/>
                <w:sz w:val="16"/>
              </w:rPr>
            </w:pPr>
            <w:r w:rsidRPr="00A20408">
              <w:rPr>
                <w:color w:val="000000" w:themeColor="text1"/>
                <w:sz w:val="16"/>
              </w:rPr>
              <w:t>1</w:t>
            </w:r>
          </w:p>
        </w:tc>
        <w:tc>
          <w:tcPr>
            <w:tcW w:w="1985" w:type="dxa"/>
            <w:tcBorders>
              <w:top w:val="single" w:color="000000" w:sz="4" w:space="0"/>
              <w:left w:val="single" w:color="000000" w:sz="4" w:space="0"/>
              <w:bottom w:val="single" w:color="000000" w:sz="4" w:space="0"/>
            </w:tcBorders>
          </w:tcPr>
          <w:p w:rsidRPr="00A20408" w:rsidR="00925932" w:rsidP="00A20408" w:rsidRDefault="00925932" w14:paraId="4D0DDB61" w14:textId="77777777">
            <w:pPr>
              <w:pStyle w:val="TableParagraph"/>
              <w:spacing w:line="181" w:lineRule="exact"/>
              <w:ind w:left="300" w:right="312"/>
              <w:jc w:val="both"/>
              <w:rPr>
                <w:color w:val="000000" w:themeColor="text1"/>
                <w:sz w:val="16"/>
              </w:rPr>
            </w:pPr>
            <w:r w:rsidRPr="00A20408">
              <w:rPr>
                <w:color w:val="000000" w:themeColor="text1"/>
                <w:sz w:val="16"/>
              </w:rPr>
              <w:t>Mediana con valor</w:t>
            </w:r>
          </w:p>
          <w:p w:rsidRPr="00A20408" w:rsidR="00925932" w:rsidP="00A20408" w:rsidRDefault="00925932" w14:paraId="27A60795" w14:textId="77777777">
            <w:pPr>
              <w:pStyle w:val="TableParagraph"/>
              <w:spacing w:before="1" w:line="168" w:lineRule="exact"/>
              <w:ind w:left="300" w:right="312"/>
              <w:jc w:val="both"/>
              <w:rPr>
                <w:color w:val="000000" w:themeColor="text1"/>
                <w:sz w:val="16"/>
              </w:rPr>
            </w:pPr>
            <w:r w:rsidRPr="00A20408">
              <w:rPr>
                <w:color w:val="000000" w:themeColor="text1"/>
                <w:sz w:val="16"/>
              </w:rPr>
              <w:t>absoluto</w:t>
            </w:r>
          </w:p>
        </w:tc>
      </w:tr>
      <w:tr w:rsidRPr="00A20408" w:rsidR="00A20408" w:rsidTr="00656399" w14:paraId="5E066FED" w14:textId="77777777">
        <w:trPr>
          <w:trHeight w:val="367"/>
        </w:trPr>
        <w:tc>
          <w:tcPr>
            <w:tcW w:w="1560" w:type="dxa"/>
            <w:tcBorders>
              <w:top w:val="single" w:color="000000" w:sz="4" w:space="0"/>
              <w:bottom w:val="single" w:color="000000" w:sz="4" w:space="0"/>
              <w:right w:val="single" w:color="000000" w:sz="4" w:space="0"/>
            </w:tcBorders>
          </w:tcPr>
          <w:p w:rsidRPr="00A20408" w:rsidR="00925932" w:rsidP="00A20408" w:rsidRDefault="00925932" w14:paraId="1CB51933" w14:textId="77777777">
            <w:pPr>
              <w:pStyle w:val="TableParagraph"/>
              <w:spacing w:before="87" w:line="240" w:lineRule="auto"/>
              <w:ind w:left="300" w:right="312"/>
              <w:jc w:val="both"/>
              <w:rPr>
                <w:color w:val="000000" w:themeColor="text1"/>
                <w:sz w:val="16"/>
              </w:rPr>
            </w:pPr>
            <w:r w:rsidRPr="00A20408">
              <w:rPr>
                <w:color w:val="000000" w:themeColor="text1"/>
                <w:sz w:val="16"/>
              </w:rPr>
              <w:t>2</w:t>
            </w:r>
          </w:p>
        </w:tc>
        <w:tc>
          <w:tcPr>
            <w:tcW w:w="1985" w:type="dxa"/>
            <w:tcBorders>
              <w:top w:val="single" w:color="000000" w:sz="4" w:space="0"/>
              <w:left w:val="single" w:color="000000" w:sz="4" w:space="0"/>
              <w:bottom w:val="single" w:color="000000" w:sz="4" w:space="0"/>
            </w:tcBorders>
          </w:tcPr>
          <w:p w:rsidRPr="00A20408" w:rsidR="00925932" w:rsidP="00A20408" w:rsidRDefault="00925932" w14:paraId="6A94802F" w14:textId="77777777">
            <w:pPr>
              <w:pStyle w:val="TableParagraph"/>
              <w:spacing w:before="1"/>
              <w:ind w:left="300" w:right="312" w:hanging="96"/>
              <w:jc w:val="both"/>
              <w:rPr>
                <w:color w:val="000000" w:themeColor="text1"/>
                <w:sz w:val="16"/>
              </w:rPr>
            </w:pPr>
            <w:r w:rsidRPr="00A20408">
              <w:rPr>
                <w:color w:val="000000" w:themeColor="text1"/>
                <w:sz w:val="16"/>
              </w:rPr>
              <w:t>Media geométrica con Presupuesto Oficial</w:t>
            </w:r>
          </w:p>
        </w:tc>
      </w:tr>
      <w:tr w:rsidRPr="00A20408" w:rsidR="00A20408" w:rsidTr="00656399" w14:paraId="34D411FA" w14:textId="77777777">
        <w:trPr>
          <w:trHeight w:val="180"/>
        </w:trPr>
        <w:tc>
          <w:tcPr>
            <w:tcW w:w="1560" w:type="dxa"/>
            <w:tcBorders>
              <w:top w:val="single" w:color="000000" w:sz="4" w:space="0"/>
              <w:bottom w:val="single" w:color="000000" w:sz="6" w:space="0"/>
              <w:right w:val="single" w:color="000000" w:sz="4" w:space="0"/>
            </w:tcBorders>
          </w:tcPr>
          <w:p w:rsidRPr="00A20408" w:rsidR="00925932" w:rsidP="00A20408" w:rsidRDefault="00925932" w14:paraId="3800C3AB" w14:textId="77777777">
            <w:pPr>
              <w:pStyle w:val="TableParagraph"/>
              <w:spacing w:line="160" w:lineRule="exact"/>
              <w:ind w:left="300" w:right="312"/>
              <w:jc w:val="both"/>
              <w:rPr>
                <w:color w:val="000000" w:themeColor="text1"/>
                <w:sz w:val="16"/>
              </w:rPr>
            </w:pPr>
            <w:r w:rsidRPr="00A20408">
              <w:rPr>
                <w:color w:val="000000" w:themeColor="text1"/>
                <w:sz w:val="16"/>
              </w:rPr>
              <w:t>3</w:t>
            </w:r>
          </w:p>
        </w:tc>
        <w:tc>
          <w:tcPr>
            <w:tcW w:w="1985" w:type="dxa"/>
            <w:tcBorders>
              <w:top w:val="single" w:color="000000" w:sz="4" w:space="0"/>
              <w:left w:val="single" w:color="000000" w:sz="4" w:space="0"/>
              <w:bottom w:val="single" w:color="000000" w:sz="6" w:space="0"/>
            </w:tcBorders>
          </w:tcPr>
          <w:p w:rsidRPr="00A20408" w:rsidR="00925932" w:rsidP="00A20408" w:rsidRDefault="00925932" w14:paraId="105F5888" w14:textId="77777777">
            <w:pPr>
              <w:pStyle w:val="TableParagraph"/>
              <w:spacing w:line="160" w:lineRule="exact"/>
              <w:ind w:left="300" w:right="312"/>
              <w:jc w:val="both"/>
              <w:rPr>
                <w:color w:val="000000" w:themeColor="text1"/>
                <w:sz w:val="16"/>
              </w:rPr>
            </w:pPr>
            <w:r w:rsidRPr="00A20408">
              <w:rPr>
                <w:color w:val="000000" w:themeColor="text1"/>
                <w:sz w:val="16"/>
              </w:rPr>
              <w:t>Media aritmética alta</w:t>
            </w:r>
          </w:p>
        </w:tc>
      </w:tr>
      <w:tr w:rsidRPr="00A20408" w:rsidR="00A20408" w:rsidTr="00656399" w14:paraId="1EED59CE" w14:textId="77777777">
        <w:trPr>
          <w:trHeight w:val="182"/>
        </w:trPr>
        <w:tc>
          <w:tcPr>
            <w:tcW w:w="1560" w:type="dxa"/>
            <w:tcBorders>
              <w:top w:val="single" w:color="000000" w:sz="6" w:space="0"/>
              <w:bottom w:val="single" w:color="000000" w:sz="4" w:space="0"/>
              <w:right w:val="single" w:color="000000" w:sz="4" w:space="0"/>
            </w:tcBorders>
          </w:tcPr>
          <w:p w:rsidRPr="00A20408" w:rsidR="00925932" w:rsidP="00A20408" w:rsidRDefault="00925932" w14:paraId="46C282FB" w14:textId="77777777">
            <w:pPr>
              <w:pStyle w:val="TableParagraph"/>
              <w:spacing w:line="163" w:lineRule="exact"/>
              <w:ind w:left="300" w:right="312"/>
              <w:jc w:val="both"/>
              <w:rPr>
                <w:color w:val="000000" w:themeColor="text1"/>
                <w:sz w:val="16"/>
              </w:rPr>
            </w:pPr>
            <w:r w:rsidRPr="00A20408">
              <w:rPr>
                <w:color w:val="000000" w:themeColor="text1"/>
                <w:sz w:val="16"/>
              </w:rPr>
              <w:t>4</w:t>
            </w:r>
          </w:p>
        </w:tc>
        <w:tc>
          <w:tcPr>
            <w:tcW w:w="1985" w:type="dxa"/>
            <w:tcBorders>
              <w:top w:val="single" w:color="000000" w:sz="6" w:space="0"/>
              <w:left w:val="single" w:color="000000" w:sz="4" w:space="0"/>
              <w:bottom w:val="single" w:color="000000" w:sz="4" w:space="0"/>
            </w:tcBorders>
          </w:tcPr>
          <w:p w:rsidRPr="00A20408" w:rsidR="00925932" w:rsidP="00A20408" w:rsidRDefault="00925932" w14:paraId="2F27A4E3" w14:textId="77777777">
            <w:pPr>
              <w:pStyle w:val="TableParagraph"/>
              <w:spacing w:line="163" w:lineRule="exact"/>
              <w:ind w:left="300" w:right="312"/>
              <w:jc w:val="both"/>
              <w:rPr>
                <w:color w:val="000000" w:themeColor="text1"/>
                <w:sz w:val="16"/>
              </w:rPr>
            </w:pPr>
            <w:r w:rsidRPr="00A20408">
              <w:rPr>
                <w:color w:val="000000" w:themeColor="text1"/>
                <w:sz w:val="16"/>
              </w:rPr>
              <w:t>Media aritmética baja</w:t>
            </w:r>
          </w:p>
        </w:tc>
      </w:tr>
      <w:tr w:rsidRPr="00A20408" w:rsidR="00925932" w:rsidTr="00656399" w14:paraId="19ECF4D2" w14:textId="77777777">
        <w:trPr>
          <w:trHeight w:val="185"/>
        </w:trPr>
        <w:tc>
          <w:tcPr>
            <w:tcW w:w="1560" w:type="dxa"/>
            <w:tcBorders>
              <w:top w:val="single" w:color="000000" w:sz="4" w:space="0"/>
              <w:right w:val="single" w:color="000000" w:sz="4" w:space="0"/>
            </w:tcBorders>
          </w:tcPr>
          <w:p w:rsidRPr="00A20408" w:rsidR="00925932" w:rsidP="00A20408" w:rsidRDefault="00925932" w14:paraId="129AF64D" w14:textId="77777777">
            <w:pPr>
              <w:pStyle w:val="TableParagraph"/>
              <w:spacing w:line="165" w:lineRule="exact"/>
              <w:ind w:left="300" w:right="312"/>
              <w:jc w:val="both"/>
              <w:rPr>
                <w:color w:val="000000" w:themeColor="text1"/>
                <w:sz w:val="16"/>
              </w:rPr>
            </w:pPr>
            <w:r w:rsidRPr="00A20408">
              <w:rPr>
                <w:color w:val="000000" w:themeColor="text1"/>
                <w:sz w:val="16"/>
              </w:rPr>
              <w:t>5</w:t>
            </w:r>
          </w:p>
        </w:tc>
        <w:tc>
          <w:tcPr>
            <w:tcW w:w="1985" w:type="dxa"/>
            <w:tcBorders>
              <w:top w:val="single" w:color="000000" w:sz="4" w:space="0"/>
              <w:left w:val="single" w:color="000000" w:sz="4" w:space="0"/>
            </w:tcBorders>
          </w:tcPr>
          <w:p w:rsidRPr="00A20408" w:rsidR="00925932" w:rsidP="00A20408" w:rsidRDefault="00925932" w14:paraId="5DE79FDE" w14:textId="77777777">
            <w:pPr>
              <w:pStyle w:val="TableParagraph"/>
              <w:spacing w:line="165" w:lineRule="exact"/>
              <w:ind w:left="300" w:right="312"/>
              <w:jc w:val="both"/>
              <w:rPr>
                <w:color w:val="000000" w:themeColor="text1"/>
                <w:sz w:val="16"/>
              </w:rPr>
            </w:pPr>
            <w:r w:rsidRPr="00A20408">
              <w:rPr>
                <w:color w:val="000000" w:themeColor="text1"/>
                <w:sz w:val="16"/>
              </w:rPr>
              <w:t>Menor Valor</w:t>
            </w:r>
          </w:p>
        </w:tc>
      </w:tr>
    </w:tbl>
    <w:p w:rsidRPr="00A20408" w:rsidR="00925932" w:rsidP="00A20408" w:rsidRDefault="00925932" w14:paraId="3278E8B8" w14:textId="77777777">
      <w:pPr>
        <w:pStyle w:val="Textoindependiente"/>
        <w:ind w:left="300" w:right="312"/>
        <w:jc w:val="both"/>
        <w:rPr>
          <w:color w:val="000000" w:themeColor="text1"/>
          <w:sz w:val="20"/>
        </w:rPr>
      </w:pPr>
    </w:p>
    <w:p w:rsidRPr="00A20408" w:rsidR="00925932" w:rsidP="00A20408" w:rsidRDefault="00925932" w14:paraId="638498CF" w14:textId="77777777">
      <w:pPr>
        <w:pStyle w:val="Textoindependiente"/>
        <w:spacing w:before="8"/>
        <w:ind w:left="300" w:right="312"/>
        <w:jc w:val="both"/>
        <w:rPr>
          <w:color w:val="000000" w:themeColor="text1"/>
          <w:sz w:val="15"/>
        </w:rPr>
      </w:pPr>
    </w:p>
    <w:p w:rsidRPr="00A20408" w:rsidR="00925932" w:rsidP="00A20408" w:rsidRDefault="00925932" w14:paraId="70E71F5A" w14:textId="77777777">
      <w:pPr>
        <w:ind w:left="300" w:right="312"/>
        <w:jc w:val="both"/>
        <w:rPr>
          <w:color w:val="000000" w:themeColor="text1"/>
          <w:sz w:val="18"/>
        </w:rPr>
      </w:pPr>
      <w:r w:rsidRPr="00A20408">
        <w:rPr>
          <w:color w:val="000000" w:themeColor="text1"/>
          <w:sz w:val="18"/>
        </w:rPr>
        <w:t>Para determinar el método de ponderación, la Entidad tomará los centavos de la Tasa de Cambio Representativa del Mercado (TRM) (certificada por la Superintendencia Financiera de Colombia en su sitio web: https://</w:t>
      </w:r>
      <w:hyperlink r:id="rId1">
        <w:r w:rsidRPr="00A20408">
          <w:rPr>
            <w:color w:val="000000" w:themeColor="text1"/>
            <w:sz w:val="18"/>
          </w:rPr>
          <w:t>www.superfinanciera.gov.co/publicacion/60819)</w:t>
        </w:r>
      </w:hyperlink>
      <w:r w:rsidRPr="00A20408">
        <w:rPr>
          <w:color w:val="000000" w:themeColor="text1"/>
          <w:sz w:val="18"/>
        </w:rPr>
        <w:t xml:space="preserve"> que rija el día de la Audiencia efectiva de Adjudicación, definida en el cronograma vigente al momento del cierre del proceso de selección, aun cuando la fecha de la Audiencia efectiva de Adjudicación se modifique posteriormente en desarrollo del Proceso de Contratación”.</w:t>
      </w:r>
    </w:p>
    <w:p w:rsidRPr="00A20408" w:rsidR="00925932" w:rsidP="00A20408" w:rsidRDefault="00925932" w14:paraId="59F045D4" w14:textId="6DAABDF2">
      <w:pPr>
        <w:pStyle w:val="Textonotapie"/>
        <w:ind w:left="300" w:right="312"/>
        <w:jc w:val="both"/>
        <w:rPr>
          <w:color w:val="000000" w:themeColor="text1"/>
          <w:lang w:val="es-CO"/>
        </w:rPr>
      </w:pPr>
    </w:p>
  </w:footnote>
  <w:footnote w:id="2">
    <w:p w:rsidRPr="00A20408" w:rsidR="00925932" w:rsidP="00A20408" w:rsidRDefault="00925932" w14:paraId="438B3DB6" w14:textId="77777777">
      <w:pPr>
        <w:spacing w:before="73"/>
        <w:ind w:left="300" w:right="312" w:firstLine="707"/>
        <w:jc w:val="both"/>
        <w:rPr>
          <w:color w:val="000000" w:themeColor="text1"/>
          <w:sz w:val="18"/>
        </w:rPr>
      </w:pPr>
      <w:r w:rsidRPr="00A20408">
        <w:rPr>
          <w:rStyle w:val="Refdenotaalpie"/>
          <w:color w:val="000000" w:themeColor="text1"/>
        </w:rPr>
        <w:footnoteRef/>
      </w:r>
      <w:r w:rsidRPr="00A20408">
        <w:rPr>
          <w:color w:val="000000" w:themeColor="text1"/>
        </w:rPr>
        <w:t xml:space="preserve"> </w:t>
      </w:r>
      <w:r w:rsidRPr="00A20408">
        <w:rPr>
          <w:color w:val="000000" w:themeColor="text1"/>
          <w:sz w:val="18"/>
        </w:rPr>
        <w:t xml:space="preserve">Agencia Nacional de Contratación Pública, “Guía para la comprensión e implementación de los Documentos Tipo de licitación de obra de infraestructura de transporte. Disponible en el siguiente link: </w:t>
      </w:r>
      <w:hyperlink r:id="rId2">
        <w:r w:rsidRPr="00A20408">
          <w:rPr>
            <w:color w:val="000000" w:themeColor="text1"/>
            <w:sz w:val="18"/>
          </w:rPr>
          <w:t>https://www</w:t>
        </w:r>
      </w:hyperlink>
      <w:r w:rsidRPr="00A20408">
        <w:rPr>
          <w:color w:val="000000" w:themeColor="text1"/>
          <w:sz w:val="18"/>
        </w:rPr>
        <w:t>.colom</w:t>
      </w:r>
      <w:hyperlink r:id="rId3">
        <w:r w:rsidRPr="00A20408">
          <w:rPr>
            <w:color w:val="000000" w:themeColor="text1"/>
            <w:sz w:val="18"/>
          </w:rPr>
          <w:t>biaco</w:t>
        </w:r>
      </w:hyperlink>
      <w:r w:rsidRPr="00A20408">
        <w:rPr>
          <w:color w:val="000000" w:themeColor="text1"/>
          <w:sz w:val="18"/>
        </w:rPr>
        <w:t>m</w:t>
      </w:r>
      <w:hyperlink r:id="rId4">
        <w:r w:rsidRPr="00A20408">
          <w:rPr>
            <w:color w:val="000000" w:themeColor="text1"/>
            <w:sz w:val="18"/>
          </w:rPr>
          <w:t>pra.go</w:t>
        </w:r>
      </w:hyperlink>
      <w:r w:rsidRPr="00A20408">
        <w:rPr>
          <w:color w:val="000000" w:themeColor="text1"/>
          <w:sz w:val="18"/>
        </w:rPr>
        <w:t>v</w:t>
      </w:r>
      <w:hyperlink r:id="rId5">
        <w:r w:rsidRPr="00A20408">
          <w:rPr>
            <w:color w:val="000000" w:themeColor="text1"/>
            <w:sz w:val="18"/>
          </w:rPr>
          <w:t>.co/sites/cce_public/files/cce_documentos/guia_documentos_tipo_obra_public</w:t>
        </w:r>
      </w:hyperlink>
      <w:r w:rsidRPr="00A20408">
        <w:rPr>
          <w:color w:val="000000" w:themeColor="text1"/>
          <w:sz w:val="18"/>
        </w:rPr>
        <w:t xml:space="preserve"> a_-_transporte_.pdf pág. 59.</w:t>
      </w:r>
    </w:p>
    <w:p w:rsidRPr="00A20408" w:rsidR="00925932" w:rsidP="00A20408" w:rsidRDefault="00925932" w14:paraId="66D71BD6" w14:textId="4FCB3D31">
      <w:pPr>
        <w:pStyle w:val="Textonotapie"/>
        <w:ind w:left="300" w:right="312"/>
        <w:jc w:val="both"/>
        <w:rPr>
          <w:color w:val="000000" w:themeColor="text1"/>
          <w:lang w:val="es-CO"/>
        </w:rPr>
      </w:pPr>
    </w:p>
  </w:footnote>
  <w:footnote w:id="3">
    <w:p w:rsidRPr="00A20408" w:rsidR="00925932" w:rsidP="00A20408" w:rsidRDefault="00925932" w14:paraId="44B296A1" w14:textId="77777777">
      <w:pPr>
        <w:spacing w:before="73"/>
        <w:ind w:left="300" w:right="312" w:firstLine="709"/>
        <w:jc w:val="both"/>
        <w:rPr>
          <w:color w:val="000000" w:themeColor="text1"/>
          <w:sz w:val="18"/>
        </w:rPr>
      </w:pPr>
      <w:r w:rsidRPr="00A20408">
        <w:rPr>
          <w:rStyle w:val="Refdenotaalpie"/>
          <w:color w:val="000000" w:themeColor="text1"/>
        </w:rPr>
        <w:footnoteRef/>
      </w:r>
      <w:r w:rsidRPr="00A20408">
        <w:rPr>
          <w:color w:val="000000" w:themeColor="text1"/>
        </w:rPr>
        <w:t xml:space="preserve"> </w:t>
      </w:r>
      <w:r w:rsidRPr="00A20408">
        <w:rPr>
          <w:color w:val="000000" w:themeColor="text1"/>
          <w:sz w:val="18"/>
        </w:rPr>
        <w:t>La Constitución Política, en el artículo 209, dispone que: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rsidRPr="00A20408" w:rsidR="00925932" w:rsidP="00A20408" w:rsidRDefault="00925932" w14:paraId="12496706" w14:textId="77777777">
      <w:pPr>
        <w:pStyle w:val="Textoindependiente"/>
        <w:ind w:left="300" w:right="312"/>
        <w:jc w:val="both"/>
        <w:rPr>
          <w:color w:val="000000" w:themeColor="text1"/>
          <w:sz w:val="18"/>
        </w:rPr>
      </w:pPr>
    </w:p>
    <w:p w:rsidRPr="00A20408" w:rsidR="00925932" w:rsidP="00A20408" w:rsidRDefault="00925932" w14:paraId="2501FE10" w14:textId="77777777">
      <w:pPr>
        <w:ind w:left="300" w:right="312"/>
        <w:jc w:val="both"/>
        <w:rPr>
          <w:color w:val="000000" w:themeColor="text1"/>
          <w:sz w:val="18"/>
        </w:rPr>
      </w:pPr>
      <w:r w:rsidRPr="00A20408">
        <w:rPr>
          <w:color w:val="000000" w:themeColor="text1"/>
          <w:sz w:val="18"/>
        </w:rPr>
        <w:t>Las autoridades administrativas deben coordinar sus actuaciones para el adecuado cumplimiento de los fines del Estado. La administración pública, en todos sus órdenes, tendrá un control interno que se ejercerá en los términos que señale la ley”</w:t>
      </w:r>
    </w:p>
    <w:p w:rsidRPr="00A20408" w:rsidR="00925932" w:rsidP="00A20408" w:rsidRDefault="00925932" w14:paraId="00C32EEA" w14:textId="587C7E15">
      <w:pPr>
        <w:pStyle w:val="Textonotapie"/>
        <w:ind w:left="300" w:right="312"/>
        <w:jc w:val="both"/>
        <w:rPr>
          <w:color w:val="000000" w:themeColor="text1"/>
          <w:lang w:val="es-CO"/>
        </w:rPr>
      </w:pPr>
    </w:p>
  </w:footnote>
  <w:footnote w:id="4">
    <w:p w:rsidRPr="00A20408" w:rsidR="00925932" w:rsidP="00A20408" w:rsidRDefault="00925932" w14:paraId="0DC2CD7A" w14:textId="77777777">
      <w:pPr>
        <w:ind w:left="300" w:right="312" w:firstLine="707"/>
        <w:jc w:val="both"/>
        <w:rPr>
          <w:color w:val="000000" w:themeColor="text1"/>
          <w:sz w:val="18"/>
        </w:rPr>
      </w:pPr>
      <w:r w:rsidRPr="00A20408">
        <w:rPr>
          <w:rStyle w:val="Refdenotaalpie"/>
          <w:color w:val="000000" w:themeColor="text1"/>
        </w:rPr>
        <w:footnoteRef/>
      </w:r>
      <w:r w:rsidRPr="00A20408">
        <w:rPr>
          <w:color w:val="000000" w:themeColor="text1"/>
        </w:rPr>
        <w:t xml:space="preserve"> </w:t>
      </w:r>
      <w:r w:rsidRPr="00A20408">
        <w:rPr>
          <w:color w:val="000000" w:themeColor="text1"/>
          <w:sz w:val="18"/>
        </w:rPr>
        <w:t xml:space="preserve">La Ley 1150 de 2007, en el artículo 5, numeral 1, indica que: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w:t>
      </w:r>
      <w:hyperlink w:anchor="6" r:id="rId6">
        <w:r w:rsidRPr="00A20408">
          <w:rPr>
            <w:rFonts w:ascii="Calibri" w:hAnsi="Calibri"/>
            <w:color w:val="000000" w:themeColor="text1"/>
            <w:sz w:val="20"/>
          </w:rPr>
          <w:t>6</w:t>
        </w:r>
      </w:hyperlink>
      <w:r w:rsidRPr="00A20408">
        <w:rPr>
          <w:rFonts w:ascii="Calibri" w:hAnsi="Calibri"/>
          <w:color w:val="000000" w:themeColor="text1"/>
          <w:sz w:val="20"/>
        </w:rPr>
        <w:t xml:space="preserve"> </w:t>
      </w:r>
      <w:r w:rsidRPr="00A20408">
        <w:rPr>
          <w:color w:val="000000" w:themeColor="text1"/>
          <w:sz w:val="18"/>
        </w:rPr>
        <w:t>de la presente ley, de acuerdo con lo cual se expedirá la respectiva certificación”.</w:t>
      </w:r>
    </w:p>
    <w:p w:rsidRPr="00A20408" w:rsidR="00925932" w:rsidP="00A20408" w:rsidRDefault="00925932" w14:paraId="7EB673DE" w14:textId="05517E8A">
      <w:pPr>
        <w:pStyle w:val="Textonotapie"/>
        <w:ind w:left="300" w:right="312"/>
        <w:jc w:val="both"/>
        <w:rPr>
          <w:color w:val="000000" w:themeColor="text1"/>
          <w:lang w:val="es-CO"/>
        </w:rPr>
      </w:pPr>
    </w:p>
  </w:footnote>
  <w:footnote w:id="5">
    <w:p w:rsidRPr="00A20408" w:rsidR="00925932" w:rsidP="00A20408" w:rsidRDefault="00925932" w14:paraId="0C8FB9C2" w14:textId="77777777">
      <w:pPr>
        <w:spacing w:before="97"/>
        <w:ind w:left="300" w:right="312" w:firstLine="707"/>
        <w:jc w:val="both"/>
        <w:rPr>
          <w:color w:val="000000" w:themeColor="text1"/>
          <w:sz w:val="18"/>
        </w:rPr>
      </w:pPr>
      <w:r w:rsidRPr="00A20408">
        <w:rPr>
          <w:rStyle w:val="Refdenotaalpie"/>
          <w:color w:val="000000" w:themeColor="text1"/>
        </w:rPr>
        <w:footnoteRef/>
      </w:r>
      <w:r w:rsidRPr="00A20408">
        <w:rPr>
          <w:color w:val="000000" w:themeColor="text1"/>
        </w:rPr>
        <w:t xml:space="preserve"> </w:t>
      </w:r>
      <w:r w:rsidRPr="00A20408">
        <w:rPr>
          <w:color w:val="000000" w:themeColor="text1"/>
          <w:sz w:val="18"/>
        </w:rPr>
        <w:t xml:space="preserve">Agencia Nacional de Contratación Pública- Colombia Compra Eficiente. “Manual para determinar y verificar los requisitos habilitantes en los Procesos de Contratación” Disponible en el siguiente link: </w:t>
      </w:r>
      <w:hyperlink r:id="rId7">
        <w:r w:rsidRPr="00A20408">
          <w:rPr>
            <w:color w:val="000000" w:themeColor="text1"/>
            <w:sz w:val="18"/>
          </w:rPr>
          <w:t>https://www.colombiacompra.gov.co/sites/default/files/manuales/20140901_manual_requisitos_habilitantes_4_</w:t>
        </w:r>
      </w:hyperlink>
      <w:r w:rsidRPr="00A20408">
        <w:rPr>
          <w:color w:val="000000" w:themeColor="text1"/>
          <w:sz w:val="18"/>
        </w:rPr>
        <w:t xml:space="preserve"> </w:t>
      </w:r>
      <w:hyperlink r:id="rId8">
        <w:r w:rsidRPr="00A20408">
          <w:rPr>
            <w:color w:val="000000" w:themeColor="text1"/>
            <w:sz w:val="18"/>
          </w:rPr>
          <w:t>web.pdf</w:t>
        </w:r>
      </w:hyperlink>
    </w:p>
    <w:p w:rsidRPr="00A20408" w:rsidR="00925932" w:rsidP="00A20408" w:rsidRDefault="00925932" w14:paraId="6D70C48B" w14:textId="00D5FEDA">
      <w:pPr>
        <w:pStyle w:val="Textonotapie"/>
        <w:ind w:left="300" w:right="312"/>
        <w:jc w:val="both"/>
        <w:rPr>
          <w:color w:val="000000" w:themeColor="text1"/>
          <w:lang w:val="es-CO"/>
        </w:rPr>
      </w:pPr>
    </w:p>
  </w:footnote>
  <w:footnote w:id="6">
    <w:p w:rsidRPr="00A20408" w:rsidR="00925932" w:rsidP="00A20408" w:rsidRDefault="00925932" w14:paraId="394F4F1A" w14:textId="43A3A5CC">
      <w:pPr>
        <w:spacing w:before="76"/>
        <w:ind w:left="300" w:right="312" w:firstLine="420"/>
        <w:jc w:val="both"/>
        <w:rPr>
          <w:color w:val="000000" w:themeColor="text1"/>
          <w:sz w:val="18"/>
        </w:rPr>
      </w:pPr>
      <w:r w:rsidRPr="00A20408">
        <w:rPr>
          <w:color w:val="000000" w:themeColor="text1"/>
        </w:rPr>
        <w:t xml:space="preserve">   </w:t>
      </w:r>
      <w:r w:rsidRPr="00A20408">
        <w:rPr>
          <w:rStyle w:val="Refdenotaalpie"/>
          <w:color w:val="000000" w:themeColor="text1"/>
        </w:rPr>
        <w:footnoteRef/>
      </w:r>
      <w:r w:rsidRPr="00A20408">
        <w:rPr>
          <w:color w:val="000000" w:themeColor="text1"/>
        </w:rPr>
        <w:t xml:space="preserve"> </w:t>
      </w:r>
      <w:r w:rsidRPr="00A20408">
        <w:rPr>
          <w:color w:val="000000" w:themeColor="text1"/>
          <w:sz w:val="18"/>
        </w:rPr>
        <w:t>Agencia Nacional de Contratación Pública- Colombia Compra Eficiente. “Manual para determinar y verificar los requisitos habilitantes en los Procesos de Contratación: “la experiencia es el conocimiento del proponente derivado de su participación previa en actividades iguales o similares a las previstas en el objeto del contrato, (…) no se agota con el paso del tiempo y por el contrario los proponentes adquieren mayor experiencia con el paso del tiempo en la medida en que continúen con sus actividades”.</w:t>
      </w:r>
    </w:p>
    <w:p w:rsidRPr="00A20408" w:rsidR="00925932" w:rsidP="00A20408" w:rsidRDefault="00925932" w14:paraId="5578DE1D" w14:textId="329A6F23">
      <w:pPr>
        <w:pStyle w:val="Textonotapie"/>
        <w:ind w:left="300" w:right="312" w:firstLine="720"/>
        <w:jc w:val="both"/>
        <w:rPr>
          <w:color w:val="000000" w:themeColor="text1"/>
          <w:lang w:val="es-CO"/>
        </w:rPr>
      </w:pPr>
    </w:p>
  </w:footnote>
  <w:footnote w:id="7">
    <w:p w:rsidRPr="00A20408" w:rsidR="00925932" w:rsidP="00A20408" w:rsidRDefault="00925932" w14:paraId="43BD0524" w14:textId="77777777">
      <w:pPr>
        <w:ind w:left="300" w:right="312" w:firstLine="707"/>
        <w:jc w:val="both"/>
        <w:rPr>
          <w:color w:val="000000" w:themeColor="text1"/>
          <w:sz w:val="18"/>
        </w:rPr>
      </w:pPr>
      <w:r w:rsidRPr="00A20408">
        <w:rPr>
          <w:rStyle w:val="Refdenotaalpie"/>
          <w:color w:val="000000" w:themeColor="text1"/>
        </w:rPr>
        <w:footnoteRef/>
      </w:r>
      <w:r w:rsidRPr="00A20408">
        <w:rPr>
          <w:color w:val="000000" w:themeColor="text1"/>
        </w:rPr>
        <w:t xml:space="preserve"> </w:t>
      </w:r>
      <w:r w:rsidRPr="00A20408">
        <w:rPr>
          <w:color w:val="000000" w:themeColor="text1"/>
          <w:sz w:val="18"/>
        </w:rPr>
        <w:t>“La verificación del número de contratos para la acreditación de experiencia se realizará de la siguiente manera:</w:t>
      </w:r>
    </w:p>
    <w:p w:rsidRPr="00A20408" w:rsidR="00925932" w:rsidP="00A20408" w:rsidRDefault="00925932" w14:paraId="457B0D4B" w14:textId="77777777">
      <w:pPr>
        <w:pStyle w:val="Textoindependiente"/>
        <w:ind w:left="300" w:right="312"/>
        <w:jc w:val="both"/>
        <w:rPr>
          <w:color w:val="000000" w:themeColor="text1"/>
          <w:sz w:val="20"/>
        </w:rPr>
      </w:pPr>
    </w:p>
    <w:p w:rsidRPr="00A20408" w:rsidR="00925932" w:rsidP="00A20408" w:rsidRDefault="00925932" w14:paraId="1CB9E092" w14:textId="77777777">
      <w:pPr>
        <w:pStyle w:val="Textoindependiente"/>
        <w:spacing w:before="8"/>
        <w:ind w:left="300" w:right="312"/>
        <w:jc w:val="both"/>
        <w:rPr>
          <w:color w:val="000000" w:themeColor="text1"/>
          <w:sz w:val="10"/>
        </w:rPr>
      </w:pPr>
    </w:p>
    <w:tbl>
      <w:tblPr>
        <w:tblStyle w:val="TableNormal"/>
        <w:tblW w:w="0" w:type="auto"/>
        <w:tblInd w:w="1025" w:type="dxa"/>
        <w:tblBorders>
          <w:top w:val="double" w:color="000000" w:sz="1" w:space="0"/>
          <w:left w:val="double" w:color="000000" w:sz="1" w:space="0"/>
          <w:bottom w:val="double" w:color="000000" w:sz="1" w:space="0"/>
          <w:right w:val="double" w:color="000000" w:sz="1" w:space="0"/>
          <w:insideH w:val="double" w:color="000000" w:sz="1" w:space="0"/>
          <w:insideV w:val="double" w:color="000000" w:sz="1" w:space="0"/>
        </w:tblBorders>
        <w:tblLayout w:type="fixed"/>
        <w:tblLook w:val="01E0" w:firstRow="1" w:lastRow="1" w:firstColumn="1" w:lastColumn="1" w:noHBand="0" w:noVBand="0"/>
      </w:tblPr>
      <w:tblGrid>
        <w:gridCol w:w="3056"/>
        <w:gridCol w:w="4191"/>
      </w:tblGrid>
      <w:tr w:rsidRPr="00A20408" w:rsidR="00A20408" w:rsidTr="00656399" w14:paraId="26B91FD7" w14:textId="77777777">
        <w:trPr>
          <w:trHeight w:val="735"/>
        </w:trPr>
        <w:tc>
          <w:tcPr>
            <w:tcW w:w="3056" w:type="dxa"/>
            <w:tcBorders>
              <w:bottom w:val="single" w:color="000000" w:sz="4" w:space="0"/>
              <w:right w:val="single" w:color="000000" w:sz="4" w:space="0"/>
            </w:tcBorders>
            <w:shd w:val="clear" w:color="auto" w:fill="404040"/>
          </w:tcPr>
          <w:p w:rsidRPr="00A20408" w:rsidR="00925932" w:rsidP="00A20408" w:rsidRDefault="00925932" w14:paraId="21E91137" w14:textId="77777777">
            <w:pPr>
              <w:pStyle w:val="TableParagraph"/>
              <w:spacing w:before="27" w:line="276" w:lineRule="auto"/>
              <w:ind w:left="300" w:right="312"/>
              <w:jc w:val="both"/>
              <w:rPr>
                <w:rFonts w:ascii="Calibri" w:hAnsi="Calibri"/>
                <w:b/>
                <w:color w:val="000000" w:themeColor="text1"/>
                <w:sz w:val="16"/>
              </w:rPr>
            </w:pPr>
            <w:r w:rsidRPr="00A20408">
              <w:rPr>
                <w:rFonts w:ascii="Calibri" w:hAnsi="Calibri"/>
                <w:b/>
                <w:color w:val="000000" w:themeColor="text1"/>
                <w:sz w:val="16"/>
              </w:rPr>
              <w:t>Número de contratos con los cuales el proponente cumple la experiencia acreditada</w:t>
            </w:r>
          </w:p>
        </w:tc>
        <w:tc>
          <w:tcPr>
            <w:tcW w:w="4191" w:type="dxa"/>
            <w:tcBorders>
              <w:left w:val="single" w:color="000000" w:sz="4" w:space="0"/>
              <w:bottom w:val="single" w:color="000000" w:sz="4" w:space="0"/>
            </w:tcBorders>
            <w:shd w:val="clear" w:color="auto" w:fill="404040"/>
          </w:tcPr>
          <w:p w:rsidRPr="00A20408" w:rsidR="00925932" w:rsidP="00A20408" w:rsidRDefault="00925932" w14:paraId="05462C19" w14:textId="77777777">
            <w:pPr>
              <w:pStyle w:val="TableParagraph"/>
              <w:spacing w:before="27" w:line="240" w:lineRule="auto"/>
              <w:ind w:left="300" w:right="312"/>
              <w:jc w:val="both"/>
              <w:rPr>
                <w:rFonts w:ascii="Calibri" w:hAnsi="Calibri"/>
                <w:b/>
                <w:color w:val="000000" w:themeColor="text1"/>
                <w:sz w:val="16"/>
              </w:rPr>
            </w:pPr>
            <w:proofErr w:type="gramStart"/>
            <w:r w:rsidRPr="00A20408">
              <w:rPr>
                <w:rFonts w:ascii="Calibri" w:hAnsi="Calibri"/>
                <w:b/>
                <w:color w:val="000000" w:themeColor="text1"/>
                <w:sz w:val="16"/>
              </w:rPr>
              <w:t>Valor mínimo a certificar</w:t>
            </w:r>
            <w:proofErr w:type="gramEnd"/>
          </w:p>
          <w:p w:rsidRPr="00A20408" w:rsidR="00925932" w:rsidP="00A20408" w:rsidRDefault="00925932" w14:paraId="701668A3" w14:textId="77777777">
            <w:pPr>
              <w:pStyle w:val="TableParagraph"/>
              <w:spacing w:before="30" w:line="276" w:lineRule="auto"/>
              <w:ind w:left="300" w:right="312"/>
              <w:jc w:val="both"/>
              <w:rPr>
                <w:rFonts w:ascii="Calibri"/>
                <w:b/>
                <w:color w:val="000000" w:themeColor="text1"/>
                <w:sz w:val="16"/>
              </w:rPr>
            </w:pPr>
            <w:r w:rsidRPr="00A20408">
              <w:rPr>
                <w:rFonts w:ascii="Calibri"/>
                <w:b/>
                <w:color w:val="000000" w:themeColor="text1"/>
                <w:sz w:val="16"/>
              </w:rPr>
              <w:t>(como % del Presupuesto Oficial de obra expresado en SMMLV)</w:t>
            </w:r>
          </w:p>
        </w:tc>
      </w:tr>
      <w:tr w:rsidRPr="00A20408" w:rsidR="00A20408" w:rsidTr="00656399" w14:paraId="0D240E30" w14:textId="77777777">
        <w:trPr>
          <w:trHeight w:val="212"/>
        </w:trPr>
        <w:tc>
          <w:tcPr>
            <w:tcW w:w="3056" w:type="dxa"/>
            <w:tcBorders>
              <w:top w:val="single" w:color="000000" w:sz="4" w:space="0"/>
              <w:bottom w:val="single" w:color="000000" w:sz="4" w:space="0"/>
              <w:right w:val="single" w:color="000000" w:sz="4" w:space="0"/>
            </w:tcBorders>
          </w:tcPr>
          <w:p w:rsidRPr="00A20408" w:rsidR="00925932" w:rsidP="00A20408" w:rsidRDefault="00925932" w14:paraId="270740DE" w14:textId="77777777">
            <w:pPr>
              <w:pStyle w:val="TableParagraph"/>
              <w:ind w:left="300" w:right="312"/>
              <w:jc w:val="both"/>
              <w:rPr>
                <w:color w:val="000000" w:themeColor="text1"/>
                <w:sz w:val="16"/>
              </w:rPr>
            </w:pPr>
            <w:r w:rsidRPr="00A20408">
              <w:rPr>
                <w:color w:val="000000" w:themeColor="text1"/>
                <w:sz w:val="16"/>
              </w:rPr>
              <w:t>De 1 hasta 2</w:t>
            </w:r>
          </w:p>
        </w:tc>
        <w:tc>
          <w:tcPr>
            <w:tcW w:w="4191" w:type="dxa"/>
            <w:tcBorders>
              <w:top w:val="single" w:color="000000" w:sz="4" w:space="0"/>
              <w:left w:val="single" w:color="000000" w:sz="4" w:space="0"/>
              <w:bottom w:val="single" w:color="000000" w:sz="4" w:space="0"/>
            </w:tcBorders>
          </w:tcPr>
          <w:p w:rsidRPr="00A20408" w:rsidR="00925932" w:rsidP="00A20408" w:rsidRDefault="00925932" w14:paraId="5C503C3E" w14:textId="77777777">
            <w:pPr>
              <w:pStyle w:val="TableParagraph"/>
              <w:ind w:left="300" w:right="312"/>
              <w:jc w:val="both"/>
              <w:rPr>
                <w:color w:val="000000" w:themeColor="text1"/>
                <w:sz w:val="16"/>
              </w:rPr>
            </w:pPr>
            <w:r w:rsidRPr="00A20408">
              <w:rPr>
                <w:color w:val="000000" w:themeColor="text1"/>
                <w:sz w:val="16"/>
              </w:rPr>
              <w:t>75%</w:t>
            </w:r>
          </w:p>
        </w:tc>
      </w:tr>
      <w:tr w:rsidRPr="00A20408" w:rsidR="00A20408" w:rsidTr="00656399" w14:paraId="44F5461E" w14:textId="77777777">
        <w:trPr>
          <w:trHeight w:val="212"/>
        </w:trPr>
        <w:tc>
          <w:tcPr>
            <w:tcW w:w="3056" w:type="dxa"/>
            <w:tcBorders>
              <w:top w:val="single" w:color="000000" w:sz="4" w:space="0"/>
              <w:bottom w:val="single" w:color="000000" w:sz="4" w:space="0"/>
              <w:right w:val="single" w:color="000000" w:sz="4" w:space="0"/>
            </w:tcBorders>
          </w:tcPr>
          <w:p w:rsidRPr="00A20408" w:rsidR="00925932" w:rsidP="00A20408" w:rsidRDefault="00925932" w14:paraId="3B40FDFC" w14:textId="77777777">
            <w:pPr>
              <w:pStyle w:val="TableParagraph"/>
              <w:spacing w:line="181" w:lineRule="exact"/>
              <w:ind w:left="300" w:right="312"/>
              <w:jc w:val="both"/>
              <w:rPr>
                <w:color w:val="000000" w:themeColor="text1"/>
                <w:sz w:val="16"/>
              </w:rPr>
            </w:pPr>
            <w:r w:rsidRPr="00A20408">
              <w:rPr>
                <w:color w:val="000000" w:themeColor="text1"/>
                <w:sz w:val="16"/>
              </w:rPr>
              <w:t>De 3 hasta 4</w:t>
            </w:r>
          </w:p>
        </w:tc>
        <w:tc>
          <w:tcPr>
            <w:tcW w:w="4191" w:type="dxa"/>
            <w:tcBorders>
              <w:top w:val="single" w:color="000000" w:sz="4" w:space="0"/>
              <w:left w:val="single" w:color="000000" w:sz="4" w:space="0"/>
              <w:bottom w:val="single" w:color="000000" w:sz="4" w:space="0"/>
            </w:tcBorders>
          </w:tcPr>
          <w:p w:rsidRPr="00A20408" w:rsidR="00925932" w:rsidP="00A20408" w:rsidRDefault="00925932" w14:paraId="475C8F61" w14:textId="77777777">
            <w:pPr>
              <w:pStyle w:val="TableParagraph"/>
              <w:spacing w:line="181" w:lineRule="exact"/>
              <w:ind w:left="300" w:right="312"/>
              <w:jc w:val="both"/>
              <w:rPr>
                <w:color w:val="000000" w:themeColor="text1"/>
                <w:sz w:val="16"/>
              </w:rPr>
            </w:pPr>
            <w:r w:rsidRPr="00A20408">
              <w:rPr>
                <w:color w:val="000000" w:themeColor="text1"/>
                <w:sz w:val="16"/>
              </w:rPr>
              <w:t>120%</w:t>
            </w:r>
          </w:p>
        </w:tc>
      </w:tr>
      <w:tr w:rsidRPr="00A20408" w:rsidR="00925932" w:rsidTr="00656399" w14:paraId="7E34CECC" w14:textId="77777777">
        <w:trPr>
          <w:trHeight w:val="210"/>
        </w:trPr>
        <w:tc>
          <w:tcPr>
            <w:tcW w:w="3056" w:type="dxa"/>
            <w:tcBorders>
              <w:top w:val="single" w:color="000000" w:sz="4" w:space="0"/>
              <w:right w:val="single" w:color="000000" w:sz="4" w:space="0"/>
            </w:tcBorders>
          </w:tcPr>
          <w:p w:rsidRPr="00A20408" w:rsidR="00925932" w:rsidP="00A20408" w:rsidRDefault="00925932" w14:paraId="108FCA7D" w14:textId="77777777">
            <w:pPr>
              <w:pStyle w:val="TableParagraph"/>
              <w:ind w:left="300" w:right="312"/>
              <w:jc w:val="both"/>
              <w:rPr>
                <w:color w:val="000000" w:themeColor="text1"/>
                <w:sz w:val="16"/>
              </w:rPr>
            </w:pPr>
            <w:r w:rsidRPr="00A20408">
              <w:rPr>
                <w:color w:val="000000" w:themeColor="text1"/>
                <w:sz w:val="16"/>
              </w:rPr>
              <w:t>De 5 hasta 6</w:t>
            </w:r>
          </w:p>
        </w:tc>
        <w:tc>
          <w:tcPr>
            <w:tcW w:w="4191" w:type="dxa"/>
            <w:tcBorders>
              <w:top w:val="single" w:color="000000" w:sz="4" w:space="0"/>
              <w:left w:val="single" w:color="000000" w:sz="4" w:space="0"/>
            </w:tcBorders>
          </w:tcPr>
          <w:p w:rsidRPr="00A20408" w:rsidR="00925932" w:rsidP="00A20408" w:rsidRDefault="00925932" w14:paraId="7757CBDD" w14:textId="77777777">
            <w:pPr>
              <w:pStyle w:val="TableParagraph"/>
              <w:ind w:left="300" w:right="312"/>
              <w:jc w:val="both"/>
              <w:rPr>
                <w:color w:val="000000" w:themeColor="text1"/>
                <w:sz w:val="16"/>
              </w:rPr>
            </w:pPr>
            <w:r w:rsidRPr="00A20408">
              <w:rPr>
                <w:color w:val="000000" w:themeColor="text1"/>
                <w:sz w:val="16"/>
              </w:rPr>
              <w:t>150%</w:t>
            </w:r>
          </w:p>
        </w:tc>
      </w:tr>
    </w:tbl>
    <w:p w:rsidRPr="00A20408" w:rsidR="00925932" w:rsidP="00A20408" w:rsidRDefault="00925932" w14:paraId="4AEE6F81" w14:textId="77777777">
      <w:pPr>
        <w:pStyle w:val="Textoindependiente"/>
        <w:spacing w:before="4"/>
        <w:ind w:left="300" w:right="312"/>
        <w:jc w:val="both"/>
        <w:rPr>
          <w:color w:val="000000" w:themeColor="text1"/>
          <w:sz w:val="21"/>
        </w:rPr>
      </w:pPr>
    </w:p>
    <w:p w:rsidRPr="00A20408" w:rsidR="00925932" w:rsidP="00A20408" w:rsidRDefault="00925932" w14:paraId="38388A65" w14:textId="77777777">
      <w:pPr>
        <w:ind w:left="300" w:right="312"/>
        <w:jc w:val="both"/>
        <w:rPr>
          <w:color w:val="000000" w:themeColor="text1"/>
          <w:sz w:val="18"/>
        </w:rPr>
      </w:pPr>
      <w:r w:rsidRPr="00A20408">
        <w:rPr>
          <w:color w:val="000000" w:themeColor="text1"/>
          <w:sz w:val="18"/>
        </w:rPr>
        <w:t>“La verificación se hará con base en la sumatoria de los valores totales ejecutados (incluido IVA) en SMMLV de los contratos que cumplan con los requisitos establecidos en este Pliego de Condiciones (…)”.</w:t>
      </w:r>
    </w:p>
    <w:p w:rsidRPr="00A20408" w:rsidR="00925932" w:rsidP="00A20408" w:rsidRDefault="00925932" w14:paraId="02078091" w14:textId="6C22190F">
      <w:pPr>
        <w:pStyle w:val="Textonotapie"/>
        <w:ind w:left="300" w:right="312"/>
        <w:jc w:val="both"/>
        <w:rPr>
          <w:color w:val="000000" w:themeColor="text1"/>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892702" w:rsidRDefault="00212A55" w14:paraId="58F91080" w14:textId="77777777">
    <w:pPr>
      <w:pStyle w:val="Textoindependiente"/>
      <w:spacing w:line="14" w:lineRule="auto"/>
      <w:rPr>
        <w:sz w:val="20"/>
      </w:rPr>
    </w:pPr>
    <w:r>
      <w:rPr>
        <w:noProof/>
      </w:rPr>
      <w:drawing>
        <wp:anchor distT="0" distB="0" distL="0" distR="0" simplePos="0" relativeHeight="251656192" behindDoc="1" locked="0" layoutInCell="1" allowOverlap="1" wp14:anchorId="458C7CCF" wp14:editId="399CFBD3">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13CCD7CC">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B3650A"/>
    <w:multiLevelType w:val="hybridMultilevel"/>
    <w:tmpl w:val="6B7CDBC4"/>
    <w:lvl w:ilvl="0" w:tplc="93CA5078">
      <w:start w:val="1"/>
      <w:numFmt w:val="decimal"/>
      <w:lvlText w:val="%1."/>
      <w:lvlJc w:val="left"/>
      <w:pPr>
        <w:ind w:left="543" w:hanging="243"/>
        <w:jc w:val="left"/>
      </w:pPr>
      <w:rPr>
        <w:rFonts w:hint="default" w:ascii="Arial" w:hAnsi="Arial" w:eastAsia="Arial" w:cs="Arial"/>
        <w:b/>
        <w:bCs/>
        <w:color w:val="000000" w:themeColor="text1"/>
        <w:w w:val="100"/>
        <w:sz w:val="22"/>
        <w:szCs w:val="22"/>
        <w:lang w:val="es-ES" w:eastAsia="es-ES" w:bidi="es-ES"/>
      </w:rPr>
    </w:lvl>
    <w:lvl w:ilvl="1" w:tplc="3AFC665A">
      <w:numFmt w:val="bullet"/>
      <w:lvlText w:val="•"/>
      <w:lvlJc w:val="left"/>
      <w:pPr>
        <w:ind w:left="540" w:hanging="243"/>
      </w:pPr>
      <w:rPr>
        <w:rFonts w:hint="default"/>
        <w:lang w:val="es-ES" w:eastAsia="es-ES" w:bidi="es-ES"/>
      </w:rPr>
    </w:lvl>
    <w:lvl w:ilvl="2" w:tplc="2B62DDA6">
      <w:numFmt w:val="bullet"/>
      <w:lvlText w:val="•"/>
      <w:lvlJc w:val="left"/>
      <w:pPr>
        <w:ind w:left="1540" w:hanging="243"/>
      </w:pPr>
      <w:rPr>
        <w:rFonts w:hint="default"/>
        <w:lang w:val="es-ES" w:eastAsia="es-ES" w:bidi="es-ES"/>
      </w:rPr>
    </w:lvl>
    <w:lvl w:ilvl="3" w:tplc="BDFACB32">
      <w:numFmt w:val="bullet"/>
      <w:lvlText w:val="•"/>
      <w:lvlJc w:val="left"/>
      <w:pPr>
        <w:ind w:left="2540" w:hanging="243"/>
      </w:pPr>
      <w:rPr>
        <w:rFonts w:hint="default"/>
        <w:lang w:val="es-ES" w:eastAsia="es-ES" w:bidi="es-ES"/>
      </w:rPr>
    </w:lvl>
    <w:lvl w:ilvl="4" w:tplc="BA607F2A">
      <w:numFmt w:val="bullet"/>
      <w:lvlText w:val="•"/>
      <w:lvlJc w:val="left"/>
      <w:pPr>
        <w:ind w:left="3540" w:hanging="243"/>
      </w:pPr>
      <w:rPr>
        <w:rFonts w:hint="default"/>
        <w:lang w:val="es-ES" w:eastAsia="es-ES" w:bidi="es-ES"/>
      </w:rPr>
    </w:lvl>
    <w:lvl w:ilvl="5" w:tplc="0ABE8972">
      <w:numFmt w:val="bullet"/>
      <w:lvlText w:val="•"/>
      <w:lvlJc w:val="left"/>
      <w:pPr>
        <w:ind w:left="4540" w:hanging="243"/>
      </w:pPr>
      <w:rPr>
        <w:rFonts w:hint="default"/>
        <w:lang w:val="es-ES" w:eastAsia="es-ES" w:bidi="es-ES"/>
      </w:rPr>
    </w:lvl>
    <w:lvl w:ilvl="6" w:tplc="3AE24974">
      <w:numFmt w:val="bullet"/>
      <w:lvlText w:val="•"/>
      <w:lvlJc w:val="left"/>
      <w:pPr>
        <w:ind w:left="5540" w:hanging="243"/>
      </w:pPr>
      <w:rPr>
        <w:rFonts w:hint="default"/>
        <w:lang w:val="es-ES" w:eastAsia="es-ES" w:bidi="es-ES"/>
      </w:rPr>
    </w:lvl>
    <w:lvl w:ilvl="7" w:tplc="602847C6">
      <w:numFmt w:val="bullet"/>
      <w:lvlText w:val="•"/>
      <w:lvlJc w:val="left"/>
      <w:pPr>
        <w:ind w:left="6540" w:hanging="243"/>
      </w:pPr>
      <w:rPr>
        <w:rFonts w:hint="default"/>
        <w:lang w:val="es-ES" w:eastAsia="es-ES" w:bidi="es-ES"/>
      </w:rPr>
    </w:lvl>
    <w:lvl w:ilvl="8" w:tplc="082245A6">
      <w:numFmt w:val="bullet"/>
      <w:lvlText w:val="•"/>
      <w:lvlJc w:val="left"/>
      <w:pPr>
        <w:ind w:left="7540" w:hanging="243"/>
      </w:pPr>
      <w:rPr>
        <w:rFonts w:hint="default"/>
        <w:lang w:val="es-ES" w:eastAsia="es-ES" w:bidi="es-ES"/>
      </w:rPr>
    </w:lvl>
  </w:abstractNum>
  <w:abstractNum w:abstractNumId="1" w15:restartNumberingAfterBreak="0">
    <w:nsid w:val="7A241090"/>
    <w:multiLevelType w:val="hybridMultilevel"/>
    <w:tmpl w:val="086C6BF2"/>
    <w:lvl w:ilvl="0" w:tplc="AC32A68E">
      <w:start w:val="1"/>
      <w:numFmt w:val="decimal"/>
      <w:lvlText w:val="%1."/>
      <w:lvlJc w:val="left"/>
      <w:pPr>
        <w:ind w:left="603" w:hanging="243"/>
        <w:jc w:val="left"/>
      </w:pPr>
      <w:rPr>
        <w:rFonts w:hint="default" w:ascii="Arial" w:hAnsi="Arial" w:eastAsia="Arial" w:cs="Arial"/>
        <w:b/>
        <w:bCs/>
        <w:color w:val="000000" w:themeColor="text1"/>
        <w:spacing w:val="-1"/>
        <w:w w:val="100"/>
        <w:sz w:val="22"/>
        <w:szCs w:val="22"/>
        <w:lang w:val="es-ES" w:eastAsia="es-ES" w:bidi="es-ES"/>
      </w:rPr>
    </w:lvl>
    <w:lvl w:ilvl="1" w:tplc="52BC88A8">
      <w:numFmt w:val="bullet"/>
      <w:lvlText w:val="•"/>
      <w:lvlJc w:val="left"/>
      <w:pPr>
        <w:ind w:left="1494" w:hanging="243"/>
      </w:pPr>
      <w:rPr>
        <w:rFonts w:hint="default"/>
        <w:lang w:val="es-ES" w:eastAsia="es-ES" w:bidi="es-ES"/>
      </w:rPr>
    </w:lvl>
    <w:lvl w:ilvl="2" w:tplc="2B724414">
      <w:numFmt w:val="bullet"/>
      <w:lvlText w:val="•"/>
      <w:lvlJc w:val="left"/>
      <w:pPr>
        <w:ind w:left="2388" w:hanging="243"/>
      </w:pPr>
      <w:rPr>
        <w:rFonts w:hint="default"/>
        <w:lang w:val="es-ES" w:eastAsia="es-ES" w:bidi="es-ES"/>
      </w:rPr>
    </w:lvl>
    <w:lvl w:ilvl="3" w:tplc="41CEDD20">
      <w:numFmt w:val="bullet"/>
      <w:lvlText w:val="•"/>
      <w:lvlJc w:val="left"/>
      <w:pPr>
        <w:ind w:left="3282" w:hanging="243"/>
      </w:pPr>
      <w:rPr>
        <w:rFonts w:hint="default"/>
        <w:lang w:val="es-ES" w:eastAsia="es-ES" w:bidi="es-ES"/>
      </w:rPr>
    </w:lvl>
    <w:lvl w:ilvl="4" w:tplc="D0EA6096">
      <w:numFmt w:val="bullet"/>
      <w:lvlText w:val="•"/>
      <w:lvlJc w:val="left"/>
      <w:pPr>
        <w:ind w:left="4176" w:hanging="243"/>
      </w:pPr>
      <w:rPr>
        <w:rFonts w:hint="default"/>
        <w:lang w:val="es-ES" w:eastAsia="es-ES" w:bidi="es-ES"/>
      </w:rPr>
    </w:lvl>
    <w:lvl w:ilvl="5" w:tplc="D97C1D76">
      <w:numFmt w:val="bullet"/>
      <w:lvlText w:val="•"/>
      <w:lvlJc w:val="left"/>
      <w:pPr>
        <w:ind w:left="5070" w:hanging="243"/>
      </w:pPr>
      <w:rPr>
        <w:rFonts w:hint="default"/>
        <w:lang w:val="es-ES" w:eastAsia="es-ES" w:bidi="es-ES"/>
      </w:rPr>
    </w:lvl>
    <w:lvl w:ilvl="6" w:tplc="B1AC8CBA">
      <w:numFmt w:val="bullet"/>
      <w:lvlText w:val="•"/>
      <w:lvlJc w:val="left"/>
      <w:pPr>
        <w:ind w:left="5964" w:hanging="243"/>
      </w:pPr>
      <w:rPr>
        <w:rFonts w:hint="default"/>
        <w:lang w:val="es-ES" w:eastAsia="es-ES" w:bidi="es-ES"/>
      </w:rPr>
    </w:lvl>
    <w:lvl w:ilvl="7" w:tplc="34F4E5DA">
      <w:numFmt w:val="bullet"/>
      <w:lvlText w:val="•"/>
      <w:lvlJc w:val="left"/>
      <w:pPr>
        <w:ind w:left="6858" w:hanging="243"/>
      </w:pPr>
      <w:rPr>
        <w:rFonts w:hint="default"/>
        <w:lang w:val="es-ES" w:eastAsia="es-ES" w:bidi="es-ES"/>
      </w:rPr>
    </w:lvl>
    <w:lvl w:ilvl="8" w:tplc="5FE412DC">
      <w:numFmt w:val="bullet"/>
      <w:lvlText w:val="•"/>
      <w:lvlJc w:val="left"/>
      <w:pPr>
        <w:ind w:left="7752" w:hanging="243"/>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02"/>
    <w:rsid w:val="000C5F4C"/>
    <w:rsid w:val="00212A55"/>
    <w:rsid w:val="00216C34"/>
    <w:rsid w:val="002E47BC"/>
    <w:rsid w:val="00404C6C"/>
    <w:rsid w:val="004E0772"/>
    <w:rsid w:val="007361EA"/>
    <w:rsid w:val="00892702"/>
    <w:rsid w:val="00925932"/>
    <w:rsid w:val="009C09AF"/>
    <w:rsid w:val="00A20408"/>
    <w:rsid w:val="00A2590C"/>
    <w:rsid w:val="00A40CB0"/>
    <w:rsid w:val="00B43BCA"/>
    <w:rsid w:val="00B84C56"/>
    <w:rsid w:val="00C92C28"/>
    <w:rsid w:val="00CB3E85"/>
    <w:rsid w:val="00E55CC3"/>
    <w:rsid w:val="00FD16E5"/>
    <w:rsid w:val="02E3AB32"/>
    <w:rsid w:val="13CCD7CC"/>
    <w:rsid w:val="1D03C2F1"/>
    <w:rsid w:val="1D72C5A1"/>
    <w:rsid w:val="74D449C2"/>
    <w:rsid w:val="7B3D13FE"/>
    <w:rsid w:val="7ED149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DAA84"/>
  <w15:docId w15:val="{1F03E3AD-385E-4460-9DC9-D5CE5688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s-ES" w:eastAsia="es-ES" w:bidi="es-ES"/>
    </w:rPr>
  </w:style>
  <w:style w:type="paragraph" w:styleId="Ttulo1">
    <w:name w:val="heading 1"/>
    <w:basedOn w:val="Normal"/>
    <w:uiPriority w:val="9"/>
    <w:qFormat/>
    <w:pPr>
      <w:ind w:left="543" w:hanging="244"/>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543" w:hanging="244"/>
    </w:pPr>
  </w:style>
  <w:style w:type="paragraph" w:styleId="TableParagraph" w:customStyle="1">
    <w:name w:val="Table Paragraph"/>
    <w:basedOn w:val="Normal"/>
    <w:uiPriority w:val="1"/>
    <w:qFormat/>
    <w:pPr>
      <w:spacing w:line="182" w:lineRule="exact"/>
      <w:ind w:left="3"/>
      <w:jc w:val="center"/>
    </w:pPr>
  </w:style>
  <w:style w:type="paragraph" w:styleId="Textonotapie">
    <w:name w:val="footnote text"/>
    <w:basedOn w:val="Normal"/>
    <w:link w:val="TextonotapieCar"/>
    <w:uiPriority w:val="99"/>
    <w:semiHidden/>
    <w:unhideWhenUsed/>
    <w:rsid w:val="00925932"/>
    <w:rPr>
      <w:sz w:val="20"/>
      <w:szCs w:val="20"/>
    </w:rPr>
  </w:style>
  <w:style w:type="character" w:styleId="TextonotapieCar" w:customStyle="1">
    <w:name w:val="Texto nota pie Car"/>
    <w:basedOn w:val="Fuentedeprrafopredeter"/>
    <w:link w:val="Textonotapie"/>
    <w:uiPriority w:val="99"/>
    <w:semiHidden/>
    <w:rsid w:val="00925932"/>
    <w:rPr>
      <w:rFonts w:ascii="Arial" w:hAnsi="Arial" w:eastAsia="Arial" w:cs="Arial"/>
      <w:sz w:val="20"/>
      <w:szCs w:val="20"/>
      <w:lang w:val="es-ES" w:eastAsia="es-ES" w:bidi="es-ES"/>
    </w:rPr>
  </w:style>
  <w:style w:type="character" w:styleId="Refdenotaalpie">
    <w:name w:val="footnote reference"/>
    <w:basedOn w:val="Fuentedeprrafopredeter"/>
    <w:uiPriority w:val="99"/>
    <w:semiHidden/>
    <w:unhideWhenUsed/>
    <w:rsid w:val="00925932"/>
    <w:rPr>
      <w:vertAlign w:val="superscript"/>
    </w:rPr>
  </w:style>
  <w:style w:type="paragraph" w:styleId="Encabezado">
    <w:name w:val="header"/>
    <w:basedOn w:val="Normal"/>
    <w:link w:val="EncabezadoCar"/>
    <w:uiPriority w:val="99"/>
    <w:unhideWhenUsed/>
    <w:rsid w:val="00925932"/>
    <w:pPr>
      <w:tabs>
        <w:tab w:val="center" w:pos="4419"/>
        <w:tab w:val="right" w:pos="8838"/>
      </w:tabs>
    </w:pPr>
  </w:style>
  <w:style w:type="character" w:styleId="EncabezadoCar" w:customStyle="1">
    <w:name w:val="Encabezado Car"/>
    <w:basedOn w:val="Fuentedeprrafopredeter"/>
    <w:link w:val="Encabezado"/>
    <w:uiPriority w:val="99"/>
    <w:rsid w:val="00925932"/>
    <w:rPr>
      <w:rFonts w:ascii="Arial" w:hAnsi="Arial" w:eastAsia="Arial" w:cs="Arial"/>
      <w:lang w:val="es-ES" w:eastAsia="es-ES" w:bidi="es-ES"/>
    </w:rPr>
  </w:style>
  <w:style w:type="paragraph" w:styleId="Piedepgina">
    <w:name w:val="footer"/>
    <w:basedOn w:val="Normal"/>
    <w:link w:val="PiedepginaCar"/>
    <w:uiPriority w:val="99"/>
    <w:unhideWhenUsed/>
    <w:rsid w:val="00925932"/>
    <w:pPr>
      <w:tabs>
        <w:tab w:val="center" w:pos="4419"/>
        <w:tab w:val="right" w:pos="8838"/>
      </w:tabs>
    </w:pPr>
  </w:style>
  <w:style w:type="character" w:styleId="PiedepginaCar" w:customStyle="1">
    <w:name w:val="Pie de página Car"/>
    <w:basedOn w:val="Fuentedeprrafopredeter"/>
    <w:link w:val="Piedepgina"/>
    <w:uiPriority w:val="99"/>
    <w:rsid w:val="00925932"/>
    <w:rPr>
      <w:rFonts w:ascii="Arial" w:hAnsi="Arial" w:eastAsia="Arial" w:cs="Arial"/>
      <w:lang w:val="es-ES" w:eastAsia="es-ES" w:bidi="es-ES"/>
    </w:rPr>
  </w:style>
  <w:style w:type="character" w:styleId="TextoindependienteCar" w:customStyle="1">
    <w:name w:val="Texto independiente Car"/>
    <w:basedOn w:val="Fuentedeprrafopredeter"/>
    <w:link w:val="Textoindependiente"/>
    <w:uiPriority w:val="1"/>
    <w:rsid w:val="00E55CC3"/>
    <w:rPr>
      <w:rFonts w:ascii="Arial" w:hAnsi="Arial" w:eastAsia="Arial" w:cs="Arial"/>
      <w:lang w:val="es-ES" w:eastAsia="es-ES" w:bidi="es-ES"/>
    </w:rPr>
  </w:style>
  <w:style w:type="paragraph" w:styleId="Textodeglobo">
    <w:name w:val="Balloon Text"/>
    <w:basedOn w:val="Normal"/>
    <w:link w:val="TextodegloboCar"/>
    <w:uiPriority w:val="99"/>
    <w:semiHidden/>
    <w:unhideWhenUsed/>
    <w:rsid w:val="007361EA"/>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7361EA"/>
    <w:rPr>
      <w:rFonts w:ascii="Segoe UI" w:hAnsi="Segoe UI" w:eastAsia="Arial" w:cs="Segoe UI"/>
      <w:sz w:val="18"/>
      <w:szCs w:val="1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superfinanciera.gov.co/publicacion/60819"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www.superfinanciera.gov.co/publicacion/60819"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image" Target="/media/image4.png" Id="Rd2fd33fb53524c6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colombiacompra.gov.co/sites/default/files/manuales/20140901_manual_requisitos_habilitantes_4_web.pdf" TargetMode="External"/><Relationship Id="rId3" Type="http://schemas.openxmlformats.org/officeDocument/2006/relationships/hyperlink" Target="http://www.colombiacompra.gov.co/sites/cce_public/files/cce_documentos/guia_documentos_tipo_obra_public" TargetMode="External"/><Relationship Id="rId7" Type="http://schemas.openxmlformats.org/officeDocument/2006/relationships/hyperlink" Target="https://www.colombiacompra.gov.co/sites/default/files/manuales/20140901_manual_requisitos_habilitantes_4_web.pdf" TargetMode="External"/><Relationship Id="rId2" Type="http://schemas.openxmlformats.org/officeDocument/2006/relationships/hyperlink" Target="http://www.colombiacompra.gov.co/sites/cce_public/files/cce_documentos/guia_documentos_tipo_obra_public" TargetMode="External"/><Relationship Id="rId1" Type="http://schemas.openxmlformats.org/officeDocument/2006/relationships/hyperlink" Target="http://www.superfinanciera.gov.co/publicacion/60819)" TargetMode="External"/><Relationship Id="rId6" Type="http://schemas.openxmlformats.org/officeDocument/2006/relationships/hyperlink" Target="http://www.secretariasenado.gov.co/senado/basedoc/ley_1150_2007.html" TargetMode="External"/><Relationship Id="rId5" Type="http://schemas.openxmlformats.org/officeDocument/2006/relationships/hyperlink" Target="http://www.colombiacompra.gov.co/sites/cce_public/files/cce_documentos/guia_documentos_tipo_obra_public" TargetMode="External"/><Relationship Id="rId4" Type="http://schemas.openxmlformats.org/officeDocument/2006/relationships/hyperlink" Target="http://www.colombiacompra.gov.co/sites/cce_public/files/cce_documentos/guia_documentos_tipo_obra_publ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46BF4B-49A4-45C5-AB74-2096B6639E80}">
  <ds:schemaRefs>
    <ds:schemaRef ds:uri="http://schemas.microsoft.com/sharepoint/v3/contenttype/forms"/>
  </ds:schemaRefs>
</ds:datastoreItem>
</file>

<file path=customXml/itemProps2.xml><?xml version="1.0" encoding="utf-8"?>
<ds:datastoreItem xmlns:ds="http://schemas.openxmlformats.org/officeDocument/2006/customXml" ds:itemID="{0EE1F3F4-D923-4666-A5EA-FEA6D18AD620}">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CCBF5BAD-FBCE-415F-88C4-4E5CB4689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18</revision>
  <dcterms:created xsi:type="dcterms:W3CDTF">2020-04-11T20:37:00.0000000Z</dcterms:created>
  <dcterms:modified xsi:type="dcterms:W3CDTF">2020-07-07T21:30:49.3983702Z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vt:lpwstr>
  </property>
  <property fmtid="{D5CDD505-2E9C-101B-9397-08002B2CF9AE}" pid="4" name="LastSaved">
    <vt:filetime>2020-04-11T00:00:00Z</vt:filetime>
  </property>
  <property fmtid="{D5CDD505-2E9C-101B-9397-08002B2CF9AE}" pid="5" name="ContentTypeId">
    <vt:lpwstr>0x010100F2E0F32964D9B84EA054B84E5D4157A0</vt:lpwstr>
  </property>
</Properties>
</file>