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C40E8" w:rsidR="00A43D23" w:rsidP="00A43D23" w:rsidRDefault="00A43D23" w14:paraId="5D2EBF73" w14:textId="77777777">
      <w:pPr>
        <w:jc w:val="right"/>
        <w:rPr>
          <w:rFonts w:ascii="Arial" w:hAnsi="Arial" w:cs="Arial"/>
          <w:b/>
          <w:sz w:val="16"/>
          <w:szCs w:val="16"/>
          <w:lang w:val="es-ES" w:eastAsia="es-ES"/>
        </w:rPr>
      </w:pPr>
      <w:bookmarkStart w:name="_Hlk28946138" w:id="0"/>
      <w:bookmarkStart w:name="_Hlk29548183" w:id="1"/>
      <w:r w:rsidRPr="005B5E75">
        <w:rPr>
          <w:rFonts w:ascii="Arial" w:hAnsi="Arial" w:cs="Arial"/>
          <w:b/>
          <w:sz w:val="20"/>
          <w:szCs w:val="20"/>
          <w:lang w:val="es-ES" w:eastAsia="es-ES"/>
        </w:rPr>
        <w:tab/>
      </w:r>
      <w:r w:rsidRPr="00BC40E8">
        <w:rPr>
          <w:rFonts w:ascii="Arial" w:hAnsi="Arial" w:cs="Arial"/>
          <w:b/>
          <w:sz w:val="16"/>
          <w:szCs w:val="16"/>
          <w:lang w:val="es-ES" w:eastAsia="es-ES"/>
        </w:rPr>
        <w:t>CCE-DES-FM-17</w:t>
      </w:r>
    </w:p>
    <w:p w:rsidRPr="00BC40E8" w:rsidR="00A43D23" w:rsidP="00A43D23" w:rsidRDefault="00A43D23" w14:paraId="65737CF6" w14:textId="77777777">
      <w:pPr>
        <w:jc w:val="right"/>
        <w:rPr>
          <w:rFonts w:ascii="Arial" w:hAnsi="Arial" w:cs="Arial"/>
          <w:bCs/>
          <w:sz w:val="16"/>
          <w:szCs w:val="16"/>
          <w:lang w:val="es-ES" w:eastAsia="es-ES"/>
        </w:rPr>
      </w:pPr>
    </w:p>
    <w:p w:rsidRPr="005B5E75" w:rsidR="00A43D23" w:rsidP="00A43D23" w:rsidRDefault="00A43D23" w14:paraId="1A8DCF92" w14:textId="77777777">
      <w:pPr>
        <w:rPr>
          <w:rFonts w:ascii="Arial" w:hAnsi="Arial" w:eastAsia="Calibri" w:cs="Arial"/>
          <w:b/>
          <w:bCs/>
          <w:sz w:val="22"/>
          <w:szCs w:val="22"/>
          <w:lang w:val="es-ES"/>
        </w:rPr>
      </w:pPr>
      <w:r w:rsidRPr="005B5E75">
        <w:rPr>
          <w:rFonts w:ascii="Arial" w:hAnsi="Arial" w:eastAsia="Calibri" w:cs="Arial"/>
          <w:b/>
          <w:bCs/>
          <w:sz w:val="22"/>
          <w:szCs w:val="22"/>
          <w:lang w:val="es-ES"/>
        </w:rPr>
        <w:t xml:space="preserve">SEGURIDAD SOCIAL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Verificación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Pago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Persona natural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Persona jurídica</w:t>
      </w:r>
    </w:p>
    <w:p w:rsidRPr="005B5E75" w:rsidR="00A43D23" w:rsidP="00A43D23" w:rsidRDefault="00A43D23" w14:paraId="4D60E496" w14:textId="77777777">
      <w:pPr>
        <w:rPr>
          <w:rFonts w:ascii="Arial" w:hAnsi="Arial" w:eastAsia="Calibri" w:cs="Arial"/>
          <w:b/>
          <w:bCs/>
          <w:sz w:val="20"/>
          <w:szCs w:val="20"/>
          <w:lang w:val="es-ES"/>
        </w:rPr>
      </w:pPr>
    </w:p>
    <w:p w:rsidR="00A43D23" w:rsidP="00A43D23" w:rsidRDefault="004C5CA1" w14:paraId="1C522518" w14:textId="71793F26">
      <w:pPr>
        <w:jc w:val="both"/>
        <w:rPr>
          <w:rFonts w:ascii="Arial" w:hAnsi="Arial" w:cs="Arial"/>
          <w:sz w:val="20"/>
          <w:szCs w:val="20"/>
          <w:lang w:val="es-ES"/>
        </w:rPr>
      </w:pPr>
      <w:r w:rsidRPr="004C5CA1">
        <w:rPr>
          <w:rFonts w:ascii="Arial" w:hAnsi="Arial" w:cs="Arial"/>
          <w:sz w:val="20"/>
          <w:szCs w:val="20"/>
          <w:lang w:val="es-ES"/>
        </w:rPr>
        <w:t>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w:t>
      </w:r>
    </w:p>
    <w:p w:rsidRPr="005B5E75" w:rsidR="004C5CA1" w:rsidP="00A43D23" w:rsidRDefault="004C5CA1" w14:paraId="537893A8" w14:textId="77777777">
      <w:pPr>
        <w:jc w:val="both"/>
        <w:rPr>
          <w:rFonts w:ascii="Arial" w:hAnsi="Arial" w:cs="Arial"/>
          <w:sz w:val="20"/>
          <w:szCs w:val="20"/>
          <w:lang w:val="es-ES"/>
        </w:rPr>
      </w:pPr>
    </w:p>
    <w:p w:rsidRPr="005B5E75" w:rsidR="00A43D23" w:rsidP="00A43D23" w:rsidRDefault="00A43D23" w14:paraId="1665CFDB" w14:textId="77777777">
      <w:pPr>
        <w:jc w:val="both"/>
        <w:rPr>
          <w:rFonts w:ascii="Arial" w:hAnsi="Arial" w:eastAsia="Calibri" w:cs="Arial"/>
          <w:b/>
          <w:bCs/>
          <w:sz w:val="22"/>
          <w:szCs w:val="22"/>
          <w:lang w:val="es-ES"/>
        </w:rPr>
      </w:pPr>
      <w:r w:rsidRPr="005B5E75">
        <w:rPr>
          <w:rFonts w:ascii="Arial" w:hAnsi="Arial" w:eastAsia="Calibri" w:cs="Arial"/>
          <w:b/>
          <w:bCs/>
          <w:sz w:val="22"/>
          <w:szCs w:val="22"/>
          <w:lang w:val="es-ES"/>
        </w:rPr>
        <w:t xml:space="preserve">CONTRATO DE ARRENDAMIENTO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Concepto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Elementos </w:t>
      </w:r>
      <w:r w:rsidRPr="005B5E75">
        <w:rPr>
          <w:rFonts w:ascii="Arial" w:hAnsi="Arial" w:eastAsia="Calibri" w:cs="Arial"/>
          <w:b/>
          <w:sz w:val="22"/>
          <w:lang w:val="es-ES"/>
        </w:rPr>
        <w:t>–</w:t>
      </w:r>
      <w:r w:rsidRPr="005B5E75">
        <w:rPr>
          <w:rFonts w:ascii="Arial" w:hAnsi="Arial" w:eastAsia="Calibri" w:cs="Arial"/>
          <w:b/>
          <w:bCs/>
          <w:sz w:val="22"/>
          <w:szCs w:val="22"/>
          <w:lang w:val="es-ES"/>
        </w:rPr>
        <w:t xml:space="preserve"> Regulación</w:t>
      </w:r>
    </w:p>
    <w:p w:rsidRPr="005B5E75" w:rsidR="00A43D23" w:rsidP="00A43D23" w:rsidRDefault="00A43D23" w14:paraId="5AE3B8A2" w14:textId="77777777">
      <w:pPr>
        <w:rPr>
          <w:rFonts w:ascii="Arial" w:hAnsi="Arial" w:eastAsia="Calibri" w:cs="Arial"/>
          <w:b/>
          <w:bCs/>
          <w:sz w:val="20"/>
          <w:szCs w:val="20"/>
          <w:lang w:val="es-ES"/>
        </w:rPr>
      </w:pPr>
    </w:p>
    <w:p w:rsidR="004C5CA1" w:rsidP="004C5CA1" w:rsidRDefault="004C5CA1" w14:paraId="029DC417" w14:textId="09D1CEE1">
      <w:pPr>
        <w:jc w:val="both"/>
        <w:rPr>
          <w:rFonts w:ascii="Arial" w:hAnsi="Arial" w:cs="Arial"/>
          <w:sz w:val="20"/>
          <w:szCs w:val="20"/>
          <w:lang w:val="es-ES"/>
        </w:rPr>
      </w:pPr>
      <w:r w:rsidRPr="004C5CA1">
        <w:rPr>
          <w:rFonts w:ascii="Arial" w:hAnsi="Arial" w:cs="Arial"/>
          <w:sz w:val="20"/>
          <w:szCs w:val="20"/>
          <w:lang w:val="es-ES"/>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un bien, a cambio de una renta o canon , diferenciándose del contrato de compraventa en que no opera una transferencia del dominio del bien cuyo uso y goce se entrega.</w:t>
      </w:r>
    </w:p>
    <w:p w:rsidRPr="004C5CA1" w:rsidR="004C5CA1" w:rsidP="004C5CA1" w:rsidRDefault="004C5CA1" w14:paraId="50FA3839" w14:textId="77777777">
      <w:pPr>
        <w:jc w:val="both"/>
        <w:rPr>
          <w:rFonts w:ascii="Arial" w:hAnsi="Arial" w:cs="Arial"/>
          <w:sz w:val="20"/>
          <w:szCs w:val="20"/>
          <w:lang w:val="es-ES"/>
        </w:rPr>
      </w:pPr>
    </w:p>
    <w:p w:rsidR="00A43D23" w:rsidP="004C5CA1" w:rsidRDefault="004C5CA1" w14:paraId="3F690011" w14:textId="4B11ED84">
      <w:pPr>
        <w:jc w:val="both"/>
        <w:rPr>
          <w:rFonts w:ascii="Arial" w:hAnsi="Arial" w:cs="Arial"/>
          <w:sz w:val="20"/>
          <w:szCs w:val="20"/>
          <w:lang w:val="es-ES"/>
        </w:rPr>
      </w:pPr>
      <w:r w:rsidRPr="004C5CA1">
        <w:rPr>
          <w:rFonts w:ascii="Arial" w:hAnsi="Arial" w:cs="Arial"/>
          <w:sz w:val="20"/>
          <w:szCs w:val="20"/>
          <w:lang w:val="es-ES"/>
        </w:rPr>
        <w:t>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rsidRPr="005B5E75" w:rsidR="004C5CA1" w:rsidP="004C5CA1" w:rsidRDefault="004C5CA1" w14:paraId="01A8FD81" w14:textId="77777777">
      <w:pPr>
        <w:jc w:val="both"/>
        <w:rPr>
          <w:rFonts w:ascii="Arial" w:hAnsi="Arial" w:eastAsia="Calibri" w:cs="Arial"/>
          <w:b/>
          <w:bCs/>
          <w:sz w:val="22"/>
          <w:szCs w:val="22"/>
          <w:lang w:val="es-ES"/>
        </w:rPr>
      </w:pPr>
    </w:p>
    <w:p w:rsidRPr="005B5E75" w:rsidR="00A43D23" w:rsidP="00A43D23" w:rsidRDefault="00A43D23" w14:paraId="3A345D79" w14:textId="77777777">
      <w:pPr>
        <w:jc w:val="both"/>
        <w:rPr>
          <w:rFonts w:ascii="Arial" w:hAnsi="Arial" w:eastAsia="Calibri" w:cs="Arial"/>
          <w:b/>
          <w:bCs/>
          <w:sz w:val="22"/>
          <w:szCs w:val="22"/>
          <w:lang w:val="es-ES"/>
        </w:rPr>
      </w:pPr>
      <w:r w:rsidRPr="005B5E75">
        <w:rPr>
          <w:rFonts w:ascii="Arial" w:hAnsi="Arial" w:eastAsia="Calibri" w:cs="Arial"/>
          <w:b/>
          <w:bCs/>
          <w:sz w:val="22"/>
          <w:szCs w:val="22"/>
          <w:lang w:val="es-ES"/>
        </w:rPr>
        <w:t xml:space="preserve">CONTRATO DE ARRENDAMIENTO </w:t>
      </w:r>
      <w:r w:rsidRPr="005B5E75">
        <w:rPr>
          <w:rFonts w:ascii="Arial" w:hAnsi="Arial" w:eastAsia="Calibri" w:cs="Arial"/>
          <w:b/>
          <w:sz w:val="22"/>
          <w:lang w:val="es-ES"/>
        </w:rPr>
        <w:t xml:space="preserve">– </w:t>
      </w:r>
      <w:r w:rsidRPr="005B5E75">
        <w:rPr>
          <w:rFonts w:ascii="Arial" w:hAnsi="Arial" w:eastAsia="Calibri" w:cs="Arial"/>
          <w:b/>
          <w:bCs/>
          <w:sz w:val="22"/>
          <w:szCs w:val="22"/>
          <w:lang w:val="es-ES"/>
        </w:rPr>
        <w:t xml:space="preserve">Seguridad social </w:t>
      </w:r>
      <w:r w:rsidRPr="005B5E75">
        <w:rPr>
          <w:rFonts w:ascii="Arial" w:hAnsi="Arial" w:eastAsia="Calibri" w:cs="Arial"/>
          <w:b/>
          <w:sz w:val="22"/>
          <w:lang w:val="es-ES"/>
        </w:rPr>
        <w:t xml:space="preserve">– </w:t>
      </w:r>
      <w:r w:rsidRPr="005B5E75">
        <w:rPr>
          <w:rFonts w:ascii="Arial" w:hAnsi="Arial" w:eastAsia="Calibri" w:cs="Arial"/>
          <w:b/>
          <w:bCs/>
          <w:sz w:val="22"/>
          <w:szCs w:val="22"/>
          <w:lang w:val="es-ES"/>
        </w:rPr>
        <w:t xml:space="preserve">Acreditación </w:t>
      </w:r>
      <w:r>
        <w:rPr>
          <w:rFonts w:ascii="Arial" w:hAnsi="Arial" w:eastAsia="Calibri" w:cs="Arial"/>
          <w:b/>
          <w:bCs/>
          <w:sz w:val="22"/>
          <w:szCs w:val="22"/>
          <w:lang w:val="es-ES"/>
        </w:rPr>
        <w:t>–</w:t>
      </w:r>
      <w:r w:rsidRPr="005B5E75">
        <w:rPr>
          <w:rFonts w:ascii="Arial" w:hAnsi="Arial" w:eastAsia="Calibri" w:cs="Arial"/>
          <w:b/>
          <w:bCs/>
          <w:sz w:val="22"/>
          <w:szCs w:val="22"/>
          <w:lang w:val="es-ES"/>
        </w:rPr>
        <w:t xml:space="preserve"> Oportunidad</w:t>
      </w:r>
    </w:p>
    <w:p w:rsidR="00A43D23" w:rsidP="00A43D23" w:rsidRDefault="00A43D23" w14:paraId="05F2C7DF" w14:textId="77777777">
      <w:pPr>
        <w:jc w:val="both"/>
        <w:rPr>
          <w:rFonts w:ascii="Arial" w:hAnsi="Arial" w:cs="Arial"/>
          <w:sz w:val="22"/>
          <w:lang w:val="es-ES"/>
        </w:rPr>
      </w:pPr>
    </w:p>
    <w:p w:rsidRPr="004C5CA1" w:rsidR="004C5CA1" w:rsidP="004C5CA1" w:rsidRDefault="00A43D23" w14:paraId="7A3E383C" w14:textId="77777777">
      <w:pPr>
        <w:jc w:val="both"/>
        <w:rPr>
          <w:rFonts w:ascii="Arial" w:hAnsi="Arial" w:cs="Arial"/>
          <w:sz w:val="20"/>
          <w:szCs w:val="20"/>
          <w:lang w:val="es-ES"/>
        </w:rPr>
      </w:pPr>
      <w:r w:rsidRPr="00803C01">
        <w:rPr>
          <w:rFonts w:ascii="Arial" w:hAnsi="Arial" w:cs="Arial"/>
          <w:sz w:val="20"/>
          <w:szCs w:val="20"/>
          <w:lang w:val="es-ES"/>
        </w:rPr>
        <w:t xml:space="preserve">[…] </w:t>
      </w:r>
      <w:r w:rsidRPr="004C5CA1" w:rsidR="004C5CA1">
        <w:rPr>
          <w:rFonts w:ascii="Arial" w:hAnsi="Arial" w:cs="Arial"/>
          <w:sz w:val="20"/>
          <w:szCs w:val="20"/>
          <w:lang w:val="es-ES"/>
        </w:rPr>
        <w:t xml:space="preserve">el pago de los aportes al Sistema de Seguridad Social Integral, por parte de los contratistas del Estado, es una obligación contenida en la normativa aplicable a esta materia, por lo cual, es deber de las entidades contratantes verificar el cumplimiento de este mandato, tanto antes de celebrar el contrato como durante su ejecución y liquidación, esto, de conformidad con la naturaleza jurídica de la persona con quien se celebra el contrato de arrendamiento. </w:t>
      </w:r>
    </w:p>
    <w:p w:rsidR="004C5CA1" w:rsidP="004C5CA1" w:rsidRDefault="004C5CA1" w14:paraId="1DE425E2" w14:textId="77777777">
      <w:pPr>
        <w:jc w:val="both"/>
        <w:rPr>
          <w:rFonts w:ascii="Arial" w:hAnsi="Arial" w:cs="Arial"/>
          <w:sz w:val="20"/>
          <w:szCs w:val="20"/>
          <w:lang w:val="es-ES"/>
        </w:rPr>
      </w:pPr>
    </w:p>
    <w:p w:rsidRPr="004C5CA1" w:rsidR="004C5CA1" w:rsidP="004C5CA1" w:rsidRDefault="004C5CA1" w14:paraId="4000533A" w14:textId="0F6E84AA">
      <w:pPr>
        <w:jc w:val="both"/>
        <w:rPr>
          <w:rFonts w:ascii="Arial" w:hAnsi="Arial" w:cs="Arial"/>
          <w:sz w:val="20"/>
          <w:szCs w:val="20"/>
          <w:lang w:val="es-ES"/>
        </w:rPr>
      </w:pPr>
      <w:r w:rsidRPr="004C5CA1">
        <w:rPr>
          <w:rFonts w:ascii="Arial" w:hAnsi="Arial" w:cs="Arial"/>
          <w:sz w:val="20"/>
          <w:szCs w:val="20"/>
          <w:lang w:val="es-ES"/>
        </w:rPr>
        <w:t>Asimismo, las entidades estatales al liquidar los contratos deben verificar y dejar constancia del cumplimiento de las obligaciones del contratista frente a los aportes mencionados durante toda su vigencia, estableciendo una correcta relación entre el monto cancelado y las sumas que debieron cotizarse.</w:t>
      </w:r>
    </w:p>
    <w:p w:rsidR="004C5CA1" w:rsidP="004C5CA1" w:rsidRDefault="004C5CA1" w14:paraId="674D9634" w14:textId="77777777">
      <w:pPr>
        <w:jc w:val="both"/>
        <w:rPr>
          <w:rFonts w:ascii="Arial" w:hAnsi="Arial" w:cs="Arial"/>
          <w:sz w:val="20"/>
          <w:szCs w:val="20"/>
          <w:lang w:val="es-ES"/>
        </w:rPr>
      </w:pPr>
    </w:p>
    <w:p w:rsidRPr="00803C01" w:rsidR="00A43D23" w:rsidP="004C5CA1" w:rsidRDefault="004C5CA1" w14:paraId="69074BE5" w14:textId="548E0473">
      <w:pPr>
        <w:jc w:val="both"/>
        <w:rPr>
          <w:rFonts w:ascii="Arial" w:hAnsi="Arial" w:eastAsia="Calibri" w:cs="Arial"/>
          <w:sz w:val="20"/>
          <w:szCs w:val="20"/>
          <w:lang w:val="es-ES"/>
        </w:rPr>
      </w:pPr>
      <w:r w:rsidRPr="004C5CA1">
        <w:rPr>
          <w:rFonts w:ascii="Arial" w:hAnsi="Arial" w:cs="Arial"/>
          <w:sz w:val="20"/>
          <w:szCs w:val="20"/>
          <w:lang w:val="es-ES"/>
        </w:rPr>
        <w:t>Por su parte, en el marco de un contrato de arrendamiento de bienes la entidad estatal se encuentra en la obligación de solicitar al arrendador persona natural la acreditación de los aportes al sistema de seguridad social antes de pagar el canon de arrendamiento, con el fin de verificar el aporte al sistema y su monto, de conformidad con la normatividad vigente.</w:t>
      </w:r>
    </w:p>
    <w:p w:rsidRPr="004C5CA1" w:rsidR="00A43D23" w:rsidP="00E71FBE" w:rsidRDefault="00A43D23" w14:paraId="57F78B5F" w14:textId="77777777">
      <w:pPr>
        <w:jc w:val="both"/>
        <w:rPr>
          <w:rFonts w:ascii="Arial" w:hAnsi="Arial" w:cs="Arial"/>
          <w:sz w:val="22"/>
          <w:szCs w:val="22"/>
          <w:lang w:val="es-ES"/>
        </w:rPr>
      </w:pPr>
    </w:p>
    <w:p w:rsidRPr="004C5CA1" w:rsidR="00A43D23" w:rsidRDefault="00A43D23" w14:paraId="4EAAAD07" w14:textId="77777777">
      <w:pPr>
        <w:jc w:val="both"/>
        <w:rPr>
          <w:rFonts w:ascii="Arial" w:hAnsi="Arial" w:cs="Arial"/>
          <w:sz w:val="22"/>
          <w:szCs w:val="22"/>
          <w:lang w:val="es-ES"/>
        </w:rPr>
      </w:pPr>
    </w:p>
    <w:p w:rsidR="005B67A3" w:rsidP="004C5CA1" w:rsidRDefault="005B67A3" w14:paraId="0690F1E7" w14:textId="4403E59C">
      <w:pPr>
        <w:rPr>
          <w:rFonts w:ascii="Arial" w:hAnsi="Arial" w:cs="Arial"/>
          <w:b/>
          <w:sz w:val="22"/>
          <w:szCs w:val="20"/>
        </w:rPr>
      </w:pPr>
      <w:r>
        <w:rPr>
          <w:rFonts w:ascii="Arial" w:hAnsi="Arial" w:cs="Arial"/>
          <w:sz w:val="22"/>
          <w:szCs w:val="20"/>
        </w:rPr>
        <w:t xml:space="preserve">Bogotá D.C., </w:t>
      </w:r>
      <w:r w:rsidR="00CC0BA8">
        <w:rPr>
          <w:rFonts w:ascii="Arial" w:hAnsi="Arial" w:cs="Arial"/>
          <w:b/>
          <w:sz w:val="22"/>
          <w:szCs w:val="20"/>
        </w:rPr>
        <w:t>19/11/2020</w:t>
      </w:r>
    </w:p>
    <w:p w:rsidR="00C37068" w:rsidP="004C5CA1" w:rsidRDefault="00C37068" w14:paraId="7B925BD4" w14:textId="77777777">
      <w:pPr>
        <w:rPr>
          <w:rFonts w:ascii="Arial" w:hAnsi="Arial" w:cs="Arial"/>
          <w:b/>
          <w:sz w:val="22"/>
          <w:szCs w:val="20"/>
        </w:rPr>
      </w:pPr>
    </w:p>
    <w:p w:rsidR="005B67A3" w:rsidP="004C5CA1" w:rsidRDefault="005B67A3" w14:paraId="019CD3C2" w14:textId="50681836">
      <w:pPr>
        <w:jc w:val="right"/>
        <w:rPr>
          <w:rFonts w:ascii="Arial" w:hAnsi="Arial" w:cs="Arial"/>
          <w:b/>
          <w:sz w:val="22"/>
          <w:szCs w:val="20"/>
        </w:rPr>
      </w:pPr>
      <w:r>
        <w:rPr>
          <w:rFonts w:ascii="Arial" w:hAnsi="Arial" w:cs="Arial"/>
          <w:b/>
          <w:sz w:val="22"/>
          <w:szCs w:val="20"/>
        </w:rPr>
        <w:lastRenderedPageBreak/>
        <w:t xml:space="preserve">N° Radicado: </w:t>
      </w:r>
      <w:r w:rsidRPr="00CC0BA8" w:rsidR="00CC0BA8">
        <w:rPr>
          <w:rFonts w:ascii="Arial" w:hAnsi="Arial" w:cs="Arial"/>
          <w:b/>
          <w:sz w:val="22"/>
          <w:szCs w:val="20"/>
        </w:rPr>
        <w:t>2202013000011435</w:t>
      </w:r>
    </w:p>
    <w:p w:rsidRPr="005B5E75" w:rsidR="00A43D23" w:rsidP="004C5CA1" w:rsidRDefault="00A43D23" w14:paraId="5917F7FC" w14:textId="67F6EA8C">
      <w:pPr>
        <w:jc w:val="right"/>
        <w:rPr>
          <w:rFonts w:ascii="Arial" w:hAnsi="Arial" w:cs="Arial"/>
          <w:b/>
          <w:sz w:val="22"/>
          <w:lang w:val="es-ES"/>
        </w:rPr>
      </w:pPr>
    </w:p>
    <w:p w:rsidR="00C37068" w:rsidP="004C5CA1" w:rsidRDefault="00C37068" w14:paraId="190B0A5F" w14:textId="77777777">
      <w:pPr>
        <w:rPr>
          <w:rFonts w:ascii="Arial" w:hAnsi="Arial" w:eastAsia="Calibri" w:cs="Arial"/>
          <w:sz w:val="22"/>
          <w:lang w:val="es-ES"/>
        </w:rPr>
      </w:pPr>
    </w:p>
    <w:p w:rsidRPr="005B5E75" w:rsidR="00A43D23" w:rsidP="004C5CA1" w:rsidRDefault="00A43D23" w14:paraId="07917670" w14:textId="38D9DD49">
      <w:pPr>
        <w:rPr>
          <w:rFonts w:ascii="Arial" w:hAnsi="Arial" w:eastAsia="Calibri" w:cs="Arial"/>
          <w:sz w:val="22"/>
          <w:lang w:val="es-ES"/>
        </w:rPr>
      </w:pPr>
      <w:r w:rsidRPr="005B5E75">
        <w:rPr>
          <w:rFonts w:ascii="Arial" w:hAnsi="Arial" w:eastAsia="Calibri" w:cs="Arial"/>
          <w:sz w:val="22"/>
          <w:lang w:val="es-ES"/>
        </w:rPr>
        <w:t>Señor</w:t>
      </w:r>
      <w:r w:rsidR="005B67A3">
        <w:rPr>
          <w:rFonts w:ascii="Arial" w:hAnsi="Arial" w:eastAsia="Calibri" w:cs="Arial"/>
          <w:sz w:val="22"/>
          <w:lang w:val="es-ES"/>
        </w:rPr>
        <w:t>a</w:t>
      </w:r>
    </w:p>
    <w:p w:rsidRPr="005B5E75" w:rsidR="00A43D23" w:rsidP="004C5CA1" w:rsidRDefault="005B67A3" w14:paraId="72794BC6" w14:textId="5970558D">
      <w:pPr>
        <w:rPr>
          <w:rFonts w:ascii="Arial" w:hAnsi="Arial" w:eastAsia="Calibri" w:cs="Arial"/>
          <w:b/>
          <w:sz w:val="22"/>
          <w:lang w:val="es-ES"/>
        </w:rPr>
      </w:pPr>
      <w:r>
        <w:rPr>
          <w:rFonts w:ascii="Arial" w:hAnsi="Arial" w:eastAsia="Calibri" w:cs="Arial"/>
          <w:b/>
          <w:sz w:val="22"/>
          <w:lang w:val="es-ES"/>
        </w:rPr>
        <w:t>Diana Mercedes Castro</w:t>
      </w:r>
    </w:p>
    <w:p w:rsidRPr="005B5E75" w:rsidR="00A43D23" w:rsidP="004C5CA1" w:rsidRDefault="005B67A3" w14:paraId="325CE7C3" w14:textId="1E44CC7E">
      <w:pPr>
        <w:rPr>
          <w:rFonts w:ascii="Arial" w:hAnsi="Arial" w:eastAsia="Calibri" w:cs="Arial"/>
          <w:sz w:val="22"/>
          <w:lang w:val="es-ES"/>
        </w:rPr>
      </w:pPr>
      <w:r>
        <w:rPr>
          <w:rFonts w:ascii="Arial" w:hAnsi="Arial" w:eastAsia="Calibri" w:cs="Arial"/>
          <w:sz w:val="22"/>
          <w:lang w:val="es-ES"/>
        </w:rPr>
        <w:t>Pasto, Nariño</w:t>
      </w:r>
    </w:p>
    <w:p w:rsidR="00C37068" w:rsidP="004C5CA1" w:rsidRDefault="00C37068" w14:paraId="3974093B" w14:textId="77777777">
      <w:pPr>
        <w:rPr>
          <w:rFonts w:ascii="Arial" w:hAnsi="Arial" w:eastAsia="Calibri" w:cs="Arial"/>
          <w:b/>
          <w:sz w:val="22"/>
          <w:lang w:val="es-ES"/>
        </w:rPr>
      </w:pPr>
    </w:p>
    <w:p w:rsidR="00C37068" w:rsidP="004C5CA1" w:rsidRDefault="00C37068" w14:paraId="25442C88" w14:textId="77777777">
      <w:pPr>
        <w:rPr>
          <w:rFonts w:ascii="Arial" w:hAnsi="Arial" w:eastAsia="Calibri" w:cs="Arial"/>
          <w:b/>
          <w:sz w:val="22"/>
          <w:lang w:val="es-ES"/>
        </w:rPr>
      </w:pPr>
    </w:p>
    <w:p w:rsidRPr="005B5E75" w:rsidR="00A43D23" w:rsidP="004C5CA1" w:rsidRDefault="00C37068" w14:paraId="3133EEFF" w14:textId="6257BE2B">
      <w:pPr>
        <w:rPr>
          <w:rFonts w:ascii="Arial" w:hAnsi="Arial" w:eastAsia="Calibri" w:cs="Arial"/>
          <w:b/>
          <w:sz w:val="22"/>
          <w:lang w:val="es-ES"/>
        </w:rPr>
      </w:pPr>
      <w:r>
        <w:rPr>
          <w:rFonts w:ascii="Arial" w:hAnsi="Arial" w:eastAsia="Calibri" w:cs="Arial"/>
          <w:b/>
          <w:sz w:val="22"/>
          <w:lang w:val="es-ES"/>
        </w:rPr>
        <w:t xml:space="preserve">                                            </w:t>
      </w:r>
      <w:r w:rsidRPr="005B5E75" w:rsidR="00A43D23">
        <w:rPr>
          <w:rFonts w:ascii="Arial" w:hAnsi="Arial" w:eastAsia="Calibri" w:cs="Arial"/>
          <w:b/>
          <w:sz w:val="22"/>
          <w:lang w:val="es-ES"/>
        </w:rPr>
        <w:t xml:space="preserve">Concepto C </w:t>
      </w:r>
      <w:r>
        <w:rPr>
          <w:rFonts w:ascii="Arial" w:hAnsi="Arial" w:eastAsia="Calibri" w:cs="Arial"/>
          <w:b/>
          <w:sz w:val="22"/>
          <w:lang w:val="es-ES"/>
        </w:rPr>
        <w:t>–</w:t>
      </w:r>
      <w:r w:rsidRPr="005B5E75" w:rsidR="00A43D23">
        <w:rPr>
          <w:rFonts w:ascii="Arial" w:hAnsi="Arial" w:eastAsia="Calibri" w:cs="Arial"/>
          <w:b/>
          <w:sz w:val="22"/>
          <w:lang w:val="es-ES"/>
        </w:rPr>
        <w:t xml:space="preserve"> </w:t>
      </w:r>
      <w:r w:rsidR="005B67A3">
        <w:rPr>
          <w:rFonts w:ascii="Arial" w:hAnsi="Arial" w:eastAsia="Calibri" w:cs="Arial"/>
          <w:b/>
          <w:sz w:val="22"/>
          <w:lang w:val="es-ES"/>
        </w:rPr>
        <w:t>667</w:t>
      </w:r>
      <w:r w:rsidRPr="005B5E75" w:rsidR="00A43D23">
        <w:rPr>
          <w:rFonts w:ascii="Arial" w:hAnsi="Arial" w:eastAsia="Calibri" w:cs="Arial"/>
          <w:b/>
          <w:sz w:val="22"/>
          <w:lang w:val="es-ES"/>
        </w:rPr>
        <w:t xml:space="preserve"> de 2020</w:t>
      </w:r>
    </w:p>
    <w:p w:rsidRPr="005B5E75" w:rsidR="00A43D23" w:rsidP="004C5CA1" w:rsidRDefault="00A43D23" w14:paraId="3064673B" w14:textId="77777777">
      <w:pPr>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B5E75" w:rsidR="00A43D23" w:rsidTr="00A43D23" w14:paraId="2B7C5537" w14:textId="77777777">
        <w:tc>
          <w:tcPr>
            <w:tcW w:w="2689" w:type="dxa"/>
            <w:hideMark/>
          </w:tcPr>
          <w:p w:rsidRPr="005B5E75" w:rsidR="00A43D23" w:rsidP="004C5CA1" w:rsidRDefault="00A43D23" w14:paraId="16D91DED" w14:textId="77777777">
            <w:pPr>
              <w:rPr>
                <w:rFonts w:ascii="Arial" w:hAnsi="Arial" w:eastAsia="Calibri" w:cs="Arial"/>
                <w:sz w:val="22"/>
                <w:lang w:val="es-ES"/>
              </w:rPr>
            </w:pPr>
            <w:r w:rsidRPr="005B5E75">
              <w:rPr>
                <w:rFonts w:ascii="Arial" w:hAnsi="Arial" w:eastAsia="Calibri" w:cs="Arial"/>
                <w:b/>
                <w:sz w:val="22"/>
                <w:lang w:val="es-ES"/>
              </w:rPr>
              <w:t>Temas:</w:t>
            </w:r>
            <w:r w:rsidRPr="005B5E75">
              <w:rPr>
                <w:rFonts w:ascii="Arial" w:hAnsi="Arial" w:eastAsia="Calibri" w:cs="Arial"/>
                <w:sz w:val="22"/>
                <w:lang w:val="es-ES"/>
              </w:rPr>
              <w:t xml:space="preserve">           </w:t>
            </w:r>
          </w:p>
          <w:p w:rsidRPr="005B5E75" w:rsidR="00A43D23" w:rsidP="004C5CA1" w:rsidRDefault="00A43D23" w14:paraId="225DB842" w14:textId="77777777">
            <w:pPr>
              <w:rPr>
                <w:rFonts w:ascii="Arial" w:hAnsi="Arial" w:eastAsia="Calibri" w:cs="Arial"/>
                <w:sz w:val="22"/>
                <w:lang w:val="es-ES"/>
              </w:rPr>
            </w:pPr>
            <w:r w:rsidRPr="005B5E75">
              <w:rPr>
                <w:rFonts w:ascii="Arial" w:hAnsi="Arial" w:eastAsia="Calibri" w:cs="Arial"/>
                <w:sz w:val="22"/>
                <w:lang w:val="es-ES"/>
              </w:rPr>
              <w:t xml:space="preserve">                           </w:t>
            </w:r>
          </w:p>
        </w:tc>
        <w:tc>
          <w:tcPr>
            <w:tcW w:w="6237" w:type="dxa"/>
            <w:hideMark/>
          </w:tcPr>
          <w:p w:rsidRPr="005B5E75" w:rsidR="00A43D23" w:rsidP="004C5CA1" w:rsidRDefault="00A43D23" w14:paraId="44C25D6E" w14:textId="572E6A66">
            <w:pPr>
              <w:spacing w:after="120"/>
              <w:jc w:val="both"/>
              <w:rPr>
                <w:rFonts w:ascii="Arial" w:hAnsi="Arial" w:eastAsia="Calibri" w:cs="Arial"/>
                <w:sz w:val="22"/>
                <w:lang w:val="es-ES"/>
              </w:rPr>
            </w:pPr>
            <w:r w:rsidRPr="005B5E75">
              <w:rPr>
                <w:rFonts w:ascii="Arial" w:hAnsi="Arial" w:eastAsia="Calibri" w:cs="Arial"/>
                <w:sz w:val="22"/>
                <w:lang w:val="es-ES"/>
              </w:rPr>
              <w:t xml:space="preserve">SEGURIDAD SOCIAL </w:t>
            </w:r>
            <w:r>
              <w:rPr>
                <w:rFonts w:ascii="Arial" w:hAnsi="Arial" w:eastAsia="Calibri" w:cs="Arial"/>
                <w:sz w:val="22"/>
                <w:lang w:val="es-ES"/>
              </w:rPr>
              <w:t>–</w:t>
            </w:r>
            <w:r w:rsidRPr="005B5E75">
              <w:rPr>
                <w:rFonts w:ascii="Arial" w:hAnsi="Arial" w:eastAsia="Calibri" w:cs="Arial"/>
                <w:sz w:val="22"/>
                <w:lang w:val="es-ES"/>
              </w:rPr>
              <w:t xml:space="preserve"> Verificación </w:t>
            </w:r>
            <w:r>
              <w:rPr>
                <w:rFonts w:ascii="Arial" w:hAnsi="Arial" w:eastAsia="Calibri" w:cs="Arial"/>
                <w:sz w:val="22"/>
                <w:lang w:val="es-ES"/>
              </w:rPr>
              <w:t>–</w:t>
            </w:r>
            <w:r w:rsidRPr="005B5E75">
              <w:rPr>
                <w:rFonts w:ascii="Arial" w:hAnsi="Arial" w:eastAsia="Calibri" w:cs="Arial"/>
                <w:sz w:val="22"/>
                <w:lang w:val="es-ES"/>
              </w:rPr>
              <w:t xml:space="preserve"> Pago </w:t>
            </w:r>
            <w:r>
              <w:rPr>
                <w:rFonts w:ascii="Arial" w:hAnsi="Arial" w:eastAsia="Calibri" w:cs="Arial"/>
                <w:sz w:val="22"/>
                <w:lang w:val="es-ES"/>
              </w:rPr>
              <w:t>–</w:t>
            </w:r>
            <w:r w:rsidRPr="005B5E75">
              <w:rPr>
                <w:rFonts w:ascii="Arial" w:hAnsi="Arial" w:eastAsia="Calibri" w:cs="Arial"/>
                <w:sz w:val="22"/>
                <w:lang w:val="es-ES"/>
              </w:rPr>
              <w:t xml:space="preserve"> Persona natural </w:t>
            </w:r>
            <w:r>
              <w:rPr>
                <w:rFonts w:ascii="Arial" w:hAnsi="Arial" w:eastAsia="Calibri" w:cs="Arial"/>
                <w:sz w:val="22"/>
                <w:lang w:val="es-ES"/>
              </w:rPr>
              <w:t>–</w:t>
            </w:r>
            <w:r w:rsidRPr="005B5E75">
              <w:rPr>
                <w:rFonts w:ascii="Arial" w:hAnsi="Arial" w:eastAsia="Calibri" w:cs="Arial"/>
                <w:sz w:val="22"/>
                <w:lang w:val="es-ES"/>
              </w:rPr>
              <w:t xml:space="preserve"> Persona jurídica / CONTRATO DE ARRENDAMIENTO </w:t>
            </w:r>
            <w:r>
              <w:rPr>
                <w:rFonts w:ascii="Arial" w:hAnsi="Arial" w:eastAsia="Calibri" w:cs="Arial"/>
                <w:sz w:val="22"/>
                <w:lang w:val="es-ES"/>
              </w:rPr>
              <w:t>–</w:t>
            </w:r>
            <w:r w:rsidRPr="005B5E75">
              <w:rPr>
                <w:rFonts w:ascii="Arial" w:hAnsi="Arial" w:eastAsia="Calibri" w:cs="Arial"/>
                <w:sz w:val="22"/>
                <w:lang w:val="es-ES"/>
              </w:rPr>
              <w:t xml:space="preserve"> Concepto </w:t>
            </w:r>
            <w:r>
              <w:rPr>
                <w:rFonts w:ascii="Arial" w:hAnsi="Arial" w:eastAsia="Calibri" w:cs="Arial"/>
                <w:sz w:val="22"/>
                <w:lang w:val="es-ES"/>
              </w:rPr>
              <w:t>–</w:t>
            </w:r>
            <w:r w:rsidRPr="005B5E75">
              <w:rPr>
                <w:rFonts w:ascii="Arial" w:hAnsi="Arial" w:eastAsia="Calibri" w:cs="Arial"/>
                <w:sz w:val="22"/>
                <w:lang w:val="es-ES"/>
              </w:rPr>
              <w:t xml:space="preserve"> Elementos </w:t>
            </w:r>
            <w:r>
              <w:rPr>
                <w:rFonts w:ascii="Arial" w:hAnsi="Arial" w:eastAsia="Calibri" w:cs="Arial"/>
                <w:sz w:val="22"/>
                <w:lang w:val="es-ES"/>
              </w:rPr>
              <w:t>–</w:t>
            </w:r>
            <w:r w:rsidRPr="005B5E75">
              <w:rPr>
                <w:rFonts w:ascii="Arial" w:hAnsi="Arial" w:eastAsia="Calibri" w:cs="Arial"/>
                <w:sz w:val="22"/>
                <w:lang w:val="es-ES"/>
              </w:rPr>
              <w:t xml:space="preserve"> Regulación / CONTRATO DE ARRENDAMIENTO </w:t>
            </w:r>
            <w:r>
              <w:rPr>
                <w:rFonts w:ascii="Arial" w:hAnsi="Arial" w:eastAsia="Calibri" w:cs="Arial"/>
                <w:sz w:val="22"/>
                <w:lang w:val="es-ES"/>
              </w:rPr>
              <w:t>–</w:t>
            </w:r>
            <w:r w:rsidRPr="005B5E75">
              <w:rPr>
                <w:rFonts w:ascii="Arial" w:hAnsi="Arial" w:eastAsia="Calibri" w:cs="Arial"/>
                <w:sz w:val="22"/>
                <w:lang w:val="es-ES"/>
              </w:rPr>
              <w:t xml:space="preserve"> Seguridad social </w:t>
            </w:r>
            <w:r>
              <w:rPr>
                <w:rFonts w:ascii="Arial" w:hAnsi="Arial" w:eastAsia="Calibri" w:cs="Arial"/>
                <w:sz w:val="22"/>
                <w:lang w:val="es-ES"/>
              </w:rPr>
              <w:t>–</w:t>
            </w:r>
            <w:r w:rsidRPr="005B5E75">
              <w:rPr>
                <w:rFonts w:ascii="Arial" w:hAnsi="Arial" w:eastAsia="Calibri" w:cs="Arial"/>
                <w:sz w:val="22"/>
                <w:lang w:val="es-ES"/>
              </w:rPr>
              <w:t xml:space="preserve"> Acreditación </w:t>
            </w:r>
            <w:r>
              <w:rPr>
                <w:rFonts w:ascii="Arial" w:hAnsi="Arial" w:eastAsia="Calibri" w:cs="Arial"/>
                <w:sz w:val="22"/>
                <w:lang w:val="es-ES"/>
              </w:rPr>
              <w:t>–</w:t>
            </w:r>
            <w:r w:rsidRPr="005B5E75">
              <w:rPr>
                <w:rFonts w:ascii="Arial" w:hAnsi="Arial" w:eastAsia="Calibri" w:cs="Arial"/>
                <w:sz w:val="22"/>
                <w:lang w:val="es-ES"/>
              </w:rPr>
              <w:t xml:space="preserve"> Oportunidad </w:t>
            </w:r>
          </w:p>
          <w:p w:rsidRPr="005B5E75" w:rsidR="00A43D23" w:rsidP="004C5CA1" w:rsidRDefault="00A43D23" w14:paraId="6F870FF6" w14:textId="77777777">
            <w:pPr>
              <w:jc w:val="both"/>
              <w:rPr>
                <w:rFonts w:ascii="Arial" w:hAnsi="Arial" w:eastAsia="Calibri" w:cs="Arial"/>
                <w:sz w:val="22"/>
                <w:lang w:val="es-ES"/>
              </w:rPr>
            </w:pPr>
          </w:p>
        </w:tc>
      </w:tr>
      <w:tr w:rsidRPr="005B5E75" w:rsidR="00A43D23" w:rsidTr="00A43D23" w14:paraId="49A4B4EA" w14:textId="77777777">
        <w:tc>
          <w:tcPr>
            <w:tcW w:w="2689" w:type="dxa"/>
          </w:tcPr>
          <w:p w:rsidRPr="005B5E75" w:rsidR="00A43D23" w:rsidP="004C5CA1" w:rsidRDefault="00A43D23" w14:paraId="5BDDFAC4" w14:textId="77777777">
            <w:pPr>
              <w:rPr>
                <w:rFonts w:ascii="Arial" w:hAnsi="Arial" w:eastAsia="Calibri" w:cs="Arial"/>
                <w:b/>
                <w:sz w:val="22"/>
                <w:lang w:val="es-ES"/>
              </w:rPr>
            </w:pPr>
            <w:r w:rsidRPr="005B5E75">
              <w:rPr>
                <w:rFonts w:ascii="Arial" w:hAnsi="Arial" w:eastAsia="Calibri" w:cs="Arial"/>
                <w:b/>
                <w:sz w:val="22"/>
                <w:lang w:val="es-ES"/>
              </w:rPr>
              <w:t>Radicación:</w:t>
            </w:r>
            <w:r w:rsidRPr="005B5E75">
              <w:rPr>
                <w:rFonts w:ascii="Arial" w:hAnsi="Arial" w:eastAsia="Calibri" w:cs="Arial"/>
                <w:sz w:val="22"/>
                <w:lang w:val="es-ES"/>
              </w:rPr>
              <w:t xml:space="preserve">                              </w:t>
            </w:r>
          </w:p>
        </w:tc>
        <w:tc>
          <w:tcPr>
            <w:tcW w:w="6237" w:type="dxa"/>
          </w:tcPr>
          <w:p w:rsidRPr="005B5E75" w:rsidR="00A43D23" w:rsidP="004C5CA1" w:rsidRDefault="00A43D23" w14:paraId="6DEA1E99" w14:textId="59ED714B">
            <w:pPr>
              <w:jc w:val="both"/>
              <w:rPr>
                <w:rFonts w:ascii="Arial" w:hAnsi="Arial" w:eastAsia="Calibri" w:cs="Arial"/>
                <w:sz w:val="22"/>
                <w:lang w:val="es-ES"/>
              </w:rPr>
            </w:pPr>
            <w:r w:rsidRPr="005B5E75">
              <w:rPr>
                <w:rFonts w:ascii="Arial" w:hAnsi="Arial" w:eastAsia="Calibri" w:cs="Arial"/>
                <w:sz w:val="22"/>
                <w:lang w:val="es-ES"/>
              </w:rPr>
              <w:t xml:space="preserve">Respuesta a </w:t>
            </w:r>
            <w:r>
              <w:rPr>
                <w:rFonts w:ascii="Arial" w:hAnsi="Arial" w:eastAsia="Calibri" w:cs="Arial"/>
                <w:sz w:val="22"/>
                <w:lang w:val="es-ES"/>
              </w:rPr>
              <w:t xml:space="preserve">la </w:t>
            </w:r>
            <w:r w:rsidRPr="005B5E75">
              <w:rPr>
                <w:rFonts w:ascii="Arial" w:hAnsi="Arial" w:eastAsia="Calibri" w:cs="Arial"/>
                <w:sz w:val="22"/>
                <w:lang w:val="es-ES"/>
              </w:rPr>
              <w:t xml:space="preserve">consulta </w:t>
            </w:r>
            <w:r w:rsidRPr="005B67A3" w:rsidR="005B67A3">
              <w:rPr>
                <w:rFonts w:ascii="Arial" w:hAnsi="Arial" w:eastAsia="Calibri" w:cs="Arial"/>
                <w:sz w:val="22"/>
                <w:lang w:val="es-ES"/>
              </w:rPr>
              <w:t>4202013000009115</w:t>
            </w:r>
          </w:p>
        </w:tc>
      </w:tr>
    </w:tbl>
    <w:p w:rsidRPr="005B5E75" w:rsidR="00A43D23" w:rsidP="004C5CA1" w:rsidRDefault="00A43D23" w14:paraId="4EBD4D0C" w14:textId="77777777">
      <w:pPr>
        <w:jc w:val="both"/>
        <w:rPr>
          <w:rFonts w:ascii="Arial" w:hAnsi="Arial" w:eastAsia="Calibri" w:cs="Arial"/>
          <w:sz w:val="22"/>
          <w:lang w:val="es-ES"/>
        </w:rPr>
      </w:pPr>
    </w:p>
    <w:p w:rsidRPr="005B5E75" w:rsidR="00A43D23" w:rsidP="004C5CA1" w:rsidRDefault="00A43D23" w14:paraId="4F41AF9B" w14:textId="77777777">
      <w:pPr>
        <w:rPr>
          <w:rFonts w:ascii="Arial" w:hAnsi="Arial" w:eastAsia="Calibri" w:cs="Arial"/>
          <w:sz w:val="22"/>
          <w:lang w:val="es-ES"/>
        </w:rPr>
      </w:pPr>
    </w:p>
    <w:p w:rsidRPr="005B5E75" w:rsidR="00A43D23" w:rsidP="00A43D23" w:rsidRDefault="00A43D23" w14:paraId="25FABCE1" w14:textId="2AB4B082">
      <w:pPr>
        <w:spacing w:line="276" w:lineRule="auto"/>
        <w:rPr>
          <w:rFonts w:ascii="Arial" w:hAnsi="Arial" w:eastAsia="Calibri" w:cs="Arial"/>
          <w:sz w:val="22"/>
          <w:lang w:val="es-ES"/>
        </w:rPr>
      </w:pPr>
      <w:r w:rsidRPr="005B5E75">
        <w:rPr>
          <w:rFonts w:ascii="Arial" w:hAnsi="Arial" w:eastAsia="Calibri" w:cs="Arial"/>
          <w:sz w:val="22"/>
          <w:lang w:val="es-ES"/>
        </w:rPr>
        <w:t>Estimad</w:t>
      </w:r>
      <w:r w:rsidR="005B67A3">
        <w:rPr>
          <w:rFonts w:ascii="Arial" w:hAnsi="Arial" w:eastAsia="Calibri" w:cs="Arial"/>
          <w:sz w:val="22"/>
          <w:lang w:val="es-ES"/>
        </w:rPr>
        <w:t>a</w:t>
      </w:r>
      <w:r w:rsidRPr="005B5E75">
        <w:rPr>
          <w:rFonts w:ascii="Arial" w:hAnsi="Arial" w:eastAsia="Calibri" w:cs="Arial"/>
          <w:sz w:val="22"/>
          <w:lang w:val="es-ES"/>
        </w:rPr>
        <w:t xml:space="preserve"> señor</w:t>
      </w:r>
      <w:r w:rsidR="005B67A3">
        <w:rPr>
          <w:rFonts w:ascii="Arial" w:hAnsi="Arial" w:eastAsia="Calibri" w:cs="Arial"/>
          <w:sz w:val="22"/>
          <w:lang w:val="es-ES"/>
        </w:rPr>
        <w:t>a</w:t>
      </w:r>
      <w:r w:rsidRPr="005B5E75">
        <w:rPr>
          <w:rFonts w:ascii="Arial" w:hAnsi="Arial" w:eastAsia="Calibri" w:cs="Arial"/>
          <w:sz w:val="22"/>
          <w:lang w:val="es-ES"/>
        </w:rPr>
        <w:t xml:space="preserve"> </w:t>
      </w:r>
      <w:r w:rsidR="005B67A3">
        <w:rPr>
          <w:rFonts w:ascii="Arial" w:hAnsi="Arial" w:eastAsia="Calibri" w:cs="Arial"/>
          <w:sz w:val="22"/>
          <w:lang w:val="es-ES"/>
        </w:rPr>
        <w:t>Castro</w:t>
      </w:r>
      <w:r w:rsidR="00E71FBE">
        <w:rPr>
          <w:rFonts w:ascii="Arial" w:hAnsi="Arial" w:eastAsia="Calibri" w:cs="Arial"/>
          <w:sz w:val="22"/>
          <w:lang w:val="es-ES"/>
        </w:rPr>
        <w:t>:</w:t>
      </w:r>
    </w:p>
    <w:p w:rsidRPr="005B5E75" w:rsidR="00A43D23" w:rsidP="00A43D23" w:rsidRDefault="00A43D23" w14:paraId="1F2CC8F9" w14:textId="77777777">
      <w:pPr>
        <w:spacing w:line="276" w:lineRule="auto"/>
        <w:rPr>
          <w:rFonts w:ascii="Arial" w:hAnsi="Arial" w:eastAsia="Calibri" w:cs="Arial"/>
          <w:sz w:val="22"/>
          <w:lang w:val="es-ES"/>
        </w:rPr>
      </w:pPr>
    </w:p>
    <w:p w:rsidRPr="005B5E75" w:rsidR="00A43D23" w:rsidP="00A43D23" w:rsidRDefault="00A43D23" w14:paraId="1426CC01" w14:textId="19B1FAC3">
      <w:pPr>
        <w:tabs>
          <w:tab w:val="left" w:pos="426"/>
        </w:tabs>
        <w:spacing w:line="276" w:lineRule="auto"/>
        <w:jc w:val="both"/>
        <w:rPr>
          <w:rFonts w:ascii="Arial" w:hAnsi="Arial" w:eastAsia="Calibri" w:cs="Arial"/>
          <w:sz w:val="22"/>
          <w:lang w:val="es-ES"/>
        </w:rPr>
      </w:pPr>
      <w:r w:rsidRPr="005B5E75">
        <w:rPr>
          <w:rFonts w:ascii="Arial" w:hAnsi="Arial" w:eastAsia="Calibri" w:cs="Arial"/>
          <w:sz w:val="22"/>
          <w:lang w:val="es-ES"/>
        </w:rPr>
        <w:t xml:space="preserve">La Agencia Nacional de Contratación Pública </w:t>
      </w:r>
      <w:r>
        <w:rPr>
          <w:rFonts w:ascii="Arial" w:hAnsi="Arial" w:eastAsia="Calibri" w:cs="Arial"/>
          <w:sz w:val="22"/>
          <w:lang w:val="es-ES"/>
        </w:rPr>
        <w:t>–</w:t>
      </w:r>
      <w:r w:rsidRPr="005B5E75">
        <w:rPr>
          <w:rFonts w:ascii="Arial" w:hAnsi="Arial" w:eastAsia="Calibri" w:cs="Arial"/>
          <w:sz w:val="22"/>
          <w:lang w:val="es-ES"/>
        </w:rPr>
        <w:t xml:space="preserve"> Colombia Compra Eficiente responde su consulta del 8 de </w:t>
      </w:r>
      <w:r w:rsidR="005B67A3">
        <w:rPr>
          <w:rFonts w:ascii="Arial" w:hAnsi="Arial" w:eastAsia="Calibri" w:cs="Arial"/>
          <w:sz w:val="22"/>
          <w:lang w:val="es-ES"/>
        </w:rPr>
        <w:t>octubre</w:t>
      </w:r>
      <w:r w:rsidRPr="005B5E75">
        <w:rPr>
          <w:rFonts w:ascii="Arial" w:hAnsi="Arial" w:eastAsia="Calibri" w:cs="Arial"/>
          <w:sz w:val="22"/>
          <w:lang w:val="es-ES"/>
        </w:rPr>
        <w:t xml:space="preserve"> de 2020, en ejercicio de la competencia otorgada por el numeral 8 del artículo 11 y el numeral 5 del artículo 3 del Decreto Ley 4170 de 2011.</w:t>
      </w:r>
    </w:p>
    <w:p w:rsidRPr="005B5E75" w:rsidR="00A43D23" w:rsidP="00A43D23" w:rsidRDefault="00A43D23" w14:paraId="2F6D0A25" w14:textId="77777777">
      <w:pPr>
        <w:tabs>
          <w:tab w:val="left" w:pos="426"/>
        </w:tabs>
        <w:spacing w:line="276" w:lineRule="auto"/>
        <w:jc w:val="both"/>
        <w:rPr>
          <w:rFonts w:ascii="Arial" w:hAnsi="Arial" w:eastAsia="Calibri" w:cs="Arial"/>
          <w:sz w:val="22"/>
          <w:lang w:val="es-ES"/>
        </w:rPr>
      </w:pPr>
    </w:p>
    <w:p w:rsidRPr="005B5E75" w:rsidR="00A43D23" w:rsidP="00A43D23" w:rsidRDefault="00A43D23" w14:paraId="052B07BC" w14:textId="519D19B6">
      <w:pPr>
        <w:pStyle w:val="Prrafodelista"/>
        <w:numPr>
          <w:ilvl w:val="0"/>
          <w:numId w:val="6"/>
        </w:numPr>
        <w:tabs>
          <w:tab w:val="left" w:pos="284"/>
        </w:tabs>
        <w:spacing w:line="276" w:lineRule="auto"/>
        <w:ind w:left="0" w:firstLine="0"/>
        <w:jc w:val="both"/>
        <w:rPr>
          <w:rFonts w:ascii="Arial" w:hAnsi="Arial" w:eastAsia="Calibri" w:cs="Arial"/>
          <w:b/>
          <w:sz w:val="22"/>
          <w:lang w:val="es-ES"/>
        </w:rPr>
      </w:pPr>
      <w:r w:rsidRPr="005B5E75">
        <w:rPr>
          <w:rFonts w:ascii="Arial" w:hAnsi="Arial" w:eastAsia="Calibri" w:cs="Arial"/>
          <w:b/>
          <w:sz w:val="22"/>
          <w:lang w:val="es-ES"/>
        </w:rPr>
        <w:t xml:space="preserve">Problema planteado </w:t>
      </w:r>
    </w:p>
    <w:p w:rsidRPr="005B5E75" w:rsidR="00A43D23" w:rsidP="00A43D23" w:rsidRDefault="00A43D23" w14:paraId="5ED4660D" w14:textId="77777777">
      <w:pPr>
        <w:tabs>
          <w:tab w:val="left" w:pos="426"/>
        </w:tabs>
        <w:spacing w:line="276" w:lineRule="auto"/>
        <w:jc w:val="both"/>
        <w:rPr>
          <w:rFonts w:ascii="Arial" w:hAnsi="Arial" w:eastAsia="Calibri" w:cs="Arial"/>
          <w:b/>
          <w:sz w:val="22"/>
          <w:lang w:val="es-ES"/>
        </w:rPr>
      </w:pPr>
    </w:p>
    <w:p w:rsidRPr="005B5E75" w:rsidR="00A43D23" w:rsidP="00A43D23" w:rsidRDefault="00A43D23" w14:paraId="155BE7C1" w14:textId="64B07922">
      <w:pPr>
        <w:spacing w:line="276" w:lineRule="auto"/>
        <w:jc w:val="both"/>
        <w:rPr>
          <w:rFonts w:ascii="Arial" w:hAnsi="Arial" w:eastAsia="Calibri" w:cs="Arial"/>
          <w:sz w:val="22"/>
          <w:lang w:val="es-ES"/>
        </w:rPr>
      </w:pPr>
      <w:r w:rsidRPr="005B5E75">
        <w:rPr>
          <w:rFonts w:ascii="Arial" w:hAnsi="Arial" w:eastAsia="Calibri" w:cs="Arial"/>
          <w:sz w:val="22"/>
          <w:lang w:val="es-ES"/>
        </w:rPr>
        <w:t xml:space="preserve">Usted realiza la siguiente pregunta: </w:t>
      </w:r>
      <w:r w:rsidR="00002954">
        <w:rPr>
          <w:rFonts w:ascii="Arial" w:hAnsi="Arial" w:eastAsia="Calibri" w:cs="Arial"/>
          <w:sz w:val="22"/>
          <w:lang w:val="es-ES"/>
        </w:rPr>
        <w:t xml:space="preserve">«[…] </w:t>
      </w:r>
      <w:r w:rsidRPr="00002954" w:rsidR="00002954">
        <w:rPr>
          <w:rFonts w:ascii="Arial" w:hAnsi="Arial" w:eastAsia="Calibri" w:cs="Arial"/>
          <w:sz w:val="22"/>
          <w:lang w:val="es-ES"/>
        </w:rPr>
        <w:t>¿En los contratos de arrendamiento de inmueble cuando el arrendatario es una Entidad Estatal sometida al Régimen de la Ley 80 de 1993 para la cancelación del canon de arrendamiento deberá exigirle al arrendador persona natural o jurídica el pago de los aportes al Sistema de Seguridad Social (salud y pensión)?</w:t>
      </w:r>
      <w:r w:rsidR="00002954">
        <w:rPr>
          <w:rFonts w:ascii="Arial" w:hAnsi="Arial" w:eastAsia="Calibri" w:cs="Arial"/>
          <w:sz w:val="22"/>
          <w:lang w:val="es-ES"/>
        </w:rPr>
        <w:t>».</w:t>
      </w:r>
    </w:p>
    <w:p w:rsidRPr="005B5E75" w:rsidR="00A43D23" w:rsidP="00A43D23" w:rsidRDefault="00A43D23" w14:paraId="01D6813A" w14:textId="77777777">
      <w:pPr>
        <w:tabs>
          <w:tab w:val="left" w:pos="426"/>
        </w:tabs>
        <w:spacing w:line="276" w:lineRule="auto"/>
        <w:jc w:val="both"/>
        <w:rPr>
          <w:rFonts w:ascii="Arial" w:hAnsi="Arial" w:eastAsia="Calibri" w:cs="Arial"/>
          <w:sz w:val="22"/>
          <w:lang w:val="es-ES"/>
        </w:rPr>
      </w:pPr>
    </w:p>
    <w:p w:rsidRPr="005B5E75" w:rsidR="00A43D23" w:rsidP="00A43D23" w:rsidRDefault="00A43D23" w14:paraId="1D2844B2" w14:textId="77777777">
      <w:pPr>
        <w:tabs>
          <w:tab w:val="left" w:pos="426"/>
        </w:tabs>
        <w:spacing w:line="276" w:lineRule="auto"/>
        <w:jc w:val="both"/>
        <w:rPr>
          <w:rFonts w:ascii="Arial" w:hAnsi="Arial" w:eastAsia="Calibri" w:cs="Arial"/>
          <w:b/>
          <w:sz w:val="22"/>
          <w:lang w:val="es-ES"/>
        </w:rPr>
      </w:pPr>
      <w:r w:rsidRPr="005B5E75">
        <w:rPr>
          <w:rFonts w:ascii="Arial" w:hAnsi="Arial" w:eastAsia="Calibri" w:cs="Arial"/>
          <w:b/>
          <w:sz w:val="22"/>
          <w:lang w:val="es-ES"/>
        </w:rPr>
        <w:t>2. Consideraciones</w:t>
      </w:r>
    </w:p>
    <w:bookmarkEnd w:id="0"/>
    <w:bookmarkEnd w:id="1"/>
    <w:p w:rsidRPr="005B5E75" w:rsidR="00A43D23" w:rsidP="00A43D23" w:rsidRDefault="00A43D23" w14:paraId="2CE0241A" w14:textId="77777777">
      <w:pPr>
        <w:spacing w:line="276" w:lineRule="auto"/>
        <w:jc w:val="both"/>
        <w:rPr>
          <w:rFonts w:ascii="Arial" w:hAnsi="Arial" w:cs="Arial"/>
          <w:sz w:val="22"/>
          <w:lang w:val="es-ES"/>
        </w:rPr>
      </w:pPr>
    </w:p>
    <w:p w:rsidR="001B6E24" w:rsidP="004C5CA1" w:rsidRDefault="00A43D23" w14:paraId="2D8C783B" w14:textId="77777777">
      <w:pPr>
        <w:spacing w:after="120" w:line="276" w:lineRule="auto"/>
        <w:jc w:val="both"/>
        <w:rPr>
          <w:rFonts w:ascii="Arial" w:hAnsi="Arial" w:eastAsia="Calibri" w:cs="Arial"/>
          <w:sz w:val="22"/>
          <w:lang w:val="es-ES"/>
        </w:rPr>
      </w:pPr>
      <w:r w:rsidRPr="005B5E75">
        <w:rPr>
          <w:rFonts w:ascii="Arial" w:hAnsi="Arial" w:cs="Arial"/>
          <w:sz w:val="22"/>
          <w:lang w:val="es-ES"/>
        </w:rPr>
        <w:t xml:space="preserve">Para resolver esta consulta se </w:t>
      </w:r>
      <w:r>
        <w:rPr>
          <w:rFonts w:ascii="Arial" w:hAnsi="Arial" w:cs="Arial"/>
          <w:sz w:val="22"/>
          <w:lang w:val="es-ES"/>
        </w:rPr>
        <w:t>analizarán</w:t>
      </w:r>
      <w:r w:rsidRPr="005B5E75">
        <w:rPr>
          <w:rFonts w:ascii="Arial" w:hAnsi="Arial" w:cs="Arial"/>
          <w:sz w:val="22"/>
          <w:lang w:val="es-ES"/>
        </w:rPr>
        <w:t xml:space="preserve"> los siguientes temas: i) definición y elementos del contrato de arrendamiento y ii) </w:t>
      </w:r>
      <w:r w:rsidRPr="005B5E75">
        <w:rPr>
          <w:rFonts w:ascii="Arial" w:hAnsi="Arial" w:eastAsia="Calibri" w:cs="Arial"/>
          <w:sz w:val="22"/>
          <w:lang w:val="es-ES"/>
        </w:rPr>
        <w:t xml:space="preserve">momento y forma en que las entidades deben exigir la acreditación del cumplimiento de las obligaciones frente al Sistema de Seguridad Social Integral por parte de los proponentes y contratistas. </w:t>
      </w:r>
    </w:p>
    <w:p w:rsidRPr="005B5E75" w:rsidR="00A43D23" w:rsidP="004C5CA1" w:rsidRDefault="00AD22DF" w14:paraId="2DD5D635" w14:textId="49B79CE5">
      <w:pPr>
        <w:spacing w:line="276" w:lineRule="auto"/>
        <w:ind w:firstLine="708"/>
        <w:jc w:val="both"/>
        <w:rPr>
          <w:rFonts w:ascii="Arial" w:hAnsi="Arial" w:cs="Arial"/>
          <w:sz w:val="22"/>
          <w:lang w:val="es-ES"/>
        </w:rPr>
      </w:pPr>
      <w:r w:rsidRPr="00AD22DF">
        <w:rPr>
          <w:rFonts w:ascii="Arial" w:hAnsi="Arial" w:eastAsia="Calibri" w:cs="Arial"/>
          <w:sz w:val="22"/>
          <w:lang w:val="es-ES"/>
        </w:rPr>
        <w:t xml:space="preserve">La Agencia Nacional de Contratación Pública – Colombia Compra Eficiente ha tenido la oportunidad de pronunciarse </w:t>
      </w:r>
      <w:r w:rsidR="00E25820">
        <w:rPr>
          <w:rFonts w:ascii="Arial" w:hAnsi="Arial" w:eastAsia="Calibri" w:cs="Arial"/>
          <w:sz w:val="22"/>
          <w:lang w:val="es-ES"/>
        </w:rPr>
        <w:t>en relación con</w:t>
      </w:r>
      <w:r>
        <w:rPr>
          <w:rFonts w:ascii="Arial" w:hAnsi="Arial" w:eastAsia="Calibri" w:cs="Arial"/>
          <w:sz w:val="22"/>
          <w:lang w:val="es-ES"/>
        </w:rPr>
        <w:t xml:space="preserve"> estos </w:t>
      </w:r>
      <w:r w:rsidR="008456E5">
        <w:rPr>
          <w:rFonts w:ascii="Arial" w:hAnsi="Arial" w:eastAsia="Calibri" w:cs="Arial"/>
          <w:sz w:val="22"/>
          <w:lang w:val="es-ES"/>
        </w:rPr>
        <w:t>aspectos</w:t>
      </w:r>
      <w:r>
        <w:rPr>
          <w:rFonts w:ascii="Arial" w:hAnsi="Arial" w:eastAsia="Calibri" w:cs="Arial"/>
          <w:sz w:val="22"/>
          <w:lang w:val="es-ES"/>
        </w:rPr>
        <w:t xml:space="preserve"> </w:t>
      </w:r>
      <w:r w:rsidR="00E71FBE">
        <w:rPr>
          <w:rFonts w:ascii="Arial" w:hAnsi="Arial" w:eastAsia="Calibri" w:cs="Arial"/>
          <w:sz w:val="22"/>
          <w:lang w:val="es-ES"/>
        </w:rPr>
        <w:t>en los Conceptos</w:t>
      </w:r>
      <w:r w:rsidR="006E6D38">
        <w:rPr>
          <w:rFonts w:ascii="Arial" w:hAnsi="Arial" w:eastAsia="Calibri" w:cs="Arial"/>
          <w:sz w:val="22"/>
          <w:lang w:val="es-ES"/>
        </w:rPr>
        <w:t xml:space="preserve"> </w:t>
      </w:r>
      <w:r w:rsidRPr="006E6D38" w:rsidR="006E6D38">
        <w:rPr>
          <w:rFonts w:ascii="Arial" w:hAnsi="Arial" w:eastAsia="Calibri" w:cs="Arial"/>
          <w:sz w:val="22"/>
          <w:lang w:val="es-ES"/>
        </w:rPr>
        <w:t>No. 4201814000000493 en respuesta a la consulta del 18 de enero de 2018</w:t>
      </w:r>
      <w:r w:rsidR="006E6D38">
        <w:rPr>
          <w:rFonts w:ascii="Arial" w:hAnsi="Arial" w:eastAsia="Calibri" w:cs="Arial"/>
          <w:sz w:val="22"/>
          <w:lang w:val="es-ES"/>
        </w:rPr>
        <w:t>, así como en los conceptos</w:t>
      </w:r>
      <w:r w:rsidRPr="005B5E75" w:rsidR="00A43D23">
        <w:rPr>
          <w:rFonts w:ascii="Arial" w:hAnsi="Arial" w:eastAsia="Calibri" w:cs="Arial"/>
          <w:sz w:val="22"/>
          <w:lang w:val="es-ES"/>
        </w:rPr>
        <w:t xml:space="preserve"> </w:t>
      </w:r>
      <w:r w:rsidR="00A43D23">
        <w:rPr>
          <w:rFonts w:ascii="Arial" w:hAnsi="Arial" w:eastAsia="Calibri" w:cs="Arial"/>
          <w:sz w:val="22"/>
          <w:lang w:val="es-ES"/>
        </w:rPr>
        <w:t>C</w:t>
      </w:r>
      <w:r w:rsidR="00E71FBE">
        <w:rPr>
          <w:rFonts w:ascii="Arial" w:hAnsi="Arial" w:eastAsia="Calibri" w:cs="Arial"/>
          <w:sz w:val="22"/>
          <w:lang w:val="es-ES"/>
        </w:rPr>
        <w:t>-</w:t>
      </w:r>
      <w:r w:rsidR="00A43D23">
        <w:rPr>
          <w:rFonts w:ascii="Arial" w:hAnsi="Arial" w:eastAsia="Calibri" w:cs="Arial"/>
          <w:sz w:val="22"/>
          <w:lang w:val="es-ES"/>
        </w:rPr>
        <w:t>006 del 04 de febrero de 2020</w:t>
      </w:r>
      <w:r w:rsidRPr="005B5E75" w:rsidR="00A43D23">
        <w:rPr>
          <w:rFonts w:ascii="Arial" w:hAnsi="Arial" w:eastAsia="Calibri" w:cs="Arial"/>
          <w:sz w:val="22"/>
          <w:lang w:val="es-ES"/>
        </w:rPr>
        <w:t xml:space="preserve">, </w:t>
      </w:r>
      <w:r w:rsidR="00A43D23">
        <w:rPr>
          <w:rFonts w:ascii="Arial" w:hAnsi="Arial" w:eastAsia="Calibri" w:cs="Arial"/>
          <w:sz w:val="22"/>
          <w:lang w:val="es-ES"/>
        </w:rPr>
        <w:t>C</w:t>
      </w:r>
      <w:r w:rsidR="00E71FBE">
        <w:rPr>
          <w:rFonts w:ascii="Arial" w:hAnsi="Arial" w:eastAsia="Calibri" w:cs="Arial"/>
          <w:sz w:val="22"/>
          <w:lang w:val="es-ES"/>
        </w:rPr>
        <w:t>-</w:t>
      </w:r>
      <w:r w:rsidR="00A43D23">
        <w:rPr>
          <w:rFonts w:ascii="Arial" w:hAnsi="Arial" w:eastAsia="Calibri" w:cs="Arial"/>
          <w:sz w:val="22"/>
          <w:lang w:val="es-ES"/>
        </w:rPr>
        <w:t>141 del 03 de marzo de 2020</w:t>
      </w:r>
      <w:r w:rsidRPr="005B5E75" w:rsidR="00A43D23">
        <w:rPr>
          <w:rFonts w:ascii="Arial" w:hAnsi="Arial" w:eastAsia="Calibri" w:cs="Arial"/>
          <w:sz w:val="22"/>
          <w:lang w:val="es-ES"/>
        </w:rPr>
        <w:t>,</w:t>
      </w:r>
      <w:r w:rsidRPr="005B5E75" w:rsidR="00A43D23">
        <w:rPr>
          <w:rFonts w:ascii="Arial" w:hAnsi="Arial" w:cs="Arial"/>
          <w:sz w:val="22"/>
          <w:lang w:val="es-ES"/>
        </w:rPr>
        <w:t xml:space="preserve"> </w:t>
      </w:r>
      <w:r w:rsidR="00A43D23">
        <w:rPr>
          <w:rFonts w:ascii="Arial" w:hAnsi="Arial" w:cs="Arial"/>
          <w:sz w:val="22"/>
          <w:lang w:val="es-ES"/>
        </w:rPr>
        <w:t>C</w:t>
      </w:r>
      <w:r w:rsidR="00E71FBE">
        <w:rPr>
          <w:rFonts w:ascii="Arial" w:hAnsi="Arial" w:cs="Arial"/>
          <w:sz w:val="22"/>
          <w:lang w:val="es-ES"/>
        </w:rPr>
        <w:t>-</w:t>
      </w:r>
      <w:r w:rsidR="00A43D23">
        <w:rPr>
          <w:rFonts w:ascii="Arial" w:hAnsi="Arial" w:cs="Arial"/>
          <w:sz w:val="22"/>
          <w:lang w:val="es-ES"/>
        </w:rPr>
        <w:t>161</w:t>
      </w:r>
      <w:r w:rsidR="00002954">
        <w:rPr>
          <w:rFonts w:ascii="Arial" w:hAnsi="Arial" w:cs="Arial"/>
          <w:sz w:val="22"/>
          <w:lang w:val="es-ES"/>
        </w:rPr>
        <w:t xml:space="preserve"> y C</w:t>
      </w:r>
      <w:r w:rsidR="00E71FBE">
        <w:rPr>
          <w:rFonts w:ascii="Arial" w:hAnsi="Arial" w:cs="Arial"/>
          <w:sz w:val="22"/>
          <w:lang w:val="es-ES"/>
        </w:rPr>
        <w:t>-</w:t>
      </w:r>
      <w:r w:rsidR="00002954">
        <w:rPr>
          <w:rFonts w:ascii="Arial" w:hAnsi="Arial" w:cs="Arial"/>
          <w:sz w:val="22"/>
          <w:lang w:val="es-ES"/>
        </w:rPr>
        <w:lastRenderedPageBreak/>
        <w:t>183</w:t>
      </w:r>
      <w:r w:rsidR="00A43D23">
        <w:rPr>
          <w:rFonts w:ascii="Arial" w:hAnsi="Arial" w:cs="Arial"/>
          <w:sz w:val="22"/>
          <w:lang w:val="es-ES"/>
        </w:rPr>
        <w:t xml:space="preserve"> del 17 de marzo de 2020</w:t>
      </w:r>
      <w:r w:rsidR="008628AF">
        <w:rPr>
          <w:rFonts w:ascii="Arial" w:hAnsi="Arial" w:cs="Arial"/>
          <w:sz w:val="22"/>
          <w:lang w:val="es-ES"/>
        </w:rPr>
        <w:t>,</w:t>
      </w:r>
      <w:r>
        <w:rPr>
          <w:rFonts w:ascii="Arial" w:hAnsi="Arial" w:cs="Arial"/>
          <w:sz w:val="22"/>
          <w:lang w:val="es-ES"/>
        </w:rPr>
        <w:t xml:space="preserve"> </w:t>
      </w:r>
      <w:r w:rsidR="006E6D38">
        <w:rPr>
          <w:rFonts w:ascii="Arial" w:hAnsi="Arial" w:cs="Arial"/>
          <w:sz w:val="22"/>
          <w:lang w:val="es-ES"/>
        </w:rPr>
        <w:t xml:space="preserve">y </w:t>
      </w:r>
      <w:r w:rsidR="008628AF">
        <w:rPr>
          <w:rFonts w:ascii="Arial" w:hAnsi="Arial" w:cs="Arial"/>
          <w:sz w:val="22"/>
          <w:lang w:val="es-ES"/>
        </w:rPr>
        <w:t>C</w:t>
      </w:r>
      <w:r w:rsidR="00E71FBE">
        <w:rPr>
          <w:rFonts w:ascii="Arial" w:hAnsi="Arial" w:cs="Arial"/>
          <w:sz w:val="22"/>
          <w:lang w:val="es-ES"/>
        </w:rPr>
        <w:t>-</w:t>
      </w:r>
      <w:r w:rsidR="008628AF">
        <w:rPr>
          <w:rFonts w:ascii="Arial" w:hAnsi="Arial" w:cs="Arial"/>
          <w:sz w:val="22"/>
          <w:lang w:val="es-ES"/>
        </w:rPr>
        <w:t>319 del 12 de junio de 2020</w:t>
      </w:r>
      <w:r w:rsidR="00365224">
        <w:rPr>
          <w:rFonts w:ascii="Arial" w:hAnsi="Arial" w:cs="Arial"/>
          <w:sz w:val="22"/>
          <w:lang w:val="es-ES"/>
        </w:rPr>
        <w:t>.</w:t>
      </w:r>
      <w:r w:rsidR="00D47C50">
        <w:rPr>
          <w:rFonts w:ascii="Arial" w:hAnsi="Arial" w:cs="Arial"/>
          <w:sz w:val="22"/>
          <w:lang w:val="es-ES"/>
        </w:rPr>
        <w:t xml:space="preserve"> L</w:t>
      </w:r>
      <w:r w:rsidRPr="00D47C50" w:rsidR="00D47C50">
        <w:rPr>
          <w:rFonts w:ascii="Arial" w:hAnsi="Arial" w:cs="Arial"/>
          <w:sz w:val="22"/>
          <w:lang w:val="es-ES"/>
        </w:rPr>
        <w:t>a tesi</w:t>
      </w:r>
      <w:r w:rsidR="00D47C50">
        <w:rPr>
          <w:rFonts w:ascii="Arial" w:hAnsi="Arial" w:cs="Arial"/>
          <w:sz w:val="22"/>
          <w:lang w:val="es-ES"/>
        </w:rPr>
        <w:t>s</w:t>
      </w:r>
      <w:r w:rsidRPr="00D47C50" w:rsidR="00D47C50">
        <w:rPr>
          <w:rFonts w:ascii="Arial" w:hAnsi="Arial" w:cs="Arial"/>
          <w:sz w:val="22"/>
          <w:lang w:val="es-ES"/>
        </w:rPr>
        <w:t xml:space="preserve"> expuesta en estos conceptos se reitera a continuación:</w:t>
      </w:r>
    </w:p>
    <w:p w:rsidRPr="005B5E75" w:rsidR="00A43D23" w:rsidP="00A43D23" w:rsidRDefault="00A43D23" w14:paraId="7F878425" w14:textId="77777777">
      <w:pPr>
        <w:spacing w:line="276" w:lineRule="auto"/>
        <w:jc w:val="both"/>
        <w:rPr>
          <w:rFonts w:ascii="Arial" w:hAnsi="Arial" w:cs="Arial"/>
          <w:sz w:val="22"/>
          <w:lang w:val="es-ES"/>
        </w:rPr>
      </w:pPr>
    </w:p>
    <w:p w:rsidRPr="005B5E75" w:rsidR="00A43D23" w:rsidP="00A43D23" w:rsidRDefault="00A43D23" w14:paraId="0CE577EE" w14:textId="77777777">
      <w:pPr>
        <w:pStyle w:val="Prrafodelista"/>
        <w:tabs>
          <w:tab w:val="left" w:pos="142"/>
          <w:tab w:val="left" w:pos="426"/>
        </w:tabs>
        <w:spacing w:line="276" w:lineRule="auto"/>
        <w:ind w:left="0"/>
        <w:jc w:val="both"/>
        <w:rPr>
          <w:rFonts w:ascii="Arial" w:hAnsi="Arial" w:eastAsia="Calibri" w:cs="Arial"/>
          <w:b/>
          <w:sz w:val="22"/>
          <w:lang w:val="es-ES"/>
        </w:rPr>
      </w:pPr>
      <w:r w:rsidRPr="005B5E75">
        <w:rPr>
          <w:rFonts w:ascii="Arial" w:hAnsi="Arial" w:eastAsia="Calibri" w:cs="Arial"/>
          <w:b/>
          <w:sz w:val="22"/>
          <w:lang w:val="es-ES"/>
        </w:rPr>
        <w:t>2.1. Contrato de arrendamiento: contrato oneroso, ya que genera renta para el arrendador</w:t>
      </w:r>
    </w:p>
    <w:p w:rsidRPr="005B5E75" w:rsidR="00A43D23" w:rsidP="00A43D23" w:rsidRDefault="00A43D23" w14:paraId="5A369BEF" w14:textId="77777777">
      <w:pPr>
        <w:pStyle w:val="Prrafodelista"/>
        <w:tabs>
          <w:tab w:val="left" w:pos="142"/>
          <w:tab w:val="left" w:pos="426"/>
        </w:tabs>
        <w:spacing w:line="276" w:lineRule="auto"/>
        <w:ind w:left="0"/>
        <w:jc w:val="both"/>
        <w:rPr>
          <w:rFonts w:ascii="Arial" w:hAnsi="Arial" w:eastAsia="Calibri" w:cs="Arial"/>
          <w:b/>
          <w:sz w:val="22"/>
          <w:lang w:val="es-ES"/>
        </w:rPr>
      </w:pPr>
    </w:p>
    <w:p w:rsidRPr="005B5E75" w:rsidR="00A43D23" w:rsidP="00A43D23" w:rsidRDefault="00A43D23" w14:paraId="7C08FBAF" w14:textId="77777777">
      <w:pPr>
        <w:pStyle w:val="Prrafodelista"/>
        <w:tabs>
          <w:tab w:val="left" w:pos="142"/>
          <w:tab w:val="left" w:pos="426"/>
        </w:tabs>
        <w:spacing w:line="276" w:lineRule="auto"/>
        <w:ind w:left="0"/>
        <w:jc w:val="both"/>
        <w:rPr>
          <w:rFonts w:ascii="Arial" w:hAnsi="Arial" w:eastAsia="Calibri" w:cs="Arial"/>
          <w:bCs/>
          <w:sz w:val="22"/>
          <w:lang w:val="es-ES"/>
        </w:rPr>
      </w:pPr>
      <w:r w:rsidRPr="005B5E75">
        <w:rPr>
          <w:rFonts w:ascii="Arial" w:hAnsi="Arial" w:eastAsia="Calibri" w:cs="Arial"/>
          <w:bCs/>
          <w:sz w:val="22"/>
          <w:lang w:val="es-ES"/>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un bien, a cambio de una renta o canon</w:t>
      </w:r>
      <w:r w:rsidRPr="005B5E75">
        <w:rPr>
          <w:rStyle w:val="Refdenotaalpie"/>
          <w:rFonts w:ascii="Arial" w:hAnsi="Arial" w:eastAsia="Calibri" w:cs="Arial"/>
          <w:bCs/>
          <w:sz w:val="22"/>
          <w:lang w:val="es-ES"/>
        </w:rPr>
        <w:footnoteReference w:id="2"/>
      </w:r>
      <w:r w:rsidRPr="005B5E75">
        <w:rPr>
          <w:rFonts w:ascii="Arial" w:hAnsi="Arial" w:eastAsia="Calibri" w:cs="Arial"/>
          <w:bCs/>
          <w:sz w:val="22"/>
          <w:lang w:val="es-ES"/>
        </w:rPr>
        <w:t>, diferenciándose del contrato de compraventa en que no opera una transferencia del dominio del bien cuyo uso y goce se entrega.</w:t>
      </w:r>
    </w:p>
    <w:p w:rsidRPr="005B5E75" w:rsidR="00A43D23" w:rsidP="00A43D23" w:rsidRDefault="00A43D23" w14:paraId="7FAC5CEF" w14:textId="77777777">
      <w:pPr>
        <w:spacing w:before="120" w:after="120"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 xml:space="preserve">En </w:t>
      </w:r>
      <w:r w:rsidRPr="005B5E75">
        <w:rPr>
          <w:rFonts w:ascii="Arial" w:hAnsi="Arial" w:cs="Arial"/>
          <w:sz w:val="22"/>
          <w:lang w:val="es-ES"/>
        </w:rPr>
        <w:t>cuanto</w:t>
      </w:r>
      <w:r w:rsidRPr="005B5E75">
        <w:rPr>
          <w:rFonts w:ascii="Arial" w:hAnsi="Arial" w:eastAsia="Calibri" w:cs="Arial"/>
          <w:bCs/>
          <w:sz w:val="22"/>
          <w:lang w:val="es-ES"/>
        </w:rPr>
        <w:t xml:space="preserve"> a sus características, la doctrina ha indicado que el arrendamiento es un contrato: i) bilateral, pues ambas partes se obligan recíprocamente; ii) consensual, dado que se perfecciona con el consentimiento</w:t>
      </w:r>
      <w:r>
        <w:rPr>
          <w:rStyle w:val="Refdenotaalpie"/>
          <w:rFonts w:ascii="Arial" w:hAnsi="Arial" w:eastAsia="Calibri" w:cs="Arial"/>
          <w:bCs/>
          <w:sz w:val="22"/>
          <w:lang w:val="es-ES"/>
        </w:rPr>
        <w:footnoteReference w:id="3"/>
      </w:r>
      <w:r w:rsidRPr="005B5E75">
        <w:rPr>
          <w:rFonts w:ascii="Arial" w:hAnsi="Arial" w:eastAsia="Calibri" w:cs="Arial"/>
          <w:bCs/>
          <w:sz w:val="22"/>
          <w:lang w:val="es-ES"/>
        </w:rPr>
        <w:t>;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Pr="005B5E75">
        <w:rPr>
          <w:rStyle w:val="Refdenotaalpie"/>
          <w:rFonts w:ascii="Arial" w:hAnsi="Arial" w:eastAsia="Calibri" w:cs="Arial"/>
          <w:bCs/>
          <w:sz w:val="22"/>
          <w:lang w:val="es-ES"/>
        </w:rPr>
        <w:footnoteReference w:id="4"/>
      </w:r>
      <w:r w:rsidRPr="005B5E75">
        <w:rPr>
          <w:rFonts w:ascii="Arial" w:hAnsi="Arial" w:eastAsia="Calibri" w:cs="Arial"/>
          <w:bCs/>
          <w:sz w:val="22"/>
          <w:lang w:val="es-ES"/>
        </w:rPr>
        <w:t>.</w:t>
      </w:r>
    </w:p>
    <w:p w:rsidRPr="005B5E75" w:rsidR="00A43D23" w:rsidP="00A43D23" w:rsidRDefault="00A43D23" w14:paraId="1276407A" w14:textId="77777777">
      <w:pPr>
        <w:spacing w:before="120" w:after="120"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Frente a su regulación, son, principalmente, los artículos 1973 al 2078 del Código Civil los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rsidRPr="005B5E75" w:rsidR="00A43D23" w:rsidP="00A43D23" w:rsidRDefault="00A43D23" w14:paraId="5D944157" w14:textId="7CA4C739">
      <w:pPr>
        <w:spacing w:before="120" w:after="120" w:line="276" w:lineRule="auto"/>
        <w:ind w:firstLine="709"/>
        <w:jc w:val="both"/>
        <w:rPr>
          <w:rFonts w:ascii="Arial" w:hAnsi="Arial" w:eastAsia="Calibri" w:cs="Arial"/>
          <w:sz w:val="22"/>
          <w:szCs w:val="22"/>
          <w:lang w:val="es-ES"/>
        </w:rPr>
      </w:pPr>
      <w:r w:rsidRPr="503D6FF5">
        <w:rPr>
          <w:rFonts w:ascii="Arial" w:hAnsi="Arial" w:eastAsia="Calibri" w:cs="Arial"/>
          <w:sz w:val="22"/>
          <w:szCs w:val="22"/>
          <w:lang w:val="es-ES"/>
        </w:rPr>
        <w:lastRenderedPageBreak/>
        <w:t xml:space="preserve">En igual sentido, </w:t>
      </w:r>
      <w:r w:rsidRPr="503D6FF5" w:rsidR="0090762D">
        <w:rPr>
          <w:rFonts w:ascii="Arial" w:hAnsi="Arial" w:eastAsia="Calibri" w:cs="Arial"/>
          <w:sz w:val="22"/>
          <w:szCs w:val="22"/>
          <w:lang w:val="es-ES"/>
        </w:rPr>
        <w:t>por su importancia en la contratación estatal</w:t>
      </w:r>
      <w:r w:rsidR="0090762D">
        <w:rPr>
          <w:rFonts w:ascii="Arial" w:hAnsi="Arial" w:eastAsia="Calibri" w:cs="Arial"/>
          <w:sz w:val="22"/>
          <w:szCs w:val="22"/>
          <w:lang w:val="es-ES"/>
        </w:rPr>
        <w:t>,</w:t>
      </w:r>
      <w:r w:rsidRPr="503D6FF5" w:rsidR="0090762D">
        <w:rPr>
          <w:rFonts w:ascii="Arial" w:hAnsi="Arial" w:eastAsia="Calibri" w:cs="Arial"/>
          <w:sz w:val="22"/>
          <w:szCs w:val="22"/>
          <w:lang w:val="es-ES"/>
        </w:rPr>
        <w:t xml:space="preserve"> </w:t>
      </w:r>
      <w:r w:rsidRPr="503D6FF5">
        <w:rPr>
          <w:rFonts w:ascii="Arial" w:hAnsi="Arial" w:eastAsia="Calibri" w:cs="Arial"/>
          <w:sz w:val="22"/>
          <w:szCs w:val="22"/>
          <w:lang w:val="es-ES"/>
        </w:rPr>
        <w:t>debe precisarse que la modalidad de selección aplicable a la celebración de los contratos de arrendamiento depende del régimen aplicable a la entidad estatal. Si se rige por el derecho privado, es decir, si está exceptuada del Estatuto General de Contratación de la Administración Pública, debe aplicar en principio las normas civiles y comerciales mencionadas, en las cuales se permite la celebración directa del contrato de arrendamiento</w:t>
      </w:r>
      <w:r w:rsidR="00D727DB">
        <w:rPr>
          <w:rFonts w:ascii="Arial" w:hAnsi="Arial" w:eastAsia="Calibri" w:cs="Arial"/>
          <w:sz w:val="22"/>
          <w:szCs w:val="22"/>
          <w:lang w:val="es-ES"/>
        </w:rPr>
        <w:t>,</w:t>
      </w:r>
      <w:r w:rsidRPr="503D6FF5">
        <w:rPr>
          <w:rFonts w:ascii="Arial" w:hAnsi="Arial" w:eastAsia="Calibri" w:cs="Arial"/>
          <w:sz w:val="22"/>
          <w:szCs w:val="22"/>
          <w:lang w:val="es-ES"/>
        </w:rPr>
        <w:t xml:space="preserve"> pero si el reglamento o manual interno de contratación de la entidad dispone que debe efectuar algún procedimiento especial, este prevalece. </w:t>
      </w:r>
      <w:r w:rsidR="0090762D">
        <w:rPr>
          <w:rFonts w:ascii="Arial" w:hAnsi="Arial" w:eastAsia="Calibri" w:cs="Arial"/>
          <w:sz w:val="22"/>
          <w:szCs w:val="22"/>
          <w:lang w:val="es-ES"/>
        </w:rPr>
        <w:t>En contrate, s</w:t>
      </w:r>
      <w:r w:rsidRPr="503D6FF5">
        <w:rPr>
          <w:rFonts w:ascii="Arial" w:hAnsi="Arial" w:eastAsia="Calibri" w:cs="Arial"/>
          <w:sz w:val="22"/>
          <w:szCs w:val="22"/>
          <w:lang w:val="es-ES"/>
        </w:rPr>
        <w:t>i la entidad estatal se rige por el Estatuto General de Contratación de la Administración Pública, bien sea que obre en calidad de arrendadora o arrendataria</w:t>
      </w:r>
      <w:r w:rsidRPr="503D6FF5">
        <w:rPr>
          <w:rStyle w:val="Refdenotaalpie"/>
          <w:rFonts w:ascii="Arial" w:hAnsi="Arial" w:eastAsia="Calibri" w:cs="Arial"/>
          <w:sz w:val="22"/>
          <w:szCs w:val="22"/>
          <w:lang w:val="es-ES"/>
        </w:rPr>
        <w:footnoteReference w:id="5"/>
      </w:r>
      <w:r w:rsidRPr="503D6FF5">
        <w:rPr>
          <w:rFonts w:ascii="Arial" w:hAnsi="Arial" w:eastAsia="Calibri" w:cs="Arial"/>
          <w:sz w:val="22"/>
          <w:szCs w:val="22"/>
          <w:lang w:val="es-ES"/>
        </w:rPr>
        <w:t>, debe acudir a la modalidad de selección de contratación directa si arrendara un inmueble, pues el artículo 2º, numeral 4° literal i) de la Ley 1150 de 2007 establece que una de las causales de este procedimiento es «i) El arrendamiento o adquisición de inmuebles»</w:t>
      </w:r>
      <w:r w:rsidRPr="503D6FF5">
        <w:rPr>
          <w:rStyle w:val="Refdenotaalpie"/>
          <w:rFonts w:ascii="Arial" w:hAnsi="Arial" w:eastAsia="Calibri" w:cs="Arial"/>
          <w:sz w:val="22"/>
          <w:szCs w:val="22"/>
          <w:lang w:val="es-ES"/>
        </w:rPr>
        <w:footnoteReference w:id="6"/>
      </w:r>
      <w:r w:rsidRPr="503D6FF5">
        <w:rPr>
          <w:rFonts w:ascii="Arial" w:hAnsi="Arial" w:eastAsia="Calibri" w:cs="Arial"/>
          <w:sz w:val="22"/>
          <w:szCs w:val="22"/>
          <w:lang w:val="es-ES"/>
        </w:rPr>
        <w:t>. Si lo que arrendará es un bien mueble, lo deberá hacer por licitación pública, selección abreviada o mínima cuantía, dependiendo del valor de la contratación. En ambos supuestos la entidad estatal también debe aplicar las normas civiles y comerciales que regulan la sustantividad del contrato de arrendamiento, porque a estas se remiten los artículos 13, 32 y 40 de la Ley 80 de 1993.</w:t>
      </w:r>
    </w:p>
    <w:p w:rsidRPr="005B5E75" w:rsidR="00A43D23" w:rsidP="00A43D23" w:rsidRDefault="00A43D23" w14:paraId="1B9B8937" w14:textId="77777777">
      <w:pPr>
        <w:spacing w:line="276" w:lineRule="auto"/>
        <w:ind w:firstLine="709"/>
        <w:jc w:val="both"/>
        <w:rPr>
          <w:rFonts w:ascii="Arial" w:hAnsi="Arial" w:eastAsia="Calibri" w:cs="Arial"/>
          <w:bCs/>
          <w:sz w:val="22"/>
          <w:lang w:val="es-ES"/>
        </w:rPr>
      </w:pPr>
      <w:r w:rsidRPr="005B5E75">
        <w:rPr>
          <w:rFonts w:ascii="Arial" w:hAnsi="Arial" w:eastAsia="Calibri" w:cs="Arial"/>
          <w:bCs/>
          <w:sz w:val="22"/>
          <w:lang w:val="es-ES"/>
        </w:rPr>
        <w:t>No cabe duda, pues, de que el contrato de arrendamiento, al ser un contrato oneroso, genera para el arrendador una renta periódica y, en tal sentido, como se explicará más adelante, hace que se encuentre obligado a cotizar al Sistema de Seguridad Social Integral, si el canon es superior a un salario mínimo mensual legal vigente. En efecto, el artículo 2000 del Código Civil establece que «El arrendatario es obligado al pago del precio o renta». Es decir que la renta es un elemento de la esencia del contrato de arrendamiento. Si el «arrendador» no la percibiera no sería un arrendamiento, sino un comodato</w:t>
      </w:r>
      <w:r w:rsidRPr="005B5E75">
        <w:rPr>
          <w:rStyle w:val="Refdenotaalpie"/>
          <w:rFonts w:ascii="Arial" w:hAnsi="Arial" w:eastAsia="Calibri" w:cs="Arial"/>
          <w:bCs/>
          <w:sz w:val="22"/>
          <w:lang w:val="es-ES"/>
        </w:rPr>
        <w:footnoteReference w:id="7"/>
      </w:r>
      <w:r w:rsidRPr="005B5E75">
        <w:rPr>
          <w:rFonts w:ascii="Arial" w:hAnsi="Arial" w:eastAsia="Calibri" w:cs="Arial"/>
          <w:bCs/>
          <w:sz w:val="22"/>
          <w:lang w:val="es-ES"/>
        </w:rPr>
        <w:t>.</w:t>
      </w:r>
    </w:p>
    <w:p w:rsidRPr="005B5E75" w:rsidR="00A43D23" w:rsidP="00A43D23" w:rsidRDefault="00A43D23" w14:paraId="38EBB7F5" w14:textId="77777777">
      <w:pPr>
        <w:spacing w:line="276" w:lineRule="auto"/>
        <w:jc w:val="both"/>
        <w:rPr>
          <w:rFonts w:ascii="Arial" w:hAnsi="Arial" w:eastAsia="Calibri" w:cs="Arial"/>
          <w:bCs/>
          <w:sz w:val="22"/>
          <w:lang w:val="es-ES"/>
        </w:rPr>
      </w:pPr>
    </w:p>
    <w:p w:rsidRPr="005B5E75" w:rsidR="00A43D23" w:rsidP="00A43D23" w:rsidRDefault="00A43D23" w14:paraId="45FCF597" w14:textId="77777777">
      <w:pPr>
        <w:spacing w:line="276" w:lineRule="auto"/>
        <w:jc w:val="both"/>
        <w:rPr>
          <w:rFonts w:ascii="Arial" w:hAnsi="Arial" w:eastAsia="Calibri" w:cs="Arial"/>
          <w:bCs/>
          <w:sz w:val="22"/>
          <w:lang w:val="es-ES"/>
        </w:rPr>
      </w:pPr>
      <w:r w:rsidRPr="005B5E75">
        <w:rPr>
          <w:rFonts w:ascii="Arial" w:hAnsi="Arial" w:eastAsia="Calibri" w:cs="Arial"/>
          <w:b/>
          <w:sz w:val="22"/>
          <w:lang w:val="es-ES"/>
        </w:rPr>
        <w:lastRenderedPageBreak/>
        <w:t>2.2. Verificación por parte de las entidades estatales del pago al Sistema de Seguridad Social Integral. Prohibición de exigir documentos distintos a los señalados en las disposiciones normativas que regulan la materia</w:t>
      </w:r>
    </w:p>
    <w:p w:rsidRPr="005B5E75" w:rsidR="00A43D23" w:rsidP="00A43D23" w:rsidRDefault="00A43D23" w14:paraId="1466758E" w14:textId="77777777">
      <w:pPr>
        <w:tabs>
          <w:tab w:val="left" w:pos="142"/>
          <w:tab w:val="left" w:pos="426"/>
        </w:tabs>
        <w:spacing w:line="276" w:lineRule="auto"/>
        <w:jc w:val="both"/>
        <w:rPr>
          <w:rFonts w:ascii="Arial" w:hAnsi="Arial" w:eastAsia="Calibri" w:cs="Arial"/>
          <w:b/>
          <w:sz w:val="22"/>
          <w:lang w:val="es-ES"/>
        </w:rPr>
      </w:pPr>
    </w:p>
    <w:p w:rsidRPr="005B5E75" w:rsidR="00A43D23" w:rsidP="004C5CA1" w:rsidRDefault="00A43D23" w14:paraId="74DE2A98" w14:textId="77777777">
      <w:pPr>
        <w:spacing w:after="120" w:line="276" w:lineRule="auto"/>
        <w:jc w:val="both"/>
        <w:rPr>
          <w:rFonts w:ascii="Arial" w:hAnsi="Arial" w:cs="Arial"/>
          <w:sz w:val="22"/>
          <w:lang w:val="es-ES"/>
        </w:rPr>
      </w:pPr>
      <w:r w:rsidRPr="005B5E75">
        <w:rPr>
          <w:rFonts w:ascii="Arial" w:hAnsi="Arial" w:cs="Arial"/>
          <w:sz w:val="22"/>
          <w:lang w:val="es-ES"/>
        </w:rPr>
        <w:t xml:space="preserve">La Ley 80 de 1993, en el texto original del artículo 41, </w:t>
      </w:r>
      <w:r>
        <w:rPr>
          <w:rFonts w:ascii="Arial" w:hAnsi="Arial" w:cs="Arial"/>
          <w:sz w:val="22"/>
          <w:lang w:val="es-ES"/>
        </w:rPr>
        <w:t>estableció</w:t>
      </w:r>
      <w:r w:rsidRPr="005B5E75">
        <w:rPr>
          <w:rFonts w:ascii="Arial" w:hAnsi="Arial" w:cs="Arial"/>
          <w:sz w:val="22"/>
          <w:lang w:val="es-ES"/>
        </w:rPr>
        <w:t xml:space="preserve"> que los requisitos para perfeccionar el contrato </w:t>
      </w:r>
      <w:r>
        <w:rPr>
          <w:rFonts w:ascii="Arial" w:hAnsi="Arial" w:cs="Arial"/>
          <w:sz w:val="22"/>
          <w:lang w:val="es-ES"/>
        </w:rPr>
        <w:t>eran</w:t>
      </w:r>
      <w:r w:rsidRPr="005B5E75">
        <w:rPr>
          <w:rFonts w:ascii="Arial" w:hAnsi="Arial" w:cs="Arial"/>
          <w:sz w:val="22"/>
          <w:lang w:val="es-ES"/>
        </w:rPr>
        <w:t>: i) llegar a un acuerdo sobre el objeto y la contraprestación y ii) que conste por escrito. Por su parte, para iniciar la ejecución se requería: i) la constitución y aprobación de la garantía y ii) la existencia del registro presupuestal.</w:t>
      </w:r>
    </w:p>
    <w:p w:rsidRPr="005B5E75" w:rsidR="00A43D23" w:rsidP="00A43D23" w:rsidRDefault="00A43D23" w14:paraId="0A150574" w14:textId="537BA3D6">
      <w:pPr>
        <w:spacing w:before="120" w:after="120" w:line="276" w:lineRule="auto"/>
        <w:ind w:firstLine="708"/>
        <w:jc w:val="both"/>
        <w:rPr>
          <w:rFonts w:ascii="Arial" w:hAnsi="Arial" w:cs="Arial"/>
          <w:sz w:val="22"/>
          <w:lang w:val="es-ES"/>
        </w:rPr>
      </w:pPr>
      <w:r w:rsidRPr="005B5E75">
        <w:rPr>
          <w:rFonts w:ascii="Arial" w:hAnsi="Arial" w:cs="Arial"/>
          <w:sz w:val="22"/>
          <w:lang w:val="es-ES"/>
        </w:rPr>
        <w:t xml:space="preserve">Posteriormente, el artículo 50 de la Ley 789 de 2002 estableció, como obligación de quien quiere celebrar, renovar o liquidar contratos de cualquier naturaleza con entidades del sector público, cumplir con las obligaciones </w:t>
      </w:r>
      <w:r>
        <w:rPr>
          <w:rFonts w:ascii="Arial" w:hAnsi="Arial" w:cs="Arial"/>
          <w:sz w:val="22"/>
          <w:lang w:val="es-ES"/>
        </w:rPr>
        <w:t xml:space="preserve">frente </w:t>
      </w:r>
      <w:r w:rsidRPr="005B5E75">
        <w:rPr>
          <w:rFonts w:ascii="Arial" w:hAnsi="Arial" w:cs="Arial"/>
          <w:sz w:val="22"/>
          <w:lang w:val="es-ES"/>
        </w:rPr>
        <w:t xml:space="preserve">a los sistemas de salud, riesgos profesionales, pensiones y aportes a la Caja de Compensación Familiar, Instituto Colombiano de Bienestar Familiar y Servicio Nacional de Aprendizaje </w:t>
      </w:r>
      <w:r w:rsidRPr="00E0516F">
        <w:rPr>
          <w:rFonts w:ascii="Arial" w:hAnsi="Arial" w:cs="Arial"/>
          <w:sz w:val="22"/>
          <w:lang w:val="es-ES"/>
        </w:rPr>
        <w:t>cuando a ello haya lugar</w:t>
      </w:r>
      <w:r w:rsidRPr="005B5E75">
        <w:rPr>
          <w:rFonts w:ascii="Arial" w:hAnsi="Arial" w:cs="Arial"/>
          <w:sz w:val="22"/>
          <w:lang w:val="es-ES"/>
        </w:rPr>
        <w:t xml:space="preserve">. </w:t>
      </w:r>
      <w:r w:rsidR="00377AF4">
        <w:rPr>
          <w:rFonts w:ascii="Arial" w:hAnsi="Arial" w:cs="Arial"/>
          <w:sz w:val="22"/>
          <w:lang w:val="es-ES"/>
        </w:rPr>
        <w:t>Además</w:t>
      </w:r>
      <w:r w:rsidRPr="005B5E75">
        <w:rPr>
          <w:rFonts w:ascii="Arial" w:hAnsi="Arial" w:cs="Arial"/>
          <w:sz w:val="22"/>
          <w:lang w:val="es-ES"/>
        </w:rPr>
        <w:t>,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5B5E75">
        <w:rPr>
          <w:rStyle w:val="Refdenotaalpie"/>
          <w:rFonts w:ascii="Arial" w:hAnsi="Arial" w:cs="Arial"/>
          <w:sz w:val="22"/>
          <w:lang w:val="es-ES"/>
        </w:rPr>
        <w:footnoteReference w:id="8"/>
      </w:r>
      <w:r w:rsidRPr="005B5E75">
        <w:rPr>
          <w:rFonts w:ascii="Arial" w:hAnsi="Arial" w:cs="Arial"/>
          <w:sz w:val="22"/>
          <w:lang w:val="es-ES"/>
        </w:rPr>
        <w:t xml:space="preserve">. </w:t>
      </w:r>
    </w:p>
    <w:p w:rsidRPr="005B5E75" w:rsidR="00A43D23" w:rsidP="00A43D23" w:rsidRDefault="00A43D23" w14:paraId="637EECE9" w14:textId="49492248">
      <w:pPr>
        <w:spacing w:before="120" w:after="120" w:line="276" w:lineRule="auto"/>
        <w:ind w:firstLine="708"/>
        <w:jc w:val="both"/>
        <w:rPr>
          <w:rFonts w:ascii="Arial" w:hAnsi="Arial" w:cs="Arial"/>
          <w:sz w:val="22"/>
          <w:lang w:val="es-ES"/>
        </w:rPr>
      </w:pPr>
      <w:r w:rsidRPr="005B5E75">
        <w:rPr>
          <w:rFonts w:ascii="Arial" w:hAnsi="Arial" w:cs="Arial"/>
          <w:sz w:val="22"/>
          <w:lang w:val="es-ES"/>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w:t>
      </w:r>
      <w:r w:rsidRPr="005B5E75">
        <w:rPr>
          <w:rFonts w:ascii="Arial" w:hAnsi="Arial" w:cs="Arial"/>
          <w:sz w:val="22"/>
          <w:lang w:val="es-ES"/>
        </w:rPr>
        <w:lastRenderedPageBreak/>
        <w:t xml:space="preserve">de contratación para que se hubiera constituido la sociedad, el cual, en todo caso, no debe ser inferior a los 6 meses anteriores a la celebración del contrato. En este sentido, la ley </w:t>
      </w:r>
      <w:r w:rsidR="00D727DB">
        <w:rPr>
          <w:rFonts w:ascii="Arial" w:hAnsi="Arial" w:cs="Arial"/>
          <w:sz w:val="22"/>
          <w:lang w:val="es-ES"/>
        </w:rPr>
        <w:t>establece</w:t>
      </w:r>
      <w:r w:rsidRPr="005B5E75">
        <w:rPr>
          <w:rFonts w:ascii="Arial" w:hAnsi="Arial" w:cs="Arial"/>
          <w:sz w:val="22"/>
          <w:lang w:val="es-ES"/>
        </w:rPr>
        <w:t xml:space="preserve"> que para presentar la oferta las personas jurídicas deben acreditar el requisito señalado anteriormente, es decir, el pago al sistema de seguridad social de sus empleados.</w:t>
      </w:r>
    </w:p>
    <w:p w:rsidRPr="005B5E75" w:rsidR="00A43D23" w:rsidP="00A43D23" w:rsidRDefault="00A43D23" w14:paraId="17538236" w14:textId="5BDA0D4C">
      <w:pPr>
        <w:spacing w:before="120" w:after="120" w:line="276" w:lineRule="auto"/>
        <w:ind w:firstLine="708"/>
        <w:jc w:val="both"/>
        <w:rPr>
          <w:rFonts w:ascii="Arial" w:hAnsi="Arial" w:cs="Arial"/>
          <w:sz w:val="22"/>
          <w:lang w:val="es-ES"/>
        </w:rPr>
      </w:pPr>
      <w:r w:rsidRPr="005B5E75">
        <w:rPr>
          <w:rFonts w:ascii="Arial" w:hAnsi="Arial" w:cs="Arial"/>
          <w:sz w:val="22"/>
          <w:lang w:val="es-ES"/>
        </w:rPr>
        <w:t>Esta norma fue analizada por el Consejo de Estado, quien consideró que el artículo 50 de la Ley 789 de 2002 tiene por objeto evitar la evasión por parte de los empleadores de las cotizaciones al Sistema de Seguridad Social Integral y de los aportes parafiscales</w:t>
      </w:r>
      <w:r w:rsidR="00D727DB">
        <w:rPr>
          <w:rFonts w:ascii="Arial" w:hAnsi="Arial" w:cs="Arial"/>
          <w:sz w:val="22"/>
          <w:lang w:val="es-ES"/>
        </w:rPr>
        <w:t>.</w:t>
      </w:r>
      <w:r w:rsidRPr="005B5E75">
        <w:rPr>
          <w:rFonts w:ascii="Arial" w:hAnsi="Arial" w:cs="Arial"/>
          <w:sz w:val="22"/>
          <w:lang w:val="es-ES"/>
        </w:rPr>
        <w:t xml:space="preserve"> </w:t>
      </w:r>
      <w:r w:rsidR="00D727DB">
        <w:rPr>
          <w:rFonts w:ascii="Arial" w:hAnsi="Arial" w:cs="Arial"/>
          <w:sz w:val="22"/>
          <w:lang w:val="es-ES"/>
        </w:rPr>
        <w:t>P</w:t>
      </w:r>
      <w:r w:rsidRPr="005B5E75">
        <w:rPr>
          <w:rFonts w:ascii="Arial" w:hAnsi="Arial" w:cs="Arial"/>
          <w:sz w:val="22"/>
          <w:lang w:val="es-ES"/>
        </w:rPr>
        <w:t>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5B5E75">
        <w:rPr>
          <w:rStyle w:val="Refdenotaalpie"/>
          <w:rFonts w:ascii="Arial" w:hAnsi="Arial" w:cs="Arial"/>
          <w:sz w:val="22"/>
          <w:lang w:val="es-ES"/>
        </w:rPr>
        <w:footnoteReference w:id="9"/>
      </w:r>
      <w:r w:rsidRPr="005B5E75">
        <w:rPr>
          <w:rFonts w:ascii="Arial" w:hAnsi="Arial" w:cs="Arial"/>
          <w:sz w:val="22"/>
          <w:lang w:val="es-ES"/>
        </w:rPr>
        <w:t xml:space="preserve">. Por lo tanto, la jurisprudencia reiteró la necesidad de que las entidades estatales, durante la ejecución del contrato, verifiquen el cumplimiento de las obligaciones del Sistema de Seguridad Social Integral por parte de los </w:t>
      </w:r>
      <w:r>
        <w:rPr>
          <w:rFonts w:ascii="Arial" w:hAnsi="Arial" w:cs="Arial"/>
          <w:sz w:val="22"/>
          <w:lang w:val="es-ES"/>
        </w:rPr>
        <w:t>contratistas</w:t>
      </w:r>
      <w:r w:rsidRPr="005B5E75">
        <w:rPr>
          <w:rFonts w:ascii="Arial" w:hAnsi="Arial" w:cs="Arial"/>
          <w:sz w:val="22"/>
          <w:lang w:val="es-ES"/>
        </w:rPr>
        <w:t xml:space="preserve">. </w:t>
      </w:r>
    </w:p>
    <w:p w:rsidRPr="005B5E75" w:rsidR="00A43D23" w:rsidP="00A43D23" w:rsidRDefault="00D727DB" w14:paraId="79B703BE" w14:textId="573D0FB3">
      <w:pPr>
        <w:spacing w:line="276" w:lineRule="auto"/>
        <w:ind w:firstLine="708"/>
        <w:jc w:val="both"/>
        <w:rPr>
          <w:rFonts w:ascii="Arial" w:hAnsi="Arial" w:cs="Arial"/>
          <w:sz w:val="22"/>
          <w:lang w:val="es-ES"/>
        </w:rPr>
      </w:pPr>
      <w:r>
        <w:rPr>
          <w:rFonts w:ascii="Arial" w:hAnsi="Arial" w:cs="Arial"/>
          <w:sz w:val="22"/>
          <w:lang w:val="es-ES"/>
        </w:rPr>
        <w:t>En igual sentido</w:t>
      </w:r>
      <w:r w:rsidRPr="005B5E75" w:rsidR="00A43D23">
        <w:rPr>
          <w:rFonts w:ascii="Arial" w:hAnsi="Arial" w:cs="Arial"/>
          <w:sz w:val="22"/>
          <w:lang w:val="es-ES"/>
        </w:rPr>
        <w:t>,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rsidRPr="004C5CA1" w:rsidR="00A43D23" w:rsidP="004C5CA1" w:rsidRDefault="00A43D23" w14:paraId="7D177DB7" w14:textId="77777777">
      <w:pPr>
        <w:pStyle w:val="NormalWeb"/>
        <w:spacing w:before="0" w:beforeAutospacing="0" w:after="0" w:afterAutospacing="0" w:line="276" w:lineRule="auto"/>
        <w:ind w:right="709"/>
        <w:jc w:val="both"/>
        <w:rPr>
          <w:rFonts w:ascii="Arial" w:hAnsi="Arial" w:cs="Arial"/>
          <w:sz w:val="22"/>
          <w:szCs w:val="22"/>
          <w:lang w:val="es-ES"/>
        </w:rPr>
      </w:pPr>
    </w:p>
    <w:p w:rsidRPr="005B5E75" w:rsidR="00A43D23" w:rsidP="00A43D23" w:rsidRDefault="00A43D23" w14:paraId="093ED2B0" w14:textId="77777777">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w:t>
      </w:r>
    </w:p>
    <w:p w:rsidRPr="005B5E75" w:rsidR="00A43D23" w:rsidP="004C5CA1" w:rsidRDefault="00A43D23" w14:paraId="197FDA86" w14:textId="5C901FDD">
      <w:pPr>
        <w:pStyle w:val="NormalWeb"/>
        <w:tabs>
          <w:tab w:val="left" w:pos="7938"/>
          <w:tab w:val="left" w:pos="8080"/>
        </w:tabs>
        <w:spacing w:before="0" w:beforeAutospacing="0" w:after="120" w:afterAutospacing="0"/>
        <w:ind w:left="709" w:right="709"/>
        <w:jc w:val="both"/>
        <w:rPr>
          <w:rFonts w:ascii="Arial" w:hAnsi="Arial" w:cs="Arial"/>
          <w:sz w:val="21"/>
          <w:szCs w:val="21"/>
          <w:lang w:val="es-ES"/>
        </w:rPr>
      </w:pPr>
      <w:r w:rsidRPr="005B5E75">
        <w:rPr>
          <w:rFonts w:ascii="Arial" w:hAnsi="Arial" w:cs="Arial"/>
          <w:sz w:val="21"/>
          <w:szCs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rsidRPr="005B5E75" w:rsidR="00A43D23" w:rsidP="004C5CA1" w:rsidRDefault="00A43D23" w14:paraId="6424D503" w14:textId="20235953">
      <w:pPr>
        <w:pStyle w:val="NormalWeb"/>
        <w:spacing w:before="0" w:beforeAutospacing="0" w:after="120" w:afterAutospacing="0"/>
        <w:ind w:left="709" w:right="709"/>
        <w:jc w:val="both"/>
        <w:rPr>
          <w:rFonts w:ascii="Arial" w:hAnsi="Arial" w:cs="Arial"/>
          <w:sz w:val="21"/>
          <w:szCs w:val="21"/>
          <w:lang w:val="es-ES"/>
        </w:rPr>
      </w:pPr>
      <w:r w:rsidRPr="005B5E75">
        <w:rPr>
          <w:rStyle w:val="baj"/>
          <w:rFonts w:ascii="Arial" w:hAnsi="Arial" w:cs="Arial"/>
          <w:bCs/>
          <w:sz w:val="21"/>
          <w:szCs w:val="21"/>
          <w:lang w:val="es-ES"/>
        </w:rPr>
        <w:t>Parágrafo 1.</w:t>
      </w:r>
      <w:r w:rsidRPr="005B5E75">
        <w:rPr>
          <w:rFonts w:ascii="Arial" w:hAnsi="Arial" w:cs="Arial"/>
          <w:sz w:val="21"/>
          <w:szCs w:val="21"/>
          <w:lang w:val="es-ES"/>
        </w:rPr>
        <w:t> El requisito establecido en la parte final del inciso segundo de este artículo deberá acreditarse para la realización de cada pago derivado del contrato estatal.</w:t>
      </w:r>
    </w:p>
    <w:p w:rsidRPr="005B5E75" w:rsidR="00A43D23" w:rsidP="00A43D23" w:rsidRDefault="00A43D23" w14:paraId="740CAF20" w14:textId="77777777">
      <w:pPr>
        <w:pStyle w:val="NormalWeb"/>
        <w:spacing w:before="0" w:beforeAutospacing="0" w:after="0" w:afterAutospacing="0"/>
        <w:ind w:left="709" w:right="709"/>
        <w:jc w:val="both"/>
        <w:rPr>
          <w:rFonts w:ascii="Arial" w:hAnsi="Arial" w:cs="Arial"/>
          <w:sz w:val="21"/>
          <w:szCs w:val="21"/>
          <w:lang w:val="es-ES"/>
        </w:rPr>
      </w:pPr>
      <w:r w:rsidRPr="005B5E75">
        <w:rPr>
          <w:rFonts w:ascii="Arial" w:hAnsi="Arial" w:cs="Arial"/>
          <w:sz w:val="21"/>
          <w:szCs w:val="21"/>
          <w:lang w:val="es-ES"/>
        </w:rPr>
        <w:t>El servidor público que sin justa causa no verifique el pago de los aportes a que se refiere el presente artículo, incurrirá en causal de mala conducta, que será sancionada con arreglo al régimen disciplinario vigente.</w:t>
      </w:r>
    </w:p>
    <w:p w:rsidRPr="005B5E75" w:rsidR="00A43D23" w:rsidP="00A43D23" w:rsidRDefault="00A43D23" w14:paraId="25A75311" w14:textId="77777777">
      <w:pPr>
        <w:spacing w:line="276" w:lineRule="auto"/>
        <w:ind w:firstLine="709"/>
        <w:jc w:val="both"/>
        <w:rPr>
          <w:rFonts w:ascii="Arial" w:hAnsi="Arial" w:cs="Arial"/>
          <w:sz w:val="22"/>
          <w:lang w:val="es-ES"/>
        </w:rPr>
      </w:pPr>
    </w:p>
    <w:p w:rsidRPr="005B5E75" w:rsidR="00A43D23" w:rsidP="00A43D23" w:rsidRDefault="00A43D23" w14:paraId="1F2A7125" w14:textId="77777777">
      <w:pPr>
        <w:spacing w:line="276" w:lineRule="auto"/>
        <w:ind w:firstLine="709"/>
        <w:jc w:val="both"/>
        <w:rPr>
          <w:rFonts w:ascii="Arial" w:hAnsi="Arial" w:cs="Arial"/>
          <w:sz w:val="22"/>
          <w:lang w:val="es-ES"/>
        </w:rPr>
      </w:pPr>
      <w:r w:rsidRPr="005B5E75">
        <w:rPr>
          <w:rFonts w:ascii="Arial" w:hAnsi="Arial" w:cs="Arial"/>
          <w:sz w:val="22"/>
          <w:lang w:val="es-ES"/>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rsidRPr="005B5E75" w:rsidR="00A43D23" w:rsidP="00A43D23" w:rsidRDefault="00A43D23" w14:paraId="3A43543C" w14:textId="77777777">
      <w:pPr>
        <w:spacing w:before="120" w:after="120" w:line="276" w:lineRule="auto"/>
        <w:ind w:firstLine="709"/>
        <w:jc w:val="both"/>
        <w:rPr>
          <w:rFonts w:ascii="Arial" w:hAnsi="Arial" w:cs="Arial"/>
          <w:sz w:val="22"/>
          <w:lang w:val="es-ES"/>
        </w:rPr>
      </w:pPr>
      <w:r w:rsidRPr="005B5E75">
        <w:rPr>
          <w:rFonts w:ascii="Arial" w:hAnsi="Arial" w:cs="Arial"/>
          <w:sz w:val="22"/>
          <w:lang w:val="es-ES"/>
        </w:rPr>
        <w:lastRenderedPageBreak/>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rsidRPr="005B5E75" w:rsidR="00A43D23" w:rsidP="00A43D23" w:rsidRDefault="00A43D23" w14:paraId="440359B0" w14:textId="0726782F">
      <w:pPr>
        <w:spacing w:before="120" w:after="120" w:line="276" w:lineRule="auto"/>
        <w:ind w:firstLine="709"/>
        <w:jc w:val="both"/>
        <w:rPr>
          <w:rFonts w:ascii="Arial" w:hAnsi="Arial" w:cs="Arial"/>
          <w:sz w:val="22"/>
          <w:lang w:val="es-ES"/>
        </w:rPr>
      </w:pPr>
      <w:r w:rsidRPr="005B5E75">
        <w:rPr>
          <w:rFonts w:ascii="Arial" w:hAnsi="Arial" w:cs="Arial"/>
          <w:sz w:val="22"/>
          <w:lang w:val="es-ES"/>
        </w:rPr>
        <w:t>En este sentido, la verificación del aporte Sistema de Seguridad Social Integral cambia, dependiendo si se trata de una persona natural o de una jurídica: i</w:t>
      </w:r>
      <w:r w:rsidRPr="00116521">
        <w:rPr>
          <w:rFonts w:ascii="Arial" w:hAnsi="Arial" w:cs="Arial"/>
          <w:sz w:val="22"/>
          <w:lang w:val="es-ES"/>
        </w:rPr>
        <w:t>) si es una natural, la entidad estatal verificará el pago al Sistema de Seguridad Social Integral cuando se realicen los pagos del contrato, es decir, durante su ejecución</w:t>
      </w:r>
      <w:r w:rsidRPr="005B5E75">
        <w:rPr>
          <w:rFonts w:ascii="Arial" w:hAnsi="Arial" w:cs="Arial"/>
          <w:sz w:val="22"/>
          <w:lang w:val="es-ES"/>
        </w:rPr>
        <w:t xml:space="preserve"> y ii) si se refiere a una persona jurídica, el comprobante de pago de los aportes al Sistema de Seguridad Social Integral de sus empleados se debe aportar con la presentación de la oferta, y este constituye un criterio de admisión de la oferta</w:t>
      </w:r>
      <w:r w:rsidR="000C7E65">
        <w:rPr>
          <w:rFonts w:ascii="Arial" w:hAnsi="Arial" w:cs="Arial"/>
          <w:sz w:val="22"/>
          <w:lang w:val="es-ES"/>
        </w:rPr>
        <w:t>. Lo anterior,</w:t>
      </w:r>
      <w:r w:rsidRPr="005B5E75">
        <w:rPr>
          <w:rFonts w:ascii="Arial" w:hAnsi="Arial" w:cs="Arial"/>
          <w:sz w:val="22"/>
          <w:lang w:val="es-ES"/>
        </w:rPr>
        <w:t xml:space="preserve"> sin perjuicio de que durante la ejecución del contrato también se acredite el pago al Sistema de Seguridad Social Integral para pagar las cuentas o facturas si a ello hubiere lugar. </w:t>
      </w:r>
    </w:p>
    <w:p w:rsidRPr="005B5E75" w:rsidR="00A43D23" w:rsidP="00A43D23" w:rsidRDefault="000900C6" w14:paraId="4F949140" w14:textId="69DD4AEF">
      <w:pPr>
        <w:spacing w:before="120" w:after="120" w:line="276" w:lineRule="auto"/>
        <w:ind w:firstLine="709"/>
        <w:jc w:val="both"/>
        <w:rPr>
          <w:rFonts w:ascii="Arial" w:hAnsi="Arial" w:cs="Arial"/>
          <w:sz w:val="22"/>
          <w:lang w:val="es-ES"/>
        </w:rPr>
      </w:pPr>
      <w:r>
        <w:rPr>
          <w:rFonts w:ascii="Arial" w:hAnsi="Arial" w:cs="Arial"/>
          <w:sz w:val="22"/>
          <w:lang w:val="es-ES"/>
        </w:rPr>
        <w:t>Igualmente</w:t>
      </w:r>
      <w:r w:rsidRPr="005B5E75" w:rsidR="00A43D23">
        <w:rPr>
          <w:rFonts w:ascii="Arial" w:hAnsi="Arial" w:cs="Arial"/>
          <w:sz w:val="22"/>
          <w:lang w:val="es-ES"/>
        </w:rPr>
        <w:t xml:space="preserv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rsidRPr="005B5E75" w:rsidR="00A43D23" w:rsidP="00A43D23" w:rsidRDefault="00A43D23" w14:paraId="119515B3" w14:textId="77777777">
      <w:pPr>
        <w:spacing w:after="120" w:line="276" w:lineRule="auto"/>
        <w:ind w:firstLine="709"/>
        <w:jc w:val="both"/>
        <w:rPr>
          <w:rFonts w:ascii="Arial" w:hAnsi="Arial" w:cs="Arial"/>
          <w:sz w:val="22"/>
          <w:lang w:val="es-ES"/>
        </w:rPr>
      </w:pPr>
      <w:r w:rsidRPr="005B5E75">
        <w:rPr>
          <w:rFonts w:ascii="Arial" w:hAnsi="Arial" w:cs="Arial"/>
          <w:sz w:val="22"/>
          <w:lang w:val="es-ES"/>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w:t>
      </w:r>
      <w:r>
        <w:rPr>
          <w:rFonts w:ascii="Arial" w:hAnsi="Arial" w:cs="Arial"/>
          <w:sz w:val="22"/>
          <w:lang w:val="es-ES"/>
        </w:rPr>
        <w:t>o</w:t>
      </w:r>
      <w:r w:rsidRPr="005B5E75">
        <w:rPr>
          <w:rFonts w:ascii="Arial" w:hAnsi="Arial" w:cs="Arial"/>
          <w:sz w:val="22"/>
          <w:lang w:val="es-ES"/>
        </w:rPr>
        <w:t xml:space="preserve"> como durante su ejecución y liquidación, conforme a la naturaleza jurídica de la persona con quien se va a realizar el contrato de arrendamiento. </w:t>
      </w:r>
    </w:p>
    <w:p w:rsidRPr="005B5E75" w:rsidR="00A43D23" w:rsidP="00A43D23" w:rsidRDefault="00A43D23" w14:paraId="1F6E3884" w14:textId="14BA1DF8">
      <w:pPr>
        <w:spacing w:line="276" w:lineRule="auto"/>
        <w:ind w:firstLine="709"/>
        <w:jc w:val="both"/>
        <w:rPr>
          <w:rFonts w:ascii="Arial" w:hAnsi="Arial" w:cs="Arial"/>
          <w:sz w:val="22"/>
          <w:lang w:val="es-ES"/>
        </w:rPr>
      </w:pPr>
      <w:r w:rsidRPr="005B5E75">
        <w:rPr>
          <w:rFonts w:ascii="Arial" w:hAnsi="Arial" w:cs="Arial"/>
          <w:sz w:val="22"/>
          <w:lang w:val="es-ES"/>
        </w:rPr>
        <w:t xml:space="preserve">Se </w:t>
      </w:r>
      <w:r w:rsidRPr="005B5E75" w:rsidR="000900C6">
        <w:rPr>
          <w:rFonts w:ascii="Arial" w:hAnsi="Arial" w:cs="Arial"/>
          <w:sz w:val="22"/>
          <w:lang w:val="es-ES"/>
        </w:rPr>
        <w:t>concluye</w:t>
      </w:r>
      <w:r w:rsidRPr="005B5E75">
        <w:rPr>
          <w:rFonts w:ascii="Arial" w:hAnsi="Arial" w:cs="Arial"/>
          <w:sz w:val="22"/>
          <w:lang w:val="es-ES"/>
        </w:rPr>
        <w:t xml:space="preserve"> entonces que las disposiciones que regulan la materia exigen que las personas jurídicas presenten con la oferta, como requisito habilitante, el certificado suscrito por el revisor fiscal, cuando este se requiera según la ley, o por el representante legal</w:t>
      </w:r>
      <w:r w:rsidR="000900C6">
        <w:rPr>
          <w:rFonts w:ascii="Arial" w:hAnsi="Arial" w:cs="Arial"/>
          <w:sz w:val="22"/>
          <w:lang w:val="es-ES"/>
        </w:rPr>
        <w:t>,</w:t>
      </w:r>
      <w:r w:rsidRPr="005B5E75">
        <w:rPr>
          <w:rFonts w:ascii="Arial" w:hAnsi="Arial" w:cs="Arial"/>
          <w:sz w:val="22"/>
          <w:lang w:val="es-ES"/>
        </w:rPr>
        <w:t xml:space="preserve"> </w:t>
      </w:r>
      <w:r w:rsidR="000900C6">
        <w:rPr>
          <w:rFonts w:ascii="Arial" w:hAnsi="Arial" w:cs="Arial"/>
          <w:sz w:val="22"/>
          <w:lang w:val="es-ES"/>
        </w:rPr>
        <w:t>conforme a</w:t>
      </w:r>
      <w:r w:rsidRPr="005B5E75">
        <w:rPr>
          <w:rFonts w:ascii="Arial" w:hAnsi="Arial" w:cs="Arial"/>
          <w:sz w:val="22"/>
          <w:lang w:val="es-ES"/>
        </w:rPr>
        <w:t xml:space="preserve"> lo dispuesto en el artículo 50 de la Ley 789 de 2002. Es oportuno señalar que, en los contratos de arrendamiento, en principio no se encuentra incorporada la prestación de un servicio que implique la ejecución de actividades por parte</w:t>
      </w:r>
      <w:r w:rsidR="000900C6">
        <w:rPr>
          <w:rFonts w:ascii="Arial" w:hAnsi="Arial" w:cs="Arial"/>
          <w:sz w:val="22"/>
          <w:lang w:val="es-ES"/>
        </w:rPr>
        <w:t xml:space="preserve"> de</w:t>
      </w:r>
      <w:r w:rsidRPr="005B5E75">
        <w:rPr>
          <w:rFonts w:ascii="Arial" w:hAnsi="Arial" w:cs="Arial"/>
          <w:sz w:val="22"/>
          <w:lang w:val="es-ES"/>
        </w:rPr>
        <w:t xml:space="preserve"> los empleados de la persona jurídica</w:t>
      </w:r>
      <w:r w:rsidR="000900C6">
        <w:rPr>
          <w:rFonts w:ascii="Arial" w:hAnsi="Arial" w:cs="Arial"/>
          <w:sz w:val="22"/>
          <w:lang w:val="es-ES"/>
        </w:rPr>
        <w:t xml:space="preserve">, de donde </w:t>
      </w:r>
      <w:r w:rsidRPr="005B5E75">
        <w:rPr>
          <w:rFonts w:ascii="Arial" w:hAnsi="Arial" w:cs="Arial"/>
          <w:sz w:val="22"/>
          <w:lang w:val="es-ES"/>
        </w:rPr>
        <w:t xml:space="preserve">se desprende la necesidad de identificar la naturaleza de la persona con la que se suscribirá el contrato de arrendamiento. </w:t>
      </w:r>
    </w:p>
    <w:p w:rsidRPr="005B5E75" w:rsidR="00A43D23" w:rsidP="00A43D23" w:rsidRDefault="00A43D23" w14:paraId="627AD42D" w14:textId="77777777">
      <w:pPr>
        <w:spacing w:line="276" w:lineRule="auto"/>
        <w:ind w:firstLine="709"/>
        <w:jc w:val="both"/>
        <w:rPr>
          <w:rFonts w:ascii="Arial" w:hAnsi="Arial" w:cs="Arial"/>
          <w:sz w:val="22"/>
          <w:lang w:val="es-ES"/>
        </w:rPr>
      </w:pPr>
    </w:p>
    <w:p w:rsidRPr="005B5E75" w:rsidR="00A43D23" w:rsidP="00A43D23" w:rsidRDefault="00A43D23" w14:paraId="1D2AB358" w14:textId="77777777">
      <w:pPr>
        <w:spacing w:line="276" w:lineRule="auto"/>
        <w:jc w:val="both"/>
        <w:rPr>
          <w:rFonts w:ascii="Arial" w:hAnsi="Arial" w:eastAsia="Calibri" w:cs="Arial"/>
          <w:b/>
          <w:sz w:val="22"/>
          <w:lang w:val="es-ES"/>
        </w:rPr>
      </w:pPr>
      <w:r w:rsidRPr="005B5E75">
        <w:rPr>
          <w:rFonts w:ascii="Arial" w:hAnsi="Arial" w:eastAsia="Calibri" w:cs="Arial"/>
          <w:b/>
          <w:sz w:val="22"/>
          <w:lang w:val="es-ES"/>
        </w:rPr>
        <w:lastRenderedPageBreak/>
        <w:t>2.3. Cambios que realizó la Ley 1955 de 2019 al Decreto 1273 de 2018. Cotización mes vencido y deber de verificación de las entidades estatales durante toda la vigencia del contrato</w:t>
      </w:r>
    </w:p>
    <w:p w:rsidRPr="005B5E75" w:rsidR="00A43D23" w:rsidP="00A43D23" w:rsidRDefault="00A43D23" w14:paraId="0A2EE727" w14:textId="77777777">
      <w:pPr>
        <w:spacing w:line="276" w:lineRule="auto"/>
        <w:jc w:val="both"/>
        <w:rPr>
          <w:rFonts w:ascii="Arial" w:hAnsi="Arial" w:eastAsia="Calibri" w:cs="Arial"/>
          <w:b/>
          <w:sz w:val="22"/>
          <w:lang w:val="es-ES"/>
        </w:rPr>
      </w:pPr>
    </w:p>
    <w:p w:rsidRPr="005B5E75" w:rsidR="00A43D23" w:rsidP="004C5CA1" w:rsidRDefault="00A43D23" w14:paraId="28B49732" w14:textId="77777777">
      <w:pPr>
        <w:spacing w:before="120" w:after="120" w:line="276" w:lineRule="auto"/>
        <w:jc w:val="both"/>
        <w:rPr>
          <w:rFonts w:ascii="Arial" w:hAnsi="Arial" w:eastAsia="Calibri" w:cs="Arial"/>
          <w:sz w:val="22"/>
          <w:lang w:val="es-ES"/>
        </w:rPr>
      </w:pPr>
      <w:r w:rsidRPr="005B5E75">
        <w:rPr>
          <w:rFonts w:ascii="Arial" w:hAnsi="Arial" w:cs="Arial"/>
          <w:sz w:val="22"/>
          <w:lang w:val="es-ES"/>
        </w:rPr>
        <w:t xml:space="preserve">La Ley 1753 de 2015, por la cual se expide el Plan Nacional de Desarrollo 2014 </w:t>
      </w:r>
      <w:r>
        <w:rPr>
          <w:rFonts w:ascii="Arial" w:hAnsi="Arial" w:cs="Arial"/>
          <w:sz w:val="22"/>
          <w:lang w:val="es-ES"/>
        </w:rPr>
        <w:t>–</w:t>
      </w:r>
      <w:r w:rsidRPr="005B5E75">
        <w:rPr>
          <w:rFonts w:ascii="Arial" w:hAnsi="Arial" w:cs="Arial"/>
          <w:sz w:val="22"/>
          <w:lang w:val="es-ES"/>
        </w:rPr>
        <w:t xml:space="preserve">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5B5E75">
        <w:rPr>
          <w:rStyle w:val="Refdenotaalpie"/>
          <w:rFonts w:ascii="Arial" w:hAnsi="Arial" w:cs="Arial"/>
          <w:sz w:val="22"/>
          <w:lang w:val="es-ES"/>
        </w:rPr>
        <w:footnoteReference w:id="10"/>
      </w:r>
      <w:r w:rsidRPr="005B5E75">
        <w:rPr>
          <w:rFonts w:ascii="Arial" w:hAnsi="Arial" w:cs="Arial"/>
          <w:sz w:val="22"/>
          <w:lang w:val="es-ES"/>
        </w:rPr>
        <w:t>.</w:t>
      </w:r>
      <w:r w:rsidRPr="005B5E75">
        <w:rPr>
          <w:rFonts w:ascii="Arial" w:hAnsi="Arial" w:cs="Arial"/>
          <w:lang w:val="es-ES"/>
        </w:rPr>
        <w:t xml:space="preserve"> </w:t>
      </w:r>
    </w:p>
    <w:p w:rsidRPr="005B5E75" w:rsidR="00A43D23" w:rsidP="00A43D23" w:rsidRDefault="00A43D23" w14:paraId="331916E8" w14:textId="1E01F684">
      <w:pPr>
        <w:spacing w:before="120" w:after="120" w:line="276" w:lineRule="auto"/>
        <w:ind w:firstLine="709"/>
        <w:jc w:val="both"/>
        <w:rPr>
          <w:rFonts w:ascii="Arial" w:hAnsi="Arial" w:cs="Arial"/>
          <w:sz w:val="22"/>
          <w:lang w:val="es-ES"/>
        </w:rPr>
      </w:pPr>
      <w:r w:rsidRPr="005B5E75">
        <w:rPr>
          <w:rFonts w:ascii="Arial" w:hAnsi="Arial" w:cs="Arial"/>
          <w:sz w:val="22"/>
          <w:lang w:val="es-ES"/>
        </w:rPr>
        <w:t xml:space="preserve">En ambos casos el ingreso base de cotización al Sistema de Seguridad Social corresponde, como mínimo, el cuarenta por ciento </w:t>
      </w:r>
      <w:r w:rsidR="00F720E0">
        <w:rPr>
          <w:rFonts w:ascii="Arial" w:hAnsi="Arial" w:cs="Arial"/>
          <w:sz w:val="22"/>
          <w:lang w:val="es-ES"/>
        </w:rPr>
        <w:t>–</w:t>
      </w:r>
      <w:r w:rsidRPr="005B5E75">
        <w:rPr>
          <w:rFonts w:ascii="Arial" w:hAnsi="Arial" w:cs="Arial"/>
          <w:sz w:val="22"/>
          <w:lang w:val="es-ES"/>
        </w:rPr>
        <w:t>40%</w:t>
      </w:r>
      <w:r w:rsidR="00F720E0">
        <w:rPr>
          <w:rFonts w:ascii="Arial" w:hAnsi="Arial" w:cs="Arial"/>
          <w:sz w:val="22"/>
          <w:lang w:val="es-ES"/>
        </w:rPr>
        <w:t>–</w:t>
      </w:r>
      <w:r w:rsidRPr="005B5E75">
        <w:rPr>
          <w:rFonts w:ascii="Arial" w:hAnsi="Arial" w:cs="Arial"/>
          <w:sz w:val="22"/>
          <w:lang w:val="es-ES"/>
        </w:rPr>
        <w:t xml:space="preserve"> del valor mensualizado del contrato o de los ingresos. La diferencia es que en la segunda circunstancia no aplica el sistema de presunción de ingresos, ni la deducción de expensas y además los contratantes </w:t>
      </w:r>
      <w:r w:rsidRPr="005B5E75">
        <w:rPr>
          <w:rFonts w:ascii="Arial" w:hAnsi="Arial" w:cs="Arial"/>
          <w:sz w:val="22"/>
          <w:lang w:val="es-ES"/>
        </w:rPr>
        <w:lastRenderedPageBreak/>
        <w:t>–públicos y privados– deben retener directamente la cotización de los contratistas, a partir de la fecha y con la metodología que determine el Gobierno Nacional por vía reglamentaria.</w:t>
      </w:r>
    </w:p>
    <w:p w:rsidRPr="005B5E75" w:rsidR="00A43D23" w:rsidP="00A43D23" w:rsidRDefault="00A43D23" w14:paraId="64908F88" w14:textId="77777777">
      <w:pPr>
        <w:spacing w:before="120" w:after="120" w:line="276" w:lineRule="auto"/>
        <w:ind w:firstLine="709"/>
        <w:jc w:val="both"/>
        <w:rPr>
          <w:rFonts w:ascii="Arial" w:hAnsi="Arial" w:cs="Arial"/>
          <w:sz w:val="22"/>
          <w:lang w:val="es-ES"/>
        </w:rPr>
      </w:pPr>
      <w:r w:rsidRPr="005B5E75">
        <w:rPr>
          <w:rFonts w:ascii="Arial" w:hAnsi="Arial" w:cs="Arial"/>
          <w:sz w:val="22"/>
          <w:lang w:val="es-ES"/>
        </w:rPr>
        <w:t xml:space="preserve">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w:t>
      </w:r>
      <w:r>
        <w:rPr>
          <w:rFonts w:ascii="Arial" w:hAnsi="Arial" w:cs="Arial"/>
          <w:sz w:val="22"/>
          <w:lang w:val="es-ES"/>
        </w:rPr>
        <w:t>–</w:t>
      </w:r>
      <w:r w:rsidRPr="005B5E75">
        <w:rPr>
          <w:rFonts w:ascii="Arial" w:hAnsi="Arial" w:cs="Arial"/>
          <w:sz w:val="22"/>
          <w:lang w:val="es-ES"/>
        </w:rPr>
        <w:t>PILA</w:t>
      </w:r>
      <w:r>
        <w:rPr>
          <w:rFonts w:ascii="Arial" w:hAnsi="Arial" w:cs="Arial"/>
          <w:sz w:val="22"/>
          <w:lang w:val="es-ES"/>
        </w:rPr>
        <w:t>–</w:t>
      </w:r>
      <w:r w:rsidRPr="005B5E75">
        <w:rPr>
          <w:rFonts w:ascii="Arial" w:hAnsi="Arial" w:cs="Arial"/>
          <w:sz w:val="22"/>
          <w:lang w:val="es-ES"/>
        </w:rPr>
        <w:t xml:space="preserve"> y teniendo en cuenta los ingresos percibidos en el período de cotización, esto es, el mes anterior</w:t>
      </w:r>
      <w:r w:rsidRPr="005B5E75">
        <w:rPr>
          <w:rStyle w:val="Refdenotaalpie"/>
          <w:rFonts w:ascii="Arial" w:hAnsi="Arial" w:cs="Arial"/>
          <w:sz w:val="22"/>
          <w:lang w:val="es-ES"/>
        </w:rPr>
        <w:footnoteReference w:id="11"/>
      </w:r>
      <w:r w:rsidRPr="005B5E75">
        <w:rPr>
          <w:rFonts w:ascii="Arial" w:hAnsi="Arial" w:cs="Arial"/>
          <w:sz w:val="22"/>
          <w:lang w:val="es-ES"/>
        </w:rPr>
        <w:t xml:space="preserve">. Conforme a lo previsto, para pagar el mes de diciembre basta acreditar el pago de la seguridad social de noviembre. </w:t>
      </w:r>
    </w:p>
    <w:p w:rsidRPr="005B5E75" w:rsidR="00A43D23" w:rsidP="00A43D23" w:rsidRDefault="00A43D23" w14:paraId="18DF38AA" w14:textId="4C5AED96">
      <w:pPr>
        <w:spacing w:line="276" w:lineRule="auto"/>
        <w:ind w:firstLine="709"/>
        <w:jc w:val="both"/>
        <w:rPr>
          <w:rFonts w:ascii="Arial" w:hAnsi="Arial" w:cs="Arial"/>
          <w:sz w:val="22"/>
          <w:szCs w:val="20"/>
          <w:lang w:val="es-ES"/>
        </w:rPr>
      </w:pPr>
      <w:r w:rsidRPr="005B5E75">
        <w:rPr>
          <w:rFonts w:ascii="Arial" w:hAnsi="Arial" w:cs="Arial"/>
          <w:sz w:val="22"/>
          <w:szCs w:val="20"/>
          <w:lang w:val="es-ES"/>
        </w:rPr>
        <w:t xml:space="preserve">El </w:t>
      </w:r>
      <w:r w:rsidRPr="005B5E75">
        <w:rPr>
          <w:rFonts w:ascii="Arial" w:hAnsi="Arial" w:cs="Arial"/>
          <w:sz w:val="22"/>
          <w:lang w:val="es-ES"/>
        </w:rPr>
        <w:t>pago</w:t>
      </w:r>
      <w:r w:rsidRPr="005B5E75">
        <w:rPr>
          <w:rFonts w:ascii="Arial" w:hAnsi="Arial" w:cs="Arial"/>
          <w:sz w:val="22"/>
          <w:szCs w:val="20"/>
          <w:lang w:val="es-ES"/>
        </w:rPr>
        <w:t xml:space="preserve"> mes vencido se reiteró en el artículo 3.2.7.6 del citado Decreto, previendo que dicho ajuste empezaría a regir a partir del 1 de octubre de 2018. Así lo </w:t>
      </w:r>
      <w:r w:rsidR="00073515">
        <w:rPr>
          <w:rFonts w:ascii="Arial" w:hAnsi="Arial" w:cs="Arial"/>
          <w:sz w:val="22"/>
          <w:szCs w:val="20"/>
          <w:lang w:val="es-ES"/>
        </w:rPr>
        <w:t>estableció</w:t>
      </w:r>
      <w:r w:rsidRPr="005B5E75">
        <w:rPr>
          <w:rFonts w:ascii="Arial" w:hAnsi="Arial" w:cs="Arial"/>
          <w:sz w:val="22"/>
          <w:szCs w:val="20"/>
          <w:lang w:val="es-ES"/>
        </w:rPr>
        <w:t xml:space="preserve"> en los siguientes términos:</w:t>
      </w:r>
    </w:p>
    <w:p w:rsidRPr="005B5E75" w:rsidR="00A43D23" w:rsidP="00A43D23" w:rsidRDefault="00A43D23" w14:paraId="468D8695" w14:textId="77777777">
      <w:pPr>
        <w:jc w:val="both"/>
        <w:rPr>
          <w:rFonts w:ascii="Arial" w:hAnsi="Arial" w:cs="Arial"/>
          <w:sz w:val="22"/>
          <w:szCs w:val="20"/>
          <w:lang w:val="es-ES"/>
        </w:rPr>
      </w:pPr>
    </w:p>
    <w:p w:rsidRPr="005B5E75" w:rsidR="00A43D23" w:rsidP="00A43D23" w:rsidRDefault="00A43D23" w14:paraId="3E70DE24" w14:textId="77777777">
      <w:pPr>
        <w:ind w:left="709" w:right="709"/>
        <w:jc w:val="both"/>
        <w:rPr>
          <w:rFonts w:ascii="Arial" w:hAnsi="Arial" w:cs="Arial"/>
          <w:sz w:val="21"/>
          <w:szCs w:val="21"/>
          <w:lang w:val="es-ES"/>
        </w:rPr>
      </w:pPr>
      <w:r w:rsidRPr="005B5E75">
        <w:rPr>
          <w:rFonts w:ascii="Arial" w:hAnsi="Arial" w:cs="Arial"/>
          <w:sz w:val="21"/>
          <w:szCs w:val="21"/>
          <w:lang w:val="es-ES"/>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rsidRPr="004C5CA1" w:rsidR="00A43D23" w:rsidP="00A43D23" w:rsidRDefault="00A43D23" w14:paraId="0B06E705" w14:textId="77777777">
      <w:pPr>
        <w:spacing w:line="276" w:lineRule="auto"/>
        <w:ind w:right="333"/>
        <w:jc w:val="both"/>
        <w:rPr>
          <w:rFonts w:ascii="Arial" w:hAnsi="Arial" w:cs="Arial"/>
          <w:sz w:val="22"/>
          <w:szCs w:val="22"/>
          <w:lang w:val="es-ES"/>
        </w:rPr>
      </w:pPr>
    </w:p>
    <w:p w:rsidRPr="005B5E75" w:rsidR="00A43D23" w:rsidP="00A43D23" w:rsidRDefault="00A43D23" w14:paraId="22D9596D" w14:textId="77777777">
      <w:pPr>
        <w:spacing w:line="276" w:lineRule="auto"/>
        <w:ind w:firstLine="709"/>
        <w:jc w:val="both"/>
        <w:rPr>
          <w:rFonts w:ascii="Arial" w:hAnsi="Arial" w:cs="Arial"/>
          <w:sz w:val="22"/>
          <w:szCs w:val="20"/>
          <w:lang w:val="es-ES"/>
        </w:rPr>
      </w:pPr>
      <w:r w:rsidRPr="005B5E75">
        <w:rPr>
          <w:rFonts w:ascii="Arial" w:hAnsi="Arial" w:cs="Arial"/>
          <w:sz w:val="22"/>
          <w:szCs w:val="20"/>
          <w:lang w:val="es-ES"/>
        </w:rPr>
        <w:t xml:space="preserve">Lo anterior implica que el pago al Sistema de Seguridad Social Integral, como se observa en la norma transcrita, es mes vencido. </w:t>
      </w:r>
    </w:p>
    <w:p w:rsidRPr="005B5E75" w:rsidR="00A43D23" w:rsidP="00A43D23" w:rsidRDefault="00F720E0" w14:paraId="07485D54" w14:textId="57595FD8">
      <w:pPr>
        <w:spacing w:before="120" w:after="120" w:line="276" w:lineRule="auto"/>
        <w:ind w:firstLine="709"/>
        <w:jc w:val="both"/>
        <w:rPr>
          <w:rFonts w:ascii="Arial" w:hAnsi="Arial" w:cs="Arial"/>
          <w:sz w:val="22"/>
          <w:szCs w:val="20"/>
          <w:lang w:val="es-ES"/>
        </w:rPr>
      </w:pPr>
      <w:r>
        <w:rPr>
          <w:rFonts w:ascii="Arial" w:hAnsi="Arial" w:cs="Arial"/>
          <w:sz w:val="22"/>
          <w:szCs w:val="20"/>
          <w:lang w:val="es-ES"/>
        </w:rPr>
        <w:t>Además</w:t>
      </w:r>
      <w:r w:rsidRPr="005B5E75" w:rsidR="00A43D23">
        <w:rPr>
          <w:rFonts w:ascii="Arial" w:hAnsi="Arial" w:cs="Arial"/>
          <w:sz w:val="22"/>
          <w:szCs w:val="20"/>
          <w:lang w:val="es-ES"/>
        </w:rPr>
        <w:t xml:space="preserve">,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rsidRPr="005B5E75" w:rsidR="00A43D23" w:rsidP="00A43D23" w:rsidRDefault="00A43D23" w14:paraId="7E3111DD" w14:textId="77777777">
      <w:pPr>
        <w:spacing w:before="120" w:after="120" w:line="276" w:lineRule="auto"/>
        <w:ind w:firstLine="709"/>
        <w:jc w:val="both"/>
        <w:rPr>
          <w:rFonts w:ascii="Arial" w:hAnsi="Arial" w:cs="Arial"/>
          <w:sz w:val="22"/>
          <w:lang w:val="es-ES"/>
        </w:rPr>
      </w:pPr>
      <w:r w:rsidRPr="005B5E75">
        <w:rPr>
          <w:rFonts w:ascii="Arial" w:hAnsi="Arial" w:cs="Arial"/>
          <w:sz w:val="22"/>
          <w:szCs w:val="20"/>
          <w:lang w:val="es-ES"/>
        </w:rPr>
        <w:t>Posteriormente, la Ley 1955 de 2019</w:t>
      </w:r>
      <w:r w:rsidRPr="005B5E75">
        <w:rPr>
          <w:rFonts w:ascii="Arial" w:hAnsi="Arial" w:cs="Arial"/>
          <w:sz w:val="22"/>
          <w:lang w:val="es-ES"/>
        </w:rPr>
        <w:t xml:space="preserve">, en el artículo 336, dejó sin efectos el artículo 135 de la Ley 1735 de 2015 y reguló el tema en el artículo 244, señalando </w:t>
      </w:r>
      <w:r w:rsidRPr="005B5E75">
        <w:rPr>
          <w:rFonts w:ascii="Arial" w:hAnsi="Arial" w:cs="Arial"/>
          <w:sz w:val="22"/>
          <w:szCs w:val="20"/>
          <w:lang w:val="es-ES"/>
        </w:rPr>
        <w:t xml:space="preserve">que los trabajadores independientes con ingresos superiores a 1 salario mínimo legal mensual </w:t>
      </w:r>
      <w:r w:rsidRPr="005B5E75">
        <w:rPr>
          <w:rFonts w:ascii="Arial" w:hAnsi="Arial" w:cs="Arial"/>
          <w:sz w:val="22"/>
          <w:szCs w:val="20"/>
          <w:lang w:val="es-ES"/>
        </w:rPr>
        <w:lastRenderedPageBreak/>
        <w:t xml:space="preserve">vigente, que celebren contratos de prestación de servicios personales, cotizarán mes vencido al Sistema de Seguridad Social Integral sobre una base mínima del 40% del valor mensual del contrato, sin incluir el valor del Impuesto al Valor Agregado </w:t>
      </w:r>
      <w:r>
        <w:rPr>
          <w:rFonts w:ascii="Arial" w:hAnsi="Arial" w:cs="Arial"/>
          <w:sz w:val="22"/>
          <w:szCs w:val="20"/>
          <w:lang w:val="es-ES"/>
        </w:rPr>
        <w:t>–</w:t>
      </w:r>
      <w:r w:rsidRPr="005B5E75">
        <w:rPr>
          <w:rFonts w:ascii="Arial" w:hAnsi="Arial" w:cs="Arial"/>
          <w:sz w:val="22"/>
          <w:szCs w:val="20"/>
          <w:lang w:val="es-ES"/>
        </w:rPr>
        <w:t>IVA</w:t>
      </w:r>
      <w:r>
        <w:rPr>
          <w:rFonts w:ascii="Arial" w:hAnsi="Arial" w:cs="Arial"/>
          <w:sz w:val="22"/>
          <w:szCs w:val="20"/>
          <w:lang w:val="es-ES"/>
        </w:rPr>
        <w:t>–</w:t>
      </w:r>
      <w:r w:rsidRPr="005B5E75">
        <w:rPr>
          <w:rStyle w:val="Refdenotaalpie"/>
          <w:rFonts w:ascii="Arial" w:hAnsi="Arial" w:cs="Arial"/>
          <w:sz w:val="22"/>
          <w:szCs w:val="20"/>
          <w:lang w:val="es-ES"/>
        </w:rPr>
        <w:footnoteReference w:id="12"/>
      </w:r>
      <w:r w:rsidRPr="005B5E75">
        <w:rPr>
          <w:rFonts w:ascii="Arial" w:hAnsi="Arial" w:cs="Arial"/>
          <w:sz w:val="22"/>
          <w:szCs w:val="20"/>
          <w:lang w:val="es-ES"/>
        </w:rPr>
        <w:t>.</w:t>
      </w:r>
    </w:p>
    <w:p w:rsidRPr="005B5E75" w:rsidR="00A43D23" w:rsidP="00A43D23" w:rsidRDefault="00A43D23" w14:paraId="3B874DE3" w14:textId="22ABB14B">
      <w:pPr>
        <w:spacing w:line="276" w:lineRule="auto"/>
        <w:ind w:firstLine="709"/>
        <w:jc w:val="both"/>
        <w:rPr>
          <w:rFonts w:ascii="Arial" w:hAnsi="Arial" w:cs="Arial"/>
          <w:sz w:val="22"/>
          <w:lang w:val="es-ES"/>
        </w:rPr>
      </w:pPr>
      <w:r w:rsidRPr="005B5E75">
        <w:rPr>
          <w:rFonts w:ascii="Arial" w:hAnsi="Arial" w:cs="Arial"/>
          <w:sz w:val="22"/>
          <w:lang w:val="es-ES"/>
        </w:rPr>
        <w:t xml:space="preserve">El cambio principal que hizo la Ley 1955 de 2019 fue que el aporte y recaudo al Sistema de Seguridad Social Integral ya no lo realizará el contratante </w:t>
      </w:r>
      <w:r>
        <w:rPr>
          <w:rFonts w:ascii="Arial" w:hAnsi="Arial" w:cs="Arial"/>
          <w:sz w:val="22"/>
          <w:lang w:val="es-ES"/>
        </w:rPr>
        <w:t>–</w:t>
      </w:r>
      <w:r w:rsidRPr="005B5E75">
        <w:rPr>
          <w:rFonts w:ascii="Arial" w:hAnsi="Arial" w:cs="Arial"/>
          <w:sz w:val="22"/>
          <w:lang w:val="es-ES"/>
        </w:rPr>
        <w:t>público, privado y/o mixto</w:t>
      </w:r>
      <w:r>
        <w:rPr>
          <w:rFonts w:ascii="Arial" w:hAnsi="Arial" w:cs="Arial"/>
          <w:sz w:val="22"/>
          <w:lang w:val="es-ES"/>
        </w:rPr>
        <w:t>–</w:t>
      </w:r>
      <w:r w:rsidRPr="005B5E75">
        <w:rPr>
          <w:rFonts w:ascii="Arial" w:hAnsi="Arial" w:cs="Arial"/>
          <w:sz w:val="22"/>
          <w:lang w:val="es-ES"/>
        </w:rPr>
        <w:t>, sino directamente el trabajador independiente. Como la Ley 1955 de 2019 derogó el artículo 135 de la Ley 1753 de 2015, entonces dejó sin efectos el Decreto 1273 de 2018</w:t>
      </w:r>
      <w:r w:rsidR="00073515">
        <w:rPr>
          <w:rFonts w:ascii="Arial" w:hAnsi="Arial" w:cs="Arial"/>
          <w:sz w:val="22"/>
          <w:lang w:val="es-ES"/>
        </w:rPr>
        <w:t>.</w:t>
      </w:r>
      <w:r w:rsidRPr="005B5E75">
        <w:rPr>
          <w:rFonts w:ascii="Arial" w:hAnsi="Arial" w:cs="Arial"/>
          <w:sz w:val="22"/>
          <w:lang w:val="es-ES"/>
        </w:rPr>
        <w:t xml:space="preserve"> </w:t>
      </w:r>
      <w:r w:rsidR="00073515">
        <w:rPr>
          <w:rFonts w:ascii="Arial" w:hAnsi="Arial" w:cs="Arial"/>
          <w:sz w:val="22"/>
          <w:lang w:val="es-ES"/>
        </w:rPr>
        <w:t>P</w:t>
      </w:r>
      <w:r w:rsidRPr="005B5E75">
        <w:rPr>
          <w:rFonts w:ascii="Arial" w:hAnsi="Arial" w:cs="Arial"/>
          <w:sz w:val="22"/>
          <w:lang w:val="es-ES"/>
        </w:rPr>
        <w:t>or lo tanto, la retención del pago y el giro al Sistema de Seguridad Social Integral por parte de los contratantes públicos y privados ya no será posible. Así lo determinó el Ministerio de Trabajo, mediante el concepto con radicado No.</w:t>
      </w:r>
      <w:r w:rsidRPr="005B5E75">
        <w:rPr>
          <w:rFonts w:ascii="Arial" w:hAnsi="Arial" w:cs="Arial"/>
          <w:lang w:val="es-ES"/>
        </w:rPr>
        <w:t xml:space="preserve"> </w:t>
      </w:r>
      <w:r w:rsidRPr="005B5E75">
        <w:rPr>
          <w:rFonts w:ascii="Arial" w:hAnsi="Arial" w:cs="Arial"/>
          <w:sz w:val="22"/>
          <w:lang w:val="es-ES"/>
        </w:rPr>
        <w:t xml:space="preserve">08SE2019120300000025234 del 28 de junio de 2019, en los siguientes términos: </w:t>
      </w:r>
    </w:p>
    <w:p w:rsidRPr="005B5E75" w:rsidR="00A43D23" w:rsidP="00A43D23" w:rsidRDefault="00A43D23" w14:paraId="50C3C805" w14:textId="77777777">
      <w:pPr>
        <w:spacing w:line="276" w:lineRule="auto"/>
        <w:jc w:val="both"/>
        <w:rPr>
          <w:rFonts w:ascii="Arial" w:hAnsi="Arial" w:cs="Arial"/>
          <w:sz w:val="22"/>
          <w:lang w:val="es-ES"/>
        </w:rPr>
      </w:pPr>
    </w:p>
    <w:p w:rsidRPr="005B5E75" w:rsidR="00A43D23" w:rsidP="004C5CA1" w:rsidRDefault="00A43D23" w14:paraId="1EA2CD6C" w14:textId="2FBD61C3">
      <w:pPr>
        <w:spacing w:after="120"/>
        <w:ind w:left="709" w:right="709"/>
        <w:jc w:val="both"/>
        <w:rPr>
          <w:rFonts w:ascii="Arial" w:hAnsi="Arial" w:cs="Arial"/>
          <w:sz w:val="21"/>
          <w:szCs w:val="21"/>
          <w:lang w:val="es-ES"/>
        </w:rPr>
      </w:pPr>
      <w:r w:rsidRPr="005B5E75">
        <w:rPr>
          <w:rFonts w:ascii="Arial" w:hAnsi="Arial" w:cs="Arial"/>
          <w:sz w:val="21"/>
          <w:szCs w:val="21"/>
          <w:lang w:val="es-ES"/>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rsidRPr="005B5E75" w:rsidR="00A43D23" w:rsidP="004C5CA1" w:rsidRDefault="00A43D23" w14:paraId="746BEF1A" w14:textId="0F5C55AD">
      <w:pPr>
        <w:spacing w:after="120"/>
        <w:ind w:left="709" w:right="709"/>
        <w:jc w:val="both"/>
        <w:rPr>
          <w:rFonts w:ascii="Arial" w:hAnsi="Arial" w:cs="Arial"/>
          <w:sz w:val="21"/>
          <w:szCs w:val="21"/>
          <w:lang w:val="es-ES"/>
        </w:rPr>
      </w:pPr>
      <w:r w:rsidRPr="005B5E75">
        <w:rPr>
          <w:rFonts w:ascii="Arial" w:hAnsi="Arial" w:cs="Arial"/>
          <w:sz w:val="21"/>
          <w:szCs w:val="21"/>
          <w:lang w:val="es-ES"/>
        </w:rPr>
        <w:t xml:space="preserve">No obstante, ciertamente, mediante la Ley 1955 del 25 de mayo 2019, fue expedido el Plan Nacional de Desarrollo 2018- 2022 «Pacto por Colombia, Pacto </w:t>
      </w:r>
      <w:r w:rsidRPr="005B5E75">
        <w:rPr>
          <w:rFonts w:ascii="Arial" w:hAnsi="Arial" w:cs="Arial"/>
          <w:sz w:val="21"/>
          <w:szCs w:val="21"/>
          <w:lang w:val="es-ES"/>
        </w:rPr>
        <w:lastRenderedPageBreak/>
        <w:t xml:space="preserve">por la Equidad», como ya lo citamos y en su Artículo 336, deroga en forma expresamente (sic) el Artículo 135 de la Ley 1753 de 2015. En el sentido del ingreso base de cotización y la retención, dejando incólume el pago de mes vencido. </w:t>
      </w:r>
    </w:p>
    <w:p w:rsidRPr="005B5E75" w:rsidR="00A43D23" w:rsidP="00A43D23" w:rsidRDefault="00A43D23" w14:paraId="6BC0B799" w14:textId="77777777">
      <w:pPr>
        <w:ind w:left="709" w:right="709"/>
        <w:jc w:val="both"/>
        <w:rPr>
          <w:rFonts w:ascii="Arial" w:hAnsi="Arial" w:cs="Arial"/>
          <w:sz w:val="21"/>
          <w:szCs w:val="21"/>
          <w:lang w:val="es-ES"/>
        </w:rPr>
      </w:pPr>
      <w:r w:rsidRPr="005B5E75">
        <w:rPr>
          <w:rFonts w:ascii="Arial" w:hAnsi="Arial" w:cs="Arial"/>
          <w:sz w:val="21"/>
          <w:szCs w:val="21"/>
          <w:lang w:val="es-ES"/>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rsidRPr="005B5E75" w:rsidR="00A43D23" w:rsidP="00A43D23" w:rsidRDefault="00A43D23" w14:paraId="5B504BDC" w14:textId="77777777">
      <w:pPr>
        <w:ind w:right="709"/>
        <w:jc w:val="both"/>
        <w:rPr>
          <w:rFonts w:ascii="Arial" w:hAnsi="Arial" w:cs="Arial"/>
          <w:sz w:val="21"/>
          <w:szCs w:val="21"/>
          <w:lang w:val="es-ES"/>
        </w:rPr>
      </w:pPr>
    </w:p>
    <w:p w:rsidRPr="005B5E75" w:rsidR="00A43D23" w:rsidP="00A43D23" w:rsidRDefault="00A43D23" w14:paraId="327B2AB0" w14:textId="77777777">
      <w:pPr>
        <w:spacing w:line="276" w:lineRule="auto"/>
        <w:ind w:firstLine="709"/>
        <w:jc w:val="both"/>
        <w:rPr>
          <w:rFonts w:ascii="Arial" w:hAnsi="Arial" w:cs="Arial"/>
          <w:sz w:val="22"/>
          <w:lang w:val="es-ES"/>
        </w:rPr>
      </w:pPr>
      <w:r w:rsidRPr="005B5E75">
        <w:rPr>
          <w:rFonts w:ascii="Arial" w:hAnsi="Arial" w:cs="Arial"/>
          <w:sz w:val="22"/>
          <w:lang w:val="es-ES"/>
        </w:rPr>
        <w:t>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1 salario mínimo legal mensual vigente, ii) la base mínima de cotización es el 40% del valor mensual</w:t>
      </w:r>
      <w:r>
        <w:rPr>
          <w:rFonts w:ascii="Arial" w:hAnsi="Arial" w:cs="Arial"/>
          <w:sz w:val="22"/>
          <w:lang w:val="es-ES"/>
        </w:rPr>
        <w:t xml:space="preserve"> </w:t>
      </w:r>
      <w:r w:rsidRPr="005B5E75">
        <w:rPr>
          <w:rFonts w:ascii="Arial" w:hAnsi="Arial" w:cs="Arial"/>
          <w:sz w:val="22"/>
          <w:lang w:val="es-ES"/>
        </w:rPr>
        <w:t>de ingresos o del contrato, iii) la cotización se realizará mes vencido, y finalmente, iv) el pago lo efectuará directamente el trabajador independiente.</w:t>
      </w:r>
    </w:p>
    <w:p w:rsidRPr="005B5E75" w:rsidR="00A43D23" w:rsidP="00A43D23" w:rsidRDefault="00A43D23" w14:paraId="3A216DC4" w14:textId="77777777">
      <w:pPr>
        <w:spacing w:before="120" w:after="120" w:line="276" w:lineRule="auto"/>
        <w:ind w:firstLine="709"/>
        <w:jc w:val="both"/>
        <w:rPr>
          <w:rFonts w:ascii="Arial" w:hAnsi="Arial" w:cs="Arial"/>
          <w:sz w:val="22"/>
          <w:szCs w:val="20"/>
          <w:lang w:val="es-ES"/>
        </w:rPr>
      </w:pPr>
      <w:r w:rsidRPr="005B5E75">
        <w:rPr>
          <w:rFonts w:ascii="Arial" w:hAnsi="Arial" w:cs="Arial"/>
          <w:sz w:val="22"/>
          <w:szCs w:val="20"/>
          <w:lang w:val="es-ES"/>
        </w:rPr>
        <w:t>Si bien recientemente la Corte Constitucional declaró inexequible el mencionado artículo 244 de la Ley 1955 de 2019, por infringir el principio de unidad de materia, difirió los efectos de esta decisión hasta el vencimiento de las dos legislaturas posteriores a la notificación del fallo</w:t>
      </w:r>
      <w:r w:rsidRPr="005B5E75">
        <w:rPr>
          <w:rStyle w:val="Refdenotaalpie"/>
          <w:rFonts w:ascii="Arial" w:hAnsi="Arial" w:cs="Arial"/>
          <w:sz w:val="22"/>
          <w:szCs w:val="20"/>
          <w:lang w:val="es-ES"/>
        </w:rPr>
        <w:footnoteReference w:id="13"/>
      </w:r>
      <w:r w:rsidRPr="005B5E75">
        <w:rPr>
          <w:rFonts w:ascii="Arial" w:hAnsi="Arial" w:cs="Arial"/>
          <w:sz w:val="22"/>
          <w:szCs w:val="20"/>
          <w:lang w:val="es-ES"/>
        </w:rPr>
        <w:t>. En consecuencia, dicho artículo se encuentra vigente.</w:t>
      </w:r>
    </w:p>
    <w:p w:rsidRPr="005B5E75" w:rsidR="00A43D23" w:rsidP="00A43D23" w:rsidRDefault="00A43D23" w14:paraId="2F7CCB26" w14:textId="7DC3AB45">
      <w:pPr>
        <w:spacing w:before="120" w:after="120" w:line="276" w:lineRule="auto"/>
        <w:ind w:firstLine="709"/>
        <w:jc w:val="both"/>
        <w:rPr>
          <w:rFonts w:ascii="Arial" w:hAnsi="Arial" w:eastAsia="Calibri" w:cs="Arial"/>
          <w:sz w:val="22"/>
          <w:lang w:val="es-ES"/>
        </w:rPr>
      </w:pPr>
      <w:r w:rsidRPr="005B5E75">
        <w:rPr>
          <w:rFonts w:ascii="Arial" w:hAnsi="Arial" w:eastAsia="Calibri" w:cs="Arial"/>
          <w:sz w:val="22"/>
          <w:lang w:val="es-ES"/>
        </w:rPr>
        <w:t>Teniendo en cuenta lo dicho anteriormente, es deber de las entidades estatales, en relación con los aportes del contratista al Sistema de Seguridad Social Integral,  «verificar y dejar constancia del cumplimiento de las obligaciones del contratista frente a los aportes mencionados durante toda su vigencia»,</w:t>
      </w:r>
      <w:r w:rsidR="000224C4">
        <w:rPr>
          <w:rFonts w:ascii="Arial" w:hAnsi="Arial" w:eastAsia="Calibri" w:cs="Arial"/>
          <w:sz w:val="22"/>
          <w:lang w:val="es-ES"/>
        </w:rPr>
        <w:t xml:space="preserve"> al momento de efectuar los pagos y de suscribir la liquidación del contrato en aquellos casos en que aplique,</w:t>
      </w:r>
      <w:r w:rsidRPr="005B5E75">
        <w:rPr>
          <w:rFonts w:ascii="Arial" w:hAnsi="Arial" w:eastAsia="Calibri" w:cs="Arial"/>
          <w:sz w:val="22"/>
          <w:lang w:val="es-ES"/>
        </w:rPr>
        <w:t xml:space="preserve"> según el artículo 50 de la Ley 789 de 2002. Es decir, para el último pago y para la liquidar el contrato, cuando este aplique, las entidades estatales deben verificar que el contratista se encuentre al día en el pago de sus aportes al Sistema de Seguridad Social Integral, «durante toda su vigencia», o sea, durante toda la vigencia del contrato, pues así lo exige el mencionado artículo. </w:t>
      </w:r>
      <w:r w:rsidR="000224C4">
        <w:rPr>
          <w:rFonts w:ascii="Arial" w:hAnsi="Arial" w:eastAsia="Calibri" w:cs="Arial"/>
          <w:sz w:val="22"/>
          <w:lang w:val="es-ES"/>
        </w:rPr>
        <w:t>En este punto surge la siguiente pregunta</w:t>
      </w:r>
      <w:r w:rsidR="000224C4">
        <w:rPr>
          <w:rFonts w:ascii="Arial" w:hAnsi="Arial" w:eastAsia="Calibri" w:cs="Arial"/>
          <w:sz w:val="22"/>
        </w:rPr>
        <w:t>:</w:t>
      </w:r>
      <w:r w:rsidRPr="005B5E75">
        <w:rPr>
          <w:rFonts w:ascii="Arial" w:hAnsi="Arial" w:eastAsia="Calibri" w:cs="Arial"/>
          <w:sz w:val="22"/>
          <w:lang w:val="es-ES"/>
        </w:rPr>
        <w:t xml:space="preserve"> ¿qué se entiende por </w:t>
      </w:r>
      <w:r w:rsidRPr="005B5E75">
        <w:rPr>
          <w:rFonts w:ascii="Arial" w:hAnsi="Arial" w:eastAsia="Calibri" w:cs="Arial"/>
          <w:i/>
          <w:iCs/>
          <w:sz w:val="22"/>
          <w:lang w:val="es-ES"/>
        </w:rPr>
        <w:t>vigencia</w:t>
      </w:r>
      <w:r w:rsidRPr="005B5E75">
        <w:rPr>
          <w:rFonts w:ascii="Arial" w:hAnsi="Arial" w:eastAsia="Calibri" w:cs="Arial"/>
          <w:sz w:val="22"/>
          <w:lang w:val="es-ES"/>
        </w:rPr>
        <w:t xml:space="preserve"> del contrato?</w:t>
      </w:r>
      <w:r w:rsidR="000224C4">
        <w:rPr>
          <w:rFonts w:ascii="Arial" w:hAnsi="Arial" w:eastAsia="Calibri" w:cs="Arial"/>
          <w:sz w:val="22"/>
          <w:lang w:val="es-ES"/>
        </w:rPr>
        <w:t xml:space="preserve"> C</w:t>
      </w:r>
      <w:r w:rsidRPr="005B5E75">
        <w:rPr>
          <w:rFonts w:ascii="Arial" w:hAnsi="Arial" w:eastAsia="Calibri" w:cs="Arial"/>
          <w:sz w:val="22"/>
          <w:lang w:val="es-ES"/>
        </w:rPr>
        <w:t xml:space="preserve">oncretamente, ¿qué alcance debe otorgársele a esta expresión, en el contexto del deber de verificación, que ostentan las entidades estatales, del cumplimiento de las obligaciones </w:t>
      </w:r>
      <w:r w:rsidRPr="005B5E75">
        <w:rPr>
          <w:rFonts w:ascii="Arial" w:hAnsi="Arial" w:eastAsia="Calibri" w:cs="Arial"/>
          <w:sz w:val="22"/>
          <w:lang w:val="es-ES"/>
        </w:rPr>
        <w:lastRenderedPageBreak/>
        <w:t xml:space="preserve">del contratista frente al Sistema de Seguridad Social Integral, en el momento del último pago y de la liquidación del contrato? </w:t>
      </w:r>
    </w:p>
    <w:p w:rsidRPr="005B5E75" w:rsidR="00A43D23" w:rsidP="00A43D23" w:rsidRDefault="00A43D23" w14:paraId="618A4D90" w14:textId="30763CBF">
      <w:pPr>
        <w:spacing w:before="120" w:after="120" w:line="276" w:lineRule="auto"/>
        <w:ind w:firstLine="709"/>
        <w:jc w:val="both"/>
        <w:rPr>
          <w:rFonts w:ascii="Arial" w:hAnsi="Arial" w:eastAsia="Calibri" w:cs="Arial"/>
          <w:sz w:val="22"/>
          <w:lang w:val="es-ES"/>
        </w:rPr>
      </w:pPr>
      <w:r w:rsidRPr="005B5E75">
        <w:rPr>
          <w:rFonts w:ascii="Arial" w:hAnsi="Arial" w:eastAsia="Calibri" w:cs="Arial"/>
          <w:sz w:val="22"/>
          <w:lang w:val="es-ES"/>
        </w:rPr>
        <w:t xml:space="preserve">La vigencia del contrato se define como el período en el que existen obligaciones derivadas de aquel. En tal sentido, </w:t>
      </w:r>
      <w:r w:rsidRPr="005B5E75">
        <w:rPr>
          <w:rFonts w:ascii="Arial" w:hAnsi="Arial" w:eastAsia="Calibri" w:cs="Arial"/>
          <w:i/>
          <w:sz w:val="22"/>
          <w:lang w:val="es-ES"/>
        </w:rPr>
        <w:t>plazo</w:t>
      </w:r>
      <w:r w:rsidRPr="005B5E75">
        <w:rPr>
          <w:rFonts w:ascii="Arial" w:hAnsi="Arial" w:eastAsia="Calibri" w:cs="Arial"/>
          <w:sz w:val="22"/>
          <w:lang w:val="es-ES"/>
        </w:rPr>
        <w:t xml:space="preserve"> del contrato no es sinónimo de su </w:t>
      </w:r>
      <w:r w:rsidRPr="005B5E75">
        <w:rPr>
          <w:rFonts w:ascii="Arial" w:hAnsi="Arial" w:eastAsia="Calibri" w:cs="Arial"/>
          <w:i/>
          <w:sz w:val="22"/>
          <w:lang w:val="es-ES"/>
        </w:rPr>
        <w:t>vigencia</w:t>
      </w:r>
      <w:r w:rsidRPr="005B5E75">
        <w:rPr>
          <w:rFonts w:ascii="Arial" w:hAnsi="Arial" w:eastAsia="Calibri" w:cs="Arial"/>
          <w:sz w:val="22"/>
          <w:lang w:val="es-ES"/>
        </w:rPr>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5B5E75">
        <w:rPr>
          <w:rStyle w:val="Refdenotaalpie"/>
          <w:rFonts w:ascii="Arial" w:hAnsi="Arial" w:eastAsia="Calibri" w:cs="Arial"/>
          <w:sz w:val="22"/>
          <w:lang w:val="es-ES"/>
        </w:rPr>
        <w:footnoteReference w:id="14"/>
      </w:r>
      <w:r w:rsidRPr="005B5E75">
        <w:rPr>
          <w:rFonts w:ascii="Arial" w:hAnsi="Arial" w:eastAsia="Calibri" w:cs="Arial"/>
          <w:sz w:val="22"/>
          <w:lang w:val="es-ES"/>
        </w:rPr>
        <w:t>– o bien porque, contractual o normativamente, han permanecido obligaciones que deben cumplirse después de la finalización del plazo contractual –o sea, después de lo que suele llamarse la «terminación» del contrato–</w:t>
      </w:r>
      <w:r w:rsidR="0064626B">
        <w:rPr>
          <w:rFonts w:ascii="Arial" w:hAnsi="Arial" w:eastAsia="Calibri" w:cs="Arial"/>
          <w:sz w:val="22"/>
          <w:lang w:val="es-ES"/>
        </w:rPr>
        <w:t>. E</w:t>
      </w:r>
      <w:r w:rsidRPr="005B5E75">
        <w:rPr>
          <w:rFonts w:ascii="Arial" w:hAnsi="Arial" w:eastAsia="Calibri" w:cs="Arial"/>
          <w:sz w:val="22"/>
          <w:lang w:val="es-ES"/>
        </w:rPr>
        <w:t>jemplo</w:t>
      </w:r>
      <w:r w:rsidR="0064626B">
        <w:rPr>
          <w:rFonts w:ascii="Arial" w:hAnsi="Arial" w:eastAsia="Calibri" w:cs="Arial"/>
          <w:sz w:val="22"/>
          <w:lang w:val="es-ES"/>
        </w:rPr>
        <w:t>s de lo anterior se concretan al</w:t>
      </w:r>
      <w:r w:rsidRPr="005B5E75">
        <w:rPr>
          <w:rFonts w:ascii="Arial" w:hAnsi="Arial" w:eastAsia="Calibri" w:cs="Arial"/>
          <w:sz w:val="22"/>
          <w:lang w:val="es-ES"/>
        </w:rPr>
        <w:t xml:space="preserve"> suscribir la liquidación –en ciertos eventos–, efectuar el pago final, actualizar el valor y la vigencia de las garantías, suscribir el acta de recibo final –cuando así se haya pactado– o hacer los aportes a la seguridad social sobre los ingresos del mes anterior</w:t>
      </w:r>
      <w:r w:rsidRPr="005B5E75">
        <w:rPr>
          <w:rStyle w:val="Refdenotaalpie"/>
          <w:rFonts w:ascii="Arial" w:hAnsi="Arial" w:eastAsia="Calibri" w:cs="Arial"/>
          <w:sz w:val="22"/>
          <w:lang w:val="es-ES"/>
        </w:rPr>
        <w:footnoteReference w:id="15"/>
      </w:r>
      <w:r w:rsidRPr="005B5E75">
        <w:rPr>
          <w:rFonts w:ascii="Arial" w:hAnsi="Arial" w:eastAsia="Calibri" w:cs="Arial"/>
          <w:sz w:val="22"/>
          <w:lang w:val="es-ES"/>
        </w:rPr>
        <w:t>.</w:t>
      </w:r>
    </w:p>
    <w:p w:rsidRPr="005B5E75" w:rsidR="00A43D23" w:rsidP="00A43D23" w:rsidRDefault="00A43D23" w14:paraId="11CE8893" w14:textId="77777777">
      <w:pPr>
        <w:spacing w:line="276" w:lineRule="auto"/>
        <w:ind w:firstLine="709"/>
        <w:jc w:val="both"/>
        <w:rPr>
          <w:rFonts w:ascii="Arial" w:hAnsi="Arial" w:eastAsia="Calibri" w:cs="Arial"/>
          <w:sz w:val="22"/>
          <w:lang w:val="es-ES"/>
        </w:rPr>
      </w:pPr>
      <w:r w:rsidRPr="005B5E75">
        <w:rPr>
          <w:rFonts w:ascii="Arial" w:hAnsi="Arial" w:eastAsia="Calibri" w:cs="Arial"/>
          <w:sz w:val="22"/>
          <w:lang w:val="es-ES"/>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rsidRPr="005B5E75" w:rsidR="00A43D23" w:rsidP="00A43D23" w:rsidRDefault="00A43D23" w14:paraId="3B5A1B29" w14:textId="77777777">
      <w:pPr>
        <w:spacing w:line="276" w:lineRule="auto"/>
        <w:ind w:firstLine="709"/>
        <w:jc w:val="both"/>
        <w:rPr>
          <w:rFonts w:ascii="Arial" w:hAnsi="Arial" w:eastAsia="Calibri" w:cs="Arial"/>
          <w:sz w:val="22"/>
          <w:lang w:val="es-ES"/>
        </w:rPr>
      </w:pPr>
    </w:p>
    <w:p w:rsidRPr="005B5E75" w:rsidR="00A43D23" w:rsidP="004C5CA1" w:rsidRDefault="00A43D23" w14:paraId="07E471CD" w14:textId="43053245">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Toda obligación puede extinguirse por una convención en que las partes interesadas, siendo capaces de disponer libremente de lo suyo, consientan en darla por nula. </w:t>
      </w:r>
    </w:p>
    <w:p w:rsidRPr="005B5E75" w:rsidR="00A43D23" w:rsidP="004C5CA1" w:rsidRDefault="00A43D23" w14:paraId="12DCA863" w14:textId="39665476">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Las obligaciones se extinguen además en todo o en parte: </w:t>
      </w:r>
    </w:p>
    <w:p w:rsidRPr="005B5E75" w:rsidR="00A43D23" w:rsidP="004C5CA1" w:rsidRDefault="00A43D23" w14:paraId="1982F050" w14:textId="25C31314">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lastRenderedPageBreak/>
        <w:t xml:space="preserve">1° Por la solución o pago efectivo; </w:t>
      </w:r>
    </w:p>
    <w:p w:rsidRPr="005B5E75" w:rsidR="00A43D23" w:rsidP="004C5CA1" w:rsidRDefault="00A43D23" w14:paraId="610116C0" w14:textId="47BFA26F">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2° Por la novación; </w:t>
      </w:r>
    </w:p>
    <w:p w:rsidRPr="005B5E75" w:rsidR="00A43D23" w:rsidP="004C5CA1" w:rsidRDefault="00A43D23" w14:paraId="01D2AF93"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3° Por la transacción; </w:t>
      </w:r>
    </w:p>
    <w:p w:rsidRPr="005B5E75" w:rsidR="00A43D23" w:rsidP="004C5CA1" w:rsidRDefault="00A43D23" w14:paraId="2B370932"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4° Por la remisión; </w:t>
      </w:r>
    </w:p>
    <w:p w:rsidRPr="005B5E75" w:rsidR="00A43D23" w:rsidP="004C5CA1" w:rsidRDefault="00A43D23" w14:paraId="3B4ABCDB"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5° Por la compensación; </w:t>
      </w:r>
    </w:p>
    <w:p w:rsidRPr="005B5E75" w:rsidR="00A43D23" w:rsidP="004C5CA1" w:rsidRDefault="00A43D23" w14:paraId="423E0254"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6° Por la confusión; </w:t>
      </w:r>
    </w:p>
    <w:p w:rsidRPr="005B5E75" w:rsidR="00A43D23" w:rsidP="004C5CA1" w:rsidRDefault="00A43D23" w14:paraId="0169BF03"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7° Por la pérdida de la cosa que se debe; </w:t>
      </w:r>
    </w:p>
    <w:p w:rsidRPr="005B5E75" w:rsidR="00A43D23" w:rsidP="004C5CA1" w:rsidRDefault="00A43D23" w14:paraId="10CE1A68"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8° Por la declaración de nulidad o por la rescisión;</w:t>
      </w:r>
    </w:p>
    <w:p w:rsidRPr="005B5E75" w:rsidR="00A43D23" w:rsidP="004C5CA1" w:rsidRDefault="00A43D23" w14:paraId="671B1173" w14:textId="77777777">
      <w:pPr>
        <w:spacing w:after="120"/>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9° Por el evento de la condición resolutoria; </w:t>
      </w:r>
    </w:p>
    <w:p w:rsidRPr="005B5E75" w:rsidR="00A43D23" w:rsidRDefault="00A43D23" w14:paraId="0E926FD2" w14:textId="77777777">
      <w:pPr>
        <w:ind w:left="709" w:right="709"/>
        <w:jc w:val="both"/>
        <w:rPr>
          <w:rFonts w:ascii="Arial" w:hAnsi="Arial" w:eastAsia="Calibri" w:cs="Arial"/>
          <w:sz w:val="21"/>
          <w:szCs w:val="21"/>
          <w:lang w:val="es-ES"/>
        </w:rPr>
      </w:pPr>
      <w:r w:rsidRPr="005B5E75">
        <w:rPr>
          <w:rFonts w:ascii="Arial" w:hAnsi="Arial" w:eastAsia="Calibri" w:cs="Arial"/>
          <w:sz w:val="21"/>
          <w:szCs w:val="21"/>
          <w:lang w:val="es-ES"/>
        </w:rPr>
        <w:t xml:space="preserve">10° Por la prescripción. </w:t>
      </w:r>
    </w:p>
    <w:p w:rsidRPr="005B5E75" w:rsidR="00A43D23" w:rsidP="004C5CA1" w:rsidRDefault="00A43D23" w14:paraId="22D8740D" w14:textId="77777777">
      <w:pPr>
        <w:spacing w:line="276" w:lineRule="auto"/>
        <w:ind w:right="709"/>
        <w:jc w:val="both"/>
        <w:rPr>
          <w:rFonts w:ascii="Arial" w:hAnsi="Arial" w:eastAsia="Calibri" w:cs="Arial"/>
          <w:sz w:val="22"/>
          <w:lang w:val="es-ES"/>
        </w:rPr>
      </w:pPr>
    </w:p>
    <w:p w:rsidRPr="005B5E75" w:rsidR="00A43D23" w:rsidP="00644F8E" w:rsidRDefault="00A43D23" w14:paraId="64E8E95E" w14:textId="77777777">
      <w:pPr>
        <w:spacing w:after="120" w:line="276" w:lineRule="auto"/>
        <w:ind w:firstLine="709"/>
        <w:jc w:val="both"/>
        <w:rPr>
          <w:rFonts w:ascii="Arial" w:hAnsi="Arial" w:eastAsia="Calibri" w:cs="Arial"/>
          <w:sz w:val="22"/>
          <w:lang w:val="es-ES"/>
        </w:rPr>
      </w:pPr>
      <w:r w:rsidRPr="005B5E75">
        <w:rPr>
          <w:rFonts w:ascii="Arial" w:hAnsi="Arial" w:eastAsia="Calibri" w:cs="Arial"/>
          <w:sz w:val="22"/>
          <w:lang w:val="es-ES"/>
        </w:rPr>
        <w:t>Esto significa que, si la totalidad de las obligaciones no se ha extinguido por alguno de los modos previstos en el citado artículo, el contrato permanece vigente.</w:t>
      </w:r>
    </w:p>
    <w:p w:rsidRPr="005B5E75" w:rsidR="00A43D23" w:rsidP="00A43D23" w:rsidRDefault="00A43D23" w14:paraId="564DA266" w14:textId="026F8460">
      <w:pPr>
        <w:spacing w:line="276" w:lineRule="auto"/>
        <w:ind w:firstLine="709"/>
        <w:jc w:val="both"/>
        <w:rPr>
          <w:rFonts w:ascii="Arial" w:hAnsi="Arial" w:eastAsia="Calibri" w:cs="Arial"/>
          <w:sz w:val="22"/>
          <w:lang w:val="es-ES"/>
        </w:rPr>
      </w:pPr>
      <w:r w:rsidRPr="005B5E75">
        <w:rPr>
          <w:rFonts w:ascii="Arial" w:hAnsi="Arial" w:eastAsia="Calibri" w:cs="Arial"/>
          <w:sz w:val="22"/>
          <w:lang w:val="es-ES"/>
        </w:rPr>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w:t>
      </w:r>
      <w:r w:rsidR="00F81C47">
        <w:rPr>
          <w:rFonts w:ascii="Arial" w:hAnsi="Arial" w:eastAsia="Calibri" w:cs="Arial"/>
          <w:sz w:val="22"/>
          <w:lang w:val="es-ES"/>
        </w:rPr>
        <w:t xml:space="preserve">. Dicha </w:t>
      </w:r>
      <w:r w:rsidRPr="005B5E75">
        <w:rPr>
          <w:rFonts w:ascii="Arial" w:hAnsi="Arial" w:eastAsia="Calibri" w:cs="Arial"/>
          <w:sz w:val="22"/>
          <w:lang w:val="es-ES"/>
        </w:rPr>
        <w:t>obligación también existe para los contratistas de prestación de servicios profesionales y de apoyo a la gestión, así sus contratos no requieran liquidación, de conformidad con el artículo 217 del Decreto 019 de 2012, que modificó el artículo 60 de la Ley 80 de 1993–.</w:t>
      </w:r>
      <w:r>
        <w:rPr>
          <w:rFonts w:ascii="Arial" w:hAnsi="Arial" w:eastAsia="Calibri" w:cs="Arial"/>
          <w:sz w:val="22"/>
          <w:lang w:val="es-ES"/>
        </w:rPr>
        <w:t xml:space="preserve"> </w:t>
      </w:r>
      <w:r w:rsidRPr="005B5E75">
        <w:rPr>
          <w:rFonts w:ascii="Arial" w:hAnsi="Arial" w:eastAsia="Calibri" w:cs="Arial"/>
          <w:sz w:val="22"/>
          <w:lang w:val="es-ES"/>
        </w:rPr>
        <w:t>De lo anterior, puede concluirse:</w:t>
      </w:r>
    </w:p>
    <w:p w:rsidRPr="005B5E75" w:rsidR="00A43D23" w:rsidP="00A43D23" w:rsidRDefault="00A43D23" w14:paraId="7B5C086E" w14:textId="77777777">
      <w:pPr>
        <w:spacing w:before="120" w:after="120" w:line="276" w:lineRule="auto"/>
        <w:ind w:firstLine="709"/>
        <w:jc w:val="both"/>
        <w:rPr>
          <w:rFonts w:ascii="Arial" w:hAnsi="Arial" w:eastAsia="Calibri" w:cs="Arial"/>
          <w:sz w:val="22"/>
          <w:lang w:val="es-ES"/>
        </w:rPr>
      </w:pPr>
      <w:r w:rsidRPr="005B5E75">
        <w:rPr>
          <w:rFonts w:ascii="Arial" w:hAnsi="Arial" w:eastAsia="Calibri" w:cs="Arial"/>
          <w:i/>
          <w:sz w:val="22"/>
          <w:lang w:val="es-ES"/>
        </w:rPr>
        <w:t>i)</w:t>
      </w:r>
      <w:r w:rsidRPr="005B5E75">
        <w:rPr>
          <w:rFonts w:ascii="Arial" w:hAnsi="Arial" w:eastAsia="Calibri" w:cs="Arial"/>
          <w:sz w:val="22"/>
          <w:lang w:val="es-ES"/>
        </w:rPr>
        <w:t xml:space="preserve"> Los contratistas –trabajadores independientes–, que devenguen una suma neta igual o superior a un salario mínimo legal mensual vigente, tienen la obligación de pagar sus aportes al Sistema de Seguridad Social Integral, </w:t>
      </w:r>
      <w:r w:rsidRPr="005B5E75">
        <w:rPr>
          <w:rFonts w:ascii="Arial" w:hAnsi="Arial" w:eastAsia="Calibri" w:cs="Arial"/>
          <w:i/>
          <w:sz w:val="22"/>
          <w:lang w:val="es-ES"/>
        </w:rPr>
        <w:t>mes vencido</w:t>
      </w:r>
      <w:r w:rsidRPr="005B5E75">
        <w:rPr>
          <w:rFonts w:ascii="Arial" w:hAnsi="Arial" w:eastAsia="Calibri" w:cs="Arial"/>
          <w:sz w:val="22"/>
          <w:lang w:val="es-ES"/>
        </w:rPr>
        <w:t xml:space="preserve">, sobre la base mínima del 40% del valor mensual del contrato, sin incluir el IVA. Así se deduce actualmente del artículo 244 de la Ley 1955 de 2019. </w:t>
      </w:r>
    </w:p>
    <w:p w:rsidR="00A43D23" w:rsidP="00644F8E" w:rsidRDefault="00A43D23" w14:paraId="14BC5AF3" w14:textId="46558F19">
      <w:pPr>
        <w:spacing w:before="120" w:line="276" w:lineRule="auto"/>
        <w:ind w:firstLine="709"/>
        <w:jc w:val="both"/>
        <w:rPr>
          <w:rFonts w:ascii="Arial" w:hAnsi="Arial" w:eastAsia="Calibri" w:cs="Arial"/>
          <w:sz w:val="22"/>
          <w:lang w:val="es-ES"/>
        </w:rPr>
      </w:pPr>
      <w:r w:rsidRPr="005B5E75">
        <w:rPr>
          <w:rFonts w:ascii="Arial" w:hAnsi="Arial" w:eastAsia="Calibri" w:cs="Arial"/>
          <w:i/>
          <w:sz w:val="22"/>
          <w:lang w:val="es-ES"/>
        </w:rPr>
        <w:t>ii)</w:t>
      </w:r>
      <w:r w:rsidRPr="005B5E75">
        <w:rPr>
          <w:rFonts w:ascii="Arial" w:hAnsi="Arial" w:eastAsia="Calibri" w:cs="Arial"/>
          <w:sz w:val="22"/>
          <w:lang w:val="es-ES"/>
        </w:rPr>
        <w:t xml:space="preserve"> 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 Decreto. </w:t>
      </w:r>
    </w:p>
    <w:p w:rsidRPr="00803C01" w:rsidR="00644F8E" w:rsidP="00644F8E" w:rsidRDefault="00644F8E" w14:paraId="5B5F93CA" w14:textId="77777777">
      <w:pPr>
        <w:spacing w:line="276" w:lineRule="auto"/>
        <w:ind w:firstLine="709"/>
        <w:jc w:val="both"/>
        <w:rPr>
          <w:rFonts w:ascii="Arial" w:hAnsi="Arial" w:eastAsia="Calibri" w:cs="Arial"/>
          <w:sz w:val="22"/>
          <w:lang w:val="es-ES"/>
        </w:rPr>
      </w:pPr>
    </w:p>
    <w:p w:rsidRPr="005B5E75" w:rsidR="00A43D23" w:rsidP="00644F8E" w:rsidRDefault="00A43D23" w14:paraId="18F9E0D7" w14:textId="77777777">
      <w:pPr>
        <w:spacing w:line="276" w:lineRule="auto"/>
        <w:jc w:val="both"/>
        <w:rPr>
          <w:rFonts w:ascii="Arial" w:hAnsi="Arial" w:cs="Arial"/>
          <w:sz w:val="22"/>
          <w:lang w:val="es-ES"/>
        </w:rPr>
      </w:pPr>
      <w:r w:rsidRPr="005B5E75">
        <w:rPr>
          <w:rFonts w:ascii="Arial" w:hAnsi="Arial" w:cs="Arial"/>
          <w:b/>
          <w:sz w:val="22"/>
          <w:lang w:val="es-ES"/>
        </w:rPr>
        <w:t>2.4. Alcance de las obligaciones con el Sistema de Seguridad Social Integral en los contratos de arrendamiento</w:t>
      </w:r>
    </w:p>
    <w:p w:rsidRPr="005B5E75" w:rsidR="00A43D23" w:rsidP="00644F8E" w:rsidRDefault="00A43D23" w14:paraId="4533534D" w14:textId="77777777">
      <w:pPr>
        <w:spacing w:line="276" w:lineRule="auto"/>
        <w:jc w:val="both"/>
        <w:rPr>
          <w:rFonts w:ascii="Arial" w:hAnsi="Arial" w:cs="Arial"/>
          <w:sz w:val="22"/>
          <w:lang w:val="es-ES"/>
        </w:rPr>
      </w:pPr>
    </w:p>
    <w:p w:rsidRPr="005B5E75" w:rsidR="00A43D23" w:rsidP="004C5CA1" w:rsidRDefault="00E85A4E" w14:paraId="3567809A" w14:textId="5DDC5240">
      <w:pPr>
        <w:spacing w:after="120" w:line="276" w:lineRule="auto"/>
        <w:jc w:val="both"/>
        <w:rPr>
          <w:rFonts w:ascii="Arial" w:hAnsi="Arial" w:cs="Arial"/>
          <w:sz w:val="22"/>
          <w:szCs w:val="22"/>
          <w:lang w:val="es-ES"/>
        </w:rPr>
      </w:pPr>
      <w:r>
        <w:rPr>
          <w:rFonts w:ascii="Arial" w:hAnsi="Arial" w:cs="Arial"/>
          <w:sz w:val="22"/>
          <w:szCs w:val="22"/>
          <w:lang w:val="es-ES"/>
        </w:rPr>
        <w:t>Para efectos del tema objeto de consulta es necesario precisar que e</w:t>
      </w:r>
      <w:r w:rsidRPr="005B5E75" w:rsidR="00A43D23">
        <w:rPr>
          <w:rFonts w:ascii="Arial" w:hAnsi="Arial" w:cs="Arial"/>
          <w:sz w:val="22"/>
          <w:szCs w:val="22"/>
          <w:lang w:val="es-ES"/>
        </w:rPr>
        <w:t>l arrendador de un bien a una entidad estatal</w:t>
      </w:r>
      <w:r w:rsidR="00A43D23">
        <w:rPr>
          <w:rFonts w:ascii="Arial" w:hAnsi="Arial" w:cs="Arial"/>
          <w:sz w:val="22"/>
          <w:szCs w:val="22"/>
          <w:lang w:val="es-ES"/>
        </w:rPr>
        <w:t>,</w:t>
      </w:r>
      <w:r w:rsidRPr="001E5781" w:rsidR="00A43D23">
        <w:rPr>
          <w:rFonts w:ascii="Arial" w:hAnsi="Arial" w:cs="Arial"/>
          <w:sz w:val="22"/>
          <w:szCs w:val="22"/>
          <w:lang w:val="es-ES"/>
        </w:rPr>
        <w:t xml:space="preserve"> </w:t>
      </w:r>
      <w:r w:rsidRPr="005B5E75" w:rsidR="00A43D23">
        <w:rPr>
          <w:rFonts w:ascii="Arial" w:hAnsi="Arial" w:cs="Arial"/>
          <w:sz w:val="22"/>
          <w:szCs w:val="22"/>
          <w:lang w:val="es-ES"/>
        </w:rPr>
        <w:t>en caso de que sea una persona natural</w:t>
      </w:r>
      <w:r w:rsidR="00A43D23">
        <w:rPr>
          <w:rFonts w:ascii="Arial" w:hAnsi="Arial" w:cs="Arial"/>
          <w:sz w:val="22"/>
          <w:szCs w:val="22"/>
          <w:lang w:val="es-ES"/>
        </w:rPr>
        <w:t>,</w:t>
      </w:r>
      <w:r w:rsidRPr="005B5E75" w:rsidR="00A43D23">
        <w:rPr>
          <w:rFonts w:ascii="Arial" w:hAnsi="Arial" w:cs="Arial"/>
          <w:sz w:val="22"/>
          <w:szCs w:val="22"/>
          <w:lang w:val="es-ES"/>
        </w:rPr>
        <w:t xml:space="preserve"> se encuentra obligado a hacer sus aportes al Sistema de Seguridad Social Integral, siempre que el ingreso </w:t>
      </w:r>
      <w:r w:rsidRPr="005B5E75" w:rsidR="00A43D23">
        <w:rPr>
          <w:rFonts w:ascii="Arial" w:hAnsi="Arial" w:cs="Arial"/>
          <w:sz w:val="22"/>
          <w:szCs w:val="22"/>
          <w:lang w:val="es-ES"/>
        </w:rPr>
        <w:lastRenderedPageBreak/>
        <w:t xml:space="preserve">mensual sea igual o superior a un salario mínimo mensual legal vigente. El arrendador de un bien inmueble tiene la calidad de rentista de capital y, como tal, es aportante al Sistema Integral de Seguridad Social. Los trabajadores independientes con contrato diferente a prestación de servicios que perciban ingresos mensuales iguales o superiores a un salario mínimo mensual legal vigente </w:t>
      </w:r>
      <w:r w:rsidR="00A43D23">
        <w:rPr>
          <w:rFonts w:ascii="Arial" w:hAnsi="Arial" w:cs="Arial"/>
          <w:sz w:val="22"/>
          <w:szCs w:val="22"/>
          <w:lang w:val="es-ES"/>
        </w:rPr>
        <w:t>deben cotizar</w:t>
      </w:r>
      <w:r w:rsidRPr="005B5E75" w:rsidR="00A43D23">
        <w:rPr>
          <w:rFonts w:ascii="Arial" w:hAnsi="Arial" w:cs="Arial"/>
          <w:sz w:val="22"/>
          <w:szCs w:val="22"/>
          <w:lang w:val="es-ES"/>
        </w:rPr>
        <w:t xml:space="preserve"> mes vencido al Sistema Integral de Seguridad Social sobre un ingreso base de cotización mínimo del 40% del valor mensualizado de sus ingresos sin incluir el valor del IVA.</w:t>
      </w:r>
      <w:r w:rsidR="00A43D23">
        <w:rPr>
          <w:rFonts w:ascii="Arial" w:hAnsi="Arial" w:cs="Arial"/>
          <w:sz w:val="22"/>
          <w:szCs w:val="22"/>
          <w:lang w:val="es-ES"/>
        </w:rPr>
        <w:t xml:space="preserve"> </w:t>
      </w:r>
      <w:r w:rsidRPr="005B5E75" w:rsidR="00A43D23">
        <w:rPr>
          <w:rFonts w:ascii="Arial" w:hAnsi="Arial" w:cs="Arial"/>
          <w:sz w:val="22"/>
          <w:szCs w:val="22"/>
          <w:lang w:val="es-ES"/>
        </w:rPr>
        <w:t>E</w:t>
      </w:r>
      <w:r w:rsidR="00A43D23">
        <w:rPr>
          <w:rFonts w:ascii="Arial" w:hAnsi="Arial" w:cs="Arial"/>
          <w:sz w:val="22"/>
          <w:szCs w:val="22"/>
          <w:lang w:val="es-ES"/>
        </w:rPr>
        <w:t>st</w:t>
      </w:r>
      <w:r w:rsidRPr="005B5E75" w:rsidR="00A43D23">
        <w:rPr>
          <w:rFonts w:ascii="Arial" w:hAnsi="Arial" w:cs="Arial"/>
          <w:sz w:val="22"/>
          <w:szCs w:val="22"/>
          <w:lang w:val="es-ES"/>
        </w:rPr>
        <w:t>o se sustenta en los siguientes argumentos:</w:t>
      </w:r>
    </w:p>
    <w:p w:rsidRPr="005B5E75" w:rsidR="00A43D23" w:rsidP="00A43D23" w:rsidRDefault="00A43D23" w14:paraId="5EBD6265"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w:t>
      </w:r>
    </w:p>
    <w:p w:rsidRPr="005B5E75" w:rsidR="00A43D23" w:rsidP="00A43D23" w:rsidRDefault="00A43D23" w14:paraId="22749D5A" w14:textId="2C8A028F">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La Corte Constitucional</w:t>
      </w:r>
      <w:r w:rsidR="00F81C47">
        <w:rPr>
          <w:rFonts w:ascii="Arial" w:hAnsi="Arial" w:cs="Arial"/>
          <w:sz w:val="22"/>
          <w:szCs w:val="22"/>
          <w:lang w:val="es-ES"/>
        </w:rPr>
        <w:t>,</w:t>
      </w:r>
      <w:r w:rsidRPr="005B5E75">
        <w:rPr>
          <w:rFonts w:ascii="Arial" w:hAnsi="Arial" w:cs="Arial"/>
          <w:sz w:val="22"/>
          <w:szCs w:val="22"/>
          <w:lang w:val="es-ES"/>
        </w:rPr>
        <w:t xml:space="preserve"> en sentencia C-578 de 2009</w:t>
      </w:r>
      <w:r w:rsidR="00F81C47">
        <w:rPr>
          <w:rFonts w:ascii="Arial" w:hAnsi="Arial" w:cs="Arial"/>
          <w:sz w:val="22"/>
          <w:szCs w:val="22"/>
          <w:lang w:val="es-ES"/>
        </w:rPr>
        <w:t>,</w:t>
      </w:r>
      <w:r w:rsidRPr="005B5E75">
        <w:rPr>
          <w:rFonts w:ascii="Arial" w:hAnsi="Arial" w:cs="Arial"/>
          <w:sz w:val="22"/>
          <w:szCs w:val="22"/>
          <w:lang w:val="es-ES"/>
        </w:rPr>
        <w:t xml:space="preserve"> concluyó que de la interpretación de los artículos 157 y 204 de la Ley 100 de 1993 debía considerarse a los rentistas de capital como trabajadores independientes, ya que dicha expresión incluye a todas las personas económicamente activas.</w:t>
      </w:r>
    </w:p>
    <w:p w:rsidRPr="005B5E75" w:rsidR="00A43D23" w:rsidP="00A43D23" w:rsidRDefault="00A43D23" w14:paraId="6EC5454F"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 xml:space="preserve">Son conocidos como rentistas de capital aquellas personas que obtienen ingresos de arrendamientos, dividendos de inversiones, entre otras actividades, adquiriendo de esta manera capacidad de pago para cotizar al Sistema Integral de Seguridad Social. </w:t>
      </w:r>
    </w:p>
    <w:p w:rsidRPr="005B5E75" w:rsidR="00A43D23" w:rsidP="00A43D23" w:rsidRDefault="00A43D23" w14:paraId="2100C9B5" w14:textId="77777777">
      <w:pPr>
        <w:spacing w:before="120" w:after="120" w:line="276" w:lineRule="auto"/>
        <w:ind w:firstLine="709"/>
        <w:jc w:val="both"/>
        <w:rPr>
          <w:rFonts w:ascii="Arial" w:hAnsi="Arial" w:cs="Arial"/>
          <w:sz w:val="22"/>
          <w:szCs w:val="22"/>
          <w:lang w:val="es-ES"/>
        </w:rPr>
      </w:pPr>
      <w:r w:rsidRPr="005B5E75">
        <w:rPr>
          <w:rFonts w:ascii="Arial" w:hAnsi="Arial" w:cs="Arial"/>
          <w:sz w:val="22"/>
          <w:szCs w:val="22"/>
          <w:lang w:val="es-ES"/>
        </w:rPr>
        <w:t>El Decreto Único 780 de 2016 identifica como aportante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p>
    <w:p w:rsidR="00A43D23" w:rsidP="00E85A4E" w:rsidRDefault="00A43D23" w14:paraId="3646EEB6" w14:textId="624A9463">
      <w:pPr>
        <w:spacing w:before="120" w:line="276" w:lineRule="auto"/>
        <w:ind w:firstLine="709"/>
        <w:jc w:val="both"/>
        <w:rPr>
          <w:rFonts w:ascii="Arial" w:hAnsi="Arial" w:cs="Arial"/>
          <w:sz w:val="22"/>
          <w:szCs w:val="22"/>
          <w:lang w:val="es-ES"/>
        </w:rPr>
      </w:pPr>
      <w:r w:rsidRPr="005B5E75">
        <w:rPr>
          <w:rFonts w:ascii="Arial" w:hAnsi="Arial" w:cs="Arial"/>
          <w:sz w:val="22"/>
          <w:szCs w:val="22"/>
          <w:lang w:val="es-ES"/>
        </w:rPr>
        <w:t>Toda persona económicamente activa con 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 dentro de los cuales se encuentran los rentistas de capital.</w:t>
      </w:r>
      <w:r>
        <w:rPr>
          <w:rFonts w:ascii="Arial" w:hAnsi="Arial" w:cs="Arial"/>
          <w:sz w:val="22"/>
          <w:szCs w:val="22"/>
          <w:lang w:val="es-ES"/>
        </w:rPr>
        <w:t xml:space="preserve"> </w:t>
      </w:r>
      <w:r w:rsidRPr="005B5E75">
        <w:rPr>
          <w:rFonts w:ascii="Arial" w:hAnsi="Arial" w:cs="Arial"/>
          <w:sz w:val="22"/>
          <w:szCs w:val="22"/>
          <w:lang w:val="es-ES"/>
        </w:rPr>
        <w:t>Al respecto, la Unidad de Gestión Pensional y Parafiscales indicó que:</w:t>
      </w:r>
    </w:p>
    <w:p w:rsidRPr="005B5E75" w:rsidR="00E85A4E" w:rsidP="004C5CA1" w:rsidRDefault="00E85A4E" w14:paraId="622B8363" w14:textId="77777777">
      <w:pPr>
        <w:spacing w:line="276" w:lineRule="auto"/>
        <w:ind w:firstLine="709"/>
        <w:jc w:val="both"/>
        <w:rPr>
          <w:rFonts w:ascii="Arial" w:hAnsi="Arial" w:cs="Arial"/>
          <w:sz w:val="22"/>
          <w:szCs w:val="22"/>
          <w:lang w:val="es-ES"/>
        </w:rPr>
      </w:pPr>
    </w:p>
    <w:p w:rsidRPr="005B5E75" w:rsidR="00A43D23" w:rsidP="00A43D23" w:rsidRDefault="00A43D23" w14:paraId="5A407A4E" w14:textId="77777777">
      <w:pPr>
        <w:ind w:left="709" w:right="709"/>
        <w:jc w:val="both"/>
        <w:rPr>
          <w:rFonts w:ascii="Arial" w:hAnsi="Arial" w:cs="Arial"/>
          <w:sz w:val="21"/>
          <w:szCs w:val="21"/>
          <w:lang w:val="es-ES"/>
        </w:rPr>
      </w:pPr>
      <w:r w:rsidRPr="005B5E75">
        <w:rPr>
          <w:rFonts w:ascii="Arial" w:hAnsi="Arial" w:cs="Arial"/>
          <w:sz w:val="21"/>
          <w:szCs w:val="21"/>
          <w:lang w:val="es-ES"/>
        </w:rPr>
        <w:t xml:space="preserve">Un independiente que percibe ingresos mensuales iguales o superiores a 1 salario mínimo mensual legal vigente provenientes de la explotación de sus bienes muebles o inmuebles, o recibe intereses, dividendos o utilidades producto de unas acciones de su propiedad se considera como rentista de capital dentro del grupo de independientes por cuenta propia o por contratos diferentes al de prestación de servicios, y por tanto está en la obligación de cotizar a los sistemas de salud y pensión, en la forma señalada en el inciso primero del artículo 135 de la Ley 1753 de 2015, es decir, sobre mínimo el 40% del valor de sus ingresos y </w:t>
      </w:r>
      <w:r w:rsidRPr="005B5E75">
        <w:rPr>
          <w:rFonts w:ascii="Arial" w:hAnsi="Arial" w:cs="Arial"/>
          <w:sz w:val="21"/>
          <w:szCs w:val="21"/>
          <w:lang w:val="es-ES"/>
        </w:rPr>
        <w:lastRenderedPageBreak/>
        <w:t>para calcular el ingreso base de cotización IBC podrán deducir las expensas que se generen en la ejecución de cada actividad conforme a lo dispuesto en el art. 107 del Estatuto Tributario</w:t>
      </w:r>
      <w:r w:rsidRPr="005B5E75">
        <w:rPr>
          <w:rStyle w:val="Refdenotaalpie"/>
          <w:rFonts w:ascii="Arial" w:hAnsi="Arial" w:cs="Arial"/>
          <w:sz w:val="21"/>
          <w:szCs w:val="21"/>
          <w:lang w:val="es-ES"/>
        </w:rPr>
        <w:footnoteReference w:id="16"/>
      </w:r>
      <w:r w:rsidRPr="005B5E75">
        <w:rPr>
          <w:rFonts w:ascii="Arial" w:hAnsi="Arial" w:cs="Arial"/>
          <w:sz w:val="21"/>
          <w:szCs w:val="21"/>
          <w:lang w:val="es-ES"/>
        </w:rPr>
        <w:t>.</w:t>
      </w:r>
    </w:p>
    <w:p w:rsidRPr="005B5E75" w:rsidR="00A43D23" w:rsidP="00A43D23" w:rsidRDefault="00A43D23" w14:paraId="76A0F965" w14:textId="77777777">
      <w:pPr>
        <w:spacing w:line="276" w:lineRule="auto"/>
        <w:ind w:firstLine="709"/>
        <w:jc w:val="both"/>
        <w:rPr>
          <w:rFonts w:ascii="Arial" w:hAnsi="Arial" w:cs="Arial"/>
          <w:sz w:val="22"/>
          <w:szCs w:val="22"/>
          <w:lang w:val="es-ES"/>
        </w:rPr>
      </w:pPr>
    </w:p>
    <w:p w:rsidRPr="005B5E75" w:rsidR="00A43D23" w:rsidP="00A43D23" w:rsidRDefault="00A43D23" w14:paraId="188C8996" w14:textId="77777777">
      <w:pPr>
        <w:spacing w:line="276" w:lineRule="auto"/>
        <w:ind w:firstLine="709"/>
        <w:jc w:val="both"/>
        <w:rPr>
          <w:rFonts w:ascii="Arial" w:hAnsi="Arial" w:cs="Arial"/>
          <w:sz w:val="22"/>
          <w:szCs w:val="22"/>
          <w:lang w:val="es-ES"/>
        </w:rPr>
      </w:pPr>
      <w:r w:rsidRPr="005B5E75">
        <w:rPr>
          <w:rFonts w:ascii="Arial" w:hAnsi="Arial" w:cs="Arial"/>
          <w:sz w:val="22"/>
          <w:szCs w:val="22"/>
          <w:lang w:val="es-ES"/>
        </w:rPr>
        <w:t>Por otra parte, en concepto con radicado No. 4201912000005462, expedido como respuesta a la consulta del 13 de agosto de 2019, esta Subdirección indicó:</w:t>
      </w:r>
    </w:p>
    <w:p w:rsidRPr="005B5E75" w:rsidR="00A43D23" w:rsidP="00A43D23" w:rsidRDefault="00A43D23" w14:paraId="6286F690" w14:textId="77777777">
      <w:pPr>
        <w:spacing w:line="276" w:lineRule="auto"/>
        <w:jc w:val="both"/>
        <w:rPr>
          <w:rFonts w:ascii="Arial" w:hAnsi="Arial" w:cs="Arial"/>
          <w:sz w:val="22"/>
          <w:lang w:val="es-ES"/>
        </w:rPr>
      </w:pPr>
    </w:p>
    <w:p w:rsidRPr="005B5E75" w:rsidR="00A43D23" w:rsidP="004C5CA1" w:rsidRDefault="00A43D23" w14:paraId="1F664459" w14:textId="53B102EB">
      <w:pPr>
        <w:pStyle w:val="NormalWeb"/>
        <w:spacing w:before="0" w:beforeAutospacing="0" w:after="120" w:afterAutospacing="0"/>
        <w:ind w:left="709" w:right="709"/>
        <w:jc w:val="both"/>
        <w:rPr>
          <w:rFonts w:ascii="Arial" w:hAnsi="Arial" w:cs="Arial"/>
          <w:sz w:val="21"/>
          <w:szCs w:val="21"/>
          <w:lang w:val="es-ES"/>
        </w:rPr>
      </w:pPr>
      <w:r w:rsidRPr="005B5E75">
        <w:rPr>
          <w:rFonts w:ascii="Arial" w:hAnsi="Arial" w:cs="Arial"/>
          <w:sz w:val="21"/>
          <w:szCs w:val="21"/>
          <w:lang w:val="es-ES"/>
        </w:rPr>
        <w:t>Asimismo, como se mencionó previamente, el artículo 50 de la Ley 789 de 2002 establece que las entidades estatales, al momento de celebrar, renovar o liquidar un contrato verificará que el contratista cumpla sus obligaciones con los sistemas de salud, riesgos profesionales, pensiones y aportes a las Cajas de Compensación Familiar, cuando a ello haya lugar.</w:t>
      </w:r>
    </w:p>
    <w:p w:rsidRPr="005B5E75" w:rsidR="00A43D23" w:rsidP="004C5CA1" w:rsidRDefault="00A43D23" w14:paraId="356DB4C0" w14:textId="00ADE67C">
      <w:pPr>
        <w:pStyle w:val="NormalWeb"/>
        <w:spacing w:before="0" w:beforeAutospacing="0" w:after="120" w:afterAutospacing="0"/>
        <w:ind w:left="709" w:right="709"/>
        <w:jc w:val="both"/>
        <w:rPr>
          <w:rFonts w:ascii="Arial" w:hAnsi="Arial" w:cs="Arial"/>
          <w:sz w:val="21"/>
          <w:szCs w:val="21"/>
          <w:lang w:val="es-ES"/>
        </w:rPr>
      </w:pPr>
      <w:r w:rsidRPr="005B5E75">
        <w:rPr>
          <w:rFonts w:ascii="Arial" w:hAnsi="Arial" w:cs="Arial"/>
          <w:sz w:val="21"/>
          <w:szCs w:val="21"/>
          <w:lang w:val="es-ES"/>
        </w:rPr>
        <w:t>Si bien la Ley 1393 de 2010 sólo prevé como obligación verificar la afiliación al sistema de seguridad social en los contratos de prestación de servicios, la Ley 789 de 2002 sí establece que en cualquier contrato estatal la entidad contratante deberá verificar que el contratista cumplió con sus obligaciones al sistema de salud, riesgos profesionales, pensiones y aportes a las Cajas de Compensación Familiar.</w:t>
      </w:r>
    </w:p>
    <w:p w:rsidRPr="005B5E75" w:rsidR="00A43D23" w:rsidP="004C5CA1" w:rsidRDefault="00A43D23" w14:paraId="62729A14" w14:textId="2A6FC2BE">
      <w:pPr>
        <w:pStyle w:val="NormalWeb"/>
        <w:spacing w:before="0" w:beforeAutospacing="0" w:after="120" w:afterAutospacing="0"/>
        <w:ind w:left="709" w:right="709"/>
        <w:jc w:val="both"/>
        <w:rPr>
          <w:rFonts w:ascii="Arial" w:hAnsi="Arial" w:cs="Arial"/>
          <w:sz w:val="21"/>
          <w:szCs w:val="21"/>
          <w:lang w:val="es-ES"/>
        </w:rPr>
      </w:pPr>
      <w:r w:rsidRPr="005B5E75">
        <w:rPr>
          <w:rFonts w:ascii="Arial" w:hAnsi="Arial" w:cs="Arial"/>
          <w:sz w:val="21"/>
          <w:szCs w:val="21"/>
          <w:lang w:val="es-ES"/>
        </w:rPr>
        <w:t xml:space="preserve">Entre las obligaciones que tienen las personas naturales que presten directamente servicios al Estado, bajo la modalidad de contratos de prestación o bajo cualquier otra modalidad de contrato, como el de suministro, se encuentra la de estar afiliados al sistema de seguridad social en salud y pensiones. </w:t>
      </w:r>
    </w:p>
    <w:p w:rsidRPr="005B5E75" w:rsidR="00A43D23" w:rsidP="00A43D23" w:rsidRDefault="00A43D23" w14:paraId="618DE76D" w14:textId="77777777">
      <w:pPr>
        <w:pStyle w:val="NormalWeb"/>
        <w:spacing w:before="0" w:beforeAutospacing="0" w:after="0" w:afterAutospacing="0"/>
        <w:ind w:left="709" w:right="709"/>
        <w:jc w:val="both"/>
        <w:rPr>
          <w:rFonts w:ascii="Arial" w:hAnsi="Arial" w:cs="Arial"/>
          <w:sz w:val="22"/>
          <w:lang w:val="es-ES"/>
        </w:rPr>
      </w:pPr>
      <w:r w:rsidRPr="005B5E75">
        <w:rPr>
          <w:rFonts w:ascii="Arial" w:hAnsi="Arial" w:cs="Arial"/>
          <w:sz w:val="21"/>
          <w:szCs w:val="21"/>
          <w:lang w:val="es-ES"/>
        </w:rPr>
        <w:t>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w:t>
      </w:r>
      <w:r>
        <w:rPr>
          <w:rFonts w:ascii="Arial" w:hAnsi="Arial" w:cs="Arial"/>
          <w:sz w:val="21"/>
          <w:szCs w:val="21"/>
          <w:lang w:val="es-ES"/>
        </w:rPr>
        <w:t>.</w:t>
      </w:r>
      <w:r w:rsidRPr="005B5E75">
        <w:rPr>
          <w:rFonts w:ascii="Arial" w:hAnsi="Arial" w:cs="Arial"/>
          <w:sz w:val="21"/>
          <w:szCs w:val="21"/>
          <w:lang w:val="es-ES"/>
        </w:rPr>
        <w:t xml:space="preserve"> 112520 del 31 de mayo de 2012 indicó que el alcance de cualquier otra modalidad de servicios incluye los contratos de obra, suministro, de arrendamiento de servicios, entre otros</w:t>
      </w:r>
      <w:r w:rsidRPr="005B5E75">
        <w:rPr>
          <w:rStyle w:val="Refdenotaalpie"/>
          <w:rFonts w:ascii="Arial" w:hAnsi="Arial" w:cs="Arial"/>
          <w:sz w:val="21"/>
          <w:szCs w:val="21"/>
          <w:lang w:val="es-ES"/>
        </w:rPr>
        <w:footnoteReference w:id="17"/>
      </w:r>
      <w:r w:rsidRPr="005B5E75">
        <w:rPr>
          <w:rFonts w:ascii="Arial" w:hAnsi="Arial" w:cs="Arial"/>
          <w:sz w:val="21"/>
          <w:szCs w:val="21"/>
          <w:lang w:val="es-ES"/>
        </w:rPr>
        <w:t xml:space="preserve">. Por lo tanto, en los contratos de suministro la entidad estatal deberá verificar que la persona </w:t>
      </w:r>
      <w:r w:rsidRPr="005B5E75">
        <w:rPr>
          <w:rFonts w:ascii="Arial" w:hAnsi="Arial" w:cs="Arial"/>
          <w:sz w:val="21"/>
          <w:szCs w:val="21"/>
          <w:lang w:val="es-ES"/>
        </w:rPr>
        <w:lastRenderedPageBreak/>
        <w:t>natural que presta el servicio de contrato de suministro en favor de una entidad estatal está afiliada al Sistema General de Pensiones</w:t>
      </w:r>
      <w:r w:rsidRPr="005B5E75">
        <w:rPr>
          <w:rStyle w:val="Refdenotaalpie"/>
          <w:rFonts w:ascii="Arial" w:hAnsi="Arial" w:cs="Arial"/>
          <w:sz w:val="21"/>
          <w:szCs w:val="21"/>
          <w:lang w:val="es-ES"/>
        </w:rPr>
        <w:footnoteReference w:id="18"/>
      </w:r>
      <w:r w:rsidRPr="005B5E75">
        <w:rPr>
          <w:rFonts w:ascii="Arial" w:hAnsi="Arial" w:cs="Arial"/>
          <w:sz w:val="21"/>
          <w:szCs w:val="21"/>
          <w:lang w:val="es-ES"/>
        </w:rPr>
        <w:t>.</w:t>
      </w:r>
      <w:r w:rsidRPr="005B5E75">
        <w:rPr>
          <w:rFonts w:ascii="Arial" w:hAnsi="Arial" w:cs="Arial"/>
          <w:sz w:val="22"/>
          <w:lang w:val="es-ES"/>
        </w:rPr>
        <w:t xml:space="preserve">   </w:t>
      </w:r>
    </w:p>
    <w:p w:rsidRPr="005B5E75" w:rsidR="00A43D23" w:rsidP="00A43D23" w:rsidRDefault="00A43D23" w14:paraId="1BF42B99" w14:textId="77777777">
      <w:pPr>
        <w:spacing w:line="276" w:lineRule="auto"/>
        <w:jc w:val="both"/>
        <w:rPr>
          <w:rFonts w:ascii="Arial" w:hAnsi="Arial" w:cs="Arial"/>
          <w:sz w:val="22"/>
          <w:lang w:val="es-ES"/>
        </w:rPr>
      </w:pPr>
      <w:r w:rsidRPr="005B5E75">
        <w:rPr>
          <w:rFonts w:ascii="Arial" w:hAnsi="Arial" w:cs="Arial"/>
          <w:sz w:val="22"/>
          <w:lang w:val="es-ES"/>
        </w:rPr>
        <w:t xml:space="preserve"> </w:t>
      </w:r>
    </w:p>
    <w:p w:rsidRPr="005B5E75" w:rsidR="00A43D23" w:rsidP="004C5CA1" w:rsidRDefault="00A43D23" w14:paraId="01394EBF" w14:textId="77777777">
      <w:pPr>
        <w:spacing w:line="276" w:lineRule="auto"/>
        <w:ind w:firstLine="708"/>
        <w:jc w:val="both"/>
        <w:rPr>
          <w:rFonts w:ascii="Arial" w:hAnsi="Arial" w:cs="Arial"/>
          <w:sz w:val="22"/>
          <w:lang w:val="es-ES"/>
        </w:rPr>
      </w:pPr>
      <w:r w:rsidRPr="005B5E75">
        <w:rPr>
          <w:rFonts w:ascii="Arial" w:hAnsi="Arial" w:cs="Arial"/>
          <w:sz w:val="22"/>
          <w:lang w:val="es-ES"/>
        </w:rPr>
        <w:t xml:space="preserve">Como se observa, en dicho concepto se señaló que la obligación frente al Sistema de Seguridad Social Integral </w:t>
      </w:r>
      <w:r>
        <w:rPr>
          <w:rFonts w:ascii="Arial" w:hAnsi="Arial" w:cs="Arial"/>
          <w:sz w:val="22"/>
          <w:lang w:val="es-ES"/>
        </w:rPr>
        <w:t>aplica</w:t>
      </w:r>
      <w:r w:rsidRPr="005B5E75">
        <w:rPr>
          <w:rFonts w:ascii="Arial" w:hAnsi="Arial" w:cs="Arial"/>
          <w:sz w:val="22"/>
          <w:lang w:val="es-ES"/>
        </w:rPr>
        <w:t xml:space="preserve"> frente </w:t>
      </w:r>
      <w:r>
        <w:rPr>
          <w:rFonts w:ascii="Arial" w:hAnsi="Arial" w:cs="Arial"/>
          <w:sz w:val="22"/>
          <w:lang w:val="es-ES"/>
        </w:rPr>
        <w:t xml:space="preserve">a </w:t>
      </w:r>
      <w:r w:rsidRPr="005B5E75">
        <w:rPr>
          <w:rFonts w:ascii="Arial" w:hAnsi="Arial" w:cs="Arial"/>
          <w:sz w:val="22"/>
          <w:lang w:val="es-ES"/>
        </w:rPr>
        <w:t xml:space="preserve">todos los contratos con las entidades estatales, pues es lo que se deduce del artículo 50 de la Ley 789 de 2002. </w:t>
      </w:r>
      <w:r>
        <w:rPr>
          <w:rFonts w:ascii="Arial" w:hAnsi="Arial" w:cs="Arial"/>
          <w:sz w:val="22"/>
          <w:lang w:val="es-ES"/>
        </w:rPr>
        <w:t>En virtud de lo anterior</w:t>
      </w:r>
      <w:r w:rsidRPr="005B5E75">
        <w:rPr>
          <w:rFonts w:ascii="Arial" w:hAnsi="Arial" w:cs="Arial"/>
          <w:sz w:val="22"/>
          <w:lang w:val="es-ES"/>
        </w:rPr>
        <w:t>,</w:t>
      </w:r>
      <w:r>
        <w:rPr>
          <w:rFonts w:ascii="Arial" w:hAnsi="Arial" w:cs="Arial"/>
          <w:sz w:val="22"/>
          <w:lang w:val="es-ES"/>
        </w:rPr>
        <w:t xml:space="preserve"> dicha obligación</w:t>
      </w:r>
      <w:r w:rsidRPr="005B5E75">
        <w:rPr>
          <w:rFonts w:ascii="Arial" w:hAnsi="Arial" w:cs="Arial"/>
          <w:sz w:val="22"/>
          <w:lang w:val="es-ES"/>
        </w:rPr>
        <w:t xml:space="preserve"> también se predica de los contratos de arrendamiento. </w:t>
      </w:r>
    </w:p>
    <w:p w:rsidRPr="005B5E75" w:rsidR="00A43D23" w:rsidP="00A43D23" w:rsidRDefault="00A43D23" w14:paraId="0E8EB7C7" w14:textId="77777777">
      <w:pPr>
        <w:spacing w:line="276" w:lineRule="auto"/>
        <w:jc w:val="both"/>
        <w:rPr>
          <w:rFonts w:ascii="Arial" w:hAnsi="Arial" w:cs="Arial"/>
          <w:sz w:val="22"/>
          <w:lang w:val="es-ES"/>
        </w:rPr>
      </w:pPr>
    </w:p>
    <w:p w:rsidRPr="005B5E75" w:rsidR="00A43D23" w:rsidP="00A43D23" w:rsidRDefault="00A43D23" w14:paraId="142CFE3A" w14:textId="77777777">
      <w:pPr>
        <w:pStyle w:val="Prrafodelista"/>
        <w:tabs>
          <w:tab w:val="left" w:pos="284"/>
        </w:tabs>
        <w:spacing w:line="276" w:lineRule="auto"/>
        <w:ind w:left="0"/>
        <w:jc w:val="both"/>
        <w:rPr>
          <w:rFonts w:ascii="Arial" w:hAnsi="Arial" w:eastAsia="Calibri" w:cs="Arial"/>
          <w:sz w:val="22"/>
          <w:lang w:val="es-ES"/>
        </w:rPr>
      </w:pPr>
      <w:r w:rsidRPr="005B5E75">
        <w:rPr>
          <w:rFonts w:ascii="Arial" w:hAnsi="Arial" w:eastAsia="Calibri" w:cs="Arial"/>
          <w:b/>
          <w:sz w:val="22"/>
          <w:lang w:val="es-ES"/>
        </w:rPr>
        <w:t>3. Respuestas</w:t>
      </w:r>
    </w:p>
    <w:p w:rsidRPr="005B5E75" w:rsidR="00A43D23" w:rsidP="00A43D23" w:rsidRDefault="00A43D23" w14:paraId="1D21A724" w14:textId="77777777">
      <w:pPr>
        <w:spacing w:line="276" w:lineRule="auto"/>
        <w:ind w:right="709"/>
        <w:jc w:val="both"/>
        <w:rPr>
          <w:rFonts w:ascii="Arial" w:hAnsi="Arial" w:eastAsia="Calibri" w:cs="Arial"/>
          <w:i/>
          <w:sz w:val="22"/>
          <w:lang w:val="es-ES"/>
        </w:rPr>
      </w:pPr>
    </w:p>
    <w:p w:rsidRPr="005B5E75" w:rsidR="00A43D23" w:rsidP="00A43D23" w:rsidRDefault="00365224" w14:paraId="2F15C46B" w14:textId="74832650">
      <w:pPr>
        <w:pStyle w:val="Prrafodelista"/>
        <w:ind w:left="709" w:right="709"/>
        <w:jc w:val="both"/>
        <w:rPr>
          <w:rFonts w:ascii="Arial" w:hAnsi="Arial" w:eastAsia="Calibri" w:cs="Arial"/>
          <w:sz w:val="22"/>
          <w:lang w:val="es-ES"/>
        </w:rPr>
      </w:pPr>
      <w:r w:rsidRPr="00365224">
        <w:rPr>
          <w:rFonts w:ascii="Arial" w:hAnsi="Arial" w:eastAsia="Calibri" w:cs="Arial"/>
          <w:sz w:val="22"/>
          <w:lang w:val="es-ES"/>
        </w:rPr>
        <w:t>«[…] ¿En los contratos de arrendamiento de inmueble cuando el arrendatario es una Entidad Estatal sometida al Régimen de la Ley 80 de 1993 para la cancelación del canon de arrendamiento deberá exigirle al arrendador persona natural o jurídica el pago de los aportes al Sistema de Seguridad Social (salud y pensión)?»</w:t>
      </w:r>
      <w:r w:rsidRPr="005B5E75" w:rsidR="00A43D23">
        <w:rPr>
          <w:rFonts w:ascii="Arial" w:hAnsi="Arial" w:eastAsia="Calibri" w:cs="Arial"/>
          <w:sz w:val="22"/>
          <w:lang w:val="es-ES"/>
        </w:rPr>
        <w:t xml:space="preserve"> </w:t>
      </w:r>
    </w:p>
    <w:p w:rsidRPr="005B5E75" w:rsidR="00A43D23" w:rsidP="00A43D23" w:rsidRDefault="00A43D23" w14:paraId="711CFEC5" w14:textId="77777777">
      <w:pPr>
        <w:spacing w:line="276" w:lineRule="auto"/>
        <w:jc w:val="both"/>
        <w:rPr>
          <w:rFonts w:ascii="Arial" w:hAnsi="Arial" w:eastAsia="Calibri" w:cs="Arial"/>
          <w:sz w:val="22"/>
          <w:lang w:val="es-ES"/>
        </w:rPr>
      </w:pPr>
    </w:p>
    <w:p w:rsidRPr="005B5E75" w:rsidR="00A43D23" w:rsidP="00A43D23" w:rsidRDefault="00A43D23" w14:paraId="0066AF1D" w14:textId="77777777">
      <w:pPr>
        <w:spacing w:after="120" w:line="276" w:lineRule="auto"/>
        <w:jc w:val="both"/>
        <w:rPr>
          <w:rFonts w:ascii="Arial" w:hAnsi="Arial" w:eastAsia="Calibri" w:cs="Arial"/>
          <w:sz w:val="22"/>
          <w:lang w:val="es-ES"/>
        </w:rPr>
      </w:pPr>
      <w:r w:rsidRPr="005B5E75">
        <w:rPr>
          <w:rFonts w:ascii="Arial" w:hAnsi="Arial" w:eastAsia="Calibri" w:cs="Arial"/>
          <w:sz w:val="22"/>
          <w:lang w:val="es-ES"/>
        </w:rPr>
        <w:t xml:space="preserve">En principio debe indicarse que la obligación de acreditar y pagar aportes de la seguridad social debe abordarse teniendo en cuenta la naturaleza jurídica de quien suscribe el contrato de arrendamiento. </w:t>
      </w:r>
    </w:p>
    <w:p w:rsidRPr="005B5E75" w:rsidR="00A43D23" w:rsidP="00A43D23" w:rsidRDefault="00A43D23" w14:paraId="7E5897D0" w14:textId="77777777">
      <w:pPr>
        <w:spacing w:after="120" w:line="276" w:lineRule="auto"/>
        <w:ind w:firstLine="709"/>
        <w:jc w:val="both"/>
        <w:rPr>
          <w:rFonts w:ascii="Arial" w:hAnsi="Arial" w:cs="Arial"/>
          <w:sz w:val="22"/>
          <w:lang w:val="es-ES"/>
        </w:rPr>
      </w:pPr>
      <w:r w:rsidRPr="005B5E75">
        <w:rPr>
          <w:rFonts w:ascii="Arial" w:hAnsi="Arial" w:cs="Arial"/>
          <w:sz w:val="22"/>
          <w:lang w:val="es-ES"/>
        </w:rPr>
        <w:t xml:space="preserve">En consecuencia, el pago de los aportes al Sistema de Seguridad Social Integral, por parte de los contratistas del Estado, es una obligación contenida en </w:t>
      </w:r>
      <w:r>
        <w:rPr>
          <w:rFonts w:ascii="Arial" w:hAnsi="Arial" w:cs="Arial"/>
          <w:sz w:val="22"/>
          <w:lang w:val="es-ES"/>
        </w:rPr>
        <w:t>la normativa aplicable a</w:t>
      </w:r>
      <w:r w:rsidRPr="005B5E75">
        <w:rPr>
          <w:rFonts w:ascii="Arial" w:hAnsi="Arial" w:cs="Arial"/>
          <w:sz w:val="22"/>
          <w:lang w:val="es-ES"/>
        </w:rPr>
        <w:t xml:space="preserve"> esta materia,</w:t>
      </w:r>
      <w:r>
        <w:rPr>
          <w:rFonts w:ascii="Arial" w:hAnsi="Arial" w:cs="Arial"/>
          <w:sz w:val="22"/>
          <w:lang w:val="es-ES"/>
        </w:rPr>
        <w:t xml:space="preserve"> por lo cual,</w:t>
      </w:r>
      <w:r w:rsidRPr="005B5E75">
        <w:rPr>
          <w:rFonts w:ascii="Arial" w:hAnsi="Arial" w:cs="Arial"/>
          <w:sz w:val="22"/>
          <w:lang w:val="es-ES"/>
        </w:rPr>
        <w:t xml:space="preserve"> es deber de las entidades contratantes verificar el cumplimiento de este mandato, tanto antes de celebrar el contrat</w:t>
      </w:r>
      <w:r>
        <w:rPr>
          <w:rFonts w:ascii="Arial" w:hAnsi="Arial" w:cs="Arial"/>
          <w:sz w:val="22"/>
          <w:lang w:val="es-ES"/>
        </w:rPr>
        <w:t xml:space="preserve">o </w:t>
      </w:r>
      <w:r w:rsidRPr="005B5E75">
        <w:rPr>
          <w:rFonts w:ascii="Arial" w:hAnsi="Arial" w:cs="Arial"/>
          <w:sz w:val="22"/>
          <w:lang w:val="es-ES"/>
        </w:rPr>
        <w:t xml:space="preserve">como durante su ejecución y liquidación, </w:t>
      </w:r>
      <w:r>
        <w:rPr>
          <w:rFonts w:ascii="Arial" w:hAnsi="Arial" w:cs="Arial"/>
          <w:sz w:val="22"/>
          <w:lang w:val="es-ES"/>
        </w:rPr>
        <w:t>esto, de conformidad con</w:t>
      </w:r>
      <w:r w:rsidRPr="005B5E75">
        <w:rPr>
          <w:rFonts w:ascii="Arial" w:hAnsi="Arial" w:cs="Arial"/>
          <w:sz w:val="22"/>
          <w:lang w:val="es-ES"/>
        </w:rPr>
        <w:t xml:space="preserve"> la naturaleza jurídica de la persona con quien se </w:t>
      </w:r>
      <w:r>
        <w:rPr>
          <w:rFonts w:ascii="Arial" w:hAnsi="Arial" w:cs="Arial"/>
          <w:sz w:val="22"/>
          <w:lang w:val="es-ES"/>
        </w:rPr>
        <w:t>celebra</w:t>
      </w:r>
      <w:r w:rsidRPr="005B5E75">
        <w:rPr>
          <w:rFonts w:ascii="Arial" w:hAnsi="Arial" w:cs="Arial"/>
          <w:sz w:val="22"/>
          <w:lang w:val="es-ES"/>
        </w:rPr>
        <w:t xml:space="preserve"> el contrato de arrendamiento. </w:t>
      </w:r>
    </w:p>
    <w:p w:rsidRPr="005B5E75" w:rsidR="00A43D23" w:rsidP="00A43D23" w:rsidRDefault="00A43D23" w14:paraId="27C5142E" w14:textId="77777777">
      <w:pPr>
        <w:spacing w:after="120" w:line="276" w:lineRule="auto"/>
        <w:ind w:firstLine="709"/>
        <w:jc w:val="both"/>
        <w:rPr>
          <w:rFonts w:ascii="Arial" w:hAnsi="Arial" w:eastAsia="Calibri" w:cs="Arial"/>
          <w:sz w:val="22"/>
          <w:lang w:val="es-ES"/>
        </w:rPr>
      </w:pPr>
      <w:r>
        <w:rPr>
          <w:rFonts w:ascii="Arial" w:hAnsi="Arial" w:cs="Arial"/>
          <w:sz w:val="22"/>
          <w:lang w:val="es-ES"/>
        </w:rPr>
        <w:t>Asimismo, l</w:t>
      </w:r>
      <w:r w:rsidRPr="005B5E75">
        <w:rPr>
          <w:rFonts w:ascii="Arial" w:hAnsi="Arial" w:eastAsia="Calibri" w:cs="Arial"/>
          <w:sz w:val="22"/>
          <w:lang w:val="es-ES"/>
        </w:rPr>
        <w:t xml:space="preserve">as entidades </w:t>
      </w:r>
      <w:r>
        <w:rPr>
          <w:rFonts w:ascii="Arial" w:hAnsi="Arial" w:eastAsia="Calibri" w:cs="Arial"/>
          <w:sz w:val="22"/>
          <w:lang w:val="es-ES"/>
        </w:rPr>
        <w:t>estatales</w:t>
      </w:r>
      <w:r w:rsidRPr="005B5E75">
        <w:rPr>
          <w:rFonts w:ascii="Arial" w:hAnsi="Arial" w:eastAsia="Calibri" w:cs="Arial"/>
          <w:sz w:val="22"/>
          <w:lang w:val="es-ES"/>
        </w:rPr>
        <w:t xml:space="preserve"> al liquidar los contratos debe</w:t>
      </w:r>
      <w:r>
        <w:rPr>
          <w:rFonts w:ascii="Arial" w:hAnsi="Arial" w:eastAsia="Calibri" w:cs="Arial"/>
          <w:sz w:val="22"/>
          <w:lang w:val="es-ES"/>
        </w:rPr>
        <w:t>n</w:t>
      </w:r>
      <w:r w:rsidRPr="005B5E75">
        <w:rPr>
          <w:rFonts w:ascii="Arial" w:hAnsi="Arial" w:eastAsia="Calibri" w:cs="Arial"/>
          <w:sz w:val="22"/>
          <w:lang w:val="es-ES"/>
        </w:rPr>
        <w:t xml:space="preserve"> verificar y dejar constancia del cumplimiento de las obligaciones del contratista frente a los aportes mencionados durante toda su vigencia, estableciendo una correcta relación entre el monto cancelado y las sumas que debieron cotiza</w:t>
      </w:r>
      <w:r>
        <w:rPr>
          <w:rFonts w:ascii="Arial" w:hAnsi="Arial" w:eastAsia="Calibri" w:cs="Arial"/>
          <w:sz w:val="22"/>
          <w:lang w:val="es-ES"/>
        </w:rPr>
        <w:t>rse</w:t>
      </w:r>
      <w:r w:rsidRPr="005B5E75">
        <w:rPr>
          <w:rFonts w:ascii="Arial" w:hAnsi="Arial" w:eastAsia="Calibri" w:cs="Arial"/>
          <w:sz w:val="22"/>
          <w:lang w:val="es-ES"/>
        </w:rPr>
        <w:t>.</w:t>
      </w:r>
    </w:p>
    <w:p w:rsidR="00A43D23" w:rsidP="00A43D23" w:rsidRDefault="00A43D23" w14:paraId="4EA3F61C" w14:textId="38F91D4F">
      <w:pPr>
        <w:spacing w:after="120" w:line="276" w:lineRule="auto"/>
        <w:ind w:firstLine="709"/>
        <w:jc w:val="both"/>
        <w:rPr>
          <w:rFonts w:ascii="Arial" w:hAnsi="Arial" w:eastAsia="Calibri" w:cs="Arial"/>
          <w:sz w:val="22"/>
          <w:lang w:val="es-ES"/>
        </w:rPr>
      </w:pPr>
      <w:r>
        <w:rPr>
          <w:rFonts w:ascii="Arial" w:hAnsi="Arial" w:eastAsia="Calibri" w:cs="Arial"/>
          <w:sz w:val="22"/>
          <w:lang w:val="es-ES"/>
        </w:rPr>
        <w:t>Por su parte</w:t>
      </w:r>
      <w:r w:rsidRPr="005B5E75">
        <w:rPr>
          <w:rFonts w:ascii="Arial" w:hAnsi="Arial" w:eastAsia="Calibri" w:cs="Arial"/>
          <w:sz w:val="22"/>
          <w:lang w:val="es-ES"/>
        </w:rPr>
        <w:t xml:space="preserve">, en </w:t>
      </w:r>
      <w:r>
        <w:rPr>
          <w:rFonts w:ascii="Arial" w:hAnsi="Arial" w:eastAsia="Calibri" w:cs="Arial"/>
          <w:sz w:val="22"/>
          <w:lang w:val="es-ES"/>
        </w:rPr>
        <w:t xml:space="preserve">el </w:t>
      </w:r>
      <w:r w:rsidRPr="005B5E75">
        <w:rPr>
          <w:rFonts w:ascii="Arial" w:hAnsi="Arial" w:eastAsia="Calibri" w:cs="Arial"/>
          <w:sz w:val="22"/>
          <w:lang w:val="es-ES"/>
        </w:rPr>
        <w:t xml:space="preserve">marco de un contrato de arrendamiento de bienes la </w:t>
      </w:r>
      <w:r>
        <w:rPr>
          <w:rFonts w:ascii="Arial" w:hAnsi="Arial" w:eastAsia="Calibri" w:cs="Arial"/>
          <w:sz w:val="22"/>
          <w:lang w:val="es-ES"/>
        </w:rPr>
        <w:t>e</w:t>
      </w:r>
      <w:r w:rsidRPr="005B5E75">
        <w:rPr>
          <w:rFonts w:ascii="Arial" w:hAnsi="Arial" w:eastAsia="Calibri" w:cs="Arial"/>
          <w:sz w:val="22"/>
          <w:lang w:val="es-ES"/>
        </w:rPr>
        <w:t xml:space="preserve">ntidad </w:t>
      </w:r>
      <w:r>
        <w:rPr>
          <w:rFonts w:ascii="Arial" w:hAnsi="Arial" w:eastAsia="Calibri" w:cs="Arial"/>
          <w:sz w:val="22"/>
          <w:lang w:val="es-ES"/>
        </w:rPr>
        <w:t>e</w:t>
      </w:r>
      <w:r w:rsidRPr="005B5E75">
        <w:rPr>
          <w:rFonts w:ascii="Arial" w:hAnsi="Arial" w:eastAsia="Calibri" w:cs="Arial"/>
          <w:sz w:val="22"/>
          <w:lang w:val="es-ES"/>
        </w:rPr>
        <w:t xml:space="preserve">statal se encuentra en la obligación de solicitar al arrendador persona natural la acreditación de los aportes al sistema de seguridad social antes de pagar el canon de </w:t>
      </w:r>
      <w:r w:rsidRPr="005B5E75">
        <w:rPr>
          <w:rFonts w:ascii="Arial" w:hAnsi="Arial" w:eastAsia="Calibri" w:cs="Arial"/>
          <w:sz w:val="22"/>
          <w:lang w:val="es-ES"/>
        </w:rPr>
        <w:lastRenderedPageBreak/>
        <w:t>arrendamiento, con el fin de verificar el aporte al sistema y su monto</w:t>
      </w:r>
      <w:r>
        <w:rPr>
          <w:rFonts w:ascii="Arial" w:hAnsi="Arial" w:eastAsia="Calibri" w:cs="Arial"/>
          <w:sz w:val="22"/>
          <w:lang w:val="es-ES"/>
        </w:rPr>
        <w:t>, de conformidad con la normativ</w:t>
      </w:r>
      <w:r w:rsidR="002D27B5">
        <w:rPr>
          <w:rFonts w:ascii="Arial" w:hAnsi="Arial" w:eastAsia="Calibri" w:cs="Arial"/>
          <w:sz w:val="22"/>
          <w:lang w:val="es-ES"/>
        </w:rPr>
        <w:t>id</w:t>
      </w:r>
      <w:r>
        <w:rPr>
          <w:rFonts w:ascii="Arial" w:hAnsi="Arial" w:eastAsia="Calibri" w:cs="Arial"/>
          <w:sz w:val="22"/>
          <w:lang w:val="es-ES"/>
        </w:rPr>
        <w:t>a</w:t>
      </w:r>
      <w:r w:rsidR="002D27B5">
        <w:rPr>
          <w:rFonts w:ascii="Arial" w:hAnsi="Arial" w:eastAsia="Calibri" w:cs="Arial"/>
          <w:sz w:val="22"/>
          <w:lang w:val="es-ES"/>
        </w:rPr>
        <w:t>d</w:t>
      </w:r>
      <w:r>
        <w:rPr>
          <w:rFonts w:ascii="Arial" w:hAnsi="Arial" w:eastAsia="Calibri" w:cs="Arial"/>
          <w:sz w:val="22"/>
          <w:lang w:val="es-ES"/>
        </w:rPr>
        <w:t xml:space="preserve"> vigente.</w:t>
      </w:r>
      <w:r w:rsidRPr="005B5E75">
        <w:rPr>
          <w:rFonts w:ascii="Arial" w:hAnsi="Arial" w:eastAsia="Calibri" w:cs="Arial"/>
          <w:sz w:val="22"/>
          <w:lang w:val="es-ES"/>
        </w:rPr>
        <w:t xml:space="preserve"> </w:t>
      </w:r>
    </w:p>
    <w:p w:rsidRPr="005B5E75" w:rsidR="00A43D23" w:rsidP="00A43D23" w:rsidRDefault="00A43D23" w14:paraId="0325825E" w14:textId="77777777">
      <w:pPr>
        <w:spacing w:line="276" w:lineRule="auto"/>
        <w:ind w:firstLine="709"/>
        <w:jc w:val="both"/>
        <w:rPr>
          <w:rFonts w:ascii="Arial" w:hAnsi="Arial" w:eastAsia="Calibri" w:cs="Arial"/>
          <w:sz w:val="22"/>
          <w:lang w:val="es-ES"/>
        </w:rPr>
      </w:pPr>
      <w:r>
        <w:rPr>
          <w:rFonts w:ascii="Arial" w:hAnsi="Arial" w:eastAsia="Calibri" w:cs="Arial"/>
          <w:sz w:val="22"/>
          <w:lang w:val="es-ES"/>
        </w:rPr>
        <w:t xml:space="preserve">Finalmente, es preciso </w:t>
      </w:r>
      <w:r w:rsidRPr="005B5E75">
        <w:rPr>
          <w:rFonts w:ascii="Arial" w:hAnsi="Arial" w:eastAsia="Calibri" w:cs="Arial"/>
          <w:sz w:val="22"/>
          <w:lang w:val="es-ES"/>
        </w:rPr>
        <w:t>ten</w:t>
      </w:r>
      <w:r>
        <w:rPr>
          <w:rFonts w:ascii="Arial" w:hAnsi="Arial" w:eastAsia="Calibri" w:cs="Arial"/>
          <w:sz w:val="22"/>
          <w:lang w:val="es-ES"/>
        </w:rPr>
        <w:t>er</w:t>
      </w:r>
      <w:r w:rsidRPr="005B5E75">
        <w:rPr>
          <w:rFonts w:ascii="Arial" w:hAnsi="Arial" w:eastAsia="Calibri" w:cs="Arial"/>
          <w:sz w:val="22"/>
          <w:lang w:val="es-ES"/>
        </w:rPr>
        <w:t xml:space="preserve"> en cuenta que el arrendador, cuando es una persona natural</w:t>
      </w:r>
      <w:r>
        <w:rPr>
          <w:rFonts w:ascii="Arial" w:hAnsi="Arial" w:eastAsia="Calibri" w:cs="Arial"/>
          <w:sz w:val="22"/>
          <w:lang w:val="es-ES"/>
        </w:rPr>
        <w:t>,</w:t>
      </w:r>
      <w:r w:rsidRPr="005B5E75">
        <w:rPr>
          <w:rFonts w:ascii="Arial" w:hAnsi="Arial" w:eastAsia="Calibri" w:cs="Arial"/>
          <w:sz w:val="22"/>
          <w:lang w:val="es-ES"/>
        </w:rPr>
        <w:t xml:space="preserve"> se le considera rentista de capital y</w:t>
      </w:r>
      <w:r>
        <w:rPr>
          <w:rFonts w:ascii="Arial" w:hAnsi="Arial" w:eastAsia="Calibri" w:cs="Arial"/>
          <w:sz w:val="22"/>
          <w:lang w:val="es-ES"/>
        </w:rPr>
        <w:t>,</w:t>
      </w:r>
      <w:r w:rsidRPr="005B5E75">
        <w:rPr>
          <w:rFonts w:ascii="Arial" w:hAnsi="Arial" w:eastAsia="Calibri" w:cs="Arial"/>
          <w:sz w:val="22"/>
          <w:lang w:val="es-ES"/>
        </w:rPr>
        <w:t xml:space="preserve"> por tal razón</w:t>
      </w:r>
      <w:r>
        <w:rPr>
          <w:rFonts w:ascii="Arial" w:hAnsi="Arial" w:eastAsia="Calibri" w:cs="Arial"/>
          <w:sz w:val="22"/>
          <w:lang w:val="es-ES"/>
        </w:rPr>
        <w:t xml:space="preserve">, </w:t>
      </w:r>
      <w:r w:rsidRPr="005B5E75">
        <w:rPr>
          <w:rFonts w:ascii="Arial" w:hAnsi="Arial" w:eastAsia="Calibri" w:cs="Arial"/>
          <w:sz w:val="22"/>
          <w:lang w:val="es-ES"/>
        </w:rPr>
        <w:t>se encuentra obligado a cotizar como independiente al Sistema de Seguridad Social Integral, si percibe una renta neta igual o superior a un salario mínimo legal mensual vigente, de conformidad con el artículo 244 de la Ley 1955 de 2019.</w:t>
      </w:r>
    </w:p>
    <w:p w:rsidRPr="005B5E75" w:rsidR="00A43D23" w:rsidP="004C5CA1" w:rsidRDefault="00A43D23" w14:paraId="7E4B54D7" w14:textId="77777777">
      <w:pPr>
        <w:spacing w:after="120" w:line="276" w:lineRule="auto"/>
        <w:jc w:val="both"/>
        <w:rPr>
          <w:rFonts w:ascii="Arial" w:hAnsi="Arial" w:eastAsia="Calibri" w:cs="Arial"/>
          <w:sz w:val="22"/>
          <w:lang w:val="es-ES"/>
        </w:rPr>
      </w:pPr>
    </w:p>
    <w:p w:rsidRPr="005B5E75" w:rsidR="00A43D23" w:rsidP="00A43D23" w:rsidRDefault="00A43D23" w14:paraId="2B02B7E3" w14:textId="77777777">
      <w:pPr>
        <w:spacing w:line="276" w:lineRule="auto"/>
        <w:jc w:val="both"/>
        <w:rPr>
          <w:rFonts w:ascii="Arial" w:hAnsi="Arial" w:eastAsia="Calibri" w:cs="Arial"/>
          <w:sz w:val="22"/>
          <w:lang w:val="es-ES"/>
        </w:rPr>
      </w:pPr>
      <w:r w:rsidRPr="005B5E75">
        <w:rPr>
          <w:rFonts w:ascii="Arial" w:hAnsi="Arial" w:eastAsia="Calibri" w:cs="Arial"/>
          <w:sz w:val="22"/>
          <w:lang w:val="es-ES"/>
        </w:rPr>
        <w:t>Este concepto tiene el alcance previsto en el artículo 28 del Código de Procedimiento Administrativo y de lo Contencioso Administrativo.</w:t>
      </w:r>
    </w:p>
    <w:p w:rsidRPr="005B5E75" w:rsidR="00A43D23" w:rsidP="00A43D23" w:rsidRDefault="00A43D23" w14:paraId="22555C01" w14:textId="77777777">
      <w:pPr>
        <w:spacing w:line="276" w:lineRule="auto"/>
        <w:jc w:val="both"/>
        <w:rPr>
          <w:rFonts w:ascii="Arial" w:hAnsi="Arial" w:eastAsia="Calibri" w:cs="Arial"/>
          <w:sz w:val="22"/>
          <w:lang w:val="es-ES"/>
        </w:rPr>
      </w:pPr>
      <w:r w:rsidRPr="005B5E75">
        <w:rPr>
          <w:rFonts w:ascii="Arial" w:hAnsi="Arial" w:cs="Arial"/>
          <w:noProof/>
          <w:lang w:val="es-ES"/>
        </w:rPr>
        <mc:AlternateContent>
          <mc:Choice Requires="wps">
            <w:drawing>
              <wp:anchor distT="0" distB="0" distL="114300" distR="114300" simplePos="0" relativeHeight="251658240" behindDoc="0" locked="0" layoutInCell="1" allowOverlap="1" wp14:anchorId="2A654F82" wp14:editId="0BA80A9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637A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005B67A3" w:rsidP="005B67A3" w:rsidRDefault="005B67A3" w14:paraId="64460DE3" w14:textId="77777777">
      <w:pPr>
        <w:rPr>
          <w:rFonts w:ascii="Arial" w:hAnsi="Arial" w:cs="Arial"/>
          <w:sz w:val="22"/>
          <w:lang w:eastAsia="es-CO"/>
        </w:rPr>
      </w:pPr>
      <w:bookmarkStart w:name="_Hlk50986665" w:id="2"/>
      <w:r>
        <w:rPr>
          <w:rFonts w:ascii="Arial" w:hAnsi="Arial" w:cs="Arial"/>
          <w:sz w:val="22"/>
          <w:lang w:eastAsia="es-CO"/>
        </w:rPr>
        <w:t>Atentamente,</w:t>
      </w:r>
    </w:p>
    <w:p w:rsidR="005B67A3" w:rsidP="005B67A3" w:rsidRDefault="005B67A3" w14:paraId="6E8F97D3" w14:textId="77777777">
      <w:pPr>
        <w:rPr>
          <w:rFonts w:ascii="Arial" w:hAnsi="Arial" w:cs="Arial"/>
          <w:sz w:val="22"/>
          <w:lang w:val="en-GB" w:eastAsia="es-CO"/>
        </w:rPr>
      </w:pPr>
    </w:p>
    <w:p w:rsidR="005B67A3" w:rsidP="242D4DA9" w:rsidRDefault="005B67A3" w14:paraId="15C07C1B" w14:textId="0462BF01">
      <w:pPr>
        <w:pStyle w:val="Normal"/>
        <w:jc w:val="center"/>
      </w:pPr>
      <w:r w:rsidR="55B5F3FA">
        <w:drawing>
          <wp:inline wp14:editId="391ED01C" wp14:anchorId="7E4C5328">
            <wp:extent cx="2371725" cy="1000125"/>
            <wp:effectExtent l="0" t="0" r="0" b="0"/>
            <wp:docPr id="1201478902" name="" title=""/>
            <wp:cNvGraphicFramePr>
              <a:graphicFrameLocks noChangeAspect="1"/>
            </wp:cNvGraphicFramePr>
            <a:graphic>
              <a:graphicData uri="http://schemas.openxmlformats.org/drawingml/2006/picture">
                <pic:pic>
                  <pic:nvPicPr>
                    <pic:cNvPr id="0" name=""/>
                    <pic:cNvPicPr/>
                  </pic:nvPicPr>
                  <pic:blipFill>
                    <a:blip r:embed="R4424e6a29876462e">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005B67A3" w:rsidP="005B67A3" w:rsidRDefault="005B67A3" w14:paraId="1465D46E" w14:textId="77777777">
      <w:pPr>
        <w:jc w:val="center"/>
        <w:rPr>
          <w:rFonts w:ascii="Arial" w:hAnsi="Arial" w:cs="Arial"/>
          <w:sz w:val="18"/>
          <w:szCs w:val="20"/>
          <w:lang w:eastAsia="es-CO"/>
        </w:rPr>
      </w:pPr>
    </w:p>
    <w:p w:rsidR="005B67A3" w:rsidP="005B67A3" w:rsidRDefault="005B67A3" w14:paraId="2193316A"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5B67A3" w:rsidTr="004C5CA1" w14:paraId="363CA62C" w14:textId="77777777">
        <w:trPr>
          <w:trHeight w:val="315"/>
        </w:trPr>
        <w:tc>
          <w:tcPr>
            <w:tcW w:w="812" w:type="dxa"/>
            <w:vAlign w:val="center"/>
            <w:hideMark/>
          </w:tcPr>
          <w:p w:rsidR="005B67A3" w:rsidP="00246130" w:rsidRDefault="005B67A3" w14:paraId="26DB84DA"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5B67A3" w:rsidP="00246130" w:rsidRDefault="005B67A3" w14:paraId="4E8474C3" w14:textId="77777777">
            <w:pPr>
              <w:rPr>
                <w:rFonts w:ascii="Arial" w:hAnsi="Arial" w:cs="Arial"/>
                <w:sz w:val="16"/>
                <w:szCs w:val="16"/>
                <w:lang w:eastAsia="es-ES"/>
              </w:rPr>
            </w:pPr>
            <w:r>
              <w:rPr>
                <w:rFonts w:ascii="Arial" w:hAnsi="Arial" w:cs="Arial"/>
                <w:sz w:val="16"/>
                <w:szCs w:val="16"/>
                <w:lang w:eastAsia="es-ES"/>
              </w:rPr>
              <w:t>Ximena Ríos López</w:t>
            </w:r>
          </w:p>
          <w:p w:rsidR="005B67A3" w:rsidP="00246130" w:rsidRDefault="005B67A3" w14:paraId="4A804750" w14:textId="3BB658C5">
            <w:pPr>
              <w:rPr>
                <w:rFonts w:ascii="Arial" w:hAnsi="Arial" w:cs="Arial"/>
                <w:sz w:val="16"/>
                <w:szCs w:val="16"/>
                <w:lang w:eastAsia="es-ES"/>
              </w:rPr>
            </w:pPr>
            <w:r>
              <w:rPr>
                <w:rFonts w:ascii="Arial" w:hAnsi="Arial" w:cs="Arial"/>
                <w:sz w:val="16"/>
                <w:szCs w:val="16"/>
                <w:lang w:eastAsia="es-ES"/>
              </w:rPr>
              <w:t>Gestor T1-11</w:t>
            </w:r>
            <w:r w:rsidR="007B4A1C">
              <w:rPr>
                <w:rFonts w:ascii="Arial" w:hAnsi="Arial" w:cs="Arial"/>
                <w:sz w:val="16"/>
                <w:szCs w:val="16"/>
                <w:lang w:eastAsia="es-ES"/>
              </w:rPr>
              <w:t xml:space="preserve"> de la Subdirección de Gestión Contractual</w:t>
            </w:r>
          </w:p>
        </w:tc>
      </w:tr>
      <w:tr w:rsidR="005B67A3" w:rsidTr="004C5CA1" w14:paraId="1F286153" w14:textId="77777777">
        <w:trPr>
          <w:trHeight w:val="330"/>
        </w:trPr>
        <w:tc>
          <w:tcPr>
            <w:tcW w:w="812" w:type="dxa"/>
            <w:vAlign w:val="center"/>
            <w:hideMark/>
          </w:tcPr>
          <w:p w:rsidR="005B67A3" w:rsidP="00246130" w:rsidRDefault="005B67A3" w14:paraId="4FBFC538" w14:textId="77777777">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B67A3" w:rsidP="00246130" w:rsidRDefault="005B67A3" w14:paraId="0AFDCA04" w14:textId="77777777">
            <w:pPr>
              <w:rPr>
                <w:rFonts w:ascii="Arial" w:hAnsi="Arial" w:cs="Arial"/>
                <w:sz w:val="16"/>
                <w:szCs w:val="16"/>
                <w:lang w:eastAsia="es-ES"/>
              </w:rPr>
            </w:pPr>
            <w:r>
              <w:rPr>
                <w:rFonts w:ascii="Arial" w:hAnsi="Arial" w:cs="Arial"/>
                <w:sz w:val="16"/>
                <w:szCs w:val="16"/>
                <w:lang w:eastAsia="es-ES"/>
              </w:rPr>
              <w:t>Juan David Montoya Penagos</w:t>
            </w:r>
          </w:p>
          <w:p w:rsidR="005B67A3" w:rsidP="00246130" w:rsidRDefault="007B4A1C" w14:paraId="453BB8AB" w14:textId="1C8EC67F">
            <w:pPr>
              <w:jc w:val="both"/>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5B67A3" w:rsidTr="004C5CA1" w14:paraId="61CB68EB" w14:textId="77777777">
        <w:trPr>
          <w:trHeight w:val="300"/>
        </w:trPr>
        <w:tc>
          <w:tcPr>
            <w:tcW w:w="812" w:type="dxa"/>
            <w:vAlign w:val="center"/>
            <w:hideMark/>
          </w:tcPr>
          <w:p w:rsidR="005B67A3" w:rsidP="00246130" w:rsidRDefault="005B67A3" w14:paraId="6B2A6186" w14:textId="77777777">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B67A3" w:rsidP="00246130" w:rsidRDefault="005B67A3" w14:paraId="53EC509B" w14:textId="77777777">
            <w:pPr>
              <w:rPr>
                <w:rFonts w:ascii="Arial" w:hAnsi="Arial" w:cs="Arial"/>
                <w:sz w:val="16"/>
                <w:szCs w:val="16"/>
                <w:lang w:eastAsia="es-ES"/>
              </w:rPr>
            </w:pPr>
            <w:r>
              <w:rPr>
                <w:rFonts w:ascii="Arial" w:hAnsi="Arial" w:cs="Arial"/>
                <w:sz w:val="16"/>
                <w:szCs w:val="16"/>
                <w:lang w:eastAsia="es-ES"/>
              </w:rPr>
              <w:t>Jorge Augusto Tirado Navarro</w:t>
            </w:r>
          </w:p>
          <w:p w:rsidR="005B67A3" w:rsidP="00246130" w:rsidRDefault="005B67A3" w14:paraId="2BDD3F20" w14:textId="77777777">
            <w:pPr>
              <w:jc w:val="both"/>
              <w:rPr>
                <w:rFonts w:ascii="Arial" w:hAnsi="Arial" w:cs="Arial"/>
                <w:sz w:val="16"/>
                <w:szCs w:val="16"/>
                <w:lang w:eastAsia="es-ES"/>
              </w:rPr>
            </w:pPr>
            <w:r>
              <w:rPr>
                <w:rFonts w:ascii="Arial" w:hAnsi="Arial" w:cs="Arial"/>
                <w:sz w:val="16"/>
                <w:szCs w:val="16"/>
                <w:lang w:eastAsia="es-ES"/>
              </w:rPr>
              <w:t>Subdirector de Gestión Contractual</w:t>
            </w:r>
          </w:p>
        </w:tc>
      </w:tr>
      <w:bookmarkEnd w:id="2"/>
    </w:tbl>
    <w:p w:rsidRPr="00F30ACD" w:rsidR="005B67A3" w:rsidP="005B67A3" w:rsidRDefault="005B67A3" w14:paraId="67446A80" w14:textId="77777777"/>
    <w:p w:rsidRPr="000C0CC7" w:rsidR="00746E08" w:rsidP="000C0CC7" w:rsidRDefault="00746E08" w14:paraId="35B56F46" w14:textId="77777777"/>
    <w:sectPr w:rsidRPr="000C0CC7"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2EC7" w:rsidRDefault="006F2EC7" w14:paraId="7B7D1B65" w14:textId="77777777">
      <w:r>
        <w:separator/>
      </w:r>
    </w:p>
  </w:endnote>
  <w:endnote w:type="continuationSeparator" w:id="0">
    <w:p w:rsidR="006F2EC7" w:rsidRDefault="006F2EC7" w14:paraId="18B3AEE8" w14:textId="77777777">
      <w:r>
        <w:continuationSeparator/>
      </w:r>
    </w:p>
  </w:endnote>
  <w:endnote w:type="continuationNotice" w:id="1">
    <w:p w:rsidR="006F2EC7" w:rsidRDefault="006F2EC7" w14:paraId="6764C8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C0CC7" w:rsidR="00F475DF" w:rsidP="00322937" w:rsidRDefault="00F475DF" w14:paraId="62F02A34" w14:textId="77777777">
    <w:pPr>
      <w:pStyle w:val="Sinespaciado"/>
      <w:jc w:val="right"/>
      <w:rPr>
        <w:rFonts w:ascii="Arial" w:hAnsi="Arial" w:cs="Arial"/>
        <w:sz w:val="12"/>
        <w:szCs w:val="12"/>
      </w:rPr>
    </w:pPr>
  </w:p>
  <w:p w:rsidRPr="008217B7" w:rsidR="00F475DF" w:rsidP="00FE42ED" w:rsidRDefault="00F475DF" w14:paraId="7A3785F3" w14:textId="6BB64FA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rsidR="00F475DF" w:rsidP="00322937" w:rsidRDefault="72751FCB" w14:paraId="48FC6A04" w14:textId="5FD1A7C9">
    <w:pPr>
      <w:pStyle w:val="Piedepgina"/>
      <w:jc w:val="center"/>
      <w:rPr>
        <w:lang w:val="es-ES"/>
      </w:rPr>
    </w:pPr>
    <w:r w:rsidR="242D4DA9">
      <w:drawing>
        <wp:inline wp14:editId="58223DC5" wp14:anchorId="608B196D">
          <wp:extent cx="3700130" cy="519139"/>
          <wp:effectExtent l="0" t="0" r="0" b="0"/>
          <wp:docPr id="1928511499" name="Imagen 3" title=""/>
          <wp:cNvGraphicFramePr>
            <a:graphicFrameLocks noChangeAspect="1"/>
          </wp:cNvGraphicFramePr>
          <a:graphic>
            <a:graphicData uri="http://schemas.openxmlformats.org/drawingml/2006/picture">
              <pic:pic>
                <pic:nvPicPr>
                  <pic:cNvPr id="0" name="Imagen 3"/>
                  <pic:cNvPicPr/>
                </pic:nvPicPr>
                <pic:blipFill>
                  <a:blip r:embed="R15c26e1c8a3744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0C0CC7" w:rsidR="00F475DF" w:rsidP="007B0854" w:rsidRDefault="00F475DF" w14:paraId="5D0E988C" w14:textId="77777777">
    <w:pPr>
      <w:pStyle w:val="Piedepgina"/>
      <w:jc w:val="center"/>
      <w:rPr>
        <w:sz w:val="22"/>
        <w:szCs w:val="22"/>
        <w:lang w:val="es-ES"/>
      </w:rPr>
    </w:pPr>
  </w:p>
  <w:p w:rsidRPr="007B0854" w:rsidR="00F475DF" w:rsidP="007B0854" w:rsidRDefault="00F475DF"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2EC7" w:rsidRDefault="006F2EC7" w14:paraId="41076AE6" w14:textId="77777777">
      <w:r>
        <w:separator/>
      </w:r>
    </w:p>
  </w:footnote>
  <w:footnote w:type="continuationSeparator" w:id="0">
    <w:p w:rsidR="006F2EC7" w:rsidRDefault="006F2EC7" w14:paraId="1E8F0511" w14:textId="77777777">
      <w:r>
        <w:continuationSeparator/>
      </w:r>
    </w:p>
  </w:footnote>
  <w:footnote w:type="continuationNotice" w:id="1">
    <w:p w:rsidR="006F2EC7" w:rsidRDefault="006F2EC7" w14:paraId="0347C55F" w14:textId="77777777"/>
  </w:footnote>
  <w:footnote w:id="2">
    <w:p w:rsidRPr="00E0516F" w:rsidR="00A43D23" w:rsidP="00A43D23" w:rsidRDefault="00A43D23" w14:paraId="38E852D4" w14:textId="77777777">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En palabras de José Alejandro Bonivento Fernández: «El arrendamiento es el contrato en virtud del cual una de las partes se obliga a proporcionarle a otra el uso y goce de una cosa, durante cierto tiempo, y ésta a pagar, como contraprestación, un precio determinado.</w:t>
      </w:r>
    </w:p>
    <w:p w:rsidRPr="00E0516F" w:rsidR="00A43D23" w:rsidP="00A43D23" w:rsidRDefault="00A43D23" w14:paraId="43BE561F" w14:textId="77777777">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»La parte que proporciona el goce se llama arrendador y la parte que da el precio arrendatario. También se conoce con el nombre de inquilino cuando se trata de arrendamiento de casas, almacenes u otros edificios, y colono cuando el goce radica en predio rústico» (BONIVENTO FERNÁNDEZ, José Alejandro. Los principales contratos civiles y su paralelo con los comerciales. 16ª ed. Bogotá: Librería Ediciones del Profesional, 2004. p. 401</w:t>
      </w:r>
      <w:r>
        <w:rPr>
          <w:rFonts w:ascii="Arial" w:hAnsi="Arial" w:cs="Arial"/>
          <w:color w:val="000000" w:themeColor="text1"/>
          <w:sz w:val="19"/>
          <w:szCs w:val="19"/>
          <w:lang w:val="es-ES"/>
        </w:rPr>
        <w:t>)</w:t>
      </w:r>
      <w:r w:rsidRPr="00E0516F">
        <w:rPr>
          <w:rFonts w:ascii="Arial" w:hAnsi="Arial" w:cs="Arial"/>
          <w:color w:val="000000" w:themeColor="text1"/>
          <w:sz w:val="19"/>
          <w:szCs w:val="19"/>
          <w:lang w:val="es-ES"/>
        </w:rPr>
        <w:t xml:space="preserve">. </w:t>
      </w:r>
    </w:p>
    <w:p w:rsidRPr="00E0516F" w:rsidR="00A43D23" w:rsidP="00A43D23" w:rsidRDefault="00A43D23" w14:paraId="77FACB8F" w14:textId="77777777">
      <w:pPr>
        <w:pStyle w:val="Textonotapie"/>
        <w:ind w:firstLine="709"/>
        <w:jc w:val="both"/>
        <w:rPr>
          <w:rFonts w:ascii="Arial" w:hAnsi="Arial" w:cs="Arial"/>
          <w:color w:val="000000" w:themeColor="text1"/>
          <w:sz w:val="19"/>
          <w:szCs w:val="19"/>
          <w:lang w:val="es-ES"/>
        </w:rPr>
      </w:pPr>
    </w:p>
  </w:footnote>
  <w:footnote w:id="3">
    <w:p w:rsidRPr="00E0516F" w:rsidR="00A43D23" w:rsidP="00A43D23" w:rsidRDefault="00A43D23" w14:paraId="6B602728" w14:textId="77777777">
      <w:pPr>
        <w:pStyle w:val="Textonotapie"/>
        <w:ind w:firstLine="708"/>
        <w:jc w:val="both"/>
        <w:rPr>
          <w:rFonts w:ascii="Arial" w:hAnsi="Arial" w:cs="Arial"/>
          <w:sz w:val="19"/>
          <w:szCs w:val="19"/>
        </w:rPr>
      </w:pPr>
      <w:r w:rsidRPr="00E0516F">
        <w:rPr>
          <w:rStyle w:val="Refdenotaalpie"/>
          <w:rFonts w:ascii="Arial" w:hAnsi="Arial" w:cs="Arial"/>
          <w:sz w:val="19"/>
          <w:szCs w:val="19"/>
        </w:rPr>
        <w:footnoteRef/>
      </w:r>
      <w:r w:rsidRPr="00E0516F">
        <w:rPr>
          <w:rFonts w:ascii="Arial" w:hAnsi="Arial" w:cs="Arial"/>
          <w:sz w:val="19"/>
          <w:szCs w:val="19"/>
        </w:rPr>
        <w:t xml:space="preserve"> Lo anterior bajo </w:t>
      </w:r>
      <w:r>
        <w:rPr>
          <w:rFonts w:ascii="Arial" w:hAnsi="Arial" w:cs="Arial"/>
          <w:sz w:val="19"/>
          <w:szCs w:val="19"/>
        </w:rPr>
        <w:t>el régimen del derecho privado</w:t>
      </w:r>
      <w:r w:rsidRPr="00E0516F">
        <w:rPr>
          <w:rFonts w:ascii="Arial" w:hAnsi="Arial" w:cs="Arial"/>
          <w:sz w:val="19"/>
          <w:szCs w:val="19"/>
        </w:rPr>
        <w:t>; sin perjuicio de que cuando se trata de un contrato estatal, se deben cumplir los requisitos de perfeccionamiento establecidos en el artículo 41 de la Ley 80 de 1993.</w:t>
      </w:r>
    </w:p>
    <w:p w:rsidR="00A43D23" w:rsidP="00A43D23" w:rsidRDefault="00A43D23" w14:paraId="62CB0D42" w14:textId="77777777">
      <w:pPr>
        <w:pStyle w:val="Textonotapie"/>
        <w:ind w:firstLine="708"/>
      </w:pPr>
    </w:p>
  </w:footnote>
  <w:footnote w:id="4">
    <w:p w:rsidRPr="00E0516F" w:rsidR="00A43D23" w:rsidP="00A43D23" w:rsidRDefault="00A43D23" w14:paraId="22C89431"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Ibíd., pp. 401-402.</w:t>
      </w:r>
    </w:p>
    <w:p w:rsidRPr="00E0516F" w:rsidR="00A43D23" w:rsidP="00A43D23" w:rsidRDefault="00A43D23" w14:paraId="03E9CEE8" w14:textId="77777777">
      <w:pPr>
        <w:pStyle w:val="Textonotapie"/>
        <w:ind w:firstLine="709"/>
        <w:jc w:val="both"/>
        <w:rPr>
          <w:rFonts w:ascii="Arial" w:hAnsi="Arial" w:cs="Arial"/>
          <w:color w:val="000000" w:themeColor="text1"/>
          <w:sz w:val="19"/>
          <w:szCs w:val="19"/>
        </w:rPr>
      </w:pPr>
    </w:p>
  </w:footnote>
  <w:footnote w:id="5">
    <w:p w:rsidRPr="00E0516F" w:rsidR="00A43D23" w:rsidP="00A43D23" w:rsidRDefault="00A43D23" w14:paraId="3BB3491D" w14:textId="77777777">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DÁVILA VINUEZA, Luis Guillermo. Régimen jurídico de la contratación estatal. 3ª ed. Bogotá: Legis, 2016. p. 505.</w:t>
      </w:r>
    </w:p>
    <w:p w:rsidRPr="00E0516F" w:rsidR="00A43D23" w:rsidP="00A43D23" w:rsidRDefault="00A43D23" w14:paraId="6808A52A" w14:textId="77777777">
      <w:pPr>
        <w:pStyle w:val="Textonotapie"/>
        <w:ind w:firstLine="709"/>
        <w:jc w:val="both"/>
        <w:rPr>
          <w:rFonts w:ascii="Arial" w:hAnsi="Arial" w:cs="Arial"/>
          <w:color w:val="000000" w:themeColor="text1"/>
          <w:sz w:val="19"/>
          <w:szCs w:val="19"/>
          <w:lang w:val="es-ES"/>
        </w:rPr>
      </w:pPr>
    </w:p>
  </w:footnote>
  <w:footnote w:id="6">
    <w:p w:rsidRPr="00E0516F" w:rsidR="00A43D23" w:rsidP="00A43D23" w:rsidRDefault="00A43D23" w14:paraId="2EB52EF9" w14:textId="77777777">
      <w:pPr>
        <w:pStyle w:val="Textonotapie"/>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val="es-ES"/>
        </w:rPr>
        <w:t>Así también lo ratifica el Decreto 1082 de 2015: «Artículo 2.2.1.2.1.4.11. Arrendamiento de bienes inmuebles. Las Entidades Estatales pueden alquilar o arrendar inmuebles mediante contratación directa para lo cual deben seguir las siguientes reglas:</w:t>
      </w:r>
    </w:p>
    <w:p w:rsidRPr="00E0516F" w:rsidR="00A43D23" w:rsidP="00A43D23" w:rsidRDefault="00A43D23" w14:paraId="77D7E3D1" w14:textId="77777777">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»1. Verificar las condiciones del mercado inmobiliario en la ciudad en la que la Entidad Estatal requiere el inmueble.</w:t>
      </w:r>
    </w:p>
    <w:p w:rsidRPr="00E0516F" w:rsidR="00A43D23" w:rsidP="00A43D23" w:rsidRDefault="00A43D23" w14:paraId="304BAF34" w14:textId="77777777">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»2. Analizar y comparar las condiciones de los bienes inmuebles que satisfacen las necesidades identificadas y las opciones de arrendamiento, análisis que deberá tener en cuenta los principios y objetivos del sistema de compra y contratación pública».</w:t>
      </w:r>
    </w:p>
    <w:p w:rsidRPr="00E0516F" w:rsidR="00A43D23" w:rsidP="00A43D23" w:rsidRDefault="00A43D23" w14:paraId="628D357B" w14:textId="77777777">
      <w:pPr>
        <w:pStyle w:val="Textonotapie"/>
        <w:ind w:firstLine="709"/>
        <w:jc w:val="both"/>
        <w:rPr>
          <w:rFonts w:ascii="Arial" w:hAnsi="Arial" w:cs="Arial"/>
          <w:color w:val="000000" w:themeColor="text1"/>
          <w:sz w:val="19"/>
          <w:szCs w:val="19"/>
          <w:lang w:val="es-ES"/>
        </w:rPr>
      </w:pPr>
    </w:p>
  </w:footnote>
  <w:footnote w:id="7">
    <w:p w:rsidRPr="00E0516F" w:rsidR="00A43D23" w:rsidP="00A43D23" w:rsidRDefault="00A43D23" w14:paraId="5E49967C"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«Sin precio no se puede hablar de arrendamiento. Si falta, se convierte el acto jurídico en comodato, de que trata el artículo 2200 del Código Civil, si la intención es liberal por parte de quien permite el uso y goce de la cosa» (BONIVENTO, Op.cit., p. 410).</w:t>
      </w:r>
    </w:p>
    <w:p w:rsidRPr="00E0516F" w:rsidR="00A43D23" w:rsidP="00A43D23" w:rsidRDefault="00A43D23" w14:paraId="481EF4FA" w14:textId="77777777">
      <w:pPr>
        <w:pStyle w:val="Textonotapie"/>
        <w:ind w:firstLine="709"/>
        <w:jc w:val="both"/>
        <w:rPr>
          <w:rFonts w:ascii="Arial" w:hAnsi="Arial" w:cs="Arial"/>
          <w:color w:val="000000" w:themeColor="text1"/>
          <w:sz w:val="19"/>
          <w:szCs w:val="19"/>
        </w:rPr>
      </w:pPr>
    </w:p>
  </w:footnote>
  <w:footnote w:id="8">
    <w:p w:rsidRPr="00E0516F" w:rsidR="00A43D23" w:rsidP="00A43D23" w:rsidRDefault="00A43D23" w14:paraId="66A9042B" w14:textId="77777777">
      <w:pPr>
        <w:pStyle w:val="NormalWeb"/>
        <w:spacing w:before="0" w:beforeAutospacing="0" w:after="0" w:afterAutospacing="0"/>
        <w:ind w:firstLine="709"/>
        <w:jc w:val="both"/>
        <w:rPr>
          <w:rFonts w:ascii="Arial" w:hAnsi="Arial" w:cs="Arial"/>
          <w:color w:val="000000" w:themeColor="text1"/>
          <w:sz w:val="19"/>
          <w:szCs w:val="19"/>
          <w:lang w:eastAsia="en-U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789 de 2002: «Artículo 50. Control a la evasión de los recursos parafiscales</w:t>
      </w:r>
      <w:r>
        <w:rPr>
          <w:rFonts w:ascii="Arial" w:hAnsi="Arial" w:cs="Arial"/>
          <w:color w:val="000000" w:themeColor="text1"/>
          <w:sz w:val="19"/>
          <w:szCs w:val="19"/>
        </w:rPr>
        <w:t>.</w:t>
      </w:r>
      <w:r w:rsidRPr="00E0516F">
        <w:rPr>
          <w:rFonts w:ascii="Arial" w:hAnsi="Arial" w:cs="Arial"/>
          <w:color w:val="000000" w:themeColor="text1"/>
          <w:sz w:val="19"/>
          <w:szCs w:val="19"/>
        </w:rPr>
        <w:t xml:space="preserve"> </w:t>
      </w:r>
      <w:r w:rsidRPr="00E0516F">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Pr="00E0516F" w:rsidR="00A43D23" w:rsidP="00A43D23" w:rsidRDefault="00A43D23" w14:paraId="7D11CE4B" w14:textId="77777777">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Pr="00E0516F" w:rsidR="00A43D23" w:rsidP="00A43D23" w:rsidRDefault="00A43D23" w14:paraId="2F2409EF" w14:textId="77777777">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rsidRPr="00E0516F" w:rsidR="00A43D23" w:rsidP="00A43D23" w:rsidRDefault="00A43D23" w14:paraId="149DE4E0" w14:textId="77777777">
      <w:pPr>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rsidRPr="00E0516F" w:rsidR="00A43D23" w:rsidP="00A43D23" w:rsidRDefault="00A43D23" w14:paraId="0862310E" w14:textId="77777777">
      <w:pPr>
        <w:ind w:firstLine="709"/>
        <w:jc w:val="both"/>
        <w:rPr>
          <w:rFonts w:ascii="Arial" w:hAnsi="Arial" w:cs="Arial"/>
          <w:color w:val="000000" w:themeColor="text1"/>
          <w:sz w:val="19"/>
          <w:szCs w:val="19"/>
        </w:rPr>
      </w:pPr>
    </w:p>
  </w:footnote>
  <w:footnote w:id="9">
    <w:p w:rsidRPr="00E0516F" w:rsidR="00A43D23" w:rsidP="00A43D23" w:rsidRDefault="00A43D23" w14:paraId="3A00AB18"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Consejo de Estado. Sección Tercera. Sentencia del 8 de junio de 2011. Rad. 20001-23-31-000-2005-00409-01[AP]. Consejero Ponente: Enrique Gil Botero.</w:t>
      </w:r>
    </w:p>
    <w:p w:rsidRPr="00E0516F" w:rsidR="00A43D23" w:rsidP="00A43D23" w:rsidRDefault="00A43D23" w14:paraId="46B09CB9" w14:textId="77777777">
      <w:pPr>
        <w:pStyle w:val="Textonotapie"/>
        <w:ind w:firstLine="709"/>
        <w:jc w:val="both"/>
        <w:rPr>
          <w:rFonts w:ascii="Arial" w:hAnsi="Arial" w:cs="Arial"/>
          <w:color w:val="000000" w:themeColor="text1"/>
          <w:sz w:val="19"/>
          <w:szCs w:val="19"/>
        </w:rPr>
      </w:pPr>
    </w:p>
  </w:footnote>
  <w:footnote w:id="10">
    <w:p w:rsidRPr="00E0516F" w:rsidR="00A43D23" w:rsidP="00A43D23" w:rsidRDefault="00A43D23" w14:paraId="0079395B" w14:textId="77777777">
      <w:pPr>
        <w:ind w:firstLine="709"/>
        <w:jc w:val="both"/>
        <w:rPr>
          <w:rFonts w:ascii="Arial" w:hAnsi="Arial" w:cs="Arial"/>
          <w:color w:val="000000" w:themeColor="text1"/>
          <w:sz w:val="19"/>
          <w:szCs w:val="19"/>
          <w:lang w:val="es-E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1753 de 2015: </w:t>
      </w:r>
      <w:r w:rsidRPr="00E0516F">
        <w:rPr>
          <w:rFonts w:ascii="Arial" w:hAnsi="Arial" w:cs="Arial"/>
          <w:color w:val="000000" w:themeColor="text1"/>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rsidRPr="00E0516F" w:rsidR="00A43D23" w:rsidP="00A43D23" w:rsidRDefault="00A43D23" w14:paraId="459A0ADC" w14:textId="77777777">
      <w:pPr>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rsidRPr="00E0516F" w:rsidR="00A43D23" w:rsidP="00A43D23" w:rsidRDefault="00A43D23" w14:paraId="419F799B" w14:textId="77777777">
      <w:pPr>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rsidRPr="00E0516F" w:rsidR="00A43D23" w:rsidP="00A43D23" w:rsidRDefault="00A43D23" w14:paraId="1E0912E4" w14:textId="77777777">
      <w:pPr>
        <w:pStyle w:val="Textonotapie"/>
        <w:ind w:firstLine="709"/>
        <w:jc w:val="both"/>
        <w:rPr>
          <w:rFonts w:ascii="Arial" w:hAnsi="Arial" w:cs="Arial"/>
          <w:color w:val="000000" w:themeColor="text1"/>
          <w:sz w:val="19"/>
          <w:szCs w:val="19"/>
          <w:lang w:val="es-ES"/>
        </w:rPr>
      </w:pPr>
      <w:r w:rsidRPr="00E0516F">
        <w:rPr>
          <w:rFonts w:ascii="Arial" w:hAnsi="Arial" w:cs="Arial"/>
          <w:color w:val="000000" w:themeColor="text1"/>
          <w:sz w:val="19"/>
          <w:szCs w:val="19"/>
          <w:lang w:val="es-ES"/>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rsidRPr="00E0516F" w:rsidR="00A43D23" w:rsidP="00A43D23" w:rsidRDefault="00A43D23" w14:paraId="5D2677AA" w14:textId="77777777">
      <w:pPr>
        <w:pStyle w:val="Textonotapie"/>
        <w:ind w:firstLine="709"/>
        <w:jc w:val="both"/>
        <w:rPr>
          <w:rFonts w:ascii="Arial" w:hAnsi="Arial" w:cs="Arial"/>
          <w:color w:val="000000" w:themeColor="text1"/>
          <w:sz w:val="19"/>
          <w:szCs w:val="19"/>
        </w:rPr>
      </w:pPr>
    </w:p>
  </w:footnote>
  <w:footnote w:id="11">
    <w:p w:rsidRPr="00E0516F" w:rsidR="00A43D23" w:rsidP="00A43D23" w:rsidRDefault="00A43D23" w14:paraId="27C98F7F"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n-US"/>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Decreto 1273 de 2018: «Artículo 2.2.1.1.1.7 </w:t>
      </w:r>
      <w:r w:rsidRPr="00E0516F">
        <w:rPr>
          <w:rFonts w:ascii="Arial" w:hAnsi="Arial" w:cs="Arial"/>
          <w:bCs/>
          <w:iCs/>
          <w:color w:val="000000" w:themeColor="text1"/>
          <w:sz w:val="19"/>
          <w:szCs w:val="19"/>
          <w:lang w:eastAsia="en-US"/>
        </w:rPr>
        <w:t>Pago de cotizaciones de los trabajadores independientes al Sistema de Seguridad Social Integral. </w:t>
      </w:r>
      <w:r w:rsidRPr="00E0516F">
        <w:rPr>
          <w:rFonts w:ascii="Arial" w:hAnsi="Arial" w:cs="Arial"/>
          <w:iCs/>
          <w:color w:val="000000" w:themeColor="text1"/>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rsidRPr="00E0516F" w:rsidR="00A43D23" w:rsidP="00A43D23" w:rsidRDefault="00A43D23" w14:paraId="7A92D3B3" w14:textId="77777777">
      <w:pPr>
        <w:shd w:val="clear" w:color="auto" w:fill="FFFFFF"/>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rsidRPr="00E0516F" w:rsidR="00A43D23" w:rsidP="00A43D23" w:rsidRDefault="00A43D23" w14:paraId="6DD06EB0" w14:textId="77777777">
      <w:pPr>
        <w:shd w:val="clear" w:color="auto" w:fill="FFFFFF"/>
        <w:ind w:firstLine="709"/>
        <w:jc w:val="both"/>
        <w:rPr>
          <w:rFonts w:ascii="Arial" w:hAnsi="Arial" w:cs="Arial"/>
          <w:color w:val="000000" w:themeColor="text1"/>
          <w:sz w:val="19"/>
          <w:szCs w:val="19"/>
        </w:rPr>
      </w:pPr>
    </w:p>
  </w:footnote>
  <w:footnote w:id="12">
    <w:p w:rsidRPr="00E0516F" w:rsidR="00A43D23" w:rsidP="00A43D23" w:rsidRDefault="00A43D23" w14:paraId="70334F18" w14:textId="77777777">
      <w:pPr>
        <w:pStyle w:val="Textonotapie"/>
        <w:ind w:firstLine="709"/>
        <w:jc w:val="both"/>
        <w:rPr>
          <w:rFonts w:ascii="Arial" w:hAnsi="Arial" w:cs="Arial"/>
          <w:iCs/>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w:t>
      </w:r>
      <w:r w:rsidRPr="00E0516F">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E0516F" w:rsidR="00A43D23" w:rsidP="00A43D23" w:rsidRDefault="00A43D23" w14:paraId="7B6E40FA"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E0516F" w:rsidR="00A43D23" w:rsidP="00A43D23" w:rsidRDefault="00A43D23" w14:paraId="4FBFC15D"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»El Gobierno nacional reglamentará el mecanismo para realizar la mensualización de que trata el presente artículo.</w:t>
      </w:r>
    </w:p>
    <w:p w:rsidRPr="00E0516F" w:rsidR="00A43D23" w:rsidP="00A43D23" w:rsidRDefault="00A43D23" w14:paraId="0A69E115"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rsidRPr="00E0516F" w:rsidR="00A43D23" w:rsidP="00A43D23" w:rsidRDefault="00A43D23" w14:paraId="1AECA35F" w14:textId="77777777">
      <w:pPr>
        <w:pStyle w:val="Textonotapie"/>
        <w:ind w:firstLine="709"/>
        <w:jc w:val="both"/>
        <w:rPr>
          <w:rFonts w:ascii="Arial" w:hAnsi="Arial" w:cs="Arial"/>
          <w:iCs/>
          <w:color w:val="000000" w:themeColor="text1"/>
          <w:sz w:val="19"/>
          <w:szCs w:val="19"/>
        </w:rPr>
      </w:pPr>
      <w:r w:rsidRPr="00E0516F">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rsidRPr="00E0516F" w:rsidR="00A43D23" w:rsidP="00A43D23" w:rsidRDefault="00A43D23" w14:paraId="03442498" w14:textId="77777777">
      <w:pPr>
        <w:pStyle w:val="Textonotapie"/>
        <w:jc w:val="both"/>
        <w:rPr>
          <w:rFonts w:ascii="Arial" w:hAnsi="Arial" w:cs="Arial"/>
          <w:iCs/>
          <w:color w:val="000000" w:themeColor="text1"/>
          <w:sz w:val="19"/>
          <w:szCs w:val="19"/>
        </w:rPr>
      </w:pPr>
    </w:p>
  </w:footnote>
  <w:footnote w:id="13">
    <w:p w:rsidRPr="00E0516F" w:rsidR="00A43D23" w:rsidP="00A43D23" w:rsidRDefault="00A43D23" w14:paraId="683C8DB8"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Corte Constitucional. Decisión de expediente D-13343 del 19 de febrero de 2020. Boletín No. 11. En: https://www.corteconstitucional.gov.co/noticia.php?Es-inconstitucional-la-norma-que-establec%C3%ADa-el-Ingreso-Base-de-Cotizaci%C3%B3n-de-los-trabajadores-independientes-y-con-contratos-diferentes-a-prestaci%C3%B3n-de-servicios-personales.-8821</w:t>
      </w:r>
    </w:p>
    <w:p w:rsidRPr="00E0516F" w:rsidR="00A43D23" w:rsidP="00A43D23" w:rsidRDefault="00A43D23" w14:paraId="7615B604" w14:textId="77777777">
      <w:pPr>
        <w:pStyle w:val="Textonotapie"/>
        <w:ind w:firstLine="709"/>
        <w:jc w:val="both"/>
        <w:rPr>
          <w:rFonts w:ascii="Arial" w:hAnsi="Arial" w:cs="Arial"/>
          <w:color w:val="000000" w:themeColor="text1"/>
          <w:sz w:val="19"/>
          <w:szCs w:val="19"/>
        </w:rPr>
      </w:pPr>
    </w:p>
  </w:footnote>
  <w:footnote w:id="14">
    <w:p w:rsidRPr="00E0516F" w:rsidR="00A43D23" w:rsidP="00A43D23" w:rsidRDefault="00A43D23" w14:paraId="39F4B70F"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En efecto, el artículo 1608 del Código Civil prevé lo siguiente: « El deudor está en mora: </w:t>
      </w:r>
    </w:p>
    <w:p w:rsidRPr="00E0516F" w:rsidR="00A43D23" w:rsidP="00A43D23" w:rsidRDefault="00A43D23" w14:paraId="7C1F7ACF"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 xml:space="preserve">1° </w:t>
      </w:r>
      <w:r w:rsidRPr="00E0516F">
        <w:rPr>
          <w:rFonts w:ascii="Arial" w:hAnsi="Arial" w:cs="Arial"/>
          <w:i/>
          <w:iCs/>
          <w:color w:val="000000" w:themeColor="text1"/>
          <w:sz w:val="19"/>
          <w:szCs w:val="19"/>
        </w:rPr>
        <w:t>Cuando no ha cumplido la obligación dentro del término estipulado</w:t>
      </w:r>
      <w:r w:rsidRPr="00E0516F">
        <w:rPr>
          <w:rFonts w:ascii="Arial" w:hAnsi="Arial" w:cs="Arial"/>
          <w:color w:val="000000" w:themeColor="text1"/>
          <w:sz w:val="19"/>
          <w:szCs w:val="19"/>
        </w:rPr>
        <w:t xml:space="preserve">; salvo que la ley, en casos especiales, exija que se requiera al deudor para constituirlo en mora. </w:t>
      </w:r>
    </w:p>
    <w:p w:rsidRPr="00E0516F" w:rsidR="00A43D23" w:rsidP="00A43D23" w:rsidRDefault="00A43D23" w14:paraId="5EB75886"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 xml:space="preserve">2° Cuando la cosa no ha podido ser dada o ejecutada sino dentro de cierto tiempo y el deudor lo ha dejado pasar sin darla o ejecutarla. </w:t>
      </w:r>
    </w:p>
    <w:p w:rsidRPr="00E0516F" w:rsidR="00A43D23" w:rsidP="00A43D23" w:rsidRDefault="00A43D23" w14:paraId="3ACBFA4D"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3° En los demás casos, cuando el deudor ha sido judicialmente reconvenido por el acreedor» (cursivas fuera de texto).</w:t>
      </w:r>
    </w:p>
    <w:p w:rsidRPr="00E0516F" w:rsidR="00A43D23" w:rsidP="00A43D23" w:rsidRDefault="00A43D23" w14:paraId="3E4E2BD9" w14:textId="77777777">
      <w:pPr>
        <w:pStyle w:val="Textonotapie"/>
        <w:ind w:firstLine="709"/>
        <w:jc w:val="both"/>
        <w:rPr>
          <w:rFonts w:ascii="Arial" w:hAnsi="Arial" w:cs="Arial"/>
          <w:color w:val="000000" w:themeColor="text1"/>
          <w:sz w:val="19"/>
          <w:szCs w:val="19"/>
          <w:lang w:val="es-ES"/>
        </w:rPr>
      </w:pPr>
    </w:p>
  </w:footnote>
  <w:footnote w:id="15">
    <w:p w:rsidRPr="00E0516F" w:rsidR="00A43D23" w:rsidP="00A43D23" w:rsidRDefault="00A43D23" w14:paraId="57F4EF6F" w14:textId="77777777">
      <w:pPr>
        <w:ind w:firstLine="709"/>
        <w:jc w:val="both"/>
        <w:rPr>
          <w:rFonts w:ascii="Arial" w:hAnsi="Arial" w:eastAsia="Calibri" w:cs="Arial"/>
          <w:color w:val="000000" w:themeColor="text1"/>
          <w:sz w:val="19"/>
          <w:szCs w:val="19"/>
          <w:lang w:val="es-ES_tradnl"/>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 </w:t>
      </w:r>
    </w:p>
    <w:p w:rsidRPr="00E0516F" w:rsidR="00A43D23" w:rsidP="00A43D23" w:rsidRDefault="00A43D23" w14:paraId="6A9259BA" w14:textId="77777777">
      <w:pPr>
        <w:ind w:firstLine="709"/>
        <w:jc w:val="both"/>
        <w:rPr>
          <w:rFonts w:ascii="Arial" w:hAnsi="Arial" w:eastAsia="Calibri" w:cs="Arial"/>
          <w:color w:val="000000" w:themeColor="text1"/>
          <w:sz w:val="19"/>
          <w:szCs w:val="19"/>
        </w:rPr>
      </w:pPr>
      <w:r w:rsidRPr="00E0516F">
        <w:rPr>
          <w:rFonts w:ascii="Arial" w:hAnsi="Arial" w:eastAsia="Calibri" w:cs="Arial"/>
          <w:color w:val="000000" w:themeColor="text1"/>
          <w:sz w:val="19"/>
          <w:szCs w:val="19"/>
        </w:rPr>
        <w:t xml:space="preserve">  </w:t>
      </w:r>
    </w:p>
    <w:p w:rsidRPr="00E0516F" w:rsidR="00A43D23" w:rsidP="00A43D23" w:rsidRDefault="00A43D23" w14:paraId="0B891DB3" w14:textId="77777777">
      <w:pPr>
        <w:pStyle w:val="Textonotapie"/>
        <w:ind w:firstLine="709"/>
        <w:jc w:val="both"/>
        <w:rPr>
          <w:rFonts w:ascii="Arial" w:hAnsi="Arial" w:cs="Arial"/>
          <w:color w:val="000000" w:themeColor="text1"/>
          <w:sz w:val="19"/>
          <w:szCs w:val="19"/>
          <w:lang w:val="es-ES"/>
        </w:rPr>
      </w:pPr>
    </w:p>
  </w:footnote>
  <w:footnote w:id="16">
    <w:p w:rsidRPr="00E0516F" w:rsidR="00A43D23" w:rsidP="00A43D23" w:rsidRDefault="00A43D23" w14:paraId="26450970" w14:textId="77777777">
      <w:pPr>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Concepto Unidad de Gestión Pensional y Parafiscales, radicado 201811200427881 del 12 de febrero de 2018.</w:t>
      </w:r>
    </w:p>
    <w:p w:rsidRPr="00E0516F" w:rsidR="00A43D23" w:rsidP="00A43D23" w:rsidRDefault="00A43D23" w14:paraId="4187C403" w14:textId="77777777">
      <w:pPr>
        <w:pStyle w:val="Textonotapie"/>
        <w:ind w:firstLine="709"/>
        <w:jc w:val="both"/>
        <w:rPr>
          <w:rFonts w:ascii="Arial" w:hAnsi="Arial" w:cs="Arial"/>
          <w:color w:val="000000" w:themeColor="text1"/>
          <w:sz w:val="19"/>
          <w:szCs w:val="19"/>
        </w:rPr>
      </w:pPr>
    </w:p>
  </w:footnote>
  <w:footnote w:id="17">
    <w:p w:rsidRPr="00E0516F" w:rsidR="00A43D23" w:rsidP="00A43D23" w:rsidRDefault="00A43D23" w14:paraId="10777505"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Ley 797 de 2003, «Artículo 3. El artículo 15 de la Ley 100 de 1993, quedará así:</w:t>
      </w:r>
    </w:p>
    <w:p w:rsidRPr="00E0516F" w:rsidR="00A43D23" w:rsidP="00A43D23" w:rsidRDefault="00A43D23" w14:paraId="51D0F0B2"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»Artículo 15. Afiliados. Serán afiliados al Sistema General de Pensiones:</w:t>
      </w:r>
    </w:p>
    <w:p w:rsidRPr="00E0516F" w:rsidR="00A43D23" w:rsidP="00A43D23" w:rsidRDefault="00A43D23" w14:paraId="57AEB920" w14:textId="77777777">
      <w:pPr>
        <w:pStyle w:val="Textonotapie"/>
        <w:ind w:firstLine="709"/>
        <w:jc w:val="both"/>
        <w:rPr>
          <w:rFonts w:ascii="Arial" w:hAnsi="Arial" w:cs="Arial"/>
          <w:color w:val="000000" w:themeColor="text1"/>
          <w:sz w:val="19"/>
          <w:szCs w:val="19"/>
        </w:rPr>
      </w:pPr>
      <w:r w:rsidRPr="00E0516F">
        <w:rPr>
          <w:rFonts w:ascii="Arial" w:hAnsi="Arial" w:cs="Arial"/>
          <w:color w:val="000000" w:themeColor="text1"/>
          <w:sz w:val="19"/>
          <w:szCs w:val="19"/>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rsidRPr="00E0516F" w:rsidR="00A43D23" w:rsidP="00A43D23" w:rsidRDefault="00A43D23" w14:paraId="6500E002" w14:textId="77777777">
      <w:pPr>
        <w:pStyle w:val="Textonotapie"/>
        <w:ind w:firstLine="709"/>
        <w:jc w:val="both"/>
        <w:rPr>
          <w:rFonts w:ascii="Arial" w:hAnsi="Arial" w:cs="Arial"/>
          <w:color w:val="000000" w:themeColor="text1"/>
          <w:sz w:val="19"/>
          <w:szCs w:val="19"/>
        </w:rPr>
      </w:pPr>
    </w:p>
  </w:footnote>
  <w:footnote w:id="18">
    <w:p w:rsidRPr="00E0516F" w:rsidR="00A43D23" w:rsidP="00A43D23" w:rsidRDefault="00A43D23" w14:paraId="6D9E8F54" w14:textId="77777777">
      <w:pPr>
        <w:pStyle w:val="Textonotapie"/>
        <w:ind w:firstLine="709"/>
        <w:jc w:val="both"/>
        <w:rPr>
          <w:rFonts w:ascii="Arial" w:hAnsi="Arial" w:cs="Arial"/>
          <w:color w:val="000000" w:themeColor="text1"/>
          <w:sz w:val="19"/>
          <w:szCs w:val="19"/>
        </w:rPr>
      </w:pPr>
      <w:r w:rsidRPr="00E0516F">
        <w:rPr>
          <w:rStyle w:val="Refdenotaalpie"/>
          <w:rFonts w:ascii="Arial" w:hAnsi="Arial" w:cs="Arial"/>
          <w:color w:val="000000" w:themeColor="text1"/>
          <w:sz w:val="19"/>
          <w:szCs w:val="19"/>
        </w:rPr>
        <w:footnoteRef/>
      </w:r>
      <w:r w:rsidRPr="00E0516F">
        <w:rPr>
          <w:rFonts w:ascii="Arial" w:hAnsi="Arial" w:cs="Arial"/>
          <w:color w:val="000000" w:themeColor="text1"/>
          <w:sz w:val="19"/>
          <w:szCs w:val="19"/>
        </w:rPr>
        <w:t xml:space="preserve"> Concepto del Ministerio de Salud y Protección Social, radicado No. 112520 del 31 de mayo de 2012: «Lo anterior permite entender como en los contratos que involucren la ejecución de un servicio por una persona natural en favor de una persona natural o jurídica de derecho público o privado, tales como contratos de obra, suministro, de arrendamiento de servicios, de prestación de servicios, consultoría, asesoría, es decir, bajo la modalidad de contratos de prestación de servicios o cualquier otra modalidad, el contratista deberá estar afiliado obligatoriamente al Sistema General de Seguridad Social en Pensiones y al Sistema General de Seguridad Social en Salud, y la parte contratante deberá verificar la afiliación y pago de aportes, sea cual fuere la duración o modalidad de contrato que se adopte».</w:t>
      </w:r>
    </w:p>
    <w:p w:rsidRPr="00E0516F" w:rsidR="00A43D23" w:rsidP="00A43D23" w:rsidRDefault="00A43D23" w14:paraId="76ED8B37" w14:textId="7777777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75DF" w:rsidRDefault="00F475DF" w14:paraId="6520770B" w14:textId="1A2BB94C">
    <w:pPr>
      <w:pStyle w:val="Encabezado"/>
    </w:pPr>
    <w:r>
      <w:rPr>
        <w:noProof/>
        <w:lang w:val="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42D4DA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A2E349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86251"/>
    <w:multiLevelType w:val="hybridMultilevel"/>
    <w:tmpl w:val="3F062F62"/>
    <w:lvl w:ilvl="0" w:tplc="4F224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4FF56A1"/>
    <w:multiLevelType w:val="hybridMultilevel"/>
    <w:tmpl w:val="E5F0EC62"/>
    <w:lvl w:ilvl="0" w:tplc="9D647E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6C75B3E"/>
    <w:multiLevelType w:val="hybrid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7"/>
  </w:num>
  <w:num w:numId="2">
    <w:abstractNumId w:val="6"/>
  </w:num>
  <w:num w:numId="3">
    <w:abstractNumId w:val="9"/>
  </w:num>
  <w:num w:numId="4">
    <w:abstractNumId w:val="11"/>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0"/>
  </w:num>
  <w:num w:numId="10">
    <w:abstractNumId w:val="5"/>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954"/>
    <w:rsid w:val="00006AF8"/>
    <w:rsid w:val="0000781E"/>
    <w:rsid w:val="00010508"/>
    <w:rsid w:val="00010B10"/>
    <w:rsid w:val="00012514"/>
    <w:rsid w:val="00012744"/>
    <w:rsid w:val="000130B5"/>
    <w:rsid w:val="000139DD"/>
    <w:rsid w:val="00013DB5"/>
    <w:rsid w:val="00016848"/>
    <w:rsid w:val="000224C4"/>
    <w:rsid w:val="0002400D"/>
    <w:rsid w:val="0002798A"/>
    <w:rsid w:val="00027C8A"/>
    <w:rsid w:val="00027EE8"/>
    <w:rsid w:val="000338E3"/>
    <w:rsid w:val="000350CC"/>
    <w:rsid w:val="00036A57"/>
    <w:rsid w:val="00040A6B"/>
    <w:rsid w:val="00041061"/>
    <w:rsid w:val="00042A3B"/>
    <w:rsid w:val="00052E6D"/>
    <w:rsid w:val="00052F15"/>
    <w:rsid w:val="00053125"/>
    <w:rsid w:val="00053564"/>
    <w:rsid w:val="00053602"/>
    <w:rsid w:val="000543DF"/>
    <w:rsid w:val="00062363"/>
    <w:rsid w:val="000665C6"/>
    <w:rsid w:val="00066A55"/>
    <w:rsid w:val="000679FC"/>
    <w:rsid w:val="00072620"/>
    <w:rsid w:val="00072A53"/>
    <w:rsid w:val="00073515"/>
    <w:rsid w:val="00073B9F"/>
    <w:rsid w:val="00075060"/>
    <w:rsid w:val="00075BCA"/>
    <w:rsid w:val="00076389"/>
    <w:rsid w:val="000816CA"/>
    <w:rsid w:val="0008415E"/>
    <w:rsid w:val="00084A7B"/>
    <w:rsid w:val="00084AA0"/>
    <w:rsid w:val="00084B97"/>
    <w:rsid w:val="00085147"/>
    <w:rsid w:val="0008584C"/>
    <w:rsid w:val="00086E70"/>
    <w:rsid w:val="000900C6"/>
    <w:rsid w:val="00091BA4"/>
    <w:rsid w:val="00091BB9"/>
    <w:rsid w:val="000921C6"/>
    <w:rsid w:val="000942EB"/>
    <w:rsid w:val="00096EE0"/>
    <w:rsid w:val="000A2643"/>
    <w:rsid w:val="000A3B0F"/>
    <w:rsid w:val="000A47E4"/>
    <w:rsid w:val="000B103F"/>
    <w:rsid w:val="000B173D"/>
    <w:rsid w:val="000B4EEE"/>
    <w:rsid w:val="000B548C"/>
    <w:rsid w:val="000B6F0F"/>
    <w:rsid w:val="000B785C"/>
    <w:rsid w:val="000B7AC4"/>
    <w:rsid w:val="000C0CC7"/>
    <w:rsid w:val="000C0D40"/>
    <w:rsid w:val="000C3738"/>
    <w:rsid w:val="000C6017"/>
    <w:rsid w:val="000C781D"/>
    <w:rsid w:val="000C7BF0"/>
    <w:rsid w:val="000C7E65"/>
    <w:rsid w:val="000D1CA6"/>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2376"/>
    <w:rsid w:val="0010298F"/>
    <w:rsid w:val="00103915"/>
    <w:rsid w:val="00106194"/>
    <w:rsid w:val="00106AFE"/>
    <w:rsid w:val="001153DC"/>
    <w:rsid w:val="001154BE"/>
    <w:rsid w:val="00116128"/>
    <w:rsid w:val="00116521"/>
    <w:rsid w:val="00117BBC"/>
    <w:rsid w:val="00121F63"/>
    <w:rsid w:val="00122B23"/>
    <w:rsid w:val="00122D70"/>
    <w:rsid w:val="00125012"/>
    <w:rsid w:val="001263F6"/>
    <w:rsid w:val="001268AC"/>
    <w:rsid w:val="00130C64"/>
    <w:rsid w:val="00132207"/>
    <w:rsid w:val="001347ED"/>
    <w:rsid w:val="00134CFA"/>
    <w:rsid w:val="00135E40"/>
    <w:rsid w:val="00137FFA"/>
    <w:rsid w:val="001404D8"/>
    <w:rsid w:val="00141239"/>
    <w:rsid w:val="00142256"/>
    <w:rsid w:val="0014335D"/>
    <w:rsid w:val="00145D8C"/>
    <w:rsid w:val="0015046E"/>
    <w:rsid w:val="00150598"/>
    <w:rsid w:val="00150BAE"/>
    <w:rsid w:val="00152789"/>
    <w:rsid w:val="00152D2F"/>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6AFF"/>
    <w:rsid w:val="00191551"/>
    <w:rsid w:val="00191592"/>
    <w:rsid w:val="0019166A"/>
    <w:rsid w:val="00191D1A"/>
    <w:rsid w:val="00192031"/>
    <w:rsid w:val="00192CFB"/>
    <w:rsid w:val="001936F0"/>
    <w:rsid w:val="00196D5A"/>
    <w:rsid w:val="001975FF"/>
    <w:rsid w:val="001A0222"/>
    <w:rsid w:val="001A040D"/>
    <w:rsid w:val="001A1C00"/>
    <w:rsid w:val="001A22AC"/>
    <w:rsid w:val="001A22D8"/>
    <w:rsid w:val="001A24CC"/>
    <w:rsid w:val="001A4995"/>
    <w:rsid w:val="001A4EB9"/>
    <w:rsid w:val="001A644A"/>
    <w:rsid w:val="001A7081"/>
    <w:rsid w:val="001A79E5"/>
    <w:rsid w:val="001B0062"/>
    <w:rsid w:val="001B0444"/>
    <w:rsid w:val="001B2A80"/>
    <w:rsid w:val="001B3138"/>
    <w:rsid w:val="001B6E24"/>
    <w:rsid w:val="001C04FF"/>
    <w:rsid w:val="001C39F7"/>
    <w:rsid w:val="001C3B7E"/>
    <w:rsid w:val="001C3E04"/>
    <w:rsid w:val="001C42FB"/>
    <w:rsid w:val="001C4962"/>
    <w:rsid w:val="001C76E7"/>
    <w:rsid w:val="001C7A22"/>
    <w:rsid w:val="001C7FD3"/>
    <w:rsid w:val="001D07F1"/>
    <w:rsid w:val="001D1E0A"/>
    <w:rsid w:val="001D3BFA"/>
    <w:rsid w:val="001D5063"/>
    <w:rsid w:val="001D756D"/>
    <w:rsid w:val="001D7600"/>
    <w:rsid w:val="001E081B"/>
    <w:rsid w:val="001E55EA"/>
    <w:rsid w:val="001E5781"/>
    <w:rsid w:val="001E60CB"/>
    <w:rsid w:val="001F0CDD"/>
    <w:rsid w:val="001F34D4"/>
    <w:rsid w:val="001F39E6"/>
    <w:rsid w:val="001F48ED"/>
    <w:rsid w:val="001F6D62"/>
    <w:rsid w:val="001F7B70"/>
    <w:rsid w:val="001F7D57"/>
    <w:rsid w:val="00202B8A"/>
    <w:rsid w:val="00205836"/>
    <w:rsid w:val="00205839"/>
    <w:rsid w:val="00206278"/>
    <w:rsid w:val="0020632A"/>
    <w:rsid w:val="002110EB"/>
    <w:rsid w:val="00211338"/>
    <w:rsid w:val="002117E9"/>
    <w:rsid w:val="00212F81"/>
    <w:rsid w:val="0021415B"/>
    <w:rsid w:val="00214FA9"/>
    <w:rsid w:val="00220B18"/>
    <w:rsid w:val="002233B1"/>
    <w:rsid w:val="002264E2"/>
    <w:rsid w:val="00230C8E"/>
    <w:rsid w:val="00231820"/>
    <w:rsid w:val="002322AE"/>
    <w:rsid w:val="00232C4B"/>
    <w:rsid w:val="002345CE"/>
    <w:rsid w:val="00234B84"/>
    <w:rsid w:val="00236952"/>
    <w:rsid w:val="00236A01"/>
    <w:rsid w:val="00240130"/>
    <w:rsid w:val="00240A65"/>
    <w:rsid w:val="00240C72"/>
    <w:rsid w:val="002474C6"/>
    <w:rsid w:val="00251F5C"/>
    <w:rsid w:val="00253927"/>
    <w:rsid w:val="00254705"/>
    <w:rsid w:val="0025616F"/>
    <w:rsid w:val="00260F08"/>
    <w:rsid w:val="00264BDE"/>
    <w:rsid w:val="002650C1"/>
    <w:rsid w:val="00266F29"/>
    <w:rsid w:val="00270AEA"/>
    <w:rsid w:val="00271A4F"/>
    <w:rsid w:val="00277FC6"/>
    <w:rsid w:val="00280D72"/>
    <w:rsid w:val="00283229"/>
    <w:rsid w:val="00287858"/>
    <w:rsid w:val="002908A4"/>
    <w:rsid w:val="00290BBC"/>
    <w:rsid w:val="00291F29"/>
    <w:rsid w:val="0029408B"/>
    <w:rsid w:val="00295BCB"/>
    <w:rsid w:val="002974FA"/>
    <w:rsid w:val="002A00A8"/>
    <w:rsid w:val="002A11F2"/>
    <w:rsid w:val="002A2C19"/>
    <w:rsid w:val="002A2ED3"/>
    <w:rsid w:val="002B071B"/>
    <w:rsid w:val="002B2622"/>
    <w:rsid w:val="002B37A4"/>
    <w:rsid w:val="002B5441"/>
    <w:rsid w:val="002B6112"/>
    <w:rsid w:val="002C4C0C"/>
    <w:rsid w:val="002C5B2A"/>
    <w:rsid w:val="002C6B79"/>
    <w:rsid w:val="002C7F9C"/>
    <w:rsid w:val="002D0005"/>
    <w:rsid w:val="002D0415"/>
    <w:rsid w:val="002D27B5"/>
    <w:rsid w:val="002D55B9"/>
    <w:rsid w:val="002D6C6B"/>
    <w:rsid w:val="002E1B07"/>
    <w:rsid w:val="002E1E84"/>
    <w:rsid w:val="002E2033"/>
    <w:rsid w:val="002E2C53"/>
    <w:rsid w:val="002E37E0"/>
    <w:rsid w:val="002E688C"/>
    <w:rsid w:val="002E6D7C"/>
    <w:rsid w:val="002F0DDD"/>
    <w:rsid w:val="002F2E70"/>
    <w:rsid w:val="002F454C"/>
    <w:rsid w:val="002F45E8"/>
    <w:rsid w:val="002F730B"/>
    <w:rsid w:val="002F7B2F"/>
    <w:rsid w:val="0030004B"/>
    <w:rsid w:val="00301636"/>
    <w:rsid w:val="003019BD"/>
    <w:rsid w:val="003033BA"/>
    <w:rsid w:val="003035E9"/>
    <w:rsid w:val="00305687"/>
    <w:rsid w:val="003074AE"/>
    <w:rsid w:val="0031120C"/>
    <w:rsid w:val="00311679"/>
    <w:rsid w:val="00311D93"/>
    <w:rsid w:val="00322937"/>
    <w:rsid w:val="00323221"/>
    <w:rsid w:val="0032544F"/>
    <w:rsid w:val="00325E6F"/>
    <w:rsid w:val="003275CE"/>
    <w:rsid w:val="003300C4"/>
    <w:rsid w:val="00334BFC"/>
    <w:rsid w:val="00336972"/>
    <w:rsid w:val="003379EA"/>
    <w:rsid w:val="0034177C"/>
    <w:rsid w:val="00343D80"/>
    <w:rsid w:val="00345306"/>
    <w:rsid w:val="0034585A"/>
    <w:rsid w:val="0034680A"/>
    <w:rsid w:val="0035335B"/>
    <w:rsid w:val="00353999"/>
    <w:rsid w:val="00353DD5"/>
    <w:rsid w:val="00356546"/>
    <w:rsid w:val="003569CC"/>
    <w:rsid w:val="00356A7C"/>
    <w:rsid w:val="00365224"/>
    <w:rsid w:val="0036601C"/>
    <w:rsid w:val="00367703"/>
    <w:rsid w:val="00370080"/>
    <w:rsid w:val="00370A95"/>
    <w:rsid w:val="00375DD3"/>
    <w:rsid w:val="00377AF4"/>
    <w:rsid w:val="00377B5F"/>
    <w:rsid w:val="0038015A"/>
    <w:rsid w:val="00381478"/>
    <w:rsid w:val="00382787"/>
    <w:rsid w:val="00386368"/>
    <w:rsid w:val="00386456"/>
    <w:rsid w:val="00390882"/>
    <w:rsid w:val="0039401C"/>
    <w:rsid w:val="00394361"/>
    <w:rsid w:val="00394A51"/>
    <w:rsid w:val="003961EB"/>
    <w:rsid w:val="003A0725"/>
    <w:rsid w:val="003A0878"/>
    <w:rsid w:val="003A2753"/>
    <w:rsid w:val="003A312F"/>
    <w:rsid w:val="003A32C6"/>
    <w:rsid w:val="003A581E"/>
    <w:rsid w:val="003A5AEB"/>
    <w:rsid w:val="003B1933"/>
    <w:rsid w:val="003B2191"/>
    <w:rsid w:val="003B324C"/>
    <w:rsid w:val="003B48C5"/>
    <w:rsid w:val="003B5017"/>
    <w:rsid w:val="003B60E4"/>
    <w:rsid w:val="003B7B4B"/>
    <w:rsid w:val="003C0F89"/>
    <w:rsid w:val="003C1386"/>
    <w:rsid w:val="003C23D4"/>
    <w:rsid w:val="003C3041"/>
    <w:rsid w:val="003C32BF"/>
    <w:rsid w:val="003C63A9"/>
    <w:rsid w:val="003D2E2C"/>
    <w:rsid w:val="003D3723"/>
    <w:rsid w:val="003D3DB7"/>
    <w:rsid w:val="003D44D1"/>
    <w:rsid w:val="003D4F83"/>
    <w:rsid w:val="003D5541"/>
    <w:rsid w:val="003D5905"/>
    <w:rsid w:val="003D6052"/>
    <w:rsid w:val="003E315A"/>
    <w:rsid w:val="003E5136"/>
    <w:rsid w:val="003E68A6"/>
    <w:rsid w:val="003E75DF"/>
    <w:rsid w:val="003F28A8"/>
    <w:rsid w:val="003F324A"/>
    <w:rsid w:val="003F5D1F"/>
    <w:rsid w:val="003F68B1"/>
    <w:rsid w:val="003F7CC8"/>
    <w:rsid w:val="004016D9"/>
    <w:rsid w:val="004038E6"/>
    <w:rsid w:val="00403D6D"/>
    <w:rsid w:val="00403EF8"/>
    <w:rsid w:val="004059C4"/>
    <w:rsid w:val="00405CAB"/>
    <w:rsid w:val="00407A05"/>
    <w:rsid w:val="00412B57"/>
    <w:rsid w:val="00414681"/>
    <w:rsid w:val="0041565D"/>
    <w:rsid w:val="00415E27"/>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38DC"/>
    <w:rsid w:val="00463A8F"/>
    <w:rsid w:val="00463E5E"/>
    <w:rsid w:val="00463FE5"/>
    <w:rsid w:val="004679BB"/>
    <w:rsid w:val="00467A7A"/>
    <w:rsid w:val="00471B5B"/>
    <w:rsid w:val="00473979"/>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07BA"/>
    <w:rsid w:val="004C2883"/>
    <w:rsid w:val="004C58FF"/>
    <w:rsid w:val="004C5CA1"/>
    <w:rsid w:val="004C7B57"/>
    <w:rsid w:val="004D296E"/>
    <w:rsid w:val="004D3913"/>
    <w:rsid w:val="004D6EC7"/>
    <w:rsid w:val="004D7FD1"/>
    <w:rsid w:val="004E15B5"/>
    <w:rsid w:val="004E2569"/>
    <w:rsid w:val="004E2C3E"/>
    <w:rsid w:val="004E3582"/>
    <w:rsid w:val="004E4065"/>
    <w:rsid w:val="004E523A"/>
    <w:rsid w:val="004E5BBA"/>
    <w:rsid w:val="004F2045"/>
    <w:rsid w:val="004F2806"/>
    <w:rsid w:val="004F408E"/>
    <w:rsid w:val="004F4AA9"/>
    <w:rsid w:val="004F51AF"/>
    <w:rsid w:val="004F57B1"/>
    <w:rsid w:val="004F61DE"/>
    <w:rsid w:val="004F7D4B"/>
    <w:rsid w:val="00500A84"/>
    <w:rsid w:val="00500C9C"/>
    <w:rsid w:val="00502AA3"/>
    <w:rsid w:val="005044F2"/>
    <w:rsid w:val="0051074C"/>
    <w:rsid w:val="00510FD0"/>
    <w:rsid w:val="0051220A"/>
    <w:rsid w:val="00513210"/>
    <w:rsid w:val="00513496"/>
    <w:rsid w:val="00513AF2"/>
    <w:rsid w:val="00513C06"/>
    <w:rsid w:val="00514171"/>
    <w:rsid w:val="005157F0"/>
    <w:rsid w:val="005178B0"/>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182B"/>
    <w:rsid w:val="005637CE"/>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478A"/>
    <w:rsid w:val="005B4835"/>
    <w:rsid w:val="005B5E75"/>
    <w:rsid w:val="005B67A3"/>
    <w:rsid w:val="005B67B6"/>
    <w:rsid w:val="005B72DC"/>
    <w:rsid w:val="005C0F65"/>
    <w:rsid w:val="005C326B"/>
    <w:rsid w:val="005C5D37"/>
    <w:rsid w:val="005C6201"/>
    <w:rsid w:val="005C7856"/>
    <w:rsid w:val="005D09E1"/>
    <w:rsid w:val="005D0F03"/>
    <w:rsid w:val="005D31E0"/>
    <w:rsid w:val="005D3341"/>
    <w:rsid w:val="005D3580"/>
    <w:rsid w:val="005D51FA"/>
    <w:rsid w:val="005D560F"/>
    <w:rsid w:val="005D6D4F"/>
    <w:rsid w:val="005D791B"/>
    <w:rsid w:val="005D7A99"/>
    <w:rsid w:val="005E0B06"/>
    <w:rsid w:val="005E11B2"/>
    <w:rsid w:val="005E3050"/>
    <w:rsid w:val="005E3B33"/>
    <w:rsid w:val="005E3E9F"/>
    <w:rsid w:val="005E495C"/>
    <w:rsid w:val="005E547E"/>
    <w:rsid w:val="005E73B2"/>
    <w:rsid w:val="005F088A"/>
    <w:rsid w:val="005F1772"/>
    <w:rsid w:val="005F1A12"/>
    <w:rsid w:val="005F20C0"/>
    <w:rsid w:val="005F2387"/>
    <w:rsid w:val="005F2CA1"/>
    <w:rsid w:val="005F395D"/>
    <w:rsid w:val="005F59D5"/>
    <w:rsid w:val="005F5C19"/>
    <w:rsid w:val="005F60CF"/>
    <w:rsid w:val="0060036E"/>
    <w:rsid w:val="00604E01"/>
    <w:rsid w:val="00604E4B"/>
    <w:rsid w:val="00605559"/>
    <w:rsid w:val="00605F9E"/>
    <w:rsid w:val="00606039"/>
    <w:rsid w:val="00606F99"/>
    <w:rsid w:val="006112FC"/>
    <w:rsid w:val="00611A83"/>
    <w:rsid w:val="00611B77"/>
    <w:rsid w:val="00611D00"/>
    <w:rsid w:val="00614817"/>
    <w:rsid w:val="00615173"/>
    <w:rsid w:val="006175EE"/>
    <w:rsid w:val="00617FF2"/>
    <w:rsid w:val="00620B95"/>
    <w:rsid w:val="0062239E"/>
    <w:rsid w:val="006241D4"/>
    <w:rsid w:val="006256B5"/>
    <w:rsid w:val="0062656D"/>
    <w:rsid w:val="006315C5"/>
    <w:rsid w:val="006318C6"/>
    <w:rsid w:val="00633DBF"/>
    <w:rsid w:val="006344B7"/>
    <w:rsid w:val="006349E9"/>
    <w:rsid w:val="0063578A"/>
    <w:rsid w:val="006357D5"/>
    <w:rsid w:val="0063671B"/>
    <w:rsid w:val="00637BCB"/>
    <w:rsid w:val="00640AEF"/>
    <w:rsid w:val="006426BC"/>
    <w:rsid w:val="00643033"/>
    <w:rsid w:val="006449A7"/>
    <w:rsid w:val="00644BDA"/>
    <w:rsid w:val="00644C0A"/>
    <w:rsid w:val="00644F8E"/>
    <w:rsid w:val="0064626B"/>
    <w:rsid w:val="006468FD"/>
    <w:rsid w:val="00651B30"/>
    <w:rsid w:val="00651E65"/>
    <w:rsid w:val="00652B70"/>
    <w:rsid w:val="006549D4"/>
    <w:rsid w:val="00655371"/>
    <w:rsid w:val="00655BDD"/>
    <w:rsid w:val="0065708A"/>
    <w:rsid w:val="006572CE"/>
    <w:rsid w:val="00660B1A"/>
    <w:rsid w:val="00662E04"/>
    <w:rsid w:val="00663062"/>
    <w:rsid w:val="006634A4"/>
    <w:rsid w:val="00666C67"/>
    <w:rsid w:val="0066776B"/>
    <w:rsid w:val="006707A9"/>
    <w:rsid w:val="00673049"/>
    <w:rsid w:val="00674072"/>
    <w:rsid w:val="00676807"/>
    <w:rsid w:val="006773F4"/>
    <w:rsid w:val="006840CA"/>
    <w:rsid w:val="00684CF0"/>
    <w:rsid w:val="00685ECC"/>
    <w:rsid w:val="00690034"/>
    <w:rsid w:val="00690116"/>
    <w:rsid w:val="006904A9"/>
    <w:rsid w:val="006911AD"/>
    <w:rsid w:val="00691414"/>
    <w:rsid w:val="006915ED"/>
    <w:rsid w:val="00692366"/>
    <w:rsid w:val="00694173"/>
    <w:rsid w:val="0069645C"/>
    <w:rsid w:val="006967F3"/>
    <w:rsid w:val="00696B88"/>
    <w:rsid w:val="00696E9D"/>
    <w:rsid w:val="00697322"/>
    <w:rsid w:val="006974CA"/>
    <w:rsid w:val="00697665"/>
    <w:rsid w:val="006A18A8"/>
    <w:rsid w:val="006A1EEE"/>
    <w:rsid w:val="006A1EF8"/>
    <w:rsid w:val="006A7CB5"/>
    <w:rsid w:val="006A7FD0"/>
    <w:rsid w:val="006B1690"/>
    <w:rsid w:val="006B22D5"/>
    <w:rsid w:val="006B4C1C"/>
    <w:rsid w:val="006B5CD1"/>
    <w:rsid w:val="006B5D64"/>
    <w:rsid w:val="006B60C8"/>
    <w:rsid w:val="006C0A8A"/>
    <w:rsid w:val="006C19FB"/>
    <w:rsid w:val="006C1C9E"/>
    <w:rsid w:val="006C2A68"/>
    <w:rsid w:val="006C6AEF"/>
    <w:rsid w:val="006C77A2"/>
    <w:rsid w:val="006D07A5"/>
    <w:rsid w:val="006D1CDF"/>
    <w:rsid w:val="006D1EF4"/>
    <w:rsid w:val="006D504C"/>
    <w:rsid w:val="006D6321"/>
    <w:rsid w:val="006D6B0B"/>
    <w:rsid w:val="006D762D"/>
    <w:rsid w:val="006D7687"/>
    <w:rsid w:val="006E0572"/>
    <w:rsid w:val="006E0728"/>
    <w:rsid w:val="006E146D"/>
    <w:rsid w:val="006E1FB8"/>
    <w:rsid w:val="006E3332"/>
    <w:rsid w:val="006E6D38"/>
    <w:rsid w:val="006F2EC7"/>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2776"/>
    <w:rsid w:val="0072398E"/>
    <w:rsid w:val="007257DE"/>
    <w:rsid w:val="007267ED"/>
    <w:rsid w:val="00727FE7"/>
    <w:rsid w:val="00742DD2"/>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E12"/>
    <w:rsid w:val="007634AD"/>
    <w:rsid w:val="00764971"/>
    <w:rsid w:val="00765260"/>
    <w:rsid w:val="00765F3B"/>
    <w:rsid w:val="00766EE5"/>
    <w:rsid w:val="0076740F"/>
    <w:rsid w:val="0077117C"/>
    <w:rsid w:val="007744B6"/>
    <w:rsid w:val="00776534"/>
    <w:rsid w:val="00777BB2"/>
    <w:rsid w:val="0078122E"/>
    <w:rsid w:val="00781DAC"/>
    <w:rsid w:val="007823A6"/>
    <w:rsid w:val="00785FD2"/>
    <w:rsid w:val="00786ECE"/>
    <w:rsid w:val="00790122"/>
    <w:rsid w:val="00791720"/>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4A1C"/>
    <w:rsid w:val="007B6DB7"/>
    <w:rsid w:val="007B6F1D"/>
    <w:rsid w:val="007B7964"/>
    <w:rsid w:val="007B7B35"/>
    <w:rsid w:val="007C20AD"/>
    <w:rsid w:val="007C4A00"/>
    <w:rsid w:val="007C5496"/>
    <w:rsid w:val="007C6B93"/>
    <w:rsid w:val="007C74FF"/>
    <w:rsid w:val="007D0341"/>
    <w:rsid w:val="007D0F9A"/>
    <w:rsid w:val="007D19ED"/>
    <w:rsid w:val="007D6137"/>
    <w:rsid w:val="007D68C9"/>
    <w:rsid w:val="007D6FBB"/>
    <w:rsid w:val="007D7BD9"/>
    <w:rsid w:val="007E2207"/>
    <w:rsid w:val="007E34A9"/>
    <w:rsid w:val="007E3875"/>
    <w:rsid w:val="007E4A8A"/>
    <w:rsid w:val="007E5C68"/>
    <w:rsid w:val="007E77AC"/>
    <w:rsid w:val="007E77BD"/>
    <w:rsid w:val="007F1531"/>
    <w:rsid w:val="007F1615"/>
    <w:rsid w:val="007F2DD2"/>
    <w:rsid w:val="007F4562"/>
    <w:rsid w:val="007F4CD9"/>
    <w:rsid w:val="007F6798"/>
    <w:rsid w:val="007F6B46"/>
    <w:rsid w:val="007F6DC2"/>
    <w:rsid w:val="007F72CB"/>
    <w:rsid w:val="007F7757"/>
    <w:rsid w:val="008026E9"/>
    <w:rsid w:val="00803AF8"/>
    <w:rsid w:val="00803BD6"/>
    <w:rsid w:val="00803C01"/>
    <w:rsid w:val="008043F3"/>
    <w:rsid w:val="00804B14"/>
    <w:rsid w:val="008054E2"/>
    <w:rsid w:val="008057E9"/>
    <w:rsid w:val="008068F8"/>
    <w:rsid w:val="00811C91"/>
    <w:rsid w:val="00813126"/>
    <w:rsid w:val="0081537B"/>
    <w:rsid w:val="008160A4"/>
    <w:rsid w:val="0081695E"/>
    <w:rsid w:val="00816C2C"/>
    <w:rsid w:val="00817CEC"/>
    <w:rsid w:val="008217B7"/>
    <w:rsid w:val="008224C7"/>
    <w:rsid w:val="00822E14"/>
    <w:rsid w:val="00824EE9"/>
    <w:rsid w:val="0083119B"/>
    <w:rsid w:val="00831F66"/>
    <w:rsid w:val="00833389"/>
    <w:rsid w:val="00836EAB"/>
    <w:rsid w:val="00836F38"/>
    <w:rsid w:val="00837909"/>
    <w:rsid w:val="00840187"/>
    <w:rsid w:val="00843CEC"/>
    <w:rsid w:val="008441F0"/>
    <w:rsid w:val="008456E5"/>
    <w:rsid w:val="00846F6D"/>
    <w:rsid w:val="00847010"/>
    <w:rsid w:val="00847B1A"/>
    <w:rsid w:val="0085092D"/>
    <w:rsid w:val="00850F79"/>
    <w:rsid w:val="00851420"/>
    <w:rsid w:val="008529E3"/>
    <w:rsid w:val="00854ABB"/>
    <w:rsid w:val="00854E4B"/>
    <w:rsid w:val="008618F1"/>
    <w:rsid w:val="008628AF"/>
    <w:rsid w:val="00862C14"/>
    <w:rsid w:val="008646C8"/>
    <w:rsid w:val="00864F88"/>
    <w:rsid w:val="00867608"/>
    <w:rsid w:val="00870F20"/>
    <w:rsid w:val="00871FD2"/>
    <w:rsid w:val="00874556"/>
    <w:rsid w:val="00874B73"/>
    <w:rsid w:val="00874BD9"/>
    <w:rsid w:val="0088063D"/>
    <w:rsid w:val="00880FE3"/>
    <w:rsid w:val="0088146E"/>
    <w:rsid w:val="00881CF4"/>
    <w:rsid w:val="00882264"/>
    <w:rsid w:val="00882D2D"/>
    <w:rsid w:val="00887E46"/>
    <w:rsid w:val="0089245A"/>
    <w:rsid w:val="008926EF"/>
    <w:rsid w:val="0089774F"/>
    <w:rsid w:val="00897ECB"/>
    <w:rsid w:val="008A1649"/>
    <w:rsid w:val="008A1F73"/>
    <w:rsid w:val="008A4057"/>
    <w:rsid w:val="008A55BC"/>
    <w:rsid w:val="008B223E"/>
    <w:rsid w:val="008B56B2"/>
    <w:rsid w:val="008B5B04"/>
    <w:rsid w:val="008C1A1D"/>
    <w:rsid w:val="008C2191"/>
    <w:rsid w:val="008C3DCC"/>
    <w:rsid w:val="008C41AA"/>
    <w:rsid w:val="008C44C1"/>
    <w:rsid w:val="008C567E"/>
    <w:rsid w:val="008D1490"/>
    <w:rsid w:val="008D685A"/>
    <w:rsid w:val="008D6C6B"/>
    <w:rsid w:val="008D6DE0"/>
    <w:rsid w:val="008D7242"/>
    <w:rsid w:val="008D7A98"/>
    <w:rsid w:val="008E06CA"/>
    <w:rsid w:val="008E1C15"/>
    <w:rsid w:val="008E36A0"/>
    <w:rsid w:val="008E3EC9"/>
    <w:rsid w:val="008E50DA"/>
    <w:rsid w:val="008E6418"/>
    <w:rsid w:val="008F0C30"/>
    <w:rsid w:val="008F101D"/>
    <w:rsid w:val="008F148D"/>
    <w:rsid w:val="008F24BA"/>
    <w:rsid w:val="008F436F"/>
    <w:rsid w:val="008F538E"/>
    <w:rsid w:val="008F5FB7"/>
    <w:rsid w:val="009008D5"/>
    <w:rsid w:val="00901850"/>
    <w:rsid w:val="009032EB"/>
    <w:rsid w:val="009038D7"/>
    <w:rsid w:val="00903C4D"/>
    <w:rsid w:val="009047C5"/>
    <w:rsid w:val="009058E3"/>
    <w:rsid w:val="0090762D"/>
    <w:rsid w:val="0091590E"/>
    <w:rsid w:val="0091629D"/>
    <w:rsid w:val="00916B31"/>
    <w:rsid w:val="00916C0F"/>
    <w:rsid w:val="009210D9"/>
    <w:rsid w:val="0092111C"/>
    <w:rsid w:val="009221F8"/>
    <w:rsid w:val="00922EA7"/>
    <w:rsid w:val="00923F5C"/>
    <w:rsid w:val="009256D5"/>
    <w:rsid w:val="009259F2"/>
    <w:rsid w:val="00925F52"/>
    <w:rsid w:val="00931B0D"/>
    <w:rsid w:val="0093202E"/>
    <w:rsid w:val="00933989"/>
    <w:rsid w:val="00935D38"/>
    <w:rsid w:val="0093616F"/>
    <w:rsid w:val="009425DF"/>
    <w:rsid w:val="00943333"/>
    <w:rsid w:val="0094362D"/>
    <w:rsid w:val="009451B1"/>
    <w:rsid w:val="00946957"/>
    <w:rsid w:val="00947B7A"/>
    <w:rsid w:val="009502CF"/>
    <w:rsid w:val="00951FC6"/>
    <w:rsid w:val="00952DF1"/>
    <w:rsid w:val="0095385A"/>
    <w:rsid w:val="00955483"/>
    <w:rsid w:val="0095765C"/>
    <w:rsid w:val="00957C11"/>
    <w:rsid w:val="00957D1A"/>
    <w:rsid w:val="009627E0"/>
    <w:rsid w:val="00962E23"/>
    <w:rsid w:val="0096318D"/>
    <w:rsid w:val="00965C7C"/>
    <w:rsid w:val="00967757"/>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B60C8"/>
    <w:rsid w:val="009C7881"/>
    <w:rsid w:val="009C7FF7"/>
    <w:rsid w:val="009D02C2"/>
    <w:rsid w:val="009D0BBF"/>
    <w:rsid w:val="009D1B2F"/>
    <w:rsid w:val="009D1F09"/>
    <w:rsid w:val="009E05AB"/>
    <w:rsid w:val="009E1923"/>
    <w:rsid w:val="009E1BE1"/>
    <w:rsid w:val="009E1EB2"/>
    <w:rsid w:val="009E25C4"/>
    <w:rsid w:val="009E2A3C"/>
    <w:rsid w:val="009E394F"/>
    <w:rsid w:val="009E43F7"/>
    <w:rsid w:val="009E6186"/>
    <w:rsid w:val="009E667F"/>
    <w:rsid w:val="009E6929"/>
    <w:rsid w:val="009E6A3E"/>
    <w:rsid w:val="009E7671"/>
    <w:rsid w:val="009F0BB6"/>
    <w:rsid w:val="009F0E95"/>
    <w:rsid w:val="009F237C"/>
    <w:rsid w:val="009F59C2"/>
    <w:rsid w:val="009F5D34"/>
    <w:rsid w:val="00A023CE"/>
    <w:rsid w:val="00A03406"/>
    <w:rsid w:val="00A04A6D"/>
    <w:rsid w:val="00A05F95"/>
    <w:rsid w:val="00A06176"/>
    <w:rsid w:val="00A1023E"/>
    <w:rsid w:val="00A112D9"/>
    <w:rsid w:val="00A114A5"/>
    <w:rsid w:val="00A114CB"/>
    <w:rsid w:val="00A117E3"/>
    <w:rsid w:val="00A11AAE"/>
    <w:rsid w:val="00A13D6C"/>
    <w:rsid w:val="00A13F2F"/>
    <w:rsid w:val="00A200AF"/>
    <w:rsid w:val="00A22E8B"/>
    <w:rsid w:val="00A230AD"/>
    <w:rsid w:val="00A23925"/>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D23"/>
    <w:rsid w:val="00A43E49"/>
    <w:rsid w:val="00A455ED"/>
    <w:rsid w:val="00A46584"/>
    <w:rsid w:val="00A46B01"/>
    <w:rsid w:val="00A475EB"/>
    <w:rsid w:val="00A50376"/>
    <w:rsid w:val="00A52AB9"/>
    <w:rsid w:val="00A54F69"/>
    <w:rsid w:val="00A5651E"/>
    <w:rsid w:val="00A572E2"/>
    <w:rsid w:val="00A572E4"/>
    <w:rsid w:val="00A63AB4"/>
    <w:rsid w:val="00A63F94"/>
    <w:rsid w:val="00A641C7"/>
    <w:rsid w:val="00A65FDC"/>
    <w:rsid w:val="00A71455"/>
    <w:rsid w:val="00A7306E"/>
    <w:rsid w:val="00A754E3"/>
    <w:rsid w:val="00A76625"/>
    <w:rsid w:val="00A76BEC"/>
    <w:rsid w:val="00A7735E"/>
    <w:rsid w:val="00A8097A"/>
    <w:rsid w:val="00A84492"/>
    <w:rsid w:val="00A858CC"/>
    <w:rsid w:val="00A91507"/>
    <w:rsid w:val="00A93C3A"/>
    <w:rsid w:val="00A95E6B"/>
    <w:rsid w:val="00A969AA"/>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D94"/>
    <w:rsid w:val="00AB3EF0"/>
    <w:rsid w:val="00AB6CB0"/>
    <w:rsid w:val="00AB7B91"/>
    <w:rsid w:val="00AC04C9"/>
    <w:rsid w:val="00AC1406"/>
    <w:rsid w:val="00AC3BB2"/>
    <w:rsid w:val="00AC4A5A"/>
    <w:rsid w:val="00AC6C4D"/>
    <w:rsid w:val="00AC7720"/>
    <w:rsid w:val="00AC795D"/>
    <w:rsid w:val="00AD0790"/>
    <w:rsid w:val="00AD0DAD"/>
    <w:rsid w:val="00AD22DF"/>
    <w:rsid w:val="00AD3BE5"/>
    <w:rsid w:val="00AD4117"/>
    <w:rsid w:val="00AD7079"/>
    <w:rsid w:val="00AE3A48"/>
    <w:rsid w:val="00AE42D3"/>
    <w:rsid w:val="00AE70B1"/>
    <w:rsid w:val="00AF0EB0"/>
    <w:rsid w:val="00AF25B8"/>
    <w:rsid w:val="00AF6276"/>
    <w:rsid w:val="00AF6DAE"/>
    <w:rsid w:val="00B01569"/>
    <w:rsid w:val="00B01619"/>
    <w:rsid w:val="00B02235"/>
    <w:rsid w:val="00B02A47"/>
    <w:rsid w:val="00B030B1"/>
    <w:rsid w:val="00B0510D"/>
    <w:rsid w:val="00B05A55"/>
    <w:rsid w:val="00B06937"/>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80B7F"/>
    <w:rsid w:val="00B80F8F"/>
    <w:rsid w:val="00B819B8"/>
    <w:rsid w:val="00B8475B"/>
    <w:rsid w:val="00B87866"/>
    <w:rsid w:val="00B908CF"/>
    <w:rsid w:val="00B913A7"/>
    <w:rsid w:val="00B91B8E"/>
    <w:rsid w:val="00B92156"/>
    <w:rsid w:val="00B92EC6"/>
    <w:rsid w:val="00B94AF0"/>
    <w:rsid w:val="00B960EE"/>
    <w:rsid w:val="00B974F0"/>
    <w:rsid w:val="00BA1266"/>
    <w:rsid w:val="00BA504F"/>
    <w:rsid w:val="00BA7847"/>
    <w:rsid w:val="00BA7F43"/>
    <w:rsid w:val="00BB18AE"/>
    <w:rsid w:val="00BB378B"/>
    <w:rsid w:val="00BB3D86"/>
    <w:rsid w:val="00BB3FDC"/>
    <w:rsid w:val="00BB4E51"/>
    <w:rsid w:val="00BC0E07"/>
    <w:rsid w:val="00BC2A98"/>
    <w:rsid w:val="00BC3394"/>
    <w:rsid w:val="00BC418B"/>
    <w:rsid w:val="00BC4EE5"/>
    <w:rsid w:val="00BC5511"/>
    <w:rsid w:val="00BC553A"/>
    <w:rsid w:val="00BC6E67"/>
    <w:rsid w:val="00BD010E"/>
    <w:rsid w:val="00BD3D51"/>
    <w:rsid w:val="00BD5DA2"/>
    <w:rsid w:val="00BD6507"/>
    <w:rsid w:val="00BD6A96"/>
    <w:rsid w:val="00BD78FE"/>
    <w:rsid w:val="00BD7ABD"/>
    <w:rsid w:val="00BE0B4C"/>
    <w:rsid w:val="00BE194E"/>
    <w:rsid w:val="00BE1A4F"/>
    <w:rsid w:val="00BE33E3"/>
    <w:rsid w:val="00BE54E9"/>
    <w:rsid w:val="00BE7299"/>
    <w:rsid w:val="00BF568B"/>
    <w:rsid w:val="00BF5C9A"/>
    <w:rsid w:val="00BF6023"/>
    <w:rsid w:val="00BF68A9"/>
    <w:rsid w:val="00C00250"/>
    <w:rsid w:val="00C04D43"/>
    <w:rsid w:val="00C05055"/>
    <w:rsid w:val="00C10177"/>
    <w:rsid w:val="00C12D2F"/>
    <w:rsid w:val="00C16450"/>
    <w:rsid w:val="00C21CA8"/>
    <w:rsid w:val="00C2286A"/>
    <w:rsid w:val="00C23738"/>
    <w:rsid w:val="00C23811"/>
    <w:rsid w:val="00C24648"/>
    <w:rsid w:val="00C2672E"/>
    <w:rsid w:val="00C26DA0"/>
    <w:rsid w:val="00C3024A"/>
    <w:rsid w:val="00C35C82"/>
    <w:rsid w:val="00C37066"/>
    <w:rsid w:val="00C37068"/>
    <w:rsid w:val="00C40E3E"/>
    <w:rsid w:val="00C44430"/>
    <w:rsid w:val="00C449F1"/>
    <w:rsid w:val="00C45FF9"/>
    <w:rsid w:val="00C51F3E"/>
    <w:rsid w:val="00C5234D"/>
    <w:rsid w:val="00C531C9"/>
    <w:rsid w:val="00C53B55"/>
    <w:rsid w:val="00C548B1"/>
    <w:rsid w:val="00C55BC3"/>
    <w:rsid w:val="00C60259"/>
    <w:rsid w:val="00C60414"/>
    <w:rsid w:val="00C6185D"/>
    <w:rsid w:val="00C61D16"/>
    <w:rsid w:val="00C634EA"/>
    <w:rsid w:val="00C649B7"/>
    <w:rsid w:val="00C653AC"/>
    <w:rsid w:val="00C6596C"/>
    <w:rsid w:val="00C6614A"/>
    <w:rsid w:val="00C663A4"/>
    <w:rsid w:val="00C73055"/>
    <w:rsid w:val="00C7616C"/>
    <w:rsid w:val="00C805F8"/>
    <w:rsid w:val="00C821BC"/>
    <w:rsid w:val="00C849F5"/>
    <w:rsid w:val="00C867D7"/>
    <w:rsid w:val="00C86CA1"/>
    <w:rsid w:val="00C91FB2"/>
    <w:rsid w:val="00C92374"/>
    <w:rsid w:val="00C9249A"/>
    <w:rsid w:val="00C93443"/>
    <w:rsid w:val="00C94E35"/>
    <w:rsid w:val="00C96C77"/>
    <w:rsid w:val="00C96D43"/>
    <w:rsid w:val="00C97575"/>
    <w:rsid w:val="00CA026B"/>
    <w:rsid w:val="00CA0995"/>
    <w:rsid w:val="00CA3230"/>
    <w:rsid w:val="00CA5499"/>
    <w:rsid w:val="00CA7FCD"/>
    <w:rsid w:val="00CB25C4"/>
    <w:rsid w:val="00CB60B1"/>
    <w:rsid w:val="00CC00CD"/>
    <w:rsid w:val="00CC0BA8"/>
    <w:rsid w:val="00CC2112"/>
    <w:rsid w:val="00CC3A3C"/>
    <w:rsid w:val="00CC668E"/>
    <w:rsid w:val="00CD078A"/>
    <w:rsid w:val="00CD0C65"/>
    <w:rsid w:val="00CD1717"/>
    <w:rsid w:val="00CD4DEB"/>
    <w:rsid w:val="00CD4E6A"/>
    <w:rsid w:val="00CE1842"/>
    <w:rsid w:val="00CE6353"/>
    <w:rsid w:val="00CE726E"/>
    <w:rsid w:val="00CE78C8"/>
    <w:rsid w:val="00CF1834"/>
    <w:rsid w:val="00CF3DB4"/>
    <w:rsid w:val="00CF4F42"/>
    <w:rsid w:val="00CF5708"/>
    <w:rsid w:val="00CF58D1"/>
    <w:rsid w:val="00CF6DF1"/>
    <w:rsid w:val="00D01760"/>
    <w:rsid w:val="00D02290"/>
    <w:rsid w:val="00D0438F"/>
    <w:rsid w:val="00D04D02"/>
    <w:rsid w:val="00D054D1"/>
    <w:rsid w:val="00D066C6"/>
    <w:rsid w:val="00D100F1"/>
    <w:rsid w:val="00D10B3F"/>
    <w:rsid w:val="00D11104"/>
    <w:rsid w:val="00D12852"/>
    <w:rsid w:val="00D13158"/>
    <w:rsid w:val="00D1355F"/>
    <w:rsid w:val="00D14E4C"/>
    <w:rsid w:val="00D16E39"/>
    <w:rsid w:val="00D20871"/>
    <w:rsid w:val="00D223B6"/>
    <w:rsid w:val="00D223BF"/>
    <w:rsid w:val="00D22E7F"/>
    <w:rsid w:val="00D2477E"/>
    <w:rsid w:val="00D24B55"/>
    <w:rsid w:val="00D2547E"/>
    <w:rsid w:val="00D25858"/>
    <w:rsid w:val="00D26A74"/>
    <w:rsid w:val="00D27347"/>
    <w:rsid w:val="00D31211"/>
    <w:rsid w:val="00D31D03"/>
    <w:rsid w:val="00D31D3A"/>
    <w:rsid w:val="00D3336B"/>
    <w:rsid w:val="00D335A1"/>
    <w:rsid w:val="00D339FA"/>
    <w:rsid w:val="00D361BF"/>
    <w:rsid w:val="00D4100E"/>
    <w:rsid w:val="00D444D4"/>
    <w:rsid w:val="00D45895"/>
    <w:rsid w:val="00D47C50"/>
    <w:rsid w:val="00D47D94"/>
    <w:rsid w:val="00D500DB"/>
    <w:rsid w:val="00D509AE"/>
    <w:rsid w:val="00D51B23"/>
    <w:rsid w:val="00D51F79"/>
    <w:rsid w:val="00D51F97"/>
    <w:rsid w:val="00D54817"/>
    <w:rsid w:val="00D55524"/>
    <w:rsid w:val="00D57FAA"/>
    <w:rsid w:val="00D60327"/>
    <w:rsid w:val="00D6044C"/>
    <w:rsid w:val="00D629E0"/>
    <w:rsid w:val="00D63052"/>
    <w:rsid w:val="00D652A7"/>
    <w:rsid w:val="00D66CC3"/>
    <w:rsid w:val="00D6791C"/>
    <w:rsid w:val="00D67A53"/>
    <w:rsid w:val="00D70473"/>
    <w:rsid w:val="00D704F6"/>
    <w:rsid w:val="00D727DB"/>
    <w:rsid w:val="00D72E9D"/>
    <w:rsid w:val="00D80641"/>
    <w:rsid w:val="00D82CE5"/>
    <w:rsid w:val="00D83908"/>
    <w:rsid w:val="00D86256"/>
    <w:rsid w:val="00D87DD1"/>
    <w:rsid w:val="00D90FE4"/>
    <w:rsid w:val="00D91951"/>
    <w:rsid w:val="00D92948"/>
    <w:rsid w:val="00D92976"/>
    <w:rsid w:val="00D94598"/>
    <w:rsid w:val="00D94962"/>
    <w:rsid w:val="00D95B43"/>
    <w:rsid w:val="00DA2DB6"/>
    <w:rsid w:val="00DA2E69"/>
    <w:rsid w:val="00DA395F"/>
    <w:rsid w:val="00DA3FBF"/>
    <w:rsid w:val="00DA520C"/>
    <w:rsid w:val="00DA54D1"/>
    <w:rsid w:val="00DA5AB1"/>
    <w:rsid w:val="00DA5D71"/>
    <w:rsid w:val="00DA7706"/>
    <w:rsid w:val="00DA7B26"/>
    <w:rsid w:val="00DB04D4"/>
    <w:rsid w:val="00DB259A"/>
    <w:rsid w:val="00DB6633"/>
    <w:rsid w:val="00DC13B7"/>
    <w:rsid w:val="00DC2B8C"/>
    <w:rsid w:val="00DC39BB"/>
    <w:rsid w:val="00DC5871"/>
    <w:rsid w:val="00DC62E5"/>
    <w:rsid w:val="00DC6929"/>
    <w:rsid w:val="00DD04F2"/>
    <w:rsid w:val="00DD182D"/>
    <w:rsid w:val="00DD1C32"/>
    <w:rsid w:val="00DD2F6A"/>
    <w:rsid w:val="00DD32C5"/>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16F"/>
    <w:rsid w:val="00E05991"/>
    <w:rsid w:val="00E06023"/>
    <w:rsid w:val="00E06A99"/>
    <w:rsid w:val="00E06E08"/>
    <w:rsid w:val="00E07C7A"/>
    <w:rsid w:val="00E10A7E"/>
    <w:rsid w:val="00E11C35"/>
    <w:rsid w:val="00E13AB8"/>
    <w:rsid w:val="00E211E2"/>
    <w:rsid w:val="00E22816"/>
    <w:rsid w:val="00E22F43"/>
    <w:rsid w:val="00E230FD"/>
    <w:rsid w:val="00E24E1A"/>
    <w:rsid w:val="00E25820"/>
    <w:rsid w:val="00E25CB3"/>
    <w:rsid w:val="00E263C0"/>
    <w:rsid w:val="00E30C68"/>
    <w:rsid w:val="00E323A4"/>
    <w:rsid w:val="00E33B62"/>
    <w:rsid w:val="00E3604F"/>
    <w:rsid w:val="00E378A8"/>
    <w:rsid w:val="00E4010D"/>
    <w:rsid w:val="00E4143A"/>
    <w:rsid w:val="00E41DA5"/>
    <w:rsid w:val="00E42F18"/>
    <w:rsid w:val="00E4341D"/>
    <w:rsid w:val="00E4540B"/>
    <w:rsid w:val="00E471D7"/>
    <w:rsid w:val="00E516F9"/>
    <w:rsid w:val="00E53C0C"/>
    <w:rsid w:val="00E551B1"/>
    <w:rsid w:val="00E56D69"/>
    <w:rsid w:val="00E6039E"/>
    <w:rsid w:val="00E6049C"/>
    <w:rsid w:val="00E60A8C"/>
    <w:rsid w:val="00E617E7"/>
    <w:rsid w:val="00E61AEE"/>
    <w:rsid w:val="00E62D5F"/>
    <w:rsid w:val="00E655FD"/>
    <w:rsid w:val="00E667E7"/>
    <w:rsid w:val="00E673D1"/>
    <w:rsid w:val="00E67555"/>
    <w:rsid w:val="00E67F98"/>
    <w:rsid w:val="00E67FC7"/>
    <w:rsid w:val="00E71FBE"/>
    <w:rsid w:val="00E75248"/>
    <w:rsid w:val="00E76BEA"/>
    <w:rsid w:val="00E77DDF"/>
    <w:rsid w:val="00E8165D"/>
    <w:rsid w:val="00E82BF8"/>
    <w:rsid w:val="00E83676"/>
    <w:rsid w:val="00E85A4E"/>
    <w:rsid w:val="00E8759D"/>
    <w:rsid w:val="00E87C04"/>
    <w:rsid w:val="00E95221"/>
    <w:rsid w:val="00EA0B3F"/>
    <w:rsid w:val="00EA1DFE"/>
    <w:rsid w:val="00EA3908"/>
    <w:rsid w:val="00EA3A6A"/>
    <w:rsid w:val="00EA76CC"/>
    <w:rsid w:val="00EB385B"/>
    <w:rsid w:val="00EB49E9"/>
    <w:rsid w:val="00EB4E04"/>
    <w:rsid w:val="00EB52EB"/>
    <w:rsid w:val="00EB7BAF"/>
    <w:rsid w:val="00EC02E9"/>
    <w:rsid w:val="00EC07B9"/>
    <w:rsid w:val="00EC1001"/>
    <w:rsid w:val="00EC5115"/>
    <w:rsid w:val="00EC5BF6"/>
    <w:rsid w:val="00EC5DE4"/>
    <w:rsid w:val="00EC6C6C"/>
    <w:rsid w:val="00ED030F"/>
    <w:rsid w:val="00ED069A"/>
    <w:rsid w:val="00ED137B"/>
    <w:rsid w:val="00ED66AF"/>
    <w:rsid w:val="00EE0C96"/>
    <w:rsid w:val="00EE59B5"/>
    <w:rsid w:val="00EE5DF7"/>
    <w:rsid w:val="00EE6F2B"/>
    <w:rsid w:val="00EE7336"/>
    <w:rsid w:val="00EE7B55"/>
    <w:rsid w:val="00EF1CED"/>
    <w:rsid w:val="00EF3228"/>
    <w:rsid w:val="00EF5B1F"/>
    <w:rsid w:val="00F02DE3"/>
    <w:rsid w:val="00F032A9"/>
    <w:rsid w:val="00F04B94"/>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6C0"/>
    <w:rsid w:val="00F358DD"/>
    <w:rsid w:val="00F376A3"/>
    <w:rsid w:val="00F37829"/>
    <w:rsid w:val="00F378FF"/>
    <w:rsid w:val="00F42770"/>
    <w:rsid w:val="00F431BE"/>
    <w:rsid w:val="00F44920"/>
    <w:rsid w:val="00F44E08"/>
    <w:rsid w:val="00F45492"/>
    <w:rsid w:val="00F45C5C"/>
    <w:rsid w:val="00F475DF"/>
    <w:rsid w:val="00F50FAB"/>
    <w:rsid w:val="00F5216F"/>
    <w:rsid w:val="00F5291B"/>
    <w:rsid w:val="00F545CE"/>
    <w:rsid w:val="00F561C2"/>
    <w:rsid w:val="00F562FB"/>
    <w:rsid w:val="00F56935"/>
    <w:rsid w:val="00F603CC"/>
    <w:rsid w:val="00F622F6"/>
    <w:rsid w:val="00F62DFF"/>
    <w:rsid w:val="00F6417E"/>
    <w:rsid w:val="00F673F5"/>
    <w:rsid w:val="00F676FB"/>
    <w:rsid w:val="00F7036D"/>
    <w:rsid w:val="00F7055C"/>
    <w:rsid w:val="00F71603"/>
    <w:rsid w:val="00F72043"/>
    <w:rsid w:val="00F720E0"/>
    <w:rsid w:val="00F74CF2"/>
    <w:rsid w:val="00F7523B"/>
    <w:rsid w:val="00F8082A"/>
    <w:rsid w:val="00F80FCF"/>
    <w:rsid w:val="00F81C47"/>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1417"/>
    <w:rsid w:val="00FB6A61"/>
    <w:rsid w:val="00FC0461"/>
    <w:rsid w:val="00FC1D2E"/>
    <w:rsid w:val="00FC3C98"/>
    <w:rsid w:val="00FC53F2"/>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AB6"/>
    <w:rsid w:val="00FE6D4C"/>
    <w:rsid w:val="00FE7555"/>
    <w:rsid w:val="00FF0706"/>
    <w:rsid w:val="00FF208F"/>
    <w:rsid w:val="00FF2375"/>
    <w:rsid w:val="00FF29B6"/>
    <w:rsid w:val="00FF2F4B"/>
    <w:rsid w:val="00FF69D5"/>
    <w:rsid w:val="0436B125"/>
    <w:rsid w:val="06AF08F5"/>
    <w:rsid w:val="0CAA8985"/>
    <w:rsid w:val="0D9D8E58"/>
    <w:rsid w:val="242D4DA9"/>
    <w:rsid w:val="3DF3CD69"/>
    <w:rsid w:val="503D6FF5"/>
    <w:rsid w:val="55B5F3FA"/>
    <w:rsid w:val="60A4DC0A"/>
    <w:rsid w:val="72751FCB"/>
    <w:rsid w:val="78E430D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276389B0-81D2-4FA1-A754-11C208D0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74FF"/>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character" w:styleId="Textoennegrita">
    <w:name w:val="Strong"/>
    <w:basedOn w:val="Fuentedeprrafopredeter"/>
    <w:uiPriority w:val="22"/>
    <w:qFormat/>
    <w:rsid w:val="00520695"/>
    <w:rPr>
      <w:b/>
      <w:bCs/>
    </w:rPr>
  </w:style>
  <w:style w:type="character" w:styleId="Mencinsinresolver1" w:customStyle="1">
    <w:name w:val="Mención sin resolver1"/>
    <w:basedOn w:val="Fuentedeprrafopredeter"/>
    <w:uiPriority w:val="99"/>
    <w:semiHidden/>
    <w:unhideWhenUsed/>
    <w:rsid w:val="00D2477E"/>
    <w:rPr>
      <w:color w:val="605E5C"/>
      <w:shd w:val="clear" w:color="auto" w:fill="E1DFDD"/>
    </w:rPr>
  </w:style>
  <w:style w:type="paragraph" w:styleId="InviasNormal" w:customStyle="1">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A230AD"/>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4C07BA"/>
    <w:pPr>
      <w:spacing w:after="0" w:line="240" w:lineRule="auto"/>
    </w:pPr>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39433093">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63890100">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424e6a29876462e" /></Relationships>
</file>

<file path=word/_rels/footer1.xml.rels>&#65279;<?xml version="1.0" encoding="utf-8"?><Relationships xmlns="http://schemas.openxmlformats.org/package/2006/relationships"><Relationship Type="http://schemas.openxmlformats.org/officeDocument/2006/relationships/image" Target="/media/image5.png" Id="R15c26e1c8a37449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2C4-87A5-408E-8C5C-F770FC1D8A4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07CAE95-E779-4C74-A691-1ACAC3BF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02641-5110-4CB2-A6C0-80B1A7D3A8EA}">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lastModifiedBy>Manuela Mantilla Pacheco</lastModifiedBy>
  <revision>4</revision>
  <lastPrinted>2020-01-30T18:05:00.0000000Z</lastPrinted>
  <dcterms:created xsi:type="dcterms:W3CDTF">2020-11-19T01:42:00.0000000Z</dcterms:created>
  <dcterms:modified xsi:type="dcterms:W3CDTF">2020-12-04T16:20:19.3002645Z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